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54.xml" ContentType="application/vnd.openxmlformats-officedocument.wordprocessingml.footer+xml"/>
  <Override PartName="/word/footer155.xml" ContentType="application/vnd.openxmlformats-officedocument.wordprocessingml.footer+xml"/>
  <Override PartName="/word/footer15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xml" ContentType="application/vnd.openxmlformats-officedocument.wordprocessingml.footer+xml"/>
  <Override PartName="/word/footer170.xml" ContentType="application/vnd.openxmlformats-officedocument.wordprocessingml.footer+xml"/>
  <Override PartName="/word/footer171.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5.xml" ContentType="application/vnd.openxmlformats-officedocument.wordprocessingml.footer+xml"/>
  <Override PartName="/word/footer176.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82.xml" ContentType="application/vnd.openxmlformats-officedocument.wordprocessingml.footer+xml"/>
  <Override PartName="/word/footer183.xml" ContentType="application/vnd.openxmlformats-officedocument.wordprocessingml.footer+xml"/>
  <Override PartName="/word/footer184.xml" ContentType="application/vnd.openxmlformats-officedocument.wordprocessingml.footer+xml"/>
  <Override PartName="/word/footer185.xml" ContentType="application/vnd.openxmlformats-officedocument.wordprocessingml.footer+xml"/>
  <Override PartName="/word/footer186.xml" ContentType="application/vnd.openxmlformats-officedocument.wordprocessingml.footer+xml"/>
  <Override PartName="/word/footer187.xml" ContentType="application/vnd.openxmlformats-officedocument.wordprocessingml.footer+xml"/>
  <Override PartName="/word/footer188.xml" ContentType="application/vnd.openxmlformats-officedocument.wordprocessingml.footer+xml"/>
  <Override PartName="/word/footer189.xml" ContentType="application/vnd.openxmlformats-officedocument.wordprocessingml.footer+xml"/>
  <Override PartName="/word/footer1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97.xml" ContentType="application/vnd.openxmlformats-officedocument.wordprocessingml.footer+xml"/>
  <Override PartName="/word/footer198.xml" ContentType="application/vnd.openxmlformats-officedocument.wordprocessingml.footer+xml"/>
  <Override PartName="/word/footer19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00.xml" ContentType="application/vnd.openxmlformats-officedocument.wordprocessingml.footer+xml"/>
  <Override PartName="/word/footer201.xml" ContentType="application/vnd.openxmlformats-officedocument.wordprocessingml.footer+xml"/>
  <Override PartName="/word/footer202.xml" ContentType="application/vnd.openxmlformats-officedocument.wordprocessingml.footer+xml"/>
  <Override PartName="/word/footer203.xml" ContentType="application/vnd.openxmlformats-officedocument.wordprocessingml.footer+xml"/>
  <Override PartName="/word/footer204.xml" ContentType="application/vnd.openxmlformats-officedocument.wordprocessingml.footer+xml"/>
  <Override PartName="/word/footer205.xml" ContentType="application/vnd.openxmlformats-officedocument.wordprocessingml.footer+xml"/>
  <Override PartName="/word/footer206.xml" ContentType="application/vnd.openxmlformats-officedocument.wordprocessingml.footer+xml"/>
  <Override PartName="/word/footer207.xml" ContentType="application/vnd.openxmlformats-officedocument.wordprocessingml.footer+xml"/>
  <Override PartName="/word/footer208.xml" ContentType="application/vnd.openxmlformats-officedocument.wordprocessingml.footer+xml"/>
  <Override PartName="/word/footer209.xml" ContentType="application/vnd.openxmlformats-officedocument.wordprocessingml.footer+xml"/>
  <Override PartName="/word/footer21.xml" ContentType="application/vnd.openxmlformats-officedocument.wordprocessingml.footer+xml"/>
  <Override PartName="/word/footer210.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2.xml" ContentType="application/vnd.openxmlformats-officedocument.wordprocessingml.footer+xml"/>
  <Override PartName="/word/footer220.xml" ContentType="application/vnd.openxmlformats-officedocument.wordprocessingml.footer+xml"/>
  <Override PartName="/word/footer221.xml" ContentType="application/vnd.openxmlformats-officedocument.wordprocessingml.footer+xml"/>
  <Override PartName="/word/footer222.xml" ContentType="application/vnd.openxmlformats-officedocument.wordprocessingml.footer+xml"/>
  <Override PartName="/word/footer223.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226.xml" ContentType="application/vnd.openxmlformats-officedocument.wordprocessingml.footer+xml"/>
  <Override PartName="/word/footer227.xml" ContentType="application/vnd.openxmlformats-officedocument.wordprocessingml.footer+xml"/>
  <Override PartName="/word/footer228.xml" ContentType="application/vnd.openxmlformats-officedocument.wordprocessingml.footer+xml"/>
  <Override PartName="/word/footer229.xml" ContentType="application/vnd.openxmlformats-officedocument.wordprocessingml.footer+xml"/>
  <Override PartName="/word/footer23.xml" ContentType="application/vnd.openxmlformats-officedocument.wordprocessingml.footer+xml"/>
  <Override PartName="/word/footer230.xml" ContentType="application/vnd.openxmlformats-officedocument.wordprocessingml.footer+xml"/>
  <Override PartName="/word/footer231.xml" ContentType="application/vnd.openxmlformats-officedocument.wordprocessingml.footer+xml"/>
  <Override PartName="/word/footer23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236.xml" ContentType="application/vnd.openxmlformats-officedocument.wordprocessingml.footer+xml"/>
  <Override PartName="/word/footer237.xml" ContentType="application/vnd.openxmlformats-officedocument.wordprocessingml.footer+xml"/>
  <Override PartName="/word/footer238.xml" ContentType="application/vnd.openxmlformats-officedocument.wordprocessingml.footer+xml"/>
  <Override PartName="/word/footer239.xml" ContentType="application/vnd.openxmlformats-officedocument.wordprocessingml.footer+xml"/>
  <Override PartName="/word/footer24.xml" ContentType="application/vnd.openxmlformats-officedocument.wordprocessingml.footer+xml"/>
  <Override PartName="/word/footer240.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243.xml" ContentType="application/vnd.openxmlformats-officedocument.wordprocessingml.footer+xml"/>
  <Override PartName="/word/footer244.xml" ContentType="application/vnd.openxmlformats-officedocument.wordprocessingml.footer+xml"/>
  <Override PartName="/word/footer245.xml" ContentType="application/vnd.openxmlformats-officedocument.wordprocessingml.footer+xml"/>
  <Override PartName="/word/footer246.xml" ContentType="application/vnd.openxmlformats-officedocument.wordprocessingml.footer+xml"/>
  <Override PartName="/word/footer247.xml" ContentType="application/vnd.openxmlformats-officedocument.wordprocessingml.footer+xml"/>
  <Override PartName="/word/footer248.xml" ContentType="application/vnd.openxmlformats-officedocument.wordprocessingml.footer+xml"/>
  <Override PartName="/word/footer249.xml" ContentType="application/vnd.openxmlformats-officedocument.wordprocessingml.footer+xml"/>
  <Override PartName="/word/footer25.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97C83B">
      <w:pPr>
        <w:spacing w:line="16828" w:lineRule="exact"/>
      </w:pPr>
      <w:r>
        <w:rPr>
          <w:position w:val="-336"/>
        </w:rPr>
        <w:drawing>
          <wp:inline distT="0" distB="0" distL="0" distR="0">
            <wp:extent cx="7561580" cy="1068578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277"/>
                    <a:stretch>
                      <a:fillRect/>
                    </a:stretch>
                  </pic:blipFill>
                  <pic:spPr>
                    <a:xfrm>
                      <a:off x="0" y="0"/>
                      <a:ext cx="7562088" cy="10685805"/>
                    </a:xfrm>
                    <a:prstGeom prst="rect">
                      <a:avLst/>
                    </a:prstGeom>
                  </pic:spPr>
                </pic:pic>
              </a:graphicData>
            </a:graphic>
          </wp:inline>
        </w:drawing>
      </w:r>
    </w:p>
    <w:p w14:paraId="69764080">
      <w:pPr>
        <w:spacing w:line="16828" w:lineRule="exact"/>
        <w:sectPr>
          <w:headerReference r:id="rId5" w:type="default"/>
          <w:footerReference r:id="rId6" w:type="default"/>
          <w:pgSz w:w="11909" w:h="16841"/>
          <w:pgMar w:top="1" w:right="0" w:bottom="1" w:left="0" w:header="0" w:footer="0" w:gutter="0"/>
          <w:cols w:space="720" w:num="1"/>
        </w:sectPr>
      </w:pPr>
    </w:p>
    <w:p w14:paraId="64BD52FC">
      <w:pPr>
        <w:spacing w:line="15798" w:lineRule="exact"/>
        <w:sectPr>
          <w:pgSz w:w="11900" w:h="16840"/>
          <w:pgMar w:top="1" w:right="486" w:bottom="400" w:left="486" w:header="0" w:footer="0" w:gutter="0"/>
          <w:cols w:space="720" w:num="1"/>
        </w:sectPr>
      </w:pPr>
      <w:r>
        <w:rPr>
          <w:position w:val="-315"/>
        </w:rPr>
        <w:drawing>
          <wp:inline distT="0" distB="0" distL="0" distR="0">
            <wp:extent cx="7393940" cy="1003173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278"/>
                    <a:stretch>
                      <a:fillRect/>
                    </a:stretch>
                  </pic:blipFill>
                  <pic:spPr>
                    <a:xfrm>
                      <a:off x="0" y="0"/>
                      <a:ext cx="7394511" cy="10032124"/>
                    </a:xfrm>
                    <a:prstGeom prst="rect">
                      <a:avLst/>
                    </a:prstGeom>
                  </pic:spPr>
                </pic:pic>
              </a:graphicData>
            </a:graphic>
          </wp:inline>
        </w:drawing>
      </w:r>
    </w:p>
    <w:p w14:paraId="1783CD1E">
      <w:pPr>
        <w:spacing w:line="15798" w:lineRule="exact"/>
      </w:pPr>
      <w:r>
        <w:rPr>
          <w:position w:val="-315"/>
        </w:rPr>
        <w:drawing>
          <wp:inline distT="0" distB="0" distL="0" distR="0">
            <wp:extent cx="6875780" cy="9024620"/>
            <wp:effectExtent l="0" t="0" r="7620" b="508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279"/>
                    <a:stretch>
                      <a:fillRect/>
                    </a:stretch>
                  </pic:blipFill>
                  <pic:spPr>
                    <a:xfrm>
                      <a:off x="0" y="0"/>
                      <a:ext cx="6875780" cy="9024620"/>
                    </a:xfrm>
                    <a:prstGeom prst="rect">
                      <a:avLst/>
                    </a:prstGeom>
                  </pic:spPr>
                </pic:pic>
              </a:graphicData>
            </a:graphic>
          </wp:inline>
        </w:drawing>
      </w:r>
    </w:p>
    <w:p w14:paraId="08C66D85">
      <w:pPr>
        <w:spacing w:line="15798" w:lineRule="exact"/>
        <w:sectPr>
          <w:pgSz w:w="11900" w:h="16840"/>
          <w:pgMar w:top="1" w:right="250" w:bottom="400" w:left="250" w:header="0" w:footer="0" w:gutter="0"/>
          <w:cols w:space="720" w:num="1"/>
        </w:sectPr>
      </w:pPr>
    </w:p>
    <w:p w14:paraId="51DD2E30">
      <w:pPr>
        <w:pStyle w:val="2"/>
        <w:spacing w:line="253" w:lineRule="auto"/>
        <w:rPr>
          <w:sz w:val="21"/>
        </w:rPr>
      </w:pPr>
    </w:p>
    <w:p w14:paraId="09B2D6AD">
      <w:pPr>
        <w:pStyle w:val="2"/>
        <w:spacing w:line="253" w:lineRule="auto"/>
        <w:rPr>
          <w:sz w:val="21"/>
        </w:rPr>
      </w:pPr>
    </w:p>
    <w:p w14:paraId="7C361295">
      <w:pPr>
        <w:pStyle w:val="2"/>
        <w:spacing w:line="253" w:lineRule="auto"/>
        <w:rPr>
          <w:sz w:val="21"/>
        </w:rPr>
      </w:pPr>
    </w:p>
    <w:p w14:paraId="30757168">
      <w:pPr>
        <w:pStyle w:val="2"/>
        <w:spacing w:line="253" w:lineRule="auto"/>
        <w:rPr>
          <w:sz w:val="21"/>
        </w:rPr>
      </w:pPr>
    </w:p>
    <w:p w14:paraId="74C2311F">
      <w:pPr>
        <w:pStyle w:val="2"/>
        <w:spacing w:line="253" w:lineRule="auto"/>
        <w:rPr>
          <w:sz w:val="21"/>
        </w:rPr>
      </w:pPr>
    </w:p>
    <w:p w14:paraId="6F3012C6">
      <w:pPr>
        <w:pStyle w:val="2"/>
        <w:spacing w:line="253" w:lineRule="auto"/>
        <w:rPr>
          <w:sz w:val="21"/>
        </w:rPr>
      </w:pPr>
    </w:p>
    <w:p w14:paraId="6138046F">
      <w:pPr>
        <w:spacing w:before="97" w:line="222" w:lineRule="auto"/>
        <w:ind w:left="3026"/>
        <w:outlineLvl w:val="0"/>
        <w:rPr>
          <w:rFonts w:ascii="黑体" w:hAnsi="黑体" w:eastAsia="黑体" w:cs="黑体"/>
          <w:sz w:val="30"/>
          <w:szCs w:val="30"/>
        </w:rPr>
      </w:pPr>
      <w:r>
        <w:drawing>
          <wp:anchor distT="0" distB="0" distL="0" distR="0" simplePos="0" relativeHeight="251660288" behindDoc="0" locked="0" layoutInCell="1" allowOverlap="1">
            <wp:simplePos x="0" y="0"/>
            <wp:positionH relativeFrom="column">
              <wp:posOffset>683260</wp:posOffset>
            </wp:positionH>
            <wp:positionV relativeFrom="paragraph">
              <wp:posOffset>6056630</wp:posOffset>
            </wp:positionV>
            <wp:extent cx="5065395" cy="18415"/>
            <wp:effectExtent l="0" t="0" r="0" b="0"/>
            <wp:wrapNone/>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280"/>
                    <a:stretch>
                      <a:fillRect/>
                    </a:stretch>
                  </pic:blipFill>
                  <pic:spPr>
                    <a:xfrm>
                      <a:off x="0" y="0"/>
                      <a:ext cx="5065395" cy="18287"/>
                    </a:xfrm>
                    <a:prstGeom prst="rect">
                      <a:avLst/>
                    </a:prstGeom>
                  </pic:spPr>
                </pic:pic>
              </a:graphicData>
            </a:graphic>
          </wp:anchor>
        </w:drawing>
      </w:r>
      <w:r>
        <w:rPr>
          <w:rFonts w:ascii="黑体" w:hAnsi="黑体" w:eastAsia="黑体" w:cs="黑体"/>
          <w:spacing w:val="-2"/>
          <w:sz w:val="30"/>
          <w:szCs w:val="30"/>
        </w:rPr>
        <w:t>一、建设项目基本情况</w:t>
      </w:r>
    </w:p>
    <w:p w14:paraId="4B3F904D">
      <w:pPr>
        <w:spacing w:before="22"/>
      </w:pPr>
    </w:p>
    <w:tbl>
      <w:tblPr>
        <w:tblStyle w:val="5"/>
        <w:tblW w:w="9063"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70"/>
        <w:gridCol w:w="685"/>
        <w:gridCol w:w="1872"/>
        <w:gridCol w:w="645"/>
        <w:gridCol w:w="714"/>
        <w:gridCol w:w="1284"/>
        <w:gridCol w:w="219"/>
        <w:gridCol w:w="1129"/>
        <w:gridCol w:w="1445"/>
      </w:tblGrid>
      <w:tr w14:paraId="05A769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1070" w:type="dxa"/>
            <w:tcBorders>
              <w:top w:val="single" w:color="000000" w:sz="6" w:space="0"/>
              <w:left w:val="single" w:color="000000" w:sz="6" w:space="0"/>
            </w:tcBorders>
            <w:vAlign w:val="top"/>
          </w:tcPr>
          <w:p w14:paraId="2E13C0BF">
            <w:pPr>
              <w:spacing w:before="86" w:line="250" w:lineRule="auto"/>
              <w:ind w:left="330" w:right="117" w:hanging="212"/>
              <w:rPr>
                <w:rFonts w:ascii="仿宋" w:hAnsi="仿宋" w:eastAsia="仿宋" w:cs="仿宋"/>
                <w:sz w:val="20"/>
                <w:szCs w:val="20"/>
              </w:rPr>
            </w:pPr>
            <w:r>
              <w:rPr>
                <w:rFonts w:ascii="仿宋" w:hAnsi="仿宋" w:eastAsia="仿宋" w:cs="仿宋"/>
                <w:spacing w:val="5"/>
                <w:sz w:val="20"/>
                <w:szCs w:val="20"/>
              </w:rPr>
              <w:t>建设项目</w:t>
            </w:r>
            <w:r>
              <w:rPr>
                <w:rFonts w:ascii="仿宋" w:hAnsi="仿宋" w:eastAsia="仿宋" w:cs="仿宋"/>
                <w:spacing w:val="1"/>
                <w:sz w:val="20"/>
                <w:szCs w:val="20"/>
              </w:rPr>
              <w:t>名称</w:t>
            </w:r>
          </w:p>
        </w:tc>
        <w:tc>
          <w:tcPr>
            <w:tcW w:w="7993" w:type="dxa"/>
            <w:gridSpan w:val="8"/>
            <w:tcBorders>
              <w:top w:val="single" w:color="000000" w:sz="6" w:space="0"/>
              <w:right w:val="single" w:color="000000" w:sz="6" w:space="0"/>
            </w:tcBorders>
            <w:vAlign w:val="top"/>
          </w:tcPr>
          <w:p w14:paraId="45092DD3">
            <w:pPr>
              <w:spacing w:before="221" w:line="230" w:lineRule="auto"/>
              <w:ind w:left="1221"/>
              <w:rPr>
                <w:rFonts w:ascii="仿宋" w:hAnsi="仿宋" w:eastAsia="仿宋" w:cs="仿宋"/>
                <w:sz w:val="20"/>
                <w:szCs w:val="20"/>
              </w:rPr>
            </w:pPr>
            <w:r>
              <w:rPr>
                <w:rFonts w:ascii="仿宋" w:hAnsi="仿宋" w:eastAsia="仿宋" w:cs="仿宋"/>
                <w:spacing w:val="10"/>
                <w:sz w:val="20"/>
                <w:szCs w:val="20"/>
              </w:rPr>
              <w:t>准格尔旗2025</w:t>
            </w:r>
            <w:r>
              <w:rPr>
                <w:rFonts w:ascii="仿宋" w:hAnsi="仿宋" w:eastAsia="仿宋" w:cs="仿宋"/>
                <w:spacing w:val="-29"/>
                <w:sz w:val="20"/>
                <w:szCs w:val="20"/>
              </w:rPr>
              <w:t xml:space="preserve"> </w:t>
            </w:r>
            <w:r>
              <w:rPr>
                <w:rFonts w:ascii="仿宋" w:hAnsi="仿宋" w:eastAsia="仿宋" w:cs="仿宋"/>
                <w:spacing w:val="10"/>
                <w:sz w:val="20"/>
                <w:szCs w:val="20"/>
              </w:rPr>
              <w:t>年沙圪堵镇、十二连城乡自然村</w:t>
            </w:r>
            <w:r>
              <w:rPr>
                <w:rFonts w:ascii="仿宋" w:hAnsi="仿宋" w:eastAsia="仿宋" w:cs="仿宋"/>
                <w:spacing w:val="9"/>
                <w:sz w:val="20"/>
                <w:szCs w:val="20"/>
              </w:rPr>
              <w:t>通硬化路工程</w:t>
            </w:r>
          </w:p>
        </w:tc>
      </w:tr>
      <w:tr w14:paraId="4956A9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5" w:hRule="atLeast"/>
        </w:trPr>
        <w:tc>
          <w:tcPr>
            <w:tcW w:w="1070" w:type="dxa"/>
            <w:tcBorders>
              <w:left w:val="single" w:color="000000" w:sz="6" w:space="0"/>
            </w:tcBorders>
            <w:vAlign w:val="top"/>
          </w:tcPr>
          <w:p w14:paraId="52AA0E99">
            <w:pPr>
              <w:spacing w:before="88" w:line="232" w:lineRule="auto"/>
              <w:ind w:left="119"/>
              <w:rPr>
                <w:rFonts w:ascii="仿宋" w:hAnsi="仿宋" w:eastAsia="仿宋" w:cs="仿宋"/>
                <w:sz w:val="20"/>
                <w:szCs w:val="20"/>
              </w:rPr>
            </w:pPr>
            <w:r>
              <w:rPr>
                <w:rFonts w:ascii="仿宋" w:hAnsi="仿宋" w:eastAsia="仿宋" w:cs="仿宋"/>
                <w:spacing w:val="5"/>
                <w:sz w:val="20"/>
                <w:szCs w:val="20"/>
              </w:rPr>
              <w:t>项目代码</w:t>
            </w:r>
          </w:p>
        </w:tc>
        <w:tc>
          <w:tcPr>
            <w:tcW w:w="7993" w:type="dxa"/>
            <w:gridSpan w:val="8"/>
            <w:tcBorders>
              <w:right w:val="single" w:color="000000" w:sz="6" w:space="0"/>
            </w:tcBorders>
            <w:vAlign w:val="top"/>
          </w:tcPr>
          <w:p w14:paraId="52453821">
            <w:pPr>
              <w:spacing w:before="89" w:line="270" w:lineRule="exact"/>
              <w:ind w:left="2736"/>
              <w:rPr>
                <w:rFonts w:ascii="仿宋" w:hAnsi="仿宋" w:eastAsia="仿宋" w:cs="仿宋"/>
                <w:sz w:val="20"/>
                <w:szCs w:val="20"/>
              </w:rPr>
            </w:pPr>
            <w:r>
              <w:rPr>
                <w:rFonts w:ascii="仿宋" w:hAnsi="仿宋" w:eastAsia="仿宋" w:cs="仿宋"/>
                <w:spacing w:val="4"/>
                <w:position w:val="1"/>
                <w:sz w:val="20"/>
                <w:szCs w:val="20"/>
              </w:rPr>
              <w:t>2410-150622-04-01-768319</w:t>
            </w:r>
          </w:p>
        </w:tc>
      </w:tr>
      <w:tr w14:paraId="7B946A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1070" w:type="dxa"/>
            <w:tcBorders>
              <w:left w:val="single" w:color="000000" w:sz="6" w:space="0"/>
            </w:tcBorders>
            <w:vAlign w:val="top"/>
          </w:tcPr>
          <w:p w14:paraId="1FD086EE">
            <w:pPr>
              <w:spacing w:before="50" w:line="233" w:lineRule="auto"/>
              <w:ind w:left="221" w:right="117" w:hanging="103"/>
              <w:rPr>
                <w:rFonts w:ascii="仿宋" w:hAnsi="仿宋" w:eastAsia="仿宋" w:cs="仿宋"/>
                <w:sz w:val="20"/>
                <w:szCs w:val="20"/>
              </w:rPr>
            </w:pPr>
            <w:r>
              <w:rPr>
                <w:rFonts w:ascii="仿宋" w:hAnsi="仿宋" w:eastAsia="仿宋" w:cs="仿宋"/>
                <w:spacing w:val="5"/>
                <w:sz w:val="20"/>
                <w:szCs w:val="20"/>
              </w:rPr>
              <w:t>建设单位联系人</w:t>
            </w:r>
          </w:p>
        </w:tc>
        <w:tc>
          <w:tcPr>
            <w:tcW w:w="3202" w:type="dxa"/>
            <w:gridSpan w:val="3"/>
            <w:vAlign w:val="top"/>
          </w:tcPr>
          <w:p w14:paraId="40A55B8C">
            <w:pPr>
              <w:spacing w:before="184" w:line="232" w:lineRule="auto"/>
              <w:ind w:left="1292"/>
              <w:rPr>
                <w:rFonts w:ascii="仿宋" w:hAnsi="仿宋" w:eastAsia="仿宋" w:cs="仿宋"/>
                <w:sz w:val="20"/>
                <w:szCs w:val="20"/>
              </w:rPr>
            </w:pPr>
            <w:r>
              <w:rPr>
                <w:rFonts w:ascii="仿宋" w:hAnsi="仿宋" w:eastAsia="仿宋" w:cs="仿宋"/>
                <w:spacing w:val="5"/>
                <w:sz w:val="20"/>
                <w:szCs w:val="20"/>
              </w:rPr>
              <w:t>徐嘉诚</w:t>
            </w:r>
          </w:p>
        </w:tc>
        <w:tc>
          <w:tcPr>
            <w:tcW w:w="2217" w:type="dxa"/>
            <w:gridSpan w:val="3"/>
            <w:vAlign w:val="top"/>
          </w:tcPr>
          <w:p w14:paraId="136BF3A2">
            <w:pPr>
              <w:spacing w:before="184" w:line="232" w:lineRule="auto"/>
              <w:ind w:left="702"/>
              <w:rPr>
                <w:rFonts w:ascii="仿宋" w:hAnsi="仿宋" w:eastAsia="仿宋" w:cs="仿宋"/>
                <w:sz w:val="20"/>
                <w:szCs w:val="20"/>
              </w:rPr>
            </w:pPr>
            <w:r>
              <w:rPr>
                <w:rFonts w:ascii="仿宋" w:hAnsi="仿宋" w:eastAsia="仿宋" w:cs="仿宋"/>
                <w:spacing w:val="6"/>
                <w:sz w:val="20"/>
                <w:szCs w:val="20"/>
              </w:rPr>
              <w:t>联系方式</w:t>
            </w:r>
          </w:p>
        </w:tc>
        <w:tc>
          <w:tcPr>
            <w:tcW w:w="2574" w:type="dxa"/>
            <w:gridSpan w:val="2"/>
            <w:tcBorders>
              <w:right w:val="single" w:color="000000" w:sz="6" w:space="0"/>
            </w:tcBorders>
            <w:vAlign w:val="top"/>
          </w:tcPr>
          <w:p w14:paraId="022C8C88">
            <w:pPr>
              <w:spacing w:before="184" w:line="271" w:lineRule="exact"/>
              <w:ind w:left="731"/>
              <w:rPr>
                <w:rFonts w:ascii="仿宋" w:hAnsi="仿宋" w:eastAsia="仿宋" w:cs="仿宋"/>
                <w:sz w:val="20"/>
                <w:szCs w:val="20"/>
              </w:rPr>
            </w:pPr>
            <w:r>
              <w:rPr>
                <w:rFonts w:ascii="仿宋" w:hAnsi="仿宋" w:eastAsia="仿宋" w:cs="仿宋"/>
                <w:spacing w:val="2"/>
                <w:position w:val="1"/>
                <w:sz w:val="20"/>
                <w:szCs w:val="20"/>
              </w:rPr>
              <w:t>15750652095</w:t>
            </w:r>
          </w:p>
        </w:tc>
      </w:tr>
      <w:tr w14:paraId="4EE400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2" w:hRule="atLeast"/>
        </w:trPr>
        <w:tc>
          <w:tcPr>
            <w:tcW w:w="1070" w:type="dxa"/>
            <w:tcBorders>
              <w:left w:val="single" w:color="000000" w:sz="6" w:space="0"/>
            </w:tcBorders>
            <w:vAlign w:val="top"/>
          </w:tcPr>
          <w:p w14:paraId="46BE2B61">
            <w:pPr>
              <w:spacing w:before="92" w:line="232" w:lineRule="auto"/>
              <w:ind w:left="119"/>
              <w:rPr>
                <w:rFonts w:ascii="仿宋" w:hAnsi="仿宋" w:eastAsia="仿宋" w:cs="仿宋"/>
                <w:sz w:val="20"/>
                <w:szCs w:val="20"/>
              </w:rPr>
            </w:pPr>
            <w:r>
              <w:rPr>
                <w:rFonts w:ascii="仿宋" w:hAnsi="仿宋" w:eastAsia="仿宋" w:cs="仿宋"/>
                <w:spacing w:val="5"/>
                <w:sz w:val="20"/>
                <w:szCs w:val="20"/>
              </w:rPr>
              <w:t>建设地点</w:t>
            </w:r>
          </w:p>
        </w:tc>
        <w:tc>
          <w:tcPr>
            <w:tcW w:w="7993" w:type="dxa"/>
            <w:gridSpan w:val="8"/>
            <w:tcBorders>
              <w:right w:val="single" w:color="000000" w:sz="6" w:space="0"/>
            </w:tcBorders>
            <w:vAlign w:val="top"/>
          </w:tcPr>
          <w:p w14:paraId="0672B066">
            <w:pPr>
              <w:spacing w:before="92" w:line="229" w:lineRule="auto"/>
              <w:ind w:left="1085"/>
              <w:rPr>
                <w:rFonts w:ascii="仿宋" w:hAnsi="仿宋" w:eastAsia="仿宋" w:cs="仿宋"/>
                <w:sz w:val="20"/>
                <w:szCs w:val="20"/>
              </w:rPr>
            </w:pPr>
            <w:r>
              <w:rPr>
                <w:rFonts w:ascii="仿宋" w:hAnsi="仿宋" w:eastAsia="仿宋" w:cs="仿宋"/>
                <w:spacing w:val="8"/>
                <w:sz w:val="20"/>
                <w:szCs w:val="20"/>
              </w:rPr>
              <w:t>内蒙古自治区鄂尔多斯市准格尔旗沙圪堵镇、十二连城乡辖区内</w:t>
            </w:r>
          </w:p>
        </w:tc>
      </w:tr>
      <w:tr w14:paraId="23C489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 w:hRule="atLeast"/>
        </w:trPr>
        <w:tc>
          <w:tcPr>
            <w:tcW w:w="1070" w:type="dxa"/>
            <w:vMerge w:val="restart"/>
            <w:tcBorders>
              <w:left w:val="single" w:color="000000" w:sz="6" w:space="0"/>
              <w:bottom w:val="nil"/>
            </w:tcBorders>
            <w:vAlign w:val="top"/>
          </w:tcPr>
          <w:p w14:paraId="047ABB95">
            <w:pPr>
              <w:spacing w:line="249" w:lineRule="auto"/>
              <w:rPr>
                <w:rFonts w:ascii="Arial"/>
                <w:sz w:val="21"/>
              </w:rPr>
            </w:pPr>
          </w:p>
          <w:p w14:paraId="635F8062">
            <w:pPr>
              <w:spacing w:line="249" w:lineRule="auto"/>
              <w:rPr>
                <w:rFonts w:ascii="Arial"/>
                <w:sz w:val="21"/>
              </w:rPr>
            </w:pPr>
          </w:p>
          <w:p w14:paraId="7259A28C">
            <w:pPr>
              <w:spacing w:line="249" w:lineRule="auto"/>
              <w:rPr>
                <w:rFonts w:ascii="Arial"/>
                <w:sz w:val="21"/>
              </w:rPr>
            </w:pPr>
          </w:p>
          <w:p w14:paraId="4CDA776F">
            <w:pPr>
              <w:spacing w:line="249" w:lineRule="auto"/>
              <w:rPr>
                <w:rFonts w:ascii="Arial"/>
                <w:sz w:val="21"/>
              </w:rPr>
            </w:pPr>
          </w:p>
          <w:p w14:paraId="2CFAF2DD">
            <w:pPr>
              <w:spacing w:line="250" w:lineRule="auto"/>
              <w:rPr>
                <w:rFonts w:ascii="Arial"/>
                <w:sz w:val="21"/>
              </w:rPr>
            </w:pPr>
          </w:p>
          <w:p w14:paraId="3360A033">
            <w:pPr>
              <w:spacing w:line="250" w:lineRule="auto"/>
              <w:rPr>
                <w:rFonts w:ascii="Arial"/>
                <w:sz w:val="21"/>
              </w:rPr>
            </w:pPr>
          </w:p>
          <w:p w14:paraId="20ED11F5">
            <w:pPr>
              <w:spacing w:line="250" w:lineRule="auto"/>
              <w:rPr>
                <w:rFonts w:ascii="Arial"/>
                <w:sz w:val="21"/>
              </w:rPr>
            </w:pPr>
          </w:p>
          <w:p w14:paraId="53B53E21">
            <w:pPr>
              <w:spacing w:line="250" w:lineRule="auto"/>
              <w:rPr>
                <w:rFonts w:ascii="Arial"/>
                <w:sz w:val="21"/>
              </w:rPr>
            </w:pPr>
          </w:p>
          <w:p w14:paraId="67820E69">
            <w:pPr>
              <w:spacing w:line="250" w:lineRule="auto"/>
              <w:rPr>
                <w:rFonts w:ascii="Arial"/>
                <w:sz w:val="21"/>
              </w:rPr>
            </w:pPr>
          </w:p>
          <w:p w14:paraId="30AA4545">
            <w:pPr>
              <w:spacing w:line="250" w:lineRule="auto"/>
              <w:rPr>
                <w:rFonts w:ascii="Arial"/>
                <w:sz w:val="21"/>
              </w:rPr>
            </w:pPr>
          </w:p>
          <w:p w14:paraId="3EF24572">
            <w:pPr>
              <w:spacing w:line="250" w:lineRule="auto"/>
              <w:rPr>
                <w:rFonts w:ascii="Arial"/>
                <w:sz w:val="21"/>
              </w:rPr>
            </w:pPr>
          </w:p>
          <w:p w14:paraId="5B5BBDF8">
            <w:pPr>
              <w:spacing w:line="250" w:lineRule="auto"/>
              <w:rPr>
                <w:rFonts w:ascii="Arial"/>
                <w:sz w:val="21"/>
              </w:rPr>
            </w:pPr>
          </w:p>
          <w:p w14:paraId="6A4BD7A3">
            <w:pPr>
              <w:spacing w:line="250" w:lineRule="auto"/>
              <w:rPr>
                <w:rFonts w:ascii="Arial"/>
                <w:sz w:val="21"/>
              </w:rPr>
            </w:pPr>
          </w:p>
          <w:p w14:paraId="35CF5A1F">
            <w:pPr>
              <w:spacing w:before="65" w:line="231" w:lineRule="auto"/>
              <w:ind w:left="119"/>
              <w:rPr>
                <w:rFonts w:ascii="仿宋" w:hAnsi="仿宋" w:eastAsia="仿宋" w:cs="仿宋"/>
                <w:sz w:val="20"/>
                <w:szCs w:val="20"/>
              </w:rPr>
            </w:pPr>
            <w:r>
              <w:rPr>
                <w:rFonts w:ascii="仿宋" w:hAnsi="仿宋" w:eastAsia="仿宋" w:cs="仿宋"/>
                <w:spacing w:val="5"/>
                <w:sz w:val="20"/>
                <w:szCs w:val="20"/>
              </w:rPr>
              <w:t>地理坐标</w:t>
            </w:r>
          </w:p>
        </w:tc>
        <w:tc>
          <w:tcPr>
            <w:tcW w:w="7993" w:type="dxa"/>
            <w:gridSpan w:val="8"/>
            <w:tcBorders>
              <w:bottom w:val="single" w:color="000000" w:sz="10" w:space="0"/>
              <w:right w:val="single" w:color="000000" w:sz="6" w:space="0"/>
            </w:tcBorders>
            <w:vAlign w:val="top"/>
          </w:tcPr>
          <w:p w14:paraId="06D0FB35">
            <w:pPr>
              <w:spacing w:before="50" w:line="222" w:lineRule="auto"/>
              <w:ind w:left="2578"/>
              <w:rPr>
                <w:rFonts w:ascii="仿宋" w:hAnsi="仿宋" w:eastAsia="仿宋" w:cs="仿宋"/>
                <w:sz w:val="20"/>
                <w:szCs w:val="20"/>
              </w:rPr>
            </w:pPr>
            <w:r>
              <w:rPr>
                <w:rFonts w:ascii="仿宋" w:hAnsi="仿宋" w:eastAsia="仿宋" w:cs="仿宋"/>
                <w:b/>
                <w:bCs/>
                <w:spacing w:val="5"/>
                <w:sz w:val="20"/>
                <w:szCs w:val="20"/>
              </w:rPr>
              <w:t>表1-1</w:t>
            </w:r>
            <w:r>
              <w:rPr>
                <w:rFonts w:ascii="仿宋" w:hAnsi="仿宋" w:eastAsia="仿宋" w:cs="仿宋"/>
                <w:spacing w:val="5"/>
                <w:sz w:val="20"/>
                <w:szCs w:val="20"/>
              </w:rPr>
              <w:t xml:space="preserve">    </w:t>
            </w:r>
            <w:r>
              <w:rPr>
                <w:rFonts w:ascii="仿宋" w:hAnsi="仿宋" w:eastAsia="仿宋" w:cs="仿宋"/>
                <w:b/>
                <w:bCs/>
                <w:spacing w:val="5"/>
                <w:sz w:val="20"/>
                <w:szCs w:val="20"/>
              </w:rPr>
              <w:t>各段公路起讫点坐标</w:t>
            </w:r>
          </w:p>
        </w:tc>
      </w:tr>
      <w:tr w14:paraId="3AE2BC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9" w:hRule="atLeast"/>
        </w:trPr>
        <w:tc>
          <w:tcPr>
            <w:tcW w:w="1070" w:type="dxa"/>
            <w:vMerge w:val="continue"/>
            <w:tcBorders>
              <w:top w:val="nil"/>
              <w:left w:val="single" w:color="000000" w:sz="6" w:space="0"/>
              <w:bottom w:val="nil"/>
            </w:tcBorders>
            <w:vAlign w:val="top"/>
          </w:tcPr>
          <w:p w14:paraId="6D9ABDC0">
            <w:pPr>
              <w:rPr>
                <w:rFonts w:ascii="Arial"/>
                <w:sz w:val="21"/>
              </w:rPr>
            </w:pPr>
          </w:p>
        </w:tc>
        <w:tc>
          <w:tcPr>
            <w:tcW w:w="2557" w:type="dxa"/>
            <w:gridSpan w:val="2"/>
            <w:tcBorders>
              <w:top w:val="single" w:color="000000" w:sz="10" w:space="0"/>
            </w:tcBorders>
            <w:vAlign w:val="top"/>
          </w:tcPr>
          <w:p w14:paraId="24CFBF60">
            <w:pPr>
              <w:spacing w:before="23" w:line="201" w:lineRule="auto"/>
              <w:ind w:left="1107"/>
              <w:rPr>
                <w:rFonts w:ascii="仿宋" w:hAnsi="仿宋" w:eastAsia="仿宋" w:cs="仿宋"/>
                <w:sz w:val="18"/>
                <w:szCs w:val="18"/>
              </w:rPr>
            </w:pPr>
            <w:r>
              <w:rPr>
                <w:rFonts w:ascii="仿宋" w:hAnsi="仿宋" w:eastAsia="仿宋" w:cs="仿宋"/>
                <w:spacing w:val="-7"/>
                <w:sz w:val="18"/>
                <w:szCs w:val="18"/>
              </w:rPr>
              <w:t>名称</w:t>
            </w:r>
          </w:p>
        </w:tc>
        <w:tc>
          <w:tcPr>
            <w:tcW w:w="2643" w:type="dxa"/>
            <w:gridSpan w:val="3"/>
            <w:tcBorders>
              <w:top w:val="single" w:color="000000" w:sz="10" w:space="0"/>
            </w:tcBorders>
            <w:vAlign w:val="top"/>
          </w:tcPr>
          <w:p w14:paraId="28CC5D15">
            <w:pPr>
              <w:spacing w:before="23" w:line="201" w:lineRule="auto"/>
              <w:ind w:left="1151"/>
              <w:rPr>
                <w:rFonts w:ascii="仿宋" w:hAnsi="仿宋" w:eastAsia="仿宋" w:cs="仿宋"/>
                <w:sz w:val="18"/>
                <w:szCs w:val="18"/>
              </w:rPr>
            </w:pPr>
            <w:r>
              <w:rPr>
                <w:rFonts w:ascii="仿宋" w:hAnsi="仿宋" w:eastAsia="仿宋" w:cs="仿宋"/>
                <w:spacing w:val="-7"/>
                <w:sz w:val="18"/>
                <w:szCs w:val="18"/>
              </w:rPr>
              <w:t>起点</w:t>
            </w:r>
          </w:p>
        </w:tc>
        <w:tc>
          <w:tcPr>
            <w:tcW w:w="2793" w:type="dxa"/>
            <w:gridSpan w:val="3"/>
            <w:tcBorders>
              <w:top w:val="single" w:color="000000" w:sz="10" w:space="0"/>
              <w:right w:val="single" w:color="000000" w:sz="6" w:space="0"/>
            </w:tcBorders>
            <w:vAlign w:val="top"/>
          </w:tcPr>
          <w:p w14:paraId="4DA58140">
            <w:pPr>
              <w:spacing w:before="23" w:line="201" w:lineRule="auto"/>
              <w:ind w:left="1218"/>
              <w:rPr>
                <w:rFonts w:ascii="仿宋" w:hAnsi="仿宋" w:eastAsia="仿宋" w:cs="仿宋"/>
                <w:sz w:val="18"/>
                <w:szCs w:val="18"/>
              </w:rPr>
            </w:pPr>
            <w:r>
              <w:rPr>
                <w:rFonts w:ascii="仿宋" w:hAnsi="仿宋" w:eastAsia="仿宋" w:cs="仿宋"/>
                <w:spacing w:val="-7"/>
                <w:sz w:val="18"/>
                <w:szCs w:val="18"/>
              </w:rPr>
              <w:t>终点</w:t>
            </w:r>
          </w:p>
        </w:tc>
      </w:tr>
      <w:tr w14:paraId="587B06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1070" w:type="dxa"/>
            <w:vMerge w:val="continue"/>
            <w:tcBorders>
              <w:top w:val="nil"/>
              <w:left w:val="single" w:color="000000" w:sz="6" w:space="0"/>
              <w:bottom w:val="nil"/>
            </w:tcBorders>
            <w:vAlign w:val="top"/>
          </w:tcPr>
          <w:p w14:paraId="2F30337C">
            <w:pPr>
              <w:rPr>
                <w:rFonts w:ascii="Arial"/>
                <w:sz w:val="21"/>
              </w:rPr>
            </w:pPr>
          </w:p>
        </w:tc>
        <w:tc>
          <w:tcPr>
            <w:tcW w:w="7993" w:type="dxa"/>
            <w:gridSpan w:val="8"/>
            <w:tcBorders>
              <w:right w:val="single" w:color="000000" w:sz="6" w:space="0"/>
            </w:tcBorders>
            <w:vAlign w:val="top"/>
          </w:tcPr>
          <w:p w14:paraId="174D6530">
            <w:pPr>
              <w:spacing w:before="32" w:line="201" w:lineRule="auto"/>
              <w:ind w:left="3638"/>
              <w:rPr>
                <w:rFonts w:ascii="仿宋" w:hAnsi="仿宋" w:eastAsia="仿宋" w:cs="仿宋"/>
                <w:sz w:val="18"/>
                <w:szCs w:val="18"/>
              </w:rPr>
            </w:pPr>
            <w:r>
              <w:rPr>
                <w:rFonts w:ascii="仿宋" w:hAnsi="仿宋" w:eastAsia="仿宋" w:cs="仿宋"/>
                <w:spacing w:val="-4"/>
                <w:sz w:val="18"/>
                <w:szCs w:val="18"/>
              </w:rPr>
              <w:t>沙圪堵镇</w:t>
            </w:r>
          </w:p>
        </w:tc>
      </w:tr>
      <w:tr w14:paraId="794BB6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1070" w:type="dxa"/>
            <w:vMerge w:val="continue"/>
            <w:tcBorders>
              <w:top w:val="nil"/>
              <w:left w:val="single" w:color="000000" w:sz="6" w:space="0"/>
              <w:bottom w:val="nil"/>
            </w:tcBorders>
            <w:vAlign w:val="top"/>
          </w:tcPr>
          <w:p w14:paraId="154101A3">
            <w:pPr>
              <w:rPr>
                <w:rFonts w:ascii="Arial"/>
                <w:sz w:val="21"/>
              </w:rPr>
            </w:pPr>
          </w:p>
        </w:tc>
        <w:tc>
          <w:tcPr>
            <w:tcW w:w="685" w:type="dxa"/>
            <w:vMerge w:val="restart"/>
            <w:tcBorders>
              <w:bottom w:val="nil"/>
            </w:tcBorders>
            <w:vAlign w:val="top"/>
          </w:tcPr>
          <w:p w14:paraId="1FC734DD">
            <w:pPr>
              <w:spacing w:before="177" w:line="223" w:lineRule="auto"/>
              <w:ind w:left="172"/>
              <w:rPr>
                <w:rFonts w:ascii="仿宋" w:hAnsi="仿宋" w:eastAsia="仿宋" w:cs="仿宋"/>
                <w:sz w:val="18"/>
                <w:szCs w:val="18"/>
              </w:rPr>
            </w:pPr>
            <w:r>
              <w:rPr>
                <w:rFonts w:ascii="仿宋" w:hAnsi="仿宋" w:eastAsia="仿宋" w:cs="仿宋"/>
                <w:spacing w:val="-9"/>
                <w:sz w:val="18"/>
                <w:szCs w:val="18"/>
              </w:rPr>
              <w:t>李家</w:t>
            </w:r>
          </w:p>
          <w:p w14:paraId="494E581A">
            <w:pPr>
              <w:spacing w:before="15" w:line="223" w:lineRule="auto"/>
              <w:ind w:left="170"/>
              <w:rPr>
                <w:rFonts w:ascii="仿宋" w:hAnsi="仿宋" w:eastAsia="仿宋" w:cs="仿宋"/>
                <w:sz w:val="18"/>
                <w:szCs w:val="18"/>
              </w:rPr>
            </w:pPr>
            <w:r>
              <w:rPr>
                <w:rFonts w:ascii="仿宋" w:hAnsi="仿宋" w:eastAsia="仿宋" w:cs="仿宋"/>
                <w:spacing w:val="-8"/>
                <w:sz w:val="18"/>
                <w:szCs w:val="18"/>
              </w:rPr>
              <w:t>圪堵</w:t>
            </w:r>
          </w:p>
          <w:p w14:paraId="445B9DBC">
            <w:pPr>
              <w:spacing w:before="15" w:line="233" w:lineRule="auto"/>
              <w:ind w:left="173"/>
              <w:rPr>
                <w:rFonts w:ascii="仿宋" w:hAnsi="仿宋" w:eastAsia="仿宋" w:cs="仿宋"/>
                <w:sz w:val="18"/>
                <w:szCs w:val="18"/>
              </w:rPr>
            </w:pPr>
            <w:r>
              <w:rPr>
                <w:rFonts w:ascii="仿宋" w:hAnsi="仿宋" w:eastAsia="仿宋" w:cs="仿宋"/>
                <w:spacing w:val="-9"/>
                <w:sz w:val="18"/>
                <w:szCs w:val="18"/>
              </w:rPr>
              <w:t>至土</w:t>
            </w:r>
          </w:p>
          <w:p w14:paraId="110732F5">
            <w:pPr>
              <w:spacing w:before="8" w:line="224" w:lineRule="auto"/>
              <w:ind w:left="166"/>
              <w:rPr>
                <w:rFonts w:ascii="仿宋" w:hAnsi="仿宋" w:eastAsia="仿宋" w:cs="仿宋"/>
                <w:sz w:val="18"/>
                <w:szCs w:val="18"/>
              </w:rPr>
            </w:pPr>
            <w:r>
              <w:rPr>
                <w:rFonts w:ascii="仿宋" w:hAnsi="仿宋" w:eastAsia="仿宋" w:cs="仿宋"/>
                <w:spacing w:val="-6"/>
                <w:sz w:val="18"/>
                <w:szCs w:val="18"/>
              </w:rPr>
              <w:t>敖包</w:t>
            </w:r>
          </w:p>
          <w:p w14:paraId="6301E810">
            <w:pPr>
              <w:spacing w:before="13" w:line="222" w:lineRule="auto"/>
              <w:ind w:left="171"/>
              <w:rPr>
                <w:rFonts w:ascii="仿宋" w:hAnsi="仿宋" w:eastAsia="仿宋" w:cs="仿宋"/>
                <w:sz w:val="18"/>
                <w:szCs w:val="18"/>
              </w:rPr>
            </w:pPr>
            <w:r>
              <w:rPr>
                <w:rFonts w:ascii="仿宋" w:hAnsi="仿宋" w:eastAsia="仿宋" w:cs="仿宋"/>
                <w:spacing w:val="-8"/>
                <w:sz w:val="18"/>
                <w:szCs w:val="18"/>
              </w:rPr>
              <w:t>通村</w:t>
            </w:r>
          </w:p>
          <w:p w14:paraId="79E7B89D">
            <w:pPr>
              <w:spacing w:before="19" w:line="223" w:lineRule="auto"/>
              <w:ind w:left="171"/>
              <w:rPr>
                <w:rFonts w:ascii="仿宋" w:hAnsi="仿宋" w:eastAsia="仿宋" w:cs="仿宋"/>
                <w:sz w:val="18"/>
                <w:szCs w:val="18"/>
              </w:rPr>
            </w:pPr>
            <w:r>
              <w:rPr>
                <w:rFonts w:ascii="仿宋" w:hAnsi="仿宋" w:eastAsia="仿宋" w:cs="仿宋"/>
                <w:spacing w:val="-8"/>
                <w:sz w:val="18"/>
                <w:szCs w:val="18"/>
              </w:rPr>
              <w:t>公路</w:t>
            </w:r>
          </w:p>
        </w:tc>
        <w:tc>
          <w:tcPr>
            <w:tcW w:w="1872" w:type="dxa"/>
            <w:vAlign w:val="top"/>
          </w:tcPr>
          <w:p w14:paraId="3DA6CC6D">
            <w:pPr>
              <w:spacing w:before="31" w:line="203" w:lineRule="auto"/>
              <w:ind w:left="669"/>
              <w:rPr>
                <w:rFonts w:ascii="仿宋" w:hAnsi="仿宋" w:eastAsia="仿宋" w:cs="仿宋"/>
                <w:sz w:val="18"/>
                <w:szCs w:val="18"/>
              </w:rPr>
            </w:pPr>
            <w:r>
              <w:rPr>
                <w:rFonts w:ascii="仿宋" w:hAnsi="仿宋" w:eastAsia="仿宋" w:cs="仿宋"/>
                <w:spacing w:val="1"/>
                <w:sz w:val="18"/>
                <w:szCs w:val="18"/>
              </w:rPr>
              <w:t>路段一</w:t>
            </w:r>
          </w:p>
        </w:tc>
        <w:tc>
          <w:tcPr>
            <w:tcW w:w="1359" w:type="dxa"/>
            <w:gridSpan w:val="2"/>
            <w:vAlign w:val="top"/>
          </w:tcPr>
          <w:p w14:paraId="23C9F191">
            <w:pPr>
              <w:pStyle w:val="6"/>
              <w:spacing w:before="62" w:line="188" w:lineRule="auto"/>
              <w:ind w:left="135"/>
            </w:pPr>
            <w:r>
              <w:rPr>
                <w:spacing w:val="-2"/>
              </w:rPr>
              <w:t>110°52'39.681"</w:t>
            </w:r>
          </w:p>
        </w:tc>
        <w:tc>
          <w:tcPr>
            <w:tcW w:w="1284" w:type="dxa"/>
            <w:vAlign w:val="top"/>
          </w:tcPr>
          <w:p w14:paraId="297383FF">
            <w:pPr>
              <w:pStyle w:val="6"/>
              <w:spacing w:before="62" w:line="188" w:lineRule="auto"/>
              <w:ind w:left="130"/>
            </w:pPr>
            <w:r>
              <w:rPr>
                <w:spacing w:val="-1"/>
              </w:rPr>
              <w:t>39°34'38.730"</w:t>
            </w:r>
          </w:p>
        </w:tc>
        <w:tc>
          <w:tcPr>
            <w:tcW w:w="1348" w:type="dxa"/>
            <w:gridSpan w:val="2"/>
            <w:vAlign w:val="top"/>
          </w:tcPr>
          <w:p w14:paraId="79BEFBAD">
            <w:pPr>
              <w:pStyle w:val="6"/>
              <w:spacing w:before="62" w:line="188" w:lineRule="auto"/>
              <w:ind w:left="134"/>
            </w:pPr>
            <w:r>
              <w:rPr>
                <w:spacing w:val="-2"/>
              </w:rPr>
              <w:t>110°52'44.084"</w:t>
            </w:r>
          </w:p>
        </w:tc>
        <w:tc>
          <w:tcPr>
            <w:tcW w:w="1445" w:type="dxa"/>
            <w:tcBorders>
              <w:right w:val="single" w:color="000000" w:sz="6" w:space="0"/>
            </w:tcBorders>
            <w:vAlign w:val="top"/>
          </w:tcPr>
          <w:p w14:paraId="1EEB065A">
            <w:pPr>
              <w:pStyle w:val="6"/>
              <w:spacing w:before="62" w:line="188" w:lineRule="auto"/>
              <w:ind w:left="205"/>
            </w:pPr>
            <w:r>
              <w:rPr>
                <w:spacing w:val="-1"/>
              </w:rPr>
              <w:t>39°34'34.409"</w:t>
            </w:r>
          </w:p>
        </w:tc>
      </w:tr>
      <w:tr w14:paraId="3D535F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1070" w:type="dxa"/>
            <w:vMerge w:val="continue"/>
            <w:tcBorders>
              <w:top w:val="nil"/>
              <w:left w:val="single" w:color="000000" w:sz="6" w:space="0"/>
              <w:bottom w:val="nil"/>
            </w:tcBorders>
            <w:vAlign w:val="top"/>
          </w:tcPr>
          <w:p w14:paraId="764902C0">
            <w:pPr>
              <w:rPr>
                <w:rFonts w:ascii="Arial"/>
                <w:sz w:val="21"/>
              </w:rPr>
            </w:pPr>
          </w:p>
        </w:tc>
        <w:tc>
          <w:tcPr>
            <w:tcW w:w="685" w:type="dxa"/>
            <w:vMerge w:val="continue"/>
            <w:tcBorders>
              <w:top w:val="nil"/>
              <w:bottom w:val="nil"/>
            </w:tcBorders>
            <w:vAlign w:val="top"/>
          </w:tcPr>
          <w:p w14:paraId="2C527E09">
            <w:pPr>
              <w:rPr>
                <w:rFonts w:ascii="Arial"/>
                <w:sz w:val="21"/>
              </w:rPr>
            </w:pPr>
          </w:p>
        </w:tc>
        <w:tc>
          <w:tcPr>
            <w:tcW w:w="1872" w:type="dxa"/>
            <w:vAlign w:val="top"/>
          </w:tcPr>
          <w:p w14:paraId="78F340E8">
            <w:pPr>
              <w:spacing w:before="32" w:line="201" w:lineRule="auto"/>
              <w:ind w:left="669"/>
              <w:rPr>
                <w:rFonts w:ascii="仿宋" w:hAnsi="仿宋" w:eastAsia="仿宋" w:cs="仿宋"/>
                <w:sz w:val="18"/>
                <w:szCs w:val="18"/>
              </w:rPr>
            </w:pPr>
            <w:r>
              <w:rPr>
                <w:rFonts w:ascii="仿宋" w:hAnsi="仿宋" w:eastAsia="仿宋" w:cs="仿宋"/>
                <w:spacing w:val="-4"/>
                <w:sz w:val="18"/>
                <w:szCs w:val="18"/>
              </w:rPr>
              <w:t>路段二</w:t>
            </w:r>
          </w:p>
        </w:tc>
        <w:tc>
          <w:tcPr>
            <w:tcW w:w="1359" w:type="dxa"/>
            <w:gridSpan w:val="2"/>
            <w:vAlign w:val="top"/>
          </w:tcPr>
          <w:p w14:paraId="62BED246">
            <w:pPr>
              <w:pStyle w:val="6"/>
              <w:spacing w:before="60" w:line="188" w:lineRule="auto"/>
              <w:ind w:left="135"/>
            </w:pPr>
            <w:r>
              <w:rPr>
                <w:spacing w:val="-2"/>
              </w:rPr>
              <w:t>110°52'37.958"</w:t>
            </w:r>
          </w:p>
        </w:tc>
        <w:tc>
          <w:tcPr>
            <w:tcW w:w="1284" w:type="dxa"/>
            <w:vAlign w:val="top"/>
          </w:tcPr>
          <w:p w14:paraId="4B40035C">
            <w:pPr>
              <w:pStyle w:val="6"/>
              <w:spacing w:before="60" w:line="188" w:lineRule="auto"/>
              <w:ind w:left="130"/>
            </w:pPr>
            <w:r>
              <w:rPr>
                <w:spacing w:val="-1"/>
              </w:rPr>
              <w:t>39°34'29.239"</w:t>
            </w:r>
          </w:p>
        </w:tc>
        <w:tc>
          <w:tcPr>
            <w:tcW w:w="1348" w:type="dxa"/>
            <w:gridSpan w:val="2"/>
            <w:vAlign w:val="top"/>
          </w:tcPr>
          <w:p w14:paraId="5B9E920C">
            <w:pPr>
              <w:pStyle w:val="6"/>
              <w:spacing w:before="60" w:line="188" w:lineRule="auto"/>
              <w:ind w:left="134"/>
            </w:pPr>
            <w:r>
              <w:rPr>
                <w:spacing w:val="-4"/>
              </w:rPr>
              <w:t>110°52'40.</w:t>
            </w:r>
            <w:r>
              <w:rPr>
                <w:spacing w:val="-11"/>
              </w:rPr>
              <w:t xml:space="preserve"> </w:t>
            </w:r>
            <w:r>
              <w:rPr>
                <w:spacing w:val="-4"/>
              </w:rPr>
              <w:t>121"</w:t>
            </w:r>
          </w:p>
        </w:tc>
        <w:tc>
          <w:tcPr>
            <w:tcW w:w="1445" w:type="dxa"/>
            <w:tcBorders>
              <w:right w:val="single" w:color="000000" w:sz="6" w:space="0"/>
            </w:tcBorders>
            <w:vAlign w:val="top"/>
          </w:tcPr>
          <w:p w14:paraId="23562BA4">
            <w:pPr>
              <w:pStyle w:val="6"/>
              <w:spacing w:before="60" w:line="188" w:lineRule="auto"/>
              <w:ind w:left="205"/>
            </w:pPr>
            <w:r>
              <w:rPr>
                <w:spacing w:val="-3"/>
              </w:rPr>
              <w:t>39°34'</w:t>
            </w:r>
            <w:r>
              <w:rPr>
                <w:spacing w:val="-16"/>
              </w:rPr>
              <w:t xml:space="preserve"> </w:t>
            </w:r>
            <w:r>
              <w:rPr>
                <w:spacing w:val="-3"/>
              </w:rPr>
              <w:t>19.993"</w:t>
            </w:r>
          </w:p>
        </w:tc>
      </w:tr>
      <w:tr w14:paraId="02BAB8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1070" w:type="dxa"/>
            <w:vMerge w:val="continue"/>
            <w:tcBorders>
              <w:top w:val="nil"/>
              <w:left w:val="single" w:color="000000" w:sz="6" w:space="0"/>
              <w:bottom w:val="nil"/>
            </w:tcBorders>
            <w:vAlign w:val="top"/>
          </w:tcPr>
          <w:p w14:paraId="3206206B">
            <w:pPr>
              <w:rPr>
                <w:rFonts w:ascii="Arial"/>
                <w:sz w:val="21"/>
              </w:rPr>
            </w:pPr>
          </w:p>
        </w:tc>
        <w:tc>
          <w:tcPr>
            <w:tcW w:w="685" w:type="dxa"/>
            <w:vMerge w:val="continue"/>
            <w:tcBorders>
              <w:top w:val="nil"/>
              <w:bottom w:val="nil"/>
            </w:tcBorders>
            <w:vAlign w:val="top"/>
          </w:tcPr>
          <w:p w14:paraId="71ED1313">
            <w:pPr>
              <w:rPr>
                <w:rFonts w:ascii="Arial"/>
                <w:sz w:val="21"/>
              </w:rPr>
            </w:pPr>
          </w:p>
        </w:tc>
        <w:tc>
          <w:tcPr>
            <w:tcW w:w="1872" w:type="dxa"/>
            <w:vAlign w:val="top"/>
          </w:tcPr>
          <w:p w14:paraId="26080E75">
            <w:pPr>
              <w:spacing w:before="31" w:line="203" w:lineRule="auto"/>
              <w:ind w:left="669"/>
              <w:rPr>
                <w:rFonts w:ascii="仿宋" w:hAnsi="仿宋" w:eastAsia="仿宋" w:cs="仿宋"/>
                <w:sz w:val="18"/>
                <w:szCs w:val="18"/>
              </w:rPr>
            </w:pPr>
            <w:r>
              <w:rPr>
                <w:rFonts w:ascii="仿宋" w:hAnsi="仿宋" w:eastAsia="仿宋" w:cs="仿宋"/>
                <w:spacing w:val="-4"/>
                <w:sz w:val="18"/>
                <w:szCs w:val="18"/>
              </w:rPr>
              <w:t>路段三</w:t>
            </w:r>
          </w:p>
        </w:tc>
        <w:tc>
          <w:tcPr>
            <w:tcW w:w="1359" w:type="dxa"/>
            <w:gridSpan w:val="2"/>
            <w:vAlign w:val="top"/>
          </w:tcPr>
          <w:p w14:paraId="2F62426C">
            <w:pPr>
              <w:pStyle w:val="6"/>
              <w:spacing w:before="62" w:line="188" w:lineRule="auto"/>
              <w:ind w:left="135"/>
            </w:pPr>
            <w:r>
              <w:rPr>
                <w:spacing w:val="-2"/>
              </w:rPr>
              <w:t>110°52'39.459"</w:t>
            </w:r>
          </w:p>
        </w:tc>
        <w:tc>
          <w:tcPr>
            <w:tcW w:w="1284" w:type="dxa"/>
            <w:vAlign w:val="top"/>
          </w:tcPr>
          <w:p w14:paraId="23737D38">
            <w:pPr>
              <w:pStyle w:val="6"/>
              <w:spacing w:before="62" w:line="188" w:lineRule="auto"/>
              <w:ind w:left="130"/>
            </w:pPr>
            <w:r>
              <w:rPr>
                <w:spacing w:val="-3"/>
              </w:rPr>
              <w:t>39°34'</w:t>
            </w:r>
            <w:r>
              <w:rPr>
                <w:spacing w:val="-14"/>
              </w:rPr>
              <w:t xml:space="preserve"> </w:t>
            </w:r>
            <w:r>
              <w:rPr>
                <w:spacing w:val="-3"/>
              </w:rPr>
              <w:t>17.608"</w:t>
            </w:r>
          </w:p>
        </w:tc>
        <w:tc>
          <w:tcPr>
            <w:tcW w:w="1348" w:type="dxa"/>
            <w:gridSpan w:val="2"/>
            <w:vAlign w:val="top"/>
          </w:tcPr>
          <w:p w14:paraId="1E15222F">
            <w:pPr>
              <w:pStyle w:val="6"/>
              <w:spacing w:before="62" w:line="188" w:lineRule="auto"/>
              <w:ind w:left="134"/>
            </w:pPr>
            <w:r>
              <w:rPr>
                <w:spacing w:val="-2"/>
              </w:rPr>
              <w:t>110°52'37.069"</w:t>
            </w:r>
          </w:p>
        </w:tc>
        <w:tc>
          <w:tcPr>
            <w:tcW w:w="1445" w:type="dxa"/>
            <w:tcBorders>
              <w:right w:val="single" w:color="000000" w:sz="6" w:space="0"/>
            </w:tcBorders>
            <w:vAlign w:val="top"/>
          </w:tcPr>
          <w:p w14:paraId="30CF65F7">
            <w:pPr>
              <w:pStyle w:val="6"/>
              <w:spacing w:before="62" w:line="188" w:lineRule="auto"/>
              <w:ind w:left="249"/>
            </w:pPr>
            <w:r>
              <w:rPr>
                <w:spacing w:val="-1"/>
              </w:rPr>
              <w:t>39°34'5.137"</w:t>
            </w:r>
          </w:p>
        </w:tc>
      </w:tr>
      <w:tr w14:paraId="4DA6E4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1070" w:type="dxa"/>
            <w:vMerge w:val="continue"/>
            <w:tcBorders>
              <w:top w:val="nil"/>
              <w:left w:val="single" w:color="000000" w:sz="6" w:space="0"/>
              <w:bottom w:val="nil"/>
            </w:tcBorders>
            <w:vAlign w:val="top"/>
          </w:tcPr>
          <w:p w14:paraId="44E5D42D">
            <w:pPr>
              <w:rPr>
                <w:rFonts w:ascii="Arial"/>
                <w:sz w:val="21"/>
              </w:rPr>
            </w:pPr>
          </w:p>
        </w:tc>
        <w:tc>
          <w:tcPr>
            <w:tcW w:w="685" w:type="dxa"/>
            <w:vMerge w:val="continue"/>
            <w:tcBorders>
              <w:top w:val="nil"/>
              <w:bottom w:val="nil"/>
            </w:tcBorders>
            <w:vAlign w:val="top"/>
          </w:tcPr>
          <w:p w14:paraId="71E6FCF5">
            <w:pPr>
              <w:rPr>
                <w:rFonts w:ascii="Arial"/>
                <w:sz w:val="21"/>
              </w:rPr>
            </w:pPr>
          </w:p>
        </w:tc>
        <w:tc>
          <w:tcPr>
            <w:tcW w:w="1872" w:type="dxa"/>
            <w:vAlign w:val="top"/>
          </w:tcPr>
          <w:p w14:paraId="546AE1E7">
            <w:pPr>
              <w:spacing w:before="32" w:line="201" w:lineRule="auto"/>
              <w:ind w:left="669"/>
              <w:rPr>
                <w:rFonts w:ascii="仿宋" w:hAnsi="仿宋" w:eastAsia="仿宋" w:cs="仿宋"/>
                <w:sz w:val="18"/>
                <w:szCs w:val="18"/>
              </w:rPr>
            </w:pPr>
            <w:r>
              <w:rPr>
                <w:rFonts w:ascii="仿宋" w:hAnsi="仿宋" w:eastAsia="仿宋" w:cs="仿宋"/>
                <w:spacing w:val="-4"/>
                <w:sz w:val="18"/>
                <w:szCs w:val="18"/>
              </w:rPr>
              <w:t>路段四</w:t>
            </w:r>
          </w:p>
        </w:tc>
        <w:tc>
          <w:tcPr>
            <w:tcW w:w="1359" w:type="dxa"/>
            <w:gridSpan w:val="2"/>
            <w:vAlign w:val="top"/>
          </w:tcPr>
          <w:p w14:paraId="5C8AF828">
            <w:pPr>
              <w:pStyle w:val="6"/>
              <w:spacing w:before="61" w:line="188" w:lineRule="auto"/>
              <w:ind w:left="135"/>
            </w:pPr>
            <w:r>
              <w:rPr>
                <w:spacing w:val="-2"/>
              </w:rPr>
              <w:t>110°52'36.268"</w:t>
            </w:r>
          </w:p>
        </w:tc>
        <w:tc>
          <w:tcPr>
            <w:tcW w:w="1284" w:type="dxa"/>
            <w:vAlign w:val="top"/>
          </w:tcPr>
          <w:p w14:paraId="268969D1">
            <w:pPr>
              <w:pStyle w:val="6"/>
              <w:spacing w:before="61" w:line="188" w:lineRule="auto"/>
              <w:ind w:left="130"/>
            </w:pPr>
            <w:r>
              <w:rPr>
                <w:spacing w:val="-1"/>
              </w:rPr>
              <w:t>39°33'58.156"</w:t>
            </w:r>
          </w:p>
        </w:tc>
        <w:tc>
          <w:tcPr>
            <w:tcW w:w="1348" w:type="dxa"/>
            <w:gridSpan w:val="2"/>
            <w:vAlign w:val="top"/>
          </w:tcPr>
          <w:p w14:paraId="051F4DBB">
            <w:pPr>
              <w:pStyle w:val="6"/>
              <w:spacing w:before="61" w:line="188" w:lineRule="auto"/>
              <w:ind w:left="134"/>
            </w:pPr>
            <w:r>
              <w:rPr>
                <w:spacing w:val="-2"/>
              </w:rPr>
              <w:t>110°52'34.062"</w:t>
            </w:r>
          </w:p>
        </w:tc>
        <w:tc>
          <w:tcPr>
            <w:tcW w:w="1445" w:type="dxa"/>
            <w:tcBorders>
              <w:right w:val="single" w:color="000000" w:sz="6" w:space="0"/>
            </w:tcBorders>
            <w:vAlign w:val="top"/>
          </w:tcPr>
          <w:p w14:paraId="4EB2EFE3">
            <w:pPr>
              <w:pStyle w:val="6"/>
              <w:spacing w:before="61" w:line="188" w:lineRule="auto"/>
              <w:ind w:left="205"/>
            </w:pPr>
            <w:r>
              <w:rPr>
                <w:spacing w:val="-1"/>
              </w:rPr>
              <w:t>39°33'44.097"</w:t>
            </w:r>
          </w:p>
        </w:tc>
      </w:tr>
      <w:tr w14:paraId="311D8D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1070" w:type="dxa"/>
            <w:vMerge w:val="continue"/>
            <w:tcBorders>
              <w:top w:val="nil"/>
              <w:left w:val="single" w:color="000000" w:sz="6" w:space="0"/>
              <w:bottom w:val="nil"/>
            </w:tcBorders>
            <w:vAlign w:val="top"/>
          </w:tcPr>
          <w:p w14:paraId="40D8A16B">
            <w:pPr>
              <w:rPr>
                <w:rFonts w:ascii="Arial"/>
                <w:sz w:val="21"/>
              </w:rPr>
            </w:pPr>
          </w:p>
        </w:tc>
        <w:tc>
          <w:tcPr>
            <w:tcW w:w="685" w:type="dxa"/>
            <w:vMerge w:val="continue"/>
            <w:tcBorders>
              <w:top w:val="nil"/>
              <w:bottom w:val="nil"/>
            </w:tcBorders>
            <w:vAlign w:val="top"/>
          </w:tcPr>
          <w:p w14:paraId="5F25A5C4">
            <w:pPr>
              <w:rPr>
                <w:rFonts w:ascii="Arial"/>
                <w:sz w:val="21"/>
              </w:rPr>
            </w:pPr>
          </w:p>
        </w:tc>
        <w:tc>
          <w:tcPr>
            <w:tcW w:w="1872" w:type="dxa"/>
            <w:vAlign w:val="top"/>
          </w:tcPr>
          <w:p w14:paraId="4362F2C3">
            <w:pPr>
              <w:spacing w:before="32" w:line="201" w:lineRule="auto"/>
              <w:ind w:left="669"/>
              <w:rPr>
                <w:rFonts w:ascii="仿宋" w:hAnsi="仿宋" w:eastAsia="仿宋" w:cs="仿宋"/>
                <w:sz w:val="18"/>
                <w:szCs w:val="18"/>
              </w:rPr>
            </w:pPr>
            <w:r>
              <w:rPr>
                <w:rFonts w:ascii="仿宋" w:hAnsi="仿宋" w:eastAsia="仿宋" w:cs="仿宋"/>
                <w:spacing w:val="-4"/>
                <w:sz w:val="18"/>
                <w:szCs w:val="18"/>
              </w:rPr>
              <w:t>路段五</w:t>
            </w:r>
          </w:p>
        </w:tc>
        <w:tc>
          <w:tcPr>
            <w:tcW w:w="1359" w:type="dxa"/>
            <w:gridSpan w:val="2"/>
            <w:vAlign w:val="top"/>
          </w:tcPr>
          <w:p w14:paraId="3564E5D4">
            <w:pPr>
              <w:pStyle w:val="6"/>
              <w:spacing w:before="60" w:line="188" w:lineRule="auto"/>
              <w:ind w:left="135"/>
            </w:pPr>
            <w:r>
              <w:rPr>
                <w:spacing w:val="-2"/>
              </w:rPr>
              <w:t>110°52'47.995"</w:t>
            </w:r>
          </w:p>
        </w:tc>
        <w:tc>
          <w:tcPr>
            <w:tcW w:w="1284" w:type="dxa"/>
            <w:vAlign w:val="top"/>
          </w:tcPr>
          <w:p w14:paraId="2AF5E7CB">
            <w:pPr>
              <w:pStyle w:val="6"/>
              <w:spacing w:before="60" w:line="188" w:lineRule="auto"/>
              <w:ind w:left="130"/>
            </w:pPr>
            <w:r>
              <w:rPr>
                <w:spacing w:val="-3"/>
              </w:rPr>
              <w:t>39°33'</w:t>
            </w:r>
            <w:r>
              <w:rPr>
                <w:spacing w:val="-14"/>
              </w:rPr>
              <w:t xml:space="preserve"> </w:t>
            </w:r>
            <w:r>
              <w:rPr>
                <w:spacing w:val="-3"/>
              </w:rPr>
              <w:t>19.581"</w:t>
            </w:r>
          </w:p>
        </w:tc>
        <w:tc>
          <w:tcPr>
            <w:tcW w:w="1348" w:type="dxa"/>
            <w:gridSpan w:val="2"/>
            <w:vAlign w:val="top"/>
          </w:tcPr>
          <w:p w14:paraId="79526165">
            <w:pPr>
              <w:pStyle w:val="6"/>
              <w:spacing w:before="60" w:line="188" w:lineRule="auto"/>
              <w:ind w:left="180"/>
            </w:pPr>
            <w:r>
              <w:rPr>
                <w:spacing w:val="-4"/>
              </w:rPr>
              <w:t>110°53'</w:t>
            </w:r>
            <w:r>
              <w:rPr>
                <w:spacing w:val="-15"/>
              </w:rPr>
              <w:t xml:space="preserve"> </w:t>
            </w:r>
            <w:r>
              <w:rPr>
                <w:spacing w:val="-4"/>
              </w:rPr>
              <w:t>1.098"</w:t>
            </w:r>
          </w:p>
        </w:tc>
        <w:tc>
          <w:tcPr>
            <w:tcW w:w="1445" w:type="dxa"/>
            <w:tcBorders>
              <w:right w:val="single" w:color="000000" w:sz="6" w:space="0"/>
            </w:tcBorders>
            <w:vAlign w:val="top"/>
          </w:tcPr>
          <w:p w14:paraId="66D6B598">
            <w:pPr>
              <w:pStyle w:val="6"/>
              <w:spacing w:before="60" w:line="188" w:lineRule="auto"/>
              <w:ind w:left="205"/>
            </w:pPr>
            <w:r>
              <w:rPr>
                <w:spacing w:val="-3"/>
              </w:rPr>
              <w:t>39°33'</w:t>
            </w:r>
            <w:r>
              <w:rPr>
                <w:spacing w:val="-16"/>
              </w:rPr>
              <w:t xml:space="preserve"> </w:t>
            </w:r>
            <w:r>
              <w:rPr>
                <w:spacing w:val="-3"/>
              </w:rPr>
              <w:t>14.579"</w:t>
            </w:r>
          </w:p>
        </w:tc>
      </w:tr>
      <w:tr w14:paraId="5A3903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1070" w:type="dxa"/>
            <w:vMerge w:val="continue"/>
            <w:tcBorders>
              <w:top w:val="nil"/>
              <w:left w:val="single" w:color="000000" w:sz="6" w:space="0"/>
              <w:bottom w:val="nil"/>
            </w:tcBorders>
            <w:vAlign w:val="top"/>
          </w:tcPr>
          <w:p w14:paraId="30CB2310">
            <w:pPr>
              <w:rPr>
                <w:rFonts w:ascii="Arial"/>
                <w:sz w:val="21"/>
              </w:rPr>
            </w:pPr>
          </w:p>
        </w:tc>
        <w:tc>
          <w:tcPr>
            <w:tcW w:w="685" w:type="dxa"/>
            <w:vMerge w:val="continue"/>
            <w:tcBorders>
              <w:top w:val="nil"/>
              <w:bottom w:val="nil"/>
            </w:tcBorders>
            <w:vAlign w:val="top"/>
          </w:tcPr>
          <w:p w14:paraId="5CF9C45A">
            <w:pPr>
              <w:rPr>
                <w:rFonts w:ascii="Arial"/>
                <w:sz w:val="21"/>
              </w:rPr>
            </w:pPr>
          </w:p>
        </w:tc>
        <w:tc>
          <w:tcPr>
            <w:tcW w:w="1872" w:type="dxa"/>
            <w:vAlign w:val="top"/>
          </w:tcPr>
          <w:p w14:paraId="003A0851">
            <w:pPr>
              <w:spacing w:before="33" w:line="201" w:lineRule="auto"/>
              <w:ind w:left="669"/>
              <w:rPr>
                <w:rFonts w:ascii="仿宋" w:hAnsi="仿宋" w:eastAsia="仿宋" w:cs="仿宋"/>
                <w:sz w:val="18"/>
                <w:szCs w:val="18"/>
              </w:rPr>
            </w:pPr>
            <w:r>
              <w:rPr>
                <w:rFonts w:ascii="仿宋" w:hAnsi="仿宋" w:eastAsia="仿宋" w:cs="仿宋"/>
                <w:spacing w:val="-4"/>
                <w:sz w:val="18"/>
                <w:szCs w:val="18"/>
              </w:rPr>
              <w:t>路段六</w:t>
            </w:r>
          </w:p>
        </w:tc>
        <w:tc>
          <w:tcPr>
            <w:tcW w:w="1359" w:type="dxa"/>
            <w:gridSpan w:val="2"/>
            <w:vAlign w:val="top"/>
          </w:tcPr>
          <w:p w14:paraId="25A4A3F5">
            <w:pPr>
              <w:pStyle w:val="6"/>
              <w:spacing w:before="62" w:line="188" w:lineRule="auto"/>
              <w:ind w:left="135"/>
            </w:pPr>
            <w:r>
              <w:rPr>
                <w:spacing w:val="-4"/>
              </w:rPr>
              <w:t>110°52'35.</w:t>
            </w:r>
            <w:r>
              <w:rPr>
                <w:spacing w:val="-11"/>
              </w:rPr>
              <w:t xml:space="preserve"> </w:t>
            </w:r>
            <w:r>
              <w:rPr>
                <w:spacing w:val="-4"/>
              </w:rPr>
              <w:t>124"</w:t>
            </w:r>
          </w:p>
        </w:tc>
        <w:tc>
          <w:tcPr>
            <w:tcW w:w="1284" w:type="dxa"/>
            <w:vAlign w:val="top"/>
          </w:tcPr>
          <w:p w14:paraId="0A89545C">
            <w:pPr>
              <w:pStyle w:val="6"/>
              <w:spacing w:before="62" w:line="188" w:lineRule="auto"/>
              <w:ind w:left="130"/>
            </w:pPr>
            <w:r>
              <w:rPr>
                <w:spacing w:val="-1"/>
              </w:rPr>
              <w:t>39°32'53.558"</w:t>
            </w:r>
          </w:p>
        </w:tc>
        <w:tc>
          <w:tcPr>
            <w:tcW w:w="1348" w:type="dxa"/>
            <w:gridSpan w:val="2"/>
            <w:vAlign w:val="top"/>
          </w:tcPr>
          <w:p w14:paraId="69806FDC">
            <w:pPr>
              <w:pStyle w:val="6"/>
              <w:spacing w:before="62" w:line="188" w:lineRule="auto"/>
              <w:ind w:left="134"/>
            </w:pPr>
            <w:r>
              <w:rPr>
                <w:spacing w:val="-2"/>
              </w:rPr>
              <w:t>110°52'43.635"</w:t>
            </w:r>
          </w:p>
        </w:tc>
        <w:tc>
          <w:tcPr>
            <w:tcW w:w="1445" w:type="dxa"/>
            <w:tcBorders>
              <w:right w:val="single" w:color="000000" w:sz="6" w:space="0"/>
            </w:tcBorders>
            <w:vAlign w:val="top"/>
          </w:tcPr>
          <w:p w14:paraId="567FBEC7">
            <w:pPr>
              <w:pStyle w:val="6"/>
              <w:spacing w:before="62" w:line="188" w:lineRule="auto"/>
              <w:ind w:left="205"/>
            </w:pPr>
            <w:r>
              <w:rPr>
                <w:spacing w:val="-1"/>
              </w:rPr>
              <w:t>39°32'42.705"</w:t>
            </w:r>
          </w:p>
        </w:tc>
      </w:tr>
      <w:tr w14:paraId="1E29AF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1070" w:type="dxa"/>
            <w:vMerge w:val="continue"/>
            <w:tcBorders>
              <w:top w:val="nil"/>
              <w:left w:val="single" w:color="000000" w:sz="6" w:space="0"/>
              <w:bottom w:val="nil"/>
            </w:tcBorders>
            <w:vAlign w:val="top"/>
          </w:tcPr>
          <w:p w14:paraId="2D70CE1F">
            <w:pPr>
              <w:rPr>
                <w:rFonts w:ascii="Arial"/>
                <w:sz w:val="21"/>
              </w:rPr>
            </w:pPr>
          </w:p>
        </w:tc>
        <w:tc>
          <w:tcPr>
            <w:tcW w:w="685" w:type="dxa"/>
            <w:vMerge w:val="continue"/>
            <w:tcBorders>
              <w:top w:val="nil"/>
            </w:tcBorders>
            <w:vAlign w:val="top"/>
          </w:tcPr>
          <w:p w14:paraId="41971D73">
            <w:pPr>
              <w:rPr>
                <w:rFonts w:ascii="Arial"/>
                <w:sz w:val="21"/>
              </w:rPr>
            </w:pPr>
          </w:p>
        </w:tc>
        <w:tc>
          <w:tcPr>
            <w:tcW w:w="1872" w:type="dxa"/>
            <w:vAlign w:val="top"/>
          </w:tcPr>
          <w:p w14:paraId="424D3A10">
            <w:pPr>
              <w:spacing w:before="32" w:line="201" w:lineRule="auto"/>
              <w:ind w:left="669"/>
              <w:rPr>
                <w:rFonts w:ascii="仿宋" w:hAnsi="仿宋" w:eastAsia="仿宋" w:cs="仿宋"/>
                <w:sz w:val="18"/>
                <w:szCs w:val="18"/>
              </w:rPr>
            </w:pPr>
            <w:r>
              <w:rPr>
                <w:rFonts w:ascii="仿宋" w:hAnsi="仿宋" w:eastAsia="仿宋" w:cs="仿宋"/>
                <w:spacing w:val="-4"/>
                <w:sz w:val="18"/>
                <w:szCs w:val="18"/>
              </w:rPr>
              <w:t>路段七</w:t>
            </w:r>
          </w:p>
        </w:tc>
        <w:tc>
          <w:tcPr>
            <w:tcW w:w="1359" w:type="dxa"/>
            <w:gridSpan w:val="2"/>
            <w:vAlign w:val="top"/>
          </w:tcPr>
          <w:p w14:paraId="2434C563">
            <w:pPr>
              <w:pStyle w:val="6"/>
              <w:spacing w:before="60" w:line="188" w:lineRule="auto"/>
              <w:ind w:left="181"/>
            </w:pPr>
            <w:r>
              <w:rPr>
                <w:spacing w:val="-2"/>
              </w:rPr>
              <w:t>110°52'8.859"</w:t>
            </w:r>
          </w:p>
        </w:tc>
        <w:tc>
          <w:tcPr>
            <w:tcW w:w="1284" w:type="dxa"/>
            <w:vAlign w:val="top"/>
          </w:tcPr>
          <w:p w14:paraId="5023FAD1">
            <w:pPr>
              <w:pStyle w:val="6"/>
              <w:spacing w:before="60" w:line="188" w:lineRule="auto"/>
              <w:ind w:left="130"/>
            </w:pPr>
            <w:r>
              <w:rPr>
                <w:spacing w:val="-1"/>
              </w:rPr>
              <w:t>39°31'58.133"</w:t>
            </w:r>
          </w:p>
        </w:tc>
        <w:tc>
          <w:tcPr>
            <w:tcW w:w="1348" w:type="dxa"/>
            <w:gridSpan w:val="2"/>
            <w:vAlign w:val="top"/>
          </w:tcPr>
          <w:p w14:paraId="54ADDCE3">
            <w:pPr>
              <w:pStyle w:val="6"/>
              <w:spacing w:before="60" w:line="188" w:lineRule="auto"/>
              <w:ind w:left="180"/>
            </w:pPr>
            <w:r>
              <w:rPr>
                <w:spacing w:val="-2"/>
              </w:rPr>
              <w:t>110°52'4.244"</w:t>
            </w:r>
          </w:p>
        </w:tc>
        <w:tc>
          <w:tcPr>
            <w:tcW w:w="1445" w:type="dxa"/>
            <w:tcBorders>
              <w:right w:val="single" w:color="000000" w:sz="6" w:space="0"/>
            </w:tcBorders>
            <w:vAlign w:val="top"/>
          </w:tcPr>
          <w:p w14:paraId="6637A02A">
            <w:pPr>
              <w:pStyle w:val="6"/>
              <w:spacing w:before="60" w:line="188" w:lineRule="auto"/>
              <w:ind w:left="205"/>
            </w:pPr>
            <w:r>
              <w:rPr>
                <w:spacing w:val="-1"/>
              </w:rPr>
              <w:t>39°31'50.640"</w:t>
            </w:r>
          </w:p>
        </w:tc>
      </w:tr>
      <w:tr w14:paraId="42889E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1070" w:type="dxa"/>
            <w:vMerge w:val="continue"/>
            <w:tcBorders>
              <w:top w:val="nil"/>
              <w:left w:val="single" w:color="000000" w:sz="6" w:space="0"/>
              <w:bottom w:val="nil"/>
            </w:tcBorders>
            <w:vAlign w:val="top"/>
          </w:tcPr>
          <w:p w14:paraId="198FA1D1">
            <w:pPr>
              <w:rPr>
                <w:rFonts w:ascii="Arial"/>
                <w:sz w:val="21"/>
              </w:rPr>
            </w:pPr>
          </w:p>
        </w:tc>
        <w:tc>
          <w:tcPr>
            <w:tcW w:w="2557" w:type="dxa"/>
            <w:gridSpan w:val="2"/>
            <w:vAlign w:val="top"/>
          </w:tcPr>
          <w:p w14:paraId="50217C37">
            <w:pPr>
              <w:spacing w:before="31" w:line="203" w:lineRule="auto"/>
              <w:ind w:left="565"/>
              <w:rPr>
                <w:rFonts w:ascii="仿宋" w:hAnsi="仿宋" w:eastAsia="仿宋" w:cs="仿宋"/>
                <w:sz w:val="18"/>
                <w:szCs w:val="18"/>
              </w:rPr>
            </w:pPr>
            <w:r>
              <w:rPr>
                <w:rFonts w:ascii="仿宋" w:hAnsi="仿宋" w:eastAsia="仿宋" w:cs="仿宋"/>
                <w:spacing w:val="-2"/>
                <w:sz w:val="18"/>
                <w:szCs w:val="18"/>
              </w:rPr>
              <w:t>双山梁村通社公路</w:t>
            </w:r>
          </w:p>
        </w:tc>
        <w:tc>
          <w:tcPr>
            <w:tcW w:w="1359" w:type="dxa"/>
            <w:gridSpan w:val="2"/>
            <w:vAlign w:val="top"/>
          </w:tcPr>
          <w:p w14:paraId="79AB606C">
            <w:pPr>
              <w:pStyle w:val="6"/>
              <w:spacing w:before="62" w:line="188" w:lineRule="auto"/>
              <w:ind w:left="135"/>
            </w:pPr>
            <w:r>
              <w:rPr>
                <w:spacing w:val="-2"/>
              </w:rPr>
              <w:t>110°51'27.783"</w:t>
            </w:r>
          </w:p>
        </w:tc>
        <w:tc>
          <w:tcPr>
            <w:tcW w:w="1284" w:type="dxa"/>
            <w:vAlign w:val="top"/>
          </w:tcPr>
          <w:p w14:paraId="2DC8080F">
            <w:pPr>
              <w:pStyle w:val="6"/>
              <w:spacing w:before="62" w:line="188" w:lineRule="auto"/>
              <w:ind w:left="130"/>
            </w:pPr>
            <w:r>
              <w:rPr>
                <w:spacing w:val="-1"/>
              </w:rPr>
              <w:t>39°30'56.489"</w:t>
            </w:r>
          </w:p>
        </w:tc>
        <w:tc>
          <w:tcPr>
            <w:tcW w:w="1348" w:type="dxa"/>
            <w:gridSpan w:val="2"/>
            <w:vAlign w:val="top"/>
          </w:tcPr>
          <w:p w14:paraId="566EFB2A">
            <w:pPr>
              <w:pStyle w:val="6"/>
              <w:spacing w:before="62" w:line="188" w:lineRule="auto"/>
              <w:ind w:left="134"/>
            </w:pPr>
            <w:r>
              <w:rPr>
                <w:spacing w:val="-2"/>
              </w:rPr>
              <w:t>110°51'34.446"</w:t>
            </w:r>
          </w:p>
        </w:tc>
        <w:tc>
          <w:tcPr>
            <w:tcW w:w="1445" w:type="dxa"/>
            <w:tcBorders>
              <w:right w:val="single" w:color="000000" w:sz="6" w:space="0"/>
            </w:tcBorders>
            <w:vAlign w:val="top"/>
          </w:tcPr>
          <w:p w14:paraId="0C9E8DB2">
            <w:pPr>
              <w:pStyle w:val="6"/>
              <w:spacing w:before="62" w:line="188" w:lineRule="auto"/>
              <w:ind w:left="205"/>
            </w:pPr>
            <w:r>
              <w:rPr>
                <w:spacing w:val="-1"/>
              </w:rPr>
              <w:t>39°30'48.310"</w:t>
            </w:r>
          </w:p>
        </w:tc>
      </w:tr>
      <w:tr w14:paraId="439799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1070" w:type="dxa"/>
            <w:vMerge w:val="continue"/>
            <w:tcBorders>
              <w:top w:val="nil"/>
              <w:left w:val="single" w:color="000000" w:sz="6" w:space="0"/>
              <w:bottom w:val="nil"/>
            </w:tcBorders>
            <w:vAlign w:val="top"/>
          </w:tcPr>
          <w:p w14:paraId="27ED4499">
            <w:pPr>
              <w:rPr>
                <w:rFonts w:ascii="Arial"/>
                <w:sz w:val="21"/>
              </w:rPr>
            </w:pPr>
          </w:p>
        </w:tc>
        <w:tc>
          <w:tcPr>
            <w:tcW w:w="2557" w:type="dxa"/>
            <w:gridSpan w:val="2"/>
            <w:vAlign w:val="top"/>
          </w:tcPr>
          <w:p w14:paraId="24C77F58">
            <w:pPr>
              <w:spacing w:before="32" w:line="201" w:lineRule="auto"/>
              <w:ind w:left="316"/>
              <w:rPr>
                <w:rFonts w:ascii="仿宋" w:hAnsi="仿宋" w:eastAsia="仿宋" w:cs="仿宋"/>
                <w:sz w:val="18"/>
                <w:szCs w:val="18"/>
              </w:rPr>
            </w:pPr>
            <w:r>
              <w:rPr>
                <w:rFonts w:ascii="仿宋" w:hAnsi="仿宋" w:eastAsia="仿宋" w:cs="仿宋"/>
                <w:spacing w:val="-4"/>
                <w:sz w:val="18"/>
                <w:szCs w:val="18"/>
              </w:rPr>
              <w:t>四道包至淡家梁至杨家塔</w:t>
            </w:r>
          </w:p>
        </w:tc>
        <w:tc>
          <w:tcPr>
            <w:tcW w:w="1359" w:type="dxa"/>
            <w:gridSpan w:val="2"/>
            <w:vAlign w:val="top"/>
          </w:tcPr>
          <w:p w14:paraId="651B416F">
            <w:pPr>
              <w:pStyle w:val="6"/>
              <w:spacing w:before="60" w:line="188" w:lineRule="auto"/>
              <w:ind w:left="135"/>
            </w:pPr>
            <w:r>
              <w:rPr>
                <w:spacing w:val="-3"/>
              </w:rPr>
              <w:t>110°43'</w:t>
            </w:r>
            <w:r>
              <w:rPr>
                <w:spacing w:val="-25"/>
              </w:rPr>
              <w:t xml:space="preserve"> </w:t>
            </w:r>
            <w:r>
              <w:rPr>
                <w:spacing w:val="-3"/>
              </w:rPr>
              <w:t>18.844"</w:t>
            </w:r>
          </w:p>
        </w:tc>
        <w:tc>
          <w:tcPr>
            <w:tcW w:w="1284" w:type="dxa"/>
            <w:vAlign w:val="top"/>
          </w:tcPr>
          <w:p w14:paraId="73E18A8D">
            <w:pPr>
              <w:pStyle w:val="6"/>
              <w:spacing w:before="60" w:line="188" w:lineRule="auto"/>
              <w:ind w:left="130"/>
            </w:pPr>
            <w:r>
              <w:rPr>
                <w:spacing w:val="-1"/>
              </w:rPr>
              <w:t>39°30'29.221"</w:t>
            </w:r>
          </w:p>
        </w:tc>
        <w:tc>
          <w:tcPr>
            <w:tcW w:w="1348" w:type="dxa"/>
            <w:gridSpan w:val="2"/>
            <w:vAlign w:val="top"/>
          </w:tcPr>
          <w:p w14:paraId="08B08536">
            <w:pPr>
              <w:pStyle w:val="6"/>
              <w:spacing w:before="60" w:line="188" w:lineRule="auto"/>
              <w:ind w:left="180"/>
            </w:pPr>
            <w:r>
              <w:rPr>
                <w:spacing w:val="-2"/>
              </w:rPr>
              <w:t>110°44'9.330"</w:t>
            </w:r>
          </w:p>
        </w:tc>
        <w:tc>
          <w:tcPr>
            <w:tcW w:w="1445" w:type="dxa"/>
            <w:tcBorders>
              <w:right w:val="single" w:color="000000" w:sz="6" w:space="0"/>
            </w:tcBorders>
            <w:vAlign w:val="top"/>
          </w:tcPr>
          <w:p w14:paraId="6FFA40E9">
            <w:pPr>
              <w:pStyle w:val="6"/>
              <w:spacing w:before="60" w:line="188" w:lineRule="auto"/>
              <w:ind w:left="205"/>
            </w:pPr>
            <w:r>
              <w:rPr>
                <w:spacing w:val="-3"/>
              </w:rPr>
              <w:t>39°32'</w:t>
            </w:r>
            <w:r>
              <w:rPr>
                <w:spacing w:val="-16"/>
              </w:rPr>
              <w:t xml:space="preserve"> </w:t>
            </w:r>
            <w:r>
              <w:rPr>
                <w:spacing w:val="-3"/>
              </w:rPr>
              <w:t>10.690"</w:t>
            </w:r>
          </w:p>
        </w:tc>
      </w:tr>
      <w:tr w14:paraId="22475A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1070" w:type="dxa"/>
            <w:vMerge w:val="continue"/>
            <w:tcBorders>
              <w:top w:val="nil"/>
              <w:left w:val="single" w:color="000000" w:sz="6" w:space="0"/>
              <w:bottom w:val="nil"/>
            </w:tcBorders>
            <w:vAlign w:val="top"/>
          </w:tcPr>
          <w:p w14:paraId="6F4C9E72">
            <w:pPr>
              <w:rPr>
                <w:rFonts w:ascii="Arial"/>
                <w:sz w:val="21"/>
              </w:rPr>
            </w:pPr>
          </w:p>
        </w:tc>
        <w:tc>
          <w:tcPr>
            <w:tcW w:w="2557" w:type="dxa"/>
            <w:gridSpan w:val="2"/>
            <w:vAlign w:val="top"/>
          </w:tcPr>
          <w:p w14:paraId="40EC9B74">
            <w:pPr>
              <w:spacing w:before="30" w:line="222" w:lineRule="auto"/>
              <w:ind w:left="124"/>
              <w:rPr>
                <w:rFonts w:ascii="仿宋" w:hAnsi="仿宋" w:eastAsia="仿宋" w:cs="仿宋"/>
                <w:sz w:val="18"/>
                <w:szCs w:val="18"/>
              </w:rPr>
            </w:pPr>
            <w:r>
              <w:rPr>
                <w:rFonts w:ascii="仿宋" w:hAnsi="仿宋" w:eastAsia="仿宋" w:cs="仿宋"/>
                <w:spacing w:val="-2"/>
                <w:sz w:val="18"/>
                <w:szCs w:val="18"/>
              </w:rPr>
              <w:t>乌拉素村二道壕大坝至秦家塔</w:t>
            </w:r>
          </w:p>
          <w:p w14:paraId="48811850">
            <w:pPr>
              <w:spacing w:before="16" w:line="202" w:lineRule="auto"/>
              <w:ind w:left="1195"/>
              <w:rPr>
                <w:rFonts w:ascii="仿宋" w:hAnsi="仿宋" w:eastAsia="仿宋" w:cs="仿宋"/>
                <w:sz w:val="18"/>
                <w:szCs w:val="18"/>
              </w:rPr>
            </w:pPr>
            <w:r>
              <w:rPr>
                <w:rFonts w:ascii="仿宋" w:hAnsi="仿宋" w:eastAsia="仿宋" w:cs="仿宋"/>
                <w:sz w:val="18"/>
                <w:szCs w:val="18"/>
              </w:rPr>
              <w:t>社</w:t>
            </w:r>
          </w:p>
        </w:tc>
        <w:tc>
          <w:tcPr>
            <w:tcW w:w="1359" w:type="dxa"/>
            <w:gridSpan w:val="2"/>
            <w:vAlign w:val="top"/>
          </w:tcPr>
          <w:p w14:paraId="0A03F80B">
            <w:pPr>
              <w:pStyle w:val="6"/>
              <w:spacing w:before="177" w:line="188" w:lineRule="auto"/>
              <w:ind w:left="135"/>
            </w:pPr>
            <w:r>
              <w:rPr>
                <w:spacing w:val="-2"/>
              </w:rPr>
              <w:t>110°47'30.855"</w:t>
            </w:r>
          </w:p>
        </w:tc>
        <w:tc>
          <w:tcPr>
            <w:tcW w:w="1284" w:type="dxa"/>
            <w:vAlign w:val="top"/>
          </w:tcPr>
          <w:p w14:paraId="1936CF30">
            <w:pPr>
              <w:pStyle w:val="6"/>
              <w:spacing w:before="177" w:line="188" w:lineRule="auto"/>
              <w:ind w:left="130"/>
            </w:pPr>
            <w:r>
              <w:rPr>
                <w:spacing w:val="-3"/>
              </w:rPr>
              <w:t>39°51'</w:t>
            </w:r>
            <w:r>
              <w:rPr>
                <w:spacing w:val="-14"/>
              </w:rPr>
              <w:t xml:space="preserve"> </w:t>
            </w:r>
            <w:r>
              <w:rPr>
                <w:spacing w:val="-3"/>
              </w:rPr>
              <w:t>14.896"</w:t>
            </w:r>
          </w:p>
        </w:tc>
        <w:tc>
          <w:tcPr>
            <w:tcW w:w="1348" w:type="dxa"/>
            <w:gridSpan w:val="2"/>
            <w:vAlign w:val="top"/>
          </w:tcPr>
          <w:p w14:paraId="1C84192A">
            <w:pPr>
              <w:pStyle w:val="6"/>
              <w:spacing w:before="177" w:line="188" w:lineRule="auto"/>
              <w:ind w:left="134"/>
            </w:pPr>
            <w:r>
              <w:rPr>
                <w:spacing w:val="-2"/>
              </w:rPr>
              <w:t>110°48'46.268"</w:t>
            </w:r>
          </w:p>
        </w:tc>
        <w:tc>
          <w:tcPr>
            <w:tcW w:w="1445" w:type="dxa"/>
            <w:tcBorders>
              <w:right w:val="single" w:color="000000" w:sz="6" w:space="0"/>
            </w:tcBorders>
            <w:vAlign w:val="top"/>
          </w:tcPr>
          <w:p w14:paraId="10818FE3">
            <w:pPr>
              <w:pStyle w:val="6"/>
              <w:spacing w:before="177" w:line="188" w:lineRule="auto"/>
              <w:ind w:left="205"/>
            </w:pPr>
            <w:r>
              <w:rPr>
                <w:spacing w:val="-1"/>
              </w:rPr>
              <w:t>39°50'54.952"</w:t>
            </w:r>
          </w:p>
        </w:tc>
      </w:tr>
      <w:tr w14:paraId="69A88A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1070" w:type="dxa"/>
            <w:vMerge w:val="continue"/>
            <w:tcBorders>
              <w:top w:val="nil"/>
              <w:left w:val="single" w:color="000000" w:sz="6" w:space="0"/>
              <w:bottom w:val="nil"/>
            </w:tcBorders>
            <w:vAlign w:val="top"/>
          </w:tcPr>
          <w:p w14:paraId="47728ACF">
            <w:pPr>
              <w:rPr>
                <w:rFonts w:ascii="Arial"/>
                <w:sz w:val="21"/>
              </w:rPr>
            </w:pPr>
          </w:p>
        </w:tc>
        <w:tc>
          <w:tcPr>
            <w:tcW w:w="7993" w:type="dxa"/>
            <w:gridSpan w:val="8"/>
            <w:tcBorders>
              <w:right w:val="single" w:color="000000" w:sz="6" w:space="0"/>
            </w:tcBorders>
            <w:vAlign w:val="top"/>
          </w:tcPr>
          <w:p w14:paraId="6FD9EEF7">
            <w:pPr>
              <w:spacing w:before="32" w:line="200" w:lineRule="auto"/>
              <w:ind w:left="3552"/>
              <w:rPr>
                <w:rFonts w:ascii="仿宋" w:hAnsi="仿宋" w:eastAsia="仿宋" w:cs="仿宋"/>
                <w:sz w:val="18"/>
                <w:szCs w:val="18"/>
              </w:rPr>
            </w:pPr>
            <w:r>
              <w:rPr>
                <w:rFonts w:ascii="仿宋" w:hAnsi="仿宋" w:eastAsia="仿宋" w:cs="仿宋"/>
                <w:spacing w:val="-4"/>
                <w:sz w:val="18"/>
                <w:szCs w:val="18"/>
              </w:rPr>
              <w:t>十二连城乡</w:t>
            </w:r>
          </w:p>
        </w:tc>
      </w:tr>
      <w:tr w14:paraId="275243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1070" w:type="dxa"/>
            <w:vMerge w:val="continue"/>
            <w:tcBorders>
              <w:top w:val="nil"/>
              <w:left w:val="single" w:color="000000" w:sz="6" w:space="0"/>
              <w:bottom w:val="nil"/>
            </w:tcBorders>
            <w:vAlign w:val="top"/>
          </w:tcPr>
          <w:p w14:paraId="45ABCBA1">
            <w:pPr>
              <w:rPr>
                <w:rFonts w:ascii="Arial"/>
                <w:sz w:val="21"/>
              </w:rPr>
            </w:pPr>
          </w:p>
        </w:tc>
        <w:tc>
          <w:tcPr>
            <w:tcW w:w="2557" w:type="dxa"/>
            <w:gridSpan w:val="2"/>
            <w:vAlign w:val="top"/>
          </w:tcPr>
          <w:p w14:paraId="489E4B25">
            <w:pPr>
              <w:pStyle w:val="6"/>
              <w:spacing w:before="31" w:line="220" w:lineRule="auto"/>
              <w:ind w:left="655" w:right="168" w:hanging="480"/>
              <w:rPr>
                <w:rFonts w:ascii="仿宋" w:hAnsi="仿宋" w:eastAsia="仿宋" w:cs="仿宋"/>
              </w:rPr>
            </w:pPr>
            <w:r>
              <w:rPr>
                <w:rFonts w:ascii="仿宋" w:hAnsi="仿宋" w:eastAsia="仿宋" w:cs="仿宋"/>
                <w:spacing w:val="-1"/>
              </w:rPr>
              <w:t>柴登村</w:t>
            </w:r>
            <w:r>
              <w:rPr>
                <w:spacing w:val="-1"/>
              </w:rPr>
              <w:t>-</w:t>
            </w:r>
            <w:r>
              <w:rPr>
                <w:rFonts w:ascii="仿宋" w:hAnsi="仿宋" w:eastAsia="仿宋" w:cs="仿宋"/>
                <w:spacing w:val="-1"/>
              </w:rPr>
              <w:t>沿黄巨合滩出口东至</w:t>
            </w:r>
            <w:r>
              <w:rPr>
                <w:rFonts w:ascii="仿宋" w:hAnsi="仿宋" w:eastAsia="仿宋" w:cs="仿宋"/>
                <w:spacing w:val="-2"/>
              </w:rPr>
              <w:t>天顺圪梁通村路</w:t>
            </w:r>
          </w:p>
        </w:tc>
        <w:tc>
          <w:tcPr>
            <w:tcW w:w="1359" w:type="dxa"/>
            <w:gridSpan w:val="2"/>
            <w:vAlign w:val="top"/>
          </w:tcPr>
          <w:p w14:paraId="31608E0D">
            <w:pPr>
              <w:pStyle w:val="6"/>
              <w:spacing w:before="178" w:line="188" w:lineRule="auto"/>
              <w:ind w:left="181"/>
            </w:pPr>
            <w:r>
              <w:rPr>
                <w:spacing w:val="-2"/>
              </w:rPr>
              <w:t>111°05'7.153"</w:t>
            </w:r>
          </w:p>
        </w:tc>
        <w:tc>
          <w:tcPr>
            <w:tcW w:w="1284" w:type="dxa"/>
            <w:vAlign w:val="top"/>
          </w:tcPr>
          <w:p w14:paraId="07A19E86">
            <w:pPr>
              <w:pStyle w:val="6"/>
              <w:spacing w:before="178" w:line="188" w:lineRule="auto"/>
              <w:ind w:left="126"/>
            </w:pPr>
            <w:r>
              <w:rPr>
                <w:spacing w:val="-2"/>
              </w:rPr>
              <w:t>40°</w:t>
            </w:r>
            <w:r>
              <w:rPr>
                <w:spacing w:val="-23"/>
              </w:rPr>
              <w:t xml:space="preserve"> </w:t>
            </w:r>
            <w:r>
              <w:rPr>
                <w:spacing w:val="-2"/>
              </w:rPr>
              <w:t>12'36.603"</w:t>
            </w:r>
          </w:p>
        </w:tc>
        <w:tc>
          <w:tcPr>
            <w:tcW w:w="1348" w:type="dxa"/>
            <w:gridSpan w:val="2"/>
            <w:vAlign w:val="top"/>
          </w:tcPr>
          <w:p w14:paraId="65984C88">
            <w:pPr>
              <w:pStyle w:val="6"/>
              <w:spacing w:before="178" w:line="188" w:lineRule="auto"/>
              <w:ind w:left="134"/>
            </w:pPr>
            <w:r>
              <w:rPr>
                <w:spacing w:val="-2"/>
              </w:rPr>
              <w:t>111°07'20.724"</w:t>
            </w:r>
          </w:p>
        </w:tc>
        <w:tc>
          <w:tcPr>
            <w:tcW w:w="1445" w:type="dxa"/>
            <w:tcBorders>
              <w:right w:val="single" w:color="000000" w:sz="6" w:space="0"/>
            </w:tcBorders>
            <w:vAlign w:val="top"/>
          </w:tcPr>
          <w:p w14:paraId="250A10B6">
            <w:pPr>
              <w:pStyle w:val="6"/>
              <w:spacing w:before="178" w:line="188" w:lineRule="auto"/>
              <w:ind w:left="201"/>
            </w:pPr>
            <w:r>
              <w:rPr>
                <w:spacing w:val="-2"/>
              </w:rPr>
              <w:t>40°</w:t>
            </w:r>
            <w:r>
              <w:rPr>
                <w:spacing w:val="-24"/>
              </w:rPr>
              <w:t xml:space="preserve"> </w:t>
            </w:r>
            <w:r>
              <w:rPr>
                <w:spacing w:val="-2"/>
              </w:rPr>
              <w:t>11'57.526"</w:t>
            </w:r>
          </w:p>
        </w:tc>
      </w:tr>
      <w:tr w14:paraId="6C4F67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1070" w:type="dxa"/>
            <w:vMerge w:val="continue"/>
            <w:tcBorders>
              <w:top w:val="nil"/>
              <w:left w:val="single" w:color="000000" w:sz="6" w:space="0"/>
              <w:bottom w:val="nil"/>
            </w:tcBorders>
            <w:vAlign w:val="top"/>
          </w:tcPr>
          <w:p w14:paraId="209C1FEB">
            <w:pPr>
              <w:rPr>
                <w:rFonts w:ascii="Arial"/>
                <w:sz w:val="21"/>
              </w:rPr>
            </w:pPr>
          </w:p>
        </w:tc>
        <w:tc>
          <w:tcPr>
            <w:tcW w:w="2557" w:type="dxa"/>
            <w:gridSpan w:val="2"/>
            <w:vAlign w:val="top"/>
          </w:tcPr>
          <w:p w14:paraId="07AD51A5">
            <w:pPr>
              <w:pStyle w:val="6"/>
              <w:spacing w:before="33" w:line="222" w:lineRule="auto"/>
              <w:ind w:left="181"/>
              <w:rPr>
                <w:rFonts w:ascii="仿宋" w:hAnsi="仿宋" w:eastAsia="仿宋" w:cs="仿宋"/>
              </w:rPr>
            </w:pPr>
            <w:r>
              <w:rPr>
                <w:rFonts w:ascii="仿宋" w:hAnsi="仿宋" w:eastAsia="仿宋" w:cs="仿宋"/>
                <w:spacing w:val="-2"/>
              </w:rPr>
              <w:t>二道拐村</w:t>
            </w:r>
            <w:r>
              <w:rPr>
                <w:spacing w:val="-2"/>
              </w:rPr>
              <w:t>-</w:t>
            </w:r>
            <w:r>
              <w:rPr>
                <w:rFonts w:ascii="仿宋" w:hAnsi="仿宋" w:eastAsia="仿宋" w:cs="仿宋"/>
                <w:spacing w:val="-2"/>
              </w:rPr>
              <w:t>二道拐坡地至张家</w:t>
            </w:r>
          </w:p>
          <w:p w14:paraId="7D2F9A73">
            <w:pPr>
              <w:spacing w:before="16" w:line="199" w:lineRule="auto"/>
              <w:ind w:left="1018"/>
              <w:rPr>
                <w:rFonts w:ascii="仿宋" w:hAnsi="仿宋" w:eastAsia="仿宋" w:cs="仿宋"/>
                <w:sz w:val="18"/>
                <w:szCs w:val="18"/>
              </w:rPr>
            </w:pPr>
            <w:r>
              <w:rPr>
                <w:rFonts w:ascii="仿宋" w:hAnsi="仿宋" w:eastAsia="仿宋" w:cs="仿宋"/>
                <w:spacing w:val="-5"/>
                <w:sz w:val="18"/>
                <w:szCs w:val="18"/>
              </w:rPr>
              <w:t>圪旦社</w:t>
            </w:r>
          </w:p>
        </w:tc>
        <w:tc>
          <w:tcPr>
            <w:tcW w:w="1359" w:type="dxa"/>
            <w:gridSpan w:val="2"/>
            <w:vAlign w:val="top"/>
          </w:tcPr>
          <w:p w14:paraId="6B0AA591">
            <w:pPr>
              <w:pStyle w:val="6"/>
              <w:spacing w:before="180" w:line="188" w:lineRule="auto"/>
              <w:ind w:left="135"/>
            </w:pPr>
            <w:r>
              <w:rPr>
                <w:spacing w:val="-3"/>
              </w:rPr>
              <w:t>111°00'</w:t>
            </w:r>
            <w:r>
              <w:rPr>
                <w:spacing w:val="-25"/>
              </w:rPr>
              <w:t xml:space="preserve"> </w:t>
            </w:r>
            <w:r>
              <w:rPr>
                <w:spacing w:val="-3"/>
              </w:rPr>
              <w:t>17.653"</w:t>
            </w:r>
          </w:p>
        </w:tc>
        <w:tc>
          <w:tcPr>
            <w:tcW w:w="1284" w:type="dxa"/>
            <w:vAlign w:val="top"/>
          </w:tcPr>
          <w:p w14:paraId="74FFB087">
            <w:pPr>
              <w:pStyle w:val="6"/>
              <w:spacing w:before="180" w:line="188" w:lineRule="auto"/>
              <w:ind w:left="126"/>
            </w:pPr>
            <w:r>
              <w:rPr>
                <w:spacing w:val="-4"/>
              </w:rPr>
              <w:t>40°</w:t>
            </w:r>
            <w:r>
              <w:rPr>
                <w:spacing w:val="-17"/>
              </w:rPr>
              <w:t xml:space="preserve"> </w:t>
            </w:r>
            <w:r>
              <w:rPr>
                <w:spacing w:val="-4"/>
              </w:rPr>
              <w:t>15'</w:t>
            </w:r>
            <w:r>
              <w:rPr>
                <w:spacing w:val="-25"/>
              </w:rPr>
              <w:t xml:space="preserve"> </w:t>
            </w:r>
            <w:r>
              <w:rPr>
                <w:spacing w:val="-4"/>
              </w:rPr>
              <w:t>17.341"</w:t>
            </w:r>
          </w:p>
        </w:tc>
        <w:tc>
          <w:tcPr>
            <w:tcW w:w="1348" w:type="dxa"/>
            <w:gridSpan w:val="2"/>
            <w:vAlign w:val="top"/>
          </w:tcPr>
          <w:p w14:paraId="5241CF38">
            <w:pPr>
              <w:pStyle w:val="6"/>
              <w:spacing w:before="180" w:line="188" w:lineRule="auto"/>
              <w:ind w:left="134"/>
            </w:pPr>
            <w:r>
              <w:rPr>
                <w:spacing w:val="-2"/>
              </w:rPr>
              <w:t>111°00'48.770"</w:t>
            </w:r>
          </w:p>
        </w:tc>
        <w:tc>
          <w:tcPr>
            <w:tcW w:w="1445" w:type="dxa"/>
            <w:tcBorders>
              <w:right w:val="single" w:color="000000" w:sz="6" w:space="0"/>
            </w:tcBorders>
            <w:vAlign w:val="top"/>
          </w:tcPr>
          <w:p w14:paraId="3FEF5E6D">
            <w:pPr>
              <w:pStyle w:val="6"/>
              <w:spacing w:before="180" w:line="188" w:lineRule="auto"/>
              <w:ind w:left="201"/>
            </w:pPr>
            <w:r>
              <w:rPr>
                <w:spacing w:val="-4"/>
              </w:rPr>
              <w:t>40°</w:t>
            </w:r>
            <w:r>
              <w:rPr>
                <w:spacing w:val="-18"/>
              </w:rPr>
              <w:t xml:space="preserve"> </w:t>
            </w:r>
            <w:r>
              <w:rPr>
                <w:spacing w:val="-4"/>
              </w:rPr>
              <w:t>16'</w:t>
            </w:r>
            <w:r>
              <w:rPr>
                <w:spacing w:val="-25"/>
              </w:rPr>
              <w:t xml:space="preserve"> </w:t>
            </w:r>
            <w:r>
              <w:rPr>
                <w:spacing w:val="-4"/>
              </w:rPr>
              <w:t>11.632"</w:t>
            </w:r>
          </w:p>
        </w:tc>
      </w:tr>
      <w:tr w14:paraId="22C816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1070" w:type="dxa"/>
            <w:vMerge w:val="continue"/>
            <w:tcBorders>
              <w:top w:val="nil"/>
              <w:left w:val="single" w:color="000000" w:sz="6" w:space="0"/>
              <w:bottom w:val="nil"/>
            </w:tcBorders>
            <w:vAlign w:val="top"/>
          </w:tcPr>
          <w:p w14:paraId="30DC70A5">
            <w:pPr>
              <w:rPr>
                <w:rFonts w:ascii="Arial"/>
                <w:sz w:val="21"/>
              </w:rPr>
            </w:pPr>
          </w:p>
        </w:tc>
        <w:tc>
          <w:tcPr>
            <w:tcW w:w="2557" w:type="dxa"/>
            <w:gridSpan w:val="2"/>
            <w:vAlign w:val="top"/>
          </w:tcPr>
          <w:p w14:paraId="727ABDAE">
            <w:pPr>
              <w:pStyle w:val="6"/>
              <w:spacing w:before="35" w:line="222" w:lineRule="auto"/>
              <w:ind w:left="181"/>
              <w:rPr>
                <w:rFonts w:ascii="仿宋" w:hAnsi="仿宋" w:eastAsia="仿宋" w:cs="仿宋"/>
              </w:rPr>
            </w:pPr>
            <w:r>
              <w:rPr>
                <w:rFonts w:ascii="仿宋" w:hAnsi="仿宋" w:eastAsia="仿宋" w:cs="仿宋"/>
                <w:spacing w:val="-2"/>
              </w:rPr>
              <w:t>二道拐村</w:t>
            </w:r>
            <w:r>
              <w:rPr>
                <w:spacing w:val="-2"/>
              </w:rPr>
              <w:t>-</w:t>
            </w:r>
            <w:r>
              <w:rPr>
                <w:rFonts w:ascii="仿宋" w:hAnsi="仿宋" w:eastAsia="仿宋" w:cs="仿宋"/>
                <w:spacing w:val="-2"/>
              </w:rPr>
              <w:t>二道拐村委至份子</w:t>
            </w:r>
          </w:p>
          <w:p w14:paraId="7E8E78A9">
            <w:pPr>
              <w:spacing w:before="16" w:line="198" w:lineRule="auto"/>
              <w:ind w:left="1015"/>
              <w:rPr>
                <w:rFonts w:ascii="仿宋" w:hAnsi="仿宋" w:eastAsia="仿宋" w:cs="仿宋"/>
                <w:sz w:val="18"/>
                <w:szCs w:val="18"/>
              </w:rPr>
            </w:pPr>
            <w:r>
              <w:rPr>
                <w:rFonts w:ascii="仿宋" w:hAnsi="仿宋" w:eastAsia="仿宋" w:cs="仿宋"/>
                <w:spacing w:val="-5"/>
                <w:sz w:val="18"/>
                <w:szCs w:val="18"/>
              </w:rPr>
              <w:t>地新村</w:t>
            </w:r>
          </w:p>
        </w:tc>
        <w:tc>
          <w:tcPr>
            <w:tcW w:w="1359" w:type="dxa"/>
            <w:gridSpan w:val="2"/>
            <w:vAlign w:val="top"/>
          </w:tcPr>
          <w:p w14:paraId="22700842">
            <w:pPr>
              <w:pStyle w:val="6"/>
              <w:spacing w:before="182" w:line="188" w:lineRule="auto"/>
              <w:ind w:left="135"/>
            </w:pPr>
            <w:r>
              <w:rPr>
                <w:spacing w:val="-3"/>
              </w:rPr>
              <w:t>110°59'</w:t>
            </w:r>
            <w:r>
              <w:rPr>
                <w:spacing w:val="-25"/>
              </w:rPr>
              <w:t xml:space="preserve"> </w:t>
            </w:r>
            <w:r>
              <w:rPr>
                <w:spacing w:val="-3"/>
              </w:rPr>
              <w:t>13.350"</w:t>
            </w:r>
          </w:p>
        </w:tc>
        <w:tc>
          <w:tcPr>
            <w:tcW w:w="1284" w:type="dxa"/>
            <w:vAlign w:val="top"/>
          </w:tcPr>
          <w:p w14:paraId="6C6132AD">
            <w:pPr>
              <w:pStyle w:val="6"/>
              <w:spacing w:before="182" w:line="188" w:lineRule="auto"/>
              <w:ind w:left="126"/>
            </w:pPr>
            <w:r>
              <w:rPr>
                <w:spacing w:val="-2"/>
              </w:rPr>
              <w:t>40°</w:t>
            </w:r>
            <w:r>
              <w:rPr>
                <w:spacing w:val="-23"/>
              </w:rPr>
              <w:t xml:space="preserve"> </w:t>
            </w:r>
            <w:r>
              <w:rPr>
                <w:spacing w:val="-2"/>
              </w:rPr>
              <w:t>14'27.125"</w:t>
            </w:r>
          </w:p>
        </w:tc>
        <w:tc>
          <w:tcPr>
            <w:tcW w:w="1348" w:type="dxa"/>
            <w:gridSpan w:val="2"/>
            <w:vAlign w:val="top"/>
          </w:tcPr>
          <w:p w14:paraId="0F4E6FC4">
            <w:pPr>
              <w:pStyle w:val="6"/>
              <w:spacing w:before="182" w:line="188" w:lineRule="auto"/>
              <w:ind w:left="134"/>
            </w:pPr>
            <w:r>
              <w:rPr>
                <w:spacing w:val="-3"/>
              </w:rPr>
              <w:t>111°00'</w:t>
            </w:r>
            <w:r>
              <w:rPr>
                <w:spacing w:val="-25"/>
              </w:rPr>
              <w:t xml:space="preserve"> </w:t>
            </w:r>
            <w:r>
              <w:rPr>
                <w:spacing w:val="-3"/>
              </w:rPr>
              <w:t>11.744"</w:t>
            </w:r>
          </w:p>
        </w:tc>
        <w:tc>
          <w:tcPr>
            <w:tcW w:w="1445" w:type="dxa"/>
            <w:tcBorders>
              <w:right w:val="single" w:color="000000" w:sz="6" w:space="0"/>
            </w:tcBorders>
            <w:vAlign w:val="top"/>
          </w:tcPr>
          <w:p w14:paraId="1A41F703">
            <w:pPr>
              <w:pStyle w:val="6"/>
              <w:spacing w:before="182" w:line="188" w:lineRule="auto"/>
              <w:ind w:left="201"/>
            </w:pPr>
            <w:r>
              <w:rPr>
                <w:spacing w:val="-4"/>
              </w:rPr>
              <w:t>40°</w:t>
            </w:r>
            <w:r>
              <w:rPr>
                <w:spacing w:val="-18"/>
              </w:rPr>
              <w:t xml:space="preserve"> </w:t>
            </w:r>
            <w:r>
              <w:rPr>
                <w:spacing w:val="-4"/>
              </w:rPr>
              <w:t>14'</w:t>
            </w:r>
            <w:r>
              <w:rPr>
                <w:spacing w:val="-25"/>
              </w:rPr>
              <w:t xml:space="preserve"> </w:t>
            </w:r>
            <w:r>
              <w:rPr>
                <w:spacing w:val="-4"/>
              </w:rPr>
              <w:t>14.307"</w:t>
            </w:r>
          </w:p>
        </w:tc>
      </w:tr>
      <w:tr w14:paraId="2C603D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1070" w:type="dxa"/>
            <w:vMerge w:val="continue"/>
            <w:tcBorders>
              <w:top w:val="nil"/>
              <w:left w:val="single" w:color="000000" w:sz="6" w:space="0"/>
              <w:bottom w:val="nil"/>
            </w:tcBorders>
            <w:vAlign w:val="top"/>
          </w:tcPr>
          <w:p w14:paraId="550FCFD4">
            <w:pPr>
              <w:rPr>
                <w:rFonts w:ascii="Arial"/>
                <w:sz w:val="21"/>
              </w:rPr>
            </w:pPr>
          </w:p>
        </w:tc>
        <w:tc>
          <w:tcPr>
            <w:tcW w:w="2557" w:type="dxa"/>
            <w:gridSpan w:val="2"/>
            <w:vAlign w:val="top"/>
          </w:tcPr>
          <w:p w14:paraId="632AC342">
            <w:pPr>
              <w:pStyle w:val="6"/>
              <w:spacing w:before="36" w:line="222" w:lineRule="auto"/>
              <w:ind w:left="181"/>
              <w:rPr>
                <w:rFonts w:ascii="仿宋" w:hAnsi="仿宋" w:eastAsia="仿宋" w:cs="仿宋"/>
              </w:rPr>
            </w:pPr>
            <w:r>
              <w:rPr>
                <w:rFonts w:ascii="仿宋" w:hAnsi="仿宋" w:eastAsia="仿宋" w:cs="仿宋"/>
                <w:spacing w:val="-2"/>
              </w:rPr>
              <w:t>二道拐村</w:t>
            </w:r>
            <w:r>
              <w:rPr>
                <w:spacing w:val="-2"/>
              </w:rPr>
              <w:t>-</w:t>
            </w:r>
            <w:r>
              <w:rPr>
                <w:rFonts w:ascii="仿宋" w:hAnsi="仿宋" w:eastAsia="仿宋" w:cs="仿宋"/>
                <w:spacing w:val="-2"/>
              </w:rPr>
              <w:t>三道拐社坡地至北</w:t>
            </w:r>
          </w:p>
          <w:p w14:paraId="6D23DEB8">
            <w:pPr>
              <w:spacing w:before="16" w:line="196" w:lineRule="auto"/>
              <w:ind w:left="1027"/>
              <w:rPr>
                <w:rFonts w:ascii="仿宋" w:hAnsi="仿宋" w:eastAsia="仿宋" w:cs="仿宋"/>
                <w:sz w:val="18"/>
                <w:szCs w:val="18"/>
              </w:rPr>
            </w:pPr>
            <w:r>
              <w:rPr>
                <w:rFonts w:ascii="仿宋" w:hAnsi="仿宋" w:eastAsia="仿宋" w:cs="仿宋"/>
                <w:spacing w:val="-8"/>
                <w:sz w:val="18"/>
                <w:szCs w:val="18"/>
              </w:rPr>
              <w:t>防洪堤</w:t>
            </w:r>
          </w:p>
        </w:tc>
        <w:tc>
          <w:tcPr>
            <w:tcW w:w="1359" w:type="dxa"/>
            <w:gridSpan w:val="2"/>
            <w:vAlign w:val="top"/>
          </w:tcPr>
          <w:p w14:paraId="6C2071C9">
            <w:pPr>
              <w:pStyle w:val="6"/>
              <w:spacing w:before="183" w:line="188" w:lineRule="auto"/>
              <w:ind w:left="135"/>
            </w:pPr>
            <w:r>
              <w:rPr>
                <w:spacing w:val="-2"/>
              </w:rPr>
              <w:t>110°56'35.760"</w:t>
            </w:r>
          </w:p>
        </w:tc>
        <w:tc>
          <w:tcPr>
            <w:tcW w:w="1284" w:type="dxa"/>
            <w:vAlign w:val="top"/>
          </w:tcPr>
          <w:p w14:paraId="27C7B8C7">
            <w:pPr>
              <w:pStyle w:val="6"/>
              <w:spacing w:before="183" w:line="188" w:lineRule="auto"/>
              <w:ind w:left="126"/>
            </w:pPr>
            <w:r>
              <w:rPr>
                <w:spacing w:val="-2"/>
              </w:rPr>
              <w:t>40°</w:t>
            </w:r>
            <w:r>
              <w:rPr>
                <w:spacing w:val="-23"/>
              </w:rPr>
              <w:t xml:space="preserve"> </w:t>
            </w:r>
            <w:r>
              <w:rPr>
                <w:spacing w:val="-2"/>
              </w:rPr>
              <w:t>14'43.661"</w:t>
            </w:r>
          </w:p>
        </w:tc>
        <w:tc>
          <w:tcPr>
            <w:tcW w:w="1348" w:type="dxa"/>
            <w:gridSpan w:val="2"/>
            <w:vAlign w:val="top"/>
          </w:tcPr>
          <w:p w14:paraId="504F5D0C">
            <w:pPr>
              <w:pStyle w:val="6"/>
              <w:spacing w:before="183" w:line="188" w:lineRule="auto"/>
              <w:ind w:left="134"/>
            </w:pPr>
            <w:r>
              <w:rPr>
                <w:spacing w:val="-2"/>
              </w:rPr>
              <w:t>110°56'27.538"</w:t>
            </w:r>
          </w:p>
        </w:tc>
        <w:tc>
          <w:tcPr>
            <w:tcW w:w="1445" w:type="dxa"/>
            <w:tcBorders>
              <w:right w:val="single" w:color="000000" w:sz="6" w:space="0"/>
            </w:tcBorders>
            <w:vAlign w:val="top"/>
          </w:tcPr>
          <w:p w14:paraId="499C6D93">
            <w:pPr>
              <w:pStyle w:val="6"/>
              <w:spacing w:before="183" w:line="188" w:lineRule="auto"/>
              <w:ind w:left="201"/>
            </w:pPr>
            <w:r>
              <w:rPr>
                <w:spacing w:val="-4"/>
              </w:rPr>
              <w:t>40°</w:t>
            </w:r>
            <w:r>
              <w:rPr>
                <w:spacing w:val="-18"/>
              </w:rPr>
              <w:t xml:space="preserve"> </w:t>
            </w:r>
            <w:r>
              <w:rPr>
                <w:spacing w:val="-4"/>
              </w:rPr>
              <w:t>15'</w:t>
            </w:r>
            <w:r>
              <w:rPr>
                <w:spacing w:val="-25"/>
              </w:rPr>
              <w:t xml:space="preserve"> </w:t>
            </w:r>
            <w:r>
              <w:rPr>
                <w:spacing w:val="-4"/>
              </w:rPr>
              <w:t>18.896"</w:t>
            </w:r>
          </w:p>
        </w:tc>
      </w:tr>
      <w:tr w14:paraId="64E12C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1070" w:type="dxa"/>
            <w:vMerge w:val="continue"/>
            <w:tcBorders>
              <w:top w:val="nil"/>
              <w:left w:val="single" w:color="000000" w:sz="6" w:space="0"/>
              <w:bottom w:val="nil"/>
            </w:tcBorders>
            <w:vAlign w:val="top"/>
          </w:tcPr>
          <w:p w14:paraId="764AB94A">
            <w:pPr>
              <w:rPr>
                <w:rFonts w:ascii="Arial"/>
                <w:sz w:val="21"/>
              </w:rPr>
            </w:pPr>
          </w:p>
        </w:tc>
        <w:tc>
          <w:tcPr>
            <w:tcW w:w="2557" w:type="dxa"/>
            <w:gridSpan w:val="2"/>
            <w:vAlign w:val="top"/>
          </w:tcPr>
          <w:p w14:paraId="5FBA913A">
            <w:pPr>
              <w:pStyle w:val="6"/>
              <w:spacing w:before="35" w:line="197" w:lineRule="auto"/>
              <w:ind w:left="626"/>
              <w:rPr>
                <w:rFonts w:ascii="仿宋" w:hAnsi="仿宋" w:eastAsia="仿宋" w:cs="仿宋"/>
              </w:rPr>
            </w:pPr>
            <w:r>
              <w:rPr>
                <w:rFonts w:ascii="仿宋" w:hAnsi="仿宋" w:eastAsia="仿宋" w:cs="仿宋"/>
              </w:rPr>
              <w:t>脑包湾村</w:t>
            </w:r>
            <w:r>
              <w:t>-</w:t>
            </w:r>
            <w:r>
              <w:rPr>
                <w:rFonts w:ascii="仿宋" w:hAnsi="仿宋" w:eastAsia="仿宋" w:cs="仿宋"/>
              </w:rPr>
              <w:t>路段一</w:t>
            </w:r>
          </w:p>
        </w:tc>
        <w:tc>
          <w:tcPr>
            <w:tcW w:w="1359" w:type="dxa"/>
            <w:gridSpan w:val="2"/>
            <w:vAlign w:val="top"/>
          </w:tcPr>
          <w:p w14:paraId="3B195985">
            <w:pPr>
              <w:pStyle w:val="6"/>
              <w:spacing w:before="67" w:line="186" w:lineRule="auto"/>
              <w:ind w:left="135"/>
            </w:pPr>
            <w:r>
              <w:rPr>
                <w:spacing w:val="-2"/>
              </w:rPr>
              <w:t>111°01'55.029"</w:t>
            </w:r>
          </w:p>
        </w:tc>
        <w:tc>
          <w:tcPr>
            <w:tcW w:w="1284" w:type="dxa"/>
            <w:vAlign w:val="top"/>
          </w:tcPr>
          <w:p w14:paraId="480D6434">
            <w:pPr>
              <w:pStyle w:val="6"/>
              <w:spacing w:before="67" w:line="186" w:lineRule="auto"/>
              <w:ind w:left="126"/>
            </w:pPr>
            <w:r>
              <w:rPr>
                <w:spacing w:val="-2"/>
              </w:rPr>
              <w:t>40°</w:t>
            </w:r>
            <w:r>
              <w:rPr>
                <w:spacing w:val="-23"/>
              </w:rPr>
              <w:t xml:space="preserve"> </w:t>
            </w:r>
            <w:r>
              <w:rPr>
                <w:spacing w:val="-2"/>
              </w:rPr>
              <w:t>15'28.059"</w:t>
            </w:r>
          </w:p>
        </w:tc>
        <w:tc>
          <w:tcPr>
            <w:tcW w:w="1348" w:type="dxa"/>
            <w:gridSpan w:val="2"/>
            <w:vAlign w:val="top"/>
          </w:tcPr>
          <w:p w14:paraId="56B80D8B">
            <w:pPr>
              <w:pStyle w:val="6"/>
              <w:spacing w:before="67" w:line="186" w:lineRule="auto"/>
              <w:ind w:left="134"/>
            </w:pPr>
            <w:r>
              <w:rPr>
                <w:spacing w:val="-3"/>
              </w:rPr>
              <w:t>111°01'</w:t>
            </w:r>
            <w:r>
              <w:rPr>
                <w:spacing w:val="-25"/>
              </w:rPr>
              <w:t xml:space="preserve"> </w:t>
            </w:r>
            <w:r>
              <w:rPr>
                <w:spacing w:val="-3"/>
              </w:rPr>
              <w:t>13.378"</w:t>
            </w:r>
          </w:p>
        </w:tc>
        <w:tc>
          <w:tcPr>
            <w:tcW w:w="1445" w:type="dxa"/>
            <w:tcBorders>
              <w:right w:val="single" w:color="000000" w:sz="6" w:space="0"/>
            </w:tcBorders>
            <w:vAlign w:val="top"/>
          </w:tcPr>
          <w:p w14:paraId="52F422C8">
            <w:pPr>
              <w:pStyle w:val="6"/>
              <w:spacing w:before="67" w:line="186" w:lineRule="auto"/>
              <w:ind w:left="201"/>
            </w:pPr>
            <w:r>
              <w:rPr>
                <w:spacing w:val="-2"/>
              </w:rPr>
              <w:t>40°</w:t>
            </w:r>
            <w:r>
              <w:rPr>
                <w:spacing w:val="-24"/>
              </w:rPr>
              <w:t xml:space="preserve"> </w:t>
            </w:r>
            <w:r>
              <w:rPr>
                <w:spacing w:val="-2"/>
              </w:rPr>
              <w:t>15'58.065"</w:t>
            </w:r>
          </w:p>
        </w:tc>
      </w:tr>
      <w:tr w14:paraId="0E6B53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1070" w:type="dxa"/>
            <w:vMerge w:val="continue"/>
            <w:tcBorders>
              <w:top w:val="nil"/>
              <w:left w:val="single" w:color="000000" w:sz="6" w:space="0"/>
              <w:bottom w:val="nil"/>
            </w:tcBorders>
            <w:vAlign w:val="top"/>
          </w:tcPr>
          <w:p w14:paraId="1C431BAE">
            <w:pPr>
              <w:rPr>
                <w:rFonts w:ascii="Arial"/>
                <w:sz w:val="21"/>
              </w:rPr>
            </w:pPr>
          </w:p>
        </w:tc>
        <w:tc>
          <w:tcPr>
            <w:tcW w:w="2557" w:type="dxa"/>
            <w:gridSpan w:val="2"/>
            <w:vAlign w:val="top"/>
          </w:tcPr>
          <w:p w14:paraId="7CF215EE">
            <w:pPr>
              <w:pStyle w:val="6"/>
              <w:spacing w:before="37" w:line="196" w:lineRule="auto"/>
              <w:ind w:left="626"/>
              <w:rPr>
                <w:rFonts w:ascii="仿宋" w:hAnsi="仿宋" w:eastAsia="仿宋" w:cs="仿宋"/>
              </w:rPr>
            </w:pPr>
            <w:r>
              <w:rPr>
                <w:rFonts w:ascii="仿宋" w:hAnsi="仿宋" w:eastAsia="仿宋" w:cs="仿宋"/>
                <w:spacing w:val="-2"/>
              </w:rPr>
              <w:t>脑包湾村</w:t>
            </w:r>
            <w:r>
              <w:rPr>
                <w:spacing w:val="-2"/>
              </w:rPr>
              <w:t>-</w:t>
            </w:r>
            <w:r>
              <w:rPr>
                <w:rFonts w:ascii="仿宋" w:hAnsi="仿宋" w:eastAsia="仿宋" w:cs="仿宋"/>
                <w:spacing w:val="-2"/>
              </w:rPr>
              <w:t>路段二</w:t>
            </w:r>
          </w:p>
        </w:tc>
        <w:tc>
          <w:tcPr>
            <w:tcW w:w="1359" w:type="dxa"/>
            <w:gridSpan w:val="2"/>
            <w:vAlign w:val="top"/>
          </w:tcPr>
          <w:p w14:paraId="00DAB753">
            <w:pPr>
              <w:pStyle w:val="6"/>
              <w:spacing w:before="66" w:line="188" w:lineRule="auto"/>
              <w:ind w:left="135"/>
            </w:pPr>
            <w:r>
              <w:rPr>
                <w:spacing w:val="-3"/>
              </w:rPr>
              <w:t>111°01'</w:t>
            </w:r>
            <w:r>
              <w:rPr>
                <w:spacing w:val="-25"/>
              </w:rPr>
              <w:t xml:space="preserve"> </w:t>
            </w:r>
            <w:r>
              <w:rPr>
                <w:spacing w:val="-3"/>
              </w:rPr>
              <w:t>16.820"</w:t>
            </w:r>
          </w:p>
        </w:tc>
        <w:tc>
          <w:tcPr>
            <w:tcW w:w="1284" w:type="dxa"/>
            <w:vAlign w:val="top"/>
          </w:tcPr>
          <w:p w14:paraId="0E91B242">
            <w:pPr>
              <w:pStyle w:val="6"/>
              <w:spacing w:before="66" w:line="188" w:lineRule="auto"/>
              <w:ind w:left="126"/>
            </w:pPr>
            <w:r>
              <w:rPr>
                <w:spacing w:val="-2"/>
              </w:rPr>
              <w:t>40°</w:t>
            </w:r>
            <w:r>
              <w:rPr>
                <w:spacing w:val="-23"/>
              </w:rPr>
              <w:t xml:space="preserve"> </w:t>
            </w:r>
            <w:r>
              <w:rPr>
                <w:spacing w:val="-2"/>
              </w:rPr>
              <w:t>15'24.313"</w:t>
            </w:r>
          </w:p>
        </w:tc>
        <w:tc>
          <w:tcPr>
            <w:tcW w:w="1348" w:type="dxa"/>
            <w:gridSpan w:val="2"/>
            <w:vAlign w:val="top"/>
          </w:tcPr>
          <w:p w14:paraId="71720EF7">
            <w:pPr>
              <w:pStyle w:val="6"/>
              <w:spacing w:before="66" w:line="188" w:lineRule="auto"/>
              <w:ind w:left="134"/>
            </w:pPr>
            <w:r>
              <w:rPr>
                <w:spacing w:val="-2"/>
              </w:rPr>
              <w:t>111°00'45.096"</w:t>
            </w:r>
          </w:p>
        </w:tc>
        <w:tc>
          <w:tcPr>
            <w:tcW w:w="1445" w:type="dxa"/>
            <w:tcBorders>
              <w:right w:val="single" w:color="000000" w:sz="6" w:space="0"/>
            </w:tcBorders>
            <w:vAlign w:val="top"/>
          </w:tcPr>
          <w:p w14:paraId="0CE989DD">
            <w:pPr>
              <w:pStyle w:val="6"/>
              <w:spacing w:before="66" w:line="188" w:lineRule="auto"/>
              <w:ind w:left="201"/>
            </w:pPr>
            <w:r>
              <w:rPr>
                <w:spacing w:val="-4"/>
              </w:rPr>
              <w:t>40°</w:t>
            </w:r>
            <w:r>
              <w:rPr>
                <w:spacing w:val="-18"/>
              </w:rPr>
              <w:t xml:space="preserve"> </w:t>
            </w:r>
            <w:r>
              <w:rPr>
                <w:spacing w:val="-4"/>
              </w:rPr>
              <w:t>15'</w:t>
            </w:r>
            <w:r>
              <w:rPr>
                <w:spacing w:val="-25"/>
              </w:rPr>
              <w:t xml:space="preserve"> </w:t>
            </w:r>
            <w:r>
              <w:rPr>
                <w:spacing w:val="-4"/>
              </w:rPr>
              <w:t>11.273"</w:t>
            </w:r>
          </w:p>
        </w:tc>
      </w:tr>
      <w:tr w14:paraId="2B532D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1070" w:type="dxa"/>
            <w:vMerge w:val="continue"/>
            <w:tcBorders>
              <w:top w:val="nil"/>
              <w:left w:val="single" w:color="000000" w:sz="6" w:space="0"/>
              <w:bottom w:val="nil"/>
            </w:tcBorders>
            <w:vAlign w:val="top"/>
          </w:tcPr>
          <w:p w14:paraId="2E948480">
            <w:pPr>
              <w:rPr>
                <w:rFonts w:ascii="Arial"/>
                <w:sz w:val="21"/>
              </w:rPr>
            </w:pPr>
          </w:p>
        </w:tc>
        <w:tc>
          <w:tcPr>
            <w:tcW w:w="2557" w:type="dxa"/>
            <w:gridSpan w:val="2"/>
            <w:vAlign w:val="top"/>
          </w:tcPr>
          <w:p w14:paraId="1E889303">
            <w:pPr>
              <w:pStyle w:val="6"/>
              <w:spacing w:before="36" w:line="196" w:lineRule="auto"/>
              <w:ind w:left="626"/>
              <w:rPr>
                <w:rFonts w:ascii="仿宋" w:hAnsi="仿宋" w:eastAsia="仿宋" w:cs="仿宋"/>
              </w:rPr>
            </w:pPr>
            <w:r>
              <w:rPr>
                <w:rFonts w:ascii="仿宋" w:hAnsi="仿宋" w:eastAsia="仿宋" w:cs="仿宋"/>
                <w:spacing w:val="-2"/>
              </w:rPr>
              <w:t>脑包湾村</w:t>
            </w:r>
            <w:r>
              <w:rPr>
                <w:spacing w:val="-2"/>
              </w:rPr>
              <w:t>-</w:t>
            </w:r>
            <w:r>
              <w:rPr>
                <w:rFonts w:ascii="仿宋" w:hAnsi="仿宋" w:eastAsia="仿宋" w:cs="仿宋"/>
                <w:spacing w:val="-2"/>
              </w:rPr>
              <w:t>路段三</w:t>
            </w:r>
          </w:p>
        </w:tc>
        <w:tc>
          <w:tcPr>
            <w:tcW w:w="1359" w:type="dxa"/>
            <w:gridSpan w:val="2"/>
            <w:vAlign w:val="top"/>
          </w:tcPr>
          <w:p w14:paraId="1ED954AB">
            <w:pPr>
              <w:pStyle w:val="6"/>
              <w:spacing w:before="65" w:line="188" w:lineRule="auto"/>
              <w:ind w:left="123"/>
            </w:pPr>
            <w:r>
              <w:rPr>
                <w:spacing w:val="-3"/>
              </w:rPr>
              <w:t>111°01'</w:t>
            </w:r>
            <w:r>
              <w:rPr>
                <w:spacing w:val="-24"/>
              </w:rPr>
              <w:t xml:space="preserve"> </w:t>
            </w:r>
            <w:r>
              <w:rPr>
                <w:spacing w:val="-3"/>
              </w:rPr>
              <w:t>13.356"</w:t>
            </w:r>
          </w:p>
        </w:tc>
        <w:tc>
          <w:tcPr>
            <w:tcW w:w="1284" w:type="dxa"/>
            <w:vAlign w:val="top"/>
          </w:tcPr>
          <w:p w14:paraId="418AC837">
            <w:pPr>
              <w:pStyle w:val="6"/>
              <w:spacing w:before="65" w:line="188" w:lineRule="auto"/>
              <w:ind w:left="109"/>
            </w:pPr>
            <w:r>
              <w:rPr>
                <w:spacing w:val="-2"/>
              </w:rPr>
              <w:t>40°</w:t>
            </w:r>
            <w:r>
              <w:rPr>
                <w:spacing w:val="-24"/>
              </w:rPr>
              <w:t xml:space="preserve"> </w:t>
            </w:r>
            <w:r>
              <w:rPr>
                <w:spacing w:val="-2"/>
              </w:rPr>
              <w:t>15'58.069"</w:t>
            </w:r>
          </w:p>
        </w:tc>
        <w:tc>
          <w:tcPr>
            <w:tcW w:w="1348" w:type="dxa"/>
            <w:gridSpan w:val="2"/>
            <w:vAlign w:val="top"/>
          </w:tcPr>
          <w:p w14:paraId="5E471838">
            <w:pPr>
              <w:pStyle w:val="6"/>
              <w:spacing w:before="65" w:line="188" w:lineRule="auto"/>
              <w:ind w:left="127"/>
            </w:pPr>
            <w:r>
              <w:rPr>
                <w:spacing w:val="-2"/>
              </w:rPr>
              <w:t>111°01'08.671"</w:t>
            </w:r>
          </w:p>
        </w:tc>
        <w:tc>
          <w:tcPr>
            <w:tcW w:w="1445" w:type="dxa"/>
            <w:tcBorders>
              <w:right w:val="single" w:color="000000" w:sz="6" w:space="0"/>
            </w:tcBorders>
            <w:vAlign w:val="top"/>
          </w:tcPr>
          <w:p w14:paraId="460BD255">
            <w:pPr>
              <w:pStyle w:val="6"/>
              <w:spacing w:before="65" w:line="188" w:lineRule="auto"/>
              <w:ind w:left="201"/>
            </w:pPr>
            <w:r>
              <w:rPr>
                <w:spacing w:val="-2"/>
              </w:rPr>
              <w:t>40°</w:t>
            </w:r>
            <w:r>
              <w:rPr>
                <w:spacing w:val="-24"/>
              </w:rPr>
              <w:t xml:space="preserve"> </w:t>
            </w:r>
            <w:r>
              <w:rPr>
                <w:spacing w:val="-2"/>
              </w:rPr>
              <w:t>16'35.383"</w:t>
            </w:r>
          </w:p>
        </w:tc>
      </w:tr>
      <w:tr w14:paraId="4B27E8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trPr>
        <w:tc>
          <w:tcPr>
            <w:tcW w:w="1070" w:type="dxa"/>
            <w:vMerge w:val="continue"/>
            <w:tcBorders>
              <w:top w:val="nil"/>
              <w:left w:val="single" w:color="000000" w:sz="6" w:space="0"/>
            </w:tcBorders>
            <w:vAlign w:val="top"/>
          </w:tcPr>
          <w:p w14:paraId="182C6113">
            <w:pPr>
              <w:rPr>
                <w:rFonts w:ascii="Arial"/>
                <w:sz w:val="21"/>
              </w:rPr>
            </w:pPr>
          </w:p>
        </w:tc>
        <w:tc>
          <w:tcPr>
            <w:tcW w:w="2557" w:type="dxa"/>
            <w:gridSpan w:val="2"/>
            <w:vAlign w:val="top"/>
          </w:tcPr>
          <w:p w14:paraId="64F1967A">
            <w:pPr>
              <w:pStyle w:val="6"/>
              <w:spacing w:before="37" w:line="222" w:lineRule="auto"/>
              <w:ind w:left="176"/>
              <w:rPr>
                <w:rFonts w:ascii="仿宋" w:hAnsi="仿宋" w:eastAsia="仿宋" w:cs="仿宋"/>
              </w:rPr>
            </w:pPr>
            <w:r>
              <w:rPr>
                <w:rFonts w:ascii="仿宋" w:hAnsi="仿宋" w:eastAsia="仿宋" w:cs="仿宋"/>
                <w:spacing w:val="-2"/>
              </w:rPr>
              <w:t>杨子华村</w:t>
            </w:r>
            <w:r>
              <w:rPr>
                <w:spacing w:val="-2"/>
              </w:rPr>
              <w:t>-</w:t>
            </w:r>
            <w:r>
              <w:rPr>
                <w:rFonts w:ascii="仿宋" w:hAnsi="仿宋" w:eastAsia="仿宋" w:cs="仿宋"/>
                <w:spacing w:val="-2"/>
              </w:rPr>
              <w:t>大棚区至杏仁露基</w:t>
            </w:r>
          </w:p>
          <w:p w14:paraId="4E64F420">
            <w:pPr>
              <w:spacing w:before="17" w:line="226" w:lineRule="auto"/>
              <w:ind w:left="1195"/>
              <w:rPr>
                <w:rFonts w:ascii="仿宋" w:hAnsi="仿宋" w:eastAsia="仿宋" w:cs="仿宋"/>
                <w:sz w:val="18"/>
                <w:szCs w:val="18"/>
              </w:rPr>
            </w:pPr>
            <w:r>
              <w:rPr>
                <w:rFonts w:ascii="仿宋" w:hAnsi="仿宋" w:eastAsia="仿宋" w:cs="仿宋"/>
                <w:sz w:val="18"/>
                <w:szCs w:val="18"/>
              </w:rPr>
              <w:t>地</w:t>
            </w:r>
          </w:p>
        </w:tc>
        <w:tc>
          <w:tcPr>
            <w:tcW w:w="1359" w:type="dxa"/>
            <w:gridSpan w:val="2"/>
            <w:vAlign w:val="top"/>
          </w:tcPr>
          <w:p w14:paraId="73FA279A">
            <w:pPr>
              <w:pStyle w:val="6"/>
              <w:spacing w:before="182" w:line="188" w:lineRule="auto"/>
              <w:ind w:left="135"/>
            </w:pPr>
            <w:r>
              <w:rPr>
                <w:spacing w:val="-3"/>
              </w:rPr>
              <w:t>110°46'</w:t>
            </w:r>
            <w:r>
              <w:rPr>
                <w:spacing w:val="-25"/>
              </w:rPr>
              <w:t xml:space="preserve"> </w:t>
            </w:r>
            <w:r>
              <w:rPr>
                <w:spacing w:val="-3"/>
              </w:rPr>
              <w:t>10.131"</w:t>
            </w:r>
          </w:p>
        </w:tc>
        <w:tc>
          <w:tcPr>
            <w:tcW w:w="1284" w:type="dxa"/>
            <w:vAlign w:val="top"/>
          </w:tcPr>
          <w:p w14:paraId="5A74C4CF">
            <w:pPr>
              <w:pStyle w:val="6"/>
              <w:spacing w:before="182" w:line="188" w:lineRule="auto"/>
              <w:ind w:left="171"/>
            </w:pPr>
            <w:r>
              <w:rPr>
                <w:spacing w:val="-2"/>
              </w:rPr>
              <w:t>40°</w:t>
            </w:r>
            <w:r>
              <w:rPr>
                <w:spacing w:val="-26"/>
              </w:rPr>
              <w:t xml:space="preserve"> </w:t>
            </w:r>
            <w:r>
              <w:rPr>
                <w:spacing w:val="-2"/>
              </w:rPr>
              <w:t>14'7.196"</w:t>
            </w:r>
          </w:p>
        </w:tc>
        <w:tc>
          <w:tcPr>
            <w:tcW w:w="1348" w:type="dxa"/>
            <w:gridSpan w:val="2"/>
            <w:vAlign w:val="top"/>
          </w:tcPr>
          <w:p w14:paraId="68C4B0E4">
            <w:pPr>
              <w:pStyle w:val="6"/>
              <w:spacing w:before="182" w:line="188" w:lineRule="auto"/>
              <w:ind w:left="134"/>
            </w:pPr>
            <w:r>
              <w:rPr>
                <w:spacing w:val="-3"/>
              </w:rPr>
              <w:t>110°45'</w:t>
            </w:r>
            <w:r>
              <w:rPr>
                <w:spacing w:val="-25"/>
              </w:rPr>
              <w:t xml:space="preserve"> </w:t>
            </w:r>
            <w:r>
              <w:rPr>
                <w:spacing w:val="-3"/>
              </w:rPr>
              <w:t>17.115"</w:t>
            </w:r>
          </w:p>
        </w:tc>
        <w:tc>
          <w:tcPr>
            <w:tcW w:w="1445" w:type="dxa"/>
            <w:tcBorders>
              <w:right w:val="single" w:color="000000" w:sz="6" w:space="0"/>
            </w:tcBorders>
            <w:vAlign w:val="top"/>
          </w:tcPr>
          <w:p w14:paraId="54D75845">
            <w:pPr>
              <w:pStyle w:val="6"/>
              <w:spacing w:before="182" w:line="188" w:lineRule="auto"/>
              <w:ind w:left="201"/>
            </w:pPr>
            <w:r>
              <w:rPr>
                <w:spacing w:val="-2"/>
              </w:rPr>
              <w:t>40°</w:t>
            </w:r>
            <w:r>
              <w:rPr>
                <w:spacing w:val="-24"/>
              </w:rPr>
              <w:t xml:space="preserve"> </w:t>
            </w:r>
            <w:r>
              <w:rPr>
                <w:spacing w:val="-2"/>
              </w:rPr>
              <w:t>13'47.628"</w:t>
            </w:r>
          </w:p>
        </w:tc>
      </w:tr>
      <w:tr w14:paraId="5BD404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1" w:hRule="atLeast"/>
        </w:trPr>
        <w:tc>
          <w:tcPr>
            <w:tcW w:w="1070" w:type="dxa"/>
            <w:tcBorders>
              <w:left w:val="single" w:color="000000" w:sz="6" w:space="0"/>
            </w:tcBorders>
            <w:vAlign w:val="top"/>
          </w:tcPr>
          <w:p w14:paraId="3C3349F6">
            <w:pPr>
              <w:spacing w:line="398" w:lineRule="auto"/>
              <w:rPr>
                <w:rFonts w:ascii="Arial"/>
                <w:sz w:val="21"/>
              </w:rPr>
            </w:pPr>
          </w:p>
          <w:p w14:paraId="52FAD86D">
            <w:pPr>
              <w:spacing w:before="65" w:line="250" w:lineRule="auto"/>
              <w:ind w:left="119" w:right="117" w:hanging="1"/>
              <w:rPr>
                <w:rFonts w:ascii="仿宋" w:hAnsi="仿宋" w:eastAsia="仿宋" w:cs="仿宋"/>
                <w:sz w:val="20"/>
                <w:szCs w:val="20"/>
              </w:rPr>
            </w:pPr>
            <w:r>
              <w:rPr>
                <w:rFonts w:ascii="仿宋" w:hAnsi="仿宋" w:eastAsia="仿宋" w:cs="仿宋"/>
                <w:spacing w:val="5"/>
                <w:sz w:val="20"/>
                <w:szCs w:val="20"/>
              </w:rPr>
              <w:t>建设项目行业类别</w:t>
            </w:r>
          </w:p>
        </w:tc>
        <w:tc>
          <w:tcPr>
            <w:tcW w:w="3202" w:type="dxa"/>
            <w:gridSpan w:val="3"/>
            <w:vAlign w:val="top"/>
          </w:tcPr>
          <w:p w14:paraId="103A25E4">
            <w:pPr>
              <w:spacing w:before="58" w:line="231" w:lineRule="auto"/>
              <w:ind w:left="36"/>
              <w:rPr>
                <w:rFonts w:ascii="仿宋" w:hAnsi="仿宋" w:eastAsia="仿宋" w:cs="仿宋"/>
                <w:sz w:val="20"/>
                <w:szCs w:val="20"/>
              </w:rPr>
            </w:pPr>
            <w:r>
              <w:rPr>
                <w:rFonts w:ascii="仿宋" w:hAnsi="仿宋" w:eastAsia="仿宋" w:cs="仿宋"/>
                <w:spacing w:val="8"/>
                <w:sz w:val="20"/>
                <w:szCs w:val="20"/>
              </w:rPr>
              <w:t>五十二、交通运输业、管道运输业</w:t>
            </w:r>
          </w:p>
          <w:p w14:paraId="48BDA35D">
            <w:pPr>
              <w:spacing w:before="21" w:line="230" w:lineRule="auto"/>
              <w:ind w:left="1"/>
              <w:rPr>
                <w:rFonts w:ascii="仿宋" w:hAnsi="仿宋" w:eastAsia="仿宋" w:cs="仿宋"/>
                <w:sz w:val="20"/>
                <w:szCs w:val="20"/>
              </w:rPr>
            </w:pPr>
            <w:r>
              <w:rPr>
                <w:rFonts w:ascii="仿宋" w:hAnsi="仿宋" w:eastAsia="仿宋" w:cs="仿宋"/>
                <w:spacing w:val="5"/>
                <w:sz w:val="20"/>
                <w:szCs w:val="20"/>
              </w:rPr>
              <w:t>—130、等级公路（不含维护；不含</w:t>
            </w:r>
          </w:p>
          <w:p w14:paraId="1A422697">
            <w:pPr>
              <w:spacing w:before="22" w:line="229" w:lineRule="auto"/>
              <w:ind w:left="45"/>
              <w:rPr>
                <w:rFonts w:ascii="仿宋" w:hAnsi="仿宋" w:eastAsia="仿宋" w:cs="仿宋"/>
                <w:sz w:val="20"/>
                <w:szCs w:val="20"/>
              </w:rPr>
            </w:pPr>
            <w:r>
              <w:rPr>
                <w:rFonts w:ascii="仿宋" w:hAnsi="仿宋" w:eastAsia="仿宋" w:cs="仿宋"/>
                <w:spacing w:val="8"/>
                <w:sz w:val="20"/>
                <w:szCs w:val="20"/>
              </w:rPr>
              <w:t>生命救援、应急保通工程以及国防</w:t>
            </w:r>
          </w:p>
          <w:p w14:paraId="6383411F">
            <w:pPr>
              <w:spacing w:before="25" w:line="229" w:lineRule="auto"/>
              <w:ind w:left="38"/>
              <w:rPr>
                <w:rFonts w:ascii="仿宋" w:hAnsi="仿宋" w:eastAsia="仿宋" w:cs="仿宋"/>
                <w:sz w:val="20"/>
                <w:szCs w:val="20"/>
              </w:rPr>
            </w:pPr>
            <w:r>
              <w:rPr>
                <w:rFonts w:ascii="仿宋" w:hAnsi="仿宋" w:eastAsia="仿宋" w:cs="仿宋"/>
                <w:spacing w:val="8"/>
                <w:sz w:val="20"/>
                <w:szCs w:val="20"/>
              </w:rPr>
              <w:t>交通保障项目；不含改扩建四级公</w:t>
            </w:r>
          </w:p>
          <w:p w14:paraId="5177E785">
            <w:pPr>
              <w:spacing w:before="22" w:line="208" w:lineRule="auto"/>
              <w:ind w:left="1397"/>
              <w:rPr>
                <w:rFonts w:ascii="仿宋" w:hAnsi="仿宋" w:eastAsia="仿宋" w:cs="仿宋"/>
                <w:sz w:val="20"/>
                <w:szCs w:val="20"/>
              </w:rPr>
            </w:pPr>
            <w:r>
              <w:rPr>
                <w:rFonts w:ascii="仿宋" w:hAnsi="仿宋" w:eastAsia="仿宋" w:cs="仿宋"/>
                <w:spacing w:val="-2"/>
                <w:sz w:val="20"/>
                <w:szCs w:val="20"/>
              </w:rPr>
              <w:t>路）</w:t>
            </w:r>
          </w:p>
        </w:tc>
        <w:tc>
          <w:tcPr>
            <w:tcW w:w="2217" w:type="dxa"/>
            <w:gridSpan w:val="3"/>
            <w:vAlign w:val="top"/>
          </w:tcPr>
          <w:p w14:paraId="52B7CF48">
            <w:pPr>
              <w:spacing w:line="382" w:lineRule="auto"/>
              <w:rPr>
                <w:rFonts w:ascii="Arial"/>
                <w:sz w:val="21"/>
              </w:rPr>
            </w:pPr>
          </w:p>
          <w:p w14:paraId="7117E4F2">
            <w:pPr>
              <w:spacing w:before="65" w:line="238" w:lineRule="auto"/>
              <w:jc w:val="right"/>
              <w:rPr>
                <w:rFonts w:ascii="仿宋" w:hAnsi="仿宋" w:eastAsia="仿宋" w:cs="仿宋"/>
                <w:sz w:val="20"/>
                <w:szCs w:val="20"/>
              </w:rPr>
            </w:pPr>
            <w:r>
              <w:rPr>
                <w:rFonts w:ascii="仿宋" w:hAnsi="仿宋" w:eastAsia="仿宋" w:cs="仿宋"/>
                <w:spacing w:val="3"/>
                <w:sz w:val="20"/>
                <w:szCs w:val="20"/>
              </w:rPr>
              <w:t>用地（用海）面积（m</w:t>
            </w:r>
            <w:r>
              <w:rPr>
                <w:rFonts w:ascii="仿宋" w:hAnsi="仿宋" w:eastAsia="仿宋" w:cs="仿宋"/>
                <w:spacing w:val="3"/>
                <w:position w:val="1"/>
                <w:sz w:val="10"/>
                <w:szCs w:val="10"/>
              </w:rPr>
              <w:t>2</w:t>
            </w:r>
            <w:r>
              <w:rPr>
                <w:rFonts w:ascii="仿宋" w:hAnsi="仿宋" w:eastAsia="仿宋" w:cs="仿宋"/>
                <w:spacing w:val="3"/>
                <w:position w:val="1"/>
                <w:sz w:val="20"/>
                <w:szCs w:val="20"/>
              </w:rPr>
              <w:t>）</w:t>
            </w:r>
          </w:p>
          <w:p w14:paraId="35636DF9">
            <w:pPr>
              <w:spacing w:before="19" w:line="232" w:lineRule="auto"/>
              <w:ind w:left="534"/>
              <w:rPr>
                <w:rFonts w:ascii="仿宋" w:hAnsi="仿宋" w:eastAsia="仿宋" w:cs="仿宋"/>
                <w:sz w:val="20"/>
                <w:szCs w:val="20"/>
              </w:rPr>
            </w:pPr>
            <w:r>
              <w:rPr>
                <w:rFonts w:ascii="仿宋" w:hAnsi="仿宋" w:eastAsia="仿宋" w:cs="仿宋"/>
                <w:spacing w:val="7"/>
                <w:sz w:val="20"/>
                <w:szCs w:val="20"/>
              </w:rPr>
              <w:t>/长度（</w:t>
            </w:r>
            <w:r>
              <w:rPr>
                <w:rFonts w:ascii="仿宋" w:hAnsi="仿宋" w:eastAsia="仿宋" w:cs="仿宋"/>
                <w:sz w:val="20"/>
                <w:szCs w:val="20"/>
              </w:rPr>
              <w:t>km</w:t>
            </w:r>
            <w:r>
              <w:rPr>
                <w:rFonts w:ascii="仿宋" w:hAnsi="仿宋" w:eastAsia="仿宋" w:cs="仿宋"/>
                <w:spacing w:val="7"/>
                <w:sz w:val="20"/>
                <w:szCs w:val="20"/>
              </w:rPr>
              <w:t>）</w:t>
            </w:r>
          </w:p>
        </w:tc>
        <w:tc>
          <w:tcPr>
            <w:tcW w:w="2574" w:type="dxa"/>
            <w:gridSpan w:val="2"/>
            <w:tcBorders>
              <w:right w:val="single" w:color="000000" w:sz="6" w:space="0"/>
            </w:tcBorders>
            <w:vAlign w:val="top"/>
          </w:tcPr>
          <w:p w14:paraId="3CE5AD0E">
            <w:pPr>
              <w:spacing w:line="381" w:lineRule="auto"/>
              <w:rPr>
                <w:rFonts w:ascii="Arial"/>
                <w:sz w:val="21"/>
              </w:rPr>
            </w:pPr>
          </w:p>
          <w:p w14:paraId="1A6F9EDF">
            <w:pPr>
              <w:spacing w:before="65" w:line="268" w:lineRule="exact"/>
              <w:ind w:left="410"/>
              <w:rPr>
                <w:rFonts w:ascii="仿宋" w:hAnsi="仿宋" w:eastAsia="仿宋" w:cs="仿宋"/>
                <w:sz w:val="10"/>
                <w:szCs w:val="10"/>
              </w:rPr>
            </w:pPr>
            <w:r>
              <w:rPr>
                <w:rFonts w:ascii="仿宋" w:hAnsi="仿宋" w:eastAsia="仿宋" w:cs="仿宋"/>
                <w:spacing w:val="3"/>
                <w:position w:val="1"/>
                <w:sz w:val="20"/>
                <w:szCs w:val="20"/>
              </w:rPr>
              <w:t>占地面积：13.58</w:t>
            </w:r>
            <w:r>
              <w:rPr>
                <w:rFonts w:ascii="仿宋" w:hAnsi="仿宋" w:eastAsia="仿宋" w:cs="仿宋"/>
                <w:position w:val="1"/>
                <w:sz w:val="20"/>
                <w:szCs w:val="20"/>
              </w:rPr>
              <w:t>hm</w:t>
            </w:r>
            <w:r>
              <w:rPr>
                <w:rFonts w:ascii="仿宋" w:hAnsi="仿宋" w:eastAsia="仿宋" w:cs="仿宋"/>
                <w:spacing w:val="3"/>
                <w:position w:val="11"/>
                <w:sz w:val="10"/>
                <w:szCs w:val="10"/>
              </w:rPr>
              <w:t>2</w:t>
            </w:r>
          </w:p>
          <w:p w14:paraId="158D5BA8">
            <w:pPr>
              <w:spacing w:before="19" w:line="232" w:lineRule="auto"/>
              <w:ind w:left="356"/>
              <w:rPr>
                <w:rFonts w:ascii="仿宋" w:hAnsi="仿宋" w:eastAsia="仿宋" w:cs="仿宋"/>
                <w:sz w:val="20"/>
                <w:szCs w:val="20"/>
              </w:rPr>
            </w:pPr>
            <w:r>
              <w:rPr>
                <w:rFonts w:ascii="仿宋" w:hAnsi="仿宋" w:eastAsia="仿宋" w:cs="仿宋"/>
                <w:spacing w:val="6"/>
                <w:sz w:val="20"/>
                <w:szCs w:val="20"/>
              </w:rPr>
              <w:t>线路总长：26.508</w:t>
            </w:r>
            <w:r>
              <w:rPr>
                <w:rFonts w:ascii="仿宋" w:hAnsi="仿宋" w:eastAsia="仿宋" w:cs="仿宋"/>
                <w:sz w:val="20"/>
                <w:szCs w:val="20"/>
              </w:rPr>
              <w:t>km</w:t>
            </w:r>
          </w:p>
        </w:tc>
      </w:tr>
      <w:tr w14:paraId="511A4E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67" w:hRule="atLeast"/>
        </w:trPr>
        <w:tc>
          <w:tcPr>
            <w:tcW w:w="1070" w:type="dxa"/>
            <w:tcBorders>
              <w:left w:val="single" w:color="000000" w:sz="6" w:space="0"/>
            </w:tcBorders>
            <w:vAlign w:val="top"/>
          </w:tcPr>
          <w:p w14:paraId="7A1C799B">
            <w:pPr>
              <w:spacing w:line="428" w:lineRule="auto"/>
              <w:rPr>
                <w:rFonts w:ascii="Arial"/>
                <w:sz w:val="21"/>
              </w:rPr>
            </w:pPr>
          </w:p>
          <w:p w14:paraId="7BB85A10">
            <w:pPr>
              <w:spacing w:before="65" w:line="229" w:lineRule="auto"/>
              <w:ind w:left="118"/>
              <w:rPr>
                <w:rFonts w:ascii="仿宋" w:hAnsi="仿宋" w:eastAsia="仿宋" w:cs="仿宋"/>
                <w:sz w:val="20"/>
                <w:szCs w:val="20"/>
              </w:rPr>
            </w:pPr>
            <w:r>
              <w:rPr>
                <w:rFonts w:ascii="仿宋" w:hAnsi="仿宋" w:eastAsia="仿宋" w:cs="仿宋"/>
                <w:spacing w:val="5"/>
                <w:sz w:val="20"/>
                <w:szCs w:val="20"/>
              </w:rPr>
              <w:t>建设性质</w:t>
            </w:r>
          </w:p>
        </w:tc>
        <w:tc>
          <w:tcPr>
            <w:tcW w:w="3202" w:type="dxa"/>
            <w:gridSpan w:val="3"/>
            <w:vAlign w:val="top"/>
          </w:tcPr>
          <w:p w14:paraId="54C24E23">
            <w:pPr>
              <w:spacing w:before="98" w:line="260" w:lineRule="auto"/>
              <w:ind w:left="24" w:right="1750" w:hanging="13"/>
              <w:rPr>
                <w:rFonts w:ascii="仿宋" w:hAnsi="仿宋" w:eastAsia="仿宋" w:cs="仿宋"/>
                <w:sz w:val="20"/>
                <w:szCs w:val="20"/>
              </w:rPr>
            </w:pPr>
            <w:r>
              <w:rPr>
                <w:rFonts w:ascii="MS UI Gothic" w:hAnsi="MS UI Gothic" w:eastAsia="MS UI Gothic" w:cs="MS UI Gothic"/>
                <w:spacing w:val="4"/>
                <w:sz w:val="20"/>
                <w:szCs w:val="20"/>
              </w:rPr>
              <w:t>☑</w:t>
            </w:r>
            <w:r>
              <w:rPr>
                <w:rFonts w:ascii="仿宋" w:hAnsi="仿宋" w:eastAsia="仿宋" w:cs="仿宋"/>
                <w:spacing w:val="4"/>
                <w:sz w:val="20"/>
                <w:szCs w:val="20"/>
              </w:rPr>
              <w:t>新建（迁建）</w:t>
            </w:r>
            <w:r>
              <w:rPr>
                <w:rFonts w:ascii="仿宋" w:hAnsi="仿宋" w:eastAsia="仿宋" w:cs="仿宋"/>
                <w:spacing w:val="5"/>
                <w:sz w:val="20"/>
                <w:szCs w:val="20"/>
              </w:rPr>
              <w:t xml:space="preserve"> </w:t>
            </w:r>
            <w:r>
              <w:rPr>
                <w:rFonts w:ascii="仿宋" w:hAnsi="仿宋" w:eastAsia="仿宋" w:cs="仿宋"/>
                <w:spacing w:val="-1"/>
                <w:sz w:val="20"/>
                <w:szCs w:val="20"/>
              </w:rPr>
              <w:t>□改建</w:t>
            </w:r>
          </w:p>
          <w:p w14:paraId="72D66266">
            <w:pPr>
              <w:spacing w:line="231" w:lineRule="auto"/>
              <w:ind w:left="24"/>
              <w:rPr>
                <w:rFonts w:ascii="仿宋" w:hAnsi="仿宋" w:eastAsia="仿宋" w:cs="仿宋"/>
                <w:sz w:val="20"/>
                <w:szCs w:val="20"/>
              </w:rPr>
            </w:pPr>
            <w:r>
              <w:rPr>
                <w:rFonts w:ascii="仿宋" w:hAnsi="仿宋" w:eastAsia="仿宋" w:cs="仿宋"/>
                <w:spacing w:val="-1"/>
                <w:sz w:val="20"/>
                <w:szCs w:val="20"/>
              </w:rPr>
              <w:t>□扩建</w:t>
            </w:r>
          </w:p>
          <w:p w14:paraId="440767F3">
            <w:pPr>
              <w:spacing w:before="19" w:line="207" w:lineRule="auto"/>
              <w:ind w:left="24"/>
              <w:rPr>
                <w:rFonts w:ascii="仿宋" w:hAnsi="仿宋" w:eastAsia="仿宋" w:cs="仿宋"/>
                <w:sz w:val="20"/>
                <w:szCs w:val="20"/>
              </w:rPr>
            </w:pPr>
            <w:r>
              <w:rPr>
                <w:rFonts w:ascii="仿宋" w:hAnsi="仿宋" w:eastAsia="仿宋" w:cs="仿宋"/>
                <w:spacing w:val="3"/>
                <w:sz w:val="20"/>
                <w:szCs w:val="20"/>
              </w:rPr>
              <w:t>□技术改造</w:t>
            </w:r>
          </w:p>
        </w:tc>
        <w:tc>
          <w:tcPr>
            <w:tcW w:w="2217" w:type="dxa"/>
            <w:gridSpan w:val="3"/>
            <w:vAlign w:val="top"/>
          </w:tcPr>
          <w:p w14:paraId="7F8A0EE7">
            <w:pPr>
              <w:spacing w:line="292" w:lineRule="auto"/>
              <w:rPr>
                <w:rFonts w:ascii="Arial"/>
                <w:sz w:val="21"/>
              </w:rPr>
            </w:pPr>
          </w:p>
          <w:p w14:paraId="62A5A969">
            <w:pPr>
              <w:spacing w:before="65" w:line="253" w:lineRule="auto"/>
              <w:ind w:left="728" w:right="688" w:hanging="29"/>
              <w:rPr>
                <w:rFonts w:ascii="仿宋" w:hAnsi="仿宋" w:eastAsia="仿宋" w:cs="仿宋"/>
                <w:sz w:val="20"/>
                <w:szCs w:val="20"/>
              </w:rPr>
            </w:pPr>
            <w:r>
              <w:rPr>
                <w:rFonts w:ascii="仿宋" w:hAnsi="仿宋" w:eastAsia="仿宋" w:cs="仿宋"/>
                <w:spacing w:val="5"/>
                <w:sz w:val="20"/>
                <w:szCs w:val="20"/>
              </w:rPr>
              <w:t>建设项目</w:t>
            </w:r>
            <w:r>
              <w:rPr>
                <w:rFonts w:ascii="仿宋" w:hAnsi="仿宋" w:eastAsia="仿宋" w:cs="仿宋"/>
                <w:spacing w:val="-2"/>
                <w:sz w:val="20"/>
                <w:szCs w:val="20"/>
              </w:rPr>
              <w:t>申报情形</w:t>
            </w:r>
          </w:p>
        </w:tc>
        <w:tc>
          <w:tcPr>
            <w:tcW w:w="2574" w:type="dxa"/>
            <w:gridSpan w:val="2"/>
            <w:tcBorders>
              <w:right w:val="single" w:color="000000" w:sz="6" w:space="0"/>
            </w:tcBorders>
            <w:vAlign w:val="top"/>
          </w:tcPr>
          <w:p w14:paraId="3988A468">
            <w:pPr>
              <w:spacing w:before="98" w:line="233" w:lineRule="auto"/>
              <w:ind w:left="19"/>
              <w:rPr>
                <w:rFonts w:ascii="仿宋" w:hAnsi="仿宋" w:eastAsia="仿宋" w:cs="仿宋"/>
                <w:sz w:val="20"/>
                <w:szCs w:val="20"/>
              </w:rPr>
            </w:pPr>
            <w:r>
              <w:rPr>
                <w:rFonts w:ascii="MS UI Gothic" w:hAnsi="MS UI Gothic" w:eastAsia="MS UI Gothic" w:cs="MS UI Gothic"/>
                <w:spacing w:val="7"/>
                <w:sz w:val="20"/>
                <w:szCs w:val="20"/>
              </w:rPr>
              <w:t>☑</w:t>
            </w:r>
            <w:r>
              <w:rPr>
                <w:rFonts w:ascii="仿宋" w:hAnsi="仿宋" w:eastAsia="仿宋" w:cs="仿宋"/>
                <w:spacing w:val="7"/>
                <w:sz w:val="20"/>
                <w:szCs w:val="20"/>
              </w:rPr>
              <w:t>首次申报项目</w:t>
            </w:r>
          </w:p>
          <w:p w14:paraId="18FCD2AC">
            <w:pPr>
              <w:spacing w:before="37" w:line="231" w:lineRule="auto"/>
              <w:ind w:left="32"/>
              <w:rPr>
                <w:rFonts w:ascii="仿宋" w:hAnsi="仿宋" w:eastAsia="仿宋" w:cs="仿宋"/>
                <w:sz w:val="20"/>
                <w:szCs w:val="20"/>
              </w:rPr>
            </w:pPr>
            <w:r>
              <w:rPr>
                <w:rFonts w:ascii="仿宋" w:hAnsi="仿宋" w:eastAsia="仿宋" w:cs="仿宋"/>
                <w:spacing w:val="7"/>
                <w:sz w:val="20"/>
                <w:szCs w:val="20"/>
              </w:rPr>
              <w:t>□不予批准后再次申报项目</w:t>
            </w:r>
          </w:p>
          <w:p w14:paraId="6224CB47">
            <w:pPr>
              <w:spacing w:before="23" w:line="231" w:lineRule="auto"/>
              <w:ind w:left="32"/>
              <w:rPr>
                <w:rFonts w:ascii="仿宋" w:hAnsi="仿宋" w:eastAsia="仿宋" w:cs="仿宋"/>
                <w:sz w:val="20"/>
                <w:szCs w:val="20"/>
              </w:rPr>
            </w:pPr>
            <w:r>
              <w:rPr>
                <w:rFonts w:ascii="仿宋" w:hAnsi="仿宋" w:eastAsia="仿宋" w:cs="仿宋"/>
                <w:spacing w:val="6"/>
                <w:sz w:val="20"/>
                <w:szCs w:val="20"/>
              </w:rPr>
              <w:t>□超五年重新审核项目</w:t>
            </w:r>
          </w:p>
          <w:p w14:paraId="7D92218A">
            <w:pPr>
              <w:spacing w:before="20" w:line="207" w:lineRule="auto"/>
              <w:ind w:left="32"/>
              <w:rPr>
                <w:rFonts w:ascii="仿宋" w:hAnsi="仿宋" w:eastAsia="仿宋" w:cs="仿宋"/>
                <w:sz w:val="20"/>
                <w:szCs w:val="20"/>
              </w:rPr>
            </w:pPr>
            <w:r>
              <w:rPr>
                <w:rFonts w:ascii="仿宋" w:hAnsi="仿宋" w:eastAsia="仿宋" w:cs="仿宋"/>
                <w:spacing w:val="7"/>
                <w:sz w:val="20"/>
                <w:szCs w:val="20"/>
              </w:rPr>
              <w:t>□重大变动重新报批项目</w:t>
            </w:r>
          </w:p>
        </w:tc>
      </w:tr>
      <w:tr w14:paraId="4575C6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9" w:hRule="atLeast"/>
        </w:trPr>
        <w:tc>
          <w:tcPr>
            <w:tcW w:w="1070" w:type="dxa"/>
            <w:tcBorders>
              <w:left w:val="single" w:color="000000" w:sz="6" w:space="0"/>
              <w:bottom w:val="single" w:color="000000" w:sz="6" w:space="0"/>
            </w:tcBorders>
            <w:vAlign w:val="top"/>
          </w:tcPr>
          <w:p w14:paraId="2A07616A">
            <w:pPr>
              <w:spacing w:before="62" w:line="239" w:lineRule="auto"/>
              <w:ind w:left="70" w:right="64" w:firstLine="49"/>
              <w:jc w:val="both"/>
              <w:rPr>
                <w:rFonts w:ascii="仿宋" w:hAnsi="仿宋" w:eastAsia="仿宋" w:cs="仿宋"/>
                <w:sz w:val="20"/>
                <w:szCs w:val="20"/>
              </w:rPr>
            </w:pPr>
            <w:r>
              <w:rPr>
                <w:rFonts w:ascii="仿宋" w:hAnsi="仿宋" w:eastAsia="仿宋" w:cs="仿宋"/>
                <w:spacing w:val="5"/>
                <w:sz w:val="20"/>
                <w:szCs w:val="20"/>
              </w:rPr>
              <w:t>项目审批（核准/备</w:t>
            </w:r>
            <w:r>
              <w:rPr>
                <w:rFonts w:ascii="仿宋" w:hAnsi="仿宋" w:eastAsia="仿宋" w:cs="仿宋"/>
                <w:spacing w:val="18"/>
                <w:sz w:val="20"/>
                <w:szCs w:val="20"/>
              </w:rPr>
              <w:t>案）部门</w:t>
            </w:r>
          </w:p>
        </w:tc>
        <w:tc>
          <w:tcPr>
            <w:tcW w:w="3202" w:type="dxa"/>
            <w:gridSpan w:val="3"/>
            <w:tcBorders>
              <w:bottom w:val="single" w:color="000000" w:sz="6" w:space="0"/>
            </w:tcBorders>
            <w:vAlign w:val="top"/>
          </w:tcPr>
          <w:p w14:paraId="53AFF8DC">
            <w:pPr>
              <w:spacing w:line="265" w:lineRule="auto"/>
              <w:rPr>
                <w:rFonts w:ascii="Arial"/>
                <w:sz w:val="21"/>
              </w:rPr>
            </w:pPr>
          </w:p>
          <w:p w14:paraId="3E9E366A">
            <w:pPr>
              <w:spacing w:before="65" w:line="231" w:lineRule="auto"/>
              <w:ind w:left="350"/>
              <w:rPr>
                <w:rFonts w:ascii="仿宋" w:hAnsi="仿宋" w:eastAsia="仿宋" w:cs="仿宋"/>
                <w:sz w:val="20"/>
                <w:szCs w:val="20"/>
              </w:rPr>
            </w:pPr>
            <w:r>
              <w:rPr>
                <w:rFonts w:ascii="仿宋" w:hAnsi="仿宋" w:eastAsia="仿宋" w:cs="仿宋"/>
                <w:spacing w:val="8"/>
                <w:sz w:val="20"/>
                <w:szCs w:val="20"/>
              </w:rPr>
              <w:t>准格尔旗发展和改革委员会</w:t>
            </w:r>
          </w:p>
        </w:tc>
        <w:tc>
          <w:tcPr>
            <w:tcW w:w="2217" w:type="dxa"/>
            <w:gridSpan w:val="3"/>
            <w:tcBorders>
              <w:bottom w:val="single" w:color="000000" w:sz="6" w:space="0"/>
            </w:tcBorders>
            <w:vAlign w:val="top"/>
          </w:tcPr>
          <w:p w14:paraId="4ABB678D">
            <w:pPr>
              <w:spacing w:before="198" w:line="251" w:lineRule="auto"/>
              <w:ind w:left="176" w:right="180" w:firstLine="155"/>
              <w:rPr>
                <w:rFonts w:ascii="仿宋" w:hAnsi="仿宋" w:eastAsia="仿宋" w:cs="仿宋"/>
                <w:sz w:val="20"/>
                <w:szCs w:val="20"/>
              </w:rPr>
            </w:pPr>
            <w:r>
              <w:rPr>
                <w:rFonts w:ascii="仿宋" w:hAnsi="仿宋" w:eastAsia="仿宋" w:cs="仿宋"/>
                <w:spacing w:val="7"/>
                <w:sz w:val="20"/>
                <w:szCs w:val="20"/>
              </w:rPr>
              <w:t>项目审批（核准/</w:t>
            </w:r>
            <w:r>
              <w:rPr>
                <w:rFonts w:ascii="仿宋" w:hAnsi="仿宋" w:eastAsia="仿宋" w:cs="仿宋"/>
                <w:spacing w:val="6"/>
                <w:sz w:val="20"/>
                <w:szCs w:val="20"/>
              </w:rPr>
              <w:t>备案）文号（选填）</w:t>
            </w:r>
          </w:p>
        </w:tc>
        <w:tc>
          <w:tcPr>
            <w:tcW w:w="2574" w:type="dxa"/>
            <w:gridSpan w:val="2"/>
            <w:tcBorders>
              <w:bottom w:val="single" w:color="000000" w:sz="6" w:space="0"/>
              <w:right w:val="single" w:color="000000" w:sz="6" w:space="0"/>
            </w:tcBorders>
            <w:vAlign w:val="top"/>
          </w:tcPr>
          <w:p w14:paraId="51417166">
            <w:pPr>
              <w:spacing w:line="265" w:lineRule="auto"/>
              <w:rPr>
                <w:rFonts w:ascii="Arial"/>
                <w:sz w:val="21"/>
              </w:rPr>
            </w:pPr>
          </w:p>
          <w:p w14:paraId="60B89769">
            <w:pPr>
              <w:spacing w:before="65" w:line="231" w:lineRule="auto"/>
              <w:ind w:left="62"/>
              <w:rPr>
                <w:rFonts w:ascii="仿宋" w:hAnsi="仿宋" w:eastAsia="仿宋" w:cs="仿宋"/>
                <w:sz w:val="20"/>
                <w:szCs w:val="20"/>
              </w:rPr>
            </w:pPr>
            <w:r>
              <w:rPr>
                <w:rFonts w:ascii="仿宋" w:hAnsi="仿宋" w:eastAsia="仿宋" w:cs="仿宋"/>
                <w:spacing w:val="5"/>
                <w:sz w:val="20"/>
                <w:szCs w:val="20"/>
              </w:rPr>
              <w:t>准发改审批发[</w:t>
            </w:r>
            <w:r>
              <w:fldChar w:fldCharType="begin"/>
            </w:r>
            <w:r>
              <w:instrText xml:space="preserve"> HYPERLINK \l "bookmark1" </w:instrText>
            </w:r>
            <w:r>
              <w:fldChar w:fldCharType="separate"/>
            </w:r>
            <w:r>
              <w:rPr>
                <w:rFonts w:ascii="仿宋" w:hAnsi="仿宋" w:eastAsia="仿宋" w:cs="仿宋"/>
                <w:spacing w:val="5"/>
                <w:sz w:val="20"/>
                <w:szCs w:val="20"/>
              </w:rPr>
              <w:t>2025</w:t>
            </w:r>
            <w:r>
              <w:rPr>
                <w:rFonts w:ascii="仿宋" w:hAnsi="仿宋" w:eastAsia="仿宋" w:cs="仿宋"/>
                <w:spacing w:val="5"/>
                <w:sz w:val="20"/>
                <w:szCs w:val="20"/>
              </w:rPr>
              <w:fldChar w:fldCharType="end"/>
            </w:r>
            <w:r>
              <w:rPr>
                <w:rFonts w:ascii="仿宋" w:hAnsi="仿宋" w:eastAsia="仿宋" w:cs="仿宋"/>
                <w:spacing w:val="5"/>
                <w:sz w:val="20"/>
                <w:szCs w:val="20"/>
              </w:rPr>
              <w:t>]207</w:t>
            </w:r>
            <w:r>
              <w:rPr>
                <w:rFonts w:ascii="仿宋" w:hAnsi="仿宋" w:eastAsia="仿宋" w:cs="仿宋"/>
                <w:spacing w:val="-21"/>
                <w:sz w:val="20"/>
                <w:szCs w:val="20"/>
              </w:rPr>
              <w:t xml:space="preserve"> </w:t>
            </w:r>
            <w:r>
              <w:rPr>
                <w:rFonts w:ascii="仿宋" w:hAnsi="仿宋" w:eastAsia="仿宋" w:cs="仿宋"/>
                <w:spacing w:val="5"/>
                <w:sz w:val="20"/>
                <w:szCs w:val="20"/>
              </w:rPr>
              <w:t>号</w:t>
            </w:r>
          </w:p>
        </w:tc>
      </w:tr>
    </w:tbl>
    <w:p w14:paraId="10270E69">
      <w:pPr>
        <w:pStyle w:val="2"/>
        <w:rPr>
          <w:sz w:val="21"/>
        </w:rPr>
      </w:pPr>
    </w:p>
    <w:p w14:paraId="6DB64CDE">
      <w:pPr>
        <w:rPr>
          <w:sz w:val="21"/>
          <w:szCs w:val="21"/>
        </w:rPr>
        <w:sectPr>
          <w:footerReference r:id="rId7" w:type="default"/>
          <w:pgSz w:w="11906" w:h="16839"/>
          <w:pgMar w:top="400" w:right="1306" w:bottom="1504" w:left="1521" w:header="0" w:footer="1342" w:gutter="0"/>
          <w:cols w:space="720" w:num="1"/>
        </w:sectPr>
      </w:pPr>
    </w:p>
    <w:p w14:paraId="17A07647">
      <w:pPr>
        <w:spacing w:before="19"/>
      </w:pPr>
    </w:p>
    <w:p w14:paraId="7205C587">
      <w:pPr>
        <w:spacing w:before="19"/>
      </w:pPr>
    </w:p>
    <w:p w14:paraId="31958511">
      <w:pPr>
        <w:spacing w:before="19"/>
      </w:pPr>
    </w:p>
    <w:p w14:paraId="14785384">
      <w:pPr>
        <w:spacing w:before="18"/>
      </w:pPr>
    </w:p>
    <w:p w14:paraId="32AA0B97">
      <w:pPr>
        <w:spacing w:before="18"/>
      </w:pPr>
    </w:p>
    <w:tbl>
      <w:tblPr>
        <w:tblStyle w:val="5"/>
        <w:tblW w:w="9063"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70"/>
        <w:gridCol w:w="852"/>
        <w:gridCol w:w="2350"/>
        <w:gridCol w:w="971"/>
        <w:gridCol w:w="1243"/>
        <w:gridCol w:w="1787"/>
        <w:gridCol w:w="790"/>
      </w:tblGrid>
      <w:tr w14:paraId="3FC25F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7" w:hRule="atLeast"/>
        </w:trPr>
        <w:tc>
          <w:tcPr>
            <w:tcW w:w="1070" w:type="dxa"/>
            <w:tcBorders>
              <w:top w:val="single" w:color="000000" w:sz="6" w:space="0"/>
              <w:left w:val="single" w:color="000000" w:sz="6" w:space="0"/>
            </w:tcBorders>
            <w:vAlign w:val="top"/>
          </w:tcPr>
          <w:p w14:paraId="589CAAE7">
            <w:pPr>
              <w:spacing w:before="41" w:line="217" w:lineRule="auto"/>
              <w:ind w:left="123"/>
              <w:rPr>
                <w:rFonts w:ascii="仿宋" w:hAnsi="仿宋" w:eastAsia="仿宋" w:cs="仿宋"/>
                <w:sz w:val="20"/>
                <w:szCs w:val="20"/>
              </w:rPr>
            </w:pPr>
            <w:r>
              <w:rPr>
                <w:rFonts w:ascii="仿宋" w:hAnsi="仿宋" w:eastAsia="仿宋" w:cs="仿宋"/>
                <w:spacing w:val="2"/>
                <w:sz w:val="20"/>
                <w:szCs w:val="20"/>
              </w:rPr>
              <w:t>（选填）</w:t>
            </w:r>
          </w:p>
        </w:tc>
        <w:tc>
          <w:tcPr>
            <w:tcW w:w="3202" w:type="dxa"/>
            <w:gridSpan w:val="2"/>
            <w:tcBorders>
              <w:top w:val="single" w:color="000000" w:sz="6" w:space="0"/>
            </w:tcBorders>
            <w:vAlign w:val="top"/>
          </w:tcPr>
          <w:p w14:paraId="54960E8D">
            <w:pPr>
              <w:rPr>
                <w:rFonts w:ascii="Arial"/>
                <w:sz w:val="21"/>
              </w:rPr>
            </w:pPr>
          </w:p>
        </w:tc>
        <w:tc>
          <w:tcPr>
            <w:tcW w:w="2214" w:type="dxa"/>
            <w:gridSpan w:val="2"/>
            <w:tcBorders>
              <w:top w:val="single" w:color="000000" w:sz="6" w:space="0"/>
            </w:tcBorders>
            <w:vAlign w:val="top"/>
          </w:tcPr>
          <w:p w14:paraId="5E37362A">
            <w:pPr>
              <w:rPr>
                <w:rFonts w:ascii="Arial"/>
                <w:sz w:val="21"/>
              </w:rPr>
            </w:pPr>
          </w:p>
        </w:tc>
        <w:tc>
          <w:tcPr>
            <w:tcW w:w="2577" w:type="dxa"/>
            <w:gridSpan w:val="2"/>
            <w:tcBorders>
              <w:top w:val="single" w:color="000000" w:sz="6" w:space="0"/>
              <w:right w:val="single" w:color="000000" w:sz="6" w:space="0"/>
            </w:tcBorders>
            <w:vAlign w:val="top"/>
          </w:tcPr>
          <w:p w14:paraId="0189E273">
            <w:pPr>
              <w:rPr>
                <w:rFonts w:ascii="Arial"/>
                <w:sz w:val="21"/>
              </w:rPr>
            </w:pPr>
          </w:p>
        </w:tc>
      </w:tr>
      <w:tr w14:paraId="7B43F2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1070" w:type="dxa"/>
            <w:tcBorders>
              <w:left w:val="single" w:color="000000" w:sz="6" w:space="0"/>
            </w:tcBorders>
            <w:vAlign w:val="top"/>
          </w:tcPr>
          <w:p w14:paraId="3F6B17A0">
            <w:pPr>
              <w:spacing w:before="48" w:line="232" w:lineRule="auto"/>
              <w:ind w:left="34"/>
              <w:rPr>
                <w:rFonts w:ascii="仿宋" w:hAnsi="仿宋" w:eastAsia="仿宋" w:cs="仿宋"/>
                <w:sz w:val="20"/>
                <w:szCs w:val="20"/>
              </w:rPr>
            </w:pPr>
            <w:r>
              <w:rPr>
                <w:rFonts w:ascii="仿宋" w:hAnsi="仿宋" w:eastAsia="仿宋" w:cs="仿宋"/>
                <w:sz w:val="20"/>
                <w:szCs w:val="20"/>
              </w:rPr>
              <w:t>总投资（万</w:t>
            </w:r>
          </w:p>
          <w:p w14:paraId="01DB7C67">
            <w:pPr>
              <w:spacing w:before="21" w:line="216" w:lineRule="auto"/>
              <w:ind w:left="333"/>
              <w:rPr>
                <w:rFonts w:ascii="仿宋" w:hAnsi="仿宋" w:eastAsia="仿宋" w:cs="仿宋"/>
                <w:sz w:val="20"/>
                <w:szCs w:val="20"/>
              </w:rPr>
            </w:pPr>
            <w:r>
              <w:rPr>
                <w:rFonts w:ascii="仿宋" w:hAnsi="仿宋" w:eastAsia="仿宋" w:cs="仿宋"/>
                <w:spacing w:val="-5"/>
                <w:sz w:val="20"/>
                <w:szCs w:val="20"/>
              </w:rPr>
              <w:t>元）</w:t>
            </w:r>
          </w:p>
        </w:tc>
        <w:tc>
          <w:tcPr>
            <w:tcW w:w="3202" w:type="dxa"/>
            <w:gridSpan w:val="2"/>
            <w:vAlign w:val="top"/>
          </w:tcPr>
          <w:p w14:paraId="2B055565">
            <w:pPr>
              <w:spacing w:before="182" w:line="269" w:lineRule="exact"/>
              <w:ind w:left="1133"/>
              <w:rPr>
                <w:rFonts w:ascii="仿宋" w:hAnsi="仿宋" w:eastAsia="仿宋" w:cs="仿宋"/>
                <w:sz w:val="20"/>
                <w:szCs w:val="20"/>
              </w:rPr>
            </w:pPr>
            <w:r>
              <w:rPr>
                <w:rFonts w:ascii="仿宋" w:hAnsi="仿宋" w:eastAsia="仿宋" w:cs="仿宋"/>
                <w:spacing w:val="3"/>
                <w:position w:val="1"/>
                <w:sz w:val="20"/>
                <w:szCs w:val="20"/>
              </w:rPr>
              <w:t>2250.5331</w:t>
            </w:r>
          </w:p>
        </w:tc>
        <w:tc>
          <w:tcPr>
            <w:tcW w:w="2214" w:type="dxa"/>
            <w:gridSpan w:val="2"/>
            <w:vAlign w:val="top"/>
          </w:tcPr>
          <w:p w14:paraId="5647EFB1">
            <w:pPr>
              <w:spacing w:before="182" w:line="229" w:lineRule="auto"/>
              <w:ind w:left="279"/>
              <w:rPr>
                <w:rFonts w:ascii="仿宋" w:hAnsi="仿宋" w:eastAsia="仿宋" w:cs="仿宋"/>
                <w:sz w:val="20"/>
                <w:szCs w:val="20"/>
              </w:rPr>
            </w:pPr>
            <w:r>
              <w:rPr>
                <w:rFonts w:ascii="仿宋" w:hAnsi="仿宋" w:eastAsia="仿宋" w:cs="仿宋"/>
                <w:spacing w:val="6"/>
                <w:sz w:val="20"/>
                <w:szCs w:val="20"/>
              </w:rPr>
              <w:t>环保投资（万元）</w:t>
            </w:r>
          </w:p>
        </w:tc>
        <w:tc>
          <w:tcPr>
            <w:tcW w:w="2577" w:type="dxa"/>
            <w:gridSpan w:val="2"/>
            <w:tcBorders>
              <w:right w:val="single" w:color="000000" w:sz="6" w:space="0"/>
            </w:tcBorders>
            <w:vAlign w:val="top"/>
          </w:tcPr>
          <w:p w14:paraId="07849B82">
            <w:pPr>
              <w:spacing w:before="182" w:line="272" w:lineRule="exact"/>
              <w:ind w:left="1189"/>
              <w:rPr>
                <w:rFonts w:ascii="仿宋" w:hAnsi="仿宋" w:eastAsia="仿宋" w:cs="仿宋"/>
                <w:sz w:val="20"/>
                <w:szCs w:val="20"/>
              </w:rPr>
            </w:pPr>
            <w:r>
              <w:rPr>
                <w:rFonts w:ascii="仿宋" w:hAnsi="仿宋" w:eastAsia="仿宋" w:cs="仿宋"/>
                <w:position w:val="1"/>
                <w:sz w:val="20"/>
                <w:szCs w:val="20"/>
              </w:rPr>
              <w:t>24</w:t>
            </w:r>
          </w:p>
        </w:tc>
      </w:tr>
      <w:tr w14:paraId="61F724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1070" w:type="dxa"/>
            <w:tcBorders>
              <w:left w:val="single" w:color="000000" w:sz="6" w:space="0"/>
            </w:tcBorders>
            <w:vAlign w:val="top"/>
          </w:tcPr>
          <w:p w14:paraId="79642131">
            <w:pPr>
              <w:spacing w:before="47" w:line="234" w:lineRule="auto"/>
              <w:ind w:left="102" w:right="82" w:firstLine="16"/>
              <w:rPr>
                <w:rFonts w:ascii="仿宋" w:hAnsi="仿宋" w:eastAsia="仿宋" w:cs="仿宋"/>
                <w:sz w:val="20"/>
                <w:szCs w:val="20"/>
              </w:rPr>
            </w:pPr>
            <w:r>
              <w:rPr>
                <w:rFonts w:ascii="仿宋" w:hAnsi="仿宋" w:eastAsia="仿宋" w:cs="仿宋"/>
                <w:spacing w:val="5"/>
                <w:sz w:val="20"/>
                <w:szCs w:val="20"/>
              </w:rPr>
              <w:t>环保投资</w:t>
            </w:r>
            <w:r>
              <w:rPr>
                <w:rFonts w:ascii="仿宋" w:hAnsi="仿宋" w:eastAsia="仿宋" w:cs="仿宋"/>
                <w:spacing w:val="-5"/>
                <w:sz w:val="20"/>
                <w:szCs w:val="20"/>
              </w:rPr>
              <w:t>占比（%）</w:t>
            </w:r>
          </w:p>
        </w:tc>
        <w:tc>
          <w:tcPr>
            <w:tcW w:w="3202" w:type="dxa"/>
            <w:gridSpan w:val="2"/>
            <w:vAlign w:val="top"/>
          </w:tcPr>
          <w:p w14:paraId="518ADD6F">
            <w:pPr>
              <w:spacing w:before="183" w:line="270" w:lineRule="exact"/>
              <w:ind w:left="1407"/>
              <w:rPr>
                <w:rFonts w:ascii="仿宋" w:hAnsi="仿宋" w:eastAsia="仿宋" w:cs="仿宋"/>
                <w:sz w:val="20"/>
                <w:szCs w:val="20"/>
              </w:rPr>
            </w:pPr>
            <w:r>
              <w:rPr>
                <w:rFonts w:ascii="仿宋" w:hAnsi="仿宋" w:eastAsia="仿宋" w:cs="仿宋"/>
                <w:spacing w:val="-1"/>
                <w:position w:val="1"/>
                <w:sz w:val="20"/>
                <w:szCs w:val="20"/>
              </w:rPr>
              <w:t>1.07</w:t>
            </w:r>
          </w:p>
        </w:tc>
        <w:tc>
          <w:tcPr>
            <w:tcW w:w="2214" w:type="dxa"/>
            <w:gridSpan w:val="2"/>
            <w:vAlign w:val="top"/>
          </w:tcPr>
          <w:p w14:paraId="515165F7">
            <w:pPr>
              <w:spacing w:before="182" w:line="232" w:lineRule="auto"/>
              <w:ind w:left="488"/>
              <w:rPr>
                <w:rFonts w:ascii="仿宋" w:hAnsi="仿宋" w:eastAsia="仿宋" w:cs="仿宋"/>
                <w:sz w:val="20"/>
                <w:szCs w:val="20"/>
              </w:rPr>
            </w:pPr>
            <w:r>
              <w:rPr>
                <w:rFonts w:ascii="仿宋" w:hAnsi="仿宋" w:eastAsia="仿宋" w:cs="仿宋"/>
                <w:spacing w:val="6"/>
                <w:sz w:val="20"/>
                <w:szCs w:val="20"/>
              </w:rPr>
              <w:t>施工工期(月)</w:t>
            </w:r>
          </w:p>
        </w:tc>
        <w:tc>
          <w:tcPr>
            <w:tcW w:w="2577" w:type="dxa"/>
            <w:gridSpan w:val="2"/>
            <w:tcBorders>
              <w:right w:val="single" w:color="000000" w:sz="6" w:space="0"/>
            </w:tcBorders>
            <w:vAlign w:val="top"/>
          </w:tcPr>
          <w:p w14:paraId="1C1E9AD2">
            <w:pPr>
              <w:spacing w:before="182" w:line="232" w:lineRule="auto"/>
              <w:ind w:left="964"/>
              <w:rPr>
                <w:rFonts w:ascii="仿宋" w:hAnsi="仿宋" w:eastAsia="仿宋" w:cs="仿宋"/>
                <w:sz w:val="20"/>
                <w:szCs w:val="20"/>
              </w:rPr>
            </w:pPr>
            <w:r>
              <w:rPr>
                <w:rFonts w:ascii="仿宋" w:hAnsi="仿宋" w:eastAsia="仿宋" w:cs="仿宋"/>
                <w:spacing w:val="-3"/>
                <w:sz w:val="20"/>
                <w:szCs w:val="20"/>
              </w:rPr>
              <w:t>12</w:t>
            </w:r>
            <w:r>
              <w:rPr>
                <w:rFonts w:ascii="仿宋" w:hAnsi="仿宋" w:eastAsia="仿宋" w:cs="仿宋"/>
                <w:spacing w:val="-33"/>
                <w:sz w:val="20"/>
                <w:szCs w:val="20"/>
              </w:rPr>
              <w:t xml:space="preserve"> </w:t>
            </w:r>
            <w:r>
              <w:rPr>
                <w:rFonts w:ascii="仿宋" w:hAnsi="仿宋" w:eastAsia="仿宋" w:cs="仿宋"/>
                <w:spacing w:val="-3"/>
                <w:sz w:val="20"/>
                <w:szCs w:val="20"/>
              </w:rPr>
              <w:t>个月</w:t>
            </w:r>
          </w:p>
        </w:tc>
      </w:tr>
      <w:tr w14:paraId="7E66C3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1" w:hRule="atLeast"/>
        </w:trPr>
        <w:tc>
          <w:tcPr>
            <w:tcW w:w="1070" w:type="dxa"/>
            <w:tcBorders>
              <w:left w:val="single" w:color="000000" w:sz="6" w:space="0"/>
            </w:tcBorders>
            <w:vAlign w:val="top"/>
          </w:tcPr>
          <w:p w14:paraId="70D901F4">
            <w:pPr>
              <w:spacing w:before="233" w:line="251" w:lineRule="auto"/>
              <w:ind w:left="329" w:right="117" w:hanging="210"/>
              <w:rPr>
                <w:rFonts w:ascii="仿宋" w:hAnsi="仿宋" w:eastAsia="仿宋" w:cs="仿宋"/>
                <w:sz w:val="20"/>
                <w:szCs w:val="20"/>
              </w:rPr>
            </w:pPr>
            <w:r>
              <w:rPr>
                <w:rFonts w:ascii="仿宋" w:hAnsi="仿宋" w:eastAsia="仿宋" w:cs="仿宋"/>
                <w:spacing w:val="5"/>
                <w:sz w:val="20"/>
                <w:szCs w:val="20"/>
              </w:rPr>
              <w:t>是否开工</w:t>
            </w:r>
            <w:r>
              <w:rPr>
                <w:rFonts w:ascii="仿宋" w:hAnsi="仿宋" w:eastAsia="仿宋" w:cs="仿宋"/>
                <w:spacing w:val="2"/>
                <w:sz w:val="20"/>
                <w:szCs w:val="20"/>
              </w:rPr>
              <w:t>建设</w:t>
            </w:r>
          </w:p>
        </w:tc>
        <w:tc>
          <w:tcPr>
            <w:tcW w:w="7993" w:type="dxa"/>
            <w:gridSpan w:val="6"/>
            <w:tcBorders>
              <w:right w:val="single" w:color="000000" w:sz="6" w:space="0"/>
            </w:tcBorders>
            <w:vAlign w:val="top"/>
          </w:tcPr>
          <w:p w14:paraId="55A1C33B">
            <w:pPr>
              <w:spacing w:before="209" w:line="224" w:lineRule="auto"/>
              <w:ind w:left="119"/>
              <w:rPr>
                <w:rFonts w:ascii="仿宋" w:hAnsi="仿宋" w:eastAsia="仿宋" w:cs="仿宋"/>
                <w:sz w:val="24"/>
                <w:szCs w:val="24"/>
              </w:rPr>
            </w:pPr>
            <w:r>
              <w:rPr>
                <w:rFonts w:ascii="MS UI Gothic" w:hAnsi="MS UI Gothic" w:eastAsia="MS UI Gothic" w:cs="MS UI Gothic"/>
                <w:spacing w:val="-9"/>
                <w:sz w:val="24"/>
                <w:szCs w:val="24"/>
              </w:rPr>
              <w:t>☑</w:t>
            </w:r>
            <w:r>
              <w:rPr>
                <w:rFonts w:ascii="仿宋" w:hAnsi="仿宋" w:eastAsia="仿宋" w:cs="仿宋"/>
                <w:spacing w:val="-9"/>
                <w:sz w:val="24"/>
                <w:szCs w:val="24"/>
              </w:rPr>
              <w:t>否</w:t>
            </w:r>
          </w:p>
          <w:p w14:paraId="456B42F6">
            <w:pPr>
              <w:spacing w:before="42" w:line="224" w:lineRule="auto"/>
              <w:ind w:left="122"/>
              <w:rPr>
                <w:rFonts w:ascii="仿宋" w:hAnsi="仿宋" w:eastAsia="仿宋" w:cs="仿宋"/>
                <w:sz w:val="24"/>
                <w:szCs w:val="24"/>
              </w:rPr>
            </w:pPr>
            <w:r>
              <w:rPr>
                <w:rFonts w:ascii="仿宋" w:hAnsi="仿宋" w:eastAsia="仿宋" w:cs="仿宋"/>
                <w:spacing w:val="-12"/>
                <w:sz w:val="24"/>
                <w:szCs w:val="24"/>
              </w:rPr>
              <w:t>□是：</w:t>
            </w:r>
            <w:r>
              <w:rPr>
                <w:rFonts w:ascii="仿宋" w:hAnsi="仿宋" w:eastAsia="仿宋" w:cs="仿宋"/>
                <w:sz w:val="24"/>
                <w:szCs w:val="24"/>
                <w:u w:val="single" w:color="auto"/>
              </w:rPr>
              <w:t xml:space="preserve">                             </w:t>
            </w:r>
          </w:p>
        </w:tc>
      </w:tr>
      <w:tr w14:paraId="2BD7E4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4" w:hRule="atLeast"/>
        </w:trPr>
        <w:tc>
          <w:tcPr>
            <w:tcW w:w="1070" w:type="dxa"/>
            <w:vMerge w:val="restart"/>
            <w:tcBorders>
              <w:left w:val="single" w:color="000000" w:sz="6" w:space="0"/>
              <w:bottom w:val="nil"/>
            </w:tcBorders>
            <w:vAlign w:val="top"/>
          </w:tcPr>
          <w:p w14:paraId="7A6DB1F2">
            <w:pPr>
              <w:spacing w:line="245" w:lineRule="auto"/>
              <w:rPr>
                <w:rFonts w:ascii="Arial"/>
                <w:sz w:val="21"/>
              </w:rPr>
            </w:pPr>
          </w:p>
          <w:p w14:paraId="355C5233">
            <w:pPr>
              <w:spacing w:line="245" w:lineRule="auto"/>
              <w:rPr>
                <w:rFonts w:ascii="Arial"/>
                <w:sz w:val="21"/>
              </w:rPr>
            </w:pPr>
          </w:p>
          <w:p w14:paraId="6707CC54">
            <w:pPr>
              <w:spacing w:line="245" w:lineRule="auto"/>
              <w:rPr>
                <w:rFonts w:ascii="Arial"/>
                <w:sz w:val="21"/>
              </w:rPr>
            </w:pPr>
          </w:p>
          <w:p w14:paraId="69A1D44E">
            <w:pPr>
              <w:spacing w:line="245" w:lineRule="auto"/>
              <w:rPr>
                <w:rFonts w:ascii="Arial"/>
                <w:sz w:val="21"/>
              </w:rPr>
            </w:pPr>
          </w:p>
          <w:p w14:paraId="4730C2FE">
            <w:pPr>
              <w:spacing w:line="245" w:lineRule="auto"/>
              <w:rPr>
                <w:rFonts w:ascii="Arial"/>
                <w:sz w:val="21"/>
              </w:rPr>
            </w:pPr>
          </w:p>
          <w:p w14:paraId="0C33920C">
            <w:pPr>
              <w:spacing w:line="245" w:lineRule="auto"/>
              <w:rPr>
                <w:rFonts w:ascii="Arial"/>
                <w:sz w:val="21"/>
              </w:rPr>
            </w:pPr>
          </w:p>
          <w:p w14:paraId="6FCC860B">
            <w:pPr>
              <w:spacing w:line="245" w:lineRule="auto"/>
              <w:rPr>
                <w:rFonts w:ascii="Arial"/>
                <w:sz w:val="21"/>
              </w:rPr>
            </w:pPr>
          </w:p>
          <w:p w14:paraId="4F3B630F">
            <w:pPr>
              <w:spacing w:line="245" w:lineRule="auto"/>
              <w:rPr>
                <w:rFonts w:ascii="Arial"/>
                <w:sz w:val="21"/>
              </w:rPr>
            </w:pPr>
          </w:p>
          <w:p w14:paraId="7F08382E">
            <w:pPr>
              <w:spacing w:line="245" w:lineRule="auto"/>
              <w:rPr>
                <w:rFonts w:ascii="Arial"/>
                <w:sz w:val="21"/>
              </w:rPr>
            </w:pPr>
          </w:p>
          <w:p w14:paraId="52ECF5DC">
            <w:pPr>
              <w:spacing w:line="245" w:lineRule="auto"/>
              <w:rPr>
                <w:rFonts w:ascii="Arial"/>
                <w:sz w:val="21"/>
              </w:rPr>
            </w:pPr>
          </w:p>
          <w:p w14:paraId="6E840F37">
            <w:pPr>
              <w:spacing w:line="246" w:lineRule="auto"/>
              <w:rPr>
                <w:rFonts w:ascii="Arial"/>
                <w:sz w:val="21"/>
              </w:rPr>
            </w:pPr>
          </w:p>
          <w:p w14:paraId="7FF0394B">
            <w:pPr>
              <w:spacing w:line="246" w:lineRule="auto"/>
              <w:rPr>
                <w:rFonts w:ascii="Arial"/>
                <w:sz w:val="21"/>
              </w:rPr>
            </w:pPr>
          </w:p>
          <w:p w14:paraId="38AF8196">
            <w:pPr>
              <w:spacing w:line="246" w:lineRule="auto"/>
              <w:rPr>
                <w:rFonts w:ascii="Arial"/>
                <w:sz w:val="21"/>
              </w:rPr>
            </w:pPr>
          </w:p>
          <w:p w14:paraId="03C3BB8E">
            <w:pPr>
              <w:spacing w:line="246" w:lineRule="auto"/>
              <w:rPr>
                <w:rFonts w:ascii="Arial"/>
                <w:sz w:val="21"/>
              </w:rPr>
            </w:pPr>
          </w:p>
          <w:p w14:paraId="65051628">
            <w:pPr>
              <w:spacing w:line="246" w:lineRule="auto"/>
              <w:rPr>
                <w:rFonts w:ascii="Arial"/>
                <w:sz w:val="21"/>
              </w:rPr>
            </w:pPr>
          </w:p>
          <w:p w14:paraId="2CF7B07E">
            <w:pPr>
              <w:spacing w:line="246" w:lineRule="auto"/>
              <w:rPr>
                <w:rFonts w:ascii="Arial"/>
                <w:sz w:val="21"/>
              </w:rPr>
            </w:pPr>
          </w:p>
          <w:p w14:paraId="7580ADC5">
            <w:pPr>
              <w:spacing w:line="246" w:lineRule="auto"/>
              <w:rPr>
                <w:rFonts w:ascii="Arial"/>
                <w:sz w:val="21"/>
              </w:rPr>
            </w:pPr>
          </w:p>
          <w:p w14:paraId="5A1B2F8C">
            <w:pPr>
              <w:spacing w:line="246" w:lineRule="auto"/>
              <w:rPr>
                <w:rFonts w:ascii="Arial"/>
                <w:sz w:val="21"/>
              </w:rPr>
            </w:pPr>
          </w:p>
          <w:p w14:paraId="4244CE1B">
            <w:pPr>
              <w:spacing w:line="246" w:lineRule="auto"/>
              <w:rPr>
                <w:rFonts w:ascii="Arial"/>
                <w:sz w:val="21"/>
              </w:rPr>
            </w:pPr>
          </w:p>
          <w:p w14:paraId="347333F9">
            <w:pPr>
              <w:spacing w:line="246" w:lineRule="auto"/>
              <w:rPr>
                <w:rFonts w:ascii="Arial"/>
                <w:sz w:val="21"/>
              </w:rPr>
            </w:pPr>
          </w:p>
          <w:p w14:paraId="351A56D9">
            <w:pPr>
              <w:spacing w:before="65" w:line="253" w:lineRule="auto"/>
              <w:ind w:left="118" w:right="117" w:firstLine="3"/>
              <w:rPr>
                <w:rFonts w:ascii="仿宋" w:hAnsi="仿宋" w:eastAsia="仿宋" w:cs="仿宋"/>
                <w:sz w:val="20"/>
                <w:szCs w:val="20"/>
              </w:rPr>
            </w:pPr>
            <w:r>
              <w:rPr>
                <w:rFonts w:ascii="仿宋" w:hAnsi="仿宋" w:eastAsia="仿宋" w:cs="仿宋"/>
                <w:spacing w:val="5"/>
                <w:sz w:val="20"/>
                <w:szCs w:val="20"/>
              </w:rPr>
              <w:t>专项评价</w:t>
            </w:r>
            <w:r>
              <w:rPr>
                <w:rFonts w:ascii="仿宋" w:hAnsi="仿宋" w:eastAsia="仿宋" w:cs="仿宋"/>
                <w:spacing w:val="6"/>
                <w:sz w:val="20"/>
                <w:szCs w:val="20"/>
              </w:rPr>
              <w:t>设置情况</w:t>
            </w:r>
          </w:p>
        </w:tc>
        <w:tc>
          <w:tcPr>
            <w:tcW w:w="7993" w:type="dxa"/>
            <w:gridSpan w:val="6"/>
            <w:tcBorders>
              <w:bottom w:val="single" w:color="000000" w:sz="10" w:space="0"/>
              <w:right w:val="single" w:color="000000" w:sz="6" w:space="0"/>
            </w:tcBorders>
            <w:vAlign w:val="top"/>
          </w:tcPr>
          <w:p w14:paraId="56552DB1">
            <w:pPr>
              <w:spacing w:before="49" w:line="376" w:lineRule="auto"/>
              <w:ind w:left="22" w:firstLine="417"/>
              <w:rPr>
                <w:rFonts w:ascii="仿宋" w:hAnsi="仿宋" w:eastAsia="仿宋" w:cs="仿宋"/>
                <w:sz w:val="20"/>
                <w:szCs w:val="20"/>
              </w:rPr>
            </w:pPr>
            <w:r>
              <w:rPr>
                <w:rFonts w:ascii="仿宋" w:hAnsi="仿宋" w:eastAsia="仿宋" w:cs="仿宋"/>
                <w:spacing w:val="6"/>
                <w:sz w:val="20"/>
                <w:szCs w:val="20"/>
              </w:rPr>
              <w:t>对照《建设项目环境影响报告表编制技术指南（生态影响类）》（试行）</w:t>
            </w:r>
            <w:r>
              <w:rPr>
                <w:rFonts w:ascii="仿宋" w:hAnsi="仿宋" w:eastAsia="仿宋" w:cs="仿宋"/>
                <w:spacing w:val="-47"/>
                <w:sz w:val="20"/>
                <w:szCs w:val="20"/>
              </w:rPr>
              <w:t xml:space="preserve"> </w:t>
            </w:r>
            <w:r>
              <w:rPr>
                <w:rFonts w:ascii="仿宋" w:hAnsi="仿宋" w:eastAsia="仿宋" w:cs="仿宋"/>
                <w:spacing w:val="6"/>
                <w:sz w:val="20"/>
                <w:szCs w:val="20"/>
              </w:rPr>
              <w:t>中专项评</w:t>
            </w:r>
            <w:r>
              <w:rPr>
                <w:rFonts w:ascii="仿宋" w:hAnsi="仿宋" w:eastAsia="仿宋" w:cs="仿宋"/>
                <w:spacing w:val="2"/>
                <w:sz w:val="20"/>
                <w:szCs w:val="20"/>
              </w:rPr>
              <w:t>价设置原则表，本项目需要开展“</w:t>
            </w:r>
            <w:r>
              <w:rPr>
                <w:rFonts w:ascii="仿宋" w:hAnsi="仿宋" w:eastAsia="仿宋" w:cs="仿宋"/>
                <w:spacing w:val="-74"/>
                <w:sz w:val="20"/>
                <w:szCs w:val="20"/>
              </w:rPr>
              <w:t xml:space="preserve"> </w:t>
            </w:r>
            <w:r>
              <w:rPr>
                <w:rFonts w:ascii="仿宋" w:hAnsi="仿宋" w:eastAsia="仿宋" w:cs="仿宋"/>
                <w:spacing w:val="2"/>
                <w:sz w:val="20"/>
                <w:szCs w:val="20"/>
              </w:rPr>
              <w:t>生态</w:t>
            </w:r>
            <w:r>
              <w:rPr>
                <w:rFonts w:ascii="仿宋" w:hAnsi="仿宋" w:eastAsia="仿宋" w:cs="仿宋"/>
                <w:spacing w:val="-70"/>
                <w:sz w:val="20"/>
                <w:szCs w:val="20"/>
              </w:rPr>
              <w:t xml:space="preserve"> </w:t>
            </w:r>
            <w:r>
              <w:rPr>
                <w:rFonts w:ascii="仿宋" w:hAnsi="仿宋" w:eastAsia="仿宋" w:cs="仿宋"/>
                <w:spacing w:val="2"/>
                <w:sz w:val="20"/>
                <w:szCs w:val="20"/>
              </w:rPr>
              <w:t>”“噪声</w:t>
            </w:r>
            <w:r>
              <w:rPr>
                <w:rFonts w:ascii="仿宋" w:hAnsi="仿宋" w:eastAsia="仿宋" w:cs="仿宋"/>
                <w:spacing w:val="-71"/>
                <w:sz w:val="20"/>
                <w:szCs w:val="20"/>
              </w:rPr>
              <w:t xml:space="preserve"> </w:t>
            </w:r>
            <w:r>
              <w:rPr>
                <w:rFonts w:ascii="仿宋" w:hAnsi="仿宋" w:eastAsia="仿宋" w:cs="仿宋"/>
                <w:spacing w:val="2"/>
                <w:sz w:val="20"/>
                <w:szCs w:val="20"/>
              </w:rPr>
              <w:t>”专项评价工作，具体对照分析</w:t>
            </w:r>
            <w:r>
              <w:rPr>
                <w:rFonts w:ascii="仿宋" w:hAnsi="仿宋" w:eastAsia="仿宋" w:cs="仿宋"/>
                <w:spacing w:val="1"/>
                <w:sz w:val="20"/>
                <w:szCs w:val="20"/>
              </w:rPr>
              <w:t>见下表。</w:t>
            </w:r>
          </w:p>
          <w:p w14:paraId="4E807C6B">
            <w:pPr>
              <w:spacing w:before="1" w:line="231" w:lineRule="auto"/>
              <w:ind w:left="2581"/>
              <w:rPr>
                <w:rFonts w:ascii="仿宋" w:hAnsi="仿宋" w:eastAsia="仿宋" w:cs="仿宋"/>
                <w:sz w:val="20"/>
                <w:szCs w:val="20"/>
              </w:rPr>
            </w:pPr>
            <w:r>
              <w:rPr>
                <w:rFonts w:ascii="仿宋" w:hAnsi="仿宋" w:eastAsia="仿宋" w:cs="仿宋"/>
                <w:b/>
                <w:bCs/>
                <w:spacing w:val="6"/>
                <w:sz w:val="20"/>
                <w:szCs w:val="20"/>
              </w:rPr>
              <w:t>表1-2</w:t>
            </w:r>
            <w:r>
              <w:rPr>
                <w:rFonts w:ascii="仿宋" w:hAnsi="仿宋" w:eastAsia="仿宋" w:cs="仿宋"/>
                <w:spacing w:val="6"/>
                <w:sz w:val="20"/>
                <w:szCs w:val="20"/>
              </w:rPr>
              <w:t xml:space="preserve">    </w:t>
            </w:r>
            <w:r>
              <w:rPr>
                <w:rFonts w:ascii="仿宋" w:hAnsi="仿宋" w:eastAsia="仿宋" w:cs="仿宋"/>
                <w:b/>
                <w:bCs/>
                <w:spacing w:val="6"/>
                <w:sz w:val="20"/>
                <w:szCs w:val="20"/>
              </w:rPr>
              <w:t>专项评价设置原则表</w:t>
            </w:r>
          </w:p>
        </w:tc>
      </w:tr>
      <w:tr w14:paraId="085030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1070" w:type="dxa"/>
            <w:vMerge w:val="continue"/>
            <w:tcBorders>
              <w:top w:val="nil"/>
              <w:left w:val="single" w:color="000000" w:sz="6" w:space="0"/>
              <w:bottom w:val="nil"/>
            </w:tcBorders>
            <w:vAlign w:val="top"/>
          </w:tcPr>
          <w:p w14:paraId="38A7A704">
            <w:pPr>
              <w:rPr>
                <w:rFonts w:ascii="Arial"/>
                <w:sz w:val="21"/>
              </w:rPr>
            </w:pPr>
          </w:p>
        </w:tc>
        <w:tc>
          <w:tcPr>
            <w:tcW w:w="852" w:type="dxa"/>
            <w:tcBorders>
              <w:top w:val="single" w:color="000000" w:sz="10" w:space="0"/>
            </w:tcBorders>
            <w:vAlign w:val="top"/>
          </w:tcPr>
          <w:p w14:paraId="0739C80A">
            <w:pPr>
              <w:spacing w:before="21" w:line="220" w:lineRule="auto"/>
              <w:ind w:left="268" w:right="52" w:hanging="180"/>
              <w:rPr>
                <w:rFonts w:ascii="仿宋" w:hAnsi="仿宋" w:eastAsia="仿宋" w:cs="仿宋"/>
                <w:sz w:val="18"/>
                <w:szCs w:val="18"/>
              </w:rPr>
            </w:pPr>
            <w:r>
              <w:rPr>
                <w:rFonts w:ascii="仿宋" w:hAnsi="仿宋" w:eastAsia="仿宋" w:cs="仿宋"/>
                <w:spacing w:val="-4"/>
                <w:sz w:val="18"/>
                <w:szCs w:val="18"/>
              </w:rPr>
              <w:t>专项评价</w:t>
            </w:r>
            <w:r>
              <w:rPr>
                <w:rFonts w:ascii="仿宋" w:hAnsi="仿宋" w:eastAsia="仿宋" w:cs="仿宋"/>
                <w:spacing w:val="-8"/>
                <w:sz w:val="18"/>
                <w:szCs w:val="18"/>
              </w:rPr>
              <w:t>类别</w:t>
            </w:r>
          </w:p>
        </w:tc>
        <w:tc>
          <w:tcPr>
            <w:tcW w:w="3321" w:type="dxa"/>
            <w:gridSpan w:val="2"/>
            <w:tcBorders>
              <w:top w:val="single" w:color="000000" w:sz="10" w:space="0"/>
            </w:tcBorders>
            <w:vAlign w:val="top"/>
          </w:tcPr>
          <w:p w14:paraId="4A881D6A">
            <w:pPr>
              <w:spacing w:before="137" w:line="223" w:lineRule="auto"/>
              <w:ind w:left="1130"/>
              <w:rPr>
                <w:rFonts w:ascii="仿宋" w:hAnsi="仿宋" w:eastAsia="仿宋" w:cs="仿宋"/>
                <w:sz w:val="18"/>
                <w:szCs w:val="18"/>
              </w:rPr>
            </w:pPr>
            <w:r>
              <w:rPr>
                <w:rFonts w:ascii="仿宋" w:hAnsi="仿宋" w:eastAsia="仿宋" w:cs="仿宋"/>
                <w:spacing w:val="-3"/>
                <w:sz w:val="18"/>
                <w:szCs w:val="18"/>
              </w:rPr>
              <w:t>涉及项目类别</w:t>
            </w:r>
          </w:p>
        </w:tc>
        <w:tc>
          <w:tcPr>
            <w:tcW w:w="3030" w:type="dxa"/>
            <w:gridSpan w:val="2"/>
            <w:tcBorders>
              <w:top w:val="single" w:color="000000" w:sz="10" w:space="0"/>
            </w:tcBorders>
            <w:vAlign w:val="top"/>
          </w:tcPr>
          <w:p w14:paraId="52C0201C">
            <w:pPr>
              <w:spacing w:before="138" w:line="222" w:lineRule="auto"/>
              <w:ind w:left="1079"/>
              <w:rPr>
                <w:rFonts w:ascii="仿宋" w:hAnsi="仿宋" w:eastAsia="仿宋" w:cs="仿宋"/>
                <w:sz w:val="18"/>
                <w:szCs w:val="18"/>
              </w:rPr>
            </w:pPr>
            <w:r>
              <w:rPr>
                <w:rFonts w:ascii="仿宋" w:hAnsi="仿宋" w:eastAsia="仿宋" w:cs="仿宋"/>
                <w:spacing w:val="-3"/>
                <w:sz w:val="18"/>
                <w:szCs w:val="18"/>
              </w:rPr>
              <w:t>本项目情况</w:t>
            </w:r>
          </w:p>
        </w:tc>
        <w:tc>
          <w:tcPr>
            <w:tcW w:w="790" w:type="dxa"/>
            <w:tcBorders>
              <w:top w:val="single" w:color="000000" w:sz="10" w:space="0"/>
              <w:right w:val="single" w:color="000000" w:sz="6" w:space="0"/>
            </w:tcBorders>
            <w:vAlign w:val="top"/>
          </w:tcPr>
          <w:p w14:paraId="714079DE">
            <w:pPr>
              <w:spacing w:before="21" w:line="220" w:lineRule="auto"/>
              <w:ind w:left="229" w:right="26" w:hanging="182"/>
              <w:rPr>
                <w:rFonts w:ascii="仿宋" w:hAnsi="仿宋" w:eastAsia="仿宋" w:cs="仿宋"/>
                <w:sz w:val="18"/>
                <w:szCs w:val="18"/>
              </w:rPr>
            </w:pPr>
            <w:r>
              <w:rPr>
                <w:rFonts w:ascii="仿宋" w:hAnsi="仿宋" w:eastAsia="仿宋" w:cs="仿宋"/>
                <w:spacing w:val="-4"/>
                <w:sz w:val="18"/>
                <w:szCs w:val="18"/>
              </w:rPr>
              <w:t>专题设置</w:t>
            </w:r>
            <w:r>
              <w:rPr>
                <w:rFonts w:ascii="仿宋" w:hAnsi="仿宋" w:eastAsia="仿宋" w:cs="仿宋"/>
                <w:spacing w:val="-9"/>
                <w:sz w:val="18"/>
                <w:szCs w:val="18"/>
              </w:rPr>
              <w:t>情况</w:t>
            </w:r>
          </w:p>
        </w:tc>
      </w:tr>
      <w:tr w14:paraId="11CF83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04" w:hRule="atLeast"/>
        </w:trPr>
        <w:tc>
          <w:tcPr>
            <w:tcW w:w="1070" w:type="dxa"/>
            <w:vMerge w:val="continue"/>
            <w:tcBorders>
              <w:top w:val="nil"/>
              <w:left w:val="single" w:color="000000" w:sz="6" w:space="0"/>
              <w:bottom w:val="nil"/>
            </w:tcBorders>
            <w:vAlign w:val="top"/>
          </w:tcPr>
          <w:p w14:paraId="2BF7EA83">
            <w:pPr>
              <w:rPr>
                <w:rFonts w:ascii="Arial"/>
                <w:sz w:val="21"/>
              </w:rPr>
            </w:pPr>
          </w:p>
        </w:tc>
        <w:tc>
          <w:tcPr>
            <w:tcW w:w="852" w:type="dxa"/>
            <w:vAlign w:val="top"/>
          </w:tcPr>
          <w:p w14:paraId="76D4DBCD">
            <w:pPr>
              <w:spacing w:line="277" w:lineRule="auto"/>
              <w:rPr>
                <w:rFonts w:ascii="Arial"/>
                <w:sz w:val="21"/>
              </w:rPr>
            </w:pPr>
          </w:p>
          <w:p w14:paraId="18C97EE9">
            <w:pPr>
              <w:spacing w:line="278" w:lineRule="auto"/>
              <w:rPr>
                <w:rFonts w:ascii="Arial"/>
                <w:sz w:val="21"/>
              </w:rPr>
            </w:pPr>
          </w:p>
          <w:p w14:paraId="32C97E4A">
            <w:pPr>
              <w:spacing w:before="59" w:line="223" w:lineRule="auto"/>
              <w:ind w:left="176"/>
              <w:rPr>
                <w:rFonts w:ascii="仿宋" w:hAnsi="仿宋" w:eastAsia="仿宋" w:cs="仿宋"/>
                <w:sz w:val="18"/>
                <w:szCs w:val="18"/>
              </w:rPr>
            </w:pPr>
            <w:r>
              <w:rPr>
                <w:rFonts w:ascii="仿宋" w:hAnsi="仿宋" w:eastAsia="仿宋" w:cs="仿宋"/>
                <w:spacing w:val="-5"/>
                <w:sz w:val="18"/>
                <w:szCs w:val="18"/>
              </w:rPr>
              <w:t>地表水</w:t>
            </w:r>
          </w:p>
        </w:tc>
        <w:tc>
          <w:tcPr>
            <w:tcW w:w="3321" w:type="dxa"/>
            <w:gridSpan w:val="2"/>
            <w:vAlign w:val="top"/>
          </w:tcPr>
          <w:p w14:paraId="3DAD9992">
            <w:pPr>
              <w:spacing w:before="33" w:line="239" w:lineRule="auto"/>
              <w:ind w:left="123" w:right="104" w:hanging="11"/>
              <w:rPr>
                <w:rFonts w:ascii="仿宋" w:hAnsi="仿宋" w:eastAsia="仿宋" w:cs="仿宋"/>
                <w:sz w:val="18"/>
                <w:szCs w:val="18"/>
              </w:rPr>
            </w:pPr>
            <w:r>
              <w:rPr>
                <w:rFonts w:ascii="仿宋" w:hAnsi="仿宋" w:eastAsia="仿宋" w:cs="仿宋"/>
                <w:spacing w:val="2"/>
                <w:sz w:val="18"/>
                <w:szCs w:val="18"/>
              </w:rPr>
              <w:t>水力发电：引水式发电、涉及调峰发电</w:t>
            </w:r>
            <w:r>
              <w:rPr>
                <w:rFonts w:ascii="仿宋" w:hAnsi="仿宋" w:eastAsia="仿宋" w:cs="仿宋"/>
                <w:spacing w:val="1"/>
                <w:sz w:val="18"/>
                <w:szCs w:val="18"/>
              </w:rPr>
              <w:t>的项目；人工湖、人工湿地：全部；水</w:t>
            </w:r>
          </w:p>
          <w:p w14:paraId="4A6C6FFB">
            <w:pPr>
              <w:spacing w:before="1" w:line="229" w:lineRule="auto"/>
              <w:ind w:left="112" w:right="104" w:firstLine="3"/>
              <w:jc w:val="both"/>
              <w:rPr>
                <w:rFonts w:ascii="仿宋" w:hAnsi="仿宋" w:eastAsia="仿宋" w:cs="仿宋"/>
                <w:sz w:val="18"/>
                <w:szCs w:val="18"/>
              </w:rPr>
            </w:pPr>
            <w:r>
              <w:rPr>
                <w:rFonts w:ascii="仿宋" w:hAnsi="仿宋" w:eastAsia="仿宋" w:cs="仿宋"/>
                <w:spacing w:val="2"/>
                <w:sz w:val="18"/>
                <w:szCs w:val="18"/>
              </w:rPr>
              <w:t>库：全部；引水工程：全部（配套的管</w:t>
            </w:r>
            <w:r>
              <w:rPr>
                <w:rFonts w:ascii="仿宋" w:hAnsi="仿宋" w:eastAsia="仿宋" w:cs="仿宋"/>
                <w:sz w:val="18"/>
                <w:szCs w:val="18"/>
              </w:rPr>
              <w:t>线工程等除外</w:t>
            </w:r>
            <w:r>
              <w:rPr>
                <w:rFonts w:ascii="仿宋" w:hAnsi="仿宋" w:eastAsia="仿宋" w:cs="仿宋"/>
                <w:spacing w:val="18"/>
                <w:sz w:val="18"/>
                <w:szCs w:val="18"/>
              </w:rPr>
              <w:t>）；</w:t>
            </w:r>
            <w:r>
              <w:rPr>
                <w:rFonts w:ascii="仿宋" w:hAnsi="仿宋" w:eastAsia="仿宋" w:cs="仿宋"/>
                <w:sz w:val="18"/>
                <w:szCs w:val="18"/>
              </w:rPr>
              <w:t>防洪除涝工程：包含</w:t>
            </w:r>
            <w:r>
              <w:rPr>
                <w:rFonts w:ascii="仿宋" w:hAnsi="仿宋" w:eastAsia="仿宋" w:cs="仿宋"/>
                <w:spacing w:val="2"/>
                <w:sz w:val="18"/>
                <w:szCs w:val="18"/>
              </w:rPr>
              <w:t>水库的项目；河湖整治：涉及清淤且底</w:t>
            </w:r>
            <w:r>
              <w:rPr>
                <w:rFonts w:ascii="仿宋" w:hAnsi="仿宋" w:eastAsia="仿宋" w:cs="仿宋"/>
                <w:spacing w:val="-2"/>
                <w:sz w:val="18"/>
                <w:szCs w:val="18"/>
              </w:rPr>
              <w:t>泥存在重金属污染的项目</w:t>
            </w:r>
          </w:p>
        </w:tc>
        <w:tc>
          <w:tcPr>
            <w:tcW w:w="3030" w:type="dxa"/>
            <w:gridSpan w:val="2"/>
            <w:vAlign w:val="top"/>
          </w:tcPr>
          <w:p w14:paraId="6D8EF60D">
            <w:pPr>
              <w:spacing w:before="265"/>
              <w:ind w:left="118" w:right="98"/>
              <w:jc w:val="both"/>
              <w:rPr>
                <w:rFonts w:ascii="仿宋" w:hAnsi="仿宋" w:eastAsia="仿宋" w:cs="仿宋"/>
                <w:sz w:val="18"/>
                <w:szCs w:val="18"/>
              </w:rPr>
            </w:pPr>
            <w:r>
              <w:rPr>
                <w:rFonts w:ascii="仿宋" w:hAnsi="仿宋" w:eastAsia="仿宋" w:cs="仿宋"/>
                <w:spacing w:val="-5"/>
                <w:sz w:val="18"/>
                <w:szCs w:val="18"/>
              </w:rPr>
              <w:t>本项目为交通运输业项目，不属于水力发电、人工湖、人工湿地、引水工程、防洪除涝工程及河湖整治等建设项目。</w:t>
            </w:r>
          </w:p>
        </w:tc>
        <w:tc>
          <w:tcPr>
            <w:tcW w:w="790" w:type="dxa"/>
            <w:tcBorders>
              <w:right w:val="single" w:color="000000" w:sz="6" w:space="0"/>
            </w:tcBorders>
            <w:vAlign w:val="top"/>
          </w:tcPr>
          <w:p w14:paraId="004AC8F5">
            <w:pPr>
              <w:spacing w:line="277" w:lineRule="auto"/>
              <w:rPr>
                <w:rFonts w:ascii="Arial"/>
                <w:sz w:val="21"/>
              </w:rPr>
            </w:pPr>
          </w:p>
          <w:p w14:paraId="54DC00FF">
            <w:pPr>
              <w:spacing w:line="278" w:lineRule="auto"/>
              <w:rPr>
                <w:rFonts w:ascii="Arial"/>
                <w:sz w:val="21"/>
              </w:rPr>
            </w:pPr>
          </w:p>
          <w:p w14:paraId="4C3660AF">
            <w:pPr>
              <w:spacing w:before="58" w:line="224" w:lineRule="auto"/>
              <w:ind w:left="140"/>
              <w:rPr>
                <w:rFonts w:ascii="仿宋" w:hAnsi="仿宋" w:eastAsia="仿宋" w:cs="仿宋"/>
                <w:sz w:val="18"/>
                <w:szCs w:val="18"/>
              </w:rPr>
            </w:pPr>
            <w:r>
              <w:rPr>
                <w:rFonts w:ascii="仿宋" w:hAnsi="仿宋" w:eastAsia="仿宋" w:cs="仿宋"/>
                <w:spacing w:val="-6"/>
                <w:sz w:val="18"/>
                <w:szCs w:val="18"/>
              </w:rPr>
              <w:t>不设置</w:t>
            </w:r>
          </w:p>
        </w:tc>
      </w:tr>
      <w:tr w14:paraId="46C3D6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04" w:hRule="atLeast"/>
        </w:trPr>
        <w:tc>
          <w:tcPr>
            <w:tcW w:w="1070" w:type="dxa"/>
            <w:vMerge w:val="continue"/>
            <w:tcBorders>
              <w:top w:val="nil"/>
              <w:left w:val="single" w:color="000000" w:sz="6" w:space="0"/>
              <w:bottom w:val="nil"/>
            </w:tcBorders>
            <w:vAlign w:val="top"/>
          </w:tcPr>
          <w:p w14:paraId="13DE719B">
            <w:pPr>
              <w:rPr>
                <w:rFonts w:ascii="Arial"/>
                <w:sz w:val="21"/>
              </w:rPr>
            </w:pPr>
          </w:p>
        </w:tc>
        <w:tc>
          <w:tcPr>
            <w:tcW w:w="852" w:type="dxa"/>
            <w:vAlign w:val="top"/>
          </w:tcPr>
          <w:p w14:paraId="67CEA1FF">
            <w:pPr>
              <w:spacing w:line="301" w:lineRule="auto"/>
              <w:rPr>
                <w:rFonts w:ascii="Arial"/>
                <w:sz w:val="21"/>
              </w:rPr>
            </w:pPr>
          </w:p>
          <w:p w14:paraId="76267EA7">
            <w:pPr>
              <w:spacing w:line="301" w:lineRule="auto"/>
              <w:rPr>
                <w:rFonts w:ascii="Arial"/>
                <w:sz w:val="21"/>
              </w:rPr>
            </w:pPr>
          </w:p>
          <w:p w14:paraId="4FE651F4">
            <w:pPr>
              <w:spacing w:line="301" w:lineRule="auto"/>
              <w:rPr>
                <w:rFonts w:ascii="Arial"/>
                <w:sz w:val="21"/>
              </w:rPr>
            </w:pPr>
          </w:p>
          <w:p w14:paraId="65F10B58">
            <w:pPr>
              <w:spacing w:before="59" w:line="222" w:lineRule="auto"/>
              <w:ind w:left="175"/>
              <w:rPr>
                <w:rFonts w:ascii="仿宋" w:hAnsi="仿宋" w:eastAsia="仿宋" w:cs="仿宋"/>
                <w:sz w:val="18"/>
                <w:szCs w:val="18"/>
              </w:rPr>
            </w:pPr>
            <w:r>
              <w:rPr>
                <w:rFonts w:ascii="仿宋" w:hAnsi="仿宋" w:eastAsia="仿宋" w:cs="仿宋"/>
                <w:spacing w:val="-5"/>
                <w:sz w:val="18"/>
                <w:szCs w:val="18"/>
              </w:rPr>
              <w:t>地下水</w:t>
            </w:r>
          </w:p>
        </w:tc>
        <w:tc>
          <w:tcPr>
            <w:tcW w:w="3321" w:type="dxa"/>
            <w:gridSpan w:val="2"/>
            <w:vAlign w:val="top"/>
          </w:tcPr>
          <w:p w14:paraId="3DD49AFA">
            <w:pPr>
              <w:spacing w:line="336" w:lineRule="auto"/>
              <w:rPr>
                <w:rFonts w:ascii="Arial"/>
                <w:sz w:val="21"/>
              </w:rPr>
            </w:pPr>
          </w:p>
          <w:p w14:paraId="094F4C28">
            <w:pPr>
              <w:spacing w:line="336" w:lineRule="auto"/>
              <w:rPr>
                <w:rFonts w:ascii="Arial"/>
                <w:sz w:val="21"/>
              </w:rPr>
            </w:pPr>
          </w:p>
          <w:p w14:paraId="4A14F558">
            <w:pPr>
              <w:spacing w:before="58" w:line="222" w:lineRule="auto"/>
              <w:ind w:left="126"/>
              <w:rPr>
                <w:rFonts w:ascii="仿宋" w:hAnsi="仿宋" w:eastAsia="仿宋" w:cs="仿宋"/>
                <w:sz w:val="18"/>
                <w:szCs w:val="18"/>
              </w:rPr>
            </w:pPr>
            <w:r>
              <w:rPr>
                <w:rFonts w:ascii="仿宋" w:hAnsi="仿宋" w:eastAsia="仿宋" w:cs="仿宋"/>
                <w:spacing w:val="1"/>
                <w:sz w:val="18"/>
                <w:szCs w:val="18"/>
              </w:rPr>
              <w:t>陆地石油和天然气开采：全部；地下水</w:t>
            </w:r>
          </w:p>
          <w:p w14:paraId="2035197A">
            <w:pPr>
              <w:spacing w:before="16" w:line="222" w:lineRule="auto"/>
              <w:ind w:right="13"/>
              <w:jc w:val="right"/>
              <w:rPr>
                <w:rFonts w:ascii="仿宋" w:hAnsi="仿宋" w:eastAsia="仿宋" w:cs="仿宋"/>
                <w:sz w:val="18"/>
                <w:szCs w:val="18"/>
              </w:rPr>
            </w:pPr>
            <w:r>
              <w:rPr>
                <w:rFonts w:ascii="仿宋" w:hAnsi="仿宋" w:eastAsia="仿宋" w:cs="仿宋"/>
                <w:spacing w:val="-4"/>
                <w:sz w:val="18"/>
                <w:szCs w:val="18"/>
              </w:rPr>
              <w:t>（含矿泉水）开采：全部；水利、水电、</w:t>
            </w:r>
          </w:p>
          <w:p w14:paraId="6411E979">
            <w:pPr>
              <w:spacing w:before="15" w:line="222" w:lineRule="auto"/>
              <w:ind w:right="13"/>
              <w:jc w:val="right"/>
              <w:rPr>
                <w:rFonts w:ascii="仿宋" w:hAnsi="仿宋" w:eastAsia="仿宋" w:cs="仿宋"/>
                <w:sz w:val="18"/>
                <w:szCs w:val="18"/>
              </w:rPr>
            </w:pPr>
            <w:r>
              <w:rPr>
                <w:rFonts w:ascii="仿宋" w:hAnsi="仿宋" w:eastAsia="仿宋" w:cs="仿宋"/>
                <w:spacing w:val="-4"/>
                <w:sz w:val="18"/>
                <w:szCs w:val="18"/>
              </w:rPr>
              <w:t>交通等：含穿越可溶岩地层隧道的项目。</w:t>
            </w:r>
          </w:p>
        </w:tc>
        <w:tc>
          <w:tcPr>
            <w:tcW w:w="3030" w:type="dxa"/>
            <w:gridSpan w:val="2"/>
            <w:vAlign w:val="top"/>
          </w:tcPr>
          <w:p w14:paraId="1A853D6C">
            <w:pPr>
              <w:spacing w:before="40" w:line="234" w:lineRule="auto"/>
              <w:ind w:left="117" w:right="43" w:firstLine="1"/>
              <w:jc w:val="both"/>
              <w:rPr>
                <w:rFonts w:ascii="仿宋" w:hAnsi="仿宋" w:eastAsia="仿宋" w:cs="仿宋"/>
                <w:sz w:val="18"/>
                <w:szCs w:val="18"/>
              </w:rPr>
            </w:pPr>
            <w:r>
              <w:rPr>
                <w:rFonts w:ascii="仿宋" w:hAnsi="仿宋" w:eastAsia="仿宋" w:cs="仿宋"/>
                <w:spacing w:val="-5"/>
                <w:sz w:val="18"/>
                <w:szCs w:val="18"/>
              </w:rPr>
              <w:t>本项目为交通运输业，不属于陆地石</w:t>
            </w:r>
            <w:r>
              <w:rPr>
                <w:rFonts w:ascii="仿宋" w:hAnsi="仿宋" w:eastAsia="仿宋" w:cs="仿宋"/>
                <w:spacing w:val="-12"/>
                <w:sz w:val="18"/>
                <w:szCs w:val="18"/>
              </w:rPr>
              <w:t>油和天然气开采、地下水开采、水利、</w:t>
            </w:r>
            <w:r>
              <w:rPr>
                <w:rFonts w:ascii="仿宋" w:hAnsi="仿宋" w:eastAsia="仿宋" w:cs="仿宋"/>
                <w:spacing w:val="-5"/>
                <w:sz w:val="18"/>
                <w:szCs w:val="18"/>
              </w:rPr>
              <w:t>水电、交通等建设项目。根据鄂尔多</w:t>
            </w:r>
            <w:r>
              <w:rPr>
                <w:rFonts w:ascii="仿宋" w:hAnsi="仿宋" w:eastAsia="仿宋" w:cs="仿宋"/>
                <w:spacing w:val="7"/>
                <w:sz w:val="18"/>
                <w:szCs w:val="18"/>
              </w:rPr>
              <w:t>斯市生态环境局准格尔旗分局出具</w:t>
            </w:r>
            <w:r>
              <w:rPr>
                <w:rFonts w:ascii="仿宋" w:hAnsi="仿宋" w:eastAsia="仿宋" w:cs="仿宋"/>
                <w:spacing w:val="-5"/>
                <w:sz w:val="18"/>
                <w:szCs w:val="18"/>
              </w:rPr>
              <w:t>的复函：“项目范围内无集中式饮用</w:t>
            </w:r>
            <w:r>
              <w:rPr>
                <w:rFonts w:ascii="仿宋" w:hAnsi="仿宋" w:eastAsia="仿宋" w:cs="仿宋"/>
                <w:spacing w:val="-6"/>
                <w:sz w:val="18"/>
                <w:szCs w:val="18"/>
              </w:rPr>
              <w:t>水水源地保护区</w:t>
            </w:r>
            <w:r>
              <w:rPr>
                <w:rFonts w:ascii="仿宋" w:hAnsi="仿宋" w:eastAsia="仿宋" w:cs="仿宋"/>
                <w:spacing w:val="-67"/>
                <w:sz w:val="18"/>
                <w:szCs w:val="18"/>
              </w:rPr>
              <w:t xml:space="preserve"> </w:t>
            </w:r>
            <w:r>
              <w:rPr>
                <w:rFonts w:ascii="仿宋" w:hAnsi="仿宋" w:eastAsia="仿宋" w:cs="仿宋"/>
                <w:spacing w:val="-6"/>
                <w:sz w:val="18"/>
                <w:szCs w:val="18"/>
              </w:rPr>
              <w:t>”，并且水路面下游</w:t>
            </w:r>
            <w:r>
              <w:rPr>
                <w:rFonts w:ascii="仿宋" w:hAnsi="仿宋" w:eastAsia="仿宋" w:cs="仿宋"/>
                <w:spacing w:val="-5"/>
                <w:sz w:val="18"/>
                <w:szCs w:val="18"/>
              </w:rPr>
              <w:t>无集中式饮用水水源保护区、饮用水</w:t>
            </w:r>
            <w:r>
              <w:rPr>
                <w:rFonts w:ascii="仿宋" w:hAnsi="仿宋" w:eastAsia="仿宋" w:cs="仿宋"/>
                <w:spacing w:val="6"/>
                <w:sz w:val="18"/>
                <w:szCs w:val="18"/>
              </w:rPr>
              <w:t>取水井(泉)以及泉域等特殊地下水</w:t>
            </w:r>
            <w:r>
              <w:rPr>
                <w:rFonts w:ascii="仿宋" w:hAnsi="仿宋" w:eastAsia="仿宋" w:cs="仿宋"/>
                <w:spacing w:val="-2"/>
                <w:sz w:val="18"/>
                <w:szCs w:val="18"/>
              </w:rPr>
              <w:t>资源保护区等。</w:t>
            </w:r>
          </w:p>
        </w:tc>
        <w:tc>
          <w:tcPr>
            <w:tcW w:w="790" w:type="dxa"/>
            <w:tcBorders>
              <w:right w:val="single" w:color="000000" w:sz="6" w:space="0"/>
            </w:tcBorders>
            <w:vAlign w:val="top"/>
          </w:tcPr>
          <w:p w14:paraId="6939EA12">
            <w:pPr>
              <w:spacing w:line="301" w:lineRule="auto"/>
              <w:rPr>
                <w:rFonts w:ascii="Arial"/>
                <w:sz w:val="21"/>
              </w:rPr>
            </w:pPr>
          </w:p>
          <w:p w14:paraId="6D281FEA">
            <w:pPr>
              <w:spacing w:line="301" w:lineRule="auto"/>
              <w:rPr>
                <w:rFonts w:ascii="Arial"/>
                <w:sz w:val="21"/>
              </w:rPr>
            </w:pPr>
          </w:p>
          <w:p w14:paraId="4BD272A0">
            <w:pPr>
              <w:spacing w:line="301" w:lineRule="auto"/>
              <w:rPr>
                <w:rFonts w:ascii="Arial"/>
                <w:sz w:val="21"/>
              </w:rPr>
            </w:pPr>
          </w:p>
          <w:p w14:paraId="559881B8">
            <w:pPr>
              <w:spacing w:before="58" w:line="224" w:lineRule="auto"/>
              <w:ind w:left="140"/>
              <w:rPr>
                <w:rFonts w:ascii="仿宋" w:hAnsi="仿宋" w:eastAsia="仿宋" w:cs="仿宋"/>
                <w:sz w:val="18"/>
                <w:szCs w:val="18"/>
              </w:rPr>
            </w:pPr>
            <w:r>
              <w:rPr>
                <w:rFonts w:ascii="仿宋" w:hAnsi="仿宋" w:eastAsia="仿宋" w:cs="仿宋"/>
                <w:spacing w:val="-6"/>
                <w:sz w:val="18"/>
                <w:szCs w:val="18"/>
              </w:rPr>
              <w:t>不设置</w:t>
            </w:r>
          </w:p>
        </w:tc>
      </w:tr>
      <w:tr w14:paraId="1348C4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1" w:hRule="atLeast"/>
        </w:trPr>
        <w:tc>
          <w:tcPr>
            <w:tcW w:w="1070" w:type="dxa"/>
            <w:vMerge w:val="continue"/>
            <w:tcBorders>
              <w:top w:val="nil"/>
              <w:left w:val="single" w:color="000000" w:sz="6" w:space="0"/>
              <w:bottom w:val="nil"/>
            </w:tcBorders>
            <w:vAlign w:val="top"/>
          </w:tcPr>
          <w:p w14:paraId="03B709A7">
            <w:pPr>
              <w:rPr>
                <w:rFonts w:ascii="Arial"/>
                <w:sz w:val="21"/>
              </w:rPr>
            </w:pPr>
          </w:p>
        </w:tc>
        <w:tc>
          <w:tcPr>
            <w:tcW w:w="852" w:type="dxa"/>
            <w:vAlign w:val="top"/>
          </w:tcPr>
          <w:p w14:paraId="5960706E">
            <w:pPr>
              <w:spacing w:line="441" w:lineRule="auto"/>
              <w:rPr>
                <w:rFonts w:ascii="Arial"/>
                <w:sz w:val="21"/>
              </w:rPr>
            </w:pPr>
          </w:p>
          <w:p w14:paraId="70449BE8">
            <w:pPr>
              <w:spacing w:before="58" w:line="226" w:lineRule="auto"/>
              <w:ind w:left="277"/>
              <w:rPr>
                <w:rFonts w:ascii="仿宋" w:hAnsi="仿宋" w:eastAsia="仿宋" w:cs="仿宋"/>
                <w:sz w:val="18"/>
                <w:szCs w:val="18"/>
              </w:rPr>
            </w:pPr>
            <w:r>
              <w:rPr>
                <w:rFonts w:ascii="仿宋" w:hAnsi="仿宋" w:eastAsia="仿宋" w:cs="仿宋"/>
                <w:spacing w:val="-12"/>
                <w:sz w:val="18"/>
                <w:szCs w:val="18"/>
              </w:rPr>
              <w:t>生态</w:t>
            </w:r>
          </w:p>
        </w:tc>
        <w:tc>
          <w:tcPr>
            <w:tcW w:w="3321" w:type="dxa"/>
            <w:gridSpan w:val="2"/>
            <w:vAlign w:val="top"/>
          </w:tcPr>
          <w:p w14:paraId="0A124D51">
            <w:pPr>
              <w:spacing w:before="151"/>
              <w:ind w:left="112" w:right="104" w:firstLine="2"/>
              <w:rPr>
                <w:rFonts w:ascii="仿宋" w:hAnsi="仿宋" w:eastAsia="仿宋" w:cs="仿宋"/>
                <w:sz w:val="18"/>
                <w:szCs w:val="18"/>
              </w:rPr>
            </w:pPr>
            <w:r>
              <w:rPr>
                <w:rFonts w:ascii="仿宋" w:hAnsi="仿宋" w:eastAsia="仿宋" w:cs="仿宋"/>
                <w:spacing w:val="2"/>
                <w:sz w:val="18"/>
                <w:szCs w:val="18"/>
              </w:rPr>
              <w:t>涉及环境敏感区（不包括饮用水水源保护区，以居住、医疗卫生、文化教育、科研、行政办公为主要功能的区域，以</w:t>
            </w:r>
            <w:r>
              <w:rPr>
                <w:rFonts w:ascii="仿宋" w:hAnsi="仿宋" w:eastAsia="仿宋" w:cs="仿宋"/>
                <w:spacing w:val="-1"/>
                <w:sz w:val="18"/>
                <w:szCs w:val="18"/>
              </w:rPr>
              <w:t>及文物保护单位）的项目。</w:t>
            </w:r>
          </w:p>
        </w:tc>
        <w:tc>
          <w:tcPr>
            <w:tcW w:w="3030" w:type="dxa"/>
            <w:gridSpan w:val="2"/>
            <w:vAlign w:val="top"/>
          </w:tcPr>
          <w:p w14:paraId="782AB6EB">
            <w:pPr>
              <w:spacing w:before="34" w:line="231" w:lineRule="auto"/>
              <w:ind w:left="120" w:right="98" w:hanging="2"/>
              <w:jc w:val="both"/>
              <w:rPr>
                <w:rFonts w:ascii="仿宋" w:hAnsi="仿宋" w:eastAsia="仿宋" w:cs="仿宋"/>
                <w:sz w:val="18"/>
                <w:szCs w:val="18"/>
              </w:rPr>
            </w:pPr>
            <w:r>
              <w:rPr>
                <w:rFonts w:ascii="仿宋" w:hAnsi="仿宋" w:eastAsia="仿宋" w:cs="仿宋"/>
                <w:spacing w:val="-5"/>
                <w:sz w:val="18"/>
                <w:szCs w:val="18"/>
              </w:rPr>
              <w:t>本项目为四级通村公路建设项目，项</w:t>
            </w:r>
            <w:r>
              <w:rPr>
                <w:rFonts w:ascii="仿宋" w:hAnsi="仿宋" w:eastAsia="仿宋" w:cs="仿宋"/>
                <w:spacing w:val="6"/>
                <w:sz w:val="18"/>
                <w:szCs w:val="18"/>
              </w:rPr>
              <w:t>目沿线区域划入水土流失重点治理</w:t>
            </w:r>
            <w:r>
              <w:rPr>
                <w:rFonts w:ascii="仿宋" w:hAnsi="仿宋" w:eastAsia="仿宋" w:cs="仿宋"/>
                <w:spacing w:val="-5"/>
                <w:sz w:val="18"/>
                <w:szCs w:val="18"/>
              </w:rPr>
              <w:t>区，且线路部分路段占地涉及基本草原，上述区域均属于法定环境敏感区</w:t>
            </w:r>
            <w:r>
              <w:rPr>
                <w:rFonts w:ascii="仿宋" w:hAnsi="仿宋" w:eastAsia="仿宋" w:cs="仿宋"/>
                <w:spacing w:val="-6"/>
                <w:sz w:val="18"/>
                <w:szCs w:val="18"/>
              </w:rPr>
              <w:t>范畴。</w:t>
            </w:r>
          </w:p>
        </w:tc>
        <w:tc>
          <w:tcPr>
            <w:tcW w:w="790" w:type="dxa"/>
            <w:tcBorders>
              <w:right w:val="single" w:color="000000" w:sz="6" w:space="0"/>
            </w:tcBorders>
            <w:vAlign w:val="top"/>
          </w:tcPr>
          <w:p w14:paraId="2F92ABDE">
            <w:pPr>
              <w:spacing w:line="441" w:lineRule="auto"/>
              <w:rPr>
                <w:rFonts w:ascii="Arial"/>
                <w:sz w:val="21"/>
              </w:rPr>
            </w:pPr>
          </w:p>
          <w:p w14:paraId="78962D8B">
            <w:pPr>
              <w:spacing w:before="58" w:line="224" w:lineRule="auto"/>
              <w:ind w:left="224"/>
              <w:rPr>
                <w:rFonts w:ascii="仿宋" w:hAnsi="仿宋" w:eastAsia="仿宋" w:cs="仿宋"/>
                <w:sz w:val="18"/>
                <w:szCs w:val="18"/>
              </w:rPr>
            </w:pPr>
            <w:r>
              <w:rPr>
                <w:rFonts w:ascii="仿宋" w:hAnsi="仿宋" w:eastAsia="仿宋" w:cs="仿宋"/>
                <w:spacing w:val="-6"/>
                <w:sz w:val="18"/>
                <w:szCs w:val="18"/>
              </w:rPr>
              <w:t>设置</w:t>
            </w:r>
          </w:p>
        </w:tc>
      </w:tr>
      <w:tr w14:paraId="1C9E5D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1070" w:type="dxa"/>
            <w:vMerge w:val="continue"/>
            <w:tcBorders>
              <w:top w:val="nil"/>
              <w:left w:val="single" w:color="000000" w:sz="6" w:space="0"/>
              <w:bottom w:val="nil"/>
            </w:tcBorders>
            <w:vAlign w:val="top"/>
          </w:tcPr>
          <w:p w14:paraId="120517EE">
            <w:pPr>
              <w:rPr>
                <w:rFonts w:ascii="Arial"/>
                <w:sz w:val="21"/>
              </w:rPr>
            </w:pPr>
          </w:p>
        </w:tc>
        <w:tc>
          <w:tcPr>
            <w:tcW w:w="852" w:type="dxa"/>
            <w:vAlign w:val="top"/>
          </w:tcPr>
          <w:p w14:paraId="3D6B6344">
            <w:pPr>
              <w:spacing w:line="326" w:lineRule="auto"/>
              <w:rPr>
                <w:rFonts w:ascii="Arial"/>
                <w:sz w:val="21"/>
              </w:rPr>
            </w:pPr>
          </w:p>
          <w:p w14:paraId="27E95C97">
            <w:pPr>
              <w:spacing w:before="59" w:line="224" w:lineRule="auto"/>
              <w:ind w:left="268"/>
              <w:rPr>
                <w:rFonts w:ascii="仿宋" w:hAnsi="仿宋" w:eastAsia="仿宋" w:cs="仿宋"/>
                <w:sz w:val="18"/>
                <w:szCs w:val="18"/>
              </w:rPr>
            </w:pPr>
            <w:r>
              <w:rPr>
                <w:rFonts w:ascii="仿宋" w:hAnsi="仿宋" w:eastAsia="仿宋" w:cs="仿宋"/>
                <w:spacing w:val="-8"/>
                <w:sz w:val="18"/>
                <w:szCs w:val="18"/>
              </w:rPr>
              <w:t>大气</w:t>
            </w:r>
          </w:p>
        </w:tc>
        <w:tc>
          <w:tcPr>
            <w:tcW w:w="3321" w:type="dxa"/>
            <w:gridSpan w:val="2"/>
            <w:vAlign w:val="top"/>
          </w:tcPr>
          <w:p w14:paraId="28E0DF88">
            <w:pPr>
              <w:spacing w:before="38" w:line="228" w:lineRule="auto"/>
              <w:ind w:left="112" w:right="104" w:firstLine="4"/>
              <w:jc w:val="both"/>
              <w:rPr>
                <w:rFonts w:ascii="仿宋" w:hAnsi="仿宋" w:eastAsia="仿宋" w:cs="仿宋"/>
                <w:sz w:val="18"/>
                <w:szCs w:val="18"/>
              </w:rPr>
            </w:pPr>
            <w:r>
              <w:rPr>
                <w:rFonts w:ascii="仿宋" w:hAnsi="仿宋" w:eastAsia="仿宋" w:cs="仿宋"/>
                <w:spacing w:val="-9"/>
                <w:sz w:val="18"/>
                <w:szCs w:val="18"/>
              </w:rPr>
              <w:t>油气、液体化工码头：全部；干散货（含</w:t>
            </w:r>
            <w:r>
              <w:rPr>
                <w:rFonts w:ascii="仿宋" w:hAnsi="仿宋" w:eastAsia="仿宋" w:cs="仿宋"/>
                <w:spacing w:val="2"/>
                <w:sz w:val="18"/>
                <w:szCs w:val="18"/>
              </w:rPr>
              <w:t>煤炭、矿石）、件杂、多用途、通用码头：涉及粉尘、挥发性有机物排放的项</w:t>
            </w:r>
            <w:r>
              <w:rPr>
                <w:rFonts w:ascii="仿宋" w:hAnsi="仿宋" w:eastAsia="仿宋" w:cs="仿宋"/>
                <w:spacing w:val="-6"/>
                <w:sz w:val="18"/>
                <w:szCs w:val="18"/>
              </w:rPr>
              <w:t>目。</w:t>
            </w:r>
          </w:p>
        </w:tc>
        <w:tc>
          <w:tcPr>
            <w:tcW w:w="3030" w:type="dxa"/>
            <w:gridSpan w:val="2"/>
            <w:vAlign w:val="top"/>
          </w:tcPr>
          <w:p w14:paraId="1E5392BE">
            <w:pPr>
              <w:spacing w:before="38" w:line="228" w:lineRule="auto"/>
              <w:ind w:left="118" w:right="98"/>
              <w:jc w:val="both"/>
              <w:rPr>
                <w:rFonts w:ascii="仿宋" w:hAnsi="仿宋" w:eastAsia="仿宋" w:cs="仿宋"/>
                <w:sz w:val="18"/>
                <w:szCs w:val="18"/>
              </w:rPr>
            </w:pPr>
            <w:r>
              <w:rPr>
                <w:rFonts w:ascii="仿宋" w:hAnsi="仿宋" w:eastAsia="仿宋" w:cs="仿宋"/>
                <w:spacing w:val="-5"/>
                <w:sz w:val="18"/>
                <w:szCs w:val="18"/>
              </w:rPr>
              <w:t>本项目为交通运输业项目，不属于油气、码头建设项目；项目运营期不产</w:t>
            </w:r>
            <w:r>
              <w:rPr>
                <w:rFonts w:ascii="仿宋" w:hAnsi="仿宋" w:eastAsia="仿宋" w:cs="仿宋"/>
                <w:spacing w:val="6"/>
                <w:sz w:val="18"/>
                <w:szCs w:val="18"/>
              </w:rPr>
              <w:t>生废气，不涉及粉尘及挥发性有机</w:t>
            </w:r>
            <w:r>
              <w:rPr>
                <w:rFonts w:ascii="仿宋" w:hAnsi="仿宋" w:eastAsia="仿宋" w:cs="仿宋"/>
                <w:spacing w:val="-7"/>
                <w:sz w:val="18"/>
                <w:szCs w:val="18"/>
              </w:rPr>
              <w:t>物。</w:t>
            </w:r>
          </w:p>
        </w:tc>
        <w:tc>
          <w:tcPr>
            <w:tcW w:w="790" w:type="dxa"/>
            <w:tcBorders>
              <w:right w:val="single" w:color="000000" w:sz="6" w:space="0"/>
            </w:tcBorders>
            <w:vAlign w:val="top"/>
          </w:tcPr>
          <w:p w14:paraId="6F80F99C">
            <w:pPr>
              <w:spacing w:line="326" w:lineRule="auto"/>
              <w:rPr>
                <w:rFonts w:ascii="Arial"/>
                <w:sz w:val="21"/>
              </w:rPr>
            </w:pPr>
          </w:p>
          <w:p w14:paraId="45CFCB37">
            <w:pPr>
              <w:spacing w:before="59" w:line="224" w:lineRule="auto"/>
              <w:ind w:left="140"/>
              <w:rPr>
                <w:rFonts w:ascii="仿宋" w:hAnsi="仿宋" w:eastAsia="仿宋" w:cs="仿宋"/>
                <w:sz w:val="18"/>
                <w:szCs w:val="18"/>
              </w:rPr>
            </w:pPr>
            <w:r>
              <w:rPr>
                <w:rFonts w:ascii="仿宋" w:hAnsi="仿宋" w:eastAsia="仿宋" w:cs="仿宋"/>
                <w:spacing w:val="-6"/>
                <w:sz w:val="18"/>
                <w:szCs w:val="18"/>
              </w:rPr>
              <w:t>不设置</w:t>
            </w:r>
          </w:p>
        </w:tc>
      </w:tr>
      <w:tr w14:paraId="68A223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1" w:hRule="atLeast"/>
        </w:trPr>
        <w:tc>
          <w:tcPr>
            <w:tcW w:w="1070" w:type="dxa"/>
            <w:vMerge w:val="continue"/>
            <w:tcBorders>
              <w:top w:val="nil"/>
              <w:left w:val="single" w:color="000000" w:sz="6" w:space="0"/>
              <w:bottom w:val="nil"/>
            </w:tcBorders>
            <w:vAlign w:val="top"/>
          </w:tcPr>
          <w:p w14:paraId="3F1E5F95">
            <w:pPr>
              <w:rPr>
                <w:rFonts w:ascii="Arial"/>
                <w:sz w:val="21"/>
              </w:rPr>
            </w:pPr>
          </w:p>
        </w:tc>
        <w:tc>
          <w:tcPr>
            <w:tcW w:w="852" w:type="dxa"/>
            <w:vAlign w:val="top"/>
          </w:tcPr>
          <w:p w14:paraId="198F15D8">
            <w:pPr>
              <w:spacing w:line="444" w:lineRule="auto"/>
              <w:rPr>
                <w:rFonts w:ascii="Arial"/>
                <w:sz w:val="21"/>
              </w:rPr>
            </w:pPr>
          </w:p>
          <w:p w14:paraId="2C919B35">
            <w:pPr>
              <w:spacing w:before="58" w:line="222" w:lineRule="auto"/>
              <w:ind w:left="274"/>
              <w:rPr>
                <w:rFonts w:ascii="仿宋" w:hAnsi="仿宋" w:eastAsia="仿宋" w:cs="仿宋"/>
                <w:sz w:val="18"/>
                <w:szCs w:val="18"/>
              </w:rPr>
            </w:pPr>
            <w:r>
              <w:rPr>
                <w:rFonts w:ascii="仿宋" w:hAnsi="仿宋" w:eastAsia="仿宋" w:cs="仿宋"/>
                <w:spacing w:val="-10"/>
                <w:sz w:val="18"/>
                <w:szCs w:val="18"/>
              </w:rPr>
              <w:t>噪声</w:t>
            </w:r>
          </w:p>
        </w:tc>
        <w:tc>
          <w:tcPr>
            <w:tcW w:w="3321" w:type="dxa"/>
            <w:gridSpan w:val="2"/>
            <w:vAlign w:val="top"/>
          </w:tcPr>
          <w:p w14:paraId="6D8C908A">
            <w:pPr>
              <w:spacing w:before="34" w:line="231" w:lineRule="auto"/>
              <w:ind w:left="111" w:right="30" w:firstLine="4"/>
              <w:jc w:val="both"/>
              <w:rPr>
                <w:rFonts w:ascii="仿宋" w:hAnsi="仿宋" w:eastAsia="仿宋" w:cs="仿宋"/>
                <w:sz w:val="18"/>
                <w:szCs w:val="18"/>
              </w:rPr>
            </w:pPr>
            <w:r>
              <w:rPr>
                <w:rFonts w:ascii="仿宋" w:hAnsi="仿宋" w:eastAsia="仿宋" w:cs="仿宋"/>
                <w:spacing w:val="2"/>
                <w:sz w:val="18"/>
                <w:szCs w:val="18"/>
              </w:rPr>
              <w:t>公路、铁路、机场等交通运输业涉及环境敏感区（以居住、医疗卫生、文化教</w:t>
            </w:r>
            <w:r>
              <w:rPr>
                <w:rFonts w:ascii="仿宋" w:hAnsi="仿宋" w:eastAsia="仿宋" w:cs="仿宋"/>
                <w:spacing w:val="-4"/>
                <w:sz w:val="18"/>
                <w:szCs w:val="18"/>
              </w:rPr>
              <w:t>育、科研、行政办公为主要功能的区域）</w:t>
            </w:r>
            <w:r>
              <w:rPr>
                <w:rFonts w:ascii="仿宋" w:hAnsi="仿宋" w:eastAsia="仿宋" w:cs="仿宋"/>
                <w:spacing w:val="2"/>
                <w:sz w:val="18"/>
                <w:szCs w:val="18"/>
              </w:rPr>
              <w:t>的项目；城市道路（不含维护，不含支</w:t>
            </w:r>
            <w:r>
              <w:rPr>
                <w:rFonts w:ascii="仿宋" w:hAnsi="仿宋" w:eastAsia="仿宋" w:cs="仿宋"/>
                <w:spacing w:val="-3"/>
                <w:sz w:val="18"/>
                <w:szCs w:val="18"/>
              </w:rPr>
              <w:t>路、人行天桥、人行地道</w:t>
            </w:r>
            <w:r>
              <w:rPr>
                <w:rFonts w:ascii="仿宋" w:hAnsi="仿宋" w:eastAsia="仿宋" w:cs="仿宋"/>
                <w:spacing w:val="13"/>
                <w:sz w:val="18"/>
                <w:szCs w:val="18"/>
              </w:rPr>
              <w:t>）：</w:t>
            </w:r>
            <w:r>
              <w:rPr>
                <w:rFonts w:ascii="仿宋" w:hAnsi="仿宋" w:eastAsia="仿宋" w:cs="仿宋"/>
                <w:spacing w:val="-3"/>
                <w:sz w:val="18"/>
                <w:szCs w:val="18"/>
              </w:rPr>
              <w:t>全部</w:t>
            </w:r>
          </w:p>
        </w:tc>
        <w:tc>
          <w:tcPr>
            <w:tcW w:w="3030" w:type="dxa"/>
            <w:gridSpan w:val="2"/>
            <w:vAlign w:val="top"/>
          </w:tcPr>
          <w:p w14:paraId="4278B047">
            <w:pPr>
              <w:spacing w:before="273"/>
              <w:ind w:left="120" w:right="98" w:hanging="2"/>
              <w:jc w:val="both"/>
              <w:rPr>
                <w:rFonts w:ascii="仿宋" w:hAnsi="仿宋" w:eastAsia="仿宋" w:cs="仿宋"/>
                <w:sz w:val="18"/>
                <w:szCs w:val="18"/>
              </w:rPr>
            </w:pPr>
            <w:r>
              <w:rPr>
                <w:rFonts w:ascii="仿宋" w:hAnsi="仿宋" w:eastAsia="仿宋" w:cs="仿宋"/>
                <w:spacing w:val="-5"/>
                <w:sz w:val="18"/>
                <w:szCs w:val="18"/>
              </w:rPr>
              <w:t>本项目为公路交通运输业项目，评价范围内涉及村庄居住区，属于环境敏</w:t>
            </w:r>
            <w:r>
              <w:rPr>
                <w:rFonts w:ascii="仿宋" w:hAnsi="仿宋" w:eastAsia="仿宋" w:cs="仿宋"/>
                <w:spacing w:val="-6"/>
                <w:sz w:val="18"/>
                <w:szCs w:val="18"/>
              </w:rPr>
              <w:t>感区。</w:t>
            </w:r>
          </w:p>
        </w:tc>
        <w:tc>
          <w:tcPr>
            <w:tcW w:w="790" w:type="dxa"/>
            <w:tcBorders>
              <w:right w:val="single" w:color="000000" w:sz="6" w:space="0"/>
            </w:tcBorders>
            <w:vAlign w:val="top"/>
          </w:tcPr>
          <w:p w14:paraId="1BA854EC">
            <w:pPr>
              <w:spacing w:line="443" w:lineRule="auto"/>
              <w:rPr>
                <w:rFonts w:ascii="Arial"/>
                <w:sz w:val="21"/>
              </w:rPr>
            </w:pPr>
          </w:p>
          <w:p w14:paraId="00D51D80">
            <w:pPr>
              <w:spacing w:before="59" w:line="224" w:lineRule="auto"/>
              <w:ind w:left="224"/>
              <w:rPr>
                <w:rFonts w:ascii="仿宋" w:hAnsi="仿宋" w:eastAsia="仿宋" w:cs="仿宋"/>
                <w:sz w:val="18"/>
                <w:szCs w:val="18"/>
              </w:rPr>
            </w:pPr>
            <w:r>
              <w:rPr>
                <w:rFonts w:ascii="仿宋" w:hAnsi="仿宋" w:eastAsia="仿宋" w:cs="仿宋"/>
                <w:spacing w:val="-6"/>
                <w:sz w:val="18"/>
                <w:szCs w:val="18"/>
              </w:rPr>
              <w:t>设置</w:t>
            </w:r>
          </w:p>
        </w:tc>
      </w:tr>
      <w:tr w14:paraId="19B7D1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1" w:hRule="atLeast"/>
        </w:trPr>
        <w:tc>
          <w:tcPr>
            <w:tcW w:w="1070" w:type="dxa"/>
            <w:vMerge w:val="continue"/>
            <w:tcBorders>
              <w:top w:val="nil"/>
              <w:left w:val="single" w:color="000000" w:sz="6" w:space="0"/>
              <w:bottom w:val="nil"/>
            </w:tcBorders>
            <w:vAlign w:val="top"/>
          </w:tcPr>
          <w:p w14:paraId="700E024A">
            <w:pPr>
              <w:rPr>
                <w:rFonts w:ascii="Arial"/>
                <w:sz w:val="21"/>
              </w:rPr>
            </w:pPr>
          </w:p>
        </w:tc>
        <w:tc>
          <w:tcPr>
            <w:tcW w:w="852" w:type="dxa"/>
            <w:vAlign w:val="top"/>
          </w:tcPr>
          <w:p w14:paraId="581DA463">
            <w:pPr>
              <w:spacing w:line="444" w:lineRule="auto"/>
              <w:rPr>
                <w:rFonts w:ascii="Arial"/>
                <w:sz w:val="21"/>
              </w:rPr>
            </w:pPr>
          </w:p>
          <w:p w14:paraId="09043030">
            <w:pPr>
              <w:spacing w:before="58" w:line="222" w:lineRule="auto"/>
              <w:ind w:left="86"/>
              <w:rPr>
                <w:rFonts w:ascii="仿宋" w:hAnsi="仿宋" w:eastAsia="仿宋" w:cs="仿宋"/>
                <w:sz w:val="18"/>
                <w:szCs w:val="18"/>
              </w:rPr>
            </w:pPr>
            <w:r>
              <w:rPr>
                <w:rFonts w:ascii="仿宋" w:hAnsi="仿宋" w:eastAsia="仿宋" w:cs="仿宋"/>
                <w:spacing w:val="-3"/>
                <w:sz w:val="18"/>
                <w:szCs w:val="18"/>
              </w:rPr>
              <w:t>环境风险</w:t>
            </w:r>
          </w:p>
        </w:tc>
        <w:tc>
          <w:tcPr>
            <w:tcW w:w="3321" w:type="dxa"/>
            <w:gridSpan w:val="2"/>
            <w:vAlign w:val="top"/>
          </w:tcPr>
          <w:p w14:paraId="7F4A1686">
            <w:pPr>
              <w:spacing w:before="39" w:line="222" w:lineRule="auto"/>
              <w:ind w:left="112"/>
              <w:rPr>
                <w:rFonts w:ascii="仿宋" w:hAnsi="仿宋" w:eastAsia="仿宋" w:cs="仿宋"/>
                <w:sz w:val="18"/>
                <w:szCs w:val="18"/>
              </w:rPr>
            </w:pPr>
            <w:r>
              <w:rPr>
                <w:rFonts w:ascii="仿宋" w:hAnsi="仿宋" w:eastAsia="仿宋" w:cs="仿宋"/>
                <w:spacing w:val="2"/>
                <w:sz w:val="18"/>
                <w:szCs w:val="18"/>
              </w:rPr>
              <w:t>石油和天然气开采：全部；油气、液体</w:t>
            </w:r>
          </w:p>
          <w:p w14:paraId="7C44155F">
            <w:pPr>
              <w:spacing w:before="15" w:line="228" w:lineRule="auto"/>
              <w:ind w:left="112" w:right="104"/>
              <w:jc w:val="both"/>
              <w:rPr>
                <w:rFonts w:ascii="仿宋" w:hAnsi="仿宋" w:eastAsia="仿宋" w:cs="仿宋"/>
                <w:sz w:val="18"/>
                <w:szCs w:val="18"/>
              </w:rPr>
            </w:pPr>
            <w:r>
              <w:rPr>
                <w:rFonts w:ascii="仿宋" w:hAnsi="仿宋" w:eastAsia="仿宋" w:cs="仿宋"/>
                <w:spacing w:val="2"/>
                <w:sz w:val="18"/>
                <w:szCs w:val="18"/>
              </w:rPr>
              <w:t>化工码头：全部；原油、成品油、天然气管线（不含城镇天然气管线、企业训</w:t>
            </w:r>
            <w:r>
              <w:rPr>
                <w:rFonts w:ascii="仿宋" w:hAnsi="仿宋" w:eastAsia="仿宋" w:cs="仿宋"/>
                <w:spacing w:val="-5"/>
                <w:sz w:val="18"/>
                <w:szCs w:val="18"/>
              </w:rPr>
              <w:t>练馆内管线</w:t>
            </w:r>
            <w:r>
              <w:rPr>
                <w:rFonts w:ascii="仿宋" w:hAnsi="仿宋" w:eastAsia="仿宋" w:cs="仿宋"/>
                <w:spacing w:val="-32"/>
                <w:sz w:val="18"/>
                <w:szCs w:val="18"/>
              </w:rPr>
              <w:t>），</w:t>
            </w:r>
            <w:r>
              <w:rPr>
                <w:rFonts w:ascii="仿宋" w:hAnsi="仿宋" w:eastAsia="仿宋" w:cs="仿宋"/>
                <w:spacing w:val="-5"/>
                <w:sz w:val="18"/>
                <w:szCs w:val="18"/>
              </w:rPr>
              <w:t>危险化学品输送管线（不</w:t>
            </w:r>
            <w:r>
              <w:rPr>
                <w:rFonts w:ascii="仿宋" w:hAnsi="仿宋" w:eastAsia="仿宋" w:cs="仿宋"/>
                <w:spacing w:val="-3"/>
                <w:sz w:val="18"/>
                <w:szCs w:val="18"/>
              </w:rPr>
              <w:t>含企业训练馆内管线</w:t>
            </w:r>
            <w:r>
              <w:rPr>
                <w:rFonts w:ascii="仿宋" w:hAnsi="仿宋" w:eastAsia="仿宋" w:cs="仿宋"/>
                <w:spacing w:val="10"/>
                <w:sz w:val="18"/>
                <w:szCs w:val="18"/>
              </w:rPr>
              <w:t>）：</w:t>
            </w:r>
            <w:r>
              <w:rPr>
                <w:rFonts w:ascii="仿宋" w:hAnsi="仿宋" w:eastAsia="仿宋" w:cs="仿宋"/>
                <w:spacing w:val="-3"/>
                <w:sz w:val="18"/>
                <w:szCs w:val="18"/>
              </w:rPr>
              <w:t>全部</w:t>
            </w:r>
          </w:p>
        </w:tc>
        <w:tc>
          <w:tcPr>
            <w:tcW w:w="3030" w:type="dxa"/>
            <w:gridSpan w:val="2"/>
            <w:vAlign w:val="top"/>
          </w:tcPr>
          <w:p w14:paraId="3236E10A">
            <w:pPr>
              <w:spacing w:before="155"/>
              <w:ind w:left="118" w:right="52"/>
              <w:jc w:val="both"/>
              <w:rPr>
                <w:rFonts w:ascii="仿宋" w:hAnsi="仿宋" w:eastAsia="仿宋" w:cs="仿宋"/>
                <w:sz w:val="18"/>
                <w:szCs w:val="18"/>
              </w:rPr>
            </w:pPr>
            <w:r>
              <w:rPr>
                <w:rFonts w:ascii="仿宋" w:hAnsi="仿宋" w:eastAsia="仿宋" w:cs="仿宋"/>
                <w:spacing w:val="-5"/>
                <w:sz w:val="18"/>
                <w:szCs w:val="18"/>
              </w:rPr>
              <w:t>本项目为四级通村公路，不属于石油</w:t>
            </w:r>
            <w:r>
              <w:rPr>
                <w:rFonts w:ascii="仿宋" w:hAnsi="仿宋" w:eastAsia="仿宋" w:cs="仿宋"/>
                <w:spacing w:val="-13"/>
                <w:sz w:val="18"/>
                <w:szCs w:val="18"/>
              </w:rPr>
              <w:t>和天然气开采，油气、液体化工码头，</w:t>
            </w:r>
            <w:r>
              <w:rPr>
                <w:rFonts w:ascii="仿宋" w:hAnsi="仿宋" w:eastAsia="仿宋" w:cs="仿宋"/>
                <w:spacing w:val="-5"/>
                <w:sz w:val="18"/>
                <w:szCs w:val="18"/>
              </w:rPr>
              <w:t>原油、成品油、天然气管线危险化学</w:t>
            </w:r>
            <w:r>
              <w:rPr>
                <w:rFonts w:ascii="仿宋" w:hAnsi="仿宋" w:eastAsia="仿宋" w:cs="仿宋"/>
                <w:spacing w:val="-2"/>
                <w:sz w:val="18"/>
                <w:szCs w:val="18"/>
              </w:rPr>
              <w:t>品输送管线建设项目。</w:t>
            </w:r>
          </w:p>
        </w:tc>
        <w:tc>
          <w:tcPr>
            <w:tcW w:w="790" w:type="dxa"/>
            <w:tcBorders>
              <w:right w:val="single" w:color="000000" w:sz="6" w:space="0"/>
            </w:tcBorders>
            <w:vAlign w:val="top"/>
          </w:tcPr>
          <w:p w14:paraId="2075BEC5">
            <w:pPr>
              <w:spacing w:line="443" w:lineRule="auto"/>
              <w:rPr>
                <w:rFonts w:ascii="Arial"/>
                <w:sz w:val="21"/>
              </w:rPr>
            </w:pPr>
          </w:p>
          <w:p w14:paraId="1BB6DFFF">
            <w:pPr>
              <w:spacing w:before="59" w:line="224" w:lineRule="auto"/>
              <w:ind w:left="140"/>
              <w:rPr>
                <w:rFonts w:ascii="仿宋" w:hAnsi="仿宋" w:eastAsia="仿宋" w:cs="仿宋"/>
                <w:sz w:val="18"/>
                <w:szCs w:val="18"/>
              </w:rPr>
            </w:pPr>
            <w:r>
              <w:rPr>
                <w:rFonts w:ascii="仿宋" w:hAnsi="仿宋" w:eastAsia="仿宋" w:cs="仿宋"/>
                <w:spacing w:val="-6"/>
                <w:sz w:val="18"/>
                <w:szCs w:val="18"/>
              </w:rPr>
              <w:t>不设置</w:t>
            </w:r>
          </w:p>
        </w:tc>
      </w:tr>
      <w:tr w14:paraId="354A3A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7" w:hRule="atLeast"/>
        </w:trPr>
        <w:tc>
          <w:tcPr>
            <w:tcW w:w="1070" w:type="dxa"/>
            <w:vMerge w:val="continue"/>
            <w:tcBorders>
              <w:top w:val="nil"/>
              <w:left w:val="single" w:color="000000" w:sz="6" w:space="0"/>
              <w:bottom w:val="single" w:color="000000" w:sz="6" w:space="0"/>
            </w:tcBorders>
            <w:vAlign w:val="top"/>
          </w:tcPr>
          <w:p w14:paraId="1CEA6750">
            <w:pPr>
              <w:rPr>
                <w:rFonts w:ascii="Arial"/>
                <w:sz w:val="21"/>
              </w:rPr>
            </w:pPr>
          </w:p>
        </w:tc>
        <w:tc>
          <w:tcPr>
            <w:tcW w:w="7993" w:type="dxa"/>
            <w:gridSpan w:val="6"/>
            <w:tcBorders>
              <w:bottom w:val="single" w:color="000000" w:sz="6" w:space="0"/>
              <w:right w:val="single" w:color="000000" w:sz="6" w:space="0"/>
            </w:tcBorders>
            <w:vAlign w:val="top"/>
          </w:tcPr>
          <w:p w14:paraId="67D4BDAB">
            <w:pPr>
              <w:spacing w:before="40" w:line="238" w:lineRule="auto"/>
              <w:ind w:left="31" w:firstLine="4"/>
              <w:jc w:val="both"/>
              <w:rPr>
                <w:rFonts w:ascii="仿宋" w:hAnsi="仿宋" w:eastAsia="仿宋" w:cs="仿宋"/>
                <w:sz w:val="18"/>
                <w:szCs w:val="18"/>
              </w:rPr>
            </w:pPr>
            <w:r>
              <w:rPr>
                <w:rFonts w:ascii="仿宋" w:hAnsi="仿宋" w:eastAsia="仿宋" w:cs="仿宋"/>
                <w:sz w:val="18"/>
                <w:szCs w:val="18"/>
              </w:rPr>
              <w:t>注：“涉及环境敏感区</w:t>
            </w:r>
            <w:r>
              <w:rPr>
                <w:rFonts w:ascii="仿宋" w:hAnsi="仿宋" w:eastAsia="仿宋" w:cs="仿宋"/>
                <w:spacing w:val="-63"/>
                <w:sz w:val="18"/>
                <w:szCs w:val="18"/>
              </w:rPr>
              <w:t xml:space="preserve"> </w:t>
            </w:r>
            <w:r>
              <w:rPr>
                <w:rFonts w:ascii="仿宋" w:hAnsi="仿宋" w:eastAsia="仿宋" w:cs="仿宋"/>
                <w:sz w:val="18"/>
                <w:szCs w:val="18"/>
              </w:rPr>
              <w:t>”是指建设项目位于、穿（跨）越（无害化通过的除外）环境敏感区</w:t>
            </w:r>
            <w:r>
              <w:rPr>
                <w:rFonts w:ascii="仿宋" w:hAnsi="仿宋" w:eastAsia="仿宋" w:cs="仿宋"/>
                <w:spacing w:val="-1"/>
                <w:sz w:val="18"/>
                <w:szCs w:val="18"/>
              </w:rPr>
              <w:t>，或环境</w:t>
            </w:r>
            <w:r>
              <w:rPr>
                <w:rFonts w:ascii="仿宋" w:hAnsi="仿宋" w:eastAsia="仿宋" w:cs="仿宋"/>
                <w:sz w:val="18"/>
                <w:szCs w:val="18"/>
              </w:rPr>
              <w:t>影响范围涵盖环境敏感区。环境敏感区是指《建设项目环境影响评价分类管理目录</w:t>
            </w:r>
            <w:r>
              <w:rPr>
                <w:rFonts w:ascii="仿宋" w:hAnsi="仿宋" w:eastAsia="仿宋" w:cs="仿宋"/>
                <w:spacing w:val="-1"/>
                <w:sz w:val="18"/>
                <w:szCs w:val="18"/>
              </w:rPr>
              <w:t>》</w:t>
            </w:r>
            <w:r>
              <w:rPr>
                <w:rFonts w:ascii="仿宋" w:hAnsi="仿宋" w:eastAsia="仿宋" w:cs="仿宋"/>
                <w:spacing w:val="-52"/>
                <w:sz w:val="18"/>
                <w:szCs w:val="18"/>
              </w:rPr>
              <w:t xml:space="preserve"> </w:t>
            </w:r>
            <w:r>
              <w:rPr>
                <w:rFonts w:ascii="仿宋" w:hAnsi="仿宋" w:eastAsia="仿宋" w:cs="仿宋"/>
                <w:spacing w:val="-1"/>
                <w:sz w:val="18"/>
                <w:szCs w:val="18"/>
              </w:rPr>
              <w:t>中针对该类项目</w:t>
            </w:r>
            <w:r>
              <w:rPr>
                <w:rFonts w:ascii="仿宋" w:hAnsi="仿宋" w:eastAsia="仿宋" w:cs="仿宋"/>
                <w:spacing w:val="-2"/>
                <w:sz w:val="18"/>
                <w:szCs w:val="18"/>
                <w:u w:val="single" w:color="auto"/>
              </w:rPr>
              <w:t xml:space="preserve">所列的敏感区。                                                                            </w:t>
            </w:r>
          </w:p>
        </w:tc>
      </w:tr>
    </w:tbl>
    <w:p w14:paraId="4975845D">
      <w:pPr>
        <w:pStyle w:val="2"/>
        <w:rPr>
          <w:sz w:val="21"/>
        </w:rPr>
      </w:pPr>
    </w:p>
    <w:p w14:paraId="4DD4C7FB">
      <w:pPr>
        <w:rPr>
          <w:sz w:val="21"/>
          <w:szCs w:val="21"/>
        </w:rPr>
        <w:sectPr>
          <w:footerReference r:id="rId8" w:type="default"/>
          <w:pgSz w:w="11906" w:h="16839"/>
          <w:pgMar w:top="400" w:right="1306" w:bottom="1504" w:left="1521" w:header="0" w:footer="1342" w:gutter="0"/>
          <w:cols w:space="720" w:num="1"/>
        </w:sectPr>
      </w:pPr>
    </w:p>
    <w:p w14:paraId="594118FB">
      <w:pPr>
        <w:spacing w:before="19"/>
      </w:pPr>
    </w:p>
    <w:p w14:paraId="6DF84D38">
      <w:pPr>
        <w:spacing w:before="19"/>
      </w:pPr>
    </w:p>
    <w:p w14:paraId="169CC875">
      <w:pPr>
        <w:spacing w:before="19"/>
      </w:pPr>
    </w:p>
    <w:p w14:paraId="6338AB40">
      <w:pPr>
        <w:spacing w:before="18"/>
      </w:pPr>
    </w:p>
    <w:p w14:paraId="6ECA0BB2">
      <w:pPr>
        <w:spacing w:before="18"/>
      </w:pPr>
    </w:p>
    <w:tbl>
      <w:tblPr>
        <w:tblStyle w:val="5"/>
        <w:tblW w:w="9063"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70"/>
        <w:gridCol w:w="7993"/>
      </w:tblGrid>
      <w:tr w14:paraId="6D675B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9" w:hRule="atLeast"/>
        </w:trPr>
        <w:tc>
          <w:tcPr>
            <w:tcW w:w="1070" w:type="dxa"/>
            <w:tcBorders>
              <w:top w:val="single" w:color="000000" w:sz="6" w:space="0"/>
              <w:left w:val="single" w:color="000000" w:sz="6" w:space="0"/>
            </w:tcBorders>
            <w:vAlign w:val="top"/>
          </w:tcPr>
          <w:p w14:paraId="17672711">
            <w:pPr>
              <w:spacing w:line="279" w:lineRule="auto"/>
              <w:rPr>
                <w:rFonts w:ascii="Arial"/>
                <w:sz w:val="21"/>
              </w:rPr>
            </w:pPr>
          </w:p>
          <w:p w14:paraId="2AB2488A">
            <w:pPr>
              <w:spacing w:line="279" w:lineRule="auto"/>
              <w:rPr>
                <w:rFonts w:ascii="Arial"/>
                <w:sz w:val="21"/>
              </w:rPr>
            </w:pPr>
          </w:p>
          <w:p w14:paraId="5E7363AD">
            <w:pPr>
              <w:spacing w:line="279" w:lineRule="auto"/>
              <w:rPr>
                <w:rFonts w:ascii="Arial"/>
                <w:sz w:val="21"/>
              </w:rPr>
            </w:pPr>
          </w:p>
          <w:p w14:paraId="11BEABA1">
            <w:pPr>
              <w:spacing w:line="280" w:lineRule="auto"/>
              <w:rPr>
                <w:rFonts w:ascii="Arial"/>
                <w:sz w:val="21"/>
              </w:rPr>
            </w:pPr>
          </w:p>
          <w:p w14:paraId="41B8EC92">
            <w:pPr>
              <w:spacing w:line="280" w:lineRule="auto"/>
              <w:rPr>
                <w:rFonts w:ascii="Arial"/>
                <w:sz w:val="21"/>
              </w:rPr>
            </w:pPr>
          </w:p>
          <w:p w14:paraId="5F606F29">
            <w:pPr>
              <w:spacing w:line="280" w:lineRule="auto"/>
              <w:rPr>
                <w:rFonts w:ascii="Arial"/>
                <w:sz w:val="21"/>
              </w:rPr>
            </w:pPr>
          </w:p>
          <w:p w14:paraId="18080625">
            <w:pPr>
              <w:spacing w:before="65" w:line="231" w:lineRule="auto"/>
              <w:ind w:left="118"/>
              <w:rPr>
                <w:rFonts w:ascii="仿宋" w:hAnsi="仿宋" w:eastAsia="仿宋" w:cs="仿宋"/>
                <w:sz w:val="20"/>
                <w:szCs w:val="20"/>
              </w:rPr>
            </w:pPr>
            <w:r>
              <w:rPr>
                <w:rFonts w:ascii="仿宋" w:hAnsi="仿宋" w:eastAsia="仿宋" w:cs="仿宋"/>
                <w:spacing w:val="6"/>
                <w:sz w:val="20"/>
                <w:szCs w:val="20"/>
              </w:rPr>
              <w:t>规划情况</w:t>
            </w:r>
          </w:p>
        </w:tc>
        <w:tc>
          <w:tcPr>
            <w:tcW w:w="7993" w:type="dxa"/>
            <w:tcBorders>
              <w:top w:val="single" w:color="000000" w:sz="6" w:space="0"/>
              <w:right w:val="single" w:color="000000" w:sz="6" w:space="0"/>
            </w:tcBorders>
            <w:vAlign w:val="top"/>
          </w:tcPr>
          <w:p w14:paraId="539B799C">
            <w:pPr>
              <w:spacing w:before="52" w:line="229" w:lineRule="auto"/>
              <w:ind w:left="445"/>
              <w:rPr>
                <w:rFonts w:ascii="仿宋" w:hAnsi="仿宋" w:eastAsia="仿宋" w:cs="仿宋"/>
                <w:sz w:val="20"/>
                <w:szCs w:val="20"/>
              </w:rPr>
            </w:pPr>
            <w:r>
              <w:rPr>
                <w:rFonts w:ascii="仿宋" w:hAnsi="仿宋" w:eastAsia="仿宋" w:cs="仿宋"/>
                <w:spacing w:val="8"/>
                <w:sz w:val="20"/>
                <w:szCs w:val="20"/>
              </w:rPr>
              <w:t>（1）规划名称：《准格尔旗国土空间总体规划（2021-2035）》</w:t>
            </w:r>
          </w:p>
          <w:p w14:paraId="0F3FD758">
            <w:pPr>
              <w:spacing w:before="159" w:line="229" w:lineRule="auto"/>
              <w:ind w:left="457"/>
              <w:rPr>
                <w:rFonts w:ascii="仿宋" w:hAnsi="仿宋" w:eastAsia="仿宋" w:cs="仿宋"/>
                <w:sz w:val="20"/>
                <w:szCs w:val="20"/>
              </w:rPr>
            </w:pPr>
            <w:r>
              <w:rPr>
                <w:rFonts w:ascii="仿宋" w:hAnsi="仿宋" w:eastAsia="仿宋" w:cs="仿宋"/>
                <w:spacing w:val="4"/>
                <w:sz w:val="20"/>
                <w:szCs w:val="20"/>
              </w:rPr>
              <w:t>审批机关：</w:t>
            </w:r>
            <w:r>
              <w:rPr>
                <w:rFonts w:ascii="仿宋" w:hAnsi="仿宋" w:eastAsia="仿宋" w:cs="仿宋"/>
                <w:spacing w:val="-43"/>
                <w:sz w:val="20"/>
                <w:szCs w:val="20"/>
              </w:rPr>
              <w:t xml:space="preserve"> </w:t>
            </w:r>
            <w:r>
              <w:rPr>
                <w:rFonts w:ascii="仿宋" w:hAnsi="仿宋" w:eastAsia="仿宋" w:cs="仿宋"/>
                <w:spacing w:val="4"/>
                <w:sz w:val="20"/>
                <w:szCs w:val="20"/>
              </w:rPr>
              <w:t>内蒙古自治区人民政府</w:t>
            </w:r>
          </w:p>
          <w:p w14:paraId="5B188CB2">
            <w:pPr>
              <w:spacing w:before="162" w:line="229" w:lineRule="auto"/>
              <w:ind w:left="457"/>
              <w:rPr>
                <w:rFonts w:ascii="仿宋" w:hAnsi="仿宋" w:eastAsia="仿宋" w:cs="仿宋"/>
                <w:sz w:val="20"/>
                <w:szCs w:val="20"/>
              </w:rPr>
            </w:pPr>
            <w:r>
              <w:rPr>
                <w:rFonts w:ascii="仿宋" w:hAnsi="仿宋" w:eastAsia="仿宋" w:cs="仿宋"/>
                <w:spacing w:val="4"/>
                <w:sz w:val="20"/>
                <w:szCs w:val="20"/>
              </w:rPr>
              <w:t>审批文件名称及文号：</w:t>
            </w:r>
            <w:r>
              <w:rPr>
                <w:rFonts w:ascii="仿宋" w:hAnsi="仿宋" w:eastAsia="仿宋" w:cs="仿宋"/>
                <w:spacing w:val="-39"/>
                <w:sz w:val="20"/>
                <w:szCs w:val="20"/>
              </w:rPr>
              <w:t xml:space="preserve"> </w:t>
            </w:r>
            <w:r>
              <w:rPr>
                <w:rFonts w:ascii="仿宋" w:hAnsi="仿宋" w:eastAsia="仿宋" w:cs="仿宋"/>
                <w:spacing w:val="4"/>
                <w:sz w:val="20"/>
                <w:szCs w:val="20"/>
              </w:rPr>
              <w:t>内政字﹝2024﹞86</w:t>
            </w:r>
            <w:r>
              <w:rPr>
                <w:rFonts w:ascii="仿宋" w:hAnsi="仿宋" w:eastAsia="仿宋" w:cs="仿宋"/>
                <w:spacing w:val="-29"/>
                <w:sz w:val="20"/>
                <w:szCs w:val="20"/>
              </w:rPr>
              <w:t xml:space="preserve"> </w:t>
            </w:r>
            <w:r>
              <w:rPr>
                <w:rFonts w:ascii="仿宋" w:hAnsi="仿宋" w:eastAsia="仿宋" w:cs="仿宋"/>
                <w:spacing w:val="4"/>
                <w:sz w:val="20"/>
                <w:szCs w:val="20"/>
              </w:rPr>
              <w:t>号</w:t>
            </w:r>
          </w:p>
          <w:p w14:paraId="0DAFA040">
            <w:pPr>
              <w:spacing w:before="159" w:line="229" w:lineRule="auto"/>
              <w:ind w:left="445"/>
              <w:rPr>
                <w:rFonts w:ascii="仿宋" w:hAnsi="仿宋" w:eastAsia="仿宋" w:cs="仿宋"/>
                <w:sz w:val="20"/>
                <w:szCs w:val="20"/>
              </w:rPr>
            </w:pPr>
            <w:r>
              <w:rPr>
                <w:rFonts w:ascii="仿宋" w:hAnsi="仿宋" w:eastAsia="仿宋" w:cs="仿宋"/>
                <w:spacing w:val="8"/>
                <w:sz w:val="20"/>
                <w:szCs w:val="20"/>
              </w:rPr>
              <w:t>（2）规划名称：《内蒙古自治区“十四五”公路水路交通运输发展规</w:t>
            </w:r>
            <w:r>
              <w:rPr>
                <w:rFonts w:ascii="仿宋" w:hAnsi="仿宋" w:eastAsia="仿宋" w:cs="仿宋"/>
                <w:spacing w:val="7"/>
                <w:sz w:val="20"/>
                <w:szCs w:val="20"/>
              </w:rPr>
              <w:t>划》</w:t>
            </w:r>
          </w:p>
          <w:p w14:paraId="7B2BC2DE">
            <w:pPr>
              <w:spacing w:before="160" w:line="229" w:lineRule="auto"/>
              <w:ind w:left="442"/>
              <w:rPr>
                <w:rFonts w:ascii="仿宋" w:hAnsi="仿宋" w:eastAsia="仿宋" w:cs="仿宋"/>
                <w:sz w:val="20"/>
                <w:szCs w:val="20"/>
              </w:rPr>
            </w:pPr>
            <w:r>
              <w:rPr>
                <w:rFonts w:ascii="仿宋" w:hAnsi="仿宋" w:eastAsia="仿宋" w:cs="仿宋"/>
                <w:spacing w:val="8"/>
                <w:sz w:val="20"/>
                <w:szCs w:val="20"/>
              </w:rPr>
              <w:t>编制主体及时间：2021</w:t>
            </w:r>
            <w:r>
              <w:rPr>
                <w:rFonts w:ascii="仿宋" w:hAnsi="仿宋" w:eastAsia="仿宋" w:cs="仿宋"/>
                <w:spacing w:val="-31"/>
                <w:sz w:val="20"/>
                <w:szCs w:val="20"/>
              </w:rPr>
              <w:t xml:space="preserve"> </w:t>
            </w:r>
            <w:r>
              <w:rPr>
                <w:rFonts w:ascii="仿宋" w:hAnsi="仿宋" w:eastAsia="仿宋" w:cs="仿宋"/>
                <w:spacing w:val="8"/>
                <w:sz w:val="20"/>
                <w:szCs w:val="20"/>
              </w:rPr>
              <w:t>年由内蒙古自治区交通运输厅编制</w:t>
            </w:r>
          </w:p>
          <w:p w14:paraId="56C28FF6">
            <w:pPr>
              <w:spacing w:before="160" w:line="229" w:lineRule="auto"/>
              <w:ind w:left="457"/>
              <w:rPr>
                <w:rFonts w:ascii="仿宋" w:hAnsi="仿宋" w:eastAsia="仿宋" w:cs="仿宋"/>
                <w:sz w:val="20"/>
                <w:szCs w:val="20"/>
              </w:rPr>
            </w:pPr>
            <w:r>
              <w:rPr>
                <w:rFonts w:ascii="仿宋" w:hAnsi="仿宋" w:eastAsia="仿宋" w:cs="仿宋"/>
                <w:spacing w:val="4"/>
                <w:sz w:val="20"/>
                <w:szCs w:val="20"/>
              </w:rPr>
              <w:t>审批机关：</w:t>
            </w:r>
            <w:r>
              <w:rPr>
                <w:rFonts w:ascii="仿宋" w:hAnsi="仿宋" w:eastAsia="仿宋" w:cs="仿宋"/>
                <w:spacing w:val="-43"/>
                <w:sz w:val="20"/>
                <w:szCs w:val="20"/>
              </w:rPr>
              <w:t xml:space="preserve"> </w:t>
            </w:r>
            <w:r>
              <w:rPr>
                <w:rFonts w:ascii="仿宋" w:hAnsi="仿宋" w:eastAsia="仿宋" w:cs="仿宋"/>
                <w:spacing w:val="4"/>
                <w:sz w:val="20"/>
                <w:szCs w:val="20"/>
              </w:rPr>
              <w:t>内蒙古自治区人民政府</w:t>
            </w:r>
          </w:p>
          <w:p w14:paraId="11546E15">
            <w:pPr>
              <w:spacing w:before="160" w:line="229" w:lineRule="auto"/>
              <w:ind w:left="445"/>
              <w:rPr>
                <w:rFonts w:ascii="仿宋" w:hAnsi="仿宋" w:eastAsia="仿宋" w:cs="仿宋"/>
                <w:sz w:val="20"/>
                <w:szCs w:val="20"/>
              </w:rPr>
            </w:pPr>
            <w:r>
              <w:rPr>
                <w:rFonts w:ascii="仿宋" w:hAnsi="仿宋" w:eastAsia="仿宋" w:cs="仿宋"/>
                <w:spacing w:val="7"/>
                <w:sz w:val="20"/>
                <w:szCs w:val="20"/>
              </w:rPr>
              <w:t>（3）规划名称：《准格尔旗综合交通运输发展规划》（2024-2028</w:t>
            </w:r>
            <w:r>
              <w:rPr>
                <w:rFonts w:ascii="仿宋" w:hAnsi="仿宋" w:eastAsia="仿宋" w:cs="仿宋"/>
                <w:spacing w:val="-21"/>
                <w:sz w:val="20"/>
                <w:szCs w:val="20"/>
              </w:rPr>
              <w:t xml:space="preserve"> </w:t>
            </w:r>
            <w:r>
              <w:rPr>
                <w:rFonts w:ascii="仿宋" w:hAnsi="仿宋" w:eastAsia="仿宋" w:cs="仿宋"/>
                <w:spacing w:val="7"/>
                <w:sz w:val="20"/>
                <w:szCs w:val="20"/>
              </w:rPr>
              <w:t>年）</w:t>
            </w:r>
          </w:p>
          <w:p w14:paraId="55BFD390">
            <w:pPr>
              <w:spacing w:before="159" w:line="230" w:lineRule="auto"/>
              <w:ind w:left="442"/>
              <w:rPr>
                <w:rFonts w:ascii="仿宋" w:hAnsi="仿宋" w:eastAsia="仿宋" w:cs="仿宋"/>
                <w:sz w:val="20"/>
                <w:szCs w:val="20"/>
              </w:rPr>
            </w:pPr>
            <w:r>
              <w:rPr>
                <w:rFonts w:ascii="仿宋" w:hAnsi="仿宋" w:eastAsia="仿宋" w:cs="仿宋"/>
                <w:spacing w:val="7"/>
                <w:sz w:val="20"/>
                <w:szCs w:val="20"/>
              </w:rPr>
              <w:t>编制主体及时间：2024</w:t>
            </w:r>
            <w:r>
              <w:rPr>
                <w:rFonts w:ascii="仿宋" w:hAnsi="仿宋" w:eastAsia="仿宋" w:cs="仿宋"/>
                <w:spacing w:val="-16"/>
                <w:sz w:val="20"/>
                <w:szCs w:val="20"/>
              </w:rPr>
              <w:t xml:space="preserve"> </w:t>
            </w:r>
            <w:r>
              <w:rPr>
                <w:rFonts w:ascii="仿宋" w:hAnsi="仿宋" w:eastAsia="仿宋" w:cs="仿宋"/>
                <w:spacing w:val="7"/>
                <w:sz w:val="20"/>
                <w:szCs w:val="20"/>
              </w:rPr>
              <w:t>年由准格尔旗交通运输局</w:t>
            </w:r>
          </w:p>
          <w:p w14:paraId="2DF0778F">
            <w:pPr>
              <w:spacing w:before="161" w:line="231" w:lineRule="auto"/>
              <w:ind w:left="457"/>
              <w:rPr>
                <w:rFonts w:ascii="仿宋" w:hAnsi="仿宋" w:eastAsia="仿宋" w:cs="仿宋"/>
                <w:sz w:val="20"/>
                <w:szCs w:val="20"/>
              </w:rPr>
            </w:pPr>
            <w:r>
              <w:rPr>
                <w:rFonts w:ascii="仿宋" w:hAnsi="仿宋" w:eastAsia="仿宋" w:cs="仿宋"/>
                <w:spacing w:val="7"/>
                <w:sz w:val="20"/>
                <w:szCs w:val="20"/>
              </w:rPr>
              <w:t>审批机关：准格尔旗人民政府</w:t>
            </w:r>
          </w:p>
        </w:tc>
      </w:tr>
      <w:tr w14:paraId="437931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9" w:hRule="atLeast"/>
        </w:trPr>
        <w:tc>
          <w:tcPr>
            <w:tcW w:w="1070" w:type="dxa"/>
            <w:tcBorders>
              <w:left w:val="single" w:color="000000" w:sz="6" w:space="0"/>
            </w:tcBorders>
            <w:vAlign w:val="top"/>
          </w:tcPr>
          <w:p w14:paraId="1E0A8930">
            <w:pPr>
              <w:spacing w:line="265" w:lineRule="auto"/>
              <w:rPr>
                <w:rFonts w:ascii="Arial"/>
                <w:sz w:val="21"/>
              </w:rPr>
            </w:pPr>
          </w:p>
          <w:p w14:paraId="06990153">
            <w:pPr>
              <w:spacing w:line="266" w:lineRule="auto"/>
              <w:rPr>
                <w:rFonts w:ascii="Arial"/>
                <w:sz w:val="21"/>
              </w:rPr>
            </w:pPr>
          </w:p>
          <w:p w14:paraId="4140927F">
            <w:pPr>
              <w:spacing w:line="266" w:lineRule="auto"/>
              <w:rPr>
                <w:rFonts w:ascii="Arial"/>
                <w:sz w:val="21"/>
              </w:rPr>
            </w:pPr>
          </w:p>
          <w:p w14:paraId="74FA0DC4">
            <w:pPr>
              <w:spacing w:before="65" w:line="250" w:lineRule="auto"/>
              <w:ind w:left="332" w:right="117" w:hanging="214"/>
              <w:rPr>
                <w:rFonts w:ascii="仿宋" w:hAnsi="仿宋" w:eastAsia="仿宋" w:cs="仿宋"/>
                <w:sz w:val="20"/>
                <w:szCs w:val="20"/>
              </w:rPr>
            </w:pPr>
            <w:r>
              <w:rPr>
                <w:rFonts w:ascii="仿宋" w:hAnsi="仿宋" w:eastAsia="仿宋" w:cs="仿宋"/>
                <w:spacing w:val="6"/>
                <w:sz w:val="20"/>
                <w:szCs w:val="20"/>
              </w:rPr>
              <w:t>规划环境</w:t>
            </w:r>
            <w:r>
              <w:rPr>
                <w:rFonts w:ascii="仿宋" w:hAnsi="仿宋" w:eastAsia="仿宋" w:cs="仿宋"/>
                <w:sz w:val="20"/>
                <w:szCs w:val="20"/>
              </w:rPr>
              <w:t>影响</w:t>
            </w:r>
          </w:p>
          <w:p w14:paraId="7A0F7FB6">
            <w:pPr>
              <w:spacing w:line="230" w:lineRule="auto"/>
              <w:ind w:left="119"/>
              <w:rPr>
                <w:rFonts w:ascii="仿宋" w:hAnsi="仿宋" w:eastAsia="仿宋" w:cs="仿宋"/>
                <w:sz w:val="20"/>
                <w:szCs w:val="20"/>
              </w:rPr>
            </w:pPr>
            <w:r>
              <w:rPr>
                <w:rFonts w:ascii="仿宋" w:hAnsi="仿宋" w:eastAsia="仿宋" w:cs="仿宋"/>
                <w:spacing w:val="5"/>
                <w:sz w:val="20"/>
                <w:szCs w:val="20"/>
              </w:rPr>
              <w:t>评价情况</w:t>
            </w:r>
          </w:p>
        </w:tc>
        <w:tc>
          <w:tcPr>
            <w:tcW w:w="7993" w:type="dxa"/>
            <w:tcBorders>
              <w:right w:val="single" w:color="000000" w:sz="6" w:space="0"/>
            </w:tcBorders>
            <w:vAlign w:val="top"/>
          </w:tcPr>
          <w:p w14:paraId="71F3FC4A">
            <w:pPr>
              <w:spacing w:before="50" w:line="377" w:lineRule="auto"/>
              <w:ind w:left="21" w:right="12" w:firstLine="418"/>
              <w:rPr>
                <w:rFonts w:ascii="仿宋" w:hAnsi="仿宋" w:eastAsia="仿宋" w:cs="仿宋"/>
                <w:sz w:val="20"/>
                <w:szCs w:val="20"/>
              </w:rPr>
            </w:pPr>
            <w:r>
              <w:rPr>
                <w:rFonts w:ascii="仿宋" w:hAnsi="仿宋" w:eastAsia="仿宋" w:cs="仿宋"/>
                <w:spacing w:val="8"/>
                <w:sz w:val="20"/>
                <w:szCs w:val="20"/>
              </w:rPr>
              <w:t>规划环评名称：《内蒙古自治区“十四五”公路水路交通运输发展规划环境影响评</w:t>
            </w:r>
            <w:r>
              <w:rPr>
                <w:rFonts w:ascii="仿宋" w:hAnsi="仿宋" w:eastAsia="仿宋" w:cs="仿宋"/>
                <w:spacing w:val="7"/>
                <w:sz w:val="20"/>
                <w:szCs w:val="20"/>
              </w:rPr>
              <w:t>价报告书》（交通运输部规划研究院，2021</w:t>
            </w:r>
            <w:r>
              <w:rPr>
                <w:rFonts w:ascii="仿宋" w:hAnsi="仿宋" w:eastAsia="仿宋" w:cs="仿宋"/>
                <w:spacing w:val="-30"/>
                <w:sz w:val="20"/>
                <w:szCs w:val="20"/>
              </w:rPr>
              <w:t xml:space="preserve"> </w:t>
            </w:r>
            <w:r>
              <w:rPr>
                <w:rFonts w:ascii="仿宋" w:hAnsi="仿宋" w:eastAsia="仿宋" w:cs="仿宋"/>
                <w:spacing w:val="7"/>
                <w:sz w:val="20"/>
                <w:szCs w:val="20"/>
              </w:rPr>
              <w:t>年</w:t>
            </w:r>
            <w:r>
              <w:rPr>
                <w:rFonts w:ascii="仿宋" w:hAnsi="仿宋" w:eastAsia="仿宋" w:cs="仿宋"/>
                <w:spacing w:val="-37"/>
                <w:sz w:val="20"/>
                <w:szCs w:val="20"/>
              </w:rPr>
              <w:t xml:space="preserve"> </w:t>
            </w:r>
            <w:r>
              <w:rPr>
                <w:rFonts w:ascii="仿宋" w:hAnsi="仿宋" w:eastAsia="仿宋" w:cs="仿宋"/>
                <w:spacing w:val="7"/>
                <w:sz w:val="20"/>
                <w:szCs w:val="20"/>
              </w:rPr>
              <w:t>8</w:t>
            </w:r>
            <w:r>
              <w:rPr>
                <w:rFonts w:ascii="仿宋" w:hAnsi="仿宋" w:eastAsia="仿宋" w:cs="仿宋"/>
                <w:spacing w:val="-25"/>
                <w:sz w:val="20"/>
                <w:szCs w:val="20"/>
              </w:rPr>
              <w:t xml:space="preserve"> </w:t>
            </w:r>
            <w:r>
              <w:rPr>
                <w:rFonts w:ascii="仿宋" w:hAnsi="仿宋" w:eastAsia="仿宋" w:cs="仿宋"/>
                <w:spacing w:val="7"/>
                <w:sz w:val="20"/>
                <w:szCs w:val="20"/>
              </w:rPr>
              <w:t>月</w:t>
            </w:r>
            <w:r>
              <w:rPr>
                <w:rFonts w:ascii="仿宋" w:hAnsi="仿宋" w:eastAsia="仿宋" w:cs="仿宋"/>
                <w:spacing w:val="-9"/>
                <w:sz w:val="20"/>
                <w:szCs w:val="20"/>
              </w:rPr>
              <w:t>）；</w:t>
            </w:r>
          </w:p>
          <w:p w14:paraId="76F35DE7">
            <w:pPr>
              <w:spacing w:line="229" w:lineRule="auto"/>
              <w:ind w:left="457"/>
              <w:rPr>
                <w:rFonts w:ascii="仿宋" w:hAnsi="仿宋" w:eastAsia="仿宋" w:cs="仿宋"/>
                <w:sz w:val="20"/>
                <w:szCs w:val="20"/>
              </w:rPr>
            </w:pPr>
            <w:r>
              <w:rPr>
                <w:rFonts w:ascii="仿宋" w:hAnsi="仿宋" w:eastAsia="仿宋" w:cs="仿宋"/>
                <w:spacing w:val="4"/>
                <w:sz w:val="20"/>
                <w:szCs w:val="20"/>
              </w:rPr>
              <w:t>审批机关：</w:t>
            </w:r>
            <w:r>
              <w:rPr>
                <w:rFonts w:ascii="仿宋" w:hAnsi="仿宋" w:eastAsia="仿宋" w:cs="仿宋"/>
                <w:spacing w:val="-38"/>
                <w:sz w:val="20"/>
                <w:szCs w:val="20"/>
              </w:rPr>
              <w:t xml:space="preserve"> </w:t>
            </w:r>
            <w:r>
              <w:rPr>
                <w:rFonts w:ascii="仿宋" w:hAnsi="仿宋" w:eastAsia="仿宋" w:cs="仿宋"/>
                <w:spacing w:val="4"/>
                <w:sz w:val="20"/>
                <w:szCs w:val="20"/>
              </w:rPr>
              <w:t>内蒙古自治区生态环境厅</w:t>
            </w:r>
          </w:p>
          <w:p w14:paraId="6FE6C4F9">
            <w:pPr>
              <w:spacing w:before="158" w:line="378" w:lineRule="auto"/>
              <w:ind w:left="26" w:right="12" w:firstLine="431"/>
              <w:rPr>
                <w:rFonts w:ascii="仿宋" w:hAnsi="仿宋" w:eastAsia="仿宋" w:cs="仿宋"/>
                <w:sz w:val="20"/>
                <w:szCs w:val="20"/>
              </w:rPr>
            </w:pPr>
            <w:r>
              <w:rPr>
                <w:rFonts w:ascii="仿宋" w:hAnsi="仿宋" w:eastAsia="仿宋" w:cs="仿宋"/>
                <w:spacing w:val="6"/>
                <w:sz w:val="20"/>
                <w:szCs w:val="20"/>
              </w:rPr>
              <w:t>审批文件名称：</w:t>
            </w:r>
            <w:r>
              <w:rPr>
                <w:rFonts w:ascii="仿宋" w:hAnsi="仿宋" w:eastAsia="仿宋" w:cs="仿宋"/>
                <w:spacing w:val="-34"/>
                <w:sz w:val="20"/>
                <w:szCs w:val="20"/>
              </w:rPr>
              <w:t xml:space="preserve"> </w:t>
            </w:r>
            <w:r>
              <w:rPr>
                <w:rFonts w:ascii="仿宋" w:hAnsi="仿宋" w:eastAsia="仿宋" w:cs="仿宋"/>
                <w:spacing w:val="6"/>
                <w:sz w:val="20"/>
                <w:szCs w:val="20"/>
              </w:rPr>
              <w:t>内蒙古自治区生态环境厅关于《内蒙古自治区“十四五”公路水路</w:t>
            </w:r>
            <w:r>
              <w:rPr>
                <w:rFonts w:ascii="仿宋" w:hAnsi="仿宋" w:eastAsia="仿宋" w:cs="仿宋"/>
                <w:spacing w:val="9"/>
                <w:sz w:val="20"/>
                <w:szCs w:val="20"/>
              </w:rPr>
              <w:t>交通运输发展规划环境影响报告书》的审查意见</w:t>
            </w:r>
          </w:p>
          <w:p w14:paraId="524FEC9A">
            <w:pPr>
              <w:spacing w:line="230" w:lineRule="auto"/>
              <w:ind w:left="441"/>
              <w:rPr>
                <w:rFonts w:ascii="仿宋" w:hAnsi="仿宋" w:eastAsia="仿宋" w:cs="仿宋"/>
                <w:sz w:val="20"/>
                <w:szCs w:val="20"/>
              </w:rPr>
            </w:pPr>
            <w:r>
              <w:rPr>
                <w:rFonts w:ascii="仿宋" w:hAnsi="仿宋" w:eastAsia="仿宋" w:cs="仿宋"/>
                <w:spacing w:val="3"/>
                <w:sz w:val="20"/>
                <w:szCs w:val="20"/>
              </w:rPr>
              <w:t>文号：</w:t>
            </w:r>
            <w:r>
              <w:rPr>
                <w:rFonts w:ascii="仿宋" w:hAnsi="仿宋" w:eastAsia="仿宋" w:cs="仿宋"/>
                <w:spacing w:val="-50"/>
                <w:sz w:val="20"/>
                <w:szCs w:val="20"/>
              </w:rPr>
              <w:t xml:space="preserve"> </w:t>
            </w:r>
            <w:r>
              <w:rPr>
                <w:rFonts w:ascii="仿宋" w:hAnsi="仿宋" w:eastAsia="仿宋" w:cs="仿宋"/>
                <w:spacing w:val="3"/>
                <w:sz w:val="20"/>
                <w:szCs w:val="20"/>
              </w:rPr>
              <w:t>内环审〔2022〕26</w:t>
            </w:r>
            <w:r>
              <w:rPr>
                <w:rFonts w:ascii="仿宋" w:hAnsi="仿宋" w:eastAsia="仿宋" w:cs="仿宋"/>
                <w:spacing w:val="-30"/>
                <w:sz w:val="20"/>
                <w:szCs w:val="20"/>
              </w:rPr>
              <w:t xml:space="preserve"> </w:t>
            </w:r>
            <w:r>
              <w:rPr>
                <w:rFonts w:ascii="仿宋" w:hAnsi="仿宋" w:eastAsia="仿宋" w:cs="仿宋"/>
                <w:spacing w:val="3"/>
                <w:sz w:val="20"/>
                <w:szCs w:val="20"/>
              </w:rPr>
              <w:t>号</w:t>
            </w:r>
          </w:p>
        </w:tc>
      </w:tr>
      <w:tr w14:paraId="09D1D0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70" w:hRule="atLeast"/>
        </w:trPr>
        <w:tc>
          <w:tcPr>
            <w:tcW w:w="1070" w:type="dxa"/>
            <w:tcBorders>
              <w:left w:val="single" w:color="000000" w:sz="6" w:space="0"/>
              <w:bottom w:val="single" w:color="000000" w:sz="6" w:space="0"/>
            </w:tcBorders>
            <w:vAlign w:val="top"/>
          </w:tcPr>
          <w:p w14:paraId="307B8A1D">
            <w:pPr>
              <w:spacing w:line="241" w:lineRule="auto"/>
              <w:rPr>
                <w:rFonts w:ascii="Arial"/>
                <w:sz w:val="21"/>
              </w:rPr>
            </w:pPr>
          </w:p>
          <w:p w14:paraId="0BFEAF6A">
            <w:pPr>
              <w:spacing w:line="241" w:lineRule="auto"/>
              <w:rPr>
                <w:rFonts w:ascii="Arial"/>
                <w:sz w:val="21"/>
              </w:rPr>
            </w:pPr>
          </w:p>
          <w:p w14:paraId="26759E9D">
            <w:pPr>
              <w:spacing w:line="241" w:lineRule="auto"/>
              <w:rPr>
                <w:rFonts w:ascii="Arial"/>
                <w:sz w:val="21"/>
              </w:rPr>
            </w:pPr>
          </w:p>
          <w:p w14:paraId="6B7FA97A">
            <w:pPr>
              <w:spacing w:line="241" w:lineRule="auto"/>
              <w:rPr>
                <w:rFonts w:ascii="Arial"/>
                <w:sz w:val="21"/>
              </w:rPr>
            </w:pPr>
          </w:p>
          <w:p w14:paraId="01998FB4">
            <w:pPr>
              <w:spacing w:line="241" w:lineRule="auto"/>
              <w:rPr>
                <w:rFonts w:ascii="Arial"/>
                <w:sz w:val="21"/>
              </w:rPr>
            </w:pPr>
          </w:p>
          <w:p w14:paraId="235A29FC">
            <w:pPr>
              <w:spacing w:line="241" w:lineRule="auto"/>
              <w:rPr>
                <w:rFonts w:ascii="Arial"/>
                <w:sz w:val="21"/>
              </w:rPr>
            </w:pPr>
          </w:p>
          <w:p w14:paraId="0ABA14E2">
            <w:pPr>
              <w:spacing w:line="242" w:lineRule="auto"/>
              <w:rPr>
                <w:rFonts w:ascii="Arial"/>
                <w:sz w:val="21"/>
              </w:rPr>
            </w:pPr>
          </w:p>
          <w:p w14:paraId="259E6315">
            <w:pPr>
              <w:spacing w:line="242" w:lineRule="auto"/>
              <w:rPr>
                <w:rFonts w:ascii="Arial"/>
                <w:sz w:val="21"/>
              </w:rPr>
            </w:pPr>
          </w:p>
          <w:p w14:paraId="4CB54745">
            <w:pPr>
              <w:spacing w:line="242" w:lineRule="auto"/>
              <w:rPr>
                <w:rFonts w:ascii="Arial"/>
                <w:sz w:val="21"/>
              </w:rPr>
            </w:pPr>
          </w:p>
          <w:p w14:paraId="29D6509B">
            <w:pPr>
              <w:spacing w:line="242" w:lineRule="auto"/>
              <w:rPr>
                <w:rFonts w:ascii="Arial"/>
                <w:sz w:val="21"/>
              </w:rPr>
            </w:pPr>
          </w:p>
          <w:p w14:paraId="59D24F0B">
            <w:pPr>
              <w:spacing w:line="242" w:lineRule="auto"/>
              <w:rPr>
                <w:rFonts w:ascii="Arial"/>
                <w:sz w:val="21"/>
              </w:rPr>
            </w:pPr>
          </w:p>
          <w:p w14:paraId="2872C09A">
            <w:pPr>
              <w:spacing w:line="242" w:lineRule="auto"/>
              <w:rPr>
                <w:rFonts w:ascii="Arial"/>
                <w:sz w:val="21"/>
              </w:rPr>
            </w:pPr>
          </w:p>
          <w:p w14:paraId="29591844">
            <w:pPr>
              <w:spacing w:before="65" w:line="251" w:lineRule="auto"/>
              <w:ind w:left="121" w:right="114" w:hanging="3"/>
              <w:jc w:val="both"/>
              <w:rPr>
                <w:rFonts w:ascii="仿宋" w:hAnsi="仿宋" w:eastAsia="仿宋" w:cs="仿宋"/>
                <w:sz w:val="20"/>
                <w:szCs w:val="20"/>
              </w:rPr>
            </w:pPr>
            <w:r>
              <w:rPr>
                <w:rFonts w:ascii="仿宋" w:hAnsi="仿宋" w:eastAsia="仿宋" w:cs="仿宋"/>
                <w:spacing w:val="6"/>
                <w:sz w:val="20"/>
                <w:szCs w:val="20"/>
              </w:rPr>
              <w:t>规划及规</w:t>
            </w:r>
            <w:r>
              <w:rPr>
                <w:rFonts w:ascii="仿宋" w:hAnsi="仿宋" w:eastAsia="仿宋" w:cs="仿宋"/>
                <w:spacing w:val="5"/>
                <w:sz w:val="20"/>
                <w:szCs w:val="20"/>
              </w:rPr>
              <w:t>划环境影响评价符合性分析</w:t>
            </w:r>
          </w:p>
        </w:tc>
        <w:tc>
          <w:tcPr>
            <w:tcW w:w="7993" w:type="dxa"/>
            <w:tcBorders>
              <w:bottom w:val="single" w:color="000000" w:sz="6" w:space="0"/>
              <w:right w:val="single" w:color="000000" w:sz="6" w:space="0"/>
            </w:tcBorders>
            <w:vAlign w:val="top"/>
          </w:tcPr>
          <w:p w14:paraId="262B1606">
            <w:pPr>
              <w:spacing w:before="53" w:line="229" w:lineRule="auto"/>
              <w:ind w:left="450"/>
              <w:outlineLvl w:val="0"/>
              <w:rPr>
                <w:rFonts w:ascii="仿宋" w:hAnsi="仿宋" w:eastAsia="仿宋" w:cs="仿宋"/>
                <w:sz w:val="20"/>
                <w:szCs w:val="20"/>
              </w:rPr>
            </w:pPr>
            <w:r>
              <w:rPr>
                <w:rFonts w:ascii="仿宋" w:hAnsi="仿宋" w:eastAsia="仿宋" w:cs="仿宋"/>
                <w:b/>
                <w:bCs/>
                <w:spacing w:val="6"/>
                <w:sz w:val="20"/>
                <w:szCs w:val="20"/>
              </w:rPr>
              <w:t>1、与《准格尔旗国土空间总体规划（2021-2035）》符合性分析</w:t>
            </w:r>
          </w:p>
          <w:p w14:paraId="36B41789">
            <w:pPr>
              <w:spacing w:before="160" w:line="376" w:lineRule="auto"/>
              <w:ind w:left="23" w:firstLine="415"/>
              <w:jc w:val="both"/>
              <w:rPr>
                <w:rFonts w:ascii="仿宋" w:hAnsi="仿宋" w:eastAsia="仿宋" w:cs="仿宋"/>
                <w:sz w:val="20"/>
                <w:szCs w:val="20"/>
              </w:rPr>
            </w:pPr>
            <w:r>
              <w:rPr>
                <w:rFonts w:ascii="仿宋" w:hAnsi="仿宋" w:eastAsia="仿宋" w:cs="仿宋"/>
                <w:spacing w:val="8"/>
                <w:sz w:val="20"/>
                <w:szCs w:val="20"/>
              </w:rPr>
              <w:t>本工程为准格尔旗沙圪堵镇、十二连城乡自然村通硬化路改造项目，全线</w:t>
            </w:r>
            <w:r>
              <w:rPr>
                <w:rFonts w:ascii="仿宋" w:hAnsi="仿宋" w:eastAsia="仿宋" w:cs="仿宋"/>
                <w:spacing w:val="7"/>
                <w:sz w:val="20"/>
                <w:szCs w:val="20"/>
              </w:rPr>
              <w:t>依托现有</w:t>
            </w:r>
            <w:r>
              <w:rPr>
                <w:rFonts w:ascii="仿宋" w:hAnsi="仿宋" w:eastAsia="仿宋" w:cs="仿宋"/>
                <w:spacing w:val="4"/>
                <w:sz w:val="20"/>
                <w:szCs w:val="20"/>
              </w:rPr>
              <w:t>土路路基实施硬化，不新辟线路，按四级农村道路建设，属乡村基础设施提质民生工程，</w:t>
            </w:r>
            <w:r>
              <w:rPr>
                <w:rFonts w:ascii="仿宋" w:hAnsi="仿宋" w:eastAsia="仿宋" w:cs="仿宋"/>
                <w:spacing w:val="7"/>
                <w:sz w:val="20"/>
                <w:szCs w:val="20"/>
              </w:rPr>
              <w:t>与国土空间总体规划符合性分析如下：</w:t>
            </w:r>
          </w:p>
          <w:p w14:paraId="11752E72">
            <w:pPr>
              <w:spacing w:before="2" w:line="377" w:lineRule="auto"/>
              <w:ind w:left="24" w:right="12" w:firstLine="421"/>
              <w:rPr>
                <w:rFonts w:ascii="仿宋" w:hAnsi="仿宋" w:eastAsia="仿宋" w:cs="仿宋"/>
                <w:sz w:val="20"/>
                <w:szCs w:val="20"/>
              </w:rPr>
            </w:pPr>
            <w:r>
              <w:rPr>
                <w:rFonts w:ascii="仿宋" w:hAnsi="仿宋" w:eastAsia="仿宋" w:cs="仿宋"/>
                <w:spacing w:val="12"/>
                <w:sz w:val="20"/>
                <w:szCs w:val="20"/>
              </w:rPr>
              <w:t>（1）符合规划发展定位与乡村振兴要求：总体规划提出完善</w:t>
            </w:r>
            <w:r>
              <w:rPr>
                <w:rFonts w:ascii="仿宋" w:hAnsi="仿宋" w:eastAsia="仿宋" w:cs="仿宋"/>
                <w:spacing w:val="11"/>
                <w:sz w:val="20"/>
                <w:szCs w:val="20"/>
              </w:rPr>
              <w:t>镇村交通网络、补齐</w:t>
            </w:r>
            <w:r>
              <w:rPr>
                <w:rFonts w:ascii="仿宋" w:hAnsi="仿宋" w:eastAsia="仿宋" w:cs="仿宋"/>
                <w:spacing w:val="9"/>
                <w:sz w:val="20"/>
                <w:szCs w:val="20"/>
              </w:rPr>
              <w:t>自然村出行短板、支撑农牧业与乡村旅游发展。项目覆盖两乡镇农村片区，改造土路提升通行条件，改善农村生产生活交通条件，落实城乡基础设施一体化、乡村人居环境提</w:t>
            </w:r>
            <w:r>
              <w:rPr>
                <w:rFonts w:ascii="仿宋" w:hAnsi="仿宋" w:eastAsia="仿宋" w:cs="仿宋"/>
                <w:spacing w:val="8"/>
                <w:sz w:val="20"/>
                <w:szCs w:val="20"/>
              </w:rPr>
              <w:t>升规划目标，契合区域发展导向。</w:t>
            </w:r>
          </w:p>
          <w:p w14:paraId="3E9ADAD7">
            <w:pPr>
              <w:spacing w:line="377" w:lineRule="auto"/>
              <w:ind w:left="25" w:firstLine="417"/>
              <w:rPr>
                <w:rFonts w:ascii="仿宋" w:hAnsi="仿宋" w:eastAsia="仿宋" w:cs="仿宋"/>
                <w:sz w:val="20"/>
                <w:szCs w:val="20"/>
              </w:rPr>
            </w:pPr>
            <w:r>
              <w:rPr>
                <w:rFonts w:ascii="仿宋" w:hAnsi="仿宋" w:eastAsia="仿宋" w:cs="仿宋"/>
                <w:spacing w:val="6"/>
                <w:sz w:val="20"/>
                <w:szCs w:val="20"/>
              </w:rPr>
              <w:t>（2）严守三区三线空间管控底线：项目选线依托既有老路，不穿越生态保护红线、</w:t>
            </w:r>
            <w:r>
              <w:rPr>
                <w:rFonts w:ascii="仿宋" w:hAnsi="仿宋" w:eastAsia="仿宋" w:cs="仿宋"/>
                <w:spacing w:val="8"/>
                <w:sz w:val="20"/>
                <w:szCs w:val="20"/>
              </w:rPr>
              <w:t>自然保护地、饮用水水源一级保护区；全程不新增占</w:t>
            </w:r>
            <w:r>
              <w:rPr>
                <w:rFonts w:ascii="仿宋" w:hAnsi="仿宋" w:eastAsia="仿宋" w:cs="仿宋"/>
                <w:spacing w:val="7"/>
                <w:sz w:val="20"/>
                <w:szCs w:val="20"/>
              </w:rPr>
              <w:t>用永久基本农田，不超出城镇开发</w:t>
            </w:r>
            <w:r>
              <w:rPr>
                <w:rFonts w:ascii="仿宋" w:hAnsi="仿宋" w:eastAsia="仿宋" w:cs="仿宋"/>
                <w:spacing w:val="8"/>
                <w:sz w:val="20"/>
                <w:szCs w:val="20"/>
              </w:rPr>
              <w:t>边界，避开黄河行洪管控、地质灾害高风险区域，未触碰规划</w:t>
            </w:r>
            <w:r>
              <w:rPr>
                <w:rFonts w:ascii="仿宋" w:hAnsi="仿宋" w:eastAsia="仿宋" w:cs="仿宋"/>
                <w:spacing w:val="7"/>
                <w:sz w:val="20"/>
                <w:szCs w:val="20"/>
              </w:rPr>
              <w:t>刚性空间管控底线。</w:t>
            </w:r>
          </w:p>
          <w:p w14:paraId="07ED56B1">
            <w:pPr>
              <w:spacing w:line="377" w:lineRule="auto"/>
              <w:ind w:left="21" w:right="12" w:firstLine="424"/>
              <w:rPr>
                <w:rFonts w:ascii="仿宋" w:hAnsi="仿宋" w:eastAsia="仿宋" w:cs="仿宋"/>
                <w:sz w:val="20"/>
                <w:szCs w:val="20"/>
              </w:rPr>
            </w:pPr>
            <w:r>
              <w:rPr>
                <w:rFonts w:ascii="仿宋" w:hAnsi="仿宋" w:eastAsia="仿宋" w:cs="仿宋"/>
                <w:spacing w:val="10"/>
                <w:sz w:val="20"/>
                <w:szCs w:val="20"/>
              </w:rPr>
              <w:t>（3）</w:t>
            </w:r>
            <w:r>
              <w:rPr>
                <w:rFonts w:ascii="仿宋" w:hAnsi="仿宋" w:eastAsia="仿宋" w:cs="仿宋"/>
                <w:spacing w:val="-51"/>
                <w:sz w:val="20"/>
                <w:szCs w:val="20"/>
              </w:rPr>
              <w:t xml:space="preserve"> </w:t>
            </w:r>
            <w:r>
              <w:rPr>
                <w:rFonts w:ascii="仿宋" w:hAnsi="仿宋" w:eastAsia="仿宋" w:cs="仿宋"/>
                <w:spacing w:val="10"/>
                <w:sz w:val="20"/>
                <w:szCs w:val="20"/>
              </w:rPr>
              <w:t>匹配区域交通路网布局规划规划构建“旗</w:t>
            </w:r>
            <w:r>
              <w:rPr>
                <w:rFonts w:ascii="仿宋" w:hAnsi="仿宋" w:eastAsia="仿宋" w:cs="仿宋"/>
                <w:spacing w:val="9"/>
                <w:sz w:val="20"/>
                <w:szCs w:val="20"/>
              </w:rPr>
              <w:t>—镇—村</w:t>
            </w:r>
            <w:r>
              <w:rPr>
                <w:rFonts w:ascii="仿宋" w:hAnsi="仿宋" w:eastAsia="仿宋" w:cs="仿宋"/>
                <w:spacing w:val="-70"/>
                <w:sz w:val="20"/>
                <w:szCs w:val="20"/>
              </w:rPr>
              <w:t xml:space="preserve"> </w:t>
            </w:r>
            <w:r>
              <w:rPr>
                <w:rFonts w:ascii="仿宋" w:hAnsi="仿宋" w:eastAsia="仿宋" w:cs="仿宋"/>
                <w:spacing w:val="9"/>
                <w:sz w:val="20"/>
                <w:szCs w:val="20"/>
              </w:rPr>
              <w:t>”三级农村公路体系，鼓励存量土路硬化改造。本项目为自然村末梢路网完善工程，纳入农村公路提质改造实施计划，道路宽度符合农村道路农用地管控标准，无需新增建设用地，契合规划交通设施</w:t>
            </w:r>
            <w:r>
              <w:rPr>
                <w:rFonts w:ascii="仿宋" w:hAnsi="仿宋" w:eastAsia="仿宋" w:cs="仿宋"/>
                <w:spacing w:val="4"/>
                <w:sz w:val="20"/>
                <w:szCs w:val="20"/>
              </w:rPr>
              <w:t>布局要求。</w:t>
            </w:r>
          </w:p>
          <w:p w14:paraId="416B63F8">
            <w:pPr>
              <w:spacing w:before="2" w:line="359" w:lineRule="auto"/>
              <w:ind w:left="21" w:right="12" w:firstLine="424"/>
              <w:rPr>
                <w:rFonts w:ascii="仿宋" w:hAnsi="仿宋" w:eastAsia="仿宋" w:cs="仿宋"/>
                <w:sz w:val="20"/>
                <w:szCs w:val="20"/>
              </w:rPr>
            </w:pPr>
            <w:r>
              <w:rPr>
                <w:rFonts w:ascii="仿宋" w:hAnsi="仿宋" w:eastAsia="仿宋" w:cs="仿宋"/>
                <w:spacing w:val="12"/>
                <w:sz w:val="20"/>
                <w:szCs w:val="20"/>
              </w:rPr>
              <w:t>（4）满足土地节约集约利用管控：项目仅对原有土路路面硬</w:t>
            </w:r>
            <w:r>
              <w:rPr>
                <w:rFonts w:ascii="仿宋" w:hAnsi="仿宋" w:eastAsia="仿宋" w:cs="仿宋"/>
                <w:spacing w:val="11"/>
                <w:sz w:val="20"/>
                <w:szCs w:val="20"/>
              </w:rPr>
              <w:t>化、局部整形，无新</w:t>
            </w:r>
            <w:r>
              <w:rPr>
                <w:rFonts w:ascii="仿宋" w:hAnsi="仿宋" w:eastAsia="仿宋" w:cs="仿宋"/>
                <w:spacing w:val="9"/>
                <w:sz w:val="20"/>
                <w:szCs w:val="20"/>
              </w:rPr>
              <w:t>增线性占地，盘活存量乡村道路空间；道路属农用地类农村道路，不改变原有土地利用</w:t>
            </w:r>
          </w:p>
        </w:tc>
      </w:tr>
    </w:tbl>
    <w:p w14:paraId="20360CFC">
      <w:pPr>
        <w:pStyle w:val="2"/>
        <w:rPr>
          <w:sz w:val="21"/>
        </w:rPr>
      </w:pPr>
    </w:p>
    <w:p w14:paraId="4E61B42A">
      <w:pPr>
        <w:rPr>
          <w:sz w:val="21"/>
          <w:szCs w:val="21"/>
        </w:rPr>
        <w:sectPr>
          <w:footerReference r:id="rId9" w:type="default"/>
          <w:pgSz w:w="11906" w:h="16839"/>
          <w:pgMar w:top="400" w:right="1306" w:bottom="1504" w:left="1521" w:header="0" w:footer="1342" w:gutter="0"/>
          <w:cols w:space="720" w:num="1"/>
        </w:sectPr>
      </w:pPr>
    </w:p>
    <w:p w14:paraId="27B1C802">
      <w:pPr>
        <w:spacing w:before="19"/>
      </w:pPr>
    </w:p>
    <w:p w14:paraId="29BBA6D4">
      <w:pPr>
        <w:spacing w:before="19"/>
      </w:pPr>
    </w:p>
    <w:p w14:paraId="75FEE217">
      <w:pPr>
        <w:spacing w:before="19"/>
      </w:pPr>
    </w:p>
    <w:p w14:paraId="1EE6C143">
      <w:pPr>
        <w:spacing w:before="18"/>
      </w:pPr>
    </w:p>
    <w:p w14:paraId="2995AD2B">
      <w:pPr>
        <w:spacing w:before="18"/>
      </w:pPr>
    </w:p>
    <w:tbl>
      <w:tblPr>
        <w:tblStyle w:val="5"/>
        <w:tblW w:w="9063"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70"/>
        <w:gridCol w:w="486"/>
        <w:gridCol w:w="3167"/>
        <w:gridCol w:w="3608"/>
        <w:gridCol w:w="732"/>
      </w:tblGrid>
      <w:tr w14:paraId="68536C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22" w:hRule="atLeast"/>
        </w:trPr>
        <w:tc>
          <w:tcPr>
            <w:tcW w:w="1070" w:type="dxa"/>
            <w:vMerge w:val="restart"/>
            <w:tcBorders>
              <w:top w:val="single" w:color="000000" w:sz="6" w:space="0"/>
              <w:left w:val="single" w:color="000000" w:sz="6" w:space="0"/>
              <w:bottom w:val="nil"/>
            </w:tcBorders>
            <w:vAlign w:val="top"/>
          </w:tcPr>
          <w:p w14:paraId="5DD4781E">
            <w:pPr>
              <w:rPr>
                <w:rFonts w:ascii="Arial"/>
                <w:sz w:val="21"/>
              </w:rPr>
            </w:pPr>
          </w:p>
        </w:tc>
        <w:tc>
          <w:tcPr>
            <w:tcW w:w="7993" w:type="dxa"/>
            <w:gridSpan w:val="4"/>
            <w:tcBorders>
              <w:top w:val="single" w:color="000000" w:sz="6" w:space="0"/>
              <w:bottom w:val="single" w:color="000000" w:sz="10" w:space="0"/>
              <w:right w:val="single" w:color="000000" w:sz="6" w:space="0"/>
            </w:tcBorders>
            <w:vAlign w:val="top"/>
          </w:tcPr>
          <w:p w14:paraId="0EFE5B9D">
            <w:pPr>
              <w:spacing w:before="41" w:line="377" w:lineRule="auto"/>
              <w:ind w:left="23" w:right="12" w:hanging="1"/>
              <w:rPr>
                <w:rFonts w:ascii="仿宋" w:hAnsi="仿宋" w:eastAsia="仿宋" w:cs="仿宋"/>
                <w:sz w:val="20"/>
                <w:szCs w:val="20"/>
              </w:rPr>
            </w:pPr>
            <w:r>
              <w:rPr>
                <w:rFonts w:ascii="仿宋" w:hAnsi="仿宋" w:eastAsia="仿宋" w:cs="仿宋"/>
                <w:spacing w:val="9"/>
                <w:sz w:val="20"/>
                <w:szCs w:val="20"/>
              </w:rPr>
              <w:t>地类，无需落实耕地占补平衡，符合规划盘活存量、严控新增建设、节约用地的管控原</w:t>
            </w:r>
            <w:r>
              <w:rPr>
                <w:rFonts w:ascii="仿宋" w:hAnsi="仿宋" w:eastAsia="仿宋" w:cs="仿宋"/>
                <w:spacing w:val="-4"/>
                <w:sz w:val="20"/>
                <w:szCs w:val="20"/>
              </w:rPr>
              <w:t>则。</w:t>
            </w:r>
          </w:p>
          <w:p w14:paraId="7485BB80">
            <w:pPr>
              <w:spacing w:line="377" w:lineRule="auto"/>
              <w:ind w:left="21" w:right="12" w:firstLine="424"/>
              <w:rPr>
                <w:rFonts w:ascii="仿宋" w:hAnsi="仿宋" w:eastAsia="仿宋" w:cs="仿宋"/>
                <w:sz w:val="20"/>
                <w:szCs w:val="20"/>
              </w:rPr>
            </w:pPr>
            <w:r>
              <w:rPr>
                <w:rFonts w:ascii="仿宋" w:hAnsi="仿宋" w:eastAsia="仿宋" w:cs="仿宋"/>
                <w:spacing w:val="11"/>
                <w:sz w:val="20"/>
                <w:szCs w:val="20"/>
              </w:rPr>
              <w:t>（5）契合乡镇及村庄规划传导要求：</w:t>
            </w:r>
            <w:r>
              <w:rPr>
                <w:rFonts w:ascii="仿宋" w:hAnsi="仿宋" w:eastAsia="仿宋" w:cs="仿宋"/>
                <w:spacing w:val="-59"/>
                <w:sz w:val="20"/>
                <w:szCs w:val="20"/>
              </w:rPr>
              <w:t xml:space="preserve"> </w:t>
            </w:r>
            <w:r>
              <w:rPr>
                <w:rFonts w:ascii="仿宋" w:hAnsi="仿宋" w:eastAsia="仿宋" w:cs="仿宋"/>
                <w:spacing w:val="11"/>
                <w:sz w:val="20"/>
                <w:szCs w:val="20"/>
              </w:rPr>
              <w:t>总体规划明</w:t>
            </w:r>
            <w:r>
              <w:rPr>
                <w:rFonts w:ascii="仿宋" w:hAnsi="仿宋" w:eastAsia="仿宋" w:cs="仿宋"/>
                <w:spacing w:val="10"/>
                <w:sz w:val="20"/>
                <w:szCs w:val="20"/>
              </w:rPr>
              <w:t>确沙圪堵镇农牧业商贸、十二连</w:t>
            </w:r>
            <w:r>
              <w:rPr>
                <w:rFonts w:ascii="仿宋" w:hAnsi="仿宋" w:eastAsia="仿宋" w:cs="仿宋"/>
                <w:spacing w:val="9"/>
                <w:sz w:val="20"/>
                <w:szCs w:val="20"/>
              </w:rPr>
              <w:t>城乡黄河特色农业与乡村旅游发展定位。本项目串联村内种植、养殖及乡村产业节点；各村村庄规划均预留老路改造实施空间，配套安防、排水设施同步实施，符合村镇空间</w:t>
            </w:r>
            <w:r>
              <w:rPr>
                <w:rFonts w:ascii="仿宋" w:hAnsi="仿宋" w:eastAsia="仿宋" w:cs="仿宋"/>
                <w:spacing w:val="6"/>
                <w:sz w:val="20"/>
                <w:szCs w:val="20"/>
              </w:rPr>
              <w:t>建设管控要求。</w:t>
            </w:r>
          </w:p>
          <w:p w14:paraId="0B1AA716">
            <w:pPr>
              <w:spacing w:before="3" w:line="376" w:lineRule="auto"/>
              <w:ind w:left="20" w:right="12" w:firstLine="422"/>
              <w:jc w:val="both"/>
              <w:rPr>
                <w:rFonts w:ascii="仿宋" w:hAnsi="仿宋" w:eastAsia="仿宋" w:cs="仿宋"/>
                <w:sz w:val="20"/>
                <w:szCs w:val="20"/>
              </w:rPr>
            </w:pPr>
            <w:r>
              <w:rPr>
                <w:rFonts w:ascii="仿宋" w:hAnsi="仿宋" w:eastAsia="仿宋" w:cs="仿宋"/>
                <w:spacing w:val="9"/>
                <w:sz w:val="20"/>
                <w:szCs w:val="20"/>
              </w:rPr>
              <w:t>综上，本项目依托现状土路实施硬化改造，建设内容、选址布局、用地模式均满足</w:t>
            </w:r>
            <w:r>
              <w:rPr>
                <w:rFonts w:ascii="仿宋" w:hAnsi="仿宋" w:eastAsia="仿宋" w:cs="仿宋"/>
                <w:spacing w:val="8"/>
                <w:sz w:val="20"/>
                <w:szCs w:val="20"/>
              </w:rPr>
              <w:t>《准格尔旗国土空间总体规划（2021-2035 年）》空间、用地、产业及生态管控各项要求，不存在规划冲突，符合国土空间总体规划。</w:t>
            </w:r>
          </w:p>
          <w:p w14:paraId="76A8BFB3">
            <w:pPr>
              <w:spacing w:line="229" w:lineRule="auto"/>
              <w:ind w:left="437"/>
              <w:outlineLvl w:val="0"/>
              <w:rPr>
                <w:rFonts w:ascii="仿宋" w:hAnsi="仿宋" w:eastAsia="仿宋" w:cs="仿宋"/>
                <w:sz w:val="20"/>
                <w:szCs w:val="20"/>
              </w:rPr>
            </w:pPr>
            <w:r>
              <w:rPr>
                <w:rFonts w:ascii="仿宋" w:hAnsi="仿宋" w:eastAsia="仿宋" w:cs="仿宋"/>
                <w:b/>
                <w:bCs/>
                <w:spacing w:val="7"/>
                <w:sz w:val="20"/>
                <w:szCs w:val="20"/>
              </w:rPr>
              <w:t>2、与《内蒙古自治区“十四五”公路水路交通运输发展规划》符合性分析</w:t>
            </w:r>
          </w:p>
          <w:p w14:paraId="04B4C020">
            <w:pPr>
              <w:spacing w:before="160" w:line="229" w:lineRule="auto"/>
              <w:ind w:left="449"/>
              <w:rPr>
                <w:rFonts w:ascii="仿宋" w:hAnsi="仿宋" w:eastAsia="仿宋" w:cs="仿宋"/>
                <w:sz w:val="20"/>
                <w:szCs w:val="20"/>
              </w:rPr>
            </w:pPr>
            <w:r>
              <w:rPr>
                <w:rFonts w:ascii="仿宋" w:hAnsi="仿宋" w:eastAsia="仿宋" w:cs="仿宋"/>
                <w:spacing w:val="8"/>
                <w:sz w:val="20"/>
                <w:szCs w:val="20"/>
              </w:rPr>
              <w:t>与《内蒙古自治区“十四五”公路水路交通运输发展规划》符合性分析见下表。</w:t>
            </w:r>
          </w:p>
          <w:p w14:paraId="17495BBC">
            <w:pPr>
              <w:spacing w:before="160" w:line="229" w:lineRule="auto"/>
              <w:ind w:left="315"/>
              <w:rPr>
                <w:rFonts w:ascii="仿宋" w:hAnsi="仿宋" w:eastAsia="仿宋" w:cs="仿宋"/>
                <w:sz w:val="20"/>
                <w:szCs w:val="20"/>
              </w:rPr>
            </w:pPr>
            <w:r>
              <w:rPr>
                <w:rFonts w:ascii="仿宋" w:hAnsi="仿宋" w:eastAsia="仿宋" w:cs="仿宋"/>
                <w:b/>
                <w:bCs/>
                <w:spacing w:val="7"/>
                <w:sz w:val="20"/>
                <w:szCs w:val="20"/>
              </w:rPr>
              <w:t>表1-3</w:t>
            </w:r>
            <w:r>
              <w:rPr>
                <w:rFonts w:ascii="仿宋" w:hAnsi="仿宋" w:eastAsia="仿宋" w:cs="仿宋"/>
                <w:spacing w:val="7"/>
                <w:sz w:val="20"/>
                <w:szCs w:val="20"/>
              </w:rPr>
              <w:t xml:space="preserve">   </w:t>
            </w:r>
            <w:r>
              <w:rPr>
                <w:rFonts w:ascii="仿宋" w:hAnsi="仿宋" w:eastAsia="仿宋" w:cs="仿宋"/>
                <w:b/>
                <w:bCs/>
                <w:spacing w:val="7"/>
                <w:sz w:val="20"/>
                <w:szCs w:val="20"/>
              </w:rPr>
              <w:t>与《内蒙古自治区“十四五”公路水路交通运</w:t>
            </w:r>
            <w:r>
              <w:rPr>
                <w:rFonts w:ascii="仿宋" w:hAnsi="仿宋" w:eastAsia="仿宋" w:cs="仿宋"/>
                <w:b/>
                <w:bCs/>
                <w:spacing w:val="6"/>
                <w:sz w:val="20"/>
                <w:szCs w:val="20"/>
              </w:rPr>
              <w:t>输发展规划》符合性分析</w:t>
            </w:r>
          </w:p>
        </w:tc>
      </w:tr>
      <w:tr w14:paraId="52C1CB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9" w:hRule="atLeast"/>
        </w:trPr>
        <w:tc>
          <w:tcPr>
            <w:tcW w:w="1070" w:type="dxa"/>
            <w:vMerge w:val="continue"/>
            <w:tcBorders>
              <w:top w:val="nil"/>
              <w:left w:val="single" w:color="000000" w:sz="6" w:space="0"/>
              <w:bottom w:val="nil"/>
            </w:tcBorders>
            <w:vAlign w:val="top"/>
          </w:tcPr>
          <w:p w14:paraId="35A39078">
            <w:pPr>
              <w:rPr>
                <w:rFonts w:ascii="Arial"/>
                <w:sz w:val="21"/>
              </w:rPr>
            </w:pPr>
          </w:p>
        </w:tc>
        <w:tc>
          <w:tcPr>
            <w:tcW w:w="486" w:type="dxa"/>
            <w:tcBorders>
              <w:top w:val="single" w:color="000000" w:sz="10" w:space="0"/>
            </w:tcBorders>
            <w:vAlign w:val="top"/>
          </w:tcPr>
          <w:p w14:paraId="2066BA4D">
            <w:pPr>
              <w:spacing w:before="23" w:line="201" w:lineRule="auto"/>
              <w:ind w:left="76"/>
              <w:rPr>
                <w:rFonts w:ascii="仿宋" w:hAnsi="仿宋" w:eastAsia="仿宋" w:cs="仿宋"/>
                <w:sz w:val="18"/>
                <w:szCs w:val="18"/>
              </w:rPr>
            </w:pPr>
            <w:r>
              <w:rPr>
                <w:rFonts w:ascii="仿宋" w:hAnsi="仿宋" w:eastAsia="仿宋" w:cs="仿宋"/>
                <w:spacing w:val="-6"/>
                <w:sz w:val="18"/>
                <w:szCs w:val="18"/>
              </w:rPr>
              <w:t>序号</w:t>
            </w:r>
          </w:p>
        </w:tc>
        <w:tc>
          <w:tcPr>
            <w:tcW w:w="3167" w:type="dxa"/>
            <w:tcBorders>
              <w:top w:val="single" w:color="000000" w:sz="10" w:space="0"/>
            </w:tcBorders>
            <w:vAlign w:val="top"/>
          </w:tcPr>
          <w:p w14:paraId="0BC153CD">
            <w:pPr>
              <w:spacing w:before="23" w:line="201" w:lineRule="auto"/>
              <w:ind w:left="1229"/>
              <w:rPr>
                <w:rFonts w:ascii="仿宋" w:hAnsi="仿宋" w:eastAsia="仿宋" w:cs="仿宋"/>
                <w:sz w:val="18"/>
                <w:szCs w:val="18"/>
              </w:rPr>
            </w:pPr>
            <w:r>
              <w:rPr>
                <w:rFonts w:ascii="仿宋" w:hAnsi="仿宋" w:eastAsia="仿宋" w:cs="仿宋"/>
                <w:spacing w:val="-3"/>
                <w:sz w:val="18"/>
                <w:szCs w:val="18"/>
              </w:rPr>
              <w:t>规划要求</w:t>
            </w:r>
          </w:p>
        </w:tc>
        <w:tc>
          <w:tcPr>
            <w:tcW w:w="3608" w:type="dxa"/>
            <w:tcBorders>
              <w:top w:val="single" w:color="000000" w:sz="10" w:space="0"/>
            </w:tcBorders>
            <w:vAlign w:val="top"/>
          </w:tcPr>
          <w:p w14:paraId="7704EE8D">
            <w:pPr>
              <w:spacing w:before="23" w:line="201" w:lineRule="auto"/>
              <w:ind w:left="1546"/>
              <w:rPr>
                <w:rFonts w:ascii="仿宋" w:hAnsi="仿宋" w:eastAsia="仿宋" w:cs="仿宋"/>
                <w:sz w:val="18"/>
                <w:szCs w:val="18"/>
              </w:rPr>
            </w:pPr>
            <w:r>
              <w:rPr>
                <w:rFonts w:ascii="仿宋" w:hAnsi="仿宋" w:eastAsia="仿宋" w:cs="仿宋"/>
                <w:spacing w:val="-5"/>
                <w:sz w:val="18"/>
                <w:szCs w:val="18"/>
              </w:rPr>
              <w:t>本项目</w:t>
            </w:r>
          </w:p>
        </w:tc>
        <w:tc>
          <w:tcPr>
            <w:tcW w:w="732" w:type="dxa"/>
            <w:tcBorders>
              <w:top w:val="single" w:color="000000" w:sz="10" w:space="0"/>
              <w:right w:val="single" w:color="000000" w:sz="6" w:space="0"/>
            </w:tcBorders>
            <w:vAlign w:val="top"/>
          </w:tcPr>
          <w:p w14:paraId="44A4A1EF">
            <w:pPr>
              <w:spacing w:before="23" w:line="201" w:lineRule="auto"/>
              <w:ind w:left="104"/>
              <w:rPr>
                <w:rFonts w:ascii="仿宋" w:hAnsi="仿宋" w:eastAsia="仿宋" w:cs="仿宋"/>
                <w:sz w:val="18"/>
                <w:szCs w:val="18"/>
              </w:rPr>
            </w:pPr>
            <w:r>
              <w:rPr>
                <w:rFonts w:ascii="仿宋" w:hAnsi="仿宋" w:eastAsia="仿宋" w:cs="仿宋"/>
                <w:spacing w:val="-6"/>
                <w:sz w:val="18"/>
                <w:szCs w:val="18"/>
              </w:rPr>
              <w:t>符合性</w:t>
            </w:r>
          </w:p>
        </w:tc>
      </w:tr>
      <w:tr w14:paraId="390024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1" w:hRule="atLeast"/>
        </w:trPr>
        <w:tc>
          <w:tcPr>
            <w:tcW w:w="1070" w:type="dxa"/>
            <w:vMerge w:val="continue"/>
            <w:tcBorders>
              <w:top w:val="nil"/>
              <w:left w:val="single" w:color="000000" w:sz="6" w:space="0"/>
              <w:bottom w:val="nil"/>
            </w:tcBorders>
            <w:vAlign w:val="top"/>
          </w:tcPr>
          <w:p w14:paraId="1835C426">
            <w:pPr>
              <w:rPr>
                <w:rFonts w:ascii="Arial"/>
                <w:sz w:val="21"/>
              </w:rPr>
            </w:pPr>
          </w:p>
        </w:tc>
        <w:tc>
          <w:tcPr>
            <w:tcW w:w="486" w:type="dxa"/>
            <w:vAlign w:val="top"/>
          </w:tcPr>
          <w:p w14:paraId="09083E35">
            <w:pPr>
              <w:spacing w:line="436" w:lineRule="auto"/>
              <w:rPr>
                <w:rFonts w:ascii="Arial"/>
                <w:sz w:val="21"/>
              </w:rPr>
            </w:pPr>
          </w:p>
          <w:p w14:paraId="6D70121D">
            <w:pPr>
              <w:spacing w:before="58" w:line="237" w:lineRule="exact"/>
              <w:ind w:left="219"/>
              <w:rPr>
                <w:rFonts w:ascii="仿宋" w:hAnsi="仿宋" w:eastAsia="仿宋" w:cs="仿宋"/>
                <w:sz w:val="18"/>
                <w:szCs w:val="18"/>
              </w:rPr>
            </w:pPr>
            <w:r>
              <w:rPr>
                <w:rFonts w:ascii="仿宋" w:hAnsi="仿宋" w:eastAsia="仿宋" w:cs="仿宋"/>
                <w:position w:val="1"/>
                <w:sz w:val="18"/>
                <w:szCs w:val="18"/>
              </w:rPr>
              <w:t>1</w:t>
            </w:r>
          </w:p>
        </w:tc>
        <w:tc>
          <w:tcPr>
            <w:tcW w:w="3167" w:type="dxa"/>
            <w:vAlign w:val="top"/>
          </w:tcPr>
          <w:p w14:paraId="2B1380A3">
            <w:pPr>
              <w:spacing w:before="29" w:line="232" w:lineRule="auto"/>
              <w:ind w:left="113" w:right="105" w:firstLine="32"/>
              <w:jc w:val="both"/>
              <w:rPr>
                <w:rFonts w:ascii="仿宋" w:hAnsi="仿宋" w:eastAsia="仿宋" w:cs="仿宋"/>
                <w:sz w:val="18"/>
                <w:szCs w:val="18"/>
              </w:rPr>
            </w:pPr>
            <w:r>
              <w:rPr>
                <w:rFonts w:ascii="仿宋" w:hAnsi="仿宋" w:eastAsia="仿宋" w:cs="仿宋"/>
                <w:spacing w:val="1"/>
                <w:sz w:val="18"/>
                <w:szCs w:val="18"/>
              </w:rPr>
              <w:t>自治区规划明确提出“农村牧区公路</w:t>
            </w:r>
            <w:r>
              <w:rPr>
                <w:rFonts w:ascii="仿宋" w:hAnsi="仿宋" w:eastAsia="仿宋" w:cs="仿宋"/>
                <w:spacing w:val="3"/>
                <w:sz w:val="18"/>
                <w:szCs w:val="18"/>
              </w:rPr>
              <w:t>发展以支撑乡村振兴战略为核心，推</w:t>
            </w:r>
            <w:r>
              <w:rPr>
                <w:rFonts w:ascii="仿宋" w:hAnsi="仿宋" w:eastAsia="仿宋" w:cs="仿宋"/>
                <w:spacing w:val="-1"/>
                <w:sz w:val="18"/>
                <w:szCs w:val="18"/>
              </w:rPr>
              <w:t>进较大人口规模自然村（20</w:t>
            </w:r>
            <w:r>
              <w:rPr>
                <w:rFonts w:ascii="仿宋" w:hAnsi="仿宋" w:eastAsia="仿宋" w:cs="仿宋"/>
                <w:spacing w:val="-23"/>
                <w:sz w:val="18"/>
                <w:szCs w:val="18"/>
              </w:rPr>
              <w:t xml:space="preserve"> </w:t>
            </w:r>
            <w:r>
              <w:rPr>
                <w:rFonts w:ascii="仿宋" w:hAnsi="仿宋" w:eastAsia="仿宋" w:cs="仿宋"/>
                <w:spacing w:val="-1"/>
                <w:sz w:val="18"/>
                <w:szCs w:val="18"/>
              </w:rPr>
              <w:t>户以上）</w:t>
            </w:r>
            <w:r>
              <w:rPr>
                <w:rFonts w:ascii="仿宋" w:hAnsi="仿宋" w:eastAsia="仿宋" w:cs="仿宋"/>
                <w:spacing w:val="-3"/>
                <w:sz w:val="18"/>
                <w:szCs w:val="18"/>
              </w:rPr>
              <w:t>通硬化路率达到85%以上</w:t>
            </w:r>
            <w:r>
              <w:rPr>
                <w:rFonts w:ascii="仿宋" w:hAnsi="仿宋" w:eastAsia="仿宋" w:cs="仿宋"/>
                <w:spacing w:val="-64"/>
                <w:sz w:val="18"/>
                <w:szCs w:val="18"/>
              </w:rPr>
              <w:t xml:space="preserve"> </w:t>
            </w:r>
            <w:r>
              <w:rPr>
                <w:rFonts w:ascii="仿宋" w:hAnsi="仿宋" w:eastAsia="仿宋" w:cs="仿宋"/>
                <w:spacing w:val="-3"/>
                <w:sz w:val="18"/>
                <w:szCs w:val="18"/>
              </w:rPr>
              <w:t>”“推动农村牧区公路向‘进村入户</w:t>
            </w:r>
            <w:r>
              <w:rPr>
                <w:rFonts w:ascii="仿宋" w:hAnsi="仿宋" w:eastAsia="仿宋" w:cs="仿宋"/>
                <w:spacing w:val="-58"/>
                <w:sz w:val="18"/>
                <w:szCs w:val="18"/>
              </w:rPr>
              <w:t xml:space="preserve"> </w:t>
            </w:r>
            <w:r>
              <w:rPr>
                <w:rFonts w:ascii="仿宋" w:hAnsi="仿宋" w:eastAsia="仿宋" w:cs="仿宋"/>
                <w:spacing w:val="-3"/>
                <w:sz w:val="18"/>
                <w:szCs w:val="18"/>
              </w:rPr>
              <w:t>’倾斜</w:t>
            </w:r>
            <w:r>
              <w:rPr>
                <w:rFonts w:ascii="仿宋" w:hAnsi="仿宋" w:eastAsia="仿宋" w:cs="仿宋"/>
                <w:spacing w:val="-66"/>
                <w:sz w:val="18"/>
                <w:szCs w:val="18"/>
              </w:rPr>
              <w:t xml:space="preserve"> </w:t>
            </w:r>
            <w:r>
              <w:rPr>
                <w:rFonts w:ascii="仿宋" w:hAnsi="仿宋" w:eastAsia="仿宋" w:cs="仿宋"/>
                <w:spacing w:val="-3"/>
                <w:sz w:val="18"/>
                <w:szCs w:val="18"/>
              </w:rPr>
              <w:t>”。</w:t>
            </w:r>
          </w:p>
        </w:tc>
        <w:tc>
          <w:tcPr>
            <w:tcW w:w="3608" w:type="dxa"/>
            <w:vAlign w:val="top"/>
          </w:tcPr>
          <w:p w14:paraId="18E44CEF">
            <w:pPr>
              <w:spacing w:before="150" w:line="239" w:lineRule="auto"/>
              <w:ind w:left="103" w:right="99" w:firstLine="14"/>
              <w:jc w:val="both"/>
              <w:rPr>
                <w:rFonts w:ascii="仿宋" w:hAnsi="仿宋" w:eastAsia="仿宋" w:cs="仿宋"/>
                <w:sz w:val="18"/>
                <w:szCs w:val="18"/>
              </w:rPr>
            </w:pPr>
            <w:r>
              <w:rPr>
                <w:rFonts w:ascii="仿宋" w:hAnsi="仿宋" w:eastAsia="仿宋" w:cs="仿宋"/>
                <w:spacing w:val="-2"/>
                <w:sz w:val="18"/>
                <w:szCs w:val="18"/>
              </w:rPr>
              <w:t>本项目连接多个居民散户及村社，属于“进</w:t>
            </w:r>
            <w:r>
              <w:rPr>
                <w:rFonts w:ascii="仿宋" w:hAnsi="仿宋" w:eastAsia="仿宋" w:cs="仿宋"/>
                <w:spacing w:val="-3"/>
                <w:sz w:val="18"/>
                <w:szCs w:val="18"/>
              </w:rPr>
              <w:t>村入户</w:t>
            </w:r>
            <w:r>
              <w:rPr>
                <w:rFonts w:ascii="仿宋" w:hAnsi="仿宋" w:eastAsia="仿宋" w:cs="仿宋"/>
                <w:spacing w:val="-54"/>
                <w:sz w:val="18"/>
                <w:szCs w:val="18"/>
              </w:rPr>
              <w:t xml:space="preserve"> </w:t>
            </w:r>
            <w:r>
              <w:rPr>
                <w:rFonts w:ascii="仿宋" w:hAnsi="仿宋" w:eastAsia="仿宋" w:cs="仿宋"/>
                <w:spacing w:val="-3"/>
                <w:sz w:val="18"/>
                <w:szCs w:val="18"/>
              </w:rPr>
              <w:t>”的基础网络延伸，直接响应了自治区“扩大农村公路通达深度</w:t>
            </w:r>
            <w:r>
              <w:rPr>
                <w:rFonts w:ascii="仿宋" w:hAnsi="仿宋" w:eastAsia="仿宋" w:cs="仿宋"/>
                <w:spacing w:val="-54"/>
                <w:sz w:val="18"/>
                <w:szCs w:val="18"/>
              </w:rPr>
              <w:t xml:space="preserve"> </w:t>
            </w:r>
            <w:r>
              <w:rPr>
                <w:rFonts w:ascii="仿宋" w:hAnsi="仿宋" w:eastAsia="仿宋" w:cs="仿宋"/>
                <w:spacing w:val="-3"/>
                <w:sz w:val="18"/>
                <w:szCs w:val="18"/>
              </w:rPr>
              <w:t>”的要求，符合“通硬化路</w:t>
            </w:r>
            <w:r>
              <w:rPr>
                <w:rFonts w:ascii="仿宋" w:hAnsi="仿宋" w:eastAsia="仿宋" w:cs="仿宋"/>
                <w:spacing w:val="-59"/>
                <w:sz w:val="18"/>
                <w:szCs w:val="18"/>
              </w:rPr>
              <w:t xml:space="preserve"> </w:t>
            </w:r>
            <w:r>
              <w:rPr>
                <w:rFonts w:ascii="仿宋" w:hAnsi="仿宋" w:eastAsia="仿宋" w:cs="仿宋"/>
                <w:spacing w:val="-3"/>
                <w:sz w:val="18"/>
                <w:szCs w:val="18"/>
              </w:rPr>
              <w:t>”的目标。</w:t>
            </w:r>
          </w:p>
        </w:tc>
        <w:tc>
          <w:tcPr>
            <w:tcW w:w="732" w:type="dxa"/>
            <w:tcBorders>
              <w:right w:val="single" w:color="000000" w:sz="6" w:space="0"/>
            </w:tcBorders>
            <w:vAlign w:val="top"/>
          </w:tcPr>
          <w:p w14:paraId="50C40312">
            <w:pPr>
              <w:spacing w:line="436" w:lineRule="auto"/>
              <w:rPr>
                <w:rFonts w:ascii="Arial"/>
                <w:sz w:val="21"/>
              </w:rPr>
            </w:pPr>
          </w:p>
          <w:p w14:paraId="5E49240F">
            <w:pPr>
              <w:spacing w:before="58" w:line="221" w:lineRule="auto"/>
              <w:ind w:left="195"/>
              <w:rPr>
                <w:rFonts w:ascii="仿宋" w:hAnsi="仿宋" w:eastAsia="仿宋" w:cs="仿宋"/>
                <w:sz w:val="18"/>
                <w:szCs w:val="18"/>
              </w:rPr>
            </w:pPr>
            <w:r>
              <w:rPr>
                <w:rFonts w:ascii="仿宋" w:hAnsi="仿宋" w:eastAsia="仿宋" w:cs="仿宋"/>
                <w:spacing w:val="-9"/>
                <w:sz w:val="18"/>
                <w:szCs w:val="18"/>
              </w:rPr>
              <w:t>符合</w:t>
            </w:r>
          </w:p>
        </w:tc>
      </w:tr>
      <w:tr w14:paraId="45FABF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1" w:hRule="atLeast"/>
        </w:trPr>
        <w:tc>
          <w:tcPr>
            <w:tcW w:w="1070" w:type="dxa"/>
            <w:vMerge w:val="continue"/>
            <w:tcBorders>
              <w:top w:val="nil"/>
              <w:left w:val="single" w:color="000000" w:sz="6" w:space="0"/>
              <w:bottom w:val="nil"/>
            </w:tcBorders>
            <w:vAlign w:val="top"/>
          </w:tcPr>
          <w:p w14:paraId="331468A6">
            <w:pPr>
              <w:rPr>
                <w:rFonts w:ascii="Arial"/>
                <w:sz w:val="21"/>
              </w:rPr>
            </w:pPr>
          </w:p>
        </w:tc>
        <w:tc>
          <w:tcPr>
            <w:tcW w:w="486" w:type="dxa"/>
            <w:vAlign w:val="top"/>
          </w:tcPr>
          <w:p w14:paraId="367404C7">
            <w:pPr>
              <w:spacing w:line="438" w:lineRule="auto"/>
              <w:rPr>
                <w:rFonts w:ascii="Arial"/>
                <w:sz w:val="21"/>
              </w:rPr>
            </w:pPr>
          </w:p>
          <w:p w14:paraId="7F919967">
            <w:pPr>
              <w:spacing w:before="59" w:line="236" w:lineRule="exact"/>
              <w:ind w:left="207"/>
              <w:rPr>
                <w:rFonts w:ascii="仿宋" w:hAnsi="仿宋" w:eastAsia="仿宋" w:cs="仿宋"/>
                <w:sz w:val="18"/>
                <w:szCs w:val="18"/>
              </w:rPr>
            </w:pPr>
            <w:r>
              <w:rPr>
                <w:rFonts w:ascii="仿宋" w:hAnsi="仿宋" w:eastAsia="仿宋" w:cs="仿宋"/>
                <w:position w:val="1"/>
                <w:sz w:val="18"/>
                <w:szCs w:val="18"/>
              </w:rPr>
              <w:t>2</w:t>
            </w:r>
          </w:p>
        </w:tc>
        <w:tc>
          <w:tcPr>
            <w:tcW w:w="3167" w:type="dxa"/>
            <w:vAlign w:val="top"/>
          </w:tcPr>
          <w:p w14:paraId="247E27E1">
            <w:pPr>
              <w:spacing w:before="34" w:line="231" w:lineRule="auto"/>
              <w:ind w:left="97" w:firstLine="13"/>
              <w:jc w:val="both"/>
              <w:rPr>
                <w:rFonts w:ascii="仿宋" w:hAnsi="仿宋" w:eastAsia="仿宋" w:cs="仿宋"/>
                <w:sz w:val="18"/>
                <w:szCs w:val="18"/>
              </w:rPr>
            </w:pPr>
            <w:r>
              <w:rPr>
                <w:rFonts w:ascii="仿宋" w:hAnsi="仿宋" w:eastAsia="仿宋" w:cs="仿宋"/>
                <w:spacing w:val="-4"/>
                <w:sz w:val="18"/>
                <w:szCs w:val="18"/>
              </w:rPr>
              <w:t>规划要求将“</w:t>
            </w:r>
            <w:r>
              <w:rPr>
                <w:rFonts w:ascii="仿宋" w:hAnsi="仿宋" w:eastAsia="仿宋" w:cs="仿宋"/>
                <w:spacing w:val="-56"/>
                <w:sz w:val="18"/>
                <w:szCs w:val="18"/>
              </w:rPr>
              <w:t xml:space="preserve"> </w:t>
            </w:r>
            <w:r>
              <w:rPr>
                <w:rFonts w:ascii="仿宋" w:hAnsi="仿宋" w:eastAsia="仿宋" w:cs="仿宋"/>
                <w:spacing w:val="-4"/>
                <w:sz w:val="18"/>
                <w:szCs w:val="18"/>
              </w:rPr>
              <w:t>乡镇通三级及以上公路</w:t>
            </w:r>
            <w:r>
              <w:rPr>
                <w:rFonts w:ascii="仿宋" w:hAnsi="仿宋" w:eastAsia="仿宋" w:cs="仿宋"/>
                <w:spacing w:val="-66"/>
                <w:sz w:val="18"/>
                <w:szCs w:val="18"/>
              </w:rPr>
              <w:t xml:space="preserve"> </w:t>
            </w:r>
            <w:r>
              <w:rPr>
                <w:rFonts w:ascii="仿宋" w:hAnsi="仿宋" w:eastAsia="仿宋" w:cs="仿宋"/>
                <w:spacing w:val="-4"/>
                <w:sz w:val="18"/>
                <w:szCs w:val="18"/>
              </w:rPr>
              <w:t>”</w:t>
            </w:r>
            <w:r>
              <w:rPr>
                <w:rFonts w:ascii="仿宋" w:hAnsi="仿宋" w:eastAsia="仿宋" w:cs="仿宋"/>
                <w:sz w:val="18"/>
                <w:szCs w:val="18"/>
              </w:rPr>
              <w:t xml:space="preserve"> </w:t>
            </w:r>
            <w:r>
              <w:rPr>
                <w:rFonts w:ascii="仿宋" w:hAnsi="仿宋" w:eastAsia="仿宋" w:cs="仿宋"/>
                <w:spacing w:val="-2"/>
                <w:sz w:val="18"/>
                <w:szCs w:val="18"/>
              </w:rPr>
              <w:t>“建制村通双车道公路</w:t>
            </w:r>
            <w:r>
              <w:rPr>
                <w:rFonts w:ascii="仿宋" w:hAnsi="仿宋" w:eastAsia="仿宋" w:cs="仿宋"/>
                <w:spacing w:val="-48"/>
                <w:sz w:val="18"/>
                <w:szCs w:val="18"/>
              </w:rPr>
              <w:t xml:space="preserve"> </w:t>
            </w:r>
            <w:r>
              <w:rPr>
                <w:rFonts w:ascii="仿宋" w:hAnsi="仿宋" w:eastAsia="仿宋" w:cs="仿宋"/>
                <w:spacing w:val="-2"/>
                <w:sz w:val="18"/>
                <w:szCs w:val="18"/>
              </w:rPr>
              <w:t>”作为骨干路</w:t>
            </w:r>
            <w:r>
              <w:rPr>
                <w:rFonts w:ascii="仿宋" w:hAnsi="仿宋" w:eastAsia="仿宋" w:cs="仿宋"/>
                <w:sz w:val="18"/>
                <w:szCs w:val="18"/>
              </w:rPr>
              <w:t>网升级目标，但同时明确“农村牧区</w:t>
            </w:r>
            <w:r>
              <w:rPr>
                <w:rFonts w:ascii="仿宋" w:hAnsi="仿宋" w:eastAsia="仿宋" w:cs="仿宋"/>
                <w:spacing w:val="3"/>
                <w:sz w:val="18"/>
                <w:szCs w:val="18"/>
              </w:rPr>
              <w:t xml:space="preserve"> </w:t>
            </w:r>
            <w:r>
              <w:rPr>
                <w:rFonts w:ascii="仿宋" w:hAnsi="仿宋" w:eastAsia="仿宋" w:cs="仿宋"/>
                <w:sz w:val="18"/>
                <w:szCs w:val="18"/>
              </w:rPr>
              <w:t>基础路网以四级公路为主，满足基本</w:t>
            </w:r>
            <w:r>
              <w:rPr>
                <w:rFonts w:ascii="仿宋" w:hAnsi="仿宋" w:eastAsia="仿宋" w:cs="仿宋"/>
                <w:spacing w:val="4"/>
                <w:sz w:val="18"/>
                <w:szCs w:val="18"/>
              </w:rPr>
              <w:t xml:space="preserve"> </w:t>
            </w:r>
            <w:r>
              <w:rPr>
                <w:rFonts w:ascii="仿宋" w:hAnsi="仿宋" w:eastAsia="仿宋" w:cs="仿宋"/>
                <w:spacing w:val="-3"/>
                <w:sz w:val="18"/>
                <w:szCs w:val="18"/>
              </w:rPr>
              <w:t>出行需求</w:t>
            </w:r>
            <w:r>
              <w:rPr>
                <w:rFonts w:ascii="仿宋" w:hAnsi="仿宋" w:eastAsia="仿宋" w:cs="仿宋"/>
                <w:spacing w:val="-66"/>
                <w:sz w:val="18"/>
                <w:szCs w:val="18"/>
              </w:rPr>
              <w:t xml:space="preserve"> </w:t>
            </w:r>
            <w:r>
              <w:rPr>
                <w:rFonts w:ascii="仿宋" w:hAnsi="仿宋" w:eastAsia="仿宋" w:cs="仿宋"/>
                <w:spacing w:val="-3"/>
                <w:sz w:val="18"/>
                <w:szCs w:val="18"/>
              </w:rPr>
              <w:t>”。</w:t>
            </w:r>
          </w:p>
        </w:tc>
        <w:tc>
          <w:tcPr>
            <w:tcW w:w="3608" w:type="dxa"/>
            <w:vAlign w:val="top"/>
          </w:tcPr>
          <w:p w14:paraId="18C0EAA9">
            <w:pPr>
              <w:spacing w:before="267" w:line="239" w:lineRule="auto"/>
              <w:ind w:left="116" w:right="99" w:firstLine="1"/>
              <w:jc w:val="both"/>
              <w:rPr>
                <w:rFonts w:ascii="仿宋" w:hAnsi="仿宋" w:eastAsia="仿宋" w:cs="仿宋"/>
                <w:sz w:val="18"/>
                <w:szCs w:val="18"/>
              </w:rPr>
            </w:pPr>
            <w:r>
              <w:rPr>
                <w:rFonts w:ascii="仿宋" w:hAnsi="仿宋" w:eastAsia="仿宋" w:cs="仿宋"/>
                <w:spacing w:val="-2"/>
                <w:sz w:val="18"/>
                <w:szCs w:val="18"/>
              </w:rPr>
              <w:t>本项目采用四级公路标准，属于农村牧区基</w:t>
            </w:r>
            <w:r>
              <w:rPr>
                <w:rFonts w:ascii="仿宋" w:hAnsi="仿宋" w:eastAsia="仿宋" w:cs="仿宋"/>
                <w:spacing w:val="-5"/>
                <w:sz w:val="18"/>
                <w:szCs w:val="18"/>
              </w:rPr>
              <w:t>础路网的合理技术等级，与</w:t>
            </w:r>
            <w:r>
              <w:rPr>
                <w:rFonts w:ascii="仿宋" w:hAnsi="仿宋" w:eastAsia="仿宋" w:cs="仿宋"/>
                <w:spacing w:val="-29"/>
                <w:sz w:val="18"/>
                <w:szCs w:val="18"/>
              </w:rPr>
              <w:t xml:space="preserve"> </w:t>
            </w:r>
            <w:r>
              <w:rPr>
                <w:rFonts w:ascii="仿宋" w:hAnsi="仿宋" w:eastAsia="仿宋" w:cs="仿宋"/>
                <w:spacing w:val="-5"/>
                <w:sz w:val="18"/>
                <w:szCs w:val="18"/>
              </w:rPr>
              <w:t>自治区“分级分</w:t>
            </w:r>
            <w:r>
              <w:rPr>
                <w:rFonts w:ascii="仿宋" w:hAnsi="仿宋" w:eastAsia="仿宋" w:cs="仿宋"/>
                <w:spacing w:val="-3"/>
                <w:sz w:val="18"/>
                <w:szCs w:val="18"/>
              </w:rPr>
              <w:t>类建设农村公路</w:t>
            </w:r>
            <w:r>
              <w:rPr>
                <w:rFonts w:ascii="仿宋" w:hAnsi="仿宋" w:eastAsia="仿宋" w:cs="仿宋"/>
                <w:spacing w:val="-61"/>
                <w:sz w:val="18"/>
                <w:szCs w:val="18"/>
              </w:rPr>
              <w:t xml:space="preserve"> </w:t>
            </w:r>
            <w:r>
              <w:rPr>
                <w:rFonts w:ascii="仿宋" w:hAnsi="仿宋" w:eastAsia="仿宋" w:cs="仿宋"/>
                <w:spacing w:val="-3"/>
                <w:sz w:val="18"/>
                <w:szCs w:val="18"/>
              </w:rPr>
              <w:t>”的思路一致。</w:t>
            </w:r>
          </w:p>
        </w:tc>
        <w:tc>
          <w:tcPr>
            <w:tcW w:w="732" w:type="dxa"/>
            <w:tcBorders>
              <w:right w:val="single" w:color="000000" w:sz="6" w:space="0"/>
            </w:tcBorders>
            <w:vAlign w:val="top"/>
          </w:tcPr>
          <w:p w14:paraId="28B3EA6F">
            <w:pPr>
              <w:spacing w:line="438" w:lineRule="auto"/>
              <w:rPr>
                <w:rFonts w:ascii="Arial"/>
                <w:sz w:val="21"/>
              </w:rPr>
            </w:pPr>
          </w:p>
          <w:p w14:paraId="1014D6FE">
            <w:pPr>
              <w:spacing w:before="58" w:line="221" w:lineRule="auto"/>
              <w:ind w:left="195"/>
              <w:rPr>
                <w:rFonts w:ascii="仿宋" w:hAnsi="仿宋" w:eastAsia="仿宋" w:cs="仿宋"/>
                <w:sz w:val="18"/>
                <w:szCs w:val="18"/>
              </w:rPr>
            </w:pPr>
            <w:r>
              <w:rPr>
                <w:rFonts w:ascii="仿宋" w:hAnsi="仿宋" w:eastAsia="仿宋" w:cs="仿宋"/>
                <w:spacing w:val="-9"/>
                <w:sz w:val="18"/>
                <w:szCs w:val="18"/>
              </w:rPr>
              <w:t>符合</w:t>
            </w:r>
          </w:p>
        </w:tc>
      </w:tr>
      <w:tr w14:paraId="129BB9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7" w:hRule="atLeast"/>
        </w:trPr>
        <w:tc>
          <w:tcPr>
            <w:tcW w:w="1070" w:type="dxa"/>
            <w:vMerge w:val="continue"/>
            <w:tcBorders>
              <w:top w:val="nil"/>
              <w:left w:val="single" w:color="000000" w:sz="6" w:space="0"/>
              <w:bottom w:val="nil"/>
            </w:tcBorders>
            <w:vAlign w:val="top"/>
          </w:tcPr>
          <w:p w14:paraId="39BFC86A">
            <w:pPr>
              <w:rPr>
                <w:rFonts w:ascii="Arial"/>
                <w:sz w:val="21"/>
              </w:rPr>
            </w:pPr>
          </w:p>
        </w:tc>
        <w:tc>
          <w:tcPr>
            <w:tcW w:w="486" w:type="dxa"/>
            <w:tcBorders>
              <w:bottom w:val="single" w:color="000000" w:sz="10" w:space="0"/>
            </w:tcBorders>
            <w:vAlign w:val="top"/>
          </w:tcPr>
          <w:p w14:paraId="1401FDA9">
            <w:pPr>
              <w:spacing w:line="324" w:lineRule="auto"/>
              <w:rPr>
                <w:rFonts w:ascii="Arial"/>
                <w:sz w:val="21"/>
              </w:rPr>
            </w:pPr>
          </w:p>
          <w:p w14:paraId="29CCF160">
            <w:pPr>
              <w:spacing w:before="58" w:line="241" w:lineRule="auto"/>
              <w:ind w:left="209"/>
              <w:rPr>
                <w:rFonts w:ascii="仿宋" w:hAnsi="仿宋" w:eastAsia="仿宋" w:cs="仿宋"/>
                <w:sz w:val="18"/>
                <w:szCs w:val="18"/>
              </w:rPr>
            </w:pPr>
            <w:r>
              <w:rPr>
                <w:rFonts w:ascii="仿宋" w:hAnsi="仿宋" w:eastAsia="仿宋" w:cs="仿宋"/>
                <w:sz w:val="18"/>
                <w:szCs w:val="18"/>
              </w:rPr>
              <w:t>3</w:t>
            </w:r>
          </w:p>
        </w:tc>
        <w:tc>
          <w:tcPr>
            <w:tcW w:w="3167" w:type="dxa"/>
            <w:tcBorders>
              <w:bottom w:val="single" w:color="000000" w:sz="10" w:space="0"/>
            </w:tcBorders>
            <w:vAlign w:val="top"/>
          </w:tcPr>
          <w:p w14:paraId="43A65CE7">
            <w:pPr>
              <w:spacing w:before="269" w:line="239" w:lineRule="auto"/>
              <w:ind w:left="113" w:right="105" w:firstLine="32"/>
              <w:rPr>
                <w:rFonts w:ascii="仿宋" w:hAnsi="仿宋" w:eastAsia="仿宋" w:cs="仿宋"/>
                <w:sz w:val="18"/>
                <w:szCs w:val="18"/>
              </w:rPr>
            </w:pPr>
            <w:r>
              <w:rPr>
                <w:rFonts w:ascii="仿宋" w:hAnsi="仿宋" w:eastAsia="仿宋" w:cs="仿宋"/>
                <w:spacing w:val="1"/>
                <w:sz w:val="18"/>
                <w:szCs w:val="18"/>
              </w:rPr>
              <w:t>自治区规划强调“农村公路要服务农</w:t>
            </w:r>
            <w:r>
              <w:rPr>
                <w:rFonts w:ascii="仿宋" w:hAnsi="仿宋" w:eastAsia="仿宋" w:cs="仿宋"/>
                <w:spacing w:val="-1"/>
                <w:sz w:val="18"/>
                <w:szCs w:val="18"/>
              </w:rPr>
              <w:t>牧民出行和特色产业发展</w:t>
            </w:r>
            <w:r>
              <w:rPr>
                <w:rFonts w:ascii="仿宋" w:hAnsi="仿宋" w:eastAsia="仿宋" w:cs="仿宋"/>
                <w:spacing w:val="-67"/>
                <w:sz w:val="18"/>
                <w:szCs w:val="18"/>
              </w:rPr>
              <w:t xml:space="preserve"> </w:t>
            </w:r>
            <w:r>
              <w:rPr>
                <w:rFonts w:ascii="仿宋" w:hAnsi="仿宋" w:eastAsia="仿宋" w:cs="仿宋"/>
                <w:spacing w:val="-1"/>
                <w:sz w:val="18"/>
                <w:szCs w:val="18"/>
              </w:rPr>
              <w:t>”，</w:t>
            </w:r>
          </w:p>
        </w:tc>
        <w:tc>
          <w:tcPr>
            <w:tcW w:w="3608" w:type="dxa"/>
            <w:tcBorders>
              <w:bottom w:val="single" w:color="000000" w:sz="10" w:space="0"/>
            </w:tcBorders>
            <w:vAlign w:val="top"/>
          </w:tcPr>
          <w:p w14:paraId="295807F9">
            <w:pPr>
              <w:spacing w:before="36" w:line="231" w:lineRule="auto"/>
              <w:ind w:left="117" w:right="99"/>
              <w:jc w:val="both"/>
              <w:rPr>
                <w:rFonts w:ascii="仿宋" w:hAnsi="仿宋" w:eastAsia="仿宋" w:cs="仿宋"/>
                <w:sz w:val="18"/>
                <w:szCs w:val="18"/>
              </w:rPr>
            </w:pPr>
            <w:r>
              <w:rPr>
                <w:rFonts w:ascii="仿宋" w:hAnsi="仿宋" w:eastAsia="仿宋" w:cs="仿宋"/>
                <w:spacing w:val="-2"/>
                <w:sz w:val="18"/>
                <w:szCs w:val="18"/>
              </w:rPr>
              <w:t>本项目途径居民散户，直接解决分散农户的出行问题，属于“保障基本民生的交通微循</w:t>
            </w:r>
            <w:r>
              <w:rPr>
                <w:rFonts w:ascii="仿宋" w:hAnsi="仿宋" w:eastAsia="仿宋" w:cs="仿宋"/>
                <w:spacing w:val="-5"/>
                <w:sz w:val="18"/>
                <w:szCs w:val="18"/>
              </w:rPr>
              <w:t>环</w:t>
            </w:r>
            <w:r>
              <w:rPr>
                <w:rFonts w:ascii="仿宋" w:hAnsi="仿宋" w:eastAsia="仿宋" w:cs="仿宋"/>
                <w:spacing w:val="-60"/>
                <w:sz w:val="18"/>
                <w:szCs w:val="18"/>
              </w:rPr>
              <w:t xml:space="preserve"> </w:t>
            </w:r>
            <w:r>
              <w:rPr>
                <w:rFonts w:ascii="仿宋" w:hAnsi="仿宋" w:eastAsia="仿宋" w:cs="仿宋"/>
                <w:spacing w:val="-5"/>
                <w:sz w:val="18"/>
                <w:szCs w:val="18"/>
              </w:rPr>
              <w:t>”，符合自治区“</w:t>
            </w:r>
            <w:r>
              <w:rPr>
                <w:rFonts w:ascii="仿宋" w:hAnsi="仿宋" w:eastAsia="仿宋" w:cs="仿宋"/>
                <w:spacing w:val="-60"/>
                <w:sz w:val="18"/>
                <w:szCs w:val="18"/>
              </w:rPr>
              <w:t xml:space="preserve"> </w:t>
            </w:r>
            <w:r>
              <w:rPr>
                <w:rFonts w:ascii="仿宋" w:hAnsi="仿宋" w:eastAsia="仿宋" w:cs="仿宋"/>
                <w:spacing w:val="-5"/>
                <w:sz w:val="18"/>
                <w:szCs w:val="18"/>
              </w:rPr>
              <w:t>以公路建设促进城乡基</w:t>
            </w:r>
            <w:r>
              <w:rPr>
                <w:rFonts w:ascii="仿宋" w:hAnsi="仿宋" w:eastAsia="仿宋" w:cs="仿宋"/>
                <w:spacing w:val="-3"/>
                <w:sz w:val="18"/>
                <w:szCs w:val="18"/>
              </w:rPr>
              <w:t>本公共服务均等化</w:t>
            </w:r>
            <w:r>
              <w:rPr>
                <w:rFonts w:ascii="仿宋" w:hAnsi="仿宋" w:eastAsia="仿宋" w:cs="仿宋"/>
                <w:spacing w:val="-64"/>
                <w:sz w:val="18"/>
                <w:szCs w:val="18"/>
              </w:rPr>
              <w:t xml:space="preserve"> </w:t>
            </w:r>
            <w:r>
              <w:rPr>
                <w:rFonts w:ascii="仿宋" w:hAnsi="仿宋" w:eastAsia="仿宋" w:cs="仿宋"/>
                <w:spacing w:val="-3"/>
                <w:sz w:val="18"/>
                <w:szCs w:val="18"/>
              </w:rPr>
              <w:t>”的导向。</w:t>
            </w:r>
          </w:p>
        </w:tc>
        <w:tc>
          <w:tcPr>
            <w:tcW w:w="732" w:type="dxa"/>
            <w:tcBorders>
              <w:bottom w:val="single" w:color="000000" w:sz="10" w:space="0"/>
              <w:right w:val="single" w:color="000000" w:sz="6" w:space="0"/>
            </w:tcBorders>
            <w:vAlign w:val="top"/>
          </w:tcPr>
          <w:p w14:paraId="107E8504">
            <w:pPr>
              <w:spacing w:line="323" w:lineRule="auto"/>
              <w:rPr>
                <w:rFonts w:ascii="Arial"/>
                <w:sz w:val="21"/>
              </w:rPr>
            </w:pPr>
          </w:p>
          <w:p w14:paraId="5AF1BE0F">
            <w:pPr>
              <w:spacing w:before="59" w:line="221" w:lineRule="auto"/>
              <w:ind w:left="195"/>
              <w:rPr>
                <w:rFonts w:ascii="仿宋" w:hAnsi="仿宋" w:eastAsia="仿宋" w:cs="仿宋"/>
                <w:sz w:val="18"/>
                <w:szCs w:val="18"/>
              </w:rPr>
            </w:pPr>
            <w:r>
              <w:rPr>
                <w:rFonts w:ascii="仿宋" w:hAnsi="仿宋" w:eastAsia="仿宋" w:cs="仿宋"/>
                <w:spacing w:val="-9"/>
                <w:sz w:val="18"/>
                <w:szCs w:val="18"/>
              </w:rPr>
              <w:t>符合</w:t>
            </w:r>
          </w:p>
        </w:tc>
      </w:tr>
      <w:tr w14:paraId="5EAA71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28" w:hRule="atLeast"/>
        </w:trPr>
        <w:tc>
          <w:tcPr>
            <w:tcW w:w="1070" w:type="dxa"/>
            <w:vMerge w:val="continue"/>
            <w:tcBorders>
              <w:top w:val="nil"/>
              <w:left w:val="single" w:color="000000" w:sz="6" w:space="0"/>
              <w:bottom w:val="nil"/>
            </w:tcBorders>
            <w:vAlign w:val="top"/>
          </w:tcPr>
          <w:p w14:paraId="5A83D77D">
            <w:pPr>
              <w:rPr>
                <w:rFonts w:ascii="Arial"/>
                <w:sz w:val="21"/>
              </w:rPr>
            </w:pPr>
          </w:p>
        </w:tc>
        <w:tc>
          <w:tcPr>
            <w:tcW w:w="7993" w:type="dxa"/>
            <w:gridSpan w:val="4"/>
            <w:tcBorders>
              <w:top w:val="single" w:color="000000" w:sz="10" w:space="0"/>
              <w:bottom w:val="single" w:color="000000" w:sz="10" w:space="0"/>
              <w:right w:val="single" w:color="000000" w:sz="6" w:space="0"/>
            </w:tcBorders>
            <w:vAlign w:val="top"/>
          </w:tcPr>
          <w:p w14:paraId="6315B8A7">
            <w:pPr>
              <w:spacing w:before="30" w:line="229" w:lineRule="auto"/>
              <w:ind w:left="438"/>
              <w:outlineLvl w:val="0"/>
              <w:rPr>
                <w:rFonts w:ascii="仿宋" w:hAnsi="仿宋" w:eastAsia="仿宋" w:cs="仿宋"/>
                <w:sz w:val="20"/>
                <w:szCs w:val="20"/>
              </w:rPr>
            </w:pPr>
            <w:r>
              <w:rPr>
                <w:rFonts w:ascii="仿宋" w:hAnsi="仿宋" w:eastAsia="仿宋" w:cs="仿宋"/>
                <w:b/>
                <w:bCs/>
                <w:spacing w:val="6"/>
                <w:sz w:val="20"/>
                <w:szCs w:val="20"/>
              </w:rPr>
              <w:t>3、与《准格尔旗综合交通运输发展规划》（2024-2028</w:t>
            </w:r>
            <w:r>
              <w:rPr>
                <w:rFonts w:ascii="仿宋" w:hAnsi="仿宋" w:eastAsia="仿宋" w:cs="仿宋"/>
                <w:spacing w:val="-14"/>
                <w:sz w:val="20"/>
                <w:szCs w:val="20"/>
              </w:rPr>
              <w:t xml:space="preserve"> </w:t>
            </w:r>
            <w:r>
              <w:rPr>
                <w:rFonts w:ascii="仿宋" w:hAnsi="仿宋" w:eastAsia="仿宋" w:cs="仿宋"/>
                <w:b/>
                <w:bCs/>
                <w:spacing w:val="6"/>
                <w:sz w:val="20"/>
                <w:szCs w:val="20"/>
              </w:rPr>
              <w:t>年）符合性分析</w:t>
            </w:r>
          </w:p>
          <w:p w14:paraId="5126E372">
            <w:pPr>
              <w:spacing w:before="159" w:line="229" w:lineRule="auto"/>
              <w:ind w:left="449"/>
              <w:rPr>
                <w:rFonts w:ascii="仿宋" w:hAnsi="仿宋" w:eastAsia="仿宋" w:cs="仿宋"/>
                <w:sz w:val="20"/>
                <w:szCs w:val="20"/>
              </w:rPr>
            </w:pPr>
            <w:r>
              <w:rPr>
                <w:rFonts w:ascii="仿宋" w:hAnsi="仿宋" w:eastAsia="仿宋" w:cs="仿宋"/>
                <w:spacing w:val="7"/>
                <w:sz w:val="20"/>
                <w:szCs w:val="20"/>
              </w:rPr>
              <w:t>与《准格尔旗综合交通运输发展规划》（2024-2028</w:t>
            </w:r>
            <w:r>
              <w:rPr>
                <w:rFonts w:ascii="仿宋" w:hAnsi="仿宋" w:eastAsia="仿宋" w:cs="仿宋"/>
                <w:spacing w:val="-16"/>
                <w:sz w:val="20"/>
                <w:szCs w:val="20"/>
              </w:rPr>
              <w:t xml:space="preserve"> </w:t>
            </w:r>
            <w:r>
              <w:rPr>
                <w:rFonts w:ascii="仿宋" w:hAnsi="仿宋" w:eastAsia="仿宋" w:cs="仿宋"/>
                <w:spacing w:val="7"/>
                <w:sz w:val="20"/>
                <w:szCs w:val="20"/>
              </w:rPr>
              <w:t>年）符合性分析见下表。</w:t>
            </w:r>
          </w:p>
          <w:p w14:paraId="61A0C4DF">
            <w:pPr>
              <w:spacing w:before="160" w:line="231" w:lineRule="auto"/>
              <w:ind w:left="946"/>
              <w:rPr>
                <w:rFonts w:ascii="仿宋" w:hAnsi="仿宋" w:eastAsia="仿宋" w:cs="仿宋"/>
                <w:sz w:val="20"/>
                <w:szCs w:val="20"/>
              </w:rPr>
            </w:pPr>
            <w:r>
              <w:rPr>
                <w:rFonts w:ascii="仿宋" w:hAnsi="仿宋" w:eastAsia="仿宋" w:cs="仿宋"/>
                <w:b/>
                <w:bCs/>
                <w:spacing w:val="6"/>
                <w:sz w:val="20"/>
                <w:szCs w:val="20"/>
              </w:rPr>
              <w:t>表1-4</w:t>
            </w:r>
            <w:r>
              <w:rPr>
                <w:rFonts w:ascii="仿宋" w:hAnsi="仿宋" w:eastAsia="仿宋" w:cs="仿宋"/>
                <w:spacing w:val="6"/>
                <w:sz w:val="20"/>
                <w:szCs w:val="20"/>
              </w:rPr>
              <w:t xml:space="preserve">    </w:t>
            </w:r>
            <w:r>
              <w:rPr>
                <w:rFonts w:ascii="仿宋" w:hAnsi="仿宋" w:eastAsia="仿宋" w:cs="仿宋"/>
                <w:b/>
                <w:bCs/>
                <w:spacing w:val="6"/>
                <w:sz w:val="20"/>
                <w:szCs w:val="20"/>
              </w:rPr>
              <w:t>与《准格尔旗综合交通运输发展规划》（2024-20</w:t>
            </w:r>
            <w:r>
              <w:rPr>
                <w:rFonts w:ascii="仿宋" w:hAnsi="仿宋" w:eastAsia="仿宋" w:cs="仿宋"/>
                <w:b/>
                <w:bCs/>
                <w:spacing w:val="5"/>
                <w:sz w:val="20"/>
                <w:szCs w:val="20"/>
              </w:rPr>
              <w:t>28年）</w:t>
            </w:r>
          </w:p>
        </w:tc>
      </w:tr>
      <w:tr w14:paraId="324790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9" w:hRule="atLeast"/>
        </w:trPr>
        <w:tc>
          <w:tcPr>
            <w:tcW w:w="1070" w:type="dxa"/>
            <w:vMerge w:val="continue"/>
            <w:tcBorders>
              <w:top w:val="nil"/>
              <w:left w:val="single" w:color="000000" w:sz="6" w:space="0"/>
              <w:bottom w:val="nil"/>
            </w:tcBorders>
            <w:vAlign w:val="top"/>
          </w:tcPr>
          <w:p w14:paraId="5B1A6DAF">
            <w:pPr>
              <w:rPr>
                <w:rFonts w:ascii="Arial"/>
                <w:sz w:val="21"/>
              </w:rPr>
            </w:pPr>
          </w:p>
        </w:tc>
        <w:tc>
          <w:tcPr>
            <w:tcW w:w="486" w:type="dxa"/>
            <w:tcBorders>
              <w:top w:val="single" w:color="000000" w:sz="10" w:space="0"/>
            </w:tcBorders>
            <w:vAlign w:val="top"/>
          </w:tcPr>
          <w:p w14:paraId="6D8CBF56">
            <w:pPr>
              <w:spacing w:before="28" w:line="195" w:lineRule="auto"/>
              <w:ind w:left="76"/>
              <w:rPr>
                <w:rFonts w:ascii="仿宋" w:hAnsi="仿宋" w:eastAsia="仿宋" w:cs="仿宋"/>
                <w:sz w:val="18"/>
                <w:szCs w:val="18"/>
              </w:rPr>
            </w:pPr>
            <w:r>
              <w:rPr>
                <w:rFonts w:ascii="仿宋" w:hAnsi="仿宋" w:eastAsia="仿宋" w:cs="仿宋"/>
                <w:spacing w:val="-6"/>
                <w:sz w:val="18"/>
                <w:szCs w:val="18"/>
              </w:rPr>
              <w:t>序号</w:t>
            </w:r>
          </w:p>
        </w:tc>
        <w:tc>
          <w:tcPr>
            <w:tcW w:w="3167" w:type="dxa"/>
            <w:tcBorders>
              <w:top w:val="single" w:color="000000" w:sz="10" w:space="0"/>
            </w:tcBorders>
            <w:vAlign w:val="top"/>
          </w:tcPr>
          <w:p w14:paraId="5FB81908">
            <w:pPr>
              <w:spacing w:before="28" w:line="195" w:lineRule="auto"/>
              <w:ind w:left="1229"/>
              <w:rPr>
                <w:rFonts w:ascii="仿宋" w:hAnsi="仿宋" w:eastAsia="仿宋" w:cs="仿宋"/>
                <w:sz w:val="18"/>
                <w:szCs w:val="18"/>
              </w:rPr>
            </w:pPr>
            <w:r>
              <w:rPr>
                <w:rFonts w:ascii="仿宋" w:hAnsi="仿宋" w:eastAsia="仿宋" w:cs="仿宋"/>
                <w:spacing w:val="-3"/>
                <w:sz w:val="18"/>
                <w:szCs w:val="18"/>
              </w:rPr>
              <w:t>规划要求</w:t>
            </w:r>
          </w:p>
        </w:tc>
        <w:tc>
          <w:tcPr>
            <w:tcW w:w="3608" w:type="dxa"/>
            <w:tcBorders>
              <w:top w:val="single" w:color="000000" w:sz="10" w:space="0"/>
            </w:tcBorders>
            <w:vAlign w:val="top"/>
          </w:tcPr>
          <w:p w14:paraId="5A39F714">
            <w:pPr>
              <w:spacing w:before="28" w:line="195" w:lineRule="auto"/>
              <w:ind w:left="1546"/>
              <w:rPr>
                <w:rFonts w:ascii="仿宋" w:hAnsi="仿宋" w:eastAsia="仿宋" w:cs="仿宋"/>
                <w:sz w:val="18"/>
                <w:szCs w:val="18"/>
              </w:rPr>
            </w:pPr>
            <w:r>
              <w:rPr>
                <w:rFonts w:ascii="仿宋" w:hAnsi="仿宋" w:eastAsia="仿宋" w:cs="仿宋"/>
                <w:spacing w:val="-5"/>
                <w:sz w:val="18"/>
                <w:szCs w:val="18"/>
              </w:rPr>
              <w:t>本项目</w:t>
            </w:r>
          </w:p>
        </w:tc>
        <w:tc>
          <w:tcPr>
            <w:tcW w:w="732" w:type="dxa"/>
            <w:tcBorders>
              <w:top w:val="single" w:color="000000" w:sz="10" w:space="0"/>
              <w:right w:val="single" w:color="000000" w:sz="6" w:space="0"/>
            </w:tcBorders>
            <w:vAlign w:val="top"/>
          </w:tcPr>
          <w:p w14:paraId="553CE685">
            <w:pPr>
              <w:spacing w:before="28" w:line="195" w:lineRule="auto"/>
              <w:ind w:left="104"/>
              <w:rPr>
                <w:rFonts w:ascii="仿宋" w:hAnsi="仿宋" w:eastAsia="仿宋" w:cs="仿宋"/>
                <w:sz w:val="18"/>
                <w:szCs w:val="18"/>
              </w:rPr>
            </w:pPr>
            <w:r>
              <w:rPr>
                <w:rFonts w:ascii="仿宋" w:hAnsi="仿宋" w:eastAsia="仿宋" w:cs="仿宋"/>
                <w:spacing w:val="-6"/>
                <w:sz w:val="18"/>
                <w:szCs w:val="18"/>
              </w:rPr>
              <w:t>符合性</w:t>
            </w:r>
          </w:p>
        </w:tc>
      </w:tr>
      <w:tr w14:paraId="725AD6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7" w:hRule="atLeast"/>
        </w:trPr>
        <w:tc>
          <w:tcPr>
            <w:tcW w:w="1070" w:type="dxa"/>
            <w:vMerge w:val="continue"/>
            <w:tcBorders>
              <w:top w:val="nil"/>
              <w:left w:val="single" w:color="000000" w:sz="6" w:space="0"/>
              <w:bottom w:val="nil"/>
            </w:tcBorders>
            <w:vAlign w:val="top"/>
          </w:tcPr>
          <w:p w14:paraId="276814CD">
            <w:pPr>
              <w:rPr>
                <w:rFonts w:ascii="Arial"/>
                <w:sz w:val="21"/>
              </w:rPr>
            </w:pPr>
          </w:p>
        </w:tc>
        <w:tc>
          <w:tcPr>
            <w:tcW w:w="486" w:type="dxa"/>
            <w:vAlign w:val="top"/>
          </w:tcPr>
          <w:p w14:paraId="4F0B9161">
            <w:pPr>
              <w:spacing w:line="327" w:lineRule="auto"/>
              <w:rPr>
                <w:rFonts w:ascii="Arial"/>
                <w:sz w:val="21"/>
              </w:rPr>
            </w:pPr>
          </w:p>
          <w:p w14:paraId="19C355F7">
            <w:pPr>
              <w:spacing w:before="58" w:line="237" w:lineRule="exact"/>
              <w:ind w:left="219"/>
              <w:rPr>
                <w:rFonts w:ascii="仿宋" w:hAnsi="仿宋" w:eastAsia="仿宋" w:cs="仿宋"/>
                <w:sz w:val="18"/>
                <w:szCs w:val="18"/>
              </w:rPr>
            </w:pPr>
            <w:r>
              <w:rPr>
                <w:rFonts w:ascii="仿宋" w:hAnsi="仿宋" w:eastAsia="仿宋" w:cs="仿宋"/>
                <w:position w:val="1"/>
                <w:sz w:val="18"/>
                <w:szCs w:val="18"/>
              </w:rPr>
              <w:t>1</w:t>
            </w:r>
          </w:p>
        </w:tc>
        <w:tc>
          <w:tcPr>
            <w:tcW w:w="3167" w:type="dxa"/>
            <w:vAlign w:val="top"/>
          </w:tcPr>
          <w:p w14:paraId="280E33B6">
            <w:pPr>
              <w:spacing w:before="37" w:line="228" w:lineRule="auto"/>
              <w:ind w:left="110" w:right="105" w:firstLine="1"/>
              <w:jc w:val="both"/>
              <w:rPr>
                <w:rFonts w:ascii="仿宋" w:hAnsi="仿宋" w:eastAsia="仿宋" w:cs="仿宋"/>
                <w:sz w:val="18"/>
                <w:szCs w:val="18"/>
              </w:rPr>
            </w:pPr>
            <w:r>
              <w:rPr>
                <w:rFonts w:ascii="仿宋" w:hAnsi="仿宋" w:eastAsia="仿宋" w:cs="仿宋"/>
                <w:spacing w:val="-2"/>
                <w:sz w:val="18"/>
                <w:szCs w:val="18"/>
              </w:rPr>
              <w:t>鄂尔多斯市规划将 “推进农村牧区公</w:t>
            </w:r>
            <w:r>
              <w:rPr>
                <w:rFonts w:ascii="仿宋" w:hAnsi="仿宋" w:eastAsia="仿宋" w:cs="仿宋"/>
                <w:spacing w:val="-10"/>
                <w:sz w:val="18"/>
                <w:szCs w:val="18"/>
              </w:rPr>
              <w:t>路提质增效</w:t>
            </w:r>
            <w:r>
              <w:rPr>
                <w:rFonts w:ascii="仿宋" w:hAnsi="仿宋" w:eastAsia="仿宋" w:cs="仿宋"/>
                <w:spacing w:val="-62"/>
                <w:sz w:val="18"/>
                <w:szCs w:val="18"/>
              </w:rPr>
              <w:t xml:space="preserve"> </w:t>
            </w:r>
            <w:r>
              <w:rPr>
                <w:rFonts w:ascii="仿宋" w:hAnsi="仿宋" w:eastAsia="仿宋" w:cs="仿宋"/>
                <w:spacing w:val="-10"/>
                <w:sz w:val="18"/>
                <w:szCs w:val="18"/>
              </w:rPr>
              <w:t>”作为重点任务，明确</w:t>
            </w:r>
            <w:r>
              <w:rPr>
                <w:rFonts w:ascii="仿宋" w:hAnsi="仿宋" w:eastAsia="仿宋" w:cs="仿宋"/>
                <w:spacing w:val="-63"/>
                <w:sz w:val="18"/>
                <w:szCs w:val="18"/>
              </w:rPr>
              <w:t xml:space="preserve"> </w:t>
            </w:r>
            <w:r>
              <w:rPr>
                <w:rFonts w:ascii="仿宋" w:hAnsi="仿宋" w:eastAsia="仿宋" w:cs="仿宋"/>
                <w:spacing w:val="-10"/>
                <w:sz w:val="18"/>
                <w:szCs w:val="18"/>
              </w:rPr>
              <w:t>“实</w:t>
            </w:r>
            <w:r>
              <w:rPr>
                <w:rFonts w:ascii="仿宋" w:hAnsi="仿宋" w:eastAsia="仿宋" w:cs="仿宋"/>
                <w:spacing w:val="-6"/>
                <w:sz w:val="18"/>
                <w:szCs w:val="18"/>
              </w:rPr>
              <w:t>现</w:t>
            </w:r>
            <w:r>
              <w:rPr>
                <w:rFonts w:ascii="仿宋" w:hAnsi="仿宋" w:eastAsia="仿宋" w:cs="仿宋"/>
                <w:spacing w:val="-31"/>
                <w:sz w:val="18"/>
                <w:szCs w:val="18"/>
              </w:rPr>
              <w:t xml:space="preserve"> </w:t>
            </w:r>
            <w:r>
              <w:rPr>
                <w:rFonts w:ascii="仿宋" w:hAnsi="仿宋" w:eastAsia="仿宋" w:cs="仿宋"/>
                <w:spacing w:val="-6"/>
                <w:sz w:val="18"/>
                <w:szCs w:val="18"/>
              </w:rPr>
              <w:t>85%的自然村通硬化路</w:t>
            </w:r>
            <w:r>
              <w:rPr>
                <w:rFonts w:ascii="仿宋" w:hAnsi="仿宋" w:eastAsia="仿宋" w:cs="仿宋"/>
                <w:spacing w:val="-66"/>
                <w:sz w:val="18"/>
                <w:szCs w:val="18"/>
              </w:rPr>
              <w:t xml:space="preserve"> </w:t>
            </w:r>
            <w:r>
              <w:rPr>
                <w:rFonts w:ascii="仿宋" w:hAnsi="仿宋" w:eastAsia="仿宋" w:cs="仿宋"/>
                <w:spacing w:val="-6"/>
                <w:sz w:val="18"/>
                <w:szCs w:val="18"/>
              </w:rPr>
              <w:t>”“农村牧区</w:t>
            </w:r>
            <w:r>
              <w:rPr>
                <w:rFonts w:ascii="仿宋" w:hAnsi="仿宋" w:eastAsia="仿宋" w:cs="仿宋"/>
                <w:spacing w:val="2"/>
                <w:sz w:val="18"/>
                <w:szCs w:val="18"/>
              </w:rPr>
              <w:t>公路优良中等路率达到83%以上</w:t>
            </w:r>
            <w:r>
              <w:rPr>
                <w:rFonts w:ascii="仿宋" w:hAnsi="仿宋" w:eastAsia="仿宋" w:cs="仿宋"/>
                <w:spacing w:val="-64"/>
                <w:sz w:val="18"/>
                <w:szCs w:val="18"/>
              </w:rPr>
              <w:t xml:space="preserve"> </w:t>
            </w:r>
            <w:r>
              <w:rPr>
                <w:rFonts w:ascii="仿宋" w:hAnsi="仿宋" w:eastAsia="仿宋" w:cs="仿宋"/>
                <w:spacing w:val="2"/>
                <w:sz w:val="18"/>
                <w:szCs w:val="18"/>
              </w:rPr>
              <w:t>”。</w:t>
            </w:r>
          </w:p>
        </w:tc>
        <w:tc>
          <w:tcPr>
            <w:tcW w:w="3608" w:type="dxa"/>
            <w:vAlign w:val="top"/>
          </w:tcPr>
          <w:p w14:paraId="4A42601D">
            <w:pPr>
              <w:spacing w:before="37" w:line="228" w:lineRule="auto"/>
              <w:ind w:left="116" w:firstLine="1"/>
              <w:jc w:val="both"/>
              <w:rPr>
                <w:rFonts w:ascii="仿宋" w:hAnsi="仿宋" w:eastAsia="仿宋" w:cs="仿宋"/>
                <w:sz w:val="18"/>
                <w:szCs w:val="18"/>
              </w:rPr>
            </w:pPr>
            <w:r>
              <w:rPr>
                <w:rFonts w:ascii="仿宋" w:hAnsi="仿宋" w:eastAsia="仿宋" w:cs="仿宋"/>
                <w:spacing w:val="-7"/>
                <w:sz w:val="18"/>
                <w:szCs w:val="18"/>
              </w:rPr>
              <w:t>本项目采用水泥混凝土路面，符合“硬化路</w:t>
            </w:r>
            <w:r>
              <w:rPr>
                <w:rFonts w:ascii="仿宋" w:hAnsi="仿宋" w:eastAsia="仿宋" w:cs="仿宋"/>
                <w:spacing w:val="-67"/>
                <w:sz w:val="18"/>
                <w:szCs w:val="18"/>
              </w:rPr>
              <w:t xml:space="preserve"> </w:t>
            </w:r>
            <w:r>
              <w:rPr>
                <w:rFonts w:ascii="仿宋" w:hAnsi="仿宋" w:eastAsia="仿宋" w:cs="仿宋"/>
                <w:spacing w:val="-7"/>
                <w:sz w:val="18"/>
                <w:szCs w:val="18"/>
              </w:rPr>
              <w:t>”标准，且属于规划中“通村民组道路</w:t>
            </w:r>
            <w:r>
              <w:rPr>
                <w:rFonts w:ascii="仿宋" w:hAnsi="仿宋" w:eastAsia="仿宋" w:cs="仿宋"/>
                <w:spacing w:val="-63"/>
                <w:sz w:val="18"/>
                <w:szCs w:val="18"/>
              </w:rPr>
              <w:t xml:space="preserve"> </w:t>
            </w:r>
            <w:r>
              <w:rPr>
                <w:rFonts w:ascii="仿宋" w:hAnsi="仿宋" w:eastAsia="仿宋" w:cs="仿宋"/>
                <w:spacing w:val="-7"/>
                <w:sz w:val="18"/>
                <w:szCs w:val="18"/>
              </w:rPr>
              <w:t>”的范</w:t>
            </w:r>
            <w:r>
              <w:rPr>
                <w:rFonts w:ascii="仿宋" w:hAnsi="仿宋" w:eastAsia="仿宋" w:cs="仿宋"/>
                <w:sz w:val="18"/>
                <w:szCs w:val="18"/>
              </w:rPr>
              <w:t xml:space="preserve"> </w:t>
            </w:r>
            <w:r>
              <w:rPr>
                <w:rFonts w:ascii="仿宋" w:hAnsi="仿宋" w:eastAsia="仿宋" w:cs="仿宋"/>
                <w:spacing w:val="-8"/>
                <w:sz w:val="18"/>
                <w:szCs w:val="18"/>
              </w:rPr>
              <w:t>畴，直接服务于自然村通达目标，是</w:t>
            </w:r>
            <w:r>
              <w:rPr>
                <w:rFonts w:hint="eastAsia" w:ascii="仿宋" w:hAnsi="仿宋" w:eastAsia="仿宋" w:cs="仿宋"/>
                <w:spacing w:val="-8"/>
                <w:sz w:val="18"/>
                <w:szCs w:val="18"/>
                <w:lang w:eastAsia="zh-CN"/>
              </w:rPr>
              <w:t>“</w:t>
            </w:r>
            <w:r>
              <w:rPr>
                <w:rFonts w:ascii="仿宋" w:hAnsi="仿宋" w:eastAsia="仿宋" w:cs="仿宋"/>
                <w:spacing w:val="-8"/>
                <w:sz w:val="18"/>
                <w:szCs w:val="18"/>
              </w:rPr>
              <w:t>四好</w:t>
            </w:r>
            <w:r>
              <w:rPr>
                <w:rFonts w:ascii="仿宋" w:hAnsi="仿宋" w:eastAsia="仿宋" w:cs="仿宋"/>
                <w:spacing w:val="-5"/>
                <w:sz w:val="18"/>
                <w:szCs w:val="18"/>
              </w:rPr>
              <w:t>农村路</w:t>
            </w:r>
            <w:r>
              <w:rPr>
                <w:rFonts w:hint="eastAsia" w:ascii="仿宋" w:hAnsi="仿宋" w:eastAsia="仿宋" w:cs="仿宋"/>
                <w:spacing w:val="-5"/>
                <w:sz w:val="18"/>
                <w:szCs w:val="18"/>
                <w:lang w:eastAsia="zh-CN"/>
              </w:rPr>
              <w:t>”</w:t>
            </w:r>
            <w:r>
              <w:rPr>
                <w:rFonts w:ascii="仿宋" w:hAnsi="仿宋" w:eastAsia="仿宋" w:cs="仿宋"/>
                <w:spacing w:val="-5"/>
                <w:sz w:val="18"/>
                <w:szCs w:val="18"/>
              </w:rPr>
              <w:t>建设的具体实践。</w:t>
            </w:r>
          </w:p>
        </w:tc>
        <w:tc>
          <w:tcPr>
            <w:tcW w:w="732" w:type="dxa"/>
            <w:tcBorders>
              <w:right w:val="single" w:color="000000" w:sz="6" w:space="0"/>
            </w:tcBorders>
            <w:vAlign w:val="top"/>
          </w:tcPr>
          <w:p w14:paraId="02396E8F">
            <w:pPr>
              <w:spacing w:line="327" w:lineRule="auto"/>
              <w:rPr>
                <w:rFonts w:ascii="Arial"/>
                <w:sz w:val="21"/>
              </w:rPr>
            </w:pPr>
          </w:p>
          <w:p w14:paraId="3C999B31">
            <w:pPr>
              <w:spacing w:before="58" w:line="221" w:lineRule="auto"/>
              <w:ind w:left="192"/>
              <w:rPr>
                <w:rFonts w:ascii="仿宋" w:hAnsi="仿宋" w:eastAsia="仿宋" w:cs="仿宋"/>
                <w:sz w:val="18"/>
                <w:szCs w:val="18"/>
              </w:rPr>
            </w:pPr>
            <w:r>
              <w:rPr>
                <w:rFonts w:ascii="仿宋" w:hAnsi="仿宋" w:eastAsia="仿宋" w:cs="仿宋"/>
                <w:spacing w:val="-9"/>
                <w:sz w:val="18"/>
                <w:szCs w:val="18"/>
              </w:rPr>
              <w:t>符合</w:t>
            </w:r>
          </w:p>
        </w:tc>
      </w:tr>
      <w:tr w14:paraId="342C70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1070" w:type="dxa"/>
            <w:vMerge w:val="continue"/>
            <w:tcBorders>
              <w:top w:val="nil"/>
              <w:left w:val="single" w:color="000000" w:sz="6" w:space="0"/>
              <w:bottom w:val="nil"/>
            </w:tcBorders>
            <w:vAlign w:val="top"/>
          </w:tcPr>
          <w:p w14:paraId="07180B18">
            <w:pPr>
              <w:rPr>
                <w:rFonts w:ascii="Arial"/>
                <w:sz w:val="21"/>
              </w:rPr>
            </w:pPr>
          </w:p>
        </w:tc>
        <w:tc>
          <w:tcPr>
            <w:tcW w:w="486" w:type="dxa"/>
            <w:vAlign w:val="top"/>
          </w:tcPr>
          <w:p w14:paraId="662D2845">
            <w:pPr>
              <w:spacing w:line="328" w:lineRule="auto"/>
              <w:rPr>
                <w:rFonts w:ascii="Arial"/>
                <w:sz w:val="21"/>
              </w:rPr>
            </w:pPr>
          </w:p>
          <w:p w14:paraId="291CE625">
            <w:pPr>
              <w:spacing w:before="59" w:line="236" w:lineRule="exact"/>
              <w:ind w:left="207"/>
              <w:rPr>
                <w:rFonts w:ascii="仿宋" w:hAnsi="仿宋" w:eastAsia="仿宋" w:cs="仿宋"/>
                <w:sz w:val="18"/>
                <w:szCs w:val="18"/>
              </w:rPr>
            </w:pPr>
            <w:r>
              <w:rPr>
                <w:rFonts w:ascii="仿宋" w:hAnsi="仿宋" w:eastAsia="仿宋" w:cs="仿宋"/>
                <w:position w:val="1"/>
                <w:sz w:val="18"/>
                <w:szCs w:val="18"/>
              </w:rPr>
              <w:t>2</w:t>
            </w:r>
          </w:p>
        </w:tc>
        <w:tc>
          <w:tcPr>
            <w:tcW w:w="3167" w:type="dxa"/>
            <w:vAlign w:val="top"/>
          </w:tcPr>
          <w:p w14:paraId="1B363371">
            <w:pPr>
              <w:spacing w:before="42" w:line="227" w:lineRule="auto"/>
              <w:ind w:left="110" w:right="105" w:firstLine="1"/>
              <w:jc w:val="both"/>
              <w:rPr>
                <w:rFonts w:ascii="仿宋" w:hAnsi="仿宋" w:eastAsia="仿宋" w:cs="仿宋"/>
                <w:sz w:val="18"/>
                <w:szCs w:val="18"/>
              </w:rPr>
            </w:pPr>
            <w:r>
              <w:rPr>
                <w:rFonts w:ascii="仿宋" w:hAnsi="仿宋" w:eastAsia="仿宋" w:cs="仿宋"/>
                <w:spacing w:val="4"/>
                <w:sz w:val="18"/>
                <w:szCs w:val="18"/>
              </w:rPr>
              <w:t>鄂尔多斯市规划明确“农村牧区基础路网以四级公路为主，设计速度适配</w:t>
            </w:r>
            <w:r>
              <w:rPr>
                <w:rFonts w:ascii="仿宋" w:hAnsi="仿宋" w:eastAsia="仿宋" w:cs="仿宋"/>
                <w:spacing w:val="-2"/>
                <w:sz w:val="18"/>
                <w:szCs w:val="18"/>
              </w:rPr>
              <w:t>乡村出行需求（20-40km/h）”“优先</w:t>
            </w:r>
            <w:r>
              <w:rPr>
                <w:rFonts w:ascii="仿宋" w:hAnsi="仿宋" w:eastAsia="仿宋" w:cs="仿宋"/>
                <w:spacing w:val="-1"/>
                <w:sz w:val="18"/>
                <w:szCs w:val="18"/>
              </w:rPr>
              <w:t>采用沥青或水泥路面</w:t>
            </w:r>
            <w:r>
              <w:rPr>
                <w:rFonts w:ascii="仿宋" w:hAnsi="仿宋" w:eastAsia="仿宋" w:cs="仿宋"/>
                <w:spacing w:val="-66"/>
                <w:sz w:val="18"/>
                <w:szCs w:val="18"/>
              </w:rPr>
              <w:t xml:space="preserve"> </w:t>
            </w:r>
            <w:r>
              <w:rPr>
                <w:rFonts w:ascii="仿宋" w:hAnsi="仿宋" w:eastAsia="仿宋" w:cs="仿宋"/>
                <w:spacing w:val="-1"/>
                <w:sz w:val="18"/>
                <w:szCs w:val="18"/>
              </w:rPr>
              <w:t>”。</w:t>
            </w:r>
          </w:p>
        </w:tc>
        <w:tc>
          <w:tcPr>
            <w:tcW w:w="3608" w:type="dxa"/>
            <w:vAlign w:val="top"/>
          </w:tcPr>
          <w:p w14:paraId="5D557D2D">
            <w:pPr>
              <w:spacing w:before="42" w:line="227" w:lineRule="auto"/>
              <w:ind w:left="119" w:right="99" w:hanging="1"/>
              <w:jc w:val="both"/>
              <w:rPr>
                <w:rFonts w:ascii="仿宋" w:hAnsi="仿宋" w:eastAsia="仿宋" w:cs="仿宋"/>
                <w:sz w:val="18"/>
                <w:szCs w:val="18"/>
              </w:rPr>
            </w:pPr>
            <w:r>
              <w:rPr>
                <w:rFonts w:ascii="仿宋" w:hAnsi="仿宋" w:eastAsia="仿宋" w:cs="仿宋"/>
                <w:spacing w:val="24"/>
                <w:sz w:val="18"/>
                <w:szCs w:val="18"/>
              </w:rPr>
              <w:t>本项目参照四级公路标准</w:t>
            </w:r>
            <w:r>
              <w:rPr>
                <w:rFonts w:ascii="仿宋" w:hAnsi="仿宋" w:eastAsia="仿宋" w:cs="仿宋"/>
                <w:spacing w:val="-17"/>
                <w:sz w:val="18"/>
                <w:szCs w:val="18"/>
              </w:rPr>
              <w:t xml:space="preserve"> </w:t>
            </w:r>
            <w:r>
              <w:rPr>
                <w:rFonts w:ascii="仿宋" w:hAnsi="仿宋" w:eastAsia="仿宋" w:cs="仿宋"/>
                <w:spacing w:val="24"/>
                <w:sz w:val="18"/>
                <w:szCs w:val="18"/>
              </w:rPr>
              <w:t>、</w:t>
            </w:r>
            <w:r>
              <w:rPr>
                <w:rFonts w:ascii="仿宋" w:hAnsi="仿宋" w:eastAsia="仿宋" w:cs="仿宋"/>
                <w:spacing w:val="-43"/>
                <w:sz w:val="18"/>
                <w:szCs w:val="18"/>
              </w:rPr>
              <w:t xml:space="preserve"> </w:t>
            </w:r>
            <w:r>
              <w:rPr>
                <w:rFonts w:ascii="仿宋" w:hAnsi="仿宋" w:eastAsia="仿宋" w:cs="仿宋"/>
                <w:spacing w:val="24"/>
                <w:sz w:val="18"/>
                <w:szCs w:val="18"/>
              </w:rPr>
              <w:t>设计速度</w:t>
            </w:r>
            <w:r>
              <w:rPr>
                <w:rFonts w:ascii="仿宋" w:hAnsi="仿宋" w:eastAsia="仿宋" w:cs="仿宋"/>
                <w:spacing w:val="-2"/>
                <w:sz w:val="18"/>
                <w:szCs w:val="18"/>
              </w:rPr>
              <w:t>15km/h、采用水泥混凝土路面，完全匹配规划对农村低等级道路的技术要求，属于“符</w:t>
            </w:r>
            <w:r>
              <w:rPr>
                <w:rFonts w:ascii="仿宋" w:hAnsi="仿宋" w:eastAsia="仿宋" w:cs="仿宋"/>
                <w:spacing w:val="-1"/>
                <w:sz w:val="18"/>
                <w:szCs w:val="18"/>
              </w:rPr>
              <w:t>合地方实际的合理建设标准</w:t>
            </w:r>
            <w:r>
              <w:rPr>
                <w:rFonts w:ascii="仿宋" w:hAnsi="仿宋" w:eastAsia="仿宋" w:cs="仿宋"/>
                <w:spacing w:val="-66"/>
                <w:sz w:val="18"/>
                <w:szCs w:val="18"/>
              </w:rPr>
              <w:t xml:space="preserve"> </w:t>
            </w:r>
            <w:r>
              <w:rPr>
                <w:rFonts w:ascii="仿宋" w:hAnsi="仿宋" w:eastAsia="仿宋" w:cs="仿宋"/>
                <w:spacing w:val="-1"/>
                <w:sz w:val="18"/>
                <w:szCs w:val="18"/>
              </w:rPr>
              <w:t>”。</w:t>
            </w:r>
          </w:p>
        </w:tc>
        <w:tc>
          <w:tcPr>
            <w:tcW w:w="732" w:type="dxa"/>
            <w:tcBorders>
              <w:right w:val="single" w:color="000000" w:sz="6" w:space="0"/>
            </w:tcBorders>
            <w:vAlign w:val="top"/>
          </w:tcPr>
          <w:p w14:paraId="2920E781">
            <w:pPr>
              <w:spacing w:line="328" w:lineRule="auto"/>
              <w:rPr>
                <w:rFonts w:ascii="Arial"/>
                <w:sz w:val="21"/>
              </w:rPr>
            </w:pPr>
          </w:p>
          <w:p w14:paraId="1BC8DC5C">
            <w:pPr>
              <w:spacing w:before="59" w:line="221" w:lineRule="auto"/>
              <w:ind w:left="192"/>
              <w:rPr>
                <w:rFonts w:ascii="仿宋" w:hAnsi="仿宋" w:eastAsia="仿宋" w:cs="仿宋"/>
                <w:sz w:val="18"/>
                <w:szCs w:val="18"/>
              </w:rPr>
            </w:pPr>
            <w:r>
              <w:rPr>
                <w:rFonts w:ascii="仿宋" w:hAnsi="仿宋" w:eastAsia="仿宋" w:cs="仿宋"/>
                <w:spacing w:val="-9"/>
                <w:sz w:val="18"/>
                <w:szCs w:val="18"/>
              </w:rPr>
              <w:t>符合</w:t>
            </w:r>
          </w:p>
        </w:tc>
      </w:tr>
      <w:tr w14:paraId="465878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3" w:hRule="atLeast"/>
        </w:trPr>
        <w:tc>
          <w:tcPr>
            <w:tcW w:w="1070" w:type="dxa"/>
            <w:vMerge w:val="continue"/>
            <w:tcBorders>
              <w:top w:val="nil"/>
              <w:left w:val="single" w:color="000000" w:sz="6" w:space="0"/>
              <w:bottom w:val="single" w:color="000000" w:sz="6" w:space="0"/>
            </w:tcBorders>
            <w:vAlign w:val="top"/>
          </w:tcPr>
          <w:p w14:paraId="5F68F123">
            <w:pPr>
              <w:rPr>
                <w:rFonts w:ascii="Arial"/>
                <w:sz w:val="21"/>
              </w:rPr>
            </w:pPr>
          </w:p>
        </w:tc>
        <w:tc>
          <w:tcPr>
            <w:tcW w:w="486" w:type="dxa"/>
            <w:tcBorders>
              <w:bottom w:val="single" w:color="000000" w:sz="6" w:space="0"/>
            </w:tcBorders>
            <w:vAlign w:val="top"/>
          </w:tcPr>
          <w:p w14:paraId="4C929E18">
            <w:pPr>
              <w:spacing w:line="445" w:lineRule="auto"/>
              <w:rPr>
                <w:rFonts w:ascii="Arial"/>
                <w:sz w:val="21"/>
              </w:rPr>
            </w:pPr>
          </w:p>
          <w:p w14:paraId="61AAF836">
            <w:pPr>
              <w:spacing w:before="59" w:line="241" w:lineRule="auto"/>
              <w:ind w:left="209"/>
              <w:rPr>
                <w:rFonts w:ascii="仿宋" w:hAnsi="仿宋" w:eastAsia="仿宋" w:cs="仿宋"/>
                <w:sz w:val="18"/>
                <w:szCs w:val="18"/>
              </w:rPr>
            </w:pPr>
            <w:r>
              <w:rPr>
                <w:rFonts w:ascii="仿宋" w:hAnsi="仿宋" w:eastAsia="仿宋" w:cs="仿宋"/>
                <w:sz w:val="18"/>
                <w:szCs w:val="18"/>
              </w:rPr>
              <w:t>3</w:t>
            </w:r>
          </w:p>
        </w:tc>
        <w:tc>
          <w:tcPr>
            <w:tcW w:w="3167" w:type="dxa"/>
            <w:tcBorders>
              <w:bottom w:val="single" w:color="000000" w:sz="6" w:space="0"/>
            </w:tcBorders>
            <w:vAlign w:val="top"/>
          </w:tcPr>
          <w:p w14:paraId="0809FC13">
            <w:pPr>
              <w:spacing w:before="273" w:line="239" w:lineRule="auto"/>
              <w:ind w:left="111" w:right="105"/>
              <w:jc w:val="both"/>
              <w:rPr>
                <w:rFonts w:ascii="仿宋" w:hAnsi="仿宋" w:eastAsia="仿宋" w:cs="仿宋"/>
                <w:sz w:val="18"/>
                <w:szCs w:val="18"/>
              </w:rPr>
            </w:pPr>
            <w:r>
              <w:rPr>
                <w:rFonts w:ascii="仿宋" w:hAnsi="仿宋" w:eastAsia="仿宋" w:cs="仿宋"/>
                <w:spacing w:val="4"/>
                <w:sz w:val="18"/>
                <w:szCs w:val="18"/>
              </w:rPr>
              <w:t>鄂尔多斯市规划强调“农村公路建设需兼顾生态保护，落实边坡治理、植</w:t>
            </w:r>
            <w:r>
              <w:rPr>
                <w:rFonts w:ascii="仿宋" w:hAnsi="仿宋" w:eastAsia="仿宋" w:cs="仿宋"/>
                <w:spacing w:val="-2"/>
                <w:sz w:val="18"/>
                <w:szCs w:val="18"/>
              </w:rPr>
              <w:t>被恢复等措施</w:t>
            </w:r>
            <w:r>
              <w:rPr>
                <w:rFonts w:ascii="仿宋" w:hAnsi="仿宋" w:eastAsia="仿宋" w:cs="仿宋"/>
                <w:spacing w:val="-62"/>
                <w:sz w:val="18"/>
                <w:szCs w:val="18"/>
              </w:rPr>
              <w:t xml:space="preserve"> </w:t>
            </w:r>
            <w:r>
              <w:rPr>
                <w:rFonts w:ascii="仿宋" w:hAnsi="仿宋" w:eastAsia="仿宋" w:cs="仿宋"/>
                <w:spacing w:val="-2"/>
                <w:sz w:val="18"/>
                <w:szCs w:val="18"/>
              </w:rPr>
              <w:t>”。</w:t>
            </w:r>
          </w:p>
        </w:tc>
        <w:tc>
          <w:tcPr>
            <w:tcW w:w="3608" w:type="dxa"/>
            <w:tcBorders>
              <w:bottom w:val="single" w:color="000000" w:sz="6" w:space="0"/>
            </w:tcBorders>
            <w:vAlign w:val="top"/>
          </w:tcPr>
          <w:p w14:paraId="2EE08AF7">
            <w:pPr>
              <w:spacing w:before="42" w:line="238" w:lineRule="auto"/>
              <w:ind w:left="116" w:right="99" w:firstLine="1"/>
              <w:jc w:val="both"/>
              <w:rPr>
                <w:rFonts w:ascii="仿宋" w:hAnsi="仿宋" w:eastAsia="仿宋" w:cs="仿宋"/>
                <w:sz w:val="18"/>
                <w:szCs w:val="18"/>
              </w:rPr>
            </w:pPr>
            <w:r>
              <w:rPr>
                <w:rFonts w:ascii="仿宋" w:hAnsi="仿宋" w:eastAsia="仿宋" w:cs="仿宋"/>
                <w:spacing w:val="-2"/>
                <w:sz w:val="18"/>
                <w:szCs w:val="18"/>
              </w:rPr>
              <w:t>本项目规模小、影响范围有限，若建设中落</w:t>
            </w:r>
            <w:r>
              <w:rPr>
                <w:rFonts w:ascii="仿宋" w:hAnsi="仿宋" w:eastAsia="仿宋" w:cs="仿宋"/>
                <w:spacing w:val="-3"/>
                <w:sz w:val="18"/>
                <w:szCs w:val="18"/>
              </w:rPr>
              <w:t>实基础生态防护措施，可符合规划“</w:t>
            </w:r>
            <w:r>
              <w:rPr>
                <w:rFonts w:ascii="仿宋" w:hAnsi="仿宋" w:eastAsia="仿宋" w:cs="仿宋"/>
                <w:spacing w:val="-67"/>
                <w:sz w:val="18"/>
                <w:szCs w:val="18"/>
              </w:rPr>
              <w:t xml:space="preserve"> </w:t>
            </w:r>
            <w:r>
              <w:rPr>
                <w:rFonts w:ascii="仿宋" w:hAnsi="仿宋" w:eastAsia="仿宋" w:cs="仿宋"/>
                <w:spacing w:val="-3"/>
                <w:sz w:val="18"/>
                <w:szCs w:val="18"/>
              </w:rPr>
              <w:t>生态优先、绿色发展</w:t>
            </w:r>
            <w:r>
              <w:rPr>
                <w:rFonts w:ascii="仿宋" w:hAnsi="仿宋" w:eastAsia="仿宋" w:cs="仿宋"/>
                <w:spacing w:val="-67"/>
                <w:sz w:val="18"/>
                <w:szCs w:val="18"/>
              </w:rPr>
              <w:t xml:space="preserve"> </w:t>
            </w:r>
            <w:r>
              <w:rPr>
                <w:rFonts w:ascii="仿宋" w:hAnsi="仿宋" w:eastAsia="仿宋" w:cs="仿宋"/>
                <w:spacing w:val="-3"/>
                <w:sz w:val="18"/>
                <w:szCs w:val="18"/>
              </w:rPr>
              <w:t>”的原则；同时，项目服务分</w:t>
            </w:r>
            <w:r>
              <w:rPr>
                <w:rFonts w:ascii="仿宋" w:hAnsi="仿宋" w:eastAsia="仿宋" w:cs="仿宋"/>
                <w:spacing w:val="-2"/>
                <w:sz w:val="18"/>
                <w:szCs w:val="18"/>
              </w:rPr>
              <w:t>散居民，与规划“提升农村基础设施服务能</w:t>
            </w:r>
            <w:r>
              <w:rPr>
                <w:rFonts w:ascii="仿宋" w:hAnsi="仿宋" w:eastAsia="仿宋" w:cs="仿宋"/>
                <w:spacing w:val="-3"/>
                <w:sz w:val="18"/>
                <w:szCs w:val="18"/>
              </w:rPr>
              <w:t>力，支撑城乡融合</w:t>
            </w:r>
            <w:r>
              <w:rPr>
                <w:rFonts w:ascii="仿宋" w:hAnsi="仿宋" w:eastAsia="仿宋" w:cs="仿宋"/>
                <w:spacing w:val="-52"/>
                <w:sz w:val="18"/>
                <w:szCs w:val="18"/>
              </w:rPr>
              <w:t xml:space="preserve"> </w:t>
            </w:r>
            <w:r>
              <w:rPr>
                <w:rFonts w:ascii="仿宋" w:hAnsi="仿宋" w:eastAsia="仿宋" w:cs="仿宋"/>
                <w:spacing w:val="-3"/>
                <w:sz w:val="18"/>
                <w:szCs w:val="18"/>
              </w:rPr>
              <w:t>”的目标高度契合。</w:t>
            </w:r>
          </w:p>
        </w:tc>
        <w:tc>
          <w:tcPr>
            <w:tcW w:w="732" w:type="dxa"/>
            <w:tcBorders>
              <w:bottom w:val="single" w:color="000000" w:sz="6" w:space="0"/>
              <w:right w:val="single" w:color="000000" w:sz="6" w:space="0"/>
            </w:tcBorders>
            <w:vAlign w:val="top"/>
          </w:tcPr>
          <w:p w14:paraId="3276B66C">
            <w:pPr>
              <w:spacing w:line="445" w:lineRule="auto"/>
              <w:rPr>
                <w:rFonts w:ascii="Arial"/>
                <w:sz w:val="21"/>
              </w:rPr>
            </w:pPr>
          </w:p>
          <w:p w14:paraId="0B1A7CBB">
            <w:pPr>
              <w:spacing w:before="59" w:line="221" w:lineRule="auto"/>
              <w:ind w:left="192"/>
              <w:rPr>
                <w:rFonts w:ascii="仿宋" w:hAnsi="仿宋" w:eastAsia="仿宋" w:cs="仿宋"/>
                <w:sz w:val="18"/>
                <w:szCs w:val="18"/>
              </w:rPr>
            </w:pPr>
            <w:r>
              <w:rPr>
                <w:rFonts w:ascii="仿宋" w:hAnsi="仿宋" w:eastAsia="仿宋" w:cs="仿宋"/>
                <w:spacing w:val="-9"/>
                <w:sz w:val="18"/>
                <w:szCs w:val="18"/>
              </w:rPr>
              <w:t>符合</w:t>
            </w:r>
          </w:p>
        </w:tc>
      </w:tr>
    </w:tbl>
    <w:p w14:paraId="227D6850">
      <w:pPr>
        <w:pStyle w:val="2"/>
        <w:rPr>
          <w:sz w:val="21"/>
        </w:rPr>
      </w:pPr>
    </w:p>
    <w:p w14:paraId="2C583C63">
      <w:pPr>
        <w:rPr>
          <w:sz w:val="21"/>
          <w:szCs w:val="21"/>
        </w:rPr>
        <w:sectPr>
          <w:footerReference r:id="rId10" w:type="default"/>
          <w:pgSz w:w="11906" w:h="16839"/>
          <w:pgMar w:top="400" w:right="1306" w:bottom="1504" w:left="1521" w:header="0" w:footer="1342" w:gutter="0"/>
          <w:cols w:space="720" w:num="1"/>
        </w:sectPr>
      </w:pPr>
    </w:p>
    <w:p w14:paraId="3131270F">
      <w:pPr>
        <w:spacing w:before="19"/>
      </w:pPr>
    </w:p>
    <w:p w14:paraId="210EB2BA">
      <w:pPr>
        <w:spacing w:before="19"/>
      </w:pPr>
    </w:p>
    <w:p w14:paraId="7E75FC7D">
      <w:pPr>
        <w:spacing w:before="19"/>
      </w:pPr>
    </w:p>
    <w:p w14:paraId="64342A62">
      <w:pPr>
        <w:spacing w:before="18"/>
      </w:pPr>
    </w:p>
    <w:p w14:paraId="11E3024D">
      <w:pPr>
        <w:spacing w:before="18"/>
      </w:pPr>
    </w:p>
    <w:tbl>
      <w:tblPr>
        <w:tblStyle w:val="5"/>
        <w:tblW w:w="9063"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70"/>
        <w:gridCol w:w="818"/>
        <w:gridCol w:w="3573"/>
        <w:gridCol w:w="2806"/>
        <w:gridCol w:w="796"/>
      </w:tblGrid>
      <w:tr w14:paraId="43C926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3" w:hRule="atLeast"/>
        </w:trPr>
        <w:tc>
          <w:tcPr>
            <w:tcW w:w="1070" w:type="dxa"/>
            <w:vMerge w:val="restart"/>
            <w:tcBorders>
              <w:top w:val="single" w:color="000000" w:sz="6" w:space="0"/>
              <w:left w:val="single" w:color="000000" w:sz="6" w:space="0"/>
              <w:bottom w:val="nil"/>
            </w:tcBorders>
            <w:vAlign w:val="top"/>
          </w:tcPr>
          <w:p w14:paraId="52BD8853">
            <w:pPr>
              <w:rPr>
                <w:rFonts w:ascii="Arial"/>
                <w:sz w:val="21"/>
              </w:rPr>
            </w:pPr>
          </w:p>
        </w:tc>
        <w:tc>
          <w:tcPr>
            <w:tcW w:w="7993" w:type="dxa"/>
            <w:gridSpan w:val="4"/>
            <w:tcBorders>
              <w:top w:val="single" w:color="000000" w:sz="6" w:space="0"/>
              <w:bottom w:val="single" w:color="000000" w:sz="10" w:space="0"/>
              <w:right w:val="single" w:color="000000" w:sz="6" w:space="0"/>
            </w:tcBorders>
            <w:vAlign w:val="top"/>
          </w:tcPr>
          <w:p w14:paraId="7DA30AC4">
            <w:pPr>
              <w:spacing w:before="41" w:line="376" w:lineRule="auto"/>
              <w:ind w:left="26" w:firstLine="403"/>
              <w:outlineLvl w:val="0"/>
              <w:rPr>
                <w:rFonts w:ascii="仿宋" w:hAnsi="仿宋" w:eastAsia="仿宋" w:cs="仿宋"/>
                <w:sz w:val="20"/>
                <w:szCs w:val="20"/>
              </w:rPr>
            </w:pPr>
            <w:r>
              <w:rPr>
                <w:rFonts w:ascii="仿宋" w:hAnsi="仿宋" w:eastAsia="仿宋" w:cs="仿宋"/>
                <w:b/>
                <w:bCs/>
                <w:spacing w:val="4"/>
                <w:sz w:val="20"/>
                <w:szCs w:val="20"/>
              </w:rPr>
              <w:t>4、与《内蒙古自治区“十四五”公路水路交通运输发展规划环境影响评价</w:t>
            </w:r>
            <w:r>
              <w:rPr>
                <w:rFonts w:ascii="仿宋" w:hAnsi="仿宋" w:eastAsia="仿宋" w:cs="仿宋"/>
                <w:b/>
                <w:bCs/>
                <w:spacing w:val="3"/>
                <w:sz w:val="20"/>
                <w:szCs w:val="20"/>
              </w:rPr>
              <w:t>报告书》</w:t>
            </w:r>
            <w:r>
              <w:rPr>
                <w:rFonts w:ascii="仿宋" w:hAnsi="仿宋" w:eastAsia="仿宋" w:cs="仿宋"/>
                <w:b/>
                <w:bCs/>
                <w:spacing w:val="2"/>
                <w:sz w:val="20"/>
                <w:szCs w:val="20"/>
              </w:rPr>
              <w:t>符合性分析</w:t>
            </w:r>
          </w:p>
          <w:p w14:paraId="0602737C">
            <w:pPr>
              <w:spacing w:before="1" w:line="376" w:lineRule="auto"/>
              <w:ind w:left="27" w:right="12" w:firstLine="422"/>
              <w:rPr>
                <w:rFonts w:ascii="仿宋" w:hAnsi="仿宋" w:eastAsia="仿宋" w:cs="仿宋"/>
                <w:sz w:val="20"/>
                <w:szCs w:val="20"/>
              </w:rPr>
            </w:pPr>
            <w:r>
              <w:rPr>
                <w:rFonts w:ascii="仿宋" w:hAnsi="仿宋" w:eastAsia="仿宋" w:cs="仿宋"/>
                <w:spacing w:val="8"/>
                <w:sz w:val="20"/>
                <w:szCs w:val="20"/>
              </w:rPr>
              <w:t>与《内蒙古自治区“十四五”公路水路交通运输发展规划环境影响评价报告书》符</w:t>
            </w:r>
            <w:r>
              <w:rPr>
                <w:rFonts w:ascii="仿宋" w:hAnsi="仿宋" w:eastAsia="仿宋" w:cs="仿宋"/>
                <w:spacing w:val="6"/>
                <w:sz w:val="20"/>
                <w:szCs w:val="20"/>
              </w:rPr>
              <w:t>合性分析见下表。</w:t>
            </w:r>
          </w:p>
          <w:p w14:paraId="2C82CF56">
            <w:pPr>
              <w:spacing w:before="4" w:line="229" w:lineRule="auto"/>
              <w:jc w:val="right"/>
              <w:rPr>
                <w:rFonts w:ascii="仿宋" w:hAnsi="仿宋" w:eastAsia="仿宋" w:cs="仿宋"/>
                <w:sz w:val="20"/>
                <w:szCs w:val="20"/>
              </w:rPr>
            </w:pPr>
            <w:r>
              <w:rPr>
                <w:rFonts w:ascii="仿宋" w:hAnsi="仿宋" w:eastAsia="仿宋" w:cs="仿宋"/>
                <w:b/>
                <w:bCs/>
                <w:spacing w:val="4"/>
                <w:sz w:val="20"/>
                <w:szCs w:val="20"/>
              </w:rPr>
              <w:t>表1-5</w:t>
            </w:r>
            <w:r>
              <w:rPr>
                <w:rFonts w:ascii="仿宋" w:hAnsi="仿宋" w:eastAsia="仿宋" w:cs="仿宋"/>
                <w:spacing w:val="4"/>
                <w:sz w:val="20"/>
                <w:szCs w:val="20"/>
              </w:rPr>
              <w:t xml:space="preserve">  </w:t>
            </w:r>
            <w:r>
              <w:rPr>
                <w:rFonts w:ascii="仿宋" w:hAnsi="仿宋" w:eastAsia="仿宋" w:cs="仿宋"/>
                <w:b/>
                <w:bCs/>
                <w:spacing w:val="4"/>
                <w:sz w:val="20"/>
                <w:szCs w:val="20"/>
              </w:rPr>
              <w:t>与《内蒙古自治区“十四五”公路水路交</w:t>
            </w:r>
            <w:r>
              <w:rPr>
                <w:rFonts w:ascii="仿宋" w:hAnsi="仿宋" w:eastAsia="仿宋" w:cs="仿宋"/>
                <w:b/>
                <w:bCs/>
                <w:spacing w:val="3"/>
                <w:sz w:val="20"/>
                <w:szCs w:val="20"/>
              </w:rPr>
              <w:t>通运输发展规划环境影响评价报告书》</w:t>
            </w:r>
          </w:p>
          <w:p w14:paraId="191E32DA">
            <w:pPr>
              <w:spacing w:before="159" w:line="229" w:lineRule="auto"/>
              <w:ind w:left="3693"/>
              <w:rPr>
                <w:rFonts w:ascii="仿宋" w:hAnsi="仿宋" w:eastAsia="仿宋" w:cs="仿宋"/>
                <w:sz w:val="20"/>
                <w:szCs w:val="20"/>
              </w:rPr>
            </w:pPr>
            <w:r>
              <w:rPr>
                <w:rFonts w:ascii="仿宋" w:hAnsi="仿宋" w:eastAsia="仿宋" w:cs="仿宋"/>
                <w:b/>
                <w:bCs/>
                <w:spacing w:val="2"/>
                <w:sz w:val="20"/>
                <w:szCs w:val="20"/>
              </w:rPr>
              <w:t>符合性</w:t>
            </w:r>
          </w:p>
        </w:tc>
      </w:tr>
      <w:tr w14:paraId="4FF0AC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070" w:type="dxa"/>
            <w:vMerge w:val="continue"/>
            <w:tcBorders>
              <w:top w:val="nil"/>
              <w:left w:val="single" w:color="000000" w:sz="6" w:space="0"/>
              <w:bottom w:val="nil"/>
            </w:tcBorders>
            <w:vAlign w:val="top"/>
          </w:tcPr>
          <w:p w14:paraId="6230D140">
            <w:pPr>
              <w:rPr>
                <w:rFonts w:ascii="Arial"/>
                <w:sz w:val="21"/>
              </w:rPr>
            </w:pPr>
          </w:p>
        </w:tc>
        <w:tc>
          <w:tcPr>
            <w:tcW w:w="818" w:type="dxa"/>
            <w:tcBorders>
              <w:top w:val="single" w:color="000000" w:sz="10" w:space="0"/>
            </w:tcBorders>
            <w:vAlign w:val="top"/>
          </w:tcPr>
          <w:p w14:paraId="5FA7A66C">
            <w:pPr>
              <w:spacing w:before="77" w:line="223" w:lineRule="auto"/>
              <w:ind w:left="244"/>
              <w:rPr>
                <w:rFonts w:ascii="仿宋" w:hAnsi="仿宋" w:eastAsia="仿宋" w:cs="仿宋"/>
                <w:sz w:val="18"/>
                <w:szCs w:val="18"/>
              </w:rPr>
            </w:pPr>
            <w:r>
              <w:rPr>
                <w:rFonts w:ascii="仿宋" w:hAnsi="仿宋" w:eastAsia="仿宋" w:cs="仿宋"/>
                <w:spacing w:val="-8"/>
                <w:sz w:val="18"/>
                <w:szCs w:val="18"/>
              </w:rPr>
              <w:t>类别</w:t>
            </w:r>
          </w:p>
        </w:tc>
        <w:tc>
          <w:tcPr>
            <w:tcW w:w="3573" w:type="dxa"/>
            <w:tcBorders>
              <w:top w:val="single" w:color="000000" w:sz="10" w:space="0"/>
            </w:tcBorders>
            <w:vAlign w:val="top"/>
          </w:tcPr>
          <w:p w14:paraId="1B664C27">
            <w:pPr>
              <w:spacing w:before="77" w:line="222" w:lineRule="auto"/>
              <w:ind w:left="1435"/>
              <w:rPr>
                <w:rFonts w:ascii="仿宋" w:hAnsi="仿宋" w:eastAsia="仿宋" w:cs="仿宋"/>
                <w:sz w:val="18"/>
                <w:szCs w:val="18"/>
              </w:rPr>
            </w:pPr>
            <w:r>
              <w:rPr>
                <w:rFonts w:ascii="仿宋" w:hAnsi="仿宋" w:eastAsia="仿宋" w:cs="仿宋"/>
                <w:spacing w:val="-4"/>
                <w:sz w:val="18"/>
                <w:szCs w:val="18"/>
              </w:rPr>
              <w:t>具体内容</w:t>
            </w:r>
          </w:p>
        </w:tc>
        <w:tc>
          <w:tcPr>
            <w:tcW w:w="2806" w:type="dxa"/>
            <w:tcBorders>
              <w:top w:val="single" w:color="000000" w:sz="10" w:space="0"/>
            </w:tcBorders>
            <w:vAlign w:val="top"/>
          </w:tcPr>
          <w:p w14:paraId="0451A6A7">
            <w:pPr>
              <w:spacing w:before="77" w:line="222" w:lineRule="auto"/>
              <w:ind w:left="966"/>
              <w:rPr>
                <w:rFonts w:ascii="仿宋" w:hAnsi="仿宋" w:eastAsia="仿宋" w:cs="仿宋"/>
                <w:sz w:val="18"/>
                <w:szCs w:val="18"/>
              </w:rPr>
            </w:pPr>
            <w:r>
              <w:rPr>
                <w:rFonts w:ascii="仿宋" w:hAnsi="仿宋" w:eastAsia="仿宋" w:cs="仿宋"/>
                <w:spacing w:val="-3"/>
                <w:sz w:val="18"/>
                <w:szCs w:val="18"/>
              </w:rPr>
              <w:t>本项目情况</w:t>
            </w:r>
          </w:p>
        </w:tc>
        <w:tc>
          <w:tcPr>
            <w:tcW w:w="796" w:type="dxa"/>
            <w:tcBorders>
              <w:top w:val="single" w:color="000000" w:sz="10" w:space="0"/>
              <w:right w:val="single" w:color="000000" w:sz="6" w:space="0"/>
            </w:tcBorders>
            <w:vAlign w:val="top"/>
          </w:tcPr>
          <w:p w14:paraId="6CDFB8B5">
            <w:pPr>
              <w:spacing w:before="77" w:line="220" w:lineRule="auto"/>
              <w:ind w:left="134"/>
              <w:rPr>
                <w:rFonts w:ascii="仿宋" w:hAnsi="仿宋" w:eastAsia="仿宋" w:cs="仿宋"/>
                <w:sz w:val="18"/>
                <w:szCs w:val="18"/>
              </w:rPr>
            </w:pPr>
            <w:r>
              <w:rPr>
                <w:rFonts w:ascii="仿宋" w:hAnsi="仿宋" w:eastAsia="仿宋" w:cs="仿宋"/>
                <w:spacing w:val="-6"/>
                <w:sz w:val="18"/>
                <w:szCs w:val="18"/>
              </w:rPr>
              <w:t>符合性</w:t>
            </w:r>
          </w:p>
        </w:tc>
      </w:tr>
      <w:tr w14:paraId="67CBEB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7" w:hRule="atLeast"/>
        </w:trPr>
        <w:tc>
          <w:tcPr>
            <w:tcW w:w="1070" w:type="dxa"/>
            <w:vMerge w:val="continue"/>
            <w:tcBorders>
              <w:top w:val="nil"/>
              <w:left w:val="single" w:color="000000" w:sz="6" w:space="0"/>
              <w:bottom w:val="nil"/>
            </w:tcBorders>
            <w:vAlign w:val="top"/>
          </w:tcPr>
          <w:p w14:paraId="4C28AC38">
            <w:pPr>
              <w:rPr>
                <w:rFonts w:ascii="Arial"/>
                <w:sz w:val="21"/>
              </w:rPr>
            </w:pPr>
          </w:p>
        </w:tc>
        <w:tc>
          <w:tcPr>
            <w:tcW w:w="818" w:type="dxa"/>
            <w:vAlign w:val="top"/>
          </w:tcPr>
          <w:p w14:paraId="5DEEEF61">
            <w:pPr>
              <w:spacing w:line="435" w:lineRule="auto"/>
              <w:rPr>
                <w:rFonts w:ascii="Arial"/>
                <w:sz w:val="21"/>
              </w:rPr>
            </w:pPr>
          </w:p>
          <w:p w14:paraId="57B4E0E8">
            <w:pPr>
              <w:spacing w:before="59"/>
              <w:ind w:left="63" w:right="42" w:firstLine="9"/>
              <w:jc w:val="both"/>
              <w:rPr>
                <w:rFonts w:ascii="仿宋" w:hAnsi="仿宋" w:eastAsia="仿宋" w:cs="仿宋"/>
                <w:sz w:val="18"/>
                <w:szCs w:val="18"/>
              </w:rPr>
            </w:pPr>
            <w:r>
              <w:rPr>
                <w:rFonts w:ascii="仿宋" w:hAnsi="仿宋" w:eastAsia="仿宋" w:cs="仿宋"/>
                <w:spacing w:val="-6"/>
                <w:sz w:val="18"/>
                <w:szCs w:val="18"/>
              </w:rPr>
              <w:t>生态环境</w:t>
            </w:r>
            <w:r>
              <w:rPr>
                <w:rFonts w:ascii="仿宋" w:hAnsi="仿宋" w:eastAsia="仿宋" w:cs="仿宋"/>
                <w:spacing w:val="-4"/>
                <w:sz w:val="18"/>
                <w:szCs w:val="18"/>
              </w:rPr>
              <w:t>保护对策</w:t>
            </w:r>
            <w:r>
              <w:rPr>
                <w:rFonts w:ascii="仿宋" w:hAnsi="仿宋" w:eastAsia="仿宋" w:cs="仿宋"/>
                <w:spacing w:val="25"/>
                <w:sz w:val="18"/>
                <w:szCs w:val="18"/>
              </w:rPr>
              <w:t>和措施</w:t>
            </w:r>
          </w:p>
        </w:tc>
        <w:tc>
          <w:tcPr>
            <w:tcW w:w="3573" w:type="dxa"/>
            <w:vAlign w:val="top"/>
          </w:tcPr>
          <w:p w14:paraId="31A1373C">
            <w:pPr>
              <w:spacing w:before="148" w:line="239" w:lineRule="auto"/>
              <w:ind w:left="112" w:right="104" w:firstLine="4"/>
              <w:jc w:val="both"/>
              <w:rPr>
                <w:rFonts w:ascii="仿宋" w:hAnsi="仿宋" w:eastAsia="仿宋" w:cs="仿宋"/>
                <w:sz w:val="18"/>
                <w:szCs w:val="18"/>
              </w:rPr>
            </w:pPr>
            <w:r>
              <w:rPr>
                <w:rFonts w:ascii="仿宋" w:hAnsi="仿宋" w:eastAsia="仿宋" w:cs="仿宋"/>
                <w:spacing w:val="-4"/>
                <w:sz w:val="18"/>
                <w:szCs w:val="18"/>
              </w:rPr>
              <w:t>坚持保护优先、避让为主的原则，加强对规划公路网沿线自然保护区、水源保护区等重要生态保护区域和生态敏感区的保护。对于现有走廊充分利用，邻近并行的走廊带尽量合并，在环境敏感区域尽量少开辟新的走廊</w:t>
            </w:r>
            <w:r>
              <w:rPr>
                <w:rFonts w:ascii="仿宋" w:hAnsi="仿宋" w:eastAsia="仿宋" w:cs="仿宋"/>
                <w:spacing w:val="-1"/>
                <w:sz w:val="18"/>
                <w:szCs w:val="18"/>
              </w:rPr>
              <w:t>带，避免生态破坏和穿越环境敏感区。</w:t>
            </w:r>
          </w:p>
        </w:tc>
        <w:tc>
          <w:tcPr>
            <w:tcW w:w="2806" w:type="dxa"/>
            <w:vAlign w:val="top"/>
          </w:tcPr>
          <w:p w14:paraId="09F21164">
            <w:pPr>
              <w:spacing w:before="29" w:line="234" w:lineRule="auto"/>
              <w:ind w:left="118" w:right="99" w:firstLine="1"/>
              <w:rPr>
                <w:rFonts w:ascii="仿宋" w:hAnsi="仿宋" w:eastAsia="仿宋" w:cs="仿宋"/>
                <w:sz w:val="18"/>
                <w:szCs w:val="18"/>
              </w:rPr>
            </w:pPr>
            <w:r>
              <w:rPr>
                <w:rFonts w:ascii="仿宋" w:hAnsi="仿宋" w:eastAsia="仿宋" w:cs="仿宋"/>
                <w:spacing w:val="4"/>
                <w:sz w:val="18"/>
                <w:szCs w:val="18"/>
              </w:rPr>
              <w:t>本项目沿线不涉及自然保护区、</w:t>
            </w:r>
            <w:r>
              <w:rPr>
                <w:rFonts w:ascii="仿宋" w:hAnsi="仿宋" w:eastAsia="仿宋" w:cs="仿宋"/>
                <w:spacing w:val="-4"/>
                <w:sz w:val="18"/>
                <w:szCs w:val="18"/>
              </w:rPr>
              <w:t>水</w:t>
            </w:r>
            <w:r>
              <w:rPr>
                <w:rFonts w:ascii="仿宋" w:hAnsi="仿宋" w:eastAsia="仿宋" w:cs="仿宋"/>
                <w:spacing w:val="-44"/>
                <w:sz w:val="18"/>
                <w:szCs w:val="18"/>
              </w:rPr>
              <w:t xml:space="preserve"> </w:t>
            </w:r>
            <w:r>
              <w:rPr>
                <w:rFonts w:ascii="仿宋" w:hAnsi="仿宋" w:eastAsia="仿宋" w:cs="仿宋"/>
                <w:spacing w:val="-4"/>
                <w:sz w:val="18"/>
                <w:szCs w:val="18"/>
              </w:rPr>
              <w:t>源保护</w:t>
            </w:r>
            <w:r>
              <w:rPr>
                <w:rFonts w:ascii="仿宋" w:hAnsi="仿宋" w:eastAsia="仿宋" w:cs="仿宋"/>
                <w:spacing w:val="-43"/>
                <w:sz w:val="18"/>
                <w:szCs w:val="18"/>
              </w:rPr>
              <w:t xml:space="preserve"> </w:t>
            </w:r>
            <w:r>
              <w:rPr>
                <w:rFonts w:ascii="仿宋" w:hAnsi="仿宋" w:eastAsia="仿宋" w:cs="仿宋"/>
                <w:spacing w:val="-4"/>
                <w:sz w:val="18"/>
                <w:szCs w:val="18"/>
              </w:rPr>
              <w:t>区</w:t>
            </w:r>
            <w:r>
              <w:rPr>
                <w:rFonts w:ascii="仿宋" w:hAnsi="仿宋" w:eastAsia="仿宋" w:cs="仿宋"/>
                <w:spacing w:val="-50"/>
                <w:sz w:val="18"/>
                <w:szCs w:val="18"/>
              </w:rPr>
              <w:t xml:space="preserve"> </w:t>
            </w:r>
            <w:r>
              <w:rPr>
                <w:rFonts w:ascii="仿宋" w:hAnsi="仿宋" w:eastAsia="仿宋" w:cs="仿宋"/>
                <w:spacing w:val="-4"/>
                <w:sz w:val="18"/>
                <w:szCs w:val="18"/>
              </w:rPr>
              <w:t>等</w:t>
            </w:r>
            <w:r>
              <w:rPr>
                <w:rFonts w:ascii="仿宋" w:hAnsi="仿宋" w:eastAsia="仿宋" w:cs="仿宋"/>
                <w:spacing w:val="-51"/>
                <w:sz w:val="18"/>
                <w:szCs w:val="18"/>
              </w:rPr>
              <w:t xml:space="preserve"> </w:t>
            </w:r>
            <w:r>
              <w:rPr>
                <w:rFonts w:ascii="仿宋" w:hAnsi="仿宋" w:eastAsia="仿宋" w:cs="仿宋"/>
                <w:spacing w:val="-4"/>
                <w:sz w:val="18"/>
                <w:szCs w:val="18"/>
              </w:rPr>
              <w:t>重</w:t>
            </w:r>
            <w:r>
              <w:rPr>
                <w:rFonts w:ascii="仿宋" w:hAnsi="仿宋" w:eastAsia="仿宋" w:cs="仿宋"/>
                <w:spacing w:val="-53"/>
                <w:sz w:val="18"/>
                <w:szCs w:val="18"/>
              </w:rPr>
              <w:t xml:space="preserve"> </w:t>
            </w:r>
            <w:r>
              <w:rPr>
                <w:rFonts w:ascii="仿宋" w:hAnsi="仿宋" w:eastAsia="仿宋" w:cs="仿宋"/>
                <w:spacing w:val="-4"/>
                <w:sz w:val="18"/>
                <w:szCs w:val="18"/>
              </w:rPr>
              <w:t>要</w:t>
            </w:r>
            <w:r>
              <w:rPr>
                <w:rFonts w:ascii="仿宋" w:hAnsi="仿宋" w:eastAsia="仿宋" w:cs="仿宋"/>
                <w:spacing w:val="-46"/>
                <w:sz w:val="18"/>
                <w:szCs w:val="18"/>
              </w:rPr>
              <w:t xml:space="preserve"> </w:t>
            </w:r>
            <w:r>
              <w:rPr>
                <w:rFonts w:ascii="仿宋" w:hAnsi="仿宋" w:eastAsia="仿宋" w:cs="仿宋"/>
                <w:spacing w:val="-4"/>
                <w:sz w:val="18"/>
                <w:szCs w:val="18"/>
              </w:rPr>
              <w:t>生</w:t>
            </w:r>
            <w:r>
              <w:rPr>
                <w:rFonts w:ascii="仿宋" w:hAnsi="仿宋" w:eastAsia="仿宋" w:cs="仿宋"/>
                <w:spacing w:val="-50"/>
                <w:sz w:val="18"/>
                <w:szCs w:val="18"/>
              </w:rPr>
              <w:t xml:space="preserve"> </w:t>
            </w:r>
            <w:r>
              <w:rPr>
                <w:rFonts w:ascii="仿宋" w:hAnsi="仿宋" w:eastAsia="仿宋" w:cs="仿宋"/>
                <w:spacing w:val="-4"/>
                <w:sz w:val="18"/>
                <w:szCs w:val="18"/>
              </w:rPr>
              <w:t>态保护区</w:t>
            </w:r>
            <w:r>
              <w:rPr>
                <w:rFonts w:ascii="仿宋" w:hAnsi="仿宋" w:eastAsia="仿宋" w:cs="仿宋"/>
                <w:spacing w:val="4"/>
                <w:sz w:val="18"/>
                <w:szCs w:val="18"/>
              </w:rPr>
              <w:t>域，对沿线保护林地采取防护措施；本项目大部分路段利用现有走廊，并完全避让基本农田，严</w:t>
            </w:r>
            <w:r>
              <w:rPr>
                <w:rFonts w:ascii="仿宋" w:hAnsi="仿宋" w:eastAsia="仿宋" w:cs="仿宋"/>
                <w:spacing w:val="1"/>
                <w:sz w:val="18"/>
                <w:szCs w:val="18"/>
              </w:rPr>
              <w:t>格控制项目</w:t>
            </w:r>
            <w:r>
              <w:rPr>
                <w:rFonts w:ascii="仿宋" w:hAnsi="仿宋" w:eastAsia="仿宋" w:cs="仿宋"/>
                <w:spacing w:val="-43"/>
                <w:sz w:val="18"/>
                <w:szCs w:val="18"/>
              </w:rPr>
              <w:t xml:space="preserve"> </w:t>
            </w:r>
            <w:r>
              <w:rPr>
                <w:rFonts w:ascii="仿宋" w:hAnsi="仿宋" w:eastAsia="仿宋" w:cs="仿宋"/>
                <w:spacing w:val="1"/>
                <w:sz w:val="18"/>
                <w:szCs w:val="18"/>
              </w:rPr>
              <w:t>占地，减少对周边环</w:t>
            </w:r>
            <w:r>
              <w:rPr>
                <w:rFonts w:ascii="仿宋" w:hAnsi="仿宋" w:eastAsia="仿宋" w:cs="仿宋"/>
                <w:spacing w:val="-3"/>
                <w:sz w:val="18"/>
                <w:szCs w:val="18"/>
              </w:rPr>
              <w:t>境的影响。</w:t>
            </w:r>
          </w:p>
        </w:tc>
        <w:tc>
          <w:tcPr>
            <w:tcW w:w="796" w:type="dxa"/>
            <w:tcBorders>
              <w:right w:val="single" w:color="000000" w:sz="6" w:space="0"/>
            </w:tcBorders>
            <w:vAlign w:val="top"/>
          </w:tcPr>
          <w:p w14:paraId="0FD3BB36">
            <w:pPr>
              <w:spacing w:line="333" w:lineRule="auto"/>
              <w:rPr>
                <w:rFonts w:ascii="Arial"/>
                <w:sz w:val="21"/>
              </w:rPr>
            </w:pPr>
          </w:p>
          <w:p w14:paraId="0D64BF09">
            <w:pPr>
              <w:spacing w:line="334" w:lineRule="auto"/>
              <w:rPr>
                <w:rFonts w:ascii="Arial"/>
                <w:sz w:val="21"/>
              </w:rPr>
            </w:pPr>
          </w:p>
          <w:p w14:paraId="1BE1FA36">
            <w:pPr>
              <w:spacing w:before="59" w:line="221" w:lineRule="auto"/>
              <w:ind w:left="225"/>
              <w:rPr>
                <w:rFonts w:ascii="仿宋" w:hAnsi="仿宋" w:eastAsia="仿宋" w:cs="仿宋"/>
                <w:sz w:val="18"/>
                <w:szCs w:val="18"/>
              </w:rPr>
            </w:pPr>
            <w:r>
              <w:rPr>
                <w:rFonts w:ascii="仿宋" w:hAnsi="仿宋" w:eastAsia="仿宋" w:cs="仿宋"/>
                <w:spacing w:val="-9"/>
                <w:sz w:val="18"/>
                <w:szCs w:val="18"/>
              </w:rPr>
              <w:t>符合</w:t>
            </w:r>
          </w:p>
        </w:tc>
      </w:tr>
      <w:tr w14:paraId="518FC1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70" w:hRule="atLeast"/>
        </w:trPr>
        <w:tc>
          <w:tcPr>
            <w:tcW w:w="1070" w:type="dxa"/>
            <w:vMerge w:val="continue"/>
            <w:tcBorders>
              <w:top w:val="nil"/>
              <w:left w:val="single" w:color="000000" w:sz="6" w:space="0"/>
              <w:bottom w:val="nil"/>
            </w:tcBorders>
            <w:vAlign w:val="top"/>
          </w:tcPr>
          <w:p w14:paraId="77FE635F">
            <w:pPr>
              <w:rPr>
                <w:rFonts w:ascii="Arial"/>
                <w:sz w:val="21"/>
              </w:rPr>
            </w:pPr>
          </w:p>
        </w:tc>
        <w:tc>
          <w:tcPr>
            <w:tcW w:w="818" w:type="dxa"/>
            <w:vAlign w:val="top"/>
          </w:tcPr>
          <w:p w14:paraId="7945A839">
            <w:pPr>
              <w:spacing w:line="254" w:lineRule="auto"/>
              <w:rPr>
                <w:rFonts w:ascii="Arial"/>
                <w:sz w:val="21"/>
              </w:rPr>
            </w:pPr>
          </w:p>
          <w:p w14:paraId="3D876F46">
            <w:pPr>
              <w:spacing w:line="254" w:lineRule="auto"/>
              <w:rPr>
                <w:rFonts w:ascii="Arial"/>
                <w:sz w:val="21"/>
              </w:rPr>
            </w:pPr>
          </w:p>
          <w:p w14:paraId="3873F27D">
            <w:pPr>
              <w:spacing w:line="254" w:lineRule="auto"/>
              <w:rPr>
                <w:rFonts w:ascii="Arial"/>
                <w:sz w:val="21"/>
              </w:rPr>
            </w:pPr>
          </w:p>
          <w:p w14:paraId="278637EC">
            <w:pPr>
              <w:spacing w:line="255" w:lineRule="auto"/>
              <w:rPr>
                <w:rFonts w:ascii="Arial"/>
                <w:sz w:val="21"/>
              </w:rPr>
            </w:pPr>
          </w:p>
          <w:p w14:paraId="242BCCF8">
            <w:pPr>
              <w:spacing w:before="59"/>
              <w:ind w:left="149" w:right="42" w:hanging="88"/>
              <w:rPr>
                <w:rFonts w:ascii="仿宋" w:hAnsi="仿宋" w:eastAsia="仿宋" w:cs="仿宋"/>
                <w:sz w:val="18"/>
                <w:szCs w:val="18"/>
              </w:rPr>
            </w:pPr>
            <w:r>
              <w:rPr>
                <w:rFonts w:ascii="仿宋" w:hAnsi="仿宋" w:eastAsia="仿宋" w:cs="仿宋"/>
                <w:spacing w:val="-3"/>
                <w:sz w:val="18"/>
                <w:szCs w:val="18"/>
              </w:rPr>
              <w:t>水环境保</w:t>
            </w:r>
            <w:r>
              <w:rPr>
                <w:rFonts w:ascii="仿宋" w:hAnsi="仿宋" w:eastAsia="仿宋" w:cs="仿宋"/>
                <w:spacing w:val="-4"/>
                <w:sz w:val="18"/>
                <w:szCs w:val="18"/>
              </w:rPr>
              <w:t>护措施</w:t>
            </w:r>
          </w:p>
        </w:tc>
        <w:tc>
          <w:tcPr>
            <w:tcW w:w="3573" w:type="dxa"/>
            <w:vAlign w:val="top"/>
          </w:tcPr>
          <w:p w14:paraId="6A189D47">
            <w:pPr>
              <w:spacing w:before="28" w:line="236" w:lineRule="auto"/>
              <w:ind w:left="111" w:right="104" w:firstLine="2"/>
              <w:jc w:val="both"/>
              <w:rPr>
                <w:rFonts w:ascii="仿宋" w:hAnsi="仿宋" w:eastAsia="仿宋" w:cs="仿宋"/>
                <w:sz w:val="18"/>
                <w:szCs w:val="18"/>
              </w:rPr>
            </w:pPr>
            <w:r>
              <w:rPr>
                <w:rFonts w:ascii="仿宋" w:hAnsi="仿宋" w:eastAsia="仿宋" w:cs="仿宋"/>
                <w:spacing w:val="6"/>
                <w:sz w:val="18"/>
                <w:szCs w:val="18"/>
              </w:rPr>
              <w:t>认真调查论证路线走向与地表水系的相互</w:t>
            </w:r>
            <w:r>
              <w:rPr>
                <w:rFonts w:ascii="仿宋" w:hAnsi="仿宋" w:eastAsia="仿宋" w:cs="仿宋"/>
                <w:spacing w:val="-4"/>
                <w:sz w:val="18"/>
                <w:szCs w:val="18"/>
              </w:rPr>
              <w:t>关系，设计足够的涵洞、桥梁，以减少高路基对地表径流的影响。施工物质应远离河流妥善保管堆放，防止暴雨冲刷进入水体。加强施工生活污水管理，严禁将其直接排入河道水流中。在国家级自然保护区、饮用水水源保护区等区域，若公路靠近或穿越对水质有殊要求的水体时，应按照相关法律法规及技术规范要求，结合实际情况设置沉淀池或应急池等防护工程，将施工期及运营期产生</w:t>
            </w:r>
            <w:r>
              <w:rPr>
                <w:rFonts w:ascii="仿宋" w:hAnsi="仿宋" w:eastAsia="仿宋" w:cs="仿宋"/>
                <w:spacing w:val="-1"/>
                <w:sz w:val="18"/>
                <w:szCs w:val="18"/>
              </w:rPr>
              <w:t>的污水引到保护区外处理。</w:t>
            </w:r>
          </w:p>
        </w:tc>
        <w:tc>
          <w:tcPr>
            <w:tcW w:w="2806" w:type="dxa"/>
            <w:vAlign w:val="top"/>
          </w:tcPr>
          <w:p w14:paraId="1E9D3E5F">
            <w:pPr>
              <w:spacing w:before="146"/>
              <w:ind w:left="118" w:right="99" w:firstLine="1"/>
              <w:jc w:val="both"/>
              <w:rPr>
                <w:rFonts w:ascii="仿宋" w:hAnsi="仿宋" w:eastAsia="仿宋" w:cs="仿宋"/>
                <w:sz w:val="18"/>
                <w:szCs w:val="18"/>
              </w:rPr>
            </w:pPr>
            <w:r>
              <w:rPr>
                <w:rFonts w:ascii="仿宋" w:hAnsi="仿宋" w:eastAsia="仿宋" w:cs="仿宋"/>
                <w:spacing w:val="4"/>
                <w:sz w:val="18"/>
                <w:szCs w:val="18"/>
              </w:rPr>
              <w:t>本项目不涉及表水系，高路基段设置了涵洞工程，可减少高路基对地表径流的影响。施工现场不设置施工营地，施工人员生活租住附近村庄闲置民房，如厕依托村庄现有卫生处理设施。施工期不产生施工废水；本项目占地范围及过水路段下游不涉及国家级自然保护区、饮用水水源保护区</w:t>
            </w:r>
            <w:r>
              <w:rPr>
                <w:rFonts w:ascii="仿宋" w:hAnsi="仿宋" w:eastAsia="仿宋" w:cs="仿宋"/>
                <w:spacing w:val="-3"/>
                <w:sz w:val="18"/>
                <w:szCs w:val="18"/>
              </w:rPr>
              <w:t>等区域。</w:t>
            </w:r>
          </w:p>
        </w:tc>
        <w:tc>
          <w:tcPr>
            <w:tcW w:w="796" w:type="dxa"/>
            <w:tcBorders>
              <w:right w:val="single" w:color="000000" w:sz="6" w:space="0"/>
            </w:tcBorders>
            <w:vAlign w:val="top"/>
          </w:tcPr>
          <w:p w14:paraId="782AE148">
            <w:pPr>
              <w:spacing w:line="283" w:lineRule="auto"/>
              <w:rPr>
                <w:rFonts w:ascii="Arial"/>
                <w:sz w:val="21"/>
              </w:rPr>
            </w:pPr>
          </w:p>
          <w:p w14:paraId="504725AD">
            <w:pPr>
              <w:spacing w:line="283" w:lineRule="auto"/>
              <w:rPr>
                <w:rFonts w:ascii="Arial"/>
                <w:sz w:val="21"/>
              </w:rPr>
            </w:pPr>
          </w:p>
          <w:p w14:paraId="082AB3C5">
            <w:pPr>
              <w:spacing w:line="283" w:lineRule="auto"/>
              <w:rPr>
                <w:rFonts w:ascii="Arial"/>
                <w:sz w:val="21"/>
              </w:rPr>
            </w:pPr>
          </w:p>
          <w:p w14:paraId="357BF242">
            <w:pPr>
              <w:spacing w:line="283" w:lineRule="auto"/>
              <w:rPr>
                <w:rFonts w:ascii="Arial"/>
                <w:sz w:val="21"/>
              </w:rPr>
            </w:pPr>
          </w:p>
          <w:p w14:paraId="53C158C4">
            <w:pPr>
              <w:spacing w:before="59" w:line="221" w:lineRule="auto"/>
              <w:ind w:left="225"/>
              <w:rPr>
                <w:rFonts w:ascii="仿宋" w:hAnsi="仿宋" w:eastAsia="仿宋" w:cs="仿宋"/>
                <w:sz w:val="18"/>
                <w:szCs w:val="18"/>
              </w:rPr>
            </w:pPr>
            <w:r>
              <w:rPr>
                <w:rFonts w:ascii="仿宋" w:hAnsi="仿宋" w:eastAsia="仿宋" w:cs="仿宋"/>
                <w:spacing w:val="-9"/>
                <w:sz w:val="18"/>
                <w:szCs w:val="18"/>
              </w:rPr>
              <w:t>符合</w:t>
            </w:r>
          </w:p>
        </w:tc>
      </w:tr>
      <w:tr w14:paraId="7BACD7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04" w:hRule="atLeast"/>
        </w:trPr>
        <w:tc>
          <w:tcPr>
            <w:tcW w:w="1070" w:type="dxa"/>
            <w:vMerge w:val="continue"/>
            <w:tcBorders>
              <w:top w:val="nil"/>
              <w:left w:val="single" w:color="000000" w:sz="6" w:space="0"/>
              <w:bottom w:val="nil"/>
            </w:tcBorders>
            <w:vAlign w:val="top"/>
          </w:tcPr>
          <w:p w14:paraId="7E1A53D7">
            <w:pPr>
              <w:rPr>
                <w:rFonts w:ascii="Arial"/>
                <w:sz w:val="21"/>
              </w:rPr>
            </w:pPr>
          </w:p>
        </w:tc>
        <w:tc>
          <w:tcPr>
            <w:tcW w:w="818" w:type="dxa"/>
            <w:vAlign w:val="top"/>
          </w:tcPr>
          <w:p w14:paraId="048B1CE9">
            <w:pPr>
              <w:spacing w:line="262" w:lineRule="auto"/>
              <w:rPr>
                <w:rFonts w:ascii="Arial"/>
                <w:sz w:val="21"/>
              </w:rPr>
            </w:pPr>
          </w:p>
          <w:p w14:paraId="47AD7A67">
            <w:pPr>
              <w:spacing w:line="262" w:lineRule="auto"/>
              <w:rPr>
                <w:rFonts w:ascii="Arial"/>
                <w:sz w:val="21"/>
              </w:rPr>
            </w:pPr>
          </w:p>
          <w:p w14:paraId="77E050F4">
            <w:pPr>
              <w:spacing w:line="262" w:lineRule="auto"/>
              <w:rPr>
                <w:rFonts w:ascii="Arial"/>
                <w:sz w:val="21"/>
              </w:rPr>
            </w:pPr>
          </w:p>
          <w:p w14:paraId="789945B9">
            <w:pPr>
              <w:spacing w:before="59"/>
              <w:ind w:left="73" w:right="42" w:hanging="9"/>
              <w:rPr>
                <w:rFonts w:ascii="仿宋" w:hAnsi="仿宋" w:eastAsia="仿宋" w:cs="仿宋"/>
                <w:sz w:val="18"/>
                <w:szCs w:val="18"/>
              </w:rPr>
            </w:pPr>
            <w:r>
              <w:rPr>
                <w:rFonts w:ascii="仿宋" w:hAnsi="仿宋" w:eastAsia="仿宋" w:cs="仿宋"/>
                <w:spacing w:val="-4"/>
                <w:sz w:val="18"/>
                <w:szCs w:val="18"/>
              </w:rPr>
              <w:t>大气污染</w:t>
            </w:r>
            <w:r>
              <w:rPr>
                <w:rFonts w:ascii="仿宋" w:hAnsi="仿宋" w:eastAsia="仿宋" w:cs="仿宋"/>
                <w:spacing w:val="-6"/>
                <w:sz w:val="18"/>
                <w:szCs w:val="18"/>
              </w:rPr>
              <w:t>防治对策</w:t>
            </w:r>
          </w:p>
        </w:tc>
        <w:tc>
          <w:tcPr>
            <w:tcW w:w="3573" w:type="dxa"/>
            <w:vAlign w:val="top"/>
          </w:tcPr>
          <w:p w14:paraId="16671987">
            <w:pPr>
              <w:spacing w:before="31" w:line="235" w:lineRule="auto"/>
              <w:ind w:left="113" w:right="88" w:hanging="1"/>
              <w:jc w:val="both"/>
              <w:rPr>
                <w:rFonts w:ascii="仿宋" w:hAnsi="仿宋" w:eastAsia="仿宋" w:cs="仿宋"/>
                <w:sz w:val="18"/>
                <w:szCs w:val="18"/>
              </w:rPr>
            </w:pPr>
            <w:r>
              <w:rPr>
                <w:rFonts w:ascii="仿宋" w:hAnsi="仿宋" w:eastAsia="仿宋" w:cs="仿宋"/>
                <w:spacing w:val="-4"/>
                <w:sz w:val="18"/>
                <w:szCs w:val="18"/>
              </w:rPr>
              <w:t>施工阶段加强沥青砼、碎石、灰土拌和设备</w:t>
            </w:r>
            <w:r>
              <w:rPr>
                <w:rFonts w:ascii="仿宋" w:hAnsi="仿宋" w:eastAsia="仿宋" w:cs="仿宋"/>
                <w:spacing w:val="-3"/>
                <w:sz w:val="18"/>
                <w:szCs w:val="18"/>
              </w:rPr>
              <w:t>的密封和除尘，对操作人员进行卫生防护，</w:t>
            </w:r>
            <w:r>
              <w:rPr>
                <w:rFonts w:ascii="仿宋" w:hAnsi="仿宋" w:eastAsia="仿宋" w:cs="仿宋"/>
                <w:spacing w:val="-4"/>
                <w:sz w:val="18"/>
                <w:szCs w:val="18"/>
              </w:rPr>
              <w:t>且拌和场站应远离大气环境敏感点；采用符合环保要求的先进施工设备，禁止使用敞开式简易方法熬制沥青。大风天气下使用篷布</w:t>
            </w:r>
            <w:r>
              <w:rPr>
                <w:rFonts w:ascii="仿宋" w:hAnsi="仿宋" w:eastAsia="仿宋" w:cs="仿宋"/>
                <w:spacing w:val="6"/>
                <w:sz w:val="18"/>
                <w:szCs w:val="18"/>
              </w:rPr>
              <w:t>覆盖及洒水等方式减少施工材料和施工场</w:t>
            </w:r>
            <w:r>
              <w:rPr>
                <w:rFonts w:ascii="仿宋" w:hAnsi="仿宋" w:eastAsia="仿宋" w:cs="仿宋"/>
                <w:spacing w:val="-4"/>
                <w:sz w:val="18"/>
                <w:szCs w:val="18"/>
              </w:rPr>
              <w:t>地的扬尘。严格执行机动车尾气排放国家标准，注意加强敏感路段和沿线敏感点的空气</w:t>
            </w:r>
            <w:r>
              <w:rPr>
                <w:rFonts w:ascii="仿宋" w:hAnsi="仿宋" w:eastAsia="仿宋" w:cs="仿宋"/>
                <w:spacing w:val="-3"/>
                <w:sz w:val="18"/>
                <w:szCs w:val="18"/>
              </w:rPr>
              <w:t>质量监测。</w:t>
            </w:r>
          </w:p>
        </w:tc>
        <w:tc>
          <w:tcPr>
            <w:tcW w:w="2806" w:type="dxa"/>
            <w:vAlign w:val="top"/>
          </w:tcPr>
          <w:p w14:paraId="0B08283D">
            <w:pPr>
              <w:spacing w:line="441" w:lineRule="auto"/>
              <w:rPr>
                <w:rFonts w:ascii="Arial"/>
                <w:sz w:val="21"/>
              </w:rPr>
            </w:pPr>
          </w:p>
          <w:p w14:paraId="617B82B7">
            <w:pPr>
              <w:spacing w:before="59" w:line="239" w:lineRule="auto"/>
              <w:ind w:left="118" w:right="99" w:firstLine="1"/>
              <w:jc w:val="both"/>
              <w:rPr>
                <w:rFonts w:ascii="仿宋" w:hAnsi="仿宋" w:eastAsia="仿宋" w:cs="仿宋"/>
                <w:sz w:val="18"/>
                <w:szCs w:val="18"/>
              </w:rPr>
            </w:pPr>
            <w:r>
              <w:rPr>
                <w:rFonts w:ascii="仿宋" w:hAnsi="仿宋" w:eastAsia="仿宋" w:cs="仿宋"/>
                <w:spacing w:val="4"/>
                <w:sz w:val="18"/>
                <w:szCs w:val="18"/>
              </w:rPr>
              <w:t>本项目施工现场不设置拌和站，施工时采用商品混凝土；施工设</w:t>
            </w:r>
            <w:r>
              <w:rPr>
                <w:rFonts w:ascii="仿宋" w:hAnsi="仿宋" w:eastAsia="仿宋" w:cs="仿宋"/>
                <w:spacing w:val="6"/>
                <w:sz w:val="18"/>
                <w:szCs w:val="18"/>
              </w:rPr>
              <w:t>备采用符</w:t>
            </w:r>
            <w:r>
              <w:rPr>
                <w:rFonts w:ascii="仿宋" w:hAnsi="仿宋" w:eastAsia="仿宋" w:cs="仿宋"/>
                <w:spacing w:val="-46"/>
                <w:sz w:val="18"/>
                <w:szCs w:val="18"/>
              </w:rPr>
              <w:t xml:space="preserve"> </w:t>
            </w:r>
            <w:r>
              <w:rPr>
                <w:rFonts w:ascii="仿宋" w:hAnsi="仿宋" w:eastAsia="仿宋" w:cs="仿宋"/>
                <w:spacing w:val="6"/>
                <w:sz w:val="18"/>
                <w:szCs w:val="18"/>
              </w:rPr>
              <w:t>合环保</w:t>
            </w:r>
            <w:r>
              <w:rPr>
                <w:rFonts w:ascii="仿宋" w:hAnsi="仿宋" w:eastAsia="仿宋" w:cs="仿宋"/>
                <w:spacing w:val="-53"/>
                <w:sz w:val="18"/>
                <w:szCs w:val="18"/>
              </w:rPr>
              <w:t xml:space="preserve"> </w:t>
            </w:r>
            <w:r>
              <w:rPr>
                <w:rFonts w:ascii="仿宋" w:hAnsi="仿宋" w:eastAsia="仿宋" w:cs="仿宋"/>
                <w:spacing w:val="6"/>
                <w:sz w:val="18"/>
                <w:szCs w:val="18"/>
              </w:rPr>
              <w:t>要</w:t>
            </w:r>
            <w:r>
              <w:rPr>
                <w:rFonts w:ascii="仿宋" w:hAnsi="仿宋" w:eastAsia="仿宋" w:cs="仿宋"/>
                <w:spacing w:val="-52"/>
                <w:sz w:val="18"/>
                <w:szCs w:val="18"/>
              </w:rPr>
              <w:t xml:space="preserve"> </w:t>
            </w:r>
            <w:r>
              <w:rPr>
                <w:rFonts w:ascii="仿宋" w:hAnsi="仿宋" w:eastAsia="仿宋" w:cs="仿宋"/>
                <w:spacing w:val="6"/>
                <w:sz w:val="18"/>
                <w:szCs w:val="18"/>
              </w:rPr>
              <w:t>求</w:t>
            </w:r>
            <w:r>
              <w:rPr>
                <w:rFonts w:ascii="仿宋" w:hAnsi="仿宋" w:eastAsia="仿宋" w:cs="仿宋"/>
                <w:spacing w:val="-46"/>
                <w:sz w:val="18"/>
                <w:szCs w:val="18"/>
              </w:rPr>
              <w:t xml:space="preserve"> </w:t>
            </w:r>
            <w:r>
              <w:rPr>
                <w:rFonts w:ascii="仿宋" w:hAnsi="仿宋" w:eastAsia="仿宋" w:cs="仿宋"/>
                <w:spacing w:val="6"/>
                <w:sz w:val="18"/>
                <w:szCs w:val="18"/>
              </w:rPr>
              <w:t>的先进设</w:t>
            </w:r>
            <w:r>
              <w:rPr>
                <w:rFonts w:ascii="仿宋" w:hAnsi="仿宋" w:eastAsia="仿宋" w:cs="仿宋"/>
                <w:spacing w:val="4"/>
                <w:sz w:val="18"/>
                <w:szCs w:val="18"/>
              </w:rPr>
              <w:t>备；严格执行机动车尾气排放国</w:t>
            </w:r>
            <w:r>
              <w:rPr>
                <w:rFonts w:ascii="仿宋" w:hAnsi="仿宋" w:eastAsia="仿宋" w:cs="仿宋"/>
                <w:spacing w:val="-3"/>
                <w:sz w:val="18"/>
                <w:szCs w:val="18"/>
              </w:rPr>
              <w:t>家标准。</w:t>
            </w:r>
          </w:p>
        </w:tc>
        <w:tc>
          <w:tcPr>
            <w:tcW w:w="796" w:type="dxa"/>
            <w:tcBorders>
              <w:right w:val="single" w:color="000000" w:sz="6" w:space="0"/>
            </w:tcBorders>
            <w:vAlign w:val="top"/>
          </w:tcPr>
          <w:p w14:paraId="2089C38F">
            <w:pPr>
              <w:spacing w:line="301" w:lineRule="auto"/>
              <w:rPr>
                <w:rFonts w:ascii="Arial"/>
                <w:sz w:val="21"/>
              </w:rPr>
            </w:pPr>
          </w:p>
          <w:p w14:paraId="7187826F">
            <w:pPr>
              <w:spacing w:line="301" w:lineRule="auto"/>
              <w:rPr>
                <w:rFonts w:ascii="Arial"/>
                <w:sz w:val="21"/>
              </w:rPr>
            </w:pPr>
          </w:p>
          <w:p w14:paraId="629C8F2F">
            <w:pPr>
              <w:spacing w:line="301" w:lineRule="auto"/>
              <w:rPr>
                <w:rFonts w:ascii="Arial"/>
                <w:sz w:val="21"/>
              </w:rPr>
            </w:pPr>
          </w:p>
          <w:p w14:paraId="776A037A">
            <w:pPr>
              <w:spacing w:before="59" w:line="221" w:lineRule="auto"/>
              <w:ind w:left="225"/>
              <w:rPr>
                <w:rFonts w:ascii="仿宋" w:hAnsi="仿宋" w:eastAsia="仿宋" w:cs="仿宋"/>
                <w:sz w:val="18"/>
                <w:szCs w:val="18"/>
              </w:rPr>
            </w:pPr>
            <w:r>
              <w:rPr>
                <w:rFonts w:ascii="仿宋" w:hAnsi="仿宋" w:eastAsia="仿宋" w:cs="仿宋"/>
                <w:spacing w:val="-9"/>
                <w:sz w:val="18"/>
                <w:szCs w:val="18"/>
              </w:rPr>
              <w:t>符合</w:t>
            </w:r>
          </w:p>
        </w:tc>
      </w:tr>
      <w:tr w14:paraId="225A82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70" w:hRule="atLeast"/>
        </w:trPr>
        <w:tc>
          <w:tcPr>
            <w:tcW w:w="1070" w:type="dxa"/>
            <w:vMerge w:val="continue"/>
            <w:tcBorders>
              <w:top w:val="nil"/>
              <w:left w:val="single" w:color="000000" w:sz="6" w:space="0"/>
              <w:bottom w:val="nil"/>
            </w:tcBorders>
            <w:vAlign w:val="top"/>
          </w:tcPr>
          <w:p w14:paraId="75A9D457">
            <w:pPr>
              <w:rPr>
                <w:rFonts w:ascii="Arial"/>
                <w:sz w:val="21"/>
              </w:rPr>
            </w:pPr>
          </w:p>
        </w:tc>
        <w:tc>
          <w:tcPr>
            <w:tcW w:w="818" w:type="dxa"/>
            <w:vAlign w:val="top"/>
          </w:tcPr>
          <w:p w14:paraId="7E5158D9">
            <w:pPr>
              <w:spacing w:line="302" w:lineRule="auto"/>
              <w:rPr>
                <w:rFonts w:ascii="Arial"/>
                <w:sz w:val="21"/>
              </w:rPr>
            </w:pPr>
          </w:p>
          <w:p w14:paraId="2D64E89B">
            <w:pPr>
              <w:spacing w:line="302" w:lineRule="auto"/>
              <w:rPr>
                <w:rFonts w:ascii="Arial"/>
                <w:sz w:val="21"/>
              </w:rPr>
            </w:pPr>
          </w:p>
          <w:p w14:paraId="4628DD33">
            <w:pPr>
              <w:spacing w:line="302" w:lineRule="auto"/>
              <w:rPr>
                <w:rFonts w:ascii="Arial"/>
                <w:sz w:val="21"/>
              </w:rPr>
            </w:pPr>
          </w:p>
          <w:p w14:paraId="53024553">
            <w:pPr>
              <w:spacing w:before="59" w:line="221" w:lineRule="auto"/>
              <w:ind w:left="81"/>
              <w:rPr>
                <w:rFonts w:ascii="仿宋" w:hAnsi="仿宋" w:eastAsia="仿宋" w:cs="仿宋"/>
                <w:sz w:val="18"/>
                <w:szCs w:val="18"/>
              </w:rPr>
            </w:pPr>
            <w:r>
              <w:rPr>
                <w:rFonts w:ascii="仿宋" w:hAnsi="仿宋" w:eastAsia="仿宋" w:cs="仿宋"/>
                <w:spacing w:val="-8"/>
                <w:sz w:val="18"/>
                <w:szCs w:val="18"/>
              </w:rPr>
              <w:t>固体废物</w:t>
            </w:r>
          </w:p>
          <w:p w14:paraId="4EF100CA">
            <w:pPr>
              <w:spacing w:before="17" w:line="222" w:lineRule="auto"/>
              <w:ind w:left="65"/>
              <w:rPr>
                <w:rFonts w:ascii="仿宋" w:hAnsi="仿宋" w:eastAsia="仿宋" w:cs="仿宋"/>
                <w:sz w:val="18"/>
                <w:szCs w:val="18"/>
              </w:rPr>
            </w:pPr>
            <w:r>
              <w:rPr>
                <w:rFonts w:ascii="仿宋" w:hAnsi="仿宋" w:eastAsia="仿宋" w:cs="仿宋"/>
                <w:spacing w:val="-4"/>
                <w:sz w:val="18"/>
                <w:szCs w:val="18"/>
              </w:rPr>
              <w:t>污染防治</w:t>
            </w:r>
          </w:p>
          <w:p w14:paraId="1D3F1255">
            <w:pPr>
              <w:spacing w:before="16" w:line="222" w:lineRule="auto"/>
              <w:ind w:left="243"/>
              <w:rPr>
                <w:rFonts w:ascii="仿宋" w:hAnsi="仿宋" w:eastAsia="仿宋" w:cs="仿宋"/>
                <w:sz w:val="18"/>
                <w:szCs w:val="18"/>
              </w:rPr>
            </w:pPr>
            <w:r>
              <w:rPr>
                <w:rFonts w:ascii="仿宋" w:hAnsi="仿宋" w:eastAsia="仿宋" w:cs="仿宋"/>
                <w:spacing w:val="-7"/>
                <w:sz w:val="18"/>
                <w:szCs w:val="18"/>
              </w:rPr>
              <w:t>对策</w:t>
            </w:r>
          </w:p>
        </w:tc>
        <w:tc>
          <w:tcPr>
            <w:tcW w:w="3573" w:type="dxa"/>
            <w:vAlign w:val="top"/>
          </w:tcPr>
          <w:p w14:paraId="47490E09">
            <w:pPr>
              <w:spacing w:line="263" w:lineRule="auto"/>
              <w:rPr>
                <w:rFonts w:ascii="Arial"/>
                <w:sz w:val="21"/>
              </w:rPr>
            </w:pPr>
          </w:p>
          <w:p w14:paraId="497938D5">
            <w:pPr>
              <w:spacing w:line="264" w:lineRule="auto"/>
              <w:rPr>
                <w:rFonts w:ascii="Arial"/>
                <w:sz w:val="21"/>
              </w:rPr>
            </w:pPr>
          </w:p>
          <w:p w14:paraId="14FB617D">
            <w:pPr>
              <w:spacing w:line="264" w:lineRule="auto"/>
              <w:rPr>
                <w:rFonts w:ascii="Arial"/>
                <w:sz w:val="21"/>
              </w:rPr>
            </w:pPr>
          </w:p>
          <w:p w14:paraId="7FB99EB8">
            <w:pPr>
              <w:spacing w:before="58"/>
              <w:ind w:left="111" w:right="104" w:firstLine="20"/>
              <w:jc w:val="both"/>
              <w:rPr>
                <w:rFonts w:ascii="仿宋" w:hAnsi="仿宋" w:eastAsia="仿宋" w:cs="仿宋"/>
                <w:sz w:val="18"/>
                <w:szCs w:val="18"/>
              </w:rPr>
            </w:pPr>
            <w:r>
              <w:rPr>
                <w:rFonts w:ascii="仿宋" w:hAnsi="仿宋" w:eastAsia="仿宋" w:cs="仿宋"/>
                <w:spacing w:val="-5"/>
                <w:sz w:val="18"/>
                <w:szCs w:val="18"/>
              </w:rPr>
              <w:t>固体废物主要包括生活垃圾和施工垃圾。生</w:t>
            </w:r>
            <w:r>
              <w:rPr>
                <w:rFonts w:ascii="仿宋" w:hAnsi="仿宋" w:eastAsia="仿宋" w:cs="仿宋"/>
                <w:spacing w:val="-4"/>
                <w:sz w:val="18"/>
                <w:szCs w:val="18"/>
              </w:rPr>
              <w:t>活垃圾必须定点收集，及时清运或处理；施工垃圾尽量回收利用，或送往当地划定的垃</w:t>
            </w:r>
            <w:r>
              <w:rPr>
                <w:rFonts w:ascii="仿宋" w:hAnsi="仿宋" w:eastAsia="仿宋" w:cs="仿宋"/>
                <w:spacing w:val="-3"/>
                <w:sz w:val="18"/>
                <w:szCs w:val="18"/>
              </w:rPr>
              <w:t>圾场填埋。</w:t>
            </w:r>
          </w:p>
        </w:tc>
        <w:tc>
          <w:tcPr>
            <w:tcW w:w="2806" w:type="dxa"/>
            <w:vAlign w:val="top"/>
          </w:tcPr>
          <w:p w14:paraId="162C972E">
            <w:pPr>
              <w:spacing w:before="39" w:line="235" w:lineRule="auto"/>
              <w:ind w:left="117" w:right="99"/>
              <w:jc w:val="both"/>
              <w:rPr>
                <w:rFonts w:ascii="仿宋" w:hAnsi="仿宋" w:eastAsia="仿宋" w:cs="仿宋"/>
                <w:sz w:val="18"/>
                <w:szCs w:val="18"/>
              </w:rPr>
            </w:pPr>
            <w:r>
              <w:rPr>
                <w:rFonts w:ascii="仿宋" w:hAnsi="仿宋" w:eastAsia="仿宋" w:cs="仿宋"/>
                <w:spacing w:val="18"/>
                <w:sz w:val="18"/>
                <w:szCs w:val="18"/>
              </w:rPr>
              <w:t>施工人员租用沿线村庄闲置房</w:t>
            </w:r>
            <w:r>
              <w:rPr>
                <w:rFonts w:ascii="仿宋" w:hAnsi="仿宋" w:eastAsia="仿宋" w:cs="仿宋"/>
                <w:spacing w:val="4"/>
                <w:sz w:val="18"/>
                <w:szCs w:val="18"/>
              </w:rPr>
              <w:t>屋，生活垃圾收集后与当地村民生活垃圾一并交由当地环卫部门进行统一处理。建筑垃圾能综合利用的回收综合利用，其他不能回收的集中收集后拉运至当地环保及城建部门要求送指定建筑垃圾场集中处置；开挖出的土方临时堆放在公路永久占地范围内，表面用篷布覆盖，不能随意倾倒</w:t>
            </w:r>
            <w:r>
              <w:rPr>
                <w:rFonts w:ascii="仿宋" w:hAnsi="仿宋" w:eastAsia="仿宋" w:cs="仿宋"/>
                <w:spacing w:val="-4"/>
                <w:sz w:val="18"/>
                <w:szCs w:val="18"/>
              </w:rPr>
              <w:t>土方。</w:t>
            </w:r>
          </w:p>
        </w:tc>
        <w:tc>
          <w:tcPr>
            <w:tcW w:w="796" w:type="dxa"/>
            <w:tcBorders>
              <w:right w:val="single" w:color="000000" w:sz="6" w:space="0"/>
            </w:tcBorders>
            <w:vAlign w:val="top"/>
          </w:tcPr>
          <w:p w14:paraId="565D101A">
            <w:pPr>
              <w:spacing w:line="284" w:lineRule="auto"/>
              <w:rPr>
                <w:rFonts w:ascii="Arial"/>
                <w:sz w:val="21"/>
              </w:rPr>
            </w:pPr>
          </w:p>
          <w:p w14:paraId="7436FAFF">
            <w:pPr>
              <w:spacing w:line="284" w:lineRule="auto"/>
              <w:rPr>
                <w:rFonts w:ascii="Arial"/>
                <w:sz w:val="21"/>
              </w:rPr>
            </w:pPr>
          </w:p>
          <w:p w14:paraId="2CA8FE38">
            <w:pPr>
              <w:spacing w:line="285" w:lineRule="auto"/>
              <w:rPr>
                <w:rFonts w:ascii="Arial"/>
                <w:sz w:val="21"/>
              </w:rPr>
            </w:pPr>
          </w:p>
          <w:p w14:paraId="7CB03435">
            <w:pPr>
              <w:spacing w:line="285" w:lineRule="auto"/>
              <w:rPr>
                <w:rFonts w:ascii="Arial"/>
                <w:sz w:val="21"/>
              </w:rPr>
            </w:pPr>
          </w:p>
          <w:p w14:paraId="2F4E702F">
            <w:pPr>
              <w:spacing w:before="58" w:line="221" w:lineRule="auto"/>
              <w:ind w:left="225"/>
              <w:rPr>
                <w:rFonts w:ascii="仿宋" w:hAnsi="仿宋" w:eastAsia="仿宋" w:cs="仿宋"/>
                <w:sz w:val="18"/>
                <w:szCs w:val="18"/>
              </w:rPr>
            </w:pPr>
            <w:r>
              <w:rPr>
                <w:rFonts w:ascii="仿宋" w:hAnsi="仿宋" w:eastAsia="仿宋" w:cs="仿宋"/>
                <w:spacing w:val="-9"/>
                <w:sz w:val="18"/>
                <w:szCs w:val="18"/>
              </w:rPr>
              <w:t>符合</w:t>
            </w:r>
          </w:p>
        </w:tc>
      </w:tr>
      <w:tr w14:paraId="548D55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6" w:hRule="atLeast"/>
        </w:trPr>
        <w:tc>
          <w:tcPr>
            <w:tcW w:w="1070" w:type="dxa"/>
            <w:vMerge w:val="continue"/>
            <w:tcBorders>
              <w:top w:val="nil"/>
              <w:left w:val="single" w:color="000000" w:sz="6" w:space="0"/>
              <w:bottom w:val="single" w:color="000000" w:sz="6" w:space="0"/>
            </w:tcBorders>
            <w:vAlign w:val="top"/>
          </w:tcPr>
          <w:p w14:paraId="3DD6D4BF">
            <w:pPr>
              <w:rPr>
                <w:rFonts w:ascii="Arial"/>
                <w:sz w:val="21"/>
              </w:rPr>
            </w:pPr>
          </w:p>
        </w:tc>
        <w:tc>
          <w:tcPr>
            <w:tcW w:w="818" w:type="dxa"/>
            <w:tcBorders>
              <w:bottom w:val="single" w:color="000000" w:sz="6" w:space="0"/>
            </w:tcBorders>
            <w:vAlign w:val="top"/>
          </w:tcPr>
          <w:p w14:paraId="645448F8">
            <w:pPr>
              <w:spacing w:line="443" w:lineRule="auto"/>
              <w:rPr>
                <w:rFonts w:ascii="Arial"/>
                <w:sz w:val="21"/>
              </w:rPr>
            </w:pPr>
          </w:p>
          <w:p w14:paraId="5F0963C6">
            <w:pPr>
              <w:spacing w:before="59"/>
              <w:ind w:left="153" w:right="42" w:hanging="92"/>
              <w:rPr>
                <w:rFonts w:ascii="仿宋" w:hAnsi="仿宋" w:eastAsia="仿宋" w:cs="仿宋"/>
                <w:sz w:val="18"/>
                <w:szCs w:val="18"/>
              </w:rPr>
            </w:pPr>
            <w:r>
              <w:rPr>
                <w:rFonts w:ascii="仿宋" w:hAnsi="仿宋" w:eastAsia="仿宋" w:cs="仿宋"/>
                <w:spacing w:val="-3"/>
                <w:sz w:val="18"/>
                <w:szCs w:val="18"/>
              </w:rPr>
              <w:t>声污染防</w:t>
            </w:r>
            <w:r>
              <w:rPr>
                <w:rFonts w:ascii="仿宋" w:hAnsi="仿宋" w:eastAsia="仿宋" w:cs="仿宋"/>
                <w:spacing w:val="-5"/>
                <w:sz w:val="18"/>
                <w:szCs w:val="18"/>
              </w:rPr>
              <w:t>治对策</w:t>
            </w:r>
          </w:p>
        </w:tc>
        <w:tc>
          <w:tcPr>
            <w:tcW w:w="3573" w:type="dxa"/>
            <w:tcBorders>
              <w:bottom w:val="single" w:color="000000" w:sz="6" w:space="0"/>
            </w:tcBorders>
            <w:vAlign w:val="top"/>
          </w:tcPr>
          <w:p w14:paraId="3D228FC2">
            <w:pPr>
              <w:spacing w:before="37" w:line="239" w:lineRule="auto"/>
              <w:ind w:left="112" w:right="89"/>
              <w:jc w:val="both"/>
              <w:rPr>
                <w:rFonts w:ascii="仿宋" w:hAnsi="仿宋" w:eastAsia="仿宋" w:cs="仿宋"/>
                <w:sz w:val="18"/>
                <w:szCs w:val="18"/>
              </w:rPr>
            </w:pPr>
            <w:r>
              <w:rPr>
                <w:rFonts w:ascii="仿宋" w:hAnsi="仿宋" w:eastAsia="仿宋" w:cs="仿宋"/>
                <w:spacing w:val="6"/>
                <w:sz w:val="18"/>
                <w:szCs w:val="18"/>
              </w:rPr>
              <w:t>施工阶段严格遵循规划项目所在地地方政</w:t>
            </w:r>
            <w:r>
              <w:rPr>
                <w:rFonts w:ascii="仿宋" w:hAnsi="仿宋" w:eastAsia="仿宋" w:cs="仿宋"/>
                <w:spacing w:val="-4"/>
                <w:sz w:val="18"/>
                <w:szCs w:val="18"/>
              </w:rPr>
              <w:t>府制定的《施工噪声管理规定》，调整高噪</w:t>
            </w:r>
            <w:r>
              <w:rPr>
                <w:rFonts w:ascii="仿宋" w:hAnsi="仿宋" w:eastAsia="仿宋" w:cs="仿宋"/>
                <w:spacing w:val="-3"/>
                <w:sz w:val="18"/>
                <w:szCs w:val="18"/>
              </w:rPr>
              <w:t>声作业施工时间；应根据敏感点噪声情况，</w:t>
            </w:r>
            <w:r>
              <w:rPr>
                <w:rFonts w:ascii="仿宋" w:hAnsi="仿宋" w:eastAsia="仿宋" w:cs="仿宋"/>
                <w:spacing w:val="-4"/>
                <w:sz w:val="18"/>
                <w:szCs w:val="18"/>
              </w:rPr>
              <w:t>制定相应的降噪措施，如种植绿化林带、设置噪声墙等，并进行多方案的经济技术性比</w:t>
            </w:r>
            <w:r>
              <w:rPr>
                <w:rFonts w:ascii="仿宋" w:hAnsi="仿宋" w:eastAsia="仿宋" w:cs="仿宋"/>
                <w:spacing w:val="-2"/>
                <w:sz w:val="18"/>
                <w:szCs w:val="18"/>
              </w:rPr>
              <w:t>较，推荐最佳降噪方案。</w:t>
            </w:r>
          </w:p>
        </w:tc>
        <w:tc>
          <w:tcPr>
            <w:tcW w:w="2806" w:type="dxa"/>
            <w:tcBorders>
              <w:bottom w:val="single" w:color="000000" w:sz="6" w:space="0"/>
            </w:tcBorders>
            <w:vAlign w:val="top"/>
          </w:tcPr>
          <w:p w14:paraId="569E5991">
            <w:pPr>
              <w:spacing w:before="155"/>
              <w:ind w:left="117" w:right="99"/>
              <w:jc w:val="both"/>
              <w:rPr>
                <w:rFonts w:ascii="仿宋" w:hAnsi="仿宋" w:eastAsia="仿宋" w:cs="仿宋"/>
                <w:sz w:val="18"/>
                <w:szCs w:val="18"/>
              </w:rPr>
            </w:pPr>
            <w:r>
              <w:rPr>
                <w:rFonts w:ascii="仿宋" w:hAnsi="仿宋" w:eastAsia="仿宋" w:cs="仿宋"/>
                <w:spacing w:val="4"/>
                <w:sz w:val="18"/>
                <w:szCs w:val="18"/>
              </w:rPr>
              <w:t>施工期合理安排施工时间，施工场界噪声满足《建筑施工噪声排</w:t>
            </w:r>
            <w:r>
              <w:rPr>
                <w:rFonts w:ascii="仿宋" w:hAnsi="仿宋" w:eastAsia="仿宋" w:cs="仿宋"/>
                <w:sz w:val="18"/>
                <w:szCs w:val="18"/>
              </w:rPr>
              <w:t>放标准》（GB12523-2025）</w:t>
            </w:r>
            <w:r>
              <w:rPr>
                <w:rFonts w:ascii="仿宋" w:hAnsi="仿宋" w:eastAsia="仿宋" w:cs="仿宋"/>
                <w:spacing w:val="-29"/>
                <w:sz w:val="18"/>
                <w:szCs w:val="18"/>
              </w:rPr>
              <w:t xml:space="preserve"> </w:t>
            </w:r>
            <w:r>
              <w:rPr>
                <w:rFonts w:ascii="仿宋" w:hAnsi="仿宋" w:eastAsia="仿宋" w:cs="仿宋"/>
                <w:sz w:val="18"/>
                <w:szCs w:val="18"/>
              </w:rPr>
              <w:t>中相</w:t>
            </w:r>
            <w:r>
              <w:rPr>
                <w:rFonts w:ascii="仿宋" w:hAnsi="仿宋" w:eastAsia="仿宋" w:cs="仿宋"/>
                <w:spacing w:val="4"/>
                <w:sz w:val="18"/>
                <w:szCs w:val="18"/>
              </w:rPr>
              <w:t>应的标准值。本项目沿线无敏感</w:t>
            </w:r>
            <w:r>
              <w:rPr>
                <w:rFonts w:ascii="仿宋" w:hAnsi="仿宋" w:eastAsia="仿宋" w:cs="仿宋"/>
                <w:spacing w:val="-6"/>
                <w:sz w:val="18"/>
                <w:szCs w:val="18"/>
              </w:rPr>
              <w:t>点。</w:t>
            </w:r>
          </w:p>
        </w:tc>
        <w:tc>
          <w:tcPr>
            <w:tcW w:w="796" w:type="dxa"/>
            <w:tcBorders>
              <w:bottom w:val="single" w:color="000000" w:sz="6" w:space="0"/>
              <w:right w:val="single" w:color="000000" w:sz="6" w:space="0"/>
            </w:tcBorders>
            <w:vAlign w:val="top"/>
          </w:tcPr>
          <w:p w14:paraId="32FD11FF">
            <w:pPr>
              <w:spacing w:line="280" w:lineRule="auto"/>
              <w:rPr>
                <w:rFonts w:ascii="Arial"/>
                <w:sz w:val="21"/>
              </w:rPr>
            </w:pPr>
          </w:p>
          <w:p w14:paraId="0B93415E">
            <w:pPr>
              <w:spacing w:line="281" w:lineRule="auto"/>
              <w:rPr>
                <w:rFonts w:ascii="Arial"/>
                <w:sz w:val="21"/>
              </w:rPr>
            </w:pPr>
          </w:p>
          <w:p w14:paraId="3B3DE644">
            <w:pPr>
              <w:spacing w:before="58" w:line="221" w:lineRule="auto"/>
              <w:ind w:left="225"/>
              <w:rPr>
                <w:rFonts w:ascii="仿宋" w:hAnsi="仿宋" w:eastAsia="仿宋" w:cs="仿宋"/>
                <w:sz w:val="18"/>
                <w:szCs w:val="18"/>
              </w:rPr>
            </w:pPr>
            <w:r>
              <w:rPr>
                <w:rFonts w:ascii="仿宋" w:hAnsi="仿宋" w:eastAsia="仿宋" w:cs="仿宋"/>
                <w:spacing w:val="-9"/>
                <w:sz w:val="18"/>
                <w:szCs w:val="18"/>
              </w:rPr>
              <w:t>符合</w:t>
            </w:r>
          </w:p>
        </w:tc>
      </w:tr>
    </w:tbl>
    <w:p w14:paraId="05D524DD">
      <w:pPr>
        <w:pStyle w:val="2"/>
        <w:rPr>
          <w:sz w:val="21"/>
        </w:rPr>
      </w:pPr>
    </w:p>
    <w:p w14:paraId="7BAA7009">
      <w:pPr>
        <w:rPr>
          <w:sz w:val="21"/>
          <w:szCs w:val="21"/>
        </w:rPr>
        <w:sectPr>
          <w:footerReference r:id="rId11" w:type="default"/>
          <w:pgSz w:w="11906" w:h="16839"/>
          <w:pgMar w:top="400" w:right="1306" w:bottom="1501" w:left="1521" w:header="0" w:footer="1342" w:gutter="0"/>
          <w:cols w:space="720" w:num="1"/>
        </w:sectPr>
      </w:pPr>
    </w:p>
    <w:p w14:paraId="4647F42C">
      <w:pPr>
        <w:spacing w:before="19"/>
      </w:pPr>
    </w:p>
    <w:p w14:paraId="1BD91DF2">
      <w:pPr>
        <w:spacing w:before="19"/>
      </w:pPr>
    </w:p>
    <w:p w14:paraId="3A75BBEA">
      <w:pPr>
        <w:spacing w:before="19"/>
      </w:pPr>
    </w:p>
    <w:p w14:paraId="13DCBC7A">
      <w:pPr>
        <w:spacing w:before="18"/>
      </w:pPr>
    </w:p>
    <w:p w14:paraId="339C1070">
      <w:pPr>
        <w:spacing w:before="18"/>
      </w:pPr>
    </w:p>
    <w:tbl>
      <w:tblPr>
        <w:tblStyle w:val="5"/>
        <w:tblW w:w="9063"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070"/>
        <w:gridCol w:w="7993"/>
      </w:tblGrid>
      <w:tr w14:paraId="0A43F1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2" w:hRule="atLeast"/>
        </w:trPr>
        <w:tc>
          <w:tcPr>
            <w:tcW w:w="1070" w:type="dxa"/>
            <w:tcBorders>
              <w:bottom w:val="single" w:color="000000" w:sz="2" w:space="0"/>
              <w:right w:val="single" w:color="000000" w:sz="2" w:space="0"/>
            </w:tcBorders>
            <w:vAlign w:val="top"/>
          </w:tcPr>
          <w:p w14:paraId="3269DD22">
            <w:pPr>
              <w:rPr>
                <w:rFonts w:ascii="Arial"/>
                <w:sz w:val="21"/>
              </w:rPr>
            </w:pPr>
          </w:p>
        </w:tc>
        <w:tc>
          <w:tcPr>
            <w:tcW w:w="7993" w:type="dxa"/>
            <w:tcBorders>
              <w:left w:val="single" w:color="000000" w:sz="2" w:space="0"/>
              <w:bottom w:val="single" w:color="000000" w:sz="2" w:space="0"/>
            </w:tcBorders>
            <w:vAlign w:val="top"/>
          </w:tcPr>
          <w:p w14:paraId="69E638C3">
            <w:pPr>
              <w:spacing w:before="41" w:line="360" w:lineRule="auto"/>
              <w:ind w:left="19" w:right="12" w:firstLine="422"/>
              <w:outlineLvl w:val="0"/>
              <w:rPr>
                <w:rFonts w:ascii="仿宋" w:hAnsi="仿宋" w:eastAsia="仿宋" w:cs="仿宋"/>
                <w:sz w:val="20"/>
                <w:szCs w:val="20"/>
              </w:rPr>
            </w:pPr>
            <w:r>
              <w:rPr>
                <w:rFonts w:ascii="仿宋" w:hAnsi="仿宋" w:eastAsia="仿宋" w:cs="仿宋"/>
                <w:spacing w:val="8"/>
                <w:sz w:val="20"/>
                <w:szCs w:val="20"/>
              </w:rPr>
              <w:t>本项目施工期和运营期采取各种防治措施，符合《内蒙古自治区“十四五”公路水路交通运输发展规划》规划环评要求。</w:t>
            </w:r>
          </w:p>
        </w:tc>
      </w:tr>
      <w:tr w14:paraId="0536F2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295" w:hRule="atLeast"/>
        </w:trPr>
        <w:tc>
          <w:tcPr>
            <w:tcW w:w="1070" w:type="dxa"/>
            <w:tcBorders>
              <w:top w:val="single" w:color="000000" w:sz="2" w:space="0"/>
              <w:right w:val="single" w:color="000000" w:sz="2" w:space="0"/>
            </w:tcBorders>
            <w:vAlign w:val="top"/>
          </w:tcPr>
          <w:p w14:paraId="4BA30015">
            <w:pPr>
              <w:spacing w:line="241" w:lineRule="auto"/>
              <w:rPr>
                <w:rFonts w:ascii="Arial"/>
                <w:sz w:val="21"/>
              </w:rPr>
            </w:pPr>
          </w:p>
          <w:p w14:paraId="55ADFD27">
            <w:pPr>
              <w:spacing w:line="241" w:lineRule="auto"/>
              <w:rPr>
                <w:rFonts w:ascii="Arial"/>
                <w:sz w:val="21"/>
              </w:rPr>
            </w:pPr>
          </w:p>
          <w:p w14:paraId="1DCB8B86">
            <w:pPr>
              <w:spacing w:line="241" w:lineRule="auto"/>
              <w:rPr>
                <w:rFonts w:ascii="Arial"/>
                <w:sz w:val="21"/>
              </w:rPr>
            </w:pPr>
          </w:p>
          <w:p w14:paraId="3F92F546">
            <w:pPr>
              <w:spacing w:line="241" w:lineRule="auto"/>
              <w:rPr>
                <w:rFonts w:ascii="Arial"/>
                <w:sz w:val="21"/>
              </w:rPr>
            </w:pPr>
          </w:p>
          <w:p w14:paraId="3A82F294">
            <w:pPr>
              <w:spacing w:line="241" w:lineRule="auto"/>
              <w:rPr>
                <w:rFonts w:ascii="Arial"/>
                <w:sz w:val="21"/>
              </w:rPr>
            </w:pPr>
          </w:p>
          <w:p w14:paraId="15C4A823">
            <w:pPr>
              <w:spacing w:line="241" w:lineRule="auto"/>
              <w:rPr>
                <w:rFonts w:ascii="Arial"/>
                <w:sz w:val="21"/>
              </w:rPr>
            </w:pPr>
          </w:p>
          <w:p w14:paraId="61ABAF56">
            <w:pPr>
              <w:spacing w:line="241" w:lineRule="auto"/>
              <w:rPr>
                <w:rFonts w:ascii="Arial"/>
                <w:sz w:val="21"/>
              </w:rPr>
            </w:pPr>
          </w:p>
          <w:p w14:paraId="50A9E41F">
            <w:pPr>
              <w:spacing w:line="242" w:lineRule="auto"/>
              <w:rPr>
                <w:rFonts w:ascii="Arial"/>
                <w:sz w:val="21"/>
              </w:rPr>
            </w:pPr>
          </w:p>
          <w:p w14:paraId="616A887E">
            <w:pPr>
              <w:spacing w:line="242" w:lineRule="auto"/>
              <w:rPr>
                <w:rFonts w:ascii="Arial"/>
                <w:sz w:val="21"/>
              </w:rPr>
            </w:pPr>
          </w:p>
          <w:p w14:paraId="5934DEE8">
            <w:pPr>
              <w:spacing w:line="242" w:lineRule="auto"/>
              <w:rPr>
                <w:rFonts w:ascii="Arial"/>
                <w:sz w:val="21"/>
              </w:rPr>
            </w:pPr>
          </w:p>
          <w:p w14:paraId="4701CBAC">
            <w:pPr>
              <w:spacing w:line="242" w:lineRule="auto"/>
              <w:rPr>
                <w:rFonts w:ascii="Arial"/>
                <w:sz w:val="21"/>
              </w:rPr>
            </w:pPr>
          </w:p>
          <w:p w14:paraId="75BDB489">
            <w:pPr>
              <w:spacing w:line="242" w:lineRule="auto"/>
              <w:rPr>
                <w:rFonts w:ascii="Arial"/>
                <w:sz w:val="21"/>
              </w:rPr>
            </w:pPr>
          </w:p>
          <w:p w14:paraId="619EF1E4">
            <w:pPr>
              <w:spacing w:line="242" w:lineRule="auto"/>
              <w:rPr>
                <w:rFonts w:ascii="Arial"/>
                <w:sz w:val="21"/>
              </w:rPr>
            </w:pPr>
          </w:p>
          <w:p w14:paraId="2E75BBD6">
            <w:pPr>
              <w:spacing w:line="242" w:lineRule="auto"/>
              <w:rPr>
                <w:rFonts w:ascii="Arial"/>
                <w:sz w:val="21"/>
              </w:rPr>
            </w:pPr>
          </w:p>
          <w:p w14:paraId="1B582CA4">
            <w:pPr>
              <w:spacing w:line="242" w:lineRule="auto"/>
              <w:rPr>
                <w:rFonts w:ascii="Arial"/>
                <w:sz w:val="21"/>
              </w:rPr>
            </w:pPr>
          </w:p>
          <w:p w14:paraId="4286C947">
            <w:pPr>
              <w:spacing w:line="242" w:lineRule="auto"/>
              <w:rPr>
                <w:rFonts w:ascii="Arial"/>
                <w:sz w:val="21"/>
              </w:rPr>
            </w:pPr>
          </w:p>
          <w:p w14:paraId="1D20CB9B">
            <w:pPr>
              <w:spacing w:line="242" w:lineRule="auto"/>
              <w:rPr>
                <w:rFonts w:ascii="Arial"/>
                <w:sz w:val="21"/>
              </w:rPr>
            </w:pPr>
          </w:p>
          <w:p w14:paraId="3A7F2B83">
            <w:pPr>
              <w:spacing w:line="242" w:lineRule="auto"/>
              <w:rPr>
                <w:rFonts w:ascii="Arial"/>
                <w:sz w:val="21"/>
              </w:rPr>
            </w:pPr>
          </w:p>
          <w:p w14:paraId="67C4CA6F">
            <w:pPr>
              <w:spacing w:line="242" w:lineRule="auto"/>
              <w:rPr>
                <w:rFonts w:ascii="Arial"/>
                <w:sz w:val="21"/>
              </w:rPr>
            </w:pPr>
          </w:p>
          <w:p w14:paraId="6941AF7F">
            <w:pPr>
              <w:spacing w:line="242" w:lineRule="auto"/>
              <w:rPr>
                <w:rFonts w:ascii="Arial"/>
                <w:sz w:val="21"/>
              </w:rPr>
            </w:pPr>
          </w:p>
          <w:p w14:paraId="6D0E6DD1">
            <w:pPr>
              <w:spacing w:line="242" w:lineRule="auto"/>
              <w:rPr>
                <w:rFonts w:ascii="Arial"/>
                <w:sz w:val="21"/>
              </w:rPr>
            </w:pPr>
          </w:p>
          <w:p w14:paraId="1F468B27">
            <w:pPr>
              <w:spacing w:line="242" w:lineRule="auto"/>
              <w:rPr>
                <w:rFonts w:ascii="Arial"/>
                <w:sz w:val="21"/>
              </w:rPr>
            </w:pPr>
          </w:p>
          <w:p w14:paraId="6C249C76">
            <w:pPr>
              <w:spacing w:line="242" w:lineRule="auto"/>
              <w:rPr>
                <w:rFonts w:ascii="Arial"/>
                <w:sz w:val="21"/>
              </w:rPr>
            </w:pPr>
          </w:p>
          <w:p w14:paraId="61DAC7F9">
            <w:pPr>
              <w:spacing w:line="242" w:lineRule="auto"/>
              <w:rPr>
                <w:rFonts w:ascii="Arial"/>
                <w:sz w:val="21"/>
              </w:rPr>
            </w:pPr>
          </w:p>
          <w:p w14:paraId="7B2C2200">
            <w:pPr>
              <w:spacing w:before="65" w:line="250" w:lineRule="auto"/>
              <w:ind w:left="227" w:right="117" w:hanging="107"/>
              <w:rPr>
                <w:rFonts w:ascii="仿宋" w:hAnsi="仿宋" w:eastAsia="仿宋" w:cs="仿宋"/>
                <w:sz w:val="20"/>
                <w:szCs w:val="20"/>
              </w:rPr>
            </w:pPr>
            <w:r>
              <w:rPr>
                <w:rFonts w:ascii="仿宋" w:hAnsi="仿宋" w:eastAsia="仿宋" w:cs="仿宋"/>
                <w:spacing w:val="5"/>
                <w:sz w:val="20"/>
                <w:szCs w:val="20"/>
              </w:rPr>
              <w:t>其他符合</w:t>
            </w:r>
            <w:r>
              <w:rPr>
                <w:rFonts w:ascii="仿宋" w:hAnsi="仿宋" w:eastAsia="仿宋" w:cs="仿宋"/>
                <w:spacing w:val="3"/>
                <w:sz w:val="20"/>
                <w:szCs w:val="20"/>
              </w:rPr>
              <w:t>性分析</w:t>
            </w:r>
          </w:p>
        </w:tc>
        <w:tc>
          <w:tcPr>
            <w:tcW w:w="7993" w:type="dxa"/>
            <w:tcBorders>
              <w:top w:val="single" w:color="000000" w:sz="2" w:space="0"/>
              <w:left w:val="single" w:color="000000" w:sz="2" w:space="0"/>
            </w:tcBorders>
            <w:vAlign w:val="top"/>
          </w:tcPr>
          <w:p w14:paraId="6CFC6F9B">
            <w:pPr>
              <w:pStyle w:val="6"/>
              <w:spacing w:before="47" w:line="229" w:lineRule="auto"/>
              <w:ind w:left="451"/>
              <w:outlineLvl w:val="0"/>
              <w:rPr>
                <w:rFonts w:ascii="仿宋" w:hAnsi="仿宋" w:eastAsia="仿宋" w:cs="仿宋"/>
                <w:sz w:val="20"/>
                <w:szCs w:val="20"/>
              </w:rPr>
            </w:pPr>
            <w:r>
              <w:rPr>
                <w:spacing w:val="3"/>
                <w:sz w:val="20"/>
                <w:szCs w:val="20"/>
              </w:rPr>
              <w:t>1</w:t>
            </w:r>
            <w:r>
              <w:rPr>
                <w:spacing w:val="-20"/>
                <w:sz w:val="20"/>
                <w:szCs w:val="20"/>
              </w:rPr>
              <w:t xml:space="preserve"> </w:t>
            </w:r>
            <w:r>
              <w:rPr>
                <w:rFonts w:ascii="仿宋" w:hAnsi="仿宋" w:eastAsia="仿宋" w:cs="仿宋"/>
                <w:spacing w:val="3"/>
                <w:sz w:val="20"/>
                <w:szCs w:val="20"/>
              </w:rPr>
              <w:t>、</w:t>
            </w:r>
            <w:r>
              <w:rPr>
                <w:spacing w:val="3"/>
                <w:sz w:val="20"/>
                <w:szCs w:val="20"/>
              </w:rPr>
              <w:t>“</w:t>
            </w:r>
            <w:r>
              <w:rPr>
                <w:spacing w:val="-23"/>
                <w:sz w:val="20"/>
                <w:szCs w:val="20"/>
              </w:rPr>
              <w:t xml:space="preserve"> </w:t>
            </w:r>
            <w:r>
              <w:rPr>
                <w:rFonts w:ascii="仿宋" w:hAnsi="仿宋" w:eastAsia="仿宋" w:cs="仿宋"/>
                <w:spacing w:val="3"/>
                <w:sz w:val="20"/>
                <w:szCs w:val="20"/>
              </w:rPr>
              <w:t>生态环境分区管控</w:t>
            </w:r>
            <w:r>
              <w:rPr>
                <w:spacing w:val="3"/>
                <w:sz w:val="20"/>
                <w:szCs w:val="20"/>
              </w:rPr>
              <w:t>”</w:t>
            </w:r>
            <w:r>
              <w:rPr>
                <w:spacing w:val="-31"/>
                <w:sz w:val="20"/>
                <w:szCs w:val="20"/>
              </w:rPr>
              <w:t xml:space="preserve"> </w:t>
            </w:r>
            <w:r>
              <w:rPr>
                <w:rFonts w:ascii="仿宋" w:hAnsi="仿宋" w:eastAsia="仿宋" w:cs="仿宋"/>
                <w:spacing w:val="3"/>
                <w:sz w:val="20"/>
                <w:szCs w:val="20"/>
              </w:rPr>
              <w:t>符合性分析</w:t>
            </w:r>
          </w:p>
          <w:p w14:paraId="45EE6757">
            <w:pPr>
              <w:pStyle w:val="6"/>
              <w:spacing w:before="160" w:line="230" w:lineRule="auto"/>
              <w:ind w:left="442"/>
              <w:outlineLvl w:val="0"/>
              <w:rPr>
                <w:rFonts w:ascii="仿宋" w:hAnsi="仿宋" w:eastAsia="仿宋" w:cs="仿宋"/>
                <w:sz w:val="20"/>
                <w:szCs w:val="20"/>
              </w:rPr>
            </w:pPr>
            <w:r>
              <w:rPr>
                <w:rFonts w:ascii="仿宋" w:hAnsi="仿宋" w:eastAsia="仿宋" w:cs="仿宋"/>
                <w:spacing w:val="5"/>
                <w:sz w:val="20"/>
                <w:szCs w:val="20"/>
              </w:rPr>
              <w:t>本次评价依据鄂尔多斯市生态环境局</w:t>
            </w:r>
            <w:r>
              <w:rPr>
                <w:rFonts w:ascii="仿宋" w:hAnsi="仿宋" w:eastAsia="仿宋" w:cs="仿宋"/>
                <w:spacing w:val="-33"/>
                <w:sz w:val="20"/>
                <w:szCs w:val="20"/>
              </w:rPr>
              <w:t xml:space="preserve"> </w:t>
            </w:r>
            <w:r>
              <w:rPr>
                <w:spacing w:val="5"/>
                <w:sz w:val="20"/>
                <w:szCs w:val="20"/>
              </w:rPr>
              <w:t>2024</w:t>
            </w:r>
            <w:r>
              <w:rPr>
                <w:spacing w:val="22"/>
                <w:sz w:val="20"/>
                <w:szCs w:val="20"/>
              </w:rPr>
              <w:t xml:space="preserve"> </w:t>
            </w:r>
            <w:r>
              <w:rPr>
                <w:rFonts w:ascii="仿宋" w:hAnsi="仿宋" w:eastAsia="仿宋" w:cs="仿宋"/>
                <w:spacing w:val="5"/>
                <w:sz w:val="20"/>
                <w:szCs w:val="20"/>
              </w:rPr>
              <w:t>年</w:t>
            </w:r>
            <w:r>
              <w:rPr>
                <w:rFonts w:ascii="仿宋" w:hAnsi="仿宋" w:eastAsia="仿宋" w:cs="仿宋"/>
                <w:spacing w:val="-35"/>
                <w:sz w:val="20"/>
                <w:szCs w:val="20"/>
              </w:rPr>
              <w:t xml:space="preserve"> </w:t>
            </w:r>
            <w:r>
              <w:rPr>
                <w:spacing w:val="5"/>
                <w:sz w:val="20"/>
                <w:szCs w:val="20"/>
              </w:rPr>
              <w:t>8</w:t>
            </w:r>
            <w:r>
              <w:rPr>
                <w:spacing w:val="28"/>
                <w:sz w:val="20"/>
                <w:szCs w:val="20"/>
              </w:rPr>
              <w:t xml:space="preserve"> </w:t>
            </w:r>
            <w:r>
              <w:rPr>
                <w:rFonts w:ascii="仿宋" w:hAnsi="仿宋" w:eastAsia="仿宋" w:cs="仿宋"/>
                <w:spacing w:val="5"/>
                <w:sz w:val="20"/>
                <w:szCs w:val="20"/>
              </w:rPr>
              <w:t>月</w:t>
            </w:r>
            <w:r>
              <w:rPr>
                <w:rFonts w:ascii="仿宋" w:hAnsi="仿宋" w:eastAsia="仿宋" w:cs="仿宋"/>
                <w:spacing w:val="-39"/>
                <w:sz w:val="20"/>
                <w:szCs w:val="20"/>
              </w:rPr>
              <w:t xml:space="preserve"> </w:t>
            </w:r>
            <w:r>
              <w:rPr>
                <w:spacing w:val="5"/>
                <w:sz w:val="20"/>
                <w:szCs w:val="20"/>
              </w:rPr>
              <w:t xml:space="preserve">6  </w:t>
            </w:r>
            <w:r>
              <w:rPr>
                <w:rFonts w:ascii="仿宋" w:hAnsi="仿宋" w:eastAsia="仿宋" w:cs="仿宋"/>
                <w:spacing w:val="5"/>
                <w:sz w:val="20"/>
                <w:szCs w:val="20"/>
              </w:rPr>
              <w:t>日印发的《鄂尔多斯市生态环</w:t>
            </w:r>
          </w:p>
          <w:p w14:paraId="465ECBE9">
            <w:pPr>
              <w:pStyle w:val="6"/>
              <w:spacing w:before="161" w:line="374" w:lineRule="auto"/>
              <w:ind w:left="22" w:right="12" w:firstLine="1"/>
              <w:jc w:val="both"/>
              <w:rPr>
                <w:rFonts w:ascii="仿宋" w:hAnsi="仿宋" w:eastAsia="仿宋" w:cs="仿宋"/>
                <w:sz w:val="20"/>
                <w:szCs w:val="20"/>
              </w:rPr>
            </w:pPr>
            <w:r>
              <w:rPr>
                <w:rFonts w:ascii="仿宋" w:hAnsi="仿宋" w:eastAsia="仿宋" w:cs="仿宋"/>
                <w:spacing w:val="8"/>
                <w:sz w:val="20"/>
                <w:szCs w:val="20"/>
              </w:rPr>
              <w:t>境分区管控动态更新成果</w:t>
            </w:r>
            <w:r>
              <w:rPr>
                <w:spacing w:val="8"/>
                <w:sz w:val="20"/>
                <w:szCs w:val="20"/>
              </w:rPr>
              <w:t>(2023</w:t>
            </w:r>
            <w:r>
              <w:rPr>
                <w:spacing w:val="32"/>
                <w:sz w:val="20"/>
                <w:szCs w:val="20"/>
              </w:rPr>
              <w:t xml:space="preserve"> </w:t>
            </w:r>
            <w:r>
              <w:rPr>
                <w:rFonts w:ascii="仿宋" w:hAnsi="仿宋" w:eastAsia="仿宋" w:cs="仿宋"/>
                <w:spacing w:val="8"/>
                <w:sz w:val="20"/>
                <w:szCs w:val="20"/>
              </w:rPr>
              <w:t>年版</w:t>
            </w:r>
            <w:r>
              <w:rPr>
                <w:spacing w:val="8"/>
                <w:sz w:val="20"/>
                <w:szCs w:val="20"/>
              </w:rPr>
              <w:t>)</w:t>
            </w:r>
            <w:r>
              <w:rPr>
                <w:rFonts w:ascii="仿宋" w:hAnsi="仿宋" w:eastAsia="仿宋" w:cs="仿宋"/>
                <w:spacing w:val="8"/>
                <w:sz w:val="20"/>
                <w:szCs w:val="20"/>
              </w:rPr>
              <w:t>》开展项目分区管控符合性分析。鄂尔多斯市全域共划定</w:t>
            </w:r>
            <w:r>
              <w:rPr>
                <w:rFonts w:ascii="仿宋" w:hAnsi="仿宋" w:eastAsia="仿宋" w:cs="仿宋"/>
                <w:spacing w:val="-23"/>
                <w:sz w:val="20"/>
                <w:szCs w:val="20"/>
              </w:rPr>
              <w:t xml:space="preserve"> </w:t>
            </w:r>
            <w:r>
              <w:rPr>
                <w:spacing w:val="8"/>
                <w:sz w:val="20"/>
                <w:szCs w:val="20"/>
              </w:rPr>
              <w:t>171</w:t>
            </w:r>
            <w:r>
              <w:rPr>
                <w:spacing w:val="18"/>
                <w:w w:val="101"/>
                <w:sz w:val="20"/>
                <w:szCs w:val="20"/>
              </w:rPr>
              <w:t xml:space="preserve"> </w:t>
            </w:r>
            <w:r>
              <w:rPr>
                <w:rFonts w:ascii="仿宋" w:hAnsi="仿宋" w:eastAsia="仿宋" w:cs="仿宋"/>
                <w:spacing w:val="8"/>
                <w:sz w:val="20"/>
                <w:szCs w:val="20"/>
              </w:rPr>
              <w:t>个环境管控单元，按照管控要求分为优先保护单元、</w:t>
            </w:r>
            <w:r>
              <w:rPr>
                <w:rFonts w:ascii="仿宋" w:hAnsi="仿宋" w:eastAsia="仿宋" w:cs="仿宋"/>
                <w:spacing w:val="7"/>
                <w:sz w:val="20"/>
                <w:szCs w:val="20"/>
              </w:rPr>
              <w:t>重点管控单元、一般管</w:t>
            </w:r>
            <w:r>
              <w:rPr>
                <w:rFonts w:ascii="仿宋" w:hAnsi="仿宋" w:eastAsia="仿宋" w:cs="仿宋"/>
                <w:spacing w:val="8"/>
                <w:sz w:val="20"/>
                <w:szCs w:val="20"/>
              </w:rPr>
              <w:t>控单元三大类，各类管控单元划分概况如下：</w:t>
            </w:r>
          </w:p>
          <w:p w14:paraId="317CE686">
            <w:pPr>
              <w:pStyle w:val="6"/>
              <w:spacing w:before="8" w:line="229" w:lineRule="auto"/>
              <w:ind w:left="441"/>
              <w:outlineLvl w:val="0"/>
              <w:rPr>
                <w:rFonts w:ascii="仿宋" w:hAnsi="仿宋" w:eastAsia="仿宋" w:cs="仿宋"/>
                <w:sz w:val="20"/>
                <w:szCs w:val="20"/>
              </w:rPr>
            </w:pPr>
            <w:r>
              <w:rPr>
                <w:rFonts w:ascii="仿宋" w:hAnsi="仿宋" w:eastAsia="仿宋" w:cs="仿宋"/>
                <w:spacing w:val="6"/>
                <w:sz w:val="20"/>
                <w:szCs w:val="20"/>
              </w:rPr>
              <w:t>优先保护单元（</w:t>
            </w:r>
            <w:r>
              <w:rPr>
                <w:spacing w:val="6"/>
                <w:sz w:val="20"/>
                <w:szCs w:val="20"/>
              </w:rPr>
              <w:t>76</w:t>
            </w:r>
            <w:r>
              <w:rPr>
                <w:spacing w:val="17"/>
                <w:w w:val="101"/>
                <w:sz w:val="20"/>
                <w:szCs w:val="20"/>
              </w:rPr>
              <w:t xml:space="preserve"> </w:t>
            </w:r>
            <w:r>
              <w:rPr>
                <w:rFonts w:ascii="仿宋" w:hAnsi="仿宋" w:eastAsia="仿宋" w:cs="仿宋"/>
                <w:spacing w:val="6"/>
                <w:sz w:val="20"/>
                <w:szCs w:val="20"/>
              </w:rPr>
              <w:t>个</w:t>
            </w:r>
            <w:r>
              <w:rPr>
                <w:rFonts w:ascii="仿宋" w:hAnsi="仿宋" w:eastAsia="仿宋" w:cs="仿宋"/>
                <w:spacing w:val="-14"/>
                <w:sz w:val="20"/>
                <w:szCs w:val="20"/>
              </w:rPr>
              <w:t>）</w:t>
            </w:r>
            <w:r>
              <w:rPr>
                <w:rFonts w:ascii="仿宋" w:hAnsi="仿宋" w:eastAsia="仿宋" w:cs="仿宋"/>
                <w:spacing w:val="-60"/>
                <w:sz w:val="20"/>
                <w:szCs w:val="20"/>
              </w:rPr>
              <w:t xml:space="preserve"> </w:t>
            </w:r>
            <w:r>
              <w:rPr>
                <w:rFonts w:ascii="仿宋" w:hAnsi="仿宋" w:eastAsia="仿宋" w:cs="仿宋"/>
                <w:spacing w:val="-14"/>
                <w:sz w:val="20"/>
                <w:szCs w:val="20"/>
              </w:rPr>
              <w:t>：</w:t>
            </w:r>
            <w:r>
              <w:rPr>
                <w:rFonts w:ascii="仿宋" w:hAnsi="仿宋" w:eastAsia="仿宋" w:cs="仿宋"/>
                <w:spacing w:val="-44"/>
                <w:sz w:val="20"/>
                <w:szCs w:val="20"/>
              </w:rPr>
              <w:t xml:space="preserve"> </w:t>
            </w:r>
            <w:r>
              <w:rPr>
                <w:rFonts w:ascii="仿宋" w:hAnsi="仿宋" w:eastAsia="仿宋" w:cs="仿宋"/>
                <w:spacing w:val="6"/>
                <w:sz w:val="20"/>
                <w:szCs w:val="20"/>
              </w:rPr>
              <w:t>占全市国土总面积</w:t>
            </w:r>
            <w:r>
              <w:rPr>
                <w:rFonts w:ascii="仿宋" w:hAnsi="仿宋" w:eastAsia="仿宋" w:cs="仿宋"/>
                <w:spacing w:val="-38"/>
                <w:sz w:val="20"/>
                <w:szCs w:val="20"/>
              </w:rPr>
              <w:t xml:space="preserve"> </w:t>
            </w:r>
            <w:r>
              <w:rPr>
                <w:spacing w:val="6"/>
                <w:sz w:val="20"/>
                <w:szCs w:val="20"/>
              </w:rPr>
              <w:t>64.35%</w:t>
            </w:r>
            <w:r>
              <w:rPr>
                <w:spacing w:val="-20"/>
                <w:sz w:val="20"/>
                <w:szCs w:val="20"/>
              </w:rPr>
              <w:t xml:space="preserve"> </w:t>
            </w:r>
            <w:r>
              <w:rPr>
                <w:rFonts w:ascii="仿宋" w:hAnsi="仿宋" w:eastAsia="仿宋" w:cs="仿宋"/>
                <w:spacing w:val="6"/>
                <w:sz w:val="20"/>
                <w:szCs w:val="20"/>
              </w:rPr>
              <w:t>，主要涵盖生态保护</w:t>
            </w:r>
            <w:r>
              <w:rPr>
                <w:rFonts w:ascii="仿宋" w:hAnsi="仿宋" w:eastAsia="仿宋" w:cs="仿宋"/>
                <w:spacing w:val="5"/>
                <w:sz w:val="20"/>
                <w:szCs w:val="20"/>
              </w:rPr>
              <w:t>红线、各</w:t>
            </w:r>
          </w:p>
          <w:p w14:paraId="11741C4E">
            <w:pPr>
              <w:spacing w:before="162" w:line="376" w:lineRule="auto"/>
              <w:ind w:left="20" w:right="206" w:firstLine="3"/>
              <w:rPr>
                <w:rFonts w:ascii="仿宋" w:hAnsi="仿宋" w:eastAsia="仿宋" w:cs="仿宋"/>
                <w:sz w:val="20"/>
                <w:szCs w:val="20"/>
              </w:rPr>
            </w:pPr>
            <w:r>
              <w:rPr>
                <w:rFonts w:ascii="仿宋" w:hAnsi="仿宋" w:eastAsia="仿宋" w:cs="仿宋"/>
                <w:spacing w:val="9"/>
                <w:sz w:val="20"/>
                <w:szCs w:val="20"/>
              </w:rPr>
              <w:t>级自然保护地、集中式饮用水水源保护区等生态功能极重要区域及生态环境高敏感区</w:t>
            </w:r>
            <w:r>
              <w:rPr>
                <w:rFonts w:ascii="仿宋" w:hAnsi="仿宋" w:eastAsia="仿宋" w:cs="仿宋"/>
                <w:spacing w:val="7"/>
                <w:sz w:val="20"/>
                <w:szCs w:val="20"/>
              </w:rPr>
              <w:t>域，</w:t>
            </w:r>
            <w:r>
              <w:rPr>
                <w:rFonts w:ascii="仿宋" w:hAnsi="仿宋" w:eastAsia="仿宋" w:cs="仿宋"/>
                <w:spacing w:val="-57"/>
                <w:sz w:val="20"/>
                <w:szCs w:val="20"/>
              </w:rPr>
              <w:t xml:space="preserve"> </w:t>
            </w:r>
            <w:r>
              <w:rPr>
                <w:rFonts w:ascii="仿宋" w:hAnsi="仿宋" w:eastAsia="仿宋" w:cs="仿宋"/>
                <w:spacing w:val="7"/>
                <w:sz w:val="20"/>
                <w:szCs w:val="20"/>
              </w:rPr>
              <w:t>以生态保护、禁止无序开发为核心管控</w:t>
            </w:r>
            <w:r>
              <w:rPr>
                <w:rFonts w:ascii="仿宋" w:hAnsi="仿宋" w:eastAsia="仿宋" w:cs="仿宋"/>
                <w:spacing w:val="6"/>
                <w:sz w:val="20"/>
                <w:szCs w:val="20"/>
              </w:rPr>
              <w:t>要求；</w:t>
            </w:r>
          </w:p>
          <w:p w14:paraId="19283AB7">
            <w:pPr>
              <w:pStyle w:val="6"/>
              <w:spacing w:before="1" w:line="229" w:lineRule="auto"/>
              <w:ind w:right="12"/>
              <w:jc w:val="right"/>
              <w:outlineLvl w:val="0"/>
              <w:rPr>
                <w:rFonts w:ascii="仿宋" w:hAnsi="仿宋" w:eastAsia="仿宋" w:cs="仿宋"/>
                <w:sz w:val="20"/>
                <w:szCs w:val="20"/>
              </w:rPr>
            </w:pPr>
            <w:r>
              <w:rPr>
                <w:rFonts w:ascii="仿宋" w:hAnsi="仿宋" w:eastAsia="仿宋" w:cs="仿宋"/>
                <w:spacing w:val="5"/>
                <w:sz w:val="20"/>
                <w:szCs w:val="20"/>
              </w:rPr>
              <w:t>重点管控单元（</w:t>
            </w:r>
            <w:r>
              <w:rPr>
                <w:spacing w:val="5"/>
                <w:sz w:val="20"/>
                <w:szCs w:val="20"/>
              </w:rPr>
              <w:t>86</w:t>
            </w:r>
            <w:r>
              <w:rPr>
                <w:spacing w:val="17"/>
                <w:sz w:val="20"/>
                <w:szCs w:val="20"/>
              </w:rPr>
              <w:t xml:space="preserve"> </w:t>
            </w:r>
            <w:r>
              <w:rPr>
                <w:rFonts w:ascii="仿宋" w:hAnsi="仿宋" w:eastAsia="仿宋" w:cs="仿宋"/>
                <w:spacing w:val="5"/>
                <w:sz w:val="20"/>
                <w:szCs w:val="20"/>
              </w:rPr>
              <w:t>个</w:t>
            </w:r>
            <w:r>
              <w:rPr>
                <w:rFonts w:ascii="仿宋" w:hAnsi="仿宋" w:eastAsia="仿宋" w:cs="仿宋"/>
                <w:spacing w:val="3"/>
                <w:sz w:val="20"/>
                <w:szCs w:val="20"/>
              </w:rPr>
              <w:t>）：</w:t>
            </w:r>
            <w:r>
              <w:rPr>
                <w:rFonts w:ascii="仿宋" w:hAnsi="仿宋" w:eastAsia="仿宋" w:cs="仿宋"/>
                <w:spacing w:val="-49"/>
                <w:sz w:val="20"/>
                <w:szCs w:val="20"/>
              </w:rPr>
              <w:t xml:space="preserve"> </w:t>
            </w:r>
            <w:r>
              <w:rPr>
                <w:rFonts w:ascii="仿宋" w:hAnsi="仿宋" w:eastAsia="仿宋" w:cs="仿宋"/>
                <w:spacing w:val="5"/>
                <w:sz w:val="20"/>
                <w:szCs w:val="20"/>
              </w:rPr>
              <w:t>占全市国土总面积</w:t>
            </w:r>
            <w:r>
              <w:rPr>
                <w:rFonts w:ascii="仿宋" w:hAnsi="仿宋" w:eastAsia="仿宋" w:cs="仿宋"/>
                <w:spacing w:val="-41"/>
                <w:sz w:val="20"/>
                <w:szCs w:val="20"/>
              </w:rPr>
              <w:t xml:space="preserve"> </w:t>
            </w:r>
            <w:r>
              <w:rPr>
                <w:spacing w:val="5"/>
                <w:sz w:val="20"/>
                <w:szCs w:val="20"/>
              </w:rPr>
              <w:t>28.</w:t>
            </w:r>
            <w:r>
              <w:rPr>
                <w:spacing w:val="-25"/>
                <w:sz w:val="20"/>
                <w:szCs w:val="20"/>
              </w:rPr>
              <w:t xml:space="preserve"> </w:t>
            </w:r>
            <w:r>
              <w:rPr>
                <w:spacing w:val="4"/>
                <w:sz w:val="20"/>
                <w:szCs w:val="20"/>
              </w:rPr>
              <w:t>1%</w:t>
            </w:r>
            <w:r>
              <w:rPr>
                <w:spacing w:val="-22"/>
                <w:sz w:val="20"/>
                <w:szCs w:val="20"/>
              </w:rPr>
              <w:t xml:space="preserve"> </w:t>
            </w:r>
            <w:r>
              <w:rPr>
                <w:rFonts w:ascii="仿宋" w:hAnsi="仿宋" w:eastAsia="仿宋" w:cs="仿宋"/>
                <w:spacing w:val="4"/>
                <w:sz w:val="20"/>
                <w:szCs w:val="20"/>
              </w:rPr>
              <w:t>，主要包含工业园区、城镇建成</w:t>
            </w:r>
          </w:p>
          <w:p w14:paraId="5DB35F90">
            <w:pPr>
              <w:spacing w:before="158" w:line="377" w:lineRule="auto"/>
              <w:ind w:left="27" w:right="12" w:firstLine="12"/>
              <w:rPr>
                <w:rFonts w:ascii="仿宋" w:hAnsi="仿宋" w:eastAsia="仿宋" w:cs="仿宋"/>
                <w:sz w:val="20"/>
                <w:szCs w:val="20"/>
              </w:rPr>
            </w:pPr>
            <w:r>
              <w:rPr>
                <w:rFonts w:ascii="仿宋" w:hAnsi="仿宋" w:eastAsia="仿宋" w:cs="仿宋"/>
                <w:spacing w:val="8"/>
                <w:sz w:val="20"/>
                <w:szCs w:val="20"/>
              </w:rPr>
              <w:t>区、矿产开采矿区等开发强度高、污染物排放量大</w:t>
            </w:r>
            <w:r>
              <w:rPr>
                <w:rFonts w:ascii="仿宋" w:hAnsi="仿宋" w:eastAsia="仿宋" w:cs="仿宋"/>
                <w:spacing w:val="7"/>
                <w:sz w:val="20"/>
                <w:szCs w:val="20"/>
              </w:rPr>
              <w:t>、环境问题集中的区域，</w:t>
            </w:r>
            <w:r>
              <w:rPr>
                <w:rFonts w:ascii="仿宋" w:hAnsi="仿宋" w:eastAsia="仿宋" w:cs="仿宋"/>
                <w:spacing w:val="-58"/>
                <w:sz w:val="20"/>
                <w:szCs w:val="20"/>
              </w:rPr>
              <w:t xml:space="preserve"> </w:t>
            </w:r>
            <w:r>
              <w:rPr>
                <w:rFonts w:ascii="仿宋" w:hAnsi="仿宋" w:eastAsia="仿宋" w:cs="仿宋"/>
                <w:spacing w:val="7"/>
                <w:sz w:val="20"/>
                <w:szCs w:val="20"/>
              </w:rPr>
              <w:t>同时涵盖黄</w:t>
            </w:r>
            <w:r>
              <w:rPr>
                <w:rFonts w:ascii="仿宋" w:hAnsi="仿宋" w:eastAsia="仿宋" w:cs="仿宋"/>
                <w:spacing w:val="8"/>
                <w:sz w:val="20"/>
                <w:szCs w:val="20"/>
              </w:rPr>
              <w:t>河生态需水补给区，</w:t>
            </w:r>
            <w:r>
              <w:rPr>
                <w:rFonts w:ascii="仿宋" w:hAnsi="仿宋" w:eastAsia="仿宋" w:cs="仿宋"/>
                <w:spacing w:val="-58"/>
                <w:sz w:val="20"/>
                <w:szCs w:val="20"/>
              </w:rPr>
              <w:t xml:space="preserve"> </w:t>
            </w:r>
            <w:r>
              <w:rPr>
                <w:rFonts w:ascii="仿宋" w:hAnsi="仿宋" w:eastAsia="仿宋" w:cs="仿宋"/>
                <w:spacing w:val="8"/>
                <w:sz w:val="20"/>
                <w:szCs w:val="20"/>
              </w:rPr>
              <w:t>以污染减排、生态修复、严控开发规模为核</w:t>
            </w:r>
            <w:r>
              <w:rPr>
                <w:rFonts w:ascii="仿宋" w:hAnsi="仿宋" w:eastAsia="仿宋" w:cs="仿宋"/>
                <w:spacing w:val="7"/>
                <w:sz w:val="20"/>
                <w:szCs w:val="20"/>
              </w:rPr>
              <w:t>心管控要求；</w:t>
            </w:r>
          </w:p>
          <w:p w14:paraId="321B6A3D">
            <w:pPr>
              <w:pStyle w:val="6"/>
              <w:spacing w:before="1" w:line="229" w:lineRule="auto"/>
              <w:ind w:left="444"/>
              <w:outlineLvl w:val="0"/>
              <w:rPr>
                <w:rFonts w:ascii="仿宋" w:hAnsi="仿宋" w:eastAsia="仿宋" w:cs="仿宋"/>
                <w:sz w:val="20"/>
                <w:szCs w:val="20"/>
              </w:rPr>
            </w:pPr>
            <w:r>
              <w:rPr>
                <w:rFonts w:ascii="仿宋" w:hAnsi="仿宋" w:eastAsia="仿宋" w:cs="仿宋"/>
                <w:spacing w:val="6"/>
                <w:sz w:val="20"/>
                <w:szCs w:val="20"/>
              </w:rPr>
              <w:t>一般管控单元（</w:t>
            </w:r>
            <w:r>
              <w:rPr>
                <w:spacing w:val="6"/>
                <w:sz w:val="20"/>
                <w:szCs w:val="20"/>
              </w:rPr>
              <w:t>9</w:t>
            </w:r>
            <w:r>
              <w:rPr>
                <w:spacing w:val="17"/>
                <w:sz w:val="20"/>
                <w:szCs w:val="20"/>
              </w:rPr>
              <w:t xml:space="preserve"> </w:t>
            </w:r>
            <w:r>
              <w:rPr>
                <w:rFonts w:ascii="仿宋" w:hAnsi="仿宋" w:eastAsia="仿宋" w:cs="仿宋"/>
                <w:spacing w:val="6"/>
                <w:sz w:val="20"/>
                <w:szCs w:val="20"/>
              </w:rPr>
              <w:t>个</w:t>
            </w:r>
            <w:r>
              <w:rPr>
                <w:rFonts w:ascii="仿宋" w:hAnsi="仿宋" w:eastAsia="仿宋" w:cs="仿宋"/>
                <w:spacing w:val="-14"/>
                <w:sz w:val="20"/>
                <w:szCs w:val="20"/>
              </w:rPr>
              <w:t>）</w:t>
            </w:r>
            <w:r>
              <w:rPr>
                <w:rFonts w:ascii="仿宋" w:hAnsi="仿宋" w:eastAsia="仿宋" w:cs="仿宋"/>
                <w:spacing w:val="-60"/>
                <w:sz w:val="20"/>
                <w:szCs w:val="20"/>
              </w:rPr>
              <w:t xml:space="preserve"> </w:t>
            </w:r>
            <w:r>
              <w:rPr>
                <w:rFonts w:ascii="仿宋" w:hAnsi="仿宋" w:eastAsia="仿宋" w:cs="仿宋"/>
                <w:spacing w:val="-14"/>
                <w:sz w:val="20"/>
                <w:szCs w:val="20"/>
              </w:rPr>
              <w:t>：</w:t>
            </w:r>
            <w:r>
              <w:rPr>
                <w:rFonts w:ascii="仿宋" w:hAnsi="仿宋" w:eastAsia="仿宋" w:cs="仿宋"/>
                <w:spacing w:val="-44"/>
                <w:sz w:val="20"/>
                <w:szCs w:val="20"/>
              </w:rPr>
              <w:t xml:space="preserve"> </w:t>
            </w:r>
            <w:r>
              <w:rPr>
                <w:rFonts w:ascii="仿宋" w:hAnsi="仿宋" w:eastAsia="仿宋" w:cs="仿宋"/>
                <w:spacing w:val="6"/>
                <w:sz w:val="20"/>
                <w:szCs w:val="20"/>
              </w:rPr>
              <w:t>占全市国土总面积</w:t>
            </w:r>
            <w:r>
              <w:rPr>
                <w:rFonts w:ascii="仿宋" w:hAnsi="仿宋" w:eastAsia="仿宋" w:cs="仿宋"/>
                <w:spacing w:val="-37"/>
                <w:sz w:val="20"/>
                <w:szCs w:val="20"/>
              </w:rPr>
              <w:t xml:space="preserve"> </w:t>
            </w:r>
            <w:r>
              <w:rPr>
                <w:spacing w:val="6"/>
                <w:sz w:val="20"/>
                <w:szCs w:val="20"/>
              </w:rPr>
              <w:t>7.56%</w:t>
            </w:r>
            <w:r>
              <w:rPr>
                <w:spacing w:val="-22"/>
                <w:sz w:val="20"/>
                <w:szCs w:val="20"/>
              </w:rPr>
              <w:t xml:space="preserve"> </w:t>
            </w:r>
            <w:r>
              <w:rPr>
                <w:rFonts w:ascii="仿宋" w:hAnsi="仿宋" w:eastAsia="仿宋" w:cs="仿宋"/>
                <w:spacing w:val="6"/>
                <w:sz w:val="20"/>
                <w:szCs w:val="20"/>
              </w:rPr>
              <w:t>，为除优先保</w:t>
            </w:r>
            <w:r>
              <w:rPr>
                <w:rFonts w:ascii="仿宋" w:hAnsi="仿宋" w:eastAsia="仿宋" w:cs="仿宋"/>
                <w:spacing w:val="5"/>
                <w:sz w:val="20"/>
                <w:szCs w:val="20"/>
              </w:rPr>
              <w:t>护单元、重点管控</w:t>
            </w:r>
          </w:p>
          <w:p w14:paraId="3D43BE12">
            <w:pPr>
              <w:spacing w:before="162" w:line="229" w:lineRule="auto"/>
              <w:ind w:left="25"/>
              <w:rPr>
                <w:rFonts w:ascii="仿宋" w:hAnsi="仿宋" w:eastAsia="仿宋" w:cs="仿宋"/>
                <w:sz w:val="20"/>
                <w:szCs w:val="20"/>
              </w:rPr>
            </w:pPr>
            <w:r>
              <w:rPr>
                <w:rFonts w:ascii="仿宋" w:hAnsi="仿宋" w:eastAsia="仿宋" w:cs="仿宋"/>
                <w:spacing w:val="8"/>
                <w:sz w:val="20"/>
                <w:szCs w:val="20"/>
              </w:rPr>
              <w:t>单元以外的其余区域，遵循常规生态环境管理要求即可。</w:t>
            </w:r>
          </w:p>
          <w:p w14:paraId="70A171FA">
            <w:pPr>
              <w:spacing w:before="160" w:line="230" w:lineRule="auto"/>
              <w:ind w:right="12"/>
              <w:jc w:val="right"/>
              <w:outlineLvl w:val="0"/>
              <w:rPr>
                <w:rFonts w:ascii="仿宋" w:hAnsi="仿宋" w:eastAsia="仿宋" w:cs="仿宋"/>
                <w:sz w:val="20"/>
                <w:szCs w:val="20"/>
              </w:rPr>
            </w:pPr>
            <w:r>
              <w:rPr>
                <w:rFonts w:ascii="仿宋" w:hAnsi="仿宋" w:eastAsia="仿宋" w:cs="仿宋"/>
                <w:spacing w:val="9"/>
                <w:sz w:val="20"/>
                <w:szCs w:val="20"/>
              </w:rPr>
              <w:t>本农村公路项目拟建线路途经鄂尔多斯市准格尔旗沙圪堵镇、十二连城乡，线路跨</w:t>
            </w:r>
          </w:p>
          <w:p w14:paraId="2060806A">
            <w:pPr>
              <w:pStyle w:val="6"/>
              <w:spacing w:before="158" w:line="377" w:lineRule="auto"/>
              <w:ind w:left="10" w:firstLine="10"/>
              <w:rPr>
                <w:rFonts w:ascii="仿宋" w:hAnsi="仿宋" w:eastAsia="仿宋" w:cs="仿宋"/>
                <w:sz w:val="20"/>
                <w:szCs w:val="20"/>
              </w:rPr>
            </w:pPr>
            <w:r>
              <w:rPr>
                <w:rFonts w:ascii="仿宋" w:hAnsi="仿宋" w:eastAsia="仿宋" w:cs="仿宋"/>
                <w:spacing w:val="4"/>
                <w:sz w:val="20"/>
                <w:szCs w:val="20"/>
              </w:rPr>
              <w:t>越四类环境管控单元，分别为准格尔旗水土保持生态功能重要区（优先保护单元，编码：</w:t>
            </w:r>
            <w:r>
              <w:rPr>
                <w:rFonts w:ascii="仿宋" w:hAnsi="仿宋" w:eastAsia="仿宋" w:cs="仿宋"/>
                <w:spacing w:val="5"/>
                <w:sz w:val="20"/>
                <w:szCs w:val="20"/>
              </w:rPr>
              <w:t xml:space="preserve"> </w:t>
            </w:r>
            <w:r>
              <w:rPr>
                <w:sz w:val="20"/>
                <w:szCs w:val="20"/>
              </w:rPr>
              <w:t>ZH</w:t>
            </w:r>
            <w:r>
              <w:rPr>
                <w:spacing w:val="15"/>
                <w:sz w:val="20"/>
                <w:szCs w:val="20"/>
              </w:rPr>
              <w:t>15062210007</w:t>
            </w:r>
            <w:r>
              <w:rPr>
                <w:rFonts w:ascii="仿宋" w:hAnsi="仿宋" w:eastAsia="仿宋" w:cs="仿宋"/>
                <w:spacing w:val="15"/>
                <w:sz w:val="20"/>
                <w:szCs w:val="20"/>
              </w:rPr>
              <w:t>）</w:t>
            </w:r>
            <w:r>
              <w:rPr>
                <w:rFonts w:ascii="仿宋" w:hAnsi="仿宋" w:eastAsia="仿宋" w:cs="仿宋"/>
                <w:spacing w:val="-33"/>
                <w:sz w:val="20"/>
                <w:szCs w:val="20"/>
              </w:rPr>
              <w:t xml:space="preserve"> </w:t>
            </w:r>
            <w:r>
              <w:rPr>
                <w:rFonts w:ascii="仿宋" w:hAnsi="仿宋" w:eastAsia="仿宋" w:cs="仿宋"/>
                <w:spacing w:val="15"/>
                <w:sz w:val="20"/>
                <w:szCs w:val="20"/>
              </w:rPr>
              <w:t>、黄河头道拐准格尔旗生态用水补给</w:t>
            </w:r>
            <w:r>
              <w:rPr>
                <w:rFonts w:ascii="仿宋" w:hAnsi="仿宋" w:eastAsia="仿宋" w:cs="仿宋"/>
                <w:spacing w:val="14"/>
                <w:sz w:val="20"/>
                <w:szCs w:val="20"/>
              </w:rPr>
              <w:t>区（重点管控单元</w:t>
            </w:r>
            <w:r>
              <w:rPr>
                <w:rFonts w:ascii="仿宋" w:hAnsi="仿宋" w:eastAsia="仿宋" w:cs="仿宋"/>
                <w:spacing w:val="-55"/>
                <w:sz w:val="20"/>
                <w:szCs w:val="20"/>
              </w:rPr>
              <w:t xml:space="preserve"> </w:t>
            </w:r>
            <w:r>
              <w:rPr>
                <w:rFonts w:ascii="仿宋" w:hAnsi="仿宋" w:eastAsia="仿宋" w:cs="仿宋"/>
                <w:spacing w:val="14"/>
                <w:sz w:val="20"/>
                <w:szCs w:val="20"/>
              </w:rPr>
              <w:t>，编码：</w:t>
            </w:r>
            <w:r>
              <w:rPr>
                <w:rFonts w:ascii="仿宋" w:hAnsi="仿宋" w:eastAsia="仿宋" w:cs="仿宋"/>
                <w:sz w:val="20"/>
                <w:szCs w:val="20"/>
              </w:rPr>
              <w:t xml:space="preserve"> </w:t>
            </w:r>
            <w:r>
              <w:rPr>
                <w:sz w:val="20"/>
                <w:szCs w:val="20"/>
              </w:rPr>
              <w:t>ZH</w:t>
            </w:r>
            <w:r>
              <w:rPr>
                <w:spacing w:val="7"/>
                <w:sz w:val="20"/>
                <w:szCs w:val="20"/>
              </w:rPr>
              <w:t>15062220002</w:t>
            </w:r>
            <w:r>
              <w:rPr>
                <w:rFonts w:ascii="仿宋" w:hAnsi="仿宋" w:eastAsia="仿宋" w:cs="仿宋"/>
                <w:spacing w:val="7"/>
                <w:sz w:val="20"/>
                <w:szCs w:val="20"/>
              </w:rPr>
              <w:t>）</w:t>
            </w:r>
            <w:r>
              <w:rPr>
                <w:rFonts w:ascii="仿宋" w:hAnsi="仿宋" w:eastAsia="仿宋" w:cs="仿宋"/>
                <w:spacing w:val="-60"/>
                <w:sz w:val="20"/>
                <w:szCs w:val="20"/>
              </w:rPr>
              <w:t xml:space="preserve"> </w:t>
            </w:r>
            <w:r>
              <w:rPr>
                <w:rFonts w:ascii="仿宋" w:hAnsi="仿宋" w:eastAsia="仿宋" w:cs="仿宋"/>
                <w:spacing w:val="7"/>
                <w:sz w:val="20"/>
                <w:szCs w:val="20"/>
              </w:rPr>
              <w:t>、乌兰格尔矿区（重点管控单元，</w:t>
            </w:r>
            <w:r>
              <w:rPr>
                <w:rFonts w:ascii="仿宋" w:hAnsi="仿宋" w:eastAsia="仿宋" w:cs="仿宋"/>
                <w:spacing w:val="6"/>
                <w:sz w:val="20"/>
                <w:szCs w:val="20"/>
              </w:rPr>
              <w:t>编码：</w:t>
            </w:r>
            <w:r>
              <w:rPr>
                <w:sz w:val="20"/>
                <w:szCs w:val="20"/>
              </w:rPr>
              <w:t>ZH</w:t>
            </w:r>
            <w:r>
              <w:rPr>
                <w:spacing w:val="6"/>
                <w:sz w:val="20"/>
                <w:szCs w:val="20"/>
              </w:rPr>
              <w:t>15062220007</w:t>
            </w:r>
            <w:r>
              <w:rPr>
                <w:rFonts w:ascii="仿宋" w:hAnsi="仿宋" w:eastAsia="仿宋" w:cs="仿宋"/>
                <w:spacing w:val="6"/>
                <w:sz w:val="20"/>
                <w:szCs w:val="20"/>
              </w:rPr>
              <w:t>）</w:t>
            </w:r>
            <w:r>
              <w:rPr>
                <w:rFonts w:ascii="仿宋" w:hAnsi="仿宋" w:eastAsia="仿宋" w:cs="仿宋"/>
                <w:spacing w:val="-57"/>
                <w:sz w:val="20"/>
                <w:szCs w:val="20"/>
              </w:rPr>
              <w:t xml:space="preserve"> </w:t>
            </w:r>
            <w:r>
              <w:rPr>
                <w:rFonts w:ascii="仿宋" w:hAnsi="仿宋" w:eastAsia="仿宋" w:cs="仿宋"/>
                <w:spacing w:val="6"/>
                <w:sz w:val="20"/>
                <w:szCs w:val="20"/>
              </w:rPr>
              <w:t>、准格尔</w:t>
            </w:r>
            <w:r>
              <w:rPr>
                <w:rFonts w:ascii="仿宋" w:hAnsi="仿宋" w:eastAsia="仿宋" w:cs="仿宋"/>
                <w:spacing w:val="7"/>
                <w:sz w:val="20"/>
                <w:szCs w:val="20"/>
              </w:rPr>
              <w:t>旗一般管控单元（一般管控单元，编码：</w:t>
            </w:r>
            <w:r>
              <w:rPr>
                <w:sz w:val="20"/>
                <w:szCs w:val="20"/>
              </w:rPr>
              <w:t>ZH</w:t>
            </w:r>
            <w:r>
              <w:rPr>
                <w:spacing w:val="7"/>
                <w:sz w:val="20"/>
                <w:szCs w:val="20"/>
              </w:rPr>
              <w:t>15062230001</w:t>
            </w:r>
            <w:r>
              <w:rPr>
                <w:rFonts w:ascii="仿宋" w:hAnsi="仿宋" w:eastAsia="仿宋" w:cs="仿宋"/>
                <w:spacing w:val="7"/>
                <w:sz w:val="20"/>
                <w:szCs w:val="20"/>
              </w:rPr>
              <w:t>）</w:t>
            </w:r>
            <w:r>
              <w:rPr>
                <w:rFonts w:ascii="仿宋" w:hAnsi="仿宋" w:eastAsia="仿宋" w:cs="仿宋"/>
                <w:spacing w:val="-43"/>
                <w:sz w:val="20"/>
                <w:szCs w:val="20"/>
              </w:rPr>
              <w:t xml:space="preserve"> </w:t>
            </w:r>
            <w:r>
              <w:rPr>
                <w:rFonts w:ascii="仿宋" w:hAnsi="仿宋" w:eastAsia="仿宋" w:cs="仿宋"/>
                <w:spacing w:val="7"/>
                <w:sz w:val="20"/>
                <w:szCs w:val="20"/>
              </w:rPr>
              <w:t>。本项目属于农村公路基础</w:t>
            </w:r>
            <w:r>
              <w:rPr>
                <w:rFonts w:ascii="仿宋" w:hAnsi="仿宋" w:eastAsia="仿宋" w:cs="仿宋"/>
                <w:spacing w:val="8"/>
                <w:sz w:val="20"/>
                <w:szCs w:val="20"/>
              </w:rPr>
              <w:t>设施建设工程，不属于大规模高强度工业开发、大规模城镇建设用地开发类项目，项目</w:t>
            </w:r>
            <w:r>
              <w:rPr>
                <w:rFonts w:ascii="仿宋" w:hAnsi="仿宋" w:eastAsia="仿宋" w:cs="仿宋"/>
                <w:spacing w:val="7"/>
                <w:sz w:val="20"/>
                <w:szCs w:val="20"/>
              </w:rPr>
              <w:t>分区管控单元套合查询附图详见附图</w:t>
            </w:r>
            <w:r>
              <w:rPr>
                <w:rFonts w:ascii="仿宋" w:hAnsi="仿宋" w:eastAsia="仿宋" w:cs="仿宋"/>
                <w:spacing w:val="-31"/>
                <w:sz w:val="20"/>
                <w:szCs w:val="20"/>
              </w:rPr>
              <w:t xml:space="preserve"> </w:t>
            </w:r>
            <w:r>
              <w:rPr>
                <w:spacing w:val="7"/>
                <w:sz w:val="20"/>
                <w:szCs w:val="20"/>
              </w:rPr>
              <w:t>2</w:t>
            </w:r>
            <w:r>
              <w:rPr>
                <w:rFonts w:ascii="仿宋" w:hAnsi="仿宋" w:eastAsia="仿宋" w:cs="仿宋"/>
                <w:spacing w:val="7"/>
                <w:sz w:val="20"/>
                <w:szCs w:val="20"/>
              </w:rPr>
              <w:t>。</w:t>
            </w:r>
          </w:p>
          <w:p w14:paraId="25C0C8C1">
            <w:pPr>
              <w:pStyle w:val="6"/>
              <w:spacing w:before="1" w:line="229" w:lineRule="auto"/>
              <w:jc w:val="right"/>
              <w:outlineLvl w:val="0"/>
              <w:rPr>
                <w:rFonts w:ascii="仿宋" w:hAnsi="仿宋" w:eastAsia="仿宋" w:cs="仿宋"/>
                <w:sz w:val="20"/>
                <w:szCs w:val="20"/>
              </w:rPr>
            </w:pPr>
            <w:r>
              <w:rPr>
                <w:rFonts w:ascii="仿宋" w:hAnsi="仿宋" w:eastAsia="仿宋" w:cs="仿宋"/>
                <w:spacing w:val="3"/>
                <w:sz w:val="20"/>
                <w:szCs w:val="20"/>
              </w:rPr>
              <w:t>本次对照生态环境分区管控</w:t>
            </w:r>
            <w:r>
              <w:rPr>
                <w:spacing w:val="3"/>
                <w:sz w:val="20"/>
                <w:szCs w:val="20"/>
              </w:rPr>
              <w:t>“</w:t>
            </w:r>
            <w:r>
              <w:rPr>
                <w:spacing w:val="-28"/>
                <w:sz w:val="20"/>
                <w:szCs w:val="20"/>
              </w:rPr>
              <w:t xml:space="preserve"> </w:t>
            </w:r>
            <w:r>
              <w:rPr>
                <w:rFonts w:ascii="仿宋" w:hAnsi="仿宋" w:eastAsia="仿宋" w:cs="仿宋"/>
                <w:spacing w:val="3"/>
                <w:sz w:val="20"/>
                <w:szCs w:val="20"/>
              </w:rPr>
              <w:t>三线一单</w:t>
            </w:r>
            <w:r>
              <w:rPr>
                <w:spacing w:val="3"/>
                <w:sz w:val="20"/>
                <w:szCs w:val="20"/>
              </w:rPr>
              <w:t>”</w:t>
            </w:r>
            <w:r>
              <w:rPr>
                <w:spacing w:val="-24"/>
                <w:sz w:val="20"/>
                <w:szCs w:val="20"/>
              </w:rPr>
              <w:t xml:space="preserve"> </w:t>
            </w:r>
            <w:r>
              <w:rPr>
                <w:rFonts w:ascii="仿宋" w:hAnsi="仿宋" w:eastAsia="仿宋" w:cs="仿宋"/>
                <w:spacing w:val="3"/>
                <w:sz w:val="20"/>
                <w:szCs w:val="20"/>
              </w:rPr>
              <w:t>管控要求，从生态保护红线、环境质量底线、</w:t>
            </w:r>
          </w:p>
          <w:p w14:paraId="685000C6">
            <w:pPr>
              <w:spacing w:before="159" w:line="229" w:lineRule="auto"/>
              <w:ind w:left="31"/>
              <w:rPr>
                <w:rFonts w:ascii="仿宋" w:hAnsi="仿宋" w:eastAsia="仿宋" w:cs="仿宋"/>
                <w:sz w:val="20"/>
                <w:szCs w:val="20"/>
              </w:rPr>
            </w:pPr>
            <w:r>
              <w:rPr>
                <w:rFonts w:ascii="仿宋" w:hAnsi="仿宋" w:eastAsia="仿宋" w:cs="仿宋"/>
                <w:spacing w:val="9"/>
                <w:sz w:val="20"/>
                <w:szCs w:val="20"/>
              </w:rPr>
              <w:t>资源利用上线、生态环境准入清单四个方面开展符合性分析，具体内容</w:t>
            </w:r>
            <w:r>
              <w:rPr>
                <w:rFonts w:ascii="仿宋" w:hAnsi="仿宋" w:eastAsia="仿宋" w:cs="仿宋"/>
                <w:spacing w:val="8"/>
                <w:sz w:val="20"/>
                <w:szCs w:val="20"/>
              </w:rPr>
              <w:t>如下：</w:t>
            </w:r>
          </w:p>
          <w:p w14:paraId="365AFC84">
            <w:pPr>
              <w:pStyle w:val="6"/>
              <w:spacing w:before="162" w:line="229" w:lineRule="auto"/>
              <w:ind w:left="445"/>
              <w:outlineLvl w:val="0"/>
              <w:rPr>
                <w:rFonts w:ascii="仿宋" w:hAnsi="仿宋" w:eastAsia="仿宋" w:cs="仿宋"/>
                <w:sz w:val="20"/>
                <w:szCs w:val="20"/>
              </w:rPr>
            </w:pPr>
            <w:r>
              <w:rPr>
                <w:rFonts w:ascii="仿宋" w:hAnsi="仿宋" w:eastAsia="仿宋" w:cs="仿宋"/>
                <w:spacing w:val="8"/>
                <w:sz w:val="20"/>
                <w:szCs w:val="20"/>
              </w:rPr>
              <w:t>（</w:t>
            </w:r>
            <w:r>
              <w:rPr>
                <w:spacing w:val="8"/>
                <w:sz w:val="20"/>
                <w:szCs w:val="20"/>
              </w:rPr>
              <w:t>1</w:t>
            </w:r>
            <w:r>
              <w:rPr>
                <w:rFonts w:ascii="仿宋" w:hAnsi="仿宋" w:eastAsia="仿宋" w:cs="仿宋"/>
                <w:spacing w:val="8"/>
                <w:sz w:val="20"/>
                <w:szCs w:val="20"/>
              </w:rPr>
              <w:t>）生态保护红线符合性分析</w:t>
            </w:r>
          </w:p>
          <w:p w14:paraId="4A6165BA">
            <w:pPr>
              <w:spacing w:before="161" w:line="376" w:lineRule="auto"/>
              <w:ind w:left="21" w:right="12" w:firstLine="420"/>
              <w:outlineLvl w:val="0"/>
              <w:rPr>
                <w:rFonts w:ascii="仿宋" w:hAnsi="仿宋" w:eastAsia="仿宋" w:cs="仿宋"/>
                <w:sz w:val="20"/>
                <w:szCs w:val="20"/>
              </w:rPr>
            </w:pPr>
            <w:r>
              <w:rPr>
                <w:rFonts w:ascii="仿宋" w:hAnsi="仿宋" w:eastAsia="仿宋" w:cs="仿宋"/>
                <w:spacing w:val="9"/>
                <w:sz w:val="20"/>
                <w:szCs w:val="20"/>
              </w:rPr>
              <w:t>依据多方官方出具证明文件及三区三线套合成果，对项目涉及生态保护红线、永久</w:t>
            </w:r>
            <w:r>
              <w:rPr>
                <w:rFonts w:ascii="仿宋" w:hAnsi="仿宋" w:eastAsia="仿宋" w:cs="仿宋"/>
                <w:spacing w:val="5"/>
                <w:sz w:val="20"/>
                <w:szCs w:val="20"/>
              </w:rPr>
              <w:t>基本农田、</w:t>
            </w:r>
            <w:r>
              <w:rPr>
                <w:rFonts w:ascii="仿宋" w:hAnsi="仿宋" w:eastAsia="仿宋" w:cs="仿宋"/>
                <w:spacing w:val="-42"/>
                <w:sz w:val="20"/>
                <w:szCs w:val="20"/>
              </w:rPr>
              <w:t xml:space="preserve"> </w:t>
            </w:r>
            <w:r>
              <w:rPr>
                <w:rFonts w:ascii="仿宋" w:hAnsi="仿宋" w:eastAsia="仿宋" w:cs="仿宋"/>
                <w:spacing w:val="5"/>
                <w:sz w:val="20"/>
                <w:szCs w:val="20"/>
              </w:rPr>
              <w:t>自然保护地情况逐一核查：</w:t>
            </w:r>
          </w:p>
          <w:p w14:paraId="5FB7B218">
            <w:pPr>
              <w:pStyle w:val="6"/>
              <w:spacing w:before="1" w:line="229" w:lineRule="auto"/>
              <w:ind w:right="12"/>
              <w:jc w:val="right"/>
              <w:outlineLvl w:val="0"/>
              <w:rPr>
                <w:rFonts w:ascii="仿宋" w:hAnsi="仿宋" w:eastAsia="仿宋" w:cs="仿宋"/>
                <w:sz w:val="20"/>
                <w:szCs w:val="20"/>
              </w:rPr>
            </w:pPr>
            <w:r>
              <w:rPr>
                <w:rFonts w:ascii="宋体" w:hAnsi="宋体" w:eastAsia="宋体" w:cs="宋体"/>
                <w:spacing w:val="11"/>
                <w:sz w:val="20"/>
                <w:szCs w:val="20"/>
              </w:rPr>
              <w:t>①</w:t>
            </w:r>
            <w:r>
              <w:rPr>
                <w:rFonts w:ascii="仿宋" w:hAnsi="仿宋" w:eastAsia="仿宋" w:cs="仿宋"/>
                <w:spacing w:val="11"/>
                <w:sz w:val="20"/>
                <w:szCs w:val="20"/>
              </w:rPr>
              <w:t>根据准格尔旗自然资源局出具《准格尔旗自然资源局关于准格尔旗</w:t>
            </w:r>
            <w:r>
              <w:rPr>
                <w:rFonts w:ascii="仿宋" w:hAnsi="仿宋" w:eastAsia="仿宋" w:cs="仿宋"/>
                <w:spacing w:val="-38"/>
                <w:sz w:val="20"/>
                <w:szCs w:val="20"/>
              </w:rPr>
              <w:t xml:space="preserve"> </w:t>
            </w:r>
            <w:r>
              <w:rPr>
                <w:spacing w:val="11"/>
                <w:sz w:val="20"/>
                <w:szCs w:val="20"/>
              </w:rPr>
              <w:t>2</w:t>
            </w:r>
            <w:r>
              <w:rPr>
                <w:spacing w:val="10"/>
                <w:sz w:val="20"/>
                <w:szCs w:val="20"/>
              </w:rPr>
              <w:t>025</w:t>
            </w:r>
            <w:r>
              <w:rPr>
                <w:spacing w:val="22"/>
                <w:sz w:val="20"/>
                <w:szCs w:val="20"/>
              </w:rPr>
              <w:t xml:space="preserve"> </w:t>
            </w:r>
            <w:r>
              <w:rPr>
                <w:rFonts w:ascii="仿宋" w:hAnsi="仿宋" w:eastAsia="仿宋" w:cs="仿宋"/>
                <w:spacing w:val="10"/>
                <w:sz w:val="20"/>
                <w:szCs w:val="20"/>
              </w:rPr>
              <w:t>年沙圪</w:t>
            </w:r>
          </w:p>
          <w:p w14:paraId="230B1F56">
            <w:pPr>
              <w:pStyle w:val="6"/>
              <w:spacing w:before="161" w:line="373" w:lineRule="auto"/>
              <w:ind w:left="21" w:hanging="1"/>
              <w:jc w:val="both"/>
              <w:rPr>
                <w:rFonts w:ascii="仿宋" w:hAnsi="仿宋" w:eastAsia="仿宋" w:cs="仿宋"/>
                <w:sz w:val="20"/>
                <w:szCs w:val="20"/>
              </w:rPr>
            </w:pPr>
            <w:r>
              <w:rPr>
                <w:rFonts w:ascii="仿宋" w:hAnsi="仿宋" w:eastAsia="仿宋" w:cs="仿宋"/>
                <w:spacing w:val="1"/>
                <w:sz w:val="20"/>
                <w:szCs w:val="20"/>
              </w:rPr>
              <w:t>堵镇、十二连城乡自然村通硬化路工程征求意见的复函</w:t>
            </w:r>
            <w:r>
              <w:rPr>
                <w:rFonts w:ascii="仿宋" w:hAnsi="仿宋" w:eastAsia="仿宋" w:cs="仿宋"/>
                <w:sz w:val="20"/>
                <w:szCs w:val="20"/>
              </w:rPr>
              <w:t>》（准自然资函〔</w:t>
            </w:r>
            <w:r>
              <w:rPr>
                <w:sz w:val="20"/>
                <w:szCs w:val="20"/>
              </w:rPr>
              <w:t>2025</w:t>
            </w:r>
            <w:r>
              <w:rPr>
                <w:rFonts w:ascii="仿宋" w:hAnsi="仿宋" w:eastAsia="仿宋" w:cs="仿宋"/>
                <w:sz w:val="20"/>
                <w:szCs w:val="20"/>
              </w:rPr>
              <w:t>〕</w:t>
            </w:r>
            <w:r>
              <w:rPr>
                <w:sz w:val="20"/>
                <w:szCs w:val="20"/>
              </w:rPr>
              <w:t>2372</w:t>
            </w:r>
            <w:r>
              <w:rPr>
                <w:spacing w:val="25"/>
                <w:sz w:val="20"/>
                <w:szCs w:val="20"/>
              </w:rPr>
              <w:t xml:space="preserve"> </w:t>
            </w:r>
            <w:r>
              <w:rPr>
                <w:rFonts w:ascii="仿宋" w:hAnsi="仿宋" w:eastAsia="仿宋" w:cs="仿宋"/>
                <w:sz w:val="20"/>
                <w:szCs w:val="20"/>
              </w:rPr>
              <w:t>号</w:t>
            </w:r>
            <w:r>
              <w:rPr>
                <w:rFonts w:ascii="仿宋" w:hAnsi="仿宋" w:eastAsia="仿宋" w:cs="仿宋"/>
                <w:spacing w:val="-51"/>
                <w:w w:val="91"/>
                <w:sz w:val="20"/>
                <w:szCs w:val="20"/>
              </w:rPr>
              <w:t>），</w:t>
            </w:r>
            <w:r>
              <w:rPr>
                <w:rFonts w:ascii="仿宋" w:hAnsi="仿宋" w:eastAsia="仿宋" w:cs="仿宋"/>
                <w:spacing w:val="5"/>
                <w:sz w:val="20"/>
                <w:szCs w:val="20"/>
              </w:rPr>
              <w:t>将项目用地范围与自然资源部质检通过的全域</w:t>
            </w:r>
            <w:r>
              <w:rPr>
                <w:spacing w:val="5"/>
                <w:sz w:val="20"/>
                <w:szCs w:val="20"/>
              </w:rPr>
              <w:t>“</w:t>
            </w:r>
            <w:r>
              <w:rPr>
                <w:spacing w:val="-19"/>
                <w:sz w:val="20"/>
                <w:szCs w:val="20"/>
              </w:rPr>
              <w:t xml:space="preserve"> </w:t>
            </w:r>
            <w:r>
              <w:rPr>
                <w:rFonts w:ascii="仿宋" w:hAnsi="仿宋" w:eastAsia="仿宋" w:cs="仿宋"/>
                <w:spacing w:val="5"/>
                <w:sz w:val="20"/>
                <w:szCs w:val="20"/>
              </w:rPr>
              <w:t>三区三线</w:t>
            </w:r>
            <w:r>
              <w:rPr>
                <w:spacing w:val="5"/>
                <w:sz w:val="20"/>
                <w:szCs w:val="20"/>
              </w:rPr>
              <w:t>”</w:t>
            </w:r>
            <w:r>
              <w:rPr>
                <w:spacing w:val="-33"/>
                <w:sz w:val="20"/>
                <w:szCs w:val="20"/>
              </w:rPr>
              <w:t xml:space="preserve"> </w:t>
            </w:r>
            <w:r>
              <w:rPr>
                <w:rFonts w:ascii="仿宋" w:hAnsi="仿宋" w:eastAsia="仿宋" w:cs="仿宋"/>
                <w:spacing w:val="5"/>
                <w:sz w:val="20"/>
                <w:szCs w:val="20"/>
              </w:rPr>
              <w:t>划定成果、</w:t>
            </w:r>
            <w:r>
              <w:rPr>
                <w:spacing w:val="5"/>
                <w:sz w:val="20"/>
                <w:szCs w:val="20"/>
              </w:rPr>
              <w:t>2024</w:t>
            </w:r>
            <w:r>
              <w:rPr>
                <w:spacing w:val="21"/>
                <w:w w:val="101"/>
                <w:sz w:val="20"/>
                <w:szCs w:val="20"/>
              </w:rPr>
              <w:t xml:space="preserve"> </w:t>
            </w:r>
            <w:r>
              <w:rPr>
                <w:rFonts w:ascii="仿宋" w:hAnsi="仿宋" w:eastAsia="仿宋" w:cs="仿宋"/>
                <w:spacing w:val="5"/>
                <w:sz w:val="20"/>
                <w:szCs w:val="20"/>
              </w:rPr>
              <w:t>年永久基本农</w:t>
            </w:r>
            <w:r>
              <w:rPr>
                <w:rFonts w:ascii="仿宋" w:hAnsi="仿宋" w:eastAsia="仿宋" w:cs="仿宋"/>
                <w:spacing w:val="8"/>
                <w:sz w:val="20"/>
                <w:szCs w:val="20"/>
              </w:rPr>
              <w:t>田核实处置成果进行精准套合，结果显示：项目占地范围内，未占用任何生态保护</w:t>
            </w:r>
            <w:r>
              <w:rPr>
                <w:rFonts w:ascii="仿宋" w:hAnsi="仿宋" w:eastAsia="仿宋" w:cs="仿宋"/>
                <w:spacing w:val="7"/>
                <w:sz w:val="20"/>
                <w:szCs w:val="20"/>
              </w:rPr>
              <w:t>红线区域，也不涉及永久基本农田；</w:t>
            </w:r>
          </w:p>
        </w:tc>
      </w:tr>
    </w:tbl>
    <w:p w14:paraId="04FDAEC3">
      <w:pPr>
        <w:pStyle w:val="2"/>
        <w:rPr>
          <w:sz w:val="21"/>
        </w:rPr>
      </w:pPr>
    </w:p>
    <w:p w14:paraId="3FF997AD">
      <w:pPr>
        <w:rPr>
          <w:sz w:val="21"/>
          <w:szCs w:val="21"/>
        </w:rPr>
        <w:sectPr>
          <w:footerReference r:id="rId12" w:type="default"/>
          <w:pgSz w:w="11906" w:h="16839"/>
          <w:pgMar w:top="400" w:right="1306" w:bottom="1504" w:left="1521" w:header="0" w:footer="1342" w:gutter="0"/>
          <w:cols w:space="720" w:num="1"/>
        </w:sectPr>
      </w:pPr>
    </w:p>
    <w:p w14:paraId="249315E8">
      <w:pPr>
        <w:spacing w:before="19"/>
      </w:pPr>
    </w:p>
    <w:p w14:paraId="1F9F6CBC">
      <w:pPr>
        <w:spacing w:before="19"/>
      </w:pPr>
    </w:p>
    <w:p w14:paraId="55EF1961">
      <w:pPr>
        <w:spacing w:before="19"/>
      </w:pPr>
    </w:p>
    <w:p w14:paraId="74B9A688">
      <w:pPr>
        <w:spacing w:before="18"/>
      </w:pPr>
    </w:p>
    <w:p w14:paraId="4D5EE938">
      <w:pPr>
        <w:spacing w:before="18"/>
      </w:pPr>
    </w:p>
    <w:tbl>
      <w:tblPr>
        <w:tblStyle w:val="5"/>
        <w:tblW w:w="9063"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070"/>
        <w:gridCol w:w="7993"/>
      </w:tblGrid>
      <w:tr w14:paraId="209262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106" w:hRule="atLeast"/>
        </w:trPr>
        <w:tc>
          <w:tcPr>
            <w:tcW w:w="1070" w:type="dxa"/>
            <w:tcBorders>
              <w:right w:val="single" w:color="000000" w:sz="2" w:space="0"/>
            </w:tcBorders>
            <w:vAlign w:val="top"/>
          </w:tcPr>
          <w:p w14:paraId="206B0EB0">
            <w:pPr>
              <w:rPr>
                <w:rFonts w:ascii="Arial"/>
                <w:sz w:val="21"/>
              </w:rPr>
            </w:pPr>
          </w:p>
        </w:tc>
        <w:tc>
          <w:tcPr>
            <w:tcW w:w="7993" w:type="dxa"/>
            <w:tcBorders>
              <w:left w:val="single" w:color="000000" w:sz="2" w:space="0"/>
            </w:tcBorders>
            <w:vAlign w:val="top"/>
          </w:tcPr>
          <w:p w14:paraId="7DABF11D">
            <w:pPr>
              <w:pStyle w:val="6"/>
              <w:spacing w:before="42" w:line="229" w:lineRule="auto"/>
              <w:ind w:right="12"/>
              <w:jc w:val="right"/>
              <w:outlineLvl w:val="0"/>
              <w:rPr>
                <w:rFonts w:ascii="仿宋" w:hAnsi="仿宋" w:eastAsia="仿宋" w:cs="仿宋"/>
                <w:sz w:val="20"/>
                <w:szCs w:val="20"/>
              </w:rPr>
            </w:pPr>
            <w:r>
              <w:rPr>
                <w:rFonts w:ascii="宋体" w:hAnsi="宋体" w:eastAsia="宋体" w:cs="宋体"/>
                <w:spacing w:val="5"/>
                <w:sz w:val="20"/>
                <w:szCs w:val="20"/>
              </w:rPr>
              <w:t>②</w:t>
            </w:r>
            <w:r>
              <w:rPr>
                <w:rFonts w:ascii="仿宋" w:hAnsi="仿宋" w:eastAsia="仿宋" w:cs="仿宋"/>
                <w:spacing w:val="5"/>
                <w:sz w:val="20"/>
                <w:szCs w:val="20"/>
              </w:rPr>
              <w:t>根据准格尔旗林业和草原局</w:t>
            </w:r>
            <w:r>
              <w:rPr>
                <w:rFonts w:ascii="仿宋" w:hAnsi="仿宋" w:eastAsia="仿宋" w:cs="仿宋"/>
                <w:spacing w:val="-43"/>
                <w:sz w:val="20"/>
                <w:szCs w:val="20"/>
              </w:rPr>
              <w:t xml:space="preserve"> </w:t>
            </w:r>
            <w:r>
              <w:rPr>
                <w:spacing w:val="5"/>
                <w:sz w:val="20"/>
                <w:szCs w:val="20"/>
              </w:rPr>
              <w:t>2025</w:t>
            </w:r>
            <w:r>
              <w:rPr>
                <w:spacing w:val="19"/>
                <w:w w:val="101"/>
                <w:sz w:val="20"/>
                <w:szCs w:val="20"/>
              </w:rPr>
              <w:t xml:space="preserve"> </w:t>
            </w:r>
            <w:r>
              <w:rPr>
                <w:rFonts w:ascii="仿宋" w:hAnsi="仿宋" w:eastAsia="仿宋" w:cs="仿宋"/>
                <w:spacing w:val="5"/>
                <w:sz w:val="20"/>
                <w:szCs w:val="20"/>
              </w:rPr>
              <w:t>年</w:t>
            </w:r>
            <w:r>
              <w:rPr>
                <w:rFonts w:ascii="仿宋" w:hAnsi="仿宋" w:eastAsia="仿宋" w:cs="仿宋"/>
                <w:spacing w:val="-40"/>
                <w:sz w:val="20"/>
                <w:szCs w:val="20"/>
              </w:rPr>
              <w:t xml:space="preserve"> </w:t>
            </w:r>
            <w:r>
              <w:rPr>
                <w:spacing w:val="5"/>
                <w:sz w:val="20"/>
                <w:szCs w:val="20"/>
              </w:rPr>
              <w:t>7</w:t>
            </w:r>
            <w:r>
              <w:rPr>
                <w:spacing w:val="28"/>
                <w:sz w:val="20"/>
                <w:szCs w:val="20"/>
              </w:rPr>
              <w:t xml:space="preserve"> </w:t>
            </w:r>
            <w:r>
              <w:rPr>
                <w:rFonts w:ascii="仿宋" w:hAnsi="仿宋" w:eastAsia="仿宋" w:cs="仿宋"/>
                <w:spacing w:val="5"/>
                <w:sz w:val="20"/>
                <w:szCs w:val="20"/>
              </w:rPr>
              <w:t>月</w:t>
            </w:r>
            <w:r>
              <w:rPr>
                <w:rFonts w:ascii="仿宋" w:hAnsi="仿宋" w:eastAsia="仿宋" w:cs="仿宋"/>
                <w:spacing w:val="-23"/>
                <w:sz w:val="20"/>
                <w:szCs w:val="20"/>
              </w:rPr>
              <w:t xml:space="preserve"> </w:t>
            </w:r>
            <w:r>
              <w:rPr>
                <w:spacing w:val="5"/>
                <w:sz w:val="20"/>
                <w:szCs w:val="20"/>
              </w:rPr>
              <w:t xml:space="preserve">18  </w:t>
            </w:r>
            <w:r>
              <w:rPr>
                <w:rFonts w:ascii="仿宋" w:hAnsi="仿宋" w:eastAsia="仿宋" w:cs="仿宋"/>
                <w:spacing w:val="5"/>
                <w:sz w:val="20"/>
                <w:szCs w:val="20"/>
              </w:rPr>
              <w:t>日出具《准格尔旗林业</w:t>
            </w:r>
            <w:r>
              <w:rPr>
                <w:rFonts w:ascii="仿宋" w:hAnsi="仿宋" w:eastAsia="仿宋" w:cs="仿宋"/>
                <w:spacing w:val="4"/>
                <w:sz w:val="20"/>
                <w:szCs w:val="20"/>
              </w:rPr>
              <w:t>和草原局关于</w:t>
            </w:r>
          </w:p>
          <w:p w14:paraId="0DEB765C">
            <w:pPr>
              <w:pStyle w:val="6"/>
              <w:spacing w:before="159" w:line="376" w:lineRule="auto"/>
              <w:ind w:left="23" w:right="12"/>
              <w:rPr>
                <w:rFonts w:ascii="仿宋" w:hAnsi="仿宋" w:eastAsia="仿宋" w:cs="仿宋"/>
                <w:sz w:val="20"/>
                <w:szCs w:val="20"/>
              </w:rPr>
            </w:pPr>
            <w:r>
              <w:rPr>
                <w:rFonts w:ascii="仿宋" w:hAnsi="仿宋" w:eastAsia="仿宋" w:cs="仿宋"/>
                <w:spacing w:val="10"/>
                <w:sz w:val="20"/>
                <w:szCs w:val="20"/>
              </w:rPr>
              <w:t>准格尔旗</w:t>
            </w:r>
            <w:r>
              <w:rPr>
                <w:rFonts w:ascii="仿宋" w:hAnsi="仿宋" w:eastAsia="仿宋" w:cs="仿宋"/>
                <w:spacing w:val="-37"/>
                <w:sz w:val="20"/>
                <w:szCs w:val="20"/>
              </w:rPr>
              <w:t xml:space="preserve"> </w:t>
            </w:r>
            <w:r>
              <w:rPr>
                <w:spacing w:val="10"/>
                <w:sz w:val="20"/>
                <w:szCs w:val="20"/>
              </w:rPr>
              <w:t>2025</w:t>
            </w:r>
            <w:r>
              <w:rPr>
                <w:spacing w:val="22"/>
                <w:sz w:val="20"/>
                <w:szCs w:val="20"/>
              </w:rPr>
              <w:t xml:space="preserve"> </w:t>
            </w:r>
            <w:r>
              <w:rPr>
                <w:rFonts w:ascii="仿宋" w:hAnsi="仿宋" w:eastAsia="仿宋" w:cs="仿宋"/>
                <w:spacing w:val="10"/>
                <w:sz w:val="20"/>
                <w:szCs w:val="20"/>
              </w:rPr>
              <w:t>年沙圪堵镇、十二连城乡自然村通硬化路工程征求意见的复函》</w:t>
            </w:r>
            <w:r>
              <w:rPr>
                <w:rFonts w:ascii="仿宋" w:hAnsi="仿宋" w:eastAsia="仿宋" w:cs="仿宋"/>
                <w:spacing w:val="-80"/>
                <w:sz w:val="20"/>
                <w:szCs w:val="20"/>
              </w:rPr>
              <w:t xml:space="preserve"> </w:t>
            </w:r>
            <w:r>
              <w:rPr>
                <w:rFonts w:ascii="仿宋" w:hAnsi="仿宋" w:eastAsia="仿宋" w:cs="仿宋"/>
                <w:spacing w:val="10"/>
                <w:sz w:val="20"/>
                <w:szCs w:val="20"/>
              </w:rPr>
              <w:t>（准林</w:t>
            </w:r>
            <w:r>
              <w:rPr>
                <w:rFonts w:ascii="仿宋" w:hAnsi="仿宋" w:eastAsia="仿宋" w:cs="仿宋"/>
                <w:spacing w:val="7"/>
                <w:sz w:val="20"/>
                <w:szCs w:val="20"/>
              </w:rPr>
              <w:t>草函〔</w:t>
            </w:r>
            <w:r>
              <w:rPr>
                <w:spacing w:val="7"/>
                <w:sz w:val="20"/>
                <w:szCs w:val="20"/>
              </w:rPr>
              <w:t>2025</w:t>
            </w:r>
            <w:r>
              <w:rPr>
                <w:rFonts w:ascii="仿宋" w:hAnsi="仿宋" w:eastAsia="仿宋" w:cs="仿宋"/>
                <w:spacing w:val="7"/>
                <w:sz w:val="20"/>
                <w:szCs w:val="20"/>
              </w:rPr>
              <w:t>〕</w:t>
            </w:r>
            <w:r>
              <w:rPr>
                <w:spacing w:val="7"/>
                <w:sz w:val="20"/>
                <w:szCs w:val="20"/>
              </w:rPr>
              <w:t>982</w:t>
            </w:r>
            <w:r>
              <w:rPr>
                <w:spacing w:val="21"/>
                <w:w w:val="101"/>
                <w:sz w:val="20"/>
                <w:szCs w:val="20"/>
              </w:rPr>
              <w:t xml:space="preserve"> </w:t>
            </w:r>
            <w:r>
              <w:rPr>
                <w:rFonts w:ascii="仿宋" w:hAnsi="仿宋" w:eastAsia="仿宋" w:cs="仿宋"/>
                <w:spacing w:val="7"/>
                <w:sz w:val="20"/>
                <w:szCs w:val="20"/>
              </w:rPr>
              <w:t>号</w:t>
            </w:r>
            <w:r>
              <w:rPr>
                <w:rFonts w:ascii="仿宋" w:hAnsi="仿宋" w:eastAsia="仿宋" w:cs="仿宋"/>
                <w:spacing w:val="17"/>
                <w:sz w:val="20"/>
                <w:szCs w:val="20"/>
              </w:rPr>
              <w:t>），</w:t>
            </w:r>
            <w:r>
              <w:rPr>
                <w:rFonts w:ascii="仿宋" w:hAnsi="仿宋" w:eastAsia="仿宋" w:cs="仿宋"/>
                <w:spacing w:val="7"/>
                <w:sz w:val="20"/>
                <w:szCs w:val="20"/>
              </w:rPr>
              <w:t>本项目线路全程不涉及各级各类自然保</w:t>
            </w:r>
            <w:r>
              <w:rPr>
                <w:rFonts w:ascii="仿宋" w:hAnsi="仿宋" w:eastAsia="仿宋" w:cs="仿宋"/>
                <w:spacing w:val="6"/>
                <w:sz w:val="20"/>
                <w:szCs w:val="20"/>
              </w:rPr>
              <w:t>护地；</w:t>
            </w:r>
          </w:p>
          <w:p w14:paraId="5CEF6345">
            <w:pPr>
              <w:spacing w:line="378" w:lineRule="auto"/>
              <w:ind w:left="20" w:right="12" w:firstLine="413"/>
              <w:outlineLvl w:val="0"/>
              <w:rPr>
                <w:rFonts w:ascii="仿宋" w:hAnsi="仿宋" w:eastAsia="仿宋" w:cs="仿宋"/>
                <w:sz w:val="20"/>
                <w:szCs w:val="20"/>
              </w:rPr>
            </w:pPr>
            <w:r>
              <w:rPr>
                <w:rFonts w:ascii="宋体" w:hAnsi="宋体" w:eastAsia="宋体" w:cs="宋体"/>
                <w:spacing w:val="9"/>
                <w:sz w:val="20"/>
                <w:szCs w:val="20"/>
              </w:rPr>
              <w:t>③</w:t>
            </w:r>
            <w:r>
              <w:rPr>
                <w:rFonts w:ascii="仿宋" w:hAnsi="仿宋" w:eastAsia="仿宋" w:cs="仿宋"/>
                <w:spacing w:val="9"/>
                <w:sz w:val="20"/>
                <w:szCs w:val="20"/>
              </w:rPr>
              <w:t>结合生态环境分区管控平台空间叠加查询结果，拟建公路线路全程未穿越生态保</w:t>
            </w:r>
            <w:r>
              <w:rPr>
                <w:rFonts w:ascii="仿宋" w:hAnsi="仿宋" w:eastAsia="仿宋" w:cs="仿宋"/>
                <w:spacing w:val="5"/>
                <w:sz w:val="20"/>
                <w:szCs w:val="20"/>
              </w:rPr>
              <w:t>护红线范围。</w:t>
            </w:r>
          </w:p>
          <w:p w14:paraId="354251E8">
            <w:pPr>
              <w:spacing w:line="229" w:lineRule="auto"/>
              <w:ind w:left="443"/>
              <w:outlineLvl w:val="0"/>
              <w:rPr>
                <w:rFonts w:ascii="仿宋" w:hAnsi="仿宋" w:eastAsia="仿宋" w:cs="仿宋"/>
                <w:sz w:val="20"/>
                <w:szCs w:val="20"/>
              </w:rPr>
            </w:pPr>
            <w:r>
              <w:rPr>
                <w:rFonts w:ascii="仿宋" w:hAnsi="仿宋" w:eastAsia="仿宋" w:cs="仿宋"/>
                <w:spacing w:val="9"/>
                <w:sz w:val="20"/>
                <w:szCs w:val="20"/>
              </w:rPr>
              <w:t>综上，本项目建设范围不涉及生态保护红线，符合区域生态空间管控要求。</w:t>
            </w:r>
          </w:p>
          <w:p w14:paraId="443690FA">
            <w:pPr>
              <w:pStyle w:val="6"/>
              <w:spacing w:before="159" w:line="229" w:lineRule="auto"/>
              <w:ind w:left="445"/>
              <w:outlineLvl w:val="0"/>
              <w:rPr>
                <w:rFonts w:ascii="仿宋" w:hAnsi="仿宋" w:eastAsia="仿宋" w:cs="仿宋"/>
                <w:sz w:val="20"/>
                <w:szCs w:val="20"/>
              </w:rPr>
            </w:pPr>
            <w:r>
              <w:rPr>
                <w:rFonts w:ascii="仿宋" w:hAnsi="仿宋" w:eastAsia="仿宋" w:cs="仿宋"/>
                <w:spacing w:val="8"/>
                <w:sz w:val="20"/>
                <w:szCs w:val="20"/>
              </w:rPr>
              <w:t>（</w:t>
            </w:r>
            <w:r>
              <w:rPr>
                <w:spacing w:val="8"/>
                <w:sz w:val="20"/>
                <w:szCs w:val="20"/>
              </w:rPr>
              <w:t>2</w:t>
            </w:r>
            <w:r>
              <w:rPr>
                <w:rFonts w:ascii="仿宋" w:hAnsi="仿宋" w:eastAsia="仿宋" w:cs="仿宋"/>
                <w:spacing w:val="8"/>
                <w:sz w:val="20"/>
                <w:szCs w:val="20"/>
              </w:rPr>
              <w:t>）环境质量底线符合性分析</w:t>
            </w:r>
          </w:p>
          <w:p w14:paraId="0EAD997C">
            <w:pPr>
              <w:spacing w:before="160" w:line="230" w:lineRule="auto"/>
              <w:ind w:left="434"/>
              <w:outlineLvl w:val="0"/>
              <w:rPr>
                <w:rFonts w:ascii="仿宋" w:hAnsi="仿宋" w:eastAsia="仿宋" w:cs="仿宋"/>
                <w:sz w:val="20"/>
                <w:szCs w:val="20"/>
              </w:rPr>
            </w:pPr>
            <w:r>
              <w:rPr>
                <w:rFonts w:ascii="宋体" w:hAnsi="宋体" w:eastAsia="宋体" w:cs="宋体"/>
                <w:spacing w:val="9"/>
                <w:sz w:val="20"/>
                <w:szCs w:val="20"/>
              </w:rPr>
              <w:t>①</w:t>
            </w:r>
            <w:r>
              <w:rPr>
                <w:rFonts w:ascii="仿宋" w:hAnsi="仿宋" w:eastAsia="仿宋" w:cs="仿宋"/>
                <w:spacing w:val="9"/>
                <w:sz w:val="20"/>
                <w:szCs w:val="20"/>
              </w:rPr>
              <w:t>区域环境质量现状</w:t>
            </w:r>
          </w:p>
          <w:p w14:paraId="48297DE4">
            <w:pPr>
              <w:pStyle w:val="6"/>
              <w:spacing w:before="162" w:line="229" w:lineRule="auto"/>
              <w:ind w:right="12"/>
              <w:jc w:val="right"/>
              <w:outlineLvl w:val="0"/>
              <w:rPr>
                <w:rFonts w:ascii="仿宋" w:hAnsi="仿宋" w:eastAsia="仿宋" w:cs="仿宋"/>
                <w:sz w:val="20"/>
                <w:szCs w:val="20"/>
              </w:rPr>
            </w:pPr>
            <w:r>
              <w:rPr>
                <w:rFonts w:ascii="仿宋" w:hAnsi="仿宋" w:eastAsia="仿宋" w:cs="仿宋"/>
                <w:spacing w:val="11"/>
                <w:sz w:val="20"/>
                <w:szCs w:val="20"/>
              </w:rPr>
              <w:t>本项目地处准格尔旗沙圪堵镇、十二连城乡，根据鄂</w:t>
            </w:r>
            <w:r>
              <w:rPr>
                <w:rFonts w:ascii="仿宋" w:hAnsi="仿宋" w:eastAsia="仿宋" w:cs="仿宋"/>
                <w:spacing w:val="10"/>
                <w:sz w:val="20"/>
                <w:szCs w:val="20"/>
              </w:rPr>
              <w:t>尔多斯市</w:t>
            </w:r>
            <w:r>
              <w:rPr>
                <w:rFonts w:ascii="仿宋" w:hAnsi="仿宋" w:eastAsia="仿宋" w:cs="仿宋"/>
                <w:spacing w:val="-40"/>
                <w:sz w:val="20"/>
                <w:szCs w:val="20"/>
              </w:rPr>
              <w:t xml:space="preserve"> </w:t>
            </w:r>
            <w:r>
              <w:rPr>
                <w:spacing w:val="10"/>
                <w:sz w:val="20"/>
                <w:szCs w:val="20"/>
              </w:rPr>
              <w:t>2025</w:t>
            </w:r>
            <w:r>
              <w:rPr>
                <w:spacing w:val="24"/>
                <w:w w:val="101"/>
                <w:sz w:val="20"/>
                <w:szCs w:val="20"/>
              </w:rPr>
              <w:t xml:space="preserve"> </w:t>
            </w:r>
            <w:r>
              <w:rPr>
                <w:rFonts w:ascii="仿宋" w:hAnsi="仿宋" w:eastAsia="仿宋" w:cs="仿宋"/>
                <w:spacing w:val="10"/>
                <w:sz w:val="20"/>
                <w:szCs w:val="20"/>
              </w:rPr>
              <w:t>年度环境质量</w:t>
            </w:r>
          </w:p>
          <w:p w14:paraId="353486CE">
            <w:pPr>
              <w:pStyle w:val="6"/>
              <w:spacing w:before="159" w:line="377" w:lineRule="auto"/>
              <w:ind w:left="23" w:right="12" w:firstLine="1"/>
              <w:jc w:val="both"/>
              <w:rPr>
                <w:rFonts w:ascii="仿宋" w:hAnsi="仿宋" w:eastAsia="仿宋" w:cs="仿宋"/>
                <w:sz w:val="20"/>
                <w:szCs w:val="20"/>
              </w:rPr>
            </w:pPr>
            <w:r>
              <w:rPr>
                <w:rFonts w:ascii="仿宋" w:hAnsi="仿宋" w:eastAsia="仿宋" w:cs="仿宋"/>
                <w:spacing w:val="5"/>
                <w:sz w:val="20"/>
                <w:szCs w:val="20"/>
              </w:rPr>
              <w:t>公报，</w:t>
            </w:r>
            <w:r>
              <w:rPr>
                <w:rFonts w:ascii="仿宋" w:hAnsi="仿宋" w:eastAsia="仿宋" w:cs="仿宋"/>
                <w:spacing w:val="-60"/>
                <w:sz w:val="20"/>
                <w:szCs w:val="20"/>
              </w:rPr>
              <w:t xml:space="preserve"> </w:t>
            </w:r>
            <w:r>
              <w:rPr>
                <w:rFonts w:ascii="仿宋" w:hAnsi="仿宋" w:eastAsia="仿宋" w:cs="仿宋"/>
                <w:spacing w:val="5"/>
                <w:sz w:val="20"/>
                <w:szCs w:val="20"/>
              </w:rPr>
              <w:t>区域环境空气中</w:t>
            </w:r>
            <w:r>
              <w:rPr>
                <w:rFonts w:ascii="仿宋" w:hAnsi="仿宋" w:eastAsia="仿宋" w:cs="仿宋"/>
                <w:spacing w:val="-39"/>
                <w:sz w:val="20"/>
                <w:szCs w:val="20"/>
              </w:rPr>
              <w:t xml:space="preserve"> </w:t>
            </w:r>
            <w:r>
              <w:rPr>
                <w:sz w:val="20"/>
                <w:szCs w:val="20"/>
              </w:rPr>
              <w:t>PM</w:t>
            </w:r>
            <w:r>
              <w:rPr>
                <w:spacing w:val="5"/>
                <w:position w:val="-1"/>
                <w:sz w:val="13"/>
                <w:szCs w:val="13"/>
              </w:rPr>
              <w:t xml:space="preserve">10 </w:t>
            </w:r>
            <w:r>
              <w:rPr>
                <w:rFonts w:ascii="仿宋" w:hAnsi="仿宋" w:eastAsia="仿宋" w:cs="仿宋"/>
                <w:spacing w:val="5"/>
                <w:sz w:val="20"/>
                <w:szCs w:val="20"/>
              </w:rPr>
              <w:t>、</w:t>
            </w:r>
            <w:r>
              <w:rPr>
                <w:sz w:val="20"/>
                <w:szCs w:val="20"/>
              </w:rPr>
              <w:t>PM</w:t>
            </w:r>
            <w:r>
              <w:rPr>
                <w:spacing w:val="5"/>
                <w:position w:val="-1"/>
                <w:sz w:val="13"/>
                <w:szCs w:val="13"/>
              </w:rPr>
              <w:t xml:space="preserve">2.5 </w:t>
            </w:r>
            <w:r>
              <w:rPr>
                <w:rFonts w:ascii="仿宋" w:hAnsi="仿宋" w:eastAsia="仿宋" w:cs="仿宋"/>
                <w:spacing w:val="5"/>
                <w:sz w:val="20"/>
                <w:szCs w:val="20"/>
              </w:rPr>
              <w:t>、</w:t>
            </w:r>
            <w:r>
              <w:rPr>
                <w:sz w:val="20"/>
                <w:szCs w:val="20"/>
              </w:rPr>
              <w:t>SO</w:t>
            </w:r>
            <w:r>
              <w:rPr>
                <w:spacing w:val="5"/>
                <w:position w:val="-1"/>
                <w:sz w:val="13"/>
                <w:szCs w:val="13"/>
              </w:rPr>
              <w:t xml:space="preserve">2 </w:t>
            </w:r>
            <w:r>
              <w:rPr>
                <w:rFonts w:ascii="仿宋" w:hAnsi="仿宋" w:eastAsia="仿宋" w:cs="仿宋"/>
                <w:spacing w:val="5"/>
                <w:sz w:val="20"/>
                <w:szCs w:val="20"/>
              </w:rPr>
              <w:t>、</w:t>
            </w:r>
            <w:r>
              <w:rPr>
                <w:sz w:val="20"/>
                <w:szCs w:val="20"/>
              </w:rPr>
              <w:t>NO</w:t>
            </w:r>
            <w:r>
              <w:rPr>
                <w:spacing w:val="5"/>
                <w:position w:val="-1"/>
                <w:sz w:val="13"/>
                <w:szCs w:val="13"/>
              </w:rPr>
              <w:t xml:space="preserve">2 </w:t>
            </w:r>
            <w:r>
              <w:rPr>
                <w:rFonts w:ascii="仿宋" w:hAnsi="仿宋" w:eastAsia="仿宋" w:cs="仿宋"/>
                <w:spacing w:val="5"/>
                <w:sz w:val="20"/>
                <w:szCs w:val="20"/>
              </w:rPr>
              <w:t>、</w:t>
            </w:r>
            <w:r>
              <w:rPr>
                <w:sz w:val="20"/>
                <w:szCs w:val="20"/>
              </w:rPr>
              <w:t>CO</w:t>
            </w:r>
            <w:r>
              <w:rPr>
                <w:spacing w:val="-15"/>
                <w:sz w:val="20"/>
                <w:szCs w:val="20"/>
              </w:rPr>
              <w:t xml:space="preserve"> </w:t>
            </w:r>
            <w:r>
              <w:rPr>
                <w:rFonts w:ascii="仿宋" w:hAnsi="仿宋" w:eastAsia="仿宋" w:cs="仿宋"/>
                <w:spacing w:val="5"/>
                <w:sz w:val="20"/>
                <w:szCs w:val="20"/>
              </w:rPr>
              <w:t>、</w:t>
            </w:r>
            <w:r>
              <w:rPr>
                <w:spacing w:val="5"/>
                <w:sz w:val="20"/>
                <w:szCs w:val="20"/>
              </w:rPr>
              <w:t>O</w:t>
            </w:r>
            <w:r>
              <w:rPr>
                <w:spacing w:val="5"/>
                <w:position w:val="-1"/>
                <w:sz w:val="13"/>
                <w:szCs w:val="13"/>
              </w:rPr>
              <w:t>3</w:t>
            </w:r>
            <w:r>
              <w:rPr>
                <w:spacing w:val="20"/>
                <w:w w:val="101"/>
                <w:position w:val="-1"/>
                <w:sz w:val="13"/>
                <w:szCs w:val="13"/>
              </w:rPr>
              <w:t xml:space="preserve"> </w:t>
            </w:r>
            <w:r>
              <w:rPr>
                <w:rFonts w:ascii="仿宋" w:hAnsi="仿宋" w:eastAsia="仿宋" w:cs="仿宋"/>
                <w:spacing w:val="5"/>
                <w:sz w:val="20"/>
                <w:szCs w:val="20"/>
              </w:rPr>
              <w:t>六项常规污</w:t>
            </w:r>
            <w:r>
              <w:rPr>
                <w:rFonts w:ascii="仿宋" w:hAnsi="仿宋" w:eastAsia="仿宋" w:cs="仿宋"/>
                <w:spacing w:val="4"/>
                <w:sz w:val="20"/>
                <w:szCs w:val="20"/>
              </w:rPr>
              <w:t>染物年均浓度及</w:t>
            </w:r>
            <w:r>
              <w:rPr>
                <w:rFonts w:ascii="仿宋" w:hAnsi="仿宋" w:eastAsia="仿宋" w:cs="仿宋"/>
                <w:spacing w:val="10"/>
                <w:sz w:val="20"/>
                <w:szCs w:val="20"/>
              </w:rPr>
              <w:t>日均值均满足《环境空气质量标准》（</w:t>
            </w:r>
            <w:r>
              <w:rPr>
                <w:sz w:val="20"/>
                <w:szCs w:val="20"/>
              </w:rPr>
              <w:t>GB</w:t>
            </w:r>
            <w:r>
              <w:rPr>
                <w:spacing w:val="10"/>
                <w:sz w:val="20"/>
                <w:szCs w:val="20"/>
              </w:rPr>
              <w:t>3095-2026</w:t>
            </w:r>
            <w:r>
              <w:rPr>
                <w:rFonts w:ascii="仿宋" w:hAnsi="仿宋" w:eastAsia="仿宋" w:cs="仿宋"/>
                <w:spacing w:val="10"/>
                <w:sz w:val="20"/>
                <w:szCs w:val="20"/>
              </w:rPr>
              <w:t>）二级标准要</w:t>
            </w:r>
            <w:r>
              <w:rPr>
                <w:rFonts w:ascii="仿宋" w:hAnsi="仿宋" w:eastAsia="仿宋" w:cs="仿宋"/>
                <w:spacing w:val="9"/>
                <w:sz w:val="20"/>
                <w:szCs w:val="20"/>
              </w:rPr>
              <w:t>求，项目所在区域为</w:t>
            </w:r>
            <w:r>
              <w:rPr>
                <w:rFonts w:ascii="仿宋" w:hAnsi="仿宋" w:eastAsia="仿宋" w:cs="仿宋"/>
                <w:spacing w:val="6"/>
                <w:sz w:val="20"/>
                <w:szCs w:val="20"/>
              </w:rPr>
              <w:t>大气环境达标区。</w:t>
            </w:r>
          </w:p>
          <w:p w14:paraId="03DDC9AA">
            <w:pPr>
              <w:spacing w:before="1" w:line="231" w:lineRule="auto"/>
              <w:ind w:right="12"/>
              <w:jc w:val="right"/>
              <w:outlineLvl w:val="0"/>
              <w:rPr>
                <w:rFonts w:ascii="仿宋" w:hAnsi="仿宋" w:eastAsia="仿宋" w:cs="仿宋"/>
                <w:sz w:val="20"/>
                <w:szCs w:val="20"/>
              </w:rPr>
            </w:pPr>
            <w:r>
              <w:rPr>
                <w:rFonts w:ascii="仿宋" w:hAnsi="仿宋" w:eastAsia="仿宋" w:cs="仿宋"/>
                <w:spacing w:val="9"/>
                <w:sz w:val="20"/>
                <w:szCs w:val="20"/>
              </w:rPr>
              <w:t>针对线路沿线声环境敏感点开展现状监测，监测结果表明：沿线敏感点昼间噪声监</w:t>
            </w:r>
          </w:p>
          <w:p w14:paraId="5A11A232">
            <w:pPr>
              <w:pStyle w:val="6"/>
              <w:spacing w:before="159" w:line="369" w:lineRule="auto"/>
              <w:ind w:left="25" w:hanging="4"/>
              <w:rPr>
                <w:rFonts w:ascii="仿宋" w:hAnsi="仿宋" w:eastAsia="仿宋" w:cs="仿宋"/>
                <w:sz w:val="20"/>
                <w:szCs w:val="20"/>
              </w:rPr>
            </w:pPr>
            <w:r>
              <w:rPr>
                <w:rFonts w:ascii="仿宋" w:hAnsi="仿宋" w:eastAsia="仿宋" w:cs="仿宋"/>
                <w:spacing w:val="3"/>
                <w:sz w:val="20"/>
                <w:szCs w:val="20"/>
              </w:rPr>
              <w:t>测值介于</w:t>
            </w:r>
            <w:r>
              <w:rPr>
                <w:rFonts w:ascii="仿宋" w:hAnsi="仿宋" w:eastAsia="仿宋" w:cs="仿宋"/>
                <w:spacing w:val="-32"/>
                <w:sz w:val="20"/>
                <w:szCs w:val="20"/>
              </w:rPr>
              <w:t xml:space="preserve"> </w:t>
            </w:r>
            <w:r>
              <w:rPr>
                <w:spacing w:val="3"/>
                <w:sz w:val="20"/>
                <w:szCs w:val="20"/>
              </w:rPr>
              <w:t>41~53</w:t>
            </w:r>
            <w:r>
              <w:rPr>
                <w:sz w:val="20"/>
                <w:szCs w:val="20"/>
              </w:rPr>
              <w:t>dB</w:t>
            </w:r>
            <w:r>
              <w:rPr>
                <w:spacing w:val="3"/>
                <w:sz w:val="20"/>
                <w:szCs w:val="20"/>
              </w:rPr>
              <w:t>(A)</w:t>
            </w:r>
            <w:r>
              <w:rPr>
                <w:spacing w:val="-20"/>
                <w:sz w:val="20"/>
                <w:szCs w:val="20"/>
              </w:rPr>
              <w:t xml:space="preserve"> </w:t>
            </w:r>
            <w:r>
              <w:rPr>
                <w:rFonts w:ascii="仿宋" w:hAnsi="仿宋" w:eastAsia="仿宋" w:cs="仿宋"/>
                <w:spacing w:val="3"/>
                <w:sz w:val="20"/>
                <w:szCs w:val="20"/>
              </w:rPr>
              <w:t>，夜间噪声监测值介于</w:t>
            </w:r>
            <w:r>
              <w:rPr>
                <w:rFonts w:ascii="仿宋" w:hAnsi="仿宋" w:eastAsia="仿宋" w:cs="仿宋"/>
                <w:spacing w:val="-39"/>
                <w:sz w:val="20"/>
                <w:szCs w:val="20"/>
              </w:rPr>
              <w:t xml:space="preserve"> </w:t>
            </w:r>
            <w:r>
              <w:rPr>
                <w:spacing w:val="3"/>
                <w:sz w:val="20"/>
                <w:szCs w:val="20"/>
              </w:rPr>
              <w:t>36~44</w:t>
            </w:r>
            <w:r>
              <w:rPr>
                <w:sz w:val="20"/>
                <w:szCs w:val="20"/>
              </w:rPr>
              <w:t>dB</w:t>
            </w:r>
            <w:r>
              <w:rPr>
                <w:spacing w:val="3"/>
                <w:sz w:val="20"/>
                <w:szCs w:val="20"/>
              </w:rPr>
              <w:t>(A)</w:t>
            </w:r>
            <w:r>
              <w:rPr>
                <w:spacing w:val="-19"/>
                <w:sz w:val="20"/>
                <w:szCs w:val="20"/>
              </w:rPr>
              <w:t xml:space="preserve"> </w:t>
            </w:r>
            <w:r>
              <w:rPr>
                <w:rFonts w:ascii="仿宋" w:hAnsi="仿宋" w:eastAsia="仿宋" w:cs="仿宋"/>
                <w:spacing w:val="3"/>
                <w:sz w:val="20"/>
                <w:szCs w:val="20"/>
              </w:rPr>
              <w:t>，均可满足《声环境质量标准》</w:t>
            </w:r>
            <w:r>
              <w:rPr>
                <w:rFonts w:ascii="仿宋" w:hAnsi="仿宋" w:eastAsia="仿宋" w:cs="仿宋"/>
                <w:sz w:val="20"/>
                <w:szCs w:val="20"/>
              </w:rPr>
              <w:t xml:space="preserve"> </w:t>
            </w:r>
            <w:r>
              <w:rPr>
                <w:rFonts w:ascii="仿宋" w:hAnsi="仿宋" w:eastAsia="仿宋" w:cs="仿宋"/>
                <w:spacing w:val="5"/>
                <w:sz w:val="20"/>
                <w:szCs w:val="20"/>
              </w:rPr>
              <w:t>（</w:t>
            </w:r>
            <w:r>
              <w:rPr>
                <w:sz w:val="20"/>
                <w:szCs w:val="20"/>
              </w:rPr>
              <w:t>GB</w:t>
            </w:r>
            <w:r>
              <w:rPr>
                <w:spacing w:val="5"/>
                <w:sz w:val="20"/>
                <w:szCs w:val="20"/>
              </w:rPr>
              <w:t>3096-2008</w:t>
            </w:r>
            <w:r>
              <w:rPr>
                <w:rFonts w:ascii="仿宋" w:hAnsi="仿宋" w:eastAsia="仿宋" w:cs="仿宋"/>
                <w:spacing w:val="5"/>
                <w:sz w:val="20"/>
                <w:szCs w:val="20"/>
              </w:rPr>
              <w:t>）</w:t>
            </w:r>
            <w:r>
              <w:rPr>
                <w:spacing w:val="5"/>
                <w:sz w:val="20"/>
                <w:szCs w:val="20"/>
              </w:rPr>
              <w:t>1</w:t>
            </w:r>
            <w:r>
              <w:rPr>
                <w:spacing w:val="34"/>
                <w:sz w:val="20"/>
                <w:szCs w:val="20"/>
              </w:rPr>
              <w:t xml:space="preserve"> </w:t>
            </w:r>
            <w:r>
              <w:rPr>
                <w:rFonts w:ascii="仿宋" w:hAnsi="仿宋" w:eastAsia="仿宋" w:cs="仿宋"/>
                <w:spacing w:val="5"/>
                <w:sz w:val="20"/>
                <w:szCs w:val="20"/>
              </w:rPr>
              <w:t>类、</w:t>
            </w:r>
            <w:r>
              <w:rPr>
                <w:spacing w:val="5"/>
                <w:sz w:val="20"/>
                <w:szCs w:val="20"/>
              </w:rPr>
              <w:t>4a</w:t>
            </w:r>
            <w:r>
              <w:rPr>
                <w:spacing w:val="17"/>
                <w:sz w:val="20"/>
                <w:szCs w:val="20"/>
              </w:rPr>
              <w:t xml:space="preserve"> </w:t>
            </w:r>
            <w:r>
              <w:rPr>
                <w:rFonts w:ascii="仿宋" w:hAnsi="仿宋" w:eastAsia="仿宋" w:cs="仿宋"/>
                <w:spacing w:val="5"/>
                <w:sz w:val="20"/>
                <w:szCs w:val="20"/>
              </w:rPr>
              <w:t>类声环境功能区标准限值，区域声环境质量现状良好。</w:t>
            </w:r>
          </w:p>
          <w:p w14:paraId="3C84AE4D">
            <w:pPr>
              <w:spacing w:before="15" w:line="229" w:lineRule="auto"/>
              <w:ind w:left="433"/>
              <w:outlineLvl w:val="0"/>
              <w:rPr>
                <w:rFonts w:ascii="仿宋" w:hAnsi="仿宋" w:eastAsia="仿宋" w:cs="仿宋"/>
                <w:sz w:val="20"/>
                <w:szCs w:val="20"/>
              </w:rPr>
            </w:pPr>
            <w:r>
              <w:rPr>
                <w:rFonts w:ascii="宋体" w:hAnsi="宋体" w:eastAsia="宋体" w:cs="宋体"/>
                <w:spacing w:val="9"/>
                <w:sz w:val="20"/>
                <w:szCs w:val="20"/>
              </w:rPr>
              <w:t>②</w:t>
            </w:r>
            <w:r>
              <w:rPr>
                <w:rFonts w:ascii="仿宋" w:hAnsi="仿宋" w:eastAsia="仿宋" w:cs="仿宋"/>
                <w:spacing w:val="9"/>
                <w:sz w:val="20"/>
                <w:szCs w:val="20"/>
              </w:rPr>
              <w:t>项目环境影响可控性分析</w:t>
            </w:r>
          </w:p>
          <w:p w14:paraId="5DC0EFFD">
            <w:pPr>
              <w:spacing w:before="161" w:line="229" w:lineRule="auto"/>
              <w:ind w:right="12"/>
              <w:jc w:val="right"/>
              <w:outlineLvl w:val="0"/>
              <w:rPr>
                <w:rFonts w:ascii="仿宋" w:hAnsi="仿宋" w:eastAsia="仿宋" w:cs="仿宋"/>
                <w:sz w:val="20"/>
                <w:szCs w:val="20"/>
              </w:rPr>
            </w:pPr>
            <w:r>
              <w:rPr>
                <w:rFonts w:ascii="仿宋" w:hAnsi="仿宋" w:eastAsia="仿宋" w:cs="仿宋"/>
                <w:spacing w:val="9"/>
                <w:sz w:val="20"/>
                <w:szCs w:val="20"/>
              </w:rPr>
              <w:t>本项目环境影响分施工期、运营期两个阶段：施工期主要产生施工扬尘、施工机械</w:t>
            </w:r>
          </w:p>
          <w:p w14:paraId="59D7FD02">
            <w:pPr>
              <w:spacing w:before="159" w:line="378" w:lineRule="auto"/>
              <w:ind w:left="22" w:right="45"/>
              <w:rPr>
                <w:rFonts w:ascii="仿宋" w:hAnsi="仿宋" w:eastAsia="仿宋" w:cs="仿宋"/>
                <w:sz w:val="20"/>
                <w:szCs w:val="20"/>
              </w:rPr>
            </w:pPr>
            <w:r>
              <w:rPr>
                <w:rFonts w:ascii="仿宋" w:hAnsi="仿宋" w:eastAsia="仿宋" w:cs="仿宋"/>
                <w:spacing w:val="8"/>
                <w:sz w:val="20"/>
                <w:szCs w:val="20"/>
              </w:rPr>
              <w:t>尾气、施工废水、施工人员生活污水、建筑垃圾及生活垃圾、施工机械噪声等污染物；运营期无废气、废水、</w:t>
            </w:r>
            <w:r>
              <w:rPr>
                <w:rFonts w:ascii="仿宋" w:hAnsi="仿宋" w:eastAsia="仿宋" w:cs="仿宋"/>
                <w:spacing w:val="-55"/>
                <w:sz w:val="20"/>
                <w:szCs w:val="20"/>
              </w:rPr>
              <w:t xml:space="preserve"> </w:t>
            </w:r>
            <w:r>
              <w:rPr>
                <w:rFonts w:ascii="仿宋" w:hAnsi="仿宋" w:eastAsia="仿宋" w:cs="仿宋"/>
                <w:spacing w:val="8"/>
                <w:sz w:val="20"/>
                <w:szCs w:val="20"/>
              </w:rPr>
              <w:t>固废新增排放，主要环境影响为机动车通行产生的交通噪声。</w:t>
            </w:r>
          </w:p>
          <w:p w14:paraId="3EBB1584">
            <w:pPr>
              <w:spacing w:line="230" w:lineRule="auto"/>
              <w:jc w:val="right"/>
              <w:outlineLvl w:val="0"/>
              <w:rPr>
                <w:rFonts w:ascii="仿宋" w:hAnsi="仿宋" w:eastAsia="仿宋" w:cs="仿宋"/>
                <w:sz w:val="20"/>
                <w:szCs w:val="20"/>
              </w:rPr>
            </w:pPr>
            <w:r>
              <w:rPr>
                <w:rFonts w:ascii="仿宋" w:hAnsi="仿宋" w:eastAsia="仿宋" w:cs="仿宋"/>
                <w:spacing w:val="4"/>
                <w:sz w:val="20"/>
                <w:szCs w:val="20"/>
              </w:rPr>
              <w:t>项目施工过程中将配套落实洒水降尘、施工废水沉淀回用、生活</w:t>
            </w:r>
            <w:r>
              <w:rPr>
                <w:rFonts w:ascii="仿宋" w:hAnsi="仿宋" w:eastAsia="仿宋" w:cs="仿宋"/>
                <w:spacing w:val="3"/>
                <w:sz w:val="20"/>
                <w:szCs w:val="20"/>
              </w:rPr>
              <w:t>垃圾集中收集清运、</w:t>
            </w:r>
          </w:p>
          <w:p w14:paraId="627FF0FC">
            <w:pPr>
              <w:spacing w:before="160" w:line="377" w:lineRule="auto"/>
              <w:ind w:left="22" w:right="12" w:firstLine="5"/>
              <w:jc w:val="both"/>
              <w:rPr>
                <w:rFonts w:ascii="仿宋" w:hAnsi="仿宋" w:eastAsia="仿宋" w:cs="仿宋"/>
                <w:sz w:val="20"/>
                <w:szCs w:val="20"/>
              </w:rPr>
            </w:pPr>
            <w:r>
              <w:rPr>
                <w:rFonts w:ascii="仿宋" w:hAnsi="仿宋" w:eastAsia="仿宋" w:cs="仿宋"/>
                <w:spacing w:val="9"/>
                <w:sz w:val="20"/>
                <w:szCs w:val="20"/>
              </w:rPr>
              <w:t>合理规划施工时序与施工时段等环保治理措施，可最大限度削减各类污染物排放量；运营期通过道路绿化降噪、合理限速等方式管控交通噪声。经预测，项目全过程污染物排放强度低，对沿线大气、声环境影响均在环境可承载范围内，不会突破区域现有环境质</w:t>
            </w:r>
            <w:r>
              <w:rPr>
                <w:rFonts w:ascii="仿宋" w:hAnsi="仿宋" w:eastAsia="仿宋" w:cs="仿宋"/>
                <w:spacing w:val="3"/>
                <w:sz w:val="20"/>
                <w:szCs w:val="20"/>
              </w:rPr>
              <w:t>量底线。</w:t>
            </w:r>
          </w:p>
          <w:p w14:paraId="52C252C3">
            <w:pPr>
              <w:pStyle w:val="6"/>
              <w:spacing w:line="228" w:lineRule="auto"/>
              <w:ind w:left="445"/>
              <w:outlineLvl w:val="0"/>
              <w:rPr>
                <w:rFonts w:ascii="仿宋" w:hAnsi="仿宋" w:eastAsia="仿宋" w:cs="仿宋"/>
                <w:sz w:val="20"/>
                <w:szCs w:val="20"/>
              </w:rPr>
            </w:pPr>
            <w:r>
              <w:rPr>
                <w:rFonts w:ascii="仿宋" w:hAnsi="仿宋" w:eastAsia="仿宋" w:cs="仿宋"/>
                <w:spacing w:val="8"/>
                <w:sz w:val="20"/>
                <w:szCs w:val="20"/>
              </w:rPr>
              <w:t>（</w:t>
            </w:r>
            <w:r>
              <w:rPr>
                <w:spacing w:val="8"/>
                <w:sz w:val="20"/>
                <w:szCs w:val="20"/>
              </w:rPr>
              <w:t>3</w:t>
            </w:r>
            <w:r>
              <w:rPr>
                <w:rFonts w:ascii="仿宋" w:hAnsi="仿宋" w:eastAsia="仿宋" w:cs="仿宋"/>
                <w:spacing w:val="8"/>
                <w:sz w:val="20"/>
                <w:szCs w:val="20"/>
              </w:rPr>
              <w:t>）资源利用上线符合性分析</w:t>
            </w:r>
          </w:p>
          <w:p w14:paraId="7A2FF338">
            <w:pPr>
              <w:spacing w:before="161" w:line="228" w:lineRule="auto"/>
              <w:ind w:right="12"/>
              <w:jc w:val="right"/>
              <w:outlineLvl w:val="0"/>
              <w:rPr>
                <w:rFonts w:ascii="仿宋" w:hAnsi="仿宋" w:eastAsia="仿宋" w:cs="仿宋"/>
                <w:sz w:val="20"/>
                <w:szCs w:val="20"/>
              </w:rPr>
            </w:pPr>
            <w:r>
              <w:rPr>
                <w:rFonts w:ascii="仿宋" w:hAnsi="仿宋" w:eastAsia="仿宋" w:cs="仿宋"/>
                <w:spacing w:val="9"/>
                <w:sz w:val="20"/>
                <w:szCs w:val="20"/>
              </w:rPr>
              <w:t>本项目为农村单车道水泥混凝土公路，建设规模贴合地方农村公路建设标准，全过</w:t>
            </w:r>
          </w:p>
          <w:p w14:paraId="603FDFFF">
            <w:pPr>
              <w:spacing w:before="161" w:line="229" w:lineRule="auto"/>
              <w:ind w:left="22"/>
              <w:rPr>
                <w:rFonts w:ascii="仿宋" w:hAnsi="仿宋" w:eastAsia="仿宋" w:cs="仿宋"/>
                <w:sz w:val="20"/>
                <w:szCs w:val="20"/>
              </w:rPr>
            </w:pPr>
            <w:r>
              <w:rPr>
                <w:rFonts w:ascii="仿宋" w:hAnsi="仿宋" w:eastAsia="仿宋" w:cs="仿宋"/>
                <w:spacing w:val="9"/>
                <w:sz w:val="20"/>
                <w:szCs w:val="20"/>
              </w:rPr>
              <w:t>程土地、水资源、能源及建材消耗均符合区域资源利用管控上限要求，具体分析如下：</w:t>
            </w:r>
          </w:p>
          <w:p w14:paraId="38646F73">
            <w:pPr>
              <w:spacing w:before="160" w:line="229" w:lineRule="auto"/>
              <w:ind w:right="12"/>
              <w:jc w:val="right"/>
              <w:outlineLvl w:val="0"/>
              <w:rPr>
                <w:rFonts w:ascii="仿宋" w:hAnsi="仿宋" w:eastAsia="仿宋" w:cs="仿宋"/>
                <w:sz w:val="20"/>
                <w:szCs w:val="20"/>
              </w:rPr>
            </w:pPr>
            <w:r>
              <w:rPr>
                <w:rFonts w:ascii="仿宋" w:hAnsi="仿宋" w:eastAsia="仿宋" w:cs="仿宋"/>
                <w:spacing w:val="9"/>
                <w:sz w:val="20"/>
                <w:szCs w:val="20"/>
              </w:rPr>
              <w:t>土地资源：项目占地规模与公路建设等级匹配，用地类型符合区域国土空间总体规</w:t>
            </w:r>
          </w:p>
          <w:p w14:paraId="7DFE815C">
            <w:pPr>
              <w:spacing w:before="161" w:line="377" w:lineRule="auto"/>
              <w:ind w:left="56" w:right="12" w:hanging="33"/>
              <w:rPr>
                <w:rFonts w:ascii="仿宋" w:hAnsi="仿宋" w:eastAsia="仿宋" w:cs="仿宋"/>
                <w:sz w:val="20"/>
                <w:szCs w:val="20"/>
              </w:rPr>
            </w:pPr>
            <w:r>
              <w:rPr>
                <w:rFonts w:ascii="仿宋" w:hAnsi="仿宋" w:eastAsia="仿宋" w:cs="仿宋"/>
                <w:spacing w:val="9"/>
                <w:sz w:val="20"/>
                <w:szCs w:val="20"/>
              </w:rPr>
              <w:t>划交通用地管控指标；项目永久占地不占用生态保护红线、永久基本农田；不涉及临时</w:t>
            </w:r>
            <w:r>
              <w:rPr>
                <w:rFonts w:ascii="仿宋" w:hAnsi="仿宋" w:eastAsia="仿宋" w:cs="仿宋"/>
                <w:spacing w:val="7"/>
                <w:sz w:val="20"/>
                <w:szCs w:val="20"/>
              </w:rPr>
              <w:t>占地，土地占用合理合规，未突破区域土地资源利用上线。</w:t>
            </w:r>
          </w:p>
          <w:p w14:paraId="4A657476">
            <w:pPr>
              <w:spacing w:line="229" w:lineRule="auto"/>
              <w:ind w:right="12"/>
              <w:jc w:val="right"/>
              <w:outlineLvl w:val="0"/>
              <w:rPr>
                <w:rFonts w:ascii="仿宋" w:hAnsi="仿宋" w:eastAsia="仿宋" w:cs="仿宋"/>
                <w:sz w:val="20"/>
                <w:szCs w:val="20"/>
              </w:rPr>
            </w:pPr>
            <w:r>
              <w:rPr>
                <w:rFonts w:ascii="仿宋" w:hAnsi="仿宋" w:eastAsia="仿宋" w:cs="仿宋"/>
                <w:spacing w:val="9"/>
                <w:sz w:val="20"/>
                <w:szCs w:val="20"/>
              </w:rPr>
              <w:t>水资源：项目施工期仅路面养护、场地降尘产生少量施工用水，施工人员生活用水</w:t>
            </w:r>
          </w:p>
          <w:p w14:paraId="3138BDEF">
            <w:pPr>
              <w:spacing w:before="160" w:line="231" w:lineRule="auto"/>
              <w:ind w:left="24"/>
              <w:rPr>
                <w:rFonts w:ascii="仿宋" w:hAnsi="仿宋" w:eastAsia="仿宋" w:cs="仿宋"/>
                <w:sz w:val="20"/>
                <w:szCs w:val="20"/>
              </w:rPr>
            </w:pPr>
            <w:r>
              <w:rPr>
                <w:rFonts w:ascii="仿宋" w:hAnsi="仿宋" w:eastAsia="仿宋" w:cs="仿宋"/>
                <w:spacing w:val="9"/>
                <w:sz w:val="20"/>
                <w:szCs w:val="20"/>
              </w:rPr>
              <w:t>量极小，运营期无生产生活用水需求；项目用水量远低于区域水资源分配管控额度，且</w:t>
            </w:r>
          </w:p>
        </w:tc>
      </w:tr>
    </w:tbl>
    <w:p w14:paraId="5A182271">
      <w:pPr>
        <w:pStyle w:val="2"/>
        <w:rPr>
          <w:sz w:val="21"/>
        </w:rPr>
      </w:pPr>
    </w:p>
    <w:p w14:paraId="5836CF50">
      <w:pPr>
        <w:rPr>
          <w:sz w:val="21"/>
          <w:szCs w:val="21"/>
        </w:rPr>
        <w:sectPr>
          <w:footerReference r:id="rId13" w:type="default"/>
          <w:pgSz w:w="11906" w:h="16839"/>
          <w:pgMar w:top="400" w:right="1306" w:bottom="1501" w:left="1521" w:header="0" w:footer="1342" w:gutter="0"/>
          <w:cols w:space="720" w:num="1"/>
        </w:sectPr>
      </w:pPr>
    </w:p>
    <w:p w14:paraId="135C234A">
      <w:pPr>
        <w:spacing w:before="19"/>
      </w:pPr>
    </w:p>
    <w:p w14:paraId="4E960866">
      <w:pPr>
        <w:spacing w:before="19"/>
      </w:pPr>
    </w:p>
    <w:p w14:paraId="01E65AC0">
      <w:pPr>
        <w:spacing w:before="19"/>
      </w:pPr>
    </w:p>
    <w:p w14:paraId="29E2B35F">
      <w:pPr>
        <w:spacing w:before="18"/>
      </w:pPr>
    </w:p>
    <w:p w14:paraId="2075B58E">
      <w:pPr>
        <w:spacing w:before="18"/>
      </w:pPr>
    </w:p>
    <w:tbl>
      <w:tblPr>
        <w:tblStyle w:val="5"/>
        <w:tblW w:w="9063"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070"/>
        <w:gridCol w:w="7993"/>
      </w:tblGrid>
      <w:tr w14:paraId="6D9052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331" w:hRule="atLeast"/>
        </w:trPr>
        <w:tc>
          <w:tcPr>
            <w:tcW w:w="1070" w:type="dxa"/>
            <w:tcBorders>
              <w:right w:val="single" w:color="000000" w:sz="2" w:space="0"/>
            </w:tcBorders>
            <w:vAlign w:val="top"/>
          </w:tcPr>
          <w:p w14:paraId="5BC0303E">
            <w:pPr>
              <w:rPr>
                <w:rFonts w:ascii="Arial"/>
                <w:sz w:val="21"/>
              </w:rPr>
            </w:pPr>
          </w:p>
        </w:tc>
        <w:tc>
          <w:tcPr>
            <w:tcW w:w="7993" w:type="dxa"/>
            <w:tcBorders>
              <w:left w:val="single" w:color="000000" w:sz="2" w:space="0"/>
            </w:tcBorders>
            <w:vAlign w:val="top"/>
          </w:tcPr>
          <w:p w14:paraId="095DA838">
            <w:pPr>
              <w:spacing w:before="42" w:line="376" w:lineRule="auto"/>
              <w:ind w:left="27" w:right="12"/>
              <w:rPr>
                <w:rFonts w:ascii="仿宋" w:hAnsi="仿宋" w:eastAsia="仿宋" w:cs="仿宋"/>
                <w:sz w:val="20"/>
                <w:szCs w:val="20"/>
              </w:rPr>
            </w:pPr>
            <w:r>
              <w:rPr>
                <w:rFonts w:ascii="仿宋" w:hAnsi="仿宋" w:eastAsia="仿宋" w:cs="仿宋"/>
                <w:spacing w:val="9"/>
                <w:sz w:val="20"/>
                <w:szCs w:val="20"/>
              </w:rPr>
              <w:t>线路占地范围、沿线过水路面下游均无集中式饮用水水源保护区，施工及运营全过程不会对区域饮用水源及地表水资源造成不利影响，水资源利用符合管控要求；</w:t>
            </w:r>
          </w:p>
          <w:p w14:paraId="2FE955C1">
            <w:pPr>
              <w:spacing w:before="1" w:line="229" w:lineRule="auto"/>
              <w:ind w:right="12"/>
              <w:jc w:val="right"/>
              <w:outlineLvl w:val="0"/>
              <w:rPr>
                <w:rFonts w:ascii="仿宋" w:hAnsi="仿宋" w:eastAsia="仿宋" w:cs="仿宋"/>
                <w:sz w:val="20"/>
                <w:szCs w:val="20"/>
              </w:rPr>
            </w:pPr>
            <w:r>
              <w:rPr>
                <w:rFonts w:ascii="仿宋" w:hAnsi="仿宋" w:eastAsia="仿宋" w:cs="仿宋"/>
                <w:spacing w:val="9"/>
                <w:sz w:val="20"/>
                <w:szCs w:val="20"/>
              </w:rPr>
              <w:t>能源与建材资源：施工期能源消耗以施工机械燃油为主，运营期</w:t>
            </w:r>
            <w:r>
              <w:rPr>
                <w:rFonts w:ascii="仿宋" w:hAnsi="仿宋" w:eastAsia="仿宋" w:cs="仿宋"/>
                <w:spacing w:val="8"/>
                <w:sz w:val="20"/>
                <w:szCs w:val="20"/>
              </w:rPr>
              <w:t>能源消耗为过往通</w:t>
            </w:r>
          </w:p>
          <w:p w14:paraId="2D38B5EC">
            <w:pPr>
              <w:spacing w:before="160" w:line="377" w:lineRule="auto"/>
              <w:ind w:left="20" w:firstLine="2"/>
              <w:jc w:val="both"/>
              <w:rPr>
                <w:rFonts w:ascii="仿宋" w:hAnsi="仿宋" w:eastAsia="仿宋" w:cs="仿宋"/>
                <w:sz w:val="20"/>
                <w:szCs w:val="20"/>
              </w:rPr>
            </w:pPr>
            <w:r>
              <w:rPr>
                <w:rFonts w:ascii="仿宋" w:hAnsi="仿宋" w:eastAsia="仿宋" w:cs="仿宋"/>
                <w:spacing w:val="4"/>
                <w:sz w:val="20"/>
                <w:szCs w:val="20"/>
              </w:rPr>
              <w:t>行车辆能耗；本公路设计车速低、远期交通流量小，整体能耗水平偏低。项目所用砂石、</w:t>
            </w:r>
            <w:r>
              <w:rPr>
                <w:rFonts w:ascii="仿宋" w:hAnsi="仿宋" w:eastAsia="仿宋" w:cs="仿宋"/>
                <w:spacing w:val="8"/>
                <w:sz w:val="20"/>
                <w:szCs w:val="20"/>
              </w:rPr>
              <w:t>水泥等建筑材料均依托区域现有建材市场供应，建</w:t>
            </w:r>
            <w:r>
              <w:rPr>
                <w:rFonts w:ascii="仿宋" w:hAnsi="仿宋" w:eastAsia="仿宋" w:cs="仿宋"/>
                <w:spacing w:val="7"/>
                <w:sz w:val="20"/>
                <w:szCs w:val="20"/>
              </w:rPr>
              <w:t>材消耗量与工程建设规模匹配，未超</w:t>
            </w:r>
            <w:r>
              <w:rPr>
                <w:rFonts w:ascii="仿宋" w:hAnsi="仿宋" w:eastAsia="仿宋" w:cs="仿宋"/>
                <w:spacing w:val="4"/>
                <w:sz w:val="20"/>
                <w:szCs w:val="20"/>
              </w:rPr>
              <w:t>出区域能源、建材资源供应及利用上限，满足区域资源节约、高效利用的总体管控要求。</w:t>
            </w:r>
          </w:p>
          <w:p w14:paraId="5D7E2F74">
            <w:pPr>
              <w:pStyle w:val="6"/>
              <w:spacing w:line="228" w:lineRule="auto"/>
              <w:ind w:left="445"/>
              <w:outlineLvl w:val="0"/>
              <w:rPr>
                <w:rFonts w:ascii="仿宋" w:hAnsi="仿宋" w:eastAsia="仿宋" w:cs="仿宋"/>
                <w:sz w:val="20"/>
                <w:szCs w:val="20"/>
              </w:rPr>
            </w:pPr>
            <w:r>
              <w:rPr>
                <w:rFonts w:ascii="仿宋" w:hAnsi="仿宋" w:eastAsia="仿宋" w:cs="仿宋"/>
                <w:spacing w:val="8"/>
                <w:sz w:val="20"/>
                <w:szCs w:val="20"/>
              </w:rPr>
              <w:t>（</w:t>
            </w:r>
            <w:r>
              <w:rPr>
                <w:spacing w:val="8"/>
                <w:sz w:val="20"/>
                <w:szCs w:val="20"/>
              </w:rPr>
              <w:t>4</w:t>
            </w:r>
            <w:r>
              <w:rPr>
                <w:rFonts w:ascii="仿宋" w:hAnsi="仿宋" w:eastAsia="仿宋" w:cs="仿宋"/>
                <w:spacing w:val="8"/>
                <w:sz w:val="20"/>
                <w:szCs w:val="20"/>
              </w:rPr>
              <w:t>）生态环境准入清单符合性分析</w:t>
            </w:r>
          </w:p>
          <w:p w14:paraId="6083611E">
            <w:pPr>
              <w:spacing w:before="161" w:line="229" w:lineRule="auto"/>
              <w:ind w:right="12"/>
              <w:jc w:val="right"/>
              <w:outlineLvl w:val="0"/>
              <w:rPr>
                <w:rFonts w:ascii="仿宋" w:hAnsi="仿宋" w:eastAsia="仿宋" w:cs="仿宋"/>
                <w:sz w:val="20"/>
                <w:szCs w:val="20"/>
              </w:rPr>
            </w:pPr>
            <w:r>
              <w:rPr>
                <w:rFonts w:ascii="仿宋" w:hAnsi="仿宋" w:eastAsia="仿宋" w:cs="仿宋"/>
                <w:spacing w:val="9"/>
                <w:sz w:val="20"/>
                <w:szCs w:val="20"/>
              </w:rPr>
              <w:t>通过内蒙古自治区生态环境分区管控公众端应用平台开展选址准入查询，本项目线</w:t>
            </w:r>
          </w:p>
          <w:p w14:paraId="6B63001B">
            <w:pPr>
              <w:spacing w:before="162" w:line="229" w:lineRule="auto"/>
              <w:ind w:left="19"/>
              <w:rPr>
                <w:rFonts w:ascii="仿宋" w:hAnsi="仿宋" w:eastAsia="仿宋" w:cs="仿宋"/>
                <w:sz w:val="20"/>
                <w:szCs w:val="20"/>
              </w:rPr>
            </w:pPr>
            <w:r>
              <w:rPr>
                <w:rFonts w:ascii="仿宋" w:hAnsi="仿宋" w:eastAsia="仿宋" w:cs="仿宋"/>
                <w:spacing w:val="9"/>
                <w:sz w:val="20"/>
                <w:szCs w:val="20"/>
              </w:rPr>
              <w:t>路跨越三大类共计四个环境管控单元，具体单元类型及编码如下：</w:t>
            </w:r>
          </w:p>
          <w:p w14:paraId="69554117">
            <w:pPr>
              <w:pStyle w:val="6"/>
              <w:spacing w:before="160" w:line="229" w:lineRule="auto"/>
              <w:jc w:val="right"/>
              <w:outlineLvl w:val="0"/>
              <w:rPr>
                <w:rFonts w:ascii="仿宋" w:hAnsi="仿宋" w:eastAsia="仿宋" w:cs="仿宋"/>
                <w:sz w:val="20"/>
                <w:szCs w:val="20"/>
              </w:rPr>
            </w:pPr>
            <w:r>
              <w:rPr>
                <w:rFonts w:ascii="宋体" w:hAnsi="宋体" w:eastAsia="宋体" w:cs="宋体"/>
                <w:spacing w:val="6"/>
                <w:sz w:val="20"/>
                <w:szCs w:val="20"/>
              </w:rPr>
              <w:t>①</w:t>
            </w:r>
            <w:r>
              <w:rPr>
                <w:rFonts w:ascii="仿宋" w:hAnsi="仿宋" w:eastAsia="仿宋" w:cs="仿宋"/>
                <w:spacing w:val="6"/>
                <w:sz w:val="20"/>
                <w:szCs w:val="20"/>
              </w:rPr>
              <w:t>优先保护单元：准格尔旗水土保持生态功能重要区域（编码：</w:t>
            </w:r>
            <w:r>
              <w:rPr>
                <w:sz w:val="20"/>
                <w:szCs w:val="20"/>
              </w:rPr>
              <w:t>ZH</w:t>
            </w:r>
            <w:r>
              <w:rPr>
                <w:spacing w:val="6"/>
                <w:sz w:val="20"/>
                <w:szCs w:val="20"/>
              </w:rPr>
              <w:t>15062210007</w:t>
            </w:r>
            <w:r>
              <w:rPr>
                <w:rFonts w:ascii="仿宋" w:hAnsi="仿宋" w:eastAsia="仿宋" w:cs="仿宋"/>
                <w:spacing w:val="-27"/>
                <w:sz w:val="20"/>
                <w:szCs w:val="20"/>
              </w:rPr>
              <w:t>）；</w:t>
            </w:r>
          </w:p>
          <w:p w14:paraId="20C39E8D">
            <w:pPr>
              <w:pStyle w:val="6"/>
              <w:spacing w:before="160" w:line="229" w:lineRule="auto"/>
              <w:jc w:val="right"/>
              <w:outlineLvl w:val="0"/>
              <w:rPr>
                <w:rFonts w:ascii="仿宋" w:hAnsi="仿宋" w:eastAsia="仿宋" w:cs="仿宋"/>
                <w:sz w:val="20"/>
                <w:szCs w:val="20"/>
              </w:rPr>
            </w:pPr>
            <w:r>
              <w:rPr>
                <w:rFonts w:ascii="宋体" w:hAnsi="宋体" w:eastAsia="宋体" w:cs="宋体"/>
                <w:spacing w:val="4"/>
                <w:sz w:val="20"/>
                <w:szCs w:val="20"/>
              </w:rPr>
              <w:t>②</w:t>
            </w:r>
            <w:r>
              <w:rPr>
                <w:rFonts w:ascii="仿宋" w:hAnsi="仿宋" w:eastAsia="仿宋" w:cs="仿宋"/>
                <w:spacing w:val="4"/>
                <w:sz w:val="20"/>
                <w:szCs w:val="20"/>
              </w:rPr>
              <w:t>重点管控单元：黄河头道拐准格尔旗生态用水补给区（编码：</w:t>
            </w:r>
            <w:r>
              <w:rPr>
                <w:sz w:val="20"/>
                <w:szCs w:val="20"/>
              </w:rPr>
              <w:t>ZH</w:t>
            </w:r>
            <w:r>
              <w:rPr>
                <w:spacing w:val="4"/>
                <w:sz w:val="20"/>
                <w:szCs w:val="20"/>
              </w:rPr>
              <w:t>15062220002</w:t>
            </w:r>
            <w:r>
              <w:rPr>
                <w:rFonts w:ascii="仿宋" w:hAnsi="仿宋" w:eastAsia="仿宋" w:cs="仿宋"/>
                <w:spacing w:val="4"/>
                <w:sz w:val="20"/>
                <w:szCs w:val="20"/>
              </w:rPr>
              <w:t>）、</w:t>
            </w:r>
          </w:p>
          <w:p w14:paraId="226DA6CB">
            <w:pPr>
              <w:pStyle w:val="6"/>
              <w:spacing w:before="159" w:line="231" w:lineRule="auto"/>
              <w:ind w:left="31"/>
              <w:rPr>
                <w:rFonts w:ascii="仿宋" w:hAnsi="仿宋" w:eastAsia="仿宋" w:cs="仿宋"/>
                <w:sz w:val="20"/>
                <w:szCs w:val="20"/>
              </w:rPr>
            </w:pPr>
            <w:r>
              <w:rPr>
                <w:rFonts w:ascii="仿宋" w:hAnsi="仿宋" w:eastAsia="仿宋" w:cs="仿宋"/>
                <w:spacing w:val="6"/>
                <w:sz w:val="20"/>
                <w:szCs w:val="20"/>
              </w:rPr>
              <w:t>乌兰格尔矿区（编码：</w:t>
            </w:r>
            <w:r>
              <w:rPr>
                <w:sz w:val="20"/>
                <w:szCs w:val="20"/>
              </w:rPr>
              <w:t>ZH</w:t>
            </w:r>
            <w:r>
              <w:rPr>
                <w:spacing w:val="6"/>
                <w:sz w:val="20"/>
                <w:szCs w:val="20"/>
              </w:rPr>
              <w:t>15062220007</w:t>
            </w:r>
            <w:r>
              <w:rPr>
                <w:rFonts w:ascii="仿宋" w:hAnsi="仿宋" w:eastAsia="仿宋" w:cs="仿宋"/>
                <w:spacing w:val="9"/>
                <w:sz w:val="20"/>
                <w:szCs w:val="20"/>
              </w:rPr>
              <w:t>）；</w:t>
            </w:r>
          </w:p>
          <w:p w14:paraId="03493477">
            <w:pPr>
              <w:pStyle w:val="6"/>
              <w:spacing w:before="161" w:line="229" w:lineRule="auto"/>
              <w:ind w:left="433"/>
              <w:outlineLvl w:val="0"/>
              <w:rPr>
                <w:rFonts w:ascii="仿宋" w:hAnsi="仿宋" w:eastAsia="仿宋" w:cs="仿宋"/>
                <w:sz w:val="20"/>
                <w:szCs w:val="20"/>
              </w:rPr>
            </w:pPr>
            <w:r>
              <w:rPr>
                <w:rFonts w:ascii="宋体" w:hAnsi="宋体" w:eastAsia="宋体" w:cs="宋体"/>
                <w:spacing w:val="8"/>
                <w:sz w:val="20"/>
                <w:szCs w:val="20"/>
              </w:rPr>
              <w:t>③</w:t>
            </w:r>
            <w:r>
              <w:rPr>
                <w:rFonts w:ascii="仿宋" w:hAnsi="仿宋" w:eastAsia="仿宋" w:cs="仿宋"/>
                <w:spacing w:val="8"/>
                <w:sz w:val="20"/>
                <w:szCs w:val="20"/>
              </w:rPr>
              <w:t>一般管控单元：准格尔旗一般管控单元（编码：</w:t>
            </w:r>
            <w:r>
              <w:rPr>
                <w:sz w:val="20"/>
                <w:szCs w:val="20"/>
              </w:rPr>
              <w:t>ZH</w:t>
            </w:r>
            <w:r>
              <w:rPr>
                <w:spacing w:val="8"/>
                <w:sz w:val="20"/>
                <w:szCs w:val="20"/>
              </w:rPr>
              <w:t>15062230001</w:t>
            </w:r>
            <w:r>
              <w:rPr>
                <w:rFonts w:ascii="仿宋" w:hAnsi="仿宋" w:eastAsia="仿宋" w:cs="仿宋"/>
                <w:spacing w:val="8"/>
                <w:sz w:val="20"/>
                <w:szCs w:val="20"/>
              </w:rPr>
              <w:t>）。</w:t>
            </w:r>
            <w:bookmarkStart w:id="84" w:name="_GoBack"/>
            <w:bookmarkEnd w:id="84"/>
          </w:p>
          <w:p w14:paraId="25D48897">
            <w:pPr>
              <w:pStyle w:val="6"/>
              <w:spacing w:before="160" w:line="376" w:lineRule="auto"/>
              <w:ind w:left="21" w:right="12" w:firstLine="420"/>
              <w:jc w:val="both"/>
              <w:rPr>
                <w:rFonts w:ascii="仿宋" w:hAnsi="仿宋" w:eastAsia="仿宋" w:cs="仿宋"/>
                <w:sz w:val="20"/>
                <w:szCs w:val="20"/>
              </w:rPr>
            </w:pPr>
            <w:r>
              <w:rPr>
                <w:rFonts w:ascii="仿宋" w:hAnsi="仿宋" w:eastAsia="仿宋" w:cs="仿宋"/>
                <w:spacing w:val="9"/>
                <w:sz w:val="20"/>
                <w:szCs w:val="20"/>
              </w:rPr>
              <w:t>本项目为乡村公益性基础设施公路建设项目，不属于各管控单元禁止准入、限制准</w:t>
            </w:r>
            <w:r>
              <w:rPr>
                <w:rFonts w:ascii="仿宋" w:hAnsi="仿宋" w:eastAsia="仿宋" w:cs="仿宋"/>
                <w:spacing w:val="15"/>
                <w:sz w:val="20"/>
                <w:szCs w:val="20"/>
              </w:rPr>
              <w:t>入类产业及建设项目。对照鄂尔多斯市准格尔旗生态环境准入清单开</w:t>
            </w:r>
            <w:r>
              <w:rPr>
                <w:rFonts w:ascii="仿宋" w:hAnsi="仿宋" w:eastAsia="仿宋" w:cs="仿宋"/>
                <w:spacing w:val="14"/>
                <w:sz w:val="20"/>
                <w:szCs w:val="20"/>
              </w:rPr>
              <w:t>展逐条符合性比</w:t>
            </w:r>
            <w:r>
              <w:rPr>
                <w:rFonts w:ascii="仿宋" w:hAnsi="仿宋" w:eastAsia="仿宋" w:cs="仿宋"/>
                <w:spacing w:val="8"/>
                <w:sz w:val="20"/>
                <w:szCs w:val="20"/>
              </w:rPr>
              <w:t>对，项目与准格尔旗生态环境准入清单管控要求符合性分析详见表</w:t>
            </w:r>
            <w:r>
              <w:rPr>
                <w:rFonts w:ascii="仿宋" w:hAnsi="仿宋" w:eastAsia="仿宋" w:cs="仿宋"/>
                <w:spacing w:val="-23"/>
                <w:sz w:val="20"/>
                <w:szCs w:val="20"/>
              </w:rPr>
              <w:t xml:space="preserve"> </w:t>
            </w:r>
            <w:r>
              <w:rPr>
                <w:spacing w:val="8"/>
                <w:sz w:val="20"/>
                <w:szCs w:val="20"/>
              </w:rPr>
              <w:t>1-</w:t>
            </w:r>
            <w:r>
              <w:rPr>
                <w:spacing w:val="7"/>
                <w:sz w:val="20"/>
                <w:szCs w:val="20"/>
              </w:rPr>
              <w:t>6</w:t>
            </w:r>
            <w:r>
              <w:rPr>
                <w:rFonts w:ascii="仿宋" w:hAnsi="仿宋" w:eastAsia="仿宋" w:cs="仿宋"/>
                <w:spacing w:val="7"/>
                <w:sz w:val="20"/>
                <w:szCs w:val="20"/>
              </w:rPr>
              <w:t>。</w:t>
            </w:r>
          </w:p>
          <w:p w14:paraId="3878FE1B">
            <w:pPr>
              <w:spacing w:before="1" w:line="229" w:lineRule="auto"/>
              <w:ind w:left="841"/>
              <w:rPr>
                <w:rFonts w:ascii="仿宋" w:hAnsi="仿宋" w:eastAsia="仿宋" w:cs="仿宋"/>
                <w:sz w:val="20"/>
                <w:szCs w:val="20"/>
              </w:rPr>
            </w:pPr>
            <w:r>
              <w:rPr>
                <w:rFonts w:ascii="仿宋" w:hAnsi="仿宋" w:eastAsia="仿宋" w:cs="仿宋"/>
                <w:b/>
                <w:bCs/>
                <w:spacing w:val="7"/>
                <w:sz w:val="20"/>
                <w:szCs w:val="20"/>
              </w:rPr>
              <w:t>表1-6</w:t>
            </w:r>
            <w:r>
              <w:rPr>
                <w:rFonts w:ascii="仿宋" w:hAnsi="仿宋" w:eastAsia="仿宋" w:cs="仿宋"/>
                <w:spacing w:val="7"/>
                <w:sz w:val="20"/>
                <w:szCs w:val="20"/>
              </w:rPr>
              <w:t xml:space="preserve">   </w:t>
            </w:r>
            <w:r>
              <w:rPr>
                <w:rFonts w:ascii="仿宋" w:hAnsi="仿宋" w:eastAsia="仿宋" w:cs="仿宋"/>
                <w:b/>
                <w:bCs/>
                <w:spacing w:val="7"/>
                <w:sz w:val="20"/>
                <w:szCs w:val="20"/>
              </w:rPr>
              <w:t>本项目与准格尔旗生态环境准入清单管控要求符合性分析表</w:t>
            </w:r>
          </w:p>
          <w:p w14:paraId="28E2865F">
            <w:pPr>
              <w:spacing w:line="131" w:lineRule="exact"/>
            </w:pPr>
          </w:p>
          <w:tbl>
            <w:tblPr>
              <w:tblStyle w:val="5"/>
              <w:tblW w:w="7837" w:type="dxa"/>
              <w:tblInd w:w="7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1"/>
              <w:gridCol w:w="600"/>
              <w:gridCol w:w="494"/>
              <w:gridCol w:w="585"/>
              <w:gridCol w:w="3420"/>
              <w:gridCol w:w="1800"/>
              <w:gridCol w:w="447"/>
            </w:tblGrid>
            <w:tr w14:paraId="731028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3" w:hRule="atLeast"/>
              </w:trPr>
              <w:tc>
                <w:tcPr>
                  <w:tcW w:w="491" w:type="dxa"/>
                  <w:tcBorders>
                    <w:top w:val="single" w:color="000000" w:sz="10" w:space="0"/>
                    <w:left w:val="nil"/>
                  </w:tcBorders>
                  <w:vAlign w:val="top"/>
                </w:tcPr>
                <w:p w14:paraId="4C318BEC">
                  <w:pPr>
                    <w:spacing w:before="32" w:line="222" w:lineRule="auto"/>
                    <w:ind w:left="75"/>
                    <w:rPr>
                      <w:rFonts w:ascii="仿宋" w:hAnsi="仿宋" w:eastAsia="仿宋" w:cs="仿宋"/>
                      <w:sz w:val="18"/>
                      <w:szCs w:val="18"/>
                    </w:rPr>
                  </w:pPr>
                  <w:r>
                    <w:rPr>
                      <w:rFonts w:ascii="仿宋" w:hAnsi="仿宋" w:eastAsia="仿宋" w:cs="仿宋"/>
                      <w:spacing w:val="-6"/>
                      <w:sz w:val="18"/>
                      <w:szCs w:val="18"/>
                    </w:rPr>
                    <w:t>环境</w:t>
                  </w:r>
                </w:p>
                <w:p w14:paraId="7356430E">
                  <w:pPr>
                    <w:spacing w:before="16" w:line="223" w:lineRule="auto"/>
                    <w:ind w:left="85"/>
                    <w:rPr>
                      <w:rFonts w:ascii="仿宋" w:hAnsi="仿宋" w:eastAsia="仿宋" w:cs="仿宋"/>
                      <w:sz w:val="18"/>
                      <w:szCs w:val="18"/>
                    </w:rPr>
                  </w:pPr>
                  <w:r>
                    <w:rPr>
                      <w:rFonts w:ascii="仿宋" w:hAnsi="仿宋" w:eastAsia="仿宋" w:cs="仿宋"/>
                      <w:spacing w:val="-11"/>
                      <w:sz w:val="18"/>
                      <w:szCs w:val="18"/>
                    </w:rPr>
                    <w:t>管控</w:t>
                  </w:r>
                </w:p>
                <w:p w14:paraId="5C549B97">
                  <w:pPr>
                    <w:spacing w:before="15" w:line="221" w:lineRule="auto"/>
                    <w:ind w:left="79"/>
                    <w:rPr>
                      <w:rFonts w:ascii="仿宋" w:hAnsi="仿宋" w:eastAsia="仿宋" w:cs="仿宋"/>
                      <w:sz w:val="18"/>
                      <w:szCs w:val="18"/>
                    </w:rPr>
                  </w:pPr>
                  <w:r>
                    <w:rPr>
                      <w:rFonts w:ascii="仿宋" w:hAnsi="仿宋" w:eastAsia="仿宋" w:cs="仿宋"/>
                      <w:spacing w:val="-8"/>
                      <w:sz w:val="18"/>
                      <w:szCs w:val="18"/>
                    </w:rPr>
                    <w:t>单元</w:t>
                  </w:r>
                </w:p>
                <w:p w14:paraId="54E29ADE">
                  <w:pPr>
                    <w:spacing w:before="17" w:line="208" w:lineRule="auto"/>
                    <w:ind w:left="77"/>
                    <w:rPr>
                      <w:rFonts w:ascii="仿宋" w:hAnsi="仿宋" w:eastAsia="仿宋" w:cs="仿宋"/>
                      <w:sz w:val="18"/>
                      <w:szCs w:val="18"/>
                    </w:rPr>
                  </w:pPr>
                  <w:r>
                    <w:rPr>
                      <w:rFonts w:ascii="仿宋" w:hAnsi="仿宋" w:eastAsia="仿宋" w:cs="仿宋"/>
                      <w:spacing w:val="-7"/>
                      <w:sz w:val="18"/>
                      <w:szCs w:val="18"/>
                    </w:rPr>
                    <w:t>编码</w:t>
                  </w:r>
                </w:p>
              </w:tc>
              <w:tc>
                <w:tcPr>
                  <w:tcW w:w="600" w:type="dxa"/>
                  <w:tcBorders>
                    <w:top w:val="single" w:color="000000" w:sz="10" w:space="0"/>
                  </w:tcBorders>
                  <w:vAlign w:val="top"/>
                </w:tcPr>
                <w:p w14:paraId="77E5AB8C">
                  <w:pPr>
                    <w:spacing w:before="147" w:line="222" w:lineRule="auto"/>
                    <w:ind w:left="38"/>
                    <w:rPr>
                      <w:rFonts w:ascii="仿宋" w:hAnsi="仿宋" w:eastAsia="仿宋" w:cs="仿宋"/>
                      <w:sz w:val="18"/>
                      <w:szCs w:val="18"/>
                    </w:rPr>
                  </w:pPr>
                  <w:r>
                    <w:rPr>
                      <w:rFonts w:ascii="仿宋" w:hAnsi="仿宋" w:eastAsia="仿宋" w:cs="仿宋"/>
                      <w:spacing w:val="-4"/>
                      <w:sz w:val="18"/>
                      <w:szCs w:val="18"/>
                    </w:rPr>
                    <w:t>环境管</w:t>
                  </w:r>
                </w:p>
                <w:p w14:paraId="051021A5">
                  <w:pPr>
                    <w:spacing w:before="16" w:line="239" w:lineRule="auto"/>
                    <w:ind w:left="130" w:right="28" w:hanging="91"/>
                    <w:rPr>
                      <w:rFonts w:ascii="仿宋" w:hAnsi="仿宋" w:eastAsia="仿宋" w:cs="仿宋"/>
                      <w:sz w:val="18"/>
                      <w:szCs w:val="18"/>
                    </w:rPr>
                  </w:pPr>
                  <w:r>
                    <w:rPr>
                      <w:rFonts w:ascii="仿宋" w:hAnsi="仿宋" w:eastAsia="仿宋" w:cs="仿宋"/>
                      <w:spacing w:val="-5"/>
                      <w:sz w:val="18"/>
                      <w:szCs w:val="18"/>
                    </w:rPr>
                    <w:t>控单元</w:t>
                  </w:r>
                  <w:r>
                    <w:rPr>
                      <w:rFonts w:ascii="仿宋" w:hAnsi="仿宋" w:eastAsia="仿宋" w:cs="仿宋"/>
                      <w:spacing w:val="-7"/>
                      <w:sz w:val="18"/>
                      <w:szCs w:val="18"/>
                    </w:rPr>
                    <w:t>名称</w:t>
                  </w:r>
                </w:p>
              </w:tc>
              <w:tc>
                <w:tcPr>
                  <w:tcW w:w="494" w:type="dxa"/>
                  <w:tcBorders>
                    <w:top w:val="single" w:color="000000" w:sz="10" w:space="0"/>
                  </w:tcBorders>
                  <w:vAlign w:val="top"/>
                </w:tcPr>
                <w:p w14:paraId="390F46D5">
                  <w:pPr>
                    <w:spacing w:before="147" w:line="223" w:lineRule="auto"/>
                    <w:ind w:left="86"/>
                    <w:rPr>
                      <w:rFonts w:ascii="仿宋" w:hAnsi="仿宋" w:eastAsia="仿宋" w:cs="仿宋"/>
                      <w:sz w:val="18"/>
                      <w:szCs w:val="18"/>
                    </w:rPr>
                  </w:pPr>
                  <w:r>
                    <w:rPr>
                      <w:rFonts w:ascii="仿宋" w:hAnsi="仿宋" w:eastAsia="仿宋" w:cs="仿宋"/>
                      <w:spacing w:val="-11"/>
                      <w:sz w:val="18"/>
                      <w:szCs w:val="18"/>
                    </w:rPr>
                    <w:t>管控</w:t>
                  </w:r>
                </w:p>
                <w:p w14:paraId="5860905A">
                  <w:pPr>
                    <w:spacing w:before="15" w:line="221" w:lineRule="auto"/>
                    <w:ind w:left="80"/>
                    <w:rPr>
                      <w:rFonts w:ascii="仿宋" w:hAnsi="仿宋" w:eastAsia="仿宋" w:cs="仿宋"/>
                      <w:sz w:val="18"/>
                      <w:szCs w:val="18"/>
                    </w:rPr>
                  </w:pPr>
                  <w:r>
                    <w:rPr>
                      <w:rFonts w:ascii="仿宋" w:hAnsi="仿宋" w:eastAsia="仿宋" w:cs="仿宋"/>
                      <w:spacing w:val="-8"/>
                      <w:sz w:val="18"/>
                      <w:szCs w:val="18"/>
                    </w:rPr>
                    <w:t>单元</w:t>
                  </w:r>
                </w:p>
                <w:p w14:paraId="07559A94">
                  <w:pPr>
                    <w:spacing w:before="17" w:line="223" w:lineRule="auto"/>
                    <w:ind w:left="78"/>
                    <w:rPr>
                      <w:rFonts w:ascii="仿宋" w:hAnsi="仿宋" w:eastAsia="仿宋" w:cs="仿宋"/>
                      <w:sz w:val="18"/>
                      <w:szCs w:val="18"/>
                    </w:rPr>
                  </w:pPr>
                  <w:r>
                    <w:rPr>
                      <w:rFonts w:ascii="仿宋" w:hAnsi="仿宋" w:eastAsia="仿宋" w:cs="仿宋"/>
                      <w:spacing w:val="-8"/>
                      <w:sz w:val="18"/>
                      <w:szCs w:val="18"/>
                    </w:rPr>
                    <w:t>类别</w:t>
                  </w:r>
                </w:p>
              </w:tc>
              <w:tc>
                <w:tcPr>
                  <w:tcW w:w="4005" w:type="dxa"/>
                  <w:gridSpan w:val="2"/>
                  <w:tcBorders>
                    <w:top w:val="single" w:color="000000" w:sz="10" w:space="0"/>
                  </w:tcBorders>
                  <w:vAlign w:val="top"/>
                </w:tcPr>
                <w:p w14:paraId="45779E27">
                  <w:pPr>
                    <w:spacing w:line="319" w:lineRule="auto"/>
                    <w:rPr>
                      <w:rFonts w:ascii="Arial"/>
                      <w:sz w:val="21"/>
                    </w:rPr>
                  </w:pPr>
                </w:p>
                <w:p w14:paraId="4583DECA">
                  <w:pPr>
                    <w:spacing w:before="59" w:line="222" w:lineRule="auto"/>
                    <w:ind w:left="1661"/>
                    <w:rPr>
                      <w:rFonts w:ascii="仿宋" w:hAnsi="仿宋" w:eastAsia="仿宋" w:cs="仿宋"/>
                      <w:sz w:val="18"/>
                      <w:szCs w:val="18"/>
                    </w:rPr>
                  </w:pPr>
                  <w:r>
                    <w:rPr>
                      <w:rFonts w:ascii="仿宋" w:hAnsi="仿宋" w:eastAsia="仿宋" w:cs="仿宋"/>
                      <w:spacing w:val="-6"/>
                      <w:sz w:val="18"/>
                      <w:szCs w:val="18"/>
                    </w:rPr>
                    <w:t>管控要求</w:t>
                  </w:r>
                </w:p>
              </w:tc>
              <w:tc>
                <w:tcPr>
                  <w:tcW w:w="1800" w:type="dxa"/>
                  <w:tcBorders>
                    <w:top w:val="single" w:color="000000" w:sz="10" w:space="0"/>
                  </w:tcBorders>
                  <w:vAlign w:val="top"/>
                </w:tcPr>
                <w:p w14:paraId="3E11C3E6">
                  <w:pPr>
                    <w:spacing w:line="319" w:lineRule="auto"/>
                    <w:rPr>
                      <w:rFonts w:ascii="Arial"/>
                      <w:sz w:val="21"/>
                    </w:rPr>
                  </w:pPr>
                </w:p>
                <w:p w14:paraId="636CD953">
                  <w:pPr>
                    <w:spacing w:before="59" w:line="222" w:lineRule="auto"/>
                    <w:ind w:left="460"/>
                    <w:rPr>
                      <w:rFonts w:ascii="仿宋" w:hAnsi="仿宋" w:eastAsia="仿宋" w:cs="仿宋"/>
                      <w:sz w:val="18"/>
                      <w:szCs w:val="18"/>
                    </w:rPr>
                  </w:pPr>
                  <w:r>
                    <w:rPr>
                      <w:rFonts w:ascii="仿宋" w:hAnsi="仿宋" w:eastAsia="仿宋" w:cs="仿宋"/>
                      <w:spacing w:val="-3"/>
                      <w:sz w:val="18"/>
                      <w:szCs w:val="18"/>
                    </w:rPr>
                    <w:t>本项目情况</w:t>
                  </w:r>
                </w:p>
              </w:tc>
              <w:tc>
                <w:tcPr>
                  <w:tcW w:w="447" w:type="dxa"/>
                  <w:tcBorders>
                    <w:top w:val="single" w:color="000000" w:sz="10" w:space="0"/>
                    <w:right w:val="nil"/>
                  </w:tcBorders>
                  <w:vAlign w:val="top"/>
                </w:tcPr>
                <w:p w14:paraId="37D1D835">
                  <w:pPr>
                    <w:spacing w:before="146" w:line="221" w:lineRule="auto"/>
                    <w:ind w:left="60"/>
                    <w:rPr>
                      <w:rFonts w:ascii="仿宋" w:hAnsi="仿宋" w:eastAsia="仿宋" w:cs="仿宋"/>
                      <w:sz w:val="18"/>
                      <w:szCs w:val="18"/>
                    </w:rPr>
                  </w:pPr>
                  <w:r>
                    <w:rPr>
                      <w:rFonts w:ascii="仿宋" w:hAnsi="仿宋" w:eastAsia="仿宋" w:cs="仿宋"/>
                      <w:spacing w:val="-9"/>
                      <w:sz w:val="18"/>
                      <w:szCs w:val="18"/>
                    </w:rPr>
                    <w:t>符合</w:t>
                  </w:r>
                </w:p>
                <w:p w14:paraId="74261FEA">
                  <w:pPr>
                    <w:spacing w:before="18" w:line="239" w:lineRule="auto"/>
                    <w:ind w:left="146" w:right="40" w:hanging="87"/>
                    <w:rPr>
                      <w:rFonts w:ascii="仿宋" w:hAnsi="仿宋" w:eastAsia="仿宋" w:cs="仿宋"/>
                      <w:sz w:val="18"/>
                      <w:szCs w:val="18"/>
                    </w:rPr>
                  </w:pPr>
                  <w:r>
                    <w:rPr>
                      <w:rFonts w:ascii="仿宋" w:hAnsi="仿宋" w:eastAsia="仿宋" w:cs="仿宋"/>
                      <w:spacing w:val="-8"/>
                      <w:sz w:val="18"/>
                      <w:szCs w:val="18"/>
                    </w:rPr>
                    <w:t>性分</w:t>
                  </w:r>
                  <w:r>
                    <w:rPr>
                      <w:rFonts w:ascii="仿宋" w:hAnsi="仿宋" w:eastAsia="仿宋" w:cs="仿宋"/>
                      <w:sz w:val="18"/>
                      <w:szCs w:val="18"/>
                    </w:rPr>
                    <w:t>析</w:t>
                  </w:r>
                </w:p>
              </w:tc>
            </w:tr>
            <w:tr w14:paraId="183030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3" w:hRule="atLeast"/>
              </w:trPr>
              <w:tc>
                <w:tcPr>
                  <w:tcW w:w="491" w:type="dxa"/>
                  <w:tcBorders>
                    <w:left w:val="nil"/>
                  </w:tcBorders>
                  <w:vAlign w:val="top"/>
                </w:tcPr>
                <w:p w14:paraId="7CF16E03">
                  <w:pPr>
                    <w:spacing w:line="261" w:lineRule="auto"/>
                    <w:rPr>
                      <w:rFonts w:ascii="Arial"/>
                      <w:sz w:val="21"/>
                    </w:rPr>
                  </w:pPr>
                </w:p>
                <w:p w14:paraId="570EFAC7">
                  <w:pPr>
                    <w:spacing w:line="261" w:lineRule="auto"/>
                    <w:rPr>
                      <w:rFonts w:ascii="Arial"/>
                      <w:sz w:val="21"/>
                    </w:rPr>
                  </w:pPr>
                </w:p>
                <w:p w14:paraId="38CD18F1">
                  <w:pPr>
                    <w:spacing w:line="262" w:lineRule="auto"/>
                    <w:rPr>
                      <w:rFonts w:ascii="Arial"/>
                      <w:sz w:val="21"/>
                    </w:rPr>
                  </w:pPr>
                </w:p>
                <w:p w14:paraId="3A56BB2C">
                  <w:pPr>
                    <w:spacing w:line="262" w:lineRule="auto"/>
                    <w:rPr>
                      <w:rFonts w:ascii="Arial"/>
                      <w:sz w:val="21"/>
                    </w:rPr>
                  </w:pPr>
                </w:p>
                <w:p w14:paraId="238EE156">
                  <w:pPr>
                    <w:spacing w:line="262" w:lineRule="auto"/>
                    <w:rPr>
                      <w:rFonts w:ascii="Arial"/>
                      <w:sz w:val="21"/>
                    </w:rPr>
                  </w:pPr>
                </w:p>
                <w:p w14:paraId="6B11807D">
                  <w:pPr>
                    <w:pStyle w:val="6"/>
                    <w:spacing w:before="52" w:line="188" w:lineRule="auto"/>
                    <w:ind w:left="35"/>
                  </w:pPr>
                  <w:r>
                    <w:rPr>
                      <w:spacing w:val="-1"/>
                    </w:rPr>
                    <w:t>ZH15</w:t>
                  </w:r>
                </w:p>
                <w:p w14:paraId="6426D35C">
                  <w:pPr>
                    <w:pStyle w:val="6"/>
                    <w:spacing w:before="41" w:line="188" w:lineRule="auto"/>
                    <w:ind w:left="24"/>
                  </w:pPr>
                  <w:r>
                    <w:rPr>
                      <w:spacing w:val="-2"/>
                    </w:rPr>
                    <w:t>06221</w:t>
                  </w:r>
                </w:p>
                <w:p w14:paraId="44A500B9">
                  <w:pPr>
                    <w:pStyle w:val="6"/>
                    <w:spacing w:before="46" w:line="188" w:lineRule="auto"/>
                    <w:ind w:left="70"/>
                  </w:pPr>
                  <w:r>
                    <w:rPr>
                      <w:spacing w:val="-2"/>
                    </w:rPr>
                    <w:t>0007</w:t>
                  </w:r>
                </w:p>
              </w:tc>
              <w:tc>
                <w:tcPr>
                  <w:tcW w:w="600" w:type="dxa"/>
                  <w:vAlign w:val="top"/>
                </w:tcPr>
                <w:p w14:paraId="0C773744">
                  <w:pPr>
                    <w:spacing w:line="298" w:lineRule="auto"/>
                    <w:rPr>
                      <w:rFonts w:ascii="Arial"/>
                      <w:sz w:val="21"/>
                    </w:rPr>
                  </w:pPr>
                </w:p>
                <w:p w14:paraId="59B7482C">
                  <w:pPr>
                    <w:spacing w:line="298" w:lineRule="auto"/>
                    <w:rPr>
                      <w:rFonts w:ascii="Arial"/>
                      <w:sz w:val="21"/>
                    </w:rPr>
                  </w:pPr>
                </w:p>
                <w:p w14:paraId="6C51C65D">
                  <w:pPr>
                    <w:spacing w:line="299" w:lineRule="auto"/>
                    <w:rPr>
                      <w:rFonts w:ascii="Arial"/>
                      <w:sz w:val="21"/>
                    </w:rPr>
                  </w:pPr>
                </w:p>
                <w:p w14:paraId="43C3584B">
                  <w:pPr>
                    <w:pStyle w:val="6"/>
                    <w:spacing w:before="59"/>
                    <w:ind w:left="40" w:right="28"/>
                    <w:jc w:val="right"/>
                    <w:rPr>
                      <w:rFonts w:ascii="仿宋" w:hAnsi="仿宋" w:eastAsia="仿宋" w:cs="仿宋"/>
                    </w:rPr>
                  </w:pPr>
                  <w:r>
                    <w:rPr>
                      <w:rFonts w:ascii="仿宋" w:hAnsi="仿宋" w:eastAsia="仿宋" w:cs="仿宋"/>
                      <w:spacing w:val="-5"/>
                    </w:rPr>
                    <w:t>准格尔</w:t>
                  </w:r>
                  <w:r>
                    <w:rPr>
                      <w:rFonts w:ascii="仿宋" w:hAnsi="仿宋" w:eastAsia="仿宋" w:cs="仿宋"/>
                      <w:spacing w:val="15"/>
                    </w:rPr>
                    <w:t>旗</w:t>
                  </w:r>
                  <w:r>
                    <w:rPr>
                      <w:spacing w:val="15"/>
                    </w:rPr>
                    <w:t>-</w:t>
                  </w:r>
                  <w:r>
                    <w:rPr>
                      <w:rFonts w:ascii="仿宋" w:hAnsi="仿宋" w:eastAsia="仿宋" w:cs="仿宋"/>
                      <w:spacing w:val="15"/>
                    </w:rPr>
                    <w:t>水</w:t>
                  </w:r>
                  <w:r>
                    <w:rPr>
                      <w:rFonts w:ascii="仿宋" w:hAnsi="仿宋" w:eastAsia="仿宋" w:cs="仿宋"/>
                      <w:spacing w:val="-5"/>
                    </w:rPr>
                    <w:t>土保持生态功能重要</w:t>
                  </w:r>
                  <w:r>
                    <w:rPr>
                      <w:rFonts w:ascii="仿宋" w:hAnsi="仿宋" w:eastAsia="仿宋" w:cs="仿宋"/>
                      <w:spacing w:val="-14"/>
                    </w:rPr>
                    <w:t>区域</w:t>
                  </w:r>
                </w:p>
              </w:tc>
              <w:tc>
                <w:tcPr>
                  <w:tcW w:w="494" w:type="dxa"/>
                  <w:vAlign w:val="top"/>
                </w:tcPr>
                <w:p w14:paraId="25EC73FF">
                  <w:pPr>
                    <w:spacing w:line="248" w:lineRule="auto"/>
                    <w:rPr>
                      <w:rFonts w:ascii="Arial"/>
                      <w:sz w:val="21"/>
                    </w:rPr>
                  </w:pPr>
                </w:p>
                <w:p w14:paraId="70C89550">
                  <w:pPr>
                    <w:spacing w:line="249" w:lineRule="auto"/>
                    <w:rPr>
                      <w:rFonts w:ascii="Arial"/>
                      <w:sz w:val="21"/>
                    </w:rPr>
                  </w:pPr>
                </w:p>
                <w:p w14:paraId="527F880D">
                  <w:pPr>
                    <w:spacing w:line="249" w:lineRule="auto"/>
                    <w:rPr>
                      <w:rFonts w:ascii="Arial"/>
                      <w:sz w:val="21"/>
                    </w:rPr>
                  </w:pPr>
                </w:p>
                <w:p w14:paraId="759C2D46">
                  <w:pPr>
                    <w:spacing w:line="249" w:lineRule="auto"/>
                    <w:rPr>
                      <w:rFonts w:ascii="Arial"/>
                      <w:sz w:val="21"/>
                    </w:rPr>
                  </w:pPr>
                </w:p>
                <w:p w14:paraId="6A019130">
                  <w:pPr>
                    <w:spacing w:line="249" w:lineRule="auto"/>
                    <w:rPr>
                      <w:rFonts w:ascii="Arial"/>
                      <w:sz w:val="21"/>
                    </w:rPr>
                  </w:pPr>
                </w:p>
                <w:p w14:paraId="2CD32F43">
                  <w:pPr>
                    <w:spacing w:before="59" w:line="239" w:lineRule="auto"/>
                    <w:ind w:left="76" w:right="64"/>
                    <w:jc w:val="both"/>
                    <w:rPr>
                      <w:rFonts w:ascii="仿宋" w:hAnsi="仿宋" w:eastAsia="仿宋" w:cs="仿宋"/>
                      <w:sz w:val="18"/>
                      <w:szCs w:val="18"/>
                    </w:rPr>
                  </w:pPr>
                  <w:r>
                    <w:rPr>
                      <w:rFonts w:ascii="仿宋" w:hAnsi="仿宋" w:eastAsia="仿宋" w:cs="仿宋"/>
                      <w:spacing w:val="-6"/>
                      <w:sz w:val="18"/>
                      <w:szCs w:val="18"/>
                    </w:rPr>
                    <w:t>优先</w:t>
                  </w:r>
                  <w:r>
                    <w:rPr>
                      <w:rFonts w:ascii="仿宋" w:hAnsi="仿宋" w:eastAsia="仿宋" w:cs="仿宋"/>
                      <w:spacing w:val="-7"/>
                      <w:sz w:val="18"/>
                      <w:szCs w:val="18"/>
                    </w:rPr>
                    <w:t>保护单元</w:t>
                  </w:r>
                </w:p>
              </w:tc>
              <w:tc>
                <w:tcPr>
                  <w:tcW w:w="585" w:type="dxa"/>
                  <w:vAlign w:val="top"/>
                </w:tcPr>
                <w:p w14:paraId="6B4EF1A9">
                  <w:pPr>
                    <w:spacing w:line="271" w:lineRule="auto"/>
                    <w:rPr>
                      <w:rFonts w:ascii="Arial"/>
                      <w:sz w:val="21"/>
                    </w:rPr>
                  </w:pPr>
                </w:p>
                <w:p w14:paraId="3DBFB70E">
                  <w:pPr>
                    <w:spacing w:line="272" w:lineRule="auto"/>
                    <w:rPr>
                      <w:rFonts w:ascii="Arial"/>
                      <w:sz w:val="21"/>
                    </w:rPr>
                  </w:pPr>
                </w:p>
                <w:p w14:paraId="632AD797">
                  <w:pPr>
                    <w:spacing w:line="272" w:lineRule="auto"/>
                    <w:rPr>
                      <w:rFonts w:ascii="Arial"/>
                      <w:sz w:val="21"/>
                    </w:rPr>
                  </w:pPr>
                </w:p>
                <w:p w14:paraId="29669E6B">
                  <w:pPr>
                    <w:spacing w:line="272" w:lineRule="auto"/>
                    <w:rPr>
                      <w:rFonts w:ascii="Arial"/>
                      <w:sz w:val="21"/>
                    </w:rPr>
                  </w:pPr>
                </w:p>
                <w:p w14:paraId="36B1E62A">
                  <w:pPr>
                    <w:spacing w:line="272" w:lineRule="auto"/>
                    <w:rPr>
                      <w:rFonts w:ascii="Arial"/>
                      <w:sz w:val="21"/>
                    </w:rPr>
                  </w:pPr>
                </w:p>
                <w:p w14:paraId="1AF5955D">
                  <w:pPr>
                    <w:spacing w:before="59" w:line="241" w:lineRule="auto"/>
                    <w:ind w:left="34" w:right="20" w:firstLine="7"/>
                    <w:rPr>
                      <w:rFonts w:ascii="仿宋" w:hAnsi="仿宋" w:eastAsia="仿宋" w:cs="仿宋"/>
                      <w:sz w:val="18"/>
                      <w:szCs w:val="18"/>
                    </w:rPr>
                  </w:pPr>
                  <w:r>
                    <w:rPr>
                      <w:rFonts w:ascii="仿宋" w:hAnsi="仿宋" w:eastAsia="仿宋" w:cs="仿宋"/>
                      <w:spacing w:val="-8"/>
                      <w:sz w:val="18"/>
                      <w:szCs w:val="18"/>
                    </w:rPr>
                    <w:t>空间布</w:t>
                  </w:r>
                  <w:r>
                    <w:rPr>
                      <w:rFonts w:ascii="仿宋" w:hAnsi="仿宋" w:eastAsia="仿宋" w:cs="仿宋"/>
                      <w:spacing w:val="-5"/>
                      <w:sz w:val="18"/>
                      <w:szCs w:val="18"/>
                    </w:rPr>
                    <w:t>局约束</w:t>
                  </w:r>
                </w:p>
              </w:tc>
              <w:tc>
                <w:tcPr>
                  <w:tcW w:w="3420" w:type="dxa"/>
                  <w:vAlign w:val="top"/>
                </w:tcPr>
                <w:p w14:paraId="79BE1056">
                  <w:pPr>
                    <w:pStyle w:val="6"/>
                    <w:spacing w:before="29" w:line="239" w:lineRule="auto"/>
                    <w:ind w:left="14" w:right="1" w:firstLine="9"/>
                    <w:rPr>
                      <w:rFonts w:ascii="仿宋" w:hAnsi="仿宋" w:eastAsia="仿宋" w:cs="仿宋"/>
                    </w:rPr>
                  </w:pPr>
                  <w:r>
                    <w:t>1.</w:t>
                  </w:r>
                  <w:r>
                    <w:rPr>
                      <w:rFonts w:ascii="仿宋" w:hAnsi="仿宋" w:eastAsia="仿宋" w:cs="仿宋"/>
                    </w:rPr>
                    <w:t>大力推行节水灌溉和雨水集蓄利用，发展</w:t>
                  </w:r>
                  <w:r>
                    <w:rPr>
                      <w:rFonts w:ascii="仿宋" w:hAnsi="仿宋" w:eastAsia="仿宋" w:cs="仿宋"/>
                      <w:spacing w:val="-2"/>
                    </w:rPr>
                    <w:t>旱作节水农业。限制陡坡垦殖和超载过牧。加强小流域综合治理，实行封山禁牧，恢复退化植被。加强对能源和矿产资源开发及建</w:t>
                  </w:r>
                  <w:r>
                    <w:rPr>
                      <w:rFonts w:ascii="仿宋" w:hAnsi="仿宋" w:eastAsia="仿宋" w:cs="仿宋"/>
                      <w:spacing w:val="8"/>
                    </w:rPr>
                    <w:t>设项目的监管，加大矿山环境整治修复力</w:t>
                  </w:r>
                  <w:r>
                    <w:rPr>
                      <w:rFonts w:ascii="仿宋" w:hAnsi="仿宋" w:eastAsia="仿宋" w:cs="仿宋"/>
                      <w:spacing w:val="-2"/>
                    </w:rPr>
                    <w:t>度，最大限度地减少人为因素造成新的水土流失。拓宽农民增收渠道，解决农民长远生计，巩固水土流失治理、退耕还林、退牧还</w:t>
                  </w:r>
                  <w:r>
                    <w:rPr>
                      <w:rFonts w:ascii="仿宋" w:hAnsi="仿宋" w:eastAsia="仿宋" w:cs="仿宋"/>
                      <w:spacing w:val="-3"/>
                    </w:rPr>
                    <w:t>草成果。</w:t>
                  </w:r>
                </w:p>
                <w:p w14:paraId="2B6E5CAF">
                  <w:pPr>
                    <w:pStyle w:val="6"/>
                    <w:spacing w:line="233" w:lineRule="auto"/>
                    <w:ind w:left="15" w:right="1" w:hanging="8"/>
                    <w:rPr>
                      <w:rFonts w:ascii="仿宋" w:hAnsi="仿宋" w:eastAsia="仿宋" w:cs="仿宋"/>
                    </w:rPr>
                  </w:pPr>
                  <w:r>
                    <w:rPr>
                      <w:spacing w:val="1"/>
                    </w:rPr>
                    <w:t>2.</w:t>
                  </w:r>
                  <w:r>
                    <w:rPr>
                      <w:rFonts w:ascii="仿宋" w:hAnsi="仿宋" w:eastAsia="仿宋" w:cs="仿宋"/>
                      <w:spacing w:val="1"/>
                    </w:rPr>
                    <w:t>在生态保护红线内的有限人为活动管理要</w:t>
                  </w:r>
                  <w:r>
                    <w:rPr>
                      <w:rFonts w:ascii="仿宋" w:hAnsi="仿宋" w:eastAsia="仿宋" w:cs="仿宋"/>
                      <w:spacing w:val="-5"/>
                    </w:rPr>
                    <w:t>求按照《自然资源部</w:t>
                  </w:r>
                  <w:r>
                    <w:rPr>
                      <w:rFonts w:ascii="仿宋" w:hAnsi="仿宋" w:eastAsia="仿宋" w:cs="仿宋"/>
                      <w:spacing w:val="33"/>
                    </w:rPr>
                    <w:t xml:space="preserve"> </w:t>
                  </w:r>
                  <w:r>
                    <w:rPr>
                      <w:rFonts w:ascii="仿宋" w:hAnsi="仿宋" w:eastAsia="仿宋" w:cs="仿宋"/>
                      <w:spacing w:val="-5"/>
                    </w:rPr>
                    <w:t>生态环境部</w:t>
                  </w:r>
                  <w:r>
                    <w:rPr>
                      <w:rFonts w:ascii="仿宋" w:hAnsi="仿宋" w:eastAsia="仿宋" w:cs="仿宋"/>
                      <w:spacing w:val="34"/>
                    </w:rPr>
                    <w:t xml:space="preserve"> </w:t>
                  </w:r>
                  <w:r>
                    <w:rPr>
                      <w:rFonts w:ascii="仿宋" w:hAnsi="仿宋" w:eastAsia="仿宋" w:cs="仿宋"/>
                      <w:spacing w:val="-5"/>
                    </w:rPr>
                    <w:t>国家林业</w:t>
                  </w:r>
                  <w:r>
                    <w:rPr>
                      <w:rFonts w:ascii="仿宋" w:hAnsi="仿宋" w:eastAsia="仿宋" w:cs="仿宋"/>
                      <w:spacing w:val="8"/>
                    </w:rPr>
                    <w:t>和草原局关于加强生态保护红线管理的通</w:t>
                  </w:r>
                  <w:r>
                    <w:rPr>
                      <w:rFonts w:ascii="仿宋" w:hAnsi="仿宋" w:eastAsia="仿宋" w:cs="仿宋"/>
                      <w:spacing w:val="-5"/>
                    </w:rPr>
                    <w:t>知（试行）》（ 自然资发〔</w:t>
                  </w:r>
                  <w:r>
                    <w:rPr>
                      <w:spacing w:val="-5"/>
                    </w:rPr>
                    <w:t>2022</w:t>
                  </w:r>
                  <w:r>
                    <w:rPr>
                      <w:rFonts w:ascii="仿宋" w:hAnsi="仿宋" w:eastAsia="仿宋" w:cs="仿宋"/>
                      <w:spacing w:val="-5"/>
                    </w:rPr>
                    <w:t>〕</w:t>
                  </w:r>
                  <w:r>
                    <w:rPr>
                      <w:spacing w:val="-5"/>
                    </w:rPr>
                    <w:t>142</w:t>
                  </w:r>
                  <w:r>
                    <w:rPr>
                      <w:spacing w:val="35"/>
                      <w:w w:val="101"/>
                    </w:rPr>
                    <w:t xml:space="preserve"> </w:t>
                  </w:r>
                  <w:r>
                    <w:rPr>
                      <w:rFonts w:ascii="仿宋" w:hAnsi="仿宋" w:eastAsia="仿宋" w:cs="仿宋"/>
                      <w:spacing w:val="-5"/>
                    </w:rPr>
                    <w:t>号）</w:t>
                  </w:r>
                  <w:r>
                    <w:rPr>
                      <w:rFonts w:ascii="仿宋" w:hAnsi="仿宋" w:eastAsia="仿宋" w:cs="仿宋"/>
                      <w:spacing w:val="-2"/>
                    </w:rPr>
                    <w:t>相关规定执行。</w:t>
                  </w:r>
                </w:p>
              </w:tc>
              <w:tc>
                <w:tcPr>
                  <w:tcW w:w="1800" w:type="dxa"/>
                  <w:vAlign w:val="top"/>
                </w:tcPr>
                <w:p w14:paraId="01A4AA51">
                  <w:pPr>
                    <w:spacing w:line="272" w:lineRule="auto"/>
                    <w:rPr>
                      <w:rFonts w:ascii="Arial"/>
                      <w:sz w:val="21"/>
                    </w:rPr>
                  </w:pPr>
                </w:p>
                <w:p w14:paraId="2B09CD47">
                  <w:pPr>
                    <w:spacing w:line="272" w:lineRule="auto"/>
                    <w:rPr>
                      <w:rFonts w:ascii="Arial"/>
                      <w:sz w:val="21"/>
                    </w:rPr>
                  </w:pPr>
                </w:p>
                <w:p w14:paraId="62E12ACB">
                  <w:pPr>
                    <w:spacing w:before="59"/>
                    <w:ind w:left="14" w:right="1" w:firstLine="1"/>
                    <w:rPr>
                      <w:rFonts w:ascii="仿宋" w:hAnsi="仿宋" w:eastAsia="仿宋" w:cs="仿宋"/>
                      <w:sz w:val="18"/>
                      <w:szCs w:val="18"/>
                    </w:rPr>
                  </w:pPr>
                  <w:r>
                    <w:rPr>
                      <w:rFonts w:ascii="仿宋" w:hAnsi="仿宋" w:eastAsia="仿宋" w:cs="仿宋"/>
                      <w:spacing w:val="5"/>
                      <w:sz w:val="18"/>
                      <w:szCs w:val="18"/>
                    </w:rPr>
                    <w:t>本项</w:t>
                  </w:r>
                  <w:r>
                    <w:rPr>
                      <w:rFonts w:ascii="仿宋" w:hAnsi="仿宋" w:eastAsia="仿宋" w:cs="仿宋"/>
                      <w:spacing w:val="-19"/>
                      <w:sz w:val="18"/>
                      <w:szCs w:val="18"/>
                    </w:rPr>
                    <w:t xml:space="preserve"> </w:t>
                  </w:r>
                  <w:r>
                    <w:rPr>
                      <w:rFonts w:ascii="仿宋" w:hAnsi="仿宋" w:eastAsia="仿宋" w:cs="仿宋"/>
                      <w:spacing w:val="5"/>
                      <w:sz w:val="18"/>
                      <w:szCs w:val="18"/>
                    </w:rPr>
                    <w:t>目</w:t>
                  </w:r>
                  <w:r>
                    <w:rPr>
                      <w:rFonts w:ascii="仿宋" w:hAnsi="仿宋" w:eastAsia="仿宋" w:cs="仿宋"/>
                      <w:spacing w:val="-50"/>
                      <w:sz w:val="18"/>
                      <w:szCs w:val="18"/>
                    </w:rPr>
                    <w:t xml:space="preserve"> </w:t>
                  </w:r>
                  <w:r>
                    <w:rPr>
                      <w:rFonts w:ascii="仿宋" w:hAnsi="仿宋" w:eastAsia="仿宋" w:cs="仿宋"/>
                      <w:spacing w:val="5"/>
                      <w:sz w:val="18"/>
                      <w:szCs w:val="18"/>
                    </w:rPr>
                    <w:t>为农村四级公</w:t>
                  </w:r>
                  <w:r>
                    <w:rPr>
                      <w:rFonts w:ascii="仿宋" w:hAnsi="仿宋" w:eastAsia="仿宋" w:cs="仿宋"/>
                      <w:spacing w:val="-3"/>
                      <w:sz w:val="18"/>
                      <w:szCs w:val="18"/>
                    </w:rPr>
                    <w:t>路，路线不涉及生态保护红线与陡坡区域；施工期采取表土剥离、临时拦挡、排水、覆盖、</w:t>
                  </w:r>
                  <w:r>
                    <w:rPr>
                      <w:rFonts w:ascii="仿宋" w:hAnsi="仿宋" w:eastAsia="仿宋" w:cs="仿宋"/>
                      <w:spacing w:val="17"/>
                      <w:sz w:val="18"/>
                      <w:szCs w:val="18"/>
                    </w:rPr>
                    <w:t>边坡防护等水土保持</w:t>
                  </w:r>
                  <w:r>
                    <w:rPr>
                      <w:rFonts w:ascii="仿宋" w:hAnsi="仿宋" w:eastAsia="仿宋" w:cs="仿宋"/>
                      <w:spacing w:val="-3"/>
                      <w:sz w:val="18"/>
                      <w:szCs w:val="18"/>
                    </w:rPr>
                    <w:t>措施。不涉及能源和矿产资源开发，不涉及农牧业活动。</w:t>
                  </w:r>
                </w:p>
              </w:tc>
              <w:tc>
                <w:tcPr>
                  <w:tcW w:w="447" w:type="dxa"/>
                  <w:tcBorders>
                    <w:right w:val="nil"/>
                  </w:tcBorders>
                  <w:vAlign w:val="top"/>
                </w:tcPr>
                <w:p w14:paraId="7FD76873">
                  <w:pPr>
                    <w:spacing w:line="246" w:lineRule="auto"/>
                    <w:rPr>
                      <w:rFonts w:ascii="Arial"/>
                      <w:sz w:val="21"/>
                    </w:rPr>
                  </w:pPr>
                </w:p>
                <w:p w14:paraId="209762C1">
                  <w:pPr>
                    <w:spacing w:line="246" w:lineRule="auto"/>
                    <w:rPr>
                      <w:rFonts w:ascii="Arial"/>
                      <w:sz w:val="21"/>
                    </w:rPr>
                  </w:pPr>
                </w:p>
                <w:p w14:paraId="0AF5FAA1">
                  <w:pPr>
                    <w:spacing w:line="246" w:lineRule="auto"/>
                    <w:rPr>
                      <w:rFonts w:ascii="Arial"/>
                      <w:sz w:val="21"/>
                    </w:rPr>
                  </w:pPr>
                </w:p>
                <w:p w14:paraId="6DBC49DA">
                  <w:pPr>
                    <w:spacing w:line="246" w:lineRule="auto"/>
                    <w:rPr>
                      <w:rFonts w:ascii="Arial"/>
                      <w:sz w:val="21"/>
                    </w:rPr>
                  </w:pPr>
                </w:p>
                <w:p w14:paraId="3770BEC5">
                  <w:pPr>
                    <w:spacing w:line="246" w:lineRule="auto"/>
                    <w:rPr>
                      <w:rFonts w:ascii="Arial"/>
                      <w:sz w:val="21"/>
                    </w:rPr>
                  </w:pPr>
                </w:p>
                <w:p w14:paraId="201046D3">
                  <w:pPr>
                    <w:spacing w:line="246" w:lineRule="auto"/>
                    <w:rPr>
                      <w:rFonts w:ascii="Arial"/>
                      <w:sz w:val="21"/>
                    </w:rPr>
                  </w:pPr>
                </w:p>
                <w:p w14:paraId="57120CD6">
                  <w:pPr>
                    <w:spacing w:before="58" w:line="221" w:lineRule="auto"/>
                    <w:ind w:left="60"/>
                    <w:rPr>
                      <w:rFonts w:ascii="仿宋" w:hAnsi="仿宋" w:eastAsia="仿宋" w:cs="仿宋"/>
                      <w:sz w:val="18"/>
                      <w:szCs w:val="18"/>
                    </w:rPr>
                  </w:pPr>
                  <w:r>
                    <w:rPr>
                      <w:rFonts w:ascii="仿宋" w:hAnsi="仿宋" w:eastAsia="仿宋" w:cs="仿宋"/>
                      <w:spacing w:val="-9"/>
                      <w:sz w:val="18"/>
                      <w:szCs w:val="18"/>
                    </w:rPr>
                    <w:t>符合</w:t>
                  </w:r>
                </w:p>
              </w:tc>
            </w:tr>
            <w:tr w14:paraId="59C2BA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99" w:hRule="atLeast"/>
              </w:trPr>
              <w:tc>
                <w:tcPr>
                  <w:tcW w:w="491" w:type="dxa"/>
                  <w:tcBorders>
                    <w:left w:val="nil"/>
                    <w:bottom w:val="nil"/>
                  </w:tcBorders>
                  <w:vAlign w:val="top"/>
                </w:tcPr>
                <w:p w14:paraId="2C3853B1">
                  <w:pPr>
                    <w:spacing w:line="242" w:lineRule="auto"/>
                    <w:rPr>
                      <w:rFonts w:ascii="Arial"/>
                      <w:sz w:val="21"/>
                    </w:rPr>
                  </w:pPr>
                </w:p>
                <w:p w14:paraId="7A7F6E19">
                  <w:pPr>
                    <w:spacing w:line="242" w:lineRule="auto"/>
                    <w:rPr>
                      <w:rFonts w:ascii="Arial"/>
                      <w:sz w:val="21"/>
                    </w:rPr>
                  </w:pPr>
                </w:p>
                <w:p w14:paraId="3249FBED">
                  <w:pPr>
                    <w:spacing w:line="243" w:lineRule="auto"/>
                    <w:rPr>
                      <w:rFonts w:ascii="Arial"/>
                      <w:sz w:val="21"/>
                    </w:rPr>
                  </w:pPr>
                </w:p>
                <w:p w14:paraId="37FAB260">
                  <w:pPr>
                    <w:pStyle w:val="6"/>
                    <w:spacing w:before="51" w:line="188" w:lineRule="auto"/>
                    <w:ind w:left="35"/>
                  </w:pPr>
                  <w:r>
                    <w:rPr>
                      <w:spacing w:val="-1"/>
                    </w:rPr>
                    <w:t>ZH15</w:t>
                  </w:r>
                </w:p>
                <w:p w14:paraId="31F6674C">
                  <w:pPr>
                    <w:pStyle w:val="6"/>
                    <w:spacing w:before="44" w:line="188" w:lineRule="auto"/>
                    <w:ind w:left="24"/>
                  </w:pPr>
                  <w:r>
                    <w:rPr>
                      <w:spacing w:val="-2"/>
                    </w:rPr>
                    <w:t>06222</w:t>
                  </w:r>
                </w:p>
                <w:p w14:paraId="09EFD986">
                  <w:pPr>
                    <w:pStyle w:val="6"/>
                    <w:spacing w:before="44" w:line="188" w:lineRule="auto"/>
                    <w:ind w:left="70"/>
                  </w:pPr>
                  <w:r>
                    <w:rPr>
                      <w:spacing w:val="-2"/>
                    </w:rPr>
                    <w:t>0002</w:t>
                  </w:r>
                </w:p>
              </w:tc>
              <w:tc>
                <w:tcPr>
                  <w:tcW w:w="600" w:type="dxa"/>
                  <w:tcBorders>
                    <w:bottom w:val="nil"/>
                  </w:tcBorders>
                  <w:vAlign w:val="top"/>
                </w:tcPr>
                <w:p w14:paraId="3A1BF3A9">
                  <w:pPr>
                    <w:spacing w:line="314" w:lineRule="auto"/>
                    <w:rPr>
                      <w:rFonts w:ascii="Arial"/>
                      <w:sz w:val="21"/>
                    </w:rPr>
                  </w:pPr>
                </w:p>
                <w:p w14:paraId="29C85D44">
                  <w:pPr>
                    <w:spacing w:before="59" w:line="223" w:lineRule="auto"/>
                    <w:ind w:left="38"/>
                    <w:rPr>
                      <w:rFonts w:ascii="仿宋" w:hAnsi="仿宋" w:eastAsia="仿宋" w:cs="仿宋"/>
                      <w:sz w:val="18"/>
                      <w:szCs w:val="18"/>
                    </w:rPr>
                  </w:pPr>
                  <w:r>
                    <w:rPr>
                      <w:rFonts w:ascii="仿宋" w:hAnsi="仿宋" w:eastAsia="仿宋" w:cs="仿宋"/>
                      <w:spacing w:val="-4"/>
                      <w:sz w:val="18"/>
                      <w:szCs w:val="18"/>
                    </w:rPr>
                    <w:t>黄河头</w:t>
                  </w:r>
                </w:p>
                <w:p w14:paraId="6EAC5BA3">
                  <w:pPr>
                    <w:spacing w:before="15" w:line="222" w:lineRule="auto"/>
                    <w:ind w:left="39"/>
                    <w:rPr>
                      <w:rFonts w:ascii="仿宋" w:hAnsi="仿宋" w:eastAsia="仿宋" w:cs="仿宋"/>
                      <w:sz w:val="18"/>
                      <w:szCs w:val="18"/>
                    </w:rPr>
                  </w:pPr>
                  <w:r>
                    <w:rPr>
                      <w:rFonts w:ascii="仿宋" w:hAnsi="仿宋" w:eastAsia="仿宋" w:cs="仿宋"/>
                      <w:spacing w:val="-5"/>
                      <w:sz w:val="18"/>
                      <w:szCs w:val="18"/>
                    </w:rPr>
                    <w:t>道拐准</w:t>
                  </w:r>
                </w:p>
                <w:p w14:paraId="59A5E86D">
                  <w:pPr>
                    <w:spacing w:before="18" w:line="222" w:lineRule="auto"/>
                    <w:ind w:left="37"/>
                    <w:rPr>
                      <w:rFonts w:ascii="仿宋" w:hAnsi="仿宋" w:eastAsia="仿宋" w:cs="仿宋"/>
                      <w:sz w:val="18"/>
                      <w:szCs w:val="18"/>
                    </w:rPr>
                  </w:pPr>
                  <w:r>
                    <w:rPr>
                      <w:rFonts w:ascii="仿宋" w:hAnsi="仿宋" w:eastAsia="仿宋" w:cs="仿宋"/>
                      <w:spacing w:val="-4"/>
                      <w:sz w:val="18"/>
                      <w:szCs w:val="18"/>
                    </w:rPr>
                    <w:t>格尔旗</w:t>
                  </w:r>
                </w:p>
                <w:p w14:paraId="0CC821FD">
                  <w:pPr>
                    <w:spacing w:before="15" w:line="224" w:lineRule="auto"/>
                    <w:ind w:left="48"/>
                    <w:rPr>
                      <w:rFonts w:ascii="仿宋" w:hAnsi="仿宋" w:eastAsia="仿宋" w:cs="仿宋"/>
                      <w:sz w:val="18"/>
                      <w:szCs w:val="18"/>
                    </w:rPr>
                  </w:pPr>
                  <w:r>
                    <w:rPr>
                      <w:rFonts w:ascii="仿宋" w:hAnsi="仿宋" w:eastAsia="仿宋" w:cs="仿宋"/>
                      <w:spacing w:val="-8"/>
                      <w:sz w:val="18"/>
                      <w:szCs w:val="18"/>
                    </w:rPr>
                    <w:t>生态用</w:t>
                  </w:r>
                </w:p>
                <w:p w14:paraId="63D5D748">
                  <w:pPr>
                    <w:spacing w:before="14" w:line="222" w:lineRule="auto"/>
                    <w:ind w:left="37"/>
                    <w:rPr>
                      <w:rFonts w:ascii="仿宋" w:hAnsi="仿宋" w:eastAsia="仿宋" w:cs="仿宋"/>
                      <w:sz w:val="18"/>
                      <w:szCs w:val="18"/>
                    </w:rPr>
                  </w:pPr>
                  <w:r>
                    <w:rPr>
                      <w:rFonts w:ascii="仿宋" w:hAnsi="仿宋" w:eastAsia="仿宋" w:cs="仿宋"/>
                      <w:spacing w:val="-4"/>
                      <w:sz w:val="18"/>
                      <w:szCs w:val="18"/>
                    </w:rPr>
                    <w:t>水补给</w:t>
                  </w:r>
                </w:p>
                <w:p w14:paraId="32F549EC">
                  <w:pPr>
                    <w:spacing w:before="20" w:line="233" w:lineRule="auto"/>
                    <w:ind w:left="233"/>
                    <w:rPr>
                      <w:rFonts w:ascii="仿宋" w:hAnsi="仿宋" w:eastAsia="仿宋" w:cs="仿宋"/>
                      <w:sz w:val="18"/>
                      <w:szCs w:val="18"/>
                    </w:rPr>
                  </w:pPr>
                  <w:r>
                    <w:rPr>
                      <w:rFonts w:ascii="仿宋" w:hAnsi="仿宋" w:eastAsia="仿宋" w:cs="仿宋"/>
                      <w:sz w:val="18"/>
                      <w:szCs w:val="18"/>
                    </w:rPr>
                    <w:t>区</w:t>
                  </w:r>
                </w:p>
              </w:tc>
              <w:tc>
                <w:tcPr>
                  <w:tcW w:w="494" w:type="dxa"/>
                  <w:tcBorders>
                    <w:bottom w:val="nil"/>
                  </w:tcBorders>
                  <w:vAlign w:val="top"/>
                </w:tcPr>
                <w:p w14:paraId="4E629613">
                  <w:pPr>
                    <w:spacing w:line="331" w:lineRule="auto"/>
                    <w:rPr>
                      <w:rFonts w:ascii="Arial"/>
                      <w:sz w:val="21"/>
                    </w:rPr>
                  </w:pPr>
                </w:p>
                <w:p w14:paraId="1433B52E">
                  <w:pPr>
                    <w:spacing w:line="332" w:lineRule="auto"/>
                    <w:rPr>
                      <w:rFonts w:ascii="Arial"/>
                      <w:sz w:val="21"/>
                    </w:rPr>
                  </w:pPr>
                </w:p>
                <w:p w14:paraId="0D1175C8">
                  <w:pPr>
                    <w:spacing w:before="58" w:line="239" w:lineRule="auto"/>
                    <w:ind w:left="80" w:right="64" w:firstLine="2"/>
                    <w:jc w:val="both"/>
                    <w:rPr>
                      <w:rFonts w:ascii="仿宋" w:hAnsi="仿宋" w:eastAsia="仿宋" w:cs="仿宋"/>
                      <w:sz w:val="18"/>
                      <w:szCs w:val="18"/>
                    </w:rPr>
                  </w:pPr>
                  <w:r>
                    <w:rPr>
                      <w:rFonts w:ascii="仿宋" w:hAnsi="仿宋" w:eastAsia="仿宋" w:cs="仿宋"/>
                      <w:spacing w:val="-9"/>
                      <w:sz w:val="18"/>
                      <w:szCs w:val="18"/>
                    </w:rPr>
                    <w:t>重点</w:t>
                  </w:r>
                  <w:r>
                    <w:rPr>
                      <w:rFonts w:ascii="仿宋" w:hAnsi="仿宋" w:eastAsia="仿宋" w:cs="仿宋"/>
                      <w:spacing w:val="-8"/>
                      <w:sz w:val="18"/>
                      <w:szCs w:val="18"/>
                    </w:rPr>
                    <w:t>管控单元</w:t>
                  </w:r>
                </w:p>
              </w:tc>
              <w:tc>
                <w:tcPr>
                  <w:tcW w:w="585" w:type="dxa"/>
                  <w:tcBorders>
                    <w:bottom w:val="nil"/>
                  </w:tcBorders>
                  <w:vAlign w:val="top"/>
                </w:tcPr>
                <w:p w14:paraId="3817E31D">
                  <w:pPr>
                    <w:spacing w:line="259" w:lineRule="auto"/>
                    <w:rPr>
                      <w:rFonts w:ascii="Arial"/>
                      <w:sz w:val="21"/>
                    </w:rPr>
                  </w:pPr>
                </w:p>
                <w:p w14:paraId="6CDE8AE8">
                  <w:pPr>
                    <w:spacing w:line="260" w:lineRule="auto"/>
                    <w:rPr>
                      <w:rFonts w:ascii="Arial"/>
                      <w:sz w:val="21"/>
                    </w:rPr>
                  </w:pPr>
                </w:p>
                <w:p w14:paraId="55295DDB">
                  <w:pPr>
                    <w:spacing w:line="260" w:lineRule="auto"/>
                    <w:rPr>
                      <w:rFonts w:ascii="Arial"/>
                      <w:sz w:val="21"/>
                    </w:rPr>
                  </w:pPr>
                </w:p>
                <w:p w14:paraId="1A042913">
                  <w:pPr>
                    <w:spacing w:before="58" w:line="239" w:lineRule="auto"/>
                    <w:ind w:left="34" w:right="20" w:firstLine="7"/>
                    <w:rPr>
                      <w:rFonts w:ascii="仿宋" w:hAnsi="仿宋" w:eastAsia="仿宋" w:cs="仿宋"/>
                      <w:sz w:val="18"/>
                      <w:szCs w:val="18"/>
                    </w:rPr>
                  </w:pPr>
                  <w:r>
                    <w:rPr>
                      <w:rFonts w:ascii="仿宋" w:hAnsi="仿宋" w:eastAsia="仿宋" w:cs="仿宋"/>
                      <w:spacing w:val="-8"/>
                      <w:sz w:val="18"/>
                      <w:szCs w:val="18"/>
                    </w:rPr>
                    <w:t>空间布</w:t>
                  </w:r>
                  <w:r>
                    <w:rPr>
                      <w:rFonts w:ascii="仿宋" w:hAnsi="仿宋" w:eastAsia="仿宋" w:cs="仿宋"/>
                      <w:spacing w:val="-5"/>
                      <w:sz w:val="18"/>
                      <w:szCs w:val="18"/>
                    </w:rPr>
                    <w:t>局约束</w:t>
                  </w:r>
                </w:p>
              </w:tc>
              <w:tc>
                <w:tcPr>
                  <w:tcW w:w="3420" w:type="dxa"/>
                  <w:tcBorders>
                    <w:bottom w:val="nil"/>
                  </w:tcBorders>
                  <w:vAlign w:val="top"/>
                </w:tcPr>
                <w:p w14:paraId="50E69802">
                  <w:pPr>
                    <w:pStyle w:val="6"/>
                    <w:spacing w:before="28" w:line="239" w:lineRule="auto"/>
                    <w:ind w:left="14" w:right="1" w:firstLine="9"/>
                    <w:rPr>
                      <w:rFonts w:ascii="仿宋" w:hAnsi="仿宋" w:eastAsia="仿宋" w:cs="仿宋"/>
                    </w:rPr>
                  </w:pPr>
                  <w:r>
                    <w:t>1.</w:t>
                  </w:r>
                  <w:r>
                    <w:rPr>
                      <w:rFonts w:ascii="仿宋" w:hAnsi="仿宋" w:eastAsia="仿宋" w:cs="仿宋"/>
                    </w:rPr>
                    <w:t>新增用水项目生产工艺、单位产品和产值</w:t>
                  </w:r>
                  <w:r>
                    <w:rPr>
                      <w:rFonts w:ascii="仿宋" w:hAnsi="仿宋" w:eastAsia="仿宋" w:cs="仿宋"/>
                      <w:spacing w:val="8"/>
                    </w:rPr>
                    <w:t>水耗、用水效率等应满足国家相关节水要</w:t>
                  </w:r>
                  <w:r>
                    <w:rPr>
                      <w:rFonts w:ascii="仿宋" w:hAnsi="仿宋" w:eastAsia="仿宋" w:cs="仿宋"/>
                      <w:spacing w:val="-6"/>
                    </w:rPr>
                    <w:t>求。</w:t>
                  </w:r>
                </w:p>
                <w:p w14:paraId="5E04E9A9">
                  <w:pPr>
                    <w:pStyle w:val="6"/>
                    <w:spacing w:before="2" w:line="238" w:lineRule="auto"/>
                    <w:ind w:left="14" w:right="1" w:hanging="7"/>
                    <w:rPr>
                      <w:rFonts w:ascii="仿宋" w:hAnsi="仿宋" w:eastAsia="仿宋" w:cs="仿宋"/>
                    </w:rPr>
                  </w:pPr>
                  <w:r>
                    <w:rPr>
                      <w:spacing w:val="1"/>
                    </w:rPr>
                    <w:t>2.</w:t>
                  </w:r>
                  <w:r>
                    <w:rPr>
                      <w:rFonts w:ascii="仿宋" w:hAnsi="仿宋" w:eastAsia="仿宋" w:cs="仿宋"/>
                      <w:spacing w:val="1"/>
                    </w:rPr>
                    <w:t>完善规划和建设项目水资源论证制度，以</w:t>
                  </w:r>
                  <w:r>
                    <w:rPr>
                      <w:rFonts w:ascii="仿宋" w:hAnsi="仿宋" w:eastAsia="仿宋" w:cs="仿宋"/>
                      <w:spacing w:val="-2"/>
                    </w:rPr>
                    <w:t>水定城、以水定人、以水定地、以水定产，</w:t>
                  </w:r>
                  <w:r>
                    <w:rPr>
                      <w:rFonts w:ascii="仿宋" w:hAnsi="仿宋" w:eastAsia="仿宋" w:cs="仿宋"/>
                      <w:spacing w:val="-1"/>
                    </w:rPr>
                    <w:t>合理确定经济布局、结构和规模。</w:t>
                  </w:r>
                </w:p>
                <w:p w14:paraId="25F98CEE">
                  <w:pPr>
                    <w:pStyle w:val="6"/>
                    <w:spacing w:before="1" w:line="226" w:lineRule="auto"/>
                    <w:ind w:left="14" w:right="1" w:hanging="4"/>
                    <w:rPr>
                      <w:rFonts w:ascii="仿宋" w:hAnsi="仿宋" w:eastAsia="仿宋" w:cs="仿宋"/>
                    </w:rPr>
                  </w:pPr>
                  <w:r>
                    <w:t>3.</w:t>
                  </w:r>
                  <w:r>
                    <w:rPr>
                      <w:rFonts w:ascii="仿宋" w:hAnsi="仿宋" w:eastAsia="仿宋" w:cs="仿宋"/>
                    </w:rPr>
                    <w:t>沿黄重点地区应按照《关于</w:t>
                  </w:r>
                  <w:r>
                    <w:rPr>
                      <w:rFonts w:hint="eastAsia" w:ascii="仿宋" w:hAnsi="仿宋" w:eastAsia="仿宋" w:cs="仿宋"/>
                      <w:lang w:eastAsia="zh-CN"/>
                    </w:rPr>
                    <w:t>“</w:t>
                  </w:r>
                  <w:r>
                    <w:rPr>
                      <w:rFonts w:hint="eastAsia" w:ascii="仿宋" w:hAnsi="仿宋" w:eastAsia="仿宋" w:cs="仿宋"/>
                      <w:lang w:val="en-US" w:eastAsia="zh-CN"/>
                    </w:rPr>
                    <w:t>十四五</w:t>
                  </w:r>
                  <w:r>
                    <w:rPr>
                      <w:rFonts w:hint="eastAsia" w:ascii="仿宋" w:hAnsi="仿宋" w:eastAsia="仿宋" w:cs="仿宋"/>
                      <w:lang w:eastAsia="zh-CN"/>
                    </w:rPr>
                    <w:t>”</w:t>
                  </w:r>
                  <w:r>
                    <w:rPr>
                      <w:rFonts w:ascii="仿宋" w:hAnsi="仿宋" w:eastAsia="仿宋" w:cs="仿宋"/>
                    </w:rPr>
                    <w:t>推进</w:t>
                  </w:r>
                  <w:r>
                    <w:rPr>
                      <w:rFonts w:ascii="仿宋" w:hAnsi="仿宋" w:eastAsia="仿宋" w:cs="仿宋"/>
                      <w:spacing w:val="-2"/>
                    </w:rPr>
                    <w:t>沿黄重点地区工业项目入园及严控高污染、</w:t>
                  </w:r>
                  <w:r>
                    <w:rPr>
                      <w:rFonts w:ascii="仿宋" w:hAnsi="仿宋" w:eastAsia="仿宋" w:cs="仿宋"/>
                      <w:spacing w:val="8"/>
                    </w:rPr>
                    <w:t>高耗水、高耗能项目的通知》（发改产业</w:t>
                  </w:r>
                </w:p>
              </w:tc>
              <w:tc>
                <w:tcPr>
                  <w:tcW w:w="1800" w:type="dxa"/>
                  <w:tcBorders>
                    <w:bottom w:val="nil"/>
                  </w:tcBorders>
                  <w:vAlign w:val="top"/>
                </w:tcPr>
                <w:p w14:paraId="6774E05C">
                  <w:pPr>
                    <w:spacing w:before="26" w:line="235" w:lineRule="auto"/>
                    <w:ind w:left="14" w:right="1" w:firstLine="1"/>
                    <w:jc w:val="both"/>
                    <w:rPr>
                      <w:rFonts w:ascii="仿宋" w:hAnsi="仿宋" w:eastAsia="仿宋" w:cs="仿宋"/>
                      <w:sz w:val="18"/>
                      <w:szCs w:val="18"/>
                    </w:rPr>
                  </w:pPr>
                  <w:r>
                    <w:rPr>
                      <w:rFonts w:ascii="仿宋" w:hAnsi="仿宋" w:eastAsia="仿宋" w:cs="仿宋"/>
                      <w:spacing w:val="5"/>
                      <w:sz w:val="18"/>
                      <w:szCs w:val="18"/>
                    </w:rPr>
                    <w:t>本项</w:t>
                  </w:r>
                  <w:r>
                    <w:rPr>
                      <w:rFonts w:ascii="仿宋" w:hAnsi="仿宋" w:eastAsia="仿宋" w:cs="仿宋"/>
                      <w:spacing w:val="-19"/>
                      <w:sz w:val="18"/>
                      <w:szCs w:val="18"/>
                    </w:rPr>
                    <w:t xml:space="preserve"> </w:t>
                  </w:r>
                  <w:r>
                    <w:rPr>
                      <w:rFonts w:ascii="仿宋" w:hAnsi="仿宋" w:eastAsia="仿宋" w:cs="仿宋"/>
                      <w:spacing w:val="5"/>
                      <w:sz w:val="18"/>
                      <w:szCs w:val="18"/>
                    </w:rPr>
                    <w:t>目</w:t>
                  </w:r>
                  <w:r>
                    <w:rPr>
                      <w:rFonts w:ascii="仿宋" w:hAnsi="仿宋" w:eastAsia="仿宋" w:cs="仿宋"/>
                      <w:spacing w:val="-50"/>
                      <w:sz w:val="18"/>
                      <w:szCs w:val="18"/>
                    </w:rPr>
                    <w:t xml:space="preserve"> </w:t>
                  </w:r>
                  <w:r>
                    <w:rPr>
                      <w:rFonts w:ascii="仿宋" w:hAnsi="仿宋" w:eastAsia="仿宋" w:cs="仿宋"/>
                      <w:spacing w:val="5"/>
                      <w:sz w:val="18"/>
                      <w:szCs w:val="18"/>
                    </w:rPr>
                    <w:t>为农村四级公</w:t>
                  </w:r>
                  <w:r>
                    <w:rPr>
                      <w:rFonts w:ascii="仿宋" w:hAnsi="仿宋" w:eastAsia="仿宋" w:cs="仿宋"/>
                      <w:spacing w:val="8"/>
                      <w:sz w:val="18"/>
                      <w:szCs w:val="18"/>
                    </w:rPr>
                    <w:t>路</w:t>
                  </w:r>
                  <w:r>
                    <w:rPr>
                      <w:rFonts w:ascii="仿宋" w:hAnsi="仿宋" w:eastAsia="仿宋" w:cs="仿宋"/>
                      <w:spacing w:val="-43"/>
                      <w:sz w:val="18"/>
                      <w:szCs w:val="18"/>
                    </w:rPr>
                    <w:t xml:space="preserve"> </w:t>
                  </w:r>
                  <w:r>
                    <w:rPr>
                      <w:rFonts w:ascii="仿宋" w:hAnsi="仿宋" w:eastAsia="仿宋" w:cs="仿宋"/>
                      <w:spacing w:val="8"/>
                      <w:sz w:val="18"/>
                      <w:szCs w:val="18"/>
                    </w:rPr>
                    <w:t>，</w:t>
                  </w:r>
                  <w:r>
                    <w:rPr>
                      <w:rFonts w:ascii="仿宋" w:hAnsi="仿宋" w:eastAsia="仿宋" w:cs="仿宋"/>
                      <w:spacing w:val="-51"/>
                      <w:sz w:val="18"/>
                      <w:szCs w:val="18"/>
                    </w:rPr>
                    <w:t xml:space="preserve"> </w:t>
                  </w:r>
                  <w:r>
                    <w:rPr>
                      <w:rFonts w:ascii="仿宋" w:hAnsi="仿宋" w:eastAsia="仿宋" w:cs="仿宋"/>
                      <w:spacing w:val="8"/>
                      <w:sz w:val="18"/>
                      <w:szCs w:val="18"/>
                    </w:rPr>
                    <w:t>非工业高耗水项</w:t>
                  </w:r>
                  <w:r>
                    <w:rPr>
                      <w:rFonts w:ascii="仿宋" w:hAnsi="仿宋" w:eastAsia="仿宋" w:cs="仿宋"/>
                      <w:spacing w:val="-3"/>
                      <w:sz w:val="18"/>
                      <w:szCs w:val="18"/>
                    </w:rPr>
                    <w:t>目，施工期少量施工用</w:t>
                  </w:r>
                  <w:r>
                    <w:rPr>
                      <w:rFonts w:ascii="仿宋" w:hAnsi="仿宋" w:eastAsia="仿宋" w:cs="仿宋"/>
                      <w:spacing w:val="17"/>
                      <w:sz w:val="18"/>
                      <w:szCs w:val="18"/>
                    </w:rPr>
                    <w:t>水均采用洒水车拉运</w:t>
                  </w:r>
                  <w:r>
                    <w:rPr>
                      <w:rFonts w:ascii="仿宋" w:hAnsi="仿宋" w:eastAsia="仿宋" w:cs="仿宋"/>
                      <w:spacing w:val="-4"/>
                      <w:sz w:val="18"/>
                      <w:szCs w:val="18"/>
                    </w:rPr>
                    <w:t>（城镇中水水源</w:t>
                  </w:r>
                  <w:r>
                    <w:rPr>
                      <w:rFonts w:ascii="仿宋" w:hAnsi="仿宋" w:eastAsia="仿宋" w:cs="仿宋"/>
                      <w:spacing w:val="5"/>
                      <w:sz w:val="18"/>
                      <w:szCs w:val="18"/>
                    </w:rPr>
                    <w:t>），</w:t>
                  </w:r>
                  <w:r>
                    <w:rPr>
                      <w:rFonts w:ascii="仿宋" w:hAnsi="仿宋" w:eastAsia="仿宋" w:cs="仿宋"/>
                      <w:spacing w:val="-4"/>
                      <w:sz w:val="18"/>
                      <w:szCs w:val="18"/>
                    </w:rPr>
                    <w:t>无</w:t>
                  </w:r>
                  <w:r>
                    <w:rPr>
                      <w:rFonts w:ascii="仿宋" w:hAnsi="仿宋" w:eastAsia="仿宋" w:cs="仿宋"/>
                      <w:spacing w:val="-3"/>
                      <w:sz w:val="18"/>
                      <w:szCs w:val="18"/>
                    </w:rPr>
                    <w:t>长期取水；路面养护少量废水蒸发损耗，不涉及施工废水排放；不设置施工营地，租用沿线</w:t>
                  </w:r>
                </w:p>
              </w:tc>
              <w:tc>
                <w:tcPr>
                  <w:tcW w:w="447" w:type="dxa"/>
                  <w:tcBorders>
                    <w:bottom w:val="nil"/>
                    <w:right w:val="nil"/>
                  </w:tcBorders>
                  <w:vAlign w:val="top"/>
                </w:tcPr>
                <w:p w14:paraId="09801BC1">
                  <w:pPr>
                    <w:spacing w:line="298" w:lineRule="auto"/>
                    <w:rPr>
                      <w:rFonts w:ascii="Arial"/>
                      <w:sz w:val="21"/>
                    </w:rPr>
                  </w:pPr>
                </w:p>
                <w:p w14:paraId="557CE3D9">
                  <w:pPr>
                    <w:spacing w:line="299" w:lineRule="auto"/>
                    <w:rPr>
                      <w:rFonts w:ascii="Arial"/>
                      <w:sz w:val="21"/>
                    </w:rPr>
                  </w:pPr>
                </w:p>
                <w:p w14:paraId="725B91C9">
                  <w:pPr>
                    <w:spacing w:line="299" w:lineRule="auto"/>
                    <w:rPr>
                      <w:rFonts w:ascii="Arial"/>
                      <w:sz w:val="21"/>
                    </w:rPr>
                  </w:pPr>
                </w:p>
                <w:p w14:paraId="34481828">
                  <w:pPr>
                    <w:spacing w:before="59" w:line="221" w:lineRule="auto"/>
                    <w:ind w:left="60"/>
                    <w:rPr>
                      <w:rFonts w:ascii="仿宋" w:hAnsi="仿宋" w:eastAsia="仿宋" w:cs="仿宋"/>
                      <w:sz w:val="18"/>
                      <w:szCs w:val="18"/>
                    </w:rPr>
                  </w:pPr>
                  <w:r>
                    <w:rPr>
                      <w:rFonts w:ascii="仿宋" w:hAnsi="仿宋" w:eastAsia="仿宋" w:cs="仿宋"/>
                      <w:spacing w:val="-9"/>
                      <w:sz w:val="18"/>
                      <w:szCs w:val="18"/>
                    </w:rPr>
                    <w:t>符合</w:t>
                  </w:r>
                </w:p>
              </w:tc>
            </w:tr>
          </w:tbl>
          <w:p w14:paraId="4116400C">
            <w:pPr>
              <w:spacing w:line="14" w:lineRule="exact"/>
              <w:rPr>
                <w:rFonts w:ascii="Arial"/>
                <w:sz w:val="2"/>
              </w:rPr>
            </w:pPr>
          </w:p>
        </w:tc>
      </w:tr>
    </w:tbl>
    <w:p w14:paraId="56B13165">
      <w:pPr>
        <w:pStyle w:val="2"/>
        <w:rPr>
          <w:sz w:val="21"/>
        </w:rPr>
      </w:pPr>
    </w:p>
    <w:p w14:paraId="16B39EC4">
      <w:pPr>
        <w:rPr>
          <w:sz w:val="21"/>
          <w:szCs w:val="21"/>
        </w:rPr>
        <w:sectPr>
          <w:footerReference r:id="rId14" w:type="default"/>
          <w:pgSz w:w="11906" w:h="16839"/>
          <w:pgMar w:top="400" w:right="1306" w:bottom="1504" w:left="1521" w:header="0" w:footer="1342" w:gutter="0"/>
          <w:cols w:space="720" w:num="1"/>
        </w:sectPr>
      </w:pPr>
    </w:p>
    <w:p w14:paraId="2E1C8FB2">
      <w:pPr>
        <w:spacing w:before="19"/>
      </w:pPr>
    </w:p>
    <w:p w14:paraId="789F3506">
      <w:pPr>
        <w:spacing w:before="19"/>
      </w:pPr>
    </w:p>
    <w:p w14:paraId="44BFE101">
      <w:pPr>
        <w:spacing w:before="19"/>
      </w:pPr>
    </w:p>
    <w:p w14:paraId="1E3E45E1">
      <w:pPr>
        <w:spacing w:before="18"/>
      </w:pPr>
    </w:p>
    <w:p w14:paraId="5ECBF13A">
      <w:pPr>
        <w:spacing w:before="18"/>
      </w:pPr>
    </w:p>
    <w:tbl>
      <w:tblPr>
        <w:tblStyle w:val="5"/>
        <w:tblW w:w="9063"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70"/>
        <w:gridCol w:w="569"/>
        <w:gridCol w:w="599"/>
        <w:gridCol w:w="494"/>
        <w:gridCol w:w="584"/>
        <w:gridCol w:w="3414"/>
        <w:gridCol w:w="1797"/>
        <w:gridCol w:w="536"/>
      </w:tblGrid>
      <w:tr w14:paraId="4BDE03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7" w:hRule="atLeast"/>
        </w:trPr>
        <w:tc>
          <w:tcPr>
            <w:tcW w:w="1070" w:type="dxa"/>
            <w:vMerge w:val="restart"/>
            <w:tcBorders>
              <w:top w:val="single" w:color="000000" w:sz="6" w:space="0"/>
              <w:left w:val="single" w:color="000000" w:sz="6" w:space="0"/>
              <w:bottom w:val="nil"/>
            </w:tcBorders>
            <w:vAlign w:val="top"/>
          </w:tcPr>
          <w:p w14:paraId="3B64749E">
            <w:pPr>
              <w:rPr>
                <w:rFonts w:ascii="Arial"/>
                <w:sz w:val="21"/>
              </w:rPr>
            </w:pPr>
          </w:p>
        </w:tc>
        <w:tc>
          <w:tcPr>
            <w:tcW w:w="569" w:type="dxa"/>
            <w:vMerge w:val="restart"/>
            <w:tcBorders>
              <w:top w:val="single" w:color="000000" w:sz="6" w:space="0"/>
              <w:bottom w:val="nil"/>
            </w:tcBorders>
            <w:vAlign w:val="top"/>
          </w:tcPr>
          <w:p w14:paraId="319E73F0">
            <w:pPr>
              <w:rPr>
                <w:rFonts w:ascii="Arial"/>
                <w:sz w:val="21"/>
              </w:rPr>
            </w:pPr>
          </w:p>
        </w:tc>
        <w:tc>
          <w:tcPr>
            <w:tcW w:w="599" w:type="dxa"/>
            <w:vMerge w:val="restart"/>
            <w:tcBorders>
              <w:top w:val="single" w:color="000000" w:sz="6" w:space="0"/>
              <w:bottom w:val="nil"/>
            </w:tcBorders>
            <w:vAlign w:val="top"/>
          </w:tcPr>
          <w:p w14:paraId="72850CE3">
            <w:pPr>
              <w:rPr>
                <w:rFonts w:ascii="Arial"/>
                <w:sz w:val="21"/>
              </w:rPr>
            </w:pPr>
          </w:p>
        </w:tc>
        <w:tc>
          <w:tcPr>
            <w:tcW w:w="494" w:type="dxa"/>
            <w:vMerge w:val="restart"/>
            <w:tcBorders>
              <w:top w:val="single" w:color="000000" w:sz="6" w:space="0"/>
              <w:bottom w:val="nil"/>
            </w:tcBorders>
            <w:vAlign w:val="top"/>
          </w:tcPr>
          <w:p w14:paraId="432A6959">
            <w:pPr>
              <w:rPr>
                <w:rFonts w:ascii="Arial"/>
                <w:sz w:val="21"/>
              </w:rPr>
            </w:pPr>
          </w:p>
        </w:tc>
        <w:tc>
          <w:tcPr>
            <w:tcW w:w="584" w:type="dxa"/>
            <w:tcBorders>
              <w:top w:val="single" w:color="000000" w:sz="6" w:space="0"/>
            </w:tcBorders>
            <w:vAlign w:val="top"/>
          </w:tcPr>
          <w:p w14:paraId="399BAC8B">
            <w:pPr>
              <w:rPr>
                <w:rFonts w:ascii="Arial"/>
                <w:sz w:val="21"/>
              </w:rPr>
            </w:pPr>
          </w:p>
        </w:tc>
        <w:tc>
          <w:tcPr>
            <w:tcW w:w="3414" w:type="dxa"/>
            <w:tcBorders>
              <w:top w:val="single" w:color="000000" w:sz="6" w:space="0"/>
            </w:tcBorders>
            <w:vAlign w:val="top"/>
          </w:tcPr>
          <w:p w14:paraId="12901C7E">
            <w:pPr>
              <w:pStyle w:val="6"/>
              <w:spacing w:before="48" w:line="222" w:lineRule="auto"/>
              <w:ind w:left="32"/>
              <w:rPr>
                <w:rFonts w:ascii="仿宋" w:hAnsi="仿宋" w:eastAsia="仿宋" w:cs="仿宋"/>
              </w:rPr>
            </w:pPr>
            <w:r>
              <w:rPr>
                <w:rFonts w:ascii="仿宋" w:hAnsi="仿宋" w:eastAsia="仿宋" w:cs="仿宋"/>
                <w:spacing w:val="-3"/>
              </w:rPr>
              <w:t>〔</w:t>
            </w:r>
            <w:r>
              <w:rPr>
                <w:spacing w:val="-3"/>
              </w:rPr>
              <w:t>2021</w:t>
            </w:r>
            <w:r>
              <w:rPr>
                <w:rFonts w:ascii="仿宋" w:hAnsi="仿宋" w:eastAsia="仿宋" w:cs="仿宋"/>
                <w:spacing w:val="-3"/>
              </w:rPr>
              <w:t>〕</w:t>
            </w:r>
            <w:r>
              <w:rPr>
                <w:spacing w:val="-3"/>
              </w:rPr>
              <w:t>635</w:t>
            </w:r>
            <w:r>
              <w:rPr>
                <w:spacing w:val="29"/>
              </w:rPr>
              <w:t xml:space="preserve"> </w:t>
            </w:r>
            <w:r>
              <w:rPr>
                <w:rFonts w:ascii="仿宋" w:hAnsi="仿宋" w:eastAsia="仿宋" w:cs="仿宋"/>
                <w:spacing w:val="-3"/>
              </w:rPr>
              <w:t>号）要求严控高耗水项目。</w:t>
            </w:r>
          </w:p>
          <w:p w14:paraId="6707C8D0">
            <w:pPr>
              <w:pStyle w:val="6"/>
              <w:spacing w:before="14"/>
              <w:ind w:left="11" w:hanging="8"/>
              <w:rPr>
                <w:rFonts w:ascii="仿宋" w:hAnsi="仿宋" w:eastAsia="仿宋" w:cs="仿宋"/>
              </w:rPr>
            </w:pPr>
            <w:r>
              <w:rPr>
                <w:spacing w:val="1"/>
              </w:rPr>
              <w:t>4.</w:t>
            </w:r>
            <w:r>
              <w:rPr>
                <w:rFonts w:ascii="仿宋" w:hAnsi="仿宋" w:eastAsia="仿宋" w:cs="仿宋"/>
                <w:spacing w:val="1"/>
              </w:rPr>
              <w:t>新增取水项目单位产品水耗和复用水率应</w:t>
            </w:r>
            <w:r>
              <w:rPr>
                <w:rFonts w:ascii="仿宋" w:hAnsi="仿宋" w:eastAsia="仿宋" w:cs="仿宋"/>
                <w:spacing w:val="-2"/>
              </w:rPr>
              <w:t>满足国家行业用水定额和《内蒙古自治区行</w:t>
            </w:r>
            <w:r>
              <w:rPr>
                <w:rFonts w:ascii="仿宋" w:hAnsi="仿宋" w:eastAsia="仿宋" w:cs="仿宋"/>
                <w:spacing w:val="-1"/>
              </w:rPr>
              <w:t>业用水定额标准（</w:t>
            </w:r>
            <w:r>
              <w:rPr>
                <w:spacing w:val="-1"/>
              </w:rPr>
              <w:t>DB15/T385-2019</w:t>
            </w:r>
            <w:r>
              <w:rPr>
                <w:rFonts w:ascii="仿宋" w:hAnsi="仿宋" w:eastAsia="仿宋" w:cs="仿宋"/>
                <w:spacing w:val="-1"/>
              </w:rPr>
              <w:t>）》。</w:t>
            </w:r>
          </w:p>
          <w:p w14:paraId="38667485">
            <w:pPr>
              <w:pStyle w:val="6"/>
              <w:spacing w:before="1" w:line="239" w:lineRule="auto"/>
              <w:ind w:left="11" w:hanging="2"/>
              <w:rPr>
                <w:rFonts w:ascii="仿宋" w:hAnsi="仿宋" w:eastAsia="仿宋" w:cs="仿宋"/>
              </w:rPr>
            </w:pPr>
            <w:r>
              <w:rPr>
                <w:spacing w:val="1"/>
              </w:rPr>
              <w:t>5.</w:t>
            </w:r>
            <w:r>
              <w:rPr>
                <w:rFonts w:ascii="仿宋" w:hAnsi="仿宋" w:eastAsia="仿宋" w:cs="仿宋"/>
                <w:spacing w:val="1"/>
              </w:rPr>
              <w:t>新增取水项目万元工业增加值用水量应满</w:t>
            </w:r>
            <w:r>
              <w:rPr>
                <w:rFonts w:ascii="仿宋" w:hAnsi="仿宋" w:eastAsia="仿宋" w:cs="仿宋"/>
                <w:spacing w:val="8"/>
              </w:rPr>
              <w:t>足最严格水资源管理三条红线中用水效率</w:t>
            </w:r>
            <w:r>
              <w:rPr>
                <w:rFonts w:ascii="仿宋" w:hAnsi="仿宋" w:eastAsia="仿宋" w:cs="仿宋"/>
                <w:spacing w:val="-3"/>
              </w:rPr>
              <w:t>红线要求。</w:t>
            </w:r>
          </w:p>
          <w:p w14:paraId="6F2845D4">
            <w:pPr>
              <w:pStyle w:val="6"/>
              <w:spacing w:before="1" w:line="239" w:lineRule="auto"/>
              <w:ind w:left="11" w:hanging="3"/>
              <w:rPr>
                <w:rFonts w:ascii="仿宋" w:hAnsi="仿宋" w:eastAsia="仿宋" w:cs="仿宋"/>
              </w:rPr>
            </w:pPr>
            <w:r>
              <w:rPr>
                <w:spacing w:val="1"/>
              </w:rPr>
              <w:t>6.</w:t>
            </w:r>
            <w:r>
              <w:rPr>
                <w:rFonts w:ascii="仿宋" w:hAnsi="仿宋" w:eastAsia="仿宋" w:cs="仿宋"/>
                <w:spacing w:val="1"/>
              </w:rPr>
              <w:t>新增取水项目应优先使用再生水，工业生</w:t>
            </w:r>
            <w:r>
              <w:rPr>
                <w:rFonts w:ascii="仿宋" w:hAnsi="仿宋" w:eastAsia="仿宋" w:cs="仿宋"/>
                <w:spacing w:val="-2"/>
              </w:rPr>
              <w:t>产、城市绿化、道路清扫、车辆冲洗、建筑施工以及生态景观等用水，要优先使用再生</w:t>
            </w:r>
            <w:r>
              <w:rPr>
                <w:rFonts w:ascii="仿宋" w:hAnsi="仿宋" w:eastAsia="仿宋" w:cs="仿宋"/>
                <w:spacing w:val="-6"/>
              </w:rPr>
              <w:t>水。</w:t>
            </w:r>
          </w:p>
          <w:p w14:paraId="6ADDF402">
            <w:pPr>
              <w:pStyle w:val="6"/>
              <w:spacing w:line="221" w:lineRule="auto"/>
              <w:ind w:left="15" w:hanging="8"/>
              <w:rPr>
                <w:rFonts w:ascii="仿宋" w:hAnsi="仿宋" w:eastAsia="仿宋" w:cs="仿宋"/>
              </w:rPr>
            </w:pPr>
            <w:r>
              <w:rPr>
                <w:spacing w:val="1"/>
              </w:rPr>
              <w:t>7.</w:t>
            </w:r>
            <w:r>
              <w:rPr>
                <w:rFonts w:ascii="仿宋" w:hAnsi="仿宋" w:eastAsia="仿宋" w:cs="仿宋"/>
                <w:spacing w:val="1"/>
              </w:rPr>
              <w:t>新增取水项目污水排放率应满足国家和自</w:t>
            </w:r>
            <w:r>
              <w:rPr>
                <w:rFonts w:ascii="仿宋" w:hAnsi="仿宋" w:eastAsia="仿宋" w:cs="仿宋"/>
                <w:spacing w:val="-3"/>
              </w:rPr>
              <w:t xml:space="preserve">治区 </w:t>
            </w:r>
            <w:r>
              <w:rPr>
                <w:spacing w:val="-3"/>
              </w:rPr>
              <w:t>“</w:t>
            </w:r>
            <w:r>
              <w:rPr>
                <w:rFonts w:ascii="仿宋" w:hAnsi="仿宋" w:eastAsia="仿宋" w:cs="仿宋"/>
                <w:spacing w:val="-3"/>
              </w:rPr>
              <w:t>水十条</w:t>
            </w:r>
            <w:r>
              <w:rPr>
                <w:spacing w:val="-3"/>
              </w:rPr>
              <w:t>”</w:t>
            </w:r>
            <w:r>
              <w:rPr>
                <w:spacing w:val="7"/>
              </w:rPr>
              <w:t xml:space="preserve">  </w:t>
            </w:r>
            <w:r>
              <w:rPr>
                <w:rFonts w:ascii="仿宋" w:hAnsi="仿宋" w:eastAsia="仿宋" w:cs="仿宋"/>
                <w:spacing w:val="-3"/>
              </w:rPr>
              <w:t>要求。</w:t>
            </w:r>
          </w:p>
        </w:tc>
        <w:tc>
          <w:tcPr>
            <w:tcW w:w="1797" w:type="dxa"/>
            <w:tcBorders>
              <w:top w:val="single" w:color="000000" w:sz="6" w:space="0"/>
            </w:tcBorders>
            <w:vAlign w:val="top"/>
          </w:tcPr>
          <w:p w14:paraId="262EBBD3">
            <w:pPr>
              <w:spacing w:before="51" w:line="239" w:lineRule="auto"/>
              <w:ind w:left="17"/>
              <w:rPr>
                <w:rFonts w:ascii="仿宋" w:hAnsi="仿宋" w:eastAsia="仿宋" w:cs="仿宋"/>
                <w:sz w:val="18"/>
                <w:szCs w:val="18"/>
              </w:rPr>
            </w:pPr>
            <w:r>
              <w:rPr>
                <w:rFonts w:ascii="仿宋" w:hAnsi="仿宋" w:eastAsia="仿宋" w:cs="仿宋"/>
                <w:spacing w:val="-3"/>
                <w:sz w:val="18"/>
                <w:szCs w:val="18"/>
              </w:rPr>
              <w:t>村庄房屋，生活污水依</w:t>
            </w:r>
            <w:r>
              <w:rPr>
                <w:rFonts w:ascii="仿宋" w:hAnsi="仿宋" w:eastAsia="仿宋" w:cs="仿宋"/>
                <w:spacing w:val="17"/>
                <w:sz w:val="18"/>
                <w:szCs w:val="18"/>
              </w:rPr>
              <w:t>托村庄现有设施与村</w:t>
            </w:r>
            <w:r>
              <w:rPr>
                <w:rFonts w:ascii="仿宋" w:hAnsi="仿宋" w:eastAsia="仿宋" w:cs="仿宋"/>
                <w:spacing w:val="-3"/>
                <w:sz w:val="18"/>
                <w:szCs w:val="18"/>
              </w:rPr>
              <w:t>民生活污水一并处理；</w:t>
            </w:r>
            <w:r>
              <w:rPr>
                <w:rFonts w:ascii="仿宋" w:hAnsi="仿宋" w:eastAsia="仿宋" w:cs="仿宋"/>
                <w:spacing w:val="17"/>
                <w:sz w:val="18"/>
                <w:szCs w:val="18"/>
              </w:rPr>
              <w:t>运营期不涉及取水和</w:t>
            </w:r>
            <w:r>
              <w:rPr>
                <w:rFonts w:ascii="仿宋" w:hAnsi="仿宋" w:eastAsia="仿宋" w:cs="仿宋"/>
                <w:spacing w:val="-3"/>
                <w:sz w:val="18"/>
                <w:szCs w:val="18"/>
              </w:rPr>
              <w:t>污水排放；本项目不涉</w:t>
            </w:r>
            <w:r>
              <w:rPr>
                <w:rFonts w:ascii="仿宋" w:hAnsi="仿宋" w:eastAsia="仿宋" w:cs="仿宋"/>
                <w:spacing w:val="17"/>
                <w:sz w:val="18"/>
                <w:szCs w:val="18"/>
              </w:rPr>
              <w:t>及高耗水工艺与新增</w:t>
            </w:r>
            <w:r>
              <w:rPr>
                <w:rFonts w:ascii="仿宋" w:hAnsi="仿宋" w:eastAsia="仿宋" w:cs="仿宋"/>
                <w:spacing w:val="-3"/>
                <w:sz w:val="18"/>
                <w:szCs w:val="18"/>
              </w:rPr>
              <w:t>工业取水。</w:t>
            </w:r>
          </w:p>
        </w:tc>
        <w:tc>
          <w:tcPr>
            <w:tcW w:w="536" w:type="dxa"/>
            <w:tcBorders>
              <w:top w:val="single" w:color="000000" w:sz="6" w:space="0"/>
              <w:right w:val="single" w:color="000000" w:sz="6" w:space="0"/>
            </w:tcBorders>
            <w:vAlign w:val="top"/>
          </w:tcPr>
          <w:p w14:paraId="4E8A6ACF">
            <w:pPr>
              <w:rPr>
                <w:rFonts w:ascii="Arial"/>
                <w:sz w:val="21"/>
              </w:rPr>
            </w:pPr>
          </w:p>
        </w:tc>
      </w:tr>
      <w:tr w14:paraId="60E3FA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0" w:hRule="atLeast"/>
        </w:trPr>
        <w:tc>
          <w:tcPr>
            <w:tcW w:w="1070" w:type="dxa"/>
            <w:vMerge w:val="continue"/>
            <w:tcBorders>
              <w:top w:val="nil"/>
              <w:left w:val="single" w:color="000000" w:sz="6" w:space="0"/>
              <w:bottom w:val="nil"/>
            </w:tcBorders>
            <w:vAlign w:val="top"/>
          </w:tcPr>
          <w:p w14:paraId="5B7AA3CE">
            <w:pPr>
              <w:rPr>
                <w:rFonts w:ascii="Arial"/>
                <w:sz w:val="21"/>
              </w:rPr>
            </w:pPr>
          </w:p>
        </w:tc>
        <w:tc>
          <w:tcPr>
            <w:tcW w:w="569" w:type="dxa"/>
            <w:vMerge w:val="continue"/>
            <w:tcBorders>
              <w:top w:val="nil"/>
            </w:tcBorders>
            <w:vAlign w:val="top"/>
          </w:tcPr>
          <w:p w14:paraId="2159713F">
            <w:pPr>
              <w:rPr>
                <w:rFonts w:ascii="Arial"/>
                <w:sz w:val="21"/>
              </w:rPr>
            </w:pPr>
          </w:p>
        </w:tc>
        <w:tc>
          <w:tcPr>
            <w:tcW w:w="599" w:type="dxa"/>
            <w:vMerge w:val="continue"/>
            <w:tcBorders>
              <w:top w:val="nil"/>
            </w:tcBorders>
            <w:vAlign w:val="top"/>
          </w:tcPr>
          <w:p w14:paraId="76E677D1">
            <w:pPr>
              <w:rPr>
                <w:rFonts w:ascii="Arial"/>
                <w:sz w:val="21"/>
              </w:rPr>
            </w:pPr>
          </w:p>
        </w:tc>
        <w:tc>
          <w:tcPr>
            <w:tcW w:w="494" w:type="dxa"/>
            <w:vMerge w:val="continue"/>
            <w:tcBorders>
              <w:top w:val="nil"/>
            </w:tcBorders>
            <w:vAlign w:val="top"/>
          </w:tcPr>
          <w:p w14:paraId="671C7322">
            <w:pPr>
              <w:rPr>
                <w:rFonts w:ascii="Arial"/>
                <w:sz w:val="21"/>
              </w:rPr>
            </w:pPr>
          </w:p>
        </w:tc>
        <w:tc>
          <w:tcPr>
            <w:tcW w:w="584" w:type="dxa"/>
            <w:vAlign w:val="top"/>
          </w:tcPr>
          <w:p w14:paraId="7CF492D9">
            <w:pPr>
              <w:spacing w:line="333" w:lineRule="auto"/>
              <w:rPr>
                <w:rFonts w:ascii="Arial"/>
                <w:sz w:val="21"/>
              </w:rPr>
            </w:pPr>
          </w:p>
          <w:p w14:paraId="3D9CF2B4">
            <w:pPr>
              <w:spacing w:line="334" w:lineRule="auto"/>
              <w:rPr>
                <w:rFonts w:ascii="Arial"/>
                <w:sz w:val="21"/>
              </w:rPr>
            </w:pPr>
          </w:p>
          <w:p w14:paraId="41BC7B05">
            <w:pPr>
              <w:spacing w:before="59"/>
              <w:ind w:left="32" w:right="23" w:firstLine="4"/>
              <w:rPr>
                <w:rFonts w:ascii="仿宋" w:hAnsi="仿宋" w:eastAsia="仿宋" w:cs="仿宋"/>
                <w:sz w:val="18"/>
                <w:szCs w:val="18"/>
              </w:rPr>
            </w:pPr>
            <w:r>
              <w:rPr>
                <w:rFonts w:ascii="仿宋" w:hAnsi="仿宋" w:eastAsia="仿宋" w:cs="仿宋"/>
                <w:spacing w:val="-8"/>
                <w:sz w:val="18"/>
                <w:szCs w:val="18"/>
              </w:rPr>
              <w:t>资源开</w:t>
            </w:r>
            <w:r>
              <w:rPr>
                <w:rFonts w:ascii="仿宋" w:hAnsi="仿宋" w:eastAsia="仿宋" w:cs="仿宋"/>
                <w:spacing w:val="-6"/>
                <w:sz w:val="18"/>
                <w:szCs w:val="18"/>
              </w:rPr>
              <w:t>发效率</w:t>
            </w:r>
          </w:p>
        </w:tc>
        <w:tc>
          <w:tcPr>
            <w:tcW w:w="3414" w:type="dxa"/>
            <w:vAlign w:val="top"/>
          </w:tcPr>
          <w:p w14:paraId="18415CED">
            <w:pPr>
              <w:spacing w:before="26" w:line="235" w:lineRule="auto"/>
              <w:ind w:left="13" w:firstLine="4"/>
              <w:jc w:val="both"/>
              <w:rPr>
                <w:rFonts w:ascii="仿宋" w:hAnsi="仿宋" w:eastAsia="仿宋" w:cs="仿宋"/>
                <w:sz w:val="18"/>
                <w:szCs w:val="18"/>
              </w:rPr>
            </w:pPr>
            <w:r>
              <w:rPr>
                <w:rFonts w:ascii="仿宋" w:hAnsi="仿宋" w:eastAsia="仿宋" w:cs="仿宋"/>
                <w:spacing w:val="-2"/>
                <w:sz w:val="18"/>
                <w:szCs w:val="18"/>
              </w:rPr>
              <w:t>合理配置控制断面上游水资源，保障下游合理生态需水。生态基流是河流生态需水的瞬时最小值，除天然来水小于生态基流外必须予以满足；基本生态需水要求年内不同时段满足一定的水量，对于有基本生态需水要求</w:t>
            </w:r>
            <w:r>
              <w:rPr>
                <w:rFonts w:ascii="仿宋" w:hAnsi="仿宋" w:eastAsia="仿宋" w:cs="仿宋"/>
                <w:spacing w:val="8"/>
                <w:sz w:val="18"/>
                <w:szCs w:val="18"/>
              </w:rPr>
              <w:t>的河流除天然来水小于基本生态需水外应</w:t>
            </w:r>
            <w:r>
              <w:rPr>
                <w:rFonts w:ascii="仿宋" w:hAnsi="仿宋" w:eastAsia="仿宋" w:cs="仿宋"/>
                <w:spacing w:val="-2"/>
                <w:sz w:val="18"/>
                <w:szCs w:val="18"/>
              </w:rPr>
              <w:t>予以满足。湖泊应满足要求的湖水位（湖面</w:t>
            </w:r>
            <w:r>
              <w:rPr>
                <w:rFonts w:ascii="仿宋" w:hAnsi="仿宋" w:eastAsia="仿宋" w:cs="仿宋"/>
                <w:spacing w:val="-4"/>
                <w:sz w:val="18"/>
                <w:szCs w:val="18"/>
              </w:rPr>
              <w:t>面积）。</w:t>
            </w:r>
          </w:p>
        </w:tc>
        <w:tc>
          <w:tcPr>
            <w:tcW w:w="1797" w:type="dxa"/>
            <w:vAlign w:val="top"/>
          </w:tcPr>
          <w:p w14:paraId="449BDF4E">
            <w:pPr>
              <w:pStyle w:val="6"/>
              <w:spacing w:before="106" w:line="241" w:lineRule="auto"/>
              <w:ind w:left="22" w:hanging="3"/>
              <w:jc w:val="both"/>
              <w:rPr>
                <w:rFonts w:ascii="仿宋" w:hAnsi="仿宋" w:eastAsia="仿宋" w:cs="仿宋"/>
                <w:sz w:val="24"/>
                <w:szCs w:val="24"/>
              </w:rPr>
            </w:pPr>
            <w:r>
              <w:rPr>
                <w:rFonts w:ascii="仿宋" w:hAnsi="仿宋" w:eastAsia="仿宋" w:cs="仿宋"/>
                <w:spacing w:val="6"/>
              </w:rPr>
              <w:t>本项</w:t>
            </w:r>
            <w:r>
              <w:rPr>
                <w:rFonts w:ascii="仿宋" w:hAnsi="仿宋" w:eastAsia="仿宋" w:cs="仿宋"/>
                <w:spacing w:val="-25"/>
              </w:rPr>
              <w:t xml:space="preserve"> </w:t>
            </w:r>
            <w:r>
              <w:rPr>
                <w:rFonts w:ascii="仿宋" w:hAnsi="仿宋" w:eastAsia="仿宋" w:cs="仿宋"/>
                <w:spacing w:val="6"/>
              </w:rPr>
              <w:t>目距黄河最近距</w:t>
            </w:r>
            <w:r>
              <w:rPr>
                <w:rFonts w:ascii="仿宋" w:hAnsi="仿宋" w:eastAsia="仿宋" w:cs="仿宋"/>
                <w:spacing w:val="-12"/>
              </w:rPr>
              <w:t>离</w:t>
            </w:r>
            <w:r>
              <w:rPr>
                <w:rFonts w:ascii="仿宋" w:hAnsi="仿宋" w:eastAsia="仿宋" w:cs="仿宋"/>
                <w:spacing w:val="-33"/>
              </w:rPr>
              <w:t xml:space="preserve"> </w:t>
            </w:r>
            <w:r>
              <w:rPr>
                <w:spacing w:val="-12"/>
              </w:rPr>
              <w:t xml:space="preserve">280m </w:t>
            </w:r>
            <w:r>
              <w:rPr>
                <w:rFonts w:ascii="仿宋" w:hAnsi="仿宋" w:eastAsia="仿宋" w:cs="仿宋"/>
                <w:spacing w:val="-12"/>
              </w:rPr>
              <w:t>，项</w:t>
            </w:r>
            <w:r>
              <w:rPr>
                <w:rFonts w:ascii="仿宋" w:hAnsi="仿宋" w:eastAsia="仿宋" w:cs="仿宋"/>
                <w:spacing w:val="-38"/>
              </w:rPr>
              <w:t xml:space="preserve"> </w:t>
            </w:r>
            <w:r>
              <w:rPr>
                <w:rFonts w:ascii="仿宋" w:hAnsi="仿宋" w:eastAsia="仿宋" w:cs="仿宋"/>
                <w:spacing w:val="-12"/>
              </w:rPr>
              <w:t>目不</w:t>
            </w:r>
            <w:r>
              <w:rPr>
                <w:rFonts w:ascii="仿宋" w:hAnsi="仿宋" w:eastAsia="仿宋" w:cs="仿宋"/>
                <w:spacing w:val="-37"/>
              </w:rPr>
              <w:t xml:space="preserve"> </w:t>
            </w:r>
            <w:r>
              <w:rPr>
                <w:rFonts w:ascii="仿宋" w:hAnsi="仿宋" w:eastAsia="仿宋" w:cs="仿宋"/>
                <w:spacing w:val="-12"/>
              </w:rPr>
              <w:t>占用</w:t>
            </w:r>
            <w:r>
              <w:rPr>
                <w:rFonts w:ascii="仿宋" w:hAnsi="仿宋" w:eastAsia="仿宋" w:cs="仿宋"/>
                <w:spacing w:val="-4"/>
              </w:rPr>
              <w:t>河道、湖泊管理范围，</w:t>
            </w:r>
            <w:r>
              <w:rPr>
                <w:rFonts w:ascii="仿宋" w:hAnsi="仿宋" w:eastAsia="仿宋" w:cs="仿宋"/>
                <w:spacing w:val="13"/>
              </w:rPr>
              <w:t>不改变河湖水力联系</w:t>
            </w:r>
            <w:r>
              <w:rPr>
                <w:rFonts w:ascii="仿宋" w:hAnsi="仿宋" w:eastAsia="仿宋" w:cs="仿宋"/>
                <w:spacing w:val="-7"/>
              </w:rPr>
              <w:t>与径流条件，不挤占生态基流，施工期不扰动</w:t>
            </w:r>
            <w:r>
              <w:rPr>
                <w:rFonts w:ascii="仿宋" w:hAnsi="仿宋" w:eastAsia="仿宋" w:cs="仿宋"/>
                <w:spacing w:val="-10"/>
              </w:rPr>
              <w:t>河道水体与湖泊水位</w:t>
            </w:r>
            <w:r>
              <w:rPr>
                <w:rFonts w:ascii="仿宋" w:hAnsi="仿宋" w:eastAsia="仿宋" w:cs="仿宋"/>
                <w:spacing w:val="-10"/>
                <w:sz w:val="24"/>
                <w:szCs w:val="24"/>
              </w:rPr>
              <w:t>。</w:t>
            </w:r>
          </w:p>
        </w:tc>
        <w:tc>
          <w:tcPr>
            <w:tcW w:w="536" w:type="dxa"/>
            <w:tcBorders>
              <w:right w:val="single" w:color="000000" w:sz="6" w:space="0"/>
            </w:tcBorders>
            <w:vAlign w:val="top"/>
          </w:tcPr>
          <w:p w14:paraId="3B9FB3DF">
            <w:pPr>
              <w:rPr>
                <w:rFonts w:ascii="Arial"/>
                <w:sz w:val="21"/>
              </w:rPr>
            </w:pPr>
          </w:p>
        </w:tc>
      </w:tr>
      <w:tr w14:paraId="44F04D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6" w:hRule="atLeast"/>
        </w:trPr>
        <w:tc>
          <w:tcPr>
            <w:tcW w:w="1070" w:type="dxa"/>
            <w:vMerge w:val="continue"/>
            <w:tcBorders>
              <w:top w:val="nil"/>
              <w:left w:val="single" w:color="000000" w:sz="6" w:space="0"/>
              <w:bottom w:val="nil"/>
            </w:tcBorders>
            <w:vAlign w:val="top"/>
          </w:tcPr>
          <w:p w14:paraId="454633D7">
            <w:pPr>
              <w:rPr>
                <w:rFonts w:ascii="Arial"/>
                <w:sz w:val="21"/>
              </w:rPr>
            </w:pPr>
          </w:p>
        </w:tc>
        <w:tc>
          <w:tcPr>
            <w:tcW w:w="569" w:type="dxa"/>
            <w:vAlign w:val="top"/>
          </w:tcPr>
          <w:p w14:paraId="47423210">
            <w:pPr>
              <w:spacing w:line="257" w:lineRule="auto"/>
              <w:rPr>
                <w:rFonts w:ascii="Arial"/>
                <w:sz w:val="21"/>
              </w:rPr>
            </w:pPr>
          </w:p>
          <w:p w14:paraId="7153A21B">
            <w:pPr>
              <w:spacing w:line="257" w:lineRule="auto"/>
              <w:rPr>
                <w:rFonts w:ascii="Arial"/>
                <w:sz w:val="21"/>
              </w:rPr>
            </w:pPr>
          </w:p>
          <w:p w14:paraId="4052D58F">
            <w:pPr>
              <w:spacing w:line="258" w:lineRule="auto"/>
              <w:rPr>
                <w:rFonts w:ascii="Arial"/>
                <w:sz w:val="21"/>
              </w:rPr>
            </w:pPr>
          </w:p>
          <w:p w14:paraId="4B556648">
            <w:pPr>
              <w:spacing w:line="258" w:lineRule="auto"/>
              <w:rPr>
                <w:rFonts w:ascii="Arial"/>
                <w:sz w:val="21"/>
              </w:rPr>
            </w:pPr>
          </w:p>
          <w:p w14:paraId="4BF57DF3">
            <w:pPr>
              <w:spacing w:line="258" w:lineRule="auto"/>
              <w:rPr>
                <w:rFonts w:ascii="Arial"/>
                <w:sz w:val="21"/>
              </w:rPr>
            </w:pPr>
          </w:p>
          <w:p w14:paraId="4B115D41">
            <w:pPr>
              <w:spacing w:line="258" w:lineRule="auto"/>
              <w:rPr>
                <w:rFonts w:ascii="Arial"/>
                <w:sz w:val="21"/>
              </w:rPr>
            </w:pPr>
          </w:p>
          <w:p w14:paraId="6E00F8AF">
            <w:pPr>
              <w:pStyle w:val="6"/>
              <w:spacing w:before="52" w:line="188" w:lineRule="auto"/>
              <w:ind w:left="105"/>
            </w:pPr>
            <w:r>
              <w:rPr>
                <w:spacing w:val="-1"/>
              </w:rPr>
              <w:t>ZH15</w:t>
            </w:r>
          </w:p>
          <w:p w14:paraId="3340EFC7">
            <w:pPr>
              <w:pStyle w:val="6"/>
              <w:spacing w:before="44" w:line="188" w:lineRule="auto"/>
              <w:ind w:left="95"/>
            </w:pPr>
            <w:r>
              <w:rPr>
                <w:spacing w:val="-2"/>
              </w:rPr>
              <w:t>06222</w:t>
            </w:r>
          </w:p>
          <w:p w14:paraId="1607EE24">
            <w:pPr>
              <w:pStyle w:val="6"/>
              <w:spacing w:before="44" w:line="188" w:lineRule="auto"/>
              <w:ind w:left="141"/>
            </w:pPr>
            <w:r>
              <w:rPr>
                <w:spacing w:val="-2"/>
              </w:rPr>
              <w:t>0007</w:t>
            </w:r>
          </w:p>
        </w:tc>
        <w:tc>
          <w:tcPr>
            <w:tcW w:w="599" w:type="dxa"/>
            <w:vAlign w:val="top"/>
          </w:tcPr>
          <w:p w14:paraId="0CFDCB2B">
            <w:pPr>
              <w:spacing w:line="266" w:lineRule="auto"/>
              <w:rPr>
                <w:rFonts w:ascii="Arial"/>
                <w:sz w:val="21"/>
              </w:rPr>
            </w:pPr>
          </w:p>
          <w:p w14:paraId="50163022">
            <w:pPr>
              <w:spacing w:line="266" w:lineRule="auto"/>
              <w:rPr>
                <w:rFonts w:ascii="Arial"/>
                <w:sz w:val="21"/>
              </w:rPr>
            </w:pPr>
          </w:p>
          <w:p w14:paraId="5780793E">
            <w:pPr>
              <w:spacing w:line="267" w:lineRule="auto"/>
              <w:rPr>
                <w:rFonts w:ascii="Arial"/>
                <w:sz w:val="21"/>
              </w:rPr>
            </w:pPr>
          </w:p>
          <w:p w14:paraId="30171955">
            <w:pPr>
              <w:spacing w:line="267" w:lineRule="auto"/>
              <w:rPr>
                <w:rFonts w:ascii="Arial"/>
                <w:sz w:val="21"/>
              </w:rPr>
            </w:pPr>
          </w:p>
          <w:p w14:paraId="5C964EF2">
            <w:pPr>
              <w:spacing w:line="267" w:lineRule="auto"/>
              <w:rPr>
                <w:rFonts w:ascii="Arial"/>
                <w:sz w:val="21"/>
              </w:rPr>
            </w:pPr>
          </w:p>
          <w:p w14:paraId="048E5C25">
            <w:pPr>
              <w:spacing w:line="267" w:lineRule="auto"/>
              <w:rPr>
                <w:rFonts w:ascii="Arial"/>
                <w:sz w:val="21"/>
              </w:rPr>
            </w:pPr>
          </w:p>
          <w:p w14:paraId="4128AF63">
            <w:pPr>
              <w:spacing w:before="58"/>
              <w:ind w:left="40" w:right="32" w:firstLine="2"/>
              <w:rPr>
                <w:rFonts w:ascii="仿宋" w:hAnsi="仿宋" w:eastAsia="仿宋" w:cs="仿宋"/>
                <w:sz w:val="18"/>
                <w:szCs w:val="18"/>
              </w:rPr>
            </w:pPr>
            <w:r>
              <w:rPr>
                <w:rFonts w:ascii="仿宋" w:hAnsi="仿宋" w:eastAsia="仿宋" w:cs="仿宋"/>
                <w:spacing w:val="-8"/>
                <w:sz w:val="18"/>
                <w:szCs w:val="18"/>
              </w:rPr>
              <w:t>乌兰格</w:t>
            </w:r>
            <w:r>
              <w:rPr>
                <w:rFonts w:ascii="仿宋" w:hAnsi="仿宋" w:eastAsia="仿宋" w:cs="仿宋"/>
                <w:spacing w:val="-7"/>
                <w:sz w:val="18"/>
                <w:szCs w:val="18"/>
              </w:rPr>
              <w:t>尔矿区</w:t>
            </w:r>
          </w:p>
        </w:tc>
        <w:tc>
          <w:tcPr>
            <w:tcW w:w="494" w:type="dxa"/>
            <w:vAlign w:val="top"/>
          </w:tcPr>
          <w:p w14:paraId="692F2399">
            <w:pPr>
              <w:spacing w:line="247" w:lineRule="auto"/>
              <w:rPr>
                <w:rFonts w:ascii="Arial"/>
                <w:sz w:val="21"/>
              </w:rPr>
            </w:pPr>
          </w:p>
          <w:p w14:paraId="52229731">
            <w:pPr>
              <w:spacing w:line="247" w:lineRule="auto"/>
              <w:rPr>
                <w:rFonts w:ascii="Arial"/>
                <w:sz w:val="21"/>
              </w:rPr>
            </w:pPr>
          </w:p>
          <w:p w14:paraId="40768277">
            <w:pPr>
              <w:spacing w:line="247" w:lineRule="auto"/>
              <w:rPr>
                <w:rFonts w:ascii="Arial"/>
                <w:sz w:val="21"/>
              </w:rPr>
            </w:pPr>
          </w:p>
          <w:p w14:paraId="20C725FD">
            <w:pPr>
              <w:spacing w:line="247" w:lineRule="auto"/>
              <w:rPr>
                <w:rFonts w:ascii="Arial"/>
                <w:sz w:val="21"/>
              </w:rPr>
            </w:pPr>
          </w:p>
          <w:p w14:paraId="602033F5">
            <w:pPr>
              <w:spacing w:line="247" w:lineRule="auto"/>
              <w:rPr>
                <w:rFonts w:ascii="Arial"/>
                <w:sz w:val="21"/>
              </w:rPr>
            </w:pPr>
          </w:p>
          <w:p w14:paraId="234E5CEB">
            <w:pPr>
              <w:spacing w:line="247" w:lineRule="auto"/>
              <w:rPr>
                <w:rFonts w:ascii="Arial"/>
                <w:sz w:val="21"/>
              </w:rPr>
            </w:pPr>
          </w:p>
          <w:p w14:paraId="01E71EC0">
            <w:pPr>
              <w:spacing w:before="58" w:line="239" w:lineRule="auto"/>
              <w:ind w:left="76" w:right="68" w:firstLine="2"/>
              <w:jc w:val="both"/>
              <w:rPr>
                <w:rFonts w:ascii="仿宋" w:hAnsi="仿宋" w:eastAsia="仿宋" w:cs="仿宋"/>
                <w:sz w:val="18"/>
                <w:szCs w:val="18"/>
              </w:rPr>
            </w:pPr>
            <w:r>
              <w:rPr>
                <w:rFonts w:ascii="仿宋" w:hAnsi="仿宋" w:eastAsia="仿宋" w:cs="仿宋"/>
                <w:spacing w:val="-9"/>
                <w:sz w:val="18"/>
                <w:szCs w:val="18"/>
              </w:rPr>
              <w:t>重点</w:t>
            </w:r>
            <w:r>
              <w:rPr>
                <w:rFonts w:ascii="仿宋" w:hAnsi="仿宋" w:eastAsia="仿宋" w:cs="仿宋"/>
                <w:spacing w:val="-8"/>
                <w:sz w:val="18"/>
                <w:szCs w:val="18"/>
              </w:rPr>
              <w:t>管控单元</w:t>
            </w:r>
          </w:p>
        </w:tc>
        <w:tc>
          <w:tcPr>
            <w:tcW w:w="584" w:type="dxa"/>
            <w:vAlign w:val="top"/>
          </w:tcPr>
          <w:p w14:paraId="70E284CD">
            <w:pPr>
              <w:spacing w:line="266" w:lineRule="auto"/>
              <w:rPr>
                <w:rFonts w:ascii="Arial"/>
                <w:sz w:val="21"/>
              </w:rPr>
            </w:pPr>
          </w:p>
          <w:p w14:paraId="71F90C88">
            <w:pPr>
              <w:spacing w:line="266" w:lineRule="auto"/>
              <w:rPr>
                <w:rFonts w:ascii="Arial"/>
                <w:sz w:val="21"/>
              </w:rPr>
            </w:pPr>
          </w:p>
          <w:p w14:paraId="0D9FA6D4">
            <w:pPr>
              <w:spacing w:line="266" w:lineRule="auto"/>
              <w:rPr>
                <w:rFonts w:ascii="Arial"/>
                <w:sz w:val="21"/>
              </w:rPr>
            </w:pPr>
          </w:p>
          <w:p w14:paraId="1904A7F5">
            <w:pPr>
              <w:spacing w:line="267" w:lineRule="auto"/>
              <w:rPr>
                <w:rFonts w:ascii="Arial"/>
                <w:sz w:val="21"/>
              </w:rPr>
            </w:pPr>
          </w:p>
          <w:p w14:paraId="145564BE">
            <w:pPr>
              <w:spacing w:line="267" w:lineRule="auto"/>
              <w:rPr>
                <w:rFonts w:ascii="Arial"/>
                <w:sz w:val="21"/>
              </w:rPr>
            </w:pPr>
          </w:p>
          <w:p w14:paraId="553D8BA8">
            <w:pPr>
              <w:spacing w:line="267" w:lineRule="auto"/>
              <w:rPr>
                <w:rFonts w:ascii="Arial"/>
                <w:sz w:val="21"/>
              </w:rPr>
            </w:pPr>
          </w:p>
          <w:p w14:paraId="702D8652">
            <w:pPr>
              <w:spacing w:before="59"/>
              <w:ind w:left="32" w:right="23" w:firstLine="4"/>
              <w:rPr>
                <w:rFonts w:ascii="仿宋" w:hAnsi="仿宋" w:eastAsia="仿宋" w:cs="仿宋"/>
                <w:sz w:val="18"/>
                <w:szCs w:val="18"/>
              </w:rPr>
            </w:pPr>
            <w:r>
              <w:rPr>
                <w:rFonts w:ascii="仿宋" w:hAnsi="仿宋" w:eastAsia="仿宋" w:cs="仿宋"/>
                <w:spacing w:val="-8"/>
                <w:sz w:val="18"/>
                <w:szCs w:val="18"/>
              </w:rPr>
              <w:t>资源开</w:t>
            </w:r>
            <w:r>
              <w:rPr>
                <w:rFonts w:ascii="仿宋" w:hAnsi="仿宋" w:eastAsia="仿宋" w:cs="仿宋"/>
                <w:spacing w:val="-6"/>
                <w:sz w:val="18"/>
                <w:szCs w:val="18"/>
              </w:rPr>
              <w:t>发效率</w:t>
            </w:r>
          </w:p>
        </w:tc>
        <w:tc>
          <w:tcPr>
            <w:tcW w:w="3414" w:type="dxa"/>
            <w:vAlign w:val="top"/>
          </w:tcPr>
          <w:p w14:paraId="3BBC77C1">
            <w:pPr>
              <w:pStyle w:val="6"/>
              <w:spacing w:before="34" w:line="239" w:lineRule="auto"/>
              <w:ind w:left="13" w:firstLine="8"/>
              <w:rPr>
                <w:rFonts w:ascii="仿宋" w:hAnsi="仿宋" w:eastAsia="仿宋" w:cs="仿宋"/>
              </w:rPr>
            </w:pPr>
            <w:r>
              <w:rPr>
                <w:spacing w:val="-1"/>
              </w:rPr>
              <w:t>1.</w:t>
            </w:r>
            <w:r>
              <w:rPr>
                <w:rFonts w:ascii="仿宋" w:hAnsi="仿宋" w:eastAsia="仿宋" w:cs="仿宋"/>
                <w:spacing w:val="-1"/>
              </w:rPr>
              <w:t>原煤入选率不低于</w:t>
            </w:r>
            <w:r>
              <w:rPr>
                <w:rFonts w:ascii="仿宋" w:hAnsi="仿宋" w:eastAsia="仿宋" w:cs="仿宋"/>
                <w:spacing w:val="-30"/>
              </w:rPr>
              <w:t xml:space="preserve"> </w:t>
            </w:r>
            <w:r>
              <w:rPr>
                <w:spacing w:val="-1"/>
              </w:rPr>
              <w:t>75%</w:t>
            </w:r>
            <w:r>
              <w:rPr>
                <w:rFonts w:ascii="仿宋" w:hAnsi="仿宋" w:eastAsia="仿宋" w:cs="仿宋"/>
                <w:spacing w:val="-1"/>
              </w:rPr>
              <w:t>；煤矸石综合利用</w:t>
            </w:r>
            <w:r>
              <w:rPr>
                <w:rFonts w:ascii="仿宋" w:hAnsi="仿宋" w:eastAsia="仿宋" w:cs="仿宋"/>
              </w:rPr>
              <w:t>率应达到</w:t>
            </w:r>
            <w:r>
              <w:t>75%</w:t>
            </w:r>
            <w:r>
              <w:rPr>
                <w:rFonts w:ascii="仿宋" w:hAnsi="仿宋" w:eastAsia="仿宋" w:cs="仿宋"/>
              </w:rPr>
              <w:t>以上；矿井水、疏干水应采用</w:t>
            </w:r>
            <w:r>
              <w:rPr>
                <w:rFonts w:ascii="仿宋" w:hAnsi="仿宋" w:eastAsia="仿宋" w:cs="仿宋"/>
                <w:spacing w:val="-2"/>
              </w:rPr>
              <w:t>洁净化、资源化技术和工艺进行合理处置，</w:t>
            </w:r>
            <w:r>
              <w:rPr>
                <w:rFonts w:ascii="仿宋" w:hAnsi="仿宋" w:eastAsia="仿宋" w:cs="仿宋"/>
                <w:spacing w:val="-4"/>
              </w:rPr>
              <w:t>处置率达到</w:t>
            </w:r>
            <w:r>
              <w:rPr>
                <w:rFonts w:ascii="仿宋" w:hAnsi="仿宋" w:eastAsia="仿宋" w:cs="仿宋"/>
                <w:spacing w:val="-18"/>
              </w:rPr>
              <w:t xml:space="preserve"> </w:t>
            </w:r>
            <w:r>
              <w:rPr>
                <w:spacing w:val="-4"/>
              </w:rPr>
              <w:t>100%</w:t>
            </w:r>
            <w:r>
              <w:rPr>
                <w:rFonts w:ascii="仿宋" w:hAnsi="仿宋" w:eastAsia="仿宋" w:cs="仿宋"/>
                <w:spacing w:val="-4"/>
              </w:rPr>
              <w:t>。</w:t>
            </w:r>
          </w:p>
          <w:p w14:paraId="54EA76A5">
            <w:pPr>
              <w:pStyle w:val="6"/>
              <w:spacing w:before="1" w:line="239" w:lineRule="auto"/>
              <w:ind w:left="12" w:hanging="8"/>
              <w:rPr>
                <w:rFonts w:ascii="仿宋" w:hAnsi="仿宋" w:eastAsia="仿宋" w:cs="仿宋"/>
              </w:rPr>
            </w:pPr>
            <w:r>
              <w:rPr>
                <w:spacing w:val="1"/>
              </w:rPr>
              <w:t>2.</w:t>
            </w:r>
            <w:r>
              <w:rPr>
                <w:rFonts w:ascii="仿宋" w:hAnsi="仿宋" w:eastAsia="仿宋" w:cs="仿宋"/>
                <w:spacing w:val="1"/>
              </w:rPr>
              <w:t>煤矿采区回采率、原煤入选率、煤矸石与</w:t>
            </w:r>
            <w:r>
              <w:rPr>
                <w:rFonts w:ascii="仿宋" w:hAnsi="仿宋" w:eastAsia="仿宋" w:cs="仿宋"/>
                <w:spacing w:val="8"/>
              </w:rPr>
              <w:t>共伴生矿产资源综合利用率等三项指标符</w:t>
            </w:r>
            <w:r>
              <w:rPr>
                <w:rFonts w:ascii="仿宋" w:hAnsi="仿宋" w:eastAsia="仿宋" w:cs="仿宋"/>
                <w:spacing w:val="-2"/>
              </w:rPr>
              <w:t>合自然资源部发布的《煤炭资源合理开发利</w:t>
            </w:r>
            <w:r>
              <w:rPr>
                <w:rFonts w:ascii="仿宋" w:hAnsi="仿宋" w:eastAsia="仿宋" w:cs="仿宋"/>
                <w:spacing w:val="-3"/>
              </w:rPr>
              <w:t>用</w:t>
            </w:r>
            <w:r>
              <w:rPr>
                <w:spacing w:val="-3"/>
              </w:rPr>
              <w:t>“</w:t>
            </w:r>
            <w:r>
              <w:rPr>
                <w:spacing w:val="-16"/>
              </w:rPr>
              <w:t xml:space="preserve"> </w:t>
            </w:r>
            <w:r>
              <w:rPr>
                <w:rFonts w:ascii="仿宋" w:hAnsi="仿宋" w:eastAsia="仿宋" w:cs="仿宋"/>
                <w:spacing w:val="-3"/>
              </w:rPr>
              <w:t>三率</w:t>
            </w:r>
            <w:r>
              <w:rPr>
                <w:spacing w:val="-3"/>
              </w:rPr>
              <w:t>”</w:t>
            </w:r>
            <w:r>
              <w:rPr>
                <w:rFonts w:ascii="仿宋" w:hAnsi="仿宋" w:eastAsia="仿宋" w:cs="仿宋"/>
                <w:spacing w:val="-3"/>
              </w:rPr>
              <w:t>指标要求（试行）》。</w:t>
            </w:r>
          </w:p>
          <w:p w14:paraId="1F35075E">
            <w:pPr>
              <w:pStyle w:val="6"/>
              <w:spacing w:before="1" w:line="239" w:lineRule="auto"/>
              <w:ind w:left="10" w:hanging="3"/>
              <w:rPr>
                <w:rFonts w:ascii="仿宋" w:hAnsi="仿宋" w:eastAsia="仿宋" w:cs="仿宋"/>
              </w:rPr>
            </w:pPr>
            <w:r>
              <w:rPr>
                <w:spacing w:val="1"/>
              </w:rPr>
              <w:t>3.</w:t>
            </w:r>
            <w:r>
              <w:rPr>
                <w:rFonts w:ascii="仿宋" w:hAnsi="仿宋" w:eastAsia="仿宋" w:cs="仿宋"/>
                <w:spacing w:val="1"/>
              </w:rPr>
              <w:t>严格执行取用水总量控制制度，推进矿井</w:t>
            </w:r>
            <w:r>
              <w:rPr>
                <w:rFonts w:ascii="仿宋" w:hAnsi="仿宋" w:eastAsia="仿宋" w:cs="仿宋"/>
                <w:spacing w:val="-2"/>
              </w:rPr>
              <w:t>水综合利用，煤炭矿区的补充用水、周边地区生产和生态用水应优先使用矿井水，加强洗煤废水循环利用。</w:t>
            </w:r>
          </w:p>
          <w:p w14:paraId="511FC8DB">
            <w:pPr>
              <w:pStyle w:val="6"/>
              <w:spacing w:before="2" w:line="228" w:lineRule="auto"/>
              <w:ind w:left="11" w:hanging="8"/>
              <w:rPr>
                <w:rFonts w:ascii="仿宋" w:hAnsi="仿宋" w:eastAsia="仿宋" w:cs="仿宋"/>
              </w:rPr>
            </w:pPr>
            <w:r>
              <w:t>4.</w:t>
            </w:r>
            <w:r>
              <w:rPr>
                <w:spacing w:val="-16"/>
              </w:rPr>
              <w:t xml:space="preserve"> </w:t>
            </w:r>
            <w:r>
              <w:rPr>
                <w:rFonts w:ascii="仿宋" w:hAnsi="仿宋" w:eastAsia="仿宋" w:cs="仿宋"/>
              </w:rPr>
              <w:t>限制勘查开发过程中对环境破坏较大的砂</w:t>
            </w:r>
            <w:r>
              <w:rPr>
                <w:rFonts w:ascii="仿宋" w:hAnsi="仿宋" w:eastAsia="仿宋" w:cs="仿宋"/>
                <w:spacing w:val="-2"/>
              </w:rPr>
              <w:t>金等重砂矿物，原则上不再新设勘查项目，确需新立的必须通过环境影响评估，并征得</w:t>
            </w:r>
            <w:r>
              <w:rPr>
                <w:rFonts w:ascii="仿宋" w:hAnsi="仿宋" w:eastAsia="仿宋" w:cs="仿宋"/>
                <w:spacing w:val="-1"/>
              </w:rPr>
              <w:t>环保部门同意。禁止勘查超贫磁铁矿。</w:t>
            </w:r>
          </w:p>
        </w:tc>
        <w:tc>
          <w:tcPr>
            <w:tcW w:w="1797" w:type="dxa"/>
            <w:vAlign w:val="top"/>
          </w:tcPr>
          <w:p w14:paraId="4B97357A">
            <w:pPr>
              <w:spacing w:line="250" w:lineRule="auto"/>
              <w:rPr>
                <w:rFonts w:ascii="Arial"/>
                <w:sz w:val="21"/>
              </w:rPr>
            </w:pPr>
          </w:p>
          <w:p w14:paraId="0E564F62">
            <w:pPr>
              <w:spacing w:line="250" w:lineRule="auto"/>
              <w:rPr>
                <w:rFonts w:ascii="Arial"/>
                <w:sz w:val="21"/>
              </w:rPr>
            </w:pPr>
          </w:p>
          <w:p w14:paraId="38A376F6">
            <w:pPr>
              <w:spacing w:line="251" w:lineRule="auto"/>
              <w:rPr>
                <w:rFonts w:ascii="Arial"/>
                <w:sz w:val="21"/>
              </w:rPr>
            </w:pPr>
          </w:p>
          <w:p w14:paraId="441C2B90">
            <w:pPr>
              <w:spacing w:line="251" w:lineRule="auto"/>
              <w:rPr>
                <w:rFonts w:ascii="Arial"/>
                <w:sz w:val="21"/>
              </w:rPr>
            </w:pPr>
          </w:p>
          <w:p w14:paraId="32ADD826">
            <w:pPr>
              <w:spacing w:line="251" w:lineRule="auto"/>
              <w:rPr>
                <w:rFonts w:ascii="Arial"/>
                <w:sz w:val="21"/>
              </w:rPr>
            </w:pPr>
          </w:p>
          <w:p w14:paraId="1B90C86F">
            <w:pPr>
              <w:spacing w:before="58" w:line="239" w:lineRule="auto"/>
              <w:ind w:left="17" w:firstLine="1"/>
              <w:rPr>
                <w:rFonts w:ascii="仿宋" w:hAnsi="仿宋" w:eastAsia="仿宋" w:cs="仿宋"/>
                <w:sz w:val="18"/>
                <w:szCs w:val="18"/>
              </w:rPr>
            </w:pPr>
            <w:r>
              <w:rPr>
                <w:rFonts w:ascii="仿宋" w:hAnsi="仿宋" w:eastAsia="仿宋" w:cs="仿宋"/>
                <w:spacing w:val="5"/>
                <w:sz w:val="18"/>
                <w:szCs w:val="18"/>
              </w:rPr>
              <w:t>本项</w:t>
            </w:r>
            <w:r>
              <w:rPr>
                <w:rFonts w:ascii="仿宋" w:hAnsi="仿宋" w:eastAsia="仿宋" w:cs="仿宋"/>
                <w:spacing w:val="-24"/>
                <w:sz w:val="18"/>
                <w:szCs w:val="18"/>
              </w:rPr>
              <w:t xml:space="preserve"> </w:t>
            </w:r>
            <w:r>
              <w:rPr>
                <w:rFonts w:ascii="仿宋" w:hAnsi="仿宋" w:eastAsia="仿宋" w:cs="仿宋"/>
                <w:spacing w:val="5"/>
                <w:sz w:val="18"/>
                <w:szCs w:val="18"/>
              </w:rPr>
              <w:t>目</w:t>
            </w:r>
            <w:r>
              <w:rPr>
                <w:rFonts w:ascii="仿宋" w:hAnsi="仿宋" w:eastAsia="仿宋" w:cs="仿宋"/>
                <w:spacing w:val="-50"/>
                <w:sz w:val="18"/>
                <w:szCs w:val="18"/>
              </w:rPr>
              <w:t xml:space="preserve"> </w:t>
            </w:r>
            <w:r>
              <w:rPr>
                <w:rFonts w:ascii="仿宋" w:hAnsi="仿宋" w:eastAsia="仿宋" w:cs="仿宋"/>
                <w:spacing w:val="5"/>
                <w:sz w:val="18"/>
                <w:szCs w:val="18"/>
              </w:rPr>
              <w:t>为农村四级公</w:t>
            </w:r>
            <w:r>
              <w:rPr>
                <w:rFonts w:ascii="仿宋" w:hAnsi="仿宋" w:eastAsia="仿宋" w:cs="仿宋"/>
                <w:spacing w:val="-3"/>
                <w:sz w:val="18"/>
                <w:szCs w:val="18"/>
              </w:rPr>
              <w:t>路，不涉及煤炭开采、洗选、矸石利用、矿井</w:t>
            </w:r>
            <w:r>
              <w:rPr>
                <w:rFonts w:ascii="仿宋" w:hAnsi="仿宋" w:eastAsia="仿宋" w:cs="仿宋"/>
                <w:spacing w:val="17"/>
                <w:sz w:val="18"/>
                <w:szCs w:val="18"/>
              </w:rPr>
              <w:t>水利用及矿产勘查活</w:t>
            </w:r>
            <w:r>
              <w:rPr>
                <w:rFonts w:ascii="仿宋" w:hAnsi="仿宋" w:eastAsia="仿宋" w:cs="仿宋"/>
                <w:spacing w:val="-6"/>
                <w:sz w:val="18"/>
                <w:szCs w:val="18"/>
              </w:rPr>
              <w:t>动。</w:t>
            </w:r>
          </w:p>
        </w:tc>
        <w:tc>
          <w:tcPr>
            <w:tcW w:w="536" w:type="dxa"/>
            <w:tcBorders>
              <w:right w:val="single" w:color="000000" w:sz="6" w:space="0"/>
            </w:tcBorders>
            <w:vAlign w:val="top"/>
          </w:tcPr>
          <w:p w14:paraId="43268A1E">
            <w:pPr>
              <w:spacing w:line="244" w:lineRule="auto"/>
              <w:rPr>
                <w:rFonts w:ascii="Arial"/>
                <w:sz w:val="21"/>
              </w:rPr>
            </w:pPr>
          </w:p>
          <w:p w14:paraId="436D8707">
            <w:pPr>
              <w:spacing w:line="244" w:lineRule="auto"/>
              <w:rPr>
                <w:rFonts w:ascii="Arial"/>
                <w:sz w:val="21"/>
              </w:rPr>
            </w:pPr>
          </w:p>
          <w:p w14:paraId="5D01FCB0">
            <w:pPr>
              <w:spacing w:line="245" w:lineRule="auto"/>
              <w:rPr>
                <w:rFonts w:ascii="Arial"/>
                <w:sz w:val="21"/>
              </w:rPr>
            </w:pPr>
          </w:p>
          <w:p w14:paraId="0CDF83C2">
            <w:pPr>
              <w:spacing w:line="245" w:lineRule="auto"/>
              <w:rPr>
                <w:rFonts w:ascii="Arial"/>
                <w:sz w:val="21"/>
              </w:rPr>
            </w:pPr>
          </w:p>
          <w:p w14:paraId="796D8854">
            <w:pPr>
              <w:spacing w:line="245" w:lineRule="auto"/>
              <w:rPr>
                <w:rFonts w:ascii="Arial"/>
                <w:sz w:val="21"/>
              </w:rPr>
            </w:pPr>
          </w:p>
          <w:p w14:paraId="32E925BB">
            <w:pPr>
              <w:spacing w:line="245" w:lineRule="auto"/>
              <w:rPr>
                <w:rFonts w:ascii="Arial"/>
                <w:sz w:val="21"/>
              </w:rPr>
            </w:pPr>
          </w:p>
          <w:p w14:paraId="716DB41D">
            <w:pPr>
              <w:spacing w:line="245" w:lineRule="auto"/>
              <w:rPr>
                <w:rFonts w:ascii="Arial"/>
                <w:sz w:val="21"/>
              </w:rPr>
            </w:pPr>
          </w:p>
          <w:p w14:paraId="4FA5E7D5">
            <w:pPr>
              <w:spacing w:before="59" w:line="221" w:lineRule="auto"/>
              <w:ind w:left="66"/>
              <w:rPr>
                <w:rFonts w:ascii="仿宋" w:hAnsi="仿宋" w:eastAsia="仿宋" w:cs="仿宋"/>
                <w:sz w:val="18"/>
                <w:szCs w:val="18"/>
              </w:rPr>
            </w:pPr>
            <w:r>
              <w:rPr>
                <w:rFonts w:ascii="仿宋" w:hAnsi="仿宋" w:eastAsia="仿宋" w:cs="仿宋"/>
                <w:spacing w:val="-9"/>
                <w:sz w:val="18"/>
                <w:szCs w:val="18"/>
              </w:rPr>
              <w:t>符合</w:t>
            </w:r>
          </w:p>
        </w:tc>
      </w:tr>
      <w:tr w14:paraId="584897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7" w:hRule="atLeast"/>
        </w:trPr>
        <w:tc>
          <w:tcPr>
            <w:tcW w:w="1070" w:type="dxa"/>
            <w:vMerge w:val="continue"/>
            <w:tcBorders>
              <w:top w:val="nil"/>
              <w:left w:val="single" w:color="000000" w:sz="6" w:space="0"/>
              <w:bottom w:val="nil"/>
            </w:tcBorders>
            <w:vAlign w:val="top"/>
          </w:tcPr>
          <w:p w14:paraId="0EFE7B6B">
            <w:pPr>
              <w:rPr>
                <w:rFonts w:ascii="Arial"/>
                <w:sz w:val="21"/>
              </w:rPr>
            </w:pPr>
          </w:p>
        </w:tc>
        <w:tc>
          <w:tcPr>
            <w:tcW w:w="569" w:type="dxa"/>
            <w:vMerge w:val="restart"/>
            <w:tcBorders>
              <w:bottom w:val="nil"/>
            </w:tcBorders>
            <w:vAlign w:val="top"/>
          </w:tcPr>
          <w:p w14:paraId="5593C8E0">
            <w:pPr>
              <w:spacing w:line="264" w:lineRule="auto"/>
              <w:rPr>
                <w:rFonts w:ascii="Arial"/>
                <w:sz w:val="21"/>
              </w:rPr>
            </w:pPr>
          </w:p>
          <w:p w14:paraId="5F0856DA">
            <w:pPr>
              <w:spacing w:line="264" w:lineRule="auto"/>
              <w:rPr>
                <w:rFonts w:ascii="Arial"/>
                <w:sz w:val="21"/>
              </w:rPr>
            </w:pPr>
          </w:p>
          <w:p w14:paraId="2986D7A8">
            <w:pPr>
              <w:spacing w:line="264" w:lineRule="auto"/>
              <w:rPr>
                <w:rFonts w:ascii="Arial"/>
                <w:sz w:val="21"/>
              </w:rPr>
            </w:pPr>
          </w:p>
          <w:p w14:paraId="1F48B640">
            <w:pPr>
              <w:spacing w:line="265" w:lineRule="auto"/>
              <w:rPr>
                <w:rFonts w:ascii="Arial"/>
                <w:sz w:val="21"/>
              </w:rPr>
            </w:pPr>
          </w:p>
          <w:p w14:paraId="2A065675">
            <w:pPr>
              <w:spacing w:line="265" w:lineRule="auto"/>
              <w:rPr>
                <w:rFonts w:ascii="Arial"/>
                <w:sz w:val="21"/>
              </w:rPr>
            </w:pPr>
          </w:p>
          <w:p w14:paraId="548B7D79">
            <w:pPr>
              <w:pStyle w:val="6"/>
              <w:spacing w:before="52" w:line="188" w:lineRule="auto"/>
              <w:ind w:left="105"/>
            </w:pPr>
            <w:r>
              <w:rPr>
                <w:spacing w:val="-1"/>
              </w:rPr>
              <w:t>ZH15</w:t>
            </w:r>
          </w:p>
          <w:p w14:paraId="4B906598">
            <w:pPr>
              <w:pStyle w:val="6"/>
              <w:spacing w:before="44" w:line="188" w:lineRule="auto"/>
              <w:ind w:left="95"/>
            </w:pPr>
            <w:r>
              <w:rPr>
                <w:spacing w:val="-2"/>
              </w:rPr>
              <w:t>06223</w:t>
            </w:r>
          </w:p>
          <w:p w14:paraId="0D651D7F">
            <w:pPr>
              <w:pStyle w:val="6"/>
              <w:spacing w:before="44" w:line="188" w:lineRule="auto"/>
              <w:ind w:left="141"/>
            </w:pPr>
            <w:r>
              <w:rPr>
                <w:spacing w:val="-2"/>
              </w:rPr>
              <w:t>0001</w:t>
            </w:r>
          </w:p>
        </w:tc>
        <w:tc>
          <w:tcPr>
            <w:tcW w:w="599" w:type="dxa"/>
            <w:vMerge w:val="restart"/>
            <w:tcBorders>
              <w:bottom w:val="nil"/>
            </w:tcBorders>
            <w:vAlign w:val="top"/>
          </w:tcPr>
          <w:p w14:paraId="49700EEA">
            <w:pPr>
              <w:spacing w:line="286" w:lineRule="auto"/>
              <w:rPr>
                <w:rFonts w:ascii="Arial"/>
                <w:sz w:val="21"/>
              </w:rPr>
            </w:pPr>
          </w:p>
          <w:p w14:paraId="762037E3">
            <w:pPr>
              <w:spacing w:line="286" w:lineRule="auto"/>
              <w:rPr>
                <w:rFonts w:ascii="Arial"/>
                <w:sz w:val="21"/>
              </w:rPr>
            </w:pPr>
          </w:p>
          <w:p w14:paraId="1FB1B629">
            <w:pPr>
              <w:spacing w:line="286" w:lineRule="auto"/>
              <w:rPr>
                <w:rFonts w:ascii="Arial"/>
                <w:sz w:val="21"/>
              </w:rPr>
            </w:pPr>
          </w:p>
          <w:p w14:paraId="4E0D8926">
            <w:pPr>
              <w:spacing w:line="286" w:lineRule="auto"/>
              <w:rPr>
                <w:rFonts w:ascii="Arial"/>
                <w:sz w:val="21"/>
              </w:rPr>
            </w:pPr>
          </w:p>
          <w:p w14:paraId="21A627A9">
            <w:pPr>
              <w:spacing w:before="59" w:line="222" w:lineRule="auto"/>
              <w:ind w:left="35"/>
              <w:rPr>
                <w:rFonts w:ascii="仿宋" w:hAnsi="仿宋" w:eastAsia="仿宋" w:cs="仿宋"/>
                <w:sz w:val="18"/>
                <w:szCs w:val="18"/>
              </w:rPr>
            </w:pPr>
            <w:r>
              <w:rPr>
                <w:rFonts w:ascii="仿宋" w:hAnsi="仿宋" w:eastAsia="仿宋" w:cs="仿宋"/>
                <w:spacing w:val="-5"/>
                <w:sz w:val="18"/>
                <w:szCs w:val="18"/>
              </w:rPr>
              <w:t>准格尔</w:t>
            </w:r>
          </w:p>
          <w:p w14:paraId="1815F797">
            <w:pPr>
              <w:spacing w:before="15" w:line="224" w:lineRule="auto"/>
              <w:ind w:left="30"/>
              <w:rPr>
                <w:rFonts w:ascii="仿宋" w:hAnsi="仿宋" w:eastAsia="仿宋" w:cs="仿宋"/>
                <w:sz w:val="18"/>
                <w:szCs w:val="18"/>
              </w:rPr>
            </w:pPr>
            <w:r>
              <w:rPr>
                <w:rFonts w:ascii="仿宋" w:hAnsi="仿宋" w:eastAsia="仿宋" w:cs="仿宋"/>
                <w:spacing w:val="-4"/>
                <w:sz w:val="18"/>
                <w:szCs w:val="18"/>
              </w:rPr>
              <w:t>旗一般</w:t>
            </w:r>
          </w:p>
          <w:p w14:paraId="321C4F99">
            <w:pPr>
              <w:spacing w:before="14" w:line="221" w:lineRule="auto"/>
              <w:ind w:left="43"/>
              <w:rPr>
                <w:rFonts w:ascii="仿宋" w:hAnsi="仿宋" w:eastAsia="仿宋" w:cs="仿宋"/>
                <w:sz w:val="18"/>
                <w:szCs w:val="18"/>
              </w:rPr>
            </w:pPr>
            <w:r>
              <w:rPr>
                <w:rFonts w:ascii="仿宋" w:hAnsi="仿宋" w:eastAsia="仿宋" w:cs="仿宋"/>
                <w:spacing w:val="-8"/>
                <w:sz w:val="18"/>
                <w:szCs w:val="18"/>
              </w:rPr>
              <w:t>管控单</w:t>
            </w:r>
          </w:p>
          <w:p w14:paraId="4E89E006">
            <w:pPr>
              <w:spacing w:before="17" w:line="227" w:lineRule="auto"/>
              <w:ind w:left="216"/>
              <w:rPr>
                <w:rFonts w:ascii="仿宋" w:hAnsi="仿宋" w:eastAsia="仿宋" w:cs="仿宋"/>
                <w:sz w:val="18"/>
                <w:szCs w:val="18"/>
              </w:rPr>
            </w:pPr>
            <w:r>
              <w:rPr>
                <w:rFonts w:ascii="仿宋" w:hAnsi="仿宋" w:eastAsia="仿宋" w:cs="仿宋"/>
                <w:sz w:val="18"/>
                <w:szCs w:val="18"/>
              </w:rPr>
              <w:t>元</w:t>
            </w:r>
          </w:p>
        </w:tc>
        <w:tc>
          <w:tcPr>
            <w:tcW w:w="494" w:type="dxa"/>
            <w:vMerge w:val="restart"/>
            <w:tcBorders>
              <w:bottom w:val="nil"/>
            </w:tcBorders>
            <w:vAlign w:val="top"/>
          </w:tcPr>
          <w:p w14:paraId="1A5C58EC">
            <w:pPr>
              <w:spacing w:line="251" w:lineRule="auto"/>
              <w:rPr>
                <w:rFonts w:ascii="Arial"/>
                <w:sz w:val="21"/>
              </w:rPr>
            </w:pPr>
          </w:p>
          <w:p w14:paraId="48B3E589">
            <w:pPr>
              <w:spacing w:line="251" w:lineRule="auto"/>
              <w:rPr>
                <w:rFonts w:ascii="Arial"/>
                <w:sz w:val="21"/>
              </w:rPr>
            </w:pPr>
          </w:p>
          <w:p w14:paraId="6D0C5B9E">
            <w:pPr>
              <w:spacing w:line="252" w:lineRule="auto"/>
              <w:rPr>
                <w:rFonts w:ascii="Arial"/>
                <w:sz w:val="21"/>
              </w:rPr>
            </w:pPr>
          </w:p>
          <w:p w14:paraId="2F18ABAF">
            <w:pPr>
              <w:spacing w:line="252" w:lineRule="auto"/>
              <w:rPr>
                <w:rFonts w:ascii="Arial"/>
                <w:sz w:val="21"/>
              </w:rPr>
            </w:pPr>
          </w:p>
          <w:p w14:paraId="6E137771">
            <w:pPr>
              <w:spacing w:line="252" w:lineRule="auto"/>
              <w:rPr>
                <w:rFonts w:ascii="Arial"/>
                <w:sz w:val="21"/>
              </w:rPr>
            </w:pPr>
          </w:p>
          <w:p w14:paraId="0FD16DA7">
            <w:pPr>
              <w:spacing w:before="59" w:line="239" w:lineRule="auto"/>
              <w:ind w:left="75" w:right="68"/>
              <w:jc w:val="both"/>
              <w:rPr>
                <w:rFonts w:ascii="仿宋" w:hAnsi="仿宋" w:eastAsia="仿宋" w:cs="仿宋"/>
                <w:sz w:val="18"/>
                <w:szCs w:val="18"/>
              </w:rPr>
            </w:pPr>
            <w:r>
              <w:rPr>
                <w:rFonts w:ascii="仿宋" w:hAnsi="仿宋" w:eastAsia="仿宋" w:cs="仿宋"/>
                <w:spacing w:val="-8"/>
                <w:sz w:val="18"/>
                <w:szCs w:val="18"/>
              </w:rPr>
              <w:t>一般管控单元</w:t>
            </w:r>
          </w:p>
        </w:tc>
        <w:tc>
          <w:tcPr>
            <w:tcW w:w="584" w:type="dxa"/>
            <w:vAlign w:val="top"/>
          </w:tcPr>
          <w:p w14:paraId="2D2EB416">
            <w:pPr>
              <w:spacing w:line="278" w:lineRule="auto"/>
              <w:rPr>
                <w:rFonts w:ascii="Arial"/>
                <w:sz w:val="21"/>
              </w:rPr>
            </w:pPr>
          </w:p>
          <w:p w14:paraId="20F0EE40">
            <w:pPr>
              <w:spacing w:line="279" w:lineRule="auto"/>
              <w:rPr>
                <w:rFonts w:ascii="Arial"/>
                <w:sz w:val="21"/>
              </w:rPr>
            </w:pPr>
          </w:p>
          <w:p w14:paraId="183F446C">
            <w:pPr>
              <w:spacing w:before="58" w:line="239" w:lineRule="auto"/>
              <w:ind w:left="30" w:right="23" w:firstLine="7"/>
              <w:rPr>
                <w:rFonts w:ascii="仿宋" w:hAnsi="仿宋" w:eastAsia="仿宋" w:cs="仿宋"/>
                <w:sz w:val="18"/>
                <w:szCs w:val="18"/>
              </w:rPr>
            </w:pPr>
            <w:r>
              <w:rPr>
                <w:rFonts w:ascii="仿宋" w:hAnsi="仿宋" w:eastAsia="仿宋" w:cs="仿宋"/>
                <w:spacing w:val="-8"/>
                <w:sz w:val="18"/>
                <w:szCs w:val="18"/>
              </w:rPr>
              <w:t>空间布</w:t>
            </w:r>
            <w:r>
              <w:rPr>
                <w:rFonts w:ascii="仿宋" w:hAnsi="仿宋" w:eastAsia="仿宋" w:cs="仿宋"/>
                <w:spacing w:val="-5"/>
                <w:sz w:val="18"/>
                <w:szCs w:val="18"/>
              </w:rPr>
              <w:t>局约束</w:t>
            </w:r>
          </w:p>
        </w:tc>
        <w:tc>
          <w:tcPr>
            <w:tcW w:w="3414" w:type="dxa"/>
            <w:vAlign w:val="top"/>
          </w:tcPr>
          <w:p w14:paraId="21C93B46">
            <w:pPr>
              <w:spacing w:before="36" w:line="233" w:lineRule="auto"/>
              <w:ind w:left="12" w:firstLine="2"/>
              <w:jc w:val="both"/>
              <w:rPr>
                <w:rFonts w:ascii="仿宋" w:hAnsi="仿宋" w:eastAsia="仿宋" w:cs="仿宋"/>
                <w:sz w:val="18"/>
                <w:szCs w:val="18"/>
              </w:rPr>
            </w:pPr>
            <w:r>
              <w:rPr>
                <w:rFonts w:ascii="仿宋" w:hAnsi="仿宋" w:eastAsia="仿宋" w:cs="仿宋"/>
                <w:spacing w:val="-2"/>
                <w:sz w:val="18"/>
                <w:szCs w:val="18"/>
              </w:rPr>
              <w:t>永久基本农田一经划定，任何单位和个人不得擅自占用或改变用途。禁止任何单位和个人破坏永久基本农田耕作层。对永久基本农田实行严格保护，确保其面积不减少、土壤环境质量不下降，除法律规定的重点建设项目选址确实无法避让外，其他任何建设不得</w:t>
            </w:r>
            <w:r>
              <w:rPr>
                <w:rFonts w:ascii="仿宋" w:hAnsi="仿宋" w:eastAsia="仿宋" w:cs="仿宋"/>
                <w:spacing w:val="-5"/>
                <w:sz w:val="18"/>
                <w:szCs w:val="18"/>
              </w:rPr>
              <w:t>占用。</w:t>
            </w:r>
          </w:p>
        </w:tc>
        <w:tc>
          <w:tcPr>
            <w:tcW w:w="1797" w:type="dxa"/>
            <w:vAlign w:val="top"/>
          </w:tcPr>
          <w:p w14:paraId="18458603">
            <w:pPr>
              <w:spacing w:before="270"/>
              <w:ind w:left="18"/>
              <w:jc w:val="both"/>
              <w:rPr>
                <w:rFonts w:ascii="仿宋" w:hAnsi="仿宋" w:eastAsia="仿宋" w:cs="仿宋"/>
                <w:sz w:val="18"/>
                <w:szCs w:val="18"/>
              </w:rPr>
            </w:pPr>
            <w:r>
              <w:rPr>
                <w:rFonts w:ascii="仿宋" w:hAnsi="仿宋" w:eastAsia="仿宋" w:cs="仿宋"/>
                <w:spacing w:val="9"/>
                <w:sz w:val="18"/>
                <w:szCs w:val="18"/>
              </w:rPr>
              <w:t>本项</w:t>
            </w:r>
            <w:r>
              <w:rPr>
                <w:rFonts w:ascii="仿宋" w:hAnsi="仿宋" w:eastAsia="仿宋" w:cs="仿宋"/>
                <w:spacing w:val="-20"/>
                <w:sz w:val="18"/>
                <w:szCs w:val="18"/>
              </w:rPr>
              <w:t xml:space="preserve"> </w:t>
            </w:r>
            <w:r>
              <w:rPr>
                <w:rFonts w:ascii="仿宋" w:hAnsi="仿宋" w:eastAsia="仿宋" w:cs="仿宋"/>
                <w:spacing w:val="9"/>
                <w:sz w:val="18"/>
                <w:szCs w:val="18"/>
              </w:rPr>
              <w:t>目路线优化避让</w:t>
            </w:r>
            <w:r>
              <w:rPr>
                <w:rFonts w:ascii="仿宋" w:hAnsi="仿宋" w:eastAsia="仿宋" w:cs="仿宋"/>
                <w:spacing w:val="-3"/>
                <w:sz w:val="18"/>
                <w:szCs w:val="18"/>
              </w:rPr>
              <w:t>永久基本农田；施工期不破坏耕作层，不减少基本农田面积、不降低</w:t>
            </w:r>
            <w:r>
              <w:rPr>
                <w:rFonts w:ascii="仿宋" w:hAnsi="仿宋" w:eastAsia="仿宋" w:cs="仿宋"/>
                <w:spacing w:val="-5"/>
                <w:sz w:val="18"/>
                <w:szCs w:val="18"/>
              </w:rPr>
              <w:t>质量。</w:t>
            </w:r>
          </w:p>
        </w:tc>
        <w:tc>
          <w:tcPr>
            <w:tcW w:w="536" w:type="dxa"/>
            <w:tcBorders>
              <w:right w:val="single" w:color="000000" w:sz="6" w:space="0"/>
            </w:tcBorders>
            <w:vAlign w:val="top"/>
          </w:tcPr>
          <w:p w14:paraId="72F939BA">
            <w:pPr>
              <w:spacing w:line="337" w:lineRule="auto"/>
              <w:rPr>
                <w:rFonts w:ascii="Arial"/>
                <w:sz w:val="21"/>
              </w:rPr>
            </w:pPr>
          </w:p>
          <w:p w14:paraId="048358B5">
            <w:pPr>
              <w:spacing w:line="337" w:lineRule="auto"/>
              <w:rPr>
                <w:rFonts w:ascii="Arial"/>
                <w:sz w:val="21"/>
              </w:rPr>
            </w:pPr>
          </w:p>
          <w:p w14:paraId="13045D5B">
            <w:pPr>
              <w:spacing w:before="58" w:line="221" w:lineRule="auto"/>
              <w:ind w:left="66"/>
              <w:rPr>
                <w:rFonts w:ascii="仿宋" w:hAnsi="仿宋" w:eastAsia="仿宋" w:cs="仿宋"/>
                <w:sz w:val="18"/>
                <w:szCs w:val="18"/>
              </w:rPr>
            </w:pPr>
            <w:r>
              <w:rPr>
                <w:rFonts w:ascii="仿宋" w:hAnsi="仿宋" w:eastAsia="仿宋" w:cs="仿宋"/>
                <w:spacing w:val="-9"/>
                <w:sz w:val="18"/>
                <w:szCs w:val="18"/>
              </w:rPr>
              <w:t>符合</w:t>
            </w:r>
          </w:p>
        </w:tc>
      </w:tr>
      <w:tr w14:paraId="6D594B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47" w:hRule="atLeast"/>
        </w:trPr>
        <w:tc>
          <w:tcPr>
            <w:tcW w:w="1070" w:type="dxa"/>
            <w:vMerge w:val="continue"/>
            <w:tcBorders>
              <w:top w:val="nil"/>
              <w:left w:val="single" w:color="000000" w:sz="6" w:space="0"/>
              <w:bottom w:val="nil"/>
            </w:tcBorders>
            <w:vAlign w:val="top"/>
          </w:tcPr>
          <w:p w14:paraId="49503EC8">
            <w:pPr>
              <w:rPr>
                <w:rFonts w:ascii="Arial"/>
                <w:sz w:val="21"/>
              </w:rPr>
            </w:pPr>
          </w:p>
        </w:tc>
        <w:tc>
          <w:tcPr>
            <w:tcW w:w="569" w:type="dxa"/>
            <w:vMerge w:val="continue"/>
            <w:tcBorders>
              <w:top w:val="nil"/>
              <w:bottom w:val="single" w:color="000000" w:sz="10" w:space="0"/>
            </w:tcBorders>
            <w:vAlign w:val="top"/>
          </w:tcPr>
          <w:p w14:paraId="25BE46A2">
            <w:pPr>
              <w:rPr>
                <w:rFonts w:ascii="Arial"/>
                <w:sz w:val="21"/>
              </w:rPr>
            </w:pPr>
          </w:p>
        </w:tc>
        <w:tc>
          <w:tcPr>
            <w:tcW w:w="599" w:type="dxa"/>
            <w:vMerge w:val="continue"/>
            <w:tcBorders>
              <w:top w:val="nil"/>
              <w:bottom w:val="single" w:color="000000" w:sz="10" w:space="0"/>
            </w:tcBorders>
            <w:vAlign w:val="top"/>
          </w:tcPr>
          <w:p w14:paraId="7ABEB99E">
            <w:pPr>
              <w:rPr>
                <w:rFonts w:ascii="Arial"/>
                <w:sz w:val="21"/>
              </w:rPr>
            </w:pPr>
          </w:p>
        </w:tc>
        <w:tc>
          <w:tcPr>
            <w:tcW w:w="494" w:type="dxa"/>
            <w:vMerge w:val="continue"/>
            <w:tcBorders>
              <w:top w:val="nil"/>
              <w:bottom w:val="single" w:color="000000" w:sz="10" w:space="0"/>
            </w:tcBorders>
            <w:vAlign w:val="top"/>
          </w:tcPr>
          <w:p w14:paraId="7FBD709D">
            <w:pPr>
              <w:rPr>
                <w:rFonts w:ascii="Arial"/>
                <w:sz w:val="21"/>
              </w:rPr>
            </w:pPr>
          </w:p>
        </w:tc>
        <w:tc>
          <w:tcPr>
            <w:tcW w:w="584" w:type="dxa"/>
            <w:tcBorders>
              <w:bottom w:val="single" w:color="000000" w:sz="10" w:space="0"/>
            </w:tcBorders>
            <w:vAlign w:val="top"/>
          </w:tcPr>
          <w:p w14:paraId="086F02D7">
            <w:pPr>
              <w:spacing w:line="279" w:lineRule="auto"/>
              <w:rPr>
                <w:rFonts w:ascii="Arial"/>
                <w:sz w:val="21"/>
              </w:rPr>
            </w:pPr>
          </w:p>
          <w:p w14:paraId="73444417">
            <w:pPr>
              <w:spacing w:line="280" w:lineRule="auto"/>
              <w:rPr>
                <w:rFonts w:ascii="Arial"/>
                <w:sz w:val="21"/>
              </w:rPr>
            </w:pPr>
          </w:p>
          <w:p w14:paraId="407EEF47">
            <w:pPr>
              <w:spacing w:before="59"/>
              <w:ind w:left="32" w:right="23" w:firstLine="4"/>
              <w:rPr>
                <w:rFonts w:ascii="仿宋" w:hAnsi="仿宋" w:eastAsia="仿宋" w:cs="仿宋"/>
                <w:sz w:val="18"/>
                <w:szCs w:val="18"/>
              </w:rPr>
            </w:pPr>
            <w:r>
              <w:rPr>
                <w:rFonts w:ascii="仿宋" w:hAnsi="仿宋" w:eastAsia="仿宋" w:cs="仿宋"/>
                <w:spacing w:val="-8"/>
                <w:sz w:val="18"/>
                <w:szCs w:val="18"/>
              </w:rPr>
              <w:t>资源开</w:t>
            </w:r>
            <w:r>
              <w:rPr>
                <w:rFonts w:ascii="仿宋" w:hAnsi="仿宋" w:eastAsia="仿宋" w:cs="仿宋"/>
                <w:spacing w:val="-6"/>
                <w:sz w:val="18"/>
                <w:szCs w:val="18"/>
              </w:rPr>
              <w:t>发效率</w:t>
            </w:r>
          </w:p>
        </w:tc>
        <w:tc>
          <w:tcPr>
            <w:tcW w:w="3414" w:type="dxa"/>
            <w:tcBorders>
              <w:bottom w:val="single" w:color="000000" w:sz="10" w:space="0"/>
            </w:tcBorders>
            <w:vAlign w:val="top"/>
          </w:tcPr>
          <w:p w14:paraId="38B3FA4B">
            <w:pPr>
              <w:spacing w:line="326" w:lineRule="auto"/>
              <w:rPr>
                <w:rFonts w:ascii="Arial"/>
                <w:sz w:val="21"/>
              </w:rPr>
            </w:pPr>
          </w:p>
          <w:p w14:paraId="30CF0D6A">
            <w:pPr>
              <w:spacing w:before="58"/>
              <w:ind w:left="11" w:firstLine="1"/>
              <w:jc w:val="both"/>
              <w:rPr>
                <w:rFonts w:ascii="仿宋" w:hAnsi="仿宋" w:eastAsia="仿宋" w:cs="仿宋"/>
                <w:sz w:val="18"/>
                <w:szCs w:val="18"/>
              </w:rPr>
            </w:pPr>
            <w:r>
              <w:rPr>
                <w:rFonts w:ascii="仿宋" w:hAnsi="仿宋" w:eastAsia="仿宋" w:cs="仿宋"/>
                <w:spacing w:val="-2"/>
                <w:sz w:val="18"/>
                <w:szCs w:val="18"/>
              </w:rPr>
              <w:t>提高农业用水水平，井灌区配套低压管道输水等措施，大力推广以浅埋滴灌为主、喷灌为辅的节水设备和技术，引进培育优良作物品种、合理调整作物种植结构等农业措施。</w:t>
            </w:r>
          </w:p>
        </w:tc>
        <w:tc>
          <w:tcPr>
            <w:tcW w:w="1797" w:type="dxa"/>
            <w:tcBorders>
              <w:bottom w:val="single" w:color="000000" w:sz="10" w:space="0"/>
            </w:tcBorders>
            <w:vAlign w:val="top"/>
          </w:tcPr>
          <w:p w14:paraId="7B704E7A">
            <w:pPr>
              <w:spacing w:before="39" w:line="234" w:lineRule="auto"/>
              <w:ind w:left="17" w:firstLine="1"/>
              <w:jc w:val="both"/>
              <w:rPr>
                <w:rFonts w:ascii="仿宋" w:hAnsi="仿宋" w:eastAsia="仿宋" w:cs="仿宋"/>
                <w:sz w:val="18"/>
                <w:szCs w:val="18"/>
              </w:rPr>
            </w:pPr>
            <w:r>
              <w:rPr>
                <w:rFonts w:ascii="仿宋" w:hAnsi="仿宋" w:eastAsia="仿宋" w:cs="仿宋"/>
                <w:spacing w:val="5"/>
                <w:sz w:val="18"/>
                <w:szCs w:val="18"/>
              </w:rPr>
              <w:t>项</w:t>
            </w:r>
            <w:r>
              <w:rPr>
                <w:rFonts w:ascii="仿宋" w:hAnsi="仿宋" w:eastAsia="仿宋" w:cs="仿宋"/>
                <w:spacing w:val="-21"/>
                <w:sz w:val="18"/>
                <w:szCs w:val="18"/>
              </w:rPr>
              <w:t xml:space="preserve"> </w:t>
            </w:r>
            <w:r>
              <w:rPr>
                <w:rFonts w:ascii="仿宋" w:hAnsi="仿宋" w:eastAsia="仿宋" w:cs="仿宋"/>
                <w:spacing w:val="5"/>
                <w:sz w:val="18"/>
                <w:szCs w:val="18"/>
              </w:rPr>
              <w:t>目</w:t>
            </w:r>
            <w:r>
              <w:rPr>
                <w:rFonts w:ascii="仿宋" w:hAnsi="仿宋" w:eastAsia="仿宋" w:cs="仿宋"/>
                <w:spacing w:val="-53"/>
                <w:sz w:val="18"/>
                <w:szCs w:val="18"/>
              </w:rPr>
              <w:t xml:space="preserve"> </w:t>
            </w:r>
            <w:r>
              <w:rPr>
                <w:rFonts w:ascii="仿宋" w:hAnsi="仿宋" w:eastAsia="仿宋" w:cs="仿宋"/>
                <w:spacing w:val="5"/>
                <w:sz w:val="18"/>
                <w:szCs w:val="18"/>
              </w:rPr>
              <w:t>不改变农业灌溉</w:t>
            </w:r>
            <w:r>
              <w:rPr>
                <w:rFonts w:ascii="仿宋" w:hAnsi="仿宋" w:eastAsia="仿宋" w:cs="仿宋"/>
                <w:spacing w:val="-3"/>
                <w:sz w:val="18"/>
                <w:szCs w:val="18"/>
              </w:rPr>
              <w:t>设施与用水方式，施工</w:t>
            </w:r>
            <w:r>
              <w:rPr>
                <w:rFonts w:ascii="仿宋" w:hAnsi="仿宋" w:eastAsia="仿宋" w:cs="仿宋"/>
                <w:spacing w:val="10"/>
                <w:sz w:val="18"/>
                <w:szCs w:val="18"/>
              </w:rPr>
              <w:t>期不破坏农</w:t>
            </w:r>
            <w:r>
              <w:rPr>
                <w:rFonts w:ascii="仿宋" w:hAnsi="仿宋" w:eastAsia="仿宋" w:cs="仿宋"/>
                <w:spacing w:val="-27"/>
                <w:sz w:val="18"/>
                <w:szCs w:val="18"/>
              </w:rPr>
              <w:t xml:space="preserve"> </w:t>
            </w:r>
            <w:r>
              <w:rPr>
                <w:rFonts w:ascii="仿宋" w:hAnsi="仿宋" w:eastAsia="仿宋" w:cs="仿宋"/>
                <w:spacing w:val="10"/>
                <w:sz w:val="18"/>
                <w:szCs w:val="18"/>
              </w:rPr>
              <w:t>田节水灌</w:t>
            </w:r>
            <w:r>
              <w:rPr>
                <w:rFonts w:ascii="仿宋" w:hAnsi="仿宋" w:eastAsia="仿宋" w:cs="仿宋"/>
                <w:spacing w:val="-3"/>
                <w:sz w:val="18"/>
                <w:szCs w:val="18"/>
              </w:rPr>
              <w:t>溉系统。项目不涉及临时占地，不影响农田耕作条件，不影响农业节水措施运行。</w:t>
            </w:r>
          </w:p>
        </w:tc>
        <w:tc>
          <w:tcPr>
            <w:tcW w:w="536" w:type="dxa"/>
            <w:tcBorders>
              <w:bottom w:val="single" w:color="000000" w:sz="10" w:space="0"/>
              <w:right w:val="single" w:color="000000" w:sz="6" w:space="0"/>
            </w:tcBorders>
            <w:vAlign w:val="top"/>
          </w:tcPr>
          <w:p w14:paraId="0AA11561">
            <w:pPr>
              <w:spacing w:line="338" w:lineRule="auto"/>
              <w:rPr>
                <w:rFonts w:ascii="Arial"/>
                <w:sz w:val="21"/>
              </w:rPr>
            </w:pPr>
          </w:p>
          <w:p w14:paraId="19A571FA">
            <w:pPr>
              <w:spacing w:line="338" w:lineRule="auto"/>
              <w:rPr>
                <w:rFonts w:ascii="Arial"/>
                <w:sz w:val="21"/>
              </w:rPr>
            </w:pPr>
          </w:p>
          <w:p w14:paraId="3577B3E1">
            <w:pPr>
              <w:spacing w:before="58" w:line="221" w:lineRule="auto"/>
              <w:ind w:left="66"/>
              <w:rPr>
                <w:rFonts w:ascii="仿宋" w:hAnsi="仿宋" w:eastAsia="仿宋" w:cs="仿宋"/>
                <w:sz w:val="18"/>
                <w:szCs w:val="18"/>
              </w:rPr>
            </w:pPr>
            <w:r>
              <w:rPr>
                <w:rFonts w:ascii="仿宋" w:hAnsi="仿宋" w:eastAsia="仿宋" w:cs="仿宋"/>
                <w:spacing w:val="-9"/>
                <w:sz w:val="18"/>
                <w:szCs w:val="18"/>
              </w:rPr>
              <w:t>符合</w:t>
            </w:r>
          </w:p>
        </w:tc>
      </w:tr>
      <w:tr w14:paraId="1A5DC2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1070" w:type="dxa"/>
            <w:vMerge w:val="continue"/>
            <w:tcBorders>
              <w:top w:val="nil"/>
              <w:left w:val="single" w:color="000000" w:sz="6" w:space="0"/>
              <w:bottom w:val="single" w:color="000000" w:sz="6" w:space="0"/>
            </w:tcBorders>
            <w:vAlign w:val="top"/>
          </w:tcPr>
          <w:p w14:paraId="24CA0747">
            <w:pPr>
              <w:rPr>
                <w:rFonts w:ascii="Arial"/>
                <w:sz w:val="21"/>
              </w:rPr>
            </w:pPr>
          </w:p>
        </w:tc>
        <w:tc>
          <w:tcPr>
            <w:tcW w:w="7993" w:type="dxa"/>
            <w:gridSpan w:val="7"/>
            <w:tcBorders>
              <w:top w:val="single" w:color="000000" w:sz="10" w:space="0"/>
              <w:bottom w:val="single" w:color="000000" w:sz="6" w:space="0"/>
              <w:right w:val="single" w:color="000000" w:sz="6" w:space="0"/>
            </w:tcBorders>
            <w:vAlign w:val="top"/>
          </w:tcPr>
          <w:p w14:paraId="6B5E699C">
            <w:pPr>
              <w:spacing w:before="36" w:line="229" w:lineRule="auto"/>
              <w:ind w:left="443"/>
              <w:rPr>
                <w:rFonts w:ascii="仿宋" w:hAnsi="仿宋" w:eastAsia="仿宋" w:cs="仿宋"/>
                <w:sz w:val="20"/>
                <w:szCs w:val="20"/>
              </w:rPr>
            </w:pPr>
            <w:r>
              <w:rPr>
                <w:rFonts w:ascii="仿宋" w:hAnsi="仿宋" w:eastAsia="仿宋" w:cs="仿宋"/>
                <w:spacing w:val="6"/>
                <w:sz w:val="20"/>
                <w:szCs w:val="20"/>
              </w:rPr>
              <w:t>综上分析，项目的建设符合“</w:t>
            </w:r>
            <w:r>
              <w:rPr>
                <w:rFonts w:ascii="仿宋" w:hAnsi="仿宋" w:eastAsia="仿宋" w:cs="仿宋"/>
                <w:spacing w:val="-60"/>
                <w:sz w:val="20"/>
                <w:szCs w:val="20"/>
              </w:rPr>
              <w:t xml:space="preserve"> </w:t>
            </w:r>
            <w:r>
              <w:rPr>
                <w:rFonts w:ascii="仿宋" w:hAnsi="仿宋" w:eastAsia="仿宋" w:cs="仿宋"/>
                <w:spacing w:val="6"/>
                <w:sz w:val="20"/>
                <w:szCs w:val="20"/>
              </w:rPr>
              <w:t>生态环境分区管控</w:t>
            </w:r>
            <w:r>
              <w:rPr>
                <w:rFonts w:ascii="仿宋" w:hAnsi="仿宋" w:eastAsia="仿宋" w:cs="仿宋"/>
                <w:spacing w:val="-70"/>
                <w:sz w:val="20"/>
                <w:szCs w:val="20"/>
              </w:rPr>
              <w:t xml:space="preserve"> </w:t>
            </w:r>
            <w:r>
              <w:rPr>
                <w:rFonts w:ascii="仿宋" w:hAnsi="仿宋" w:eastAsia="仿宋" w:cs="仿宋"/>
                <w:spacing w:val="6"/>
                <w:sz w:val="20"/>
                <w:szCs w:val="20"/>
              </w:rPr>
              <w:t>”要求。</w:t>
            </w:r>
          </w:p>
          <w:p w14:paraId="4C883BB8">
            <w:pPr>
              <w:spacing w:before="159" w:line="229" w:lineRule="auto"/>
              <w:ind w:left="437"/>
              <w:rPr>
                <w:rFonts w:ascii="仿宋" w:hAnsi="仿宋" w:eastAsia="仿宋" w:cs="仿宋"/>
                <w:sz w:val="20"/>
                <w:szCs w:val="20"/>
              </w:rPr>
            </w:pPr>
            <w:r>
              <w:rPr>
                <w:rFonts w:ascii="仿宋" w:hAnsi="仿宋" w:eastAsia="仿宋" w:cs="仿宋"/>
                <w:b/>
                <w:bCs/>
                <w:spacing w:val="7"/>
                <w:sz w:val="20"/>
                <w:szCs w:val="20"/>
              </w:rPr>
              <w:t>2、主体功能区符合性</w:t>
            </w:r>
          </w:p>
          <w:p w14:paraId="29EDECC4">
            <w:pPr>
              <w:spacing w:before="160" w:line="229" w:lineRule="auto"/>
              <w:ind w:right="7"/>
              <w:jc w:val="right"/>
              <w:rPr>
                <w:rFonts w:ascii="仿宋" w:hAnsi="仿宋" w:eastAsia="仿宋" w:cs="仿宋"/>
                <w:sz w:val="20"/>
                <w:szCs w:val="20"/>
              </w:rPr>
            </w:pPr>
            <w:r>
              <w:rPr>
                <w:rFonts w:ascii="仿宋" w:hAnsi="仿宋" w:eastAsia="仿宋" w:cs="仿宋"/>
                <w:spacing w:val="9"/>
                <w:sz w:val="20"/>
                <w:szCs w:val="20"/>
              </w:rPr>
              <w:t>根据《内蒙古自治区主体功能区规划》将全区国土空间划分为以下主体功能区：按</w:t>
            </w:r>
          </w:p>
        </w:tc>
      </w:tr>
    </w:tbl>
    <w:p w14:paraId="51FF0146">
      <w:pPr>
        <w:pStyle w:val="2"/>
        <w:rPr>
          <w:sz w:val="21"/>
        </w:rPr>
      </w:pPr>
    </w:p>
    <w:p w14:paraId="4BB96110">
      <w:pPr>
        <w:rPr>
          <w:sz w:val="21"/>
          <w:szCs w:val="21"/>
        </w:rPr>
        <w:sectPr>
          <w:footerReference r:id="rId15" w:type="default"/>
          <w:pgSz w:w="11906" w:h="16839"/>
          <w:pgMar w:top="400" w:right="1306" w:bottom="1504" w:left="1521" w:header="0" w:footer="1342" w:gutter="0"/>
          <w:cols w:space="720" w:num="1"/>
        </w:sectPr>
      </w:pPr>
    </w:p>
    <w:p w14:paraId="3B8E3394">
      <w:pPr>
        <w:spacing w:before="19"/>
      </w:pPr>
    </w:p>
    <w:p w14:paraId="3F808C5A">
      <w:pPr>
        <w:spacing w:before="19"/>
      </w:pPr>
    </w:p>
    <w:p w14:paraId="4B2A6AED">
      <w:pPr>
        <w:spacing w:before="19"/>
      </w:pPr>
    </w:p>
    <w:p w14:paraId="4B6D7279">
      <w:pPr>
        <w:spacing w:before="18"/>
      </w:pPr>
    </w:p>
    <w:p w14:paraId="0449AB22">
      <w:pPr>
        <w:spacing w:before="18"/>
      </w:pPr>
    </w:p>
    <w:tbl>
      <w:tblPr>
        <w:tblStyle w:val="5"/>
        <w:tblW w:w="9063"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070"/>
        <w:gridCol w:w="7993"/>
      </w:tblGrid>
      <w:tr w14:paraId="5393D2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402" w:hRule="atLeast"/>
        </w:trPr>
        <w:tc>
          <w:tcPr>
            <w:tcW w:w="1070" w:type="dxa"/>
            <w:tcBorders>
              <w:right w:val="single" w:color="000000" w:sz="2" w:space="0"/>
            </w:tcBorders>
            <w:vAlign w:val="top"/>
          </w:tcPr>
          <w:p w14:paraId="5699EADA">
            <w:pPr>
              <w:rPr>
                <w:rFonts w:ascii="Arial"/>
                <w:sz w:val="21"/>
              </w:rPr>
            </w:pPr>
          </w:p>
        </w:tc>
        <w:tc>
          <w:tcPr>
            <w:tcW w:w="7993" w:type="dxa"/>
            <w:tcBorders>
              <w:left w:val="single" w:color="000000" w:sz="2" w:space="0"/>
            </w:tcBorders>
            <w:vAlign w:val="top"/>
          </w:tcPr>
          <w:p w14:paraId="7FDD707A">
            <w:pPr>
              <w:spacing w:before="40" w:line="370" w:lineRule="auto"/>
              <w:ind w:left="21" w:right="12"/>
              <w:jc w:val="both"/>
              <w:rPr>
                <w:rFonts w:ascii="仿宋" w:hAnsi="仿宋" w:eastAsia="仿宋" w:cs="仿宋"/>
                <w:sz w:val="20"/>
                <w:szCs w:val="20"/>
              </w:rPr>
            </w:pPr>
            <w:r>
              <w:rPr>
                <w:rFonts w:ascii="仿宋" w:hAnsi="仿宋" w:eastAsia="仿宋" w:cs="仿宋"/>
                <w:spacing w:val="9"/>
                <w:sz w:val="20"/>
                <w:szCs w:val="20"/>
              </w:rPr>
              <w:t>开发方式，划分为重点开发区域、限制开发区域和禁止开发区域；按开发内容，划分为城市化地区、农产品主产区和重点生态功能区；按层次，划分为国家级和自治区级两个层面。本项目所在地准格尔旗属于国家级重点开发区域，项目建设符合主体功能区划定</w:t>
            </w:r>
            <w:r>
              <w:rPr>
                <w:rFonts w:ascii="仿宋" w:hAnsi="仿宋" w:eastAsia="仿宋" w:cs="仿宋"/>
                <w:spacing w:val="8"/>
                <w:sz w:val="20"/>
                <w:szCs w:val="20"/>
              </w:rPr>
              <w:t>位。本项目在内蒙古自治区主体功能规划中的位置关系</w:t>
            </w:r>
            <w:r>
              <w:rPr>
                <w:rFonts w:ascii="仿宋" w:hAnsi="仿宋" w:eastAsia="仿宋" w:cs="仿宋"/>
                <w:spacing w:val="7"/>
                <w:sz w:val="20"/>
                <w:szCs w:val="20"/>
              </w:rPr>
              <w:t>见图</w:t>
            </w:r>
            <w:r>
              <w:rPr>
                <w:rFonts w:ascii="仿宋" w:hAnsi="仿宋" w:eastAsia="仿宋" w:cs="仿宋"/>
                <w:spacing w:val="-22"/>
                <w:sz w:val="20"/>
                <w:szCs w:val="20"/>
              </w:rPr>
              <w:t xml:space="preserve"> </w:t>
            </w:r>
            <w:r>
              <w:rPr>
                <w:rFonts w:ascii="仿宋" w:hAnsi="仿宋" w:eastAsia="仿宋" w:cs="仿宋"/>
                <w:spacing w:val="7"/>
                <w:sz w:val="20"/>
                <w:szCs w:val="20"/>
              </w:rPr>
              <w:t>1-1。</w:t>
            </w:r>
          </w:p>
          <w:p w14:paraId="2A32428A">
            <w:pPr>
              <w:spacing w:line="6199" w:lineRule="exact"/>
              <w:ind w:firstLine="7"/>
            </w:pPr>
            <w:r>
              <w:rPr>
                <w:position w:val="-123"/>
              </w:rPr>
              <w:pict>
                <v:group id="_x0000_s1026" o:spid="_x0000_s1026" o:spt="203" style="height:310pt;width:389.3pt;" coordsize="7785,6200">
                  <o:lock v:ext="edit"/>
                  <v:shape id="_x0000_s1027" o:spid="_x0000_s1027" o:spt="75" type="#_x0000_t75" style="position:absolute;left:0;top:0;height:6200;width:7785;" filled="f" stroked="f" coordsize="21600,21600">
                    <v:path/>
                    <v:fill on="f" focussize="0,0"/>
                    <v:stroke on="f"/>
                    <v:imagedata r:id="rId281" o:title=""/>
                    <o:lock v:ext="edit" aspectratio="t"/>
                  </v:shape>
                  <v:shape id="_x0000_s1028" o:spid="_x0000_s1028" o:spt="202" type="#_x0000_t202" style="position:absolute;left:2410;top:3874;height:248;width:1080;" filled="f" stroked="f" coordsize="21600,21600">
                    <v:path/>
                    <v:fill on="f" focussize="0,0"/>
                    <v:stroke on="f"/>
                    <v:imagedata o:title=""/>
                    <o:lock v:ext="edit" aspectratio="f"/>
                    <v:textbox inset="0mm,0mm,0mm,0mm">
                      <w:txbxContent>
                        <w:p w14:paraId="4330CB81">
                          <w:pPr>
                            <w:spacing w:before="19" w:line="227" w:lineRule="auto"/>
                            <w:ind w:left="20"/>
                            <w:rPr>
                              <w:rFonts w:ascii="宋体" w:hAnsi="宋体" w:eastAsia="宋体" w:cs="宋体"/>
                              <w:sz w:val="20"/>
                              <w:szCs w:val="20"/>
                            </w:rPr>
                          </w:pPr>
                          <w:r>
                            <w:rPr>
                              <w:rFonts w:ascii="宋体" w:hAnsi="宋体" w:eastAsia="宋体" w:cs="宋体"/>
                              <w:spacing w:val="7"/>
                              <w:sz w:val="20"/>
                              <w:szCs w:val="20"/>
                            </w:rPr>
                            <w:t>本项目位置</w:t>
                          </w:r>
                        </w:p>
                      </w:txbxContent>
                    </v:textbox>
                  </v:shape>
                  <w10:wrap type="none"/>
                  <w10:anchorlock/>
                </v:group>
              </w:pict>
            </w:r>
          </w:p>
          <w:p w14:paraId="0982D16D">
            <w:pPr>
              <w:spacing w:before="203" w:line="219" w:lineRule="auto"/>
              <w:ind w:left="1407"/>
              <w:rPr>
                <w:rFonts w:ascii="仿宋" w:hAnsi="仿宋" w:eastAsia="仿宋" w:cs="仿宋"/>
                <w:sz w:val="24"/>
                <w:szCs w:val="24"/>
              </w:rPr>
            </w:pPr>
            <w:r>
              <w:rPr>
                <w:rFonts w:ascii="仿宋" w:hAnsi="仿宋" w:eastAsia="仿宋" w:cs="仿宋"/>
                <w:b/>
                <w:bCs/>
                <w:spacing w:val="-4"/>
                <w:sz w:val="24"/>
                <w:szCs w:val="24"/>
              </w:rPr>
              <w:t>图</w:t>
            </w:r>
            <w:r>
              <w:rPr>
                <w:rFonts w:ascii="仿宋" w:hAnsi="仿宋" w:eastAsia="仿宋" w:cs="仿宋"/>
                <w:spacing w:val="-34"/>
                <w:sz w:val="24"/>
                <w:szCs w:val="24"/>
              </w:rPr>
              <w:t xml:space="preserve"> </w:t>
            </w:r>
            <w:r>
              <w:rPr>
                <w:rFonts w:ascii="仿宋" w:hAnsi="仿宋" w:eastAsia="仿宋" w:cs="仿宋"/>
                <w:b/>
                <w:bCs/>
                <w:spacing w:val="-4"/>
                <w:sz w:val="24"/>
                <w:szCs w:val="24"/>
              </w:rPr>
              <w:t>1-1</w:t>
            </w:r>
            <w:r>
              <w:rPr>
                <w:rFonts w:ascii="仿宋" w:hAnsi="仿宋" w:eastAsia="仿宋" w:cs="仿宋"/>
                <w:spacing w:val="-4"/>
                <w:sz w:val="24"/>
                <w:szCs w:val="24"/>
              </w:rPr>
              <w:t xml:space="preserve">  </w:t>
            </w:r>
            <w:r>
              <w:rPr>
                <w:rFonts w:ascii="仿宋" w:hAnsi="仿宋" w:eastAsia="仿宋" w:cs="仿宋"/>
                <w:b/>
                <w:bCs/>
                <w:spacing w:val="-4"/>
                <w:sz w:val="24"/>
                <w:szCs w:val="24"/>
              </w:rPr>
              <w:t>本项目在内蒙古自治区主体功能规划中的</w:t>
            </w:r>
            <w:r>
              <w:rPr>
                <w:rFonts w:ascii="仿宋" w:hAnsi="仿宋" w:eastAsia="仿宋" w:cs="仿宋"/>
                <w:b/>
                <w:bCs/>
                <w:spacing w:val="-5"/>
                <w:sz w:val="24"/>
                <w:szCs w:val="24"/>
              </w:rPr>
              <w:t>位置</w:t>
            </w:r>
          </w:p>
          <w:p w14:paraId="46F78636">
            <w:pPr>
              <w:pStyle w:val="6"/>
              <w:spacing w:before="177" w:line="229" w:lineRule="auto"/>
              <w:ind w:left="430"/>
              <w:rPr>
                <w:rFonts w:ascii="仿宋" w:hAnsi="仿宋" w:eastAsia="仿宋" w:cs="仿宋"/>
                <w:sz w:val="20"/>
                <w:szCs w:val="20"/>
              </w:rPr>
            </w:pPr>
            <w:r>
              <w:rPr>
                <w:b/>
                <w:bCs/>
                <w:spacing w:val="6"/>
                <w:sz w:val="20"/>
                <w:szCs w:val="20"/>
              </w:rPr>
              <w:t>3</w:t>
            </w:r>
            <w:r>
              <w:rPr>
                <w:b/>
                <w:bCs/>
                <w:spacing w:val="-3"/>
                <w:sz w:val="20"/>
                <w:szCs w:val="20"/>
              </w:rPr>
              <w:t xml:space="preserve"> </w:t>
            </w:r>
            <w:r>
              <w:rPr>
                <w:rFonts w:ascii="仿宋" w:hAnsi="仿宋" w:eastAsia="仿宋" w:cs="仿宋"/>
                <w:b/>
                <w:bCs/>
                <w:spacing w:val="6"/>
                <w:sz w:val="20"/>
                <w:szCs w:val="20"/>
              </w:rPr>
              <w:t>、与《鄂尔多斯市生态功能区划》符合性分析</w:t>
            </w:r>
          </w:p>
          <w:p w14:paraId="30DC7191">
            <w:pPr>
              <w:pStyle w:val="6"/>
              <w:spacing w:before="158" w:line="377" w:lineRule="auto"/>
              <w:ind w:left="25" w:right="12" w:firstLine="416"/>
              <w:jc w:val="both"/>
              <w:rPr>
                <w:rFonts w:ascii="仿宋" w:hAnsi="仿宋" w:eastAsia="仿宋" w:cs="仿宋"/>
                <w:sz w:val="20"/>
                <w:szCs w:val="20"/>
              </w:rPr>
            </w:pPr>
            <w:r>
              <w:rPr>
                <w:rFonts w:ascii="仿宋" w:hAnsi="仿宋" w:eastAsia="仿宋" w:cs="仿宋"/>
                <w:spacing w:val="9"/>
                <w:sz w:val="20"/>
                <w:szCs w:val="20"/>
              </w:rPr>
              <w:t>根据《鄂尔多斯市生态功能区划》，本项目所在区域属准格尔黄土丘陵沟壑农田草原水土保持生态功能区和土默特平原灌溉农业生态功能区，本项目在鄂尔多斯市生态功</w:t>
            </w:r>
            <w:r>
              <w:rPr>
                <w:rFonts w:ascii="仿宋" w:hAnsi="仿宋" w:eastAsia="仿宋" w:cs="仿宋"/>
                <w:spacing w:val="6"/>
                <w:sz w:val="20"/>
                <w:szCs w:val="20"/>
              </w:rPr>
              <w:t>能区划图中位置见附图</w:t>
            </w:r>
            <w:r>
              <w:rPr>
                <w:rFonts w:ascii="仿宋" w:hAnsi="仿宋" w:eastAsia="仿宋" w:cs="仿宋"/>
                <w:spacing w:val="-34"/>
                <w:sz w:val="20"/>
                <w:szCs w:val="20"/>
              </w:rPr>
              <w:t xml:space="preserve"> </w:t>
            </w:r>
            <w:r>
              <w:rPr>
                <w:spacing w:val="6"/>
                <w:sz w:val="20"/>
                <w:szCs w:val="20"/>
              </w:rPr>
              <w:t>3</w:t>
            </w:r>
            <w:r>
              <w:rPr>
                <w:rFonts w:ascii="仿宋" w:hAnsi="仿宋" w:eastAsia="仿宋" w:cs="仿宋"/>
                <w:spacing w:val="6"/>
                <w:sz w:val="20"/>
                <w:szCs w:val="20"/>
              </w:rPr>
              <w:t>。</w:t>
            </w:r>
          </w:p>
          <w:p w14:paraId="403D911F">
            <w:pPr>
              <w:spacing w:before="1" w:line="375" w:lineRule="auto"/>
              <w:ind w:left="21" w:right="12" w:firstLine="420"/>
              <w:jc w:val="both"/>
              <w:rPr>
                <w:rFonts w:ascii="仿宋" w:hAnsi="仿宋" w:eastAsia="仿宋" w:cs="仿宋"/>
                <w:sz w:val="20"/>
                <w:szCs w:val="20"/>
              </w:rPr>
            </w:pPr>
            <w:r>
              <w:rPr>
                <w:rFonts w:ascii="仿宋" w:hAnsi="仿宋" w:eastAsia="仿宋" w:cs="仿宋"/>
                <w:spacing w:val="9"/>
                <w:sz w:val="20"/>
                <w:szCs w:val="20"/>
              </w:rPr>
              <w:t>本项目为四级通村公路，线路分别穿越准格尔黄土丘陵沟壑农田草原水土保持生态功能区、土默特平原灌溉农业生态功能区。准格尔黄土丘陵沟壑区以水土保持、林草农田保育为管控重点，项目属乡村公益性基础设施，线位尽量沿现有老路布设，减少坡面与沟壑开挖扰动，配套截排水、边坡防护、弃渣拦挡及后期植被恢复等完善水保措施，可有效控制新增水土流失，符合区域水土流失防控管控要求。土默特平原灌溉农业区以耕地保护、灌区维系为核心管控目标，项目优化路线避让连片灌溉耕地，确需占地严格落实耕地占补平衡，同步布设过路涵管保障原有灌排体系畅通，施工废水、堆土采取隔离防护，减轻农田扰动与农业面源污染。项目不属于两类生态功能区内禁止、限制类开</w:t>
            </w:r>
          </w:p>
        </w:tc>
      </w:tr>
    </w:tbl>
    <w:p w14:paraId="09990EB0">
      <w:pPr>
        <w:pStyle w:val="2"/>
        <w:spacing w:line="190" w:lineRule="exact"/>
        <w:rPr>
          <w:sz w:val="16"/>
        </w:rPr>
      </w:pPr>
    </w:p>
    <w:p w14:paraId="12B8BAAF">
      <w:pPr>
        <w:spacing w:line="190" w:lineRule="exact"/>
        <w:rPr>
          <w:sz w:val="16"/>
          <w:szCs w:val="16"/>
        </w:rPr>
        <w:sectPr>
          <w:footerReference r:id="rId16" w:type="default"/>
          <w:pgSz w:w="11906" w:h="16839"/>
          <w:pgMar w:top="400" w:right="1306" w:bottom="1504" w:left="1521" w:header="0" w:footer="1342" w:gutter="0"/>
          <w:cols w:space="720" w:num="1"/>
        </w:sectPr>
      </w:pPr>
    </w:p>
    <w:p w14:paraId="6749096A">
      <w:pPr>
        <w:spacing w:before="19"/>
      </w:pPr>
    </w:p>
    <w:p w14:paraId="73BB742B">
      <w:pPr>
        <w:spacing w:before="19"/>
      </w:pPr>
    </w:p>
    <w:p w14:paraId="118C1818">
      <w:pPr>
        <w:spacing w:before="19"/>
      </w:pPr>
    </w:p>
    <w:p w14:paraId="3BE3A729">
      <w:pPr>
        <w:spacing w:before="18"/>
      </w:pPr>
    </w:p>
    <w:p w14:paraId="2DCD1C37">
      <w:pPr>
        <w:spacing w:before="18"/>
      </w:pPr>
    </w:p>
    <w:tbl>
      <w:tblPr>
        <w:tblStyle w:val="5"/>
        <w:tblW w:w="9063"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070"/>
        <w:gridCol w:w="7993"/>
      </w:tblGrid>
      <w:tr w14:paraId="2DDF35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233" w:hRule="atLeast"/>
        </w:trPr>
        <w:tc>
          <w:tcPr>
            <w:tcW w:w="1070" w:type="dxa"/>
            <w:tcBorders>
              <w:right w:val="single" w:color="000000" w:sz="2" w:space="0"/>
            </w:tcBorders>
            <w:vAlign w:val="top"/>
          </w:tcPr>
          <w:p w14:paraId="5B574F0C">
            <w:pPr>
              <w:rPr>
                <w:rFonts w:ascii="Arial"/>
                <w:sz w:val="21"/>
              </w:rPr>
            </w:pPr>
          </w:p>
        </w:tc>
        <w:tc>
          <w:tcPr>
            <w:tcW w:w="7993" w:type="dxa"/>
            <w:tcBorders>
              <w:left w:val="single" w:color="000000" w:sz="2" w:space="0"/>
            </w:tcBorders>
            <w:vAlign w:val="top"/>
          </w:tcPr>
          <w:p w14:paraId="28A383C6">
            <w:pPr>
              <w:spacing w:before="41" w:line="377" w:lineRule="auto"/>
              <w:ind w:left="21" w:firstLine="5"/>
              <w:jc w:val="both"/>
              <w:rPr>
                <w:rFonts w:ascii="仿宋" w:hAnsi="仿宋" w:eastAsia="仿宋" w:cs="仿宋"/>
                <w:sz w:val="20"/>
                <w:szCs w:val="20"/>
              </w:rPr>
            </w:pPr>
            <w:r>
              <w:rPr>
                <w:rFonts w:ascii="仿宋" w:hAnsi="仿宋" w:eastAsia="仿宋" w:cs="仿宋"/>
                <w:spacing w:val="4"/>
                <w:sz w:val="20"/>
                <w:szCs w:val="20"/>
              </w:rPr>
              <w:t>发建设项目，建设内容契合区域农牧民生保障、生态保育发展导向，通过落实水土保</w:t>
            </w:r>
            <w:r>
              <w:rPr>
                <w:rFonts w:ascii="仿宋" w:hAnsi="仿宋" w:eastAsia="仿宋" w:cs="仿宋"/>
                <w:spacing w:val="3"/>
                <w:sz w:val="20"/>
                <w:szCs w:val="20"/>
              </w:rPr>
              <w:t>持、</w:t>
            </w:r>
            <w:r>
              <w:rPr>
                <w:rFonts w:ascii="仿宋" w:hAnsi="仿宋" w:eastAsia="仿宋" w:cs="仿宋"/>
                <w:spacing w:val="8"/>
                <w:sz w:val="20"/>
                <w:szCs w:val="20"/>
              </w:rPr>
              <w:t>耕地保护、生态修复等环保措施后，本项目符合《鄂尔多斯市</w:t>
            </w:r>
            <w:r>
              <w:rPr>
                <w:rFonts w:ascii="仿宋" w:hAnsi="仿宋" w:eastAsia="仿宋" w:cs="仿宋"/>
                <w:spacing w:val="7"/>
                <w:sz w:val="20"/>
                <w:szCs w:val="20"/>
              </w:rPr>
              <w:t>生态功能区划》相关管控</w:t>
            </w:r>
            <w:r>
              <w:rPr>
                <w:rFonts w:ascii="仿宋" w:hAnsi="仿宋" w:eastAsia="仿宋" w:cs="仿宋"/>
                <w:sz w:val="20"/>
                <w:szCs w:val="20"/>
              </w:rPr>
              <w:t>要求。</w:t>
            </w:r>
          </w:p>
          <w:p w14:paraId="58277FC6">
            <w:pPr>
              <w:pStyle w:val="6"/>
              <w:spacing w:line="228" w:lineRule="auto"/>
              <w:ind w:left="432"/>
              <w:outlineLvl w:val="0"/>
              <w:rPr>
                <w:rFonts w:ascii="仿宋" w:hAnsi="仿宋" w:eastAsia="仿宋" w:cs="仿宋"/>
                <w:sz w:val="20"/>
                <w:szCs w:val="20"/>
              </w:rPr>
            </w:pPr>
            <w:r>
              <w:rPr>
                <w:b/>
                <w:bCs/>
                <w:spacing w:val="5"/>
                <w:sz w:val="20"/>
                <w:szCs w:val="20"/>
              </w:rPr>
              <w:t>4</w:t>
            </w:r>
            <w:r>
              <w:rPr>
                <w:b/>
                <w:bCs/>
                <w:spacing w:val="-20"/>
                <w:sz w:val="20"/>
                <w:szCs w:val="20"/>
              </w:rPr>
              <w:t xml:space="preserve"> </w:t>
            </w:r>
            <w:r>
              <w:rPr>
                <w:rFonts w:ascii="仿宋" w:hAnsi="仿宋" w:eastAsia="仿宋" w:cs="仿宋"/>
                <w:b/>
                <w:bCs/>
                <w:spacing w:val="5"/>
                <w:sz w:val="20"/>
                <w:szCs w:val="20"/>
              </w:rPr>
              <w:t>、产业政策符合性分析</w:t>
            </w:r>
          </w:p>
          <w:p w14:paraId="0A907AE1">
            <w:pPr>
              <w:pStyle w:val="6"/>
              <w:spacing w:before="163" w:line="376" w:lineRule="auto"/>
              <w:ind w:left="21" w:right="12" w:firstLine="420"/>
              <w:rPr>
                <w:rFonts w:ascii="仿宋" w:hAnsi="仿宋" w:eastAsia="仿宋" w:cs="仿宋"/>
                <w:sz w:val="20"/>
                <w:szCs w:val="20"/>
              </w:rPr>
            </w:pPr>
            <w:r>
              <w:rPr>
                <w:rFonts w:ascii="仿宋" w:hAnsi="仿宋" w:eastAsia="仿宋" w:cs="仿宋"/>
                <w:spacing w:val="7"/>
                <w:sz w:val="20"/>
                <w:szCs w:val="20"/>
              </w:rPr>
              <w:t>本项目为交通运输项目，对照《产业结构调整指导目录》（</w:t>
            </w:r>
            <w:r>
              <w:rPr>
                <w:spacing w:val="7"/>
                <w:sz w:val="20"/>
                <w:szCs w:val="20"/>
              </w:rPr>
              <w:t>2</w:t>
            </w:r>
            <w:r>
              <w:rPr>
                <w:spacing w:val="6"/>
                <w:sz w:val="20"/>
                <w:szCs w:val="20"/>
              </w:rPr>
              <w:t>024</w:t>
            </w:r>
            <w:r>
              <w:rPr>
                <w:spacing w:val="20"/>
                <w:w w:val="101"/>
                <w:sz w:val="20"/>
                <w:szCs w:val="20"/>
              </w:rPr>
              <w:t xml:space="preserve"> </w:t>
            </w:r>
            <w:r>
              <w:rPr>
                <w:rFonts w:ascii="仿宋" w:hAnsi="仿宋" w:eastAsia="仿宋" w:cs="仿宋"/>
                <w:spacing w:val="6"/>
                <w:sz w:val="20"/>
                <w:szCs w:val="20"/>
              </w:rPr>
              <w:t>年本</w:t>
            </w:r>
            <w:r>
              <w:rPr>
                <w:rFonts w:ascii="仿宋" w:hAnsi="仿宋" w:eastAsia="仿宋" w:cs="仿宋"/>
                <w:spacing w:val="7"/>
                <w:sz w:val="20"/>
                <w:szCs w:val="20"/>
              </w:rPr>
              <w:t>），</w:t>
            </w:r>
            <w:r>
              <w:rPr>
                <w:rFonts w:ascii="仿宋" w:hAnsi="仿宋" w:eastAsia="仿宋" w:cs="仿宋"/>
                <w:spacing w:val="6"/>
                <w:sz w:val="20"/>
                <w:szCs w:val="20"/>
              </w:rPr>
              <w:t>本项目不</w:t>
            </w:r>
            <w:r>
              <w:rPr>
                <w:rFonts w:ascii="仿宋" w:hAnsi="仿宋" w:eastAsia="仿宋" w:cs="仿宋"/>
                <w:spacing w:val="8"/>
                <w:sz w:val="20"/>
                <w:szCs w:val="20"/>
              </w:rPr>
              <w:t>属于限制类、淘汰类，属于允许类，</w:t>
            </w:r>
            <w:r>
              <w:rPr>
                <w:rFonts w:ascii="仿宋" w:hAnsi="仿宋" w:eastAsia="仿宋" w:cs="仿宋"/>
                <w:spacing w:val="-57"/>
                <w:sz w:val="20"/>
                <w:szCs w:val="20"/>
              </w:rPr>
              <w:t xml:space="preserve"> </w:t>
            </w:r>
            <w:r>
              <w:rPr>
                <w:rFonts w:ascii="仿宋" w:hAnsi="仿宋" w:eastAsia="仿宋" w:cs="仿宋"/>
                <w:spacing w:val="8"/>
                <w:sz w:val="20"/>
                <w:szCs w:val="20"/>
              </w:rPr>
              <w:t>因此，本项目建设符合国家</w:t>
            </w:r>
            <w:r>
              <w:rPr>
                <w:rFonts w:ascii="仿宋" w:hAnsi="仿宋" w:eastAsia="仿宋" w:cs="仿宋"/>
                <w:spacing w:val="7"/>
                <w:sz w:val="20"/>
                <w:szCs w:val="20"/>
              </w:rPr>
              <w:t>产业政策。</w:t>
            </w:r>
          </w:p>
          <w:p w14:paraId="0CCC70E3">
            <w:pPr>
              <w:pStyle w:val="6"/>
              <w:spacing w:before="1" w:line="376" w:lineRule="auto"/>
              <w:ind w:left="11" w:right="12" w:firstLine="430"/>
              <w:rPr>
                <w:rFonts w:ascii="仿宋" w:hAnsi="仿宋" w:eastAsia="仿宋" w:cs="仿宋"/>
                <w:sz w:val="20"/>
                <w:szCs w:val="20"/>
              </w:rPr>
            </w:pPr>
            <w:r>
              <w:rPr>
                <w:rFonts w:ascii="仿宋" w:hAnsi="仿宋" w:eastAsia="仿宋" w:cs="仿宋"/>
                <w:spacing w:val="3"/>
                <w:sz w:val="20"/>
                <w:szCs w:val="20"/>
              </w:rPr>
              <w:t>本项目于</w:t>
            </w:r>
            <w:r>
              <w:rPr>
                <w:rFonts w:ascii="仿宋" w:hAnsi="仿宋" w:eastAsia="仿宋" w:cs="仿宋"/>
                <w:spacing w:val="-22"/>
                <w:sz w:val="20"/>
                <w:szCs w:val="20"/>
              </w:rPr>
              <w:t xml:space="preserve"> </w:t>
            </w:r>
            <w:r>
              <w:rPr>
                <w:spacing w:val="3"/>
                <w:sz w:val="20"/>
                <w:szCs w:val="20"/>
              </w:rPr>
              <w:t>2025</w:t>
            </w:r>
            <w:r>
              <w:rPr>
                <w:spacing w:val="21"/>
                <w:w w:val="101"/>
                <w:sz w:val="20"/>
                <w:szCs w:val="20"/>
              </w:rPr>
              <w:t xml:space="preserve"> </w:t>
            </w:r>
            <w:r>
              <w:rPr>
                <w:rFonts w:ascii="仿宋" w:hAnsi="仿宋" w:eastAsia="仿宋" w:cs="仿宋"/>
                <w:spacing w:val="3"/>
                <w:sz w:val="20"/>
                <w:szCs w:val="20"/>
              </w:rPr>
              <w:t>年</w:t>
            </w:r>
            <w:r>
              <w:rPr>
                <w:rFonts w:ascii="仿宋" w:hAnsi="仿宋" w:eastAsia="仿宋" w:cs="仿宋"/>
                <w:spacing w:val="-23"/>
                <w:sz w:val="20"/>
                <w:szCs w:val="20"/>
              </w:rPr>
              <w:t xml:space="preserve"> </w:t>
            </w:r>
            <w:r>
              <w:rPr>
                <w:spacing w:val="3"/>
                <w:sz w:val="20"/>
                <w:szCs w:val="20"/>
              </w:rPr>
              <w:t>12</w:t>
            </w:r>
            <w:r>
              <w:rPr>
                <w:spacing w:val="28"/>
                <w:sz w:val="20"/>
                <w:szCs w:val="20"/>
              </w:rPr>
              <w:t xml:space="preserve"> </w:t>
            </w:r>
            <w:r>
              <w:rPr>
                <w:rFonts w:ascii="仿宋" w:hAnsi="仿宋" w:eastAsia="仿宋" w:cs="仿宋"/>
                <w:spacing w:val="3"/>
                <w:sz w:val="20"/>
                <w:szCs w:val="20"/>
              </w:rPr>
              <w:t>月</w:t>
            </w:r>
            <w:r>
              <w:rPr>
                <w:rFonts w:ascii="仿宋" w:hAnsi="仿宋" w:eastAsia="仿宋" w:cs="仿宋"/>
                <w:spacing w:val="-38"/>
                <w:sz w:val="20"/>
                <w:szCs w:val="20"/>
              </w:rPr>
              <w:t xml:space="preserve"> </w:t>
            </w:r>
            <w:r>
              <w:rPr>
                <w:spacing w:val="3"/>
                <w:sz w:val="20"/>
                <w:szCs w:val="20"/>
              </w:rPr>
              <w:t xml:space="preserve">5  </w:t>
            </w:r>
            <w:r>
              <w:rPr>
                <w:rFonts w:ascii="仿宋" w:hAnsi="仿宋" w:eastAsia="仿宋" w:cs="仿宋"/>
                <w:spacing w:val="3"/>
                <w:sz w:val="20"/>
                <w:szCs w:val="20"/>
              </w:rPr>
              <w:t>日</w:t>
            </w:r>
            <w:r>
              <w:rPr>
                <w:rFonts w:ascii="仿宋" w:hAnsi="仿宋" w:eastAsia="仿宋" w:cs="仿宋"/>
                <w:spacing w:val="-59"/>
                <w:sz w:val="20"/>
                <w:szCs w:val="20"/>
              </w:rPr>
              <w:t xml:space="preserve"> </w:t>
            </w:r>
            <w:r>
              <w:rPr>
                <w:rFonts w:ascii="仿宋" w:hAnsi="仿宋" w:eastAsia="仿宋" w:cs="仿宋"/>
                <w:spacing w:val="3"/>
                <w:sz w:val="20"/>
                <w:szCs w:val="20"/>
              </w:rPr>
              <w:t>已取得准格尔旗发展和改革委员会出具《准格尔旗发展</w:t>
            </w:r>
            <w:r>
              <w:rPr>
                <w:rFonts w:ascii="仿宋" w:hAnsi="仿宋" w:eastAsia="仿宋" w:cs="仿宋"/>
                <w:spacing w:val="11"/>
                <w:sz w:val="20"/>
                <w:szCs w:val="20"/>
              </w:rPr>
              <w:t>和改革委员会关于准格尔旗</w:t>
            </w:r>
            <w:r>
              <w:rPr>
                <w:rFonts w:ascii="仿宋" w:hAnsi="仿宋" w:eastAsia="仿宋" w:cs="仿宋"/>
                <w:spacing w:val="-38"/>
                <w:sz w:val="20"/>
                <w:szCs w:val="20"/>
              </w:rPr>
              <w:t xml:space="preserve"> </w:t>
            </w:r>
            <w:r>
              <w:rPr>
                <w:spacing w:val="11"/>
                <w:sz w:val="20"/>
                <w:szCs w:val="20"/>
              </w:rPr>
              <w:t>2025</w:t>
            </w:r>
            <w:r>
              <w:rPr>
                <w:spacing w:val="24"/>
                <w:w w:val="101"/>
                <w:sz w:val="20"/>
                <w:szCs w:val="20"/>
              </w:rPr>
              <w:t xml:space="preserve"> </w:t>
            </w:r>
            <w:r>
              <w:rPr>
                <w:rFonts w:ascii="仿宋" w:hAnsi="仿宋" w:eastAsia="仿宋" w:cs="仿宋"/>
                <w:spacing w:val="11"/>
                <w:sz w:val="20"/>
                <w:szCs w:val="20"/>
              </w:rPr>
              <w:t>年沙圪堵镇、十二连城乡自然村通</w:t>
            </w:r>
            <w:r>
              <w:rPr>
                <w:rFonts w:ascii="仿宋" w:hAnsi="仿宋" w:eastAsia="仿宋" w:cs="仿宋"/>
                <w:spacing w:val="10"/>
                <w:sz w:val="20"/>
                <w:szCs w:val="20"/>
              </w:rPr>
              <w:t>硬化路工程可行性</w:t>
            </w:r>
            <w:r>
              <w:rPr>
                <w:rFonts w:ascii="仿宋" w:hAnsi="仿宋" w:eastAsia="仿宋" w:cs="仿宋"/>
                <w:spacing w:val="-4"/>
                <w:sz w:val="20"/>
                <w:szCs w:val="20"/>
              </w:rPr>
              <w:t>研</w:t>
            </w:r>
            <w:r>
              <w:rPr>
                <w:rFonts w:ascii="仿宋" w:hAnsi="仿宋" w:eastAsia="仿宋" w:cs="仿宋"/>
                <w:spacing w:val="-38"/>
                <w:sz w:val="20"/>
                <w:szCs w:val="20"/>
              </w:rPr>
              <w:t xml:space="preserve"> </w:t>
            </w:r>
            <w:r>
              <w:rPr>
                <w:rFonts w:ascii="仿宋" w:hAnsi="仿宋" w:eastAsia="仿宋" w:cs="仿宋"/>
                <w:spacing w:val="-4"/>
                <w:sz w:val="20"/>
                <w:szCs w:val="20"/>
              </w:rPr>
              <w:t>究</w:t>
            </w:r>
            <w:r>
              <w:rPr>
                <w:rFonts w:ascii="仿宋" w:hAnsi="仿宋" w:eastAsia="仿宋" w:cs="仿宋"/>
                <w:spacing w:val="-50"/>
                <w:sz w:val="20"/>
                <w:szCs w:val="20"/>
              </w:rPr>
              <w:t xml:space="preserve"> </w:t>
            </w:r>
            <w:r>
              <w:rPr>
                <w:rFonts w:ascii="仿宋" w:hAnsi="仿宋" w:eastAsia="仿宋" w:cs="仿宋"/>
                <w:spacing w:val="-4"/>
                <w:sz w:val="20"/>
                <w:szCs w:val="20"/>
              </w:rPr>
              <w:t>报</w:t>
            </w:r>
            <w:r>
              <w:rPr>
                <w:rFonts w:ascii="仿宋" w:hAnsi="仿宋" w:eastAsia="仿宋" w:cs="仿宋"/>
                <w:spacing w:val="-51"/>
                <w:sz w:val="20"/>
                <w:szCs w:val="20"/>
              </w:rPr>
              <w:t xml:space="preserve"> </w:t>
            </w:r>
            <w:r>
              <w:rPr>
                <w:rFonts w:ascii="仿宋" w:hAnsi="仿宋" w:eastAsia="仿宋" w:cs="仿宋"/>
                <w:spacing w:val="-4"/>
                <w:sz w:val="20"/>
                <w:szCs w:val="20"/>
              </w:rPr>
              <w:t>告</w:t>
            </w:r>
            <w:r>
              <w:rPr>
                <w:rFonts w:ascii="仿宋" w:hAnsi="仿宋" w:eastAsia="仿宋" w:cs="仿宋"/>
                <w:spacing w:val="-40"/>
                <w:sz w:val="20"/>
                <w:szCs w:val="20"/>
              </w:rPr>
              <w:t xml:space="preserve"> </w:t>
            </w:r>
            <w:r>
              <w:rPr>
                <w:rFonts w:ascii="仿宋" w:hAnsi="仿宋" w:eastAsia="仿宋" w:cs="仿宋"/>
                <w:spacing w:val="-4"/>
                <w:sz w:val="20"/>
                <w:szCs w:val="20"/>
              </w:rPr>
              <w:t>的</w:t>
            </w:r>
            <w:r>
              <w:rPr>
                <w:rFonts w:ascii="仿宋" w:hAnsi="仿宋" w:eastAsia="仿宋" w:cs="仿宋"/>
                <w:spacing w:val="-51"/>
                <w:sz w:val="20"/>
                <w:szCs w:val="20"/>
              </w:rPr>
              <w:t xml:space="preserve"> </w:t>
            </w:r>
            <w:r>
              <w:rPr>
                <w:rFonts w:ascii="仿宋" w:hAnsi="仿宋" w:eastAsia="仿宋" w:cs="仿宋"/>
                <w:spacing w:val="-4"/>
                <w:sz w:val="20"/>
                <w:szCs w:val="20"/>
              </w:rPr>
              <w:t>批</w:t>
            </w:r>
            <w:r>
              <w:rPr>
                <w:rFonts w:ascii="仿宋" w:hAnsi="仿宋" w:eastAsia="仿宋" w:cs="仿宋"/>
                <w:spacing w:val="-40"/>
                <w:sz w:val="20"/>
                <w:szCs w:val="20"/>
              </w:rPr>
              <w:t xml:space="preserve"> </w:t>
            </w:r>
            <w:r>
              <w:rPr>
                <w:rFonts w:ascii="仿宋" w:hAnsi="仿宋" w:eastAsia="仿宋" w:cs="仿宋"/>
                <w:spacing w:val="-4"/>
                <w:sz w:val="20"/>
                <w:szCs w:val="20"/>
              </w:rPr>
              <w:t>复</w:t>
            </w:r>
            <w:r>
              <w:rPr>
                <w:rFonts w:ascii="仿宋" w:hAnsi="仿宋" w:eastAsia="仿宋" w:cs="仿宋"/>
                <w:spacing w:val="-45"/>
                <w:sz w:val="20"/>
                <w:szCs w:val="20"/>
              </w:rPr>
              <w:t xml:space="preserve"> </w:t>
            </w:r>
            <w:r>
              <w:rPr>
                <w:rFonts w:ascii="仿宋" w:hAnsi="仿宋" w:eastAsia="仿宋" w:cs="仿宋"/>
                <w:spacing w:val="-4"/>
                <w:sz w:val="20"/>
                <w:szCs w:val="20"/>
              </w:rPr>
              <w:t>》</w:t>
            </w:r>
            <w:r>
              <w:rPr>
                <w:rFonts w:ascii="仿宋" w:hAnsi="仿宋" w:eastAsia="仿宋" w:cs="仿宋"/>
                <w:spacing w:val="-56"/>
                <w:sz w:val="20"/>
                <w:szCs w:val="20"/>
              </w:rPr>
              <w:t xml:space="preserve"> </w:t>
            </w:r>
            <w:r>
              <w:rPr>
                <w:rFonts w:ascii="仿宋" w:hAnsi="仿宋" w:eastAsia="仿宋" w:cs="仿宋"/>
                <w:spacing w:val="-4"/>
                <w:sz w:val="20"/>
                <w:szCs w:val="20"/>
              </w:rPr>
              <w:t>（准</w:t>
            </w:r>
            <w:r>
              <w:rPr>
                <w:rFonts w:ascii="仿宋" w:hAnsi="仿宋" w:eastAsia="仿宋" w:cs="仿宋"/>
                <w:spacing w:val="-45"/>
                <w:sz w:val="20"/>
                <w:szCs w:val="20"/>
              </w:rPr>
              <w:t xml:space="preserve"> </w:t>
            </w:r>
            <w:r>
              <w:rPr>
                <w:rFonts w:ascii="仿宋" w:hAnsi="仿宋" w:eastAsia="仿宋" w:cs="仿宋"/>
                <w:spacing w:val="-4"/>
                <w:sz w:val="20"/>
                <w:szCs w:val="20"/>
              </w:rPr>
              <w:t>发</w:t>
            </w:r>
            <w:r>
              <w:rPr>
                <w:rFonts w:ascii="仿宋" w:hAnsi="仿宋" w:eastAsia="仿宋" w:cs="仿宋"/>
                <w:spacing w:val="-39"/>
                <w:sz w:val="20"/>
                <w:szCs w:val="20"/>
              </w:rPr>
              <w:t xml:space="preserve"> </w:t>
            </w:r>
            <w:r>
              <w:rPr>
                <w:rFonts w:ascii="仿宋" w:hAnsi="仿宋" w:eastAsia="仿宋" w:cs="仿宋"/>
                <w:spacing w:val="-4"/>
                <w:sz w:val="20"/>
                <w:szCs w:val="20"/>
              </w:rPr>
              <w:t>改</w:t>
            </w:r>
            <w:r>
              <w:rPr>
                <w:rFonts w:ascii="仿宋" w:hAnsi="仿宋" w:eastAsia="仿宋" w:cs="仿宋"/>
                <w:spacing w:val="-34"/>
                <w:sz w:val="20"/>
                <w:szCs w:val="20"/>
              </w:rPr>
              <w:t xml:space="preserve"> </w:t>
            </w:r>
            <w:r>
              <w:rPr>
                <w:rFonts w:ascii="仿宋" w:hAnsi="仿宋" w:eastAsia="仿宋" w:cs="仿宋"/>
                <w:spacing w:val="-4"/>
                <w:sz w:val="20"/>
                <w:szCs w:val="20"/>
              </w:rPr>
              <w:t>审</w:t>
            </w:r>
            <w:r>
              <w:rPr>
                <w:rFonts w:ascii="仿宋" w:hAnsi="仿宋" w:eastAsia="仿宋" w:cs="仿宋"/>
                <w:spacing w:val="-50"/>
                <w:sz w:val="20"/>
                <w:szCs w:val="20"/>
              </w:rPr>
              <w:t xml:space="preserve"> </w:t>
            </w:r>
            <w:r>
              <w:rPr>
                <w:rFonts w:ascii="仿宋" w:hAnsi="仿宋" w:eastAsia="仿宋" w:cs="仿宋"/>
                <w:spacing w:val="-4"/>
                <w:sz w:val="20"/>
                <w:szCs w:val="20"/>
              </w:rPr>
              <w:t>批</w:t>
            </w:r>
            <w:r>
              <w:rPr>
                <w:rFonts w:ascii="仿宋" w:hAnsi="仿宋" w:eastAsia="仿宋" w:cs="仿宋"/>
                <w:spacing w:val="-45"/>
                <w:sz w:val="20"/>
                <w:szCs w:val="20"/>
              </w:rPr>
              <w:t xml:space="preserve"> </w:t>
            </w:r>
            <w:r>
              <w:rPr>
                <w:rFonts w:ascii="仿宋" w:hAnsi="仿宋" w:eastAsia="仿宋" w:cs="仿宋"/>
                <w:spacing w:val="-4"/>
                <w:sz w:val="20"/>
                <w:szCs w:val="20"/>
              </w:rPr>
              <w:t>发</w:t>
            </w:r>
            <w:r>
              <w:rPr>
                <w:spacing w:val="-4"/>
                <w:sz w:val="20"/>
                <w:szCs w:val="20"/>
              </w:rPr>
              <w:t>[</w:t>
            </w:r>
            <w:r>
              <w:fldChar w:fldCharType="begin"/>
            </w:r>
            <w:r>
              <w:instrText xml:space="preserve"> HYPERLINK \l "bookmark2" </w:instrText>
            </w:r>
            <w:r>
              <w:fldChar w:fldCharType="separate"/>
            </w:r>
            <w:r>
              <w:rPr>
                <w:spacing w:val="-4"/>
                <w:sz w:val="20"/>
                <w:szCs w:val="20"/>
              </w:rPr>
              <w:t>2025</w:t>
            </w:r>
            <w:r>
              <w:rPr>
                <w:spacing w:val="-4"/>
                <w:sz w:val="20"/>
                <w:szCs w:val="20"/>
              </w:rPr>
              <w:fldChar w:fldCharType="end"/>
            </w:r>
            <w:r>
              <w:rPr>
                <w:spacing w:val="-4"/>
                <w:sz w:val="20"/>
                <w:szCs w:val="20"/>
              </w:rPr>
              <w:t xml:space="preserve">]207  </w:t>
            </w:r>
            <w:r>
              <w:rPr>
                <w:rFonts w:ascii="仿宋" w:hAnsi="仿宋" w:eastAsia="仿宋" w:cs="仿宋"/>
                <w:spacing w:val="-4"/>
                <w:sz w:val="20"/>
                <w:szCs w:val="20"/>
              </w:rPr>
              <w:t>号</w:t>
            </w:r>
            <w:r>
              <w:rPr>
                <w:rFonts w:ascii="仿宋" w:hAnsi="仿宋" w:eastAsia="仿宋" w:cs="仿宋"/>
                <w:spacing w:val="-34"/>
                <w:sz w:val="20"/>
                <w:szCs w:val="20"/>
              </w:rPr>
              <w:t xml:space="preserve"> </w:t>
            </w:r>
            <w:r>
              <w:rPr>
                <w:rFonts w:ascii="仿宋" w:hAnsi="仿宋" w:eastAsia="仿宋" w:cs="仿宋"/>
                <w:spacing w:val="-24"/>
                <w:sz w:val="20"/>
                <w:szCs w:val="20"/>
              </w:rPr>
              <w:t>）</w:t>
            </w:r>
            <w:r>
              <w:rPr>
                <w:rFonts w:ascii="仿宋" w:hAnsi="仿宋" w:eastAsia="仿宋" w:cs="仿宋"/>
                <w:spacing w:val="-54"/>
                <w:sz w:val="20"/>
                <w:szCs w:val="20"/>
              </w:rPr>
              <w:t xml:space="preserve"> </w:t>
            </w:r>
            <w:r>
              <w:rPr>
                <w:rFonts w:ascii="仿宋" w:hAnsi="仿宋" w:eastAsia="仿宋" w:cs="仿宋"/>
                <w:spacing w:val="-24"/>
                <w:sz w:val="20"/>
                <w:szCs w:val="20"/>
              </w:rPr>
              <w:t>（</w:t>
            </w:r>
            <w:r>
              <w:rPr>
                <w:rFonts w:ascii="仿宋" w:hAnsi="仿宋" w:eastAsia="仿宋" w:cs="仿宋"/>
                <w:spacing w:val="-18"/>
                <w:sz w:val="20"/>
                <w:szCs w:val="20"/>
              </w:rPr>
              <w:t xml:space="preserve"> </w:t>
            </w:r>
            <w:r>
              <w:rPr>
                <w:rFonts w:ascii="仿宋" w:hAnsi="仿宋" w:eastAsia="仿宋" w:cs="仿宋"/>
                <w:spacing w:val="-4"/>
                <w:sz w:val="20"/>
                <w:szCs w:val="20"/>
              </w:rPr>
              <w:t>见</w:t>
            </w:r>
            <w:r>
              <w:rPr>
                <w:rFonts w:ascii="仿宋" w:hAnsi="仿宋" w:eastAsia="仿宋" w:cs="仿宋"/>
                <w:spacing w:val="-44"/>
                <w:sz w:val="20"/>
                <w:szCs w:val="20"/>
              </w:rPr>
              <w:t xml:space="preserve"> </w:t>
            </w:r>
            <w:r>
              <w:rPr>
                <w:rFonts w:ascii="仿宋" w:hAnsi="仿宋" w:eastAsia="仿宋" w:cs="仿宋"/>
                <w:spacing w:val="-4"/>
                <w:sz w:val="20"/>
                <w:szCs w:val="20"/>
              </w:rPr>
              <w:t>附</w:t>
            </w:r>
            <w:r>
              <w:rPr>
                <w:rFonts w:ascii="仿宋" w:hAnsi="仿宋" w:eastAsia="仿宋" w:cs="仿宋"/>
                <w:spacing w:val="-51"/>
                <w:sz w:val="20"/>
                <w:szCs w:val="20"/>
              </w:rPr>
              <w:t xml:space="preserve"> </w:t>
            </w:r>
            <w:r>
              <w:rPr>
                <w:rFonts w:ascii="仿宋" w:hAnsi="仿宋" w:eastAsia="仿宋" w:cs="仿宋"/>
                <w:spacing w:val="-4"/>
                <w:sz w:val="20"/>
                <w:szCs w:val="20"/>
              </w:rPr>
              <w:t xml:space="preserve">件 </w:t>
            </w:r>
            <w:r>
              <w:rPr>
                <w:spacing w:val="-4"/>
                <w:sz w:val="20"/>
                <w:szCs w:val="20"/>
              </w:rPr>
              <w:t>2</w:t>
            </w:r>
            <w:r>
              <w:rPr>
                <w:spacing w:val="15"/>
                <w:w w:val="101"/>
                <w:sz w:val="20"/>
                <w:szCs w:val="20"/>
              </w:rPr>
              <w:t xml:space="preserve"> </w:t>
            </w:r>
            <w:r>
              <w:rPr>
                <w:rFonts w:ascii="仿宋" w:hAnsi="仿宋" w:eastAsia="仿宋" w:cs="仿宋"/>
                <w:spacing w:val="-24"/>
                <w:sz w:val="20"/>
                <w:szCs w:val="20"/>
              </w:rPr>
              <w:t>）</w:t>
            </w:r>
            <w:r>
              <w:rPr>
                <w:rFonts w:ascii="仿宋" w:hAnsi="仿宋" w:eastAsia="仿宋" w:cs="仿宋"/>
                <w:spacing w:val="-31"/>
                <w:sz w:val="20"/>
                <w:szCs w:val="20"/>
              </w:rPr>
              <w:t xml:space="preserve"> </w:t>
            </w:r>
            <w:r>
              <w:rPr>
                <w:rFonts w:ascii="仿宋" w:hAnsi="仿宋" w:eastAsia="仿宋" w:cs="仿宋"/>
                <w:spacing w:val="-24"/>
                <w:sz w:val="20"/>
                <w:szCs w:val="20"/>
              </w:rPr>
              <w:t>，</w:t>
            </w:r>
            <w:r>
              <w:rPr>
                <w:rFonts w:ascii="仿宋" w:hAnsi="仿宋" w:eastAsia="仿宋" w:cs="仿宋"/>
                <w:spacing w:val="-43"/>
                <w:sz w:val="20"/>
                <w:szCs w:val="20"/>
              </w:rPr>
              <w:t xml:space="preserve"> </w:t>
            </w:r>
            <w:r>
              <w:rPr>
                <w:rFonts w:ascii="仿宋" w:hAnsi="仿宋" w:eastAsia="仿宋" w:cs="仿宋"/>
                <w:spacing w:val="-4"/>
                <w:sz w:val="20"/>
                <w:szCs w:val="20"/>
              </w:rPr>
              <w:t>项 目</w:t>
            </w:r>
            <w:r>
              <w:rPr>
                <w:rFonts w:ascii="仿宋" w:hAnsi="仿宋" w:eastAsia="仿宋" w:cs="仿宋"/>
                <w:spacing w:val="-48"/>
                <w:sz w:val="20"/>
                <w:szCs w:val="20"/>
              </w:rPr>
              <w:t xml:space="preserve"> </w:t>
            </w:r>
            <w:r>
              <w:rPr>
                <w:rFonts w:ascii="仿宋" w:hAnsi="仿宋" w:eastAsia="仿宋" w:cs="仿宋"/>
                <w:spacing w:val="-4"/>
                <w:sz w:val="20"/>
                <w:szCs w:val="20"/>
              </w:rPr>
              <w:t>代</w:t>
            </w:r>
            <w:r>
              <w:rPr>
                <w:rFonts w:ascii="仿宋" w:hAnsi="仿宋" w:eastAsia="仿宋" w:cs="仿宋"/>
                <w:spacing w:val="-51"/>
                <w:sz w:val="20"/>
                <w:szCs w:val="20"/>
              </w:rPr>
              <w:t xml:space="preserve"> </w:t>
            </w:r>
            <w:r>
              <w:rPr>
                <w:rFonts w:ascii="仿宋" w:hAnsi="仿宋" w:eastAsia="仿宋" w:cs="仿宋"/>
                <w:spacing w:val="-4"/>
                <w:sz w:val="20"/>
                <w:szCs w:val="20"/>
              </w:rPr>
              <w:t>码</w:t>
            </w:r>
            <w:r>
              <w:rPr>
                <w:rFonts w:ascii="仿宋" w:hAnsi="仿宋" w:eastAsia="仿宋" w:cs="仿宋"/>
                <w:spacing w:val="-35"/>
                <w:sz w:val="20"/>
                <w:szCs w:val="20"/>
              </w:rPr>
              <w:t xml:space="preserve"> </w:t>
            </w:r>
            <w:r>
              <w:rPr>
                <w:rFonts w:ascii="仿宋" w:hAnsi="仿宋" w:eastAsia="仿宋" w:cs="仿宋"/>
                <w:spacing w:val="-4"/>
                <w:sz w:val="20"/>
                <w:szCs w:val="20"/>
              </w:rPr>
              <w:t>：</w:t>
            </w:r>
            <w:r>
              <w:rPr>
                <w:rFonts w:ascii="仿宋" w:hAnsi="仿宋" w:eastAsia="仿宋" w:cs="仿宋"/>
                <w:sz w:val="20"/>
                <w:szCs w:val="20"/>
              </w:rPr>
              <w:t xml:space="preserve"> </w:t>
            </w:r>
            <w:r>
              <w:rPr>
                <w:spacing w:val="4"/>
                <w:sz w:val="20"/>
                <w:szCs w:val="20"/>
              </w:rPr>
              <w:t>2410-</w:t>
            </w:r>
            <w:r>
              <w:rPr>
                <w:spacing w:val="-18"/>
                <w:sz w:val="20"/>
                <w:szCs w:val="20"/>
              </w:rPr>
              <w:t xml:space="preserve"> </w:t>
            </w:r>
            <w:r>
              <w:rPr>
                <w:spacing w:val="4"/>
                <w:sz w:val="20"/>
                <w:szCs w:val="20"/>
              </w:rPr>
              <w:t>150622-04-01-768319</w:t>
            </w:r>
            <w:r>
              <w:rPr>
                <w:spacing w:val="-22"/>
                <w:sz w:val="20"/>
                <w:szCs w:val="20"/>
              </w:rPr>
              <w:t xml:space="preserve"> </w:t>
            </w:r>
            <w:r>
              <w:rPr>
                <w:rFonts w:ascii="仿宋" w:hAnsi="仿宋" w:eastAsia="仿宋" w:cs="仿宋"/>
                <w:spacing w:val="4"/>
                <w:sz w:val="20"/>
                <w:szCs w:val="20"/>
              </w:rPr>
              <w:t>，</w:t>
            </w:r>
            <w:r>
              <w:rPr>
                <w:rFonts w:ascii="仿宋" w:hAnsi="仿宋" w:eastAsia="仿宋" w:cs="仿宋"/>
                <w:spacing w:val="-53"/>
                <w:sz w:val="20"/>
                <w:szCs w:val="20"/>
              </w:rPr>
              <w:t xml:space="preserve"> </w:t>
            </w:r>
            <w:r>
              <w:rPr>
                <w:rFonts w:ascii="仿宋" w:hAnsi="仿宋" w:eastAsia="仿宋" w:cs="仿宋"/>
                <w:spacing w:val="4"/>
                <w:sz w:val="20"/>
                <w:szCs w:val="20"/>
              </w:rPr>
              <w:t>同意本项目的建设，</w:t>
            </w:r>
            <w:r>
              <w:rPr>
                <w:rFonts w:ascii="仿宋" w:hAnsi="仿宋" w:eastAsia="仿宋" w:cs="仿宋"/>
                <w:spacing w:val="-59"/>
                <w:sz w:val="20"/>
                <w:szCs w:val="20"/>
              </w:rPr>
              <w:t xml:space="preserve"> </w:t>
            </w:r>
            <w:r>
              <w:rPr>
                <w:rFonts w:ascii="仿宋" w:hAnsi="仿宋" w:eastAsia="仿宋" w:cs="仿宋"/>
                <w:spacing w:val="4"/>
                <w:sz w:val="20"/>
                <w:szCs w:val="20"/>
              </w:rPr>
              <w:t>因此本项目亦符合地方产业政策。</w:t>
            </w:r>
          </w:p>
        </w:tc>
      </w:tr>
    </w:tbl>
    <w:p w14:paraId="5D6F154C">
      <w:pPr>
        <w:pStyle w:val="2"/>
        <w:rPr>
          <w:sz w:val="21"/>
        </w:rPr>
      </w:pPr>
    </w:p>
    <w:p w14:paraId="18483535">
      <w:pPr>
        <w:rPr>
          <w:sz w:val="21"/>
          <w:szCs w:val="21"/>
        </w:rPr>
        <w:sectPr>
          <w:footerReference r:id="rId17" w:type="default"/>
          <w:pgSz w:w="11906" w:h="16839"/>
          <w:pgMar w:top="400" w:right="1306" w:bottom="1504" w:left="1521" w:header="0" w:footer="1342" w:gutter="0"/>
          <w:cols w:space="720" w:num="1"/>
        </w:sectPr>
      </w:pPr>
    </w:p>
    <w:p w14:paraId="0789CFD2">
      <w:pPr>
        <w:pStyle w:val="2"/>
        <w:spacing w:line="245" w:lineRule="auto"/>
        <w:rPr>
          <w:sz w:val="21"/>
        </w:rPr>
      </w:pPr>
    </w:p>
    <w:p w14:paraId="0D98D859">
      <w:pPr>
        <w:pStyle w:val="2"/>
        <w:spacing w:line="245" w:lineRule="auto"/>
        <w:rPr>
          <w:sz w:val="21"/>
        </w:rPr>
      </w:pPr>
    </w:p>
    <w:p w14:paraId="3BE7AB3D">
      <w:pPr>
        <w:pStyle w:val="2"/>
        <w:spacing w:line="245" w:lineRule="auto"/>
        <w:rPr>
          <w:sz w:val="21"/>
        </w:rPr>
      </w:pPr>
    </w:p>
    <w:p w14:paraId="41C5AA34">
      <w:pPr>
        <w:pStyle w:val="2"/>
        <w:spacing w:line="246" w:lineRule="auto"/>
        <w:rPr>
          <w:sz w:val="21"/>
        </w:rPr>
      </w:pPr>
    </w:p>
    <w:p w14:paraId="1D964600">
      <w:pPr>
        <w:spacing w:before="97" w:line="222" w:lineRule="auto"/>
        <w:ind w:left="3428"/>
        <w:outlineLvl w:val="0"/>
        <w:rPr>
          <w:rFonts w:ascii="黑体" w:hAnsi="黑体" w:eastAsia="黑体" w:cs="黑体"/>
          <w:sz w:val="30"/>
          <w:szCs w:val="30"/>
        </w:rPr>
      </w:pPr>
      <w:r>
        <w:rPr>
          <w:rFonts w:ascii="黑体" w:hAnsi="黑体" w:eastAsia="黑体" w:cs="黑体"/>
          <w:spacing w:val="-3"/>
          <w:sz w:val="30"/>
          <w:szCs w:val="30"/>
        </w:rPr>
        <w:t>二、建设内容</w:t>
      </w:r>
    </w:p>
    <w:p w14:paraId="4307BBFA">
      <w:pPr>
        <w:spacing w:line="178" w:lineRule="exact"/>
      </w:pPr>
    </w:p>
    <w:tbl>
      <w:tblPr>
        <w:tblStyle w:val="5"/>
        <w:tblW w:w="8377"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37"/>
        <w:gridCol w:w="7640"/>
      </w:tblGrid>
      <w:tr w14:paraId="03B589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42" w:hRule="atLeast"/>
        </w:trPr>
        <w:tc>
          <w:tcPr>
            <w:tcW w:w="737" w:type="dxa"/>
            <w:tcBorders>
              <w:bottom w:val="single" w:color="000000" w:sz="2" w:space="0"/>
              <w:right w:val="single" w:color="000000" w:sz="2" w:space="0"/>
            </w:tcBorders>
            <w:vAlign w:val="top"/>
          </w:tcPr>
          <w:p w14:paraId="602EDFCA">
            <w:pPr>
              <w:spacing w:line="255" w:lineRule="auto"/>
              <w:rPr>
                <w:rFonts w:ascii="Arial"/>
                <w:sz w:val="21"/>
              </w:rPr>
            </w:pPr>
          </w:p>
          <w:p w14:paraId="66A46518">
            <w:pPr>
              <w:spacing w:line="256" w:lineRule="auto"/>
              <w:rPr>
                <w:rFonts w:ascii="Arial"/>
                <w:sz w:val="21"/>
              </w:rPr>
            </w:pPr>
          </w:p>
          <w:p w14:paraId="09AD66BB">
            <w:pPr>
              <w:spacing w:before="65" w:line="252" w:lineRule="auto"/>
              <w:ind w:left="167" w:right="156"/>
              <w:rPr>
                <w:rFonts w:ascii="仿宋" w:hAnsi="仿宋" w:eastAsia="仿宋" w:cs="仿宋"/>
                <w:sz w:val="20"/>
                <w:szCs w:val="20"/>
              </w:rPr>
            </w:pPr>
            <w:r>
              <w:rPr>
                <w:rFonts w:ascii="仿宋" w:hAnsi="仿宋" w:eastAsia="仿宋" w:cs="仿宋"/>
                <w:spacing w:val="1"/>
                <w:sz w:val="20"/>
                <w:szCs w:val="20"/>
              </w:rPr>
              <w:t>地理位置</w:t>
            </w:r>
          </w:p>
        </w:tc>
        <w:tc>
          <w:tcPr>
            <w:tcW w:w="7640" w:type="dxa"/>
            <w:tcBorders>
              <w:left w:val="single" w:color="000000" w:sz="2" w:space="0"/>
              <w:bottom w:val="single" w:color="000000" w:sz="2" w:space="0"/>
            </w:tcBorders>
            <w:vAlign w:val="top"/>
          </w:tcPr>
          <w:p w14:paraId="54DAF69E">
            <w:pPr>
              <w:spacing w:before="37" w:line="368" w:lineRule="auto"/>
              <w:ind w:left="13" w:right="6" w:firstLine="417"/>
              <w:jc w:val="both"/>
              <w:rPr>
                <w:rFonts w:ascii="仿宋" w:hAnsi="仿宋" w:eastAsia="仿宋" w:cs="仿宋"/>
                <w:sz w:val="20"/>
                <w:szCs w:val="20"/>
              </w:rPr>
            </w:pPr>
            <w:r>
              <w:rPr>
                <w:rFonts w:ascii="仿宋" w:hAnsi="仿宋" w:eastAsia="仿宋" w:cs="仿宋"/>
                <w:spacing w:val="10"/>
                <w:sz w:val="20"/>
                <w:szCs w:val="20"/>
              </w:rPr>
              <w:t>本项目位于准格尔旗沙圪堵镇双山梁村、</w:t>
            </w:r>
            <w:r>
              <w:rPr>
                <w:rFonts w:ascii="仿宋" w:hAnsi="仿宋" w:eastAsia="仿宋" w:cs="仿宋"/>
                <w:spacing w:val="-49"/>
                <w:sz w:val="20"/>
                <w:szCs w:val="20"/>
              </w:rPr>
              <w:t xml:space="preserve"> </w:t>
            </w:r>
            <w:r>
              <w:rPr>
                <w:rFonts w:ascii="仿宋" w:hAnsi="仿宋" w:eastAsia="仿宋" w:cs="仿宋"/>
                <w:spacing w:val="10"/>
                <w:sz w:val="20"/>
                <w:szCs w:val="20"/>
              </w:rPr>
              <w:t>四道包村、乌拉素村和十二连城乡柴</w:t>
            </w:r>
            <w:r>
              <w:rPr>
                <w:rFonts w:ascii="仿宋" w:hAnsi="仿宋" w:eastAsia="仿宋" w:cs="仿宋"/>
                <w:spacing w:val="9"/>
                <w:sz w:val="20"/>
                <w:szCs w:val="20"/>
              </w:rPr>
              <w:t>登村、二道拐村、脑包湾村、杨子华村共两镇七村，路线全长</w:t>
            </w:r>
            <w:r>
              <w:rPr>
                <w:rFonts w:ascii="仿宋" w:hAnsi="仿宋" w:eastAsia="仿宋" w:cs="仿宋"/>
                <w:spacing w:val="-33"/>
                <w:sz w:val="20"/>
                <w:szCs w:val="20"/>
              </w:rPr>
              <w:t xml:space="preserve"> </w:t>
            </w:r>
            <w:r>
              <w:rPr>
                <w:rFonts w:ascii="仿宋" w:hAnsi="仿宋" w:eastAsia="仿宋" w:cs="仿宋"/>
                <w:spacing w:val="9"/>
                <w:sz w:val="20"/>
                <w:szCs w:val="20"/>
              </w:rPr>
              <w:t>26.508</w:t>
            </w:r>
            <w:r>
              <w:rPr>
                <w:rFonts w:ascii="仿宋" w:hAnsi="仿宋" w:eastAsia="仿宋" w:cs="仿宋"/>
                <w:sz w:val="20"/>
                <w:szCs w:val="20"/>
              </w:rPr>
              <w:t>km</w:t>
            </w:r>
            <w:r>
              <w:rPr>
                <w:rFonts w:ascii="仿宋" w:hAnsi="仿宋" w:eastAsia="仿宋" w:cs="仿宋"/>
                <w:spacing w:val="9"/>
                <w:sz w:val="20"/>
                <w:szCs w:val="20"/>
              </w:rPr>
              <w:t>，其中：沙</w:t>
            </w:r>
            <w:r>
              <w:rPr>
                <w:rFonts w:ascii="仿宋" w:hAnsi="仿宋" w:eastAsia="仿宋" w:cs="仿宋"/>
                <w:spacing w:val="6"/>
                <w:sz w:val="20"/>
                <w:szCs w:val="20"/>
              </w:rPr>
              <w:t>圪堵镇路线全长</w:t>
            </w:r>
            <w:r>
              <w:rPr>
                <w:rFonts w:ascii="仿宋" w:hAnsi="仿宋" w:eastAsia="仿宋" w:cs="仿宋"/>
                <w:spacing w:val="-24"/>
                <w:sz w:val="20"/>
                <w:szCs w:val="20"/>
              </w:rPr>
              <w:t xml:space="preserve"> </w:t>
            </w:r>
            <w:r>
              <w:rPr>
                <w:rFonts w:ascii="仿宋" w:hAnsi="仿宋" w:eastAsia="仿宋" w:cs="仿宋"/>
                <w:spacing w:val="6"/>
                <w:sz w:val="20"/>
                <w:szCs w:val="20"/>
              </w:rPr>
              <w:t>11.366</w:t>
            </w:r>
            <w:r>
              <w:rPr>
                <w:rFonts w:ascii="仿宋" w:hAnsi="仿宋" w:eastAsia="仿宋" w:cs="仿宋"/>
                <w:sz w:val="20"/>
                <w:szCs w:val="20"/>
              </w:rPr>
              <w:t>km</w:t>
            </w:r>
            <w:r>
              <w:rPr>
                <w:rFonts w:ascii="仿宋" w:hAnsi="仿宋" w:eastAsia="仿宋" w:cs="仿宋"/>
                <w:spacing w:val="6"/>
                <w:sz w:val="20"/>
                <w:szCs w:val="20"/>
              </w:rPr>
              <w:t>，共分为</w:t>
            </w:r>
            <w:r>
              <w:rPr>
                <w:rFonts w:ascii="仿宋" w:hAnsi="仿宋" w:eastAsia="仿宋" w:cs="仿宋"/>
                <w:spacing w:val="-41"/>
                <w:sz w:val="20"/>
                <w:szCs w:val="20"/>
              </w:rPr>
              <w:t xml:space="preserve"> </w:t>
            </w:r>
            <w:r>
              <w:rPr>
                <w:rFonts w:ascii="仿宋" w:hAnsi="仿宋" w:eastAsia="仿宋" w:cs="仿宋"/>
                <w:spacing w:val="6"/>
                <w:sz w:val="20"/>
                <w:szCs w:val="20"/>
              </w:rPr>
              <w:t>4</w:t>
            </w:r>
            <w:r>
              <w:rPr>
                <w:rFonts w:ascii="仿宋" w:hAnsi="仿宋" w:eastAsia="仿宋" w:cs="仿宋"/>
                <w:spacing w:val="-30"/>
                <w:sz w:val="20"/>
                <w:szCs w:val="20"/>
              </w:rPr>
              <w:t xml:space="preserve"> </w:t>
            </w:r>
            <w:r>
              <w:rPr>
                <w:rFonts w:ascii="仿宋" w:hAnsi="仿宋" w:eastAsia="仿宋" w:cs="仿宋"/>
                <w:spacing w:val="6"/>
                <w:sz w:val="20"/>
                <w:szCs w:val="20"/>
              </w:rPr>
              <w:t>条路线；十二连城</w:t>
            </w:r>
            <w:r>
              <w:rPr>
                <w:rFonts w:ascii="仿宋" w:hAnsi="仿宋" w:eastAsia="仿宋" w:cs="仿宋"/>
                <w:spacing w:val="5"/>
                <w:sz w:val="20"/>
                <w:szCs w:val="20"/>
              </w:rPr>
              <w:t>乡路线全长</w:t>
            </w:r>
            <w:r>
              <w:rPr>
                <w:rFonts w:ascii="仿宋" w:hAnsi="仿宋" w:eastAsia="仿宋" w:cs="仿宋"/>
                <w:spacing w:val="-22"/>
                <w:sz w:val="20"/>
                <w:szCs w:val="20"/>
              </w:rPr>
              <w:t xml:space="preserve"> </w:t>
            </w:r>
            <w:r>
              <w:rPr>
                <w:rFonts w:ascii="仿宋" w:hAnsi="仿宋" w:eastAsia="仿宋" w:cs="仿宋"/>
                <w:spacing w:val="5"/>
                <w:sz w:val="20"/>
                <w:szCs w:val="20"/>
              </w:rPr>
              <w:t>15.142</w:t>
            </w:r>
            <w:r>
              <w:rPr>
                <w:rFonts w:ascii="仿宋" w:hAnsi="仿宋" w:eastAsia="仿宋" w:cs="仿宋"/>
                <w:sz w:val="20"/>
                <w:szCs w:val="20"/>
              </w:rPr>
              <w:t>km</w:t>
            </w:r>
            <w:r>
              <w:rPr>
                <w:rFonts w:ascii="仿宋" w:hAnsi="仿宋" w:eastAsia="仿宋" w:cs="仿宋"/>
                <w:spacing w:val="5"/>
                <w:sz w:val="20"/>
                <w:szCs w:val="20"/>
              </w:rPr>
              <w:t>，共分</w:t>
            </w:r>
            <w:r>
              <w:rPr>
                <w:rFonts w:ascii="仿宋" w:hAnsi="仿宋" w:eastAsia="仿宋" w:cs="仿宋"/>
                <w:spacing w:val="4"/>
                <w:sz w:val="20"/>
                <w:szCs w:val="20"/>
              </w:rPr>
              <w:t>为</w:t>
            </w:r>
            <w:r>
              <w:rPr>
                <w:rFonts w:ascii="仿宋" w:hAnsi="仿宋" w:eastAsia="仿宋" w:cs="仿宋"/>
                <w:spacing w:val="-26"/>
                <w:sz w:val="20"/>
                <w:szCs w:val="20"/>
              </w:rPr>
              <w:t xml:space="preserve"> </w:t>
            </w:r>
            <w:r>
              <w:rPr>
                <w:rFonts w:ascii="仿宋" w:hAnsi="仿宋" w:eastAsia="仿宋" w:cs="仿宋"/>
                <w:spacing w:val="4"/>
                <w:sz w:val="20"/>
                <w:szCs w:val="20"/>
              </w:rPr>
              <w:t>6</w:t>
            </w:r>
            <w:r>
              <w:rPr>
                <w:rFonts w:ascii="仿宋" w:hAnsi="仿宋" w:eastAsia="仿宋" w:cs="仿宋"/>
                <w:spacing w:val="-30"/>
                <w:sz w:val="20"/>
                <w:szCs w:val="20"/>
              </w:rPr>
              <w:t xml:space="preserve"> </w:t>
            </w:r>
            <w:r>
              <w:rPr>
                <w:rFonts w:ascii="仿宋" w:hAnsi="仿宋" w:eastAsia="仿宋" w:cs="仿宋"/>
                <w:spacing w:val="4"/>
                <w:sz w:val="20"/>
                <w:szCs w:val="20"/>
              </w:rPr>
              <w:t>条线路，项目地理位置见附图</w:t>
            </w:r>
            <w:r>
              <w:rPr>
                <w:rFonts w:ascii="仿宋" w:hAnsi="仿宋" w:eastAsia="仿宋" w:cs="仿宋"/>
                <w:spacing w:val="-25"/>
                <w:sz w:val="20"/>
                <w:szCs w:val="20"/>
              </w:rPr>
              <w:t xml:space="preserve"> </w:t>
            </w:r>
            <w:r>
              <w:rPr>
                <w:rFonts w:ascii="仿宋" w:hAnsi="仿宋" w:eastAsia="仿宋" w:cs="仿宋"/>
                <w:spacing w:val="4"/>
                <w:sz w:val="20"/>
                <w:szCs w:val="20"/>
              </w:rPr>
              <w:t>1。</w:t>
            </w:r>
          </w:p>
        </w:tc>
      </w:tr>
      <w:tr w14:paraId="0519BF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42" w:hRule="atLeast"/>
        </w:trPr>
        <w:tc>
          <w:tcPr>
            <w:tcW w:w="737" w:type="dxa"/>
            <w:tcBorders>
              <w:top w:val="single" w:color="000000" w:sz="2" w:space="0"/>
              <w:right w:val="single" w:color="000000" w:sz="2" w:space="0"/>
            </w:tcBorders>
            <w:vAlign w:val="top"/>
          </w:tcPr>
          <w:p w14:paraId="30CB721C">
            <w:pPr>
              <w:spacing w:line="249" w:lineRule="auto"/>
              <w:rPr>
                <w:rFonts w:ascii="Arial"/>
                <w:sz w:val="21"/>
              </w:rPr>
            </w:pPr>
          </w:p>
          <w:p w14:paraId="6752C5BC">
            <w:pPr>
              <w:spacing w:line="249" w:lineRule="auto"/>
              <w:rPr>
                <w:rFonts w:ascii="Arial"/>
                <w:sz w:val="21"/>
              </w:rPr>
            </w:pPr>
          </w:p>
          <w:p w14:paraId="72C9A749">
            <w:pPr>
              <w:spacing w:line="249" w:lineRule="auto"/>
              <w:rPr>
                <w:rFonts w:ascii="Arial"/>
                <w:sz w:val="21"/>
              </w:rPr>
            </w:pPr>
          </w:p>
          <w:p w14:paraId="7D3DE2D8">
            <w:pPr>
              <w:spacing w:line="249" w:lineRule="auto"/>
              <w:rPr>
                <w:rFonts w:ascii="Arial"/>
                <w:sz w:val="21"/>
              </w:rPr>
            </w:pPr>
          </w:p>
          <w:p w14:paraId="49834D27">
            <w:pPr>
              <w:spacing w:line="249" w:lineRule="auto"/>
              <w:rPr>
                <w:rFonts w:ascii="Arial"/>
                <w:sz w:val="21"/>
              </w:rPr>
            </w:pPr>
          </w:p>
          <w:p w14:paraId="7BE15AA4">
            <w:pPr>
              <w:spacing w:line="249" w:lineRule="auto"/>
              <w:rPr>
                <w:rFonts w:ascii="Arial"/>
                <w:sz w:val="21"/>
              </w:rPr>
            </w:pPr>
          </w:p>
          <w:p w14:paraId="2F3BF0AC">
            <w:pPr>
              <w:spacing w:line="250" w:lineRule="auto"/>
              <w:rPr>
                <w:rFonts w:ascii="Arial"/>
                <w:sz w:val="21"/>
              </w:rPr>
            </w:pPr>
          </w:p>
          <w:p w14:paraId="24661F63">
            <w:pPr>
              <w:spacing w:line="250" w:lineRule="auto"/>
              <w:rPr>
                <w:rFonts w:ascii="Arial"/>
                <w:sz w:val="21"/>
              </w:rPr>
            </w:pPr>
          </w:p>
          <w:p w14:paraId="654217F5">
            <w:pPr>
              <w:spacing w:line="250" w:lineRule="auto"/>
              <w:rPr>
                <w:rFonts w:ascii="Arial"/>
                <w:sz w:val="21"/>
              </w:rPr>
            </w:pPr>
          </w:p>
          <w:p w14:paraId="620A0770">
            <w:pPr>
              <w:spacing w:line="250" w:lineRule="auto"/>
              <w:rPr>
                <w:rFonts w:ascii="Arial"/>
                <w:sz w:val="21"/>
              </w:rPr>
            </w:pPr>
          </w:p>
          <w:p w14:paraId="1401A347">
            <w:pPr>
              <w:spacing w:line="250" w:lineRule="auto"/>
              <w:rPr>
                <w:rFonts w:ascii="Arial"/>
                <w:sz w:val="21"/>
              </w:rPr>
            </w:pPr>
          </w:p>
          <w:p w14:paraId="23DD50EB">
            <w:pPr>
              <w:spacing w:line="250" w:lineRule="auto"/>
              <w:rPr>
                <w:rFonts w:ascii="Arial"/>
                <w:sz w:val="21"/>
              </w:rPr>
            </w:pPr>
          </w:p>
          <w:p w14:paraId="57AAF0B1">
            <w:pPr>
              <w:spacing w:line="250" w:lineRule="auto"/>
              <w:rPr>
                <w:rFonts w:ascii="Arial"/>
                <w:sz w:val="21"/>
              </w:rPr>
            </w:pPr>
          </w:p>
          <w:p w14:paraId="2A026899">
            <w:pPr>
              <w:spacing w:line="250" w:lineRule="auto"/>
              <w:rPr>
                <w:rFonts w:ascii="Arial"/>
                <w:sz w:val="21"/>
              </w:rPr>
            </w:pPr>
          </w:p>
          <w:p w14:paraId="2EB9EAB8">
            <w:pPr>
              <w:spacing w:line="250" w:lineRule="auto"/>
              <w:rPr>
                <w:rFonts w:ascii="Arial"/>
                <w:sz w:val="21"/>
              </w:rPr>
            </w:pPr>
          </w:p>
          <w:p w14:paraId="399D0D4F">
            <w:pPr>
              <w:spacing w:line="250" w:lineRule="auto"/>
              <w:rPr>
                <w:rFonts w:ascii="Arial"/>
                <w:sz w:val="21"/>
              </w:rPr>
            </w:pPr>
          </w:p>
          <w:p w14:paraId="5D6EFF32">
            <w:pPr>
              <w:spacing w:line="250" w:lineRule="auto"/>
              <w:rPr>
                <w:rFonts w:ascii="Arial"/>
                <w:sz w:val="21"/>
              </w:rPr>
            </w:pPr>
          </w:p>
          <w:p w14:paraId="5103AAFC">
            <w:pPr>
              <w:spacing w:line="250" w:lineRule="auto"/>
              <w:rPr>
                <w:rFonts w:ascii="Arial"/>
                <w:sz w:val="21"/>
              </w:rPr>
            </w:pPr>
          </w:p>
          <w:p w14:paraId="69FC2F32">
            <w:pPr>
              <w:spacing w:line="250" w:lineRule="auto"/>
              <w:rPr>
                <w:rFonts w:ascii="Arial"/>
                <w:sz w:val="21"/>
              </w:rPr>
            </w:pPr>
          </w:p>
          <w:p w14:paraId="3E98A94F">
            <w:pPr>
              <w:spacing w:line="250" w:lineRule="auto"/>
              <w:rPr>
                <w:rFonts w:ascii="Arial"/>
                <w:sz w:val="21"/>
              </w:rPr>
            </w:pPr>
          </w:p>
          <w:p w14:paraId="1923EF3A">
            <w:pPr>
              <w:spacing w:line="250" w:lineRule="auto"/>
              <w:rPr>
                <w:rFonts w:ascii="Arial"/>
                <w:sz w:val="21"/>
              </w:rPr>
            </w:pPr>
          </w:p>
          <w:p w14:paraId="03167C44">
            <w:pPr>
              <w:spacing w:before="65" w:line="232" w:lineRule="auto"/>
              <w:ind w:left="61"/>
              <w:rPr>
                <w:rFonts w:ascii="仿宋" w:hAnsi="仿宋" w:eastAsia="仿宋" w:cs="仿宋"/>
                <w:sz w:val="20"/>
                <w:szCs w:val="20"/>
              </w:rPr>
            </w:pPr>
            <w:r>
              <w:rPr>
                <w:rFonts w:ascii="仿宋" w:hAnsi="仿宋" w:eastAsia="仿宋" w:cs="仿宋"/>
                <w:spacing w:val="4"/>
                <w:sz w:val="20"/>
                <w:szCs w:val="20"/>
              </w:rPr>
              <w:t>项目组</w:t>
            </w:r>
          </w:p>
          <w:p w14:paraId="085E03AA">
            <w:pPr>
              <w:spacing w:before="22" w:line="232" w:lineRule="auto"/>
              <w:ind w:left="63"/>
              <w:rPr>
                <w:rFonts w:ascii="仿宋" w:hAnsi="仿宋" w:eastAsia="仿宋" w:cs="仿宋"/>
                <w:sz w:val="20"/>
                <w:szCs w:val="20"/>
              </w:rPr>
            </w:pPr>
            <w:r>
              <w:rPr>
                <w:rFonts w:ascii="仿宋" w:hAnsi="仿宋" w:eastAsia="仿宋" w:cs="仿宋"/>
                <w:spacing w:val="3"/>
                <w:sz w:val="20"/>
                <w:szCs w:val="20"/>
              </w:rPr>
              <w:t>成及规</w:t>
            </w:r>
          </w:p>
          <w:p w14:paraId="7A310862">
            <w:pPr>
              <w:spacing w:before="19" w:line="232" w:lineRule="auto"/>
              <w:ind w:left="268"/>
              <w:rPr>
                <w:rFonts w:ascii="仿宋" w:hAnsi="仿宋" w:eastAsia="仿宋" w:cs="仿宋"/>
                <w:sz w:val="20"/>
                <w:szCs w:val="20"/>
              </w:rPr>
            </w:pPr>
            <w:r>
              <w:rPr>
                <w:rFonts w:ascii="仿宋" w:hAnsi="仿宋" w:eastAsia="仿宋" w:cs="仿宋"/>
                <w:sz w:val="20"/>
                <w:szCs w:val="20"/>
              </w:rPr>
              <w:t>模</w:t>
            </w:r>
          </w:p>
        </w:tc>
        <w:tc>
          <w:tcPr>
            <w:tcW w:w="7640" w:type="dxa"/>
            <w:tcBorders>
              <w:top w:val="single" w:color="000000" w:sz="2" w:space="0"/>
              <w:left w:val="single" w:color="000000" w:sz="2" w:space="0"/>
            </w:tcBorders>
            <w:vAlign w:val="top"/>
          </w:tcPr>
          <w:p w14:paraId="5F60FE96">
            <w:pPr>
              <w:pStyle w:val="6"/>
              <w:spacing w:before="33" w:line="230" w:lineRule="auto"/>
              <w:ind w:left="430"/>
              <w:rPr>
                <w:rFonts w:ascii="仿宋" w:hAnsi="仿宋" w:eastAsia="仿宋" w:cs="仿宋"/>
                <w:sz w:val="20"/>
                <w:szCs w:val="20"/>
              </w:rPr>
            </w:pPr>
            <w:r>
              <w:rPr>
                <w:b/>
                <w:bCs/>
                <w:sz w:val="20"/>
                <w:szCs w:val="20"/>
              </w:rPr>
              <w:t>1</w:t>
            </w:r>
            <w:r>
              <w:rPr>
                <w:b/>
                <w:bCs/>
                <w:spacing w:val="-19"/>
                <w:sz w:val="20"/>
                <w:szCs w:val="20"/>
              </w:rPr>
              <w:t xml:space="preserve"> </w:t>
            </w:r>
            <w:r>
              <w:rPr>
                <w:rFonts w:ascii="仿宋" w:hAnsi="仿宋" w:eastAsia="仿宋" w:cs="仿宋"/>
                <w:b/>
                <w:bCs/>
                <w:sz w:val="20"/>
                <w:szCs w:val="20"/>
              </w:rPr>
              <w:t>、项目由来</w:t>
            </w:r>
          </w:p>
          <w:p w14:paraId="282664CB">
            <w:pPr>
              <w:pStyle w:val="6"/>
              <w:spacing w:before="158" w:line="376" w:lineRule="auto"/>
              <w:ind w:left="9" w:right="3" w:firstLine="421"/>
              <w:jc w:val="both"/>
              <w:rPr>
                <w:rFonts w:ascii="仿宋" w:hAnsi="仿宋" w:eastAsia="仿宋" w:cs="仿宋"/>
                <w:sz w:val="20"/>
                <w:szCs w:val="20"/>
              </w:rPr>
            </w:pPr>
            <w:r>
              <w:rPr>
                <w:rFonts w:ascii="仿宋" w:hAnsi="仿宋" w:eastAsia="仿宋" w:cs="仿宋"/>
                <w:spacing w:val="10"/>
                <w:sz w:val="20"/>
                <w:szCs w:val="20"/>
              </w:rPr>
              <w:t>农村道路是服务</w:t>
            </w:r>
            <w:r>
              <w:rPr>
                <w:spacing w:val="10"/>
                <w:sz w:val="20"/>
                <w:szCs w:val="20"/>
              </w:rPr>
              <w:t>“</w:t>
            </w:r>
            <w:r>
              <w:rPr>
                <w:spacing w:val="-14"/>
                <w:sz w:val="20"/>
                <w:szCs w:val="20"/>
              </w:rPr>
              <w:t xml:space="preserve"> </w:t>
            </w:r>
            <w:r>
              <w:rPr>
                <w:rFonts w:ascii="仿宋" w:hAnsi="仿宋" w:eastAsia="仿宋" w:cs="仿宋"/>
                <w:spacing w:val="10"/>
                <w:sz w:val="20"/>
                <w:szCs w:val="20"/>
              </w:rPr>
              <w:t>三农</w:t>
            </w:r>
            <w:r>
              <w:rPr>
                <w:spacing w:val="10"/>
                <w:sz w:val="20"/>
                <w:szCs w:val="20"/>
              </w:rPr>
              <w:t>”</w:t>
            </w:r>
            <w:r>
              <w:rPr>
                <w:spacing w:val="-20"/>
                <w:sz w:val="20"/>
                <w:szCs w:val="20"/>
              </w:rPr>
              <w:t xml:space="preserve"> </w:t>
            </w:r>
            <w:r>
              <w:rPr>
                <w:rFonts w:ascii="仿宋" w:hAnsi="仿宋" w:eastAsia="仿宋" w:cs="仿宋"/>
                <w:spacing w:val="10"/>
                <w:sz w:val="20"/>
                <w:szCs w:val="20"/>
              </w:rPr>
              <w:t>的核心公益性基础设施，是全面推进乡村振兴、夯实农</w:t>
            </w:r>
            <w:r>
              <w:rPr>
                <w:rFonts w:ascii="仿宋" w:hAnsi="仿宋" w:eastAsia="仿宋" w:cs="仿宋"/>
                <w:spacing w:val="11"/>
                <w:sz w:val="20"/>
                <w:szCs w:val="20"/>
              </w:rPr>
              <w:t>村发展根基的重要支撑，直接关乎农村经济发展、农民增收致富和乡村人居品质提</w:t>
            </w:r>
            <w:r>
              <w:rPr>
                <w:rFonts w:ascii="仿宋" w:hAnsi="仿宋" w:eastAsia="仿宋" w:cs="仿宋"/>
                <w:spacing w:val="9"/>
                <w:sz w:val="20"/>
                <w:szCs w:val="20"/>
              </w:rPr>
              <w:t>升，在乡村建设、农牧业高质量发展中具有基础性、关键性作用。</w:t>
            </w:r>
          </w:p>
          <w:p w14:paraId="7044F1DE">
            <w:pPr>
              <w:spacing w:before="4" w:line="377" w:lineRule="auto"/>
              <w:ind w:left="8" w:right="6" w:firstLine="458"/>
              <w:jc w:val="both"/>
              <w:rPr>
                <w:rFonts w:ascii="仿宋" w:hAnsi="仿宋" w:eastAsia="仿宋" w:cs="仿宋"/>
                <w:sz w:val="20"/>
                <w:szCs w:val="20"/>
              </w:rPr>
            </w:pPr>
            <w:r>
              <w:rPr>
                <w:rFonts w:ascii="仿宋" w:hAnsi="仿宋" w:eastAsia="仿宋" w:cs="仿宋"/>
                <w:spacing w:val="10"/>
                <w:sz w:val="20"/>
                <w:szCs w:val="20"/>
              </w:rPr>
              <w:t>目前，准格尔旗沙圪堵镇、十二连城乡农村主干道路已基本建成投用，有效保</w:t>
            </w:r>
            <w:r>
              <w:rPr>
                <w:rFonts w:ascii="仿宋" w:hAnsi="仿宋" w:eastAsia="仿宋" w:cs="仿宋"/>
                <w:spacing w:val="11"/>
                <w:sz w:val="20"/>
                <w:szCs w:val="20"/>
              </w:rPr>
              <w:t>障了区域基本通行需求。但辖区部分通村支路尚未完成硬化，仍以土路、简易路面</w:t>
            </w:r>
            <w:r>
              <w:rPr>
                <w:rFonts w:ascii="仿宋" w:hAnsi="仿宋" w:eastAsia="仿宋" w:cs="仿宋"/>
                <w:spacing w:val="9"/>
                <w:sz w:val="20"/>
                <w:szCs w:val="20"/>
              </w:rPr>
              <w:t>为主，通行条件薄弱。其中，沙圪堵镇双山梁村、</w:t>
            </w:r>
            <w:r>
              <w:rPr>
                <w:rFonts w:ascii="仿宋" w:hAnsi="仿宋" w:eastAsia="仿宋" w:cs="仿宋"/>
                <w:spacing w:val="-54"/>
                <w:sz w:val="20"/>
                <w:szCs w:val="20"/>
              </w:rPr>
              <w:t xml:space="preserve"> </w:t>
            </w:r>
            <w:r>
              <w:rPr>
                <w:rFonts w:ascii="仿宋" w:hAnsi="仿宋" w:eastAsia="仿宋" w:cs="仿宋"/>
                <w:spacing w:val="9"/>
                <w:sz w:val="20"/>
                <w:szCs w:val="20"/>
              </w:rPr>
              <w:t>四道包村、乌拉素村，</w:t>
            </w:r>
            <w:r>
              <w:rPr>
                <w:rFonts w:ascii="仿宋" w:hAnsi="仿宋" w:eastAsia="仿宋" w:cs="仿宋"/>
                <w:spacing w:val="-57"/>
                <w:sz w:val="20"/>
                <w:szCs w:val="20"/>
              </w:rPr>
              <w:t xml:space="preserve"> </w:t>
            </w:r>
            <w:r>
              <w:rPr>
                <w:rFonts w:ascii="仿宋" w:hAnsi="仿宋" w:eastAsia="仿宋" w:cs="仿宋"/>
                <w:spacing w:val="9"/>
                <w:sz w:val="20"/>
                <w:szCs w:val="20"/>
              </w:rPr>
              <w:t>以及十二</w:t>
            </w:r>
            <w:r>
              <w:rPr>
                <w:rFonts w:ascii="仿宋" w:hAnsi="仿宋" w:eastAsia="仿宋" w:cs="仿宋"/>
                <w:spacing w:val="11"/>
                <w:sz w:val="20"/>
                <w:szCs w:val="20"/>
              </w:rPr>
              <w:t>连城乡柴登村、二道拐村、脑包湾村、杨子华村共七个行政村，存在多处未硬化土路路段。该类路段抗灾能力极差，每逢雨季、雪季极易出现路面泥泞积水、路基翻浆破损等问题，不仅会造成车辆通行受阻、道路临时中断，给村民日常出行带来极</w:t>
            </w:r>
            <w:r>
              <w:rPr>
                <w:rFonts w:ascii="仿宋" w:hAnsi="仿宋" w:eastAsia="仿宋" w:cs="仿宋"/>
                <w:spacing w:val="9"/>
                <w:sz w:val="20"/>
                <w:szCs w:val="20"/>
              </w:rPr>
              <w:t>大不便，还长期制约沿线群众生活质量提升，阻碍区域乡村可持续发展。</w:t>
            </w:r>
          </w:p>
          <w:p w14:paraId="0BEC611C">
            <w:pPr>
              <w:spacing w:line="376" w:lineRule="auto"/>
              <w:ind w:left="9" w:right="6" w:firstLine="428"/>
              <w:jc w:val="both"/>
              <w:rPr>
                <w:rFonts w:ascii="仿宋" w:hAnsi="仿宋" w:eastAsia="仿宋" w:cs="仿宋"/>
                <w:sz w:val="20"/>
                <w:szCs w:val="20"/>
              </w:rPr>
            </w:pPr>
            <w:r>
              <w:rPr>
                <w:rFonts w:ascii="仿宋" w:hAnsi="仿宋" w:eastAsia="仿宋" w:cs="仿宋"/>
                <w:spacing w:val="11"/>
                <w:sz w:val="20"/>
                <w:szCs w:val="20"/>
              </w:rPr>
              <w:t>为彻底解决农村道路通行难题，改善村级交通条件，上述七个行政村村委会广泛征求村民意见，全体村民均迫切希望尽快实施土路硬化改造。结合群众诉求，各</w:t>
            </w:r>
            <w:r>
              <w:rPr>
                <w:rFonts w:ascii="仿宋" w:hAnsi="仿宋" w:eastAsia="仿宋" w:cs="仿宋"/>
                <w:spacing w:val="9"/>
                <w:sz w:val="20"/>
                <w:szCs w:val="20"/>
              </w:rPr>
              <w:t>村委会向镇政府、旗交通运输局提出道路硬化工程实施申请。</w:t>
            </w:r>
          </w:p>
          <w:p w14:paraId="27DFD5CC">
            <w:pPr>
              <w:pStyle w:val="6"/>
              <w:spacing w:before="7" w:line="376" w:lineRule="auto"/>
              <w:ind w:left="11" w:right="6" w:firstLine="416"/>
              <w:jc w:val="both"/>
              <w:rPr>
                <w:rFonts w:ascii="仿宋" w:hAnsi="仿宋" w:eastAsia="仿宋" w:cs="仿宋"/>
                <w:sz w:val="20"/>
                <w:szCs w:val="20"/>
              </w:rPr>
            </w:pPr>
            <w:r>
              <w:rPr>
                <w:rFonts w:ascii="仿宋" w:hAnsi="仿宋" w:eastAsia="仿宋" w:cs="仿宋"/>
                <w:spacing w:val="12"/>
                <w:sz w:val="20"/>
                <w:szCs w:val="20"/>
              </w:rPr>
              <w:t>旗交通运输局收到申请后，迅速开展实地踏勘，</w:t>
            </w:r>
            <w:r>
              <w:rPr>
                <w:rFonts w:ascii="仿宋" w:hAnsi="仿宋" w:eastAsia="仿宋" w:cs="仿宋"/>
                <w:spacing w:val="11"/>
                <w:sz w:val="20"/>
                <w:szCs w:val="20"/>
              </w:rPr>
              <w:t>摸清辖区村组道路通行短板，</w:t>
            </w:r>
            <w:r>
              <w:rPr>
                <w:rFonts w:ascii="仿宋" w:hAnsi="仿宋" w:eastAsia="仿宋" w:cs="仿宋"/>
                <w:spacing w:val="3"/>
                <w:sz w:val="20"/>
                <w:szCs w:val="20"/>
              </w:rPr>
              <w:t>谋划实施</w:t>
            </w:r>
            <w:r>
              <w:rPr>
                <w:rFonts w:ascii="仿宋" w:hAnsi="仿宋" w:eastAsia="仿宋" w:cs="仿宋"/>
                <w:spacing w:val="-40"/>
                <w:sz w:val="20"/>
                <w:szCs w:val="20"/>
              </w:rPr>
              <w:t xml:space="preserve"> </w:t>
            </w:r>
            <w:r>
              <w:rPr>
                <w:spacing w:val="3"/>
                <w:sz w:val="20"/>
                <w:szCs w:val="20"/>
              </w:rPr>
              <w:t>2025</w:t>
            </w:r>
            <w:r>
              <w:rPr>
                <w:spacing w:val="22"/>
                <w:sz w:val="20"/>
                <w:szCs w:val="20"/>
              </w:rPr>
              <w:t xml:space="preserve"> </w:t>
            </w:r>
            <w:r>
              <w:rPr>
                <w:rFonts w:ascii="仿宋" w:hAnsi="仿宋" w:eastAsia="仿宋" w:cs="仿宋"/>
                <w:spacing w:val="3"/>
                <w:sz w:val="20"/>
                <w:szCs w:val="20"/>
              </w:rPr>
              <w:t>年沙圪堵镇、十二连城乡自然村通硬化路</w:t>
            </w:r>
            <w:r>
              <w:rPr>
                <w:rFonts w:ascii="仿宋" w:hAnsi="仿宋" w:eastAsia="仿宋" w:cs="仿宋"/>
                <w:spacing w:val="2"/>
                <w:sz w:val="20"/>
                <w:szCs w:val="20"/>
              </w:rPr>
              <w:t>工程。</w:t>
            </w:r>
            <w:r>
              <w:rPr>
                <w:spacing w:val="2"/>
                <w:sz w:val="20"/>
                <w:szCs w:val="20"/>
              </w:rPr>
              <w:t>2025</w:t>
            </w:r>
            <w:r>
              <w:rPr>
                <w:spacing w:val="19"/>
                <w:w w:val="101"/>
                <w:sz w:val="20"/>
                <w:szCs w:val="20"/>
              </w:rPr>
              <w:t xml:space="preserve"> </w:t>
            </w:r>
            <w:r>
              <w:rPr>
                <w:rFonts w:ascii="仿宋" w:hAnsi="仿宋" w:eastAsia="仿宋" w:cs="仿宋"/>
                <w:spacing w:val="2"/>
                <w:sz w:val="20"/>
                <w:szCs w:val="20"/>
              </w:rPr>
              <w:t>年</w:t>
            </w:r>
            <w:r>
              <w:rPr>
                <w:rFonts w:ascii="仿宋" w:hAnsi="仿宋" w:eastAsia="仿宋" w:cs="仿宋"/>
                <w:spacing w:val="-39"/>
                <w:sz w:val="20"/>
                <w:szCs w:val="20"/>
              </w:rPr>
              <w:t xml:space="preserve"> </w:t>
            </w:r>
            <w:r>
              <w:rPr>
                <w:spacing w:val="2"/>
                <w:sz w:val="20"/>
                <w:szCs w:val="20"/>
              </w:rPr>
              <w:t>6</w:t>
            </w:r>
            <w:r>
              <w:rPr>
                <w:spacing w:val="28"/>
                <w:sz w:val="20"/>
                <w:szCs w:val="20"/>
              </w:rPr>
              <w:t xml:space="preserve"> </w:t>
            </w:r>
            <w:r>
              <w:rPr>
                <w:rFonts w:ascii="仿宋" w:hAnsi="仿宋" w:eastAsia="仿宋" w:cs="仿宋"/>
                <w:spacing w:val="2"/>
                <w:sz w:val="20"/>
                <w:szCs w:val="20"/>
              </w:rPr>
              <w:t>月</w:t>
            </w:r>
            <w:r>
              <w:rPr>
                <w:rFonts w:ascii="仿宋" w:hAnsi="仿宋" w:eastAsia="仿宋" w:cs="仿宋"/>
                <w:spacing w:val="-39"/>
                <w:sz w:val="20"/>
                <w:szCs w:val="20"/>
              </w:rPr>
              <w:t xml:space="preserve"> </w:t>
            </w:r>
            <w:r>
              <w:rPr>
                <w:spacing w:val="2"/>
                <w:sz w:val="20"/>
                <w:szCs w:val="20"/>
              </w:rPr>
              <w:t xml:space="preserve">9  </w:t>
            </w:r>
            <w:r>
              <w:rPr>
                <w:rFonts w:ascii="仿宋" w:hAnsi="仿宋" w:eastAsia="仿宋" w:cs="仿宋"/>
                <w:spacing w:val="2"/>
                <w:sz w:val="20"/>
                <w:szCs w:val="20"/>
              </w:rPr>
              <w:t>日旗政</w:t>
            </w:r>
            <w:r>
              <w:rPr>
                <w:rFonts w:ascii="仿宋" w:hAnsi="仿宋" w:eastAsia="仿宋" w:cs="仿宋"/>
                <w:spacing w:val="10"/>
                <w:sz w:val="20"/>
                <w:szCs w:val="20"/>
              </w:rPr>
              <w:t>府第五次常务会议审议并原则同意包含本项目在内的农村公路项目，</w:t>
            </w:r>
            <w:r>
              <w:rPr>
                <w:rFonts w:ascii="仿宋" w:hAnsi="仿宋" w:eastAsia="仿宋" w:cs="仿宋"/>
                <w:spacing w:val="-49"/>
                <w:sz w:val="20"/>
                <w:szCs w:val="20"/>
              </w:rPr>
              <w:t xml:space="preserve"> </w:t>
            </w:r>
            <w:r>
              <w:rPr>
                <w:rFonts w:ascii="仿宋" w:hAnsi="仿宋" w:eastAsia="仿宋" w:cs="仿宋"/>
                <w:spacing w:val="10"/>
                <w:sz w:val="20"/>
                <w:szCs w:val="20"/>
              </w:rPr>
              <w:t>同步敲定项目</w:t>
            </w:r>
            <w:r>
              <w:rPr>
                <w:rFonts w:ascii="仿宋" w:hAnsi="仿宋" w:eastAsia="仿宋" w:cs="仿宋"/>
                <w:spacing w:val="11"/>
                <w:sz w:val="20"/>
                <w:szCs w:val="20"/>
              </w:rPr>
              <w:t>资金解决方案。本次常务会议审议批复，正式确立项目实施合法性，妥善解决项目资金保障核心问题，统筹理顺各部门协同推进机制，大幅压缩项目前期筹备周期，</w:t>
            </w:r>
            <w:r>
              <w:rPr>
                <w:rFonts w:ascii="仿宋" w:hAnsi="仿宋" w:eastAsia="仿宋" w:cs="仿宋"/>
                <w:spacing w:val="9"/>
                <w:sz w:val="20"/>
                <w:szCs w:val="20"/>
              </w:rPr>
              <w:t>为加快补齐乡村道路短板、保障群众安全便捷出行提供强有力支撑。</w:t>
            </w:r>
          </w:p>
          <w:p w14:paraId="6F397166">
            <w:pPr>
              <w:pStyle w:val="6"/>
              <w:spacing w:line="373" w:lineRule="auto"/>
              <w:ind w:left="9" w:firstLine="418"/>
              <w:jc w:val="both"/>
              <w:rPr>
                <w:rFonts w:ascii="仿宋" w:hAnsi="仿宋" w:eastAsia="仿宋" w:cs="仿宋"/>
                <w:sz w:val="20"/>
                <w:szCs w:val="20"/>
              </w:rPr>
            </w:pPr>
            <w:r>
              <w:rPr>
                <w:rFonts w:ascii="仿宋" w:hAnsi="仿宋" w:eastAsia="仿宋" w:cs="仿宋"/>
                <w:spacing w:val="10"/>
                <w:sz w:val="20"/>
                <w:szCs w:val="20"/>
              </w:rPr>
              <w:t>本项目为四级公路建设工程，选址位于内蒙古鄂尔多斯市准格</w:t>
            </w:r>
            <w:r>
              <w:rPr>
                <w:rFonts w:ascii="仿宋" w:hAnsi="仿宋" w:eastAsia="仿宋" w:cs="仿宋"/>
                <w:spacing w:val="9"/>
                <w:sz w:val="20"/>
                <w:szCs w:val="20"/>
              </w:rPr>
              <w:t>尔旗，地处水土</w:t>
            </w:r>
            <w:r>
              <w:rPr>
                <w:rFonts w:ascii="仿宋" w:hAnsi="仿宋" w:eastAsia="仿宋" w:cs="仿宋"/>
                <w:spacing w:val="10"/>
                <w:sz w:val="20"/>
                <w:szCs w:val="20"/>
              </w:rPr>
              <w:t>流失重点治理区，且部分路段涉及基本草原等环境敏感区域。</w:t>
            </w:r>
            <w:r>
              <w:rPr>
                <w:rFonts w:ascii="仿宋" w:hAnsi="仿宋" w:eastAsia="仿宋" w:cs="仿宋"/>
                <w:spacing w:val="9"/>
                <w:sz w:val="20"/>
                <w:szCs w:val="20"/>
              </w:rPr>
              <w:t>根据《建设项目环境</w:t>
            </w:r>
            <w:r>
              <w:rPr>
                <w:rFonts w:ascii="仿宋" w:hAnsi="仿宋" w:eastAsia="仿宋" w:cs="仿宋"/>
                <w:spacing w:val="1"/>
                <w:sz w:val="20"/>
                <w:szCs w:val="20"/>
              </w:rPr>
              <w:t>影响评价分类管理名录（</w:t>
            </w:r>
            <w:r>
              <w:rPr>
                <w:spacing w:val="1"/>
                <w:sz w:val="20"/>
                <w:szCs w:val="20"/>
              </w:rPr>
              <w:t>2021</w:t>
            </w:r>
            <w:r>
              <w:rPr>
                <w:spacing w:val="22"/>
                <w:w w:val="101"/>
                <w:sz w:val="20"/>
                <w:szCs w:val="20"/>
              </w:rPr>
              <w:t xml:space="preserve"> </w:t>
            </w:r>
            <w:r>
              <w:rPr>
                <w:rFonts w:ascii="仿宋" w:hAnsi="仿宋" w:eastAsia="仿宋" w:cs="仿宋"/>
                <w:spacing w:val="1"/>
                <w:sz w:val="20"/>
                <w:szCs w:val="20"/>
              </w:rPr>
              <w:t>年版）》相关规定，本项目属于</w:t>
            </w:r>
            <w:r>
              <w:rPr>
                <w:spacing w:val="1"/>
                <w:sz w:val="20"/>
                <w:szCs w:val="20"/>
              </w:rPr>
              <w:t>“</w:t>
            </w:r>
            <w:r>
              <w:rPr>
                <w:spacing w:val="-32"/>
                <w:sz w:val="20"/>
                <w:szCs w:val="20"/>
              </w:rPr>
              <w:t xml:space="preserve"> </w:t>
            </w:r>
            <w:r>
              <w:rPr>
                <w:rFonts w:ascii="仿宋" w:hAnsi="仿宋" w:eastAsia="仿宋" w:cs="仿宋"/>
                <w:spacing w:val="1"/>
                <w:sz w:val="20"/>
                <w:szCs w:val="20"/>
              </w:rPr>
              <w:t>五十二、交通运输业、</w:t>
            </w:r>
            <w:r>
              <w:rPr>
                <w:rFonts w:ascii="仿宋" w:hAnsi="仿宋" w:eastAsia="仿宋" w:cs="仿宋"/>
                <w:spacing w:val="4"/>
                <w:sz w:val="20"/>
                <w:szCs w:val="20"/>
              </w:rPr>
              <w:t>管道运输业</w:t>
            </w:r>
            <w:r>
              <w:rPr>
                <w:spacing w:val="4"/>
                <w:sz w:val="20"/>
                <w:szCs w:val="20"/>
              </w:rPr>
              <w:t>”</w:t>
            </w:r>
            <w:r>
              <w:rPr>
                <w:spacing w:val="-11"/>
                <w:sz w:val="20"/>
                <w:szCs w:val="20"/>
              </w:rPr>
              <w:t xml:space="preserve"> </w:t>
            </w:r>
            <w:r>
              <w:rPr>
                <w:rFonts w:ascii="仿宋" w:hAnsi="仿宋" w:eastAsia="仿宋" w:cs="仿宋"/>
                <w:spacing w:val="4"/>
                <w:sz w:val="20"/>
                <w:szCs w:val="20"/>
              </w:rPr>
              <w:t>中</w:t>
            </w:r>
            <w:r>
              <w:rPr>
                <w:spacing w:val="4"/>
                <w:sz w:val="20"/>
                <w:szCs w:val="20"/>
              </w:rPr>
              <w:t>“</w:t>
            </w:r>
            <w:r>
              <w:rPr>
                <w:spacing w:val="-24"/>
                <w:sz w:val="20"/>
                <w:szCs w:val="20"/>
              </w:rPr>
              <w:t xml:space="preserve"> </w:t>
            </w:r>
            <w:r>
              <w:rPr>
                <w:spacing w:val="4"/>
                <w:sz w:val="20"/>
                <w:szCs w:val="20"/>
              </w:rPr>
              <w:t>130-</w:t>
            </w:r>
            <w:r>
              <w:rPr>
                <w:rFonts w:ascii="仿宋" w:hAnsi="仿宋" w:eastAsia="仿宋" w:cs="仿宋"/>
                <w:spacing w:val="4"/>
                <w:sz w:val="20"/>
                <w:szCs w:val="20"/>
              </w:rPr>
              <w:t>等级公路（不含维护；不</w:t>
            </w:r>
            <w:r>
              <w:rPr>
                <w:rFonts w:ascii="仿宋" w:hAnsi="仿宋" w:eastAsia="仿宋" w:cs="仿宋"/>
                <w:spacing w:val="3"/>
                <w:sz w:val="20"/>
                <w:szCs w:val="20"/>
              </w:rPr>
              <w:t>含生命救援、应急保通工程以及国防交</w:t>
            </w:r>
            <w:r>
              <w:rPr>
                <w:rFonts w:ascii="仿宋" w:hAnsi="仿宋" w:eastAsia="仿宋" w:cs="仿宋"/>
                <w:spacing w:val="9"/>
                <w:sz w:val="20"/>
                <w:szCs w:val="20"/>
              </w:rPr>
              <w:t>通保障项目；不含改扩建四级公路）</w:t>
            </w:r>
            <w:r>
              <w:rPr>
                <w:spacing w:val="9"/>
                <w:sz w:val="20"/>
                <w:szCs w:val="20"/>
              </w:rPr>
              <w:t>”</w:t>
            </w:r>
            <w:r>
              <w:rPr>
                <w:spacing w:val="-10"/>
                <w:sz w:val="20"/>
                <w:szCs w:val="20"/>
              </w:rPr>
              <w:t xml:space="preserve"> </w:t>
            </w:r>
            <w:r>
              <w:rPr>
                <w:rFonts w:ascii="仿宋" w:hAnsi="仿宋" w:eastAsia="仿宋" w:cs="仿宋"/>
                <w:spacing w:val="9"/>
                <w:sz w:val="20"/>
                <w:szCs w:val="20"/>
              </w:rPr>
              <w:t>中</w:t>
            </w:r>
            <w:r>
              <w:rPr>
                <w:spacing w:val="9"/>
                <w:sz w:val="20"/>
                <w:szCs w:val="20"/>
              </w:rPr>
              <w:t>“</w:t>
            </w:r>
            <w:r>
              <w:rPr>
                <w:spacing w:val="-31"/>
                <w:sz w:val="20"/>
                <w:szCs w:val="20"/>
              </w:rPr>
              <w:t xml:space="preserve"> </w:t>
            </w:r>
            <w:r>
              <w:rPr>
                <w:rFonts w:ascii="仿宋" w:hAnsi="仿宋" w:eastAsia="仿宋" w:cs="仿宋"/>
                <w:spacing w:val="8"/>
                <w:sz w:val="20"/>
                <w:szCs w:val="20"/>
              </w:rPr>
              <w:t>其他（配套设施除外；不涉及环境敏感区</w:t>
            </w:r>
            <w:r>
              <w:rPr>
                <w:rFonts w:ascii="仿宋" w:hAnsi="仿宋" w:eastAsia="仿宋" w:cs="仿宋"/>
                <w:spacing w:val="7"/>
                <w:sz w:val="20"/>
                <w:szCs w:val="20"/>
              </w:rPr>
              <w:t>的三级、</w:t>
            </w:r>
            <w:r>
              <w:rPr>
                <w:rFonts w:ascii="仿宋" w:hAnsi="仿宋" w:eastAsia="仿宋" w:cs="仿宋"/>
                <w:spacing w:val="-50"/>
                <w:sz w:val="20"/>
                <w:szCs w:val="20"/>
              </w:rPr>
              <w:t xml:space="preserve"> </w:t>
            </w:r>
            <w:r>
              <w:rPr>
                <w:rFonts w:ascii="仿宋" w:hAnsi="仿宋" w:eastAsia="仿宋" w:cs="仿宋"/>
                <w:spacing w:val="7"/>
                <w:sz w:val="20"/>
                <w:szCs w:val="20"/>
              </w:rPr>
              <w:t>四级公路除外）</w:t>
            </w:r>
            <w:r>
              <w:rPr>
                <w:spacing w:val="7"/>
                <w:sz w:val="20"/>
                <w:szCs w:val="20"/>
              </w:rPr>
              <w:t>”</w:t>
            </w:r>
            <w:r>
              <w:rPr>
                <w:rFonts w:ascii="仿宋" w:hAnsi="仿宋" w:eastAsia="仿宋" w:cs="仿宋"/>
                <w:spacing w:val="7"/>
                <w:sz w:val="20"/>
                <w:szCs w:val="20"/>
              </w:rPr>
              <w:t>类别，因项目涉及环境敏感区，需编制环境影响报告表。</w:t>
            </w:r>
            <w:r>
              <w:rPr>
                <w:rFonts w:ascii="仿宋" w:hAnsi="仿宋" w:eastAsia="仿宋" w:cs="仿宋"/>
                <w:spacing w:val="10"/>
                <w:sz w:val="20"/>
                <w:szCs w:val="20"/>
              </w:rPr>
              <w:t>为科学评估项目建设的环境影响，落实生态环境保护要求，规</w:t>
            </w:r>
            <w:r>
              <w:rPr>
                <w:rFonts w:ascii="仿宋" w:hAnsi="仿宋" w:eastAsia="仿宋" w:cs="仿宋"/>
                <w:spacing w:val="9"/>
                <w:sz w:val="20"/>
                <w:szCs w:val="20"/>
              </w:rPr>
              <w:t>范项目建设流程，准</w:t>
            </w:r>
            <w:r>
              <w:rPr>
                <w:rFonts w:ascii="仿宋" w:hAnsi="仿宋" w:eastAsia="仿宋" w:cs="仿宋"/>
                <w:spacing w:val="10"/>
                <w:sz w:val="20"/>
                <w:szCs w:val="20"/>
              </w:rPr>
              <w:t>格尔旗交通运输局委托我公司开展本项目环境影响评价工作，</w:t>
            </w:r>
            <w:r>
              <w:rPr>
                <w:rFonts w:ascii="仿宋" w:hAnsi="仿宋" w:eastAsia="仿宋" w:cs="仿宋"/>
                <w:spacing w:val="9"/>
                <w:sz w:val="20"/>
                <w:szCs w:val="20"/>
              </w:rPr>
              <w:t>系统分析项目建设及</w:t>
            </w:r>
          </w:p>
        </w:tc>
      </w:tr>
    </w:tbl>
    <w:p w14:paraId="13CDEE0C">
      <w:pPr>
        <w:pStyle w:val="2"/>
        <w:spacing w:line="240" w:lineRule="exact"/>
        <w:rPr>
          <w:sz w:val="20"/>
        </w:rPr>
      </w:pPr>
    </w:p>
    <w:p w14:paraId="04DD5E75">
      <w:pPr>
        <w:spacing w:line="240" w:lineRule="exact"/>
        <w:rPr>
          <w:sz w:val="20"/>
          <w:szCs w:val="20"/>
        </w:rPr>
        <w:sectPr>
          <w:footerReference r:id="rId18" w:type="default"/>
          <w:pgSz w:w="11907" w:h="16840"/>
          <w:pgMar w:top="400" w:right="1757" w:bottom="1446" w:left="1757" w:header="0" w:footer="1284" w:gutter="0"/>
          <w:cols w:space="720" w:num="1"/>
        </w:sectPr>
      </w:pPr>
    </w:p>
    <w:p w14:paraId="5285F025">
      <w:pPr>
        <w:spacing w:before="19"/>
      </w:pPr>
    </w:p>
    <w:p w14:paraId="22F59149">
      <w:pPr>
        <w:spacing w:before="19"/>
      </w:pPr>
    </w:p>
    <w:p w14:paraId="3297CF58">
      <w:pPr>
        <w:spacing w:before="18"/>
      </w:pPr>
    </w:p>
    <w:p w14:paraId="68924023">
      <w:pPr>
        <w:spacing w:before="18"/>
      </w:pPr>
    </w:p>
    <w:tbl>
      <w:tblPr>
        <w:tblStyle w:val="5"/>
        <w:tblW w:w="8377"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7"/>
        <w:gridCol w:w="279"/>
        <w:gridCol w:w="633"/>
        <w:gridCol w:w="6127"/>
        <w:gridCol w:w="601"/>
      </w:tblGrid>
      <w:tr w14:paraId="617557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3" w:hRule="atLeast"/>
        </w:trPr>
        <w:tc>
          <w:tcPr>
            <w:tcW w:w="737" w:type="dxa"/>
            <w:vMerge w:val="restart"/>
            <w:tcBorders>
              <w:top w:val="single" w:color="000000" w:sz="6" w:space="0"/>
              <w:left w:val="single" w:color="000000" w:sz="6" w:space="0"/>
              <w:bottom w:val="nil"/>
            </w:tcBorders>
            <w:vAlign w:val="top"/>
          </w:tcPr>
          <w:p w14:paraId="3764B723">
            <w:pPr>
              <w:rPr>
                <w:rFonts w:ascii="Arial"/>
                <w:sz w:val="21"/>
              </w:rPr>
            </w:pPr>
          </w:p>
        </w:tc>
        <w:tc>
          <w:tcPr>
            <w:tcW w:w="7640" w:type="dxa"/>
            <w:gridSpan w:val="4"/>
            <w:tcBorders>
              <w:top w:val="single" w:color="000000" w:sz="6" w:space="0"/>
              <w:bottom w:val="single" w:color="000000" w:sz="10" w:space="0"/>
              <w:right w:val="single" w:color="000000" w:sz="6" w:space="0"/>
            </w:tcBorders>
            <w:vAlign w:val="top"/>
          </w:tcPr>
          <w:p w14:paraId="5E0D5C92">
            <w:pPr>
              <w:spacing w:before="26" w:line="377" w:lineRule="auto"/>
              <w:ind w:left="10" w:right="6" w:firstLine="1"/>
              <w:rPr>
                <w:rFonts w:ascii="仿宋" w:hAnsi="仿宋" w:eastAsia="仿宋" w:cs="仿宋"/>
                <w:sz w:val="20"/>
                <w:szCs w:val="20"/>
              </w:rPr>
            </w:pPr>
            <w:r>
              <w:rPr>
                <w:rFonts w:ascii="仿宋" w:hAnsi="仿宋" w:eastAsia="仿宋" w:cs="仿宋"/>
                <w:spacing w:val="11"/>
                <w:sz w:val="20"/>
                <w:szCs w:val="20"/>
              </w:rPr>
              <w:t>运营过程中的环境影响，提出针对性污染防治与生态保护措施，为项目建设审批及</w:t>
            </w:r>
            <w:r>
              <w:rPr>
                <w:rFonts w:ascii="仿宋" w:hAnsi="仿宋" w:eastAsia="仿宋" w:cs="仿宋"/>
                <w:spacing w:val="7"/>
                <w:sz w:val="20"/>
                <w:szCs w:val="20"/>
              </w:rPr>
              <w:t>环境管理提供科学依据。</w:t>
            </w:r>
          </w:p>
          <w:p w14:paraId="10CF1413">
            <w:pPr>
              <w:pStyle w:val="6"/>
              <w:spacing w:line="230" w:lineRule="auto"/>
              <w:ind w:left="421"/>
              <w:rPr>
                <w:rFonts w:ascii="仿宋" w:hAnsi="仿宋" w:eastAsia="仿宋" w:cs="仿宋"/>
                <w:sz w:val="20"/>
                <w:szCs w:val="20"/>
              </w:rPr>
            </w:pPr>
            <w:r>
              <w:rPr>
                <w:b/>
                <w:bCs/>
                <w:spacing w:val="4"/>
                <w:sz w:val="20"/>
                <w:szCs w:val="20"/>
              </w:rPr>
              <w:t>2</w:t>
            </w:r>
            <w:r>
              <w:rPr>
                <w:b/>
                <w:bCs/>
                <w:spacing w:val="-19"/>
                <w:sz w:val="20"/>
                <w:szCs w:val="20"/>
              </w:rPr>
              <w:t xml:space="preserve"> </w:t>
            </w:r>
            <w:r>
              <w:rPr>
                <w:rFonts w:ascii="仿宋" w:hAnsi="仿宋" w:eastAsia="仿宋" w:cs="仿宋"/>
                <w:b/>
                <w:bCs/>
                <w:spacing w:val="4"/>
                <w:sz w:val="20"/>
                <w:szCs w:val="20"/>
              </w:rPr>
              <w:t>、建设规模及内容</w:t>
            </w:r>
          </w:p>
          <w:p w14:paraId="4DBB37E0">
            <w:pPr>
              <w:pStyle w:val="6"/>
              <w:spacing w:before="156" w:line="377" w:lineRule="auto"/>
              <w:ind w:left="8" w:right="6" w:firstLine="422"/>
              <w:jc w:val="both"/>
              <w:rPr>
                <w:rFonts w:ascii="仿宋" w:hAnsi="仿宋" w:eastAsia="仿宋" w:cs="仿宋"/>
                <w:sz w:val="20"/>
                <w:szCs w:val="20"/>
              </w:rPr>
            </w:pPr>
            <w:r>
              <w:rPr>
                <w:rFonts w:ascii="仿宋" w:hAnsi="仿宋" w:eastAsia="仿宋" w:cs="仿宋"/>
                <w:spacing w:val="7"/>
                <w:sz w:val="20"/>
                <w:szCs w:val="20"/>
              </w:rPr>
              <w:t>本项目路线总长</w:t>
            </w:r>
            <w:r>
              <w:rPr>
                <w:rFonts w:ascii="仿宋" w:hAnsi="仿宋" w:eastAsia="仿宋" w:cs="仿宋"/>
                <w:spacing w:val="-43"/>
                <w:sz w:val="20"/>
                <w:szCs w:val="20"/>
              </w:rPr>
              <w:t xml:space="preserve"> </w:t>
            </w:r>
            <w:r>
              <w:rPr>
                <w:spacing w:val="7"/>
                <w:sz w:val="20"/>
                <w:szCs w:val="20"/>
              </w:rPr>
              <w:t>26.508</w:t>
            </w:r>
            <w:r>
              <w:rPr>
                <w:sz w:val="20"/>
                <w:szCs w:val="20"/>
              </w:rPr>
              <w:t>km</w:t>
            </w:r>
            <w:r>
              <w:rPr>
                <w:spacing w:val="-18"/>
                <w:sz w:val="20"/>
                <w:szCs w:val="20"/>
              </w:rPr>
              <w:t xml:space="preserve"> </w:t>
            </w:r>
            <w:r>
              <w:rPr>
                <w:rFonts w:ascii="仿宋" w:hAnsi="仿宋" w:eastAsia="仿宋" w:cs="仿宋"/>
                <w:spacing w:val="7"/>
                <w:sz w:val="20"/>
                <w:szCs w:val="20"/>
              </w:rPr>
              <w:t>，按四级公路</w:t>
            </w:r>
            <w:r>
              <w:rPr>
                <w:rFonts w:ascii="仿宋" w:hAnsi="仿宋" w:eastAsia="仿宋" w:cs="仿宋"/>
                <w:spacing w:val="6"/>
                <w:sz w:val="20"/>
                <w:szCs w:val="20"/>
              </w:rPr>
              <w:t xml:space="preserve"> (</w:t>
            </w:r>
            <w:r>
              <w:rPr>
                <w:spacing w:val="6"/>
                <w:sz w:val="20"/>
                <w:szCs w:val="20"/>
              </w:rPr>
              <w:t>Ⅱ</w:t>
            </w:r>
            <w:r>
              <w:rPr>
                <w:rFonts w:ascii="仿宋" w:hAnsi="仿宋" w:eastAsia="仿宋" w:cs="仿宋"/>
                <w:spacing w:val="6"/>
                <w:sz w:val="20"/>
                <w:szCs w:val="20"/>
              </w:rPr>
              <w:t>类）标准建设，设计速度</w:t>
            </w:r>
            <w:r>
              <w:rPr>
                <w:rFonts w:ascii="仿宋" w:hAnsi="仿宋" w:eastAsia="仿宋" w:cs="仿宋"/>
                <w:spacing w:val="-23"/>
                <w:sz w:val="20"/>
                <w:szCs w:val="20"/>
              </w:rPr>
              <w:t xml:space="preserve"> </w:t>
            </w:r>
            <w:r>
              <w:rPr>
                <w:spacing w:val="6"/>
                <w:sz w:val="20"/>
                <w:szCs w:val="20"/>
              </w:rPr>
              <w:t>15</w:t>
            </w:r>
            <w:r>
              <w:rPr>
                <w:sz w:val="20"/>
                <w:szCs w:val="20"/>
              </w:rPr>
              <w:t>km</w:t>
            </w:r>
            <w:r>
              <w:rPr>
                <w:spacing w:val="6"/>
                <w:sz w:val="20"/>
                <w:szCs w:val="20"/>
              </w:rPr>
              <w:t>/h</w:t>
            </w:r>
            <w:r>
              <w:rPr>
                <w:spacing w:val="-18"/>
                <w:sz w:val="20"/>
                <w:szCs w:val="20"/>
              </w:rPr>
              <w:t xml:space="preserve"> </w:t>
            </w:r>
            <w:r>
              <w:rPr>
                <w:rFonts w:ascii="仿宋" w:hAnsi="仿宋" w:eastAsia="仿宋" w:cs="仿宋"/>
                <w:spacing w:val="6"/>
                <w:sz w:val="20"/>
                <w:szCs w:val="20"/>
              </w:rPr>
              <w:t>，路基宽</w:t>
            </w:r>
            <w:r>
              <w:rPr>
                <w:rFonts w:ascii="仿宋" w:hAnsi="仿宋" w:eastAsia="仿宋" w:cs="仿宋"/>
                <w:spacing w:val="-27"/>
                <w:sz w:val="20"/>
                <w:szCs w:val="20"/>
              </w:rPr>
              <w:t xml:space="preserve"> </w:t>
            </w:r>
            <w:r>
              <w:rPr>
                <w:spacing w:val="6"/>
                <w:sz w:val="20"/>
                <w:szCs w:val="20"/>
              </w:rPr>
              <w:t>4.5m</w:t>
            </w:r>
            <w:r>
              <w:rPr>
                <w:spacing w:val="-18"/>
                <w:sz w:val="20"/>
                <w:szCs w:val="20"/>
              </w:rPr>
              <w:t xml:space="preserve"> </w:t>
            </w:r>
            <w:r>
              <w:rPr>
                <w:rFonts w:ascii="仿宋" w:hAnsi="仿宋" w:eastAsia="仿宋" w:cs="仿宋"/>
                <w:spacing w:val="6"/>
                <w:sz w:val="20"/>
                <w:szCs w:val="20"/>
              </w:rPr>
              <w:t>，路面宽</w:t>
            </w:r>
            <w:r>
              <w:rPr>
                <w:rFonts w:ascii="仿宋" w:hAnsi="仿宋" w:eastAsia="仿宋" w:cs="仿宋"/>
                <w:spacing w:val="-36"/>
                <w:sz w:val="20"/>
                <w:szCs w:val="20"/>
              </w:rPr>
              <w:t xml:space="preserve"> </w:t>
            </w:r>
            <w:r>
              <w:rPr>
                <w:spacing w:val="6"/>
                <w:sz w:val="20"/>
                <w:szCs w:val="20"/>
              </w:rPr>
              <w:t>3.5m</w:t>
            </w:r>
            <w:r>
              <w:rPr>
                <w:spacing w:val="-18"/>
                <w:sz w:val="20"/>
                <w:szCs w:val="20"/>
              </w:rPr>
              <w:t xml:space="preserve"> </w:t>
            </w:r>
            <w:r>
              <w:rPr>
                <w:rFonts w:ascii="仿宋" w:hAnsi="仿宋" w:eastAsia="仿宋" w:cs="仿宋"/>
                <w:spacing w:val="6"/>
                <w:sz w:val="20"/>
                <w:szCs w:val="20"/>
              </w:rPr>
              <w:t>。沙圪堵镇段共</w:t>
            </w:r>
            <w:r>
              <w:rPr>
                <w:rFonts w:ascii="仿宋" w:hAnsi="仿宋" w:eastAsia="仿宋" w:cs="仿宋"/>
                <w:spacing w:val="-39"/>
                <w:sz w:val="20"/>
                <w:szCs w:val="20"/>
              </w:rPr>
              <w:t xml:space="preserve"> </w:t>
            </w:r>
            <w:r>
              <w:rPr>
                <w:spacing w:val="6"/>
                <w:sz w:val="20"/>
                <w:szCs w:val="20"/>
              </w:rPr>
              <w:t>4</w:t>
            </w:r>
            <w:r>
              <w:rPr>
                <w:spacing w:val="23"/>
                <w:sz w:val="20"/>
                <w:szCs w:val="20"/>
              </w:rPr>
              <w:t xml:space="preserve"> </w:t>
            </w:r>
            <w:r>
              <w:rPr>
                <w:rFonts w:ascii="仿宋" w:hAnsi="仿宋" w:eastAsia="仿宋" w:cs="仿宋"/>
                <w:spacing w:val="6"/>
                <w:sz w:val="20"/>
                <w:szCs w:val="20"/>
              </w:rPr>
              <w:t>条路线，长</w:t>
            </w:r>
            <w:r>
              <w:rPr>
                <w:rFonts w:ascii="仿宋" w:hAnsi="仿宋" w:eastAsia="仿宋" w:cs="仿宋"/>
                <w:spacing w:val="-18"/>
                <w:sz w:val="20"/>
                <w:szCs w:val="20"/>
              </w:rPr>
              <w:t xml:space="preserve"> </w:t>
            </w:r>
            <w:r>
              <w:rPr>
                <w:spacing w:val="6"/>
                <w:sz w:val="20"/>
                <w:szCs w:val="20"/>
              </w:rPr>
              <w:t>11.366</w:t>
            </w:r>
            <w:r>
              <w:rPr>
                <w:sz w:val="20"/>
                <w:szCs w:val="20"/>
              </w:rPr>
              <w:t>km</w:t>
            </w:r>
            <w:r>
              <w:rPr>
                <w:spacing w:val="-16"/>
                <w:sz w:val="20"/>
                <w:szCs w:val="20"/>
              </w:rPr>
              <w:t xml:space="preserve"> </w:t>
            </w:r>
            <w:r>
              <w:rPr>
                <w:rFonts w:ascii="仿宋" w:hAnsi="仿宋" w:eastAsia="仿宋" w:cs="仿宋"/>
                <w:spacing w:val="6"/>
                <w:sz w:val="20"/>
                <w:szCs w:val="20"/>
              </w:rPr>
              <w:t>，起于既有水泥路，止于各自然村，采用</w:t>
            </w:r>
            <w:r>
              <w:rPr>
                <w:rFonts w:ascii="仿宋" w:hAnsi="仿宋" w:eastAsia="仿宋" w:cs="仿宋"/>
                <w:spacing w:val="-21"/>
                <w:sz w:val="20"/>
                <w:szCs w:val="20"/>
              </w:rPr>
              <w:t xml:space="preserve"> </w:t>
            </w:r>
            <w:r>
              <w:rPr>
                <w:spacing w:val="6"/>
                <w:sz w:val="20"/>
                <w:szCs w:val="20"/>
              </w:rPr>
              <w:t>18</w:t>
            </w:r>
            <w:r>
              <w:rPr>
                <w:sz w:val="20"/>
                <w:szCs w:val="20"/>
              </w:rPr>
              <w:t>cm</w:t>
            </w:r>
            <w:r>
              <w:rPr>
                <w:spacing w:val="6"/>
                <w:sz w:val="20"/>
                <w:szCs w:val="20"/>
              </w:rPr>
              <w:t xml:space="preserve"> </w:t>
            </w:r>
            <w:r>
              <w:rPr>
                <w:sz w:val="20"/>
                <w:szCs w:val="20"/>
              </w:rPr>
              <w:t>C</w:t>
            </w:r>
            <w:r>
              <w:rPr>
                <w:spacing w:val="6"/>
                <w:sz w:val="20"/>
                <w:szCs w:val="20"/>
              </w:rPr>
              <w:t>30</w:t>
            </w:r>
            <w:r>
              <w:rPr>
                <w:spacing w:val="18"/>
                <w:sz w:val="20"/>
                <w:szCs w:val="20"/>
              </w:rPr>
              <w:t xml:space="preserve"> </w:t>
            </w:r>
            <w:r>
              <w:rPr>
                <w:rFonts w:ascii="仿宋" w:hAnsi="仿宋" w:eastAsia="仿宋" w:cs="仿宋"/>
                <w:spacing w:val="6"/>
                <w:sz w:val="20"/>
                <w:szCs w:val="20"/>
              </w:rPr>
              <w:t>水泥混凝土</w:t>
            </w:r>
            <w:r>
              <w:rPr>
                <w:spacing w:val="6"/>
                <w:sz w:val="20"/>
                <w:szCs w:val="20"/>
              </w:rPr>
              <w:t>+15</w:t>
            </w:r>
            <w:r>
              <w:rPr>
                <w:sz w:val="20"/>
                <w:szCs w:val="20"/>
              </w:rPr>
              <w:t>cm</w:t>
            </w:r>
            <w:r>
              <w:rPr>
                <w:spacing w:val="19"/>
                <w:sz w:val="20"/>
                <w:szCs w:val="20"/>
              </w:rPr>
              <w:t xml:space="preserve"> </w:t>
            </w:r>
            <w:r>
              <w:rPr>
                <w:rFonts w:ascii="仿宋" w:hAnsi="仿宋" w:eastAsia="仿宋" w:cs="仿宋"/>
                <w:spacing w:val="6"/>
                <w:sz w:val="20"/>
                <w:szCs w:val="20"/>
              </w:rPr>
              <w:t>未筛分碎</w:t>
            </w:r>
            <w:r>
              <w:rPr>
                <w:rFonts w:ascii="仿宋" w:hAnsi="仿宋" w:eastAsia="仿宋" w:cs="仿宋"/>
                <w:spacing w:val="5"/>
                <w:sz w:val="20"/>
                <w:szCs w:val="20"/>
              </w:rPr>
              <w:t>石基层；十二连城乡</w:t>
            </w:r>
            <w:r>
              <w:rPr>
                <w:rFonts w:ascii="仿宋" w:hAnsi="仿宋" w:eastAsia="仿宋" w:cs="仿宋"/>
                <w:spacing w:val="6"/>
                <w:sz w:val="20"/>
                <w:szCs w:val="20"/>
              </w:rPr>
              <w:t>段共</w:t>
            </w:r>
            <w:r>
              <w:rPr>
                <w:rFonts w:ascii="仿宋" w:hAnsi="仿宋" w:eastAsia="仿宋" w:cs="仿宋"/>
                <w:spacing w:val="-16"/>
                <w:sz w:val="20"/>
                <w:szCs w:val="20"/>
              </w:rPr>
              <w:t xml:space="preserve"> </w:t>
            </w:r>
            <w:r>
              <w:rPr>
                <w:spacing w:val="6"/>
                <w:sz w:val="20"/>
                <w:szCs w:val="20"/>
              </w:rPr>
              <w:t>6</w:t>
            </w:r>
            <w:r>
              <w:rPr>
                <w:spacing w:val="20"/>
                <w:w w:val="101"/>
                <w:sz w:val="20"/>
                <w:szCs w:val="20"/>
              </w:rPr>
              <w:t xml:space="preserve"> </w:t>
            </w:r>
            <w:r>
              <w:rPr>
                <w:rFonts w:ascii="仿宋" w:hAnsi="仿宋" w:eastAsia="仿宋" w:cs="仿宋"/>
                <w:spacing w:val="6"/>
                <w:sz w:val="20"/>
                <w:szCs w:val="20"/>
              </w:rPr>
              <w:t>条路线，长</w:t>
            </w:r>
            <w:r>
              <w:rPr>
                <w:rFonts w:ascii="仿宋" w:hAnsi="仿宋" w:eastAsia="仿宋" w:cs="仿宋"/>
                <w:spacing w:val="-21"/>
                <w:sz w:val="20"/>
                <w:szCs w:val="20"/>
              </w:rPr>
              <w:t xml:space="preserve"> </w:t>
            </w:r>
            <w:r>
              <w:rPr>
                <w:spacing w:val="6"/>
                <w:sz w:val="20"/>
                <w:szCs w:val="20"/>
              </w:rPr>
              <w:t>15.</w:t>
            </w:r>
            <w:r>
              <w:rPr>
                <w:spacing w:val="-25"/>
                <w:sz w:val="20"/>
                <w:szCs w:val="20"/>
              </w:rPr>
              <w:t xml:space="preserve"> </w:t>
            </w:r>
            <w:r>
              <w:rPr>
                <w:spacing w:val="6"/>
                <w:sz w:val="20"/>
                <w:szCs w:val="20"/>
              </w:rPr>
              <w:t>142</w:t>
            </w:r>
            <w:r>
              <w:rPr>
                <w:sz w:val="20"/>
                <w:szCs w:val="20"/>
              </w:rPr>
              <w:t>km</w:t>
            </w:r>
            <w:r>
              <w:rPr>
                <w:spacing w:val="-15"/>
                <w:sz w:val="20"/>
                <w:szCs w:val="20"/>
              </w:rPr>
              <w:t xml:space="preserve"> </w:t>
            </w:r>
            <w:r>
              <w:rPr>
                <w:rFonts w:ascii="仿宋" w:hAnsi="仿宋" w:eastAsia="仿宋" w:cs="仿宋"/>
                <w:spacing w:val="6"/>
                <w:sz w:val="20"/>
                <w:szCs w:val="20"/>
              </w:rPr>
              <w:t>，基本沿旧路布设，其中穿越基本农田段采用</w:t>
            </w:r>
            <w:r>
              <w:rPr>
                <w:rFonts w:ascii="仿宋" w:hAnsi="仿宋" w:eastAsia="仿宋" w:cs="仿宋"/>
                <w:spacing w:val="-21"/>
                <w:sz w:val="20"/>
                <w:szCs w:val="20"/>
              </w:rPr>
              <w:t xml:space="preserve"> </w:t>
            </w:r>
            <w:r>
              <w:rPr>
                <w:spacing w:val="6"/>
                <w:sz w:val="20"/>
                <w:szCs w:val="20"/>
              </w:rPr>
              <w:t>15</w:t>
            </w:r>
            <w:r>
              <w:rPr>
                <w:sz w:val="20"/>
                <w:szCs w:val="20"/>
              </w:rPr>
              <w:t>cm</w:t>
            </w:r>
            <w:r>
              <w:rPr>
                <w:spacing w:val="19"/>
                <w:w w:val="101"/>
                <w:sz w:val="20"/>
                <w:szCs w:val="20"/>
              </w:rPr>
              <w:t xml:space="preserve"> </w:t>
            </w:r>
            <w:r>
              <w:rPr>
                <w:rFonts w:ascii="仿宋" w:hAnsi="仿宋" w:eastAsia="仿宋" w:cs="仿宋"/>
                <w:spacing w:val="6"/>
                <w:sz w:val="20"/>
                <w:szCs w:val="20"/>
              </w:rPr>
              <w:t>未</w:t>
            </w:r>
            <w:r>
              <w:rPr>
                <w:rFonts w:ascii="仿宋" w:hAnsi="仿宋" w:eastAsia="仿宋" w:cs="仿宋"/>
                <w:spacing w:val="4"/>
                <w:sz w:val="20"/>
                <w:szCs w:val="20"/>
              </w:rPr>
              <w:t>筛分碎石面层，其余为</w:t>
            </w:r>
            <w:r>
              <w:rPr>
                <w:rFonts w:ascii="仿宋" w:hAnsi="仿宋" w:eastAsia="仿宋" w:cs="仿宋"/>
                <w:spacing w:val="-6"/>
                <w:sz w:val="20"/>
                <w:szCs w:val="20"/>
              </w:rPr>
              <w:t xml:space="preserve"> </w:t>
            </w:r>
            <w:r>
              <w:rPr>
                <w:spacing w:val="4"/>
                <w:sz w:val="20"/>
                <w:szCs w:val="20"/>
              </w:rPr>
              <w:t>18</w:t>
            </w:r>
            <w:r>
              <w:rPr>
                <w:sz w:val="20"/>
                <w:szCs w:val="20"/>
              </w:rPr>
              <w:t>cm</w:t>
            </w:r>
            <w:r>
              <w:rPr>
                <w:spacing w:val="4"/>
                <w:sz w:val="20"/>
                <w:szCs w:val="20"/>
              </w:rPr>
              <w:t xml:space="preserve"> </w:t>
            </w:r>
            <w:r>
              <w:rPr>
                <w:sz w:val="20"/>
                <w:szCs w:val="20"/>
              </w:rPr>
              <w:t>C</w:t>
            </w:r>
            <w:r>
              <w:rPr>
                <w:spacing w:val="4"/>
                <w:sz w:val="20"/>
                <w:szCs w:val="20"/>
              </w:rPr>
              <w:t>30</w:t>
            </w:r>
            <w:r>
              <w:rPr>
                <w:spacing w:val="21"/>
                <w:w w:val="101"/>
                <w:sz w:val="20"/>
                <w:szCs w:val="20"/>
              </w:rPr>
              <w:t xml:space="preserve"> </w:t>
            </w:r>
            <w:r>
              <w:rPr>
                <w:rFonts w:ascii="仿宋" w:hAnsi="仿宋" w:eastAsia="仿宋" w:cs="仿宋"/>
                <w:spacing w:val="4"/>
                <w:sz w:val="20"/>
                <w:szCs w:val="20"/>
              </w:rPr>
              <w:t>混凝土面层。全线路基土方</w:t>
            </w:r>
            <w:r>
              <w:rPr>
                <w:rFonts w:ascii="仿宋" w:hAnsi="仿宋" w:eastAsia="仿宋" w:cs="仿宋"/>
                <w:spacing w:val="-39"/>
                <w:sz w:val="20"/>
                <w:szCs w:val="20"/>
              </w:rPr>
              <w:t xml:space="preserve"> </w:t>
            </w:r>
            <w:r>
              <w:rPr>
                <w:spacing w:val="4"/>
                <w:sz w:val="20"/>
                <w:szCs w:val="20"/>
              </w:rPr>
              <w:t>3.09</w:t>
            </w:r>
            <w:r>
              <w:rPr>
                <w:spacing w:val="17"/>
                <w:sz w:val="20"/>
                <w:szCs w:val="20"/>
              </w:rPr>
              <w:t xml:space="preserve"> </w:t>
            </w:r>
            <w:r>
              <w:rPr>
                <w:rFonts w:ascii="仿宋" w:hAnsi="仿宋" w:eastAsia="仿宋" w:cs="仿宋"/>
                <w:spacing w:val="4"/>
                <w:sz w:val="20"/>
                <w:szCs w:val="20"/>
              </w:rPr>
              <w:t>万</w:t>
            </w:r>
            <w:r>
              <w:rPr>
                <w:rFonts w:ascii="仿宋" w:hAnsi="仿宋" w:eastAsia="仿宋" w:cs="仿宋"/>
                <w:spacing w:val="-44"/>
                <w:sz w:val="20"/>
                <w:szCs w:val="20"/>
              </w:rPr>
              <w:t xml:space="preserve"> </w:t>
            </w:r>
            <w:r>
              <w:rPr>
                <w:spacing w:val="4"/>
                <w:sz w:val="20"/>
                <w:szCs w:val="20"/>
              </w:rPr>
              <w:t>m³</w:t>
            </w:r>
            <w:r>
              <w:rPr>
                <w:spacing w:val="-19"/>
                <w:sz w:val="20"/>
                <w:szCs w:val="20"/>
              </w:rPr>
              <w:t xml:space="preserve"> </w:t>
            </w:r>
            <w:r>
              <w:rPr>
                <w:rFonts w:ascii="仿宋" w:hAnsi="仿宋" w:eastAsia="仿宋" w:cs="仿宋"/>
                <w:spacing w:val="4"/>
                <w:sz w:val="20"/>
                <w:szCs w:val="20"/>
              </w:rPr>
              <w:t>,</w:t>
            </w:r>
            <w:r>
              <w:rPr>
                <w:rFonts w:ascii="仿宋" w:hAnsi="仿宋" w:eastAsia="仿宋" w:cs="仿宋"/>
                <w:spacing w:val="84"/>
                <w:sz w:val="20"/>
                <w:szCs w:val="20"/>
              </w:rPr>
              <w:t xml:space="preserve"> </w:t>
            </w:r>
            <w:r>
              <w:rPr>
                <w:rFonts w:ascii="仿宋" w:hAnsi="仿宋" w:eastAsia="仿宋" w:cs="仿宋"/>
                <w:spacing w:val="4"/>
                <w:sz w:val="20"/>
                <w:szCs w:val="20"/>
              </w:rPr>
              <w:t>圆管涵及</w:t>
            </w:r>
            <w:r>
              <w:rPr>
                <w:rFonts w:ascii="仿宋" w:hAnsi="仿宋" w:eastAsia="仿宋" w:cs="仿宋"/>
                <w:spacing w:val="7"/>
                <w:sz w:val="20"/>
                <w:szCs w:val="20"/>
              </w:rPr>
              <w:t>波纹管涵</w:t>
            </w:r>
            <w:r>
              <w:rPr>
                <w:rFonts w:ascii="仿宋" w:hAnsi="仿宋" w:eastAsia="仿宋" w:cs="仿宋"/>
                <w:spacing w:val="-28"/>
                <w:sz w:val="20"/>
                <w:szCs w:val="20"/>
              </w:rPr>
              <w:t xml:space="preserve"> </w:t>
            </w:r>
            <w:r>
              <w:rPr>
                <w:spacing w:val="7"/>
                <w:sz w:val="20"/>
                <w:szCs w:val="20"/>
              </w:rPr>
              <w:t>7</w:t>
            </w:r>
            <w:r>
              <w:rPr>
                <w:spacing w:val="18"/>
                <w:w w:val="101"/>
                <w:sz w:val="20"/>
                <w:szCs w:val="20"/>
              </w:rPr>
              <w:t xml:space="preserve"> </w:t>
            </w:r>
            <w:r>
              <w:rPr>
                <w:rFonts w:ascii="仿宋" w:hAnsi="仿宋" w:eastAsia="仿宋" w:cs="仿宋"/>
                <w:spacing w:val="7"/>
                <w:sz w:val="20"/>
                <w:szCs w:val="20"/>
              </w:rPr>
              <w:t>道，平面交叉</w:t>
            </w:r>
            <w:r>
              <w:rPr>
                <w:rFonts w:ascii="仿宋" w:hAnsi="仿宋" w:eastAsia="仿宋" w:cs="仿宋"/>
                <w:spacing w:val="-38"/>
                <w:sz w:val="20"/>
                <w:szCs w:val="20"/>
              </w:rPr>
              <w:t xml:space="preserve"> </w:t>
            </w:r>
            <w:r>
              <w:rPr>
                <w:spacing w:val="7"/>
                <w:sz w:val="20"/>
                <w:szCs w:val="20"/>
              </w:rPr>
              <w:t>50</w:t>
            </w:r>
            <w:r>
              <w:rPr>
                <w:spacing w:val="19"/>
                <w:sz w:val="20"/>
                <w:szCs w:val="20"/>
              </w:rPr>
              <w:t xml:space="preserve"> </w:t>
            </w:r>
            <w:r>
              <w:rPr>
                <w:rFonts w:ascii="仿宋" w:hAnsi="仿宋" w:eastAsia="仿宋" w:cs="仿宋"/>
                <w:spacing w:val="7"/>
                <w:sz w:val="20"/>
                <w:szCs w:val="20"/>
              </w:rPr>
              <w:t>处，标志、护栏、减速带等安全设施配套完整。</w:t>
            </w:r>
          </w:p>
          <w:p w14:paraId="29CF82FC">
            <w:pPr>
              <w:pStyle w:val="6"/>
              <w:spacing w:before="1" w:line="232" w:lineRule="auto"/>
              <w:ind w:left="430"/>
              <w:rPr>
                <w:rFonts w:ascii="仿宋" w:hAnsi="仿宋" w:eastAsia="仿宋" w:cs="仿宋"/>
                <w:sz w:val="20"/>
                <w:szCs w:val="20"/>
              </w:rPr>
            </w:pPr>
            <w:r>
              <w:rPr>
                <w:rFonts w:ascii="仿宋" w:hAnsi="仿宋" w:eastAsia="仿宋" w:cs="仿宋"/>
                <w:spacing w:val="5"/>
                <w:sz w:val="20"/>
                <w:szCs w:val="20"/>
              </w:rPr>
              <w:t>建设项目组成一览表见表</w:t>
            </w:r>
            <w:r>
              <w:rPr>
                <w:rFonts w:ascii="仿宋" w:hAnsi="仿宋" w:eastAsia="仿宋" w:cs="仿宋"/>
                <w:spacing w:val="-40"/>
                <w:sz w:val="20"/>
                <w:szCs w:val="20"/>
              </w:rPr>
              <w:t xml:space="preserve"> </w:t>
            </w:r>
            <w:r>
              <w:rPr>
                <w:spacing w:val="5"/>
                <w:sz w:val="20"/>
                <w:szCs w:val="20"/>
              </w:rPr>
              <w:t>2-</w:t>
            </w:r>
            <w:r>
              <w:rPr>
                <w:spacing w:val="-28"/>
                <w:sz w:val="20"/>
                <w:szCs w:val="20"/>
              </w:rPr>
              <w:t xml:space="preserve"> </w:t>
            </w:r>
            <w:r>
              <w:rPr>
                <w:spacing w:val="5"/>
                <w:sz w:val="20"/>
                <w:szCs w:val="20"/>
              </w:rPr>
              <w:t>1</w:t>
            </w:r>
            <w:r>
              <w:rPr>
                <w:rFonts w:ascii="仿宋" w:hAnsi="仿宋" w:eastAsia="仿宋" w:cs="仿宋"/>
                <w:spacing w:val="5"/>
                <w:sz w:val="20"/>
                <w:szCs w:val="20"/>
              </w:rPr>
              <w:t>。</w:t>
            </w:r>
          </w:p>
          <w:p w14:paraId="09C8DC26">
            <w:pPr>
              <w:pStyle w:val="6"/>
              <w:spacing w:before="159" w:line="222" w:lineRule="auto"/>
              <w:ind w:left="2711"/>
              <w:rPr>
                <w:rFonts w:ascii="仿宋" w:hAnsi="仿宋" w:eastAsia="仿宋" w:cs="仿宋"/>
                <w:sz w:val="20"/>
                <w:szCs w:val="20"/>
              </w:rPr>
            </w:pPr>
            <w:r>
              <w:rPr>
                <w:rFonts w:ascii="仿宋" w:hAnsi="仿宋" w:eastAsia="仿宋" w:cs="仿宋"/>
                <w:b/>
                <w:bCs/>
                <w:spacing w:val="4"/>
                <w:sz w:val="20"/>
                <w:szCs w:val="20"/>
              </w:rPr>
              <w:t>表</w:t>
            </w:r>
            <w:r>
              <w:rPr>
                <w:rFonts w:ascii="仿宋" w:hAnsi="仿宋" w:eastAsia="仿宋" w:cs="仿宋"/>
                <w:spacing w:val="-33"/>
                <w:sz w:val="20"/>
                <w:szCs w:val="20"/>
              </w:rPr>
              <w:t xml:space="preserve"> </w:t>
            </w:r>
            <w:r>
              <w:rPr>
                <w:b/>
                <w:bCs/>
                <w:spacing w:val="4"/>
                <w:sz w:val="20"/>
                <w:szCs w:val="20"/>
              </w:rPr>
              <w:t xml:space="preserve">2-1    </w:t>
            </w:r>
            <w:r>
              <w:rPr>
                <w:rFonts w:ascii="仿宋" w:hAnsi="仿宋" w:eastAsia="仿宋" w:cs="仿宋"/>
                <w:b/>
                <w:bCs/>
                <w:spacing w:val="4"/>
                <w:sz w:val="20"/>
                <w:szCs w:val="20"/>
              </w:rPr>
              <w:t>项目组成一览表</w:t>
            </w:r>
          </w:p>
        </w:tc>
      </w:tr>
      <w:tr w14:paraId="049A51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8" w:hRule="atLeast"/>
        </w:trPr>
        <w:tc>
          <w:tcPr>
            <w:tcW w:w="737" w:type="dxa"/>
            <w:vMerge w:val="continue"/>
            <w:tcBorders>
              <w:top w:val="nil"/>
              <w:left w:val="single" w:color="000000" w:sz="6" w:space="0"/>
              <w:bottom w:val="nil"/>
            </w:tcBorders>
            <w:vAlign w:val="top"/>
          </w:tcPr>
          <w:p w14:paraId="18C3B58C">
            <w:pPr>
              <w:rPr>
                <w:rFonts w:ascii="Arial"/>
                <w:sz w:val="21"/>
              </w:rPr>
            </w:pPr>
          </w:p>
        </w:tc>
        <w:tc>
          <w:tcPr>
            <w:tcW w:w="912" w:type="dxa"/>
            <w:gridSpan w:val="2"/>
            <w:tcBorders>
              <w:top w:val="single" w:color="000000" w:sz="10" w:space="0"/>
            </w:tcBorders>
            <w:vAlign w:val="top"/>
          </w:tcPr>
          <w:p w14:paraId="6E6C1E9C">
            <w:pPr>
              <w:spacing w:before="20" w:line="203" w:lineRule="auto"/>
              <w:ind w:left="280"/>
              <w:rPr>
                <w:rFonts w:ascii="仿宋" w:hAnsi="仿宋" w:eastAsia="仿宋" w:cs="仿宋"/>
                <w:sz w:val="18"/>
                <w:szCs w:val="18"/>
              </w:rPr>
            </w:pPr>
            <w:r>
              <w:rPr>
                <w:rFonts w:ascii="仿宋" w:hAnsi="仿宋" w:eastAsia="仿宋" w:cs="仿宋"/>
                <w:spacing w:val="-7"/>
                <w:sz w:val="18"/>
                <w:szCs w:val="18"/>
              </w:rPr>
              <w:t>项目</w:t>
            </w:r>
          </w:p>
        </w:tc>
        <w:tc>
          <w:tcPr>
            <w:tcW w:w="6127" w:type="dxa"/>
            <w:tcBorders>
              <w:top w:val="single" w:color="000000" w:sz="10" w:space="0"/>
            </w:tcBorders>
            <w:vAlign w:val="top"/>
          </w:tcPr>
          <w:p w14:paraId="77CE3098">
            <w:pPr>
              <w:spacing w:before="20" w:line="203" w:lineRule="auto"/>
              <w:ind w:left="2715"/>
              <w:rPr>
                <w:rFonts w:ascii="仿宋" w:hAnsi="仿宋" w:eastAsia="仿宋" w:cs="仿宋"/>
                <w:sz w:val="18"/>
                <w:szCs w:val="18"/>
              </w:rPr>
            </w:pPr>
            <w:r>
              <w:rPr>
                <w:rFonts w:ascii="仿宋" w:hAnsi="仿宋" w:eastAsia="仿宋" w:cs="仿宋"/>
                <w:spacing w:val="-3"/>
                <w:sz w:val="18"/>
                <w:szCs w:val="18"/>
              </w:rPr>
              <w:t>建设内容</w:t>
            </w:r>
          </w:p>
        </w:tc>
        <w:tc>
          <w:tcPr>
            <w:tcW w:w="601" w:type="dxa"/>
            <w:tcBorders>
              <w:top w:val="single" w:color="000000" w:sz="10" w:space="0"/>
              <w:right w:val="single" w:color="000000" w:sz="6" w:space="0"/>
            </w:tcBorders>
            <w:vAlign w:val="top"/>
          </w:tcPr>
          <w:p w14:paraId="46997A7C">
            <w:pPr>
              <w:spacing w:before="20" w:line="203" w:lineRule="auto"/>
              <w:ind w:left="129"/>
              <w:rPr>
                <w:rFonts w:ascii="仿宋" w:hAnsi="仿宋" w:eastAsia="仿宋" w:cs="仿宋"/>
                <w:sz w:val="18"/>
                <w:szCs w:val="18"/>
              </w:rPr>
            </w:pPr>
            <w:r>
              <w:rPr>
                <w:rFonts w:ascii="仿宋" w:hAnsi="仿宋" w:eastAsia="仿宋" w:cs="仿宋"/>
                <w:spacing w:val="-7"/>
                <w:sz w:val="18"/>
                <w:szCs w:val="18"/>
              </w:rPr>
              <w:t>备注</w:t>
            </w:r>
          </w:p>
        </w:tc>
      </w:tr>
      <w:tr w14:paraId="70EE99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03FD19AA">
            <w:pPr>
              <w:rPr>
                <w:rFonts w:ascii="Arial"/>
                <w:sz w:val="21"/>
              </w:rPr>
            </w:pPr>
          </w:p>
        </w:tc>
        <w:tc>
          <w:tcPr>
            <w:tcW w:w="279" w:type="dxa"/>
            <w:vMerge w:val="restart"/>
            <w:tcBorders>
              <w:bottom w:val="nil"/>
            </w:tcBorders>
            <w:textDirection w:val="tbRlV"/>
            <w:vAlign w:val="top"/>
          </w:tcPr>
          <w:p w14:paraId="0741C003">
            <w:pPr>
              <w:spacing w:before="51" w:line="201" w:lineRule="auto"/>
              <w:ind w:left="2400"/>
              <w:rPr>
                <w:rFonts w:ascii="仿宋" w:hAnsi="仿宋" w:eastAsia="仿宋" w:cs="仿宋"/>
                <w:sz w:val="18"/>
                <w:szCs w:val="18"/>
              </w:rPr>
            </w:pPr>
            <w:r>
              <w:rPr>
                <w:rFonts w:ascii="仿宋" w:hAnsi="仿宋" w:eastAsia="仿宋" w:cs="仿宋"/>
                <w:spacing w:val="-11"/>
                <w:sz w:val="18"/>
                <w:szCs w:val="18"/>
              </w:rPr>
              <w:t>主</w:t>
            </w:r>
            <w:r>
              <w:rPr>
                <w:rFonts w:ascii="仿宋" w:hAnsi="仿宋" w:eastAsia="仿宋" w:cs="仿宋"/>
                <w:spacing w:val="-40"/>
                <w:sz w:val="18"/>
                <w:szCs w:val="18"/>
              </w:rPr>
              <w:t xml:space="preserve"> </w:t>
            </w:r>
            <w:r>
              <w:rPr>
                <w:rFonts w:ascii="仿宋" w:hAnsi="仿宋" w:eastAsia="仿宋" w:cs="仿宋"/>
                <w:spacing w:val="-11"/>
                <w:sz w:val="18"/>
                <w:szCs w:val="18"/>
              </w:rPr>
              <w:t>体</w:t>
            </w:r>
            <w:r>
              <w:rPr>
                <w:rFonts w:ascii="仿宋" w:hAnsi="仿宋" w:eastAsia="仿宋" w:cs="仿宋"/>
                <w:spacing w:val="-14"/>
                <w:sz w:val="18"/>
                <w:szCs w:val="18"/>
              </w:rPr>
              <w:t xml:space="preserve"> </w:t>
            </w:r>
            <w:r>
              <w:rPr>
                <w:rFonts w:ascii="仿宋" w:hAnsi="仿宋" w:eastAsia="仿宋" w:cs="仿宋"/>
                <w:spacing w:val="-11"/>
                <w:sz w:val="18"/>
                <w:szCs w:val="18"/>
              </w:rPr>
              <w:t>工 程</w:t>
            </w:r>
          </w:p>
        </w:tc>
        <w:tc>
          <w:tcPr>
            <w:tcW w:w="633" w:type="dxa"/>
            <w:vAlign w:val="top"/>
          </w:tcPr>
          <w:p w14:paraId="514DFAB0">
            <w:pPr>
              <w:spacing w:before="31" w:line="220" w:lineRule="auto"/>
              <w:ind w:left="231" w:right="49" w:hanging="182"/>
              <w:rPr>
                <w:rFonts w:ascii="仿宋" w:hAnsi="仿宋" w:eastAsia="仿宋" w:cs="仿宋"/>
                <w:sz w:val="18"/>
                <w:szCs w:val="18"/>
              </w:rPr>
            </w:pPr>
            <w:r>
              <w:rPr>
                <w:rFonts w:ascii="仿宋" w:hAnsi="仿宋" w:eastAsia="仿宋" w:cs="仿宋"/>
                <w:spacing w:val="-4"/>
                <w:sz w:val="18"/>
                <w:szCs w:val="18"/>
              </w:rPr>
              <w:t>路线工</w:t>
            </w:r>
            <w:r>
              <w:rPr>
                <w:rFonts w:ascii="仿宋" w:hAnsi="仿宋" w:eastAsia="仿宋" w:cs="仿宋"/>
                <w:sz w:val="18"/>
                <w:szCs w:val="18"/>
              </w:rPr>
              <w:t>程</w:t>
            </w:r>
          </w:p>
        </w:tc>
        <w:tc>
          <w:tcPr>
            <w:tcW w:w="6127" w:type="dxa"/>
            <w:vAlign w:val="top"/>
          </w:tcPr>
          <w:p w14:paraId="1C421F4A">
            <w:pPr>
              <w:pStyle w:val="6"/>
              <w:spacing w:before="31" w:line="212" w:lineRule="auto"/>
              <w:jc w:val="right"/>
              <w:rPr>
                <w:rFonts w:ascii="仿宋" w:hAnsi="仿宋" w:eastAsia="仿宋" w:cs="仿宋"/>
              </w:rPr>
            </w:pPr>
            <w:r>
              <w:rPr>
                <w:rFonts w:ascii="仿宋" w:hAnsi="仿宋" w:eastAsia="仿宋" w:cs="仿宋"/>
                <w:spacing w:val="-4"/>
              </w:rPr>
              <w:t>全长</w:t>
            </w:r>
            <w:r>
              <w:rPr>
                <w:rFonts w:ascii="仿宋" w:hAnsi="仿宋" w:eastAsia="仿宋" w:cs="仿宋"/>
                <w:spacing w:val="-41"/>
              </w:rPr>
              <w:t xml:space="preserve"> </w:t>
            </w:r>
            <w:r>
              <w:rPr>
                <w:spacing w:val="-4"/>
              </w:rPr>
              <w:t>26.508km</w:t>
            </w:r>
            <w:r>
              <w:rPr>
                <w:spacing w:val="-19"/>
              </w:rPr>
              <w:t xml:space="preserve"> </w:t>
            </w:r>
            <w:r>
              <w:rPr>
                <w:rFonts w:ascii="仿宋" w:hAnsi="仿宋" w:eastAsia="仿宋" w:cs="仿宋"/>
                <w:spacing w:val="-4"/>
              </w:rPr>
              <w:t>，总计</w:t>
            </w:r>
            <w:r>
              <w:rPr>
                <w:rFonts w:ascii="仿宋" w:hAnsi="仿宋" w:eastAsia="仿宋" w:cs="仿宋"/>
                <w:spacing w:val="-23"/>
              </w:rPr>
              <w:t xml:space="preserve"> </w:t>
            </w:r>
            <w:r>
              <w:rPr>
                <w:spacing w:val="-4"/>
              </w:rPr>
              <w:t>10</w:t>
            </w:r>
            <w:r>
              <w:rPr>
                <w:spacing w:val="13"/>
                <w:w w:val="101"/>
              </w:rPr>
              <w:t xml:space="preserve"> </w:t>
            </w:r>
            <w:r>
              <w:rPr>
                <w:rFonts w:ascii="仿宋" w:hAnsi="仿宋" w:eastAsia="仿宋" w:cs="仿宋"/>
                <w:spacing w:val="-4"/>
              </w:rPr>
              <w:t>条道路，为</w:t>
            </w:r>
            <w:r>
              <w:rPr>
                <w:rFonts w:ascii="仿宋" w:hAnsi="仿宋" w:eastAsia="仿宋" w:cs="仿宋"/>
                <w:spacing w:val="-44"/>
              </w:rPr>
              <w:t xml:space="preserve"> </w:t>
            </w:r>
            <w:r>
              <w:rPr>
                <w:rFonts w:ascii="仿宋" w:hAnsi="仿宋" w:eastAsia="仿宋" w:cs="仿宋"/>
                <w:spacing w:val="-4"/>
              </w:rPr>
              <w:t>自</w:t>
            </w:r>
            <w:r>
              <w:rPr>
                <w:rFonts w:ascii="仿宋" w:hAnsi="仿宋" w:eastAsia="仿宋" w:cs="仿宋"/>
                <w:spacing w:val="-5"/>
              </w:rPr>
              <w:t>然村通硬化路工程，路基宽</w:t>
            </w:r>
            <w:r>
              <w:rPr>
                <w:rFonts w:ascii="仿宋" w:hAnsi="仿宋" w:eastAsia="仿宋" w:cs="仿宋"/>
                <w:spacing w:val="-42"/>
              </w:rPr>
              <w:t xml:space="preserve"> </w:t>
            </w:r>
            <w:r>
              <w:rPr>
                <w:spacing w:val="-5"/>
              </w:rPr>
              <w:t>4.5m,</w:t>
            </w:r>
            <w:r>
              <w:rPr>
                <w:rFonts w:ascii="仿宋" w:hAnsi="仿宋" w:eastAsia="仿宋" w:cs="仿宋"/>
                <w:spacing w:val="-5"/>
              </w:rPr>
              <w:t>路面宽</w:t>
            </w:r>
          </w:p>
          <w:p w14:paraId="6309CCF9">
            <w:pPr>
              <w:pStyle w:val="6"/>
              <w:spacing w:before="26" w:line="201" w:lineRule="auto"/>
              <w:ind w:left="627"/>
              <w:rPr>
                <w:rFonts w:ascii="仿宋" w:hAnsi="仿宋" w:eastAsia="仿宋" w:cs="仿宋"/>
              </w:rPr>
            </w:pPr>
            <w:r>
              <w:rPr>
                <w:spacing w:val="-2"/>
              </w:rPr>
              <w:t>3.5m</w:t>
            </w:r>
            <w:r>
              <w:rPr>
                <w:spacing w:val="-20"/>
              </w:rPr>
              <w:t xml:space="preserve"> </w:t>
            </w:r>
            <w:r>
              <w:rPr>
                <w:rFonts w:ascii="仿宋" w:hAnsi="仿宋" w:eastAsia="仿宋" w:cs="仿宋"/>
                <w:spacing w:val="-2"/>
              </w:rPr>
              <w:t>。按照四级公路</w:t>
            </w:r>
            <w:r>
              <w:rPr>
                <w:spacing w:val="-2"/>
              </w:rPr>
              <w:t>“II</w:t>
            </w:r>
            <w:r>
              <w:rPr>
                <w:spacing w:val="13"/>
              </w:rPr>
              <w:t xml:space="preserve"> </w:t>
            </w:r>
            <w:r>
              <w:rPr>
                <w:rFonts w:ascii="仿宋" w:hAnsi="仿宋" w:eastAsia="仿宋" w:cs="仿宋"/>
                <w:spacing w:val="-2"/>
              </w:rPr>
              <w:t>类</w:t>
            </w:r>
            <w:r>
              <w:rPr>
                <w:spacing w:val="-2"/>
              </w:rPr>
              <w:t>”</w:t>
            </w:r>
            <w:r>
              <w:rPr>
                <w:rFonts w:ascii="仿宋" w:hAnsi="仿宋" w:eastAsia="仿宋" w:cs="仿宋"/>
                <w:spacing w:val="-2"/>
              </w:rPr>
              <w:t>标准设计，设计速度采用</w:t>
            </w:r>
            <w:r>
              <w:rPr>
                <w:rFonts w:ascii="仿宋" w:hAnsi="仿宋" w:eastAsia="仿宋" w:cs="仿宋"/>
                <w:spacing w:val="-26"/>
              </w:rPr>
              <w:t xml:space="preserve"> </w:t>
            </w:r>
            <w:r>
              <w:rPr>
                <w:spacing w:val="-2"/>
              </w:rPr>
              <w:t>15km/</w:t>
            </w:r>
            <w:r>
              <w:rPr>
                <w:spacing w:val="-3"/>
              </w:rPr>
              <w:t>h</w:t>
            </w:r>
            <w:r>
              <w:rPr>
                <w:rFonts w:ascii="仿宋" w:hAnsi="仿宋" w:eastAsia="仿宋" w:cs="仿宋"/>
                <w:spacing w:val="-3"/>
              </w:rPr>
              <w:t>。</w:t>
            </w:r>
          </w:p>
        </w:tc>
        <w:tc>
          <w:tcPr>
            <w:tcW w:w="601" w:type="dxa"/>
            <w:tcBorders>
              <w:right w:val="single" w:color="000000" w:sz="6" w:space="0"/>
            </w:tcBorders>
            <w:vAlign w:val="top"/>
          </w:tcPr>
          <w:p w14:paraId="787BC475">
            <w:pPr>
              <w:spacing w:before="147" w:line="222" w:lineRule="auto"/>
              <w:ind w:left="127"/>
              <w:rPr>
                <w:rFonts w:ascii="仿宋" w:hAnsi="仿宋" w:eastAsia="仿宋" w:cs="仿宋"/>
                <w:sz w:val="18"/>
                <w:szCs w:val="18"/>
              </w:rPr>
            </w:pPr>
            <w:r>
              <w:rPr>
                <w:rFonts w:ascii="仿宋" w:hAnsi="仿宋" w:eastAsia="仿宋" w:cs="仿宋"/>
                <w:spacing w:val="-6"/>
                <w:sz w:val="18"/>
                <w:szCs w:val="18"/>
              </w:rPr>
              <w:t>新建</w:t>
            </w:r>
          </w:p>
        </w:tc>
      </w:tr>
      <w:tr w14:paraId="726839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6E636163">
            <w:pPr>
              <w:rPr>
                <w:rFonts w:ascii="Arial"/>
                <w:sz w:val="21"/>
              </w:rPr>
            </w:pPr>
          </w:p>
        </w:tc>
        <w:tc>
          <w:tcPr>
            <w:tcW w:w="279" w:type="dxa"/>
            <w:vMerge w:val="continue"/>
            <w:tcBorders>
              <w:top w:val="nil"/>
              <w:bottom w:val="nil"/>
            </w:tcBorders>
            <w:textDirection w:val="tbRlV"/>
            <w:vAlign w:val="top"/>
          </w:tcPr>
          <w:p w14:paraId="6F913B54">
            <w:pPr>
              <w:rPr>
                <w:rFonts w:ascii="Arial"/>
                <w:sz w:val="21"/>
              </w:rPr>
            </w:pPr>
          </w:p>
        </w:tc>
        <w:tc>
          <w:tcPr>
            <w:tcW w:w="633" w:type="dxa"/>
            <w:vMerge w:val="restart"/>
            <w:tcBorders>
              <w:bottom w:val="nil"/>
            </w:tcBorders>
            <w:vAlign w:val="top"/>
          </w:tcPr>
          <w:p w14:paraId="55613F6E">
            <w:pPr>
              <w:spacing w:line="325" w:lineRule="auto"/>
              <w:rPr>
                <w:rFonts w:ascii="Arial"/>
                <w:sz w:val="21"/>
              </w:rPr>
            </w:pPr>
          </w:p>
          <w:p w14:paraId="42172313">
            <w:pPr>
              <w:spacing w:before="59" w:line="223" w:lineRule="auto"/>
              <w:ind w:left="140"/>
              <w:rPr>
                <w:rFonts w:ascii="仿宋" w:hAnsi="仿宋" w:eastAsia="仿宋" w:cs="仿宋"/>
                <w:sz w:val="18"/>
                <w:szCs w:val="18"/>
              </w:rPr>
            </w:pPr>
            <w:r>
              <w:rPr>
                <w:rFonts w:ascii="仿宋" w:hAnsi="仿宋" w:eastAsia="仿宋" w:cs="仿宋"/>
                <w:spacing w:val="-6"/>
                <w:sz w:val="18"/>
                <w:szCs w:val="18"/>
              </w:rPr>
              <w:t>路面</w:t>
            </w:r>
          </w:p>
        </w:tc>
        <w:tc>
          <w:tcPr>
            <w:tcW w:w="6127" w:type="dxa"/>
            <w:vAlign w:val="top"/>
          </w:tcPr>
          <w:p w14:paraId="5A54C1D8">
            <w:pPr>
              <w:pStyle w:val="6"/>
              <w:spacing w:before="31" w:line="222" w:lineRule="auto"/>
              <w:jc w:val="right"/>
            </w:pPr>
            <w:r>
              <w:rPr>
                <w:rFonts w:ascii="仿宋" w:hAnsi="仿宋" w:eastAsia="仿宋" w:cs="仿宋"/>
                <w:spacing w:val="-4"/>
              </w:rPr>
              <w:t>水泥混</w:t>
            </w:r>
            <w:r>
              <w:rPr>
                <w:rFonts w:ascii="仿宋" w:hAnsi="仿宋" w:eastAsia="仿宋" w:cs="仿宋"/>
                <w:spacing w:val="-3"/>
              </w:rPr>
              <w:t>凝土路面全长</w:t>
            </w:r>
            <w:r>
              <w:rPr>
                <w:rFonts w:ascii="仿宋" w:hAnsi="仿宋" w:eastAsia="仿宋" w:cs="仿宋"/>
                <w:spacing w:val="-40"/>
              </w:rPr>
              <w:t xml:space="preserve"> </w:t>
            </w:r>
            <w:r>
              <w:rPr>
                <w:spacing w:val="-3"/>
              </w:rPr>
              <w:t>25.35km</w:t>
            </w:r>
            <w:r>
              <w:rPr>
                <w:rFonts w:ascii="仿宋" w:hAnsi="仿宋" w:eastAsia="仿宋" w:cs="仿宋"/>
                <w:spacing w:val="-3"/>
              </w:rPr>
              <w:t>，路面宽为</w:t>
            </w:r>
            <w:r>
              <w:rPr>
                <w:rFonts w:ascii="仿宋" w:hAnsi="仿宋" w:eastAsia="仿宋" w:cs="仿宋"/>
                <w:spacing w:val="-37"/>
              </w:rPr>
              <w:t xml:space="preserve"> </w:t>
            </w:r>
            <w:r>
              <w:rPr>
                <w:spacing w:val="-3"/>
              </w:rPr>
              <w:t>3.5m</w:t>
            </w:r>
            <w:r>
              <w:rPr>
                <w:rFonts w:ascii="仿宋" w:hAnsi="仿宋" w:eastAsia="仿宋" w:cs="仿宋"/>
                <w:spacing w:val="-4"/>
              </w:rPr>
              <w:t>，路段由上往下均采用</w:t>
            </w:r>
            <w:r>
              <w:rPr>
                <w:rFonts w:ascii="仿宋" w:hAnsi="仿宋" w:eastAsia="仿宋" w:cs="仿宋"/>
                <w:spacing w:val="-24"/>
              </w:rPr>
              <w:t xml:space="preserve"> </w:t>
            </w:r>
            <w:r>
              <w:rPr>
                <w:spacing w:val="-4"/>
              </w:rPr>
              <w:t>18c</w:t>
            </w:r>
            <w:r>
              <w:rPr>
                <w:spacing w:val="-1"/>
              </w:rPr>
              <w:t>m</w:t>
            </w:r>
          </w:p>
          <w:p w14:paraId="6D487D77">
            <w:pPr>
              <w:pStyle w:val="6"/>
              <w:spacing w:before="18" w:line="200" w:lineRule="auto"/>
              <w:ind w:left="1452"/>
              <w:rPr>
                <w:rFonts w:ascii="仿宋" w:hAnsi="仿宋" w:eastAsia="仿宋" w:cs="仿宋"/>
              </w:rPr>
            </w:pPr>
            <w:r>
              <w:rPr>
                <w:spacing w:val="-1"/>
              </w:rPr>
              <w:t xml:space="preserve">C30 </w:t>
            </w:r>
            <w:r>
              <w:rPr>
                <w:rFonts w:ascii="仿宋" w:hAnsi="仿宋" w:eastAsia="仿宋" w:cs="仿宋"/>
                <w:spacing w:val="-1"/>
              </w:rPr>
              <w:t>水泥混凝土</w:t>
            </w:r>
            <w:r>
              <w:rPr>
                <w:spacing w:val="-1"/>
              </w:rPr>
              <w:t xml:space="preserve">+15cm </w:t>
            </w:r>
            <w:r>
              <w:rPr>
                <w:rFonts w:ascii="仿宋" w:hAnsi="仿宋" w:eastAsia="仿宋" w:cs="仿宋"/>
                <w:spacing w:val="-1"/>
              </w:rPr>
              <w:t>未筛分碎石基层。</w:t>
            </w:r>
          </w:p>
        </w:tc>
        <w:tc>
          <w:tcPr>
            <w:tcW w:w="601" w:type="dxa"/>
            <w:vMerge w:val="restart"/>
            <w:tcBorders>
              <w:bottom w:val="nil"/>
              <w:right w:val="single" w:color="000000" w:sz="6" w:space="0"/>
            </w:tcBorders>
            <w:vAlign w:val="top"/>
          </w:tcPr>
          <w:p w14:paraId="20DEA8BA">
            <w:pPr>
              <w:spacing w:line="326" w:lineRule="auto"/>
              <w:rPr>
                <w:rFonts w:ascii="Arial"/>
                <w:sz w:val="21"/>
              </w:rPr>
            </w:pPr>
          </w:p>
          <w:p w14:paraId="452FB708">
            <w:pPr>
              <w:spacing w:before="58" w:line="222" w:lineRule="auto"/>
              <w:ind w:left="127"/>
              <w:rPr>
                <w:rFonts w:ascii="仿宋" w:hAnsi="仿宋" w:eastAsia="仿宋" w:cs="仿宋"/>
                <w:sz w:val="18"/>
                <w:szCs w:val="18"/>
              </w:rPr>
            </w:pPr>
            <w:r>
              <w:rPr>
                <w:rFonts w:ascii="仿宋" w:hAnsi="仿宋" w:eastAsia="仿宋" w:cs="仿宋"/>
                <w:spacing w:val="-6"/>
                <w:sz w:val="18"/>
                <w:szCs w:val="18"/>
              </w:rPr>
              <w:t>新建</w:t>
            </w:r>
          </w:p>
        </w:tc>
      </w:tr>
      <w:tr w14:paraId="1A8757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4A43AA8A">
            <w:pPr>
              <w:rPr>
                <w:rFonts w:ascii="Arial"/>
                <w:sz w:val="21"/>
              </w:rPr>
            </w:pPr>
          </w:p>
        </w:tc>
        <w:tc>
          <w:tcPr>
            <w:tcW w:w="279" w:type="dxa"/>
            <w:vMerge w:val="continue"/>
            <w:tcBorders>
              <w:top w:val="nil"/>
              <w:bottom w:val="nil"/>
            </w:tcBorders>
            <w:textDirection w:val="tbRlV"/>
            <w:vAlign w:val="top"/>
          </w:tcPr>
          <w:p w14:paraId="58D3AE97">
            <w:pPr>
              <w:rPr>
                <w:rFonts w:ascii="Arial"/>
                <w:sz w:val="21"/>
              </w:rPr>
            </w:pPr>
          </w:p>
        </w:tc>
        <w:tc>
          <w:tcPr>
            <w:tcW w:w="633" w:type="dxa"/>
            <w:vMerge w:val="continue"/>
            <w:tcBorders>
              <w:top w:val="nil"/>
            </w:tcBorders>
            <w:vAlign w:val="top"/>
          </w:tcPr>
          <w:p w14:paraId="49476CC1">
            <w:pPr>
              <w:rPr>
                <w:rFonts w:ascii="Arial"/>
                <w:sz w:val="21"/>
              </w:rPr>
            </w:pPr>
          </w:p>
        </w:tc>
        <w:tc>
          <w:tcPr>
            <w:tcW w:w="6127" w:type="dxa"/>
            <w:vAlign w:val="top"/>
          </w:tcPr>
          <w:p w14:paraId="748D428E">
            <w:pPr>
              <w:pStyle w:val="6"/>
              <w:spacing w:before="31" w:line="220" w:lineRule="auto"/>
              <w:ind w:left="12"/>
              <w:rPr>
                <w:rFonts w:ascii="仿宋" w:hAnsi="仿宋" w:eastAsia="仿宋" w:cs="仿宋"/>
              </w:rPr>
            </w:pPr>
            <w:r>
              <w:rPr>
                <w:rFonts w:ascii="仿宋" w:hAnsi="仿宋" w:eastAsia="仿宋" w:cs="仿宋"/>
                <w:spacing w:val="-3"/>
              </w:rPr>
              <w:t>未筛分碎石路面总长</w:t>
            </w:r>
            <w:r>
              <w:rPr>
                <w:rFonts w:ascii="仿宋" w:hAnsi="仿宋" w:eastAsia="仿宋" w:cs="仿宋"/>
                <w:spacing w:val="-14"/>
              </w:rPr>
              <w:t xml:space="preserve"> </w:t>
            </w:r>
            <w:r>
              <w:rPr>
                <w:spacing w:val="-3"/>
              </w:rPr>
              <w:t>1.</w:t>
            </w:r>
            <w:r>
              <w:rPr>
                <w:spacing w:val="-24"/>
              </w:rPr>
              <w:t xml:space="preserve"> </w:t>
            </w:r>
            <w:r>
              <w:rPr>
                <w:spacing w:val="-3"/>
              </w:rPr>
              <w:t>158km</w:t>
            </w:r>
            <w:r>
              <w:rPr>
                <w:spacing w:val="-18"/>
              </w:rPr>
              <w:t xml:space="preserve"> </w:t>
            </w:r>
            <w:r>
              <w:rPr>
                <w:rFonts w:ascii="仿宋" w:hAnsi="仿宋" w:eastAsia="仿宋" w:cs="仿宋"/>
                <w:spacing w:val="-3"/>
              </w:rPr>
              <w:t>，路面宽宽</w:t>
            </w:r>
            <w:r>
              <w:rPr>
                <w:rFonts w:ascii="仿宋" w:hAnsi="仿宋" w:eastAsia="仿宋" w:cs="仿宋"/>
                <w:spacing w:val="-39"/>
              </w:rPr>
              <w:t xml:space="preserve"> </w:t>
            </w:r>
            <w:r>
              <w:rPr>
                <w:spacing w:val="-3"/>
              </w:rPr>
              <w:t>4.5m</w:t>
            </w:r>
            <w:r>
              <w:rPr>
                <w:spacing w:val="-19"/>
              </w:rPr>
              <w:t xml:space="preserve"> </w:t>
            </w:r>
            <w:r>
              <w:rPr>
                <w:rFonts w:ascii="仿宋" w:hAnsi="仿宋" w:eastAsia="仿宋" w:cs="仿宋"/>
                <w:spacing w:val="-3"/>
              </w:rPr>
              <w:t>，路面采用</w:t>
            </w:r>
            <w:r>
              <w:rPr>
                <w:rFonts w:ascii="仿宋" w:hAnsi="仿宋" w:eastAsia="仿宋" w:cs="仿宋"/>
                <w:spacing w:val="-23"/>
              </w:rPr>
              <w:t xml:space="preserve"> </w:t>
            </w:r>
            <w:r>
              <w:rPr>
                <w:spacing w:val="-3"/>
              </w:rPr>
              <w:t>18cm</w:t>
            </w:r>
            <w:r>
              <w:rPr>
                <w:spacing w:val="15"/>
                <w:w w:val="102"/>
              </w:rPr>
              <w:t xml:space="preserve"> </w:t>
            </w:r>
            <w:r>
              <w:rPr>
                <w:rFonts w:ascii="仿宋" w:hAnsi="仿宋" w:eastAsia="仿宋" w:cs="仿宋"/>
                <w:spacing w:val="-3"/>
              </w:rPr>
              <w:t>未筛分碎石基</w:t>
            </w:r>
            <w:r>
              <w:rPr>
                <w:rFonts w:ascii="仿宋" w:hAnsi="仿宋" w:eastAsia="仿宋" w:cs="仿宋"/>
                <w:spacing w:val="-7"/>
              </w:rPr>
              <w:t>层。</w:t>
            </w:r>
          </w:p>
        </w:tc>
        <w:tc>
          <w:tcPr>
            <w:tcW w:w="601" w:type="dxa"/>
            <w:vMerge w:val="continue"/>
            <w:tcBorders>
              <w:top w:val="nil"/>
              <w:right w:val="single" w:color="000000" w:sz="6" w:space="0"/>
            </w:tcBorders>
            <w:vAlign w:val="top"/>
          </w:tcPr>
          <w:p w14:paraId="65832FE5">
            <w:pPr>
              <w:rPr>
                <w:rFonts w:ascii="Arial"/>
                <w:sz w:val="21"/>
              </w:rPr>
            </w:pPr>
          </w:p>
        </w:tc>
      </w:tr>
      <w:tr w14:paraId="7640E6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737" w:type="dxa"/>
            <w:vMerge w:val="continue"/>
            <w:tcBorders>
              <w:top w:val="nil"/>
              <w:left w:val="single" w:color="000000" w:sz="6" w:space="0"/>
              <w:bottom w:val="nil"/>
            </w:tcBorders>
            <w:vAlign w:val="top"/>
          </w:tcPr>
          <w:p w14:paraId="04EA0E3B">
            <w:pPr>
              <w:rPr>
                <w:rFonts w:ascii="Arial"/>
                <w:sz w:val="21"/>
              </w:rPr>
            </w:pPr>
          </w:p>
        </w:tc>
        <w:tc>
          <w:tcPr>
            <w:tcW w:w="279" w:type="dxa"/>
            <w:vMerge w:val="continue"/>
            <w:tcBorders>
              <w:top w:val="nil"/>
              <w:bottom w:val="nil"/>
            </w:tcBorders>
            <w:textDirection w:val="tbRlV"/>
            <w:vAlign w:val="top"/>
          </w:tcPr>
          <w:p w14:paraId="468B5021">
            <w:pPr>
              <w:rPr>
                <w:rFonts w:ascii="Arial"/>
                <w:sz w:val="21"/>
              </w:rPr>
            </w:pPr>
          </w:p>
        </w:tc>
        <w:tc>
          <w:tcPr>
            <w:tcW w:w="633" w:type="dxa"/>
            <w:vAlign w:val="top"/>
          </w:tcPr>
          <w:p w14:paraId="31BB0F17">
            <w:pPr>
              <w:spacing w:before="149"/>
              <w:ind w:left="231" w:right="48" w:hanging="182"/>
              <w:rPr>
                <w:rFonts w:ascii="仿宋" w:hAnsi="仿宋" w:eastAsia="仿宋" w:cs="仿宋"/>
                <w:sz w:val="18"/>
                <w:szCs w:val="18"/>
              </w:rPr>
            </w:pPr>
            <w:r>
              <w:rPr>
                <w:rFonts w:ascii="仿宋" w:hAnsi="仿宋" w:eastAsia="仿宋" w:cs="仿宋"/>
                <w:spacing w:val="-4"/>
                <w:sz w:val="18"/>
                <w:szCs w:val="18"/>
              </w:rPr>
              <w:t>路基工</w:t>
            </w:r>
            <w:r>
              <w:rPr>
                <w:rFonts w:ascii="仿宋" w:hAnsi="仿宋" w:eastAsia="仿宋" w:cs="仿宋"/>
                <w:sz w:val="18"/>
                <w:szCs w:val="18"/>
              </w:rPr>
              <w:t>程</w:t>
            </w:r>
          </w:p>
        </w:tc>
        <w:tc>
          <w:tcPr>
            <w:tcW w:w="6127" w:type="dxa"/>
            <w:vAlign w:val="top"/>
          </w:tcPr>
          <w:p w14:paraId="1B7B99A3">
            <w:pPr>
              <w:pStyle w:val="6"/>
              <w:spacing w:before="34" w:line="219" w:lineRule="auto"/>
              <w:jc w:val="right"/>
            </w:pPr>
            <w:r>
              <w:rPr>
                <w:rFonts w:ascii="仿宋" w:hAnsi="仿宋" w:eastAsia="仿宋" w:cs="仿宋"/>
                <w:spacing w:val="-3"/>
              </w:rPr>
              <w:t>全线</w:t>
            </w:r>
            <w:r>
              <w:rPr>
                <w:rFonts w:ascii="仿宋" w:hAnsi="仿宋" w:eastAsia="仿宋" w:cs="仿宋"/>
                <w:spacing w:val="-2"/>
              </w:rPr>
              <w:t>路基宽度为</w:t>
            </w:r>
            <w:r>
              <w:rPr>
                <w:rFonts w:ascii="仿宋" w:hAnsi="仿宋" w:eastAsia="仿宋" w:cs="仿宋"/>
                <w:spacing w:val="-41"/>
              </w:rPr>
              <w:t xml:space="preserve"> </w:t>
            </w:r>
            <w:r>
              <w:rPr>
                <w:spacing w:val="-2"/>
              </w:rPr>
              <w:t>4.50m</w:t>
            </w:r>
            <w:r>
              <w:rPr>
                <w:rFonts w:ascii="仿宋" w:hAnsi="仿宋" w:eastAsia="仿宋" w:cs="仿宋"/>
                <w:spacing w:val="-2"/>
              </w:rPr>
              <w:t>，路基断面形式采用</w:t>
            </w:r>
            <w:r>
              <w:rPr>
                <w:rFonts w:ascii="仿宋" w:hAnsi="仿宋" w:eastAsia="仿宋" w:cs="仿宋"/>
                <w:spacing w:val="-38"/>
              </w:rPr>
              <w:t xml:space="preserve"> </w:t>
            </w:r>
            <w:r>
              <w:rPr>
                <w:spacing w:val="-2"/>
              </w:rPr>
              <w:t>0.50m</w:t>
            </w:r>
            <w:r>
              <w:rPr>
                <w:spacing w:val="11"/>
                <w:w w:val="101"/>
              </w:rPr>
              <w:t xml:space="preserve"> </w:t>
            </w:r>
            <w:r>
              <w:rPr>
                <w:rFonts w:ascii="仿宋" w:hAnsi="仿宋" w:eastAsia="仿宋" w:cs="仿宋"/>
                <w:spacing w:val="-2"/>
              </w:rPr>
              <w:t>土路肩</w:t>
            </w:r>
            <w:r>
              <w:rPr>
                <w:spacing w:val="-2"/>
              </w:rPr>
              <w:t>+3.50m</w:t>
            </w:r>
            <w:r>
              <w:rPr>
                <w:spacing w:val="13"/>
                <w:w w:val="101"/>
              </w:rPr>
              <w:t xml:space="preserve"> </w:t>
            </w:r>
            <w:r>
              <w:rPr>
                <w:rFonts w:ascii="仿宋" w:hAnsi="仿宋" w:eastAsia="仿宋" w:cs="仿宋"/>
                <w:spacing w:val="-2"/>
              </w:rPr>
              <w:t>行车道</w:t>
            </w:r>
            <w:r>
              <w:rPr>
                <w:spacing w:val="-2"/>
              </w:rPr>
              <w:t>+</w:t>
            </w:r>
            <w:r>
              <w:rPr>
                <w:spacing w:val="-3"/>
              </w:rPr>
              <w:t>0.50</w:t>
            </w:r>
            <w:r>
              <w:rPr>
                <w:spacing w:val="-1"/>
              </w:rPr>
              <w:t>m</w:t>
            </w:r>
          </w:p>
          <w:p w14:paraId="5DF67A3D">
            <w:pPr>
              <w:pStyle w:val="6"/>
              <w:spacing w:before="19" w:line="219" w:lineRule="auto"/>
              <w:jc w:val="right"/>
              <w:rPr>
                <w:rFonts w:ascii="仿宋" w:hAnsi="仿宋" w:eastAsia="仿宋" w:cs="仿宋"/>
              </w:rPr>
            </w:pPr>
            <w:r>
              <w:rPr>
                <w:rFonts w:ascii="仿宋" w:hAnsi="仿宋" w:eastAsia="仿宋" w:cs="仿宋"/>
                <w:spacing w:val="-4"/>
              </w:rPr>
              <w:t>土路肩。路基设计标高为路基中心线处标高，全线行车道路拱横坡均采用</w:t>
            </w:r>
            <w:r>
              <w:rPr>
                <w:rFonts w:ascii="仿宋" w:hAnsi="仿宋" w:eastAsia="仿宋" w:cs="仿宋"/>
                <w:spacing w:val="-22"/>
              </w:rPr>
              <w:t xml:space="preserve"> </w:t>
            </w:r>
            <w:r>
              <w:rPr>
                <w:spacing w:val="-4"/>
              </w:rPr>
              <w:t>0%</w:t>
            </w:r>
            <w:r>
              <w:rPr>
                <w:rFonts w:ascii="仿宋" w:hAnsi="仿宋" w:eastAsia="仿宋" w:cs="仿宋"/>
                <w:spacing w:val="-4"/>
              </w:rPr>
              <w:t>，</w:t>
            </w:r>
          </w:p>
          <w:p w14:paraId="384E195B">
            <w:pPr>
              <w:pStyle w:val="6"/>
              <w:spacing w:before="18" w:line="199" w:lineRule="auto"/>
              <w:ind w:left="271"/>
              <w:rPr>
                <w:rFonts w:ascii="仿宋" w:hAnsi="仿宋" w:eastAsia="仿宋" w:cs="仿宋"/>
              </w:rPr>
            </w:pPr>
            <w:r>
              <w:rPr>
                <w:rFonts w:ascii="仿宋" w:hAnsi="仿宋" w:eastAsia="仿宋" w:cs="仿宋"/>
                <w:spacing w:val="-3"/>
              </w:rPr>
              <w:t>路肩采用</w:t>
            </w:r>
            <w:r>
              <w:rPr>
                <w:rFonts w:ascii="仿宋" w:hAnsi="仿宋" w:eastAsia="仿宋" w:cs="仿宋"/>
                <w:spacing w:val="-37"/>
              </w:rPr>
              <w:t xml:space="preserve"> </w:t>
            </w:r>
            <w:r>
              <w:rPr>
                <w:spacing w:val="-3"/>
              </w:rPr>
              <w:t>2%</w:t>
            </w:r>
            <w:r>
              <w:rPr>
                <w:spacing w:val="-21"/>
              </w:rPr>
              <w:t xml:space="preserve"> </w:t>
            </w:r>
            <w:r>
              <w:rPr>
                <w:rFonts w:ascii="仿宋" w:hAnsi="仿宋" w:eastAsia="仿宋" w:cs="仿宋"/>
                <w:spacing w:val="-3"/>
              </w:rPr>
              <w:t>。路堤边坡坡率均采用</w:t>
            </w:r>
            <w:r>
              <w:rPr>
                <w:rFonts w:ascii="仿宋" w:hAnsi="仿宋" w:eastAsia="仿宋" w:cs="仿宋"/>
                <w:spacing w:val="-23"/>
              </w:rPr>
              <w:t xml:space="preserve"> </w:t>
            </w:r>
            <w:r>
              <w:rPr>
                <w:spacing w:val="-3"/>
              </w:rPr>
              <w:t>1:1.5</w:t>
            </w:r>
            <w:r>
              <w:rPr>
                <w:spacing w:val="-22"/>
              </w:rPr>
              <w:t xml:space="preserve"> </w:t>
            </w:r>
            <w:r>
              <w:rPr>
                <w:rFonts w:ascii="仿宋" w:hAnsi="仿宋" w:eastAsia="仿宋" w:cs="仿宋"/>
                <w:spacing w:val="-3"/>
              </w:rPr>
              <w:t>；路堑边坡坡率均采用</w:t>
            </w:r>
            <w:r>
              <w:rPr>
                <w:rFonts w:ascii="仿宋" w:hAnsi="仿宋" w:eastAsia="仿宋" w:cs="仿宋"/>
                <w:spacing w:val="-23"/>
              </w:rPr>
              <w:t xml:space="preserve"> </w:t>
            </w:r>
            <w:r>
              <w:rPr>
                <w:spacing w:val="-3"/>
              </w:rPr>
              <w:t>1:1.0</w:t>
            </w:r>
            <w:r>
              <w:rPr>
                <w:rFonts w:ascii="仿宋" w:hAnsi="仿宋" w:eastAsia="仿宋" w:cs="仿宋"/>
                <w:spacing w:val="-3"/>
              </w:rPr>
              <w:t>。</w:t>
            </w:r>
          </w:p>
        </w:tc>
        <w:tc>
          <w:tcPr>
            <w:tcW w:w="601" w:type="dxa"/>
            <w:tcBorders>
              <w:right w:val="single" w:color="000000" w:sz="6" w:space="0"/>
            </w:tcBorders>
            <w:vAlign w:val="top"/>
          </w:tcPr>
          <w:p w14:paraId="72645315">
            <w:pPr>
              <w:spacing w:before="267" w:line="222" w:lineRule="auto"/>
              <w:ind w:left="127"/>
              <w:rPr>
                <w:rFonts w:ascii="仿宋" w:hAnsi="仿宋" w:eastAsia="仿宋" w:cs="仿宋"/>
                <w:sz w:val="18"/>
                <w:szCs w:val="18"/>
              </w:rPr>
            </w:pPr>
            <w:r>
              <w:rPr>
                <w:rFonts w:ascii="仿宋" w:hAnsi="仿宋" w:eastAsia="仿宋" w:cs="仿宋"/>
                <w:spacing w:val="-6"/>
                <w:sz w:val="18"/>
                <w:szCs w:val="18"/>
              </w:rPr>
              <w:t>新建</w:t>
            </w:r>
          </w:p>
        </w:tc>
      </w:tr>
      <w:tr w14:paraId="55F58D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04" w:hRule="atLeast"/>
        </w:trPr>
        <w:tc>
          <w:tcPr>
            <w:tcW w:w="737" w:type="dxa"/>
            <w:vMerge w:val="continue"/>
            <w:tcBorders>
              <w:top w:val="nil"/>
              <w:left w:val="single" w:color="000000" w:sz="6" w:space="0"/>
              <w:bottom w:val="nil"/>
            </w:tcBorders>
            <w:vAlign w:val="top"/>
          </w:tcPr>
          <w:p w14:paraId="7BB0A9FC">
            <w:pPr>
              <w:rPr>
                <w:rFonts w:ascii="Arial"/>
                <w:sz w:val="21"/>
              </w:rPr>
            </w:pPr>
          </w:p>
        </w:tc>
        <w:tc>
          <w:tcPr>
            <w:tcW w:w="279" w:type="dxa"/>
            <w:vMerge w:val="continue"/>
            <w:tcBorders>
              <w:top w:val="nil"/>
              <w:bottom w:val="nil"/>
            </w:tcBorders>
            <w:textDirection w:val="tbRlV"/>
            <w:vAlign w:val="top"/>
          </w:tcPr>
          <w:p w14:paraId="77C4259B">
            <w:pPr>
              <w:rPr>
                <w:rFonts w:ascii="Arial"/>
                <w:sz w:val="21"/>
              </w:rPr>
            </w:pPr>
          </w:p>
        </w:tc>
        <w:tc>
          <w:tcPr>
            <w:tcW w:w="633" w:type="dxa"/>
            <w:vAlign w:val="top"/>
          </w:tcPr>
          <w:p w14:paraId="35C52DB8">
            <w:pPr>
              <w:spacing w:line="278" w:lineRule="auto"/>
              <w:rPr>
                <w:rFonts w:ascii="Arial"/>
                <w:sz w:val="21"/>
              </w:rPr>
            </w:pPr>
          </w:p>
          <w:p w14:paraId="629128DB">
            <w:pPr>
              <w:spacing w:line="279" w:lineRule="auto"/>
              <w:rPr>
                <w:rFonts w:ascii="Arial"/>
                <w:sz w:val="21"/>
              </w:rPr>
            </w:pPr>
          </w:p>
          <w:p w14:paraId="2AAD6B68">
            <w:pPr>
              <w:spacing w:before="58" w:line="223" w:lineRule="auto"/>
              <w:ind w:left="143"/>
              <w:rPr>
                <w:rFonts w:ascii="仿宋" w:hAnsi="仿宋" w:eastAsia="仿宋" w:cs="仿宋"/>
                <w:sz w:val="18"/>
                <w:szCs w:val="18"/>
              </w:rPr>
            </w:pPr>
            <w:r>
              <w:rPr>
                <w:rFonts w:ascii="仿宋" w:hAnsi="仿宋" w:eastAsia="仿宋" w:cs="仿宋"/>
                <w:spacing w:val="-7"/>
                <w:sz w:val="18"/>
                <w:szCs w:val="18"/>
              </w:rPr>
              <w:t>涵洞</w:t>
            </w:r>
          </w:p>
        </w:tc>
        <w:tc>
          <w:tcPr>
            <w:tcW w:w="6127" w:type="dxa"/>
            <w:vAlign w:val="top"/>
          </w:tcPr>
          <w:p w14:paraId="58B693F7">
            <w:pPr>
              <w:pStyle w:val="6"/>
              <w:spacing w:before="35" w:line="222" w:lineRule="auto"/>
              <w:ind w:left="38"/>
              <w:rPr>
                <w:rFonts w:ascii="仿宋" w:hAnsi="仿宋" w:eastAsia="仿宋" w:cs="仿宋"/>
              </w:rPr>
            </w:pPr>
            <w:r>
              <w:rPr>
                <w:rFonts w:ascii="仿宋" w:hAnsi="仿宋" w:eastAsia="仿宋" w:cs="仿宋"/>
                <w:spacing w:val="-2"/>
              </w:rPr>
              <w:t>全线共设置涵洞</w:t>
            </w:r>
            <w:r>
              <w:rPr>
                <w:rFonts w:ascii="仿宋" w:hAnsi="仿宋" w:eastAsia="仿宋" w:cs="仿宋"/>
                <w:spacing w:val="-36"/>
              </w:rPr>
              <w:t xml:space="preserve"> </w:t>
            </w:r>
            <w:r>
              <w:rPr>
                <w:spacing w:val="-2"/>
              </w:rPr>
              <w:t>7</w:t>
            </w:r>
            <w:r>
              <w:rPr>
                <w:spacing w:val="12"/>
              </w:rPr>
              <w:t xml:space="preserve"> </w:t>
            </w:r>
            <w:r>
              <w:rPr>
                <w:rFonts w:ascii="仿宋" w:hAnsi="仿宋" w:eastAsia="仿宋" w:cs="仿宋"/>
                <w:spacing w:val="-2"/>
              </w:rPr>
              <w:t>道，总长</w:t>
            </w:r>
            <w:r>
              <w:rPr>
                <w:rFonts w:ascii="仿宋" w:hAnsi="仿宋" w:eastAsia="仿宋" w:cs="仿宋"/>
                <w:spacing w:val="-37"/>
              </w:rPr>
              <w:t xml:space="preserve"> </w:t>
            </w:r>
            <w:r>
              <w:rPr>
                <w:spacing w:val="-2"/>
              </w:rPr>
              <w:t>95.5m</w:t>
            </w:r>
            <w:r>
              <w:rPr>
                <w:spacing w:val="-20"/>
              </w:rPr>
              <w:t xml:space="preserve"> </w:t>
            </w:r>
            <w:r>
              <w:rPr>
                <w:rFonts w:ascii="仿宋" w:hAnsi="仿宋" w:eastAsia="仿宋" w:cs="仿宋"/>
                <w:spacing w:val="-2"/>
              </w:rPr>
              <w:t>。其中：沙圪堵镇乌拉素村二道壕大坝东至</w:t>
            </w:r>
          </w:p>
          <w:p w14:paraId="18D3D904">
            <w:pPr>
              <w:pStyle w:val="6"/>
              <w:spacing w:before="17" w:line="222" w:lineRule="auto"/>
              <w:jc w:val="right"/>
              <w:rPr>
                <w:rFonts w:ascii="仿宋" w:hAnsi="仿宋" w:eastAsia="仿宋" w:cs="仿宋"/>
              </w:rPr>
            </w:pPr>
            <w:r>
              <w:rPr>
                <w:rFonts w:ascii="仿宋" w:hAnsi="仿宋" w:eastAsia="仿宋" w:cs="仿宋"/>
                <w:spacing w:val="-4"/>
              </w:rPr>
              <w:t>秦家塔社段分别于</w:t>
            </w:r>
            <w:r>
              <w:rPr>
                <w:rFonts w:ascii="仿宋" w:hAnsi="仿宋" w:eastAsia="仿宋" w:cs="仿宋"/>
                <w:spacing w:val="-28"/>
              </w:rPr>
              <w:t xml:space="preserve"> </w:t>
            </w:r>
            <w:r>
              <w:rPr>
                <w:spacing w:val="-4"/>
              </w:rPr>
              <w:t>K0+150</w:t>
            </w:r>
            <w:r>
              <w:rPr>
                <w:spacing w:val="11"/>
              </w:rPr>
              <w:t xml:space="preserve"> </w:t>
            </w:r>
            <w:r>
              <w:rPr>
                <w:rFonts w:ascii="仿宋" w:hAnsi="仿宋" w:eastAsia="仿宋" w:cs="仿宋"/>
                <w:spacing w:val="-4"/>
              </w:rPr>
              <w:t>和</w:t>
            </w:r>
            <w:r>
              <w:rPr>
                <w:rFonts w:ascii="仿宋" w:hAnsi="仿宋" w:eastAsia="仿宋" w:cs="仿宋"/>
                <w:spacing w:val="-44"/>
              </w:rPr>
              <w:t xml:space="preserve"> </w:t>
            </w:r>
            <w:r>
              <w:rPr>
                <w:spacing w:val="-4"/>
              </w:rPr>
              <w:t>K1+938</w:t>
            </w:r>
            <w:r>
              <w:rPr>
                <w:spacing w:val="14"/>
                <w:w w:val="101"/>
              </w:rPr>
              <w:t xml:space="preserve"> </w:t>
            </w:r>
            <w:r>
              <w:rPr>
                <w:rFonts w:ascii="仿宋" w:hAnsi="仿宋" w:eastAsia="仿宋" w:cs="仿宋"/>
                <w:spacing w:val="-4"/>
              </w:rPr>
              <w:t>处设置</w:t>
            </w:r>
            <w:r>
              <w:rPr>
                <w:rFonts w:ascii="仿宋" w:hAnsi="仿宋" w:eastAsia="仿宋" w:cs="仿宋"/>
                <w:spacing w:val="-24"/>
              </w:rPr>
              <w:t xml:space="preserve"> </w:t>
            </w:r>
            <w:r>
              <w:rPr>
                <w:spacing w:val="-4"/>
              </w:rPr>
              <w:t xml:space="preserve">1-0.75m </w:t>
            </w:r>
            <w:r>
              <w:rPr>
                <w:rFonts w:ascii="仿宋" w:hAnsi="仿宋" w:eastAsia="仿宋" w:cs="仿宋"/>
                <w:spacing w:val="-4"/>
              </w:rPr>
              <w:t>钢筋混凝土圆管涵</w:t>
            </w:r>
            <w:r>
              <w:rPr>
                <w:rFonts w:ascii="仿宋" w:hAnsi="仿宋" w:eastAsia="仿宋" w:cs="仿宋"/>
                <w:spacing w:val="-41"/>
              </w:rPr>
              <w:t xml:space="preserve"> </w:t>
            </w:r>
            <w:r>
              <w:rPr>
                <w:spacing w:val="-4"/>
              </w:rPr>
              <w:t>2</w:t>
            </w:r>
            <w:r>
              <w:rPr>
                <w:spacing w:val="12"/>
              </w:rPr>
              <w:t xml:space="preserve"> </w:t>
            </w:r>
            <w:r>
              <w:rPr>
                <w:rFonts w:ascii="仿宋" w:hAnsi="仿宋" w:eastAsia="仿宋" w:cs="仿宋"/>
                <w:spacing w:val="-4"/>
              </w:rPr>
              <w:t>道；</w:t>
            </w:r>
          </w:p>
          <w:p w14:paraId="68CDF04D">
            <w:pPr>
              <w:pStyle w:val="6"/>
              <w:spacing w:before="15" w:line="222" w:lineRule="auto"/>
              <w:jc w:val="right"/>
            </w:pPr>
            <w:r>
              <w:rPr>
                <w:rFonts w:ascii="仿宋" w:hAnsi="仿宋" w:eastAsia="仿宋" w:cs="仿宋"/>
                <w:spacing w:val="-1"/>
              </w:rPr>
              <w:t>双山梁村通社公路工程段分别于</w:t>
            </w:r>
            <w:r>
              <w:rPr>
                <w:rFonts w:ascii="仿宋" w:hAnsi="仿宋" w:eastAsia="仿宋" w:cs="仿宋"/>
                <w:spacing w:val="-53"/>
              </w:rPr>
              <w:t xml:space="preserve"> </w:t>
            </w:r>
            <w:r>
              <w:rPr>
                <w:spacing w:val="-1"/>
              </w:rPr>
              <w:t xml:space="preserve">K0+80 </w:t>
            </w:r>
            <w:r>
              <w:rPr>
                <w:rFonts w:ascii="仿宋" w:hAnsi="仿宋" w:eastAsia="仿宋" w:cs="仿宋"/>
                <w:spacing w:val="-1"/>
              </w:rPr>
              <w:t>和</w:t>
            </w:r>
            <w:r>
              <w:rPr>
                <w:spacing w:val="-1"/>
              </w:rPr>
              <w:t>K0+200</w:t>
            </w:r>
            <w:r>
              <w:rPr>
                <w:spacing w:val="-2"/>
              </w:rPr>
              <w:t xml:space="preserve"> </w:t>
            </w:r>
            <w:r>
              <w:rPr>
                <w:rFonts w:ascii="仿宋" w:hAnsi="仿宋" w:eastAsia="仿宋" w:cs="仿宋"/>
                <w:spacing w:val="-2"/>
              </w:rPr>
              <w:t>处设置</w:t>
            </w:r>
            <w:r>
              <w:rPr>
                <w:rFonts w:ascii="仿宋" w:hAnsi="仿宋" w:eastAsia="仿宋" w:cs="仿宋"/>
                <w:spacing w:val="-38"/>
              </w:rPr>
              <w:t xml:space="preserve"> </w:t>
            </w:r>
            <w:r>
              <w:rPr>
                <w:spacing w:val="-2"/>
              </w:rPr>
              <w:t>1-</w:t>
            </w:r>
            <w:r>
              <w:rPr>
                <w:spacing w:val="-24"/>
              </w:rPr>
              <w:t xml:space="preserve"> </w:t>
            </w:r>
            <w:r>
              <w:rPr>
                <w:spacing w:val="-2"/>
              </w:rPr>
              <w:t xml:space="preserve">1.5m </w:t>
            </w:r>
            <w:r>
              <w:rPr>
                <w:rFonts w:ascii="仿宋" w:hAnsi="仿宋" w:eastAsia="仿宋" w:cs="仿宋"/>
                <w:spacing w:val="-2"/>
              </w:rPr>
              <w:t xml:space="preserve">钢波纹管涵 </w:t>
            </w:r>
            <w:r>
              <w:rPr>
                <w:spacing w:val="-2"/>
              </w:rPr>
              <w:t>2</w:t>
            </w:r>
          </w:p>
          <w:p w14:paraId="460A0534">
            <w:pPr>
              <w:pStyle w:val="6"/>
              <w:spacing w:before="17" w:line="222" w:lineRule="auto"/>
              <w:ind w:left="52"/>
              <w:rPr>
                <w:rFonts w:ascii="仿宋" w:hAnsi="仿宋" w:eastAsia="仿宋" w:cs="仿宋"/>
              </w:rPr>
            </w:pPr>
            <w:r>
              <w:rPr>
                <w:rFonts w:ascii="仿宋" w:hAnsi="仿宋" w:eastAsia="仿宋" w:cs="仿宋"/>
                <w:spacing w:val="-1"/>
              </w:rPr>
              <w:t>道；十二连城乡三道拐社坡底至北防洪堤段分别于</w:t>
            </w:r>
            <w:r>
              <w:rPr>
                <w:rFonts w:ascii="仿宋" w:hAnsi="仿宋" w:eastAsia="仿宋" w:cs="仿宋"/>
                <w:spacing w:val="-41"/>
              </w:rPr>
              <w:t xml:space="preserve"> </w:t>
            </w:r>
            <w:r>
              <w:rPr>
                <w:spacing w:val="-1"/>
              </w:rPr>
              <w:t>K0+981</w:t>
            </w:r>
            <w:r>
              <w:rPr>
                <w:spacing w:val="11"/>
                <w:w w:val="101"/>
              </w:rPr>
              <w:t xml:space="preserve"> </w:t>
            </w:r>
            <w:r>
              <w:rPr>
                <w:rFonts w:ascii="仿宋" w:hAnsi="仿宋" w:eastAsia="仿宋" w:cs="仿宋"/>
                <w:spacing w:val="-1"/>
              </w:rPr>
              <w:t>和</w:t>
            </w:r>
            <w:r>
              <w:rPr>
                <w:rFonts w:ascii="仿宋" w:hAnsi="仿宋" w:eastAsia="仿宋" w:cs="仿宋"/>
                <w:spacing w:val="-41"/>
              </w:rPr>
              <w:t xml:space="preserve"> </w:t>
            </w:r>
            <w:r>
              <w:rPr>
                <w:spacing w:val="-1"/>
              </w:rPr>
              <w:t>K1</w:t>
            </w:r>
            <w:r>
              <w:rPr>
                <w:spacing w:val="-2"/>
              </w:rPr>
              <w:t>+427</w:t>
            </w:r>
            <w:r>
              <w:rPr>
                <w:spacing w:val="12"/>
              </w:rPr>
              <w:t xml:space="preserve"> </w:t>
            </w:r>
            <w:r>
              <w:rPr>
                <w:rFonts w:ascii="仿宋" w:hAnsi="仿宋" w:eastAsia="仿宋" w:cs="仿宋"/>
                <w:spacing w:val="-2"/>
              </w:rPr>
              <w:t>处拆除</w:t>
            </w:r>
          </w:p>
          <w:p w14:paraId="51EFC7AE">
            <w:pPr>
              <w:pStyle w:val="6"/>
              <w:spacing w:before="18" w:line="222" w:lineRule="auto"/>
              <w:jc w:val="right"/>
            </w:pPr>
            <w:r>
              <w:rPr>
                <w:rFonts w:ascii="仿宋" w:hAnsi="仿宋" w:eastAsia="仿宋" w:cs="仿宋"/>
                <w:spacing w:val="-3"/>
              </w:rPr>
              <w:t>既有涵洞后新建</w:t>
            </w:r>
            <w:r>
              <w:rPr>
                <w:rFonts w:ascii="仿宋" w:hAnsi="仿宋" w:eastAsia="仿宋" w:cs="仿宋"/>
                <w:spacing w:val="19"/>
              </w:rPr>
              <w:t xml:space="preserve"> </w:t>
            </w:r>
            <w:r>
              <w:rPr>
                <w:spacing w:val="-3"/>
              </w:rPr>
              <w:t xml:space="preserve">1-0.75m  </w:t>
            </w:r>
            <w:r>
              <w:rPr>
                <w:rFonts w:ascii="仿宋" w:hAnsi="仿宋" w:eastAsia="仿宋" w:cs="仿宋"/>
                <w:spacing w:val="-3"/>
              </w:rPr>
              <w:t>钢筋混凝土圆管</w:t>
            </w:r>
            <w:r>
              <w:rPr>
                <w:rFonts w:ascii="仿宋" w:hAnsi="仿宋" w:eastAsia="仿宋" w:cs="仿宋"/>
                <w:spacing w:val="-4"/>
              </w:rPr>
              <w:t>涵</w:t>
            </w:r>
            <w:r>
              <w:rPr>
                <w:rFonts w:ascii="仿宋" w:hAnsi="仿宋" w:eastAsia="仿宋" w:cs="仿宋"/>
                <w:spacing w:val="-48"/>
              </w:rPr>
              <w:t xml:space="preserve"> </w:t>
            </w:r>
            <w:r>
              <w:rPr>
                <w:spacing w:val="-4"/>
              </w:rPr>
              <w:t xml:space="preserve">2 </w:t>
            </w:r>
            <w:r>
              <w:rPr>
                <w:rFonts w:ascii="仿宋" w:hAnsi="仿宋" w:eastAsia="仿宋" w:cs="仿宋"/>
                <w:spacing w:val="-4"/>
              </w:rPr>
              <w:t>道；脑包湾村路段一于</w:t>
            </w:r>
            <w:r>
              <w:rPr>
                <w:rFonts w:ascii="仿宋" w:hAnsi="仿宋" w:eastAsia="仿宋" w:cs="仿宋"/>
                <w:spacing w:val="-48"/>
              </w:rPr>
              <w:t xml:space="preserve"> </w:t>
            </w:r>
            <w:r>
              <w:rPr>
                <w:spacing w:val="-4"/>
              </w:rPr>
              <w:t>K0+662.5</w:t>
            </w:r>
          </w:p>
          <w:p w14:paraId="05811CA2">
            <w:pPr>
              <w:pStyle w:val="6"/>
              <w:spacing w:before="16" w:line="197" w:lineRule="auto"/>
              <w:ind w:left="1624"/>
              <w:rPr>
                <w:rFonts w:ascii="仿宋" w:hAnsi="仿宋" w:eastAsia="仿宋" w:cs="仿宋"/>
              </w:rPr>
            </w:pPr>
            <w:r>
              <w:rPr>
                <w:rFonts w:ascii="仿宋" w:hAnsi="仿宋" w:eastAsia="仿宋" w:cs="仿宋"/>
                <w:spacing w:val="-4"/>
              </w:rPr>
              <w:t>处设置新建</w:t>
            </w:r>
            <w:r>
              <w:rPr>
                <w:rFonts w:ascii="仿宋" w:hAnsi="仿宋" w:eastAsia="仿宋" w:cs="仿宋"/>
                <w:spacing w:val="31"/>
                <w:w w:val="101"/>
              </w:rPr>
              <w:t xml:space="preserve"> </w:t>
            </w:r>
            <w:r>
              <w:rPr>
                <w:spacing w:val="-4"/>
              </w:rPr>
              <w:t xml:space="preserve">1-0.30m </w:t>
            </w:r>
            <w:r>
              <w:rPr>
                <w:rFonts w:ascii="仿宋" w:hAnsi="仿宋" w:eastAsia="仿宋" w:cs="仿宋"/>
                <w:spacing w:val="-4"/>
              </w:rPr>
              <w:t>铸铁管涵</w:t>
            </w:r>
            <w:r>
              <w:rPr>
                <w:rFonts w:ascii="仿宋" w:hAnsi="仿宋" w:eastAsia="仿宋" w:cs="仿宋"/>
                <w:spacing w:val="-24"/>
              </w:rPr>
              <w:t xml:space="preserve"> </w:t>
            </w:r>
            <w:r>
              <w:rPr>
                <w:spacing w:val="-4"/>
              </w:rPr>
              <w:t>1</w:t>
            </w:r>
            <w:r>
              <w:rPr>
                <w:spacing w:val="12"/>
                <w:w w:val="101"/>
              </w:rPr>
              <w:t xml:space="preserve"> </w:t>
            </w:r>
            <w:r>
              <w:rPr>
                <w:rFonts w:ascii="仿宋" w:hAnsi="仿宋" w:eastAsia="仿宋" w:cs="仿宋"/>
                <w:spacing w:val="-4"/>
              </w:rPr>
              <w:t>道。</w:t>
            </w:r>
          </w:p>
        </w:tc>
        <w:tc>
          <w:tcPr>
            <w:tcW w:w="601" w:type="dxa"/>
            <w:tcBorders>
              <w:right w:val="single" w:color="000000" w:sz="6" w:space="0"/>
            </w:tcBorders>
            <w:vAlign w:val="top"/>
          </w:tcPr>
          <w:p w14:paraId="4F6DAAF0">
            <w:pPr>
              <w:spacing w:line="278" w:lineRule="auto"/>
              <w:rPr>
                <w:rFonts w:ascii="Arial"/>
                <w:sz w:val="21"/>
              </w:rPr>
            </w:pPr>
          </w:p>
          <w:p w14:paraId="1543A72E">
            <w:pPr>
              <w:spacing w:line="279" w:lineRule="auto"/>
              <w:rPr>
                <w:rFonts w:ascii="Arial"/>
                <w:sz w:val="21"/>
              </w:rPr>
            </w:pPr>
          </w:p>
          <w:p w14:paraId="42CC631C">
            <w:pPr>
              <w:spacing w:before="58" w:line="222" w:lineRule="auto"/>
              <w:ind w:left="127"/>
              <w:rPr>
                <w:rFonts w:ascii="仿宋" w:hAnsi="仿宋" w:eastAsia="仿宋" w:cs="仿宋"/>
                <w:sz w:val="18"/>
                <w:szCs w:val="18"/>
              </w:rPr>
            </w:pPr>
            <w:r>
              <w:rPr>
                <w:rFonts w:ascii="仿宋" w:hAnsi="仿宋" w:eastAsia="仿宋" w:cs="仿宋"/>
                <w:spacing w:val="-6"/>
                <w:sz w:val="18"/>
                <w:szCs w:val="18"/>
              </w:rPr>
              <w:t>新建</w:t>
            </w:r>
          </w:p>
        </w:tc>
      </w:tr>
      <w:tr w14:paraId="603F7D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1" w:hRule="atLeast"/>
        </w:trPr>
        <w:tc>
          <w:tcPr>
            <w:tcW w:w="737" w:type="dxa"/>
            <w:vMerge w:val="continue"/>
            <w:tcBorders>
              <w:top w:val="nil"/>
              <w:left w:val="single" w:color="000000" w:sz="6" w:space="0"/>
              <w:bottom w:val="nil"/>
            </w:tcBorders>
            <w:vAlign w:val="top"/>
          </w:tcPr>
          <w:p w14:paraId="7EE91F74">
            <w:pPr>
              <w:rPr>
                <w:rFonts w:ascii="Arial"/>
                <w:sz w:val="21"/>
              </w:rPr>
            </w:pPr>
          </w:p>
        </w:tc>
        <w:tc>
          <w:tcPr>
            <w:tcW w:w="279" w:type="dxa"/>
            <w:vMerge w:val="continue"/>
            <w:tcBorders>
              <w:top w:val="nil"/>
              <w:bottom w:val="nil"/>
            </w:tcBorders>
            <w:textDirection w:val="tbRlV"/>
            <w:vAlign w:val="top"/>
          </w:tcPr>
          <w:p w14:paraId="6DF9113F">
            <w:pPr>
              <w:rPr>
                <w:rFonts w:ascii="Arial"/>
                <w:sz w:val="21"/>
              </w:rPr>
            </w:pPr>
          </w:p>
        </w:tc>
        <w:tc>
          <w:tcPr>
            <w:tcW w:w="633" w:type="dxa"/>
            <w:vAlign w:val="top"/>
          </w:tcPr>
          <w:p w14:paraId="1649640B">
            <w:pPr>
              <w:spacing w:line="442" w:lineRule="auto"/>
              <w:rPr>
                <w:rFonts w:ascii="Arial"/>
                <w:sz w:val="21"/>
              </w:rPr>
            </w:pPr>
          </w:p>
          <w:p w14:paraId="2870C8E4">
            <w:pPr>
              <w:spacing w:before="59" w:line="222" w:lineRule="auto"/>
              <w:ind w:left="48"/>
              <w:rPr>
                <w:rFonts w:ascii="仿宋" w:hAnsi="仿宋" w:eastAsia="仿宋" w:cs="仿宋"/>
                <w:sz w:val="18"/>
                <w:szCs w:val="18"/>
              </w:rPr>
            </w:pPr>
            <w:r>
              <w:rPr>
                <w:rFonts w:ascii="仿宋" w:hAnsi="仿宋" w:eastAsia="仿宋" w:cs="仿宋"/>
                <w:spacing w:val="-4"/>
                <w:sz w:val="18"/>
                <w:szCs w:val="18"/>
              </w:rPr>
              <w:t>排水沟</w:t>
            </w:r>
          </w:p>
        </w:tc>
        <w:tc>
          <w:tcPr>
            <w:tcW w:w="6127" w:type="dxa"/>
            <w:vAlign w:val="top"/>
          </w:tcPr>
          <w:p w14:paraId="02481608">
            <w:pPr>
              <w:pStyle w:val="6"/>
              <w:spacing w:before="38" w:line="222" w:lineRule="auto"/>
              <w:ind w:left="47"/>
              <w:rPr>
                <w:rFonts w:ascii="仿宋" w:hAnsi="仿宋" w:eastAsia="仿宋" w:cs="仿宋"/>
              </w:rPr>
            </w:pPr>
            <w:r>
              <w:rPr>
                <w:rFonts w:ascii="仿宋" w:hAnsi="仿宋" w:eastAsia="仿宋" w:cs="仿宋"/>
                <w:spacing w:val="-3"/>
              </w:rPr>
              <w:t>本项目挖方段设置</w:t>
            </w:r>
            <w:r>
              <w:rPr>
                <w:rFonts w:ascii="仿宋" w:hAnsi="仿宋" w:eastAsia="仿宋" w:cs="仿宋"/>
                <w:spacing w:val="-36"/>
              </w:rPr>
              <w:t xml:space="preserve"> </w:t>
            </w:r>
            <w:r>
              <w:rPr>
                <w:spacing w:val="-3"/>
              </w:rPr>
              <w:t>7</w:t>
            </w:r>
            <w:r>
              <w:rPr>
                <w:spacing w:val="18"/>
                <w:w w:val="101"/>
              </w:rPr>
              <w:t xml:space="preserve"> </w:t>
            </w:r>
            <w:r>
              <w:rPr>
                <w:rFonts w:ascii="仿宋" w:hAnsi="仿宋" w:eastAsia="仿宋" w:cs="仿宋"/>
                <w:spacing w:val="-3"/>
              </w:rPr>
              <w:t>字型边沟，边沟采用</w:t>
            </w:r>
            <w:r>
              <w:rPr>
                <w:rFonts w:ascii="仿宋" w:hAnsi="仿宋" w:eastAsia="仿宋" w:cs="仿宋"/>
                <w:spacing w:val="-38"/>
              </w:rPr>
              <w:t xml:space="preserve"> </w:t>
            </w:r>
            <w:r>
              <w:rPr>
                <w:spacing w:val="-3"/>
              </w:rPr>
              <w:t>C25</w:t>
            </w:r>
            <w:r>
              <w:rPr>
                <w:spacing w:val="12"/>
              </w:rPr>
              <w:t xml:space="preserve"> </w:t>
            </w:r>
            <w:r>
              <w:rPr>
                <w:rFonts w:ascii="仿宋" w:hAnsi="仿宋" w:eastAsia="仿宋" w:cs="仿宋"/>
                <w:spacing w:val="-3"/>
              </w:rPr>
              <w:t>混凝土滑膜，厚</w:t>
            </w:r>
            <w:r>
              <w:rPr>
                <w:rFonts w:ascii="仿宋" w:hAnsi="仿宋" w:eastAsia="仿宋" w:cs="仿宋"/>
                <w:spacing w:val="-24"/>
              </w:rPr>
              <w:t xml:space="preserve"> </w:t>
            </w:r>
            <w:r>
              <w:rPr>
                <w:spacing w:val="-3"/>
              </w:rPr>
              <w:t>10cm</w:t>
            </w:r>
            <w:r>
              <w:rPr>
                <w:spacing w:val="-21"/>
              </w:rPr>
              <w:t xml:space="preserve"> </w:t>
            </w:r>
            <w:r>
              <w:rPr>
                <w:rFonts w:ascii="仿宋" w:hAnsi="仿宋" w:eastAsia="仿宋" w:cs="仿宋"/>
                <w:spacing w:val="-3"/>
              </w:rPr>
              <w:t>，底部设</w:t>
            </w:r>
          </w:p>
          <w:p w14:paraId="0362D881">
            <w:pPr>
              <w:pStyle w:val="6"/>
              <w:spacing w:before="15" w:line="221" w:lineRule="auto"/>
              <w:ind w:left="45"/>
              <w:rPr>
                <w:rFonts w:ascii="仿宋" w:hAnsi="仿宋" w:eastAsia="仿宋" w:cs="仿宋"/>
              </w:rPr>
            </w:pPr>
            <w:r>
              <w:rPr>
                <w:rFonts w:ascii="仿宋" w:hAnsi="仿宋" w:eastAsia="仿宋" w:cs="仿宋"/>
                <w:spacing w:val="-3"/>
              </w:rPr>
              <w:t>置</w:t>
            </w:r>
            <w:r>
              <w:rPr>
                <w:rFonts w:ascii="仿宋" w:hAnsi="仿宋" w:eastAsia="仿宋" w:cs="仿宋"/>
                <w:spacing w:val="-24"/>
              </w:rPr>
              <w:t xml:space="preserve"> </w:t>
            </w:r>
            <w:r>
              <w:rPr>
                <w:spacing w:val="-3"/>
              </w:rPr>
              <w:t>10cm</w:t>
            </w:r>
            <w:r>
              <w:rPr>
                <w:spacing w:val="13"/>
                <w:w w:val="102"/>
              </w:rPr>
              <w:t xml:space="preserve"> </w:t>
            </w:r>
            <w:r>
              <w:rPr>
                <w:rFonts w:ascii="仿宋" w:hAnsi="仿宋" w:eastAsia="仿宋" w:cs="仿宋"/>
                <w:spacing w:val="-3"/>
              </w:rPr>
              <w:t>未筛分碎石垫层，边沟总宽</w:t>
            </w:r>
            <w:r>
              <w:rPr>
                <w:rFonts w:ascii="仿宋" w:hAnsi="仿宋" w:eastAsia="仿宋" w:cs="仿宋"/>
                <w:spacing w:val="-24"/>
              </w:rPr>
              <w:t xml:space="preserve"> </w:t>
            </w:r>
            <w:r>
              <w:rPr>
                <w:spacing w:val="-3"/>
              </w:rPr>
              <w:t>1.</w:t>
            </w:r>
            <w:r>
              <w:rPr>
                <w:spacing w:val="-26"/>
              </w:rPr>
              <w:t xml:space="preserve"> </w:t>
            </w:r>
            <w:r>
              <w:rPr>
                <w:spacing w:val="-3"/>
              </w:rPr>
              <w:t>15m</w:t>
            </w:r>
            <w:r>
              <w:rPr>
                <w:spacing w:val="-20"/>
              </w:rPr>
              <w:t xml:space="preserve"> </w:t>
            </w:r>
            <w:r>
              <w:rPr>
                <w:rFonts w:ascii="仿宋" w:hAnsi="仿宋" w:eastAsia="仿宋" w:cs="仿宋"/>
                <w:spacing w:val="-3"/>
              </w:rPr>
              <w:t>，排水沟采用</w:t>
            </w:r>
            <w:r>
              <w:rPr>
                <w:rFonts w:ascii="仿宋" w:hAnsi="仿宋" w:eastAsia="仿宋" w:cs="仿宋"/>
                <w:spacing w:val="-38"/>
              </w:rPr>
              <w:t xml:space="preserve"> </w:t>
            </w:r>
            <w:r>
              <w:rPr>
                <w:spacing w:val="-3"/>
              </w:rPr>
              <w:t>C25</w:t>
            </w:r>
            <w:r>
              <w:rPr>
                <w:spacing w:val="10"/>
              </w:rPr>
              <w:t xml:space="preserve"> </w:t>
            </w:r>
            <w:r>
              <w:rPr>
                <w:rFonts w:ascii="仿宋" w:hAnsi="仿宋" w:eastAsia="仿宋" w:cs="仿宋"/>
                <w:spacing w:val="-3"/>
              </w:rPr>
              <w:t>现</w:t>
            </w:r>
            <w:r>
              <w:rPr>
                <w:rFonts w:ascii="仿宋" w:hAnsi="仿宋" w:eastAsia="仿宋" w:cs="仿宋"/>
                <w:spacing w:val="-4"/>
              </w:rPr>
              <w:t>浇混凝土，尺</w:t>
            </w:r>
          </w:p>
          <w:p w14:paraId="6E09B86E">
            <w:pPr>
              <w:pStyle w:val="6"/>
              <w:spacing w:before="17" w:line="219" w:lineRule="auto"/>
              <w:ind w:left="81"/>
            </w:pPr>
            <w:r>
              <w:rPr>
                <w:rFonts w:ascii="仿宋" w:hAnsi="仿宋" w:eastAsia="仿宋" w:cs="仿宋"/>
                <w:spacing w:val="-1"/>
              </w:rPr>
              <w:t>寸为</w:t>
            </w:r>
            <w:r>
              <w:rPr>
                <w:rFonts w:ascii="仿宋" w:hAnsi="仿宋" w:eastAsia="仿宋" w:cs="仿宋"/>
                <w:spacing w:val="-38"/>
              </w:rPr>
              <w:t xml:space="preserve"> </w:t>
            </w:r>
            <w:r>
              <w:rPr>
                <w:spacing w:val="-1"/>
              </w:rPr>
              <w:t>50cm×50cm</w:t>
            </w:r>
            <w:r>
              <w:rPr>
                <w:spacing w:val="12"/>
              </w:rPr>
              <w:t xml:space="preserve"> </w:t>
            </w:r>
            <w:r>
              <w:rPr>
                <w:rFonts w:ascii="仿宋" w:hAnsi="仿宋" w:eastAsia="仿宋" w:cs="仿宋"/>
                <w:spacing w:val="-1"/>
              </w:rPr>
              <w:t>矩形排水沟。另外在</w:t>
            </w:r>
            <w:r>
              <w:rPr>
                <w:rFonts w:ascii="仿宋" w:hAnsi="仿宋" w:eastAsia="仿宋" w:cs="仿宋"/>
                <w:spacing w:val="-42"/>
              </w:rPr>
              <w:t xml:space="preserve"> </w:t>
            </w:r>
            <w:r>
              <w:rPr>
                <w:spacing w:val="-1"/>
              </w:rPr>
              <w:t>K0</w:t>
            </w:r>
            <w:r>
              <w:rPr>
                <w:spacing w:val="-2"/>
              </w:rPr>
              <w:t>+025</w:t>
            </w:r>
            <w:r>
              <w:rPr>
                <w:rFonts w:ascii="仿宋" w:hAnsi="仿宋" w:eastAsia="仿宋" w:cs="仿宋"/>
                <w:spacing w:val="-2"/>
              </w:rPr>
              <w:t>～</w:t>
            </w:r>
            <w:r>
              <w:rPr>
                <w:spacing w:val="-2"/>
              </w:rPr>
              <w:t>K0+115</w:t>
            </w:r>
            <w:r>
              <w:rPr>
                <w:spacing w:val="12"/>
              </w:rPr>
              <w:t xml:space="preserve"> </w:t>
            </w:r>
            <w:r>
              <w:rPr>
                <w:rFonts w:ascii="仿宋" w:hAnsi="仿宋" w:eastAsia="仿宋" w:cs="仿宋"/>
                <w:spacing w:val="-2"/>
              </w:rPr>
              <w:t>和</w:t>
            </w:r>
            <w:r>
              <w:rPr>
                <w:rFonts w:ascii="仿宋" w:hAnsi="仿宋" w:eastAsia="仿宋" w:cs="仿宋"/>
                <w:spacing w:val="-42"/>
              </w:rPr>
              <w:t xml:space="preserve"> </w:t>
            </w:r>
            <w:r>
              <w:rPr>
                <w:spacing w:val="-2"/>
              </w:rPr>
              <w:t>K0+115</w:t>
            </w:r>
            <w:r>
              <w:rPr>
                <w:rFonts w:ascii="仿宋" w:hAnsi="仿宋" w:eastAsia="仿宋" w:cs="仿宋"/>
                <w:spacing w:val="-2"/>
              </w:rPr>
              <w:t>～</w:t>
            </w:r>
            <w:r>
              <w:rPr>
                <w:spacing w:val="-2"/>
              </w:rPr>
              <w:t>K0+253</w:t>
            </w:r>
          </w:p>
          <w:p w14:paraId="19371EB0">
            <w:pPr>
              <w:pStyle w:val="6"/>
              <w:spacing w:before="19" w:line="220" w:lineRule="auto"/>
              <w:jc w:val="right"/>
              <w:rPr>
                <w:rFonts w:ascii="仿宋" w:hAnsi="仿宋" w:eastAsia="仿宋" w:cs="仿宋"/>
              </w:rPr>
            </w:pPr>
            <w:r>
              <w:rPr>
                <w:rFonts w:ascii="仿宋" w:hAnsi="仿宋" w:eastAsia="仿宋" w:cs="仿宋"/>
                <w:spacing w:val="-4"/>
              </w:rPr>
              <w:t>布设两段急流槽，长度分别为</w:t>
            </w:r>
            <w:r>
              <w:rPr>
                <w:rFonts w:ascii="仿宋" w:hAnsi="仿宋" w:eastAsia="仿宋" w:cs="仿宋"/>
                <w:spacing w:val="-26"/>
              </w:rPr>
              <w:t xml:space="preserve"> </w:t>
            </w:r>
            <w:r>
              <w:rPr>
                <w:spacing w:val="-4"/>
              </w:rPr>
              <w:t>10.</w:t>
            </w:r>
            <w:r>
              <w:rPr>
                <w:spacing w:val="-23"/>
              </w:rPr>
              <w:t xml:space="preserve"> </w:t>
            </w:r>
            <w:r>
              <w:rPr>
                <w:spacing w:val="-4"/>
              </w:rPr>
              <w:t>1m</w:t>
            </w:r>
            <w:r>
              <w:rPr>
                <w:spacing w:val="12"/>
              </w:rPr>
              <w:t xml:space="preserve"> </w:t>
            </w:r>
            <w:r>
              <w:rPr>
                <w:rFonts w:ascii="仿宋" w:hAnsi="仿宋" w:eastAsia="仿宋" w:cs="仿宋"/>
                <w:spacing w:val="-4"/>
              </w:rPr>
              <w:t>和</w:t>
            </w:r>
            <w:r>
              <w:rPr>
                <w:rFonts w:ascii="仿宋" w:hAnsi="仿宋" w:eastAsia="仿宋" w:cs="仿宋"/>
                <w:spacing w:val="-40"/>
              </w:rPr>
              <w:t xml:space="preserve"> </w:t>
            </w:r>
            <w:r>
              <w:rPr>
                <w:spacing w:val="-4"/>
              </w:rPr>
              <w:t>7.9m</w:t>
            </w:r>
            <w:r>
              <w:rPr>
                <w:rFonts w:ascii="仿宋" w:hAnsi="仿宋" w:eastAsia="仿宋" w:cs="仿宋"/>
                <w:spacing w:val="-5"/>
              </w:rPr>
              <w:t>，均采用</w:t>
            </w:r>
            <w:r>
              <w:rPr>
                <w:rFonts w:ascii="仿宋" w:hAnsi="仿宋" w:eastAsia="仿宋" w:cs="仿宋"/>
                <w:spacing w:val="-38"/>
              </w:rPr>
              <w:t xml:space="preserve"> </w:t>
            </w:r>
            <w:r>
              <w:rPr>
                <w:spacing w:val="-5"/>
              </w:rPr>
              <w:t>C25</w:t>
            </w:r>
            <w:r>
              <w:rPr>
                <w:spacing w:val="10"/>
              </w:rPr>
              <w:t xml:space="preserve"> </w:t>
            </w:r>
            <w:r>
              <w:rPr>
                <w:rFonts w:ascii="仿宋" w:hAnsi="仿宋" w:eastAsia="仿宋" w:cs="仿宋"/>
                <w:spacing w:val="-5"/>
              </w:rPr>
              <w:t>现浇混凝土配未筛分</w:t>
            </w:r>
          </w:p>
          <w:p w14:paraId="4BB5EBF5">
            <w:pPr>
              <w:spacing w:before="17" w:line="197" w:lineRule="auto"/>
              <w:ind w:left="2624"/>
              <w:rPr>
                <w:rFonts w:ascii="仿宋" w:hAnsi="仿宋" w:eastAsia="仿宋" w:cs="仿宋"/>
                <w:sz w:val="18"/>
                <w:szCs w:val="18"/>
              </w:rPr>
            </w:pPr>
            <w:r>
              <w:rPr>
                <w:rFonts w:ascii="仿宋" w:hAnsi="仿宋" w:eastAsia="仿宋" w:cs="仿宋"/>
                <w:spacing w:val="-3"/>
                <w:sz w:val="18"/>
                <w:szCs w:val="18"/>
              </w:rPr>
              <w:t>碎石垫层。</w:t>
            </w:r>
          </w:p>
        </w:tc>
        <w:tc>
          <w:tcPr>
            <w:tcW w:w="601" w:type="dxa"/>
            <w:tcBorders>
              <w:right w:val="single" w:color="000000" w:sz="6" w:space="0"/>
            </w:tcBorders>
            <w:vAlign w:val="top"/>
          </w:tcPr>
          <w:p w14:paraId="5B715BAF">
            <w:pPr>
              <w:spacing w:line="442" w:lineRule="auto"/>
              <w:rPr>
                <w:rFonts w:ascii="Arial"/>
                <w:sz w:val="21"/>
              </w:rPr>
            </w:pPr>
          </w:p>
          <w:p w14:paraId="2C2070DB">
            <w:pPr>
              <w:spacing w:before="59" w:line="222" w:lineRule="auto"/>
              <w:ind w:left="127"/>
              <w:rPr>
                <w:rFonts w:ascii="仿宋" w:hAnsi="仿宋" w:eastAsia="仿宋" w:cs="仿宋"/>
                <w:sz w:val="18"/>
                <w:szCs w:val="18"/>
              </w:rPr>
            </w:pPr>
            <w:r>
              <w:rPr>
                <w:rFonts w:ascii="仿宋" w:hAnsi="仿宋" w:eastAsia="仿宋" w:cs="仿宋"/>
                <w:spacing w:val="-6"/>
                <w:sz w:val="18"/>
                <w:szCs w:val="18"/>
              </w:rPr>
              <w:t>新建</w:t>
            </w:r>
          </w:p>
        </w:tc>
      </w:tr>
      <w:tr w14:paraId="446092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737" w:type="dxa"/>
            <w:vMerge w:val="continue"/>
            <w:tcBorders>
              <w:top w:val="nil"/>
              <w:left w:val="single" w:color="000000" w:sz="6" w:space="0"/>
              <w:bottom w:val="nil"/>
            </w:tcBorders>
            <w:vAlign w:val="top"/>
          </w:tcPr>
          <w:p w14:paraId="3F8F5F40">
            <w:pPr>
              <w:rPr>
                <w:rFonts w:ascii="Arial"/>
                <w:sz w:val="21"/>
              </w:rPr>
            </w:pPr>
          </w:p>
        </w:tc>
        <w:tc>
          <w:tcPr>
            <w:tcW w:w="279" w:type="dxa"/>
            <w:vMerge w:val="continue"/>
            <w:tcBorders>
              <w:top w:val="nil"/>
              <w:bottom w:val="nil"/>
            </w:tcBorders>
            <w:textDirection w:val="tbRlV"/>
            <w:vAlign w:val="top"/>
          </w:tcPr>
          <w:p w14:paraId="78CD003D">
            <w:pPr>
              <w:rPr>
                <w:rFonts w:ascii="Arial"/>
                <w:sz w:val="21"/>
              </w:rPr>
            </w:pPr>
          </w:p>
        </w:tc>
        <w:tc>
          <w:tcPr>
            <w:tcW w:w="633" w:type="dxa"/>
            <w:vAlign w:val="top"/>
          </w:tcPr>
          <w:p w14:paraId="1FDB61AE">
            <w:pPr>
              <w:spacing w:before="152" w:line="224" w:lineRule="auto"/>
              <w:ind w:left="146"/>
              <w:rPr>
                <w:rFonts w:ascii="仿宋" w:hAnsi="仿宋" w:eastAsia="仿宋" w:cs="仿宋"/>
                <w:sz w:val="18"/>
                <w:szCs w:val="18"/>
              </w:rPr>
            </w:pPr>
            <w:r>
              <w:rPr>
                <w:rFonts w:ascii="仿宋" w:hAnsi="仿宋" w:eastAsia="仿宋" w:cs="仿宋"/>
                <w:spacing w:val="-9"/>
                <w:sz w:val="18"/>
                <w:szCs w:val="18"/>
              </w:rPr>
              <w:t>交叉</w:t>
            </w:r>
          </w:p>
        </w:tc>
        <w:tc>
          <w:tcPr>
            <w:tcW w:w="6127" w:type="dxa"/>
            <w:vAlign w:val="top"/>
          </w:tcPr>
          <w:p w14:paraId="14A7C5BA">
            <w:pPr>
              <w:pStyle w:val="6"/>
              <w:spacing w:before="37" w:line="219" w:lineRule="auto"/>
              <w:jc w:val="right"/>
              <w:rPr>
                <w:rFonts w:ascii="仿宋" w:hAnsi="仿宋" w:eastAsia="仿宋" w:cs="仿宋"/>
              </w:rPr>
            </w:pPr>
            <w:r>
              <w:rPr>
                <w:rFonts w:ascii="仿宋" w:hAnsi="仿宋" w:eastAsia="仿宋" w:cs="仿宋"/>
                <w:spacing w:val="-2"/>
              </w:rPr>
              <w:t>共设置</w:t>
            </w:r>
            <w:r>
              <w:rPr>
                <w:spacing w:val="-2"/>
              </w:rPr>
              <w:t xml:space="preserve">50 </w:t>
            </w:r>
            <w:r>
              <w:rPr>
                <w:rFonts w:ascii="仿宋" w:hAnsi="仿宋" w:eastAsia="仿宋" w:cs="仿宋"/>
                <w:spacing w:val="-2"/>
              </w:rPr>
              <w:t>处平面交叉，丁字平交，被交道等级为等外路，采用加铺转角的方式</w:t>
            </w:r>
          </w:p>
          <w:p w14:paraId="6D7B0CB8">
            <w:pPr>
              <w:spacing w:before="19" w:line="196" w:lineRule="auto"/>
              <w:ind w:left="2445"/>
              <w:rPr>
                <w:rFonts w:ascii="仿宋" w:hAnsi="仿宋" w:eastAsia="仿宋" w:cs="仿宋"/>
                <w:sz w:val="18"/>
                <w:szCs w:val="18"/>
              </w:rPr>
            </w:pPr>
            <w:r>
              <w:rPr>
                <w:rFonts w:ascii="仿宋" w:hAnsi="仿宋" w:eastAsia="仿宋" w:cs="仿宋"/>
                <w:spacing w:val="-2"/>
                <w:sz w:val="18"/>
                <w:szCs w:val="18"/>
              </w:rPr>
              <w:t>进行平面过渡。</w:t>
            </w:r>
          </w:p>
        </w:tc>
        <w:tc>
          <w:tcPr>
            <w:tcW w:w="601" w:type="dxa"/>
            <w:tcBorders>
              <w:right w:val="single" w:color="000000" w:sz="6" w:space="0"/>
            </w:tcBorders>
            <w:vAlign w:val="top"/>
          </w:tcPr>
          <w:p w14:paraId="30DCD566">
            <w:pPr>
              <w:spacing w:before="153" w:line="222" w:lineRule="auto"/>
              <w:ind w:left="127"/>
              <w:rPr>
                <w:rFonts w:ascii="仿宋" w:hAnsi="仿宋" w:eastAsia="仿宋" w:cs="仿宋"/>
                <w:sz w:val="18"/>
                <w:szCs w:val="18"/>
              </w:rPr>
            </w:pPr>
            <w:r>
              <w:rPr>
                <w:rFonts w:ascii="仿宋" w:hAnsi="仿宋" w:eastAsia="仿宋" w:cs="仿宋"/>
                <w:spacing w:val="-6"/>
                <w:sz w:val="18"/>
                <w:szCs w:val="18"/>
              </w:rPr>
              <w:t>新建</w:t>
            </w:r>
          </w:p>
        </w:tc>
      </w:tr>
      <w:tr w14:paraId="51E4E4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383C1FC5">
            <w:pPr>
              <w:rPr>
                <w:rFonts w:ascii="Arial"/>
                <w:sz w:val="21"/>
              </w:rPr>
            </w:pPr>
          </w:p>
        </w:tc>
        <w:tc>
          <w:tcPr>
            <w:tcW w:w="279" w:type="dxa"/>
            <w:vMerge w:val="continue"/>
            <w:tcBorders>
              <w:top w:val="nil"/>
            </w:tcBorders>
            <w:textDirection w:val="tbRlV"/>
            <w:vAlign w:val="top"/>
          </w:tcPr>
          <w:p w14:paraId="7E76A6B9">
            <w:pPr>
              <w:rPr>
                <w:rFonts w:ascii="Arial"/>
                <w:sz w:val="21"/>
              </w:rPr>
            </w:pPr>
          </w:p>
        </w:tc>
        <w:tc>
          <w:tcPr>
            <w:tcW w:w="633" w:type="dxa"/>
            <w:vAlign w:val="top"/>
          </w:tcPr>
          <w:p w14:paraId="06CAC67C">
            <w:pPr>
              <w:spacing w:before="154" w:line="222" w:lineRule="auto"/>
              <w:ind w:left="141"/>
              <w:rPr>
                <w:rFonts w:ascii="仿宋" w:hAnsi="仿宋" w:eastAsia="仿宋" w:cs="仿宋"/>
                <w:sz w:val="18"/>
                <w:szCs w:val="18"/>
              </w:rPr>
            </w:pPr>
            <w:r>
              <w:rPr>
                <w:rFonts w:ascii="仿宋" w:hAnsi="仿宋" w:eastAsia="仿宋" w:cs="仿宋"/>
                <w:spacing w:val="-6"/>
                <w:sz w:val="18"/>
                <w:szCs w:val="18"/>
              </w:rPr>
              <w:t>标识</w:t>
            </w:r>
          </w:p>
        </w:tc>
        <w:tc>
          <w:tcPr>
            <w:tcW w:w="6127" w:type="dxa"/>
            <w:vAlign w:val="top"/>
          </w:tcPr>
          <w:p w14:paraId="654B984B">
            <w:pPr>
              <w:spacing w:before="38" w:line="222" w:lineRule="auto"/>
              <w:jc w:val="right"/>
              <w:rPr>
                <w:rFonts w:ascii="仿宋" w:hAnsi="仿宋" w:eastAsia="仿宋" w:cs="仿宋"/>
                <w:sz w:val="18"/>
                <w:szCs w:val="18"/>
              </w:rPr>
            </w:pPr>
            <w:r>
              <w:rPr>
                <w:rFonts w:ascii="仿宋" w:hAnsi="仿宋" w:eastAsia="仿宋" w:cs="仿宋"/>
                <w:spacing w:val="-1"/>
                <w:sz w:val="18"/>
                <w:szCs w:val="18"/>
              </w:rPr>
              <w:t>本项目标识包扩标志（指路、指示标志、警告、禁令标志）、标线、护栏、里</w:t>
            </w:r>
          </w:p>
          <w:p w14:paraId="4C54758D">
            <w:pPr>
              <w:pStyle w:val="6"/>
              <w:spacing w:before="16" w:line="194" w:lineRule="auto"/>
              <w:ind w:left="1970"/>
              <w:rPr>
                <w:rFonts w:ascii="仿宋" w:hAnsi="仿宋" w:eastAsia="仿宋" w:cs="仿宋"/>
              </w:rPr>
            </w:pPr>
            <w:r>
              <w:rPr>
                <w:rFonts w:ascii="仿宋" w:hAnsi="仿宋" w:eastAsia="仿宋" w:cs="仿宋"/>
                <w:spacing w:val="-3"/>
              </w:rPr>
              <w:t>程碑、百</w:t>
            </w:r>
            <w:r>
              <w:rPr>
                <w:rFonts w:ascii="仿宋" w:hAnsi="仿宋" w:eastAsia="仿宋" w:cs="仿宋"/>
                <w:spacing w:val="-35"/>
              </w:rPr>
              <w:t xml:space="preserve"> </w:t>
            </w:r>
            <w:r>
              <w:rPr>
                <w:spacing w:val="-3"/>
              </w:rPr>
              <w:t>m</w:t>
            </w:r>
            <w:r>
              <w:rPr>
                <w:spacing w:val="12"/>
              </w:rPr>
              <w:t xml:space="preserve"> </w:t>
            </w:r>
            <w:r>
              <w:rPr>
                <w:rFonts w:ascii="仿宋" w:hAnsi="仿宋" w:eastAsia="仿宋" w:cs="仿宋"/>
                <w:spacing w:val="-3"/>
              </w:rPr>
              <w:t>桩及公路界碑。</w:t>
            </w:r>
          </w:p>
        </w:tc>
        <w:tc>
          <w:tcPr>
            <w:tcW w:w="601" w:type="dxa"/>
            <w:tcBorders>
              <w:right w:val="single" w:color="000000" w:sz="6" w:space="0"/>
            </w:tcBorders>
            <w:vAlign w:val="top"/>
          </w:tcPr>
          <w:p w14:paraId="716C90D4">
            <w:pPr>
              <w:spacing w:before="154" w:line="222" w:lineRule="auto"/>
              <w:ind w:left="127"/>
              <w:rPr>
                <w:rFonts w:ascii="仿宋" w:hAnsi="仿宋" w:eastAsia="仿宋" w:cs="仿宋"/>
                <w:sz w:val="18"/>
                <w:szCs w:val="18"/>
              </w:rPr>
            </w:pPr>
            <w:r>
              <w:rPr>
                <w:rFonts w:ascii="仿宋" w:hAnsi="仿宋" w:eastAsia="仿宋" w:cs="仿宋"/>
                <w:spacing w:val="-6"/>
                <w:sz w:val="18"/>
                <w:szCs w:val="18"/>
              </w:rPr>
              <w:t>新建</w:t>
            </w:r>
          </w:p>
        </w:tc>
      </w:tr>
      <w:tr w14:paraId="23FBD4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2" w:hRule="atLeast"/>
        </w:trPr>
        <w:tc>
          <w:tcPr>
            <w:tcW w:w="737" w:type="dxa"/>
            <w:vMerge w:val="continue"/>
            <w:tcBorders>
              <w:top w:val="nil"/>
              <w:left w:val="single" w:color="000000" w:sz="6" w:space="0"/>
              <w:bottom w:val="nil"/>
            </w:tcBorders>
            <w:vAlign w:val="top"/>
          </w:tcPr>
          <w:p w14:paraId="27F7AB4F">
            <w:pPr>
              <w:rPr>
                <w:rFonts w:ascii="Arial"/>
                <w:sz w:val="21"/>
              </w:rPr>
            </w:pPr>
          </w:p>
        </w:tc>
        <w:tc>
          <w:tcPr>
            <w:tcW w:w="279" w:type="dxa"/>
            <w:vMerge w:val="restart"/>
            <w:tcBorders>
              <w:bottom w:val="nil"/>
            </w:tcBorders>
            <w:textDirection w:val="tbRlV"/>
            <w:vAlign w:val="top"/>
          </w:tcPr>
          <w:p w14:paraId="6180D29B">
            <w:pPr>
              <w:spacing w:before="51" w:line="201" w:lineRule="auto"/>
              <w:ind w:left="1225"/>
              <w:rPr>
                <w:rFonts w:ascii="仿宋" w:hAnsi="仿宋" w:eastAsia="仿宋" w:cs="仿宋"/>
                <w:sz w:val="18"/>
                <w:szCs w:val="18"/>
              </w:rPr>
            </w:pPr>
            <w:r>
              <w:rPr>
                <w:rFonts w:ascii="仿宋" w:hAnsi="仿宋" w:eastAsia="仿宋" w:cs="仿宋"/>
                <w:spacing w:val="-11"/>
                <w:sz w:val="18"/>
                <w:szCs w:val="18"/>
              </w:rPr>
              <w:t>临</w:t>
            </w:r>
            <w:r>
              <w:rPr>
                <w:rFonts w:ascii="仿宋" w:hAnsi="仿宋" w:eastAsia="仿宋" w:cs="仿宋"/>
                <w:spacing w:val="-38"/>
                <w:sz w:val="18"/>
                <w:szCs w:val="18"/>
              </w:rPr>
              <w:t xml:space="preserve"> </w:t>
            </w:r>
            <w:r>
              <w:rPr>
                <w:rFonts w:ascii="仿宋" w:hAnsi="仿宋" w:eastAsia="仿宋" w:cs="仿宋"/>
                <w:spacing w:val="-11"/>
                <w:sz w:val="18"/>
                <w:szCs w:val="18"/>
              </w:rPr>
              <w:t>时</w:t>
            </w:r>
            <w:r>
              <w:rPr>
                <w:rFonts w:ascii="仿宋" w:hAnsi="仿宋" w:eastAsia="仿宋" w:cs="仿宋"/>
                <w:spacing w:val="-14"/>
                <w:sz w:val="18"/>
                <w:szCs w:val="18"/>
              </w:rPr>
              <w:t xml:space="preserve"> </w:t>
            </w:r>
            <w:r>
              <w:rPr>
                <w:rFonts w:ascii="仿宋" w:hAnsi="仿宋" w:eastAsia="仿宋" w:cs="仿宋"/>
                <w:spacing w:val="-11"/>
                <w:sz w:val="18"/>
                <w:szCs w:val="18"/>
              </w:rPr>
              <w:t>工 程</w:t>
            </w:r>
          </w:p>
        </w:tc>
        <w:tc>
          <w:tcPr>
            <w:tcW w:w="633" w:type="dxa"/>
            <w:vAlign w:val="top"/>
          </w:tcPr>
          <w:p w14:paraId="60B61C44">
            <w:pPr>
              <w:spacing w:before="39" w:line="239" w:lineRule="auto"/>
              <w:ind w:left="51" w:right="48" w:firstLine="91"/>
              <w:rPr>
                <w:rFonts w:ascii="仿宋" w:hAnsi="仿宋" w:eastAsia="仿宋" w:cs="仿宋"/>
                <w:sz w:val="18"/>
                <w:szCs w:val="18"/>
              </w:rPr>
            </w:pPr>
            <w:r>
              <w:rPr>
                <w:rFonts w:ascii="仿宋" w:hAnsi="仿宋" w:eastAsia="仿宋" w:cs="仿宋"/>
                <w:spacing w:val="-7"/>
                <w:sz w:val="18"/>
                <w:szCs w:val="18"/>
              </w:rPr>
              <w:t>预制</w:t>
            </w:r>
            <w:r>
              <w:rPr>
                <w:rFonts w:ascii="仿宋" w:hAnsi="仿宋" w:eastAsia="仿宋" w:cs="仿宋"/>
                <w:spacing w:val="-5"/>
                <w:sz w:val="18"/>
                <w:szCs w:val="18"/>
              </w:rPr>
              <w:t>场、拌</w:t>
            </w:r>
          </w:p>
          <w:p w14:paraId="6A35E62F">
            <w:pPr>
              <w:spacing w:line="223" w:lineRule="auto"/>
              <w:ind w:left="55"/>
              <w:rPr>
                <w:rFonts w:ascii="仿宋" w:hAnsi="仿宋" w:eastAsia="仿宋" w:cs="仿宋"/>
                <w:sz w:val="18"/>
                <w:szCs w:val="18"/>
              </w:rPr>
            </w:pPr>
            <w:r>
              <w:rPr>
                <w:rFonts w:ascii="仿宋" w:hAnsi="仿宋" w:eastAsia="仿宋" w:cs="仿宋"/>
                <w:spacing w:val="-6"/>
                <w:sz w:val="18"/>
                <w:szCs w:val="18"/>
              </w:rPr>
              <w:t>合站、</w:t>
            </w:r>
          </w:p>
          <w:p w14:paraId="43A8ED4F">
            <w:pPr>
              <w:spacing w:before="14" w:line="217" w:lineRule="auto"/>
              <w:ind w:left="231" w:right="48" w:hanging="181"/>
              <w:rPr>
                <w:rFonts w:ascii="仿宋" w:hAnsi="仿宋" w:eastAsia="仿宋" w:cs="仿宋"/>
                <w:sz w:val="18"/>
                <w:szCs w:val="18"/>
              </w:rPr>
            </w:pPr>
            <w:r>
              <w:rPr>
                <w:rFonts w:ascii="仿宋" w:hAnsi="仿宋" w:eastAsia="仿宋" w:cs="仿宋"/>
                <w:spacing w:val="-4"/>
                <w:sz w:val="18"/>
                <w:szCs w:val="18"/>
              </w:rPr>
              <w:t>砂石料</w:t>
            </w:r>
            <w:r>
              <w:rPr>
                <w:rFonts w:ascii="仿宋" w:hAnsi="仿宋" w:eastAsia="仿宋" w:cs="仿宋"/>
                <w:sz w:val="18"/>
                <w:szCs w:val="18"/>
              </w:rPr>
              <w:t>场</w:t>
            </w:r>
          </w:p>
        </w:tc>
        <w:tc>
          <w:tcPr>
            <w:tcW w:w="6127" w:type="dxa"/>
            <w:vAlign w:val="top"/>
          </w:tcPr>
          <w:p w14:paraId="1E0C4056">
            <w:pPr>
              <w:spacing w:line="444" w:lineRule="auto"/>
              <w:rPr>
                <w:rFonts w:ascii="Arial"/>
                <w:sz w:val="21"/>
              </w:rPr>
            </w:pPr>
          </w:p>
          <w:p w14:paraId="6D7304D1">
            <w:pPr>
              <w:spacing w:before="59" w:line="220" w:lineRule="auto"/>
              <w:jc w:val="right"/>
              <w:rPr>
                <w:rFonts w:ascii="仿宋" w:hAnsi="仿宋" w:eastAsia="仿宋" w:cs="仿宋"/>
                <w:sz w:val="18"/>
                <w:szCs w:val="18"/>
              </w:rPr>
            </w:pPr>
            <w:r>
              <w:rPr>
                <w:rFonts w:ascii="仿宋" w:hAnsi="仿宋" w:eastAsia="仿宋" w:cs="仿宋"/>
                <w:spacing w:val="-6"/>
                <w:sz w:val="18"/>
                <w:szCs w:val="18"/>
              </w:rPr>
              <w:t>全线不设置拌合站及预制场，石料、砂砾、水泥混凝土等均采用外购方式解决。</w:t>
            </w:r>
          </w:p>
        </w:tc>
        <w:tc>
          <w:tcPr>
            <w:tcW w:w="601" w:type="dxa"/>
            <w:tcBorders>
              <w:right w:val="single" w:color="000000" w:sz="6" w:space="0"/>
            </w:tcBorders>
            <w:vAlign w:val="top"/>
          </w:tcPr>
          <w:p w14:paraId="02562100">
            <w:pPr>
              <w:spacing w:line="478" w:lineRule="auto"/>
              <w:rPr>
                <w:rFonts w:ascii="Arial"/>
                <w:sz w:val="21"/>
              </w:rPr>
            </w:pPr>
          </w:p>
          <w:p w14:paraId="2A500758">
            <w:pPr>
              <w:pStyle w:val="6"/>
              <w:spacing w:before="52" w:line="192" w:lineRule="auto"/>
              <w:ind w:left="272"/>
            </w:pPr>
            <w:r>
              <w:t>/</w:t>
            </w:r>
          </w:p>
        </w:tc>
      </w:tr>
      <w:tr w14:paraId="2C0D85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2A6FCD45">
            <w:pPr>
              <w:rPr>
                <w:rFonts w:ascii="Arial"/>
                <w:sz w:val="21"/>
              </w:rPr>
            </w:pPr>
          </w:p>
        </w:tc>
        <w:tc>
          <w:tcPr>
            <w:tcW w:w="279" w:type="dxa"/>
            <w:vMerge w:val="continue"/>
            <w:tcBorders>
              <w:top w:val="nil"/>
              <w:bottom w:val="nil"/>
            </w:tcBorders>
            <w:textDirection w:val="tbRlV"/>
            <w:vAlign w:val="top"/>
          </w:tcPr>
          <w:p w14:paraId="2285F2E9">
            <w:pPr>
              <w:rPr>
                <w:rFonts w:ascii="Arial"/>
                <w:sz w:val="21"/>
              </w:rPr>
            </w:pPr>
          </w:p>
        </w:tc>
        <w:tc>
          <w:tcPr>
            <w:tcW w:w="633" w:type="dxa"/>
            <w:vAlign w:val="top"/>
          </w:tcPr>
          <w:p w14:paraId="6243238E">
            <w:pPr>
              <w:spacing w:before="39" w:line="216" w:lineRule="auto"/>
              <w:ind w:left="231" w:right="48" w:hanging="181"/>
              <w:rPr>
                <w:rFonts w:ascii="仿宋" w:hAnsi="仿宋" w:eastAsia="仿宋" w:cs="仿宋"/>
                <w:sz w:val="18"/>
                <w:szCs w:val="18"/>
              </w:rPr>
            </w:pPr>
            <w:r>
              <w:rPr>
                <w:rFonts w:ascii="仿宋" w:hAnsi="仿宋" w:eastAsia="仿宋" w:cs="仿宋"/>
                <w:spacing w:val="-4"/>
                <w:sz w:val="18"/>
                <w:szCs w:val="18"/>
              </w:rPr>
              <w:t>施工营</w:t>
            </w:r>
            <w:r>
              <w:rPr>
                <w:rFonts w:ascii="仿宋" w:hAnsi="仿宋" w:eastAsia="仿宋" w:cs="仿宋"/>
                <w:sz w:val="18"/>
                <w:szCs w:val="18"/>
              </w:rPr>
              <w:t>地</w:t>
            </w:r>
          </w:p>
        </w:tc>
        <w:tc>
          <w:tcPr>
            <w:tcW w:w="6127" w:type="dxa"/>
            <w:vAlign w:val="top"/>
          </w:tcPr>
          <w:p w14:paraId="505AE2E6">
            <w:pPr>
              <w:spacing w:before="153" w:line="222" w:lineRule="auto"/>
              <w:ind w:left="1188"/>
              <w:rPr>
                <w:rFonts w:ascii="仿宋" w:hAnsi="仿宋" w:eastAsia="仿宋" w:cs="仿宋"/>
                <w:sz w:val="18"/>
                <w:szCs w:val="18"/>
              </w:rPr>
            </w:pPr>
            <w:r>
              <w:rPr>
                <w:rFonts w:ascii="仿宋" w:hAnsi="仿宋" w:eastAsia="仿宋" w:cs="仿宋"/>
                <w:spacing w:val="-1"/>
                <w:sz w:val="18"/>
                <w:szCs w:val="18"/>
              </w:rPr>
              <w:t>不设置施工营地，施工生活区租用当地的民房。</w:t>
            </w:r>
          </w:p>
        </w:tc>
        <w:tc>
          <w:tcPr>
            <w:tcW w:w="601" w:type="dxa"/>
            <w:tcBorders>
              <w:right w:val="single" w:color="000000" w:sz="6" w:space="0"/>
            </w:tcBorders>
            <w:vAlign w:val="top"/>
          </w:tcPr>
          <w:p w14:paraId="2A18DFF2">
            <w:pPr>
              <w:pStyle w:val="6"/>
              <w:spacing w:before="182" w:line="192" w:lineRule="auto"/>
              <w:ind w:left="272"/>
            </w:pPr>
            <w:r>
              <w:t>/</w:t>
            </w:r>
          </w:p>
        </w:tc>
      </w:tr>
      <w:tr w14:paraId="5F63A8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58802749">
            <w:pPr>
              <w:rPr>
                <w:rFonts w:ascii="Arial"/>
                <w:sz w:val="21"/>
              </w:rPr>
            </w:pPr>
          </w:p>
        </w:tc>
        <w:tc>
          <w:tcPr>
            <w:tcW w:w="279" w:type="dxa"/>
            <w:vMerge w:val="continue"/>
            <w:tcBorders>
              <w:top w:val="nil"/>
              <w:bottom w:val="nil"/>
            </w:tcBorders>
            <w:textDirection w:val="tbRlV"/>
            <w:vAlign w:val="top"/>
          </w:tcPr>
          <w:p w14:paraId="05B7DE66">
            <w:pPr>
              <w:rPr>
                <w:rFonts w:ascii="Arial"/>
                <w:sz w:val="21"/>
              </w:rPr>
            </w:pPr>
          </w:p>
        </w:tc>
        <w:tc>
          <w:tcPr>
            <w:tcW w:w="633" w:type="dxa"/>
            <w:vAlign w:val="top"/>
          </w:tcPr>
          <w:p w14:paraId="18F155AC">
            <w:pPr>
              <w:spacing w:before="39" w:line="216" w:lineRule="auto"/>
              <w:ind w:left="231" w:right="48" w:hanging="180"/>
              <w:rPr>
                <w:rFonts w:ascii="仿宋" w:hAnsi="仿宋" w:eastAsia="仿宋" w:cs="仿宋"/>
                <w:sz w:val="18"/>
                <w:szCs w:val="18"/>
              </w:rPr>
            </w:pPr>
            <w:r>
              <w:rPr>
                <w:rFonts w:ascii="仿宋" w:hAnsi="仿宋" w:eastAsia="仿宋" w:cs="仿宋"/>
                <w:spacing w:val="-5"/>
                <w:sz w:val="18"/>
                <w:szCs w:val="18"/>
              </w:rPr>
              <w:t>取弃土</w:t>
            </w:r>
            <w:r>
              <w:rPr>
                <w:rFonts w:ascii="仿宋" w:hAnsi="仿宋" w:eastAsia="仿宋" w:cs="仿宋"/>
                <w:sz w:val="18"/>
                <w:szCs w:val="18"/>
              </w:rPr>
              <w:t>场</w:t>
            </w:r>
          </w:p>
        </w:tc>
        <w:tc>
          <w:tcPr>
            <w:tcW w:w="6127" w:type="dxa"/>
            <w:vAlign w:val="top"/>
          </w:tcPr>
          <w:p w14:paraId="29BCDCF2">
            <w:pPr>
              <w:spacing w:before="155" w:line="222" w:lineRule="auto"/>
              <w:ind w:left="1905"/>
              <w:rPr>
                <w:rFonts w:ascii="仿宋" w:hAnsi="仿宋" w:eastAsia="仿宋" w:cs="仿宋"/>
                <w:sz w:val="18"/>
                <w:szCs w:val="18"/>
              </w:rPr>
            </w:pPr>
            <w:r>
              <w:rPr>
                <w:rFonts w:ascii="仿宋" w:hAnsi="仿宋" w:eastAsia="仿宋" w:cs="仿宋"/>
                <w:spacing w:val="-1"/>
                <w:sz w:val="18"/>
                <w:szCs w:val="18"/>
              </w:rPr>
              <w:t>本项目不设置集中取弃土场。</w:t>
            </w:r>
          </w:p>
        </w:tc>
        <w:tc>
          <w:tcPr>
            <w:tcW w:w="601" w:type="dxa"/>
            <w:tcBorders>
              <w:right w:val="single" w:color="000000" w:sz="6" w:space="0"/>
            </w:tcBorders>
            <w:vAlign w:val="top"/>
          </w:tcPr>
          <w:p w14:paraId="28117478">
            <w:pPr>
              <w:pStyle w:val="6"/>
              <w:spacing w:before="183" w:line="192" w:lineRule="auto"/>
              <w:ind w:left="272"/>
            </w:pPr>
            <w:r>
              <w:t>/</w:t>
            </w:r>
          </w:p>
        </w:tc>
      </w:tr>
      <w:tr w14:paraId="630369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737" w:type="dxa"/>
            <w:vMerge w:val="continue"/>
            <w:tcBorders>
              <w:top w:val="nil"/>
              <w:left w:val="single" w:color="000000" w:sz="6" w:space="0"/>
              <w:bottom w:val="nil"/>
            </w:tcBorders>
            <w:vAlign w:val="top"/>
          </w:tcPr>
          <w:p w14:paraId="63959806">
            <w:pPr>
              <w:rPr>
                <w:rFonts w:ascii="Arial"/>
                <w:sz w:val="21"/>
              </w:rPr>
            </w:pPr>
          </w:p>
        </w:tc>
        <w:tc>
          <w:tcPr>
            <w:tcW w:w="279" w:type="dxa"/>
            <w:vMerge w:val="continue"/>
            <w:tcBorders>
              <w:top w:val="nil"/>
              <w:bottom w:val="nil"/>
            </w:tcBorders>
            <w:textDirection w:val="tbRlV"/>
            <w:vAlign w:val="top"/>
          </w:tcPr>
          <w:p w14:paraId="019F5862">
            <w:pPr>
              <w:rPr>
                <w:rFonts w:ascii="Arial"/>
                <w:sz w:val="21"/>
              </w:rPr>
            </w:pPr>
          </w:p>
        </w:tc>
        <w:tc>
          <w:tcPr>
            <w:tcW w:w="633" w:type="dxa"/>
            <w:vAlign w:val="top"/>
          </w:tcPr>
          <w:p w14:paraId="5936F950">
            <w:pPr>
              <w:spacing w:before="157"/>
              <w:ind w:left="231" w:right="48" w:hanging="179"/>
              <w:rPr>
                <w:rFonts w:ascii="仿宋" w:hAnsi="仿宋" w:eastAsia="仿宋" w:cs="仿宋"/>
                <w:sz w:val="18"/>
                <w:szCs w:val="18"/>
              </w:rPr>
            </w:pPr>
            <w:r>
              <w:rPr>
                <w:rFonts w:ascii="仿宋" w:hAnsi="仿宋" w:eastAsia="仿宋" w:cs="仿宋"/>
                <w:spacing w:val="-5"/>
                <w:sz w:val="18"/>
                <w:szCs w:val="18"/>
              </w:rPr>
              <w:t>表土堆</w:t>
            </w:r>
            <w:r>
              <w:rPr>
                <w:rFonts w:ascii="仿宋" w:hAnsi="仿宋" w:eastAsia="仿宋" w:cs="仿宋"/>
                <w:sz w:val="18"/>
                <w:szCs w:val="18"/>
              </w:rPr>
              <w:t>场</w:t>
            </w:r>
          </w:p>
        </w:tc>
        <w:tc>
          <w:tcPr>
            <w:tcW w:w="6127" w:type="dxa"/>
            <w:vAlign w:val="top"/>
          </w:tcPr>
          <w:p w14:paraId="0F585C55">
            <w:pPr>
              <w:spacing w:before="42" w:line="221" w:lineRule="auto"/>
              <w:jc w:val="right"/>
              <w:rPr>
                <w:rFonts w:ascii="仿宋" w:hAnsi="仿宋" w:eastAsia="仿宋" w:cs="仿宋"/>
                <w:sz w:val="18"/>
                <w:szCs w:val="18"/>
              </w:rPr>
            </w:pPr>
            <w:r>
              <w:rPr>
                <w:rFonts w:ascii="仿宋" w:hAnsi="仿宋" w:eastAsia="仿宋" w:cs="仿宋"/>
                <w:spacing w:val="-1"/>
                <w:sz w:val="18"/>
                <w:szCs w:val="18"/>
              </w:rPr>
              <w:t>本项目沿既有土路施工，进部分路段涉及占用草地、林地，表土剥离量少，堆</w:t>
            </w:r>
          </w:p>
          <w:p w14:paraId="5C22270D">
            <w:pPr>
              <w:spacing w:before="17" w:line="219" w:lineRule="auto"/>
              <w:jc w:val="right"/>
              <w:rPr>
                <w:rFonts w:ascii="仿宋" w:hAnsi="仿宋" w:eastAsia="仿宋" w:cs="仿宋"/>
                <w:sz w:val="18"/>
                <w:szCs w:val="18"/>
              </w:rPr>
            </w:pPr>
            <w:r>
              <w:rPr>
                <w:rFonts w:ascii="仿宋" w:hAnsi="仿宋" w:eastAsia="仿宋" w:cs="仿宋"/>
                <w:spacing w:val="-1"/>
                <w:sz w:val="18"/>
                <w:szCs w:val="18"/>
              </w:rPr>
              <w:t>放于占地范围内，妥善保存，在对应路段施工结束后，直接就近用于路肩边坡</w:t>
            </w:r>
          </w:p>
          <w:p w14:paraId="6476E270">
            <w:pPr>
              <w:spacing w:before="18" w:line="192" w:lineRule="auto"/>
              <w:ind w:left="1646"/>
              <w:rPr>
                <w:rFonts w:ascii="仿宋" w:hAnsi="仿宋" w:eastAsia="仿宋" w:cs="仿宋"/>
                <w:sz w:val="18"/>
                <w:szCs w:val="18"/>
              </w:rPr>
            </w:pPr>
            <w:r>
              <w:rPr>
                <w:rFonts w:ascii="仿宋" w:hAnsi="仿宋" w:eastAsia="仿宋" w:cs="仿宋"/>
                <w:spacing w:val="-2"/>
                <w:sz w:val="18"/>
                <w:szCs w:val="18"/>
              </w:rPr>
              <w:t>的植被恢复，不另设临时表土堆场。</w:t>
            </w:r>
          </w:p>
        </w:tc>
        <w:tc>
          <w:tcPr>
            <w:tcW w:w="601" w:type="dxa"/>
            <w:tcBorders>
              <w:right w:val="single" w:color="000000" w:sz="6" w:space="0"/>
            </w:tcBorders>
            <w:vAlign w:val="top"/>
          </w:tcPr>
          <w:p w14:paraId="655F8885">
            <w:pPr>
              <w:spacing w:line="247" w:lineRule="auto"/>
              <w:rPr>
                <w:rFonts w:ascii="Arial"/>
                <w:sz w:val="21"/>
              </w:rPr>
            </w:pPr>
          </w:p>
          <w:p w14:paraId="5C481B9D">
            <w:pPr>
              <w:pStyle w:val="6"/>
              <w:spacing w:before="52" w:line="192" w:lineRule="auto"/>
              <w:ind w:left="272"/>
            </w:pPr>
            <w:r>
              <w:t>/</w:t>
            </w:r>
          </w:p>
        </w:tc>
      </w:tr>
      <w:tr w14:paraId="67E1F8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737" w:type="dxa"/>
            <w:vMerge w:val="continue"/>
            <w:tcBorders>
              <w:top w:val="nil"/>
              <w:left w:val="single" w:color="000000" w:sz="6" w:space="0"/>
              <w:bottom w:val="single" w:color="000000" w:sz="6" w:space="0"/>
            </w:tcBorders>
            <w:vAlign w:val="top"/>
          </w:tcPr>
          <w:p w14:paraId="728BDFA6">
            <w:pPr>
              <w:rPr>
                <w:rFonts w:ascii="Arial"/>
                <w:sz w:val="21"/>
              </w:rPr>
            </w:pPr>
          </w:p>
        </w:tc>
        <w:tc>
          <w:tcPr>
            <w:tcW w:w="279" w:type="dxa"/>
            <w:vMerge w:val="continue"/>
            <w:tcBorders>
              <w:top w:val="nil"/>
              <w:bottom w:val="single" w:color="000000" w:sz="6" w:space="0"/>
            </w:tcBorders>
            <w:textDirection w:val="tbRlV"/>
            <w:vAlign w:val="top"/>
          </w:tcPr>
          <w:p w14:paraId="4A995E0F">
            <w:pPr>
              <w:rPr>
                <w:rFonts w:ascii="Arial"/>
                <w:sz w:val="21"/>
              </w:rPr>
            </w:pPr>
          </w:p>
        </w:tc>
        <w:tc>
          <w:tcPr>
            <w:tcW w:w="633" w:type="dxa"/>
            <w:tcBorders>
              <w:bottom w:val="single" w:color="000000" w:sz="6" w:space="0"/>
            </w:tcBorders>
            <w:vAlign w:val="top"/>
          </w:tcPr>
          <w:p w14:paraId="130CDDC1">
            <w:pPr>
              <w:spacing w:before="41" w:line="222" w:lineRule="auto"/>
              <w:ind w:left="231" w:right="48" w:hanging="181"/>
              <w:rPr>
                <w:rFonts w:ascii="仿宋" w:hAnsi="仿宋" w:eastAsia="仿宋" w:cs="仿宋"/>
                <w:sz w:val="18"/>
                <w:szCs w:val="18"/>
              </w:rPr>
            </w:pPr>
            <w:r>
              <w:rPr>
                <w:rFonts w:ascii="仿宋" w:hAnsi="仿宋" w:eastAsia="仿宋" w:cs="仿宋"/>
                <w:spacing w:val="-4"/>
                <w:sz w:val="18"/>
                <w:szCs w:val="18"/>
              </w:rPr>
              <w:t>施工便</w:t>
            </w:r>
            <w:r>
              <w:rPr>
                <w:rFonts w:ascii="仿宋" w:hAnsi="仿宋" w:eastAsia="仿宋" w:cs="仿宋"/>
                <w:sz w:val="18"/>
                <w:szCs w:val="18"/>
              </w:rPr>
              <w:t>道</w:t>
            </w:r>
          </w:p>
        </w:tc>
        <w:tc>
          <w:tcPr>
            <w:tcW w:w="6127" w:type="dxa"/>
            <w:tcBorders>
              <w:bottom w:val="single" w:color="000000" w:sz="6" w:space="0"/>
            </w:tcBorders>
            <w:vAlign w:val="top"/>
          </w:tcPr>
          <w:p w14:paraId="7B4511C0">
            <w:pPr>
              <w:spacing w:before="40" w:line="220" w:lineRule="auto"/>
              <w:jc w:val="right"/>
              <w:rPr>
                <w:rFonts w:ascii="仿宋" w:hAnsi="仿宋" w:eastAsia="仿宋" w:cs="仿宋"/>
                <w:sz w:val="18"/>
                <w:szCs w:val="18"/>
              </w:rPr>
            </w:pPr>
            <w:r>
              <w:rPr>
                <w:rFonts w:ascii="仿宋" w:hAnsi="仿宋" w:eastAsia="仿宋" w:cs="仿宋"/>
                <w:spacing w:val="-1"/>
                <w:sz w:val="18"/>
                <w:szCs w:val="18"/>
              </w:rPr>
              <w:t>本项目线路施工全部利用现有农村旧路，不新增施工便道，施工结束后，作为</w:t>
            </w:r>
          </w:p>
          <w:p w14:paraId="08C34172">
            <w:pPr>
              <w:spacing w:before="18" w:line="206" w:lineRule="auto"/>
              <w:ind w:left="1725"/>
              <w:rPr>
                <w:rFonts w:ascii="仿宋" w:hAnsi="仿宋" w:eastAsia="仿宋" w:cs="仿宋"/>
                <w:sz w:val="18"/>
                <w:szCs w:val="18"/>
              </w:rPr>
            </w:pPr>
            <w:r>
              <w:rPr>
                <w:rFonts w:ascii="仿宋" w:hAnsi="仿宋" w:eastAsia="仿宋" w:cs="仿宋"/>
                <w:spacing w:val="-1"/>
                <w:sz w:val="18"/>
                <w:szCs w:val="18"/>
              </w:rPr>
              <w:t>本次硬化道路工程永久占地使用。</w:t>
            </w:r>
          </w:p>
        </w:tc>
        <w:tc>
          <w:tcPr>
            <w:tcW w:w="601" w:type="dxa"/>
            <w:tcBorders>
              <w:bottom w:val="single" w:color="000000" w:sz="6" w:space="0"/>
              <w:right w:val="single" w:color="000000" w:sz="6" w:space="0"/>
            </w:tcBorders>
            <w:vAlign w:val="top"/>
          </w:tcPr>
          <w:p w14:paraId="229D051A">
            <w:pPr>
              <w:pStyle w:val="6"/>
              <w:spacing w:before="183" w:line="192" w:lineRule="auto"/>
              <w:ind w:left="272"/>
            </w:pPr>
            <w:r>
              <w:t>/</w:t>
            </w:r>
          </w:p>
        </w:tc>
      </w:tr>
    </w:tbl>
    <w:p w14:paraId="2566A1DD">
      <w:pPr>
        <w:pStyle w:val="2"/>
        <w:rPr>
          <w:sz w:val="21"/>
        </w:rPr>
      </w:pPr>
    </w:p>
    <w:p w14:paraId="643B80E4">
      <w:pPr>
        <w:rPr>
          <w:sz w:val="21"/>
          <w:szCs w:val="21"/>
        </w:rPr>
        <w:sectPr>
          <w:footerReference r:id="rId19" w:type="default"/>
          <w:pgSz w:w="11907" w:h="16840"/>
          <w:pgMar w:top="400" w:right="1757" w:bottom="1446" w:left="1757" w:header="0" w:footer="1284" w:gutter="0"/>
          <w:cols w:space="720" w:num="1"/>
        </w:sectPr>
      </w:pPr>
    </w:p>
    <w:p w14:paraId="5305D4F0">
      <w:pPr>
        <w:spacing w:before="19"/>
      </w:pPr>
    </w:p>
    <w:p w14:paraId="1CCFDE1A">
      <w:pPr>
        <w:spacing w:before="19"/>
      </w:pPr>
    </w:p>
    <w:p w14:paraId="1A6E3F46">
      <w:pPr>
        <w:spacing w:before="18"/>
      </w:pPr>
    </w:p>
    <w:p w14:paraId="5FA885AD">
      <w:pPr>
        <w:spacing w:before="18"/>
      </w:pPr>
    </w:p>
    <w:tbl>
      <w:tblPr>
        <w:tblStyle w:val="5"/>
        <w:tblW w:w="8377"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7"/>
        <w:gridCol w:w="279"/>
        <w:gridCol w:w="298"/>
        <w:gridCol w:w="371"/>
        <w:gridCol w:w="483"/>
        <w:gridCol w:w="1518"/>
        <w:gridCol w:w="1198"/>
        <w:gridCol w:w="2928"/>
        <w:gridCol w:w="565"/>
      </w:tblGrid>
      <w:tr w14:paraId="458812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3" w:hRule="atLeast"/>
        </w:trPr>
        <w:tc>
          <w:tcPr>
            <w:tcW w:w="737" w:type="dxa"/>
            <w:vMerge w:val="restart"/>
            <w:tcBorders>
              <w:top w:val="single" w:color="000000" w:sz="6" w:space="0"/>
              <w:left w:val="single" w:color="000000" w:sz="6" w:space="0"/>
              <w:bottom w:val="nil"/>
            </w:tcBorders>
            <w:vAlign w:val="top"/>
          </w:tcPr>
          <w:p w14:paraId="385C6C9A">
            <w:pPr>
              <w:rPr>
                <w:rFonts w:ascii="Arial"/>
                <w:sz w:val="21"/>
              </w:rPr>
            </w:pPr>
          </w:p>
        </w:tc>
        <w:tc>
          <w:tcPr>
            <w:tcW w:w="279" w:type="dxa"/>
            <w:vMerge w:val="restart"/>
            <w:tcBorders>
              <w:top w:val="single" w:color="000000" w:sz="6" w:space="0"/>
              <w:bottom w:val="nil"/>
            </w:tcBorders>
            <w:textDirection w:val="tbRlV"/>
            <w:vAlign w:val="top"/>
          </w:tcPr>
          <w:p w14:paraId="27DEE66C">
            <w:pPr>
              <w:spacing w:before="52" w:line="200" w:lineRule="auto"/>
              <w:ind w:left="3013"/>
              <w:rPr>
                <w:rFonts w:ascii="仿宋" w:hAnsi="仿宋" w:eastAsia="仿宋" w:cs="仿宋"/>
                <w:sz w:val="18"/>
                <w:szCs w:val="18"/>
              </w:rPr>
            </w:pPr>
            <w:r>
              <w:rPr>
                <w:rFonts w:ascii="仿宋" w:hAnsi="仿宋" w:eastAsia="仿宋" w:cs="仿宋"/>
                <w:spacing w:val="-11"/>
                <w:sz w:val="18"/>
                <w:szCs w:val="18"/>
              </w:rPr>
              <w:t>环</w:t>
            </w:r>
            <w:r>
              <w:rPr>
                <w:rFonts w:ascii="仿宋" w:hAnsi="仿宋" w:eastAsia="仿宋" w:cs="仿宋"/>
                <w:spacing w:val="-38"/>
                <w:sz w:val="18"/>
                <w:szCs w:val="18"/>
              </w:rPr>
              <w:t xml:space="preserve"> </w:t>
            </w:r>
            <w:r>
              <w:rPr>
                <w:rFonts w:ascii="仿宋" w:hAnsi="仿宋" w:eastAsia="仿宋" w:cs="仿宋"/>
                <w:spacing w:val="-11"/>
                <w:sz w:val="18"/>
                <w:szCs w:val="18"/>
              </w:rPr>
              <w:t>保</w:t>
            </w:r>
            <w:r>
              <w:rPr>
                <w:rFonts w:ascii="仿宋" w:hAnsi="仿宋" w:eastAsia="仿宋" w:cs="仿宋"/>
                <w:spacing w:val="-14"/>
                <w:sz w:val="18"/>
                <w:szCs w:val="18"/>
              </w:rPr>
              <w:t xml:space="preserve"> </w:t>
            </w:r>
            <w:r>
              <w:rPr>
                <w:rFonts w:ascii="仿宋" w:hAnsi="仿宋" w:eastAsia="仿宋" w:cs="仿宋"/>
                <w:spacing w:val="-11"/>
                <w:sz w:val="18"/>
                <w:szCs w:val="18"/>
              </w:rPr>
              <w:t>工 程</w:t>
            </w:r>
          </w:p>
        </w:tc>
        <w:tc>
          <w:tcPr>
            <w:tcW w:w="298" w:type="dxa"/>
            <w:vMerge w:val="restart"/>
            <w:tcBorders>
              <w:top w:val="single" w:color="000000" w:sz="6" w:space="0"/>
              <w:bottom w:val="nil"/>
            </w:tcBorders>
            <w:textDirection w:val="tbRlV"/>
            <w:vAlign w:val="top"/>
          </w:tcPr>
          <w:p w14:paraId="351BD9C0">
            <w:pPr>
              <w:spacing w:before="80" w:line="202" w:lineRule="auto"/>
              <w:ind w:left="522"/>
              <w:rPr>
                <w:rFonts w:ascii="仿宋" w:hAnsi="仿宋" w:eastAsia="仿宋" w:cs="仿宋"/>
                <w:sz w:val="18"/>
                <w:szCs w:val="18"/>
              </w:rPr>
            </w:pPr>
            <w:r>
              <w:rPr>
                <w:rFonts w:ascii="仿宋" w:hAnsi="仿宋" w:eastAsia="仿宋" w:cs="仿宋"/>
                <w:spacing w:val="28"/>
                <w:sz w:val="18"/>
                <w:szCs w:val="18"/>
              </w:rPr>
              <w:t>废气</w:t>
            </w:r>
          </w:p>
        </w:tc>
        <w:tc>
          <w:tcPr>
            <w:tcW w:w="371" w:type="dxa"/>
            <w:tcBorders>
              <w:top w:val="single" w:color="000000" w:sz="6" w:space="0"/>
            </w:tcBorders>
            <w:vAlign w:val="top"/>
          </w:tcPr>
          <w:p w14:paraId="36522C1C">
            <w:pPr>
              <w:spacing w:before="285"/>
              <w:ind w:left="83" w:right="46" w:hanging="84"/>
              <w:rPr>
                <w:rFonts w:ascii="仿宋" w:hAnsi="仿宋" w:eastAsia="仿宋" w:cs="仿宋"/>
                <w:sz w:val="18"/>
                <w:szCs w:val="18"/>
              </w:rPr>
            </w:pPr>
            <w:r>
              <w:rPr>
                <w:rFonts w:ascii="仿宋" w:hAnsi="仿宋" w:eastAsia="仿宋" w:cs="仿宋"/>
                <w:spacing w:val="-21"/>
                <w:sz w:val="18"/>
                <w:szCs w:val="18"/>
              </w:rPr>
              <w:t>施工</w:t>
            </w:r>
            <w:r>
              <w:rPr>
                <w:rFonts w:ascii="仿宋" w:hAnsi="仿宋" w:eastAsia="仿宋" w:cs="仿宋"/>
                <w:sz w:val="18"/>
                <w:szCs w:val="18"/>
              </w:rPr>
              <w:t>期</w:t>
            </w:r>
          </w:p>
        </w:tc>
        <w:tc>
          <w:tcPr>
            <w:tcW w:w="6127" w:type="dxa"/>
            <w:gridSpan w:val="4"/>
            <w:tcBorders>
              <w:top w:val="single" w:color="000000" w:sz="6" w:space="0"/>
            </w:tcBorders>
            <w:vAlign w:val="top"/>
          </w:tcPr>
          <w:p w14:paraId="1D00FE0C">
            <w:pPr>
              <w:spacing w:before="52" w:line="220" w:lineRule="auto"/>
              <w:jc w:val="right"/>
              <w:rPr>
                <w:rFonts w:ascii="仿宋" w:hAnsi="仿宋" w:eastAsia="仿宋" w:cs="仿宋"/>
                <w:sz w:val="18"/>
                <w:szCs w:val="18"/>
              </w:rPr>
            </w:pPr>
            <w:r>
              <w:rPr>
                <w:rFonts w:ascii="仿宋" w:hAnsi="仿宋" w:eastAsia="仿宋" w:cs="仿宋"/>
                <w:spacing w:val="-5"/>
                <w:sz w:val="18"/>
                <w:szCs w:val="18"/>
              </w:rPr>
              <w:t>加强施工管理，运输易起尘的材料应加盖苫布覆盖，保持施工运输道</w:t>
            </w:r>
            <w:r>
              <w:rPr>
                <w:rFonts w:ascii="仿宋" w:hAnsi="仿宋" w:eastAsia="仿宋" w:cs="仿宋"/>
                <w:spacing w:val="-6"/>
                <w:sz w:val="18"/>
                <w:szCs w:val="18"/>
              </w:rPr>
              <w:t>路的清洁，</w:t>
            </w:r>
          </w:p>
          <w:p w14:paraId="505AC7BD">
            <w:pPr>
              <w:spacing w:before="18" w:line="219" w:lineRule="auto"/>
              <w:rPr>
                <w:rFonts w:ascii="仿宋" w:hAnsi="仿宋" w:eastAsia="仿宋" w:cs="仿宋"/>
                <w:sz w:val="18"/>
                <w:szCs w:val="18"/>
              </w:rPr>
            </w:pPr>
            <w:r>
              <w:rPr>
                <w:rFonts w:ascii="仿宋" w:hAnsi="仿宋" w:eastAsia="仿宋" w:cs="仿宋"/>
                <w:spacing w:val="-1"/>
                <w:sz w:val="18"/>
                <w:szCs w:val="18"/>
              </w:rPr>
              <w:t>定期洒水降尘，避免在大风季节进行扬尘较大的施工工序。严禁尾气超标车辆</w:t>
            </w:r>
          </w:p>
          <w:p w14:paraId="7C12128C">
            <w:pPr>
              <w:spacing w:before="19" w:line="219" w:lineRule="auto"/>
              <w:rPr>
                <w:rFonts w:ascii="仿宋" w:hAnsi="仿宋" w:eastAsia="仿宋" w:cs="仿宋"/>
                <w:sz w:val="18"/>
                <w:szCs w:val="18"/>
              </w:rPr>
            </w:pPr>
            <w:r>
              <w:rPr>
                <w:rFonts w:ascii="仿宋" w:hAnsi="仿宋" w:eastAsia="仿宋" w:cs="仿宋"/>
                <w:spacing w:val="-1"/>
                <w:sz w:val="18"/>
                <w:szCs w:val="18"/>
              </w:rPr>
              <w:t>上路，加强对道路的养护；禁止车况差、超载、装卸物品遮盖不严容易洒落的</w:t>
            </w:r>
          </w:p>
          <w:p w14:paraId="79604CBE">
            <w:pPr>
              <w:spacing w:before="21" w:line="205" w:lineRule="auto"/>
              <w:ind w:left="1603"/>
              <w:rPr>
                <w:rFonts w:ascii="仿宋" w:hAnsi="仿宋" w:eastAsia="仿宋" w:cs="仿宋"/>
                <w:sz w:val="18"/>
                <w:szCs w:val="18"/>
              </w:rPr>
            </w:pPr>
            <w:r>
              <w:rPr>
                <w:rFonts w:ascii="仿宋" w:hAnsi="仿宋" w:eastAsia="仿宋" w:cs="仿宋"/>
                <w:spacing w:val="-2"/>
                <w:sz w:val="18"/>
                <w:szCs w:val="18"/>
              </w:rPr>
              <w:t>车辆上路，减少车辆滞速怠速状态。</w:t>
            </w:r>
          </w:p>
        </w:tc>
        <w:tc>
          <w:tcPr>
            <w:tcW w:w="565" w:type="dxa"/>
            <w:tcBorders>
              <w:top w:val="single" w:color="000000" w:sz="6" w:space="0"/>
              <w:right w:val="single" w:color="000000" w:sz="6" w:space="0"/>
            </w:tcBorders>
            <w:vAlign w:val="top"/>
          </w:tcPr>
          <w:p w14:paraId="07F442CE">
            <w:pPr>
              <w:spacing w:line="339" w:lineRule="auto"/>
              <w:rPr>
                <w:rFonts w:ascii="Arial"/>
                <w:sz w:val="21"/>
              </w:rPr>
            </w:pPr>
          </w:p>
          <w:p w14:paraId="58304AF5">
            <w:pPr>
              <w:spacing w:before="59" w:line="222" w:lineRule="auto"/>
              <w:ind w:left="91"/>
              <w:rPr>
                <w:rFonts w:ascii="仿宋" w:hAnsi="仿宋" w:eastAsia="仿宋" w:cs="仿宋"/>
                <w:sz w:val="18"/>
                <w:szCs w:val="18"/>
              </w:rPr>
            </w:pPr>
            <w:r>
              <w:rPr>
                <w:rFonts w:ascii="仿宋" w:hAnsi="仿宋" w:eastAsia="仿宋" w:cs="仿宋"/>
                <w:spacing w:val="-6"/>
                <w:sz w:val="18"/>
                <w:szCs w:val="18"/>
              </w:rPr>
              <w:t>新建</w:t>
            </w:r>
          </w:p>
        </w:tc>
      </w:tr>
      <w:tr w14:paraId="748EBF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12660EC7">
            <w:pPr>
              <w:rPr>
                <w:rFonts w:ascii="Arial"/>
                <w:sz w:val="21"/>
              </w:rPr>
            </w:pPr>
          </w:p>
        </w:tc>
        <w:tc>
          <w:tcPr>
            <w:tcW w:w="279" w:type="dxa"/>
            <w:vMerge w:val="continue"/>
            <w:tcBorders>
              <w:top w:val="nil"/>
              <w:bottom w:val="nil"/>
            </w:tcBorders>
            <w:textDirection w:val="tbRlV"/>
            <w:vAlign w:val="top"/>
          </w:tcPr>
          <w:p w14:paraId="0B66D3D3">
            <w:pPr>
              <w:rPr>
                <w:rFonts w:ascii="Arial"/>
                <w:sz w:val="21"/>
              </w:rPr>
            </w:pPr>
          </w:p>
        </w:tc>
        <w:tc>
          <w:tcPr>
            <w:tcW w:w="298" w:type="dxa"/>
            <w:vMerge w:val="continue"/>
            <w:tcBorders>
              <w:top w:val="nil"/>
            </w:tcBorders>
            <w:textDirection w:val="tbRlV"/>
            <w:vAlign w:val="top"/>
          </w:tcPr>
          <w:p w14:paraId="41822C1E">
            <w:pPr>
              <w:rPr>
                <w:rFonts w:ascii="Arial"/>
                <w:sz w:val="21"/>
              </w:rPr>
            </w:pPr>
          </w:p>
        </w:tc>
        <w:tc>
          <w:tcPr>
            <w:tcW w:w="371" w:type="dxa"/>
            <w:vAlign w:val="top"/>
          </w:tcPr>
          <w:p w14:paraId="5C1857C9">
            <w:pPr>
              <w:spacing w:before="28" w:line="222" w:lineRule="auto"/>
              <w:ind w:left="81" w:right="46" w:hanging="82"/>
              <w:rPr>
                <w:rFonts w:ascii="仿宋" w:hAnsi="仿宋" w:eastAsia="仿宋" w:cs="仿宋"/>
                <w:sz w:val="18"/>
                <w:szCs w:val="18"/>
              </w:rPr>
            </w:pPr>
            <w:r>
              <w:rPr>
                <w:rFonts w:ascii="仿宋" w:hAnsi="仿宋" w:eastAsia="仿宋" w:cs="仿宋"/>
                <w:spacing w:val="-21"/>
                <w:sz w:val="18"/>
                <w:szCs w:val="18"/>
              </w:rPr>
              <w:t>运营</w:t>
            </w:r>
            <w:r>
              <w:rPr>
                <w:rFonts w:ascii="仿宋" w:hAnsi="仿宋" w:eastAsia="仿宋" w:cs="仿宋"/>
                <w:sz w:val="18"/>
                <w:szCs w:val="18"/>
              </w:rPr>
              <w:t>期</w:t>
            </w:r>
          </w:p>
        </w:tc>
        <w:tc>
          <w:tcPr>
            <w:tcW w:w="6127" w:type="dxa"/>
            <w:gridSpan w:val="4"/>
            <w:vAlign w:val="top"/>
          </w:tcPr>
          <w:p w14:paraId="586F8762">
            <w:pPr>
              <w:spacing w:before="27" w:line="219" w:lineRule="auto"/>
              <w:rPr>
                <w:rFonts w:ascii="仿宋" w:hAnsi="仿宋" w:eastAsia="仿宋" w:cs="仿宋"/>
                <w:sz w:val="18"/>
                <w:szCs w:val="18"/>
              </w:rPr>
            </w:pPr>
            <w:r>
              <w:rPr>
                <w:rFonts w:ascii="仿宋" w:hAnsi="仿宋" w:eastAsia="仿宋" w:cs="仿宋"/>
                <w:spacing w:val="-1"/>
                <w:sz w:val="18"/>
                <w:szCs w:val="18"/>
              </w:rPr>
              <w:t>车辆行驶造成的扬尘及排放的汽车尾气，通过采用水泥混凝土路面（未筛分碎</w:t>
            </w:r>
          </w:p>
          <w:p w14:paraId="6EADB1D4">
            <w:pPr>
              <w:spacing w:before="18" w:line="206" w:lineRule="auto"/>
              <w:ind w:left="1419"/>
              <w:rPr>
                <w:rFonts w:ascii="仿宋" w:hAnsi="仿宋" w:eastAsia="仿宋" w:cs="仿宋"/>
                <w:sz w:val="18"/>
                <w:szCs w:val="18"/>
              </w:rPr>
            </w:pPr>
            <w:r>
              <w:rPr>
                <w:rFonts w:ascii="仿宋" w:hAnsi="仿宋" w:eastAsia="仿宋" w:cs="仿宋"/>
                <w:spacing w:val="-2"/>
                <w:sz w:val="18"/>
                <w:szCs w:val="18"/>
              </w:rPr>
              <w:t>石路面进行有效压实</w:t>
            </w:r>
            <w:r>
              <w:rPr>
                <w:rFonts w:ascii="仿宋" w:hAnsi="仿宋" w:eastAsia="仿宋" w:cs="仿宋"/>
                <w:spacing w:val="9"/>
                <w:sz w:val="18"/>
                <w:szCs w:val="18"/>
              </w:rPr>
              <w:t>），</w:t>
            </w:r>
            <w:r>
              <w:rPr>
                <w:rFonts w:ascii="仿宋" w:hAnsi="仿宋" w:eastAsia="仿宋" w:cs="仿宋"/>
                <w:spacing w:val="-2"/>
                <w:sz w:val="18"/>
                <w:szCs w:val="18"/>
              </w:rPr>
              <w:t>道路定期养护。</w:t>
            </w:r>
          </w:p>
        </w:tc>
        <w:tc>
          <w:tcPr>
            <w:tcW w:w="565" w:type="dxa"/>
            <w:tcBorders>
              <w:right w:val="single" w:color="000000" w:sz="6" w:space="0"/>
            </w:tcBorders>
            <w:vAlign w:val="top"/>
          </w:tcPr>
          <w:p w14:paraId="2E105F8C">
            <w:pPr>
              <w:spacing w:before="142" w:line="222" w:lineRule="auto"/>
              <w:ind w:left="91"/>
              <w:rPr>
                <w:rFonts w:ascii="仿宋" w:hAnsi="仿宋" w:eastAsia="仿宋" w:cs="仿宋"/>
                <w:sz w:val="18"/>
                <w:szCs w:val="18"/>
              </w:rPr>
            </w:pPr>
            <w:r>
              <w:rPr>
                <w:rFonts w:ascii="仿宋" w:hAnsi="仿宋" w:eastAsia="仿宋" w:cs="仿宋"/>
                <w:spacing w:val="-6"/>
                <w:sz w:val="18"/>
                <w:szCs w:val="18"/>
              </w:rPr>
              <w:t>新建</w:t>
            </w:r>
          </w:p>
        </w:tc>
      </w:tr>
      <w:tr w14:paraId="1F9C0F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737" w:type="dxa"/>
            <w:vMerge w:val="continue"/>
            <w:tcBorders>
              <w:top w:val="nil"/>
              <w:left w:val="single" w:color="000000" w:sz="6" w:space="0"/>
              <w:bottom w:val="nil"/>
            </w:tcBorders>
            <w:vAlign w:val="top"/>
          </w:tcPr>
          <w:p w14:paraId="28859E1D">
            <w:pPr>
              <w:rPr>
                <w:rFonts w:ascii="Arial"/>
                <w:sz w:val="21"/>
              </w:rPr>
            </w:pPr>
          </w:p>
        </w:tc>
        <w:tc>
          <w:tcPr>
            <w:tcW w:w="279" w:type="dxa"/>
            <w:vMerge w:val="continue"/>
            <w:tcBorders>
              <w:top w:val="nil"/>
              <w:bottom w:val="nil"/>
            </w:tcBorders>
            <w:textDirection w:val="tbRlV"/>
            <w:vAlign w:val="top"/>
          </w:tcPr>
          <w:p w14:paraId="21E01910">
            <w:pPr>
              <w:rPr>
                <w:rFonts w:ascii="Arial"/>
                <w:sz w:val="21"/>
              </w:rPr>
            </w:pPr>
          </w:p>
        </w:tc>
        <w:tc>
          <w:tcPr>
            <w:tcW w:w="298" w:type="dxa"/>
            <w:vMerge w:val="restart"/>
            <w:tcBorders>
              <w:bottom w:val="nil"/>
            </w:tcBorders>
            <w:textDirection w:val="tbRlV"/>
            <w:vAlign w:val="top"/>
          </w:tcPr>
          <w:p w14:paraId="542F79C7">
            <w:pPr>
              <w:spacing w:before="81" w:line="203" w:lineRule="auto"/>
              <w:ind w:left="499"/>
              <w:rPr>
                <w:rFonts w:ascii="仿宋" w:hAnsi="仿宋" w:eastAsia="仿宋" w:cs="仿宋"/>
                <w:sz w:val="18"/>
                <w:szCs w:val="18"/>
              </w:rPr>
            </w:pPr>
            <w:r>
              <w:rPr>
                <w:rFonts w:ascii="仿宋" w:hAnsi="仿宋" w:eastAsia="仿宋" w:cs="仿宋"/>
                <w:spacing w:val="28"/>
                <w:sz w:val="18"/>
                <w:szCs w:val="18"/>
              </w:rPr>
              <w:t>废水</w:t>
            </w:r>
          </w:p>
        </w:tc>
        <w:tc>
          <w:tcPr>
            <w:tcW w:w="371" w:type="dxa"/>
            <w:vAlign w:val="top"/>
          </w:tcPr>
          <w:p w14:paraId="510B990B">
            <w:pPr>
              <w:spacing w:before="144"/>
              <w:ind w:left="83" w:right="46" w:hanging="84"/>
              <w:rPr>
                <w:rFonts w:ascii="仿宋" w:hAnsi="仿宋" w:eastAsia="仿宋" w:cs="仿宋"/>
                <w:sz w:val="18"/>
                <w:szCs w:val="18"/>
              </w:rPr>
            </w:pPr>
            <w:r>
              <w:rPr>
                <w:rFonts w:ascii="仿宋" w:hAnsi="仿宋" w:eastAsia="仿宋" w:cs="仿宋"/>
                <w:spacing w:val="-21"/>
                <w:sz w:val="18"/>
                <w:szCs w:val="18"/>
              </w:rPr>
              <w:t>施工</w:t>
            </w:r>
            <w:r>
              <w:rPr>
                <w:rFonts w:ascii="仿宋" w:hAnsi="仿宋" w:eastAsia="仿宋" w:cs="仿宋"/>
                <w:sz w:val="18"/>
                <w:szCs w:val="18"/>
              </w:rPr>
              <w:t>期</w:t>
            </w:r>
          </w:p>
        </w:tc>
        <w:tc>
          <w:tcPr>
            <w:tcW w:w="6127" w:type="dxa"/>
            <w:gridSpan w:val="4"/>
            <w:vAlign w:val="top"/>
          </w:tcPr>
          <w:p w14:paraId="54A8D76D">
            <w:pPr>
              <w:spacing w:before="28" w:line="222" w:lineRule="auto"/>
              <w:rPr>
                <w:rFonts w:ascii="仿宋" w:hAnsi="仿宋" w:eastAsia="仿宋" w:cs="仿宋"/>
                <w:sz w:val="18"/>
                <w:szCs w:val="18"/>
              </w:rPr>
            </w:pPr>
            <w:r>
              <w:rPr>
                <w:rFonts w:ascii="仿宋" w:hAnsi="仿宋" w:eastAsia="仿宋" w:cs="仿宋"/>
                <w:spacing w:val="-1"/>
                <w:sz w:val="18"/>
                <w:szCs w:val="18"/>
              </w:rPr>
              <w:t>施工人员生活污水依托施工生活区租用的民房现有生活设施，项目区内不产生</w:t>
            </w:r>
          </w:p>
          <w:p w14:paraId="4CA64473">
            <w:pPr>
              <w:spacing w:before="16" w:line="220" w:lineRule="auto"/>
              <w:rPr>
                <w:rFonts w:ascii="仿宋" w:hAnsi="仿宋" w:eastAsia="仿宋" w:cs="仿宋"/>
                <w:sz w:val="18"/>
                <w:szCs w:val="18"/>
              </w:rPr>
            </w:pPr>
            <w:r>
              <w:rPr>
                <w:rFonts w:ascii="仿宋" w:hAnsi="仿宋" w:eastAsia="仿宋" w:cs="仿宋"/>
                <w:spacing w:val="-1"/>
                <w:sz w:val="18"/>
                <w:szCs w:val="18"/>
              </w:rPr>
              <w:t>生活污水。本项目不自设预制场、拌合站，预制构件等材料均外购，仅路面养</w:t>
            </w:r>
          </w:p>
          <w:p w14:paraId="42F3581B">
            <w:pPr>
              <w:spacing w:before="17" w:line="205" w:lineRule="auto"/>
              <w:ind w:left="1327"/>
              <w:rPr>
                <w:rFonts w:ascii="仿宋" w:hAnsi="仿宋" w:eastAsia="仿宋" w:cs="仿宋"/>
                <w:sz w:val="18"/>
                <w:szCs w:val="18"/>
              </w:rPr>
            </w:pPr>
            <w:r>
              <w:rPr>
                <w:rFonts w:ascii="仿宋" w:hAnsi="仿宋" w:eastAsia="仿宋" w:cs="仿宋"/>
                <w:spacing w:val="-1"/>
                <w:sz w:val="18"/>
                <w:szCs w:val="18"/>
              </w:rPr>
              <w:t>护产生少量废水均蒸发损耗，无废水排放。</w:t>
            </w:r>
          </w:p>
        </w:tc>
        <w:tc>
          <w:tcPr>
            <w:tcW w:w="565" w:type="dxa"/>
            <w:tcBorders>
              <w:right w:val="single" w:color="000000" w:sz="6" w:space="0"/>
            </w:tcBorders>
            <w:vAlign w:val="top"/>
          </w:tcPr>
          <w:p w14:paraId="7C75ED82">
            <w:pPr>
              <w:spacing w:before="262" w:line="222" w:lineRule="auto"/>
              <w:ind w:left="91"/>
              <w:rPr>
                <w:rFonts w:ascii="仿宋" w:hAnsi="仿宋" w:eastAsia="仿宋" w:cs="仿宋"/>
                <w:sz w:val="18"/>
                <w:szCs w:val="18"/>
              </w:rPr>
            </w:pPr>
            <w:r>
              <w:rPr>
                <w:rFonts w:ascii="仿宋" w:hAnsi="仿宋" w:eastAsia="仿宋" w:cs="仿宋"/>
                <w:spacing w:val="-6"/>
                <w:sz w:val="18"/>
                <w:szCs w:val="18"/>
              </w:rPr>
              <w:t>新建</w:t>
            </w:r>
          </w:p>
        </w:tc>
      </w:tr>
      <w:tr w14:paraId="7E2691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737" w:type="dxa"/>
            <w:vMerge w:val="continue"/>
            <w:tcBorders>
              <w:top w:val="nil"/>
              <w:left w:val="single" w:color="000000" w:sz="6" w:space="0"/>
              <w:bottom w:val="nil"/>
            </w:tcBorders>
            <w:vAlign w:val="top"/>
          </w:tcPr>
          <w:p w14:paraId="1969ECC3">
            <w:pPr>
              <w:rPr>
                <w:rFonts w:ascii="Arial"/>
                <w:sz w:val="21"/>
              </w:rPr>
            </w:pPr>
          </w:p>
        </w:tc>
        <w:tc>
          <w:tcPr>
            <w:tcW w:w="279" w:type="dxa"/>
            <w:vMerge w:val="continue"/>
            <w:tcBorders>
              <w:top w:val="nil"/>
              <w:bottom w:val="nil"/>
            </w:tcBorders>
            <w:textDirection w:val="tbRlV"/>
            <w:vAlign w:val="top"/>
          </w:tcPr>
          <w:p w14:paraId="277A896F">
            <w:pPr>
              <w:rPr>
                <w:rFonts w:ascii="Arial"/>
                <w:sz w:val="21"/>
              </w:rPr>
            </w:pPr>
          </w:p>
        </w:tc>
        <w:tc>
          <w:tcPr>
            <w:tcW w:w="298" w:type="dxa"/>
            <w:vMerge w:val="continue"/>
            <w:tcBorders>
              <w:top w:val="nil"/>
            </w:tcBorders>
            <w:textDirection w:val="tbRlV"/>
            <w:vAlign w:val="top"/>
          </w:tcPr>
          <w:p w14:paraId="563E59B0">
            <w:pPr>
              <w:rPr>
                <w:rFonts w:ascii="Arial"/>
                <w:sz w:val="21"/>
              </w:rPr>
            </w:pPr>
          </w:p>
        </w:tc>
        <w:tc>
          <w:tcPr>
            <w:tcW w:w="371" w:type="dxa"/>
            <w:vAlign w:val="top"/>
          </w:tcPr>
          <w:p w14:paraId="4D38B498">
            <w:pPr>
              <w:spacing w:before="145"/>
              <w:ind w:left="81" w:right="46" w:hanging="82"/>
              <w:rPr>
                <w:rFonts w:ascii="仿宋" w:hAnsi="仿宋" w:eastAsia="仿宋" w:cs="仿宋"/>
                <w:sz w:val="18"/>
                <w:szCs w:val="18"/>
              </w:rPr>
            </w:pPr>
            <w:r>
              <w:rPr>
                <w:rFonts w:ascii="仿宋" w:hAnsi="仿宋" w:eastAsia="仿宋" w:cs="仿宋"/>
                <w:spacing w:val="-21"/>
                <w:sz w:val="18"/>
                <w:szCs w:val="18"/>
              </w:rPr>
              <w:t>运营</w:t>
            </w:r>
            <w:r>
              <w:rPr>
                <w:rFonts w:ascii="仿宋" w:hAnsi="仿宋" w:eastAsia="仿宋" w:cs="仿宋"/>
                <w:sz w:val="18"/>
                <w:szCs w:val="18"/>
              </w:rPr>
              <w:t>期</w:t>
            </w:r>
          </w:p>
        </w:tc>
        <w:tc>
          <w:tcPr>
            <w:tcW w:w="6127" w:type="dxa"/>
            <w:gridSpan w:val="4"/>
            <w:vAlign w:val="top"/>
          </w:tcPr>
          <w:p w14:paraId="53E69EB7">
            <w:pPr>
              <w:spacing w:before="29" w:line="222" w:lineRule="auto"/>
              <w:rPr>
                <w:rFonts w:ascii="仿宋" w:hAnsi="仿宋" w:eastAsia="仿宋" w:cs="仿宋"/>
                <w:sz w:val="18"/>
                <w:szCs w:val="18"/>
              </w:rPr>
            </w:pPr>
            <w:r>
              <w:rPr>
                <w:rFonts w:ascii="仿宋" w:hAnsi="仿宋" w:eastAsia="仿宋" w:cs="仿宋"/>
                <w:spacing w:val="-1"/>
                <w:sz w:val="18"/>
                <w:szCs w:val="18"/>
              </w:rPr>
              <w:t>运营期对水环境的影响主要来自路面径流排放，路基填土高度较低路基采用散</w:t>
            </w:r>
          </w:p>
          <w:p w14:paraId="2E6F4E97">
            <w:pPr>
              <w:pStyle w:val="6"/>
              <w:spacing w:before="16" w:line="222" w:lineRule="auto"/>
              <w:ind w:left="15"/>
              <w:rPr>
                <w:rFonts w:ascii="仿宋" w:hAnsi="仿宋" w:eastAsia="仿宋" w:cs="仿宋"/>
              </w:rPr>
            </w:pPr>
            <w:r>
              <w:rPr>
                <w:rFonts w:ascii="仿宋" w:hAnsi="仿宋" w:eastAsia="仿宋" w:cs="仿宋"/>
              </w:rPr>
              <w:t>排方式，纵坡较大汇水较多路基设置三角形边沟</w:t>
            </w:r>
            <w:r>
              <w:t>/</w:t>
            </w:r>
            <w:r>
              <w:rPr>
                <w:rFonts w:ascii="仿宋" w:hAnsi="仿宋" w:eastAsia="仿宋" w:cs="仿宋"/>
              </w:rPr>
              <w:t>梯形排水沟</w:t>
            </w:r>
            <w:r>
              <w:t>/</w:t>
            </w:r>
            <w:r>
              <w:rPr>
                <w:rFonts w:ascii="仿宋" w:hAnsi="仿宋" w:eastAsia="仿宋" w:cs="仿宋"/>
              </w:rPr>
              <w:t>球墨铸铁管，路</w:t>
            </w:r>
          </w:p>
          <w:p w14:paraId="1E7E021E">
            <w:pPr>
              <w:pStyle w:val="6"/>
              <w:spacing w:before="16" w:line="203" w:lineRule="auto"/>
              <w:ind w:left="1646"/>
              <w:rPr>
                <w:rFonts w:ascii="仿宋" w:hAnsi="仿宋" w:eastAsia="仿宋" w:cs="仿宋"/>
              </w:rPr>
            </w:pPr>
            <w:r>
              <w:rPr>
                <w:rFonts w:ascii="仿宋" w:hAnsi="仿宋" w:eastAsia="仿宋" w:cs="仿宋"/>
                <w:spacing w:val="-3"/>
              </w:rPr>
              <w:t>线填土高度大于</w:t>
            </w:r>
            <w:r>
              <w:rPr>
                <w:rFonts w:ascii="仿宋" w:hAnsi="仿宋" w:eastAsia="仿宋" w:cs="仿宋"/>
                <w:spacing w:val="-37"/>
              </w:rPr>
              <w:t xml:space="preserve"> </w:t>
            </w:r>
            <w:r>
              <w:rPr>
                <w:spacing w:val="-3"/>
              </w:rPr>
              <w:t>2.0m</w:t>
            </w:r>
            <w:r>
              <w:rPr>
                <w:spacing w:val="25"/>
              </w:rPr>
              <w:t xml:space="preserve"> </w:t>
            </w:r>
            <w:r>
              <w:rPr>
                <w:rFonts w:ascii="仿宋" w:hAnsi="仿宋" w:eastAsia="仿宋" w:cs="仿宋"/>
                <w:spacing w:val="-3"/>
              </w:rPr>
              <w:t>时设急流槽。</w:t>
            </w:r>
          </w:p>
        </w:tc>
        <w:tc>
          <w:tcPr>
            <w:tcW w:w="565" w:type="dxa"/>
            <w:tcBorders>
              <w:right w:val="single" w:color="000000" w:sz="6" w:space="0"/>
            </w:tcBorders>
            <w:vAlign w:val="top"/>
          </w:tcPr>
          <w:p w14:paraId="4E9DA4FE">
            <w:pPr>
              <w:spacing w:before="263" w:line="222" w:lineRule="auto"/>
              <w:ind w:left="91"/>
              <w:rPr>
                <w:rFonts w:ascii="仿宋" w:hAnsi="仿宋" w:eastAsia="仿宋" w:cs="仿宋"/>
                <w:sz w:val="18"/>
                <w:szCs w:val="18"/>
              </w:rPr>
            </w:pPr>
            <w:r>
              <w:rPr>
                <w:rFonts w:ascii="仿宋" w:hAnsi="仿宋" w:eastAsia="仿宋" w:cs="仿宋"/>
                <w:spacing w:val="-6"/>
                <w:sz w:val="18"/>
                <w:szCs w:val="18"/>
              </w:rPr>
              <w:t>新建</w:t>
            </w:r>
          </w:p>
        </w:tc>
      </w:tr>
      <w:tr w14:paraId="09C22F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04" w:hRule="atLeast"/>
        </w:trPr>
        <w:tc>
          <w:tcPr>
            <w:tcW w:w="737" w:type="dxa"/>
            <w:vMerge w:val="continue"/>
            <w:tcBorders>
              <w:top w:val="nil"/>
              <w:left w:val="single" w:color="000000" w:sz="6" w:space="0"/>
              <w:bottom w:val="nil"/>
            </w:tcBorders>
            <w:vAlign w:val="top"/>
          </w:tcPr>
          <w:p w14:paraId="2FE6AF99">
            <w:pPr>
              <w:rPr>
                <w:rFonts w:ascii="Arial"/>
                <w:sz w:val="21"/>
              </w:rPr>
            </w:pPr>
          </w:p>
        </w:tc>
        <w:tc>
          <w:tcPr>
            <w:tcW w:w="279" w:type="dxa"/>
            <w:vMerge w:val="continue"/>
            <w:tcBorders>
              <w:top w:val="nil"/>
              <w:bottom w:val="nil"/>
            </w:tcBorders>
            <w:textDirection w:val="tbRlV"/>
            <w:vAlign w:val="top"/>
          </w:tcPr>
          <w:p w14:paraId="6EE861C7">
            <w:pPr>
              <w:rPr>
                <w:rFonts w:ascii="Arial"/>
                <w:sz w:val="21"/>
              </w:rPr>
            </w:pPr>
          </w:p>
        </w:tc>
        <w:tc>
          <w:tcPr>
            <w:tcW w:w="298" w:type="dxa"/>
            <w:vMerge w:val="restart"/>
            <w:tcBorders>
              <w:bottom w:val="nil"/>
            </w:tcBorders>
            <w:textDirection w:val="tbRlV"/>
            <w:vAlign w:val="top"/>
          </w:tcPr>
          <w:p w14:paraId="4B0FF236">
            <w:pPr>
              <w:spacing w:before="80" w:line="202" w:lineRule="auto"/>
              <w:ind w:left="737"/>
              <w:rPr>
                <w:rFonts w:ascii="仿宋" w:hAnsi="仿宋" w:eastAsia="仿宋" w:cs="仿宋"/>
                <w:sz w:val="18"/>
                <w:szCs w:val="18"/>
              </w:rPr>
            </w:pPr>
            <w:r>
              <w:rPr>
                <w:rFonts w:ascii="仿宋" w:hAnsi="仿宋" w:eastAsia="仿宋" w:cs="仿宋"/>
                <w:spacing w:val="28"/>
                <w:sz w:val="18"/>
                <w:szCs w:val="18"/>
              </w:rPr>
              <w:t>固废</w:t>
            </w:r>
          </w:p>
        </w:tc>
        <w:tc>
          <w:tcPr>
            <w:tcW w:w="371" w:type="dxa"/>
            <w:vAlign w:val="top"/>
          </w:tcPr>
          <w:p w14:paraId="37154156">
            <w:pPr>
              <w:spacing w:line="436" w:lineRule="auto"/>
              <w:rPr>
                <w:rFonts w:ascii="Arial"/>
                <w:sz w:val="21"/>
              </w:rPr>
            </w:pPr>
          </w:p>
          <w:p w14:paraId="427619DA">
            <w:pPr>
              <w:spacing w:before="58"/>
              <w:ind w:left="83" w:right="46" w:hanging="84"/>
              <w:rPr>
                <w:rFonts w:ascii="仿宋" w:hAnsi="仿宋" w:eastAsia="仿宋" w:cs="仿宋"/>
                <w:sz w:val="18"/>
                <w:szCs w:val="18"/>
              </w:rPr>
            </w:pPr>
            <w:r>
              <w:rPr>
                <w:rFonts w:ascii="仿宋" w:hAnsi="仿宋" w:eastAsia="仿宋" w:cs="仿宋"/>
                <w:spacing w:val="-21"/>
                <w:sz w:val="18"/>
                <w:szCs w:val="18"/>
              </w:rPr>
              <w:t>施工</w:t>
            </w:r>
            <w:r>
              <w:rPr>
                <w:rFonts w:ascii="仿宋" w:hAnsi="仿宋" w:eastAsia="仿宋" w:cs="仿宋"/>
                <w:sz w:val="18"/>
                <w:szCs w:val="18"/>
              </w:rPr>
              <w:t>期</w:t>
            </w:r>
          </w:p>
        </w:tc>
        <w:tc>
          <w:tcPr>
            <w:tcW w:w="6127" w:type="dxa"/>
            <w:gridSpan w:val="4"/>
            <w:vAlign w:val="top"/>
          </w:tcPr>
          <w:p w14:paraId="1EB77634">
            <w:pPr>
              <w:spacing w:before="31" w:line="239" w:lineRule="auto"/>
              <w:ind w:right="32" w:firstLine="2"/>
              <w:rPr>
                <w:rFonts w:ascii="仿宋" w:hAnsi="仿宋" w:eastAsia="仿宋" w:cs="仿宋"/>
                <w:sz w:val="18"/>
                <w:szCs w:val="18"/>
              </w:rPr>
            </w:pPr>
            <w:r>
              <w:rPr>
                <w:rFonts w:ascii="仿宋" w:hAnsi="仿宋" w:eastAsia="仿宋" w:cs="仿宋"/>
                <w:spacing w:val="-1"/>
                <w:sz w:val="18"/>
                <w:szCs w:val="18"/>
              </w:rPr>
              <w:t>工程弃土：通过本桩或远运利用进行移挖补填，项目整体可实现平衡，施工过</w:t>
            </w:r>
            <w:r>
              <w:rPr>
                <w:rFonts w:ascii="仿宋" w:hAnsi="仿宋" w:eastAsia="仿宋" w:cs="仿宋"/>
                <w:spacing w:val="-2"/>
                <w:sz w:val="18"/>
                <w:szCs w:val="18"/>
              </w:rPr>
              <w:t>程中无弃土弃渣产生。</w:t>
            </w:r>
          </w:p>
          <w:p w14:paraId="125C5638">
            <w:pPr>
              <w:spacing w:before="1" w:line="239" w:lineRule="auto"/>
              <w:ind w:left="8" w:right="32" w:hanging="9"/>
              <w:rPr>
                <w:rFonts w:ascii="仿宋" w:hAnsi="仿宋" w:eastAsia="仿宋" w:cs="仿宋"/>
                <w:sz w:val="18"/>
                <w:szCs w:val="18"/>
              </w:rPr>
            </w:pPr>
            <w:r>
              <w:rPr>
                <w:rFonts w:ascii="仿宋" w:hAnsi="仿宋" w:eastAsia="仿宋" w:cs="仿宋"/>
                <w:spacing w:val="-1"/>
                <w:sz w:val="18"/>
                <w:szCs w:val="18"/>
              </w:rPr>
              <w:t>建筑垃圾：优先回收利用，不能利用的统一收集后运至市政指定建筑垃圾排放</w:t>
            </w:r>
            <w:r>
              <w:rPr>
                <w:rFonts w:ascii="仿宋" w:hAnsi="仿宋" w:eastAsia="仿宋" w:cs="仿宋"/>
                <w:spacing w:val="-6"/>
                <w:sz w:val="18"/>
                <w:szCs w:val="18"/>
              </w:rPr>
              <w:t>点处置；</w:t>
            </w:r>
          </w:p>
          <w:p w14:paraId="3495CCB7">
            <w:pPr>
              <w:spacing w:line="220" w:lineRule="auto"/>
              <w:ind w:right="31" w:firstLine="7"/>
              <w:rPr>
                <w:rFonts w:ascii="仿宋" w:hAnsi="仿宋" w:eastAsia="仿宋" w:cs="仿宋"/>
                <w:sz w:val="18"/>
                <w:szCs w:val="18"/>
              </w:rPr>
            </w:pPr>
            <w:r>
              <w:rPr>
                <w:rFonts w:ascii="仿宋" w:hAnsi="仿宋" w:eastAsia="仿宋" w:cs="仿宋"/>
                <w:spacing w:val="-1"/>
                <w:sz w:val="18"/>
                <w:szCs w:val="18"/>
              </w:rPr>
              <w:t>生活垃圾：生活垃圾按照当地村民生活垃圾处理方式，集中收集后</w:t>
            </w:r>
            <w:r>
              <w:rPr>
                <w:rFonts w:ascii="仿宋" w:hAnsi="仿宋" w:eastAsia="仿宋" w:cs="仿宋"/>
                <w:spacing w:val="-2"/>
                <w:sz w:val="18"/>
                <w:szCs w:val="18"/>
              </w:rPr>
              <w:t>，交当地环</w:t>
            </w:r>
            <w:r>
              <w:rPr>
                <w:rFonts w:ascii="仿宋" w:hAnsi="仿宋" w:eastAsia="仿宋" w:cs="仿宋"/>
                <w:spacing w:val="-3"/>
                <w:sz w:val="18"/>
                <w:szCs w:val="18"/>
              </w:rPr>
              <w:t>卫部门的要求处理。</w:t>
            </w:r>
          </w:p>
        </w:tc>
        <w:tc>
          <w:tcPr>
            <w:tcW w:w="565" w:type="dxa"/>
            <w:tcBorders>
              <w:right w:val="single" w:color="000000" w:sz="6" w:space="0"/>
            </w:tcBorders>
            <w:vAlign w:val="top"/>
          </w:tcPr>
          <w:p w14:paraId="51770F4E">
            <w:pPr>
              <w:spacing w:line="276" w:lineRule="auto"/>
              <w:rPr>
                <w:rFonts w:ascii="Arial"/>
                <w:sz w:val="21"/>
              </w:rPr>
            </w:pPr>
          </w:p>
          <w:p w14:paraId="32BAD086">
            <w:pPr>
              <w:spacing w:line="277" w:lineRule="auto"/>
              <w:rPr>
                <w:rFonts w:ascii="Arial"/>
                <w:sz w:val="21"/>
              </w:rPr>
            </w:pPr>
          </w:p>
          <w:p w14:paraId="7588FF96">
            <w:pPr>
              <w:spacing w:before="58" w:line="222" w:lineRule="auto"/>
              <w:ind w:left="91"/>
              <w:rPr>
                <w:rFonts w:ascii="仿宋" w:hAnsi="仿宋" w:eastAsia="仿宋" w:cs="仿宋"/>
                <w:sz w:val="18"/>
                <w:szCs w:val="18"/>
              </w:rPr>
            </w:pPr>
            <w:r>
              <w:rPr>
                <w:rFonts w:ascii="仿宋" w:hAnsi="仿宋" w:eastAsia="仿宋" w:cs="仿宋"/>
                <w:spacing w:val="-6"/>
                <w:sz w:val="18"/>
                <w:szCs w:val="18"/>
              </w:rPr>
              <w:t>新建</w:t>
            </w:r>
          </w:p>
        </w:tc>
      </w:tr>
      <w:tr w14:paraId="7E2CE8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05F9CD00">
            <w:pPr>
              <w:rPr>
                <w:rFonts w:ascii="Arial"/>
                <w:sz w:val="21"/>
              </w:rPr>
            </w:pPr>
          </w:p>
        </w:tc>
        <w:tc>
          <w:tcPr>
            <w:tcW w:w="279" w:type="dxa"/>
            <w:vMerge w:val="continue"/>
            <w:tcBorders>
              <w:top w:val="nil"/>
              <w:bottom w:val="nil"/>
            </w:tcBorders>
            <w:textDirection w:val="tbRlV"/>
            <w:vAlign w:val="top"/>
          </w:tcPr>
          <w:p w14:paraId="40D63704">
            <w:pPr>
              <w:rPr>
                <w:rFonts w:ascii="Arial"/>
                <w:sz w:val="21"/>
              </w:rPr>
            </w:pPr>
          </w:p>
        </w:tc>
        <w:tc>
          <w:tcPr>
            <w:tcW w:w="298" w:type="dxa"/>
            <w:vMerge w:val="continue"/>
            <w:tcBorders>
              <w:top w:val="nil"/>
            </w:tcBorders>
            <w:textDirection w:val="tbRlV"/>
            <w:vAlign w:val="top"/>
          </w:tcPr>
          <w:p w14:paraId="13C0E843">
            <w:pPr>
              <w:rPr>
                <w:rFonts w:ascii="Arial"/>
                <w:sz w:val="21"/>
              </w:rPr>
            </w:pPr>
          </w:p>
        </w:tc>
        <w:tc>
          <w:tcPr>
            <w:tcW w:w="371" w:type="dxa"/>
            <w:vAlign w:val="top"/>
          </w:tcPr>
          <w:p w14:paraId="45C372DC">
            <w:pPr>
              <w:spacing w:before="31" w:line="220" w:lineRule="auto"/>
              <w:ind w:left="81" w:right="46" w:hanging="82"/>
              <w:rPr>
                <w:rFonts w:ascii="仿宋" w:hAnsi="仿宋" w:eastAsia="仿宋" w:cs="仿宋"/>
                <w:sz w:val="18"/>
                <w:szCs w:val="18"/>
              </w:rPr>
            </w:pPr>
            <w:r>
              <w:rPr>
                <w:rFonts w:ascii="仿宋" w:hAnsi="仿宋" w:eastAsia="仿宋" w:cs="仿宋"/>
                <w:spacing w:val="-21"/>
                <w:sz w:val="18"/>
                <w:szCs w:val="18"/>
              </w:rPr>
              <w:t>运营</w:t>
            </w:r>
            <w:r>
              <w:rPr>
                <w:rFonts w:ascii="仿宋" w:hAnsi="仿宋" w:eastAsia="仿宋" w:cs="仿宋"/>
                <w:sz w:val="18"/>
                <w:szCs w:val="18"/>
              </w:rPr>
              <w:t>期</w:t>
            </w:r>
          </w:p>
        </w:tc>
        <w:tc>
          <w:tcPr>
            <w:tcW w:w="6127" w:type="dxa"/>
            <w:gridSpan w:val="4"/>
            <w:vAlign w:val="top"/>
          </w:tcPr>
          <w:p w14:paraId="5F6C70BA">
            <w:pPr>
              <w:spacing w:before="149" w:line="221" w:lineRule="auto"/>
              <w:ind w:left="2412"/>
              <w:rPr>
                <w:rFonts w:ascii="仿宋" w:hAnsi="仿宋" w:eastAsia="仿宋" w:cs="仿宋"/>
                <w:sz w:val="18"/>
                <w:szCs w:val="18"/>
              </w:rPr>
            </w:pPr>
            <w:r>
              <w:rPr>
                <w:rFonts w:ascii="仿宋" w:hAnsi="仿宋" w:eastAsia="仿宋" w:cs="仿宋"/>
                <w:spacing w:val="-3"/>
                <w:sz w:val="18"/>
                <w:szCs w:val="18"/>
              </w:rPr>
              <w:t>不涉及固体废物</w:t>
            </w:r>
          </w:p>
        </w:tc>
        <w:tc>
          <w:tcPr>
            <w:tcW w:w="565" w:type="dxa"/>
            <w:tcBorders>
              <w:right w:val="single" w:color="000000" w:sz="6" w:space="0"/>
            </w:tcBorders>
            <w:vAlign w:val="top"/>
          </w:tcPr>
          <w:p w14:paraId="6EFA73C1">
            <w:pPr>
              <w:pStyle w:val="6"/>
              <w:spacing w:before="174" w:line="192" w:lineRule="auto"/>
              <w:ind w:left="236"/>
            </w:pPr>
            <w:r>
              <w:t>/</w:t>
            </w:r>
          </w:p>
        </w:tc>
      </w:tr>
      <w:tr w14:paraId="445E23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737" w:type="dxa"/>
            <w:vMerge w:val="continue"/>
            <w:tcBorders>
              <w:top w:val="nil"/>
              <w:left w:val="single" w:color="000000" w:sz="6" w:space="0"/>
              <w:bottom w:val="nil"/>
            </w:tcBorders>
            <w:vAlign w:val="top"/>
          </w:tcPr>
          <w:p w14:paraId="58A65F9B">
            <w:pPr>
              <w:rPr>
                <w:rFonts w:ascii="Arial"/>
                <w:sz w:val="21"/>
              </w:rPr>
            </w:pPr>
          </w:p>
        </w:tc>
        <w:tc>
          <w:tcPr>
            <w:tcW w:w="279" w:type="dxa"/>
            <w:vMerge w:val="continue"/>
            <w:tcBorders>
              <w:top w:val="nil"/>
              <w:bottom w:val="nil"/>
            </w:tcBorders>
            <w:textDirection w:val="tbRlV"/>
            <w:vAlign w:val="top"/>
          </w:tcPr>
          <w:p w14:paraId="055B5243">
            <w:pPr>
              <w:rPr>
                <w:rFonts w:ascii="Arial"/>
                <w:sz w:val="21"/>
              </w:rPr>
            </w:pPr>
          </w:p>
        </w:tc>
        <w:tc>
          <w:tcPr>
            <w:tcW w:w="298" w:type="dxa"/>
            <w:vMerge w:val="restart"/>
            <w:tcBorders>
              <w:bottom w:val="nil"/>
            </w:tcBorders>
            <w:textDirection w:val="tbRlV"/>
            <w:vAlign w:val="top"/>
          </w:tcPr>
          <w:p w14:paraId="55D2212F">
            <w:pPr>
              <w:spacing w:before="81" w:line="202" w:lineRule="auto"/>
              <w:ind w:left="388"/>
              <w:rPr>
                <w:rFonts w:ascii="仿宋" w:hAnsi="仿宋" w:eastAsia="仿宋" w:cs="仿宋"/>
                <w:sz w:val="18"/>
                <w:szCs w:val="18"/>
              </w:rPr>
            </w:pPr>
            <w:r>
              <w:rPr>
                <w:rFonts w:ascii="仿宋" w:hAnsi="仿宋" w:eastAsia="仿宋" w:cs="仿宋"/>
                <w:spacing w:val="28"/>
                <w:sz w:val="18"/>
                <w:szCs w:val="18"/>
              </w:rPr>
              <w:t>噪声</w:t>
            </w:r>
          </w:p>
        </w:tc>
        <w:tc>
          <w:tcPr>
            <w:tcW w:w="371" w:type="dxa"/>
            <w:vAlign w:val="top"/>
          </w:tcPr>
          <w:p w14:paraId="0917ECE9">
            <w:pPr>
              <w:spacing w:before="148"/>
              <w:ind w:left="83" w:right="46" w:hanging="84"/>
              <w:rPr>
                <w:rFonts w:ascii="仿宋" w:hAnsi="仿宋" w:eastAsia="仿宋" w:cs="仿宋"/>
                <w:sz w:val="18"/>
                <w:szCs w:val="18"/>
              </w:rPr>
            </w:pPr>
            <w:r>
              <w:rPr>
                <w:rFonts w:ascii="仿宋" w:hAnsi="仿宋" w:eastAsia="仿宋" w:cs="仿宋"/>
                <w:spacing w:val="-21"/>
                <w:sz w:val="18"/>
                <w:szCs w:val="18"/>
              </w:rPr>
              <w:t>施工</w:t>
            </w:r>
            <w:r>
              <w:rPr>
                <w:rFonts w:ascii="仿宋" w:hAnsi="仿宋" w:eastAsia="仿宋" w:cs="仿宋"/>
                <w:sz w:val="18"/>
                <w:szCs w:val="18"/>
              </w:rPr>
              <w:t>期</w:t>
            </w:r>
          </w:p>
        </w:tc>
        <w:tc>
          <w:tcPr>
            <w:tcW w:w="6127" w:type="dxa"/>
            <w:gridSpan w:val="4"/>
            <w:vAlign w:val="top"/>
          </w:tcPr>
          <w:p w14:paraId="646355AB">
            <w:pPr>
              <w:pStyle w:val="6"/>
              <w:spacing w:before="32" w:line="226" w:lineRule="auto"/>
              <w:ind w:left="12" w:right="31"/>
              <w:jc w:val="both"/>
              <w:rPr>
                <w:rFonts w:ascii="仿宋" w:hAnsi="仿宋" w:eastAsia="仿宋" w:cs="仿宋"/>
              </w:rPr>
            </w:pPr>
            <w:r>
              <w:rPr>
                <w:rFonts w:ascii="仿宋" w:hAnsi="仿宋" w:eastAsia="仿宋" w:cs="仿宋"/>
              </w:rPr>
              <w:t>施工过程选用低噪声设备、科学安排施工作业时间，全线</w:t>
            </w:r>
            <w:r>
              <w:rPr>
                <w:rFonts w:ascii="仿宋" w:hAnsi="仿宋" w:eastAsia="仿宋" w:cs="仿宋"/>
                <w:spacing w:val="-1"/>
              </w:rPr>
              <w:t>禁止夜间（</w:t>
            </w:r>
            <w:r>
              <w:rPr>
                <w:spacing w:val="-1"/>
              </w:rPr>
              <w:t>22:00-</w:t>
            </w:r>
            <w:r>
              <w:rPr>
                <w:rFonts w:ascii="仿宋" w:hAnsi="仿宋" w:eastAsia="仿宋" w:cs="仿宋"/>
                <w:spacing w:val="-1"/>
              </w:rPr>
              <w:t>次</w:t>
            </w:r>
            <w:r>
              <w:rPr>
                <w:rFonts w:ascii="仿宋" w:hAnsi="仿宋" w:eastAsia="仿宋" w:cs="仿宋"/>
                <w:spacing w:val="-5"/>
              </w:rPr>
              <w:t>日</w:t>
            </w:r>
            <w:r>
              <w:rPr>
                <w:rFonts w:ascii="仿宋" w:hAnsi="仿宋" w:eastAsia="仿宋" w:cs="仿宋"/>
                <w:spacing w:val="-37"/>
              </w:rPr>
              <w:t xml:space="preserve"> </w:t>
            </w:r>
            <w:r>
              <w:rPr>
                <w:spacing w:val="-5"/>
              </w:rPr>
              <w:t>6:00</w:t>
            </w:r>
            <w:r>
              <w:rPr>
                <w:rFonts w:ascii="仿宋" w:hAnsi="仿宋" w:eastAsia="仿宋" w:cs="仿宋"/>
                <w:spacing w:val="13"/>
              </w:rPr>
              <w:t>），</w:t>
            </w:r>
            <w:r>
              <w:rPr>
                <w:rFonts w:ascii="仿宋" w:hAnsi="仿宋" w:eastAsia="仿宋" w:cs="仿宋"/>
                <w:spacing w:val="-5"/>
              </w:rPr>
              <w:t>临近敏感目标段禁止午间</w:t>
            </w:r>
            <w:r>
              <w:rPr>
                <w:rFonts w:ascii="仿宋" w:hAnsi="仿宋" w:eastAsia="仿宋" w:cs="仿宋"/>
                <w:spacing w:val="-26"/>
              </w:rPr>
              <w:t xml:space="preserve"> </w:t>
            </w:r>
            <w:r>
              <w:rPr>
                <w:spacing w:val="-5"/>
              </w:rPr>
              <w:t>12:00-</w:t>
            </w:r>
            <w:r>
              <w:rPr>
                <w:spacing w:val="-24"/>
              </w:rPr>
              <w:t xml:space="preserve"> </w:t>
            </w:r>
            <w:r>
              <w:rPr>
                <w:spacing w:val="-5"/>
              </w:rPr>
              <w:t>14:00</w:t>
            </w:r>
            <w:r>
              <w:rPr>
                <w:spacing w:val="-20"/>
              </w:rPr>
              <w:t xml:space="preserve"> </w:t>
            </w:r>
            <w:r>
              <w:rPr>
                <w:rFonts w:ascii="仿宋" w:hAnsi="仿宋" w:eastAsia="仿宋" w:cs="仿宋"/>
                <w:spacing w:val="-5"/>
              </w:rPr>
              <w:t>、</w:t>
            </w:r>
            <w:r>
              <w:rPr>
                <w:spacing w:val="-5"/>
              </w:rPr>
              <w:t>22:00-</w:t>
            </w:r>
            <w:r>
              <w:rPr>
                <w:rFonts w:ascii="仿宋" w:hAnsi="仿宋" w:eastAsia="仿宋" w:cs="仿宋"/>
                <w:spacing w:val="-5"/>
              </w:rPr>
              <w:t>次</w:t>
            </w:r>
            <w:r>
              <w:rPr>
                <w:rFonts w:ascii="仿宋" w:hAnsi="仿宋" w:eastAsia="仿宋" w:cs="仿宋"/>
                <w:spacing w:val="-40"/>
              </w:rPr>
              <w:t xml:space="preserve"> </w:t>
            </w:r>
            <w:r>
              <w:rPr>
                <w:rFonts w:ascii="仿宋" w:hAnsi="仿宋" w:eastAsia="仿宋" w:cs="仿宋"/>
                <w:spacing w:val="-5"/>
              </w:rPr>
              <w:t>日</w:t>
            </w:r>
            <w:r>
              <w:rPr>
                <w:rFonts w:ascii="仿宋" w:hAnsi="仿宋" w:eastAsia="仿宋" w:cs="仿宋"/>
                <w:spacing w:val="-34"/>
              </w:rPr>
              <w:t xml:space="preserve"> </w:t>
            </w:r>
            <w:r>
              <w:rPr>
                <w:spacing w:val="-5"/>
              </w:rPr>
              <w:t>8:00</w:t>
            </w:r>
            <w:r>
              <w:rPr>
                <w:spacing w:val="11"/>
              </w:rPr>
              <w:t xml:space="preserve"> </w:t>
            </w:r>
            <w:r>
              <w:rPr>
                <w:rFonts w:ascii="仿宋" w:hAnsi="仿宋" w:eastAsia="仿宋" w:cs="仿宋"/>
                <w:spacing w:val="-5"/>
              </w:rPr>
              <w:t>施工。对于</w:t>
            </w:r>
            <w:r>
              <w:rPr>
                <w:rFonts w:ascii="仿宋" w:hAnsi="仿宋" w:eastAsia="仿宋" w:cs="仿宋"/>
                <w:spacing w:val="-1"/>
              </w:rPr>
              <w:t>紧邻噪声保护目标施工的，靠近保护目标一侧设置不低于</w:t>
            </w:r>
            <w:r>
              <w:rPr>
                <w:rFonts w:ascii="仿宋" w:hAnsi="仿宋" w:eastAsia="仿宋" w:cs="仿宋"/>
                <w:spacing w:val="-37"/>
              </w:rPr>
              <w:t xml:space="preserve"> </w:t>
            </w:r>
            <w:r>
              <w:rPr>
                <w:spacing w:val="-1"/>
              </w:rPr>
              <w:t>2.5m</w:t>
            </w:r>
            <w:r>
              <w:rPr>
                <w:spacing w:val="22"/>
                <w:w w:val="101"/>
              </w:rPr>
              <w:t xml:space="preserve"> </w:t>
            </w:r>
            <w:r>
              <w:rPr>
                <w:rFonts w:ascii="仿宋" w:hAnsi="仿宋" w:eastAsia="仿宋" w:cs="仿宋"/>
                <w:spacing w:val="-1"/>
              </w:rPr>
              <w:t>的隔声挡板。</w:t>
            </w:r>
          </w:p>
        </w:tc>
        <w:tc>
          <w:tcPr>
            <w:tcW w:w="565" w:type="dxa"/>
            <w:tcBorders>
              <w:right w:val="single" w:color="000000" w:sz="6" w:space="0"/>
            </w:tcBorders>
            <w:vAlign w:val="top"/>
          </w:tcPr>
          <w:p w14:paraId="2E7EA773">
            <w:pPr>
              <w:spacing w:before="266" w:line="222" w:lineRule="auto"/>
              <w:ind w:left="91"/>
              <w:rPr>
                <w:rFonts w:ascii="仿宋" w:hAnsi="仿宋" w:eastAsia="仿宋" w:cs="仿宋"/>
                <w:sz w:val="18"/>
                <w:szCs w:val="18"/>
              </w:rPr>
            </w:pPr>
            <w:r>
              <w:rPr>
                <w:rFonts w:ascii="仿宋" w:hAnsi="仿宋" w:eastAsia="仿宋" w:cs="仿宋"/>
                <w:spacing w:val="-6"/>
                <w:sz w:val="18"/>
                <w:szCs w:val="18"/>
              </w:rPr>
              <w:t>新建</w:t>
            </w:r>
          </w:p>
        </w:tc>
      </w:tr>
      <w:tr w14:paraId="6DF9C0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54438B24">
            <w:pPr>
              <w:rPr>
                <w:rFonts w:ascii="Arial"/>
                <w:sz w:val="21"/>
              </w:rPr>
            </w:pPr>
          </w:p>
        </w:tc>
        <w:tc>
          <w:tcPr>
            <w:tcW w:w="279" w:type="dxa"/>
            <w:vMerge w:val="continue"/>
            <w:tcBorders>
              <w:top w:val="nil"/>
              <w:bottom w:val="nil"/>
            </w:tcBorders>
            <w:textDirection w:val="tbRlV"/>
            <w:vAlign w:val="top"/>
          </w:tcPr>
          <w:p w14:paraId="77EFDEBE">
            <w:pPr>
              <w:rPr>
                <w:rFonts w:ascii="Arial"/>
                <w:sz w:val="21"/>
              </w:rPr>
            </w:pPr>
          </w:p>
        </w:tc>
        <w:tc>
          <w:tcPr>
            <w:tcW w:w="298" w:type="dxa"/>
            <w:vMerge w:val="continue"/>
            <w:tcBorders>
              <w:top w:val="nil"/>
            </w:tcBorders>
            <w:textDirection w:val="tbRlV"/>
            <w:vAlign w:val="top"/>
          </w:tcPr>
          <w:p w14:paraId="43660D62">
            <w:pPr>
              <w:rPr>
                <w:rFonts w:ascii="Arial"/>
                <w:sz w:val="21"/>
              </w:rPr>
            </w:pPr>
          </w:p>
        </w:tc>
        <w:tc>
          <w:tcPr>
            <w:tcW w:w="371" w:type="dxa"/>
            <w:vAlign w:val="top"/>
          </w:tcPr>
          <w:p w14:paraId="166CC3FF">
            <w:pPr>
              <w:spacing w:before="33" w:line="219" w:lineRule="auto"/>
              <w:ind w:left="81" w:right="46" w:hanging="82"/>
              <w:rPr>
                <w:rFonts w:ascii="仿宋" w:hAnsi="仿宋" w:eastAsia="仿宋" w:cs="仿宋"/>
                <w:sz w:val="18"/>
                <w:szCs w:val="18"/>
              </w:rPr>
            </w:pPr>
            <w:r>
              <w:rPr>
                <w:rFonts w:ascii="仿宋" w:hAnsi="仿宋" w:eastAsia="仿宋" w:cs="仿宋"/>
                <w:spacing w:val="-21"/>
                <w:sz w:val="18"/>
                <w:szCs w:val="18"/>
              </w:rPr>
              <w:t>运营</w:t>
            </w:r>
            <w:r>
              <w:rPr>
                <w:rFonts w:ascii="仿宋" w:hAnsi="仿宋" w:eastAsia="仿宋" w:cs="仿宋"/>
                <w:sz w:val="18"/>
                <w:szCs w:val="18"/>
              </w:rPr>
              <w:t>期</w:t>
            </w:r>
          </w:p>
        </w:tc>
        <w:tc>
          <w:tcPr>
            <w:tcW w:w="6127" w:type="dxa"/>
            <w:gridSpan w:val="4"/>
            <w:vAlign w:val="top"/>
          </w:tcPr>
          <w:p w14:paraId="22B7AB9B">
            <w:pPr>
              <w:pStyle w:val="6"/>
              <w:spacing w:before="34" w:line="222" w:lineRule="auto"/>
              <w:jc w:val="right"/>
              <w:rPr>
                <w:rFonts w:ascii="仿宋" w:hAnsi="仿宋" w:eastAsia="仿宋" w:cs="仿宋"/>
              </w:rPr>
            </w:pPr>
            <w:r>
              <w:rPr>
                <w:rFonts w:ascii="仿宋" w:hAnsi="仿宋" w:eastAsia="仿宋" w:cs="仿宋"/>
                <w:spacing w:val="-5"/>
              </w:rPr>
              <w:t>路边设置限速标志，降低交通噪声的影响。对于</w:t>
            </w:r>
            <w:r>
              <w:rPr>
                <w:rFonts w:ascii="仿宋" w:hAnsi="仿宋" w:eastAsia="仿宋" w:cs="仿宋"/>
                <w:spacing w:val="-26"/>
              </w:rPr>
              <w:t xml:space="preserve"> </w:t>
            </w:r>
            <w:r>
              <w:rPr>
                <w:spacing w:val="-5"/>
              </w:rPr>
              <w:t>200m</w:t>
            </w:r>
            <w:r>
              <w:rPr>
                <w:spacing w:val="21"/>
                <w:w w:val="102"/>
              </w:rPr>
              <w:t xml:space="preserve"> </w:t>
            </w:r>
            <w:r>
              <w:rPr>
                <w:rFonts w:ascii="仿宋" w:hAnsi="仿宋" w:eastAsia="仿宋" w:cs="仿宋"/>
                <w:spacing w:val="-5"/>
              </w:rPr>
              <w:t>范围内的噪声敏感目标，</w:t>
            </w:r>
          </w:p>
          <w:p w14:paraId="4E67E5E0">
            <w:pPr>
              <w:spacing w:before="15" w:line="199" w:lineRule="auto"/>
              <w:ind w:left="1867"/>
              <w:rPr>
                <w:rFonts w:ascii="仿宋" w:hAnsi="仿宋" w:eastAsia="仿宋" w:cs="仿宋"/>
                <w:sz w:val="18"/>
                <w:szCs w:val="18"/>
              </w:rPr>
            </w:pPr>
            <w:r>
              <w:rPr>
                <w:rFonts w:ascii="仿宋" w:hAnsi="仿宋" w:eastAsia="仿宋" w:cs="仿宋"/>
                <w:spacing w:val="-1"/>
                <w:sz w:val="18"/>
                <w:szCs w:val="18"/>
              </w:rPr>
              <w:t>路边设立夜间禁止鸣笛标志。</w:t>
            </w:r>
          </w:p>
        </w:tc>
        <w:tc>
          <w:tcPr>
            <w:tcW w:w="565" w:type="dxa"/>
            <w:tcBorders>
              <w:right w:val="single" w:color="000000" w:sz="6" w:space="0"/>
            </w:tcBorders>
            <w:vAlign w:val="top"/>
          </w:tcPr>
          <w:p w14:paraId="105DDC19">
            <w:pPr>
              <w:spacing w:before="152" w:line="222" w:lineRule="auto"/>
              <w:ind w:left="91"/>
              <w:rPr>
                <w:rFonts w:ascii="仿宋" w:hAnsi="仿宋" w:eastAsia="仿宋" w:cs="仿宋"/>
                <w:sz w:val="18"/>
                <w:szCs w:val="18"/>
              </w:rPr>
            </w:pPr>
            <w:r>
              <w:rPr>
                <w:rFonts w:ascii="仿宋" w:hAnsi="仿宋" w:eastAsia="仿宋" w:cs="仿宋"/>
                <w:spacing w:val="-6"/>
                <w:sz w:val="18"/>
                <w:szCs w:val="18"/>
              </w:rPr>
              <w:t>新建</w:t>
            </w:r>
          </w:p>
        </w:tc>
      </w:tr>
      <w:tr w14:paraId="7E96DE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3E0C9073">
            <w:pPr>
              <w:rPr>
                <w:rFonts w:ascii="Arial"/>
                <w:sz w:val="21"/>
              </w:rPr>
            </w:pPr>
          </w:p>
        </w:tc>
        <w:tc>
          <w:tcPr>
            <w:tcW w:w="279" w:type="dxa"/>
            <w:vMerge w:val="continue"/>
            <w:tcBorders>
              <w:top w:val="nil"/>
              <w:bottom w:val="nil"/>
            </w:tcBorders>
            <w:textDirection w:val="tbRlV"/>
            <w:vAlign w:val="top"/>
          </w:tcPr>
          <w:p w14:paraId="7B533B9C">
            <w:pPr>
              <w:rPr>
                <w:rFonts w:ascii="Arial"/>
                <w:sz w:val="21"/>
              </w:rPr>
            </w:pPr>
          </w:p>
        </w:tc>
        <w:tc>
          <w:tcPr>
            <w:tcW w:w="298" w:type="dxa"/>
            <w:vMerge w:val="restart"/>
            <w:tcBorders>
              <w:bottom w:val="nil"/>
            </w:tcBorders>
            <w:textDirection w:val="tbRlV"/>
            <w:vAlign w:val="top"/>
          </w:tcPr>
          <w:p w14:paraId="51B83C67">
            <w:pPr>
              <w:spacing w:before="81" w:line="198" w:lineRule="auto"/>
              <w:ind w:left="38"/>
              <w:rPr>
                <w:rFonts w:ascii="仿宋" w:hAnsi="仿宋" w:eastAsia="仿宋" w:cs="仿宋"/>
                <w:sz w:val="18"/>
                <w:szCs w:val="18"/>
              </w:rPr>
            </w:pPr>
            <w:r>
              <w:rPr>
                <w:rFonts w:ascii="仿宋" w:hAnsi="仿宋" w:eastAsia="仿宋" w:cs="仿宋"/>
                <w:spacing w:val="41"/>
                <w:sz w:val="18"/>
                <w:szCs w:val="18"/>
              </w:rPr>
              <w:t>生态恢复</w:t>
            </w:r>
          </w:p>
        </w:tc>
        <w:tc>
          <w:tcPr>
            <w:tcW w:w="371" w:type="dxa"/>
            <w:vAlign w:val="top"/>
          </w:tcPr>
          <w:p w14:paraId="655FA233">
            <w:pPr>
              <w:spacing w:before="35" w:line="218" w:lineRule="auto"/>
              <w:ind w:left="83" w:right="46" w:hanging="84"/>
              <w:rPr>
                <w:rFonts w:ascii="仿宋" w:hAnsi="仿宋" w:eastAsia="仿宋" w:cs="仿宋"/>
                <w:sz w:val="18"/>
                <w:szCs w:val="18"/>
              </w:rPr>
            </w:pPr>
            <w:r>
              <w:rPr>
                <w:rFonts w:ascii="仿宋" w:hAnsi="仿宋" w:eastAsia="仿宋" w:cs="仿宋"/>
                <w:spacing w:val="-21"/>
                <w:sz w:val="18"/>
                <w:szCs w:val="18"/>
              </w:rPr>
              <w:t>施工</w:t>
            </w:r>
            <w:r>
              <w:rPr>
                <w:rFonts w:ascii="仿宋" w:hAnsi="仿宋" w:eastAsia="仿宋" w:cs="仿宋"/>
                <w:sz w:val="18"/>
                <w:szCs w:val="18"/>
              </w:rPr>
              <w:t>期</w:t>
            </w:r>
          </w:p>
        </w:tc>
        <w:tc>
          <w:tcPr>
            <w:tcW w:w="6127" w:type="dxa"/>
            <w:gridSpan w:val="4"/>
            <w:vAlign w:val="top"/>
          </w:tcPr>
          <w:p w14:paraId="50F525A9">
            <w:pPr>
              <w:spacing w:before="36" w:line="220" w:lineRule="auto"/>
              <w:rPr>
                <w:rFonts w:ascii="仿宋" w:hAnsi="仿宋" w:eastAsia="仿宋" w:cs="仿宋"/>
                <w:sz w:val="18"/>
                <w:szCs w:val="18"/>
              </w:rPr>
            </w:pPr>
            <w:r>
              <w:rPr>
                <w:rFonts w:ascii="仿宋" w:hAnsi="仿宋" w:eastAsia="仿宋" w:cs="仿宋"/>
                <w:spacing w:val="-1"/>
                <w:sz w:val="18"/>
                <w:szCs w:val="18"/>
              </w:rPr>
              <w:t>限制施工作业区范围，施工过程中剥离的表土，于永久占地范围内合适位置妥</w:t>
            </w:r>
          </w:p>
          <w:p w14:paraId="026F6787">
            <w:pPr>
              <w:spacing w:before="18" w:line="197" w:lineRule="auto"/>
              <w:ind w:left="792"/>
              <w:rPr>
                <w:rFonts w:ascii="仿宋" w:hAnsi="仿宋" w:eastAsia="仿宋" w:cs="仿宋"/>
                <w:sz w:val="18"/>
                <w:szCs w:val="18"/>
              </w:rPr>
            </w:pPr>
            <w:r>
              <w:rPr>
                <w:rFonts w:ascii="仿宋" w:hAnsi="仿宋" w:eastAsia="仿宋" w:cs="仿宋"/>
                <w:spacing w:val="-1"/>
                <w:sz w:val="18"/>
                <w:szCs w:val="18"/>
              </w:rPr>
              <w:t>善保存。施工结束后，直接利用于路肩边坡的植被恢复。</w:t>
            </w:r>
          </w:p>
        </w:tc>
        <w:tc>
          <w:tcPr>
            <w:tcW w:w="565" w:type="dxa"/>
            <w:tcBorders>
              <w:right w:val="single" w:color="000000" w:sz="6" w:space="0"/>
            </w:tcBorders>
            <w:vAlign w:val="top"/>
          </w:tcPr>
          <w:p w14:paraId="0F12C809">
            <w:pPr>
              <w:spacing w:before="151" w:line="222" w:lineRule="auto"/>
              <w:ind w:left="91"/>
              <w:rPr>
                <w:rFonts w:ascii="仿宋" w:hAnsi="仿宋" w:eastAsia="仿宋" w:cs="仿宋"/>
                <w:sz w:val="18"/>
                <w:szCs w:val="18"/>
              </w:rPr>
            </w:pPr>
            <w:r>
              <w:rPr>
                <w:rFonts w:ascii="仿宋" w:hAnsi="仿宋" w:eastAsia="仿宋" w:cs="仿宋"/>
                <w:spacing w:val="-6"/>
                <w:sz w:val="18"/>
                <w:szCs w:val="18"/>
              </w:rPr>
              <w:t>新建</w:t>
            </w:r>
          </w:p>
        </w:tc>
      </w:tr>
      <w:tr w14:paraId="2C42E7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737" w:type="dxa"/>
            <w:vMerge w:val="continue"/>
            <w:tcBorders>
              <w:top w:val="nil"/>
              <w:left w:val="single" w:color="000000" w:sz="6" w:space="0"/>
              <w:bottom w:val="nil"/>
            </w:tcBorders>
            <w:vAlign w:val="top"/>
          </w:tcPr>
          <w:p w14:paraId="00B5165C">
            <w:pPr>
              <w:rPr>
                <w:rFonts w:ascii="Arial"/>
                <w:sz w:val="21"/>
              </w:rPr>
            </w:pPr>
          </w:p>
        </w:tc>
        <w:tc>
          <w:tcPr>
            <w:tcW w:w="279" w:type="dxa"/>
            <w:vMerge w:val="continue"/>
            <w:tcBorders>
              <w:top w:val="nil"/>
            </w:tcBorders>
            <w:textDirection w:val="tbRlV"/>
            <w:vAlign w:val="top"/>
          </w:tcPr>
          <w:p w14:paraId="6C8361E2">
            <w:pPr>
              <w:rPr>
                <w:rFonts w:ascii="Arial"/>
                <w:sz w:val="21"/>
              </w:rPr>
            </w:pPr>
          </w:p>
        </w:tc>
        <w:tc>
          <w:tcPr>
            <w:tcW w:w="298" w:type="dxa"/>
            <w:vMerge w:val="continue"/>
            <w:tcBorders>
              <w:top w:val="nil"/>
            </w:tcBorders>
            <w:textDirection w:val="tbRlV"/>
            <w:vAlign w:val="top"/>
          </w:tcPr>
          <w:p w14:paraId="3A45CAE0">
            <w:pPr>
              <w:rPr>
                <w:rFonts w:ascii="Arial"/>
                <w:sz w:val="21"/>
              </w:rPr>
            </w:pPr>
          </w:p>
        </w:tc>
        <w:tc>
          <w:tcPr>
            <w:tcW w:w="371" w:type="dxa"/>
            <w:vAlign w:val="top"/>
          </w:tcPr>
          <w:p w14:paraId="76B74E58">
            <w:pPr>
              <w:spacing w:before="34" w:line="219" w:lineRule="auto"/>
              <w:ind w:left="81" w:right="46" w:hanging="82"/>
              <w:rPr>
                <w:rFonts w:ascii="仿宋" w:hAnsi="仿宋" w:eastAsia="仿宋" w:cs="仿宋"/>
                <w:sz w:val="18"/>
                <w:szCs w:val="18"/>
              </w:rPr>
            </w:pPr>
            <w:r>
              <w:rPr>
                <w:rFonts w:ascii="仿宋" w:hAnsi="仿宋" w:eastAsia="仿宋" w:cs="仿宋"/>
                <w:spacing w:val="-21"/>
                <w:sz w:val="18"/>
                <w:szCs w:val="18"/>
              </w:rPr>
              <w:t>运营</w:t>
            </w:r>
            <w:r>
              <w:rPr>
                <w:rFonts w:ascii="仿宋" w:hAnsi="仿宋" w:eastAsia="仿宋" w:cs="仿宋"/>
                <w:sz w:val="18"/>
                <w:szCs w:val="18"/>
              </w:rPr>
              <w:t>期</w:t>
            </w:r>
          </w:p>
        </w:tc>
        <w:tc>
          <w:tcPr>
            <w:tcW w:w="6127" w:type="dxa"/>
            <w:gridSpan w:val="4"/>
            <w:vAlign w:val="top"/>
          </w:tcPr>
          <w:p w14:paraId="2824747D">
            <w:pPr>
              <w:spacing w:before="35" w:line="219" w:lineRule="auto"/>
              <w:rPr>
                <w:rFonts w:ascii="仿宋" w:hAnsi="仿宋" w:eastAsia="仿宋" w:cs="仿宋"/>
                <w:sz w:val="18"/>
                <w:szCs w:val="18"/>
              </w:rPr>
            </w:pPr>
            <w:r>
              <w:rPr>
                <w:rFonts w:ascii="仿宋" w:hAnsi="仿宋" w:eastAsia="仿宋" w:cs="仿宋"/>
                <w:spacing w:val="-1"/>
                <w:sz w:val="18"/>
                <w:szCs w:val="18"/>
              </w:rPr>
              <w:t>运营期应设置路牌提醒，避免人为破坏植被或生物活动空间。若植被因车辆碰</w:t>
            </w:r>
          </w:p>
          <w:p w14:paraId="44D6E8E9">
            <w:pPr>
              <w:spacing w:before="18" w:line="199" w:lineRule="auto"/>
              <w:ind w:left="607"/>
              <w:rPr>
                <w:rFonts w:ascii="仿宋" w:hAnsi="仿宋" w:eastAsia="仿宋" w:cs="仿宋"/>
                <w:sz w:val="18"/>
                <w:szCs w:val="18"/>
              </w:rPr>
            </w:pPr>
            <w:r>
              <w:rPr>
                <w:rFonts w:ascii="仿宋" w:hAnsi="仿宋" w:eastAsia="仿宋" w:cs="仿宋"/>
                <w:spacing w:val="-1"/>
                <w:sz w:val="18"/>
                <w:szCs w:val="18"/>
              </w:rPr>
              <w:t>撞、人为踩踏受损，需及时补种本地物种，维持植被覆盖度。</w:t>
            </w:r>
          </w:p>
        </w:tc>
        <w:tc>
          <w:tcPr>
            <w:tcW w:w="565" w:type="dxa"/>
            <w:tcBorders>
              <w:right w:val="single" w:color="000000" w:sz="6" w:space="0"/>
            </w:tcBorders>
            <w:vAlign w:val="top"/>
          </w:tcPr>
          <w:p w14:paraId="7D65915B">
            <w:pPr>
              <w:spacing w:before="153" w:line="222" w:lineRule="auto"/>
              <w:ind w:left="91"/>
              <w:rPr>
                <w:rFonts w:ascii="仿宋" w:hAnsi="仿宋" w:eastAsia="仿宋" w:cs="仿宋"/>
                <w:sz w:val="18"/>
                <w:szCs w:val="18"/>
              </w:rPr>
            </w:pPr>
            <w:r>
              <w:rPr>
                <w:rFonts w:ascii="仿宋" w:hAnsi="仿宋" w:eastAsia="仿宋" w:cs="仿宋"/>
                <w:spacing w:val="-6"/>
                <w:sz w:val="18"/>
                <w:szCs w:val="18"/>
              </w:rPr>
              <w:t>新建</w:t>
            </w:r>
          </w:p>
        </w:tc>
      </w:tr>
      <w:tr w14:paraId="602B65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47" w:hRule="atLeast"/>
        </w:trPr>
        <w:tc>
          <w:tcPr>
            <w:tcW w:w="737" w:type="dxa"/>
            <w:vMerge w:val="continue"/>
            <w:tcBorders>
              <w:top w:val="nil"/>
              <w:left w:val="single" w:color="000000" w:sz="6" w:space="0"/>
              <w:bottom w:val="nil"/>
            </w:tcBorders>
            <w:vAlign w:val="top"/>
          </w:tcPr>
          <w:p w14:paraId="5403419C">
            <w:pPr>
              <w:rPr>
                <w:rFonts w:ascii="Arial"/>
                <w:sz w:val="21"/>
              </w:rPr>
            </w:pPr>
          </w:p>
        </w:tc>
        <w:tc>
          <w:tcPr>
            <w:tcW w:w="279" w:type="dxa"/>
            <w:tcBorders>
              <w:bottom w:val="single" w:color="000000" w:sz="10" w:space="0"/>
            </w:tcBorders>
            <w:textDirection w:val="tbRlV"/>
            <w:vAlign w:val="top"/>
          </w:tcPr>
          <w:p w14:paraId="368AF9A7">
            <w:pPr>
              <w:spacing w:before="51" w:line="202" w:lineRule="auto"/>
              <w:ind w:left="35"/>
              <w:rPr>
                <w:rFonts w:ascii="仿宋" w:hAnsi="仿宋" w:eastAsia="仿宋" w:cs="仿宋"/>
                <w:sz w:val="18"/>
                <w:szCs w:val="18"/>
              </w:rPr>
            </w:pPr>
            <w:r>
              <w:rPr>
                <w:rFonts w:ascii="仿宋" w:hAnsi="仿宋" w:eastAsia="仿宋" w:cs="仿宋"/>
                <w:spacing w:val="15"/>
                <w:w w:val="117"/>
                <w:sz w:val="18"/>
                <w:szCs w:val="18"/>
              </w:rPr>
              <w:t>运营期环境风险</w:t>
            </w:r>
          </w:p>
        </w:tc>
        <w:tc>
          <w:tcPr>
            <w:tcW w:w="669" w:type="dxa"/>
            <w:gridSpan w:val="2"/>
            <w:tcBorders>
              <w:bottom w:val="single" w:color="000000" w:sz="10" w:space="0"/>
            </w:tcBorders>
            <w:vAlign w:val="top"/>
          </w:tcPr>
          <w:p w14:paraId="2AEBA535">
            <w:pPr>
              <w:spacing w:line="440" w:lineRule="auto"/>
              <w:rPr>
                <w:rFonts w:ascii="Arial"/>
                <w:sz w:val="21"/>
              </w:rPr>
            </w:pPr>
          </w:p>
          <w:p w14:paraId="56396C9C">
            <w:pPr>
              <w:spacing w:before="58"/>
              <w:ind w:left="50" w:right="84" w:firstLine="1"/>
              <w:jc w:val="both"/>
              <w:rPr>
                <w:rFonts w:ascii="仿宋" w:hAnsi="仿宋" w:eastAsia="仿宋" w:cs="仿宋"/>
                <w:sz w:val="18"/>
                <w:szCs w:val="18"/>
              </w:rPr>
            </w:pPr>
            <w:r>
              <w:rPr>
                <w:rFonts w:ascii="仿宋" w:hAnsi="仿宋" w:eastAsia="仿宋" w:cs="仿宋"/>
                <w:spacing w:val="-5"/>
                <w:sz w:val="18"/>
                <w:szCs w:val="18"/>
              </w:rPr>
              <w:t>运输车</w:t>
            </w:r>
            <w:r>
              <w:rPr>
                <w:rFonts w:ascii="仿宋" w:hAnsi="仿宋" w:eastAsia="仿宋" w:cs="仿宋"/>
                <w:spacing w:val="-4"/>
                <w:sz w:val="18"/>
                <w:szCs w:val="18"/>
              </w:rPr>
              <w:t>辆事故</w:t>
            </w:r>
            <w:r>
              <w:rPr>
                <w:rFonts w:ascii="仿宋" w:hAnsi="仿宋" w:eastAsia="仿宋" w:cs="仿宋"/>
                <w:spacing w:val="39"/>
                <w:sz w:val="18"/>
                <w:szCs w:val="18"/>
              </w:rPr>
              <w:t>风险</w:t>
            </w:r>
          </w:p>
        </w:tc>
        <w:tc>
          <w:tcPr>
            <w:tcW w:w="6127" w:type="dxa"/>
            <w:gridSpan w:val="4"/>
            <w:tcBorders>
              <w:bottom w:val="single" w:color="000000" w:sz="10" w:space="0"/>
            </w:tcBorders>
            <w:vAlign w:val="top"/>
          </w:tcPr>
          <w:p w14:paraId="64B82569">
            <w:pPr>
              <w:spacing w:line="278" w:lineRule="auto"/>
              <w:rPr>
                <w:rFonts w:ascii="Arial"/>
                <w:sz w:val="21"/>
              </w:rPr>
            </w:pPr>
          </w:p>
          <w:p w14:paraId="072AE3B8">
            <w:pPr>
              <w:spacing w:line="279" w:lineRule="auto"/>
              <w:rPr>
                <w:rFonts w:ascii="Arial"/>
                <w:sz w:val="21"/>
              </w:rPr>
            </w:pPr>
          </w:p>
          <w:p w14:paraId="21A72853">
            <w:pPr>
              <w:pStyle w:val="6"/>
              <w:spacing w:before="59" w:line="219" w:lineRule="auto"/>
              <w:rPr>
                <w:rFonts w:ascii="仿宋" w:hAnsi="仿宋" w:eastAsia="仿宋" w:cs="仿宋"/>
              </w:rPr>
            </w:pPr>
            <w:r>
              <w:rPr>
                <w:rFonts w:ascii="仿宋" w:hAnsi="仿宋" w:eastAsia="仿宋" w:cs="仿宋"/>
                <w:spacing w:val="-1"/>
              </w:rPr>
              <w:t>设置</w:t>
            </w:r>
            <w:r>
              <w:rPr>
                <w:spacing w:val="-1"/>
              </w:rPr>
              <w:t>“</w:t>
            </w:r>
            <w:r>
              <w:rPr>
                <w:rFonts w:ascii="仿宋" w:hAnsi="仿宋" w:eastAsia="仿宋" w:cs="仿宋"/>
                <w:spacing w:val="-1"/>
              </w:rPr>
              <w:t>谨慎驾驶</w:t>
            </w:r>
            <w:r>
              <w:rPr>
                <w:spacing w:val="-1"/>
              </w:rPr>
              <w:t>”</w:t>
            </w:r>
            <w:r>
              <w:rPr>
                <w:rFonts w:ascii="仿宋" w:hAnsi="仿宋" w:eastAsia="仿宋" w:cs="仿宋"/>
                <w:spacing w:val="-1"/>
              </w:rPr>
              <w:t>警示牌和</w:t>
            </w:r>
            <w:r>
              <w:rPr>
                <w:spacing w:val="-1"/>
              </w:rPr>
              <w:t>“</w:t>
            </w:r>
            <w:r>
              <w:rPr>
                <w:spacing w:val="-24"/>
              </w:rPr>
              <w:t xml:space="preserve"> </w:t>
            </w:r>
            <w:r>
              <w:rPr>
                <w:rFonts w:ascii="仿宋" w:hAnsi="仿宋" w:eastAsia="仿宋" w:cs="仿宋"/>
                <w:spacing w:val="-1"/>
              </w:rPr>
              <w:t>车辆限速、限行</w:t>
            </w:r>
            <w:r>
              <w:rPr>
                <w:spacing w:val="-1"/>
              </w:rPr>
              <w:t>”</w:t>
            </w:r>
            <w:r>
              <w:rPr>
                <w:rFonts w:ascii="仿宋" w:hAnsi="仿宋" w:eastAsia="仿宋" w:cs="仿宋"/>
                <w:spacing w:val="-1"/>
              </w:rPr>
              <w:t>标识牌，提醒危险品车辆驾驶员注</w:t>
            </w:r>
          </w:p>
          <w:p w14:paraId="44608A45">
            <w:pPr>
              <w:spacing w:before="19" w:line="219" w:lineRule="auto"/>
              <w:ind w:left="2235"/>
              <w:rPr>
                <w:rFonts w:ascii="仿宋" w:hAnsi="仿宋" w:eastAsia="仿宋" w:cs="仿宋"/>
                <w:sz w:val="18"/>
                <w:szCs w:val="18"/>
              </w:rPr>
            </w:pPr>
            <w:r>
              <w:rPr>
                <w:rFonts w:ascii="仿宋" w:hAnsi="仿宋" w:eastAsia="仿宋" w:cs="仿宋"/>
                <w:spacing w:val="-3"/>
                <w:sz w:val="18"/>
                <w:szCs w:val="18"/>
              </w:rPr>
              <w:t>意安全、控制车速。</w:t>
            </w:r>
          </w:p>
        </w:tc>
        <w:tc>
          <w:tcPr>
            <w:tcW w:w="565" w:type="dxa"/>
            <w:tcBorders>
              <w:bottom w:val="single" w:color="000000" w:sz="10" w:space="0"/>
              <w:right w:val="single" w:color="000000" w:sz="6" w:space="0"/>
            </w:tcBorders>
            <w:vAlign w:val="top"/>
          </w:tcPr>
          <w:p w14:paraId="57BAEB68">
            <w:pPr>
              <w:spacing w:line="337" w:lineRule="auto"/>
              <w:rPr>
                <w:rFonts w:ascii="Arial"/>
                <w:sz w:val="21"/>
              </w:rPr>
            </w:pPr>
          </w:p>
          <w:p w14:paraId="121EA4BC">
            <w:pPr>
              <w:spacing w:line="337" w:lineRule="auto"/>
              <w:rPr>
                <w:rFonts w:ascii="Arial"/>
                <w:sz w:val="21"/>
              </w:rPr>
            </w:pPr>
          </w:p>
          <w:p w14:paraId="254D625D">
            <w:pPr>
              <w:spacing w:before="58" w:line="222" w:lineRule="auto"/>
              <w:ind w:left="91"/>
              <w:rPr>
                <w:rFonts w:ascii="仿宋" w:hAnsi="仿宋" w:eastAsia="仿宋" w:cs="仿宋"/>
                <w:sz w:val="18"/>
                <w:szCs w:val="18"/>
              </w:rPr>
            </w:pPr>
            <w:r>
              <w:rPr>
                <w:rFonts w:ascii="仿宋" w:hAnsi="仿宋" w:eastAsia="仿宋" w:cs="仿宋"/>
                <w:spacing w:val="-6"/>
                <w:sz w:val="18"/>
                <w:szCs w:val="18"/>
              </w:rPr>
              <w:t>新建</w:t>
            </w:r>
          </w:p>
        </w:tc>
      </w:tr>
      <w:tr w14:paraId="500FEF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29" w:hRule="atLeast"/>
        </w:trPr>
        <w:tc>
          <w:tcPr>
            <w:tcW w:w="737" w:type="dxa"/>
            <w:vMerge w:val="continue"/>
            <w:tcBorders>
              <w:top w:val="nil"/>
              <w:left w:val="single" w:color="000000" w:sz="6" w:space="0"/>
              <w:bottom w:val="nil"/>
            </w:tcBorders>
            <w:vAlign w:val="top"/>
          </w:tcPr>
          <w:p w14:paraId="50452380">
            <w:pPr>
              <w:rPr>
                <w:rFonts w:ascii="Arial"/>
                <w:sz w:val="21"/>
              </w:rPr>
            </w:pPr>
          </w:p>
        </w:tc>
        <w:tc>
          <w:tcPr>
            <w:tcW w:w="7640" w:type="dxa"/>
            <w:gridSpan w:val="8"/>
            <w:tcBorders>
              <w:top w:val="single" w:color="000000" w:sz="10" w:space="0"/>
              <w:bottom w:val="single" w:color="000000" w:sz="10" w:space="0"/>
              <w:right w:val="single" w:color="000000" w:sz="6" w:space="0"/>
            </w:tcBorders>
            <w:vAlign w:val="top"/>
          </w:tcPr>
          <w:p w14:paraId="1C85AEEB">
            <w:pPr>
              <w:pStyle w:val="6"/>
              <w:spacing w:before="33" w:line="229" w:lineRule="auto"/>
              <w:ind w:left="419"/>
              <w:rPr>
                <w:rFonts w:ascii="仿宋" w:hAnsi="仿宋" w:eastAsia="仿宋" w:cs="仿宋"/>
                <w:sz w:val="20"/>
                <w:szCs w:val="20"/>
              </w:rPr>
            </w:pPr>
            <w:r>
              <w:rPr>
                <w:b/>
                <w:bCs/>
                <w:spacing w:val="4"/>
                <w:sz w:val="20"/>
                <w:szCs w:val="20"/>
              </w:rPr>
              <w:t>3</w:t>
            </w:r>
            <w:r>
              <w:rPr>
                <w:b/>
                <w:bCs/>
                <w:spacing w:val="-12"/>
                <w:sz w:val="20"/>
                <w:szCs w:val="20"/>
              </w:rPr>
              <w:t xml:space="preserve"> </w:t>
            </w:r>
            <w:r>
              <w:rPr>
                <w:rFonts w:ascii="仿宋" w:hAnsi="仿宋" w:eastAsia="仿宋" w:cs="仿宋"/>
                <w:b/>
                <w:bCs/>
                <w:spacing w:val="4"/>
                <w:sz w:val="20"/>
                <w:szCs w:val="20"/>
              </w:rPr>
              <w:t>、主要施工机械设备</w:t>
            </w:r>
          </w:p>
          <w:p w14:paraId="1F3ADD56">
            <w:pPr>
              <w:pStyle w:val="6"/>
              <w:spacing w:before="159" w:line="229" w:lineRule="auto"/>
              <w:ind w:left="431"/>
              <w:rPr>
                <w:rFonts w:ascii="仿宋" w:hAnsi="仿宋" w:eastAsia="仿宋" w:cs="仿宋"/>
                <w:sz w:val="20"/>
                <w:szCs w:val="20"/>
              </w:rPr>
            </w:pPr>
            <w:r>
              <w:rPr>
                <w:rFonts w:ascii="仿宋" w:hAnsi="仿宋" w:eastAsia="仿宋" w:cs="仿宋"/>
                <w:spacing w:val="7"/>
                <w:sz w:val="20"/>
                <w:szCs w:val="20"/>
              </w:rPr>
              <w:t>本项目主要施工机械设备见表</w:t>
            </w:r>
            <w:r>
              <w:rPr>
                <w:rFonts w:ascii="仿宋" w:hAnsi="仿宋" w:eastAsia="仿宋" w:cs="仿宋"/>
                <w:spacing w:val="-43"/>
                <w:sz w:val="20"/>
                <w:szCs w:val="20"/>
              </w:rPr>
              <w:t xml:space="preserve"> </w:t>
            </w:r>
            <w:r>
              <w:rPr>
                <w:spacing w:val="7"/>
                <w:sz w:val="20"/>
                <w:szCs w:val="20"/>
              </w:rPr>
              <w:t>2-2</w:t>
            </w:r>
            <w:r>
              <w:rPr>
                <w:rFonts w:ascii="仿宋" w:hAnsi="仿宋" w:eastAsia="仿宋" w:cs="仿宋"/>
                <w:spacing w:val="7"/>
                <w:sz w:val="20"/>
                <w:szCs w:val="20"/>
              </w:rPr>
              <w:t>。</w:t>
            </w:r>
          </w:p>
          <w:p w14:paraId="4C83B1B3">
            <w:pPr>
              <w:pStyle w:val="6"/>
              <w:spacing w:before="159" w:line="229" w:lineRule="auto"/>
              <w:ind w:left="2239"/>
              <w:rPr>
                <w:rFonts w:ascii="仿宋" w:hAnsi="仿宋" w:eastAsia="仿宋" w:cs="仿宋"/>
                <w:sz w:val="20"/>
                <w:szCs w:val="20"/>
              </w:rPr>
            </w:pPr>
            <w:r>
              <w:rPr>
                <w:rFonts w:ascii="仿宋" w:hAnsi="仿宋" w:eastAsia="仿宋" w:cs="仿宋"/>
                <w:b/>
                <w:bCs/>
                <w:spacing w:val="5"/>
                <w:sz w:val="20"/>
                <w:szCs w:val="20"/>
              </w:rPr>
              <w:t>表</w:t>
            </w:r>
            <w:r>
              <w:rPr>
                <w:rFonts w:ascii="仿宋" w:hAnsi="仿宋" w:eastAsia="仿宋" w:cs="仿宋"/>
                <w:spacing w:val="-41"/>
                <w:sz w:val="20"/>
                <w:szCs w:val="20"/>
              </w:rPr>
              <w:t xml:space="preserve"> </w:t>
            </w:r>
            <w:r>
              <w:rPr>
                <w:b/>
                <w:bCs/>
                <w:spacing w:val="5"/>
                <w:sz w:val="20"/>
                <w:szCs w:val="20"/>
              </w:rPr>
              <w:t xml:space="preserve">2-2      </w:t>
            </w:r>
            <w:r>
              <w:rPr>
                <w:rFonts w:ascii="仿宋" w:hAnsi="仿宋" w:eastAsia="仿宋" w:cs="仿宋"/>
                <w:b/>
                <w:bCs/>
                <w:spacing w:val="5"/>
                <w:sz w:val="20"/>
                <w:szCs w:val="20"/>
              </w:rPr>
              <w:t>主要施工机械设备一览表</w:t>
            </w:r>
          </w:p>
        </w:tc>
      </w:tr>
      <w:tr w14:paraId="67A45F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 w:hRule="atLeast"/>
        </w:trPr>
        <w:tc>
          <w:tcPr>
            <w:tcW w:w="737" w:type="dxa"/>
            <w:vMerge w:val="continue"/>
            <w:tcBorders>
              <w:top w:val="nil"/>
              <w:left w:val="single" w:color="000000" w:sz="6" w:space="0"/>
              <w:bottom w:val="nil"/>
            </w:tcBorders>
            <w:vAlign w:val="top"/>
          </w:tcPr>
          <w:p w14:paraId="08797F26">
            <w:pPr>
              <w:rPr>
                <w:rFonts w:ascii="Arial"/>
                <w:sz w:val="21"/>
              </w:rPr>
            </w:pPr>
          </w:p>
        </w:tc>
        <w:tc>
          <w:tcPr>
            <w:tcW w:w="577" w:type="dxa"/>
            <w:gridSpan w:val="2"/>
            <w:tcBorders>
              <w:top w:val="single" w:color="000000" w:sz="10" w:space="0"/>
            </w:tcBorders>
            <w:vAlign w:val="top"/>
          </w:tcPr>
          <w:p w14:paraId="5F6F7197">
            <w:pPr>
              <w:spacing w:before="45" w:line="209" w:lineRule="auto"/>
              <w:ind w:left="133"/>
              <w:rPr>
                <w:rFonts w:ascii="仿宋" w:hAnsi="仿宋" w:eastAsia="仿宋" w:cs="仿宋"/>
                <w:sz w:val="18"/>
                <w:szCs w:val="18"/>
              </w:rPr>
            </w:pPr>
            <w:r>
              <w:rPr>
                <w:rFonts w:ascii="仿宋" w:hAnsi="仿宋" w:eastAsia="仿宋" w:cs="仿宋"/>
                <w:spacing w:val="-6"/>
                <w:sz w:val="18"/>
                <w:szCs w:val="18"/>
              </w:rPr>
              <w:t>序号</w:t>
            </w:r>
          </w:p>
        </w:tc>
        <w:tc>
          <w:tcPr>
            <w:tcW w:w="854" w:type="dxa"/>
            <w:gridSpan w:val="2"/>
            <w:tcBorders>
              <w:top w:val="single" w:color="000000" w:sz="10" w:space="0"/>
            </w:tcBorders>
            <w:vAlign w:val="top"/>
          </w:tcPr>
          <w:p w14:paraId="12E2D550">
            <w:pPr>
              <w:spacing w:before="45" w:line="209" w:lineRule="auto"/>
              <w:ind w:left="107"/>
              <w:rPr>
                <w:rFonts w:ascii="仿宋" w:hAnsi="仿宋" w:eastAsia="仿宋" w:cs="仿宋"/>
                <w:sz w:val="18"/>
                <w:szCs w:val="18"/>
              </w:rPr>
            </w:pPr>
            <w:r>
              <w:rPr>
                <w:rFonts w:ascii="仿宋" w:hAnsi="仿宋" w:eastAsia="仿宋" w:cs="仿宋"/>
                <w:spacing w:val="-5"/>
                <w:sz w:val="18"/>
                <w:szCs w:val="18"/>
              </w:rPr>
              <w:t>工程类别</w:t>
            </w:r>
          </w:p>
        </w:tc>
        <w:tc>
          <w:tcPr>
            <w:tcW w:w="1518" w:type="dxa"/>
            <w:tcBorders>
              <w:top w:val="single" w:color="000000" w:sz="10" w:space="0"/>
            </w:tcBorders>
            <w:vAlign w:val="top"/>
          </w:tcPr>
          <w:p w14:paraId="2C51D71D">
            <w:pPr>
              <w:spacing w:before="45" w:line="209" w:lineRule="auto"/>
              <w:ind w:left="436"/>
              <w:rPr>
                <w:rFonts w:ascii="仿宋" w:hAnsi="仿宋" w:eastAsia="仿宋" w:cs="仿宋"/>
                <w:sz w:val="18"/>
                <w:szCs w:val="18"/>
              </w:rPr>
            </w:pPr>
            <w:r>
              <w:rPr>
                <w:rFonts w:ascii="仿宋" w:hAnsi="仿宋" w:eastAsia="仿宋" w:cs="仿宋"/>
                <w:spacing w:val="-3"/>
                <w:sz w:val="18"/>
                <w:szCs w:val="18"/>
              </w:rPr>
              <w:t>设备名称</w:t>
            </w:r>
          </w:p>
        </w:tc>
        <w:tc>
          <w:tcPr>
            <w:tcW w:w="1198" w:type="dxa"/>
            <w:tcBorders>
              <w:top w:val="single" w:color="000000" w:sz="10" w:space="0"/>
            </w:tcBorders>
            <w:vAlign w:val="top"/>
          </w:tcPr>
          <w:p w14:paraId="72BE0747">
            <w:pPr>
              <w:pStyle w:val="6"/>
              <w:spacing w:before="45" w:line="209" w:lineRule="auto"/>
              <w:ind w:left="262"/>
              <w:rPr>
                <w:rFonts w:ascii="仿宋" w:hAnsi="仿宋" w:eastAsia="仿宋" w:cs="仿宋"/>
              </w:rPr>
            </w:pPr>
            <w:r>
              <w:rPr>
                <w:rFonts w:ascii="仿宋" w:hAnsi="仿宋" w:eastAsia="仿宋" w:cs="仿宋"/>
                <w:spacing w:val="-4"/>
              </w:rPr>
              <w:t>型号</w:t>
            </w:r>
            <w:r>
              <w:rPr>
                <w:spacing w:val="-4"/>
              </w:rPr>
              <w:t>/</w:t>
            </w:r>
            <w:r>
              <w:rPr>
                <w:rFonts w:ascii="仿宋" w:hAnsi="仿宋" w:eastAsia="仿宋" w:cs="仿宋"/>
                <w:spacing w:val="-4"/>
              </w:rPr>
              <w:t>规格</w:t>
            </w:r>
          </w:p>
        </w:tc>
        <w:tc>
          <w:tcPr>
            <w:tcW w:w="3493" w:type="dxa"/>
            <w:gridSpan w:val="2"/>
            <w:tcBorders>
              <w:top w:val="single" w:color="000000" w:sz="10" w:space="0"/>
              <w:right w:val="single" w:color="000000" w:sz="6" w:space="0"/>
            </w:tcBorders>
            <w:vAlign w:val="top"/>
          </w:tcPr>
          <w:p w14:paraId="6C92677E">
            <w:pPr>
              <w:spacing w:before="45" w:line="209" w:lineRule="auto"/>
              <w:ind w:left="1527"/>
              <w:rPr>
                <w:rFonts w:ascii="仿宋" w:hAnsi="仿宋" w:eastAsia="仿宋" w:cs="仿宋"/>
                <w:sz w:val="18"/>
                <w:szCs w:val="18"/>
              </w:rPr>
            </w:pPr>
            <w:r>
              <w:rPr>
                <w:rFonts w:ascii="仿宋" w:hAnsi="仿宋" w:eastAsia="仿宋" w:cs="仿宋"/>
                <w:spacing w:val="-5"/>
                <w:sz w:val="18"/>
                <w:szCs w:val="18"/>
              </w:rPr>
              <w:t>主要用途</w:t>
            </w:r>
          </w:p>
        </w:tc>
      </w:tr>
      <w:tr w14:paraId="5A2ABD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 w:hRule="atLeast"/>
        </w:trPr>
        <w:tc>
          <w:tcPr>
            <w:tcW w:w="737" w:type="dxa"/>
            <w:vMerge w:val="continue"/>
            <w:tcBorders>
              <w:top w:val="nil"/>
              <w:left w:val="single" w:color="000000" w:sz="6" w:space="0"/>
              <w:bottom w:val="nil"/>
            </w:tcBorders>
            <w:vAlign w:val="top"/>
          </w:tcPr>
          <w:p w14:paraId="32565A7E">
            <w:pPr>
              <w:rPr>
                <w:rFonts w:ascii="Arial"/>
                <w:sz w:val="21"/>
              </w:rPr>
            </w:pPr>
          </w:p>
        </w:tc>
        <w:tc>
          <w:tcPr>
            <w:tcW w:w="577" w:type="dxa"/>
            <w:gridSpan w:val="2"/>
            <w:vAlign w:val="top"/>
          </w:tcPr>
          <w:p w14:paraId="12B904D6">
            <w:pPr>
              <w:pStyle w:val="6"/>
              <w:spacing w:before="83" w:line="188" w:lineRule="auto"/>
              <w:ind w:left="276"/>
            </w:pPr>
            <w:r>
              <w:t>1</w:t>
            </w:r>
          </w:p>
        </w:tc>
        <w:tc>
          <w:tcPr>
            <w:tcW w:w="854" w:type="dxa"/>
            <w:gridSpan w:val="2"/>
            <w:vMerge w:val="restart"/>
            <w:tcBorders>
              <w:bottom w:val="nil"/>
            </w:tcBorders>
            <w:vAlign w:val="top"/>
          </w:tcPr>
          <w:p w14:paraId="64D30773">
            <w:pPr>
              <w:spacing w:line="268" w:lineRule="auto"/>
              <w:rPr>
                <w:rFonts w:ascii="Arial"/>
                <w:sz w:val="21"/>
              </w:rPr>
            </w:pPr>
          </w:p>
          <w:p w14:paraId="28655D95">
            <w:pPr>
              <w:spacing w:before="58" w:line="223" w:lineRule="auto"/>
              <w:ind w:left="102"/>
              <w:rPr>
                <w:rFonts w:ascii="仿宋" w:hAnsi="仿宋" w:eastAsia="仿宋" w:cs="仿宋"/>
                <w:sz w:val="18"/>
                <w:szCs w:val="18"/>
              </w:rPr>
            </w:pPr>
            <w:r>
              <w:rPr>
                <w:rFonts w:ascii="仿宋" w:hAnsi="仿宋" w:eastAsia="仿宋" w:cs="仿宋"/>
                <w:spacing w:val="-3"/>
                <w:sz w:val="18"/>
                <w:szCs w:val="18"/>
              </w:rPr>
              <w:t>路基工程</w:t>
            </w:r>
          </w:p>
        </w:tc>
        <w:tc>
          <w:tcPr>
            <w:tcW w:w="1518" w:type="dxa"/>
            <w:vAlign w:val="top"/>
          </w:tcPr>
          <w:p w14:paraId="2E786D1C">
            <w:pPr>
              <w:spacing w:before="55" w:line="208" w:lineRule="auto"/>
              <w:ind w:left="525"/>
              <w:rPr>
                <w:rFonts w:ascii="仿宋" w:hAnsi="仿宋" w:eastAsia="仿宋" w:cs="仿宋"/>
                <w:sz w:val="18"/>
                <w:szCs w:val="18"/>
              </w:rPr>
            </w:pPr>
            <w:r>
              <w:rPr>
                <w:rFonts w:ascii="仿宋" w:hAnsi="仿宋" w:eastAsia="仿宋" w:cs="仿宋"/>
                <w:spacing w:val="-4"/>
                <w:sz w:val="18"/>
                <w:szCs w:val="18"/>
              </w:rPr>
              <w:t>挖掘机</w:t>
            </w:r>
          </w:p>
        </w:tc>
        <w:tc>
          <w:tcPr>
            <w:tcW w:w="1198" w:type="dxa"/>
            <w:vAlign w:val="top"/>
          </w:tcPr>
          <w:p w14:paraId="62E73D11">
            <w:pPr>
              <w:pStyle w:val="6"/>
              <w:spacing w:before="159" w:line="86" w:lineRule="exact"/>
              <w:ind w:left="604"/>
            </w:pPr>
            <w:r>
              <w:rPr>
                <w:position w:val="-1"/>
              </w:rPr>
              <w:t>-</w:t>
            </w:r>
          </w:p>
        </w:tc>
        <w:tc>
          <w:tcPr>
            <w:tcW w:w="3493" w:type="dxa"/>
            <w:gridSpan w:val="2"/>
            <w:tcBorders>
              <w:right w:val="single" w:color="000000" w:sz="6" w:space="0"/>
            </w:tcBorders>
            <w:vAlign w:val="top"/>
          </w:tcPr>
          <w:p w14:paraId="55978756">
            <w:pPr>
              <w:spacing w:before="55" w:line="208" w:lineRule="auto"/>
              <w:ind w:left="1345"/>
              <w:rPr>
                <w:rFonts w:ascii="仿宋" w:hAnsi="仿宋" w:eastAsia="仿宋" w:cs="仿宋"/>
                <w:sz w:val="18"/>
                <w:szCs w:val="18"/>
              </w:rPr>
            </w:pPr>
            <w:r>
              <w:rPr>
                <w:rFonts w:ascii="仿宋" w:hAnsi="仿宋" w:eastAsia="仿宋" w:cs="仿宋"/>
                <w:spacing w:val="-3"/>
                <w:sz w:val="18"/>
                <w:szCs w:val="18"/>
              </w:rPr>
              <w:t>土方开挖作业</w:t>
            </w:r>
          </w:p>
        </w:tc>
      </w:tr>
      <w:tr w14:paraId="07911A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9" w:hRule="atLeast"/>
        </w:trPr>
        <w:tc>
          <w:tcPr>
            <w:tcW w:w="737" w:type="dxa"/>
            <w:vMerge w:val="continue"/>
            <w:tcBorders>
              <w:top w:val="nil"/>
              <w:left w:val="single" w:color="000000" w:sz="6" w:space="0"/>
              <w:bottom w:val="nil"/>
            </w:tcBorders>
            <w:vAlign w:val="top"/>
          </w:tcPr>
          <w:p w14:paraId="62D58636">
            <w:pPr>
              <w:rPr>
                <w:rFonts w:ascii="Arial"/>
                <w:sz w:val="21"/>
              </w:rPr>
            </w:pPr>
          </w:p>
        </w:tc>
        <w:tc>
          <w:tcPr>
            <w:tcW w:w="577" w:type="dxa"/>
            <w:gridSpan w:val="2"/>
            <w:vAlign w:val="top"/>
          </w:tcPr>
          <w:p w14:paraId="5E5F024C">
            <w:pPr>
              <w:pStyle w:val="6"/>
              <w:spacing w:before="86" w:line="188" w:lineRule="auto"/>
              <w:ind w:left="259"/>
            </w:pPr>
            <w:r>
              <w:t>2</w:t>
            </w:r>
          </w:p>
        </w:tc>
        <w:tc>
          <w:tcPr>
            <w:tcW w:w="854" w:type="dxa"/>
            <w:gridSpan w:val="2"/>
            <w:vMerge w:val="continue"/>
            <w:tcBorders>
              <w:top w:val="nil"/>
              <w:bottom w:val="nil"/>
            </w:tcBorders>
            <w:vAlign w:val="top"/>
          </w:tcPr>
          <w:p w14:paraId="76430219">
            <w:pPr>
              <w:rPr>
                <w:rFonts w:ascii="Arial"/>
                <w:sz w:val="21"/>
              </w:rPr>
            </w:pPr>
          </w:p>
        </w:tc>
        <w:tc>
          <w:tcPr>
            <w:tcW w:w="1518" w:type="dxa"/>
            <w:vAlign w:val="top"/>
          </w:tcPr>
          <w:p w14:paraId="10C46065">
            <w:pPr>
              <w:spacing w:before="55" w:line="209" w:lineRule="auto"/>
              <w:ind w:left="527"/>
              <w:rPr>
                <w:rFonts w:ascii="仿宋" w:hAnsi="仿宋" w:eastAsia="仿宋" w:cs="仿宋"/>
                <w:sz w:val="18"/>
                <w:szCs w:val="18"/>
              </w:rPr>
            </w:pPr>
            <w:r>
              <w:rPr>
                <w:rFonts w:ascii="仿宋" w:hAnsi="仿宋" w:eastAsia="仿宋" w:cs="仿宋"/>
                <w:spacing w:val="-5"/>
                <w:sz w:val="18"/>
                <w:szCs w:val="18"/>
              </w:rPr>
              <w:t>推土机</w:t>
            </w:r>
          </w:p>
        </w:tc>
        <w:tc>
          <w:tcPr>
            <w:tcW w:w="1198" w:type="dxa"/>
            <w:vAlign w:val="top"/>
          </w:tcPr>
          <w:p w14:paraId="4EB68B1C">
            <w:pPr>
              <w:pStyle w:val="6"/>
              <w:spacing w:before="162" w:line="86" w:lineRule="exact"/>
              <w:ind w:left="604"/>
            </w:pPr>
            <w:r>
              <w:rPr>
                <w:position w:val="-1"/>
              </w:rPr>
              <w:t>-</w:t>
            </w:r>
          </w:p>
        </w:tc>
        <w:tc>
          <w:tcPr>
            <w:tcW w:w="3493" w:type="dxa"/>
            <w:gridSpan w:val="2"/>
            <w:tcBorders>
              <w:right w:val="single" w:color="000000" w:sz="6" w:space="0"/>
            </w:tcBorders>
            <w:vAlign w:val="top"/>
          </w:tcPr>
          <w:p w14:paraId="2ECD13B3">
            <w:pPr>
              <w:spacing w:before="55" w:line="209" w:lineRule="auto"/>
              <w:ind w:left="1076"/>
              <w:rPr>
                <w:rFonts w:ascii="仿宋" w:hAnsi="仿宋" w:eastAsia="仿宋" w:cs="仿宋"/>
                <w:sz w:val="18"/>
                <w:szCs w:val="18"/>
              </w:rPr>
            </w:pPr>
            <w:r>
              <w:rPr>
                <w:rFonts w:ascii="仿宋" w:hAnsi="仿宋" w:eastAsia="仿宋" w:cs="仿宋"/>
                <w:spacing w:val="-2"/>
                <w:sz w:val="18"/>
                <w:szCs w:val="18"/>
              </w:rPr>
              <w:t>土方回填、转运作业</w:t>
            </w:r>
          </w:p>
        </w:tc>
      </w:tr>
      <w:tr w14:paraId="02E8D4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 w:hRule="atLeast"/>
        </w:trPr>
        <w:tc>
          <w:tcPr>
            <w:tcW w:w="737" w:type="dxa"/>
            <w:vMerge w:val="continue"/>
            <w:tcBorders>
              <w:top w:val="nil"/>
              <w:left w:val="single" w:color="000000" w:sz="6" w:space="0"/>
              <w:bottom w:val="nil"/>
            </w:tcBorders>
            <w:vAlign w:val="top"/>
          </w:tcPr>
          <w:p w14:paraId="588CAA57">
            <w:pPr>
              <w:rPr>
                <w:rFonts w:ascii="Arial"/>
                <w:sz w:val="21"/>
              </w:rPr>
            </w:pPr>
          </w:p>
        </w:tc>
        <w:tc>
          <w:tcPr>
            <w:tcW w:w="577" w:type="dxa"/>
            <w:gridSpan w:val="2"/>
            <w:vAlign w:val="top"/>
          </w:tcPr>
          <w:p w14:paraId="6B37DC7E">
            <w:pPr>
              <w:pStyle w:val="6"/>
              <w:spacing w:before="83" w:line="188" w:lineRule="auto"/>
              <w:ind w:left="262"/>
            </w:pPr>
            <w:r>
              <w:t>3</w:t>
            </w:r>
          </w:p>
        </w:tc>
        <w:tc>
          <w:tcPr>
            <w:tcW w:w="854" w:type="dxa"/>
            <w:gridSpan w:val="2"/>
            <w:vMerge w:val="continue"/>
            <w:tcBorders>
              <w:top w:val="nil"/>
            </w:tcBorders>
            <w:vAlign w:val="top"/>
          </w:tcPr>
          <w:p w14:paraId="19533161">
            <w:pPr>
              <w:rPr>
                <w:rFonts w:ascii="Arial"/>
                <w:sz w:val="21"/>
              </w:rPr>
            </w:pPr>
          </w:p>
        </w:tc>
        <w:tc>
          <w:tcPr>
            <w:tcW w:w="1518" w:type="dxa"/>
            <w:vAlign w:val="top"/>
          </w:tcPr>
          <w:p w14:paraId="3BACFD90">
            <w:pPr>
              <w:spacing w:before="55" w:line="208" w:lineRule="auto"/>
              <w:ind w:left="526"/>
              <w:rPr>
                <w:rFonts w:ascii="仿宋" w:hAnsi="仿宋" w:eastAsia="仿宋" w:cs="仿宋"/>
                <w:sz w:val="18"/>
                <w:szCs w:val="18"/>
              </w:rPr>
            </w:pPr>
            <w:r>
              <w:rPr>
                <w:rFonts w:ascii="仿宋" w:hAnsi="仿宋" w:eastAsia="仿宋" w:cs="仿宋"/>
                <w:spacing w:val="-4"/>
                <w:sz w:val="18"/>
                <w:szCs w:val="18"/>
              </w:rPr>
              <w:t>压路机</w:t>
            </w:r>
          </w:p>
        </w:tc>
        <w:tc>
          <w:tcPr>
            <w:tcW w:w="1198" w:type="dxa"/>
            <w:vAlign w:val="top"/>
          </w:tcPr>
          <w:p w14:paraId="1032A1E5">
            <w:pPr>
              <w:pStyle w:val="6"/>
              <w:spacing w:before="159" w:line="87" w:lineRule="exact"/>
              <w:ind w:left="604"/>
            </w:pPr>
            <w:r>
              <w:rPr>
                <w:position w:val="-1"/>
              </w:rPr>
              <w:t>-</w:t>
            </w:r>
          </w:p>
        </w:tc>
        <w:tc>
          <w:tcPr>
            <w:tcW w:w="3493" w:type="dxa"/>
            <w:gridSpan w:val="2"/>
            <w:tcBorders>
              <w:right w:val="single" w:color="000000" w:sz="6" w:space="0"/>
            </w:tcBorders>
            <w:vAlign w:val="top"/>
          </w:tcPr>
          <w:p w14:paraId="3507023D">
            <w:pPr>
              <w:spacing w:before="55" w:line="208" w:lineRule="auto"/>
              <w:ind w:left="1345"/>
              <w:rPr>
                <w:rFonts w:ascii="仿宋" w:hAnsi="仿宋" w:eastAsia="仿宋" w:cs="仿宋"/>
                <w:sz w:val="18"/>
                <w:szCs w:val="18"/>
              </w:rPr>
            </w:pPr>
            <w:r>
              <w:rPr>
                <w:rFonts w:ascii="仿宋" w:hAnsi="仿宋" w:eastAsia="仿宋" w:cs="仿宋"/>
                <w:spacing w:val="-3"/>
                <w:sz w:val="18"/>
                <w:szCs w:val="18"/>
              </w:rPr>
              <w:t>土方压实作业</w:t>
            </w:r>
          </w:p>
        </w:tc>
      </w:tr>
      <w:tr w14:paraId="1D512C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 w:hRule="atLeast"/>
        </w:trPr>
        <w:tc>
          <w:tcPr>
            <w:tcW w:w="737" w:type="dxa"/>
            <w:vMerge w:val="continue"/>
            <w:tcBorders>
              <w:top w:val="nil"/>
              <w:left w:val="single" w:color="000000" w:sz="6" w:space="0"/>
              <w:bottom w:val="nil"/>
            </w:tcBorders>
            <w:vAlign w:val="top"/>
          </w:tcPr>
          <w:p w14:paraId="25FD73C9">
            <w:pPr>
              <w:rPr>
                <w:rFonts w:ascii="Arial"/>
                <w:sz w:val="21"/>
              </w:rPr>
            </w:pPr>
          </w:p>
        </w:tc>
        <w:tc>
          <w:tcPr>
            <w:tcW w:w="577" w:type="dxa"/>
            <w:gridSpan w:val="2"/>
            <w:vAlign w:val="top"/>
          </w:tcPr>
          <w:p w14:paraId="699D6DF6">
            <w:pPr>
              <w:pStyle w:val="6"/>
              <w:spacing w:before="84" w:line="188" w:lineRule="auto"/>
              <w:ind w:left="258"/>
            </w:pPr>
            <w:r>
              <w:t>4</w:t>
            </w:r>
          </w:p>
        </w:tc>
        <w:tc>
          <w:tcPr>
            <w:tcW w:w="854" w:type="dxa"/>
            <w:gridSpan w:val="2"/>
            <w:vMerge w:val="restart"/>
            <w:tcBorders>
              <w:bottom w:val="nil"/>
            </w:tcBorders>
            <w:vAlign w:val="top"/>
          </w:tcPr>
          <w:p w14:paraId="2FF80207">
            <w:pPr>
              <w:spacing w:line="295" w:lineRule="auto"/>
              <w:rPr>
                <w:rFonts w:ascii="Arial"/>
                <w:sz w:val="21"/>
              </w:rPr>
            </w:pPr>
          </w:p>
          <w:p w14:paraId="4FE660B9">
            <w:pPr>
              <w:spacing w:line="295" w:lineRule="auto"/>
              <w:rPr>
                <w:rFonts w:ascii="Arial"/>
                <w:sz w:val="21"/>
              </w:rPr>
            </w:pPr>
          </w:p>
          <w:p w14:paraId="528A6FA3">
            <w:pPr>
              <w:spacing w:line="295" w:lineRule="auto"/>
              <w:rPr>
                <w:rFonts w:ascii="Arial"/>
                <w:sz w:val="21"/>
              </w:rPr>
            </w:pPr>
          </w:p>
          <w:p w14:paraId="00309F31">
            <w:pPr>
              <w:spacing w:line="295" w:lineRule="auto"/>
              <w:rPr>
                <w:rFonts w:ascii="Arial"/>
                <w:sz w:val="21"/>
              </w:rPr>
            </w:pPr>
          </w:p>
          <w:p w14:paraId="1559A21F">
            <w:pPr>
              <w:spacing w:before="58" w:line="223" w:lineRule="auto"/>
              <w:ind w:left="102"/>
              <w:rPr>
                <w:rFonts w:ascii="仿宋" w:hAnsi="仿宋" w:eastAsia="仿宋" w:cs="仿宋"/>
                <w:sz w:val="18"/>
                <w:szCs w:val="18"/>
              </w:rPr>
            </w:pPr>
            <w:r>
              <w:rPr>
                <w:rFonts w:ascii="仿宋" w:hAnsi="仿宋" w:eastAsia="仿宋" w:cs="仿宋"/>
                <w:spacing w:val="-3"/>
                <w:sz w:val="18"/>
                <w:szCs w:val="18"/>
              </w:rPr>
              <w:t>路面工程</w:t>
            </w:r>
          </w:p>
        </w:tc>
        <w:tc>
          <w:tcPr>
            <w:tcW w:w="1518" w:type="dxa"/>
            <w:vAlign w:val="top"/>
          </w:tcPr>
          <w:p w14:paraId="22E9887A">
            <w:pPr>
              <w:spacing w:before="55" w:line="208" w:lineRule="auto"/>
              <w:ind w:right="7"/>
              <w:jc w:val="right"/>
              <w:rPr>
                <w:rFonts w:ascii="仿宋" w:hAnsi="仿宋" w:eastAsia="仿宋" w:cs="仿宋"/>
                <w:sz w:val="18"/>
                <w:szCs w:val="18"/>
              </w:rPr>
            </w:pPr>
            <w:r>
              <w:rPr>
                <w:rFonts w:ascii="仿宋" w:hAnsi="仿宋" w:eastAsia="仿宋" w:cs="仿宋"/>
                <w:spacing w:val="-2"/>
                <w:sz w:val="18"/>
                <w:szCs w:val="18"/>
              </w:rPr>
              <w:t>混凝土搅拌运输车</w:t>
            </w:r>
          </w:p>
        </w:tc>
        <w:tc>
          <w:tcPr>
            <w:tcW w:w="1198" w:type="dxa"/>
            <w:vAlign w:val="top"/>
          </w:tcPr>
          <w:p w14:paraId="2D56B0BD">
            <w:pPr>
              <w:pStyle w:val="6"/>
              <w:spacing w:before="160" w:line="86" w:lineRule="exact"/>
              <w:ind w:left="604"/>
            </w:pPr>
            <w:r>
              <w:rPr>
                <w:position w:val="-1"/>
              </w:rPr>
              <w:t>-</w:t>
            </w:r>
          </w:p>
        </w:tc>
        <w:tc>
          <w:tcPr>
            <w:tcW w:w="3493" w:type="dxa"/>
            <w:gridSpan w:val="2"/>
            <w:tcBorders>
              <w:right w:val="single" w:color="000000" w:sz="6" w:space="0"/>
            </w:tcBorders>
            <w:vAlign w:val="top"/>
          </w:tcPr>
          <w:p w14:paraId="7407ADB5">
            <w:pPr>
              <w:spacing w:before="55" w:line="208" w:lineRule="auto"/>
              <w:ind w:left="1076"/>
              <w:rPr>
                <w:rFonts w:ascii="仿宋" w:hAnsi="仿宋" w:eastAsia="仿宋" w:cs="仿宋"/>
                <w:sz w:val="18"/>
                <w:szCs w:val="18"/>
              </w:rPr>
            </w:pPr>
            <w:r>
              <w:rPr>
                <w:rFonts w:ascii="仿宋" w:hAnsi="仿宋" w:eastAsia="仿宋" w:cs="仿宋"/>
                <w:spacing w:val="-2"/>
                <w:sz w:val="18"/>
                <w:szCs w:val="18"/>
              </w:rPr>
              <w:t>混凝土长途运输作业</w:t>
            </w:r>
          </w:p>
        </w:tc>
      </w:tr>
      <w:tr w14:paraId="34B30F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1" w:hRule="atLeast"/>
        </w:trPr>
        <w:tc>
          <w:tcPr>
            <w:tcW w:w="737" w:type="dxa"/>
            <w:vMerge w:val="continue"/>
            <w:tcBorders>
              <w:top w:val="nil"/>
              <w:left w:val="single" w:color="000000" w:sz="6" w:space="0"/>
              <w:bottom w:val="nil"/>
            </w:tcBorders>
            <w:vAlign w:val="top"/>
          </w:tcPr>
          <w:p w14:paraId="66C346C2">
            <w:pPr>
              <w:rPr>
                <w:rFonts w:ascii="Arial"/>
                <w:sz w:val="21"/>
              </w:rPr>
            </w:pPr>
          </w:p>
        </w:tc>
        <w:tc>
          <w:tcPr>
            <w:tcW w:w="577" w:type="dxa"/>
            <w:gridSpan w:val="2"/>
            <w:vAlign w:val="top"/>
          </w:tcPr>
          <w:p w14:paraId="687C96BA">
            <w:pPr>
              <w:pStyle w:val="6"/>
              <w:spacing w:before="205" w:line="185" w:lineRule="auto"/>
              <w:ind w:left="264"/>
            </w:pPr>
            <w:r>
              <w:t>5</w:t>
            </w:r>
          </w:p>
        </w:tc>
        <w:tc>
          <w:tcPr>
            <w:tcW w:w="854" w:type="dxa"/>
            <w:gridSpan w:val="2"/>
            <w:vMerge w:val="continue"/>
            <w:tcBorders>
              <w:top w:val="nil"/>
              <w:bottom w:val="nil"/>
            </w:tcBorders>
            <w:vAlign w:val="top"/>
          </w:tcPr>
          <w:p w14:paraId="7BEEE3E4">
            <w:pPr>
              <w:rPr>
                <w:rFonts w:ascii="Arial"/>
                <w:sz w:val="21"/>
              </w:rPr>
            </w:pPr>
          </w:p>
        </w:tc>
        <w:tc>
          <w:tcPr>
            <w:tcW w:w="1518" w:type="dxa"/>
            <w:vAlign w:val="top"/>
          </w:tcPr>
          <w:p w14:paraId="57844082">
            <w:pPr>
              <w:spacing w:before="171" w:line="219" w:lineRule="auto"/>
              <w:ind w:left="559"/>
              <w:rPr>
                <w:rFonts w:ascii="仿宋" w:hAnsi="仿宋" w:eastAsia="仿宋" w:cs="仿宋"/>
                <w:sz w:val="18"/>
                <w:szCs w:val="18"/>
              </w:rPr>
            </w:pPr>
            <w:r>
              <w:rPr>
                <w:rFonts w:ascii="仿宋" w:hAnsi="仿宋" w:eastAsia="仿宋" w:cs="仿宋"/>
                <w:spacing w:val="-16"/>
                <w:sz w:val="18"/>
                <w:szCs w:val="18"/>
              </w:rPr>
              <w:t>自卸车</w:t>
            </w:r>
          </w:p>
        </w:tc>
        <w:tc>
          <w:tcPr>
            <w:tcW w:w="1198" w:type="dxa"/>
            <w:vAlign w:val="top"/>
          </w:tcPr>
          <w:p w14:paraId="4CA725E5">
            <w:pPr>
              <w:spacing w:before="56" w:line="223" w:lineRule="auto"/>
              <w:ind w:left="367" w:right="24" w:hanging="267"/>
              <w:rPr>
                <w:rFonts w:ascii="仿宋" w:hAnsi="仿宋" w:eastAsia="仿宋" w:cs="仿宋"/>
                <w:sz w:val="18"/>
                <w:szCs w:val="18"/>
              </w:rPr>
            </w:pPr>
            <w:r>
              <w:rPr>
                <w:rFonts w:ascii="仿宋" w:hAnsi="仿宋" w:eastAsia="仿宋" w:cs="仿宋"/>
                <w:spacing w:val="-3"/>
                <w:sz w:val="18"/>
                <w:szCs w:val="18"/>
              </w:rPr>
              <w:t>搭配简易防离</w:t>
            </w:r>
            <w:r>
              <w:rPr>
                <w:rFonts w:ascii="仿宋" w:hAnsi="仿宋" w:eastAsia="仿宋" w:cs="仿宋"/>
                <w:spacing w:val="-4"/>
                <w:sz w:val="18"/>
                <w:szCs w:val="18"/>
              </w:rPr>
              <w:t>析装置</w:t>
            </w:r>
          </w:p>
        </w:tc>
        <w:tc>
          <w:tcPr>
            <w:tcW w:w="3493" w:type="dxa"/>
            <w:gridSpan w:val="2"/>
            <w:tcBorders>
              <w:right w:val="single" w:color="000000" w:sz="6" w:space="0"/>
            </w:tcBorders>
            <w:vAlign w:val="top"/>
          </w:tcPr>
          <w:p w14:paraId="787AFCFB">
            <w:pPr>
              <w:spacing w:before="171" w:line="220" w:lineRule="auto"/>
              <w:ind w:left="1076"/>
              <w:rPr>
                <w:rFonts w:ascii="仿宋" w:hAnsi="仿宋" w:eastAsia="仿宋" w:cs="仿宋"/>
                <w:sz w:val="18"/>
                <w:szCs w:val="18"/>
              </w:rPr>
            </w:pPr>
            <w:r>
              <w:rPr>
                <w:rFonts w:ascii="仿宋" w:hAnsi="仿宋" w:eastAsia="仿宋" w:cs="仿宋"/>
                <w:spacing w:val="-2"/>
                <w:sz w:val="18"/>
                <w:szCs w:val="18"/>
              </w:rPr>
              <w:t>混凝土短途运输作业</w:t>
            </w:r>
          </w:p>
        </w:tc>
      </w:tr>
      <w:tr w14:paraId="5E679B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1" w:hRule="atLeast"/>
        </w:trPr>
        <w:tc>
          <w:tcPr>
            <w:tcW w:w="737" w:type="dxa"/>
            <w:vMerge w:val="continue"/>
            <w:tcBorders>
              <w:top w:val="nil"/>
              <w:left w:val="single" w:color="000000" w:sz="6" w:space="0"/>
              <w:bottom w:val="nil"/>
            </w:tcBorders>
            <w:vAlign w:val="top"/>
          </w:tcPr>
          <w:p w14:paraId="2DD197AB">
            <w:pPr>
              <w:rPr>
                <w:rFonts w:ascii="Arial"/>
                <w:sz w:val="21"/>
              </w:rPr>
            </w:pPr>
          </w:p>
        </w:tc>
        <w:tc>
          <w:tcPr>
            <w:tcW w:w="577" w:type="dxa"/>
            <w:gridSpan w:val="2"/>
            <w:vAlign w:val="top"/>
          </w:tcPr>
          <w:p w14:paraId="426E14A8">
            <w:pPr>
              <w:pStyle w:val="6"/>
              <w:spacing w:before="203" w:line="188" w:lineRule="auto"/>
              <w:ind w:left="263"/>
            </w:pPr>
            <w:r>
              <w:t>6</w:t>
            </w:r>
          </w:p>
        </w:tc>
        <w:tc>
          <w:tcPr>
            <w:tcW w:w="854" w:type="dxa"/>
            <w:gridSpan w:val="2"/>
            <w:vMerge w:val="continue"/>
            <w:tcBorders>
              <w:top w:val="nil"/>
              <w:bottom w:val="nil"/>
            </w:tcBorders>
            <w:vAlign w:val="top"/>
          </w:tcPr>
          <w:p w14:paraId="7565BA6E">
            <w:pPr>
              <w:rPr>
                <w:rFonts w:ascii="Arial"/>
                <w:sz w:val="21"/>
              </w:rPr>
            </w:pPr>
          </w:p>
        </w:tc>
        <w:tc>
          <w:tcPr>
            <w:tcW w:w="1518" w:type="dxa"/>
            <w:vAlign w:val="top"/>
          </w:tcPr>
          <w:p w14:paraId="7C04EB2D">
            <w:pPr>
              <w:spacing w:before="171" w:line="220" w:lineRule="auto"/>
              <w:ind w:left="262"/>
              <w:rPr>
                <w:rFonts w:ascii="仿宋" w:hAnsi="仿宋" w:eastAsia="仿宋" w:cs="仿宋"/>
                <w:sz w:val="18"/>
                <w:szCs w:val="18"/>
              </w:rPr>
            </w:pPr>
            <w:r>
              <w:rPr>
                <w:rFonts w:ascii="仿宋" w:hAnsi="仿宋" w:eastAsia="仿宋" w:cs="仿宋"/>
                <w:spacing w:val="-3"/>
                <w:sz w:val="18"/>
                <w:szCs w:val="18"/>
              </w:rPr>
              <w:t>三辊轴摊铺机</w:t>
            </w:r>
          </w:p>
        </w:tc>
        <w:tc>
          <w:tcPr>
            <w:tcW w:w="1198" w:type="dxa"/>
            <w:vAlign w:val="top"/>
          </w:tcPr>
          <w:p w14:paraId="5377AB05">
            <w:pPr>
              <w:rPr>
                <w:rFonts w:ascii="Arial"/>
                <w:sz w:val="21"/>
              </w:rPr>
            </w:pPr>
          </w:p>
        </w:tc>
        <w:tc>
          <w:tcPr>
            <w:tcW w:w="3493" w:type="dxa"/>
            <w:gridSpan w:val="2"/>
            <w:tcBorders>
              <w:right w:val="single" w:color="000000" w:sz="6" w:space="0"/>
            </w:tcBorders>
            <w:vAlign w:val="top"/>
          </w:tcPr>
          <w:p w14:paraId="36A5D000">
            <w:pPr>
              <w:spacing w:before="56" w:line="220" w:lineRule="auto"/>
              <w:ind w:left="443"/>
              <w:rPr>
                <w:rFonts w:ascii="仿宋" w:hAnsi="仿宋" w:eastAsia="仿宋" w:cs="仿宋"/>
                <w:sz w:val="18"/>
                <w:szCs w:val="18"/>
              </w:rPr>
            </w:pPr>
            <w:r>
              <w:rPr>
                <w:rFonts w:ascii="仿宋" w:hAnsi="仿宋" w:eastAsia="仿宋" w:cs="仿宋"/>
                <w:spacing w:val="-1"/>
                <w:sz w:val="18"/>
                <w:szCs w:val="18"/>
              </w:rPr>
              <w:t>农村公路窄幅路面摊铺，操作灵活，</w:t>
            </w:r>
          </w:p>
          <w:p w14:paraId="47ED3F89">
            <w:pPr>
              <w:spacing w:before="17" w:line="207" w:lineRule="auto"/>
              <w:ind w:left="1254"/>
              <w:rPr>
                <w:rFonts w:ascii="仿宋" w:hAnsi="仿宋" w:eastAsia="仿宋" w:cs="仿宋"/>
                <w:sz w:val="18"/>
                <w:szCs w:val="18"/>
              </w:rPr>
            </w:pPr>
            <w:r>
              <w:rPr>
                <w:rFonts w:ascii="仿宋" w:hAnsi="仿宋" w:eastAsia="仿宋" w:cs="仿宋"/>
                <w:spacing w:val="-2"/>
                <w:sz w:val="18"/>
                <w:szCs w:val="18"/>
              </w:rPr>
              <w:t>摊铺宽度可调整</w:t>
            </w:r>
          </w:p>
        </w:tc>
      </w:tr>
      <w:tr w14:paraId="2F7808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9" w:hRule="atLeast"/>
        </w:trPr>
        <w:tc>
          <w:tcPr>
            <w:tcW w:w="737" w:type="dxa"/>
            <w:vMerge w:val="continue"/>
            <w:tcBorders>
              <w:top w:val="nil"/>
              <w:left w:val="single" w:color="000000" w:sz="6" w:space="0"/>
              <w:bottom w:val="nil"/>
            </w:tcBorders>
            <w:vAlign w:val="top"/>
          </w:tcPr>
          <w:p w14:paraId="10EAA002">
            <w:pPr>
              <w:rPr>
                <w:rFonts w:ascii="Arial"/>
                <w:sz w:val="21"/>
              </w:rPr>
            </w:pPr>
          </w:p>
        </w:tc>
        <w:tc>
          <w:tcPr>
            <w:tcW w:w="577" w:type="dxa"/>
            <w:gridSpan w:val="2"/>
            <w:vAlign w:val="top"/>
          </w:tcPr>
          <w:p w14:paraId="713F305E">
            <w:pPr>
              <w:pStyle w:val="6"/>
              <w:spacing w:before="90" w:line="185" w:lineRule="auto"/>
              <w:ind w:left="262"/>
            </w:pPr>
            <w:r>
              <w:t>7</w:t>
            </w:r>
          </w:p>
        </w:tc>
        <w:tc>
          <w:tcPr>
            <w:tcW w:w="854" w:type="dxa"/>
            <w:gridSpan w:val="2"/>
            <w:vMerge w:val="continue"/>
            <w:tcBorders>
              <w:top w:val="nil"/>
              <w:bottom w:val="nil"/>
            </w:tcBorders>
            <w:vAlign w:val="top"/>
          </w:tcPr>
          <w:p w14:paraId="6283EF48">
            <w:pPr>
              <w:rPr>
                <w:rFonts w:ascii="Arial"/>
                <w:sz w:val="21"/>
              </w:rPr>
            </w:pPr>
          </w:p>
        </w:tc>
        <w:tc>
          <w:tcPr>
            <w:tcW w:w="1518" w:type="dxa"/>
            <w:vAlign w:val="top"/>
          </w:tcPr>
          <w:p w14:paraId="7AAB53D6">
            <w:pPr>
              <w:spacing w:before="57" w:line="207" w:lineRule="auto"/>
              <w:ind w:left="256"/>
              <w:rPr>
                <w:rFonts w:ascii="仿宋" w:hAnsi="仿宋" w:eastAsia="仿宋" w:cs="仿宋"/>
                <w:sz w:val="18"/>
                <w:szCs w:val="18"/>
              </w:rPr>
            </w:pPr>
            <w:r>
              <w:rPr>
                <w:rFonts w:ascii="仿宋" w:hAnsi="仿宋" w:eastAsia="仿宋" w:cs="仿宋"/>
                <w:spacing w:val="-2"/>
                <w:sz w:val="18"/>
                <w:szCs w:val="18"/>
              </w:rPr>
              <w:t>插入式振捣棒</w:t>
            </w:r>
          </w:p>
        </w:tc>
        <w:tc>
          <w:tcPr>
            <w:tcW w:w="1198" w:type="dxa"/>
            <w:vAlign w:val="top"/>
          </w:tcPr>
          <w:p w14:paraId="5DA33E65">
            <w:pPr>
              <w:pStyle w:val="6"/>
              <w:spacing w:before="163" w:line="87" w:lineRule="exact"/>
              <w:ind w:left="604"/>
            </w:pPr>
            <w:r>
              <w:rPr>
                <w:position w:val="-1"/>
              </w:rPr>
              <w:t>-</w:t>
            </w:r>
          </w:p>
        </w:tc>
        <w:tc>
          <w:tcPr>
            <w:tcW w:w="3493" w:type="dxa"/>
            <w:gridSpan w:val="2"/>
            <w:tcBorders>
              <w:right w:val="single" w:color="000000" w:sz="6" w:space="0"/>
            </w:tcBorders>
            <w:vAlign w:val="top"/>
          </w:tcPr>
          <w:p w14:paraId="38915F36">
            <w:pPr>
              <w:spacing w:before="57" w:line="207" w:lineRule="auto"/>
              <w:jc w:val="right"/>
              <w:rPr>
                <w:rFonts w:ascii="仿宋" w:hAnsi="仿宋" w:eastAsia="仿宋" w:cs="仿宋"/>
                <w:sz w:val="18"/>
                <w:szCs w:val="18"/>
              </w:rPr>
            </w:pPr>
            <w:r>
              <w:rPr>
                <w:rFonts w:ascii="仿宋" w:hAnsi="仿宋" w:eastAsia="仿宋" w:cs="仿宋"/>
                <w:spacing w:val="-2"/>
                <w:sz w:val="18"/>
                <w:szCs w:val="18"/>
              </w:rPr>
              <w:t>消除混凝土内部气泡，保障混凝土密实度</w:t>
            </w:r>
          </w:p>
        </w:tc>
      </w:tr>
      <w:tr w14:paraId="1981B0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 w:hRule="atLeast"/>
        </w:trPr>
        <w:tc>
          <w:tcPr>
            <w:tcW w:w="737" w:type="dxa"/>
            <w:vMerge w:val="continue"/>
            <w:tcBorders>
              <w:top w:val="nil"/>
              <w:left w:val="single" w:color="000000" w:sz="6" w:space="0"/>
              <w:bottom w:val="nil"/>
            </w:tcBorders>
            <w:vAlign w:val="top"/>
          </w:tcPr>
          <w:p w14:paraId="504F7261">
            <w:pPr>
              <w:rPr>
                <w:rFonts w:ascii="Arial"/>
                <w:sz w:val="21"/>
              </w:rPr>
            </w:pPr>
          </w:p>
        </w:tc>
        <w:tc>
          <w:tcPr>
            <w:tcW w:w="577" w:type="dxa"/>
            <w:gridSpan w:val="2"/>
            <w:vAlign w:val="top"/>
          </w:tcPr>
          <w:p w14:paraId="584DEBC1">
            <w:pPr>
              <w:pStyle w:val="6"/>
              <w:spacing w:before="85" w:line="188" w:lineRule="auto"/>
              <w:ind w:left="266"/>
            </w:pPr>
            <w:r>
              <w:t>8</w:t>
            </w:r>
          </w:p>
        </w:tc>
        <w:tc>
          <w:tcPr>
            <w:tcW w:w="854" w:type="dxa"/>
            <w:gridSpan w:val="2"/>
            <w:vMerge w:val="continue"/>
            <w:tcBorders>
              <w:top w:val="nil"/>
              <w:bottom w:val="nil"/>
            </w:tcBorders>
            <w:vAlign w:val="top"/>
          </w:tcPr>
          <w:p w14:paraId="13E973E9">
            <w:pPr>
              <w:rPr>
                <w:rFonts w:ascii="Arial"/>
                <w:sz w:val="21"/>
              </w:rPr>
            </w:pPr>
          </w:p>
        </w:tc>
        <w:tc>
          <w:tcPr>
            <w:tcW w:w="1518" w:type="dxa"/>
            <w:vAlign w:val="top"/>
          </w:tcPr>
          <w:p w14:paraId="7AB37120">
            <w:pPr>
              <w:spacing w:before="56" w:line="207" w:lineRule="auto"/>
              <w:ind w:left="346"/>
              <w:rPr>
                <w:rFonts w:ascii="仿宋" w:hAnsi="仿宋" w:eastAsia="仿宋" w:cs="仿宋"/>
                <w:sz w:val="18"/>
                <w:szCs w:val="18"/>
              </w:rPr>
            </w:pPr>
            <w:r>
              <w:rPr>
                <w:rFonts w:ascii="仿宋" w:hAnsi="仿宋" w:eastAsia="仿宋" w:cs="仿宋"/>
                <w:spacing w:val="-3"/>
                <w:sz w:val="18"/>
                <w:szCs w:val="18"/>
              </w:rPr>
              <w:t>平板振捣器</w:t>
            </w:r>
          </w:p>
        </w:tc>
        <w:tc>
          <w:tcPr>
            <w:tcW w:w="1198" w:type="dxa"/>
            <w:vAlign w:val="top"/>
          </w:tcPr>
          <w:p w14:paraId="1872D00F">
            <w:pPr>
              <w:pStyle w:val="6"/>
              <w:spacing w:before="161" w:line="86" w:lineRule="exact"/>
              <w:ind w:left="604"/>
            </w:pPr>
            <w:r>
              <w:rPr>
                <w:position w:val="-1"/>
              </w:rPr>
              <w:t>-</w:t>
            </w:r>
          </w:p>
        </w:tc>
        <w:tc>
          <w:tcPr>
            <w:tcW w:w="3493" w:type="dxa"/>
            <w:gridSpan w:val="2"/>
            <w:tcBorders>
              <w:right w:val="single" w:color="000000" w:sz="6" w:space="0"/>
            </w:tcBorders>
            <w:vAlign w:val="top"/>
          </w:tcPr>
          <w:p w14:paraId="30CBDDE2">
            <w:pPr>
              <w:spacing w:before="56" w:line="207" w:lineRule="auto"/>
              <w:jc w:val="right"/>
              <w:rPr>
                <w:rFonts w:ascii="仿宋" w:hAnsi="仿宋" w:eastAsia="仿宋" w:cs="仿宋"/>
                <w:sz w:val="18"/>
                <w:szCs w:val="18"/>
              </w:rPr>
            </w:pPr>
            <w:r>
              <w:rPr>
                <w:rFonts w:ascii="仿宋" w:hAnsi="仿宋" w:eastAsia="仿宋" w:cs="仿宋"/>
                <w:spacing w:val="-2"/>
                <w:sz w:val="18"/>
                <w:szCs w:val="18"/>
              </w:rPr>
              <w:t>消除混凝土内部气泡，保障混凝土密实度</w:t>
            </w:r>
          </w:p>
        </w:tc>
      </w:tr>
      <w:tr w14:paraId="4CEEAC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9" w:hRule="atLeast"/>
        </w:trPr>
        <w:tc>
          <w:tcPr>
            <w:tcW w:w="737" w:type="dxa"/>
            <w:vMerge w:val="continue"/>
            <w:tcBorders>
              <w:top w:val="nil"/>
              <w:left w:val="single" w:color="000000" w:sz="6" w:space="0"/>
              <w:bottom w:val="nil"/>
            </w:tcBorders>
            <w:vAlign w:val="top"/>
          </w:tcPr>
          <w:p w14:paraId="072D72D0">
            <w:pPr>
              <w:rPr>
                <w:rFonts w:ascii="Arial"/>
                <w:sz w:val="21"/>
              </w:rPr>
            </w:pPr>
          </w:p>
        </w:tc>
        <w:tc>
          <w:tcPr>
            <w:tcW w:w="577" w:type="dxa"/>
            <w:gridSpan w:val="2"/>
            <w:vAlign w:val="top"/>
          </w:tcPr>
          <w:p w14:paraId="1D126839">
            <w:pPr>
              <w:pStyle w:val="6"/>
              <w:spacing w:before="88" w:line="188" w:lineRule="auto"/>
              <w:ind w:left="262"/>
            </w:pPr>
            <w:r>
              <w:t>9</w:t>
            </w:r>
          </w:p>
        </w:tc>
        <w:tc>
          <w:tcPr>
            <w:tcW w:w="854" w:type="dxa"/>
            <w:gridSpan w:val="2"/>
            <w:vMerge w:val="continue"/>
            <w:tcBorders>
              <w:top w:val="nil"/>
              <w:bottom w:val="nil"/>
            </w:tcBorders>
            <w:vAlign w:val="top"/>
          </w:tcPr>
          <w:p w14:paraId="47223746">
            <w:pPr>
              <w:rPr>
                <w:rFonts w:ascii="Arial"/>
                <w:sz w:val="21"/>
              </w:rPr>
            </w:pPr>
          </w:p>
        </w:tc>
        <w:tc>
          <w:tcPr>
            <w:tcW w:w="1518" w:type="dxa"/>
            <w:vAlign w:val="top"/>
          </w:tcPr>
          <w:p w14:paraId="0E4932B4">
            <w:pPr>
              <w:spacing w:before="57" w:line="207" w:lineRule="auto"/>
              <w:ind w:left="526"/>
              <w:rPr>
                <w:rFonts w:ascii="仿宋" w:hAnsi="仿宋" w:eastAsia="仿宋" w:cs="仿宋"/>
                <w:sz w:val="18"/>
                <w:szCs w:val="18"/>
              </w:rPr>
            </w:pPr>
            <w:r>
              <w:rPr>
                <w:rFonts w:ascii="仿宋" w:hAnsi="仿宋" w:eastAsia="仿宋" w:cs="仿宋"/>
                <w:spacing w:val="-5"/>
                <w:sz w:val="18"/>
                <w:szCs w:val="18"/>
              </w:rPr>
              <w:t>抹光机</w:t>
            </w:r>
          </w:p>
        </w:tc>
        <w:tc>
          <w:tcPr>
            <w:tcW w:w="1198" w:type="dxa"/>
            <w:vAlign w:val="top"/>
          </w:tcPr>
          <w:p w14:paraId="15DD5E46">
            <w:pPr>
              <w:pStyle w:val="6"/>
              <w:spacing w:before="164" w:line="86" w:lineRule="exact"/>
              <w:ind w:left="604"/>
            </w:pPr>
            <w:r>
              <w:rPr>
                <w:position w:val="-1"/>
              </w:rPr>
              <w:t>-</w:t>
            </w:r>
          </w:p>
        </w:tc>
        <w:tc>
          <w:tcPr>
            <w:tcW w:w="3493" w:type="dxa"/>
            <w:gridSpan w:val="2"/>
            <w:tcBorders>
              <w:right w:val="single" w:color="000000" w:sz="6" w:space="0"/>
            </w:tcBorders>
            <w:vAlign w:val="top"/>
          </w:tcPr>
          <w:p w14:paraId="3EC8328A">
            <w:pPr>
              <w:spacing w:before="57" w:line="207" w:lineRule="auto"/>
              <w:ind w:left="1072"/>
              <w:rPr>
                <w:rFonts w:ascii="仿宋" w:hAnsi="仿宋" w:eastAsia="仿宋" w:cs="仿宋"/>
                <w:sz w:val="18"/>
                <w:szCs w:val="18"/>
              </w:rPr>
            </w:pPr>
            <w:r>
              <w:rPr>
                <w:rFonts w:ascii="仿宋" w:hAnsi="仿宋" w:eastAsia="仿宋" w:cs="仿宋"/>
                <w:spacing w:val="-2"/>
                <w:sz w:val="18"/>
                <w:szCs w:val="18"/>
              </w:rPr>
              <w:t>路面混凝土收面作业</w:t>
            </w:r>
          </w:p>
        </w:tc>
      </w:tr>
      <w:tr w14:paraId="74CBA1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 w:hRule="atLeast"/>
        </w:trPr>
        <w:tc>
          <w:tcPr>
            <w:tcW w:w="737" w:type="dxa"/>
            <w:vMerge w:val="continue"/>
            <w:tcBorders>
              <w:top w:val="nil"/>
              <w:left w:val="single" w:color="000000" w:sz="6" w:space="0"/>
              <w:bottom w:val="nil"/>
            </w:tcBorders>
            <w:vAlign w:val="top"/>
          </w:tcPr>
          <w:p w14:paraId="7FB51BF8">
            <w:pPr>
              <w:rPr>
                <w:rFonts w:ascii="Arial"/>
                <w:sz w:val="21"/>
              </w:rPr>
            </w:pPr>
          </w:p>
        </w:tc>
        <w:tc>
          <w:tcPr>
            <w:tcW w:w="577" w:type="dxa"/>
            <w:gridSpan w:val="2"/>
            <w:vAlign w:val="top"/>
          </w:tcPr>
          <w:p w14:paraId="5EF53159">
            <w:pPr>
              <w:pStyle w:val="6"/>
              <w:spacing w:before="85" w:line="188" w:lineRule="auto"/>
              <w:ind w:left="231"/>
            </w:pPr>
            <w:r>
              <w:rPr>
                <w:spacing w:val="-10"/>
              </w:rPr>
              <w:t>10</w:t>
            </w:r>
          </w:p>
        </w:tc>
        <w:tc>
          <w:tcPr>
            <w:tcW w:w="854" w:type="dxa"/>
            <w:gridSpan w:val="2"/>
            <w:vMerge w:val="continue"/>
            <w:tcBorders>
              <w:top w:val="nil"/>
              <w:bottom w:val="nil"/>
            </w:tcBorders>
            <w:vAlign w:val="top"/>
          </w:tcPr>
          <w:p w14:paraId="7235E914">
            <w:pPr>
              <w:rPr>
                <w:rFonts w:ascii="Arial"/>
                <w:sz w:val="21"/>
              </w:rPr>
            </w:pPr>
          </w:p>
        </w:tc>
        <w:tc>
          <w:tcPr>
            <w:tcW w:w="1518" w:type="dxa"/>
            <w:vAlign w:val="top"/>
          </w:tcPr>
          <w:p w14:paraId="5029331B">
            <w:pPr>
              <w:spacing w:before="57" w:line="206" w:lineRule="auto"/>
              <w:ind w:left="526"/>
              <w:rPr>
                <w:rFonts w:ascii="仿宋" w:hAnsi="仿宋" w:eastAsia="仿宋" w:cs="仿宋"/>
                <w:sz w:val="18"/>
                <w:szCs w:val="18"/>
              </w:rPr>
            </w:pPr>
            <w:r>
              <w:rPr>
                <w:rFonts w:ascii="仿宋" w:hAnsi="仿宋" w:eastAsia="仿宋" w:cs="仿宋"/>
                <w:spacing w:val="-4"/>
                <w:sz w:val="18"/>
                <w:szCs w:val="18"/>
              </w:rPr>
              <w:t>洒水车</w:t>
            </w:r>
          </w:p>
        </w:tc>
        <w:tc>
          <w:tcPr>
            <w:tcW w:w="1198" w:type="dxa"/>
            <w:vAlign w:val="top"/>
          </w:tcPr>
          <w:p w14:paraId="20456B06">
            <w:pPr>
              <w:pStyle w:val="6"/>
              <w:spacing w:before="161" w:line="86" w:lineRule="exact"/>
              <w:ind w:left="604"/>
            </w:pPr>
            <w:r>
              <w:rPr>
                <w:position w:val="-1"/>
              </w:rPr>
              <w:t>-</w:t>
            </w:r>
          </w:p>
        </w:tc>
        <w:tc>
          <w:tcPr>
            <w:tcW w:w="3493" w:type="dxa"/>
            <w:gridSpan w:val="2"/>
            <w:tcBorders>
              <w:right w:val="single" w:color="000000" w:sz="6" w:space="0"/>
            </w:tcBorders>
            <w:vAlign w:val="top"/>
          </w:tcPr>
          <w:p w14:paraId="4FD3A720">
            <w:pPr>
              <w:spacing w:before="57" w:line="206" w:lineRule="auto"/>
              <w:ind w:left="626"/>
              <w:rPr>
                <w:rFonts w:ascii="仿宋" w:hAnsi="仿宋" w:eastAsia="仿宋" w:cs="仿宋"/>
                <w:sz w:val="18"/>
                <w:szCs w:val="18"/>
              </w:rPr>
            </w:pPr>
            <w:r>
              <w:rPr>
                <w:rFonts w:ascii="仿宋" w:hAnsi="仿宋" w:eastAsia="仿宋" w:cs="仿宋"/>
                <w:spacing w:val="-2"/>
                <w:sz w:val="18"/>
                <w:szCs w:val="18"/>
              </w:rPr>
              <w:t>维持混凝土湿度，促进强度增长</w:t>
            </w:r>
          </w:p>
        </w:tc>
      </w:tr>
      <w:tr w14:paraId="674A5C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 w:hRule="atLeast"/>
        </w:trPr>
        <w:tc>
          <w:tcPr>
            <w:tcW w:w="737" w:type="dxa"/>
            <w:vMerge w:val="continue"/>
            <w:tcBorders>
              <w:top w:val="nil"/>
              <w:left w:val="single" w:color="000000" w:sz="6" w:space="0"/>
              <w:bottom w:val="nil"/>
            </w:tcBorders>
            <w:vAlign w:val="top"/>
          </w:tcPr>
          <w:p w14:paraId="423C79E1">
            <w:pPr>
              <w:rPr>
                <w:rFonts w:ascii="Arial"/>
                <w:sz w:val="21"/>
              </w:rPr>
            </w:pPr>
          </w:p>
        </w:tc>
        <w:tc>
          <w:tcPr>
            <w:tcW w:w="577" w:type="dxa"/>
            <w:gridSpan w:val="2"/>
            <w:vAlign w:val="top"/>
          </w:tcPr>
          <w:p w14:paraId="28FE28E5">
            <w:pPr>
              <w:pStyle w:val="6"/>
              <w:spacing w:before="86" w:line="188" w:lineRule="auto"/>
              <w:ind w:left="231"/>
            </w:pPr>
            <w:r>
              <w:rPr>
                <w:spacing w:val="-10"/>
              </w:rPr>
              <w:t>11</w:t>
            </w:r>
          </w:p>
        </w:tc>
        <w:tc>
          <w:tcPr>
            <w:tcW w:w="854" w:type="dxa"/>
            <w:gridSpan w:val="2"/>
            <w:vMerge w:val="continue"/>
            <w:tcBorders>
              <w:top w:val="nil"/>
            </w:tcBorders>
            <w:vAlign w:val="top"/>
          </w:tcPr>
          <w:p w14:paraId="52693951">
            <w:pPr>
              <w:rPr>
                <w:rFonts w:ascii="Arial"/>
                <w:sz w:val="21"/>
              </w:rPr>
            </w:pPr>
          </w:p>
        </w:tc>
        <w:tc>
          <w:tcPr>
            <w:tcW w:w="1518" w:type="dxa"/>
            <w:vAlign w:val="top"/>
          </w:tcPr>
          <w:p w14:paraId="4AF6A572">
            <w:pPr>
              <w:spacing w:before="57" w:line="206" w:lineRule="auto"/>
              <w:ind w:left="355"/>
              <w:rPr>
                <w:rFonts w:ascii="仿宋" w:hAnsi="仿宋" w:eastAsia="仿宋" w:cs="仿宋"/>
                <w:sz w:val="18"/>
                <w:szCs w:val="18"/>
              </w:rPr>
            </w:pPr>
            <w:r>
              <w:rPr>
                <w:rFonts w:ascii="仿宋" w:hAnsi="仿宋" w:eastAsia="仿宋" w:cs="仿宋"/>
                <w:spacing w:val="-5"/>
                <w:sz w:val="18"/>
                <w:szCs w:val="18"/>
              </w:rPr>
              <w:t>薄膜覆盖机</w:t>
            </w:r>
          </w:p>
        </w:tc>
        <w:tc>
          <w:tcPr>
            <w:tcW w:w="1198" w:type="dxa"/>
            <w:vAlign w:val="top"/>
          </w:tcPr>
          <w:p w14:paraId="4725F4F7">
            <w:pPr>
              <w:pStyle w:val="6"/>
              <w:spacing w:before="161" w:line="87" w:lineRule="exact"/>
              <w:ind w:left="604"/>
            </w:pPr>
            <w:r>
              <w:rPr>
                <w:position w:val="-1"/>
              </w:rPr>
              <w:t>-</w:t>
            </w:r>
          </w:p>
        </w:tc>
        <w:tc>
          <w:tcPr>
            <w:tcW w:w="3493" w:type="dxa"/>
            <w:gridSpan w:val="2"/>
            <w:tcBorders>
              <w:right w:val="single" w:color="000000" w:sz="6" w:space="0"/>
            </w:tcBorders>
            <w:vAlign w:val="top"/>
          </w:tcPr>
          <w:p w14:paraId="3987A007">
            <w:pPr>
              <w:spacing w:before="57" w:line="206" w:lineRule="auto"/>
              <w:ind w:left="626"/>
              <w:rPr>
                <w:rFonts w:ascii="仿宋" w:hAnsi="仿宋" w:eastAsia="仿宋" w:cs="仿宋"/>
                <w:sz w:val="18"/>
                <w:szCs w:val="18"/>
              </w:rPr>
            </w:pPr>
            <w:r>
              <w:rPr>
                <w:rFonts w:ascii="仿宋" w:hAnsi="仿宋" w:eastAsia="仿宋" w:cs="仿宋"/>
                <w:spacing w:val="-2"/>
                <w:sz w:val="18"/>
                <w:szCs w:val="18"/>
              </w:rPr>
              <w:t>维持混凝土湿度，促进强度增长</w:t>
            </w:r>
          </w:p>
        </w:tc>
      </w:tr>
      <w:tr w14:paraId="332B93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737" w:type="dxa"/>
            <w:vMerge w:val="continue"/>
            <w:tcBorders>
              <w:top w:val="nil"/>
              <w:left w:val="single" w:color="000000" w:sz="6" w:space="0"/>
              <w:bottom w:val="single" w:color="000000" w:sz="6" w:space="0"/>
            </w:tcBorders>
            <w:vAlign w:val="top"/>
          </w:tcPr>
          <w:p w14:paraId="443B57CA">
            <w:pPr>
              <w:rPr>
                <w:rFonts w:ascii="Arial"/>
                <w:sz w:val="21"/>
              </w:rPr>
            </w:pPr>
          </w:p>
        </w:tc>
        <w:tc>
          <w:tcPr>
            <w:tcW w:w="577" w:type="dxa"/>
            <w:gridSpan w:val="2"/>
            <w:tcBorders>
              <w:bottom w:val="single" w:color="000000" w:sz="6" w:space="0"/>
            </w:tcBorders>
            <w:vAlign w:val="top"/>
          </w:tcPr>
          <w:p w14:paraId="35C81332">
            <w:pPr>
              <w:pStyle w:val="6"/>
              <w:spacing w:before="86" w:line="188" w:lineRule="auto"/>
              <w:ind w:left="231"/>
            </w:pPr>
            <w:r>
              <w:rPr>
                <w:spacing w:val="-10"/>
              </w:rPr>
              <w:t>12</w:t>
            </w:r>
          </w:p>
        </w:tc>
        <w:tc>
          <w:tcPr>
            <w:tcW w:w="854" w:type="dxa"/>
            <w:gridSpan w:val="2"/>
            <w:tcBorders>
              <w:bottom w:val="single" w:color="000000" w:sz="6" w:space="0"/>
            </w:tcBorders>
            <w:vAlign w:val="top"/>
          </w:tcPr>
          <w:p w14:paraId="30075B92">
            <w:pPr>
              <w:spacing w:before="58" w:line="218" w:lineRule="auto"/>
              <w:ind w:left="104"/>
              <w:rPr>
                <w:rFonts w:ascii="仿宋" w:hAnsi="仿宋" w:eastAsia="仿宋" w:cs="仿宋"/>
                <w:sz w:val="18"/>
                <w:szCs w:val="18"/>
              </w:rPr>
            </w:pPr>
            <w:r>
              <w:rPr>
                <w:rFonts w:ascii="仿宋" w:hAnsi="仿宋" w:eastAsia="仿宋" w:cs="仿宋"/>
                <w:spacing w:val="-4"/>
                <w:sz w:val="18"/>
                <w:szCs w:val="18"/>
              </w:rPr>
              <w:t>涵洞工程</w:t>
            </w:r>
          </w:p>
        </w:tc>
        <w:tc>
          <w:tcPr>
            <w:tcW w:w="1518" w:type="dxa"/>
            <w:tcBorders>
              <w:bottom w:val="single" w:color="000000" w:sz="6" w:space="0"/>
            </w:tcBorders>
            <w:vAlign w:val="top"/>
          </w:tcPr>
          <w:p w14:paraId="3BA4E4AF">
            <w:pPr>
              <w:spacing w:before="58" w:line="218" w:lineRule="auto"/>
              <w:ind w:left="526"/>
              <w:rPr>
                <w:rFonts w:ascii="仿宋" w:hAnsi="仿宋" w:eastAsia="仿宋" w:cs="仿宋"/>
                <w:sz w:val="18"/>
                <w:szCs w:val="18"/>
              </w:rPr>
            </w:pPr>
            <w:r>
              <w:rPr>
                <w:rFonts w:ascii="仿宋" w:hAnsi="仿宋" w:eastAsia="仿宋" w:cs="仿宋"/>
                <w:spacing w:val="-5"/>
                <w:sz w:val="18"/>
                <w:szCs w:val="18"/>
              </w:rPr>
              <w:t>起重机</w:t>
            </w:r>
          </w:p>
        </w:tc>
        <w:tc>
          <w:tcPr>
            <w:tcW w:w="1198" w:type="dxa"/>
            <w:tcBorders>
              <w:bottom w:val="single" w:color="000000" w:sz="6" w:space="0"/>
            </w:tcBorders>
            <w:vAlign w:val="top"/>
          </w:tcPr>
          <w:p w14:paraId="6E41C647">
            <w:pPr>
              <w:pStyle w:val="6"/>
              <w:spacing w:before="162" w:line="87" w:lineRule="exact"/>
              <w:ind w:left="604"/>
            </w:pPr>
            <w:r>
              <w:rPr>
                <w:position w:val="-1"/>
              </w:rPr>
              <w:t>-</w:t>
            </w:r>
          </w:p>
        </w:tc>
        <w:tc>
          <w:tcPr>
            <w:tcW w:w="3493" w:type="dxa"/>
            <w:gridSpan w:val="2"/>
            <w:tcBorders>
              <w:bottom w:val="single" w:color="000000" w:sz="6" w:space="0"/>
              <w:right w:val="single" w:color="000000" w:sz="6" w:space="0"/>
            </w:tcBorders>
            <w:vAlign w:val="top"/>
          </w:tcPr>
          <w:p w14:paraId="17F0E62A">
            <w:pPr>
              <w:spacing w:before="58" w:line="218" w:lineRule="auto"/>
              <w:ind w:left="1160"/>
              <w:rPr>
                <w:rFonts w:ascii="仿宋" w:hAnsi="仿宋" w:eastAsia="仿宋" w:cs="仿宋"/>
                <w:sz w:val="18"/>
                <w:szCs w:val="18"/>
              </w:rPr>
            </w:pPr>
            <w:r>
              <w:rPr>
                <w:rFonts w:ascii="仿宋" w:hAnsi="仿宋" w:eastAsia="仿宋" w:cs="仿宋"/>
                <w:spacing w:val="-2"/>
                <w:sz w:val="18"/>
                <w:szCs w:val="18"/>
              </w:rPr>
              <w:t>桥涵工程吊装作业</w:t>
            </w:r>
          </w:p>
        </w:tc>
      </w:tr>
    </w:tbl>
    <w:p w14:paraId="1CEB2B61">
      <w:pPr>
        <w:pStyle w:val="2"/>
        <w:spacing w:line="85" w:lineRule="exact"/>
        <w:rPr>
          <w:sz w:val="7"/>
        </w:rPr>
      </w:pPr>
    </w:p>
    <w:p w14:paraId="0BE4C7CE">
      <w:pPr>
        <w:spacing w:line="85" w:lineRule="exact"/>
        <w:rPr>
          <w:sz w:val="7"/>
          <w:szCs w:val="7"/>
        </w:rPr>
        <w:sectPr>
          <w:footerReference r:id="rId20" w:type="default"/>
          <w:pgSz w:w="11907" w:h="16840"/>
          <w:pgMar w:top="400" w:right="1757" w:bottom="1446" w:left="1757" w:header="0" w:footer="1284" w:gutter="0"/>
          <w:cols w:space="720" w:num="1"/>
        </w:sectPr>
      </w:pPr>
    </w:p>
    <w:p w14:paraId="050B5FC1">
      <w:pPr>
        <w:spacing w:before="19"/>
      </w:pPr>
    </w:p>
    <w:p w14:paraId="1FEA5A9F">
      <w:pPr>
        <w:spacing w:before="19"/>
      </w:pPr>
    </w:p>
    <w:p w14:paraId="5B8317E2">
      <w:pPr>
        <w:spacing w:before="18"/>
      </w:pPr>
    </w:p>
    <w:p w14:paraId="042BA347">
      <w:pPr>
        <w:spacing w:before="18"/>
      </w:pPr>
    </w:p>
    <w:tbl>
      <w:tblPr>
        <w:tblStyle w:val="5"/>
        <w:tblW w:w="8377"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7"/>
        <w:gridCol w:w="608"/>
        <w:gridCol w:w="220"/>
        <w:gridCol w:w="634"/>
        <w:gridCol w:w="106"/>
        <w:gridCol w:w="906"/>
        <w:gridCol w:w="506"/>
        <w:gridCol w:w="320"/>
        <w:gridCol w:w="852"/>
        <w:gridCol w:w="765"/>
        <w:gridCol w:w="1086"/>
        <w:gridCol w:w="858"/>
        <w:gridCol w:w="779"/>
      </w:tblGrid>
      <w:tr w14:paraId="0E44E1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 w:hRule="atLeast"/>
        </w:trPr>
        <w:tc>
          <w:tcPr>
            <w:tcW w:w="737" w:type="dxa"/>
            <w:vMerge w:val="restart"/>
            <w:tcBorders>
              <w:top w:val="single" w:color="000000" w:sz="6" w:space="0"/>
              <w:left w:val="single" w:color="000000" w:sz="6" w:space="0"/>
              <w:bottom w:val="nil"/>
            </w:tcBorders>
            <w:vAlign w:val="top"/>
          </w:tcPr>
          <w:p w14:paraId="1FB17E98">
            <w:pPr>
              <w:rPr>
                <w:rFonts w:ascii="Arial"/>
                <w:sz w:val="21"/>
              </w:rPr>
            </w:pPr>
          </w:p>
        </w:tc>
        <w:tc>
          <w:tcPr>
            <w:tcW w:w="608" w:type="dxa"/>
            <w:tcBorders>
              <w:top w:val="single" w:color="000000" w:sz="6" w:space="0"/>
            </w:tcBorders>
            <w:vAlign w:val="top"/>
          </w:tcPr>
          <w:p w14:paraId="5A7B04AE">
            <w:pPr>
              <w:pStyle w:val="6"/>
              <w:spacing w:before="97" w:line="188" w:lineRule="auto"/>
              <w:ind w:left="231"/>
            </w:pPr>
            <w:r>
              <w:rPr>
                <w:spacing w:val="10"/>
              </w:rPr>
              <w:t>l3</w:t>
            </w:r>
          </w:p>
        </w:tc>
        <w:tc>
          <w:tcPr>
            <w:tcW w:w="854" w:type="dxa"/>
            <w:gridSpan w:val="2"/>
            <w:tcBorders>
              <w:top w:val="single" w:color="000000" w:sz="6" w:space="0"/>
            </w:tcBorders>
            <w:vAlign w:val="top"/>
          </w:tcPr>
          <w:p w14:paraId="51C84541">
            <w:pPr>
              <w:rPr>
                <w:rFonts w:ascii="Arial"/>
                <w:sz w:val="21"/>
              </w:rPr>
            </w:pPr>
          </w:p>
        </w:tc>
        <w:tc>
          <w:tcPr>
            <w:tcW w:w="1518" w:type="dxa"/>
            <w:gridSpan w:val="3"/>
            <w:tcBorders>
              <w:top w:val="single" w:color="000000" w:sz="6" w:space="0"/>
            </w:tcBorders>
            <w:vAlign w:val="top"/>
          </w:tcPr>
          <w:p w14:paraId="22B63CA7">
            <w:pPr>
              <w:spacing w:before="66" w:line="221" w:lineRule="auto"/>
              <w:ind w:left="405"/>
              <w:rPr>
                <w:rFonts w:ascii="仿宋" w:hAnsi="仿宋" w:eastAsia="仿宋" w:cs="仿宋"/>
                <w:sz w:val="18"/>
                <w:szCs w:val="18"/>
              </w:rPr>
            </w:pPr>
            <w:r>
              <w:rPr>
                <w:rFonts w:ascii="仿宋" w:hAnsi="仿宋" w:eastAsia="仿宋" w:cs="仿宋"/>
                <w:spacing w:val="-3"/>
                <w:sz w:val="18"/>
                <w:szCs w:val="18"/>
              </w:rPr>
              <w:t>振捣设备</w:t>
            </w:r>
          </w:p>
        </w:tc>
        <w:tc>
          <w:tcPr>
            <w:tcW w:w="1172" w:type="dxa"/>
            <w:gridSpan w:val="2"/>
            <w:tcBorders>
              <w:top w:val="single" w:color="000000" w:sz="6" w:space="0"/>
            </w:tcBorders>
            <w:vAlign w:val="top"/>
          </w:tcPr>
          <w:p w14:paraId="6DFF8638">
            <w:pPr>
              <w:pStyle w:val="6"/>
              <w:spacing w:before="173" w:line="87" w:lineRule="exact"/>
              <w:ind w:left="573"/>
            </w:pPr>
            <w:r>
              <w:rPr>
                <w:position w:val="-1"/>
              </w:rPr>
              <w:t>-</w:t>
            </w:r>
          </w:p>
        </w:tc>
        <w:tc>
          <w:tcPr>
            <w:tcW w:w="3488" w:type="dxa"/>
            <w:gridSpan w:val="4"/>
            <w:tcBorders>
              <w:top w:val="single" w:color="000000" w:sz="6" w:space="0"/>
              <w:right w:val="single" w:color="000000" w:sz="6" w:space="0"/>
            </w:tcBorders>
            <w:vAlign w:val="top"/>
          </w:tcPr>
          <w:p w14:paraId="54F20582">
            <w:pPr>
              <w:spacing w:before="66" w:line="220" w:lineRule="auto"/>
              <w:ind w:left="706"/>
              <w:rPr>
                <w:rFonts w:ascii="仿宋" w:hAnsi="仿宋" w:eastAsia="仿宋" w:cs="仿宋"/>
                <w:sz w:val="18"/>
                <w:szCs w:val="18"/>
              </w:rPr>
            </w:pPr>
            <w:r>
              <w:rPr>
                <w:rFonts w:ascii="仿宋" w:hAnsi="仿宋" w:eastAsia="仿宋" w:cs="仿宋"/>
                <w:spacing w:val="-1"/>
                <w:sz w:val="18"/>
                <w:szCs w:val="18"/>
              </w:rPr>
              <w:t>桥涵工程混凝土浇筑振捣作业</w:t>
            </w:r>
          </w:p>
        </w:tc>
      </w:tr>
      <w:tr w14:paraId="595D09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9" w:hRule="atLeast"/>
        </w:trPr>
        <w:tc>
          <w:tcPr>
            <w:tcW w:w="737" w:type="dxa"/>
            <w:vMerge w:val="continue"/>
            <w:tcBorders>
              <w:top w:val="nil"/>
              <w:left w:val="single" w:color="000000" w:sz="6" w:space="0"/>
              <w:bottom w:val="nil"/>
            </w:tcBorders>
            <w:vAlign w:val="top"/>
          </w:tcPr>
          <w:p w14:paraId="42A89B72">
            <w:pPr>
              <w:rPr>
                <w:rFonts w:ascii="Arial"/>
                <w:sz w:val="21"/>
              </w:rPr>
            </w:pPr>
          </w:p>
        </w:tc>
        <w:tc>
          <w:tcPr>
            <w:tcW w:w="608" w:type="dxa"/>
            <w:vAlign w:val="top"/>
          </w:tcPr>
          <w:p w14:paraId="3045BEA6">
            <w:pPr>
              <w:pStyle w:val="6"/>
              <w:spacing w:before="74" w:line="188" w:lineRule="auto"/>
              <w:ind w:left="231"/>
            </w:pPr>
            <w:r>
              <w:rPr>
                <w:spacing w:val="10"/>
              </w:rPr>
              <w:t>l4</w:t>
            </w:r>
          </w:p>
        </w:tc>
        <w:tc>
          <w:tcPr>
            <w:tcW w:w="854" w:type="dxa"/>
            <w:gridSpan w:val="2"/>
            <w:vMerge w:val="restart"/>
            <w:tcBorders>
              <w:bottom w:val="nil"/>
            </w:tcBorders>
            <w:vAlign w:val="top"/>
          </w:tcPr>
          <w:p w14:paraId="5D0A9988">
            <w:pPr>
              <w:spacing w:before="180" w:line="223" w:lineRule="auto"/>
              <w:ind w:left="80"/>
              <w:rPr>
                <w:rFonts w:ascii="仿宋" w:hAnsi="仿宋" w:eastAsia="仿宋" w:cs="仿宋"/>
                <w:sz w:val="18"/>
                <w:szCs w:val="18"/>
              </w:rPr>
            </w:pPr>
            <w:r>
              <w:rPr>
                <w:rFonts w:ascii="仿宋" w:hAnsi="仿宋" w:eastAsia="仿宋" w:cs="仿宋"/>
                <w:spacing w:val="-5"/>
                <w:sz w:val="18"/>
                <w:szCs w:val="18"/>
              </w:rPr>
              <w:t>附属工程</w:t>
            </w:r>
          </w:p>
        </w:tc>
        <w:tc>
          <w:tcPr>
            <w:tcW w:w="1518" w:type="dxa"/>
            <w:gridSpan w:val="3"/>
            <w:vAlign w:val="top"/>
          </w:tcPr>
          <w:p w14:paraId="382508F1">
            <w:pPr>
              <w:spacing w:before="43" w:line="221" w:lineRule="auto"/>
              <w:ind w:left="226"/>
              <w:rPr>
                <w:rFonts w:ascii="仿宋" w:hAnsi="仿宋" w:eastAsia="仿宋" w:cs="仿宋"/>
                <w:sz w:val="18"/>
                <w:szCs w:val="18"/>
              </w:rPr>
            </w:pPr>
            <w:r>
              <w:rPr>
                <w:rFonts w:ascii="仿宋" w:hAnsi="仿宋" w:eastAsia="仿宋" w:cs="仿宋"/>
                <w:spacing w:val="-2"/>
                <w:sz w:val="18"/>
                <w:szCs w:val="18"/>
              </w:rPr>
              <w:t>小型吊装设备</w:t>
            </w:r>
          </w:p>
        </w:tc>
        <w:tc>
          <w:tcPr>
            <w:tcW w:w="1172" w:type="dxa"/>
            <w:gridSpan w:val="2"/>
            <w:vAlign w:val="top"/>
          </w:tcPr>
          <w:p w14:paraId="764B54E3">
            <w:pPr>
              <w:pStyle w:val="6"/>
              <w:spacing w:before="150" w:line="86" w:lineRule="exact"/>
              <w:ind w:left="573"/>
            </w:pPr>
            <w:r>
              <w:rPr>
                <w:position w:val="-1"/>
              </w:rPr>
              <w:t>-</w:t>
            </w:r>
          </w:p>
        </w:tc>
        <w:tc>
          <w:tcPr>
            <w:tcW w:w="3488" w:type="dxa"/>
            <w:gridSpan w:val="4"/>
            <w:tcBorders>
              <w:right w:val="single" w:color="000000" w:sz="6" w:space="0"/>
            </w:tcBorders>
            <w:vAlign w:val="top"/>
          </w:tcPr>
          <w:p w14:paraId="22A3B2B9">
            <w:pPr>
              <w:spacing w:before="43" w:line="220" w:lineRule="auto"/>
              <w:ind w:left="708"/>
              <w:rPr>
                <w:rFonts w:ascii="仿宋" w:hAnsi="仿宋" w:eastAsia="仿宋" w:cs="仿宋"/>
                <w:sz w:val="18"/>
                <w:szCs w:val="18"/>
              </w:rPr>
            </w:pPr>
            <w:r>
              <w:rPr>
                <w:rFonts w:ascii="仿宋" w:hAnsi="仿宋" w:eastAsia="仿宋" w:cs="仿宋"/>
                <w:spacing w:val="-1"/>
                <w:sz w:val="18"/>
                <w:szCs w:val="18"/>
              </w:rPr>
              <w:t>护栏安装等附属工程吊装作业</w:t>
            </w:r>
          </w:p>
        </w:tc>
      </w:tr>
      <w:tr w14:paraId="4354EB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37" w:type="dxa"/>
            <w:vMerge w:val="continue"/>
            <w:tcBorders>
              <w:top w:val="nil"/>
              <w:left w:val="single" w:color="000000" w:sz="6" w:space="0"/>
              <w:bottom w:val="nil"/>
            </w:tcBorders>
            <w:vAlign w:val="top"/>
          </w:tcPr>
          <w:p w14:paraId="643BE6CB">
            <w:pPr>
              <w:rPr>
                <w:rFonts w:ascii="Arial"/>
                <w:sz w:val="21"/>
              </w:rPr>
            </w:pPr>
          </w:p>
        </w:tc>
        <w:tc>
          <w:tcPr>
            <w:tcW w:w="608" w:type="dxa"/>
            <w:tcBorders>
              <w:bottom w:val="single" w:color="000000" w:sz="10" w:space="0"/>
            </w:tcBorders>
            <w:vAlign w:val="top"/>
          </w:tcPr>
          <w:p w14:paraId="161462CA">
            <w:pPr>
              <w:pStyle w:val="6"/>
              <w:spacing w:before="71" w:line="188" w:lineRule="auto"/>
              <w:ind w:left="231"/>
            </w:pPr>
            <w:r>
              <w:rPr>
                <w:spacing w:val="10"/>
              </w:rPr>
              <w:t>l5</w:t>
            </w:r>
          </w:p>
        </w:tc>
        <w:tc>
          <w:tcPr>
            <w:tcW w:w="854" w:type="dxa"/>
            <w:gridSpan w:val="2"/>
            <w:vMerge w:val="continue"/>
            <w:tcBorders>
              <w:top w:val="nil"/>
              <w:bottom w:val="single" w:color="000000" w:sz="10" w:space="0"/>
            </w:tcBorders>
            <w:vAlign w:val="top"/>
          </w:tcPr>
          <w:p w14:paraId="0AF5F282">
            <w:pPr>
              <w:rPr>
                <w:rFonts w:ascii="Arial"/>
                <w:sz w:val="21"/>
              </w:rPr>
            </w:pPr>
          </w:p>
        </w:tc>
        <w:tc>
          <w:tcPr>
            <w:tcW w:w="1518" w:type="dxa"/>
            <w:gridSpan w:val="3"/>
            <w:tcBorders>
              <w:bottom w:val="single" w:color="000000" w:sz="10" w:space="0"/>
            </w:tcBorders>
            <w:vAlign w:val="top"/>
          </w:tcPr>
          <w:p w14:paraId="587CF869">
            <w:pPr>
              <w:spacing w:before="43" w:line="219" w:lineRule="auto"/>
              <w:ind w:left="495"/>
              <w:rPr>
                <w:rFonts w:ascii="仿宋" w:hAnsi="仿宋" w:eastAsia="仿宋" w:cs="仿宋"/>
                <w:sz w:val="18"/>
                <w:szCs w:val="18"/>
              </w:rPr>
            </w:pPr>
            <w:r>
              <w:rPr>
                <w:rFonts w:ascii="仿宋" w:hAnsi="仿宋" w:eastAsia="仿宋" w:cs="仿宋"/>
                <w:spacing w:val="-4"/>
                <w:sz w:val="18"/>
                <w:szCs w:val="18"/>
              </w:rPr>
              <w:t>洒水车</w:t>
            </w:r>
          </w:p>
        </w:tc>
        <w:tc>
          <w:tcPr>
            <w:tcW w:w="1172" w:type="dxa"/>
            <w:gridSpan w:val="2"/>
            <w:tcBorders>
              <w:bottom w:val="single" w:color="000000" w:sz="10" w:space="0"/>
            </w:tcBorders>
            <w:vAlign w:val="top"/>
          </w:tcPr>
          <w:p w14:paraId="17E7FC89">
            <w:pPr>
              <w:pStyle w:val="6"/>
              <w:spacing w:before="147" w:line="86" w:lineRule="exact"/>
              <w:ind w:left="573"/>
            </w:pPr>
            <w:r>
              <w:rPr>
                <w:position w:val="-1"/>
              </w:rPr>
              <w:t>-</w:t>
            </w:r>
          </w:p>
        </w:tc>
        <w:tc>
          <w:tcPr>
            <w:tcW w:w="3488" w:type="dxa"/>
            <w:gridSpan w:val="4"/>
            <w:tcBorders>
              <w:bottom w:val="single" w:color="000000" w:sz="10" w:space="0"/>
              <w:right w:val="single" w:color="000000" w:sz="6" w:space="0"/>
            </w:tcBorders>
            <w:vAlign w:val="top"/>
          </w:tcPr>
          <w:p w14:paraId="12D45C3B">
            <w:pPr>
              <w:spacing w:before="42" w:line="220" w:lineRule="auto"/>
              <w:ind w:left="437"/>
              <w:rPr>
                <w:rFonts w:ascii="仿宋" w:hAnsi="仿宋" w:eastAsia="仿宋" w:cs="仿宋"/>
                <w:sz w:val="18"/>
                <w:szCs w:val="18"/>
              </w:rPr>
            </w:pPr>
            <w:r>
              <w:rPr>
                <w:rFonts w:ascii="仿宋" w:hAnsi="仿宋" w:eastAsia="仿宋" w:cs="仿宋"/>
                <w:spacing w:val="-1"/>
                <w:sz w:val="18"/>
                <w:szCs w:val="18"/>
              </w:rPr>
              <w:t>护栏安装等附属工程降尘、养护作业</w:t>
            </w:r>
          </w:p>
        </w:tc>
      </w:tr>
      <w:tr w14:paraId="70C5A0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4" w:hRule="atLeast"/>
        </w:trPr>
        <w:tc>
          <w:tcPr>
            <w:tcW w:w="737" w:type="dxa"/>
            <w:vMerge w:val="continue"/>
            <w:tcBorders>
              <w:top w:val="nil"/>
              <w:left w:val="single" w:color="000000" w:sz="6" w:space="0"/>
              <w:bottom w:val="nil"/>
            </w:tcBorders>
            <w:vAlign w:val="top"/>
          </w:tcPr>
          <w:p w14:paraId="7F65BE9C">
            <w:pPr>
              <w:rPr>
                <w:rFonts w:ascii="Arial"/>
                <w:sz w:val="21"/>
              </w:rPr>
            </w:pPr>
          </w:p>
        </w:tc>
        <w:tc>
          <w:tcPr>
            <w:tcW w:w="7640" w:type="dxa"/>
            <w:gridSpan w:val="12"/>
            <w:tcBorders>
              <w:top w:val="single" w:color="000000" w:sz="10" w:space="0"/>
              <w:bottom w:val="single" w:color="000000" w:sz="10" w:space="0"/>
              <w:right w:val="single" w:color="000000" w:sz="6" w:space="0"/>
            </w:tcBorders>
            <w:vAlign w:val="top"/>
          </w:tcPr>
          <w:p w14:paraId="3101DA1E">
            <w:pPr>
              <w:pStyle w:val="6"/>
              <w:spacing w:before="22" w:line="231" w:lineRule="auto"/>
              <w:ind w:left="421"/>
              <w:rPr>
                <w:rFonts w:ascii="仿宋" w:hAnsi="仿宋" w:eastAsia="仿宋" w:cs="仿宋"/>
                <w:sz w:val="20"/>
                <w:szCs w:val="20"/>
              </w:rPr>
            </w:pPr>
            <w:r>
              <w:rPr>
                <w:b/>
                <w:bCs/>
                <w:spacing w:val="-8"/>
                <w:sz w:val="20"/>
                <w:szCs w:val="20"/>
              </w:rPr>
              <w:t>4</w:t>
            </w:r>
            <w:r>
              <w:rPr>
                <w:b/>
                <w:bCs/>
                <w:spacing w:val="-20"/>
                <w:sz w:val="20"/>
                <w:szCs w:val="20"/>
              </w:rPr>
              <w:t xml:space="preserve"> </w:t>
            </w:r>
            <w:r>
              <w:rPr>
                <w:rFonts w:ascii="仿宋" w:hAnsi="仿宋" w:eastAsia="仿宋" w:cs="仿宋"/>
                <w:b/>
                <w:bCs/>
                <w:spacing w:val="-8"/>
                <w:sz w:val="20"/>
                <w:szCs w:val="20"/>
              </w:rPr>
              <w:t>、</w:t>
            </w:r>
            <w:r>
              <w:rPr>
                <w:rFonts w:ascii="仿宋" w:hAnsi="仿宋" w:eastAsia="仿宋" w:cs="仿宋"/>
                <w:spacing w:val="-42"/>
                <w:sz w:val="20"/>
                <w:szCs w:val="20"/>
              </w:rPr>
              <w:t xml:space="preserve"> </w:t>
            </w:r>
            <w:r>
              <w:rPr>
                <w:rFonts w:ascii="仿宋" w:hAnsi="仿宋" w:eastAsia="仿宋" w:cs="仿宋"/>
                <w:b/>
                <w:bCs/>
                <w:spacing w:val="-8"/>
                <w:sz w:val="20"/>
                <w:szCs w:val="20"/>
              </w:rPr>
              <w:t>占地情况</w:t>
            </w:r>
          </w:p>
          <w:p w14:paraId="0BE04F25">
            <w:pPr>
              <w:pStyle w:val="6"/>
              <w:spacing w:before="156" w:line="369" w:lineRule="auto"/>
              <w:ind w:left="11" w:right="8" w:firstLine="431"/>
              <w:rPr>
                <w:rFonts w:ascii="仿宋" w:hAnsi="仿宋" w:eastAsia="仿宋" w:cs="仿宋"/>
                <w:sz w:val="20"/>
                <w:szCs w:val="20"/>
              </w:rPr>
            </w:pPr>
            <w:r>
              <w:rPr>
                <w:rFonts w:ascii="仿宋" w:hAnsi="仿宋" w:eastAsia="仿宋" w:cs="仿宋"/>
                <w:spacing w:val="12"/>
                <w:sz w:val="20"/>
                <w:szCs w:val="20"/>
              </w:rPr>
              <w:t>本项目为农村牧区公路，全长</w:t>
            </w:r>
            <w:r>
              <w:rPr>
                <w:rFonts w:ascii="仿宋" w:hAnsi="仿宋" w:eastAsia="仿宋" w:cs="仿宋"/>
                <w:spacing w:val="-33"/>
                <w:sz w:val="20"/>
                <w:szCs w:val="20"/>
              </w:rPr>
              <w:t xml:space="preserve"> </w:t>
            </w:r>
            <w:r>
              <w:rPr>
                <w:spacing w:val="12"/>
                <w:sz w:val="20"/>
                <w:szCs w:val="20"/>
              </w:rPr>
              <w:t>26.508</w:t>
            </w:r>
            <w:r>
              <w:rPr>
                <w:sz w:val="20"/>
                <w:szCs w:val="20"/>
              </w:rPr>
              <w:t>km</w:t>
            </w:r>
            <w:r>
              <w:rPr>
                <w:spacing w:val="38"/>
                <w:w w:val="101"/>
                <w:sz w:val="20"/>
                <w:szCs w:val="20"/>
              </w:rPr>
              <w:t xml:space="preserve"> </w:t>
            </w:r>
            <w:r>
              <w:rPr>
                <w:rFonts w:ascii="仿宋" w:hAnsi="仿宋" w:eastAsia="仿宋" w:cs="仿宋"/>
                <w:spacing w:val="12"/>
                <w:sz w:val="20"/>
                <w:szCs w:val="20"/>
              </w:rPr>
              <w:t>线位沿用既有土路、砂石路</w:t>
            </w:r>
            <w:r>
              <w:rPr>
                <w:rFonts w:ascii="仿宋" w:hAnsi="仿宋" w:eastAsia="仿宋" w:cs="仿宋"/>
                <w:spacing w:val="11"/>
                <w:sz w:val="20"/>
                <w:szCs w:val="20"/>
              </w:rPr>
              <w:t>走廊，不</w:t>
            </w:r>
            <w:r>
              <w:rPr>
                <w:rFonts w:ascii="仿宋" w:hAnsi="仿宋" w:eastAsia="仿宋" w:cs="仿宋"/>
                <w:spacing w:val="16"/>
                <w:sz w:val="20"/>
                <w:szCs w:val="20"/>
              </w:rPr>
              <w:t>涉及新增建设用地</w:t>
            </w:r>
            <w:r>
              <w:rPr>
                <w:rFonts w:ascii="仿宋" w:hAnsi="仿宋" w:eastAsia="仿宋" w:cs="仿宋"/>
                <w:spacing w:val="-57"/>
                <w:sz w:val="20"/>
                <w:szCs w:val="20"/>
              </w:rPr>
              <w:t xml:space="preserve"> </w:t>
            </w:r>
            <w:r>
              <w:rPr>
                <w:rFonts w:ascii="仿宋" w:hAnsi="仿宋" w:eastAsia="仿宋" w:cs="仿宋"/>
                <w:spacing w:val="16"/>
                <w:sz w:val="20"/>
                <w:szCs w:val="20"/>
              </w:rPr>
              <w:t>，无需办理用地预审与选址意见书</w:t>
            </w:r>
            <w:r>
              <w:rPr>
                <w:rFonts w:ascii="仿宋" w:hAnsi="仿宋" w:eastAsia="仿宋" w:cs="仿宋"/>
                <w:spacing w:val="-56"/>
                <w:sz w:val="20"/>
                <w:szCs w:val="20"/>
              </w:rPr>
              <w:t xml:space="preserve"> </w:t>
            </w:r>
            <w:r>
              <w:rPr>
                <w:rFonts w:ascii="仿宋" w:hAnsi="仿宋" w:eastAsia="仿宋" w:cs="仿宋"/>
                <w:spacing w:val="16"/>
                <w:sz w:val="20"/>
                <w:szCs w:val="20"/>
              </w:rPr>
              <w:t>。</w:t>
            </w:r>
            <w:r>
              <w:rPr>
                <w:rFonts w:ascii="仿宋" w:hAnsi="仿宋" w:eastAsia="仿宋" w:cs="仿宋"/>
                <w:spacing w:val="-60"/>
                <w:sz w:val="20"/>
                <w:szCs w:val="20"/>
              </w:rPr>
              <w:t xml:space="preserve"> </w:t>
            </w:r>
            <w:r>
              <w:rPr>
                <w:rFonts w:ascii="仿宋" w:hAnsi="仿宋" w:eastAsia="仿宋" w:cs="仿宋"/>
                <w:spacing w:val="16"/>
                <w:sz w:val="20"/>
                <w:szCs w:val="20"/>
              </w:rPr>
              <w:t>公路用地范</w:t>
            </w:r>
            <w:r>
              <w:rPr>
                <w:rFonts w:ascii="仿宋" w:hAnsi="仿宋" w:eastAsia="仿宋" w:cs="仿宋"/>
                <w:spacing w:val="15"/>
                <w:sz w:val="20"/>
                <w:szCs w:val="20"/>
              </w:rPr>
              <w:t>围：</w:t>
            </w:r>
            <w:r>
              <w:rPr>
                <w:rFonts w:ascii="仿宋" w:hAnsi="仿宋" w:eastAsia="仿宋" w:cs="仿宋"/>
                <w:spacing w:val="-56"/>
                <w:sz w:val="20"/>
                <w:szCs w:val="20"/>
              </w:rPr>
              <w:t xml:space="preserve"> </w:t>
            </w:r>
            <w:r>
              <w:rPr>
                <w:rFonts w:ascii="仿宋" w:hAnsi="仿宋" w:eastAsia="仿宋" w:cs="仿宋"/>
                <w:spacing w:val="15"/>
                <w:sz w:val="20"/>
                <w:szCs w:val="20"/>
              </w:rPr>
              <w:t>填方路</w:t>
            </w:r>
            <w:r>
              <w:rPr>
                <w:rFonts w:ascii="仿宋" w:hAnsi="仿宋" w:eastAsia="仿宋" w:cs="仿宋"/>
                <w:spacing w:val="11"/>
                <w:sz w:val="20"/>
                <w:szCs w:val="20"/>
              </w:rPr>
              <w:t>段为路堤坡脚（或排水沟）</w:t>
            </w:r>
            <w:r>
              <w:rPr>
                <w:rFonts w:ascii="仿宋" w:hAnsi="仿宋" w:eastAsia="仿宋" w:cs="仿宋"/>
                <w:spacing w:val="-25"/>
                <w:sz w:val="20"/>
                <w:szCs w:val="20"/>
              </w:rPr>
              <w:t xml:space="preserve"> </w:t>
            </w:r>
            <w:r>
              <w:rPr>
                <w:rFonts w:ascii="仿宋" w:hAnsi="仿宋" w:eastAsia="仿宋" w:cs="仿宋"/>
                <w:spacing w:val="11"/>
                <w:sz w:val="20"/>
                <w:szCs w:val="20"/>
              </w:rPr>
              <w:t>以外</w:t>
            </w:r>
            <w:r>
              <w:rPr>
                <w:rFonts w:ascii="仿宋" w:hAnsi="仿宋" w:eastAsia="仿宋" w:cs="仿宋"/>
                <w:spacing w:val="47"/>
                <w:sz w:val="20"/>
                <w:szCs w:val="20"/>
              </w:rPr>
              <w:t xml:space="preserve"> </w:t>
            </w:r>
            <w:r>
              <w:rPr>
                <w:spacing w:val="11"/>
                <w:sz w:val="20"/>
                <w:szCs w:val="20"/>
              </w:rPr>
              <w:t>l.0m</w:t>
            </w:r>
            <w:r>
              <w:rPr>
                <w:spacing w:val="-14"/>
                <w:sz w:val="20"/>
                <w:szCs w:val="20"/>
              </w:rPr>
              <w:t xml:space="preserve"> </w:t>
            </w:r>
            <w:r>
              <w:rPr>
                <w:rFonts w:ascii="仿宋" w:hAnsi="仿宋" w:eastAsia="仿宋" w:cs="仿宋"/>
                <w:spacing w:val="11"/>
                <w:sz w:val="20"/>
                <w:szCs w:val="20"/>
              </w:rPr>
              <w:t>，挖方路段为路堑坡顶（或截水沟）</w:t>
            </w:r>
            <w:r>
              <w:rPr>
                <w:rFonts w:ascii="仿宋" w:hAnsi="仿宋" w:eastAsia="仿宋" w:cs="仿宋"/>
                <w:spacing w:val="-46"/>
                <w:sz w:val="20"/>
                <w:szCs w:val="20"/>
              </w:rPr>
              <w:t xml:space="preserve"> </w:t>
            </w:r>
            <w:r>
              <w:rPr>
                <w:rFonts w:ascii="仿宋" w:hAnsi="仿宋" w:eastAsia="仿宋" w:cs="仿宋"/>
                <w:spacing w:val="11"/>
                <w:sz w:val="20"/>
                <w:szCs w:val="20"/>
              </w:rPr>
              <w:t>以外</w:t>
            </w:r>
            <w:r>
              <w:rPr>
                <w:rFonts w:ascii="仿宋" w:hAnsi="仿宋" w:eastAsia="仿宋" w:cs="仿宋"/>
                <w:sz w:val="20"/>
                <w:szCs w:val="20"/>
              </w:rPr>
              <w:t xml:space="preserve"> </w:t>
            </w:r>
            <w:r>
              <w:rPr>
                <w:spacing w:val="10"/>
                <w:sz w:val="20"/>
                <w:szCs w:val="20"/>
              </w:rPr>
              <w:t>l.0m</w:t>
            </w:r>
            <w:r>
              <w:rPr>
                <w:rFonts w:ascii="仿宋" w:hAnsi="仿宋" w:eastAsia="仿宋" w:cs="仿宋"/>
                <w:spacing w:val="10"/>
                <w:sz w:val="20"/>
                <w:szCs w:val="20"/>
              </w:rPr>
              <w:t>。</w:t>
            </w:r>
          </w:p>
          <w:p w14:paraId="1091AD1B">
            <w:pPr>
              <w:pStyle w:val="6"/>
              <w:spacing w:before="36" w:line="231" w:lineRule="auto"/>
              <w:ind w:left="497"/>
              <w:rPr>
                <w:rFonts w:ascii="仿宋" w:hAnsi="仿宋" w:eastAsia="仿宋" w:cs="仿宋"/>
                <w:sz w:val="20"/>
                <w:szCs w:val="20"/>
              </w:rPr>
            </w:pPr>
            <w:r>
              <w:rPr>
                <w:rFonts w:ascii="仿宋" w:hAnsi="仿宋" w:eastAsia="仿宋" w:cs="仿宋"/>
                <w:spacing w:val="1"/>
                <w:sz w:val="20"/>
                <w:szCs w:val="20"/>
              </w:rPr>
              <w:t>（</w:t>
            </w:r>
            <w:r>
              <w:rPr>
                <w:rFonts w:ascii="仿宋" w:hAnsi="仿宋" w:eastAsia="仿宋" w:cs="仿宋"/>
                <w:spacing w:val="-57"/>
                <w:sz w:val="20"/>
                <w:szCs w:val="20"/>
              </w:rPr>
              <w:t xml:space="preserve"> </w:t>
            </w:r>
            <w:r>
              <w:rPr>
                <w:spacing w:val="1"/>
                <w:sz w:val="20"/>
                <w:szCs w:val="20"/>
              </w:rPr>
              <w:t>l</w:t>
            </w:r>
            <w:r>
              <w:rPr>
                <w:rFonts w:ascii="仿宋" w:hAnsi="仿宋" w:eastAsia="仿宋" w:cs="仿宋"/>
                <w:spacing w:val="1"/>
                <w:sz w:val="20"/>
                <w:szCs w:val="20"/>
              </w:rPr>
              <w:t>）</w:t>
            </w:r>
            <w:r>
              <w:rPr>
                <w:rFonts w:ascii="仿宋" w:hAnsi="仿宋" w:eastAsia="仿宋" w:cs="仿宋"/>
                <w:spacing w:val="-52"/>
                <w:sz w:val="20"/>
                <w:szCs w:val="20"/>
              </w:rPr>
              <w:t xml:space="preserve"> </w:t>
            </w:r>
            <w:r>
              <w:rPr>
                <w:rFonts w:ascii="仿宋" w:hAnsi="仿宋" w:eastAsia="仿宋" w:cs="仿宋"/>
                <w:spacing w:val="1"/>
                <w:sz w:val="20"/>
                <w:szCs w:val="20"/>
              </w:rPr>
              <w:t>永久</w:t>
            </w:r>
            <w:r>
              <w:rPr>
                <w:rFonts w:ascii="仿宋" w:hAnsi="仿宋" w:eastAsia="仿宋" w:cs="仿宋"/>
                <w:spacing w:val="-33"/>
                <w:sz w:val="20"/>
                <w:szCs w:val="20"/>
              </w:rPr>
              <w:t xml:space="preserve"> </w:t>
            </w:r>
            <w:r>
              <w:rPr>
                <w:rFonts w:ascii="仿宋" w:hAnsi="仿宋" w:eastAsia="仿宋" w:cs="仿宋"/>
                <w:spacing w:val="1"/>
                <w:sz w:val="20"/>
                <w:szCs w:val="20"/>
              </w:rPr>
              <w:t>占地</w:t>
            </w:r>
          </w:p>
          <w:p w14:paraId="111D419A">
            <w:pPr>
              <w:pStyle w:val="6"/>
              <w:spacing w:before="158" w:line="374" w:lineRule="auto"/>
              <w:ind w:left="4" w:right="6" w:firstLine="492"/>
              <w:rPr>
                <w:rFonts w:ascii="仿宋" w:hAnsi="仿宋" w:eastAsia="仿宋" w:cs="仿宋"/>
                <w:sz w:val="20"/>
                <w:szCs w:val="20"/>
              </w:rPr>
            </w:pPr>
            <w:r>
              <w:rPr>
                <w:rFonts w:ascii="仿宋" w:hAnsi="仿宋" w:eastAsia="仿宋" w:cs="仿宋"/>
                <w:sz w:val="20"/>
                <w:szCs w:val="20"/>
              </w:rPr>
              <w:t>全</w:t>
            </w:r>
            <w:r>
              <w:rPr>
                <w:rFonts w:ascii="仿宋" w:hAnsi="仿宋" w:eastAsia="仿宋" w:cs="仿宋"/>
                <w:spacing w:val="-39"/>
                <w:sz w:val="20"/>
                <w:szCs w:val="20"/>
              </w:rPr>
              <w:t xml:space="preserve"> </w:t>
            </w:r>
            <w:r>
              <w:rPr>
                <w:rFonts w:ascii="仿宋" w:hAnsi="仿宋" w:eastAsia="仿宋" w:cs="仿宋"/>
                <w:sz w:val="20"/>
                <w:szCs w:val="20"/>
              </w:rPr>
              <w:t>线</w:t>
            </w:r>
            <w:r>
              <w:rPr>
                <w:rFonts w:ascii="仿宋" w:hAnsi="仿宋" w:eastAsia="仿宋" w:cs="仿宋"/>
                <w:spacing w:val="-36"/>
                <w:sz w:val="20"/>
                <w:szCs w:val="20"/>
              </w:rPr>
              <w:t xml:space="preserve"> </w:t>
            </w:r>
            <w:r>
              <w:rPr>
                <w:rFonts w:ascii="仿宋" w:hAnsi="仿宋" w:eastAsia="仿宋" w:cs="仿宋"/>
                <w:sz w:val="20"/>
                <w:szCs w:val="20"/>
              </w:rPr>
              <w:t>总 占</w:t>
            </w:r>
            <w:r>
              <w:rPr>
                <w:rFonts w:ascii="仿宋" w:hAnsi="仿宋" w:eastAsia="仿宋" w:cs="仿宋"/>
                <w:spacing w:val="-45"/>
                <w:sz w:val="20"/>
                <w:szCs w:val="20"/>
              </w:rPr>
              <w:t xml:space="preserve"> </w:t>
            </w:r>
            <w:r>
              <w:rPr>
                <w:rFonts w:ascii="仿宋" w:hAnsi="仿宋" w:eastAsia="仿宋" w:cs="仿宋"/>
                <w:sz w:val="20"/>
                <w:szCs w:val="20"/>
              </w:rPr>
              <w:t xml:space="preserve">地 </w:t>
            </w:r>
            <w:r>
              <w:rPr>
                <w:sz w:val="20"/>
                <w:szCs w:val="20"/>
              </w:rPr>
              <w:t>l3.58hm</w:t>
            </w:r>
            <w:r>
              <w:rPr>
                <w:position w:val="6"/>
                <w:sz w:val="13"/>
                <w:szCs w:val="13"/>
              </w:rPr>
              <w:t xml:space="preserve">2 </w:t>
            </w:r>
            <w:r>
              <w:rPr>
                <w:rFonts w:ascii="仿宋" w:hAnsi="仿宋" w:eastAsia="仿宋" w:cs="仿宋"/>
                <w:sz w:val="20"/>
                <w:szCs w:val="20"/>
              </w:rPr>
              <w:t>（ 十</w:t>
            </w:r>
            <w:r>
              <w:rPr>
                <w:rFonts w:ascii="仿宋" w:hAnsi="仿宋" w:eastAsia="仿宋" w:cs="仿宋"/>
                <w:spacing w:val="-44"/>
                <w:sz w:val="20"/>
                <w:szCs w:val="20"/>
              </w:rPr>
              <w:t xml:space="preserve"> </w:t>
            </w:r>
            <w:r>
              <w:rPr>
                <w:rFonts w:ascii="仿宋" w:hAnsi="仿宋" w:eastAsia="仿宋" w:cs="仿宋"/>
                <w:sz w:val="20"/>
                <w:szCs w:val="20"/>
              </w:rPr>
              <w:t>二</w:t>
            </w:r>
            <w:r>
              <w:rPr>
                <w:rFonts w:ascii="仿宋" w:hAnsi="仿宋" w:eastAsia="仿宋" w:cs="仿宋"/>
                <w:spacing w:val="-49"/>
                <w:sz w:val="20"/>
                <w:szCs w:val="20"/>
              </w:rPr>
              <w:t xml:space="preserve"> </w:t>
            </w:r>
            <w:r>
              <w:rPr>
                <w:rFonts w:ascii="仿宋" w:hAnsi="仿宋" w:eastAsia="仿宋" w:cs="仿宋"/>
                <w:sz w:val="20"/>
                <w:szCs w:val="20"/>
              </w:rPr>
              <w:t>连</w:t>
            </w:r>
            <w:r>
              <w:rPr>
                <w:rFonts w:ascii="仿宋" w:hAnsi="仿宋" w:eastAsia="仿宋" w:cs="仿宋"/>
                <w:spacing w:val="-49"/>
                <w:sz w:val="20"/>
                <w:szCs w:val="20"/>
              </w:rPr>
              <w:t xml:space="preserve"> </w:t>
            </w:r>
            <w:r>
              <w:rPr>
                <w:rFonts w:ascii="仿宋" w:hAnsi="仿宋" w:eastAsia="仿宋" w:cs="仿宋"/>
                <w:sz w:val="20"/>
                <w:szCs w:val="20"/>
              </w:rPr>
              <w:t>城</w:t>
            </w:r>
            <w:r>
              <w:rPr>
                <w:rFonts w:ascii="仿宋" w:hAnsi="仿宋" w:eastAsia="仿宋" w:cs="仿宋"/>
                <w:spacing w:val="-48"/>
                <w:sz w:val="20"/>
                <w:szCs w:val="20"/>
              </w:rPr>
              <w:t xml:space="preserve"> </w:t>
            </w:r>
            <w:r>
              <w:rPr>
                <w:rFonts w:ascii="仿宋" w:hAnsi="仿宋" w:eastAsia="仿宋" w:cs="仿宋"/>
                <w:sz w:val="20"/>
                <w:szCs w:val="20"/>
              </w:rPr>
              <w:t>用地</w:t>
            </w:r>
            <w:r>
              <w:rPr>
                <w:rFonts w:ascii="仿宋" w:hAnsi="仿宋" w:eastAsia="仿宋" w:cs="仿宋"/>
                <w:spacing w:val="-44"/>
                <w:sz w:val="20"/>
                <w:szCs w:val="20"/>
              </w:rPr>
              <w:t xml:space="preserve"> </w:t>
            </w:r>
            <w:r>
              <w:rPr>
                <w:rFonts w:ascii="仿宋" w:hAnsi="仿宋" w:eastAsia="仿宋" w:cs="仿宋"/>
                <w:sz w:val="20"/>
                <w:szCs w:val="20"/>
              </w:rPr>
              <w:t>面</w:t>
            </w:r>
            <w:r>
              <w:rPr>
                <w:rFonts w:ascii="仿宋" w:hAnsi="仿宋" w:eastAsia="仿宋" w:cs="仿宋"/>
                <w:spacing w:val="-44"/>
                <w:sz w:val="20"/>
                <w:szCs w:val="20"/>
              </w:rPr>
              <w:t xml:space="preserve"> </w:t>
            </w:r>
            <w:r>
              <w:rPr>
                <w:rFonts w:ascii="仿宋" w:hAnsi="仿宋" w:eastAsia="仿宋" w:cs="仿宋"/>
                <w:sz w:val="20"/>
                <w:szCs w:val="20"/>
              </w:rPr>
              <w:t xml:space="preserve">积 </w:t>
            </w:r>
            <w:r>
              <w:rPr>
                <w:sz w:val="20"/>
                <w:szCs w:val="20"/>
              </w:rPr>
              <w:t>7.</w:t>
            </w:r>
            <w:r>
              <w:rPr>
                <w:spacing w:val="-22"/>
                <w:sz w:val="20"/>
                <w:szCs w:val="20"/>
              </w:rPr>
              <w:t xml:space="preserve"> </w:t>
            </w:r>
            <w:r>
              <w:rPr>
                <w:sz w:val="20"/>
                <w:szCs w:val="20"/>
              </w:rPr>
              <w:t>l4hm</w:t>
            </w:r>
            <w:r>
              <w:rPr>
                <w:position w:val="6"/>
                <w:sz w:val="13"/>
                <w:szCs w:val="13"/>
              </w:rPr>
              <w:t>2</w:t>
            </w:r>
            <w:r>
              <w:rPr>
                <w:spacing w:val="26"/>
                <w:position w:val="6"/>
                <w:sz w:val="13"/>
                <w:szCs w:val="13"/>
              </w:rPr>
              <w:t xml:space="preserve"> </w:t>
            </w:r>
            <w:r>
              <w:rPr>
                <w:rFonts w:ascii="仿宋" w:hAnsi="仿宋" w:eastAsia="仿宋" w:cs="仿宋"/>
                <w:sz w:val="20"/>
                <w:szCs w:val="20"/>
              </w:rPr>
              <w:t>，</w:t>
            </w:r>
            <w:r>
              <w:rPr>
                <w:rFonts w:ascii="仿宋" w:hAnsi="仿宋" w:eastAsia="仿宋" w:cs="仿宋"/>
                <w:spacing w:val="-39"/>
                <w:sz w:val="20"/>
                <w:szCs w:val="20"/>
              </w:rPr>
              <w:t xml:space="preserve"> </w:t>
            </w:r>
            <w:r>
              <w:rPr>
                <w:rFonts w:ascii="仿宋" w:hAnsi="仿宋" w:eastAsia="仿宋" w:cs="仿宋"/>
                <w:sz w:val="20"/>
                <w:szCs w:val="20"/>
              </w:rPr>
              <w:t>沙</w:t>
            </w:r>
            <w:r>
              <w:rPr>
                <w:rFonts w:ascii="仿宋" w:hAnsi="仿宋" w:eastAsia="仿宋" w:cs="仿宋"/>
                <w:spacing w:val="-42"/>
                <w:sz w:val="20"/>
                <w:szCs w:val="20"/>
              </w:rPr>
              <w:t xml:space="preserve"> </w:t>
            </w:r>
            <w:r>
              <w:rPr>
                <w:rFonts w:ascii="仿宋" w:hAnsi="仿宋" w:eastAsia="仿宋" w:cs="仿宋"/>
                <w:sz w:val="20"/>
                <w:szCs w:val="20"/>
              </w:rPr>
              <w:t>圪</w:t>
            </w:r>
            <w:r>
              <w:rPr>
                <w:rFonts w:ascii="仿宋" w:hAnsi="仿宋" w:eastAsia="仿宋" w:cs="仿宋"/>
                <w:spacing w:val="-49"/>
                <w:sz w:val="20"/>
                <w:szCs w:val="20"/>
              </w:rPr>
              <w:t xml:space="preserve"> </w:t>
            </w:r>
            <w:r>
              <w:rPr>
                <w:rFonts w:ascii="仿宋" w:hAnsi="仿宋" w:eastAsia="仿宋" w:cs="仿宋"/>
                <w:sz w:val="20"/>
                <w:szCs w:val="20"/>
              </w:rPr>
              <w:t>堵</w:t>
            </w:r>
            <w:r>
              <w:rPr>
                <w:rFonts w:ascii="仿宋" w:hAnsi="仿宋" w:eastAsia="仿宋" w:cs="仿宋"/>
                <w:spacing w:val="-45"/>
                <w:sz w:val="20"/>
                <w:szCs w:val="20"/>
              </w:rPr>
              <w:t xml:space="preserve"> </w:t>
            </w:r>
            <w:r>
              <w:rPr>
                <w:rFonts w:ascii="仿宋" w:hAnsi="仿宋" w:eastAsia="仿宋" w:cs="仿宋"/>
                <w:sz w:val="20"/>
                <w:szCs w:val="20"/>
              </w:rPr>
              <w:t>用地</w:t>
            </w:r>
            <w:r>
              <w:rPr>
                <w:rFonts w:ascii="仿宋" w:hAnsi="仿宋" w:eastAsia="仿宋" w:cs="仿宋"/>
                <w:spacing w:val="-42"/>
                <w:sz w:val="20"/>
                <w:szCs w:val="20"/>
              </w:rPr>
              <w:t xml:space="preserve"> </w:t>
            </w:r>
            <w:r>
              <w:rPr>
                <w:rFonts w:ascii="仿宋" w:hAnsi="仿宋" w:eastAsia="仿宋" w:cs="仿宋"/>
                <w:sz w:val="20"/>
                <w:szCs w:val="20"/>
              </w:rPr>
              <w:t>面</w:t>
            </w:r>
            <w:r>
              <w:rPr>
                <w:rFonts w:ascii="仿宋" w:hAnsi="仿宋" w:eastAsia="仿宋" w:cs="仿宋"/>
                <w:spacing w:val="-46"/>
                <w:sz w:val="20"/>
                <w:szCs w:val="20"/>
              </w:rPr>
              <w:t xml:space="preserve"> </w:t>
            </w:r>
            <w:r>
              <w:rPr>
                <w:rFonts w:ascii="仿宋" w:hAnsi="仿宋" w:eastAsia="仿宋" w:cs="仿宋"/>
                <w:sz w:val="20"/>
                <w:szCs w:val="20"/>
              </w:rPr>
              <w:t>积</w:t>
            </w:r>
            <w:r>
              <w:rPr>
                <w:spacing w:val="10"/>
                <w:sz w:val="20"/>
                <w:szCs w:val="20"/>
              </w:rPr>
              <w:t>6.44</w:t>
            </w:r>
            <w:r>
              <w:rPr>
                <w:sz w:val="20"/>
                <w:szCs w:val="20"/>
              </w:rPr>
              <w:t>hm</w:t>
            </w:r>
            <w:r>
              <w:rPr>
                <w:spacing w:val="10"/>
                <w:position w:val="1"/>
                <w:sz w:val="13"/>
                <w:szCs w:val="13"/>
              </w:rPr>
              <w:t>2</w:t>
            </w:r>
            <w:r>
              <w:rPr>
                <w:spacing w:val="12"/>
                <w:w w:val="101"/>
                <w:position w:val="1"/>
                <w:sz w:val="13"/>
                <w:szCs w:val="13"/>
              </w:rPr>
              <w:t xml:space="preserve"> </w:t>
            </w:r>
            <w:r>
              <w:rPr>
                <w:rFonts w:ascii="仿宋" w:hAnsi="仿宋" w:eastAsia="仿宋" w:cs="仿宋"/>
                <w:spacing w:val="-3"/>
                <w:position w:val="1"/>
                <w:sz w:val="20"/>
                <w:szCs w:val="20"/>
              </w:rPr>
              <w:t>）</w:t>
            </w:r>
            <w:r>
              <w:rPr>
                <w:rFonts w:ascii="仿宋" w:hAnsi="仿宋" w:eastAsia="仿宋" w:cs="仿宋"/>
                <w:spacing w:val="-45"/>
                <w:position w:val="1"/>
                <w:sz w:val="20"/>
                <w:szCs w:val="20"/>
              </w:rPr>
              <w:t xml:space="preserve"> </w:t>
            </w:r>
            <w:r>
              <w:rPr>
                <w:rFonts w:ascii="仿宋" w:hAnsi="仿宋" w:eastAsia="仿宋" w:cs="仿宋"/>
                <w:spacing w:val="-3"/>
                <w:sz w:val="20"/>
                <w:szCs w:val="20"/>
              </w:rPr>
              <w:t>，</w:t>
            </w:r>
            <w:r>
              <w:rPr>
                <w:rFonts w:ascii="仿宋" w:hAnsi="仿宋" w:eastAsia="仿宋" w:cs="仿宋"/>
                <w:spacing w:val="10"/>
                <w:sz w:val="20"/>
                <w:szCs w:val="20"/>
              </w:rPr>
              <w:t>其中</w:t>
            </w:r>
            <w:r>
              <w:rPr>
                <w:rFonts w:ascii="仿宋" w:hAnsi="仿宋" w:eastAsia="仿宋" w:cs="仿宋"/>
                <w:spacing w:val="-60"/>
                <w:sz w:val="20"/>
                <w:szCs w:val="20"/>
              </w:rPr>
              <w:t xml:space="preserve"> </w:t>
            </w:r>
            <w:r>
              <w:rPr>
                <w:rFonts w:ascii="仿宋" w:hAnsi="仿宋" w:eastAsia="仿宋" w:cs="仿宋"/>
                <w:spacing w:val="10"/>
                <w:sz w:val="20"/>
                <w:szCs w:val="20"/>
              </w:rPr>
              <w:t>，现状已有土路占地面积为</w:t>
            </w:r>
            <w:r>
              <w:rPr>
                <w:rFonts w:ascii="仿宋" w:hAnsi="仿宋" w:eastAsia="仿宋" w:cs="仿宋"/>
                <w:spacing w:val="-29"/>
                <w:sz w:val="20"/>
                <w:szCs w:val="20"/>
              </w:rPr>
              <w:t xml:space="preserve"> </w:t>
            </w:r>
            <w:r>
              <w:rPr>
                <w:spacing w:val="10"/>
                <w:sz w:val="20"/>
                <w:szCs w:val="20"/>
              </w:rPr>
              <w:t>9.9437</w:t>
            </w:r>
            <w:r>
              <w:rPr>
                <w:sz w:val="20"/>
                <w:szCs w:val="20"/>
              </w:rPr>
              <w:t>hm</w:t>
            </w:r>
            <w:r>
              <w:rPr>
                <w:spacing w:val="10"/>
                <w:position w:val="6"/>
                <w:sz w:val="13"/>
                <w:szCs w:val="13"/>
              </w:rPr>
              <w:t xml:space="preserve">2 </w:t>
            </w:r>
            <w:r>
              <w:rPr>
                <w:rFonts w:ascii="仿宋" w:hAnsi="仿宋" w:eastAsia="仿宋" w:cs="仿宋"/>
                <w:spacing w:val="10"/>
                <w:sz w:val="20"/>
                <w:szCs w:val="20"/>
              </w:rPr>
              <w:t>；路基加宽侧</w:t>
            </w:r>
            <w:r>
              <w:rPr>
                <w:rFonts w:ascii="仿宋" w:hAnsi="仿宋" w:eastAsia="仿宋" w:cs="仿宋"/>
                <w:spacing w:val="-41"/>
                <w:sz w:val="20"/>
                <w:szCs w:val="20"/>
              </w:rPr>
              <w:t xml:space="preserve"> </w:t>
            </w:r>
            <w:r>
              <w:rPr>
                <w:rFonts w:ascii="仿宋" w:hAnsi="仿宋" w:eastAsia="仿宋" w:cs="仿宋"/>
                <w:spacing w:val="10"/>
                <w:sz w:val="20"/>
                <w:szCs w:val="20"/>
              </w:rPr>
              <w:t>占地面积为</w:t>
            </w:r>
            <w:r>
              <w:rPr>
                <w:spacing w:val="3"/>
                <w:sz w:val="20"/>
                <w:szCs w:val="20"/>
              </w:rPr>
              <w:t>3.6363</w:t>
            </w:r>
            <w:r>
              <w:rPr>
                <w:sz w:val="20"/>
                <w:szCs w:val="20"/>
              </w:rPr>
              <w:t>hm</w:t>
            </w:r>
            <w:r>
              <w:rPr>
                <w:spacing w:val="3"/>
                <w:sz w:val="20"/>
                <w:szCs w:val="20"/>
              </w:rPr>
              <w:t>2</w:t>
            </w:r>
            <w:r>
              <w:rPr>
                <w:spacing w:val="-15"/>
                <w:sz w:val="20"/>
                <w:szCs w:val="20"/>
              </w:rPr>
              <w:t xml:space="preserve"> </w:t>
            </w:r>
            <w:r>
              <w:rPr>
                <w:rFonts w:ascii="仿宋" w:hAnsi="仿宋" w:eastAsia="仿宋" w:cs="仿宋"/>
                <w:spacing w:val="3"/>
                <w:sz w:val="20"/>
                <w:szCs w:val="20"/>
              </w:rPr>
              <w:t>，</w:t>
            </w:r>
            <w:r>
              <w:rPr>
                <w:rFonts w:ascii="仿宋" w:hAnsi="仿宋" w:eastAsia="仿宋" w:cs="仿宋"/>
                <w:spacing w:val="-44"/>
                <w:sz w:val="20"/>
                <w:szCs w:val="20"/>
              </w:rPr>
              <w:t xml:space="preserve"> </w:t>
            </w:r>
            <w:r>
              <w:rPr>
                <w:rFonts w:ascii="仿宋" w:hAnsi="仿宋" w:eastAsia="仿宋" w:cs="仿宋"/>
                <w:spacing w:val="3"/>
                <w:sz w:val="20"/>
                <w:szCs w:val="20"/>
              </w:rPr>
              <w:t>占地类型主要为草地、林地和裸土地等。</w:t>
            </w:r>
          </w:p>
          <w:p w14:paraId="7D75F563">
            <w:pPr>
              <w:pStyle w:val="6"/>
              <w:spacing w:before="1" w:line="229" w:lineRule="auto"/>
              <w:ind w:left="430"/>
              <w:rPr>
                <w:rFonts w:ascii="仿宋" w:hAnsi="仿宋" w:eastAsia="仿宋" w:cs="仿宋"/>
                <w:sz w:val="20"/>
                <w:szCs w:val="20"/>
              </w:rPr>
            </w:pPr>
            <w:r>
              <w:rPr>
                <w:rFonts w:ascii="仿宋" w:hAnsi="仿宋" w:eastAsia="仿宋" w:cs="仿宋"/>
                <w:spacing w:val="7"/>
                <w:sz w:val="20"/>
                <w:szCs w:val="20"/>
              </w:rPr>
              <w:t>拟建路线占地类型情况详见表</w:t>
            </w:r>
            <w:r>
              <w:rPr>
                <w:rFonts w:ascii="仿宋" w:hAnsi="仿宋" w:eastAsia="仿宋" w:cs="仿宋"/>
                <w:spacing w:val="-40"/>
                <w:sz w:val="20"/>
                <w:szCs w:val="20"/>
              </w:rPr>
              <w:t xml:space="preserve"> </w:t>
            </w:r>
            <w:r>
              <w:rPr>
                <w:spacing w:val="7"/>
                <w:sz w:val="20"/>
                <w:szCs w:val="20"/>
              </w:rPr>
              <w:t>2-3</w:t>
            </w:r>
            <w:r>
              <w:rPr>
                <w:rFonts w:ascii="仿宋" w:hAnsi="仿宋" w:eastAsia="仿宋" w:cs="仿宋"/>
                <w:spacing w:val="7"/>
                <w:sz w:val="20"/>
                <w:szCs w:val="20"/>
              </w:rPr>
              <w:t>。</w:t>
            </w:r>
          </w:p>
          <w:p w14:paraId="46EF47A8">
            <w:pPr>
              <w:pStyle w:val="6"/>
              <w:spacing w:before="159" w:line="231" w:lineRule="auto"/>
              <w:ind w:left="2131"/>
              <w:rPr>
                <w:rFonts w:ascii="仿宋" w:hAnsi="仿宋" w:eastAsia="仿宋" w:cs="仿宋"/>
                <w:sz w:val="20"/>
                <w:szCs w:val="20"/>
              </w:rPr>
            </w:pPr>
            <w:r>
              <w:rPr>
                <w:rFonts w:ascii="仿宋" w:hAnsi="仿宋" w:eastAsia="仿宋" w:cs="仿宋"/>
                <w:b/>
                <w:bCs/>
                <w:spacing w:val="5"/>
                <w:sz w:val="20"/>
                <w:szCs w:val="20"/>
              </w:rPr>
              <w:t>表</w:t>
            </w:r>
            <w:r>
              <w:rPr>
                <w:rFonts w:ascii="仿宋" w:hAnsi="仿宋" w:eastAsia="仿宋" w:cs="仿宋"/>
                <w:spacing w:val="-39"/>
                <w:sz w:val="20"/>
                <w:szCs w:val="20"/>
              </w:rPr>
              <w:t xml:space="preserve"> </w:t>
            </w:r>
            <w:r>
              <w:rPr>
                <w:b/>
                <w:bCs/>
                <w:spacing w:val="5"/>
                <w:sz w:val="20"/>
                <w:szCs w:val="20"/>
              </w:rPr>
              <w:t xml:space="preserve">2-3          </w:t>
            </w:r>
            <w:r>
              <w:rPr>
                <w:rFonts w:ascii="仿宋" w:hAnsi="仿宋" w:eastAsia="仿宋" w:cs="仿宋"/>
                <w:b/>
                <w:bCs/>
                <w:spacing w:val="5"/>
                <w:sz w:val="20"/>
                <w:szCs w:val="20"/>
              </w:rPr>
              <w:t>拟建路线占地类型情况一</w:t>
            </w:r>
            <w:r>
              <w:rPr>
                <w:rFonts w:ascii="仿宋" w:hAnsi="仿宋" w:eastAsia="仿宋" w:cs="仿宋"/>
                <w:b/>
                <w:bCs/>
                <w:spacing w:val="4"/>
                <w:sz w:val="20"/>
                <w:szCs w:val="20"/>
              </w:rPr>
              <w:t>览表</w:t>
            </w:r>
          </w:p>
        </w:tc>
      </w:tr>
      <w:tr w14:paraId="5A5713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rPr>
        <w:tc>
          <w:tcPr>
            <w:tcW w:w="737" w:type="dxa"/>
            <w:vMerge w:val="continue"/>
            <w:tcBorders>
              <w:top w:val="nil"/>
              <w:left w:val="single" w:color="000000" w:sz="6" w:space="0"/>
              <w:bottom w:val="nil"/>
            </w:tcBorders>
            <w:vAlign w:val="top"/>
          </w:tcPr>
          <w:p w14:paraId="1844C7BF">
            <w:pPr>
              <w:rPr>
                <w:rFonts w:ascii="Arial"/>
                <w:sz w:val="21"/>
              </w:rPr>
            </w:pPr>
          </w:p>
        </w:tc>
        <w:tc>
          <w:tcPr>
            <w:tcW w:w="828" w:type="dxa"/>
            <w:gridSpan w:val="2"/>
            <w:vMerge w:val="restart"/>
            <w:tcBorders>
              <w:top w:val="single" w:color="000000" w:sz="10" w:space="0"/>
              <w:bottom w:val="nil"/>
            </w:tcBorders>
            <w:vAlign w:val="top"/>
          </w:tcPr>
          <w:p w14:paraId="784C59CE">
            <w:pPr>
              <w:spacing w:before="261"/>
              <w:ind w:left="332" w:right="144" w:hanging="180"/>
              <w:rPr>
                <w:rFonts w:ascii="仿宋" w:hAnsi="仿宋" w:eastAsia="仿宋" w:cs="仿宋"/>
                <w:sz w:val="18"/>
                <w:szCs w:val="18"/>
              </w:rPr>
            </w:pPr>
            <w:r>
              <w:rPr>
                <w:rFonts w:ascii="仿宋" w:hAnsi="仿宋" w:eastAsia="仿宋" w:cs="仿宋"/>
                <w:spacing w:val="-5"/>
                <w:sz w:val="18"/>
                <w:szCs w:val="18"/>
              </w:rPr>
              <w:t>土地类</w:t>
            </w:r>
            <w:r>
              <w:rPr>
                <w:rFonts w:ascii="仿宋" w:hAnsi="仿宋" w:eastAsia="仿宋" w:cs="仿宋"/>
                <w:sz w:val="18"/>
                <w:szCs w:val="18"/>
              </w:rPr>
              <w:t>别</w:t>
            </w:r>
          </w:p>
        </w:tc>
        <w:tc>
          <w:tcPr>
            <w:tcW w:w="2472" w:type="dxa"/>
            <w:gridSpan w:val="5"/>
            <w:tcBorders>
              <w:top w:val="single" w:color="000000" w:sz="10" w:space="0"/>
            </w:tcBorders>
            <w:vAlign w:val="top"/>
          </w:tcPr>
          <w:p w14:paraId="7C859C56">
            <w:pPr>
              <w:spacing w:before="139" w:line="222" w:lineRule="auto"/>
              <w:ind w:left="1061"/>
              <w:rPr>
                <w:rFonts w:ascii="仿宋" w:hAnsi="仿宋" w:eastAsia="仿宋" w:cs="仿宋"/>
                <w:sz w:val="18"/>
                <w:szCs w:val="18"/>
              </w:rPr>
            </w:pPr>
            <w:r>
              <w:rPr>
                <w:rFonts w:ascii="仿宋" w:hAnsi="仿宋" w:eastAsia="仿宋" w:cs="仿宋"/>
                <w:spacing w:val="-6"/>
                <w:sz w:val="18"/>
                <w:szCs w:val="18"/>
              </w:rPr>
              <w:t>林地</w:t>
            </w:r>
          </w:p>
        </w:tc>
        <w:tc>
          <w:tcPr>
            <w:tcW w:w="1617" w:type="dxa"/>
            <w:gridSpan w:val="2"/>
            <w:tcBorders>
              <w:top w:val="single" w:color="000000" w:sz="10" w:space="0"/>
            </w:tcBorders>
            <w:vAlign w:val="top"/>
          </w:tcPr>
          <w:p w14:paraId="3275DBEF">
            <w:pPr>
              <w:spacing w:before="139" w:line="222" w:lineRule="auto"/>
              <w:ind w:left="630"/>
              <w:rPr>
                <w:rFonts w:ascii="仿宋" w:hAnsi="仿宋" w:eastAsia="仿宋" w:cs="仿宋"/>
                <w:sz w:val="18"/>
                <w:szCs w:val="18"/>
              </w:rPr>
            </w:pPr>
            <w:r>
              <w:rPr>
                <w:rFonts w:ascii="仿宋" w:hAnsi="仿宋" w:eastAsia="仿宋" w:cs="仿宋"/>
                <w:spacing w:val="-8"/>
                <w:sz w:val="18"/>
                <w:szCs w:val="18"/>
              </w:rPr>
              <w:t>草地</w:t>
            </w:r>
          </w:p>
        </w:tc>
        <w:tc>
          <w:tcPr>
            <w:tcW w:w="1086" w:type="dxa"/>
            <w:tcBorders>
              <w:top w:val="single" w:color="000000" w:sz="10" w:space="0"/>
            </w:tcBorders>
            <w:vAlign w:val="top"/>
          </w:tcPr>
          <w:p w14:paraId="4700B82B">
            <w:pPr>
              <w:spacing w:before="24" w:line="219" w:lineRule="auto"/>
              <w:ind w:left="351" w:right="200" w:hanging="175"/>
              <w:rPr>
                <w:rFonts w:ascii="仿宋" w:hAnsi="仿宋" w:eastAsia="仿宋" w:cs="仿宋"/>
                <w:sz w:val="18"/>
                <w:szCs w:val="18"/>
              </w:rPr>
            </w:pPr>
            <w:r>
              <w:rPr>
                <w:rFonts w:ascii="仿宋" w:hAnsi="仿宋" w:eastAsia="仿宋" w:cs="仿宋"/>
                <w:spacing w:val="-5"/>
                <w:sz w:val="18"/>
                <w:szCs w:val="18"/>
              </w:rPr>
              <w:t>交通运输</w:t>
            </w:r>
            <w:r>
              <w:rPr>
                <w:rFonts w:ascii="仿宋" w:hAnsi="仿宋" w:eastAsia="仿宋" w:cs="仿宋"/>
                <w:spacing w:val="-6"/>
                <w:sz w:val="18"/>
                <w:szCs w:val="18"/>
              </w:rPr>
              <w:t>用地</w:t>
            </w:r>
          </w:p>
        </w:tc>
        <w:tc>
          <w:tcPr>
            <w:tcW w:w="858" w:type="dxa"/>
            <w:tcBorders>
              <w:top w:val="single" w:color="000000" w:sz="10" w:space="0"/>
            </w:tcBorders>
            <w:vAlign w:val="top"/>
          </w:tcPr>
          <w:p w14:paraId="42F2B8A4">
            <w:pPr>
              <w:spacing w:before="24" w:line="219" w:lineRule="auto"/>
              <w:ind w:left="329" w:right="175" w:hanging="179"/>
              <w:rPr>
                <w:rFonts w:ascii="仿宋" w:hAnsi="仿宋" w:eastAsia="仿宋" w:cs="仿宋"/>
                <w:sz w:val="18"/>
                <w:szCs w:val="18"/>
              </w:rPr>
            </w:pPr>
            <w:r>
              <w:rPr>
                <w:rFonts w:ascii="仿宋" w:hAnsi="仿宋" w:eastAsia="仿宋" w:cs="仿宋"/>
                <w:spacing w:val="-5"/>
                <w:sz w:val="18"/>
                <w:szCs w:val="18"/>
              </w:rPr>
              <w:t>其他土</w:t>
            </w:r>
            <w:r>
              <w:rPr>
                <w:rFonts w:ascii="仿宋" w:hAnsi="仿宋" w:eastAsia="仿宋" w:cs="仿宋"/>
                <w:sz w:val="18"/>
                <w:szCs w:val="18"/>
              </w:rPr>
              <w:t>地</w:t>
            </w:r>
          </w:p>
        </w:tc>
        <w:tc>
          <w:tcPr>
            <w:tcW w:w="779" w:type="dxa"/>
            <w:vMerge w:val="restart"/>
            <w:tcBorders>
              <w:top w:val="single" w:color="000000" w:sz="10" w:space="0"/>
              <w:bottom w:val="nil"/>
              <w:right w:val="single" w:color="000000" w:sz="6" w:space="0"/>
            </w:tcBorders>
            <w:vAlign w:val="top"/>
          </w:tcPr>
          <w:p w14:paraId="597C40B0">
            <w:pPr>
              <w:spacing w:line="316" w:lineRule="auto"/>
              <w:rPr>
                <w:rFonts w:ascii="Arial"/>
                <w:sz w:val="21"/>
              </w:rPr>
            </w:pPr>
          </w:p>
          <w:p w14:paraId="7363B663">
            <w:pPr>
              <w:spacing w:before="59" w:line="222" w:lineRule="auto"/>
              <w:ind w:left="211"/>
              <w:rPr>
                <w:rFonts w:ascii="仿宋" w:hAnsi="仿宋" w:eastAsia="仿宋" w:cs="仿宋"/>
                <w:sz w:val="18"/>
                <w:szCs w:val="18"/>
              </w:rPr>
            </w:pPr>
            <w:r>
              <w:rPr>
                <w:rFonts w:ascii="仿宋" w:hAnsi="仿宋" w:eastAsia="仿宋" w:cs="仿宋"/>
                <w:spacing w:val="-10"/>
                <w:sz w:val="18"/>
                <w:szCs w:val="18"/>
              </w:rPr>
              <w:t>总计</w:t>
            </w:r>
          </w:p>
        </w:tc>
      </w:tr>
      <w:tr w14:paraId="67089B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737" w:type="dxa"/>
            <w:vMerge w:val="continue"/>
            <w:tcBorders>
              <w:top w:val="nil"/>
              <w:left w:val="single" w:color="000000" w:sz="6" w:space="0"/>
              <w:bottom w:val="nil"/>
            </w:tcBorders>
            <w:vAlign w:val="top"/>
          </w:tcPr>
          <w:p w14:paraId="7AD55233">
            <w:pPr>
              <w:rPr>
                <w:rFonts w:ascii="Arial"/>
                <w:sz w:val="21"/>
              </w:rPr>
            </w:pPr>
          </w:p>
        </w:tc>
        <w:tc>
          <w:tcPr>
            <w:tcW w:w="828" w:type="dxa"/>
            <w:gridSpan w:val="2"/>
            <w:vMerge w:val="continue"/>
            <w:tcBorders>
              <w:top w:val="nil"/>
            </w:tcBorders>
            <w:vAlign w:val="top"/>
          </w:tcPr>
          <w:p w14:paraId="52858BAD">
            <w:pPr>
              <w:rPr>
                <w:rFonts w:ascii="Arial"/>
                <w:sz w:val="21"/>
              </w:rPr>
            </w:pPr>
          </w:p>
        </w:tc>
        <w:tc>
          <w:tcPr>
            <w:tcW w:w="740" w:type="dxa"/>
            <w:gridSpan w:val="2"/>
            <w:vAlign w:val="top"/>
          </w:tcPr>
          <w:p w14:paraId="32EA52C3">
            <w:pPr>
              <w:spacing w:before="31" w:line="222" w:lineRule="auto"/>
              <w:ind w:left="198"/>
              <w:rPr>
                <w:rFonts w:ascii="仿宋" w:hAnsi="仿宋" w:eastAsia="仿宋" w:cs="仿宋"/>
                <w:sz w:val="18"/>
                <w:szCs w:val="18"/>
              </w:rPr>
            </w:pPr>
            <w:r>
              <w:rPr>
                <w:rFonts w:ascii="仿宋" w:hAnsi="仿宋" w:eastAsia="仿宋" w:cs="仿宋"/>
                <w:spacing w:val="-8"/>
                <w:sz w:val="18"/>
                <w:szCs w:val="18"/>
              </w:rPr>
              <w:t>乔木</w:t>
            </w:r>
          </w:p>
          <w:p w14:paraId="5725B3A1">
            <w:pPr>
              <w:spacing w:before="16" w:line="202" w:lineRule="auto"/>
              <w:ind w:left="195"/>
              <w:rPr>
                <w:rFonts w:ascii="仿宋" w:hAnsi="仿宋" w:eastAsia="仿宋" w:cs="仿宋"/>
                <w:sz w:val="18"/>
                <w:szCs w:val="18"/>
              </w:rPr>
            </w:pPr>
            <w:r>
              <w:rPr>
                <w:rFonts w:ascii="仿宋" w:hAnsi="仿宋" w:eastAsia="仿宋" w:cs="仿宋"/>
                <w:spacing w:val="-6"/>
                <w:sz w:val="18"/>
                <w:szCs w:val="18"/>
              </w:rPr>
              <w:t>林地</w:t>
            </w:r>
          </w:p>
        </w:tc>
        <w:tc>
          <w:tcPr>
            <w:tcW w:w="906" w:type="dxa"/>
            <w:vAlign w:val="top"/>
          </w:tcPr>
          <w:p w14:paraId="4DFDA2F0">
            <w:pPr>
              <w:spacing w:before="33" w:line="220" w:lineRule="auto"/>
              <w:ind w:left="369" w:right="182" w:hanging="177"/>
              <w:rPr>
                <w:rFonts w:ascii="仿宋" w:hAnsi="仿宋" w:eastAsia="仿宋" w:cs="仿宋"/>
                <w:sz w:val="18"/>
                <w:szCs w:val="18"/>
              </w:rPr>
            </w:pPr>
            <w:r>
              <w:rPr>
                <w:rFonts w:ascii="仿宋" w:hAnsi="仿宋" w:eastAsia="仿宋" w:cs="仿宋"/>
                <w:spacing w:val="-5"/>
                <w:sz w:val="18"/>
                <w:szCs w:val="18"/>
              </w:rPr>
              <w:t>灌木林</w:t>
            </w:r>
            <w:r>
              <w:rPr>
                <w:rFonts w:ascii="仿宋" w:hAnsi="仿宋" w:eastAsia="仿宋" w:cs="仿宋"/>
                <w:sz w:val="18"/>
                <w:szCs w:val="18"/>
              </w:rPr>
              <w:t>地</w:t>
            </w:r>
          </w:p>
        </w:tc>
        <w:tc>
          <w:tcPr>
            <w:tcW w:w="826" w:type="dxa"/>
            <w:gridSpan w:val="2"/>
            <w:vAlign w:val="top"/>
          </w:tcPr>
          <w:p w14:paraId="43F3C88C">
            <w:pPr>
              <w:spacing w:before="33" w:line="220" w:lineRule="auto"/>
              <w:ind w:left="330" w:right="142" w:hanging="179"/>
              <w:rPr>
                <w:rFonts w:ascii="仿宋" w:hAnsi="仿宋" w:eastAsia="仿宋" w:cs="仿宋"/>
                <w:sz w:val="18"/>
                <w:szCs w:val="18"/>
              </w:rPr>
            </w:pPr>
            <w:r>
              <w:rPr>
                <w:rFonts w:ascii="仿宋" w:hAnsi="仿宋" w:eastAsia="仿宋" w:cs="仿宋"/>
                <w:spacing w:val="-5"/>
                <w:sz w:val="18"/>
                <w:szCs w:val="18"/>
              </w:rPr>
              <w:t>其他林</w:t>
            </w:r>
            <w:r>
              <w:rPr>
                <w:rFonts w:ascii="仿宋" w:hAnsi="仿宋" w:eastAsia="仿宋" w:cs="仿宋"/>
                <w:sz w:val="18"/>
                <w:szCs w:val="18"/>
              </w:rPr>
              <w:t>地</w:t>
            </w:r>
          </w:p>
        </w:tc>
        <w:tc>
          <w:tcPr>
            <w:tcW w:w="852" w:type="dxa"/>
            <w:vAlign w:val="top"/>
          </w:tcPr>
          <w:p w14:paraId="1419E3EF">
            <w:pPr>
              <w:spacing w:before="33" w:line="220" w:lineRule="auto"/>
              <w:ind w:left="238" w:right="171" w:hanging="90"/>
              <w:rPr>
                <w:rFonts w:ascii="仿宋" w:hAnsi="仿宋" w:eastAsia="仿宋" w:cs="仿宋"/>
                <w:sz w:val="18"/>
                <w:szCs w:val="18"/>
              </w:rPr>
            </w:pPr>
            <w:r>
              <w:rPr>
                <w:rFonts w:ascii="仿宋" w:hAnsi="仿宋" w:eastAsia="仿宋" w:cs="仿宋"/>
                <w:spacing w:val="-5"/>
                <w:sz w:val="18"/>
                <w:szCs w:val="18"/>
              </w:rPr>
              <w:t>天然牧</w:t>
            </w:r>
            <w:r>
              <w:rPr>
                <w:rFonts w:ascii="仿宋" w:hAnsi="仿宋" w:eastAsia="仿宋" w:cs="仿宋"/>
                <w:spacing w:val="-8"/>
                <w:sz w:val="18"/>
                <w:szCs w:val="18"/>
              </w:rPr>
              <w:t>草地</w:t>
            </w:r>
          </w:p>
        </w:tc>
        <w:tc>
          <w:tcPr>
            <w:tcW w:w="765" w:type="dxa"/>
            <w:vAlign w:val="top"/>
          </w:tcPr>
          <w:p w14:paraId="4D6EBB7C">
            <w:pPr>
              <w:spacing w:before="33" w:line="220" w:lineRule="auto"/>
              <w:ind w:left="272" w:right="139" w:hanging="179"/>
              <w:rPr>
                <w:rFonts w:ascii="仿宋" w:hAnsi="仿宋" w:eastAsia="仿宋" w:cs="仿宋"/>
                <w:sz w:val="18"/>
                <w:szCs w:val="18"/>
              </w:rPr>
            </w:pPr>
            <w:r>
              <w:rPr>
                <w:rFonts w:ascii="仿宋" w:hAnsi="仿宋" w:eastAsia="仿宋" w:cs="仿宋"/>
                <w:spacing w:val="-5"/>
                <w:sz w:val="18"/>
                <w:szCs w:val="18"/>
              </w:rPr>
              <w:t>其他草</w:t>
            </w:r>
            <w:r>
              <w:rPr>
                <w:rFonts w:ascii="仿宋" w:hAnsi="仿宋" w:eastAsia="仿宋" w:cs="仿宋"/>
                <w:sz w:val="18"/>
                <w:szCs w:val="18"/>
              </w:rPr>
              <w:t>地</w:t>
            </w:r>
          </w:p>
        </w:tc>
        <w:tc>
          <w:tcPr>
            <w:tcW w:w="1086" w:type="dxa"/>
            <w:vAlign w:val="top"/>
          </w:tcPr>
          <w:p w14:paraId="4EE8DCF9">
            <w:pPr>
              <w:spacing w:before="149" w:line="222" w:lineRule="auto"/>
              <w:ind w:left="172"/>
              <w:rPr>
                <w:rFonts w:ascii="仿宋" w:hAnsi="仿宋" w:eastAsia="仿宋" w:cs="仿宋"/>
                <w:sz w:val="18"/>
                <w:szCs w:val="18"/>
              </w:rPr>
            </w:pPr>
            <w:r>
              <w:rPr>
                <w:rFonts w:ascii="仿宋" w:hAnsi="仿宋" w:eastAsia="仿宋" w:cs="仿宋"/>
                <w:spacing w:val="-4"/>
                <w:sz w:val="18"/>
                <w:szCs w:val="18"/>
              </w:rPr>
              <w:t>农村道路</w:t>
            </w:r>
          </w:p>
        </w:tc>
        <w:tc>
          <w:tcPr>
            <w:tcW w:w="858" w:type="dxa"/>
            <w:vAlign w:val="top"/>
          </w:tcPr>
          <w:p w14:paraId="7C50F424">
            <w:pPr>
              <w:spacing w:before="149" w:line="221" w:lineRule="auto"/>
              <w:ind w:left="148"/>
              <w:rPr>
                <w:rFonts w:ascii="仿宋" w:hAnsi="仿宋" w:eastAsia="仿宋" w:cs="仿宋"/>
                <w:sz w:val="18"/>
                <w:szCs w:val="18"/>
              </w:rPr>
            </w:pPr>
            <w:r>
              <w:rPr>
                <w:rFonts w:ascii="仿宋" w:hAnsi="仿宋" w:eastAsia="仿宋" w:cs="仿宋"/>
                <w:spacing w:val="-4"/>
                <w:sz w:val="18"/>
                <w:szCs w:val="18"/>
              </w:rPr>
              <w:t>裸土地</w:t>
            </w:r>
          </w:p>
        </w:tc>
        <w:tc>
          <w:tcPr>
            <w:tcW w:w="779" w:type="dxa"/>
            <w:vMerge w:val="continue"/>
            <w:tcBorders>
              <w:top w:val="nil"/>
              <w:right w:val="single" w:color="000000" w:sz="6" w:space="0"/>
            </w:tcBorders>
            <w:vAlign w:val="top"/>
          </w:tcPr>
          <w:p w14:paraId="510C64D8">
            <w:pPr>
              <w:rPr>
                <w:rFonts w:ascii="Arial"/>
                <w:sz w:val="21"/>
              </w:rPr>
            </w:pPr>
          </w:p>
        </w:tc>
      </w:tr>
      <w:tr w14:paraId="3F7FB9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737" w:type="dxa"/>
            <w:vMerge w:val="continue"/>
            <w:tcBorders>
              <w:top w:val="nil"/>
              <w:left w:val="single" w:color="000000" w:sz="6" w:space="0"/>
              <w:bottom w:val="nil"/>
            </w:tcBorders>
            <w:vAlign w:val="top"/>
          </w:tcPr>
          <w:p w14:paraId="75B19037">
            <w:pPr>
              <w:rPr>
                <w:rFonts w:ascii="Arial"/>
                <w:sz w:val="21"/>
              </w:rPr>
            </w:pPr>
          </w:p>
        </w:tc>
        <w:tc>
          <w:tcPr>
            <w:tcW w:w="828" w:type="dxa"/>
            <w:gridSpan w:val="2"/>
            <w:tcBorders>
              <w:bottom w:val="single" w:color="000000" w:sz="10" w:space="0"/>
            </w:tcBorders>
            <w:vAlign w:val="top"/>
          </w:tcPr>
          <w:p w14:paraId="39148C98">
            <w:pPr>
              <w:pStyle w:val="6"/>
              <w:spacing w:before="68" w:line="244" w:lineRule="auto"/>
              <w:ind w:left="121" w:right="87" w:firstLine="123"/>
              <w:rPr>
                <w:rFonts w:ascii="仿宋" w:hAnsi="仿宋" w:eastAsia="仿宋" w:cs="仿宋"/>
              </w:rPr>
            </w:pPr>
            <w:r>
              <w:rPr>
                <w:rFonts w:ascii="仿宋" w:hAnsi="仿宋" w:eastAsia="仿宋" w:cs="仿宋"/>
                <w:spacing w:val="-8"/>
              </w:rPr>
              <w:t>面积</w:t>
            </w:r>
            <w:r>
              <w:rPr>
                <w:rFonts w:ascii="仿宋" w:hAnsi="仿宋" w:eastAsia="仿宋" w:cs="仿宋"/>
                <w:spacing w:val="-7"/>
              </w:rPr>
              <w:t>（</w:t>
            </w:r>
            <w:r>
              <w:rPr>
                <w:spacing w:val="-7"/>
              </w:rPr>
              <w:t>hm</w:t>
            </w:r>
            <w:r>
              <w:rPr>
                <w:spacing w:val="-7"/>
                <w:sz w:val="11"/>
                <w:szCs w:val="11"/>
              </w:rPr>
              <w:t>2</w:t>
            </w:r>
            <w:r>
              <w:rPr>
                <w:rFonts w:ascii="仿宋" w:hAnsi="仿宋" w:eastAsia="仿宋" w:cs="仿宋"/>
                <w:spacing w:val="-7"/>
              </w:rPr>
              <w:t>）</w:t>
            </w:r>
          </w:p>
        </w:tc>
        <w:tc>
          <w:tcPr>
            <w:tcW w:w="740" w:type="dxa"/>
            <w:gridSpan w:val="2"/>
            <w:tcBorders>
              <w:bottom w:val="single" w:color="000000" w:sz="10" w:space="0"/>
            </w:tcBorders>
            <w:vAlign w:val="top"/>
          </w:tcPr>
          <w:p w14:paraId="35FC0825">
            <w:pPr>
              <w:pStyle w:val="6"/>
              <w:spacing w:before="215" w:line="188" w:lineRule="auto"/>
              <w:ind w:left="122"/>
            </w:pPr>
            <w:r>
              <w:rPr>
                <w:spacing w:val="-1"/>
              </w:rPr>
              <w:t>0.3065</w:t>
            </w:r>
          </w:p>
        </w:tc>
        <w:tc>
          <w:tcPr>
            <w:tcW w:w="906" w:type="dxa"/>
            <w:tcBorders>
              <w:bottom w:val="single" w:color="000000" w:sz="10" w:space="0"/>
            </w:tcBorders>
            <w:vAlign w:val="top"/>
          </w:tcPr>
          <w:p w14:paraId="45964F7D">
            <w:pPr>
              <w:pStyle w:val="6"/>
              <w:spacing w:before="215" w:line="188" w:lineRule="auto"/>
              <w:ind w:left="220"/>
            </w:pPr>
            <w:r>
              <w:rPr>
                <w:spacing w:val="3"/>
              </w:rPr>
              <w:t>l.6347</w:t>
            </w:r>
          </w:p>
        </w:tc>
        <w:tc>
          <w:tcPr>
            <w:tcW w:w="826" w:type="dxa"/>
            <w:gridSpan w:val="2"/>
            <w:tcBorders>
              <w:bottom w:val="single" w:color="000000" w:sz="10" w:space="0"/>
            </w:tcBorders>
            <w:vAlign w:val="top"/>
          </w:tcPr>
          <w:p w14:paraId="2087D184">
            <w:pPr>
              <w:pStyle w:val="6"/>
              <w:spacing w:before="215" w:line="188" w:lineRule="auto"/>
              <w:ind w:left="168"/>
            </w:pPr>
            <w:r>
              <w:rPr>
                <w:spacing w:val="-1"/>
              </w:rPr>
              <w:t>0.0076</w:t>
            </w:r>
          </w:p>
        </w:tc>
        <w:tc>
          <w:tcPr>
            <w:tcW w:w="852" w:type="dxa"/>
            <w:tcBorders>
              <w:bottom w:val="single" w:color="000000" w:sz="10" w:space="0"/>
            </w:tcBorders>
            <w:vAlign w:val="top"/>
          </w:tcPr>
          <w:p w14:paraId="75DA2189">
            <w:pPr>
              <w:pStyle w:val="6"/>
              <w:spacing w:before="215" w:line="188" w:lineRule="auto"/>
              <w:ind w:left="178"/>
            </w:pPr>
            <w:r>
              <w:rPr>
                <w:spacing w:val="3"/>
              </w:rPr>
              <w:t>l.0380</w:t>
            </w:r>
          </w:p>
        </w:tc>
        <w:tc>
          <w:tcPr>
            <w:tcW w:w="765" w:type="dxa"/>
            <w:tcBorders>
              <w:bottom w:val="single" w:color="000000" w:sz="10" w:space="0"/>
            </w:tcBorders>
            <w:vAlign w:val="top"/>
          </w:tcPr>
          <w:p w14:paraId="4983A730">
            <w:pPr>
              <w:pStyle w:val="6"/>
              <w:spacing w:before="215" w:line="188" w:lineRule="auto"/>
              <w:ind w:left="110"/>
            </w:pPr>
            <w:r>
              <w:rPr>
                <w:spacing w:val="-2"/>
              </w:rPr>
              <w:t>0.5795</w:t>
            </w:r>
          </w:p>
        </w:tc>
        <w:tc>
          <w:tcPr>
            <w:tcW w:w="1086" w:type="dxa"/>
            <w:tcBorders>
              <w:bottom w:val="single" w:color="000000" w:sz="10" w:space="0"/>
            </w:tcBorders>
            <w:vAlign w:val="top"/>
          </w:tcPr>
          <w:p w14:paraId="2A2685F0">
            <w:pPr>
              <w:pStyle w:val="6"/>
              <w:spacing w:before="215" w:line="188" w:lineRule="auto"/>
              <w:ind w:left="277"/>
            </w:pPr>
            <w:r>
              <w:rPr>
                <w:spacing w:val="-1"/>
              </w:rPr>
              <w:t>9.9437</w:t>
            </w:r>
          </w:p>
        </w:tc>
        <w:tc>
          <w:tcPr>
            <w:tcW w:w="858" w:type="dxa"/>
            <w:tcBorders>
              <w:bottom w:val="single" w:color="000000" w:sz="10" w:space="0"/>
            </w:tcBorders>
            <w:vAlign w:val="top"/>
          </w:tcPr>
          <w:p w14:paraId="68D0773C">
            <w:pPr>
              <w:pStyle w:val="6"/>
              <w:spacing w:before="215" w:line="188" w:lineRule="auto"/>
              <w:ind w:left="256"/>
            </w:pPr>
            <w:r>
              <w:rPr>
                <w:spacing w:val="-2"/>
              </w:rPr>
              <w:t>0.07</w:t>
            </w:r>
          </w:p>
        </w:tc>
        <w:tc>
          <w:tcPr>
            <w:tcW w:w="779" w:type="dxa"/>
            <w:tcBorders>
              <w:bottom w:val="single" w:color="000000" w:sz="10" w:space="0"/>
              <w:right w:val="single" w:color="000000" w:sz="6" w:space="0"/>
            </w:tcBorders>
            <w:vAlign w:val="top"/>
          </w:tcPr>
          <w:p w14:paraId="5D20629E">
            <w:pPr>
              <w:pStyle w:val="6"/>
              <w:spacing w:before="215" w:line="188" w:lineRule="auto"/>
              <w:ind w:left="188"/>
            </w:pPr>
            <w:r>
              <w:rPr>
                <w:spacing w:val="4"/>
              </w:rPr>
              <w:t>l3.58</w:t>
            </w:r>
          </w:p>
        </w:tc>
      </w:tr>
      <w:tr w14:paraId="655B12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06" w:hRule="atLeast"/>
        </w:trPr>
        <w:tc>
          <w:tcPr>
            <w:tcW w:w="737" w:type="dxa"/>
            <w:vMerge w:val="continue"/>
            <w:tcBorders>
              <w:top w:val="nil"/>
              <w:left w:val="single" w:color="000000" w:sz="6" w:space="0"/>
              <w:bottom w:val="single" w:color="000000" w:sz="6" w:space="0"/>
            </w:tcBorders>
            <w:vAlign w:val="top"/>
          </w:tcPr>
          <w:p w14:paraId="4A0D72B6">
            <w:pPr>
              <w:rPr>
                <w:rFonts w:ascii="Arial"/>
                <w:sz w:val="21"/>
              </w:rPr>
            </w:pPr>
          </w:p>
        </w:tc>
        <w:tc>
          <w:tcPr>
            <w:tcW w:w="7640" w:type="dxa"/>
            <w:gridSpan w:val="12"/>
            <w:tcBorders>
              <w:top w:val="single" w:color="000000" w:sz="10" w:space="0"/>
              <w:bottom w:val="single" w:color="000000" w:sz="6" w:space="0"/>
              <w:right w:val="single" w:color="000000" w:sz="6" w:space="0"/>
            </w:tcBorders>
            <w:vAlign w:val="top"/>
          </w:tcPr>
          <w:p w14:paraId="0922CB0E">
            <w:pPr>
              <w:pStyle w:val="6"/>
              <w:spacing w:before="28" w:line="232" w:lineRule="auto"/>
              <w:ind w:left="434"/>
              <w:rPr>
                <w:rFonts w:ascii="仿宋" w:hAnsi="仿宋" w:eastAsia="仿宋" w:cs="仿宋"/>
                <w:sz w:val="20"/>
                <w:szCs w:val="20"/>
              </w:rPr>
            </w:pPr>
            <w:r>
              <w:rPr>
                <w:rFonts w:ascii="仿宋" w:hAnsi="仿宋" w:eastAsia="仿宋" w:cs="仿宋"/>
                <w:spacing w:val="6"/>
                <w:sz w:val="20"/>
                <w:szCs w:val="20"/>
              </w:rPr>
              <w:t>（</w:t>
            </w:r>
            <w:r>
              <w:rPr>
                <w:spacing w:val="6"/>
                <w:sz w:val="20"/>
                <w:szCs w:val="20"/>
              </w:rPr>
              <w:t>2</w:t>
            </w:r>
            <w:r>
              <w:rPr>
                <w:rFonts w:ascii="仿宋" w:hAnsi="仿宋" w:eastAsia="仿宋" w:cs="仿宋"/>
                <w:spacing w:val="6"/>
                <w:sz w:val="20"/>
                <w:szCs w:val="20"/>
              </w:rPr>
              <w:t>）临时用地</w:t>
            </w:r>
          </w:p>
          <w:p w14:paraId="74D49151">
            <w:pPr>
              <w:spacing w:before="156" w:line="377" w:lineRule="auto"/>
              <w:ind w:left="11" w:right="73" w:firstLine="420"/>
              <w:rPr>
                <w:rFonts w:ascii="仿宋" w:hAnsi="仿宋" w:eastAsia="仿宋" w:cs="仿宋"/>
                <w:sz w:val="20"/>
                <w:szCs w:val="20"/>
              </w:rPr>
            </w:pPr>
            <w:r>
              <w:rPr>
                <w:rFonts w:ascii="仿宋" w:hAnsi="仿宋" w:eastAsia="仿宋" w:cs="仿宋"/>
                <w:spacing w:val="9"/>
                <w:sz w:val="20"/>
                <w:szCs w:val="20"/>
              </w:rPr>
              <w:t>本项目全线不设置预制场、拌合站、砂石料场，采用外购商品混凝土；不设置集中取弃土场，通过合理调配土石方，可以实现填挖土石方量平衡；</w:t>
            </w:r>
          </w:p>
          <w:p w14:paraId="5B05C9E9">
            <w:pPr>
              <w:spacing w:line="377" w:lineRule="auto"/>
              <w:ind w:left="11" w:firstLine="420"/>
              <w:jc w:val="both"/>
              <w:rPr>
                <w:rFonts w:ascii="仿宋" w:hAnsi="仿宋" w:eastAsia="仿宋" w:cs="仿宋"/>
                <w:sz w:val="20"/>
                <w:szCs w:val="20"/>
              </w:rPr>
            </w:pPr>
            <w:r>
              <w:rPr>
                <w:rFonts w:ascii="仿宋" w:hAnsi="仿宋" w:eastAsia="仿宋" w:cs="仿宋"/>
                <w:spacing w:val="6"/>
                <w:sz w:val="20"/>
                <w:szCs w:val="20"/>
              </w:rPr>
              <w:t>不设置表土堆场，施工过程中剥离的少量表土于</w:t>
            </w:r>
            <w:r>
              <w:rPr>
                <w:rFonts w:ascii="仿宋" w:hAnsi="仿宋" w:eastAsia="仿宋" w:cs="仿宋"/>
                <w:spacing w:val="5"/>
                <w:sz w:val="20"/>
                <w:szCs w:val="20"/>
              </w:rPr>
              <w:t>占地范围内合适位置妥善堆存，</w:t>
            </w:r>
            <w:r>
              <w:rPr>
                <w:rFonts w:ascii="仿宋" w:hAnsi="仿宋" w:eastAsia="仿宋" w:cs="仿宋"/>
                <w:spacing w:val="8"/>
                <w:sz w:val="20"/>
                <w:szCs w:val="20"/>
              </w:rPr>
              <w:t>在对应路段施工结束后，直接就近用于路肩边坡的植被恢复；不设置施工便道，施工全部利用现有农村旧路，不新增施工便道，施工结束后，作为本次硬化道路工程</w:t>
            </w:r>
            <w:r>
              <w:rPr>
                <w:rFonts w:ascii="仿宋" w:hAnsi="仿宋" w:eastAsia="仿宋" w:cs="仿宋"/>
                <w:spacing w:val="7"/>
                <w:sz w:val="20"/>
                <w:szCs w:val="20"/>
              </w:rPr>
              <w:t>永久占地使用；不设置施工营地，施工生活区租用当地的民房。</w:t>
            </w:r>
            <w:r>
              <w:rPr>
                <w:rFonts w:ascii="仿宋" w:hAnsi="仿宋" w:eastAsia="仿宋" w:cs="仿宋"/>
                <w:spacing w:val="-58"/>
                <w:sz w:val="20"/>
                <w:szCs w:val="20"/>
              </w:rPr>
              <w:t xml:space="preserve"> </w:t>
            </w:r>
            <w:r>
              <w:rPr>
                <w:rFonts w:ascii="仿宋" w:hAnsi="仿宋" w:eastAsia="仿宋" w:cs="仿宋"/>
                <w:spacing w:val="7"/>
                <w:sz w:val="20"/>
                <w:szCs w:val="20"/>
              </w:rPr>
              <w:t>因此，本</w:t>
            </w:r>
            <w:r>
              <w:rPr>
                <w:rFonts w:ascii="仿宋" w:hAnsi="仿宋" w:eastAsia="仿宋" w:cs="仿宋"/>
                <w:spacing w:val="6"/>
                <w:sz w:val="20"/>
                <w:szCs w:val="20"/>
              </w:rPr>
              <w:t>项目无临</w:t>
            </w:r>
            <w:r>
              <w:rPr>
                <w:rFonts w:ascii="仿宋" w:hAnsi="仿宋" w:eastAsia="仿宋" w:cs="仿宋"/>
                <w:spacing w:val="2"/>
                <w:sz w:val="20"/>
                <w:szCs w:val="20"/>
              </w:rPr>
              <w:t>时占地。</w:t>
            </w:r>
          </w:p>
          <w:p w14:paraId="6FEDC66B">
            <w:pPr>
              <w:pStyle w:val="6"/>
              <w:spacing w:line="231" w:lineRule="auto"/>
              <w:ind w:left="423"/>
              <w:rPr>
                <w:rFonts w:ascii="仿宋" w:hAnsi="仿宋" w:eastAsia="仿宋" w:cs="仿宋"/>
                <w:sz w:val="20"/>
                <w:szCs w:val="20"/>
              </w:rPr>
            </w:pPr>
            <w:r>
              <w:rPr>
                <w:b/>
                <w:bCs/>
                <w:spacing w:val="2"/>
                <w:sz w:val="20"/>
                <w:szCs w:val="20"/>
              </w:rPr>
              <w:t>5</w:t>
            </w:r>
            <w:r>
              <w:rPr>
                <w:b/>
                <w:bCs/>
                <w:spacing w:val="-19"/>
                <w:sz w:val="20"/>
                <w:szCs w:val="20"/>
              </w:rPr>
              <w:t xml:space="preserve"> </w:t>
            </w:r>
            <w:r>
              <w:rPr>
                <w:rFonts w:ascii="仿宋" w:hAnsi="仿宋" w:eastAsia="仿宋" w:cs="仿宋"/>
                <w:b/>
                <w:bCs/>
                <w:spacing w:val="2"/>
                <w:sz w:val="20"/>
                <w:szCs w:val="20"/>
              </w:rPr>
              <w:t>、土石方工程</w:t>
            </w:r>
          </w:p>
          <w:p w14:paraId="22706D24">
            <w:pPr>
              <w:pStyle w:val="6"/>
              <w:spacing w:before="159" w:line="377" w:lineRule="auto"/>
              <w:ind w:left="11" w:right="5" w:firstLine="419"/>
              <w:jc w:val="both"/>
              <w:rPr>
                <w:rFonts w:ascii="仿宋" w:hAnsi="仿宋" w:eastAsia="仿宋" w:cs="仿宋"/>
                <w:sz w:val="20"/>
                <w:szCs w:val="20"/>
              </w:rPr>
            </w:pPr>
            <w:r>
              <w:rPr>
                <w:rFonts w:ascii="仿宋" w:hAnsi="仿宋" w:eastAsia="仿宋" w:cs="仿宋"/>
                <w:spacing w:val="9"/>
                <w:sz w:val="20"/>
                <w:szCs w:val="20"/>
              </w:rPr>
              <w:t>本项目施工期不涉及石方，全部为土方，土方总量</w:t>
            </w:r>
            <w:r>
              <w:rPr>
                <w:rFonts w:ascii="仿宋" w:hAnsi="仿宋" w:eastAsia="仿宋" w:cs="仿宋"/>
                <w:spacing w:val="-18"/>
                <w:sz w:val="20"/>
                <w:szCs w:val="20"/>
              </w:rPr>
              <w:t xml:space="preserve"> </w:t>
            </w:r>
            <w:r>
              <w:rPr>
                <w:spacing w:val="9"/>
                <w:sz w:val="20"/>
                <w:szCs w:val="20"/>
              </w:rPr>
              <w:t>6.</w:t>
            </w:r>
            <w:r>
              <w:rPr>
                <w:spacing w:val="-25"/>
                <w:sz w:val="20"/>
                <w:szCs w:val="20"/>
              </w:rPr>
              <w:t xml:space="preserve"> </w:t>
            </w:r>
            <w:r>
              <w:rPr>
                <w:spacing w:val="9"/>
                <w:sz w:val="20"/>
                <w:szCs w:val="20"/>
              </w:rPr>
              <w:t>l8</w:t>
            </w:r>
            <w:r>
              <w:rPr>
                <w:spacing w:val="21"/>
                <w:w w:val="101"/>
                <w:sz w:val="20"/>
                <w:szCs w:val="20"/>
              </w:rPr>
              <w:t xml:space="preserve"> </w:t>
            </w:r>
            <w:r>
              <w:rPr>
                <w:rFonts w:ascii="仿宋" w:hAnsi="仿宋" w:eastAsia="仿宋" w:cs="仿宋"/>
                <w:spacing w:val="9"/>
                <w:sz w:val="20"/>
                <w:szCs w:val="20"/>
              </w:rPr>
              <w:t>万</w:t>
            </w:r>
            <w:r>
              <w:rPr>
                <w:rFonts w:ascii="仿宋" w:hAnsi="仿宋" w:eastAsia="仿宋" w:cs="仿宋"/>
                <w:spacing w:val="-39"/>
                <w:sz w:val="20"/>
                <w:szCs w:val="20"/>
              </w:rPr>
              <w:t xml:space="preserve"> </w:t>
            </w:r>
            <w:r>
              <w:rPr>
                <w:spacing w:val="9"/>
                <w:sz w:val="20"/>
                <w:szCs w:val="20"/>
              </w:rPr>
              <w:t>m3</w:t>
            </w:r>
            <w:r>
              <w:rPr>
                <w:spacing w:val="-16"/>
                <w:sz w:val="20"/>
                <w:szCs w:val="20"/>
              </w:rPr>
              <w:t xml:space="preserve"> </w:t>
            </w:r>
            <w:r>
              <w:rPr>
                <w:rFonts w:ascii="仿宋" w:hAnsi="仿宋" w:eastAsia="仿宋" w:cs="仿宋"/>
                <w:spacing w:val="9"/>
                <w:sz w:val="20"/>
                <w:szCs w:val="20"/>
              </w:rPr>
              <w:t>，其中挖方</w:t>
            </w:r>
            <w:r>
              <w:rPr>
                <w:rFonts w:ascii="仿宋" w:hAnsi="仿宋" w:eastAsia="仿宋" w:cs="仿宋"/>
                <w:spacing w:val="-34"/>
                <w:sz w:val="20"/>
                <w:szCs w:val="20"/>
              </w:rPr>
              <w:t xml:space="preserve"> </w:t>
            </w:r>
            <w:r>
              <w:rPr>
                <w:spacing w:val="9"/>
                <w:sz w:val="20"/>
                <w:szCs w:val="20"/>
              </w:rPr>
              <w:t>3.09</w:t>
            </w:r>
            <w:r>
              <w:rPr>
                <w:rFonts w:ascii="仿宋" w:hAnsi="仿宋" w:eastAsia="仿宋" w:cs="仿宋"/>
                <w:spacing w:val="6"/>
                <w:sz w:val="20"/>
                <w:szCs w:val="20"/>
              </w:rPr>
              <w:t>万</w:t>
            </w:r>
            <w:r>
              <w:rPr>
                <w:rFonts w:ascii="仿宋" w:hAnsi="仿宋" w:eastAsia="仿宋" w:cs="仿宋"/>
                <w:spacing w:val="-41"/>
                <w:sz w:val="20"/>
                <w:szCs w:val="20"/>
              </w:rPr>
              <w:t xml:space="preserve"> </w:t>
            </w:r>
            <w:r>
              <w:rPr>
                <w:spacing w:val="6"/>
                <w:sz w:val="20"/>
                <w:szCs w:val="20"/>
              </w:rPr>
              <w:t>m3</w:t>
            </w:r>
            <w:r>
              <w:rPr>
                <w:spacing w:val="-17"/>
                <w:sz w:val="20"/>
                <w:szCs w:val="20"/>
              </w:rPr>
              <w:t xml:space="preserve"> </w:t>
            </w:r>
            <w:r>
              <w:rPr>
                <w:rFonts w:ascii="仿宋" w:hAnsi="仿宋" w:eastAsia="仿宋" w:cs="仿宋"/>
                <w:spacing w:val="6"/>
                <w:sz w:val="20"/>
                <w:szCs w:val="20"/>
              </w:rPr>
              <w:t>，填方</w:t>
            </w:r>
            <w:r>
              <w:rPr>
                <w:rFonts w:ascii="仿宋" w:hAnsi="仿宋" w:eastAsia="仿宋" w:cs="仿宋"/>
                <w:spacing w:val="-36"/>
                <w:sz w:val="20"/>
                <w:szCs w:val="20"/>
              </w:rPr>
              <w:t xml:space="preserve"> </w:t>
            </w:r>
            <w:r>
              <w:rPr>
                <w:spacing w:val="6"/>
                <w:sz w:val="20"/>
                <w:szCs w:val="20"/>
              </w:rPr>
              <w:t>3.09</w:t>
            </w:r>
            <w:r>
              <w:rPr>
                <w:spacing w:val="22"/>
                <w:sz w:val="20"/>
                <w:szCs w:val="20"/>
              </w:rPr>
              <w:t xml:space="preserve"> </w:t>
            </w:r>
            <w:r>
              <w:rPr>
                <w:rFonts w:ascii="仿宋" w:hAnsi="仿宋" w:eastAsia="仿宋" w:cs="仿宋"/>
                <w:spacing w:val="6"/>
                <w:sz w:val="20"/>
                <w:szCs w:val="20"/>
              </w:rPr>
              <w:t>万</w:t>
            </w:r>
            <w:r>
              <w:rPr>
                <w:rFonts w:ascii="仿宋" w:hAnsi="仿宋" w:eastAsia="仿宋" w:cs="仿宋"/>
                <w:spacing w:val="-44"/>
                <w:sz w:val="20"/>
                <w:szCs w:val="20"/>
              </w:rPr>
              <w:t xml:space="preserve"> </w:t>
            </w:r>
            <w:r>
              <w:rPr>
                <w:spacing w:val="6"/>
                <w:sz w:val="20"/>
                <w:szCs w:val="20"/>
              </w:rPr>
              <w:t>m3</w:t>
            </w:r>
            <w:r>
              <w:rPr>
                <w:spacing w:val="-19"/>
                <w:sz w:val="20"/>
                <w:szCs w:val="20"/>
              </w:rPr>
              <w:t xml:space="preserve"> </w:t>
            </w:r>
            <w:r>
              <w:rPr>
                <w:rFonts w:ascii="仿宋" w:hAnsi="仿宋" w:eastAsia="仿宋" w:cs="仿宋"/>
                <w:spacing w:val="6"/>
                <w:sz w:val="20"/>
                <w:szCs w:val="20"/>
              </w:rPr>
              <w:t>，填挖平衡，无弃土弃渣。本工程路基工程区施工前剥离表土，可剥离表土面积约</w:t>
            </w:r>
            <w:r>
              <w:rPr>
                <w:rFonts w:ascii="仿宋" w:hAnsi="仿宋" w:eastAsia="仿宋" w:cs="仿宋"/>
                <w:spacing w:val="-32"/>
                <w:sz w:val="20"/>
                <w:szCs w:val="20"/>
              </w:rPr>
              <w:t xml:space="preserve"> </w:t>
            </w:r>
            <w:r>
              <w:rPr>
                <w:spacing w:val="6"/>
                <w:sz w:val="20"/>
                <w:szCs w:val="20"/>
              </w:rPr>
              <w:t>5.3</w:t>
            </w:r>
            <w:r>
              <w:rPr>
                <w:sz w:val="20"/>
                <w:szCs w:val="20"/>
              </w:rPr>
              <w:t>lhm</w:t>
            </w:r>
            <w:r>
              <w:rPr>
                <w:spacing w:val="6"/>
                <w:sz w:val="20"/>
                <w:szCs w:val="20"/>
              </w:rPr>
              <w:t>2</w:t>
            </w:r>
            <w:r>
              <w:rPr>
                <w:spacing w:val="-17"/>
                <w:sz w:val="20"/>
                <w:szCs w:val="20"/>
              </w:rPr>
              <w:t xml:space="preserve"> </w:t>
            </w:r>
            <w:r>
              <w:rPr>
                <w:rFonts w:ascii="仿宋" w:hAnsi="仿宋" w:eastAsia="仿宋" w:cs="仿宋"/>
                <w:spacing w:val="6"/>
                <w:sz w:val="20"/>
                <w:szCs w:val="20"/>
              </w:rPr>
              <w:t>，表土剥离厚度</w:t>
            </w:r>
            <w:r>
              <w:rPr>
                <w:rFonts w:ascii="仿宋" w:hAnsi="仿宋" w:eastAsia="仿宋" w:cs="仿宋"/>
                <w:spacing w:val="-35"/>
                <w:sz w:val="20"/>
                <w:szCs w:val="20"/>
              </w:rPr>
              <w:t xml:space="preserve"> </w:t>
            </w:r>
            <w:r>
              <w:rPr>
                <w:spacing w:val="6"/>
                <w:sz w:val="20"/>
                <w:szCs w:val="20"/>
              </w:rPr>
              <w:t>0.20m</w:t>
            </w:r>
            <w:r>
              <w:rPr>
                <w:spacing w:val="-18"/>
                <w:sz w:val="20"/>
                <w:szCs w:val="20"/>
              </w:rPr>
              <w:t xml:space="preserve"> </w:t>
            </w:r>
            <w:r>
              <w:rPr>
                <w:rFonts w:ascii="仿宋" w:hAnsi="仿宋" w:eastAsia="仿宋" w:cs="仿宋"/>
                <w:spacing w:val="6"/>
                <w:sz w:val="20"/>
                <w:szCs w:val="20"/>
              </w:rPr>
              <w:t>，表土剥离量</w:t>
            </w:r>
            <w:r>
              <w:rPr>
                <w:rFonts w:ascii="仿宋" w:hAnsi="仿宋" w:eastAsia="仿宋" w:cs="仿宋"/>
                <w:spacing w:val="-18"/>
                <w:sz w:val="20"/>
                <w:szCs w:val="20"/>
              </w:rPr>
              <w:t xml:space="preserve"> </w:t>
            </w:r>
            <w:r>
              <w:rPr>
                <w:spacing w:val="6"/>
                <w:sz w:val="20"/>
                <w:szCs w:val="20"/>
              </w:rPr>
              <w:t>l.0</w:t>
            </w:r>
            <w:r>
              <w:rPr>
                <w:spacing w:val="5"/>
                <w:sz w:val="20"/>
                <w:szCs w:val="20"/>
              </w:rPr>
              <w:t>6</w:t>
            </w:r>
            <w:r>
              <w:rPr>
                <w:spacing w:val="19"/>
                <w:w w:val="101"/>
                <w:sz w:val="20"/>
                <w:szCs w:val="20"/>
              </w:rPr>
              <w:t xml:space="preserve"> </w:t>
            </w:r>
            <w:r>
              <w:rPr>
                <w:rFonts w:ascii="仿宋" w:hAnsi="仿宋" w:eastAsia="仿宋" w:cs="仿宋"/>
                <w:spacing w:val="5"/>
                <w:sz w:val="20"/>
                <w:szCs w:val="20"/>
              </w:rPr>
              <w:t>万</w:t>
            </w:r>
            <w:r>
              <w:rPr>
                <w:rFonts w:ascii="仿宋" w:hAnsi="仿宋" w:eastAsia="仿宋" w:cs="仿宋"/>
                <w:spacing w:val="-41"/>
                <w:sz w:val="20"/>
                <w:szCs w:val="20"/>
              </w:rPr>
              <w:t xml:space="preserve"> </w:t>
            </w:r>
            <w:r>
              <w:rPr>
                <w:spacing w:val="5"/>
                <w:sz w:val="20"/>
                <w:szCs w:val="20"/>
              </w:rPr>
              <w:t>m3</w:t>
            </w:r>
            <w:r>
              <w:rPr>
                <w:spacing w:val="-16"/>
                <w:sz w:val="20"/>
                <w:szCs w:val="20"/>
              </w:rPr>
              <w:t xml:space="preserve"> </w:t>
            </w:r>
            <w:r>
              <w:rPr>
                <w:rFonts w:ascii="仿宋" w:hAnsi="仿宋" w:eastAsia="仿宋" w:cs="仿宋"/>
                <w:spacing w:val="5"/>
                <w:sz w:val="20"/>
                <w:szCs w:val="20"/>
              </w:rPr>
              <w:t>。工</w:t>
            </w:r>
            <w:r>
              <w:rPr>
                <w:rFonts w:ascii="仿宋" w:hAnsi="仿宋" w:eastAsia="仿宋" w:cs="仿宋"/>
                <w:spacing w:val="6"/>
                <w:sz w:val="20"/>
                <w:szCs w:val="20"/>
              </w:rPr>
              <w:t>程不涉及拆迁安置。</w:t>
            </w:r>
          </w:p>
          <w:p w14:paraId="010EC426">
            <w:pPr>
              <w:pStyle w:val="6"/>
              <w:spacing w:line="231" w:lineRule="auto"/>
              <w:ind w:left="431"/>
              <w:rPr>
                <w:rFonts w:ascii="仿宋" w:hAnsi="仿宋" w:eastAsia="仿宋" w:cs="仿宋"/>
                <w:sz w:val="20"/>
                <w:szCs w:val="20"/>
              </w:rPr>
            </w:pPr>
            <w:r>
              <w:rPr>
                <w:rFonts w:ascii="仿宋" w:hAnsi="仿宋" w:eastAsia="仿宋" w:cs="仿宋"/>
                <w:spacing w:val="6"/>
                <w:sz w:val="20"/>
                <w:szCs w:val="20"/>
              </w:rPr>
              <w:t>各路段路基开挖土方量见表</w:t>
            </w:r>
            <w:r>
              <w:rPr>
                <w:rFonts w:ascii="仿宋" w:hAnsi="仿宋" w:eastAsia="仿宋" w:cs="仿宋"/>
                <w:spacing w:val="-41"/>
                <w:sz w:val="20"/>
                <w:szCs w:val="20"/>
              </w:rPr>
              <w:t xml:space="preserve"> </w:t>
            </w:r>
            <w:r>
              <w:rPr>
                <w:spacing w:val="6"/>
                <w:sz w:val="20"/>
                <w:szCs w:val="20"/>
              </w:rPr>
              <w:t>2-4</w:t>
            </w:r>
            <w:r>
              <w:rPr>
                <w:spacing w:val="-22"/>
                <w:sz w:val="20"/>
                <w:szCs w:val="20"/>
              </w:rPr>
              <w:t xml:space="preserve"> </w:t>
            </w:r>
            <w:r>
              <w:rPr>
                <w:rFonts w:ascii="仿宋" w:hAnsi="仿宋" w:eastAsia="仿宋" w:cs="仿宋"/>
                <w:spacing w:val="6"/>
                <w:sz w:val="20"/>
                <w:szCs w:val="20"/>
              </w:rPr>
              <w:t>，表土剥离量见表</w:t>
            </w:r>
            <w:r>
              <w:rPr>
                <w:rFonts w:ascii="仿宋" w:hAnsi="仿宋" w:eastAsia="仿宋" w:cs="仿宋"/>
                <w:spacing w:val="-41"/>
                <w:sz w:val="20"/>
                <w:szCs w:val="20"/>
              </w:rPr>
              <w:t xml:space="preserve"> </w:t>
            </w:r>
            <w:r>
              <w:rPr>
                <w:spacing w:val="6"/>
                <w:sz w:val="20"/>
                <w:szCs w:val="20"/>
              </w:rPr>
              <w:t>2-5</w:t>
            </w:r>
            <w:r>
              <w:rPr>
                <w:spacing w:val="-20"/>
                <w:sz w:val="20"/>
                <w:szCs w:val="20"/>
              </w:rPr>
              <w:t xml:space="preserve"> </w:t>
            </w:r>
            <w:r>
              <w:rPr>
                <w:rFonts w:ascii="仿宋" w:hAnsi="仿宋" w:eastAsia="仿宋" w:cs="仿宋"/>
                <w:spacing w:val="6"/>
                <w:sz w:val="20"/>
                <w:szCs w:val="20"/>
              </w:rPr>
              <w:t>，土方工程量见表</w:t>
            </w:r>
            <w:r>
              <w:rPr>
                <w:rFonts w:ascii="仿宋" w:hAnsi="仿宋" w:eastAsia="仿宋" w:cs="仿宋"/>
                <w:spacing w:val="-41"/>
                <w:sz w:val="20"/>
                <w:szCs w:val="20"/>
              </w:rPr>
              <w:t xml:space="preserve"> </w:t>
            </w:r>
            <w:r>
              <w:rPr>
                <w:spacing w:val="6"/>
                <w:sz w:val="20"/>
                <w:szCs w:val="20"/>
              </w:rPr>
              <w:t>2-</w:t>
            </w:r>
            <w:r>
              <w:rPr>
                <w:spacing w:val="5"/>
                <w:sz w:val="20"/>
                <w:szCs w:val="20"/>
              </w:rPr>
              <w:t>6</w:t>
            </w:r>
            <w:r>
              <w:rPr>
                <w:rFonts w:ascii="仿宋" w:hAnsi="仿宋" w:eastAsia="仿宋" w:cs="仿宋"/>
                <w:spacing w:val="5"/>
                <w:sz w:val="20"/>
                <w:szCs w:val="20"/>
              </w:rPr>
              <w:t>。</w:t>
            </w:r>
          </w:p>
        </w:tc>
      </w:tr>
    </w:tbl>
    <w:p w14:paraId="162A312B">
      <w:pPr>
        <w:pStyle w:val="2"/>
        <w:spacing w:line="192" w:lineRule="exact"/>
        <w:rPr>
          <w:sz w:val="16"/>
        </w:rPr>
      </w:pPr>
    </w:p>
    <w:p w14:paraId="44A61170">
      <w:pPr>
        <w:spacing w:line="192" w:lineRule="exact"/>
        <w:rPr>
          <w:sz w:val="16"/>
          <w:szCs w:val="16"/>
        </w:rPr>
        <w:sectPr>
          <w:footerReference r:id="rId21" w:type="default"/>
          <w:pgSz w:w="11907" w:h="16840"/>
          <w:pgMar w:top="400" w:right="1757" w:bottom="1446" w:left="1757" w:header="0" w:footer="1284" w:gutter="0"/>
          <w:cols w:space="720" w:num="1"/>
        </w:sectPr>
      </w:pPr>
    </w:p>
    <w:p w14:paraId="287EBFDF">
      <w:pPr>
        <w:spacing w:before="19"/>
      </w:pPr>
    </w:p>
    <w:p w14:paraId="7B48A156">
      <w:pPr>
        <w:spacing w:before="19"/>
      </w:pPr>
    </w:p>
    <w:p w14:paraId="726C66E5">
      <w:pPr>
        <w:spacing w:before="18"/>
      </w:pPr>
    </w:p>
    <w:p w14:paraId="3D609055">
      <w:pPr>
        <w:spacing w:before="18"/>
      </w:pPr>
    </w:p>
    <w:tbl>
      <w:tblPr>
        <w:tblStyle w:val="5"/>
        <w:tblW w:w="8377"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7"/>
        <w:gridCol w:w="1526"/>
        <w:gridCol w:w="741"/>
        <w:gridCol w:w="636"/>
        <w:gridCol w:w="636"/>
        <w:gridCol w:w="636"/>
        <w:gridCol w:w="566"/>
        <w:gridCol w:w="776"/>
        <w:gridCol w:w="901"/>
        <w:gridCol w:w="1222"/>
      </w:tblGrid>
      <w:tr w14:paraId="2553AD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rPr>
        <w:tc>
          <w:tcPr>
            <w:tcW w:w="737" w:type="dxa"/>
            <w:vMerge w:val="restart"/>
            <w:tcBorders>
              <w:top w:val="single" w:color="000000" w:sz="6" w:space="0"/>
              <w:left w:val="single" w:color="000000" w:sz="6" w:space="0"/>
              <w:bottom w:val="nil"/>
            </w:tcBorders>
            <w:vAlign w:val="top"/>
          </w:tcPr>
          <w:p w14:paraId="422C48D9">
            <w:pPr>
              <w:rPr>
                <w:rFonts w:ascii="Arial"/>
                <w:sz w:val="21"/>
              </w:rPr>
            </w:pPr>
          </w:p>
        </w:tc>
        <w:tc>
          <w:tcPr>
            <w:tcW w:w="7640" w:type="dxa"/>
            <w:gridSpan w:val="9"/>
            <w:tcBorders>
              <w:top w:val="single" w:color="000000" w:sz="6" w:space="0"/>
              <w:bottom w:val="single" w:color="000000" w:sz="10" w:space="0"/>
              <w:right w:val="single" w:color="000000" w:sz="6" w:space="0"/>
            </w:tcBorders>
            <w:vAlign w:val="top"/>
          </w:tcPr>
          <w:p w14:paraId="49E53B03">
            <w:pPr>
              <w:pStyle w:val="6"/>
              <w:spacing w:before="26" w:line="232" w:lineRule="auto"/>
              <w:ind w:left="2447"/>
              <w:rPr>
                <w:rFonts w:ascii="仿宋" w:hAnsi="仿宋" w:eastAsia="仿宋" w:cs="仿宋"/>
                <w:sz w:val="20"/>
                <w:szCs w:val="20"/>
              </w:rPr>
            </w:pPr>
            <w:r>
              <w:rPr>
                <w:rFonts w:ascii="仿宋" w:hAnsi="仿宋" w:eastAsia="仿宋" w:cs="仿宋"/>
                <w:b/>
                <w:bCs/>
                <w:spacing w:val="4"/>
                <w:sz w:val="20"/>
                <w:szCs w:val="20"/>
              </w:rPr>
              <w:t>表</w:t>
            </w:r>
            <w:r>
              <w:rPr>
                <w:rFonts w:ascii="仿宋" w:hAnsi="仿宋" w:eastAsia="仿宋" w:cs="仿宋"/>
                <w:spacing w:val="-25"/>
                <w:sz w:val="20"/>
                <w:szCs w:val="20"/>
              </w:rPr>
              <w:t xml:space="preserve"> </w:t>
            </w:r>
            <w:r>
              <w:rPr>
                <w:b/>
                <w:bCs/>
                <w:spacing w:val="4"/>
                <w:sz w:val="20"/>
                <w:szCs w:val="20"/>
              </w:rPr>
              <w:t xml:space="preserve">2-4      </w:t>
            </w:r>
            <w:r>
              <w:rPr>
                <w:rFonts w:ascii="仿宋" w:hAnsi="仿宋" w:eastAsia="仿宋" w:cs="仿宋"/>
                <w:b/>
                <w:bCs/>
                <w:spacing w:val="4"/>
                <w:sz w:val="20"/>
                <w:szCs w:val="20"/>
              </w:rPr>
              <w:t>各路段土方量工程表</w:t>
            </w:r>
          </w:p>
        </w:tc>
      </w:tr>
      <w:tr w14:paraId="5DD5A5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737" w:type="dxa"/>
            <w:vMerge w:val="continue"/>
            <w:tcBorders>
              <w:top w:val="nil"/>
              <w:left w:val="single" w:color="000000" w:sz="6" w:space="0"/>
              <w:bottom w:val="nil"/>
            </w:tcBorders>
            <w:vAlign w:val="top"/>
          </w:tcPr>
          <w:p w14:paraId="074167CE">
            <w:pPr>
              <w:rPr>
                <w:rFonts w:ascii="Arial"/>
                <w:sz w:val="21"/>
              </w:rPr>
            </w:pPr>
          </w:p>
        </w:tc>
        <w:tc>
          <w:tcPr>
            <w:tcW w:w="1526" w:type="dxa"/>
            <w:vMerge w:val="restart"/>
            <w:tcBorders>
              <w:top w:val="single" w:color="000000" w:sz="10" w:space="0"/>
              <w:bottom w:val="nil"/>
            </w:tcBorders>
            <w:vAlign w:val="top"/>
          </w:tcPr>
          <w:p w14:paraId="518832DD">
            <w:pPr>
              <w:spacing w:line="419" w:lineRule="auto"/>
              <w:rPr>
                <w:rFonts w:ascii="Arial"/>
                <w:sz w:val="21"/>
              </w:rPr>
            </w:pPr>
          </w:p>
          <w:p w14:paraId="281E45B6">
            <w:pPr>
              <w:spacing w:before="58" w:line="224" w:lineRule="auto"/>
              <w:ind w:left="412"/>
              <w:rPr>
                <w:rFonts w:ascii="仿宋" w:hAnsi="仿宋" w:eastAsia="仿宋" w:cs="仿宋"/>
                <w:sz w:val="18"/>
                <w:szCs w:val="18"/>
              </w:rPr>
            </w:pPr>
            <w:r>
              <w:rPr>
                <w:rFonts w:ascii="仿宋" w:hAnsi="仿宋" w:eastAsia="仿宋" w:cs="仿宋"/>
                <w:spacing w:val="-4"/>
                <w:sz w:val="18"/>
                <w:szCs w:val="18"/>
              </w:rPr>
              <w:t>起讫桩号</w:t>
            </w:r>
          </w:p>
        </w:tc>
        <w:tc>
          <w:tcPr>
            <w:tcW w:w="741" w:type="dxa"/>
            <w:vMerge w:val="restart"/>
            <w:tcBorders>
              <w:top w:val="single" w:color="000000" w:sz="10" w:space="0"/>
              <w:bottom w:val="nil"/>
            </w:tcBorders>
            <w:vAlign w:val="top"/>
          </w:tcPr>
          <w:p w14:paraId="63802725">
            <w:pPr>
              <w:spacing w:line="316" w:lineRule="auto"/>
              <w:rPr>
                <w:rFonts w:ascii="Arial"/>
                <w:sz w:val="21"/>
              </w:rPr>
            </w:pPr>
          </w:p>
          <w:p w14:paraId="3CC3C544">
            <w:pPr>
              <w:pStyle w:val="6"/>
              <w:spacing w:before="58" w:line="243" w:lineRule="auto"/>
              <w:ind w:left="241" w:right="189" w:hanging="43"/>
            </w:pPr>
            <w:r>
              <w:rPr>
                <w:rFonts w:ascii="仿宋" w:hAnsi="仿宋" w:eastAsia="仿宋" w:cs="仿宋"/>
                <w:spacing w:val="-6"/>
              </w:rPr>
              <w:t>长度</w:t>
            </w:r>
            <w:r>
              <w:rPr>
                <w:spacing w:val="-3"/>
              </w:rPr>
              <w:t>(m)</w:t>
            </w:r>
          </w:p>
        </w:tc>
        <w:tc>
          <w:tcPr>
            <w:tcW w:w="1272" w:type="dxa"/>
            <w:gridSpan w:val="2"/>
            <w:tcBorders>
              <w:top w:val="single" w:color="000000" w:sz="10" w:space="0"/>
            </w:tcBorders>
            <w:vAlign w:val="top"/>
          </w:tcPr>
          <w:p w14:paraId="380BE101">
            <w:pPr>
              <w:pStyle w:val="6"/>
              <w:spacing w:before="132" w:line="212" w:lineRule="auto"/>
              <w:ind w:left="306"/>
            </w:pPr>
            <w:r>
              <w:rPr>
                <w:rFonts w:ascii="仿宋" w:hAnsi="仿宋" w:eastAsia="仿宋" w:cs="仿宋"/>
                <w:spacing w:val="-2"/>
              </w:rPr>
              <w:t>挖方</w:t>
            </w:r>
            <w:r>
              <w:rPr>
                <w:spacing w:val="-2"/>
              </w:rPr>
              <w:t>(m³)</w:t>
            </w:r>
          </w:p>
        </w:tc>
        <w:tc>
          <w:tcPr>
            <w:tcW w:w="1202" w:type="dxa"/>
            <w:gridSpan w:val="2"/>
            <w:tcBorders>
              <w:top w:val="single" w:color="000000" w:sz="10" w:space="0"/>
            </w:tcBorders>
            <w:vAlign w:val="top"/>
          </w:tcPr>
          <w:p w14:paraId="0FE26858">
            <w:pPr>
              <w:pStyle w:val="6"/>
              <w:spacing w:before="132" w:line="212" w:lineRule="auto"/>
              <w:ind w:left="274"/>
            </w:pPr>
            <w:r>
              <w:rPr>
                <w:rFonts w:ascii="仿宋" w:hAnsi="仿宋" w:eastAsia="仿宋" w:cs="仿宋"/>
                <w:spacing w:val="-3"/>
              </w:rPr>
              <w:t>填方</w:t>
            </w:r>
            <w:r>
              <w:rPr>
                <w:spacing w:val="-3"/>
              </w:rPr>
              <w:t>(m³)</w:t>
            </w:r>
          </w:p>
        </w:tc>
        <w:tc>
          <w:tcPr>
            <w:tcW w:w="776" w:type="dxa"/>
            <w:tcBorders>
              <w:top w:val="single" w:color="000000" w:sz="10" w:space="0"/>
            </w:tcBorders>
            <w:vAlign w:val="top"/>
          </w:tcPr>
          <w:p w14:paraId="1009F726">
            <w:pPr>
              <w:spacing w:before="18" w:line="222" w:lineRule="auto"/>
              <w:ind w:left="309" w:right="113" w:hanging="179"/>
              <w:rPr>
                <w:rFonts w:ascii="仿宋" w:hAnsi="仿宋" w:eastAsia="仿宋" w:cs="仿宋"/>
                <w:sz w:val="18"/>
                <w:szCs w:val="18"/>
              </w:rPr>
            </w:pPr>
            <w:r>
              <w:rPr>
                <w:rFonts w:ascii="仿宋" w:hAnsi="仿宋" w:eastAsia="仿宋" w:cs="仿宋"/>
                <w:spacing w:val="-5"/>
                <w:sz w:val="18"/>
                <w:szCs w:val="18"/>
              </w:rPr>
              <w:t>本桩利</w:t>
            </w:r>
            <w:r>
              <w:rPr>
                <w:rFonts w:ascii="仿宋" w:hAnsi="仿宋" w:eastAsia="仿宋" w:cs="仿宋"/>
                <w:sz w:val="18"/>
                <w:szCs w:val="18"/>
              </w:rPr>
              <w:t>用</w:t>
            </w:r>
          </w:p>
        </w:tc>
        <w:tc>
          <w:tcPr>
            <w:tcW w:w="901" w:type="dxa"/>
            <w:tcBorders>
              <w:top w:val="single" w:color="000000" w:sz="10" w:space="0"/>
            </w:tcBorders>
            <w:vAlign w:val="top"/>
          </w:tcPr>
          <w:p w14:paraId="7E962DF9">
            <w:pPr>
              <w:pStyle w:val="6"/>
              <w:spacing w:before="18" w:line="222" w:lineRule="auto"/>
              <w:ind w:left="133" w:right="116" w:firstLine="61"/>
            </w:pPr>
            <w:r>
              <w:rPr>
                <w:rFonts w:ascii="仿宋" w:hAnsi="仿宋" w:eastAsia="仿宋" w:cs="仿宋"/>
                <w:spacing w:val="-5"/>
              </w:rPr>
              <w:t>远运利</w:t>
            </w:r>
            <w:r>
              <w:rPr>
                <w:rFonts w:ascii="仿宋" w:hAnsi="仿宋" w:eastAsia="仿宋" w:cs="仿宋"/>
                <w:spacing w:val="-3"/>
              </w:rPr>
              <w:t>用</w:t>
            </w:r>
            <w:r>
              <w:rPr>
                <w:spacing w:val="-3"/>
              </w:rPr>
              <w:t>(</w:t>
            </w:r>
            <w:r>
              <w:rPr>
                <w:rFonts w:ascii="仿宋" w:hAnsi="仿宋" w:eastAsia="仿宋" w:cs="仿宋"/>
                <w:spacing w:val="-3"/>
              </w:rPr>
              <w:t>挖余</w:t>
            </w:r>
            <w:r>
              <w:rPr>
                <w:spacing w:val="-3"/>
              </w:rPr>
              <w:t>)</w:t>
            </w:r>
          </w:p>
        </w:tc>
        <w:tc>
          <w:tcPr>
            <w:tcW w:w="1222" w:type="dxa"/>
            <w:vMerge w:val="restart"/>
            <w:tcBorders>
              <w:top w:val="single" w:color="000000" w:sz="10" w:space="0"/>
              <w:bottom w:val="nil"/>
              <w:right w:val="single" w:color="000000" w:sz="6" w:space="0"/>
            </w:tcBorders>
            <w:vAlign w:val="top"/>
          </w:tcPr>
          <w:p w14:paraId="4FA161CE">
            <w:pPr>
              <w:spacing w:line="419" w:lineRule="auto"/>
              <w:rPr>
                <w:rFonts w:ascii="Arial"/>
                <w:sz w:val="21"/>
              </w:rPr>
            </w:pPr>
          </w:p>
          <w:p w14:paraId="756E9CFE">
            <w:pPr>
              <w:spacing w:before="59" w:line="224" w:lineRule="auto"/>
              <w:ind w:left="441"/>
              <w:rPr>
                <w:rFonts w:ascii="仿宋" w:hAnsi="仿宋" w:eastAsia="仿宋" w:cs="仿宋"/>
                <w:sz w:val="18"/>
                <w:szCs w:val="18"/>
              </w:rPr>
            </w:pPr>
            <w:r>
              <w:rPr>
                <w:rFonts w:ascii="仿宋" w:hAnsi="仿宋" w:eastAsia="仿宋" w:cs="仿宋"/>
                <w:spacing w:val="-7"/>
                <w:sz w:val="18"/>
                <w:szCs w:val="18"/>
              </w:rPr>
              <w:t>备注</w:t>
            </w:r>
          </w:p>
        </w:tc>
      </w:tr>
      <w:tr w14:paraId="30E290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0E8FA95C">
            <w:pPr>
              <w:rPr>
                <w:rFonts w:ascii="Arial"/>
                <w:sz w:val="21"/>
              </w:rPr>
            </w:pPr>
          </w:p>
        </w:tc>
        <w:tc>
          <w:tcPr>
            <w:tcW w:w="1526" w:type="dxa"/>
            <w:vMerge w:val="continue"/>
            <w:tcBorders>
              <w:top w:val="nil"/>
              <w:bottom w:val="nil"/>
            </w:tcBorders>
            <w:vAlign w:val="top"/>
          </w:tcPr>
          <w:p w14:paraId="6C1FC4F9">
            <w:pPr>
              <w:rPr>
                <w:rFonts w:ascii="Arial"/>
                <w:sz w:val="21"/>
              </w:rPr>
            </w:pPr>
          </w:p>
        </w:tc>
        <w:tc>
          <w:tcPr>
            <w:tcW w:w="741" w:type="dxa"/>
            <w:vMerge w:val="continue"/>
            <w:tcBorders>
              <w:top w:val="nil"/>
              <w:bottom w:val="nil"/>
            </w:tcBorders>
            <w:vAlign w:val="top"/>
          </w:tcPr>
          <w:p w14:paraId="631D8321">
            <w:pPr>
              <w:rPr>
                <w:rFonts w:ascii="Arial"/>
                <w:sz w:val="21"/>
              </w:rPr>
            </w:pPr>
          </w:p>
        </w:tc>
        <w:tc>
          <w:tcPr>
            <w:tcW w:w="636" w:type="dxa"/>
            <w:vMerge w:val="restart"/>
            <w:tcBorders>
              <w:bottom w:val="nil"/>
            </w:tcBorders>
            <w:vAlign w:val="top"/>
          </w:tcPr>
          <w:p w14:paraId="1F4A7CDA">
            <w:pPr>
              <w:spacing w:before="136"/>
              <w:ind w:left="235" w:right="136" w:hanging="82"/>
              <w:rPr>
                <w:rFonts w:ascii="仿宋" w:hAnsi="仿宋" w:eastAsia="仿宋" w:cs="仿宋"/>
                <w:sz w:val="18"/>
                <w:szCs w:val="18"/>
              </w:rPr>
            </w:pPr>
            <w:r>
              <w:rPr>
                <w:rFonts w:ascii="仿宋" w:hAnsi="仿宋" w:eastAsia="仿宋" w:cs="仿宋"/>
                <w:spacing w:val="-10"/>
                <w:sz w:val="18"/>
                <w:szCs w:val="18"/>
              </w:rPr>
              <w:t>总体</w:t>
            </w:r>
            <w:r>
              <w:rPr>
                <w:rFonts w:ascii="仿宋" w:hAnsi="仿宋" w:eastAsia="仿宋" w:cs="仿宋"/>
                <w:sz w:val="18"/>
                <w:szCs w:val="18"/>
              </w:rPr>
              <w:t>积</w:t>
            </w:r>
          </w:p>
        </w:tc>
        <w:tc>
          <w:tcPr>
            <w:tcW w:w="636" w:type="dxa"/>
            <w:vMerge w:val="restart"/>
            <w:tcBorders>
              <w:bottom w:val="nil"/>
            </w:tcBorders>
            <w:vAlign w:val="top"/>
          </w:tcPr>
          <w:p w14:paraId="31E5DCB2">
            <w:pPr>
              <w:spacing w:before="252" w:line="224" w:lineRule="auto"/>
              <w:ind w:left="148"/>
              <w:rPr>
                <w:rFonts w:ascii="仿宋" w:hAnsi="仿宋" w:eastAsia="仿宋" w:cs="仿宋"/>
                <w:sz w:val="18"/>
                <w:szCs w:val="18"/>
              </w:rPr>
            </w:pPr>
            <w:r>
              <w:rPr>
                <w:rFonts w:ascii="仿宋" w:hAnsi="仿宋" w:eastAsia="仿宋" w:cs="仿宋"/>
                <w:spacing w:val="-8"/>
                <w:sz w:val="18"/>
                <w:szCs w:val="18"/>
              </w:rPr>
              <w:t>土方</w:t>
            </w:r>
          </w:p>
        </w:tc>
        <w:tc>
          <w:tcPr>
            <w:tcW w:w="636" w:type="dxa"/>
            <w:vAlign w:val="top"/>
          </w:tcPr>
          <w:p w14:paraId="4E963C9E">
            <w:pPr>
              <w:spacing w:before="28" w:line="222" w:lineRule="auto"/>
              <w:ind w:left="239" w:right="134" w:hanging="83"/>
              <w:rPr>
                <w:rFonts w:ascii="仿宋" w:hAnsi="仿宋" w:eastAsia="仿宋" w:cs="仿宋"/>
                <w:sz w:val="18"/>
                <w:szCs w:val="18"/>
              </w:rPr>
            </w:pPr>
            <w:r>
              <w:rPr>
                <w:rFonts w:ascii="仿宋" w:hAnsi="仿宋" w:eastAsia="仿宋" w:cs="仿宋"/>
                <w:spacing w:val="-10"/>
                <w:sz w:val="18"/>
                <w:szCs w:val="18"/>
              </w:rPr>
              <w:t>总数</w:t>
            </w:r>
            <w:r>
              <w:rPr>
                <w:rFonts w:ascii="仿宋" w:hAnsi="仿宋" w:eastAsia="仿宋" w:cs="仿宋"/>
                <w:sz w:val="18"/>
                <w:szCs w:val="18"/>
              </w:rPr>
              <w:t>量</w:t>
            </w:r>
          </w:p>
        </w:tc>
        <w:tc>
          <w:tcPr>
            <w:tcW w:w="566" w:type="dxa"/>
            <w:textDirection w:val="tbRlV"/>
            <w:vAlign w:val="top"/>
          </w:tcPr>
          <w:p w14:paraId="2AA98485">
            <w:pPr>
              <w:spacing w:before="188" w:line="202" w:lineRule="auto"/>
              <w:ind w:left="28"/>
              <w:rPr>
                <w:rFonts w:ascii="仿宋" w:hAnsi="仿宋" w:eastAsia="仿宋" w:cs="仿宋"/>
                <w:sz w:val="18"/>
                <w:szCs w:val="18"/>
              </w:rPr>
            </w:pPr>
            <w:r>
              <w:rPr>
                <w:rFonts w:ascii="仿宋" w:hAnsi="仿宋" w:eastAsia="仿宋" w:cs="仿宋"/>
                <w:spacing w:val="28"/>
                <w:sz w:val="18"/>
                <w:szCs w:val="18"/>
              </w:rPr>
              <w:t>土方</w:t>
            </w:r>
          </w:p>
        </w:tc>
        <w:tc>
          <w:tcPr>
            <w:tcW w:w="776" w:type="dxa"/>
            <w:vAlign w:val="top"/>
          </w:tcPr>
          <w:p w14:paraId="16B2D16C">
            <w:pPr>
              <w:spacing w:before="144" w:line="224" w:lineRule="auto"/>
              <w:ind w:left="220"/>
              <w:rPr>
                <w:rFonts w:ascii="仿宋" w:hAnsi="仿宋" w:eastAsia="仿宋" w:cs="仿宋"/>
                <w:sz w:val="18"/>
                <w:szCs w:val="18"/>
              </w:rPr>
            </w:pPr>
            <w:r>
              <w:rPr>
                <w:rFonts w:ascii="仿宋" w:hAnsi="仿宋" w:eastAsia="仿宋" w:cs="仿宋"/>
                <w:spacing w:val="-8"/>
                <w:sz w:val="18"/>
                <w:szCs w:val="18"/>
              </w:rPr>
              <w:t>土方</w:t>
            </w:r>
          </w:p>
        </w:tc>
        <w:tc>
          <w:tcPr>
            <w:tcW w:w="901" w:type="dxa"/>
            <w:vAlign w:val="top"/>
          </w:tcPr>
          <w:p w14:paraId="5D42DF4F">
            <w:pPr>
              <w:spacing w:before="144" w:line="224" w:lineRule="auto"/>
              <w:ind w:left="284"/>
              <w:rPr>
                <w:rFonts w:ascii="仿宋" w:hAnsi="仿宋" w:eastAsia="仿宋" w:cs="仿宋"/>
                <w:sz w:val="18"/>
                <w:szCs w:val="18"/>
              </w:rPr>
            </w:pPr>
            <w:r>
              <w:rPr>
                <w:rFonts w:ascii="仿宋" w:hAnsi="仿宋" w:eastAsia="仿宋" w:cs="仿宋"/>
                <w:spacing w:val="-8"/>
                <w:sz w:val="18"/>
                <w:szCs w:val="18"/>
              </w:rPr>
              <w:t>土方</w:t>
            </w:r>
          </w:p>
        </w:tc>
        <w:tc>
          <w:tcPr>
            <w:tcW w:w="1222" w:type="dxa"/>
            <w:vMerge w:val="continue"/>
            <w:tcBorders>
              <w:top w:val="nil"/>
              <w:bottom w:val="nil"/>
              <w:right w:val="single" w:color="000000" w:sz="6" w:space="0"/>
            </w:tcBorders>
            <w:vAlign w:val="top"/>
          </w:tcPr>
          <w:p w14:paraId="2EAD46C8">
            <w:pPr>
              <w:rPr>
                <w:rFonts w:ascii="Arial"/>
                <w:sz w:val="21"/>
              </w:rPr>
            </w:pPr>
          </w:p>
        </w:tc>
      </w:tr>
      <w:tr w14:paraId="2FD32E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2" w:hRule="atLeast"/>
        </w:trPr>
        <w:tc>
          <w:tcPr>
            <w:tcW w:w="737" w:type="dxa"/>
            <w:vMerge w:val="continue"/>
            <w:tcBorders>
              <w:top w:val="nil"/>
              <w:left w:val="single" w:color="000000" w:sz="6" w:space="0"/>
              <w:bottom w:val="nil"/>
            </w:tcBorders>
            <w:vAlign w:val="top"/>
          </w:tcPr>
          <w:p w14:paraId="1A295F35">
            <w:pPr>
              <w:rPr>
                <w:rFonts w:ascii="Arial"/>
                <w:sz w:val="21"/>
              </w:rPr>
            </w:pPr>
          </w:p>
        </w:tc>
        <w:tc>
          <w:tcPr>
            <w:tcW w:w="1526" w:type="dxa"/>
            <w:vMerge w:val="continue"/>
            <w:tcBorders>
              <w:top w:val="nil"/>
            </w:tcBorders>
            <w:vAlign w:val="top"/>
          </w:tcPr>
          <w:p w14:paraId="5D43E383">
            <w:pPr>
              <w:rPr>
                <w:rFonts w:ascii="Arial"/>
                <w:sz w:val="21"/>
              </w:rPr>
            </w:pPr>
          </w:p>
        </w:tc>
        <w:tc>
          <w:tcPr>
            <w:tcW w:w="741" w:type="dxa"/>
            <w:vMerge w:val="continue"/>
            <w:tcBorders>
              <w:top w:val="nil"/>
            </w:tcBorders>
            <w:vAlign w:val="top"/>
          </w:tcPr>
          <w:p w14:paraId="61DDBE30">
            <w:pPr>
              <w:rPr>
                <w:rFonts w:ascii="Arial"/>
                <w:sz w:val="21"/>
              </w:rPr>
            </w:pPr>
          </w:p>
        </w:tc>
        <w:tc>
          <w:tcPr>
            <w:tcW w:w="636" w:type="dxa"/>
            <w:vMerge w:val="continue"/>
            <w:tcBorders>
              <w:top w:val="nil"/>
            </w:tcBorders>
            <w:vAlign w:val="top"/>
          </w:tcPr>
          <w:p w14:paraId="610EC012">
            <w:pPr>
              <w:rPr>
                <w:rFonts w:ascii="Arial"/>
                <w:sz w:val="21"/>
              </w:rPr>
            </w:pPr>
          </w:p>
        </w:tc>
        <w:tc>
          <w:tcPr>
            <w:tcW w:w="636" w:type="dxa"/>
            <w:vMerge w:val="continue"/>
            <w:tcBorders>
              <w:top w:val="nil"/>
            </w:tcBorders>
            <w:vAlign w:val="top"/>
          </w:tcPr>
          <w:p w14:paraId="0B72E5F1">
            <w:pPr>
              <w:rPr>
                <w:rFonts w:ascii="Arial"/>
                <w:sz w:val="21"/>
              </w:rPr>
            </w:pPr>
          </w:p>
        </w:tc>
        <w:tc>
          <w:tcPr>
            <w:tcW w:w="636" w:type="dxa"/>
            <w:vAlign w:val="top"/>
          </w:tcPr>
          <w:p w14:paraId="50131712">
            <w:pPr>
              <w:pStyle w:val="6"/>
              <w:spacing w:before="44" w:line="183" w:lineRule="auto"/>
              <w:ind w:left="165"/>
            </w:pPr>
            <w:r>
              <w:rPr>
                <w:spacing w:val="-2"/>
              </w:rPr>
              <w:t>(m³)</w:t>
            </w:r>
          </w:p>
        </w:tc>
        <w:tc>
          <w:tcPr>
            <w:tcW w:w="566" w:type="dxa"/>
            <w:vAlign w:val="top"/>
          </w:tcPr>
          <w:p w14:paraId="3E9BBC65">
            <w:pPr>
              <w:pStyle w:val="6"/>
              <w:spacing w:before="44" w:line="183" w:lineRule="auto"/>
              <w:ind w:left="131"/>
            </w:pPr>
            <w:r>
              <w:rPr>
                <w:spacing w:val="-3"/>
              </w:rPr>
              <w:t>(m³)</w:t>
            </w:r>
          </w:p>
        </w:tc>
        <w:tc>
          <w:tcPr>
            <w:tcW w:w="776" w:type="dxa"/>
            <w:vAlign w:val="top"/>
          </w:tcPr>
          <w:p w14:paraId="524FD354">
            <w:pPr>
              <w:pStyle w:val="6"/>
              <w:spacing w:before="44" w:line="183" w:lineRule="auto"/>
              <w:ind w:left="237"/>
            </w:pPr>
            <w:r>
              <w:rPr>
                <w:spacing w:val="-3"/>
              </w:rPr>
              <w:t>(m³)</w:t>
            </w:r>
          </w:p>
        </w:tc>
        <w:tc>
          <w:tcPr>
            <w:tcW w:w="901" w:type="dxa"/>
            <w:vAlign w:val="top"/>
          </w:tcPr>
          <w:p w14:paraId="56B9B2E1">
            <w:pPr>
              <w:pStyle w:val="6"/>
              <w:spacing w:before="44" w:line="183" w:lineRule="auto"/>
              <w:ind w:left="301"/>
            </w:pPr>
            <w:r>
              <w:rPr>
                <w:spacing w:val="-3"/>
              </w:rPr>
              <w:t>(m³)</w:t>
            </w:r>
          </w:p>
        </w:tc>
        <w:tc>
          <w:tcPr>
            <w:tcW w:w="1222" w:type="dxa"/>
            <w:vMerge w:val="continue"/>
            <w:tcBorders>
              <w:top w:val="nil"/>
              <w:right w:val="single" w:color="000000" w:sz="6" w:space="0"/>
            </w:tcBorders>
            <w:vAlign w:val="top"/>
          </w:tcPr>
          <w:p w14:paraId="56F01806">
            <w:pPr>
              <w:rPr>
                <w:rFonts w:ascii="Arial"/>
                <w:sz w:val="21"/>
              </w:rPr>
            </w:pPr>
          </w:p>
        </w:tc>
      </w:tr>
      <w:tr w14:paraId="4DCE53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2CB79EC8">
            <w:pPr>
              <w:rPr>
                <w:rFonts w:ascii="Arial"/>
                <w:sz w:val="21"/>
              </w:rPr>
            </w:pPr>
          </w:p>
        </w:tc>
        <w:tc>
          <w:tcPr>
            <w:tcW w:w="7640" w:type="dxa"/>
            <w:gridSpan w:val="9"/>
            <w:tcBorders>
              <w:right w:val="single" w:color="000000" w:sz="6" w:space="0"/>
            </w:tcBorders>
            <w:vAlign w:val="top"/>
          </w:tcPr>
          <w:p w14:paraId="1F8DEFF7">
            <w:pPr>
              <w:pStyle w:val="6"/>
              <w:spacing w:before="29" w:line="205" w:lineRule="auto"/>
              <w:ind w:left="1623"/>
              <w:rPr>
                <w:rFonts w:ascii="仿宋" w:hAnsi="仿宋" w:eastAsia="仿宋" w:cs="仿宋"/>
              </w:rPr>
            </w:pPr>
            <w:r>
              <w:rPr>
                <w:rFonts w:ascii="仿宋" w:hAnsi="仿宋" w:eastAsia="仿宋" w:cs="仿宋"/>
                <w:spacing w:val="-2"/>
              </w:rPr>
              <w:t>准格尔旗</w:t>
            </w:r>
            <w:r>
              <w:rPr>
                <w:rFonts w:ascii="仿宋" w:hAnsi="仿宋" w:eastAsia="仿宋" w:cs="仿宋"/>
                <w:spacing w:val="-25"/>
              </w:rPr>
              <w:t xml:space="preserve"> </w:t>
            </w:r>
            <w:r>
              <w:rPr>
                <w:spacing w:val="-2"/>
              </w:rPr>
              <w:t>2025</w:t>
            </w:r>
            <w:r>
              <w:rPr>
                <w:spacing w:val="15"/>
                <w:w w:val="101"/>
              </w:rPr>
              <w:t xml:space="preserve"> </w:t>
            </w:r>
            <w:r>
              <w:rPr>
                <w:rFonts w:ascii="仿宋" w:hAnsi="仿宋" w:eastAsia="仿宋" w:cs="仿宋"/>
                <w:spacing w:val="-2"/>
              </w:rPr>
              <w:t>年沙圪堵镇双山梁村自然村通硬化路工程</w:t>
            </w:r>
          </w:p>
        </w:tc>
      </w:tr>
      <w:tr w14:paraId="7F5B50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3D427642">
            <w:pPr>
              <w:rPr>
                <w:rFonts w:ascii="Arial"/>
                <w:sz w:val="21"/>
              </w:rPr>
            </w:pPr>
          </w:p>
        </w:tc>
        <w:tc>
          <w:tcPr>
            <w:tcW w:w="2267" w:type="dxa"/>
            <w:gridSpan w:val="2"/>
            <w:vAlign w:val="top"/>
          </w:tcPr>
          <w:p w14:paraId="440BFF98">
            <w:pPr>
              <w:spacing w:before="27" w:line="222" w:lineRule="auto"/>
              <w:ind w:left="156"/>
              <w:rPr>
                <w:rFonts w:ascii="仿宋" w:hAnsi="仿宋" w:eastAsia="仿宋" w:cs="仿宋"/>
                <w:sz w:val="18"/>
                <w:szCs w:val="18"/>
              </w:rPr>
            </w:pPr>
            <w:r>
              <w:rPr>
                <w:rFonts w:ascii="仿宋" w:hAnsi="仿宋" w:eastAsia="仿宋" w:cs="仿宋"/>
                <w:spacing w:val="-2"/>
                <w:sz w:val="18"/>
                <w:szCs w:val="18"/>
              </w:rPr>
              <w:t>李家圪堵至土敖包通村公</w:t>
            </w:r>
          </w:p>
          <w:p w14:paraId="64FA4D55">
            <w:pPr>
              <w:spacing w:before="16" w:line="206" w:lineRule="auto"/>
              <w:ind w:left="1051"/>
              <w:rPr>
                <w:rFonts w:ascii="仿宋" w:hAnsi="仿宋" w:eastAsia="仿宋" w:cs="仿宋"/>
                <w:sz w:val="18"/>
                <w:szCs w:val="18"/>
              </w:rPr>
            </w:pPr>
            <w:r>
              <w:rPr>
                <w:rFonts w:ascii="仿宋" w:hAnsi="仿宋" w:eastAsia="仿宋" w:cs="仿宋"/>
                <w:sz w:val="18"/>
                <w:szCs w:val="18"/>
              </w:rPr>
              <w:t>路</w:t>
            </w:r>
          </w:p>
        </w:tc>
        <w:tc>
          <w:tcPr>
            <w:tcW w:w="636" w:type="dxa"/>
            <w:vAlign w:val="top"/>
          </w:tcPr>
          <w:p w14:paraId="02EDC6C6">
            <w:pPr>
              <w:rPr>
                <w:rFonts w:ascii="Arial"/>
                <w:sz w:val="21"/>
              </w:rPr>
            </w:pPr>
          </w:p>
        </w:tc>
        <w:tc>
          <w:tcPr>
            <w:tcW w:w="636" w:type="dxa"/>
            <w:vAlign w:val="top"/>
          </w:tcPr>
          <w:p w14:paraId="0E5BB080">
            <w:pPr>
              <w:rPr>
                <w:rFonts w:ascii="Arial"/>
                <w:sz w:val="21"/>
              </w:rPr>
            </w:pPr>
          </w:p>
        </w:tc>
        <w:tc>
          <w:tcPr>
            <w:tcW w:w="636" w:type="dxa"/>
            <w:vAlign w:val="top"/>
          </w:tcPr>
          <w:p w14:paraId="4CD2DF1E">
            <w:pPr>
              <w:rPr>
                <w:rFonts w:ascii="Arial"/>
                <w:sz w:val="21"/>
              </w:rPr>
            </w:pPr>
          </w:p>
        </w:tc>
        <w:tc>
          <w:tcPr>
            <w:tcW w:w="566" w:type="dxa"/>
            <w:vAlign w:val="top"/>
          </w:tcPr>
          <w:p w14:paraId="44B66851">
            <w:pPr>
              <w:rPr>
                <w:rFonts w:ascii="Arial"/>
                <w:sz w:val="21"/>
              </w:rPr>
            </w:pPr>
          </w:p>
        </w:tc>
        <w:tc>
          <w:tcPr>
            <w:tcW w:w="776" w:type="dxa"/>
            <w:vAlign w:val="top"/>
          </w:tcPr>
          <w:p w14:paraId="6D575D33">
            <w:pPr>
              <w:rPr>
                <w:rFonts w:ascii="Arial"/>
                <w:sz w:val="21"/>
              </w:rPr>
            </w:pPr>
          </w:p>
        </w:tc>
        <w:tc>
          <w:tcPr>
            <w:tcW w:w="901" w:type="dxa"/>
            <w:vAlign w:val="top"/>
          </w:tcPr>
          <w:p w14:paraId="6258F2DD">
            <w:pPr>
              <w:rPr>
                <w:rFonts w:ascii="Arial"/>
                <w:sz w:val="21"/>
              </w:rPr>
            </w:pPr>
          </w:p>
        </w:tc>
        <w:tc>
          <w:tcPr>
            <w:tcW w:w="1222" w:type="dxa"/>
            <w:tcBorders>
              <w:right w:val="single" w:color="000000" w:sz="6" w:space="0"/>
            </w:tcBorders>
            <w:vAlign w:val="top"/>
          </w:tcPr>
          <w:p w14:paraId="50F2E95D">
            <w:pPr>
              <w:rPr>
                <w:rFonts w:ascii="Arial"/>
                <w:sz w:val="21"/>
              </w:rPr>
            </w:pPr>
          </w:p>
        </w:tc>
      </w:tr>
      <w:tr w14:paraId="48F2FC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2F9E1E9F">
            <w:pPr>
              <w:rPr>
                <w:rFonts w:ascii="Arial"/>
                <w:sz w:val="21"/>
              </w:rPr>
            </w:pPr>
          </w:p>
        </w:tc>
        <w:tc>
          <w:tcPr>
            <w:tcW w:w="1526" w:type="dxa"/>
            <w:vAlign w:val="top"/>
          </w:tcPr>
          <w:p w14:paraId="26D56609">
            <w:pPr>
              <w:spacing w:before="29" w:line="204" w:lineRule="auto"/>
              <w:ind w:left="499"/>
              <w:rPr>
                <w:rFonts w:ascii="仿宋" w:hAnsi="仿宋" w:eastAsia="仿宋" w:cs="仿宋"/>
                <w:sz w:val="18"/>
                <w:szCs w:val="18"/>
              </w:rPr>
            </w:pPr>
            <w:r>
              <w:rPr>
                <w:rFonts w:ascii="仿宋" w:hAnsi="仿宋" w:eastAsia="仿宋" w:cs="仿宋"/>
                <w:spacing w:val="1"/>
                <w:sz w:val="18"/>
                <w:szCs w:val="18"/>
              </w:rPr>
              <w:t>路段一</w:t>
            </w:r>
          </w:p>
        </w:tc>
        <w:tc>
          <w:tcPr>
            <w:tcW w:w="741" w:type="dxa"/>
            <w:vAlign w:val="top"/>
          </w:tcPr>
          <w:p w14:paraId="1C1E002B">
            <w:pPr>
              <w:spacing w:line="228" w:lineRule="exact"/>
              <w:rPr>
                <w:rFonts w:ascii="Arial"/>
                <w:sz w:val="19"/>
              </w:rPr>
            </w:pPr>
          </w:p>
        </w:tc>
        <w:tc>
          <w:tcPr>
            <w:tcW w:w="636" w:type="dxa"/>
            <w:vAlign w:val="top"/>
          </w:tcPr>
          <w:p w14:paraId="5E5E6822">
            <w:pPr>
              <w:spacing w:line="228" w:lineRule="exact"/>
              <w:rPr>
                <w:rFonts w:ascii="Arial"/>
                <w:sz w:val="19"/>
              </w:rPr>
            </w:pPr>
          </w:p>
        </w:tc>
        <w:tc>
          <w:tcPr>
            <w:tcW w:w="636" w:type="dxa"/>
            <w:vAlign w:val="top"/>
          </w:tcPr>
          <w:p w14:paraId="15986AED">
            <w:pPr>
              <w:spacing w:line="228" w:lineRule="exact"/>
              <w:rPr>
                <w:rFonts w:ascii="Arial"/>
                <w:sz w:val="19"/>
              </w:rPr>
            </w:pPr>
          </w:p>
        </w:tc>
        <w:tc>
          <w:tcPr>
            <w:tcW w:w="636" w:type="dxa"/>
            <w:vAlign w:val="top"/>
          </w:tcPr>
          <w:p w14:paraId="7AB6A8FA">
            <w:pPr>
              <w:spacing w:line="228" w:lineRule="exact"/>
              <w:rPr>
                <w:rFonts w:ascii="Arial"/>
                <w:sz w:val="19"/>
              </w:rPr>
            </w:pPr>
          </w:p>
        </w:tc>
        <w:tc>
          <w:tcPr>
            <w:tcW w:w="566" w:type="dxa"/>
            <w:vAlign w:val="top"/>
          </w:tcPr>
          <w:p w14:paraId="66A37315">
            <w:pPr>
              <w:spacing w:line="228" w:lineRule="exact"/>
              <w:rPr>
                <w:rFonts w:ascii="Arial"/>
                <w:sz w:val="19"/>
              </w:rPr>
            </w:pPr>
          </w:p>
        </w:tc>
        <w:tc>
          <w:tcPr>
            <w:tcW w:w="776" w:type="dxa"/>
            <w:vAlign w:val="top"/>
          </w:tcPr>
          <w:p w14:paraId="156C8722">
            <w:pPr>
              <w:spacing w:line="228" w:lineRule="exact"/>
              <w:rPr>
                <w:rFonts w:ascii="Arial"/>
                <w:sz w:val="19"/>
              </w:rPr>
            </w:pPr>
          </w:p>
        </w:tc>
        <w:tc>
          <w:tcPr>
            <w:tcW w:w="901" w:type="dxa"/>
            <w:vAlign w:val="top"/>
          </w:tcPr>
          <w:p w14:paraId="14F3BE2C">
            <w:pPr>
              <w:spacing w:line="228" w:lineRule="exact"/>
              <w:rPr>
                <w:rFonts w:ascii="Arial"/>
                <w:sz w:val="19"/>
              </w:rPr>
            </w:pPr>
          </w:p>
        </w:tc>
        <w:tc>
          <w:tcPr>
            <w:tcW w:w="1222" w:type="dxa"/>
            <w:tcBorders>
              <w:right w:val="single" w:color="000000" w:sz="6" w:space="0"/>
            </w:tcBorders>
            <w:vAlign w:val="top"/>
          </w:tcPr>
          <w:p w14:paraId="26A19249">
            <w:pPr>
              <w:spacing w:line="228" w:lineRule="exact"/>
              <w:rPr>
                <w:rFonts w:ascii="Arial"/>
                <w:sz w:val="19"/>
              </w:rPr>
            </w:pPr>
          </w:p>
        </w:tc>
      </w:tr>
      <w:tr w14:paraId="409FB8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737" w:type="dxa"/>
            <w:vMerge w:val="continue"/>
            <w:tcBorders>
              <w:top w:val="nil"/>
              <w:left w:val="single" w:color="000000" w:sz="6" w:space="0"/>
              <w:bottom w:val="nil"/>
            </w:tcBorders>
            <w:vAlign w:val="top"/>
          </w:tcPr>
          <w:p w14:paraId="63B6504B">
            <w:pPr>
              <w:rPr>
                <w:rFonts w:ascii="Arial"/>
                <w:sz w:val="21"/>
              </w:rPr>
            </w:pPr>
          </w:p>
        </w:tc>
        <w:tc>
          <w:tcPr>
            <w:tcW w:w="1526" w:type="dxa"/>
            <w:vAlign w:val="top"/>
          </w:tcPr>
          <w:p w14:paraId="030D3D77">
            <w:pPr>
              <w:pStyle w:val="6"/>
              <w:spacing w:before="29"/>
              <w:ind w:left="376"/>
              <w:rPr>
                <w:rFonts w:ascii="仿宋" w:hAnsi="仿宋" w:eastAsia="仿宋" w:cs="仿宋"/>
              </w:rPr>
            </w:pPr>
            <w:r>
              <w:rPr>
                <w:spacing w:val="9"/>
              </w:rPr>
              <w:t>K0+000</w:t>
            </w:r>
            <w:r>
              <w:rPr>
                <w:rFonts w:ascii="仿宋" w:hAnsi="仿宋" w:eastAsia="仿宋" w:cs="仿宋"/>
                <w:spacing w:val="9"/>
              </w:rPr>
              <w:t>~</w:t>
            </w:r>
          </w:p>
          <w:p w14:paraId="1E1B3624">
            <w:pPr>
              <w:pStyle w:val="6"/>
              <w:spacing w:before="14" w:line="181" w:lineRule="auto"/>
              <w:ind w:left="465"/>
            </w:pPr>
            <w:r>
              <w:rPr>
                <w:spacing w:val="-1"/>
              </w:rPr>
              <w:t>K0+175</w:t>
            </w:r>
          </w:p>
        </w:tc>
        <w:tc>
          <w:tcPr>
            <w:tcW w:w="741" w:type="dxa"/>
            <w:vAlign w:val="top"/>
          </w:tcPr>
          <w:p w14:paraId="0B3B8599">
            <w:pPr>
              <w:pStyle w:val="6"/>
              <w:spacing w:before="60" w:line="188" w:lineRule="auto"/>
              <w:ind w:left="137"/>
            </w:pPr>
            <w:r>
              <w:rPr>
                <w:spacing w:val="-4"/>
              </w:rPr>
              <w:t>175.00</w:t>
            </w:r>
          </w:p>
          <w:p w14:paraId="079E881A">
            <w:pPr>
              <w:pStyle w:val="6"/>
              <w:spacing w:before="44" w:line="188" w:lineRule="auto"/>
              <w:ind w:left="327"/>
            </w:pPr>
            <w:r>
              <w:t>0</w:t>
            </w:r>
          </w:p>
        </w:tc>
        <w:tc>
          <w:tcPr>
            <w:tcW w:w="636" w:type="dxa"/>
            <w:vAlign w:val="top"/>
          </w:tcPr>
          <w:p w14:paraId="4D637AE7">
            <w:pPr>
              <w:pStyle w:val="6"/>
              <w:spacing w:before="163" w:line="188" w:lineRule="auto"/>
              <w:ind w:left="229"/>
            </w:pPr>
            <w:r>
              <w:rPr>
                <w:spacing w:val="-3"/>
              </w:rPr>
              <w:t>72</w:t>
            </w:r>
          </w:p>
        </w:tc>
        <w:tc>
          <w:tcPr>
            <w:tcW w:w="636" w:type="dxa"/>
            <w:vAlign w:val="top"/>
          </w:tcPr>
          <w:p w14:paraId="48D0CADA">
            <w:pPr>
              <w:pStyle w:val="6"/>
              <w:spacing w:before="163" w:line="188" w:lineRule="auto"/>
              <w:ind w:left="232"/>
            </w:pPr>
            <w:r>
              <w:rPr>
                <w:spacing w:val="-3"/>
              </w:rPr>
              <w:t>72</w:t>
            </w:r>
          </w:p>
        </w:tc>
        <w:tc>
          <w:tcPr>
            <w:tcW w:w="636" w:type="dxa"/>
            <w:vAlign w:val="top"/>
          </w:tcPr>
          <w:p w14:paraId="002FFD95">
            <w:pPr>
              <w:pStyle w:val="6"/>
              <w:spacing w:before="163" w:line="188" w:lineRule="auto"/>
              <w:ind w:left="234"/>
            </w:pPr>
            <w:r>
              <w:rPr>
                <w:spacing w:val="-4"/>
              </w:rPr>
              <w:t>50</w:t>
            </w:r>
          </w:p>
        </w:tc>
        <w:tc>
          <w:tcPr>
            <w:tcW w:w="566" w:type="dxa"/>
            <w:vAlign w:val="top"/>
          </w:tcPr>
          <w:p w14:paraId="01191AD3">
            <w:pPr>
              <w:pStyle w:val="6"/>
              <w:spacing w:before="163" w:line="188" w:lineRule="auto"/>
              <w:ind w:left="200"/>
            </w:pPr>
            <w:r>
              <w:rPr>
                <w:spacing w:val="-4"/>
              </w:rPr>
              <w:t>50</w:t>
            </w:r>
          </w:p>
        </w:tc>
        <w:tc>
          <w:tcPr>
            <w:tcW w:w="776" w:type="dxa"/>
            <w:vAlign w:val="top"/>
          </w:tcPr>
          <w:p w14:paraId="6F0114D0">
            <w:pPr>
              <w:pStyle w:val="6"/>
              <w:spacing w:before="163" w:line="188" w:lineRule="auto"/>
              <w:ind w:left="318"/>
            </w:pPr>
            <w:r>
              <w:rPr>
                <w:spacing w:val="-10"/>
              </w:rPr>
              <w:t>18</w:t>
            </w:r>
          </w:p>
        </w:tc>
        <w:tc>
          <w:tcPr>
            <w:tcW w:w="901" w:type="dxa"/>
            <w:vAlign w:val="top"/>
          </w:tcPr>
          <w:p w14:paraId="07BD952B">
            <w:pPr>
              <w:pStyle w:val="6"/>
              <w:spacing w:before="163" w:line="188" w:lineRule="auto"/>
              <w:ind w:left="369"/>
            </w:pPr>
            <w:r>
              <w:rPr>
                <w:spacing w:val="-4"/>
              </w:rPr>
              <w:t>32</w:t>
            </w:r>
          </w:p>
        </w:tc>
        <w:tc>
          <w:tcPr>
            <w:tcW w:w="1222" w:type="dxa"/>
            <w:tcBorders>
              <w:right w:val="single" w:color="000000" w:sz="6" w:space="0"/>
            </w:tcBorders>
            <w:vAlign w:val="top"/>
          </w:tcPr>
          <w:p w14:paraId="23EAECAE">
            <w:pPr>
              <w:pStyle w:val="6"/>
              <w:spacing w:before="131" w:line="224" w:lineRule="auto"/>
              <w:ind w:left="231"/>
            </w:pPr>
            <w:r>
              <w:rPr>
                <w:rFonts w:ascii="仿宋" w:hAnsi="仿宋" w:eastAsia="仿宋" w:cs="仿宋"/>
                <w:spacing w:val="-3"/>
              </w:rPr>
              <w:t>调出</w:t>
            </w:r>
            <w:r>
              <w:rPr>
                <w:rFonts w:ascii="仿宋" w:hAnsi="仿宋" w:eastAsia="仿宋" w:cs="仿宋"/>
                <w:spacing w:val="-41"/>
              </w:rPr>
              <w:t xml:space="preserve"> </w:t>
            </w:r>
            <w:r>
              <w:rPr>
                <w:spacing w:val="-3"/>
              </w:rPr>
              <w:t>22m³</w:t>
            </w:r>
          </w:p>
        </w:tc>
      </w:tr>
      <w:tr w14:paraId="4E79EF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457A00C9">
            <w:pPr>
              <w:rPr>
                <w:rFonts w:ascii="Arial"/>
                <w:sz w:val="21"/>
              </w:rPr>
            </w:pPr>
          </w:p>
        </w:tc>
        <w:tc>
          <w:tcPr>
            <w:tcW w:w="1526" w:type="dxa"/>
            <w:vAlign w:val="top"/>
          </w:tcPr>
          <w:p w14:paraId="63B84901">
            <w:pPr>
              <w:spacing w:before="31" w:line="203" w:lineRule="auto"/>
              <w:ind w:left="413"/>
              <w:rPr>
                <w:rFonts w:ascii="仿宋" w:hAnsi="仿宋" w:eastAsia="仿宋" w:cs="仿宋"/>
                <w:sz w:val="18"/>
                <w:szCs w:val="18"/>
              </w:rPr>
            </w:pPr>
            <w:r>
              <w:rPr>
                <w:rFonts w:ascii="仿宋" w:hAnsi="仿宋" w:eastAsia="仿宋" w:cs="仿宋"/>
                <w:spacing w:val="-4"/>
                <w:sz w:val="18"/>
                <w:szCs w:val="18"/>
              </w:rPr>
              <w:t>清表亏方</w:t>
            </w:r>
          </w:p>
        </w:tc>
        <w:tc>
          <w:tcPr>
            <w:tcW w:w="741" w:type="dxa"/>
            <w:vAlign w:val="top"/>
          </w:tcPr>
          <w:p w14:paraId="29AAD1E9">
            <w:pPr>
              <w:spacing w:line="229" w:lineRule="exact"/>
              <w:rPr>
                <w:rFonts w:ascii="Arial"/>
                <w:sz w:val="19"/>
              </w:rPr>
            </w:pPr>
          </w:p>
        </w:tc>
        <w:tc>
          <w:tcPr>
            <w:tcW w:w="636" w:type="dxa"/>
            <w:vAlign w:val="top"/>
          </w:tcPr>
          <w:p w14:paraId="55EB56B5">
            <w:pPr>
              <w:spacing w:line="229" w:lineRule="exact"/>
              <w:rPr>
                <w:rFonts w:ascii="Arial"/>
                <w:sz w:val="19"/>
              </w:rPr>
            </w:pPr>
          </w:p>
        </w:tc>
        <w:tc>
          <w:tcPr>
            <w:tcW w:w="636" w:type="dxa"/>
            <w:vAlign w:val="top"/>
          </w:tcPr>
          <w:p w14:paraId="104740B5">
            <w:pPr>
              <w:spacing w:line="229" w:lineRule="exact"/>
              <w:rPr>
                <w:rFonts w:ascii="Arial"/>
                <w:sz w:val="19"/>
              </w:rPr>
            </w:pPr>
          </w:p>
        </w:tc>
        <w:tc>
          <w:tcPr>
            <w:tcW w:w="636" w:type="dxa"/>
            <w:vAlign w:val="top"/>
          </w:tcPr>
          <w:p w14:paraId="78A127AB">
            <w:pPr>
              <w:pStyle w:val="6"/>
              <w:spacing w:before="62" w:line="188" w:lineRule="auto"/>
              <w:ind w:left="229"/>
            </w:pPr>
            <w:r>
              <w:rPr>
                <w:spacing w:val="-2"/>
              </w:rPr>
              <w:t>22</w:t>
            </w:r>
          </w:p>
        </w:tc>
        <w:tc>
          <w:tcPr>
            <w:tcW w:w="566" w:type="dxa"/>
            <w:vAlign w:val="top"/>
          </w:tcPr>
          <w:p w14:paraId="3C07E207">
            <w:pPr>
              <w:pStyle w:val="6"/>
              <w:spacing w:before="62" w:line="188" w:lineRule="auto"/>
              <w:ind w:left="195"/>
            </w:pPr>
            <w:r>
              <w:rPr>
                <w:spacing w:val="-2"/>
              </w:rPr>
              <w:t>22</w:t>
            </w:r>
          </w:p>
        </w:tc>
        <w:tc>
          <w:tcPr>
            <w:tcW w:w="776" w:type="dxa"/>
            <w:vAlign w:val="top"/>
          </w:tcPr>
          <w:p w14:paraId="011FB04A">
            <w:pPr>
              <w:spacing w:line="229" w:lineRule="exact"/>
              <w:rPr>
                <w:rFonts w:ascii="Arial"/>
                <w:sz w:val="19"/>
              </w:rPr>
            </w:pPr>
          </w:p>
        </w:tc>
        <w:tc>
          <w:tcPr>
            <w:tcW w:w="901" w:type="dxa"/>
            <w:vAlign w:val="top"/>
          </w:tcPr>
          <w:p w14:paraId="43662A5D">
            <w:pPr>
              <w:spacing w:line="229" w:lineRule="exact"/>
              <w:rPr>
                <w:rFonts w:ascii="Arial"/>
                <w:sz w:val="19"/>
              </w:rPr>
            </w:pPr>
          </w:p>
        </w:tc>
        <w:tc>
          <w:tcPr>
            <w:tcW w:w="1222" w:type="dxa"/>
            <w:tcBorders>
              <w:right w:val="single" w:color="000000" w:sz="6" w:space="0"/>
            </w:tcBorders>
            <w:vAlign w:val="top"/>
          </w:tcPr>
          <w:p w14:paraId="43233FA0">
            <w:pPr>
              <w:pStyle w:val="6"/>
              <w:spacing w:before="31" w:line="203" w:lineRule="auto"/>
              <w:ind w:left="231"/>
            </w:pPr>
            <w:r>
              <w:rPr>
                <w:rFonts w:ascii="仿宋" w:hAnsi="仿宋" w:eastAsia="仿宋" w:cs="仿宋"/>
                <w:spacing w:val="-3"/>
              </w:rPr>
              <w:t>调入</w:t>
            </w:r>
            <w:r>
              <w:rPr>
                <w:rFonts w:ascii="仿宋" w:hAnsi="仿宋" w:eastAsia="仿宋" w:cs="仿宋"/>
                <w:spacing w:val="-41"/>
              </w:rPr>
              <w:t xml:space="preserve"> </w:t>
            </w:r>
            <w:r>
              <w:rPr>
                <w:spacing w:val="-3"/>
              </w:rPr>
              <w:t>22m³</w:t>
            </w:r>
          </w:p>
        </w:tc>
      </w:tr>
      <w:tr w14:paraId="34924A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30867398">
            <w:pPr>
              <w:rPr>
                <w:rFonts w:ascii="Arial"/>
                <w:sz w:val="21"/>
              </w:rPr>
            </w:pPr>
          </w:p>
        </w:tc>
        <w:tc>
          <w:tcPr>
            <w:tcW w:w="1526" w:type="dxa"/>
            <w:vAlign w:val="top"/>
          </w:tcPr>
          <w:p w14:paraId="22898BE7">
            <w:pPr>
              <w:spacing w:before="29" w:line="204" w:lineRule="auto"/>
              <w:ind w:left="499"/>
              <w:rPr>
                <w:rFonts w:ascii="仿宋" w:hAnsi="仿宋" w:eastAsia="仿宋" w:cs="仿宋"/>
                <w:sz w:val="18"/>
                <w:szCs w:val="18"/>
              </w:rPr>
            </w:pPr>
            <w:r>
              <w:rPr>
                <w:rFonts w:ascii="仿宋" w:hAnsi="仿宋" w:eastAsia="仿宋" w:cs="仿宋"/>
                <w:spacing w:val="-4"/>
                <w:sz w:val="18"/>
                <w:szCs w:val="18"/>
              </w:rPr>
              <w:t>路段二</w:t>
            </w:r>
          </w:p>
        </w:tc>
        <w:tc>
          <w:tcPr>
            <w:tcW w:w="741" w:type="dxa"/>
            <w:vAlign w:val="top"/>
          </w:tcPr>
          <w:p w14:paraId="180307BA">
            <w:pPr>
              <w:spacing w:line="228" w:lineRule="exact"/>
              <w:rPr>
                <w:rFonts w:ascii="Arial"/>
                <w:sz w:val="19"/>
              </w:rPr>
            </w:pPr>
          </w:p>
        </w:tc>
        <w:tc>
          <w:tcPr>
            <w:tcW w:w="636" w:type="dxa"/>
            <w:vAlign w:val="top"/>
          </w:tcPr>
          <w:p w14:paraId="2A614FCB">
            <w:pPr>
              <w:spacing w:line="228" w:lineRule="exact"/>
              <w:rPr>
                <w:rFonts w:ascii="Arial"/>
                <w:sz w:val="19"/>
              </w:rPr>
            </w:pPr>
          </w:p>
        </w:tc>
        <w:tc>
          <w:tcPr>
            <w:tcW w:w="636" w:type="dxa"/>
            <w:vAlign w:val="top"/>
          </w:tcPr>
          <w:p w14:paraId="18AA3B31">
            <w:pPr>
              <w:spacing w:line="228" w:lineRule="exact"/>
              <w:rPr>
                <w:rFonts w:ascii="Arial"/>
                <w:sz w:val="19"/>
              </w:rPr>
            </w:pPr>
          </w:p>
        </w:tc>
        <w:tc>
          <w:tcPr>
            <w:tcW w:w="636" w:type="dxa"/>
            <w:vAlign w:val="top"/>
          </w:tcPr>
          <w:p w14:paraId="7D2AC771">
            <w:pPr>
              <w:spacing w:line="228" w:lineRule="exact"/>
              <w:rPr>
                <w:rFonts w:ascii="Arial"/>
                <w:sz w:val="19"/>
              </w:rPr>
            </w:pPr>
          </w:p>
        </w:tc>
        <w:tc>
          <w:tcPr>
            <w:tcW w:w="566" w:type="dxa"/>
            <w:vAlign w:val="top"/>
          </w:tcPr>
          <w:p w14:paraId="77D04F37">
            <w:pPr>
              <w:spacing w:line="228" w:lineRule="exact"/>
              <w:rPr>
                <w:rFonts w:ascii="Arial"/>
                <w:sz w:val="19"/>
              </w:rPr>
            </w:pPr>
          </w:p>
        </w:tc>
        <w:tc>
          <w:tcPr>
            <w:tcW w:w="776" w:type="dxa"/>
            <w:vAlign w:val="top"/>
          </w:tcPr>
          <w:p w14:paraId="3FC2E2FF">
            <w:pPr>
              <w:spacing w:line="228" w:lineRule="exact"/>
              <w:rPr>
                <w:rFonts w:ascii="Arial"/>
                <w:sz w:val="19"/>
              </w:rPr>
            </w:pPr>
          </w:p>
        </w:tc>
        <w:tc>
          <w:tcPr>
            <w:tcW w:w="901" w:type="dxa"/>
            <w:vAlign w:val="top"/>
          </w:tcPr>
          <w:p w14:paraId="4D9890BD">
            <w:pPr>
              <w:spacing w:line="228" w:lineRule="exact"/>
              <w:rPr>
                <w:rFonts w:ascii="Arial"/>
                <w:sz w:val="19"/>
              </w:rPr>
            </w:pPr>
          </w:p>
        </w:tc>
        <w:tc>
          <w:tcPr>
            <w:tcW w:w="1222" w:type="dxa"/>
            <w:tcBorders>
              <w:right w:val="single" w:color="000000" w:sz="6" w:space="0"/>
            </w:tcBorders>
            <w:vAlign w:val="top"/>
          </w:tcPr>
          <w:p w14:paraId="77DBAF19">
            <w:pPr>
              <w:spacing w:line="228" w:lineRule="exact"/>
              <w:rPr>
                <w:rFonts w:ascii="Arial"/>
                <w:sz w:val="19"/>
              </w:rPr>
            </w:pPr>
          </w:p>
        </w:tc>
      </w:tr>
      <w:tr w14:paraId="6C18FD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737" w:type="dxa"/>
            <w:vMerge w:val="continue"/>
            <w:tcBorders>
              <w:top w:val="nil"/>
              <w:left w:val="single" w:color="000000" w:sz="6" w:space="0"/>
              <w:bottom w:val="nil"/>
            </w:tcBorders>
            <w:vAlign w:val="top"/>
          </w:tcPr>
          <w:p w14:paraId="68E6290F">
            <w:pPr>
              <w:rPr>
                <w:rFonts w:ascii="Arial"/>
                <w:sz w:val="21"/>
              </w:rPr>
            </w:pPr>
          </w:p>
        </w:tc>
        <w:tc>
          <w:tcPr>
            <w:tcW w:w="1526" w:type="dxa"/>
            <w:vAlign w:val="top"/>
          </w:tcPr>
          <w:p w14:paraId="4F74D5E5">
            <w:pPr>
              <w:pStyle w:val="6"/>
              <w:spacing w:before="31"/>
              <w:ind w:left="376"/>
              <w:rPr>
                <w:rFonts w:ascii="仿宋" w:hAnsi="仿宋" w:eastAsia="仿宋" w:cs="仿宋"/>
              </w:rPr>
            </w:pPr>
            <w:r>
              <w:rPr>
                <w:spacing w:val="9"/>
              </w:rPr>
              <w:t>K0+000</w:t>
            </w:r>
            <w:r>
              <w:rPr>
                <w:rFonts w:ascii="仿宋" w:hAnsi="仿宋" w:eastAsia="仿宋" w:cs="仿宋"/>
                <w:spacing w:val="9"/>
              </w:rPr>
              <w:t>~</w:t>
            </w:r>
          </w:p>
          <w:p w14:paraId="35BD01D9">
            <w:pPr>
              <w:pStyle w:val="6"/>
              <w:spacing w:before="15" w:line="179" w:lineRule="auto"/>
              <w:ind w:left="465"/>
            </w:pPr>
            <w:r>
              <w:rPr>
                <w:spacing w:val="-1"/>
              </w:rPr>
              <w:t>K1+000</w:t>
            </w:r>
          </w:p>
        </w:tc>
        <w:tc>
          <w:tcPr>
            <w:tcW w:w="741" w:type="dxa"/>
            <w:vAlign w:val="top"/>
          </w:tcPr>
          <w:p w14:paraId="0AC3DBBB">
            <w:pPr>
              <w:pStyle w:val="6"/>
              <w:spacing w:before="62" w:line="188" w:lineRule="auto"/>
              <w:ind w:left="137"/>
            </w:pPr>
            <w:r>
              <w:rPr>
                <w:spacing w:val="-4"/>
              </w:rPr>
              <w:t>1000.0</w:t>
            </w:r>
          </w:p>
          <w:p w14:paraId="3407117E">
            <w:pPr>
              <w:pStyle w:val="6"/>
              <w:spacing w:before="41" w:line="188" w:lineRule="auto"/>
              <w:ind w:left="281"/>
            </w:pPr>
            <w:r>
              <w:rPr>
                <w:spacing w:val="-3"/>
              </w:rPr>
              <w:t>00</w:t>
            </w:r>
          </w:p>
        </w:tc>
        <w:tc>
          <w:tcPr>
            <w:tcW w:w="636" w:type="dxa"/>
            <w:vAlign w:val="top"/>
          </w:tcPr>
          <w:p w14:paraId="75ABCC42">
            <w:pPr>
              <w:pStyle w:val="6"/>
              <w:spacing w:before="165" w:line="188" w:lineRule="auto"/>
              <w:ind w:left="181"/>
            </w:pPr>
            <w:r>
              <w:rPr>
                <w:spacing w:val="-1"/>
              </w:rPr>
              <w:t>245</w:t>
            </w:r>
          </w:p>
        </w:tc>
        <w:tc>
          <w:tcPr>
            <w:tcW w:w="636" w:type="dxa"/>
            <w:vAlign w:val="top"/>
          </w:tcPr>
          <w:p w14:paraId="1598BE28">
            <w:pPr>
              <w:pStyle w:val="6"/>
              <w:spacing w:before="165" w:line="188" w:lineRule="auto"/>
              <w:ind w:left="183"/>
            </w:pPr>
            <w:r>
              <w:rPr>
                <w:spacing w:val="-1"/>
              </w:rPr>
              <w:t>245</w:t>
            </w:r>
          </w:p>
        </w:tc>
        <w:tc>
          <w:tcPr>
            <w:tcW w:w="636" w:type="dxa"/>
            <w:vAlign w:val="top"/>
          </w:tcPr>
          <w:p w14:paraId="0427254C">
            <w:pPr>
              <w:pStyle w:val="6"/>
              <w:spacing w:before="165" w:line="188" w:lineRule="auto"/>
              <w:ind w:left="200"/>
            </w:pPr>
            <w:r>
              <w:rPr>
                <w:spacing w:val="-7"/>
              </w:rPr>
              <w:t>118</w:t>
            </w:r>
          </w:p>
        </w:tc>
        <w:tc>
          <w:tcPr>
            <w:tcW w:w="566" w:type="dxa"/>
            <w:vAlign w:val="top"/>
          </w:tcPr>
          <w:p w14:paraId="0D56105E">
            <w:pPr>
              <w:pStyle w:val="6"/>
              <w:spacing w:before="165" w:line="188" w:lineRule="auto"/>
              <w:ind w:left="167"/>
            </w:pPr>
            <w:r>
              <w:rPr>
                <w:spacing w:val="-7"/>
              </w:rPr>
              <w:t>118</w:t>
            </w:r>
          </w:p>
        </w:tc>
        <w:tc>
          <w:tcPr>
            <w:tcW w:w="776" w:type="dxa"/>
            <w:vAlign w:val="top"/>
          </w:tcPr>
          <w:p w14:paraId="3FB76EFE">
            <w:pPr>
              <w:pStyle w:val="6"/>
              <w:spacing w:before="165" w:line="188" w:lineRule="auto"/>
              <w:ind w:left="305"/>
            </w:pPr>
            <w:r>
              <w:rPr>
                <w:spacing w:val="-4"/>
              </w:rPr>
              <w:t>32</w:t>
            </w:r>
          </w:p>
        </w:tc>
        <w:tc>
          <w:tcPr>
            <w:tcW w:w="901" w:type="dxa"/>
            <w:vAlign w:val="top"/>
          </w:tcPr>
          <w:p w14:paraId="58A4AD80">
            <w:pPr>
              <w:pStyle w:val="6"/>
              <w:spacing w:before="165" w:line="188" w:lineRule="auto"/>
              <w:ind w:left="372"/>
            </w:pPr>
            <w:r>
              <w:rPr>
                <w:spacing w:val="-5"/>
              </w:rPr>
              <w:t>86</w:t>
            </w:r>
          </w:p>
        </w:tc>
        <w:tc>
          <w:tcPr>
            <w:tcW w:w="1222" w:type="dxa"/>
            <w:tcBorders>
              <w:right w:val="single" w:color="000000" w:sz="6" w:space="0"/>
            </w:tcBorders>
            <w:vAlign w:val="top"/>
          </w:tcPr>
          <w:p w14:paraId="15DAB688">
            <w:pPr>
              <w:pStyle w:val="6"/>
              <w:spacing w:before="134" w:line="224" w:lineRule="auto"/>
              <w:ind w:left="185"/>
            </w:pPr>
            <w:r>
              <w:rPr>
                <w:rFonts w:ascii="仿宋" w:hAnsi="仿宋" w:eastAsia="仿宋" w:cs="仿宋"/>
                <w:spacing w:val="-5"/>
              </w:rPr>
              <w:t>调出</w:t>
            </w:r>
            <w:r>
              <w:rPr>
                <w:rFonts w:ascii="仿宋" w:hAnsi="仿宋" w:eastAsia="仿宋" w:cs="仿宋"/>
                <w:spacing w:val="-22"/>
              </w:rPr>
              <w:t xml:space="preserve"> </w:t>
            </w:r>
            <w:r>
              <w:rPr>
                <w:spacing w:val="-5"/>
              </w:rPr>
              <w:t>127m³</w:t>
            </w:r>
          </w:p>
        </w:tc>
      </w:tr>
      <w:tr w14:paraId="37649B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737" w:type="dxa"/>
            <w:vMerge w:val="continue"/>
            <w:tcBorders>
              <w:top w:val="nil"/>
              <w:left w:val="single" w:color="000000" w:sz="6" w:space="0"/>
              <w:bottom w:val="nil"/>
            </w:tcBorders>
            <w:vAlign w:val="top"/>
          </w:tcPr>
          <w:p w14:paraId="6F4FDA11">
            <w:pPr>
              <w:rPr>
                <w:rFonts w:ascii="Arial"/>
                <w:sz w:val="21"/>
              </w:rPr>
            </w:pPr>
          </w:p>
        </w:tc>
        <w:tc>
          <w:tcPr>
            <w:tcW w:w="1526" w:type="dxa"/>
            <w:vAlign w:val="top"/>
          </w:tcPr>
          <w:p w14:paraId="2EBA5EC2">
            <w:pPr>
              <w:pStyle w:val="6"/>
              <w:spacing w:before="32"/>
              <w:ind w:left="376"/>
              <w:rPr>
                <w:rFonts w:ascii="仿宋" w:hAnsi="仿宋" w:eastAsia="仿宋" w:cs="仿宋"/>
              </w:rPr>
            </w:pPr>
            <w:r>
              <w:rPr>
                <w:spacing w:val="9"/>
              </w:rPr>
              <w:t>K1+000</w:t>
            </w:r>
            <w:r>
              <w:rPr>
                <w:rFonts w:ascii="仿宋" w:hAnsi="仿宋" w:eastAsia="仿宋" w:cs="仿宋"/>
                <w:spacing w:val="9"/>
              </w:rPr>
              <w:t>~</w:t>
            </w:r>
          </w:p>
          <w:p w14:paraId="2B47C82C">
            <w:pPr>
              <w:pStyle w:val="6"/>
              <w:spacing w:before="15" w:line="176" w:lineRule="auto"/>
              <w:ind w:left="306"/>
            </w:pPr>
            <w:r>
              <w:rPr>
                <w:spacing w:val="-1"/>
              </w:rPr>
              <w:t>K1+018.539</w:t>
            </w:r>
          </w:p>
        </w:tc>
        <w:tc>
          <w:tcPr>
            <w:tcW w:w="741" w:type="dxa"/>
            <w:vAlign w:val="top"/>
          </w:tcPr>
          <w:p w14:paraId="29D8D56D">
            <w:pPr>
              <w:pStyle w:val="6"/>
              <w:spacing w:before="164" w:line="188" w:lineRule="auto"/>
              <w:ind w:left="137"/>
            </w:pPr>
            <w:r>
              <w:rPr>
                <w:spacing w:val="-4"/>
              </w:rPr>
              <w:t>18.539</w:t>
            </w:r>
          </w:p>
        </w:tc>
        <w:tc>
          <w:tcPr>
            <w:tcW w:w="636" w:type="dxa"/>
            <w:vAlign w:val="top"/>
          </w:tcPr>
          <w:p w14:paraId="60DB932E">
            <w:pPr>
              <w:pStyle w:val="6"/>
              <w:spacing w:before="164" w:line="188" w:lineRule="auto"/>
              <w:ind w:left="276"/>
            </w:pPr>
            <w:r>
              <w:t>6</w:t>
            </w:r>
          </w:p>
        </w:tc>
        <w:tc>
          <w:tcPr>
            <w:tcW w:w="636" w:type="dxa"/>
            <w:vAlign w:val="top"/>
          </w:tcPr>
          <w:p w14:paraId="2FF86442">
            <w:pPr>
              <w:pStyle w:val="6"/>
              <w:spacing w:before="164" w:line="188" w:lineRule="auto"/>
              <w:ind w:left="276"/>
            </w:pPr>
            <w:r>
              <w:t>6</w:t>
            </w:r>
          </w:p>
        </w:tc>
        <w:tc>
          <w:tcPr>
            <w:tcW w:w="636" w:type="dxa"/>
            <w:vAlign w:val="top"/>
          </w:tcPr>
          <w:p w14:paraId="7678C57C">
            <w:pPr>
              <w:pStyle w:val="6"/>
              <w:spacing w:before="164" w:line="188" w:lineRule="auto"/>
              <w:ind w:left="278"/>
            </w:pPr>
            <w:r>
              <w:t>6</w:t>
            </w:r>
          </w:p>
        </w:tc>
        <w:tc>
          <w:tcPr>
            <w:tcW w:w="566" w:type="dxa"/>
            <w:vAlign w:val="top"/>
          </w:tcPr>
          <w:p w14:paraId="1717CC99">
            <w:pPr>
              <w:pStyle w:val="6"/>
              <w:spacing w:before="164" w:line="188" w:lineRule="auto"/>
              <w:ind w:left="245"/>
            </w:pPr>
            <w:r>
              <w:t>6</w:t>
            </w:r>
          </w:p>
        </w:tc>
        <w:tc>
          <w:tcPr>
            <w:tcW w:w="776" w:type="dxa"/>
            <w:vAlign w:val="top"/>
          </w:tcPr>
          <w:p w14:paraId="6B5D92F0">
            <w:pPr>
              <w:pStyle w:val="6"/>
              <w:spacing w:before="164" w:line="188" w:lineRule="auto"/>
              <w:ind w:left="350"/>
            </w:pPr>
            <w:r>
              <w:t>3</w:t>
            </w:r>
          </w:p>
        </w:tc>
        <w:tc>
          <w:tcPr>
            <w:tcW w:w="901" w:type="dxa"/>
            <w:vAlign w:val="top"/>
          </w:tcPr>
          <w:p w14:paraId="6A142091">
            <w:pPr>
              <w:pStyle w:val="6"/>
              <w:spacing w:before="164" w:line="188" w:lineRule="auto"/>
              <w:ind w:left="414"/>
            </w:pPr>
            <w:r>
              <w:t>3</w:t>
            </w:r>
          </w:p>
        </w:tc>
        <w:tc>
          <w:tcPr>
            <w:tcW w:w="1222" w:type="dxa"/>
            <w:tcBorders>
              <w:right w:val="single" w:color="000000" w:sz="6" w:space="0"/>
            </w:tcBorders>
            <w:vAlign w:val="top"/>
          </w:tcPr>
          <w:p w14:paraId="44B06267">
            <w:pPr>
              <w:rPr>
                <w:rFonts w:ascii="Arial"/>
                <w:sz w:val="21"/>
              </w:rPr>
            </w:pPr>
          </w:p>
        </w:tc>
      </w:tr>
      <w:tr w14:paraId="687149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0B5BC8CB">
            <w:pPr>
              <w:rPr>
                <w:rFonts w:ascii="Arial"/>
                <w:sz w:val="21"/>
              </w:rPr>
            </w:pPr>
          </w:p>
        </w:tc>
        <w:tc>
          <w:tcPr>
            <w:tcW w:w="1526" w:type="dxa"/>
            <w:vAlign w:val="top"/>
          </w:tcPr>
          <w:p w14:paraId="76806415">
            <w:pPr>
              <w:spacing w:before="32" w:line="202" w:lineRule="auto"/>
              <w:ind w:left="413"/>
              <w:rPr>
                <w:rFonts w:ascii="仿宋" w:hAnsi="仿宋" w:eastAsia="仿宋" w:cs="仿宋"/>
                <w:sz w:val="18"/>
                <w:szCs w:val="18"/>
              </w:rPr>
            </w:pPr>
            <w:r>
              <w:rPr>
                <w:rFonts w:ascii="仿宋" w:hAnsi="仿宋" w:eastAsia="仿宋" w:cs="仿宋"/>
                <w:spacing w:val="-4"/>
                <w:sz w:val="18"/>
                <w:szCs w:val="18"/>
              </w:rPr>
              <w:t>清表亏方</w:t>
            </w:r>
          </w:p>
        </w:tc>
        <w:tc>
          <w:tcPr>
            <w:tcW w:w="741" w:type="dxa"/>
            <w:vAlign w:val="top"/>
          </w:tcPr>
          <w:p w14:paraId="432B2418">
            <w:pPr>
              <w:spacing w:line="229" w:lineRule="exact"/>
              <w:rPr>
                <w:rFonts w:ascii="Arial"/>
                <w:sz w:val="19"/>
              </w:rPr>
            </w:pPr>
          </w:p>
        </w:tc>
        <w:tc>
          <w:tcPr>
            <w:tcW w:w="636" w:type="dxa"/>
            <w:vAlign w:val="top"/>
          </w:tcPr>
          <w:p w14:paraId="2016239F">
            <w:pPr>
              <w:spacing w:line="229" w:lineRule="exact"/>
              <w:rPr>
                <w:rFonts w:ascii="Arial"/>
                <w:sz w:val="19"/>
              </w:rPr>
            </w:pPr>
          </w:p>
        </w:tc>
        <w:tc>
          <w:tcPr>
            <w:tcW w:w="636" w:type="dxa"/>
            <w:vAlign w:val="top"/>
          </w:tcPr>
          <w:p w14:paraId="08A37CEE">
            <w:pPr>
              <w:spacing w:line="229" w:lineRule="exact"/>
              <w:rPr>
                <w:rFonts w:ascii="Arial"/>
                <w:sz w:val="19"/>
              </w:rPr>
            </w:pPr>
          </w:p>
        </w:tc>
        <w:tc>
          <w:tcPr>
            <w:tcW w:w="636" w:type="dxa"/>
            <w:vAlign w:val="top"/>
          </w:tcPr>
          <w:p w14:paraId="2A4BD274">
            <w:pPr>
              <w:pStyle w:val="6"/>
              <w:spacing w:before="63" w:line="188" w:lineRule="auto"/>
              <w:ind w:left="200"/>
            </w:pPr>
            <w:r>
              <w:rPr>
                <w:spacing w:val="-7"/>
              </w:rPr>
              <w:t>127</w:t>
            </w:r>
          </w:p>
        </w:tc>
        <w:tc>
          <w:tcPr>
            <w:tcW w:w="566" w:type="dxa"/>
            <w:vAlign w:val="top"/>
          </w:tcPr>
          <w:p w14:paraId="0684A3E9">
            <w:pPr>
              <w:pStyle w:val="6"/>
              <w:spacing w:before="63" w:line="188" w:lineRule="auto"/>
              <w:ind w:left="167"/>
            </w:pPr>
            <w:r>
              <w:rPr>
                <w:spacing w:val="-7"/>
              </w:rPr>
              <w:t>127</w:t>
            </w:r>
          </w:p>
        </w:tc>
        <w:tc>
          <w:tcPr>
            <w:tcW w:w="776" w:type="dxa"/>
            <w:vAlign w:val="top"/>
          </w:tcPr>
          <w:p w14:paraId="7E7E38E4">
            <w:pPr>
              <w:spacing w:line="229" w:lineRule="exact"/>
              <w:rPr>
                <w:rFonts w:ascii="Arial"/>
                <w:sz w:val="19"/>
              </w:rPr>
            </w:pPr>
          </w:p>
        </w:tc>
        <w:tc>
          <w:tcPr>
            <w:tcW w:w="901" w:type="dxa"/>
            <w:vAlign w:val="top"/>
          </w:tcPr>
          <w:p w14:paraId="7DF1A06E">
            <w:pPr>
              <w:spacing w:line="229" w:lineRule="exact"/>
              <w:rPr>
                <w:rFonts w:ascii="Arial"/>
                <w:sz w:val="19"/>
              </w:rPr>
            </w:pPr>
          </w:p>
        </w:tc>
        <w:tc>
          <w:tcPr>
            <w:tcW w:w="1222" w:type="dxa"/>
            <w:tcBorders>
              <w:right w:val="single" w:color="000000" w:sz="6" w:space="0"/>
            </w:tcBorders>
            <w:vAlign w:val="top"/>
          </w:tcPr>
          <w:p w14:paraId="0198A8F3">
            <w:pPr>
              <w:pStyle w:val="6"/>
              <w:spacing w:before="32" w:line="202" w:lineRule="auto"/>
              <w:ind w:left="185"/>
            </w:pPr>
            <w:r>
              <w:rPr>
                <w:rFonts w:ascii="仿宋" w:hAnsi="仿宋" w:eastAsia="仿宋" w:cs="仿宋"/>
                <w:spacing w:val="-5"/>
              </w:rPr>
              <w:t>调入</w:t>
            </w:r>
            <w:r>
              <w:rPr>
                <w:rFonts w:ascii="仿宋" w:hAnsi="仿宋" w:eastAsia="仿宋" w:cs="仿宋"/>
                <w:spacing w:val="-22"/>
              </w:rPr>
              <w:t xml:space="preserve"> </w:t>
            </w:r>
            <w:r>
              <w:rPr>
                <w:spacing w:val="-5"/>
              </w:rPr>
              <w:t>127m³</w:t>
            </w:r>
          </w:p>
        </w:tc>
      </w:tr>
      <w:tr w14:paraId="2D732A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2E16E4A5">
            <w:pPr>
              <w:rPr>
                <w:rFonts w:ascii="Arial"/>
                <w:sz w:val="21"/>
              </w:rPr>
            </w:pPr>
          </w:p>
        </w:tc>
        <w:tc>
          <w:tcPr>
            <w:tcW w:w="1526" w:type="dxa"/>
            <w:vAlign w:val="top"/>
          </w:tcPr>
          <w:p w14:paraId="07FD3C53">
            <w:pPr>
              <w:spacing w:before="33" w:line="200" w:lineRule="auto"/>
              <w:ind w:left="499"/>
              <w:rPr>
                <w:rFonts w:ascii="仿宋" w:hAnsi="仿宋" w:eastAsia="仿宋" w:cs="仿宋"/>
                <w:sz w:val="18"/>
                <w:szCs w:val="18"/>
              </w:rPr>
            </w:pPr>
            <w:r>
              <w:rPr>
                <w:rFonts w:ascii="仿宋" w:hAnsi="仿宋" w:eastAsia="仿宋" w:cs="仿宋"/>
                <w:spacing w:val="-4"/>
                <w:sz w:val="18"/>
                <w:szCs w:val="18"/>
              </w:rPr>
              <w:t>路段三</w:t>
            </w:r>
          </w:p>
        </w:tc>
        <w:tc>
          <w:tcPr>
            <w:tcW w:w="741" w:type="dxa"/>
            <w:vAlign w:val="top"/>
          </w:tcPr>
          <w:p w14:paraId="76D0E4B2">
            <w:pPr>
              <w:spacing w:line="228" w:lineRule="exact"/>
              <w:rPr>
                <w:rFonts w:ascii="Arial"/>
                <w:sz w:val="19"/>
              </w:rPr>
            </w:pPr>
          </w:p>
        </w:tc>
        <w:tc>
          <w:tcPr>
            <w:tcW w:w="636" w:type="dxa"/>
            <w:vAlign w:val="top"/>
          </w:tcPr>
          <w:p w14:paraId="22BD5BCD">
            <w:pPr>
              <w:spacing w:line="228" w:lineRule="exact"/>
              <w:rPr>
                <w:rFonts w:ascii="Arial"/>
                <w:sz w:val="19"/>
              </w:rPr>
            </w:pPr>
          </w:p>
        </w:tc>
        <w:tc>
          <w:tcPr>
            <w:tcW w:w="636" w:type="dxa"/>
            <w:vAlign w:val="top"/>
          </w:tcPr>
          <w:p w14:paraId="550A270E">
            <w:pPr>
              <w:spacing w:line="228" w:lineRule="exact"/>
              <w:rPr>
                <w:rFonts w:ascii="Arial"/>
                <w:sz w:val="19"/>
              </w:rPr>
            </w:pPr>
          </w:p>
        </w:tc>
        <w:tc>
          <w:tcPr>
            <w:tcW w:w="636" w:type="dxa"/>
            <w:vAlign w:val="top"/>
          </w:tcPr>
          <w:p w14:paraId="186CD67B">
            <w:pPr>
              <w:spacing w:line="228" w:lineRule="exact"/>
              <w:rPr>
                <w:rFonts w:ascii="Arial"/>
                <w:sz w:val="19"/>
              </w:rPr>
            </w:pPr>
          </w:p>
        </w:tc>
        <w:tc>
          <w:tcPr>
            <w:tcW w:w="566" w:type="dxa"/>
            <w:vAlign w:val="top"/>
          </w:tcPr>
          <w:p w14:paraId="16086D59">
            <w:pPr>
              <w:spacing w:line="228" w:lineRule="exact"/>
              <w:rPr>
                <w:rFonts w:ascii="Arial"/>
                <w:sz w:val="19"/>
              </w:rPr>
            </w:pPr>
          </w:p>
        </w:tc>
        <w:tc>
          <w:tcPr>
            <w:tcW w:w="776" w:type="dxa"/>
            <w:vAlign w:val="top"/>
          </w:tcPr>
          <w:p w14:paraId="79091434">
            <w:pPr>
              <w:spacing w:line="228" w:lineRule="exact"/>
              <w:rPr>
                <w:rFonts w:ascii="Arial"/>
                <w:sz w:val="19"/>
              </w:rPr>
            </w:pPr>
          </w:p>
        </w:tc>
        <w:tc>
          <w:tcPr>
            <w:tcW w:w="901" w:type="dxa"/>
            <w:vAlign w:val="top"/>
          </w:tcPr>
          <w:p w14:paraId="5AC02029">
            <w:pPr>
              <w:spacing w:line="228" w:lineRule="exact"/>
              <w:rPr>
                <w:rFonts w:ascii="Arial"/>
                <w:sz w:val="19"/>
              </w:rPr>
            </w:pPr>
          </w:p>
        </w:tc>
        <w:tc>
          <w:tcPr>
            <w:tcW w:w="1222" w:type="dxa"/>
            <w:tcBorders>
              <w:right w:val="single" w:color="000000" w:sz="6" w:space="0"/>
            </w:tcBorders>
            <w:vAlign w:val="top"/>
          </w:tcPr>
          <w:p w14:paraId="3E303AC8">
            <w:pPr>
              <w:spacing w:line="228" w:lineRule="exact"/>
              <w:rPr>
                <w:rFonts w:ascii="Arial"/>
                <w:sz w:val="19"/>
              </w:rPr>
            </w:pPr>
          </w:p>
        </w:tc>
      </w:tr>
      <w:tr w14:paraId="082DFE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737" w:type="dxa"/>
            <w:vMerge w:val="continue"/>
            <w:tcBorders>
              <w:top w:val="nil"/>
              <w:left w:val="single" w:color="000000" w:sz="6" w:space="0"/>
              <w:bottom w:val="nil"/>
            </w:tcBorders>
            <w:vAlign w:val="top"/>
          </w:tcPr>
          <w:p w14:paraId="095C1E05">
            <w:pPr>
              <w:rPr>
                <w:rFonts w:ascii="Arial"/>
                <w:sz w:val="21"/>
              </w:rPr>
            </w:pPr>
          </w:p>
        </w:tc>
        <w:tc>
          <w:tcPr>
            <w:tcW w:w="1526" w:type="dxa"/>
            <w:vAlign w:val="top"/>
          </w:tcPr>
          <w:p w14:paraId="7B135A08">
            <w:pPr>
              <w:pStyle w:val="6"/>
              <w:spacing w:before="32"/>
              <w:ind w:left="376"/>
              <w:rPr>
                <w:rFonts w:ascii="仿宋" w:hAnsi="仿宋" w:eastAsia="仿宋" w:cs="仿宋"/>
              </w:rPr>
            </w:pPr>
            <w:r>
              <w:rPr>
                <w:spacing w:val="9"/>
              </w:rPr>
              <w:t>K0+000</w:t>
            </w:r>
            <w:r>
              <w:rPr>
                <w:rFonts w:ascii="仿宋" w:hAnsi="仿宋" w:eastAsia="仿宋" w:cs="仿宋"/>
                <w:spacing w:val="9"/>
              </w:rPr>
              <w:t>~</w:t>
            </w:r>
          </w:p>
          <w:p w14:paraId="3245759E">
            <w:pPr>
              <w:pStyle w:val="6"/>
              <w:spacing w:before="17" w:line="174" w:lineRule="auto"/>
              <w:ind w:left="465"/>
            </w:pPr>
            <w:r>
              <w:rPr>
                <w:spacing w:val="-1"/>
              </w:rPr>
              <w:t>K0+596</w:t>
            </w:r>
          </w:p>
        </w:tc>
        <w:tc>
          <w:tcPr>
            <w:tcW w:w="741" w:type="dxa"/>
            <w:vAlign w:val="top"/>
          </w:tcPr>
          <w:p w14:paraId="35866709">
            <w:pPr>
              <w:pStyle w:val="6"/>
              <w:spacing w:before="63" w:line="188" w:lineRule="auto"/>
              <w:ind w:left="125"/>
            </w:pPr>
            <w:r>
              <w:rPr>
                <w:spacing w:val="-2"/>
              </w:rPr>
              <w:t>596.00</w:t>
            </w:r>
          </w:p>
          <w:p w14:paraId="292D8BC9">
            <w:pPr>
              <w:pStyle w:val="6"/>
              <w:spacing w:before="44" w:line="188" w:lineRule="auto"/>
              <w:ind w:left="327"/>
            </w:pPr>
            <w:r>
              <w:t>0</w:t>
            </w:r>
          </w:p>
        </w:tc>
        <w:tc>
          <w:tcPr>
            <w:tcW w:w="636" w:type="dxa"/>
            <w:vAlign w:val="top"/>
          </w:tcPr>
          <w:p w14:paraId="68F4101E">
            <w:pPr>
              <w:pStyle w:val="6"/>
              <w:spacing w:before="166" w:line="188" w:lineRule="auto"/>
              <w:ind w:left="186"/>
            </w:pPr>
            <w:r>
              <w:rPr>
                <w:spacing w:val="-3"/>
              </w:rPr>
              <w:t>510</w:t>
            </w:r>
          </w:p>
        </w:tc>
        <w:tc>
          <w:tcPr>
            <w:tcW w:w="636" w:type="dxa"/>
            <w:vAlign w:val="top"/>
          </w:tcPr>
          <w:p w14:paraId="3771EF78">
            <w:pPr>
              <w:pStyle w:val="6"/>
              <w:spacing w:before="166" w:line="188" w:lineRule="auto"/>
              <w:ind w:left="188"/>
            </w:pPr>
            <w:r>
              <w:rPr>
                <w:spacing w:val="-3"/>
              </w:rPr>
              <w:t>510</w:t>
            </w:r>
          </w:p>
        </w:tc>
        <w:tc>
          <w:tcPr>
            <w:tcW w:w="636" w:type="dxa"/>
            <w:vAlign w:val="top"/>
          </w:tcPr>
          <w:p w14:paraId="2A5BD0CF">
            <w:pPr>
              <w:pStyle w:val="6"/>
              <w:spacing w:before="166" w:line="188" w:lineRule="auto"/>
              <w:ind w:left="183"/>
            </w:pPr>
            <w:r>
              <w:rPr>
                <w:spacing w:val="-1"/>
              </w:rPr>
              <w:t>235</w:t>
            </w:r>
          </w:p>
        </w:tc>
        <w:tc>
          <w:tcPr>
            <w:tcW w:w="566" w:type="dxa"/>
            <w:vAlign w:val="top"/>
          </w:tcPr>
          <w:p w14:paraId="39E3702C">
            <w:pPr>
              <w:pStyle w:val="6"/>
              <w:spacing w:before="166" w:line="188" w:lineRule="auto"/>
              <w:ind w:left="149"/>
            </w:pPr>
            <w:r>
              <w:rPr>
                <w:spacing w:val="-1"/>
              </w:rPr>
              <w:t>235</w:t>
            </w:r>
          </w:p>
        </w:tc>
        <w:tc>
          <w:tcPr>
            <w:tcW w:w="776" w:type="dxa"/>
            <w:vAlign w:val="top"/>
          </w:tcPr>
          <w:p w14:paraId="1090D96A">
            <w:pPr>
              <w:pStyle w:val="6"/>
              <w:spacing w:before="166" w:line="188" w:lineRule="auto"/>
              <w:ind w:left="305"/>
            </w:pPr>
            <w:r>
              <w:rPr>
                <w:spacing w:val="-4"/>
              </w:rPr>
              <w:t>33</w:t>
            </w:r>
          </w:p>
        </w:tc>
        <w:tc>
          <w:tcPr>
            <w:tcW w:w="901" w:type="dxa"/>
            <w:vAlign w:val="top"/>
          </w:tcPr>
          <w:p w14:paraId="2937BDDC">
            <w:pPr>
              <w:pStyle w:val="6"/>
              <w:spacing w:before="166" w:line="188" w:lineRule="auto"/>
              <w:ind w:left="319"/>
            </w:pPr>
            <w:r>
              <w:rPr>
                <w:spacing w:val="-1"/>
              </w:rPr>
              <w:t>202</w:t>
            </w:r>
          </w:p>
        </w:tc>
        <w:tc>
          <w:tcPr>
            <w:tcW w:w="1222" w:type="dxa"/>
            <w:tcBorders>
              <w:right w:val="single" w:color="000000" w:sz="6" w:space="0"/>
            </w:tcBorders>
            <w:vAlign w:val="top"/>
          </w:tcPr>
          <w:p w14:paraId="06E6CEEC">
            <w:pPr>
              <w:pStyle w:val="6"/>
              <w:spacing w:before="135" w:line="224" w:lineRule="auto"/>
              <w:ind w:left="185"/>
            </w:pPr>
            <w:r>
              <w:rPr>
                <w:rFonts w:ascii="仿宋" w:hAnsi="仿宋" w:eastAsia="仿宋" w:cs="仿宋"/>
                <w:spacing w:val="-3"/>
              </w:rPr>
              <w:t>调出</w:t>
            </w:r>
            <w:r>
              <w:rPr>
                <w:rFonts w:ascii="仿宋" w:hAnsi="仿宋" w:eastAsia="仿宋" w:cs="仿宋"/>
                <w:spacing w:val="-36"/>
              </w:rPr>
              <w:t xml:space="preserve"> </w:t>
            </w:r>
            <w:r>
              <w:rPr>
                <w:spacing w:val="-3"/>
              </w:rPr>
              <w:t>275m³</w:t>
            </w:r>
          </w:p>
        </w:tc>
      </w:tr>
      <w:tr w14:paraId="2190A8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02F9F1BF">
            <w:pPr>
              <w:rPr>
                <w:rFonts w:ascii="Arial"/>
                <w:sz w:val="21"/>
              </w:rPr>
            </w:pPr>
          </w:p>
        </w:tc>
        <w:tc>
          <w:tcPr>
            <w:tcW w:w="1526" w:type="dxa"/>
            <w:vAlign w:val="top"/>
          </w:tcPr>
          <w:p w14:paraId="0C946DAD">
            <w:pPr>
              <w:spacing w:before="34" w:line="199" w:lineRule="auto"/>
              <w:ind w:left="413"/>
              <w:rPr>
                <w:rFonts w:ascii="仿宋" w:hAnsi="仿宋" w:eastAsia="仿宋" w:cs="仿宋"/>
                <w:sz w:val="18"/>
                <w:szCs w:val="18"/>
              </w:rPr>
            </w:pPr>
            <w:r>
              <w:rPr>
                <w:rFonts w:ascii="仿宋" w:hAnsi="仿宋" w:eastAsia="仿宋" w:cs="仿宋"/>
                <w:spacing w:val="-4"/>
                <w:sz w:val="18"/>
                <w:szCs w:val="18"/>
              </w:rPr>
              <w:t>清表亏方</w:t>
            </w:r>
          </w:p>
        </w:tc>
        <w:tc>
          <w:tcPr>
            <w:tcW w:w="741" w:type="dxa"/>
            <w:vAlign w:val="top"/>
          </w:tcPr>
          <w:p w14:paraId="6C108C64">
            <w:pPr>
              <w:spacing w:line="229" w:lineRule="exact"/>
              <w:rPr>
                <w:rFonts w:ascii="Arial"/>
                <w:sz w:val="19"/>
              </w:rPr>
            </w:pPr>
          </w:p>
        </w:tc>
        <w:tc>
          <w:tcPr>
            <w:tcW w:w="636" w:type="dxa"/>
            <w:vAlign w:val="top"/>
          </w:tcPr>
          <w:p w14:paraId="06876B8D">
            <w:pPr>
              <w:spacing w:line="229" w:lineRule="exact"/>
              <w:rPr>
                <w:rFonts w:ascii="Arial"/>
                <w:sz w:val="19"/>
              </w:rPr>
            </w:pPr>
          </w:p>
        </w:tc>
        <w:tc>
          <w:tcPr>
            <w:tcW w:w="636" w:type="dxa"/>
            <w:vAlign w:val="top"/>
          </w:tcPr>
          <w:p w14:paraId="69190B56">
            <w:pPr>
              <w:spacing w:line="229" w:lineRule="exact"/>
              <w:rPr>
                <w:rFonts w:ascii="Arial"/>
                <w:sz w:val="19"/>
              </w:rPr>
            </w:pPr>
          </w:p>
        </w:tc>
        <w:tc>
          <w:tcPr>
            <w:tcW w:w="636" w:type="dxa"/>
            <w:vAlign w:val="top"/>
          </w:tcPr>
          <w:p w14:paraId="24565DA6">
            <w:pPr>
              <w:pStyle w:val="6"/>
              <w:spacing w:before="66" w:line="185" w:lineRule="auto"/>
              <w:ind w:left="232"/>
            </w:pPr>
            <w:r>
              <w:rPr>
                <w:spacing w:val="-3"/>
              </w:rPr>
              <w:t>75</w:t>
            </w:r>
          </w:p>
        </w:tc>
        <w:tc>
          <w:tcPr>
            <w:tcW w:w="566" w:type="dxa"/>
            <w:vAlign w:val="top"/>
          </w:tcPr>
          <w:p w14:paraId="245783FE">
            <w:pPr>
              <w:pStyle w:val="6"/>
              <w:spacing w:before="66" w:line="185" w:lineRule="auto"/>
              <w:ind w:left="198"/>
            </w:pPr>
            <w:r>
              <w:rPr>
                <w:spacing w:val="-3"/>
              </w:rPr>
              <w:t>75</w:t>
            </w:r>
          </w:p>
        </w:tc>
        <w:tc>
          <w:tcPr>
            <w:tcW w:w="776" w:type="dxa"/>
            <w:vAlign w:val="top"/>
          </w:tcPr>
          <w:p w14:paraId="79859E1B">
            <w:pPr>
              <w:spacing w:line="229" w:lineRule="exact"/>
              <w:rPr>
                <w:rFonts w:ascii="Arial"/>
                <w:sz w:val="19"/>
              </w:rPr>
            </w:pPr>
          </w:p>
        </w:tc>
        <w:tc>
          <w:tcPr>
            <w:tcW w:w="901" w:type="dxa"/>
            <w:vAlign w:val="top"/>
          </w:tcPr>
          <w:p w14:paraId="3BE2E0FD">
            <w:pPr>
              <w:spacing w:line="229" w:lineRule="exact"/>
              <w:rPr>
                <w:rFonts w:ascii="Arial"/>
                <w:sz w:val="19"/>
              </w:rPr>
            </w:pPr>
          </w:p>
        </w:tc>
        <w:tc>
          <w:tcPr>
            <w:tcW w:w="1222" w:type="dxa"/>
            <w:tcBorders>
              <w:right w:val="single" w:color="000000" w:sz="6" w:space="0"/>
            </w:tcBorders>
            <w:vAlign w:val="top"/>
          </w:tcPr>
          <w:p w14:paraId="39ED89CD">
            <w:pPr>
              <w:pStyle w:val="6"/>
              <w:spacing w:before="34" w:line="199" w:lineRule="auto"/>
              <w:ind w:left="231"/>
            </w:pPr>
            <w:r>
              <w:rPr>
                <w:rFonts w:ascii="仿宋" w:hAnsi="仿宋" w:eastAsia="仿宋" w:cs="仿宋"/>
                <w:spacing w:val="-3"/>
              </w:rPr>
              <w:t>调入</w:t>
            </w:r>
            <w:r>
              <w:rPr>
                <w:rFonts w:ascii="仿宋" w:hAnsi="仿宋" w:eastAsia="仿宋" w:cs="仿宋"/>
                <w:spacing w:val="-41"/>
              </w:rPr>
              <w:t xml:space="preserve"> </w:t>
            </w:r>
            <w:r>
              <w:rPr>
                <w:spacing w:val="-3"/>
              </w:rPr>
              <w:t>75m³</w:t>
            </w:r>
          </w:p>
        </w:tc>
      </w:tr>
      <w:tr w14:paraId="7B6F81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369A73C3">
            <w:pPr>
              <w:rPr>
                <w:rFonts w:ascii="Arial"/>
                <w:sz w:val="21"/>
              </w:rPr>
            </w:pPr>
          </w:p>
        </w:tc>
        <w:tc>
          <w:tcPr>
            <w:tcW w:w="1526" w:type="dxa"/>
            <w:vAlign w:val="top"/>
          </w:tcPr>
          <w:p w14:paraId="3B95A8FF">
            <w:pPr>
              <w:spacing w:before="32" w:line="200" w:lineRule="auto"/>
              <w:ind w:left="499"/>
              <w:rPr>
                <w:rFonts w:ascii="仿宋" w:hAnsi="仿宋" w:eastAsia="仿宋" w:cs="仿宋"/>
                <w:sz w:val="18"/>
                <w:szCs w:val="18"/>
              </w:rPr>
            </w:pPr>
            <w:r>
              <w:rPr>
                <w:rFonts w:ascii="仿宋" w:hAnsi="仿宋" w:eastAsia="仿宋" w:cs="仿宋"/>
                <w:spacing w:val="-4"/>
                <w:sz w:val="18"/>
                <w:szCs w:val="18"/>
              </w:rPr>
              <w:t>路段四</w:t>
            </w:r>
          </w:p>
        </w:tc>
        <w:tc>
          <w:tcPr>
            <w:tcW w:w="741" w:type="dxa"/>
            <w:vAlign w:val="top"/>
          </w:tcPr>
          <w:p w14:paraId="033CE656">
            <w:pPr>
              <w:spacing w:line="227" w:lineRule="exact"/>
              <w:rPr>
                <w:rFonts w:ascii="Arial"/>
                <w:sz w:val="19"/>
              </w:rPr>
            </w:pPr>
          </w:p>
        </w:tc>
        <w:tc>
          <w:tcPr>
            <w:tcW w:w="636" w:type="dxa"/>
            <w:vAlign w:val="top"/>
          </w:tcPr>
          <w:p w14:paraId="01206AEF">
            <w:pPr>
              <w:spacing w:line="227" w:lineRule="exact"/>
              <w:rPr>
                <w:rFonts w:ascii="Arial"/>
                <w:sz w:val="19"/>
              </w:rPr>
            </w:pPr>
          </w:p>
        </w:tc>
        <w:tc>
          <w:tcPr>
            <w:tcW w:w="636" w:type="dxa"/>
            <w:vAlign w:val="top"/>
          </w:tcPr>
          <w:p w14:paraId="15134882">
            <w:pPr>
              <w:spacing w:line="227" w:lineRule="exact"/>
              <w:rPr>
                <w:rFonts w:ascii="Arial"/>
                <w:sz w:val="19"/>
              </w:rPr>
            </w:pPr>
          </w:p>
        </w:tc>
        <w:tc>
          <w:tcPr>
            <w:tcW w:w="636" w:type="dxa"/>
            <w:vAlign w:val="top"/>
          </w:tcPr>
          <w:p w14:paraId="7241267B">
            <w:pPr>
              <w:spacing w:line="227" w:lineRule="exact"/>
              <w:rPr>
                <w:rFonts w:ascii="Arial"/>
                <w:sz w:val="19"/>
              </w:rPr>
            </w:pPr>
          </w:p>
        </w:tc>
        <w:tc>
          <w:tcPr>
            <w:tcW w:w="566" w:type="dxa"/>
            <w:vAlign w:val="top"/>
          </w:tcPr>
          <w:p w14:paraId="3DE1C8B7">
            <w:pPr>
              <w:spacing w:line="227" w:lineRule="exact"/>
              <w:rPr>
                <w:rFonts w:ascii="Arial"/>
                <w:sz w:val="19"/>
              </w:rPr>
            </w:pPr>
          </w:p>
        </w:tc>
        <w:tc>
          <w:tcPr>
            <w:tcW w:w="776" w:type="dxa"/>
            <w:vAlign w:val="top"/>
          </w:tcPr>
          <w:p w14:paraId="74B26881">
            <w:pPr>
              <w:spacing w:line="227" w:lineRule="exact"/>
              <w:rPr>
                <w:rFonts w:ascii="Arial"/>
                <w:sz w:val="19"/>
              </w:rPr>
            </w:pPr>
          </w:p>
        </w:tc>
        <w:tc>
          <w:tcPr>
            <w:tcW w:w="901" w:type="dxa"/>
            <w:vAlign w:val="top"/>
          </w:tcPr>
          <w:p w14:paraId="63744FA4">
            <w:pPr>
              <w:spacing w:line="227" w:lineRule="exact"/>
              <w:rPr>
                <w:rFonts w:ascii="Arial"/>
                <w:sz w:val="19"/>
              </w:rPr>
            </w:pPr>
          </w:p>
        </w:tc>
        <w:tc>
          <w:tcPr>
            <w:tcW w:w="1222" w:type="dxa"/>
            <w:tcBorders>
              <w:right w:val="single" w:color="000000" w:sz="6" w:space="0"/>
            </w:tcBorders>
            <w:vAlign w:val="top"/>
          </w:tcPr>
          <w:p w14:paraId="791A51A8">
            <w:pPr>
              <w:spacing w:line="227" w:lineRule="exact"/>
              <w:rPr>
                <w:rFonts w:ascii="Arial"/>
                <w:sz w:val="19"/>
              </w:rPr>
            </w:pPr>
          </w:p>
        </w:tc>
      </w:tr>
      <w:tr w14:paraId="5537CA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737" w:type="dxa"/>
            <w:vMerge w:val="continue"/>
            <w:tcBorders>
              <w:top w:val="nil"/>
              <w:left w:val="single" w:color="000000" w:sz="6" w:space="0"/>
              <w:bottom w:val="nil"/>
            </w:tcBorders>
            <w:vAlign w:val="top"/>
          </w:tcPr>
          <w:p w14:paraId="59B5BBA9">
            <w:pPr>
              <w:rPr>
                <w:rFonts w:ascii="Arial"/>
                <w:sz w:val="21"/>
              </w:rPr>
            </w:pPr>
          </w:p>
        </w:tc>
        <w:tc>
          <w:tcPr>
            <w:tcW w:w="1526" w:type="dxa"/>
            <w:vAlign w:val="top"/>
          </w:tcPr>
          <w:p w14:paraId="2DA6EE79">
            <w:pPr>
              <w:pStyle w:val="6"/>
              <w:spacing w:before="35"/>
              <w:ind w:left="376"/>
              <w:rPr>
                <w:rFonts w:ascii="仿宋" w:hAnsi="仿宋" w:eastAsia="仿宋" w:cs="仿宋"/>
              </w:rPr>
            </w:pPr>
            <w:r>
              <w:rPr>
                <w:spacing w:val="9"/>
              </w:rPr>
              <w:t>K0+000</w:t>
            </w:r>
            <w:r>
              <w:rPr>
                <w:rFonts w:ascii="仿宋" w:hAnsi="仿宋" w:eastAsia="仿宋" w:cs="仿宋"/>
                <w:spacing w:val="9"/>
              </w:rPr>
              <w:t>~</w:t>
            </w:r>
          </w:p>
          <w:p w14:paraId="4631DB03">
            <w:pPr>
              <w:pStyle w:val="6"/>
              <w:spacing w:before="14" w:line="175" w:lineRule="auto"/>
              <w:ind w:left="465"/>
            </w:pPr>
            <w:r>
              <w:rPr>
                <w:spacing w:val="-1"/>
              </w:rPr>
              <w:t>K0+399</w:t>
            </w:r>
          </w:p>
        </w:tc>
        <w:tc>
          <w:tcPr>
            <w:tcW w:w="741" w:type="dxa"/>
            <w:vAlign w:val="top"/>
          </w:tcPr>
          <w:p w14:paraId="6D6090E9">
            <w:pPr>
              <w:pStyle w:val="6"/>
              <w:spacing w:before="63" w:line="188" w:lineRule="auto"/>
              <w:ind w:left="124"/>
            </w:pPr>
            <w:r>
              <w:rPr>
                <w:spacing w:val="-1"/>
              </w:rPr>
              <w:t>399.00</w:t>
            </w:r>
          </w:p>
          <w:p w14:paraId="4F9D02D7">
            <w:pPr>
              <w:pStyle w:val="6"/>
              <w:spacing w:before="44" w:line="188" w:lineRule="auto"/>
              <w:ind w:left="327"/>
            </w:pPr>
            <w:r>
              <w:t>0</w:t>
            </w:r>
          </w:p>
        </w:tc>
        <w:tc>
          <w:tcPr>
            <w:tcW w:w="636" w:type="dxa"/>
            <w:vAlign w:val="top"/>
          </w:tcPr>
          <w:p w14:paraId="023BE037">
            <w:pPr>
              <w:pStyle w:val="6"/>
              <w:spacing w:before="166" w:line="188" w:lineRule="auto"/>
              <w:ind w:left="181"/>
            </w:pPr>
            <w:r>
              <w:rPr>
                <w:spacing w:val="-1"/>
              </w:rPr>
              <w:t>238</w:t>
            </w:r>
          </w:p>
        </w:tc>
        <w:tc>
          <w:tcPr>
            <w:tcW w:w="636" w:type="dxa"/>
            <w:vAlign w:val="top"/>
          </w:tcPr>
          <w:p w14:paraId="319ED801">
            <w:pPr>
              <w:pStyle w:val="6"/>
              <w:spacing w:before="166" w:line="188" w:lineRule="auto"/>
              <w:ind w:left="183"/>
            </w:pPr>
            <w:r>
              <w:rPr>
                <w:spacing w:val="-1"/>
              </w:rPr>
              <w:t>238</w:t>
            </w:r>
          </w:p>
        </w:tc>
        <w:tc>
          <w:tcPr>
            <w:tcW w:w="636" w:type="dxa"/>
            <w:vAlign w:val="top"/>
          </w:tcPr>
          <w:p w14:paraId="6F4D4B75">
            <w:pPr>
              <w:pStyle w:val="6"/>
              <w:spacing w:before="166" w:line="188" w:lineRule="auto"/>
              <w:ind w:left="200"/>
            </w:pPr>
            <w:r>
              <w:rPr>
                <w:spacing w:val="-7"/>
              </w:rPr>
              <w:t>188</w:t>
            </w:r>
          </w:p>
        </w:tc>
        <w:tc>
          <w:tcPr>
            <w:tcW w:w="566" w:type="dxa"/>
            <w:vAlign w:val="top"/>
          </w:tcPr>
          <w:p w14:paraId="2BE08865">
            <w:pPr>
              <w:pStyle w:val="6"/>
              <w:spacing w:before="166" w:line="188" w:lineRule="auto"/>
              <w:ind w:left="167"/>
            </w:pPr>
            <w:r>
              <w:rPr>
                <w:spacing w:val="-7"/>
              </w:rPr>
              <w:t>188</w:t>
            </w:r>
          </w:p>
        </w:tc>
        <w:tc>
          <w:tcPr>
            <w:tcW w:w="776" w:type="dxa"/>
            <w:vAlign w:val="top"/>
          </w:tcPr>
          <w:p w14:paraId="4294BBFF">
            <w:pPr>
              <w:pStyle w:val="6"/>
              <w:spacing w:before="166" w:line="188" w:lineRule="auto"/>
              <w:ind w:left="301"/>
            </w:pPr>
            <w:r>
              <w:rPr>
                <w:spacing w:val="-2"/>
              </w:rPr>
              <w:t>22</w:t>
            </w:r>
          </w:p>
        </w:tc>
        <w:tc>
          <w:tcPr>
            <w:tcW w:w="901" w:type="dxa"/>
            <w:vAlign w:val="top"/>
          </w:tcPr>
          <w:p w14:paraId="600A65F9">
            <w:pPr>
              <w:pStyle w:val="6"/>
              <w:spacing w:before="166" w:line="188" w:lineRule="auto"/>
              <w:ind w:left="337"/>
            </w:pPr>
            <w:r>
              <w:rPr>
                <w:spacing w:val="-7"/>
              </w:rPr>
              <w:t>166</w:t>
            </w:r>
          </w:p>
        </w:tc>
        <w:tc>
          <w:tcPr>
            <w:tcW w:w="1222" w:type="dxa"/>
            <w:tcBorders>
              <w:right w:val="single" w:color="000000" w:sz="6" w:space="0"/>
            </w:tcBorders>
            <w:vAlign w:val="top"/>
          </w:tcPr>
          <w:p w14:paraId="6D08ED67">
            <w:pPr>
              <w:pStyle w:val="6"/>
              <w:spacing w:before="137" w:line="224" w:lineRule="auto"/>
              <w:ind w:left="231"/>
            </w:pPr>
            <w:r>
              <w:rPr>
                <w:rFonts w:ascii="仿宋" w:hAnsi="仿宋" w:eastAsia="仿宋" w:cs="仿宋"/>
                <w:spacing w:val="-4"/>
              </w:rPr>
              <w:t>调出</w:t>
            </w:r>
            <w:r>
              <w:rPr>
                <w:rFonts w:ascii="仿宋" w:hAnsi="仿宋" w:eastAsia="仿宋" w:cs="仿宋"/>
                <w:spacing w:val="-35"/>
              </w:rPr>
              <w:t xml:space="preserve"> </w:t>
            </w:r>
            <w:r>
              <w:rPr>
                <w:spacing w:val="-4"/>
              </w:rPr>
              <w:t>50m³</w:t>
            </w:r>
          </w:p>
        </w:tc>
      </w:tr>
      <w:tr w14:paraId="7EFBDF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2AAC86B8">
            <w:pPr>
              <w:rPr>
                <w:rFonts w:ascii="Arial"/>
                <w:sz w:val="21"/>
              </w:rPr>
            </w:pPr>
          </w:p>
        </w:tc>
        <w:tc>
          <w:tcPr>
            <w:tcW w:w="1526" w:type="dxa"/>
            <w:vAlign w:val="top"/>
          </w:tcPr>
          <w:p w14:paraId="75897336">
            <w:pPr>
              <w:spacing w:before="33" w:line="199" w:lineRule="auto"/>
              <w:ind w:left="413"/>
              <w:rPr>
                <w:rFonts w:ascii="仿宋" w:hAnsi="仿宋" w:eastAsia="仿宋" w:cs="仿宋"/>
                <w:sz w:val="18"/>
                <w:szCs w:val="18"/>
              </w:rPr>
            </w:pPr>
            <w:r>
              <w:rPr>
                <w:rFonts w:ascii="仿宋" w:hAnsi="仿宋" w:eastAsia="仿宋" w:cs="仿宋"/>
                <w:spacing w:val="-4"/>
                <w:sz w:val="18"/>
                <w:szCs w:val="18"/>
              </w:rPr>
              <w:t>清表亏方</w:t>
            </w:r>
          </w:p>
        </w:tc>
        <w:tc>
          <w:tcPr>
            <w:tcW w:w="741" w:type="dxa"/>
            <w:vAlign w:val="top"/>
          </w:tcPr>
          <w:p w14:paraId="4FAAFC20">
            <w:pPr>
              <w:spacing w:line="227" w:lineRule="exact"/>
              <w:rPr>
                <w:rFonts w:ascii="Arial"/>
                <w:sz w:val="19"/>
              </w:rPr>
            </w:pPr>
          </w:p>
        </w:tc>
        <w:tc>
          <w:tcPr>
            <w:tcW w:w="636" w:type="dxa"/>
            <w:vAlign w:val="top"/>
          </w:tcPr>
          <w:p w14:paraId="6C3A1E9D">
            <w:pPr>
              <w:spacing w:line="227" w:lineRule="exact"/>
              <w:rPr>
                <w:rFonts w:ascii="Arial"/>
                <w:sz w:val="19"/>
              </w:rPr>
            </w:pPr>
          </w:p>
        </w:tc>
        <w:tc>
          <w:tcPr>
            <w:tcW w:w="636" w:type="dxa"/>
            <w:vAlign w:val="top"/>
          </w:tcPr>
          <w:p w14:paraId="09C354EE">
            <w:pPr>
              <w:spacing w:line="227" w:lineRule="exact"/>
              <w:rPr>
                <w:rFonts w:ascii="Arial"/>
                <w:sz w:val="19"/>
              </w:rPr>
            </w:pPr>
          </w:p>
        </w:tc>
        <w:tc>
          <w:tcPr>
            <w:tcW w:w="636" w:type="dxa"/>
            <w:vAlign w:val="top"/>
          </w:tcPr>
          <w:p w14:paraId="77A67843">
            <w:pPr>
              <w:pStyle w:val="6"/>
              <w:spacing w:before="64" w:line="188" w:lineRule="auto"/>
              <w:ind w:left="234"/>
            </w:pPr>
            <w:r>
              <w:rPr>
                <w:spacing w:val="-4"/>
              </w:rPr>
              <w:t>50</w:t>
            </w:r>
          </w:p>
        </w:tc>
        <w:tc>
          <w:tcPr>
            <w:tcW w:w="566" w:type="dxa"/>
            <w:vAlign w:val="top"/>
          </w:tcPr>
          <w:p w14:paraId="19E5E5D9">
            <w:pPr>
              <w:pStyle w:val="6"/>
              <w:spacing w:before="64" w:line="188" w:lineRule="auto"/>
              <w:ind w:left="200"/>
            </w:pPr>
            <w:r>
              <w:rPr>
                <w:spacing w:val="-4"/>
              </w:rPr>
              <w:t>50</w:t>
            </w:r>
          </w:p>
        </w:tc>
        <w:tc>
          <w:tcPr>
            <w:tcW w:w="776" w:type="dxa"/>
            <w:vAlign w:val="top"/>
          </w:tcPr>
          <w:p w14:paraId="237CA00D">
            <w:pPr>
              <w:spacing w:line="227" w:lineRule="exact"/>
              <w:rPr>
                <w:rFonts w:ascii="Arial"/>
                <w:sz w:val="19"/>
              </w:rPr>
            </w:pPr>
          </w:p>
        </w:tc>
        <w:tc>
          <w:tcPr>
            <w:tcW w:w="901" w:type="dxa"/>
            <w:vAlign w:val="top"/>
          </w:tcPr>
          <w:p w14:paraId="2E594CCE">
            <w:pPr>
              <w:spacing w:line="227" w:lineRule="exact"/>
              <w:rPr>
                <w:rFonts w:ascii="Arial"/>
                <w:sz w:val="19"/>
              </w:rPr>
            </w:pPr>
          </w:p>
        </w:tc>
        <w:tc>
          <w:tcPr>
            <w:tcW w:w="1222" w:type="dxa"/>
            <w:tcBorders>
              <w:right w:val="single" w:color="000000" w:sz="6" w:space="0"/>
            </w:tcBorders>
            <w:vAlign w:val="top"/>
          </w:tcPr>
          <w:p w14:paraId="0711B926">
            <w:pPr>
              <w:pStyle w:val="6"/>
              <w:spacing w:before="33" w:line="199" w:lineRule="auto"/>
              <w:ind w:left="231"/>
            </w:pPr>
            <w:r>
              <w:rPr>
                <w:rFonts w:ascii="仿宋" w:hAnsi="仿宋" w:eastAsia="仿宋" w:cs="仿宋"/>
                <w:spacing w:val="-4"/>
              </w:rPr>
              <w:t>调入</w:t>
            </w:r>
            <w:r>
              <w:rPr>
                <w:rFonts w:ascii="仿宋" w:hAnsi="仿宋" w:eastAsia="仿宋" w:cs="仿宋"/>
                <w:spacing w:val="-35"/>
              </w:rPr>
              <w:t xml:space="preserve"> </w:t>
            </w:r>
            <w:r>
              <w:rPr>
                <w:spacing w:val="-4"/>
              </w:rPr>
              <w:t>50m³</w:t>
            </w:r>
          </w:p>
        </w:tc>
      </w:tr>
      <w:tr w14:paraId="36C3E8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7ACC7F91">
            <w:pPr>
              <w:rPr>
                <w:rFonts w:ascii="Arial"/>
                <w:sz w:val="21"/>
              </w:rPr>
            </w:pPr>
          </w:p>
        </w:tc>
        <w:tc>
          <w:tcPr>
            <w:tcW w:w="1526" w:type="dxa"/>
            <w:vAlign w:val="top"/>
          </w:tcPr>
          <w:p w14:paraId="62C424F9">
            <w:pPr>
              <w:spacing w:before="34" w:line="199" w:lineRule="auto"/>
              <w:ind w:left="499"/>
              <w:rPr>
                <w:rFonts w:ascii="仿宋" w:hAnsi="仿宋" w:eastAsia="仿宋" w:cs="仿宋"/>
                <w:sz w:val="18"/>
                <w:szCs w:val="18"/>
              </w:rPr>
            </w:pPr>
            <w:r>
              <w:rPr>
                <w:rFonts w:ascii="仿宋" w:hAnsi="仿宋" w:eastAsia="仿宋" w:cs="仿宋"/>
                <w:spacing w:val="-4"/>
                <w:sz w:val="18"/>
                <w:szCs w:val="18"/>
              </w:rPr>
              <w:t>路段五</w:t>
            </w:r>
          </w:p>
        </w:tc>
        <w:tc>
          <w:tcPr>
            <w:tcW w:w="741" w:type="dxa"/>
            <w:vAlign w:val="top"/>
          </w:tcPr>
          <w:p w14:paraId="55DBF878">
            <w:pPr>
              <w:spacing w:line="229" w:lineRule="exact"/>
              <w:rPr>
                <w:rFonts w:ascii="Arial"/>
                <w:sz w:val="19"/>
              </w:rPr>
            </w:pPr>
          </w:p>
        </w:tc>
        <w:tc>
          <w:tcPr>
            <w:tcW w:w="636" w:type="dxa"/>
            <w:vAlign w:val="top"/>
          </w:tcPr>
          <w:p w14:paraId="74151FFC">
            <w:pPr>
              <w:spacing w:line="229" w:lineRule="exact"/>
              <w:rPr>
                <w:rFonts w:ascii="Arial"/>
                <w:sz w:val="19"/>
              </w:rPr>
            </w:pPr>
          </w:p>
        </w:tc>
        <w:tc>
          <w:tcPr>
            <w:tcW w:w="636" w:type="dxa"/>
            <w:vAlign w:val="top"/>
          </w:tcPr>
          <w:p w14:paraId="27167368">
            <w:pPr>
              <w:spacing w:line="229" w:lineRule="exact"/>
              <w:rPr>
                <w:rFonts w:ascii="Arial"/>
                <w:sz w:val="19"/>
              </w:rPr>
            </w:pPr>
          </w:p>
        </w:tc>
        <w:tc>
          <w:tcPr>
            <w:tcW w:w="636" w:type="dxa"/>
            <w:vAlign w:val="top"/>
          </w:tcPr>
          <w:p w14:paraId="4E554E4B">
            <w:pPr>
              <w:spacing w:line="229" w:lineRule="exact"/>
              <w:rPr>
                <w:rFonts w:ascii="Arial"/>
                <w:sz w:val="19"/>
              </w:rPr>
            </w:pPr>
          </w:p>
        </w:tc>
        <w:tc>
          <w:tcPr>
            <w:tcW w:w="566" w:type="dxa"/>
            <w:vAlign w:val="top"/>
          </w:tcPr>
          <w:p w14:paraId="4BAE613F">
            <w:pPr>
              <w:spacing w:line="229" w:lineRule="exact"/>
              <w:rPr>
                <w:rFonts w:ascii="Arial"/>
                <w:sz w:val="19"/>
              </w:rPr>
            </w:pPr>
          </w:p>
        </w:tc>
        <w:tc>
          <w:tcPr>
            <w:tcW w:w="776" w:type="dxa"/>
            <w:vAlign w:val="top"/>
          </w:tcPr>
          <w:p w14:paraId="3B082274">
            <w:pPr>
              <w:spacing w:line="229" w:lineRule="exact"/>
              <w:rPr>
                <w:rFonts w:ascii="Arial"/>
                <w:sz w:val="19"/>
              </w:rPr>
            </w:pPr>
          </w:p>
        </w:tc>
        <w:tc>
          <w:tcPr>
            <w:tcW w:w="901" w:type="dxa"/>
            <w:vAlign w:val="top"/>
          </w:tcPr>
          <w:p w14:paraId="61E18B9A">
            <w:pPr>
              <w:spacing w:line="229" w:lineRule="exact"/>
              <w:rPr>
                <w:rFonts w:ascii="Arial"/>
                <w:sz w:val="19"/>
              </w:rPr>
            </w:pPr>
          </w:p>
        </w:tc>
        <w:tc>
          <w:tcPr>
            <w:tcW w:w="1222" w:type="dxa"/>
            <w:tcBorders>
              <w:right w:val="single" w:color="000000" w:sz="6" w:space="0"/>
            </w:tcBorders>
            <w:vAlign w:val="top"/>
          </w:tcPr>
          <w:p w14:paraId="14CE1D00">
            <w:pPr>
              <w:spacing w:line="229" w:lineRule="exact"/>
              <w:rPr>
                <w:rFonts w:ascii="Arial"/>
                <w:sz w:val="19"/>
              </w:rPr>
            </w:pPr>
          </w:p>
        </w:tc>
      </w:tr>
      <w:tr w14:paraId="5A0548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737" w:type="dxa"/>
            <w:vMerge w:val="continue"/>
            <w:tcBorders>
              <w:top w:val="nil"/>
              <w:left w:val="single" w:color="000000" w:sz="6" w:space="0"/>
              <w:bottom w:val="nil"/>
            </w:tcBorders>
            <w:vAlign w:val="top"/>
          </w:tcPr>
          <w:p w14:paraId="5064BB18">
            <w:pPr>
              <w:rPr>
                <w:rFonts w:ascii="Arial"/>
                <w:sz w:val="21"/>
              </w:rPr>
            </w:pPr>
          </w:p>
        </w:tc>
        <w:tc>
          <w:tcPr>
            <w:tcW w:w="1526" w:type="dxa"/>
            <w:vAlign w:val="top"/>
          </w:tcPr>
          <w:p w14:paraId="34279BF6">
            <w:pPr>
              <w:pStyle w:val="6"/>
              <w:spacing w:before="34"/>
              <w:ind w:left="376"/>
              <w:rPr>
                <w:rFonts w:ascii="仿宋" w:hAnsi="仿宋" w:eastAsia="仿宋" w:cs="仿宋"/>
              </w:rPr>
            </w:pPr>
            <w:r>
              <w:rPr>
                <w:spacing w:val="9"/>
              </w:rPr>
              <w:t>K0+000</w:t>
            </w:r>
            <w:r>
              <w:rPr>
                <w:rFonts w:ascii="仿宋" w:hAnsi="仿宋" w:eastAsia="仿宋" w:cs="仿宋"/>
                <w:spacing w:val="9"/>
              </w:rPr>
              <w:t>~</w:t>
            </w:r>
          </w:p>
          <w:p w14:paraId="44BCF4CE">
            <w:pPr>
              <w:pStyle w:val="6"/>
              <w:spacing w:before="14" w:line="175" w:lineRule="auto"/>
              <w:ind w:left="465"/>
            </w:pPr>
            <w:r>
              <w:rPr>
                <w:spacing w:val="-1"/>
              </w:rPr>
              <w:t>K0+419</w:t>
            </w:r>
          </w:p>
        </w:tc>
        <w:tc>
          <w:tcPr>
            <w:tcW w:w="741" w:type="dxa"/>
            <w:vAlign w:val="top"/>
          </w:tcPr>
          <w:p w14:paraId="0200237F">
            <w:pPr>
              <w:pStyle w:val="6"/>
              <w:spacing w:before="65" w:line="188" w:lineRule="auto"/>
              <w:ind w:left="119"/>
            </w:pPr>
            <w:r>
              <w:rPr>
                <w:spacing w:val="-1"/>
              </w:rPr>
              <w:t>419.00</w:t>
            </w:r>
          </w:p>
          <w:p w14:paraId="2161BF1E">
            <w:pPr>
              <w:pStyle w:val="6"/>
              <w:spacing w:before="44" w:line="188" w:lineRule="auto"/>
              <w:ind w:left="327"/>
            </w:pPr>
            <w:r>
              <w:t>0</w:t>
            </w:r>
          </w:p>
        </w:tc>
        <w:tc>
          <w:tcPr>
            <w:tcW w:w="636" w:type="dxa"/>
            <w:vAlign w:val="top"/>
          </w:tcPr>
          <w:p w14:paraId="2269E9C0">
            <w:pPr>
              <w:pStyle w:val="6"/>
              <w:spacing w:before="168" w:line="188" w:lineRule="auto"/>
              <w:ind w:left="180"/>
            </w:pPr>
            <w:r>
              <w:rPr>
                <w:spacing w:val="-1"/>
              </w:rPr>
              <w:t>479</w:t>
            </w:r>
          </w:p>
        </w:tc>
        <w:tc>
          <w:tcPr>
            <w:tcW w:w="636" w:type="dxa"/>
            <w:vAlign w:val="top"/>
          </w:tcPr>
          <w:p w14:paraId="50A69FDA">
            <w:pPr>
              <w:pStyle w:val="6"/>
              <w:spacing w:before="168" w:line="188" w:lineRule="auto"/>
              <w:ind w:left="182"/>
            </w:pPr>
            <w:r>
              <w:rPr>
                <w:spacing w:val="-1"/>
              </w:rPr>
              <w:t>479</w:t>
            </w:r>
          </w:p>
        </w:tc>
        <w:tc>
          <w:tcPr>
            <w:tcW w:w="636" w:type="dxa"/>
            <w:vAlign w:val="top"/>
          </w:tcPr>
          <w:p w14:paraId="55A20731">
            <w:pPr>
              <w:pStyle w:val="6"/>
              <w:spacing w:before="168" w:line="188" w:lineRule="auto"/>
              <w:ind w:left="182"/>
            </w:pPr>
            <w:r>
              <w:rPr>
                <w:spacing w:val="-1"/>
              </w:rPr>
              <w:t>427</w:t>
            </w:r>
          </w:p>
        </w:tc>
        <w:tc>
          <w:tcPr>
            <w:tcW w:w="566" w:type="dxa"/>
            <w:vAlign w:val="top"/>
          </w:tcPr>
          <w:p w14:paraId="18DDAE2F">
            <w:pPr>
              <w:pStyle w:val="6"/>
              <w:spacing w:before="168" w:line="188" w:lineRule="auto"/>
              <w:ind w:left="149"/>
            </w:pPr>
            <w:r>
              <w:rPr>
                <w:spacing w:val="-1"/>
              </w:rPr>
              <w:t>427</w:t>
            </w:r>
          </w:p>
        </w:tc>
        <w:tc>
          <w:tcPr>
            <w:tcW w:w="776" w:type="dxa"/>
            <w:vAlign w:val="top"/>
          </w:tcPr>
          <w:p w14:paraId="268B3496">
            <w:pPr>
              <w:pStyle w:val="6"/>
              <w:spacing w:before="168" w:line="188" w:lineRule="auto"/>
              <w:ind w:left="255"/>
            </w:pPr>
            <w:r>
              <w:rPr>
                <w:spacing w:val="-1"/>
              </w:rPr>
              <w:t>232</w:t>
            </w:r>
          </w:p>
        </w:tc>
        <w:tc>
          <w:tcPr>
            <w:tcW w:w="901" w:type="dxa"/>
            <w:vAlign w:val="top"/>
          </w:tcPr>
          <w:p w14:paraId="30ED9A91">
            <w:pPr>
              <w:pStyle w:val="6"/>
              <w:spacing w:before="168" w:line="188" w:lineRule="auto"/>
              <w:ind w:left="337"/>
            </w:pPr>
            <w:r>
              <w:rPr>
                <w:spacing w:val="-7"/>
              </w:rPr>
              <w:t>195</w:t>
            </w:r>
          </w:p>
        </w:tc>
        <w:tc>
          <w:tcPr>
            <w:tcW w:w="1222" w:type="dxa"/>
            <w:tcBorders>
              <w:right w:val="single" w:color="000000" w:sz="6" w:space="0"/>
            </w:tcBorders>
            <w:vAlign w:val="top"/>
          </w:tcPr>
          <w:p w14:paraId="2B7CF807">
            <w:pPr>
              <w:pStyle w:val="6"/>
              <w:spacing w:before="136" w:line="224" w:lineRule="auto"/>
              <w:ind w:left="231"/>
            </w:pPr>
            <w:r>
              <w:rPr>
                <w:rFonts w:ascii="仿宋" w:hAnsi="仿宋" w:eastAsia="仿宋" w:cs="仿宋"/>
                <w:spacing w:val="-4"/>
              </w:rPr>
              <w:t>调出</w:t>
            </w:r>
            <w:r>
              <w:rPr>
                <w:rFonts w:ascii="仿宋" w:hAnsi="仿宋" w:eastAsia="仿宋" w:cs="仿宋"/>
                <w:spacing w:val="-35"/>
              </w:rPr>
              <w:t xml:space="preserve"> </w:t>
            </w:r>
            <w:r>
              <w:rPr>
                <w:spacing w:val="-4"/>
              </w:rPr>
              <w:t>52m³</w:t>
            </w:r>
          </w:p>
        </w:tc>
      </w:tr>
      <w:tr w14:paraId="108F3C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6158A58C">
            <w:pPr>
              <w:rPr>
                <w:rFonts w:ascii="Arial"/>
                <w:sz w:val="21"/>
              </w:rPr>
            </w:pPr>
          </w:p>
        </w:tc>
        <w:tc>
          <w:tcPr>
            <w:tcW w:w="1526" w:type="dxa"/>
            <w:vAlign w:val="top"/>
          </w:tcPr>
          <w:p w14:paraId="3F569154">
            <w:pPr>
              <w:spacing w:before="35" w:line="197" w:lineRule="auto"/>
              <w:ind w:left="413"/>
              <w:rPr>
                <w:rFonts w:ascii="仿宋" w:hAnsi="仿宋" w:eastAsia="仿宋" w:cs="仿宋"/>
                <w:sz w:val="18"/>
                <w:szCs w:val="18"/>
              </w:rPr>
            </w:pPr>
            <w:r>
              <w:rPr>
                <w:rFonts w:ascii="仿宋" w:hAnsi="仿宋" w:eastAsia="仿宋" w:cs="仿宋"/>
                <w:spacing w:val="-4"/>
                <w:sz w:val="18"/>
                <w:szCs w:val="18"/>
              </w:rPr>
              <w:t>清表亏方</w:t>
            </w:r>
          </w:p>
        </w:tc>
        <w:tc>
          <w:tcPr>
            <w:tcW w:w="741" w:type="dxa"/>
            <w:vAlign w:val="top"/>
          </w:tcPr>
          <w:p w14:paraId="321CD323">
            <w:pPr>
              <w:spacing w:line="227" w:lineRule="exact"/>
              <w:rPr>
                <w:rFonts w:ascii="Arial"/>
                <w:sz w:val="19"/>
              </w:rPr>
            </w:pPr>
          </w:p>
        </w:tc>
        <w:tc>
          <w:tcPr>
            <w:tcW w:w="636" w:type="dxa"/>
            <w:vAlign w:val="top"/>
          </w:tcPr>
          <w:p w14:paraId="05B135F3">
            <w:pPr>
              <w:spacing w:line="227" w:lineRule="exact"/>
              <w:rPr>
                <w:rFonts w:ascii="Arial"/>
                <w:sz w:val="19"/>
              </w:rPr>
            </w:pPr>
          </w:p>
        </w:tc>
        <w:tc>
          <w:tcPr>
            <w:tcW w:w="636" w:type="dxa"/>
            <w:vAlign w:val="top"/>
          </w:tcPr>
          <w:p w14:paraId="5D4A836B">
            <w:pPr>
              <w:spacing w:line="227" w:lineRule="exact"/>
              <w:rPr>
                <w:rFonts w:ascii="Arial"/>
                <w:sz w:val="19"/>
              </w:rPr>
            </w:pPr>
          </w:p>
        </w:tc>
        <w:tc>
          <w:tcPr>
            <w:tcW w:w="636" w:type="dxa"/>
            <w:vAlign w:val="top"/>
          </w:tcPr>
          <w:p w14:paraId="00082621">
            <w:pPr>
              <w:pStyle w:val="6"/>
              <w:spacing w:before="66" w:line="187" w:lineRule="auto"/>
              <w:ind w:left="234"/>
            </w:pPr>
            <w:r>
              <w:rPr>
                <w:spacing w:val="-4"/>
              </w:rPr>
              <w:t>52</w:t>
            </w:r>
          </w:p>
        </w:tc>
        <w:tc>
          <w:tcPr>
            <w:tcW w:w="566" w:type="dxa"/>
            <w:vAlign w:val="top"/>
          </w:tcPr>
          <w:p w14:paraId="29763CBF">
            <w:pPr>
              <w:pStyle w:val="6"/>
              <w:spacing w:before="66" w:line="187" w:lineRule="auto"/>
              <w:ind w:left="200"/>
            </w:pPr>
            <w:r>
              <w:rPr>
                <w:spacing w:val="-4"/>
              </w:rPr>
              <w:t>52</w:t>
            </w:r>
          </w:p>
        </w:tc>
        <w:tc>
          <w:tcPr>
            <w:tcW w:w="776" w:type="dxa"/>
            <w:vAlign w:val="top"/>
          </w:tcPr>
          <w:p w14:paraId="3AB80A0E">
            <w:pPr>
              <w:spacing w:line="227" w:lineRule="exact"/>
              <w:rPr>
                <w:rFonts w:ascii="Arial"/>
                <w:sz w:val="19"/>
              </w:rPr>
            </w:pPr>
          </w:p>
        </w:tc>
        <w:tc>
          <w:tcPr>
            <w:tcW w:w="901" w:type="dxa"/>
            <w:vAlign w:val="top"/>
          </w:tcPr>
          <w:p w14:paraId="7DF57F91">
            <w:pPr>
              <w:spacing w:line="227" w:lineRule="exact"/>
              <w:rPr>
                <w:rFonts w:ascii="Arial"/>
                <w:sz w:val="19"/>
              </w:rPr>
            </w:pPr>
          </w:p>
        </w:tc>
        <w:tc>
          <w:tcPr>
            <w:tcW w:w="1222" w:type="dxa"/>
            <w:tcBorders>
              <w:right w:val="single" w:color="000000" w:sz="6" w:space="0"/>
            </w:tcBorders>
            <w:vAlign w:val="top"/>
          </w:tcPr>
          <w:p w14:paraId="01295B77">
            <w:pPr>
              <w:pStyle w:val="6"/>
              <w:spacing w:before="35" w:line="197" w:lineRule="auto"/>
              <w:ind w:left="231"/>
            </w:pPr>
            <w:r>
              <w:rPr>
                <w:rFonts w:ascii="仿宋" w:hAnsi="仿宋" w:eastAsia="仿宋" w:cs="仿宋"/>
                <w:spacing w:val="-4"/>
              </w:rPr>
              <w:t>调入</w:t>
            </w:r>
            <w:r>
              <w:rPr>
                <w:rFonts w:ascii="仿宋" w:hAnsi="仿宋" w:eastAsia="仿宋" w:cs="仿宋"/>
                <w:spacing w:val="-35"/>
              </w:rPr>
              <w:t xml:space="preserve"> </w:t>
            </w:r>
            <w:r>
              <w:rPr>
                <w:spacing w:val="-4"/>
              </w:rPr>
              <w:t>52m³</w:t>
            </w:r>
          </w:p>
        </w:tc>
      </w:tr>
      <w:tr w14:paraId="79D090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72CBB437">
            <w:pPr>
              <w:rPr>
                <w:rFonts w:ascii="Arial"/>
                <w:sz w:val="21"/>
              </w:rPr>
            </w:pPr>
          </w:p>
        </w:tc>
        <w:tc>
          <w:tcPr>
            <w:tcW w:w="1526" w:type="dxa"/>
            <w:vAlign w:val="top"/>
          </w:tcPr>
          <w:p w14:paraId="56EB55E7">
            <w:pPr>
              <w:spacing w:before="34" w:line="199" w:lineRule="auto"/>
              <w:ind w:left="499"/>
              <w:rPr>
                <w:rFonts w:ascii="仿宋" w:hAnsi="仿宋" w:eastAsia="仿宋" w:cs="仿宋"/>
                <w:sz w:val="18"/>
                <w:szCs w:val="18"/>
              </w:rPr>
            </w:pPr>
            <w:r>
              <w:rPr>
                <w:rFonts w:ascii="仿宋" w:hAnsi="仿宋" w:eastAsia="仿宋" w:cs="仿宋"/>
                <w:spacing w:val="-4"/>
                <w:sz w:val="18"/>
                <w:szCs w:val="18"/>
              </w:rPr>
              <w:t>路段六</w:t>
            </w:r>
          </w:p>
        </w:tc>
        <w:tc>
          <w:tcPr>
            <w:tcW w:w="741" w:type="dxa"/>
            <w:vAlign w:val="top"/>
          </w:tcPr>
          <w:p w14:paraId="32E8D2FB">
            <w:pPr>
              <w:spacing w:line="229" w:lineRule="exact"/>
              <w:rPr>
                <w:rFonts w:ascii="Arial"/>
                <w:sz w:val="19"/>
              </w:rPr>
            </w:pPr>
          </w:p>
        </w:tc>
        <w:tc>
          <w:tcPr>
            <w:tcW w:w="636" w:type="dxa"/>
            <w:vAlign w:val="top"/>
          </w:tcPr>
          <w:p w14:paraId="31AFFBFA">
            <w:pPr>
              <w:spacing w:line="229" w:lineRule="exact"/>
              <w:rPr>
                <w:rFonts w:ascii="Arial"/>
                <w:sz w:val="19"/>
              </w:rPr>
            </w:pPr>
          </w:p>
        </w:tc>
        <w:tc>
          <w:tcPr>
            <w:tcW w:w="636" w:type="dxa"/>
            <w:vAlign w:val="top"/>
          </w:tcPr>
          <w:p w14:paraId="2D97B2A3">
            <w:pPr>
              <w:spacing w:line="229" w:lineRule="exact"/>
              <w:rPr>
                <w:rFonts w:ascii="Arial"/>
                <w:sz w:val="19"/>
              </w:rPr>
            </w:pPr>
          </w:p>
        </w:tc>
        <w:tc>
          <w:tcPr>
            <w:tcW w:w="636" w:type="dxa"/>
            <w:vAlign w:val="top"/>
          </w:tcPr>
          <w:p w14:paraId="191F59DB">
            <w:pPr>
              <w:spacing w:line="229" w:lineRule="exact"/>
              <w:rPr>
                <w:rFonts w:ascii="Arial"/>
                <w:sz w:val="19"/>
              </w:rPr>
            </w:pPr>
          </w:p>
        </w:tc>
        <w:tc>
          <w:tcPr>
            <w:tcW w:w="566" w:type="dxa"/>
            <w:vAlign w:val="top"/>
          </w:tcPr>
          <w:p w14:paraId="47836ECC">
            <w:pPr>
              <w:spacing w:line="229" w:lineRule="exact"/>
              <w:rPr>
                <w:rFonts w:ascii="Arial"/>
                <w:sz w:val="19"/>
              </w:rPr>
            </w:pPr>
          </w:p>
        </w:tc>
        <w:tc>
          <w:tcPr>
            <w:tcW w:w="776" w:type="dxa"/>
            <w:vAlign w:val="top"/>
          </w:tcPr>
          <w:p w14:paraId="474E4870">
            <w:pPr>
              <w:spacing w:line="229" w:lineRule="exact"/>
              <w:rPr>
                <w:rFonts w:ascii="Arial"/>
                <w:sz w:val="19"/>
              </w:rPr>
            </w:pPr>
          </w:p>
        </w:tc>
        <w:tc>
          <w:tcPr>
            <w:tcW w:w="901" w:type="dxa"/>
            <w:vAlign w:val="top"/>
          </w:tcPr>
          <w:p w14:paraId="02789259">
            <w:pPr>
              <w:spacing w:line="229" w:lineRule="exact"/>
              <w:rPr>
                <w:rFonts w:ascii="Arial"/>
                <w:sz w:val="19"/>
              </w:rPr>
            </w:pPr>
          </w:p>
        </w:tc>
        <w:tc>
          <w:tcPr>
            <w:tcW w:w="1222" w:type="dxa"/>
            <w:tcBorders>
              <w:right w:val="single" w:color="000000" w:sz="6" w:space="0"/>
            </w:tcBorders>
            <w:vAlign w:val="top"/>
          </w:tcPr>
          <w:p w14:paraId="058B785A">
            <w:pPr>
              <w:spacing w:line="229" w:lineRule="exact"/>
              <w:rPr>
                <w:rFonts w:ascii="Arial"/>
                <w:sz w:val="19"/>
              </w:rPr>
            </w:pPr>
          </w:p>
        </w:tc>
      </w:tr>
      <w:tr w14:paraId="6C6D8E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737" w:type="dxa"/>
            <w:vMerge w:val="continue"/>
            <w:tcBorders>
              <w:top w:val="nil"/>
              <w:left w:val="single" w:color="000000" w:sz="6" w:space="0"/>
              <w:bottom w:val="nil"/>
            </w:tcBorders>
            <w:vAlign w:val="top"/>
          </w:tcPr>
          <w:p w14:paraId="61EDA1F5">
            <w:pPr>
              <w:rPr>
                <w:rFonts w:ascii="Arial"/>
                <w:sz w:val="21"/>
              </w:rPr>
            </w:pPr>
          </w:p>
        </w:tc>
        <w:tc>
          <w:tcPr>
            <w:tcW w:w="1526" w:type="dxa"/>
            <w:vAlign w:val="top"/>
          </w:tcPr>
          <w:p w14:paraId="3FA70238">
            <w:pPr>
              <w:pStyle w:val="6"/>
              <w:spacing w:before="36"/>
              <w:ind w:left="376"/>
              <w:rPr>
                <w:rFonts w:ascii="仿宋" w:hAnsi="仿宋" w:eastAsia="仿宋" w:cs="仿宋"/>
              </w:rPr>
            </w:pPr>
            <w:r>
              <w:rPr>
                <w:spacing w:val="9"/>
              </w:rPr>
              <w:t>K0+000</w:t>
            </w:r>
            <w:r>
              <w:rPr>
                <w:rFonts w:ascii="仿宋" w:hAnsi="仿宋" w:eastAsia="仿宋" w:cs="仿宋"/>
                <w:spacing w:val="9"/>
              </w:rPr>
              <w:t>~</w:t>
            </w:r>
          </w:p>
          <w:p w14:paraId="603FE1F4">
            <w:pPr>
              <w:pStyle w:val="6"/>
              <w:spacing w:before="15" w:line="172" w:lineRule="auto"/>
              <w:ind w:left="465"/>
            </w:pPr>
            <w:r>
              <w:rPr>
                <w:spacing w:val="-1"/>
              </w:rPr>
              <w:t>K0+059</w:t>
            </w:r>
          </w:p>
        </w:tc>
        <w:tc>
          <w:tcPr>
            <w:tcW w:w="741" w:type="dxa"/>
            <w:vAlign w:val="top"/>
          </w:tcPr>
          <w:p w14:paraId="6C055AAC">
            <w:pPr>
              <w:pStyle w:val="6"/>
              <w:spacing w:before="168" w:line="188" w:lineRule="auto"/>
              <w:ind w:left="125"/>
            </w:pPr>
            <w:r>
              <w:rPr>
                <w:spacing w:val="-2"/>
              </w:rPr>
              <w:t>59.000</w:t>
            </w:r>
          </w:p>
        </w:tc>
        <w:tc>
          <w:tcPr>
            <w:tcW w:w="636" w:type="dxa"/>
            <w:vAlign w:val="top"/>
          </w:tcPr>
          <w:p w14:paraId="3DD21B0D">
            <w:pPr>
              <w:pStyle w:val="6"/>
              <w:spacing w:before="168" w:line="188" w:lineRule="auto"/>
              <w:ind w:left="225"/>
            </w:pPr>
            <w:r>
              <w:rPr>
                <w:spacing w:val="-1"/>
              </w:rPr>
              <w:t>41</w:t>
            </w:r>
          </w:p>
        </w:tc>
        <w:tc>
          <w:tcPr>
            <w:tcW w:w="636" w:type="dxa"/>
            <w:vAlign w:val="top"/>
          </w:tcPr>
          <w:p w14:paraId="65964203">
            <w:pPr>
              <w:pStyle w:val="6"/>
              <w:spacing w:before="168" w:line="188" w:lineRule="auto"/>
              <w:ind w:left="228"/>
            </w:pPr>
            <w:r>
              <w:rPr>
                <w:spacing w:val="-1"/>
              </w:rPr>
              <w:t>41</w:t>
            </w:r>
          </w:p>
        </w:tc>
        <w:tc>
          <w:tcPr>
            <w:tcW w:w="636" w:type="dxa"/>
            <w:vAlign w:val="top"/>
          </w:tcPr>
          <w:p w14:paraId="5477F82F">
            <w:pPr>
              <w:pStyle w:val="6"/>
              <w:spacing w:before="168" w:line="188" w:lineRule="auto"/>
              <w:ind w:left="228"/>
            </w:pPr>
            <w:r>
              <w:rPr>
                <w:spacing w:val="-1"/>
              </w:rPr>
              <w:t>43</w:t>
            </w:r>
          </w:p>
        </w:tc>
        <w:tc>
          <w:tcPr>
            <w:tcW w:w="566" w:type="dxa"/>
            <w:vAlign w:val="top"/>
          </w:tcPr>
          <w:p w14:paraId="481AC086">
            <w:pPr>
              <w:pStyle w:val="6"/>
              <w:spacing w:before="168" w:line="188" w:lineRule="auto"/>
              <w:ind w:left="194"/>
            </w:pPr>
            <w:r>
              <w:rPr>
                <w:spacing w:val="-1"/>
              </w:rPr>
              <w:t>43</w:t>
            </w:r>
          </w:p>
        </w:tc>
        <w:tc>
          <w:tcPr>
            <w:tcW w:w="776" w:type="dxa"/>
            <w:vAlign w:val="top"/>
          </w:tcPr>
          <w:p w14:paraId="718159D5">
            <w:pPr>
              <w:pStyle w:val="6"/>
              <w:spacing w:before="168" w:line="188" w:lineRule="auto"/>
              <w:ind w:left="318"/>
            </w:pPr>
            <w:r>
              <w:rPr>
                <w:spacing w:val="-10"/>
              </w:rPr>
              <w:t>15</w:t>
            </w:r>
          </w:p>
        </w:tc>
        <w:tc>
          <w:tcPr>
            <w:tcW w:w="901" w:type="dxa"/>
            <w:vAlign w:val="top"/>
          </w:tcPr>
          <w:p w14:paraId="6E77EC39">
            <w:pPr>
              <w:pStyle w:val="6"/>
              <w:spacing w:before="168" w:line="188" w:lineRule="auto"/>
              <w:ind w:left="365"/>
            </w:pPr>
            <w:r>
              <w:rPr>
                <w:spacing w:val="-2"/>
              </w:rPr>
              <w:t>28</w:t>
            </w:r>
          </w:p>
        </w:tc>
        <w:tc>
          <w:tcPr>
            <w:tcW w:w="1222" w:type="dxa"/>
            <w:tcBorders>
              <w:right w:val="single" w:color="000000" w:sz="6" w:space="0"/>
            </w:tcBorders>
            <w:vAlign w:val="top"/>
          </w:tcPr>
          <w:p w14:paraId="74DAEAC9">
            <w:pPr>
              <w:pStyle w:val="6"/>
              <w:spacing w:before="139" w:line="224" w:lineRule="auto"/>
              <w:ind w:left="274"/>
            </w:pPr>
            <w:r>
              <w:rPr>
                <w:rFonts w:ascii="仿宋" w:hAnsi="仿宋" w:eastAsia="仿宋" w:cs="仿宋"/>
                <w:spacing w:val="-3"/>
              </w:rPr>
              <w:t>调入</w:t>
            </w:r>
            <w:r>
              <w:rPr>
                <w:rFonts w:ascii="仿宋" w:hAnsi="仿宋" w:eastAsia="仿宋" w:cs="仿宋"/>
                <w:spacing w:val="-41"/>
              </w:rPr>
              <w:t xml:space="preserve"> </w:t>
            </w:r>
            <w:r>
              <w:rPr>
                <w:spacing w:val="-3"/>
              </w:rPr>
              <w:t>2m³</w:t>
            </w:r>
          </w:p>
        </w:tc>
      </w:tr>
      <w:tr w14:paraId="0131DF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737" w:type="dxa"/>
            <w:vMerge w:val="continue"/>
            <w:tcBorders>
              <w:top w:val="nil"/>
              <w:left w:val="single" w:color="000000" w:sz="6" w:space="0"/>
              <w:bottom w:val="nil"/>
            </w:tcBorders>
            <w:vAlign w:val="top"/>
          </w:tcPr>
          <w:p w14:paraId="2718A244">
            <w:pPr>
              <w:rPr>
                <w:rFonts w:ascii="Arial"/>
                <w:sz w:val="21"/>
              </w:rPr>
            </w:pPr>
          </w:p>
        </w:tc>
        <w:tc>
          <w:tcPr>
            <w:tcW w:w="1526" w:type="dxa"/>
            <w:vAlign w:val="top"/>
          </w:tcPr>
          <w:p w14:paraId="2D10398A">
            <w:pPr>
              <w:pStyle w:val="6"/>
              <w:spacing w:before="38"/>
              <w:ind w:left="376"/>
              <w:rPr>
                <w:rFonts w:ascii="仿宋" w:hAnsi="仿宋" w:eastAsia="仿宋" w:cs="仿宋"/>
              </w:rPr>
            </w:pPr>
            <w:r>
              <w:rPr>
                <w:spacing w:val="9"/>
              </w:rPr>
              <w:t>K0+589</w:t>
            </w:r>
            <w:r>
              <w:rPr>
                <w:rFonts w:ascii="仿宋" w:hAnsi="仿宋" w:eastAsia="仿宋" w:cs="仿宋"/>
                <w:spacing w:val="9"/>
              </w:rPr>
              <w:t>~</w:t>
            </w:r>
          </w:p>
          <w:p w14:paraId="6CD5D5F0">
            <w:pPr>
              <w:pStyle w:val="6"/>
              <w:spacing w:before="15" w:line="171" w:lineRule="auto"/>
              <w:ind w:left="306"/>
            </w:pPr>
            <w:r>
              <w:rPr>
                <w:spacing w:val="-1"/>
              </w:rPr>
              <w:t>K0+907.641</w:t>
            </w:r>
          </w:p>
        </w:tc>
        <w:tc>
          <w:tcPr>
            <w:tcW w:w="741" w:type="dxa"/>
            <w:vAlign w:val="top"/>
          </w:tcPr>
          <w:p w14:paraId="37A4F048">
            <w:pPr>
              <w:pStyle w:val="6"/>
              <w:spacing w:before="67" w:line="188" w:lineRule="auto"/>
              <w:ind w:left="124"/>
            </w:pPr>
            <w:r>
              <w:rPr>
                <w:spacing w:val="-1"/>
              </w:rPr>
              <w:t>318.64</w:t>
            </w:r>
          </w:p>
          <w:p w14:paraId="01B55BE2">
            <w:pPr>
              <w:pStyle w:val="6"/>
              <w:spacing w:before="44" w:line="187" w:lineRule="auto"/>
              <w:ind w:left="341"/>
            </w:pPr>
            <w:r>
              <w:t>1</w:t>
            </w:r>
          </w:p>
        </w:tc>
        <w:tc>
          <w:tcPr>
            <w:tcW w:w="636" w:type="dxa"/>
            <w:vAlign w:val="top"/>
          </w:tcPr>
          <w:p w14:paraId="6211E84D">
            <w:pPr>
              <w:pStyle w:val="6"/>
              <w:spacing w:before="170" w:line="188" w:lineRule="auto"/>
              <w:ind w:left="184"/>
            </w:pPr>
            <w:r>
              <w:rPr>
                <w:spacing w:val="-3"/>
              </w:rPr>
              <w:t>307</w:t>
            </w:r>
          </w:p>
        </w:tc>
        <w:tc>
          <w:tcPr>
            <w:tcW w:w="636" w:type="dxa"/>
            <w:vAlign w:val="top"/>
          </w:tcPr>
          <w:p w14:paraId="4255F8FA">
            <w:pPr>
              <w:pStyle w:val="6"/>
              <w:spacing w:before="170" w:line="188" w:lineRule="auto"/>
              <w:ind w:left="187"/>
            </w:pPr>
            <w:r>
              <w:rPr>
                <w:spacing w:val="-3"/>
              </w:rPr>
              <w:t>307</w:t>
            </w:r>
          </w:p>
        </w:tc>
        <w:tc>
          <w:tcPr>
            <w:tcW w:w="636" w:type="dxa"/>
            <w:vAlign w:val="top"/>
          </w:tcPr>
          <w:p w14:paraId="3C318399">
            <w:pPr>
              <w:pStyle w:val="6"/>
              <w:spacing w:before="170" w:line="188" w:lineRule="auto"/>
              <w:ind w:left="183"/>
            </w:pPr>
            <w:r>
              <w:rPr>
                <w:spacing w:val="-1"/>
              </w:rPr>
              <w:t>207</w:t>
            </w:r>
          </w:p>
        </w:tc>
        <w:tc>
          <w:tcPr>
            <w:tcW w:w="566" w:type="dxa"/>
            <w:vAlign w:val="top"/>
          </w:tcPr>
          <w:p w14:paraId="35944DD9">
            <w:pPr>
              <w:pStyle w:val="6"/>
              <w:spacing w:before="170" w:line="188" w:lineRule="auto"/>
              <w:ind w:left="149"/>
            </w:pPr>
            <w:r>
              <w:rPr>
                <w:spacing w:val="-1"/>
              </w:rPr>
              <w:t>207</w:t>
            </w:r>
          </w:p>
        </w:tc>
        <w:tc>
          <w:tcPr>
            <w:tcW w:w="776" w:type="dxa"/>
            <w:vAlign w:val="top"/>
          </w:tcPr>
          <w:p w14:paraId="116DDC4E">
            <w:pPr>
              <w:pStyle w:val="6"/>
              <w:spacing w:before="170" w:line="188" w:lineRule="auto"/>
              <w:ind w:left="301"/>
            </w:pPr>
            <w:r>
              <w:rPr>
                <w:spacing w:val="-2"/>
              </w:rPr>
              <w:t>24</w:t>
            </w:r>
          </w:p>
        </w:tc>
        <w:tc>
          <w:tcPr>
            <w:tcW w:w="901" w:type="dxa"/>
            <w:vAlign w:val="top"/>
          </w:tcPr>
          <w:p w14:paraId="09C48A12">
            <w:pPr>
              <w:pStyle w:val="6"/>
              <w:spacing w:before="170" w:line="188" w:lineRule="auto"/>
              <w:ind w:left="337"/>
            </w:pPr>
            <w:r>
              <w:rPr>
                <w:spacing w:val="-7"/>
              </w:rPr>
              <w:t>183</w:t>
            </w:r>
          </w:p>
        </w:tc>
        <w:tc>
          <w:tcPr>
            <w:tcW w:w="1222" w:type="dxa"/>
            <w:tcBorders>
              <w:right w:val="single" w:color="000000" w:sz="6" w:space="0"/>
            </w:tcBorders>
            <w:vAlign w:val="top"/>
          </w:tcPr>
          <w:p w14:paraId="299A1C95">
            <w:pPr>
              <w:rPr>
                <w:rFonts w:ascii="Arial"/>
                <w:sz w:val="21"/>
              </w:rPr>
            </w:pPr>
          </w:p>
        </w:tc>
      </w:tr>
      <w:tr w14:paraId="17A96F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224A1177">
            <w:pPr>
              <w:rPr>
                <w:rFonts w:ascii="Arial"/>
                <w:sz w:val="21"/>
              </w:rPr>
            </w:pPr>
          </w:p>
        </w:tc>
        <w:tc>
          <w:tcPr>
            <w:tcW w:w="1526" w:type="dxa"/>
            <w:vAlign w:val="top"/>
          </w:tcPr>
          <w:p w14:paraId="004A1FE9">
            <w:pPr>
              <w:spacing w:before="36" w:line="196" w:lineRule="auto"/>
              <w:ind w:left="413"/>
              <w:rPr>
                <w:rFonts w:ascii="仿宋" w:hAnsi="仿宋" w:eastAsia="仿宋" w:cs="仿宋"/>
                <w:sz w:val="18"/>
                <w:szCs w:val="18"/>
              </w:rPr>
            </w:pPr>
            <w:r>
              <w:rPr>
                <w:rFonts w:ascii="仿宋" w:hAnsi="仿宋" w:eastAsia="仿宋" w:cs="仿宋"/>
                <w:spacing w:val="-4"/>
                <w:sz w:val="18"/>
                <w:szCs w:val="18"/>
              </w:rPr>
              <w:t>清表亏方</w:t>
            </w:r>
          </w:p>
        </w:tc>
        <w:tc>
          <w:tcPr>
            <w:tcW w:w="741" w:type="dxa"/>
            <w:vAlign w:val="top"/>
          </w:tcPr>
          <w:p w14:paraId="5DDE1565">
            <w:pPr>
              <w:spacing w:line="227" w:lineRule="exact"/>
              <w:rPr>
                <w:rFonts w:ascii="Arial"/>
                <w:sz w:val="19"/>
              </w:rPr>
            </w:pPr>
          </w:p>
        </w:tc>
        <w:tc>
          <w:tcPr>
            <w:tcW w:w="636" w:type="dxa"/>
            <w:vAlign w:val="top"/>
          </w:tcPr>
          <w:p w14:paraId="4E28151B">
            <w:pPr>
              <w:spacing w:line="227" w:lineRule="exact"/>
              <w:rPr>
                <w:rFonts w:ascii="Arial"/>
                <w:sz w:val="19"/>
              </w:rPr>
            </w:pPr>
          </w:p>
        </w:tc>
        <w:tc>
          <w:tcPr>
            <w:tcW w:w="636" w:type="dxa"/>
            <w:vAlign w:val="top"/>
          </w:tcPr>
          <w:p w14:paraId="79AF334D">
            <w:pPr>
              <w:spacing w:line="227" w:lineRule="exact"/>
              <w:rPr>
                <w:rFonts w:ascii="Arial"/>
                <w:sz w:val="19"/>
              </w:rPr>
            </w:pPr>
          </w:p>
        </w:tc>
        <w:tc>
          <w:tcPr>
            <w:tcW w:w="636" w:type="dxa"/>
            <w:vAlign w:val="top"/>
          </w:tcPr>
          <w:p w14:paraId="3A737DFF">
            <w:pPr>
              <w:pStyle w:val="6"/>
              <w:spacing w:before="68" w:line="185" w:lineRule="auto"/>
              <w:ind w:left="228"/>
            </w:pPr>
            <w:r>
              <w:rPr>
                <w:spacing w:val="-1"/>
              </w:rPr>
              <w:t>43</w:t>
            </w:r>
          </w:p>
        </w:tc>
        <w:tc>
          <w:tcPr>
            <w:tcW w:w="566" w:type="dxa"/>
            <w:vAlign w:val="top"/>
          </w:tcPr>
          <w:p w14:paraId="6E5B3F90">
            <w:pPr>
              <w:pStyle w:val="6"/>
              <w:spacing w:before="68" w:line="185" w:lineRule="auto"/>
              <w:ind w:left="194"/>
            </w:pPr>
            <w:r>
              <w:rPr>
                <w:spacing w:val="-1"/>
              </w:rPr>
              <w:t>43</w:t>
            </w:r>
          </w:p>
        </w:tc>
        <w:tc>
          <w:tcPr>
            <w:tcW w:w="776" w:type="dxa"/>
            <w:vAlign w:val="top"/>
          </w:tcPr>
          <w:p w14:paraId="32535CBD">
            <w:pPr>
              <w:spacing w:line="227" w:lineRule="exact"/>
              <w:rPr>
                <w:rFonts w:ascii="Arial"/>
                <w:sz w:val="19"/>
              </w:rPr>
            </w:pPr>
          </w:p>
        </w:tc>
        <w:tc>
          <w:tcPr>
            <w:tcW w:w="901" w:type="dxa"/>
            <w:vAlign w:val="top"/>
          </w:tcPr>
          <w:p w14:paraId="0B0099CE">
            <w:pPr>
              <w:spacing w:line="227" w:lineRule="exact"/>
              <w:rPr>
                <w:rFonts w:ascii="Arial"/>
                <w:sz w:val="19"/>
              </w:rPr>
            </w:pPr>
          </w:p>
        </w:tc>
        <w:tc>
          <w:tcPr>
            <w:tcW w:w="1222" w:type="dxa"/>
            <w:tcBorders>
              <w:right w:val="single" w:color="000000" w:sz="6" w:space="0"/>
            </w:tcBorders>
            <w:vAlign w:val="top"/>
          </w:tcPr>
          <w:p w14:paraId="1D64463C">
            <w:pPr>
              <w:pStyle w:val="6"/>
              <w:spacing w:before="36" w:line="196" w:lineRule="auto"/>
              <w:ind w:left="231"/>
            </w:pPr>
            <w:r>
              <w:rPr>
                <w:rFonts w:ascii="仿宋" w:hAnsi="仿宋" w:eastAsia="仿宋" w:cs="仿宋"/>
                <w:spacing w:val="-3"/>
              </w:rPr>
              <w:t>调入</w:t>
            </w:r>
            <w:r>
              <w:rPr>
                <w:rFonts w:ascii="仿宋" w:hAnsi="仿宋" w:eastAsia="仿宋" w:cs="仿宋"/>
                <w:spacing w:val="-41"/>
              </w:rPr>
              <w:t xml:space="preserve"> </w:t>
            </w:r>
            <w:r>
              <w:rPr>
                <w:spacing w:val="-3"/>
              </w:rPr>
              <w:t>43m³</w:t>
            </w:r>
          </w:p>
        </w:tc>
      </w:tr>
      <w:tr w14:paraId="38584C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7E37A957">
            <w:pPr>
              <w:rPr>
                <w:rFonts w:ascii="Arial"/>
                <w:sz w:val="21"/>
              </w:rPr>
            </w:pPr>
          </w:p>
        </w:tc>
        <w:tc>
          <w:tcPr>
            <w:tcW w:w="1526" w:type="dxa"/>
            <w:vAlign w:val="top"/>
          </w:tcPr>
          <w:p w14:paraId="6BFB2D55">
            <w:pPr>
              <w:spacing w:before="38" w:line="195" w:lineRule="auto"/>
              <w:ind w:left="499"/>
              <w:rPr>
                <w:rFonts w:ascii="仿宋" w:hAnsi="仿宋" w:eastAsia="仿宋" w:cs="仿宋"/>
                <w:sz w:val="18"/>
                <w:szCs w:val="18"/>
              </w:rPr>
            </w:pPr>
            <w:r>
              <w:rPr>
                <w:rFonts w:ascii="仿宋" w:hAnsi="仿宋" w:eastAsia="仿宋" w:cs="仿宋"/>
                <w:spacing w:val="-4"/>
                <w:sz w:val="18"/>
                <w:szCs w:val="18"/>
              </w:rPr>
              <w:t>路段七</w:t>
            </w:r>
          </w:p>
        </w:tc>
        <w:tc>
          <w:tcPr>
            <w:tcW w:w="741" w:type="dxa"/>
            <w:vAlign w:val="top"/>
          </w:tcPr>
          <w:p w14:paraId="44C14E1F">
            <w:pPr>
              <w:spacing w:line="229" w:lineRule="exact"/>
              <w:rPr>
                <w:rFonts w:ascii="Arial"/>
                <w:sz w:val="19"/>
              </w:rPr>
            </w:pPr>
          </w:p>
        </w:tc>
        <w:tc>
          <w:tcPr>
            <w:tcW w:w="636" w:type="dxa"/>
            <w:vAlign w:val="top"/>
          </w:tcPr>
          <w:p w14:paraId="2017FF93">
            <w:pPr>
              <w:spacing w:line="229" w:lineRule="exact"/>
              <w:rPr>
                <w:rFonts w:ascii="Arial"/>
                <w:sz w:val="19"/>
              </w:rPr>
            </w:pPr>
          </w:p>
        </w:tc>
        <w:tc>
          <w:tcPr>
            <w:tcW w:w="636" w:type="dxa"/>
            <w:vAlign w:val="top"/>
          </w:tcPr>
          <w:p w14:paraId="441AB363">
            <w:pPr>
              <w:spacing w:line="229" w:lineRule="exact"/>
              <w:rPr>
                <w:rFonts w:ascii="Arial"/>
                <w:sz w:val="19"/>
              </w:rPr>
            </w:pPr>
          </w:p>
        </w:tc>
        <w:tc>
          <w:tcPr>
            <w:tcW w:w="636" w:type="dxa"/>
            <w:vAlign w:val="top"/>
          </w:tcPr>
          <w:p w14:paraId="489B640B">
            <w:pPr>
              <w:spacing w:line="229" w:lineRule="exact"/>
              <w:rPr>
                <w:rFonts w:ascii="Arial"/>
                <w:sz w:val="19"/>
              </w:rPr>
            </w:pPr>
          </w:p>
        </w:tc>
        <w:tc>
          <w:tcPr>
            <w:tcW w:w="566" w:type="dxa"/>
            <w:vAlign w:val="top"/>
          </w:tcPr>
          <w:p w14:paraId="0BC58C95">
            <w:pPr>
              <w:spacing w:line="229" w:lineRule="exact"/>
              <w:rPr>
                <w:rFonts w:ascii="Arial"/>
                <w:sz w:val="19"/>
              </w:rPr>
            </w:pPr>
          </w:p>
        </w:tc>
        <w:tc>
          <w:tcPr>
            <w:tcW w:w="776" w:type="dxa"/>
            <w:vAlign w:val="top"/>
          </w:tcPr>
          <w:p w14:paraId="028D3113">
            <w:pPr>
              <w:spacing w:line="229" w:lineRule="exact"/>
              <w:rPr>
                <w:rFonts w:ascii="Arial"/>
                <w:sz w:val="19"/>
              </w:rPr>
            </w:pPr>
          </w:p>
        </w:tc>
        <w:tc>
          <w:tcPr>
            <w:tcW w:w="901" w:type="dxa"/>
            <w:vAlign w:val="top"/>
          </w:tcPr>
          <w:p w14:paraId="17C62ED4">
            <w:pPr>
              <w:spacing w:line="229" w:lineRule="exact"/>
              <w:rPr>
                <w:rFonts w:ascii="Arial"/>
                <w:sz w:val="19"/>
              </w:rPr>
            </w:pPr>
          </w:p>
        </w:tc>
        <w:tc>
          <w:tcPr>
            <w:tcW w:w="1222" w:type="dxa"/>
            <w:tcBorders>
              <w:right w:val="single" w:color="000000" w:sz="6" w:space="0"/>
            </w:tcBorders>
            <w:vAlign w:val="top"/>
          </w:tcPr>
          <w:p w14:paraId="4AB4B792">
            <w:pPr>
              <w:spacing w:line="229" w:lineRule="exact"/>
              <w:rPr>
                <w:rFonts w:ascii="Arial"/>
                <w:sz w:val="19"/>
              </w:rPr>
            </w:pPr>
          </w:p>
        </w:tc>
      </w:tr>
      <w:tr w14:paraId="05B40B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737" w:type="dxa"/>
            <w:vMerge w:val="continue"/>
            <w:tcBorders>
              <w:top w:val="nil"/>
              <w:left w:val="single" w:color="000000" w:sz="6" w:space="0"/>
              <w:bottom w:val="nil"/>
            </w:tcBorders>
            <w:vAlign w:val="top"/>
          </w:tcPr>
          <w:p w14:paraId="743854E4">
            <w:pPr>
              <w:rPr>
                <w:rFonts w:ascii="Arial"/>
                <w:sz w:val="21"/>
              </w:rPr>
            </w:pPr>
          </w:p>
        </w:tc>
        <w:tc>
          <w:tcPr>
            <w:tcW w:w="1526" w:type="dxa"/>
            <w:vAlign w:val="top"/>
          </w:tcPr>
          <w:p w14:paraId="10D75522">
            <w:pPr>
              <w:pStyle w:val="6"/>
              <w:spacing w:before="37"/>
              <w:ind w:left="376"/>
              <w:rPr>
                <w:rFonts w:ascii="仿宋" w:hAnsi="仿宋" w:eastAsia="仿宋" w:cs="仿宋"/>
              </w:rPr>
            </w:pPr>
            <w:r>
              <w:rPr>
                <w:spacing w:val="9"/>
              </w:rPr>
              <w:t>K0+000</w:t>
            </w:r>
            <w:r>
              <w:rPr>
                <w:rFonts w:ascii="仿宋" w:hAnsi="仿宋" w:eastAsia="仿宋" w:cs="仿宋"/>
                <w:spacing w:val="9"/>
              </w:rPr>
              <w:t>~</w:t>
            </w:r>
          </w:p>
          <w:p w14:paraId="1C236CE8">
            <w:pPr>
              <w:pStyle w:val="6"/>
              <w:spacing w:before="14" w:line="171" w:lineRule="auto"/>
              <w:ind w:left="465"/>
            </w:pPr>
            <w:r>
              <w:rPr>
                <w:spacing w:val="-1"/>
              </w:rPr>
              <w:t>K0+534</w:t>
            </w:r>
          </w:p>
        </w:tc>
        <w:tc>
          <w:tcPr>
            <w:tcW w:w="741" w:type="dxa"/>
            <w:vAlign w:val="top"/>
          </w:tcPr>
          <w:p w14:paraId="06B7EB8E">
            <w:pPr>
              <w:pStyle w:val="6"/>
              <w:spacing w:before="68" w:line="188" w:lineRule="auto"/>
              <w:ind w:left="125"/>
            </w:pPr>
            <w:r>
              <w:rPr>
                <w:spacing w:val="-2"/>
              </w:rPr>
              <w:t>534.00</w:t>
            </w:r>
          </w:p>
          <w:p w14:paraId="5FFC0B8C">
            <w:pPr>
              <w:pStyle w:val="6"/>
              <w:spacing w:before="41" w:line="187" w:lineRule="auto"/>
              <w:ind w:left="327"/>
            </w:pPr>
            <w:r>
              <w:t>0</w:t>
            </w:r>
          </w:p>
        </w:tc>
        <w:tc>
          <w:tcPr>
            <w:tcW w:w="636" w:type="dxa"/>
            <w:vAlign w:val="top"/>
          </w:tcPr>
          <w:p w14:paraId="2CFA2CCC">
            <w:pPr>
              <w:pStyle w:val="6"/>
              <w:spacing w:before="169" w:line="188" w:lineRule="auto"/>
              <w:ind w:left="155"/>
            </w:pPr>
            <w:r>
              <w:rPr>
                <w:spacing w:val="-5"/>
              </w:rPr>
              <w:t>1176</w:t>
            </w:r>
          </w:p>
        </w:tc>
        <w:tc>
          <w:tcPr>
            <w:tcW w:w="636" w:type="dxa"/>
            <w:vAlign w:val="top"/>
          </w:tcPr>
          <w:p w14:paraId="136B2FCC">
            <w:pPr>
              <w:pStyle w:val="6"/>
              <w:spacing w:before="169" w:line="188" w:lineRule="auto"/>
              <w:ind w:left="155"/>
            </w:pPr>
            <w:r>
              <w:rPr>
                <w:spacing w:val="-5"/>
              </w:rPr>
              <w:t>1176</w:t>
            </w:r>
          </w:p>
        </w:tc>
        <w:tc>
          <w:tcPr>
            <w:tcW w:w="636" w:type="dxa"/>
            <w:vAlign w:val="top"/>
          </w:tcPr>
          <w:p w14:paraId="1BD970DE">
            <w:pPr>
              <w:pStyle w:val="6"/>
              <w:spacing w:before="169" w:line="188" w:lineRule="auto"/>
              <w:ind w:left="157"/>
            </w:pPr>
            <w:r>
              <w:rPr>
                <w:spacing w:val="-5"/>
              </w:rPr>
              <w:t>1064</w:t>
            </w:r>
          </w:p>
        </w:tc>
        <w:tc>
          <w:tcPr>
            <w:tcW w:w="566" w:type="dxa"/>
            <w:vAlign w:val="top"/>
          </w:tcPr>
          <w:p w14:paraId="307BF0F6">
            <w:pPr>
              <w:pStyle w:val="6"/>
              <w:spacing w:before="68" w:line="188" w:lineRule="auto"/>
              <w:ind w:left="167"/>
            </w:pPr>
            <w:r>
              <w:rPr>
                <w:spacing w:val="-7"/>
              </w:rPr>
              <w:t>106</w:t>
            </w:r>
          </w:p>
          <w:p w14:paraId="341DD35B">
            <w:pPr>
              <w:pStyle w:val="6"/>
              <w:spacing w:before="41" w:line="187" w:lineRule="auto"/>
              <w:ind w:left="240"/>
            </w:pPr>
            <w:r>
              <w:t>4</w:t>
            </w:r>
          </w:p>
        </w:tc>
        <w:tc>
          <w:tcPr>
            <w:tcW w:w="776" w:type="dxa"/>
            <w:vAlign w:val="top"/>
          </w:tcPr>
          <w:p w14:paraId="34FB02DD">
            <w:pPr>
              <w:pStyle w:val="6"/>
              <w:spacing w:before="169" w:line="188" w:lineRule="auto"/>
              <w:ind w:left="273"/>
            </w:pPr>
            <w:r>
              <w:rPr>
                <w:spacing w:val="-7"/>
              </w:rPr>
              <w:t>136</w:t>
            </w:r>
          </w:p>
        </w:tc>
        <w:tc>
          <w:tcPr>
            <w:tcW w:w="901" w:type="dxa"/>
            <w:vAlign w:val="top"/>
          </w:tcPr>
          <w:p w14:paraId="7C0742F3">
            <w:pPr>
              <w:pStyle w:val="6"/>
              <w:spacing w:before="169" w:line="188" w:lineRule="auto"/>
              <w:ind w:left="323"/>
            </w:pPr>
            <w:r>
              <w:rPr>
                <w:spacing w:val="-3"/>
              </w:rPr>
              <w:t>928</w:t>
            </w:r>
          </w:p>
        </w:tc>
        <w:tc>
          <w:tcPr>
            <w:tcW w:w="1222" w:type="dxa"/>
            <w:tcBorders>
              <w:right w:val="single" w:color="000000" w:sz="6" w:space="0"/>
            </w:tcBorders>
            <w:vAlign w:val="top"/>
          </w:tcPr>
          <w:p w14:paraId="1A8E5CEF">
            <w:pPr>
              <w:pStyle w:val="6"/>
              <w:spacing w:before="140" w:line="224" w:lineRule="auto"/>
              <w:ind w:left="185"/>
            </w:pPr>
            <w:r>
              <w:rPr>
                <w:rFonts w:ascii="仿宋" w:hAnsi="仿宋" w:eastAsia="仿宋" w:cs="仿宋"/>
                <w:spacing w:val="-5"/>
              </w:rPr>
              <w:t>调出</w:t>
            </w:r>
            <w:r>
              <w:rPr>
                <w:rFonts w:ascii="仿宋" w:hAnsi="仿宋" w:eastAsia="仿宋" w:cs="仿宋"/>
                <w:spacing w:val="-22"/>
              </w:rPr>
              <w:t xml:space="preserve"> </w:t>
            </w:r>
            <w:r>
              <w:rPr>
                <w:spacing w:val="-5"/>
              </w:rPr>
              <w:t>112m³</w:t>
            </w:r>
          </w:p>
        </w:tc>
      </w:tr>
      <w:tr w14:paraId="536986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5370BD41">
            <w:pPr>
              <w:rPr>
                <w:rFonts w:ascii="Arial"/>
                <w:sz w:val="21"/>
              </w:rPr>
            </w:pPr>
          </w:p>
        </w:tc>
        <w:tc>
          <w:tcPr>
            <w:tcW w:w="1526" w:type="dxa"/>
            <w:vAlign w:val="top"/>
          </w:tcPr>
          <w:p w14:paraId="3FCEEA3E">
            <w:pPr>
              <w:spacing w:before="39" w:line="193" w:lineRule="auto"/>
              <w:ind w:left="413"/>
              <w:rPr>
                <w:rFonts w:ascii="仿宋" w:hAnsi="仿宋" w:eastAsia="仿宋" w:cs="仿宋"/>
                <w:sz w:val="18"/>
                <w:szCs w:val="18"/>
              </w:rPr>
            </w:pPr>
            <w:r>
              <w:rPr>
                <w:rFonts w:ascii="仿宋" w:hAnsi="仿宋" w:eastAsia="仿宋" w:cs="仿宋"/>
                <w:spacing w:val="-4"/>
                <w:sz w:val="18"/>
                <w:szCs w:val="18"/>
              </w:rPr>
              <w:t>清表亏方</w:t>
            </w:r>
          </w:p>
        </w:tc>
        <w:tc>
          <w:tcPr>
            <w:tcW w:w="741" w:type="dxa"/>
            <w:vAlign w:val="top"/>
          </w:tcPr>
          <w:p w14:paraId="715B0E1B">
            <w:pPr>
              <w:spacing w:line="227" w:lineRule="exact"/>
              <w:rPr>
                <w:rFonts w:ascii="Arial"/>
                <w:sz w:val="19"/>
              </w:rPr>
            </w:pPr>
          </w:p>
        </w:tc>
        <w:tc>
          <w:tcPr>
            <w:tcW w:w="636" w:type="dxa"/>
            <w:vAlign w:val="top"/>
          </w:tcPr>
          <w:p w14:paraId="3FE30326">
            <w:pPr>
              <w:spacing w:line="227" w:lineRule="exact"/>
              <w:rPr>
                <w:rFonts w:ascii="Arial"/>
                <w:sz w:val="19"/>
              </w:rPr>
            </w:pPr>
          </w:p>
        </w:tc>
        <w:tc>
          <w:tcPr>
            <w:tcW w:w="636" w:type="dxa"/>
            <w:vAlign w:val="top"/>
          </w:tcPr>
          <w:p w14:paraId="1F386A3F">
            <w:pPr>
              <w:spacing w:line="227" w:lineRule="exact"/>
              <w:rPr>
                <w:rFonts w:ascii="Arial"/>
                <w:sz w:val="19"/>
              </w:rPr>
            </w:pPr>
          </w:p>
        </w:tc>
        <w:tc>
          <w:tcPr>
            <w:tcW w:w="636" w:type="dxa"/>
            <w:vAlign w:val="top"/>
          </w:tcPr>
          <w:p w14:paraId="6A6F6348">
            <w:pPr>
              <w:pStyle w:val="6"/>
              <w:spacing w:before="68" w:line="185" w:lineRule="auto"/>
              <w:ind w:left="233"/>
            </w:pPr>
            <w:r>
              <w:rPr>
                <w:spacing w:val="-4"/>
              </w:rPr>
              <w:t>67</w:t>
            </w:r>
          </w:p>
        </w:tc>
        <w:tc>
          <w:tcPr>
            <w:tcW w:w="566" w:type="dxa"/>
            <w:vAlign w:val="top"/>
          </w:tcPr>
          <w:p w14:paraId="37206148">
            <w:pPr>
              <w:pStyle w:val="6"/>
              <w:spacing w:before="68" w:line="185" w:lineRule="auto"/>
              <w:ind w:left="199"/>
            </w:pPr>
            <w:r>
              <w:rPr>
                <w:spacing w:val="-4"/>
              </w:rPr>
              <w:t>67</w:t>
            </w:r>
          </w:p>
        </w:tc>
        <w:tc>
          <w:tcPr>
            <w:tcW w:w="776" w:type="dxa"/>
            <w:vAlign w:val="top"/>
          </w:tcPr>
          <w:p w14:paraId="5FE9CD16">
            <w:pPr>
              <w:spacing w:line="227" w:lineRule="exact"/>
              <w:rPr>
                <w:rFonts w:ascii="Arial"/>
                <w:sz w:val="19"/>
              </w:rPr>
            </w:pPr>
          </w:p>
        </w:tc>
        <w:tc>
          <w:tcPr>
            <w:tcW w:w="901" w:type="dxa"/>
            <w:vAlign w:val="top"/>
          </w:tcPr>
          <w:p w14:paraId="5A41632A">
            <w:pPr>
              <w:spacing w:line="227" w:lineRule="exact"/>
              <w:rPr>
                <w:rFonts w:ascii="Arial"/>
                <w:sz w:val="19"/>
              </w:rPr>
            </w:pPr>
          </w:p>
        </w:tc>
        <w:tc>
          <w:tcPr>
            <w:tcW w:w="1222" w:type="dxa"/>
            <w:tcBorders>
              <w:right w:val="single" w:color="000000" w:sz="6" w:space="0"/>
            </w:tcBorders>
            <w:vAlign w:val="top"/>
          </w:tcPr>
          <w:p w14:paraId="72F692E3">
            <w:pPr>
              <w:pStyle w:val="6"/>
              <w:spacing w:before="39" w:line="193" w:lineRule="auto"/>
              <w:ind w:left="231"/>
            </w:pPr>
            <w:r>
              <w:rPr>
                <w:rFonts w:ascii="仿宋" w:hAnsi="仿宋" w:eastAsia="仿宋" w:cs="仿宋"/>
                <w:spacing w:val="-4"/>
              </w:rPr>
              <w:t>调入</w:t>
            </w:r>
            <w:r>
              <w:rPr>
                <w:rFonts w:ascii="仿宋" w:hAnsi="仿宋" w:eastAsia="仿宋" w:cs="仿宋"/>
                <w:spacing w:val="-35"/>
              </w:rPr>
              <w:t xml:space="preserve"> </w:t>
            </w:r>
            <w:r>
              <w:rPr>
                <w:spacing w:val="-4"/>
              </w:rPr>
              <w:t>67m³</w:t>
            </w:r>
          </w:p>
        </w:tc>
      </w:tr>
      <w:tr w14:paraId="5894C3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057EF4EC">
            <w:pPr>
              <w:rPr>
                <w:rFonts w:ascii="Arial"/>
                <w:sz w:val="21"/>
              </w:rPr>
            </w:pPr>
          </w:p>
        </w:tc>
        <w:tc>
          <w:tcPr>
            <w:tcW w:w="2267" w:type="dxa"/>
            <w:gridSpan w:val="2"/>
            <w:vAlign w:val="top"/>
          </w:tcPr>
          <w:p w14:paraId="05804AE7">
            <w:pPr>
              <w:spacing w:before="38" w:line="195" w:lineRule="auto"/>
              <w:ind w:left="240"/>
              <w:rPr>
                <w:rFonts w:ascii="仿宋" w:hAnsi="仿宋" w:eastAsia="仿宋" w:cs="仿宋"/>
                <w:sz w:val="18"/>
                <w:szCs w:val="18"/>
              </w:rPr>
            </w:pPr>
            <w:r>
              <w:rPr>
                <w:rFonts w:ascii="仿宋" w:hAnsi="仿宋" w:eastAsia="仿宋" w:cs="仿宋"/>
                <w:spacing w:val="-2"/>
                <w:sz w:val="18"/>
                <w:szCs w:val="18"/>
              </w:rPr>
              <w:t>双山梁村通社公路工程</w:t>
            </w:r>
          </w:p>
        </w:tc>
        <w:tc>
          <w:tcPr>
            <w:tcW w:w="636" w:type="dxa"/>
            <w:vAlign w:val="top"/>
          </w:tcPr>
          <w:p w14:paraId="2B8CE3DE">
            <w:pPr>
              <w:spacing w:line="229" w:lineRule="exact"/>
              <w:rPr>
                <w:rFonts w:ascii="Arial"/>
                <w:sz w:val="19"/>
              </w:rPr>
            </w:pPr>
          </w:p>
        </w:tc>
        <w:tc>
          <w:tcPr>
            <w:tcW w:w="636" w:type="dxa"/>
            <w:vAlign w:val="top"/>
          </w:tcPr>
          <w:p w14:paraId="20921398">
            <w:pPr>
              <w:spacing w:line="229" w:lineRule="exact"/>
              <w:rPr>
                <w:rFonts w:ascii="Arial"/>
                <w:sz w:val="19"/>
              </w:rPr>
            </w:pPr>
          </w:p>
        </w:tc>
        <w:tc>
          <w:tcPr>
            <w:tcW w:w="636" w:type="dxa"/>
            <w:vAlign w:val="top"/>
          </w:tcPr>
          <w:p w14:paraId="0CCA19E1">
            <w:pPr>
              <w:spacing w:line="229" w:lineRule="exact"/>
              <w:rPr>
                <w:rFonts w:ascii="Arial"/>
                <w:sz w:val="19"/>
              </w:rPr>
            </w:pPr>
          </w:p>
        </w:tc>
        <w:tc>
          <w:tcPr>
            <w:tcW w:w="566" w:type="dxa"/>
            <w:vAlign w:val="top"/>
          </w:tcPr>
          <w:p w14:paraId="60FA8422">
            <w:pPr>
              <w:spacing w:line="229" w:lineRule="exact"/>
              <w:rPr>
                <w:rFonts w:ascii="Arial"/>
                <w:sz w:val="19"/>
              </w:rPr>
            </w:pPr>
          </w:p>
        </w:tc>
        <w:tc>
          <w:tcPr>
            <w:tcW w:w="776" w:type="dxa"/>
            <w:vAlign w:val="top"/>
          </w:tcPr>
          <w:p w14:paraId="63456701">
            <w:pPr>
              <w:spacing w:line="229" w:lineRule="exact"/>
              <w:rPr>
                <w:rFonts w:ascii="Arial"/>
                <w:sz w:val="19"/>
              </w:rPr>
            </w:pPr>
          </w:p>
        </w:tc>
        <w:tc>
          <w:tcPr>
            <w:tcW w:w="901" w:type="dxa"/>
            <w:vAlign w:val="top"/>
          </w:tcPr>
          <w:p w14:paraId="200D5409">
            <w:pPr>
              <w:spacing w:line="229" w:lineRule="exact"/>
              <w:rPr>
                <w:rFonts w:ascii="Arial"/>
                <w:sz w:val="19"/>
              </w:rPr>
            </w:pPr>
          </w:p>
        </w:tc>
        <w:tc>
          <w:tcPr>
            <w:tcW w:w="1222" w:type="dxa"/>
            <w:tcBorders>
              <w:right w:val="single" w:color="000000" w:sz="6" w:space="0"/>
            </w:tcBorders>
            <w:vAlign w:val="top"/>
          </w:tcPr>
          <w:p w14:paraId="78224077">
            <w:pPr>
              <w:spacing w:line="229" w:lineRule="exact"/>
              <w:rPr>
                <w:rFonts w:ascii="Arial"/>
                <w:sz w:val="19"/>
              </w:rPr>
            </w:pPr>
          </w:p>
        </w:tc>
      </w:tr>
      <w:tr w14:paraId="2357AA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737" w:type="dxa"/>
            <w:vMerge w:val="continue"/>
            <w:tcBorders>
              <w:top w:val="nil"/>
              <w:left w:val="single" w:color="000000" w:sz="6" w:space="0"/>
              <w:bottom w:val="nil"/>
            </w:tcBorders>
            <w:vAlign w:val="top"/>
          </w:tcPr>
          <w:p w14:paraId="01083993">
            <w:pPr>
              <w:rPr>
                <w:rFonts w:ascii="Arial"/>
                <w:sz w:val="21"/>
              </w:rPr>
            </w:pPr>
          </w:p>
        </w:tc>
        <w:tc>
          <w:tcPr>
            <w:tcW w:w="1526" w:type="dxa"/>
            <w:vAlign w:val="top"/>
          </w:tcPr>
          <w:p w14:paraId="171D647E">
            <w:pPr>
              <w:pStyle w:val="6"/>
              <w:spacing w:before="37"/>
              <w:ind w:left="376"/>
              <w:rPr>
                <w:rFonts w:ascii="仿宋" w:hAnsi="仿宋" w:eastAsia="仿宋" w:cs="仿宋"/>
              </w:rPr>
            </w:pPr>
            <w:r>
              <w:rPr>
                <w:spacing w:val="9"/>
              </w:rPr>
              <w:t>K0+000</w:t>
            </w:r>
            <w:r>
              <w:rPr>
                <w:rFonts w:ascii="仿宋" w:hAnsi="仿宋" w:eastAsia="仿宋" w:cs="仿宋"/>
                <w:spacing w:val="9"/>
              </w:rPr>
              <w:t>~</w:t>
            </w:r>
          </w:p>
          <w:p w14:paraId="50829CA9">
            <w:pPr>
              <w:pStyle w:val="6"/>
              <w:spacing w:before="17" w:line="168" w:lineRule="auto"/>
              <w:ind w:left="306"/>
            </w:pPr>
            <w:r>
              <w:rPr>
                <w:spacing w:val="-1"/>
              </w:rPr>
              <w:t>K0+337.869</w:t>
            </w:r>
          </w:p>
        </w:tc>
        <w:tc>
          <w:tcPr>
            <w:tcW w:w="741" w:type="dxa"/>
            <w:vAlign w:val="top"/>
          </w:tcPr>
          <w:p w14:paraId="41003086">
            <w:pPr>
              <w:pStyle w:val="6"/>
              <w:spacing w:before="68" w:line="188" w:lineRule="auto"/>
              <w:ind w:left="124"/>
            </w:pPr>
            <w:r>
              <w:rPr>
                <w:spacing w:val="-1"/>
              </w:rPr>
              <w:t>337.86</w:t>
            </w:r>
          </w:p>
          <w:p w14:paraId="6E28856D">
            <w:pPr>
              <w:pStyle w:val="6"/>
              <w:spacing w:before="44" w:line="184" w:lineRule="auto"/>
              <w:ind w:left="327"/>
            </w:pPr>
            <w:r>
              <w:t>9</w:t>
            </w:r>
          </w:p>
        </w:tc>
        <w:tc>
          <w:tcPr>
            <w:tcW w:w="636" w:type="dxa"/>
            <w:vAlign w:val="top"/>
          </w:tcPr>
          <w:p w14:paraId="5B961218">
            <w:pPr>
              <w:pStyle w:val="6"/>
              <w:spacing w:before="171" w:line="188" w:lineRule="auto"/>
              <w:ind w:left="226"/>
            </w:pPr>
            <w:r>
              <w:rPr>
                <w:spacing w:val="-2"/>
              </w:rPr>
              <w:t>29</w:t>
            </w:r>
          </w:p>
        </w:tc>
        <w:tc>
          <w:tcPr>
            <w:tcW w:w="636" w:type="dxa"/>
            <w:vAlign w:val="top"/>
          </w:tcPr>
          <w:p w14:paraId="730C2B8A">
            <w:pPr>
              <w:pStyle w:val="6"/>
              <w:spacing w:before="171" w:line="188" w:lineRule="auto"/>
              <w:ind w:left="229"/>
            </w:pPr>
            <w:r>
              <w:rPr>
                <w:spacing w:val="-2"/>
              </w:rPr>
              <w:t>29</w:t>
            </w:r>
          </w:p>
        </w:tc>
        <w:tc>
          <w:tcPr>
            <w:tcW w:w="636" w:type="dxa"/>
            <w:vAlign w:val="top"/>
          </w:tcPr>
          <w:p w14:paraId="49331657">
            <w:pPr>
              <w:pStyle w:val="6"/>
              <w:spacing w:before="171" w:line="188" w:lineRule="auto"/>
              <w:ind w:left="187"/>
            </w:pPr>
            <w:r>
              <w:rPr>
                <w:spacing w:val="-3"/>
              </w:rPr>
              <w:t>329</w:t>
            </w:r>
          </w:p>
        </w:tc>
        <w:tc>
          <w:tcPr>
            <w:tcW w:w="566" w:type="dxa"/>
            <w:vAlign w:val="top"/>
          </w:tcPr>
          <w:p w14:paraId="5E2AD051">
            <w:pPr>
              <w:pStyle w:val="6"/>
              <w:spacing w:before="171" w:line="188" w:lineRule="auto"/>
              <w:ind w:left="153"/>
            </w:pPr>
            <w:r>
              <w:rPr>
                <w:spacing w:val="-3"/>
              </w:rPr>
              <w:t>329</w:t>
            </w:r>
          </w:p>
        </w:tc>
        <w:tc>
          <w:tcPr>
            <w:tcW w:w="776" w:type="dxa"/>
            <w:vAlign w:val="top"/>
          </w:tcPr>
          <w:p w14:paraId="438C67A0">
            <w:pPr>
              <w:pStyle w:val="6"/>
              <w:spacing w:before="171" w:line="188" w:lineRule="auto"/>
              <w:ind w:left="273"/>
            </w:pPr>
            <w:r>
              <w:rPr>
                <w:spacing w:val="-7"/>
              </w:rPr>
              <w:t>110</w:t>
            </w:r>
          </w:p>
        </w:tc>
        <w:tc>
          <w:tcPr>
            <w:tcW w:w="901" w:type="dxa"/>
            <w:vAlign w:val="top"/>
          </w:tcPr>
          <w:p w14:paraId="6BFF941F">
            <w:pPr>
              <w:pStyle w:val="6"/>
              <w:spacing w:before="171" w:line="188" w:lineRule="auto"/>
              <w:ind w:left="319"/>
            </w:pPr>
            <w:r>
              <w:rPr>
                <w:spacing w:val="-1"/>
              </w:rPr>
              <w:t>219</w:t>
            </w:r>
          </w:p>
        </w:tc>
        <w:tc>
          <w:tcPr>
            <w:tcW w:w="1222" w:type="dxa"/>
            <w:tcBorders>
              <w:right w:val="single" w:color="000000" w:sz="6" w:space="0"/>
            </w:tcBorders>
            <w:vAlign w:val="top"/>
          </w:tcPr>
          <w:p w14:paraId="78952F43">
            <w:pPr>
              <w:pStyle w:val="6"/>
              <w:spacing w:before="140" w:line="224" w:lineRule="auto"/>
              <w:ind w:left="185"/>
            </w:pPr>
            <w:r>
              <w:rPr>
                <w:rFonts w:ascii="仿宋" w:hAnsi="仿宋" w:eastAsia="仿宋" w:cs="仿宋"/>
                <w:spacing w:val="-3"/>
              </w:rPr>
              <w:t>调入</w:t>
            </w:r>
            <w:r>
              <w:rPr>
                <w:rFonts w:ascii="仿宋" w:hAnsi="仿宋" w:eastAsia="仿宋" w:cs="仿宋"/>
                <w:spacing w:val="-36"/>
              </w:rPr>
              <w:t xml:space="preserve"> </w:t>
            </w:r>
            <w:r>
              <w:rPr>
                <w:spacing w:val="-3"/>
              </w:rPr>
              <w:t>300m³</w:t>
            </w:r>
          </w:p>
        </w:tc>
      </w:tr>
      <w:tr w14:paraId="05FE08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737" w:type="dxa"/>
            <w:vMerge w:val="continue"/>
            <w:tcBorders>
              <w:top w:val="nil"/>
              <w:left w:val="single" w:color="000000" w:sz="6" w:space="0"/>
              <w:bottom w:val="nil"/>
            </w:tcBorders>
            <w:vAlign w:val="top"/>
          </w:tcPr>
          <w:p w14:paraId="7381290D">
            <w:pPr>
              <w:rPr>
                <w:rFonts w:ascii="Arial"/>
                <w:sz w:val="21"/>
              </w:rPr>
            </w:pPr>
          </w:p>
        </w:tc>
        <w:tc>
          <w:tcPr>
            <w:tcW w:w="2267" w:type="dxa"/>
            <w:gridSpan w:val="2"/>
            <w:vAlign w:val="top"/>
          </w:tcPr>
          <w:p w14:paraId="1D9A31FD">
            <w:pPr>
              <w:spacing w:before="128" w:line="222" w:lineRule="auto"/>
              <w:ind w:left="961"/>
              <w:rPr>
                <w:rFonts w:ascii="仿宋" w:hAnsi="仿宋" w:eastAsia="仿宋" w:cs="仿宋"/>
                <w:sz w:val="18"/>
                <w:szCs w:val="18"/>
              </w:rPr>
            </w:pPr>
            <w:r>
              <w:rPr>
                <w:rFonts w:ascii="仿宋" w:hAnsi="仿宋" w:eastAsia="仿宋" w:cs="仿宋"/>
                <w:spacing w:val="-6"/>
                <w:sz w:val="18"/>
                <w:szCs w:val="18"/>
              </w:rPr>
              <w:t>小计</w:t>
            </w:r>
          </w:p>
        </w:tc>
        <w:tc>
          <w:tcPr>
            <w:tcW w:w="636" w:type="dxa"/>
            <w:vAlign w:val="top"/>
          </w:tcPr>
          <w:p w14:paraId="7CA82413">
            <w:pPr>
              <w:pStyle w:val="6"/>
              <w:spacing w:before="159" w:line="188" w:lineRule="auto"/>
              <w:ind w:left="141"/>
            </w:pPr>
            <w:r>
              <w:rPr>
                <w:spacing w:val="-2"/>
              </w:rPr>
              <w:t>3103</w:t>
            </w:r>
          </w:p>
        </w:tc>
        <w:tc>
          <w:tcPr>
            <w:tcW w:w="636" w:type="dxa"/>
            <w:vAlign w:val="top"/>
          </w:tcPr>
          <w:p w14:paraId="0A2E820D">
            <w:pPr>
              <w:pStyle w:val="6"/>
              <w:spacing w:before="159" w:line="188" w:lineRule="auto"/>
              <w:ind w:left="141"/>
            </w:pPr>
            <w:r>
              <w:rPr>
                <w:spacing w:val="-2"/>
              </w:rPr>
              <w:t>3103</w:t>
            </w:r>
          </w:p>
        </w:tc>
        <w:tc>
          <w:tcPr>
            <w:tcW w:w="636" w:type="dxa"/>
            <w:vAlign w:val="top"/>
          </w:tcPr>
          <w:p w14:paraId="09D75060">
            <w:pPr>
              <w:pStyle w:val="6"/>
              <w:spacing w:before="159" w:line="188" w:lineRule="auto"/>
              <w:ind w:left="143"/>
            </w:pPr>
            <w:r>
              <w:rPr>
                <w:spacing w:val="-2"/>
              </w:rPr>
              <w:t>3103</w:t>
            </w:r>
          </w:p>
        </w:tc>
        <w:tc>
          <w:tcPr>
            <w:tcW w:w="566" w:type="dxa"/>
            <w:vAlign w:val="top"/>
          </w:tcPr>
          <w:p w14:paraId="20AF90FA">
            <w:pPr>
              <w:pStyle w:val="6"/>
              <w:spacing w:before="56" w:line="188" w:lineRule="auto"/>
              <w:ind w:left="153"/>
            </w:pPr>
            <w:r>
              <w:rPr>
                <w:spacing w:val="-3"/>
              </w:rPr>
              <w:t>310</w:t>
            </w:r>
          </w:p>
          <w:p w14:paraId="616BD3CD">
            <w:pPr>
              <w:pStyle w:val="6"/>
              <w:spacing w:before="43" w:line="170" w:lineRule="auto"/>
              <w:ind w:left="244"/>
            </w:pPr>
            <w:r>
              <w:t>3</w:t>
            </w:r>
          </w:p>
        </w:tc>
        <w:tc>
          <w:tcPr>
            <w:tcW w:w="776" w:type="dxa"/>
            <w:vAlign w:val="top"/>
          </w:tcPr>
          <w:p w14:paraId="2529EE30">
            <w:pPr>
              <w:pStyle w:val="6"/>
              <w:spacing w:before="159" w:line="188" w:lineRule="auto"/>
              <w:ind w:left="259"/>
            </w:pPr>
            <w:r>
              <w:rPr>
                <w:spacing w:val="-3"/>
              </w:rPr>
              <w:t>625</w:t>
            </w:r>
          </w:p>
        </w:tc>
        <w:tc>
          <w:tcPr>
            <w:tcW w:w="901" w:type="dxa"/>
            <w:vAlign w:val="top"/>
          </w:tcPr>
          <w:p w14:paraId="3456AEE5">
            <w:pPr>
              <w:pStyle w:val="6"/>
              <w:spacing w:before="159" w:line="188" w:lineRule="auto"/>
              <w:ind w:left="274"/>
            </w:pPr>
            <w:r>
              <w:rPr>
                <w:spacing w:val="-1"/>
              </w:rPr>
              <w:t>2042</w:t>
            </w:r>
          </w:p>
        </w:tc>
        <w:tc>
          <w:tcPr>
            <w:tcW w:w="1222" w:type="dxa"/>
            <w:tcBorders>
              <w:right w:val="single" w:color="000000" w:sz="6" w:space="0"/>
            </w:tcBorders>
            <w:vAlign w:val="top"/>
          </w:tcPr>
          <w:p w14:paraId="283C4FA7">
            <w:pPr>
              <w:rPr>
                <w:rFonts w:ascii="Arial"/>
                <w:sz w:val="21"/>
              </w:rPr>
            </w:pPr>
          </w:p>
        </w:tc>
      </w:tr>
      <w:tr w14:paraId="19F155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079DCF60">
            <w:pPr>
              <w:rPr>
                <w:rFonts w:ascii="Arial"/>
                <w:sz w:val="21"/>
              </w:rPr>
            </w:pPr>
          </w:p>
        </w:tc>
        <w:tc>
          <w:tcPr>
            <w:tcW w:w="7640" w:type="dxa"/>
            <w:gridSpan w:val="9"/>
            <w:tcBorders>
              <w:right w:val="single" w:color="000000" w:sz="6" w:space="0"/>
            </w:tcBorders>
            <w:vAlign w:val="top"/>
          </w:tcPr>
          <w:p w14:paraId="08FC960A">
            <w:pPr>
              <w:pStyle w:val="6"/>
              <w:spacing w:before="40" w:line="193" w:lineRule="auto"/>
              <w:ind w:left="1623"/>
              <w:rPr>
                <w:rFonts w:ascii="仿宋" w:hAnsi="仿宋" w:eastAsia="仿宋" w:cs="仿宋"/>
              </w:rPr>
            </w:pPr>
            <w:r>
              <w:rPr>
                <w:rFonts w:ascii="仿宋" w:hAnsi="仿宋" w:eastAsia="仿宋" w:cs="仿宋"/>
                <w:spacing w:val="-2"/>
              </w:rPr>
              <w:t>准格尔旗</w:t>
            </w:r>
            <w:r>
              <w:rPr>
                <w:rFonts w:ascii="仿宋" w:hAnsi="仿宋" w:eastAsia="仿宋" w:cs="仿宋"/>
                <w:spacing w:val="-25"/>
              </w:rPr>
              <w:t xml:space="preserve"> </w:t>
            </w:r>
            <w:r>
              <w:rPr>
                <w:spacing w:val="-2"/>
              </w:rPr>
              <w:t>2025</w:t>
            </w:r>
            <w:r>
              <w:rPr>
                <w:spacing w:val="15"/>
                <w:w w:val="101"/>
              </w:rPr>
              <w:t xml:space="preserve"> </w:t>
            </w:r>
            <w:r>
              <w:rPr>
                <w:rFonts w:ascii="仿宋" w:hAnsi="仿宋" w:eastAsia="仿宋" w:cs="仿宋"/>
                <w:spacing w:val="-2"/>
              </w:rPr>
              <w:t>年沙圪堵镇四道包村自然村通硬化路工程</w:t>
            </w:r>
          </w:p>
        </w:tc>
      </w:tr>
      <w:tr w14:paraId="548EE7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737" w:type="dxa"/>
            <w:vMerge w:val="continue"/>
            <w:tcBorders>
              <w:top w:val="nil"/>
              <w:left w:val="single" w:color="000000" w:sz="6" w:space="0"/>
              <w:bottom w:val="nil"/>
            </w:tcBorders>
            <w:vAlign w:val="top"/>
          </w:tcPr>
          <w:p w14:paraId="1C9FAC27">
            <w:pPr>
              <w:rPr>
                <w:rFonts w:ascii="Arial"/>
                <w:sz w:val="21"/>
              </w:rPr>
            </w:pPr>
          </w:p>
        </w:tc>
        <w:tc>
          <w:tcPr>
            <w:tcW w:w="1526" w:type="dxa"/>
            <w:vAlign w:val="top"/>
          </w:tcPr>
          <w:p w14:paraId="5E952B3C">
            <w:pPr>
              <w:pStyle w:val="6"/>
              <w:spacing w:before="39"/>
              <w:ind w:left="376"/>
              <w:rPr>
                <w:rFonts w:ascii="仿宋" w:hAnsi="仿宋" w:eastAsia="仿宋" w:cs="仿宋"/>
              </w:rPr>
            </w:pPr>
            <w:r>
              <w:rPr>
                <w:spacing w:val="9"/>
              </w:rPr>
              <w:t>K0+000</w:t>
            </w:r>
            <w:r>
              <w:rPr>
                <w:rFonts w:ascii="仿宋" w:hAnsi="仿宋" w:eastAsia="仿宋" w:cs="仿宋"/>
                <w:spacing w:val="9"/>
              </w:rPr>
              <w:t>~</w:t>
            </w:r>
          </w:p>
          <w:p w14:paraId="6F268110">
            <w:pPr>
              <w:pStyle w:val="6"/>
              <w:spacing w:before="15" w:line="170" w:lineRule="auto"/>
              <w:ind w:left="465"/>
            </w:pPr>
            <w:r>
              <w:rPr>
                <w:spacing w:val="-1"/>
              </w:rPr>
              <w:t>K1+000</w:t>
            </w:r>
          </w:p>
        </w:tc>
        <w:tc>
          <w:tcPr>
            <w:tcW w:w="741" w:type="dxa"/>
            <w:vAlign w:val="top"/>
          </w:tcPr>
          <w:p w14:paraId="2E8CF5EA">
            <w:pPr>
              <w:pStyle w:val="6"/>
              <w:spacing w:before="70" w:line="188" w:lineRule="auto"/>
              <w:ind w:left="137"/>
            </w:pPr>
            <w:r>
              <w:rPr>
                <w:spacing w:val="-4"/>
              </w:rPr>
              <w:t>1000.0</w:t>
            </w:r>
          </w:p>
          <w:p w14:paraId="6D380B0E">
            <w:pPr>
              <w:pStyle w:val="6"/>
              <w:spacing w:before="44" w:line="184" w:lineRule="auto"/>
              <w:ind w:left="281"/>
            </w:pPr>
            <w:r>
              <w:rPr>
                <w:spacing w:val="-3"/>
              </w:rPr>
              <w:t>00</w:t>
            </w:r>
          </w:p>
        </w:tc>
        <w:tc>
          <w:tcPr>
            <w:tcW w:w="636" w:type="dxa"/>
            <w:vAlign w:val="top"/>
          </w:tcPr>
          <w:p w14:paraId="04EE5300">
            <w:pPr>
              <w:pStyle w:val="6"/>
              <w:spacing w:before="173" w:line="188" w:lineRule="auto"/>
              <w:ind w:left="184"/>
            </w:pPr>
            <w:r>
              <w:rPr>
                <w:spacing w:val="-3"/>
              </w:rPr>
              <w:t>992</w:t>
            </w:r>
          </w:p>
        </w:tc>
        <w:tc>
          <w:tcPr>
            <w:tcW w:w="636" w:type="dxa"/>
            <w:vAlign w:val="top"/>
          </w:tcPr>
          <w:p w14:paraId="100D1872">
            <w:pPr>
              <w:pStyle w:val="6"/>
              <w:spacing w:before="173" w:line="188" w:lineRule="auto"/>
              <w:ind w:left="186"/>
            </w:pPr>
            <w:r>
              <w:rPr>
                <w:spacing w:val="-3"/>
              </w:rPr>
              <w:t>992</w:t>
            </w:r>
          </w:p>
        </w:tc>
        <w:tc>
          <w:tcPr>
            <w:tcW w:w="636" w:type="dxa"/>
            <w:vAlign w:val="top"/>
          </w:tcPr>
          <w:p w14:paraId="2874EB79">
            <w:pPr>
              <w:pStyle w:val="6"/>
              <w:spacing w:before="173" w:line="188" w:lineRule="auto"/>
              <w:ind w:left="186"/>
            </w:pPr>
            <w:r>
              <w:rPr>
                <w:spacing w:val="-3"/>
              </w:rPr>
              <w:t>914</w:t>
            </w:r>
          </w:p>
        </w:tc>
        <w:tc>
          <w:tcPr>
            <w:tcW w:w="566" w:type="dxa"/>
            <w:vAlign w:val="top"/>
          </w:tcPr>
          <w:p w14:paraId="03FDAAE7">
            <w:pPr>
              <w:pStyle w:val="6"/>
              <w:spacing w:before="173" w:line="188" w:lineRule="auto"/>
              <w:ind w:left="153"/>
            </w:pPr>
            <w:r>
              <w:rPr>
                <w:spacing w:val="-3"/>
              </w:rPr>
              <w:t>914</w:t>
            </w:r>
          </w:p>
        </w:tc>
        <w:tc>
          <w:tcPr>
            <w:tcW w:w="776" w:type="dxa"/>
            <w:vAlign w:val="top"/>
          </w:tcPr>
          <w:p w14:paraId="6FB8511B">
            <w:pPr>
              <w:pStyle w:val="6"/>
              <w:spacing w:before="173" w:line="188" w:lineRule="auto"/>
              <w:ind w:left="206"/>
            </w:pPr>
            <w:r>
              <w:rPr>
                <w:spacing w:val="-4"/>
              </w:rPr>
              <w:t>175.0</w:t>
            </w:r>
          </w:p>
        </w:tc>
        <w:tc>
          <w:tcPr>
            <w:tcW w:w="901" w:type="dxa"/>
            <w:vAlign w:val="top"/>
          </w:tcPr>
          <w:p w14:paraId="338863FA">
            <w:pPr>
              <w:pStyle w:val="6"/>
              <w:spacing w:before="173" w:line="188" w:lineRule="auto"/>
              <w:ind w:left="322"/>
            </w:pPr>
            <w:r>
              <w:rPr>
                <w:spacing w:val="-2"/>
              </w:rPr>
              <w:t>739</w:t>
            </w:r>
          </w:p>
        </w:tc>
        <w:tc>
          <w:tcPr>
            <w:tcW w:w="1222" w:type="dxa"/>
            <w:tcBorders>
              <w:right w:val="single" w:color="000000" w:sz="6" w:space="0"/>
            </w:tcBorders>
            <w:vAlign w:val="top"/>
          </w:tcPr>
          <w:p w14:paraId="1066E044">
            <w:pPr>
              <w:pStyle w:val="6"/>
              <w:spacing w:before="141" w:line="224" w:lineRule="auto"/>
              <w:ind w:left="231"/>
            </w:pPr>
            <w:r>
              <w:rPr>
                <w:rFonts w:ascii="仿宋" w:hAnsi="仿宋" w:eastAsia="仿宋" w:cs="仿宋"/>
                <w:spacing w:val="-3"/>
              </w:rPr>
              <w:t>调出</w:t>
            </w:r>
            <w:r>
              <w:rPr>
                <w:rFonts w:ascii="仿宋" w:hAnsi="仿宋" w:eastAsia="仿宋" w:cs="仿宋"/>
                <w:spacing w:val="-41"/>
              </w:rPr>
              <w:t xml:space="preserve"> </w:t>
            </w:r>
            <w:r>
              <w:rPr>
                <w:spacing w:val="-3"/>
              </w:rPr>
              <w:t>78m³</w:t>
            </w:r>
          </w:p>
        </w:tc>
      </w:tr>
      <w:tr w14:paraId="3994F2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737" w:type="dxa"/>
            <w:vMerge w:val="continue"/>
            <w:tcBorders>
              <w:top w:val="nil"/>
              <w:left w:val="single" w:color="000000" w:sz="6" w:space="0"/>
              <w:bottom w:val="nil"/>
            </w:tcBorders>
            <w:vAlign w:val="top"/>
          </w:tcPr>
          <w:p w14:paraId="3A0B6EE6">
            <w:pPr>
              <w:rPr>
                <w:rFonts w:ascii="Arial"/>
                <w:sz w:val="21"/>
              </w:rPr>
            </w:pPr>
          </w:p>
        </w:tc>
        <w:tc>
          <w:tcPr>
            <w:tcW w:w="1526" w:type="dxa"/>
            <w:vAlign w:val="top"/>
          </w:tcPr>
          <w:p w14:paraId="1C9F6B73">
            <w:pPr>
              <w:pStyle w:val="6"/>
              <w:spacing w:before="40"/>
              <w:ind w:left="376"/>
              <w:rPr>
                <w:rFonts w:ascii="仿宋" w:hAnsi="仿宋" w:eastAsia="仿宋" w:cs="仿宋"/>
              </w:rPr>
            </w:pPr>
            <w:r>
              <w:rPr>
                <w:spacing w:val="9"/>
              </w:rPr>
              <w:t>K1+000</w:t>
            </w:r>
            <w:r>
              <w:rPr>
                <w:rFonts w:ascii="仿宋" w:hAnsi="仿宋" w:eastAsia="仿宋" w:cs="仿宋"/>
                <w:spacing w:val="9"/>
              </w:rPr>
              <w:t>~</w:t>
            </w:r>
          </w:p>
          <w:p w14:paraId="50CF8ADC">
            <w:pPr>
              <w:pStyle w:val="6"/>
              <w:spacing w:before="14" w:line="169" w:lineRule="auto"/>
              <w:ind w:left="465"/>
            </w:pPr>
            <w:r>
              <w:rPr>
                <w:spacing w:val="-1"/>
              </w:rPr>
              <w:t>K2+000</w:t>
            </w:r>
          </w:p>
        </w:tc>
        <w:tc>
          <w:tcPr>
            <w:tcW w:w="741" w:type="dxa"/>
            <w:vAlign w:val="top"/>
          </w:tcPr>
          <w:p w14:paraId="24973A56">
            <w:pPr>
              <w:pStyle w:val="6"/>
              <w:spacing w:before="71" w:line="188" w:lineRule="auto"/>
              <w:ind w:left="137"/>
            </w:pPr>
            <w:r>
              <w:rPr>
                <w:spacing w:val="-4"/>
              </w:rPr>
              <w:t>1000.0</w:t>
            </w:r>
          </w:p>
          <w:p w14:paraId="11D833C8">
            <w:pPr>
              <w:pStyle w:val="6"/>
              <w:spacing w:before="43" w:line="183" w:lineRule="auto"/>
              <w:ind w:left="281"/>
            </w:pPr>
            <w:r>
              <w:rPr>
                <w:spacing w:val="-3"/>
              </w:rPr>
              <w:t>00</w:t>
            </w:r>
          </w:p>
        </w:tc>
        <w:tc>
          <w:tcPr>
            <w:tcW w:w="636" w:type="dxa"/>
            <w:vAlign w:val="top"/>
          </w:tcPr>
          <w:p w14:paraId="3DFA5799">
            <w:pPr>
              <w:pStyle w:val="6"/>
              <w:spacing w:before="174" w:line="188" w:lineRule="auto"/>
              <w:ind w:left="137"/>
            </w:pPr>
            <w:r>
              <w:rPr>
                <w:spacing w:val="-1"/>
              </w:rPr>
              <w:t>2216</w:t>
            </w:r>
          </w:p>
        </w:tc>
        <w:tc>
          <w:tcPr>
            <w:tcW w:w="636" w:type="dxa"/>
            <w:vAlign w:val="top"/>
          </w:tcPr>
          <w:p w14:paraId="6FDBD423">
            <w:pPr>
              <w:pStyle w:val="6"/>
              <w:spacing w:before="174" w:line="188" w:lineRule="auto"/>
              <w:ind w:left="137"/>
            </w:pPr>
            <w:r>
              <w:rPr>
                <w:spacing w:val="-1"/>
              </w:rPr>
              <w:t>2216</w:t>
            </w:r>
          </w:p>
        </w:tc>
        <w:tc>
          <w:tcPr>
            <w:tcW w:w="636" w:type="dxa"/>
            <w:vAlign w:val="top"/>
          </w:tcPr>
          <w:p w14:paraId="7F6134F6">
            <w:pPr>
              <w:pStyle w:val="6"/>
              <w:spacing w:before="174" w:line="188" w:lineRule="auto"/>
              <w:ind w:left="157"/>
            </w:pPr>
            <w:r>
              <w:rPr>
                <w:spacing w:val="-5"/>
              </w:rPr>
              <w:t>1651</w:t>
            </w:r>
          </w:p>
        </w:tc>
        <w:tc>
          <w:tcPr>
            <w:tcW w:w="566" w:type="dxa"/>
            <w:vAlign w:val="top"/>
          </w:tcPr>
          <w:p w14:paraId="706D5C3C">
            <w:pPr>
              <w:pStyle w:val="6"/>
              <w:spacing w:before="71" w:line="188" w:lineRule="auto"/>
              <w:ind w:left="167"/>
            </w:pPr>
            <w:r>
              <w:rPr>
                <w:spacing w:val="-7"/>
              </w:rPr>
              <w:t>165</w:t>
            </w:r>
          </w:p>
          <w:p w14:paraId="0CDA0CF4">
            <w:pPr>
              <w:pStyle w:val="6"/>
              <w:spacing w:before="43" w:line="183" w:lineRule="auto"/>
              <w:ind w:left="258"/>
            </w:pPr>
            <w:r>
              <w:t>1</w:t>
            </w:r>
          </w:p>
        </w:tc>
        <w:tc>
          <w:tcPr>
            <w:tcW w:w="776" w:type="dxa"/>
            <w:vAlign w:val="top"/>
          </w:tcPr>
          <w:p w14:paraId="381C0FDE">
            <w:pPr>
              <w:pStyle w:val="6"/>
              <w:spacing w:before="174" w:line="188" w:lineRule="auto"/>
              <w:ind w:left="206"/>
            </w:pPr>
            <w:r>
              <w:rPr>
                <w:spacing w:val="-4"/>
              </w:rPr>
              <w:t>198.0</w:t>
            </w:r>
          </w:p>
        </w:tc>
        <w:tc>
          <w:tcPr>
            <w:tcW w:w="901" w:type="dxa"/>
            <w:vAlign w:val="top"/>
          </w:tcPr>
          <w:p w14:paraId="60397646">
            <w:pPr>
              <w:pStyle w:val="6"/>
              <w:spacing w:before="174" w:line="188" w:lineRule="auto"/>
              <w:ind w:left="291"/>
            </w:pPr>
            <w:r>
              <w:rPr>
                <w:spacing w:val="-5"/>
              </w:rPr>
              <w:t>1453</w:t>
            </w:r>
          </w:p>
        </w:tc>
        <w:tc>
          <w:tcPr>
            <w:tcW w:w="1222" w:type="dxa"/>
            <w:tcBorders>
              <w:right w:val="single" w:color="000000" w:sz="6" w:space="0"/>
            </w:tcBorders>
            <w:vAlign w:val="top"/>
          </w:tcPr>
          <w:p w14:paraId="0E7B4507">
            <w:pPr>
              <w:pStyle w:val="6"/>
              <w:spacing w:before="142" w:line="224" w:lineRule="auto"/>
              <w:ind w:left="185"/>
            </w:pPr>
            <w:r>
              <w:rPr>
                <w:rFonts w:ascii="仿宋" w:hAnsi="仿宋" w:eastAsia="仿宋" w:cs="仿宋"/>
                <w:spacing w:val="-3"/>
              </w:rPr>
              <w:t>调出</w:t>
            </w:r>
            <w:r>
              <w:rPr>
                <w:rFonts w:ascii="仿宋" w:hAnsi="仿宋" w:eastAsia="仿宋" w:cs="仿宋"/>
                <w:spacing w:val="-36"/>
              </w:rPr>
              <w:t xml:space="preserve"> </w:t>
            </w:r>
            <w:r>
              <w:rPr>
                <w:spacing w:val="-3"/>
              </w:rPr>
              <w:t>565m³</w:t>
            </w:r>
          </w:p>
        </w:tc>
      </w:tr>
      <w:tr w14:paraId="071D97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737" w:type="dxa"/>
            <w:vMerge w:val="continue"/>
            <w:tcBorders>
              <w:top w:val="nil"/>
              <w:left w:val="single" w:color="000000" w:sz="6" w:space="0"/>
              <w:bottom w:val="nil"/>
            </w:tcBorders>
            <w:vAlign w:val="top"/>
          </w:tcPr>
          <w:p w14:paraId="6C18BF32">
            <w:pPr>
              <w:rPr>
                <w:rFonts w:ascii="Arial"/>
                <w:sz w:val="21"/>
              </w:rPr>
            </w:pPr>
          </w:p>
        </w:tc>
        <w:tc>
          <w:tcPr>
            <w:tcW w:w="1526" w:type="dxa"/>
            <w:vAlign w:val="top"/>
          </w:tcPr>
          <w:p w14:paraId="390776E4">
            <w:pPr>
              <w:pStyle w:val="6"/>
              <w:spacing w:before="41"/>
              <w:ind w:left="376"/>
              <w:rPr>
                <w:rFonts w:ascii="仿宋" w:hAnsi="仿宋" w:eastAsia="仿宋" w:cs="仿宋"/>
              </w:rPr>
            </w:pPr>
            <w:r>
              <w:rPr>
                <w:spacing w:val="9"/>
              </w:rPr>
              <w:t>K2+000</w:t>
            </w:r>
            <w:r>
              <w:rPr>
                <w:rFonts w:ascii="仿宋" w:hAnsi="仿宋" w:eastAsia="仿宋" w:cs="仿宋"/>
                <w:spacing w:val="9"/>
              </w:rPr>
              <w:t>~</w:t>
            </w:r>
          </w:p>
          <w:p w14:paraId="786CC284">
            <w:pPr>
              <w:pStyle w:val="6"/>
              <w:spacing w:before="15" w:line="167" w:lineRule="auto"/>
              <w:ind w:left="465"/>
            </w:pPr>
            <w:r>
              <w:rPr>
                <w:spacing w:val="-1"/>
              </w:rPr>
              <w:t>K3+000</w:t>
            </w:r>
          </w:p>
        </w:tc>
        <w:tc>
          <w:tcPr>
            <w:tcW w:w="741" w:type="dxa"/>
            <w:vAlign w:val="top"/>
          </w:tcPr>
          <w:p w14:paraId="52D421FD">
            <w:pPr>
              <w:pStyle w:val="6"/>
              <w:spacing w:before="70" w:line="188" w:lineRule="auto"/>
              <w:ind w:left="137"/>
            </w:pPr>
            <w:r>
              <w:rPr>
                <w:spacing w:val="-4"/>
              </w:rPr>
              <w:t>1000.0</w:t>
            </w:r>
          </w:p>
          <w:p w14:paraId="2BDA1935">
            <w:pPr>
              <w:pStyle w:val="6"/>
              <w:spacing w:before="44" w:line="184" w:lineRule="auto"/>
              <w:ind w:left="281"/>
            </w:pPr>
            <w:r>
              <w:rPr>
                <w:spacing w:val="-3"/>
              </w:rPr>
              <w:t>00</w:t>
            </w:r>
          </w:p>
        </w:tc>
        <w:tc>
          <w:tcPr>
            <w:tcW w:w="636" w:type="dxa"/>
            <w:vAlign w:val="top"/>
          </w:tcPr>
          <w:p w14:paraId="29DB97E8">
            <w:pPr>
              <w:pStyle w:val="6"/>
              <w:spacing w:before="173" w:line="188" w:lineRule="auto"/>
              <w:ind w:left="137"/>
            </w:pPr>
            <w:r>
              <w:rPr>
                <w:spacing w:val="-1"/>
              </w:rPr>
              <w:t>2109</w:t>
            </w:r>
          </w:p>
        </w:tc>
        <w:tc>
          <w:tcPr>
            <w:tcW w:w="636" w:type="dxa"/>
            <w:vAlign w:val="top"/>
          </w:tcPr>
          <w:p w14:paraId="178C8F07">
            <w:pPr>
              <w:pStyle w:val="6"/>
              <w:spacing w:before="173" w:line="188" w:lineRule="auto"/>
              <w:ind w:left="137"/>
            </w:pPr>
            <w:r>
              <w:rPr>
                <w:spacing w:val="-1"/>
              </w:rPr>
              <w:t>2109</w:t>
            </w:r>
          </w:p>
        </w:tc>
        <w:tc>
          <w:tcPr>
            <w:tcW w:w="636" w:type="dxa"/>
            <w:vAlign w:val="top"/>
          </w:tcPr>
          <w:p w14:paraId="3AEFCE4D">
            <w:pPr>
              <w:pStyle w:val="6"/>
              <w:spacing w:before="173" w:line="188" w:lineRule="auto"/>
              <w:ind w:left="157"/>
            </w:pPr>
            <w:r>
              <w:rPr>
                <w:spacing w:val="-5"/>
              </w:rPr>
              <w:t>1756</w:t>
            </w:r>
          </w:p>
        </w:tc>
        <w:tc>
          <w:tcPr>
            <w:tcW w:w="566" w:type="dxa"/>
            <w:vAlign w:val="top"/>
          </w:tcPr>
          <w:p w14:paraId="12A32971">
            <w:pPr>
              <w:pStyle w:val="6"/>
              <w:spacing w:before="70" w:line="188" w:lineRule="auto"/>
              <w:ind w:left="167"/>
            </w:pPr>
            <w:r>
              <w:rPr>
                <w:spacing w:val="-7"/>
              </w:rPr>
              <w:t>175</w:t>
            </w:r>
          </w:p>
          <w:p w14:paraId="0B109985">
            <w:pPr>
              <w:pStyle w:val="6"/>
              <w:spacing w:before="44" w:line="184" w:lineRule="auto"/>
              <w:ind w:left="245"/>
            </w:pPr>
            <w:r>
              <w:t>6</w:t>
            </w:r>
          </w:p>
        </w:tc>
        <w:tc>
          <w:tcPr>
            <w:tcW w:w="776" w:type="dxa"/>
            <w:vAlign w:val="top"/>
          </w:tcPr>
          <w:p w14:paraId="2E0FED7F">
            <w:pPr>
              <w:pStyle w:val="6"/>
              <w:spacing w:before="173" w:line="188" w:lineRule="auto"/>
              <w:ind w:left="188"/>
            </w:pPr>
            <w:r>
              <w:rPr>
                <w:spacing w:val="-1"/>
              </w:rPr>
              <w:t>257.0</w:t>
            </w:r>
          </w:p>
        </w:tc>
        <w:tc>
          <w:tcPr>
            <w:tcW w:w="901" w:type="dxa"/>
            <w:vAlign w:val="top"/>
          </w:tcPr>
          <w:p w14:paraId="7422FA0F">
            <w:pPr>
              <w:pStyle w:val="6"/>
              <w:spacing w:before="173" w:line="188" w:lineRule="auto"/>
              <w:ind w:left="291"/>
            </w:pPr>
            <w:r>
              <w:rPr>
                <w:spacing w:val="-5"/>
              </w:rPr>
              <w:t>1499</w:t>
            </w:r>
          </w:p>
        </w:tc>
        <w:tc>
          <w:tcPr>
            <w:tcW w:w="1222" w:type="dxa"/>
            <w:tcBorders>
              <w:right w:val="single" w:color="000000" w:sz="6" w:space="0"/>
            </w:tcBorders>
            <w:vAlign w:val="top"/>
          </w:tcPr>
          <w:p w14:paraId="331286DE">
            <w:pPr>
              <w:pStyle w:val="6"/>
              <w:spacing w:before="144" w:line="224" w:lineRule="auto"/>
              <w:ind w:left="185"/>
            </w:pPr>
            <w:r>
              <w:rPr>
                <w:rFonts w:ascii="仿宋" w:hAnsi="仿宋" w:eastAsia="仿宋" w:cs="仿宋"/>
                <w:spacing w:val="-3"/>
              </w:rPr>
              <w:t>调出</w:t>
            </w:r>
            <w:r>
              <w:rPr>
                <w:rFonts w:ascii="仿宋" w:hAnsi="仿宋" w:eastAsia="仿宋" w:cs="仿宋"/>
                <w:spacing w:val="-36"/>
              </w:rPr>
              <w:t xml:space="preserve"> </w:t>
            </w:r>
            <w:r>
              <w:rPr>
                <w:spacing w:val="-3"/>
              </w:rPr>
              <w:t>353m³</w:t>
            </w:r>
          </w:p>
        </w:tc>
      </w:tr>
      <w:tr w14:paraId="4318EF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737" w:type="dxa"/>
            <w:vMerge w:val="continue"/>
            <w:tcBorders>
              <w:top w:val="nil"/>
              <w:left w:val="single" w:color="000000" w:sz="6" w:space="0"/>
              <w:bottom w:val="nil"/>
            </w:tcBorders>
            <w:vAlign w:val="top"/>
          </w:tcPr>
          <w:p w14:paraId="6A53398B">
            <w:pPr>
              <w:rPr>
                <w:rFonts w:ascii="Arial"/>
                <w:sz w:val="21"/>
              </w:rPr>
            </w:pPr>
          </w:p>
        </w:tc>
        <w:tc>
          <w:tcPr>
            <w:tcW w:w="1526" w:type="dxa"/>
            <w:vAlign w:val="top"/>
          </w:tcPr>
          <w:p w14:paraId="0005CFAF">
            <w:pPr>
              <w:pStyle w:val="6"/>
              <w:spacing w:before="40"/>
              <w:ind w:left="376"/>
              <w:rPr>
                <w:rFonts w:ascii="仿宋" w:hAnsi="仿宋" w:eastAsia="仿宋" w:cs="仿宋"/>
              </w:rPr>
            </w:pPr>
            <w:r>
              <w:rPr>
                <w:spacing w:val="9"/>
              </w:rPr>
              <w:t>K3+000</w:t>
            </w:r>
            <w:r>
              <w:rPr>
                <w:rFonts w:ascii="仿宋" w:hAnsi="仿宋" w:eastAsia="仿宋" w:cs="仿宋"/>
                <w:spacing w:val="9"/>
              </w:rPr>
              <w:t>~</w:t>
            </w:r>
          </w:p>
          <w:p w14:paraId="433AABC2">
            <w:pPr>
              <w:pStyle w:val="6"/>
              <w:spacing w:before="14" w:line="169" w:lineRule="auto"/>
              <w:ind w:left="465"/>
            </w:pPr>
            <w:r>
              <w:rPr>
                <w:spacing w:val="-1"/>
              </w:rPr>
              <w:t>K4+000</w:t>
            </w:r>
          </w:p>
        </w:tc>
        <w:tc>
          <w:tcPr>
            <w:tcW w:w="741" w:type="dxa"/>
            <w:vAlign w:val="top"/>
          </w:tcPr>
          <w:p w14:paraId="37569C11">
            <w:pPr>
              <w:pStyle w:val="6"/>
              <w:spacing w:before="71" w:line="188" w:lineRule="auto"/>
              <w:ind w:left="137"/>
            </w:pPr>
            <w:r>
              <w:rPr>
                <w:spacing w:val="-4"/>
              </w:rPr>
              <w:t>1000.0</w:t>
            </w:r>
          </w:p>
          <w:p w14:paraId="3222B12E">
            <w:pPr>
              <w:pStyle w:val="6"/>
              <w:spacing w:before="43" w:line="183" w:lineRule="auto"/>
              <w:ind w:left="281"/>
            </w:pPr>
            <w:r>
              <w:rPr>
                <w:spacing w:val="-3"/>
              </w:rPr>
              <w:t>00</w:t>
            </w:r>
          </w:p>
        </w:tc>
        <w:tc>
          <w:tcPr>
            <w:tcW w:w="636" w:type="dxa"/>
            <w:vAlign w:val="top"/>
          </w:tcPr>
          <w:p w14:paraId="3693B2B0">
            <w:pPr>
              <w:pStyle w:val="6"/>
              <w:spacing w:before="174" w:line="188" w:lineRule="auto"/>
              <w:ind w:left="155"/>
            </w:pPr>
            <w:r>
              <w:rPr>
                <w:spacing w:val="-5"/>
              </w:rPr>
              <w:t>1171</w:t>
            </w:r>
          </w:p>
        </w:tc>
        <w:tc>
          <w:tcPr>
            <w:tcW w:w="636" w:type="dxa"/>
            <w:vAlign w:val="top"/>
          </w:tcPr>
          <w:p w14:paraId="1E46F98E">
            <w:pPr>
              <w:pStyle w:val="6"/>
              <w:spacing w:before="174" w:line="188" w:lineRule="auto"/>
              <w:ind w:left="155"/>
            </w:pPr>
            <w:r>
              <w:rPr>
                <w:spacing w:val="-5"/>
              </w:rPr>
              <w:t>1171</w:t>
            </w:r>
          </w:p>
        </w:tc>
        <w:tc>
          <w:tcPr>
            <w:tcW w:w="636" w:type="dxa"/>
            <w:vAlign w:val="top"/>
          </w:tcPr>
          <w:p w14:paraId="4A428E9B">
            <w:pPr>
              <w:pStyle w:val="6"/>
              <w:spacing w:before="174" w:line="188" w:lineRule="auto"/>
              <w:ind w:left="157"/>
            </w:pPr>
            <w:r>
              <w:rPr>
                <w:spacing w:val="-5"/>
              </w:rPr>
              <w:t>1035</w:t>
            </w:r>
          </w:p>
        </w:tc>
        <w:tc>
          <w:tcPr>
            <w:tcW w:w="566" w:type="dxa"/>
            <w:vAlign w:val="top"/>
          </w:tcPr>
          <w:p w14:paraId="3663CBFB">
            <w:pPr>
              <w:pStyle w:val="6"/>
              <w:spacing w:before="71" w:line="188" w:lineRule="auto"/>
              <w:ind w:left="167"/>
            </w:pPr>
            <w:r>
              <w:rPr>
                <w:spacing w:val="-7"/>
              </w:rPr>
              <w:t>103</w:t>
            </w:r>
          </w:p>
          <w:p w14:paraId="66BACDA1">
            <w:pPr>
              <w:pStyle w:val="6"/>
              <w:spacing w:before="46" w:line="180" w:lineRule="auto"/>
              <w:ind w:left="246"/>
            </w:pPr>
            <w:r>
              <w:t>5</w:t>
            </w:r>
          </w:p>
        </w:tc>
        <w:tc>
          <w:tcPr>
            <w:tcW w:w="776" w:type="dxa"/>
            <w:vAlign w:val="top"/>
          </w:tcPr>
          <w:p w14:paraId="6DB399BD">
            <w:pPr>
              <w:pStyle w:val="6"/>
              <w:spacing w:before="174" w:line="188" w:lineRule="auto"/>
              <w:ind w:left="206"/>
            </w:pPr>
            <w:r>
              <w:rPr>
                <w:spacing w:val="-4"/>
              </w:rPr>
              <w:t>106.0</w:t>
            </w:r>
          </w:p>
        </w:tc>
        <w:tc>
          <w:tcPr>
            <w:tcW w:w="901" w:type="dxa"/>
            <w:vAlign w:val="top"/>
          </w:tcPr>
          <w:p w14:paraId="4B0C5FDD">
            <w:pPr>
              <w:pStyle w:val="6"/>
              <w:spacing w:before="174" w:line="188" w:lineRule="auto"/>
              <w:ind w:left="323"/>
            </w:pPr>
            <w:r>
              <w:rPr>
                <w:spacing w:val="-3"/>
              </w:rPr>
              <w:t>929</w:t>
            </w:r>
          </w:p>
        </w:tc>
        <w:tc>
          <w:tcPr>
            <w:tcW w:w="1222" w:type="dxa"/>
            <w:tcBorders>
              <w:right w:val="single" w:color="000000" w:sz="6" w:space="0"/>
            </w:tcBorders>
            <w:vAlign w:val="top"/>
          </w:tcPr>
          <w:p w14:paraId="3F43724F">
            <w:pPr>
              <w:pStyle w:val="6"/>
              <w:spacing w:before="142" w:line="224" w:lineRule="auto"/>
              <w:ind w:left="185"/>
            </w:pPr>
            <w:r>
              <w:rPr>
                <w:rFonts w:ascii="仿宋" w:hAnsi="仿宋" w:eastAsia="仿宋" w:cs="仿宋"/>
                <w:spacing w:val="-5"/>
              </w:rPr>
              <w:t>调出</w:t>
            </w:r>
            <w:r>
              <w:rPr>
                <w:rFonts w:ascii="仿宋" w:hAnsi="仿宋" w:eastAsia="仿宋" w:cs="仿宋"/>
                <w:spacing w:val="-22"/>
              </w:rPr>
              <w:t xml:space="preserve"> </w:t>
            </w:r>
            <w:r>
              <w:rPr>
                <w:spacing w:val="-5"/>
              </w:rPr>
              <w:t>136m³</w:t>
            </w:r>
          </w:p>
        </w:tc>
      </w:tr>
      <w:tr w14:paraId="4A1945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737" w:type="dxa"/>
            <w:vMerge w:val="continue"/>
            <w:tcBorders>
              <w:top w:val="nil"/>
              <w:left w:val="single" w:color="000000" w:sz="6" w:space="0"/>
              <w:bottom w:val="nil"/>
            </w:tcBorders>
            <w:vAlign w:val="top"/>
          </w:tcPr>
          <w:p w14:paraId="15962049">
            <w:pPr>
              <w:rPr>
                <w:rFonts w:ascii="Arial"/>
                <w:sz w:val="21"/>
              </w:rPr>
            </w:pPr>
          </w:p>
        </w:tc>
        <w:tc>
          <w:tcPr>
            <w:tcW w:w="1526" w:type="dxa"/>
            <w:vAlign w:val="top"/>
          </w:tcPr>
          <w:p w14:paraId="3AF8B11D">
            <w:pPr>
              <w:pStyle w:val="6"/>
              <w:spacing w:before="41"/>
              <w:ind w:left="376"/>
              <w:rPr>
                <w:rFonts w:ascii="仿宋" w:hAnsi="仿宋" w:eastAsia="仿宋" w:cs="仿宋"/>
              </w:rPr>
            </w:pPr>
            <w:r>
              <w:rPr>
                <w:spacing w:val="9"/>
              </w:rPr>
              <w:t>K4+000</w:t>
            </w:r>
            <w:r>
              <w:rPr>
                <w:rFonts w:ascii="仿宋" w:hAnsi="仿宋" w:eastAsia="仿宋" w:cs="仿宋"/>
                <w:spacing w:val="9"/>
              </w:rPr>
              <w:t>~</w:t>
            </w:r>
          </w:p>
          <w:p w14:paraId="46B8C21D">
            <w:pPr>
              <w:pStyle w:val="6"/>
              <w:spacing w:before="15" w:line="167" w:lineRule="auto"/>
              <w:ind w:left="306"/>
            </w:pPr>
            <w:r>
              <w:rPr>
                <w:spacing w:val="-1"/>
              </w:rPr>
              <w:t>K4+249.702</w:t>
            </w:r>
          </w:p>
        </w:tc>
        <w:tc>
          <w:tcPr>
            <w:tcW w:w="741" w:type="dxa"/>
            <w:vAlign w:val="top"/>
          </w:tcPr>
          <w:p w14:paraId="2C3889F8">
            <w:pPr>
              <w:pStyle w:val="6"/>
              <w:spacing w:before="72" w:line="188" w:lineRule="auto"/>
              <w:ind w:left="120"/>
            </w:pPr>
            <w:r>
              <w:rPr>
                <w:spacing w:val="-1"/>
              </w:rPr>
              <w:t>249.70</w:t>
            </w:r>
          </w:p>
          <w:p w14:paraId="28A1F143">
            <w:pPr>
              <w:pStyle w:val="6"/>
              <w:spacing w:before="41" w:line="184" w:lineRule="auto"/>
              <w:ind w:left="324"/>
            </w:pPr>
            <w:r>
              <w:t>2</w:t>
            </w:r>
          </w:p>
        </w:tc>
        <w:tc>
          <w:tcPr>
            <w:tcW w:w="636" w:type="dxa"/>
            <w:vAlign w:val="top"/>
          </w:tcPr>
          <w:p w14:paraId="73795162">
            <w:pPr>
              <w:pStyle w:val="6"/>
              <w:spacing w:before="175" w:line="188" w:lineRule="auto"/>
              <w:ind w:left="198"/>
            </w:pPr>
            <w:r>
              <w:rPr>
                <w:spacing w:val="-7"/>
              </w:rPr>
              <w:t>118</w:t>
            </w:r>
          </w:p>
        </w:tc>
        <w:tc>
          <w:tcPr>
            <w:tcW w:w="636" w:type="dxa"/>
            <w:vAlign w:val="top"/>
          </w:tcPr>
          <w:p w14:paraId="0CAF39BB">
            <w:pPr>
              <w:pStyle w:val="6"/>
              <w:spacing w:before="175" w:line="188" w:lineRule="auto"/>
              <w:ind w:left="200"/>
            </w:pPr>
            <w:r>
              <w:rPr>
                <w:spacing w:val="-7"/>
              </w:rPr>
              <w:t>118</w:t>
            </w:r>
          </w:p>
        </w:tc>
        <w:tc>
          <w:tcPr>
            <w:tcW w:w="636" w:type="dxa"/>
            <w:vAlign w:val="top"/>
          </w:tcPr>
          <w:p w14:paraId="1A81018A">
            <w:pPr>
              <w:pStyle w:val="6"/>
              <w:spacing w:before="175" w:line="188" w:lineRule="auto"/>
              <w:ind w:left="200"/>
            </w:pPr>
            <w:r>
              <w:rPr>
                <w:spacing w:val="-7"/>
              </w:rPr>
              <w:t>118</w:t>
            </w:r>
          </w:p>
        </w:tc>
        <w:tc>
          <w:tcPr>
            <w:tcW w:w="566" w:type="dxa"/>
            <w:vAlign w:val="top"/>
          </w:tcPr>
          <w:p w14:paraId="3923BFCC">
            <w:pPr>
              <w:pStyle w:val="6"/>
              <w:spacing w:before="175" w:line="188" w:lineRule="auto"/>
              <w:ind w:left="167"/>
            </w:pPr>
            <w:r>
              <w:rPr>
                <w:spacing w:val="-7"/>
              </w:rPr>
              <w:t>118</w:t>
            </w:r>
          </w:p>
        </w:tc>
        <w:tc>
          <w:tcPr>
            <w:tcW w:w="776" w:type="dxa"/>
            <w:vAlign w:val="top"/>
          </w:tcPr>
          <w:p w14:paraId="05A41D28">
            <w:pPr>
              <w:pStyle w:val="6"/>
              <w:spacing w:before="175" w:line="188" w:lineRule="auto"/>
              <w:ind w:left="251"/>
            </w:pPr>
            <w:r>
              <w:rPr>
                <w:spacing w:val="-6"/>
              </w:rPr>
              <w:t>17.0</w:t>
            </w:r>
          </w:p>
        </w:tc>
        <w:tc>
          <w:tcPr>
            <w:tcW w:w="901" w:type="dxa"/>
            <w:vAlign w:val="top"/>
          </w:tcPr>
          <w:p w14:paraId="62161050">
            <w:pPr>
              <w:pStyle w:val="6"/>
              <w:spacing w:before="175" w:line="188" w:lineRule="auto"/>
              <w:ind w:left="337"/>
            </w:pPr>
            <w:r>
              <w:rPr>
                <w:spacing w:val="-7"/>
              </w:rPr>
              <w:t>101</w:t>
            </w:r>
          </w:p>
        </w:tc>
        <w:tc>
          <w:tcPr>
            <w:tcW w:w="1222" w:type="dxa"/>
            <w:tcBorders>
              <w:right w:val="single" w:color="000000" w:sz="6" w:space="0"/>
            </w:tcBorders>
            <w:vAlign w:val="top"/>
          </w:tcPr>
          <w:p w14:paraId="3FB00888">
            <w:pPr>
              <w:rPr>
                <w:rFonts w:ascii="Arial"/>
                <w:sz w:val="21"/>
              </w:rPr>
            </w:pPr>
          </w:p>
        </w:tc>
      </w:tr>
      <w:tr w14:paraId="00576C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737" w:type="dxa"/>
            <w:vMerge w:val="continue"/>
            <w:tcBorders>
              <w:top w:val="nil"/>
              <w:left w:val="single" w:color="000000" w:sz="6" w:space="0"/>
              <w:bottom w:val="single" w:color="000000" w:sz="6" w:space="0"/>
            </w:tcBorders>
            <w:vAlign w:val="top"/>
          </w:tcPr>
          <w:p w14:paraId="686BA815">
            <w:pPr>
              <w:rPr>
                <w:rFonts w:ascii="Arial"/>
                <w:sz w:val="21"/>
              </w:rPr>
            </w:pPr>
          </w:p>
        </w:tc>
        <w:tc>
          <w:tcPr>
            <w:tcW w:w="1526" w:type="dxa"/>
            <w:tcBorders>
              <w:bottom w:val="single" w:color="000000" w:sz="6" w:space="0"/>
            </w:tcBorders>
            <w:vAlign w:val="top"/>
          </w:tcPr>
          <w:p w14:paraId="6DEAA335">
            <w:pPr>
              <w:spacing w:before="131" w:line="222" w:lineRule="auto"/>
              <w:ind w:left="413"/>
              <w:rPr>
                <w:rFonts w:ascii="仿宋" w:hAnsi="仿宋" w:eastAsia="仿宋" w:cs="仿宋"/>
                <w:sz w:val="18"/>
                <w:szCs w:val="18"/>
              </w:rPr>
            </w:pPr>
            <w:r>
              <w:rPr>
                <w:rFonts w:ascii="仿宋" w:hAnsi="仿宋" w:eastAsia="仿宋" w:cs="仿宋"/>
                <w:spacing w:val="-4"/>
                <w:sz w:val="18"/>
                <w:szCs w:val="18"/>
              </w:rPr>
              <w:t>清表亏方</w:t>
            </w:r>
          </w:p>
        </w:tc>
        <w:tc>
          <w:tcPr>
            <w:tcW w:w="741" w:type="dxa"/>
            <w:tcBorders>
              <w:bottom w:val="single" w:color="000000" w:sz="6" w:space="0"/>
            </w:tcBorders>
            <w:vAlign w:val="top"/>
          </w:tcPr>
          <w:p w14:paraId="0D48E9E2">
            <w:pPr>
              <w:rPr>
                <w:rFonts w:ascii="Arial"/>
                <w:sz w:val="21"/>
              </w:rPr>
            </w:pPr>
          </w:p>
        </w:tc>
        <w:tc>
          <w:tcPr>
            <w:tcW w:w="636" w:type="dxa"/>
            <w:tcBorders>
              <w:bottom w:val="single" w:color="000000" w:sz="6" w:space="0"/>
            </w:tcBorders>
            <w:vAlign w:val="top"/>
          </w:tcPr>
          <w:p w14:paraId="1DB6D6D0">
            <w:pPr>
              <w:rPr>
                <w:rFonts w:ascii="Arial"/>
                <w:sz w:val="21"/>
              </w:rPr>
            </w:pPr>
          </w:p>
        </w:tc>
        <w:tc>
          <w:tcPr>
            <w:tcW w:w="636" w:type="dxa"/>
            <w:tcBorders>
              <w:bottom w:val="single" w:color="000000" w:sz="6" w:space="0"/>
            </w:tcBorders>
            <w:vAlign w:val="top"/>
          </w:tcPr>
          <w:p w14:paraId="1C2FE9BC">
            <w:pPr>
              <w:rPr>
                <w:rFonts w:ascii="Arial"/>
                <w:sz w:val="21"/>
              </w:rPr>
            </w:pPr>
          </w:p>
        </w:tc>
        <w:tc>
          <w:tcPr>
            <w:tcW w:w="636" w:type="dxa"/>
            <w:tcBorders>
              <w:bottom w:val="single" w:color="000000" w:sz="6" w:space="0"/>
            </w:tcBorders>
            <w:vAlign w:val="top"/>
          </w:tcPr>
          <w:p w14:paraId="37A285DB">
            <w:pPr>
              <w:pStyle w:val="6"/>
              <w:spacing w:before="162" w:line="188" w:lineRule="auto"/>
              <w:ind w:left="157"/>
            </w:pPr>
            <w:r>
              <w:rPr>
                <w:spacing w:val="-5"/>
              </w:rPr>
              <w:t>1132</w:t>
            </w:r>
          </w:p>
        </w:tc>
        <w:tc>
          <w:tcPr>
            <w:tcW w:w="566" w:type="dxa"/>
            <w:tcBorders>
              <w:bottom w:val="single" w:color="000000" w:sz="6" w:space="0"/>
            </w:tcBorders>
            <w:vAlign w:val="top"/>
          </w:tcPr>
          <w:p w14:paraId="144D7DE5">
            <w:pPr>
              <w:pStyle w:val="6"/>
              <w:spacing w:before="59" w:line="188" w:lineRule="auto"/>
              <w:ind w:left="167"/>
            </w:pPr>
            <w:r>
              <w:rPr>
                <w:spacing w:val="-7"/>
              </w:rPr>
              <w:t>113</w:t>
            </w:r>
          </w:p>
          <w:p w14:paraId="3AD91249">
            <w:pPr>
              <w:pStyle w:val="6"/>
              <w:spacing w:before="44" w:line="180" w:lineRule="auto"/>
              <w:ind w:left="241"/>
            </w:pPr>
            <w:r>
              <w:t>2</w:t>
            </w:r>
          </w:p>
        </w:tc>
        <w:tc>
          <w:tcPr>
            <w:tcW w:w="776" w:type="dxa"/>
            <w:tcBorders>
              <w:bottom w:val="single" w:color="000000" w:sz="6" w:space="0"/>
            </w:tcBorders>
            <w:vAlign w:val="top"/>
          </w:tcPr>
          <w:p w14:paraId="46C0D1BB">
            <w:pPr>
              <w:rPr>
                <w:rFonts w:ascii="Arial"/>
                <w:sz w:val="21"/>
              </w:rPr>
            </w:pPr>
          </w:p>
        </w:tc>
        <w:tc>
          <w:tcPr>
            <w:tcW w:w="901" w:type="dxa"/>
            <w:tcBorders>
              <w:bottom w:val="single" w:color="000000" w:sz="6" w:space="0"/>
            </w:tcBorders>
            <w:vAlign w:val="top"/>
          </w:tcPr>
          <w:p w14:paraId="1E51271E">
            <w:pPr>
              <w:rPr>
                <w:rFonts w:ascii="Arial"/>
                <w:sz w:val="21"/>
              </w:rPr>
            </w:pPr>
          </w:p>
        </w:tc>
        <w:tc>
          <w:tcPr>
            <w:tcW w:w="1222" w:type="dxa"/>
            <w:tcBorders>
              <w:bottom w:val="single" w:color="000000" w:sz="6" w:space="0"/>
              <w:right w:val="single" w:color="000000" w:sz="6" w:space="0"/>
            </w:tcBorders>
            <w:vAlign w:val="top"/>
          </w:tcPr>
          <w:p w14:paraId="3B374086">
            <w:pPr>
              <w:pStyle w:val="6"/>
              <w:spacing w:before="130" w:line="224" w:lineRule="auto"/>
              <w:ind w:left="139"/>
            </w:pPr>
            <w:r>
              <w:rPr>
                <w:rFonts w:ascii="仿宋" w:hAnsi="仿宋" w:eastAsia="仿宋" w:cs="仿宋"/>
                <w:spacing w:val="-5"/>
              </w:rPr>
              <w:t>调入</w:t>
            </w:r>
            <w:r>
              <w:rPr>
                <w:rFonts w:ascii="仿宋" w:hAnsi="仿宋" w:eastAsia="仿宋" w:cs="仿宋"/>
                <w:spacing w:val="-18"/>
              </w:rPr>
              <w:t xml:space="preserve"> </w:t>
            </w:r>
            <w:r>
              <w:rPr>
                <w:spacing w:val="-5"/>
              </w:rPr>
              <w:t>1132m³</w:t>
            </w:r>
          </w:p>
        </w:tc>
      </w:tr>
    </w:tbl>
    <w:p w14:paraId="3E19647E">
      <w:pPr>
        <w:pStyle w:val="2"/>
        <w:spacing w:line="97" w:lineRule="exact"/>
        <w:rPr>
          <w:sz w:val="8"/>
        </w:rPr>
      </w:pPr>
    </w:p>
    <w:p w14:paraId="43182D42">
      <w:pPr>
        <w:spacing w:line="97" w:lineRule="exact"/>
        <w:rPr>
          <w:sz w:val="8"/>
          <w:szCs w:val="8"/>
        </w:rPr>
        <w:sectPr>
          <w:footerReference r:id="rId22" w:type="default"/>
          <w:pgSz w:w="11907" w:h="16840"/>
          <w:pgMar w:top="400" w:right="1757" w:bottom="1446" w:left="1757" w:header="0" w:footer="1284" w:gutter="0"/>
          <w:cols w:space="720" w:num="1"/>
        </w:sectPr>
      </w:pPr>
    </w:p>
    <w:p w14:paraId="3E32E6F4">
      <w:pPr>
        <w:spacing w:before="19"/>
      </w:pPr>
    </w:p>
    <w:p w14:paraId="44AC7DAE">
      <w:pPr>
        <w:spacing w:before="19"/>
      </w:pPr>
    </w:p>
    <w:p w14:paraId="6DB11360">
      <w:pPr>
        <w:spacing w:before="18"/>
      </w:pPr>
    </w:p>
    <w:p w14:paraId="671BD6ED">
      <w:pPr>
        <w:spacing w:before="18"/>
      </w:pPr>
    </w:p>
    <w:tbl>
      <w:tblPr>
        <w:tblStyle w:val="5"/>
        <w:tblW w:w="8377"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7"/>
        <w:gridCol w:w="1526"/>
        <w:gridCol w:w="741"/>
        <w:gridCol w:w="636"/>
        <w:gridCol w:w="636"/>
        <w:gridCol w:w="636"/>
        <w:gridCol w:w="566"/>
        <w:gridCol w:w="776"/>
        <w:gridCol w:w="901"/>
        <w:gridCol w:w="1222"/>
      </w:tblGrid>
      <w:tr w14:paraId="042FCE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737" w:type="dxa"/>
            <w:vMerge w:val="restart"/>
            <w:tcBorders>
              <w:top w:val="single" w:color="000000" w:sz="6" w:space="0"/>
              <w:left w:val="single" w:color="000000" w:sz="6" w:space="0"/>
              <w:bottom w:val="nil"/>
            </w:tcBorders>
            <w:vAlign w:val="top"/>
          </w:tcPr>
          <w:p w14:paraId="6DE7C3DA">
            <w:pPr>
              <w:rPr>
                <w:rFonts w:ascii="Arial"/>
                <w:sz w:val="21"/>
              </w:rPr>
            </w:pPr>
          </w:p>
        </w:tc>
        <w:tc>
          <w:tcPr>
            <w:tcW w:w="2267" w:type="dxa"/>
            <w:gridSpan w:val="2"/>
            <w:tcBorders>
              <w:top w:val="single" w:color="000000" w:sz="6" w:space="0"/>
            </w:tcBorders>
            <w:vAlign w:val="top"/>
          </w:tcPr>
          <w:p w14:paraId="2530B0F6">
            <w:pPr>
              <w:spacing w:before="141" w:line="222" w:lineRule="auto"/>
              <w:ind w:left="961"/>
              <w:rPr>
                <w:rFonts w:ascii="仿宋" w:hAnsi="仿宋" w:eastAsia="仿宋" w:cs="仿宋"/>
                <w:sz w:val="18"/>
                <w:szCs w:val="18"/>
              </w:rPr>
            </w:pPr>
            <w:r>
              <w:rPr>
                <w:rFonts w:ascii="仿宋" w:hAnsi="仿宋" w:eastAsia="仿宋" w:cs="仿宋"/>
                <w:spacing w:val="-6"/>
                <w:sz w:val="18"/>
                <w:szCs w:val="18"/>
              </w:rPr>
              <w:t>小计</w:t>
            </w:r>
          </w:p>
        </w:tc>
        <w:tc>
          <w:tcPr>
            <w:tcW w:w="636" w:type="dxa"/>
            <w:tcBorders>
              <w:top w:val="single" w:color="000000" w:sz="6" w:space="0"/>
            </w:tcBorders>
            <w:vAlign w:val="top"/>
          </w:tcPr>
          <w:p w14:paraId="6D12EC87">
            <w:pPr>
              <w:pStyle w:val="6"/>
              <w:spacing w:before="172" w:line="188" w:lineRule="auto"/>
              <w:ind w:left="141"/>
            </w:pPr>
            <w:r>
              <w:rPr>
                <w:spacing w:val="-2"/>
              </w:rPr>
              <w:t>6606</w:t>
            </w:r>
          </w:p>
        </w:tc>
        <w:tc>
          <w:tcPr>
            <w:tcW w:w="636" w:type="dxa"/>
            <w:tcBorders>
              <w:top w:val="single" w:color="000000" w:sz="6" w:space="0"/>
            </w:tcBorders>
            <w:vAlign w:val="top"/>
          </w:tcPr>
          <w:p w14:paraId="445A6199">
            <w:pPr>
              <w:pStyle w:val="6"/>
              <w:spacing w:before="172" w:line="188" w:lineRule="auto"/>
              <w:ind w:left="141"/>
            </w:pPr>
            <w:r>
              <w:rPr>
                <w:spacing w:val="-2"/>
              </w:rPr>
              <w:t>6606</w:t>
            </w:r>
          </w:p>
        </w:tc>
        <w:tc>
          <w:tcPr>
            <w:tcW w:w="636" w:type="dxa"/>
            <w:tcBorders>
              <w:top w:val="single" w:color="000000" w:sz="6" w:space="0"/>
            </w:tcBorders>
            <w:vAlign w:val="top"/>
          </w:tcPr>
          <w:p w14:paraId="00CFCC0A">
            <w:pPr>
              <w:pStyle w:val="6"/>
              <w:spacing w:before="172" w:line="188" w:lineRule="auto"/>
              <w:ind w:left="144"/>
            </w:pPr>
            <w:r>
              <w:rPr>
                <w:spacing w:val="-2"/>
              </w:rPr>
              <w:t>6606</w:t>
            </w:r>
          </w:p>
        </w:tc>
        <w:tc>
          <w:tcPr>
            <w:tcW w:w="566" w:type="dxa"/>
            <w:tcBorders>
              <w:top w:val="single" w:color="000000" w:sz="6" w:space="0"/>
            </w:tcBorders>
            <w:vAlign w:val="top"/>
          </w:tcPr>
          <w:p w14:paraId="47E41D2F">
            <w:pPr>
              <w:pStyle w:val="6"/>
              <w:spacing w:before="69" w:line="188" w:lineRule="auto"/>
              <w:ind w:left="153"/>
            </w:pPr>
            <w:r>
              <w:rPr>
                <w:spacing w:val="-3"/>
              </w:rPr>
              <w:t>660</w:t>
            </w:r>
          </w:p>
          <w:p w14:paraId="61B362BF">
            <w:pPr>
              <w:pStyle w:val="6"/>
              <w:spacing w:before="43" w:line="183" w:lineRule="auto"/>
              <w:ind w:left="245"/>
            </w:pPr>
            <w:r>
              <w:t>6</w:t>
            </w:r>
          </w:p>
        </w:tc>
        <w:tc>
          <w:tcPr>
            <w:tcW w:w="776" w:type="dxa"/>
            <w:tcBorders>
              <w:top w:val="single" w:color="000000" w:sz="6" w:space="0"/>
            </w:tcBorders>
            <w:vAlign w:val="top"/>
          </w:tcPr>
          <w:p w14:paraId="6A5605FC">
            <w:pPr>
              <w:pStyle w:val="6"/>
              <w:spacing w:before="172" w:line="188" w:lineRule="auto"/>
              <w:ind w:left="258"/>
            </w:pPr>
            <w:r>
              <w:rPr>
                <w:spacing w:val="-2"/>
              </w:rPr>
              <w:t>753</w:t>
            </w:r>
          </w:p>
        </w:tc>
        <w:tc>
          <w:tcPr>
            <w:tcW w:w="901" w:type="dxa"/>
            <w:tcBorders>
              <w:top w:val="single" w:color="000000" w:sz="6" w:space="0"/>
            </w:tcBorders>
            <w:vAlign w:val="top"/>
          </w:tcPr>
          <w:p w14:paraId="15A80410">
            <w:pPr>
              <w:pStyle w:val="6"/>
              <w:spacing w:before="172" w:line="188" w:lineRule="auto"/>
              <w:ind w:left="273"/>
            </w:pPr>
            <w:r>
              <w:rPr>
                <w:spacing w:val="-1"/>
              </w:rPr>
              <w:t>4721</w:t>
            </w:r>
          </w:p>
        </w:tc>
        <w:tc>
          <w:tcPr>
            <w:tcW w:w="1222" w:type="dxa"/>
            <w:tcBorders>
              <w:top w:val="single" w:color="000000" w:sz="6" w:space="0"/>
              <w:right w:val="single" w:color="000000" w:sz="6" w:space="0"/>
            </w:tcBorders>
            <w:vAlign w:val="top"/>
          </w:tcPr>
          <w:p w14:paraId="1FA744EB">
            <w:pPr>
              <w:rPr>
                <w:rFonts w:ascii="Arial"/>
                <w:sz w:val="21"/>
              </w:rPr>
            </w:pPr>
          </w:p>
        </w:tc>
      </w:tr>
      <w:tr w14:paraId="42B272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342871D2">
            <w:pPr>
              <w:rPr>
                <w:rFonts w:ascii="Arial"/>
                <w:sz w:val="21"/>
              </w:rPr>
            </w:pPr>
          </w:p>
        </w:tc>
        <w:tc>
          <w:tcPr>
            <w:tcW w:w="7640" w:type="dxa"/>
            <w:gridSpan w:val="9"/>
            <w:tcBorders>
              <w:right w:val="single" w:color="000000" w:sz="6" w:space="0"/>
            </w:tcBorders>
            <w:vAlign w:val="top"/>
          </w:tcPr>
          <w:p w14:paraId="3B0B4A85">
            <w:pPr>
              <w:pStyle w:val="6"/>
              <w:spacing w:before="26" w:line="207" w:lineRule="auto"/>
              <w:ind w:left="1623"/>
              <w:rPr>
                <w:rFonts w:ascii="仿宋" w:hAnsi="仿宋" w:eastAsia="仿宋" w:cs="仿宋"/>
              </w:rPr>
            </w:pPr>
            <w:r>
              <w:rPr>
                <w:rFonts w:ascii="仿宋" w:hAnsi="仿宋" w:eastAsia="仿宋" w:cs="仿宋"/>
                <w:spacing w:val="-2"/>
              </w:rPr>
              <w:t>准格尔旗</w:t>
            </w:r>
            <w:r>
              <w:rPr>
                <w:rFonts w:ascii="仿宋" w:hAnsi="仿宋" w:eastAsia="仿宋" w:cs="仿宋"/>
                <w:spacing w:val="-25"/>
              </w:rPr>
              <w:t xml:space="preserve"> </w:t>
            </w:r>
            <w:r>
              <w:rPr>
                <w:spacing w:val="-2"/>
              </w:rPr>
              <w:t>2025</w:t>
            </w:r>
            <w:r>
              <w:rPr>
                <w:spacing w:val="15"/>
                <w:w w:val="101"/>
              </w:rPr>
              <w:t xml:space="preserve"> </w:t>
            </w:r>
            <w:r>
              <w:rPr>
                <w:rFonts w:ascii="仿宋" w:hAnsi="仿宋" w:eastAsia="仿宋" w:cs="仿宋"/>
                <w:spacing w:val="-2"/>
              </w:rPr>
              <w:t>年沙圪堵镇乌拉素村自然村通硬化路工程</w:t>
            </w:r>
          </w:p>
        </w:tc>
      </w:tr>
      <w:tr w14:paraId="0E445B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737" w:type="dxa"/>
            <w:vMerge w:val="continue"/>
            <w:tcBorders>
              <w:top w:val="nil"/>
              <w:left w:val="single" w:color="000000" w:sz="6" w:space="0"/>
              <w:bottom w:val="nil"/>
            </w:tcBorders>
            <w:vAlign w:val="top"/>
          </w:tcPr>
          <w:p w14:paraId="4BA62E24">
            <w:pPr>
              <w:rPr>
                <w:rFonts w:ascii="Arial"/>
                <w:sz w:val="21"/>
              </w:rPr>
            </w:pPr>
          </w:p>
        </w:tc>
        <w:tc>
          <w:tcPr>
            <w:tcW w:w="1526" w:type="dxa"/>
            <w:vAlign w:val="top"/>
          </w:tcPr>
          <w:p w14:paraId="55B8F540">
            <w:pPr>
              <w:pStyle w:val="6"/>
              <w:spacing w:before="28"/>
              <w:ind w:left="376"/>
              <w:rPr>
                <w:rFonts w:ascii="仿宋" w:hAnsi="仿宋" w:eastAsia="仿宋" w:cs="仿宋"/>
              </w:rPr>
            </w:pPr>
            <w:r>
              <w:rPr>
                <w:spacing w:val="9"/>
              </w:rPr>
              <w:t>K0+000</w:t>
            </w:r>
            <w:r>
              <w:rPr>
                <w:rFonts w:ascii="仿宋" w:hAnsi="仿宋" w:eastAsia="仿宋" w:cs="仿宋"/>
                <w:spacing w:val="9"/>
              </w:rPr>
              <w:t>~</w:t>
            </w:r>
          </w:p>
          <w:p w14:paraId="1ECB1255">
            <w:pPr>
              <w:pStyle w:val="6"/>
              <w:spacing w:before="15" w:line="182" w:lineRule="auto"/>
              <w:ind w:left="465"/>
            </w:pPr>
            <w:r>
              <w:rPr>
                <w:spacing w:val="-1"/>
              </w:rPr>
              <w:t>K1+000</w:t>
            </w:r>
          </w:p>
        </w:tc>
        <w:tc>
          <w:tcPr>
            <w:tcW w:w="741" w:type="dxa"/>
            <w:vAlign w:val="top"/>
          </w:tcPr>
          <w:p w14:paraId="3BDB9811">
            <w:pPr>
              <w:pStyle w:val="6"/>
              <w:spacing w:before="160" w:line="188" w:lineRule="auto"/>
              <w:ind w:left="137"/>
            </w:pPr>
            <w:r>
              <w:rPr>
                <w:spacing w:val="-4"/>
              </w:rPr>
              <w:t>1000.0</w:t>
            </w:r>
          </w:p>
        </w:tc>
        <w:tc>
          <w:tcPr>
            <w:tcW w:w="636" w:type="dxa"/>
            <w:vAlign w:val="top"/>
          </w:tcPr>
          <w:p w14:paraId="6A6A04DC">
            <w:pPr>
              <w:pStyle w:val="6"/>
              <w:spacing w:before="160" w:line="188" w:lineRule="auto"/>
              <w:ind w:left="184"/>
            </w:pPr>
            <w:r>
              <w:rPr>
                <w:spacing w:val="-2"/>
              </w:rPr>
              <w:t>790</w:t>
            </w:r>
          </w:p>
        </w:tc>
        <w:tc>
          <w:tcPr>
            <w:tcW w:w="636" w:type="dxa"/>
            <w:vAlign w:val="top"/>
          </w:tcPr>
          <w:p w14:paraId="54184551">
            <w:pPr>
              <w:pStyle w:val="6"/>
              <w:spacing w:before="160" w:line="188" w:lineRule="auto"/>
              <w:ind w:left="186"/>
            </w:pPr>
            <w:r>
              <w:rPr>
                <w:spacing w:val="-2"/>
              </w:rPr>
              <w:t>790</w:t>
            </w:r>
          </w:p>
        </w:tc>
        <w:tc>
          <w:tcPr>
            <w:tcW w:w="636" w:type="dxa"/>
            <w:vAlign w:val="top"/>
          </w:tcPr>
          <w:p w14:paraId="25BA8F51">
            <w:pPr>
              <w:pStyle w:val="6"/>
              <w:spacing w:before="160" w:line="188" w:lineRule="auto"/>
              <w:ind w:left="187"/>
            </w:pPr>
            <w:r>
              <w:rPr>
                <w:spacing w:val="-3"/>
              </w:rPr>
              <w:t>375</w:t>
            </w:r>
          </w:p>
        </w:tc>
        <w:tc>
          <w:tcPr>
            <w:tcW w:w="566" w:type="dxa"/>
            <w:vAlign w:val="top"/>
          </w:tcPr>
          <w:p w14:paraId="6D2CCA5B">
            <w:pPr>
              <w:pStyle w:val="6"/>
              <w:spacing w:before="160" w:line="188" w:lineRule="auto"/>
              <w:ind w:left="153"/>
            </w:pPr>
            <w:r>
              <w:rPr>
                <w:spacing w:val="-3"/>
              </w:rPr>
              <w:t>375</w:t>
            </w:r>
          </w:p>
        </w:tc>
        <w:tc>
          <w:tcPr>
            <w:tcW w:w="776" w:type="dxa"/>
            <w:vAlign w:val="top"/>
          </w:tcPr>
          <w:p w14:paraId="217CFE64">
            <w:pPr>
              <w:pStyle w:val="6"/>
              <w:spacing w:before="160" w:line="188" w:lineRule="auto"/>
              <w:ind w:left="255"/>
            </w:pPr>
            <w:r>
              <w:rPr>
                <w:spacing w:val="-1"/>
              </w:rPr>
              <w:t>209</w:t>
            </w:r>
          </w:p>
        </w:tc>
        <w:tc>
          <w:tcPr>
            <w:tcW w:w="901" w:type="dxa"/>
            <w:vAlign w:val="top"/>
          </w:tcPr>
          <w:p w14:paraId="163E1182">
            <w:pPr>
              <w:pStyle w:val="6"/>
              <w:spacing w:before="160" w:line="188" w:lineRule="auto"/>
              <w:ind w:left="337"/>
            </w:pPr>
            <w:r>
              <w:rPr>
                <w:spacing w:val="-7"/>
              </w:rPr>
              <w:t>166</w:t>
            </w:r>
          </w:p>
        </w:tc>
        <w:tc>
          <w:tcPr>
            <w:tcW w:w="1222" w:type="dxa"/>
            <w:tcBorders>
              <w:right w:val="single" w:color="000000" w:sz="6" w:space="0"/>
            </w:tcBorders>
            <w:vAlign w:val="top"/>
          </w:tcPr>
          <w:p w14:paraId="50CEB367">
            <w:pPr>
              <w:pStyle w:val="6"/>
              <w:spacing w:before="131" w:line="224" w:lineRule="auto"/>
              <w:ind w:left="185"/>
            </w:pPr>
            <w:r>
              <w:rPr>
                <w:rFonts w:ascii="仿宋" w:hAnsi="仿宋" w:eastAsia="仿宋" w:cs="仿宋"/>
                <w:spacing w:val="-2"/>
              </w:rPr>
              <w:t>调出</w:t>
            </w:r>
            <w:r>
              <w:rPr>
                <w:rFonts w:ascii="仿宋" w:hAnsi="仿宋" w:eastAsia="仿宋" w:cs="仿宋"/>
                <w:spacing w:val="-42"/>
              </w:rPr>
              <w:t xml:space="preserve"> </w:t>
            </w:r>
            <w:r>
              <w:rPr>
                <w:spacing w:val="-2"/>
              </w:rPr>
              <w:t>415m3</w:t>
            </w:r>
          </w:p>
        </w:tc>
      </w:tr>
      <w:tr w14:paraId="7E6F90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737" w:type="dxa"/>
            <w:vMerge w:val="continue"/>
            <w:tcBorders>
              <w:top w:val="nil"/>
              <w:left w:val="single" w:color="000000" w:sz="6" w:space="0"/>
              <w:bottom w:val="nil"/>
            </w:tcBorders>
            <w:vAlign w:val="top"/>
          </w:tcPr>
          <w:p w14:paraId="505A1759">
            <w:pPr>
              <w:rPr>
                <w:rFonts w:ascii="Arial"/>
                <w:sz w:val="21"/>
              </w:rPr>
            </w:pPr>
          </w:p>
        </w:tc>
        <w:tc>
          <w:tcPr>
            <w:tcW w:w="1526" w:type="dxa"/>
            <w:vAlign w:val="top"/>
          </w:tcPr>
          <w:p w14:paraId="1A3DC985">
            <w:pPr>
              <w:pStyle w:val="6"/>
              <w:spacing w:before="27"/>
              <w:ind w:left="376"/>
              <w:rPr>
                <w:rFonts w:ascii="仿宋" w:hAnsi="仿宋" w:eastAsia="仿宋" w:cs="仿宋"/>
              </w:rPr>
            </w:pPr>
            <w:r>
              <w:rPr>
                <w:spacing w:val="9"/>
              </w:rPr>
              <w:t>K1+000</w:t>
            </w:r>
            <w:r>
              <w:rPr>
                <w:rFonts w:ascii="仿宋" w:hAnsi="仿宋" w:eastAsia="仿宋" w:cs="仿宋"/>
                <w:spacing w:val="9"/>
              </w:rPr>
              <w:t>~</w:t>
            </w:r>
          </w:p>
          <w:p w14:paraId="322E455A">
            <w:pPr>
              <w:pStyle w:val="6"/>
              <w:spacing w:before="17" w:line="180" w:lineRule="auto"/>
              <w:ind w:left="465"/>
            </w:pPr>
            <w:r>
              <w:rPr>
                <w:spacing w:val="-1"/>
              </w:rPr>
              <w:t>K2+000</w:t>
            </w:r>
          </w:p>
        </w:tc>
        <w:tc>
          <w:tcPr>
            <w:tcW w:w="741" w:type="dxa"/>
            <w:vAlign w:val="top"/>
          </w:tcPr>
          <w:p w14:paraId="4CED1FCE">
            <w:pPr>
              <w:pStyle w:val="6"/>
              <w:spacing w:before="161" w:line="188" w:lineRule="auto"/>
              <w:ind w:left="137"/>
            </w:pPr>
            <w:r>
              <w:rPr>
                <w:spacing w:val="-4"/>
              </w:rPr>
              <w:t>1000.0</w:t>
            </w:r>
          </w:p>
        </w:tc>
        <w:tc>
          <w:tcPr>
            <w:tcW w:w="636" w:type="dxa"/>
            <w:vAlign w:val="top"/>
          </w:tcPr>
          <w:p w14:paraId="55B39B06">
            <w:pPr>
              <w:pStyle w:val="6"/>
              <w:spacing w:before="161" w:line="188" w:lineRule="auto"/>
              <w:ind w:left="184"/>
            </w:pPr>
            <w:r>
              <w:rPr>
                <w:spacing w:val="-2"/>
              </w:rPr>
              <w:t>760</w:t>
            </w:r>
          </w:p>
        </w:tc>
        <w:tc>
          <w:tcPr>
            <w:tcW w:w="636" w:type="dxa"/>
            <w:vAlign w:val="top"/>
          </w:tcPr>
          <w:p w14:paraId="611F698D">
            <w:pPr>
              <w:pStyle w:val="6"/>
              <w:spacing w:before="161" w:line="188" w:lineRule="auto"/>
              <w:ind w:left="186"/>
            </w:pPr>
            <w:r>
              <w:rPr>
                <w:spacing w:val="-2"/>
              </w:rPr>
              <w:t>760</w:t>
            </w:r>
          </w:p>
        </w:tc>
        <w:tc>
          <w:tcPr>
            <w:tcW w:w="636" w:type="dxa"/>
            <w:vAlign w:val="top"/>
          </w:tcPr>
          <w:p w14:paraId="3A423079">
            <w:pPr>
              <w:pStyle w:val="6"/>
              <w:spacing w:before="161" w:line="188" w:lineRule="auto"/>
              <w:ind w:left="182"/>
            </w:pPr>
            <w:r>
              <w:rPr>
                <w:spacing w:val="-1"/>
              </w:rPr>
              <w:t>480</w:t>
            </w:r>
          </w:p>
        </w:tc>
        <w:tc>
          <w:tcPr>
            <w:tcW w:w="566" w:type="dxa"/>
            <w:vAlign w:val="top"/>
          </w:tcPr>
          <w:p w14:paraId="59EC2A1E">
            <w:pPr>
              <w:pStyle w:val="6"/>
              <w:spacing w:before="161" w:line="188" w:lineRule="auto"/>
              <w:ind w:left="149"/>
            </w:pPr>
            <w:r>
              <w:rPr>
                <w:spacing w:val="-1"/>
              </w:rPr>
              <w:t>480</w:t>
            </w:r>
          </w:p>
        </w:tc>
        <w:tc>
          <w:tcPr>
            <w:tcW w:w="776" w:type="dxa"/>
            <w:vAlign w:val="top"/>
          </w:tcPr>
          <w:p w14:paraId="4EBDF88D">
            <w:pPr>
              <w:pStyle w:val="6"/>
              <w:spacing w:before="161" w:line="188" w:lineRule="auto"/>
              <w:ind w:left="255"/>
            </w:pPr>
            <w:r>
              <w:rPr>
                <w:spacing w:val="-1"/>
              </w:rPr>
              <w:t>218</w:t>
            </w:r>
          </w:p>
        </w:tc>
        <w:tc>
          <w:tcPr>
            <w:tcW w:w="901" w:type="dxa"/>
            <w:vAlign w:val="top"/>
          </w:tcPr>
          <w:p w14:paraId="1E9B65E6">
            <w:pPr>
              <w:pStyle w:val="6"/>
              <w:spacing w:before="161" w:line="188" w:lineRule="auto"/>
              <w:ind w:left="319"/>
            </w:pPr>
            <w:r>
              <w:rPr>
                <w:spacing w:val="-1"/>
              </w:rPr>
              <w:t>262</w:t>
            </w:r>
          </w:p>
        </w:tc>
        <w:tc>
          <w:tcPr>
            <w:tcW w:w="1222" w:type="dxa"/>
            <w:tcBorders>
              <w:right w:val="single" w:color="000000" w:sz="6" w:space="0"/>
            </w:tcBorders>
            <w:vAlign w:val="top"/>
          </w:tcPr>
          <w:p w14:paraId="5761DECB">
            <w:pPr>
              <w:pStyle w:val="6"/>
              <w:spacing w:before="130" w:line="224" w:lineRule="auto"/>
              <w:ind w:left="185"/>
            </w:pPr>
            <w:r>
              <w:rPr>
                <w:rFonts w:ascii="仿宋" w:hAnsi="仿宋" w:eastAsia="仿宋" w:cs="仿宋"/>
                <w:spacing w:val="-3"/>
              </w:rPr>
              <w:t>调出</w:t>
            </w:r>
            <w:r>
              <w:rPr>
                <w:rFonts w:ascii="仿宋" w:hAnsi="仿宋" w:eastAsia="仿宋" w:cs="仿宋"/>
                <w:spacing w:val="-36"/>
              </w:rPr>
              <w:t xml:space="preserve"> </w:t>
            </w:r>
            <w:r>
              <w:rPr>
                <w:spacing w:val="-3"/>
              </w:rPr>
              <w:t>280m3</w:t>
            </w:r>
          </w:p>
        </w:tc>
      </w:tr>
      <w:tr w14:paraId="7496AB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737" w:type="dxa"/>
            <w:vMerge w:val="continue"/>
            <w:tcBorders>
              <w:top w:val="nil"/>
              <w:left w:val="single" w:color="000000" w:sz="6" w:space="0"/>
              <w:bottom w:val="nil"/>
            </w:tcBorders>
            <w:vAlign w:val="top"/>
          </w:tcPr>
          <w:p w14:paraId="2D436412">
            <w:pPr>
              <w:rPr>
                <w:rFonts w:ascii="Arial"/>
                <w:sz w:val="21"/>
              </w:rPr>
            </w:pPr>
          </w:p>
        </w:tc>
        <w:tc>
          <w:tcPr>
            <w:tcW w:w="1526" w:type="dxa"/>
            <w:vAlign w:val="top"/>
          </w:tcPr>
          <w:p w14:paraId="68E03D47">
            <w:pPr>
              <w:pStyle w:val="6"/>
              <w:spacing w:before="29"/>
              <w:ind w:left="376"/>
              <w:rPr>
                <w:rFonts w:ascii="仿宋" w:hAnsi="仿宋" w:eastAsia="仿宋" w:cs="仿宋"/>
              </w:rPr>
            </w:pPr>
            <w:r>
              <w:rPr>
                <w:spacing w:val="9"/>
              </w:rPr>
              <w:t>K2+000</w:t>
            </w:r>
            <w:r>
              <w:rPr>
                <w:rFonts w:ascii="仿宋" w:hAnsi="仿宋" w:eastAsia="仿宋" w:cs="仿宋"/>
                <w:spacing w:val="9"/>
              </w:rPr>
              <w:t>~</w:t>
            </w:r>
          </w:p>
          <w:p w14:paraId="4D83B894">
            <w:pPr>
              <w:pStyle w:val="6"/>
              <w:spacing w:before="17" w:line="178" w:lineRule="auto"/>
              <w:ind w:left="465"/>
            </w:pPr>
            <w:r>
              <w:rPr>
                <w:spacing w:val="-1"/>
              </w:rPr>
              <w:t>K2+729</w:t>
            </w:r>
          </w:p>
        </w:tc>
        <w:tc>
          <w:tcPr>
            <w:tcW w:w="741" w:type="dxa"/>
            <w:vAlign w:val="top"/>
          </w:tcPr>
          <w:p w14:paraId="2D98FA97">
            <w:pPr>
              <w:pStyle w:val="6"/>
              <w:spacing w:before="163" w:line="188" w:lineRule="auto"/>
              <w:ind w:left="169"/>
            </w:pPr>
            <w:r>
              <w:rPr>
                <w:spacing w:val="-1"/>
              </w:rPr>
              <w:t>729.0</w:t>
            </w:r>
          </w:p>
        </w:tc>
        <w:tc>
          <w:tcPr>
            <w:tcW w:w="636" w:type="dxa"/>
            <w:vAlign w:val="top"/>
          </w:tcPr>
          <w:p w14:paraId="3DDFB62D">
            <w:pPr>
              <w:pStyle w:val="6"/>
              <w:spacing w:before="166" w:line="185" w:lineRule="auto"/>
              <w:ind w:left="184"/>
            </w:pPr>
            <w:r>
              <w:rPr>
                <w:spacing w:val="-2"/>
              </w:rPr>
              <w:t>777</w:t>
            </w:r>
          </w:p>
        </w:tc>
        <w:tc>
          <w:tcPr>
            <w:tcW w:w="636" w:type="dxa"/>
            <w:vAlign w:val="top"/>
          </w:tcPr>
          <w:p w14:paraId="21338D32">
            <w:pPr>
              <w:pStyle w:val="6"/>
              <w:spacing w:before="166" w:line="185" w:lineRule="auto"/>
              <w:ind w:left="186"/>
            </w:pPr>
            <w:r>
              <w:rPr>
                <w:spacing w:val="-2"/>
              </w:rPr>
              <w:t>777</w:t>
            </w:r>
          </w:p>
        </w:tc>
        <w:tc>
          <w:tcPr>
            <w:tcW w:w="636" w:type="dxa"/>
            <w:vAlign w:val="top"/>
          </w:tcPr>
          <w:p w14:paraId="06C856C6">
            <w:pPr>
              <w:pStyle w:val="6"/>
              <w:spacing w:before="163" w:line="188" w:lineRule="auto"/>
              <w:ind w:left="187"/>
            </w:pPr>
            <w:r>
              <w:rPr>
                <w:spacing w:val="-3"/>
              </w:rPr>
              <w:t>355</w:t>
            </w:r>
          </w:p>
        </w:tc>
        <w:tc>
          <w:tcPr>
            <w:tcW w:w="566" w:type="dxa"/>
            <w:vAlign w:val="top"/>
          </w:tcPr>
          <w:p w14:paraId="0C18DEAC">
            <w:pPr>
              <w:pStyle w:val="6"/>
              <w:spacing w:before="163" w:line="188" w:lineRule="auto"/>
              <w:ind w:left="153"/>
            </w:pPr>
            <w:r>
              <w:rPr>
                <w:spacing w:val="-3"/>
              </w:rPr>
              <w:t>355</w:t>
            </w:r>
          </w:p>
        </w:tc>
        <w:tc>
          <w:tcPr>
            <w:tcW w:w="776" w:type="dxa"/>
            <w:vAlign w:val="top"/>
          </w:tcPr>
          <w:p w14:paraId="0F314DF8">
            <w:pPr>
              <w:pStyle w:val="6"/>
              <w:spacing w:before="163" w:line="188" w:lineRule="auto"/>
              <w:ind w:left="273"/>
            </w:pPr>
            <w:r>
              <w:rPr>
                <w:spacing w:val="-7"/>
              </w:rPr>
              <w:t>180</w:t>
            </w:r>
          </w:p>
        </w:tc>
        <w:tc>
          <w:tcPr>
            <w:tcW w:w="901" w:type="dxa"/>
            <w:vAlign w:val="top"/>
          </w:tcPr>
          <w:p w14:paraId="067F5327">
            <w:pPr>
              <w:pStyle w:val="6"/>
              <w:spacing w:before="163" w:line="188" w:lineRule="auto"/>
              <w:ind w:left="337"/>
            </w:pPr>
            <w:r>
              <w:rPr>
                <w:spacing w:val="-7"/>
              </w:rPr>
              <w:t>175</w:t>
            </w:r>
          </w:p>
        </w:tc>
        <w:tc>
          <w:tcPr>
            <w:tcW w:w="1222" w:type="dxa"/>
            <w:tcBorders>
              <w:right w:val="single" w:color="000000" w:sz="6" w:space="0"/>
            </w:tcBorders>
            <w:vAlign w:val="top"/>
          </w:tcPr>
          <w:p w14:paraId="3AC77D79">
            <w:pPr>
              <w:pStyle w:val="6"/>
              <w:spacing w:before="132" w:line="224" w:lineRule="auto"/>
              <w:ind w:left="185"/>
            </w:pPr>
            <w:r>
              <w:rPr>
                <w:rFonts w:ascii="仿宋" w:hAnsi="仿宋" w:eastAsia="仿宋" w:cs="仿宋"/>
                <w:spacing w:val="-2"/>
              </w:rPr>
              <w:t>调出</w:t>
            </w:r>
            <w:r>
              <w:rPr>
                <w:rFonts w:ascii="仿宋" w:hAnsi="仿宋" w:eastAsia="仿宋" w:cs="仿宋"/>
                <w:spacing w:val="-42"/>
              </w:rPr>
              <w:t xml:space="preserve"> </w:t>
            </w:r>
            <w:r>
              <w:rPr>
                <w:spacing w:val="-2"/>
              </w:rPr>
              <w:t>422m3</w:t>
            </w:r>
          </w:p>
        </w:tc>
      </w:tr>
      <w:tr w14:paraId="72C631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737" w:type="dxa"/>
            <w:vMerge w:val="continue"/>
            <w:tcBorders>
              <w:top w:val="nil"/>
              <w:left w:val="single" w:color="000000" w:sz="6" w:space="0"/>
              <w:bottom w:val="nil"/>
            </w:tcBorders>
            <w:vAlign w:val="top"/>
          </w:tcPr>
          <w:p w14:paraId="0C96B785">
            <w:pPr>
              <w:rPr>
                <w:rFonts w:ascii="Arial"/>
                <w:sz w:val="21"/>
              </w:rPr>
            </w:pPr>
          </w:p>
        </w:tc>
        <w:tc>
          <w:tcPr>
            <w:tcW w:w="1526" w:type="dxa"/>
            <w:vAlign w:val="top"/>
          </w:tcPr>
          <w:p w14:paraId="20F4EC0E">
            <w:pPr>
              <w:spacing w:before="119" w:line="222" w:lineRule="auto"/>
              <w:ind w:left="413"/>
              <w:rPr>
                <w:rFonts w:ascii="仿宋" w:hAnsi="仿宋" w:eastAsia="仿宋" w:cs="仿宋"/>
                <w:sz w:val="18"/>
                <w:szCs w:val="18"/>
              </w:rPr>
            </w:pPr>
            <w:r>
              <w:rPr>
                <w:rFonts w:ascii="仿宋" w:hAnsi="仿宋" w:eastAsia="仿宋" w:cs="仿宋"/>
                <w:spacing w:val="-4"/>
                <w:sz w:val="18"/>
                <w:szCs w:val="18"/>
              </w:rPr>
              <w:t>清表亏方</w:t>
            </w:r>
          </w:p>
        </w:tc>
        <w:tc>
          <w:tcPr>
            <w:tcW w:w="741" w:type="dxa"/>
            <w:vAlign w:val="top"/>
          </w:tcPr>
          <w:p w14:paraId="4C6DB0B7">
            <w:pPr>
              <w:rPr>
                <w:rFonts w:ascii="Arial"/>
                <w:sz w:val="21"/>
              </w:rPr>
            </w:pPr>
          </w:p>
        </w:tc>
        <w:tc>
          <w:tcPr>
            <w:tcW w:w="636" w:type="dxa"/>
            <w:vAlign w:val="top"/>
          </w:tcPr>
          <w:p w14:paraId="5EEE4DA2">
            <w:pPr>
              <w:rPr>
                <w:rFonts w:ascii="Arial"/>
                <w:sz w:val="21"/>
              </w:rPr>
            </w:pPr>
          </w:p>
        </w:tc>
        <w:tc>
          <w:tcPr>
            <w:tcW w:w="636" w:type="dxa"/>
            <w:vAlign w:val="top"/>
          </w:tcPr>
          <w:p w14:paraId="695F6825">
            <w:pPr>
              <w:rPr>
                <w:rFonts w:ascii="Arial"/>
                <w:sz w:val="21"/>
              </w:rPr>
            </w:pPr>
          </w:p>
        </w:tc>
        <w:tc>
          <w:tcPr>
            <w:tcW w:w="636" w:type="dxa"/>
            <w:vAlign w:val="top"/>
          </w:tcPr>
          <w:p w14:paraId="14FB273C">
            <w:pPr>
              <w:pStyle w:val="6"/>
              <w:spacing w:before="150" w:line="188" w:lineRule="auto"/>
              <w:ind w:left="157"/>
            </w:pPr>
            <w:r>
              <w:rPr>
                <w:spacing w:val="-5"/>
              </w:rPr>
              <w:t>1117</w:t>
            </w:r>
          </w:p>
        </w:tc>
        <w:tc>
          <w:tcPr>
            <w:tcW w:w="566" w:type="dxa"/>
            <w:vAlign w:val="top"/>
          </w:tcPr>
          <w:p w14:paraId="7CFCB71C">
            <w:pPr>
              <w:pStyle w:val="6"/>
              <w:spacing w:before="47" w:line="188" w:lineRule="auto"/>
              <w:ind w:left="167"/>
            </w:pPr>
            <w:r>
              <w:rPr>
                <w:spacing w:val="-7"/>
              </w:rPr>
              <w:t>111</w:t>
            </w:r>
          </w:p>
          <w:p w14:paraId="38A6F63A">
            <w:pPr>
              <w:pStyle w:val="6"/>
              <w:spacing w:before="46" w:line="177" w:lineRule="auto"/>
              <w:ind w:left="244"/>
            </w:pPr>
            <w:r>
              <w:t>7</w:t>
            </w:r>
          </w:p>
        </w:tc>
        <w:tc>
          <w:tcPr>
            <w:tcW w:w="776" w:type="dxa"/>
            <w:vAlign w:val="top"/>
          </w:tcPr>
          <w:p w14:paraId="2EEEF2DC">
            <w:pPr>
              <w:rPr>
                <w:rFonts w:ascii="Arial"/>
                <w:sz w:val="21"/>
              </w:rPr>
            </w:pPr>
          </w:p>
        </w:tc>
        <w:tc>
          <w:tcPr>
            <w:tcW w:w="901" w:type="dxa"/>
            <w:vAlign w:val="top"/>
          </w:tcPr>
          <w:p w14:paraId="50BC89D9">
            <w:pPr>
              <w:rPr>
                <w:rFonts w:ascii="Arial"/>
                <w:sz w:val="21"/>
              </w:rPr>
            </w:pPr>
          </w:p>
        </w:tc>
        <w:tc>
          <w:tcPr>
            <w:tcW w:w="1222" w:type="dxa"/>
            <w:tcBorders>
              <w:right w:val="single" w:color="000000" w:sz="6" w:space="0"/>
            </w:tcBorders>
            <w:vAlign w:val="top"/>
          </w:tcPr>
          <w:p w14:paraId="4DC7B45A">
            <w:pPr>
              <w:pStyle w:val="6"/>
              <w:spacing w:before="119" w:line="224" w:lineRule="auto"/>
              <w:ind w:left="139"/>
            </w:pPr>
            <w:r>
              <w:rPr>
                <w:rFonts w:ascii="仿宋" w:hAnsi="仿宋" w:eastAsia="仿宋" w:cs="仿宋"/>
                <w:spacing w:val="-5"/>
              </w:rPr>
              <w:t>调入</w:t>
            </w:r>
            <w:r>
              <w:rPr>
                <w:rFonts w:ascii="仿宋" w:hAnsi="仿宋" w:eastAsia="仿宋" w:cs="仿宋"/>
                <w:spacing w:val="-18"/>
              </w:rPr>
              <w:t xml:space="preserve"> </w:t>
            </w:r>
            <w:r>
              <w:rPr>
                <w:spacing w:val="-5"/>
              </w:rPr>
              <w:t>1117m3</w:t>
            </w:r>
          </w:p>
        </w:tc>
      </w:tr>
      <w:tr w14:paraId="01678B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737" w:type="dxa"/>
            <w:vMerge w:val="continue"/>
            <w:tcBorders>
              <w:top w:val="nil"/>
              <w:left w:val="single" w:color="000000" w:sz="6" w:space="0"/>
              <w:bottom w:val="nil"/>
            </w:tcBorders>
            <w:vAlign w:val="top"/>
          </w:tcPr>
          <w:p w14:paraId="78B97A15">
            <w:pPr>
              <w:rPr>
                <w:rFonts w:ascii="Arial"/>
                <w:sz w:val="21"/>
              </w:rPr>
            </w:pPr>
          </w:p>
        </w:tc>
        <w:tc>
          <w:tcPr>
            <w:tcW w:w="2267" w:type="dxa"/>
            <w:gridSpan w:val="2"/>
            <w:vAlign w:val="top"/>
          </w:tcPr>
          <w:p w14:paraId="4655DC5F">
            <w:pPr>
              <w:spacing w:before="120" w:line="222" w:lineRule="auto"/>
              <w:ind w:left="961"/>
              <w:rPr>
                <w:rFonts w:ascii="仿宋" w:hAnsi="仿宋" w:eastAsia="仿宋" w:cs="仿宋"/>
                <w:sz w:val="18"/>
                <w:szCs w:val="18"/>
              </w:rPr>
            </w:pPr>
            <w:r>
              <w:rPr>
                <w:rFonts w:ascii="仿宋" w:hAnsi="仿宋" w:eastAsia="仿宋" w:cs="仿宋"/>
                <w:spacing w:val="-6"/>
                <w:sz w:val="18"/>
                <w:szCs w:val="18"/>
              </w:rPr>
              <w:t>小计</w:t>
            </w:r>
          </w:p>
        </w:tc>
        <w:tc>
          <w:tcPr>
            <w:tcW w:w="636" w:type="dxa"/>
            <w:vAlign w:val="top"/>
          </w:tcPr>
          <w:p w14:paraId="222CBB27">
            <w:pPr>
              <w:pStyle w:val="6"/>
              <w:spacing w:before="151" w:line="188" w:lineRule="auto"/>
              <w:ind w:left="137"/>
            </w:pPr>
            <w:r>
              <w:rPr>
                <w:spacing w:val="-1"/>
              </w:rPr>
              <w:t>2327</w:t>
            </w:r>
          </w:p>
        </w:tc>
        <w:tc>
          <w:tcPr>
            <w:tcW w:w="636" w:type="dxa"/>
            <w:vAlign w:val="top"/>
          </w:tcPr>
          <w:p w14:paraId="5471BF3F">
            <w:pPr>
              <w:pStyle w:val="6"/>
              <w:spacing w:before="151" w:line="188" w:lineRule="auto"/>
              <w:ind w:left="137"/>
            </w:pPr>
            <w:r>
              <w:rPr>
                <w:spacing w:val="-1"/>
              </w:rPr>
              <w:t>2327</w:t>
            </w:r>
          </w:p>
        </w:tc>
        <w:tc>
          <w:tcPr>
            <w:tcW w:w="636" w:type="dxa"/>
            <w:vAlign w:val="top"/>
          </w:tcPr>
          <w:p w14:paraId="03156E6B">
            <w:pPr>
              <w:pStyle w:val="6"/>
              <w:spacing w:before="151" w:line="188" w:lineRule="auto"/>
              <w:ind w:left="140"/>
            </w:pPr>
            <w:r>
              <w:rPr>
                <w:spacing w:val="-1"/>
              </w:rPr>
              <w:t>2327</w:t>
            </w:r>
          </w:p>
        </w:tc>
        <w:tc>
          <w:tcPr>
            <w:tcW w:w="566" w:type="dxa"/>
            <w:vAlign w:val="top"/>
          </w:tcPr>
          <w:p w14:paraId="77CD622D">
            <w:pPr>
              <w:pStyle w:val="6"/>
              <w:spacing w:before="48" w:line="188" w:lineRule="auto"/>
              <w:ind w:left="149"/>
            </w:pPr>
            <w:r>
              <w:rPr>
                <w:spacing w:val="-1"/>
              </w:rPr>
              <w:t>232</w:t>
            </w:r>
          </w:p>
          <w:p w14:paraId="746B481E">
            <w:pPr>
              <w:pStyle w:val="6"/>
              <w:spacing w:before="46" w:line="176" w:lineRule="auto"/>
              <w:ind w:left="244"/>
            </w:pPr>
            <w:r>
              <w:t>7</w:t>
            </w:r>
          </w:p>
        </w:tc>
        <w:tc>
          <w:tcPr>
            <w:tcW w:w="776" w:type="dxa"/>
            <w:vAlign w:val="top"/>
          </w:tcPr>
          <w:p w14:paraId="66902B95">
            <w:pPr>
              <w:pStyle w:val="6"/>
              <w:spacing w:before="151" w:line="188" w:lineRule="auto"/>
              <w:ind w:left="259"/>
            </w:pPr>
            <w:r>
              <w:rPr>
                <w:spacing w:val="-3"/>
              </w:rPr>
              <w:t>607</w:t>
            </w:r>
          </w:p>
        </w:tc>
        <w:tc>
          <w:tcPr>
            <w:tcW w:w="901" w:type="dxa"/>
            <w:vAlign w:val="top"/>
          </w:tcPr>
          <w:p w14:paraId="587D8121">
            <w:pPr>
              <w:pStyle w:val="6"/>
              <w:spacing w:before="151" w:line="188" w:lineRule="auto"/>
              <w:ind w:left="323"/>
            </w:pPr>
            <w:r>
              <w:rPr>
                <w:spacing w:val="-3"/>
              </w:rPr>
              <w:t>603</w:t>
            </w:r>
          </w:p>
        </w:tc>
        <w:tc>
          <w:tcPr>
            <w:tcW w:w="1222" w:type="dxa"/>
            <w:tcBorders>
              <w:right w:val="single" w:color="000000" w:sz="6" w:space="0"/>
            </w:tcBorders>
            <w:vAlign w:val="top"/>
          </w:tcPr>
          <w:p w14:paraId="5C922960">
            <w:pPr>
              <w:rPr>
                <w:rFonts w:ascii="Arial"/>
                <w:sz w:val="21"/>
              </w:rPr>
            </w:pPr>
          </w:p>
        </w:tc>
      </w:tr>
      <w:tr w14:paraId="049B75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576CADC6">
            <w:pPr>
              <w:rPr>
                <w:rFonts w:ascii="Arial"/>
                <w:sz w:val="21"/>
              </w:rPr>
            </w:pPr>
          </w:p>
        </w:tc>
        <w:tc>
          <w:tcPr>
            <w:tcW w:w="7640" w:type="dxa"/>
            <w:gridSpan w:val="9"/>
            <w:tcBorders>
              <w:right w:val="single" w:color="000000" w:sz="6" w:space="0"/>
            </w:tcBorders>
            <w:vAlign w:val="top"/>
          </w:tcPr>
          <w:p w14:paraId="017D4D4F">
            <w:pPr>
              <w:pStyle w:val="6"/>
              <w:spacing w:before="30" w:line="203" w:lineRule="auto"/>
              <w:ind w:left="1623"/>
              <w:rPr>
                <w:rFonts w:ascii="仿宋" w:hAnsi="仿宋" w:eastAsia="仿宋" w:cs="仿宋"/>
              </w:rPr>
            </w:pPr>
            <w:r>
              <w:rPr>
                <w:rFonts w:ascii="仿宋" w:hAnsi="仿宋" w:eastAsia="仿宋" w:cs="仿宋"/>
                <w:spacing w:val="-2"/>
              </w:rPr>
              <w:t>准格尔旗</w:t>
            </w:r>
            <w:r>
              <w:rPr>
                <w:rFonts w:ascii="仿宋" w:hAnsi="仿宋" w:eastAsia="仿宋" w:cs="仿宋"/>
                <w:spacing w:val="-25"/>
              </w:rPr>
              <w:t xml:space="preserve"> </w:t>
            </w:r>
            <w:r>
              <w:rPr>
                <w:spacing w:val="-2"/>
              </w:rPr>
              <w:t>2025</w:t>
            </w:r>
            <w:r>
              <w:rPr>
                <w:spacing w:val="15"/>
                <w:w w:val="101"/>
              </w:rPr>
              <w:t xml:space="preserve"> </w:t>
            </w:r>
            <w:r>
              <w:rPr>
                <w:rFonts w:ascii="仿宋" w:hAnsi="仿宋" w:eastAsia="仿宋" w:cs="仿宋"/>
                <w:spacing w:val="-2"/>
              </w:rPr>
              <w:t>年十二连城乡柴登村自然村通硬化路工程</w:t>
            </w:r>
          </w:p>
        </w:tc>
      </w:tr>
      <w:tr w14:paraId="65B7FF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737" w:type="dxa"/>
            <w:vMerge w:val="continue"/>
            <w:tcBorders>
              <w:top w:val="nil"/>
              <w:left w:val="single" w:color="000000" w:sz="6" w:space="0"/>
              <w:bottom w:val="nil"/>
            </w:tcBorders>
            <w:vAlign w:val="top"/>
          </w:tcPr>
          <w:p w14:paraId="0D53E60F">
            <w:pPr>
              <w:rPr>
                <w:rFonts w:ascii="Arial"/>
                <w:sz w:val="21"/>
              </w:rPr>
            </w:pPr>
          </w:p>
        </w:tc>
        <w:tc>
          <w:tcPr>
            <w:tcW w:w="1526" w:type="dxa"/>
            <w:vAlign w:val="top"/>
          </w:tcPr>
          <w:p w14:paraId="594F2176">
            <w:pPr>
              <w:pStyle w:val="6"/>
              <w:spacing w:before="31"/>
              <w:ind w:left="376"/>
              <w:rPr>
                <w:rFonts w:ascii="仿宋" w:hAnsi="仿宋" w:eastAsia="仿宋" w:cs="仿宋"/>
              </w:rPr>
            </w:pPr>
            <w:r>
              <w:rPr>
                <w:spacing w:val="9"/>
              </w:rPr>
              <w:t>K0+000</w:t>
            </w:r>
            <w:r>
              <w:rPr>
                <w:rFonts w:ascii="仿宋" w:hAnsi="仿宋" w:eastAsia="仿宋" w:cs="仿宋"/>
                <w:spacing w:val="9"/>
              </w:rPr>
              <w:t>~</w:t>
            </w:r>
          </w:p>
          <w:p w14:paraId="74F65309">
            <w:pPr>
              <w:pStyle w:val="6"/>
              <w:spacing w:before="15" w:line="177" w:lineRule="auto"/>
              <w:ind w:left="465"/>
            </w:pPr>
            <w:r>
              <w:rPr>
                <w:spacing w:val="-1"/>
              </w:rPr>
              <w:t>K1+000</w:t>
            </w:r>
          </w:p>
        </w:tc>
        <w:tc>
          <w:tcPr>
            <w:tcW w:w="741" w:type="dxa"/>
            <w:vAlign w:val="top"/>
          </w:tcPr>
          <w:p w14:paraId="53702D90">
            <w:pPr>
              <w:pStyle w:val="6"/>
              <w:spacing w:before="163" w:line="188" w:lineRule="auto"/>
              <w:ind w:left="137"/>
            </w:pPr>
            <w:r>
              <w:rPr>
                <w:spacing w:val="-4"/>
              </w:rPr>
              <w:t>1000.0</w:t>
            </w:r>
          </w:p>
        </w:tc>
        <w:tc>
          <w:tcPr>
            <w:tcW w:w="636" w:type="dxa"/>
            <w:vAlign w:val="top"/>
          </w:tcPr>
          <w:p w14:paraId="58397943">
            <w:pPr>
              <w:pStyle w:val="6"/>
              <w:spacing w:before="163" w:line="188" w:lineRule="auto"/>
              <w:ind w:left="184"/>
            </w:pPr>
            <w:r>
              <w:rPr>
                <w:spacing w:val="-2"/>
              </w:rPr>
              <w:t>769</w:t>
            </w:r>
          </w:p>
        </w:tc>
        <w:tc>
          <w:tcPr>
            <w:tcW w:w="636" w:type="dxa"/>
            <w:vAlign w:val="top"/>
          </w:tcPr>
          <w:p w14:paraId="3CF5D089">
            <w:pPr>
              <w:pStyle w:val="6"/>
              <w:spacing w:before="163" w:line="188" w:lineRule="auto"/>
              <w:ind w:left="186"/>
            </w:pPr>
            <w:r>
              <w:rPr>
                <w:spacing w:val="-2"/>
              </w:rPr>
              <w:t>769</w:t>
            </w:r>
          </w:p>
        </w:tc>
        <w:tc>
          <w:tcPr>
            <w:tcW w:w="636" w:type="dxa"/>
            <w:vAlign w:val="top"/>
          </w:tcPr>
          <w:p w14:paraId="2616DDC4">
            <w:pPr>
              <w:pStyle w:val="6"/>
              <w:spacing w:before="163" w:line="188" w:lineRule="auto"/>
              <w:ind w:left="187"/>
            </w:pPr>
            <w:r>
              <w:rPr>
                <w:spacing w:val="-3"/>
              </w:rPr>
              <w:t>331</w:t>
            </w:r>
          </w:p>
        </w:tc>
        <w:tc>
          <w:tcPr>
            <w:tcW w:w="566" w:type="dxa"/>
            <w:vAlign w:val="top"/>
          </w:tcPr>
          <w:p w14:paraId="1795D5FE">
            <w:pPr>
              <w:pStyle w:val="6"/>
              <w:spacing w:before="163" w:line="188" w:lineRule="auto"/>
              <w:ind w:left="153"/>
            </w:pPr>
            <w:r>
              <w:rPr>
                <w:spacing w:val="-3"/>
              </w:rPr>
              <w:t>331</w:t>
            </w:r>
          </w:p>
        </w:tc>
        <w:tc>
          <w:tcPr>
            <w:tcW w:w="776" w:type="dxa"/>
            <w:vAlign w:val="top"/>
          </w:tcPr>
          <w:p w14:paraId="432389CB">
            <w:pPr>
              <w:pStyle w:val="6"/>
              <w:spacing w:before="163" w:line="188" w:lineRule="auto"/>
              <w:ind w:left="308"/>
            </w:pPr>
            <w:r>
              <w:rPr>
                <w:spacing w:val="-5"/>
              </w:rPr>
              <w:t>86</w:t>
            </w:r>
          </w:p>
        </w:tc>
        <w:tc>
          <w:tcPr>
            <w:tcW w:w="901" w:type="dxa"/>
            <w:vAlign w:val="top"/>
          </w:tcPr>
          <w:p w14:paraId="54F217DC">
            <w:pPr>
              <w:pStyle w:val="6"/>
              <w:spacing w:before="163" w:line="188" w:lineRule="auto"/>
              <w:ind w:left="319"/>
            </w:pPr>
            <w:r>
              <w:rPr>
                <w:spacing w:val="-1"/>
              </w:rPr>
              <w:t>245</w:t>
            </w:r>
          </w:p>
        </w:tc>
        <w:tc>
          <w:tcPr>
            <w:tcW w:w="1222" w:type="dxa"/>
            <w:tcBorders>
              <w:right w:val="single" w:color="000000" w:sz="6" w:space="0"/>
            </w:tcBorders>
            <w:vAlign w:val="top"/>
          </w:tcPr>
          <w:p w14:paraId="18184BCB">
            <w:pPr>
              <w:pStyle w:val="6"/>
              <w:spacing w:before="134" w:line="224" w:lineRule="auto"/>
              <w:ind w:left="185"/>
            </w:pPr>
            <w:r>
              <w:rPr>
                <w:rFonts w:ascii="仿宋" w:hAnsi="仿宋" w:eastAsia="仿宋" w:cs="仿宋"/>
                <w:spacing w:val="-2"/>
              </w:rPr>
              <w:t>调出</w:t>
            </w:r>
            <w:r>
              <w:rPr>
                <w:rFonts w:ascii="仿宋" w:hAnsi="仿宋" w:eastAsia="仿宋" w:cs="仿宋"/>
                <w:spacing w:val="-42"/>
              </w:rPr>
              <w:t xml:space="preserve"> </w:t>
            </w:r>
            <w:r>
              <w:rPr>
                <w:spacing w:val="-2"/>
              </w:rPr>
              <w:t>438m3</w:t>
            </w:r>
          </w:p>
        </w:tc>
      </w:tr>
      <w:tr w14:paraId="02501F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737" w:type="dxa"/>
            <w:vMerge w:val="continue"/>
            <w:tcBorders>
              <w:top w:val="nil"/>
              <w:left w:val="single" w:color="000000" w:sz="6" w:space="0"/>
              <w:bottom w:val="nil"/>
            </w:tcBorders>
            <w:vAlign w:val="top"/>
          </w:tcPr>
          <w:p w14:paraId="275E2CAD">
            <w:pPr>
              <w:rPr>
                <w:rFonts w:ascii="Arial"/>
                <w:sz w:val="21"/>
              </w:rPr>
            </w:pPr>
          </w:p>
        </w:tc>
        <w:tc>
          <w:tcPr>
            <w:tcW w:w="1526" w:type="dxa"/>
            <w:vAlign w:val="top"/>
          </w:tcPr>
          <w:p w14:paraId="03198442">
            <w:pPr>
              <w:pStyle w:val="6"/>
              <w:spacing w:before="31"/>
              <w:ind w:left="376"/>
              <w:rPr>
                <w:rFonts w:ascii="仿宋" w:hAnsi="仿宋" w:eastAsia="仿宋" w:cs="仿宋"/>
              </w:rPr>
            </w:pPr>
            <w:r>
              <w:rPr>
                <w:spacing w:val="9"/>
              </w:rPr>
              <w:t>K1+000</w:t>
            </w:r>
            <w:r>
              <w:rPr>
                <w:rFonts w:ascii="仿宋" w:hAnsi="仿宋" w:eastAsia="仿宋" w:cs="仿宋"/>
                <w:spacing w:val="9"/>
              </w:rPr>
              <w:t>~</w:t>
            </w:r>
          </w:p>
          <w:p w14:paraId="3448BE1F">
            <w:pPr>
              <w:pStyle w:val="6"/>
              <w:spacing w:before="17" w:line="176" w:lineRule="auto"/>
              <w:ind w:left="465"/>
            </w:pPr>
            <w:r>
              <w:rPr>
                <w:spacing w:val="-1"/>
              </w:rPr>
              <w:t>K2+000</w:t>
            </w:r>
          </w:p>
        </w:tc>
        <w:tc>
          <w:tcPr>
            <w:tcW w:w="741" w:type="dxa"/>
            <w:vAlign w:val="top"/>
          </w:tcPr>
          <w:p w14:paraId="148DD80B">
            <w:pPr>
              <w:pStyle w:val="6"/>
              <w:spacing w:before="165" w:line="188" w:lineRule="auto"/>
              <w:ind w:left="137"/>
            </w:pPr>
            <w:r>
              <w:rPr>
                <w:spacing w:val="-4"/>
              </w:rPr>
              <w:t>1000.0</w:t>
            </w:r>
          </w:p>
        </w:tc>
        <w:tc>
          <w:tcPr>
            <w:tcW w:w="636" w:type="dxa"/>
            <w:vAlign w:val="top"/>
          </w:tcPr>
          <w:p w14:paraId="7637F2B5">
            <w:pPr>
              <w:pStyle w:val="6"/>
              <w:spacing w:before="165" w:line="188" w:lineRule="auto"/>
              <w:ind w:left="184"/>
            </w:pPr>
            <w:r>
              <w:rPr>
                <w:spacing w:val="-3"/>
              </w:rPr>
              <w:t>320</w:t>
            </w:r>
          </w:p>
        </w:tc>
        <w:tc>
          <w:tcPr>
            <w:tcW w:w="636" w:type="dxa"/>
            <w:vAlign w:val="top"/>
          </w:tcPr>
          <w:p w14:paraId="46047689">
            <w:pPr>
              <w:pStyle w:val="6"/>
              <w:spacing w:before="165" w:line="188" w:lineRule="auto"/>
              <w:ind w:left="187"/>
            </w:pPr>
            <w:r>
              <w:rPr>
                <w:spacing w:val="-3"/>
              </w:rPr>
              <w:t>320</w:t>
            </w:r>
          </w:p>
        </w:tc>
        <w:tc>
          <w:tcPr>
            <w:tcW w:w="636" w:type="dxa"/>
            <w:vAlign w:val="top"/>
          </w:tcPr>
          <w:p w14:paraId="7A9C77F2">
            <w:pPr>
              <w:pStyle w:val="6"/>
              <w:spacing w:before="165" w:line="188" w:lineRule="auto"/>
              <w:ind w:left="183"/>
            </w:pPr>
            <w:r>
              <w:rPr>
                <w:spacing w:val="-1"/>
              </w:rPr>
              <w:t>220</w:t>
            </w:r>
          </w:p>
        </w:tc>
        <w:tc>
          <w:tcPr>
            <w:tcW w:w="566" w:type="dxa"/>
            <w:vAlign w:val="top"/>
          </w:tcPr>
          <w:p w14:paraId="4BB50402">
            <w:pPr>
              <w:pStyle w:val="6"/>
              <w:spacing w:before="165" w:line="188" w:lineRule="auto"/>
              <w:ind w:left="149"/>
            </w:pPr>
            <w:r>
              <w:rPr>
                <w:spacing w:val="-1"/>
              </w:rPr>
              <w:t>220</w:t>
            </w:r>
          </w:p>
        </w:tc>
        <w:tc>
          <w:tcPr>
            <w:tcW w:w="776" w:type="dxa"/>
            <w:vAlign w:val="top"/>
          </w:tcPr>
          <w:p w14:paraId="3D412041">
            <w:pPr>
              <w:pStyle w:val="6"/>
              <w:spacing w:before="165" w:line="188" w:lineRule="auto"/>
              <w:ind w:left="304"/>
            </w:pPr>
            <w:r>
              <w:rPr>
                <w:spacing w:val="-4"/>
              </w:rPr>
              <w:t>93</w:t>
            </w:r>
          </w:p>
        </w:tc>
        <w:tc>
          <w:tcPr>
            <w:tcW w:w="901" w:type="dxa"/>
            <w:vAlign w:val="top"/>
          </w:tcPr>
          <w:p w14:paraId="5617FEE3">
            <w:pPr>
              <w:pStyle w:val="6"/>
              <w:spacing w:before="165" w:line="188" w:lineRule="auto"/>
              <w:ind w:left="337"/>
            </w:pPr>
            <w:r>
              <w:rPr>
                <w:spacing w:val="-7"/>
              </w:rPr>
              <w:t>127</w:t>
            </w:r>
          </w:p>
        </w:tc>
        <w:tc>
          <w:tcPr>
            <w:tcW w:w="1222" w:type="dxa"/>
            <w:tcBorders>
              <w:right w:val="single" w:color="000000" w:sz="6" w:space="0"/>
            </w:tcBorders>
            <w:vAlign w:val="top"/>
          </w:tcPr>
          <w:p w14:paraId="16A74749">
            <w:pPr>
              <w:pStyle w:val="6"/>
              <w:spacing w:before="134" w:line="224" w:lineRule="auto"/>
              <w:ind w:left="185"/>
            </w:pPr>
            <w:r>
              <w:rPr>
                <w:rFonts w:ascii="仿宋" w:hAnsi="仿宋" w:eastAsia="仿宋" w:cs="仿宋"/>
                <w:spacing w:val="-5"/>
              </w:rPr>
              <w:t>调出</w:t>
            </w:r>
            <w:r>
              <w:rPr>
                <w:rFonts w:ascii="仿宋" w:hAnsi="仿宋" w:eastAsia="仿宋" w:cs="仿宋"/>
                <w:spacing w:val="-22"/>
              </w:rPr>
              <w:t xml:space="preserve"> </w:t>
            </w:r>
            <w:r>
              <w:rPr>
                <w:spacing w:val="-5"/>
              </w:rPr>
              <w:t>100m3</w:t>
            </w:r>
          </w:p>
        </w:tc>
      </w:tr>
      <w:tr w14:paraId="11E5B4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737" w:type="dxa"/>
            <w:vMerge w:val="continue"/>
            <w:tcBorders>
              <w:top w:val="nil"/>
              <w:left w:val="single" w:color="000000" w:sz="6" w:space="0"/>
              <w:bottom w:val="nil"/>
            </w:tcBorders>
            <w:vAlign w:val="top"/>
          </w:tcPr>
          <w:p w14:paraId="0DA580FC">
            <w:pPr>
              <w:rPr>
                <w:rFonts w:ascii="Arial"/>
                <w:sz w:val="21"/>
              </w:rPr>
            </w:pPr>
          </w:p>
        </w:tc>
        <w:tc>
          <w:tcPr>
            <w:tcW w:w="1526" w:type="dxa"/>
            <w:vAlign w:val="top"/>
          </w:tcPr>
          <w:p w14:paraId="70641BD2">
            <w:pPr>
              <w:pStyle w:val="6"/>
              <w:spacing w:before="32"/>
              <w:ind w:left="376"/>
              <w:rPr>
                <w:rFonts w:ascii="仿宋" w:hAnsi="仿宋" w:eastAsia="仿宋" w:cs="仿宋"/>
              </w:rPr>
            </w:pPr>
            <w:r>
              <w:rPr>
                <w:spacing w:val="9"/>
              </w:rPr>
              <w:t>K2+000</w:t>
            </w:r>
            <w:r>
              <w:rPr>
                <w:rFonts w:ascii="仿宋" w:hAnsi="仿宋" w:eastAsia="仿宋" w:cs="仿宋"/>
                <w:spacing w:val="9"/>
              </w:rPr>
              <w:t>~</w:t>
            </w:r>
          </w:p>
          <w:p w14:paraId="04FCCBB3">
            <w:pPr>
              <w:pStyle w:val="6"/>
              <w:spacing w:before="15" w:line="176" w:lineRule="auto"/>
              <w:ind w:left="465"/>
            </w:pPr>
            <w:r>
              <w:rPr>
                <w:spacing w:val="-1"/>
              </w:rPr>
              <w:t>K3+000</w:t>
            </w:r>
          </w:p>
        </w:tc>
        <w:tc>
          <w:tcPr>
            <w:tcW w:w="741" w:type="dxa"/>
            <w:vAlign w:val="top"/>
          </w:tcPr>
          <w:p w14:paraId="4F8B0EC7">
            <w:pPr>
              <w:pStyle w:val="6"/>
              <w:spacing w:before="164" w:line="188" w:lineRule="auto"/>
              <w:ind w:left="137"/>
            </w:pPr>
            <w:r>
              <w:rPr>
                <w:spacing w:val="-4"/>
              </w:rPr>
              <w:t>1000.0</w:t>
            </w:r>
          </w:p>
        </w:tc>
        <w:tc>
          <w:tcPr>
            <w:tcW w:w="636" w:type="dxa"/>
            <w:vAlign w:val="top"/>
          </w:tcPr>
          <w:p w14:paraId="3A4AD590">
            <w:pPr>
              <w:pStyle w:val="6"/>
              <w:spacing w:before="164" w:line="188" w:lineRule="auto"/>
              <w:ind w:left="180"/>
            </w:pPr>
            <w:r>
              <w:rPr>
                <w:spacing w:val="-1"/>
              </w:rPr>
              <w:t>428</w:t>
            </w:r>
          </w:p>
        </w:tc>
        <w:tc>
          <w:tcPr>
            <w:tcW w:w="636" w:type="dxa"/>
            <w:vAlign w:val="top"/>
          </w:tcPr>
          <w:p w14:paraId="2A163557">
            <w:pPr>
              <w:pStyle w:val="6"/>
              <w:spacing w:before="164" w:line="188" w:lineRule="auto"/>
              <w:ind w:left="182"/>
            </w:pPr>
            <w:r>
              <w:rPr>
                <w:spacing w:val="-1"/>
              </w:rPr>
              <w:t>428</w:t>
            </w:r>
          </w:p>
        </w:tc>
        <w:tc>
          <w:tcPr>
            <w:tcW w:w="636" w:type="dxa"/>
            <w:vAlign w:val="top"/>
          </w:tcPr>
          <w:p w14:paraId="200FD129">
            <w:pPr>
              <w:pStyle w:val="6"/>
              <w:spacing w:before="164" w:line="188" w:lineRule="auto"/>
              <w:ind w:left="187"/>
            </w:pPr>
            <w:r>
              <w:rPr>
                <w:spacing w:val="-3"/>
              </w:rPr>
              <w:t>314</w:t>
            </w:r>
          </w:p>
        </w:tc>
        <w:tc>
          <w:tcPr>
            <w:tcW w:w="566" w:type="dxa"/>
            <w:vAlign w:val="top"/>
          </w:tcPr>
          <w:p w14:paraId="1705B0D6">
            <w:pPr>
              <w:pStyle w:val="6"/>
              <w:spacing w:before="164" w:line="188" w:lineRule="auto"/>
              <w:ind w:left="153"/>
            </w:pPr>
            <w:r>
              <w:rPr>
                <w:spacing w:val="-3"/>
              </w:rPr>
              <w:t>314</w:t>
            </w:r>
          </w:p>
        </w:tc>
        <w:tc>
          <w:tcPr>
            <w:tcW w:w="776" w:type="dxa"/>
            <w:vAlign w:val="top"/>
          </w:tcPr>
          <w:p w14:paraId="0601F011">
            <w:pPr>
              <w:pStyle w:val="6"/>
              <w:spacing w:before="164" w:line="188" w:lineRule="auto"/>
              <w:ind w:left="308"/>
            </w:pPr>
            <w:r>
              <w:rPr>
                <w:spacing w:val="-5"/>
              </w:rPr>
              <w:t>80</w:t>
            </w:r>
          </w:p>
        </w:tc>
        <w:tc>
          <w:tcPr>
            <w:tcW w:w="901" w:type="dxa"/>
            <w:vAlign w:val="top"/>
          </w:tcPr>
          <w:p w14:paraId="3C21829E">
            <w:pPr>
              <w:pStyle w:val="6"/>
              <w:spacing w:before="164" w:line="188" w:lineRule="auto"/>
              <w:ind w:left="319"/>
            </w:pPr>
            <w:r>
              <w:rPr>
                <w:spacing w:val="-1"/>
              </w:rPr>
              <w:t>234</w:t>
            </w:r>
          </w:p>
        </w:tc>
        <w:tc>
          <w:tcPr>
            <w:tcW w:w="1222" w:type="dxa"/>
            <w:tcBorders>
              <w:right w:val="single" w:color="000000" w:sz="6" w:space="0"/>
            </w:tcBorders>
            <w:vAlign w:val="top"/>
          </w:tcPr>
          <w:p w14:paraId="49D5579B">
            <w:pPr>
              <w:pStyle w:val="6"/>
              <w:spacing w:before="135" w:line="224" w:lineRule="auto"/>
              <w:ind w:left="185"/>
            </w:pPr>
            <w:r>
              <w:rPr>
                <w:rFonts w:ascii="仿宋" w:hAnsi="仿宋" w:eastAsia="仿宋" w:cs="仿宋"/>
                <w:spacing w:val="-5"/>
              </w:rPr>
              <w:t>调出</w:t>
            </w:r>
            <w:r>
              <w:rPr>
                <w:rFonts w:ascii="仿宋" w:hAnsi="仿宋" w:eastAsia="仿宋" w:cs="仿宋"/>
                <w:spacing w:val="-22"/>
              </w:rPr>
              <w:t xml:space="preserve"> </w:t>
            </w:r>
            <w:r>
              <w:rPr>
                <w:spacing w:val="-5"/>
              </w:rPr>
              <w:t>114m3</w:t>
            </w:r>
          </w:p>
        </w:tc>
      </w:tr>
      <w:tr w14:paraId="14EF6F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737" w:type="dxa"/>
            <w:vMerge w:val="continue"/>
            <w:tcBorders>
              <w:top w:val="nil"/>
              <w:left w:val="single" w:color="000000" w:sz="6" w:space="0"/>
              <w:bottom w:val="nil"/>
            </w:tcBorders>
            <w:vAlign w:val="top"/>
          </w:tcPr>
          <w:p w14:paraId="501A5F6E">
            <w:pPr>
              <w:rPr>
                <w:rFonts w:ascii="Arial"/>
                <w:sz w:val="21"/>
              </w:rPr>
            </w:pPr>
          </w:p>
        </w:tc>
        <w:tc>
          <w:tcPr>
            <w:tcW w:w="1526" w:type="dxa"/>
            <w:vAlign w:val="top"/>
          </w:tcPr>
          <w:p w14:paraId="6B990A6A">
            <w:pPr>
              <w:pStyle w:val="6"/>
              <w:spacing w:before="35"/>
              <w:ind w:left="376"/>
              <w:rPr>
                <w:rFonts w:ascii="仿宋" w:hAnsi="仿宋" w:eastAsia="仿宋" w:cs="仿宋"/>
              </w:rPr>
            </w:pPr>
            <w:r>
              <w:rPr>
                <w:spacing w:val="9"/>
              </w:rPr>
              <w:t>K3+000</w:t>
            </w:r>
            <w:r>
              <w:rPr>
                <w:rFonts w:ascii="仿宋" w:hAnsi="仿宋" w:eastAsia="仿宋" w:cs="仿宋"/>
                <w:spacing w:val="9"/>
              </w:rPr>
              <w:t>~</w:t>
            </w:r>
          </w:p>
          <w:p w14:paraId="022A3E96">
            <w:pPr>
              <w:pStyle w:val="6"/>
              <w:spacing w:before="14" w:line="175" w:lineRule="auto"/>
              <w:ind w:left="465"/>
            </w:pPr>
            <w:r>
              <w:rPr>
                <w:spacing w:val="-1"/>
              </w:rPr>
              <w:t>K3+539</w:t>
            </w:r>
          </w:p>
        </w:tc>
        <w:tc>
          <w:tcPr>
            <w:tcW w:w="741" w:type="dxa"/>
            <w:vAlign w:val="top"/>
          </w:tcPr>
          <w:p w14:paraId="79146A5A">
            <w:pPr>
              <w:pStyle w:val="6"/>
              <w:spacing w:before="166" w:line="188" w:lineRule="auto"/>
              <w:ind w:left="171"/>
            </w:pPr>
            <w:r>
              <w:rPr>
                <w:spacing w:val="-2"/>
              </w:rPr>
              <w:t>539.0</w:t>
            </w:r>
          </w:p>
        </w:tc>
        <w:tc>
          <w:tcPr>
            <w:tcW w:w="636" w:type="dxa"/>
            <w:vAlign w:val="top"/>
          </w:tcPr>
          <w:p w14:paraId="5A4C4440">
            <w:pPr>
              <w:pStyle w:val="6"/>
              <w:spacing w:before="166" w:line="188" w:lineRule="auto"/>
              <w:ind w:left="184"/>
            </w:pPr>
            <w:r>
              <w:rPr>
                <w:spacing w:val="-3"/>
              </w:rPr>
              <w:t>359</w:t>
            </w:r>
          </w:p>
        </w:tc>
        <w:tc>
          <w:tcPr>
            <w:tcW w:w="636" w:type="dxa"/>
            <w:vAlign w:val="top"/>
          </w:tcPr>
          <w:p w14:paraId="4EB8D07B">
            <w:pPr>
              <w:pStyle w:val="6"/>
              <w:spacing w:before="166" w:line="188" w:lineRule="auto"/>
              <w:ind w:left="187"/>
            </w:pPr>
            <w:r>
              <w:rPr>
                <w:spacing w:val="-3"/>
              </w:rPr>
              <w:t>359</w:t>
            </w:r>
          </w:p>
        </w:tc>
        <w:tc>
          <w:tcPr>
            <w:tcW w:w="636" w:type="dxa"/>
            <w:vAlign w:val="top"/>
          </w:tcPr>
          <w:p w14:paraId="4B3A7769">
            <w:pPr>
              <w:pStyle w:val="6"/>
              <w:spacing w:before="166" w:line="188" w:lineRule="auto"/>
              <w:ind w:left="200"/>
            </w:pPr>
            <w:r>
              <w:rPr>
                <w:spacing w:val="-7"/>
              </w:rPr>
              <w:t>159</w:t>
            </w:r>
          </w:p>
        </w:tc>
        <w:tc>
          <w:tcPr>
            <w:tcW w:w="566" w:type="dxa"/>
            <w:vAlign w:val="top"/>
          </w:tcPr>
          <w:p w14:paraId="5B199FC5">
            <w:pPr>
              <w:pStyle w:val="6"/>
              <w:spacing w:before="166" w:line="188" w:lineRule="auto"/>
              <w:ind w:left="167"/>
            </w:pPr>
            <w:r>
              <w:rPr>
                <w:spacing w:val="-7"/>
              </w:rPr>
              <w:t>159</w:t>
            </w:r>
          </w:p>
        </w:tc>
        <w:tc>
          <w:tcPr>
            <w:tcW w:w="776" w:type="dxa"/>
            <w:vAlign w:val="top"/>
          </w:tcPr>
          <w:p w14:paraId="07CA589F">
            <w:pPr>
              <w:pStyle w:val="6"/>
              <w:spacing w:before="166" w:line="188" w:lineRule="auto"/>
              <w:ind w:left="300"/>
            </w:pPr>
            <w:r>
              <w:rPr>
                <w:spacing w:val="-1"/>
              </w:rPr>
              <w:t>42</w:t>
            </w:r>
          </w:p>
        </w:tc>
        <w:tc>
          <w:tcPr>
            <w:tcW w:w="901" w:type="dxa"/>
            <w:vAlign w:val="top"/>
          </w:tcPr>
          <w:p w14:paraId="5DD7E03F">
            <w:pPr>
              <w:pStyle w:val="6"/>
              <w:spacing w:before="166" w:line="188" w:lineRule="auto"/>
              <w:ind w:left="337"/>
            </w:pPr>
            <w:r>
              <w:rPr>
                <w:spacing w:val="-7"/>
              </w:rPr>
              <w:t>117</w:t>
            </w:r>
          </w:p>
        </w:tc>
        <w:tc>
          <w:tcPr>
            <w:tcW w:w="1222" w:type="dxa"/>
            <w:tcBorders>
              <w:right w:val="single" w:color="000000" w:sz="6" w:space="0"/>
            </w:tcBorders>
            <w:vAlign w:val="top"/>
          </w:tcPr>
          <w:p w14:paraId="50D83A74">
            <w:pPr>
              <w:pStyle w:val="6"/>
              <w:spacing w:before="137" w:line="224" w:lineRule="auto"/>
              <w:ind w:left="185"/>
            </w:pPr>
            <w:r>
              <w:rPr>
                <w:rFonts w:ascii="仿宋" w:hAnsi="仿宋" w:eastAsia="仿宋" w:cs="仿宋"/>
                <w:spacing w:val="-3"/>
              </w:rPr>
              <w:t>调出</w:t>
            </w:r>
            <w:r>
              <w:rPr>
                <w:rFonts w:ascii="仿宋" w:hAnsi="仿宋" w:eastAsia="仿宋" w:cs="仿宋"/>
                <w:spacing w:val="-36"/>
              </w:rPr>
              <w:t xml:space="preserve"> </w:t>
            </w:r>
            <w:r>
              <w:rPr>
                <w:spacing w:val="-3"/>
              </w:rPr>
              <w:t>200m3</w:t>
            </w:r>
          </w:p>
        </w:tc>
      </w:tr>
      <w:tr w14:paraId="50C7A0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737" w:type="dxa"/>
            <w:vMerge w:val="continue"/>
            <w:tcBorders>
              <w:top w:val="nil"/>
              <w:left w:val="single" w:color="000000" w:sz="6" w:space="0"/>
              <w:bottom w:val="nil"/>
            </w:tcBorders>
            <w:vAlign w:val="top"/>
          </w:tcPr>
          <w:p w14:paraId="7DA93FE7">
            <w:pPr>
              <w:rPr>
                <w:rFonts w:ascii="Arial"/>
                <w:sz w:val="21"/>
              </w:rPr>
            </w:pPr>
          </w:p>
        </w:tc>
        <w:tc>
          <w:tcPr>
            <w:tcW w:w="1526" w:type="dxa"/>
            <w:vAlign w:val="top"/>
          </w:tcPr>
          <w:p w14:paraId="6AE213B4">
            <w:pPr>
              <w:spacing w:before="122" w:line="222" w:lineRule="auto"/>
              <w:ind w:left="413"/>
              <w:rPr>
                <w:rFonts w:ascii="仿宋" w:hAnsi="仿宋" w:eastAsia="仿宋" w:cs="仿宋"/>
                <w:sz w:val="18"/>
                <w:szCs w:val="18"/>
              </w:rPr>
            </w:pPr>
            <w:r>
              <w:rPr>
                <w:rFonts w:ascii="仿宋" w:hAnsi="仿宋" w:eastAsia="仿宋" w:cs="仿宋"/>
                <w:spacing w:val="-4"/>
                <w:sz w:val="18"/>
                <w:szCs w:val="18"/>
              </w:rPr>
              <w:t>清表亏方</w:t>
            </w:r>
          </w:p>
        </w:tc>
        <w:tc>
          <w:tcPr>
            <w:tcW w:w="741" w:type="dxa"/>
            <w:vAlign w:val="top"/>
          </w:tcPr>
          <w:p w14:paraId="2CD1D369">
            <w:pPr>
              <w:rPr>
                <w:rFonts w:ascii="Arial"/>
                <w:sz w:val="21"/>
              </w:rPr>
            </w:pPr>
          </w:p>
        </w:tc>
        <w:tc>
          <w:tcPr>
            <w:tcW w:w="636" w:type="dxa"/>
            <w:vAlign w:val="top"/>
          </w:tcPr>
          <w:p w14:paraId="1D6EA48C">
            <w:pPr>
              <w:rPr>
                <w:rFonts w:ascii="Arial"/>
                <w:sz w:val="21"/>
              </w:rPr>
            </w:pPr>
          </w:p>
        </w:tc>
        <w:tc>
          <w:tcPr>
            <w:tcW w:w="636" w:type="dxa"/>
            <w:vAlign w:val="top"/>
          </w:tcPr>
          <w:p w14:paraId="76AFF0F7">
            <w:pPr>
              <w:rPr>
                <w:rFonts w:ascii="Arial"/>
                <w:sz w:val="21"/>
              </w:rPr>
            </w:pPr>
          </w:p>
        </w:tc>
        <w:tc>
          <w:tcPr>
            <w:tcW w:w="636" w:type="dxa"/>
            <w:vAlign w:val="top"/>
          </w:tcPr>
          <w:p w14:paraId="37AE55C4">
            <w:pPr>
              <w:pStyle w:val="6"/>
              <w:spacing w:before="153" w:line="188" w:lineRule="auto"/>
              <w:ind w:left="140"/>
            </w:pPr>
            <w:r>
              <w:rPr>
                <w:spacing w:val="-1"/>
              </w:rPr>
              <w:t>2736</w:t>
            </w:r>
          </w:p>
        </w:tc>
        <w:tc>
          <w:tcPr>
            <w:tcW w:w="566" w:type="dxa"/>
            <w:vAlign w:val="top"/>
          </w:tcPr>
          <w:p w14:paraId="2722A375">
            <w:pPr>
              <w:pStyle w:val="6"/>
              <w:spacing w:before="50" w:line="188" w:lineRule="auto"/>
              <w:ind w:left="149"/>
            </w:pPr>
            <w:r>
              <w:rPr>
                <w:spacing w:val="-1"/>
              </w:rPr>
              <w:t>273</w:t>
            </w:r>
          </w:p>
          <w:p w14:paraId="7ED21551">
            <w:pPr>
              <w:pStyle w:val="6"/>
              <w:spacing w:before="43" w:line="177" w:lineRule="auto"/>
              <w:ind w:left="245"/>
            </w:pPr>
            <w:r>
              <w:t>6</w:t>
            </w:r>
          </w:p>
        </w:tc>
        <w:tc>
          <w:tcPr>
            <w:tcW w:w="776" w:type="dxa"/>
            <w:vAlign w:val="top"/>
          </w:tcPr>
          <w:p w14:paraId="1A30ED59">
            <w:pPr>
              <w:rPr>
                <w:rFonts w:ascii="Arial"/>
                <w:sz w:val="21"/>
              </w:rPr>
            </w:pPr>
          </w:p>
        </w:tc>
        <w:tc>
          <w:tcPr>
            <w:tcW w:w="901" w:type="dxa"/>
            <w:vAlign w:val="top"/>
          </w:tcPr>
          <w:p w14:paraId="28476754">
            <w:pPr>
              <w:rPr>
                <w:rFonts w:ascii="Arial"/>
                <w:sz w:val="21"/>
              </w:rPr>
            </w:pPr>
          </w:p>
        </w:tc>
        <w:tc>
          <w:tcPr>
            <w:tcW w:w="1222" w:type="dxa"/>
            <w:tcBorders>
              <w:right w:val="single" w:color="000000" w:sz="6" w:space="0"/>
            </w:tcBorders>
            <w:vAlign w:val="top"/>
          </w:tcPr>
          <w:p w14:paraId="6FCDB2A4">
            <w:pPr>
              <w:pStyle w:val="6"/>
              <w:spacing w:before="122" w:line="224" w:lineRule="auto"/>
              <w:ind w:left="139"/>
            </w:pPr>
            <w:r>
              <w:rPr>
                <w:rFonts w:ascii="仿宋" w:hAnsi="仿宋" w:eastAsia="仿宋" w:cs="仿宋"/>
                <w:spacing w:val="-2"/>
              </w:rPr>
              <w:t>调入</w:t>
            </w:r>
            <w:r>
              <w:rPr>
                <w:rFonts w:ascii="仿宋" w:hAnsi="仿宋" w:eastAsia="仿宋" w:cs="仿宋"/>
                <w:spacing w:val="-41"/>
              </w:rPr>
              <w:t xml:space="preserve"> </w:t>
            </w:r>
            <w:r>
              <w:rPr>
                <w:spacing w:val="-2"/>
              </w:rPr>
              <w:t>2736m3</w:t>
            </w:r>
          </w:p>
        </w:tc>
      </w:tr>
      <w:tr w14:paraId="0DF377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737" w:type="dxa"/>
            <w:vMerge w:val="continue"/>
            <w:tcBorders>
              <w:top w:val="nil"/>
              <w:left w:val="single" w:color="000000" w:sz="6" w:space="0"/>
              <w:bottom w:val="nil"/>
            </w:tcBorders>
            <w:vAlign w:val="top"/>
          </w:tcPr>
          <w:p w14:paraId="42DEF98C">
            <w:pPr>
              <w:rPr>
                <w:rFonts w:ascii="Arial"/>
                <w:sz w:val="21"/>
              </w:rPr>
            </w:pPr>
          </w:p>
        </w:tc>
        <w:tc>
          <w:tcPr>
            <w:tcW w:w="2267" w:type="dxa"/>
            <w:gridSpan w:val="2"/>
            <w:vAlign w:val="top"/>
          </w:tcPr>
          <w:p w14:paraId="514F2BD4">
            <w:pPr>
              <w:spacing w:before="123" w:line="222" w:lineRule="auto"/>
              <w:ind w:left="961"/>
              <w:rPr>
                <w:rFonts w:ascii="仿宋" w:hAnsi="仿宋" w:eastAsia="仿宋" w:cs="仿宋"/>
                <w:sz w:val="18"/>
                <w:szCs w:val="18"/>
              </w:rPr>
            </w:pPr>
            <w:r>
              <w:rPr>
                <w:rFonts w:ascii="仿宋" w:hAnsi="仿宋" w:eastAsia="仿宋" w:cs="仿宋"/>
                <w:spacing w:val="-6"/>
                <w:sz w:val="18"/>
                <w:szCs w:val="18"/>
              </w:rPr>
              <w:t>小计</w:t>
            </w:r>
          </w:p>
        </w:tc>
        <w:tc>
          <w:tcPr>
            <w:tcW w:w="636" w:type="dxa"/>
            <w:vAlign w:val="top"/>
          </w:tcPr>
          <w:p w14:paraId="237CD70F">
            <w:pPr>
              <w:pStyle w:val="6"/>
              <w:spacing w:before="154" w:line="188" w:lineRule="auto"/>
              <w:ind w:left="155"/>
            </w:pPr>
            <w:r>
              <w:rPr>
                <w:spacing w:val="-5"/>
              </w:rPr>
              <w:t>1876</w:t>
            </w:r>
          </w:p>
        </w:tc>
        <w:tc>
          <w:tcPr>
            <w:tcW w:w="636" w:type="dxa"/>
            <w:vAlign w:val="top"/>
          </w:tcPr>
          <w:p w14:paraId="5164952C">
            <w:pPr>
              <w:pStyle w:val="6"/>
              <w:spacing w:before="154" w:line="188" w:lineRule="auto"/>
              <w:ind w:left="155"/>
            </w:pPr>
            <w:r>
              <w:rPr>
                <w:spacing w:val="-5"/>
              </w:rPr>
              <w:t>1876</w:t>
            </w:r>
          </w:p>
        </w:tc>
        <w:tc>
          <w:tcPr>
            <w:tcW w:w="636" w:type="dxa"/>
            <w:vAlign w:val="top"/>
          </w:tcPr>
          <w:p w14:paraId="37B72D06">
            <w:pPr>
              <w:pStyle w:val="6"/>
              <w:spacing w:before="154" w:line="188" w:lineRule="auto"/>
              <w:ind w:left="143"/>
            </w:pPr>
            <w:r>
              <w:rPr>
                <w:spacing w:val="-2"/>
              </w:rPr>
              <w:t>3760</w:t>
            </w:r>
          </w:p>
        </w:tc>
        <w:tc>
          <w:tcPr>
            <w:tcW w:w="566" w:type="dxa"/>
            <w:vAlign w:val="top"/>
          </w:tcPr>
          <w:p w14:paraId="7FEE116A">
            <w:pPr>
              <w:pStyle w:val="6"/>
              <w:spacing w:before="51" w:line="188" w:lineRule="auto"/>
              <w:ind w:left="153"/>
            </w:pPr>
            <w:r>
              <w:rPr>
                <w:spacing w:val="-3"/>
              </w:rPr>
              <w:t>376</w:t>
            </w:r>
          </w:p>
          <w:p w14:paraId="53CABCD5">
            <w:pPr>
              <w:pStyle w:val="6"/>
              <w:spacing w:before="43" w:line="176" w:lineRule="auto"/>
              <w:ind w:left="243"/>
            </w:pPr>
            <w:r>
              <w:t>0</w:t>
            </w:r>
          </w:p>
        </w:tc>
        <w:tc>
          <w:tcPr>
            <w:tcW w:w="776" w:type="dxa"/>
            <w:vAlign w:val="top"/>
          </w:tcPr>
          <w:p w14:paraId="2F42DDB1">
            <w:pPr>
              <w:pStyle w:val="6"/>
              <w:spacing w:before="154" w:line="188" w:lineRule="auto"/>
              <w:ind w:left="259"/>
            </w:pPr>
            <w:r>
              <w:rPr>
                <w:spacing w:val="-3"/>
              </w:rPr>
              <w:t>301</w:t>
            </w:r>
          </w:p>
        </w:tc>
        <w:tc>
          <w:tcPr>
            <w:tcW w:w="901" w:type="dxa"/>
            <w:vAlign w:val="top"/>
          </w:tcPr>
          <w:p w14:paraId="370A23A3">
            <w:pPr>
              <w:pStyle w:val="6"/>
              <w:spacing w:before="154" w:line="188" w:lineRule="auto"/>
              <w:ind w:left="322"/>
            </w:pPr>
            <w:r>
              <w:rPr>
                <w:spacing w:val="-2"/>
              </w:rPr>
              <w:t>723</w:t>
            </w:r>
          </w:p>
        </w:tc>
        <w:tc>
          <w:tcPr>
            <w:tcW w:w="1222" w:type="dxa"/>
            <w:tcBorders>
              <w:right w:val="single" w:color="000000" w:sz="6" w:space="0"/>
            </w:tcBorders>
            <w:vAlign w:val="top"/>
          </w:tcPr>
          <w:p w14:paraId="23165D84">
            <w:pPr>
              <w:rPr>
                <w:rFonts w:ascii="Arial"/>
                <w:sz w:val="21"/>
              </w:rPr>
            </w:pPr>
          </w:p>
        </w:tc>
      </w:tr>
      <w:tr w14:paraId="07CAD0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5BAF1632">
            <w:pPr>
              <w:rPr>
                <w:rFonts w:ascii="Arial"/>
                <w:sz w:val="21"/>
              </w:rPr>
            </w:pPr>
          </w:p>
        </w:tc>
        <w:tc>
          <w:tcPr>
            <w:tcW w:w="7640" w:type="dxa"/>
            <w:gridSpan w:val="9"/>
            <w:tcBorders>
              <w:right w:val="single" w:color="000000" w:sz="6" w:space="0"/>
            </w:tcBorders>
            <w:vAlign w:val="top"/>
          </w:tcPr>
          <w:p w14:paraId="0D8252C0">
            <w:pPr>
              <w:pStyle w:val="6"/>
              <w:spacing w:before="34" w:line="198" w:lineRule="auto"/>
              <w:ind w:left="1532"/>
              <w:rPr>
                <w:rFonts w:ascii="仿宋" w:hAnsi="仿宋" w:eastAsia="仿宋" w:cs="仿宋"/>
              </w:rPr>
            </w:pPr>
            <w:r>
              <w:rPr>
                <w:rFonts w:ascii="仿宋" w:hAnsi="仿宋" w:eastAsia="仿宋" w:cs="仿宋"/>
                <w:spacing w:val="-1"/>
              </w:rPr>
              <w:t>准格尔旗</w:t>
            </w:r>
            <w:r>
              <w:rPr>
                <w:rFonts w:ascii="仿宋" w:hAnsi="仿宋" w:eastAsia="仿宋" w:cs="仿宋"/>
                <w:spacing w:val="-40"/>
              </w:rPr>
              <w:t xml:space="preserve"> </w:t>
            </w:r>
            <w:r>
              <w:rPr>
                <w:spacing w:val="-1"/>
              </w:rPr>
              <w:t>2025</w:t>
            </w:r>
            <w:r>
              <w:rPr>
                <w:spacing w:val="15"/>
              </w:rPr>
              <w:t xml:space="preserve"> </w:t>
            </w:r>
            <w:r>
              <w:rPr>
                <w:rFonts w:ascii="仿宋" w:hAnsi="仿宋" w:eastAsia="仿宋" w:cs="仿宋"/>
                <w:spacing w:val="-1"/>
              </w:rPr>
              <w:t>年十二连城乡二道拐村自然</w:t>
            </w:r>
            <w:r>
              <w:rPr>
                <w:rFonts w:ascii="仿宋" w:hAnsi="仿宋" w:eastAsia="仿宋" w:cs="仿宋"/>
                <w:spacing w:val="-2"/>
              </w:rPr>
              <w:t>村通硬化路工程</w:t>
            </w:r>
          </w:p>
        </w:tc>
      </w:tr>
      <w:tr w14:paraId="57346B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68260404">
            <w:pPr>
              <w:rPr>
                <w:rFonts w:ascii="Arial"/>
                <w:sz w:val="21"/>
              </w:rPr>
            </w:pPr>
          </w:p>
        </w:tc>
        <w:tc>
          <w:tcPr>
            <w:tcW w:w="2267" w:type="dxa"/>
            <w:gridSpan w:val="2"/>
            <w:vAlign w:val="top"/>
          </w:tcPr>
          <w:p w14:paraId="45C7F194">
            <w:pPr>
              <w:spacing w:before="34" w:line="222" w:lineRule="auto"/>
              <w:ind w:left="152"/>
              <w:rPr>
                <w:rFonts w:ascii="仿宋" w:hAnsi="仿宋" w:eastAsia="仿宋" w:cs="仿宋"/>
                <w:sz w:val="18"/>
                <w:szCs w:val="18"/>
              </w:rPr>
            </w:pPr>
            <w:r>
              <w:rPr>
                <w:rFonts w:ascii="仿宋" w:hAnsi="仿宋" w:eastAsia="仿宋" w:cs="仿宋"/>
                <w:spacing w:val="-2"/>
                <w:sz w:val="18"/>
                <w:szCs w:val="18"/>
              </w:rPr>
              <w:t>份子地社新村至二道拐村</w:t>
            </w:r>
          </w:p>
          <w:p w14:paraId="74115112">
            <w:pPr>
              <w:spacing w:before="16" w:line="199" w:lineRule="auto"/>
              <w:ind w:left="968"/>
              <w:rPr>
                <w:rFonts w:ascii="仿宋" w:hAnsi="仿宋" w:eastAsia="仿宋" w:cs="仿宋"/>
                <w:sz w:val="18"/>
                <w:szCs w:val="18"/>
              </w:rPr>
            </w:pPr>
            <w:r>
              <w:rPr>
                <w:rFonts w:ascii="仿宋" w:hAnsi="仿宋" w:eastAsia="仿宋" w:cs="仿宋"/>
                <w:spacing w:val="-10"/>
                <w:sz w:val="18"/>
                <w:szCs w:val="18"/>
              </w:rPr>
              <w:t>委会</w:t>
            </w:r>
          </w:p>
        </w:tc>
        <w:tc>
          <w:tcPr>
            <w:tcW w:w="636" w:type="dxa"/>
            <w:vAlign w:val="top"/>
          </w:tcPr>
          <w:p w14:paraId="4DBF4CF3">
            <w:pPr>
              <w:rPr>
                <w:rFonts w:ascii="Arial"/>
                <w:sz w:val="21"/>
              </w:rPr>
            </w:pPr>
          </w:p>
        </w:tc>
        <w:tc>
          <w:tcPr>
            <w:tcW w:w="636" w:type="dxa"/>
            <w:vAlign w:val="top"/>
          </w:tcPr>
          <w:p w14:paraId="3C2B4B82">
            <w:pPr>
              <w:rPr>
                <w:rFonts w:ascii="Arial"/>
                <w:sz w:val="21"/>
              </w:rPr>
            </w:pPr>
          </w:p>
        </w:tc>
        <w:tc>
          <w:tcPr>
            <w:tcW w:w="636" w:type="dxa"/>
            <w:vAlign w:val="top"/>
          </w:tcPr>
          <w:p w14:paraId="37DF0A4A">
            <w:pPr>
              <w:rPr>
                <w:rFonts w:ascii="Arial"/>
                <w:sz w:val="21"/>
              </w:rPr>
            </w:pPr>
          </w:p>
        </w:tc>
        <w:tc>
          <w:tcPr>
            <w:tcW w:w="566" w:type="dxa"/>
            <w:vAlign w:val="top"/>
          </w:tcPr>
          <w:p w14:paraId="1F5F5612">
            <w:pPr>
              <w:rPr>
                <w:rFonts w:ascii="Arial"/>
                <w:sz w:val="21"/>
              </w:rPr>
            </w:pPr>
          </w:p>
        </w:tc>
        <w:tc>
          <w:tcPr>
            <w:tcW w:w="776" w:type="dxa"/>
            <w:vAlign w:val="top"/>
          </w:tcPr>
          <w:p w14:paraId="7E648709">
            <w:pPr>
              <w:rPr>
                <w:rFonts w:ascii="Arial"/>
                <w:sz w:val="21"/>
              </w:rPr>
            </w:pPr>
          </w:p>
        </w:tc>
        <w:tc>
          <w:tcPr>
            <w:tcW w:w="901" w:type="dxa"/>
            <w:vAlign w:val="top"/>
          </w:tcPr>
          <w:p w14:paraId="52218359">
            <w:pPr>
              <w:rPr>
                <w:rFonts w:ascii="Arial"/>
                <w:sz w:val="21"/>
              </w:rPr>
            </w:pPr>
          </w:p>
        </w:tc>
        <w:tc>
          <w:tcPr>
            <w:tcW w:w="1222" w:type="dxa"/>
            <w:tcBorders>
              <w:right w:val="single" w:color="000000" w:sz="6" w:space="0"/>
            </w:tcBorders>
            <w:vAlign w:val="top"/>
          </w:tcPr>
          <w:p w14:paraId="15D8860C">
            <w:pPr>
              <w:rPr>
                <w:rFonts w:ascii="Arial"/>
                <w:sz w:val="21"/>
              </w:rPr>
            </w:pPr>
          </w:p>
        </w:tc>
      </w:tr>
      <w:tr w14:paraId="05CC61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737" w:type="dxa"/>
            <w:vMerge w:val="continue"/>
            <w:tcBorders>
              <w:top w:val="nil"/>
              <w:left w:val="single" w:color="000000" w:sz="6" w:space="0"/>
              <w:bottom w:val="nil"/>
            </w:tcBorders>
            <w:vAlign w:val="top"/>
          </w:tcPr>
          <w:p w14:paraId="3F212B79">
            <w:pPr>
              <w:rPr>
                <w:rFonts w:ascii="Arial"/>
                <w:sz w:val="21"/>
              </w:rPr>
            </w:pPr>
          </w:p>
        </w:tc>
        <w:tc>
          <w:tcPr>
            <w:tcW w:w="1526" w:type="dxa"/>
            <w:vAlign w:val="top"/>
          </w:tcPr>
          <w:p w14:paraId="15D7C659">
            <w:pPr>
              <w:pStyle w:val="6"/>
              <w:spacing w:before="36"/>
              <w:ind w:left="376"/>
              <w:rPr>
                <w:rFonts w:ascii="仿宋" w:hAnsi="仿宋" w:eastAsia="仿宋" w:cs="仿宋"/>
              </w:rPr>
            </w:pPr>
            <w:r>
              <w:rPr>
                <w:spacing w:val="9"/>
              </w:rPr>
              <w:t>K0+000</w:t>
            </w:r>
            <w:r>
              <w:rPr>
                <w:rFonts w:ascii="仿宋" w:hAnsi="仿宋" w:eastAsia="仿宋" w:cs="仿宋"/>
                <w:spacing w:val="9"/>
              </w:rPr>
              <w:t>~</w:t>
            </w:r>
          </w:p>
          <w:p w14:paraId="20FC0D24">
            <w:pPr>
              <w:pStyle w:val="6"/>
              <w:spacing w:before="15" w:line="172" w:lineRule="auto"/>
              <w:ind w:left="465"/>
            </w:pPr>
            <w:r>
              <w:rPr>
                <w:spacing w:val="-1"/>
              </w:rPr>
              <w:t>K1+000</w:t>
            </w:r>
          </w:p>
        </w:tc>
        <w:tc>
          <w:tcPr>
            <w:tcW w:w="741" w:type="dxa"/>
            <w:vAlign w:val="top"/>
          </w:tcPr>
          <w:p w14:paraId="139BAFF8">
            <w:pPr>
              <w:pStyle w:val="6"/>
              <w:spacing w:before="65" w:line="188" w:lineRule="auto"/>
              <w:ind w:left="137"/>
            </w:pPr>
            <w:r>
              <w:rPr>
                <w:spacing w:val="-4"/>
              </w:rPr>
              <w:t>1000.0</w:t>
            </w:r>
          </w:p>
          <w:p w14:paraId="336C9D8E">
            <w:pPr>
              <w:pStyle w:val="6"/>
              <w:spacing w:before="44" w:line="188" w:lineRule="auto"/>
              <w:ind w:left="281"/>
            </w:pPr>
            <w:r>
              <w:rPr>
                <w:spacing w:val="-3"/>
              </w:rPr>
              <w:t>00</w:t>
            </w:r>
          </w:p>
        </w:tc>
        <w:tc>
          <w:tcPr>
            <w:tcW w:w="636" w:type="dxa"/>
            <w:vAlign w:val="top"/>
          </w:tcPr>
          <w:p w14:paraId="6EDE1BF5">
            <w:pPr>
              <w:pStyle w:val="6"/>
              <w:spacing w:before="168" w:line="188" w:lineRule="auto"/>
              <w:ind w:left="186"/>
            </w:pPr>
            <w:r>
              <w:rPr>
                <w:spacing w:val="-3"/>
              </w:rPr>
              <w:t>543</w:t>
            </w:r>
          </w:p>
        </w:tc>
        <w:tc>
          <w:tcPr>
            <w:tcW w:w="636" w:type="dxa"/>
            <w:vAlign w:val="top"/>
          </w:tcPr>
          <w:p w14:paraId="10C7D0F1">
            <w:pPr>
              <w:pStyle w:val="6"/>
              <w:spacing w:before="168" w:line="188" w:lineRule="auto"/>
              <w:ind w:left="188"/>
            </w:pPr>
            <w:r>
              <w:rPr>
                <w:spacing w:val="-3"/>
              </w:rPr>
              <w:t>543</w:t>
            </w:r>
          </w:p>
        </w:tc>
        <w:tc>
          <w:tcPr>
            <w:tcW w:w="636" w:type="dxa"/>
            <w:vAlign w:val="top"/>
          </w:tcPr>
          <w:p w14:paraId="215853C8">
            <w:pPr>
              <w:pStyle w:val="6"/>
              <w:spacing w:before="168" w:line="188" w:lineRule="auto"/>
              <w:ind w:left="183"/>
            </w:pPr>
            <w:r>
              <w:rPr>
                <w:spacing w:val="-1"/>
              </w:rPr>
              <w:t>280</w:t>
            </w:r>
          </w:p>
        </w:tc>
        <w:tc>
          <w:tcPr>
            <w:tcW w:w="566" w:type="dxa"/>
            <w:vAlign w:val="top"/>
          </w:tcPr>
          <w:p w14:paraId="2FDC37D3">
            <w:pPr>
              <w:pStyle w:val="6"/>
              <w:spacing w:before="168" w:line="188" w:lineRule="auto"/>
              <w:ind w:left="149"/>
            </w:pPr>
            <w:r>
              <w:rPr>
                <w:spacing w:val="-1"/>
              </w:rPr>
              <w:t>280</w:t>
            </w:r>
          </w:p>
        </w:tc>
        <w:tc>
          <w:tcPr>
            <w:tcW w:w="776" w:type="dxa"/>
            <w:vAlign w:val="top"/>
          </w:tcPr>
          <w:p w14:paraId="58714181">
            <w:pPr>
              <w:pStyle w:val="6"/>
              <w:spacing w:before="170" w:line="185" w:lineRule="auto"/>
              <w:ind w:left="306"/>
            </w:pPr>
            <w:r>
              <w:rPr>
                <w:spacing w:val="-4"/>
              </w:rPr>
              <w:t>55</w:t>
            </w:r>
          </w:p>
        </w:tc>
        <w:tc>
          <w:tcPr>
            <w:tcW w:w="901" w:type="dxa"/>
            <w:vAlign w:val="top"/>
          </w:tcPr>
          <w:p w14:paraId="1B5FC745">
            <w:pPr>
              <w:pStyle w:val="6"/>
              <w:spacing w:before="168" w:line="188" w:lineRule="auto"/>
              <w:ind w:left="319"/>
            </w:pPr>
            <w:r>
              <w:rPr>
                <w:spacing w:val="-1"/>
              </w:rPr>
              <w:t>225</w:t>
            </w:r>
          </w:p>
        </w:tc>
        <w:tc>
          <w:tcPr>
            <w:tcW w:w="1222" w:type="dxa"/>
            <w:tcBorders>
              <w:right w:val="single" w:color="000000" w:sz="6" w:space="0"/>
            </w:tcBorders>
            <w:vAlign w:val="top"/>
          </w:tcPr>
          <w:p w14:paraId="1C5FD018">
            <w:pPr>
              <w:pStyle w:val="6"/>
              <w:spacing w:before="139" w:line="224" w:lineRule="auto"/>
              <w:ind w:left="185"/>
            </w:pPr>
            <w:r>
              <w:rPr>
                <w:rFonts w:ascii="仿宋" w:hAnsi="仿宋" w:eastAsia="仿宋" w:cs="仿宋"/>
                <w:spacing w:val="-3"/>
              </w:rPr>
              <w:t>调出</w:t>
            </w:r>
            <w:r>
              <w:rPr>
                <w:rFonts w:ascii="仿宋" w:hAnsi="仿宋" w:eastAsia="仿宋" w:cs="仿宋"/>
                <w:spacing w:val="-36"/>
              </w:rPr>
              <w:t xml:space="preserve"> </w:t>
            </w:r>
            <w:r>
              <w:rPr>
                <w:spacing w:val="-3"/>
              </w:rPr>
              <w:t>263m3</w:t>
            </w:r>
          </w:p>
        </w:tc>
      </w:tr>
      <w:tr w14:paraId="70D3AD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737" w:type="dxa"/>
            <w:vMerge w:val="continue"/>
            <w:tcBorders>
              <w:top w:val="nil"/>
              <w:left w:val="single" w:color="000000" w:sz="6" w:space="0"/>
              <w:bottom w:val="nil"/>
            </w:tcBorders>
            <w:vAlign w:val="top"/>
          </w:tcPr>
          <w:p w14:paraId="1CD4D374">
            <w:pPr>
              <w:rPr>
                <w:rFonts w:ascii="Arial"/>
                <w:sz w:val="21"/>
              </w:rPr>
            </w:pPr>
          </w:p>
        </w:tc>
        <w:tc>
          <w:tcPr>
            <w:tcW w:w="1526" w:type="dxa"/>
            <w:vAlign w:val="top"/>
          </w:tcPr>
          <w:p w14:paraId="68EF9CAA">
            <w:pPr>
              <w:pStyle w:val="6"/>
              <w:spacing w:before="38"/>
              <w:ind w:left="376"/>
              <w:rPr>
                <w:rFonts w:ascii="仿宋" w:hAnsi="仿宋" w:eastAsia="仿宋" w:cs="仿宋"/>
              </w:rPr>
            </w:pPr>
            <w:r>
              <w:rPr>
                <w:spacing w:val="9"/>
              </w:rPr>
              <w:t>K1+000</w:t>
            </w:r>
            <w:r>
              <w:rPr>
                <w:rFonts w:ascii="仿宋" w:hAnsi="仿宋" w:eastAsia="仿宋" w:cs="仿宋"/>
                <w:spacing w:val="9"/>
              </w:rPr>
              <w:t>~</w:t>
            </w:r>
          </w:p>
          <w:p w14:paraId="3DD6A44F">
            <w:pPr>
              <w:pStyle w:val="6"/>
              <w:spacing w:before="14" w:line="171" w:lineRule="auto"/>
              <w:ind w:left="306"/>
            </w:pPr>
            <w:r>
              <w:rPr>
                <w:spacing w:val="-1"/>
              </w:rPr>
              <w:t>K1+593.103</w:t>
            </w:r>
          </w:p>
        </w:tc>
        <w:tc>
          <w:tcPr>
            <w:tcW w:w="741" w:type="dxa"/>
            <w:vAlign w:val="top"/>
          </w:tcPr>
          <w:p w14:paraId="58ADAF73">
            <w:pPr>
              <w:pStyle w:val="6"/>
              <w:spacing w:before="67" w:line="188" w:lineRule="auto"/>
              <w:ind w:left="125"/>
            </w:pPr>
            <w:r>
              <w:rPr>
                <w:spacing w:val="-2"/>
              </w:rPr>
              <w:t>593.10</w:t>
            </w:r>
          </w:p>
          <w:p w14:paraId="1F4185ED">
            <w:pPr>
              <w:pStyle w:val="6"/>
              <w:spacing w:before="44" w:line="187" w:lineRule="auto"/>
              <w:ind w:left="328"/>
            </w:pPr>
            <w:r>
              <w:t>3</w:t>
            </w:r>
          </w:p>
        </w:tc>
        <w:tc>
          <w:tcPr>
            <w:tcW w:w="636" w:type="dxa"/>
            <w:vAlign w:val="top"/>
          </w:tcPr>
          <w:p w14:paraId="07752E15">
            <w:pPr>
              <w:pStyle w:val="6"/>
              <w:spacing w:before="170" w:line="188" w:lineRule="auto"/>
              <w:ind w:left="188"/>
            </w:pPr>
            <w:r>
              <w:rPr>
                <w:spacing w:val="-4"/>
              </w:rPr>
              <w:t>894</w:t>
            </w:r>
          </w:p>
        </w:tc>
        <w:tc>
          <w:tcPr>
            <w:tcW w:w="636" w:type="dxa"/>
            <w:vAlign w:val="top"/>
          </w:tcPr>
          <w:p w14:paraId="75AD4ACE">
            <w:pPr>
              <w:pStyle w:val="6"/>
              <w:spacing w:before="170" w:line="188" w:lineRule="auto"/>
              <w:ind w:left="190"/>
            </w:pPr>
            <w:r>
              <w:rPr>
                <w:spacing w:val="-4"/>
              </w:rPr>
              <w:t>894</w:t>
            </w:r>
          </w:p>
        </w:tc>
        <w:tc>
          <w:tcPr>
            <w:tcW w:w="636" w:type="dxa"/>
            <w:vAlign w:val="top"/>
          </w:tcPr>
          <w:p w14:paraId="6D48D017">
            <w:pPr>
              <w:pStyle w:val="6"/>
              <w:spacing w:before="170" w:line="188" w:lineRule="auto"/>
              <w:ind w:left="232"/>
            </w:pPr>
            <w:r>
              <w:rPr>
                <w:spacing w:val="-4"/>
              </w:rPr>
              <w:t>36</w:t>
            </w:r>
          </w:p>
        </w:tc>
        <w:tc>
          <w:tcPr>
            <w:tcW w:w="566" w:type="dxa"/>
            <w:vAlign w:val="top"/>
          </w:tcPr>
          <w:p w14:paraId="7BD127FE">
            <w:pPr>
              <w:pStyle w:val="6"/>
              <w:spacing w:before="170" w:line="188" w:lineRule="auto"/>
              <w:ind w:left="199"/>
            </w:pPr>
            <w:r>
              <w:rPr>
                <w:spacing w:val="-4"/>
              </w:rPr>
              <w:t>36</w:t>
            </w:r>
          </w:p>
        </w:tc>
        <w:tc>
          <w:tcPr>
            <w:tcW w:w="776" w:type="dxa"/>
            <w:vAlign w:val="top"/>
          </w:tcPr>
          <w:p w14:paraId="482FDAB4">
            <w:pPr>
              <w:pStyle w:val="6"/>
              <w:spacing w:before="170" w:line="188" w:lineRule="auto"/>
              <w:ind w:left="318"/>
            </w:pPr>
            <w:r>
              <w:rPr>
                <w:spacing w:val="-10"/>
              </w:rPr>
              <w:t>14</w:t>
            </w:r>
          </w:p>
        </w:tc>
        <w:tc>
          <w:tcPr>
            <w:tcW w:w="901" w:type="dxa"/>
            <w:vAlign w:val="top"/>
          </w:tcPr>
          <w:p w14:paraId="3BF5FC35">
            <w:pPr>
              <w:pStyle w:val="6"/>
              <w:spacing w:before="170" w:line="188" w:lineRule="auto"/>
              <w:ind w:left="365"/>
            </w:pPr>
            <w:r>
              <w:rPr>
                <w:spacing w:val="-2"/>
              </w:rPr>
              <w:t>22</w:t>
            </w:r>
          </w:p>
        </w:tc>
        <w:tc>
          <w:tcPr>
            <w:tcW w:w="1222" w:type="dxa"/>
            <w:tcBorders>
              <w:right w:val="single" w:color="000000" w:sz="6" w:space="0"/>
            </w:tcBorders>
            <w:vAlign w:val="top"/>
          </w:tcPr>
          <w:p w14:paraId="4F72E801">
            <w:pPr>
              <w:pStyle w:val="6"/>
              <w:spacing w:before="138" w:line="224" w:lineRule="auto"/>
              <w:ind w:left="185"/>
            </w:pPr>
            <w:r>
              <w:rPr>
                <w:rFonts w:ascii="仿宋" w:hAnsi="仿宋" w:eastAsia="仿宋" w:cs="仿宋"/>
                <w:spacing w:val="-4"/>
              </w:rPr>
              <w:t>调出</w:t>
            </w:r>
            <w:r>
              <w:rPr>
                <w:rFonts w:ascii="仿宋" w:hAnsi="仿宋" w:eastAsia="仿宋" w:cs="仿宋"/>
                <w:spacing w:val="-29"/>
              </w:rPr>
              <w:t xml:space="preserve"> </w:t>
            </w:r>
            <w:r>
              <w:rPr>
                <w:spacing w:val="-4"/>
              </w:rPr>
              <w:t>858m3</w:t>
            </w:r>
          </w:p>
        </w:tc>
      </w:tr>
      <w:tr w14:paraId="218FE1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69562C51">
            <w:pPr>
              <w:rPr>
                <w:rFonts w:ascii="Arial"/>
                <w:sz w:val="21"/>
              </w:rPr>
            </w:pPr>
          </w:p>
        </w:tc>
        <w:tc>
          <w:tcPr>
            <w:tcW w:w="1526" w:type="dxa"/>
            <w:vAlign w:val="top"/>
          </w:tcPr>
          <w:p w14:paraId="16DFB585">
            <w:pPr>
              <w:spacing w:before="36" w:line="196" w:lineRule="auto"/>
              <w:ind w:left="413"/>
              <w:rPr>
                <w:rFonts w:ascii="仿宋" w:hAnsi="仿宋" w:eastAsia="仿宋" w:cs="仿宋"/>
                <w:sz w:val="18"/>
                <w:szCs w:val="18"/>
              </w:rPr>
            </w:pPr>
            <w:r>
              <w:rPr>
                <w:rFonts w:ascii="仿宋" w:hAnsi="仿宋" w:eastAsia="仿宋" w:cs="仿宋"/>
                <w:spacing w:val="-4"/>
                <w:sz w:val="18"/>
                <w:szCs w:val="18"/>
              </w:rPr>
              <w:t>清表亏方</w:t>
            </w:r>
          </w:p>
        </w:tc>
        <w:tc>
          <w:tcPr>
            <w:tcW w:w="741" w:type="dxa"/>
            <w:vAlign w:val="top"/>
          </w:tcPr>
          <w:p w14:paraId="5CA8DAD2">
            <w:pPr>
              <w:spacing w:line="227" w:lineRule="exact"/>
              <w:rPr>
                <w:rFonts w:ascii="Arial"/>
                <w:sz w:val="19"/>
              </w:rPr>
            </w:pPr>
          </w:p>
        </w:tc>
        <w:tc>
          <w:tcPr>
            <w:tcW w:w="636" w:type="dxa"/>
            <w:vAlign w:val="top"/>
          </w:tcPr>
          <w:p w14:paraId="1DBBF6A6">
            <w:pPr>
              <w:spacing w:line="227" w:lineRule="exact"/>
              <w:rPr>
                <w:rFonts w:ascii="Arial"/>
                <w:sz w:val="19"/>
              </w:rPr>
            </w:pPr>
          </w:p>
        </w:tc>
        <w:tc>
          <w:tcPr>
            <w:tcW w:w="636" w:type="dxa"/>
            <w:vAlign w:val="top"/>
          </w:tcPr>
          <w:p w14:paraId="44BE0F71">
            <w:pPr>
              <w:spacing w:line="227" w:lineRule="exact"/>
              <w:rPr>
                <w:rFonts w:ascii="Arial"/>
                <w:sz w:val="19"/>
              </w:rPr>
            </w:pPr>
          </w:p>
        </w:tc>
        <w:tc>
          <w:tcPr>
            <w:tcW w:w="636" w:type="dxa"/>
            <w:vAlign w:val="top"/>
          </w:tcPr>
          <w:p w14:paraId="57301E51">
            <w:pPr>
              <w:pStyle w:val="6"/>
              <w:spacing w:before="68" w:line="185" w:lineRule="auto"/>
              <w:ind w:left="187"/>
            </w:pPr>
            <w:r>
              <w:rPr>
                <w:spacing w:val="-3"/>
              </w:rPr>
              <w:t>695</w:t>
            </w:r>
          </w:p>
        </w:tc>
        <w:tc>
          <w:tcPr>
            <w:tcW w:w="566" w:type="dxa"/>
            <w:vAlign w:val="top"/>
          </w:tcPr>
          <w:p w14:paraId="4FA5C5E1">
            <w:pPr>
              <w:pStyle w:val="6"/>
              <w:spacing w:before="68" w:line="185" w:lineRule="auto"/>
              <w:ind w:left="153"/>
            </w:pPr>
            <w:r>
              <w:rPr>
                <w:spacing w:val="-3"/>
              </w:rPr>
              <w:t>695</w:t>
            </w:r>
          </w:p>
        </w:tc>
        <w:tc>
          <w:tcPr>
            <w:tcW w:w="776" w:type="dxa"/>
            <w:vAlign w:val="top"/>
          </w:tcPr>
          <w:p w14:paraId="41EFC84B">
            <w:pPr>
              <w:spacing w:line="227" w:lineRule="exact"/>
              <w:rPr>
                <w:rFonts w:ascii="Arial"/>
                <w:sz w:val="19"/>
              </w:rPr>
            </w:pPr>
          </w:p>
        </w:tc>
        <w:tc>
          <w:tcPr>
            <w:tcW w:w="901" w:type="dxa"/>
            <w:vAlign w:val="top"/>
          </w:tcPr>
          <w:p w14:paraId="31A6F87F">
            <w:pPr>
              <w:spacing w:line="227" w:lineRule="exact"/>
              <w:rPr>
                <w:rFonts w:ascii="Arial"/>
                <w:sz w:val="19"/>
              </w:rPr>
            </w:pPr>
          </w:p>
        </w:tc>
        <w:tc>
          <w:tcPr>
            <w:tcW w:w="1222" w:type="dxa"/>
            <w:tcBorders>
              <w:right w:val="single" w:color="000000" w:sz="6" w:space="0"/>
            </w:tcBorders>
            <w:vAlign w:val="top"/>
          </w:tcPr>
          <w:p w14:paraId="00E3AE79">
            <w:pPr>
              <w:pStyle w:val="6"/>
              <w:spacing w:before="36" w:line="196" w:lineRule="auto"/>
              <w:ind w:left="185"/>
            </w:pPr>
            <w:r>
              <w:rPr>
                <w:rFonts w:ascii="仿宋" w:hAnsi="仿宋" w:eastAsia="仿宋" w:cs="仿宋"/>
                <w:spacing w:val="-3"/>
              </w:rPr>
              <w:t>调入</w:t>
            </w:r>
            <w:r>
              <w:rPr>
                <w:rFonts w:ascii="仿宋" w:hAnsi="仿宋" w:eastAsia="仿宋" w:cs="仿宋"/>
                <w:spacing w:val="-36"/>
              </w:rPr>
              <w:t xml:space="preserve"> </w:t>
            </w:r>
            <w:r>
              <w:rPr>
                <w:spacing w:val="-3"/>
              </w:rPr>
              <w:t>695m3</w:t>
            </w:r>
          </w:p>
        </w:tc>
      </w:tr>
      <w:tr w14:paraId="5F1503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2DFF55D5">
            <w:pPr>
              <w:rPr>
                <w:rFonts w:ascii="Arial"/>
                <w:sz w:val="21"/>
              </w:rPr>
            </w:pPr>
          </w:p>
        </w:tc>
        <w:tc>
          <w:tcPr>
            <w:tcW w:w="2267" w:type="dxa"/>
            <w:gridSpan w:val="2"/>
            <w:vAlign w:val="top"/>
          </w:tcPr>
          <w:p w14:paraId="0023391E">
            <w:pPr>
              <w:spacing w:before="38" w:line="195" w:lineRule="auto"/>
              <w:ind w:left="158"/>
              <w:rPr>
                <w:rFonts w:ascii="仿宋" w:hAnsi="仿宋" w:eastAsia="仿宋" w:cs="仿宋"/>
                <w:sz w:val="18"/>
                <w:szCs w:val="18"/>
              </w:rPr>
            </w:pPr>
            <w:r>
              <w:rPr>
                <w:rFonts w:ascii="仿宋" w:hAnsi="仿宋" w:eastAsia="仿宋" w:cs="仿宋"/>
                <w:spacing w:val="-2"/>
                <w:sz w:val="18"/>
                <w:szCs w:val="18"/>
              </w:rPr>
              <w:t>二道拐坡底至张家圪旦社</w:t>
            </w:r>
          </w:p>
        </w:tc>
        <w:tc>
          <w:tcPr>
            <w:tcW w:w="636" w:type="dxa"/>
            <w:vAlign w:val="top"/>
          </w:tcPr>
          <w:p w14:paraId="00250FF8">
            <w:pPr>
              <w:spacing w:line="229" w:lineRule="exact"/>
              <w:rPr>
                <w:rFonts w:ascii="Arial"/>
                <w:sz w:val="19"/>
              </w:rPr>
            </w:pPr>
          </w:p>
        </w:tc>
        <w:tc>
          <w:tcPr>
            <w:tcW w:w="636" w:type="dxa"/>
            <w:vAlign w:val="top"/>
          </w:tcPr>
          <w:p w14:paraId="63EA2EAE">
            <w:pPr>
              <w:spacing w:line="229" w:lineRule="exact"/>
              <w:rPr>
                <w:rFonts w:ascii="Arial"/>
                <w:sz w:val="19"/>
              </w:rPr>
            </w:pPr>
          </w:p>
        </w:tc>
        <w:tc>
          <w:tcPr>
            <w:tcW w:w="636" w:type="dxa"/>
            <w:vAlign w:val="top"/>
          </w:tcPr>
          <w:p w14:paraId="6F321889">
            <w:pPr>
              <w:spacing w:line="229" w:lineRule="exact"/>
              <w:rPr>
                <w:rFonts w:ascii="Arial"/>
                <w:sz w:val="19"/>
              </w:rPr>
            </w:pPr>
          </w:p>
        </w:tc>
        <w:tc>
          <w:tcPr>
            <w:tcW w:w="566" w:type="dxa"/>
            <w:vAlign w:val="top"/>
          </w:tcPr>
          <w:p w14:paraId="1A3ACDCF">
            <w:pPr>
              <w:spacing w:line="229" w:lineRule="exact"/>
              <w:rPr>
                <w:rFonts w:ascii="Arial"/>
                <w:sz w:val="19"/>
              </w:rPr>
            </w:pPr>
          </w:p>
        </w:tc>
        <w:tc>
          <w:tcPr>
            <w:tcW w:w="776" w:type="dxa"/>
            <w:vAlign w:val="top"/>
          </w:tcPr>
          <w:p w14:paraId="288F826E">
            <w:pPr>
              <w:spacing w:line="229" w:lineRule="exact"/>
              <w:rPr>
                <w:rFonts w:ascii="Arial"/>
                <w:sz w:val="19"/>
              </w:rPr>
            </w:pPr>
          </w:p>
        </w:tc>
        <w:tc>
          <w:tcPr>
            <w:tcW w:w="901" w:type="dxa"/>
            <w:vAlign w:val="top"/>
          </w:tcPr>
          <w:p w14:paraId="13B0B81D">
            <w:pPr>
              <w:spacing w:line="229" w:lineRule="exact"/>
              <w:rPr>
                <w:rFonts w:ascii="Arial"/>
                <w:sz w:val="19"/>
              </w:rPr>
            </w:pPr>
          </w:p>
        </w:tc>
        <w:tc>
          <w:tcPr>
            <w:tcW w:w="1222" w:type="dxa"/>
            <w:tcBorders>
              <w:right w:val="single" w:color="000000" w:sz="6" w:space="0"/>
            </w:tcBorders>
            <w:vAlign w:val="top"/>
          </w:tcPr>
          <w:p w14:paraId="77BE3538">
            <w:pPr>
              <w:spacing w:line="229" w:lineRule="exact"/>
              <w:rPr>
                <w:rFonts w:ascii="Arial"/>
                <w:sz w:val="19"/>
              </w:rPr>
            </w:pPr>
          </w:p>
        </w:tc>
      </w:tr>
      <w:tr w14:paraId="7FD355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737" w:type="dxa"/>
            <w:vMerge w:val="continue"/>
            <w:tcBorders>
              <w:top w:val="nil"/>
              <w:left w:val="single" w:color="000000" w:sz="6" w:space="0"/>
              <w:bottom w:val="nil"/>
            </w:tcBorders>
            <w:vAlign w:val="top"/>
          </w:tcPr>
          <w:p w14:paraId="18057FD4">
            <w:pPr>
              <w:rPr>
                <w:rFonts w:ascii="Arial"/>
                <w:sz w:val="21"/>
              </w:rPr>
            </w:pPr>
          </w:p>
        </w:tc>
        <w:tc>
          <w:tcPr>
            <w:tcW w:w="1526" w:type="dxa"/>
            <w:vAlign w:val="top"/>
          </w:tcPr>
          <w:p w14:paraId="16F1CDBF">
            <w:pPr>
              <w:pStyle w:val="6"/>
              <w:spacing w:before="37"/>
              <w:ind w:left="376"/>
              <w:rPr>
                <w:rFonts w:ascii="仿宋" w:hAnsi="仿宋" w:eastAsia="仿宋" w:cs="仿宋"/>
              </w:rPr>
            </w:pPr>
            <w:r>
              <w:rPr>
                <w:spacing w:val="9"/>
              </w:rPr>
              <w:t>K0+000</w:t>
            </w:r>
            <w:r>
              <w:rPr>
                <w:rFonts w:ascii="仿宋" w:hAnsi="仿宋" w:eastAsia="仿宋" w:cs="仿宋"/>
                <w:spacing w:val="9"/>
              </w:rPr>
              <w:t>~</w:t>
            </w:r>
          </w:p>
          <w:p w14:paraId="72E46A21">
            <w:pPr>
              <w:pStyle w:val="6"/>
              <w:spacing w:before="14" w:line="171" w:lineRule="auto"/>
              <w:ind w:left="465"/>
            </w:pPr>
            <w:r>
              <w:rPr>
                <w:spacing w:val="-1"/>
              </w:rPr>
              <w:t>K1+000</w:t>
            </w:r>
          </w:p>
        </w:tc>
        <w:tc>
          <w:tcPr>
            <w:tcW w:w="741" w:type="dxa"/>
            <w:vAlign w:val="top"/>
          </w:tcPr>
          <w:p w14:paraId="21C3FDC4">
            <w:pPr>
              <w:pStyle w:val="6"/>
              <w:spacing w:before="68" w:line="188" w:lineRule="auto"/>
              <w:ind w:left="137"/>
            </w:pPr>
            <w:r>
              <w:rPr>
                <w:spacing w:val="-4"/>
              </w:rPr>
              <w:t>1000.0</w:t>
            </w:r>
          </w:p>
          <w:p w14:paraId="1E046B03">
            <w:pPr>
              <w:pStyle w:val="6"/>
              <w:spacing w:before="41" w:line="187" w:lineRule="auto"/>
              <w:ind w:left="281"/>
            </w:pPr>
            <w:r>
              <w:rPr>
                <w:spacing w:val="-3"/>
              </w:rPr>
              <w:t>00</w:t>
            </w:r>
          </w:p>
        </w:tc>
        <w:tc>
          <w:tcPr>
            <w:tcW w:w="636" w:type="dxa"/>
            <w:vAlign w:val="top"/>
          </w:tcPr>
          <w:p w14:paraId="4B879A6D">
            <w:pPr>
              <w:pStyle w:val="6"/>
              <w:spacing w:before="169" w:line="188" w:lineRule="auto"/>
              <w:ind w:left="186"/>
            </w:pPr>
            <w:r>
              <w:rPr>
                <w:spacing w:val="-3"/>
              </w:rPr>
              <w:t>559</w:t>
            </w:r>
          </w:p>
        </w:tc>
        <w:tc>
          <w:tcPr>
            <w:tcW w:w="636" w:type="dxa"/>
            <w:vAlign w:val="top"/>
          </w:tcPr>
          <w:p w14:paraId="3B433522">
            <w:pPr>
              <w:pStyle w:val="6"/>
              <w:spacing w:before="169" w:line="188" w:lineRule="auto"/>
              <w:ind w:left="188"/>
            </w:pPr>
            <w:r>
              <w:rPr>
                <w:spacing w:val="-3"/>
              </w:rPr>
              <w:t>559</w:t>
            </w:r>
          </w:p>
        </w:tc>
        <w:tc>
          <w:tcPr>
            <w:tcW w:w="636" w:type="dxa"/>
            <w:vAlign w:val="top"/>
          </w:tcPr>
          <w:p w14:paraId="648C978D">
            <w:pPr>
              <w:pStyle w:val="6"/>
              <w:spacing w:before="169" w:line="188" w:lineRule="auto"/>
              <w:ind w:left="183"/>
            </w:pPr>
            <w:r>
              <w:rPr>
                <w:spacing w:val="-1"/>
              </w:rPr>
              <w:t>215</w:t>
            </w:r>
          </w:p>
        </w:tc>
        <w:tc>
          <w:tcPr>
            <w:tcW w:w="566" w:type="dxa"/>
            <w:vAlign w:val="top"/>
          </w:tcPr>
          <w:p w14:paraId="12C70F0A">
            <w:pPr>
              <w:pStyle w:val="6"/>
              <w:spacing w:before="169" w:line="188" w:lineRule="auto"/>
              <w:ind w:left="149"/>
            </w:pPr>
            <w:r>
              <w:rPr>
                <w:spacing w:val="-1"/>
              </w:rPr>
              <w:t>215</w:t>
            </w:r>
          </w:p>
        </w:tc>
        <w:tc>
          <w:tcPr>
            <w:tcW w:w="776" w:type="dxa"/>
            <w:vAlign w:val="top"/>
          </w:tcPr>
          <w:p w14:paraId="2A9BB0CC">
            <w:pPr>
              <w:pStyle w:val="6"/>
              <w:spacing w:before="169" w:line="188" w:lineRule="auto"/>
              <w:ind w:left="305"/>
            </w:pPr>
            <w:r>
              <w:rPr>
                <w:spacing w:val="-4"/>
              </w:rPr>
              <w:t>39</w:t>
            </w:r>
          </w:p>
        </w:tc>
        <w:tc>
          <w:tcPr>
            <w:tcW w:w="901" w:type="dxa"/>
            <w:vAlign w:val="top"/>
          </w:tcPr>
          <w:p w14:paraId="68734B1F">
            <w:pPr>
              <w:pStyle w:val="6"/>
              <w:spacing w:before="169" w:line="188" w:lineRule="auto"/>
              <w:ind w:left="337"/>
            </w:pPr>
            <w:r>
              <w:rPr>
                <w:spacing w:val="-7"/>
              </w:rPr>
              <w:t>176</w:t>
            </w:r>
          </w:p>
        </w:tc>
        <w:tc>
          <w:tcPr>
            <w:tcW w:w="1222" w:type="dxa"/>
            <w:tcBorders>
              <w:right w:val="single" w:color="000000" w:sz="6" w:space="0"/>
            </w:tcBorders>
            <w:vAlign w:val="top"/>
          </w:tcPr>
          <w:p w14:paraId="20632E2C">
            <w:pPr>
              <w:pStyle w:val="6"/>
              <w:spacing w:before="140" w:line="224" w:lineRule="auto"/>
              <w:ind w:left="185"/>
            </w:pPr>
            <w:r>
              <w:rPr>
                <w:rFonts w:ascii="仿宋" w:hAnsi="仿宋" w:eastAsia="仿宋" w:cs="仿宋"/>
                <w:spacing w:val="-3"/>
              </w:rPr>
              <w:t>调出</w:t>
            </w:r>
            <w:r>
              <w:rPr>
                <w:rFonts w:ascii="仿宋" w:hAnsi="仿宋" w:eastAsia="仿宋" w:cs="仿宋"/>
                <w:spacing w:val="-36"/>
              </w:rPr>
              <w:t xml:space="preserve"> </w:t>
            </w:r>
            <w:r>
              <w:rPr>
                <w:spacing w:val="-3"/>
              </w:rPr>
              <w:t>344m3</w:t>
            </w:r>
          </w:p>
        </w:tc>
      </w:tr>
      <w:tr w14:paraId="5BB6E4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737" w:type="dxa"/>
            <w:vMerge w:val="continue"/>
            <w:tcBorders>
              <w:top w:val="nil"/>
              <w:left w:val="single" w:color="000000" w:sz="6" w:space="0"/>
              <w:bottom w:val="nil"/>
            </w:tcBorders>
            <w:vAlign w:val="top"/>
          </w:tcPr>
          <w:p w14:paraId="4E5B4DFE">
            <w:pPr>
              <w:rPr>
                <w:rFonts w:ascii="Arial"/>
                <w:sz w:val="21"/>
              </w:rPr>
            </w:pPr>
          </w:p>
        </w:tc>
        <w:tc>
          <w:tcPr>
            <w:tcW w:w="1526" w:type="dxa"/>
            <w:vAlign w:val="top"/>
          </w:tcPr>
          <w:p w14:paraId="322BDA3F">
            <w:pPr>
              <w:pStyle w:val="6"/>
              <w:spacing w:before="39"/>
              <w:ind w:left="390"/>
              <w:rPr>
                <w:rFonts w:ascii="仿宋" w:hAnsi="仿宋" w:eastAsia="仿宋" w:cs="仿宋"/>
              </w:rPr>
            </w:pPr>
            <w:r>
              <w:t>KI</w:t>
            </w:r>
            <w:r>
              <w:rPr>
                <w:spacing w:val="13"/>
              </w:rPr>
              <w:t>+000</w:t>
            </w:r>
            <w:r>
              <w:rPr>
                <w:rFonts w:ascii="仿宋" w:hAnsi="仿宋" w:eastAsia="仿宋" w:cs="仿宋"/>
                <w:spacing w:val="13"/>
              </w:rPr>
              <w:t>~</w:t>
            </w:r>
          </w:p>
          <w:p w14:paraId="7B01EBB6">
            <w:pPr>
              <w:pStyle w:val="6"/>
              <w:spacing w:before="15" w:line="169" w:lineRule="auto"/>
              <w:ind w:left="465"/>
            </w:pPr>
            <w:r>
              <w:rPr>
                <w:spacing w:val="-1"/>
              </w:rPr>
              <w:t>K2+000</w:t>
            </w:r>
          </w:p>
        </w:tc>
        <w:tc>
          <w:tcPr>
            <w:tcW w:w="741" w:type="dxa"/>
            <w:vAlign w:val="top"/>
          </w:tcPr>
          <w:p w14:paraId="6785EA6A">
            <w:pPr>
              <w:pStyle w:val="6"/>
              <w:spacing w:before="68" w:line="188" w:lineRule="auto"/>
              <w:ind w:left="137"/>
            </w:pPr>
            <w:r>
              <w:rPr>
                <w:spacing w:val="-4"/>
              </w:rPr>
              <w:t>1000.0</w:t>
            </w:r>
          </w:p>
          <w:p w14:paraId="7AD6E2C6">
            <w:pPr>
              <w:pStyle w:val="6"/>
              <w:spacing w:before="43" w:line="186" w:lineRule="auto"/>
              <w:ind w:left="281"/>
            </w:pPr>
            <w:r>
              <w:rPr>
                <w:spacing w:val="-3"/>
              </w:rPr>
              <w:t>00</w:t>
            </w:r>
          </w:p>
        </w:tc>
        <w:tc>
          <w:tcPr>
            <w:tcW w:w="636" w:type="dxa"/>
            <w:vAlign w:val="top"/>
          </w:tcPr>
          <w:p w14:paraId="0856832F">
            <w:pPr>
              <w:pStyle w:val="6"/>
              <w:spacing w:before="171" w:line="188" w:lineRule="auto"/>
              <w:ind w:left="184"/>
            </w:pPr>
            <w:r>
              <w:rPr>
                <w:spacing w:val="-2"/>
              </w:rPr>
              <w:t>730</w:t>
            </w:r>
          </w:p>
        </w:tc>
        <w:tc>
          <w:tcPr>
            <w:tcW w:w="636" w:type="dxa"/>
            <w:vAlign w:val="top"/>
          </w:tcPr>
          <w:p w14:paraId="50108274">
            <w:pPr>
              <w:pStyle w:val="6"/>
              <w:spacing w:before="171" w:line="188" w:lineRule="auto"/>
              <w:ind w:left="186"/>
            </w:pPr>
            <w:r>
              <w:rPr>
                <w:spacing w:val="-2"/>
              </w:rPr>
              <w:t>730</w:t>
            </w:r>
          </w:p>
        </w:tc>
        <w:tc>
          <w:tcPr>
            <w:tcW w:w="636" w:type="dxa"/>
            <w:vAlign w:val="top"/>
          </w:tcPr>
          <w:p w14:paraId="35D363B8">
            <w:pPr>
              <w:pStyle w:val="6"/>
              <w:spacing w:before="171" w:line="188" w:lineRule="auto"/>
              <w:ind w:left="183"/>
            </w:pPr>
            <w:r>
              <w:rPr>
                <w:spacing w:val="-1"/>
              </w:rPr>
              <w:t>254</w:t>
            </w:r>
          </w:p>
        </w:tc>
        <w:tc>
          <w:tcPr>
            <w:tcW w:w="566" w:type="dxa"/>
            <w:vAlign w:val="top"/>
          </w:tcPr>
          <w:p w14:paraId="4BEA6397">
            <w:pPr>
              <w:pStyle w:val="6"/>
              <w:spacing w:before="171" w:line="188" w:lineRule="auto"/>
              <w:ind w:left="149"/>
            </w:pPr>
            <w:r>
              <w:rPr>
                <w:spacing w:val="-1"/>
              </w:rPr>
              <w:t>254</w:t>
            </w:r>
          </w:p>
        </w:tc>
        <w:tc>
          <w:tcPr>
            <w:tcW w:w="776" w:type="dxa"/>
            <w:vAlign w:val="top"/>
          </w:tcPr>
          <w:p w14:paraId="0BD6AB56">
            <w:pPr>
              <w:pStyle w:val="6"/>
              <w:spacing w:before="171" w:line="188" w:lineRule="auto"/>
              <w:ind w:left="305"/>
            </w:pPr>
            <w:r>
              <w:rPr>
                <w:spacing w:val="-4"/>
              </w:rPr>
              <w:t>39</w:t>
            </w:r>
          </w:p>
        </w:tc>
        <w:tc>
          <w:tcPr>
            <w:tcW w:w="901" w:type="dxa"/>
            <w:vAlign w:val="top"/>
          </w:tcPr>
          <w:p w14:paraId="701D6AE4">
            <w:pPr>
              <w:pStyle w:val="6"/>
              <w:spacing w:before="171" w:line="188" w:lineRule="auto"/>
              <w:ind w:left="319"/>
            </w:pPr>
            <w:r>
              <w:rPr>
                <w:spacing w:val="-1"/>
              </w:rPr>
              <w:t>215</w:t>
            </w:r>
          </w:p>
        </w:tc>
        <w:tc>
          <w:tcPr>
            <w:tcW w:w="1222" w:type="dxa"/>
            <w:tcBorders>
              <w:right w:val="single" w:color="000000" w:sz="6" w:space="0"/>
            </w:tcBorders>
            <w:vAlign w:val="top"/>
          </w:tcPr>
          <w:p w14:paraId="4293307A">
            <w:pPr>
              <w:pStyle w:val="6"/>
              <w:spacing w:before="142" w:line="224" w:lineRule="auto"/>
              <w:ind w:left="185"/>
            </w:pPr>
            <w:r>
              <w:rPr>
                <w:rFonts w:ascii="仿宋" w:hAnsi="仿宋" w:eastAsia="仿宋" w:cs="仿宋"/>
                <w:spacing w:val="-2"/>
              </w:rPr>
              <w:t>调出</w:t>
            </w:r>
            <w:r>
              <w:rPr>
                <w:rFonts w:ascii="仿宋" w:hAnsi="仿宋" w:eastAsia="仿宋" w:cs="仿宋"/>
                <w:spacing w:val="-42"/>
              </w:rPr>
              <w:t xml:space="preserve"> </w:t>
            </w:r>
            <w:r>
              <w:rPr>
                <w:spacing w:val="-2"/>
              </w:rPr>
              <w:t>476m3</w:t>
            </w:r>
          </w:p>
        </w:tc>
      </w:tr>
      <w:tr w14:paraId="77A3D1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737" w:type="dxa"/>
            <w:vMerge w:val="continue"/>
            <w:tcBorders>
              <w:top w:val="nil"/>
              <w:left w:val="single" w:color="000000" w:sz="6" w:space="0"/>
              <w:bottom w:val="nil"/>
            </w:tcBorders>
            <w:vAlign w:val="top"/>
          </w:tcPr>
          <w:p w14:paraId="5DF43DA3">
            <w:pPr>
              <w:rPr>
                <w:rFonts w:ascii="Arial"/>
                <w:sz w:val="21"/>
              </w:rPr>
            </w:pPr>
          </w:p>
        </w:tc>
        <w:tc>
          <w:tcPr>
            <w:tcW w:w="1526" w:type="dxa"/>
            <w:vAlign w:val="top"/>
          </w:tcPr>
          <w:p w14:paraId="60BFE685">
            <w:pPr>
              <w:pStyle w:val="6"/>
              <w:spacing w:before="38"/>
              <w:ind w:left="376"/>
              <w:rPr>
                <w:rFonts w:ascii="仿宋" w:hAnsi="仿宋" w:eastAsia="仿宋" w:cs="仿宋"/>
              </w:rPr>
            </w:pPr>
            <w:r>
              <w:rPr>
                <w:spacing w:val="9"/>
              </w:rPr>
              <w:t>K2+000</w:t>
            </w:r>
            <w:r>
              <w:rPr>
                <w:rFonts w:ascii="仿宋" w:hAnsi="仿宋" w:eastAsia="仿宋" w:cs="仿宋"/>
                <w:spacing w:val="9"/>
              </w:rPr>
              <w:t>~</w:t>
            </w:r>
          </w:p>
          <w:p w14:paraId="621FC0BF">
            <w:pPr>
              <w:pStyle w:val="6"/>
              <w:spacing w:before="17" w:line="168" w:lineRule="auto"/>
              <w:ind w:left="306"/>
            </w:pPr>
            <w:r>
              <w:rPr>
                <w:spacing w:val="-1"/>
              </w:rPr>
              <w:t>K2+446.201</w:t>
            </w:r>
          </w:p>
        </w:tc>
        <w:tc>
          <w:tcPr>
            <w:tcW w:w="741" w:type="dxa"/>
            <w:vAlign w:val="top"/>
          </w:tcPr>
          <w:p w14:paraId="379A5541">
            <w:pPr>
              <w:pStyle w:val="6"/>
              <w:spacing w:before="69" w:line="188" w:lineRule="auto"/>
              <w:ind w:left="119"/>
            </w:pPr>
            <w:r>
              <w:rPr>
                <w:spacing w:val="-1"/>
              </w:rPr>
              <w:t>446.20</w:t>
            </w:r>
          </w:p>
          <w:p w14:paraId="4EE6F5E4">
            <w:pPr>
              <w:pStyle w:val="6"/>
              <w:spacing w:before="44" w:line="184" w:lineRule="auto"/>
              <w:ind w:left="341"/>
            </w:pPr>
            <w:r>
              <w:t>1</w:t>
            </w:r>
          </w:p>
        </w:tc>
        <w:tc>
          <w:tcPr>
            <w:tcW w:w="636" w:type="dxa"/>
            <w:vAlign w:val="top"/>
          </w:tcPr>
          <w:p w14:paraId="25BC69BD">
            <w:pPr>
              <w:pStyle w:val="6"/>
              <w:spacing w:before="172" w:line="188" w:lineRule="auto"/>
              <w:ind w:left="184"/>
            </w:pPr>
            <w:r>
              <w:rPr>
                <w:spacing w:val="-3"/>
              </w:rPr>
              <w:t>349</w:t>
            </w:r>
          </w:p>
        </w:tc>
        <w:tc>
          <w:tcPr>
            <w:tcW w:w="636" w:type="dxa"/>
            <w:vAlign w:val="top"/>
          </w:tcPr>
          <w:p w14:paraId="6EC5ABFB">
            <w:pPr>
              <w:pStyle w:val="6"/>
              <w:spacing w:before="172" w:line="188" w:lineRule="auto"/>
              <w:ind w:left="187"/>
            </w:pPr>
            <w:r>
              <w:rPr>
                <w:spacing w:val="-3"/>
              </w:rPr>
              <w:t>349</w:t>
            </w:r>
          </w:p>
        </w:tc>
        <w:tc>
          <w:tcPr>
            <w:tcW w:w="636" w:type="dxa"/>
            <w:vAlign w:val="top"/>
          </w:tcPr>
          <w:p w14:paraId="301934E2">
            <w:pPr>
              <w:pStyle w:val="6"/>
              <w:spacing w:before="172" w:line="188" w:lineRule="auto"/>
              <w:ind w:left="200"/>
            </w:pPr>
            <w:r>
              <w:rPr>
                <w:spacing w:val="-7"/>
              </w:rPr>
              <w:t>163</w:t>
            </w:r>
          </w:p>
        </w:tc>
        <w:tc>
          <w:tcPr>
            <w:tcW w:w="566" w:type="dxa"/>
            <w:vAlign w:val="top"/>
          </w:tcPr>
          <w:p w14:paraId="0C5DE681">
            <w:pPr>
              <w:pStyle w:val="6"/>
              <w:spacing w:before="172" w:line="188" w:lineRule="auto"/>
              <w:ind w:left="167"/>
            </w:pPr>
            <w:r>
              <w:rPr>
                <w:spacing w:val="-7"/>
              </w:rPr>
              <w:t>163</w:t>
            </w:r>
          </w:p>
        </w:tc>
        <w:tc>
          <w:tcPr>
            <w:tcW w:w="776" w:type="dxa"/>
            <w:vAlign w:val="top"/>
          </w:tcPr>
          <w:p w14:paraId="4B1B20E9">
            <w:pPr>
              <w:pStyle w:val="6"/>
              <w:spacing w:before="172" w:line="188" w:lineRule="auto"/>
              <w:ind w:left="318"/>
            </w:pPr>
            <w:r>
              <w:rPr>
                <w:spacing w:val="-10"/>
              </w:rPr>
              <w:t>15</w:t>
            </w:r>
          </w:p>
        </w:tc>
        <w:tc>
          <w:tcPr>
            <w:tcW w:w="901" w:type="dxa"/>
            <w:vAlign w:val="top"/>
          </w:tcPr>
          <w:p w14:paraId="6EB2C029">
            <w:pPr>
              <w:pStyle w:val="6"/>
              <w:spacing w:before="172" w:line="188" w:lineRule="auto"/>
              <w:ind w:left="337"/>
            </w:pPr>
            <w:r>
              <w:rPr>
                <w:spacing w:val="-7"/>
              </w:rPr>
              <w:t>148</w:t>
            </w:r>
          </w:p>
        </w:tc>
        <w:tc>
          <w:tcPr>
            <w:tcW w:w="1222" w:type="dxa"/>
            <w:tcBorders>
              <w:right w:val="single" w:color="000000" w:sz="6" w:space="0"/>
            </w:tcBorders>
            <w:vAlign w:val="top"/>
          </w:tcPr>
          <w:p w14:paraId="4051200C">
            <w:pPr>
              <w:pStyle w:val="6"/>
              <w:spacing w:before="141" w:line="224" w:lineRule="auto"/>
              <w:ind w:left="185"/>
            </w:pPr>
            <w:r>
              <w:rPr>
                <w:rFonts w:ascii="仿宋" w:hAnsi="仿宋" w:eastAsia="仿宋" w:cs="仿宋"/>
                <w:spacing w:val="-5"/>
              </w:rPr>
              <w:t>调出</w:t>
            </w:r>
            <w:r>
              <w:rPr>
                <w:rFonts w:ascii="仿宋" w:hAnsi="仿宋" w:eastAsia="仿宋" w:cs="仿宋"/>
                <w:spacing w:val="-22"/>
              </w:rPr>
              <w:t xml:space="preserve"> </w:t>
            </w:r>
            <w:r>
              <w:rPr>
                <w:spacing w:val="-5"/>
              </w:rPr>
              <w:t>186m3</w:t>
            </w:r>
          </w:p>
        </w:tc>
      </w:tr>
      <w:tr w14:paraId="2795D6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3B4A415F">
            <w:pPr>
              <w:rPr>
                <w:rFonts w:ascii="Arial"/>
                <w:sz w:val="21"/>
              </w:rPr>
            </w:pPr>
          </w:p>
        </w:tc>
        <w:tc>
          <w:tcPr>
            <w:tcW w:w="1526" w:type="dxa"/>
            <w:vAlign w:val="top"/>
          </w:tcPr>
          <w:p w14:paraId="60AE14EB">
            <w:pPr>
              <w:spacing w:before="39" w:line="193" w:lineRule="auto"/>
              <w:ind w:left="413"/>
              <w:rPr>
                <w:rFonts w:ascii="仿宋" w:hAnsi="仿宋" w:eastAsia="仿宋" w:cs="仿宋"/>
                <w:sz w:val="18"/>
                <w:szCs w:val="18"/>
              </w:rPr>
            </w:pPr>
            <w:r>
              <w:rPr>
                <w:rFonts w:ascii="仿宋" w:hAnsi="仿宋" w:eastAsia="仿宋" w:cs="仿宋"/>
                <w:spacing w:val="-4"/>
                <w:sz w:val="18"/>
                <w:szCs w:val="18"/>
              </w:rPr>
              <w:t>清表亏方</w:t>
            </w:r>
          </w:p>
        </w:tc>
        <w:tc>
          <w:tcPr>
            <w:tcW w:w="741" w:type="dxa"/>
            <w:vAlign w:val="top"/>
          </w:tcPr>
          <w:p w14:paraId="66FE5855">
            <w:pPr>
              <w:spacing w:line="227" w:lineRule="exact"/>
              <w:rPr>
                <w:rFonts w:ascii="Arial"/>
                <w:sz w:val="19"/>
              </w:rPr>
            </w:pPr>
          </w:p>
        </w:tc>
        <w:tc>
          <w:tcPr>
            <w:tcW w:w="636" w:type="dxa"/>
            <w:vAlign w:val="top"/>
          </w:tcPr>
          <w:p w14:paraId="0B886597">
            <w:pPr>
              <w:spacing w:line="227" w:lineRule="exact"/>
              <w:rPr>
                <w:rFonts w:ascii="Arial"/>
                <w:sz w:val="19"/>
              </w:rPr>
            </w:pPr>
          </w:p>
        </w:tc>
        <w:tc>
          <w:tcPr>
            <w:tcW w:w="636" w:type="dxa"/>
            <w:vAlign w:val="top"/>
          </w:tcPr>
          <w:p w14:paraId="6706039E">
            <w:pPr>
              <w:spacing w:line="227" w:lineRule="exact"/>
              <w:rPr>
                <w:rFonts w:ascii="Arial"/>
                <w:sz w:val="19"/>
              </w:rPr>
            </w:pPr>
          </w:p>
        </w:tc>
        <w:tc>
          <w:tcPr>
            <w:tcW w:w="636" w:type="dxa"/>
            <w:vAlign w:val="top"/>
          </w:tcPr>
          <w:p w14:paraId="51C54CD7">
            <w:pPr>
              <w:pStyle w:val="6"/>
              <w:spacing w:before="68" w:line="185" w:lineRule="auto"/>
              <w:ind w:left="187"/>
            </w:pPr>
            <w:r>
              <w:rPr>
                <w:spacing w:val="-3"/>
              </w:rPr>
              <w:t>612</w:t>
            </w:r>
          </w:p>
        </w:tc>
        <w:tc>
          <w:tcPr>
            <w:tcW w:w="566" w:type="dxa"/>
            <w:vAlign w:val="top"/>
          </w:tcPr>
          <w:p w14:paraId="1403934A">
            <w:pPr>
              <w:pStyle w:val="6"/>
              <w:spacing w:before="68" w:line="185" w:lineRule="auto"/>
              <w:ind w:left="153"/>
            </w:pPr>
            <w:r>
              <w:rPr>
                <w:spacing w:val="-3"/>
              </w:rPr>
              <w:t>612</w:t>
            </w:r>
          </w:p>
        </w:tc>
        <w:tc>
          <w:tcPr>
            <w:tcW w:w="776" w:type="dxa"/>
            <w:vAlign w:val="top"/>
          </w:tcPr>
          <w:p w14:paraId="09CD82DC">
            <w:pPr>
              <w:spacing w:line="227" w:lineRule="exact"/>
              <w:rPr>
                <w:rFonts w:ascii="Arial"/>
                <w:sz w:val="19"/>
              </w:rPr>
            </w:pPr>
          </w:p>
        </w:tc>
        <w:tc>
          <w:tcPr>
            <w:tcW w:w="901" w:type="dxa"/>
            <w:vAlign w:val="top"/>
          </w:tcPr>
          <w:p w14:paraId="5B590643">
            <w:pPr>
              <w:spacing w:line="227" w:lineRule="exact"/>
              <w:rPr>
                <w:rFonts w:ascii="Arial"/>
                <w:sz w:val="19"/>
              </w:rPr>
            </w:pPr>
          </w:p>
        </w:tc>
        <w:tc>
          <w:tcPr>
            <w:tcW w:w="1222" w:type="dxa"/>
            <w:tcBorders>
              <w:right w:val="single" w:color="000000" w:sz="6" w:space="0"/>
            </w:tcBorders>
            <w:vAlign w:val="top"/>
          </w:tcPr>
          <w:p w14:paraId="200B04EF">
            <w:pPr>
              <w:pStyle w:val="6"/>
              <w:spacing w:before="39" w:line="193" w:lineRule="auto"/>
              <w:ind w:left="185"/>
            </w:pPr>
            <w:r>
              <w:rPr>
                <w:rFonts w:ascii="仿宋" w:hAnsi="仿宋" w:eastAsia="仿宋" w:cs="仿宋"/>
                <w:spacing w:val="-3"/>
              </w:rPr>
              <w:t>调入</w:t>
            </w:r>
            <w:r>
              <w:rPr>
                <w:rFonts w:ascii="仿宋" w:hAnsi="仿宋" w:eastAsia="仿宋" w:cs="仿宋"/>
                <w:spacing w:val="-36"/>
              </w:rPr>
              <w:t xml:space="preserve"> </w:t>
            </w:r>
            <w:r>
              <w:rPr>
                <w:spacing w:val="-3"/>
              </w:rPr>
              <w:t>612m3</w:t>
            </w:r>
          </w:p>
        </w:tc>
      </w:tr>
      <w:tr w14:paraId="241602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0B2083F4">
            <w:pPr>
              <w:rPr>
                <w:rFonts w:ascii="Arial"/>
                <w:sz w:val="21"/>
              </w:rPr>
            </w:pPr>
          </w:p>
        </w:tc>
        <w:tc>
          <w:tcPr>
            <w:tcW w:w="2267" w:type="dxa"/>
            <w:gridSpan w:val="2"/>
            <w:vAlign w:val="top"/>
          </w:tcPr>
          <w:p w14:paraId="3F245B7C">
            <w:pPr>
              <w:spacing w:before="41" w:line="192" w:lineRule="auto"/>
              <w:ind w:left="157"/>
              <w:rPr>
                <w:rFonts w:ascii="仿宋" w:hAnsi="仿宋" w:eastAsia="仿宋" w:cs="仿宋"/>
                <w:sz w:val="18"/>
                <w:szCs w:val="18"/>
              </w:rPr>
            </w:pPr>
            <w:r>
              <w:rPr>
                <w:rFonts w:ascii="仿宋" w:hAnsi="仿宋" w:eastAsia="仿宋" w:cs="仿宋"/>
                <w:spacing w:val="-2"/>
                <w:sz w:val="18"/>
                <w:szCs w:val="18"/>
              </w:rPr>
              <w:t>三道拐社坡底至北防洪堤</w:t>
            </w:r>
          </w:p>
        </w:tc>
        <w:tc>
          <w:tcPr>
            <w:tcW w:w="636" w:type="dxa"/>
            <w:vAlign w:val="top"/>
          </w:tcPr>
          <w:p w14:paraId="564F348D">
            <w:pPr>
              <w:spacing w:line="229" w:lineRule="exact"/>
              <w:rPr>
                <w:rFonts w:ascii="Arial"/>
                <w:sz w:val="19"/>
              </w:rPr>
            </w:pPr>
          </w:p>
        </w:tc>
        <w:tc>
          <w:tcPr>
            <w:tcW w:w="636" w:type="dxa"/>
            <w:vAlign w:val="top"/>
          </w:tcPr>
          <w:p w14:paraId="752763A0">
            <w:pPr>
              <w:spacing w:line="229" w:lineRule="exact"/>
              <w:rPr>
                <w:rFonts w:ascii="Arial"/>
                <w:sz w:val="19"/>
              </w:rPr>
            </w:pPr>
          </w:p>
        </w:tc>
        <w:tc>
          <w:tcPr>
            <w:tcW w:w="636" w:type="dxa"/>
            <w:vAlign w:val="top"/>
          </w:tcPr>
          <w:p w14:paraId="52048547">
            <w:pPr>
              <w:spacing w:line="229" w:lineRule="exact"/>
              <w:rPr>
                <w:rFonts w:ascii="Arial"/>
                <w:sz w:val="19"/>
              </w:rPr>
            </w:pPr>
          </w:p>
        </w:tc>
        <w:tc>
          <w:tcPr>
            <w:tcW w:w="566" w:type="dxa"/>
            <w:vAlign w:val="top"/>
          </w:tcPr>
          <w:p w14:paraId="39949126">
            <w:pPr>
              <w:spacing w:line="229" w:lineRule="exact"/>
              <w:rPr>
                <w:rFonts w:ascii="Arial"/>
                <w:sz w:val="19"/>
              </w:rPr>
            </w:pPr>
          </w:p>
        </w:tc>
        <w:tc>
          <w:tcPr>
            <w:tcW w:w="776" w:type="dxa"/>
            <w:vAlign w:val="top"/>
          </w:tcPr>
          <w:p w14:paraId="3AFF8966">
            <w:pPr>
              <w:spacing w:line="229" w:lineRule="exact"/>
              <w:rPr>
                <w:rFonts w:ascii="Arial"/>
                <w:sz w:val="19"/>
              </w:rPr>
            </w:pPr>
          </w:p>
        </w:tc>
        <w:tc>
          <w:tcPr>
            <w:tcW w:w="901" w:type="dxa"/>
            <w:vAlign w:val="top"/>
          </w:tcPr>
          <w:p w14:paraId="3F1EBE06">
            <w:pPr>
              <w:spacing w:line="229" w:lineRule="exact"/>
              <w:rPr>
                <w:rFonts w:ascii="Arial"/>
                <w:sz w:val="19"/>
              </w:rPr>
            </w:pPr>
          </w:p>
        </w:tc>
        <w:tc>
          <w:tcPr>
            <w:tcW w:w="1222" w:type="dxa"/>
            <w:tcBorders>
              <w:right w:val="single" w:color="000000" w:sz="6" w:space="0"/>
            </w:tcBorders>
            <w:vAlign w:val="top"/>
          </w:tcPr>
          <w:p w14:paraId="5E19A6BE">
            <w:pPr>
              <w:spacing w:line="229" w:lineRule="exact"/>
              <w:rPr>
                <w:rFonts w:ascii="Arial"/>
                <w:sz w:val="19"/>
              </w:rPr>
            </w:pPr>
          </w:p>
        </w:tc>
      </w:tr>
      <w:tr w14:paraId="51CEFC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737" w:type="dxa"/>
            <w:vMerge w:val="continue"/>
            <w:tcBorders>
              <w:top w:val="nil"/>
              <w:left w:val="single" w:color="000000" w:sz="6" w:space="0"/>
              <w:bottom w:val="nil"/>
            </w:tcBorders>
            <w:vAlign w:val="top"/>
          </w:tcPr>
          <w:p w14:paraId="10EAB619">
            <w:pPr>
              <w:rPr>
                <w:rFonts w:ascii="Arial"/>
                <w:sz w:val="21"/>
              </w:rPr>
            </w:pPr>
          </w:p>
        </w:tc>
        <w:tc>
          <w:tcPr>
            <w:tcW w:w="1526" w:type="dxa"/>
            <w:vAlign w:val="top"/>
          </w:tcPr>
          <w:p w14:paraId="5E7235FB">
            <w:pPr>
              <w:pStyle w:val="6"/>
              <w:spacing w:before="40"/>
              <w:ind w:left="376"/>
              <w:rPr>
                <w:rFonts w:ascii="仿宋" w:hAnsi="仿宋" w:eastAsia="仿宋" w:cs="仿宋"/>
              </w:rPr>
            </w:pPr>
            <w:r>
              <w:rPr>
                <w:spacing w:val="9"/>
              </w:rPr>
              <w:t>K0+000</w:t>
            </w:r>
            <w:r>
              <w:rPr>
                <w:rFonts w:ascii="仿宋" w:hAnsi="仿宋" w:eastAsia="仿宋" w:cs="仿宋"/>
                <w:spacing w:val="9"/>
              </w:rPr>
              <w:t>~</w:t>
            </w:r>
          </w:p>
          <w:p w14:paraId="25CF8775">
            <w:pPr>
              <w:pStyle w:val="6"/>
              <w:spacing w:before="15" w:line="169" w:lineRule="auto"/>
              <w:ind w:left="465"/>
            </w:pPr>
            <w:r>
              <w:rPr>
                <w:spacing w:val="-1"/>
              </w:rPr>
              <w:t>K1+000</w:t>
            </w:r>
          </w:p>
        </w:tc>
        <w:tc>
          <w:tcPr>
            <w:tcW w:w="741" w:type="dxa"/>
            <w:vAlign w:val="top"/>
          </w:tcPr>
          <w:p w14:paraId="2EF43F30">
            <w:pPr>
              <w:pStyle w:val="6"/>
              <w:spacing w:before="68" w:line="188" w:lineRule="auto"/>
              <w:ind w:left="137"/>
            </w:pPr>
            <w:r>
              <w:rPr>
                <w:spacing w:val="-4"/>
              </w:rPr>
              <w:t>1000.0</w:t>
            </w:r>
          </w:p>
          <w:p w14:paraId="18A31441">
            <w:pPr>
              <w:pStyle w:val="6"/>
              <w:spacing w:before="43" w:line="186" w:lineRule="auto"/>
              <w:ind w:left="281"/>
            </w:pPr>
            <w:r>
              <w:rPr>
                <w:spacing w:val="-3"/>
              </w:rPr>
              <w:t>00</w:t>
            </w:r>
          </w:p>
        </w:tc>
        <w:tc>
          <w:tcPr>
            <w:tcW w:w="636" w:type="dxa"/>
            <w:vAlign w:val="top"/>
          </w:tcPr>
          <w:p w14:paraId="3120EB3C">
            <w:pPr>
              <w:pStyle w:val="6"/>
              <w:spacing w:before="171" w:line="188" w:lineRule="auto"/>
              <w:ind w:left="155"/>
            </w:pPr>
            <w:r>
              <w:rPr>
                <w:spacing w:val="-5"/>
              </w:rPr>
              <w:t>1482</w:t>
            </w:r>
          </w:p>
        </w:tc>
        <w:tc>
          <w:tcPr>
            <w:tcW w:w="636" w:type="dxa"/>
            <w:vAlign w:val="top"/>
          </w:tcPr>
          <w:p w14:paraId="0E8E1AD1">
            <w:pPr>
              <w:pStyle w:val="6"/>
              <w:spacing w:before="171" w:line="188" w:lineRule="auto"/>
              <w:ind w:left="155"/>
            </w:pPr>
            <w:r>
              <w:rPr>
                <w:spacing w:val="-5"/>
              </w:rPr>
              <w:t>1482</w:t>
            </w:r>
          </w:p>
        </w:tc>
        <w:tc>
          <w:tcPr>
            <w:tcW w:w="636" w:type="dxa"/>
            <w:vAlign w:val="top"/>
          </w:tcPr>
          <w:p w14:paraId="74107667">
            <w:pPr>
              <w:pStyle w:val="6"/>
              <w:spacing w:before="171" w:line="188" w:lineRule="auto"/>
              <w:ind w:left="200"/>
            </w:pPr>
            <w:r>
              <w:rPr>
                <w:spacing w:val="-7"/>
              </w:rPr>
              <w:t>154</w:t>
            </w:r>
          </w:p>
        </w:tc>
        <w:tc>
          <w:tcPr>
            <w:tcW w:w="566" w:type="dxa"/>
            <w:vAlign w:val="top"/>
          </w:tcPr>
          <w:p w14:paraId="53D5A283">
            <w:pPr>
              <w:pStyle w:val="6"/>
              <w:spacing w:before="171" w:line="188" w:lineRule="auto"/>
              <w:ind w:left="167"/>
            </w:pPr>
            <w:r>
              <w:rPr>
                <w:spacing w:val="-7"/>
              </w:rPr>
              <w:t>154</w:t>
            </w:r>
          </w:p>
        </w:tc>
        <w:tc>
          <w:tcPr>
            <w:tcW w:w="776" w:type="dxa"/>
            <w:vAlign w:val="top"/>
          </w:tcPr>
          <w:p w14:paraId="0B8A66AD">
            <w:pPr>
              <w:pStyle w:val="6"/>
              <w:spacing w:before="171" w:line="188" w:lineRule="auto"/>
              <w:ind w:left="301"/>
            </w:pPr>
            <w:r>
              <w:rPr>
                <w:spacing w:val="-2"/>
              </w:rPr>
              <w:t>29</w:t>
            </w:r>
          </w:p>
        </w:tc>
        <w:tc>
          <w:tcPr>
            <w:tcW w:w="901" w:type="dxa"/>
            <w:vAlign w:val="top"/>
          </w:tcPr>
          <w:p w14:paraId="07E2D229">
            <w:pPr>
              <w:pStyle w:val="6"/>
              <w:spacing w:before="171" w:line="188" w:lineRule="auto"/>
              <w:ind w:left="337"/>
            </w:pPr>
            <w:r>
              <w:rPr>
                <w:spacing w:val="-7"/>
              </w:rPr>
              <w:t>125</w:t>
            </w:r>
          </w:p>
        </w:tc>
        <w:tc>
          <w:tcPr>
            <w:tcW w:w="1222" w:type="dxa"/>
            <w:tcBorders>
              <w:right w:val="single" w:color="000000" w:sz="6" w:space="0"/>
            </w:tcBorders>
            <w:vAlign w:val="top"/>
          </w:tcPr>
          <w:p w14:paraId="50153383">
            <w:pPr>
              <w:pStyle w:val="6"/>
              <w:spacing w:before="142" w:line="224" w:lineRule="auto"/>
              <w:ind w:left="139"/>
            </w:pPr>
            <w:r>
              <w:rPr>
                <w:rFonts w:ascii="仿宋" w:hAnsi="仿宋" w:eastAsia="仿宋" w:cs="仿宋"/>
                <w:spacing w:val="-5"/>
              </w:rPr>
              <w:t>调出</w:t>
            </w:r>
            <w:r>
              <w:rPr>
                <w:rFonts w:ascii="仿宋" w:hAnsi="仿宋" w:eastAsia="仿宋" w:cs="仿宋"/>
                <w:spacing w:val="-18"/>
              </w:rPr>
              <w:t xml:space="preserve"> </w:t>
            </w:r>
            <w:r>
              <w:rPr>
                <w:spacing w:val="-5"/>
              </w:rPr>
              <w:t>1328m3</w:t>
            </w:r>
          </w:p>
        </w:tc>
      </w:tr>
      <w:tr w14:paraId="43DE7E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737" w:type="dxa"/>
            <w:vMerge w:val="continue"/>
            <w:tcBorders>
              <w:top w:val="nil"/>
              <w:left w:val="single" w:color="000000" w:sz="6" w:space="0"/>
              <w:bottom w:val="nil"/>
            </w:tcBorders>
            <w:vAlign w:val="top"/>
          </w:tcPr>
          <w:p w14:paraId="31A4A3B2">
            <w:pPr>
              <w:rPr>
                <w:rFonts w:ascii="Arial"/>
                <w:sz w:val="21"/>
              </w:rPr>
            </w:pPr>
          </w:p>
        </w:tc>
        <w:tc>
          <w:tcPr>
            <w:tcW w:w="1526" w:type="dxa"/>
            <w:vAlign w:val="top"/>
          </w:tcPr>
          <w:p w14:paraId="48B44643">
            <w:pPr>
              <w:pStyle w:val="6"/>
              <w:spacing w:before="41"/>
              <w:ind w:left="376"/>
              <w:rPr>
                <w:rFonts w:ascii="仿宋" w:hAnsi="仿宋" w:eastAsia="仿宋" w:cs="仿宋"/>
              </w:rPr>
            </w:pPr>
            <w:r>
              <w:rPr>
                <w:spacing w:val="9"/>
              </w:rPr>
              <w:t>K1+000</w:t>
            </w:r>
            <w:r>
              <w:rPr>
                <w:rFonts w:ascii="仿宋" w:hAnsi="仿宋" w:eastAsia="仿宋" w:cs="仿宋"/>
                <w:spacing w:val="9"/>
              </w:rPr>
              <w:t>~</w:t>
            </w:r>
          </w:p>
          <w:p w14:paraId="14232C29">
            <w:pPr>
              <w:pStyle w:val="6"/>
              <w:spacing w:before="14" w:line="168" w:lineRule="auto"/>
              <w:ind w:left="306"/>
            </w:pPr>
            <w:r>
              <w:rPr>
                <w:spacing w:val="-1"/>
              </w:rPr>
              <w:t>K1+456.665</w:t>
            </w:r>
          </w:p>
        </w:tc>
        <w:tc>
          <w:tcPr>
            <w:tcW w:w="741" w:type="dxa"/>
            <w:vAlign w:val="top"/>
          </w:tcPr>
          <w:p w14:paraId="4A5F4578">
            <w:pPr>
              <w:pStyle w:val="6"/>
              <w:spacing w:before="69" w:line="188" w:lineRule="auto"/>
              <w:ind w:left="119"/>
            </w:pPr>
            <w:r>
              <w:rPr>
                <w:spacing w:val="-1"/>
              </w:rPr>
              <w:t>456.66</w:t>
            </w:r>
          </w:p>
          <w:p w14:paraId="2D9359A2">
            <w:pPr>
              <w:pStyle w:val="6"/>
              <w:spacing w:before="46" w:line="181" w:lineRule="auto"/>
              <w:ind w:left="329"/>
            </w:pPr>
            <w:r>
              <w:t>5</w:t>
            </w:r>
          </w:p>
        </w:tc>
        <w:tc>
          <w:tcPr>
            <w:tcW w:w="636" w:type="dxa"/>
            <w:vAlign w:val="top"/>
          </w:tcPr>
          <w:p w14:paraId="0E23F2D1">
            <w:pPr>
              <w:pStyle w:val="6"/>
              <w:spacing w:before="173" w:line="188" w:lineRule="auto"/>
              <w:ind w:left="181"/>
            </w:pPr>
            <w:r>
              <w:rPr>
                <w:spacing w:val="-1"/>
              </w:rPr>
              <w:t>267</w:t>
            </w:r>
          </w:p>
        </w:tc>
        <w:tc>
          <w:tcPr>
            <w:tcW w:w="636" w:type="dxa"/>
            <w:vAlign w:val="top"/>
          </w:tcPr>
          <w:p w14:paraId="1C16EAF8">
            <w:pPr>
              <w:pStyle w:val="6"/>
              <w:spacing w:before="173" w:line="188" w:lineRule="auto"/>
              <w:ind w:left="183"/>
            </w:pPr>
            <w:r>
              <w:rPr>
                <w:spacing w:val="-1"/>
              </w:rPr>
              <w:t>267</w:t>
            </w:r>
          </w:p>
        </w:tc>
        <w:tc>
          <w:tcPr>
            <w:tcW w:w="636" w:type="dxa"/>
            <w:vAlign w:val="top"/>
          </w:tcPr>
          <w:p w14:paraId="5534F441">
            <w:pPr>
              <w:pStyle w:val="6"/>
              <w:spacing w:before="173" w:line="188" w:lineRule="auto"/>
              <w:ind w:left="200"/>
            </w:pPr>
            <w:r>
              <w:rPr>
                <w:spacing w:val="-7"/>
              </w:rPr>
              <w:t>167</w:t>
            </w:r>
          </w:p>
        </w:tc>
        <w:tc>
          <w:tcPr>
            <w:tcW w:w="566" w:type="dxa"/>
            <w:vAlign w:val="top"/>
          </w:tcPr>
          <w:p w14:paraId="5124E5E4">
            <w:pPr>
              <w:pStyle w:val="6"/>
              <w:spacing w:before="173" w:line="188" w:lineRule="auto"/>
              <w:ind w:left="167"/>
            </w:pPr>
            <w:r>
              <w:rPr>
                <w:spacing w:val="-7"/>
              </w:rPr>
              <w:t>167</w:t>
            </w:r>
          </w:p>
        </w:tc>
        <w:tc>
          <w:tcPr>
            <w:tcW w:w="776" w:type="dxa"/>
            <w:vAlign w:val="top"/>
          </w:tcPr>
          <w:p w14:paraId="76911879">
            <w:pPr>
              <w:pStyle w:val="6"/>
              <w:spacing w:before="173" w:line="188" w:lineRule="auto"/>
              <w:ind w:left="305"/>
            </w:pPr>
            <w:r>
              <w:rPr>
                <w:spacing w:val="-4"/>
              </w:rPr>
              <w:t>67</w:t>
            </w:r>
          </w:p>
        </w:tc>
        <w:tc>
          <w:tcPr>
            <w:tcW w:w="901" w:type="dxa"/>
            <w:vAlign w:val="top"/>
          </w:tcPr>
          <w:p w14:paraId="05325CF4">
            <w:pPr>
              <w:pStyle w:val="6"/>
              <w:spacing w:before="173" w:line="188" w:lineRule="auto"/>
              <w:ind w:left="337"/>
            </w:pPr>
            <w:r>
              <w:rPr>
                <w:spacing w:val="-7"/>
              </w:rPr>
              <w:t>100</w:t>
            </w:r>
          </w:p>
        </w:tc>
        <w:tc>
          <w:tcPr>
            <w:tcW w:w="1222" w:type="dxa"/>
            <w:tcBorders>
              <w:right w:val="single" w:color="000000" w:sz="6" w:space="0"/>
            </w:tcBorders>
            <w:vAlign w:val="top"/>
          </w:tcPr>
          <w:p w14:paraId="3388C7D3">
            <w:pPr>
              <w:pStyle w:val="6"/>
              <w:spacing w:before="143" w:line="224" w:lineRule="auto"/>
              <w:ind w:left="185"/>
            </w:pPr>
            <w:r>
              <w:rPr>
                <w:rFonts w:ascii="仿宋" w:hAnsi="仿宋" w:eastAsia="仿宋" w:cs="仿宋"/>
                <w:spacing w:val="-5"/>
              </w:rPr>
              <w:t>调出</w:t>
            </w:r>
            <w:r>
              <w:rPr>
                <w:rFonts w:ascii="仿宋" w:hAnsi="仿宋" w:eastAsia="仿宋" w:cs="仿宋"/>
                <w:spacing w:val="-22"/>
              </w:rPr>
              <w:t xml:space="preserve"> </w:t>
            </w:r>
            <w:r>
              <w:rPr>
                <w:spacing w:val="-5"/>
              </w:rPr>
              <w:t>100m3</w:t>
            </w:r>
          </w:p>
        </w:tc>
      </w:tr>
      <w:tr w14:paraId="124E64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2C6F3F70">
            <w:pPr>
              <w:rPr>
                <w:rFonts w:ascii="Arial"/>
                <w:sz w:val="21"/>
              </w:rPr>
            </w:pPr>
          </w:p>
        </w:tc>
        <w:tc>
          <w:tcPr>
            <w:tcW w:w="1526" w:type="dxa"/>
            <w:vAlign w:val="top"/>
          </w:tcPr>
          <w:p w14:paraId="26E288FC">
            <w:pPr>
              <w:spacing w:before="39" w:line="193" w:lineRule="auto"/>
              <w:ind w:left="413"/>
              <w:rPr>
                <w:rFonts w:ascii="仿宋" w:hAnsi="仿宋" w:eastAsia="仿宋" w:cs="仿宋"/>
                <w:sz w:val="18"/>
                <w:szCs w:val="18"/>
              </w:rPr>
            </w:pPr>
            <w:r>
              <w:rPr>
                <w:rFonts w:ascii="仿宋" w:hAnsi="仿宋" w:eastAsia="仿宋" w:cs="仿宋"/>
                <w:spacing w:val="-4"/>
                <w:sz w:val="18"/>
                <w:szCs w:val="18"/>
              </w:rPr>
              <w:t>清表亏方</w:t>
            </w:r>
          </w:p>
        </w:tc>
        <w:tc>
          <w:tcPr>
            <w:tcW w:w="741" w:type="dxa"/>
            <w:vAlign w:val="top"/>
          </w:tcPr>
          <w:p w14:paraId="673B3B54">
            <w:pPr>
              <w:spacing w:line="227" w:lineRule="exact"/>
              <w:rPr>
                <w:rFonts w:ascii="Arial"/>
                <w:sz w:val="19"/>
              </w:rPr>
            </w:pPr>
          </w:p>
        </w:tc>
        <w:tc>
          <w:tcPr>
            <w:tcW w:w="636" w:type="dxa"/>
            <w:vAlign w:val="top"/>
          </w:tcPr>
          <w:p w14:paraId="662CB9D4">
            <w:pPr>
              <w:spacing w:line="227" w:lineRule="exact"/>
              <w:rPr>
                <w:rFonts w:ascii="Arial"/>
                <w:sz w:val="19"/>
              </w:rPr>
            </w:pPr>
          </w:p>
        </w:tc>
        <w:tc>
          <w:tcPr>
            <w:tcW w:w="636" w:type="dxa"/>
            <w:vAlign w:val="top"/>
          </w:tcPr>
          <w:p w14:paraId="0F2C4982">
            <w:pPr>
              <w:spacing w:line="227" w:lineRule="exact"/>
              <w:rPr>
                <w:rFonts w:ascii="Arial"/>
                <w:sz w:val="19"/>
              </w:rPr>
            </w:pPr>
          </w:p>
        </w:tc>
        <w:tc>
          <w:tcPr>
            <w:tcW w:w="636" w:type="dxa"/>
            <w:vAlign w:val="top"/>
          </w:tcPr>
          <w:p w14:paraId="2E4FF112">
            <w:pPr>
              <w:pStyle w:val="6"/>
              <w:spacing w:before="71" w:line="182" w:lineRule="auto"/>
              <w:ind w:left="187"/>
            </w:pPr>
            <w:r>
              <w:rPr>
                <w:spacing w:val="-3"/>
              </w:rPr>
              <w:t>364</w:t>
            </w:r>
          </w:p>
        </w:tc>
        <w:tc>
          <w:tcPr>
            <w:tcW w:w="566" w:type="dxa"/>
            <w:vAlign w:val="top"/>
          </w:tcPr>
          <w:p w14:paraId="42B968B1">
            <w:pPr>
              <w:pStyle w:val="6"/>
              <w:spacing w:before="71" w:line="182" w:lineRule="auto"/>
              <w:ind w:left="153"/>
            </w:pPr>
            <w:r>
              <w:rPr>
                <w:spacing w:val="-3"/>
              </w:rPr>
              <w:t>364</w:t>
            </w:r>
          </w:p>
        </w:tc>
        <w:tc>
          <w:tcPr>
            <w:tcW w:w="776" w:type="dxa"/>
            <w:vAlign w:val="top"/>
          </w:tcPr>
          <w:p w14:paraId="00AB00C3">
            <w:pPr>
              <w:spacing w:line="227" w:lineRule="exact"/>
              <w:rPr>
                <w:rFonts w:ascii="Arial"/>
                <w:sz w:val="19"/>
              </w:rPr>
            </w:pPr>
          </w:p>
        </w:tc>
        <w:tc>
          <w:tcPr>
            <w:tcW w:w="901" w:type="dxa"/>
            <w:vAlign w:val="top"/>
          </w:tcPr>
          <w:p w14:paraId="6A3EFBAC">
            <w:pPr>
              <w:spacing w:line="227" w:lineRule="exact"/>
              <w:rPr>
                <w:rFonts w:ascii="Arial"/>
                <w:sz w:val="19"/>
              </w:rPr>
            </w:pPr>
          </w:p>
        </w:tc>
        <w:tc>
          <w:tcPr>
            <w:tcW w:w="1222" w:type="dxa"/>
            <w:tcBorders>
              <w:right w:val="single" w:color="000000" w:sz="6" w:space="0"/>
            </w:tcBorders>
            <w:vAlign w:val="top"/>
          </w:tcPr>
          <w:p w14:paraId="37109263">
            <w:pPr>
              <w:pStyle w:val="6"/>
              <w:spacing w:before="39" w:line="193" w:lineRule="auto"/>
              <w:ind w:left="185"/>
            </w:pPr>
            <w:r>
              <w:rPr>
                <w:rFonts w:ascii="仿宋" w:hAnsi="仿宋" w:eastAsia="仿宋" w:cs="仿宋"/>
                <w:spacing w:val="-3"/>
              </w:rPr>
              <w:t>调入</w:t>
            </w:r>
            <w:r>
              <w:rPr>
                <w:rFonts w:ascii="仿宋" w:hAnsi="仿宋" w:eastAsia="仿宋" w:cs="仿宋"/>
                <w:spacing w:val="-36"/>
              </w:rPr>
              <w:t xml:space="preserve"> </w:t>
            </w:r>
            <w:r>
              <w:rPr>
                <w:spacing w:val="-3"/>
              </w:rPr>
              <w:t>364m3</w:t>
            </w:r>
          </w:p>
        </w:tc>
      </w:tr>
      <w:tr w14:paraId="189212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737" w:type="dxa"/>
            <w:vMerge w:val="continue"/>
            <w:tcBorders>
              <w:top w:val="nil"/>
              <w:left w:val="single" w:color="000000" w:sz="6" w:space="0"/>
              <w:bottom w:val="nil"/>
            </w:tcBorders>
            <w:vAlign w:val="top"/>
          </w:tcPr>
          <w:p w14:paraId="661646C7">
            <w:pPr>
              <w:rPr>
                <w:rFonts w:ascii="Arial"/>
                <w:sz w:val="21"/>
              </w:rPr>
            </w:pPr>
          </w:p>
        </w:tc>
        <w:tc>
          <w:tcPr>
            <w:tcW w:w="2267" w:type="dxa"/>
            <w:gridSpan w:val="2"/>
            <w:vAlign w:val="top"/>
          </w:tcPr>
          <w:p w14:paraId="016A3F48">
            <w:pPr>
              <w:spacing w:before="130" w:line="222" w:lineRule="auto"/>
              <w:ind w:left="961"/>
              <w:rPr>
                <w:rFonts w:ascii="仿宋" w:hAnsi="仿宋" w:eastAsia="仿宋" w:cs="仿宋"/>
                <w:sz w:val="18"/>
                <w:szCs w:val="18"/>
              </w:rPr>
            </w:pPr>
            <w:r>
              <w:rPr>
                <w:rFonts w:ascii="仿宋" w:hAnsi="仿宋" w:eastAsia="仿宋" w:cs="仿宋"/>
                <w:spacing w:val="-6"/>
                <w:sz w:val="18"/>
                <w:szCs w:val="18"/>
              </w:rPr>
              <w:t>小计</w:t>
            </w:r>
          </w:p>
        </w:tc>
        <w:tc>
          <w:tcPr>
            <w:tcW w:w="636" w:type="dxa"/>
            <w:vAlign w:val="top"/>
          </w:tcPr>
          <w:p w14:paraId="3C9BAD74">
            <w:pPr>
              <w:pStyle w:val="6"/>
              <w:spacing w:before="161" w:line="188" w:lineRule="auto"/>
              <w:ind w:left="137"/>
            </w:pPr>
            <w:r>
              <w:rPr>
                <w:spacing w:val="-1"/>
              </w:rPr>
              <w:t>4824</w:t>
            </w:r>
          </w:p>
        </w:tc>
        <w:tc>
          <w:tcPr>
            <w:tcW w:w="636" w:type="dxa"/>
            <w:vAlign w:val="top"/>
          </w:tcPr>
          <w:p w14:paraId="5570940D">
            <w:pPr>
              <w:pStyle w:val="6"/>
              <w:spacing w:before="161" w:line="188" w:lineRule="auto"/>
              <w:ind w:left="137"/>
            </w:pPr>
            <w:r>
              <w:rPr>
                <w:spacing w:val="-1"/>
              </w:rPr>
              <w:t>4824</w:t>
            </w:r>
          </w:p>
        </w:tc>
        <w:tc>
          <w:tcPr>
            <w:tcW w:w="636" w:type="dxa"/>
            <w:vAlign w:val="top"/>
          </w:tcPr>
          <w:p w14:paraId="45E3B2AB">
            <w:pPr>
              <w:pStyle w:val="6"/>
              <w:spacing w:before="161" w:line="188" w:lineRule="auto"/>
              <w:ind w:left="140"/>
            </w:pPr>
            <w:r>
              <w:rPr>
                <w:spacing w:val="-1"/>
              </w:rPr>
              <w:t>2940</w:t>
            </w:r>
          </w:p>
        </w:tc>
        <w:tc>
          <w:tcPr>
            <w:tcW w:w="566" w:type="dxa"/>
            <w:vAlign w:val="top"/>
          </w:tcPr>
          <w:p w14:paraId="0E5F5711">
            <w:pPr>
              <w:pStyle w:val="6"/>
              <w:spacing w:before="58" w:line="188" w:lineRule="auto"/>
              <w:ind w:left="149"/>
            </w:pPr>
            <w:r>
              <w:rPr>
                <w:spacing w:val="-1"/>
              </w:rPr>
              <w:t>294</w:t>
            </w:r>
          </w:p>
          <w:p w14:paraId="700A6ED4">
            <w:pPr>
              <w:pStyle w:val="6"/>
              <w:spacing w:before="44" w:line="167" w:lineRule="auto"/>
              <w:ind w:left="243"/>
            </w:pPr>
            <w:r>
              <w:t>0</w:t>
            </w:r>
          </w:p>
        </w:tc>
        <w:tc>
          <w:tcPr>
            <w:tcW w:w="776" w:type="dxa"/>
            <w:vAlign w:val="top"/>
          </w:tcPr>
          <w:p w14:paraId="43540C2D">
            <w:pPr>
              <w:pStyle w:val="6"/>
              <w:spacing w:before="161" w:line="188" w:lineRule="auto"/>
              <w:ind w:left="255"/>
            </w:pPr>
            <w:r>
              <w:rPr>
                <w:spacing w:val="-1"/>
              </w:rPr>
              <w:t>258</w:t>
            </w:r>
          </w:p>
        </w:tc>
        <w:tc>
          <w:tcPr>
            <w:tcW w:w="901" w:type="dxa"/>
            <w:vAlign w:val="top"/>
          </w:tcPr>
          <w:p w14:paraId="2E4954EB">
            <w:pPr>
              <w:pStyle w:val="6"/>
              <w:spacing w:before="161" w:line="188" w:lineRule="auto"/>
              <w:ind w:left="291"/>
            </w:pPr>
            <w:r>
              <w:rPr>
                <w:spacing w:val="-5"/>
              </w:rPr>
              <w:t>1011</w:t>
            </w:r>
          </w:p>
        </w:tc>
        <w:tc>
          <w:tcPr>
            <w:tcW w:w="1222" w:type="dxa"/>
            <w:tcBorders>
              <w:right w:val="single" w:color="000000" w:sz="6" w:space="0"/>
            </w:tcBorders>
            <w:vAlign w:val="top"/>
          </w:tcPr>
          <w:p w14:paraId="62B8B86E">
            <w:pPr>
              <w:rPr>
                <w:rFonts w:ascii="Arial"/>
                <w:sz w:val="21"/>
              </w:rPr>
            </w:pPr>
          </w:p>
        </w:tc>
      </w:tr>
      <w:tr w14:paraId="16E44B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693F37F1">
            <w:pPr>
              <w:rPr>
                <w:rFonts w:ascii="Arial"/>
                <w:sz w:val="21"/>
              </w:rPr>
            </w:pPr>
          </w:p>
        </w:tc>
        <w:tc>
          <w:tcPr>
            <w:tcW w:w="7640" w:type="dxa"/>
            <w:gridSpan w:val="9"/>
            <w:tcBorders>
              <w:right w:val="single" w:color="000000" w:sz="6" w:space="0"/>
            </w:tcBorders>
            <w:vAlign w:val="top"/>
          </w:tcPr>
          <w:p w14:paraId="17F819FD">
            <w:pPr>
              <w:pStyle w:val="6"/>
              <w:spacing w:before="42" w:line="190" w:lineRule="auto"/>
              <w:ind w:left="1623"/>
              <w:rPr>
                <w:rFonts w:ascii="仿宋" w:hAnsi="仿宋" w:eastAsia="仿宋" w:cs="仿宋"/>
              </w:rPr>
            </w:pPr>
            <w:r>
              <w:rPr>
                <w:rFonts w:ascii="仿宋" w:hAnsi="仿宋" w:eastAsia="仿宋" w:cs="仿宋"/>
                <w:spacing w:val="-2"/>
              </w:rPr>
              <w:t>准格尔旗</w:t>
            </w:r>
            <w:r>
              <w:rPr>
                <w:rFonts w:ascii="仿宋" w:hAnsi="仿宋" w:eastAsia="仿宋" w:cs="仿宋"/>
                <w:spacing w:val="-25"/>
              </w:rPr>
              <w:t xml:space="preserve"> </w:t>
            </w:r>
            <w:r>
              <w:rPr>
                <w:spacing w:val="-2"/>
              </w:rPr>
              <w:t>2025</w:t>
            </w:r>
            <w:r>
              <w:rPr>
                <w:spacing w:val="15"/>
                <w:w w:val="101"/>
              </w:rPr>
              <w:t xml:space="preserve"> </w:t>
            </w:r>
            <w:r>
              <w:rPr>
                <w:rFonts w:ascii="仿宋" w:hAnsi="仿宋" w:eastAsia="仿宋" w:cs="仿宋"/>
                <w:spacing w:val="-2"/>
              </w:rPr>
              <w:t>年十二连城乡脑包湾村自然村通硬化路工</w:t>
            </w:r>
          </w:p>
        </w:tc>
      </w:tr>
      <w:tr w14:paraId="71B0D6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6B3B1D36">
            <w:pPr>
              <w:rPr>
                <w:rFonts w:ascii="Arial"/>
                <w:sz w:val="21"/>
              </w:rPr>
            </w:pPr>
          </w:p>
        </w:tc>
        <w:tc>
          <w:tcPr>
            <w:tcW w:w="2267" w:type="dxa"/>
            <w:gridSpan w:val="2"/>
            <w:vAlign w:val="top"/>
          </w:tcPr>
          <w:p w14:paraId="77469832">
            <w:pPr>
              <w:spacing w:before="41" w:line="192" w:lineRule="auto"/>
              <w:ind w:left="871"/>
              <w:rPr>
                <w:rFonts w:ascii="仿宋" w:hAnsi="仿宋" w:eastAsia="仿宋" w:cs="仿宋"/>
                <w:sz w:val="18"/>
                <w:szCs w:val="18"/>
              </w:rPr>
            </w:pPr>
            <w:r>
              <w:rPr>
                <w:rFonts w:ascii="仿宋" w:hAnsi="仿宋" w:eastAsia="仿宋" w:cs="仿宋"/>
                <w:spacing w:val="1"/>
                <w:sz w:val="18"/>
                <w:szCs w:val="18"/>
              </w:rPr>
              <w:t>路段一</w:t>
            </w:r>
          </w:p>
        </w:tc>
        <w:tc>
          <w:tcPr>
            <w:tcW w:w="636" w:type="dxa"/>
            <w:vAlign w:val="top"/>
          </w:tcPr>
          <w:p w14:paraId="64009CA2">
            <w:pPr>
              <w:spacing w:line="228" w:lineRule="exact"/>
              <w:rPr>
                <w:rFonts w:ascii="Arial"/>
                <w:sz w:val="19"/>
              </w:rPr>
            </w:pPr>
          </w:p>
        </w:tc>
        <w:tc>
          <w:tcPr>
            <w:tcW w:w="636" w:type="dxa"/>
            <w:vAlign w:val="top"/>
          </w:tcPr>
          <w:p w14:paraId="6C150E2F">
            <w:pPr>
              <w:spacing w:line="228" w:lineRule="exact"/>
              <w:rPr>
                <w:rFonts w:ascii="Arial"/>
                <w:sz w:val="19"/>
              </w:rPr>
            </w:pPr>
          </w:p>
        </w:tc>
        <w:tc>
          <w:tcPr>
            <w:tcW w:w="636" w:type="dxa"/>
            <w:vAlign w:val="top"/>
          </w:tcPr>
          <w:p w14:paraId="2A688A4D">
            <w:pPr>
              <w:spacing w:line="228" w:lineRule="exact"/>
              <w:rPr>
                <w:rFonts w:ascii="Arial"/>
                <w:sz w:val="19"/>
              </w:rPr>
            </w:pPr>
          </w:p>
        </w:tc>
        <w:tc>
          <w:tcPr>
            <w:tcW w:w="566" w:type="dxa"/>
            <w:vAlign w:val="top"/>
          </w:tcPr>
          <w:p w14:paraId="1FAD944D">
            <w:pPr>
              <w:spacing w:line="228" w:lineRule="exact"/>
              <w:rPr>
                <w:rFonts w:ascii="Arial"/>
                <w:sz w:val="19"/>
              </w:rPr>
            </w:pPr>
          </w:p>
        </w:tc>
        <w:tc>
          <w:tcPr>
            <w:tcW w:w="776" w:type="dxa"/>
            <w:vAlign w:val="top"/>
          </w:tcPr>
          <w:p w14:paraId="7E877CA6">
            <w:pPr>
              <w:spacing w:line="228" w:lineRule="exact"/>
              <w:rPr>
                <w:rFonts w:ascii="Arial"/>
                <w:sz w:val="19"/>
              </w:rPr>
            </w:pPr>
          </w:p>
        </w:tc>
        <w:tc>
          <w:tcPr>
            <w:tcW w:w="901" w:type="dxa"/>
            <w:vAlign w:val="top"/>
          </w:tcPr>
          <w:p w14:paraId="1F1F12EA">
            <w:pPr>
              <w:spacing w:line="228" w:lineRule="exact"/>
              <w:rPr>
                <w:rFonts w:ascii="Arial"/>
                <w:sz w:val="19"/>
              </w:rPr>
            </w:pPr>
          </w:p>
        </w:tc>
        <w:tc>
          <w:tcPr>
            <w:tcW w:w="1222" w:type="dxa"/>
            <w:tcBorders>
              <w:right w:val="single" w:color="000000" w:sz="6" w:space="0"/>
            </w:tcBorders>
            <w:vAlign w:val="top"/>
          </w:tcPr>
          <w:p w14:paraId="01613106">
            <w:pPr>
              <w:spacing w:line="228" w:lineRule="exact"/>
              <w:rPr>
                <w:rFonts w:ascii="Arial"/>
                <w:sz w:val="19"/>
              </w:rPr>
            </w:pPr>
          </w:p>
        </w:tc>
      </w:tr>
      <w:tr w14:paraId="214EED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737" w:type="dxa"/>
            <w:vMerge w:val="continue"/>
            <w:tcBorders>
              <w:top w:val="nil"/>
              <w:left w:val="single" w:color="000000" w:sz="6" w:space="0"/>
              <w:bottom w:val="nil"/>
            </w:tcBorders>
            <w:vAlign w:val="top"/>
          </w:tcPr>
          <w:p w14:paraId="7429F36A">
            <w:pPr>
              <w:rPr>
                <w:rFonts w:ascii="Arial"/>
                <w:sz w:val="21"/>
              </w:rPr>
            </w:pPr>
          </w:p>
        </w:tc>
        <w:tc>
          <w:tcPr>
            <w:tcW w:w="1526" w:type="dxa"/>
            <w:vAlign w:val="top"/>
          </w:tcPr>
          <w:p w14:paraId="3DF74473">
            <w:pPr>
              <w:pStyle w:val="6"/>
              <w:spacing w:before="40"/>
              <w:ind w:left="376"/>
              <w:rPr>
                <w:rFonts w:ascii="仿宋" w:hAnsi="仿宋" w:eastAsia="仿宋" w:cs="仿宋"/>
              </w:rPr>
            </w:pPr>
            <w:r>
              <w:rPr>
                <w:spacing w:val="9"/>
              </w:rPr>
              <w:t>K0+000</w:t>
            </w:r>
            <w:r>
              <w:rPr>
                <w:rFonts w:ascii="仿宋" w:hAnsi="仿宋" w:eastAsia="仿宋" w:cs="仿宋"/>
                <w:spacing w:val="9"/>
              </w:rPr>
              <w:t>~</w:t>
            </w:r>
          </w:p>
          <w:p w14:paraId="730F2836">
            <w:pPr>
              <w:pStyle w:val="6"/>
              <w:spacing w:before="15" w:line="168" w:lineRule="auto"/>
              <w:ind w:left="465"/>
            </w:pPr>
            <w:r>
              <w:rPr>
                <w:spacing w:val="-1"/>
              </w:rPr>
              <w:t>K1+000</w:t>
            </w:r>
          </w:p>
        </w:tc>
        <w:tc>
          <w:tcPr>
            <w:tcW w:w="741" w:type="dxa"/>
            <w:vAlign w:val="top"/>
          </w:tcPr>
          <w:p w14:paraId="3CAA498A">
            <w:pPr>
              <w:pStyle w:val="6"/>
              <w:spacing w:before="174" w:line="188" w:lineRule="auto"/>
              <w:ind w:left="137"/>
            </w:pPr>
            <w:r>
              <w:rPr>
                <w:spacing w:val="-4"/>
              </w:rPr>
              <w:t>1000.0</w:t>
            </w:r>
          </w:p>
        </w:tc>
        <w:tc>
          <w:tcPr>
            <w:tcW w:w="636" w:type="dxa"/>
            <w:vAlign w:val="top"/>
          </w:tcPr>
          <w:p w14:paraId="094719A4">
            <w:pPr>
              <w:pStyle w:val="6"/>
              <w:spacing w:before="174" w:line="188" w:lineRule="auto"/>
              <w:ind w:left="181"/>
            </w:pPr>
            <w:r>
              <w:rPr>
                <w:spacing w:val="-1"/>
              </w:rPr>
              <w:t>227</w:t>
            </w:r>
          </w:p>
        </w:tc>
        <w:tc>
          <w:tcPr>
            <w:tcW w:w="636" w:type="dxa"/>
            <w:vAlign w:val="top"/>
          </w:tcPr>
          <w:p w14:paraId="45DB84C3">
            <w:pPr>
              <w:pStyle w:val="6"/>
              <w:spacing w:before="174" w:line="188" w:lineRule="auto"/>
              <w:ind w:left="183"/>
            </w:pPr>
            <w:r>
              <w:rPr>
                <w:spacing w:val="-1"/>
              </w:rPr>
              <w:t>227</w:t>
            </w:r>
          </w:p>
        </w:tc>
        <w:tc>
          <w:tcPr>
            <w:tcW w:w="636" w:type="dxa"/>
            <w:vAlign w:val="top"/>
          </w:tcPr>
          <w:p w14:paraId="792CE6F3">
            <w:pPr>
              <w:pStyle w:val="6"/>
              <w:spacing w:before="174" w:line="188" w:lineRule="auto"/>
              <w:ind w:left="183"/>
            </w:pPr>
            <w:r>
              <w:rPr>
                <w:spacing w:val="-1"/>
              </w:rPr>
              <w:t>227</w:t>
            </w:r>
          </w:p>
        </w:tc>
        <w:tc>
          <w:tcPr>
            <w:tcW w:w="566" w:type="dxa"/>
            <w:vAlign w:val="top"/>
          </w:tcPr>
          <w:p w14:paraId="573AE89D">
            <w:pPr>
              <w:pStyle w:val="6"/>
              <w:spacing w:before="174" w:line="188" w:lineRule="auto"/>
              <w:ind w:left="150"/>
            </w:pPr>
            <w:r>
              <w:rPr>
                <w:spacing w:val="-1"/>
              </w:rPr>
              <w:t>227</w:t>
            </w:r>
          </w:p>
        </w:tc>
        <w:tc>
          <w:tcPr>
            <w:tcW w:w="776" w:type="dxa"/>
            <w:vAlign w:val="top"/>
          </w:tcPr>
          <w:p w14:paraId="09BA6BE6">
            <w:pPr>
              <w:pStyle w:val="6"/>
              <w:spacing w:before="174" w:line="188" w:lineRule="auto"/>
              <w:ind w:left="304"/>
            </w:pPr>
            <w:r>
              <w:rPr>
                <w:spacing w:val="-3"/>
              </w:rPr>
              <w:t>72</w:t>
            </w:r>
          </w:p>
        </w:tc>
        <w:tc>
          <w:tcPr>
            <w:tcW w:w="901" w:type="dxa"/>
            <w:vAlign w:val="top"/>
          </w:tcPr>
          <w:p w14:paraId="2A5C5860">
            <w:pPr>
              <w:pStyle w:val="6"/>
              <w:spacing w:before="174" w:line="188" w:lineRule="auto"/>
              <w:ind w:left="337"/>
            </w:pPr>
            <w:r>
              <w:rPr>
                <w:spacing w:val="-7"/>
              </w:rPr>
              <w:t>155</w:t>
            </w:r>
          </w:p>
        </w:tc>
        <w:tc>
          <w:tcPr>
            <w:tcW w:w="1222" w:type="dxa"/>
            <w:tcBorders>
              <w:right w:val="single" w:color="000000" w:sz="6" w:space="0"/>
            </w:tcBorders>
            <w:vAlign w:val="top"/>
          </w:tcPr>
          <w:p w14:paraId="1D3EECF6">
            <w:pPr>
              <w:rPr>
                <w:rFonts w:ascii="Arial"/>
                <w:sz w:val="21"/>
              </w:rPr>
            </w:pPr>
          </w:p>
        </w:tc>
      </w:tr>
      <w:tr w14:paraId="318DAB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737" w:type="dxa"/>
            <w:vMerge w:val="continue"/>
            <w:tcBorders>
              <w:top w:val="nil"/>
              <w:left w:val="single" w:color="000000" w:sz="6" w:space="0"/>
              <w:bottom w:val="nil"/>
            </w:tcBorders>
            <w:vAlign w:val="top"/>
          </w:tcPr>
          <w:p w14:paraId="54942AA1">
            <w:pPr>
              <w:rPr>
                <w:rFonts w:ascii="Arial"/>
                <w:sz w:val="21"/>
              </w:rPr>
            </w:pPr>
          </w:p>
        </w:tc>
        <w:tc>
          <w:tcPr>
            <w:tcW w:w="1526" w:type="dxa"/>
            <w:vAlign w:val="top"/>
          </w:tcPr>
          <w:p w14:paraId="467FC269">
            <w:pPr>
              <w:pStyle w:val="6"/>
              <w:spacing w:before="41"/>
              <w:ind w:left="376"/>
              <w:rPr>
                <w:rFonts w:ascii="仿宋" w:hAnsi="仿宋" w:eastAsia="仿宋" w:cs="仿宋"/>
              </w:rPr>
            </w:pPr>
            <w:r>
              <w:rPr>
                <w:spacing w:val="9"/>
              </w:rPr>
              <w:t>K1+000</w:t>
            </w:r>
            <w:r>
              <w:rPr>
                <w:rFonts w:ascii="仿宋" w:hAnsi="仿宋" w:eastAsia="仿宋" w:cs="仿宋"/>
                <w:spacing w:val="9"/>
              </w:rPr>
              <w:t>~</w:t>
            </w:r>
          </w:p>
          <w:p w14:paraId="74A4BED8">
            <w:pPr>
              <w:pStyle w:val="6"/>
              <w:spacing w:before="15" w:line="167" w:lineRule="auto"/>
              <w:ind w:left="465"/>
            </w:pPr>
            <w:r>
              <w:rPr>
                <w:spacing w:val="-1"/>
              </w:rPr>
              <w:t>K2+000</w:t>
            </w:r>
          </w:p>
        </w:tc>
        <w:tc>
          <w:tcPr>
            <w:tcW w:w="741" w:type="dxa"/>
            <w:vAlign w:val="top"/>
          </w:tcPr>
          <w:p w14:paraId="3F55850F">
            <w:pPr>
              <w:pStyle w:val="6"/>
              <w:spacing w:before="173" w:line="188" w:lineRule="auto"/>
              <w:ind w:left="137"/>
            </w:pPr>
            <w:r>
              <w:rPr>
                <w:spacing w:val="-4"/>
              </w:rPr>
              <w:t>1000.0</w:t>
            </w:r>
          </w:p>
        </w:tc>
        <w:tc>
          <w:tcPr>
            <w:tcW w:w="636" w:type="dxa"/>
            <w:vAlign w:val="top"/>
          </w:tcPr>
          <w:p w14:paraId="0433DF88">
            <w:pPr>
              <w:pStyle w:val="6"/>
              <w:spacing w:before="173" w:line="188" w:lineRule="auto"/>
              <w:ind w:left="198"/>
            </w:pPr>
            <w:r>
              <w:rPr>
                <w:spacing w:val="-7"/>
              </w:rPr>
              <w:t>168</w:t>
            </w:r>
          </w:p>
        </w:tc>
        <w:tc>
          <w:tcPr>
            <w:tcW w:w="636" w:type="dxa"/>
            <w:vAlign w:val="top"/>
          </w:tcPr>
          <w:p w14:paraId="71615F24">
            <w:pPr>
              <w:pStyle w:val="6"/>
              <w:spacing w:before="173" w:line="188" w:lineRule="auto"/>
              <w:ind w:left="200"/>
            </w:pPr>
            <w:r>
              <w:rPr>
                <w:spacing w:val="-7"/>
              </w:rPr>
              <w:t>168</w:t>
            </w:r>
          </w:p>
        </w:tc>
        <w:tc>
          <w:tcPr>
            <w:tcW w:w="636" w:type="dxa"/>
            <w:vAlign w:val="top"/>
          </w:tcPr>
          <w:p w14:paraId="5C10AE43">
            <w:pPr>
              <w:pStyle w:val="6"/>
              <w:spacing w:before="173" w:line="188" w:lineRule="auto"/>
              <w:ind w:left="200"/>
            </w:pPr>
            <w:r>
              <w:rPr>
                <w:spacing w:val="-7"/>
              </w:rPr>
              <w:t>168</w:t>
            </w:r>
          </w:p>
        </w:tc>
        <w:tc>
          <w:tcPr>
            <w:tcW w:w="566" w:type="dxa"/>
            <w:vAlign w:val="top"/>
          </w:tcPr>
          <w:p w14:paraId="1369F579">
            <w:pPr>
              <w:pStyle w:val="6"/>
              <w:spacing w:before="173" w:line="188" w:lineRule="auto"/>
              <w:ind w:left="167"/>
            </w:pPr>
            <w:r>
              <w:rPr>
                <w:spacing w:val="-7"/>
              </w:rPr>
              <w:t>168</w:t>
            </w:r>
          </w:p>
        </w:tc>
        <w:tc>
          <w:tcPr>
            <w:tcW w:w="776" w:type="dxa"/>
            <w:vAlign w:val="top"/>
          </w:tcPr>
          <w:p w14:paraId="31B71910">
            <w:pPr>
              <w:pStyle w:val="6"/>
              <w:spacing w:before="173" w:line="188" w:lineRule="auto"/>
              <w:ind w:left="304"/>
            </w:pPr>
            <w:r>
              <w:rPr>
                <w:spacing w:val="-3"/>
              </w:rPr>
              <w:t>76</w:t>
            </w:r>
          </w:p>
        </w:tc>
        <w:tc>
          <w:tcPr>
            <w:tcW w:w="901" w:type="dxa"/>
            <w:vAlign w:val="top"/>
          </w:tcPr>
          <w:p w14:paraId="3C003472">
            <w:pPr>
              <w:pStyle w:val="6"/>
              <w:spacing w:before="173" w:line="188" w:lineRule="auto"/>
              <w:ind w:left="368"/>
            </w:pPr>
            <w:r>
              <w:rPr>
                <w:spacing w:val="-4"/>
              </w:rPr>
              <w:t>92</w:t>
            </w:r>
          </w:p>
        </w:tc>
        <w:tc>
          <w:tcPr>
            <w:tcW w:w="1222" w:type="dxa"/>
            <w:tcBorders>
              <w:right w:val="single" w:color="000000" w:sz="6" w:space="0"/>
            </w:tcBorders>
            <w:vAlign w:val="top"/>
          </w:tcPr>
          <w:p w14:paraId="0A4908EE">
            <w:pPr>
              <w:rPr>
                <w:rFonts w:ascii="Arial"/>
                <w:sz w:val="21"/>
              </w:rPr>
            </w:pPr>
          </w:p>
        </w:tc>
      </w:tr>
      <w:tr w14:paraId="3F16BB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737" w:type="dxa"/>
            <w:vMerge w:val="continue"/>
            <w:tcBorders>
              <w:top w:val="nil"/>
              <w:left w:val="single" w:color="000000" w:sz="6" w:space="0"/>
              <w:bottom w:val="nil"/>
            </w:tcBorders>
            <w:vAlign w:val="top"/>
          </w:tcPr>
          <w:p w14:paraId="46CCEF46">
            <w:pPr>
              <w:rPr>
                <w:rFonts w:ascii="Arial"/>
                <w:sz w:val="21"/>
              </w:rPr>
            </w:pPr>
          </w:p>
        </w:tc>
        <w:tc>
          <w:tcPr>
            <w:tcW w:w="1526" w:type="dxa"/>
            <w:vAlign w:val="top"/>
          </w:tcPr>
          <w:p w14:paraId="0C2D1B33">
            <w:pPr>
              <w:pStyle w:val="6"/>
              <w:spacing w:before="40"/>
              <w:ind w:left="376"/>
              <w:rPr>
                <w:rFonts w:ascii="仿宋" w:hAnsi="仿宋" w:eastAsia="仿宋" w:cs="仿宋"/>
              </w:rPr>
            </w:pPr>
            <w:r>
              <w:rPr>
                <w:spacing w:val="9"/>
              </w:rPr>
              <w:t>K2+000</w:t>
            </w:r>
            <w:r>
              <w:rPr>
                <w:rFonts w:ascii="仿宋" w:hAnsi="仿宋" w:eastAsia="仿宋" w:cs="仿宋"/>
                <w:spacing w:val="9"/>
              </w:rPr>
              <w:t>~</w:t>
            </w:r>
          </w:p>
          <w:p w14:paraId="1B09E726">
            <w:pPr>
              <w:pStyle w:val="6"/>
              <w:spacing w:before="17" w:line="166" w:lineRule="auto"/>
              <w:ind w:left="465"/>
            </w:pPr>
            <w:r>
              <w:rPr>
                <w:spacing w:val="-1"/>
              </w:rPr>
              <w:t>K2+110</w:t>
            </w:r>
          </w:p>
        </w:tc>
        <w:tc>
          <w:tcPr>
            <w:tcW w:w="741" w:type="dxa"/>
            <w:vAlign w:val="top"/>
          </w:tcPr>
          <w:p w14:paraId="65F082BB">
            <w:pPr>
              <w:pStyle w:val="6"/>
              <w:spacing w:before="174" w:line="188" w:lineRule="auto"/>
              <w:ind w:left="183"/>
            </w:pPr>
            <w:r>
              <w:rPr>
                <w:spacing w:val="-4"/>
              </w:rPr>
              <w:t>110.0</w:t>
            </w:r>
          </w:p>
        </w:tc>
        <w:tc>
          <w:tcPr>
            <w:tcW w:w="636" w:type="dxa"/>
            <w:vAlign w:val="top"/>
          </w:tcPr>
          <w:p w14:paraId="2161DBEF">
            <w:pPr>
              <w:pStyle w:val="6"/>
              <w:spacing w:before="174" w:line="188" w:lineRule="auto"/>
              <w:ind w:left="275"/>
            </w:pPr>
            <w:r>
              <w:t>3</w:t>
            </w:r>
          </w:p>
        </w:tc>
        <w:tc>
          <w:tcPr>
            <w:tcW w:w="636" w:type="dxa"/>
            <w:vAlign w:val="top"/>
          </w:tcPr>
          <w:p w14:paraId="119BE15F">
            <w:pPr>
              <w:pStyle w:val="6"/>
              <w:spacing w:before="174" w:line="188" w:lineRule="auto"/>
              <w:ind w:left="275"/>
            </w:pPr>
            <w:r>
              <w:t>3</w:t>
            </w:r>
          </w:p>
        </w:tc>
        <w:tc>
          <w:tcPr>
            <w:tcW w:w="636" w:type="dxa"/>
            <w:vAlign w:val="top"/>
          </w:tcPr>
          <w:p w14:paraId="118763EA">
            <w:pPr>
              <w:pStyle w:val="6"/>
              <w:spacing w:before="174" w:line="188" w:lineRule="auto"/>
              <w:ind w:left="246"/>
            </w:pPr>
            <w:r>
              <w:rPr>
                <w:spacing w:val="-10"/>
              </w:rPr>
              <w:t>15</w:t>
            </w:r>
          </w:p>
        </w:tc>
        <w:tc>
          <w:tcPr>
            <w:tcW w:w="566" w:type="dxa"/>
            <w:vAlign w:val="top"/>
          </w:tcPr>
          <w:p w14:paraId="210F4946">
            <w:pPr>
              <w:pStyle w:val="6"/>
              <w:spacing w:before="174" w:line="188" w:lineRule="auto"/>
              <w:ind w:left="212"/>
            </w:pPr>
            <w:r>
              <w:rPr>
                <w:spacing w:val="-10"/>
              </w:rPr>
              <w:t>15</w:t>
            </w:r>
          </w:p>
        </w:tc>
        <w:tc>
          <w:tcPr>
            <w:tcW w:w="776" w:type="dxa"/>
            <w:vAlign w:val="top"/>
          </w:tcPr>
          <w:p w14:paraId="47108ED2">
            <w:pPr>
              <w:pStyle w:val="6"/>
              <w:spacing w:before="174" w:line="188" w:lineRule="auto"/>
              <w:ind w:left="318"/>
            </w:pPr>
            <w:r>
              <w:rPr>
                <w:spacing w:val="-10"/>
              </w:rPr>
              <w:t>15</w:t>
            </w:r>
          </w:p>
        </w:tc>
        <w:tc>
          <w:tcPr>
            <w:tcW w:w="901" w:type="dxa"/>
            <w:vAlign w:val="top"/>
          </w:tcPr>
          <w:p w14:paraId="683D2832">
            <w:pPr>
              <w:rPr>
                <w:rFonts w:ascii="Arial"/>
                <w:sz w:val="21"/>
              </w:rPr>
            </w:pPr>
          </w:p>
        </w:tc>
        <w:tc>
          <w:tcPr>
            <w:tcW w:w="1222" w:type="dxa"/>
            <w:tcBorders>
              <w:right w:val="single" w:color="000000" w:sz="6" w:space="0"/>
            </w:tcBorders>
            <w:vAlign w:val="top"/>
          </w:tcPr>
          <w:p w14:paraId="1619FAEB">
            <w:pPr>
              <w:pStyle w:val="6"/>
              <w:spacing w:before="143" w:line="224" w:lineRule="auto"/>
              <w:ind w:left="231"/>
            </w:pPr>
            <w:r>
              <w:rPr>
                <w:rFonts w:ascii="仿宋" w:hAnsi="仿宋" w:eastAsia="仿宋" w:cs="仿宋"/>
                <w:spacing w:val="-6"/>
              </w:rPr>
              <w:t>调入</w:t>
            </w:r>
            <w:r>
              <w:rPr>
                <w:rFonts w:ascii="仿宋" w:hAnsi="仿宋" w:eastAsia="仿宋" w:cs="仿宋"/>
                <w:spacing w:val="-24"/>
              </w:rPr>
              <w:t xml:space="preserve"> </w:t>
            </w:r>
            <w:r>
              <w:rPr>
                <w:spacing w:val="-6"/>
              </w:rPr>
              <w:t>12m3</w:t>
            </w:r>
          </w:p>
        </w:tc>
      </w:tr>
      <w:tr w14:paraId="6586CE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52B05973">
            <w:pPr>
              <w:rPr>
                <w:rFonts w:ascii="Arial"/>
                <w:sz w:val="21"/>
              </w:rPr>
            </w:pPr>
          </w:p>
        </w:tc>
        <w:tc>
          <w:tcPr>
            <w:tcW w:w="2267" w:type="dxa"/>
            <w:gridSpan w:val="2"/>
            <w:vAlign w:val="top"/>
          </w:tcPr>
          <w:p w14:paraId="05DE1F0D">
            <w:pPr>
              <w:spacing w:before="41" w:line="192" w:lineRule="auto"/>
              <w:ind w:left="871"/>
              <w:rPr>
                <w:rFonts w:ascii="仿宋" w:hAnsi="仿宋" w:eastAsia="仿宋" w:cs="仿宋"/>
                <w:sz w:val="18"/>
                <w:szCs w:val="18"/>
              </w:rPr>
            </w:pPr>
            <w:r>
              <w:rPr>
                <w:rFonts w:ascii="仿宋" w:hAnsi="仿宋" w:eastAsia="仿宋" w:cs="仿宋"/>
                <w:spacing w:val="-4"/>
                <w:sz w:val="18"/>
                <w:szCs w:val="18"/>
              </w:rPr>
              <w:t>路段二</w:t>
            </w:r>
          </w:p>
        </w:tc>
        <w:tc>
          <w:tcPr>
            <w:tcW w:w="636" w:type="dxa"/>
            <w:vAlign w:val="top"/>
          </w:tcPr>
          <w:p w14:paraId="116D3780">
            <w:pPr>
              <w:spacing w:line="228" w:lineRule="exact"/>
              <w:rPr>
                <w:rFonts w:ascii="Arial"/>
                <w:sz w:val="19"/>
              </w:rPr>
            </w:pPr>
          </w:p>
        </w:tc>
        <w:tc>
          <w:tcPr>
            <w:tcW w:w="636" w:type="dxa"/>
            <w:vAlign w:val="top"/>
          </w:tcPr>
          <w:p w14:paraId="067DF530">
            <w:pPr>
              <w:spacing w:line="228" w:lineRule="exact"/>
              <w:rPr>
                <w:rFonts w:ascii="Arial"/>
                <w:sz w:val="19"/>
              </w:rPr>
            </w:pPr>
          </w:p>
        </w:tc>
        <w:tc>
          <w:tcPr>
            <w:tcW w:w="636" w:type="dxa"/>
            <w:vAlign w:val="top"/>
          </w:tcPr>
          <w:p w14:paraId="0C6CB6CF">
            <w:pPr>
              <w:spacing w:line="228" w:lineRule="exact"/>
              <w:rPr>
                <w:rFonts w:ascii="Arial"/>
                <w:sz w:val="19"/>
              </w:rPr>
            </w:pPr>
          </w:p>
        </w:tc>
        <w:tc>
          <w:tcPr>
            <w:tcW w:w="566" w:type="dxa"/>
            <w:vAlign w:val="top"/>
          </w:tcPr>
          <w:p w14:paraId="78F91264">
            <w:pPr>
              <w:spacing w:line="228" w:lineRule="exact"/>
              <w:rPr>
                <w:rFonts w:ascii="Arial"/>
                <w:sz w:val="19"/>
              </w:rPr>
            </w:pPr>
          </w:p>
        </w:tc>
        <w:tc>
          <w:tcPr>
            <w:tcW w:w="776" w:type="dxa"/>
            <w:vAlign w:val="top"/>
          </w:tcPr>
          <w:p w14:paraId="759B8441">
            <w:pPr>
              <w:spacing w:line="228" w:lineRule="exact"/>
              <w:rPr>
                <w:rFonts w:ascii="Arial"/>
                <w:sz w:val="19"/>
              </w:rPr>
            </w:pPr>
          </w:p>
        </w:tc>
        <w:tc>
          <w:tcPr>
            <w:tcW w:w="901" w:type="dxa"/>
            <w:vAlign w:val="top"/>
          </w:tcPr>
          <w:p w14:paraId="3794FDBA">
            <w:pPr>
              <w:spacing w:line="228" w:lineRule="exact"/>
              <w:rPr>
                <w:rFonts w:ascii="Arial"/>
                <w:sz w:val="19"/>
              </w:rPr>
            </w:pPr>
          </w:p>
        </w:tc>
        <w:tc>
          <w:tcPr>
            <w:tcW w:w="1222" w:type="dxa"/>
            <w:tcBorders>
              <w:right w:val="single" w:color="000000" w:sz="6" w:space="0"/>
            </w:tcBorders>
            <w:vAlign w:val="top"/>
          </w:tcPr>
          <w:p w14:paraId="518A51E2">
            <w:pPr>
              <w:spacing w:line="228" w:lineRule="exact"/>
              <w:rPr>
                <w:rFonts w:ascii="Arial"/>
                <w:sz w:val="19"/>
              </w:rPr>
            </w:pPr>
          </w:p>
        </w:tc>
      </w:tr>
      <w:tr w14:paraId="1668D5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737" w:type="dxa"/>
            <w:vMerge w:val="continue"/>
            <w:tcBorders>
              <w:top w:val="nil"/>
              <w:left w:val="single" w:color="000000" w:sz="6" w:space="0"/>
              <w:bottom w:val="single" w:color="000000" w:sz="6" w:space="0"/>
            </w:tcBorders>
            <w:vAlign w:val="top"/>
          </w:tcPr>
          <w:p w14:paraId="060BA6E7">
            <w:pPr>
              <w:rPr>
                <w:rFonts w:ascii="Arial"/>
                <w:sz w:val="21"/>
              </w:rPr>
            </w:pPr>
          </w:p>
        </w:tc>
        <w:tc>
          <w:tcPr>
            <w:tcW w:w="1526" w:type="dxa"/>
            <w:tcBorders>
              <w:bottom w:val="single" w:color="000000" w:sz="6" w:space="0"/>
            </w:tcBorders>
            <w:vAlign w:val="top"/>
          </w:tcPr>
          <w:p w14:paraId="4ADB7454">
            <w:pPr>
              <w:pStyle w:val="6"/>
              <w:spacing w:before="42"/>
              <w:ind w:left="376"/>
              <w:rPr>
                <w:rFonts w:ascii="仿宋" w:hAnsi="仿宋" w:eastAsia="仿宋" w:cs="仿宋"/>
              </w:rPr>
            </w:pPr>
            <w:r>
              <w:rPr>
                <w:spacing w:val="9"/>
              </w:rPr>
              <w:t>K0+000</w:t>
            </w:r>
            <w:r>
              <w:rPr>
                <w:rFonts w:ascii="仿宋" w:hAnsi="仿宋" w:eastAsia="仿宋" w:cs="仿宋"/>
                <w:spacing w:val="9"/>
              </w:rPr>
              <w:t>~</w:t>
            </w:r>
          </w:p>
          <w:p w14:paraId="39249265">
            <w:pPr>
              <w:pStyle w:val="6"/>
              <w:spacing w:before="15" w:line="180" w:lineRule="auto"/>
              <w:ind w:left="465"/>
            </w:pPr>
            <w:r>
              <w:rPr>
                <w:spacing w:val="-1"/>
              </w:rPr>
              <w:t>K1+000</w:t>
            </w:r>
          </w:p>
        </w:tc>
        <w:tc>
          <w:tcPr>
            <w:tcW w:w="741" w:type="dxa"/>
            <w:tcBorders>
              <w:bottom w:val="single" w:color="000000" w:sz="6" w:space="0"/>
            </w:tcBorders>
            <w:vAlign w:val="top"/>
          </w:tcPr>
          <w:p w14:paraId="2D0AFC04">
            <w:pPr>
              <w:pStyle w:val="6"/>
              <w:spacing w:before="174" w:line="188" w:lineRule="auto"/>
              <w:ind w:left="137"/>
            </w:pPr>
            <w:r>
              <w:rPr>
                <w:spacing w:val="-4"/>
              </w:rPr>
              <w:t>1000.0</w:t>
            </w:r>
          </w:p>
        </w:tc>
        <w:tc>
          <w:tcPr>
            <w:tcW w:w="636" w:type="dxa"/>
            <w:tcBorders>
              <w:bottom w:val="single" w:color="000000" w:sz="6" w:space="0"/>
            </w:tcBorders>
            <w:vAlign w:val="top"/>
          </w:tcPr>
          <w:p w14:paraId="52A89B31">
            <w:pPr>
              <w:pStyle w:val="6"/>
              <w:spacing w:before="174" w:line="188" w:lineRule="auto"/>
              <w:ind w:left="198"/>
            </w:pPr>
            <w:r>
              <w:rPr>
                <w:spacing w:val="-7"/>
              </w:rPr>
              <w:t>161</w:t>
            </w:r>
          </w:p>
        </w:tc>
        <w:tc>
          <w:tcPr>
            <w:tcW w:w="636" w:type="dxa"/>
            <w:tcBorders>
              <w:bottom w:val="single" w:color="000000" w:sz="6" w:space="0"/>
            </w:tcBorders>
            <w:vAlign w:val="top"/>
          </w:tcPr>
          <w:p w14:paraId="7E31282D">
            <w:pPr>
              <w:pStyle w:val="6"/>
              <w:spacing w:before="174" w:line="188" w:lineRule="auto"/>
              <w:ind w:left="200"/>
            </w:pPr>
            <w:r>
              <w:rPr>
                <w:spacing w:val="-7"/>
              </w:rPr>
              <w:t>161</w:t>
            </w:r>
          </w:p>
        </w:tc>
        <w:tc>
          <w:tcPr>
            <w:tcW w:w="636" w:type="dxa"/>
            <w:tcBorders>
              <w:bottom w:val="single" w:color="000000" w:sz="6" w:space="0"/>
            </w:tcBorders>
            <w:vAlign w:val="top"/>
          </w:tcPr>
          <w:p w14:paraId="37A76E44">
            <w:pPr>
              <w:pStyle w:val="6"/>
              <w:spacing w:before="174" w:line="188" w:lineRule="auto"/>
              <w:ind w:left="200"/>
            </w:pPr>
            <w:r>
              <w:rPr>
                <w:spacing w:val="-7"/>
              </w:rPr>
              <w:t>161</w:t>
            </w:r>
          </w:p>
        </w:tc>
        <w:tc>
          <w:tcPr>
            <w:tcW w:w="566" w:type="dxa"/>
            <w:tcBorders>
              <w:bottom w:val="single" w:color="000000" w:sz="6" w:space="0"/>
            </w:tcBorders>
            <w:vAlign w:val="top"/>
          </w:tcPr>
          <w:p w14:paraId="7D282DAF">
            <w:pPr>
              <w:pStyle w:val="6"/>
              <w:spacing w:before="174" w:line="188" w:lineRule="auto"/>
              <w:ind w:left="167"/>
            </w:pPr>
            <w:r>
              <w:rPr>
                <w:spacing w:val="-7"/>
              </w:rPr>
              <w:t>161</w:t>
            </w:r>
          </w:p>
        </w:tc>
        <w:tc>
          <w:tcPr>
            <w:tcW w:w="776" w:type="dxa"/>
            <w:tcBorders>
              <w:bottom w:val="single" w:color="000000" w:sz="6" w:space="0"/>
            </w:tcBorders>
            <w:vAlign w:val="top"/>
          </w:tcPr>
          <w:p w14:paraId="19716DBA">
            <w:pPr>
              <w:pStyle w:val="6"/>
              <w:spacing w:before="174" w:line="188" w:lineRule="auto"/>
              <w:ind w:left="305"/>
            </w:pPr>
            <w:r>
              <w:rPr>
                <w:spacing w:val="-4"/>
              </w:rPr>
              <w:t>39</w:t>
            </w:r>
          </w:p>
        </w:tc>
        <w:tc>
          <w:tcPr>
            <w:tcW w:w="901" w:type="dxa"/>
            <w:tcBorders>
              <w:bottom w:val="single" w:color="000000" w:sz="6" w:space="0"/>
            </w:tcBorders>
            <w:vAlign w:val="top"/>
          </w:tcPr>
          <w:p w14:paraId="727CA794">
            <w:pPr>
              <w:pStyle w:val="6"/>
              <w:spacing w:before="174" w:line="188" w:lineRule="auto"/>
              <w:ind w:left="337"/>
            </w:pPr>
            <w:r>
              <w:rPr>
                <w:spacing w:val="-7"/>
              </w:rPr>
              <w:t>122</w:t>
            </w:r>
          </w:p>
        </w:tc>
        <w:tc>
          <w:tcPr>
            <w:tcW w:w="1222" w:type="dxa"/>
            <w:tcBorders>
              <w:bottom w:val="single" w:color="000000" w:sz="6" w:space="0"/>
              <w:right w:val="single" w:color="000000" w:sz="6" w:space="0"/>
            </w:tcBorders>
            <w:vAlign w:val="top"/>
          </w:tcPr>
          <w:p w14:paraId="2D471A54">
            <w:pPr>
              <w:rPr>
                <w:rFonts w:ascii="Arial"/>
                <w:sz w:val="21"/>
              </w:rPr>
            </w:pPr>
          </w:p>
        </w:tc>
      </w:tr>
    </w:tbl>
    <w:p w14:paraId="34D8B748">
      <w:pPr>
        <w:pStyle w:val="2"/>
        <w:spacing w:line="90" w:lineRule="exact"/>
        <w:rPr>
          <w:sz w:val="7"/>
        </w:rPr>
      </w:pPr>
    </w:p>
    <w:p w14:paraId="4EAF6B65">
      <w:pPr>
        <w:spacing w:line="90" w:lineRule="exact"/>
        <w:rPr>
          <w:sz w:val="7"/>
          <w:szCs w:val="7"/>
        </w:rPr>
        <w:sectPr>
          <w:footerReference r:id="rId23" w:type="default"/>
          <w:pgSz w:w="11907" w:h="16840"/>
          <w:pgMar w:top="400" w:right="1757" w:bottom="1446" w:left="1757" w:header="0" w:footer="1284" w:gutter="0"/>
          <w:cols w:space="720" w:num="1"/>
        </w:sectPr>
      </w:pPr>
    </w:p>
    <w:p w14:paraId="05BEF369">
      <w:pPr>
        <w:spacing w:before="19"/>
      </w:pPr>
    </w:p>
    <w:p w14:paraId="0CCDD070">
      <w:pPr>
        <w:spacing w:before="19"/>
      </w:pPr>
    </w:p>
    <w:p w14:paraId="0124678A">
      <w:pPr>
        <w:spacing w:before="18"/>
      </w:pPr>
    </w:p>
    <w:p w14:paraId="4DFC684D">
      <w:pPr>
        <w:spacing w:before="18"/>
      </w:pPr>
    </w:p>
    <w:tbl>
      <w:tblPr>
        <w:tblStyle w:val="5"/>
        <w:tblW w:w="8377"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7"/>
        <w:gridCol w:w="637"/>
        <w:gridCol w:w="889"/>
        <w:gridCol w:w="741"/>
        <w:gridCol w:w="636"/>
        <w:gridCol w:w="522"/>
        <w:gridCol w:w="114"/>
        <w:gridCol w:w="636"/>
        <w:gridCol w:w="264"/>
        <w:gridCol w:w="302"/>
        <w:gridCol w:w="711"/>
        <w:gridCol w:w="65"/>
        <w:gridCol w:w="901"/>
        <w:gridCol w:w="47"/>
        <w:gridCol w:w="1175"/>
      </w:tblGrid>
      <w:tr w14:paraId="5C25FA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9" w:hRule="atLeast"/>
        </w:trPr>
        <w:tc>
          <w:tcPr>
            <w:tcW w:w="737" w:type="dxa"/>
            <w:vMerge w:val="restart"/>
            <w:tcBorders>
              <w:top w:val="single" w:color="000000" w:sz="6" w:space="0"/>
              <w:left w:val="single" w:color="000000" w:sz="6" w:space="0"/>
              <w:bottom w:val="nil"/>
            </w:tcBorders>
            <w:vAlign w:val="top"/>
          </w:tcPr>
          <w:p w14:paraId="0D2D7C8B">
            <w:pPr>
              <w:rPr>
                <w:rFonts w:ascii="Arial"/>
                <w:sz w:val="21"/>
              </w:rPr>
            </w:pPr>
          </w:p>
        </w:tc>
        <w:tc>
          <w:tcPr>
            <w:tcW w:w="1526" w:type="dxa"/>
            <w:gridSpan w:val="2"/>
            <w:tcBorders>
              <w:top w:val="single" w:color="000000" w:sz="6" w:space="0"/>
            </w:tcBorders>
            <w:vAlign w:val="top"/>
          </w:tcPr>
          <w:p w14:paraId="63AC495D">
            <w:pPr>
              <w:pStyle w:val="6"/>
              <w:spacing w:before="52"/>
              <w:ind w:left="376"/>
              <w:rPr>
                <w:rFonts w:ascii="仿宋" w:hAnsi="仿宋" w:eastAsia="仿宋" w:cs="仿宋"/>
              </w:rPr>
            </w:pPr>
            <w:r>
              <w:rPr>
                <w:spacing w:val="9"/>
              </w:rPr>
              <w:t>K1+000</w:t>
            </w:r>
            <w:r>
              <w:rPr>
                <w:rFonts w:ascii="仿宋" w:hAnsi="仿宋" w:eastAsia="仿宋" w:cs="仿宋"/>
                <w:spacing w:val="9"/>
              </w:rPr>
              <w:t>~</w:t>
            </w:r>
          </w:p>
          <w:p w14:paraId="3F4B2717">
            <w:pPr>
              <w:pStyle w:val="6"/>
              <w:spacing w:before="15" w:line="182" w:lineRule="auto"/>
              <w:ind w:left="465"/>
            </w:pPr>
            <w:r>
              <w:rPr>
                <w:spacing w:val="-1"/>
              </w:rPr>
              <w:t>K1+236</w:t>
            </w:r>
          </w:p>
        </w:tc>
        <w:tc>
          <w:tcPr>
            <w:tcW w:w="741" w:type="dxa"/>
            <w:tcBorders>
              <w:top w:val="single" w:color="000000" w:sz="6" w:space="0"/>
            </w:tcBorders>
            <w:vAlign w:val="top"/>
          </w:tcPr>
          <w:p w14:paraId="72398729">
            <w:pPr>
              <w:pStyle w:val="6"/>
              <w:spacing w:before="186" w:line="188" w:lineRule="auto"/>
              <w:ind w:left="166"/>
            </w:pPr>
            <w:r>
              <w:rPr>
                <w:spacing w:val="-1"/>
              </w:rPr>
              <w:t>236.0</w:t>
            </w:r>
          </w:p>
        </w:tc>
        <w:tc>
          <w:tcPr>
            <w:tcW w:w="636" w:type="dxa"/>
            <w:tcBorders>
              <w:top w:val="single" w:color="000000" w:sz="6" w:space="0"/>
            </w:tcBorders>
            <w:vAlign w:val="top"/>
          </w:tcPr>
          <w:p w14:paraId="055AE453">
            <w:pPr>
              <w:pStyle w:val="6"/>
              <w:spacing w:before="186" w:line="188" w:lineRule="auto"/>
              <w:ind w:left="198"/>
            </w:pPr>
            <w:r>
              <w:rPr>
                <w:spacing w:val="-7"/>
              </w:rPr>
              <w:t>108</w:t>
            </w:r>
          </w:p>
        </w:tc>
        <w:tc>
          <w:tcPr>
            <w:tcW w:w="636" w:type="dxa"/>
            <w:gridSpan w:val="2"/>
            <w:tcBorders>
              <w:top w:val="single" w:color="000000" w:sz="6" w:space="0"/>
            </w:tcBorders>
            <w:vAlign w:val="top"/>
          </w:tcPr>
          <w:p w14:paraId="0546862A">
            <w:pPr>
              <w:pStyle w:val="6"/>
              <w:spacing w:before="186" w:line="188" w:lineRule="auto"/>
              <w:ind w:left="200"/>
            </w:pPr>
            <w:r>
              <w:rPr>
                <w:spacing w:val="-7"/>
              </w:rPr>
              <w:t>108</w:t>
            </w:r>
          </w:p>
        </w:tc>
        <w:tc>
          <w:tcPr>
            <w:tcW w:w="636" w:type="dxa"/>
            <w:tcBorders>
              <w:top w:val="single" w:color="000000" w:sz="6" w:space="0"/>
            </w:tcBorders>
            <w:vAlign w:val="top"/>
          </w:tcPr>
          <w:p w14:paraId="0A702FFA">
            <w:pPr>
              <w:pStyle w:val="6"/>
              <w:spacing w:before="186" w:line="188" w:lineRule="auto"/>
              <w:ind w:left="200"/>
            </w:pPr>
            <w:r>
              <w:rPr>
                <w:spacing w:val="-7"/>
              </w:rPr>
              <w:t>111</w:t>
            </w:r>
          </w:p>
        </w:tc>
        <w:tc>
          <w:tcPr>
            <w:tcW w:w="566" w:type="dxa"/>
            <w:gridSpan w:val="2"/>
            <w:tcBorders>
              <w:top w:val="single" w:color="000000" w:sz="6" w:space="0"/>
            </w:tcBorders>
            <w:vAlign w:val="top"/>
          </w:tcPr>
          <w:p w14:paraId="47F00B05">
            <w:pPr>
              <w:pStyle w:val="6"/>
              <w:spacing w:before="186" w:line="188" w:lineRule="auto"/>
              <w:ind w:left="167"/>
            </w:pPr>
            <w:r>
              <w:rPr>
                <w:spacing w:val="-7"/>
              </w:rPr>
              <w:t>111</w:t>
            </w:r>
          </w:p>
        </w:tc>
        <w:tc>
          <w:tcPr>
            <w:tcW w:w="776" w:type="dxa"/>
            <w:gridSpan w:val="2"/>
            <w:tcBorders>
              <w:top w:val="single" w:color="000000" w:sz="6" w:space="0"/>
            </w:tcBorders>
            <w:vAlign w:val="top"/>
          </w:tcPr>
          <w:p w14:paraId="44B2D83F">
            <w:pPr>
              <w:pStyle w:val="6"/>
              <w:spacing w:before="186" w:line="188" w:lineRule="auto"/>
              <w:ind w:left="318"/>
            </w:pPr>
            <w:r>
              <w:rPr>
                <w:spacing w:val="-10"/>
              </w:rPr>
              <w:t>11</w:t>
            </w:r>
          </w:p>
        </w:tc>
        <w:tc>
          <w:tcPr>
            <w:tcW w:w="901" w:type="dxa"/>
            <w:tcBorders>
              <w:top w:val="single" w:color="000000" w:sz="6" w:space="0"/>
            </w:tcBorders>
            <w:vAlign w:val="top"/>
          </w:tcPr>
          <w:p w14:paraId="2EC5C661">
            <w:pPr>
              <w:pStyle w:val="6"/>
              <w:spacing w:before="186" w:line="188" w:lineRule="auto"/>
              <w:ind w:left="337"/>
            </w:pPr>
            <w:r>
              <w:rPr>
                <w:spacing w:val="-7"/>
              </w:rPr>
              <w:t>100</w:t>
            </w:r>
          </w:p>
        </w:tc>
        <w:tc>
          <w:tcPr>
            <w:tcW w:w="1222" w:type="dxa"/>
            <w:gridSpan w:val="2"/>
            <w:tcBorders>
              <w:top w:val="single" w:color="000000" w:sz="6" w:space="0"/>
              <w:right w:val="single" w:color="000000" w:sz="6" w:space="0"/>
            </w:tcBorders>
            <w:vAlign w:val="top"/>
          </w:tcPr>
          <w:p w14:paraId="4C767313">
            <w:pPr>
              <w:pStyle w:val="6"/>
              <w:spacing w:before="155" w:line="224" w:lineRule="auto"/>
              <w:ind w:left="274"/>
            </w:pPr>
            <w:r>
              <w:rPr>
                <w:rFonts w:ascii="仿宋" w:hAnsi="仿宋" w:eastAsia="仿宋" w:cs="仿宋"/>
                <w:spacing w:val="-4"/>
              </w:rPr>
              <w:t>调入</w:t>
            </w:r>
            <w:r>
              <w:rPr>
                <w:rFonts w:ascii="仿宋" w:hAnsi="仿宋" w:eastAsia="仿宋" w:cs="仿宋"/>
                <w:spacing w:val="-37"/>
              </w:rPr>
              <w:t xml:space="preserve"> </w:t>
            </w:r>
            <w:r>
              <w:rPr>
                <w:spacing w:val="-4"/>
              </w:rPr>
              <w:t>3m3</w:t>
            </w:r>
          </w:p>
        </w:tc>
      </w:tr>
      <w:tr w14:paraId="237756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43557014">
            <w:pPr>
              <w:rPr>
                <w:rFonts w:ascii="Arial"/>
                <w:sz w:val="21"/>
              </w:rPr>
            </w:pPr>
          </w:p>
        </w:tc>
        <w:tc>
          <w:tcPr>
            <w:tcW w:w="2267" w:type="dxa"/>
            <w:gridSpan w:val="3"/>
            <w:vAlign w:val="top"/>
          </w:tcPr>
          <w:p w14:paraId="56A6FD12">
            <w:pPr>
              <w:spacing w:before="29" w:line="205" w:lineRule="auto"/>
              <w:ind w:left="871"/>
              <w:rPr>
                <w:rFonts w:ascii="仿宋" w:hAnsi="仿宋" w:eastAsia="仿宋" w:cs="仿宋"/>
                <w:sz w:val="18"/>
                <w:szCs w:val="18"/>
              </w:rPr>
            </w:pPr>
            <w:r>
              <w:rPr>
                <w:rFonts w:ascii="仿宋" w:hAnsi="仿宋" w:eastAsia="仿宋" w:cs="仿宋"/>
                <w:spacing w:val="-4"/>
                <w:sz w:val="18"/>
                <w:szCs w:val="18"/>
              </w:rPr>
              <w:t>路段三</w:t>
            </w:r>
          </w:p>
        </w:tc>
        <w:tc>
          <w:tcPr>
            <w:tcW w:w="636" w:type="dxa"/>
            <w:vAlign w:val="top"/>
          </w:tcPr>
          <w:p w14:paraId="6CE8C323">
            <w:pPr>
              <w:spacing w:line="229" w:lineRule="exact"/>
              <w:rPr>
                <w:rFonts w:ascii="Arial"/>
                <w:sz w:val="19"/>
              </w:rPr>
            </w:pPr>
          </w:p>
        </w:tc>
        <w:tc>
          <w:tcPr>
            <w:tcW w:w="636" w:type="dxa"/>
            <w:gridSpan w:val="2"/>
            <w:vAlign w:val="top"/>
          </w:tcPr>
          <w:p w14:paraId="2B8BBA0F">
            <w:pPr>
              <w:spacing w:line="229" w:lineRule="exact"/>
              <w:rPr>
                <w:rFonts w:ascii="Arial"/>
                <w:sz w:val="19"/>
              </w:rPr>
            </w:pPr>
          </w:p>
        </w:tc>
        <w:tc>
          <w:tcPr>
            <w:tcW w:w="636" w:type="dxa"/>
            <w:vAlign w:val="top"/>
          </w:tcPr>
          <w:p w14:paraId="6D7438A3">
            <w:pPr>
              <w:spacing w:line="229" w:lineRule="exact"/>
              <w:rPr>
                <w:rFonts w:ascii="Arial"/>
                <w:sz w:val="19"/>
              </w:rPr>
            </w:pPr>
          </w:p>
        </w:tc>
        <w:tc>
          <w:tcPr>
            <w:tcW w:w="566" w:type="dxa"/>
            <w:gridSpan w:val="2"/>
            <w:vAlign w:val="top"/>
          </w:tcPr>
          <w:p w14:paraId="48159235">
            <w:pPr>
              <w:spacing w:line="229" w:lineRule="exact"/>
              <w:rPr>
                <w:rFonts w:ascii="Arial"/>
                <w:sz w:val="19"/>
              </w:rPr>
            </w:pPr>
          </w:p>
        </w:tc>
        <w:tc>
          <w:tcPr>
            <w:tcW w:w="776" w:type="dxa"/>
            <w:gridSpan w:val="2"/>
            <w:vAlign w:val="top"/>
          </w:tcPr>
          <w:p w14:paraId="78C597FA">
            <w:pPr>
              <w:spacing w:line="229" w:lineRule="exact"/>
              <w:rPr>
                <w:rFonts w:ascii="Arial"/>
                <w:sz w:val="19"/>
              </w:rPr>
            </w:pPr>
          </w:p>
        </w:tc>
        <w:tc>
          <w:tcPr>
            <w:tcW w:w="901" w:type="dxa"/>
            <w:vAlign w:val="top"/>
          </w:tcPr>
          <w:p w14:paraId="48B12D25">
            <w:pPr>
              <w:spacing w:line="229" w:lineRule="exact"/>
              <w:rPr>
                <w:rFonts w:ascii="Arial"/>
                <w:sz w:val="19"/>
              </w:rPr>
            </w:pPr>
          </w:p>
        </w:tc>
        <w:tc>
          <w:tcPr>
            <w:tcW w:w="1222" w:type="dxa"/>
            <w:gridSpan w:val="2"/>
            <w:tcBorders>
              <w:right w:val="single" w:color="000000" w:sz="6" w:space="0"/>
            </w:tcBorders>
            <w:vAlign w:val="top"/>
          </w:tcPr>
          <w:p w14:paraId="29E367C8">
            <w:pPr>
              <w:spacing w:line="229" w:lineRule="exact"/>
              <w:rPr>
                <w:rFonts w:ascii="Arial"/>
                <w:sz w:val="19"/>
              </w:rPr>
            </w:pPr>
          </w:p>
        </w:tc>
      </w:tr>
      <w:tr w14:paraId="7D323B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737" w:type="dxa"/>
            <w:vMerge w:val="continue"/>
            <w:tcBorders>
              <w:top w:val="nil"/>
              <w:left w:val="single" w:color="000000" w:sz="6" w:space="0"/>
              <w:bottom w:val="nil"/>
            </w:tcBorders>
            <w:vAlign w:val="top"/>
          </w:tcPr>
          <w:p w14:paraId="3A7756F5">
            <w:pPr>
              <w:rPr>
                <w:rFonts w:ascii="Arial"/>
                <w:sz w:val="21"/>
              </w:rPr>
            </w:pPr>
          </w:p>
        </w:tc>
        <w:tc>
          <w:tcPr>
            <w:tcW w:w="1526" w:type="dxa"/>
            <w:gridSpan w:val="2"/>
            <w:vAlign w:val="top"/>
          </w:tcPr>
          <w:p w14:paraId="3DA99251">
            <w:pPr>
              <w:pStyle w:val="6"/>
              <w:spacing w:before="28"/>
              <w:ind w:left="376"/>
              <w:rPr>
                <w:rFonts w:ascii="仿宋" w:hAnsi="仿宋" w:eastAsia="仿宋" w:cs="仿宋"/>
              </w:rPr>
            </w:pPr>
            <w:r>
              <w:rPr>
                <w:spacing w:val="9"/>
              </w:rPr>
              <w:t>K0+000</w:t>
            </w:r>
            <w:r>
              <w:rPr>
                <w:rFonts w:ascii="仿宋" w:hAnsi="仿宋" w:eastAsia="仿宋" w:cs="仿宋"/>
                <w:spacing w:val="9"/>
              </w:rPr>
              <w:t>~</w:t>
            </w:r>
          </w:p>
          <w:p w14:paraId="1E28E50D">
            <w:pPr>
              <w:pStyle w:val="6"/>
              <w:spacing w:before="14" w:line="182" w:lineRule="auto"/>
              <w:ind w:left="465"/>
            </w:pPr>
            <w:r>
              <w:rPr>
                <w:spacing w:val="-1"/>
              </w:rPr>
              <w:t>K1+000</w:t>
            </w:r>
          </w:p>
        </w:tc>
        <w:tc>
          <w:tcPr>
            <w:tcW w:w="741" w:type="dxa"/>
            <w:vAlign w:val="top"/>
          </w:tcPr>
          <w:p w14:paraId="2051EFC8">
            <w:pPr>
              <w:pStyle w:val="6"/>
              <w:spacing w:before="159" w:line="188" w:lineRule="auto"/>
              <w:ind w:left="137"/>
            </w:pPr>
            <w:r>
              <w:rPr>
                <w:spacing w:val="-4"/>
              </w:rPr>
              <w:t>1000.0</w:t>
            </w:r>
          </w:p>
        </w:tc>
        <w:tc>
          <w:tcPr>
            <w:tcW w:w="636" w:type="dxa"/>
            <w:vAlign w:val="top"/>
          </w:tcPr>
          <w:p w14:paraId="05AE5491">
            <w:pPr>
              <w:pStyle w:val="6"/>
              <w:spacing w:before="159" w:line="188" w:lineRule="auto"/>
              <w:ind w:left="181"/>
            </w:pPr>
            <w:r>
              <w:rPr>
                <w:spacing w:val="-1"/>
              </w:rPr>
              <w:t>240</w:t>
            </w:r>
          </w:p>
        </w:tc>
        <w:tc>
          <w:tcPr>
            <w:tcW w:w="636" w:type="dxa"/>
            <w:gridSpan w:val="2"/>
            <w:vAlign w:val="top"/>
          </w:tcPr>
          <w:p w14:paraId="25F18CD3">
            <w:pPr>
              <w:pStyle w:val="6"/>
              <w:spacing w:before="159" w:line="188" w:lineRule="auto"/>
              <w:ind w:left="183"/>
            </w:pPr>
            <w:r>
              <w:rPr>
                <w:spacing w:val="-1"/>
              </w:rPr>
              <w:t>240</w:t>
            </w:r>
          </w:p>
        </w:tc>
        <w:tc>
          <w:tcPr>
            <w:tcW w:w="636" w:type="dxa"/>
            <w:vAlign w:val="top"/>
          </w:tcPr>
          <w:p w14:paraId="774B43E7">
            <w:pPr>
              <w:pStyle w:val="6"/>
              <w:spacing w:before="159" w:line="188" w:lineRule="auto"/>
              <w:ind w:left="183"/>
            </w:pPr>
            <w:r>
              <w:rPr>
                <w:spacing w:val="-1"/>
              </w:rPr>
              <w:t>225</w:t>
            </w:r>
          </w:p>
        </w:tc>
        <w:tc>
          <w:tcPr>
            <w:tcW w:w="566" w:type="dxa"/>
            <w:gridSpan w:val="2"/>
            <w:vAlign w:val="top"/>
          </w:tcPr>
          <w:p w14:paraId="025578F0">
            <w:pPr>
              <w:pStyle w:val="6"/>
              <w:spacing w:before="159" w:line="188" w:lineRule="auto"/>
              <w:ind w:left="149"/>
            </w:pPr>
            <w:r>
              <w:rPr>
                <w:spacing w:val="-1"/>
              </w:rPr>
              <w:t>225</w:t>
            </w:r>
          </w:p>
        </w:tc>
        <w:tc>
          <w:tcPr>
            <w:tcW w:w="776" w:type="dxa"/>
            <w:gridSpan w:val="2"/>
            <w:vAlign w:val="top"/>
          </w:tcPr>
          <w:p w14:paraId="3CF46243">
            <w:pPr>
              <w:pStyle w:val="6"/>
              <w:spacing w:before="159" w:line="188" w:lineRule="auto"/>
              <w:ind w:left="308"/>
            </w:pPr>
            <w:r>
              <w:rPr>
                <w:spacing w:val="-5"/>
              </w:rPr>
              <w:t>80</w:t>
            </w:r>
          </w:p>
        </w:tc>
        <w:tc>
          <w:tcPr>
            <w:tcW w:w="901" w:type="dxa"/>
            <w:vAlign w:val="top"/>
          </w:tcPr>
          <w:p w14:paraId="0F5B2EFB">
            <w:pPr>
              <w:pStyle w:val="6"/>
              <w:spacing w:before="159" w:line="188" w:lineRule="auto"/>
              <w:ind w:left="337"/>
            </w:pPr>
            <w:r>
              <w:rPr>
                <w:spacing w:val="-7"/>
              </w:rPr>
              <w:t>145</w:t>
            </w:r>
          </w:p>
        </w:tc>
        <w:tc>
          <w:tcPr>
            <w:tcW w:w="1222" w:type="dxa"/>
            <w:gridSpan w:val="2"/>
            <w:tcBorders>
              <w:right w:val="single" w:color="000000" w:sz="6" w:space="0"/>
            </w:tcBorders>
            <w:vAlign w:val="top"/>
          </w:tcPr>
          <w:p w14:paraId="0E67F802">
            <w:pPr>
              <w:pStyle w:val="6"/>
              <w:spacing w:before="130" w:line="224" w:lineRule="auto"/>
              <w:ind w:left="231"/>
            </w:pPr>
            <w:r>
              <w:rPr>
                <w:rFonts w:ascii="仿宋" w:hAnsi="仿宋" w:eastAsia="仿宋" w:cs="仿宋"/>
                <w:spacing w:val="-6"/>
              </w:rPr>
              <w:t>调出</w:t>
            </w:r>
            <w:r>
              <w:rPr>
                <w:rFonts w:ascii="仿宋" w:hAnsi="仿宋" w:eastAsia="仿宋" w:cs="仿宋"/>
                <w:spacing w:val="-24"/>
              </w:rPr>
              <w:t xml:space="preserve"> </w:t>
            </w:r>
            <w:r>
              <w:rPr>
                <w:spacing w:val="-6"/>
              </w:rPr>
              <w:t>15m3</w:t>
            </w:r>
          </w:p>
        </w:tc>
      </w:tr>
      <w:tr w14:paraId="374562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737" w:type="dxa"/>
            <w:vMerge w:val="continue"/>
            <w:tcBorders>
              <w:top w:val="nil"/>
              <w:left w:val="single" w:color="000000" w:sz="6" w:space="0"/>
              <w:bottom w:val="nil"/>
            </w:tcBorders>
            <w:vAlign w:val="top"/>
          </w:tcPr>
          <w:p w14:paraId="1A8F74FB">
            <w:pPr>
              <w:rPr>
                <w:rFonts w:ascii="Arial"/>
                <w:sz w:val="21"/>
              </w:rPr>
            </w:pPr>
          </w:p>
        </w:tc>
        <w:tc>
          <w:tcPr>
            <w:tcW w:w="1526" w:type="dxa"/>
            <w:gridSpan w:val="2"/>
            <w:vAlign w:val="top"/>
          </w:tcPr>
          <w:p w14:paraId="2F2D41C4">
            <w:pPr>
              <w:pStyle w:val="6"/>
              <w:spacing w:before="30"/>
              <w:ind w:left="376"/>
              <w:rPr>
                <w:rFonts w:ascii="仿宋" w:hAnsi="仿宋" w:eastAsia="仿宋" w:cs="仿宋"/>
              </w:rPr>
            </w:pPr>
            <w:r>
              <w:rPr>
                <w:spacing w:val="9"/>
              </w:rPr>
              <w:t>K1+000</w:t>
            </w:r>
            <w:r>
              <w:rPr>
                <w:rFonts w:ascii="仿宋" w:hAnsi="仿宋" w:eastAsia="仿宋" w:cs="仿宋"/>
                <w:spacing w:val="9"/>
              </w:rPr>
              <w:t>~</w:t>
            </w:r>
          </w:p>
          <w:p w14:paraId="5FCBEF47">
            <w:pPr>
              <w:pStyle w:val="6"/>
              <w:spacing w:before="15" w:line="180" w:lineRule="auto"/>
              <w:ind w:left="465"/>
            </w:pPr>
            <w:r>
              <w:rPr>
                <w:spacing w:val="-1"/>
              </w:rPr>
              <w:t>K1+158</w:t>
            </w:r>
          </w:p>
        </w:tc>
        <w:tc>
          <w:tcPr>
            <w:tcW w:w="741" w:type="dxa"/>
            <w:vAlign w:val="top"/>
          </w:tcPr>
          <w:p w14:paraId="09A62A14">
            <w:pPr>
              <w:pStyle w:val="6"/>
              <w:spacing w:before="162" w:line="188" w:lineRule="auto"/>
              <w:ind w:left="183"/>
            </w:pPr>
            <w:r>
              <w:rPr>
                <w:spacing w:val="-4"/>
              </w:rPr>
              <w:t>158.0</w:t>
            </w:r>
          </w:p>
        </w:tc>
        <w:tc>
          <w:tcPr>
            <w:tcW w:w="636" w:type="dxa"/>
            <w:vAlign w:val="top"/>
          </w:tcPr>
          <w:p w14:paraId="2D8EB05C">
            <w:pPr>
              <w:pStyle w:val="6"/>
              <w:spacing w:before="162" w:line="188" w:lineRule="auto"/>
              <w:ind w:left="230"/>
            </w:pPr>
            <w:r>
              <w:rPr>
                <w:spacing w:val="-4"/>
              </w:rPr>
              <w:t>32</w:t>
            </w:r>
          </w:p>
        </w:tc>
        <w:tc>
          <w:tcPr>
            <w:tcW w:w="636" w:type="dxa"/>
            <w:gridSpan w:val="2"/>
            <w:vAlign w:val="top"/>
          </w:tcPr>
          <w:p w14:paraId="1097CEAC">
            <w:pPr>
              <w:pStyle w:val="6"/>
              <w:spacing w:before="162" w:line="188" w:lineRule="auto"/>
              <w:ind w:left="232"/>
            </w:pPr>
            <w:r>
              <w:rPr>
                <w:spacing w:val="-4"/>
              </w:rPr>
              <w:t>32</w:t>
            </w:r>
          </w:p>
        </w:tc>
        <w:tc>
          <w:tcPr>
            <w:tcW w:w="636" w:type="dxa"/>
            <w:vAlign w:val="top"/>
          </w:tcPr>
          <w:p w14:paraId="121CD32A">
            <w:pPr>
              <w:pStyle w:val="6"/>
              <w:spacing w:before="162" w:line="188" w:lineRule="auto"/>
              <w:ind w:left="232"/>
            </w:pPr>
            <w:r>
              <w:rPr>
                <w:spacing w:val="-4"/>
              </w:rPr>
              <w:t>32</w:t>
            </w:r>
          </w:p>
        </w:tc>
        <w:tc>
          <w:tcPr>
            <w:tcW w:w="566" w:type="dxa"/>
            <w:gridSpan w:val="2"/>
            <w:vAlign w:val="top"/>
          </w:tcPr>
          <w:p w14:paraId="60F15684">
            <w:pPr>
              <w:pStyle w:val="6"/>
              <w:spacing w:before="162" w:line="188" w:lineRule="auto"/>
              <w:ind w:left="199"/>
            </w:pPr>
            <w:r>
              <w:rPr>
                <w:spacing w:val="-4"/>
              </w:rPr>
              <w:t>32</w:t>
            </w:r>
          </w:p>
        </w:tc>
        <w:tc>
          <w:tcPr>
            <w:tcW w:w="776" w:type="dxa"/>
            <w:gridSpan w:val="2"/>
            <w:vAlign w:val="top"/>
          </w:tcPr>
          <w:p w14:paraId="281644D0">
            <w:pPr>
              <w:pStyle w:val="6"/>
              <w:spacing w:before="162" w:line="188" w:lineRule="auto"/>
              <w:ind w:left="318"/>
            </w:pPr>
            <w:r>
              <w:rPr>
                <w:spacing w:val="-10"/>
              </w:rPr>
              <w:t>10</w:t>
            </w:r>
          </w:p>
        </w:tc>
        <w:tc>
          <w:tcPr>
            <w:tcW w:w="901" w:type="dxa"/>
            <w:vAlign w:val="top"/>
          </w:tcPr>
          <w:p w14:paraId="741CA571">
            <w:pPr>
              <w:pStyle w:val="6"/>
              <w:spacing w:before="162" w:line="188" w:lineRule="auto"/>
              <w:ind w:left="365"/>
            </w:pPr>
            <w:r>
              <w:rPr>
                <w:spacing w:val="-2"/>
              </w:rPr>
              <w:t>22</w:t>
            </w:r>
          </w:p>
        </w:tc>
        <w:tc>
          <w:tcPr>
            <w:tcW w:w="1222" w:type="dxa"/>
            <w:gridSpan w:val="2"/>
            <w:tcBorders>
              <w:right w:val="single" w:color="000000" w:sz="6" w:space="0"/>
            </w:tcBorders>
            <w:vAlign w:val="top"/>
          </w:tcPr>
          <w:p w14:paraId="7ECBE35F">
            <w:pPr>
              <w:rPr>
                <w:rFonts w:ascii="Arial"/>
                <w:sz w:val="21"/>
              </w:rPr>
            </w:pPr>
          </w:p>
        </w:tc>
      </w:tr>
      <w:tr w14:paraId="606B78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5FF5FBD3">
            <w:pPr>
              <w:rPr>
                <w:rFonts w:ascii="Arial"/>
                <w:sz w:val="21"/>
              </w:rPr>
            </w:pPr>
          </w:p>
        </w:tc>
        <w:tc>
          <w:tcPr>
            <w:tcW w:w="2267" w:type="dxa"/>
            <w:gridSpan w:val="3"/>
            <w:vAlign w:val="top"/>
          </w:tcPr>
          <w:p w14:paraId="4CF5DBE1">
            <w:pPr>
              <w:spacing w:before="29" w:line="204" w:lineRule="auto"/>
              <w:ind w:left="961"/>
              <w:rPr>
                <w:rFonts w:ascii="仿宋" w:hAnsi="仿宋" w:eastAsia="仿宋" w:cs="仿宋"/>
                <w:sz w:val="18"/>
                <w:szCs w:val="18"/>
              </w:rPr>
            </w:pPr>
            <w:r>
              <w:rPr>
                <w:rFonts w:ascii="仿宋" w:hAnsi="仿宋" w:eastAsia="仿宋" w:cs="仿宋"/>
                <w:spacing w:val="-6"/>
                <w:sz w:val="18"/>
                <w:szCs w:val="18"/>
              </w:rPr>
              <w:t>小计</w:t>
            </w:r>
          </w:p>
        </w:tc>
        <w:tc>
          <w:tcPr>
            <w:tcW w:w="636" w:type="dxa"/>
            <w:vAlign w:val="top"/>
          </w:tcPr>
          <w:p w14:paraId="32711D31">
            <w:pPr>
              <w:pStyle w:val="6"/>
              <w:spacing w:before="60" w:line="188" w:lineRule="auto"/>
              <w:ind w:left="184"/>
            </w:pPr>
            <w:r>
              <w:rPr>
                <w:spacing w:val="-3"/>
              </w:rPr>
              <w:t>939</w:t>
            </w:r>
          </w:p>
        </w:tc>
        <w:tc>
          <w:tcPr>
            <w:tcW w:w="636" w:type="dxa"/>
            <w:gridSpan w:val="2"/>
            <w:vAlign w:val="top"/>
          </w:tcPr>
          <w:p w14:paraId="5E70EAD3">
            <w:pPr>
              <w:pStyle w:val="6"/>
              <w:spacing w:before="60" w:line="188" w:lineRule="auto"/>
              <w:ind w:left="186"/>
            </w:pPr>
            <w:r>
              <w:rPr>
                <w:spacing w:val="-3"/>
              </w:rPr>
              <w:t>939</w:t>
            </w:r>
          </w:p>
        </w:tc>
        <w:tc>
          <w:tcPr>
            <w:tcW w:w="636" w:type="dxa"/>
            <w:vAlign w:val="top"/>
          </w:tcPr>
          <w:p w14:paraId="78C46A71">
            <w:pPr>
              <w:pStyle w:val="6"/>
              <w:spacing w:before="60" w:line="188" w:lineRule="auto"/>
              <w:ind w:left="186"/>
            </w:pPr>
            <w:r>
              <w:rPr>
                <w:spacing w:val="-3"/>
              </w:rPr>
              <w:t>939</w:t>
            </w:r>
          </w:p>
        </w:tc>
        <w:tc>
          <w:tcPr>
            <w:tcW w:w="566" w:type="dxa"/>
            <w:gridSpan w:val="2"/>
            <w:vAlign w:val="top"/>
          </w:tcPr>
          <w:p w14:paraId="229ECDB4">
            <w:pPr>
              <w:pStyle w:val="6"/>
              <w:spacing w:before="60" w:line="188" w:lineRule="auto"/>
              <w:ind w:left="153"/>
            </w:pPr>
            <w:r>
              <w:rPr>
                <w:spacing w:val="-3"/>
              </w:rPr>
              <w:t>939</w:t>
            </w:r>
          </w:p>
        </w:tc>
        <w:tc>
          <w:tcPr>
            <w:tcW w:w="776" w:type="dxa"/>
            <w:gridSpan w:val="2"/>
            <w:vAlign w:val="top"/>
          </w:tcPr>
          <w:p w14:paraId="620FFF1F">
            <w:pPr>
              <w:pStyle w:val="6"/>
              <w:spacing w:before="60" w:line="188" w:lineRule="auto"/>
              <w:ind w:left="259"/>
            </w:pPr>
            <w:r>
              <w:rPr>
                <w:spacing w:val="-3"/>
              </w:rPr>
              <w:t>303</w:t>
            </w:r>
          </w:p>
        </w:tc>
        <w:tc>
          <w:tcPr>
            <w:tcW w:w="901" w:type="dxa"/>
            <w:vAlign w:val="top"/>
          </w:tcPr>
          <w:p w14:paraId="49C77385">
            <w:pPr>
              <w:pStyle w:val="6"/>
              <w:spacing w:before="60" w:line="188" w:lineRule="auto"/>
              <w:ind w:left="323"/>
            </w:pPr>
            <w:r>
              <w:rPr>
                <w:spacing w:val="-3"/>
              </w:rPr>
              <w:t>636</w:t>
            </w:r>
          </w:p>
        </w:tc>
        <w:tc>
          <w:tcPr>
            <w:tcW w:w="1222" w:type="dxa"/>
            <w:gridSpan w:val="2"/>
            <w:tcBorders>
              <w:right w:val="single" w:color="000000" w:sz="6" w:space="0"/>
            </w:tcBorders>
            <w:vAlign w:val="top"/>
          </w:tcPr>
          <w:p w14:paraId="5FD23018">
            <w:pPr>
              <w:spacing w:line="228" w:lineRule="exact"/>
              <w:rPr>
                <w:rFonts w:ascii="Arial"/>
                <w:sz w:val="19"/>
              </w:rPr>
            </w:pPr>
          </w:p>
        </w:tc>
      </w:tr>
      <w:tr w14:paraId="786B49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55351E08">
            <w:pPr>
              <w:rPr>
                <w:rFonts w:ascii="Arial"/>
                <w:sz w:val="21"/>
              </w:rPr>
            </w:pPr>
          </w:p>
        </w:tc>
        <w:tc>
          <w:tcPr>
            <w:tcW w:w="7640" w:type="dxa"/>
            <w:gridSpan w:val="14"/>
            <w:tcBorders>
              <w:right w:val="single" w:color="000000" w:sz="6" w:space="0"/>
            </w:tcBorders>
            <w:vAlign w:val="top"/>
          </w:tcPr>
          <w:p w14:paraId="4A24FC30">
            <w:pPr>
              <w:pStyle w:val="6"/>
              <w:spacing w:before="30" w:line="204" w:lineRule="auto"/>
              <w:ind w:left="1532"/>
              <w:rPr>
                <w:rFonts w:ascii="仿宋" w:hAnsi="仿宋" w:eastAsia="仿宋" w:cs="仿宋"/>
              </w:rPr>
            </w:pPr>
            <w:r>
              <w:rPr>
                <w:rFonts w:ascii="仿宋" w:hAnsi="仿宋" w:eastAsia="仿宋" w:cs="仿宋"/>
                <w:spacing w:val="-1"/>
              </w:rPr>
              <w:t>准格尔旗</w:t>
            </w:r>
            <w:r>
              <w:rPr>
                <w:rFonts w:ascii="仿宋" w:hAnsi="仿宋" w:eastAsia="仿宋" w:cs="仿宋"/>
                <w:spacing w:val="-40"/>
              </w:rPr>
              <w:t xml:space="preserve"> </w:t>
            </w:r>
            <w:r>
              <w:rPr>
                <w:spacing w:val="-1"/>
              </w:rPr>
              <w:t>2025</w:t>
            </w:r>
            <w:r>
              <w:rPr>
                <w:spacing w:val="15"/>
              </w:rPr>
              <w:t xml:space="preserve"> </w:t>
            </w:r>
            <w:r>
              <w:rPr>
                <w:rFonts w:ascii="仿宋" w:hAnsi="仿宋" w:eastAsia="仿宋" w:cs="仿宋"/>
                <w:spacing w:val="-1"/>
              </w:rPr>
              <w:t>年十二连城乡杨子华村自然</w:t>
            </w:r>
            <w:r>
              <w:rPr>
                <w:rFonts w:ascii="仿宋" w:hAnsi="仿宋" w:eastAsia="仿宋" w:cs="仿宋"/>
                <w:spacing w:val="-2"/>
              </w:rPr>
              <w:t>村通硬化路工程</w:t>
            </w:r>
          </w:p>
        </w:tc>
      </w:tr>
      <w:tr w14:paraId="1F798D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737" w:type="dxa"/>
            <w:vMerge w:val="continue"/>
            <w:tcBorders>
              <w:top w:val="nil"/>
              <w:left w:val="single" w:color="000000" w:sz="6" w:space="0"/>
              <w:bottom w:val="nil"/>
            </w:tcBorders>
            <w:vAlign w:val="top"/>
          </w:tcPr>
          <w:p w14:paraId="2BD47EC6">
            <w:pPr>
              <w:rPr>
                <w:rFonts w:ascii="Arial"/>
                <w:sz w:val="21"/>
              </w:rPr>
            </w:pPr>
          </w:p>
        </w:tc>
        <w:tc>
          <w:tcPr>
            <w:tcW w:w="1526" w:type="dxa"/>
            <w:gridSpan w:val="2"/>
            <w:vAlign w:val="top"/>
          </w:tcPr>
          <w:p w14:paraId="3BA9F0CA">
            <w:pPr>
              <w:pStyle w:val="6"/>
              <w:spacing w:before="29"/>
              <w:ind w:left="376"/>
              <w:rPr>
                <w:rFonts w:ascii="仿宋" w:hAnsi="仿宋" w:eastAsia="仿宋" w:cs="仿宋"/>
              </w:rPr>
            </w:pPr>
            <w:r>
              <w:rPr>
                <w:spacing w:val="9"/>
              </w:rPr>
              <w:t>K0+000</w:t>
            </w:r>
            <w:r>
              <w:rPr>
                <w:rFonts w:ascii="仿宋" w:hAnsi="仿宋" w:eastAsia="仿宋" w:cs="仿宋"/>
                <w:spacing w:val="9"/>
              </w:rPr>
              <w:t>~</w:t>
            </w:r>
          </w:p>
          <w:p w14:paraId="56C94DF0">
            <w:pPr>
              <w:pStyle w:val="6"/>
              <w:spacing w:before="15" w:line="180" w:lineRule="auto"/>
              <w:ind w:left="465"/>
            </w:pPr>
            <w:r>
              <w:rPr>
                <w:spacing w:val="-1"/>
              </w:rPr>
              <w:t>K1+000</w:t>
            </w:r>
          </w:p>
        </w:tc>
        <w:tc>
          <w:tcPr>
            <w:tcW w:w="741" w:type="dxa"/>
            <w:vAlign w:val="top"/>
          </w:tcPr>
          <w:p w14:paraId="18DB4759">
            <w:pPr>
              <w:pStyle w:val="6"/>
              <w:spacing w:before="163" w:line="188" w:lineRule="auto"/>
              <w:ind w:left="137"/>
            </w:pPr>
            <w:r>
              <w:rPr>
                <w:spacing w:val="-4"/>
              </w:rPr>
              <w:t>1000.0</w:t>
            </w:r>
          </w:p>
        </w:tc>
        <w:tc>
          <w:tcPr>
            <w:tcW w:w="636" w:type="dxa"/>
            <w:vAlign w:val="top"/>
          </w:tcPr>
          <w:p w14:paraId="4C5F2C71">
            <w:pPr>
              <w:pStyle w:val="6"/>
              <w:spacing w:before="163" w:line="188" w:lineRule="auto"/>
              <w:ind w:left="184"/>
            </w:pPr>
            <w:r>
              <w:rPr>
                <w:spacing w:val="-3"/>
              </w:rPr>
              <w:t>395</w:t>
            </w:r>
          </w:p>
        </w:tc>
        <w:tc>
          <w:tcPr>
            <w:tcW w:w="636" w:type="dxa"/>
            <w:gridSpan w:val="2"/>
            <w:vAlign w:val="top"/>
          </w:tcPr>
          <w:p w14:paraId="2992AD76">
            <w:pPr>
              <w:pStyle w:val="6"/>
              <w:spacing w:before="163" w:line="188" w:lineRule="auto"/>
              <w:ind w:left="187"/>
            </w:pPr>
            <w:r>
              <w:rPr>
                <w:spacing w:val="-3"/>
              </w:rPr>
              <w:t>395</w:t>
            </w:r>
          </w:p>
        </w:tc>
        <w:tc>
          <w:tcPr>
            <w:tcW w:w="636" w:type="dxa"/>
            <w:vAlign w:val="top"/>
          </w:tcPr>
          <w:p w14:paraId="6674FFED">
            <w:pPr>
              <w:pStyle w:val="6"/>
              <w:spacing w:before="163" w:line="188" w:lineRule="auto"/>
              <w:ind w:left="233"/>
            </w:pPr>
            <w:r>
              <w:rPr>
                <w:spacing w:val="-4"/>
              </w:rPr>
              <w:t>61</w:t>
            </w:r>
          </w:p>
        </w:tc>
        <w:tc>
          <w:tcPr>
            <w:tcW w:w="566" w:type="dxa"/>
            <w:gridSpan w:val="2"/>
            <w:vAlign w:val="top"/>
          </w:tcPr>
          <w:p w14:paraId="5CA8DF6E">
            <w:pPr>
              <w:pStyle w:val="6"/>
              <w:spacing w:before="163" w:line="188" w:lineRule="auto"/>
              <w:ind w:left="199"/>
            </w:pPr>
            <w:r>
              <w:rPr>
                <w:spacing w:val="-4"/>
              </w:rPr>
              <w:t>61</w:t>
            </w:r>
          </w:p>
        </w:tc>
        <w:tc>
          <w:tcPr>
            <w:tcW w:w="776" w:type="dxa"/>
            <w:gridSpan w:val="2"/>
            <w:vAlign w:val="top"/>
          </w:tcPr>
          <w:p w14:paraId="2622F04A">
            <w:pPr>
              <w:pStyle w:val="6"/>
              <w:spacing w:before="163" w:line="188" w:lineRule="auto"/>
              <w:ind w:left="318"/>
            </w:pPr>
            <w:r>
              <w:rPr>
                <w:spacing w:val="-10"/>
              </w:rPr>
              <w:t>15</w:t>
            </w:r>
          </w:p>
        </w:tc>
        <w:tc>
          <w:tcPr>
            <w:tcW w:w="901" w:type="dxa"/>
            <w:vAlign w:val="top"/>
          </w:tcPr>
          <w:p w14:paraId="1A62D4FB">
            <w:pPr>
              <w:pStyle w:val="6"/>
              <w:spacing w:before="163" w:line="188" w:lineRule="auto"/>
              <w:ind w:left="364"/>
            </w:pPr>
            <w:r>
              <w:rPr>
                <w:spacing w:val="-1"/>
              </w:rPr>
              <w:t>46</w:t>
            </w:r>
          </w:p>
        </w:tc>
        <w:tc>
          <w:tcPr>
            <w:tcW w:w="1222" w:type="dxa"/>
            <w:gridSpan w:val="2"/>
            <w:tcBorders>
              <w:right w:val="single" w:color="000000" w:sz="6" w:space="0"/>
            </w:tcBorders>
            <w:vAlign w:val="top"/>
          </w:tcPr>
          <w:p w14:paraId="646AEABF">
            <w:pPr>
              <w:pStyle w:val="6"/>
              <w:spacing w:before="131" w:line="224" w:lineRule="auto"/>
              <w:ind w:left="185"/>
            </w:pPr>
            <w:r>
              <w:rPr>
                <w:rFonts w:ascii="仿宋" w:hAnsi="仿宋" w:eastAsia="仿宋" w:cs="仿宋"/>
                <w:spacing w:val="-3"/>
              </w:rPr>
              <w:t>调出</w:t>
            </w:r>
            <w:r>
              <w:rPr>
                <w:rFonts w:ascii="仿宋" w:hAnsi="仿宋" w:eastAsia="仿宋" w:cs="仿宋"/>
                <w:spacing w:val="-36"/>
              </w:rPr>
              <w:t xml:space="preserve"> </w:t>
            </w:r>
            <w:r>
              <w:rPr>
                <w:spacing w:val="-3"/>
              </w:rPr>
              <w:t>334m3</w:t>
            </w:r>
          </w:p>
        </w:tc>
      </w:tr>
      <w:tr w14:paraId="56F1A7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737" w:type="dxa"/>
            <w:vMerge w:val="continue"/>
            <w:tcBorders>
              <w:top w:val="nil"/>
              <w:left w:val="single" w:color="000000" w:sz="6" w:space="0"/>
              <w:bottom w:val="nil"/>
            </w:tcBorders>
            <w:vAlign w:val="top"/>
          </w:tcPr>
          <w:p w14:paraId="6F970043">
            <w:pPr>
              <w:rPr>
                <w:rFonts w:ascii="Arial"/>
                <w:sz w:val="21"/>
              </w:rPr>
            </w:pPr>
          </w:p>
        </w:tc>
        <w:tc>
          <w:tcPr>
            <w:tcW w:w="1526" w:type="dxa"/>
            <w:gridSpan w:val="2"/>
            <w:vAlign w:val="top"/>
          </w:tcPr>
          <w:p w14:paraId="642BC8A3">
            <w:pPr>
              <w:pStyle w:val="6"/>
              <w:spacing w:before="31"/>
              <w:ind w:left="376"/>
              <w:rPr>
                <w:rFonts w:ascii="仿宋" w:hAnsi="仿宋" w:eastAsia="仿宋" w:cs="仿宋"/>
              </w:rPr>
            </w:pPr>
            <w:r>
              <w:rPr>
                <w:spacing w:val="9"/>
              </w:rPr>
              <w:t>K1+000</w:t>
            </w:r>
            <w:r>
              <w:rPr>
                <w:rFonts w:ascii="仿宋" w:hAnsi="仿宋" w:eastAsia="仿宋" w:cs="仿宋"/>
                <w:spacing w:val="9"/>
              </w:rPr>
              <w:t>~</w:t>
            </w:r>
          </w:p>
          <w:p w14:paraId="2C080588">
            <w:pPr>
              <w:pStyle w:val="6"/>
              <w:spacing w:before="14" w:line="178" w:lineRule="auto"/>
              <w:ind w:left="465"/>
            </w:pPr>
            <w:r>
              <w:rPr>
                <w:spacing w:val="-1"/>
              </w:rPr>
              <w:t>K1+603</w:t>
            </w:r>
          </w:p>
        </w:tc>
        <w:tc>
          <w:tcPr>
            <w:tcW w:w="741" w:type="dxa"/>
            <w:vAlign w:val="top"/>
          </w:tcPr>
          <w:p w14:paraId="3AF299B4">
            <w:pPr>
              <w:pStyle w:val="6"/>
              <w:spacing w:before="163" w:line="188" w:lineRule="auto"/>
              <w:ind w:left="170"/>
            </w:pPr>
            <w:r>
              <w:rPr>
                <w:spacing w:val="-2"/>
              </w:rPr>
              <w:t>603.0</w:t>
            </w:r>
          </w:p>
        </w:tc>
        <w:tc>
          <w:tcPr>
            <w:tcW w:w="636" w:type="dxa"/>
            <w:vAlign w:val="top"/>
          </w:tcPr>
          <w:p w14:paraId="7A7621E2">
            <w:pPr>
              <w:pStyle w:val="6"/>
              <w:spacing w:before="163" w:line="188" w:lineRule="auto"/>
              <w:ind w:left="198"/>
            </w:pPr>
            <w:r>
              <w:rPr>
                <w:spacing w:val="-7"/>
              </w:rPr>
              <w:t>153</w:t>
            </w:r>
          </w:p>
        </w:tc>
        <w:tc>
          <w:tcPr>
            <w:tcW w:w="636" w:type="dxa"/>
            <w:gridSpan w:val="2"/>
            <w:vAlign w:val="top"/>
          </w:tcPr>
          <w:p w14:paraId="162F2EDB">
            <w:pPr>
              <w:pStyle w:val="6"/>
              <w:spacing w:before="163" w:line="188" w:lineRule="auto"/>
              <w:ind w:left="200"/>
            </w:pPr>
            <w:r>
              <w:rPr>
                <w:spacing w:val="-7"/>
              </w:rPr>
              <w:t>153</w:t>
            </w:r>
          </w:p>
        </w:tc>
        <w:tc>
          <w:tcPr>
            <w:tcW w:w="636" w:type="dxa"/>
            <w:vAlign w:val="top"/>
          </w:tcPr>
          <w:p w14:paraId="4D710A3C">
            <w:pPr>
              <w:pStyle w:val="6"/>
              <w:spacing w:before="163" w:line="188" w:lineRule="auto"/>
              <w:ind w:left="236"/>
            </w:pPr>
            <w:r>
              <w:rPr>
                <w:spacing w:val="-5"/>
              </w:rPr>
              <w:t>86</w:t>
            </w:r>
          </w:p>
        </w:tc>
        <w:tc>
          <w:tcPr>
            <w:tcW w:w="566" w:type="dxa"/>
            <w:gridSpan w:val="2"/>
            <w:vAlign w:val="top"/>
          </w:tcPr>
          <w:p w14:paraId="720388B2">
            <w:pPr>
              <w:pStyle w:val="6"/>
              <w:spacing w:before="163" w:line="188" w:lineRule="auto"/>
              <w:ind w:left="202"/>
            </w:pPr>
            <w:r>
              <w:rPr>
                <w:spacing w:val="-5"/>
              </w:rPr>
              <w:t>86</w:t>
            </w:r>
          </w:p>
        </w:tc>
        <w:tc>
          <w:tcPr>
            <w:tcW w:w="776" w:type="dxa"/>
            <w:gridSpan w:val="2"/>
            <w:vAlign w:val="top"/>
          </w:tcPr>
          <w:p w14:paraId="63649564">
            <w:pPr>
              <w:pStyle w:val="6"/>
              <w:spacing w:before="163" w:line="188" w:lineRule="auto"/>
              <w:ind w:left="301"/>
            </w:pPr>
            <w:r>
              <w:rPr>
                <w:spacing w:val="-2"/>
              </w:rPr>
              <w:t>23</w:t>
            </w:r>
          </w:p>
        </w:tc>
        <w:tc>
          <w:tcPr>
            <w:tcW w:w="901" w:type="dxa"/>
            <w:vAlign w:val="top"/>
          </w:tcPr>
          <w:p w14:paraId="00D383E2">
            <w:pPr>
              <w:pStyle w:val="6"/>
              <w:spacing w:before="163" w:line="188" w:lineRule="auto"/>
              <w:ind w:left="369"/>
            </w:pPr>
            <w:r>
              <w:rPr>
                <w:spacing w:val="-4"/>
              </w:rPr>
              <w:t>63</w:t>
            </w:r>
          </w:p>
        </w:tc>
        <w:tc>
          <w:tcPr>
            <w:tcW w:w="1222" w:type="dxa"/>
            <w:gridSpan w:val="2"/>
            <w:tcBorders>
              <w:right w:val="single" w:color="000000" w:sz="6" w:space="0"/>
            </w:tcBorders>
            <w:vAlign w:val="top"/>
          </w:tcPr>
          <w:p w14:paraId="6E50F888">
            <w:pPr>
              <w:pStyle w:val="6"/>
              <w:spacing w:before="134" w:line="224" w:lineRule="auto"/>
              <w:ind w:left="231"/>
            </w:pPr>
            <w:r>
              <w:rPr>
                <w:rFonts w:ascii="仿宋" w:hAnsi="仿宋" w:eastAsia="仿宋" w:cs="仿宋"/>
                <w:spacing w:val="-4"/>
              </w:rPr>
              <w:t>调出</w:t>
            </w:r>
            <w:r>
              <w:rPr>
                <w:rFonts w:ascii="仿宋" w:hAnsi="仿宋" w:eastAsia="仿宋" w:cs="仿宋"/>
                <w:spacing w:val="-36"/>
              </w:rPr>
              <w:t xml:space="preserve"> </w:t>
            </w:r>
            <w:r>
              <w:rPr>
                <w:spacing w:val="-4"/>
              </w:rPr>
              <w:t>67m3</w:t>
            </w:r>
          </w:p>
        </w:tc>
      </w:tr>
      <w:tr w14:paraId="10C784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2D0D5EE9">
            <w:pPr>
              <w:rPr>
                <w:rFonts w:ascii="Arial"/>
                <w:sz w:val="21"/>
              </w:rPr>
            </w:pPr>
          </w:p>
        </w:tc>
        <w:tc>
          <w:tcPr>
            <w:tcW w:w="1526" w:type="dxa"/>
            <w:gridSpan w:val="2"/>
            <w:vAlign w:val="top"/>
          </w:tcPr>
          <w:p w14:paraId="3772FF9F">
            <w:pPr>
              <w:spacing w:before="33" w:line="201" w:lineRule="auto"/>
              <w:ind w:left="413"/>
              <w:rPr>
                <w:rFonts w:ascii="仿宋" w:hAnsi="仿宋" w:eastAsia="仿宋" w:cs="仿宋"/>
                <w:sz w:val="18"/>
                <w:szCs w:val="18"/>
              </w:rPr>
            </w:pPr>
            <w:r>
              <w:rPr>
                <w:rFonts w:ascii="仿宋" w:hAnsi="仿宋" w:eastAsia="仿宋" w:cs="仿宋"/>
                <w:spacing w:val="-4"/>
                <w:sz w:val="18"/>
                <w:szCs w:val="18"/>
              </w:rPr>
              <w:t>清表亏方</w:t>
            </w:r>
          </w:p>
        </w:tc>
        <w:tc>
          <w:tcPr>
            <w:tcW w:w="741" w:type="dxa"/>
            <w:vAlign w:val="top"/>
          </w:tcPr>
          <w:p w14:paraId="39D3CE5E">
            <w:pPr>
              <w:spacing w:line="229" w:lineRule="exact"/>
              <w:rPr>
                <w:rFonts w:ascii="Arial"/>
                <w:sz w:val="19"/>
              </w:rPr>
            </w:pPr>
          </w:p>
        </w:tc>
        <w:tc>
          <w:tcPr>
            <w:tcW w:w="636" w:type="dxa"/>
            <w:vAlign w:val="top"/>
          </w:tcPr>
          <w:p w14:paraId="4BBD779A">
            <w:pPr>
              <w:spacing w:line="229" w:lineRule="exact"/>
              <w:rPr>
                <w:rFonts w:ascii="Arial"/>
                <w:sz w:val="19"/>
              </w:rPr>
            </w:pPr>
          </w:p>
        </w:tc>
        <w:tc>
          <w:tcPr>
            <w:tcW w:w="636" w:type="dxa"/>
            <w:gridSpan w:val="2"/>
            <w:vAlign w:val="top"/>
          </w:tcPr>
          <w:p w14:paraId="10028F4A">
            <w:pPr>
              <w:spacing w:line="229" w:lineRule="exact"/>
              <w:rPr>
                <w:rFonts w:ascii="Arial"/>
                <w:sz w:val="19"/>
              </w:rPr>
            </w:pPr>
          </w:p>
        </w:tc>
        <w:tc>
          <w:tcPr>
            <w:tcW w:w="636" w:type="dxa"/>
            <w:vAlign w:val="top"/>
          </w:tcPr>
          <w:p w14:paraId="13EF0E3D">
            <w:pPr>
              <w:pStyle w:val="6"/>
              <w:spacing w:before="62" w:line="188" w:lineRule="auto"/>
              <w:ind w:left="182"/>
            </w:pPr>
            <w:r>
              <w:rPr>
                <w:spacing w:val="-1"/>
              </w:rPr>
              <w:t>401</w:t>
            </w:r>
          </w:p>
        </w:tc>
        <w:tc>
          <w:tcPr>
            <w:tcW w:w="566" w:type="dxa"/>
            <w:gridSpan w:val="2"/>
            <w:vAlign w:val="top"/>
          </w:tcPr>
          <w:p w14:paraId="4D7128D8">
            <w:pPr>
              <w:pStyle w:val="6"/>
              <w:spacing w:before="62" w:line="188" w:lineRule="auto"/>
              <w:ind w:left="149"/>
            </w:pPr>
            <w:r>
              <w:rPr>
                <w:spacing w:val="-1"/>
              </w:rPr>
              <w:t>401</w:t>
            </w:r>
          </w:p>
        </w:tc>
        <w:tc>
          <w:tcPr>
            <w:tcW w:w="776" w:type="dxa"/>
            <w:gridSpan w:val="2"/>
            <w:vAlign w:val="top"/>
          </w:tcPr>
          <w:p w14:paraId="3CB82E3E">
            <w:pPr>
              <w:spacing w:line="229" w:lineRule="exact"/>
              <w:rPr>
                <w:rFonts w:ascii="Arial"/>
                <w:sz w:val="19"/>
              </w:rPr>
            </w:pPr>
          </w:p>
        </w:tc>
        <w:tc>
          <w:tcPr>
            <w:tcW w:w="901" w:type="dxa"/>
            <w:vAlign w:val="top"/>
          </w:tcPr>
          <w:p w14:paraId="3E79E1CB">
            <w:pPr>
              <w:spacing w:line="229" w:lineRule="exact"/>
              <w:rPr>
                <w:rFonts w:ascii="Arial"/>
                <w:sz w:val="19"/>
              </w:rPr>
            </w:pPr>
          </w:p>
        </w:tc>
        <w:tc>
          <w:tcPr>
            <w:tcW w:w="1222" w:type="dxa"/>
            <w:gridSpan w:val="2"/>
            <w:tcBorders>
              <w:right w:val="single" w:color="000000" w:sz="6" w:space="0"/>
            </w:tcBorders>
            <w:vAlign w:val="top"/>
          </w:tcPr>
          <w:p w14:paraId="5F6DAB55">
            <w:pPr>
              <w:pStyle w:val="6"/>
              <w:spacing w:before="33" w:line="201" w:lineRule="auto"/>
              <w:ind w:left="185"/>
            </w:pPr>
            <w:r>
              <w:rPr>
                <w:rFonts w:ascii="仿宋" w:hAnsi="仿宋" w:eastAsia="仿宋" w:cs="仿宋"/>
                <w:spacing w:val="-2"/>
              </w:rPr>
              <w:t>调入</w:t>
            </w:r>
            <w:r>
              <w:rPr>
                <w:rFonts w:ascii="仿宋" w:hAnsi="仿宋" w:eastAsia="仿宋" w:cs="仿宋"/>
                <w:spacing w:val="-42"/>
              </w:rPr>
              <w:t xml:space="preserve"> </w:t>
            </w:r>
            <w:r>
              <w:rPr>
                <w:spacing w:val="-2"/>
              </w:rPr>
              <w:t>401m3</w:t>
            </w:r>
          </w:p>
        </w:tc>
      </w:tr>
      <w:tr w14:paraId="78FB0E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7EF9D471">
            <w:pPr>
              <w:rPr>
                <w:rFonts w:ascii="Arial"/>
                <w:sz w:val="21"/>
              </w:rPr>
            </w:pPr>
          </w:p>
        </w:tc>
        <w:tc>
          <w:tcPr>
            <w:tcW w:w="2267" w:type="dxa"/>
            <w:gridSpan w:val="3"/>
            <w:vAlign w:val="top"/>
          </w:tcPr>
          <w:p w14:paraId="6106E920">
            <w:pPr>
              <w:spacing w:before="32" w:line="201" w:lineRule="auto"/>
              <w:ind w:left="961"/>
              <w:rPr>
                <w:rFonts w:ascii="仿宋" w:hAnsi="仿宋" w:eastAsia="仿宋" w:cs="仿宋"/>
                <w:sz w:val="18"/>
                <w:szCs w:val="18"/>
              </w:rPr>
            </w:pPr>
            <w:r>
              <w:rPr>
                <w:rFonts w:ascii="仿宋" w:hAnsi="仿宋" w:eastAsia="仿宋" w:cs="仿宋"/>
                <w:spacing w:val="-6"/>
                <w:sz w:val="18"/>
                <w:szCs w:val="18"/>
              </w:rPr>
              <w:t>小计</w:t>
            </w:r>
          </w:p>
        </w:tc>
        <w:tc>
          <w:tcPr>
            <w:tcW w:w="636" w:type="dxa"/>
            <w:vAlign w:val="top"/>
          </w:tcPr>
          <w:p w14:paraId="5D5083BC">
            <w:pPr>
              <w:pStyle w:val="6"/>
              <w:spacing w:before="60" w:line="188" w:lineRule="auto"/>
              <w:ind w:left="186"/>
            </w:pPr>
            <w:r>
              <w:rPr>
                <w:spacing w:val="-3"/>
              </w:rPr>
              <w:t>548</w:t>
            </w:r>
          </w:p>
        </w:tc>
        <w:tc>
          <w:tcPr>
            <w:tcW w:w="636" w:type="dxa"/>
            <w:gridSpan w:val="2"/>
            <w:vAlign w:val="top"/>
          </w:tcPr>
          <w:p w14:paraId="41A066D7">
            <w:pPr>
              <w:pStyle w:val="6"/>
              <w:spacing w:before="60" w:line="188" w:lineRule="auto"/>
              <w:ind w:left="188"/>
            </w:pPr>
            <w:r>
              <w:rPr>
                <w:spacing w:val="-3"/>
              </w:rPr>
              <w:t>548</w:t>
            </w:r>
          </w:p>
        </w:tc>
        <w:tc>
          <w:tcPr>
            <w:tcW w:w="636" w:type="dxa"/>
            <w:vAlign w:val="top"/>
          </w:tcPr>
          <w:p w14:paraId="262F82B6">
            <w:pPr>
              <w:pStyle w:val="6"/>
              <w:spacing w:before="60" w:line="188" w:lineRule="auto"/>
              <w:ind w:left="188"/>
            </w:pPr>
            <w:r>
              <w:rPr>
                <w:spacing w:val="-3"/>
              </w:rPr>
              <w:t>548</w:t>
            </w:r>
          </w:p>
        </w:tc>
        <w:tc>
          <w:tcPr>
            <w:tcW w:w="566" w:type="dxa"/>
            <w:gridSpan w:val="2"/>
            <w:vAlign w:val="top"/>
          </w:tcPr>
          <w:p w14:paraId="1C1C0416">
            <w:pPr>
              <w:pStyle w:val="6"/>
              <w:spacing w:before="60" w:line="188" w:lineRule="auto"/>
              <w:ind w:left="154"/>
            </w:pPr>
            <w:r>
              <w:rPr>
                <w:spacing w:val="-3"/>
              </w:rPr>
              <w:t>548</w:t>
            </w:r>
          </w:p>
        </w:tc>
        <w:tc>
          <w:tcPr>
            <w:tcW w:w="776" w:type="dxa"/>
            <w:gridSpan w:val="2"/>
            <w:vAlign w:val="top"/>
          </w:tcPr>
          <w:p w14:paraId="2F0C047F">
            <w:pPr>
              <w:pStyle w:val="6"/>
              <w:spacing w:before="60" w:line="188" w:lineRule="auto"/>
              <w:ind w:left="305"/>
            </w:pPr>
            <w:r>
              <w:rPr>
                <w:spacing w:val="-4"/>
              </w:rPr>
              <w:t>38</w:t>
            </w:r>
          </w:p>
        </w:tc>
        <w:tc>
          <w:tcPr>
            <w:tcW w:w="901" w:type="dxa"/>
            <w:vAlign w:val="top"/>
          </w:tcPr>
          <w:p w14:paraId="0E1CF5F9">
            <w:pPr>
              <w:pStyle w:val="6"/>
              <w:spacing w:before="60" w:line="188" w:lineRule="auto"/>
              <w:ind w:left="337"/>
            </w:pPr>
            <w:r>
              <w:rPr>
                <w:spacing w:val="-7"/>
              </w:rPr>
              <w:t>109</w:t>
            </w:r>
          </w:p>
        </w:tc>
        <w:tc>
          <w:tcPr>
            <w:tcW w:w="1222" w:type="dxa"/>
            <w:gridSpan w:val="2"/>
            <w:tcBorders>
              <w:right w:val="single" w:color="000000" w:sz="6" w:space="0"/>
            </w:tcBorders>
            <w:vAlign w:val="top"/>
          </w:tcPr>
          <w:p w14:paraId="3BAD3EE1">
            <w:pPr>
              <w:spacing w:line="228" w:lineRule="exact"/>
              <w:rPr>
                <w:rFonts w:ascii="Arial"/>
                <w:sz w:val="19"/>
              </w:rPr>
            </w:pPr>
          </w:p>
        </w:tc>
      </w:tr>
      <w:tr w14:paraId="222CF1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8" w:hRule="atLeast"/>
        </w:trPr>
        <w:tc>
          <w:tcPr>
            <w:tcW w:w="737" w:type="dxa"/>
            <w:vMerge w:val="continue"/>
            <w:tcBorders>
              <w:top w:val="nil"/>
              <w:left w:val="single" w:color="000000" w:sz="6" w:space="0"/>
              <w:bottom w:val="nil"/>
            </w:tcBorders>
            <w:vAlign w:val="top"/>
          </w:tcPr>
          <w:p w14:paraId="45191A0F">
            <w:pPr>
              <w:rPr>
                <w:rFonts w:ascii="Arial"/>
                <w:sz w:val="21"/>
              </w:rPr>
            </w:pPr>
          </w:p>
        </w:tc>
        <w:tc>
          <w:tcPr>
            <w:tcW w:w="2267" w:type="dxa"/>
            <w:gridSpan w:val="3"/>
            <w:tcBorders>
              <w:bottom w:val="single" w:color="000000" w:sz="10" w:space="0"/>
            </w:tcBorders>
            <w:vAlign w:val="top"/>
          </w:tcPr>
          <w:p w14:paraId="7B4B82F8">
            <w:pPr>
              <w:spacing w:before="122" w:line="222" w:lineRule="auto"/>
              <w:ind w:left="966"/>
              <w:rPr>
                <w:rFonts w:ascii="仿宋" w:hAnsi="仿宋" w:eastAsia="仿宋" w:cs="仿宋"/>
                <w:sz w:val="18"/>
                <w:szCs w:val="18"/>
              </w:rPr>
            </w:pPr>
            <w:r>
              <w:rPr>
                <w:rFonts w:ascii="仿宋" w:hAnsi="仿宋" w:eastAsia="仿宋" w:cs="仿宋"/>
                <w:spacing w:val="-9"/>
                <w:sz w:val="18"/>
                <w:szCs w:val="18"/>
              </w:rPr>
              <w:t>合计</w:t>
            </w:r>
          </w:p>
        </w:tc>
        <w:tc>
          <w:tcPr>
            <w:tcW w:w="636" w:type="dxa"/>
            <w:tcBorders>
              <w:bottom w:val="single" w:color="000000" w:sz="10" w:space="0"/>
            </w:tcBorders>
            <w:vAlign w:val="top"/>
          </w:tcPr>
          <w:p w14:paraId="271745D1">
            <w:pPr>
              <w:pStyle w:val="6"/>
              <w:spacing w:before="50" w:line="188" w:lineRule="auto"/>
              <w:ind w:left="137"/>
            </w:pPr>
            <w:r>
              <w:rPr>
                <w:spacing w:val="-1"/>
              </w:rPr>
              <w:t>2022</w:t>
            </w:r>
          </w:p>
          <w:p w14:paraId="03DB3028">
            <w:pPr>
              <w:pStyle w:val="6"/>
              <w:spacing w:before="41" w:line="188" w:lineRule="auto"/>
              <w:ind w:left="275"/>
            </w:pPr>
            <w:r>
              <w:t>3</w:t>
            </w:r>
          </w:p>
        </w:tc>
        <w:tc>
          <w:tcPr>
            <w:tcW w:w="636" w:type="dxa"/>
            <w:gridSpan w:val="2"/>
            <w:tcBorders>
              <w:bottom w:val="single" w:color="000000" w:sz="10" w:space="0"/>
            </w:tcBorders>
            <w:vAlign w:val="top"/>
          </w:tcPr>
          <w:p w14:paraId="7E1805ED">
            <w:pPr>
              <w:pStyle w:val="6"/>
              <w:spacing w:before="50" w:line="188" w:lineRule="auto"/>
              <w:ind w:left="137"/>
            </w:pPr>
            <w:r>
              <w:rPr>
                <w:spacing w:val="-1"/>
              </w:rPr>
              <w:t>2022</w:t>
            </w:r>
          </w:p>
          <w:p w14:paraId="52BBFF8A">
            <w:pPr>
              <w:pStyle w:val="6"/>
              <w:spacing w:before="41" w:line="188" w:lineRule="auto"/>
              <w:ind w:left="275"/>
            </w:pPr>
            <w:r>
              <w:t>3</w:t>
            </w:r>
          </w:p>
        </w:tc>
        <w:tc>
          <w:tcPr>
            <w:tcW w:w="636" w:type="dxa"/>
            <w:tcBorders>
              <w:bottom w:val="single" w:color="000000" w:sz="10" w:space="0"/>
            </w:tcBorders>
            <w:vAlign w:val="top"/>
          </w:tcPr>
          <w:p w14:paraId="7D37984E">
            <w:pPr>
              <w:pStyle w:val="6"/>
              <w:spacing w:before="50" w:line="188" w:lineRule="auto"/>
              <w:ind w:left="140"/>
            </w:pPr>
            <w:r>
              <w:rPr>
                <w:spacing w:val="-1"/>
              </w:rPr>
              <w:t>2022</w:t>
            </w:r>
          </w:p>
          <w:p w14:paraId="2627A072">
            <w:pPr>
              <w:pStyle w:val="6"/>
              <w:spacing w:before="41" w:line="188" w:lineRule="auto"/>
              <w:ind w:left="278"/>
            </w:pPr>
            <w:r>
              <w:t>3</w:t>
            </w:r>
          </w:p>
        </w:tc>
        <w:tc>
          <w:tcPr>
            <w:tcW w:w="566" w:type="dxa"/>
            <w:gridSpan w:val="2"/>
            <w:tcBorders>
              <w:bottom w:val="single" w:color="000000" w:sz="10" w:space="0"/>
            </w:tcBorders>
            <w:vAlign w:val="top"/>
          </w:tcPr>
          <w:p w14:paraId="0AF6AF87">
            <w:pPr>
              <w:pStyle w:val="6"/>
              <w:spacing w:before="50" w:line="188" w:lineRule="auto"/>
              <w:ind w:left="149"/>
            </w:pPr>
            <w:r>
              <w:rPr>
                <w:spacing w:val="-1"/>
              </w:rPr>
              <w:t>202</w:t>
            </w:r>
          </w:p>
          <w:p w14:paraId="77A5C56B">
            <w:pPr>
              <w:pStyle w:val="6"/>
              <w:spacing w:before="41" w:line="188" w:lineRule="auto"/>
              <w:ind w:left="195"/>
            </w:pPr>
            <w:r>
              <w:rPr>
                <w:spacing w:val="-2"/>
              </w:rPr>
              <w:t>23</w:t>
            </w:r>
          </w:p>
        </w:tc>
        <w:tc>
          <w:tcPr>
            <w:tcW w:w="776" w:type="dxa"/>
            <w:gridSpan w:val="2"/>
            <w:tcBorders>
              <w:bottom w:val="single" w:color="000000" w:sz="10" w:space="0"/>
            </w:tcBorders>
            <w:vAlign w:val="top"/>
          </w:tcPr>
          <w:p w14:paraId="1796E1EC">
            <w:pPr>
              <w:pStyle w:val="6"/>
              <w:spacing w:before="153" w:line="188" w:lineRule="auto"/>
              <w:ind w:left="210"/>
            </w:pPr>
            <w:r>
              <w:rPr>
                <w:spacing w:val="-1"/>
              </w:rPr>
              <w:t>2885</w:t>
            </w:r>
          </w:p>
        </w:tc>
        <w:tc>
          <w:tcPr>
            <w:tcW w:w="901" w:type="dxa"/>
            <w:tcBorders>
              <w:bottom w:val="single" w:color="000000" w:sz="10" w:space="0"/>
            </w:tcBorders>
            <w:vAlign w:val="top"/>
          </w:tcPr>
          <w:p w14:paraId="25E79F95">
            <w:pPr>
              <w:pStyle w:val="6"/>
              <w:spacing w:before="153" w:line="188" w:lineRule="auto"/>
              <w:ind w:left="277"/>
            </w:pPr>
            <w:r>
              <w:rPr>
                <w:spacing w:val="-2"/>
              </w:rPr>
              <w:t>9845</w:t>
            </w:r>
          </w:p>
        </w:tc>
        <w:tc>
          <w:tcPr>
            <w:tcW w:w="1222" w:type="dxa"/>
            <w:gridSpan w:val="2"/>
            <w:tcBorders>
              <w:bottom w:val="single" w:color="000000" w:sz="10" w:space="0"/>
              <w:right w:val="single" w:color="000000" w:sz="6" w:space="0"/>
            </w:tcBorders>
            <w:vAlign w:val="top"/>
          </w:tcPr>
          <w:p w14:paraId="0EF2E1CC">
            <w:pPr>
              <w:rPr>
                <w:rFonts w:ascii="Arial"/>
                <w:sz w:val="21"/>
              </w:rPr>
            </w:pPr>
          </w:p>
        </w:tc>
      </w:tr>
      <w:tr w14:paraId="4DFC76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3" w:hRule="atLeast"/>
        </w:trPr>
        <w:tc>
          <w:tcPr>
            <w:tcW w:w="737" w:type="dxa"/>
            <w:vMerge w:val="continue"/>
            <w:tcBorders>
              <w:top w:val="nil"/>
              <w:left w:val="single" w:color="000000" w:sz="6" w:space="0"/>
              <w:bottom w:val="nil"/>
            </w:tcBorders>
            <w:vAlign w:val="top"/>
          </w:tcPr>
          <w:p w14:paraId="4F79C790">
            <w:pPr>
              <w:rPr>
                <w:rFonts w:ascii="Arial"/>
                <w:sz w:val="21"/>
              </w:rPr>
            </w:pPr>
          </w:p>
        </w:tc>
        <w:tc>
          <w:tcPr>
            <w:tcW w:w="7640" w:type="dxa"/>
            <w:gridSpan w:val="14"/>
            <w:tcBorders>
              <w:top w:val="single" w:color="000000" w:sz="10" w:space="0"/>
              <w:bottom w:val="single" w:color="000000" w:sz="10" w:space="0"/>
              <w:right w:val="single" w:color="000000" w:sz="6" w:space="0"/>
            </w:tcBorders>
            <w:vAlign w:val="top"/>
          </w:tcPr>
          <w:p w14:paraId="603442BD">
            <w:pPr>
              <w:pStyle w:val="6"/>
              <w:spacing w:before="148" w:line="230" w:lineRule="auto"/>
              <w:ind w:left="2711"/>
              <w:rPr>
                <w:rFonts w:ascii="仿宋" w:hAnsi="仿宋" w:eastAsia="仿宋" w:cs="仿宋"/>
                <w:sz w:val="20"/>
                <w:szCs w:val="20"/>
              </w:rPr>
            </w:pPr>
            <w:r>
              <w:rPr>
                <w:rFonts w:ascii="仿宋" w:hAnsi="仿宋" w:eastAsia="仿宋" w:cs="仿宋"/>
                <w:b/>
                <w:bCs/>
                <w:spacing w:val="2"/>
                <w:sz w:val="20"/>
                <w:szCs w:val="20"/>
              </w:rPr>
              <w:t>表</w:t>
            </w:r>
            <w:r>
              <w:rPr>
                <w:rFonts w:ascii="仿宋" w:hAnsi="仿宋" w:eastAsia="仿宋" w:cs="仿宋"/>
                <w:spacing w:val="-35"/>
                <w:sz w:val="20"/>
                <w:szCs w:val="20"/>
              </w:rPr>
              <w:t xml:space="preserve"> </w:t>
            </w:r>
            <w:r>
              <w:rPr>
                <w:b/>
                <w:bCs/>
                <w:spacing w:val="2"/>
                <w:sz w:val="20"/>
                <w:szCs w:val="20"/>
              </w:rPr>
              <w:t>2-5</w:t>
            </w:r>
            <w:r>
              <w:rPr>
                <w:b/>
                <w:bCs/>
                <w:spacing w:val="3"/>
                <w:sz w:val="20"/>
                <w:szCs w:val="20"/>
              </w:rPr>
              <w:t xml:space="preserve">            </w:t>
            </w:r>
            <w:r>
              <w:rPr>
                <w:rFonts w:ascii="仿宋" w:hAnsi="仿宋" w:eastAsia="仿宋" w:cs="仿宋"/>
                <w:b/>
                <w:bCs/>
                <w:spacing w:val="2"/>
                <w:sz w:val="20"/>
                <w:szCs w:val="20"/>
              </w:rPr>
              <w:t>表土平衡表</w:t>
            </w:r>
          </w:p>
        </w:tc>
      </w:tr>
      <w:tr w14:paraId="6DC7DC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rPr>
        <w:tc>
          <w:tcPr>
            <w:tcW w:w="737" w:type="dxa"/>
            <w:vMerge w:val="continue"/>
            <w:tcBorders>
              <w:top w:val="nil"/>
              <w:left w:val="single" w:color="000000" w:sz="6" w:space="0"/>
              <w:bottom w:val="nil"/>
            </w:tcBorders>
            <w:vAlign w:val="top"/>
          </w:tcPr>
          <w:p w14:paraId="04383A29">
            <w:pPr>
              <w:rPr>
                <w:rFonts w:ascii="Arial"/>
                <w:sz w:val="21"/>
              </w:rPr>
            </w:pPr>
          </w:p>
        </w:tc>
        <w:tc>
          <w:tcPr>
            <w:tcW w:w="3425" w:type="dxa"/>
            <w:gridSpan w:val="5"/>
            <w:tcBorders>
              <w:top w:val="single" w:color="000000" w:sz="10" w:space="0"/>
            </w:tcBorders>
            <w:vAlign w:val="top"/>
          </w:tcPr>
          <w:p w14:paraId="2C3B74D1">
            <w:pPr>
              <w:spacing w:before="138" w:line="224" w:lineRule="auto"/>
              <w:ind w:left="1535"/>
              <w:rPr>
                <w:rFonts w:ascii="仿宋" w:hAnsi="仿宋" w:eastAsia="仿宋" w:cs="仿宋"/>
                <w:sz w:val="18"/>
                <w:szCs w:val="18"/>
              </w:rPr>
            </w:pPr>
            <w:r>
              <w:rPr>
                <w:rFonts w:ascii="仿宋" w:hAnsi="仿宋" w:eastAsia="仿宋" w:cs="仿宋"/>
                <w:spacing w:val="-7"/>
                <w:sz w:val="18"/>
                <w:szCs w:val="18"/>
              </w:rPr>
              <w:t>项目</w:t>
            </w:r>
          </w:p>
        </w:tc>
        <w:tc>
          <w:tcPr>
            <w:tcW w:w="1014" w:type="dxa"/>
            <w:gridSpan w:val="3"/>
            <w:tcBorders>
              <w:top w:val="single" w:color="000000" w:sz="10" w:space="0"/>
            </w:tcBorders>
            <w:vAlign w:val="top"/>
          </w:tcPr>
          <w:p w14:paraId="20811E87">
            <w:pPr>
              <w:pStyle w:val="6"/>
              <w:spacing w:before="22" w:line="220" w:lineRule="auto"/>
              <w:ind w:left="271" w:right="144" w:hanging="113"/>
              <w:rPr>
                <w:rFonts w:ascii="仿宋" w:hAnsi="仿宋" w:eastAsia="仿宋" w:cs="仿宋"/>
              </w:rPr>
            </w:pPr>
            <w:r>
              <w:rPr>
                <w:rFonts w:ascii="仿宋" w:hAnsi="仿宋" w:eastAsia="仿宋" w:cs="仿宋"/>
                <w:spacing w:val="-4"/>
              </w:rPr>
              <w:t>剥离厚度</w:t>
            </w:r>
            <w:r>
              <w:rPr>
                <w:rFonts w:ascii="仿宋" w:hAnsi="仿宋" w:eastAsia="仿宋" w:cs="仿宋"/>
                <w:spacing w:val="-6"/>
              </w:rPr>
              <w:t>（</w:t>
            </w:r>
            <w:r>
              <w:rPr>
                <w:spacing w:val="-6"/>
              </w:rPr>
              <w:t>m</w:t>
            </w:r>
            <w:r>
              <w:rPr>
                <w:rFonts w:ascii="仿宋" w:hAnsi="仿宋" w:eastAsia="仿宋" w:cs="仿宋"/>
                <w:spacing w:val="-6"/>
              </w:rPr>
              <w:t>）</w:t>
            </w:r>
          </w:p>
        </w:tc>
        <w:tc>
          <w:tcPr>
            <w:tcW w:w="1013" w:type="dxa"/>
            <w:gridSpan w:val="2"/>
            <w:tcBorders>
              <w:top w:val="single" w:color="000000" w:sz="10" w:space="0"/>
            </w:tcBorders>
            <w:vAlign w:val="top"/>
          </w:tcPr>
          <w:p w14:paraId="3E66CBD2">
            <w:pPr>
              <w:pStyle w:val="6"/>
              <w:spacing w:before="22" w:line="220" w:lineRule="auto"/>
              <w:ind w:left="200" w:right="141" w:hanging="41"/>
              <w:rPr>
                <w:rFonts w:ascii="仿宋" w:hAnsi="仿宋" w:eastAsia="仿宋" w:cs="仿宋"/>
              </w:rPr>
            </w:pPr>
            <w:r>
              <w:rPr>
                <w:rFonts w:ascii="仿宋" w:hAnsi="仿宋" w:eastAsia="仿宋" w:cs="仿宋"/>
                <w:spacing w:val="-4"/>
              </w:rPr>
              <w:t>剥离面积</w:t>
            </w:r>
            <w:r>
              <w:rPr>
                <w:rFonts w:ascii="仿宋" w:hAnsi="仿宋" w:eastAsia="仿宋" w:cs="仿宋"/>
                <w:spacing w:val="-12"/>
              </w:rPr>
              <w:t>（</w:t>
            </w:r>
            <w:r>
              <w:rPr>
                <w:spacing w:val="-12"/>
              </w:rPr>
              <w:t>hm2</w:t>
            </w:r>
            <w:r>
              <w:rPr>
                <w:rFonts w:ascii="仿宋" w:hAnsi="仿宋" w:eastAsia="仿宋" w:cs="仿宋"/>
                <w:spacing w:val="-12"/>
              </w:rPr>
              <w:t>）</w:t>
            </w:r>
          </w:p>
        </w:tc>
        <w:tc>
          <w:tcPr>
            <w:tcW w:w="1013" w:type="dxa"/>
            <w:gridSpan w:val="3"/>
            <w:tcBorders>
              <w:top w:val="single" w:color="000000" w:sz="10" w:space="0"/>
            </w:tcBorders>
            <w:vAlign w:val="top"/>
          </w:tcPr>
          <w:p w14:paraId="056662AA">
            <w:pPr>
              <w:pStyle w:val="6"/>
              <w:spacing w:before="22" w:line="220" w:lineRule="auto"/>
              <w:ind w:left="122" w:right="26" w:firstLine="39"/>
              <w:rPr>
                <w:rFonts w:ascii="仿宋" w:hAnsi="仿宋" w:eastAsia="仿宋" w:cs="仿宋"/>
              </w:rPr>
            </w:pPr>
            <w:r>
              <w:rPr>
                <w:rFonts w:ascii="仿宋" w:hAnsi="仿宋" w:eastAsia="仿宋" w:cs="仿宋"/>
                <w:spacing w:val="-4"/>
              </w:rPr>
              <w:t>表土剥离</w:t>
            </w:r>
            <w:r>
              <w:rPr>
                <w:rFonts w:ascii="仿宋" w:hAnsi="仿宋" w:eastAsia="仿宋" w:cs="仿宋"/>
                <w:spacing w:val="-24"/>
              </w:rPr>
              <w:t>量（万</w:t>
            </w:r>
            <w:r>
              <w:rPr>
                <w:rFonts w:ascii="仿宋" w:hAnsi="仿宋" w:eastAsia="仿宋" w:cs="仿宋"/>
                <w:spacing w:val="-39"/>
              </w:rPr>
              <w:t xml:space="preserve"> </w:t>
            </w:r>
            <w:r>
              <w:rPr>
                <w:spacing w:val="-24"/>
              </w:rPr>
              <w:t>m3</w:t>
            </w:r>
            <w:r>
              <w:rPr>
                <w:rFonts w:ascii="仿宋" w:hAnsi="仿宋" w:eastAsia="仿宋" w:cs="仿宋"/>
                <w:spacing w:val="-24"/>
              </w:rPr>
              <w:t>）</w:t>
            </w:r>
          </w:p>
        </w:tc>
        <w:tc>
          <w:tcPr>
            <w:tcW w:w="1175" w:type="dxa"/>
            <w:tcBorders>
              <w:top w:val="single" w:color="000000" w:sz="10" w:space="0"/>
              <w:right w:val="single" w:color="000000" w:sz="6" w:space="0"/>
            </w:tcBorders>
            <w:vAlign w:val="top"/>
          </w:tcPr>
          <w:p w14:paraId="7E5DAF95">
            <w:pPr>
              <w:spacing w:before="23" w:line="224" w:lineRule="auto"/>
              <w:ind w:left="142"/>
              <w:rPr>
                <w:rFonts w:ascii="仿宋" w:hAnsi="仿宋" w:eastAsia="仿宋" w:cs="仿宋"/>
                <w:sz w:val="18"/>
                <w:szCs w:val="18"/>
              </w:rPr>
            </w:pPr>
            <w:r>
              <w:rPr>
                <w:rFonts w:ascii="仿宋" w:hAnsi="仿宋" w:eastAsia="仿宋" w:cs="仿宋"/>
                <w:spacing w:val="-3"/>
                <w:sz w:val="18"/>
                <w:szCs w:val="18"/>
              </w:rPr>
              <w:t>表土回覆量</w:t>
            </w:r>
          </w:p>
          <w:p w14:paraId="446C3647">
            <w:pPr>
              <w:pStyle w:val="6"/>
              <w:spacing w:before="14" w:line="201" w:lineRule="auto"/>
              <w:ind w:left="205"/>
              <w:rPr>
                <w:rFonts w:ascii="仿宋" w:hAnsi="仿宋" w:eastAsia="仿宋" w:cs="仿宋"/>
              </w:rPr>
            </w:pPr>
            <w:r>
              <w:rPr>
                <w:rFonts w:ascii="仿宋" w:hAnsi="仿宋" w:eastAsia="仿宋" w:cs="仿宋"/>
                <w:spacing w:val="-12"/>
              </w:rPr>
              <w:t>（万</w:t>
            </w:r>
            <w:r>
              <w:rPr>
                <w:rFonts w:ascii="仿宋" w:hAnsi="仿宋" w:eastAsia="仿宋" w:cs="仿宋"/>
                <w:spacing w:val="-40"/>
              </w:rPr>
              <w:t xml:space="preserve"> </w:t>
            </w:r>
            <w:r>
              <w:rPr>
                <w:spacing w:val="-12"/>
              </w:rPr>
              <w:t>m3</w:t>
            </w:r>
            <w:r>
              <w:rPr>
                <w:rFonts w:ascii="仿宋" w:hAnsi="仿宋" w:eastAsia="仿宋" w:cs="仿宋"/>
                <w:spacing w:val="-12"/>
              </w:rPr>
              <w:t>）</w:t>
            </w:r>
          </w:p>
        </w:tc>
      </w:tr>
      <w:tr w14:paraId="6CE2A1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41C5E459">
            <w:pPr>
              <w:rPr>
                <w:rFonts w:ascii="Arial"/>
                <w:sz w:val="21"/>
              </w:rPr>
            </w:pPr>
          </w:p>
        </w:tc>
        <w:tc>
          <w:tcPr>
            <w:tcW w:w="637" w:type="dxa"/>
            <w:vMerge w:val="restart"/>
            <w:tcBorders>
              <w:bottom w:val="nil"/>
            </w:tcBorders>
            <w:vAlign w:val="top"/>
          </w:tcPr>
          <w:p w14:paraId="5A3403C4">
            <w:pPr>
              <w:spacing w:line="286" w:lineRule="auto"/>
              <w:rPr>
                <w:rFonts w:ascii="Arial"/>
                <w:sz w:val="21"/>
              </w:rPr>
            </w:pPr>
          </w:p>
          <w:p w14:paraId="7D8EE7C0">
            <w:pPr>
              <w:spacing w:line="286" w:lineRule="auto"/>
              <w:rPr>
                <w:rFonts w:ascii="Arial"/>
                <w:sz w:val="21"/>
              </w:rPr>
            </w:pPr>
          </w:p>
          <w:p w14:paraId="7A259A0B">
            <w:pPr>
              <w:spacing w:line="286" w:lineRule="auto"/>
              <w:rPr>
                <w:rFonts w:ascii="Arial"/>
                <w:sz w:val="21"/>
              </w:rPr>
            </w:pPr>
          </w:p>
          <w:p w14:paraId="2551DDFD">
            <w:pPr>
              <w:spacing w:line="286" w:lineRule="auto"/>
              <w:rPr>
                <w:rFonts w:ascii="Arial"/>
                <w:sz w:val="21"/>
              </w:rPr>
            </w:pPr>
          </w:p>
          <w:p w14:paraId="4A849ACD">
            <w:pPr>
              <w:spacing w:line="286" w:lineRule="auto"/>
              <w:rPr>
                <w:rFonts w:ascii="Arial"/>
                <w:sz w:val="21"/>
              </w:rPr>
            </w:pPr>
          </w:p>
          <w:p w14:paraId="76BE6650">
            <w:pPr>
              <w:spacing w:before="58" w:line="242" w:lineRule="auto"/>
              <w:ind w:left="136" w:right="146" w:firstLine="1"/>
              <w:jc w:val="right"/>
              <w:rPr>
                <w:rFonts w:ascii="仿宋" w:hAnsi="仿宋" w:eastAsia="仿宋" w:cs="仿宋"/>
                <w:sz w:val="18"/>
                <w:szCs w:val="18"/>
              </w:rPr>
            </w:pPr>
            <w:r>
              <w:rPr>
                <w:rFonts w:ascii="仿宋" w:hAnsi="仿宋" w:eastAsia="仿宋" w:cs="仿宋"/>
                <w:spacing w:val="-6"/>
                <w:sz w:val="18"/>
                <w:szCs w:val="18"/>
              </w:rPr>
              <w:t>黄土丘陵路基工程</w:t>
            </w:r>
            <w:r>
              <w:rPr>
                <w:rFonts w:ascii="仿宋" w:hAnsi="仿宋" w:eastAsia="仿宋" w:cs="仿宋"/>
                <w:sz w:val="18"/>
                <w:szCs w:val="18"/>
              </w:rPr>
              <w:t>区</w:t>
            </w:r>
          </w:p>
        </w:tc>
        <w:tc>
          <w:tcPr>
            <w:tcW w:w="2788" w:type="dxa"/>
            <w:gridSpan w:val="4"/>
            <w:vAlign w:val="top"/>
          </w:tcPr>
          <w:p w14:paraId="59E59308">
            <w:pPr>
              <w:pStyle w:val="6"/>
              <w:spacing w:before="33" w:line="219" w:lineRule="auto"/>
              <w:ind w:left="498" w:right="104" w:hanging="383"/>
              <w:rPr>
                <w:rFonts w:ascii="仿宋" w:hAnsi="仿宋" w:eastAsia="仿宋" w:cs="仿宋"/>
              </w:rPr>
            </w:pPr>
            <w:r>
              <w:rPr>
                <w:rFonts w:ascii="仿宋" w:hAnsi="仿宋" w:eastAsia="仿宋" w:cs="仿宋"/>
                <w:spacing w:val="-1"/>
              </w:rPr>
              <w:t>准格尔旗</w:t>
            </w:r>
            <w:r>
              <w:rPr>
                <w:spacing w:val="-1"/>
              </w:rPr>
              <w:t xml:space="preserve">2025 </w:t>
            </w:r>
            <w:r>
              <w:rPr>
                <w:rFonts w:ascii="仿宋" w:hAnsi="仿宋" w:eastAsia="仿宋" w:cs="仿宋"/>
                <w:spacing w:val="-1"/>
              </w:rPr>
              <w:t>年沙圪堵镇双山梁</w:t>
            </w:r>
            <w:r>
              <w:rPr>
                <w:rFonts w:ascii="仿宋" w:hAnsi="仿宋" w:eastAsia="仿宋" w:cs="仿宋"/>
                <w:spacing w:val="-2"/>
              </w:rPr>
              <w:t>村自然村通硬化路工程</w:t>
            </w:r>
          </w:p>
        </w:tc>
        <w:tc>
          <w:tcPr>
            <w:tcW w:w="1014" w:type="dxa"/>
            <w:gridSpan w:val="3"/>
            <w:vAlign w:val="top"/>
          </w:tcPr>
          <w:p w14:paraId="3732AD43">
            <w:pPr>
              <w:rPr>
                <w:rFonts w:ascii="Arial"/>
                <w:sz w:val="21"/>
              </w:rPr>
            </w:pPr>
          </w:p>
        </w:tc>
        <w:tc>
          <w:tcPr>
            <w:tcW w:w="1013" w:type="dxa"/>
            <w:gridSpan w:val="2"/>
            <w:vAlign w:val="top"/>
          </w:tcPr>
          <w:p w14:paraId="609AA50B">
            <w:pPr>
              <w:pStyle w:val="6"/>
              <w:spacing w:before="180" w:line="188" w:lineRule="auto"/>
              <w:ind w:left="354"/>
            </w:pPr>
            <w:r>
              <w:rPr>
                <w:spacing w:val="-2"/>
              </w:rPr>
              <w:t>0.88</w:t>
            </w:r>
          </w:p>
        </w:tc>
        <w:tc>
          <w:tcPr>
            <w:tcW w:w="1013" w:type="dxa"/>
            <w:gridSpan w:val="3"/>
            <w:vAlign w:val="top"/>
          </w:tcPr>
          <w:p w14:paraId="07C64BE7">
            <w:pPr>
              <w:pStyle w:val="6"/>
              <w:spacing w:before="180" w:line="188" w:lineRule="auto"/>
              <w:ind w:left="356"/>
            </w:pPr>
            <w:r>
              <w:rPr>
                <w:spacing w:val="-2"/>
              </w:rPr>
              <w:t>0.18</w:t>
            </w:r>
          </w:p>
        </w:tc>
        <w:tc>
          <w:tcPr>
            <w:tcW w:w="1175" w:type="dxa"/>
            <w:tcBorders>
              <w:right w:val="single" w:color="000000" w:sz="6" w:space="0"/>
            </w:tcBorders>
            <w:vAlign w:val="top"/>
          </w:tcPr>
          <w:p w14:paraId="1636B284">
            <w:pPr>
              <w:pStyle w:val="6"/>
              <w:spacing w:before="180" w:line="188" w:lineRule="auto"/>
              <w:ind w:left="425"/>
            </w:pPr>
            <w:r>
              <w:rPr>
                <w:spacing w:val="-2"/>
              </w:rPr>
              <w:t>0.18</w:t>
            </w:r>
          </w:p>
        </w:tc>
      </w:tr>
      <w:tr w14:paraId="3E5FFE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1E73FACC">
            <w:pPr>
              <w:rPr>
                <w:rFonts w:ascii="Arial"/>
                <w:sz w:val="21"/>
              </w:rPr>
            </w:pPr>
          </w:p>
        </w:tc>
        <w:tc>
          <w:tcPr>
            <w:tcW w:w="637" w:type="dxa"/>
            <w:vMerge w:val="continue"/>
            <w:tcBorders>
              <w:top w:val="nil"/>
              <w:bottom w:val="nil"/>
            </w:tcBorders>
            <w:vAlign w:val="top"/>
          </w:tcPr>
          <w:p w14:paraId="0434EAD3">
            <w:pPr>
              <w:rPr>
                <w:rFonts w:ascii="Arial"/>
                <w:sz w:val="21"/>
              </w:rPr>
            </w:pPr>
          </w:p>
        </w:tc>
        <w:tc>
          <w:tcPr>
            <w:tcW w:w="2788" w:type="dxa"/>
            <w:gridSpan w:val="4"/>
            <w:vAlign w:val="top"/>
          </w:tcPr>
          <w:p w14:paraId="20439D14">
            <w:pPr>
              <w:spacing w:before="32" w:line="200" w:lineRule="auto"/>
              <w:ind w:left="323"/>
              <w:rPr>
                <w:rFonts w:ascii="仿宋" w:hAnsi="仿宋" w:eastAsia="仿宋" w:cs="仿宋"/>
                <w:sz w:val="18"/>
                <w:szCs w:val="18"/>
              </w:rPr>
            </w:pPr>
            <w:r>
              <w:rPr>
                <w:rFonts w:ascii="仿宋" w:hAnsi="仿宋" w:eastAsia="仿宋" w:cs="仿宋"/>
                <w:spacing w:val="-2"/>
                <w:sz w:val="18"/>
                <w:szCs w:val="18"/>
              </w:rPr>
              <w:t>李家圪堵至土敖包通村公路</w:t>
            </w:r>
          </w:p>
        </w:tc>
        <w:tc>
          <w:tcPr>
            <w:tcW w:w="1014" w:type="dxa"/>
            <w:gridSpan w:val="3"/>
            <w:vAlign w:val="top"/>
          </w:tcPr>
          <w:p w14:paraId="7C7DD0D9">
            <w:pPr>
              <w:spacing w:line="227" w:lineRule="exact"/>
              <w:rPr>
                <w:rFonts w:ascii="Arial"/>
                <w:sz w:val="19"/>
              </w:rPr>
            </w:pPr>
          </w:p>
        </w:tc>
        <w:tc>
          <w:tcPr>
            <w:tcW w:w="1013" w:type="dxa"/>
            <w:gridSpan w:val="2"/>
            <w:vAlign w:val="top"/>
          </w:tcPr>
          <w:p w14:paraId="2C0D90C7">
            <w:pPr>
              <w:pStyle w:val="6"/>
              <w:spacing w:before="64" w:line="188" w:lineRule="auto"/>
              <w:ind w:left="354"/>
            </w:pPr>
            <w:r>
              <w:rPr>
                <w:spacing w:val="-2"/>
              </w:rPr>
              <w:t>0.81</w:t>
            </w:r>
          </w:p>
        </w:tc>
        <w:tc>
          <w:tcPr>
            <w:tcW w:w="1013" w:type="dxa"/>
            <w:gridSpan w:val="3"/>
            <w:vAlign w:val="top"/>
          </w:tcPr>
          <w:p w14:paraId="505F85A6">
            <w:pPr>
              <w:pStyle w:val="6"/>
              <w:spacing w:before="64" w:line="188" w:lineRule="auto"/>
              <w:ind w:left="356"/>
            </w:pPr>
            <w:r>
              <w:rPr>
                <w:spacing w:val="-2"/>
              </w:rPr>
              <w:t>0.17</w:t>
            </w:r>
          </w:p>
        </w:tc>
        <w:tc>
          <w:tcPr>
            <w:tcW w:w="1175" w:type="dxa"/>
            <w:tcBorders>
              <w:right w:val="single" w:color="000000" w:sz="6" w:space="0"/>
            </w:tcBorders>
            <w:vAlign w:val="top"/>
          </w:tcPr>
          <w:p w14:paraId="2D0DB39C">
            <w:pPr>
              <w:pStyle w:val="6"/>
              <w:spacing w:before="64" w:line="188" w:lineRule="auto"/>
              <w:ind w:left="425"/>
            </w:pPr>
            <w:r>
              <w:rPr>
                <w:spacing w:val="-2"/>
              </w:rPr>
              <w:t>0.17</w:t>
            </w:r>
          </w:p>
        </w:tc>
      </w:tr>
      <w:tr w14:paraId="3935B3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169C5765">
            <w:pPr>
              <w:rPr>
                <w:rFonts w:ascii="Arial"/>
                <w:sz w:val="21"/>
              </w:rPr>
            </w:pPr>
          </w:p>
        </w:tc>
        <w:tc>
          <w:tcPr>
            <w:tcW w:w="637" w:type="dxa"/>
            <w:vMerge w:val="continue"/>
            <w:tcBorders>
              <w:top w:val="nil"/>
              <w:bottom w:val="nil"/>
            </w:tcBorders>
            <w:vAlign w:val="top"/>
          </w:tcPr>
          <w:p w14:paraId="6E901508">
            <w:pPr>
              <w:rPr>
                <w:rFonts w:ascii="Arial"/>
                <w:sz w:val="21"/>
              </w:rPr>
            </w:pPr>
          </w:p>
        </w:tc>
        <w:tc>
          <w:tcPr>
            <w:tcW w:w="2788" w:type="dxa"/>
            <w:gridSpan w:val="4"/>
            <w:vAlign w:val="top"/>
          </w:tcPr>
          <w:p w14:paraId="5B9B0637">
            <w:pPr>
              <w:spacing w:before="34" w:line="198" w:lineRule="auto"/>
              <w:ind w:left="1129"/>
              <w:rPr>
                <w:rFonts w:ascii="仿宋" w:hAnsi="仿宋" w:eastAsia="仿宋" w:cs="仿宋"/>
                <w:sz w:val="18"/>
                <w:szCs w:val="18"/>
              </w:rPr>
            </w:pPr>
            <w:r>
              <w:rPr>
                <w:rFonts w:ascii="仿宋" w:hAnsi="仿宋" w:eastAsia="仿宋" w:cs="仿宋"/>
                <w:spacing w:val="1"/>
                <w:sz w:val="18"/>
                <w:szCs w:val="18"/>
              </w:rPr>
              <w:t>路段一</w:t>
            </w:r>
          </w:p>
        </w:tc>
        <w:tc>
          <w:tcPr>
            <w:tcW w:w="1014" w:type="dxa"/>
            <w:gridSpan w:val="3"/>
            <w:vAlign w:val="top"/>
          </w:tcPr>
          <w:p w14:paraId="117C7544">
            <w:pPr>
              <w:pStyle w:val="6"/>
              <w:spacing w:before="63" w:line="188" w:lineRule="auto"/>
              <w:ind w:left="398"/>
            </w:pPr>
            <w:r>
              <w:rPr>
                <w:spacing w:val="-2"/>
              </w:rPr>
              <w:t>0.2</w:t>
            </w:r>
          </w:p>
        </w:tc>
        <w:tc>
          <w:tcPr>
            <w:tcW w:w="1013" w:type="dxa"/>
            <w:gridSpan w:val="2"/>
            <w:vAlign w:val="top"/>
          </w:tcPr>
          <w:p w14:paraId="21996FB5">
            <w:pPr>
              <w:pStyle w:val="6"/>
              <w:spacing w:before="63" w:line="188" w:lineRule="auto"/>
              <w:ind w:left="354"/>
            </w:pPr>
            <w:r>
              <w:rPr>
                <w:spacing w:val="-2"/>
              </w:rPr>
              <w:t>0.04</w:t>
            </w:r>
          </w:p>
        </w:tc>
        <w:tc>
          <w:tcPr>
            <w:tcW w:w="1013" w:type="dxa"/>
            <w:gridSpan w:val="3"/>
            <w:vAlign w:val="top"/>
          </w:tcPr>
          <w:p w14:paraId="15823B5F">
            <w:pPr>
              <w:pStyle w:val="6"/>
              <w:spacing w:before="63" w:line="188" w:lineRule="auto"/>
              <w:ind w:left="356"/>
            </w:pPr>
            <w:r>
              <w:rPr>
                <w:spacing w:val="-2"/>
              </w:rPr>
              <w:t>0.01</w:t>
            </w:r>
          </w:p>
        </w:tc>
        <w:tc>
          <w:tcPr>
            <w:tcW w:w="1175" w:type="dxa"/>
            <w:tcBorders>
              <w:right w:val="single" w:color="000000" w:sz="6" w:space="0"/>
            </w:tcBorders>
            <w:vAlign w:val="top"/>
          </w:tcPr>
          <w:p w14:paraId="0A9C07EB">
            <w:pPr>
              <w:pStyle w:val="6"/>
              <w:spacing w:before="63" w:line="188" w:lineRule="auto"/>
              <w:ind w:left="425"/>
            </w:pPr>
            <w:r>
              <w:rPr>
                <w:spacing w:val="-2"/>
              </w:rPr>
              <w:t>0.01</w:t>
            </w:r>
          </w:p>
        </w:tc>
      </w:tr>
      <w:tr w14:paraId="0C2EC6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6A4FC5E3">
            <w:pPr>
              <w:rPr>
                <w:rFonts w:ascii="Arial"/>
                <w:sz w:val="21"/>
              </w:rPr>
            </w:pPr>
          </w:p>
        </w:tc>
        <w:tc>
          <w:tcPr>
            <w:tcW w:w="637" w:type="dxa"/>
            <w:vMerge w:val="continue"/>
            <w:tcBorders>
              <w:top w:val="nil"/>
              <w:bottom w:val="nil"/>
            </w:tcBorders>
            <w:vAlign w:val="top"/>
          </w:tcPr>
          <w:p w14:paraId="03C44891">
            <w:pPr>
              <w:rPr>
                <w:rFonts w:ascii="Arial"/>
                <w:sz w:val="21"/>
              </w:rPr>
            </w:pPr>
          </w:p>
        </w:tc>
        <w:tc>
          <w:tcPr>
            <w:tcW w:w="2788" w:type="dxa"/>
            <w:gridSpan w:val="4"/>
            <w:vAlign w:val="top"/>
          </w:tcPr>
          <w:p w14:paraId="6728C268">
            <w:pPr>
              <w:spacing w:before="34" w:line="200" w:lineRule="auto"/>
              <w:ind w:left="1129"/>
              <w:rPr>
                <w:rFonts w:ascii="仿宋" w:hAnsi="仿宋" w:eastAsia="仿宋" w:cs="仿宋"/>
                <w:sz w:val="18"/>
                <w:szCs w:val="18"/>
              </w:rPr>
            </w:pPr>
            <w:r>
              <w:rPr>
                <w:rFonts w:ascii="仿宋" w:hAnsi="仿宋" w:eastAsia="仿宋" w:cs="仿宋"/>
                <w:spacing w:val="-4"/>
                <w:sz w:val="18"/>
                <w:szCs w:val="18"/>
              </w:rPr>
              <w:t>路段二</w:t>
            </w:r>
          </w:p>
        </w:tc>
        <w:tc>
          <w:tcPr>
            <w:tcW w:w="1014" w:type="dxa"/>
            <w:gridSpan w:val="3"/>
            <w:vAlign w:val="top"/>
          </w:tcPr>
          <w:p w14:paraId="76EB065F">
            <w:pPr>
              <w:pStyle w:val="6"/>
              <w:spacing w:before="65" w:line="188" w:lineRule="auto"/>
              <w:ind w:left="398"/>
            </w:pPr>
            <w:r>
              <w:rPr>
                <w:spacing w:val="-2"/>
              </w:rPr>
              <w:t>0.2</w:t>
            </w:r>
          </w:p>
        </w:tc>
        <w:tc>
          <w:tcPr>
            <w:tcW w:w="1013" w:type="dxa"/>
            <w:gridSpan w:val="2"/>
            <w:vAlign w:val="top"/>
          </w:tcPr>
          <w:p w14:paraId="602F3DE8">
            <w:pPr>
              <w:pStyle w:val="6"/>
              <w:spacing w:before="65" w:line="188" w:lineRule="auto"/>
              <w:ind w:left="399"/>
            </w:pPr>
            <w:r>
              <w:rPr>
                <w:spacing w:val="-2"/>
              </w:rPr>
              <w:t>0.2</w:t>
            </w:r>
          </w:p>
        </w:tc>
        <w:tc>
          <w:tcPr>
            <w:tcW w:w="1013" w:type="dxa"/>
            <w:gridSpan w:val="3"/>
            <w:vAlign w:val="top"/>
          </w:tcPr>
          <w:p w14:paraId="08214002">
            <w:pPr>
              <w:pStyle w:val="6"/>
              <w:spacing w:before="65" w:line="188" w:lineRule="auto"/>
              <w:ind w:left="356"/>
            </w:pPr>
            <w:r>
              <w:rPr>
                <w:spacing w:val="-2"/>
              </w:rPr>
              <w:t>0.04</w:t>
            </w:r>
          </w:p>
        </w:tc>
        <w:tc>
          <w:tcPr>
            <w:tcW w:w="1175" w:type="dxa"/>
            <w:tcBorders>
              <w:right w:val="single" w:color="000000" w:sz="6" w:space="0"/>
            </w:tcBorders>
            <w:vAlign w:val="top"/>
          </w:tcPr>
          <w:p w14:paraId="5FE60CFD">
            <w:pPr>
              <w:pStyle w:val="6"/>
              <w:spacing w:before="65" w:line="188" w:lineRule="auto"/>
              <w:ind w:left="425"/>
            </w:pPr>
            <w:r>
              <w:rPr>
                <w:spacing w:val="-2"/>
              </w:rPr>
              <w:t>0.04</w:t>
            </w:r>
          </w:p>
        </w:tc>
      </w:tr>
      <w:tr w14:paraId="6BB467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4BA330BC">
            <w:pPr>
              <w:rPr>
                <w:rFonts w:ascii="Arial"/>
                <w:sz w:val="21"/>
              </w:rPr>
            </w:pPr>
          </w:p>
        </w:tc>
        <w:tc>
          <w:tcPr>
            <w:tcW w:w="637" w:type="dxa"/>
            <w:vMerge w:val="continue"/>
            <w:tcBorders>
              <w:top w:val="nil"/>
              <w:bottom w:val="nil"/>
            </w:tcBorders>
            <w:vAlign w:val="top"/>
          </w:tcPr>
          <w:p w14:paraId="4346BA69">
            <w:pPr>
              <w:rPr>
                <w:rFonts w:ascii="Arial"/>
                <w:sz w:val="21"/>
              </w:rPr>
            </w:pPr>
          </w:p>
        </w:tc>
        <w:tc>
          <w:tcPr>
            <w:tcW w:w="2788" w:type="dxa"/>
            <w:gridSpan w:val="4"/>
            <w:vAlign w:val="top"/>
          </w:tcPr>
          <w:p w14:paraId="38AAFD58">
            <w:pPr>
              <w:spacing w:before="34" w:line="198" w:lineRule="auto"/>
              <w:ind w:left="1129"/>
              <w:rPr>
                <w:rFonts w:ascii="仿宋" w:hAnsi="仿宋" w:eastAsia="仿宋" w:cs="仿宋"/>
                <w:sz w:val="18"/>
                <w:szCs w:val="18"/>
              </w:rPr>
            </w:pPr>
            <w:r>
              <w:rPr>
                <w:rFonts w:ascii="仿宋" w:hAnsi="仿宋" w:eastAsia="仿宋" w:cs="仿宋"/>
                <w:spacing w:val="-4"/>
                <w:sz w:val="18"/>
                <w:szCs w:val="18"/>
              </w:rPr>
              <w:t>路段三</w:t>
            </w:r>
          </w:p>
        </w:tc>
        <w:tc>
          <w:tcPr>
            <w:tcW w:w="1014" w:type="dxa"/>
            <w:gridSpan w:val="3"/>
            <w:vAlign w:val="top"/>
          </w:tcPr>
          <w:p w14:paraId="7687CEE2">
            <w:pPr>
              <w:pStyle w:val="6"/>
              <w:spacing w:before="64" w:line="188" w:lineRule="auto"/>
              <w:ind w:left="398"/>
            </w:pPr>
            <w:r>
              <w:rPr>
                <w:spacing w:val="-2"/>
              </w:rPr>
              <w:t>0.2</w:t>
            </w:r>
          </w:p>
        </w:tc>
        <w:tc>
          <w:tcPr>
            <w:tcW w:w="1013" w:type="dxa"/>
            <w:gridSpan w:val="2"/>
            <w:vAlign w:val="top"/>
          </w:tcPr>
          <w:p w14:paraId="5234018F">
            <w:pPr>
              <w:pStyle w:val="6"/>
              <w:spacing w:before="64" w:line="188" w:lineRule="auto"/>
              <w:ind w:left="354"/>
            </w:pPr>
            <w:r>
              <w:rPr>
                <w:spacing w:val="-7"/>
              </w:rPr>
              <w:t>0.</w:t>
            </w:r>
            <w:r>
              <w:rPr>
                <w:spacing w:val="-23"/>
              </w:rPr>
              <w:t xml:space="preserve"> </w:t>
            </w:r>
            <w:r>
              <w:rPr>
                <w:spacing w:val="-7"/>
              </w:rPr>
              <w:t>12</w:t>
            </w:r>
          </w:p>
        </w:tc>
        <w:tc>
          <w:tcPr>
            <w:tcW w:w="1013" w:type="dxa"/>
            <w:gridSpan w:val="3"/>
            <w:vAlign w:val="top"/>
          </w:tcPr>
          <w:p w14:paraId="52D45737">
            <w:pPr>
              <w:pStyle w:val="6"/>
              <w:spacing w:before="64" w:line="188" w:lineRule="auto"/>
              <w:ind w:left="356"/>
            </w:pPr>
            <w:r>
              <w:rPr>
                <w:spacing w:val="-2"/>
              </w:rPr>
              <w:t>0.02</w:t>
            </w:r>
          </w:p>
        </w:tc>
        <w:tc>
          <w:tcPr>
            <w:tcW w:w="1175" w:type="dxa"/>
            <w:tcBorders>
              <w:right w:val="single" w:color="000000" w:sz="6" w:space="0"/>
            </w:tcBorders>
            <w:vAlign w:val="top"/>
          </w:tcPr>
          <w:p w14:paraId="25ECF5A2">
            <w:pPr>
              <w:pStyle w:val="6"/>
              <w:spacing w:before="64" w:line="188" w:lineRule="auto"/>
              <w:ind w:left="425"/>
            </w:pPr>
            <w:r>
              <w:rPr>
                <w:spacing w:val="-2"/>
              </w:rPr>
              <w:t>0.02</w:t>
            </w:r>
          </w:p>
        </w:tc>
      </w:tr>
      <w:tr w14:paraId="1B8F5E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2B25DEED">
            <w:pPr>
              <w:rPr>
                <w:rFonts w:ascii="Arial"/>
                <w:sz w:val="21"/>
              </w:rPr>
            </w:pPr>
          </w:p>
        </w:tc>
        <w:tc>
          <w:tcPr>
            <w:tcW w:w="637" w:type="dxa"/>
            <w:vMerge w:val="continue"/>
            <w:tcBorders>
              <w:top w:val="nil"/>
              <w:bottom w:val="nil"/>
            </w:tcBorders>
            <w:vAlign w:val="top"/>
          </w:tcPr>
          <w:p w14:paraId="47287151">
            <w:pPr>
              <w:rPr>
                <w:rFonts w:ascii="Arial"/>
                <w:sz w:val="21"/>
              </w:rPr>
            </w:pPr>
          </w:p>
        </w:tc>
        <w:tc>
          <w:tcPr>
            <w:tcW w:w="2788" w:type="dxa"/>
            <w:gridSpan w:val="4"/>
            <w:vAlign w:val="top"/>
          </w:tcPr>
          <w:p w14:paraId="7E55E579">
            <w:pPr>
              <w:spacing w:before="34" w:line="199" w:lineRule="auto"/>
              <w:ind w:left="1129"/>
              <w:rPr>
                <w:rFonts w:ascii="仿宋" w:hAnsi="仿宋" w:eastAsia="仿宋" w:cs="仿宋"/>
                <w:sz w:val="18"/>
                <w:szCs w:val="18"/>
              </w:rPr>
            </w:pPr>
            <w:r>
              <w:rPr>
                <w:rFonts w:ascii="仿宋" w:hAnsi="仿宋" w:eastAsia="仿宋" w:cs="仿宋"/>
                <w:spacing w:val="-4"/>
                <w:sz w:val="18"/>
                <w:szCs w:val="18"/>
              </w:rPr>
              <w:t>路段四</w:t>
            </w:r>
          </w:p>
        </w:tc>
        <w:tc>
          <w:tcPr>
            <w:tcW w:w="1014" w:type="dxa"/>
            <w:gridSpan w:val="3"/>
            <w:vAlign w:val="top"/>
          </w:tcPr>
          <w:p w14:paraId="7B9B7395">
            <w:pPr>
              <w:pStyle w:val="6"/>
              <w:spacing w:before="65" w:line="188" w:lineRule="auto"/>
              <w:ind w:left="398"/>
            </w:pPr>
            <w:r>
              <w:rPr>
                <w:spacing w:val="-2"/>
              </w:rPr>
              <w:t>0.2</w:t>
            </w:r>
          </w:p>
        </w:tc>
        <w:tc>
          <w:tcPr>
            <w:tcW w:w="1013" w:type="dxa"/>
            <w:gridSpan w:val="2"/>
            <w:vAlign w:val="top"/>
          </w:tcPr>
          <w:p w14:paraId="1384628A">
            <w:pPr>
              <w:pStyle w:val="6"/>
              <w:spacing w:before="65" w:line="188" w:lineRule="auto"/>
              <w:ind w:left="354"/>
            </w:pPr>
            <w:r>
              <w:rPr>
                <w:spacing w:val="-2"/>
              </w:rPr>
              <w:t>0.08</w:t>
            </w:r>
          </w:p>
        </w:tc>
        <w:tc>
          <w:tcPr>
            <w:tcW w:w="1013" w:type="dxa"/>
            <w:gridSpan w:val="3"/>
            <w:vAlign w:val="top"/>
          </w:tcPr>
          <w:p w14:paraId="656CBB68">
            <w:pPr>
              <w:pStyle w:val="6"/>
              <w:spacing w:before="65" w:line="188" w:lineRule="auto"/>
              <w:ind w:left="356"/>
            </w:pPr>
            <w:r>
              <w:rPr>
                <w:spacing w:val="-2"/>
              </w:rPr>
              <w:t>0.02</w:t>
            </w:r>
          </w:p>
        </w:tc>
        <w:tc>
          <w:tcPr>
            <w:tcW w:w="1175" w:type="dxa"/>
            <w:tcBorders>
              <w:right w:val="single" w:color="000000" w:sz="6" w:space="0"/>
            </w:tcBorders>
            <w:vAlign w:val="top"/>
          </w:tcPr>
          <w:p w14:paraId="1FE6B454">
            <w:pPr>
              <w:pStyle w:val="6"/>
              <w:spacing w:before="65" w:line="188" w:lineRule="auto"/>
              <w:ind w:left="425"/>
            </w:pPr>
            <w:r>
              <w:rPr>
                <w:spacing w:val="-2"/>
              </w:rPr>
              <w:t>0.02</w:t>
            </w:r>
          </w:p>
        </w:tc>
      </w:tr>
      <w:tr w14:paraId="1C35F9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5D48D947">
            <w:pPr>
              <w:rPr>
                <w:rFonts w:ascii="Arial"/>
                <w:sz w:val="21"/>
              </w:rPr>
            </w:pPr>
          </w:p>
        </w:tc>
        <w:tc>
          <w:tcPr>
            <w:tcW w:w="637" w:type="dxa"/>
            <w:vMerge w:val="continue"/>
            <w:tcBorders>
              <w:top w:val="nil"/>
              <w:bottom w:val="nil"/>
            </w:tcBorders>
            <w:vAlign w:val="top"/>
          </w:tcPr>
          <w:p w14:paraId="5ECE3052">
            <w:pPr>
              <w:rPr>
                <w:rFonts w:ascii="Arial"/>
                <w:sz w:val="21"/>
              </w:rPr>
            </w:pPr>
          </w:p>
        </w:tc>
        <w:tc>
          <w:tcPr>
            <w:tcW w:w="2788" w:type="dxa"/>
            <w:gridSpan w:val="4"/>
            <w:vAlign w:val="top"/>
          </w:tcPr>
          <w:p w14:paraId="10707172">
            <w:pPr>
              <w:spacing w:before="34" w:line="198" w:lineRule="auto"/>
              <w:ind w:left="1129"/>
              <w:rPr>
                <w:rFonts w:ascii="仿宋" w:hAnsi="仿宋" w:eastAsia="仿宋" w:cs="仿宋"/>
                <w:sz w:val="18"/>
                <w:szCs w:val="18"/>
              </w:rPr>
            </w:pPr>
            <w:r>
              <w:rPr>
                <w:rFonts w:ascii="仿宋" w:hAnsi="仿宋" w:eastAsia="仿宋" w:cs="仿宋"/>
                <w:spacing w:val="-4"/>
                <w:sz w:val="18"/>
                <w:szCs w:val="18"/>
              </w:rPr>
              <w:t>路段五</w:t>
            </w:r>
          </w:p>
        </w:tc>
        <w:tc>
          <w:tcPr>
            <w:tcW w:w="1014" w:type="dxa"/>
            <w:gridSpan w:val="3"/>
            <w:vAlign w:val="top"/>
          </w:tcPr>
          <w:p w14:paraId="165AFFE6">
            <w:pPr>
              <w:pStyle w:val="6"/>
              <w:spacing w:before="64" w:line="188" w:lineRule="auto"/>
              <w:ind w:left="398"/>
            </w:pPr>
            <w:r>
              <w:rPr>
                <w:spacing w:val="-2"/>
              </w:rPr>
              <w:t>0.2</w:t>
            </w:r>
          </w:p>
        </w:tc>
        <w:tc>
          <w:tcPr>
            <w:tcW w:w="1013" w:type="dxa"/>
            <w:gridSpan w:val="2"/>
            <w:vAlign w:val="top"/>
          </w:tcPr>
          <w:p w14:paraId="780D5AC4">
            <w:pPr>
              <w:pStyle w:val="6"/>
              <w:spacing w:before="64" w:line="188" w:lineRule="auto"/>
              <w:ind w:left="354"/>
            </w:pPr>
            <w:r>
              <w:rPr>
                <w:spacing w:val="-2"/>
              </w:rPr>
              <w:t>0.08</w:t>
            </w:r>
          </w:p>
        </w:tc>
        <w:tc>
          <w:tcPr>
            <w:tcW w:w="1013" w:type="dxa"/>
            <w:gridSpan w:val="3"/>
            <w:vAlign w:val="top"/>
          </w:tcPr>
          <w:p w14:paraId="0646F7CB">
            <w:pPr>
              <w:pStyle w:val="6"/>
              <w:spacing w:before="64" w:line="188" w:lineRule="auto"/>
              <w:ind w:left="356"/>
            </w:pPr>
            <w:r>
              <w:rPr>
                <w:spacing w:val="-2"/>
              </w:rPr>
              <w:t>0.02</w:t>
            </w:r>
          </w:p>
        </w:tc>
        <w:tc>
          <w:tcPr>
            <w:tcW w:w="1175" w:type="dxa"/>
            <w:tcBorders>
              <w:right w:val="single" w:color="000000" w:sz="6" w:space="0"/>
            </w:tcBorders>
            <w:vAlign w:val="top"/>
          </w:tcPr>
          <w:p w14:paraId="1A4771F0">
            <w:pPr>
              <w:pStyle w:val="6"/>
              <w:spacing w:before="64" w:line="188" w:lineRule="auto"/>
              <w:ind w:left="425"/>
            </w:pPr>
            <w:r>
              <w:rPr>
                <w:spacing w:val="-2"/>
              </w:rPr>
              <w:t>0.02</w:t>
            </w:r>
          </w:p>
        </w:tc>
      </w:tr>
      <w:tr w14:paraId="4BAB69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1533443A">
            <w:pPr>
              <w:rPr>
                <w:rFonts w:ascii="Arial"/>
                <w:sz w:val="21"/>
              </w:rPr>
            </w:pPr>
          </w:p>
        </w:tc>
        <w:tc>
          <w:tcPr>
            <w:tcW w:w="637" w:type="dxa"/>
            <w:vMerge w:val="continue"/>
            <w:tcBorders>
              <w:top w:val="nil"/>
              <w:bottom w:val="nil"/>
            </w:tcBorders>
            <w:vAlign w:val="top"/>
          </w:tcPr>
          <w:p w14:paraId="37697C0C">
            <w:pPr>
              <w:rPr>
                <w:rFonts w:ascii="Arial"/>
                <w:sz w:val="21"/>
              </w:rPr>
            </w:pPr>
          </w:p>
        </w:tc>
        <w:tc>
          <w:tcPr>
            <w:tcW w:w="2788" w:type="dxa"/>
            <w:gridSpan w:val="4"/>
            <w:vAlign w:val="top"/>
          </w:tcPr>
          <w:p w14:paraId="6A5F60EF">
            <w:pPr>
              <w:spacing w:before="34" w:line="199" w:lineRule="auto"/>
              <w:ind w:left="1129"/>
              <w:rPr>
                <w:rFonts w:ascii="仿宋" w:hAnsi="仿宋" w:eastAsia="仿宋" w:cs="仿宋"/>
                <w:sz w:val="18"/>
                <w:szCs w:val="18"/>
              </w:rPr>
            </w:pPr>
            <w:r>
              <w:rPr>
                <w:rFonts w:ascii="仿宋" w:hAnsi="仿宋" w:eastAsia="仿宋" w:cs="仿宋"/>
                <w:spacing w:val="-4"/>
                <w:sz w:val="18"/>
                <w:szCs w:val="18"/>
              </w:rPr>
              <w:t>路段六</w:t>
            </w:r>
          </w:p>
        </w:tc>
        <w:tc>
          <w:tcPr>
            <w:tcW w:w="1014" w:type="dxa"/>
            <w:gridSpan w:val="3"/>
            <w:vAlign w:val="top"/>
          </w:tcPr>
          <w:p w14:paraId="457112B1">
            <w:pPr>
              <w:pStyle w:val="6"/>
              <w:spacing w:before="66" w:line="188" w:lineRule="auto"/>
              <w:ind w:left="398"/>
            </w:pPr>
            <w:r>
              <w:rPr>
                <w:spacing w:val="-2"/>
              </w:rPr>
              <w:t>0.2</w:t>
            </w:r>
          </w:p>
        </w:tc>
        <w:tc>
          <w:tcPr>
            <w:tcW w:w="1013" w:type="dxa"/>
            <w:gridSpan w:val="2"/>
            <w:vAlign w:val="top"/>
          </w:tcPr>
          <w:p w14:paraId="52A0E3F3">
            <w:pPr>
              <w:pStyle w:val="6"/>
              <w:spacing w:before="66" w:line="188" w:lineRule="auto"/>
              <w:ind w:left="354"/>
            </w:pPr>
            <w:r>
              <w:rPr>
                <w:spacing w:val="-2"/>
              </w:rPr>
              <w:t>0.18</w:t>
            </w:r>
          </w:p>
        </w:tc>
        <w:tc>
          <w:tcPr>
            <w:tcW w:w="1013" w:type="dxa"/>
            <w:gridSpan w:val="3"/>
            <w:vAlign w:val="top"/>
          </w:tcPr>
          <w:p w14:paraId="3F9D9CED">
            <w:pPr>
              <w:pStyle w:val="6"/>
              <w:spacing w:before="66" w:line="188" w:lineRule="auto"/>
              <w:ind w:left="356"/>
            </w:pPr>
            <w:r>
              <w:rPr>
                <w:spacing w:val="-2"/>
              </w:rPr>
              <w:t>0.04</w:t>
            </w:r>
          </w:p>
        </w:tc>
        <w:tc>
          <w:tcPr>
            <w:tcW w:w="1175" w:type="dxa"/>
            <w:tcBorders>
              <w:right w:val="single" w:color="000000" w:sz="6" w:space="0"/>
            </w:tcBorders>
            <w:vAlign w:val="top"/>
          </w:tcPr>
          <w:p w14:paraId="2AACE712">
            <w:pPr>
              <w:pStyle w:val="6"/>
              <w:spacing w:before="66" w:line="188" w:lineRule="auto"/>
              <w:ind w:left="425"/>
            </w:pPr>
            <w:r>
              <w:rPr>
                <w:spacing w:val="-2"/>
              </w:rPr>
              <w:t>0.04</w:t>
            </w:r>
          </w:p>
        </w:tc>
      </w:tr>
      <w:tr w14:paraId="597CC3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1B610E97">
            <w:pPr>
              <w:rPr>
                <w:rFonts w:ascii="Arial"/>
                <w:sz w:val="21"/>
              </w:rPr>
            </w:pPr>
          </w:p>
        </w:tc>
        <w:tc>
          <w:tcPr>
            <w:tcW w:w="637" w:type="dxa"/>
            <w:vMerge w:val="continue"/>
            <w:tcBorders>
              <w:top w:val="nil"/>
              <w:bottom w:val="nil"/>
            </w:tcBorders>
            <w:vAlign w:val="top"/>
          </w:tcPr>
          <w:p w14:paraId="4B0FA064">
            <w:pPr>
              <w:rPr>
                <w:rFonts w:ascii="Arial"/>
                <w:sz w:val="21"/>
              </w:rPr>
            </w:pPr>
          </w:p>
        </w:tc>
        <w:tc>
          <w:tcPr>
            <w:tcW w:w="2788" w:type="dxa"/>
            <w:gridSpan w:val="4"/>
            <w:vAlign w:val="top"/>
          </w:tcPr>
          <w:p w14:paraId="1D3FC1BC">
            <w:pPr>
              <w:spacing w:before="32" w:line="200" w:lineRule="auto"/>
              <w:ind w:left="1129"/>
              <w:rPr>
                <w:rFonts w:ascii="仿宋" w:hAnsi="仿宋" w:eastAsia="仿宋" w:cs="仿宋"/>
                <w:sz w:val="18"/>
                <w:szCs w:val="18"/>
              </w:rPr>
            </w:pPr>
            <w:r>
              <w:rPr>
                <w:rFonts w:ascii="仿宋" w:hAnsi="仿宋" w:eastAsia="仿宋" w:cs="仿宋"/>
                <w:spacing w:val="-4"/>
                <w:sz w:val="18"/>
                <w:szCs w:val="18"/>
              </w:rPr>
              <w:t>路段七</w:t>
            </w:r>
          </w:p>
        </w:tc>
        <w:tc>
          <w:tcPr>
            <w:tcW w:w="1014" w:type="dxa"/>
            <w:gridSpan w:val="3"/>
            <w:vAlign w:val="top"/>
          </w:tcPr>
          <w:p w14:paraId="566ACB00">
            <w:pPr>
              <w:pStyle w:val="6"/>
              <w:spacing w:before="64" w:line="188" w:lineRule="auto"/>
              <w:ind w:left="398"/>
            </w:pPr>
            <w:r>
              <w:rPr>
                <w:spacing w:val="-2"/>
              </w:rPr>
              <w:t>0.2</w:t>
            </w:r>
          </w:p>
        </w:tc>
        <w:tc>
          <w:tcPr>
            <w:tcW w:w="1013" w:type="dxa"/>
            <w:gridSpan w:val="2"/>
            <w:vAlign w:val="top"/>
          </w:tcPr>
          <w:p w14:paraId="4D5CA976">
            <w:pPr>
              <w:pStyle w:val="6"/>
              <w:spacing w:before="64" w:line="188" w:lineRule="auto"/>
              <w:ind w:left="354"/>
            </w:pPr>
            <w:r>
              <w:rPr>
                <w:spacing w:val="-7"/>
              </w:rPr>
              <w:t>0.</w:t>
            </w:r>
            <w:r>
              <w:rPr>
                <w:spacing w:val="-23"/>
              </w:rPr>
              <w:t xml:space="preserve"> </w:t>
            </w:r>
            <w:r>
              <w:rPr>
                <w:spacing w:val="-7"/>
              </w:rPr>
              <w:t>11</w:t>
            </w:r>
          </w:p>
        </w:tc>
        <w:tc>
          <w:tcPr>
            <w:tcW w:w="1013" w:type="dxa"/>
            <w:gridSpan w:val="3"/>
            <w:vAlign w:val="top"/>
          </w:tcPr>
          <w:p w14:paraId="2DE2E4B2">
            <w:pPr>
              <w:pStyle w:val="6"/>
              <w:spacing w:before="64" w:line="188" w:lineRule="auto"/>
              <w:ind w:left="356"/>
            </w:pPr>
            <w:r>
              <w:rPr>
                <w:spacing w:val="-2"/>
              </w:rPr>
              <w:t>0.02</w:t>
            </w:r>
          </w:p>
        </w:tc>
        <w:tc>
          <w:tcPr>
            <w:tcW w:w="1175" w:type="dxa"/>
            <w:tcBorders>
              <w:right w:val="single" w:color="000000" w:sz="6" w:space="0"/>
            </w:tcBorders>
            <w:vAlign w:val="top"/>
          </w:tcPr>
          <w:p w14:paraId="4D8069AC">
            <w:pPr>
              <w:pStyle w:val="6"/>
              <w:spacing w:before="64" w:line="188" w:lineRule="auto"/>
              <w:ind w:left="425"/>
            </w:pPr>
            <w:r>
              <w:rPr>
                <w:spacing w:val="-2"/>
              </w:rPr>
              <w:t>0.02</w:t>
            </w:r>
          </w:p>
        </w:tc>
      </w:tr>
      <w:tr w14:paraId="74FC33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7CA054F5">
            <w:pPr>
              <w:rPr>
                <w:rFonts w:ascii="Arial"/>
                <w:sz w:val="21"/>
              </w:rPr>
            </w:pPr>
          </w:p>
        </w:tc>
        <w:tc>
          <w:tcPr>
            <w:tcW w:w="637" w:type="dxa"/>
            <w:vMerge w:val="continue"/>
            <w:tcBorders>
              <w:top w:val="nil"/>
              <w:bottom w:val="nil"/>
            </w:tcBorders>
            <w:vAlign w:val="top"/>
          </w:tcPr>
          <w:p w14:paraId="65239DB3">
            <w:pPr>
              <w:rPr>
                <w:rFonts w:ascii="Arial"/>
                <w:sz w:val="21"/>
              </w:rPr>
            </w:pPr>
          </w:p>
        </w:tc>
        <w:tc>
          <w:tcPr>
            <w:tcW w:w="2788" w:type="dxa"/>
            <w:gridSpan w:val="4"/>
            <w:vAlign w:val="top"/>
          </w:tcPr>
          <w:p w14:paraId="71A561B6">
            <w:pPr>
              <w:spacing w:before="34" w:line="198" w:lineRule="auto"/>
              <w:ind w:left="678"/>
              <w:rPr>
                <w:rFonts w:ascii="仿宋" w:hAnsi="仿宋" w:eastAsia="仿宋" w:cs="仿宋"/>
                <w:sz w:val="18"/>
                <w:szCs w:val="18"/>
              </w:rPr>
            </w:pPr>
            <w:r>
              <w:rPr>
                <w:rFonts w:ascii="仿宋" w:hAnsi="仿宋" w:eastAsia="仿宋" w:cs="仿宋"/>
                <w:spacing w:val="-2"/>
                <w:sz w:val="18"/>
                <w:szCs w:val="18"/>
              </w:rPr>
              <w:t>双山梁村通社公路</w:t>
            </w:r>
          </w:p>
        </w:tc>
        <w:tc>
          <w:tcPr>
            <w:tcW w:w="1014" w:type="dxa"/>
            <w:gridSpan w:val="3"/>
            <w:vAlign w:val="top"/>
          </w:tcPr>
          <w:p w14:paraId="52E3A7B7">
            <w:pPr>
              <w:pStyle w:val="6"/>
              <w:spacing w:before="65" w:line="188" w:lineRule="auto"/>
              <w:ind w:left="398"/>
            </w:pPr>
            <w:r>
              <w:rPr>
                <w:spacing w:val="-2"/>
              </w:rPr>
              <w:t>0.2</w:t>
            </w:r>
          </w:p>
        </w:tc>
        <w:tc>
          <w:tcPr>
            <w:tcW w:w="1013" w:type="dxa"/>
            <w:gridSpan w:val="2"/>
            <w:vAlign w:val="top"/>
          </w:tcPr>
          <w:p w14:paraId="783530BD">
            <w:pPr>
              <w:pStyle w:val="6"/>
              <w:spacing w:before="65" w:line="188" w:lineRule="auto"/>
              <w:ind w:left="354"/>
            </w:pPr>
            <w:r>
              <w:rPr>
                <w:spacing w:val="-2"/>
              </w:rPr>
              <w:t>0.07</w:t>
            </w:r>
          </w:p>
        </w:tc>
        <w:tc>
          <w:tcPr>
            <w:tcW w:w="1013" w:type="dxa"/>
            <w:gridSpan w:val="3"/>
            <w:vAlign w:val="top"/>
          </w:tcPr>
          <w:p w14:paraId="17893617">
            <w:pPr>
              <w:pStyle w:val="6"/>
              <w:spacing w:before="65" w:line="188" w:lineRule="auto"/>
              <w:ind w:left="356"/>
            </w:pPr>
            <w:r>
              <w:rPr>
                <w:spacing w:val="-2"/>
              </w:rPr>
              <w:t>0.01</w:t>
            </w:r>
          </w:p>
        </w:tc>
        <w:tc>
          <w:tcPr>
            <w:tcW w:w="1175" w:type="dxa"/>
            <w:tcBorders>
              <w:right w:val="single" w:color="000000" w:sz="6" w:space="0"/>
            </w:tcBorders>
            <w:vAlign w:val="top"/>
          </w:tcPr>
          <w:p w14:paraId="1F075DF1">
            <w:pPr>
              <w:pStyle w:val="6"/>
              <w:spacing w:before="65" w:line="188" w:lineRule="auto"/>
              <w:ind w:left="425"/>
            </w:pPr>
            <w:r>
              <w:rPr>
                <w:spacing w:val="-2"/>
              </w:rPr>
              <w:t>0.01</w:t>
            </w:r>
          </w:p>
        </w:tc>
      </w:tr>
      <w:tr w14:paraId="733E0A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54AA5760">
            <w:pPr>
              <w:rPr>
                <w:rFonts w:ascii="Arial"/>
                <w:sz w:val="21"/>
              </w:rPr>
            </w:pPr>
          </w:p>
        </w:tc>
        <w:tc>
          <w:tcPr>
            <w:tcW w:w="637" w:type="dxa"/>
            <w:vMerge w:val="continue"/>
            <w:tcBorders>
              <w:top w:val="nil"/>
              <w:bottom w:val="nil"/>
            </w:tcBorders>
            <w:vAlign w:val="top"/>
          </w:tcPr>
          <w:p w14:paraId="15C5CB3C">
            <w:pPr>
              <w:rPr>
                <w:rFonts w:ascii="Arial"/>
                <w:sz w:val="21"/>
              </w:rPr>
            </w:pPr>
          </w:p>
        </w:tc>
        <w:tc>
          <w:tcPr>
            <w:tcW w:w="2788" w:type="dxa"/>
            <w:gridSpan w:val="4"/>
            <w:vAlign w:val="top"/>
          </w:tcPr>
          <w:p w14:paraId="3ED2A871">
            <w:pPr>
              <w:pStyle w:val="6"/>
              <w:spacing w:before="34" w:line="222" w:lineRule="auto"/>
              <w:ind w:left="115"/>
              <w:rPr>
                <w:rFonts w:ascii="仿宋" w:hAnsi="仿宋" w:eastAsia="仿宋" w:cs="仿宋"/>
              </w:rPr>
            </w:pPr>
            <w:r>
              <w:rPr>
                <w:rFonts w:ascii="仿宋" w:hAnsi="仿宋" w:eastAsia="仿宋" w:cs="仿宋"/>
                <w:spacing w:val="-1"/>
              </w:rPr>
              <w:t>准格尔旗</w:t>
            </w:r>
            <w:r>
              <w:rPr>
                <w:spacing w:val="-1"/>
              </w:rPr>
              <w:t xml:space="preserve">2025 </w:t>
            </w:r>
            <w:r>
              <w:rPr>
                <w:rFonts w:ascii="仿宋" w:hAnsi="仿宋" w:eastAsia="仿宋" w:cs="仿宋"/>
                <w:spacing w:val="-1"/>
              </w:rPr>
              <w:t>年沙圪堵镇四道包</w:t>
            </w:r>
          </w:p>
          <w:p w14:paraId="528887AE">
            <w:pPr>
              <w:spacing w:before="15" w:line="199" w:lineRule="auto"/>
              <w:ind w:left="1309"/>
              <w:rPr>
                <w:rFonts w:ascii="仿宋" w:hAnsi="仿宋" w:eastAsia="仿宋" w:cs="仿宋"/>
                <w:sz w:val="18"/>
                <w:szCs w:val="18"/>
              </w:rPr>
            </w:pPr>
            <w:r>
              <w:rPr>
                <w:rFonts w:ascii="仿宋" w:hAnsi="仿宋" w:eastAsia="仿宋" w:cs="仿宋"/>
                <w:sz w:val="18"/>
                <w:szCs w:val="18"/>
              </w:rPr>
              <w:t>村</w:t>
            </w:r>
          </w:p>
        </w:tc>
        <w:tc>
          <w:tcPr>
            <w:tcW w:w="1014" w:type="dxa"/>
            <w:gridSpan w:val="3"/>
            <w:vAlign w:val="top"/>
          </w:tcPr>
          <w:p w14:paraId="13E07258">
            <w:pPr>
              <w:rPr>
                <w:rFonts w:ascii="Arial"/>
                <w:sz w:val="21"/>
              </w:rPr>
            </w:pPr>
          </w:p>
        </w:tc>
        <w:tc>
          <w:tcPr>
            <w:tcW w:w="1013" w:type="dxa"/>
            <w:gridSpan w:val="2"/>
            <w:vAlign w:val="top"/>
          </w:tcPr>
          <w:p w14:paraId="4DE0A1BD">
            <w:pPr>
              <w:pStyle w:val="6"/>
              <w:spacing w:before="180" w:line="188" w:lineRule="auto"/>
              <w:ind w:left="354"/>
            </w:pPr>
            <w:r>
              <w:rPr>
                <w:spacing w:val="-2"/>
              </w:rPr>
              <w:t>0.85</w:t>
            </w:r>
          </w:p>
        </w:tc>
        <w:tc>
          <w:tcPr>
            <w:tcW w:w="1013" w:type="dxa"/>
            <w:gridSpan w:val="3"/>
            <w:vAlign w:val="top"/>
          </w:tcPr>
          <w:p w14:paraId="7BC12C45">
            <w:pPr>
              <w:pStyle w:val="6"/>
              <w:spacing w:before="180" w:line="188" w:lineRule="auto"/>
              <w:ind w:left="356"/>
            </w:pPr>
            <w:r>
              <w:rPr>
                <w:spacing w:val="-2"/>
              </w:rPr>
              <w:t>0.17</w:t>
            </w:r>
          </w:p>
        </w:tc>
        <w:tc>
          <w:tcPr>
            <w:tcW w:w="1175" w:type="dxa"/>
            <w:tcBorders>
              <w:right w:val="single" w:color="000000" w:sz="6" w:space="0"/>
            </w:tcBorders>
            <w:vAlign w:val="top"/>
          </w:tcPr>
          <w:p w14:paraId="5E667B32">
            <w:pPr>
              <w:pStyle w:val="6"/>
              <w:spacing w:before="180" w:line="188" w:lineRule="auto"/>
              <w:ind w:left="425"/>
            </w:pPr>
            <w:r>
              <w:rPr>
                <w:spacing w:val="-2"/>
              </w:rPr>
              <w:t>0.17</w:t>
            </w:r>
          </w:p>
        </w:tc>
      </w:tr>
      <w:tr w14:paraId="510A14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0A248EAE">
            <w:pPr>
              <w:rPr>
                <w:rFonts w:ascii="Arial"/>
                <w:sz w:val="21"/>
              </w:rPr>
            </w:pPr>
          </w:p>
        </w:tc>
        <w:tc>
          <w:tcPr>
            <w:tcW w:w="637" w:type="dxa"/>
            <w:vMerge w:val="continue"/>
            <w:tcBorders>
              <w:top w:val="nil"/>
              <w:bottom w:val="nil"/>
            </w:tcBorders>
            <w:vAlign w:val="top"/>
          </w:tcPr>
          <w:p w14:paraId="3C1A3C0B">
            <w:pPr>
              <w:rPr>
                <w:rFonts w:ascii="Arial"/>
                <w:sz w:val="21"/>
              </w:rPr>
            </w:pPr>
          </w:p>
        </w:tc>
        <w:tc>
          <w:tcPr>
            <w:tcW w:w="2788" w:type="dxa"/>
            <w:gridSpan w:val="4"/>
            <w:vAlign w:val="top"/>
          </w:tcPr>
          <w:p w14:paraId="1E03CD19">
            <w:pPr>
              <w:spacing w:before="35" w:line="198" w:lineRule="auto"/>
              <w:ind w:left="431"/>
              <w:rPr>
                <w:rFonts w:ascii="仿宋" w:hAnsi="仿宋" w:eastAsia="仿宋" w:cs="仿宋"/>
                <w:sz w:val="18"/>
                <w:szCs w:val="18"/>
              </w:rPr>
            </w:pPr>
            <w:r>
              <w:rPr>
                <w:rFonts w:ascii="仿宋" w:hAnsi="仿宋" w:eastAsia="仿宋" w:cs="仿宋"/>
                <w:spacing w:val="-4"/>
                <w:sz w:val="18"/>
                <w:szCs w:val="18"/>
              </w:rPr>
              <w:t>四道包至淡家梁至杨家塔</w:t>
            </w:r>
          </w:p>
        </w:tc>
        <w:tc>
          <w:tcPr>
            <w:tcW w:w="1014" w:type="dxa"/>
            <w:gridSpan w:val="3"/>
            <w:vAlign w:val="top"/>
          </w:tcPr>
          <w:p w14:paraId="47AEE0CC">
            <w:pPr>
              <w:pStyle w:val="6"/>
              <w:spacing w:before="66" w:line="188" w:lineRule="auto"/>
              <w:ind w:left="398"/>
            </w:pPr>
            <w:r>
              <w:rPr>
                <w:spacing w:val="-2"/>
              </w:rPr>
              <w:t>0.2</w:t>
            </w:r>
          </w:p>
        </w:tc>
        <w:tc>
          <w:tcPr>
            <w:tcW w:w="1013" w:type="dxa"/>
            <w:gridSpan w:val="2"/>
            <w:vAlign w:val="top"/>
          </w:tcPr>
          <w:p w14:paraId="0DDE006F">
            <w:pPr>
              <w:pStyle w:val="6"/>
              <w:spacing w:before="66" w:line="188" w:lineRule="auto"/>
              <w:ind w:left="354"/>
            </w:pPr>
            <w:r>
              <w:rPr>
                <w:spacing w:val="-2"/>
              </w:rPr>
              <w:t>0.85</w:t>
            </w:r>
          </w:p>
        </w:tc>
        <w:tc>
          <w:tcPr>
            <w:tcW w:w="1013" w:type="dxa"/>
            <w:gridSpan w:val="3"/>
            <w:vAlign w:val="top"/>
          </w:tcPr>
          <w:p w14:paraId="79775506">
            <w:pPr>
              <w:pStyle w:val="6"/>
              <w:spacing w:before="66" w:line="188" w:lineRule="auto"/>
              <w:ind w:left="356"/>
            </w:pPr>
            <w:r>
              <w:rPr>
                <w:spacing w:val="-2"/>
              </w:rPr>
              <w:t>0.17</w:t>
            </w:r>
          </w:p>
        </w:tc>
        <w:tc>
          <w:tcPr>
            <w:tcW w:w="1175" w:type="dxa"/>
            <w:tcBorders>
              <w:right w:val="single" w:color="000000" w:sz="6" w:space="0"/>
            </w:tcBorders>
            <w:vAlign w:val="top"/>
          </w:tcPr>
          <w:p w14:paraId="7D9C3DE0">
            <w:pPr>
              <w:pStyle w:val="6"/>
              <w:spacing w:before="66" w:line="188" w:lineRule="auto"/>
              <w:ind w:left="425"/>
            </w:pPr>
            <w:r>
              <w:rPr>
                <w:spacing w:val="-2"/>
              </w:rPr>
              <w:t>0.17</w:t>
            </w:r>
          </w:p>
        </w:tc>
      </w:tr>
      <w:tr w14:paraId="7689C1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16F40F1C">
            <w:pPr>
              <w:rPr>
                <w:rFonts w:ascii="Arial"/>
                <w:sz w:val="21"/>
              </w:rPr>
            </w:pPr>
          </w:p>
        </w:tc>
        <w:tc>
          <w:tcPr>
            <w:tcW w:w="637" w:type="dxa"/>
            <w:vMerge w:val="continue"/>
            <w:tcBorders>
              <w:top w:val="nil"/>
              <w:bottom w:val="nil"/>
            </w:tcBorders>
            <w:vAlign w:val="top"/>
          </w:tcPr>
          <w:p w14:paraId="1CC32437">
            <w:pPr>
              <w:rPr>
                <w:rFonts w:ascii="Arial"/>
                <w:sz w:val="21"/>
              </w:rPr>
            </w:pPr>
          </w:p>
        </w:tc>
        <w:tc>
          <w:tcPr>
            <w:tcW w:w="2788" w:type="dxa"/>
            <w:gridSpan w:val="4"/>
            <w:vAlign w:val="top"/>
          </w:tcPr>
          <w:p w14:paraId="3A0955D9">
            <w:pPr>
              <w:pStyle w:val="6"/>
              <w:spacing w:before="33" w:line="219" w:lineRule="auto"/>
              <w:ind w:left="498" w:right="104" w:hanging="383"/>
              <w:rPr>
                <w:rFonts w:ascii="仿宋" w:hAnsi="仿宋" w:eastAsia="仿宋" w:cs="仿宋"/>
              </w:rPr>
            </w:pPr>
            <w:r>
              <w:rPr>
                <w:rFonts w:ascii="仿宋" w:hAnsi="仿宋" w:eastAsia="仿宋" w:cs="仿宋"/>
                <w:spacing w:val="-1"/>
              </w:rPr>
              <w:t>准格尔旗</w:t>
            </w:r>
            <w:r>
              <w:rPr>
                <w:spacing w:val="-1"/>
              </w:rPr>
              <w:t xml:space="preserve">2025 </w:t>
            </w:r>
            <w:r>
              <w:rPr>
                <w:rFonts w:ascii="仿宋" w:hAnsi="仿宋" w:eastAsia="仿宋" w:cs="仿宋"/>
                <w:spacing w:val="-1"/>
              </w:rPr>
              <w:t>年沙圪堵镇乌拉素</w:t>
            </w:r>
            <w:r>
              <w:rPr>
                <w:rFonts w:ascii="仿宋" w:hAnsi="仿宋" w:eastAsia="仿宋" w:cs="仿宋"/>
                <w:spacing w:val="-2"/>
              </w:rPr>
              <w:t>村自然村通硬化路工程</w:t>
            </w:r>
          </w:p>
        </w:tc>
        <w:tc>
          <w:tcPr>
            <w:tcW w:w="1014" w:type="dxa"/>
            <w:gridSpan w:val="3"/>
            <w:vAlign w:val="top"/>
          </w:tcPr>
          <w:p w14:paraId="052AB02F">
            <w:pPr>
              <w:rPr>
                <w:rFonts w:ascii="Arial"/>
                <w:sz w:val="21"/>
              </w:rPr>
            </w:pPr>
          </w:p>
        </w:tc>
        <w:tc>
          <w:tcPr>
            <w:tcW w:w="1013" w:type="dxa"/>
            <w:gridSpan w:val="2"/>
            <w:vAlign w:val="top"/>
          </w:tcPr>
          <w:p w14:paraId="1165AACC">
            <w:pPr>
              <w:pStyle w:val="6"/>
              <w:spacing w:before="180" w:line="188" w:lineRule="auto"/>
              <w:ind w:left="354"/>
            </w:pPr>
            <w:r>
              <w:rPr>
                <w:spacing w:val="-2"/>
              </w:rPr>
              <w:t>0.55</w:t>
            </w:r>
          </w:p>
        </w:tc>
        <w:tc>
          <w:tcPr>
            <w:tcW w:w="1013" w:type="dxa"/>
            <w:gridSpan w:val="3"/>
            <w:vAlign w:val="top"/>
          </w:tcPr>
          <w:p w14:paraId="057039BB">
            <w:pPr>
              <w:pStyle w:val="6"/>
              <w:spacing w:before="180" w:line="188" w:lineRule="auto"/>
              <w:ind w:left="356"/>
            </w:pPr>
            <w:r>
              <w:rPr>
                <w:spacing w:val="-7"/>
              </w:rPr>
              <w:t>0.</w:t>
            </w:r>
            <w:r>
              <w:rPr>
                <w:spacing w:val="-23"/>
              </w:rPr>
              <w:t xml:space="preserve"> </w:t>
            </w:r>
            <w:r>
              <w:rPr>
                <w:spacing w:val="-7"/>
              </w:rPr>
              <w:t>11</w:t>
            </w:r>
          </w:p>
        </w:tc>
        <w:tc>
          <w:tcPr>
            <w:tcW w:w="1175" w:type="dxa"/>
            <w:tcBorders>
              <w:right w:val="single" w:color="000000" w:sz="6" w:space="0"/>
            </w:tcBorders>
            <w:vAlign w:val="top"/>
          </w:tcPr>
          <w:p w14:paraId="7D5A2792">
            <w:pPr>
              <w:pStyle w:val="6"/>
              <w:spacing w:before="180" w:line="188" w:lineRule="auto"/>
              <w:ind w:left="425"/>
            </w:pPr>
            <w:r>
              <w:rPr>
                <w:spacing w:val="-7"/>
              </w:rPr>
              <w:t>0.</w:t>
            </w:r>
            <w:r>
              <w:rPr>
                <w:spacing w:val="-23"/>
              </w:rPr>
              <w:t xml:space="preserve"> </w:t>
            </w:r>
            <w:r>
              <w:rPr>
                <w:spacing w:val="-7"/>
              </w:rPr>
              <w:t>11</w:t>
            </w:r>
          </w:p>
        </w:tc>
      </w:tr>
      <w:tr w14:paraId="1690E1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7E4D133B">
            <w:pPr>
              <w:rPr>
                <w:rFonts w:ascii="Arial"/>
                <w:sz w:val="21"/>
              </w:rPr>
            </w:pPr>
          </w:p>
        </w:tc>
        <w:tc>
          <w:tcPr>
            <w:tcW w:w="637" w:type="dxa"/>
            <w:vMerge w:val="continue"/>
            <w:tcBorders>
              <w:top w:val="nil"/>
            </w:tcBorders>
            <w:vAlign w:val="top"/>
          </w:tcPr>
          <w:p w14:paraId="09377C6E">
            <w:pPr>
              <w:rPr>
                <w:rFonts w:ascii="Arial"/>
                <w:sz w:val="21"/>
              </w:rPr>
            </w:pPr>
          </w:p>
        </w:tc>
        <w:tc>
          <w:tcPr>
            <w:tcW w:w="2788" w:type="dxa"/>
            <w:gridSpan w:val="4"/>
            <w:vAlign w:val="top"/>
          </w:tcPr>
          <w:p w14:paraId="2DC7CA96">
            <w:pPr>
              <w:spacing w:before="35" w:line="197" w:lineRule="auto"/>
              <w:ind w:left="148"/>
              <w:rPr>
                <w:rFonts w:ascii="仿宋" w:hAnsi="仿宋" w:eastAsia="仿宋" w:cs="仿宋"/>
                <w:sz w:val="18"/>
                <w:szCs w:val="18"/>
              </w:rPr>
            </w:pPr>
            <w:r>
              <w:rPr>
                <w:rFonts w:ascii="仿宋" w:hAnsi="仿宋" w:eastAsia="仿宋" w:cs="仿宋"/>
                <w:spacing w:val="-2"/>
                <w:sz w:val="18"/>
                <w:szCs w:val="18"/>
              </w:rPr>
              <w:t>乌拉素村二道壕大坝至秦家塔社</w:t>
            </w:r>
          </w:p>
        </w:tc>
        <w:tc>
          <w:tcPr>
            <w:tcW w:w="1014" w:type="dxa"/>
            <w:gridSpan w:val="3"/>
            <w:vAlign w:val="top"/>
          </w:tcPr>
          <w:p w14:paraId="40177E39">
            <w:pPr>
              <w:pStyle w:val="6"/>
              <w:spacing w:before="66" w:line="187" w:lineRule="auto"/>
              <w:ind w:left="398"/>
            </w:pPr>
            <w:r>
              <w:rPr>
                <w:spacing w:val="-2"/>
              </w:rPr>
              <w:t>0.2</w:t>
            </w:r>
          </w:p>
        </w:tc>
        <w:tc>
          <w:tcPr>
            <w:tcW w:w="1013" w:type="dxa"/>
            <w:gridSpan w:val="2"/>
            <w:vAlign w:val="top"/>
          </w:tcPr>
          <w:p w14:paraId="305FB8E6">
            <w:pPr>
              <w:pStyle w:val="6"/>
              <w:spacing w:before="66" w:line="187" w:lineRule="auto"/>
              <w:ind w:left="354"/>
            </w:pPr>
            <w:r>
              <w:rPr>
                <w:spacing w:val="-2"/>
              </w:rPr>
              <w:t>0.55</w:t>
            </w:r>
          </w:p>
        </w:tc>
        <w:tc>
          <w:tcPr>
            <w:tcW w:w="1013" w:type="dxa"/>
            <w:gridSpan w:val="3"/>
            <w:vAlign w:val="top"/>
          </w:tcPr>
          <w:p w14:paraId="0EAF2035">
            <w:pPr>
              <w:pStyle w:val="6"/>
              <w:spacing w:before="66" w:line="187" w:lineRule="auto"/>
              <w:ind w:left="356"/>
            </w:pPr>
            <w:r>
              <w:rPr>
                <w:spacing w:val="-7"/>
              </w:rPr>
              <w:t>0.</w:t>
            </w:r>
            <w:r>
              <w:rPr>
                <w:spacing w:val="-23"/>
              </w:rPr>
              <w:t xml:space="preserve"> </w:t>
            </w:r>
            <w:r>
              <w:rPr>
                <w:spacing w:val="-7"/>
              </w:rPr>
              <w:t>11</w:t>
            </w:r>
          </w:p>
        </w:tc>
        <w:tc>
          <w:tcPr>
            <w:tcW w:w="1175" w:type="dxa"/>
            <w:tcBorders>
              <w:right w:val="single" w:color="000000" w:sz="6" w:space="0"/>
            </w:tcBorders>
            <w:vAlign w:val="top"/>
          </w:tcPr>
          <w:p w14:paraId="4BA0F1DE">
            <w:pPr>
              <w:pStyle w:val="6"/>
              <w:spacing w:before="66" w:line="187" w:lineRule="auto"/>
              <w:ind w:left="425"/>
            </w:pPr>
            <w:r>
              <w:rPr>
                <w:spacing w:val="-7"/>
              </w:rPr>
              <w:t>0.</w:t>
            </w:r>
            <w:r>
              <w:rPr>
                <w:spacing w:val="-23"/>
              </w:rPr>
              <w:t xml:space="preserve"> </w:t>
            </w:r>
            <w:r>
              <w:rPr>
                <w:spacing w:val="-7"/>
              </w:rPr>
              <w:t>11</w:t>
            </w:r>
          </w:p>
        </w:tc>
      </w:tr>
      <w:tr w14:paraId="71DF47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4D82093B">
            <w:pPr>
              <w:rPr>
                <w:rFonts w:ascii="Arial"/>
                <w:sz w:val="21"/>
              </w:rPr>
            </w:pPr>
          </w:p>
        </w:tc>
        <w:tc>
          <w:tcPr>
            <w:tcW w:w="637" w:type="dxa"/>
            <w:vMerge w:val="restart"/>
            <w:tcBorders>
              <w:bottom w:val="nil"/>
            </w:tcBorders>
            <w:vAlign w:val="top"/>
          </w:tcPr>
          <w:p w14:paraId="23D5E8F7">
            <w:pPr>
              <w:spacing w:line="257" w:lineRule="auto"/>
              <w:rPr>
                <w:rFonts w:ascii="Arial"/>
                <w:sz w:val="21"/>
              </w:rPr>
            </w:pPr>
          </w:p>
          <w:p w14:paraId="2AB288C9">
            <w:pPr>
              <w:spacing w:line="257" w:lineRule="auto"/>
              <w:rPr>
                <w:rFonts w:ascii="Arial"/>
                <w:sz w:val="21"/>
              </w:rPr>
            </w:pPr>
          </w:p>
          <w:p w14:paraId="3F60A595">
            <w:pPr>
              <w:spacing w:line="257" w:lineRule="auto"/>
              <w:rPr>
                <w:rFonts w:ascii="Arial"/>
                <w:sz w:val="21"/>
              </w:rPr>
            </w:pPr>
          </w:p>
          <w:p w14:paraId="40F4B7C7">
            <w:pPr>
              <w:spacing w:line="257" w:lineRule="auto"/>
              <w:rPr>
                <w:rFonts w:ascii="Arial"/>
                <w:sz w:val="21"/>
              </w:rPr>
            </w:pPr>
          </w:p>
          <w:p w14:paraId="7197C24E">
            <w:pPr>
              <w:spacing w:line="257" w:lineRule="auto"/>
              <w:rPr>
                <w:rFonts w:ascii="Arial"/>
                <w:sz w:val="21"/>
              </w:rPr>
            </w:pPr>
          </w:p>
          <w:p w14:paraId="7F16B1DF">
            <w:pPr>
              <w:spacing w:line="258" w:lineRule="auto"/>
              <w:rPr>
                <w:rFonts w:ascii="Arial"/>
                <w:sz w:val="21"/>
              </w:rPr>
            </w:pPr>
          </w:p>
          <w:p w14:paraId="0245D1C3">
            <w:pPr>
              <w:spacing w:before="59" w:line="239" w:lineRule="auto"/>
              <w:ind w:left="137" w:right="146" w:firstLine="2"/>
              <w:jc w:val="both"/>
              <w:rPr>
                <w:rFonts w:ascii="仿宋" w:hAnsi="仿宋" w:eastAsia="仿宋" w:cs="仿宋"/>
                <w:sz w:val="18"/>
                <w:szCs w:val="18"/>
              </w:rPr>
            </w:pPr>
            <w:r>
              <w:rPr>
                <w:rFonts w:ascii="仿宋" w:hAnsi="仿宋" w:eastAsia="仿宋" w:cs="仿宋"/>
                <w:spacing w:val="-8"/>
                <w:sz w:val="18"/>
                <w:szCs w:val="18"/>
              </w:rPr>
              <w:t>覆沙</w:t>
            </w:r>
            <w:r>
              <w:rPr>
                <w:rFonts w:ascii="仿宋" w:hAnsi="仿宋" w:eastAsia="仿宋" w:cs="仿宋"/>
                <w:spacing w:val="-6"/>
                <w:sz w:val="18"/>
                <w:szCs w:val="18"/>
              </w:rPr>
              <w:t>区路基工程区</w:t>
            </w:r>
          </w:p>
        </w:tc>
        <w:tc>
          <w:tcPr>
            <w:tcW w:w="2788" w:type="dxa"/>
            <w:gridSpan w:val="4"/>
            <w:vAlign w:val="top"/>
          </w:tcPr>
          <w:p w14:paraId="1B755E1C">
            <w:pPr>
              <w:pStyle w:val="6"/>
              <w:spacing w:before="37" w:line="217" w:lineRule="auto"/>
              <w:ind w:left="498" w:right="104" w:hanging="383"/>
              <w:rPr>
                <w:rFonts w:ascii="仿宋" w:hAnsi="仿宋" w:eastAsia="仿宋" w:cs="仿宋"/>
              </w:rPr>
            </w:pPr>
            <w:r>
              <w:rPr>
                <w:rFonts w:ascii="仿宋" w:hAnsi="仿宋" w:eastAsia="仿宋" w:cs="仿宋"/>
                <w:spacing w:val="-1"/>
              </w:rPr>
              <w:t>准格尔旗</w:t>
            </w:r>
            <w:r>
              <w:rPr>
                <w:spacing w:val="-1"/>
              </w:rPr>
              <w:t xml:space="preserve">2025 </w:t>
            </w:r>
            <w:r>
              <w:rPr>
                <w:rFonts w:ascii="仿宋" w:hAnsi="仿宋" w:eastAsia="仿宋" w:cs="仿宋"/>
                <w:spacing w:val="-1"/>
              </w:rPr>
              <w:t>年十二连城乡柴登</w:t>
            </w:r>
            <w:r>
              <w:rPr>
                <w:rFonts w:ascii="仿宋" w:hAnsi="仿宋" w:eastAsia="仿宋" w:cs="仿宋"/>
                <w:spacing w:val="-2"/>
              </w:rPr>
              <w:t>村自然村通硬化路工程</w:t>
            </w:r>
          </w:p>
        </w:tc>
        <w:tc>
          <w:tcPr>
            <w:tcW w:w="1014" w:type="dxa"/>
            <w:gridSpan w:val="3"/>
            <w:vAlign w:val="top"/>
          </w:tcPr>
          <w:p w14:paraId="7B661687">
            <w:pPr>
              <w:rPr>
                <w:rFonts w:ascii="Arial"/>
                <w:sz w:val="21"/>
              </w:rPr>
            </w:pPr>
          </w:p>
        </w:tc>
        <w:tc>
          <w:tcPr>
            <w:tcW w:w="1013" w:type="dxa"/>
            <w:gridSpan w:val="2"/>
            <w:vAlign w:val="top"/>
          </w:tcPr>
          <w:p w14:paraId="08A64BF0">
            <w:pPr>
              <w:pStyle w:val="6"/>
              <w:spacing w:before="184" w:line="188" w:lineRule="auto"/>
              <w:ind w:left="354"/>
            </w:pPr>
            <w:r>
              <w:rPr>
                <w:spacing w:val="-2"/>
              </w:rPr>
              <w:t>0.71</w:t>
            </w:r>
          </w:p>
        </w:tc>
        <w:tc>
          <w:tcPr>
            <w:tcW w:w="1013" w:type="dxa"/>
            <w:gridSpan w:val="3"/>
            <w:vAlign w:val="top"/>
          </w:tcPr>
          <w:p w14:paraId="2BB3FBC8">
            <w:pPr>
              <w:pStyle w:val="6"/>
              <w:spacing w:before="184" w:line="188" w:lineRule="auto"/>
              <w:ind w:left="356"/>
            </w:pPr>
            <w:r>
              <w:rPr>
                <w:spacing w:val="-7"/>
              </w:rPr>
              <w:t>0.</w:t>
            </w:r>
            <w:r>
              <w:rPr>
                <w:spacing w:val="-23"/>
              </w:rPr>
              <w:t xml:space="preserve"> </w:t>
            </w:r>
            <w:r>
              <w:rPr>
                <w:spacing w:val="-7"/>
              </w:rPr>
              <w:t>14</w:t>
            </w:r>
          </w:p>
        </w:tc>
        <w:tc>
          <w:tcPr>
            <w:tcW w:w="1175" w:type="dxa"/>
            <w:tcBorders>
              <w:right w:val="single" w:color="000000" w:sz="6" w:space="0"/>
            </w:tcBorders>
            <w:vAlign w:val="top"/>
          </w:tcPr>
          <w:p w14:paraId="164AF1D2">
            <w:pPr>
              <w:pStyle w:val="6"/>
              <w:spacing w:before="184" w:line="188" w:lineRule="auto"/>
              <w:ind w:left="425"/>
            </w:pPr>
            <w:r>
              <w:rPr>
                <w:spacing w:val="-7"/>
              </w:rPr>
              <w:t>0.</w:t>
            </w:r>
            <w:r>
              <w:rPr>
                <w:spacing w:val="-23"/>
              </w:rPr>
              <w:t xml:space="preserve"> </w:t>
            </w:r>
            <w:r>
              <w:rPr>
                <w:spacing w:val="-7"/>
              </w:rPr>
              <w:t>14</w:t>
            </w:r>
          </w:p>
        </w:tc>
      </w:tr>
      <w:tr w14:paraId="32E16D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09CC6EEE">
            <w:pPr>
              <w:rPr>
                <w:rFonts w:ascii="Arial"/>
                <w:sz w:val="21"/>
              </w:rPr>
            </w:pPr>
          </w:p>
        </w:tc>
        <w:tc>
          <w:tcPr>
            <w:tcW w:w="637" w:type="dxa"/>
            <w:vMerge w:val="continue"/>
            <w:tcBorders>
              <w:top w:val="nil"/>
              <w:bottom w:val="nil"/>
            </w:tcBorders>
            <w:vAlign w:val="top"/>
          </w:tcPr>
          <w:p w14:paraId="30E56070">
            <w:pPr>
              <w:rPr>
                <w:rFonts w:ascii="Arial"/>
                <w:sz w:val="21"/>
              </w:rPr>
            </w:pPr>
          </w:p>
        </w:tc>
        <w:tc>
          <w:tcPr>
            <w:tcW w:w="2788" w:type="dxa"/>
            <w:gridSpan w:val="4"/>
            <w:vAlign w:val="top"/>
          </w:tcPr>
          <w:p w14:paraId="2398DA91">
            <w:pPr>
              <w:spacing w:before="37" w:line="222" w:lineRule="auto"/>
              <w:ind w:left="139"/>
              <w:rPr>
                <w:rFonts w:ascii="仿宋" w:hAnsi="仿宋" w:eastAsia="仿宋" w:cs="仿宋"/>
                <w:sz w:val="18"/>
                <w:szCs w:val="18"/>
              </w:rPr>
            </w:pPr>
            <w:r>
              <w:rPr>
                <w:rFonts w:ascii="仿宋" w:hAnsi="仿宋" w:eastAsia="仿宋" w:cs="仿宋"/>
                <w:spacing w:val="-1"/>
                <w:sz w:val="18"/>
                <w:szCs w:val="18"/>
              </w:rPr>
              <w:t>沿黄巨合滩出口东至天顺圪梁通</w:t>
            </w:r>
          </w:p>
          <w:p w14:paraId="7C1EADCD">
            <w:pPr>
              <w:spacing w:before="16" w:line="196" w:lineRule="auto"/>
              <w:ind w:left="1218"/>
              <w:rPr>
                <w:rFonts w:ascii="仿宋" w:hAnsi="仿宋" w:eastAsia="仿宋" w:cs="仿宋"/>
                <w:sz w:val="18"/>
                <w:szCs w:val="18"/>
              </w:rPr>
            </w:pPr>
            <w:r>
              <w:rPr>
                <w:rFonts w:ascii="仿宋" w:hAnsi="仿宋" w:eastAsia="仿宋" w:cs="仿宋"/>
                <w:spacing w:val="-6"/>
                <w:sz w:val="18"/>
                <w:szCs w:val="18"/>
              </w:rPr>
              <w:t>村路</w:t>
            </w:r>
          </w:p>
        </w:tc>
        <w:tc>
          <w:tcPr>
            <w:tcW w:w="1014" w:type="dxa"/>
            <w:gridSpan w:val="3"/>
            <w:vAlign w:val="top"/>
          </w:tcPr>
          <w:p w14:paraId="539E82F1">
            <w:pPr>
              <w:pStyle w:val="6"/>
              <w:spacing w:before="183" w:line="188" w:lineRule="auto"/>
              <w:ind w:left="398"/>
            </w:pPr>
            <w:r>
              <w:rPr>
                <w:spacing w:val="-2"/>
              </w:rPr>
              <w:t>0.2</w:t>
            </w:r>
          </w:p>
        </w:tc>
        <w:tc>
          <w:tcPr>
            <w:tcW w:w="1013" w:type="dxa"/>
            <w:gridSpan w:val="2"/>
            <w:vAlign w:val="top"/>
          </w:tcPr>
          <w:p w14:paraId="4ABF5582">
            <w:pPr>
              <w:pStyle w:val="6"/>
              <w:spacing w:before="183" w:line="188" w:lineRule="auto"/>
              <w:ind w:left="354"/>
            </w:pPr>
            <w:r>
              <w:rPr>
                <w:spacing w:val="-2"/>
              </w:rPr>
              <w:t>0.71</w:t>
            </w:r>
          </w:p>
        </w:tc>
        <w:tc>
          <w:tcPr>
            <w:tcW w:w="1013" w:type="dxa"/>
            <w:gridSpan w:val="3"/>
            <w:vAlign w:val="top"/>
          </w:tcPr>
          <w:p w14:paraId="086FD805">
            <w:pPr>
              <w:pStyle w:val="6"/>
              <w:spacing w:before="183" w:line="188" w:lineRule="auto"/>
              <w:ind w:left="356"/>
            </w:pPr>
            <w:r>
              <w:rPr>
                <w:spacing w:val="-7"/>
              </w:rPr>
              <w:t>0.</w:t>
            </w:r>
            <w:r>
              <w:rPr>
                <w:spacing w:val="-23"/>
              </w:rPr>
              <w:t xml:space="preserve"> </w:t>
            </w:r>
            <w:r>
              <w:rPr>
                <w:spacing w:val="-7"/>
              </w:rPr>
              <w:t>14</w:t>
            </w:r>
          </w:p>
        </w:tc>
        <w:tc>
          <w:tcPr>
            <w:tcW w:w="1175" w:type="dxa"/>
            <w:tcBorders>
              <w:right w:val="single" w:color="000000" w:sz="6" w:space="0"/>
            </w:tcBorders>
            <w:vAlign w:val="top"/>
          </w:tcPr>
          <w:p w14:paraId="24952513">
            <w:pPr>
              <w:pStyle w:val="6"/>
              <w:spacing w:before="183" w:line="188" w:lineRule="auto"/>
              <w:ind w:left="425"/>
            </w:pPr>
            <w:r>
              <w:rPr>
                <w:spacing w:val="-7"/>
              </w:rPr>
              <w:t>0.</w:t>
            </w:r>
            <w:r>
              <w:rPr>
                <w:spacing w:val="-23"/>
              </w:rPr>
              <w:t xml:space="preserve"> </w:t>
            </w:r>
            <w:r>
              <w:rPr>
                <w:spacing w:val="-7"/>
              </w:rPr>
              <w:t>14</w:t>
            </w:r>
          </w:p>
        </w:tc>
      </w:tr>
      <w:tr w14:paraId="3F26B9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01810CEA">
            <w:pPr>
              <w:rPr>
                <w:rFonts w:ascii="Arial"/>
                <w:sz w:val="21"/>
              </w:rPr>
            </w:pPr>
          </w:p>
        </w:tc>
        <w:tc>
          <w:tcPr>
            <w:tcW w:w="637" w:type="dxa"/>
            <w:vMerge w:val="continue"/>
            <w:tcBorders>
              <w:top w:val="nil"/>
              <w:bottom w:val="nil"/>
            </w:tcBorders>
            <w:vAlign w:val="top"/>
          </w:tcPr>
          <w:p w14:paraId="2BEA2DDA">
            <w:pPr>
              <w:rPr>
                <w:rFonts w:ascii="Arial"/>
                <w:sz w:val="21"/>
              </w:rPr>
            </w:pPr>
          </w:p>
        </w:tc>
        <w:tc>
          <w:tcPr>
            <w:tcW w:w="2788" w:type="dxa"/>
            <w:gridSpan w:val="4"/>
            <w:vAlign w:val="top"/>
          </w:tcPr>
          <w:p w14:paraId="6518646C">
            <w:pPr>
              <w:pStyle w:val="6"/>
              <w:spacing w:before="37" w:line="217" w:lineRule="auto"/>
              <w:ind w:left="409" w:right="104" w:hanging="294"/>
              <w:rPr>
                <w:rFonts w:ascii="仿宋" w:hAnsi="仿宋" w:eastAsia="仿宋" w:cs="仿宋"/>
              </w:rPr>
            </w:pPr>
            <w:r>
              <w:rPr>
                <w:rFonts w:ascii="仿宋" w:hAnsi="仿宋" w:eastAsia="仿宋" w:cs="仿宋"/>
                <w:spacing w:val="-1"/>
              </w:rPr>
              <w:t>准格尔旗</w:t>
            </w:r>
            <w:r>
              <w:rPr>
                <w:spacing w:val="-1"/>
              </w:rPr>
              <w:t xml:space="preserve">2025 </w:t>
            </w:r>
            <w:r>
              <w:rPr>
                <w:rFonts w:ascii="仿宋" w:hAnsi="仿宋" w:eastAsia="仿宋" w:cs="仿宋"/>
                <w:spacing w:val="-1"/>
              </w:rPr>
              <w:t>年十二连城乡二道</w:t>
            </w:r>
            <w:r>
              <w:rPr>
                <w:rFonts w:ascii="仿宋" w:hAnsi="仿宋" w:eastAsia="仿宋" w:cs="仿宋"/>
                <w:spacing w:val="-2"/>
              </w:rPr>
              <w:t>拐村自然村通硬化路工程</w:t>
            </w:r>
          </w:p>
        </w:tc>
        <w:tc>
          <w:tcPr>
            <w:tcW w:w="1014" w:type="dxa"/>
            <w:gridSpan w:val="3"/>
            <w:vAlign w:val="top"/>
          </w:tcPr>
          <w:p w14:paraId="0E67392B">
            <w:pPr>
              <w:rPr>
                <w:rFonts w:ascii="Arial"/>
                <w:sz w:val="21"/>
              </w:rPr>
            </w:pPr>
          </w:p>
        </w:tc>
        <w:tc>
          <w:tcPr>
            <w:tcW w:w="1013" w:type="dxa"/>
            <w:gridSpan w:val="2"/>
            <w:vAlign w:val="top"/>
          </w:tcPr>
          <w:p w14:paraId="251AE88D">
            <w:pPr>
              <w:pStyle w:val="6"/>
              <w:spacing w:before="185" w:line="188" w:lineRule="auto"/>
              <w:ind w:left="414"/>
            </w:pPr>
            <w:r>
              <w:rPr>
                <w:spacing w:val="-7"/>
              </w:rPr>
              <w:t>1.</w:t>
            </w:r>
            <w:r>
              <w:rPr>
                <w:spacing w:val="-24"/>
              </w:rPr>
              <w:t xml:space="preserve"> </w:t>
            </w:r>
            <w:r>
              <w:rPr>
                <w:spacing w:val="-7"/>
              </w:rPr>
              <w:t>1</w:t>
            </w:r>
          </w:p>
        </w:tc>
        <w:tc>
          <w:tcPr>
            <w:tcW w:w="1013" w:type="dxa"/>
            <w:gridSpan w:val="3"/>
            <w:vAlign w:val="top"/>
          </w:tcPr>
          <w:p w14:paraId="5A24F0CC">
            <w:pPr>
              <w:pStyle w:val="6"/>
              <w:spacing w:before="185" w:line="188" w:lineRule="auto"/>
              <w:ind w:left="356"/>
            </w:pPr>
            <w:r>
              <w:rPr>
                <w:spacing w:val="-2"/>
              </w:rPr>
              <w:t>0.22</w:t>
            </w:r>
          </w:p>
        </w:tc>
        <w:tc>
          <w:tcPr>
            <w:tcW w:w="1175" w:type="dxa"/>
            <w:tcBorders>
              <w:right w:val="single" w:color="000000" w:sz="6" w:space="0"/>
            </w:tcBorders>
            <w:vAlign w:val="top"/>
          </w:tcPr>
          <w:p w14:paraId="4AE94E75">
            <w:pPr>
              <w:pStyle w:val="6"/>
              <w:spacing w:before="185" w:line="188" w:lineRule="auto"/>
              <w:ind w:left="425"/>
            </w:pPr>
            <w:r>
              <w:rPr>
                <w:spacing w:val="-2"/>
              </w:rPr>
              <w:t>0.22</w:t>
            </w:r>
          </w:p>
        </w:tc>
      </w:tr>
      <w:tr w14:paraId="0B0465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31E18617">
            <w:pPr>
              <w:rPr>
                <w:rFonts w:ascii="Arial"/>
                <w:sz w:val="21"/>
              </w:rPr>
            </w:pPr>
          </w:p>
        </w:tc>
        <w:tc>
          <w:tcPr>
            <w:tcW w:w="637" w:type="dxa"/>
            <w:vMerge w:val="continue"/>
            <w:tcBorders>
              <w:top w:val="nil"/>
              <w:bottom w:val="nil"/>
            </w:tcBorders>
            <w:vAlign w:val="top"/>
          </w:tcPr>
          <w:p w14:paraId="75AE4282">
            <w:pPr>
              <w:rPr>
                <w:rFonts w:ascii="Arial"/>
                <w:sz w:val="21"/>
              </w:rPr>
            </w:pPr>
          </w:p>
        </w:tc>
        <w:tc>
          <w:tcPr>
            <w:tcW w:w="2788" w:type="dxa"/>
            <w:gridSpan w:val="4"/>
            <w:vAlign w:val="top"/>
          </w:tcPr>
          <w:p w14:paraId="00EE6D9D">
            <w:pPr>
              <w:spacing w:before="39" w:line="193" w:lineRule="auto"/>
              <w:ind w:left="230"/>
              <w:rPr>
                <w:rFonts w:ascii="仿宋" w:hAnsi="仿宋" w:eastAsia="仿宋" w:cs="仿宋"/>
                <w:sz w:val="18"/>
                <w:szCs w:val="18"/>
              </w:rPr>
            </w:pPr>
            <w:r>
              <w:rPr>
                <w:rFonts w:ascii="仿宋" w:hAnsi="仿宋" w:eastAsia="仿宋" w:cs="仿宋"/>
                <w:spacing w:val="-1"/>
                <w:sz w:val="18"/>
                <w:szCs w:val="18"/>
              </w:rPr>
              <w:t>份子地社新村至二道拐村委会</w:t>
            </w:r>
          </w:p>
        </w:tc>
        <w:tc>
          <w:tcPr>
            <w:tcW w:w="1014" w:type="dxa"/>
            <w:gridSpan w:val="3"/>
            <w:vAlign w:val="top"/>
          </w:tcPr>
          <w:p w14:paraId="74D33110">
            <w:pPr>
              <w:pStyle w:val="6"/>
              <w:spacing w:before="69" w:line="184" w:lineRule="auto"/>
              <w:ind w:left="398"/>
            </w:pPr>
            <w:r>
              <w:rPr>
                <w:spacing w:val="-2"/>
              </w:rPr>
              <w:t>0.2</w:t>
            </w:r>
          </w:p>
        </w:tc>
        <w:tc>
          <w:tcPr>
            <w:tcW w:w="1013" w:type="dxa"/>
            <w:gridSpan w:val="2"/>
            <w:vAlign w:val="top"/>
          </w:tcPr>
          <w:p w14:paraId="58CA89C9">
            <w:pPr>
              <w:pStyle w:val="6"/>
              <w:spacing w:before="69" w:line="184" w:lineRule="auto"/>
              <w:ind w:left="354"/>
            </w:pPr>
            <w:r>
              <w:rPr>
                <w:spacing w:val="-2"/>
              </w:rPr>
              <w:t>0.32</w:t>
            </w:r>
          </w:p>
        </w:tc>
        <w:tc>
          <w:tcPr>
            <w:tcW w:w="1013" w:type="dxa"/>
            <w:gridSpan w:val="3"/>
            <w:vAlign w:val="top"/>
          </w:tcPr>
          <w:p w14:paraId="10BC7DEE">
            <w:pPr>
              <w:pStyle w:val="6"/>
              <w:spacing w:before="69" w:line="184" w:lineRule="auto"/>
              <w:ind w:left="356"/>
            </w:pPr>
            <w:r>
              <w:rPr>
                <w:spacing w:val="-2"/>
              </w:rPr>
              <w:t>0.06</w:t>
            </w:r>
          </w:p>
        </w:tc>
        <w:tc>
          <w:tcPr>
            <w:tcW w:w="1175" w:type="dxa"/>
            <w:tcBorders>
              <w:right w:val="single" w:color="000000" w:sz="6" w:space="0"/>
            </w:tcBorders>
            <w:vAlign w:val="top"/>
          </w:tcPr>
          <w:p w14:paraId="174E2B41">
            <w:pPr>
              <w:pStyle w:val="6"/>
              <w:spacing w:before="69" w:line="184" w:lineRule="auto"/>
              <w:ind w:left="425"/>
            </w:pPr>
            <w:r>
              <w:rPr>
                <w:spacing w:val="-2"/>
              </w:rPr>
              <w:t>0.06</w:t>
            </w:r>
          </w:p>
        </w:tc>
      </w:tr>
      <w:tr w14:paraId="45869C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2D699C0A">
            <w:pPr>
              <w:rPr>
                <w:rFonts w:ascii="Arial"/>
                <w:sz w:val="21"/>
              </w:rPr>
            </w:pPr>
          </w:p>
        </w:tc>
        <w:tc>
          <w:tcPr>
            <w:tcW w:w="637" w:type="dxa"/>
            <w:vMerge w:val="continue"/>
            <w:tcBorders>
              <w:top w:val="nil"/>
              <w:bottom w:val="nil"/>
            </w:tcBorders>
            <w:vAlign w:val="top"/>
          </w:tcPr>
          <w:p w14:paraId="048BC632">
            <w:pPr>
              <w:rPr>
                <w:rFonts w:ascii="Arial"/>
                <w:sz w:val="21"/>
              </w:rPr>
            </w:pPr>
          </w:p>
        </w:tc>
        <w:tc>
          <w:tcPr>
            <w:tcW w:w="2788" w:type="dxa"/>
            <w:gridSpan w:val="4"/>
            <w:vAlign w:val="top"/>
          </w:tcPr>
          <w:p w14:paraId="68428C63">
            <w:pPr>
              <w:spacing w:before="39" w:line="194" w:lineRule="auto"/>
              <w:ind w:left="416"/>
              <w:rPr>
                <w:rFonts w:ascii="仿宋" w:hAnsi="仿宋" w:eastAsia="仿宋" w:cs="仿宋"/>
                <w:sz w:val="18"/>
                <w:szCs w:val="18"/>
              </w:rPr>
            </w:pPr>
            <w:r>
              <w:rPr>
                <w:rFonts w:ascii="仿宋" w:hAnsi="仿宋" w:eastAsia="仿宋" w:cs="仿宋"/>
                <w:spacing w:val="-2"/>
                <w:sz w:val="18"/>
                <w:szCs w:val="18"/>
              </w:rPr>
              <w:t>二道拐坡底至张家圪旦社</w:t>
            </w:r>
          </w:p>
        </w:tc>
        <w:tc>
          <w:tcPr>
            <w:tcW w:w="1014" w:type="dxa"/>
            <w:gridSpan w:val="3"/>
            <w:vAlign w:val="top"/>
          </w:tcPr>
          <w:p w14:paraId="63768B19">
            <w:pPr>
              <w:pStyle w:val="6"/>
              <w:spacing w:before="70" w:line="184" w:lineRule="auto"/>
              <w:ind w:left="398"/>
            </w:pPr>
            <w:r>
              <w:rPr>
                <w:spacing w:val="-2"/>
              </w:rPr>
              <w:t>0.2</w:t>
            </w:r>
          </w:p>
        </w:tc>
        <w:tc>
          <w:tcPr>
            <w:tcW w:w="1013" w:type="dxa"/>
            <w:gridSpan w:val="2"/>
            <w:vAlign w:val="top"/>
          </w:tcPr>
          <w:p w14:paraId="67C4AD90">
            <w:pPr>
              <w:pStyle w:val="6"/>
              <w:spacing w:before="70" w:line="184" w:lineRule="auto"/>
              <w:ind w:left="354"/>
            </w:pPr>
            <w:r>
              <w:rPr>
                <w:spacing w:val="-2"/>
              </w:rPr>
              <w:t>0.49</w:t>
            </w:r>
          </w:p>
        </w:tc>
        <w:tc>
          <w:tcPr>
            <w:tcW w:w="1013" w:type="dxa"/>
            <w:gridSpan w:val="3"/>
            <w:vAlign w:val="top"/>
          </w:tcPr>
          <w:p w14:paraId="14B35D9E">
            <w:pPr>
              <w:pStyle w:val="6"/>
              <w:spacing w:before="70" w:line="184" w:lineRule="auto"/>
              <w:ind w:left="356"/>
            </w:pPr>
            <w:r>
              <w:rPr>
                <w:spacing w:val="-2"/>
              </w:rPr>
              <w:t>0.10</w:t>
            </w:r>
          </w:p>
        </w:tc>
        <w:tc>
          <w:tcPr>
            <w:tcW w:w="1175" w:type="dxa"/>
            <w:tcBorders>
              <w:right w:val="single" w:color="000000" w:sz="6" w:space="0"/>
            </w:tcBorders>
            <w:vAlign w:val="top"/>
          </w:tcPr>
          <w:p w14:paraId="4005C5EA">
            <w:pPr>
              <w:pStyle w:val="6"/>
              <w:spacing w:before="70" w:line="184" w:lineRule="auto"/>
              <w:ind w:left="425"/>
            </w:pPr>
            <w:r>
              <w:rPr>
                <w:spacing w:val="-2"/>
              </w:rPr>
              <w:t>0.10</w:t>
            </w:r>
          </w:p>
        </w:tc>
      </w:tr>
      <w:tr w14:paraId="3449BC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234F8FCB">
            <w:pPr>
              <w:rPr>
                <w:rFonts w:ascii="Arial"/>
                <w:sz w:val="21"/>
              </w:rPr>
            </w:pPr>
          </w:p>
        </w:tc>
        <w:tc>
          <w:tcPr>
            <w:tcW w:w="637" w:type="dxa"/>
            <w:vMerge w:val="continue"/>
            <w:tcBorders>
              <w:top w:val="nil"/>
              <w:bottom w:val="nil"/>
            </w:tcBorders>
            <w:vAlign w:val="top"/>
          </w:tcPr>
          <w:p w14:paraId="6111F25A">
            <w:pPr>
              <w:rPr>
                <w:rFonts w:ascii="Arial"/>
                <w:sz w:val="21"/>
              </w:rPr>
            </w:pPr>
          </w:p>
        </w:tc>
        <w:tc>
          <w:tcPr>
            <w:tcW w:w="2788" w:type="dxa"/>
            <w:gridSpan w:val="4"/>
            <w:vAlign w:val="top"/>
          </w:tcPr>
          <w:p w14:paraId="3A65E399">
            <w:pPr>
              <w:spacing w:before="40" w:line="192" w:lineRule="auto"/>
              <w:ind w:left="415"/>
              <w:rPr>
                <w:rFonts w:ascii="仿宋" w:hAnsi="仿宋" w:eastAsia="仿宋" w:cs="仿宋"/>
                <w:sz w:val="18"/>
                <w:szCs w:val="18"/>
              </w:rPr>
            </w:pPr>
            <w:r>
              <w:rPr>
                <w:rFonts w:ascii="仿宋" w:hAnsi="仿宋" w:eastAsia="仿宋" w:cs="仿宋"/>
                <w:spacing w:val="-2"/>
                <w:sz w:val="18"/>
                <w:szCs w:val="18"/>
              </w:rPr>
              <w:t>三道拐社坡底至北防洪堤</w:t>
            </w:r>
          </w:p>
        </w:tc>
        <w:tc>
          <w:tcPr>
            <w:tcW w:w="1014" w:type="dxa"/>
            <w:gridSpan w:val="3"/>
            <w:vAlign w:val="top"/>
          </w:tcPr>
          <w:p w14:paraId="41CB4F9C">
            <w:pPr>
              <w:pStyle w:val="6"/>
              <w:spacing w:before="69" w:line="184" w:lineRule="auto"/>
              <w:ind w:left="398"/>
            </w:pPr>
            <w:r>
              <w:rPr>
                <w:spacing w:val="-2"/>
              </w:rPr>
              <w:t>0.2</w:t>
            </w:r>
          </w:p>
        </w:tc>
        <w:tc>
          <w:tcPr>
            <w:tcW w:w="1013" w:type="dxa"/>
            <w:gridSpan w:val="2"/>
            <w:vAlign w:val="top"/>
          </w:tcPr>
          <w:p w14:paraId="2223DD99">
            <w:pPr>
              <w:pStyle w:val="6"/>
              <w:spacing w:before="69" w:line="184" w:lineRule="auto"/>
              <w:ind w:left="354"/>
            </w:pPr>
            <w:r>
              <w:rPr>
                <w:spacing w:val="-2"/>
              </w:rPr>
              <w:t>0.29</w:t>
            </w:r>
          </w:p>
        </w:tc>
        <w:tc>
          <w:tcPr>
            <w:tcW w:w="1013" w:type="dxa"/>
            <w:gridSpan w:val="3"/>
            <w:vAlign w:val="top"/>
          </w:tcPr>
          <w:p w14:paraId="2F22F39A">
            <w:pPr>
              <w:pStyle w:val="6"/>
              <w:spacing w:before="69" w:line="184" w:lineRule="auto"/>
              <w:ind w:left="356"/>
            </w:pPr>
            <w:r>
              <w:rPr>
                <w:spacing w:val="-2"/>
              </w:rPr>
              <w:t>0.06</w:t>
            </w:r>
          </w:p>
        </w:tc>
        <w:tc>
          <w:tcPr>
            <w:tcW w:w="1175" w:type="dxa"/>
            <w:tcBorders>
              <w:right w:val="single" w:color="000000" w:sz="6" w:space="0"/>
            </w:tcBorders>
            <w:vAlign w:val="top"/>
          </w:tcPr>
          <w:p w14:paraId="6FF320A8">
            <w:pPr>
              <w:pStyle w:val="6"/>
              <w:spacing w:before="69" w:line="184" w:lineRule="auto"/>
              <w:ind w:left="425"/>
            </w:pPr>
            <w:r>
              <w:rPr>
                <w:spacing w:val="-2"/>
              </w:rPr>
              <w:t>0.06</w:t>
            </w:r>
          </w:p>
        </w:tc>
      </w:tr>
      <w:tr w14:paraId="6EE00E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71EA518B">
            <w:pPr>
              <w:rPr>
                <w:rFonts w:ascii="Arial"/>
                <w:sz w:val="21"/>
              </w:rPr>
            </w:pPr>
          </w:p>
        </w:tc>
        <w:tc>
          <w:tcPr>
            <w:tcW w:w="637" w:type="dxa"/>
            <w:vMerge w:val="continue"/>
            <w:tcBorders>
              <w:top w:val="nil"/>
              <w:bottom w:val="nil"/>
            </w:tcBorders>
            <w:vAlign w:val="top"/>
          </w:tcPr>
          <w:p w14:paraId="15FCABCB">
            <w:pPr>
              <w:rPr>
                <w:rFonts w:ascii="Arial"/>
                <w:sz w:val="21"/>
              </w:rPr>
            </w:pPr>
          </w:p>
        </w:tc>
        <w:tc>
          <w:tcPr>
            <w:tcW w:w="2788" w:type="dxa"/>
            <w:gridSpan w:val="4"/>
            <w:vAlign w:val="top"/>
          </w:tcPr>
          <w:p w14:paraId="7BCF5B5A">
            <w:pPr>
              <w:pStyle w:val="6"/>
              <w:spacing w:before="39" w:line="216" w:lineRule="auto"/>
              <w:ind w:left="410" w:right="104" w:hanging="295"/>
              <w:rPr>
                <w:rFonts w:ascii="仿宋" w:hAnsi="仿宋" w:eastAsia="仿宋" w:cs="仿宋"/>
              </w:rPr>
            </w:pPr>
            <w:r>
              <w:rPr>
                <w:rFonts w:ascii="仿宋" w:hAnsi="仿宋" w:eastAsia="仿宋" w:cs="仿宋"/>
                <w:spacing w:val="-1"/>
              </w:rPr>
              <w:t>准格尔旗</w:t>
            </w:r>
            <w:r>
              <w:rPr>
                <w:spacing w:val="-1"/>
              </w:rPr>
              <w:t xml:space="preserve">2025 </w:t>
            </w:r>
            <w:r>
              <w:rPr>
                <w:rFonts w:ascii="仿宋" w:hAnsi="仿宋" w:eastAsia="仿宋" w:cs="仿宋"/>
                <w:spacing w:val="-1"/>
              </w:rPr>
              <w:t>年十二连城乡脑包</w:t>
            </w:r>
            <w:r>
              <w:rPr>
                <w:rFonts w:ascii="仿宋" w:hAnsi="仿宋" w:eastAsia="仿宋" w:cs="仿宋"/>
                <w:spacing w:val="-2"/>
              </w:rPr>
              <w:t>湾村自然村通硬化路工程</w:t>
            </w:r>
          </w:p>
        </w:tc>
        <w:tc>
          <w:tcPr>
            <w:tcW w:w="1014" w:type="dxa"/>
            <w:gridSpan w:val="3"/>
            <w:vAlign w:val="top"/>
          </w:tcPr>
          <w:p w14:paraId="29513E59">
            <w:pPr>
              <w:rPr>
                <w:rFonts w:ascii="Arial"/>
                <w:sz w:val="21"/>
              </w:rPr>
            </w:pPr>
          </w:p>
        </w:tc>
        <w:tc>
          <w:tcPr>
            <w:tcW w:w="1013" w:type="dxa"/>
            <w:gridSpan w:val="2"/>
            <w:vAlign w:val="top"/>
          </w:tcPr>
          <w:p w14:paraId="43B7B02C">
            <w:pPr>
              <w:pStyle w:val="6"/>
              <w:spacing w:before="186" w:line="188" w:lineRule="auto"/>
              <w:ind w:left="399"/>
            </w:pPr>
            <w:r>
              <w:rPr>
                <w:spacing w:val="-2"/>
              </w:rPr>
              <w:t>0.9</w:t>
            </w:r>
          </w:p>
        </w:tc>
        <w:tc>
          <w:tcPr>
            <w:tcW w:w="1013" w:type="dxa"/>
            <w:gridSpan w:val="3"/>
            <w:vAlign w:val="top"/>
          </w:tcPr>
          <w:p w14:paraId="7FFA5699">
            <w:pPr>
              <w:pStyle w:val="6"/>
              <w:spacing w:before="186" w:line="188" w:lineRule="auto"/>
              <w:ind w:left="356"/>
            </w:pPr>
            <w:r>
              <w:rPr>
                <w:spacing w:val="-2"/>
              </w:rPr>
              <w:t>0.18</w:t>
            </w:r>
          </w:p>
        </w:tc>
        <w:tc>
          <w:tcPr>
            <w:tcW w:w="1175" w:type="dxa"/>
            <w:tcBorders>
              <w:right w:val="single" w:color="000000" w:sz="6" w:space="0"/>
            </w:tcBorders>
            <w:vAlign w:val="top"/>
          </w:tcPr>
          <w:p w14:paraId="7DC55225">
            <w:pPr>
              <w:pStyle w:val="6"/>
              <w:spacing w:before="186" w:line="188" w:lineRule="auto"/>
              <w:ind w:left="425"/>
            </w:pPr>
            <w:r>
              <w:rPr>
                <w:spacing w:val="-2"/>
              </w:rPr>
              <w:t>0.18</w:t>
            </w:r>
          </w:p>
        </w:tc>
      </w:tr>
      <w:tr w14:paraId="5EFA53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4BA75CB0">
            <w:pPr>
              <w:rPr>
                <w:rFonts w:ascii="Arial"/>
                <w:sz w:val="21"/>
              </w:rPr>
            </w:pPr>
          </w:p>
        </w:tc>
        <w:tc>
          <w:tcPr>
            <w:tcW w:w="637" w:type="dxa"/>
            <w:vMerge w:val="continue"/>
            <w:tcBorders>
              <w:top w:val="nil"/>
              <w:bottom w:val="nil"/>
            </w:tcBorders>
            <w:vAlign w:val="top"/>
          </w:tcPr>
          <w:p w14:paraId="3804896F">
            <w:pPr>
              <w:rPr>
                <w:rFonts w:ascii="Arial"/>
                <w:sz w:val="21"/>
              </w:rPr>
            </w:pPr>
          </w:p>
        </w:tc>
        <w:tc>
          <w:tcPr>
            <w:tcW w:w="2788" w:type="dxa"/>
            <w:gridSpan w:val="4"/>
            <w:vAlign w:val="top"/>
          </w:tcPr>
          <w:p w14:paraId="17856967">
            <w:pPr>
              <w:spacing w:before="41" w:line="191" w:lineRule="auto"/>
              <w:ind w:left="590"/>
              <w:rPr>
                <w:rFonts w:ascii="仿宋" w:hAnsi="仿宋" w:eastAsia="仿宋" w:cs="仿宋"/>
                <w:sz w:val="18"/>
                <w:szCs w:val="18"/>
              </w:rPr>
            </w:pPr>
            <w:r>
              <w:rPr>
                <w:rFonts w:ascii="仿宋" w:hAnsi="仿宋" w:eastAsia="仿宋" w:cs="仿宋"/>
                <w:spacing w:val="-2"/>
                <w:sz w:val="18"/>
                <w:szCs w:val="18"/>
              </w:rPr>
              <w:t>脑包湾村（路段一）</w:t>
            </w:r>
          </w:p>
        </w:tc>
        <w:tc>
          <w:tcPr>
            <w:tcW w:w="1014" w:type="dxa"/>
            <w:gridSpan w:val="3"/>
            <w:vAlign w:val="top"/>
          </w:tcPr>
          <w:p w14:paraId="292356EE">
            <w:pPr>
              <w:pStyle w:val="6"/>
              <w:spacing w:before="70" w:line="183" w:lineRule="auto"/>
              <w:ind w:left="398"/>
            </w:pPr>
            <w:r>
              <w:rPr>
                <w:spacing w:val="-2"/>
              </w:rPr>
              <w:t>0.2</w:t>
            </w:r>
          </w:p>
        </w:tc>
        <w:tc>
          <w:tcPr>
            <w:tcW w:w="1013" w:type="dxa"/>
            <w:gridSpan w:val="2"/>
            <w:vAlign w:val="top"/>
          </w:tcPr>
          <w:p w14:paraId="5E43F823">
            <w:pPr>
              <w:pStyle w:val="6"/>
              <w:spacing w:before="70" w:line="183" w:lineRule="auto"/>
              <w:ind w:left="354"/>
            </w:pPr>
            <w:r>
              <w:rPr>
                <w:spacing w:val="-2"/>
              </w:rPr>
              <w:t>0.42</w:t>
            </w:r>
          </w:p>
        </w:tc>
        <w:tc>
          <w:tcPr>
            <w:tcW w:w="1013" w:type="dxa"/>
            <w:gridSpan w:val="3"/>
            <w:vAlign w:val="top"/>
          </w:tcPr>
          <w:p w14:paraId="064EE58E">
            <w:pPr>
              <w:pStyle w:val="6"/>
              <w:spacing w:before="70" w:line="183" w:lineRule="auto"/>
              <w:ind w:left="356"/>
            </w:pPr>
            <w:r>
              <w:rPr>
                <w:spacing w:val="-2"/>
              </w:rPr>
              <w:t>0.08</w:t>
            </w:r>
          </w:p>
        </w:tc>
        <w:tc>
          <w:tcPr>
            <w:tcW w:w="1175" w:type="dxa"/>
            <w:tcBorders>
              <w:right w:val="single" w:color="000000" w:sz="6" w:space="0"/>
            </w:tcBorders>
            <w:vAlign w:val="top"/>
          </w:tcPr>
          <w:p w14:paraId="328FF512">
            <w:pPr>
              <w:pStyle w:val="6"/>
              <w:spacing w:before="70" w:line="183" w:lineRule="auto"/>
              <w:ind w:left="425"/>
            </w:pPr>
            <w:r>
              <w:rPr>
                <w:spacing w:val="-2"/>
              </w:rPr>
              <w:t>0.08</w:t>
            </w:r>
          </w:p>
        </w:tc>
      </w:tr>
      <w:tr w14:paraId="6267CB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4EC7CD16">
            <w:pPr>
              <w:rPr>
                <w:rFonts w:ascii="Arial"/>
                <w:sz w:val="21"/>
              </w:rPr>
            </w:pPr>
          </w:p>
        </w:tc>
        <w:tc>
          <w:tcPr>
            <w:tcW w:w="637" w:type="dxa"/>
            <w:vMerge w:val="continue"/>
            <w:tcBorders>
              <w:top w:val="nil"/>
              <w:bottom w:val="nil"/>
            </w:tcBorders>
            <w:vAlign w:val="top"/>
          </w:tcPr>
          <w:p w14:paraId="6460F85B">
            <w:pPr>
              <w:rPr>
                <w:rFonts w:ascii="Arial"/>
                <w:sz w:val="21"/>
              </w:rPr>
            </w:pPr>
          </w:p>
        </w:tc>
        <w:tc>
          <w:tcPr>
            <w:tcW w:w="2788" w:type="dxa"/>
            <w:gridSpan w:val="4"/>
            <w:vAlign w:val="top"/>
          </w:tcPr>
          <w:p w14:paraId="3999879D">
            <w:pPr>
              <w:spacing w:before="40" w:line="193" w:lineRule="auto"/>
              <w:ind w:left="590"/>
              <w:rPr>
                <w:rFonts w:ascii="仿宋" w:hAnsi="仿宋" w:eastAsia="仿宋" w:cs="仿宋"/>
                <w:sz w:val="18"/>
                <w:szCs w:val="18"/>
              </w:rPr>
            </w:pPr>
            <w:r>
              <w:rPr>
                <w:rFonts w:ascii="仿宋" w:hAnsi="仿宋" w:eastAsia="仿宋" w:cs="仿宋"/>
                <w:spacing w:val="-2"/>
                <w:sz w:val="18"/>
                <w:szCs w:val="18"/>
              </w:rPr>
              <w:t>脑包湾村（路段二）</w:t>
            </w:r>
          </w:p>
        </w:tc>
        <w:tc>
          <w:tcPr>
            <w:tcW w:w="1014" w:type="dxa"/>
            <w:gridSpan w:val="3"/>
            <w:vAlign w:val="top"/>
          </w:tcPr>
          <w:p w14:paraId="7D135EE7">
            <w:pPr>
              <w:pStyle w:val="6"/>
              <w:spacing w:before="72" w:line="182" w:lineRule="auto"/>
              <w:ind w:left="398"/>
            </w:pPr>
            <w:r>
              <w:rPr>
                <w:spacing w:val="-2"/>
              </w:rPr>
              <w:t>0.2</w:t>
            </w:r>
          </w:p>
        </w:tc>
        <w:tc>
          <w:tcPr>
            <w:tcW w:w="1013" w:type="dxa"/>
            <w:gridSpan w:val="2"/>
            <w:vAlign w:val="top"/>
          </w:tcPr>
          <w:p w14:paraId="746AADD2">
            <w:pPr>
              <w:pStyle w:val="6"/>
              <w:spacing w:before="72" w:line="182" w:lineRule="auto"/>
              <w:ind w:left="354"/>
            </w:pPr>
            <w:r>
              <w:rPr>
                <w:spacing w:val="-2"/>
              </w:rPr>
              <w:t>0.25</w:t>
            </w:r>
          </w:p>
        </w:tc>
        <w:tc>
          <w:tcPr>
            <w:tcW w:w="1013" w:type="dxa"/>
            <w:gridSpan w:val="3"/>
            <w:vAlign w:val="top"/>
          </w:tcPr>
          <w:p w14:paraId="14F8B924">
            <w:pPr>
              <w:pStyle w:val="6"/>
              <w:spacing w:before="72" w:line="182" w:lineRule="auto"/>
              <w:ind w:left="356"/>
            </w:pPr>
            <w:r>
              <w:rPr>
                <w:spacing w:val="-2"/>
              </w:rPr>
              <w:t>0.05</w:t>
            </w:r>
          </w:p>
        </w:tc>
        <w:tc>
          <w:tcPr>
            <w:tcW w:w="1175" w:type="dxa"/>
            <w:tcBorders>
              <w:right w:val="single" w:color="000000" w:sz="6" w:space="0"/>
            </w:tcBorders>
            <w:vAlign w:val="top"/>
          </w:tcPr>
          <w:p w14:paraId="0100C551">
            <w:pPr>
              <w:pStyle w:val="6"/>
              <w:spacing w:before="72" w:line="182" w:lineRule="auto"/>
              <w:ind w:left="425"/>
            </w:pPr>
            <w:r>
              <w:rPr>
                <w:spacing w:val="-2"/>
              </w:rPr>
              <w:t>0.05</w:t>
            </w:r>
          </w:p>
        </w:tc>
      </w:tr>
      <w:tr w14:paraId="492EAC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24D0E1F9">
            <w:pPr>
              <w:rPr>
                <w:rFonts w:ascii="Arial"/>
                <w:sz w:val="21"/>
              </w:rPr>
            </w:pPr>
          </w:p>
        </w:tc>
        <w:tc>
          <w:tcPr>
            <w:tcW w:w="637" w:type="dxa"/>
            <w:vMerge w:val="continue"/>
            <w:tcBorders>
              <w:top w:val="nil"/>
              <w:bottom w:val="nil"/>
            </w:tcBorders>
            <w:vAlign w:val="top"/>
          </w:tcPr>
          <w:p w14:paraId="4C882E42">
            <w:pPr>
              <w:rPr>
                <w:rFonts w:ascii="Arial"/>
                <w:sz w:val="21"/>
              </w:rPr>
            </w:pPr>
          </w:p>
        </w:tc>
        <w:tc>
          <w:tcPr>
            <w:tcW w:w="2788" w:type="dxa"/>
            <w:gridSpan w:val="4"/>
            <w:vAlign w:val="top"/>
          </w:tcPr>
          <w:p w14:paraId="778FFF40">
            <w:pPr>
              <w:spacing w:before="38" w:line="194" w:lineRule="auto"/>
              <w:ind w:left="590"/>
              <w:rPr>
                <w:rFonts w:ascii="仿宋" w:hAnsi="仿宋" w:eastAsia="仿宋" w:cs="仿宋"/>
                <w:sz w:val="18"/>
                <w:szCs w:val="18"/>
              </w:rPr>
            </w:pPr>
            <w:r>
              <w:rPr>
                <w:rFonts w:ascii="仿宋" w:hAnsi="仿宋" w:eastAsia="仿宋" w:cs="仿宋"/>
                <w:spacing w:val="-2"/>
                <w:sz w:val="18"/>
                <w:szCs w:val="18"/>
              </w:rPr>
              <w:t>脑包湾村（路段三）</w:t>
            </w:r>
          </w:p>
        </w:tc>
        <w:tc>
          <w:tcPr>
            <w:tcW w:w="1014" w:type="dxa"/>
            <w:gridSpan w:val="3"/>
            <w:vAlign w:val="top"/>
          </w:tcPr>
          <w:p w14:paraId="641D0158">
            <w:pPr>
              <w:pStyle w:val="6"/>
              <w:spacing w:before="70" w:line="183" w:lineRule="auto"/>
              <w:ind w:left="398"/>
            </w:pPr>
            <w:r>
              <w:rPr>
                <w:spacing w:val="-2"/>
              </w:rPr>
              <w:t>0.2</w:t>
            </w:r>
          </w:p>
        </w:tc>
        <w:tc>
          <w:tcPr>
            <w:tcW w:w="1013" w:type="dxa"/>
            <w:gridSpan w:val="2"/>
            <w:vAlign w:val="top"/>
          </w:tcPr>
          <w:p w14:paraId="0A6876F2">
            <w:pPr>
              <w:pStyle w:val="6"/>
              <w:spacing w:before="70" w:line="183" w:lineRule="auto"/>
              <w:ind w:left="354"/>
            </w:pPr>
            <w:r>
              <w:rPr>
                <w:spacing w:val="-2"/>
              </w:rPr>
              <w:t>0.23</w:t>
            </w:r>
          </w:p>
        </w:tc>
        <w:tc>
          <w:tcPr>
            <w:tcW w:w="1013" w:type="dxa"/>
            <w:gridSpan w:val="3"/>
            <w:vAlign w:val="top"/>
          </w:tcPr>
          <w:p w14:paraId="761F7F41">
            <w:pPr>
              <w:pStyle w:val="6"/>
              <w:spacing w:before="70" w:line="183" w:lineRule="auto"/>
              <w:ind w:left="356"/>
            </w:pPr>
            <w:r>
              <w:rPr>
                <w:spacing w:val="-2"/>
              </w:rPr>
              <w:t>0.05</w:t>
            </w:r>
          </w:p>
        </w:tc>
        <w:tc>
          <w:tcPr>
            <w:tcW w:w="1175" w:type="dxa"/>
            <w:tcBorders>
              <w:right w:val="single" w:color="000000" w:sz="6" w:space="0"/>
            </w:tcBorders>
            <w:vAlign w:val="top"/>
          </w:tcPr>
          <w:p w14:paraId="4B79C74E">
            <w:pPr>
              <w:pStyle w:val="6"/>
              <w:spacing w:before="70" w:line="183" w:lineRule="auto"/>
              <w:ind w:left="425"/>
            </w:pPr>
            <w:r>
              <w:rPr>
                <w:spacing w:val="-2"/>
              </w:rPr>
              <w:t>0.05</w:t>
            </w:r>
          </w:p>
        </w:tc>
      </w:tr>
      <w:tr w14:paraId="535F21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1858E3A1">
            <w:pPr>
              <w:rPr>
                <w:rFonts w:ascii="Arial"/>
                <w:sz w:val="21"/>
              </w:rPr>
            </w:pPr>
          </w:p>
        </w:tc>
        <w:tc>
          <w:tcPr>
            <w:tcW w:w="637" w:type="dxa"/>
            <w:vMerge w:val="continue"/>
            <w:tcBorders>
              <w:top w:val="nil"/>
              <w:bottom w:val="nil"/>
            </w:tcBorders>
            <w:vAlign w:val="top"/>
          </w:tcPr>
          <w:p w14:paraId="291D0501">
            <w:pPr>
              <w:rPr>
                <w:rFonts w:ascii="Arial"/>
                <w:sz w:val="21"/>
              </w:rPr>
            </w:pPr>
          </w:p>
        </w:tc>
        <w:tc>
          <w:tcPr>
            <w:tcW w:w="2788" w:type="dxa"/>
            <w:gridSpan w:val="4"/>
            <w:vAlign w:val="top"/>
          </w:tcPr>
          <w:p w14:paraId="7EFCB66F">
            <w:pPr>
              <w:pStyle w:val="6"/>
              <w:spacing w:before="41" w:line="215" w:lineRule="auto"/>
              <w:ind w:left="415" w:right="104" w:hanging="300"/>
              <w:rPr>
                <w:rFonts w:ascii="仿宋" w:hAnsi="仿宋" w:eastAsia="仿宋" w:cs="仿宋"/>
              </w:rPr>
            </w:pPr>
            <w:r>
              <w:rPr>
                <w:rFonts w:ascii="仿宋" w:hAnsi="仿宋" w:eastAsia="仿宋" w:cs="仿宋"/>
                <w:spacing w:val="-1"/>
              </w:rPr>
              <w:t>准格尔旗</w:t>
            </w:r>
            <w:r>
              <w:rPr>
                <w:spacing w:val="-1"/>
              </w:rPr>
              <w:t xml:space="preserve">2025 </w:t>
            </w:r>
            <w:r>
              <w:rPr>
                <w:rFonts w:ascii="仿宋" w:hAnsi="仿宋" w:eastAsia="仿宋" w:cs="仿宋"/>
                <w:spacing w:val="-1"/>
              </w:rPr>
              <w:t>年十二连城乡杨子</w:t>
            </w:r>
            <w:r>
              <w:rPr>
                <w:rFonts w:ascii="仿宋" w:hAnsi="仿宋" w:eastAsia="仿宋" w:cs="仿宋"/>
                <w:spacing w:val="-2"/>
              </w:rPr>
              <w:t>华村自然村通硬化路工程</w:t>
            </w:r>
          </w:p>
        </w:tc>
        <w:tc>
          <w:tcPr>
            <w:tcW w:w="1014" w:type="dxa"/>
            <w:gridSpan w:val="3"/>
            <w:vAlign w:val="top"/>
          </w:tcPr>
          <w:p w14:paraId="6B5CD7DD">
            <w:pPr>
              <w:rPr>
                <w:rFonts w:ascii="Arial"/>
                <w:sz w:val="21"/>
              </w:rPr>
            </w:pPr>
          </w:p>
        </w:tc>
        <w:tc>
          <w:tcPr>
            <w:tcW w:w="1013" w:type="dxa"/>
            <w:gridSpan w:val="2"/>
            <w:vAlign w:val="top"/>
          </w:tcPr>
          <w:p w14:paraId="0B66477D">
            <w:pPr>
              <w:pStyle w:val="6"/>
              <w:spacing w:before="187" w:line="188" w:lineRule="auto"/>
              <w:ind w:left="354"/>
            </w:pPr>
            <w:r>
              <w:rPr>
                <w:spacing w:val="-2"/>
              </w:rPr>
              <w:t>0.32</w:t>
            </w:r>
          </w:p>
        </w:tc>
        <w:tc>
          <w:tcPr>
            <w:tcW w:w="1013" w:type="dxa"/>
            <w:gridSpan w:val="3"/>
            <w:vAlign w:val="top"/>
          </w:tcPr>
          <w:p w14:paraId="066E486D">
            <w:pPr>
              <w:pStyle w:val="6"/>
              <w:spacing w:before="187" w:line="188" w:lineRule="auto"/>
              <w:ind w:left="356"/>
            </w:pPr>
            <w:r>
              <w:rPr>
                <w:spacing w:val="-2"/>
              </w:rPr>
              <w:t>0.06</w:t>
            </w:r>
          </w:p>
        </w:tc>
        <w:tc>
          <w:tcPr>
            <w:tcW w:w="1175" w:type="dxa"/>
            <w:tcBorders>
              <w:right w:val="single" w:color="000000" w:sz="6" w:space="0"/>
            </w:tcBorders>
            <w:vAlign w:val="top"/>
          </w:tcPr>
          <w:p w14:paraId="0D75E83D">
            <w:pPr>
              <w:pStyle w:val="6"/>
              <w:spacing w:before="187" w:line="188" w:lineRule="auto"/>
              <w:ind w:left="425"/>
            </w:pPr>
            <w:r>
              <w:rPr>
                <w:spacing w:val="-2"/>
              </w:rPr>
              <w:t>0.06</w:t>
            </w:r>
          </w:p>
        </w:tc>
      </w:tr>
      <w:tr w14:paraId="78122A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6CB188C0">
            <w:pPr>
              <w:rPr>
                <w:rFonts w:ascii="Arial"/>
                <w:sz w:val="21"/>
              </w:rPr>
            </w:pPr>
          </w:p>
        </w:tc>
        <w:tc>
          <w:tcPr>
            <w:tcW w:w="637" w:type="dxa"/>
            <w:vMerge w:val="continue"/>
            <w:tcBorders>
              <w:top w:val="nil"/>
            </w:tcBorders>
            <w:vAlign w:val="top"/>
          </w:tcPr>
          <w:p w14:paraId="6B963C42">
            <w:pPr>
              <w:rPr>
                <w:rFonts w:ascii="Arial"/>
                <w:sz w:val="21"/>
              </w:rPr>
            </w:pPr>
          </w:p>
        </w:tc>
        <w:tc>
          <w:tcPr>
            <w:tcW w:w="2788" w:type="dxa"/>
            <w:gridSpan w:val="4"/>
            <w:vAlign w:val="top"/>
          </w:tcPr>
          <w:p w14:paraId="11F98233">
            <w:pPr>
              <w:spacing w:before="42" w:line="191" w:lineRule="auto"/>
              <w:ind w:left="592"/>
              <w:rPr>
                <w:rFonts w:ascii="仿宋" w:hAnsi="仿宋" w:eastAsia="仿宋" w:cs="仿宋"/>
                <w:sz w:val="18"/>
                <w:szCs w:val="18"/>
              </w:rPr>
            </w:pPr>
            <w:r>
              <w:rPr>
                <w:rFonts w:ascii="仿宋" w:hAnsi="仿宋" w:eastAsia="仿宋" w:cs="仿宋"/>
                <w:spacing w:val="-2"/>
                <w:sz w:val="18"/>
                <w:szCs w:val="18"/>
              </w:rPr>
              <w:t>大棚区至杏仁露基地</w:t>
            </w:r>
          </w:p>
        </w:tc>
        <w:tc>
          <w:tcPr>
            <w:tcW w:w="1014" w:type="dxa"/>
            <w:gridSpan w:val="3"/>
            <w:vAlign w:val="top"/>
          </w:tcPr>
          <w:p w14:paraId="539EFCB5">
            <w:pPr>
              <w:pStyle w:val="6"/>
              <w:spacing w:before="71" w:line="183" w:lineRule="auto"/>
              <w:ind w:left="398"/>
            </w:pPr>
            <w:r>
              <w:rPr>
                <w:spacing w:val="-2"/>
              </w:rPr>
              <w:t>0.2</w:t>
            </w:r>
          </w:p>
        </w:tc>
        <w:tc>
          <w:tcPr>
            <w:tcW w:w="1013" w:type="dxa"/>
            <w:gridSpan w:val="2"/>
            <w:vAlign w:val="top"/>
          </w:tcPr>
          <w:p w14:paraId="64B536B0">
            <w:pPr>
              <w:pStyle w:val="6"/>
              <w:spacing w:before="71" w:line="183" w:lineRule="auto"/>
              <w:ind w:left="354"/>
            </w:pPr>
            <w:r>
              <w:rPr>
                <w:spacing w:val="-2"/>
              </w:rPr>
              <w:t>0.32</w:t>
            </w:r>
          </w:p>
        </w:tc>
        <w:tc>
          <w:tcPr>
            <w:tcW w:w="1013" w:type="dxa"/>
            <w:gridSpan w:val="3"/>
            <w:vAlign w:val="top"/>
          </w:tcPr>
          <w:p w14:paraId="6763BBD3">
            <w:pPr>
              <w:pStyle w:val="6"/>
              <w:spacing w:before="71" w:line="183" w:lineRule="auto"/>
              <w:ind w:left="356"/>
            </w:pPr>
            <w:r>
              <w:rPr>
                <w:spacing w:val="-2"/>
              </w:rPr>
              <w:t>0.06</w:t>
            </w:r>
          </w:p>
        </w:tc>
        <w:tc>
          <w:tcPr>
            <w:tcW w:w="1175" w:type="dxa"/>
            <w:tcBorders>
              <w:right w:val="single" w:color="000000" w:sz="6" w:space="0"/>
            </w:tcBorders>
            <w:vAlign w:val="top"/>
          </w:tcPr>
          <w:p w14:paraId="09EA1EAB">
            <w:pPr>
              <w:pStyle w:val="6"/>
              <w:spacing w:before="71" w:line="183" w:lineRule="auto"/>
              <w:ind w:left="425"/>
            </w:pPr>
            <w:r>
              <w:rPr>
                <w:spacing w:val="-2"/>
              </w:rPr>
              <w:t>0.06</w:t>
            </w:r>
          </w:p>
        </w:tc>
      </w:tr>
      <w:tr w14:paraId="69271A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 w:hRule="atLeast"/>
        </w:trPr>
        <w:tc>
          <w:tcPr>
            <w:tcW w:w="737" w:type="dxa"/>
            <w:vMerge w:val="continue"/>
            <w:tcBorders>
              <w:top w:val="nil"/>
              <w:left w:val="single" w:color="000000" w:sz="6" w:space="0"/>
              <w:bottom w:val="single" w:color="000000" w:sz="6" w:space="0"/>
            </w:tcBorders>
            <w:vAlign w:val="top"/>
          </w:tcPr>
          <w:p w14:paraId="79E49C35">
            <w:pPr>
              <w:rPr>
                <w:rFonts w:ascii="Arial"/>
                <w:sz w:val="21"/>
              </w:rPr>
            </w:pPr>
          </w:p>
        </w:tc>
        <w:tc>
          <w:tcPr>
            <w:tcW w:w="3425" w:type="dxa"/>
            <w:gridSpan w:val="5"/>
            <w:tcBorders>
              <w:bottom w:val="single" w:color="000000" w:sz="6" w:space="0"/>
            </w:tcBorders>
            <w:vAlign w:val="top"/>
          </w:tcPr>
          <w:p w14:paraId="308B4DF9">
            <w:pPr>
              <w:spacing w:before="41" w:line="222" w:lineRule="auto"/>
              <w:ind w:left="1539"/>
              <w:rPr>
                <w:rFonts w:ascii="仿宋" w:hAnsi="仿宋" w:eastAsia="仿宋" w:cs="仿宋"/>
                <w:sz w:val="18"/>
                <w:szCs w:val="18"/>
              </w:rPr>
            </w:pPr>
            <w:r>
              <w:rPr>
                <w:rFonts w:ascii="仿宋" w:hAnsi="仿宋" w:eastAsia="仿宋" w:cs="仿宋"/>
                <w:spacing w:val="-9"/>
                <w:sz w:val="18"/>
                <w:szCs w:val="18"/>
              </w:rPr>
              <w:t>合计</w:t>
            </w:r>
          </w:p>
        </w:tc>
        <w:tc>
          <w:tcPr>
            <w:tcW w:w="1014" w:type="dxa"/>
            <w:gridSpan w:val="3"/>
            <w:tcBorders>
              <w:bottom w:val="single" w:color="000000" w:sz="6" w:space="0"/>
            </w:tcBorders>
            <w:vAlign w:val="top"/>
          </w:tcPr>
          <w:p w14:paraId="7C81BB08">
            <w:pPr>
              <w:rPr>
                <w:rFonts w:ascii="Arial"/>
                <w:sz w:val="21"/>
              </w:rPr>
            </w:pPr>
          </w:p>
        </w:tc>
        <w:tc>
          <w:tcPr>
            <w:tcW w:w="1013" w:type="dxa"/>
            <w:gridSpan w:val="2"/>
            <w:tcBorders>
              <w:bottom w:val="single" w:color="000000" w:sz="6" w:space="0"/>
            </w:tcBorders>
            <w:vAlign w:val="top"/>
          </w:tcPr>
          <w:p w14:paraId="701CA05E">
            <w:pPr>
              <w:pStyle w:val="6"/>
              <w:spacing w:before="72" w:line="188" w:lineRule="auto"/>
              <w:ind w:left="356"/>
            </w:pPr>
            <w:r>
              <w:rPr>
                <w:spacing w:val="-2"/>
              </w:rPr>
              <w:t>5.31</w:t>
            </w:r>
          </w:p>
        </w:tc>
        <w:tc>
          <w:tcPr>
            <w:tcW w:w="1013" w:type="dxa"/>
            <w:gridSpan w:val="3"/>
            <w:tcBorders>
              <w:bottom w:val="single" w:color="000000" w:sz="6" w:space="0"/>
            </w:tcBorders>
            <w:vAlign w:val="top"/>
          </w:tcPr>
          <w:p w14:paraId="2C5394B0">
            <w:pPr>
              <w:pStyle w:val="6"/>
              <w:spacing w:before="72" w:line="188" w:lineRule="auto"/>
              <w:ind w:left="371"/>
            </w:pPr>
            <w:r>
              <w:rPr>
                <w:spacing w:val="-5"/>
              </w:rPr>
              <w:t>1.06</w:t>
            </w:r>
          </w:p>
        </w:tc>
        <w:tc>
          <w:tcPr>
            <w:tcW w:w="1175" w:type="dxa"/>
            <w:tcBorders>
              <w:bottom w:val="single" w:color="000000" w:sz="6" w:space="0"/>
              <w:right w:val="single" w:color="000000" w:sz="6" w:space="0"/>
            </w:tcBorders>
            <w:vAlign w:val="top"/>
          </w:tcPr>
          <w:p w14:paraId="7460EB7B">
            <w:pPr>
              <w:pStyle w:val="6"/>
              <w:spacing w:before="72" w:line="188" w:lineRule="auto"/>
              <w:ind w:left="440"/>
            </w:pPr>
            <w:r>
              <w:rPr>
                <w:spacing w:val="-5"/>
              </w:rPr>
              <w:t>1.06</w:t>
            </w:r>
          </w:p>
        </w:tc>
      </w:tr>
    </w:tbl>
    <w:p w14:paraId="6975B126">
      <w:pPr>
        <w:pStyle w:val="2"/>
        <w:rPr>
          <w:sz w:val="21"/>
        </w:rPr>
      </w:pPr>
    </w:p>
    <w:p w14:paraId="211CB83E">
      <w:pPr>
        <w:rPr>
          <w:sz w:val="21"/>
          <w:szCs w:val="21"/>
        </w:rPr>
        <w:sectPr>
          <w:footerReference r:id="rId24" w:type="default"/>
          <w:pgSz w:w="11907" w:h="16840"/>
          <w:pgMar w:top="400" w:right="1757" w:bottom="1446" w:left="1757" w:header="0" w:footer="1284" w:gutter="0"/>
          <w:cols w:space="720" w:num="1"/>
        </w:sectPr>
      </w:pPr>
    </w:p>
    <w:p w14:paraId="429784A0">
      <w:pPr>
        <w:spacing w:before="19"/>
      </w:pPr>
    </w:p>
    <w:p w14:paraId="0B41FBC6">
      <w:pPr>
        <w:spacing w:before="19"/>
      </w:pPr>
    </w:p>
    <w:p w14:paraId="2AC7E8C6">
      <w:pPr>
        <w:spacing w:before="18"/>
      </w:pPr>
    </w:p>
    <w:p w14:paraId="36D99027">
      <w:pPr>
        <w:spacing w:before="18"/>
      </w:pPr>
    </w:p>
    <w:tbl>
      <w:tblPr>
        <w:tblStyle w:val="5"/>
        <w:tblW w:w="8377"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7"/>
        <w:gridCol w:w="808"/>
        <w:gridCol w:w="2659"/>
        <w:gridCol w:w="827"/>
        <w:gridCol w:w="754"/>
        <w:gridCol w:w="710"/>
        <w:gridCol w:w="943"/>
        <w:gridCol w:w="939"/>
      </w:tblGrid>
      <w:tr w14:paraId="2F7318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8" w:hRule="atLeast"/>
        </w:trPr>
        <w:tc>
          <w:tcPr>
            <w:tcW w:w="737" w:type="dxa"/>
            <w:vMerge w:val="restart"/>
            <w:tcBorders>
              <w:top w:val="single" w:color="000000" w:sz="6" w:space="0"/>
              <w:left w:val="single" w:color="000000" w:sz="6" w:space="0"/>
              <w:bottom w:val="nil"/>
            </w:tcBorders>
            <w:vAlign w:val="top"/>
          </w:tcPr>
          <w:p w14:paraId="3478031D">
            <w:pPr>
              <w:rPr>
                <w:rFonts w:ascii="Arial"/>
                <w:sz w:val="21"/>
              </w:rPr>
            </w:pPr>
          </w:p>
        </w:tc>
        <w:tc>
          <w:tcPr>
            <w:tcW w:w="7640" w:type="dxa"/>
            <w:gridSpan w:val="7"/>
            <w:tcBorders>
              <w:top w:val="single" w:color="000000" w:sz="6" w:space="0"/>
              <w:bottom w:val="single" w:color="000000" w:sz="10" w:space="0"/>
              <w:right w:val="single" w:color="000000" w:sz="6" w:space="0"/>
            </w:tcBorders>
            <w:vAlign w:val="top"/>
          </w:tcPr>
          <w:p w14:paraId="12B99E0D">
            <w:pPr>
              <w:pStyle w:val="6"/>
              <w:spacing w:before="146" w:line="232" w:lineRule="auto"/>
              <w:ind w:left="2183"/>
              <w:rPr>
                <w:rFonts w:ascii="仿宋" w:hAnsi="仿宋" w:eastAsia="仿宋" w:cs="仿宋"/>
                <w:sz w:val="20"/>
                <w:szCs w:val="20"/>
              </w:rPr>
            </w:pPr>
            <w:r>
              <w:rPr>
                <w:rFonts w:ascii="仿宋" w:hAnsi="仿宋" w:eastAsia="仿宋" w:cs="仿宋"/>
                <w:b/>
                <w:bCs/>
                <w:spacing w:val="5"/>
                <w:sz w:val="20"/>
                <w:szCs w:val="20"/>
              </w:rPr>
              <w:t>表</w:t>
            </w:r>
            <w:r>
              <w:rPr>
                <w:rFonts w:ascii="仿宋" w:hAnsi="仿宋" w:eastAsia="仿宋" w:cs="仿宋"/>
                <w:spacing w:val="-40"/>
                <w:sz w:val="20"/>
                <w:szCs w:val="20"/>
              </w:rPr>
              <w:t xml:space="preserve"> </w:t>
            </w:r>
            <w:r>
              <w:rPr>
                <w:b/>
                <w:bCs/>
                <w:spacing w:val="5"/>
                <w:sz w:val="20"/>
                <w:szCs w:val="20"/>
              </w:rPr>
              <w:t xml:space="preserve">2-6        </w:t>
            </w:r>
            <w:r>
              <w:rPr>
                <w:rFonts w:ascii="仿宋" w:hAnsi="仿宋" w:eastAsia="仿宋" w:cs="仿宋"/>
                <w:b/>
                <w:bCs/>
                <w:spacing w:val="5"/>
                <w:sz w:val="20"/>
                <w:szCs w:val="20"/>
              </w:rPr>
              <w:t>工程土石方工程量</w:t>
            </w:r>
            <w:r>
              <w:rPr>
                <w:rFonts w:ascii="仿宋" w:hAnsi="仿宋" w:eastAsia="仿宋" w:cs="仿宋"/>
                <w:b/>
                <w:bCs/>
                <w:spacing w:val="4"/>
                <w:sz w:val="20"/>
                <w:szCs w:val="20"/>
              </w:rPr>
              <w:t>汇总表</w:t>
            </w:r>
          </w:p>
        </w:tc>
      </w:tr>
      <w:tr w14:paraId="53679D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737" w:type="dxa"/>
            <w:vMerge w:val="continue"/>
            <w:tcBorders>
              <w:top w:val="nil"/>
              <w:left w:val="single" w:color="000000" w:sz="6" w:space="0"/>
              <w:bottom w:val="nil"/>
            </w:tcBorders>
            <w:vAlign w:val="top"/>
          </w:tcPr>
          <w:p w14:paraId="4E318E87">
            <w:pPr>
              <w:rPr>
                <w:rFonts w:ascii="Arial"/>
                <w:sz w:val="21"/>
              </w:rPr>
            </w:pPr>
          </w:p>
        </w:tc>
        <w:tc>
          <w:tcPr>
            <w:tcW w:w="3467" w:type="dxa"/>
            <w:gridSpan w:val="2"/>
            <w:tcBorders>
              <w:top w:val="single" w:color="000000" w:sz="10" w:space="0"/>
            </w:tcBorders>
            <w:vAlign w:val="top"/>
          </w:tcPr>
          <w:p w14:paraId="0F2F31A8">
            <w:pPr>
              <w:spacing w:before="132" w:line="224" w:lineRule="auto"/>
              <w:ind w:left="1564"/>
              <w:rPr>
                <w:rFonts w:ascii="仿宋" w:hAnsi="仿宋" w:eastAsia="仿宋" w:cs="仿宋"/>
                <w:sz w:val="18"/>
                <w:szCs w:val="18"/>
              </w:rPr>
            </w:pPr>
            <w:r>
              <w:rPr>
                <w:rFonts w:ascii="仿宋" w:hAnsi="仿宋" w:eastAsia="仿宋" w:cs="仿宋"/>
                <w:spacing w:val="-7"/>
                <w:sz w:val="18"/>
                <w:szCs w:val="18"/>
              </w:rPr>
              <w:t>项目</w:t>
            </w:r>
          </w:p>
        </w:tc>
        <w:tc>
          <w:tcPr>
            <w:tcW w:w="827" w:type="dxa"/>
            <w:tcBorders>
              <w:top w:val="single" w:color="000000" w:sz="10" w:space="0"/>
            </w:tcBorders>
            <w:vAlign w:val="top"/>
          </w:tcPr>
          <w:p w14:paraId="705CCE5E">
            <w:pPr>
              <w:spacing w:before="17" w:line="224" w:lineRule="auto"/>
              <w:ind w:left="246"/>
              <w:rPr>
                <w:rFonts w:ascii="仿宋" w:hAnsi="仿宋" w:eastAsia="仿宋" w:cs="仿宋"/>
                <w:sz w:val="18"/>
                <w:szCs w:val="18"/>
              </w:rPr>
            </w:pPr>
            <w:r>
              <w:rPr>
                <w:rFonts w:ascii="仿宋" w:hAnsi="仿宋" w:eastAsia="仿宋" w:cs="仿宋"/>
                <w:spacing w:val="-8"/>
                <w:sz w:val="18"/>
                <w:szCs w:val="18"/>
              </w:rPr>
              <w:t>土方</w:t>
            </w:r>
          </w:p>
          <w:p w14:paraId="698397FF">
            <w:pPr>
              <w:spacing w:before="14" w:line="206" w:lineRule="auto"/>
              <w:ind w:left="252"/>
              <w:rPr>
                <w:rFonts w:ascii="仿宋" w:hAnsi="仿宋" w:eastAsia="仿宋" w:cs="仿宋"/>
                <w:sz w:val="18"/>
                <w:szCs w:val="18"/>
              </w:rPr>
            </w:pPr>
            <w:r>
              <w:rPr>
                <w:rFonts w:ascii="仿宋" w:hAnsi="仿宋" w:eastAsia="仿宋" w:cs="仿宋"/>
                <w:spacing w:val="-10"/>
                <w:sz w:val="18"/>
                <w:szCs w:val="18"/>
              </w:rPr>
              <w:t>总量</w:t>
            </w:r>
          </w:p>
        </w:tc>
        <w:tc>
          <w:tcPr>
            <w:tcW w:w="754" w:type="dxa"/>
            <w:tcBorders>
              <w:top w:val="single" w:color="000000" w:sz="10" w:space="0"/>
            </w:tcBorders>
            <w:vAlign w:val="top"/>
          </w:tcPr>
          <w:p w14:paraId="028951DE">
            <w:pPr>
              <w:spacing w:before="132" w:line="224" w:lineRule="auto"/>
              <w:ind w:left="208"/>
              <w:rPr>
                <w:rFonts w:ascii="仿宋" w:hAnsi="仿宋" w:eastAsia="仿宋" w:cs="仿宋"/>
                <w:sz w:val="18"/>
                <w:szCs w:val="18"/>
              </w:rPr>
            </w:pPr>
            <w:r>
              <w:rPr>
                <w:rFonts w:ascii="仿宋" w:hAnsi="仿宋" w:eastAsia="仿宋" w:cs="仿宋"/>
                <w:spacing w:val="-6"/>
                <w:sz w:val="18"/>
                <w:szCs w:val="18"/>
              </w:rPr>
              <w:t>挖方</w:t>
            </w:r>
          </w:p>
        </w:tc>
        <w:tc>
          <w:tcPr>
            <w:tcW w:w="710" w:type="dxa"/>
            <w:tcBorders>
              <w:top w:val="single" w:color="000000" w:sz="10" w:space="0"/>
            </w:tcBorders>
            <w:vAlign w:val="top"/>
          </w:tcPr>
          <w:p w14:paraId="213168B2">
            <w:pPr>
              <w:spacing w:before="132" w:line="223" w:lineRule="auto"/>
              <w:ind w:left="188"/>
              <w:rPr>
                <w:rFonts w:ascii="仿宋" w:hAnsi="仿宋" w:eastAsia="仿宋" w:cs="仿宋"/>
                <w:sz w:val="18"/>
                <w:szCs w:val="18"/>
              </w:rPr>
            </w:pPr>
            <w:r>
              <w:rPr>
                <w:rFonts w:ascii="仿宋" w:hAnsi="仿宋" w:eastAsia="仿宋" w:cs="仿宋"/>
                <w:spacing w:val="-7"/>
                <w:sz w:val="18"/>
                <w:szCs w:val="18"/>
              </w:rPr>
              <w:t>填方</w:t>
            </w:r>
          </w:p>
        </w:tc>
        <w:tc>
          <w:tcPr>
            <w:tcW w:w="943" w:type="dxa"/>
            <w:tcBorders>
              <w:top w:val="single" w:color="000000" w:sz="10" w:space="0"/>
            </w:tcBorders>
            <w:vAlign w:val="top"/>
          </w:tcPr>
          <w:p w14:paraId="1CF68180">
            <w:pPr>
              <w:spacing w:before="132" w:line="223" w:lineRule="auto"/>
              <w:ind w:left="140"/>
              <w:rPr>
                <w:rFonts w:ascii="仿宋" w:hAnsi="仿宋" w:eastAsia="仿宋" w:cs="仿宋"/>
                <w:sz w:val="18"/>
                <w:szCs w:val="18"/>
              </w:rPr>
            </w:pPr>
            <w:r>
              <w:rPr>
                <w:rFonts w:ascii="仿宋" w:hAnsi="仿宋" w:eastAsia="仿宋" w:cs="仿宋"/>
                <w:spacing w:val="-7"/>
                <w:sz w:val="18"/>
                <w:szCs w:val="18"/>
              </w:rPr>
              <w:t>区间调入</w:t>
            </w:r>
          </w:p>
        </w:tc>
        <w:tc>
          <w:tcPr>
            <w:tcW w:w="939" w:type="dxa"/>
            <w:tcBorders>
              <w:top w:val="single" w:color="000000" w:sz="10" w:space="0"/>
              <w:right w:val="single" w:color="000000" w:sz="6" w:space="0"/>
            </w:tcBorders>
            <w:vAlign w:val="top"/>
          </w:tcPr>
          <w:p w14:paraId="3D53A937">
            <w:pPr>
              <w:spacing w:before="18" w:line="222" w:lineRule="auto"/>
              <w:ind w:left="404" w:right="193" w:hanging="182"/>
              <w:rPr>
                <w:rFonts w:ascii="仿宋" w:hAnsi="仿宋" w:eastAsia="仿宋" w:cs="仿宋"/>
                <w:sz w:val="18"/>
                <w:szCs w:val="18"/>
              </w:rPr>
            </w:pPr>
            <w:r>
              <w:rPr>
                <w:rFonts w:ascii="仿宋" w:hAnsi="仿宋" w:eastAsia="仿宋" w:cs="仿宋"/>
                <w:spacing w:val="-10"/>
                <w:sz w:val="18"/>
                <w:szCs w:val="18"/>
              </w:rPr>
              <w:t>区间调</w:t>
            </w:r>
            <w:r>
              <w:rPr>
                <w:rFonts w:ascii="仿宋" w:hAnsi="仿宋" w:eastAsia="仿宋" w:cs="仿宋"/>
                <w:sz w:val="18"/>
                <w:szCs w:val="18"/>
              </w:rPr>
              <w:t>出</w:t>
            </w:r>
          </w:p>
        </w:tc>
      </w:tr>
      <w:tr w14:paraId="28713B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7C969AD7">
            <w:pPr>
              <w:rPr>
                <w:rFonts w:ascii="Arial"/>
                <w:sz w:val="21"/>
              </w:rPr>
            </w:pPr>
          </w:p>
        </w:tc>
        <w:tc>
          <w:tcPr>
            <w:tcW w:w="808" w:type="dxa"/>
            <w:vMerge w:val="restart"/>
            <w:tcBorders>
              <w:bottom w:val="nil"/>
            </w:tcBorders>
            <w:vAlign w:val="top"/>
          </w:tcPr>
          <w:p w14:paraId="1BD5A9B3">
            <w:pPr>
              <w:spacing w:line="253" w:lineRule="auto"/>
              <w:rPr>
                <w:rFonts w:ascii="Arial"/>
                <w:sz w:val="21"/>
              </w:rPr>
            </w:pPr>
          </w:p>
          <w:p w14:paraId="2ADA4AEE">
            <w:pPr>
              <w:spacing w:line="253" w:lineRule="auto"/>
              <w:rPr>
                <w:rFonts w:ascii="Arial"/>
                <w:sz w:val="21"/>
              </w:rPr>
            </w:pPr>
          </w:p>
          <w:p w14:paraId="633F717C">
            <w:pPr>
              <w:spacing w:line="253" w:lineRule="auto"/>
              <w:rPr>
                <w:rFonts w:ascii="Arial"/>
                <w:sz w:val="21"/>
              </w:rPr>
            </w:pPr>
          </w:p>
          <w:p w14:paraId="505444E2">
            <w:pPr>
              <w:spacing w:line="253" w:lineRule="auto"/>
              <w:rPr>
                <w:rFonts w:ascii="Arial"/>
                <w:sz w:val="21"/>
              </w:rPr>
            </w:pPr>
          </w:p>
          <w:p w14:paraId="71219ACD">
            <w:pPr>
              <w:spacing w:line="253" w:lineRule="auto"/>
              <w:rPr>
                <w:rFonts w:ascii="Arial"/>
                <w:sz w:val="21"/>
              </w:rPr>
            </w:pPr>
          </w:p>
          <w:p w14:paraId="1BCA166D">
            <w:pPr>
              <w:spacing w:line="253" w:lineRule="auto"/>
              <w:rPr>
                <w:rFonts w:ascii="Arial"/>
                <w:sz w:val="21"/>
              </w:rPr>
            </w:pPr>
          </w:p>
          <w:p w14:paraId="04C1F500">
            <w:pPr>
              <w:spacing w:line="254" w:lineRule="auto"/>
              <w:rPr>
                <w:rFonts w:ascii="Arial"/>
                <w:sz w:val="21"/>
              </w:rPr>
            </w:pPr>
          </w:p>
          <w:p w14:paraId="5FE9029A">
            <w:pPr>
              <w:spacing w:before="59"/>
              <w:ind w:left="146" w:right="132" w:hanging="4"/>
              <w:jc w:val="both"/>
              <w:rPr>
                <w:rFonts w:ascii="仿宋" w:hAnsi="仿宋" w:eastAsia="仿宋" w:cs="仿宋"/>
                <w:sz w:val="18"/>
                <w:szCs w:val="18"/>
              </w:rPr>
            </w:pPr>
            <w:r>
              <w:rPr>
                <w:rFonts w:ascii="仿宋" w:hAnsi="仿宋" w:eastAsia="仿宋" w:cs="仿宋"/>
                <w:spacing w:val="-4"/>
                <w:sz w:val="18"/>
                <w:szCs w:val="18"/>
              </w:rPr>
              <w:t>黄土丘</w:t>
            </w:r>
            <w:r>
              <w:rPr>
                <w:rFonts w:ascii="仿宋" w:hAnsi="仿宋" w:eastAsia="仿宋" w:cs="仿宋"/>
                <w:spacing w:val="-6"/>
                <w:sz w:val="18"/>
                <w:szCs w:val="18"/>
              </w:rPr>
              <w:t>陵路基工程区</w:t>
            </w:r>
          </w:p>
        </w:tc>
        <w:tc>
          <w:tcPr>
            <w:tcW w:w="2659" w:type="dxa"/>
            <w:vAlign w:val="top"/>
          </w:tcPr>
          <w:p w14:paraId="2DE5D426">
            <w:pPr>
              <w:pStyle w:val="6"/>
              <w:spacing w:before="28" w:line="222" w:lineRule="auto"/>
              <w:ind w:left="349" w:right="115" w:hanging="225"/>
              <w:rPr>
                <w:rFonts w:ascii="仿宋" w:hAnsi="仿宋" w:eastAsia="仿宋" w:cs="仿宋"/>
              </w:rPr>
            </w:pPr>
            <w:r>
              <w:rPr>
                <w:rFonts w:ascii="仿宋" w:hAnsi="仿宋" w:eastAsia="仿宋" w:cs="仿宋"/>
                <w:spacing w:val="-3"/>
              </w:rPr>
              <w:t>准格尔旗</w:t>
            </w:r>
            <w:r>
              <w:rPr>
                <w:rFonts w:ascii="仿宋" w:hAnsi="仿宋" w:eastAsia="仿宋" w:cs="仿宋"/>
                <w:spacing w:val="-29"/>
              </w:rPr>
              <w:t xml:space="preserve"> </w:t>
            </w:r>
            <w:r>
              <w:rPr>
                <w:spacing w:val="-3"/>
              </w:rPr>
              <w:t>2025</w:t>
            </w:r>
            <w:r>
              <w:rPr>
                <w:spacing w:val="12"/>
                <w:w w:val="101"/>
              </w:rPr>
              <w:t xml:space="preserve"> </w:t>
            </w:r>
            <w:r>
              <w:rPr>
                <w:rFonts w:ascii="仿宋" w:hAnsi="仿宋" w:eastAsia="仿宋" w:cs="仿宋"/>
                <w:spacing w:val="-3"/>
              </w:rPr>
              <w:t>年沙圪堵镇双山</w:t>
            </w:r>
            <w:r>
              <w:rPr>
                <w:rFonts w:ascii="仿宋" w:hAnsi="仿宋" w:eastAsia="仿宋" w:cs="仿宋"/>
                <w:spacing w:val="-2"/>
              </w:rPr>
              <w:t>梁村自然村通硬化路工程</w:t>
            </w:r>
          </w:p>
        </w:tc>
        <w:tc>
          <w:tcPr>
            <w:tcW w:w="827" w:type="dxa"/>
            <w:vAlign w:val="top"/>
          </w:tcPr>
          <w:p w14:paraId="6A3A9CB9">
            <w:pPr>
              <w:pStyle w:val="6"/>
              <w:spacing w:before="175" w:line="188" w:lineRule="auto"/>
              <w:ind w:left="260"/>
            </w:pPr>
            <w:r>
              <w:rPr>
                <w:spacing w:val="-2"/>
              </w:rPr>
              <w:t>0.98</w:t>
            </w:r>
          </w:p>
        </w:tc>
        <w:tc>
          <w:tcPr>
            <w:tcW w:w="754" w:type="dxa"/>
            <w:vAlign w:val="top"/>
          </w:tcPr>
          <w:p w14:paraId="6B53B2D7">
            <w:pPr>
              <w:pStyle w:val="6"/>
              <w:spacing w:before="175" w:line="188" w:lineRule="auto"/>
              <w:ind w:left="225"/>
            </w:pPr>
            <w:r>
              <w:rPr>
                <w:spacing w:val="-2"/>
              </w:rPr>
              <w:t>0.49</w:t>
            </w:r>
          </w:p>
        </w:tc>
        <w:tc>
          <w:tcPr>
            <w:tcW w:w="710" w:type="dxa"/>
            <w:vAlign w:val="top"/>
          </w:tcPr>
          <w:p w14:paraId="3ABB2510">
            <w:pPr>
              <w:pStyle w:val="6"/>
              <w:spacing w:before="175" w:line="188" w:lineRule="auto"/>
              <w:ind w:left="206"/>
            </w:pPr>
            <w:r>
              <w:rPr>
                <w:spacing w:val="-2"/>
              </w:rPr>
              <w:t>0.49</w:t>
            </w:r>
          </w:p>
        </w:tc>
        <w:tc>
          <w:tcPr>
            <w:tcW w:w="943" w:type="dxa"/>
            <w:vAlign w:val="top"/>
          </w:tcPr>
          <w:p w14:paraId="50E7F127">
            <w:pPr>
              <w:pStyle w:val="6"/>
              <w:spacing w:before="175" w:line="188" w:lineRule="auto"/>
              <w:ind w:left="324"/>
            </w:pPr>
            <w:r>
              <w:rPr>
                <w:spacing w:val="-2"/>
              </w:rPr>
              <w:t>0.03</w:t>
            </w:r>
          </w:p>
        </w:tc>
        <w:tc>
          <w:tcPr>
            <w:tcW w:w="939" w:type="dxa"/>
            <w:tcBorders>
              <w:right w:val="single" w:color="000000" w:sz="6" w:space="0"/>
            </w:tcBorders>
            <w:vAlign w:val="top"/>
          </w:tcPr>
          <w:p w14:paraId="398A56B6">
            <w:pPr>
              <w:pStyle w:val="6"/>
              <w:spacing w:before="175" w:line="188" w:lineRule="auto"/>
              <w:ind w:left="314"/>
            </w:pPr>
            <w:r>
              <w:rPr>
                <w:spacing w:val="-2"/>
              </w:rPr>
              <w:t>0.03</w:t>
            </w:r>
          </w:p>
        </w:tc>
      </w:tr>
      <w:tr w14:paraId="187211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51397DF1">
            <w:pPr>
              <w:rPr>
                <w:rFonts w:ascii="Arial"/>
                <w:sz w:val="21"/>
              </w:rPr>
            </w:pPr>
          </w:p>
        </w:tc>
        <w:tc>
          <w:tcPr>
            <w:tcW w:w="808" w:type="dxa"/>
            <w:vMerge w:val="continue"/>
            <w:tcBorders>
              <w:top w:val="nil"/>
              <w:bottom w:val="nil"/>
            </w:tcBorders>
            <w:vAlign w:val="top"/>
          </w:tcPr>
          <w:p w14:paraId="560675A0">
            <w:pPr>
              <w:rPr>
                <w:rFonts w:ascii="Arial"/>
                <w:sz w:val="21"/>
              </w:rPr>
            </w:pPr>
          </w:p>
        </w:tc>
        <w:tc>
          <w:tcPr>
            <w:tcW w:w="2659" w:type="dxa"/>
            <w:vAlign w:val="top"/>
          </w:tcPr>
          <w:p w14:paraId="572E68E8">
            <w:pPr>
              <w:spacing w:before="30" w:line="204" w:lineRule="auto"/>
              <w:ind w:left="260"/>
              <w:rPr>
                <w:rFonts w:ascii="仿宋" w:hAnsi="仿宋" w:eastAsia="仿宋" w:cs="仿宋"/>
                <w:sz w:val="18"/>
                <w:szCs w:val="18"/>
              </w:rPr>
            </w:pPr>
            <w:r>
              <w:rPr>
                <w:rFonts w:ascii="仿宋" w:hAnsi="仿宋" w:eastAsia="仿宋" w:cs="仿宋"/>
                <w:spacing w:val="-2"/>
                <w:sz w:val="18"/>
                <w:szCs w:val="18"/>
              </w:rPr>
              <w:t>李家圪堵至土敖包通村公路</w:t>
            </w:r>
          </w:p>
        </w:tc>
        <w:tc>
          <w:tcPr>
            <w:tcW w:w="827" w:type="dxa"/>
            <w:vAlign w:val="top"/>
          </w:tcPr>
          <w:p w14:paraId="452CF21D">
            <w:pPr>
              <w:pStyle w:val="6"/>
              <w:spacing w:before="59" w:line="188" w:lineRule="auto"/>
              <w:ind w:left="260"/>
            </w:pPr>
            <w:r>
              <w:rPr>
                <w:spacing w:val="-2"/>
              </w:rPr>
              <w:t>0.93</w:t>
            </w:r>
          </w:p>
        </w:tc>
        <w:tc>
          <w:tcPr>
            <w:tcW w:w="754" w:type="dxa"/>
            <w:vAlign w:val="top"/>
          </w:tcPr>
          <w:p w14:paraId="07562B30">
            <w:pPr>
              <w:pStyle w:val="6"/>
              <w:spacing w:before="59" w:line="188" w:lineRule="auto"/>
              <w:ind w:left="225"/>
            </w:pPr>
            <w:r>
              <w:rPr>
                <w:spacing w:val="-2"/>
              </w:rPr>
              <w:t>0.48</w:t>
            </w:r>
          </w:p>
        </w:tc>
        <w:tc>
          <w:tcPr>
            <w:tcW w:w="710" w:type="dxa"/>
            <w:vAlign w:val="top"/>
          </w:tcPr>
          <w:p w14:paraId="5B4BC053">
            <w:pPr>
              <w:pStyle w:val="6"/>
              <w:spacing w:before="59" w:line="188" w:lineRule="auto"/>
              <w:ind w:left="206"/>
            </w:pPr>
            <w:r>
              <w:rPr>
                <w:spacing w:val="-2"/>
              </w:rPr>
              <w:t>0.45</w:t>
            </w:r>
          </w:p>
        </w:tc>
        <w:tc>
          <w:tcPr>
            <w:tcW w:w="943" w:type="dxa"/>
            <w:vAlign w:val="top"/>
          </w:tcPr>
          <w:p w14:paraId="3DE7FF29">
            <w:pPr>
              <w:pStyle w:val="6"/>
              <w:spacing w:before="59" w:line="188" w:lineRule="auto"/>
              <w:ind w:left="324"/>
            </w:pPr>
            <w:r>
              <w:rPr>
                <w:spacing w:val="-2"/>
              </w:rPr>
              <w:t>0.00</w:t>
            </w:r>
          </w:p>
        </w:tc>
        <w:tc>
          <w:tcPr>
            <w:tcW w:w="939" w:type="dxa"/>
            <w:tcBorders>
              <w:right w:val="single" w:color="000000" w:sz="6" w:space="0"/>
            </w:tcBorders>
            <w:vAlign w:val="top"/>
          </w:tcPr>
          <w:p w14:paraId="283C2175">
            <w:pPr>
              <w:pStyle w:val="6"/>
              <w:spacing w:before="59" w:line="188" w:lineRule="auto"/>
              <w:ind w:left="314"/>
            </w:pPr>
            <w:r>
              <w:rPr>
                <w:spacing w:val="-2"/>
              </w:rPr>
              <w:t>0.03</w:t>
            </w:r>
          </w:p>
        </w:tc>
      </w:tr>
      <w:tr w14:paraId="5F1E39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3B3FAFA4">
            <w:pPr>
              <w:rPr>
                <w:rFonts w:ascii="Arial"/>
                <w:sz w:val="21"/>
              </w:rPr>
            </w:pPr>
          </w:p>
        </w:tc>
        <w:tc>
          <w:tcPr>
            <w:tcW w:w="808" w:type="dxa"/>
            <w:vMerge w:val="continue"/>
            <w:tcBorders>
              <w:top w:val="nil"/>
              <w:bottom w:val="nil"/>
            </w:tcBorders>
            <w:vAlign w:val="top"/>
          </w:tcPr>
          <w:p w14:paraId="4E5A3911">
            <w:pPr>
              <w:rPr>
                <w:rFonts w:ascii="Arial"/>
                <w:sz w:val="21"/>
              </w:rPr>
            </w:pPr>
          </w:p>
        </w:tc>
        <w:tc>
          <w:tcPr>
            <w:tcW w:w="2659" w:type="dxa"/>
            <w:vAlign w:val="top"/>
          </w:tcPr>
          <w:p w14:paraId="5828A1EA">
            <w:pPr>
              <w:spacing w:before="29" w:line="204" w:lineRule="auto"/>
              <w:ind w:left="1066"/>
              <w:rPr>
                <w:rFonts w:ascii="仿宋" w:hAnsi="仿宋" w:eastAsia="仿宋" w:cs="仿宋"/>
                <w:sz w:val="18"/>
                <w:szCs w:val="18"/>
              </w:rPr>
            </w:pPr>
            <w:r>
              <w:rPr>
                <w:rFonts w:ascii="仿宋" w:hAnsi="仿宋" w:eastAsia="仿宋" w:cs="仿宋"/>
                <w:spacing w:val="1"/>
                <w:sz w:val="18"/>
                <w:szCs w:val="18"/>
              </w:rPr>
              <w:t>路段一</w:t>
            </w:r>
          </w:p>
        </w:tc>
        <w:tc>
          <w:tcPr>
            <w:tcW w:w="827" w:type="dxa"/>
            <w:vAlign w:val="top"/>
          </w:tcPr>
          <w:p w14:paraId="60D42EB6">
            <w:pPr>
              <w:pStyle w:val="6"/>
              <w:spacing w:before="57" w:line="188" w:lineRule="auto"/>
              <w:ind w:left="260"/>
            </w:pPr>
            <w:r>
              <w:rPr>
                <w:spacing w:val="-2"/>
              </w:rPr>
              <w:t>0.04</w:t>
            </w:r>
          </w:p>
        </w:tc>
        <w:tc>
          <w:tcPr>
            <w:tcW w:w="754" w:type="dxa"/>
            <w:vAlign w:val="top"/>
          </w:tcPr>
          <w:p w14:paraId="606D6727">
            <w:pPr>
              <w:pStyle w:val="6"/>
              <w:spacing w:before="57" w:line="188" w:lineRule="auto"/>
              <w:ind w:left="225"/>
            </w:pPr>
            <w:r>
              <w:rPr>
                <w:spacing w:val="-2"/>
              </w:rPr>
              <w:t>0.02</w:t>
            </w:r>
          </w:p>
        </w:tc>
        <w:tc>
          <w:tcPr>
            <w:tcW w:w="710" w:type="dxa"/>
            <w:vAlign w:val="top"/>
          </w:tcPr>
          <w:p w14:paraId="29FA7F64">
            <w:pPr>
              <w:pStyle w:val="6"/>
              <w:spacing w:before="57" w:line="188" w:lineRule="auto"/>
              <w:ind w:left="206"/>
            </w:pPr>
            <w:r>
              <w:rPr>
                <w:spacing w:val="-2"/>
              </w:rPr>
              <w:t>0.02</w:t>
            </w:r>
          </w:p>
        </w:tc>
        <w:tc>
          <w:tcPr>
            <w:tcW w:w="943" w:type="dxa"/>
            <w:vAlign w:val="top"/>
          </w:tcPr>
          <w:p w14:paraId="11F484B5">
            <w:pPr>
              <w:spacing w:line="228" w:lineRule="exact"/>
              <w:rPr>
                <w:rFonts w:ascii="Arial"/>
                <w:sz w:val="19"/>
              </w:rPr>
            </w:pPr>
          </w:p>
        </w:tc>
        <w:tc>
          <w:tcPr>
            <w:tcW w:w="939" w:type="dxa"/>
            <w:tcBorders>
              <w:right w:val="single" w:color="000000" w:sz="6" w:space="0"/>
            </w:tcBorders>
            <w:vAlign w:val="top"/>
          </w:tcPr>
          <w:p w14:paraId="5615835B">
            <w:pPr>
              <w:spacing w:line="228" w:lineRule="exact"/>
              <w:rPr>
                <w:rFonts w:ascii="Arial"/>
                <w:sz w:val="19"/>
              </w:rPr>
            </w:pPr>
          </w:p>
        </w:tc>
      </w:tr>
      <w:tr w14:paraId="62FA0B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79ACBC26">
            <w:pPr>
              <w:rPr>
                <w:rFonts w:ascii="Arial"/>
                <w:sz w:val="21"/>
              </w:rPr>
            </w:pPr>
          </w:p>
        </w:tc>
        <w:tc>
          <w:tcPr>
            <w:tcW w:w="808" w:type="dxa"/>
            <w:vMerge w:val="continue"/>
            <w:tcBorders>
              <w:top w:val="nil"/>
              <w:bottom w:val="nil"/>
            </w:tcBorders>
            <w:vAlign w:val="top"/>
          </w:tcPr>
          <w:p w14:paraId="602B863C">
            <w:pPr>
              <w:rPr>
                <w:rFonts w:ascii="Arial"/>
                <w:sz w:val="21"/>
              </w:rPr>
            </w:pPr>
          </w:p>
        </w:tc>
        <w:tc>
          <w:tcPr>
            <w:tcW w:w="2659" w:type="dxa"/>
            <w:vAlign w:val="top"/>
          </w:tcPr>
          <w:p w14:paraId="4ACB6F3B">
            <w:pPr>
              <w:spacing w:before="28" w:line="206" w:lineRule="auto"/>
              <w:ind w:left="1066"/>
              <w:rPr>
                <w:rFonts w:ascii="仿宋" w:hAnsi="仿宋" w:eastAsia="仿宋" w:cs="仿宋"/>
                <w:sz w:val="18"/>
                <w:szCs w:val="18"/>
              </w:rPr>
            </w:pPr>
            <w:r>
              <w:rPr>
                <w:rFonts w:ascii="仿宋" w:hAnsi="仿宋" w:eastAsia="仿宋" w:cs="仿宋"/>
                <w:spacing w:val="-4"/>
                <w:sz w:val="18"/>
                <w:szCs w:val="18"/>
              </w:rPr>
              <w:t>路段二</w:t>
            </w:r>
          </w:p>
        </w:tc>
        <w:tc>
          <w:tcPr>
            <w:tcW w:w="827" w:type="dxa"/>
            <w:vAlign w:val="top"/>
          </w:tcPr>
          <w:p w14:paraId="23CD20EB">
            <w:pPr>
              <w:pStyle w:val="6"/>
              <w:spacing w:before="59" w:line="188" w:lineRule="auto"/>
              <w:ind w:left="260"/>
            </w:pPr>
            <w:r>
              <w:rPr>
                <w:spacing w:val="-7"/>
              </w:rPr>
              <w:t>0.</w:t>
            </w:r>
            <w:r>
              <w:rPr>
                <w:spacing w:val="-23"/>
              </w:rPr>
              <w:t xml:space="preserve"> </w:t>
            </w:r>
            <w:r>
              <w:rPr>
                <w:spacing w:val="-7"/>
              </w:rPr>
              <w:t>14</w:t>
            </w:r>
          </w:p>
        </w:tc>
        <w:tc>
          <w:tcPr>
            <w:tcW w:w="754" w:type="dxa"/>
            <w:vAlign w:val="top"/>
          </w:tcPr>
          <w:p w14:paraId="628C71F8">
            <w:pPr>
              <w:pStyle w:val="6"/>
              <w:spacing w:before="59" w:line="188" w:lineRule="auto"/>
              <w:ind w:left="225"/>
            </w:pPr>
            <w:r>
              <w:rPr>
                <w:spacing w:val="-2"/>
              </w:rPr>
              <w:t>0.07</w:t>
            </w:r>
          </w:p>
        </w:tc>
        <w:tc>
          <w:tcPr>
            <w:tcW w:w="710" w:type="dxa"/>
            <w:vAlign w:val="top"/>
          </w:tcPr>
          <w:p w14:paraId="1F6CDFDC">
            <w:pPr>
              <w:pStyle w:val="6"/>
              <w:spacing w:before="59" w:line="188" w:lineRule="auto"/>
              <w:ind w:left="206"/>
            </w:pPr>
            <w:r>
              <w:rPr>
                <w:spacing w:val="-2"/>
              </w:rPr>
              <w:t>0.07</w:t>
            </w:r>
          </w:p>
        </w:tc>
        <w:tc>
          <w:tcPr>
            <w:tcW w:w="943" w:type="dxa"/>
            <w:vAlign w:val="top"/>
          </w:tcPr>
          <w:p w14:paraId="4459BDB9">
            <w:pPr>
              <w:spacing w:line="229" w:lineRule="exact"/>
              <w:rPr>
                <w:rFonts w:ascii="Arial"/>
                <w:sz w:val="19"/>
              </w:rPr>
            </w:pPr>
          </w:p>
        </w:tc>
        <w:tc>
          <w:tcPr>
            <w:tcW w:w="939" w:type="dxa"/>
            <w:tcBorders>
              <w:right w:val="single" w:color="000000" w:sz="6" w:space="0"/>
            </w:tcBorders>
            <w:vAlign w:val="top"/>
          </w:tcPr>
          <w:p w14:paraId="65F9E07C">
            <w:pPr>
              <w:spacing w:line="229" w:lineRule="exact"/>
              <w:rPr>
                <w:rFonts w:ascii="Arial"/>
                <w:sz w:val="19"/>
              </w:rPr>
            </w:pPr>
          </w:p>
        </w:tc>
      </w:tr>
      <w:tr w14:paraId="717C20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086F9F18">
            <w:pPr>
              <w:rPr>
                <w:rFonts w:ascii="Arial"/>
                <w:sz w:val="21"/>
              </w:rPr>
            </w:pPr>
          </w:p>
        </w:tc>
        <w:tc>
          <w:tcPr>
            <w:tcW w:w="808" w:type="dxa"/>
            <w:vMerge w:val="continue"/>
            <w:tcBorders>
              <w:top w:val="nil"/>
              <w:bottom w:val="nil"/>
            </w:tcBorders>
            <w:vAlign w:val="top"/>
          </w:tcPr>
          <w:p w14:paraId="6F7580C2">
            <w:pPr>
              <w:rPr>
                <w:rFonts w:ascii="Arial"/>
                <w:sz w:val="21"/>
              </w:rPr>
            </w:pPr>
          </w:p>
        </w:tc>
        <w:tc>
          <w:tcPr>
            <w:tcW w:w="2659" w:type="dxa"/>
            <w:vAlign w:val="top"/>
          </w:tcPr>
          <w:p w14:paraId="6D94AA58">
            <w:pPr>
              <w:spacing w:before="29" w:line="204" w:lineRule="auto"/>
              <w:ind w:left="1066"/>
              <w:rPr>
                <w:rFonts w:ascii="仿宋" w:hAnsi="仿宋" w:eastAsia="仿宋" w:cs="仿宋"/>
                <w:sz w:val="18"/>
                <w:szCs w:val="18"/>
              </w:rPr>
            </w:pPr>
            <w:r>
              <w:rPr>
                <w:rFonts w:ascii="仿宋" w:hAnsi="仿宋" w:eastAsia="仿宋" w:cs="仿宋"/>
                <w:spacing w:val="-4"/>
                <w:sz w:val="18"/>
                <w:szCs w:val="18"/>
              </w:rPr>
              <w:t>路段三</w:t>
            </w:r>
          </w:p>
        </w:tc>
        <w:tc>
          <w:tcPr>
            <w:tcW w:w="827" w:type="dxa"/>
            <w:vAlign w:val="top"/>
          </w:tcPr>
          <w:p w14:paraId="7E854E13">
            <w:pPr>
              <w:pStyle w:val="6"/>
              <w:spacing w:before="57" w:line="188" w:lineRule="auto"/>
              <w:ind w:left="260"/>
            </w:pPr>
            <w:r>
              <w:rPr>
                <w:spacing w:val="-7"/>
              </w:rPr>
              <w:t>0.</w:t>
            </w:r>
            <w:r>
              <w:rPr>
                <w:spacing w:val="-23"/>
              </w:rPr>
              <w:t xml:space="preserve"> </w:t>
            </w:r>
            <w:r>
              <w:rPr>
                <w:spacing w:val="-7"/>
              </w:rPr>
              <w:t>12</w:t>
            </w:r>
          </w:p>
        </w:tc>
        <w:tc>
          <w:tcPr>
            <w:tcW w:w="754" w:type="dxa"/>
            <w:vAlign w:val="top"/>
          </w:tcPr>
          <w:p w14:paraId="37BE5C0E">
            <w:pPr>
              <w:pStyle w:val="6"/>
              <w:spacing w:before="57" w:line="188" w:lineRule="auto"/>
              <w:ind w:left="225"/>
            </w:pPr>
            <w:r>
              <w:rPr>
                <w:spacing w:val="-2"/>
              </w:rPr>
              <w:t>0.07</w:t>
            </w:r>
          </w:p>
        </w:tc>
        <w:tc>
          <w:tcPr>
            <w:tcW w:w="710" w:type="dxa"/>
            <w:vAlign w:val="top"/>
          </w:tcPr>
          <w:p w14:paraId="1FF7FFE1">
            <w:pPr>
              <w:pStyle w:val="6"/>
              <w:spacing w:before="57" w:line="188" w:lineRule="auto"/>
              <w:ind w:left="206"/>
            </w:pPr>
            <w:r>
              <w:rPr>
                <w:spacing w:val="-2"/>
              </w:rPr>
              <w:t>0.05</w:t>
            </w:r>
          </w:p>
        </w:tc>
        <w:tc>
          <w:tcPr>
            <w:tcW w:w="943" w:type="dxa"/>
            <w:vAlign w:val="top"/>
          </w:tcPr>
          <w:p w14:paraId="7E5F97F2">
            <w:pPr>
              <w:spacing w:line="228" w:lineRule="exact"/>
              <w:rPr>
                <w:rFonts w:ascii="Arial"/>
                <w:sz w:val="19"/>
              </w:rPr>
            </w:pPr>
          </w:p>
        </w:tc>
        <w:tc>
          <w:tcPr>
            <w:tcW w:w="939" w:type="dxa"/>
            <w:tcBorders>
              <w:right w:val="single" w:color="000000" w:sz="6" w:space="0"/>
            </w:tcBorders>
            <w:vAlign w:val="top"/>
          </w:tcPr>
          <w:p w14:paraId="7B7D549C">
            <w:pPr>
              <w:pStyle w:val="6"/>
              <w:spacing w:before="57" w:line="188" w:lineRule="auto"/>
              <w:ind w:left="314"/>
            </w:pPr>
            <w:r>
              <w:rPr>
                <w:spacing w:val="-2"/>
              </w:rPr>
              <w:t>0.02</w:t>
            </w:r>
          </w:p>
        </w:tc>
      </w:tr>
      <w:tr w14:paraId="6B6968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657CD61A">
            <w:pPr>
              <w:rPr>
                <w:rFonts w:ascii="Arial"/>
                <w:sz w:val="21"/>
              </w:rPr>
            </w:pPr>
          </w:p>
        </w:tc>
        <w:tc>
          <w:tcPr>
            <w:tcW w:w="808" w:type="dxa"/>
            <w:vMerge w:val="continue"/>
            <w:tcBorders>
              <w:top w:val="nil"/>
              <w:bottom w:val="nil"/>
            </w:tcBorders>
            <w:vAlign w:val="top"/>
          </w:tcPr>
          <w:p w14:paraId="6F360B6A">
            <w:pPr>
              <w:rPr>
                <w:rFonts w:ascii="Arial"/>
                <w:sz w:val="21"/>
              </w:rPr>
            </w:pPr>
          </w:p>
        </w:tc>
        <w:tc>
          <w:tcPr>
            <w:tcW w:w="2659" w:type="dxa"/>
            <w:vAlign w:val="top"/>
          </w:tcPr>
          <w:p w14:paraId="6598A5DC">
            <w:pPr>
              <w:spacing w:before="28" w:line="205" w:lineRule="auto"/>
              <w:ind w:left="1066"/>
              <w:rPr>
                <w:rFonts w:ascii="仿宋" w:hAnsi="仿宋" w:eastAsia="仿宋" w:cs="仿宋"/>
                <w:sz w:val="18"/>
                <w:szCs w:val="18"/>
              </w:rPr>
            </w:pPr>
            <w:r>
              <w:rPr>
                <w:rFonts w:ascii="仿宋" w:hAnsi="仿宋" w:eastAsia="仿宋" w:cs="仿宋"/>
                <w:spacing w:val="-4"/>
                <w:sz w:val="18"/>
                <w:szCs w:val="18"/>
              </w:rPr>
              <w:t>路段四</w:t>
            </w:r>
          </w:p>
        </w:tc>
        <w:tc>
          <w:tcPr>
            <w:tcW w:w="827" w:type="dxa"/>
            <w:vAlign w:val="top"/>
          </w:tcPr>
          <w:p w14:paraId="4AE8B8BF">
            <w:pPr>
              <w:pStyle w:val="6"/>
              <w:spacing w:before="59" w:line="188" w:lineRule="auto"/>
              <w:ind w:left="260"/>
            </w:pPr>
            <w:r>
              <w:rPr>
                <w:spacing w:val="-2"/>
              </w:rPr>
              <w:t>0.08</w:t>
            </w:r>
          </w:p>
        </w:tc>
        <w:tc>
          <w:tcPr>
            <w:tcW w:w="754" w:type="dxa"/>
            <w:vAlign w:val="top"/>
          </w:tcPr>
          <w:p w14:paraId="3641D139">
            <w:pPr>
              <w:pStyle w:val="6"/>
              <w:spacing w:before="59" w:line="188" w:lineRule="auto"/>
              <w:ind w:left="225"/>
            </w:pPr>
            <w:r>
              <w:rPr>
                <w:spacing w:val="-2"/>
              </w:rPr>
              <w:t>0.04</w:t>
            </w:r>
          </w:p>
        </w:tc>
        <w:tc>
          <w:tcPr>
            <w:tcW w:w="710" w:type="dxa"/>
            <w:vAlign w:val="top"/>
          </w:tcPr>
          <w:p w14:paraId="1626E8FD">
            <w:pPr>
              <w:pStyle w:val="6"/>
              <w:spacing w:before="59" w:line="188" w:lineRule="auto"/>
              <w:ind w:left="206"/>
            </w:pPr>
            <w:r>
              <w:rPr>
                <w:spacing w:val="-2"/>
              </w:rPr>
              <w:t>0.04</w:t>
            </w:r>
          </w:p>
        </w:tc>
        <w:tc>
          <w:tcPr>
            <w:tcW w:w="943" w:type="dxa"/>
            <w:vAlign w:val="top"/>
          </w:tcPr>
          <w:p w14:paraId="5F0F8D26">
            <w:pPr>
              <w:spacing w:line="228" w:lineRule="exact"/>
              <w:rPr>
                <w:rFonts w:ascii="Arial"/>
                <w:sz w:val="19"/>
              </w:rPr>
            </w:pPr>
          </w:p>
        </w:tc>
        <w:tc>
          <w:tcPr>
            <w:tcW w:w="939" w:type="dxa"/>
            <w:tcBorders>
              <w:right w:val="single" w:color="000000" w:sz="6" w:space="0"/>
            </w:tcBorders>
            <w:vAlign w:val="top"/>
          </w:tcPr>
          <w:p w14:paraId="46EC8A9A">
            <w:pPr>
              <w:spacing w:line="228" w:lineRule="exact"/>
              <w:rPr>
                <w:rFonts w:ascii="Arial"/>
                <w:sz w:val="19"/>
              </w:rPr>
            </w:pPr>
          </w:p>
        </w:tc>
      </w:tr>
      <w:tr w14:paraId="6D8C46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0C3807DF">
            <w:pPr>
              <w:rPr>
                <w:rFonts w:ascii="Arial"/>
                <w:sz w:val="21"/>
              </w:rPr>
            </w:pPr>
          </w:p>
        </w:tc>
        <w:tc>
          <w:tcPr>
            <w:tcW w:w="808" w:type="dxa"/>
            <w:vMerge w:val="continue"/>
            <w:tcBorders>
              <w:top w:val="nil"/>
              <w:bottom w:val="nil"/>
            </w:tcBorders>
            <w:vAlign w:val="top"/>
          </w:tcPr>
          <w:p w14:paraId="28A8A575">
            <w:pPr>
              <w:rPr>
                <w:rFonts w:ascii="Arial"/>
                <w:sz w:val="21"/>
              </w:rPr>
            </w:pPr>
          </w:p>
        </w:tc>
        <w:tc>
          <w:tcPr>
            <w:tcW w:w="2659" w:type="dxa"/>
            <w:vAlign w:val="top"/>
          </w:tcPr>
          <w:p w14:paraId="0B2B3DFE">
            <w:pPr>
              <w:spacing w:before="30" w:line="204" w:lineRule="auto"/>
              <w:ind w:left="1066"/>
              <w:rPr>
                <w:rFonts w:ascii="仿宋" w:hAnsi="仿宋" w:eastAsia="仿宋" w:cs="仿宋"/>
                <w:sz w:val="18"/>
                <w:szCs w:val="18"/>
              </w:rPr>
            </w:pPr>
            <w:r>
              <w:rPr>
                <w:rFonts w:ascii="仿宋" w:hAnsi="仿宋" w:eastAsia="仿宋" w:cs="仿宋"/>
                <w:spacing w:val="-4"/>
                <w:sz w:val="18"/>
                <w:szCs w:val="18"/>
              </w:rPr>
              <w:t>路段五</w:t>
            </w:r>
          </w:p>
        </w:tc>
        <w:tc>
          <w:tcPr>
            <w:tcW w:w="827" w:type="dxa"/>
            <w:vAlign w:val="top"/>
          </w:tcPr>
          <w:p w14:paraId="4BEE950D">
            <w:pPr>
              <w:pStyle w:val="6"/>
              <w:spacing w:before="59" w:line="188" w:lineRule="auto"/>
              <w:ind w:left="260"/>
            </w:pPr>
            <w:r>
              <w:rPr>
                <w:spacing w:val="-7"/>
              </w:rPr>
              <w:t>0.</w:t>
            </w:r>
            <w:r>
              <w:rPr>
                <w:spacing w:val="-23"/>
              </w:rPr>
              <w:t xml:space="preserve"> </w:t>
            </w:r>
            <w:r>
              <w:rPr>
                <w:spacing w:val="-7"/>
              </w:rPr>
              <w:t>14</w:t>
            </w:r>
          </w:p>
        </w:tc>
        <w:tc>
          <w:tcPr>
            <w:tcW w:w="754" w:type="dxa"/>
            <w:vAlign w:val="top"/>
          </w:tcPr>
          <w:p w14:paraId="2FCFA454">
            <w:pPr>
              <w:pStyle w:val="6"/>
              <w:spacing w:before="59" w:line="188" w:lineRule="auto"/>
              <w:ind w:left="225"/>
            </w:pPr>
            <w:r>
              <w:rPr>
                <w:spacing w:val="-2"/>
              </w:rPr>
              <w:t>0.07</w:t>
            </w:r>
          </w:p>
        </w:tc>
        <w:tc>
          <w:tcPr>
            <w:tcW w:w="710" w:type="dxa"/>
            <w:vAlign w:val="top"/>
          </w:tcPr>
          <w:p w14:paraId="6882D1B8">
            <w:pPr>
              <w:pStyle w:val="6"/>
              <w:spacing w:before="59" w:line="188" w:lineRule="auto"/>
              <w:ind w:left="206"/>
            </w:pPr>
            <w:r>
              <w:rPr>
                <w:spacing w:val="-2"/>
              </w:rPr>
              <w:t>0.07</w:t>
            </w:r>
          </w:p>
        </w:tc>
        <w:tc>
          <w:tcPr>
            <w:tcW w:w="943" w:type="dxa"/>
            <w:vAlign w:val="top"/>
          </w:tcPr>
          <w:p w14:paraId="07202C95">
            <w:pPr>
              <w:spacing w:line="229" w:lineRule="exact"/>
              <w:rPr>
                <w:rFonts w:ascii="Arial"/>
                <w:sz w:val="19"/>
              </w:rPr>
            </w:pPr>
          </w:p>
        </w:tc>
        <w:tc>
          <w:tcPr>
            <w:tcW w:w="939" w:type="dxa"/>
            <w:tcBorders>
              <w:right w:val="single" w:color="000000" w:sz="6" w:space="0"/>
            </w:tcBorders>
            <w:vAlign w:val="top"/>
          </w:tcPr>
          <w:p w14:paraId="462448D4">
            <w:pPr>
              <w:spacing w:line="229" w:lineRule="exact"/>
              <w:rPr>
                <w:rFonts w:ascii="Arial"/>
                <w:sz w:val="19"/>
              </w:rPr>
            </w:pPr>
          </w:p>
        </w:tc>
      </w:tr>
      <w:tr w14:paraId="24323E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790D0676">
            <w:pPr>
              <w:rPr>
                <w:rFonts w:ascii="Arial"/>
                <w:sz w:val="21"/>
              </w:rPr>
            </w:pPr>
          </w:p>
        </w:tc>
        <w:tc>
          <w:tcPr>
            <w:tcW w:w="808" w:type="dxa"/>
            <w:vMerge w:val="continue"/>
            <w:tcBorders>
              <w:top w:val="nil"/>
              <w:bottom w:val="nil"/>
            </w:tcBorders>
            <w:vAlign w:val="top"/>
          </w:tcPr>
          <w:p w14:paraId="044C698F">
            <w:pPr>
              <w:rPr>
                <w:rFonts w:ascii="Arial"/>
                <w:sz w:val="21"/>
              </w:rPr>
            </w:pPr>
          </w:p>
        </w:tc>
        <w:tc>
          <w:tcPr>
            <w:tcW w:w="2659" w:type="dxa"/>
            <w:vAlign w:val="top"/>
          </w:tcPr>
          <w:p w14:paraId="3DE9CB8A">
            <w:pPr>
              <w:spacing w:before="28" w:line="205" w:lineRule="auto"/>
              <w:ind w:left="1066"/>
              <w:rPr>
                <w:rFonts w:ascii="仿宋" w:hAnsi="仿宋" w:eastAsia="仿宋" w:cs="仿宋"/>
                <w:sz w:val="18"/>
                <w:szCs w:val="18"/>
              </w:rPr>
            </w:pPr>
            <w:r>
              <w:rPr>
                <w:rFonts w:ascii="仿宋" w:hAnsi="仿宋" w:eastAsia="仿宋" w:cs="仿宋"/>
                <w:spacing w:val="-4"/>
                <w:sz w:val="18"/>
                <w:szCs w:val="18"/>
              </w:rPr>
              <w:t>路段六</w:t>
            </w:r>
          </w:p>
        </w:tc>
        <w:tc>
          <w:tcPr>
            <w:tcW w:w="827" w:type="dxa"/>
            <w:vAlign w:val="top"/>
          </w:tcPr>
          <w:p w14:paraId="1979A294">
            <w:pPr>
              <w:pStyle w:val="6"/>
              <w:spacing w:before="57" w:line="188" w:lineRule="auto"/>
              <w:ind w:left="260"/>
            </w:pPr>
            <w:r>
              <w:rPr>
                <w:spacing w:val="-2"/>
              </w:rPr>
              <w:t>0.15</w:t>
            </w:r>
          </w:p>
        </w:tc>
        <w:tc>
          <w:tcPr>
            <w:tcW w:w="754" w:type="dxa"/>
            <w:vAlign w:val="top"/>
          </w:tcPr>
          <w:p w14:paraId="6B13E4A1">
            <w:pPr>
              <w:pStyle w:val="6"/>
              <w:spacing w:before="57" w:line="188" w:lineRule="auto"/>
              <w:ind w:left="225"/>
            </w:pPr>
            <w:r>
              <w:rPr>
                <w:spacing w:val="-2"/>
              </w:rPr>
              <w:t>0.08</w:t>
            </w:r>
          </w:p>
        </w:tc>
        <w:tc>
          <w:tcPr>
            <w:tcW w:w="710" w:type="dxa"/>
            <w:vAlign w:val="top"/>
          </w:tcPr>
          <w:p w14:paraId="42700B95">
            <w:pPr>
              <w:pStyle w:val="6"/>
              <w:spacing w:before="57" w:line="188" w:lineRule="auto"/>
              <w:ind w:left="206"/>
            </w:pPr>
            <w:r>
              <w:rPr>
                <w:spacing w:val="-2"/>
              </w:rPr>
              <w:t>0.07</w:t>
            </w:r>
          </w:p>
        </w:tc>
        <w:tc>
          <w:tcPr>
            <w:tcW w:w="943" w:type="dxa"/>
            <w:vAlign w:val="top"/>
          </w:tcPr>
          <w:p w14:paraId="5E19EB3A">
            <w:pPr>
              <w:spacing w:line="228" w:lineRule="exact"/>
              <w:rPr>
                <w:rFonts w:ascii="Arial"/>
                <w:sz w:val="19"/>
              </w:rPr>
            </w:pPr>
          </w:p>
        </w:tc>
        <w:tc>
          <w:tcPr>
            <w:tcW w:w="939" w:type="dxa"/>
            <w:tcBorders>
              <w:right w:val="single" w:color="000000" w:sz="6" w:space="0"/>
            </w:tcBorders>
            <w:vAlign w:val="top"/>
          </w:tcPr>
          <w:p w14:paraId="47BB1DD5">
            <w:pPr>
              <w:pStyle w:val="6"/>
              <w:spacing w:before="57" w:line="188" w:lineRule="auto"/>
              <w:ind w:left="314"/>
            </w:pPr>
            <w:r>
              <w:rPr>
                <w:spacing w:val="-2"/>
              </w:rPr>
              <w:t>0.01</w:t>
            </w:r>
          </w:p>
        </w:tc>
      </w:tr>
      <w:tr w14:paraId="65A818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24102AE6">
            <w:pPr>
              <w:rPr>
                <w:rFonts w:ascii="Arial"/>
                <w:sz w:val="21"/>
              </w:rPr>
            </w:pPr>
          </w:p>
        </w:tc>
        <w:tc>
          <w:tcPr>
            <w:tcW w:w="808" w:type="dxa"/>
            <w:vMerge w:val="continue"/>
            <w:tcBorders>
              <w:top w:val="nil"/>
              <w:bottom w:val="nil"/>
            </w:tcBorders>
            <w:vAlign w:val="top"/>
          </w:tcPr>
          <w:p w14:paraId="216D86D0">
            <w:pPr>
              <w:rPr>
                <w:rFonts w:ascii="Arial"/>
                <w:sz w:val="21"/>
              </w:rPr>
            </w:pPr>
          </w:p>
        </w:tc>
        <w:tc>
          <w:tcPr>
            <w:tcW w:w="2659" w:type="dxa"/>
            <w:vAlign w:val="top"/>
          </w:tcPr>
          <w:p w14:paraId="3F3ABF60">
            <w:pPr>
              <w:spacing w:before="30" w:line="204" w:lineRule="auto"/>
              <w:ind w:left="1066"/>
              <w:rPr>
                <w:rFonts w:ascii="仿宋" w:hAnsi="仿宋" w:eastAsia="仿宋" w:cs="仿宋"/>
                <w:sz w:val="18"/>
                <w:szCs w:val="18"/>
              </w:rPr>
            </w:pPr>
            <w:r>
              <w:rPr>
                <w:rFonts w:ascii="仿宋" w:hAnsi="仿宋" w:eastAsia="仿宋" w:cs="仿宋"/>
                <w:spacing w:val="-4"/>
                <w:sz w:val="18"/>
                <w:szCs w:val="18"/>
              </w:rPr>
              <w:t>路段七</w:t>
            </w:r>
          </w:p>
        </w:tc>
        <w:tc>
          <w:tcPr>
            <w:tcW w:w="827" w:type="dxa"/>
            <w:vAlign w:val="top"/>
          </w:tcPr>
          <w:p w14:paraId="5EF215FF">
            <w:pPr>
              <w:pStyle w:val="6"/>
              <w:spacing w:before="59" w:line="188" w:lineRule="auto"/>
              <w:ind w:left="260"/>
            </w:pPr>
            <w:r>
              <w:rPr>
                <w:spacing w:val="-2"/>
              </w:rPr>
              <w:t>0.26</w:t>
            </w:r>
          </w:p>
        </w:tc>
        <w:tc>
          <w:tcPr>
            <w:tcW w:w="754" w:type="dxa"/>
            <w:vAlign w:val="top"/>
          </w:tcPr>
          <w:p w14:paraId="2CFE3CD3">
            <w:pPr>
              <w:pStyle w:val="6"/>
              <w:spacing w:before="59" w:line="188" w:lineRule="auto"/>
              <w:ind w:left="225"/>
            </w:pPr>
            <w:r>
              <w:rPr>
                <w:spacing w:val="-2"/>
              </w:rPr>
              <w:t>0.13</w:t>
            </w:r>
          </w:p>
        </w:tc>
        <w:tc>
          <w:tcPr>
            <w:tcW w:w="710" w:type="dxa"/>
            <w:vAlign w:val="top"/>
          </w:tcPr>
          <w:p w14:paraId="41AB482B">
            <w:pPr>
              <w:pStyle w:val="6"/>
              <w:spacing w:before="59" w:line="188" w:lineRule="auto"/>
              <w:ind w:left="206"/>
            </w:pPr>
            <w:r>
              <w:rPr>
                <w:spacing w:val="-2"/>
              </w:rPr>
              <w:t>0.13</w:t>
            </w:r>
          </w:p>
        </w:tc>
        <w:tc>
          <w:tcPr>
            <w:tcW w:w="943" w:type="dxa"/>
            <w:vAlign w:val="top"/>
          </w:tcPr>
          <w:p w14:paraId="3D573690">
            <w:pPr>
              <w:spacing w:line="229" w:lineRule="exact"/>
              <w:rPr>
                <w:rFonts w:ascii="Arial"/>
                <w:sz w:val="19"/>
              </w:rPr>
            </w:pPr>
          </w:p>
        </w:tc>
        <w:tc>
          <w:tcPr>
            <w:tcW w:w="939" w:type="dxa"/>
            <w:tcBorders>
              <w:right w:val="single" w:color="000000" w:sz="6" w:space="0"/>
            </w:tcBorders>
            <w:vAlign w:val="top"/>
          </w:tcPr>
          <w:p w14:paraId="1F48C587">
            <w:pPr>
              <w:spacing w:line="229" w:lineRule="exact"/>
              <w:rPr>
                <w:rFonts w:ascii="Arial"/>
                <w:sz w:val="19"/>
              </w:rPr>
            </w:pPr>
          </w:p>
        </w:tc>
      </w:tr>
      <w:tr w14:paraId="2C66AA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279EEC35">
            <w:pPr>
              <w:rPr>
                <w:rFonts w:ascii="Arial"/>
                <w:sz w:val="21"/>
              </w:rPr>
            </w:pPr>
          </w:p>
        </w:tc>
        <w:tc>
          <w:tcPr>
            <w:tcW w:w="808" w:type="dxa"/>
            <w:vMerge w:val="continue"/>
            <w:tcBorders>
              <w:top w:val="nil"/>
              <w:bottom w:val="nil"/>
            </w:tcBorders>
            <w:vAlign w:val="top"/>
          </w:tcPr>
          <w:p w14:paraId="3D054278">
            <w:pPr>
              <w:rPr>
                <w:rFonts w:ascii="Arial"/>
                <w:sz w:val="21"/>
              </w:rPr>
            </w:pPr>
          </w:p>
        </w:tc>
        <w:tc>
          <w:tcPr>
            <w:tcW w:w="2659" w:type="dxa"/>
            <w:vAlign w:val="top"/>
          </w:tcPr>
          <w:p w14:paraId="7D7D07BE">
            <w:pPr>
              <w:spacing w:before="29" w:line="204" w:lineRule="auto"/>
              <w:ind w:left="615"/>
              <w:rPr>
                <w:rFonts w:ascii="仿宋" w:hAnsi="仿宋" w:eastAsia="仿宋" w:cs="仿宋"/>
                <w:sz w:val="18"/>
                <w:szCs w:val="18"/>
              </w:rPr>
            </w:pPr>
            <w:r>
              <w:rPr>
                <w:rFonts w:ascii="仿宋" w:hAnsi="仿宋" w:eastAsia="仿宋" w:cs="仿宋"/>
                <w:spacing w:val="-2"/>
                <w:sz w:val="18"/>
                <w:szCs w:val="18"/>
              </w:rPr>
              <w:t>双山梁村通社公路</w:t>
            </w:r>
          </w:p>
        </w:tc>
        <w:tc>
          <w:tcPr>
            <w:tcW w:w="827" w:type="dxa"/>
            <w:vAlign w:val="top"/>
          </w:tcPr>
          <w:p w14:paraId="1402756C">
            <w:pPr>
              <w:pStyle w:val="6"/>
              <w:spacing w:before="57" w:line="188" w:lineRule="auto"/>
              <w:ind w:left="260"/>
            </w:pPr>
            <w:r>
              <w:rPr>
                <w:spacing w:val="-2"/>
              </w:rPr>
              <w:t>0.05</w:t>
            </w:r>
          </w:p>
        </w:tc>
        <w:tc>
          <w:tcPr>
            <w:tcW w:w="754" w:type="dxa"/>
            <w:vAlign w:val="top"/>
          </w:tcPr>
          <w:p w14:paraId="3F3A3E2E">
            <w:pPr>
              <w:pStyle w:val="6"/>
              <w:spacing w:before="57" w:line="188" w:lineRule="auto"/>
              <w:ind w:left="225"/>
            </w:pPr>
            <w:r>
              <w:rPr>
                <w:spacing w:val="-2"/>
              </w:rPr>
              <w:t>0.01</w:t>
            </w:r>
          </w:p>
        </w:tc>
        <w:tc>
          <w:tcPr>
            <w:tcW w:w="710" w:type="dxa"/>
            <w:vAlign w:val="top"/>
          </w:tcPr>
          <w:p w14:paraId="740300AB">
            <w:pPr>
              <w:pStyle w:val="6"/>
              <w:spacing w:before="57" w:line="188" w:lineRule="auto"/>
              <w:ind w:left="206"/>
            </w:pPr>
            <w:r>
              <w:rPr>
                <w:spacing w:val="-2"/>
              </w:rPr>
              <w:t>0.04</w:t>
            </w:r>
          </w:p>
        </w:tc>
        <w:tc>
          <w:tcPr>
            <w:tcW w:w="943" w:type="dxa"/>
            <w:vAlign w:val="top"/>
          </w:tcPr>
          <w:p w14:paraId="3CCC2A24">
            <w:pPr>
              <w:pStyle w:val="6"/>
              <w:spacing w:before="57" w:line="188" w:lineRule="auto"/>
              <w:ind w:left="324"/>
            </w:pPr>
            <w:r>
              <w:rPr>
                <w:spacing w:val="-2"/>
              </w:rPr>
              <w:t>0.03</w:t>
            </w:r>
          </w:p>
        </w:tc>
        <w:tc>
          <w:tcPr>
            <w:tcW w:w="939" w:type="dxa"/>
            <w:tcBorders>
              <w:right w:val="single" w:color="000000" w:sz="6" w:space="0"/>
            </w:tcBorders>
            <w:vAlign w:val="top"/>
          </w:tcPr>
          <w:p w14:paraId="23A12131">
            <w:pPr>
              <w:spacing w:line="228" w:lineRule="exact"/>
              <w:rPr>
                <w:rFonts w:ascii="Arial"/>
                <w:sz w:val="19"/>
              </w:rPr>
            </w:pPr>
          </w:p>
        </w:tc>
      </w:tr>
      <w:tr w14:paraId="1C74D5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1CB77F27">
            <w:pPr>
              <w:rPr>
                <w:rFonts w:ascii="Arial"/>
                <w:sz w:val="21"/>
              </w:rPr>
            </w:pPr>
          </w:p>
        </w:tc>
        <w:tc>
          <w:tcPr>
            <w:tcW w:w="808" w:type="dxa"/>
            <w:vMerge w:val="continue"/>
            <w:tcBorders>
              <w:top w:val="nil"/>
              <w:bottom w:val="nil"/>
            </w:tcBorders>
            <w:vAlign w:val="top"/>
          </w:tcPr>
          <w:p w14:paraId="63952841">
            <w:pPr>
              <w:rPr>
                <w:rFonts w:ascii="Arial"/>
                <w:sz w:val="21"/>
              </w:rPr>
            </w:pPr>
          </w:p>
        </w:tc>
        <w:tc>
          <w:tcPr>
            <w:tcW w:w="2659" w:type="dxa"/>
            <w:vAlign w:val="top"/>
          </w:tcPr>
          <w:p w14:paraId="402DF57C">
            <w:pPr>
              <w:pStyle w:val="6"/>
              <w:spacing w:before="28" w:line="222" w:lineRule="auto"/>
              <w:ind w:left="124"/>
              <w:rPr>
                <w:rFonts w:ascii="仿宋" w:hAnsi="仿宋" w:eastAsia="仿宋" w:cs="仿宋"/>
              </w:rPr>
            </w:pPr>
            <w:r>
              <w:rPr>
                <w:rFonts w:ascii="仿宋" w:hAnsi="仿宋" w:eastAsia="仿宋" w:cs="仿宋"/>
                <w:spacing w:val="-3"/>
              </w:rPr>
              <w:t>准格尔旗</w:t>
            </w:r>
            <w:r>
              <w:rPr>
                <w:rFonts w:ascii="仿宋" w:hAnsi="仿宋" w:eastAsia="仿宋" w:cs="仿宋"/>
                <w:spacing w:val="-29"/>
              </w:rPr>
              <w:t xml:space="preserve"> </w:t>
            </w:r>
            <w:r>
              <w:rPr>
                <w:spacing w:val="-3"/>
              </w:rPr>
              <w:t>2025</w:t>
            </w:r>
            <w:r>
              <w:rPr>
                <w:spacing w:val="12"/>
                <w:w w:val="101"/>
              </w:rPr>
              <w:t xml:space="preserve"> </w:t>
            </w:r>
            <w:r>
              <w:rPr>
                <w:rFonts w:ascii="仿宋" w:hAnsi="仿宋" w:eastAsia="仿宋" w:cs="仿宋"/>
                <w:spacing w:val="-3"/>
              </w:rPr>
              <w:t>年沙圪堵镇四道</w:t>
            </w:r>
          </w:p>
          <w:p w14:paraId="3DB34C69">
            <w:pPr>
              <w:spacing w:before="18" w:line="203" w:lineRule="auto"/>
              <w:ind w:left="1163"/>
              <w:rPr>
                <w:rFonts w:ascii="仿宋" w:hAnsi="仿宋" w:eastAsia="仿宋" w:cs="仿宋"/>
                <w:sz w:val="18"/>
                <w:szCs w:val="18"/>
              </w:rPr>
            </w:pPr>
            <w:r>
              <w:rPr>
                <w:rFonts w:ascii="仿宋" w:hAnsi="仿宋" w:eastAsia="仿宋" w:cs="仿宋"/>
                <w:spacing w:val="-10"/>
                <w:sz w:val="18"/>
                <w:szCs w:val="18"/>
              </w:rPr>
              <w:t>包村</w:t>
            </w:r>
          </w:p>
        </w:tc>
        <w:tc>
          <w:tcPr>
            <w:tcW w:w="827" w:type="dxa"/>
            <w:vAlign w:val="top"/>
          </w:tcPr>
          <w:p w14:paraId="407A21A6">
            <w:pPr>
              <w:pStyle w:val="6"/>
              <w:spacing w:before="174" w:line="188" w:lineRule="auto"/>
              <w:ind w:left="275"/>
            </w:pPr>
            <w:r>
              <w:rPr>
                <w:spacing w:val="-5"/>
              </w:rPr>
              <w:t>1.66</w:t>
            </w:r>
          </w:p>
        </w:tc>
        <w:tc>
          <w:tcPr>
            <w:tcW w:w="754" w:type="dxa"/>
            <w:vAlign w:val="top"/>
          </w:tcPr>
          <w:p w14:paraId="63A0BC17">
            <w:pPr>
              <w:pStyle w:val="6"/>
              <w:spacing w:before="174" w:line="188" w:lineRule="auto"/>
              <w:ind w:left="225"/>
            </w:pPr>
            <w:r>
              <w:rPr>
                <w:spacing w:val="-2"/>
              </w:rPr>
              <w:t>0.83</w:t>
            </w:r>
          </w:p>
        </w:tc>
        <w:tc>
          <w:tcPr>
            <w:tcW w:w="710" w:type="dxa"/>
            <w:vAlign w:val="top"/>
          </w:tcPr>
          <w:p w14:paraId="3096D140">
            <w:pPr>
              <w:pStyle w:val="6"/>
              <w:spacing w:before="174" w:line="188" w:lineRule="auto"/>
              <w:ind w:left="206"/>
            </w:pPr>
            <w:r>
              <w:rPr>
                <w:spacing w:val="-2"/>
              </w:rPr>
              <w:t>0.83</w:t>
            </w:r>
          </w:p>
        </w:tc>
        <w:tc>
          <w:tcPr>
            <w:tcW w:w="943" w:type="dxa"/>
            <w:vAlign w:val="top"/>
          </w:tcPr>
          <w:p w14:paraId="1756B925">
            <w:pPr>
              <w:rPr>
                <w:rFonts w:ascii="Arial"/>
                <w:sz w:val="21"/>
              </w:rPr>
            </w:pPr>
          </w:p>
        </w:tc>
        <w:tc>
          <w:tcPr>
            <w:tcW w:w="939" w:type="dxa"/>
            <w:tcBorders>
              <w:right w:val="single" w:color="000000" w:sz="6" w:space="0"/>
            </w:tcBorders>
            <w:vAlign w:val="top"/>
          </w:tcPr>
          <w:p w14:paraId="51CC4D3E">
            <w:pPr>
              <w:rPr>
                <w:rFonts w:ascii="Arial"/>
                <w:sz w:val="21"/>
              </w:rPr>
            </w:pPr>
          </w:p>
        </w:tc>
      </w:tr>
      <w:tr w14:paraId="11F87B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1CDFEA0C">
            <w:pPr>
              <w:rPr>
                <w:rFonts w:ascii="Arial"/>
                <w:sz w:val="21"/>
              </w:rPr>
            </w:pPr>
          </w:p>
        </w:tc>
        <w:tc>
          <w:tcPr>
            <w:tcW w:w="808" w:type="dxa"/>
            <w:vMerge w:val="continue"/>
            <w:tcBorders>
              <w:top w:val="nil"/>
              <w:bottom w:val="nil"/>
            </w:tcBorders>
            <w:vAlign w:val="top"/>
          </w:tcPr>
          <w:p w14:paraId="38967628">
            <w:pPr>
              <w:rPr>
                <w:rFonts w:ascii="Arial"/>
                <w:sz w:val="21"/>
              </w:rPr>
            </w:pPr>
          </w:p>
        </w:tc>
        <w:tc>
          <w:tcPr>
            <w:tcW w:w="2659" w:type="dxa"/>
            <w:vAlign w:val="top"/>
          </w:tcPr>
          <w:p w14:paraId="68AA3C71">
            <w:pPr>
              <w:spacing w:before="30" w:line="204" w:lineRule="auto"/>
              <w:ind w:left="368"/>
              <w:rPr>
                <w:rFonts w:ascii="仿宋" w:hAnsi="仿宋" w:eastAsia="仿宋" w:cs="仿宋"/>
                <w:sz w:val="18"/>
                <w:szCs w:val="18"/>
              </w:rPr>
            </w:pPr>
            <w:r>
              <w:rPr>
                <w:rFonts w:ascii="仿宋" w:hAnsi="仿宋" w:eastAsia="仿宋" w:cs="仿宋"/>
                <w:spacing w:val="-4"/>
                <w:sz w:val="18"/>
                <w:szCs w:val="18"/>
              </w:rPr>
              <w:t>四道包至淡家梁至杨家塔</w:t>
            </w:r>
          </w:p>
        </w:tc>
        <w:tc>
          <w:tcPr>
            <w:tcW w:w="827" w:type="dxa"/>
            <w:vAlign w:val="top"/>
          </w:tcPr>
          <w:p w14:paraId="51775F6D">
            <w:pPr>
              <w:pStyle w:val="6"/>
              <w:spacing w:before="61" w:line="188" w:lineRule="auto"/>
              <w:ind w:left="275"/>
            </w:pPr>
            <w:r>
              <w:rPr>
                <w:spacing w:val="-5"/>
              </w:rPr>
              <w:t>1.66</w:t>
            </w:r>
          </w:p>
        </w:tc>
        <w:tc>
          <w:tcPr>
            <w:tcW w:w="754" w:type="dxa"/>
            <w:vAlign w:val="top"/>
          </w:tcPr>
          <w:p w14:paraId="1F06FE88">
            <w:pPr>
              <w:pStyle w:val="6"/>
              <w:spacing w:before="61" w:line="188" w:lineRule="auto"/>
              <w:ind w:left="225"/>
            </w:pPr>
            <w:r>
              <w:rPr>
                <w:spacing w:val="-2"/>
              </w:rPr>
              <w:t>0.83</w:t>
            </w:r>
          </w:p>
        </w:tc>
        <w:tc>
          <w:tcPr>
            <w:tcW w:w="710" w:type="dxa"/>
            <w:vAlign w:val="top"/>
          </w:tcPr>
          <w:p w14:paraId="155764B6">
            <w:pPr>
              <w:pStyle w:val="6"/>
              <w:spacing w:before="61" w:line="188" w:lineRule="auto"/>
              <w:ind w:left="206"/>
            </w:pPr>
            <w:r>
              <w:rPr>
                <w:spacing w:val="-2"/>
              </w:rPr>
              <w:t>0.83</w:t>
            </w:r>
          </w:p>
        </w:tc>
        <w:tc>
          <w:tcPr>
            <w:tcW w:w="943" w:type="dxa"/>
            <w:vAlign w:val="top"/>
          </w:tcPr>
          <w:p w14:paraId="781E934E">
            <w:pPr>
              <w:spacing w:line="229" w:lineRule="exact"/>
              <w:rPr>
                <w:rFonts w:ascii="Arial"/>
                <w:sz w:val="19"/>
              </w:rPr>
            </w:pPr>
          </w:p>
        </w:tc>
        <w:tc>
          <w:tcPr>
            <w:tcW w:w="939" w:type="dxa"/>
            <w:tcBorders>
              <w:right w:val="single" w:color="000000" w:sz="6" w:space="0"/>
            </w:tcBorders>
            <w:vAlign w:val="top"/>
          </w:tcPr>
          <w:p w14:paraId="2B7E5A9A">
            <w:pPr>
              <w:spacing w:line="229" w:lineRule="exact"/>
              <w:rPr>
                <w:rFonts w:ascii="Arial"/>
                <w:sz w:val="19"/>
              </w:rPr>
            </w:pPr>
          </w:p>
        </w:tc>
      </w:tr>
      <w:tr w14:paraId="243219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737" w:type="dxa"/>
            <w:vMerge w:val="continue"/>
            <w:tcBorders>
              <w:top w:val="nil"/>
              <w:left w:val="single" w:color="000000" w:sz="6" w:space="0"/>
              <w:bottom w:val="nil"/>
            </w:tcBorders>
            <w:vAlign w:val="top"/>
          </w:tcPr>
          <w:p w14:paraId="139DBCC4">
            <w:pPr>
              <w:rPr>
                <w:rFonts w:ascii="Arial"/>
                <w:sz w:val="21"/>
              </w:rPr>
            </w:pPr>
          </w:p>
        </w:tc>
        <w:tc>
          <w:tcPr>
            <w:tcW w:w="808" w:type="dxa"/>
            <w:vMerge w:val="continue"/>
            <w:tcBorders>
              <w:top w:val="nil"/>
              <w:bottom w:val="nil"/>
            </w:tcBorders>
            <w:vAlign w:val="top"/>
          </w:tcPr>
          <w:p w14:paraId="1478A834">
            <w:pPr>
              <w:rPr>
                <w:rFonts w:ascii="Arial"/>
                <w:sz w:val="21"/>
              </w:rPr>
            </w:pPr>
          </w:p>
        </w:tc>
        <w:tc>
          <w:tcPr>
            <w:tcW w:w="2659" w:type="dxa"/>
            <w:vAlign w:val="top"/>
          </w:tcPr>
          <w:p w14:paraId="35548B53">
            <w:pPr>
              <w:pStyle w:val="6"/>
              <w:spacing w:before="29" w:line="221" w:lineRule="auto"/>
              <w:ind w:left="357" w:right="115" w:hanging="233"/>
              <w:rPr>
                <w:rFonts w:ascii="仿宋" w:hAnsi="仿宋" w:eastAsia="仿宋" w:cs="仿宋"/>
              </w:rPr>
            </w:pPr>
            <w:r>
              <w:rPr>
                <w:rFonts w:ascii="仿宋" w:hAnsi="仿宋" w:eastAsia="仿宋" w:cs="仿宋"/>
                <w:spacing w:val="-3"/>
              </w:rPr>
              <w:t>准格尔旗</w:t>
            </w:r>
            <w:r>
              <w:rPr>
                <w:rFonts w:ascii="仿宋" w:hAnsi="仿宋" w:eastAsia="仿宋" w:cs="仿宋"/>
                <w:spacing w:val="-29"/>
              </w:rPr>
              <w:t xml:space="preserve"> </w:t>
            </w:r>
            <w:r>
              <w:rPr>
                <w:spacing w:val="-3"/>
              </w:rPr>
              <w:t>2025</w:t>
            </w:r>
            <w:r>
              <w:rPr>
                <w:spacing w:val="12"/>
                <w:w w:val="101"/>
              </w:rPr>
              <w:t xml:space="preserve"> </w:t>
            </w:r>
            <w:r>
              <w:rPr>
                <w:rFonts w:ascii="仿宋" w:hAnsi="仿宋" w:eastAsia="仿宋" w:cs="仿宋"/>
                <w:spacing w:val="-3"/>
              </w:rPr>
              <w:t>年沙圪堵镇乌拉</w:t>
            </w:r>
            <w:r>
              <w:rPr>
                <w:rFonts w:ascii="仿宋" w:hAnsi="仿宋" w:eastAsia="仿宋" w:cs="仿宋"/>
                <w:spacing w:val="-2"/>
              </w:rPr>
              <w:t>素村自然村通硬化路工程</w:t>
            </w:r>
          </w:p>
        </w:tc>
        <w:tc>
          <w:tcPr>
            <w:tcW w:w="827" w:type="dxa"/>
            <w:vAlign w:val="top"/>
          </w:tcPr>
          <w:p w14:paraId="67D68654">
            <w:pPr>
              <w:pStyle w:val="6"/>
              <w:spacing w:before="174" w:line="188" w:lineRule="auto"/>
              <w:ind w:left="260"/>
            </w:pPr>
            <w:r>
              <w:rPr>
                <w:spacing w:val="-2"/>
              </w:rPr>
              <w:t>0.68</w:t>
            </w:r>
          </w:p>
        </w:tc>
        <w:tc>
          <w:tcPr>
            <w:tcW w:w="754" w:type="dxa"/>
            <w:vAlign w:val="top"/>
          </w:tcPr>
          <w:p w14:paraId="3B15B345">
            <w:pPr>
              <w:pStyle w:val="6"/>
              <w:spacing w:before="174" w:line="188" w:lineRule="auto"/>
              <w:ind w:left="225"/>
            </w:pPr>
            <w:r>
              <w:rPr>
                <w:spacing w:val="-2"/>
              </w:rPr>
              <w:t>0.34</w:t>
            </w:r>
          </w:p>
        </w:tc>
        <w:tc>
          <w:tcPr>
            <w:tcW w:w="710" w:type="dxa"/>
            <w:vAlign w:val="top"/>
          </w:tcPr>
          <w:p w14:paraId="78152AD2">
            <w:pPr>
              <w:pStyle w:val="6"/>
              <w:spacing w:before="174" w:line="188" w:lineRule="auto"/>
              <w:ind w:left="206"/>
            </w:pPr>
            <w:r>
              <w:rPr>
                <w:spacing w:val="-2"/>
              </w:rPr>
              <w:t>0.34</w:t>
            </w:r>
          </w:p>
        </w:tc>
        <w:tc>
          <w:tcPr>
            <w:tcW w:w="943" w:type="dxa"/>
            <w:vAlign w:val="top"/>
          </w:tcPr>
          <w:p w14:paraId="7BA5E0D7">
            <w:pPr>
              <w:rPr>
                <w:rFonts w:ascii="Arial"/>
                <w:sz w:val="21"/>
              </w:rPr>
            </w:pPr>
          </w:p>
        </w:tc>
        <w:tc>
          <w:tcPr>
            <w:tcW w:w="939" w:type="dxa"/>
            <w:tcBorders>
              <w:right w:val="single" w:color="000000" w:sz="6" w:space="0"/>
            </w:tcBorders>
            <w:vAlign w:val="top"/>
          </w:tcPr>
          <w:p w14:paraId="4008833D">
            <w:pPr>
              <w:rPr>
                <w:rFonts w:ascii="Arial"/>
                <w:sz w:val="21"/>
              </w:rPr>
            </w:pPr>
          </w:p>
        </w:tc>
      </w:tr>
      <w:tr w14:paraId="04DFA4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41BE6BFE">
            <w:pPr>
              <w:rPr>
                <w:rFonts w:ascii="Arial"/>
                <w:sz w:val="21"/>
              </w:rPr>
            </w:pPr>
          </w:p>
        </w:tc>
        <w:tc>
          <w:tcPr>
            <w:tcW w:w="808" w:type="dxa"/>
            <w:vMerge w:val="continue"/>
            <w:tcBorders>
              <w:top w:val="nil"/>
            </w:tcBorders>
            <w:vAlign w:val="top"/>
          </w:tcPr>
          <w:p w14:paraId="7DF94014">
            <w:pPr>
              <w:rPr>
                <w:rFonts w:ascii="Arial"/>
                <w:sz w:val="21"/>
              </w:rPr>
            </w:pPr>
          </w:p>
        </w:tc>
        <w:tc>
          <w:tcPr>
            <w:tcW w:w="2659" w:type="dxa"/>
            <w:vAlign w:val="top"/>
          </w:tcPr>
          <w:p w14:paraId="4B3887A6">
            <w:pPr>
              <w:spacing w:before="30" w:line="222" w:lineRule="auto"/>
              <w:ind w:left="176"/>
              <w:rPr>
                <w:rFonts w:ascii="仿宋" w:hAnsi="仿宋" w:eastAsia="仿宋" w:cs="仿宋"/>
                <w:sz w:val="18"/>
                <w:szCs w:val="18"/>
              </w:rPr>
            </w:pPr>
            <w:r>
              <w:rPr>
                <w:rFonts w:ascii="仿宋" w:hAnsi="仿宋" w:eastAsia="仿宋" w:cs="仿宋"/>
                <w:spacing w:val="-2"/>
                <w:sz w:val="18"/>
                <w:szCs w:val="18"/>
              </w:rPr>
              <w:t>乌拉素村二道壕大坝至秦家塔</w:t>
            </w:r>
          </w:p>
          <w:p w14:paraId="05445FDC">
            <w:pPr>
              <w:spacing w:before="16" w:line="203" w:lineRule="auto"/>
              <w:ind w:left="1247"/>
              <w:rPr>
                <w:rFonts w:ascii="仿宋" w:hAnsi="仿宋" w:eastAsia="仿宋" w:cs="仿宋"/>
                <w:sz w:val="18"/>
                <w:szCs w:val="18"/>
              </w:rPr>
            </w:pPr>
            <w:r>
              <w:rPr>
                <w:rFonts w:ascii="仿宋" w:hAnsi="仿宋" w:eastAsia="仿宋" w:cs="仿宋"/>
                <w:sz w:val="18"/>
                <w:szCs w:val="18"/>
              </w:rPr>
              <w:t>社</w:t>
            </w:r>
          </w:p>
        </w:tc>
        <w:tc>
          <w:tcPr>
            <w:tcW w:w="827" w:type="dxa"/>
            <w:vAlign w:val="top"/>
          </w:tcPr>
          <w:p w14:paraId="6F3A8FDA">
            <w:pPr>
              <w:pStyle w:val="6"/>
              <w:spacing w:before="177" w:line="188" w:lineRule="auto"/>
              <w:ind w:left="260"/>
            </w:pPr>
            <w:r>
              <w:rPr>
                <w:spacing w:val="-2"/>
              </w:rPr>
              <w:t>0.68</w:t>
            </w:r>
          </w:p>
        </w:tc>
        <w:tc>
          <w:tcPr>
            <w:tcW w:w="754" w:type="dxa"/>
            <w:vAlign w:val="top"/>
          </w:tcPr>
          <w:p w14:paraId="012DB263">
            <w:pPr>
              <w:pStyle w:val="6"/>
              <w:spacing w:before="177" w:line="188" w:lineRule="auto"/>
              <w:ind w:left="225"/>
            </w:pPr>
            <w:r>
              <w:rPr>
                <w:spacing w:val="-2"/>
              </w:rPr>
              <w:t>0.34</w:t>
            </w:r>
          </w:p>
        </w:tc>
        <w:tc>
          <w:tcPr>
            <w:tcW w:w="710" w:type="dxa"/>
            <w:vAlign w:val="top"/>
          </w:tcPr>
          <w:p w14:paraId="1D53020B">
            <w:pPr>
              <w:pStyle w:val="6"/>
              <w:spacing w:before="177" w:line="188" w:lineRule="auto"/>
              <w:ind w:left="206"/>
            </w:pPr>
            <w:r>
              <w:rPr>
                <w:spacing w:val="-2"/>
              </w:rPr>
              <w:t>0.34</w:t>
            </w:r>
          </w:p>
        </w:tc>
        <w:tc>
          <w:tcPr>
            <w:tcW w:w="943" w:type="dxa"/>
            <w:vAlign w:val="top"/>
          </w:tcPr>
          <w:p w14:paraId="1055B4AE">
            <w:pPr>
              <w:rPr>
                <w:rFonts w:ascii="Arial"/>
                <w:sz w:val="21"/>
              </w:rPr>
            </w:pPr>
          </w:p>
        </w:tc>
        <w:tc>
          <w:tcPr>
            <w:tcW w:w="939" w:type="dxa"/>
            <w:tcBorders>
              <w:right w:val="single" w:color="000000" w:sz="6" w:space="0"/>
            </w:tcBorders>
            <w:vAlign w:val="top"/>
          </w:tcPr>
          <w:p w14:paraId="217D4B1D">
            <w:pPr>
              <w:rPr>
                <w:rFonts w:ascii="Arial"/>
                <w:sz w:val="21"/>
              </w:rPr>
            </w:pPr>
          </w:p>
        </w:tc>
      </w:tr>
      <w:tr w14:paraId="2188C7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4066CBF6">
            <w:pPr>
              <w:rPr>
                <w:rFonts w:ascii="Arial"/>
                <w:sz w:val="21"/>
              </w:rPr>
            </w:pPr>
          </w:p>
        </w:tc>
        <w:tc>
          <w:tcPr>
            <w:tcW w:w="808" w:type="dxa"/>
            <w:vMerge w:val="restart"/>
            <w:tcBorders>
              <w:bottom w:val="nil"/>
            </w:tcBorders>
            <w:vAlign w:val="top"/>
          </w:tcPr>
          <w:p w14:paraId="16D8175E">
            <w:pPr>
              <w:spacing w:line="274" w:lineRule="auto"/>
              <w:rPr>
                <w:rFonts w:ascii="Arial"/>
                <w:sz w:val="21"/>
              </w:rPr>
            </w:pPr>
          </w:p>
          <w:p w14:paraId="550DE674">
            <w:pPr>
              <w:spacing w:line="275" w:lineRule="auto"/>
              <w:rPr>
                <w:rFonts w:ascii="Arial"/>
                <w:sz w:val="21"/>
              </w:rPr>
            </w:pPr>
          </w:p>
          <w:p w14:paraId="69CE5E8D">
            <w:pPr>
              <w:spacing w:line="275" w:lineRule="auto"/>
              <w:rPr>
                <w:rFonts w:ascii="Arial"/>
                <w:sz w:val="21"/>
              </w:rPr>
            </w:pPr>
          </w:p>
          <w:p w14:paraId="387D186F">
            <w:pPr>
              <w:spacing w:line="275" w:lineRule="auto"/>
              <w:rPr>
                <w:rFonts w:ascii="Arial"/>
                <w:sz w:val="21"/>
              </w:rPr>
            </w:pPr>
          </w:p>
          <w:p w14:paraId="4C263F92">
            <w:pPr>
              <w:spacing w:line="275" w:lineRule="auto"/>
              <w:rPr>
                <w:rFonts w:ascii="Arial"/>
                <w:sz w:val="21"/>
              </w:rPr>
            </w:pPr>
          </w:p>
          <w:p w14:paraId="3AABFD4A">
            <w:pPr>
              <w:spacing w:line="275" w:lineRule="auto"/>
              <w:rPr>
                <w:rFonts w:ascii="Arial"/>
                <w:sz w:val="21"/>
              </w:rPr>
            </w:pPr>
          </w:p>
          <w:p w14:paraId="340FE4CB">
            <w:pPr>
              <w:spacing w:before="59"/>
              <w:ind w:left="141" w:right="132" w:firstLine="3"/>
              <w:jc w:val="both"/>
              <w:rPr>
                <w:rFonts w:ascii="仿宋" w:hAnsi="仿宋" w:eastAsia="仿宋" w:cs="仿宋"/>
                <w:sz w:val="18"/>
                <w:szCs w:val="18"/>
              </w:rPr>
            </w:pPr>
            <w:r>
              <w:rPr>
                <w:rFonts w:ascii="仿宋" w:hAnsi="仿宋" w:eastAsia="仿宋" w:cs="仿宋"/>
                <w:spacing w:val="-5"/>
                <w:sz w:val="18"/>
                <w:szCs w:val="18"/>
              </w:rPr>
              <w:t>覆沙区</w:t>
            </w:r>
            <w:r>
              <w:rPr>
                <w:rFonts w:ascii="仿宋" w:hAnsi="仿宋" w:eastAsia="仿宋" w:cs="仿宋"/>
                <w:spacing w:val="-4"/>
                <w:sz w:val="18"/>
                <w:szCs w:val="18"/>
              </w:rPr>
              <w:t>路基工</w:t>
            </w:r>
            <w:r>
              <w:rPr>
                <w:rFonts w:ascii="仿宋" w:hAnsi="仿宋" w:eastAsia="仿宋" w:cs="仿宋"/>
                <w:spacing w:val="39"/>
                <w:sz w:val="18"/>
                <w:szCs w:val="18"/>
              </w:rPr>
              <w:t>程区</w:t>
            </w:r>
          </w:p>
        </w:tc>
        <w:tc>
          <w:tcPr>
            <w:tcW w:w="2659" w:type="dxa"/>
            <w:vAlign w:val="top"/>
          </w:tcPr>
          <w:p w14:paraId="5DD877A1">
            <w:pPr>
              <w:pStyle w:val="6"/>
              <w:spacing w:before="31" w:line="220" w:lineRule="auto"/>
              <w:ind w:left="351" w:right="115" w:hanging="227"/>
              <w:rPr>
                <w:rFonts w:ascii="仿宋" w:hAnsi="仿宋" w:eastAsia="仿宋" w:cs="仿宋"/>
              </w:rPr>
            </w:pPr>
            <w:r>
              <w:rPr>
                <w:rFonts w:ascii="仿宋" w:hAnsi="仿宋" w:eastAsia="仿宋" w:cs="仿宋"/>
                <w:spacing w:val="-3"/>
              </w:rPr>
              <w:t>准格尔旗</w:t>
            </w:r>
            <w:r>
              <w:rPr>
                <w:rFonts w:ascii="仿宋" w:hAnsi="仿宋" w:eastAsia="仿宋" w:cs="仿宋"/>
                <w:spacing w:val="-29"/>
              </w:rPr>
              <w:t xml:space="preserve"> </w:t>
            </w:r>
            <w:r>
              <w:rPr>
                <w:spacing w:val="-3"/>
              </w:rPr>
              <w:t>2025</w:t>
            </w:r>
            <w:r>
              <w:rPr>
                <w:spacing w:val="12"/>
                <w:w w:val="101"/>
              </w:rPr>
              <w:t xml:space="preserve"> </w:t>
            </w:r>
            <w:r>
              <w:rPr>
                <w:rFonts w:ascii="仿宋" w:hAnsi="仿宋" w:eastAsia="仿宋" w:cs="仿宋"/>
                <w:spacing w:val="-3"/>
              </w:rPr>
              <w:t>年十二连城乡柴</w:t>
            </w:r>
            <w:r>
              <w:rPr>
                <w:rFonts w:ascii="仿宋" w:hAnsi="仿宋" w:eastAsia="仿宋" w:cs="仿宋"/>
                <w:spacing w:val="-2"/>
              </w:rPr>
              <w:t>登村自然村通硬化路工程</w:t>
            </w:r>
          </w:p>
        </w:tc>
        <w:tc>
          <w:tcPr>
            <w:tcW w:w="827" w:type="dxa"/>
            <w:vAlign w:val="top"/>
          </w:tcPr>
          <w:p w14:paraId="41F17BDE">
            <w:pPr>
              <w:pStyle w:val="6"/>
              <w:spacing w:before="178" w:line="188" w:lineRule="auto"/>
              <w:ind w:left="260"/>
            </w:pPr>
            <w:r>
              <w:rPr>
                <w:spacing w:val="-2"/>
              </w:rPr>
              <w:t>0.85</w:t>
            </w:r>
          </w:p>
        </w:tc>
        <w:tc>
          <w:tcPr>
            <w:tcW w:w="754" w:type="dxa"/>
            <w:vAlign w:val="top"/>
          </w:tcPr>
          <w:p w14:paraId="452A2130">
            <w:pPr>
              <w:pStyle w:val="6"/>
              <w:spacing w:before="178" w:line="188" w:lineRule="auto"/>
              <w:ind w:left="225"/>
            </w:pPr>
            <w:r>
              <w:rPr>
                <w:spacing w:val="-2"/>
              </w:rPr>
              <w:t>0.33</w:t>
            </w:r>
          </w:p>
        </w:tc>
        <w:tc>
          <w:tcPr>
            <w:tcW w:w="710" w:type="dxa"/>
            <w:vAlign w:val="top"/>
          </w:tcPr>
          <w:p w14:paraId="780ED152">
            <w:pPr>
              <w:pStyle w:val="6"/>
              <w:spacing w:before="178" w:line="188" w:lineRule="auto"/>
              <w:ind w:left="206"/>
            </w:pPr>
            <w:r>
              <w:rPr>
                <w:spacing w:val="-2"/>
              </w:rPr>
              <w:t>0.52</w:t>
            </w:r>
          </w:p>
        </w:tc>
        <w:tc>
          <w:tcPr>
            <w:tcW w:w="943" w:type="dxa"/>
            <w:vAlign w:val="top"/>
          </w:tcPr>
          <w:p w14:paraId="5E35A443">
            <w:pPr>
              <w:pStyle w:val="6"/>
              <w:spacing w:before="178" w:line="188" w:lineRule="auto"/>
              <w:ind w:left="324"/>
            </w:pPr>
            <w:r>
              <w:rPr>
                <w:spacing w:val="-2"/>
              </w:rPr>
              <w:t>0.19</w:t>
            </w:r>
          </w:p>
        </w:tc>
        <w:tc>
          <w:tcPr>
            <w:tcW w:w="939" w:type="dxa"/>
            <w:tcBorders>
              <w:right w:val="single" w:color="000000" w:sz="6" w:space="0"/>
            </w:tcBorders>
            <w:vAlign w:val="top"/>
          </w:tcPr>
          <w:p w14:paraId="4FBDF92F">
            <w:pPr>
              <w:rPr>
                <w:rFonts w:ascii="Arial"/>
                <w:sz w:val="21"/>
              </w:rPr>
            </w:pPr>
          </w:p>
        </w:tc>
      </w:tr>
      <w:tr w14:paraId="56D13C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7212840D">
            <w:pPr>
              <w:rPr>
                <w:rFonts w:ascii="Arial"/>
                <w:sz w:val="21"/>
              </w:rPr>
            </w:pPr>
          </w:p>
        </w:tc>
        <w:tc>
          <w:tcPr>
            <w:tcW w:w="808" w:type="dxa"/>
            <w:vMerge w:val="continue"/>
            <w:tcBorders>
              <w:top w:val="nil"/>
              <w:bottom w:val="nil"/>
            </w:tcBorders>
            <w:vAlign w:val="top"/>
          </w:tcPr>
          <w:p w14:paraId="6F30655D">
            <w:pPr>
              <w:rPr>
                <w:rFonts w:ascii="Arial"/>
                <w:sz w:val="21"/>
              </w:rPr>
            </w:pPr>
          </w:p>
        </w:tc>
        <w:tc>
          <w:tcPr>
            <w:tcW w:w="2659" w:type="dxa"/>
            <w:vAlign w:val="top"/>
          </w:tcPr>
          <w:p w14:paraId="325A06BE">
            <w:pPr>
              <w:spacing w:before="34" w:line="222" w:lineRule="auto"/>
              <w:ind w:left="167"/>
              <w:rPr>
                <w:rFonts w:ascii="仿宋" w:hAnsi="仿宋" w:eastAsia="仿宋" w:cs="仿宋"/>
                <w:sz w:val="18"/>
                <w:szCs w:val="18"/>
              </w:rPr>
            </w:pPr>
            <w:r>
              <w:rPr>
                <w:rFonts w:ascii="仿宋" w:hAnsi="仿宋" w:eastAsia="仿宋" w:cs="仿宋"/>
                <w:spacing w:val="-1"/>
                <w:sz w:val="18"/>
                <w:szCs w:val="18"/>
              </w:rPr>
              <w:t>沿黄巨合滩出口东至天顺圪梁</w:t>
            </w:r>
          </w:p>
          <w:p w14:paraId="4ACDE966">
            <w:pPr>
              <w:spacing w:before="16" w:line="199" w:lineRule="auto"/>
              <w:ind w:left="1071"/>
              <w:rPr>
                <w:rFonts w:ascii="仿宋" w:hAnsi="仿宋" w:eastAsia="仿宋" w:cs="仿宋"/>
                <w:sz w:val="18"/>
                <w:szCs w:val="18"/>
              </w:rPr>
            </w:pPr>
            <w:r>
              <w:rPr>
                <w:rFonts w:ascii="仿宋" w:hAnsi="仿宋" w:eastAsia="仿宋" w:cs="仿宋"/>
                <w:spacing w:val="-6"/>
                <w:sz w:val="18"/>
                <w:szCs w:val="18"/>
              </w:rPr>
              <w:t>通村路</w:t>
            </w:r>
          </w:p>
        </w:tc>
        <w:tc>
          <w:tcPr>
            <w:tcW w:w="827" w:type="dxa"/>
            <w:vAlign w:val="top"/>
          </w:tcPr>
          <w:p w14:paraId="4473793B">
            <w:pPr>
              <w:pStyle w:val="6"/>
              <w:spacing w:before="180" w:line="188" w:lineRule="auto"/>
              <w:ind w:left="260"/>
            </w:pPr>
            <w:r>
              <w:rPr>
                <w:spacing w:val="-2"/>
              </w:rPr>
              <w:t>0.85</w:t>
            </w:r>
          </w:p>
        </w:tc>
        <w:tc>
          <w:tcPr>
            <w:tcW w:w="754" w:type="dxa"/>
            <w:vAlign w:val="top"/>
          </w:tcPr>
          <w:p w14:paraId="76620E7C">
            <w:pPr>
              <w:pStyle w:val="6"/>
              <w:spacing w:before="180" w:line="188" w:lineRule="auto"/>
              <w:ind w:left="225"/>
            </w:pPr>
            <w:r>
              <w:rPr>
                <w:spacing w:val="-2"/>
              </w:rPr>
              <w:t>0.33</w:t>
            </w:r>
          </w:p>
        </w:tc>
        <w:tc>
          <w:tcPr>
            <w:tcW w:w="710" w:type="dxa"/>
            <w:vAlign w:val="top"/>
          </w:tcPr>
          <w:p w14:paraId="77BF4816">
            <w:pPr>
              <w:pStyle w:val="6"/>
              <w:spacing w:before="180" w:line="188" w:lineRule="auto"/>
              <w:ind w:left="206"/>
            </w:pPr>
            <w:r>
              <w:rPr>
                <w:spacing w:val="-2"/>
              </w:rPr>
              <w:t>0.52</w:t>
            </w:r>
          </w:p>
        </w:tc>
        <w:tc>
          <w:tcPr>
            <w:tcW w:w="943" w:type="dxa"/>
            <w:vAlign w:val="top"/>
          </w:tcPr>
          <w:p w14:paraId="6019B39E">
            <w:pPr>
              <w:pStyle w:val="6"/>
              <w:spacing w:before="180" w:line="188" w:lineRule="auto"/>
              <w:ind w:left="324"/>
            </w:pPr>
            <w:r>
              <w:rPr>
                <w:spacing w:val="-2"/>
              </w:rPr>
              <w:t>0.19</w:t>
            </w:r>
          </w:p>
        </w:tc>
        <w:tc>
          <w:tcPr>
            <w:tcW w:w="939" w:type="dxa"/>
            <w:tcBorders>
              <w:right w:val="single" w:color="000000" w:sz="6" w:space="0"/>
            </w:tcBorders>
            <w:vAlign w:val="top"/>
          </w:tcPr>
          <w:p w14:paraId="44DB4E16">
            <w:pPr>
              <w:rPr>
                <w:rFonts w:ascii="Arial"/>
                <w:sz w:val="21"/>
              </w:rPr>
            </w:pPr>
          </w:p>
        </w:tc>
      </w:tr>
      <w:tr w14:paraId="7DF20D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346419D1">
            <w:pPr>
              <w:rPr>
                <w:rFonts w:ascii="Arial"/>
                <w:sz w:val="21"/>
              </w:rPr>
            </w:pPr>
          </w:p>
        </w:tc>
        <w:tc>
          <w:tcPr>
            <w:tcW w:w="808" w:type="dxa"/>
            <w:vMerge w:val="continue"/>
            <w:tcBorders>
              <w:top w:val="nil"/>
              <w:bottom w:val="nil"/>
            </w:tcBorders>
            <w:vAlign w:val="top"/>
          </w:tcPr>
          <w:p w14:paraId="40EA178C">
            <w:pPr>
              <w:rPr>
                <w:rFonts w:ascii="Arial"/>
                <w:sz w:val="21"/>
              </w:rPr>
            </w:pPr>
          </w:p>
        </w:tc>
        <w:tc>
          <w:tcPr>
            <w:tcW w:w="2659" w:type="dxa"/>
            <w:vAlign w:val="top"/>
          </w:tcPr>
          <w:p w14:paraId="17ACAAFE">
            <w:pPr>
              <w:pStyle w:val="6"/>
              <w:spacing w:before="33" w:line="219" w:lineRule="auto"/>
              <w:ind w:left="256" w:right="115" w:hanging="132"/>
              <w:rPr>
                <w:rFonts w:ascii="仿宋" w:hAnsi="仿宋" w:eastAsia="仿宋" w:cs="仿宋"/>
              </w:rPr>
            </w:pPr>
            <w:r>
              <w:rPr>
                <w:rFonts w:ascii="仿宋" w:hAnsi="仿宋" w:eastAsia="仿宋" w:cs="仿宋"/>
                <w:spacing w:val="-3"/>
              </w:rPr>
              <w:t>准格尔旗</w:t>
            </w:r>
            <w:r>
              <w:rPr>
                <w:rFonts w:ascii="仿宋" w:hAnsi="仿宋" w:eastAsia="仿宋" w:cs="仿宋"/>
                <w:spacing w:val="-29"/>
              </w:rPr>
              <w:t xml:space="preserve"> </w:t>
            </w:r>
            <w:r>
              <w:rPr>
                <w:spacing w:val="-3"/>
              </w:rPr>
              <w:t>2025</w:t>
            </w:r>
            <w:r>
              <w:rPr>
                <w:spacing w:val="12"/>
                <w:w w:val="101"/>
              </w:rPr>
              <w:t xml:space="preserve"> </w:t>
            </w:r>
            <w:r>
              <w:rPr>
                <w:rFonts w:ascii="仿宋" w:hAnsi="仿宋" w:eastAsia="仿宋" w:cs="仿宋"/>
                <w:spacing w:val="-3"/>
              </w:rPr>
              <w:t>年十二连城乡二</w:t>
            </w:r>
            <w:r>
              <w:rPr>
                <w:rFonts w:ascii="仿宋" w:hAnsi="仿宋" w:eastAsia="仿宋" w:cs="仿宋"/>
                <w:spacing w:val="-2"/>
              </w:rPr>
              <w:t>道拐村自然村通硬化路工程</w:t>
            </w:r>
          </w:p>
        </w:tc>
        <w:tc>
          <w:tcPr>
            <w:tcW w:w="827" w:type="dxa"/>
            <w:vAlign w:val="top"/>
          </w:tcPr>
          <w:p w14:paraId="46510500">
            <w:pPr>
              <w:pStyle w:val="6"/>
              <w:spacing w:before="179" w:line="188" w:lineRule="auto"/>
              <w:ind w:left="275"/>
            </w:pPr>
            <w:r>
              <w:rPr>
                <w:spacing w:val="-5"/>
              </w:rPr>
              <w:t>1.21</w:t>
            </w:r>
          </w:p>
        </w:tc>
        <w:tc>
          <w:tcPr>
            <w:tcW w:w="754" w:type="dxa"/>
            <w:vAlign w:val="top"/>
          </w:tcPr>
          <w:p w14:paraId="0A257BEE">
            <w:pPr>
              <w:pStyle w:val="6"/>
              <w:spacing w:before="179" w:line="188" w:lineRule="auto"/>
              <w:ind w:left="225"/>
            </w:pPr>
            <w:r>
              <w:rPr>
                <w:spacing w:val="-2"/>
              </w:rPr>
              <w:t>0.70</w:t>
            </w:r>
          </w:p>
        </w:tc>
        <w:tc>
          <w:tcPr>
            <w:tcW w:w="710" w:type="dxa"/>
            <w:vAlign w:val="top"/>
          </w:tcPr>
          <w:p w14:paraId="7E3555BD">
            <w:pPr>
              <w:pStyle w:val="6"/>
              <w:spacing w:before="179" w:line="188" w:lineRule="auto"/>
              <w:ind w:left="206"/>
            </w:pPr>
            <w:r>
              <w:rPr>
                <w:spacing w:val="-2"/>
              </w:rPr>
              <w:t>0.51</w:t>
            </w:r>
          </w:p>
        </w:tc>
        <w:tc>
          <w:tcPr>
            <w:tcW w:w="943" w:type="dxa"/>
            <w:vAlign w:val="top"/>
          </w:tcPr>
          <w:p w14:paraId="69F57A13">
            <w:pPr>
              <w:rPr>
                <w:rFonts w:ascii="Arial"/>
                <w:sz w:val="21"/>
              </w:rPr>
            </w:pPr>
          </w:p>
        </w:tc>
        <w:tc>
          <w:tcPr>
            <w:tcW w:w="939" w:type="dxa"/>
            <w:tcBorders>
              <w:right w:val="single" w:color="000000" w:sz="6" w:space="0"/>
            </w:tcBorders>
            <w:vAlign w:val="top"/>
          </w:tcPr>
          <w:p w14:paraId="6054FA89">
            <w:pPr>
              <w:pStyle w:val="6"/>
              <w:spacing w:before="179" w:line="188" w:lineRule="auto"/>
              <w:ind w:left="314"/>
            </w:pPr>
            <w:r>
              <w:rPr>
                <w:spacing w:val="-2"/>
              </w:rPr>
              <w:t>0.19</w:t>
            </w:r>
          </w:p>
        </w:tc>
      </w:tr>
      <w:tr w14:paraId="5E61F2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25F3F6E9">
            <w:pPr>
              <w:rPr>
                <w:rFonts w:ascii="Arial"/>
                <w:sz w:val="21"/>
              </w:rPr>
            </w:pPr>
          </w:p>
        </w:tc>
        <w:tc>
          <w:tcPr>
            <w:tcW w:w="808" w:type="dxa"/>
            <w:vMerge w:val="continue"/>
            <w:tcBorders>
              <w:top w:val="nil"/>
              <w:bottom w:val="nil"/>
            </w:tcBorders>
            <w:vAlign w:val="top"/>
          </w:tcPr>
          <w:p w14:paraId="2EA89E8B">
            <w:pPr>
              <w:rPr>
                <w:rFonts w:ascii="Arial"/>
                <w:sz w:val="21"/>
              </w:rPr>
            </w:pPr>
          </w:p>
        </w:tc>
        <w:tc>
          <w:tcPr>
            <w:tcW w:w="2659" w:type="dxa"/>
            <w:vAlign w:val="top"/>
          </w:tcPr>
          <w:p w14:paraId="54A058AA">
            <w:pPr>
              <w:spacing w:before="34" w:line="198" w:lineRule="auto"/>
              <w:ind w:left="167"/>
              <w:rPr>
                <w:rFonts w:ascii="仿宋" w:hAnsi="仿宋" w:eastAsia="仿宋" w:cs="仿宋"/>
                <w:sz w:val="18"/>
                <w:szCs w:val="18"/>
              </w:rPr>
            </w:pPr>
            <w:r>
              <w:rPr>
                <w:rFonts w:ascii="仿宋" w:hAnsi="仿宋" w:eastAsia="仿宋" w:cs="仿宋"/>
                <w:spacing w:val="-1"/>
                <w:sz w:val="18"/>
                <w:szCs w:val="18"/>
              </w:rPr>
              <w:t>份子地社新村至二道拐村委会</w:t>
            </w:r>
          </w:p>
        </w:tc>
        <w:tc>
          <w:tcPr>
            <w:tcW w:w="827" w:type="dxa"/>
            <w:vAlign w:val="top"/>
          </w:tcPr>
          <w:p w14:paraId="731DD25E">
            <w:pPr>
              <w:pStyle w:val="6"/>
              <w:spacing w:before="63" w:line="188" w:lineRule="auto"/>
              <w:ind w:left="260"/>
            </w:pPr>
            <w:r>
              <w:rPr>
                <w:spacing w:val="-2"/>
              </w:rPr>
              <w:t>0.36</w:t>
            </w:r>
          </w:p>
        </w:tc>
        <w:tc>
          <w:tcPr>
            <w:tcW w:w="754" w:type="dxa"/>
            <w:vAlign w:val="top"/>
          </w:tcPr>
          <w:p w14:paraId="0C6E9969">
            <w:pPr>
              <w:pStyle w:val="6"/>
              <w:spacing w:before="63" w:line="188" w:lineRule="auto"/>
              <w:ind w:left="225"/>
            </w:pPr>
            <w:r>
              <w:rPr>
                <w:spacing w:val="-2"/>
              </w:rPr>
              <w:t>0.20</w:t>
            </w:r>
          </w:p>
        </w:tc>
        <w:tc>
          <w:tcPr>
            <w:tcW w:w="710" w:type="dxa"/>
            <w:vAlign w:val="top"/>
          </w:tcPr>
          <w:p w14:paraId="4AC0C578">
            <w:pPr>
              <w:pStyle w:val="6"/>
              <w:spacing w:before="63" w:line="188" w:lineRule="auto"/>
              <w:ind w:left="206"/>
            </w:pPr>
            <w:r>
              <w:rPr>
                <w:spacing w:val="-2"/>
              </w:rPr>
              <w:t>0.16</w:t>
            </w:r>
          </w:p>
        </w:tc>
        <w:tc>
          <w:tcPr>
            <w:tcW w:w="943" w:type="dxa"/>
            <w:vAlign w:val="top"/>
          </w:tcPr>
          <w:p w14:paraId="7B44E272">
            <w:pPr>
              <w:spacing w:line="227" w:lineRule="exact"/>
              <w:rPr>
                <w:rFonts w:ascii="Arial"/>
                <w:sz w:val="19"/>
              </w:rPr>
            </w:pPr>
          </w:p>
        </w:tc>
        <w:tc>
          <w:tcPr>
            <w:tcW w:w="939" w:type="dxa"/>
            <w:tcBorders>
              <w:right w:val="single" w:color="000000" w:sz="6" w:space="0"/>
            </w:tcBorders>
            <w:vAlign w:val="top"/>
          </w:tcPr>
          <w:p w14:paraId="56904B6F">
            <w:pPr>
              <w:pStyle w:val="6"/>
              <w:spacing w:before="63" w:line="188" w:lineRule="auto"/>
              <w:ind w:left="314"/>
            </w:pPr>
            <w:r>
              <w:rPr>
                <w:spacing w:val="-2"/>
              </w:rPr>
              <w:t>0.04</w:t>
            </w:r>
          </w:p>
        </w:tc>
      </w:tr>
      <w:tr w14:paraId="2E228B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0CD083D3">
            <w:pPr>
              <w:rPr>
                <w:rFonts w:ascii="Arial"/>
                <w:sz w:val="21"/>
              </w:rPr>
            </w:pPr>
          </w:p>
        </w:tc>
        <w:tc>
          <w:tcPr>
            <w:tcW w:w="808" w:type="dxa"/>
            <w:vMerge w:val="continue"/>
            <w:tcBorders>
              <w:top w:val="nil"/>
              <w:bottom w:val="nil"/>
            </w:tcBorders>
            <w:vAlign w:val="top"/>
          </w:tcPr>
          <w:p w14:paraId="6CFEDE3A">
            <w:pPr>
              <w:rPr>
                <w:rFonts w:ascii="Arial"/>
                <w:sz w:val="21"/>
              </w:rPr>
            </w:pPr>
          </w:p>
        </w:tc>
        <w:tc>
          <w:tcPr>
            <w:tcW w:w="2659" w:type="dxa"/>
            <w:vAlign w:val="top"/>
          </w:tcPr>
          <w:p w14:paraId="74FD03F7">
            <w:pPr>
              <w:spacing w:before="34" w:line="200" w:lineRule="auto"/>
              <w:ind w:left="353"/>
              <w:rPr>
                <w:rFonts w:ascii="仿宋" w:hAnsi="仿宋" w:eastAsia="仿宋" w:cs="仿宋"/>
                <w:sz w:val="18"/>
                <w:szCs w:val="18"/>
              </w:rPr>
            </w:pPr>
            <w:r>
              <w:rPr>
                <w:rFonts w:ascii="仿宋" w:hAnsi="仿宋" w:eastAsia="仿宋" w:cs="仿宋"/>
                <w:spacing w:val="-2"/>
                <w:sz w:val="18"/>
                <w:szCs w:val="18"/>
              </w:rPr>
              <w:t>二道拐坡底至张家圪旦社</w:t>
            </w:r>
          </w:p>
        </w:tc>
        <w:tc>
          <w:tcPr>
            <w:tcW w:w="827" w:type="dxa"/>
            <w:vAlign w:val="top"/>
          </w:tcPr>
          <w:p w14:paraId="68E09511">
            <w:pPr>
              <w:pStyle w:val="6"/>
              <w:spacing w:before="65" w:line="188" w:lineRule="auto"/>
              <w:ind w:left="260"/>
            </w:pPr>
            <w:r>
              <w:rPr>
                <w:spacing w:val="-2"/>
              </w:rPr>
              <w:t>0.48</w:t>
            </w:r>
          </w:p>
        </w:tc>
        <w:tc>
          <w:tcPr>
            <w:tcW w:w="754" w:type="dxa"/>
            <w:vAlign w:val="top"/>
          </w:tcPr>
          <w:p w14:paraId="4109CBD4">
            <w:pPr>
              <w:pStyle w:val="6"/>
              <w:spacing w:before="65" w:line="188" w:lineRule="auto"/>
              <w:ind w:left="225"/>
            </w:pPr>
            <w:r>
              <w:rPr>
                <w:spacing w:val="-2"/>
              </w:rPr>
              <w:t>0.26</w:t>
            </w:r>
          </w:p>
        </w:tc>
        <w:tc>
          <w:tcPr>
            <w:tcW w:w="710" w:type="dxa"/>
            <w:vAlign w:val="top"/>
          </w:tcPr>
          <w:p w14:paraId="49455ADD">
            <w:pPr>
              <w:pStyle w:val="6"/>
              <w:spacing w:before="65" w:line="188" w:lineRule="auto"/>
              <w:ind w:left="206"/>
            </w:pPr>
            <w:r>
              <w:rPr>
                <w:spacing w:val="-2"/>
              </w:rPr>
              <w:t>0.22</w:t>
            </w:r>
          </w:p>
        </w:tc>
        <w:tc>
          <w:tcPr>
            <w:tcW w:w="943" w:type="dxa"/>
            <w:vAlign w:val="top"/>
          </w:tcPr>
          <w:p w14:paraId="5E0B3416">
            <w:pPr>
              <w:spacing w:line="229" w:lineRule="exact"/>
              <w:rPr>
                <w:rFonts w:ascii="Arial"/>
                <w:sz w:val="19"/>
              </w:rPr>
            </w:pPr>
          </w:p>
        </w:tc>
        <w:tc>
          <w:tcPr>
            <w:tcW w:w="939" w:type="dxa"/>
            <w:tcBorders>
              <w:right w:val="single" w:color="000000" w:sz="6" w:space="0"/>
            </w:tcBorders>
            <w:vAlign w:val="top"/>
          </w:tcPr>
          <w:p w14:paraId="1599A653">
            <w:pPr>
              <w:pStyle w:val="6"/>
              <w:spacing w:before="65" w:line="188" w:lineRule="auto"/>
              <w:ind w:left="314"/>
            </w:pPr>
            <w:r>
              <w:rPr>
                <w:spacing w:val="-2"/>
              </w:rPr>
              <w:t>0.04</w:t>
            </w:r>
          </w:p>
        </w:tc>
      </w:tr>
      <w:tr w14:paraId="653CA8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6B2D519A">
            <w:pPr>
              <w:rPr>
                <w:rFonts w:ascii="Arial"/>
                <w:sz w:val="21"/>
              </w:rPr>
            </w:pPr>
          </w:p>
        </w:tc>
        <w:tc>
          <w:tcPr>
            <w:tcW w:w="808" w:type="dxa"/>
            <w:vMerge w:val="continue"/>
            <w:tcBorders>
              <w:top w:val="nil"/>
              <w:bottom w:val="nil"/>
            </w:tcBorders>
            <w:vAlign w:val="top"/>
          </w:tcPr>
          <w:p w14:paraId="13563482">
            <w:pPr>
              <w:rPr>
                <w:rFonts w:ascii="Arial"/>
                <w:sz w:val="21"/>
              </w:rPr>
            </w:pPr>
          </w:p>
        </w:tc>
        <w:tc>
          <w:tcPr>
            <w:tcW w:w="2659" w:type="dxa"/>
            <w:vAlign w:val="top"/>
          </w:tcPr>
          <w:p w14:paraId="494B9338">
            <w:pPr>
              <w:spacing w:before="34" w:line="198" w:lineRule="auto"/>
              <w:ind w:left="352"/>
              <w:rPr>
                <w:rFonts w:ascii="仿宋" w:hAnsi="仿宋" w:eastAsia="仿宋" w:cs="仿宋"/>
                <w:sz w:val="18"/>
                <w:szCs w:val="18"/>
              </w:rPr>
            </w:pPr>
            <w:r>
              <w:rPr>
                <w:rFonts w:ascii="仿宋" w:hAnsi="仿宋" w:eastAsia="仿宋" w:cs="仿宋"/>
                <w:spacing w:val="-2"/>
                <w:sz w:val="18"/>
                <w:szCs w:val="18"/>
              </w:rPr>
              <w:t>三道拐社坡底至北防洪堤</w:t>
            </w:r>
          </w:p>
        </w:tc>
        <w:tc>
          <w:tcPr>
            <w:tcW w:w="827" w:type="dxa"/>
            <w:vAlign w:val="top"/>
          </w:tcPr>
          <w:p w14:paraId="18DB2A7A">
            <w:pPr>
              <w:pStyle w:val="6"/>
              <w:spacing w:before="63" w:line="188" w:lineRule="auto"/>
              <w:ind w:left="260"/>
            </w:pPr>
            <w:r>
              <w:rPr>
                <w:spacing w:val="-2"/>
              </w:rPr>
              <w:t>0.37</w:t>
            </w:r>
          </w:p>
        </w:tc>
        <w:tc>
          <w:tcPr>
            <w:tcW w:w="754" w:type="dxa"/>
            <w:vAlign w:val="top"/>
          </w:tcPr>
          <w:p w14:paraId="776DEC8C">
            <w:pPr>
              <w:pStyle w:val="6"/>
              <w:spacing w:before="63" w:line="188" w:lineRule="auto"/>
              <w:ind w:left="225"/>
            </w:pPr>
            <w:r>
              <w:rPr>
                <w:spacing w:val="-2"/>
              </w:rPr>
              <w:t>0.24</w:t>
            </w:r>
          </w:p>
        </w:tc>
        <w:tc>
          <w:tcPr>
            <w:tcW w:w="710" w:type="dxa"/>
            <w:vAlign w:val="top"/>
          </w:tcPr>
          <w:p w14:paraId="7E868792">
            <w:pPr>
              <w:pStyle w:val="6"/>
              <w:spacing w:before="63" w:line="188" w:lineRule="auto"/>
              <w:ind w:left="206"/>
            </w:pPr>
            <w:r>
              <w:rPr>
                <w:spacing w:val="-2"/>
              </w:rPr>
              <w:t>0.13</w:t>
            </w:r>
          </w:p>
        </w:tc>
        <w:tc>
          <w:tcPr>
            <w:tcW w:w="943" w:type="dxa"/>
            <w:vAlign w:val="top"/>
          </w:tcPr>
          <w:p w14:paraId="0BB1B8BF">
            <w:pPr>
              <w:spacing w:line="227" w:lineRule="exact"/>
              <w:rPr>
                <w:rFonts w:ascii="Arial"/>
                <w:sz w:val="19"/>
              </w:rPr>
            </w:pPr>
          </w:p>
        </w:tc>
        <w:tc>
          <w:tcPr>
            <w:tcW w:w="939" w:type="dxa"/>
            <w:tcBorders>
              <w:right w:val="single" w:color="000000" w:sz="6" w:space="0"/>
            </w:tcBorders>
            <w:vAlign w:val="top"/>
          </w:tcPr>
          <w:p w14:paraId="3CC521FA">
            <w:pPr>
              <w:pStyle w:val="6"/>
              <w:spacing w:before="63" w:line="188" w:lineRule="auto"/>
              <w:ind w:left="314"/>
            </w:pPr>
            <w:r>
              <w:rPr>
                <w:spacing w:val="-7"/>
              </w:rPr>
              <w:t>0.</w:t>
            </w:r>
            <w:r>
              <w:rPr>
                <w:spacing w:val="-23"/>
              </w:rPr>
              <w:t xml:space="preserve"> </w:t>
            </w:r>
            <w:r>
              <w:rPr>
                <w:spacing w:val="-7"/>
              </w:rPr>
              <w:t>11</w:t>
            </w:r>
          </w:p>
        </w:tc>
      </w:tr>
      <w:tr w14:paraId="7AE2FE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40D891A7">
            <w:pPr>
              <w:rPr>
                <w:rFonts w:ascii="Arial"/>
                <w:sz w:val="21"/>
              </w:rPr>
            </w:pPr>
          </w:p>
        </w:tc>
        <w:tc>
          <w:tcPr>
            <w:tcW w:w="808" w:type="dxa"/>
            <w:vMerge w:val="continue"/>
            <w:tcBorders>
              <w:top w:val="nil"/>
              <w:bottom w:val="nil"/>
            </w:tcBorders>
            <w:vAlign w:val="top"/>
          </w:tcPr>
          <w:p w14:paraId="612F8747">
            <w:pPr>
              <w:rPr>
                <w:rFonts w:ascii="Arial"/>
                <w:sz w:val="21"/>
              </w:rPr>
            </w:pPr>
          </w:p>
        </w:tc>
        <w:tc>
          <w:tcPr>
            <w:tcW w:w="2659" w:type="dxa"/>
            <w:vAlign w:val="top"/>
          </w:tcPr>
          <w:p w14:paraId="51788983">
            <w:pPr>
              <w:pStyle w:val="6"/>
              <w:spacing w:before="33" w:line="219" w:lineRule="auto"/>
              <w:ind w:left="263" w:right="115" w:hanging="139"/>
              <w:rPr>
                <w:rFonts w:ascii="仿宋" w:hAnsi="仿宋" w:eastAsia="仿宋" w:cs="仿宋"/>
              </w:rPr>
            </w:pPr>
            <w:r>
              <w:rPr>
                <w:rFonts w:ascii="仿宋" w:hAnsi="仿宋" w:eastAsia="仿宋" w:cs="仿宋"/>
                <w:spacing w:val="-3"/>
              </w:rPr>
              <w:t>准格尔旗</w:t>
            </w:r>
            <w:r>
              <w:rPr>
                <w:rFonts w:ascii="仿宋" w:hAnsi="仿宋" w:eastAsia="仿宋" w:cs="仿宋"/>
                <w:spacing w:val="-29"/>
              </w:rPr>
              <w:t xml:space="preserve"> </w:t>
            </w:r>
            <w:r>
              <w:rPr>
                <w:spacing w:val="-3"/>
              </w:rPr>
              <w:t>2025</w:t>
            </w:r>
            <w:r>
              <w:rPr>
                <w:spacing w:val="12"/>
                <w:w w:val="101"/>
              </w:rPr>
              <w:t xml:space="preserve"> </w:t>
            </w:r>
            <w:r>
              <w:rPr>
                <w:rFonts w:ascii="仿宋" w:hAnsi="仿宋" w:eastAsia="仿宋" w:cs="仿宋"/>
                <w:spacing w:val="-3"/>
              </w:rPr>
              <w:t>年十二连城乡脑</w:t>
            </w:r>
            <w:r>
              <w:rPr>
                <w:rFonts w:ascii="仿宋" w:hAnsi="仿宋" w:eastAsia="仿宋" w:cs="仿宋"/>
                <w:spacing w:val="-2"/>
              </w:rPr>
              <w:t>包湾村自然村通硬化路工程</w:t>
            </w:r>
          </w:p>
        </w:tc>
        <w:tc>
          <w:tcPr>
            <w:tcW w:w="827" w:type="dxa"/>
            <w:vAlign w:val="top"/>
          </w:tcPr>
          <w:p w14:paraId="312432BF">
            <w:pPr>
              <w:pStyle w:val="6"/>
              <w:spacing w:before="180" w:line="188" w:lineRule="auto"/>
              <w:ind w:left="260"/>
            </w:pPr>
            <w:r>
              <w:rPr>
                <w:spacing w:val="-2"/>
              </w:rPr>
              <w:t>0.56</w:t>
            </w:r>
          </w:p>
        </w:tc>
        <w:tc>
          <w:tcPr>
            <w:tcW w:w="754" w:type="dxa"/>
            <w:vAlign w:val="top"/>
          </w:tcPr>
          <w:p w14:paraId="468044DC">
            <w:pPr>
              <w:pStyle w:val="6"/>
              <w:spacing w:before="180" w:line="188" w:lineRule="auto"/>
              <w:ind w:left="225"/>
            </w:pPr>
            <w:r>
              <w:rPr>
                <w:spacing w:val="-2"/>
              </w:rPr>
              <w:t>0.28</w:t>
            </w:r>
          </w:p>
        </w:tc>
        <w:tc>
          <w:tcPr>
            <w:tcW w:w="710" w:type="dxa"/>
            <w:vAlign w:val="top"/>
          </w:tcPr>
          <w:p w14:paraId="1DE6A4C0">
            <w:pPr>
              <w:pStyle w:val="6"/>
              <w:spacing w:before="180" w:line="188" w:lineRule="auto"/>
              <w:ind w:left="206"/>
            </w:pPr>
            <w:r>
              <w:rPr>
                <w:spacing w:val="-2"/>
              </w:rPr>
              <w:t>0.28</w:t>
            </w:r>
          </w:p>
        </w:tc>
        <w:tc>
          <w:tcPr>
            <w:tcW w:w="943" w:type="dxa"/>
            <w:vAlign w:val="top"/>
          </w:tcPr>
          <w:p w14:paraId="5761870E">
            <w:pPr>
              <w:rPr>
                <w:rFonts w:ascii="Arial"/>
                <w:sz w:val="21"/>
              </w:rPr>
            </w:pPr>
          </w:p>
        </w:tc>
        <w:tc>
          <w:tcPr>
            <w:tcW w:w="939" w:type="dxa"/>
            <w:tcBorders>
              <w:right w:val="single" w:color="000000" w:sz="6" w:space="0"/>
            </w:tcBorders>
            <w:vAlign w:val="top"/>
          </w:tcPr>
          <w:p w14:paraId="4278699D">
            <w:pPr>
              <w:rPr>
                <w:rFonts w:ascii="Arial"/>
                <w:sz w:val="21"/>
              </w:rPr>
            </w:pPr>
          </w:p>
        </w:tc>
      </w:tr>
      <w:tr w14:paraId="3D60EC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7EB8F5E1">
            <w:pPr>
              <w:rPr>
                <w:rFonts w:ascii="Arial"/>
                <w:sz w:val="21"/>
              </w:rPr>
            </w:pPr>
          </w:p>
        </w:tc>
        <w:tc>
          <w:tcPr>
            <w:tcW w:w="808" w:type="dxa"/>
            <w:vMerge w:val="continue"/>
            <w:tcBorders>
              <w:top w:val="nil"/>
              <w:bottom w:val="nil"/>
            </w:tcBorders>
            <w:vAlign w:val="top"/>
          </w:tcPr>
          <w:p w14:paraId="7C22387C">
            <w:pPr>
              <w:rPr>
                <w:rFonts w:ascii="Arial"/>
                <w:sz w:val="21"/>
              </w:rPr>
            </w:pPr>
          </w:p>
        </w:tc>
        <w:tc>
          <w:tcPr>
            <w:tcW w:w="2659" w:type="dxa"/>
            <w:vAlign w:val="top"/>
          </w:tcPr>
          <w:p w14:paraId="1C2A403F">
            <w:pPr>
              <w:spacing w:before="35" w:line="198" w:lineRule="auto"/>
              <w:ind w:left="527"/>
              <w:rPr>
                <w:rFonts w:ascii="仿宋" w:hAnsi="仿宋" w:eastAsia="仿宋" w:cs="仿宋"/>
                <w:sz w:val="18"/>
                <w:szCs w:val="18"/>
              </w:rPr>
            </w:pPr>
            <w:r>
              <w:rPr>
                <w:rFonts w:ascii="仿宋" w:hAnsi="仿宋" w:eastAsia="仿宋" w:cs="仿宋"/>
                <w:spacing w:val="-2"/>
                <w:sz w:val="18"/>
                <w:szCs w:val="18"/>
              </w:rPr>
              <w:t>脑包湾村（路段一）</w:t>
            </w:r>
          </w:p>
        </w:tc>
        <w:tc>
          <w:tcPr>
            <w:tcW w:w="827" w:type="dxa"/>
            <w:vAlign w:val="top"/>
          </w:tcPr>
          <w:p w14:paraId="0A7AFE67">
            <w:pPr>
              <w:pStyle w:val="6"/>
              <w:spacing w:before="66" w:line="188" w:lineRule="auto"/>
              <w:ind w:left="260"/>
            </w:pPr>
            <w:r>
              <w:rPr>
                <w:spacing w:val="-2"/>
              </w:rPr>
              <w:t>0.24</w:t>
            </w:r>
          </w:p>
        </w:tc>
        <w:tc>
          <w:tcPr>
            <w:tcW w:w="754" w:type="dxa"/>
            <w:vAlign w:val="top"/>
          </w:tcPr>
          <w:p w14:paraId="5D854BDB">
            <w:pPr>
              <w:pStyle w:val="6"/>
              <w:spacing w:before="66" w:line="188" w:lineRule="auto"/>
              <w:ind w:left="225"/>
            </w:pPr>
            <w:r>
              <w:rPr>
                <w:spacing w:val="-7"/>
              </w:rPr>
              <w:t>0.</w:t>
            </w:r>
            <w:r>
              <w:rPr>
                <w:spacing w:val="-23"/>
              </w:rPr>
              <w:t xml:space="preserve"> </w:t>
            </w:r>
            <w:r>
              <w:rPr>
                <w:spacing w:val="-7"/>
              </w:rPr>
              <w:t>12</w:t>
            </w:r>
          </w:p>
        </w:tc>
        <w:tc>
          <w:tcPr>
            <w:tcW w:w="710" w:type="dxa"/>
            <w:vAlign w:val="top"/>
          </w:tcPr>
          <w:p w14:paraId="1EC004A6">
            <w:pPr>
              <w:pStyle w:val="6"/>
              <w:spacing w:before="66" w:line="188" w:lineRule="auto"/>
              <w:ind w:left="206"/>
            </w:pPr>
            <w:r>
              <w:rPr>
                <w:spacing w:val="-2"/>
              </w:rPr>
              <w:t>0.12</w:t>
            </w:r>
          </w:p>
        </w:tc>
        <w:tc>
          <w:tcPr>
            <w:tcW w:w="943" w:type="dxa"/>
            <w:vAlign w:val="top"/>
          </w:tcPr>
          <w:p w14:paraId="7F594556">
            <w:pPr>
              <w:spacing w:line="229" w:lineRule="exact"/>
              <w:rPr>
                <w:rFonts w:ascii="Arial"/>
                <w:sz w:val="19"/>
              </w:rPr>
            </w:pPr>
          </w:p>
        </w:tc>
        <w:tc>
          <w:tcPr>
            <w:tcW w:w="939" w:type="dxa"/>
            <w:tcBorders>
              <w:right w:val="single" w:color="000000" w:sz="6" w:space="0"/>
            </w:tcBorders>
            <w:vAlign w:val="top"/>
          </w:tcPr>
          <w:p w14:paraId="705F9130">
            <w:pPr>
              <w:spacing w:line="229" w:lineRule="exact"/>
              <w:rPr>
                <w:rFonts w:ascii="Arial"/>
                <w:sz w:val="19"/>
              </w:rPr>
            </w:pPr>
          </w:p>
        </w:tc>
      </w:tr>
      <w:tr w14:paraId="146FB5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13B80FAC">
            <w:pPr>
              <w:rPr>
                <w:rFonts w:ascii="Arial"/>
                <w:sz w:val="21"/>
              </w:rPr>
            </w:pPr>
          </w:p>
        </w:tc>
        <w:tc>
          <w:tcPr>
            <w:tcW w:w="808" w:type="dxa"/>
            <w:vMerge w:val="continue"/>
            <w:tcBorders>
              <w:top w:val="nil"/>
              <w:bottom w:val="nil"/>
            </w:tcBorders>
            <w:vAlign w:val="top"/>
          </w:tcPr>
          <w:p w14:paraId="5B67ADA1">
            <w:pPr>
              <w:rPr>
                <w:rFonts w:ascii="Arial"/>
                <w:sz w:val="21"/>
              </w:rPr>
            </w:pPr>
          </w:p>
        </w:tc>
        <w:tc>
          <w:tcPr>
            <w:tcW w:w="2659" w:type="dxa"/>
            <w:vAlign w:val="top"/>
          </w:tcPr>
          <w:p w14:paraId="2DECEB6E">
            <w:pPr>
              <w:spacing w:before="33" w:line="199" w:lineRule="auto"/>
              <w:ind w:left="527"/>
              <w:rPr>
                <w:rFonts w:ascii="仿宋" w:hAnsi="仿宋" w:eastAsia="仿宋" w:cs="仿宋"/>
                <w:sz w:val="18"/>
                <w:szCs w:val="18"/>
              </w:rPr>
            </w:pPr>
            <w:r>
              <w:rPr>
                <w:rFonts w:ascii="仿宋" w:hAnsi="仿宋" w:eastAsia="仿宋" w:cs="仿宋"/>
                <w:spacing w:val="-2"/>
                <w:sz w:val="18"/>
                <w:szCs w:val="18"/>
              </w:rPr>
              <w:t>脑包湾村（路段二）</w:t>
            </w:r>
          </w:p>
        </w:tc>
        <w:tc>
          <w:tcPr>
            <w:tcW w:w="827" w:type="dxa"/>
            <w:vAlign w:val="top"/>
          </w:tcPr>
          <w:p w14:paraId="03BF0B5E">
            <w:pPr>
              <w:pStyle w:val="6"/>
              <w:spacing w:before="65" w:line="188" w:lineRule="auto"/>
              <w:ind w:left="260"/>
            </w:pPr>
            <w:r>
              <w:rPr>
                <w:spacing w:val="-2"/>
              </w:rPr>
              <w:t>0.16</w:t>
            </w:r>
          </w:p>
        </w:tc>
        <w:tc>
          <w:tcPr>
            <w:tcW w:w="754" w:type="dxa"/>
            <w:vAlign w:val="top"/>
          </w:tcPr>
          <w:p w14:paraId="27ADFA21">
            <w:pPr>
              <w:pStyle w:val="6"/>
              <w:spacing w:before="65" w:line="188" w:lineRule="auto"/>
              <w:ind w:left="225"/>
            </w:pPr>
            <w:r>
              <w:rPr>
                <w:spacing w:val="-2"/>
              </w:rPr>
              <w:t>0.08</w:t>
            </w:r>
          </w:p>
        </w:tc>
        <w:tc>
          <w:tcPr>
            <w:tcW w:w="710" w:type="dxa"/>
            <w:vAlign w:val="top"/>
          </w:tcPr>
          <w:p w14:paraId="6DE4EAE8">
            <w:pPr>
              <w:pStyle w:val="6"/>
              <w:spacing w:before="65" w:line="188" w:lineRule="auto"/>
              <w:ind w:left="206"/>
            </w:pPr>
            <w:r>
              <w:rPr>
                <w:spacing w:val="-2"/>
              </w:rPr>
              <w:t>0.08</w:t>
            </w:r>
          </w:p>
        </w:tc>
        <w:tc>
          <w:tcPr>
            <w:tcW w:w="943" w:type="dxa"/>
            <w:vAlign w:val="top"/>
          </w:tcPr>
          <w:p w14:paraId="3229EADB">
            <w:pPr>
              <w:spacing w:line="227" w:lineRule="exact"/>
              <w:rPr>
                <w:rFonts w:ascii="Arial"/>
                <w:sz w:val="19"/>
              </w:rPr>
            </w:pPr>
          </w:p>
        </w:tc>
        <w:tc>
          <w:tcPr>
            <w:tcW w:w="939" w:type="dxa"/>
            <w:tcBorders>
              <w:right w:val="single" w:color="000000" w:sz="6" w:space="0"/>
            </w:tcBorders>
            <w:vAlign w:val="top"/>
          </w:tcPr>
          <w:p w14:paraId="3BF3E646">
            <w:pPr>
              <w:spacing w:line="227" w:lineRule="exact"/>
              <w:rPr>
                <w:rFonts w:ascii="Arial"/>
                <w:sz w:val="19"/>
              </w:rPr>
            </w:pPr>
          </w:p>
        </w:tc>
      </w:tr>
      <w:tr w14:paraId="21CE36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1C1350D1">
            <w:pPr>
              <w:rPr>
                <w:rFonts w:ascii="Arial"/>
                <w:sz w:val="21"/>
              </w:rPr>
            </w:pPr>
          </w:p>
        </w:tc>
        <w:tc>
          <w:tcPr>
            <w:tcW w:w="808" w:type="dxa"/>
            <w:vMerge w:val="continue"/>
            <w:tcBorders>
              <w:top w:val="nil"/>
              <w:bottom w:val="nil"/>
            </w:tcBorders>
            <w:vAlign w:val="top"/>
          </w:tcPr>
          <w:p w14:paraId="2234A561">
            <w:pPr>
              <w:rPr>
                <w:rFonts w:ascii="Arial"/>
                <w:sz w:val="21"/>
              </w:rPr>
            </w:pPr>
          </w:p>
        </w:tc>
        <w:tc>
          <w:tcPr>
            <w:tcW w:w="2659" w:type="dxa"/>
            <w:vAlign w:val="top"/>
          </w:tcPr>
          <w:p w14:paraId="3937F780">
            <w:pPr>
              <w:spacing w:before="35" w:line="197" w:lineRule="auto"/>
              <w:ind w:left="527"/>
              <w:rPr>
                <w:rFonts w:ascii="仿宋" w:hAnsi="仿宋" w:eastAsia="仿宋" w:cs="仿宋"/>
                <w:sz w:val="18"/>
                <w:szCs w:val="18"/>
              </w:rPr>
            </w:pPr>
            <w:r>
              <w:rPr>
                <w:rFonts w:ascii="仿宋" w:hAnsi="仿宋" w:eastAsia="仿宋" w:cs="仿宋"/>
                <w:spacing w:val="-2"/>
                <w:sz w:val="18"/>
                <w:szCs w:val="18"/>
              </w:rPr>
              <w:t>脑包湾村（路段三）</w:t>
            </w:r>
          </w:p>
        </w:tc>
        <w:tc>
          <w:tcPr>
            <w:tcW w:w="827" w:type="dxa"/>
            <w:vAlign w:val="top"/>
          </w:tcPr>
          <w:p w14:paraId="5B512727">
            <w:pPr>
              <w:pStyle w:val="6"/>
              <w:spacing w:before="65" w:line="188" w:lineRule="auto"/>
              <w:ind w:left="260"/>
            </w:pPr>
            <w:r>
              <w:rPr>
                <w:spacing w:val="-2"/>
              </w:rPr>
              <w:t>0.16</w:t>
            </w:r>
          </w:p>
        </w:tc>
        <w:tc>
          <w:tcPr>
            <w:tcW w:w="754" w:type="dxa"/>
            <w:vAlign w:val="top"/>
          </w:tcPr>
          <w:p w14:paraId="17EC4D06">
            <w:pPr>
              <w:pStyle w:val="6"/>
              <w:spacing w:before="65" w:line="188" w:lineRule="auto"/>
              <w:ind w:left="225"/>
            </w:pPr>
            <w:r>
              <w:rPr>
                <w:spacing w:val="-2"/>
              </w:rPr>
              <w:t>0.08</w:t>
            </w:r>
          </w:p>
        </w:tc>
        <w:tc>
          <w:tcPr>
            <w:tcW w:w="710" w:type="dxa"/>
            <w:vAlign w:val="top"/>
          </w:tcPr>
          <w:p w14:paraId="1CFA3962">
            <w:pPr>
              <w:pStyle w:val="6"/>
              <w:spacing w:before="65" w:line="188" w:lineRule="auto"/>
              <w:ind w:left="206"/>
            </w:pPr>
            <w:r>
              <w:rPr>
                <w:spacing w:val="-2"/>
              </w:rPr>
              <w:t>0.08</w:t>
            </w:r>
          </w:p>
        </w:tc>
        <w:tc>
          <w:tcPr>
            <w:tcW w:w="943" w:type="dxa"/>
            <w:vAlign w:val="top"/>
          </w:tcPr>
          <w:p w14:paraId="75DD786C">
            <w:pPr>
              <w:spacing w:line="227" w:lineRule="exact"/>
              <w:rPr>
                <w:rFonts w:ascii="Arial"/>
                <w:sz w:val="19"/>
              </w:rPr>
            </w:pPr>
          </w:p>
        </w:tc>
        <w:tc>
          <w:tcPr>
            <w:tcW w:w="939" w:type="dxa"/>
            <w:tcBorders>
              <w:right w:val="single" w:color="000000" w:sz="6" w:space="0"/>
            </w:tcBorders>
            <w:vAlign w:val="top"/>
          </w:tcPr>
          <w:p w14:paraId="4F06D09C">
            <w:pPr>
              <w:spacing w:line="227" w:lineRule="exact"/>
              <w:rPr>
                <w:rFonts w:ascii="Arial"/>
                <w:sz w:val="19"/>
              </w:rPr>
            </w:pPr>
          </w:p>
        </w:tc>
      </w:tr>
      <w:tr w14:paraId="1532C6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37" w:type="dxa"/>
            <w:vMerge w:val="continue"/>
            <w:tcBorders>
              <w:top w:val="nil"/>
              <w:left w:val="single" w:color="000000" w:sz="6" w:space="0"/>
              <w:bottom w:val="nil"/>
            </w:tcBorders>
            <w:vAlign w:val="top"/>
          </w:tcPr>
          <w:p w14:paraId="50390C19">
            <w:pPr>
              <w:rPr>
                <w:rFonts w:ascii="Arial"/>
                <w:sz w:val="21"/>
              </w:rPr>
            </w:pPr>
          </w:p>
        </w:tc>
        <w:tc>
          <w:tcPr>
            <w:tcW w:w="808" w:type="dxa"/>
            <w:vMerge w:val="continue"/>
            <w:tcBorders>
              <w:top w:val="nil"/>
              <w:bottom w:val="nil"/>
            </w:tcBorders>
            <w:vAlign w:val="top"/>
          </w:tcPr>
          <w:p w14:paraId="23E4BBA5">
            <w:pPr>
              <w:rPr>
                <w:rFonts w:ascii="Arial"/>
                <w:sz w:val="21"/>
              </w:rPr>
            </w:pPr>
          </w:p>
        </w:tc>
        <w:tc>
          <w:tcPr>
            <w:tcW w:w="2659" w:type="dxa"/>
            <w:vAlign w:val="top"/>
          </w:tcPr>
          <w:p w14:paraId="6473C7AC">
            <w:pPr>
              <w:pStyle w:val="6"/>
              <w:spacing w:before="35" w:line="218" w:lineRule="auto"/>
              <w:ind w:left="263" w:right="115" w:hanging="139"/>
              <w:rPr>
                <w:rFonts w:ascii="仿宋" w:hAnsi="仿宋" w:eastAsia="仿宋" w:cs="仿宋"/>
              </w:rPr>
            </w:pPr>
            <w:r>
              <w:rPr>
                <w:rFonts w:ascii="仿宋" w:hAnsi="仿宋" w:eastAsia="仿宋" w:cs="仿宋"/>
                <w:spacing w:val="-3"/>
              </w:rPr>
              <w:t>准格尔旗</w:t>
            </w:r>
            <w:r>
              <w:rPr>
                <w:rFonts w:ascii="仿宋" w:hAnsi="仿宋" w:eastAsia="仿宋" w:cs="仿宋"/>
                <w:spacing w:val="-29"/>
              </w:rPr>
              <w:t xml:space="preserve"> </w:t>
            </w:r>
            <w:r>
              <w:rPr>
                <w:spacing w:val="-3"/>
              </w:rPr>
              <w:t>2025</w:t>
            </w:r>
            <w:r>
              <w:rPr>
                <w:spacing w:val="12"/>
                <w:w w:val="101"/>
              </w:rPr>
              <w:t xml:space="preserve"> </w:t>
            </w:r>
            <w:r>
              <w:rPr>
                <w:rFonts w:ascii="仿宋" w:hAnsi="仿宋" w:eastAsia="仿宋" w:cs="仿宋"/>
                <w:spacing w:val="-3"/>
              </w:rPr>
              <w:t>年十二连城乡杨</w:t>
            </w:r>
            <w:r>
              <w:rPr>
                <w:rFonts w:ascii="仿宋" w:hAnsi="仿宋" w:eastAsia="仿宋" w:cs="仿宋"/>
                <w:spacing w:val="-2"/>
              </w:rPr>
              <w:t>子华村自然村通硬化路工程</w:t>
            </w:r>
          </w:p>
        </w:tc>
        <w:tc>
          <w:tcPr>
            <w:tcW w:w="827" w:type="dxa"/>
            <w:vAlign w:val="top"/>
          </w:tcPr>
          <w:p w14:paraId="75692712">
            <w:pPr>
              <w:pStyle w:val="6"/>
              <w:spacing w:before="182" w:line="188" w:lineRule="auto"/>
              <w:ind w:left="260"/>
            </w:pPr>
            <w:r>
              <w:rPr>
                <w:spacing w:val="-2"/>
              </w:rPr>
              <w:t>0.24</w:t>
            </w:r>
          </w:p>
        </w:tc>
        <w:tc>
          <w:tcPr>
            <w:tcW w:w="754" w:type="dxa"/>
            <w:vAlign w:val="top"/>
          </w:tcPr>
          <w:p w14:paraId="0BACD092">
            <w:pPr>
              <w:pStyle w:val="6"/>
              <w:spacing w:before="182" w:line="188" w:lineRule="auto"/>
              <w:ind w:left="225"/>
            </w:pPr>
            <w:r>
              <w:rPr>
                <w:spacing w:val="-7"/>
              </w:rPr>
              <w:t>0.</w:t>
            </w:r>
            <w:r>
              <w:rPr>
                <w:spacing w:val="-23"/>
              </w:rPr>
              <w:t xml:space="preserve"> </w:t>
            </w:r>
            <w:r>
              <w:rPr>
                <w:spacing w:val="-7"/>
              </w:rPr>
              <w:t>12</w:t>
            </w:r>
          </w:p>
        </w:tc>
        <w:tc>
          <w:tcPr>
            <w:tcW w:w="710" w:type="dxa"/>
            <w:vAlign w:val="top"/>
          </w:tcPr>
          <w:p w14:paraId="7CC482B6">
            <w:pPr>
              <w:pStyle w:val="6"/>
              <w:spacing w:before="182" w:line="188" w:lineRule="auto"/>
              <w:ind w:left="206"/>
            </w:pPr>
            <w:r>
              <w:rPr>
                <w:spacing w:val="-2"/>
              </w:rPr>
              <w:t>0.12</w:t>
            </w:r>
          </w:p>
        </w:tc>
        <w:tc>
          <w:tcPr>
            <w:tcW w:w="943" w:type="dxa"/>
            <w:vAlign w:val="top"/>
          </w:tcPr>
          <w:p w14:paraId="682267AF">
            <w:pPr>
              <w:rPr>
                <w:rFonts w:ascii="Arial"/>
                <w:sz w:val="21"/>
              </w:rPr>
            </w:pPr>
          </w:p>
        </w:tc>
        <w:tc>
          <w:tcPr>
            <w:tcW w:w="939" w:type="dxa"/>
            <w:tcBorders>
              <w:right w:val="single" w:color="000000" w:sz="6" w:space="0"/>
            </w:tcBorders>
            <w:vAlign w:val="top"/>
          </w:tcPr>
          <w:p w14:paraId="4343C5F2">
            <w:pPr>
              <w:rPr>
                <w:rFonts w:ascii="Arial"/>
                <w:sz w:val="21"/>
              </w:rPr>
            </w:pPr>
          </w:p>
        </w:tc>
      </w:tr>
      <w:tr w14:paraId="34B246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23D0D552">
            <w:pPr>
              <w:rPr>
                <w:rFonts w:ascii="Arial"/>
                <w:sz w:val="21"/>
              </w:rPr>
            </w:pPr>
          </w:p>
        </w:tc>
        <w:tc>
          <w:tcPr>
            <w:tcW w:w="808" w:type="dxa"/>
            <w:vMerge w:val="continue"/>
            <w:tcBorders>
              <w:top w:val="nil"/>
            </w:tcBorders>
            <w:vAlign w:val="top"/>
          </w:tcPr>
          <w:p w14:paraId="2F8C12DD">
            <w:pPr>
              <w:rPr>
                <w:rFonts w:ascii="Arial"/>
                <w:sz w:val="21"/>
              </w:rPr>
            </w:pPr>
          </w:p>
        </w:tc>
        <w:tc>
          <w:tcPr>
            <w:tcW w:w="2659" w:type="dxa"/>
            <w:vAlign w:val="top"/>
          </w:tcPr>
          <w:p w14:paraId="429A2278">
            <w:pPr>
              <w:spacing w:before="36" w:line="197" w:lineRule="auto"/>
              <w:ind w:left="529"/>
              <w:rPr>
                <w:rFonts w:ascii="仿宋" w:hAnsi="仿宋" w:eastAsia="仿宋" w:cs="仿宋"/>
                <w:sz w:val="18"/>
                <w:szCs w:val="18"/>
              </w:rPr>
            </w:pPr>
            <w:r>
              <w:rPr>
                <w:rFonts w:ascii="仿宋" w:hAnsi="仿宋" w:eastAsia="仿宋" w:cs="仿宋"/>
                <w:spacing w:val="-2"/>
                <w:sz w:val="18"/>
                <w:szCs w:val="18"/>
              </w:rPr>
              <w:t>大棚区至杏仁露基地</w:t>
            </w:r>
          </w:p>
        </w:tc>
        <w:tc>
          <w:tcPr>
            <w:tcW w:w="827" w:type="dxa"/>
            <w:vAlign w:val="top"/>
          </w:tcPr>
          <w:p w14:paraId="10E61D69">
            <w:pPr>
              <w:pStyle w:val="6"/>
              <w:spacing w:before="68" w:line="186" w:lineRule="auto"/>
              <w:ind w:left="260"/>
            </w:pPr>
            <w:r>
              <w:rPr>
                <w:spacing w:val="-2"/>
              </w:rPr>
              <w:t>0.24</w:t>
            </w:r>
          </w:p>
        </w:tc>
        <w:tc>
          <w:tcPr>
            <w:tcW w:w="754" w:type="dxa"/>
            <w:vAlign w:val="top"/>
          </w:tcPr>
          <w:p w14:paraId="6B81EBB8">
            <w:pPr>
              <w:pStyle w:val="6"/>
              <w:spacing w:before="68" w:line="186" w:lineRule="auto"/>
              <w:ind w:left="225"/>
            </w:pPr>
            <w:r>
              <w:rPr>
                <w:spacing w:val="-7"/>
              </w:rPr>
              <w:t>0.</w:t>
            </w:r>
            <w:r>
              <w:rPr>
                <w:spacing w:val="-23"/>
              </w:rPr>
              <w:t xml:space="preserve"> </w:t>
            </w:r>
            <w:r>
              <w:rPr>
                <w:spacing w:val="-7"/>
              </w:rPr>
              <w:t>12</w:t>
            </w:r>
          </w:p>
        </w:tc>
        <w:tc>
          <w:tcPr>
            <w:tcW w:w="710" w:type="dxa"/>
            <w:vAlign w:val="top"/>
          </w:tcPr>
          <w:p w14:paraId="4DC1B212">
            <w:pPr>
              <w:pStyle w:val="6"/>
              <w:spacing w:before="68" w:line="186" w:lineRule="auto"/>
              <w:ind w:left="206"/>
            </w:pPr>
            <w:r>
              <w:rPr>
                <w:spacing w:val="-2"/>
              </w:rPr>
              <w:t>0.12</w:t>
            </w:r>
          </w:p>
        </w:tc>
        <w:tc>
          <w:tcPr>
            <w:tcW w:w="943" w:type="dxa"/>
            <w:vAlign w:val="top"/>
          </w:tcPr>
          <w:p w14:paraId="7052E0E7">
            <w:pPr>
              <w:spacing w:line="229" w:lineRule="exact"/>
              <w:rPr>
                <w:rFonts w:ascii="Arial"/>
                <w:sz w:val="19"/>
              </w:rPr>
            </w:pPr>
          </w:p>
        </w:tc>
        <w:tc>
          <w:tcPr>
            <w:tcW w:w="939" w:type="dxa"/>
            <w:tcBorders>
              <w:right w:val="single" w:color="000000" w:sz="6" w:space="0"/>
            </w:tcBorders>
            <w:vAlign w:val="top"/>
          </w:tcPr>
          <w:p w14:paraId="1471094D">
            <w:pPr>
              <w:spacing w:line="229" w:lineRule="exact"/>
              <w:rPr>
                <w:rFonts w:ascii="Arial"/>
                <w:sz w:val="19"/>
              </w:rPr>
            </w:pPr>
          </w:p>
        </w:tc>
      </w:tr>
      <w:tr w14:paraId="1F0335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737" w:type="dxa"/>
            <w:vMerge w:val="continue"/>
            <w:tcBorders>
              <w:top w:val="nil"/>
              <w:left w:val="single" w:color="000000" w:sz="6" w:space="0"/>
              <w:bottom w:val="nil"/>
            </w:tcBorders>
            <w:vAlign w:val="top"/>
          </w:tcPr>
          <w:p w14:paraId="1A9D986B">
            <w:pPr>
              <w:rPr>
                <w:rFonts w:ascii="Arial"/>
                <w:sz w:val="21"/>
              </w:rPr>
            </w:pPr>
          </w:p>
        </w:tc>
        <w:tc>
          <w:tcPr>
            <w:tcW w:w="3467" w:type="dxa"/>
            <w:gridSpan w:val="2"/>
            <w:tcBorders>
              <w:bottom w:val="single" w:color="000000" w:sz="10" w:space="0"/>
            </w:tcBorders>
            <w:vAlign w:val="top"/>
          </w:tcPr>
          <w:p w14:paraId="7F8D6795">
            <w:pPr>
              <w:spacing w:before="35" w:line="207" w:lineRule="auto"/>
              <w:ind w:left="1568"/>
              <w:rPr>
                <w:rFonts w:ascii="仿宋" w:hAnsi="仿宋" w:eastAsia="仿宋" w:cs="仿宋"/>
                <w:sz w:val="18"/>
                <w:szCs w:val="18"/>
              </w:rPr>
            </w:pPr>
            <w:r>
              <w:rPr>
                <w:rFonts w:ascii="仿宋" w:hAnsi="仿宋" w:eastAsia="仿宋" w:cs="仿宋"/>
                <w:spacing w:val="-9"/>
                <w:sz w:val="18"/>
                <w:szCs w:val="18"/>
              </w:rPr>
              <w:t>合计</w:t>
            </w:r>
          </w:p>
        </w:tc>
        <w:tc>
          <w:tcPr>
            <w:tcW w:w="827" w:type="dxa"/>
            <w:tcBorders>
              <w:bottom w:val="single" w:color="000000" w:sz="10" w:space="0"/>
            </w:tcBorders>
            <w:vAlign w:val="top"/>
          </w:tcPr>
          <w:p w14:paraId="28786341">
            <w:pPr>
              <w:pStyle w:val="6"/>
              <w:spacing w:before="66" w:line="188" w:lineRule="auto"/>
              <w:ind w:left="261"/>
            </w:pPr>
            <w:r>
              <w:rPr>
                <w:spacing w:val="-2"/>
              </w:rPr>
              <w:t>6.18</w:t>
            </w:r>
          </w:p>
        </w:tc>
        <w:tc>
          <w:tcPr>
            <w:tcW w:w="754" w:type="dxa"/>
            <w:tcBorders>
              <w:bottom w:val="single" w:color="000000" w:sz="10" w:space="0"/>
            </w:tcBorders>
            <w:vAlign w:val="top"/>
          </w:tcPr>
          <w:p w14:paraId="6133F707">
            <w:pPr>
              <w:pStyle w:val="6"/>
              <w:spacing w:before="66" w:line="188" w:lineRule="auto"/>
              <w:ind w:left="226"/>
            </w:pPr>
            <w:r>
              <w:rPr>
                <w:spacing w:val="-2"/>
              </w:rPr>
              <w:t>3.09</w:t>
            </w:r>
          </w:p>
        </w:tc>
        <w:tc>
          <w:tcPr>
            <w:tcW w:w="710" w:type="dxa"/>
            <w:tcBorders>
              <w:bottom w:val="single" w:color="000000" w:sz="10" w:space="0"/>
            </w:tcBorders>
            <w:vAlign w:val="top"/>
          </w:tcPr>
          <w:p w14:paraId="00B833CA">
            <w:pPr>
              <w:pStyle w:val="6"/>
              <w:spacing w:before="66" w:line="188" w:lineRule="auto"/>
              <w:ind w:left="207"/>
            </w:pPr>
            <w:r>
              <w:rPr>
                <w:spacing w:val="-2"/>
              </w:rPr>
              <w:t>3.09</w:t>
            </w:r>
          </w:p>
        </w:tc>
        <w:tc>
          <w:tcPr>
            <w:tcW w:w="943" w:type="dxa"/>
            <w:tcBorders>
              <w:bottom w:val="single" w:color="000000" w:sz="10" w:space="0"/>
            </w:tcBorders>
            <w:vAlign w:val="top"/>
          </w:tcPr>
          <w:p w14:paraId="30EC0301">
            <w:pPr>
              <w:pStyle w:val="6"/>
              <w:spacing w:before="66" w:line="188" w:lineRule="auto"/>
              <w:ind w:left="324"/>
            </w:pPr>
            <w:r>
              <w:rPr>
                <w:spacing w:val="-2"/>
              </w:rPr>
              <w:t>0.22</w:t>
            </w:r>
          </w:p>
        </w:tc>
        <w:tc>
          <w:tcPr>
            <w:tcW w:w="939" w:type="dxa"/>
            <w:tcBorders>
              <w:bottom w:val="single" w:color="000000" w:sz="10" w:space="0"/>
              <w:right w:val="single" w:color="000000" w:sz="6" w:space="0"/>
            </w:tcBorders>
            <w:vAlign w:val="top"/>
          </w:tcPr>
          <w:p w14:paraId="4B577C38">
            <w:pPr>
              <w:pStyle w:val="6"/>
              <w:spacing w:before="66" w:line="188" w:lineRule="auto"/>
              <w:ind w:left="314"/>
            </w:pPr>
            <w:r>
              <w:rPr>
                <w:spacing w:val="-2"/>
              </w:rPr>
              <w:t>0.22</w:t>
            </w:r>
          </w:p>
        </w:tc>
      </w:tr>
      <w:tr w14:paraId="3BCF4C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9" w:hRule="atLeast"/>
        </w:trPr>
        <w:tc>
          <w:tcPr>
            <w:tcW w:w="737" w:type="dxa"/>
            <w:vMerge w:val="continue"/>
            <w:tcBorders>
              <w:top w:val="nil"/>
              <w:left w:val="single" w:color="000000" w:sz="6" w:space="0"/>
              <w:bottom w:val="single" w:color="000000" w:sz="6" w:space="0"/>
            </w:tcBorders>
            <w:vAlign w:val="top"/>
          </w:tcPr>
          <w:p w14:paraId="68812C4E">
            <w:pPr>
              <w:rPr>
                <w:rFonts w:ascii="Arial"/>
                <w:sz w:val="21"/>
              </w:rPr>
            </w:pPr>
          </w:p>
        </w:tc>
        <w:tc>
          <w:tcPr>
            <w:tcW w:w="7640" w:type="dxa"/>
            <w:gridSpan w:val="7"/>
            <w:tcBorders>
              <w:top w:val="single" w:color="000000" w:sz="10" w:space="0"/>
              <w:bottom w:val="single" w:color="000000" w:sz="6" w:space="0"/>
              <w:right w:val="single" w:color="000000" w:sz="6" w:space="0"/>
            </w:tcBorders>
            <w:vAlign w:val="top"/>
          </w:tcPr>
          <w:p w14:paraId="7679782D">
            <w:pPr>
              <w:spacing w:before="239" w:line="3102" w:lineRule="exact"/>
              <w:ind w:firstLine="900"/>
            </w:pPr>
            <w:r>
              <w:rPr>
                <w:position w:val="-62"/>
              </w:rPr>
              <w:drawing>
                <wp:inline distT="0" distB="0" distL="0" distR="0">
                  <wp:extent cx="3696335" cy="1969135"/>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282"/>
                          <a:stretch>
                            <a:fillRect/>
                          </a:stretch>
                        </pic:blipFill>
                        <pic:spPr>
                          <a:xfrm>
                            <a:off x="0" y="0"/>
                            <a:ext cx="3696664" cy="1969312"/>
                          </a:xfrm>
                          <a:prstGeom prst="rect">
                            <a:avLst/>
                          </a:prstGeom>
                        </pic:spPr>
                      </pic:pic>
                    </a:graphicData>
                  </a:graphic>
                </wp:inline>
              </w:drawing>
            </w:r>
          </w:p>
          <w:p w14:paraId="04BDEA1F">
            <w:pPr>
              <w:spacing w:line="341" w:lineRule="auto"/>
              <w:rPr>
                <w:rFonts w:ascii="Arial"/>
                <w:sz w:val="21"/>
              </w:rPr>
            </w:pPr>
          </w:p>
          <w:p w14:paraId="6AF7A5A2">
            <w:pPr>
              <w:pStyle w:val="6"/>
              <w:spacing w:before="65" w:line="229" w:lineRule="auto"/>
              <w:ind w:left="1425"/>
              <w:rPr>
                <w:rFonts w:ascii="仿宋" w:hAnsi="仿宋" w:eastAsia="仿宋" w:cs="仿宋"/>
                <w:sz w:val="20"/>
                <w:szCs w:val="20"/>
              </w:rPr>
            </w:pPr>
            <w:r>
              <w:rPr>
                <w:rFonts w:ascii="仿宋" w:hAnsi="仿宋" w:eastAsia="仿宋" w:cs="仿宋"/>
                <w:b/>
                <w:bCs/>
                <w:spacing w:val="3"/>
                <w:sz w:val="20"/>
                <w:szCs w:val="20"/>
              </w:rPr>
              <w:t>图</w:t>
            </w:r>
            <w:r>
              <w:rPr>
                <w:rFonts w:ascii="仿宋" w:hAnsi="仿宋" w:eastAsia="仿宋" w:cs="仿宋"/>
                <w:spacing w:val="-28"/>
                <w:sz w:val="20"/>
                <w:szCs w:val="20"/>
              </w:rPr>
              <w:t xml:space="preserve"> </w:t>
            </w:r>
            <w:r>
              <w:rPr>
                <w:b/>
                <w:bCs/>
                <w:spacing w:val="3"/>
                <w:sz w:val="20"/>
                <w:szCs w:val="20"/>
              </w:rPr>
              <w:t xml:space="preserve">2-1    </w:t>
            </w:r>
            <w:r>
              <w:rPr>
                <w:rFonts w:ascii="仿宋" w:hAnsi="仿宋" w:eastAsia="仿宋" w:cs="仿宋"/>
                <w:b/>
                <w:bCs/>
                <w:spacing w:val="3"/>
                <w:sz w:val="20"/>
                <w:szCs w:val="20"/>
              </w:rPr>
              <w:t>本项目土石方工程量平衡图（单位：万</w:t>
            </w:r>
            <w:r>
              <w:rPr>
                <w:rFonts w:ascii="仿宋" w:hAnsi="仿宋" w:eastAsia="仿宋" w:cs="仿宋"/>
                <w:spacing w:val="-38"/>
                <w:sz w:val="20"/>
                <w:szCs w:val="20"/>
              </w:rPr>
              <w:t xml:space="preserve"> </w:t>
            </w:r>
            <w:r>
              <w:rPr>
                <w:b/>
                <w:bCs/>
                <w:spacing w:val="3"/>
                <w:sz w:val="20"/>
                <w:szCs w:val="20"/>
              </w:rPr>
              <w:t>m3</w:t>
            </w:r>
            <w:r>
              <w:rPr>
                <w:rFonts w:ascii="仿宋" w:hAnsi="仿宋" w:eastAsia="仿宋" w:cs="仿宋"/>
                <w:b/>
                <w:bCs/>
                <w:spacing w:val="3"/>
                <w:sz w:val="20"/>
                <w:szCs w:val="20"/>
              </w:rPr>
              <w:t>）</w:t>
            </w:r>
          </w:p>
        </w:tc>
      </w:tr>
    </w:tbl>
    <w:p w14:paraId="260CF56B">
      <w:pPr>
        <w:pStyle w:val="2"/>
        <w:spacing w:line="61" w:lineRule="exact"/>
        <w:rPr>
          <w:sz w:val="5"/>
        </w:rPr>
      </w:pPr>
    </w:p>
    <w:p w14:paraId="4E510A39">
      <w:pPr>
        <w:spacing w:line="61" w:lineRule="exact"/>
        <w:rPr>
          <w:sz w:val="5"/>
          <w:szCs w:val="5"/>
        </w:rPr>
        <w:sectPr>
          <w:footerReference r:id="rId25" w:type="default"/>
          <w:pgSz w:w="11907" w:h="16840"/>
          <w:pgMar w:top="400" w:right="1757" w:bottom="1446" w:left="1757" w:header="0" w:footer="1284" w:gutter="0"/>
          <w:cols w:space="720" w:num="1"/>
        </w:sectPr>
      </w:pPr>
    </w:p>
    <w:p w14:paraId="482BC4EE">
      <w:pPr>
        <w:spacing w:before="19"/>
      </w:pPr>
    </w:p>
    <w:p w14:paraId="26E3B88B">
      <w:pPr>
        <w:spacing w:before="19"/>
      </w:pPr>
    </w:p>
    <w:p w14:paraId="3A23153C">
      <w:pPr>
        <w:spacing w:before="18"/>
      </w:pPr>
    </w:p>
    <w:p w14:paraId="42817EA2">
      <w:pPr>
        <w:spacing w:before="18"/>
      </w:pPr>
    </w:p>
    <w:tbl>
      <w:tblPr>
        <w:tblStyle w:val="5"/>
        <w:tblW w:w="8377"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7"/>
        <w:gridCol w:w="612"/>
        <w:gridCol w:w="895"/>
        <w:gridCol w:w="991"/>
        <w:gridCol w:w="114"/>
        <w:gridCol w:w="785"/>
        <w:gridCol w:w="256"/>
        <w:gridCol w:w="504"/>
        <w:gridCol w:w="455"/>
        <w:gridCol w:w="325"/>
        <w:gridCol w:w="723"/>
        <w:gridCol w:w="175"/>
        <w:gridCol w:w="426"/>
        <w:gridCol w:w="334"/>
        <w:gridCol w:w="1045"/>
      </w:tblGrid>
      <w:tr w14:paraId="158B18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7" w:hRule="atLeast"/>
        </w:trPr>
        <w:tc>
          <w:tcPr>
            <w:tcW w:w="737" w:type="dxa"/>
            <w:vMerge w:val="restart"/>
            <w:tcBorders>
              <w:top w:val="single" w:color="000000" w:sz="6" w:space="0"/>
              <w:left w:val="single" w:color="000000" w:sz="6" w:space="0"/>
              <w:bottom w:val="nil"/>
            </w:tcBorders>
            <w:vAlign w:val="top"/>
          </w:tcPr>
          <w:p w14:paraId="5FB07BEB">
            <w:pPr>
              <w:rPr>
                <w:rFonts w:ascii="Arial"/>
                <w:sz w:val="21"/>
              </w:rPr>
            </w:pPr>
          </w:p>
        </w:tc>
        <w:tc>
          <w:tcPr>
            <w:tcW w:w="7640" w:type="dxa"/>
            <w:gridSpan w:val="14"/>
            <w:tcBorders>
              <w:top w:val="single" w:color="000000" w:sz="6" w:space="0"/>
              <w:bottom w:val="single" w:color="000000" w:sz="10" w:space="0"/>
              <w:right w:val="single" w:color="000000" w:sz="6" w:space="0"/>
            </w:tcBorders>
            <w:vAlign w:val="top"/>
          </w:tcPr>
          <w:p w14:paraId="535F3AE5">
            <w:pPr>
              <w:pStyle w:val="6"/>
              <w:spacing w:before="26" w:line="232" w:lineRule="auto"/>
              <w:ind w:left="635"/>
              <w:rPr>
                <w:rFonts w:ascii="仿宋" w:hAnsi="仿宋" w:eastAsia="仿宋" w:cs="仿宋"/>
                <w:sz w:val="20"/>
                <w:szCs w:val="20"/>
              </w:rPr>
            </w:pPr>
            <w:r>
              <w:rPr>
                <w:b/>
                <w:bCs/>
                <w:spacing w:val="2"/>
                <w:sz w:val="20"/>
                <w:szCs w:val="20"/>
              </w:rPr>
              <w:t>6</w:t>
            </w:r>
            <w:r>
              <w:rPr>
                <w:b/>
                <w:bCs/>
                <w:spacing w:val="-20"/>
                <w:sz w:val="20"/>
                <w:szCs w:val="20"/>
              </w:rPr>
              <w:t xml:space="preserve"> </w:t>
            </w:r>
            <w:r>
              <w:rPr>
                <w:rFonts w:ascii="仿宋" w:hAnsi="仿宋" w:eastAsia="仿宋" w:cs="仿宋"/>
                <w:b/>
                <w:bCs/>
                <w:spacing w:val="2"/>
                <w:sz w:val="20"/>
                <w:szCs w:val="20"/>
              </w:rPr>
              <w:t>、交通量预测</w:t>
            </w:r>
          </w:p>
          <w:p w14:paraId="1F34402E">
            <w:pPr>
              <w:pStyle w:val="6"/>
              <w:spacing w:before="157" w:line="376" w:lineRule="auto"/>
              <w:ind w:right="6" w:firstLine="526"/>
              <w:jc w:val="both"/>
              <w:rPr>
                <w:rFonts w:ascii="仿宋" w:hAnsi="仿宋" w:eastAsia="仿宋" w:cs="仿宋"/>
                <w:sz w:val="20"/>
                <w:szCs w:val="20"/>
              </w:rPr>
            </w:pPr>
            <w:r>
              <w:rPr>
                <w:rFonts w:ascii="仿宋" w:hAnsi="仿宋" w:eastAsia="仿宋" w:cs="仿宋"/>
                <w:spacing w:val="9"/>
                <w:sz w:val="20"/>
                <w:szCs w:val="20"/>
              </w:rPr>
              <w:t>根据项目可行性研究报告，按照《公路工程技术标准》（</w:t>
            </w:r>
            <w:r>
              <w:rPr>
                <w:sz w:val="20"/>
                <w:szCs w:val="20"/>
              </w:rPr>
              <w:t>JTG</w:t>
            </w:r>
            <w:r>
              <w:rPr>
                <w:spacing w:val="9"/>
                <w:sz w:val="20"/>
                <w:szCs w:val="20"/>
              </w:rPr>
              <w:t xml:space="preserve"> </w:t>
            </w:r>
            <w:r>
              <w:rPr>
                <w:sz w:val="20"/>
                <w:szCs w:val="20"/>
              </w:rPr>
              <w:t>B</w:t>
            </w:r>
            <w:r>
              <w:rPr>
                <w:spacing w:val="9"/>
                <w:sz w:val="20"/>
                <w:szCs w:val="20"/>
              </w:rPr>
              <w:t>01</w:t>
            </w:r>
            <w:r>
              <w:rPr>
                <w:rFonts w:ascii="仿宋" w:hAnsi="仿宋" w:eastAsia="仿宋" w:cs="仿宋"/>
                <w:spacing w:val="9"/>
                <w:sz w:val="20"/>
                <w:szCs w:val="20"/>
              </w:rPr>
              <w:t>－</w:t>
            </w:r>
            <w:r>
              <w:rPr>
                <w:spacing w:val="9"/>
                <w:sz w:val="20"/>
                <w:szCs w:val="20"/>
              </w:rPr>
              <w:t>2014</w:t>
            </w:r>
            <w:r>
              <w:rPr>
                <w:rFonts w:ascii="仿宋" w:hAnsi="仿宋" w:eastAsia="仿宋" w:cs="仿宋"/>
                <w:spacing w:val="9"/>
                <w:sz w:val="20"/>
                <w:szCs w:val="20"/>
              </w:rPr>
              <w:t>）的</w:t>
            </w:r>
            <w:r>
              <w:rPr>
                <w:rFonts w:ascii="仿宋" w:hAnsi="仿宋" w:eastAsia="仿宋" w:cs="仿宋"/>
                <w:spacing w:val="5"/>
                <w:sz w:val="20"/>
                <w:szCs w:val="20"/>
              </w:rPr>
              <w:t>规定，本项目四级公路预测年限为通车后第</w:t>
            </w:r>
            <w:r>
              <w:rPr>
                <w:rFonts w:ascii="仿宋" w:hAnsi="仿宋" w:eastAsia="仿宋" w:cs="仿宋"/>
                <w:spacing w:val="-19"/>
                <w:sz w:val="20"/>
                <w:szCs w:val="20"/>
              </w:rPr>
              <w:t xml:space="preserve"> </w:t>
            </w:r>
            <w:r>
              <w:rPr>
                <w:spacing w:val="5"/>
                <w:sz w:val="20"/>
                <w:szCs w:val="20"/>
              </w:rPr>
              <w:t>1</w:t>
            </w:r>
            <w:r>
              <w:rPr>
                <w:spacing w:val="22"/>
                <w:w w:val="101"/>
                <w:sz w:val="20"/>
                <w:szCs w:val="20"/>
              </w:rPr>
              <w:t xml:space="preserve"> </w:t>
            </w:r>
            <w:r>
              <w:rPr>
                <w:rFonts w:ascii="仿宋" w:hAnsi="仿宋" w:eastAsia="仿宋" w:cs="仿宋"/>
                <w:spacing w:val="5"/>
                <w:sz w:val="20"/>
                <w:szCs w:val="20"/>
              </w:rPr>
              <w:t>年、第</w:t>
            </w:r>
            <w:r>
              <w:rPr>
                <w:rFonts w:ascii="仿宋" w:hAnsi="仿宋" w:eastAsia="仿宋" w:cs="仿宋"/>
                <w:spacing w:val="-38"/>
                <w:sz w:val="20"/>
                <w:szCs w:val="20"/>
              </w:rPr>
              <w:t xml:space="preserve"> </w:t>
            </w:r>
            <w:r>
              <w:rPr>
                <w:spacing w:val="5"/>
                <w:sz w:val="20"/>
                <w:szCs w:val="20"/>
              </w:rPr>
              <w:t>5</w:t>
            </w:r>
            <w:r>
              <w:rPr>
                <w:spacing w:val="22"/>
                <w:w w:val="101"/>
                <w:sz w:val="20"/>
                <w:szCs w:val="20"/>
              </w:rPr>
              <w:t xml:space="preserve"> </w:t>
            </w:r>
            <w:r>
              <w:rPr>
                <w:rFonts w:ascii="仿宋" w:hAnsi="仿宋" w:eastAsia="仿宋" w:cs="仿宋"/>
                <w:spacing w:val="5"/>
                <w:sz w:val="20"/>
                <w:szCs w:val="20"/>
              </w:rPr>
              <w:t>年和第</w:t>
            </w:r>
            <w:r>
              <w:rPr>
                <w:rFonts w:ascii="仿宋" w:hAnsi="仿宋" w:eastAsia="仿宋" w:cs="仿宋"/>
                <w:spacing w:val="-23"/>
                <w:sz w:val="20"/>
                <w:szCs w:val="20"/>
              </w:rPr>
              <w:t xml:space="preserve"> </w:t>
            </w:r>
            <w:r>
              <w:rPr>
                <w:spacing w:val="5"/>
                <w:sz w:val="20"/>
                <w:szCs w:val="20"/>
              </w:rPr>
              <w:t>10</w:t>
            </w:r>
            <w:r>
              <w:rPr>
                <w:spacing w:val="21"/>
                <w:w w:val="101"/>
                <w:sz w:val="20"/>
                <w:szCs w:val="20"/>
              </w:rPr>
              <w:t xml:space="preserve"> </w:t>
            </w:r>
            <w:r>
              <w:rPr>
                <w:rFonts w:ascii="仿宋" w:hAnsi="仿宋" w:eastAsia="仿宋" w:cs="仿宋"/>
                <w:spacing w:val="5"/>
                <w:sz w:val="20"/>
                <w:szCs w:val="20"/>
              </w:rPr>
              <w:t>年，即交通预测的</w:t>
            </w:r>
            <w:r>
              <w:rPr>
                <w:rFonts w:ascii="仿宋" w:hAnsi="仿宋" w:eastAsia="仿宋" w:cs="仿宋"/>
                <w:spacing w:val="7"/>
                <w:sz w:val="20"/>
                <w:szCs w:val="20"/>
              </w:rPr>
              <w:t>特征年确定为</w:t>
            </w:r>
            <w:r>
              <w:rPr>
                <w:rFonts w:ascii="仿宋" w:hAnsi="仿宋" w:eastAsia="仿宋" w:cs="仿宋"/>
                <w:spacing w:val="-41"/>
                <w:sz w:val="20"/>
                <w:szCs w:val="20"/>
              </w:rPr>
              <w:t xml:space="preserve"> </w:t>
            </w:r>
            <w:r>
              <w:rPr>
                <w:spacing w:val="7"/>
                <w:sz w:val="20"/>
                <w:szCs w:val="20"/>
              </w:rPr>
              <w:t>2027</w:t>
            </w:r>
            <w:r>
              <w:rPr>
                <w:spacing w:val="22"/>
                <w:sz w:val="20"/>
                <w:szCs w:val="20"/>
              </w:rPr>
              <w:t xml:space="preserve"> </w:t>
            </w:r>
            <w:r>
              <w:rPr>
                <w:rFonts w:ascii="仿宋" w:hAnsi="仿宋" w:eastAsia="仿宋" w:cs="仿宋"/>
                <w:spacing w:val="7"/>
                <w:sz w:val="20"/>
                <w:szCs w:val="20"/>
              </w:rPr>
              <w:t>年、</w:t>
            </w:r>
            <w:r>
              <w:rPr>
                <w:spacing w:val="7"/>
                <w:sz w:val="20"/>
                <w:szCs w:val="20"/>
              </w:rPr>
              <w:t>2031</w:t>
            </w:r>
            <w:r>
              <w:rPr>
                <w:spacing w:val="19"/>
                <w:w w:val="101"/>
                <w:sz w:val="20"/>
                <w:szCs w:val="20"/>
              </w:rPr>
              <w:t xml:space="preserve"> </w:t>
            </w:r>
            <w:r>
              <w:rPr>
                <w:rFonts w:ascii="仿宋" w:hAnsi="仿宋" w:eastAsia="仿宋" w:cs="仿宋"/>
                <w:spacing w:val="7"/>
                <w:sz w:val="20"/>
                <w:szCs w:val="20"/>
              </w:rPr>
              <w:t>年、</w:t>
            </w:r>
            <w:r>
              <w:rPr>
                <w:spacing w:val="7"/>
                <w:sz w:val="20"/>
                <w:szCs w:val="20"/>
              </w:rPr>
              <w:t>2036</w:t>
            </w:r>
            <w:r>
              <w:rPr>
                <w:spacing w:val="22"/>
                <w:sz w:val="20"/>
                <w:szCs w:val="20"/>
              </w:rPr>
              <w:t xml:space="preserve"> </w:t>
            </w:r>
            <w:r>
              <w:rPr>
                <w:rFonts w:ascii="仿宋" w:hAnsi="仿宋" w:eastAsia="仿宋" w:cs="仿宋"/>
                <w:spacing w:val="7"/>
                <w:sz w:val="20"/>
                <w:szCs w:val="20"/>
              </w:rPr>
              <w:t>年。项目建成后特征年预测交通</w:t>
            </w:r>
            <w:r>
              <w:rPr>
                <w:rFonts w:ascii="仿宋" w:hAnsi="仿宋" w:eastAsia="仿宋" w:cs="仿宋"/>
                <w:spacing w:val="6"/>
                <w:sz w:val="20"/>
                <w:szCs w:val="20"/>
              </w:rPr>
              <w:t>量情况见表</w:t>
            </w:r>
            <w:r>
              <w:rPr>
                <w:spacing w:val="5"/>
                <w:sz w:val="20"/>
                <w:szCs w:val="20"/>
              </w:rPr>
              <w:t>2-7</w:t>
            </w:r>
            <w:r>
              <w:rPr>
                <w:spacing w:val="-16"/>
                <w:sz w:val="20"/>
                <w:szCs w:val="20"/>
              </w:rPr>
              <w:t xml:space="preserve"> </w:t>
            </w:r>
            <w:r>
              <w:rPr>
                <w:rFonts w:ascii="仿宋" w:hAnsi="仿宋" w:eastAsia="仿宋" w:cs="仿宋"/>
                <w:spacing w:val="5"/>
                <w:sz w:val="20"/>
                <w:szCs w:val="20"/>
              </w:rPr>
              <w:t>，特征年车型比例见下表</w:t>
            </w:r>
            <w:r>
              <w:rPr>
                <w:rFonts w:ascii="仿宋" w:hAnsi="仿宋" w:eastAsia="仿宋" w:cs="仿宋"/>
                <w:spacing w:val="-41"/>
                <w:sz w:val="20"/>
                <w:szCs w:val="20"/>
              </w:rPr>
              <w:t xml:space="preserve"> </w:t>
            </w:r>
            <w:r>
              <w:rPr>
                <w:spacing w:val="5"/>
                <w:sz w:val="20"/>
                <w:szCs w:val="20"/>
              </w:rPr>
              <w:t>2-8</w:t>
            </w:r>
            <w:r>
              <w:rPr>
                <w:rFonts w:ascii="仿宋" w:hAnsi="仿宋" w:eastAsia="仿宋" w:cs="仿宋"/>
                <w:spacing w:val="5"/>
                <w:sz w:val="20"/>
                <w:szCs w:val="20"/>
              </w:rPr>
              <w:t>。</w:t>
            </w:r>
          </w:p>
          <w:p w14:paraId="72FEBC17">
            <w:pPr>
              <w:pStyle w:val="6"/>
              <w:spacing w:before="2" w:line="221" w:lineRule="auto"/>
              <w:ind w:left="1665"/>
              <w:rPr>
                <w:sz w:val="20"/>
                <w:szCs w:val="20"/>
              </w:rPr>
            </w:pPr>
            <w:r>
              <w:rPr>
                <w:rFonts w:ascii="仿宋" w:hAnsi="仿宋" w:eastAsia="仿宋" w:cs="仿宋"/>
                <w:b/>
                <w:bCs/>
                <w:spacing w:val="5"/>
                <w:sz w:val="20"/>
                <w:szCs w:val="20"/>
              </w:rPr>
              <w:t>表</w:t>
            </w:r>
            <w:r>
              <w:rPr>
                <w:rFonts w:ascii="仿宋" w:hAnsi="仿宋" w:eastAsia="仿宋" w:cs="仿宋"/>
                <w:spacing w:val="-30"/>
                <w:sz w:val="20"/>
                <w:szCs w:val="20"/>
              </w:rPr>
              <w:t xml:space="preserve"> </w:t>
            </w:r>
            <w:r>
              <w:rPr>
                <w:b/>
                <w:bCs/>
                <w:spacing w:val="5"/>
                <w:sz w:val="20"/>
                <w:szCs w:val="20"/>
              </w:rPr>
              <w:t xml:space="preserve">2-7    </w:t>
            </w:r>
            <w:r>
              <w:rPr>
                <w:rFonts w:ascii="仿宋" w:hAnsi="仿宋" w:eastAsia="仿宋" w:cs="仿宋"/>
                <w:b/>
                <w:bCs/>
                <w:spacing w:val="5"/>
                <w:sz w:val="20"/>
                <w:szCs w:val="20"/>
              </w:rPr>
              <w:t>各特征年交通量预测结果</w:t>
            </w:r>
            <w:r>
              <w:rPr>
                <w:rFonts w:ascii="仿宋" w:hAnsi="仿宋" w:eastAsia="仿宋" w:cs="仿宋"/>
                <w:spacing w:val="11"/>
                <w:sz w:val="20"/>
                <w:szCs w:val="20"/>
              </w:rPr>
              <w:t xml:space="preserve">   </w:t>
            </w:r>
            <w:r>
              <w:rPr>
                <w:rFonts w:ascii="仿宋" w:hAnsi="仿宋" w:eastAsia="仿宋" w:cs="仿宋"/>
                <w:b/>
                <w:bCs/>
                <w:spacing w:val="5"/>
                <w:sz w:val="20"/>
                <w:szCs w:val="20"/>
              </w:rPr>
              <w:t>单位：</w:t>
            </w:r>
            <w:r>
              <w:rPr>
                <w:b/>
                <w:bCs/>
                <w:sz w:val="20"/>
                <w:szCs w:val="20"/>
              </w:rPr>
              <w:t>pcu</w:t>
            </w:r>
            <w:r>
              <w:rPr>
                <w:b/>
                <w:bCs/>
                <w:spacing w:val="5"/>
                <w:sz w:val="20"/>
                <w:szCs w:val="20"/>
              </w:rPr>
              <w:t>/d</w:t>
            </w:r>
          </w:p>
        </w:tc>
      </w:tr>
      <w:tr w14:paraId="566360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737" w:type="dxa"/>
            <w:vMerge w:val="continue"/>
            <w:tcBorders>
              <w:top w:val="nil"/>
              <w:left w:val="single" w:color="000000" w:sz="6" w:space="0"/>
              <w:bottom w:val="nil"/>
            </w:tcBorders>
            <w:vAlign w:val="top"/>
          </w:tcPr>
          <w:p w14:paraId="2DA4F8E4">
            <w:pPr>
              <w:rPr>
                <w:rFonts w:ascii="Arial"/>
                <w:sz w:val="21"/>
              </w:rPr>
            </w:pPr>
          </w:p>
        </w:tc>
        <w:tc>
          <w:tcPr>
            <w:tcW w:w="3653" w:type="dxa"/>
            <w:gridSpan w:val="6"/>
            <w:tcBorders>
              <w:top w:val="single" w:color="000000" w:sz="10" w:space="0"/>
            </w:tcBorders>
            <w:vAlign w:val="top"/>
          </w:tcPr>
          <w:p w14:paraId="4807283F">
            <w:pPr>
              <w:spacing w:before="24" w:line="215" w:lineRule="auto"/>
              <w:ind w:left="1617"/>
              <w:rPr>
                <w:rFonts w:ascii="仿宋" w:hAnsi="仿宋" w:eastAsia="仿宋" w:cs="仿宋"/>
                <w:sz w:val="20"/>
                <w:szCs w:val="20"/>
              </w:rPr>
            </w:pPr>
            <w:r>
              <w:rPr>
                <w:rFonts w:ascii="仿宋" w:hAnsi="仿宋" w:eastAsia="仿宋" w:cs="仿宋"/>
                <w:spacing w:val="5"/>
                <w:sz w:val="20"/>
                <w:szCs w:val="20"/>
              </w:rPr>
              <w:t>特征年</w:t>
            </w:r>
          </w:p>
        </w:tc>
        <w:tc>
          <w:tcPr>
            <w:tcW w:w="1284" w:type="dxa"/>
            <w:gridSpan w:val="3"/>
            <w:tcBorders>
              <w:top w:val="single" w:color="000000" w:sz="10" w:space="0"/>
            </w:tcBorders>
            <w:vAlign w:val="top"/>
          </w:tcPr>
          <w:p w14:paraId="323C277C">
            <w:pPr>
              <w:spacing w:before="24" w:line="215" w:lineRule="auto"/>
              <w:ind w:left="330"/>
              <w:rPr>
                <w:rFonts w:ascii="仿宋" w:hAnsi="仿宋" w:eastAsia="仿宋" w:cs="仿宋"/>
                <w:sz w:val="20"/>
                <w:szCs w:val="20"/>
              </w:rPr>
            </w:pPr>
            <w:r>
              <w:rPr>
                <w:rFonts w:ascii="仿宋" w:hAnsi="仿宋" w:eastAsia="仿宋" w:cs="仿宋"/>
                <w:spacing w:val="1"/>
                <w:sz w:val="20"/>
                <w:szCs w:val="20"/>
              </w:rPr>
              <w:t>2027</w:t>
            </w:r>
            <w:r>
              <w:rPr>
                <w:rFonts w:ascii="仿宋" w:hAnsi="仿宋" w:eastAsia="仿宋" w:cs="仿宋"/>
                <w:spacing w:val="-28"/>
                <w:sz w:val="20"/>
                <w:szCs w:val="20"/>
              </w:rPr>
              <w:t xml:space="preserve"> </w:t>
            </w:r>
            <w:r>
              <w:rPr>
                <w:rFonts w:ascii="仿宋" w:hAnsi="仿宋" w:eastAsia="仿宋" w:cs="仿宋"/>
                <w:spacing w:val="1"/>
                <w:sz w:val="20"/>
                <w:szCs w:val="20"/>
              </w:rPr>
              <w:t>年</w:t>
            </w:r>
          </w:p>
        </w:tc>
        <w:tc>
          <w:tcPr>
            <w:tcW w:w="1324" w:type="dxa"/>
            <w:gridSpan w:val="3"/>
            <w:tcBorders>
              <w:top w:val="single" w:color="000000" w:sz="10" w:space="0"/>
            </w:tcBorders>
            <w:vAlign w:val="top"/>
          </w:tcPr>
          <w:p w14:paraId="3CA19162">
            <w:pPr>
              <w:spacing w:before="24" w:line="215" w:lineRule="auto"/>
              <w:ind w:left="373"/>
              <w:rPr>
                <w:rFonts w:ascii="仿宋" w:hAnsi="仿宋" w:eastAsia="仿宋" w:cs="仿宋"/>
                <w:sz w:val="20"/>
                <w:szCs w:val="20"/>
              </w:rPr>
            </w:pPr>
            <w:r>
              <w:rPr>
                <w:rFonts w:ascii="仿宋" w:hAnsi="仿宋" w:eastAsia="仿宋" w:cs="仿宋"/>
                <w:spacing w:val="1"/>
                <w:sz w:val="20"/>
                <w:szCs w:val="20"/>
              </w:rPr>
              <w:t>2031</w:t>
            </w:r>
            <w:r>
              <w:rPr>
                <w:rFonts w:ascii="仿宋" w:hAnsi="仿宋" w:eastAsia="仿宋" w:cs="仿宋"/>
                <w:spacing w:val="-28"/>
                <w:sz w:val="20"/>
                <w:szCs w:val="20"/>
              </w:rPr>
              <w:t xml:space="preserve"> </w:t>
            </w:r>
            <w:r>
              <w:rPr>
                <w:rFonts w:ascii="仿宋" w:hAnsi="仿宋" w:eastAsia="仿宋" w:cs="仿宋"/>
                <w:spacing w:val="1"/>
                <w:sz w:val="20"/>
                <w:szCs w:val="20"/>
              </w:rPr>
              <w:t>年</w:t>
            </w:r>
          </w:p>
        </w:tc>
        <w:tc>
          <w:tcPr>
            <w:tcW w:w="1379" w:type="dxa"/>
            <w:gridSpan w:val="2"/>
            <w:tcBorders>
              <w:top w:val="single" w:color="000000" w:sz="10" w:space="0"/>
              <w:right w:val="single" w:color="000000" w:sz="6" w:space="0"/>
            </w:tcBorders>
            <w:vAlign w:val="top"/>
          </w:tcPr>
          <w:p w14:paraId="25DB21EA">
            <w:pPr>
              <w:spacing w:before="24" w:line="215" w:lineRule="auto"/>
              <w:ind w:left="374"/>
              <w:rPr>
                <w:rFonts w:ascii="仿宋" w:hAnsi="仿宋" w:eastAsia="仿宋" w:cs="仿宋"/>
                <w:sz w:val="20"/>
                <w:szCs w:val="20"/>
              </w:rPr>
            </w:pPr>
            <w:r>
              <w:rPr>
                <w:rFonts w:ascii="仿宋" w:hAnsi="仿宋" w:eastAsia="仿宋" w:cs="仿宋"/>
                <w:spacing w:val="1"/>
                <w:sz w:val="20"/>
                <w:szCs w:val="20"/>
              </w:rPr>
              <w:t>2036</w:t>
            </w:r>
            <w:r>
              <w:rPr>
                <w:rFonts w:ascii="仿宋" w:hAnsi="仿宋" w:eastAsia="仿宋" w:cs="仿宋"/>
                <w:spacing w:val="-28"/>
                <w:sz w:val="20"/>
                <w:szCs w:val="20"/>
              </w:rPr>
              <w:t xml:space="preserve"> </w:t>
            </w:r>
            <w:r>
              <w:rPr>
                <w:rFonts w:ascii="仿宋" w:hAnsi="仿宋" w:eastAsia="仿宋" w:cs="仿宋"/>
                <w:spacing w:val="1"/>
                <w:sz w:val="20"/>
                <w:szCs w:val="20"/>
              </w:rPr>
              <w:t>年</w:t>
            </w:r>
          </w:p>
        </w:tc>
      </w:tr>
      <w:tr w14:paraId="284362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7" w:hRule="atLeast"/>
        </w:trPr>
        <w:tc>
          <w:tcPr>
            <w:tcW w:w="737" w:type="dxa"/>
            <w:vMerge w:val="continue"/>
            <w:tcBorders>
              <w:top w:val="nil"/>
              <w:left w:val="single" w:color="000000" w:sz="6" w:space="0"/>
              <w:bottom w:val="nil"/>
            </w:tcBorders>
            <w:vAlign w:val="top"/>
          </w:tcPr>
          <w:p w14:paraId="1731EDD7">
            <w:pPr>
              <w:rPr>
                <w:rFonts w:ascii="Arial"/>
                <w:sz w:val="21"/>
              </w:rPr>
            </w:pPr>
          </w:p>
        </w:tc>
        <w:tc>
          <w:tcPr>
            <w:tcW w:w="3653" w:type="dxa"/>
            <w:gridSpan w:val="6"/>
            <w:tcBorders>
              <w:bottom w:val="single" w:color="000000" w:sz="10" w:space="0"/>
            </w:tcBorders>
            <w:vAlign w:val="top"/>
          </w:tcPr>
          <w:p w14:paraId="3F6F3841">
            <w:pPr>
              <w:spacing w:before="35" w:line="223" w:lineRule="auto"/>
              <w:ind w:left="1623"/>
              <w:rPr>
                <w:rFonts w:ascii="仿宋" w:hAnsi="仿宋" w:eastAsia="仿宋" w:cs="仿宋"/>
                <w:sz w:val="20"/>
                <w:szCs w:val="20"/>
              </w:rPr>
            </w:pPr>
            <w:r>
              <w:rPr>
                <w:rFonts w:ascii="仿宋" w:hAnsi="仿宋" w:eastAsia="仿宋" w:cs="仿宋"/>
                <w:spacing w:val="3"/>
                <w:sz w:val="20"/>
                <w:szCs w:val="20"/>
              </w:rPr>
              <w:t>交通量</w:t>
            </w:r>
          </w:p>
        </w:tc>
        <w:tc>
          <w:tcPr>
            <w:tcW w:w="1284" w:type="dxa"/>
            <w:gridSpan w:val="3"/>
            <w:tcBorders>
              <w:bottom w:val="single" w:color="000000" w:sz="10" w:space="0"/>
            </w:tcBorders>
            <w:vAlign w:val="top"/>
          </w:tcPr>
          <w:p w14:paraId="0886259C">
            <w:pPr>
              <w:spacing w:before="35" w:line="223" w:lineRule="auto"/>
              <w:ind w:left="512"/>
              <w:rPr>
                <w:rFonts w:ascii="仿宋" w:hAnsi="仿宋" w:eastAsia="仿宋" w:cs="仿宋"/>
                <w:sz w:val="20"/>
                <w:szCs w:val="20"/>
              </w:rPr>
            </w:pPr>
            <w:r>
              <w:rPr>
                <w:rFonts w:ascii="仿宋" w:hAnsi="仿宋" w:eastAsia="仿宋" w:cs="仿宋"/>
                <w:spacing w:val="1"/>
                <w:sz w:val="20"/>
                <w:szCs w:val="20"/>
              </w:rPr>
              <w:t>213</w:t>
            </w:r>
          </w:p>
        </w:tc>
        <w:tc>
          <w:tcPr>
            <w:tcW w:w="1324" w:type="dxa"/>
            <w:gridSpan w:val="3"/>
            <w:tcBorders>
              <w:bottom w:val="single" w:color="000000" w:sz="10" w:space="0"/>
            </w:tcBorders>
            <w:vAlign w:val="top"/>
          </w:tcPr>
          <w:p w14:paraId="42DC2B3A">
            <w:pPr>
              <w:spacing w:before="35" w:line="223" w:lineRule="auto"/>
              <w:ind w:left="555"/>
              <w:rPr>
                <w:rFonts w:ascii="仿宋" w:hAnsi="仿宋" w:eastAsia="仿宋" w:cs="仿宋"/>
                <w:sz w:val="20"/>
                <w:szCs w:val="20"/>
              </w:rPr>
            </w:pPr>
            <w:r>
              <w:rPr>
                <w:rFonts w:ascii="仿宋" w:hAnsi="仿宋" w:eastAsia="仿宋" w:cs="仿宋"/>
                <w:spacing w:val="1"/>
                <w:sz w:val="20"/>
                <w:szCs w:val="20"/>
              </w:rPr>
              <w:t>268</w:t>
            </w:r>
          </w:p>
        </w:tc>
        <w:tc>
          <w:tcPr>
            <w:tcW w:w="1379" w:type="dxa"/>
            <w:gridSpan w:val="2"/>
            <w:tcBorders>
              <w:bottom w:val="single" w:color="000000" w:sz="10" w:space="0"/>
              <w:right w:val="single" w:color="000000" w:sz="6" w:space="0"/>
            </w:tcBorders>
            <w:vAlign w:val="top"/>
          </w:tcPr>
          <w:p w14:paraId="773DFB0E">
            <w:pPr>
              <w:spacing w:before="35" w:line="223" w:lineRule="auto"/>
              <w:ind w:left="558"/>
              <w:rPr>
                <w:rFonts w:ascii="仿宋" w:hAnsi="仿宋" w:eastAsia="仿宋" w:cs="仿宋"/>
                <w:sz w:val="20"/>
                <w:szCs w:val="20"/>
              </w:rPr>
            </w:pPr>
            <w:r>
              <w:rPr>
                <w:rFonts w:ascii="仿宋" w:hAnsi="仿宋" w:eastAsia="仿宋" w:cs="仿宋"/>
                <w:spacing w:val="1"/>
                <w:sz w:val="20"/>
                <w:szCs w:val="20"/>
              </w:rPr>
              <w:t>306</w:t>
            </w:r>
          </w:p>
        </w:tc>
      </w:tr>
      <w:tr w14:paraId="1A875D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2" w:hRule="atLeast"/>
        </w:trPr>
        <w:tc>
          <w:tcPr>
            <w:tcW w:w="737" w:type="dxa"/>
            <w:vMerge w:val="continue"/>
            <w:tcBorders>
              <w:top w:val="nil"/>
              <w:left w:val="single" w:color="000000" w:sz="6" w:space="0"/>
              <w:bottom w:val="nil"/>
            </w:tcBorders>
            <w:vAlign w:val="top"/>
          </w:tcPr>
          <w:p w14:paraId="4C961835">
            <w:pPr>
              <w:rPr>
                <w:rFonts w:ascii="Arial"/>
                <w:sz w:val="21"/>
              </w:rPr>
            </w:pPr>
          </w:p>
        </w:tc>
        <w:tc>
          <w:tcPr>
            <w:tcW w:w="7640" w:type="dxa"/>
            <w:gridSpan w:val="14"/>
            <w:tcBorders>
              <w:top w:val="single" w:color="000000" w:sz="10" w:space="0"/>
              <w:bottom w:val="single" w:color="000000" w:sz="10" w:space="0"/>
              <w:right w:val="single" w:color="000000" w:sz="6" w:space="0"/>
            </w:tcBorders>
            <w:vAlign w:val="top"/>
          </w:tcPr>
          <w:p w14:paraId="7FC7861D">
            <w:pPr>
              <w:pStyle w:val="6"/>
              <w:spacing w:before="146" w:line="228" w:lineRule="auto"/>
              <w:ind w:left="2133"/>
              <w:rPr>
                <w:rFonts w:ascii="仿宋" w:hAnsi="仿宋" w:eastAsia="仿宋" w:cs="仿宋"/>
                <w:sz w:val="20"/>
                <w:szCs w:val="20"/>
              </w:rPr>
            </w:pPr>
            <w:r>
              <w:rPr>
                <w:rFonts w:ascii="仿宋" w:hAnsi="仿宋" w:eastAsia="仿宋" w:cs="仿宋"/>
                <w:b/>
                <w:bCs/>
                <w:spacing w:val="4"/>
                <w:sz w:val="20"/>
                <w:szCs w:val="20"/>
              </w:rPr>
              <w:t>表</w:t>
            </w:r>
            <w:r>
              <w:rPr>
                <w:rFonts w:ascii="仿宋" w:hAnsi="仿宋" w:eastAsia="仿宋" w:cs="仿宋"/>
                <w:spacing w:val="-25"/>
                <w:sz w:val="20"/>
                <w:szCs w:val="20"/>
              </w:rPr>
              <w:t xml:space="preserve"> </w:t>
            </w:r>
            <w:r>
              <w:rPr>
                <w:b/>
                <w:bCs/>
                <w:spacing w:val="4"/>
                <w:sz w:val="20"/>
                <w:szCs w:val="20"/>
              </w:rPr>
              <w:t xml:space="preserve">2-8          </w:t>
            </w:r>
            <w:r>
              <w:rPr>
                <w:rFonts w:ascii="仿宋" w:hAnsi="仿宋" w:eastAsia="仿宋" w:cs="仿宋"/>
                <w:b/>
                <w:bCs/>
                <w:spacing w:val="4"/>
                <w:sz w:val="20"/>
                <w:szCs w:val="20"/>
              </w:rPr>
              <w:t>特征年车型比例预测结果</w:t>
            </w:r>
          </w:p>
        </w:tc>
      </w:tr>
      <w:tr w14:paraId="04614E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2" w:hRule="atLeast"/>
        </w:trPr>
        <w:tc>
          <w:tcPr>
            <w:tcW w:w="737" w:type="dxa"/>
            <w:vMerge w:val="continue"/>
            <w:tcBorders>
              <w:top w:val="nil"/>
              <w:left w:val="single" w:color="000000" w:sz="6" w:space="0"/>
              <w:bottom w:val="nil"/>
            </w:tcBorders>
            <w:vAlign w:val="top"/>
          </w:tcPr>
          <w:p w14:paraId="3ACE4205">
            <w:pPr>
              <w:rPr>
                <w:rFonts w:ascii="Arial"/>
                <w:sz w:val="21"/>
              </w:rPr>
            </w:pPr>
          </w:p>
        </w:tc>
        <w:tc>
          <w:tcPr>
            <w:tcW w:w="1507" w:type="dxa"/>
            <w:gridSpan w:val="2"/>
            <w:tcBorders>
              <w:top w:val="single" w:color="000000" w:sz="10" w:space="0"/>
            </w:tcBorders>
            <w:vAlign w:val="top"/>
          </w:tcPr>
          <w:p w14:paraId="732A4DCD">
            <w:pPr>
              <w:spacing w:before="39" w:line="227" w:lineRule="auto"/>
              <w:ind w:left="26" w:right="51" w:firstLine="1080"/>
              <w:rPr>
                <w:rFonts w:ascii="仿宋" w:hAnsi="仿宋" w:eastAsia="仿宋" w:cs="仿宋"/>
                <w:sz w:val="18"/>
                <w:szCs w:val="18"/>
              </w:rPr>
            </w:pPr>
            <w:r>
              <w:rPr>
                <w:rFonts w:ascii="仿宋" w:hAnsi="仿宋" w:eastAsia="仿宋" w:cs="仿宋"/>
                <w:spacing w:val="-9"/>
                <w:sz w:val="18"/>
                <w:szCs w:val="18"/>
              </w:rPr>
              <w:t>车型</w:t>
            </w:r>
            <w:r>
              <w:rPr>
                <w:rFonts w:ascii="仿宋" w:hAnsi="仿宋" w:eastAsia="仿宋" w:cs="仿宋"/>
                <w:spacing w:val="-8"/>
                <w:sz w:val="18"/>
                <w:szCs w:val="18"/>
              </w:rPr>
              <w:t>年份</w:t>
            </w:r>
          </w:p>
        </w:tc>
        <w:tc>
          <w:tcPr>
            <w:tcW w:w="991" w:type="dxa"/>
            <w:tcBorders>
              <w:top w:val="single" w:color="000000" w:sz="10" w:space="0"/>
            </w:tcBorders>
            <w:vAlign w:val="top"/>
          </w:tcPr>
          <w:p w14:paraId="71A4DF30">
            <w:pPr>
              <w:spacing w:before="153" w:line="224" w:lineRule="auto"/>
              <w:ind w:left="322"/>
              <w:rPr>
                <w:rFonts w:ascii="仿宋" w:hAnsi="仿宋" w:eastAsia="仿宋" w:cs="仿宋"/>
                <w:sz w:val="18"/>
                <w:szCs w:val="18"/>
              </w:rPr>
            </w:pPr>
            <w:r>
              <w:rPr>
                <w:rFonts w:ascii="仿宋" w:hAnsi="仿宋" w:eastAsia="仿宋" w:cs="仿宋"/>
                <w:spacing w:val="-6"/>
                <w:sz w:val="18"/>
                <w:szCs w:val="18"/>
              </w:rPr>
              <w:t>小货</w:t>
            </w:r>
          </w:p>
        </w:tc>
        <w:tc>
          <w:tcPr>
            <w:tcW w:w="899" w:type="dxa"/>
            <w:gridSpan w:val="2"/>
            <w:tcBorders>
              <w:top w:val="single" w:color="000000" w:sz="10" w:space="0"/>
            </w:tcBorders>
            <w:vAlign w:val="top"/>
          </w:tcPr>
          <w:p w14:paraId="708EE42A">
            <w:pPr>
              <w:spacing w:before="154" w:line="222" w:lineRule="auto"/>
              <w:ind w:left="300"/>
              <w:rPr>
                <w:rFonts w:ascii="仿宋" w:hAnsi="仿宋" w:eastAsia="仿宋" w:cs="仿宋"/>
                <w:sz w:val="18"/>
                <w:szCs w:val="18"/>
              </w:rPr>
            </w:pPr>
            <w:r>
              <w:rPr>
                <w:rFonts w:ascii="仿宋" w:hAnsi="仿宋" w:eastAsia="仿宋" w:cs="仿宋"/>
                <w:spacing w:val="-18"/>
                <w:sz w:val="18"/>
                <w:szCs w:val="18"/>
              </w:rPr>
              <w:t>中货</w:t>
            </w:r>
          </w:p>
        </w:tc>
        <w:tc>
          <w:tcPr>
            <w:tcW w:w="760" w:type="dxa"/>
            <w:gridSpan w:val="2"/>
            <w:tcBorders>
              <w:top w:val="single" w:color="000000" w:sz="10" w:space="0"/>
            </w:tcBorders>
            <w:vAlign w:val="top"/>
          </w:tcPr>
          <w:p w14:paraId="7E7796BD">
            <w:pPr>
              <w:spacing w:before="153" w:line="224" w:lineRule="auto"/>
              <w:ind w:left="211"/>
              <w:rPr>
                <w:rFonts w:ascii="仿宋" w:hAnsi="仿宋" w:eastAsia="仿宋" w:cs="仿宋"/>
                <w:sz w:val="18"/>
                <w:szCs w:val="18"/>
              </w:rPr>
            </w:pPr>
            <w:r>
              <w:rPr>
                <w:rFonts w:ascii="仿宋" w:hAnsi="仿宋" w:eastAsia="仿宋" w:cs="仿宋"/>
                <w:spacing w:val="-8"/>
                <w:sz w:val="18"/>
                <w:szCs w:val="18"/>
              </w:rPr>
              <w:t>大货</w:t>
            </w:r>
          </w:p>
        </w:tc>
        <w:tc>
          <w:tcPr>
            <w:tcW w:w="780" w:type="dxa"/>
            <w:gridSpan w:val="2"/>
            <w:tcBorders>
              <w:top w:val="single" w:color="000000" w:sz="10" w:space="0"/>
            </w:tcBorders>
            <w:vAlign w:val="top"/>
          </w:tcPr>
          <w:p w14:paraId="4D494BE7">
            <w:pPr>
              <w:spacing w:before="154" w:line="225" w:lineRule="auto"/>
              <w:ind w:left="209"/>
              <w:rPr>
                <w:rFonts w:ascii="仿宋" w:hAnsi="仿宋" w:eastAsia="仿宋" w:cs="仿宋"/>
                <w:sz w:val="18"/>
                <w:szCs w:val="18"/>
              </w:rPr>
            </w:pPr>
            <w:r>
              <w:rPr>
                <w:rFonts w:ascii="仿宋" w:hAnsi="仿宋" w:eastAsia="仿宋" w:cs="仿宋"/>
                <w:spacing w:val="-6"/>
                <w:sz w:val="18"/>
                <w:szCs w:val="18"/>
              </w:rPr>
              <w:t>拖挂</w:t>
            </w:r>
          </w:p>
        </w:tc>
        <w:tc>
          <w:tcPr>
            <w:tcW w:w="898" w:type="dxa"/>
            <w:gridSpan w:val="2"/>
            <w:tcBorders>
              <w:top w:val="single" w:color="000000" w:sz="10" w:space="0"/>
            </w:tcBorders>
            <w:vAlign w:val="top"/>
          </w:tcPr>
          <w:p w14:paraId="226677AF">
            <w:pPr>
              <w:spacing w:before="154" w:line="223" w:lineRule="auto"/>
              <w:ind w:left="262"/>
              <w:rPr>
                <w:rFonts w:ascii="仿宋" w:hAnsi="仿宋" w:eastAsia="仿宋" w:cs="仿宋"/>
                <w:sz w:val="18"/>
                <w:szCs w:val="18"/>
              </w:rPr>
            </w:pPr>
            <w:r>
              <w:rPr>
                <w:rFonts w:ascii="仿宋" w:hAnsi="仿宋" w:eastAsia="仿宋" w:cs="仿宋"/>
                <w:spacing w:val="-6"/>
                <w:sz w:val="18"/>
                <w:szCs w:val="18"/>
              </w:rPr>
              <w:t>小客</w:t>
            </w:r>
          </w:p>
        </w:tc>
        <w:tc>
          <w:tcPr>
            <w:tcW w:w="760" w:type="dxa"/>
            <w:gridSpan w:val="2"/>
            <w:tcBorders>
              <w:top w:val="single" w:color="000000" w:sz="10" w:space="0"/>
            </w:tcBorders>
            <w:vAlign w:val="top"/>
          </w:tcPr>
          <w:p w14:paraId="7C0E228C">
            <w:pPr>
              <w:spacing w:before="154" w:line="223" w:lineRule="auto"/>
              <w:ind w:left="194"/>
              <w:rPr>
                <w:rFonts w:ascii="仿宋" w:hAnsi="仿宋" w:eastAsia="仿宋" w:cs="仿宋"/>
                <w:sz w:val="18"/>
                <w:szCs w:val="18"/>
              </w:rPr>
            </w:pPr>
            <w:r>
              <w:rPr>
                <w:rFonts w:ascii="仿宋" w:hAnsi="仿宋" w:eastAsia="仿宋" w:cs="仿宋"/>
                <w:spacing w:val="-8"/>
                <w:sz w:val="18"/>
                <w:szCs w:val="18"/>
              </w:rPr>
              <w:t>大客</w:t>
            </w:r>
          </w:p>
        </w:tc>
        <w:tc>
          <w:tcPr>
            <w:tcW w:w="1045" w:type="dxa"/>
            <w:tcBorders>
              <w:top w:val="single" w:color="000000" w:sz="10" w:space="0"/>
              <w:right w:val="single" w:color="000000" w:sz="6" w:space="0"/>
            </w:tcBorders>
            <w:vAlign w:val="top"/>
          </w:tcPr>
          <w:p w14:paraId="05EAD4F1">
            <w:pPr>
              <w:spacing w:before="154" w:line="222" w:lineRule="auto"/>
              <w:ind w:left="339"/>
              <w:rPr>
                <w:rFonts w:ascii="仿宋" w:hAnsi="仿宋" w:eastAsia="仿宋" w:cs="仿宋"/>
                <w:sz w:val="18"/>
                <w:szCs w:val="18"/>
              </w:rPr>
            </w:pPr>
            <w:r>
              <w:rPr>
                <w:rFonts w:ascii="仿宋" w:hAnsi="仿宋" w:eastAsia="仿宋" w:cs="仿宋"/>
                <w:spacing w:val="-9"/>
                <w:sz w:val="18"/>
                <w:szCs w:val="18"/>
              </w:rPr>
              <w:t>合计</w:t>
            </w:r>
          </w:p>
        </w:tc>
      </w:tr>
      <w:tr w14:paraId="159122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1" w:hRule="atLeast"/>
        </w:trPr>
        <w:tc>
          <w:tcPr>
            <w:tcW w:w="737" w:type="dxa"/>
            <w:vMerge w:val="continue"/>
            <w:tcBorders>
              <w:top w:val="nil"/>
              <w:left w:val="single" w:color="000000" w:sz="6" w:space="0"/>
              <w:bottom w:val="nil"/>
            </w:tcBorders>
            <w:vAlign w:val="top"/>
          </w:tcPr>
          <w:p w14:paraId="64456E62">
            <w:pPr>
              <w:rPr>
                <w:rFonts w:ascii="Arial"/>
                <w:sz w:val="21"/>
              </w:rPr>
            </w:pPr>
          </w:p>
        </w:tc>
        <w:tc>
          <w:tcPr>
            <w:tcW w:w="1507" w:type="dxa"/>
            <w:gridSpan w:val="2"/>
            <w:vAlign w:val="top"/>
          </w:tcPr>
          <w:p w14:paraId="04822C79">
            <w:pPr>
              <w:pStyle w:val="6"/>
              <w:spacing w:before="65" w:line="188" w:lineRule="auto"/>
              <w:ind w:left="571"/>
            </w:pPr>
            <w:r>
              <w:rPr>
                <w:spacing w:val="-1"/>
              </w:rPr>
              <w:t>2027</w:t>
            </w:r>
          </w:p>
        </w:tc>
        <w:tc>
          <w:tcPr>
            <w:tcW w:w="991" w:type="dxa"/>
            <w:vAlign w:val="top"/>
          </w:tcPr>
          <w:p w14:paraId="76740FE3">
            <w:pPr>
              <w:pStyle w:val="6"/>
              <w:spacing w:before="64" w:line="188" w:lineRule="auto"/>
              <w:ind w:left="233"/>
            </w:pPr>
            <w:r>
              <w:rPr>
                <w:spacing w:val="-7"/>
              </w:rPr>
              <w:t>18.</w:t>
            </w:r>
            <w:r>
              <w:rPr>
                <w:spacing w:val="-24"/>
              </w:rPr>
              <w:t xml:space="preserve"> </w:t>
            </w:r>
            <w:r>
              <w:rPr>
                <w:spacing w:val="-7"/>
              </w:rPr>
              <w:t>18%</w:t>
            </w:r>
          </w:p>
        </w:tc>
        <w:tc>
          <w:tcPr>
            <w:tcW w:w="899" w:type="dxa"/>
            <w:gridSpan w:val="2"/>
            <w:vAlign w:val="top"/>
          </w:tcPr>
          <w:p w14:paraId="2C21988F">
            <w:pPr>
              <w:pStyle w:val="6"/>
              <w:spacing w:before="64" w:line="188" w:lineRule="auto"/>
              <w:ind w:left="190"/>
            </w:pPr>
            <w:r>
              <w:rPr>
                <w:spacing w:val="-4"/>
              </w:rPr>
              <w:t>11.69%</w:t>
            </w:r>
          </w:p>
        </w:tc>
        <w:tc>
          <w:tcPr>
            <w:tcW w:w="760" w:type="dxa"/>
            <w:gridSpan w:val="2"/>
            <w:vAlign w:val="top"/>
          </w:tcPr>
          <w:p w14:paraId="52E23E17">
            <w:pPr>
              <w:pStyle w:val="6"/>
              <w:spacing w:before="64" w:line="188" w:lineRule="auto"/>
              <w:ind w:left="153"/>
            </w:pPr>
            <w:r>
              <w:rPr>
                <w:spacing w:val="-2"/>
              </w:rPr>
              <w:t>0.00%</w:t>
            </w:r>
          </w:p>
        </w:tc>
        <w:tc>
          <w:tcPr>
            <w:tcW w:w="780" w:type="dxa"/>
            <w:gridSpan w:val="2"/>
            <w:vAlign w:val="top"/>
          </w:tcPr>
          <w:p w14:paraId="640837AE">
            <w:pPr>
              <w:pStyle w:val="6"/>
              <w:spacing w:before="64" w:line="188" w:lineRule="auto"/>
              <w:ind w:left="153"/>
            </w:pPr>
            <w:r>
              <w:rPr>
                <w:spacing w:val="-2"/>
              </w:rPr>
              <w:t>0.00%</w:t>
            </w:r>
          </w:p>
        </w:tc>
        <w:tc>
          <w:tcPr>
            <w:tcW w:w="898" w:type="dxa"/>
            <w:gridSpan w:val="2"/>
            <w:vAlign w:val="top"/>
          </w:tcPr>
          <w:p w14:paraId="04A849CD">
            <w:pPr>
              <w:pStyle w:val="6"/>
              <w:spacing w:before="64" w:line="188" w:lineRule="auto"/>
              <w:ind w:left="158"/>
            </w:pPr>
            <w:r>
              <w:rPr>
                <w:spacing w:val="-5"/>
              </w:rPr>
              <w:t>70.</w:t>
            </w:r>
            <w:r>
              <w:rPr>
                <w:spacing w:val="-23"/>
              </w:rPr>
              <w:t xml:space="preserve"> </w:t>
            </w:r>
            <w:r>
              <w:rPr>
                <w:spacing w:val="-5"/>
              </w:rPr>
              <w:t>13%</w:t>
            </w:r>
          </w:p>
        </w:tc>
        <w:tc>
          <w:tcPr>
            <w:tcW w:w="760" w:type="dxa"/>
            <w:gridSpan w:val="2"/>
            <w:vAlign w:val="top"/>
          </w:tcPr>
          <w:p w14:paraId="151D8451">
            <w:pPr>
              <w:pStyle w:val="6"/>
              <w:spacing w:before="64" w:line="188" w:lineRule="auto"/>
              <w:ind w:left="136"/>
            </w:pPr>
            <w:r>
              <w:rPr>
                <w:spacing w:val="-2"/>
              </w:rPr>
              <w:t>0.00%</w:t>
            </w:r>
          </w:p>
        </w:tc>
        <w:tc>
          <w:tcPr>
            <w:tcW w:w="1045" w:type="dxa"/>
            <w:tcBorders>
              <w:right w:val="single" w:color="000000" w:sz="6" w:space="0"/>
            </w:tcBorders>
            <w:vAlign w:val="top"/>
          </w:tcPr>
          <w:p w14:paraId="5878567E">
            <w:pPr>
              <w:pStyle w:val="6"/>
              <w:spacing w:before="64" w:line="188" w:lineRule="auto"/>
              <w:ind w:left="200"/>
            </w:pPr>
            <w:r>
              <w:rPr>
                <w:spacing w:val="-3"/>
              </w:rPr>
              <w:t>100.00%</w:t>
            </w:r>
          </w:p>
        </w:tc>
      </w:tr>
      <w:tr w14:paraId="53888C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1" w:hRule="atLeast"/>
        </w:trPr>
        <w:tc>
          <w:tcPr>
            <w:tcW w:w="737" w:type="dxa"/>
            <w:vMerge w:val="continue"/>
            <w:tcBorders>
              <w:top w:val="nil"/>
              <w:left w:val="single" w:color="000000" w:sz="6" w:space="0"/>
              <w:bottom w:val="nil"/>
            </w:tcBorders>
            <w:vAlign w:val="top"/>
          </w:tcPr>
          <w:p w14:paraId="1DB2E7FE">
            <w:pPr>
              <w:rPr>
                <w:rFonts w:ascii="Arial"/>
                <w:sz w:val="21"/>
              </w:rPr>
            </w:pPr>
          </w:p>
        </w:tc>
        <w:tc>
          <w:tcPr>
            <w:tcW w:w="1507" w:type="dxa"/>
            <w:gridSpan w:val="2"/>
            <w:vAlign w:val="top"/>
          </w:tcPr>
          <w:p w14:paraId="3BB68927">
            <w:pPr>
              <w:pStyle w:val="6"/>
              <w:spacing w:before="66" w:line="188" w:lineRule="auto"/>
              <w:ind w:left="571"/>
            </w:pPr>
            <w:r>
              <w:rPr>
                <w:spacing w:val="-1"/>
              </w:rPr>
              <w:t>2031</w:t>
            </w:r>
          </w:p>
        </w:tc>
        <w:tc>
          <w:tcPr>
            <w:tcW w:w="991" w:type="dxa"/>
            <w:vAlign w:val="top"/>
          </w:tcPr>
          <w:p w14:paraId="03937997">
            <w:pPr>
              <w:pStyle w:val="6"/>
              <w:spacing w:before="66" w:line="188" w:lineRule="auto"/>
              <w:ind w:left="233"/>
            </w:pPr>
            <w:r>
              <w:rPr>
                <w:spacing w:val="-4"/>
              </w:rPr>
              <w:t>18.68%</w:t>
            </w:r>
          </w:p>
        </w:tc>
        <w:tc>
          <w:tcPr>
            <w:tcW w:w="899" w:type="dxa"/>
            <w:gridSpan w:val="2"/>
            <w:vAlign w:val="top"/>
          </w:tcPr>
          <w:p w14:paraId="6F612521">
            <w:pPr>
              <w:pStyle w:val="6"/>
              <w:spacing w:before="66" w:line="188" w:lineRule="auto"/>
              <w:ind w:left="190"/>
            </w:pPr>
            <w:r>
              <w:rPr>
                <w:spacing w:val="-4"/>
              </w:rPr>
              <w:t>11.99%</w:t>
            </w:r>
          </w:p>
        </w:tc>
        <w:tc>
          <w:tcPr>
            <w:tcW w:w="760" w:type="dxa"/>
            <w:gridSpan w:val="2"/>
            <w:vAlign w:val="top"/>
          </w:tcPr>
          <w:p w14:paraId="59AE85DC">
            <w:pPr>
              <w:pStyle w:val="6"/>
              <w:spacing w:before="66" w:line="188" w:lineRule="auto"/>
              <w:ind w:left="153"/>
            </w:pPr>
            <w:r>
              <w:rPr>
                <w:spacing w:val="-2"/>
              </w:rPr>
              <w:t>0.00%</w:t>
            </w:r>
          </w:p>
        </w:tc>
        <w:tc>
          <w:tcPr>
            <w:tcW w:w="780" w:type="dxa"/>
            <w:gridSpan w:val="2"/>
            <w:vAlign w:val="top"/>
          </w:tcPr>
          <w:p w14:paraId="1F5DE7CF">
            <w:pPr>
              <w:pStyle w:val="6"/>
              <w:spacing w:before="66" w:line="188" w:lineRule="auto"/>
              <w:ind w:left="153"/>
            </w:pPr>
            <w:r>
              <w:rPr>
                <w:spacing w:val="-2"/>
              </w:rPr>
              <w:t>0.00%</w:t>
            </w:r>
          </w:p>
        </w:tc>
        <w:tc>
          <w:tcPr>
            <w:tcW w:w="898" w:type="dxa"/>
            <w:gridSpan w:val="2"/>
            <w:vAlign w:val="top"/>
          </w:tcPr>
          <w:p w14:paraId="263E9720">
            <w:pPr>
              <w:pStyle w:val="6"/>
              <w:spacing w:before="66" w:line="188" w:lineRule="auto"/>
              <w:ind w:left="159"/>
            </w:pPr>
            <w:r>
              <w:rPr>
                <w:spacing w:val="-2"/>
              </w:rPr>
              <w:t>69.33%</w:t>
            </w:r>
          </w:p>
        </w:tc>
        <w:tc>
          <w:tcPr>
            <w:tcW w:w="760" w:type="dxa"/>
            <w:gridSpan w:val="2"/>
            <w:vAlign w:val="top"/>
          </w:tcPr>
          <w:p w14:paraId="1B5F97C8">
            <w:pPr>
              <w:pStyle w:val="6"/>
              <w:spacing w:before="66" w:line="188" w:lineRule="auto"/>
              <w:ind w:left="136"/>
            </w:pPr>
            <w:r>
              <w:rPr>
                <w:spacing w:val="-2"/>
              </w:rPr>
              <w:t>0.00%</w:t>
            </w:r>
          </w:p>
        </w:tc>
        <w:tc>
          <w:tcPr>
            <w:tcW w:w="1045" w:type="dxa"/>
            <w:tcBorders>
              <w:right w:val="single" w:color="000000" w:sz="6" w:space="0"/>
            </w:tcBorders>
            <w:vAlign w:val="top"/>
          </w:tcPr>
          <w:p w14:paraId="306F13F5">
            <w:pPr>
              <w:pStyle w:val="6"/>
              <w:spacing w:before="66" w:line="188" w:lineRule="auto"/>
              <w:ind w:left="200"/>
            </w:pPr>
            <w:r>
              <w:rPr>
                <w:spacing w:val="-3"/>
              </w:rPr>
              <w:t>100.00%</w:t>
            </w:r>
          </w:p>
        </w:tc>
      </w:tr>
      <w:tr w14:paraId="074E90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1" w:hRule="atLeast"/>
        </w:trPr>
        <w:tc>
          <w:tcPr>
            <w:tcW w:w="737" w:type="dxa"/>
            <w:vMerge w:val="continue"/>
            <w:tcBorders>
              <w:top w:val="nil"/>
              <w:left w:val="single" w:color="000000" w:sz="6" w:space="0"/>
              <w:bottom w:val="nil"/>
            </w:tcBorders>
            <w:vAlign w:val="top"/>
          </w:tcPr>
          <w:p w14:paraId="5EBAB7F9">
            <w:pPr>
              <w:rPr>
                <w:rFonts w:ascii="Arial"/>
                <w:sz w:val="21"/>
              </w:rPr>
            </w:pPr>
          </w:p>
        </w:tc>
        <w:tc>
          <w:tcPr>
            <w:tcW w:w="1507" w:type="dxa"/>
            <w:gridSpan w:val="2"/>
            <w:tcBorders>
              <w:bottom w:val="single" w:color="000000" w:sz="10" w:space="0"/>
            </w:tcBorders>
            <w:vAlign w:val="top"/>
          </w:tcPr>
          <w:p w14:paraId="1B076AB1">
            <w:pPr>
              <w:pStyle w:val="6"/>
              <w:spacing w:before="67" w:line="188" w:lineRule="auto"/>
              <w:ind w:left="571"/>
            </w:pPr>
            <w:r>
              <w:rPr>
                <w:spacing w:val="-1"/>
              </w:rPr>
              <w:t>2036</w:t>
            </w:r>
          </w:p>
        </w:tc>
        <w:tc>
          <w:tcPr>
            <w:tcW w:w="991" w:type="dxa"/>
            <w:tcBorders>
              <w:bottom w:val="single" w:color="000000" w:sz="10" w:space="0"/>
            </w:tcBorders>
            <w:vAlign w:val="top"/>
          </w:tcPr>
          <w:p w14:paraId="740B1395">
            <w:pPr>
              <w:pStyle w:val="6"/>
              <w:spacing w:before="67" w:line="188" w:lineRule="auto"/>
              <w:ind w:left="233"/>
            </w:pPr>
            <w:r>
              <w:rPr>
                <w:spacing w:val="-7"/>
              </w:rPr>
              <w:t>19.</w:t>
            </w:r>
            <w:r>
              <w:rPr>
                <w:spacing w:val="-24"/>
              </w:rPr>
              <w:t xml:space="preserve"> </w:t>
            </w:r>
            <w:r>
              <w:rPr>
                <w:spacing w:val="-7"/>
              </w:rPr>
              <w:t>13%</w:t>
            </w:r>
          </w:p>
        </w:tc>
        <w:tc>
          <w:tcPr>
            <w:tcW w:w="899" w:type="dxa"/>
            <w:gridSpan w:val="2"/>
            <w:tcBorders>
              <w:bottom w:val="single" w:color="000000" w:sz="10" w:space="0"/>
            </w:tcBorders>
            <w:vAlign w:val="top"/>
          </w:tcPr>
          <w:p w14:paraId="17CFC9C6">
            <w:pPr>
              <w:pStyle w:val="6"/>
              <w:spacing w:before="67" w:line="188" w:lineRule="auto"/>
              <w:ind w:left="190"/>
            </w:pPr>
            <w:r>
              <w:rPr>
                <w:spacing w:val="-4"/>
              </w:rPr>
              <w:t>11.59%</w:t>
            </w:r>
          </w:p>
        </w:tc>
        <w:tc>
          <w:tcPr>
            <w:tcW w:w="760" w:type="dxa"/>
            <w:gridSpan w:val="2"/>
            <w:tcBorders>
              <w:bottom w:val="single" w:color="000000" w:sz="10" w:space="0"/>
            </w:tcBorders>
            <w:vAlign w:val="top"/>
          </w:tcPr>
          <w:p w14:paraId="342FED5F">
            <w:pPr>
              <w:pStyle w:val="6"/>
              <w:spacing w:before="67" w:line="188" w:lineRule="auto"/>
              <w:ind w:left="153"/>
            </w:pPr>
            <w:r>
              <w:rPr>
                <w:spacing w:val="-2"/>
              </w:rPr>
              <w:t>0.00%</w:t>
            </w:r>
          </w:p>
        </w:tc>
        <w:tc>
          <w:tcPr>
            <w:tcW w:w="780" w:type="dxa"/>
            <w:gridSpan w:val="2"/>
            <w:tcBorders>
              <w:bottom w:val="single" w:color="000000" w:sz="10" w:space="0"/>
            </w:tcBorders>
            <w:vAlign w:val="top"/>
          </w:tcPr>
          <w:p w14:paraId="08572B2F">
            <w:pPr>
              <w:pStyle w:val="6"/>
              <w:spacing w:before="67" w:line="188" w:lineRule="auto"/>
              <w:ind w:left="153"/>
            </w:pPr>
            <w:r>
              <w:rPr>
                <w:spacing w:val="-2"/>
              </w:rPr>
              <w:t>0.00%</w:t>
            </w:r>
          </w:p>
        </w:tc>
        <w:tc>
          <w:tcPr>
            <w:tcW w:w="898" w:type="dxa"/>
            <w:gridSpan w:val="2"/>
            <w:tcBorders>
              <w:bottom w:val="single" w:color="000000" w:sz="10" w:space="0"/>
            </w:tcBorders>
            <w:vAlign w:val="top"/>
          </w:tcPr>
          <w:p w14:paraId="0E1CF5F8">
            <w:pPr>
              <w:pStyle w:val="6"/>
              <w:spacing w:before="67" w:line="188" w:lineRule="auto"/>
              <w:ind w:left="159"/>
            </w:pPr>
            <w:r>
              <w:rPr>
                <w:spacing w:val="-2"/>
              </w:rPr>
              <w:t>69.28%</w:t>
            </w:r>
          </w:p>
        </w:tc>
        <w:tc>
          <w:tcPr>
            <w:tcW w:w="760" w:type="dxa"/>
            <w:gridSpan w:val="2"/>
            <w:tcBorders>
              <w:bottom w:val="single" w:color="000000" w:sz="10" w:space="0"/>
            </w:tcBorders>
            <w:vAlign w:val="top"/>
          </w:tcPr>
          <w:p w14:paraId="3DDAF063">
            <w:pPr>
              <w:pStyle w:val="6"/>
              <w:spacing w:before="67" w:line="188" w:lineRule="auto"/>
              <w:ind w:left="136"/>
            </w:pPr>
            <w:r>
              <w:rPr>
                <w:spacing w:val="-2"/>
              </w:rPr>
              <w:t>0.00%</w:t>
            </w:r>
          </w:p>
        </w:tc>
        <w:tc>
          <w:tcPr>
            <w:tcW w:w="1045" w:type="dxa"/>
            <w:tcBorders>
              <w:bottom w:val="single" w:color="000000" w:sz="10" w:space="0"/>
              <w:right w:val="single" w:color="000000" w:sz="6" w:space="0"/>
            </w:tcBorders>
            <w:vAlign w:val="top"/>
          </w:tcPr>
          <w:p w14:paraId="556FCE04">
            <w:pPr>
              <w:pStyle w:val="6"/>
              <w:spacing w:before="67" w:line="188" w:lineRule="auto"/>
              <w:ind w:left="200"/>
            </w:pPr>
            <w:r>
              <w:rPr>
                <w:spacing w:val="-3"/>
              </w:rPr>
              <w:t>100.00%</w:t>
            </w:r>
          </w:p>
        </w:tc>
      </w:tr>
      <w:tr w14:paraId="79AC4C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2" w:hRule="atLeast"/>
        </w:trPr>
        <w:tc>
          <w:tcPr>
            <w:tcW w:w="737" w:type="dxa"/>
            <w:vMerge w:val="continue"/>
            <w:tcBorders>
              <w:top w:val="nil"/>
              <w:left w:val="single" w:color="000000" w:sz="6" w:space="0"/>
              <w:bottom w:val="nil"/>
            </w:tcBorders>
            <w:vAlign w:val="top"/>
          </w:tcPr>
          <w:p w14:paraId="5B6EC7C4">
            <w:pPr>
              <w:rPr>
                <w:rFonts w:ascii="Arial"/>
                <w:sz w:val="21"/>
              </w:rPr>
            </w:pPr>
          </w:p>
        </w:tc>
        <w:tc>
          <w:tcPr>
            <w:tcW w:w="7640" w:type="dxa"/>
            <w:gridSpan w:val="14"/>
            <w:tcBorders>
              <w:top w:val="single" w:color="000000" w:sz="10" w:space="0"/>
              <w:bottom w:val="single" w:color="000000" w:sz="10" w:space="0"/>
              <w:right w:val="single" w:color="000000" w:sz="6" w:space="0"/>
            </w:tcBorders>
            <w:vAlign w:val="top"/>
          </w:tcPr>
          <w:p w14:paraId="544862EB">
            <w:pPr>
              <w:pStyle w:val="6"/>
              <w:spacing w:before="150" w:line="229" w:lineRule="auto"/>
              <w:ind w:left="423"/>
              <w:rPr>
                <w:rFonts w:ascii="仿宋" w:hAnsi="仿宋" w:eastAsia="仿宋" w:cs="仿宋"/>
                <w:sz w:val="20"/>
                <w:szCs w:val="20"/>
              </w:rPr>
            </w:pPr>
            <w:r>
              <w:rPr>
                <w:b/>
                <w:bCs/>
                <w:spacing w:val="4"/>
                <w:sz w:val="20"/>
                <w:szCs w:val="20"/>
              </w:rPr>
              <w:t>7</w:t>
            </w:r>
            <w:r>
              <w:rPr>
                <w:b/>
                <w:bCs/>
                <w:spacing w:val="-16"/>
                <w:sz w:val="20"/>
                <w:szCs w:val="20"/>
              </w:rPr>
              <w:t xml:space="preserve"> </w:t>
            </w:r>
            <w:r>
              <w:rPr>
                <w:rFonts w:ascii="仿宋" w:hAnsi="仿宋" w:eastAsia="仿宋" w:cs="仿宋"/>
                <w:b/>
                <w:bCs/>
                <w:spacing w:val="4"/>
                <w:sz w:val="20"/>
                <w:szCs w:val="20"/>
              </w:rPr>
              <w:t>、主要经济技术指标</w:t>
            </w:r>
          </w:p>
          <w:p w14:paraId="0B4090B2">
            <w:pPr>
              <w:pStyle w:val="6"/>
              <w:spacing w:before="159" w:line="229" w:lineRule="auto"/>
              <w:ind w:left="431"/>
              <w:rPr>
                <w:rFonts w:ascii="仿宋" w:hAnsi="仿宋" w:eastAsia="仿宋" w:cs="仿宋"/>
                <w:sz w:val="20"/>
                <w:szCs w:val="20"/>
              </w:rPr>
            </w:pPr>
            <w:r>
              <w:rPr>
                <w:rFonts w:ascii="仿宋" w:hAnsi="仿宋" w:eastAsia="仿宋" w:cs="仿宋"/>
                <w:spacing w:val="7"/>
                <w:sz w:val="20"/>
                <w:szCs w:val="20"/>
              </w:rPr>
              <w:t>本项目主要技术经济指标见表</w:t>
            </w:r>
            <w:r>
              <w:rPr>
                <w:rFonts w:ascii="仿宋" w:hAnsi="仿宋" w:eastAsia="仿宋" w:cs="仿宋"/>
                <w:spacing w:val="-40"/>
                <w:sz w:val="20"/>
                <w:szCs w:val="20"/>
              </w:rPr>
              <w:t xml:space="preserve"> </w:t>
            </w:r>
            <w:r>
              <w:rPr>
                <w:spacing w:val="7"/>
                <w:sz w:val="20"/>
                <w:szCs w:val="20"/>
              </w:rPr>
              <w:t>2-9</w:t>
            </w:r>
            <w:r>
              <w:rPr>
                <w:rFonts w:ascii="仿宋" w:hAnsi="仿宋" w:eastAsia="仿宋" w:cs="仿宋"/>
                <w:spacing w:val="7"/>
                <w:sz w:val="20"/>
                <w:szCs w:val="20"/>
              </w:rPr>
              <w:t>。</w:t>
            </w:r>
          </w:p>
          <w:p w14:paraId="682CF111">
            <w:pPr>
              <w:pStyle w:val="6"/>
              <w:spacing w:before="159" w:line="217" w:lineRule="auto"/>
              <w:ind w:left="2546"/>
              <w:rPr>
                <w:rFonts w:ascii="仿宋" w:hAnsi="仿宋" w:eastAsia="仿宋" w:cs="仿宋"/>
                <w:sz w:val="20"/>
                <w:szCs w:val="20"/>
              </w:rPr>
            </w:pPr>
            <w:r>
              <w:rPr>
                <w:rFonts w:ascii="仿宋" w:hAnsi="仿宋" w:eastAsia="仿宋" w:cs="仿宋"/>
                <w:b/>
                <w:bCs/>
                <w:spacing w:val="4"/>
                <w:sz w:val="20"/>
                <w:szCs w:val="20"/>
              </w:rPr>
              <w:t>表</w:t>
            </w:r>
            <w:r>
              <w:rPr>
                <w:rFonts w:ascii="仿宋" w:hAnsi="仿宋" w:eastAsia="仿宋" w:cs="仿宋"/>
                <w:spacing w:val="-36"/>
                <w:sz w:val="20"/>
                <w:szCs w:val="20"/>
              </w:rPr>
              <w:t xml:space="preserve"> </w:t>
            </w:r>
            <w:r>
              <w:rPr>
                <w:b/>
                <w:bCs/>
                <w:spacing w:val="4"/>
                <w:sz w:val="20"/>
                <w:szCs w:val="20"/>
              </w:rPr>
              <w:t>2-9</w:t>
            </w:r>
            <w:r>
              <w:rPr>
                <w:b/>
                <w:bCs/>
                <w:spacing w:val="5"/>
                <w:sz w:val="20"/>
                <w:szCs w:val="20"/>
              </w:rPr>
              <w:t xml:space="preserve">      </w:t>
            </w:r>
            <w:r>
              <w:rPr>
                <w:rFonts w:ascii="仿宋" w:hAnsi="仿宋" w:eastAsia="仿宋" w:cs="仿宋"/>
                <w:b/>
                <w:bCs/>
                <w:spacing w:val="4"/>
                <w:sz w:val="20"/>
                <w:szCs w:val="20"/>
              </w:rPr>
              <w:t>主要经济技术指标表</w:t>
            </w:r>
          </w:p>
        </w:tc>
      </w:tr>
      <w:tr w14:paraId="4C5810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9" w:hRule="atLeast"/>
        </w:trPr>
        <w:tc>
          <w:tcPr>
            <w:tcW w:w="737" w:type="dxa"/>
            <w:vMerge w:val="continue"/>
            <w:tcBorders>
              <w:top w:val="nil"/>
              <w:left w:val="single" w:color="000000" w:sz="6" w:space="0"/>
              <w:bottom w:val="nil"/>
            </w:tcBorders>
            <w:vAlign w:val="top"/>
          </w:tcPr>
          <w:p w14:paraId="3451387C">
            <w:pPr>
              <w:rPr>
                <w:rFonts w:ascii="Arial"/>
                <w:sz w:val="21"/>
              </w:rPr>
            </w:pPr>
          </w:p>
        </w:tc>
        <w:tc>
          <w:tcPr>
            <w:tcW w:w="612" w:type="dxa"/>
            <w:tcBorders>
              <w:top w:val="single" w:color="000000" w:sz="10" w:space="0"/>
            </w:tcBorders>
            <w:vAlign w:val="top"/>
          </w:tcPr>
          <w:p w14:paraId="3CBE5813">
            <w:pPr>
              <w:spacing w:before="27" w:line="196" w:lineRule="auto"/>
              <w:ind w:left="135"/>
              <w:rPr>
                <w:rFonts w:ascii="仿宋" w:hAnsi="仿宋" w:eastAsia="仿宋" w:cs="仿宋"/>
                <w:sz w:val="18"/>
                <w:szCs w:val="18"/>
              </w:rPr>
            </w:pPr>
            <w:r>
              <w:rPr>
                <w:rFonts w:ascii="仿宋" w:hAnsi="仿宋" w:eastAsia="仿宋" w:cs="仿宋"/>
                <w:spacing w:val="-6"/>
                <w:sz w:val="18"/>
                <w:szCs w:val="18"/>
              </w:rPr>
              <w:t>序号</w:t>
            </w:r>
          </w:p>
        </w:tc>
        <w:tc>
          <w:tcPr>
            <w:tcW w:w="4000" w:type="dxa"/>
            <w:gridSpan w:val="7"/>
            <w:tcBorders>
              <w:top w:val="single" w:color="000000" w:sz="10" w:space="0"/>
            </w:tcBorders>
            <w:vAlign w:val="top"/>
          </w:tcPr>
          <w:p w14:paraId="75F2FED0">
            <w:pPr>
              <w:spacing w:before="27" w:line="196" w:lineRule="auto"/>
              <w:ind w:left="1647"/>
              <w:rPr>
                <w:rFonts w:ascii="仿宋" w:hAnsi="仿宋" w:eastAsia="仿宋" w:cs="仿宋"/>
                <w:sz w:val="18"/>
                <w:szCs w:val="18"/>
              </w:rPr>
            </w:pPr>
            <w:r>
              <w:rPr>
                <w:rFonts w:ascii="仿宋" w:hAnsi="仿宋" w:eastAsia="仿宋" w:cs="仿宋"/>
                <w:spacing w:val="-3"/>
                <w:sz w:val="18"/>
                <w:szCs w:val="18"/>
              </w:rPr>
              <w:t>指标名称</w:t>
            </w:r>
          </w:p>
        </w:tc>
        <w:tc>
          <w:tcPr>
            <w:tcW w:w="1048" w:type="dxa"/>
            <w:gridSpan w:val="2"/>
            <w:tcBorders>
              <w:top w:val="single" w:color="000000" w:sz="10" w:space="0"/>
            </w:tcBorders>
            <w:vAlign w:val="top"/>
          </w:tcPr>
          <w:p w14:paraId="730359A6">
            <w:pPr>
              <w:spacing w:before="27" w:line="196" w:lineRule="auto"/>
              <w:ind w:left="360"/>
              <w:rPr>
                <w:rFonts w:ascii="仿宋" w:hAnsi="仿宋" w:eastAsia="仿宋" w:cs="仿宋"/>
                <w:sz w:val="18"/>
                <w:szCs w:val="18"/>
              </w:rPr>
            </w:pPr>
            <w:r>
              <w:rPr>
                <w:rFonts w:ascii="仿宋" w:hAnsi="仿宋" w:eastAsia="仿宋" w:cs="仿宋"/>
                <w:spacing w:val="-8"/>
                <w:sz w:val="18"/>
                <w:szCs w:val="18"/>
              </w:rPr>
              <w:t>单位</w:t>
            </w:r>
          </w:p>
        </w:tc>
        <w:tc>
          <w:tcPr>
            <w:tcW w:w="1980" w:type="dxa"/>
            <w:gridSpan w:val="4"/>
            <w:tcBorders>
              <w:top w:val="single" w:color="000000" w:sz="10" w:space="0"/>
              <w:right w:val="single" w:color="000000" w:sz="6" w:space="0"/>
            </w:tcBorders>
            <w:vAlign w:val="top"/>
          </w:tcPr>
          <w:p w14:paraId="616C94F5">
            <w:pPr>
              <w:spacing w:before="27" w:line="196" w:lineRule="auto"/>
              <w:ind w:left="810"/>
              <w:rPr>
                <w:rFonts w:ascii="仿宋" w:hAnsi="仿宋" w:eastAsia="仿宋" w:cs="仿宋"/>
                <w:sz w:val="18"/>
                <w:szCs w:val="18"/>
              </w:rPr>
            </w:pPr>
            <w:r>
              <w:rPr>
                <w:rFonts w:ascii="仿宋" w:hAnsi="仿宋" w:eastAsia="仿宋" w:cs="仿宋"/>
                <w:spacing w:val="-6"/>
                <w:sz w:val="18"/>
                <w:szCs w:val="18"/>
              </w:rPr>
              <w:t>数量</w:t>
            </w:r>
          </w:p>
        </w:tc>
      </w:tr>
      <w:tr w14:paraId="466822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6ECE4245">
            <w:pPr>
              <w:rPr>
                <w:rFonts w:ascii="Arial"/>
                <w:sz w:val="21"/>
              </w:rPr>
            </w:pPr>
          </w:p>
        </w:tc>
        <w:tc>
          <w:tcPr>
            <w:tcW w:w="7640" w:type="dxa"/>
            <w:gridSpan w:val="14"/>
            <w:tcBorders>
              <w:right w:val="single" w:color="000000" w:sz="6" w:space="0"/>
            </w:tcBorders>
            <w:vAlign w:val="top"/>
          </w:tcPr>
          <w:p w14:paraId="00808DBC">
            <w:pPr>
              <w:spacing w:before="35" w:line="197" w:lineRule="auto"/>
              <w:ind w:left="3191"/>
              <w:rPr>
                <w:rFonts w:ascii="仿宋" w:hAnsi="仿宋" w:eastAsia="仿宋" w:cs="仿宋"/>
                <w:sz w:val="18"/>
                <w:szCs w:val="18"/>
              </w:rPr>
            </w:pPr>
            <w:r>
              <w:rPr>
                <w:rFonts w:ascii="仿宋" w:hAnsi="仿宋" w:eastAsia="仿宋" w:cs="仿宋"/>
                <w:b/>
                <w:bCs/>
                <w:spacing w:val="-4"/>
                <w:sz w:val="18"/>
                <w:szCs w:val="18"/>
              </w:rPr>
              <w:t>沙圪堵镇各路段</w:t>
            </w:r>
          </w:p>
        </w:tc>
      </w:tr>
      <w:tr w14:paraId="755C73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76C84373">
            <w:pPr>
              <w:rPr>
                <w:rFonts w:ascii="Arial"/>
                <w:sz w:val="21"/>
              </w:rPr>
            </w:pPr>
          </w:p>
        </w:tc>
        <w:tc>
          <w:tcPr>
            <w:tcW w:w="7640" w:type="dxa"/>
            <w:gridSpan w:val="14"/>
            <w:tcBorders>
              <w:right w:val="single" w:color="000000" w:sz="6" w:space="0"/>
            </w:tcBorders>
            <w:vAlign w:val="top"/>
          </w:tcPr>
          <w:p w14:paraId="0F26DA86">
            <w:pPr>
              <w:spacing w:before="37" w:line="195" w:lineRule="auto"/>
              <w:ind w:left="3284"/>
              <w:rPr>
                <w:rFonts w:ascii="仿宋" w:hAnsi="仿宋" w:eastAsia="仿宋" w:cs="仿宋"/>
                <w:sz w:val="18"/>
                <w:szCs w:val="18"/>
              </w:rPr>
            </w:pPr>
            <w:r>
              <w:rPr>
                <w:rFonts w:ascii="仿宋" w:hAnsi="仿宋" w:eastAsia="仿宋" w:cs="仿宋"/>
                <w:spacing w:val="-3"/>
                <w:sz w:val="18"/>
                <w:szCs w:val="18"/>
              </w:rPr>
              <w:t>一、基本指标</w:t>
            </w:r>
          </w:p>
        </w:tc>
      </w:tr>
      <w:tr w14:paraId="66DFDF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080D430D">
            <w:pPr>
              <w:rPr>
                <w:rFonts w:ascii="Arial"/>
                <w:sz w:val="21"/>
              </w:rPr>
            </w:pPr>
          </w:p>
        </w:tc>
        <w:tc>
          <w:tcPr>
            <w:tcW w:w="612" w:type="dxa"/>
            <w:vAlign w:val="top"/>
          </w:tcPr>
          <w:p w14:paraId="4EB1A89E">
            <w:pPr>
              <w:pStyle w:val="6"/>
              <w:spacing w:before="68" w:line="185" w:lineRule="auto"/>
              <w:ind w:left="279"/>
            </w:pPr>
            <w:r>
              <w:t>1</w:t>
            </w:r>
          </w:p>
        </w:tc>
        <w:tc>
          <w:tcPr>
            <w:tcW w:w="4000" w:type="dxa"/>
            <w:gridSpan w:val="7"/>
            <w:vAlign w:val="top"/>
          </w:tcPr>
          <w:p w14:paraId="00B64FCB">
            <w:pPr>
              <w:spacing w:before="37" w:line="195" w:lineRule="auto"/>
              <w:ind w:left="1651"/>
              <w:rPr>
                <w:rFonts w:ascii="仿宋" w:hAnsi="仿宋" w:eastAsia="仿宋" w:cs="仿宋"/>
                <w:sz w:val="18"/>
                <w:szCs w:val="18"/>
              </w:rPr>
            </w:pPr>
            <w:r>
              <w:rPr>
                <w:rFonts w:ascii="仿宋" w:hAnsi="仿宋" w:eastAsia="仿宋" w:cs="仿宋"/>
                <w:spacing w:val="-4"/>
                <w:sz w:val="18"/>
                <w:szCs w:val="18"/>
              </w:rPr>
              <w:t>公路等级</w:t>
            </w:r>
          </w:p>
        </w:tc>
        <w:tc>
          <w:tcPr>
            <w:tcW w:w="1048" w:type="dxa"/>
            <w:gridSpan w:val="2"/>
            <w:vAlign w:val="top"/>
          </w:tcPr>
          <w:p w14:paraId="0A59C52B">
            <w:pPr>
              <w:spacing w:before="37" w:line="195" w:lineRule="auto"/>
              <w:ind w:left="448"/>
              <w:rPr>
                <w:rFonts w:ascii="仿宋" w:hAnsi="仿宋" w:eastAsia="仿宋" w:cs="仿宋"/>
                <w:sz w:val="18"/>
                <w:szCs w:val="18"/>
              </w:rPr>
            </w:pPr>
            <w:r>
              <w:rPr>
                <w:rFonts w:ascii="仿宋" w:hAnsi="仿宋" w:eastAsia="仿宋" w:cs="仿宋"/>
                <w:sz w:val="18"/>
                <w:szCs w:val="18"/>
              </w:rPr>
              <w:t>级</w:t>
            </w:r>
          </w:p>
        </w:tc>
        <w:tc>
          <w:tcPr>
            <w:tcW w:w="1980" w:type="dxa"/>
            <w:gridSpan w:val="4"/>
            <w:tcBorders>
              <w:right w:val="single" w:color="000000" w:sz="6" w:space="0"/>
            </w:tcBorders>
            <w:vAlign w:val="top"/>
          </w:tcPr>
          <w:p w14:paraId="66532BD2">
            <w:pPr>
              <w:pStyle w:val="6"/>
              <w:spacing w:before="37" w:line="195" w:lineRule="auto"/>
              <w:ind w:left="323"/>
              <w:rPr>
                <w:rFonts w:ascii="仿宋" w:hAnsi="仿宋" w:eastAsia="仿宋" w:cs="仿宋"/>
              </w:rPr>
            </w:pPr>
            <w:r>
              <w:rPr>
                <w:rFonts w:ascii="仿宋" w:hAnsi="仿宋" w:eastAsia="仿宋" w:cs="仿宋"/>
                <w:spacing w:val="-6"/>
              </w:rPr>
              <w:t>四级公路</w:t>
            </w:r>
            <w:r>
              <w:rPr>
                <w:rFonts w:ascii="仿宋" w:hAnsi="仿宋" w:eastAsia="仿宋" w:cs="仿宋"/>
                <w:spacing w:val="12"/>
              </w:rPr>
              <w:t xml:space="preserve"> </w:t>
            </w:r>
            <w:r>
              <w:rPr>
                <w:rFonts w:ascii="仿宋" w:hAnsi="仿宋" w:eastAsia="仿宋" w:cs="仿宋"/>
                <w:spacing w:val="-6"/>
              </w:rPr>
              <w:t>(</w:t>
            </w:r>
            <w:r>
              <w:rPr>
                <w:spacing w:val="-6"/>
              </w:rPr>
              <w:t>Ⅱ</w:t>
            </w:r>
            <w:r>
              <w:rPr>
                <w:rFonts w:ascii="仿宋" w:hAnsi="仿宋" w:eastAsia="仿宋" w:cs="仿宋"/>
                <w:spacing w:val="-6"/>
              </w:rPr>
              <w:t>类）</w:t>
            </w:r>
          </w:p>
        </w:tc>
      </w:tr>
      <w:tr w14:paraId="3CD889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5B2F8F4E">
            <w:pPr>
              <w:rPr>
                <w:rFonts w:ascii="Arial"/>
                <w:sz w:val="21"/>
              </w:rPr>
            </w:pPr>
          </w:p>
        </w:tc>
        <w:tc>
          <w:tcPr>
            <w:tcW w:w="612" w:type="dxa"/>
            <w:vAlign w:val="top"/>
          </w:tcPr>
          <w:p w14:paraId="66548DEF">
            <w:pPr>
              <w:pStyle w:val="6"/>
              <w:spacing w:before="70" w:line="183" w:lineRule="auto"/>
              <w:ind w:left="261"/>
            </w:pPr>
            <w:r>
              <w:t>2</w:t>
            </w:r>
          </w:p>
        </w:tc>
        <w:tc>
          <w:tcPr>
            <w:tcW w:w="4000" w:type="dxa"/>
            <w:gridSpan w:val="7"/>
            <w:vAlign w:val="top"/>
          </w:tcPr>
          <w:p w14:paraId="35167D00">
            <w:pPr>
              <w:spacing w:before="39" w:line="193" w:lineRule="auto"/>
              <w:ind w:left="1646"/>
              <w:rPr>
                <w:rFonts w:ascii="仿宋" w:hAnsi="仿宋" w:eastAsia="仿宋" w:cs="仿宋"/>
                <w:sz w:val="18"/>
                <w:szCs w:val="18"/>
              </w:rPr>
            </w:pPr>
            <w:r>
              <w:rPr>
                <w:rFonts w:ascii="仿宋" w:hAnsi="仿宋" w:eastAsia="仿宋" w:cs="仿宋"/>
                <w:spacing w:val="-3"/>
                <w:sz w:val="18"/>
                <w:szCs w:val="18"/>
              </w:rPr>
              <w:t>设计速度</w:t>
            </w:r>
          </w:p>
        </w:tc>
        <w:tc>
          <w:tcPr>
            <w:tcW w:w="1048" w:type="dxa"/>
            <w:gridSpan w:val="2"/>
            <w:vAlign w:val="top"/>
          </w:tcPr>
          <w:p w14:paraId="316F2C07">
            <w:pPr>
              <w:pStyle w:val="6"/>
              <w:spacing w:before="67" w:line="186" w:lineRule="auto"/>
              <w:ind w:left="341"/>
            </w:pPr>
            <w:r>
              <w:rPr>
                <w:spacing w:val="-1"/>
              </w:rPr>
              <w:t>km/h</w:t>
            </w:r>
          </w:p>
        </w:tc>
        <w:tc>
          <w:tcPr>
            <w:tcW w:w="1980" w:type="dxa"/>
            <w:gridSpan w:val="4"/>
            <w:tcBorders>
              <w:right w:val="single" w:color="000000" w:sz="6" w:space="0"/>
            </w:tcBorders>
            <w:vAlign w:val="top"/>
          </w:tcPr>
          <w:p w14:paraId="2F85E6FE">
            <w:pPr>
              <w:pStyle w:val="6"/>
              <w:spacing w:before="70" w:line="183" w:lineRule="auto"/>
              <w:ind w:left="909"/>
            </w:pPr>
            <w:r>
              <w:rPr>
                <w:spacing w:val="-10"/>
              </w:rPr>
              <w:t>15</w:t>
            </w:r>
          </w:p>
        </w:tc>
      </w:tr>
      <w:tr w14:paraId="7BA281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448329FD">
            <w:pPr>
              <w:rPr>
                <w:rFonts w:ascii="Arial"/>
                <w:sz w:val="21"/>
              </w:rPr>
            </w:pPr>
          </w:p>
        </w:tc>
        <w:tc>
          <w:tcPr>
            <w:tcW w:w="7640" w:type="dxa"/>
            <w:gridSpan w:val="14"/>
            <w:tcBorders>
              <w:right w:val="single" w:color="000000" w:sz="6" w:space="0"/>
            </w:tcBorders>
            <w:vAlign w:val="top"/>
          </w:tcPr>
          <w:p w14:paraId="6633F6DA">
            <w:pPr>
              <w:spacing w:before="38" w:line="194" w:lineRule="auto"/>
              <w:ind w:left="3467"/>
              <w:rPr>
                <w:rFonts w:ascii="仿宋" w:hAnsi="仿宋" w:eastAsia="仿宋" w:cs="仿宋"/>
                <w:sz w:val="18"/>
                <w:szCs w:val="18"/>
              </w:rPr>
            </w:pPr>
            <w:r>
              <w:rPr>
                <w:rFonts w:ascii="仿宋" w:hAnsi="仿宋" w:eastAsia="仿宋" w:cs="仿宋"/>
                <w:spacing w:val="-5"/>
                <w:sz w:val="18"/>
                <w:szCs w:val="18"/>
              </w:rPr>
              <w:t>二、路线</w:t>
            </w:r>
          </w:p>
        </w:tc>
      </w:tr>
      <w:tr w14:paraId="589D0D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45F69277">
            <w:pPr>
              <w:rPr>
                <w:rFonts w:ascii="Arial"/>
                <w:sz w:val="21"/>
              </w:rPr>
            </w:pPr>
          </w:p>
        </w:tc>
        <w:tc>
          <w:tcPr>
            <w:tcW w:w="612" w:type="dxa"/>
            <w:vAlign w:val="top"/>
          </w:tcPr>
          <w:p w14:paraId="4FB0379F">
            <w:pPr>
              <w:pStyle w:val="6"/>
              <w:spacing w:before="69" w:line="184" w:lineRule="auto"/>
              <w:ind w:left="265"/>
            </w:pPr>
            <w:r>
              <w:t>3</w:t>
            </w:r>
          </w:p>
        </w:tc>
        <w:tc>
          <w:tcPr>
            <w:tcW w:w="4000" w:type="dxa"/>
            <w:gridSpan w:val="7"/>
            <w:vAlign w:val="top"/>
          </w:tcPr>
          <w:p w14:paraId="3030E9E9">
            <w:pPr>
              <w:spacing w:before="40" w:line="192" w:lineRule="auto"/>
              <w:ind w:left="1646"/>
              <w:rPr>
                <w:rFonts w:ascii="仿宋" w:hAnsi="仿宋" w:eastAsia="仿宋" w:cs="仿宋"/>
                <w:sz w:val="18"/>
                <w:szCs w:val="18"/>
              </w:rPr>
            </w:pPr>
            <w:r>
              <w:rPr>
                <w:rFonts w:ascii="仿宋" w:hAnsi="仿宋" w:eastAsia="仿宋" w:cs="仿宋"/>
                <w:spacing w:val="-3"/>
                <w:sz w:val="18"/>
                <w:szCs w:val="18"/>
              </w:rPr>
              <w:t>路线总长</w:t>
            </w:r>
          </w:p>
        </w:tc>
        <w:tc>
          <w:tcPr>
            <w:tcW w:w="1048" w:type="dxa"/>
            <w:gridSpan w:val="2"/>
            <w:vAlign w:val="top"/>
          </w:tcPr>
          <w:p w14:paraId="23D2896A">
            <w:pPr>
              <w:pStyle w:val="6"/>
              <w:spacing w:before="65" w:line="188" w:lineRule="auto"/>
              <w:ind w:left="411"/>
            </w:pPr>
            <w:r>
              <w:rPr>
                <w:spacing w:val="-1"/>
              </w:rPr>
              <w:t>km</w:t>
            </w:r>
          </w:p>
        </w:tc>
        <w:tc>
          <w:tcPr>
            <w:tcW w:w="1980" w:type="dxa"/>
            <w:gridSpan w:val="4"/>
            <w:tcBorders>
              <w:right w:val="single" w:color="000000" w:sz="6" w:space="0"/>
            </w:tcBorders>
            <w:vAlign w:val="top"/>
          </w:tcPr>
          <w:p w14:paraId="6A57DF18">
            <w:pPr>
              <w:pStyle w:val="6"/>
              <w:spacing w:before="69" w:line="184" w:lineRule="auto"/>
              <w:ind w:left="755"/>
            </w:pPr>
            <w:r>
              <w:rPr>
                <w:spacing w:val="-5"/>
              </w:rPr>
              <w:t>11.366</w:t>
            </w:r>
          </w:p>
        </w:tc>
      </w:tr>
      <w:tr w14:paraId="69C03B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454FC6BC">
            <w:pPr>
              <w:rPr>
                <w:rFonts w:ascii="Arial"/>
                <w:sz w:val="21"/>
              </w:rPr>
            </w:pPr>
          </w:p>
        </w:tc>
        <w:tc>
          <w:tcPr>
            <w:tcW w:w="7640" w:type="dxa"/>
            <w:gridSpan w:val="14"/>
            <w:tcBorders>
              <w:right w:val="single" w:color="000000" w:sz="6" w:space="0"/>
            </w:tcBorders>
            <w:vAlign w:val="top"/>
          </w:tcPr>
          <w:p w14:paraId="5DE1D73C">
            <w:pPr>
              <w:spacing w:before="39" w:line="193" w:lineRule="auto"/>
              <w:ind w:left="3195"/>
              <w:rPr>
                <w:rFonts w:ascii="仿宋" w:hAnsi="仿宋" w:eastAsia="仿宋" w:cs="仿宋"/>
                <w:sz w:val="18"/>
                <w:szCs w:val="18"/>
              </w:rPr>
            </w:pPr>
            <w:r>
              <w:rPr>
                <w:rFonts w:ascii="仿宋" w:hAnsi="仿宋" w:eastAsia="仿宋" w:cs="仿宋"/>
                <w:spacing w:val="-3"/>
                <w:sz w:val="18"/>
                <w:szCs w:val="18"/>
              </w:rPr>
              <w:t>三、路基、路面</w:t>
            </w:r>
          </w:p>
        </w:tc>
      </w:tr>
      <w:tr w14:paraId="487C75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369B2089">
            <w:pPr>
              <w:rPr>
                <w:rFonts w:ascii="Arial"/>
                <w:sz w:val="21"/>
              </w:rPr>
            </w:pPr>
          </w:p>
        </w:tc>
        <w:tc>
          <w:tcPr>
            <w:tcW w:w="612" w:type="dxa"/>
            <w:vAlign w:val="top"/>
          </w:tcPr>
          <w:p w14:paraId="00DDCAF1">
            <w:pPr>
              <w:pStyle w:val="6"/>
              <w:spacing w:before="70" w:line="183" w:lineRule="auto"/>
              <w:ind w:left="260"/>
            </w:pPr>
            <w:r>
              <w:t>4</w:t>
            </w:r>
          </w:p>
        </w:tc>
        <w:tc>
          <w:tcPr>
            <w:tcW w:w="4000" w:type="dxa"/>
            <w:gridSpan w:val="7"/>
            <w:vAlign w:val="top"/>
          </w:tcPr>
          <w:p w14:paraId="35538255">
            <w:pPr>
              <w:spacing w:before="39" w:line="193" w:lineRule="auto"/>
              <w:ind w:left="1646"/>
              <w:rPr>
                <w:rFonts w:ascii="仿宋" w:hAnsi="仿宋" w:eastAsia="仿宋" w:cs="仿宋"/>
                <w:sz w:val="18"/>
                <w:szCs w:val="18"/>
              </w:rPr>
            </w:pPr>
            <w:r>
              <w:rPr>
                <w:rFonts w:ascii="仿宋" w:hAnsi="仿宋" w:eastAsia="仿宋" w:cs="仿宋"/>
                <w:spacing w:val="-3"/>
                <w:sz w:val="18"/>
                <w:szCs w:val="18"/>
              </w:rPr>
              <w:t>路基宽度</w:t>
            </w:r>
          </w:p>
        </w:tc>
        <w:tc>
          <w:tcPr>
            <w:tcW w:w="1048" w:type="dxa"/>
            <w:gridSpan w:val="2"/>
            <w:vAlign w:val="top"/>
          </w:tcPr>
          <w:p w14:paraId="1F51EB53">
            <w:pPr>
              <w:pStyle w:val="6"/>
              <w:spacing w:before="109" w:line="118" w:lineRule="exact"/>
              <w:ind w:left="457"/>
            </w:pPr>
            <w:r>
              <w:rPr>
                <w:position w:val="-1"/>
              </w:rPr>
              <w:t>m</w:t>
            </w:r>
          </w:p>
        </w:tc>
        <w:tc>
          <w:tcPr>
            <w:tcW w:w="1980" w:type="dxa"/>
            <w:gridSpan w:val="4"/>
            <w:tcBorders>
              <w:right w:val="single" w:color="000000" w:sz="6" w:space="0"/>
            </w:tcBorders>
            <w:vAlign w:val="top"/>
          </w:tcPr>
          <w:p w14:paraId="2ABFE3E9">
            <w:pPr>
              <w:pStyle w:val="6"/>
              <w:spacing w:before="70" w:line="183" w:lineRule="auto"/>
              <w:ind w:left="869"/>
            </w:pPr>
            <w:r>
              <w:rPr>
                <w:spacing w:val="-1"/>
              </w:rPr>
              <w:t>4.5</w:t>
            </w:r>
          </w:p>
        </w:tc>
      </w:tr>
      <w:tr w14:paraId="06A077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795477FE">
            <w:pPr>
              <w:rPr>
                <w:rFonts w:ascii="Arial"/>
                <w:sz w:val="21"/>
              </w:rPr>
            </w:pPr>
          </w:p>
        </w:tc>
        <w:tc>
          <w:tcPr>
            <w:tcW w:w="612" w:type="dxa"/>
            <w:vAlign w:val="top"/>
          </w:tcPr>
          <w:p w14:paraId="4713A982">
            <w:pPr>
              <w:pStyle w:val="6"/>
              <w:spacing w:before="74" w:line="179" w:lineRule="auto"/>
              <w:ind w:left="266"/>
            </w:pPr>
            <w:r>
              <w:t>5</w:t>
            </w:r>
          </w:p>
        </w:tc>
        <w:tc>
          <w:tcPr>
            <w:tcW w:w="4000" w:type="dxa"/>
            <w:gridSpan w:val="7"/>
            <w:vAlign w:val="top"/>
          </w:tcPr>
          <w:p w14:paraId="445DE763">
            <w:pPr>
              <w:spacing w:before="40" w:line="193" w:lineRule="auto"/>
              <w:ind w:left="1557"/>
              <w:rPr>
                <w:rFonts w:ascii="仿宋" w:hAnsi="仿宋" w:eastAsia="仿宋" w:cs="仿宋"/>
                <w:sz w:val="18"/>
                <w:szCs w:val="18"/>
              </w:rPr>
            </w:pPr>
            <w:r>
              <w:rPr>
                <w:rFonts w:ascii="仿宋" w:hAnsi="仿宋" w:eastAsia="仿宋" w:cs="仿宋"/>
                <w:spacing w:val="-3"/>
                <w:sz w:val="18"/>
                <w:szCs w:val="18"/>
              </w:rPr>
              <w:t>行车道宽度</w:t>
            </w:r>
          </w:p>
        </w:tc>
        <w:tc>
          <w:tcPr>
            <w:tcW w:w="1048" w:type="dxa"/>
            <w:gridSpan w:val="2"/>
            <w:vAlign w:val="top"/>
          </w:tcPr>
          <w:p w14:paraId="19E9F706">
            <w:pPr>
              <w:spacing w:before="40" w:line="193" w:lineRule="auto"/>
              <w:ind w:left="448"/>
              <w:rPr>
                <w:rFonts w:ascii="仿宋" w:hAnsi="仿宋" w:eastAsia="仿宋" w:cs="仿宋"/>
                <w:sz w:val="18"/>
                <w:szCs w:val="18"/>
              </w:rPr>
            </w:pPr>
            <w:r>
              <w:rPr>
                <w:rFonts w:ascii="仿宋" w:hAnsi="仿宋" w:eastAsia="仿宋" w:cs="仿宋"/>
                <w:sz w:val="18"/>
                <w:szCs w:val="18"/>
              </w:rPr>
              <w:t>米</w:t>
            </w:r>
          </w:p>
        </w:tc>
        <w:tc>
          <w:tcPr>
            <w:tcW w:w="1980" w:type="dxa"/>
            <w:gridSpan w:val="4"/>
            <w:tcBorders>
              <w:right w:val="single" w:color="000000" w:sz="6" w:space="0"/>
            </w:tcBorders>
            <w:vAlign w:val="top"/>
          </w:tcPr>
          <w:p w14:paraId="45CCB105">
            <w:pPr>
              <w:pStyle w:val="6"/>
              <w:spacing w:before="72" w:line="182" w:lineRule="auto"/>
              <w:ind w:left="874"/>
            </w:pPr>
            <w:r>
              <w:rPr>
                <w:spacing w:val="-2"/>
              </w:rPr>
              <w:t>3.5</w:t>
            </w:r>
          </w:p>
        </w:tc>
      </w:tr>
      <w:tr w14:paraId="45D048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60975AF5">
            <w:pPr>
              <w:rPr>
                <w:rFonts w:ascii="Arial"/>
                <w:sz w:val="21"/>
              </w:rPr>
            </w:pPr>
          </w:p>
        </w:tc>
        <w:tc>
          <w:tcPr>
            <w:tcW w:w="612" w:type="dxa"/>
            <w:vMerge w:val="restart"/>
            <w:tcBorders>
              <w:bottom w:val="nil"/>
            </w:tcBorders>
            <w:vAlign w:val="top"/>
          </w:tcPr>
          <w:p w14:paraId="701E098B">
            <w:pPr>
              <w:pStyle w:val="6"/>
              <w:spacing w:before="193" w:line="185" w:lineRule="auto"/>
              <w:ind w:left="264"/>
            </w:pPr>
            <w:r>
              <w:t>7</w:t>
            </w:r>
          </w:p>
        </w:tc>
        <w:tc>
          <w:tcPr>
            <w:tcW w:w="4000" w:type="dxa"/>
            <w:gridSpan w:val="7"/>
            <w:vMerge w:val="restart"/>
            <w:tcBorders>
              <w:bottom w:val="nil"/>
            </w:tcBorders>
            <w:vAlign w:val="top"/>
          </w:tcPr>
          <w:p w14:paraId="074FB9CB">
            <w:pPr>
              <w:spacing w:before="162" w:line="222" w:lineRule="auto"/>
              <w:ind w:left="1646"/>
              <w:rPr>
                <w:rFonts w:ascii="仿宋" w:hAnsi="仿宋" w:eastAsia="仿宋" w:cs="仿宋"/>
                <w:sz w:val="18"/>
                <w:szCs w:val="18"/>
              </w:rPr>
            </w:pPr>
            <w:r>
              <w:rPr>
                <w:rFonts w:ascii="仿宋" w:hAnsi="仿宋" w:eastAsia="仿宋" w:cs="仿宋"/>
                <w:spacing w:val="-3"/>
                <w:sz w:val="18"/>
                <w:szCs w:val="18"/>
              </w:rPr>
              <w:t>路基排水</w:t>
            </w:r>
          </w:p>
        </w:tc>
        <w:tc>
          <w:tcPr>
            <w:tcW w:w="1048" w:type="dxa"/>
            <w:gridSpan w:val="2"/>
            <w:vMerge w:val="restart"/>
            <w:tcBorders>
              <w:bottom w:val="nil"/>
            </w:tcBorders>
            <w:vAlign w:val="top"/>
          </w:tcPr>
          <w:p w14:paraId="2BA87DD9">
            <w:pPr>
              <w:spacing w:before="162" w:line="222" w:lineRule="auto"/>
              <w:ind w:left="270"/>
              <w:rPr>
                <w:rFonts w:ascii="仿宋" w:hAnsi="仿宋" w:eastAsia="仿宋" w:cs="仿宋"/>
                <w:sz w:val="18"/>
                <w:szCs w:val="18"/>
              </w:rPr>
            </w:pPr>
            <w:r>
              <w:rPr>
                <w:rFonts w:ascii="仿宋" w:hAnsi="仿宋" w:eastAsia="仿宋" w:cs="仿宋"/>
                <w:spacing w:val="-6"/>
                <w:sz w:val="18"/>
                <w:szCs w:val="18"/>
              </w:rPr>
              <w:t>立方米</w:t>
            </w:r>
          </w:p>
        </w:tc>
        <w:tc>
          <w:tcPr>
            <w:tcW w:w="1980" w:type="dxa"/>
            <w:gridSpan w:val="4"/>
            <w:tcBorders>
              <w:right w:val="single" w:color="000000" w:sz="6" w:space="0"/>
            </w:tcBorders>
            <w:vAlign w:val="top"/>
          </w:tcPr>
          <w:p w14:paraId="71AA60D2">
            <w:pPr>
              <w:pStyle w:val="6"/>
              <w:spacing w:before="39" w:line="193" w:lineRule="auto"/>
              <w:ind w:left="522"/>
            </w:pPr>
            <w:r>
              <w:rPr>
                <w:rFonts w:ascii="仿宋" w:hAnsi="仿宋" w:eastAsia="仿宋" w:cs="仿宋"/>
                <w:spacing w:val="-2"/>
              </w:rPr>
              <w:t>边沟：</w:t>
            </w:r>
            <w:r>
              <w:rPr>
                <w:spacing w:val="-2"/>
              </w:rPr>
              <w:t>544.7</w:t>
            </w:r>
          </w:p>
        </w:tc>
      </w:tr>
      <w:tr w14:paraId="75B86B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5D68EC98">
            <w:pPr>
              <w:rPr>
                <w:rFonts w:ascii="Arial"/>
                <w:sz w:val="21"/>
              </w:rPr>
            </w:pPr>
          </w:p>
        </w:tc>
        <w:tc>
          <w:tcPr>
            <w:tcW w:w="612" w:type="dxa"/>
            <w:vMerge w:val="continue"/>
            <w:tcBorders>
              <w:top w:val="nil"/>
            </w:tcBorders>
            <w:vAlign w:val="top"/>
          </w:tcPr>
          <w:p w14:paraId="298B190C">
            <w:pPr>
              <w:rPr>
                <w:rFonts w:ascii="Arial"/>
                <w:sz w:val="21"/>
              </w:rPr>
            </w:pPr>
          </w:p>
        </w:tc>
        <w:tc>
          <w:tcPr>
            <w:tcW w:w="4000" w:type="dxa"/>
            <w:gridSpan w:val="7"/>
            <w:vMerge w:val="continue"/>
            <w:tcBorders>
              <w:top w:val="nil"/>
            </w:tcBorders>
            <w:vAlign w:val="top"/>
          </w:tcPr>
          <w:p w14:paraId="661BD72E">
            <w:pPr>
              <w:rPr>
                <w:rFonts w:ascii="Arial"/>
                <w:sz w:val="21"/>
              </w:rPr>
            </w:pPr>
          </w:p>
        </w:tc>
        <w:tc>
          <w:tcPr>
            <w:tcW w:w="1048" w:type="dxa"/>
            <w:gridSpan w:val="2"/>
            <w:vMerge w:val="continue"/>
            <w:tcBorders>
              <w:top w:val="nil"/>
            </w:tcBorders>
            <w:vAlign w:val="top"/>
          </w:tcPr>
          <w:p w14:paraId="1FBCED72">
            <w:pPr>
              <w:rPr>
                <w:rFonts w:ascii="Arial"/>
                <w:sz w:val="21"/>
              </w:rPr>
            </w:pPr>
          </w:p>
        </w:tc>
        <w:tc>
          <w:tcPr>
            <w:tcW w:w="1980" w:type="dxa"/>
            <w:gridSpan w:val="4"/>
            <w:tcBorders>
              <w:right w:val="single" w:color="000000" w:sz="6" w:space="0"/>
            </w:tcBorders>
            <w:vAlign w:val="top"/>
          </w:tcPr>
          <w:p w14:paraId="19ED5EEA">
            <w:pPr>
              <w:pStyle w:val="6"/>
              <w:spacing w:before="41" w:line="192" w:lineRule="auto"/>
              <w:ind w:left="425"/>
            </w:pPr>
            <w:r>
              <w:rPr>
                <w:rFonts w:ascii="仿宋" w:hAnsi="仿宋" w:eastAsia="仿宋" w:cs="仿宋"/>
                <w:spacing w:val="-1"/>
              </w:rPr>
              <w:t>排水沟：</w:t>
            </w:r>
            <w:r>
              <w:rPr>
                <w:spacing w:val="-1"/>
              </w:rPr>
              <w:t>144.3</w:t>
            </w:r>
          </w:p>
        </w:tc>
      </w:tr>
      <w:tr w14:paraId="1FA545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01BF43F2">
            <w:pPr>
              <w:rPr>
                <w:rFonts w:ascii="Arial"/>
                <w:sz w:val="21"/>
              </w:rPr>
            </w:pPr>
          </w:p>
        </w:tc>
        <w:tc>
          <w:tcPr>
            <w:tcW w:w="612" w:type="dxa"/>
            <w:vMerge w:val="restart"/>
            <w:tcBorders>
              <w:bottom w:val="nil"/>
            </w:tcBorders>
            <w:vAlign w:val="top"/>
          </w:tcPr>
          <w:p w14:paraId="66B58312">
            <w:pPr>
              <w:pStyle w:val="6"/>
              <w:spacing w:before="191" w:line="188" w:lineRule="auto"/>
              <w:ind w:left="268"/>
            </w:pPr>
            <w:r>
              <w:t>8</w:t>
            </w:r>
          </w:p>
        </w:tc>
        <w:tc>
          <w:tcPr>
            <w:tcW w:w="2000" w:type="dxa"/>
            <w:gridSpan w:val="3"/>
            <w:vMerge w:val="restart"/>
            <w:tcBorders>
              <w:bottom w:val="nil"/>
            </w:tcBorders>
            <w:vAlign w:val="top"/>
          </w:tcPr>
          <w:p w14:paraId="2B1F5264">
            <w:pPr>
              <w:spacing w:before="162" w:line="223" w:lineRule="auto"/>
              <w:ind w:left="645"/>
              <w:rPr>
                <w:rFonts w:ascii="仿宋" w:hAnsi="仿宋" w:eastAsia="仿宋" w:cs="仿宋"/>
                <w:sz w:val="18"/>
                <w:szCs w:val="18"/>
              </w:rPr>
            </w:pPr>
            <w:r>
              <w:rPr>
                <w:rFonts w:ascii="仿宋" w:hAnsi="仿宋" w:eastAsia="仿宋" w:cs="仿宋"/>
                <w:spacing w:val="-3"/>
                <w:sz w:val="18"/>
                <w:szCs w:val="18"/>
              </w:rPr>
              <w:t>路面面积</w:t>
            </w:r>
          </w:p>
        </w:tc>
        <w:tc>
          <w:tcPr>
            <w:tcW w:w="2000" w:type="dxa"/>
            <w:gridSpan w:val="4"/>
            <w:vAlign w:val="top"/>
          </w:tcPr>
          <w:p w14:paraId="446F22E5">
            <w:pPr>
              <w:spacing w:before="39" w:line="193" w:lineRule="auto"/>
              <w:ind w:left="558"/>
              <w:rPr>
                <w:rFonts w:ascii="仿宋" w:hAnsi="仿宋" w:eastAsia="仿宋" w:cs="仿宋"/>
                <w:sz w:val="18"/>
                <w:szCs w:val="18"/>
              </w:rPr>
            </w:pPr>
            <w:r>
              <w:rPr>
                <w:rFonts w:ascii="仿宋" w:hAnsi="仿宋" w:eastAsia="仿宋" w:cs="仿宋"/>
                <w:spacing w:val="-3"/>
                <w:sz w:val="18"/>
                <w:szCs w:val="18"/>
              </w:rPr>
              <w:t>水泥混凝土</w:t>
            </w:r>
          </w:p>
        </w:tc>
        <w:tc>
          <w:tcPr>
            <w:tcW w:w="1048" w:type="dxa"/>
            <w:gridSpan w:val="2"/>
            <w:vAlign w:val="top"/>
          </w:tcPr>
          <w:p w14:paraId="58917492">
            <w:pPr>
              <w:pStyle w:val="6"/>
              <w:spacing w:before="55" w:line="200" w:lineRule="auto"/>
              <w:ind w:left="265"/>
              <w:rPr>
                <w:sz w:val="11"/>
                <w:szCs w:val="11"/>
              </w:rPr>
            </w:pPr>
            <w:r>
              <w:rPr>
                <w:spacing w:val="-3"/>
              </w:rPr>
              <w:t>1000m</w:t>
            </w:r>
            <w:r>
              <w:rPr>
                <w:spacing w:val="-3"/>
                <w:position w:val="5"/>
                <w:sz w:val="11"/>
                <w:szCs w:val="11"/>
              </w:rPr>
              <w:t>2</w:t>
            </w:r>
          </w:p>
        </w:tc>
        <w:tc>
          <w:tcPr>
            <w:tcW w:w="1980" w:type="dxa"/>
            <w:gridSpan w:val="4"/>
            <w:tcBorders>
              <w:right w:val="single" w:color="000000" w:sz="6" w:space="0"/>
            </w:tcBorders>
            <w:vAlign w:val="top"/>
          </w:tcPr>
          <w:p w14:paraId="12581E88">
            <w:pPr>
              <w:pStyle w:val="6"/>
              <w:spacing w:before="71" w:line="182" w:lineRule="auto"/>
              <w:ind w:left="739"/>
            </w:pPr>
            <w:r>
              <w:rPr>
                <w:spacing w:val="-2"/>
              </w:rPr>
              <w:t>39.780</w:t>
            </w:r>
          </w:p>
        </w:tc>
      </w:tr>
      <w:tr w14:paraId="7282C0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675019AD">
            <w:pPr>
              <w:rPr>
                <w:rFonts w:ascii="Arial"/>
                <w:sz w:val="21"/>
              </w:rPr>
            </w:pPr>
          </w:p>
        </w:tc>
        <w:tc>
          <w:tcPr>
            <w:tcW w:w="612" w:type="dxa"/>
            <w:vMerge w:val="continue"/>
            <w:tcBorders>
              <w:top w:val="nil"/>
            </w:tcBorders>
            <w:vAlign w:val="top"/>
          </w:tcPr>
          <w:p w14:paraId="7FEFC365">
            <w:pPr>
              <w:rPr>
                <w:rFonts w:ascii="Arial"/>
                <w:sz w:val="21"/>
              </w:rPr>
            </w:pPr>
          </w:p>
        </w:tc>
        <w:tc>
          <w:tcPr>
            <w:tcW w:w="2000" w:type="dxa"/>
            <w:gridSpan w:val="3"/>
            <w:vMerge w:val="continue"/>
            <w:tcBorders>
              <w:top w:val="nil"/>
            </w:tcBorders>
            <w:vAlign w:val="top"/>
          </w:tcPr>
          <w:p w14:paraId="141F2F94">
            <w:pPr>
              <w:rPr>
                <w:rFonts w:ascii="Arial"/>
                <w:sz w:val="21"/>
              </w:rPr>
            </w:pPr>
          </w:p>
        </w:tc>
        <w:tc>
          <w:tcPr>
            <w:tcW w:w="2000" w:type="dxa"/>
            <w:gridSpan w:val="4"/>
            <w:vAlign w:val="top"/>
          </w:tcPr>
          <w:p w14:paraId="6B9898C1">
            <w:pPr>
              <w:spacing w:before="41" w:line="192" w:lineRule="auto"/>
              <w:ind w:left="560"/>
              <w:rPr>
                <w:rFonts w:ascii="仿宋" w:hAnsi="仿宋" w:eastAsia="仿宋" w:cs="仿宋"/>
                <w:sz w:val="18"/>
                <w:szCs w:val="18"/>
              </w:rPr>
            </w:pPr>
            <w:r>
              <w:rPr>
                <w:rFonts w:ascii="仿宋" w:hAnsi="仿宋" w:eastAsia="仿宋" w:cs="仿宋"/>
                <w:spacing w:val="-3"/>
                <w:sz w:val="18"/>
                <w:szCs w:val="18"/>
              </w:rPr>
              <w:t>未筛分碎石</w:t>
            </w:r>
          </w:p>
        </w:tc>
        <w:tc>
          <w:tcPr>
            <w:tcW w:w="1048" w:type="dxa"/>
            <w:gridSpan w:val="2"/>
            <w:vAlign w:val="top"/>
          </w:tcPr>
          <w:p w14:paraId="2F1D801F">
            <w:pPr>
              <w:pStyle w:val="6"/>
              <w:spacing w:before="54" w:line="202" w:lineRule="auto"/>
              <w:ind w:left="265"/>
              <w:rPr>
                <w:sz w:val="11"/>
                <w:szCs w:val="11"/>
              </w:rPr>
            </w:pPr>
            <w:r>
              <w:rPr>
                <w:spacing w:val="-3"/>
              </w:rPr>
              <w:t>1000m</w:t>
            </w:r>
            <w:r>
              <w:rPr>
                <w:spacing w:val="-3"/>
                <w:position w:val="5"/>
                <w:sz w:val="11"/>
                <w:szCs w:val="11"/>
              </w:rPr>
              <w:t>2</w:t>
            </w:r>
          </w:p>
        </w:tc>
        <w:tc>
          <w:tcPr>
            <w:tcW w:w="1980" w:type="dxa"/>
            <w:gridSpan w:val="4"/>
            <w:tcBorders>
              <w:right w:val="single" w:color="000000" w:sz="6" w:space="0"/>
            </w:tcBorders>
            <w:vAlign w:val="top"/>
          </w:tcPr>
          <w:p w14:paraId="7FEC4595">
            <w:pPr>
              <w:pStyle w:val="6"/>
              <w:spacing w:before="70" w:line="184" w:lineRule="auto"/>
              <w:ind w:left="741"/>
            </w:pPr>
            <w:r>
              <w:rPr>
                <w:spacing w:val="-2"/>
              </w:rPr>
              <w:t>51.146</w:t>
            </w:r>
          </w:p>
        </w:tc>
      </w:tr>
      <w:tr w14:paraId="10EFA7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2E4C3DB1">
            <w:pPr>
              <w:rPr>
                <w:rFonts w:ascii="Arial"/>
                <w:sz w:val="21"/>
              </w:rPr>
            </w:pPr>
          </w:p>
        </w:tc>
        <w:tc>
          <w:tcPr>
            <w:tcW w:w="7640" w:type="dxa"/>
            <w:gridSpan w:val="14"/>
            <w:tcBorders>
              <w:right w:val="single" w:color="000000" w:sz="6" w:space="0"/>
            </w:tcBorders>
            <w:vAlign w:val="top"/>
          </w:tcPr>
          <w:p w14:paraId="58468409">
            <w:pPr>
              <w:spacing w:before="39" w:line="193" w:lineRule="auto"/>
              <w:ind w:left="3211"/>
              <w:rPr>
                <w:rFonts w:ascii="仿宋" w:hAnsi="仿宋" w:eastAsia="仿宋" w:cs="仿宋"/>
                <w:sz w:val="18"/>
                <w:szCs w:val="18"/>
              </w:rPr>
            </w:pPr>
            <w:r>
              <w:rPr>
                <w:rFonts w:ascii="仿宋" w:hAnsi="仿宋" w:eastAsia="仿宋" w:cs="仿宋"/>
                <w:spacing w:val="-5"/>
                <w:sz w:val="18"/>
                <w:szCs w:val="18"/>
              </w:rPr>
              <w:t>四、桥梁、涵洞</w:t>
            </w:r>
          </w:p>
        </w:tc>
      </w:tr>
      <w:tr w14:paraId="13B26C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0E6DF7CC">
            <w:pPr>
              <w:rPr>
                <w:rFonts w:ascii="Arial"/>
                <w:sz w:val="21"/>
              </w:rPr>
            </w:pPr>
          </w:p>
        </w:tc>
        <w:tc>
          <w:tcPr>
            <w:tcW w:w="612" w:type="dxa"/>
            <w:vAlign w:val="top"/>
          </w:tcPr>
          <w:p w14:paraId="0F26E910">
            <w:pPr>
              <w:pStyle w:val="6"/>
              <w:spacing w:before="70" w:line="183" w:lineRule="auto"/>
              <w:ind w:left="265"/>
            </w:pPr>
            <w:r>
              <w:t>9</w:t>
            </w:r>
          </w:p>
        </w:tc>
        <w:tc>
          <w:tcPr>
            <w:tcW w:w="4000" w:type="dxa"/>
            <w:gridSpan w:val="7"/>
            <w:vAlign w:val="top"/>
          </w:tcPr>
          <w:p w14:paraId="4E56B755">
            <w:pPr>
              <w:spacing w:before="41" w:line="191" w:lineRule="auto"/>
              <w:ind w:left="1466"/>
              <w:rPr>
                <w:rFonts w:ascii="仿宋" w:hAnsi="仿宋" w:eastAsia="仿宋" w:cs="仿宋"/>
                <w:sz w:val="18"/>
                <w:szCs w:val="18"/>
              </w:rPr>
            </w:pPr>
            <w:r>
              <w:rPr>
                <w:rFonts w:ascii="仿宋" w:hAnsi="仿宋" w:eastAsia="仿宋" w:cs="仿宋"/>
                <w:spacing w:val="-2"/>
                <w:sz w:val="18"/>
                <w:szCs w:val="18"/>
              </w:rPr>
              <w:t>设计荷载等级</w:t>
            </w:r>
          </w:p>
        </w:tc>
        <w:tc>
          <w:tcPr>
            <w:tcW w:w="1048" w:type="dxa"/>
            <w:gridSpan w:val="2"/>
            <w:vAlign w:val="top"/>
          </w:tcPr>
          <w:p w14:paraId="3AB81865">
            <w:pPr>
              <w:spacing w:line="227" w:lineRule="exact"/>
              <w:rPr>
                <w:rFonts w:ascii="Arial"/>
                <w:sz w:val="19"/>
              </w:rPr>
            </w:pPr>
          </w:p>
        </w:tc>
        <w:tc>
          <w:tcPr>
            <w:tcW w:w="1980" w:type="dxa"/>
            <w:gridSpan w:val="4"/>
            <w:tcBorders>
              <w:right w:val="single" w:color="000000" w:sz="6" w:space="0"/>
            </w:tcBorders>
            <w:vAlign w:val="top"/>
          </w:tcPr>
          <w:p w14:paraId="639D8A0C">
            <w:pPr>
              <w:pStyle w:val="6"/>
              <w:spacing w:before="41" w:line="191" w:lineRule="auto"/>
              <w:ind w:left="635"/>
              <w:rPr>
                <w:rFonts w:ascii="仿宋" w:hAnsi="仿宋" w:eastAsia="仿宋" w:cs="仿宋"/>
              </w:rPr>
            </w:pPr>
            <w:r>
              <w:rPr>
                <w:rFonts w:ascii="仿宋" w:hAnsi="仿宋" w:eastAsia="仿宋" w:cs="仿宋"/>
                <w:spacing w:val="-3"/>
              </w:rPr>
              <w:t>公路</w:t>
            </w:r>
            <w:r>
              <w:rPr>
                <w:spacing w:val="-3"/>
              </w:rPr>
              <w:t>-Ⅱ</w:t>
            </w:r>
            <w:r>
              <w:rPr>
                <w:rFonts w:ascii="仿宋" w:hAnsi="仿宋" w:eastAsia="仿宋" w:cs="仿宋"/>
                <w:spacing w:val="-3"/>
              </w:rPr>
              <w:t>级</w:t>
            </w:r>
          </w:p>
        </w:tc>
      </w:tr>
      <w:tr w14:paraId="280BED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0F07BD52">
            <w:pPr>
              <w:rPr>
                <w:rFonts w:ascii="Arial"/>
                <w:sz w:val="21"/>
              </w:rPr>
            </w:pPr>
          </w:p>
        </w:tc>
        <w:tc>
          <w:tcPr>
            <w:tcW w:w="612" w:type="dxa"/>
            <w:vAlign w:val="top"/>
          </w:tcPr>
          <w:p w14:paraId="4019D38B">
            <w:pPr>
              <w:pStyle w:val="6"/>
              <w:spacing w:before="72" w:line="182" w:lineRule="auto"/>
              <w:ind w:left="233"/>
            </w:pPr>
            <w:r>
              <w:rPr>
                <w:spacing w:val="-10"/>
              </w:rPr>
              <w:t>10</w:t>
            </w:r>
          </w:p>
        </w:tc>
        <w:tc>
          <w:tcPr>
            <w:tcW w:w="4000" w:type="dxa"/>
            <w:gridSpan w:val="7"/>
            <w:vAlign w:val="top"/>
          </w:tcPr>
          <w:p w14:paraId="50024CCD">
            <w:pPr>
              <w:spacing w:before="40" w:line="193" w:lineRule="auto"/>
              <w:ind w:left="1828"/>
              <w:rPr>
                <w:rFonts w:ascii="仿宋" w:hAnsi="仿宋" w:eastAsia="仿宋" w:cs="仿宋"/>
                <w:sz w:val="18"/>
                <w:szCs w:val="18"/>
              </w:rPr>
            </w:pPr>
            <w:r>
              <w:rPr>
                <w:rFonts w:ascii="仿宋" w:hAnsi="仿宋" w:eastAsia="仿宋" w:cs="仿宋"/>
                <w:spacing w:val="-7"/>
                <w:sz w:val="18"/>
                <w:szCs w:val="18"/>
              </w:rPr>
              <w:t>涵洞</w:t>
            </w:r>
          </w:p>
        </w:tc>
        <w:tc>
          <w:tcPr>
            <w:tcW w:w="1048" w:type="dxa"/>
            <w:gridSpan w:val="2"/>
            <w:vAlign w:val="top"/>
          </w:tcPr>
          <w:p w14:paraId="528AE518">
            <w:pPr>
              <w:spacing w:before="40" w:line="193" w:lineRule="auto"/>
              <w:ind w:left="446"/>
              <w:rPr>
                <w:rFonts w:ascii="仿宋" w:hAnsi="仿宋" w:eastAsia="仿宋" w:cs="仿宋"/>
                <w:sz w:val="18"/>
                <w:szCs w:val="18"/>
              </w:rPr>
            </w:pPr>
            <w:r>
              <w:rPr>
                <w:rFonts w:ascii="仿宋" w:hAnsi="仿宋" w:eastAsia="仿宋" w:cs="仿宋"/>
                <w:sz w:val="18"/>
                <w:szCs w:val="18"/>
              </w:rPr>
              <w:t>道</w:t>
            </w:r>
          </w:p>
        </w:tc>
        <w:tc>
          <w:tcPr>
            <w:tcW w:w="1980" w:type="dxa"/>
            <w:gridSpan w:val="4"/>
            <w:tcBorders>
              <w:right w:val="single" w:color="000000" w:sz="6" w:space="0"/>
            </w:tcBorders>
            <w:vAlign w:val="top"/>
          </w:tcPr>
          <w:p w14:paraId="69DA3E31">
            <w:pPr>
              <w:pStyle w:val="6"/>
              <w:spacing w:before="72" w:line="182" w:lineRule="auto"/>
              <w:ind w:left="936"/>
            </w:pPr>
            <w:r>
              <w:t>4</w:t>
            </w:r>
          </w:p>
        </w:tc>
      </w:tr>
      <w:tr w14:paraId="02A482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36E309A0">
            <w:pPr>
              <w:rPr>
                <w:rFonts w:ascii="Arial"/>
                <w:sz w:val="21"/>
              </w:rPr>
            </w:pPr>
          </w:p>
        </w:tc>
        <w:tc>
          <w:tcPr>
            <w:tcW w:w="7640" w:type="dxa"/>
            <w:gridSpan w:val="14"/>
            <w:tcBorders>
              <w:right w:val="single" w:color="000000" w:sz="6" w:space="0"/>
            </w:tcBorders>
            <w:vAlign w:val="top"/>
          </w:tcPr>
          <w:p w14:paraId="148EC582">
            <w:pPr>
              <w:spacing w:before="39" w:line="193" w:lineRule="auto"/>
              <w:ind w:left="3284"/>
              <w:rPr>
                <w:rFonts w:ascii="仿宋" w:hAnsi="仿宋" w:eastAsia="仿宋" w:cs="仿宋"/>
                <w:sz w:val="18"/>
                <w:szCs w:val="18"/>
              </w:rPr>
            </w:pPr>
            <w:r>
              <w:rPr>
                <w:rFonts w:ascii="仿宋" w:hAnsi="仿宋" w:eastAsia="仿宋" w:cs="仿宋"/>
                <w:spacing w:val="-3"/>
                <w:sz w:val="18"/>
                <w:szCs w:val="18"/>
              </w:rPr>
              <w:t>五、路线交叉</w:t>
            </w:r>
          </w:p>
        </w:tc>
      </w:tr>
      <w:tr w14:paraId="29B84F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60102A1C">
            <w:pPr>
              <w:rPr>
                <w:rFonts w:ascii="Arial"/>
                <w:sz w:val="21"/>
              </w:rPr>
            </w:pPr>
          </w:p>
        </w:tc>
        <w:tc>
          <w:tcPr>
            <w:tcW w:w="612" w:type="dxa"/>
            <w:vAlign w:val="top"/>
          </w:tcPr>
          <w:p w14:paraId="1617E81A">
            <w:pPr>
              <w:pStyle w:val="6"/>
              <w:spacing w:before="72" w:line="181" w:lineRule="auto"/>
              <w:ind w:left="238"/>
            </w:pPr>
            <w:r>
              <w:rPr>
                <w:spacing w:val="-11"/>
              </w:rPr>
              <w:t>11</w:t>
            </w:r>
          </w:p>
        </w:tc>
        <w:tc>
          <w:tcPr>
            <w:tcW w:w="4000" w:type="dxa"/>
            <w:gridSpan w:val="7"/>
            <w:vAlign w:val="top"/>
          </w:tcPr>
          <w:p w14:paraId="6957FBF5">
            <w:pPr>
              <w:spacing w:before="41" w:line="192" w:lineRule="auto"/>
              <w:ind w:left="1647"/>
              <w:rPr>
                <w:rFonts w:ascii="仿宋" w:hAnsi="仿宋" w:eastAsia="仿宋" w:cs="仿宋"/>
                <w:sz w:val="18"/>
                <w:szCs w:val="18"/>
              </w:rPr>
            </w:pPr>
            <w:r>
              <w:rPr>
                <w:rFonts w:ascii="仿宋" w:hAnsi="仿宋" w:eastAsia="仿宋" w:cs="仿宋"/>
                <w:spacing w:val="-3"/>
                <w:sz w:val="18"/>
                <w:szCs w:val="18"/>
              </w:rPr>
              <w:t>平面交叉</w:t>
            </w:r>
          </w:p>
        </w:tc>
        <w:tc>
          <w:tcPr>
            <w:tcW w:w="1048" w:type="dxa"/>
            <w:gridSpan w:val="2"/>
            <w:vAlign w:val="top"/>
          </w:tcPr>
          <w:p w14:paraId="7FFB9C09">
            <w:pPr>
              <w:spacing w:before="41" w:line="192" w:lineRule="auto"/>
              <w:ind w:left="446"/>
              <w:rPr>
                <w:rFonts w:ascii="仿宋" w:hAnsi="仿宋" w:eastAsia="仿宋" w:cs="仿宋"/>
                <w:sz w:val="18"/>
                <w:szCs w:val="18"/>
              </w:rPr>
            </w:pPr>
            <w:r>
              <w:rPr>
                <w:rFonts w:ascii="仿宋" w:hAnsi="仿宋" w:eastAsia="仿宋" w:cs="仿宋"/>
                <w:sz w:val="18"/>
                <w:szCs w:val="18"/>
              </w:rPr>
              <w:t>处</w:t>
            </w:r>
          </w:p>
        </w:tc>
        <w:tc>
          <w:tcPr>
            <w:tcW w:w="1980" w:type="dxa"/>
            <w:gridSpan w:val="4"/>
            <w:tcBorders>
              <w:right w:val="single" w:color="000000" w:sz="6" w:space="0"/>
            </w:tcBorders>
            <w:vAlign w:val="top"/>
          </w:tcPr>
          <w:p w14:paraId="16664801">
            <w:pPr>
              <w:pStyle w:val="6"/>
              <w:spacing w:before="72" w:line="181" w:lineRule="auto"/>
              <w:ind w:left="892"/>
            </w:pPr>
            <w:r>
              <w:rPr>
                <w:spacing w:val="-2"/>
              </w:rPr>
              <w:t>21</w:t>
            </w:r>
          </w:p>
        </w:tc>
      </w:tr>
      <w:tr w14:paraId="0423AE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527EA6F7">
            <w:pPr>
              <w:rPr>
                <w:rFonts w:ascii="Arial"/>
                <w:sz w:val="21"/>
              </w:rPr>
            </w:pPr>
          </w:p>
        </w:tc>
        <w:tc>
          <w:tcPr>
            <w:tcW w:w="7640" w:type="dxa"/>
            <w:gridSpan w:val="14"/>
            <w:tcBorders>
              <w:right w:val="single" w:color="000000" w:sz="6" w:space="0"/>
            </w:tcBorders>
            <w:vAlign w:val="top"/>
          </w:tcPr>
          <w:p w14:paraId="3DAE8566">
            <w:pPr>
              <w:spacing w:before="39" w:line="193" w:lineRule="auto"/>
              <w:ind w:left="2832"/>
              <w:rPr>
                <w:rFonts w:ascii="仿宋" w:hAnsi="仿宋" w:eastAsia="仿宋" w:cs="仿宋"/>
                <w:sz w:val="18"/>
                <w:szCs w:val="18"/>
              </w:rPr>
            </w:pPr>
            <w:r>
              <w:rPr>
                <w:rFonts w:ascii="仿宋" w:hAnsi="仿宋" w:eastAsia="仿宋" w:cs="仿宋"/>
                <w:spacing w:val="-2"/>
                <w:sz w:val="18"/>
                <w:szCs w:val="18"/>
              </w:rPr>
              <w:t>六、沿线设施及其他工程</w:t>
            </w:r>
          </w:p>
        </w:tc>
      </w:tr>
      <w:tr w14:paraId="0AABAE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1F0D504A">
            <w:pPr>
              <w:rPr>
                <w:rFonts w:ascii="Arial"/>
                <w:sz w:val="21"/>
              </w:rPr>
            </w:pPr>
          </w:p>
        </w:tc>
        <w:tc>
          <w:tcPr>
            <w:tcW w:w="612" w:type="dxa"/>
            <w:vAlign w:val="top"/>
          </w:tcPr>
          <w:p w14:paraId="5F90DB08">
            <w:pPr>
              <w:pStyle w:val="6"/>
              <w:spacing w:before="70" w:line="184" w:lineRule="auto"/>
              <w:ind w:left="233"/>
            </w:pPr>
            <w:r>
              <w:rPr>
                <w:spacing w:val="-10"/>
              </w:rPr>
              <w:t>12</w:t>
            </w:r>
          </w:p>
        </w:tc>
        <w:tc>
          <w:tcPr>
            <w:tcW w:w="4000" w:type="dxa"/>
            <w:gridSpan w:val="7"/>
            <w:vAlign w:val="top"/>
          </w:tcPr>
          <w:p w14:paraId="27BCAC57">
            <w:pPr>
              <w:spacing w:before="41" w:line="192" w:lineRule="auto"/>
              <w:ind w:left="1648"/>
              <w:rPr>
                <w:rFonts w:ascii="仿宋" w:hAnsi="仿宋" w:eastAsia="仿宋" w:cs="仿宋"/>
                <w:sz w:val="18"/>
                <w:szCs w:val="18"/>
              </w:rPr>
            </w:pPr>
            <w:r>
              <w:rPr>
                <w:rFonts w:ascii="仿宋" w:hAnsi="仿宋" w:eastAsia="仿宋" w:cs="仿宋"/>
                <w:spacing w:val="-4"/>
                <w:sz w:val="18"/>
                <w:szCs w:val="18"/>
              </w:rPr>
              <w:t>其他工程</w:t>
            </w:r>
          </w:p>
        </w:tc>
        <w:tc>
          <w:tcPr>
            <w:tcW w:w="1048" w:type="dxa"/>
            <w:gridSpan w:val="2"/>
            <w:vAlign w:val="top"/>
          </w:tcPr>
          <w:p w14:paraId="10B7D09C">
            <w:pPr>
              <w:pStyle w:val="6"/>
              <w:spacing w:before="66" w:line="188" w:lineRule="auto"/>
              <w:ind w:left="411"/>
            </w:pPr>
            <w:r>
              <w:rPr>
                <w:spacing w:val="-1"/>
              </w:rPr>
              <w:t>km</w:t>
            </w:r>
          </w:p>
        </w:tc>
        <w:tc>
          <w:tcPr>
            <w:tcW w:w="1980" w:type="dxa"/>
            <w:gridSpan w:val="4"/>
            <w:tcBorders>
              <w:right w:val="single" w:color="000000" w:sz="6" w:space="0"/>
            </w:tcBorders>
            <w:vAlign w:val="top"/>
          </w:tcPr>
          <w:p w14:paraId="1BF3AD60">
            <w:pPr>
              <w:pStyle w:val="6"/>
              <w:spacing w:before="70" w:line="184" w:lineRule="auto"/>
              <w:ind w:left="755"/>
            </w:pPr>
            <w:r>
              <w:rPr>
                <w:spacing w:val="-5"/>
              </w:rPr>
              <w:t>11.366</w:t>
            </w:r>
          </w:p>
        </w:tc>
      </w:tr>
      <w:tr w14:paraId="249F48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114DA3FB">
            <w:pPr>
              <w:rPr>
                <w:rFonts w:ascii="Arial"/>
                <w:sz w:val="21"/>
              </w:rPr>
            </w:pPr>
          </w:p>
        </w:tc>
        <w:tc>
          <w:tcPr>
            <w:tcW w:w="7640" w:type="dxa"/>
            <w:gridSpan w:val="14"/>
            <w:tcBorders>
              <w:right w:val="single" w:color="000000" w:sz="6" w:space="0"/>
            </w:tcBorders>
            <w:vAlign w:val="top"/>
          </w:tcPr>
          <w:p w14:paraId="5D670BDD">
            <w:pPr>
              <w:spacing w:before="39" w:line="193" w:lineRule="auto"/>
              <w:ind w:left="3285"/>
              <w:rPr>
                <w:rFonts w:ascii="仿宋" w:hAnsi="仿宋" w:eastAsia="仿宋" w:cs="仿宋"/>
                <w:sz w:val="18"/>
                <w:szCs w:val="18"/>
              </w:rPr>
            </w:pPr>
            <w:r>
              <w:rPr>
                <w:rFonts w:ascii="仿宋" w:hAnsi="仿宋" w:eastAsia="仿宋" w:cs="仿宋"/>
                <w:spacing w:val="-3"/>
                <w:sz w:val="18"/>
                <w:szCs w:val="18"/>
              </w:rPr>
              <w:t>七、环境保护</w:t>
            </w:r>
          </w:p>
        </w:tc>
      </w:tr>
      <w:tr w14:paraId="0080D9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74C682AA">
            <w:pPr>
              <w:rPr>
                <w:rFonts w:ascii="Arial"/>
                <w:sz w:val="21"/>
              </w:rPr>
            </w:pPr>
          </w:p>
        </w:tc>
        <w:tc>
          <w:tcPr>
            <w:tcW w:w="612" w:type="dxa"/>
            <w:vAlign w:val="top"/>
          </w:tcPr>
          <w:p w14:paraId="625071DE">
            <w:pPr>
              <w:pStyle w:val="6"/>
              <w:spacing w:before="70" w:line="184" w:lineRule="auto"/>
              <w:ind w:left="233"/>
            </w:pPr>
            <w:r>
              <w:rPr>
                <w:spacing w:val="-10"/>
              </w:rPr>
              <w:t>13</w:t>
            </w:r>
          </w:p>
        </w:tc>
        <w:tc>
          <w:tcPr>
            <w:tcW w:w="4000" w:type="dxa"/>
            <w:gridSpan w:val="7"/>
            <w:vAlign w:val="top"/>
          </w:tcPr>
          <w:p w14:paraId="50DC5FC2">
            <w:pPr>
              <w:spacing w:before="41" w:line="192" w:lineRule="auto"/>
              <w:ind w:left="1647"/>
              <w:rPr>
                <w:rFonts w:ascii="仿宋" w:hAnsi="仿宋" w:eastAsia="仿宋" w:cs="仿宋"/>
                <w:sz w:val="18"/>
                <w:szCs w:val="18"/>
              </w:rPr>
            </w:pPr>
            <w:r>
              <w:rPr>
                <w:rFonts w:ascii="仿宋" w:hAnsi="仿宋" w:eastAsia="仿宋" w:cs="仿宋"/>
                <w:spacing w:val="-3"/>
                <w:sz w:val="18"/>
                <w:szCs w:val="18"/>
              </w:rPr>
              <w:t>环境绿化</w:t>
            </w:r>
          </w:p>
        </w:tc>
        <w:tc>
          <w:tcPr>
            <w:tcW w:w="1048" w:type="dxa"/>
            <w:gridSpan w:val="2"/>
            <w:vAlign w:val="top"/>
          </w:tcPr>
          <w:p w14:paraId="2CDF8DEC">
            <w:pPr>
              <w:pStyle w:val="6"/>
              <w:spacing w:before="66" w:line="188" w:lineRule="auto"/>
              <w:ind w:left="411"/>
            </w:pPr>
            <w:r>
              <w:rPr>
                <w:spacing w:val="-1"/>
              </w:rPr>
              <w:t>km</w:t>
            </w:r>
          </w:p>
        </w:tc>
        <w:tc>
          <w:tcPr>
            <w:tcW w:w="1980" w:type="dxa"/>
            <w:gridSpan w:val="4"/>
            <w:tcBorders>
              <w:right w:val="single" w:color="000000" w:sz="6" w:space="0"/>
            </w:tcBorders>
            <w:vAlign w:val="top"/>
          </w:tcPr>
          <w:p w14:paraId="70721599">
            <w:pPr>
              <w:pStyle w:val="6"/>
              <w:spacing w:before="70" w:line="184" w:lineRule="auto"/>
              <w:ind w:left="755"/>
            </w:pPr>
            <w:r>
              <w:rPr>
                <w:spacing w:val="-5"/>
              </w:rPr>
              <w:t>11.366</w:t>
            </w:r>
          </w:p>
        </w:tc>
      </w:tr>
      <w:tr w14:paraId="427F47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0FF616D8">
            <w:pPr>
              <w:rPr>
                <w:rFonts w:ascii="Arial"/>
                <w:sz w:val="21"/>
              </w:rPr>
            </w:pPr>
          </w:p>
        </w:tc>
        <w:tc>
          <w:tcPr>
            <w:tcW w:w="7640" w:type="dxa"/>
            <w:gridSpan w:val="14"/>
            <w:tcBorders>
              <w:right w:val="single" w:color="000000" w:sz="6" w:space="0"/>
            </w:tcBorders>
            <w:vAlign w:val="top"/>
          </w:tcPr>
          <w:p w14:paraId="1B1E6710">
            <w:pPr>
              <w:spacing w:before="39" w:line="193" w:lineRule="auto"/>
              <w:ind w:left="3104"/>
              <w:rPr>
                <w:rFonts w:ascii="仿宋" w:hAnsi="仿宋" w:eastAsia="仿宋" w:cs="仿宋"/>
                <w:sz w:val="18"/>
                <w:szCs w:val="18"/>
              </w:rPr>
            </w:pPr>
            <w:r>
              <w:rPr>
                <w:rFonts w:ascii="仿宋" w:hAnsi="仿宋" w:eastAsia="仿宋" w:cs="仿宋"/>
                <w:b/>
                <w:bCs/>
                <w:spacing w:val="-4"/>
                <w:sz w:val="18"/>
                <w:szCs w:val="18"/>
              </w:rPr>
              <w:t>十二连城乡各路段</w:t>
            </w:r>
          </w:p>
        </w:tc>
      </w:tr>
      <w:tr w14:paraId="715072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08CCACE7">
            <w:pPr>
              <w:rPr>
                <w:rFonts w:ascii="Arial"/>
                <w:sz w:val="21"/>
              </w:rPr>
            </w:pPr>
          </w:p>
        </w:tc>
        <w:tc>
          <w:tcPr>
            <w:tcW w:w="7640" w:type="dxa"/>
            <w:gridSpan w:val="14"/>
            <w:tcBorders>
              <w:right w:val="single" w:color="000000" w:sz="6" w:space="0"/>
            </w:tcBorders>
            <w:vAlign w:val="top"/>
          </w:tcPr>
          <w:p w14:paraId="47CA58AD">
            <w:pPr>
              <w:spacing w:before="39" w:line="193" w:lineRule="auto"/>
              <w:ind w:left="3284"/>
              <w:rPr>
                <w:rFonts w:ascii="仿宋" w:hAnsi="仿宋" w:eastAsia="仿宋" w:cs="仿宋"/>
                <w:sz w:val="18"/>
                <w:szCs w:val="18"/>
              </w:rPr>
            </w:pPr>
            <w:r>
              <w:rPr>
                <w:rFonts w:ascii="仿宋" w:hAnsi="仿宋" w:eastAsia="仿宋" w:cs="仿宋"/>
                <w:spacing w:val="-3"/>
                <w:sz w:val="18"/>
                <w:szCs w:val="18"/>
              </w:rPr>
              <w:t>一、基本指标</w:t>
            </w:r>
          </w:p>
        </w:tc>
      </w:tr>
      <w:tr w14:paraId="736B20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4EDDC4AB">
            <w:pPr>
              <w:rPr>
                <w:rFonts w:ascii="Arial"/>
                <w:sz w:val="21"/>
              </w:rPr>
            </w:pPr>
          </w:p>
        </w:tc>
        <w:tc>
          <w:tcPr>
            <w:tcW w:w="612" w:type="dxa"/>
            <w:vAlign w:val="top"/>
          </w:tcPr>
          <w:p w14:paraId="0C05590A">
            <w:pPr>
              <w:pStyle w:val="6"/>
              <w:spacing w:before="72" w:line="181" w:lineRule="auto"/>
              <w:ind w:left="279"/>
            </w:pPr>
            <w:r>
              <w:t>1</w:t>
            </w:r>
          </w:p>
        </w:tc>
        <w:tc>
          <w:tcPr>
            <w:tcW w:w="4000" w:type="dxa"/>
            <w:gridSpan w:val="7"/>
            <w:vAlign w:val="top"/>
          </w:tcPr>
          <w:p w14:paraId="42F945FA">
            <w:pPr>
              <w:spacing w:before="41" w:line="192" w:lineRule="auto"/>
              <w:ind w:left="1651"/>
              <w:rPr>
                <w:rFonts w:ascii="仿宋" w:hAnsi="仿宋" w:eastAsia="仿宋" w:cs="仿宋"/>
                <w:sz w:val="18"/>
                <w:szCs w:val="18"/>
              </w:rPr>
            </w:pPr>
            <w:r>
              <w:rPr>
                <w:rFonts w:ascii="仿宋" w:hAnsi="仿宋" w:eastAsia="仿宋" w:cs="仿宋"/>
                <w:spacing w:val="-4"/>
                <w:sz w:val="18"/>
                <w:szCs w:val="18"/>
              </w:rPr>
              <w:t>公路等级</w:t>
            </w:r>
          </w:p>
        </w:tc>
        <w:tc>
          <w:tcPr>
            <w:tcW w:w="1048" w:type="dxa"/>
            <w:gridSpan w:val="2"/>
            <w:vAlign w:val="top"/>
          </w:tcPr>
          <w:p w14:paraId="79D73F2C">
            <w:pPr>
              <w:spacing w:before="41" w:line="192" w:lineRule="auto"/>
              <w:ind w:left="448"/>
              <w:rPr>
                <w:rFonts w:ascii="仿宋" w:hAnsi="仿宋" w:eastAsia="仿宋" w:cs="仿宋"/>
                <w:sz w:val="18"/>
                <w:szCs w:val="18"/>
              </w:rPr>
            </w:pPr>
            <w:r>
              <w:rPr>
                <w:rFonts w:ascii="仿宋" w:hAnsi="仿宋" w:eastAsia="仿宋" w:cs="仿宋"/>
                <w:sz w:val="18"/>
                <w:szCs w:val="18"/>
              </w:rPr>
              <w:t>级</w:t>
            </w:r>
          </w:p>
        </w:tc>
        <w:tc>
          <w:tcPr>
            <w:tcW w:w="1980" w:type="dxa"/>
            <w:gridSpan w:val="4"/>
            <w:tcBorders>
              <w:right w:val="single" w:color="000000" w:sz="6" w:space="0"/>
            </w:tcBorders>
            <w:vAlign w:val="top"/>
          </w:tcPr>
          <w:p w14:paraId="790254B1">
            <w:pPr>
              <w:pStyle w:val="6"/>
              <w:spacing w:before="41" w:line="192" w:lineRule="auto"/>
              <w:ind w:left="323"/>
              <w:rPr>
                <w:rFonts w:ascii="仿宋" w:hAnsi="仿宋" w:eastAsia="仿宋" w:cs="仿宋"/>
              </w:rPr>
            </w:pPr>
            <w:r>
              <w:rPr>
                <w:rFonts w:ascii="仿宋" w:hAnsi="仿宋" w:eastAsia="仿宋" w:cs="仿宋"/>
                <w:spacing w:val="-6"/>
              </w:rPr>
              <w:t>四级公路</w:t>
            </w:r>
            <w:r>
              <w:rPr>
                <w:rFonts w:ascii="仿宋" w:hAnsi="仿宋" w:eastAsia="仿宋" w:cs="仿宋"/>
                <w:spacing w:val="12"/>
              </w:rPr>
              <w:t xml:space="preserve"> </w:t>
            </w:r>
            <w:r>
              <w:rPr>
                <w:rFonts w:ascii="仿宋" w:hAnsi="仿宋" w:eastAsia="仿宋" w:cs="仿宋"/>
                <w:spacing w:val="-6"/>
              </w:rPr>
              <w:t>(</w:t>
            </w:r>
            <w:r>
              <w:rPr>
                <w:spacing w:val="-6"/>
              </w:rPr>
              <w:t>Ⅱ</w:t>
            </w:r>
            <w:r>
              <w:rPr>
                <w:rFonts w:ascii="仿宋" w:hAnsi="仿宋" w:eastAsia="仿宋" w:cs="仿宋"/>
                <w:spacing w:val="-6"/>
              </w:rPr>
              <w:t>类）</w:t>
            </w:r>
          </w:p>
        </w:tc>
      </w:tr>
      <w:tr w14:paraId="662902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4DA5DCF4">
            <w:pPr>
              <w:rPr>
                <w:rFonts w:ascii="Arial"/>
                <w:sz w:val="21"/>
              </w:rPr>
            </w:pPr>
          </w:p>
        </w:tc>
        <w:tc>
          <w:tcPr>
            <w:tcW w:w="612" w:type="dxa"/>
            <w:vAlign w:val="top"/>
          </w:tcPr>
          <w:p w14:paraId="65E7601C">
            <w:pPr>
              <w:pStyle w:val="6"/>
              <w:spacing w:before="71" w:line="182" w:lineRule="auto"/>
              <w:ind w:left="261"/>
            </w:pPr>
            <w:r>
              <w:t>2</w:t>
            </w:r>
          </w:p>
        </w:tc>
        <w:tc>
          <w:tcPr>
            <w:tcW w:w="4000" w:type="dxa"/>
            <w:gridSpan w:val="7"/>
            <w:vAlign w:val="top"/>
          </w:tcPr>
          <w:p w14:paraId="58FCB016">
            <w:pPr>
              <w:spacing w:before="39" w:line="193" w:lineRule="auto"/>
              <w:ind w:left="1646"/>
              <w:rPr>
                <w:rFonts w:ascii="仿宋" w:hAnsi="仿宋" w:eastAsia="仿宋" w:cs="仿宋"/>
                <w:sz w:val="18"/>
                <w:szCs w:val="18"/>
              </w:rPr>
            </w:pPr>
            <w:r>
              <w:rPr>
                <w:rFonts w:ascii="仿宋" w:hAnsi="仿宋" w:eastAsia="仿宋" w:cs="仿宋"/>
                <w:spacing w:val="-3"/>
                <w:sz w:val="18"/>
                <w:szCs w:val="18"/>
              </w:rPr>
              <w:t>设计速度</w:t>
            </w:r>
          </w:p>
        </w:tc>
        <w:tc>
          <w:tcPr>
            <w:tcW w:w="1048" w:type="dxa"/>
            <w:gridSpan w:val="2"/>
            <w:vAlign w:val="top"/>
          </w:tcPr>
          <w:p w14:paraId="6F95C71D">
            <w:pPr>
              <w:pStyle w:val="6"/>
              <w:spacing w:before="67" w:line="186" w:lineRule="auto"/>
              <w:ind w:left="341"/>
            </w:pPr>
            <w:r>
              <w:rPr>
                <w:spacing w:val="-1"/>
              </w:rPr>
              <w:t>km/h</w:t>
            </w:r>
          </w:p>
        </w:tc>
        <w:tc>
          <w:tcPr>
            <w:tcW w:w="1980" w:type="dxa"/>
            <w:gridSpan w:val="4"/>
            <w:tcBorders>
              <w:right w:val="single" w:color="000000" w:sz="6" w:space="0"/>
            </w:tcBorders>
            <w:vAlign w:val="top"/>
          </w:tcPr>
          <w:p w14:paraId="5EE4F626">
            <w:pPr>
              <w:pStyle w:val="6"/>
              <w:spacing w:before="71" w:line="182" w:lineRule="auto"/>
              <w:ind w:left="909"/>
            </w:pPr>
            <w:r>
              <w:rPr>
                <w:spacing w:val="-10"/>
              </w:rPr>
              <w:t>15</w:t>
            </w:r>
          </w:p>
        </w:tc>
      </w:tr>
      <w:tr w14:paraId="6C6EED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7BB87848">
            <w:pPr>
              <w:rPr>
                <w:rFonts w:ascii="Arial"/>
                <w:sz w:val="21"/>
              </w:rPr>
            </w:pPr>
          </w:p>
        </w:tc>
        <w:tc>
          <w:tcPr>
            <w:tcW w:w="7640" w:type="dxa"/>
            <w:gridSpan w:val="14"/>
            <w:tcBorders>
              <w:right w:val="single" w:color="000000" w:sz="6" w:space="0"/>
            </w:tcBorders>
            <w:vAlign w:val="top"/>
          </w:tcPr>
          <w:p w14:paraId="3E4B3E1D">
            <w:pPr>
              <w:spacing w:before="41" w:line="191" w:lineRule="auto"/>
              <w:ind w:left="3467"/>
              <w:rPr>
                <w:rFonts w:ascii="仿宋" w:hAnsi="仿宋" w:eastAsia="仿宋" w:cs="仿宋"/>
                <w:sz w:val="18"/>
                <w:szCs w:val="18"/>
              </w:rPr>
            </w:pPr>
            <w:r>
              <w:rPr>
                <w:rFonts w:ascii="仿宋" w:hAnsi="仿宋" w:eastAsia="仿宋" w:cs="仿宋"/>
                <w:spacing w:val="-5"/>
                <w:sz w:val="18"/>
                <w:szCs w:val="18"/>
              </w:rPr>
              <w:t>二、路线</w:t>
            </w:r>
          </w:p>
        </w:tc>
      </w:tr>
      <w:tr w14:paraId="35DE29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10106119">
            <w:pPr>
              <w:rPr>
                <w:rFonts w:ascii="Arial"/>
                <w:sz w:val="21"/>
              </w:rPr>
            </w:pPr>
          </w:p>
        </w:tc>
        <w:tc>
          <w:tcPr>
            <w:tcW w:w="612" w:type="dxa"/>
            <w:vAlign w:val="top"/>
          </w:tcPr>
          <w:p w14:paraId="6640E0C4">
            <w:pPr>
              <w:pStyle w:val="6"/>
              <w:spacing w:before="71" w:line="181" w:lineRule="auto"/>
              <w:ind w:left="265"/>
            </w:pPr>
            <w:r>
              <w:t>3</w:t>
            </w:r>
          </w:p>
        </w:tc>
        <w:tc>
          <w:tcPr>
            <w:tcW w:w="4000" w:type="dxa"/>
            <w:gridSpan w:val="7"/>
            <w:vAlign w:val="top"/>
          </w:tcPr>
          <w:p w14:paraId="3D2C8AF8">
            <w:pPr>
              <w:spacing w:before="40" w:line="192" w:lineRule="auto"/>
              <w:ind w:left="1646"/>
              <w:rPr>
                <w:rFonts w:ascii="仿宋" w:hAnsi="仿宋" w:eastAsia="仿宋" w:cs="仿宋"/>
                <w:sz w:val="18"/>
                <w:szCs w:val="18"/>
              </w:rPr>
            </w:pPr>
            <w:r>
              <w:rPr>
                <w:rFonts w:ascii="仿宋" w:hAnsi="仿宋" w:eastAsia="仿宋" w:cs="仿宋"/>
                <w:spacing w:val="-3"/>
                <w:sz w:val="18"/>
                <w:szCs w:val="18"/>
              </w:rPr>
              <w:t>路线总长</w:t>
            </w:r>
          </w:p>
        </w:tc>
        <w:tc>
          <w:tcPr>
            <w:tcW w:w="1048" w:type="dxa"/>
            <w:gridSpan w:val="2"/>
            <w:vAlign w:val="top"/>
          </w:tcPr>
          <w:p w14:paraId="43AA6C37">
            <w:pPr>
              <w:pStyle w:val="6"/>
              <w:spacing w:before="68" w:line="185" w:lineRule="auto"/>
              <w:ind w:left="411"/>
            </w:pPr>
            <w:r>
              <w:rPr>
                <w:spacing w:val="-1"/>
              </w:rPr>
              <w:t>km</w:t>
            </w:r>
          </w:p>
        </w:tc>
        <w:tc>
          <w:tcPr>
            <w:tcW w:w="1980" w:type="dxa"/>
            <w:gridSpan w:val="4"/>
            <w:tcBorders>
              <w:right w:val="single" w:color="000000" w:sz="6" w:space="0"/>
            </w:tcBorders>
            <w:vAlign w:val="top"/>
          </w:tcPr>
          <w:p w14:paraId="67D544E0">
            <w:pPr>
              <w:pStyle w:val="6"/>
              <w:spacing w:before="71" w:line="181" w:lineRule="auto"/>
              <w:ind w:left="753"/>
            </w:pPr>
            <w:r>
              <w:rPr>
                <w:spacing w:val="-8"/>
              </w:rPr>
              <w:t>15.</w:t>
            </w:r>
            <w:r>
              <w:rPr>
                <w:spacing w:val="-19"/>
              </w:rPr>
              <w:t xml:space="preserve"> </w:t>
            </w:r>
            <w:r>
              <w:rPr>
                <w:spacing w:val="-8"/>
              </w:rPr>
              <w:t>142</w:t>
            </w:r>
          </w:p>
        </w:tc>
      </w:tr>
      <w:tr w14:paraId="180FEE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70BC1417">
            <w:pPr>
              <w:rPr>
                <w:rFonts w:ascii="Arial"/>
                <w:sz w:val="21"/>
              </w:rPr>
            </w:pPr>
          </w:p>
        </w:tc>
        <w:tc>
          <w:tcPr>
            <w:tcW w:w="7640" w:type="dxa"/>
            <w:gridSpan w:val="14"/>
            <w:tcBorders>
              <w:right w:val="single" w:color="000000" w:sz="6" w:space="0"/>
            </w:tcBorders>
            <w:vAlign w:val="top"/>
          </w:tcPr>
          <w:p w14:paraId="4C53311F">
            <w:pPr>
              <w:spacing w:before="42" w:line="191" w:lineRule="auto"/>
              <w:ind w:left="3195"/>
              <w:rPr>
                <w:rFonts w:ascii="仿宋" w:hAnsi="仿宋" w:eastAsia="仿宋" w:cs="仿宋"/>
                <w:sz w:val="18"/>
                <w:szCs w:val="18"/>
              </w:rPr>
            </w:pPr>
            <w:r>
              <w:rPr>
                <w:rFonts w:ascii="仿宋" w:hAnsi="仿宋" w:eastAsia="仿宋" w:cs="仿宋"/>
                <w:spacing w:val="-3"/>
                <w:sz w:val="18"/>
                <w:szCs w:val="18"/>
              </w:rPr>
              <w:t>三、路基、路面</w:t>
            </w:r>
          </w:p>
        </w:tc>
      </w:tr>
      <w:tr w14:paraId="79491D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0" w:hRule="atLeast"/>
        </w:trPr>
        <w:tc>
          <w:tcPr>
            <w:tcW w:w="737" w:type="dxa"/>
            <w:vMerge w:val="continue"/>
            <w:tcBorders>
              <w:top w:val="nil"/>
              <w:left w:val="single" w:color="000000" w:sz="6" w:space="0"/>
              <w:bottom w:val="single" w:color="000000" w:sz="6" w:space="0"/>
            </w:tcBorders>
            <w:vAlign w:val="top"/>
          </w:tcPr>
          <w:p w14:paraId="7490CD81">
            <w:pPr>
              <w:rPr>
                <w:rFonts w:ascii="Arial"/>
                <w:sz w:val="21"/>
              </w:rPr>
            </w:pPr>
          </w:p>
        </w:tc>
        <w:tc>
          <w:tcPr>
            <w:tcW w:w="612" w:type="dxa"/>
            <w:tcBorders>
              <w:bottom w:val="single" w:color="000000" w:sz="6" w:space="0"/>
            </w:tcBorders>
            <w:vAlign w:val="top"/>
          </w:tcPr>
          <w:p w14:paraId="4B1CAD68">
            <w:pPr>
              <w:pStyle w:val="6"/>
              <w:spacing w:before="72" w:line="188" w:lineRule="auto"/>
              <w:ind w:left="260"/>
            </w:pPr>
            <w:r>
              <w:t>4</w:t>
            </w:r>
          </w:p>
        </w:tc>
        <w:tc>
          <w:tcPr>
            <w:tcW w:w="4000" w:type="dxa"/>
            <w:gridSpan w:val="7"/>
            <w:tcBorders>
              <w:bottom w:val="single" w:color="000000" w:sz="6" w:space="0"/>
            </w:tcBorders>
            <w:vAlign w:val="top"/>
          </w:tcPr>
          <w:p w14:paraId="23C2242D">
            <w:pPr>
              <w:spacing w:before="41" w:line="204" w:lineRule="auto"/>
              <w:ind w:left="1646"/>
              <w:rPr>
                <w:rFonts w:ascii="仿宋" w:hAnsi="仿宋" w:eastAsia="仿宋" w:cs="仿宋"/>
                <w:sz w:val="18"/>
                <w:szCs w:val="18"/>
              </w:rPr>
            </w:pPr>
            <w:r>
              <w:rPr>
                <w:rFonts w:ascii="仿宋" w:hAnsi="仿宋" w:eastAsia="仿宋" w:cs="仿宋"/>
                <w:spacing w:val="-3"/>
                <w:sz w:val="18"/>
                <w:szCs w:val="18"/>
              </w:rPr>
              <w:t>路基宽度</w:t>
            </w:r>
          </w:p>
        </w:tc>
        <w:tc>
          <w:tcPr>
            <w:tcW w:w="1048" w:type="dxa"/>
            <w:gridSpan w:val="2"/>
            <w:tcBorders>
              <w:bottom w:val="single" w:color="000000" w:sz="6" w:space="0"/>
            </w:tcBorders>
            <w:vAlign w:val="top"/>
          </w:tcPr>
          <w:p w14:paraId="209F8500">
            <w:pPr>
              <w:pStyle w:val="6"/>
              <w:spacing w:before="111" w:line="123" w:lineRule="exact"/>
              <w:ind w:left="457"/>
            </w:pPr>
            <w:r>
              <w:t>m</w:t>
            </w:r>
          </w:p>
        </w:tc>
        <w:tc>
          <w:tcPr>
            <w:tcW w:w="1980" w:type="dxa"/>
            <w:gridSpan w:val="4"/>
            <w:tcBorders>
              <w:bottom w:val="single" w:color="000000" w:sz="6" w:space="0"/>
              <w:right w:val="single" w:color="000000" w:sz="6" w:space="0"/>
            </w:tcBorders>
            <w:vAlign w:val="top"/>
          </w:tcPr>
          <w:p w14:paraId="2621368E">
            <w:pPr>
              <w:pStyle w:val="6"/>
              <w:spacing w:before="72" w:line="188" w:lineRule="auto"/>
              <w:ind w:left="869"/>
            </w:pPr>
            <w:r>
              <w:rPr>
                <w:spacing w:val="-1"/>
              </w:rPr>
              <w:t>4.5</w:t>
            </w:r>
          </w:p>
        </w:tc>
      </w:tr>
    </w:tbl>
    <w:p w14:paraId="0C9C3776">
      <w:pPr>
        <w:pStyle w:val="2"/>
        <w:rPr>
          <w:sz w:val="21"/>
        </w:rPr>
      </w:pPr>
    </w:p>
    <w:p w14:paraId="0E3AD95E">
      <w:pPr>
        <w:rPr>
          <w:sz w:val="21"/>
          <w:szCs w:val="21"/>
        </w:rPr>
        <w:sectPr>
          <w:footerReference r:id="rId26" w:type="default"/>
          <w:pgSz w:w="11907" w:h="16840"/>
          <w:pgMar w:top="400" w:right="1757" w:bottom="1446" w:left="1757" w:header="0" w:footer="1284" w:gutter="0"/>
          <w:cols w:space="720" w:num="1"/>
        </w:sectPr>
      </w:pPr>
    </w:p>
    <w:p w14:paraId="10D5CF55">
      <w:pPr>
        <w:spacing w:before="19"/>
      </w:pPr>
    </w:p>
    <w:p w14:paraId="5A554453">
      <w:pPr>
        <w:spacing w:before="19"/>
      </w:pPr>
    </w:p>
    <w:p w14:paraId="791C7A71">
      <w:pPr>
        <w:spacing w:before="18"/>
      </w:pPr>
    </w:p>
    <w:p w14:paraId="734A93AA">
      <w:pPr>
        <w:spacing w:before="18"/>
      </w:pPr>
    </w:p>
    <w:tbl>
      <w:tblPr>
        <w:tblStyle w:val="5"/>
        <w:tblW w:w="8377"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7"/>
        <w:gridCol w:w="612"/>
        <w:gridCol w:w="2000"/>
        <w:gridCol w:w="2000"/>
        <w:gridCol w:w="1048"/>
        <w:gridCol w:w="1980"/>
      </w:tblGrid>
      <w:tr w14:paraId="35ECF1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2" w:hRule="atLeast"/>
        </w:trPr>
        <w:tc>
          <w:tcPr>
            <w:tcW w:w="737" w:type="dxa"/>
            <w:vMerge w:val="restart"/>
            <w:tcBorders>
              <w:top w:val="single" w:color="000000" w:sz="6" w:space="0"/>
              <w:left w:val="single" w:color="000000" w:sz="6" w:space="0"/>
              <w:bottom w:val="nil"/>
            </w:tcBorders>
            <w:vAlign w:val="top"/>
          </w:tcPr>
          <w:p w14:paraId="0AD0CA82">
            <w:pPr>
              <w:rPr>
                <w:rFonts w:ascii="Arial"/>
                <w:sz w:val="21"/>
              </w:rPr>
            </w:pPr>
          </w:p>
        </w:tc>
        <w:tc>
          <w:tcPr>
            <w:tcW w:w="612" w:type="dxa"/>
            <w:tcBorders>
              <w:top w:val="single" w:color="000000" w:sz="6" w:space="0"/>
            </w:tcBorders>
            <w:vAlign w:val="top"/>
          </w:tcPr>
          <w:p w14:paraId="4D2047BA">
            <w:pPr>
              <w:pStyle w:val="6"/>
              <w:spacing w:before="86" w:line="185" w:lineRule="auto"/>
              <w:ind w:left="266"/>
            </w:pPr>
            <w:r>
              <w:t>5</w:t>
            </w:r>
          </w:p>
        </w:tc>
        <w:tc>
          <w:tcPr>
            <w:tcW w:w="4000" w:type="dxa"/>
            <w:gridSpan w:val="2"/>
            <w:tcBorders>
              <w:top w:val="single" w:color="000000" w:sz="6" w:space="0"/>
            </w:tcBorders>
            <w:vAlign w:val="top"/>
          </w:tcPr>
          <w:p w14:paraId="44489EA4">
            <w:pPr>
              <w:spacing w:before="52" w:line="205" w:lineRule="auto"/>
              <w:ind w:left="1557"/>
              <w:rPr>
                <w:rFonts w:ascii="仿宋" w:hAnsi="仿宋" w:eastAsia="仿宋" w:cs="仿宋"/>
                <w:sz w:val="18"/>
                <w:szCs w:val="18"/>
              </w:rPr>
            </w:pPr>
            <w:r>
              <w:rPr>
                <w:rFonts w:ascii="仿宋" w:hAnsi="仿宋" w:eastAsia="仿宋" w:cs="仿宋"/>
                <w:spacing w:val="-3"/>
                <w:sz w:val="18"/>
                <w:szCs w:val="18"/>
              </w:rPr>
              <w:t>行车道宽度</w:t>
            </w:r>
          </w:p>
        </w:tc>
        <w:tc>
          <w:tcPr>
            <w:tcW w:w="1048" w:type="dxa"/>
            <w:tcBorders>
              <w:top w:val="single" w:color="000000" w:sz="6" w:space="0"/>
            </w:tcBorders>
            <w:vAlign w:val="top"/>
          </w:tcPr>
          <w:p w14:paraId="5D8B97C7">
            <w:pPr>
              <w:spacing w:before="52" w:line="205" w:lineRule="auto"/>
              <w:ind w:left="448"/>
              <w:rPr>
                <w:rFonts w:ascii="仿宋" w:hAnsi="仿宋" w:eastAsia="仿宋" w:cs="仿宋"/>
                <w:sz w:val="18"/>
                <w:szCs w:val="18"/>
              </w:rPr>
            </w:pPr>
            <w:r>
              <w:rPr>
                <w:rFonts w:ascii="仿宋" w:hAnsi="仿宋" w:eastAsia="仿宋" w:cs="仿宋"/>
                <w:sz w:val="18"/>
                <w:szCs w:val="18"/>
              </w:rPr>
              <w:t>米</w:t>
            </w:r>
          </w:p>
        </w:tc>
        <w:tc>
          <w:tcPr>
            <w:tcW w:w="1980" w:type="dxa"/>
            <w:tcBorders>
              <w:top w:val="single" w:color="000000" w:sz="6" w:space="0"/>
              <w:right w:val="single" w:color="000000" w:sz="6" w:space="0"/>
            </w:tcBorders>
            <w:vAlign w:val="top"/>
          </w:tcPr>
          <w:p w14:paraId="0351E759">
            <w:pPr>
              <w:pStyle w:val="6"/>
              <w:spacing w:before="83" w:line="188" w:lineRule="auto"/>
              <w:ind w:left="874"/>
            </w:pPr>
            <w:r>
              <w:rPr>
                <w:spacing w:val="-2"/>
              </w:rPr>
              <w:t>3.5</w:t>
            </w:r>
          </w:p>
        </w:tc>
      </w:tr>
      <w:tr w14:paraId="1C2F12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0D1A818E">
            <w:pPr>
              <w:rPr>
                <w:rFonts w:ascii="Arial"/>
                <w:sz w:val="21"/>
              </w:rPr>
            </w:pPr>
          </w:p>
        </w:tc>
        <w:tc>
          <w:tcPr>
            <w:tcW w:w="612" w:type="dxa"/>
            <w:vMerge w:val="restart"/>
            <w:tcBorders>
              <w:bottom w:val="nil"/>
            </w:tcBorders>
            <w:vAlign w:val="top"/>
          </w:tcPr>
          <w:p w14:paraId="5637CFE2">
            <w:pPr>
              <w:pStyle w:val="6"/>
              <w:spacing w:before="178" w:line="188" w:lineRule="auto"/>
              <w:ind w:left="265"/>
            </w:pPr>
            <w:r>
              <w:t>6</w:t>
            </w:r>
          </w:p>
        </w:tc>
        <w:tc>
          <w:tcPr>
            <w:tcW w:w="4000" w:type="dxa"/>
            <w:gridSpan w:val="2"/>
            <w:vMerge w:val="restart"/>
            <w:tcBorders>
              <w:bottom w:val="nil"/>
            </w:tcBorders>
            <w:vAlign w:val="top"/>
          </w:tcPr>
          <w:p w14:paraId="65EDF83D">
            <w:pPr>
              <w:spacing w:before="150" w:line="222" w:lineRule="auto"/>
              <w:ind w:left="1646"/>
              <w:rPr>
                <w:rFonts w:ascii="仿宋" w:hAnsi="仿宋" w:eastAsia="仿宋" w:cs="仿宋"/>
                <w:sz w:val="18"/>
                <w:szCs w:val="18"/>
              </w:rPr>
            </w:pPr>
            <w:r>
              <w:rPr>
                <w:rFonts w:ascii="仿宋" w:hAnsi="仿宋" w:eastAsia="仿宋" w:cs="仿宋"/>
                <w:spacing w:val="-3"/>
                <w:sz w:val="18"/>
                <w:szCs w:val="18"/>
              </w:rPr>
              <w:t>路基排水</w:t>
            </w:r>
          </w:p>
        </w:tc>
        <w:tc>
          <w:tcPr>
            <w:tcW w:w="1048" w:type="dxa"/>
            <w:vMerge w:val="restart"/>
            <w:tcBorders>
              <w:bottom w:val="nil"/>
            </w:tcBorders>
            <w:vAlign w:val="top"/>
          </w:tcPr>
          <w:p w14:paraId="5D07894A">
            <w:pPr>
              <w:spacing w:before="150" w:line="222" w:lineRule="auto"/>
              <w:ind w:left="270"/>
              <w:rPr>
                <w:rFonts w:ascii="仿宋" w:hAnsi="仿宋" w:eastAsia="仿宋" w:cs="仿宋"/>
                <w:sz w:val="18"/>
                <w:szCs w:val="18"/>
              </w:rPr>
            </w:pPr>
            <w:r>
              <w:rPr>
                <w:rFonts w:ascii="仿宋" w:hAnsi="仿宋" w:eastAsia="仿宋" w:cs="仿宋"/>
                <w:spacing w:val="-6"/>
                <w:sz w:val="18"/>
                <w:szCs w:val="18"/>
              </w:rPr>
              <w:t>立方米</w:t>
            </w:r>
          </w:p>
        </w:tc>
        <w:tc>
          <w:tcPr>
            <w:tcW w:w="1980" w:type="dxa"/>
            <w:tcBorders>
              <w:right w:val="single" w:color="000000" w:sz="6" w:space="0"/>
            </w:tcBorders>
            <w:vAlign w:val="top"/>
          </w:tcPr>
          <w:p w14:paraId="2099304B">
            <w:pPr>
              <w:pStyle w:val="6"/>
              <w:spacing w:before="27" w:line="206" w:lineRule="auto"/>
              <w:ind w:left="567"/>
            </w:pPr>
            <w:r>
              <w:rPr>
                <w:rFonts w:ascii="仿宋" w:hAnsi="仿宋" w:eastAsia="仿宋" w:cs="仿宋"/>
                <w:spacing w:val="-3"/>
              </w:rPr>
              <w:t>边沟：</w:t>
            </w:r>
            <w:r>
              <w:rPr>
                <w:spacing w:val="-3"/>
              </w:rPr>
              <w:t>66.4</w:t>
            </w:r>
          </w:p>
        </w:tc>
      </w:tr>
      <w:tr w14:paraId="7375EB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17A555E2">
            <w:pPr>
              <w:rPr>
                <w:rFonts w:ascii="Arial"/>
                <w:sz w:val="21"/>
              </w:rPr>
            </w:pPr>
          </w:p>
        </w:tc>
        <w:tc>
          <w:tcPr>
            <w:tcW w:w="612" w:type="dxa"/>
            <w:vMerge w:val="continue"/>
            <w:tcBorders>
              <w:top w:val="nil"/>
            </w:tcBorders>
            <w:vAlign w:val="top"/>
          </w:tcPr>
          <w:p w14:paraId="0FE1C7F3">
            <w:pPr>
              <w:rPr>
                <w:rFonts w:ascii="Arial"/>
                <w:sz w:val="21"/>
              </w:rPr>
            </w:pPr>
          </w:p>
        </w:tc>
        <w:tc>
          <w:tcPr>
            <w:tcW w:w="4000" w:type="dxa"/>
            <w:gridSpan w:val="2"/>
            <w:vMerge w:val="continue"/>
            <w:tcBorders>
              <w:top w:val="nil"/>
            </w:tcBorders>
            <w:vAlign w:val="top"/>
          </w:tcPr>
          <w:p w14:paraId="41EB4BCD">
            <w:pPr>
              <w:rPr>
                <w:rFonts w:ascii="Arial"/>
                <w:sz w:val="21"/>
              </w:rPr>
            </w:pPr>
          </w:p>
        </w:tc>
        <w:tc>
          <w:tcPr>
            <w:tcW w:w="1048" w:type="dxa"/>
            <w:vMerge w:val="continue"/>
            <w:tcBorders>
              <w:top w:val="nil"/>
            </w:tcBorders>
            <w:vAlign w:val="top"/>
          </w:tcPr>
          <w:p w14:paraId="25FA34FC">
            <w:pPr>
              <w:rPr>
                <w:rFonts w:ascii="Arial"/>
                <w:sz w:val="21"/>
              </w:rPr>
            </w:pPr>
          </w:p>
        </w:tc>
        <w:tc>
          <w:tcPr>
            <w:tcW w:w="1980" w:type="dxa"/>
            <w:tcBorders>
              <w:right w:val="single" w:color="000000" w:sz="6" w:space="0"/>
            </w:tcBorders>
            <w:vAlign w:val="top"/>
          </w:tcPr>
          <w:p w14:paraId="0AA5D504">
            <w:pPr>
              <w:pStyle w:val="6"/>
              <w:spacing w:before="29" w:line="204" w:lineRule="auto"/>
              <w:ind w:left="516"/>
            </w:pPr>
            <w:r>
              <w:rPr>
                <w:rFonts w:ascii="仿宋" w:hAnsi="仿宋" w:eastAsia="仿宋" w:cs="仿宋"/>
                <w:spacing w:val="-2"/>
              </w:rPr>
              <w:t>排水沟：</w:t>
            </w:r>
            <w:r>
              <w:rPr>
                <w:spacing w:val="-2"/>
              </w:rPr>
              <w:t>7.8</w:t>
            </w:r>
          </w:p>
        </w:tc>
      </w:tr>
      <w:tr w14:paraId="7C9BF0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7A9FBAB7">
            <w:pPr>
              <w:rPr>
                <w:rFonts w:ascii="Arial"/>
                <w:sz w:val="21"/>
              </w:rPr>
            </w:pPr>
          </w:p>
        </w:tc>
        <w:tc>
          <w:tcPr>
            <w:tcW w:w="612" w:type="dxa"/>
            <w:vMerge w:val="restart"/>
            <w:tcBorders>
              <w:bottom w:val="nil"/>
            </w:tcBorders>
            <w:vAlign w:val="top"/>
          </w:tcPr>
          <w:p w14:paraId="18BEEDBD">
            <w:pPr>
              <w:pStyle w:val="6"/>
              <w:spacing w:before="182" w:line="185" w:lineRule="auto"/>
              <w:ind w:left="264"/>
            </w:pPr>
            <w:r>
              <w:t>7</w:t>
            </w:r>
          </w:p>
        </w:tc>
        <w:tc>
          <w:tcPr>
            <w:tcW w:w="2000" w:type="dxa"/>
            <w:vMerge w:val="restart"/>
            <w:tcBorders>
              <w:bottom w:val="nil"/>
            </w:tcBorders>
            <w:vAlign w:val="top"/>
          </w:tcPr>
          <w:p w14:paraId="5FBDAF71">
            <w:pPr>
              <w:spacing w:before="151" w:line="223" w:lineRule="auto"/>
              <w:ind w:left="645"/>
              <w:rPr>
                <w:rFonts w:ascii="仿宋" w:hAnsi="仿宋" w:eastAsia="仿宋" w:cs="仿宋"/>
                <w:sz w:val="18"/>
                <w:szCs w:val="18"/>
              </w:rPr>
            </w:pPr>
            <w:r>
              <w:rPr>
                <w:rFonts w:ascii="仿宋" w:hAnsi="仿宋" w:eastAsia="仿宋" w:cs="仿宋"/>
                <w:spacing w:val="-3"/>
                <w:sz w:val="18"/>
                <w:szCs w:val="18"/>
              </w:rPr>
              <w:t>路面面积</w:t>
            </w:r>
          </w:p>
        </w:tc>
        <w:tc>
          <w:tcPr>
            <w:tcW w:w="2000" w:type="dxa"/>
            <w:vAlign w:val="top"/>
          </w:tcPr>
          <w:p w14:paraId="20A19C86">
            <w:pPr>
              <w:spacing w:before="29" w:line="205" w:lineRule="auto"/>
              <w:ind w:left="558"/>
              <w:rPr>
                <w:rFonts w:ascii="仿宋" w:hAnsi="仿宋" w:eastAsia="仿宋" w:cs="仿宋"/>
                <w:sz w:val="18"/>
                <w:szCs w:val="18"/>
              </w:rPr>
            </w:pPr>
            <w:r>
              <w:rPr>
                <w:rFonts w:ascii="仿宋" w:hAnsi="仿宋" w:eastAsia="仿宋" w:cs="仿宋"/>
                <w:spacing w:val="-3"/>
                <w:sz w:val="18"/>
                <w:szCs w:val="18"/>
              </w:rPr>
              <w:t>水泥混凝土</w:t>
            </w:r>
          </w:p>
        </w:tc>
        <w:tc>
          <w:tcPr>
            <w:tcW w:w="1048" w:type="dxa"/>
            <w:vAlign w:val="top"/>
          </w:tcPr>
          <w:p w14:paraId="7B1DE8EF">
            <w:pPr>
              <w:pStyle w:val="6"/>
              <w:spacing w:before="44" w:line="206" w:lineRule="auto"/>
              <w:ind w:left="265"/>
              <w:rPr>
                <w:sz w:val="11"/>
                <w:szCs w:val="11"/>
              </w:rPr>
            </w:pPr>
            <w:r>
              <w:rPr>
                <w:spacing w:val="-3"/>
              </w:rPr>
              <w:t>1000m</w:t>
            </w:r>
            <w:r>
              <w:rPr>
                <w:spacing w:val="-3"/>
                <w:position w:val="5"/>
                <w:sz w:val="11"/>
                <w:szCs w:val="11"/>
              </w:rPr>
              <w:t>2</w:t>
            </w:r>
          </w:p>
        </w:tc>
        <w:tc>
          <w:tcPr>
            <w:tcW w:w="1980" w:type="dxa"/>
            <w:tcBorders>
              <w:right w:val="single" w:color="000000" w:sz="6" w:space="0"/>
            </w:tcBorders>
            <w:vAlign w:val="top"/>
          </w:tcPr>
          <w:p w14:paraId="679BF2A4">
            <w:pPr>
              <w:pStyle w:val="6"/>
              <w:spacing w:before="60" w:line="188" w:lineRule="auto"/>
              <w:ind w:left="735"/>
            </w:pPr>
            <w:r>
              <w:rPr>
                <w:spacing w:val="-1"/>
              </w:rPr>
              <w:t>48.683</w:t>
            </w:r>
          </w:p>
        </w:tc>
      </w:tr>
      <w:tr w14:paraId="752391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6DFB35C5">
            <w:pPr>
              <w:rPr>
                <w:rFonts w:ascii="Arial"/>
                <w:sz w:val="21"/>
              </w:rPr>
            </w:pPr>
          </w:p>
        </w:tc>
        <w:tc>
          <w:tcPr>
            <w:tcW w:w="612" w:type="dxa"/>
            <w:vMerge w:val="continue"/>
            <w:tcBorders>
              <w:top w:val="nil"/>
            </w:tcBorders>
            <w:vAlign w:val="top"/>
          </w:tcPr>
          <w:p w14:paraId="524F78FD">
            <w:pPr>
              <w:rPr>
                <w:rFonts w:ascii="Arial"/>
                <w:sz w:val="21"/>
              </w:rPr>
            </w:pPr>
          </w:p>
        </w:tc>
        <w:tc>
          <w:tcPr>
            <w:tcW w:w="2000" w:type="dxa"/>
            <w:vMerge w:val="continue"/>
            <w:tcBorders>
              <w:top w:val="nil"/>
            </w:tcBorders>
            <w:vAlign w:val="top"/>
          </w:tcPr>
          <w:p w14:paraId="1C70B0D9">
            <w:pPr>
              <w:rPr>
                <w:rFonts w:ascii="Arial"/>
                <w:sz w:val="21"/>
              </w:rPr>
            </w:pPr>
          </w:p>
        </w:tc>
        <w:tc>
          <w:tcPr>
            <w:tcW w:w="2000" w:type="dxa"/>
            <w:vAlign w:val="top"/>
          </w:tcPr>
          <w:p w14:paraId="6E24FFE0">
            <w:pPr>
              <w:spacing w:before="27" w:line="206" w:lineRule="auto"/>
              <w:ind w:left="560"/>
              <w:rPr>
                <w:rFonts w:ascii="仿宋" w:hAnsi="仿宋" w:eastAsia="仿宋" w:cs="仿宋"/>
                <w:sz w:val="18"/>
                <w:szCs w:val="18"/>
              </w:rPr>
            </w:pPr>
            <w:r>
              <w:rPr>
                <w:rFonts w:ascii="仿宋" w:hAnsi="仿宋" w:eastAsia="仿宋" w:cs="仿宋"/>
                <w:spacing w:val="-3"/>
                <w:sz w:val="18"/>
                <w:szCs w:val="18"/>
              </w:rPr>
              <w:t>未筛分碎石</w:t>
            </w:r>
          </w:p>
        </w:tc>
        <w:tc>
          <w:tcPr>
            <w:tcW w:w="1048" w:type="dxa"/>
            <w:vAlign w:val="top"/>
          </w:tcPr>
          <w:p w14:paraId="45739D7E">
            <w:pPr>
              <w:pStyle w:val="6"/>
              <w:spacing w:before="42" w:line="206" w:lineRule="auto"/>
              <w:ind w:left="265"/>
              <w:rPr>
                <w:sz w:val="11"/>
                <w:szCs w:val="11"/>
              </w:rPr>
            </w:pPr>
            <w:r>
              <w:rPr>
                <w:spacing w:val="-3"/>
              </w:rPr>
              <w:t>1000m</w:t>
            </w:r>
            <w:r>
              <w:rPr>
                <w:spacing w:val="-3"/>
                <w:position w:val="5"/>
                <w:sz w:val="11"/>
                <w:szCs w:val="11"/>
              </w:rPr>
              <w:t>2</w:t>
            </w:r>
          </w:p>
        </w:tc>
        <w:tc>
          <w:tcPr>
            <w:tcW w:w="1980" w:type="dxa"/>
            <w:tcBorders>
              <w:right w:val="single" w:color="000000" w:sz="6" w:space="0"/>
            </w:tcBorders>
            <w:vAlign w:val="top"/>
          </w:tcPr>
          <w:p w14:paraId="2B4728AB">
            <w:pPr>
              <w:pStyle w:val="6"/>
              <w:spacing w:before="58" w:line="188" w:lineRule="auto"/>
              <w:ind w:left="740"/>
            </w:pPr>
            <w:r>
              <w:rPr>
                <w:spacing w:val="-2"/>
              </w:rPr>
              <w:t>62.592</w:t>
            </w:r>
          </w:p>
        </w:tc>
      </w:tr>
      <w:tr w14:paraId="031044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385AE4B0">
            <w:pPr>
              <w:rPr>
                <w:rFonts w:ascii="Arial"/>
                <w:sz w:val="21"/>
              </w:rPr>
            </w:pPr>
          </w:p>
        </w:tc>
        <w:tc>
          <w:tcPr>
            <w:tcW w:w="7640" w:type="dxa"/>
            <w:gridSpan w:val="5"/>
            <w:tcBorders>
              <w:right w:val="single" w:color="000000" w:sz="6" w:space="0"/>
            </w:tcBorders>
            <w:vAlign w:val="top"/>
          </w:tcPr>
          <w:p w14:paraId="74CFBC04">
            <w:pPr>
              <w:spacing w:before="29" w:line="205" w:lineRule="auto"/>
              <w:ind w:left="3211"/>
              <w:rPr>
                <w:rFonts w:ascii="仿宋" w:hAnsi="仿宋" w:eastAsia="仿宋" w:cs="仿宋"/>
                <w:sz w:val="18"/>
                <w:szCs w:val="18"/>
              </w:rPr>
            </w:pPr>
            <w:r>
              <w:rPr>
                <w:rFonts w:ascii="仿宋" w:hAnsi="仿宋" w:eastAsia="仿宋" w:cs="仿宋"/>
                <w:spacing w:val="-5"/>
                <w:sz w:val="18"/>
                <w:szCs w:val="18"/>
              </w:rPr>
              <w:t>四、桥梁、涵洞</w:t>
            </w:r>
          </w:p>
        </w:tc>
      </w:tr>
      <w:tr w14:paraId="483CB7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7039ADAF">
            <w:pPr>
              <w:rPr>
                <w:rFonts w:ascii="Arial"/>
                <w:sz w:val="21"/>
              </w:rPr>
            </w:pPr>
          </w:p>
        </w:tc>
        <w:tc>
          <w:tcPr>
            <w:tcW w:w="612" w:type="dxa"/>
            <w:vAlign w:val="top"/>
          </w:tcPr>
          <w:p w14:paraId="59D220D7">
            <w:pPr>
              <w:pStyle w:val="6"/>
              <w:spacing w:before="58" w:line="188" w:lineRule="auto"/>
              <w:ind w:left="268"/>
            </w:pPr>
            <w:r>
              <w:t>8</w:t>
            </w:r>
          </w:p>
        </w:tc>
        <w:tc>
          <w:tcPr>
            <w:tcW w:w="4000" w:type="dxa"/>
            <w:gridSpan w:val="2"/>
            <w:vAlign w:val="top"/>
          </w:tcPr>
          <w:p w14:paraId="55C368B5">
            <w:pPr>
              <w:spacing w:before="27" w:line="206" w:lineRule="auto"/>
              <w:ind w:left="1466"/>
              <w:rPr>
                <w:rFonts w:ascii="仿宋" w:hAnsi="仿宋" w:eastAsia="仿宋" w:cs="仿宋"/>
                <w:sz w:val="18"/>
                <w:szCs w:val="18"/>
              </w:rPr>
            </w:pPr>
            <w:r>
              <w:rPr>
                <w:rFonts w:ascii="仿宋" w:hAnsi="仿宋" w:eastAsia="仿宋" w:cs="仿宋"/>
                <w:spacing w:val="-2"/>
                <w:sz w:val="18"/>
                <w:szCs w:val="18"/>
              </w:rPr>
              <w:t>设计荷载等级</w:t>
            </w:r>
          </w:p>
        </w:tc>
        <w:tc>
          <w:tcPr>
            <w:tcW w:w="1048" w:type="dxa"/>
            <w:vAlign w:val="top"/>
          </w:tcPr>
          <w:p w14:paraId="7892ED58">
            <w:pPr>
              <w:spacing w:line="228" w:lineRule="exact"/>
              <w:rPr>
                <w:rFonts w:ascii="Arial"/>
                <w:sz w:val="19"/>
              </w:rPr>
            </w:pPr>
          </w:p>
        </w:tc>
        <w:tc>
          <w:tcPr>
            <w:tcW w:w="1980" w:type="dxa"/>
            <w:tcBorders>
              <w:right w:val="single" w:color="000000" w:sz="6" w:space="0"/>
            </w:tcBorders>
            <w:vAlign w:val="top"/>
          </w:tcPr>
          <w:p w14:paraId="46E14D43">
            <w:pPr>
              <w:pStyle w:val="6"/>
              <w:spacing w:before="27" w:line="206" w:lineRule="auto"/>
              <w:ind w:left="635"/>
              <w:rPr>
                <w:rFonts w:ascii="仿宋" w:hAnsi="仿宋" w:eastAsia="仿宋" w:cs="仿宋"/>
              </w:rPr>
            </w:pPr>
            <w:r>
              <w:rPr>
                <w:rFonts w:ascii="仿宋" w:hAnsi="仿宋" w:eastAsia="仿宋" w:cs="仿宋"/>
                <w:spacing w:val="-3"/>
              </w:rPr>
              <w:t>公路</w:t>
            </w:r>
            <w:r>
              <w:rPr>
                <w:spacing w:val="-3"/>
              </w:rPr>
              <w:t>-Ⅱ</w:t>
            </w:r>
            <w:r>
              <w:rPr>
                <w:rFonts w:ascii="仿宋" w:hAnsi="仿宋" w:eastAsia="仿宋" w:cs="仿宋"/>
                <w:spacing w:val="-3"/>
              </w:rPr>
              <w:t>级</w:t>
            </w:r>
          </w:p>
        </w:tc>
      </w:tr>
      <w:tr w14:paraId="022C6B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663B2300">
            <w:pPr>
              <w:rPr>
                <w:rFonts w:ascii="Arial"/>
                <w:sz w:val="21"/>
              </w:rPr>
            </w:pPr>
          </w:p>
        </w:tc>
        <w:tc>
          <w:tcPr>
            <w:tcW w:w="612" w:type="dxa"/>
            <w:vAlign w:val="top"/>
          </w:tcPr>
          <w:p w14:paraId="5215CE28">
            <w:pPr>
              <w:pStyle w:val="6"/>
              <w:spacing w:before="60" w:line="188" w:lineRule="auto"/>
              <w:ind w:left="265"/>
            </w:pPr>
            <w:r>
              <w:t>9</w:t>
            </w:r>
          </w:p>
        </w:tc>
        <w:tc>
          <w:tcPr>
            <w:tcW w:w="4000" w:type="dxa"/>
            <w:gridSpan w:val="2"/>
            <w:vAlign w:val="top"/>
          </w:tcPr>
          <w:p w14:paraId="3C95810C">
            <w:pPr>
              <w:spacing w:before="29" w:line="205" w:lineRule="auto"/>
              <w:ind w:left="1828"/>
              <w:rPr>
                <w:rFonts w:ascii="仿宋" w:hAnsi="仿宋" w:eastAsia="仿宋" w:cs="仿宋"/>
                <w:sz w:val="18"/>
                <w:szCs w:val="18"/>
              </w:rPr>
            </w:pPr>
            <w:r>
              <w:rPr>
                <w:rFonts w:ascii="仿宋" w:hAnsi="仿宋" w:eastAsia="仿宋" w:cs="仿宋"/>
                <w:spacing w:val="-7"/>
                <w:sz w:val="18"/>
                <w:szCs w:val="18"/>
              </w:rPr>
              <w:t>涵洞</w:t>
            </w:r>
          </w:p>
        </w:tc>
        <w:tc>
          <w:tcPr>
            <w:tcW w:w="1048" w:type="dxa"/>
            <w:vAlign w:val="top"/>
          </w:tcPr>
          <w:p w14:paraId="255E06D4">
            <w:pPr>
              <w:spacing w:before="29" w:line="205" w:lineRule="auto"/>
              <w:ind w:left="446"/>
              <w:rPr>
                <w:rFonts w:ascii="仿宋" w:hAnsi="仿宋" w:eastAsia="仿宋" w:cs="仿宋"/>
                <w:sz w:val="18"/>
                <w:szCs w:val="18"/>
              </w:rPr>
            </w:pPr>
            <w:r>
              <w:rPr>
                <w:rFonts w:ascii="仿宋" w:hAnsi="仿宋" w:eastAsia="仿宋" w:cs="仿宋"/>
                <w:sz w:val="18"/>
                <w:szCs w:val="18"/>
              </w:rPr>
              <w:t>道</w:t>
            </w:r>
          </w:p>
        </w:tc>
        <w:tc>
          <w:tcPr>
            <w:tcW w:w="1980" w:type="dxa"/>
            <w:tcBorders>
              <w:right w:val="single" w:color="000000" w:sz="6" w:space="0"/>
            </w:tcBorders>
            <w:vAlign w:val="top"/>
          </w:tcPr>
          <w:p w14:paraId="27D612CD">
            <w:pPr>
              <w:pStyle w:val="6"/>
              <w:spacing w:before="60" w:line="188" w:lineRule="auto"/>
              <w:ind w:left="941"/>
            </w:pPr>
            <w:r>
              <w:t>3</w:t>
            </w:r>
          </w:p>
        </w:tc>
      </w:tr>
      <w:tr w14:paraId="6C002A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01A29678">
            <w:pPr>
              <w:rPr>
                <w:rFonts w:ascii="Arial"/>
                <w:sz w:val="21"/>
              </w:rPr>
            </w:pPr>
          </w:p>
        </w:tc>
        <w:tc>
          <w:tcPr>
            <w:tcW w:w="7640" w:type="dxa"/>
            <w:gridSpan w:val="5"/>
            <w:tcBorders>
              <w:right w:val="single" w:color="000000" w:sz="6" w:space="0"/>
            </w:tcBorders>
            <w:vAlign w:val="top"/>
          </w:tcPr>
          <w:p w14:paraId="163569B0">
            <w:pPr>
              <w:spacing w:before="27" w:line="206" w:lineRule="auto"/>
              <w:ind w:left="3284"/>
              <w:rPr>
                <w:rFonts w:ascii="仿宋" w:hAnsi="仿宋" w:eastAsia="仿宋" w:cs="仿宋"/>
                <w:sz w:val="18"/>
                <w:szCs w:val="18"/>
              </w:rPr>
            </w:pPr>
            <w:r>
              <w:rPr>
                <w:rFonts w:ascii="仿宋" w:hAnsi="仿宋" w:eastAsia="仿宋" w:cs="仿宋"/>
                <w:spacing w:val="-3"/>
                <w:sz w:val="18"/>
                <w:szCs w:val="18"/>
              </w:rPr>
              <w:t>五、路线交叉</w:t>
            </w:r>
          </w:p>
        </w:tc>
      </w:tr>
      <w:tr w14:paraId="1E3BC8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7369BBCB">
            <w:pPr>
              <w:rPr>
                <w:rFonts w:ascii="Arial"/>
                <w:sz w:val="21"/>
              </w:rPr>
            </w:pPr>
          </w:p>
        </w:tc>
        <w:tc>
          <w:tcPr>
            <w:tcW w:w="612" w:type="dxa"/>
            <w:vAlign w:val="top"/>
          </w:tcPr>
          <w:p w14:paraId="4FEB72C7">
            <w:pPr>
              <w:pStyle w:val="6"/>
              <w:spacing w:before="58" w:line="188" w:lineRule="auto"/>
              <w:ind w:left="233"/>
            </w:pPr>
            <w:r>
              <w:rPr>
                <w:spacing w:val="-10"/>
              </w:rPr>
              <w:t>10</w:t>
            </w:r>
          </w:p>
        </w:tc>
        <w:tc>
          <w:tcPr>
            <w:tcW w:w="4000" w:type="dxa"/>
            <w:gridSpan w:val="2"/>
            <w:vAlign w:val="top"/>
          </w:tcPr>
          <w:p w14:paraId="706C11C0">
            <w:pPr>
              <w:spacing w:before="29" w:line="204" w:lineRule="auto"/>
              <w:ind w:left="1647"/>
              <w:rPr>
                <w:rFonts w:ascii="仿宋" w:hAnsi="仿宋" w:eastAsia="仿宋" w:cs="仿宋"/>
                <w:sz w:val="18"/>
                <w:szCs w:val="18"/>
              </w:rPr>
            </w:pPr>
            <w:r>
              <w:rPr>
                <w:rFonts w:ascii="仿宋" w:hAnsi="仿宋" w:eastAsia="仿宋" w:cs="仿宋"/>
                <w:spacing w:val="-3"/>
                <w:sz w:val="18"/>
                <w:szCs w:val="18"/>
              </w:rPr>
              <w:t>平面交叉</w:t>
            </w:r>
          </w:p>
        </w:tc>
        <w:tc>
          <w:tcPr>
            <w:tcW w:w="1048" w:type="dxa"/>
            <w:vAlign w:val="top"/>
          </w:tcPr>
          <w:p w14:paraId="168D8E54">
            <w:pPr>
              <w:spacing w:before="29" w:line="204" w:lineRule="auto"/>
              <w:ind w:left="446"/>
              <w:rPr>
                <w:rFonts w:ascii="仿宋" w:hAnsi="仿宋" w:eastAsia="仿宋" w:cs="仿宋"/>
                <w:sz w:val="18"/>
                <w:szCs w:val="18"/>
              </w:rPr>
            </w:pPr>
            <w:r>
              <w:rPr>
                <w:rFonts w:ascii="仿宋" w:hAnsi="仿宋" w:eastAsia="仿宋" w:cs="仿宋"/>
                <w:sz w:val="18"/>
                <w:szCs w:val="18"/>
              </w:rPr>
              <w:t>处</w:t>
            </w:r>
          </w:p>
        </w:tc>
        <w:tc>
          <w:tcPr>
            <w:tcW w:w="1980" w:type="dxa"/>
            <w:tcBorders>
              <w:right w:val="single" w:color="000000" w:sz="6" w:space="0"/>
            </w:tcBorders>
            <w:vAlign w:val="top"/>
          </w:tcPr>
          <w:p w14:paraId="52F33796">
            <w:pPr>
              <w:pStyle w:val="6"/>
              <w:spacing w:before="58" w:line="188" w:lineRule="auto"/>
              <w:ind w:left="892"/>
            </w:pPr>
            <w:r>
              <w:rPr>
                <w:spacing w:val="-2"/>
              </w:rPr>
              <w:t>29</w:t>
            </w:r>
          </w:p>
        </w:tc>
      </w:tr>
      <w:tr w14:paraId="5A9CFE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48A1E5EA">
            <w:pPr>
              <w:rPr>
                <w:rFonts w:ascii="Arial"/>
                <w:sz w:val="21"/>
              </w:rPr>
            </w:pPr>
          </w:p>
        </w:tc>
        <w:tc>
          <w:tcPr>
            <w:tcW w:w="7640" w:type="dxa"/>
            <w:gridSpan w:val="5"/>
            <w:tcBorders>
              <w:right w:val="single" w:color="000000" w:sz="6" w:space="0"/>
            </w:tcBorders>
            <w:vAlign w:val="top"/>
          </w:tcPr>
          <w:p w14:paraId="4DAF302E">
            <w:pPr>
              <w:spacing w:before="29" w:line="205" w:lineRule="auto"/>
              <w:ind w:left="2832"/>
              <w:rPr>
                <w:rFonts w:ascii="仿宋" w:hAnsi="仿宋" w:eastAsia="仿宋" w:cs="仿宋"/>
                <w:sz w:val="18"/>
                <w:szCs w:val="18"/>
              </w:rPr>
            </w:pPr>
            <w:r>
              <w:rPr>
                <w:rFonts w:ascii="仿宋" w:hAnsi="仿宋" w:eastAsia="仿宋" w:cs="仿宋"/>
                <w:spacing w:val="-2"/>
                <w:sz w:val="18"/>
                <w:szCs w:val="18"/>
              </w:rPr>
              <w:t>六、沿线设施及其他工程</w:t>
            </w:r>
          </w:p>
        </w:tc>
      </w:tr>
      <w:tr w14:paraId="0DEA54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3568D30A">
            <w:pPr>
              <w:rPr>
                <w:rFonts w:ascii="Arial"/>
                <w:sz w:val="21"/>
              </w:rPr>
            </w:pPr>
          </w:p>
        </w:tc>
        <w:tc>
          <w:tcPr>
            <w:tcW w:w="612" w:type="dxa"/>
            <w:vAlign w:val="top"/>
          </w:tcPr>
          <w:p w14:paraId="0CF6A491">
            <w:pPr>
              <w:pStyle w:val="6"/>
              <w:spacing w:before="58" w:line="188" w:lineRule="auto"/>
              <w:ind w:left="238"/>
            </w:pPr>
            <w:r>
              <w:rPr>
                <w:spacing w:val="-11"/>
              </w:rPr>
              <w:t>11</w:t>
            </w:r>
          </w:p>
        </w:tc>
        <w:tc>
          <w:tcPr>
            <w:tcW w:w="4000" w:type="dxa"/>
            <w:gridSpan w:val="2"/>
            <w:vAlign w:val="top"/>
          </w:tcPr>
          <w:p w14:paraId="50DEB11E">
            <w:pPr>
              <w:spacing w:before="27" w:line="206" w:lineRule="auto"/>
              <w:ind w:left="1648"/>
              <w:rPr>
                <w:rFonts w:ascii="仿宋" w:hAnsi="仿宋" w:eastAsia="仿宋" w:cs="仿宋"/>
                <w:sz w:val="18"/>
                <w:szCs w:val="18"/>
              </w:rPr>
            </w:pPr>
            <w:r>
              <w:rPr>
                <w:rFonts w:ascii="仿宋" w:hAnsi="仿宋" w:eastAsia="仿宋" w:cs="仿宋"/>
                <w:spacing w:val="-4"/>
                <w:sz w:val="18"/>
                <w:szCs w:val="18"/>
              </w:rPr>
              <w:t>其他工程</w:t>
            </w:r>
          </w:p>
        </w:tc>
        <w:tc>
          <w:tcPr>
            <w:tcW w:w="1048" w:type="dxa"/>
            <w:vAlign w:val="top"/>
          </w:tcPr>
          <w:p w14:paraId="107AA33C">
            <w:pPr>
              <w:pStyle w:val="6"/>
              <w:spacing w:before="55" w:line="192" w:lineRule="auto"/>
              <w:ind w:left="411"/>
            </w:pPr>
            <w:r>
              <w:rPr>
                <w:spacing w:val="-1"/>
              </w:rPr>
              <w:t>km</w:t>
            </w:r>
          </w:p>
        </w:tc>
        <w:tc>
          <w:tcPr>
            <w:tcW w:w="1980" w:type="dxa"/>
            <w:tcBorders>
              <w:right w:val="single" w:color="000000" w:sz="6" w:space="0"/>
            </w:tcBorders>
            <w:vAlign w:val="top"/>
          </w:tcPr>
          <w:p w14:paraId="7E4F46DA">
            <w:pPr>
              <w:pStyle w:val="6"/>
              <w:spacing w:before="58" w:line="188" w:lineRule="auto"/>
              <w:ind w:left="753"/>
            </w:pPr>
            <w:r>
              <w:rPr>
                <w:spacing w:val="-8"/>
              </w:rPr>
              <w:t>15.</w:t>
            </w:r>
            <w:r>
              <w:rPr>
                <w:spacing w:val="-19"/>
              </w:rPr>
              <w:t xml:space="preserve"> </w:t>
            </w:r>
            <w:r>
              <w:rPr>
                <w:spacing w:val="-8"/>
              </w:rPr>
              <w:t>142</w:t>
            </w:r>
          </w:p>
        </w:tc>
      </w:tr>
      <w:tr w14:paraId="0D097C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2AA15774">
            <w:pPr>
              <w:rPr>
                <w:rFonts w:ascii="Arial"/>
                <w:sz w:val="21"/>
              </w:rPr>
            </w:pPr>
          </w:p>
        </w:tc>
        <w:tc>
          <w:tcPr>
            <w:tcW w:w="7640" w:type="dxa"/>
            <w:gridSpan w:val="5"/>
            <w:tcBorders>
              <w:right w:val="single" w:color="000000" w:sz="6" w:space="0"/>
            </w:tcBorders>
            <w:vAlign w:val="top"/>
          </w:tcPr>
          <w:p w14:paraId="203F8F13">
            <w:pPr>
              <w:spacing w:before="29" w:line="204" w:lineRule="auto"/>
              <w:ind w:left="3285"/>
              <w:rPr>
                <w:rFonts w:ascii="仿宋" w:hAnsi="仿宋" w:eastAsia="仿宋" w:cs="仿宋"/>
                <w:sz w:val="18"/>
                <w:szCs w:val="18"/>
              </w:rPr>
            </w:pPr>
            <w:r>
              <w:rPr>
                <w:rFonts w:ascii="仿宋" w:hAnsi="仿宋" w:eastAsia="仿宋" w:cs="仿宋"/>
                <w:spacing w:val="-3"/>
                <w:sz w:val="18"/>
                <w:szCs w:val="18"/>
              </w:rPr>
              <w:t>七、环境保护</w:t>
            </w:r>
          </w:p>
        </w:tc>
      </w:tr>
      <w:tr w14:paraId="1788C3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10A20C20">
            <w:pPr>
              <w:rPr>
                <w:rFonts w:ascii="Arial"/>
                <w:sz w:val="21"/>
              </w:rPr>
            </w:pPr>
          </w:p>
        </w:tc>
        <w:tc>
          <w:tcPr>
            <w:tcW w:w="612" w:type="dxa"/>
            <w:vAlign w:val="top"/>
          </w:tcPr>
          <w:p w14:paraId="718103D9">
            <w:pPr>
              <w:pStyle w:val="6"/>
              <w:spacing w:before="59" w:line="188" w:lineRule="auto"/>
              <w:ind w:left="233"/>
            </w:pPr>
            <w:r>
              <w:rPr>
                <w:spacing w:val="-10"/>
              </w:rPr>
              <w:t>12</w:t>
            </w:r>
          </w:p>
        </w:tc>
        <w:tc>
          <w:tcPr>
            <w:tcW w:w="4000" w:type="dxa"/>
            <w:gridSpan w:val="2"/>
            <w:vAlign w:val="top"/>
          </w:tcPr>
          <w:p w14:paraId="3040A2C5">
            <w:pPr>
              <w:spacing w:before="28" w:line="205" w:lineRule="auto"/>
              <w:ind w:left="1647"/>
              <w:rPr>
                <w:rFonts w:ascii="仿宋" w:hAnsi="仿宋" w:eastAsia="仿宋" w:cs="仿宋"/>
                <w:sz w:val="18"/>
                <w:szCs w:val="18"/>
              </w:rPr>
            </w:pPr>
            <w:r>
              <w:rPr>
                <w:rFonts w:ascii="仿宋" w:hAnsi="仿宋" w:eastAsia="仿宋" w:cs="仿宋"/>
                <w:spacing w:val="-3"/>
                <w:sz w:val="18"/>
                <w:szCs w:val="18"/>
              </w:rPr>
              <w:t>环境绿化</w:t>
            </w:r>
          </w:p>
        </w:tc>
        <w:tc>
          <w:tcPr>
            <w:tcW w:w="1048" w:type="dxa"/>
            <w:vAlign w:val="top"/>
          </w:tcPr>
          <w:p w14:paraId="033ECB32">
            <w:pPr>
              <w:pStyle w:val="6"/>
              <w:spacing w:before="56" w:line="192" w:lineRule="auto"/>
              <w:ind w:left="411"/>
            </w:pPr>
            <w:r>
              <w:rPr>
                <w:spacing w:val="-1"/>
              </w:rPr>
              <w:t>km</w:t>
            </w:r>
          </w:p>
        </w:tc>
        <w:tc>
          <w:tcPr>
            <w:tcW w:w="1980" w:type="dxa"/>
            <w:tcBorders>
              <w:right w:val="single" w:color="000000" w:sz="6" w:space="0"/>
            </w:tcBorders>
            <w:vAlign w:val="top"/>
          </w:tcPr>
          <w:p w14:paraId="73EDED0A">
            <w:pPr>
              <w:pStyle w:val="6"/>
              <w:spacing w:before="59" w:line="188" w:lineRule="auto"/>
              <w:ind w:left="753"/>
            </w:pPr>
            <w:r>
              <w:rPr>
                <w:spacing w:val="-8"/>
              </w:rPr>
              <w:t>15.</w:t>
            </w:r>
            <w:r>
              <w:rPr>
                <w:spacing w:val="-19"/>
              </w:rPr>
              <w:t xml:space="preserve"> </w:t>
            </w:r>
            <w:r>
              <w:rPr>
                <w:spacing w:val="-8"/>
              </w:rPr>
              <w:t>142</w:t>
            </w:r>
          </w:p>
        </w:tc>
      </w:tr>
      <w:tr w14:paraId="5DC298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6FB69E50">
            <w:pPr>
              <w:rPr>
                <w:rFonts w:ascii="Arial"/>
                <w:sz w:val="21"/>
              </w:rPr>
            </w:pPr>
          </w:p>
        </w:tc>
        <w:tc>
          <w:tcPr>
            <w:tcW w:w="7640" w:type="dxa"/>
            <w:gridSpan w:val="5"/>
            <w:tcBorders>
              <w:right w:val="single" w:color="000000" w:sz="6" w:space="0"/>
            </w:tcBorders>
            <w:vAlign w:val="top"/>
          </w:tcPr>
          <w:p w14:paraId="1421C602">
            <w:pPr>
              <w:spacing w:before="30" w:line="203" w:lineRule="auto"/>
              <w:ind w:left="3460"/>
              <w:rPr>
                <w:rFonts w:ascii="仿宋" w:hAnsi="仿宋" w:eastAsia="仿宋" w:cs="仿宋"/>
                <w:sz w:val="18"/>
                <w:szCs w:val="18"/>
              </w:rPr>
            </w:pPr>
            <w:r>
              <w:rPr>
                <w:rFonts w:ascii="仿宋" w:hAnsi="仿宋" w:eastAsia="仿宋" w:cs="仿宋"/>
                <w:b/>
                <w:bCs/>
                <w:spacing w:val="-5"/>
                <w:sz w:val="18"/>
                <w:szCs w:val="18"/>
              </w:rPr>
              <w:t>其他指标</w:t>
            </w:r>
          </w:p>
        </w:tc>
      </w:tr>
      <w:tr w14:paraId="0FAE96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16BAA354">
            <w:pPr>
              <w:rPr>
                <w:rFonts w:ascii="Arial"/>
                <w:sz w:val="21"/>
              </w:rPr>
            </w:pPr>
          </w:p>
        </w:tc>
        <w:tc>
          <w:tcPr>
            <w:tcW w:w="612" w:type="dxa"/>
            <w:vAlign w:val="top"/>
          </w:tcPr>
          <w:p w14:paraId="19EF5723">
            <w:pPr>
              <w:pStyle w:val="6"/>
              <w:spacing w:before="60" w:line="188" w:lineRule="auto"/>
              <w:ind w:left="279"/>
            </w:pPr>
            <w:r>
              <w:t>1</w:t>
            </w:r>
          </w:p>
        </w:tc>
        <w:tc>
          <w:tcPr>
            <w:tcW w:w="4000" w:type="dxa"/>
            <w:gridSpan w:val="2"/>
            <w:vAlign w:val="top"/>
          </w:tcPr>
          <w:p w14:paraId="72CA9DAE">
            <w:pPr>
              <w:spacing w:before="29" w:line="204" w:lineRule="auto"/>
              <w:ind w:left="1376"/>
              <w:rPr>
                <w:rFonts w:ascii="仿宋" w:hAnsi="仿宋" w:eastAsia="仿宋" w:cs="仿宋"/>
                <w:sz w:val="18"/>
                <w:szCs w:val="18"/>
              </w:rPr>
            </w:pPr>
            <w:r>
              <w:rPr>
                <w:rFonts w:ascii="仿宋" w:hAnsi="仿宋" w:eastAsia="仿宋" w:cs="仿宋"/>
                <w:spacing w:val="-2"/>
                <w:sz w:val="18"/>
                <w:szCs w:val="18"/>
              </w:rPr>
              <w:t>平曲线最小半径</w:t>
            </w:r>
          </w:p>
        </w:tc>
        <w:tc>
          <w:tcPr>
            <w:tcW w:w="1048" w:type="dxa"/>
            <w:vAlign w:val="top"/>
          </w:tcPr>
          <w:p w14:paraId="31E05878">
            <w:pPr>
              <w:pStyle w:val="6"/>
              <w:spacing w:before="100" w:line="123" w:lineRule="exact"/>
              <w:ind w:left="457"/>
            </w:pPr>
            <w:r>
              <w:t>m</w:t>
            </w:r>
          </w:p>
        </w:tc>
        <w:tc>
          <w:tcPr>
            <w:tcW w:w="1980" w:type="dxa"/>
            <w:tcBorders>
              <w:right w:val="single" w:color="000000" w:sz="6" w:space="0"/>
            </w:tcBorders>
            <w:vAlign w:val="top"/>
          </w:tcPr>
          <w:p w14:paraId="6ED4D58F">
            <w:pPr>
              <w:pStyle w:val="6"/>
              <w:spacing w:before="60" w:line="188" w:lineRule="auto"/>
              <w:ind w:left="909"/>
            </w:pPr>
            <w:r>
              <w:rPr>
                <w:spacing w:val="-10"/>
              </w:rPr>
              <w:t>12</w:t>
            </w:r>
          </w:p>
        </w:tc>
      </w:tr>
      <w:tr w14:paraId="0179CD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7E147EEC">
            <w:pPr>
              <w:rPr>
                <w:rFonts w:ascii="Arial"/>
                <w:sz w:val="21"/>
              </w:rPr>
            </w:pPr>
          </w:p>
        </w:tc>
        <w:tc>
          <w:tcPr>
            <w:tcW w:w="612" w:type="dxa"/>
            <w:vAlign w:val="top"/>
          </w:tcPr>
          <w:p w14:paraId="5863E0F5">
            <w:pPr>
              <w:pStyle w:val="6"/>
              <w:spacing w:before="62" w:line="188" w:lineRule="auto"/>
              <w:ind w:left="261"/>
            </w:pPr>
            <w:r>
              <w:t>2</w:t>
            </w:r>
          </w:p>
        </w:tc>
        <w:tc>
          <w:tcPr>
            <w:tcW w:w="4000" w:type="dxa"/>
            <w:gridSpan w:val="2"/>
            <w:vAlign w:val="top"/>
          </w:tcPr>
          <w:p w14:paraId="1239F080">
            <w:pPr>
              <w:spacing w:before="31" w:line="202" w:lineRule="auto"/>
              <w:ind w:left="1652"/>
              <w:rPr>
                <w:rFonts w:ascii="仿宋" w:hAnsi="仿宋" w:eastAsia="仿宋" w:cs="仿宋"/>
                <w:sz w:val="18"/>
                <w:szCs w:val="18"/>
              </w:rPr>
            </w:pPr>
            <w:r>
              <w:rPr>
                <w:rFonts w:ascii="仿宋" w:hAnsi="仿宋" w:eastAsia="仿宋" w:cs="仿宋"/>
                <w:spacing w:val="-5"/>
                <w:sz w:val="18"/>
                <w:szCs w:val="18"/>
              </w:rPr>
              <w:t>最大纵坡</w:t>
            </w:r>
          </w:p>
        </w:tc>
        <w:tc>
          <w:tcPr>
            <w:tcW w:w="1048" w:type="dxa"/>
            <w:vAlign w:val="top"/>
          </w:tcPr>
          <w:p w14:paraId="575DB1C3">
            <w:pPr>
              <w:pStyle w:val="6"/>
              <w:spacing w:before="62" w:line="188" w:lineRule="auto"/>
              <w:ind w:left="454"/>
            </w:pPr>
            <w:r>
              <w:t>%</w:t>
            </w:r>
          </w:p>
        </w:tc>
        <w:tc>
          <w:tcPr>
            <w:tcW w:w="1980" w:type="dxa"/>
            <w:tcBorders>
              <w:right w:val="single" w:color="000000" w:sz="6" w:space="0"/>
            </w:tcBorders>
            <w:vAlign w:val="top"/>
          </w:tcPr>
          <w:p w14:paraId="4166D69A">
            <w:pPr>
              <w:pStyle w:val="6"/>
              <w:spacing w:before="62" w:line="188" w:lineRule="auto"/>
              <w:ind w:left="796"/>
            </w:pPr>
            <w:r>
              <w:rPr>
                <w:spacing w:val="-4"/>
              </w:rPr>
              <w:t>11.99</w:t>
            </w:r>
          </w:p>
        </w:tc>
      </w:tr>
      <w:tr w14:paraId="7BA246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4F546739">
            <w:pPr>
              <w:rPr>
                <w:rFonts w:ascii="Arial"/>
                <w:sz w:val="21"/>
              </w:rPr>
            </w:pPr>
          </w:p>
        </w:tc>
        <w:tc>
          <w:tcPr>
            <w:tcW w:w="612" w:type="dxa"/>
            <w:vAlign w:val="top"/>
          </w:tcPr>
          <w:p w14:paraId="5DCBBFF5">
            <w:pPr>
              <w:pStyle w:val="6"/>
              <w:spacing w:before="62" w:line="188" w:lineRule="auto"/>
              <w:ind w:left="265"/>
            </w:pPr>
            <w:r>
              <w:t>3</w:t>
            </w:r>
          </w:p>
        </w:tc>
        <w:tc>
          <w:tcPr>
            <w:tcW w:w="4000" w:type="dxa"/>
            <w:gridSpan w:val="2"/>
            <w:vAlign w:val="top"/>
          </w:tcPr>
          <w:p w14:paraId="344355DC">
            <w:pPr>
              <w:spacing w:before="31" w:line="202" w:lineRule="auto"/>
              <w:ind w:left="1652"/>
              <w:rPr>
                <w:rFonts w:ascii="仿宋" w:hAnsi="仿宋" w:eastAsia="仿宋" w:cs="仿宋"/>
                <w:sz w:val="18"/>
                <w:szCs w:val="18"/>
              </w:rPr>
            </w:pPr>
            <w:r>
              <w:rPr>
                <w:rFonts w:ascii="仿宋" w:hAnsi="仿宋" w:eastAsia="仿宋" w:cs="仿宋"/>
                <w:spacing w:val="-5"/>
                <w:sz w:val="18"/>
                <w:szCs w:val="18"/>
              </w:rPr>
              <w:t>最短坡长</w:t>
            </w:r>
          </w:p>
        </w:tc>
        <w:tc>
          <w:tcPr>
            <w:tcW w:w="1048" w:type="dxa"/>
            <w:vAlign w:val="top"/>
          </w:tcPr>
          <w:p w14:paraId="6CD02FF0">
            <w:pPr>
              <w:pStyle w:val="6"/>
              <w:spacing w:before="101" w:line="123" w:lineRule="exact"/>
              <w:ind w:left="457"/>
            </w:pPr>
            <w:r>
              <w:t>m</w:t>
            </w:r>
          </w:p>
        </w:tc>
        <w:tc>
          <w:tcPr>
            <w:tcW w:w="1980" w:type="dxa"/>
            <w:tcBorders>
              <w:right w:val="single" w:color="000000" w:sz="6" w:space="0"/>
            </w:tcBorders>
            <w:vAlign w:val="top"/>
          </w:tcPr>
          <w:p w14:paraId="2B850CDC">
            <w:pPr>
              <w:pStyle w:val="6"/>
              <w:spacing w:before="62" w:line="188" w:lineRule="auto"/>
              <w:ind w:left="891"/>
            </w:pPr>
            <w:r>
              <w:rPr>
                <w:spacing w:val="-1"/>
              </w:rPr>
              <w:t>45</w:t>
            </w:r>
          </w:p>
        </w:tc>
      </w:tr>
      <w:tr w14:paraId="09632B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24EC1C79">
            <w:pPr>
              <w:rPr>
                <w:rFonts w:ascii="Arial"/>
                <w:sz w:val="21"/>
              </w:rPr>
            </w:pPr>
          </w:p>
        </w:tc>
        <w:tc>
          <w:tcPr>
            <w:tcW w:w="612" w:type="dxa"/>
            <w:vAlign w:val="top"/>
          </w:tcPr>
          <w:p w14:paraId="7A07546D">
            <w:pPr>
              <w:pStyle w:val="6"/>
              <w:spacing w:before="61" w:line="188" w:lineRule="auto"/>
              <w:ind w:left="260"/>
            </w:pPr>
            <w:r>
              <w:t>4</w:t>
            </w:r>
          </w:p>
        </w:tc>
        <w:tc>
          <w:tcPr>
            <w:tcW w:w="4000" w:type="dxa"/>
            <w:gridSpan w:val="2"/>
            <w:vAlign w:val="top"/>
          </w:tcPr>
          <w:p w14:paraId="7476254A">
            <w:pPr>
              <w:spacing w:before="30" w:line="203" w:lineRule="auto"/>
              <w:ind w:left="1213"/>
              <w:rPr>
                <w:rFonts w:ascii="仿宋" w:hAnsi="仿宋" w:eastAsia="仿宋" w:cs="仿宋"/>
                <w:sz w:val="18"/>
                <w:szCs w:val="18"/>
              </w:rPr>
            </w:pPr>
            <w:r>
              <w:rPr>
                <w:rFonts w:ascii="仿宋" w:hAnsi="仿宋" w:eastAsia="仿宋" w:cs="仿宋"/>
                <w:spacing w:val="-4"/>
                <w:sz w:val="18"/>
                <w:szCs w:val="18"/>
              </w:rPr>
              <w:t>凸型竖曲线最小半径</w:t>
            </w:r>
          </w:p>
        </w:tc>
        <w:tc>
          <w:tcPr>
            <w:tcW w:w="1048" w:type="dxa"/>
            <w:vAlign w:val="top"/>
          </w:tcPr>
          <w:p w14:paraId="29370962">
            <w:pPr>
              <w:pStyle w:val="6"/>
              <w:spacing w:before="100" w:line="123" w:lineRule="exact"/>
              <w:ind w:left="457"/>
            </w:pPr>
            <w:r>
              <w:t>m</w:t>
            </w:r>
          </w:p>
        </w:tc>
        <w:tc>
          <w:tcPr>
            <w:tcW w:w="1980" w:type="dxa"/>
            <w:tcBorders>
              <w:right w:val="single" w:color="000000" w:sz="6" w:space="0"/>
            </w:tcBorders>
            <w:vAlign w:val="top"/>
          </w:tcPr>
          <w:p w14:paraId="5738E444">
            <w:pPr>
              <w:pStyle w:val="6"/>
              <w:spacing w:before="61" w:line="188" w:lineRule="auto"/>
              <w:ind w:left="846"/>
            </w:pPr>
            <w:r>
              <w:rPr>
                <w:spacing w:val="-1"/>
              </w:rPr>
              <w:t>200</w:t>
            </w:r>
          </w:p>
        </w:tc>
      </w:tr>
      <w:tr w14:paraId="15BC62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51F70FD9">
            <w:pPr>
              <w:rPr>
                <w:rFonts w:ascii="Arial"/>
                <w:sz w:val="21"/>
              </w:rPr>
            </w:pPr>
          </w:p>
        </w:tc>
        <w:tc>
          <w:tcPr>
            <w:tcW w:w="612" w:type="dxa"/>
            <w:vAlign w:val="top"/>
          </w:tcPr>
          <w:p w14:paraId="14C3C1DC">
            <w:pPr>
              <w:pStyle w:val="6"/>
              <w:spacing w:before="65" w:line="185" w:lineRule="auto"/>
              <w:ind w:left="266"/>
            </w:pPr>
            <w:r>
              <w:t>5</w:t>
            </w:r>
          </w:p>
        </w:tc>
        <w:tc>
          <w:tcPr>
            <w:tcW w:w="4000" w:type="dxa"/>
            <w:gridSpan w:val="2"/>
            <w:vAlign w:val="top"/>
          </w:tcPr>
          <w:p w14:paraId="0956B0B8">
            <w:pPr>
              <w:spacing w:before="32" w:line="202" w:lineRule="auto"/>
              <w:ind w:left="1211"/>
              <w:rPr>
                <w:rFonts w:ascii="仿宋" w:hAnsi="仿宋" w:eastAsia="仿宋" w:cs="仿宋"/>
                <w:sz w:val="18"/>
                <w:szCs w:val="18"/>
              </w:rPr>
            </w:pPr>
            <w:r>
              <w:rPr>
                <w:rFonts w:ascii="仿宋" w:hAnsi="仿宋" w:eastAsia="仿宋" w:cs="仿宋"/>
                <w:spacing w:val="-4"/>
                <w:sz w:val="18"/>
                <w:szCs w:val="18"/>
              </w:rPr>
              <w:t>凹型竖曲线最小半径</w:t>
            </w:r>
          </w:p>
        </w:tc>
        <w:tc>
          <w:tcPr>
            <w:tcW w:w="1048" w:type="dxa"/>
            <w:vAlign w:val="top"/>
          </w:tcPr>
          <w:p w14:paraId="2C3148C0">
            <w:pPr>
              <w:pStyle w:val="6"/>
              <w:spacing w:before="102" w:line="123" w:lineRule="exact"/>
              <w:ind w:left="457"/>
            </w:pPr>
            <w:r>
              <w:t>m</w:t>
            </w:r>
          </w:p>
        </w:tc>
        <w:tc>
          <w:tcPr>
            <w:tcW w:w="1980" w:type="dxa"/>
            <w:tcBorders>
              <w:right w:val="single" w:color="000000" w:sz="6" w:space="0"/>
            </w:tcBorders>
            <w:vAlign w:val="top"/>
          </w:tcPr>
          <w:p w14:paraId="2A13C691">
            <w:pPr>
              <w:pStyle w:val="6"/>
              <w:spacing w:before="63" w:line="188" w:lineRule="auto"/>
              <w:ind w:left="846"/>
            </w:pPr>
            <w:r>
              <w:rPr>
                <w:spacing w:val="-1"/>
              </w:rPr>
              <w:t>200</w:t>
            </w:r>
          </w:p>
        </w:tc>
      </w:tr>
      <w:tr w14:paraId="6BC36F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571CDE94">
            <w:pPr>
              <w:rPr>
                <w:rFonts w:ascii="Arial"/>
                <w:sz w:val="21"/>
              </w:rPr>
            </w:pPr>
          </w:p>
        </w:tc>
        <w:tc>
          <w:tcPr>
            <w:tcW w:w="612" w:type="dxa"/>
            <w:vAlign w:val="top"/>
          </w:tcPr>
          <w:p w14:paraId="111856D3">
            <w:pPr>
              <w:pStyle w:val="6"/>
              <w:spacing w:before="61" w:line="188" w:lineRule="auto"/>
              <w:ind w:left="265"/>
            </w:pPr>
            <w:r>
              <w:t>6</w:t>
            </w:r>
          </w:p>
        </w:tc>
        <w:tc>
          <w:tcPr>
            <w:tcW w:w="4000" w:type="dxa"/>
            <w:gridSpan w:val="2"/>
            <w:vAlign w:val="top"/>
          </w:tcPr>
          <w:p w14:paraId="5889EBC2">
            <w:pPr>
              <w:spacing w:before="30" w:line="203" w:lineRule="auto"/>
              <w:ind w:left="1646"/>
              <w:rPr>
                <w:rFonts w:ascii="仿宋" w:hAnsi="仿宋" w:eastAsia="仿宋" w:cs="仿宋"/>
                <w:sz w:val="18"/>
                <w:szCs w:val="18"/>
              </w:rPr>
            </w:pPr>
            <w:r>
              <w:rPr>
                <w:rFonts w:ascii="仿宋" w:hAnsi="仿宋" w:eastAsia="仿宋" w:cs="仿宋"/>
                <w:spacing w:val="-3"/>
                <w:sz w:val="18"/>
                <w:szCs w:val="18"/>
              </w:rPr>
              <w:t>路面结构</w:t>
            </w:r>
          </w:p>
        </w:tc>
        <w:tc>
          <w:tcPr>
            <w:tcW w:w="1048" w:type="dxa"/>
            <w:vAlign w:val="top"/>
          </w:tcPr>
          <w:p w14:paraId="290D0D95">
            <w:pPr>
              <w:spacing w:line="228" w:lineRule="exact"/>
              <w:rPr>
                <w:rFonts w:ascii="Arial"/>
                <w:sz w:val="19"/>
              </w:rPr>
            </w:pPr>
          </w:p>
        </w:tc>
        <w:tc>
          <w:tcPr>
            <w:tcW w:w="1980" w:type="dxa"/>
            <w:tcBorders>
              <w:right w:val="single" w:color="000000" w:sz="6" w:space="0"/>
            </w:tcBorders>
            <w:vAlign w:val="top"/>
          </w:tcPr>
          <w:p w14:paraId="1FDAE4F6">
            <w:pPr>
              <w:pStyle w:val="6"/>
              <w:spacing w:before="30" w:line="203" w:lineRule="auto"/>
              <w:ind w:left="64"/>
              <w:rPr>
                <w:rFonts w:ascii="仿宋" w:hAnsi="仿宋" w:eastAsia="仿宋" w:cs="仿宋"/>
              </w:rPr>
            </w:pPr>
            <w:r>
              <w:rPr>
                <w:rFonts w:ascii="仿宋" w:hAnsi="仿宋" w:eastAsia="仿宋" w:cs="仿宋"/>
                <w:spacing w:val="-1"/>
              </w:rPr>
              <w:t>水泥混凝土</w:t>
            </w:r>
            <w:r>
              <w:rPr>
                <w:spacing w:val="-1"/>
              </w:rPr>
              <w:t>/</w:t>
            </w:r>
            <w:r>
              <w:rPr>
                <w:rFonts w:ascii="仿宋" w:hAnsi="仿宋" w:eastAsia="仿宋" w:cs="仿宋"/>
                <w:spacing w:val="-1"/>
              </w:rPr>
              <w:t>未筛分碎石</w:t>
            </w:r>
          </w:p>
        </w:tc>
      </w:tr>
      <w:tr w14:paraId="7802E1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8" w:hRule="atLeast"/>
        </w:trPr>
        <w:tc>
          <w:tcPr>
            <w:tcW w:w="737" w:type="dxa"/>
            <w:vMerge w:val="continue"/>
            <w:tcBorders>
              <w:top w:val="nil"/>
              <w:left w:val="single" w:color="000000" w:sz="6" w:space="0"/>
              <w:bottom w:val="nil"/>
            </w:tcBorders>
            <w:vAlign w:val="top"/>
          </w:tcPr>
          <w:p w14:paraId="0F3AFBDC">
            <w:pPr>
              <w:rPr>
                <w:rFonts w:ascii="Arial"/>
                <w:sz w:val="21"/>
              </w:rPr>
            </w:pPr>
          </w:p>
        </w:tc>
        <w:tc>
          <w:tcPr>
            <w:tcW w:w="612" w:type="dxa"/>
            <w:tcBorders>
              <w:bottom w:val="single" w:color="000000" w:sz="10" w:space="0"/>
            </w:tcBorders>
            <w:vAlign w:val="top"/>
          </w:tcPr>
          <w:p w14:paraId="09D8E401">
            <w:pPr>
              <w:pStyle w:val="6"/>
              <w:spacing w:before="66" w:line="185" w:lineRule="auto"/>
              <w:ind w:left="264"/>
            </w:pPr>
            <w:r>
              <w:t>7</w:t>
            </w:r>
          </w:p>
        </w:tc>
        <w:tc>
          <w:tcPr>
            <w:tcW w:w="4000" w:type="dxa"/>
            <w:gridSpan w:val="2"/>
            <w:tcBorders>
              <w:bottom w:val="single" w:color="000000" w:sz="10" w:space="0"/>
            </w:tcBorders>
            <w:vAlign w:val="top"/>
          </w:tcPr>
          <w:p w14:paraId="605A569E">
            <w:pPr>
              <w:spacing w:before="32" w:line="211" w:lineRule="auto"/>
              <w:ind w:left="1744"/>
              <w:rPr>
                <w:rFonts w:ascii="仿宋" w:hAnsi="仿宋" w:eastAsia="仿宋" w:cs="仿宋"/>
                <w:sz w:val="18"/>
                <w:szCs w:val="18"/>
              </w:rPr>
            </w:pPr>
            <w:r>
              <w:rPr>
                <w:rFonts w:ascii="仿宋" w:hAnsi="仿宋" w:eastAsia="仿宋" w:cs="仿宋"/>
                <w:spacing w:val="-7"/>
                <w:sz w:val="18"/>
                <w:szCs w:val="18"/>
              </w:rPr>
              <w:t>总造价</w:t>
            </w:r>
          </w:p>
        </w:tc>
        <w:tc>
          <w:tcPr>
            <w:tcW w:w="1048" w:type="dxa"/>
            <w:tcBorders>
              <w:bottom w:val="single" w:color="000000" w:sz="10" w:space="0"/>
            </w:tcBorders>
            <w:vAlign w:val="top"/>
          </w:tcPr>
          <w:p w14:paraId="5444A4AD">
            <w:pPr>
              <w:spacing w:before="32" w:line="211" w:lineRule="auto"/>
              <w:ind w:left="358"/>
              <w:rPr>
                <w:rFonts w:ascii="仿宋" w:hAnsi="仿宋" w:eastAsia="仿宋" w:cs="仿宋"/>
                <w:sz w:val="18"/>
                <w:szCs w:val="18"/>
              </w:rPr>
            </w:pPr>
            <w:r>
              <w:rPr>
                <w:rFonts w:ascii="仿宋" w:hAnsi="仿宋" w:eastAsia="仿宋" w:cs="仿宋"/>
                <w:spacing w:val="-7"/>
                <w:sz w:val="18"/>
                <w:szCs w:val="18"/>
              </w:rPr>
              <w:t>万元</w:t>
            </w:r>
          </w:p>
        </w:tc>
        <w:tc>
          <w:tcPr>
            <w:tcW w:w="1980" w:type="dxa"/>
            <w:tcBorders>
              <w:bottom w:val="single" w:color="000000" w:sz="10" w:space="0"/>
              <w:right w:val="single" w:color="000000" w:sz="6" w:space="0"/>
            </w:tcBorders>
            <w:vAlign w:val="top"/>
          </w:tcPr>
          <w:p w14:paraId="0505190A">
            <w:pPr>
              <w:pStyle w:val="6"/>
              <w:spacing w:before="63" w:line="188" w:lineRule="auto"/>
              <w:ind w:left="599"/>
            </w:pPr>
            <w:r>
              <w:rPr>
                <w:spacing w:val="-1"/>
              </w:rPr>
              <w:t>2250.5331</w:t>
            </w:r>
          </w:p>
        </w:tc>
      </w:tr>
      <w:tr w14:paraId="6E72CE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51" w:hRule="atLeast"/>
        </w:trPr>
        <w:tc>
          <w:tcPr>
            <w:tcW w:w="737" w:type="dxa"/>
            <w:vMerge w:val="continue"/>
            <w:tcBorders>
              <w:top w:val="nil"/>
              <w:left w:val="single" w:color="000000" w:sz="6" w:space="0"/>
              <w:bottom w:val="nil"/>
            </w:tcBorders>
            <w:vAlign w:val="top"/>
          </w:tcPr>
          <w:p w14:paraId="1E8E71DE">
            <w:pPr>
              <w:rPr>
                <w:rFonts w:ascii="Arial"/>
                <w:sz w:val="21"/>
              </w:rPr>
            </w:pPr>
          </w:p>
        </w:tc>
        <w:tc>
          <w:tcPr>
            <w:tcW w:w="7640" w:type="dxa"/>
            <w:gridSpan w:val="5"/>
            <w:tcBorders>
              <w:top w:val="single" w:color="000000" w:sz="10" w:space="0"/>
              <w:bottom w:val="nil"/>
              <w:right w:val="single" w:color="000000" w:sz="6" w:space="0"/>
            </w:tcBorders>
            <w:vAlign w:val="top"/>
          </w:tcPr>
          <w:p w14:paraId="6C75B1F4">
            <w:pPr>
              <w:pStyle w:val="6"/>
              <w:spacing w:before="146" w:line="232" w:lineRule="auto"/>
              <w:ind w:left="423"/>
              <w:rPr>
                <w:rFonts w:ascii="仿宋" w:hAnsi="仿宋" w:eastAsia="仿宋" w:cs="仿宋"/>
                <w:sz w:val="20"/>
                <w:szCs w:val="20"/>
              </w:rPr>
            </w:pPr>
            <w:r>
              <w:rPr>
                <w:b/>
                <w:bCs/>
                <w:spacing w:val="1"/>
                <w:sz w:val="20"/>
                <w:szCs w:val="20"/>
              </w:rPr>
              <w:t>8</w:t>
            </w:r>
            <w:r>
              <w:rPr>
                <w:b/>
                <w:bCs/>
                <w:spacing w:val="-18"/>
                <w:sz w:val="20"/>
                <w:szCs w:val="20"/>
              </w:rPr>
              <w:t xml:space="preserve"> </w:t>
            </w:r>
            <w:r>
              <w:rPr>
                <w:rFonts w:ascii="仿宋" w:hAnsi="仿宋" w:eastAsia="仿宋" w:cs="仿宋"/>
                <w:b/>
                <w:bCs/>
                <w:spacing w:val="1"/>
                <w:sz w:val="20"/>
                <w:szCs w:val="20"/>
              </w:rPr>
              <w:t>、路基工程</w:t>
            </w:r>
          </w:p>
          <w:p w14:paraId="3EBB3950">
            <w:pPr>
              <w:pStyle w:val="6"/>
              <w:spacing w:before="157" w:line="229" w:lineRule="auto"/>
              <w:ind w:left="434"/>
              <w:rPr>
                <w:rFonts w:ascii="仿宋" w:hAnsi="仿宋" w:eastAsia="仿宋" w:cs="仿宋"/>
                <w:sz w:val="20"/>
                <w:szCs w:val="20"/>
              </w:rPr>
            </w:pPr>
            <w:r>
              <w:rPr>
                <w:rFonts w:ascii="仿宋" w:hAnsi="仿宋" w:eastAsia="仿宋" w:cs="仿宋"/>
                <w:spacing w:val="6"/>
                <w:sz w:val="20"/>
                <w:szCs w:val="20"/>
              </w:rPr>
              <w:t>（</w:t>
            </w:r>
            <w:r>
              <w:rPr>
                <w:spacing w:val="6"/>
                <w:sz w:val="20"/>
                <w:szCs w:val="20"/>
              </w:rPr>
              <w:t>1</w:t>
            </w:r>
            <w:r>
              <w:rPr>
                <w:rFonts w:ascii="仿宋" w:hAnsi="仿宋" w:eastAsia="仿宋" w:cs="仿宋"/>
                <w:spacing w:val="6"/>
                <w:sz w:val="20"/>
                <w:szCs w:val="20"/>
              </w:rPr>
              <w:t>）路基断面</w:t>
            </w:r>
          </w:p>
          <w:p w14:paraId="744F5F00">
            <w:pPr>
              <w:pStyle w:val="6"/>
              <w:spacing w:before="160" w:line="362" w:lineRule="auto"/>
              <w:ind w:right="6" w:firstLine="419"/>
              <w:rPr>
                <w:rFonts w:ascii="仿宋" w:hAnsi="仿宋" w:eastAsia="仿宋" w:cs="仿宋"/>
                <w:sz w:val="20"/>
                <w:szCs w:val="20"/>
              </w:rPr>
            </w:pPr>
            <w:r>
              <w:rPr>
                <w:rFonts w:ascii="仿宋" w:hAnsi="仿宋" w:eastAsia="仿宋" w:cs="仿宋"/>
                <w:spacing w:val="7"/>
                <w:sz w:val="20"/>
                <w:szCs w:val="20"/>
              </w:rPr>
              <w:t>本项目采用四级公路 (</w:t>
            </w:r>
            <w:r>
              <w:rPr>
                <w:spacing w:val="7"/>
                <w:sz w:val="20"/>
                <w:szCs w:val="20"/>
              </w:rPr>
              <w:t>Ⅱ</w:t>
            </w:r>
            <w:r>
              <w:rPr>
                <w:rFonts w:ascii="仿宋" w:hAnsi="仿宋" w:eastAsia="仿宋" w:cs="仿宋"/>
                <w:spacing w:val="7"/>
                <w:sz w:val="20"/>
                <w:szCs w:val="20"/>
              </w:rPr>
              <w:t>类</w:t>
            </w:r>
            <w:r>
              <w:rPr>
                <w:rFonts w:ascii="仿宋" w:hAnsi="仿宋" w:eastAsia="仿宋" w:cs="仿宋"/>
                <w:spacing w:val="-3"/>
                <w:sz w:val="20"/>
                <w:szCs w:val="20"/>
              </w:rPr>
              <w:t>），</w:t>
            </w:r>
            <w:r>
              <w:rPr>
                <w:rFonts w:ascii="仿宋" w:hAnsi="仿宋" w:eastAsia="仿宋" w:cs="仿宋"/>
                <w:spacing w:val="7"/>
                <w:sz w:val="20"/>
                <w:szCs w:val="20"/>
              </w:rPr>
              <w:t>设计速度</w:t>
            </w:r>
            <w:r>
              <w:rPr>
                <w:rFonts w:ascii="仿宋" w:hAnsi="仿宋" w:eastAsia="仿宋" w:cs="仿宋"/>
                <w:spacing w:val="-16"/>
                <w:sz w:val="20"/>
                <w:szCs w:val="20"/>
              </w:rPr>
              <w:t xml:space="preserve"> </w:t>
            </w:r>
            <w:r>
              <w:rPr>
                <w:spacing w:val="7"/>
                <w:sz w:val="20"/>
                <w:szCs w:val="20"/>
              </w:rPr>
              <w:t>15</w:t>
            </w:r>
            <w:r>
              <w:rPr>
                <w:sz w:val="20"/>
                <w:szCs w:val="20"/>
              </w:rPr>
              <w:t>km</w:t>
            </w:r>
            <w:r>
              <w:rPr>
                <w:spacing w:val="7"/>
                <w:sz w:val="20"/>
                <w:szCs w:val="20"/>
              </w:rPr>
              <w:t>/h</w:t>
            </w:r>
            <w:r>
              <w:rPr>
                <w:spacing w:val="34"/>
                <w:w w:val="101"/>
                <w:sz w:val="20"/>
                <w:szCs w:val="20"/>
              </w:rPr>
              <w:t xml:space="preserve"> </w:t>
            </w:r>
            <w:r>
              <w:rPr>
                <w:rFonts w:ascii="仿宋" w:hAnsi="仿宋" w:eastAsia="仿宋" w:cs="仿宋"/>
                <w:spacing w:val="7"/>
                <w:sz w:val="20"/>
                <w:szCs w:val="20"/>
              </w:rPr>
              <w:t>的标准建设，全线路基宽度为</w:t>
            </w:r>
            <w:r>
              <w:rPr>
                <w:spacing w:val="6"/>
                <w:sz w:val="20"/>
                <w:szCs w:val="20"/>
              </w:rPr>
              <w:t>4.50m</w:t>
            </w:r>
            <w:r>
              <w:rPr>
                <w:rFonts w:ascii="仿宋" w:hAnsi="仿宋" w:eastAsia="仿宋" w:cs="仿宋"/>
                <w:spacing w:val="6"/>
                <w:sz w:val="20"/>
                <w:szCs w:val="20"/>
              </w:rPr>
              <w:t>，路基断面形式采用</w:t>
            </w:r>
            <w:r>
              <w:rPr>
                <w:rFonts w:ascii="仿宋" w:hAnsi="仿宋" w:eastAsia="仿宋" w:cs="仿宋"/>
                <w:spacing w:val="-13"/>
                <w:sz w:val="20"/>
                <w:szCs w:val="20"/>
              </w:rPr>
              <w:t xml:space="preserve"> </w:t>
            </w:r>
            <w:r>
              <w:rPr>
                <w:spacing w:val="6"/>
                <w:sz w:val="20"/>
                <w:szCs w:val="20"/>
              </w:rPr>
              <w:t>0.50m</w:t>
            </w:r>
            <w:r>
              <w:rPr>
                <w:spacing w:val="27"/>
                <w:w w:val="101"/>
                <w:sz w:val="20"/>
                <w:szCs w:val="20"/>
              </w:rPr>
              <w:t xml:space="preserve"> </w:t>
            </w:r>
            <w:r>
              <w:rPr>
                <w:rFonts w:ascii="仿宋" w:hAnsi="仿宋" w:eastAsia="仿宋" w:cs="仿宋"/>
                <w:spacing w:val="6"/>
                <w:sz w:val="20"/>
                <w:szCs w:val="20"/>
              </w:rPr>
              <w:t>土路肩</w:t>
            </w:r>
            <w:r>
              <w:rPr>
                <w:spacing w:val="6"/>
                <w:sz w:val="20"/>
                <w:szCs w:val="20"/>
              </w:rPr>
              <w:t>+3.50m</w:t>
            </w:r>
            <w:r>
              <w:rPr>
                <w:spacing w:val="16"/>
                <w:w w:val="101"/>
                <w:sz w:val="20"/>
                <w:szCs w:val="20"/>
              </w:rPr>
              <w:t xml:space="preserve"> </w:t>
            </w:r>
            <w:r>
              <w:rPr>
                <w:rFonts w:ascii="仿宋" w:hAnsi="仿宋" w:eastAsia="仿宋" w:cs="仿宋"/>
                <w:spacing w:val="6"/>
                <w:sz w:val="20"/>
                <w:szCs w:val="20"/>
              </w:rPr>
              <w:t>行车道</w:t>
            </w:r>
            <w:r>
              <w:rPr>
                <w:spacing w:val="6"/>
                <w:sz w:val="20"/>
                <w:szCs w:val="20"/>
              </w:rPr>
              <w:t>+0.50m</w:t>
            </w:r>
            <w:r>
              <w:rPr>
                <w:spacing w:val="17"/>
                <w:w w:val="101"/>
                <w:sz w:val="20"/>
                <w:szCs w:val="20"/>
              </w:rPr>
              <w:t xml:space="preserve"> </w:t>
            </w:r>
            <w:r>
              <w:rPr>
                <w:rFonts w:ascii="仿宋" w:hAnsi="仿宋" w:eastAsia="仿宋" w:cs="仿宋"/>
                <w:spacing w:val="6"/>
                <w:sz w:val="20"/>
                <w:szCs w:val="20"/>
              </w:rPr>
              <w:t>土路肩。路基断面情</w:t>
            </w:r>
            <w:r>
              <w:rPr>
                <w:rFonts w:ascii="仿宋" w:hAnsi="仿宋" w:eastAsia="仿宋" w:cs="仿宋"/>
                <w:spacing w:val="3"/>
                <w:sz w:val="20"/>
                <w:szCs w:val="20"/>
              </w:rPr>
              <w:t>况见图</w:t>
            </w:r>
            <w:r>
              <w:rPr>
                <w:rFonts w:ascii="仿宋" w:hAnsi="仿宋" w:eastAsia="仿宋" w:cs="仿宋"/>
                <w:spacing w:val="-38"/>
                <w:sz w:val="20"/>
                <w:szCs w:val="20"/>
              </w:rPr>
              <w:t xml:space="preserve"> </w:t>
            </w:r>
            <w:r>
              <w:rPr>
                <w:spacing w:val="3"/>
                <w:sz w:val="20"/>
                <w:szCs w:val="20"/>
              </w:rPr>
              <w:t>2-2</w:t>
            </w:r>
            <w:r>
              <w:rPr>
                <w:spacing w:val="20"/>
                <w:sz w:val="20"/>
                <w:szCs w:val="20"/>
              </w:rPr>
              <w:t xml:space="preserve"> </w:t>
            </w:r>
            <w:r>
              <w:rPr>
                <w:rFonts w:ascii="仿宋" w:hAnsi="仿宋" w:eastAsia="仿宋" w:cs="仿宋"/>
                <w:spacing w:val="3"/>
                <w:sz w:val="20"/>
                <w:szCs w:val="20"/>
              </w:rPr>
              <w:t>和图</w:t>
            </w:r>
            <w:r>
              <w:rPr>
                <w:rFonts w:ascii="仿宋" w:hAnsi="仿宋" w:eastAsia="仿宋" w:cs="仿宋"/>
                <w:spacing w:val="-41"/>
                <w:sz w:val="20"/>
                <w:szCs w:val="20"/>
              </w:rPr>
              <w:t xml:space="preserve"> </w:t>
            </w:r>
            <w:r>
              <w:rPr>
                <w:spacing w:val="3"/>
                <w:sz w:val="20"/>
                <w:szCs w:val="20"/>
              </w:rPr>
              <w:t>2-3</w:t>
            </w:r>
            <w:r>
              <w:rPr>
                <w:rFonts w:ascii="仿宋" w:hAnsi="仿宋" w:eastAsia="仿宋" w:cs="仿宋"/>
                <w:spacing w:val="3"/>
                <w:sz w:val="20"/>
                <w:szCs w:val="20"/>
              </w:rPr>
              <w:t>。</w:t>
            </w:r>
          </w:p>
        </w:tc>
      </w:tr>
      <w:tr w14:paraId="19AB3F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6" w:hRule="atLeast"/>
        </w:trPr>
        <w:tc>
          <w:tcPr>
            <w:tcW w:w="737" w:type="dxa"/>
            <w:vMerge w:val="continue"/>
            <w:tcBorders>
              <w:top w:val="nil"/>
              <w:left w:val="single" w:color="000000" w:sz="6" w:space="0"/>
              <w:bottom w:val="nil"/>
            </w:tcBorders>
            <w:vAlign w:val="top"/>
          </w:tcPr>
          <w:p w14:paraId="46392591">
            <w:pPr>
              <w:rPr>
                <w:rFonts w:ascii="Arial"/>
                <w:sz w:val="21"/>
              </w:rPr>
            </w:pPr>
          </w:p>
        </w:tc>
        <w:tc>
          <w:tcPr>
            <w:tcW w:w="7640" w:type="dxa"/>
            <w:gridSpan w:val="5"/>
            <w:tcBorders>
              <w:top w:val="nil"/>
              <w:bottom w:val="nil"/>
              <w:right w:val="single" w:color="000000" w:sz="6" w:space="0"/>
            </w:tcBorders>
            <w:vAlign w:val="top"/>
          </w:tcPr>
          <w:p w14:paraId="43B7C8B2">
            <w:pPr>
              <w:spacing w:before="8" w:line="4028" w:lineRule="exact"/>
            </w:pPr>
            <w:r>
              <w:rPr>
                <w:position w:val="-80"/>
              </w:rPr>
              <w:drawing>
                <wp:inline distT="0" distB="0" distL="0" distR="0">
                  <wp:extent cx="4845050" cy="2557145"/>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283"/>
                          <a:stretch>
                            <a:fillRect/>
                          </a:stretch>
                        </pic:blipFill>
                        <pic:spPr>
                          <a:xfrm>
                            <a:off x="0" y="0"/>
                            <a:ext cx="4845050" cy="2557658"/>
                          </a:xfrm>
                          <a:prstGeom prst="rect">
                            <a:avLst/>
                          </a:prstGeom>
                        </pic:spPr>
                      </pic:pic>
                    </a:graphicData>
                  </a:graphic>
                </wp:inline>
              </w:drawing>
            </w:r>
          </w:p>
        </w:tc>
      </w:tr>
      <w:tr w14:paraId="0C7767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2" w:hRule="atLeast"/>
        </w:trPr>
        <w:tc>
          <w:tcPr>
            <w:tcW w:w="737" w:type="dxa"/>
            <w:vMerge w:val="continue"/>
            <w:tcBorders>
              <w:top w:val="nil"/>
              <w:left w:val="single" w:color="000000" w:sz="6" w:space="0"/>
              <w:bottom w:val="single" w:color="000000" w:sz="6" w:space="0"/>
            </w:tcBorders>
            <w:vAlign w:val="top"/>
          </w:tcPr>
          <w:p w14:paraId="459C7693">
            <w:pPr>
              <w:rPr>
                <w:rFonts w:ascii="Arial"/>
                <w:sz w:val="21"/>
              </w:rPr>
            </w:pPr>
          </w:p>
        </w:tc>
        <w:tc>
          <w:tcPr>
            <w:tcW w:w="7640" w:type="dxa"/>
            <w:gridSpan w:val="5"/>
            <w:tcBorders>
              <w:top w:val="nil"/>
              <w:bottom w:val="single" w:color="000000" w:sz="6" w:space="0"/>
              <w:right w:val="single" w:color="000000" w:sz="6" w:space="0"/>
            </w:tcBorders>
            <w:vAlign w:val="top"/>
          </w:tcPr>
          <w:p w14:paraId="5A2ADB95">
            <w:pPr>
              <w:pStyle w:val="6"/>
              <w:spacing w:before="213" w:line="221" w:lineRule="auto"/>
              <w:ind w:left="1713"/>
              <w:rPr>
                <w:rFonts w:ascii="仿宋" w:hAnsi="仿宋" w:eastAsia="仿宋" w:cs="仿宋"/>
                <w:sz w:val="24"/>
                <w:szCs w:val="24"/>
              </w:rPr>
            </w:pPr>
            <w:r>
              <w:rPr>
                <w:rFonts w:ascii="仿宋" w:hAnsi="仿宋" w:eastAsia="仿宋" w:cs="仿宋"/>
                <w:b/>
                <w:bCs/>
                <w:spacing w:val="-4"/>
                <w:sz w:val="24"/>
                <w:szCs w:val="24"/>
              </w:rPr>
              <w:t>图</w:t>
            </w:r>
            <w:r>
              <w:rPr>
                <w:rFonts w:ascii="仿宋" w:hAnsi="仿宋" w:eastAsia="仿宋" w:cs="仿宋"/>
                <w:spacing w:val="-38"/>
                <w:sz w:val="24"/>
                <w:szCs w:val="24"/>
              </w:rPr>
              <w:t xml:space="preserve"> </w:t>
            </w:r>
            <w:r>
              <w:rPr>
                <w:b/>
                <w:bCs/>
                <w:spacing w:val="-4"/>
                <w:sz w:val="24"/>
                <w:szCs w:val="24"/>
              </w:rPr>
              <w:t xml:space="preserve">2-2    </w:t>
            </w:r>
            <w:r>
              <w:rPr>
                <w:rFonts w:ascii="仿宋" w:hAnsi="仿宋" w:eastAsia="仿宋" w:cs="仿宋"/>
                <w:b/>
                <w:bCs/>
                <w:spacing w:val="-4"/>
                <w:sz w:val="24"/>
                <w:szCs w:val="24"/>
              </w:rPr>
              <w:t>路基标准横断面图一（填方路段）</w:t>
            </w:r>
          </w:p>
        </w:tc>
      </w:tr>
    </w:tbl>
    <w:p w14:paraId="054A6678">
      <w:pPr>
        <w:pStyle w:val="2"/>
        <w:rPr>
          <w:sz w:val="21"/>
        </w:rPr>
      </w:pPr>
    </w:p>
    <w:p w14:paraId="29C3E3B1">
      <w:pPr>
        <w:rPr>
          <w:sz w:val="21"/>
          <w:szCs w:val="21"/>
        </w:rPr>
        <w:sectPr>
          <w:footerReference r:id="rId27" w:type="default"/>
          <w:pgSz w:w="11907" w:h="16840"/>
          <w:pgMar w:top="400" w:right="1757" w:bottom="1446" w:left="1757" w:header="0" w:footer="1284" w:gutter="0"/>
          <w:cols w:space="720" w:num="1"/>
        </w:sectPr>
      </w:pPr>
    </w:p>
    <w:p w14:paraId="66D08EBA">
      <w:pPr>
        <w:spacing w:before="19"/>
      </w:pPr>
    </w:p>
    <w:p w14:paraId="2D7ED4E1">
      <w:pPr>
        <w:spacing w:before="19"/>
      </w:pPr>
    </w:p>
    <w:p w14:paraId="24977B9B">
      <w:pPr>
        <w:spacing w:before="18"/>
      </w:pPr>
    </w:p>
    <w:p w14:paraId="0D42C102">
      <w:pPr>
        <w:spacing w:before="18"/>
      </w:pPr>
    </w:p>
    <w:tbl>
      <w:tblPr>
        <w:tblStyle w:val="5"/>
        <w:tblW w:w="8377"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37"/>
        <w:gridCol w:w="7640"/>
      </w:tblGrid>
      <w:tr w14:paraId="1B310E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781" w:hRule="atLeast"/>
        </w:trPr>
        <w:tc>
          <w:tcPr>
            <w:tcW w:w="737" w:type="dxa"/>
            <w:tcBorders>
              <w:right w:val="single" w:color="000000" w:sz="2" w:space="0"/>
            </w:tcBorders>
            <w:vAlign w:val="top"/>
          </w:tcPr>
          <w:p w14:paraId="1455F277">
            <w:pPr>
              <w:rPr>
                <w:rFonts w:ascii="Arial"/>
                <w:sz w:val="21"/>
              </w:rPr>
            </w:pPr>
          </w:p>
        </w:tc>
        <w:tc>
          <w:tcPr>
            <w:tcW w:w="7640" w:type="dxa"/>
            <w:tcBorders>
              <w:left w:val="single" w:color="000000" w:sz="2" w:space="0"/>
            </w:tcBorders>
            <w:vAlign w:val="top"/>
          </w:tcPr>
          <w:p w14:paraId="3FF8D449">
            <w:pPr>
              <w:spacing w:line="4405" w:lineRule="exact"/>
            </w:pPr>
            <w:r>
              <w:rPr>
                <w:position w:val="-88"/>
              </w:rPr>
              <w:drawing>
                <wp:inline distT="0" distB="0" distL="0" distR="0">
                  <wp:extent cx="4845050" cy="2797175"/>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284"/>
                          <a:stretch>
                            <a:fillRect/>
                          </a:stretch>
                        </pic:blipFill>
                        <pic:spPr>
                          <a:xfrm>
                            <a:off x="0" y="0"/>
                            <a:ext cx="4845050" cy="2797682"/>
                          </a:xfrm>
                          <a:prstGeom prst="rect">
                            <a:avLst/>
                          </a:prstGeom>
                        </pic:spPr>
                      </pic:pic>
                    </a:graphicData>
                  </a:graphic>
                </wp:inline>
              </w:drawing>
            </w:r>
          </w:p>
          <w:p w14:paraId="45C36A93">
            <w:pPr>
              <w:pStyle w:val="6"/>
              <w:spacing w:before="202" w:line="221" w:lineRule="auto"/>
              <w:ind w:left="1713"/>
              <w:rPr>
                <w:rFonts w:ascii="仿宋" w:hAnsi="仿宋" w:eastAsia="仿宋" w:cs="仿宋"/>
                <w:sz w:val="24"/>
                <w:szCs w:val="24"/>
              </w:rPr>
            </w:pPr>
            <w:r>
              <w:rPr>
                <w:rFonts w:ascii="仿宋" w:hAnsi="仿宋" w:eastAsia="仿宋" w:cs="仿宋"/>
                <w:b/>
                <w:bCs/>
                <w:spacing w:val="-4"/>
                <w:sz w:val="24"/>
                <w:szCs w:val="24"/>
              </w:rPr>
              <w:t>图</w:t>
            </w:r>
            <w:r>
              <w:rPr>
                <w:rFonts w:ascii="仿宋" w:hAnsi="仿宋" w:eastAsia="仿宋" w:cs="仿宋"/>
                <w:spacing w:val="-38"/>
                <w:sz w:val="24"/>
                <w:szCs w:val="24"/>
              </w:rPr>
              <w:t xml:space="preserve"> </w:t>
            </w:r>
            <w:r>
              <w:rPr>
                <w:b/>
                <w:bCs/>
                <w:spacing w:val="-4"/>
                <w:sz w:val="24"/>
                <w:szCs w:val="24"/>
              </w:rPr>
              <w:t xml:space="preserve">2-3    </w:t>
            </w:r>
            <w:r>
              <w:rPr>
                <w:rFonts w:ascii="仿宋" w:hAnsi="仿宋" w:eastAsia="仿宋" w:cs="仿宋"/>
                <w:b/>
                <w:bCs/>
                <w:spacing w:val="-4"/>
                <w:sz w:val="24"/>
                <w:szCs w:val="24"/>
              </w:rPr>
              <w:t>路基标准横断面图一（挖方路段）</w:t>
            </w:r>
          </w:p>
          <w:p w14:paraId="4E995444">
            <w:pPr>
              <w:pStyle w:val="6"/>
              <w:spacing w:before="173" w:line="231" w:lineRule="auto"/>
              <w:ind w:left="434"/>
              <w:rPr>
                <w:rFonts w:ascii="仿宋" w:hAnsi="仿宋" w:eastAsia="仿宋" w:cs="仿宋"/>
                <w:sz w:val="20"/>
                <w:szCs w:val="20"/>
              </w:rPr>
            </w:pPr>
            <w:r>
              <w:rPr>
                <w:rFonts w:ascii="仿宋" w:hAnsi="仿宋" w:eastAsia="仿宋" w:cs="仿宋"/>
                <w:spacing w:val="8"/>
                <w:sz w:val="20"/>
                <w:szCs w:val="20"/>
              </w:rPr>
              <w:t>（</w:t>
            </w:r>
            <w:r>
              <w:rPr>
                <w:spacing w:val="8"/>
                <w:sz w:val="20"/>
                <w:szCs w:val="20"/>
              </w:rPr>
              <w:t>2</w:t>
            </w:r>
            <w:r>
              <w:rPr>
                <w:rFonts w:ascii="仿宋" w:hAnsi="仿宋" w:eastAsia="仿宋" w:cs="仿宋"/>
                <w:spacing w:val="8"/>
                <w:sz w:val="20"/>
                <w:szCs w:val="20"/>
              </w:rPr>
              <w:t>）路基设计标高及路拱横坡</w:t>
            </w:r>
          </w:p>
          <w:p w14:paraId="293BB5EE">
            <w:pPr>
              <w:pStyle w:val="6"/>
              <w:spacing w:before="159" w:line="370" w:lineRule="auto"/>
              <w:ind w:right="6" w:firstLine="427"/>
              <w:rPr>
                <w:rFonts w:ascii="仿宋" w:hAnsi="仿宋" w:eastAsia="仿宋" w:cs="仿宋"/>
                <w:sz w:val="20"/>
                <w:szCs w:val="20"/>
              </w:rPr>
            </w:pPr>
            <w:r>
              <w:rPr>
                <w:rFonts w:ascii="仿宋" w:hAnsi="仿宋" w:eastAsia="仿宋" w:cs="仿宋"/>
                <w:spacing w:val="8"/>
                <w:sz w:val="20"/>
                <w:szCs w:val="20"/>
              </w:rPr>
              <w:t>路基设计标高为路基中心线处标高，全线行车道路</w:t>
            </w:r>
            <w:r>
              <w:rPr>
                <w:rFonts w:ascii="仿宋" w:hAnsi="仿宋" w:eastAsia="仿宋" w:cs="仿宋"/>
                <w:spacing w:val="7"/>
                <w:sz w:val="20"/>
                <w:szCs w:val="20"/>
              </w:rPr>
              <w:t>拱横坡均采用</w:t>
            </w:r>
            <w:r>
              <w:rPr>
                <w:rFonts w:ascii="仿宋" w:hAnsi="仿宋" w:eastAsia="仿宋" w:cs="仿宋"/>
                <w:spacing w:val="-40"/>
                <w:sz w:val="20"/>
                <w:szCs w:val="20"/>
              </w:rPr>
              <w:t xml:space="preserve"> </w:t>
            </w:r>
            <w:r>
              <w:rPr>
                <w:spacing w:val="7"/>
                <w:sz w:val="20"/>
                <w:szCs w:val="20"/>
              </w:rPr>
              <w:t>0%</w:t>
            </w:r>
            <w:r>
              <w:rPr>
                <w:rFonts w:ascii="仿宋" w:hAnsi="仿宋" w:eastAsia="仿宋" w:cs="仿宋"/>
                <w:spacing w:val="7"/>
                <w:sz w:val="20"/>
                <w:szCs w:val="20"/>
              </w:rPr>
              <w:t>，路肩采用</w:t>
            </w:r>
            <w:r>
              <w:rPr>
                <w:spacing w:val="2"/>
                <w:sz w:val="20"/>
                <w:szCs w:val="20"/>
              </w:rPr>
              <w:t>2%</w:t>
            </w:r>
            <w:r>
              <w:rPr>
                <w:rFonts w:ascii="仿宋" w:hAnsi="仿宋" w:eastAsia="仿宋" w:cs="仿宋"/>
                <w:spacing w:val="2"/>
                <w:sz w:val="20"/>
                <w:szCs w:val="20"/>
              </w:rPr>
              <w:t>。</w:t>
            </w:r>
          </w:p>
          <w:p w14:paraId="61C8A2A8">
            <w:pPr>
              <w:pStyle w:val="6"/>
              <w:spacing w:before="176" w:line="232" w:lineRule="auto"/>
              <w:ind w:left="434"/>
              <w:rPr>
                <w:rFonts w:ascii="仿宋" w:hAnsi="仿宋" w:eastAsia="仿宋" w:cs="仿宋"/>
                <w:sz w:val="20"/>
                <w:szCs w:val="20"/>
              </w:rPr>
            </w:pPr>
            <w:r>
              <w:rPr>
                <w:rFonts w:ascii="仿宋" w:hAnsi="仿宋" w:eastAsia="仿宋" w:cs="仿宋"/>
                <w:spacing w:val="6"/>
                <w:sz w:val="20"/>
                <w:szCs w:val="20"/>
              </w:rPr>
              <w:t>（</w:t>
            </w:r>
            <w:r>
              <w:rPr>
                <w:spacing w:val="6"/>
                <w:sz w:val="20"/>
                <w:szCs w:val="20"/>
              </w:rPr>
              <w:t>3</w:t>
            </w:r>
            <w:r>
              <w:rPr>
                <w:rFonts w:ascii="仿宋" w:hAnsi="仿宋" w:eastAsia="仿宋" w:cs="仿宋"/>
                <w:spacing w:val="6"/>
                <w:sz w:val="20"/>
                <w:szCs w:val="20"/>
              </w:rPr>
              <w:t>）路基高度</w:t>
            </w:r>
          </w:p>
          <w:p w14:paraId="3D8DCC90">
            <w:pPr>
              <w:pStyle w:val="6"/>
              <w:spacing w:before="157" w:line="377" w:lineRule="auto"/>
              <w:ind w:left="10" w:right="6" w:firstLine="418"/>
              <w:rPr>
                <w:rFonts w:ascii="仿宋" w:hAnsi="仿宋" w:eastAsia="仿宋" w:cs="仿宋"/>
                <w:sz w:val="20"/>
                <w:szCs w:val="20"/>
              </w:rPr>
            </w:pPr>
            <w:r>
              <w:rPr>
                <w:rFonts w:ascii="仿宋" w:hAnsi="仿宋" w:eastAsia="仿宋" w:cs="仿宋"/>
                <w:spacing w:val="12"/>
                <w:sz w:val="20"/>
                <w:szCs w:val="20"/>
              </w:rPr>
              <w:t>路基填土高度除应保证路基稳定、桥涵高度</w:t>
            </w:r>
            <w:r>
              <w:rPr>
                <w:rFonts w:ascii="仿宋" w:hAnsi="仿宋" w:eastAsia="仿宋" w:cs="仿宋"/>
                <w:spacing w:val="11"/>
                <w:sz w:val="20"/>
                <w:szCs w:val="20"/>
              </w:rPr>
              <w:t>、立交和通道净空要求外，还综合</w:t>
            </w:r>
            <w:r>
              <w:rPr>
                <w:rFonts w:ascii="仿宋" w:hAnsi="仿宋" w:eastAsia="仿宋" w:cs="仿宋"/>
                <w:spacing w:val="10"/>
                <w:sz w:val="20"/>
                <w:szCs w:val="20"/>
              </w:rPr>
              <w:t>考虑了路基填料、地下水位、排水系统、</w:t>
            </w:r>
            <w:r>
              <w:rPr>
                <w:rFonts w:ascii="仿宋" w:hAnsi="仿宋" w:eastAsia="仿宋" w:cs="仿宋"/>
                <w:spacing w:val="-36"/>
                <w:sz w:val="20"/>
                <w:szCs w:val="20"/>
              </w:rPr>
              <w:t xml:space="preserve"> </w:t>
            </w:r>
            <w:r>
              <w:rPr>
                <w:rFonts w:ascii="仿宋" w:hAnsi="仿宋" w:eastAsia="仿宋" w:cs="仿宋"/>
                <w:spacing w:val="10"/>
                <w:sz w:val="20"/>
                <w:szCs w:val="20"/>
              </w:rPr>
              <w:t>自然条件、工</w:t>
            </w:r>
            <w:r>
              <w:rPr>
                <w:rFonts w:ascii="仿宋" w:hAnsi="仿宋" w:eastAsia="仿宋" w:cs="仿宋"/>
                <w:spacing w:val="9"/>
                <w:sz w:val="20"/>
                <w:szCs w:val="20"/>
              </w:rPr>
              <w:t>程地质条件及工程造价等因</w:t>
            </w:r>
            <w:r>
              <w:rPr>
                <w:rFonts w:ascii="仿宋" w:hAnsi="仿宋" w:eastAsia="仿宋" w:cs="仿宋"/>
                <w:spacing w:val="11"/>
                <w:sz w:val="20"/>
                <w:szCs w:val="20"/>
              </w:rPr>
              <w:t>素。填土高度过低造成地下水对路床产生不利影响，使路床强度降低；加上行车荷载对路床的作用，使路面产生竖向位移，导致路面高低不平，甚至引起路面破坏，</w:t>
            </w:r>
            <w:r>
              <w:rPr>
                <w:rFonts w:ascii="仿宋" w:hAnsi="仿宋" w:eastAsia="仿宋" w:cs="仿宋"/>
                <w:spacing w:val="7"/>
                <w:sz w:val="20"/>
                <w:szCs w:val="20"/>
              </w:rPr>
              <w:t>因此需要确定路基最小填土高度，路基设计洪水频率</w:t>
            </w:r>
            <w:r>
              <w:rPr>
                <w:rFonts w:ascii="仿宋" w:hAnsi="仿宋" w:eastAsia="仿宋" w:cs="仿宋"/>
                <w:spacing w:val="-12"/>
                <w:sz w:val="20"/>
                <w:szCs w:val="20"/>
              </w:rPr>
              <w:t xml:space="preserve"> </w:t>
            </w:r>
            <w:r>
              <w:rPr>
                <w:spacing w:val="7"/>
                <w:sz w:val="20"/>
                <w:szCs w:val="20"/>
              </w:rPr>
              <w:t>1/50</w:t>
            </w:r>
            <w:r>
              <w:rPr>
                <w:rFonts w:ascii="仿宋" w:hAnsi="仿宋" w:eastAsia="仿宋" w:cs="仿宋"/>
                <w:spacing w:val="7"/>
                <w:sz w:val="20"/>
                <w:szCs w:val="20"/>
              </w:rPr>
              <w:t>。</w:t>
            </w:r>
          </w:p>
          <w:p w14:paraId="2BD13C45">
            <w:pPr>
              <w:pStyle w:val="6"/>
              <w:spacing w:before="1" w:line="231" w:lineRule="auto"/>
              <w:ind w:left="434"/>
              <w:rPr>
                <w:rFonts w:ascii="仿宋" w:hAnsi="仿宋" w:eastAsia="仿宋" w:cs="仿宋"/>
                <w:sz w:val="20"/>
                <w:szCs w:val="20"/>
              </w:rPr>
            </w:pPr>
            <w:r>
              <w:rPr>
                <w:rFonts w:ascii="仿宋" w:hAnsi="仿宋" w:eastAsia="仿宋" w:cs="仿宋"/>
                <w:spacing w:val="7"/>
                <w:sz w:val="20"/>
                <w:szCs w:val="20"/>
              </w:rPr>
              <w:t>（</w:t>
            </w:r>
            <w:r>
              <w:rPr>
                <w:spacing w:val="7"/>
                <w:sz w:val="20"/>
                <w:szCs w:val="20"/>
              </w:rPr>
              <w:t>4</w:t>
            </w:r>
            <w:r>
              <w:rPr>
                <w:rFonts w:ascii="仿宋" w:hAnsi="仿宋" w:eastAsia="仿宋" w:cs="仿宋"/>
                <w:spacing w:val="7"/>
                <w:sz w:val="20"/>
                <w:szCs w:val="20"/>
              </w:rPr>
              <w:t>）路基边坡坡率</w:t>
            </w:r>
          </w:p>
          <w:p w14:paraId="50CD5B16">
            <w:pPr>
              <w:spacing w:before="155" w:line="377" w:lineRule="auto"/>
              <w:ind w:left="8" w:right="6" w:firstLine="423"/>
              <w:rPr>
                <w:rFonts w:ascii="仿宋" w:hAnsi="仿宋" w:eastAsia="仿宋" w:cs="仿宋"/>
                <w:sz w:val="20"/>
                <w:szCs w:val="20"/>
              </w:rPr>
            </w:pPr>
            <w:r>
              <w:rPr>
                <w:rFonts w:ascii="仿宋" w:hAnsi="仿宋" w:eastAsia="仿宋" w:cs="仿宋"/>
                <w:spacing w:val="11"/>
                <w:sz w:val="20"/>
                <w:szCs w:val="20"/>
              </w:rPr>
              <w:t>填方路基的边坡形式，应考虑沿线地形、地貌、基底工程地质与水文地质条件并结合路基填料、边坡高度、两侧土地利用情况综合考虑。路基边坡一般采用流线型横断面形式，取消坡顶、坡脚的折角。边坡坡率根据填料物理力学指标、边坡高</w:t>
            </w:r>
            <w:r>
              <w:rPr>
                <w:rFonts w:ascii="仿宋" w:hAnsi="仿宋" w:eastAsia="仿宋" w:cs="仿宋"/>
                <w:spacing w:val="10"/>
                <w:sz w:val="20"/>
                <w:szCs w:val="20"/>
              </w:rPr>
              <w:t>度、工程地质条件、地形条件、防雪效果等确定，</w:t>
            </w:r>
            <w:r>
              <w:rPr>
                <w:rFonts w:ascii="仿宋" w:hAnsi="仿宋" w:eastAsia="仿宋" w:cs="仿宋"/>
                <w:spacing w:val="-47"/>
                <w:sz w:val="20"/>
                <w:szCs w:val="20"/>
              </w:rPr>
              <w:t xml:space="preserve"> </w:t>
            </w:r>
            <w:r>
              <w:rPr>
                <w:rFonts w:ascii="仿宋" w:hAnsi="仿宋" w:eastAsia="仿宋" w:cs="仿宋"/>
                <w:spacing w:val="10"/>
                <w:sz w:val="20"/>
                <w:szCs w:val="20"/>
              </w:rPr>
              <w:t>因地制宜放缓路堤边坡坡率，使</w:t>
            </w:r>
            <w:r>
              <w:rPr>
                <w:rFonts w:ascii="仿宋" w:hAnsi="仿宋" w:eastAsia="仿宋" w:cs="仿宋"/>
                <w:spacing w:val="9"/>
                <w:sz w:val="20"/>
                <w:szCs w:val="20"/>
              </w:rPr>
              <w:t>路堤与周围环境融合，并尽量为失控车辆提供适当的救援机会。</w:t>
            </w:r>
          </w:p>
          <w:p w14:paraId="3000435B">
            <w:pPr>
              <w:pStyle w:val="6"/>
              <w:spacing w:before="2" w:line="231" w:lineRule="auto"/>
              <w:ind w:left="428"/>
              <w:rPr>
                <w:rFonts w:ascii="仿宋" w:hAnsi="仿宋" w:eastAsia="仿宋" w:cs="仿宋"/>
                <w:sz w:val="20"/>
                <w:szCs w:val="20"/>
              </w:rPr>
            </w:pPr>
            <w:r>
              <w:rPr>
                <w:rFonts w:ascii="仿宋" w:hAnsi="仿宋" w:eastAsia="仿宋" w:cs="仿宋"/>
                <w:spacing w:val="4"/>
                <w:sz w:val="20"/>
                <w:szCs w:val="20"/>
              </w:rPr>
              <w:t>路堤边坡坡率均采用</w:t>
            </w:r>
            <w:r>
              <w:rPr>
                <w:rFonts w:ascii="仿宋" w:hAnsi="仿宋" w:eastAsia="仿宋" w:cs="仿宋"/>
                <w:spacing w:val="-7"/>
                <w:sz w:val="20"/>
                <w:szCs w:val="20"/>
              </w:rPr>
              <w:t xml:space="preserve"> </w:t>
            </w:r>
            <w:r>
              <w:rPr>
                <w:spacing w:val="4"/>
                <w:sz w:val="20"/>
                <w:szCs w:val="20"/>
              </w:rPr>
              <w:t>1:1.5</w:t>
            </w:r>
            <w:r>
              <w:rPr>
                <w:spacing w:val="-20"/>
                <w:sz w:val="20"/>
                <w:szCs w:val="20"/>
              </w:rPr>
              <w:t xml:space="preserve"> </w:t>
            </w:r>
            <w:r>
              <w:rPr>
                <w:rFonts w:ascii="仿宋" w:hAnsi="仿宋" w:eastAsia="仿宋" w:cs="仿宋"/>
                <w:spacing w:val="4"/>
                <w:sz w:val="20"/>
                <w:szCs w:val="20"/>
              </w:rPr>
              <w:t>；路堑边坡坡率均采用</w:t>
            </w:r>
            <w:r>
              <w:rPr>
                <w:rFonts w:ascii="仿宋" w:hAnsi="仿宋" w:eastAsia="仿宋" w:cs="仿宋"/>
                <w:spacing w:val="-23"/>
                <w:sz w:val="20"/>
                <w:szCs w:val="20"/>
              </w:rPr>
              <w:t xml:space="preserve"> </w:t>
            </w:r>
            <w:r>
              <w:rPr>
                <w:spacing w:val="4"/>
                <w:sz w:val="20"/>
                <w:szCs w:val="20"/>
              </w:rPr>
              <w:t>1:1.0</w:t>
            </w:r>
            <w:r>
              <w:rPr>
                <w:rFonts w:ascii="仿宋" w:hAnsi="仿宋" w:eastAsia="仿宋" w:cs="仿宋"/>
                <w:spacing w:val="4"/>
                <w:sz w:val="20"/>
                <w:szCs w:val="20"/>
              </w:rPr>
              <w:t>。</w:t>
            </w:r>
          </w:p>
          <w:p w14:paraId="6037868C">
            <w:pPr>
              <w:pStyle w:val="6"/>
              <w:spacing w:before="160" w:line="232" w:lineRule="auto"/>
              <w:ind w:left="434"/>
              <w:rPr>
                <w:rFonts w:ascii="仿宋" w:hAnsi="仿宋" w:eastAsia="仿宋" w:cs="仿宋"/>
                <w:sz w:val="20"/>
                <w:szCs w:val="20"/>
              </w:rPr>
            </w:pPr>
            <w:r>
              <w:rPr>
                <w:rFonts w:ascii="仿宋" w:hAnsi="仿宋" w:eastAsia="仿宋" w:cs="仿宋"/>
                <w:spacing w:val="7"/>
                <w:sz w:val="20"/>
                <w:szCs w:val="20"/>
              </w:rPr>
              <w:t>（</w:t>
            </w:r>
            <w:r>
              <w:rPr>
                <w:spacing w:val="7"/>
                <w:sz w:val="20"/>
                <w:szCs w:val="20"/>
              </w:rPr>
              <w:t>5</w:t>
            </w:r>
            <w:r>
              <w:rPr>
                <w:rFonts w:ascii="仿宋" w:hAnsi="仿宋" w:eastAsia="仿宋" w:cs="仿宋"/>
                <w:spacing w:val="7"/>
                <w:sz w:val="20"/>
                <w:szCs w:val="20"/>
              </w:rPr>
              <w:t>）公路用地范围</w:t>
            </w:r>
          </w:p>
          <w:p w14:paraId="3AF769C7">
            <w:pPr>
              <w:pStyle w:val="6"/>
              <w:spacing w:before="156" w:line="377" w:lineRule="auto"/>
              <w:ind w:left="10" w:right="6" w:firstLine="424"/>
              <w:rPr>
                <w:rFonts w:ascii="仿宋" w:hAnsi="仿宋" w:eastAsia="仿宋" w:cs="仿宋"/>
                <w:sz w:val="20"/>
                <w:szCs w:val="20"/>
              </w:rPr>
            </w:pPr>
            <w:r>
              <w:rPr>
                <w:rFonts w:ascii="仿宋" w:hAnsi="仿宋" w:eastAsia="仿宋" w:cs="仿宋"/>
                <w:spacing w:val="6"/>
                <w:sz w:val="20"/>
                <w:szCs w:val="20"/>
              </w:rPr>
              <w:t>公路用地范围：填方路段为路堤坡脚（或排水沟）以外</w:t>
            </w:r>
            <w:r>
              <w:rPr>
                <w:rFonts w:ascii="仿宋" w:hAnsi="仿宋" w:eastAsia="仿宋" w:cs="仿宋"/>
                <w:spacing w:val="37"/>
                <w:sz w:val="20"/>
                <w:szCs w:val="20"/>
              </w:rPr>
              <w:t xml:space="preserve"> </w:t>
            </w:r>
            <w:r>
              <w:rPr>
                <w:spacing w:val="6"/>
                <w:sz w:val="20"/>
                <w:szCs w:val="20"/>
              </w:rPr>
              <w:t>1.0m</w:t>
            </w:r>
            <w:r>
              <w:rPr>
                <w:spacing w:val="-21"/>
                <w:sz w:val="20"/>
                <w:szCs w:val="20"/>
              </w:rPr>
              <w:t xml:space="preserve"> </w:t>
            </w:r>
            <w:r>
              <w:rPr>
                <w:rFonts w:ascii="仿宋" w:hAnsi="仿宋" w:eastAsia="仿宋" w:cs="仿宋"/>
                <w:spacing w:val="6"/>
                <w:sz w:val="20"/>
                <w:szCs w:val="20"/>
              </w:rPr>
              <w:t>，挖方路段为路堑</w:t>
            </w:r>
            <w:r>
              <w:rPr>
                <w:rFonts w:ascii="仿宋" w:hAnsi="仿宋" w:eastAsia="仿宋" w:cs="仿宋"/>
                <w:spacing w:val="2"/>
                <w:sz w:val="20"/>
                <w:szCs w:val="20"/>
              </w:rPr>
              <w:t>坡顶（或截水沟）</w:t>
            </w:r>
            <w:r>
              <w:rPr>
                <w:rFonts w:ascii="仿宋" w:hAnsi="仿宋" w:eastAsia="仿宋" w:cs="仿宋"/>
                <w:spacing w:val="-51"/>
                <w:sz w:val="20"/>
                <w:szCs w:val="20"/>
              </w:rPr>
              <w:t xml:space="preserve"> </w:t>
            </w:r>
            <w:r>
              <w:rPr>
                <w:rFonts w:ascii="仿宋" w:hAnsi="仿宋" w:eastAsia="仿宋" w:cs="仿宋"/>
                <w:spacing w:val="2"/>
                <w:sz w:val="20"/>
                <w:szCs w:val="20"/>
              </w:rPr>
              <w:t>以外</w:t>
            </w:r>
            <w:r>
              <w:rPr>
                <w:rFonts w:ascii="仿宋" w:hAnsi="仿宋" w:eastAsia="仿宋" w:cs="仿宋"/>
                <w:spacing w:val="32"/>
                <w:sz w:val="20"/>
                <w:szCs w:val="20"/>
              </w:rPr>
              <w:t xml:space="preserve"> </w:t>
            </w:r>
            <w:r>
              <w:rPr>
                <w:spacing w:val="2"/>
                <w:sz w:val="20"/>
                <w:szCs w:val="20"/>
              </w:rPr>
              <w:t>1.0m</w:t>
            </w:r>
            <w:r>
              <w:rPr>
                <w:rFonts w:ascii="仿宋" w:hAnsi="仿宋" w:eastAsia="仿宋" w:cs="仿宋"/>
                <w:spacing w:val="2"/>
                <w:sz w:val="20"/>
                <w:szCs w:val="20"/>
              </w:rPr>
              <w:t>。</w:t>
            </w:r>
          </w:p>
          <w:p w14:paraId="267A0D4E">
            <w:pPr>
              <w:pStyle w:val="6"/>
              <w:spacing w:before="1" w:line="230" w:lineRule="auto"/>
              <w:ind w:left="434"/>
              <w:rPr>
                <w:rFonts w:ascii="仿宋" w:hAnsi="仿宋" w:eastAsia="仿宋" w:cs="仿宋"/>
                <w:sz w:val="20"/>
                <w:szCs w:val="20"/>
              </w:rPr>
            </w:pPr>
            <w:r>
              <w:rPr>
                <w:rFonts w:ascii="仿宋" w:hAnsi="仿宋" w:eastAsia="仿宋" w:cs="仿宋"/>
                <w:spacing w:val="6"/>
                <w:sz w:val="20"/>
                <w:szCs w:val="20"/>
              </w:rPr>
              <w:t>（</w:t>
            </w:r>
            <w:r>
              <w:rPr>
                <w:spacing w:val="6"/>
                <w:sz w:val="20"/>
                <w:szCs w:val="20"/>
              </w:rPr>
              <w:t>6</w:t>
            </w:r>
            <w:r>
              <w:rPr>
                <w:rFonts w:ascii="仿宋" w:hAnsi="仿宋" w:eastAsia="仿宋" w:cs="仿宋"/>
                <w:spacing w:val="6"/>
                <w:sz w:val="20"/>
                <w:szCs w:val="20"/>
              </w:rPr>
              <w:t>）路基取弃土</w:t>
            </w:r>
          </w:p>
          <w:p w14:paraId="1CFFD481">
            <w:pPr>
              <w:pStyle w:val="6"/>
              <w:spacing w:before="161" w:line="229" w:lineRule="auto"/>
              <w:ind w:right="6"/>
              <w:jc w:val="right"/>
              <w:rPr>
                <w:rFonts w:ascii="仿宋" w:hAnsi="仿宋" w:eastAsia="仿宋" w:cs="仿宋"/>
                <w:sz w:val="20"/>
                <w:szCs w:val="20"/>
              </w:rPr>
            </w:pPr>
            <w:r>
              <w:rPr>
                <w:rFonts w:ascii="仿宋" w:hAnsi="仿宋" w:eastAsia="仿宋" w:cs="仿宋"/>
                <w:spacing w:val="10"/>
                <w:sz w:val="20"/>
                <w:szCs w:val="20"/>
              </w:rPr>
              <w:t>本段公路较短，按照</w:t>
            </w:r>
            <w:r>
              <w:rPr>
                <w:spacing w:val="10"/>
                <w:sz w:val="20"/>
                <w:szCs w:val="20"/>
              </w:rPr>
              <w:t>“</w:t>
            </w:r>
            <w:r>
              <w:rPr>
                <w:spacing w:val="-16"/>
                <w:sz w:val="20"/>
                <w:szCs w:val="20"/>
              </w:rPr>
              <w:t xml:space="preserve"> </w:t>
            </w:r>
            <w:r>
              <w:rPr>
                <w:rFonts w:ascii="仿宋" w:hAnsi="仿宋" w:eastAsia="仿宋" w:cs="仿宋"/>
                <w:spacing w:val="10"/>
                <w:sz w:val="20"/>
                <w:szCs w:val="20"/>
              </w:rPr>
              <w:t>节约用地、注重环保</w:t>
            </w:r>
            <w:r>
              <w:rPr>
                <w:spacing w:val="10"/>
                <w:sz w:val="20"/>
                <w:szCs w:val="20"/>
              </w:rPr>
              <w:t>”</w:t>
            </w:r>
            <w:r>
              <w:rPr>
                <w:spacing w:val="-20"/>
                <w:sz w:val="20"/>
                <w:szCs w:val="20"/>
              </w:rPr>
              <w:t xml:space="preserve"> </w:t>
            </w:r>
            <w:r>
              <w:rPr>
                <w:rFonts w:ascii="仿宋" w:hAnsi="仿宋" w:eastAsia="仿宋" w:cs="仿宋"/>
                <w:spacing w:val="10"/>
                <w:sz w:val="20"/>
                <w:szCs w:val="20"/>
              </w:rPr>
              <w:t>的原则，通过优化竖向设计，本工</w:t>
            </w:r>
          </w:p>
        </w:tc>
      </w:tr>
    </w:tbl>
    <w:p w14:paraId="7428951C">
      <w:pPr>
        <w:pStyle w:val="2"/>
        <w:spacing w:line="132" w:lineRule="exact"/>
        <w:rPr>
          <w:sz w:val="11"/>
        </w:rPr>
      </w:pPr>
    </w:p>
    <w:p w14:paraId="22E0BE73">
      <w:pPr>
        <w:spacing w:line="132" w:lineRule="exact"/>
        <w:rPr>
          <w:sz w:val="11"/>
          <w:szCs w:val="11"/>
        </w:rPr>
        <w:sectPr>
          <w:footerReference r:id="rId28" w:type="default"/>
          <w:pgSz w:w="11907" w:h="16840"/>
          <w:pgMar w:top="400" w:right="1757" w:bottom="1446" w:left="1757" w:header="0" w:footer="1284" w:gutter="0"/>
          <w:cols w:space="720" w:num="1"/>
        </w:sectPr>
      </w:pPr>
    </w:p>
    <w:p w14:paraId="4ECDECA0">
      <w:pPr>
        <w:spacing w:before="19"/>
      </w:pPr>
    </w:p>
    <w:p w14:paraId="218773CE">
      <w:pPr>
        <w:spacing w:before="19"/>
      </w:pPr>
    </w:p>
    <w:p w14:paraId="7F8F956A">
      <w:pPr>
        <w:spacing w:before="18"/>
      </w:pPr>
    </w:p>
    <w:p w14:paraId="6B148BE9">
      <w:pPr>
        <w:spacing w:before="18"/>
      </w:pPr>
    </w:p>
    <w:tbl>
      <w:tblPr>
        <w:tblStyle w:val="5"/>
        <w:tblW w:w="8377"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7"/>
        <w:gridCol w:w="538"/>
        <w:gridCol w:w="2585"/>
        <w:gridCol w:w="1090"/>
        <w:gridCol w:w="3427"/>
      </w:tblGrid>
      <w:tr w14:paraId="4F1A40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7" w:hRule="atLeast"/>
        </w:trPr>
        <w:tc>
          <w:tcPr>
            <w:tcW w:w="737" w:type="dxa"/>
            <w:vMerge w:val="restart"/>
            <w:tcBorders>
              <w:top w:val="single" w:color="000000" w:sz="6" w:space="0"/>
              <w:left w:val="single" w:color="000000" w:sz="6" w:space="0"/>
              <w:bottom w:val="nil"/>
            </w:tcBorders>
            <w:vAlign w:val="top"/>
          </w:tcPr>
          <w:p w14:paraId="5B344AC7">
            <w:pPr>
              <w:rPr>
                <w:rFonts w:ascii="Arial"/>
                <w:sz w:val="21"/>
              </w:rPr>
            </w:pPr>
          </w:p>
        </w:tc>
        <w:tc>
          <w:tcPr>
            <w:tcW w:w="7640" w:type="dxa"/>
            <w:gridSpan w:val="4"/>
            <w:tcBorders>
              <w:top w:val="single" w:color="000000" w:sz="6" w:space="0"/>
              <w:bottom w:val="single" w:color="000000" w:sz="10" w:space="0"/>
              <w:right w:val="single" w:color="000000" w:sz="6" w:space="0"/>
            </w:tcBorders>
            <w:vAlign w:val="top"/>
          </w:tcPr>
          <w:p w14:paraId="26235962">
            <w:pPr>
              <w:spacing w:before="27" w:line="230" w:lineRule="auto"/>
              <w:ind w:left="11"/>
              <w:rPr>
                <w:rFonts w:ascii="仿宋" w:hAnsi="仿宋" w:eastAsia="仿宋" w:cs="仿宋"/>
                <w:sz w:val="20"/>
                <w:szCs w:val="20"/>
              </w:rPr>
            </w:pPr>
            <w:r>
              <w:rPr>
                <w:rFonts w:ascii="仿宋" w:hAnsi="仿宋" w:eastAsia="仿宋" w:cs="仿宋"/>
                <w:spacing w:val="8"/>
                <w:sz w:val="20"/>
                <w:szCs w:val="20"/>
              </w:rPr>
              <w:t>程土方移挖补填，不设取弃土场。</w:t>
            </w:r>
          </w:p>
          <w:p w14:paraId="5AEF1972">
            <w:pPr>
              <w:pStyle w:val="6"/>
              <w:spacing w:before="158" w:line="231" w:lineRule="auto"/>
              <w:ind w:left="422"/>
              <w:rPr>
                <w:rFonts w:ascii="仿宋" w:hAnsi="仿宋" w:eastAsia="仿宋" w:cs="仿宋"/>
                <w:sz w:val="20"/>
                <w:szCs w:val="20"/>
              </w:rPr>
            </w:pPr>
            <w:r>
              <w:rPr>
                <w:b/>
                <w:bCs/>
                <w:spacing w:val="1"/>
                <w:sz w:val="20"/>
                <w:szCs w:val="20"/>
              </w:rPr>
              <w:t>9</w:t>
            </w:r>
            <w:r>
              <w:rPr>
                <w:b/>
                <w:bCs/>
                <w:spacing w:val="-18"/>
                <w:sz w:val="20"/>
                <w:szCs w:val="20"/>
              </w:rPr>
              <w:t xml:space="preserve"> </w:t>
            </w:r>
            <w:r>
              <w:rPr>
                <w:rFonts w:ascii="仿宋" w:hAnsi="仿宋" w:eastAsia="仿宋" w:cs="仿宋"/>
                <w:b/>
                <w:bCs/>
                <w:spacing w:val="1"/>
                <w:sz w:val="20"/>
                <w:szCs w:val="20"/>
              </w:rPr>
              <w:t>、排水工程</w:t>
            </w:r>
          </w:p>
          <w:p w14:paraId="1C51997C">
            <w:pPr>
              <w:pStyle w:val="6"/>
              <w:spacing w:before="156" w:line="377" w:lineRule="auto"/>
              <w:ind w:left="6" w:right="6" w:firstLine="486"/>
              <w:jc w:val="both"/>
              <w:rPr>
                <w:rFonts w:ascii="仿宋" w:hAnsi="仿宋" w:eastAsia="仿宋" w:cs="仿宋"/>
                <w:sz w:val="20"/>
                <w:szCs w:val="20"/>
              </w:rPr>
            </w:pPr>
            <w:r>
              <w:rPr>
                <w:rFonts w:ascii="仿宋" w:hAnsi="仿宋" w:eastAsia="仿宋" w:cs="仿宋"/>
                <w:spacing w:val="8"/>
                <w:sz w:val="20"/>
                <w:szCs w:val="20"/>
              </w:rPr>
              <w:t>本项目挖方段设置</w:t>
            </w:r>
            <w:r>
              <w:rPr>
                <w:rFonts w:ascii="仿宋" w:hAnsi="仿宋" w:eastAsia="仿宋" w:cs="仿宋"/>
                <w:spacing w:val="-38"/>
                <w:sz w:val="20"/>
                <w:szCs w:val="20"/>
              </w:rPr>
              <w:t xml:space="preserve"> </w:t>
            </w:r>
            <w:r>
              <w:rPr>
                <w:spacing w:val="8"/>
                <w:sz w:val="20"/>
                <w:szCs w:val="20"/>
              </w:rPr>
              <w:t>7</w:t>
            </w:r>
            <w:r>
              <w:rPr>
                <w:spacing w:val="26"/>
                <w:w w:val="101"/>
                <w:sz w:val="20"/>
                <w:szCs w:val="20"/>
              </w:rPr>
              <w:t xml:space="preserve"> </w:t>
            </w:r>
            <w:r>
              <w:rPr>
                <w:rFonts w:ascii="仿宋" w:hAnsi="仿宋" w:eastAsia="仿宋" w:cs="仿宋"/>
                <w:spacing w:val="8"/>
                <w:sz w:val="20"/>
                <w:szCs w:val="20"/>
              </w:rPr>
              <w:t>字型边沟，边沟采用</w:t>
            </w:r>
            <w:r>
              <w:rPr>
                <w:rFonts w:ascii="仿宋" w:hAnsi="仿宋" w:eastAsia="仿宋" w:cs="仿宋"/>
                <w:spacing w:val="-35"/>
                <w:sz w:val="20"/>
                <w:szCs w:val="20"/>
              </w:rPr>
              <w:t xml:space="preserve"> </w:t>
            </w:r>
            <w:r>
              <w:rPr>
                <w:spacing w:val="8"/>
                <w:sz w:val="20"/>
                <w:szCs w:val="20"/>
              </w:rPr>
              <w:t>C25</w:t>
            </w:r>
            <w:r>
              <w:rPr>
                <w:spacing w:val="23"/>
                <w:w w:val="101"/>
                <w:sz w:val="20"/>
                <w:szCs w:val="20"/>
              </w:rPr>
              <w:t xml:space="preserve"> </w:t>
            </w:r>
            <w:r>
              <w:rPr>
                <w:rFonts w:ascii="仿宋" w:hAnsi="仿宋" w:eastAsia="仿宋" w:cs="仿宋"/>
                <w:spacing w:val="8"/>
                <w:sz w:val="20"/>
                <w:szCs w:val="20"/>
              </w:rPr>
              <w:t>混凝土滑</w:t>
            </w:r>
            <w:r>
              <w:rPr>
                <w:rFonts w:ascii="仿宋" w:hAnsi="仿宋" w:eastAsia="仿宋" w:cs="仿宋"/>
                <w:spacing w:val="7"/>
                <w:sz w:val="20"/>
                <w:szCs w:val="20"/>
              </w:rPr>
              <w:t>膜，厚</w:t>
            </w:r>
            <w:r>
              <w:rPr>
                <w:rFonts w:ascii="仿宋" w:hAnsi="仿宋" w:eastAsia="仿宋" w:cs="仿宋"/>
                <w:spacing w:val="-18"/>
                <w:sz w:val="20"/>
                <w:szCs w:val="20"/>
              </w:rPr>
              <w:t xml:space="preserve"> </w:t>
            </w:r>
            <w:r>
              <w:rPr>
                <w:spacing w:val="7"/>
                <w:sz w:val="20"/>
                <w:szCs w:val="20"/>
              </w:rPr>
              <w:t>10</w:t>
            </w:r>
            <w:r>
              <w:rPr>
                <w:sz w:val="20"/>
                <w:szCs w:val="20"/>
              </w:rPr>
              <w:t>cm</w:t>
            </w:r>
            <w:r>
              <w:rPr>
                <w:spacing w:val="-21"/>
                <w:sz w:val="20"/>
                <w:szCs w:val="20"/>
              </w:rPr>
              <w:t xml:space="preserve"> </w:t>
            </w:r>
            <w:r>
              <w:rPr>
                <w:rFonts w:ascii="仿宋" w:hAnsi="仿宋" w:eastAsia="仿宋" w:cs="仿宋"/>
                <w:spacing w:val="7"/>
                <w:sz w:val="20"/>
                <w:szCs w:val="20"/>
              </w:rPr>
              <w:t>，底部设</w:t>
            </w:r>
            <w:r>
              <w:rPr>
                <w:rFonts w:ascii="仿宋" w:hAnsi="仿宋" w:eastAsia="仿宋" w:cs="仿宋"/>
                <w:spacing w:val="8"/>
                <w:sz w:val="20"/>
                <w:szCs w:val="20"/>
              </w:rPr>
              <w:t>置</w:t>
            </w:r>
            <w:r>
              <w:rPr>
                <w:rFonts w:ascii="仿宋" w:hAnsi="仿宋" w:eastAsia="仿宋" w:cs="仿宋"/>
                <w:spacing w:val="-19"/>
                <w:sz w:val="20"/>
                <w:szCs w:val="20"/>
              </w:rPr>
              <w:t xml:space="preserve"> </w:t>
            </w:r>
            <w:r>
              <w:rPr>
                <w:spacing w:val="8"/>
                <w:sz w:val="20"/>
                <w:szCs w:val="20"/>
              </w:rPr>
              <w:t>10</w:t>
            </w:r>
            <w:r>
              <w:rPr>
                <w:sz w:val="20"/>
                <w:szCs w:val="20"/>
              </w:rPr>
              <w:t>cm</w:t>
            </w:r>
            <w:r>
              <w:rPr>
                <w:spacing w:val="22"/>
                <w:sz w:val="20"/>
                <w:szCs w:val="20"/>
              </w:rPr>
              <w:t xml:space="preserve"> </w:t>
            </w:r>
            <w:r>
              <w:rPr>
                <w:rFonts w:ascii="仿宋" w:hAnsi="仿宋" w:eastAsia="仿宋" w:cs="仿宋"/>
                <w:spacing w:val="8"/>
                <w:sz w:val="20"/>
                <w:szCs w:val="20"/>
              </w:rPr>
              <w:t>未筛分碎石垫层，边沟总宽</w:t>
            </w:r>
            <w:r>
              <w:rPr>
                <w:rFonts w:ascii="仿宋" w:hAnsi="仿宋" w:eastAsia="仿宋" w:cs="仿宋"/>
                <w:spacing w:val="-18"/>
                <w:sz w:val="20"/>
                <w:szCs w:val="20"/>
              </w:rPr>
              <w:t xml:space="preserve"> </w:t>
            </w:r>
            <w:r>
              <w:rPr>
                <w:spacing w:val="8"/>
                <w:sz w:val="20"/>
                <w:szCs w:val="20"/>
              </w:rPr>
              <w:t>1.</w:t>
            </w:r>
            <w:r>
              <w:rPr>
                <w:spacing w:val="-25"/>
                <w:sz w:val="20"/>
                <w:szCs w:val="20"/>
              </w:rPr>
              <w:t xml:space="preserve"> </w:t>
            </w:r>
            <w:r>
              <w:rPr>
                <w:spacing w:val="8"/>
                <w:sz w:val="20"/>
                <w:szCs w:val="20"/>
              </w:rPr>
              <w:t>15m</w:t>
            </w:r>
            <w:r>
              <w:rPr>
                <w:spacing w:val="-16"/>
                <w:sz w:val="20"/>
                <w:szCs w:val="20"/>
              </w:rPr>
              <w:t xml:space="preserve"> </w:t>
            </w:r>
            <w:r>
              <w:rPr>
                <w:rFonts w:ascii="仿宋" w:hAnsi="仿宋" w:eastAsia="仿宋" w:cs="仿宋"/>
                <w:spacing w:val="8"/>
                <w:sz w:val="20"/>
                <w:szCs w:val="20"/>
              </w:rPr>
              <w:t>，排水沟采用</w:t>
            </w:r>
            <w:r>
              <w:rPr>
                <w:rFonts w:ascii="仿宋" w:hAnsi="仿宋" w:eastAsia="仿宋" w:cs="仿宋"/>
                <w:spacing w:val="-35"/>
                <w:sz w:val="20"/>
                <w:szCs w:val="20"/>
              </w:rPr>
              <w:t xml:space="preserve"> </w:t>
            </w:r>
            <w:r>
              <w:rPr>
                <w:spacing w:val="8"/>
                <w:sz w:val="20"/>
                <w:szCs w:val="20"/>
              </w:rPr>
              <w:t>C25</w:t>
            </w:r>
            <w:r>
              <w:rPr>
                <w:spacing w:val="20"/>
                <w:sz w:val="20"/>
                <w:szCs w:val="20"/>
              </w:rPr>
              <w:t xml:space="preserve"> </w:t>
            </w:r>
            <w:r>
              <w:rPr>
                <w:rFonts w:ascii="仿宋" w:hAnsi="仿宋" w:eastAsia="仿宋" w:cs="仿宋"/>
                <w:spacing w:val="8"/>
                <w:sz w:val="20"/>
                <w:szCs w:val="20"/>
              </w:rPr>
              <w:t>现浇混凝土，尺寸为</w:t>
            </w:r>
            <w:r>
              <w:rPr>
                <w:spacing w:val="6"/>
                <w:sz w:val="20"/>
                <w:szCs w:val="20"/>
              </w:rPr>
              <w:t>50</w:t>
            </w:r>
            <w:r>
              <w:rPr>
                <w:sz w:val="20"/>
                <w:szCs w:val="20"/>
              </w:rPr>
              <w:t>cm</w:t>
            </w:r>
            <w:r>
              <w:rPr>
                <w:spacing w:val="6"/>
                <w:sz w:val="20"/>
                <w:szCs w:val="20"/>
              </w:rPr>
              <w:t>×50</w:t>
            </w:r>
            <w:r>
              <w:rPr>
                <w:sz w:val="20"/>
                <w:szCs w:val="20"/>
              </w:rPr>
              <w:t>cm</w:t>
            </w:r>
            <w:r>
              <w:rPr>
                <w:spacing w:val="24"/>
                <w:sz w:val="20"/>
                <w:szCs w:val="20"/>
              </w:rPr>
              <w:t xml:space="preserve"> </w:t>
            </w:r>
            <w:r>
              <w:rPr>
                <w:rFonts w:ascii="仿宋" w:hAnsi="仿宋" w:eastAsia="仿宋" w:cs="仿宋"/>
                <w:spacing w:val="6"/>
                <w:sz w:val="20"/>
                <w:szCs w:val="20"/>
              </w:rPr>
              <w:t>矩形排水沟。</w:t>
            </w:r>
          </w:p>
          <w:p w14:paraId="70D6E84A">
            <w:pPr>
              <w:pStyle w:val="6"/>
              <w:spacing w:line="230" w:lineRule="auto"/>
              <w:ind w:left="1595"/>
              <w:rPr>
                <w:rFonts w:ascii="仿宋" w:hAnsi="仿宋" w:eastAsia="仿宋" w:cs="仿宋"/>
                <w:sz w:val="20"/>
                <w:szCs w:val="20"/>
              </w:rPr>
            </w:pPr>
            <w:r>
              <w:rPr>
                <w:rFonts w:ascii="仿宋" w:hAnsi="仿宋" w:eastAsia="仿宋" w:cs="仿宋"/>
                <w:b/>
                <w:bCs/>
                <w:spacing w:val="5"/>
                <w:sz w:val="20"/>
                <w:szCs w:val="20"/>
              </w:rPr>
              <w:t>表</w:t>
            </w:r>
            <w:r>
              <w:rPr>
                <w:b/>
                <w:bCs/>
                <w:spacing w:val="5"/>
                <w:sz w:val="20"/>
                <w:szCs w:val="20"/>
              </w:rPr>
              <w:t xml:space="preserve">2-10          </w:t>
            </w:r>
            <w:r>
              <w:rPr>
                <w:rFonts w:ascii="仿宋" w:hAnsi="仿宋" w:eastAsia="仿宋" w:cs="仿宋"/>
                <w:b/>
                <w:bCs/>
                <w:spacing w:val="5"/>
                <w:sz w:val="20"/>
                <w:szCs w:val="20"/>
              </w:rPr>
              <w:t>路基路面排水工程设置一</w:t>
            </w:r>
            <w:r>
              <w:rPr>
                <w:rFonts w:ascii="仿宋" w:hAnsi="仿宋" w:eastAsia="仿宋" w:cs="仿宋"/>
                <w:b/>
                <w:bCs/>
                <w:spacing w:val="4"/>
                <w:sz w:val="20"/>
                <w:szCs w:val="20"/>
              </w:rPr>
              <w:t>览表（一）</w:t>
            </w:r>
          </w:p>
        </w:tc>
      </w:tr>
      <w:tr w14:paraId="07F269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9" w:hRule="atLeast"/>
        </w:trPr>
        <w:tc>
          <w:tcPr>
            <w:tcW w:w="737" w:type="dxa"/>
            <w:vMerge w:val="continue"/>
            <w:tcBorders>
              <w:top w:val="nil"/>
              <w:left w:val="single" w:color="000000" w:sz="6" w:space="0"/>
              <w:bottom w:val="nil"/>
            </w:tcBorders>
            <w:vAlign w:val="top"/>
          </w:tcPr>
          <w:p w14:paraId="4B622F03">
            <w:pPr>
              <w:rPr>
                <w:rFonts w:ascii="Arial"/>
                <w:sz w:val="21"/>
              </w:rPr>
            </w:pPr>
          </w:p>
        </w:tc>
        <w:tc>
          <w:tcPr>
            <w:tcW w:w="538" w:type="dxa"/>
            <w:tcBorders>
              <w:top w:val="single" w:color="000000" w:sz="10" w:space="0"/>
            </w:tcBorders>
            <w:vAlign w:val="top"/>
          </w:tcPr>
          <w:p w14:paraId="4854AF70">
            <w:pPr>
              <w:spacing w:before="20" w:line="204" w:lineRule="auto"/>
              <w:ind w:left="92"/>
              <w:rPr>
                <w:rFonts w:ascii="仿宋" w:hAnsi="仿宋" w:eastAsia="仿宋" w:cs="仿宋"/>
                <w:sz w:val="18"/>
                <w:szCs w:val="18"/>
              </w:rPr>
            </w:pPr>
            <w:r>
              <w:rPr>
                <w:rFonts w:ascii="仿宋" w:hAnsi="仿宋" w:eastAsia="仿宋" w:cs="仿宋"/>
                <w:spacing w:val="-6"/>
                <w:sz w:val="18"/>
                <w:szCs w:val="18"/>
              </w:rPr>
              <w:t>序号</w:t>
            </w:r>
          </w:p>
        </w:tc>
        <w:tc>
          <w:tcPr>
            <w:tcW w:w="2585" w:type="dxa"/>
            <w:tcBorders>
              <w:top w:val="single" w:color="000000" w:sz="10" w:space="0"/>
            </w:tcBorders>
            <w:vAlign w:val="top"/>
          </w:tcPr>
          <w:p w14:paraId="5AD80438">
            <w:pPr>
              <w:spacing w:before="20" w:line="204" w:lineRule="auto"/>
              <w:ind w:left="513"/>
              <w:rPr>
                <w:rFonts w:ascii="仿宋" w:hAnsi="仿宋" w:eastAsia="仿宋" w:cs="仿宋"/>
                <w:sz w:val="18"/>
                <w:szCs w:val="18"/>
              </w:rPr>
            </w:pPr>
            <w:r>
              <w:rPr>
                <w:rFonts w:ascii="仿宋" w:hAnsi="仿宋" w:eastAsia="仿宋" w:cs="仿宋"/>
                <w:spacing w:val="-4"/>
                <w:sz w:val="18"/>
                <w:szCs w:val="18"/>
              </w:rPr>
              <w:t>中心桩号或起讫桩号</w:t>
            </w:r>
          </w:p>
        </w:tc>
        <w:tc>
          <w:tcPr>
            <w:tcW w:w="1090" w:type="dxa"/>
            <w:tcBorders>
              <w:top w:val="single" w:color="000000" w:sz="10" w:space="0"/>
            </w:tcBorders>
            <w:vAlign w:val="top"/>
          </w:tcPr>
          <w:p w14:paraId="5015BFF2">
            <w:pPr>
              <w:spacing w:before="20" w:line="204" w:lineRule="auto"/>
              <w:ind w:left="199"/>
              <w:rPr>
                <w:rFonts w:ascii="仿宋" w:hAnsi="仿宋" w:eastAsia="仿宋" w:cs="仿宋"/>
                <w:sz w:val="18"/>
                <w:szCs w:val="18"/>
              </w:rPr>
            </w:pPr>
            <w:r>
              <w:rPr>
                <w:rFonts w:ascii="仿宋" w:hAnsi="仿宋" w:eastAsia="仿宋" w:cs="仿宋"/>
                <w:spacing w:val="-5"/>
                <w:sz w:val="18"/>
                <w:szCs w:val="18"/>
              </w:rPr>
              <w:t>工程名称</w:t>
            </w:r>
          </w:p>
        </w:tc>
        <w:tc>
          <w:tcPr>
            <w:tcW w:w="3427" w:type="dxa"/>
            <w:tcBorders>
              <w:top w:val="single" w:color="000000" w:sz="10" w:space="0"/>
              <w:right w:val="single" w:color="000000" w:sz="6" w:space="0"/>
            </w:tcBorders>
            <w:vAlign w:val="top"/>
          </w:tcPr>
          <w:p w14:paraId="74B49BB5">
            <w:pPr>
              <w:spacing w:before="20" w:line="204" w:lineRule="auto"/>
              <w:ind w:left="1092"/>
              <w:rPr>
                <w:rFonts w:ascii="仿宋" w:hAnsi="仿宋" w:eastAsia="仿宋" w:cs="仿宋"/>
                <w:sz w:val="18"/>
                <w:szCs w:val="18"/>
              </w:rPr>
            </w:pPr>
            <w:r>
              <w:rPr>
                <w:rFonts w:ascii="仿宋" w:hAnsi="仿宋" w:eastAsia="仿宋" w:cs="仿宋"/>
                <w:spacing w:val="-3"/>
                <w:sz w:val="18"/>
                <w:szCs w:val="18"/>
              </w:rPr>
              <w:t>主要尺寸及说明</w:t>
            </w:r>
          </w:p>
        </w:tc>
      </w:tr>
      <w:tr w14:paraId="2AD2F6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45D39E38">
            <w:pPr>
              <w:rPr>
                <w:rFonts w:ascii="Arial"/>
                <w:sz w:val="21"/>
              </w:rPr>
            </w:pPr>
          </w:p>
        </w:tc>
        <w:tc>
          <w:tcPr>
            <w:tcW w:w="7640" w:type="dxa"/>
            <w:gridSpan w:val="4"/>
            <w:tcBorders>
              <w:right w:val="single" w:color="000000" w:sz="6" w:space="0"/>
            </w:tcBorders>
            <w:vAlign w:val="top"/>
          </w:tcPr>
          <w:p w14:paraId="1CFE3E4E">
            <w:pPr>
              <w:spacing w:before="31" w:line="202" w:lineRule="auto"/>
              <w:ind w:left="2403"/>
              <w:rPr>
                <w:rFonts w:ascii="仿宋" w:hAnsi="仿宋" w:eastAsia="仿宋" w:cs="仿宋"/>
                <w:sz w:val="18"/>
                <w:szCs w:val="18"/>
              </w:rPr>
            </w:pPr>
            <w:r>
              <w:rPr>
                <w:rFonts w:ascii="仿宋" w:hAnsi="仿宋" w:eastAsia="仿宋" w:cs="仿宋"/>
                <w:spacing w:val="-3"/>
                <w:sz w:val="18"/>
                <w:szCs w:val="18"/>
              </w:rPr>
              <w:t>四道敖包至淡家梁至杨家塔通村公路</w:t>
            </w:r>
          </w:p>
        </w:tc>
      </w:tr>
      <w:tr w14:paraId="4F4E9E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331906BF">
            <w:pPr>
              <w:rPr>
                <w:rFonts w:ascii="Arial"/>
                <w:sz w:val="21"/>
              </w:rPr>
            </w:pPr>
          </w:p>
        </w:tc>
        <w:tc>
          <w:tcPr>
            <w:tcW w:w="538" w:type="dxa"/>
            <w:vAlign w:val="top"/>
          </w:tcPr>
          <w:p w14:paraId="04CF67D7">
            <w:pPr>
              <w:pStyle w:val="6"/>
              <w:spacing w:before="47" w:line="188" w:lineRule="auto"/>
              <w:ind w:left="235"/>
            </w:pPr>
            <w:r>
              <w:t>1</w:t>
            </w:r>
          </w:p>
        </w:tc>
        <w:tc>
          <w:tcPr>
            <w:tcW w:w="2585" w:type="dxa"/>
            <w:vAlign w:val="top"/>
          </w:tcPr>
          <w:p w14:paraId="7B1235EC">
            <w:pPr>
              <w:pStyle w:val="6"/>
              <w:spacing w:before="31" w:line="202" w:lineRule="auto"/>
              <w:ind w:left="608"/>
            </w:pPr>
            <w:r>
              <w:rPr>
                <w:spacing w:val="-1"/>
              </w:rPr>
              <w:t>K0+044</w:t>
            </w:r>
            <w:r>
              <w:rPr>
                <w:rFonts w:ascii="仿宋" w:hAnsi="仿宋" w:eastAsia="仿宋" w:cs="仿宋"/>
                <w:spacing w:val="-1"/>
              </w:rPr>
              <w:t>～</w:t>
            </w:r>
            <w:r>
              <w:rPr>
                <w:spacing w:val="-1"/>
              </w:rPr>
              <w:t>K0+170</w:t>
            </w:r>
          </w:p>
        </w:tc>
        <w:tc>
          <w:tcPr>
            <w:tcW w:w="1090" w:type="dxa"/>
            <w:vAlign w:val="top"/>
          </w:tcPr>
          <w:p w14:paraId="19AB0475">
            <w:pPr>
              <w:spacing w:before="31" w:line="202" w:lineRule="auto"/>
              <w:ind w:left="378"/>
              <w:rPr>
                <w:rFonts w:ascii="仿宋" w:hAnsi="仿宋" w:eastAsia="仿宋" w:cs="仿宋"/>
                <w:sz w:val="18"/>
                <w:szCs w:val="18"/>
              </w:rPr>
            </w:pPr>
            <w:r>
              <w:rPr>
                <w:rFonts w:ascii="仿宋" w:hAnsi="仿宋" w:eastAsia="仿宋" w:cs="仿宋"/>
                <w:spacing w:val="-8"/>
                <w:sz w:val="18"/>
                <w:szCs w:val="18"/>
              </w:rPr>
              <w:t>边沟</w:t>
            </w:r>
          </w:p>
        </w:tc>
        <w:tc>
          <w:tcPr>
            <w:tcW w:w="3427" w:type="dxa"/>
            <w:tcBorders>
              <w:right w:val="single" w:color="000000" w:sz="6" w:space="0"/>
            </w:tcBorders>
            <w:vAlign w:val="top"/>
          </w:tcPr>
          <w:p w14:paraId="240C9E42">
            <w:pPr>
              <w:pStyle w:val="6"/>
              <w:spacing w:before="31" w:line="202" w:lineRule="auto"/>
              <w:ind w:left="442"/>
            </w:pPr>
            <w:r>
              <w:rPr>
                <w:rFonts w:ascii="仿宋" w:hAnsi="仿宋" w:eastAsia="仿宋" w:cs="仿宋"/>
                <w:spacing w:val="-4"/>
              </w:rPr>
              <w:t>倒</w:t>
            </w:r>
            <w:r>
              <w:rPr>
                <w:rFonts w:ascii="仿宋" w:hAnsi="仿宋" w:eastAsia="仿宋" w:cs="仿宋"/>
                <w:spacing w:val="-35"/>
              </w:rPr>
              <w:t xml:space="preserve"> </w:t>
            </w:r>
            <w:r>
              <w:rPr>
                <w:spacing w:val="-4"/>
              </w:rPr>
              <w:t>7</w:t>
            </w:r>
            <w:r>
              <w:rPr>
                <w:spacing w:val="19"/>
              </w:rPr>
              <w:t xml:space="preserve"> </w:t>
            </w:r>
            <w:r>
              <w:rPr>
                <w:rFonts w:ascii="仿宋" w:hAnsi="仿宋" w:eastAsia="仿宋" w:cs="仿宋"/>
                <w:spacing w:val="-4"/>
              </w:rPr>
              <w:t>字形边沟，宽</w:t>
            </w:r>
            <w:r>
              <w:rPr>
                <w:rFonts w:ascii="仿宋" w:hAnsi="仿宋" w:eastAsia="仿宋" w:cs="仿宋"/>
                <w:spacing w:val="-38"/>
              </w:rPr>
              <w:t xml:space="preserve"> </w:t>
            </w:r>
            <w:r>
              <w:rPr>
                <w:spacing w:val="-4"/>
              </w:rPr>
              <w:t>90cm</w:t>
            </w:r>
            <w:r>
              <w:rPr>
                <w:spacing w:val="14"/>
              </w:rPr>
              <w:t xml:space="preserve"> </w:t>
            </w:r>
            <w:r>
              <w:rPr>
                <w:rFonts w:ascii="仿宋" w:hAnsi="仿宋" w:eastAsia="仿宋" w:cs="仿宋"/>
                <w:spacing w:val="-4"/>
              </w:rPr>
              <w:t>深</w:t>
            </w:r>
            <w:r>
              <w:rPr>
                <w:rFonts w:ascii="仿宋" w:hAnsi="仿宋" w:eastAsia="仿宋" w:cs="仿宋"/>
                <w:spacing w:val="-43"/>
              </w:rPr>
              <w:t xml:space="preserve"> </w:t>
            </w:r>
            <w:r>
              <w:rPr>
                <w:spacing w:val="-4"/>
              </w:rPr>
              <w:t>28cm</w:t>
            </w:r>
          </w:p>
        </w:tc>
      </w:tr>
      <w:tr w14:paraId="4A5697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728972F1">
            <w:pPr>
              <w:rPr>
                <w:rFonts w:ascii="Arial"/>
                <w:sz w:val="21"/>
              </w:rPr>
            </w:pPr>
          </w:p>
        </w:tc>
        <w:tc>
          <w:tcPr>
            <w:tcW w:w="538" w:type="dxa"/>
            <w:vAlign w:val="top"/>
          </w:tcPr>
          <w:p w14:paraId="083E8D86">
            <w:pPr>
              <w:pStyle w:val="6"/>
              <w:spacing w:before="49" w:line="188" w:lineRule="auto"/>
              <w:ind w:left="218"/>
            </w:pPr>
            <w:r>
              <w:t>2</w:t>
            </w:r>
          </w:p>
        </w:tc>
        <w:tc>
          <w:tcPr>
            <w:tcW w:w="2585" w:type="dxa"/>
            <w:vAlign w:val="top"/>
          </w:tcPr>
          <w:p w14:paraId="5AF9B8FF">
            <w:pPr>
              <w:pStyle w:val="6"/>
              <w:spacing w:before="49" w:line="188" w:lineRule="auto"/>
              <w:ind w:left="995"/>
            </w:pPr>
            <w:r>
              <w:rPr>
                <w:spacing w:val="-1"/>
              </w:rPr>
              <w:t>K0+044</w:t>
            </w:r>
          </w:p>
        </w:tc>
        <w:tc>
          <w:tcPr>
            <w:tcW w:w="1090" w:type="dxa"/>
            <w:vAlign w:val="top"/>
          </w:tcPr>
          <w:p w14:paraId="5D7C5C19">
            <w:pPr>
              <w:spacing w:before="30" w:line="203" w:lineRule="auto"/>
              <w:ind w:left="284"/>
              <w:rPr>
                <w:rFonts w:ascii="仿宋" w:hAnsi="仿宋" w:eastAsia="仿宋" w:cs="仿宋"/>
                <w:sz w:val="18"/>
                <w:szCs w:val="18"/>
              </w:rPr>
            </w:pPr>
            <w:r>
              <w:rPr>
                <w:rFonts w:ascii="仿宋" w:hAnsi="仿宋" w:eastAsia="仿宋" w:cs="仿宋"/>
                <w:spacing w:val="-4"/>
                <w:sz w:val="18"/>
                <w:szCs w:val="18"/>
              </w:rPr>
              <w:t>排水沟</w:t>
            </w:r>
          </w:p>
        </w:tc>
        <w:tc>
          <w:tcPr>
            <w:tcW w:w="3427" w:type="dxa"/>
            <w:tcBorders>
              <w:right w:val="single" w:color="000000" w:sz="6" w:space="0"/>
            </w:tcBorders>
            <w:vAlign w:val="top"/>
          </w:tcPr>
          <w:p w14:paraId="71F64928">
            <w:pPr>
              <w:pStyle w:val="6"/>
              <w:spacing w:before="30" w:line="203" w:lineRule="auto"/>
              <w:ind w:left="530"/>
            </w:pPr>
            <w:r>
              <w:rPr>
                <w:rFonts w:ascii="仿宋" w:hAnsi="仿宋" w:eastAsia="仿宋" w:cs="仿宋"/>
                <w:spacing w:val="-3"/>
              </w:rPr>
              <w:t>矩形排水沟，宽</w:t>
            </w:r>
            <w:r>
              <w:rPr>
                <w:rFonts w:ascii="仿宋" w:hAnsi="仿宋" w:eastAsia="仿宋" w:cs="仿宋"/>
                <w:spacing w:val="-28"/>
              </w:rPr>
              <w:t xml:space="preserve"> </w:t>
            </w:r>
            <w:r>
              <w:rPr>
                <w:spacing w:val="-3"/>
              </w:rPr>
              <w:t>90cm</w:t>
            </w:r>
            <w:r>
              <w:rPr>
                <w:spacing w:val="13"/>
                <w:w w:val="101"/>
              </w:rPr>
              <w:t xml:space="preserve"> </w:t>
            </w:r>
            <w:r>
              <w:rPr>
                <w:rFonts w:ascii="仿宋" w:hAnsi="仿宋" w:eastAsia="仿宋" w:cs="仿宋"/>
                <w:spacing w:val="-3"/>
              </w:rPr>
              <w:t>深</w:t>
            </w:r>
            <w:r>
              <w:rPr>
                <w:rFonts w:ascii="仿宋" w:hAnsi="仿宋" w:eastAsia="仿宋" w:cs="仿宋"/>
                <w:spacing w:val="-41"/>
              </w:rPr>
              <w:t xml:space="preserve"> </w:t>
            </w:r>
            <w:r>
              <w:rPr>
                <w:spacing w:val="-3"/>
              </w:rPr>
              <w:t>28cm</w:t>
            </w:r>
          </w:p>
        </w:tc>
      </w:tr>
      <w:tr w14:paraId="77FCBF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2084E43E">
            <w:pPr>
              <w:rPr>
                <w:rFonts w:ascii="Arial"/>
                <w:sz w:val="21"/>
              </w:rPr>
            </w:pPr>
          </w:p>
        </w:tc>
        <w:tc>
          <w:tcPr>
            <w:tcW w:w="538" w:type="dxa"/>
            <w:vAlign w:val="top"/>
          </w:tcPr>
          <w:p w14:paraId="4561A77B">
            <w:pPr>
              <w:pStyle w:val="6"/>
              <w:spacing w:before="48" w:line="188" w:lineRule="auto"/>
              <w:ind w:left="222"/>
            </w:pPr>
            <w:r>
              <w:t>3</w:t>
            </w:r>
          </w:p>
        </w:tc>
        <w:tc>
          <w:tcPr>
            <w:tcW w:w="2585" w:type="dxa"/>
            <w:vAlign w:val="top"/>
          </w:tcPr>
          <w:p w14:paraId="1A6A54E9">
            <w:pPr>
              <w:pStyle w:val="6"/>
              <w:spacing w:before="32" w:line="201" w:lineRule="auto"/>
              <w:ind w:left="608"/>
            </w:pPr>
            <w:r>
              <w:rPr>
                <w:spacing w:val="-1"/>
              </w:rPr>
              <w:t>K0+170</w:t>
            </w:r>
            <w:r>
              <w:rPr>
                <w:rFonts w:ascii="仿宋" w:hAnsi="仿宋" w:eastAsia="仿宋" w:cs="仿宋"/>
                <w:spacing w:val="-1"/>
              </w:rPr>
              <w:t>～</w:t>
            </w:r>
            <w:r>
              <w:rPr>
                <w:spacing w:val="-1"/>
              </w:rPr>
              <w:t>K0+647</w:t>
            </w:r>
          </w:p>
        </w:tc>
        <w:tc>
          <w:tcPr>
            <w:tcW w:w="1090" w:type="dxa"/>
            <w:vAlign w:val="top"/>
          </w:tcPr>
          <w:p w14:paraId="6EFFDD5C">
            <w:pPr>
              <w:spacing w:before="32" w:line="201" w:lineRule="auto"/>
              <w:ind w:left="378"/>
              <w:rPr>
                <w:rFonts w:ascii="仿宋" w:hAnsi="仿宋" w:eastAsia="仿宋" w:cs="仿宋"/>
                <w:sz w:val="18"/>
                <w:szCs w:val="18"/>
              </w:rPr>
            </w:pPr>
            <w:r>
              <w:rPr>
                <w:rFonts w:ascii="仿宋" w:hAnsi="仿宋" w:eastAsia="仿宋" w:cs="仿宋"/>
                <w:spacing w:val="-8"/>
                <w:sz w:val="18"/>
                <w:szCs w:val="18"/>
              </w:rPr>
              <w:t>边沟</w:t>
            </w:r>
          </w:p>
        </w:tc>
        <w:tc>
          <w:tcPr>
            <w:tcW w:w="3427" w:type="dxa"/>
            <w:tcBorders>
              <w:right w:val="single" w:color="000000" w:sz="6" w:space="0"/>
            </w:tcBorders>
            <w:vAlign w:val="top"/>
          </w:tcPr>
          <w:p w14:paraId="021AD37D">
            <w:pPr>
              <w:pStyle w:val="6"/>
              <w:spacing w:before="32" w:line="201" w:lineRule="auto"/>
              <w:ind w:left="442"/>
            </w:pPr>
            <w:r>
              <w:rPr>
                <w:rFonts w:ascii="仿宋" w:hAnsi="仿宋" w:eastAsia="仿宋" w:cs="仿宋"/>
                <w:spacing w:val="-4"/>
              </w:rPr>
              <w:t>倒</w:t>
            </w:r>
            <w:r>
              <w:rPr>
                <w:rFonts w:ascii="仿宋" w:hAnsi="仿宋" w:eastAsia="仿宋" w:cs="仿宋"/>
                <w:spacing w:val="-35"/>
              </w:rPr>
              <w:t xml:space="preserve"> </w:t>
            </w:r>
            <w:r>
              <w:rPr>
                <w:spacing w:val="-4"/>
              </w:rPr>
              <w:t>7</w:t>
            </w:r>
            <w:r>
              <w:rPr>
                <w:spacing w:val="19"/>
              </w:rPr>
              <w:t xml:space="preserve"> </w:t>
            </w:r>
            <w:r>
              <w:rPr>
                <w:rFonts w:ascii="仿宋" w:hAnsi="仿宋" w:eastAsia="仿宋" w:cs="仿宋"/>
                <w:spacing w:val="-4"/>
              </w:rPr>
              <w:t>字形边沟，宽</w:t>
            </w:r>
            <w:r>
              <w:rPr>
                <w:rFonts w:ascii="仿宋" w:hAnsi="仿宋" w:eastAsia="仿宋" w:cs="仿宋"/>
                <w:spacing w:val="-38"/>
              </w:rPr>
              <w:t xml:space="preserve"> </w:t>
            </w:r>
            <w:r>
              <w:rPr>
                <w:spacing w:val="-4"/>
              </w:rPr>
              <w:t>90cm</w:t>
            </w:r>
            <w:r>
              <w:rPr>
                <w:spacing w:val="14"/>
              </w:rPr>
              <w:t xml:space="preserve"> </w:t>
            </w:r>
            <w:r>
              <w:rPr>
                <w:rFonts w:ascii="仿宋" w:hAnsi="仿宋" w:eastAsia="仿宋" w:cs="仿宋"/>
                <w:spacing w:val="-4"/>
              </w:rPr>
              <w:t>深</w:t>
            </w:r>
            <w:r>
              <w:rPr>
                <w:rFonts w:ascii="仿宋" w:hAnsi="仿宋" w:eastAsia="仿宋" w:cs="仿宋"/>
                <w:spacing w:val="-43"/>
              </w:rPr>
              <w:t xml:space="preserve"> </w:t>
            </w:r>
            <w:r>
              <w:rPr>
                <w:spacing w:val="-4"/>
              </w:rPr>
              <w:t>28cm</w:t>
            </w:r>
          </w:p>
        </w:tc>
      </w:tr>
      <w:tr w14:paraId="30A6EF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3615C343">
            <w:pPr>
              <w:rPr>
                <w:rFonts w:ascii="Arial"/>
                <w:sz w:val="21"/>
              </w:rPr>
            </w:pPr>
          </w:p>
        </w:tc>
        <w:tc>
          <w:tcPr>
            <w:tcW w:w="538" w:type="dxa"/>
            <w:vAlign w:val="top"/>
          </w:tcPr>
          <w:p w14:paraId="4FEECFD5">
            <w:pPr>
              <w:pStyle w:val="6"/>
              <w:spacing w:before="50" w:line="188" w:lineRule="auto"/>
              <w:ind w:left="217"/>
            </w:pPr>
            <w:r>
              <w:t>4</w:t>
            </w:r>
          </w:p>
        </w:tc>
        <w:tc>
          <w:tcPr>
            <w:tcW w:w="2585" w:type="dxa"/>
            <w:vAlign w:val="top"/>
          </w:tcPr>
          <w:p w14:paraId="291D1B79">
            <w:pPr>
              <w:pStyle w:val="6"/>
              <w:spacing w:before="50" w:line="188" w:lineRule="auto"/>
              <w:ind w:left="995"/>
            </w:pPr>
            <w:r>
              <w:rPr>
                <w:spacing w:val="-1"/>
              </w:rPr>
              <w:t>K0+170</w:t>
            </w:r>
          </w:p>
        </w:tc>
        <w:tc>
          <w:tcPr>
            <w:tcW w:w="1090" w:type="dxa"/>
            <w:vAlign w:val="top"/>
          </w:tcPr>
          <w:p w14:paraId="7689DCE8">
            <w:pPr>
              <w:spacing w:before="31" w:line="202" w:lineRule="auto"/>
              <w:ind w:left="284"/>
              <w:rPr>
                <w:rFonts w:ascii="仿宋" w:hAnsi="仿宋" w:eastAsia="仿宋" w:cs="仿宋"/>
                <w:sz w:val="18"/>
                <w:szCs w:val="18"/>
              </w:rPr>
            </w:pPr>
            <w:r>
              <w:rPr>
                <w:rFonts w:ascii="仿宋" w:hAnsi="仿宋" w:eastAsia="仿宋" w:cs="仿宋"/>
                <w:spacing w:val="-4"/>
                <w:sz w:val="18"/>
                <w:szCs w:val="18"/>
              </w:rPr>
              <w:t>排水沟</w:t>
            </w:r>
          </w:p>
        </w:tc>
        <w:tc>
          <w:tcPr>
            <w:tcW w:w="3427" w:type="dxa"/>
            <w:tcBorders>
              <w:right w:val="single" w:color="000000" w:sz="6" w:space="0"/>
            </w:tcBorders>
            <w:vAlign w:val="top"/>
          </w:tcPr>
          <w:p w14:paraId="72363474">
            <w:pPr>
              <w:pStyle w:val="6"/>
              <w:spacing w:before="31" w:line="202" w:lineRule="auto"/>
              <w:ind w:left="530"/>
            </w:pPr>
            <w:r>
              <w:rPr>
                <w:rFonts w:ascii="仿宋" w:hAnsi="仿宋" w:eastAsia="仿宋" w:cs="仿宋"/>
                <w:spacing w:val="-3"/>
              </w:rPr>
              <w:t>矩形排水沟，宽</w:t>
            </w:r>
            <w:r>
              <w:rPr>
                <w:rFonts w:ascii="仿宋" w:hAnsi="仿宋" w:eastAsia="仿宋" w:cs="仿宋"/>
                <w:spacing w:val="-28"/>
              </w:rPr>
              <w:t xml:space="preserve"> </w:t>
            </w:r>
            <w:r>
              <w:rPr>
                <w:spacing w:val="-3"/>
              </w:rPr>
              <w:t>90cm</w:t>
            </w:r>
            <w:r>
              <w:rPr>
                <w:spacing w:val="13"/>
                <w:w w:val="101"/>
              </w:rPr>
              <w:t xml:space="preserve"> </w:t>
            </w:r>
            <w:r>
              <w:rPr>
                <w:rFonts w:ascii="仿宋" w:hAnsi="仿宋" w:eastAsia="仿宋" w:cs="仿宋"/>
                <w:spacing w:val="-3"/>
              </w:rPr>
              <w:t>深</w:t>
            </w:r>
            <w:r>
              <w:rPr>
                <w:rFonts w:ascii="仿宋" w:hAnsi="仿宋" w:eastAsia="仿宋" w:cs="仿宋"/>
                <w:spacing w:val="-41"/>
              </w:rPr>
              <w:t xml:space="preserve"> </w:t>
            </w:r>
            <w:r>
              <w:rPr>
                <w:spacing w:val="-3"/>
              </w:rPr>
              <w:t>28cm</w:t>
            </w:r>
          </w:p>
        </w:tc>
      </w:tr>
      <w:tr w14:paraId="7C44D7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4AFD5D1F">
            <w:pPr>
              <w:rPr>
                <w:rFonts w:ascii="Arial"/>
                <w:sz w:val="21"/>
              </w:rPr>
            </w:pPr>
          </w:p>
        </w:tc>
        <w:tc>
          <w:tcPr>
            <w:tcW w:w="538" w:type="dxa"/>
            <w:vAlign w:val="top"/>
          </w:tcPr>
          <w:p w14:paraId="51B962EC">
            <w:pPr>
              <w:pStyle w:val="6"/>
              <w:spacing w:before="52" w:line="185" w:lineRule="auto"/>
              <w:ind w:left="223"/>
            </w:pPr>
            <w:r>
              <w:t>5</w:t>
            </w:r>
          </w:p>
        </w:tc>
        <w:tc>
          <w:tcPr>
            <w:tcW w:w="2585" w:type="dxa"/>
            <w:vAlign w:val="top"/>
          </w:tcPr>
          <w:p w14:paraId="6A756341">
            <w:pPr>
              <w:pStyle w:val="6"/>
              <w:spacing w:before="33" w:line="200" w:lineRule="auto"/>
              <w:ind w:left="608"/>
            </w:pPr>
            <w:r>
              <w:rPr>
                <w:spacing w:val="-1"/>
              </w:rPr>
              <w:t>K0+680</w:t>
            </w:r>
            <w:r>
              <w:rPr>
                <w:rFonts w:ascii="仿宋" w:hAnsi="仿宋" w:eastAsia="仿宋" w:cs="仿宋"/>
                <w:spacing w:val="-1"/>
              </w:rPr>
              <w:t>～</w:t>
            </w:r>
            <w:r>
              <w:rPr>
                <w:spacing w:val="-1"/>
              </w:rPr>
              <w:t>K0+796</w:t>
            </w:r>
          </w:p>
        </w:tc>
        <w:tc>
          <w:tcPr>
            <w:tcW w:w="1090" w:type="dxa"/>
            <w:vAlign w:val="top"/>
          </w:tcPr>
          <w:p w14:paraId="1A41C6B3">
            <w:pPr>
              <w:spacing w:before="33" w:line="200" w:lineRule="auto"/>
              <w:ind w:left="378"/>
              <w:rPr>
                <w:rFonts w:ascii="仿宋" w:hAnsi="仿宋" w:eastAsia="仿宋" w:cs="仿宋"/>
                <w:sz w:val="18"/>
                <w:szCs w:val="18"/>
              </w:rPr>
            </w:pPr>
            <w:r>
              <w:rPr>
                <w:rFonts w:ascii="仿宋" w:hAnsi="仿宋" w:eastAsia="仿宋" w:cs="仿宋"/>
                <w:spacing w:val="-8"/>
                <w:sz w:val="18"/>
                <w:szCs w:val="18"/>
              </w:rPr>
              <w:t>边沟</w:t>
            </w:r>
          </w:p>
        </w:tc>
        <w:tc>
          <w:tcPr>
            <w:tcW w:w="3427" w:type="dxa"/>
            <w:tcBorders>
              <w:right w:val="single" w:color="000000" w:sz="6" w:space="0"/>
            </w:tcBorders>
            <w:vAlign w:val="top"/>
          </w:tcPr>
          <w:p w14:paraId="0E25C4A0">
            <w:pPr>
              <w:pStyle w:val="6"/>
              <w:spacing w:before="33" w:line="200" w:lineRule="auto"/>
              <w:ind w:left="442"/>
            </w:pPr>
            <w:r>
              <w:rPr>
                <w:rFonts w:ascii="仿宋" w:hAnsi="仿宋" w:eastAsia="仿宋" w:cs="仿宋"/>
                <w:spacing w:val="-4"/>
              </w:rPr>
              <w:t>倒</w:t>
            </w:r>
            <w:r>
              <w:rPr>
                <w:rFonts w:ascii="仿宋" w:hAnsi="仿宋" w:eastAsia="仿宋" w:cs="仿宋"/>
                <w:spacing w:val="-35"/>
              </w:rPr>
              <w:t xml:space="preserve"> </w:t>
            </w:r>
            <w:r>
              <w:rPr>
                <w:spacing w:val="-4"/>
              </w:rPr>
              <w:t>7</w:t>
            </w:r>
            <w:r>
              <w:rPr>
                <w:spacing w:val="19"/>
              </w:rPr>
              <w:t xml:space="preserve"> </w:t>
            </w:r>
            <w:r>
              <w:rPr>
                <w:rFonts w:ascii="仿宋" w:hAnsi="仿宋" w:eastAsia="仿宋" w:cs="仿宋"/>
                <w:spacing w:val="-4"/>
              </w:rPr>
              <w:t>字形边沟，宽</w:t>
            </w:r>
            <w:r>
              <w:rPr>
                <w:rFonts w:ascii="仿宋" w:hAnsi="仿宋" w:eastAsia="仿宋" w:cs="仿宋"/>
                <w:spacing w:val="-38"/>
              </w:rPr>
              <w:t xml:space="preserve"> </w:t>
            </w:r>
            <w:r>
              <w:rPr>
                <w:spacing w:val="-4"/>
              </w:rPr>
              <w:t>90cm</w:t>
            </w:r>
            <w:r>
              <w:rPr>
                <w:spacing w:val="14"/>
              </w:rPr>
              <w:t xml:space="preserve"> </w:t>
            </w:r>
            <w:r>
              <w:rPr>
                <w:rFonts w:ascii="仿宋" w:hAnsi="仿宋" w:eastAsia="仿宋" w:cs="仿宋"/>
                <w:spacing w:val="-4"/>
              </w:rPr>
              <w:t>深</w:t>
            </w:r>
            <w:r>
              <w:rPr>
                <w:rFonts w:ascii="仿宋" w:hAnsi="仿宋" w:eastAsia="仿宋" w:cs="仿宋"/>
                <w:spacing w:val="-43"/>
              </w:rPr>
              <w:t xml:space="preserve"> </w:t>
            </w:r>
            <w:r>
              <w:rPr>
                <w:spacing w:val="-4"/>
              </w:rPr>
              <w:t>28cm</w:t>
            </w:r>
          </w:p>
        </w:tc>
      </w:tr>
      <w:tr w14:paraId="279AFF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598B9FC4">
            <w:pPr>
              <w:rPr>
                <w:rFonts w:ascii="Arial"/>
                <w:sz w:val="21"/>
              </w:rPr>
            </w:pPr>
          </w:p>
        </w:tc>
        <w:tc>
          <w:tcPr>
            <w:tcW w:w="538" w:type="dxa"/>
            <w:vAlign w:val="top"/>
          </w:tcPr>
          <w:p w14:paraId="2155B4F9">
            <w:pPr>
              <w:pStyle w:val="6"/>
              <w:spacing w:before="49" w:line="188" w:lineRule="auto"/>
              <w:ind w:left="222"/>
            </w:pPr>
            <w:r>
              <w:t>6</w:t>
            </w:r>
          </w:p>
        </w:tc>
        <w:tc>
          <w:tcPr>
            <w:tcW w:w="2585" w:type="dxa"/>
            <w:vAlign w:val="top"/>
          </w:tcPr>
          <w:p w14:paraId="51D494EB">
            <w:pPr>
              <w:pStyle w:val="6"/>
              <w:spacing w:before="49" w:line="188" w:lineRule="auto"/>
              <w:ind w:left="995"/>
            </w:pPr>
            <w:r>
              <w:rPr>
                <w:spacing w:val="-1"/>
              </w:rPr>
              <w:t>K0+680</w:t>
            </w:r>
          </w:p>
        </w:tc>
        <w:tc>
          <w:tcPr>
            <w:tcW w:w="1090" w:type="dxa"/>
            <w:vAlign w:val="top"/>
          </w:tcPr>
          <w:p w14:paraId="1CD7D39B">
            <w:pPr>
              <w:spacing w:before="33" w:line="200" w:lineRule="auto"/>
              <w:ind w:left="284"/>
              <w:rPr>
                <w:rFonts w:ascii="仿宋" w:hAnsi="仿宋" w:eastAsia="仿宋" w:cs="仿宋"/>
                <w:sz w:val="18"/>
                <w:szCs w:val="18"/>
              </w:rPr>
            </w:pPr>
            <w:r>
              <w:rPr>
                <w:rFonts w:ascii="仿宋" w:hAnsi="仿宋" w:eastAsia="仿宋" w:cs="仿宋"/>
                <w:spacing w:val="-4"/>
                <w:sz w:val="18"/>
                <w:szCs w:val="18"/>
              </w:rPr>
              <w:t>排水沟</w:t>
            </w:r>
          </w:p>
        </w:tc>
        <w:tc>
          <w:tcPr>
            <w:tcW w:w="3427" w:type="dxa"/>
            <w:tcBorders>
              <w:right w:val="single" w:color="000000" w:sz="6" w:space="0"/>
            </w:tcBorders>
            <w:vAlign w:val="top"/>
          </w:tcPr>
          <w:p w14:paraId="004D8CF9">
            <w:pPr>
              <w:pStyle w:val="6"/>
              <w:spacing w:before="33" w:line="200" w:lineRule="auto"/>
              <w:ind w:left="530"/>
            </w:pPr>
            <w:r>
              <w:rPr>
                <w:rFonts w:ascii="仿宋" w:hAnsi="仿宋" w:eastAsia="仿宋" w:cs="仿宋"/>
                <w:spacing w:val="-3"/>
              </w:rPr>
              <w:t>矩形排水沟，宽</w:t>
            </w:r>
            <w:r>
              <w:rPr>
                <w:rFonts w:ascii="仿宋" w:hAnsi="仿宋" w:eastAsia="仿宋" w:cs="仿宋"/>
                <w:spacing w:val="-28"/>
              </w:rPr>
              <w:t xml:space="preserve"> </w:t>
            </w:r>
            <w:r>
              <w:rPr>
                <w:spacing w:val="-3"/>
              </w:rPr>
              <w:t>90cm</w:t>
            </w:r>
            <w:r>
              <w:rPr>
                <w:spacing w:val="13"/>
                <w:w w:val="101"/>
              </w:rPr>
              <w:t xml:space="preserve"> </w:t>
            </w:r>
            <w:r>
              <w:rPr>
                <w:rFonts w:ascii="仿宋" w:hAnsi="仿宋" w:eastAsia="仿宋" w:cs="仿宋"/>
                <w:spacing w:val="-3"/>
              </w:rPr>
              <w:t>深</w:t>
            </w:r>
            <w:r>
              <w:rPr>
                <w:rFonts w:ascii="仿宋" w:hAnsi="仿宋" w:eastAsia="仿宋" w:cs="仿宋"/>
                <w:spacing w:val="-41"/>
              </w:rPr>
              <w:t xml:space="preserve"> </w:t>
            </w:r>
            <w:r>
              <w:rPr>
                <w:spacing w:val="-3"/>
              </w:rPr>
              <w:t>28cm</w:t>
            </w:r>
          </w:p>
        </w:tc>
      </w:tr>
      <w:tr w14:paraId="15AF67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0BCE1CD6">
            <w:pPr>
              <w:rPr>
                <w:rFonts w:ascii="Arial"/>
                <w:sz w:val="21"/>
              </w:rPr>
            </w:pPr>
          </w:p>
        </w:tc>
        <w:tc>
          <w:tcPr>
            <w:tcW w:w="538" w:type="dxa"/>
            <w:vAlign w:val="top"/>
          </w:tcPr>
          <w:p w14:paraId="0E16A1B9">
            <w:pPr>
              <w:pStyle w:val="6"/>
              <w:spacing w:before="53" w:line="185" w:lineRule="auto"/>
              <w:ind w:left="221"/>
            </w:pPr>
            <w:r>
              <w:t>7</w:t>
            </w:r>
          </w:p>
        </w:tc>
        <w:tc>
          <w:tcPr>
            <w:tcW w:w="2585" w:type="dxa"/>
            <w:vAlign w:val="top"/>
          </w:tcPr>
          <w:p w14:paraId="3A04E98A">
            <w:pPr>
              <w:pStyle w:val="6"/>
              <w:spacing w:before="33" w:line="199" w:lineRule="auto"/>
              <w:ind w:left="608"/>
            </w:pPr>
            <w:r>
              <w:rPr>
                <w:spacing w:val="-1"/>
              </w:rPr>
              <w:t>K0+909</w:t>
            </w:r>
            <w:r>
              <w:rPr>
                <w:rFonts w:ascii="仿宋" w:hAnsi="仿宋" w:eastAsia="仿宋" w:cs="仿宋"/>
                <w:spacing w:val="-1"/>
              </w:rPr>
              <w:t>～</w:t>
            </w:r>
            <w:r>
              <w:rPr>
                <w:spacing w:val="-1"/>
              </w:rPr>
              <w:t>K0+986</w:t>
            </w:r>
          </w:p>
        </w:tc>
        <w:tc>
          <w:tcPr>
            <w:tcW w:w="1090" w:type="dxa"/>
            <w:vAlign w:val="top"/>
          </w:tcPr>
          <w:p w14:paraId="0D410CB2">
            <w:pPr>
              <w:spacing w:before="33" w:line="199" w:lineRule="auto"/>
              <w:ind w:left="378"/>
              <w:rPr>
                <w:rFonts w:ascii="仿宋" w:hAnsi="仿宋" w:eastAsia="仿宋" w:cs="仿宋"/>
                <w:sz w:val="18"/>
                <w:szCs w:val="18"/>
              </w:rPr>
            </w:pPr>
            <w:r>
              <w:rPr>
                <w:rFonts w:ascii="仿宋" w:hAnsi="仿宋" w:eastAsia="仿宋" w:cs="仿宋"/>
                <w:spacing w:val="-8"/>
                <w:sz w:val="18"/>
                <w:szCs w:val="18"/>
              </w:rPr>
              <w:t>边沟</w:t>
            </w:r>
          </w:p>
        </w:tc>
        <w:tc>
          <w:tcPr>
            <w:tcW w:w="3427" w:type="dxa"/>
            <w:tcBorders>
              <w:right w:val="single" w:color="000000" w:sz="6" w:space="0"/>
            </w:tcBorders>
            <w:vAlign w:val="top"/>
          </w:tcPr>
          <w:p w14:paraId="216ACFDB">
            <w:pPr>
              <w:pStyle w:val="6"/>
              <w:spacing w:before="33" w:line="199" w:lineRule="auto"/>
              <w:ind w:left="442"/>
            </w:pPr>
            <w:r>
              <w:rPr>
                <w:rFonts w:ascii="仿宋" w:hAnsi="仿宋" w:eastAsia="仿宋" w:cs="仿宋"/>
                <w:spacing w:val="-4"/>
              </w:rPr>
              <w:t>倒</w:t>
            </w:r>
            <w:r>
              <w:rPr>
                <w:rFonts w:ascii="仿宋" w:hAnsi="仿宋" w:eastAsia="仿宋" w:cs="仿宋"/>
                <w:spacing w:val="-35"/>
              </w:rPr>
              <w:t xml:space="preserve"> </w:t>
            </w:r>
            <w:r>
              <w:rPr>
                <w:spacing w:val="-4"/>
              </w:rPr>
              <w:t>7</w:t>
            </w:r>
            <w:r>
              <w:rPr>
                <w:spacing w:val="19"/>
              </w:rPr>
              <w:t xml:space="preserve"> </w:t>
            </w:r>
            <w:r>
              <w:rPr>
                <w:rFonts w:ascii="仿宋" w:hAnsi="仿宋" w:eastAsia="仿宋" w:cs="仿宋"/>
                <w:spacing w:val="-4"/>
              </w:rPr>
              <w:t>字形边沟，宽</w:t>
            </w:r>
            <w:r>
              <w:rPr>
                <w:rFonts w:ascii="仿宋" w:hAnsi="仿宋" w:eastAsia="仿宋" w:cs="仿宋"/>
                <w:spacing w:val="-38"/>
              </w:rPr>
              <w:t xml:space="preserve"> </w:t>
            </w:r>
            <w:r>
              <w:rPr>
                <w:spacing w:val="-4"/>
              </w:rPr>
              <w:t>90cm</w:t>
            </w:r>
            <w:r>
              <w:rPr>
                <w:spacing w:val="14"/>
              </w:rPr>
              <w:t xml:space="preserve"> </w:t>
            </w:r>
            <w:r>
              <w:rPr>
                <w:rFonts w:ascii="仿宋" w:hAnsi="仿宋" w:eastAsia="仿宋" w:cs="仿宋"/>
                <w:spacing w:val="-4"/>
              </w:rPr>
              <w:t>深</w:t>
            </w:r>
            <w:r>
              <w:rPr>
                <w:rFonts w:ascii="仿宋" w:hAnsi="仿宋" w:eastAsia="仿宋" w:cs="仿宋"/>
                <w:spacing w:val="-43"/>
              </w:rPr>
              <w:t xml:space="preserve"> </w:t>
            </w:r>
            <w:r>
              <w:rPr>
                <w:spacing w:val="-4"/>
              </w:rPr>
              <w:t>28cm</w:t>
            </w:r>
          </w:p>
        </w:tc>
      </w:tr>
      <w:tr w14:paraId="0CE471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60BC48C2">
            <w:pPr>
              <w:rPr>
                <w:rFonts w:ascii="Arial"/>
                <w:sz w:val="21"/>
              </w:rPr>
            </w:pPr>
          </w:p>
        </w:tc>
        <w:tc>
          <w:tcPr>
            <w:tcW w:w="538" w:type="dxa"/>
            <w:vAlign w:val="top"/>
          </w:tcPr>
          <w:p w14:paraId="6864DD71">
            <w:pPr>
              <w:pStyle w:val="6"/>
              <w:spacing w:before="50" w:line="188" w:lineRule="auto"/>
              <w:ind w:left="225"/>
            </w:pPr>
            <w:r>
              <w:t>8</w:t>
            </w:r>
          </w:p>
        </w:tc>
        <w:tc>
          <w:tcPr>
            <w:tcW w:w="2585" w:type="dxa"/>
            <w:vAlign w:val="top"/>
          </w:tcPr>
          <w:p w14:paraId="7EC0D9AA">
            <w:pPr>
              <w:pStyle w:val="6"/>
              <w:spacing w:before="50" w:line="188" w:lineRule="auto"/>
              <w:ind w:left="995"/>
            </w:pPr>
            <w:r>
              <w:rPr>
                <w:spacing w:val="-1"/>
              </w:rPr>
              <w:t>K0+909</w:t>
            </w:r>
          </w:p>
        </w:tc>
        <w:tc>
          <w:tcPr>
            <w:tcW w:w="1090" w:type="dxa"/>
            <w:vAlign w:val="top"/>
          </w:tcPr>
          <w:p w14:paraId="70E368D4">
            <w:pPr>
              <w:spacing w:before="33" w:line="199" w:lineRule="auto"/>
              <w:ind w:left="284"/>
              <w:rPr>
                <w:rFonts w:ascii="仿宋" w:hAnsi="仿宋" w:eastAsia="仿宋" w:cs="仿宋"/>
                <w:sz w:val="18"/>
                <w:szCs w:val="18"/>
              </w:rPr>
            </w:pPr>
            <w:r>
              <w:rPr>
                <w:rFonts w:ascii="仿宋" w:hAnsi="仿宋" w:eastAsia="仿宋" w:cs="仿宋"/>
                <w:spacing w:val="-4"/>
                <w:sz w:val="18"/>
                <w:szCs w:val="18"/>
              </w:rPr>
              <w:t>排水沟</w:t>
            </w:r>
          </w:p>
        </w:tc>
        <w:tc>
          <w:tcPr>
            <w:tcW w:w="3427" w:type="dxa"/>
            <w:tcBorders>
              <w:right w:val="single" w:color="000000" w:sz="6" w:space="0"/>
            </w:tcBorders>
            <w:vAlign w:val="top"/>
          </w:tcPr>
          <w:p w14:paraId="28B3734C">
            <w:pPr>
              <w:pStyle w:val="6"/>
              <w:spacing w:before="33" w:line="199" w:lineRule="auto"/>
              <w:ind w:left="508"/>
            </w:pPr>
            <w:r>
              <w:rPr>
                <w:rFonts w:ascii="仿宋" w:hAnsi="仿宋" w:eastAsia="仿宋" w:cs="仿宋"/>
                <w:spacing w:val="-2"/>
              </w:rPr>
              <w:t>矩形排水沟，宽</w:t>
            </w:r>
            <w:r>
              <w:rPr>
                <w:rFonts w:ascii="仿宋" w:hAnsi="仿宋" w:eastAsia="仿宋" w:cs="仿宋"/>
                <w:spacing w:val="-28"/>
              </w:rPr>
              <w:t xml:space="preserve"> </w:t>
            </w:r>
            <w:r>
              <w:rPr>
                <w:spacing w:val="-2"/>
              </w:rPr>
              <w:t xml:space="preserve">90cm  </w:t>
            </w:r>
            <w:r>
              <w:rPr>
                <w:rFonts w:ascii="仿宋" w:hAnsi="仿宋" w:eastAsia="仿宋" w:cs="仿宋"/>
                <w:spacing w:val="-2"/>
              </w:rPr>
              <w:t>深</w:t>
            </w:r>
            <w:r>
              <w:rPr>
                <w:rFonts w:ascii="仿宋" w:hAnsi="仿宋" w:eastAsia="仿宋" w:cs="仿宋"/>
                <w:spacing w:val="-41"/>
              </w:rPr>
              <w:t xml:space="preserve"> </w:t>
            </w:r>
            <w:r>
              <w:rPr>
                <w:spacing w:val="-2"/>
              </w:rPr>
              <w:t>28cm</w:t>
            </w:r>
          </w:p>
        </w:tc>
      </w:tr>
      <w:tr w14:paraId="25693B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5977F673">
            <w:pPr>
              <w:rPr>
                <w:rFonts w:ascii="Arial"/>
                <w:sz w:val="21"/>
              </w:rPr>
            </w:pPr>
          </w:p>
        </w:tc>
        <w:tc>
          <w:tcPr>
            <w:tcW w:w="538" w:type="dxa"/>
            <w:vAlign w:val="top"/>
          </w:tcPr>
          <w:p w14:paraId="21348D98">
            <w:pPr>
              <w:pStyle w:val="6"/>
              <w:spacing w:before="52" w:line="188" w:lineRule="auto"/>
              <w:ind w:left="222"/>
            </w:pPr>
            <w:r>
              <w:t>9</w:t>
            </w:r>
          </w:p>
        </w:tc>
        <w:tc>
          <w:tcPr>
            <w:tcW w:w="2585" w:type="dxa"/>
            <w:vAlign w:val="top"/>
          </w:tcPr>
          <w:p w14:paraId="40DABBD1">
            <w:pPr>
              <w:pStyle w:val="6"/>
              <w:spacing w:before="33" w:line="200" w:lineRule="auto"/>
              <w:ind w:left="608"/>
            </w:pPr>
            <w:r>
              <w:rPr>
                <w:spacing w:val="-1"/>
              </w:rPr>
              <w:t>K1+251</w:t>
            </w:r>
            <w:r>
              <w:rPr>
                <w:rFonts w:ascii="仿宋" w:hAnsi="仿宋" w:eastAsia="仿宋" w:cs="仿宋"/>
                <w:spacing w:val="-1"/>
              </w:rPr>
              <w:t>～</w:t>
            </w:r>
            <w:r>
              <w:rPr>
                <w:spacing w:val="-1"/>
              </w:rPr>
              <w:t>K1+343</w:t>
            </w:r>
          </w:p>
        </w:tc>
        <w:tc>
          <w:tcPr>
            <w:tcW w:w="1090" w:type="dxa"/>
            <w:vAlign w:val="top"/>
          </w:tcPr>
          <w:p w14:paraId="7AFD8B0F">
            <w:pPr>
              <w:spacing w:before="33" w:line="200" w:lineRule="auto"/>
              <w:ind w:left="378"/>
              <w:rPr>
                <w:rFonts w:ascii="仿宋" w:hAnsi="仿宋" w:eastAsia="仿宋" w:cs="仿宋"/>
                <w:sz w:val="18"/>
                <w:szCs w:val="18"/>
              </w:rPr>
            </w:pPr>
            <w:r>
              <w:rPr>
                <w:rFonts w:ascii="仿宋" w:hAnsi="仿宋" w:eastAsia="仿宋" w:cs="仿宋"/>
                <w:spacing w:val="-8"/>
                <w:sz w:val="18"/>
                <w:szCs w:val="18"/>
              </w:rPr>
              <w:t>边沟</w:t>
            </w:r>
          </w:p>
        </w:tc>
        <w:tc>
          <w:tcPr>
            <w:tcW w:w="3427" w:type="dxa"/>
            <w:tcBorders>
              <w:right w:val="single" w:color="000000" w:sz="6" w:space="0"/>
            </w:tcBorders>
            <w:vAlign w:val="top"/>
          </w:tcPr>
          <w:p w14:paraId="3AD9EDC5">
            <w:pPr>
              <w:pStyle w:val="6"/>
              <w:spacing w:before="33" w:line="200" w:lineRule="auto"/>
              <w:ind w:left="442"/>
            </w:pPr>
            <w:r>
              <w:rPr>
                <w:rFonts w:ascii="仿宋" w:hAnsi="仿宋" w:eastAsia="仿宋" w:cs="仿宋"/>
                <w:spacing w:val="-4"/>
              </w:rPr>
              <w:t>倒</w:t>
            </w:r>
            <w:r>
              <w:rPr>
                <w:rFonts w:ascii="仿宋" w:hAnsi="仿宋" w:eastAsia="仿宋" w:cs="仿宋"/>
                <w:spacing w:val="-35"/>
              </w:rPr>
              <w:t xml:space="preserve"> </w:t>
            </w:r>
            <w:r>
              <w:rPr>
                <w:spacing w:val="-4"/>
              </w:rPr>
              <w:t>7</w:t>
            </w:r>
            <w:r>
              <w:rPr>
                <w:spacing w:val="19"/>
              </w:rPr>
              <w:t xml:space="preserve"> </w:t>
            </w:r>
            <w:r>
              <w:rPr>
                <w:rFonts w:ascii="仿宋" w:hAnsi="仿宋" w:eastAsia="仿宋" w:cs="仿宋"/>
                <w:spacing w:val="-4"/>
              </w:rPr>
              <w:t>字形边沟，宽</w:t>
            </w:r>
            <w:r>
              <w:rPr>
                <w:rFonts w:ascii="仿宋" w:hAnsi="仿宋" w:eastAsia="仿宋" w:cs="仿宋"/>
                <w:spacing w:val="-38"/>
              </w:rPr>
              <w:t xml:space="preserve"> </w:t>
            </w:r>
            <w:r>
              <w:rPr>
                <w:spacing w:val="-4"/>
              </w:rPr>
              <w:t>90cm</w:t>
            </w:r>
            <w:r>
              <w:rPr>
                <w:spacing w:val="14"/>
              </w:rPr>
              <w:t xml:space="preserve"> </w:t>
            </w:r>
            <w:r>
              <w:rPr>
                <w:rFonts w:ascii="仿宋" w:hAnsi="仿宋" w:eastAsia="仿宋" w:cs="仿宋"/>
                <w:spacing w:val="-4"/>
              </w:rPr>
              <w:t>深</w:t>
            </w:r>
            <w:r>
              <w:rPr>
                <w:rFonts w:ascii="仿宋" w:hAnsi="仿宋" w:eastAsia="仿宋" w:cs="仿宋"/>
                <w:spacing w:val="-43"/>
              </w:rPr>
              <w:t xml:space="preserve"> </w:t>
            </w:r>
            <w:r>
              <w:rPr>
                <w:spacing w:val="-4"/>
              </w:rPr>
              <w:t>28cm</w:t>
            </w:r>
          </w:p>
        </w:tc>
      </w:tr>
      <w:tr w14:paraId="7A35FE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5722DA9D">
            <w:pPr>
              <w:rPr>
                <w:rFonts w:ascii="Arial"/>
                <w:sz w:val="21"/>
              </w:rPr>
            </w:pPr>
          </w:p>
        </w:tc>
        <w:tc>
          <w:tcPr>
            <w:tcW w:w="538" w:type="dxa"/>
            <w:vAlign w:val="top"/>
          </w:tcPr>
          <w:p w14:paraId="6387FC49">
            <w:pPr>
              <w:pStyle w:val="6"/>
              <w:spacing w:before="51" w:line="188" w:lineRule="auto"/>
              <w:ind w:left="192"/>
            </w:pPr>
            <w:r>
              <w:rPr>
                <w:spacing w:val="-10"/>
              </w:rPr>
              <w:t>10</w:t>
            </w:r>
          </w:p>
        </w:tc>
        <w:tc>
          <w:tcPr>
            <w:tcW w:w="2585" w:type="dxa"/>
            <w:vAlign w:val="top"/>
          </w:tcPr>
          <w:p w14:paraId="58E70C76">
            <w:pPr>
              <w:pStyle w:val="6"/>
              <w:spacing w:before="51" w:line="188" w:lineRule="auto"/>
              <w:ind w:left="995"/>
            </w:pPr>
            <w:r>
              <w:rPr>
                <w:spacing w:val="-1"/>
              </w:rPr>
              <w:t>K1+343</w:t>
            </w:r>
          </w:p>
        </w:tc>
        <w:tc>
          <w:tcPr>
            <w:tcW w:w="1090" w:type="dxa"/>
            <w:vAlign w:val="top"/>
          </w:tcPr>
          <w:p w14:paraId="616EF234">
            <w:pPr>
              <w:spacing w:before="34" w:line="198" w:lineRule="auto"/>
              <w:ind w:left="284"/>
              <w:rPr>
                <w:rFonts w:ascii="仿宋" w:hAnsi="仿宋" w:eastAsia="仿宋" w:cs="仿宋"/>
                <w:sz w:val="18"/>
                <w:szCs w:val="18"/>
              </w:rPr>
            </w:pPr>
            <w:r>
              <w:rPr>
                <w:rFonts w:ascii="仿宋" w:hAnsi="仿宋" w:eastAsia="仿宋" w:cs="仿宋"/>
                <w:spacing w:val="-4"/>
                <w:sz w:val="18"/>
                <w:szCs w:val="18"/>
              </w:rPr>
              <w:t>排水沟</w:t>
            </w:r>
          </w:p>
        </w:tc>
        <w:tc>
          <w:tcPr>
            <w:tcW w:w="3427" w:type="dxa"/>
            <w:tcBorders>
              <w:right w:val="single" w:color="000000" w:sz="6" w:space="0"/>
            </w:tcBorders>
            <w:vAlign w:val="top"/>
          </w:tcPr>
          <w:p w14:paraId="38F51135">
            <w:pPr>
              <w:pStyle w:val="6"/>
              <w:spacing w:before="34" w:line="198" w:lineRule="auto"/>
              <w:ind w:left="530"/>
            </w:pPr>
            <w:r>
              <w:rPr>
                <w:rFonts w:ascii="仿宋" w:hAnsi="仿宋" w:eastAsia="仿宋" w:cs="仿宋"/>
                <w:spacing w:val="-3"/>
              </w:rPr>
              <w:t>矩形排水沟，宽</w:t>
            </w:r>
            <w:r>
              <w:rPr>
                <w:rFonts w:ascii="仿宋" w:hAnsi="仿宋" w:eastAsia="仿宋" w:cs="仿宋"/>
                <w:spacing w:val="-28"/>
              </w:rPr>
              <w:t xml:space="preserve"> </w:t>
            </w:r>
            <w:r>
              <w:rPr>
                <w:spacing w:val="-3"/>
              </w:rPr>
              <w:t>90cm</w:t>
            </w:r>
            <w:r>
              <w:rPr>
                <w:spacing w:val="13"/>
                <w:w w:val="101"/>
              </w:rPr>
              <w:t xml:space="preserve"> </w:t>
            </w:r>
            <w:r>
              <w:rPr>
                <w:rFonts w:ascii="仿宋" w:hAnsi="仿宋" w:eastAsia="仿宋" w:cs="仿宋"/>
                <w:spacing w:val="-3"/>
              </w:rPr>
              <w:t>深</w:t>
            </w:r>
            <w:r>
              <w:rPr>
                <w:rFonts w:ascii="仿宋" w:hAnsi="仿宋" w:eastAsia="仿宋" w:cs="仿宋"/>
                <w:spacing w:val="-41"/>
              </w:rPr>
              <w:t xml:space="preserve"> </w:t>
            </w:r>
            <w:r>
              <w:rPr>
                <w:spacing w:val="-3"/>
              </w:rPr>
              <w:t>28cm</w:t>
            </w:r>
          </w:p>
        </w:tc>
      </w:tr>
      <w:tr w14:paraId="00E786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44F0C0BC">
            <w:pPr>
              <w:rPr>
                <w:rFonts w:ascii="Arial"/>
                <w:sz w:val="21"/>
              </w:rPr>
            </w:pPr>
          </w:p>
        </w:tc>
        <w:tc>
          <w:tcPr>
            <w:tcW w:w="538" w:type="dxa"/>
            <w:vAlign w:val="top"/>
          </w:tcPr>
          <w:p w14:paraId="1756A337">
            <w:pPr>
              <w:pStyle w:val="6"/>
              <w:spacing w:before="53" w:line="188" w:lineRule="auto"/>
              <w:ind w:left="195"/>
            </w:pPr>
            <w:r>
              <w:rPr>
                <w:spacing w:val="-11"/>
              </w:rPr>
              <w:t>11</w:t>
            </w:r>
          </w:p>
        </w:tc>
        <w:tc>
          <w:tcPr>
            <w:tcW w:w="2585" w:type="dxa"/>
            <w:vAlign w:val="top"/>
          </w:tcPr>
          <w:p w14:paraId="7DB4EFC6">
            <w:pPr>
              <w:pStyle w:val="6"/>
              <w:spacing w:before="34" w:line="200" w:lineRule="auto"/>
              <w:ind w:left="608"/>
            </w:pPr>
            <w:r>
              <w:rPr>
                <w:spacing w:val="-1"/>
              </w:rPr>
              <w:t>K1+374</w:t>
            </w:r>
            <w:r>
              <w:rPr>
                <w:rFonts w:ascii="仿宋" w:hAnsi="仿宋" w:eastAsia="仿宋" w:cs="仿宋"/>
                <w:spacing w:val="-1"/>
              </w:rPr>
              <w:t>～</w:t>
            </w:r>
            <w:r>
              <w:rPr>
                <w:spacing w:val="-1"/>
              </w:rPr>
              <w:t>K1+571</w:t>
            </w:r>
          </w:p>
        </w:tc>
        <w:tc>
          <w:tcPr>
            <w:tcW w:w="1090" w:type="dxa"/>
            <w:vAlign w:val="top"/>
          </w:tcPr>
          <w:p w14:paraId="0547EF21">
            <w:pPr>
              <w:spacing w:before="34" w:line="200" w:lineRule="auto"/>
              <w:ind w:left="378"/>
              <w:rPr>
                <w:rFonts w:ascii="仿宋" w:hAnsi="仿宋" w:eastAsia="仿宋" w:cs="仿宋"/>
                <w:sz w:val="18"/>
                <w:szCs w:val="18"/>
              </w:rPr>
            </w:pPr>
            <w:r>
              <w:rPr>
                <w:rFonts w:ascii="仿宋" w:hAnsi="仿宋" w:eastAsia="仿宋" w:cs="仿宋"/>
                <w:spacing w:val="-8"/>
                <w:sz w:val="18"/>
                <w:szCs w:val="18"/>
              </w:rPr>
              <w:t>边沟</w:t>
            </w:r>
          </w:p>
        </w:tc>
        <w:tc>
          <w:tcPr>
            <w:tcW w:w="3427" w:type="dxa"/>
            <w:tcBorders>
              <w:right w:val="single" w:color="000000" w:sz="6" w:space="0"/>
            </w:tcBorders>
            <w:vAlign w:val="top"/>
          </w:tcPr>
          <w:p w14:paraId="65F91A98">
            <w:pPr>
              <w:pStyle w:val="6"/>
              <w:spacing w:before="34" w:line="200" w:lineRule="auto"/>
              <w:ind w:left="442"/>
            </w:pPr>
            <w:r>
              <w:rPr>
                <w:rFonts w:ascii="仿宋" w:hAnsi="仿宋" w:eastAsia="仿宋" w:cs="仿宋"/>
                <w:spacing w:val="-4"/>
              </w:rPr>
              <w:t>倒</w:t>
            </w:r>
            <w:r>
              <w:rPr>
                <w:rFonts w:ascii="仿宋" w:hAnsi="仿宋" w:eastAsia="仿宋" w:cs="仿宋"/>
                <w:spacing w:val="-35"/>
              </w:rPr>
              <w:t xml:space="preserve"> </w:t>
            </w:r>
            <w:r>
              <w:rPr>
                <w:spacing w:val="-4"/>
              </w:rPr>
              <w:t>7</w:t>
            </w:r>
            <w:r>
              <w:rPr>
                <w:spacing w:val="19"/>
              </w:rPr>
              <w:t xml:space="preserve"> </w:t>
            </w:r>
            <w:r>
              <w:rPr>
                <w:rFonts w:ascii="仿宋" w:hAnsi="仿宋" w:eastAsia="仿宋" w:cs="仿宋"/>
                <w:spacing w:val="-4"/>
              </w:rPr>
              <w:t>字形边沟，宽</w:t>
            </w:r>
            <w:r>
              <w:rPr>
                <w:rFonts w:ascii="仿宋" w:hAnsi="仿宋" w:eastAsia="仿宋" w:cs="仿宋"/>
                <w:spacing w:val="-38"/>
              </w:rPr>
              <w:t xml:space="preserve"> </w:t>
            </w:r>
            <w:r>
              <w:rPr>
                <w:spacing w:val="-4"/>
              </w:rPr>
              <w:t>90cm</w:t>
            </w:r>
            <w:r>
              <w:rPr>
                <w:spacing w:val="14"/>
              </w:rPr>
              <w:t xml:space="preserve"> </w:t>
            </w:r>
            <w:r>
              <w:rPr>
                <w:rFonts w:ascii="仿宋" w:hAnsi="仿宋" w:eastAsia="仿宋" w:cs="仿宋"/>
                <w:spacing w:val="-4"/>
              </w:rPr>
              <w:t>深</w:t>
            </w:r>
            <w:r>
              <w:rPr>
                <w:rFonts w:ascii="仿宋" w:hAnsi="仿宋" w:eastAsia="仿宋" w:cs="仿宋"/>
                <w:spacing w:val="-43"/>
              </w:rPr>
              <w:t xml:space="preserve"> </w:t>
            </w:r>
            <w:r>
              <w:rPr>
                <w:spacing w:val="-4"/>
              </w:rPr>
              <w:t>28cm</w:t>
            </w:r>
          </w:p>
        </w:tc>
      </w:tr>
      <w:tr w14:paraId="7BF131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0D64BEBF">
            <w:pPr>
              <w:rPr>
                <w:rFonts w:ascii="Arial"/>
                <w:sz w:val="21"/>
              </w:rPr>
            </w:pPr>
          </w:p>
        </w:tc>
        <w:tc>
          <w:tcPr>
            <w:tcW w:w="538" w:type="dxa"/>
            <w:vAlign w:val="top"/>
          </w:tcPr>
          <w:p w14:paraId="552388FB">
            <w:pPr>
              <w:pStyle w:val="6"/>
              <w:spacing w:before="52" w:line="188" w:lineRule="auto"/>
              <w:ind w:left="192"/>
            </w:pPr>
            <w:r>
              <w:rPr>
                <w:spacing w:val="-10"/>
              </w:rPr>
              <w:t>12</w:t>
            </w:r>
          </w:p>
        </w:tc>
        <w:tc>
          <w:tcPr>
            <w:tcW w:w="2585" w:type="dxa"/>
            <w:vAlign w:val="top"/>
          </w:tcPr>
          <w:p w14:paraId="5F78B778">
            <w:pPr>
              <w:pStyle w:val="6"/>
              <w:spacing w:before="52" w:line="188" w:lineRule="auto"/>
              <w:ind w:left="995"/>
            </w:pPr>
            <w:r>
              <w:rPr>
                <w:spacing w:val="-1"/>
              </w:rPr>
              <w:t>K1+374</w:t>
            </w:r>
          </w:p>
        </w:tc>
        <w:tc>
          <w:tcPr>
            <w:tcW w:w="1090" w:type="dxa"/>
            <w:vAlign w:val="top"/>
          </w:tcPr>
          <w:p w14:paraId="511E1C2C">
            <w:pPr>
              <w:spacing w:before="34" w:line="198" w:lineRule="auto"/>
              <w:ind w:left="284"/>
              <w:rPr>
                <w:rFonts w:ascii="仿宋" w:hAnsi="仿宋" w:eastAsia="仿宋" w:cs="仿宋"/>
                <w:sz w:val="18"/>
                <w:szCs w:val="18"/>
              </w:rPr>
            </w:pPr>
            <w:r>
              <w:rPr>
                <w:rFonts w:ascii="仿宋" w:hAnsi="仿宋" w:eastAsia="仿宋" w:cs="仿宋"/>
                <w:spacing w:val="-4"/>
                <w:sz w:val="18"/>
                <w:szCs w:val="18"/>
              </w:rPr>
              <w:t>排水沟</w:t>
            </w:r>
          </w:p>
        </w:tc>
        <w:tc>
          <w:tcPr>
            <w:tcW w:w="3427" w:type="dxa"/>
            <w:tcBorders>
              <w:right w:val="single" w:color="000000" w:sz="6" w:space="0"/>
            </w:tcBorders>
            <w:vAlign w:val="top"/>
          </w:tcPr>
          <w:p w14:paraId="74AADCB5">
            <w:pPr>
              <w:pStyle w:val="6"/>
              <w:spacing w:before="34" w:line="198" w:lineRule="auto"/>
              <w:ind w:left="530"/>
            </w:pPr>
            <w:r>
              <w:rPr>
                <w:rFonts w:ascii="仿宋" w:hAnsi="仿宋" w:eastAsia="仿宋" w:cs="仿宋"/>
                <w:spacing w:val="-3"/>
              </w:rPr>
              <w:t>矩形排水沟，宽</w:t>
            </w:r>
            <w:r>
              <w:rPr>
                <w:rFonts w:ascii="仿宋" w:hAnsi="仿宋" w:eastAsia="仿宋" w:cs="仿宋"/>
                <w:spacing w:val="-28"/>
              </w:rPr>
              <w:t xml:space="preserve"> </w:t>
            </w:r>
            <w:r>
              <w:rPr>
                <w:spacing w:val="-3"/>
              </w:rPr>
              <w:t>90cm</w:t>
            </w:r>
            <w:r>
              <w:rPr>
                <w:spacing w:val="13"/>
                <w:w w:val="101"/>
              </w:rPr>
              <w:t xml:space="preserve"> </w:t>
            </w:r>
            <w:r>
              <w:rPr>
                <w:rFonts w:ascii="仿宋" w:hAnsi="仿宋" w:eastAsia="仿宋" w:cs="仿宋"/>
                <w:spacing w:val="-3"/>
              </w:rPr>
              <w:t>深</w:t>
            </w:r>
            <w:r>
              <w:rPr>
                <w:rFonts w:ascii="仿宋" w:hAnsi="仿宋" w:eastAsia="仿宋" w:cs="仿宋"/>
                <w:spacing w:val="-41"/>
              </w:rPr>
              <w:t xml:space="preserve"> </w:t>
            </w:r>
            <w:r>
              <w:rPr>
                <w:spacing w:val="-3"/>
              </w:rPr>
              <w:t>28cm</w:t>
            </w:r>
          </w:p>
        </w:tc>
      </w:tr>
      <w:tr w14:paraId="7D2C0B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2CEA327B">
            <w:pPr>
              <w:rPr>
                <w:rFonts w:ascii="Arial"/>
                <w:sz w:val="21"/>
              </w:rPr>
            </w:pPr>
          </w:p>
        </w:tc>
        <w:tc>
          <w:tcPr>
            <w:tcW w:w="538" w:type="dxa"/>
            <w:vAlign w:val="top"/>
          </w:tcPr>
          <w:p w14:paraId="59FB73B5">
            <w:pPr>
              <w:pStyle w:val="6"/>
              <w:spacing w:before="51" w:line="188" w:lineRule="auto"/>
              <w:ind w:left="192"/>
            </w:pPr>
            <w:r>
              <w:rPr>
                <w:spacing w:val="-10"/>
              </w:rPr>
              <w:t>13</w:t>
            </w:r>
          </w:p>
        </w:tc>
        <w:tc>
          <w:tcPr>
            <w:tcW w:w="2585" w:type="dxa"/>
            <w:vAlign w:val="top"/>
          </w:tcPr>
          <w:p w14:paraId="22F89C09">
            <w:pPr>
              <w:pStyle w:val="6"/>
              <w:spacing w:before="34" w:line="198" w:lineRule="auto"/>
              <w:ind w:left="608"/>
            </w:pPr>
            <w:r>
              <w:rPr>
                <w:spacing w:val="-1"/>
              </w:rPr>
              <w:t>K1+715</w:t>
            </w:r>
            <w:r>
              <w:rPr>
                <w:rFonts w:ascii="仿宋" w:hAnsi="仿宋" w:eastAsia="仿宋" w:cs="仿宋"/>
                <w:spacing w:val="-1"/>
              </w:rPr>
              <w:t>～</w:t>
            </w:r>
            <w:r>
              <w:rPr>
                <w:spacing w:val="-1"/>
              </w:rPr>
              <w:t>K1+823</w:t>
            </w:r>
          </w:p>
        </w:tc>
        <w:tc>
          <w:tcPr>
            <w:tcW w:w="1090" w:type="dxa"/>
            <w:vAlign w:val="top"/>
          </w:tcPr>
          <w:p w14:paraId="51491864">
            <w:pPr>
              <w:spacing w:before="34" w:line="198" w:lineRule="auto"/>
              <w:ind w:left="378"/>
              <w:rPr>
                <w:rFonts w:ascii="仿宋" w:hAnsi="仿宋" w:eastAsia="仿宋" w:cs="仿宋"/>
                <w:sz w:val="18"/>
                <w:szCs w:val="18"/>
              </w:rPr>
            </w:pPr>
            <w:r>
              <w:rPr>
                <w:rFonts w:ascii="仿宋" w:hAnsi="仿宋" w:eastAsia="仿宋" w:cs="仿宋"/>
                <w:spacing w:val="-8"/>
                <w:sz w:val="18"/>
                <w:szCs w:val="18"/>
              </w:rPr>
              <w:t>边沟</w:t>
            </w:r>
          </w:p>
        </w:tc>
        <w:tc>
          <w:tcPr>
            <w:tcW w:w="3427" w:type="dxa"/>
            <w:tcBorders>
              <w:right w:val="single" w:color="000000" w:sz="6" w:space="0"/>
            </w:tcBorders>
            <w:vAlign w:val="top"/>
          </w:tcPr>
          <w:p w14:paraId="471D5DBC">
            <w:pPr>
              <w:pStyle w:val="6"/>
              <w:spacing w:before="34" w:line="198" w:lineRule="auto"/>
              <w:ind w:left="418"/>
            </w:pPr>
            <w:r>
              <w:rPr>
                <w:rFonts w:ascii="仿宋" w:hAnsi="仿宋" w:eastAsia="仿宋" w:cs="仿宋"/>
                <w:spacing w:val="-3"/>
              </w:rPr>
              <w:t>倒</w:t>
            </w:r>
            <w:r>
              <w:rPr>
                <w:rFonts w:ascii="仿宋" w:hAnsi="仿宋" w:eastAsia="仿宋" w:cs="仿宋"/>
                <w:spacing w:val="-32"/>
              </w:rPr>
              <w:t xml:space="preserve"> </w:t>
            </w:r>
            <w:r>
              <w:rPr>
                <w:spacing w:val="-3"/>
              </w:rPr>
              <w:t>7</w:t>
            </w:r>
            <w:r>
              <w:rPr>
                <w:spacing w:val="18"/>
                <w:w w:val="102"/>
              </w:rPr>
              <w:t xml:space="preserve"> </w:t>
            </w:r>
            <w:r>
              <w:rPr>
                <w:rFonts w:ascii="仿宋" w:hAnsi="仿宋" w:eastAsia="仿宋" w:cs="仿宋"/>
                <w:spacing w:val="-3"/>
              </w:rPr>
              <w:t>字形边沟，宽</w:t>
            </w:r>
            <w:r>
              <w:rPr>
                <w:rFonts w:ascii="仿宋" w:hAnsi="仿宋" w:eastAsia="仿宋" w:cs="仿宋"/>
                <w:spacing w:val="-38"/>
              </w:rPr>
              <w:t xml:space="preserve"> </w:t>
            </w:r>
            <w:r>
              <w:rPr>
                <w:spacing w:val="-3"/>
              </w:rPr>
              <w:t xml:space="preserve">90cm  </w:t>
            </w:r>
            <w:r>
              <w:rPr>
                <w:rFonts w:ascii="仿宋" w:hAnsi="仿宋" w:eastAsia="仿宋" w:cs="仿宋"/>
                <w:spacing w:val="-3"/>
              </w:rPr>
              <w:t>深</w:t>
            </w:r>
            <w:r>
              <w:rPr>
                <w:rFonts w:ascii="仿宋" w:hAnsi="仿宋" w:eastAsia="仿宋" w:cs="仿宋"/>
                <w:spacing w:val="-40"/>
              </w:rPr>
              <w:t xml:space="preserve"> </w:t>
            </w:r>
            <w:r>
              <w:rPr>
                <w:spacing w:val="-3"/>
              </w:rPr>
              <w:t>28cm</w:t>
            </w:r>
          </w:p>
        </w:tc>
      </w:tr>
      <w:tr w14:paraId="5416F7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5780761E">
            <w:pPr>
              <w:rPr>
                <w:rFonts w:ascii="Arial"/>
                <w:sz w:val="21"/>
              </w:rPr>
            </w:pPr>
          </w:p>
        </w:tc>
        <w:tc>
          <w:tcPr>
            <w:tcW w:w="538" w:type="dxa"/>
            <w:vAlign w:val="top"/>
          </w:tcPr>
          <w:p w14:paraId="1805EED7">
            <w:pPr>
              <w:pStyle w:val="6"/>
              <w:spacing w:before="53" w:line="188" w:lineRule="auto"/>
              <w:ind w:left="192"/>
            </w:pPr>
            <w:r>
              <w:rPr>
                <w:spacing w:val="-10"/>
              </w:rPr>
              <w:t>14</w:t>
            </w:r>
          </w:p>
        </w:tc>
        <w:tc>
          <w:tcPr>
            <w:tcW w:w="2585" w:type="dxa"/>
            <w:vAlign w:val="top"/>
          </w:tcPr>
          <w:p w14:paraId="37E140B6">
            <w:pPr>
              <w:pStyle w:val="6"/>
              <w:spacing w:before="53" w:line="188" w:lineRule="auto"/>
              <w:ind w:left="995"/>
            </w:pPr>
            <w:r>
              <w:rPr>
                <w:spacing w:val="-1"/>
              </w:rPr>
              <w:t>K1+823</w:t>
            </w:r>
          </w:p>
        </w:tc>
        <w:tc>
          <w:tcPr>
            <w:tcW w:w="1090" w:type="dxa"/>
            <w:vAlign w:val="top"/>
          </w:tcPr>
          <w:p w14:paraId="02A89E48">
            <w:pPr>
              <w:spacing w:before="35" w:line="197" w:lineRule="auto"/>
              <w:ind w:left="284"/>
              <w:rPr>
                <w:rFonts w:ascii="仿宋" w:hAnsi="仿宋" w:eastAsia="仿宋" w:cs="仿宋"/>
                <w:sz w:val="18"/>
                <w:szCs w:val="18"/>
              </w:rPr>
            </w:pPr>
            <w:r>
              <w:rPr>
                <w:rFonts w:ascii="仿宋" w:hAnsi="仿宋" w:eastAsia="仿宋" w:cs="仿宋"/>
                <w:spacing w:val="-4"/>
                <w:sz w:val="18"/>
                <w:szCs w:val="18"/>
              </w:rPr>
              <w:t>排水沟</w:t>
            </w:r>
          </w:p>
        </w:tc>
        <w:tc>
          <w:tcPr>
            <w:tcW w:w="3427" w:type="dxa"/>
            <w:tcBorders>
              <w:right w:val="single" w:color="000000" w:sz="6" w:space="0"/>
            </w:tcBorders>
            <w:vAlign w:val="top"/>
          </w:tcPr>
          <w:p w14:paraId="0F2797C7">
            <w:pPr>
              <w:pStyle w:val="6"/>
              <w:spacing w:before="35" w:line="197" w:lineRule="auto"/>
              <w:ind w:left="508"/>
            </w:pPr>
            <w:r>
              <w:rPr>
                <w:rFonts w:ascii="仿宋" w:hAnsi="仿宋" w:eastAsia="仿宋" w:cs="仿宋"/>
                <w:spacing w:val="-2"/>
              </w:rPr>
              <w:t>矩形排水沟，宽</w:t>
            </w:r>
            <w:r>
              <w:rPr>
                <w:rFonts w:ascii="仿宋" w:hAnsi="仿宋" w:eastAsia="仿宋" w:cs="仿宋"/>
                <w:spacing w:val="-28"/>
              </w:rPr>
              <w:t xml:space="preserve"> </w:t>
            </w:r>
            <w:r>
              <w:rPr>
                <w:spacing w:val="-2"/>
              </w:rPr>
              <w:t xml:space="preserve">90cm  </w:t>
            </w:r>
            <w:r>
              <w:rPr>
                <w:rFonts w:ascii="仿宋" w:hAnsi="仿宋" w:eastAsia="仿宋" w:cs="仿宋"/>
                <w:spacing w:val="-2"/>
              </w:rPr>
              <w:t>深</w:t>
            </w:r>
            <w:r>
              <w:rPr>
                <w:rFonts w:ascii="仿宋" w:hAnsi="仿宋" w:eastAsia="仿宋" w:cs="仿宋"/>
                <w:spacing w:val="-41"/>
              </w:rPr>
              <w:t xml:space="preserve"> </w:t>
            </w:r>
            <w:r>
              <w:rPr>
                <w:spacing w:val="-2"/>
              </w:rPr>
              <w:t>28cm</w:t>
            </w:r>
          </w:p>
        </w:tc>
      </w:tr>
      <w:tr w14:paraId="08167E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21CC31AF">
            <w:pPr>
              <w:rPr>
                <w:rFonts w:ascii="Arial"/>
                <w:sz w:val="21"/>
              </w:rPr>
            </w:pPr>
          </w:p>
        </w:tc>
        <w:tc>
          <w:tcPr>
            <w:tcW w:w="538" w:type="dxa"/>
            <w:vAlign w:val="top"/>
          </w:tcPr>
          <w:p w14:paraId="4B20DA1A">
            <w:pPr>
              <w:pStyle w:val="6"/>
              <w:spacing w:before="52" w:line="188" w:lineRule="auto"/>
              <w:ind w:left="192"/>
            </w:pPr>
            <w:r>
              <w:rPr>
                <w:spacing w:val="-10"/>
              </w:rPr>
              <w:t>15</w:t>
            </w:r>
          </w:p>
        </w:tc>
        <w:tc>
          <w:tcPr>
            <w:tcW w:w="2585" w:type="dxa"/>
            <w:vAlign w:val="top"/>
          </w:tcPr>
          <w:p w14:paraId="1D7042EC">
            <w:pPr>
              <w:pStyle w:val="6"/>
              <w:spacing w:before="35" w:line="198" w:lineRule="auto"/>
              <w:ind w:left="608"/>
            </w:pPr>
            <w:r>
              <w:rPr>
                <w:spacing w:val="-1"/>
              </w:rPr>
              <w:t>K2+028</w:t>
            </w:r>
            <w:r>
              <w:rPr>
                <w:rFonts w:ascii="仿宋" w:hAnsi="仿宋" w:eastAsia="仿宋" w:cs="仿宋"/>
                <w:spacing w:val="-1"/>
              </w:rPr>
              <w:t>～</w:t>
            </w:r>
            <w:r>
              <w:rPr>
                <w:spacing w:val="-1"/>
              </w:rPr>
              <w:t>K2+131</w:t>
            </w:r>
          </w:p>
        </w:tc>
        <w:tc>
          <w:tcPr>
            <w:tcW w:w="1090" w:type="dxa"/>
            <w:vAlign w:val="top"/>
          </w:tcPr>
          <w:p w14:paraId="7E6EB01D">
            <w:pPr>
              <w:spacing w:before="35" w:line="198" w:lineRule="auto"/>
              <w:ind w:left="378"/>
              <w:rPr>
                <w:rFonts w:ascii="仿宋" w:hAnsi="仿宋" w:eastAsia="仿宋" w:cs="仿宋"/>
                <w:sz w:val="18"/>
                <w:szCs w:val="18"/>
              </w:rPr>
            </w:pPr>
            <w:r>
              <w:rPr>
                <w:rFonts w:ascii="仿宋" w:hAnsi="仿宋" w:eastAsia="仿宋" w:cs="仿宋"/>
                <w:spacing w:val="-8"/>
                <w:sz w:val="18"/>
                <w:szCs w:val="18"/>
              </w:rPr>
              <w:t>边沟</w:t>
            </w:r>
          </w:p>
        </w:tc>
        <w:tc>
          <w:tcPr>
            <w:tcW w:w="3427" w:type="dxa"/>
            <w:tcBorders>
              <w:right w:val="single" w:color="000000" w:sz="6" w:space="0"/>
            </w:tcBorders>
            <w:vAlign w:val="top"/>
          </w:tcPr>
          <w:p w14:paraId="7A49730B">
            <w:pPr>
              <w:pStyle w:val="6"/>
              <w:spacing w:before="35" w:line="198" w:lineRule="auto"/>
              <w:ind w:left="442"/>
            </w:pPr>
            <w:r>
              <w:rPr>
                <w:rFonts w:ascii="仿宋" w:hAnsi="仿宋" w:eastAsia="仿宋" w:cs="仿宋"/>
                <w:spacing w:val="-4"/>
              </w:rPr>
              <w:t>倒</w:t>
            </w:r>
            <w:r>
              <w:rPr>
                <w:rFonts w:ascii="仿宋" w:hAnsi="仿宋" w:eastAsia="仿宋" w:cs="仿宋"/>
                <w:spacing w:val="-35"/>
              </w:rPr>
              <w:t xml:space="preserve"> </w:t>
            </w:r>
            <w:r>
              <w:rPr>
                <w:spacing w:val="-4"/>
              </w:rPr>
              <w:t>7</w:t>
            </w:r>
            <w:r>
              <w:rPr>
                <w:spacing w:val="19"/>
              </w:rPr>
              <w:t xml:space="preserve"> </w:t>
            </w:r>
            <w:r>
              <w:rPr>
                <w:rFonts w:ascii="仿宋" w:hAnsi="仿宋" w:eastAsia="仿宋" w:cs="仿宋"/>
                <w:spacing w:val="-4"/>
              </w:rPr>
              <w:t>字形边沟，宽</w:t>
            </w:r>
            <w:r>
              <w:rPr>
                <w:rFonts w:ascii="仿宋" w:hAnsi="仿宋" w:eastAsia="仿宋" w:cs="仿宋"/>
                <w:spacing w:val="-38"/>
              </w:rPr>
              <w:t xml:space="preserve"> </w:t>
            </w:r>
            <w:r>
              <w:rPr>
                <w:spacing w:val="-4"/>
              </w:rPr>
              <w:t>90cm</w:t>
            </w:r>
            <w:r>
              <w:rPr>
                <w:spacing w:val="14"/>
              </w:rPr>
              <w:t xml:space="preserve"> </w:t>
            </w:r>
            <w:r>
              <w:rPr>
                <w:rFonts w:ascii="仿宋" w:hAnsi="仿宋" w:eastAsia="仿宋" w:cs="仿宋"/>
                <w:spacing w:val="-4"/>
              </w:rPr>
              <w:t>深</w:t>
            </w:r>
            <w:r>
              <w:rPr>
                <w:rFonts w:ascii="仿宋" w:hAnsi="仿宋" w:eastAsia="仿宋" w:cs="仿宋"/>
                <w:spacing w:val="-43"/>
              </w:rPr>
              <w:t xml:space="preserve"> </w:t>
            </w:r>
            <w:r>
              <w:rPr>
                <w:spacing w:val="-4"/>
              </w:rPr>
              <w:t>28cm</w:t>
            </w:r>
          </w:p>
        </w:tc>
      </w:tr>
      <w:tr w14:paraId="28C39C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0BBF26DE">
            <w:pPr>
              <w:rPr>
                <w:rFonts w:ascii="Arial"/>
                <w:sz w:val="21"/>
              </w:rPr>
            </w:pPr>
          </w:p>
        </w:tc>
        <w:tc>
          <w:tcPr>
            <w:tcW w:w="538" w:type="dxa"/>
            <w:vAlign w:val="top"/>
          </w:tcPr>
          <w:p w14:paraId="02DE6463">
            <w:pPr>
              <w:pStyle w:val="6"/>
              <w:spacing w:before="53" w:line="188" w:lineRule="auto"/>
              <w:ind w:left="192"/>
            </w:pPr>
            <w:r>
              <w:rPr>
                <w:spacing w:val="-10"/>
              </w:rPr>
              <w:t>16</w:t>
            </w:r>
          </w:p>
        </w:tc>
        <w:tc>
          <w:tcPr>
            <w:tcW w:w="2585" w:type="dxa"/>
            <w:vAlign w:val="top"/>
          </w:tcPr>
          <w:p w14:paraId="625B28B9">
            <w:pPr>
              <w:pStyle w:val="6"/>
              <w:spacing w:before="53" w:line="188" w:lineRule="auto"/>
              <w:ind w:left="995"/>
            </w:pPr>
            <w:r>
              <w:rPr>
                <w:spacing w:val="-1"/>
              </w:rPr>
              <w:t>K2+028</w:t>
            </w:r>
          </w:p>
        </w:tc>
        <w:tc>
          <w:tcPr>
            <w:tcW w:w="1090" w:type="dxa"/>
            <w:vAlign w:val="top"/>
          </w:tcPr>
          <w:p w14:paraId="1C4EDD8E">
            <w:pPr>
              <w:spacing w:before="33" w:line="199" w:lineRule="auto"/>
              <w:ind w:left="284"/>
              <w:rPr>
                <w:rFonts w:ascii="仿宋" w:hAnsi="仿宋" w:eastAsia="仿宋" w:cs="仿宋"/>
                <w:sz w:val="18"/>
                <w:szCs w:val="18"/>
              </w:rPr>
            </w:pPr>
            <w:r>
              <w:rPr>
                <w:rFonts w:ascii="仿宋" w:hAnsi="仿宋" w:eastAsia="仿宋" w:cs="仿宋"/>
                <w:spacing w:val="-4"/>
                <w:sz w:val="18"/>
                <w:szCs w:val="18"/>
              </w:rPr>
              <w:t>排水沟</w:t>
            </w:r>
          </w:p>
        </w:tc>
        <w:tc>
          <w:tcPr>
            <w:tcW w:w="3427" w:type="dxa"/>
            <w:tcBorders>
              <w:right w:val="single" w:color="000000" w:sz="6" w:space="0"/>
            </w:tcBorders>
            <w:vAlign w:val="top"/>
          </w:tcPr>
          <w:p w14:paraId="1B91006B">
            <w:pPr>
              <w:pStyle w:val="6"/>
              <w:spacing w:before="33" w:line="199" w:lineRule="auto"/>
              <w:ind w:left="530"/>
            </w:pPr>
            <w:r>
              <w:rPr>
                <w:rFonts w:ascii="仿宋" w:hAnsi="仿宋" w:eastAsia="仿宋" w:cs="仿宋"/>
                <w:spacing w:val="-3"/>
              </w:rPr>
              <w:t>矩形排水沟，宽</w:t>
            </w:r>
            <w:r>
              <w:rPr>
                <w:rFonts w:ascii="仿宋" w:hAnsi="仿宋" w:eastAsia="仿宋" w:cs="仿宋"/>
                <w:spacing w:val="-28"/>
              </w:rPr>
              <w:t xml:space="preserve"> </w:t>
            </w:r>
            <w:r>
              <w:rPr>
                <w:spacing w:val="-3"/>
              </w:rPr>
              <w:t>90cm</w:t>
            </w:r>
            <w:r>
              <w:rPr>
                <w:spacing w:val="13"/>
                <w:w w:val="101"/>
              </w:rPr>
              <w:t xml:space="preserve"> </w:t>
            </w:r>
            <w:r>
              <w:rPr>
                <w:rFonts w:ascii="仿宋" w:hAnsi="仿宋" w:eastAsia="仿宋" w:cs="仿宋"/>
                <w:spacing w:val="-3"/>
              </w:rPr>
              <w:t>深</w:t>
            </w:r>
            <w:r>
              <w:rPr>
                <w:rFonts w:ascii="仿宋" w:hAnsi="仿宋" w:eastAsia="仿宋" w:cs="仿宋"/>
                <w:spacing w:val="-41"/>
              </w:rPr>
              <w:t xml:space="preserve"> </w:t>
            </w:r>
            <w:r>
              <w:rPr>
                <w:spacing w:val="-3"/>
              </w:rPr>
              <w:t>28cm</w:t>
            </w:r>
          </w:p>
        </w:tc>
      </w:tr>
      <w:tr w14:paraId="4E4011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7A2166DC">
            <w:pPr>
              <w:rPr>
                <w:rFonts w:ascii="Arial"/>
                <w:sz w:val="21"/>
              </w:rPr>
            </w:pPr>
          </w:p>
        </w:tc>
        <w:tc>
          <w:tcPr>
            <w:tcW w:w="538" w:type="dxa"/>
            <w:vAlign w:val="top"/>
          </w:tcPr>
          <w:p w14:paraId="490EF0E6">
            <w:pPr>
              <w:pStyle w:val="6"/>
              <w:spacing w:before="52" w:line="188" w:lineRule="auto"/>
              <w:ind w:left="192"/>
            </w:pPr>
            <w:r>
              <w:rPr>
                <w:spacing w:val="-10"/>
              </w:rPr>
              <w:t>17</w:t>
            </w:r>
          </w:p>
        </w:tc>
        <w:tc>
          <w:tcPr>
            <w:tcW w:w="2585" w:type="dxa"/>
            <w:vAlign w:val="top"/>
          </w:tcPr>
          <w:p w14:paraId="08F23A5D">
            <w:pPr>
              <w:pStyle w:val="6"/>
              <w:spacing w:before="35" w:line="197" w:lineRule="auto"/>
              <w:ind w:left="608"/>
            </w:pPr>
            <w:r>
              <w:rPr>
                <w:spacing w:val="-1"/>
              </w:rPr>
              <w:t>K2+305</w:t>
            </w:r>
            <w:r>
              <w:rPr>
                <w:rFonts w:ascii="仿宋" w:hAnsi="仿宋" w:eastAsia="仿宋" w:cs="仿宋"/>
                <w:spacing w:val="-1"/>
              </w:rPr>
              <w:t>～</w:t>
            </w:r>
            <w:r>
              <w:rPr>
                <w:spacing w:val="-1"/>
              </w:rPr>
              <w:t>K2+399</w:t>
            </w:r>
          </w:p>
        </w:tc>
        <w:tc>
          <w:tcPr>
            <w:tcW w:w="1090" w:type="dxa"/>
            <w:vAlign w:val="top"/>
          </w:tcPr>
          <w:p w14:paraId="1F1811A7">
            <w:pPr>
              <w:spacing w:before="35" w:line="197" w:lineRule="auto"/>
              <w:ind w:left="378"/>
              <w:rPr>
                <w:rFonts w:ascii="仿宋" w:hAnsi="仿宋" w:eastAsia="仿宋" w:cs="仿宋"/>
                <w:sz w:val="18"/>
                <w:szCs w:val="18"/>
              </w:rPr>
            </w:pPr>
            <w:r>
              <w:rPr>
                <w:rFonts w:ascii="仿宋" w:hAnsi="仿宋" w:eastAsia="仿宋" w:cs="仿宋"/>
                <w:spacing w:val="-8"/>
                <w:sz w:val="18"/>
                <w:szCs w:val="18"/>
              </w:rPr>
              <w:t>边沟</w:t>
            </w:r>
          </w:p>
        </w:tc>
        <w:tc>
          <w:tcPr>
            <w:tcW w:w="3427" w:type="dxa"/>
            <w:tcBorders>
              <w:right w:val="single" w:color="000000" w:sz="6" w:space="0"/>
            </w:tcBorders>
            <w:vAlign w:val="top"/>
          </w:tcPr>
          <w:p w14:paraId="6B2F6FBF">
            <w:pPr>
              <w:pStyle w:val="6"/>
              <w:spacing w:before="35" w:line="197" w:lineRule="auto"/>
              <w:ind w:left="442"/>
            </w:pPr>
            <w:r>
              <w:rPr>
                <w:rFonts w:ascii="仿宋" w:hAnsi="仿宋" w:eastAsia="仿宋" w:cs="仿宋"/>
                <w:spacing w:val="-4"/>
              </w:rPr>
              <w:t>倒</w:t>
            </w:r>
            <w:r>
              <w:rPr>
                <w:rFonts w:ascii="仿宋" w:hAnsi="仿宋" w:eastAsia="仿宋" w:cs="仿宋"/>
                <w:spacing w:val="-35"/>
              </w:rPr>
              <w:t xml:space="preserve"> </w:t>
            </w:r>
            <w:r>
              <w:rPr>
                <w:spacing w:val="-4"/>
              </w:rPr>
              <w:t>7</w:t>
            </w:r>
            <w:r>
              <w:rPr>
                <w:spacing w:val="19"/>
              </w:rPr>
              <w:t xml:space="preserve"> </w:t>
            </w:r>
            <w:r>
              <w:rPr>
                <w:rFonts w:ascii="仿宋" w:hAnsi="仿宋" w:eastAsia="仿宋" w:cs="仿宋"/>
                <w:spacing w:val="-4"/>
              </w:rPr>
              <w:t>字形边沟，宽</w:t>
            </w:r>
            <w:r>
              <w:rPr>
                <w:rFonts w:ascii="仿宋" w:hAnsi="仿宋" w:eastAsia="仿宋" w:cs="仿宋"/>
                <w:spacing w:val="-38"/>
              </w:rPr>
              <w:t xml:space="preserve"> </w:t>
            </w:r>
            <w:r>
              <w:rPr>
                <w:spacing w:val="-4"/>
              </w:rPr>
              <w:t>90cm</w:t>
            </w:r>
            <w:r>
              <w:rPr>
                <w:spacing w:val="14"/>
              </w:rPr>
              <w:t xml:space="preserve"> </w:t>
            </w:r>
            <w:r>
              <w:rPr>
                <w:rFonts w:ascii="仿宋" w:hAnsi="仿宋" w:eastAsia="仿宋" w:cs="仿宋"/>
                <w:spacing w:val="-4"/>
              </w:rPr>
              <w:t>深</w:t>
            </w:r>
            <w:r>
              <w:rPr>
                <w:rFonts w:ascii="仿宋" w:hAnsi="仿宋" w:eastAsia="仿宋" w:cs="仿宋"/>
                <w:spacing w:val="-43"/>
              </w:rPr>
              <w:t xml:space="preserve"> </w:t>
            </w:r>
            <w:r>
              <w:rPr>
                <w:spacing w:val="-4"/>
              </w:rPr>
              <w:t>28cm</w:t>
            </w:r>
          </w:p>
        </w:tc>
      </w:tr>
      <w:tr w14:paraId="2759EC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26B4FFF2">
            <w:pPr>
              <w:rPr>
                <w:rFonts w:ascii="Arial"/>
                <w:sz w:val="21"/>
              </w:rPr>
            </w:pPr>
          </w:p>
        </w:tc>
        <w:tc>
          <w:tcPr>
            <w:tcW w:w="538" w:type="dxa"/>
            <w:vAlign w:val="top"/>
          </w:tcPr>
          <w:p w14:paraId="5DFF3385">
            <w:pPr>
              <w:pStyle w:val="6"/>
              <w:spacing w:before="54" w:line="188" w:lineRule="auto"/>
              <w:ind w:left="192"/>
            </w:pPr>
            <w:r>
              <w:rPr>
                <w:spacing w:val="-10"/>
              </w:rPr>
              <w:t>18</w:t>
            </w:r>
          </w:p>
        </w:tc>
        <w:tc>
          <w:tcPr>
            <w:tcW w:w="2585" w:type="dxa"/>
            <w:vAlign w:val="top"/>
          </w:tcPr>
          <w:p w14:paraId="6F073986">
            <w:pPr>
              <w:pStyle w:val="6"/>
              <w:spacing w:before="54" w:line="188" w:lineRule="auto"/>
              <w:ind w:left="995"/>
            </w:pPr>
            <w:r>
              <w:rPr>
                <w:spacing w:val="-1"/>
              </w:rPr>
              <w:t>K2+399</w:t>
            </w:r>
          </w:p>
        </w:tc>
        <w:tc>
          <w:tcPr>
            <w:tcW w:w="1090" w:type="dxa"/>
            <w:vAlign w:val="top"/>
          </w:tcPr>
          <w:p w14:paraId="054E55F8">
            <w:pPr>
              <w:spacing w:before="34" w:line="199" w:lineRule="auto"/>
              <w:ind w:left="284"/>
              <w:rPr>
                <w:rFonts w:ascii="仿宋" w:hAnsi="仿宋" w:eastAsia="仿宋" w:cs="仿宋"/>
                <w:sz w:val="18"/>
                <w:szCs w:val="18"/>
              </w:rPr>
            </w:pPr>
            <w:r>
              <w:rPr>
                <w:rFonts w:ascii="仿宋" w:hAnsi="仿宋" w:eastAsia="仿宋" w:cs="仿宋"/>
                <w:spacing w:val="-4"/>
                <w:sz w:val="18"/>
                <w:szCs w:val="18"/>
              </w:rPr>
              <w:t>排水沟</w:t>
            </w:r>
          </w:p>
        </w:tc>
        <w:tc>
          <w:tcPr>
            <w:tcW w:w="3427" w:type="dxa"/>
            <w:tcBorders>
              <w:right w:val="single" w:color="000000" w:sz="6" w:space="0"/>
            </w:tcBorders>
            <w:vAlign w:val="top"/>
          </w:tcPr>
          <w:p w14:paraId="06E4AE92">
            <w:pPr>
              <w:pStyle w:val="6"/>
              <w:spacing w:before="34" w:line="199" w:lineRule="auto"/>
              <w:ind w:left="530"/>
            </w:pPr>
            <w:r>
              <w:rPr>
                <w:rFonts w:ascii="仿宋" w:hAnsi="仿宋" w:eastAsia="仿宋" w:cs="仿宋"/>
                <w:spacing w:val="-3"/>
              </w:rPr>
              <w:t>矩形排水沟，宽</w:t>
            </w:r>
            <w:r>
              <w:rPr>
                <w:rFonts w:ascii="仿宋" w:hAnsi="仿宋" w:eastAsia="仿宋" w:cs="仿宋"/>
                <w:spacing w:val="-28"/>
              </w:rPr>
              <w:t xml:space="preserve"> </w:t>
            </w:r>
            <w:r>
              <w:rPr>
                <w:spacing w:val="-3"/>
              </w:rPr>
              <w:t>90cm</w:t>
            </w:r>
            <w:r>
              <w:rPr>
                <w:spacing w:val="13"/>
                <w:w w:val="101"/>
              </w:rPr>
              <w:t xml:space="preserve"> </w:t>
            </w:r>
            <w:r>
              <w:rPr>
                <w:rFonts w:ascii="仿宋" w:hAnsi="仿宋" w:eastAsia="仿宋" w:cs="仿宋"/>
                <w:spacing w:val="-3"/>
              </w:rPr>
              <w:t>深</w:t>
            </w:r>
            <w:r>
              <w:rPr>
                <w:rFonts w:ascii="仿宋" w:hAnsi="仿宋" w:eastAsia="仿宋" w:cs="仿宋"/>
                <w:spacing w:val="-41"/>
              </w:rPr>
              <w:t xml:space="preserve"> </w:t>
            </w:r>
            <w:r>
              <w:rPr>
                <w:spacing w:val="-3"/>
              </w:rPr>
              <w:t>28cm</w:t>
            </w:r>
          </w:p>
        </w:tc>
      </w:tr>
      <w:tr w14:paraId="34E91A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3576A6C5">
            <w:pPr>
              <w:rPr>
                <w:rFonts w:ascii="Arial"/>
                <w:sz w:val="21"/>
              </w:rPr>
            </w:pPr>
          </w:p>
        </w:tc>
        <w:tc>
          <w:tcPr>
            <w:tcW w:w="538" w:type="dxa"/>
            <w:vAlign w:val="top"/>
          </w:tcPr>
          <w:p w14:paraId="0D96155A">
            <w:pPr>
              <w:pStyle w:val="6"/>
              <w:spacing w:before="53" w:line="188" w:lineRule="auto"/>
              <w:ind w:left="192"/>
            </w:pPr>
            <w:r>
              <w:rPr>
                <w:spacing w:val="-10"/>
              </w:rPr>
              <w:t>19</w:t>
            </w:r>
          </w:p>
        </w:tc>
        <w:tc>
          <w:tcPr>
            <w:tcW w:w="2585" w:type="dxa"/>
            <w:vAlign w:val="top"/>
          </w:tcPr>
          <w:p w14:paraId="495870B9">
            <w:pPr>
              <w:pStyle w:val="6"/>
              <w:spacing w:before="35" w:line="197" w:lineRule="auto"/>
              <w:ind w:left="608"/>
            </w:pPr>
            <w:r>
              <w:rPr>
                <w:spacing w:val="-1"/>
              </w:rPr>
              <w:t>K2+595</w:t>
            </w:r>
            <w:r>
              <w:rPr>
                <w:rFonts w:ascii="仿宋" w:hAnsi="仿宋" w:eastAsia="仿宋" w:cs="仿宋"/>
                <w:spacing w:val="-1"/>
              </w:rPr>
              <w:t>～</w:t>
            </w:r>
            <w:r>
              <w:rPr>
                <w:spacing w:val="-1"/>
              </w:rPr>
              <w:t>K2+661</w:t>
            </w:r>
          </w:p>
        </w:tc>
        <w:tc>
          <w:tcPr>
            <w:tcW w:w="1090" w:type="dxa"/>
            <w:vAlign w:val="top"/>
          </w:tcPr>
          <w:p w14:paraId="1B2E624B">
            <w:pPr>
              <w:spacing w:before="35" w:line="197" w:lineRule="auto"/>
              <w:ind w:left="378"/>
              <w:rPr>
                <w:rFonts w:ascii="仿宋" w:hAnsi="仿宋" w:eastAsia="仿宋" w:cs="仿宋"/>
                <w:sz w:val="18"/>
                <w:szCs w:val="18"/>
              </w:rPr>
            </w:pPr>
            <w:r>
              <w:rPr>
                <w:rFonts w:ascii="仿宋" w:hAnsi="仿宋" w:eastAsia="仿宋" w:cs="仿宋"/>
                <w:spacing w:val="-8"/>
                <w:sz w:val="18"/>
                <w:szCs w:val="18"/>
              </w:rPr>
              <w:t>边沟</w:t>
            </w:r>
          </w:p>
        </w:tc>
        <w:tc>
          <w:tcPr>
            <w:tcW w:w="3427" w:type="dxa"/>
            <w:tcBorders>
              <w:right w:val="single" w:color="000000" w:sz="6" w:space="0"/>
            </w:tcBorders>
            <w:vAlign w:val="top"/>
          </w:tcPr>
          <w:p w14:paraId="7EA4FE02">
            <w:pPr>
              <w:pStyle w:val="6"/>
              <w:spacing w:before="35" w:line="197" w:lineRule="auto"/>
              <w:ind w:left="442"/>
            </w:pPr>
            <w:r>
              <w:rPr>
                <w:rFonts w:ascii="仿宋" w:hAnsi="仿宋" w:eastAsia="仿宋" w:cs="仿宋"/>
                <w:spacing w:val="-4"/>
              </w:rPr>
              <w:t>倒</w:t>
            </w:r>
            <w:r>
              <w:rPr>
                <w:rFonts w:ascii="仿宋" w:hAnsi="仿宋" w:eastAsia="仿宋" w:cs="仿宋"/>
                <w:spacing w:val="-35"/>
              </w:rPr>
              <w:t xml:space="preserve"> </w:t>
            </w:r>
            <w:r>
              <w:rPr>
                <w:spacing w:val="-4"/>
              </w:rPr>
              <w:t>7</w:t>
            </w:r>
            <w:r>
              <w:rPr>
                <w:spacing w:val="19"/>
              </w:rPr>
              <w:t xml:space="preserve"> </w:t>
            </w:r>
            <w:r>
              <w:rPr>
                <w:rFonts w:ascii="仿宋" w:hAnsi="仿宋" w:eastAsia="仿宋" w:cs="仿宋"/>
                <w:spacing w:val="-4"/>
              </w:rPr>
              <w:t>字形边沟，宽</w:t>
            </w:r>
            <w:r>
              <w:rPr>
                <w:rFonts w:ascii="仿宋" w:hAnsi="仿宋" w:eastAsia="仿宋" w:cs="仿宋"/>
                <w:spacing w:val="-38"/>
              </w:rPr>
              <w:t xml:space="preserve"> </w:t>
            </w:r>
            <w:r>
              <w:rPr>
                <w:spacing w:val="-4"/>
              </w:rPr>
              <w:t>90cm</w:t>
            </w:r>
            <w:r>
              <w:rPr>
                <w:spacing w:val="14"/>
              </w:rPr>
              <w:t xml:space="preserve"> </w:t>
            </w:r>
            <w:r>
              <w:rPr>
                <w:rFonts w:ascii="仿宋" w:hAnsi="仿宋" w:eastAsia="仿宋" w:cs="仿宋"/>
                <w:spacing w:val="-4"/>
              </w:rPr>
              <w:t>深</w:t>
            </w:r>
            <w:r>
              <w:rPr>
                <w:rFonts w:ascii="仿宋" w:hAnsi="仿宋" w:eastAsia="仿宋" w:cs="仿宋"/>
                <w:spacing w:val="-43"/>
              </w:rPr>
              <w:t xml:space="preserve"> </w:t>
            </w:r>
            <w:r>
              <w:rPr>
                <w:spacing w:val="-4"/>
              </w:rPr>
              <w:t>28cm</w:t>
            </w:r>
          </w:p>
        </w:tc>
      </w:tr>
      <w:tr w14:paraId="4B492F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1CC52091">
            <w:pPr>
              <w:rPr>
                <w:rFonts w:ascii="Arial"/>
                <w:sz w:val="21"/>
              </w:rPr>
            </w:pPr>
          </w:p>
        </w:tc>
        <w:tc>
          <w:tcPr>
            <w:tcW w:w="538" w:type="dxa"/>
            <w:vAlign w:val="top"/>
          </w:tcPr>
          <w:p w14:paraId="7678CA5A">
            <w:pPr>
              <w:pStyle w:val="6"/>
              <w:spacing w:before="52" w:line="188" w:lineRule="auto"/>
              <w:ind w:left="175"/>
            </w:pPr>
            <w:r>
              <w:rPr>
                <w:spacing w:val="-2"/>
              </w:rPr>
              <w:t>20</w:t>
            </w:r>
          </w:p>
        </w:tc>
        <w:tc>
          <w:tcPr>
            <w:tcW w:w="2585" w:type="dxa"/>
            <w:vAlign w:val="top"/>
          </w:tcPr>
          <w:p w14:paraId="6328EDB1">
            <w:pPr>
              <w:pStyle w:val="6"/>
              <w:spacing w:before="52" w:line="188" w:lineRule="auto"/>
              <w:ind w:left="995"/>
            </w:pPr>
            <w:r>
              <w:rPr>
                <w:spacing w:val="-1"/>
              </w:rPr>
              <w:t>K2+595</w:t>
            </w:r>
          </w:p>
        </w:tc>
        <w:tc>
          <w:tcPr>
            <w:tcW w:w="1090" w:type="dxa"/>
            <w:vAlign w:val="top"/>
          </w:tcPr>
          <w:p w14:paraId="748D5286">
            <w:pPr>
              <w:spacing w:before="35" w:line="198" w:lineRule="auto"/>
              <w:ind w:left="284"/>
              <w:rPr>
                <w:rFonts w:ascii="仿宋" w:hAnsi="仿宋" w:eastAsia="仿宋" w:cs="仿宋"/>
                <w:sz w:val="18"/>
                <w:szCs w:val="18"/>
              </w:rPr>
            </w:pPr>
            <w:r>
              <w:rPr>
                <w:rFonts w:ascii="仿宋" w:hAnsi="仿宋" w:eastAsia="仿宋" w:cs="仿宋"/>
                <w:spacing w:val="-4"/>
                <w:sz w:val="18"/>
                <w:szCs w:val="18"/>
              </w:rPr>
              <w:t>排水沟</w:t>
            </w:r>
          </w:p>
        </w:tc>
        <w:tc>
          <w:tcPr>
            <w:tcW w:w="3427" w:type="dxa"/>
            <w:tcBorders>
              <w:right w:val="single" w:color="000000" w:sz="6" w:space="0"/>
            </w:tcBorders>
            <w:vAlign w:val="top"/>
          </w:tcPr>
          <w:p w14:paraId="1C4DE0D7">
            <w:pPr>
              <w:pStyle w:val="6"/>
              <w:spacing w:before="35" w:line="198" w:lineRule="auto"/>
              <w:ind w:left="530"/>
            </w:pPr>
            <w:r>
              <w:rPr>
                <w:rFonts w:ascii="仿宋" w:hAnsi="仿宋" w:eastAsia="仿宋" w:cs="仿宋"/>
                <w:spacing w:val="-3"/>
              </w:rPr>
              <w:t>矩形排水沟，宽</w:t>
            </w:r>
            <w:r>
              <w:rPr>
                <w:rFonts w:ascii="仿宋" w:hAnsi="仿宋" w:eastAsia="仿宋" w:cs="仿宋"/>
                <w:spacing w:val="-28"/>
              </w:rPr>
              <w:t xml:space="preserve"> </w:t>
            </w:r>
            <w:r>
              <w:rPr>
                <w:spacing w:val="-3"/>
              </w:rPr>
              <w:t>90cm</w:t>
            </w:r>
            <w:r>
              <w:rPr>
                <w:spacing w:val="13"/>
                <w:w w:val="101"/>
              </w:rPr>
              <w:t xml:space="preserve"> </w:t>
            </w:r>
            <w:r>
              <w:rPr>
                <w:rFonts w:ascii="仿宋" w:hAnsi="仿宋" w:eastAsia="仿宋" w:cs="仿宋"/>
                <w:spacing w:val="-3"/>
              </w:rPr>
              <w:t>深</w:t>
            </w:r>
            <w:r>
              <w:rPr>
                <w:rFonts w:ascii="仿宋" w:hAnsi="仿宋" w:eastAsia="仿宋" w:cs="仿宋"/>
                <w:spacing w:val="-41"/>
              </w:rPr>
              <w:t xml:space="preserve"> </w:t>
            </w:r>
            <w:r>
              <w:rPr>
                <w:spacing w:val="-3"/>
              </w:rPr>
              <w:t>28cm</w:t>
            </w:r>
          </w:p>
        </w:tc>
      </w:tr>
      <w:tr w14:paraId="007E92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27535BDE">
            <w:pPr>
              <w:rPr>
                <w:rFonts w:ascii="Arial"/>
                <w:sz w:val="21"/>
              </w:rPr>
            </w:pPr>
          </w:p>
        </w:tc>
        <w:tc>
          <w:tcPr>
            <w:tcW w:w="538" w:type="dxa"/>
            <w:vAlign w:val="top"/>
          </w:tcPr>
          <w:p w14:paraId="4AAF9A28">
            <w:pPr>
              <w:pStyle w:val="6"/>
              <w:spacing w:before="53" w:line="188" w:lineRule="auto"/>
              <w:ind w:left="175"/>
            </w:pPr>
            <w:r>
              <w:rPr>
                <w:spacing w:val="-2"/>
              </w:rPr>
              <w:t>21</w:t>
            </w:r>
          </w:p>
        </w:tc>
        <w:tc>
          <w:tcPr>
            <w:tcW w:w="2585" w:type="dxa"/>
            <w:vAlign w:val="top"/>
          </w:tcPr>
          <w:p w14:paraId="034EC5E8">
            <w:pPr>
              <w:pStyle w:val="6"/>
              <w:spacing w:before="35" w:line="197" w:lineRule="auto"/>
              <w:ind w:left="608"/>
            </w:pPr>
            <w:r>
              <w:rPr>
                <w:spacing w:val="-1"/>
              </w:rPr>
              <w:t>K2+774</w:t>
            </w:r>
            <w:r>
              <w:rPr>
                <w:rFonts w:ascii="仿宋" w:hAnsi="仿宋" w:eastAsia="仿宋" w:cs="仿宋"/>
                <w:spacing w:val="-1"/>
              </w:rPr>
              <w:t>～</w:t>
            </w:r>
            <w:r>
              <w:rPr>
                <w:spacing w:val="-1"/>
              </w:rPr>
              <w:t>K2+855</w:t>
            </w:r>
          </w:p>
        </w:tc>
        <w:tc>
          <w:tcPr>
            <w:tcW w:w="1090" w:type="dxa"/>
            <w:vAlign w:val="top"/>
          </w:tcPr>
          <w:p w14:paraId="0402B627">
            <w:pPr>
              <w:spacing w:before="35" w:line="197" w:lineRule="auto"/>
              <w:ind w:left="378"/>
              <w:rPr>
                <w:rFonts w:ascii="仿宋" w:hAnsi="仿宋" w:eastAsia="仿宋" w:cs="仿宋"/>
                <w:sz w:val="18"/>
                <w:szCs w:val="18"/>
              </w:rPr>
            </w:pPr>
            <w:r>
              <w:rPr>
                <w:rFonts w:ascii="仿宋" w:hAnsi="仿宋" w:eastAsia="仿宋" w:cs="仿宋"/>
                <w:spacing w:val="-8"/>
                <w:sz w:val="18"/>
                <w:szCs w:val="18"/>
              </w:rPr>
              <w:t>边沟</w:t>
            </w:r>
          </w:p>
        </w:tc>
        <w:tc>
          <w:tcPr>
            <w:tcW w:w="3427" w:type="dxa"/>
            <w:tcBorders>
              <w:right w:val="single" w:color="000000" w:sz="6" w:space="0"/>
            </w:tcBorders>
            <w:vAlign w:val="top"/>
          </w:tcPr>
          <w:p w14:paraId="25EAB3A3">
            <w:pPr>
              <w:pStyle w:val="6"/>
              <w:spacing w:before="35" w:line="197" w:lineRule="auto"/>
              <w:ind w:left="442"/>
            </w:pPr>
            <w:r>
              <w:rPr>
                <w:rFonts w:ascii="仿宋" w:hAnsi="仿宋" w:eastAsia="仿宋" w:cs="仿宋"/>
                <w:spacing w:val="-4"/>
              </w:rPr>
              <w:t>倒</w:t>
            </w:r>
            <w:r>
              <w:rPr>
                <w:rFonts w:ascii="仿宋" w:hAnsi="仿宋" w:eastAsia="仿宋" w:cs="仿宋"/>
                <w:spacing w:val="-35"/>
              </w:rPr>
              <w:t xml:space="preserve"> </w:t>
            </w:r>
            <w:r>
              <w:rPr>
                <w:spacing w:val="-4"/>
              </w:rPr>
              <w:t>7</w:t>
            </w:r>
            <w:r>
              <w:rPr>
                <w:spacing w:val="19"/>
              </w:rPr>
              <w:t xml:space="preserve"> </w:t>
            </w:r>
            <w:r>
              <w:rPr>
                <w:rFonts w:ascii="仿宋" w:hAnsi="仿宋" w:eastAsia="仿宋" w:cs="仿宋"/>
                <w:spacing w:val="-4"/>
              </w:rPr>
              <w:t>字形边沟，宽</w:t>
            </w:r>
            <w:r>
              <w:rPr>
                <w:rFonts w:ascii="仿宋" w:hAnsi="仿宋" w:eastAsia="仿宋" w:cs="仿宋"/>
                <w:spacing w:val="-38"/>
              </w:rPr>
              <w:t xml:space="preserve"> </w:t>
            </w:r>
            <w:r>
              <w:rPr>
                <w:spacing w:val="-4"/>
              </w:rPr>
              <w:t>90cm</w:t>
            </w:r>
            <w:r>
              <w:rPr>
                <w:spacing w:val="14"/>
              </w:rPr>
              <w:t xml:space="preserve"> </w:t>
            </w:r>
            <w:r>
              <w:rPr>
                <w:rFonts w:ascii="仿宋" w:hAnsi="仿宋" w:eastAsia="仿宋" w:cs="仿宋"/>
                <w:spacing w:val="-4"/>
              </w:rPr>
              <w:t>深</w:t>
            </w:r>
            <w:r>
              <w:rPr>
                <w:rFonts w:ascii="仿宋" w:hAnsi="仿宋" w:eastAsia="仿宋" w:cs="仿宋"/>
                <w:spacing w:val="-43"/>
              </w:rPr>
              <w:t xml:space="preserve"> </w:t>
            </w:r>
            <w:r>
              <w:rPr>
                <w:spacing w:val="-4"/>
              </w:rPr>
              <w:t>28cm</w:t>
            </w:r>
          </w:p>
        </w:tc>
      </w:tr>
      <w:tr w14:paraId="051BDA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4D2F7FCD">
            <w:pPr>
              <w:rPr>
                <w:rFonts w:ascii="Arial"/>
                <w:sz w:val="21"/>
              </w:rPr>
            </w:pPr>
          </w:p>
        </w:tc>
        <w:tc>
          <w:tcPr>
            <w:tcW w:w="538" w:type="dxa"/>
            <w:vAlign w:val="top"/>
          </w:tcPr>
          <w:p w14:paraId="140EAECB">
            <w:pPr>
              <w:pStyle w:val="6"/>
              <w:spacing w:before="52" w:line="188" w:lineRule="auto"/>
              <w:ind w:left="175"/>
            </w:pPr>
            <w:r>
              <w:rPr>
                <w:spacing w:val="-2"/>
              </w:rPr>
              <w:t>22</w:t>
            </w:r>
          </w:p>
        </w:tc>
        <w:tc>
          <w:tcPr>
            <w:tcW w:w="2585" w:type="dxa"/>
            <w:vAlign w:val="top"/>
          </w:tcPr>
          <w:p w14:paraId="6A9D5183">
            <w:pPr>
              <w:pStyle w:val="6"/>
              <w:spacing w:before="52" w:line="188" w:lineRule="auto"/>
              <w:ind w:left="995"/>
            </w:pPr>
            <w:r>
              <w:rPr>
                <w:spacing w:val="-1"/>
              </w:rPr>
              <w:t>K2+855</w:t>
            </w:r>
          </w:p>
        </w:tc>
        <w:tc>
          <w:tcPr>
            <w:tcW w:w="1090" w:type="dxa"/>
            <w:vAlign w:val="top"/>
          </w:tcPr>
          <w:p w14:paraId="7065269B">
            <w:pPr>
              <w:spacing w:before="35" w:line="197" w:lineRule="auto"/>
              <w:ind w:left="284"/>
              <w:rPr>
                <w:rFonts w:ascii="仿宋" w:hAnsi="仿宋" w:eastAsia="仿宋" w:cs="仿宋"/>
                <w:sz w:val="18"/>
                <w:szCs w:val="18"/>
              </w:rPr>
            </w:pPr>
            <w:r>
              <w:rPr>
                <w:rFonts w:ascii="仿宋" w:hAnsi="仿宋" w:eastAsia="仿宋" w:cs="仿宋"/>
                <w:spacing w:val="-4"/>
                <w:sz w:val="18"/>
                <w:szCs w:val="18"/>
              </w:rPr>
              <w:t>排水沟</w:t>
            </w:r>
          </w:p>
        </w:tc>
        <w:tc>
          <w:tcPr>
            <w:tcW w:w="3427" w:type="dxa"/>
            <w:tcBorders>
              <w:right w:val="single" w:color="000000" w:sz="6" w:space="0"/>
            </w:tcBorders>
            <w:vAlign w:val="top"/>
          </w:tcPr>
          <w:p w14:paraId="6597C7F1">
            <w:pPr>
              <w:pStyle w:val="6"/>
              <w:spacing w:before="35" w:line="197" w:lineRule="auto"/>
              <w:ind w:left="530"/>
            </w:pPr>
            <w:r>
              <w:rPr>
                <w:rFonts w:ascii="仿宋" w:hAnsi="仿宋" w:eastAsia="仿宋" w:cs="仿宋"/>
                <w:spacing w:val="-3"/>
              </w:rPr>
              <w:t>矩形排水沟，宽</w:t>
            </w:r>
            <w:r>
              <w:rPr>
                <w:rFonts w:ascii="仿宋" w:hAnsi="仿宋" w:eastAsia="仿宋" w:cs="仿宋"/>
                <w:spacing w:val="-28"/>
              </w:rPr>
              <w:t xml:space="preserve"> </w:t>
            </w:r>
            <w:r>
              <w:rPr>
                <w:spacing w:val="-3"/>
              </w:rPr>
              <w:t>90cm</w:t>
            </w:r>
            <w:r>
              <w:rPr>
                <w:spacing w:val="13"/>
                <w:w w:val="101"/>
              </w:rPr>
              <w:t xml:space="preserve"> </w:t>
            </w:r>
            <w:r>
              <w:rPr>
                <w:rFonts w:ascii="仿宋" w:hAnsi="仿宋" w:eastAsia="仿宋" w:cs="仿宋"/>
                <w:spacing w:val="-3"/>
              </w:rPr>
              <w:t>深</w:t>
            </w:r>
            <w:r>
              <w:rPr>
                <w:rFonts w:ascii="仿宋" w:hAnsi="仿宋" w:eastAsia="仿宋" w:cs="仿宋"/>
                <w:spacing w:val="-41"/>
              </w:rPr>
              <w:t xml:space="preserve"> </w:t>
            </w:r>
            <w:r>
              <w:rPr>
                <w:spacing w:val="-3"/>
              </w:rPr>
              <w:t>28cm</w:t>
            </w:r>
          </w:p>
        </w:tc>
      </w:tr>
      <w:tr w14:paraId="768693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1BA39C9C">
            <w:pPr>
              <w:rPr>
                <w:rFonts w:ascii="Arial"/>
                <w:sz w:val="21"/>
              </w:rPr>
            </w:pPr>
          </w:p>
        </w:tc>
        <w:tc>
          <w:tcPr>
            <w:tcW w:w="538" w:type="dxa"/>
            <w:vAlign w:val="top"/>
          </w:tcPr>
          <w:p w14:paraId="34F23126">
            <w:pPr>
              <w:pStyle w:val="6"/>
              <w:spacing w:before="54" w:line="188" w:lineRule="auto"/>
              <w:ind w:left="175"/>
            </w:pPr>
            <w:r>
              <w:rPr>
                <w:spacing w:val="-2"/>
              </w:rPr>
              <w:t>23</w:t>
            </w:r>
          </w:p>
        </w:tc>
        <w:tc>
          <w:tcPr>
            <w:tcW w:w="2585" w:type="dxa"/>
            <w:vAlign w:val="top"/>
          </w:tcPr>
          <w:p w14:paraId="7C1F64D5">
            <w:pPr>
              <w:pStyle w:val="6"/>
              <w:spacing w:before="34" w:line="198" w:lineRule="auto"/>
              <w:ind w:left="608"/>
            </w:pPr>
            <w:r>
              <w:rPr>
                <w:spacing w:val="-1"/>
              </w:rPr>
              <w:t>K3+193</w:t>
            </w:r>
            <w:r>
              <w:rPr>
                <w:rFonts w:ascii="仿宋" w:hAnsi="仿宋" w:eastAsia="仿宋" w:cs="仿宋"/>
                <w:spacing w:val="-1"/>
              </w:rPr>
              <w:t>～</w:t>
            </w:r>
            <w:r>
              <w:rPr>
                <w:spacing w:val="-1"/>
              </w:rPr>
              <w:t>K3+284</w:t>
            </w:r>
          </w:p>
        </w:tc>
        <w:tc>
          <w:tcPr>
            <w:tcW w:w="1090" w:type="dxa"/>
            <w:vAlign w:val="top"/>
          </w:tcPr>
          <w:p w14:paraId="04906B86">
            <w:pPr>
              <w:spacing w:before="34" w:line="198" w:lineRule="auto"/>
              <w:ind w:left="378"/>
              <w:rPr>
                <w:rFonts w:ascii="仿宋" w:hAnsi="仿宋" w:eastAsia="仿宋" w:cs="仿宋"/>
                <w:sz w:val="18"/>
                <w:szCs w:val="18"/>
              </w:rPr>
            </w:pPr>
            <w:r>
              <w:rPr>
                <w:rFonts w:ascii="仿宋" w:hAnsi="仿宋" w:eastAsia="仿宋" w:cs="仿宋"/>
                <w:spacing w:val="-8"/>
                <w:sz w:val="18"/>
                <w:szCs w:val="18"/>
              </w:rPr>
              <w:t>边沟</w:t>
            </w:r>
          </w:p>
        </w:tc>
        <w:tc>
          <w:tcPr>
            <w:tcW w:w="3427" w:type="dxa"/>
            <w:tcBorders>
              <w:right w:val="single" w:color="000000" w:sz="6" w:space="0"/>
            </w:tcBorders>
            <w:vAlign w:val="top"/>
          </w:tcPr>
          <w:p w14:paraId="70A716AA">
            <w:pPr>
              <w:pStyle w:val="6"/>
              <w:spacing w:before="34" w:line="198" w:lineRule="auto"/>
              <w:ind w:left="418"/>
            </w:pPr>
            <w:r>
              <w:rPr>
                <w:rFonts w:ascii="仿宋" w:hAnsi="仿宋" w:eastAsia="仿宋" w:cs="仿宋"/>
                <w:spacing w:val="-3"/>
              </w:rPr>
              <w:t>倒</w:t>
            </w:r>
            <w:r>
              <w:rPr>
                <w:rFonts w:ascii="仿宋" w:hAnsi="仿宋" w:eastAsia="仿宋" w:cs="仿宋"/>
                <w:spacing w:val="-32"/>
              </w:rPr>
              <w:t xml:space="preserve"> </w:t>
            </w:r>
            <w:r>
              <w:rPr>
                <w:spacing w:val="-3"/>
              </w:rPr>
              <w:t>7</w:t>
            </w:r>
            <w:r>
              <w:rPr>
                <w:spacing w:val="18"/>
                <w:w w:val="102"/>
              </w:rPr>
              <w:t xml:space="preserve"> </w:t>
            </w:r>
            <w:r>
              <w:rPr>
                <w:rFonts w:ascii="仿宋" w:hAnsi="仿宋" w:eastAsia="仿宋" w:cs="仿宋"/>
                <w:spacing w:val="-3"/>
              </w:rPr>
              <w:t>字形边沟，宽</w:t>
            </w:r>
            <w:r>
              <w:rPr>
                <w:rFonts w:ascii="仿宋" w:hAnsi="仿宋" w:eastAsia="仿宋" w:cs="仿宋"/>
                <w:spacing w:val="-38"/>
              </w:rPr>
              <w:t xml:space="preserve"> </w:t>
            </w:r>
            <w:r>
              <w:rPr>
                <w:spacing w:val="-3"/>
              </w:rPr>
              <w:t xml:space="preserve">90cm  </w:t>
            </w:r>
            <w:r>
              <w:rPr>
                <w:rFonts w:ascii="仿宋" w:hAnsi="仿宋" w:eastAsia="仿宋" w:cs="仿宋"/>
                <w:spacing w:val="-3"/>
              </w:rPr>
              <w:t>深</w:t>
            </w:r>
            <w:r>
              <w:rPr>
                <w:rFonts w:ascii="仿宋" w:hAnsi="仿宋" w:eastAsia="仿宋" w:cs="仿宋"/>
                <w:spacing w:val="-40"/>
              </w:rPr>
              <w:t xml:space="preserve"> </w:t>
            </w:r>
            <w:r>
              <w:rPr>
                <w:spacing w:val="-3"/>
              </w:rPr>
              <w:t>28cm</w:t>
            </w:r>
          </w:p>
        </w:tc>
      </w:tr>
      <w:tr w14:paraId="3D5189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0B17C6EC">
            <w:pPr>
              <w:rPr>
                <w:rFonts w:ascii="Arial"/>
                <w:sz w:val="21"/>
              </w:rPr>
            </w:pPr>
          </w:p>
        </w:tc>
        <w:tc>
          <w:tcPr>
            <w:tcW w:w="538" w:type="dxa"/>
            <w:vAlign w:val="top"/>
          </w:tcPr>
          <w:p w14:paraId="667F0A5B">
            <w:pPr>
              <w:pStyle w:val="6"/>
              <w:spacing w:before="53" w:line="188" w:lineRule="auto"/>
              <w:ind w:left="175"/>
            </w:pPr>
            <w:r>
              <w:rPr>
                <w:spacing w:val="-2"/>
              </w:rPr>
              <w:t>24</w:t>
            </w:r>
          </w:p>
        </w:tc>
        <w:tc>
          <w:tcPr>
            <w:tcW w:w="2585" w:type="dxa"/>
            <w:vAlign w:val="top"/>
          </w:tcPr>
          <w:p w14:paraId="0BA740BB">
            <w:pPr>
              <w:pStyle w:val="6"/>
              <w:spacing w:before="53" w:line="188" w:lineRule="auto"/>
              <w:ind w:left="995"/>
            </w:pPr>
            <w:r>
              <w:rPr>
                <w:spacing w:val="-1"/>
              </w:rPr>
              <w:t>K3+193</w:t>
            </w:r>
          </w:p>
        </w:tc>
        <w:tc>
          <w:tcPr>
            <w:tcW w:w="1090" w:type="dxa"/>
            <w:vAlign w:val="top"/>
          </w:tcPr>
          <w:p w14:paraId="0A62173B">
            <w:pPr>
              <w:spacing w:before="36" w:line="196" w:lineRule="auto"/>
              <w:ind w:left="284"/>
              <w:rPr>
                <w:rFonts w:ascii="仿宋" w:hAnsi="仿宋" w:eastAsia="仿宋" w:cs="仿宋"/>
                <w:sz w:val="18"/>
                <w:szCs w:val="18"/>
              </w:rPr>
            </w:pPr>
            <w:r>
              <w:rPr>
                <w:rFonts w:ascii="仿宋" w:hAnsi="仿宋" w:eastAsia="仿宋" w:cs="仿宋"/>
                <w:spacing w:val="-4"/>
                <w:sz w:val="18"/>
                <w:szCs w:val="18"/>
              </w:rPr>
              <w:t>排水沟</w:t>
            </w:r>
          </w:p>
        </w:tc>
        <w:tc>
          <w:tcPr>
            <w:tcW w:w="3427" w:type="dxa"/>
            <w:tcBorders>
              <w:right w:val="single" w:color="000000" w:sz="6" w:space="0"/>
            </w:tcBorders>
            <w:vAlign w:val="top"/>
          </w:tcPr>
          <w:p w14:paraId="600FA59C">
            <w:pPr>
              <w:pStyle w:val="6"/>
              <w:spacing w:before="36" w:line="196" w:lineRule="auto"/>
              <w:ind w:left="530"/>
            </w:pPr>
            <w:r>
              <w:rPr>
                <w:rFonts w:ascii="仿宋" w:hAnsi="仿宋" w:eastAsia="仿宋" w:cs="仿宋"/>
                <w:spacing w:val="-3"/>
              </w:rPr>
              <w:t>矩形排水沟，宽</w:t>
            </w:r>
            <w:r>
              <w:rPr>
                <w:rFonts w:ascii="仿宋" w:hAnsi="仿宋" w:eastAsia="仿宋" w:cs="仿宋"/>
                <w:spacing w:val="-28"/>
              </w:rPr>
              <w:t xml:space="preserve"> </w:t>
            </w:r>
            <w:r>
              <w:rPr>
                <w:spacing w:val="-3"/>
              </w:rPr>
              <w:t>90cm</w:t>
            </w:r>
            <w:r>
              <w:rPr>
                <w:spacing w:val="13"/>
                <w:w w:val="101"/>
              </w:rPr>
              <w:t xml:space="preserve"> </w:t>
            </w:r>
            <w:r>
              <w:rPr>
                <w:rFonts w:ascii="仿宋" w:hAnsi="仿宋" w:eastAsia="仿宋" w:cs="仿宋"/>
                <w:spacing w:val="-3"/>
              </w:rPr>
              <w:t>深</w:t>
            </w:r>
            <w:r>
              <w:rPr>
                <w:rFonts w:ascii="仿宋" w:hAnsi="仿宋" w:eastAsia="仿宋" w:cs="仿宋"/>
                <w:spacing w:val="-41"/>
              </w:rPr>
              <w:t xml:space="preserve"> </w:t>
            </w:r>
            <w:r>
              <w:rPr>
                <w:spacing w:val="-3"/>
              </w:rPr>
              <w:t>28cm</w:t>
            </w:r>
          </w:p>
        </w:tc>
      </w:tr>
      <w:tr w14:paraId="50387C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57945B8E">
            <w:pPr>
              <w:rPr>
                <w:rFonts w:ascii="Arial"/>
                <w:sz w:val="21"/>
              </w:rPr>
            </w:pPr>
          </w:p>
        </w:tc>
        <w:tc>
          <w:tcPr>
            <w:tcW w:w="538" w:type="dxa"/>
            <w:vAlign w:val="top"/>
          </w:tcPr>
          <w:p w14:paraId="372EB7FA">
            <w:pPr>
              <w:pStyle w:val="6"/>
              <w:spacing w:before="55" w:line="188" w:lineRule="auto"/>
              <w:ind w:left="175"/>
            </w:pPr>
            <w:r>
              <w:rPr>
                <w:spacing w:val="-2"/>
              </w:rPr>
              <w:t>25</w:t>
            </w:r>
          </w:p>
        </w:tc>
        <w:tc>
          <w:tcPr>
            <w:tcW w:w="2585" w:type="dxa"/>
            <w:vAlign w:val="top"/>
          </w:tcPr>
          <w:p w14:paraId="5B416C0D">
            <w:pPr>
              <w:pStyle w:val="6"/>
              <w:spacing w:before="35" w:line="198" w:lineRule="auto"/>
              <w:ind w:left="608"/>
            </w:pPr>
            <w:r>
              <w:rPr>
                <w:spacing w:val="-1"/>
              </w:rPr>
              <w:t>K3+308</w:t>
            </w:r>
            <w:r>
              <w:rPr>
                <w:rFonts w:ascii="仿宋" w:hAnsi="仿宋" w:eastAsia="仿宋" w:cs="仿宋"/>
                <w:spacing w:val="-1"/>
              </w:rPr>
              <w:t>～</w:t>
            </w:r>
            <w:r>
              <w:rPr>
                <w:spacing w:val="-1"/>
              </w:rPr>
              <w:t>K3+394</w:t>
            </w:r>
          </w:p>
        </w:tc>
        <w:tc>
          <w:tcPr>
            <w:tcW w:w="1090" w:type="dxa"/>
            <w:vAlign w:val="top"/>
          </w:tcPr>
          <w:p w14:paraId="28E65D50">
            <w:pPr>
              <w:spacing w:before="35" w:line="198" w:lineRule="auto"/>
              <w:ind w:left="378"/>
              <w:rPr>
                <w:rFonts w:ascii="仿宋" w:hAnsi="仿宋" w:eastAsia="仿宋" w:cs="仿宋"/>
                <w:sz w:val="18"/>
                <w:szCs w:val="18"/>
              </w:rPr>
            </w:pPr>
            <w:r>
              <w:rPr>
                <w:rFonts w:ascii="仿宋" w:hAnsi="仿宋" w:eastAsia="仿宋" w:cs="仿宋"/>
                <w:spacing w:val="-8"/>
                <w:sz w:val="18"/>
                <w:szCs w:val="18"/>
              </w:rPr>
              <w:t>边沟</w:t>
            </w:r>
          </w:p>
        </w:tc>
        <w:tc>
          <w:tcPr>
            <w:tcW w:w="3427" w:type="dxa"/>
            <w:tcBorders>
              <w:right w:val="single" w:color="000000" w:sz="6" w:space="0"/>
            </w:tcBorders>
            <w:vAlign w:val="top"/>
          </w:tcPr>
          <w:p w14:paraId="2CCA30ED">
            <w:pPr>
              <w:pStyle w:val="6"/>
              <w:spacing w:before="35" w:line="198" w:lineRule="auto"/>
              <w:ind w:left="442"/>
            </w:pPr>
            <w:r>
              <w:rPr>
                <w:rFonts w:ascii="仿宋" w:hAnsi="仿宋" w:eastAsia="仿宋" w:cs="仿宋"/>
                <w:spacing w:val="-4"/>
              </w:rPr>
              <w:t>倒</w:t>
            </w:r>
            <w:r>
              <w:rPr>
                <w:rFonts w:ascii="仿宋" w:hAnsi="仿宋" w:eastAsia="仿宋" w:cs="仿宋"/>
                <w:spacing w:val="-35"/>
              </w:rPr>
              <w:t xml:space="preserve"> </w:t>
            </w:r>
            <w:r>
              <w:rPr>
                <w:spacing w:val="-4"/>
              </w:rPr>
              <w:t>7</w:t>
            </w:r>
            <w:r>
              <w:rPr>
                <w:spacing w:val="19"/>
              </w:rPr>
              <w:t xml:space="preserve"> </w:t>
            </w:r>
            <w:r>
              <w:rPr>
                <w:rFonts w:ascii="仿宋" w:hAnsi="仿宋" w:eastAsia="仿宋" w:cs="仿宋"/>
                <w:spacing w:val="-4"/>
              </w:rPr>
              <w:t>字形边沟，宽</w:t>
            </w:r>
            <w:r>
              <w:rPr>
                <w:rFonts w:ascii="仿宋" w:hAnsi="仿宋" w:eastAsia="仿宋" w:cs="仿宋"/>
                <w:spacing w:val="-38"/>
              </w:rPr>
              <w:t xml:space="preserve"> </w:t>
            </w:r>
            <w:r>
              <w:rPr>
                <w:spacing w:val="-4"/>
              </w:rPr>
              <w:t>90cm</w:t>
            </w:r>
            <w:r>
              <w:rPr>
                <w:spacing w:val="14"/>
              </w:rPr>
              <w:t xml:space="preserve"> </w:t>
            </w:r>
            <w:r>
              <w:rPr>
                <w:rFonts w:ascii="仿宋" w:hAnsi="仿宋" w:eastAsia="仿宋" w:cs="仿宋"/>
                <w:spacing w:val="-4"/>
              </w:rPr>
              <w:t>深</w:t>
            </w:r>
            <w:r>
              <w:rPr>
                <w:rFonts w:ascii="仿宋" w:hAnsi="仿宋" w:eastAsia="仿宋" w:cs="仿宋"/>
                <w:spacing w:val="-43"/>
              </w:rPr>
              <w:t xml:space="preserve"> </w:t>
            </w:r>
            <w:r>
              <w:rPr>
                <w:spacing w:val="-4"/>
              </w:rPr>
              <w:t>28cm</w:t>
            </w:r>
          </w:p>
        </w:tc>
      </w:tr>
      <w:tr w14:paraId="2F1A9C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309CBEFF">
            <w:pPr>
              <w:rPr>
                <w:rFonts w:ascii="Arial"/>
                <w:sz w:val="21"/>
              </w:rPr>
            </w:pPr>
          </w:p>
        </w:tc>
        <w:tc>
          <w:tcPr>
            <w:tcW w:w="538" w:type="dxa"/>
            <w:vAlign w:val="top"/>
          </w:tcPr>
          <w:p w14:paraId="23163ED6">
            <w:pPr>
              <w:pStyle w:val="6"/>
              <w:spacing w:before="54" w:line="188" w:lineRule="auto"/>
              <w:ind w:left="175"/>
            </w:pPr>
            <w:r>
              <w:rPr>
                <w:spacing w:val="-2"/>
              </w:rPr>
              <w:t>26</w:t>
            </w:r>
          </w:p>
        </w:tc>
        <w:tc>
          <w:tcPr>
            <w:tcW w:w="2585" w:type="dxa"/>
            <w:vAlign w:val="top"/>
          </w:tcPr>
          <w:p w14:paraId="4BD104B0">
            <w:pPr>
              <w:pStyle w:val="6"/>
              <w:spacing w:before="54" w:line="188" w:lineRule="auto"/>
              <w:ind w:left="995"/>
            </w:pPr>
            <w:r>
              <w:rPr>
                <w:spacing w:val="-1"/>
              </w:rPr>
              <w:t>K3+308</w:t>
            </w:r>
          </w:p>
        </w:tc>
        <w:tc>
          <w:tcPr>
            <w:tcW w:w="1090" w:type="dxa"/>
            <w:vAlign w:val="top"/>
          </w:tcPr>
          <w:p w14:paraId="480A7511">
            <w:pPr>
              <w:spacing w:before="36" w:line="196" w:lineRule="auto"/>
              <w:ind w:left="284"/>
              <w:rPr>
                <w:rFonts w:ascii="仿宋" w:hAnsi="仿宋" w:eastAsia="仿宋" w:cs="仿宋"/>
                <w:sz w:val="18"/>
                <w:szCs w:val="18"/>
              </w:rPr>
            </w:pPr>
            <w:r>
              <w:rPr>
                <w:rFonts w:ascii="仿宋" w:hAnsi="仿宋" w:eastAsia="仿宋" w:cs="仿宋"/>
                <w:spacing w:val="-4"/>
                <w:sz w:val="18"/>
                <w:szCs w:val="18"/>
              </w:rPr>
              <w:t>排水沟</w:t>
            </w:r>
          </w:p>
        </w:tc>
        <w:tc>
          <w:tcPr>
            <w:tcW w:w="3427" w:type="dxa"/>
            <w:tcBorders>
              <w:right w:val="single" w:color="000000" w:sz="6" w:space="0"/>
            </w:tcBorders>
            <w:vAlign w:val="top"/>
          </w:tcPr>
          <w:p w14:paraId="4CED4A36">
            <w:pPr>
              <w:pStyle w:val="6"/>
              <w:spacing w:before="36" w:line="196" w:lineRule="auto"/>
              <w:ind w:left="530"/>
            </w:pPr>
            <w:r>
              <w:rPr>
                <w:rFonts w:ascii="仿宋" w:hAnsi="仿宋" w:eastAsia="仿宋" w:cs="仿宋"/>
                <w:spacing w:val="-3"/>
              </w:rPr>
              <w:t>矩形排水沟，宽</w:t>
            </w:r>
            <w:r>
              <w:rPr>
                <w:rFonts w:ascii="仿宋" w:hAnsi="仿宋" w:eastAsia="仿宋" w:cs="仿宋"/>
                <w:spacing w:val="-28"/>
              </w:rPr>
              <w:t xml:space="preserve"> </w:t>
            </w:r>
            <w:r>
              <w:rPr>
                <w:spacing w:val="-3"/>
              </w:rPr>
              <w:t>90cm</w:t>
            </w:r>
            <w:r>
              <w:rPr>
                <w:spacing w:val="13"/>
                <w:w w:val="101"/>
              </w:rPr>
              <w:t xml:space="preserve"> </w:t>
            </w:r>
            <w:r>
              <w:rPr>
                <w:rFonts w:ascii="仿宋" w:hAnsi="仿宋" w:eastAsia="仿宋" w:cs="仿宋"/>
                <w:spacing w:val="-3"/>
              </w:rPr>
              <w:t>深</w:t>
            </w:r>
            <w:r>
              <w:rPr>
                <w:rFonts w:ascii="仿宋" w:hAnsi="仿宋" w:eastAsia="仿宋" w:cs="仿宋"/>
                <w:spacing w:val="-41"/>
              </w:rPr>
              <w:t xml:space="preserve"> </w:t>
            </w:r>
            <w:r>
              <w:rPr>
                <w:spacing w:val="-3"/>
              </w:rPr>
              <w:t>28cm</w:t>
            </w:r>
          </w:p>
        </w:tc>
      </w:tr>
      <w:tr w14:paraId="4EEDFE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09D28259">
            <w:pPr>
              <w:rPr>
                <w:rFonts w:ascii="Arial"/>
                <w:sz w:val="21"/>
              </w:rPr>
            </w:pPr>
          </w:p>
        </w:tc>
        <w:tc>
          <w:tcPr>
            <w:tcW w:w="538" w:type="dxa"/>
            <w:vAlign w:val="top"/>
          </w:tcPr>
          <w:p w14:paraId="57ABE3D1">
            <w:pPr>
              <w:pStyle w:val="6"/>
              <w:spacing w:before="53" w:line="188" w:lineRule="auto"/>
              <w:ind w:left="175"/>
            </w:pPr>
            <w:r>
              <w:rPr>
                <w:spacing w:val="-2"/>
              </w:rPr>
              <w:t>27</w:t>
            </w:r>
          </w:p>
        </w:tc>
        <w:tc>
          <w:tcPr>
            <w:tcW w:w="2585" w:type="dxa"/>
            <w:vAlign w:val="top"/>
          </w:tcPr>
          <w:p w14:paraId="5D7CAB4A">
            <w:pPr>
              <w:pStyle w:val="6"/>
              <w:spacing w:before="36" w:line="197" w:lineRule="auto"/>
              <w:ind w:left="608"/>
            </w:pPr>
            <w:r>
              <w:rPr>
                <w:spacing w:val="-1"/>
              </w:rPr>
              <w:t>K4+003</w:t>
            </w:r>
            <w:r>
              <w:rPr>
                <w:rFonts w:ascii="仿宋" w:hAnsi="仿宋" w:eastAsia="仿宋" w:cs="仿宋"/>
                <w:spacing w:val="-1"/>
              </w:rPr>
              <w:t>～</w:t>
            </w:r>
            <w:r>
              <w:rPr>
                <w:spacing w:val="-1"/>
              </w:rPr>
              <w:t>K4+030</w:t>
            </w:r>
          </w:p>
        </w:tc>
        <w:tc>
          <w:tcPr>
            <w:tcW w:w="1090" w:type="dxa"/>
            <w:vAlign w:val="top"/>
          </w:tcPr>
          <w:p w14:paraId="2E616B62">
            <w:pPr>
              <w:spacing w:before="36" w:line="197" w:lineRule="auto"/>
              <w:ind w:left="378"/>
              <w:rPr>
                <w:rFonts w:ascii="仿宋" w:hAnsi="仿宋" w:eastAsia="仿宋" w:cs="仿宋"/>
                <w:sz w:val="18"/>
                <w:szCs w:val="18"/>
              </w:rPr>
            </w:pPr>
            <w:r>
              <w:rPr>
                <w:rFonts w:ascii="仿宋" w:hAnsi="仿宋" w:eastAsia="仿宋" w:cs="仿宋"/>
                <w:spacing w:val="-8"/>
                <w:sz w:val="18"/>
                <w:szCs w:val="18"/>
              </w:rPr>
              <w:t>边沟</w:t>
            </w:r>
          </w:p>
        </w:tc>
        <w:tc>
          <w:tcPr>
            <w:tcW w:w="3427" w:type="dxa"/>
            <w:tcBorders>
              <w:right w:val="single" w:color="000000" w:sz="6" w:space="0"/>
            </w:tcBorders>
            <w:vAlign w:val="top"/>
          </w:tcPr>
          <w:p w14:paraId="164EB426">
            <w:pPr>
              <w:pStyle w:val="6"/>
              <w:spacing w:before="36" w:line="197" w:lineRule="auto"/>
              <w:ind w:left="442"/>
            </w:pPr>
            <w:r>
              <w:rPr>
                <w:rFonts w:ascii="仿宋" w:hAnsi="仿宋" w:eastAsia="仿宋" w:cs="仿宋"/>
                <w:spacing w:val="-4"/>
              </w:rPr>
              <w:t>倒</w:t>
            </w:r>
            <w:r>
              <w:rPr>
                <w:rFonts w:ascii="仿宋" w:hAnsi="仿宋" w:eastAsia="仿宋" w:cs="仿宋"/>
                <w:spacing w:val="-35"/>
              </w:rPr>
              <w:t xml:space="preserve"> </w:t>
            </w:r>
            <w:r>
              <w:rPr>
                <w:spacing w:val="-4"/>
              </w:rPr>
              <w:t>7</w:t>
            </w:r>
            <w:r>
              <w:rPr>
                <w:spacing w:val="19"/>
              </w:rPr>
              <w:t xml:space="preserve"> </w:t>
            </w:r>
            <w:r>
              <w:rPr>
                <w:rFonts w:ascii="仿宋" w:hAnsi="仿宋" w:eastAsia="仿宋" w:cs="仿宋"/>
                <w:spacing w:val="-4"/>
              </w:rPr>
              <w:t>字形边沟，宽</w:t>
            </w:r>
            <w:r>
              <w:rPr>
                <w:rFonts w:ascii="仿宋" w:hAnsi="仿宋" w:eastAsia="仿宋" w:cs="仿宋"/>
                <w:spacing w:val="-38"/>
              </w:rPr>
              <w:t xml:space="preserve"> </w:t>
            </w:r>
            <w:r>
              <w:rPr>
                <w:spacing w:val="-4"/>
              </w:rPr>
              <w:t>90cm</w:t>
            </w:r>
            <w:r>
              <w:rPr>
                <w:spacing w:val="14"/>
              </w:rPr>
              <w:t xml:space="preserve"> </w:t>
            </w:r>
            <w:r>
              <w:rPr>
                <w:rFonts w:ascii="仿宋" w:hAnsi="仿宋" w:eastAsia="仿宋" w:cs="仿宋"/>
                <w:spacing w:val="-4"/>
              </w:rPr>
              <w:t>深</w:t>
            </w:r>
            <w:r>
              <w:rPr>
                <w:rFonts w:ascii="仿宋" w:hAnsi="仿宋" w:eastAsia="仿宋" w:cs="仿宋"/>
                <w:spacing w:val="-43"/>
              </w:rPr>
              <w:t xml:space="preserve"> </w:t>
            </w:r>
            <w:r>
              <w:rPr>
                <w:spacing w:val="-4"/>
              </w:rPr>
              <w:t>28cm</w:t>
            </w:r>
          </w:p>
        </w:tc>
      </w:tr>
      <w:tr w14:paraId="57885B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57BB10E8">
            <w:pPr>
              <w:rPr>
                <w:rFonts w:ascii="Arial"/>
                <w:sz w:val="21"/>
              </w:rPr>
            </w:pPr>
          </w:p>
        </w:tc>
        <w:tc>
          <w:tcPr>
            <w:tcW w:w="538" w:type="dxa"/>
            <w:vAlign w:val="top"/>
          </w:tcPr>
          <w:p w14:paraId="52D6B232">
            <w:pPr>
              <w:pStyle w:val="6"/>
              <w:spacing w:before="54" w:line="188" w:lineRule="auto"/>
              <w:ind w:left="175"/>
            </w:pPr>
            <w:r>
              <w:rPr>
                <w:spacing w:val="-2"/>
              </w:rPr>
              <w:t>28</w:t>
            </w:r>
          </w:p>
        </w:tc>
        <w:tc>
          <w:tcPr>
            <w:tcW w:w="2585" w:type="dxa"/>
            <w:vAlign w:val="top"/>
          </w:tcPr>
          <w:p w14:paraId="4F22DFC4">
            <w:pPr>
              <w:pStyle w:val="6"/>
              <w:spacing w:before="54" w:line="188" w:lineRule="auto"/>
              <w:ind w:left="995"/>
            </w:pPr>
            <w:r>
              <w:rPr>
                <w:spacing w:val="-1"/>
              </w:rPr>
              <w:t>K4+030</w:t>
            </w:r>
          </w:p>
        </w:tc>
        <w:tc>
          <w:tcPr>
            <w:tcW w:w="1090" w:type="dxa"/>
            <w:vAlign w:val="top"/>
          </w:tcPr>
          <w:p w14:paraId="377FD648">
            <w:pPr>
              <w:spacing w:before="36" w:line="196" w:lineRule="auto"/>
              <w:ind w:left="284"/>
              <w:rPr>
                <w:rFonts w:ascii="仿宋" w:hAnsi="仿宋" w:eastAsia="仿宋" w:cs="仿宋"/>
                <w:sz w:val="18"/>
                <w:szCs w:val="18"/>
              </w:rPr>
            </w:pPr>
            <w:r>
              <w:rPr>
                <w:rFonts w:ascii="仿宋" w:hAnsi="仿宋" w:eastAsia="仿宋" w:cs="仿宋"/>
                <w:spacing w:val="-4"/>
                <w:sz w:val="18"/>
                <w:szCs w:val="18"/>
              </w:rPr>
              <w:t>排水沟</w:t>
            </w:r>
          </w:p>
        </w:tc>
        <w:tc>
          <w:tcPr>
            <w:tcW w:w="3427" w:type="dxa"/>
            <w:tcBorders>
              <w:right w:val="single" w:color="000000" w:sz="6" w:space="0"/>
            </w:tcBorders>
            <w:vAlign w:val="top"/>
          </w:tcPr>
          <w:p w14:paraId="2F85A8AD">
            <w:pPr>
              <w:pStyle w:val="6"/>
              <w:spacing w:before="36" w:line="196" w:lineRule="auto"/>
              <w:ind w:left="530"/>
            </w:pPr>
            <w:r>
              <w:rPr>
                <w:rFonts w:ascii="仿宋" w:hAnsi="仿宋" w:eastAsia="仿宋" w:cs="仿宋"/>
                <w:spacing w:val="-3"/>
              </w:rPr>
              <w:t>矩形排水沟，宽</w:t>
            </w:r>
            <w:r>
              <w:rPr>
                <w:rFonts w:ascii="仿宋" w:hAnsi="仿宋" w:eastAsia="仿宋" w:cs="仿宋"/>
                <w:spacing w:val="-28"/>
              </w:rPr>
              <w:t xml:space="preserve"> </w:t>
            </w:r>
            <w:r>
              <w:rPr>
                <w:spacing w:val="-3"/>
              </w:rPr>
              <w:t>90cm</w:t>
            </w:r>
            <w:r>
              <w:rPr>
                <w:spacing w:val="13"/>
                <w:w w:val="101"/>
              </w:rPr>
              <w:t xml:space="preserve"> </w:t>
            </w:r>
            <w:r>
              <w:rPr>
                <w:rFonts w:ascii="仿宋" w:hAnsi="仿宋" w:eastAsia="仿宋" w:cs="仿宋"/>
                <w:spacing w:val="-3"/>
              </w:rPr>
              <w:t>深</w:t>
            </w:r>
            <w:r>
              <w:rPr>
                <w:rFonts w:ascii="仿宋" w:hAnsi="仿宋" w:eastAsia="仿宋" w:cs="仿宋"/>
                <w:spacing w:val="-41"/>
              </w:rPr>
              <w:t xml:space="preserve"> </w:t>
            </w:r>
            <w:r>
              <w:rPr>
                <w:spacing w:val="-3"/>
              </w:rPr>
              <w:t>28cm</w:t>
            </w:r>
          </w:p>
        </w:tc>
      </w:tr>
      <w:tr w14:paraId="2F5CE5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1C1ABC34">
            <w:pPr>
              <w:rPr>
                <w:rFonts w:ascii="Arial"/>
                <w:sz w:val="21"/>
              </w:rPr>
            </w:pPr>
          </w:p>
        </w:tc>
        <w:tc>
          <w:tcPr>
            <w:tcW w:w="7640" w:type="dxa"/>
            <w:gridSpan w:val="4"/>
            <w:tcBorders>
              <w:right w:val="single" w:color="000000" w:sz="6" w:space="0"/>
            </w:tcBorders>
            <w:vAlign w:val="top"/>
          </w:tcPr>
          <w:p w14:paraId="42EDCE5C">
            <w:pPr>
              <w:spacing w:before="36" w:line="196" w:lineRule="auto"/>
              <w:ind w:left="2746"/>
              <w:rPr>
                <w:rFonts w:ascii="仿宋" w:hAnsi="仿宋" w:eastAsia="仿宋" w:cs="仿宋"/>
                <w:sz w:val="18"/>
                <w:szCs w:val="18"/>
              </w:rPr>
            </w:pPr>
            <w:r>
              <w:rPr>
                <w:rFonts w:ascii="仿宋" w:hAnsi="仿宋" w:eastAsia="仿宋" w:cs="仿宋"/>
                <w:spacing w:val="-2"/>
                <w:sz w:val="18"/>
                <w:szCs w:val="18"/>
              </w:rPr>
              <w:t>李家圪堵至土敖包通村公路</w:t>
            </w:r>
          </w:p>
        </w:tc>
      </w:tr>
      <w:tr w14:paraId="6715EF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34BB68C3">
            <w:pPr>
              <w:rPr>
                <w:rFonts w:ascii="Arial"/>
                <w:sz w:val="21"/>
              </w:rPr>
            </w:pPr>
          </w:p>
        </w:tc>
        <w:tc>
          <w:tcPr>
            <w:tcW w:w="7640" w:type="dxa"/>
            <w:gridSpan w:val="4"/>
            <w:tcBorders>
              <w:right w:val="single" w:color="000000" w:sz="6" w:space="0"/>
            </w:tcBorders>
            <w:vAlign w:val="top"/>
          </w:tcPr>
          <w:p w14:paraId="39CFB243">
            <w:pPr>
              <w:spacing w:before="35" w:line="197" w:lineRule="auto"/>
              <w:ind w:left="3549"/>
              <w:rPr>
                <w:rFonts w:ascii="仿宋" w:hAnsi="仿宋" w:eastAsia="仿宋" w:cs="仿宋"/>
                <w:sz w:val="18"/>
                <w:szCs w:val="18"/>
              </w:rPr>
            </w:pPr>
            <w:r>
              <w:rPr>
                <w:rFonts w:ascii="仿宋" w:hAnsi="仿宋" w:eastAsia="仿宋" w:cs="仿宋"/>
                <w:spacing w:val="-4"/>
                <w:sz w:val="18"/>
                <w:szCs w:val="18"/>
              </w:rPr>
              <w:t>路段二</w:t>
            </w:r>
          </w:p>
        </w:tc>
      </w:tr>
      <w:tr w14:paraId="492244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22E1332A">
            <w:pPr>
              <w:rPr>
                <w:rFonts w:ascii="Arial"/>
                <w:sz w:val="21"/>
              </w:rPr>
            </w:pPr>
          </w:p>
        </w:tc>
        <w:tc>
          <w:tcPr>
            <w:tcW w:w="538" w:type="dxa"/>
            <w:vAlign w:val="top"/>
          </w:tcPr>
          <w:p w14:paraId="13E6EC70">
            <w:pPr>
              <w:pStyle w:val="6"/>
              <w:spacing w:before="54" w:line="188" w:lineRule="auto"/>
              <w:ind w:left="175"/>
            </w:pPr>
            <w:r>
              <w:rPr>
                <w:spacing w:val="-2"/>
              </w:rPr>
              <w:t>29</w:t>
            </w:r>
          </w:p>
        </w:tc>
        <w:tc>
          <w:tcPr>
            <w:tcW w:w="2585" w:type="dxa"/>
            <w:vAlign w:val="top"/>
          </w:tcPr>
          <w:p w14:paraId="2C79F2A2">
            <w:pPr>
              <w:pStyle w:val="6"/>
              <w:spacing w:before="37" w:line="196" w:lineRule="auto"/>
              <w:ind w:left="608"/>
            </w:pPr>
            <w:r>
              <w:rPr>
                <w:spacing w:val="-1"/>
              </w:rPr>
              <w:t>K0+199</w:t>
            </w:r>
            <w:r>
              <w:rPr>
                <w:rFonts w:ascii="仿宋" w:hAnsi="仿宋" w:eastAsia="仿宋" w:cs="仿宋"/>
                <w:spacing w:val="-1"/>
              </w:rPr>
              <w:t>～</w:t>
            </w:r>
            <w:r>
              <w:rPr>
                <w:spacing w:val="-1"/>
              </w:rPr>
              <w:t>K0+275</w:t>
            </w:r>
          </w:p>
        </w:tc>
        <w:tc>
          <w:tcPr>
            <w:tcW w:w="1090" w:type="dxa"/>
            <w:vAlign w:val="top"/>
          </w:tcPr>
          <w:p w14:paraId="45DD2838">
            <w:pPr>
              <w:spacing w:before="37" w:line="196" w:lineRule="auto"/>
              <w:ind w:left="378"/>
              <w:rPr>
                <w:rFonts w:ascii="仿宋" w:hAnsi="仿宋" w:eastAsia="仿宋" w:cs="仿宋"/>
                <w:sz w:val="18"/>
                <w:szCs w:val="18"/>
              </w:rPr>
            </w:pPr>
            <w:r>
              <w:rPr>
                <w:rFonts w:ascii="仿宋" w:hAnsi="仿宋" w:eastAsia="仿宋" w:cs="仿宋"/>
                <w:spacing w:val="-8"/>
                <w:sz w:val="18"/>
                <w:szCs w:val="18"/>
              </w:rPr>
              <w:t>边沟</w:t>
            </w:r>
          </w:p>
        </w:tc>
        <w:tc>
          <w:tcPr>
            <w:tcW w:w="3427" w:type="dxa"/>
            <w:tcBorders>
              <w:right w:val="single" w:color="000000" w:sz="6" w:space="0"/>
            </w:tcBorders>
            <w:vAlign w:val="top"/>
          </w:tcPr>
          <w:p w14:paraId="6BEE2A70">
            <w:pPr>
              <w:pStyle w:val="6"/>
              <w:spacing w:before="37" w:line="196" w:lineRule="auto"/>
              <w:ind w:left="442"/>
            </w:pPr>
            <w:r>
              <w:rPr>
                <w:rFonts w:ascii="仿宋" w:hAnsi="仿宋" w:eastAsia="仿宋" w:cs="仿宋"/>
                <w:spacing w:val="-4"/>
              </w:rPr>
              <w:t>倒</w:t>
            </w:r>
            <w:r>
              <w:rPr>
                <w:rFonts w:ascii="仿宋" w:hAnsi="仿宋" w:eastAsia="仿宋" w:cs="仿宋"/>
                <w:spacing w:val="-35"/>
              </w:rPr>
              <w:t xml:space="preserve"> </w:t>
            </w:r>
            <w:r>
              <w:rPr>
                <w:spacing w:val="-4"/>
              </w:rPr>
              <w:t>7</w:t>
            </w:r>
            <w:r>
              <w:rPr>
                <w:spacing w:val="19"/>
              </w:rPr>
              <w:t xml:space="preserve"> </w:t>
            </w:r>
            <w:r>
              <w:rPr>
                <w:rFonts w:ascii="仿宋" w:hAnsi="仿宋" w:eastAsia="仿宋" w:cs="仿宋"/>
                <w:spacing w:val="-4"/>
              </w:rPr>
              <w:t>字形边沟，宽</w:t>
            </w:r>
            <w:r>
              <w:rPr>
                <w:rFonts w:ascii="仿宋" w:hAnsi="仿宋" w:eastAsia="仿宋" w:cs="仿宋"/>
                <w:spacing w:val="-38"/>
              </w:rPr>
              <w:t xml:space="preserve"> </w:t>
            </w:r>
            <w:r>
              <w:rPr>
                <w:spacing w:val="-4"/>
              </w:rPr>
              <w:t>90cm</w:t>
            </w:r>
            <w:r>
              <w:rPr>
                <w:spacing w:val="14"/>
              </w:rPr>
              <w:t xml:space="preserve"> </w:t>
            </w:r>
            <w:r>
              <w:rPr>
                <w:rFonts w:ascii="仿宋" w:hAnsi="仿宋" w:eastAsia="仿宋" w:cs="仿宋"/>
                <w:spacing w:val="-4"/>
              </w:rPr>
              <w:t>深</w:t>
            </w:r>
            <w:r>
              <w:rPr>
                <w:rFonts w:ascii="仿宋" w:hAnsi="仿宋" w:eastAsia="仿宋" w:cs="仿宋"/>
                <w:spacing w:val="-43"/>
              </w:rPr>
              <w:t xml:space="preserve"> </w:t>
            </w:r>
            <w:r>
              <w:rPr>
                <w:spacing w:val="-4"/>
              </w:rPr>
              <w:t>28cm</w:t>
            </w:r>
          </w:p>
        </w:tc>
      </w:tr>
      <w:tr w14:paraId="628AB8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737" w:type="dxa"/>
            <w:vMerge w:val="continue"/>
            <w:tcBorders>
              <w:top w:val="nil"/>
              <w:left w:val="single" w:color="000000" w:sz="6" w:space="0"/>
              <w:bottom w:val="nil"/>
            </w:tcBorders>
            <w:vAlign w:val="top"/>
          </w:tcPr>
          <w:p w14:paraId="00D59811">
            <w:pPr>
              <w:rPr>
                <w:rFonts w:ascii="Arial"/>
                <w:sz w:val="21"/>
              </w:rPr>
            </w:pPr>
          </w:p>
        </w:tc>
        <w:tc>
          <w:tcPr>
            <w:tcW w:w="538" w:type="dxa"/>
            <w:vAlign w:val="top"/>
          </w:tcPr>
          <w:p w14:paraId="431EBBFA">
            <w:pPr>
              <w:pStyle w:val="6"/>
              <w:spacing w:before="55" w:line="188" w:lineRule="auto"/>
              <w:ind w:left="179"/>
            </w:pPr>
            <w:r>
              <w:rPr>
                <w:spacing w:val="-4"/>
              </w:rPr>
              <w:t>30</w:t>
            </w:r>
          </w:p>
        </w:tc>
        <w:tc>
          <w:tcPr>
            <w:tcW w:w="2585" w:type="dxa"/>
            <w:vAlign w:val="top"/>
          </w:tcPr>
          <w:p w14:paraId="380AD4AA">
            <w:pPr>
              <w:pStyle w:val="6"/>
              <w:spacing w:before="55" w:line="188" w:lineRule="auto"/>
              <w:ind w:left="995"/>
            </w:pPr>
            <w:r>
              <w:rPr>
                <w:spacing w:val="-1"/>
              </w:rPr>
              <w:t>K0+275</w:t>
            </w:r>
          </w:p>
        </w:tc>
        <w:tc>
          <w:tcPr>
            <w:tcW w:w="1090" w:type="dxa"/>
            <w:vAlign w:val="top"/>
          </w:tcPr>
          <w:p w14:paraId="3E4B0384">
            <w:pPr>
              <w:spacing w:before="35" w:line="196" w:lineRule="auto"/>
              <w:ind w:left="284"/>
              <w:rPr>
                <w:rFonts w:ascii="仿宋" w:hAnsi="仿宋" w:eastAsia="仿宋" w:cs="仿宋"/>
                <w:sz w:val="18"/>
                <w:szCs w:val="18"/>
              </w:rPr>
            </w:pPr>
            <w:r>
              <w:rPr>
                <w:rFonts w:ascii="仿宋" w:hAnsi="仿宋" w:eastAsia="仿宋" w:cs="仿宋"/>
                <w:spacing w:val="-4"/>
                <w:sz w:val="18"/>
                <w:szCs w:val="18"/>
              </w:rPr>
              <w:t>排水沟</w:t>
            </w:r>
          </w:p>
        </w:tc>
        <w:tc>
          <w:tcPr>
            <w:tcW w:w="3427" w:type="dxa"/>
            <w:tcBorders>
              <w:right w:val="single" w:color="000000" w:sz="6" w:space="0"/>
            </w:tcBorders>
            <w:vAlign w:val="top"/>
          </w:tcPr>
          <w:p w14:paraId="2180370E">
            <w:pPr>
              <w:pStyle w:val="6"/>
              <w:spacing w:before="35" w:line="196" w:lineRule="auto"/>
              <w:ind w:left="530"/>
            </w:pPr>
            <w:r>
              <w:rPr>
                <w:rFonts w:ascii="仿宋" w:hAnsi="仿宋" w:eastAsia="仿宋" w:cs="仿宋"/>
                <w:spacing w:val="-3"/>
              </w:rPr>
              <w:t>矩形排水沟，宽</w:t>
            </w:r>
            <w:r>
              <w:rPr>
                <w:rFonts w:ascii="仿宋" w:hAnsi="仿宋" w:eastAsia="仿宋" w:cs="仿宋"/>
                <w:spacing w:val="-28"/>
              </w:rPr>
              <w:t xml:space="preserve"> </w:t>
            </w:r>
            <w:r>
              <w:rPr>
                <w:spacing w:val="-3"/>
              </w:rPr>
              <w:t>90cm</w:t>
            </w:r>
            <w:r>
              <w:rPr>
                <w:spacing w:val="13"/>
                <w:w w:val="101"/>
              </w:rPr>
              <w:t xml:space="preserve"> </w:t>
            </w:r>
            <w:r>
              <w:rPr>
                <w:rFonts w:ascii="仿宋" w:hAnsi="仿宋" w:eastAsia="仿宋" w:cs="仿宋"/>
                <w:spacing w:val="-3"/>
              </w:rPr>
              <w:t>深</w:t>
            </w:r>
            <w:r>
              <w:rPr>
                <w:rFonts w:ascii="仿宋" w:hAnsi="仿宋" w:eastAsia="仿宋" w:cs="仿宋"/>
                <w:spacing w:val="-41"/>
              </w:rPr>
              <w:t xml:space="preserve"> </w:t>
            </w:r>
            <w:r>
              <w:rPr>
                <w:spacing w:val="-3"/>
              </w:rPr>
              <w:t>28cm</w:t>
            </w:r>
          </w:p>
        </w:tc>
      </w:tr>
      <w:tr w14:paraId="37B694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48B3D3DC">
            <w:pPr>
              <w:rPr>
                <w:rFonts w:ascii="Arial"/>
                <w:sz w:val="21"/>
              </w:rPr>
            </w:pPr>
          </w:p>
        </w:tc>
        <w:tc>
          <w:tcPr>
            <w:tcW w:w="538" w:type="dxa"/>
            <w:vAlign w:val="top"/>
          </w:tcPr>
          <w:p w14:paraId="26F96BAF">
            <w:pPr>
              <w:pStyle w:val="6"/>
              <w:spacing w:before="56" w:line="188" w:lineRule="auto"/>
              <w:ind w:left="179"/>
            </w:pPr>
            <w:r>
              <w:rPr>
                <w:spacing w:val="-4"/>
              </w:rPr>
              <w:t>31</w:t>
            </w:r>
          </w:p>
        </w:tc>
        <w:tc>
          <w:tcPr>
            <w:tcW w:w="2585" w:type="dxa"/>
            <w:vAlign w:val="top"/>
          </w:tcPr>
          <w:p w14:paraId="3C459F71">
            <w:pPr>
              <w:pStyle w:val="6"/>
              <w:spacing w:before="56" w:line="188" w:lineRule="auto"/>
              <w:ind w:left="995"/>
            </w:pPr>
            <w:r>
              <w:rPr>
                <w:spacing w:val="-1"/>
              </w:rPr>
              <w:t>K0+482</w:t>
            </w:r>
          </w:p>
        </w:tc>
        <w:tc>
          <w:tcPr>
            <w:tcW w:w="1090" w:type="dxa"/>
            <w:vAlign w:val="top"/>
          </w:tcPr>
          <w:p w14:paraId="3ABB8C7F">
            <w:pPr>
              <w:spacing w:before="38" w:line="194" w:lineRule="auto"/>
              <w:ind w:left="378"/>
              <w:rPr>
                <w:rFonts w:ascii="仿宋" w:hAnsi="仿宋" w:eastAsia="仿宋" w:cs="仿宋"/>
                <w:sz w:val="18"/>
                <w:szCs w:val="18"/>
              </w:rPr>
            </w:pPr>
            <w:r>
              <w:rPr>
                <w:rFonts w:ascii="仿宋" w:hAnsi="仿宋" w:eastAsia="仿宋" w:cs="仿宋"/>
                <w:spacing w:val="-8"/>
                <w:sz w:val="18"/>
                <w:szCs w:val="18"/>
              </w:rPr>
              <w:t>边沟</w:t>
            </w:r>
          </w:p>
        </w:tc>
        <w:tc>
          <w:tcPr>
            <w:tcW w:w="3427" w:type="dxa"/>
            <w:tcBorders>
              <w:right w:val="single" w:color="000000" w:sz="6" w:space="0"/>
            </w:tcBorders>
            <w:vAlign w:val="top"/>
          </w:tcPr>
          <w:p w14:paraId="7CFA0CFD">
            <w:pPr>
              <w:pStyle w:val="6"/>
              <w:spacing w:before="38" w:line="194" w:lineRule="auto"/>
              <w:ind w:left="442"/>
            </w:pPr>
            <w:r>
              <w:rPr>
                <w:rFonts w:ascii="仿宋" w:hAnsi="仿宋" w:eastAsia="仿宋" w:cs="仿宋"/>
                <w:spacing w:val="-4"/>
              </w:rPr>
              <w:t>倒</w:t>
            </w:r>
            <w:r>
              <w:rPr>
                <w:rFonts w:ascii="仿宋" w:hAnsi="仿宋" w:eastAsia="仿宋" w:cs="仿宋"/>
                <w:spacing w:val="-35"/>
              </w:rPr>
              <w:t xml:space="preserve"> </w:t>
            </w:r>
            <w:r>
              <w:rPr>
                <w:spacing w:val="-4"/>
              </w:rPr>
              <w:t>7</w:t>
            </w:r>
            <w:r>
              <w:rPr>
                <w:spacing w:val="19"/>
              </w:rPr>
              <w:t xml:space="preserve"> </w:t>
            </w:r>
            <w:r>
              <w:rPr>
                <w:rFonts w:ascii="仿宋" w:hAnsi="仿宋" w:eastAsia="仿宋" w:cs="仿宋"/>
                <w:spacing w:val="-4"/>
              </w:rPr>
              <w:t>字形边沟，宽</w:t>
            </w:r>
            <w:r>
              <w:rPr>
                <w:rFonts w:ascii="仿宋" w:hAnsi="仿宋" w:eastAsia="仿宋" w:cs="仿宋"/>
                <w:spacing w:val="-38"/>
              </w:rPr>
              <w:t xml:space="preserve"> </w:t>
            </w:r>
            <w:r>
              <w:rPr>
                <w:spacing w:val="-4"/>
              </w:rPr>
              <w:t>90cm</w:t>
            </w:r>
            <w:r>
              <w:rPr>
                <w:spacing w:val="14"/>
              </w:rPr>
              <w:t xml:space="preserve"> </w:t>
            </w:r>
            <w:r>
              <w:rPr>
                <w:rFonts w:ascii="仿宋" w:hAnsi="仿宋" w:eastAsia="仿宋" w:cs="仿宋"/>
                <w:spacing w:val="-4"/>
              </w:rPr>
              <w:t>深</w:t>
            </w:r>
            <w:r>
              <w:rPr>
                <w:rFonts w:ascii="仿宋" w:hAnsi="仿宋" w:eastAsia="仿宋" w:cs="仿宋"/>
                <w:spacing w:val="-43"/>
              </w:rPr>
              <w:t xml:space="preserve"> </w:t>
            </w:r>
            <w:r>
              <w:rPr>
                <w:spacing w:val="-4"/>
              </w:rPr>
              <w:t>28cm</w:t>
            </w:r>
          </w:p>
        </w:tc>
      </w:tr>
      <w:tr w14:paraId="5881F2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1685C7CC">
            <w:pPr>
              <w:rPr>
                <w:rFonts w:ascii="Arial"/>
                <w:sz w:val="21"/>
              </w:rPr>
            </w:pPr>
          </w:p>
        </w:tc>
        <w:tc>
          <w:tcPr>
            <w:tcW w:w="538" w:type="dxa"/>
            <w:vAlign w:val="top"/>
          </w:tcPr>
          <w:p w14:paraId="09A4F20A">
            <w:pPr>
              <w:pStyle w:val="6"/>
              <w:spacing w:before="55" w:line="188" w:lineRule="auto"/>
              <w:ind w:left="179"/>
            </w:pPr>
            <w:r>
              <w:rPr>
                <w:spacing w:val="-4"/>
              </w:rPr>
              <w:t>32</w:t>
            </w:r>
          </w:p>
        </w:tc>
        <w:tc>
          <w:tcPr>
            <w:tcW w:w="2585" w:type="dxa"/>
            <w:vAlign w:val="top"/>
          </w:tcPr>
          <w:p w14:paraId="63F8AFD4">
            <w:pPr>
              <w:pStyle w:val="6"/>
              <w:spacing w:before="38" w:line="195" w:lineRule="auto"/>
              <w:ind w:left="608"/>
            </w:pPr>
            <w:r>
              <w:rPr>
                <w:spacing w:val="-1"/>
              </w:rPr>
              <w:t>K0+482</w:t>
            </w:r>
            <w:r>
              <w:rPr>
                <w:rFonts w:ascii="仿宋" w:hAnsi="仿宋" w:eastAsia="仿宋" w:cs="仿宋"/>
                <w:spacing w:val="-1"/>
              </w:rPr>
              <w:t>～</w:t>
            </w:r>
            <w:r>
              <w:rPr>
                <w:spacing w:val="-1"/>
              </w:rPr>
              <w:t>K0+647</w:t>
            </w:r>
          </w:p>
        </w:tc>
        <w:tc>
          <w:tcPr>
            <w:tcW w:w="1090" w:type="dxa"/>
            <w:vAlign w:val="top"/>
          </w:tcPr>
          <w:p w14:paraId="13028779">
            <w:pPr>
              <w:spacing w:before="38" w:line="195" w:lineRule="auto"/>
              <w:ind w:left="284"/>
              <w:rPr>
                <w:rFonts w:ascii="仿宋" w:hAnsi="仿宋" w:eastAsia="仿宋" w:cs="仿宋"/>
                <w:sz w:val="18"/>
                <w:szCs w:val="18"/>
              </w:rPr>
            </w:pPr>
            <w:r>
              <w:rPr>
                <w:rFonts w:ascii="仿宋" w:hAnsi="仿宋" w:eastAsia="仿宋" w:cs="仿宋"/>
                <w:spacing w:val="-4"/>
                <w:sz w:val="18"/>
                <w:szCs w:val="18"/>
              </w:rPr>
              <w:t>排水沟</w:t>
            </w:r>
          </w:p>
        </w:tc>
        <w:tc>
          <w:tcPr>
            <w:tcW w:w="3427" w:type="dxa"/>
            <w:tcBorders>
              <w:right w:val="single" w:color="000000" w:sz="6" w:space="0"/>
            </w:tcBorders>
            <w:vAlign w:val="top"/>
          </w:tcPr>
          <w:p w14:paraId="67D38C70">
            <w:pPr>
              <w:pStyle w:val="6"/>
              <w:spacing w:before="38" w:line="195" w:lineRule="auto"/>
              <w:ind w:left="509"/>
            </w:pPr>
            <w:r>
              <w:rPr>
                <w:rFonts w:ascii="仿宋" w:hAnsi="仿宋" w:eastAsia="仿宋" w:cs="仿宋"/>
                <w:spacing w:val="-2"/>
              </w:rPr>
              <w:t xml:space="preserve">矩形排水沟，宽 </w:t>
            </w:r>
            <w:r>
              <w:rPr>
                <w:spacing w:val="-2"/>
              </w:rPr>
              <w:t>90cm</w:t>
            </w:r>
            <w:r>
              <w:rPr>
                <w:spacing w:val="15"/>
              </w:rPr>
              <w:t xml:space="preserve"> </w:t>
            </w:r>
            <w:r>
              <w:rPr>
                <w:rFonts w:ascii="仿宋" w:hAnsi="仿宋" w:eastAsia="仿宋" w:cs="仿宋"/>
                <w:spacing w:val="-2"/>
              </w:rPr>
              <w:t>深</w:t>
            </w:r>
            <w:r>
              <w:rPr>
                <w:rFonts w:ascii="仿宋" w:hAnsi="仿宋" w:eastAsia="仿宋" w:cs="仿宋"/>
                <w:spacing w:val="-41"/>
              </w:rPr>
              <w:t xml:space="preserve"> </w:t>
            </w:r>
            <w:r>
              <w:rPr>
                <w:spacing w:val="-2"/>
              </w:rPr>
              <w:t>28cm</w:t>
            </w:r>
          </w:p>
        </w:tc>
      </w:tr>
      <w:tr w14:paraId="193D44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737" w:type="dxa"/>
            <w:vMerge w:val="continue"/>
            <w:tcBorders>
              <w:top w:val="nil"/>
              <w:left w:val="single" w:color="000000" w:sz="6" w:space="0"/>
              <w:bottom w:val="nil"/>
            </w:tcBorders>
            <w:vAlign w:val="top"/>
          </w:tcPr>
          <w:p w14:paraId="7B551600">
            <w:pPr>
              <w:rPr>
                <w:rFonts w:ascii="Arial"/>
                <w:sz w:val="21"/>
              </w:rPr>
            </w:pPr>
          </w:p>
        </w:tc>
        <w:tc>
          <w:tcPr>
            <w:tcW w:w="538" w:type="dxa"/>
            <w:vAlign w:val="top"/>
          </w:tcPr>
          <w:p w14:paraId="6FD812C3">
            <w:pPr>
              <w:pStyle w:val="6"/>
              <w:spacing w:before="56" w:line="188" w:lineRule="auto"/>
              <w:ind w:left="179"/>
            </w:pPr>
            <w:r>
              <w:rPr>
                <w:spacing w:val="-4"/>
              </w:rPr>
              <w:t>33</w:t>
            </w:r>
          </w:p>
        </w:tc>
        <w:tc>
          <w:tcPr>
            <w:tcW w:w="2585" w:type="dxa"/>
            <w:vAlign w:val="top"/>
          </w:tcPr>
          <w:p w14:paraId="20F65990">
            <w:pPr>
              <w:pStyle w:val="6"/>
              <w:spacing w:before="56" w:line="188" w:lineRule="auto"/>
              <w:ind w:left="995"/>
            </w:pPr>
            <w:r>
              <w:rPr>
                <w:spacing w:val="-1"/>
              </w:rPr>
              <w:t>K0+647</w:t>
            </w:r>
          </w:p>
        </w:tc>
        <w:tc>
          <w:tcPr>
            <w:tcW w:w="1090" w:type="dxa"/>
            <w:vAlign w:val="top"/>
          </w:tcPr>
          <w:p w14:paraId="67B3C810">
            <w:pPr>
              <w:spacing w:before="39" w:line="192" w:lineRule="auto"/>
              <w:ind w:left="284"/>
              <w:rPr>
                <w:rFonts w:ascii="仿宋" w:hAnsi="仿宋" w:eastAsia="仿宋" w:cs="仿宋"/>
                <w:sz w:val="18"/>
                <w:szCs w:val="18"/>
              </w:rPr>
            </w:pPr>
            <w:r>
              <w:rPr>
                <w:rFonts w:ascii="仿宋" w:hAnsi="仿宋" w:eastAsia="仿宋" w:cs="仿宋"/>
                <w:spacing w:val="-4"/>
                <w:sz w:val="18"/>
                <w:szCs w:val="18"/>
              </w:rPr>
              <w:t>排水沟</w:t>
            </w:r>
          </w:p>
        </w:tc>
        <w:tc>
          <w:tcPr>
            <w:tcW w:w="3427" w:type="dxa"/>
            <w:tcBorders>
              <w:right w:val="single" w:color="000000" w:sz="6" w:space="0"/>
            </w:tcBorders>
            <w:vAlign w:val="top"/>
          </w:tcPr>
          <w:p w14:paraId="3250071D">
            <w:pPr>
              <w:pStyle w:val="6"/>
              <w:spacing w:before="39" w:line="192" w:lineRule="auto"/>
              <w:ind w:left="509"/>
            </w:pPr>
            <w:r>
              <w:rPr>
                <w:rFonts w:ascii="仿宋" w:hAnsi="仿宋" w:eastAsia="仿宋" w:cs="仿宋"/>
                <w:spacing w:val="-2"/>
              </w:rPr>
              <w:t xml:space="preserve">矩形排水沟，宽 </w:t>
            </w:r>
            <w:r>
              <w:rPr>
                <w:spacing w:val="-2"/>
              </w:rPr>
              <w:t>90cm</w:t>
            </w:r>
            <w:r>
              <w:rPr>
                <w:spacing w:val="15"/>
              </w:rPr>
              <w:t xml:space="preserve"> </w:t>
            </w:r>
            <w:r>
              <w:rPr>
                <w:rFonts w:ascii="仿宋" w:hAnsi="仿宋" w:eastAsia="仿宋" w:cs="仿宋"/>
                <w:spacing w:val="-2"/>
              </w:rPr>
              <w:t>深</w:t>
            </w:r>
            <w:r>
              <w:rPr>
                <w:rFonts w:ascii="仿宋" w:hAnsi="仿宋" w:eastAsia="仿宋" w:cs="仿宋"/>
                <w:spacing w:val="-41"/>
              </w:rPr>
              <w:t xml:space="preserve"> </w:t>
            </w:r>
            <w:r>
              <w:rPr>
                <w:spacing w:val="-2"/>
              </w:rPr>
              <w:t>28cm</w:t>
            </w:r>
          </w:p>
        </w:tc>
      </w:tr>
      <w:tr w14:paraId="698BB4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3C12B7F9">
            <w:pPr>
              <w:rPr>
                <w:rFonts w:ascii="Arial"/>
                <w:sz w:val="21"/>
              </w:rPr>
            </w:pPr>
          </w:p>
        </w:tc>
        <w:tc>
          <w:tcPr>
            <w:tcW w:w="538" w:type="dxa"/>
            <w:vAlign w:val="top"/>
          </w:tcPr>
          <w:p w14:paraId="3CB60F90">
            <w:pPr>
              <w:pStyle w:val="6"/>
              <w:spacing w:before="56" w:line="188" w:lineRule="auto"/>
              <w:ind w:left="179"/>
            </w:pPr>
            <w:r>
              <w:rPr>
                <w:spacing w:val="-4"/>
              </w:rPr>
              <w:t>34</w:t>
            </w:r>
          </w:p>
        </w:tc>
        <w:tc>
          <w:tcPr>
            <w:tcW w:w="2585" w:type="dxa"/>
            <w:vAlign w:val="top"/>
          </w:tcPr>
          <w:p w14:paraId="289C47EE">
            <w:pPr>
              <w:pStyle w:val="6"/>
              <w:spacing w:before="39" w:line="194" w:lineRule="auto"/>
              <w:ind w:left="608"/>
            </w:pPr>
            <w:r>
              <w:rPr>
                <w:spacing w:val="-1"/>
              </w:rPr>
              <w:t>K0+692</w:t>
            </w:r>
            <w:r>
              <w:rPr>
                <w:rFonts w:ascii="仿宋" w:hAnsi="仿宋" w:eastAsia="仿宋" w:cs="仿宋"/>
                <w:spacing w:val="-1"/>
              </w:rPr>
              <w:t>～</w:t>
            </w:r>
            <w:r>
              <w:rPr>
                <w:spacing w:val="-1"/>
              </w:rPr>
              <w:t>K0+784</w:t>
            </w:r>
          </w:p>
        </w:tc>
        <w:tc>
          <w:tcPr>
            <w:tcW w:w="1090" w:type="dxa"/>
            <w:vAlign w:val="top"/>
          </w:tcPr>
          <w:p w14:paraId="4150943F">
            <w:pPr>
              <w:spacing w:before="39" w:line="194" w:lineRule="auto"/>
              <w:ind w:left="378"/>
              <w:rPr>
                <w:rFonts w:ascii="仿宋" w:hAnsi="仿宋" w:eastAsia="仿宋" w:cs="仿宋"/>
                <w:sz w:val="18"/>
                <w:szCs w:val="18"/>
              </w:rPr>
            </w:pPr>
            <w:r>
              <w:rPr>
                <w:rFonts w:ascii="仿宋" w:hAnsi="仿宋" w:eastAsia="仿宋" w:cs="仿宋"/>
                <w:spacing w:val="-8"/>
                <w:sz w:val="18"/>
                <w:szCs w:val="18"/>
              </w:rPr>
              <w:t>边沟</w:t>
            </w:r>
          </w:p>
        </w:tc>
        <w:tc>
          <w:tcPr>
            <w:tcW w:w="3427" w:type="dxa"/>
            <w:tcBorders>
              <w:right w:val="single" w:color="000000" w:sz="6" w:space="0"/>
            </w:tcBorders>
            <w:vAlign w:val="top"/>
          </w:tcPr>
          <w:p w14:paraId="3044C9E5">
            <w:pPr>
              <w:pStyle w:val="6"/>
              <w:spacing w:before="39" w:line="194" w:lineRule="auto"/>
              <w:ind w:left="418"/>
            </w:pPr>
            <w:r>
              <w:rPr>
                <w:rFonts w:ascii="仿宋" w:hAnsi="仿宋" w:eastAsia="仿宋" w:cs="仿宋"/>
                <w:spacing w:val="-4"/>
              </w:rPr>
              <w:t>倒</w:t>
            </w:r>
            <w:r>
              <w:rPr>
                <w:rFonts w:ascii="仿宋" w:hAnsi="仿宋" w:eastAsia="仿宋" w:cs="仿宋"/>
                <w:spacing w:val="-22"/>
              </w:rPr>
              <w:t xml:space="preserve"> </w:t>
            </w:r>
            <w:r>
              <w:rPr>
                <w:spacing w:val="-4"/>
              </w:rPr>
              <w:t>7</w:t>
            </w:r>
            <w:r>
              <w:rPr>
                <w:spacing w:val="18"/>
                <w:w w:val="101"/>
              </w:rPr>
              <w:t xml:space="preserve"> </w:t>
            </w:r>
            <w:r>
              <w:rPr>
                <w:rFonts w:ascii="仿宋" w:hAnsi="仿宋" w:eastAsia="仿宋" w:cs="仿宋"/>
                <w:spacing w:val="-4"/>
              </w:rPr>
              <w:t xml:space="preserve">字形边沟，宽 </w:t>
            </w:r>
            <w:r>
              <w:rPr>
                <w:spacing w:val="-4"/>
              </w:rPr>
              <w:t>90cm</w:t>
            </w:r>
            <w:r>
              <w:rPr>
                <w:spacing w:val="13"/>
              </w:rPr>
              <w:t xml:space="preserve"> </w:t>
            </w:r>
            <w:r>
              <w:rPr>
                <w:rFonts w:ascii="仿宋" w:hAnsi="仿宋" w:eastAsia="仿宋" w:cs="仿宋"/>
                <w:spacing w:val="-4"/>
              </w:rPr>
              <w:t>深</w:t>
            </w:r>
            <w:r>
              <w:rPr>
                <w:rFonts w:ascii="仿宋" w:hAnsi="仿宋" w:eastAsia="仿宋" w:cs="仿宋"/>
                <w:spacing w:val="-41"/>
              </w:rPr>
              <w:t xml:space="preserve"> </w:t>
            </w:r>
            <w:r>
              <w:rPr>
                <w:spacing w:val="-4"/>
              </w:rPr>
              <w:t>28cm</w:t>
            </w:r>
          </w:p>
        </w:tc>
      </w:tr>
      <w:tr w14:paraId="61BEBC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4ABE9217">
            <w:pPr>
              <w:rPr>
                <w:rFonts w:ascii="Arial"/>
                <w:sz w:val="21"/>
              </w:rPr>
            </w:pPr>
          </w:p>
        </w:tc>
        <w:tc>
          <w:tcPr>
            <w:tcW w:w="538" w:type="dxa"/>
            <w:vAlign w:val="top"/>
          </w:tcPr>
          <w:p w14:paraId="050144EE">
            <w:pPr>
              <w:pStyle w:val="6"/>
              <w:spacing w:before="57" w:line="188" w:lineRule="auto"/>
              <w:ind w:left="179"/>
            </w:pPr>
            <w:r>
              <w:rPr>
                <w:spacing w:val="-4"/>
              </w:rPr>
              <w:t>35</w:t>
            </w:r>
          </w:p>
        </w:tc>
        <w:tc>
          <w:tcPr>
            <w:tcW w:w="2585" w:type="dxa"/>
            <w:vAlign w:val="top"/>
          </w:tcPr>
          <w:p w14:paraId="5318E5B8">
            <w:pPr>
              <w:pStyle w:val="6"/>
              <w:spacing w:before="57" w:line="188" w:lineRule="auto"/>
              <w:ind w:left="995"/>
            </w:pPr>
            <w:r>
              <w:rPr>
                <w:spacing w:val="-1"/>
              </w:rPr>
              <w:t>K0+692</w:t>
            </w:r>
          </w:p>
        </w:tc>
        <w:tc>
          <w:tcPr>
            <w:tcW w:w="1090" w:type="dxa"/>
            <w:vAlign w:val="top"/>
          </w:tcPr>
          <w:p w14:paraId="0EB3B320">
            <w:pPr>
              <w:spacing w:before="37" w:line="195" w:lineRule="auto"/>
              <w:ind w:left="284"/>
              <w:rPr>
                <w:rFonts w:ascii="仿宋" w:hAnsi="仿宋" w:eastAsia="仿宋" w:cs="仿宋"/>
                <w:sz w:val="18"/>
                <w:szCs w:val="18"/>
              </w:rPr>
            </w:pPr>
            <w:r>
              <w:rPr>
                <w:rFonts w:ascii="仿宋" w:hAnsi="仿宋" w:eastAsia="仿宋" w:cs="仿宋"/>
                <w:spacing w:val="-4"/>
                <w:sz w:val="18"/>
                <w:szCs w:val="18"/>
              </w:rPr>
              <w:t>排水沟</w:t>
            </w:r>
          </w:p>
        </w:tc>
        <w:tc>
          <w:tcPr>
            <w:tcW w:w="3427" w:type="dxa"/>
            <w:tcBorders>
              <w:right w:val="single" w:color="000000" w:sz="6" w:space="0"/>
            </w:tcBorders>
            <w:vAlign w:val="top"/>
          </w:tcPr>
          <w:p w14:paraId="14FECBAF">
            <w:pPr>
              <w:pStyle w:val="6"/>
              <w:spacing w:before="37" w:line="195" w:lineRule="auto"/>
              <w:ind w:left="509"/>
            </w:pPr>
            <w:r>
              <w:rPr>
                <w:rFonts w:ascii="仿宋" w:hAnsi="仿宋" w:eastAsia="仿宋" w:cs="仿宋"/>
                <w:spacing w:val="-2"/>
              </w:rPr>
              <w:t xml:space="preserve">矩形排水沟，宽 </w:t>
            </w:r>
            <w:r>
              <w:rPr>
                <w:spacing w:val="-2"/>
              </w:rPr>
              <w:t>90cm</w:t>
            </w:r>
            <w:r>
              <w:rPr>
                <w:spacing w:val="15"/>
              </w:rPr>
              <w:t xml:space="preserve"> </w:t>
            </w:r>
            <w:r>
              <w:rPr>
                <w:rFonts w:ascii="仿宋" w:hAnsi="仿宋" w:eastAsia="仿宋" w:cs="仿宋"/>
                <w:spacing w:val="-2"/>
              </w:rPr>
              <w:t>深</w:t>
            </w:r>
            <w:r>
              <w:rPr>
                <w:rFonts w:ascii="仿宋" w:hAnsi="仿宋" w:eastAsia="仿宋" w:cs="仿宋"/>
                <w:spacing w:val="-41"/>
              </w:rPr>
              <w:t xml:space="preserve"> </w:t>
            </w:r>
            <w:r>
              <w:rPr>
                <w:spacing w:val="-2"/>
              </w:rPr>
              <w:t>28cm</w:t>
            </w:r>
          </w:p>
        </w:tc>
      </w:tr>
      <w:tr w14:paraId="265F78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220689D0">
            <w:pPr>
              <w:rPr>
                <w:rFonts w:ascii="Arial"/>
                <w:sz w:val="21"/>
              </w:rPr>
            </w:pPr>
          </w:p>
        </w:tc>
        <w:tc>
          <w:tcPr>
            <w:tcW w:w="7640" w:type="dxa"/>
            <w:gridSpan w:val="4"/>
            <w:tcBorders>
              <w:right w:val="single" w:color="000000" w:sz="6" w:space="0"/>
            </w:tcBorders>
            <w:vAlign w:val="top"/>
          </w:tcPr>
          <w:p w14:paraId="39C2AE2C">
            <w:pPr>
              <w:spacing w:before="39" w:line="193" w:lineRule="auto"/>
              <w:ind w:left="3549"/>
              <w:rPr>
                <w:rFonts w:ascii="仿宋" w:hAnsi="仿宋" w:eastAsia="仿宋" w:cs="仿宋"/>
                <w:sz w:val="18"/>
                <w:szCs w:val="18"/>
              </w:rPr>
            </w:pPr>
            <w:r>
              <w:rPr>
                <w:rFonts w:ascii="仿宋" w:hAnsi="仿宋" w:eastAsia="仿宋" w:cs="仿宋"/>
                <w:spacing w:val="-4"/>
                <w:sz w:val="18"/>
                <w:szCs w:val="18"/>
              </w:rPr>
              <w:t>路段四</w:t>
            </w:r>
          </w:p>
        </w:tc>
      </w:tr>
      <w:tr w14:paraId="3EDB74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59FEDC20">
            <w:pPr>
              <w:rPr>
                <w:rFonts w:ascii="Arial"/>
                <w:sz w:val="21"/>
              </w:rPr>
            </w:pPr>
          </w:p>
        </w:tc>
        <w:tc>
          <w:tcPr>
            <w:tcW w:w="538" w:type="dxa"/>
            <w:vAlign w:val="top"/>
          </w:tcPr>
          <w:p w14:paraId="304527F0">
            <w:pPr>
              <w:pStyle w:val="6"/>
              <w:spacing w:before="58" w:line="188" w:lineRule="auto"/>
              <w:ind w:left="179"/>
            </w:pPr>
            <w:r>
              <w:rPr>
                <w:spacing w:val="-4"/>
              </w:rPr>
              <w:t>36</w:t>
            </w:r>
          </w:p>
        </w:tc>
        <w:tc>
          <w:tcPr>
            <w:tcW w:w="2585" w:type="dxa"/>
            <w:vAlign w:val="top"/>
          </w:tcPr>
          <w:p w14:paraId="69A222E3">
            <w:pPr>
              <w:pStyle w:val="6"/>
              <w:spacing w:before="39" w:line="193" w:lineRule="auto"/>
              <w:ind w:left="608"/>
            </w:pPr>
            <w:r>
              <w:rPr>
                <w:spacing w:val="-1"/>
              </w:rPr>
              <w:t>K0+127</w:t>
            </w:r>
            <w:r>
              <w:rPr>
                <w:rFonts w:ascii="仿宋" w:hAnsi="仿宋" w:eastAsia="仿宋" w:cs="仿宋"/>
                <w:spacing w:val="-1"/>
              </w:rPr>
              <w:t>～</w:t>
            </w:r>
            <w:r>
              <w:rPr>
                <w:spacing w:val="-1"/>
              </w:rPr>
              <w:t>K0+196</w:t>
            </w:r>
          </w:p>
        </w:tc>
        <w:tc>
          <w:tcPr>
            <w:tcW w:w="1090" w:type="dxa"/>
            <w:vAlign w:val="top"/>
          </w:tcPr>
          <w:p w14:paraId="22CB571D">
            <w:pPr>
              <w:spacing w:before="39" w:line="193" w:lineRule="auto"/>
              <w:ind w:left="378"/>
              <w:rPr>
                <w:rFonts w:ascii="仿宋" w:hAnsi="仿宋" w:eastAsia="仿宋" w:cs="仿宋"/>
                <w:sz w:val="18"/>
                <w:szCs w:val="18"/>
              </w:rPr>
            </w:pPr>
            <w:r>
              <w:rPr>
                <w:rFonts w:ascii="仿宋" w:hAnsi="仿宋" w:eastAsia="仿宋" w:cs="仿宋"/>
                <w:spacing w:val="-8"/>
                <w:sz w:val="18"/>
                <w:szCs w:val="18"/>
              </w:rPr>
              <w:t>边沟</w:t>
            </w:r>
          </w:p>
        </w:tc>
        <w:tc>
          <w:tcPr>
            <w:tcW w:w="3427" w:type="dxa"/>
            <w:tcBorders>
              <w:right w:val="single" w:color="000000" w:sz="6" w:space="0"/>
            </w:tcBorders>
            <w:vAlign w:val="top"/>
          </w:tcPr>
          <w:p w14:paraId="10E7C6A8">
            <w:pPr>
              <w:pStyle w:val="6"/>
              <w:spacing w:before="39" w:line="193" w:lineRule="auto"/>
              <w:ind w:left="442"/>
            </w:pPr>
            <w:r>
              <w:rPr>
                <w:rFonts w:ascii="仿宋" w:hAnsi="仿宋" w:eastAsia="仿宋" w:cs="仿宋"/>
                <w:spacing w:val="-4"/>
              </w:rPr>
              <w:t>倒</w:t>
            </w:r>
            <w:r>
              <w:rPr>
                <w:rFonts w:ascii="仿宋" w:hAnsi="仿宋" w:eastAsia="仿宋" w:cs="仿宋"/>
                <w:spacing w:val="-35"/>
              </w:rPr>
              <w:t xml:space="preserve"> </w:t>
            </w:r>
            <w:r>
              <w:rPr>
                <w:spacing w:val="-4"/>
              </w:rPr>
              <w:t>7</w:t>
            </w:r>
            <w:r>
              <w:rPr>
                <w:spacing w:val="19"/>
              </w:rPr>
              <w:t xml:space="preserve"> </w:t>
            </w:r>
            <w:r>
              <w:rPr>
                <w:rFonts w:ascii="仿宋" w:hAnsi="仿宋" w:eastAsia="仿宋" w:cs="仿宋"/>
                <w:spacing w:val="-4"/>
              </w:rPr>
              <w:t>字形边沟，宽</w:t>
            </w:r>
            <w:r>
              <w:rPr>
                <w:rFonts w:ascii="仿宋" w:hAnsi="仿宋" w:eastAsia="仿宋" w:cs="仿宋"/>
                <w:spacing w:val="-38"/>
              </w:rPr>
              <w:t xml:space="preserve"> </w:t>
            </w:r>
            <w:r>
              <w:rPr>
                <w:spacing w:val="-4"/>
              </w:rPr>
              <w:t>90cm</w:t>
            </w:r>
            <w:r>
              <w:rPr>
                <w:spacing w:val="14"/>
              </w:rPr>
              <w:t xml:space="preserve"> </w:t>
            </w:r>
            <w:r>
              <w:rPr>
                <w:rFonts w:ascii="仿宋" w:hAnsi="仿宋" w:eastAsia="仿宋" w:cs="仿宋"/>
                <w:spacing w:val="-4"/>
              </w:rPr>
              <w:t>深</w:t>
            </w:r>
            <w:r>
              <w:rPr>
                <w:rFonts w:ascii="仿宋" w:hAnsi="仿宋" w:eastAsia="仿宋" w:cs="仿宋"/>
                <w:spacing w:val="-43"/>
              </w:rPr>
              <w:t xml:space="preserve"> </w:t>
            </w:r>
            <w:r>
              <w:rPr>
                <w:spacing w:val="-4"/>
              </w:rPr>
              <w:t>28cm</w:t>
            </w:r>
          </w:p>
        </w:tc>
      </w:tr>
      <w:tr w14:paraId="452596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0A071288">
            <w:pPr>
              <w:rPr>
                <w:rFonts w:ascii="Arial"/>
                <w:sz w:val="21"/>
              </w:rPr>
            </w:pPr>
          </w:p>
        </w:tc>
        <w:tc>
          <w:tcPr>
            <w:tcW w:w="538" w:type="dxa"/>
            <w:vAlign w:val="top"/>
          </w:tcPr>
          <w:p w14:paraId="4B42EDA7">
            <w:pPr>
              <w:pStyle w:val="6"/>
              <w:spacing w:before="58" w:line="188" w:lineRule="auto"/>
              <w:ind w:left="179"/>
            </w:pPr>
            <w:r>
              <w:rPr>
                <w:spacing w:val="-4"/>
              </w:rPr>
              <w:t>37</w:t>
            </w:r>
          </w:p>
        </w:tc>
        <w:tc>
          <w:tcPr>
            <w:tcW w:w="2585" w:type="dxa"/>
            <w:vAlign w:val="top"/>
          </w:tcPr>
          <w:p w14:paraId="23384D1F">
            <w:pPr>
              <w:pStyle w:val="6"/>
              <w:spacing w:before="58" w:line="188" w:lineRule="auto"/>
              <w:ind w:left="995"/>
            </w:pPr>
            <w:r>
              <w:rPr>
                <w:spacing w:val="-1"/>
              </w:rPr>
              <w:t>K0+127</w:t>
            </w:r>
          </w:p>
        </w:tc>
        <w:tc>
          <w:tcPr>
            <w:tcW w:w="1090" w:type="dxa"/>
            <w:vAlign w:val="top"/>
          </w:tcPr>
          <w:p w14:paraId="142B8052">
            <w:pPr>
              <w:spacing w:before="40" w:line="192" w:lineRule="auto"/>
              <w:ind w:left="284"/>
              <w:rPr>
                <w:rFonts w:ascii="仿宋" w:hAnsi="仿宋" w:eastAsia="仿宋" w:cs="仿宋"/>
                <w:sz w:val="18"/>
                <w:szCs w:val="18"/>
              </w:rPr>
            </w:pPr>
            <w:r>
              <w:rPr>
                <w:rFonts w:ascii="仿宋" w:hAnsi="仿宋" w:eastAsia="仿宋" w:cs="仿宋"/>
                <w:spacing w:val="-4"/>
                <w:sz w:val="18"/>
                <w:szCs w:val="18"/>
              </w:rPr>
              <w:t>排水沟</w:t>
            </w:r>
          </w:p>
        </w:tc>
        <w:tc>
          <w:tcPr>
            <w:tcW w:w="3427" w:type="dxa"/>
            <w:tcBorders>
              <w:right w:val="single" w:color="000000" w:sz="6" w:space="0"/>
            </w:tcBorders>
            <w:vAlign w:val="top"/>
          </w:tcPr>
          <w:p w14:paraId="645641FE">
            <w:pPr>
              <w:pStyle w:val="6"/>
              <w:spacing w:before="40" w:line="192" w:lineRule="auto"/>
              <w:ind w:left="530"/>
            </w:pPr>
            <w:r>
              <w:rPr>
                <w:rFonts w:ascii="仿宋" w:hAnsi="仿宋" w:eastAsia="仿宋" w:cs="仿宋"/>
                <w:spacing w:val="-3"/>
              </w:rPr>
              <w:t>矩形排水沟，宽</w:t>
            </w:r>
            <w:r>
              <w:rPr>
                <w:rFonts w:ascii="仿宋" w:hAnsi="仿宋" w:eastAsia="仿宋" w:cs="仿宋"/>
                <w:spacing w:val="-28"/>
              </w:rPr>
              <w:t xml:space="preserve"> </w:t>
            </w:r>
            <w:r>
              <w:rPr>
                <w:spacing w:val="-3"/>
              </w:rPr>
              <w:t>90cm</w:t>
            </w:r>
            <w:r>
              <w:rPr>
                <w:spacing w:val="13"/>
                <w:w w:val="101"/>
              </w:rPr>
              <w:t xml:space="preserve"> </w:t>
            </w:r>
            <w:r>
              <w:rPr>
                <w:rFonts w:ascii="仿宋" w:hAnsi="仿宋" w:eastAsia="仿宋" w:cs="仿宋"/>
                <w:spacing w:val="-3"/>
              </w:rPr>
              <w:t>深</w:t>
            </w:r>
            <w:r>
              <w:rPr>
                <w:rFonts w:ascii="仿宋" w:hAnsi="仿宋" w:eastAsia="仿宋" w:cs="仿宋"/>
                <w:spacing w:val="-41"/>
              </w:rPr>
              <w:t xml:space="preserve"> </w:t>
            </w:r>
            <w:r>
              <w:rPr>
                <w:spacing w:val="-3"/>
              </w:rPr>
              <w:t>28cm</w:t>
            </w:r>
          </w:p>
        </w:tc>
      </w:tr>
      <w:tr w14:paraId="1237FA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44C3CB60">
            <w:pPr>
              <w:rPr>
                <w:rFonts w:ascii="Arial"/>
                <w:sz w:val="21"/>
              </w:rPr>
            </w:pPr>
          </w:p>
        </w:tc>
        <w:tc>
          <w:tcPr>
            <w:tcW w:w="538" w:type="dxa"/>
            <w:vAlign w:val="top"/>
          </w:tcPr>
          <w:p w14:paraId="0BEB4386">
            <w:pPr>
              <w:pStyle w:val="6"/>
              <w:spacing w:before="57" w:line="188" w:lineRule="auto"/>
              <w:ind w:left="179"/>
            </w:pPr>
            <w:r>
              <w:rPr>
                <w:spacing w:val="-4"/>
              </w:rPr>
              <w:t>38</w:t>
            </w:r>
          </w:p>
        </w:tc>
        <w:tc>
          <w:tcPr>
            <w:tcW w:w="2585" w:type="dxa"/>
            <w:vAlign w:val="top"/>
          </w:tcPr>
          <w:p w14:paraId="3FFC48DC">
            <w:pPr>
              <w:pStyle w:val="6"/>
              <w:spacing w:before="40" w:line="192" w:lineRule="auto"/>
              <w:ind w:left="608"/>
            </w:pPr>
            <w:r>
              <w:rPr>
                <w:spacing w:val="-1"/>
              </w:rPr>
              <w:t>K0+196</w:t>
            </w:r>
            <w:r>
              <w:rPr>
                <w:rFonts w:ascii="仿宋" w:hAnsi="仿宋" w:eastAsia="仿宋" w:cs="仿宋"/>
                <w:spacing w:val="-1"/>
              </w:rPr>
              <w:t>～</w:t>
            </w:r>
            <w:r>
              <w:rPr>
                <w:spacing w:val="-1"/>
              </w:rPr>
              <w:t>K0+354</w:t>
            </w:r>
          </w:p>
        </w:tc>
        <w:tc>
          <w:tcPr>
            <w:tcW w:w="1090" w:type="dxa"/>
            <w:vAlign w:val="top"/>
          </w:tcPr>
          <w:p w14:paraId="4AAD59E7">
            <w:pPr>
              <w:spacing w:before="40" w:line="192" w:lineRule="auto"/>
              <w:ind w:left="378"/>
              <w:rPr>
                <w:rFonts w:ascii="仿宋" w:hAnsi="仿宋" w:eastAsia="仿宋" w:cs="仿宋"/>
                <w:sz w:val="18"/>
                <w:szCs w:val="18"/>
              </w:rPr>
            </w:pPr>
            <w:r>
              <w:rPr>
                <w:rFonts w:ascii="仿宋" w:hAnsi="仿宋" w:eastAsia="仿宋" w:cs="仿宋"/>
                <w:spacing w:val="-8"/>
                <w:sz w:val="18"/>
                <w:szCs w:val="18"/>
              </w:rPr>
              <w:t>边沟</w:t>
            </w:r>
          </w:p>
        </w:tc>
        <w:tc>
          <w:tcPr>
            <w:tcW w:w="3427" w:type="dxa"/>
            <w:tcBorders>
              <w:right w:val="single" w:color="000000" w:sz="6" w:space="0"/>
            </w:tcBorders>
            <w:vAlign w:val="top"/>
          </w:tcPr>
          <w:p w14:paraId="2F76879A">
            <w:pPr>
              <w:pStyle w:val="6"/>
              <w:spacing w:before="40" w:line="192" w:lineRule="auto"/>
              <w:ind w:left="442"/>
            </w:pPr>
            <w:r>
              <w:rPr>
                <w:rFonts w:ascii="仿宋" w:hAnsi="仿宋" w:eastAsia="仿宋" w:cs="仿宋"/>
                <w:spacing w:val="-4"/>
              </w:rPr>
              <w:t>倒</w:t>
            </w:r>
            <w:r>
              <w:rPr>
                <w:rFonts w:ascii="仿宋" w:hAnsi="仿宋" w:eastAsia="仿宋" w:cs="仿宋"/>
                <w:spacing w:val="-35"/>
              </w:rPr>
              <w:t xml:space="preserve"> </w:t>
            </w:r>
            <w:r>
              <w:rPr>
                <w:spacing w:val="-4"/>
              </w:rPr>
              <w:t>7</w:t>
            </w:r>
            <w:r>
              <w:rPr>
                <w:spacing w:val="19"/>
              </w:rPr>
              <w:t xml:space="preserve"> </w:t>
            </w:r>
            <w:r>
              <w:rPr>
                <w:rFonts w:ascii="仿宋" w:hAnsi="仿宋" w:eastAsia="仿宋" w:cs="仿宋"/>
                <w:spacing w:val="-4"/>
              </w:rPr>
              <w:t>字形边沟，宽</w:t>
            </w:r>
            <w:r>
              <w:rPr>
                <w:rFonts w:ascii="仿宋" w:hAnsi="仿宋" w:eastAsia="仿宋" w:cs="仿宋"/>
                <w:spacing w:val="-38"/>
              </w:rPr>
              <w:t xml:space="preserve"> </w:t>
            </w:r>
            <w:r>
              <w:rPr>
                <w:spacing w:val="-4"/>
              </w:rPr>
              <w:t>90cm</w:t>
            </w:r>
            <w:r>
              <w:rPr>
                <w:spacing w:val="14"/>
              </w:rPr>
              <w:t xml:space="preserve"> </w:t>
            </w:r>
            <w:r>
              <w:rPr>
                <w:rFonts w:ascii="仿宋" w:hAnsi="仿宋" w:eastAsia="仿宋" w:cs="仿宋"/>
                <w:spacing w:val="-4"/>
              </w:rPr>
              <w:t>深</w:t>
            </w:r>
            <w:r>
              <w:rPr>
                <w:rFonts w:ascii="仿宋" w:hAnsi="仿宋" w:eastAsia="仿宋" w:cs="仿宋"/>
                <w:spacing w:val="-43"/>
              </w:rPr>
              <w:t xml:space="preserve"> </w:t>
            </w:r>
            <w:r>
              <w:rPr>
                <w:spacing w:val="-4"/>
              </w:rPr>
              <w:t>28cm</w:t>
            </w:r>
          </w:p>
        </w:tc>
      </w:tr>
      <w:tr w14:paraId="194EA9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7D69591F">
            <w:pPr>
              <w:rPr>
                <w:rFonts w:ascii="Arial"/>
                <w:sz w:val="21"/>
              </w:rPr>
            </w:pPr>
          </w:p>
        </w:tc>
        <w:tc>
          <w:tcPr>
            <w:tcW w:w="538" w:type="dxa"/>
            <w:vAlign w:val="top"/>
          </w:tcPr>
          <w:p w14:paraId="69CD4642">
            <w:pPr>
              <w:pStyle w:val="6"/>
              <w:spacing w:before="59" w:line="188" w:lineRule="auto"/>
              <w:ind w:left="179"/>
            </w:pPr>
            <w:r>
              <w:rPr>
                <w:spacing w:val="-4"/>
              </w:rPr>
              <w:t>39</w:t>
            </w:r>
          </w:p>
        </w:tc>
        <w:tc>
          <w:tcPr>
            <w:tcW w:w="2585" w:type="dxa"/>
            <w:vAlign w:val="top"/>
          </w:tcPr>
          <w:p w14:paraId="7BDB3F3D">
            <w:pPr>
              <w:pStyle w:val="6"/>
              <w:spacing w:before="59" w:line="188" w:lineRule="auto"/>
              <w:ind w:left="995"/>
            </w:pPr>
            <w:r>
              <w:rPr>
                <w:spacing w:val="-1"/>
              </w:rPr>
              <w:t>K0+196</w:t>
            </w:r>
          </w:p>
        </w:tc>
        <w:tc>
          <w:tcPr>
            <w:tcW w:w="1090" w:type="dxa"/>
            <w:vAlign w:val="top"/>
          </w:tcPr>
          <w:p w14:paraId="779B06F3">
            <w:pPr>
              <w:spacing w:before="42" w:line="190" w:lineRule="auto"/>
              <w:ind w:left="284"/>
              <w:rPr>
                <w:rFonts w:ascii="仿宋" w:hAnsi="仿宋" w:eastAsia="仿宋" w:cs="仿宋"/>
                <w:sz w:val="18"/>
                <w:szCs w:val="18"/>
              </w:rPr>
            </w:pPr>
            <w:r>
              <w:rPr>
                <w:rFonts w:ascii="仿宋" w:hAnsi="仿宋" w:eastAsia="仿宋" w:cs="仿宋"/>
                <w:spacing w:val="-4"/>
                <w:sz w:val="18"/>
                <w:szCs w:val="18"/>
              </w:rPr>
              <w:t>排水沟</w:t>
            </w:r>
          </w:p>
        </w:tc>
        <w:tc>
          <w:tcPr>
            <w:tcW w:w="3427" w:type="dxa"/>
            <w:tcBorders>
              <w:right w:val="single" w:color="000000" w:sz="6" w:space="0"/>
            </w:tcBorders>
            <w:vAlign w:val="top"/>
          </w:tcPr>
          <w:p w14:paraId="3C92FD0F">
            <w:pPr>
              <w:pStyle w:val="6"/>
              <w:spacing w:before="42" w:line="190" w:lineRule="auto"/>
              <w:ind w:left="530"/>
            </w:pPr>
            <w:r>
              <w:rPr>
                <w:rFonts w:ascii="仿宋" w:hAnsi="仿宋" w:eastAsia="仿宋" w:cs="仿宋"/>
                <w:spacing w:val="-3"/>
              </w:rPr>
              <w:t>矩形排水沟，宽</w:t>
            </w:r>
            <w:r>
              <w:rPr>
                <w:rFonts w:ascii="仿宋" w:hAnsi="仿宋" w:eastAsia="仿宋" w:cs="仿宋"/>
                <w:spacing w:val="-28"/>
              </w:rPr>
              <w:t xml:space="preserve"> </w:t>
            </w:r>
            <w:r>
              <w:rPr>
                <w:spacing w:val="-3"/>
              </w:rPr>
              <w:t>90cm</w:t>
            </w:r>
            <w:r>
              <w:rPr>
                <w:spacing w:val="13"/>
                <w:w w:val="101"/>
              </w:rPr>
              <w:t xml:space="preserve"> </w:t>
            </w:r>
            <w:r>
              <w:rPr>
                <w:rFonts w:ascii="仿宋" w:hAnsi="仿宋" w:eastAsia="仿宋" w:cs="仿宋"/>
                <w:spacing w:val="-3"/>
              </w:rPr>
              <w:t>深</w:t>
            </w:r>
            <w:r>
              <w:rPr>
                <w:rFonts w:ascii="仿宋" w:hAnsi="仿宋" w:eastAsia="仿宋" w:cs="仿宋"/>
                <w:spacing w:val="-41"/>
              </w:rPr>
              <w:t xml:space="preserve"> </w:t>
            </w:r>
            <w:r>
              <w:rPr>
                <w:spacing w:val="-3"/>
              </w:rPr>
              <w:t>28cm</w:t>
            </w:r>
          </w:p>
        </w:tc>
      </w:tr>
      <w:tr w14:paraId="3B7E2D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3CD1B388">
            <w:pPr>
              <w:rPr>
                <w:rFonts w:ascii="Arial"/>
                <w:sz w:val="21"/>
              </w:rPr>
            </w:pPr>
          </w:p>
        </w:tc>
        <w:tc>
          <w:tcPr>
            <w:tcW w:w="538" w:type="dxa"/>
            <w:vAlign w:val="top"/>
          </w:tcPr>
          <w:p w14:paraId="3581D917">
            <w:pPr>
              <w:pStyle w:val="6"/>
              <w:spacing w:before="58" w:line="188" w:lineRule="auto"/>
              <w:ind w:left="174"/>
            </w:pPr>
            <w:r>
              <w:rPr>
                <w:spacing w:val="-1"/>
              </w:rPr>
              <w:t>40</w:t>
            </w:r>
          </w:p>
        </w:tc>
        <w:tc>
          <w:tcPr>
            <w:tcW w:w="2585" w:type="dxa"/>
            <w:vAlign w:val="top"/>
          </w:tcPr>
          <w:p w14:paraId="676475C9">
            <w:pPr>
              <w:pStyle w:val="6"/>
              <w:spacing w:before="58" w:line="188" w:lineRule="auto"/>
              <w:ind w:left="995"/>
            </w:pPr>
            <w:r>
              <w:rPr>
                <w:spacing w:val="-1"/>
              </w:rPr>
              <w:t>K0+354</w:t>
            </w:r>
          </w:p>
        </w:tc>
        <w:tc>
          <w:tcPr>
            <w:tcW w:w="1090" w:type="dxa"/>
            <w:vAlign w:val="top"/>
          </w:tcPr>
          <w:p w14:paraId="3E4E3BA1">
            <w:pPr>
              <w:spacing w:before="41" w:line="192" w:lineRule="auto"/>
              <w:ind w:left="284"/>
              <w:rPr>
                <w:rFonts w:ascii="仿宋" w:hAnsi="仿宋" w:eastAsia="仿宋" w:cs="仿宋"/>
                <w:sz w:val="18"/>
                <w:szCs w:val="18"/>
              </w:rPr>
            </w:pPr>
            <w:r>
              <w:rPr>
                <w:rFonts w:ascii="仿宋" w:hAnsi="仿宋" w:eastAsia="仿宋" w:cs="仿宋"/>
                <w:spacing w:val="-4"/>
                <w:sz w:val="18"/>
                <w:szCs w:val="18"/>
              </w:rPr>
              <w:t>排水沟</w:t>
            </w:r>
          </w:p>
        </w:tc>
        <w:tc>
          <w:tcPr>
            <w:tcW w:w="3427" w:type="dxa"/>
            <w:tcBorders>
              <w:right w:val="single" w:color="000000" w:sz="6" w:space="0"/>
            </w:tcBorders>
            <w:vAlign w:val="top"/>
          </w:tcPr>
          <w:p w14:paraId="75C1D501">
            <w:pPr>
              <w:pStyle w:val="6"/>
              <w:spacing w:before="41" w:line="192" w:lineRule="auto"/>
              <w:ind w:left="530"/>
            </w:pPr>
            <w:r>
              <w:rPr>
                <w:rFonts w:ascii="仿宋" w:hAnsi="仿宋" w:eastAsia="仿宋" w:cs="仿宋"/>
                <w:spacing w:val="-3"/>
              </w:rPr>
              <w:t>矩形排水沟，宽</w:t>
            </w:r>
            <w:r>
              <w:rPr>
                <w:rFonts w:ascii="仿宋" w:hAnsi="仿宋" w:eastAsia="仿宋" w:cs="仿宋"/>
                <w:spacing w:val="-28"/>
              </w:rPr>
              <w:t xml:space="preserve"> </w:t>
            </w:r>
            <w:r>
              <w:rPr>
                <w:spacing w:val="-3"/>
              </w:rPr>
              <w:t>90cm</w:t>
            </w:r>
            <w:r>
              <w:rPr>
                <w:spacing w:val="13"/>
                <w:w w:val="101"/>
              </w:rPr>
              <w:t xml:space="preserve"> </w:t>
            </w:r>
            <w:r>
              <w:rPr>
                <w:rFonts w:ascii="仿宋" w:hAnsi="仿宋" w:eastAsia="仿宋" w:cs="仿宋"/>
                <w:spacing w:val="-3"/>
              </w:rPr>
              <w:t>深</w:t>
            </w:r>
            <w:r>
              <w:rPr>
                <w:rFonts w:ascii="仿宋" w:hAnsi="仿宋" w:eastAsia="仿宋" w:cs="仿宋"/>
                <w:spacing w:val="-41"/>
              </w:rPr>
              <w:t xml:space="preserve"> </w:t>
            </w:r>
            <w:r>
              <w:rPr>
                <w:spacing w:val="-3"/>
              </w:rPr>
              <w:t>28cm</w:t>
            </w:r>
          </w:p>
        </w:tc>
      </w:tr>
      <w:tr w14:paraId="6A42EA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0" w:hRule="atLeast"/>
        </w:trPr>
        <w:tc>
          <w:tcPr>
            <w:tcW w:w="737" w:type="dxa"/>
            <w:vMerge w:val="continue"/>
            <w:tcBorders>
              <w:top w:val="nil"/>
              <w:left w:val="single" w:color="000000" w:sz="6" w:space="0"/>
              <w:bottom w:val="single" w:color="000000" w:sz="6" w:space="0"/>
            </w:tcBorders>
            <w:vAlign w:val="top"/>
          </w:tcPr>
          <w:p w14:paraId="3B997D90">
            <w:pPr>
              <w:rPr>
                <w:rFonts w:ascii="Arial"/>
                <w:sz w:val="21"/>
              </w:rPr>
            </w:pPr>
          </w:p>
        </w:tc>
        <w:tc>
          <w:tcPr>
            <w:tcW w:w="7640" w:type="dxa"/>
            <w:gridSpan w:val="4"/>
            <w:tcBorders>
              <w:bottom w:val="single" w:color="000000" w:sz="6" w:space="0"/>
              <w:right w:val="single" w:color="000000" w:sz="6" w:space="0"/>
            </w:tcBorders>
            <w:vAlign w:val="top"/>
          </w:tcPr>
          <w:p w14:paraId="3FB04DF7">
            <w:pPr>
              <w:spacing w:before="40" w:line="205" w:lineRule="auto"/>
              <w:ind w:left="3549"/>
              <w:rPr>
                <w:rFonts w:ascii="仿宋" w:hAnsi="仿宋" w:eastAsia="仿宋" w:cs="仿宋"/>
                <w:sz w:val="18"/>
                <w:szCs w:val="18"/>
              </w:rPr>
            </w:pPr>
            <w:r>
              <w:rPr>
                <w:rFonts w:ascii="仿宋" w:hAnsi="仿宋" w:eastAsia="仿宋" w:cs="仿宋"/>
                <w:spacing w:val="-4"/>
                <w:sz w:val="18"/>
                <w:szCs w:val="18"/>
              </w:rPr>
              <w:t>路段六</w:t>
            </w:r>
          </w:p>
        </w:tc>
      </w:tr>
    </w:tbl>
    <w:p w14:paraId="4C1E6DA8">
      <w:pPr>
        <w:pStyle w:val="2"/>
        <w:rPr>
          <w:sz w:val="21"/>
        </w:rPr>
      </w:pPr>
    </w:p>
    <w:p w14:paraId="419F11FC">
      <w:pPr>
        <w:rPr>
          <w:sz w:val="21"/>
          <w:szCs w:val="21"/>
        </w:rPr>
        <w:sectPr>
          <w:footerReference r:id="rId29" w:type="default"/>
          <w:pgSz w:w="11907" w:h="16840"/>
          <w:pgMar w:top="400" w:right="1757" w:bottom="1446" w:left="1757" w:header="0" w:footer="1284" w:gutter="0"/>
          <w:cols w:space="720" w:num="1"/>
        </w:sectPr>
      </w:pPr>
    </w:p>
    <w:p w14:paraId="262E475F">
      <w:pPr>
        <w:spacing w:before="19"/>
      </w:pPr>
    </w:p>
    <w:p w14:paraId="16922D37">
      <w:pPr>
        <w:spacing w:before="19"/>
      </w:pPr>
    </w:p>
    <w:p w14:paraId="787ED8A0">
      <w:pPr>
        <w:spacing w:before="18"/>
      </w:pPr>
    </w:p>
    <w:p w14:paraId="638A60F7">
      <w:pPr>
        <w:spacing w:before="18"/>
      </w:pPr>
    </w:p>
    <w:tbl>
      <w:tblPr>
        <w:tblStyle w:val="5"/>
        <w:tblW w:w="8377"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7"/>
        <w:gridCol w:w="534"/>
        <w:gridCol w:w="1231"/>
        <w:gridCol w:w="829"/>
        <w:gridCol w:w="525"/>
        <w:gridCol w:w="1090"/>
        <w:gridCol w:w="630"/>
        <w:gridCol w:w="768"/>
        <w:gridCol w:w="769"/>
        <w:gridCol w:w="1264"/>
      </w:tblGrid>
      <w:tr w14:paraId="6EC498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2" w:hRule="atLeast"/>
        </w:trPr>
        <w:tc>
          <w:tcPr>
            <w:tcW w:w="737" w:type="dxa"/>
            <w:vMerge w:val="restart"/>
            <w:tcBorders>
              <w:top w:val="single" w:color="000000" w:sz="6" w:space="0"/>
              <w:left w:val="single" w:color="000000" w:sz="6" w:space="0"/>
              <w:bottom w:val="nil"/>
            </w:tcBorders>
            <w:vAlign w:val="top"/>
          </w:tcPr>
          <w:p w14:paraId="5922D078">
            <w:pPr>
              <w:rPr>
                <w:rFonts w:ascii="Arial"/>
                <w:sz w:val="21"/>
              </w:rPr>
            </w:pPr>
          </w:p>
        </w:tc>
        <w:tc>
          <w:tcPr>
            <w:tcW w:w="534" w:type="dxa"/>
            <w:tcBorders>
              <w:top w:val="single" w:color="000000" w:sz="6" w:space="0"/>
            </w:tcBorders>
            <w:vAlign w:val="top"/>
          </w:tcPr>
          <w:p w14:paraId="1B8415E7">
            <w:pPr>
              <w:pStyle w:val="6"/>
              <w:spacing w:before="69" w:line="188" w:lineRule="auto"/>
              <w:ind w:left="174"/>
            </w:pPr>
            <w:r>
              <w:rPr>
                <w:spacing w:val="-1"/>
              </w:rPr>
              <w:t>41</w:t>
            </w:r>
          </w:p>
        </w:tc>
        <w:tc>
          <w:tcPr>
            <w:tcW w:w="2585" w:type="dxa"/>
            <w:gridSpan w:val="3"/>
            <w:tcBorders>
              <w:top w:val="single" w:color="000000" w:sz="6" w:space="0"/>
            </w:tcBorders>
            <w:vAlign w:val="top"/>
          </w:tcPr>
          <w:p w14:paraId="651B926B">
            <w:pPr>
              <w:pStyle w:val="6"/>
              <w:spacing w:before="52" w:line="205" w:lineRule="auto"/>
              <w:ind w:left="612"/>
            </w:pPr>
            <w:r>
              <w:rPr>
                <w:spacing w:val="-1"/>
              </w:rPr>
              <w:t>K0+583</w:t>
            </w:r>
            <w:r>
              <w:rPr>
                <w:rFonts w:ascii="仿宋" w:hAnsi="仿宋" w:eastAsia="仿宋" w:cs="仿宋"/>
                <w:spacing w:val="-1"/>
              </w:rPr>
              <w:t>～</w:t>
            </w:r>
            <w:r>
              <w:rPr>
                <w:spacing w:val="-1"/>
              </w:rPr>
              <w:t>K0+647</w:t>
            </w:r>
          </w:p>
        </w:tc>
        <w:tc>
          <w:tcPr>
            <w:tcW w:w="1090" w:type="dxa"/>
            <w:tcBorders>
              <w:top w:val="single" w:color="000000" w:sz="6" w:space="0"/>
            </w:tcBorders>
            <w:vAlign w:val="top"/>
          </w:tcPr>
          <w:p w14:paraId="0904A0DC">
            <w:pPr>
              <w:spacing w:before="52" w:line="205" w:lineRule="auto"/>
              <w:ind w:left="382"/>
              <w:rPr>
                <w:rFonts w:ascii="仿宋" w:hAnsi="仿宋" w:eastAsia="仿宋" w:cs="仿宋"/>
                <w:sz w:val="18"/>
                <w:szCs w:val="18"/>
              </w:rPr>
            </w:pPr>
            <w:r>
              <w:rPr>
                <w:rFonts w:ascii="仿宋" w:hAnsi="仿宋" w:eastAsia="仿宋" w:cs="仿宋"/>
                <w:spacing w:val="-8"/>
                <w:sz w:val="18"/>
                <w:szCs w:val="18"/>
              </w:rPr>
              <w:t>边沟</w:t>
            </w:r>
          </w:p>
        </w:tc>
        <w:tc>
          <w:tcPr>
            <w:tcW w:w="3431" w:type="dxa"/>
            <w:gridSpan w:val="4"/>
            <w:tcBorders>
              <w:top w:val="single" w:color="000000" w:sz="6" w:space="0"/>
              <w:right w:val="single" w:color="000000" w:sz="6" w:space="0"/>
            </w:tcBorders>
            <w:vAlign w:val="top"/>
          </w:tcPr>
          <w:p w14:paraId="5ED13C90">
            <w:pPr>
              <w:pStyle w:val="6"/>
              <w:spacing w:before="52" w:line="205" w:lineRule="auto"/>
              <w:ind w:left="446"/>
            </w:pPr>
            <w:r>
              <w:rPr>
                <w:rFonts w:ascii="仿宋" w:hAnsi="仿宋" w:eastAsia="仿宋" w:cs="仿宋"/>
                <w:spacing w:val="-4"/>
              </w:rPr>
              <w:t>倒</w:t>
            </w:r>
            <w:r>
              <w:rPr>
                <w:rFonts w:ascii="仿宋" w:hAnsi="仿宋" w:eastAsia="仿宋" w:cs="仿宋"/>
                <w:spacing w:val="-35"/>
              </w:rPr>
              <w:t xml:space="preserve"> </w:t>
            </w:r>
            <w:r>
              <w:rPr>
                <w:spacing w:val="-4"/>
              </w:rPr>
              <w:t>7</w:t>
            </w:r>
            <w:r>
              <w:rPr>
                <w:spacing w:val="19"/>
              </w:rPr>
              <w:t xml:space="preserve"> </w:t>
            </w:r>
            <w:r>
              <w:rPr>
                <w:rFonts w:ascii="仿宋" w:hAnsi="仿宋" w:eastAsia="仿宋" w:cs="仿宋"/>
                <w:spacing w:val="-4"/>
              </w:rPr>
              <w:t>字形边沟，宽</w:t>
            </w:r>
            <w:r>
              <w:rPr>
                <w:rFonts w:ascii="仿宋" w:hAnsi="仿宋" w:eastAsia="仿宋" w:cs="仿宋"/>
                <w:spacing w:val="-38"/>
              </w:rPr>
              <w:t xml:space="preserve"> </w:t>
            </w:r>
            <w:r>
              <w:rPr>
                <w:spacing w:val="-4"/>
              </w:rPr>
              <w:t>90cm</w:t>
            </w:r>
            <w:r>
              <w:rPr>
                <w:spacing w:val="14"/>
              </w:rPr>
              <w:t xml:space="preserve"> </w:t>
            </w:r>
            <w:r>
              <w:rPr>
                <w:rFonts w:ascii="仿宋" w:hAnsi="仿宋" w:eastAsia="仿宋" w:cs="仿宋"/>
                <w:spacing w:val="-4"/>
              </w:rPr>
              <w:t>深</w:t>
            </w:r>
            <w:r>
              <w:rPr>
                <w:rFonts w:ascii="仿宋" w:hAnsi="仿宋" w:eastAsia="仿宋" w:cs="仿宋"/>
                <w:spacing w:val="-43"/>
              </w:rPr>
              <w:t xml:space="preserve"> </w:t>
            </w:r>
            <w:r>
              <w:rPr>
                <w:spacing w:val="-4"/>
              </w:rPr>
              <w:t>28cm</w:t>
            </w:r>
          </w:p>
        </w:tc>
      </w:tr>
      <w:tr w14:paraId="06ED84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026BAF26">
            <w:pPr>
              <w:rPr>
                <w:rFonts w:ascii="Arial"/>
                <w:sz w:val="21"/>
              </w:rPr>
            </w:pPr>
          </w:p>
        </w:tc>
        <w:tc>
          <w:tcPr>
            <w:tcW w:w="534" w:type="dxa"/>
            <w:vAlign w:val="top"/>
          </w:tcPr>
          <w:p w14:paraId="1B6027ED">
            <w:pPr>
              <w:pStyle w:val="6"/>
              <w:spacing w:before="44" w:line="188" w:lineRule="auto"/>
              <w:ind w:left="174"/>
            </w:pPr>
            <w:r>
              <w:rPr>
                <w:spacing w:val="-1"/>
              </w:rPr>
              <w:t>42</w:t>
            </w:r>
          </w:p>
        </w:tc>
        <w:tc>
          <w:tcPr>
            <w:tcW w:w="2585" w:type="dxa"/>
            <w:gridSpan w:val="3"/>
            <w:vAlign w:val="top"/>
          </w:tcPr>
          <w:p w14:paraId="65A78021">
            <w:pPr>
              <w:pStyle w:val="6"/>
              <w:spacing w:before="44" w:line="188" w:lineRule="auto"/>
              <w:ind w:left="999"/>
            </w:pPr>
            <w:r>
              <w:rPr>
                <w:spacing w:val="-1"/>
              </w:rPr>
              <w:t>K0+583</w:t>
            </w:r>
          </w:p>
        </w:tc>
        <w:tc>
          <w:tcPr>
            <w:tcW w:w="1090" w:type="dxa"/>
            <w:vAlign w:val="top"/>
          </w:tcPr>
          <w:p w14:paraId="7A06B114">
            <w:pPr>
              <w:spacing w:before="27" w:line="206" w:lineRule="auto"/>
              <w:ind w:left="288"/>
              <w:rPr>
                <w:rFonts w:ascii="仿宋" w:hAnsi="仿宋" w:eastAsia="仿宋" w:cs="仿宋"/>
                <w:sz w:val="18"/>
                <w:szCs w:val="18"/>
              </w:rPr>
            </w:pPr>
            <w:r>
              <w:rPr>
                <w:rFonts w:ascii="仿宋" w:hAnsi="仿宋" w:eastAsia="仿宋" w:cs="仿宋"/>
                <w:spacing w:val="-4"/>
                <w:sz w:val="18"/>
                <w:szCs w:val="18"/>
              </w:rPr>
              <w:t>排水沟</w:t>
            </w:r>
          </w:p>
        </w:tc>
        <w:tc>
          <w:tcPr>
            <w:tcW w:w="3431" w:type="dxa"/>
            <w:gridSpan w:val="4"/>
            <w:tcBorders>
              <w:right w:val="single" w:color="000000" w:sz="6" w:space="0"/>
            </w:tcBorders>
            <w:vAlign w:val="top"/>
          </w:tcPr>
          <w:p w14:paraId="0505A3A1">
            <w:pPr>
              <w:pStyle w:val="6"/>
              <w:spacing w:before="27" w:line="206" w:lineRule="auto"/>
              <w:ind w:left="534"/>
            </w:pPr>
            <w:r>
              <w:rPr>
                <w:rFonts w:ascii="仿宋" w:hAnsi="仿宋" w:eastAsia="仿宋" w:cs="仿宋"/>
                <w:spacing w:val="-3"/>
              </w:rPr>
              <w:t>矩形排水沟，宽</w:t>
            </w:r>
            <w:r>
              <w:rPr>
                <w:rFonts w:ascii="仿宋" w:hAnsi="仿宋" w:eastAsia="仿宋" w:cs="仿宋"/>
                <w:spacing w:val="-28"/>
              </w:rPr>
              <w:t xml:space="preserve"> </w:t>
            </w:r>
            <w:r>
              <w:rPr>
                <w:spacing w:val="-3"/>
              </w:rPr>
              <w:t>90cm</w:t>
            </w:r>
            <w:r>
              <w:rPr>
                <w:spacing w:val="13"/>
                <w:w w:val="101"/>
              </w:rPr>
              <w:t xml:space="preserve"> </w:t>
            </w:r>
            <w:r>
              <w:rPr>
                <w:rFonts w:ascii="仿宋" w:hAnsi="仿宋" w:eastAsia="仿宋" w:cs="仿宋"/>
                <w:spacing w:val="-3"/>
              </w:rPr>
              <w:t>深</w:t>
            </w:r>
            <w:r>
              <w:rPr>
                <w:rFonts w:ascii="仿宋" w:hAnsi="仿宋" w:eastAsia="仿宋" w:cs="仿宋"/>
                <w:spacing w:val="-41"/>
              </w:rPr>
              <w:t xml:space="preserve"> </w:t>
            </w:r>
            <w:r>
              <w:rPr>
                <w:spacing w:val="-3"/>
              </w:rPr>
              <w:t>28cm</w:t>
            </w:r>
          </w:p>
        </w:tc>
      </w:tr>
      <w:tr w14:paraId="045424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7AAEC1BF">
            <w:pPr>
              <w:rPr>
                <w:rFonts w:ascii="Arial"/>
                <w:sz w:val="21"/>
              </w:rPr>
            </w:pPr>
          </w:p>
        </w:tc>
        <w:tc>
          <w:tcPr>
            <w:tcW w:w="534" w:type="dxa"/>
            <w:vAlign w:val="top"/>
          </w:tcPr>
          <w:p w14:paraId="71766496">
            <w:pPr>
              <w:pStyle w:val="6"/>
              <w:spacing w:before="46" w:line="188" w:lineRule="auto"/>
              <w:ind w:left="174"/>
            </w:pPr>
            <w:r>
              <w:rPr>
                <w:spacing w:val="-1"/>
              </w:rPr>
              <w:t>43</w:t>
            </w:r>
          </w:p>
        </w:tc>
        <w:tc>
          <w:tcPr>
            <w:tcW w:w="2585" w:type="dxa"/>
            <w:gridSpan w:val="3"/>
            <w:vAlign w:val="top"/>
          </w:tcPr>
          <w:p w14:paraId="755C306D">
            <w:pPr>
              <w:pStyle w:val="6"/>
              <w:spacing w:before="29" w:line="204" w:lineRule="auto"/>
              <w:ind w:left="456"/>
            </w:pPr>
            <w:r>
              <w:rPr>
                <w:spacing w:val="-1"/>
              </w:rPr>
              <w:t>K0+736</w:t>
            </w:r>
            <w:r>
              <w:rPr>
                <w:rFonts w:ascii="仿宋" w:hAnsi="仿宋" w:eastAsia="仿宋" w:cs="仿宋"/>
                <w:spacing w:val="-1"/>
              </w:rPr>
              <w:t>～</w:t>
            </w:r>
            <w:r>
              <w:rPr>
                <w:spacing w:val="-1"/>
              </w:rPr>
              <w:t>K0+904.615</w:t>
            </w:r>
          </w:p>
        </w:tc>
        <w:tc>
          <w:tcPr>
            <w:tcW w:w="1090" w:type="dxa"/>
            <w:vAlign w:val="top"/>
          </w:tcPr>
          <w:p w14:paraId="278C74F7">
            <w:pPr>
              <w:spacing w:before="29" w:line="204" w:lineRule="auto"/>
              <w:ind w:left="382"/>
              <w:rPr>
                <w:rFonts w:ascii="仿宋" w:hAnsi="仿宋" w:eastAsia="仿宋" w:cs="仿宋"/>
                <w:sz w:val="18"/>
                <w:szCs w:val="18"/>
              </w:rPr>
            </w:pPr>
            <w:r>
              <w:rPr>
                <w:rFonts w:ascii="仿宋" w:hAnsi="仿宋" w:eastAsia="仿宋" w:cs="仿宋"/>
                <w:spacing w:val="-8"/>
                <w:sz w:val="18"/>
                <w:szCs w:val="18"/>
              </w:rPr>
              <w:t>边沟</w:t>
            </w:r>
          </w:p>
        </w:tc>
        <w:tc>
          <w:tcPr>
            <w:tcW w:w="3431" w:type="dxa"/>
            <w:gridSpan w:val="4"/>
            <w:tcBorders>
              <w:right w:val="single" w:color="000000" w:sz="6" w:space="0"/>
            </w:tcBorders>
            <w:vAlign w:val="top"/>
          </w:tcPr>
          <w:p w14:paraId="40BA5812">
            <w:pPr>
              <w:pStyle w:val="6"/>
              <w:spacing w:before="29" w:line="204" w:lineRule="auto"/>
              <w:ind w:left="446"/>
            </w:pPr>
            <w:r>
              <w:rPr>
                <w:rFonts w:ascii="仿宋" w:hAnsi="仿宋" w:eastAsia="仿宋" w:cs="仿宋"/>
                <w:spacing w:val="-4"/>
              </w:rPr>
              <w:t>倒</w:t>
            </w:r>
            <w:r>
              <w:rPr>
                <w:rFonts w:ascii="仿宋" w:hAnsi="仿宋" w:eastAsia="仿宋" w:cs="仿宋"/>
                <w:spacing w:val="-35"/>
              </w:rPr>
              <w:t xml:space="preserve"> </w:t>
            </w:r>
            <w:r>
              <w:rPr>
                <w:spacing w:val="-4"/>
              </w:rPr>
              <w:t>7</w:t>
            </w:r>
            <w:r>
              <w:rPr>
                <w:spacing w:val="19"/>
              </w:rPr>
              <w:t xml:space="preserve"> </w:t>
            </w:r>
            <w:r>
              <w:rPr>
                <w:rFonts w:ascii="仿宋" w:hAnsi="仿宋" w:eastAsia="仿宋" w:cs="仿宋"/>
                <w:spacing w:val="-4"/>
              </w:rPr>
              <w:t>字形边沟，宽</w:t>
            </w:r>
            <w:r>
              <w:rPr>
                <w:rFonts w:ascii="仿宋" w:hAnsi="仿宋" w:eastAsia="仿宋" w:cs="仿宋"/>
                <w:spacing w:val="-38"/>
              </w:rPr>
              <w:t xml:space="preserve"> </w:t>
            </w:r>
            <w:r>
              <w:rPr>
                <w:spacing w:val="-4"/>
              </w:rPr>
              <w:t>90cm</w:t>
            </w:r>
            <w:r>
              <w:rPr>
                <w:spacing w:val="14"/>
              </w:rPr>
              <w:t xml:space="preserve"> </w:t>
            </w:r>
            <w:r>
              <w:rPr>
                <w:rFonts w:ascii="仿宋" w:hAnsi="仿宋" w:eastAsia="仿宋" w:cs="仿宋"/>
                <w:spacing w:val="-4"/>
              </w:rPr>
              <w:t>深</w:t>
            </w:r>
            <w:r>
              <w:rPr>
                <w:rFonts w:ascii="仿宋" w:hAnsi="仿宋" w:eastAsia="仿宋" w:cs="仿宋"/>
                <w:spacing w:val="-43"/>
              </w:rPr>
              <w:t xml:space="preserve"> </w:t>
            </w:r>
            <w:r>
              <w:rPr>
                <w:spacing w:val="-4"/>
              </w:rPr>
              <w:t>28cm</w:t>
            </w:r>
          </w:p>
        </w:tc>
      </w:tr>
      <w:tr w14:paraId="53FE89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279B5D1A">
            <w:pPr>
              <w:rPr>
                <w:rFonts w:ascii="Arial"/>
                <w:sz w:val="21"/>
              </w:rPr>
            </w:pPr>
          </w:p>
        </w:tc>
        <w:tc>
          <w:tcPr>
            <w:tcW w:w="534" w:type="dxa"/>
            <w:vAlign w:val="top"/>
          </w:tcPr>
          <w:p w14:paraId="3CDFE8D1">
            <w:pPr>
              <w:pStyle w:val="6"/>
              <w:spacing w:before="45" w:line="188" w:lineRule="auto"/>
              <w:ind w:left="174"/>
            </w:pPr>
            <w:r>
              <w:rPr>
                <w:spacing w:val="-1"/>
              </w:rPr>
              <w:t>44</w:t>
            </w:r>
          </w:p>
        </w:tc>
        <w:tc>
          <w:tcPr>
            <w:tcW w:w="2585" w:type="dxa"/>
            <w:gridSpan w:val="3"/>
            <w:vAlign w:val="top"/>
          </w:tcPr>
          <w:p w14:paraId="25503483">
            <w:pPr>
              <w:pStyle w:val="6"/>
              <w:spacing w:before="45" w:line="188" w:lineRule="auto"/>
              <w:ind w:left="999"/>
            </w:pPr>
            <w:r>
              <w:rPr>
                <w:spacing w:val="-1"/>
              </w:rPr>
              <w:t>K0+736</w:t>
            </w:r>
          </w:p>
        </w:tc>
        <w:tc>
          <w:tcPr>
            <w:tcW w:w="1090" w:type="dxa"/>
            <w:vAlign w:val="top"/>
          </w:tcPr>
          <w:p w14:paraId="7E49ED21">
            <w:pPr>
              <w:spacing w:before="29" w:line="205" w:lineRule="auto"/>
              <w:ind w:left="288"/>
              <w:rPr>
                <w:rFonts w:ascii="仿宋" w:hAnsi="仿宋" w:eastAsia="仿宋" w:cs="仿宋"/>
                <w:sz w:val="18"/>
                <w:szCs w:val="18"/>
              </w:rPr>
            </w:pPr>
            <w:r>
              <w:rPr>
                <w:rFonts w:ascii="仿宋" w:hAnsi="仿宋" w:eastAsia="仿宋" w:cs="仿宋"/>
                <w:spacing w:val="-4"/>
                <w:sz w:val="18"/>
                <w:szCs w:val="18"/>
              </w:rPr>
              <w:t>排水沟</w:t>
            </w:r>
          </w:p>
        </w:tc>
        <w:tc>
          <w:tcPr>
            <w:tcW w:w="3431" w:type="dxa"/>
            <w:gridSpan w:val="4"/>
            <w:tcBorders>
              <w:right w:val="single" w:color="000000" w:sz="6" w:space="0"/>
            </w:tcBorders>
            <w:vAlign w:val="top"/>
          </w:tcPr>
          <w:p w14:paraId="2CEBC5AD">
            <w:pPr>
              <w:pStyle w:val="6"/>
              <w:spacing w:before="29" w:line="205" w:lineRule="auto"/>
              <w:ind w:left="534"/>
            </w:pPr>
            <w:r>
              <w:rPr>
                <w:rFonts w:ascii="仿宋" w:hAnsi="仿宋" w:eastAsia="仿宋" w:cs="仿宋"/>
                <w:spacing w:val="-3"/>
              </w:rPr>
              <w:t>矩形排水沟，宽</w:t>
            </w:r>
            <w:r>
              <w:rPr>
                <w:rFonts w:ascii="仿宋" w:hAnsi="仿宋" w:eastAsia="仿宋" w:cs="仿宋"/>
                <w:spacing w:val="-28"/>
              </w:rPr>
              <w:t xml:space="preserve"> </w:t>
            </w:r>
            <w:r>
              <w:rPr>
                <w:spacing w:val="-3"/>
              </w:rPr>
              <w:t>90cm</w:t>
            </w:r>
            <w:r>
              <w:rPr>
                <w:spacing w:val="13"/>
                <w:w w:val="101"/>
              </w:rPr>
              <w:t xml:space="preserve"> </w:t>
            </w:r>
            <w:r>
              <w:rPr>
                <w:rFonts w:ascii="仿宋" w:hAnsi="仿宋" w:eastAsia="仿宋" w:cs="仿宋"/>
                <w:spacing w:val="-3"/>
              </w:rPr>
              <w:t>深</w:t>
            </w:r>
            <w:r>
              <w:rPr>
                <w:rFonts w:ascii="仿宋" w:hAnsi="仿宋" w:eastAsia="仿宋" w:cs="仿宋"/>
                <w:spacing w:val="-41"/>
              </w:rPr>
              <w:t xml:space="preserve"> </w:t>
            </w:r>
            <w:r>
              <w:rPr>
                <w:spacing w:val="-3"/>
              </w:rPr>
              <w:t>28cm</w:t>
            </w:r>
          </w:p>
        </w:tc>
      </w:tr>
      <w:tr w14:paraId="218A1B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3B98F4EC">
            <w:pPr>
              <w:rPr>
                <w:rFonts w:ascii="Arial"/>
                <w:sz w:val="21"/>
              </w:rPr>
            </w:pPr>
          </w:p>
        </w:tc>
        <w:tc>
          <w:tcPr>
            <w:tcW w:w="7640" w:type="dxa"/>
            <w:gridSpan w:val="9"/>
            <w:tcBorders>
              <w:right w:val="single" w:color="000000" w:sz="6" w:space="0"/>
            </w:tcBorders>
            <w:vAlign w:val="top"/>
          </w:tcPr>
          <w:p w14:paraId="4F517EF6">
            <w:pPr>
              <w:spacing w:before="27" w:line="206" w:lineRule="auto"/>
              <w:ind w:left="3549"/>
              <w:rPr>
                <w:rFonts w:ascii="仿宋" w:hAnsi="仿宋" w:eastAsia="仿宋" w:cs="仿宋"/>
                <w:sz w:val="18"/>
                <w:szCs w:val="18"/>
              </w:rPr>
            </w:pPr>
            <w:r>
              <w:rPr>
                <w:rFonts w:ascii="仿宋" w:hAnsi="仿宋" w:eastAsia="仿宋" w:cs="仿宋"/>
                <w:spacing w:val="-4"/>
                <w:sz w:val="18"/>
                <w:szCs w:val="18"/>
              </w:rPr>
              <w:t>路段七</w:t>
            </w:r>
          </w:p>
        </w:tc>
      </w:tr>
      <w:tr w14:paraId="36EDE2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782335F7">
            <w:pPr>
              <w:rPr>
                <w:rFonts w:ascii="Arial"/>
                <w:sz w:val="21"/>
              </w:rPr>
            </w:pPr>
          </w:p>
        </w:tc>
        <w:tc>
          <w:tcPr>
            <w:tcW w:w="534" w:type="dxa"/>
            <w:vAlign w:val="top"/>
          </w:tcPr>
          <w:p w14:paraId="3E1DA252">
            <w:pPr>
              <w:pStyle w:val="6"/>
              <w:spacing w:before="45" w:line="188" w:lineRule="auto"/>
              <w:ind w:left="174"/>
            </w:pPr>
            <w:r>
              <w:rPr>
                <w:spacing w:val="-1"/>
              </w:rPr>
              <w:t>45</w:t>
            </w:r>
          </w:p>
        </w:tc>
        <w:tc>
          <w:tcPr>
            <w:tcW w:w="2585" w:type="dxa"/>
            <w:gridSpan w:val="3"/>
            <w:vAlign w:val="top"/>
          </w:tcPr>
          <w:p w14:paraId="0040E4F8">
            <w:pPr>
              <w:pStyle w:val="6"/>
              <w:spacing w:before="29" w:line="205" w:lineRule="auto"/>
              <w:ind w:left="612"/>
            </w:pPr>
            <w:r>
              <w:rPr>
                <w:spacing w:val="-1"/>
              </w:rPr>
              <w:t>K0+000</w:t>
            </w:r>
            <w:r>
              <w:rPr>
                <w:rFonts w:ascii="仿宋" w:hAnsi="仿宋" w:eastAsia="仿宋" w:cs="仿宋"/>
                <w:spacing w:val="-1"/>
              </w:rPr>
              <w:t>～</w:t>
            </w:r>
            <w:r>
              <w:rPr>
                <w:spacing w:val="-1"/>
              </w:rPr>
              <w:t>K0+126</w:t>
            </w:r>
          </w:p>
        </w:tc>
        <w:tc>
          <w:tcPr>
            <w:tcW w:w="1090" w:type="dxa"/>
            <w:vAlign w:val="top"/>
          </w:tcPr>
          <w:p w14:paraId="7BCB536E">
            <w:pPr>
              <w:spacing w:before="29" w:line="205" w:lineRule="auto"/>
              <w:ind w:left="382"/>
              <w:rPr>
                <w:rFonts w:ascii="仿宋" w:hAnsi="仿宋" w:eastAsia="仿宋" w:cs="仿宋"/>
                <w:sz w:val="18"/>
                <w:szCs w:val="18"/>
              </w:rPr>
            </w:pPr>
            <w:r>
              <w:rPr>
                <w:rFonts w:ascii="仿宋" w:hAnsi="仿宋" w:eastAsia="仿宋" w:cs="仿宋"/>
                <w:spacing w:val="-8"/>
                <w:sz w:val="18"/>
                <w:szCs w:val="18"/>
              </w:rPr>
              <w:t>边沟</w:t>
            </w:r>
          </w:p>
        </w:tc>
        <w:tc>
          <w:tcPr>
            <w:tcW w:w="3431" w:type="dxa"/>
            <w:gridSpan w:val="4"/>
            <w:tcBorders>
              <w:right w:val="single" w:color="000000" w:sz="6" w:space="0"/>
            </w:tcBorders>
            <w:vAlign w:val="top"/>
          </w:tcPr>
          <w:p w14:paraId="735F7E99">
            <w:pPr>
              <w:pStyle w:val="6"/>
              <w:spacing w:before="29" w:line="205" w:lineRule="auto"/>
              <w:ind w:left="422"/>
            </w:pPr>
            <w:r>
              <w:rPr>
                <w:rFonts w:ascii="仿宋" w:hAnsi="仿宋" w:eastAsia="仿宋" w:cs="仿宋"/>
                <w:spacing w:val="-3"/>
              </w:rPr>
              <w:t>倒</w:t>
            </w:r>
            <w:r>
              <w:rPr>
                <w:rFonts w:ascii="仿宋" w:hAnsi="仿宋" w:eastAsia="仿宋" w:cs="仿宋"/>
                <w:spacing w:val="-32"/>
              </w:rPr>
              <w:t xml:space="preserve"> </w:t>
            </w:r>
            <w:r>
              <w:rPr>
                <w:spacing w:val="-3"/>
              </w:rPr>
              <w:t>7</w:t>
            </w:r>
            <w:r>
              <w:rPr>
                <w:spacing w:val="18"/>
                <w:w w:val="102"/>
              </w:rPr>
              <w:t xml:space="preserve"> </w:t>
            </w:r>
            <w:r>
              <w:rPr>
                <w:rFonts w:ascii="仿宋" w:hAnsi="仿宋" w:eastAsia="仿宋" w:cs="仿宋"/>
                <w:spacing w:val="-3"/>
              </w:rPr>
              <w:t>字形边沟，宽</w:t>
            </w:r>
            <w:r>
              <w:rPr>
                <w:rFonts w:ascii="仿宋" w:hAnsi="仿宋" w:eastAsia="仿宋" w:cs="仿宋"/>
                <w:spacing w:val="-38"/>
              </w:rPr>
              <w:t xml:space="preserve"> </w:t>
            </w:r>
            <w:r>
              <w:rPr>
                <w:spacing w:val="-3"/>
              </w:rPr>
              <w:t xml:space="preserve">90cm  </w:t>
            </w:r>
            <w:r>
              <w:rPr>
                <w:rFonts w:ascii="仿宋" w:hAnsi="仿宋" w:eastAsia="仿宋" w:cs="仿宋"/>
                <w:spacing w:val="-3"/>
              </w:rPr>
              <w:t>深</w:t>
            </w:r>
            <w:r>
              <w:rPr>
                <w:rFonts w:ascii="仿宋" w:hAnsi="仿宋" w:eastAsia="仿宋" w:cs="仿宋"/>
                <w:spacing w:val="-40"/>
              </w:rPr>
              <w:t xml:space="preserve"> </w:t>
            </w:r>
            <w:r>
              <w:rPr>
                <w:spacing w:val="-3"/>
              </w:rPr>
              <w:t>28cm</w:t>
            </w:r>
          </w:p>
        </w:tc>
      </w:tr>
      <w:tr w14:paraId="3EC5A6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3F5113EF">
            <w:pPr>
              <w:rPr>
                <w:rFonts w:ascii="Arial"/>
                <w:sz w:val="21"/>
              </w:rPr>
            </w:pPr>
          </w:p>
        </w:tc>
        <w:tc>
          <w:tcPr>
            <w:tcW w:w="534" w:type="dxa"/>
            <w:vAlign w:val="top"/>
          </w:tcPr>
          <w:p w14:paraId="3490B807">
            <w:pPr>
              <w:pStyle w:val="6"/>
              <w:spacing w:before="46" w:line="188" w:lineRule="auto"/>
              <w:ind w:left="174"/>
            </w:pPr>
            <w:r>
              <w:rPr>
                <w:spacing w:val="-1"/>
              </w:rPr>
              <w:t>46</w:t>
            </w:r>
          </w:p>
        </w:tc>
        <w:tc>
          <w:tcPr>
            <w:tcW w:w="2585" w:type="dxa"/>
            <w:gridSpan w:val="3"/>
            <w:vAlign w:val="top"/>
          </w:tcPr>
          <w:p w14:paraId="666CD2BD">
            <w:pPr>
              <w:pStyle w:val="6"/>
              <w:spacing w:before="46" w:line="188" w:lineRule="auto"/>
              <w:ind w:left="999"/>
            </w:pPr>
            <w:r>
              <w:rPr>
                <w:spacing w:val="-1"/>
              </w:rPr>
              <w:t>K0+000</w:t>
            </w:r>
          </w:p>
        </w:tc>
        <w:tc>
          <w:tcPr>
            <w:tcW w:w="1090" w:type="dxa"/>
            <w:vAlign w:val="top"/>
          </w:tcPr>
          <w:p w14:paraId="31069261">
            <w:pPr>
              <w:spacing w:before="27" w:line="206" w:lineRule="auto"/>
              <w:ind w:left="288"/>
              <w:rPr>
                <w:rFonts w:ascii="仿宋" w:hAnsi="仿宋" w:eastAsia="仿宋" w:cs="仿宋"/>
                <w:sz w:val="18"/>
                <w:szCs w:val="18"/>
              </w:rPr>
            </w:pPr>
            <w:r>
              <w:rPr>
                <w:rFonts w:ascii="仿宋" w:hAnsi="仿宋" w:eastAsia="仿宋" w:cs="仿宋"/>
                <w:spacing w:val="-4"/>
                <w:sz w:val="18"/>
                <w:szCs w:val="18"/>
              </w:rPr>
              <w:t>排水沟</w:t>
            </w:r>
          </w:p>
        </w:tc>
        <w:tc>
          <w:tcPr>
            <w:tcW w:w="3431" w:type="dxa"/>
            <w:gridSpan w:val="4"/>
            <w:tcBorders>
              <w:right w:val="single" w:color="000000" w:sz="6" w:space="0"/>
            </w:tcBorders>
            <w:vAlign w:val="top"/>
          </w:tcPr>
          <w:p w14:paraId="47580F55">
            <w:pPr>
              <w:pStyle w:val="6"/>
              <w:spacing w:before="27" w:line="206" w:lineRule="auto"/>
              <w:ind w:left="512"/>
            </w:pPr>
            <w:r>
              <w:rPr>
                <w:rFonts w:ascii="仿宋" w:hAnsi="仿宋" w:eastAsia="仿宋" w:cs="仿宋"/>
                <w:spacing w:val="-2"/>
              </w:rPr>
              <w:t>矩形排水沟，宽</w:t>
            </w:r>
            <w:r>
              <w:rPr>
                <w:rFonts w:ascii="仿宋" w:hAnsi="仿宋" w:eastAsia="仿宋" w:cs="仿宋"/>
                <w:spacing w:val="-28"/>
              </w:rPr>
              <w:t xml:space="preserve"> </w:t>
            </w:r>
            <w:r>
              <w:rPr>
                <w:spacing w:val="-2"/>
              </w:rPr>
              <w:t xml:space="preserve">90cm  </w:t>
            </w:r>
            <w:r>
              <w:rPr>
                <w:rFonts w:ascii="仿宋" w:hAnsi="仿宋" w:eastAsia="仿宋" w:cs="仿宋"/>
                <w:spacing w:val="-2"/>
              </w:rPr>
              <w:t>深</w:t>
            </w:r>
            <w:r>
              <w:rPr>
                <w:rFonts w:ascii="仿宋" w:hAnsi="仿宋" w:eastAsia="仿宋" w:cs="仿宋"/>
                <w:spacing w:val="-41"/>
              </w:rPr>
              <w:t xml:space="preserve"> </w:t>
            </w:r>
            <w:r>
              <w:rPr>
                <w:spacing w:val="-2"/>
              </w:rPr>
              <w:t>28cm</w:t>
            </w:r>
          </w:p>
        </w:tc>
      </w:tr>
      <w:tr w14:paraId="0F03D6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4867666B">
            <w:pPr>
              <w:rPr>
                <w:rFonts w:ascii="Arial"/>
                <w:sz w:val="21"/>
              </w:rPr>
            </w:pPr>
          </w:p>
        </w:tc>
        <w:tc>
          <w:tcPr>
            <w:tcW w:w="7640" w:type="dxa"/>
            <w:gridSpan w:val="9"/>
            <w:tcBorders>
              <w:right w:val="single" w:color="000000" w:sz="6" w:space="0"/>
            </w:tcBorders>
            <w:vAlign w:val="top"/>
          </w:tcPr>
          <w:p w14:paraId="6368887C">
            <w:pPr>
              <w:spacing w:before="29" w:line="205" w:lineRule="auto"/>
              <w:ind w:left="2479"/>
              <w:rPr>
                <w:rFonts w:ascii="仿宋" w:hAnsi="仿宋" w:eastAsia="仿宋" w:cs="仿宋"/>
                <w:sz w:val="18"/>
                <w:szCs w:val="18"/>
              </w:rPr>
            </w:pPr>
            <w:r>
              <w:rPr>
                <w:rFonts w:ascii="仿宋" w:hAnsi="仿宋" w:eastAsia="仿宋" w:cs="仿宋"/>
                <w:spacing w:val="-2"/>
                <w:sz w:val="18"/>
                <w:szCs w:val="18"/>
              </w:rPr>
              <w:t>乌拉素村二道壕大坝东至秦家塔社</w:t>
            </w:r>
          </w:p>
        </w:tc>
      </w:tr>
      <w:tr w14:paraId="1F20BB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614A12A4">
            <w:pPr>
              <w:rPr>
                <w:rFonts w:ascii="Arial"/>
                <w:sz w:val="21"/>
              </w:rPr>
            </w:pPr>
          </w:p>
        </w:tc>
        <w:tc>
          <w:tcPr>
            <w:tcW w:w="534" w:type="dxa"/>
            <w:vAlign w:val="top"/>
          </w:tcPr>
          <w:p w14:paraId="1DC26B91">
            <w:pPr>
              <w:pStyle w:val="6"/>
              <w:spacing w:before="44" w:line="188" w:lineRule="auto"/>
              <w:ind w:left="174"/>
            </w:pPr>
            <w:r>
              <w:rPr>
                <w:spacing w:val="-1"/>
              </w:rPr>
              <w:t>47</w:t>
            </w:r>
          </w:p>
        </w:tc>
        <w:tc>
          <w:tcPr>
            <w:tcW w:w="2585" w:type="dxa"/>
            <w:gridSpan w:val="3"/>
            <w:vAlign w:val="top"/>
          </w:tcPr>
          <w:p w14:paraId="0BD69704">
            <w:pPr>
              <w:pStyle w:val="6"/>
              <w:spacing w:before="27" w:line="206" w:lineRule="auto"/>
              <w:ind w:left="612"/>
            </w:pPr>
            <w:r>
              <w:rPr>
                <w:spacing w:val="-1"/>
              </w:rPr>
              <w:t>K0+996</w:t>
            </w:r>
            <w:r>
              <w:rPr>
                <w:rFonts w:ascii="仿宋" w:hAnsi="仿宋" w:eastAsia="仿宋" w:cs="仿宋"/>
                <w:spacing w:val="-1"/>
              </w:rPr>
              <w:t>～</w:t>
            </w:r>
            <w:r>
              <w:rPr>
                <w:spacing w:val="-1"/>
              </w:rPr>
              <w:t>K1+175</w:t>
            </w:r>
          </w:p>
        </w:tc>
        <w:tc>
          <w:tcPr>
            <w:tcW w:w="1090" w:type="dxa"/>
            <w:vAlign w:val="top"/>
          </w:tcPr>
          <w:p w14:paraId="3C5F5E7B">
            <w:pPr>
              <w:spacing w:before="27" w:line="206" w:lineRule="auto"/>
              <w:ind w:left="382"/>
              <w:rPr>
                <w:rFonts w:ascii="仿宋" w:hAnsi="仿宋" w:eastAsia="仿宋" w:cs="仿宋"/>
                <w:sz w:val="18"/>
                <w:szCs w:val="18"/>
              </w:rPr>
            </w:pPr>
            <w:r>
              <w:rPr>
                <w:rFonts w:ascii="仿宋" w:hAnsi="仿宋" w:eastAsia="仿宋" w:cs="仿宋"/>
                <w:spacing w:val="-8"/>
                <w:sz w:val="18"/>
                <w:szCs w:val="18"/>
              </w:rPr>
              <w:t>边沟</w:t>
            </w:r>
          </w:p>
        </w:tc>
        <w:tc>
          <w:tcPr>
            <w:tcW w:w="3431" w:type="dxa"/>
            <w:gridSpan w:val="4"/>
            <w:tcBorders>
              <w:right w:val="single" w:color="000000" w:sz="6" w:space="0"/>
            </w:tcBorders>
            <w:vAlign w:val="top"/>
          </w:tcPr>
          <w:p w14:paraId="18E5BF85">
            <w:pPr>
              <w:pStyle w:val="6"/>
              <w:spacing w:before="27" w:line="206" w:lineRule="auto"/>
              <w:ind w:left="422"/>
            </w:pPr>
            <w:r>
              <w:rPr>
                <w:rFonts w:ascii="仿宋" w:hAnsi="仿宋" w:eastAsia="仿宋" w:cs="仿宋"/>
                <w:spacing w:val="-3"/>
              </w:rPr>
              <w:t>倒</w:t>
            </w:r>
            <w:r>
              <w:rPr>
                <w:rFonts w:ascii="仿宋" w:hAnsi="仿宋" w:eastAsia="仿宋" w:cs="仿宋"/>
                <w:spacing w:val="-32"/>
              </w:rPr>
              <w:t xml:space="preserve"> </w:t>
            </w:r>
            <w:r>
              <w:rPr>
                <w:spacing w:val="-3"/>
              </w:rPr>
              <w:t>7</w:t>
            </w:r>
            <w:r>
              <w:rPr>
                <w:spacing w:val="18"/>
                <w:w w:val="102"/>
              </w:rPr>
              <w:t xml:space="preserve"> </w:t>
            </w:r>
            <w:r>
              <w:rPr>
                <w:rFonts w:ascii="仿宋" w:hAnsi="仿宋" w:eastAsia="仿宋" w:cs="仿宋"/>
                <w:spacing w:val="-3"/>
              </w:rPr>
              <w:t>字形边沟，宽</w:t>
            </w:r>
            <w:r>
              <w:rPr>
                <w:rFonts w:ascii="仿宋" w:hAnsi="仿宋" w:eastAsia="仿宋" w:cs="仿宋"/>
                <w:spacing w:val="-38"/>
              </w:rPr>
              <w:t xml:space="preserve"> </w:t>
            </w:r>
            <w:r>
              <w:rPr>
                <w:spacing w:val="-3"/>
              </w:rPr>
              <w:t xml:space="preserve">90cm  </w:t>
            </w:r>
            <w:r>
              <w:rPr>
                <w:rFonts w:ascii="仿宋" w:hAnsi="仿宋" w:eastAsia="仿宋" w:cs="仿宋"/>
                <w:spacing w:val="-3"/>
              </w:rPr>
              <w:t>深</w:t>
            </w:r>
            <w:r>
              <w:rPr>
                <w:rFonts w:ascii="仿宋" w:hAnsi="仿宋" w:eastAsia="仿宋" w:cs="仿宋"/>
                <w:spacing w:val="-40"/>
              </w:rPr>
              <w:t xml:space="preserve"> </w:t>
            </w:r>
            <w:r>
              <w:rPr>
                <w:spacing w:val="-3"/>
              </w:rPr>
              <w:t>28cm</w:t>
            </w:r>
          </w:p>
        </w:tc>
      </w:tr>
      <w:tr w14:paraId="7D61A4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4D919808">
            <w:pPr>
              <w:rPr>
                <w:rFonts w:ascii="Arial"/>
                <w:sz w:val="21"/>
              </w:rPr>
            </w:pPr>
          </w:p>
        </w:tc>
        <w:tc>
          <w:tcPr>
            <w:tcW w:w="534" w:type="dxa"/>
            <w:vAlign w:val="top"/>
          </w:tcPr>
          <w:p w14:paraId="0712F16B">
            <w:pPr>
              <w:pStyle w:val="6"/>
              <w:spacing w:before="46" w:line="188" w:lineRule="auto"/>
              <w:ind w:left="174"/>
            </w:pPr>
            <w:r>
              <w:rPr>
                <w:spacing w:val="-1"/>
              </w:rPr>
              <w:t>48</w:t>
            </w:r>
          </w:p>
        </w:tc>
        <w:tc>
          <w:tcPr>
            <w:tcW w:w="2585" w:type="dxa"/>
            <w:gridSpan w:val="3"/>
            <w:vAlign w:val="top"/>
          </w:tcPr>
          <w:p w14:paraId="427D24FC">
            <w:pPr>
              <w:pStyle w:val="6"/>
              <w:spacing w:before="46" w:line="188" w:lineRule="auto"/>
              <w:ind w:left="999"/>
            </w:pPr>
            <w:r>
              <w:rPr>
                <w:spacing w:val="-1"/>
              </w:rPr>
              <w:t>K0+996</w:t>
            </w:r>
          </w:p>
        </w:tc>
        <w:tc>
          <w:tcPr>
            <w:tcW w:w="1090" w:type="dxa"/>
            <w:vAlign w:val="top"/>
          </w:tcPr>
          <w:p w14:paraId="3F78AB82">
            <w:pPr>
              <w:spacing w:before="29" w:line="204" w:lineRule="auto"/>
              <w:ind w:left="288"/>
              <w:rPr>
                <w:rFonts w:ascii="仿宋" w:hAnsi="仿宋" w:eastAsia="仿宋" w:cs="仿宋"/>
                <w:sz w:val="18"/>
                <w:szCs w:val="18"/>
              </w:rPr>
            </w:pPr>
            <w:r>
              <w:rPr>
                <w:rFonts w:ascii="仿宋" w:hAnsi="仿宋" w:eastAsia="仿宋" w:cs="仿宋"/>
                <w:spacing w:val="-4"/>
                <w:sz w:val="18"/>
                <w:szCs w:val="18"/>
              </w:rPr>
              <w:t>排水沟</w:t>
            </w:r>
          </w:p>
        </w:tc>
        <w:tc>
          <w:tcPr>
            <w:tcW w:w="3431" w:type="dxa"/>
            <w:gridSpan w:val="4"/>
            <w:tcBorders>
              <w:right w:val="single" w:color="000000" w:sz="6" w:space="0"/>
            </w:tcBorders>
            <w:vAlign w:val="top"/>
          </w:tcPr>
          <w:p w14:paraId="5BAD6B64">
            <w:pPr>
              <w:pStyle w:val="6"/>
              <w:spacing w:before="29" w:line="204" w:lineRule="auto"/>
              <w:ind w:left="512"/>
            </w:pPr>
            <w:r>
              <w:rPr>
                <w:rFonts w:ascii="仿宋" w:hAnsi="仿宋" w:eastAsia="仿宋" w:cs="仿宋"/>
                <w:spacing w:val="-2"/>
              </w:rPr>
              <w:t>矩形排水沟，宽</w:t>
            </w:r>
            <w:r>
              <w:rPr>
                <w:rFonts w:ascii="仿宋" w:hAnsi="仿宋" w:eastAsia="仿宋" w:cs="仿宋"/>
                <w:spacing w:val="-28"/>
              </w:rPr>
              <w:t xml:space="preserve"> </w:t>
            </w:r>
            <w:r>
              <w:rPr>
                <w:spacing w:val="-2"/>
              </w:rPr>
              <w:t xml:space="preserve">90cm  </w:t>
            </w:r>
            <w:r>
              <w:rPr>
                <w:rFonts w:ascii="仿宋" w:hAnsi="仿宋" w:eastAsia="仿宋" w:cs="仿宋"/>
                <w:spacing w:val="-2"/>
              </w:rPr>
              <w:t>深</w:t>
            </w:r>
            <w:r>
              <w:rPr>
                <w:rFonts w:ascii="仿宋" w:hAnsi="仿宋" w:eastAsia="仿宋" w:cs="仿宋"/>
                <w:spacing w:val="-41"/>
              </w:rPr>
              <w:t xml:space="preserve"> </w:t>
            </w:r>
            <w:r>
              <w:rPr>
                <w:spacing w:val="-2"/>
              </w:rPr>
              <w:t>28cm</w:t>
            </w:r>
          </w:p>
        </w:tc>
      </w:tr>
      <w:tr w14:paraId="7459BA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1F4FAA5E">
            <w:pPr>
              <w:rPr>
                <w:rFonts w:ascii="Arial"/>
                <w:sz w:val="21"/>
              </w:rPr>
            </w:pPr>
          </w:p>
        </w:tc>
        <w:tc>
          <w:tcPr>
            <w:tcW w:w="534" w:type="dxa"/>
            <w:vAlign w:val="top"/>
          </w:tcPr>
          <w:p w14:paraId="099C6B05">
            <w:pPr>
              <w:pStyle w:val="6"/>
              <w:spacing w:before="45" w:line="188" w:lineRule="auto"/>
              <w:ind w:left="174"/>
            </w:pPr>
            <w:r>
              <w:rPr>
                <w:spacing w:val="-1"/>
              </w:rPr>
              <w:t>49</w:t>
            </w:r>
          </w:p>
        </w:tc>
        <w:tc>
          <w:tcPr>
            <w:tcW w:w="2585" w:type="dxa"/>
            <w:gridSpan w:val="3"/>
            <w:vAlign w:val="top"/>
          </w:tcPr>
          <w:p w14:paraId="05BA18F5">
            <w:pPr>
              <w:pStyle w:val="6"/>
              <w:spacing w:before="29" w:line="205" w:lineRule="auto"/>
              <w:ind w:left="612"/>
            </w:pPr>
            <w:r>
              <w:rPr>
                <w:spacing w:val="-1"/>
              </w:rPr>
              <w:t>K1+744</w:t>
            </w:r>
            <w:r>
              <w:rPr>
                <w:rFonts w:ascii="仿宋" w:hAnsi="仿宋" w:eastAsia="仿宋" w:cs="仿宋"/>
                <w:spacing w:val="-1"/>
              </w:rPr>
              <w:t>～</w:t>
            </w:r>
            <w:r>
              <w:rPr>
                <w:spacing w:val="-1"/>
              </w:rPr>
              <w:t>K1+849</w:t>
            </w:r>
          </w:p>
        </w:tc>
        <w:tc>
          <w:tcPr>
            <w:tcW w:w="1090" w:type="dxa"/>
            <w:vAlign w:val="top"/>
          </w:tcPr>
          <w:p w14:paraId="3EEE1683">
            <w:pPr>
              <w:spacing w:before="29" w:line="205" w:lineRule="auto"/>
              <w:ind w:left="382"/>
              <w:rPr>
                <w:rFonts w:ascii="仿宋" w:hAnsi="仿宋" w:eastAsia="仿宋" w:cs="仿宋"/>
                <w:sz w:val="18"/>
                <w:szCs w:val="18"/>
              </w:rPr>
            </w:pPr>
            <w:r>
              <w:rPr>
                <w:rFonts w:ascii="仿宋" w:hAnsi="仿宋" w:eastAsia="仿宋" w:cs="仿宋"/>
                <w:spacing w:val="-8"/>
                <w:sz w:val="18"/>
                <w:szCs w:val="18"/>
              </w:rPr>
              <w:t>边沟</w:t>
            </w:r>
          </w:p>
        </w:tc>
        <w:tc>
          <w:tcPr>
            <w:tcW w:w="3431" w:type="dxa"/>
            <w:gridSpan w:val="4"/>
            <w:tcBorders>
              <w:right w:val="single" w:color="000000" w:sz="6" w:space="0"/>
            </w:tcBorders>
            <w:vAlign w:val="top"/>
          </w:tcPr>
          <w:p w14:paraId="12B51909">
            <w:pPr>
              <w:pStyle w:val="6"/>
              <w:spacing w:before="29" w:line="205" w:lineRule="auto"/>
              <w:ind w:left="422"/>
            </w:pPr>
            <w:r>
              <w:rPr>
                <w:rFonts w:ascii="仿宋" w:hAnsi="仿宋" w:eastAsia="仿宋" w:cs="仿宋"/>
                <w:spacing w:val="-3"/>
              </w:rPr>
              <w:t>倒</w:t>
            </w:r>
            <w:r>
              <w:rPr>
                <w:rFonts w:ascii="仿宋" w:hAnsi="仿宋" w:eastAsia="仿宋" w:cs="仿宋"/>
                <w:spacing w:val="-32"/>
              </w:rPr>
              <w:t xml:space="preserve"> </w:t>
            </w:r>
            <w:r>
              <w:rPr>
                <w:spacing w:val="-3"/>
              </w:rPr>
              <w:t>7</w:t>
            </w:r>
            <w:r>
              <w:rPr>
                <w:spacing w:val="18"/>
                <w:w w:val="102"/>
              </w:rPr>
              <w:t xml:space="preserve"> </w:t>
            </w:r>
            <w:r>
              <w:rPr>
                <w:rFonts w:ascii="仿宋" w:hAnsi="仿宋" w:eastAsia="仿宋" w:cs="仿宋"/>
                <w:spacing w:val="-3"/>
              </w:rPr>
              <w:t>字形边沟，宽</w:t>
            </w:r>
            <w:r>
              <w:rPr>
                <w:rFonts w:ascii="仿宋" w:hAnsi="仿宋" w:eastAsia="仿宋" w:cs="仿宋"/>
                <w:spacing w:val="-38"/>
              </w:rPr>
              <w:t xml:space="preserve"> </w:t>
            </w:r>
            <w:r>
              <w:rPr>
                <w:spacing w:val="-3"/>
              </w:rPr>
              <w:t xml:space="preserve">90cm  </w:t>
            </w:r>
            <w:r>
              <w:rPr>
                <w:rFonts w:ascii="仿宋" w:hAnsi="仿宋" w:eastAsia="仿宋" w:cs="仿宋"/>
                <w:spacing w:val="-3"/>
              </w:rPr>
              <w:t>深</w:t>
            </w:r>
            <w:r>
              <w:rPr>
                <w:rFonts w:ascii="仿宋" w:hAnsi="仿宋" w:eastAsia="仿宋" w:cs="仿宋"/>
                <w:spacing w:val="-40"/>
              </w:rPr>
              <w:t xml:space="preserve"> </w:t>
            </w:r>
            <w:r>
              <w:rPr>
                <w:spacing w:val="-3"/>
              </w:rPr>
              <w:t>28cm</w:t>
            </w:r>
          </w:p>
        </w:tc>
      </w:tr>
      <w:tr w14:paraId="1EEB43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1A1EE1B0">
            <w:pPr>
              <w:rPr>
                <w:rFonts w:ascii="Arial"/>
                <w:sz w:val="21"/>
              </w:rPr>
            </w:pPr>
          </w:p>
        </w:tc>
        <w:tc>
          <w:tcPr>
            <w:tcW w:w="534" w:type="dxa"/>
            <w:vAlign w:val="top"/>
          </w:tcPr>
          <w:p w14:paraId="6B95336D">
            <w:pPr>
              <w:pStyle w:val="6"/>
              <w:spacing w:before="46" w:line="188" w:lineRule="auto"/>
              <w:ind w:left="180"/>
            </w:pPr>
            <w:r>
              <w:rPr>
                <w:spacing w:val="-4"/>
              </w:rPr>
              <w:t>50</w:t>
            </w:r>
          </w:p>
        </w:tc>
        <w:tc>
          <w:tcPr>
            <w:tcW w:w="2585" w:type="dxa"/>
            <w:gridSpan w:val="3"/>
            <w:vAlign w:val="top"/>
          </w:tcPr>
          <w:p w14:paraId="34BB6D7C">
            <w:pPr>
              <w:pStyle w:val="6"/>
              <w:spacing w:before="46" w:line="188" w:lineRule="auto"/>
              <w:ind w:left="999"/>
            </w:pPr>
            <w:r>
              <w:rPr>
                <w:spacing w:val="-1"/>
              </w:rPr>
              <w:t>K1+744</w:t>
            </w:r>
          </w:p>
        </w:tc>
        <w:tc>
          <w:tcPr>
            <w:tcW w:w="1090" w:type="dxa"/>
            <w:vAlign w:val="top"/>
          </w:tcPr>
          <w:p w14:paraId="718C9DFF">
            <w:pPr>
              <w:spacing w:before="27" w:line="206" w:lineRule="auto"/>
              <w:ind w:left="288"/>
              <w:rPr>
                <w:rFonts w:ascii="仿宋" w:hAnsi="仿宋" w:eastAsia="仿宋" w:cs="仿宋"/>
                <w:sz w:val="18"/>
                <w:szCs w:val="18"/>
              </w:rPr>
            </w:pPr>
            <w:r>
              <w:rPr>
                <w:rFonts w:ascii="仿宋" w:hAnsi="仿宋" w:eastAsia="仿宋" w:cs="仿宋"/>
                <w:spacing w:val="-4"/>
                <w:sz w:val="18"/>
                <w:szCs w:val="18"/>
              </w:rPr>
              <w:t>排水沟</w:t>
            </w:r>
          </w:p>
        </w:tc>
        <w:tc>
          <w:tcPr>
            <w:tcW w:w="3431" w:type="dxa"/>
            <w:gridSpan w:val="4"/>
            <w:tcBorders>
              <w:right w:val="single" w:color="000000" w:sz="6" w:space="0"/>
            </w:tcBorders>
            <w:vAlign w:val="top"/>
          </w:tcPr>
          <w:p w14:paraId="63B9E506">
            <w:pPr>
              <w:pStyle w:val="6"/>
              <w:spacing w:before="27" w:line="206" w:lineRule="auto"/>
              <w:ind w:left="512"/>
            </w:pPr>
            <w:r>
              <w:rPr>
                <w:rFonts w:ascii="仿宋" w:hAnsi="仿宋" w:eastAsia="仿宋" w:cs="仿宋"/>
                <w:spacing w:val="-2"/>
              </w:rPr>
              <w:t>矩形排水沟，宽</w:t>
            </w:r>
            <w:r>
              <w:rPr>
                <w:rFonts w:ascii="仿宋" w:hAnsi="仿宋" w:eastAsia="仿宋" w:cs="仿宋"/>
                <w:spacing w:val="-28"/>
              </w:rPr>
              <w:t xml:space="preserve"> </w:t>
            </w:r>
            <w:r>
              <w:rPr>
                <w:spacing w:val="-2"/>
              </w:rPr>
              <w:t xml:space="preserve">90cm  </w:t>
            </w:r>
            <w:r>
              <w:rPr>
                <w:rFonts w:ascii="仿宋" w:hAnsi="仿宋" w:eastAsia="仿宋" w:cs="仿宋"/>
                <w:spacing w:val="-2"/>
              </w:rPr>
              <w:t>深</w:t>
            </w:r>
            <w:r>
              <w:rPr>
                <w:rFonts w:ascii="仿宋" w:hAnsi="仿宋" w:eastAsia="仿宋" w:cs="仿宋"/>
                <w:spacing w:val="-41"/>
              </w:rPr>
              <w:t xml:space="preserve"> </w:t>
            </w:r>
            <w:r>
              <w:rPr>
                <w:spacing w:val="-2"/>
              </w:rPr>
              <w:t>28cm</w:t>
            </w:r>
          </w:p>
        </w:tc>
      </w:tr>
      <w:tr w14:paraId="414B78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16CDCF44">
            <w:pPr>
              <w:rPr>
                <w:rFonts w:ascii="Arial"/>
                <w:sz w:val="21"/>
              </w:rPr>
            </w:pPr>
          </w:p>
        </w:tc>
        <w:tc>
          <w:tcPr>
            <w:tcW w:w="534" w:type="dxa"/>
            <w:vAlign w:val="top"/>
          </w:tcPr>
          <w:p w14:paraId="6794F9BA">
            <w:pPr>
              <w:pStyle w:val="6"/>
              <w:spacing w:before="45" w:line="188" w:lineRule="auto"/>
              <w:ind w:left="180"/>
            </w:pPr>
            <w:r>
              <w:rPr>
                <w:spacing w:val="-4"/>
              </w:rPr>
              <w:t>51</w:t>
            </w:r>
          </w:p>
        </w:tc>
        <w:tc>
          <w:tcPr>
            <w:tcW w:w="2585" w:type="dxa"/>
            <w:gridSpan w:val="3"/>
            <w:vAlign w:val="top"/>
          </w:tcPr>
          <w:p w14:paraId="1BCECE3E">
            <w:pPr>
              <w:pStyle w:val="6"/>
              <w:spacing w:before="29" w:line="204" w:lineRule="auto"/>
              <w:ind w:left="612"/>
            </w:pPr>
            <w:r>
              <w:rPr>
                <w:spacing w:val="-1"/>
              </w:rPr>
              <w:t>K2+330</w:t>
            </w:r>
            <w:r>
              <w:rPr>
                <w:rFonts w:ascii="仿宋" w:hAnsi="仿宋" w:eastAsia="仿宋" w:cs="仿宋"/>
                <w:spacing w:val="-1"/>
              </w:rPr>
              <w:t>～</w:t>
            </w:r>
            <w:r>
              <w:rPr>
                <w:spacing w:val="-1"/>
              </w:rPr>
              <w:t>K2+458</w:t>
            </w:r>
          </w:p>
        </w:tc>
        <w:tc>
          <w:tcPr>
            <w:tcW w:w="1090" w:type="dxa"/>
            <w:vAlign w:val="top"/>
          </w:tcPr>
          <w:p w14:paraId="7E60519C">
            <w:pPr>
              <w:spacing w:before="29" w:line="204" w:lineRule="auto"/>
              <w:ind w:left="382"/>
              <w:rPr>
                <w:rFonts w:ascii="仿宋" w:hAnsi="仿宋" w:eastAsia="仿宋" w:cs="仿宋"/>
                <w:sz w:val="18"/>
                <w:szCs w:val="18"/>
              </w:rPr>
            </w:pPr>
            <w:r>
              <w:rPr>
                <w:rFonts w:ascii="仿宋" w:hAnsi="仿宋" w:eastAsia="仿宋" w:cs="仿宋"/>
                <w:spacing w:val="-8"/>
                <w:sz w:val="18"/>
                <w:szCs w:val="18"/>
              </w:rPr>
              <w:t>边沟</w:t>
            </w:r>
          </w:p>
        </w:tc>
        <w:tc>
          <w:tcPr>
            <w:tcW w:w="3431" w:type="dxa"/>
            <w:gridSpan w:val="4"/>
            <w:tcBorders>
              <w:right w:val="single" w:color="000000" w:sz="6" w:space="0"/>
            </w:tcBorders>
            <w:vAlign w:val="top"/>
          </w:tcPr>
          <w:p w14:paraId="3BFC4EB7">
            <w:pPr>
              <w:pStyle w:val="6"/>
              <w:spacing w:before="29" w:line="204" w:lineRule="auto"/>
              <w:ind w:left="422"/>
            </w:pPr>
            <w:r>
              <w:rPr>
                <w:rFonts w:ascii="仿宋" w:hAnsi="仿宋" w:eastAsia="仿宋" w:cs="仿宋"/>
                <w:spacing w:val="-3"/>
              </w:rPr>
              <w:t>倒</w:t>
            </w:r>
            <w:r>
              <w:rPr>
                <w:rFonts w:ascii="仿宋" w:hAnsi="仿宋" w:eastAsia="仿宋" w:cs="仿宋"/>
                <w:spacing w:val="-32"/>
              </w:rPr>
              <w:t xml:space="preserve"> </w:t>
            </w:r>
            <w:r>
              <w:rPr>
                <w:spacing w:val="-3"/>
              </w:rPr>
              <w:t>7</w:t>
            </w:r>
            <w:r>
              <w:rPr>
                <w:spacing w:val="18"/>
                <w:w w:val="102"/>
              </w:rPr>
              <w:t xml:space="preserve"> </w:t>
            </w:r>
            <w:r>
              <w:rPr>
                <w:rFonts w:ascii="仿宋" w:hAnsi="仿宋" w:eastAsia="仿宋" w:cs="仿宋"/>
                <w:spacing w:val="-3"/>
              </w:rPr>
              <w:t>字形边沟，宽</w:t>
            </w:r>
            <w:r>
              <w:rPr>
                <w:rFonts w:ascii="仿宋" w:hAnsi="仿宋" w:eastAsia="仿宋" w:cs="仿宋"/>
                <w:spacing w:val="-38"/>
              </w:rPr>
              <w:t xml:space="preserve"> </w:t>
            </w:r>
            <w:r>
              <w:rPr>
                <w:spacing w:val="-3"/>
              </w:rPr>
              <w:t xml:space="preserve">90cm  </w:t>
            </w:r>
            <w:r>
              <w:rPr>
                <w:rFonts w:ascii="仿宋" w:hAnsi="仿宋" w:eastAsia="仿宋" w:cs="仿宋"/>
                <w:spacing w:val="-3"/>
              </w:rPr>
              <w:t>深</w:t>
            </w:r>
            <w:r>
              <w:rPr>
                <w:rFonts w:ascii="仿宋" w:hAnsi="仿宋" w:eastAsia="仿宋" w:cs="仿宋"/>
                <w:spacing w:val="-40"/>
              </w:rPr>
              <w:t xml:space="preserve"> </w:t>
            </w:r>
            <w:r>
              <w:rPr>
                <w:spacing w:val="-3"/>
              </w:rPr>
              <w:t>28cm</w:t>
            </w:r>
          </w:p>
        </w:tc>
      </w:tr>
      <w:tr w14:paraId="04F304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5B961D7A">
            <w:pPr>
              <w:rPr>
                <w:rFonts w:ascii="Arial"/>
                <w:sz w:val="21"/>
              </w:rPr>
            </w:pPr>
          </w:p>
        </w:tc>
        <w:tc>
          <w:tcPr>
            <w:tcW w:w="534" w:type="dxa"/>
            <w:vAlign w:val="top"/>
          </w:tcPr>
          <w:p w14:paraId="1378A7EB">
            <w:pPr>
              <w:pStyle w:val="6"/>
              <w:spacing w:before="47" w:line="188" w:lineRule="auto"/>
              <w:ind w:left="180"/>
            </w:pPr>
            <w:r>
              <w:rPr>
                <w:spacing w:val="-4"/>
              </w:rPr>
              <w:t>52</w:t>
            </w:r>
          </w:p>
        </w:tc>
        <w:tc>
          <w:tcPr>
            <w:tcW w:w="2585" w:type="dxa"/>
            <w:gridSpan w:val="3"/>
            <w:vAlign w:val="top"/>
          </w:tcPr>
          <w:p w14:paraId="3DEE766A">
            <w:pPr>
              <w:pStyle w:val="6"/>
              <w:spacing w:before="47" w:line="188" w:lineRule="auto"/>
              <w:ind w:left="999"/>
            </w:pPr>
            <w:r>
              <w:rPr>
                <w:spacing w:val="-1"/>
              </w:rPr>
              <w:t>K2+458</w:t>
            </w:r>
          </w:p>
        </w:tc>
        <w:tc>
          <w:tcPr>
            <w:tcW w:w="1090" w:type="dxa"/>
            <w:vAlign w:val="top"/>
          </w:tcPr>
          <w:p w14:paraId="614525C2">
            <w:pPr>
              <w:spacing w:before="28" w:line="205" w:lineRule="auto"/>
              <w:ind w:left="288"/>
              <w:rPr>
                <w:rFonts w:ascii="仿宋" w:hAnsi="仿宋" w:eastAsia="仿宋" w:cs="仿宋"/>
                <w:sz w:val="18"/>
                <w:szCs w:val="18"/>
              </w:rPr>
            </w:pPr>
            <w:r>
              <w:rPr>
                <w:rFonts w:ascii="仿宋" w:hAnsi="仿宋" w:eastAsia="仿宋" w:cs="仿宋"/>
                <w:spacing w:val="-4"/>
                <w:sz w:val="18"/>
                <w:szCs w:val="18"/>
              </w:rPr>
              <w:t>排水沟</w:t>
            </w:r>
          </w:p>
        </w:tc>
        <w:tc>
          <w:tcPr>
            <w:tcW w:w="3431" w:type="dxa"/>
            <w:gridSpan w:val="4"/>
            <w:tcBorders>
              <w:right w:val="single" w:color="000000" w:sz="6" w:space="0"/>
            </w:tcBorders>
            <w:vAlign w:val="top"/>
          </w:tcPr>
          <w:p w14:paraId="19363490">
            <w:pPr>
              <w:pStyle w:val="6"/>
              <w:spacing w:before="28" w:line="205" w:lineRule="auto"/>
              <w:ind w:left="512"/>
            </w:pPr>
            <w:r>
              <w:rPr>
                <w:rFonts w:ascii="仿宋" w:hAnsi="仿宋" w:eastAsia="仿宋" w:cs="仿宋"/>
                <w:spacing w:val="-2"/>
              </w:rPr>
              <w:t>矩形排水沟，宽</w:t>
            </w:r>
            <w:r>
              <w:rPr>
                <w:rFonts w:ascii="仿宋" w:hAnsi="仿宋" w:eastAsia="仿宋" w:cs="仿宋"/>
                <w:spacing w:val="-28"/>
              </w:rPr>
              <w:t xml:space="preserve"> </w:t>
            </w:r>
            <w:r>
              <w:rPr>
                <w:spacing w:val="-2"/>
              </w:rPr>
              <w:t xml:space="preserve">90cm  </w:t>
            </w:r>
            <w:r>
              <w:rPr>
                <w:rFonts w:ascii="仿宋" w:hAnsi="仿宋" w:eastAsia="仿宋" w:cs="仿宋"/>
                <w:spacing w:val="-2"/>
              </w:rPr>
              <w:t>深</w:t>
            </w:r>
            <w:r>
              <w:rPr>
                <w:rFonts w:ascii="仿宋" w:hAnsi="仿宋" w:eastAsia="仿宋" w:cs="仿宋"/>
                <w:spacing w:val="-41"/>
              </w:rPr>
              <w:t xml:space="preserve"> </w:t>
            </w:r>
            <w:r>
              <w:rPr>
                <w:spacing w:val="-2"/>
              </w:rPr>
              <w:t>28cm</w:t>
            </w:r>
          </w:p>
        </w:tc>
      </w:tr>
      <w:tr w14:paraId="7FBCF1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758BF099">
            <w:pPr>
              <w:rPr>
                <w:rFonts w:ascii="Arial"/>
                <w:sz w:val="21"/>
              </w:rPr>
            </w:pPr>
          </w:p>
        </w:tc>
        <w:tc>
          <w:tcPr>
            <w:tcW w:w="7640" w:type="dxa"/>
            <w:gridSpan w:val="9"/>
            <w:tcBorders>
              <w:right w:val="single" w:color="000000" w:sz="6" w:space="0"/>
            </w:tcBorders>
            <w:vAlign w:val="top"/>
          </w:tcPr>
          <w:p w14:paraId="460961A0">
            <w:pPr>
              <w:spacing w:before="30" w:line="203" w:lineRule="auto"/>
              <w:ind w:left="2921"/>
              <w:rPr>
                <w:rFonts w:ascii="仿宋" w:hAnsi="仿宋" w:eastAsia="仿宋" w:cs="仿宋"/>
                <w:sz w:val="18"/>
                <w:szCs w:val="18"/>
              </w:rPr>
            </w:pPr>
            <w:r>
              <w:rPr>
                <w:rFonts w:ascii="仿宋" w:hAnsi="仿宋" w:eastAsia="仿宋" w:cs="仿宋"/>
                <w:spacing w:val="-2"/>
                <w:sz w:val="18"/>
                <w:szCs w:val="18"/>
              </w:rPr>
              <w:t>双山梁村通社公路工程</w:t>
            </w:r>
          </w:p>
        </w:tc>
      </w:tr>
      <w:tr w14:paraId="18E3B0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7EFED937">
            <w:pPr>
              <w:rPr>
                <w:rFonts w:ascii="Arial"/>
                <w:sz w:val="21"/>
              </w:rPr>
            </w:pPr>
          </w:p>
        </w:tc>
        <w:tc>
          <w:tcPr>
            <w:tcW w:w="534" w:type="dxa"/>
            <w:vAlign w:val="top"/>
          </w:tcPr>
          <w:p w14:paraId="18868186">
            <w:pPr>
              <w:pStyle w:val="6"/>
              <w:spacing w:before="46" w:line="188" w:lineRule="auto"/>
              <w:ind w:left="180"/>
            </w:pPr>
            <w:r>
              <w:rPr>
                <w:spacing w:val="-4"/>
              </w:rPr>
              <w:t>53</w:t>
            </w:r>
          </w:p>
        </w:tc>
        <w:tc>
          <w:tcPr>
            <w:tcW w:w="2585" w:type="dxa"/>
            <w:gridSpan w:val="3"/>
            <w:vAlign w:val="top"/>
          </w:tcPr>
          <w:p w14:paraId="486099C8">
            <w:pPr>
              <w:pStyle w:val="6"/>
              <w:spacing w:before="29" w:line="204" w:lineRule="auto"/>
              <w:ind w:left="612"/>
            </w:pPr>
            <w:r>
              <w:rPr>
                <w:spacing w:val="-1"/>
              </w:rPr>
              <w:t>K0+253</w:t>
            </w:r>
            <w:r>
              <w:rPr>
                <w:rFonts w:ascii="仿宋" w:hAnsi="仿宋" w:eastAsia="仿宋" w:cs="仿宋"/>
                <w:spacing w:val="-1"/>
              </w:rPr>
              <w:t>～</w:t>
            </w:r>
            <w:r>
              <w:rPr>
                <w:spacing w:val="-1"/>
              </w:rPr>
              <w:t>K0+337</w:t>
            </w:r>
          </w:p>
        </w:tc>
        <w:tc>
          <w:tcPr>
            <w:tcW w:w="1090" w:type="dxa"/>
            <w:vAlign w:val="top"/>
          </w:tcPr>
          <w:p w14:paraId="7A6BA3C6">
            <w:pPr>
              <w:spacing w:before="29" w:line="204" w:lineRule="auto"/>
              <w:ind w:left="382"/>
              <w:rPr>
                <w:rFonts w:ascii="仿宋" w:hAnsi="仿宋" w:eastAsia="仿宋" w:cs="仿宋"/>
                <w:sz w:val="18"/>
                <w:szCs w:val="18"/>
              </w:rPr>
            </w:pPr>
            <w:r>
              <w:rPr>
                <w:rFonts w:ascii="仿宋" w:hAnsi="仿宋" w:eastAsia="仿宋" w:cs="仿宋"/>
                <w:spacing w:val="-8"/>
                <w:sz w:val="18"/>
                <w:szCs w:val="18"/>
              </w:rPr>
              <w:t>边沟</w:t>
            </w:r>
          </w:p>
        </w:tc>
        <w:tc>
          <w:tcPr>
            <w:tcW w:w="3431" w:type="dxa"/>
            <w:gridSpan w:val="4"/>
            <w:tcBorders>
              <w:right w:val="single" w:color="000000" w:sz="6" w:space="0"/>
            </w:tcBorders>
            <w:vAlign w:val="top"/>
          </w:tcPr>
          <w:p w14:paraId="6A2E98A3">
            <w:pPr>
              <w:pStyle w:val="6"/>
              <w:spacing w:before="29" w:line="204" w:lineRule="auto"/>
              <w:ind w:left="422"/>
            </w:pPr>
            <w:r>
              <w:rPr>
                <w:rFonts w:ascii="仿宋" w:hAnsi="仿宋" w:eastAsia="仿宋" w:cs="仿宋"/>
                <w:spacing w:val="-3"/>
              </w:rPr>
              <w:t>倒</w:t>
            </w:r>
            <w:r>
              <w:rPr>
                <w:rFonts w:ascii="仿宋" w:hAnsi="仿宋" w:eastAsia="仿宋" w:cs="仿宋"/>
                <w:spacing w:val="-32"/>
              </w:rPr>
              <w:t xml:space="preserve"> </w:t>
            </w:r>
            <w:r>
              <w:rPr>
                <w:spacing w:val="-3"/>
              </w:rPr>
              <w:t>7</w:t>
            </w:r>
            <w:r>
              <w:rPr>
                <w:spacing w:val="18"/>
                <w:w w:val="102"/>
              </w:rPr>
              <w:t xml:space="preserve"> </w:t>
            </w:r>
            <w:r>
              <w:rPr>
                <w:rFonts w:ascii="仿宋" w:hAnsi="仿宋" w:eastAsia="仿宋" w:cs="仿宋"/>
                <w:spacing w:val="-3"/>
              </w:rPr>
              <w:t>字形边沟，宽</w:t>
            </w:r>
            <w:r>
              <w:rPr>
                <w:rFonts w:ascii="仿宋" w:hAnsi="仿宋" w:eastAsia="仿宋" w:cs="仿宋"/>
                <w:spacing w:val="-38"/>
              </w:rPr>
              <w:t xml:space="preserve"> </w:t>
            </w:r>
            <w:r>
              <w:rPr>
                <w:spacing w:val="-3"/>
              </w:rPr>
              <w:t xml:space="preserve">90cm  </w:t>
            </w:r>
            <w:r>
              <w:rPr>
                <w:rFonts w:ascii="仿宋" w:hAnsi="仿宋" w:eastAsia="仿宋" w:cs="仿宋"/>
                <w:spacing w:val="-3"/>
              </w:rPr>
              <w:t>深</w:t>
            </w:r>
            <w:r>
              <w:rPr>
                <w:rFonts w:ascii="仿宋" w:hAnsi="仿宋" w:eastAsia="仿宋" w:cs="仿宋"/>
                <w:spacing w:val="-40"/>
              </w:rPr>
              <w:t xml:space="preserve"> </w:t>
            </w:r>
            <w:r>
              <w:rPr>
                <w:spacing w:val="-3"/>
              </w:rPr>
              <w:t>28cm</w:t>
            </w:r>
          </w:p>
        </w:tc>
      </w:tr>
      <w:tr w14:paraId="6E05EB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2275EFCD">
            <w:pPr>
              <w:rPr>
                <w:rFonts w:ascii="Arial"/>
                <w:sz w:val="21"/>
              </w:rPr>
            </w:pPr>
          </w:p>
        </w:tc>
        <w:tc>
          <w:tcPr>
            <w:tcW w:w="534" w:type="dxa"/>
            <w:vAlign w:val="top"/>
          </w:tcPr>
          <w:p w14:paraId="65C22D15">
            <w:pPr>
              <w:pStyle w:val="6"/>
              <w:spacing w:before="48" w:line="188" w:lineRule="auto"/>
              <w:ind w:left="180"/>
            </w:pPr>
            <w:r>
              <w:rPr>
                <w:spacing w:val="-4"/>
              </w:rPr>
              <w:t>54</w:t>
            </w:r>
          </w:p>
        </w:tc>
        <w:tc>
          <w:tcPr>
            <w:tcW w:w="2585" w:type="dxa"/>
            <w:gridSpan w:val="3"/>
            <w:vAlign w:val="top"/>
          </w:tcPr>
          <w:p w14:paraId="0D859202">
            <w:pPr>
              <w:pStyle w:val="6"/>
              <w:spacing w:before="48" w:line="188" w:lineRule="auto"/>
              <w:ind w:left="999"/>
            </w:pPr>
            <w:r>
              <w:rPr>
                <w:spacing w:val="-1"/>
              </w:rPr>
              <w:t>K0+253</w:t>
            </w:r>
          </w:p>
        </w:tc>
        <w:tc>
          <w:tcPr>
            <w:tcW w:w="1090" w:type="dxa"/>
            <w:vAlign w:val="top"/>
          </w:tcPr>
          <w:p w14:paraId="652D5701">
            <w:pPr>
              <w:spacing w:before="31" w:line="202" w:lineRule="auto"/>
              <w:ind w:left="288"/>
              <w:rPr>
                <w:rFonts w:ascii="仿宋" w:hAnsi="仿宋" w:eastAsia="仿宋" w:cs="仿宋"/>
                <w:sz w:val="18"/>
                <w:szCs w:val="18"/>
              </w:rPr>
            </w:pPr>
            <w:r>
              <w:rPr>
                <w:rFonts w:ascii="仿宋" w:hAnsi="仿宋" w:eastAsia="仿宋" w:cs="仿宋"/>
                <w:spacing w:val="-4"/>
                <w:sz w:val="18"/>
                <w:szCs w:val="18"/>
              </w:rPr>
              <w:t>排水沟</w:t>
            </w:r>
          </w:p>
        </w:tc>
        <w:tc>
          <w:tcPr>
            <w:tcW w:w="3431" w:type="dxa"/>
            <w:gridSpan w:val="4"/>
            <w:tcBorders>
              <w:right w:val="single" w:color="000000" w:sz="6" w:space="0"/>
            </w:tcBorders>
            <w:vAlign w:val="top"/>
          </w:tcPr>
          <w:p w14:paraId="041EFDB3">
            <w:pPr>
              <w:pStyle w:val="6"/>
              <w:spacing w:before="31" w:line="202" w:lineRule="auto"/>
              <w:ind w:left="512"/>
            </w:pPr>
            <w:r>
              <w:rPr>
                <w:rFonts w:ascii="仿宋" w:hAnsi="仿宋" w:eastAsia="仿宋" w:cs="仿宋"/>
                <w:spacing w:val="-2"/>
              </w:rPr>
              <w:t>矩形排水沟，宽</w:t>
            </w:r>
            <w:r>
              <w:rPr>
                <w:rFonts w:ascii="仿宋" w:hAnsi="仿宋" w:eastAsia="仿宋" w:cs="仿宋"/>
                <w:spacing w:val="-28"/>
              </w:rPr>
              <w:t xml:space="preserve"> </w:t>
            </w:r>
            <w:r>
              <w:rPr>
                <w:spacing w:val="-2"/>
              </w:rPr>
              <w:t xml:space="preserve">90cm  </w:t>
            </w:r>
            <w:r>
              <w:rPr>
                <w:rFonts w:ascii="仿宋" w:hAnsi="仿宋" w:eastAsia="仿宋" w:cs="仿宋"/>
                <w:spacing w:val="-2"/>
              </w:rPr>
              <w:t>深</w:t>
            </w:r>
            <w:r>
              <w:rPr>
                <w:rFonts w:ascii="仿宋" w:hAnsi="仿宋" w:eastAsia="仿宋" w:cs="仿宋"/>
                <w:spacing w:val="-41"/>
              </w:rPr>
              <w:t xml:space="preserve"> </w:t>
            </w:r>
            <w:r>
              <w:rPr>
                <w:spacing w:val="-2"/>
              </w:rPr>
              <w:t>28cm</w:t>
            </w:r>
          </w:p>
        </w:tc>
      </w:tr>
      <w:tr w14:paraId="33276F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2D2FD670">
            <w:pPr>
              <w:rPr>
                <w:rFonts w:ascii="Arial"/>
                <w:sz w:val="21"/>
              </w:rPr>
            </w:pPr>
          </w:p>
        </w:tc>
        <w:tc>
          <w:tcPr>
            <w:tcW w:w="7640" w:type="dxa"/>
            <w:gridSpan w:val="9"/>
            <w:tcBorders>
              <w:right w:val="single" w:color="000000" w:sz="6" w:space="0"/>
            </w:tcBorders>
            <w:vAlign w:val="top"/>
          </w:tcPr>
          <w:p w14:paraId="2D24B545">
            <w:pPr>
              <w:spacing w:before="31" w:line="202" w:lineRule="auto"/>
              <w:ind w:left="1844"/>
              <w:rPr>
                <w:rFonts w:ascii="仿宋" w:hAnsi="仿宋" w:eastAsia="仿宋" w:cs="仿宋"/>
                <w:sz w:val="18"/>
                <w:szCs w:val="18"/>
              </w:rPr>
            </w:pPr>
            <w:r>
              <w:rPr>
                <w:rFonts w:ascii="仿宋" w:hAnsi="仿宋" w:eastAsia="仿宋" w:cs="仿宋"/>
                <w:spacing w:val="-1"/>
                <w:sz w:val="18"/>
                <w:szCs w:val="18"/>
              </w:rPr>
              <w:t>准格尔旗十二连城乡脑包湾村自然村通硬化路工程</w:t>
            </w:r>
          </w:p>
        </w:tc>
      </w:tr>
      <w:tr w14:paraId="5F2135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3F636A0E">
            <w:pPr>
              <w:rPr>
                <w:rFonts w:ascii="Arial"/>
                <w:sz w:val="21"/>
              </w:rPr>
            </w:pPr>
          </w:p>
        </w:tc>
        <w:tc>
          <w:tcPr>
            <w:tcW w:w="7640" w:type="dxa"/>
            <w:gridSpan w:val="9"/>
            <w:tcBorders>
              <w:right w:val="single" w:color="000000" w:sz="6" w:space="0"/>
            </w:tcBorders>
            <w:vAlign w:val="top"/>
          </w:tcPr>
          <w:p w14:paraId="5B86A408">
            <w:pPr>
              <w:spacing w:before="30" w:line="203" w:lineRule="auto"/>
              <w:ind w:left="3549"/>
              <w:rPr>
                <w:rFonts w:ascii="仿宋" w:hAnsi="仿宋" w:eastAsia="仿宋" w:cs="仿宋"/>
                <w:sz w:val="18"/>
                <w:szCs w:val="18"/>
              </w:rPr>
            </w:pPr>
            <w:r>
              <w:rPr>
                <w:rFonts w:ascii="仿宋" w:hAnsi="仿宋" w:eastAsia="仿宋" w:cs="仿宋"/>
                <w:spacing w:val="-4"/>
                <w:sz w:val="18"/>
                <w:szCs w:val="18"/>
              </w:rPr>
              <w:t>路段二</w:t>
            </w:r>
          </w:p>
        </w:tc>
      </w:tr>
      <w:tr w14:paraId="1A0A15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5A905E1C">
            <w:pPr>
              <w:rPr>
                <w:rFonts w:ascii="Arial"/>
                <w:sz w:val="21"/>
              </w:rPr>
            </w:pPr>
          </w:p>
        </w:tc>
        <w:tc>
          <w:tcPr>
            <w:tcW w:w="534" w:type="dxa"/>
            <w:vAlign w:val="top"/>
          </w:tcPr>
          <w:p w14:paraId="1F362E80">
            <w:pPr>
              <w:pStyle w:val="6"/>
              <w:spacing w:before="51" w:line="185" w:lineRule="auto"/>
              <w:ind w:left="180"/>
            </w:pPr>
            <w:r>
              <w:rPr>
                <w:spacing w:val="-4"/>
              </w:rPr>
              <w:t>55</w:t>
            </w:r>
          </w:p>
        </w:tc>
        <w:tc>
          <w:tcPr>
            <w:tcW w:w="2585" w:type="dxa"/>
            <w:gridSpan w:val="3"/>
            <w:vAlign w:val="top"/>
          </w:tcPr>
          <w:p w14:paraId="4D15BC48">
            <w:pPr>
              <w:pStyle w:val="6"/>
              <w:spacing w:before="32" w:line="202" w:lineRule="auto"/>
              <w:ind w:left="612"/>
            </w:pPr>
            <w:r>
              <w:rPr>
                <w:spacing w:val="-1"/>
              </w:rPr>
              <w:t>K1+020</w:t>
            </w:r>
            <w:r>
              <w:rPr>
                <w:rFonts w:ascii="仿宋" w:hAnsi="仿宋" w:eastAsia="仿宋" w:cs="仿宋"/>
                <w:spacing w:val="-1"/>
              </w:rPr>
              <w:t>～</w:t>
            </w:r>
            <w:r>
              <w:rPr>
                <w:spacing w:val="-1"/>
              </w:rPr>
              <w:t>K1+236</w:t>
            </w:r>
          </w:p>
        </w:tc>
        <w:tc>
          <w:tcPr>
            <w:tcW w:w="1090" w:type="dxa"/>
            <w:vAlign w:val="top"/>
          </w:tcPr>
          <w:p w14:paraId="00655F26">
            <w:pPr>
              <w:spacing w:before="32" w:line="202" w:lineRule="auto"/>
              <w:ind w:left="382"/>
              <w:rPr>
                <w:rFonts w:ascii="仿宋" w:hAnsi="仿宋" w:eastAsia="仿宋" w:cs="仿宋"/>
                <w:sz w:val="18"/>
                <w:szCs w:val="18"/>
              </w:rPr>
            </w:pPr>
            <w:r>
              <w:rPr>
                <w:rFonts w:ascii="仿宋" w:hAnsi="仿宋" w:eastAsia="仿宋" w:cs="仿宋"/>
                <w:spacing w:val="-8"/>
                <w:sz w:val="18"/>
                <w:szCs w:val="18"/>
              </w:rPr>
              <w:t>边沟</w:t>
            </w:r>
          </w:p>
        </w:tc>
        <w:tc>
          <w:tcPr>
            <w:tcW w:w="3431" w:type="dxa"/>
            <w:gridSpan w:val="4"/>
            <w:tcBorders>
              <w:right w:val="single" w:color="000000" w:sz="6" w:space="0"/>
            </w:tcBorders>
            <w:vAlign w:val="top"/>
          </w:tcPr>
          <w:p w14:paraId="6B600CFD">
            <w:pPr>
              <w:pStyle w:val="6"/>
              <w:spacing w:before="32" w:line="202" w:lineRule="auto"/>
              <w:ind w:left="422"/>
            </w:pPr>
            <w:r>
              <w:rPr>
                <w:rFonts w:ascii="仿宋" w:hAnsi="仿宋" w:eastAsia="仿宋" w:cs="仿宋"/>
                <w:spacing w:val="-3"/>
              </w:rPr>
              <w:t>倒</w:t>
            </w:r>
            <w:r>
              <w:rPr>
                <w:rFonts w:ascii="仿宋" w:hAnsi="仿宋" w:eastAsia="仿宋" w:cs="仿宋"/>
                <w:spacing w:val="-32"/>
              </w:rPr>
              <w:t xml:space="preserve"> </w:t>
            </w:r>
            <w:r>
              <w:rPr>
                <w:spacing w:val="-3"/>
              </w:rPr>
              <w:t>7</w:t>
            </w:r>
            <w:r>
              <w:rPr>
                <w:spacing w:val="18"/>
                <w:w w:val="102"/>
              </w:rPr>
              <w:t xml:space="preserve"> </w:t>
            </w:r>
            <w:r>
              <w:rPr>
                <w:rFonts w:ascii="仿宋" w:hAnsi="仿宋" w:eastAsia="仿宋" w:cs="仿宋"/>
                <w:spacing w:val="-3"/>
              </w:rPr>
              <w:t>字形边沟，宽</w:t>
            </w:r>
            <w:r>
              <w:rPr>
                <w:rFonts w:ascii="仿宋" w:hAnsi="仿宋" w:eastAsia="仿宋" w:cs="仿宋"/>
                <w:spacing w:val="-38"/>
              </w:rPr>
              <w:t xml:space="preserve"> </w:t>
            </w:r>
            <w:r>
              <w:rPr>
                <w:spacing w:val="-3"/>
              </w:rPr>
              <w:t xml:space="preserve">90cm  </w:t>
            </w:r>
            <w:r>
              <w:rPr>
                <w:rFonts w:ascii="仿宋" w:hAnsi="仿宋" w:eastAsia="仿宋" w:cs="仿宋"/>
                <w:spacing w:val="-3"/>
              </w:rPr>
              <w:t>深</w:t>
            </w:r>
            <w:r>
              <w:rPr>
                <w:rFonts w:ascii="仿宋" w:hAnsi="仿宋" w:eastAsia="仿宋" w:cs="仿宋"/>
                <w:spacing w:val="-40"/>
              </w:rPr>
              <w:t xml:space="preserve"> </w:t>
            </w:r>
            <w:r>
              <w:rPr>
                <w:spacing w:val="-3"/>
              </w:rPr>
              <w:t>28cm</w:t>
            </w:r>
          </w:p>
        </w:tc>
      </w:tr>
      <w:tr w14:paraId="608E2B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6613EA41">
            <w:pPr>
              <w:rPr>
                <w:rFonts w:ascii="Arial"/>
                <w:sz w:val="21"/>
              </w:rPr>
            </w:pPr>
          </w:p>
        </w:tc>
        <w:tc>
          <w:tcPr>
            <w:tcW w:w="534" w:type="dxa"/>
            <w:vAlign w:val="top"/>
          </w:tcPr>
          <w:p w14:paraId="3886495C">
            <w:pPr>
              <w:pStyle w:val="6"/>
              <w:spacing w:before="49" w:line="188" w:lineRule="auto"/>
              <w:ind w:left="180"/>
            </w:pPr>
            <w:r>
              <w:rPr>
                <w:spacing w:val="-4"/>
              </w:rPr>
              <w:t>56</w:t>
            </w:r>
          </w:p>
        </w:tc>
        <w:tc>
          <w:tcPr>
            <w:tcW w:w="2585" w:type="dxa"/>
            <w:gridSpan w:val="3"/>
            <w:vAlign w:val="top"/>
          </w:tcPr>
          <w:p w14:paraId="5BA2AC2C">
            <w:pPr>
              <w:pStyle w:val="6"/>
              <w:spacing w:before="49" w:line="188" w:lineRule="auto"/>
              <w:ind w:left="999"/>
            </w:pPr>
            <w:r>
              <w:rPr>
                <w:spacing w:val="-1"/>
              </w:rPr>
              <w:t>K1+020</w:t>
            </w:r>
          </w:p>
        </w:tc>
        <w:tc>
          <w:tcPr>
            <w:tcW w:w="1090" w:type="dxa"/>
            <w:vAlign w:val="top"/>
          </w:tcPr>
          <w:p w14:paraId="2270F261">
            <w:pPr>
              <w:spacing w:before="30" w:line="203" w:lineRule="auto"/>
              <w:ind w:left="288"/>
              <w:rPr>
                <w:rFonts w:ascii="仿宋" w:hAnsi="仿宋" w:eastAsia="仿宋" w:cs="仿宋"/>
                <w:sz w:val="18"/>
                <w:szCs w:val="18"/>
              </w:rPr>
            </w:pPr>
            <w:r>
              <w:rPr>
                <w:rFonts w:ascii="仿宋" w:hAnsi="仿宋" w:eastAsia="仿宋" w:cs="仿宋"/>
                <w:spacing w:val="-4"/>
                <w:sz w:val="18"/>
                <w:szCs w:val="18"/>
              </w:rPr>
              <w:t>排水沟</w:t>
            </w:r>
          </w:p>
        </w:tc>
        <w:tc>
          <w:tcPr>
            <w:tcW w:w="3431" w:type="dxa"/>
            <w:gridSpan w:val="4"/>
            <w:tcBorders>
              <w:right w:val="single" w:color="000000" w:sz="6" w:space="0"/>
            </w:tcBorders>
            <w:vAlign w:val="top"/>
          </w:tcPr>
          <w:p w14:paraId="1B53FF31">
            <w:pPr>
              <w:pStyle w:val="6"/>
              <w:spacing w:before="30" w:line="203" w:lineRule="auto"/>
              <w:ind w:left="491"/>
            </w:pPr>
            <w:r>
              <w:rPr>
                <w:rFonts w:ascii="仿宋" w:hAnsi="仿宋" w:eastAsia="仿宋" w:cs="仿宋"/>
                <w:spacing w:val="-2"/>
              </w:rPr>
              <w:t>矩形排水沟，宽</w:t>
            </w:r>
            <w:r>
              <w:rPr>
                <w:rFonts w:ascii="仿宋" w:hAnsi="仿宋" w:eastAsia="仿宋" w:cs="仿宋"/>
                <w:spacing w:val="-28"/>
              </w:rPr>
              <w:t xml:space="preserve"> </w:t>
            </w:r>
            <w:r>
              <w:rPr>
                <w:spacing w:val="-2"/>
              </w:rPr>
              <w:t xml:space="preserve">90cm  </w:t>
            </w:r>
            <w:r>
              <w:rPr>
                <w:rFonts w:ascii="仿宋" w:hAnsi="仿宋" w:eastAsia="仿宋" w:cs="仿宋"/>
                <w:spacing w:val="-2"/>
              </w:rPr>
              <w:t>深</w:t>
            </w:r>
            <w:r>
              <w:rPr>
                <w:rFonts w:ascii="仿宋" w:hAnsi="仿宋" w:eastAsia="仿宋" w:cs="仿宋"/>
                <w:spacing w:val="5"/>
              </w:rPr>
              <w:t xml:space="preserve"> </w:t>
            </w:r>
            <w:r>
              <w:rPr>
                <w:spacing w:val="-2"/>
              </w:rPr>
              <w:t>28cm</w:t>
            </w:r>
          </w:p>
        </w:tc>
      </w:tr>
      <w:tr w14:paraId="0D72A3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54E8AC42">
            <w:pPr>
              <w:rPr>
                <w:rFonts w:ascii="Arial"/>
                <w:sz w:val="21"/>
              </w:rPr>
            </w:pPr>
          </w:p>
        </w:tc>
        <w:tc>
          <w:tcPr>
            <w:tcW w:w="534" w:type="dxa"/>
            <w:vAlign w:val="top"/>
          </w:tcPr>
          <w:p w14:paraId="29F439D5">
            <w:pPr>
              <w:pStyle w:val="6"/>
              <w:spacing w:before="51" w:line="185" w:lineRule="auto"/>
              <w:ind w:left="180"/>
            </w:pPr>
            <w:r>
              <w:rPr>
                <w:spacing w:val="-4"/>
              </w:rPr>
              <w:t>57</w:t>
            </w:r>
          </w:p>
        </w:tc>
        <w:tc>
          <w:tcPr>
            <w:tcW w:w="2585" w:type="dxa"/>
            <w:gridSpan w:val="3"/>
            <w:vAlign w:val="top"/>
          </w:tcPr>
          <w:p w14:paraId="5DEBA686">
            <w:pPr>
              <w:pStyle w:val="6"/>
              <w:spacing w:before="32" w:line="202" w:lineRule="auto"/>
              <w:ind w:left="612"/>
            </w:pPr>
            <w:r>
              <w:rPr>
                <w:spacing w:val="-1"/>
              </w:rPr>
              <w:t>K1+057</w:t>
            </w:r>
            <w:r>
              <w:rPr>
                <w:rFonts w:ascii="仿宋" w:hAnsi="仿宋" w:eastAsia="仿宋" w:cs="仿宋"/>
                <w:spacing w:val="-1"/>
              </w:rPr>
              <w:t>～</w:t>
            </w:r>
            <w:r>
              <w:rPr>
                <w:spacing w:val="-1"/>
              </w:rPr>
              <w:t>K1+236</w:t>
            </w:r>
          </w:p>
        </w:tc>
        <w:tc>
          <w:tcPr>
            <w:tcW w:w="1090" w:type="dxa"/>
            <w:vAlign w:val="top"/>
          </w:tcPr>
          <w:p w14:paraId="5C272F27">
            <w:pPr>
              <w:spacing w:before="32" w:line="202" w:lineRule="auto"/>
              <w:ind w:left="382"/>
              <w:rPr>
                <w:rFonts w:ascii="仿宋" w:hAnsi="仿宋" w:eastAsia="仿宋" w:cs="仿宋"/>
                <w:sz w:val="18"/>
                <w:szCs w:val="18"/>
              </w:rPr>
            </w:pPr>
            <w:r>
              <w:rPr>
                <w:rFonts w:ascii="仿宋" w:hAnsi="仿宋" w:eastAsia="仿宋" w:cs="仿宋"/>
                <w:spacing w:val="-8"/>
                <w:sz w:val="18"/>
                <w:szCs w:val="18"/>
              </w:rPr>
              <w:t>边沟</w:t>
            </w:r>
          </w:p>
        </w:tc>
        <w:tc>
          <w:tcPr>
            <w:tcW w:w="3431" w:type="dxa"/>
            <w:gridSpan w:val="4"/>
            <w:tcBorders>
              <w:right w:val="single" w:color="000000" w:sz="6" w:space="0"/>
            </w:tcBorders>
            <w:vAlign w:val="top"/>
          </w:tcPr>
          <w:p w14:paraId="12BF799F">
            <w:pPr>
              <w:pStyle w:val="6"/>
              <w:spacing w:before="32" w:line="202" w:lineRule="auto"/>
              <w:ind w:left="422"/>
            </w:pPr>
            <w:r>
              <w:rPr>
                <w:rFonts w:ascii="仿宋" w:hAnsi="仿宋" w:eastAsia="仿宋" w:cs="仿宋"/>
                <w:spacing w:val="-3"/>
              </w:rPr>
              <w:t>倒</w:t>
            </w:r>
            <w:r>
              <w:rPr>
                <w:rFonts w:ascii="仿宋" w:hAnsi="仿宋" w:eastAsia="仿宋" w:cs="仿宋"/>
                <w:spacing w:val="-32"/>
              </w:rPr>
              <w:t xml:space="preserve"> </w:t>
            </w:r>
            <w:r>
              <w:rPr>
                <w:spacing w:val="-3"/>
              </w:rPr>
              <w:t>7</w:t>
            </w:r>
            <w:r>
              <w:rPr>
                <w:spacing w:val="18"/>
                <w:w w:val="102"/>
              </w:rPr>
              <w:t xml:space="preserve"> </w:t>
            </w:r>
            <w:r>
              <w:rPr>
                <w:rFonts w:ascii="仿宋" w:hAnsi="仿宋" w:eastAsia="仿宋" w:cs="仿宋"/>
                <w:spacing w:val="-3"/>
              </w:rPr>
              <w:t>字形边沟，宽</w:t>
            </w:r>
            <w:r>
              <w:rPr>
                <w:rFonts w:ascii="仿宋" w:hAnsi="仿宋" w:eastAsia="仿宋" w:cs="仿宋"/>
                <w:spacing w:val="-38"/>
              </w:rPr>
              <w:t xml:space="preserve"> </w:t>
            </w:r>
            <w:r>
              <w:rPr>
                <w:spacing w:val="-3"/>
              </w:rPr>
              <w:t xml:space="preserve">90cm  </w:t>
            </w:r>
            <w:r>
              <w:rPr>
                <w:rFonts w:ascii="仿宋" w:hAnsi="仿宋" w:eastAsia="仿宋" w:cs="仿宋"/>
                <w:spacing w:val="-3"/>
              </w:rPr>
              <w:t>深</w:t>
            </w:r>
            <w:r>
              <w:rPr>
                <w:rFonts w:ascii="仿宋" w:hAnsi="仿宋" w:eastAsia="仿宋" w:cs="仿宋"/>
                <w:spacing w:val="-40"/>
              </w:rPr>
              <w:t xml:space="preserve"> </w:t>
            </w:r>
            <w:r>
              <w:rPr>
                <w:spacing w:val="-3"/>
              </w:rPr>
              <w:t>28cm</w:t>
            </w:r>
          </w:p>
        </w:tc>
      </w:tr>
      <w:tr w14:paraId="32FFC2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737" w:type="dxa"/>
            <w:vMerge w:val="continue"/>
            <w:tcBorders>
              <w:top w:val="nil"/>
              <w:left w:val="single" w:color="000000" w:sz="6" w:space="0"/>
              <w:bottom w:val="nil"/>
            </w:tcBorders>
            <w:vAlign w:val="top"/>
          </w:tcPr>
          <w:p w14:paraId="6253A226">
            <w:pPr>
              <w:rPr>
                <w:rFonts w:ascii="Arial"/>
                <w:sz w:val="21"/>
              </w:rPr>
            </w:pPr>
          </w:p>
        </w:tc>
        <w:tc>
          <w:tcPr>
            <w:tcW w:w="534" w:type="dxa"/>
            <w:tcBorders>
              <w:bottom w:val="single" w:color="000000" w:sz="10" w:space="0"/>
            </w:tcBorders>
            <w:vAlign w:val="top"/>
          </w:tcPr>
          <w:p w14:paraId="395D795A">
            <w:pPr>
              <w:pStyle w:val="6"/>
              <w:spacing w:before="47" w:line="188" w:lineRule="auto"/>
              <w:ind w:left="180"/>
            </w:pPr>
            <w:r>
              <w:rPr>
                <w:spacing w:val="-4"/>
              </w:rPr>
              <w:t>58</w:t>
            </w:r>
          </w:p>
        </w:tc>
        <w:tc>
          <w:tcPr>
            <w:tcW w:w="2585" w:type="dxa"/>
            <w:gridSpan w:val="3"/>
            <w:tcBorders>
              <w:bottom w:val="single" w:color="000000" w:sz="10" w:space="0"/>
            </w:tcBorders>
            <w:vAlign w:val="top"/>
          </w:tcPr>
          <w:p w14:paraId="51975123">
            <w:pPr>
              <w:pStyle w:val="6"/>
              <w:spacing w:before="47" w:line="188" w:lineRule="auto"/>
              <w:ind w:left="999"/>
            </w:pPr>
            <w:r>
              <w:rPr>
                <w:spacing w:val="-1"/>
              </w:rPr>
              <w:t>K1+045</w:t>
            </w:r>
          </w:p>
        </w:tc>
        <w:tc>
          <w:tcPr>
            <w:tcW w:w="1090" w:type="dxa"/>
            <w:tcBorders>
              <w:bottom w:val="single" w:color="000000" w:sz="10" w:space="0"/>
            </w:tcBorders>
            <w:vAlign w:val="top"/>
          </w:tcPr>
          <w:p w14:paraId="2C1C78CF">
            <w:pPr>
              <w:spacing w:before="30" w:line="212" w:lineRule="auto"/>
              <w:ind w:left="288"/>
              <w:rPr>
                <w:rFonts w:ascii="仿宋" w:hAnsi="仿宋" w:eastAsia="仿宋" w:cs="仿宋"/>
                <w:sz w:val="18"/>
                <w:szCs w:val="18"/>
              </w:rPr>
            </w:pPr>
            <w:r>
              <w:rPr>
                <w:rFonts w:ascii="仿宋" w:hAnsi="仿宋" w:eastAsia="仿宋" w:cs="仿宋"/>
                <w:spacing w:val="-4"/>
                <w:sz w:val="18"/>
                <w:szCs w:val="18"/>
              </w:rPr>
              <w:t>排水沟</w:t>
            </w:r>
          </w:p>
        </w:tc>
        <w:tc>
          <w:tcPr>
            <w:tcW w:w="3431" w:type="dxa"/>
            <w:gridSpan w:val="4"/>
            <w:tcBorders>
              <w:bottom w:val="single" w:color="000000" w:sz="10" w:space="0"/>
              <w:right w:val="single" w:color="000000" w:sz="6" w:space="0"/>
            </w:tcBorders>
            <w:vAlign w:val="top"/>
          </w:tcPr>
          <w:p w14:paraId="498B521F">
            <w:pPr>
              <w:pStyle w:val="6"/>
              <w:spacing w:before="30" w:line="212" w:lineRule="auto"/>
              <w:ind w:left="512"/>
            </w:pPr>
            <w:r>
              <w:rPr>
                <w:rFonts w:ascii="仿宋" w:hAnsi="仿宋" w:eastAsia="仿宋" w:cs="仿宋"/>
                <w:spacing w:val="-2"/>
              </w:rPr>
              <w:t>矩形排水沟，宽</w:t>
            </w:r>
            <w:r>
              <w:rPr>
                <w:rFonts w:ascii="仿宋" w:hAnsi="仿宋" w:eastAsia="仿宋" w:cs="仿宋"/>
                <w:spacing w:val="-28"/>
              </w:rPr>
              <w:t xml:space="preserve"> </w:t>
            </w:r>
            <w:r>
              <w:rPr>
                <w:spacing w:val="-2"/>
              </w:rPr>
              <w:t xml:space="preserve">90cm  </w:t>
            </w:r>
            <w:r>
              <w:rPr>
                <w:rFonts w:ascii="仿宋" w:hAnsi="仿宋" w:eastAsia="仿宋" w:cs="仿宋"/>
                <w:spacing w:val="-2"/>
              </w:rPr>
              <w:t>深</w:t>
            </w:r>
            <w:r>
              <w:rPr>
                <w:rFonts w:ascii="仿宋" w:hAnsi="仿宋" w:eastAsia="仿宋" w:cs="仿宋"/>
                <w:spacing w:val="-41"/>
              </w:rPr>
              <w:t xml:space="preserve"> </w:t>
            </w:r>
            <w:r>
              <w:rPr>
                <w:spacing w:val="-2"/>
              </w:rPr>
              <w:t>28cm</w:t>
            </w:r>
          </w:p>
        </w:tc>
      </w:tr>
      <w:tr w14:paraId="6C7F8E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01" w:hRule="atLeast"/>
        </w:trPr>
        <w:tc>
          <w:tcPr>
            <w:tcW w:w="737" w:type="dxa"/>
            <w:vMerge w:val="continue"/>
            <w:tcBorders>
              <w:top w:val="nil"/>
              <w:left w:val="single" w:color="000000" w:sz="6" w:space="0"/>
              <w:bottom w:val="nil"/>
            </w:tcBorders>
            <w:vAlign w:val="top"/>
          </w:tcPr>
          <w:p w14:paraId="30B737D1">
            <w:pPr>
              <w:rPr>
                <w:rFonts w:ascii="Arial"/>
                <w:sz w:val="21"/>
              </w:rPr>
            </w:pPr>
          </w:p>
        </w:tc>
        <w:tc>
          <w:tcPr>
            <w:tcW w:w="7640" w:type="dxa"/>
            <w:gridSpan w:val="9"/>
            <w:tcBorders>
              <w:top w:val="single" w:color="000000" w:sz="10" w:space="0"/>
              <w:bottom w:val="single" w:color="000000" w:sz="10" w:space="0"/>
              <w:right w:val="single" w:color="000000" w:sz="6" w:space="0"/>
            </w:tcBorders>
            <w:vAlign w:val="top"/>
          </w:tcPr>
          <w:p w14:paraId="1B54BC32">
            <w:pPr>
              <w:spacing w:before="237" w:line="3261" w:lineRule="exact"/>
              <w:ind w:firstLine="75"/>
            </w:pPr>
            <w:r>
              <w:rPr>
                <w:position w:val="-65"/>
              </w:rPr>
              <w:drawing>
                <wp:inline distT="0" distB="0" distL="0" distR="0">
                  <wp:extent cx="4735195" cy="2070100"/>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285"/>
                          <a:stretch>
                            <a:fillRect/>
                          </a:stretch>
                        </pic:blipFill>
                        <pic:spPr>
                          <a:xfrm>
                            <a:off x="0" y="0"/>
                            <a:ext cx="4735829" cy="2070354"/>
                          </a:xfrm>
                          <a:prstGeom prst="rect">
                            <a:avLst/>
                          </a:prstGeom>
                        </pic:spPr>
                      </pic:pic>
                    </a:graphicData>
                  </a:graphic>
                </wp:inline>
              </w:drawing>
            </w:r>
          </w:p>
          <w:p w14:paraId="4482CF31">
            <w:pPr>
              <w:pStyle w:val="6"/>
              <w:spacing w:before="281" w:line="231" w:lineRule="auto"/>
              <w:ind w:left="2730"/>
              <w:rPr>
                <w:rFonts w:ascii="仿宋" w:hAnsi="仿宋" w:eastAsia="仿宋" w:cs="仿宋"/>
                <w:sz w:val="20"/>
                <w:szCs w:val="20"/>
              </w:rPr>
            </w:pPr>
            <w:r>
              <w:rPr>
                <w:rFonts w:ascii="仿宋" w:hAnsi="仿宋" w:eastAsia="仿宋" w:cs="仿宋"/>
                <w:b/>
                <w:bCs/>
                <w:spacing w:val="3"/>
                <w:sz w:val="20"/>
                <w:szCs w:val="20"/>
              </w:rPr>
              <w:t>图</w:t>
            </w:r>
            <w:r>
              <w:rPr>
                <w:rFonts w:ascii="仿宋" w:hAnsi="仿宋" w:eastAsia="仿宋" w:cs="仿宋"/>
                <w:spacing w:val="-37"/>
                <w:sz w:val="20"/>
                <w:szCs w:val="20"/>
              </w:rPr>
              <w:t xml:space="preserve"> </w:t>
            </w:r>
            <w:r>
              <w:rPr>
                <w:b/>
                <w:bCs/>
                <w:spacing w:val="3"/>
                <w:sz w:val="20"/>
                <w:szCs w:val="20"/>
              </w:rPr>
              <w:t xml:space="preserve">2-4    </w:t>
            </w:r>
            <w:r>
              <w:rPr>
                <w:rFonts w:ascii="仿宋" w:hAnsi="仿宋" w:eastAsia="仿宋" w:cs="仿宋"/>
                <w:b/>
                <w:bCs/>
                <w:spacing w:val="3"/>
                <w:sz w:val="20"/>
                <w:szCs w:val="20"/>
              </w:rPr>
              <w:t>路基排水方案图</w:t>
            </w:r>
          </w:p>
          <w:p w14:paraId="4C1F211A">
            <w:pPr>
              <w:pStyle w:val="6"/>
              <w:spacing w:before="156" w:line="376" w:lineRule="auto"/>
              <w:ind w:left="9" w:firstLine="418"/>
              <w:jc w:val="both"/>
              <w:rPr>
                <w:rFonts w:ascii="仿宋" w:hAnsi="仿宋" w:eastAsia="仿宋" w:cs="仿宋"/>
                <w:sz w:val="20"/>
                <w:szCs w:val="20"/>
              </w:rPr>
            </w:pPr>
            <w:r>
              <w:rPr>
                <w:rFonts w:ascii="仿宋" w:hAnsi="仿宋" w:eastAsia="仿宋" w:cs="仿宋"/>
                <w:spacing w:val="6"/>
                <w:sz w:val="20"/>
                <w:szCs w:val="20"/>
              </w:rPr>
              <w:t>本次设计在</w:t>
            </w:r>
            <w:r>
              <w:rPr>
                <w:rFonts w:ascii="仿宋" w:hAnsi="仿宋" w:eastAsia="仿宋" w:cs="仿宋"/>
                <w:spacing w:val="-42"/>
                <w:sz w:val="20"/>
                <w:szCs w:val="20"/>
              </w:rPr>
              <w:t xml:space="preserve"> </w:t>
            </w:r>
            <w:r>
              <w:rPr>
                <w:spacing w:val="6"/>
                <w:sz w:val="20"/>
                <w:szCs w:val="20"/>
              </w:rPr>
              <w:t>K0+025</w:t>
            </w:r>
            <w:r>
              <w:rPr>
                <w:rFonts w:ascii="仿宋" w:hAnsi="仿宋" w:eastAsia="仿宋" w:cs="仿宋"/>
                <w:spacing w:val="6"/>
                <w:sz w:val="20"/>
                <w:szCs w:val="20"/>
              </w:rPr>
              <w:t>～</w:t>
            </w:r>
            <w:r>
              <w:rPr>
                <w:spacing w:val="6"/>
                <w:sz w:val="20"/>
                <w:szCs w:val="20"/>
              </w:rPr>
              <w:t>K0+115</w:t>
            </w:r>
            <w:r>
              <w:rPr>
                <w:spacing w:val="17"/>
                <w:w w:val="101"/>
                <w:sz w:val="20"/>
                <w:szCs w:val="20"/>
              </w:rPr>
              <w:t xml:space="preserve"> </w:t>
            </w:r>
            <w:r>
              <w:rPr>
                <w:rFonts w:ascii="仿宋" w:hAnsi="仿宋" w:eastAsia="仿宋" w:cs="仿宋"/>
                <w:spacing w:val="6"/>
                <w:sz w:val="20"/>
                <w:szCs w:val="20"/>
              </w:rPr>
              <w:t>和</w:t>
            </w:r>
            <w:r>
              <w:rPr>
                <w:rFonts w:ascii="仿宋" w:hAnsi="仿宋" w:eastAsia="仿宋" w:cs="仿宋"/>
                <w:spacing w:val="-40"/>
                <w:sz w:val="20"/>
                <w:szCs w:val="20"/>
              </w:rPr>
              <w:t xml:space="preserve"> </w:t>
            </w:r>
            <w:r>
              <w:rPr>
                <w:spacing w:val="6"/>
                <w:sz w:val="20"/>
                <w:szCs w:val="20"/>
              </w:rPr>
              <w:t>K0+115</w:t>
            </w:r>
            <w:r>
              <w:rPr>
                <w:rFonts w:ascii="仿宋" w:hAnsi="仿宋" w:eastAsia="仿宋" w:cs="仿宋"/>
                <w:spacing w:val="6"/>
                <w:sz w:val="20"/>
                <w:szCs w:val="20"/>
              </w:rPr>
              <w:t>～</w:t>
            </w:r>
            <w:r>
              <w:rPr>
                <w:spacing w:val="6"/>
                <w:sz w:val="20"/>
                <w:szCs w:val="20"/>
              </w:rPr>
              <w:t>K0+253</w:t>
            </w:r>
            <w:r>
              <w:rPr>
                <w:spacing w:val="22"/>
                <w:sz w:val="20"/>
                <w:szCs w:val="20"/>
              </w:rPr>
              <w:t xml:space="preserve"> </w:t>
            </w:r>
            <w:r>
              <w:rPr>
                <w:rFonts w:ascii="仿宋" w:hAnsi="仿宋" w:eastAsia="仿宋" w:cs="仿宋"/>
                <w:spacing w:val="6"/>
                <w:sz w:val="20"/>
                <w:szCs w:val="20"/>
              </w:rPr>
              <w:t>布设两段急流槽</w:t>
            </w:r>
            <w:r>
              <w:rPr>
                <w:rFonts w:ascii="仿宋" w:hAnsi="仿宋" w:eastAsia="仿宋" w:cs="仿宋"/>
                <w:spacing w:val="5"/>
                <w:sz w:val="20"/>
                <w:szCs w:val="20"/>
              </w:rPr>
              <w:t>，长度分别</w:t>
            </w:r>
            <w:r>
              <w:rPr>
                <w:rFonts w:ascii="仿宋" w:hAnsi="仿宋" w:eastAsia="仿宋" w:cs="仿宋"/>
                <w:spacing w:val="1"/>
                <w:sz w:val="20"/>
                <w:szCs w:val="20"/>
              </w:rPr>
              <w:t>为</w:t>
            </w:r>
            <w:r>
              <w:rPr>
                <w:rFonts w:ascii="仿宋" w:hAnsi="仿宋" w:eastAsia="仿宋" w:cs="仿宋"/>
                <w:spacing w:val="-47"/>
                <w:sz w:val="20"/>
                <w:szCs w:val="20"/>
              </w:rPr>
              <w:t xml:space="preserve"> </w:t>
            </w:r>
            <w:r>
              <w:rPr>
                <w:spacing w:val="1"/>
                <w:sz w:val="20"/>
                <w:szCs w:val="20"/>
              </w:rPr>
              <w:t>10.</w:t>
            </w:r>
            <w:r>
              <w:rPr>
                <w:spacing w:val="-25"/>
                <w:sz w:val="20"/>
                <w:szCs w:val="20"/>
              </w:rPr>
              <w:t xml:space="preserve"> </w:t>
            </w:r>
            <w:r>
              <w:rPr>
                <w:spacing w:val="1"/>
                <w:sz w:val="20"/>
                <w:szCs w:val="20"/>
              </w:rPr>
              <w:t>1m</w:t>
            </w:r>
            <w:r>
              <w:rPr>
                <w:rFonts w:ascii="仿宋" w:hAnsi="仿宋" w:eastAsia="仿宋" w:cs="仿宋"/>
                <w:spacing w:val="1"/>
                <w:sz w:val="20"/>
                <w:szCs w:val="20"/>
              </w:rPr>
              <w:t>和</w:t>
            </w:r>
            <w:r>
              <w:rPr>
                <w:spacing w:val="1"/>
                <w:sz w:val="20"/>
                <w:szCs w:val="20"/>
              </w:rPr>
              <w:t>7.9m</w:t>
            </w:r>
            <w:r>
              <w:rPr>
                <w:rFonts w:ascii="仿宋" w:hAnsi="仿宋" w:eastAsia="仿宋" w:cs="仿宋"/>
                <w:spacing w:val="1"/>
                <w:sz w:val="20"/>
                <w:szCs w:val="20"/>
              </w:rPr>
              <w:t>，均采用</w:t>
            </w:r>
            <w:r>
              <w:rPr>
                <w:spacing w:val="1"/>
                <w:sz w:val="20"/>
                <w:szCs w:val="20"/>
              </w:rPr>
              <w:t xml:space="preserve">C25 </w:t>
            </w:r>
            <w:r>
              <w:rPr>
                <w:rFonts w:ascii="仿宋" w:hAnsi="仿宋" w:eastAsia="仿宋" w:cs="仿宋"/>
                <w:spacing w:val="1"/>
                <w:sz w:val="20"/>
                <w:szCs w:val="20"/>
              </w:rPr>
              <w:t>现浇混凝土配未筛分碎石垫</w:t>
            </w:r>
            <w:r>
              <w:rPr>
                <w:rFonts w:ascii="仿宋" w:hAnsi="仿宋" w:eastAsia="仿宋" w:cs="仿宋"/>
                <w:sz w:val="20"/>
                <w:szCs w:val="20"/>
              </w:rPr>
              <w:t>层，并投入</w:t>
            </w:r>
            <w:r>
              <w:rPr>
                <w:sz w:val="20"/>
                <w:szCs w:val="20"/>
              </w:rPr>
              <w:t xml:space="preserve">φ8  </w:t>
            </w:r>
            <w:r>
              <w:rPr>
                <w:rFonts w:ascii="仿宋" w:hAnsi="仿宋" w:eastAsia="仿宋" w:cs="仿宋"/>
                <w:sz w:val="20"/>
                <w:szCs w:val="20"/>
              </w:rPr>
              <w:t>钢筋</w:t>
            </w:r>
            <w:r>
              <w:rPr>
                <w:rFonts w:ascii="仿宋" w:hAnsi="仿宋" w:eastAsia="仿宋" w:cs="仿宋"/>
                <w:spacing w:val="-50"/>
                <w:sz w:val="20"/>
                <w:szCs w:val="20"/>
              </w:rPr>
              <w:t xml:space="preserve"> </w:t>
            </w:r>
            <w:r>
              <w:rPr>
                <w:sz w:val="20"/>
                <w:szCs w:val="20"/>
              </w:rPr>
              <w:t>132.4kg</w:t>
            </w:r>
            <w:r>
              <w:rPr>
                <w:rFonts w:ascii="仿宋" w:hAnsi="仿宋" w:eastAsia="仿宋" w:cs="仿宋"/>
                <w:sz w:val="20"/>
                <w:szCs w:val="20"/>
              </w:rPr>
              <w:t>；施工时需开挖土方</w:t>
            </w:r>
            <w:r>
              <w:rPr>
                <w:rFonts w:ascii="仿宋" w:hAnsi="仿宋" w:eastAsia="仿宋" w:cs="仿宋"/>
                <w:spacing w:val="-32"/>
                <w:sz w:val="20"/>
                <w:szCs w:val="20"/>
              </w:rPr>
              <w:t xml:space="preserve"> </w:t>
            </w:r>
            <w:r>
              <w:rPr>
                <w:sz w:val="20"/>
                <w:szCs w:val="20"/>
              </w:rPr>
              <w:t>65m³</w:t>
            </w:r>
            <w:r>
              <w:rPr>
                <w:rFonts w:ascii="仿宋" w:hAnsi="仿宋" w:eastAsia="仿宋" w:cs="仿宋"/>
                <w:sz w:val="20"/>
                <w:szCs w:val="20"/>
              </w:rPr>
              <w:t>、拆除旧结构</w:t>
            </w:r>
            <w:r>
              <w:rPr>
                <w:rFonts w:ascii="仿宋" w:hAnsi="仿宋" w:eastAsia="仿宋" w:cs="仿宋"/>
                <w:spacing w:val="-21"/>
                <w:sz w:val="20"/>
                <w:szCs w:val="20"/>
              </w:rPr>
              <w:t xml:space="preserve"> </w:t>
            </w:r>
            <w:r>
              <w:rPr>
                <w:sz w:val="20"/>
                <w:szCs w:val="20"/>
              </w:rPr>
              <w:t>11.4m³</w:t>
            </w:r>
            <w:r>
              <w:rPr>
                <w:spacing w:val="-22"/>
                <w:sz w:val="20"/>
                <w:szCs w:val="20"/>
              </w:rPr>
              <w:t xml:space="preserve"> </w:t>
            </w:r>
            <w:r>
              <w:rPr>
                <w:rFonts w:ascii="仿宋" w:hAnsi="仿宋" w:eastAsia="仿宋" w:cs="仿宋"/>
                <w:sz w:val="20"/>
                <w:szCs w:val="20"/>
              </w:rPr>
              <w:t>,</w:t>
            </w:r>
            <w:r>
              <w:rPr>
                <w:rFonts w:ascii="仿宋" w:hAnsi="仿宋" w:eastAsia="仿宋" w:cs="仿宋"/>
                <w:spacing w:val="44"/>
                <w:sz w:val="20"/>
                <w:szCs w:val="20"/>
              </w:rPr>
              <w:t xml:space="preserve"> </w:t>
            </w:r>
            <w:r>
              <w:rPr>
                <w:rFonts w:ascii="仿宋" w:hAnsi="仿宋" w:eastAsia="仿宋" w:cs="仿宋"/>
                <w:sz w:val="20"/>
                <w:szCs w:val="20"/>
              </w:rPr>
              <w:t>随后培土回填</w:t>
            </w:r>
            <w:r>
              <w:rPr>
                <w:rFonts w:ascii="仿宋" w:hAnsi="仿宋" w:eastAsia="仿宋" w:cs="仿宋"/>
                <w:spacing w:val="-19"/>
                <w:sz w:val="20"/>
                <w:szCs w:val="20"/>
              </w:rPr>
              <w:t xml:space="preserve"> </w:t>
            </w:r>
            <w:r>
              <w:rPr>
                <w:sz w:val="20"/>
                <w:szCs w:val="20"/>
              </w:rPr>
              <w:t>1086m³</w:t>
            </w:r>
            <w:r>
              <w:rPr>
                <w:spacing w:val="-19"/>
                <w:sz w:val="20"/>
                <w:szCs w:val="20"/>
              </w:rPr>
              <w:t xml:space="preserve"> </w:t>
            </w:r>
            <w:r>
              <w:rPr>
                <w:rFonts w:ascii="仿宋" w:hAnsi="仿宋" w:eastAsia="仿宋" w:cs="仿宋"/>
                <w:sz w:val="20"/>
                <w:szCs w:val="20"/>
              </w:rPr>
              <w:t>,</w:t>
            </w:r>
            <w:r>
              <w:rPr>
                <w:rFonts w:ascii="仿宋" w:hAnsi="仿宋" w:eastAsia="仿宋" w:cs="仿宋"/>
                <w:spacing w:val="36"/>
                <w:sz w:val="20"/>
                <w:szCs w:val="20"/>
              </w:rPr>
              <w:t xml:space="preserve"> </w:t>
            </w:r>
            <w:r>
              <w:rPr>
                <w:rFonts w:ascii="仿宋" w:hAnsi="仿宋" w:eastAsia="仿宋" w:cs="仿宋"/>
                <w:sz w:val="20"/>
                <w:szCs w:val="20"/>
              </w:rPr>
              <w:t>形成完整的边</w:t>
            </w:r>
            <w:r>
              <w:rPr>
                <w:rFonts w:ascii="仿宋" w:hAnsi="仿宋" w:eastAsia="仿宋" w:cs="仿宋"/>
                <w:spacing w:val="7"/>
                <w:sz w:val="20"/>
                <w:szCs w:val="20"/>
              </w:rPr>
              <w:t>坡排水系统，确保路面雨水快速引排，防止冲刷破坏。</w:t>
            </w:r>
          </w:p>
          <w:p w14:paraId="46BB2CAE">
            <w:pPr>
              <w:pStyle w:val="6"/>
              <w:spacing w:before="6" w:line="231" w:lineRule="auto"/>
              <w:ind w:left="1816"/>
              <w:rPr>
                <w:rFonts w:ascii="仿宋" w:hAnsi="仿宋" w:eastAsia="仿宋" w:cs="仿宋"/>
                <w:sz w:val="20"/>
                <w:szCs w:val="20"/>
              </w:rPr>
            </w:pPr>
            <w:r>
              <w:rPr>
                <w:rFonts w:ascii="仿宋" w:hAnsi="仿宋" w:eastAsia="仿宋" w:cs="仿宋"/>
                <w:b/>
                <w:bCs/>
                <w:spacing w:val="-2"/>
                <w:sz w:val="20"/>
                <w:szCs w:val="20"/>
              </w:rPr>
              <w:t>表</w:t>
            </w:r>
            <w:r>
              <w:rPr>
                <w:b/>
                <w:bCs/>
                <w:spacing w:val="-2"/>
                <w:sz w:val="20"/>
                <w:szCs w:val="20"/>
              </w:rPr>
              <w:t xml:space="preserve">2-11     </w:t>
            </w:r>
            <w:r>
              <w:rPr>
                <w:rFonts w:ascii="仿宋" w:hAnsi="仿宋" w:eastAsia="仿宋" w:cs="仿宋"/>
                <w:b/>
                <w:bCs/>
                <w:spacing w:val="-2"/>
                <w:sz w:val="20"/>
                <w:szCs w:val="20"/>
              </w:rPr>
              <w:t>路基路面排水工程设置一览表（二）</w:t>
            </w:r>
          </w:p>
        </w:tc>
      </w:tr>
      <w:tr w14:paraId="528576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9" w:hRule="atLeast"/>
        </w:trPr>
        <w:tc>
          <w:tcPr>
            <w:tcW w:w="737" w:type="dxa"/>
            <w:vMerge w:val="continue"/>
            <w:tcBorders>
              <w:top w:val="nil"/>
              <w:left w:val="single" w:color="000000" w:sz="6" w:space="0"/>
              <w:bottom w:val="nil"/>
            </w:tcBorders>
            <w:vAlign w:val="top"/>
          </w:tcPr>
          <w:p w14:paraId="15504419">
            <w:pPr>
              <w:rPr>
                <w:rFonts w:ascii="Arial"/>
                <w:sz w:val="21"/>
              </w:rPr>
            </w:pPr>
          </w:p>
        </w:tc>
        <w:tc>
          <w:tcPr>
            <w:tcW w:w="534" w:type="dxa"/>
            <w:vMerge w:val="restart"/>
            <w:tcBorders>
              <w:top w:val="single" w:color="000000" w:sz="10" w:space="0"/>
              <w:bottom w:val="nil"/>
            </w:tcBorders>
            <w:vAlign w:val="top"/>
          </w:tcPr>
          <w:p w14:paraId="72B38E40">
            <w:pPr>
              <w:spacing w:before="152" w:line="222" w:lineRule="auto"/>
              <w:ind w:left="101"/>
              <w:rPr>
                <w:rFonts w:ascii="仿宋" w:hAnsi="仿宋" w:eastAsia="仿宋" w:cs="仿宋"/>
                <w:sz w:val="18"/>
                <w:szCs w:val="18"/>
              </w:rPr>
            </w:pPr>
            <w:r>
              <w:rPr>
                <w:rFonts w:ascii="仿宋" w:hAnsi="仿宋" w:eastAsia="仿宋" w:cs="仿宋"/>
                <w:spacing w:val="-6"/>
                <w:sz w:val="18"/>
                <w:szCs w:val="18"/>
              </w:rPr>
              <w:t>序号</w:t>
            </w:r>
          </w:p>
        </w:tc>
        <w:tc>
          <w:tcPr>
            <w:tcW w:w="1231" w:type="dxa"/>
            <w:vMerge w:val="restart"/>
            <w:tcBorders>
              <w:top w:val="single" w:color="000000" w:sz="10" w:space="0"/>
              <w:bottom w:val="nil"/>
            </w:tcBorders>
            <w:vAlign w:val="top"/>
          </w:tcPr>
          <w:p w14:paraId="781519EE">
            <w:pPr>
              <w:spacing w:before="151" w:line="224" w:lineRule="auto"/>
              <w:ind w:left="269"/>
              <w:rPr>
                <w:rFonts w:ascii="仿宋" w:hAnsi="仿宋" w:eastAsia="仿宋" w:cs="仿宋"/>
                <w:sz w:val="18"/>
                <w:szCs w:val="18"/>
              </w:rPr>
            </w:pPr>
            <w:r>
              <w:rPr>
                <w:rFonts w:ascii="仿宋" w:hAnsi="仿宋" w:eastAsia="仿宋" w:cs="仿宋"/>
                <w:spacing w:val="-11"/>
                <w:sz w:val="18"/>
                <w:szCs w:val="18"/>
              </w:rPr>
              <w:t>起讫桩号</w:t>
            </w:r>
          </w:p>
        </w:tc>
        <w:tc>
          <w:tcPr>
            <w:tcW w:w="829" w:type="dxa"/>
            <w:vMerge w:val="restart"/>
            <w:tcBorders>
              <w:top w:val="single" w:color="000000" w:sz="10" w:space="0"/>
              <w:bottom w:val="nil"/>
            </w:tcBorders>
            <w:vAlign w:val="top"/>
          </w:tcPr>
          <w:p w14:paraId="46CC9D97">
            <w:pPr>
              <w:spacing w:before="151" w:line="221" w:lineRule="auto"/>
              <w:ind w:left="73"/>
              <w:rPr>
                <w:rFonts w:ascii="仿宋" w:hAnsi="仿宋" w:eastAsia="仿宋" w:cs="仿宋"/>
                <w:sz w:val="18"/>
                <w:szCs w:val="18"/>
              </w:rPr>
            </w:pPr>
            <w:r>
              <w:rPr>
                <w:rFonts w:ascii="仿宋" w:hAnsi="仿宋" w:eastAsia="仿宋" w:cs="仿宋"/>
                <w:spacing w:val="-12"/>
                <w:sz w:val="18"/>
                <w:szCs w:val="18"/>
              </w:rPr>
              <w:t>工程名称</w:t>
            </w:r>
          </w:p>
        </w:tc>
        <w:tc>
          <w:tcPr>
            <w:tcW w:w="2245" w:type="dxa"/>
            <w:gridSpan w:val="3"/>
            <w:vMerge w:val="restart"/>
            <w:tcBorders>
              <w:top w:val="single" w:color="000000" w:sz="10" w:space="0"/>
              <w:bottom w:val="nil"/>
            </w:tcBorders>
            <w:vAlign w:val="top"/>
          </w:tcPr>
          <w:p w14:paraId="2AF279E1">
            <w:pPr>
              <w:spacing w:before="151" w:line="223" w:lineRule="auto"/>
              <w:ind w:left="515"/>
              <w:rPr>
                <w:rFonts w:ascii="仿宋" w:hAnsi="仿宋" w:eastAsia="仿宋" w:cs="仿宋"/>
                <w:sz w:val="18"/>
                <w:szCs w:val="18"/>
              </w:rPr>
            </w:pPr>
            <w:r>
              <w:rPr>
                <w:rFonts w:ascii="仿宋" w:hAnsi="仿宋" w:eastAsia="仿宋" w:cs="仿宋"/>
                <w:spacing w:val="-9"/>
                <w:sz w:val="18"/>
                <w:szCs w:val="18"/>
              </w:rPr>
              <w:t>主要尺寸及说明</w:t>
            </w:r>
          </w:p>
        </w:tc>
        <w:tc>
          <w:tcPr>
            <w:tcW w:w="1537" w:type="dxa"/>
            <w:gridSpan w:val="2"/>
            <w:tcBorders>
              <w:top w:val="single" w:color="000000" w:sz="10" w:space="0"/>
            </w:tcBorders>
            <w:vAlign w:val="top"/>
          </w:tcPr>
          <w:p w14:paraId="1F2DDF45">
            <w:pPr>
              <w:spacing w:before="29" w:line="194" w:lineRule="auto"/>
              <w:ind w:left="598"/>
              <w:rPr>
                <w:rFonts w:ascii="仿宋" w:hAnsi="仿宋" w:eastAsia="仿宋" w:cs="仿宋"/>
                <w:sz w:val="18"/>
                <w:szCs w:val="18"/>
              </w:rPr>
            </w:pPr>
            <w:r>
              <w:rPr>
                <w:rFonts w:ascii="仿宋" w:hAnsi="仿宋" w:eastAsia="仿宋" w:cs="仿宋"/>
                <w:spacing w:val="-6"/>
                <w:sz w:val="18"/>
                <w:szCs w:val="18"/>
              </w:rPr>
              <w:t>长度</w:t>
            </w:r>
          </w:p>
        </w:tc>
        <w:tc>
          <w:tcPr>
            <w:tcW w:w="1264" w:type="dxa"/>
            <w:vMerge w:val="restart"/>
            <w:tcBorders>
              <w:top w:val="single" w:color="000000" w:sz="10" w:space="0"/>
              <w:bottom w:val="nil"/>
              <w:right w:val="single" w:color="000000" w:sz="6" w:space="0"/>
            </w:tcBorders>
            <w:vAlign w:val="top"/>
          </w:tcPr>
          <w:p w14:paraId="6A5DDEA6">
            <w:pPr>
              <w:pStyle w:val="6"/>
              <w:spacing w:before="151" w:line="210" w:lineRule="auto"/>
              <w:ind w:left="288"/>
            </w:pPr>
            <w:r>
              <w:rPr>
                <w:rFonts w:ascii="仿宋" w:hAnsi="仿宋" w:eastAsia="仿宋" w:cs="仿宋"/>
                <w:spacing w:val="-8"/>
              </w:rPr>
              <w:t>道数</w:t>
            </w:r>
            <w:r>
              <w:rPr>
                <w:rFonts w:ascii="仿宋" w:hAnsi="仿宋" w:eastAsia="仿宋" w:cs="仿宋"/>
                <w:spacing w:val="-16"/>
              </w:rPr>
              <w:t xml:space="preserve"> </w:t>
            </w:r>
            <w:r>
              <w:rPr>
                <w:spacing w:val="-8"/>
              </w:rPr>
              <w:t>(</w:t>
            </w:r>
            <w:r>
              <w:rPr>
                <w:rFonts w:ascii="仿宋" w:hAnsi="仿宋" w:eastAsia="仿宋" w:cs="仿宋"/>
                <w:spacing w:val="-8"/>
              </w:rPr>
              <w:t>道</w:t>
            </w:r>
            <w:r>
              <w:rPr>
                <w:spacing w:val="-8"/>
              </w:rPr>
              <w:t>)</w:t>
            </w:r>
          </w:p>
        </w:tc>
      </w:tr>
      <w:tr w14:paraId="3515B2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4BC2485B">
            <w:pPr>
              <w:rPr>
                <w:rFonts w:ascii="Arial"/>
                <w:sz w:val="21"/>
              </w:rPr>
            </w:pPr>
          </w:p>
        </w:tc>
        <w:tc>
          <w:tcPr>
            <w:tcW w:w="534" w:type="dxa"/>
            <w:vMerge w:val="continue"/>
            <w:tcBorders>
              <w:top w:val="nil"/>
            </w:tcBorders>
            <w:vAlign w:val="top"/>
          </w:tcPr>
          <w:p w14:paraId="65473BD4">
            <w:pPr>
              <w:rPr>
                <w:rFonts w:ascii="Arial"/>
                <w:sz w:val="21"/>
              </w:rPr>
            </w:pPr>
          </w:p>
        </w:tc>
        <w:tc>
          <w:tcPr>
            <w:tcW w:w="1231" w:type="dxa"/>
            <w:vMerge w:val="continue"/>
            <w:tcBorders>
              <w:top w:val="nil"/>
            </w:tcBorders>
            <w:vAlign w:val="top"/>
          </w:tcPr>
          <w:p w14:paraId="22D82711">
            <w:pPr>
              <w:rPr>
                <w:rFonts w:ascii="Arial"/>
                <w:sz w:val="21"/>
              </w:rPr>
            </w:pPr>
          </w:p>
        </w:tc>
        <w:tc>
          <w:tcPr>
            <w:tcW w:w="829" w:type="dxa"/>
            <w:vMerge w:val="continue"/>
            <w:tcBorders>
              <w:top w:val="nil"/>
            </w:tcBorders>
            <w:vAlign w:val="top"/>
          </w:tcPr>
          <w:p w14:paraId="07423BF3">
            <w:pPr>
              <w:rPr>
                <w:rFonts w:ascii="Arial"/>
                <w:sz w:val="21"/>
              </w:rPr>
            </w:pPr>
          </w:p>
        </w:tc>
        <w:tc>
          <w:tcPr>
            <w:tcW w:w="2245" w:type="dxa"/>
            <w:gridSpan w:val="3"/>
            <w:vMerge w:val="continue"/>
            <w:tcBorders>
              <w:top w:val="nil"/>
            </w:tcBorders>
            <w:vAlign w:val="top"/>
          </w:tcPr>
          <w:p w14:paraId="6C73BDAA">
            <w:pPr>
              <w:rPr>
                <w:rFonts w:ascii="Arial"/>
                <w:sz w:val="21"/>
              </w:rPr>
            </w:pPr>
          </w:p>
        </w:tc>
        <w:tc>
          <w:tcPr>
            <w:tcW w:w="768" w:type="dxa"/>
            <w:vAlign w:val="top"/>
          </w:tcPr>
          <w:p w14:paraId="50506D90">
            <w:pPr>
              <w:pStyle w:val="6"/>
              <w:spacing w:before="39" w:line="193" w:lineRule="auto"/>
              <w:ind w:left="57"/>
              <w:rPr>
                <w:rFonts w:ascii="仿宋" w:hAnsi="仿宋" w:eastAsia="仿宋" w:cs="仿宋"/>
              </w:rPr>
            </w:pPr>
            <w:r>
              <w:rPr>
                <w:rFonts w:ascii="仿宋" w:hAnsi="仿宋" w:eastAsia="仿宋" w:cs="仿宋"/>
                <w:spacing w:val="-9"/>
              </w:rPr>
              <w:t>左（</w:t>
            </w:r>
            <w:r>
              <w:rPr>
                <w:spacing w:val="-9"/>
              </w:rPr>
              <w:t>m</w:t>
            </w:r>
            <w:r>
              <w:rPr>
                <w:rFonts w:ascii="仿宋" w:hAnsi="仿宋" w:eastAsia="仿宋" w:cs="仿宋"/>
                <w:spacing w:val="-9"/>
              </w:rPr>
              <w:t>）</w:t>
            </w:r>
          </w:p>
        </w:tc>
        <w:tc>
          <w:tcPr>
            <w:tcW w:w="769" w:type="dxa"/>
            <w:vAlign w:val="top"/>
          </w:tcPr>
          <w:p w14:paraId="07753D78">
            <w:pPr>
              <w:pStyle w:val="6"/>
              <w:spacing w:before="39" w:line="193" w:lineRule="auto"/>
              <w:ind w:left="72"/>
              <w:rPr>
                <w:rFonts w:ascii="仿宋" w:hAnsi="仿宋" w:eastAsia="仿宋" w:cs="仿宋"/>
              </w:rPr>
            </w:pPr>
            <w:r>
              <w:rPr>
                <w:rFonts w:ascii="仿宋" w:hAnsi="仿宋" w:eastAsia="仿宋" w:cs="仿宋"/>
                <w:spacing w:val="-17"/>
              </w:rPr>
              <w:t>右（</w:t>
            </w:r>
            <w:r>
              <w:rPr>
                <w:spacing w:val="-17"/>
              </w:rPr>
              <w:t>m</w:t>
            </w:r>
            <w:r>
              <w:rPr>
                <w:rFonts w:ascii="仿宋" w:hAnsi="仿宋" w:eastAsia="仿宋" w:cs="仿宋"/>
                <w:spacing w:val="-17"/>
              </w:rPr>
              <w:t>）</w:t>
            </w:r>
          </w:p>
        </w:tc>
        <w:tc>
          <w:tcPr>
            <w:tcW w:w="1264" w:type="dxa"/>
            <w:vMerge w:val="continue"/>
            <w:tcBorders>
              <w:top w:val="nil"/>
              <w:right w:val="single" w:color="000000" w:sz="6" w:space="0"/>
            </w:tcBorders>
            <w:vAlign w:val="top"/>
          </w:tcPr>
          <w:p w14:paraId="3B092A20">
            <w:pPr>
              <w:rPr>
                <w:rFonts w:ascii="Arial"/>
                <w:sz w:val="21"/>
              </w:rPr>
            </w:pPr>
          </w:p>
        </w:tc>
      </w:tr>
      <w:tr w14:paraId="722988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737" w:type="dxa"/>
            <w:vMerge w:val="continue"/>
            <w:tcBorders>
              <w:top w:val="nil"/>
              <w:left w:val="single" w:color="000000" w:sz="6" w:space="0"/>
              <w:bottom w:val="nil"/>
            </w:tcBorders>
            <w:vAlign w:val="top"/>
          </w:tcPr>
          <w:p w14:paraId="63F5BC05">
            <w:pPr>
              <w:rPr>
                <w:rFonts w:ascii="Arial"/>
                <w:sz w:val="21"/>
              </w:rPr>
            </w:pPr>
          </w:p>
        </w:tc>
        <w:tc>
          <w:tcPr>
            <w:tcW w:w="534" w:type="dxa"/>
            <w:vAlign w:val="top"/>
          </w:tcPr>
          <w:p w14:paraId="22C296F4">
            <w:pPr>
              <w:pStyle w:val="6"/>
              <w:spacing w:before="174" w:line="188" w:lineRule="auto"/>
              <w:ind w:left="235"/>
            </w:pPr>
            <w:r>
              <w:t>1</w:t>
            </w:r>
          </w:p>
        </w:tc>
        <w:tc>
          <w:tcPr>
            <w:tcW w:w="1231" w:type="dxa"/>
            <w:vAlign w:val="top"/>
          </w:tcPr>
          <w:p w14:paraId="38AC900D">
            <w:pPr>
              <w:pStyle w:val="6"/>
              <w:spacing w:before="39"/>
              <w:ind w:left="214"/>
              <w:rPr>
                <w:rFonts w:ascii="仿宋" w:hAnsi="仿宋" w:eastAsia="仿宋" w:cs="仿宋"/>
              </w:rPr>
            </w:pPr>
            <w:r>
              <w:rPr>
                <w:spacing w:val="7"/>
              </w:rPr>
              <w:t>K0+025</w:t>
            </w:r>
            <w:r>
              <w:rPr>
                <w:rFonts w:ascii="仿宋" w:hAnsi="仿宋" w:eastAsia="仿宋" w:cs="仿宋"/>
                <w:spacing w:val="7"/>
              </w:rPr>
              <w:t>~</w:t>
            </w:r>
          </w:p>
          <w:p w14:paraId="10AAFD22">
            <w:pPr>
              <w:pStyle w:val="6"/>
              <w:spacing w:before="17" w:line="166" w:lineRule="auto"/>
              <w:ind w:left="305"/>
            </w:pPr>
            <w:r>
              <w:rPr>
                <w:spacing w:val="-3"/>
              </w:rPr>
              <w:t>K0+115</w:t>
            </w:r>
          </w:p>
        </w:tc>
        <w:tc>
          <w:tcPr>
            <w:tcW w:w="829" w:type="dxa"/>
            <w:vAlign w:val="top"/>
          </w:tcPr>
          <w:p w14:paraId="506C8975">
            <w:pPr>
              <w:spacing w:before="143" w:line="222" w:lineRule="auto"/>
              <w:ind w:left="156"/>
              <w:rPr>
                <w:rFonts w:ascii="仿宋" w:hAnsi="仿宋" w:eastAsia="仿宋" w:cs="仿宋"/>
                <w:sz w:val="18"/>
                <w:szCs w:val="18"/>
              </w:rPr>
            </w:pPr>
            <w:r>
              <w:rPr>
                <w:rFonts w:ascii="仿宋" w:hAnsi="仿宋" w:eastAsia="仿宋" w:cs="仿宋"/>
                <w:spacing w:val="-11"/>
                <w:sz w:val="18"/>
                <w:szCs w:val="18"/>
              </w:rPr>
              <w:t>急流槽</w:t>
            </w:r>
          </w:p>
        </w:tc>
        <w:tc>
          <w:tcPr>
            <w:tcW w:w="2245" w:type="dxa"/>
            <w:gridSpan w:val="3"/>
            <w:vAlign w:val="top"/>
          </w:tcPr>
          <w:p w14:paraId="3E47EA90">
            <w:pPr>
              <w:pStyle w:val="6"/>
              <w:spacing w:before="110" w:line="242" w:lineRule="exact"/>
              <w:ind w:left="75"/>
              <w:rPr>
                <w:rFonts w:ascii="仿宋" w:hAnsi="仿宋" w:eastAsia="仿宋" w:cs="仿宋"/>
              </w:rPr>
            </w:pPr>
            <w:r>
              <w:rPr>
                <w:rFonts w:ascii="仿宋" w:hAnsi="仿宋" w:eastAsia="仿宋" w:cs="仿宋"/>
                <w:spacing w:val="-6"/>
                <w:position w:val="1"/>
              </w:rPr>
              <w:t>设置一道急流槽，</w:t>
            </w:r>
            <w:r>
              <w:rPr>
                <w:spacing w:val="-6"/>
                <w:position w:val="1"/>
              </w:rPr>
              <w:t>L=</w:t>
            </w:r>
            <w:r>
              <w:rPr>
                <w:spacing w:val="-25"/>
                <w:position w:val="1"/>
              </w:rPr>
              <w:t xml:space="preserve"> </w:t>
            </w:r>
            <w:r>
              <w:rPr>
                <w:spacing w:val="-6"/>
                <w:position w:val="1"/>
              </w:rPr>
              <w:t>10.</w:t>
            </w:r>
            <w:r>
              <w:rPr>
                <w:spacing w:val="-26"/>
                <w:position w:val="1"/>
              </w:rPr>
              <w:t xml:space="preserve"> </w:t>
            </w:r>
            <w:r>
              <w:rPr>
                <w:spacing w:val="-6"/>
                <w:position w:val="1"/>
              </w:rPr>
              <w:t xml:space="preserve">1 </w:t>
            </w:r>
            <w:r>
              <w:rPr>
                <w:rFonts w:ascii="仿宋" w:hAnsi="仿宋" w:eastAsia="仿宋" w:cs="仿宋"/>
                <w:spacing w:val="-6"/>
                <w:position w:val="1"/>
              </w:rPr>
              <w:t>米</w:t>
            </w:r>
          </w:p>
        </w:tc>
        <w:tc>
          <w:tcPr>
            <w:tcW w:w="768" w:type="dxa"/>
            <w:vAlign w:val="top"/>
          </w:tcPr>
          <w:p w14:paraId="0CE092CE">
            <w:pPr>
              <w:pStyle w:val="6"/>
              <w:spacing w:before="174" w:line="188" w:lineRule="auto"/>
              <w:ind w:left="223"/>
            </w:pPr>
            <w:r>
              <w:rPr>
                <w:spacing w:val="-4"/>
              </w:rPr>
              <w:t>90.0</w:t>
            </w:r>
          </w:p>
        </w:tc>
        <w:tc>
          <w:tcPr>
            <w:tcW w:w="769" w:type="dxa"/>
            <w:vAlign w:val="top"/>
          </w:tcPr>
          <w:p w14:paraId="5AF4B3B0">
            <w:pPr>
              <w:pStyle w:val="6"/>
              <w:spacing w:before="174" w:line="188" w:lineRule="auto"/>
              <w:ind w:left="223"/>
            </w:pPr>
            <w:r>
              <w:rPr>
                <w:spacing w:val="-4"/>
              </w:rPr>
              <w:t>90.0</w:t>
            </w:r>
          </w:p>
        </w:tc>
        <w:tc>
          <w:tcPr>
            <w:tcW w:w="1264" w:type="dxa"/>
            <w:tcBorders>
              <w:right w:val="single" w:color="000000" w:sz="6" w:space="0"/>
            </w:tcBorders>
            <w:vAlign w:val="top"/>
          </w:tcPr>
          <w:p w14:paraId="06729BC1">
            <w:pPr>
              <w:pStyle w:val="6"/>
              <w:spacing w:before="174" w:line="188" w:lineRule="auto"/>
              <w:ind w:left="588"/>
            </w:pPr>
            <w:r>
              <w:t>6</w:t>
            </w:r>
          </w:p>
        </w:tc>
      </w:tr>
      <w:tr w14:paraId="115D95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737" w:type="dxa"/>
            <w:vMerge w:val="continue"/>
            <w:tcBorders>
              <w:top w:val="nil"/>
              <w:left w:val="single" w:color="000000" w:sz="6" w:space="0"/>
              <w:bottom w:val="nil"/>
            </w:tcBorders>
            <w:vAlign w:val="top"/>
          </w:tcPr>
          <w:p w14:paraId="5474C11A">
            <w:pPr>
              <w:rPr>
                <w:rFonts w:ascii="Arial"/>
                <w:sz w:val="21"/>
              </w:rPr>
            </w:pPr>
          </w:p>
        </w:tc>
        <w:tc>
          <w:tcPr>
            <w:tcW w:w="534" w:type="dxa"/>
            <w:tcBorders>
              <w:bottom w:val="single" w:color="000000" w:sz="10" w:space="0"/>
            </w:tcBorders>
            <w:vAlign w:val="top"/>
          </w:tcPr>
          <w:p w14:paraId="6F23F2C2">
            <w:pPr>
              <w:pStyle w:val="6"/>
              <w:spacing w:before="172" w:line="188" w:lineRule="auto"/>
              <w:ind w:left="218"/>
            </w:pPr>
            <w:r>
              <w:t>2</w:t>
            </w:r>
          </w:p>
        </w:tc>
        <w:tc>
          <w:tcPr>
            <w:tcW w:w="1231" w:type="dxa"/>
            <w:tcBorders>
              <w:bottom w:val="single" w:color="000000" w:sz="10" w:space="0"/>
            </w:tcBorders>
            <w:vAlign w:val="top"/>
          </w:tcPr>
          <w:p w14:paraId="0670BCAD">
            <w:pPr>
              <w:pStyle w:val="6"/>
              <w:spacing w:before="41"/>
              <w:ind w:left="219"/>
              <w:rPr>
                <w:rFonts w:ascii="仿宋" w:hAnsi="仿宋" w:eastAsia="仿宋" w:cs="仿宋"/>
              </w:rPr>
            </w:pPr>
            <w:r>
              <w:rPr>
                <w:spacing w:val="6"/>
              </w:rPr>
              <w:t>K0+115</w:t>
            </w:r>
            <w:r>
              <w:rPr>
                <w:rFonts w:ascii="仿宋" w:hAnsi="仿宋" w:eastAsia="仿宋" w:cs="仿宋"/>
                <w:spacing w:val="6"/>
              </w:rPr>
              <w:t>~</w:t>
            </w:r>
          </w:p>
          <w:p w14:paraId="06371F52">
            <w:pPr>
              <w:pStyle w:val="6"/>
              <w:spacing w:before="15" w:line="178" w:lineRule="auto"/>
              <w:ind w:left="303"/>
            </w:pPr>
            <w:r>
              <w:rPr>
                <w:spacing w:val="-2"/>
              </w:rPr>
              <w:t>K0+253</w:t>
            </w:r>
          </w:p>
        </w:tc>
        <w:tc>
          <w:tcPr>
            <w:tcW w:w="829" w:type="dxa"/>
            <w:tcBorders>
              <w:bottom w:val="single" w:color="000000" w:sz="10" w:space="0"/>
            </w:tcBorders>
            <w:vAlign w:val="top"/>
          </w:tcPr>
          <w:p w14:paraId="132D7C54">
            <w:pPr>
              <w:spacing w:before="144" w:line="222" w:lineRule="auto"/>
              <w:ind w:left="156"/>
              <w:rPr>
                <w:rFonts w:ascii="仿宋" w:hAnsi="仿宋" w:eastAsia="仿宋" w:cs="仿宋"/>
                <w:sz w:val="18"/>
                <w:szCs w:val="18"/>
              </w:rPr>
            </w:pPr>
            <w:r>
              <w:rPr>
                <w:rFonts w:ascii="仿宋" w:hAnsi="仿宋" w:eastAsia="仿宋" w:cs="仿宋"/>
                <w:spacing w:val="-11"/>
                <w:sz w:val="18"/>
                <w:szCs w:val="18"/>
              </w:rPr>
              <w:t>急流槽</w:t>
            </w:r>
          </w:p>
        </w:tc>
        <w:tc>
          <w:tcPr>
            <w:tcW w:w="2245" w:type="dxa"/>
            <w:gridSpan w:val="3"/>
            <w:tcBorders>
              <w:bottom w:val="single" w:color="000000" w:sz="10" w:space="0"/>
            </w:tcBorders>
            <w:vAlign w:val="top"/>
          </w:tcPr>
          <w:p w14:paraId="6A2DA723">
            <w:pPr>
              <w:pStyle w:val="6"/>
              <w:spacing w:before="109" w:line="242" w:lineRule="exact"/>
              <w:ind w:left="116"/>
              <w:rPr>
                <w:rFonts w:ascii="仿宋" w:hAnsi="仿宋" w:eastAsia="仿宋" w:cs="仿宋"/>
              </w:rPr>
            </w:pPr>
            <w:r>
              <w:rPr>
                <w:rFonts w:ascii="仿宋" w:hAnsi="仿宋" w:eastAsia="仿宋" w:cs="仿宋"/>
                <w:spacing w:val="-4"/>
                <w:position w:val="1"/>
              </w:rPr>
              <w:t>设置一道急流槽，</w:t>
            </w:r>
            <w:r>
              <w:rPr>
                <w:spacing w:val="-4"/>
                <w:position w:val="1"/>
              </w:rPr>
              <w:t xml:space="preserve">L=7.9 </w:t>
            </w:r>
            <w:r>
              <w:rPr>
                <w:rFonts w:ascii="仿宋" w:hAnsi="仿宋" w:eastAsia="仿宋" w:cs="仿宋"/>
                <w:spacing w:val="-4"/>
                <w:position w:val="1"/>
              </w:rPr>
              <w:t>米</w:t>
            </w:r>
          </w:p>
        </w:tc>
        <w:tc>
          <w:tcPr>
            <w:tcW w:w="768" w:type="dxa"/>
            <w:tcBorders>
              <w:bottom w:val="single" w:color="000000" w:sz="10" w:space="0"/>
            </w:tcBorders>
            <w:vAlign w:val="top"/>
          </w:tcPr>
          <w:p w14:paraId="6A27FE37">
            <w:pPr>
              <w:pStyle w:val="6"/>
              <w:spacing w:before="172" w:line="188" w:lineRule="auto"/>
              <w:ind w:left="189"/>
            </w:pPr>
            <w:r>
              <w:rPr>
                <w:spacing w:val="-5"/>
              </w:rPr>
              <w:t>138.0</w:t>
            </w:r>
          </w:p>
        </w:tc>
        <w:tc>
          <w:tcPr>
            <w:tcW w:w="769" w:type="dxa"/>
            <w:tcBorders>
              <w:bottom w:val="single" w:color="000000" w:sz="10" w:space="0"/>
            </w:tcBorders>
            <w:vAlign w:val="top"/>
          </w:tcPr>
          <w:p w14:paraId="13D74E89">
            <w:pPr>
              <w:pStyle w:val="6"/>
              <w:spacing w:before="172" w:line="188" w:lineRule="auto"/>
              <w:ind w:left="189"/>
            </w:pPr>
            <w:r>
              <w:rPr>
                <w:spacing w:val="-5"/>
              </w:rPr>
              <w:t>138.0</w:t>
            </w:r>
          </w:p>
        </w:tc>
        <w:tc>
          <w:tcPr>
            <w:tcW w:w="1264" w:type="dxa"/>
            <w:tcBorders>
              <w:bottom w:val="single" w:color="000000" w:sz="10" w:space="0"/>
              <w:right w:val="single" w:color="000000" w:sz="6" w:space="0"/>
            </w:tcBorders>
            <w:vAlign w:val="top"/>
          </w:tcPr>
          <w:p w14:paraId="75937325">
            <w:pPr>
              <w:pStyle w:val="6"/>
              <w:spacing w:before="172" w:line="188" w:lineRule="auto"/>
              <w:ind w:left="558"/>
            </w:pPr>
            <w:r>
              <w:rPr>
                <w:spacing w:val="-11"/>
              </w:rPr>
              <w:t>10</w:t>
            </w:r>
          </w:p>
        </w:tc>
      </w:tr>
      <w:tr w14:paraId="7AF504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6" w:hRule="atLeast"/>
        </w:trPr>
        <w:tc>
          <w:tcPr>
            <w:tcW w:w="737" w:type="dxa"/>
            <w:vMerge w:val="continue"/>
            <w:tcBorders>
              <w:top w:val="nil"/>
              <w:left w:val="single" w:color="000000" w:sz="6" w:space="0"/>
              <w:bottom w:val="single" w:color="000000" w:sz="6" w:space="0"/>
            </w:tcBorders>
            <w:vAlign w:val="top"/>
          </w:tcPr>
          <w:p w14:paraId="1624B406">
            <w:pPr>
              <w:rPr>
                <w:rFonts w:ascii="Arial"/>
                <w:sz w:val="21"/>
              </w:rPr>
            </w:pPr>
          </w:p>
        </w:tc>
        <w:tc>
          <w:tcPr>
            <w:tcW w:w="7640" w:type="dxa"/>
            <w:gridSpan w:val="9"/>
            <w:tcBorders>
              <w:top w:val="single" w:color="000000" w:sz="10" w:space="0"/>
              <w:bottom w:val="single" w:color="000000" w:sz="6" w:space="0"/>
              <w:right w:val="single" w:color="000000" w:sz="6" w:space="0"/>
            </w:tcBorders>
            <w:vAlign w:val="top"/>
          </w:tcPr>
          <w:p w14:paraId="1C52AD36">
            <w:pPr>
              <w:pStyle w:val="6"/>
              <w:spacing w:before="155" w:line="232" w:lineRule="auto"/>
              <w:ind w:left="430"/>
              <w:rPr>
                <w:rFonts w:ascii="仿宋" w:hAnsi="仿宋" w:eastAsia="仿宋" w:cs="仿宋"/>
                <w:sz w:val="20"/>
                <w:szCs w:val="20"/>
              </w:rPr>
            </w:pPr>
            <w:r>
              <w:rPr>
                <w:b/>
                <w:bCs/>
                <w:spacing w:val="1"/>
                <w:sz w:val="20"/>
                <w:szCs w:val="20"/>
              </w:rPr>
              <w:t>10</w:t>
            </w:r>
            <w:r>
              <w:rPr>
                <w:b/>
                <w:bCs/>
                <w:spacing w:val="-20"/>
                <w:sz w:val="20"/>
                <w:szCs w:val="20"/>
              </w:rPr>
              <w:t xml:space="preserve"> </w:t>
            </w:r>
            <w:r>
              <w:rPr>
                <w:rFonts w:ascii="仿宋" w:hAnsi="仿宋" w:eastAsia="仿宋" w:cs="仿宋"/>
                <w:b/>
                <w:bCs/>
                <w:spacing w:val="1"/>
                <w:sz w:val="20"/>
                <w:szCs w:val="20"/>
              </w:rPr>
              <w:t>、路面工程</w:t>
            </w:r>
          </w:p>
        </w:tc>
      </w:tr>
    </w:tbl>
    <w:p w14:paraId="6CF295E0">
      <w:pPr>
        <w:pStyle w:val="2"/>
        <w:spacing w:line="97" w:lineRule="exact"/>
        <w:rPr>
          <w:sz w:val="8"/>
        </w:rPr>
      </w:pPr>
    </w:p>
    <w:p w14:paraId="763646D1">
      <w:pPr>
        <w:spacing w:line="97" w:lineRule="exact"/>
        <w:rPr>
          <w:sz w:val="8"/>
          <w:szCs w:val="8"/>
        </w:rPr>
        <w:sectPr>
          <w:footerReference r:id="rId30" w:type="default"/>
          <w:pgSz w:w="11907" w:h="16840"/>
          <w:pgMar w:top="400" w:right="1757" w:bottom="1446" w:left="1757" w:header="0" w:footer="1284" w:gutter="0"/>
          <w:cols w:space="720" w:num="1"/>
        </w:sectPr>
      </w:pPr>
    </w:p>
    <w:p w14:paraId="42C70F9F">
      <w:pPr>
        <w:spacing w:before="19"/>
      </w:pPr>
    </w:p>
    <w:p w14:paraId="319DE346">
      <w:pPr>
        <w:spacing w:before="19"/>
      </w:pPr>
    </w:p>
    <w:p w14:paraId="4EA78D8F">
      <w:pPr>
        <w:spacing w:before="18"/>
      </w:pPr>
    </w:p>
    <w:p w14:paraId="451328F9">
      <w:pPr>
        <w:spacing w:before="18"/>
      </w:pPr>
    </w:p>
    <w:tbl>
      <w:tblPr>
        <w:tblStyle w:val="5"/>
        <w:tblW w:w="8377"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37"/>
        <w:gridCol w:w="7640"/>
      </w:tblGrid>
      <w:tr w14:paraId="35B152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876" w:hRule="atLeast"/>
        </w:trPr>
        <w:tc>
          <w:tcPr>
            <w:tcW w:w="737" w:type="dxa"/>
            <w:tcBorders>
              <w:right w:val="single" w:color="000000" w:sz="2" w:space="0"/>
            </w:tcBorders>
            <w:vAlign w:val="top"/>
          </w:tcPr>
          <w:p w14:paraId="7D8ED1D4">
            <w:pPr>
              <w:rPr>
                <w:rFonts w:ascii="Arial"/>
                <w:sz w:val="21"/>
              </w:rPr>
            </w:pPr>
          </w:p>
        </w:tc>
        <w:tc>
          <w:tcPr>
            <w:tcW w:w="7640" w:type="dxa"/>
            <w:tcBorders>
              <w:left w:val="single" w:color="000000" w:sz="2" w:space="0"/>
            </w:tcBorders>
            <w:vAlign w:val="top"/>
          </w:tcPr>
          <w:p w14:paraId="3C351B03">
            <w:pPr>
              <w:pStyle w:val="6"/>
              <w:spacing w:before="27" w:line="231" w:lineRule="auto"/>
              <w:ind w:left="434"/>
              <w:rPr>
                <w:rFonts w:ascii="仿宋" w:hAnsi="仿宋" w:eastAsia="仿宋" w:cs="仿宋"/>
                <w:sz w:val="20"/>
                <w:szCs w:val="20"/>
              </w:rPr>
            </w:pPr>
            <w:r>
              <w:rPr>
                <w:rFonts w:ascii="仿宋" w:hAnsi="仿宋" w:eastAsia="仿宋" w:cs="仿宋"/>
                <w:spacing w:val="4"/>
                <w:sz w:val="20"/>
                <w:szCs w:val="20"/>
              </w:rPr>
              <w:t>（</w:t>
            </w:r>
            <w:r>
              <w:rPr>
                <w:spacing w:val="4"/>
                <w:sz w:val="20"/>
                <w:szCs w:val="20"/>
              </w:rPr>
              <w:t>1</w:t>
            </w:r>
            <w:r>
              <w:rPr>
                <w:rFonts w:ascii="仿宋" w:hAnsi="仿宋" w:eastAsia="仿宋" w:cs="仿宋"/>
                <w:spacing w:val="4"/>
                <w:sz w:val="20"/>
                <w:szCs w:val="20"/>
              </w:rPr>
              <w:t>）设计标准</w:t>
            </w:r>
          </w:p>
          <w:p w14:paraId="20A0CF4A">
            <w:pPr>
              <w:pStyle w:val="6"/>
              <w:spacing w:before="157" w:line="377" w:lineRule="auto"/>
              <w:ind w:left="13" w:right="18" w:firstLine="444"/>
              <w:rPr>
                <w:rFonts w:ascii="仿宋" w:hAnsi="仿宋" w:eastAsia="仿宋" w:cs="仿宋"/>
                <w:sz w:val="20"/>
                <w:szCs w:val="20"/>
              </w:rPr>
            </w:pPr>
            <w:r>
              <w:rPr>
                <w:rFonts w:ascii="仿宋" w:hAnsi="仿宋" w:eastAsia="仿宋" w:cs="仿宋"/>
                <w:spacing w:val="16"/>
                <w:sz w:val="20"/>
                <w:szCs w:val="20"/>
              </w:rPr>
              <w:t xml:space="preserve">水泥混凝土路面结构设计以 </w:t>
            </w:r>
            <w:r>
              <w:rPr>
                <w:spacing w:val="16"/>
                <w:sz w:val="20"/>
                <w:szCs w:val="20"/>
              </w:rPr>
              <w:t>100</w:t>
            </w:r>
            <w:r>
              <w:rPr>
                <w:sz w:val="20"/>
                <w:szCs w:val="20"/>
              </w:rPr>
              <w:t>KN</w:t>
            </w:r>
            <w:r>
              <w:rPr>
                <w:spacing w:val="44"/>
                <w:w w:val="101"/>
                <w:sz w:val="20"/>
                <w:szCs w:val="20"/>
              </w:rPr>
              <w:t xml:space="preserve"> </w:t>
            </w:r>
            <w:r>
              <w:rPr>
                <w:rFonts w:ascii="仿宋" w:hAnsi="仿宋" w:eastAsia="仿宋" w:cs="仿宋"/>
                <w:spacing w:val="16"/>
                <w:sz w:val="20"/>
                <w:szCs w:val="20"/>
              </w:rPr>
              <w:t>的单轴－双轮组荷载为标准轴载</w:t>
            </w:r>
            <w:r>
              <w:rPr>
                <w:rFonts w:ascii="仿宋" w:hAnsi="仿宋" w:eastAsia="仿宋" w:cs="仿宋"/>
                <w:spacing w:val="-57"/>
                <w:sz w:val="20"/>
                <w:szCs w:val="20"/>
              </w:rPr>
              <w:t xml:space="preserve"> </w:t>
            </w:r>
            <w:r>
              <w:rPr>
                <w:rFonts w:ascii="仿宋" w:hAnsi="仿宋" w:eastAsia="仿宋" w:cs="仿宋"/>
                <w:spacing w:val="16"/>
                <w:sz w:val="20"/>
                <w:szCs w:val="20"/>
              </w:rPr>
              <w:t>，</w:t>
            </w:r>
            <w:r>
              <w:rPr>
                <w:rFonts w:ascii="仿宋" w:hAnsi="仿宋" w:eastAsia="仿宋" w:cs="仿宋"/>
                <w:spacing w:val="15"/>
                <w:sz w:val="20"/>
                <w:szCs w:val="20"/>
              </w:rPr>
              <w:t>水泥</w:t>
            </w:r>
            <w:r>
              <w:rPr>
                <w:rFonts w:ascii="仿宋" w:hAnsi="仿宋" w:eastAsia="仿宋" w:cs="仿宋"/>
                <w:spacing w:val="13"/>
                <w:sz w:val="20"/>
                <w:szCs w:val="20"/>
              </w:rPr>
              <w:t xml:space="preserve">混凝土路面设计使用年限为 </w:t>
            </w:r>
            <w:r>
              <w:rPr>
                <w:spacing w:val="13"/>
                <w:sz w:val="20"/>
                <w:szCs w:val="20"/>
              </w:rPr>
              <w:t>10</w:t>
            </w:r>
            <w:r>
              <w:rPr>
                <w:spacing w:val="27"/>
                <w:sz w:val="20"/>
                <w:szCs w:val="20"/>
              </w:rPr>
              <w:t xml:space="preserve"> </w:t>
            </w:r>
            <w:r>
              <w:rPr>
                <w:rFonts w:ascii="仿宋" w:hAnsi="仿宋" w:eastAsia="仿宋" w:cs="仿宋"/>
                <w:spacing w:val="13"/>
                <w:sz w:val="20"/>
                <w:szCs w:val="20"/>
              </w:rPr>
              <w:t>年。</w:t>
            </w:r>
          </w:p>
          <w:p w14:paraId="0CF1FD64">
            <w:pPr>
              <w:pStyle w:val="6"/>
              <w:spacing w:line="230" w:lineRule="auto"/>
              <w:ind w:left="434"/>
              <w:rPr>
                <w:rFonts w:ascii="仿宋" w:hAnsi="仿宋" w:eastAsia="仿宋" w:cs="仿宋"/>
                <w:sz w:val="20"/>
                <w:szCs w:val="20"/>
              </w:rPr>
            </w:pPr>
            <w:r>
              <w:rPr>
                <w:rFonts w:ascii="仿宋" w:hAnsi="仿宋" w:eastAsia="仿宋" w:cs="仿宋"/>
                <w:spacing w:val="7"/>
                <w:sz w:val="20"/>
                <w:szCs w:val="20"/>
              </w:rPr>
              <w:t>（</w:t>
            </w:r>
            <w:r>
              <w:rPr>
                <w:spacing w:val="7"/>
                <w:sz w:val="20"/>
                <w:szCs w:val="20"/>
              </w:rPr>
              <w:t>2</w:t>
            </w:r>
            <w:r>
              <w:rPr>
                <w:rFonts w:ascii="仿宋" w:hAnsi="仿宋" w:eastAsia="仿宋" w:cs="仿宋"/>
                <w:spacing w:val="7"/>
                <w:sz w:val="20"/>
                <w:szCs w:val="20"/>
              </w:rPr>
              <w:t>）水泥混凝土路面技术设计要求</w:t>
            </w:r>
          </w:p>
          <w:p w14:paraId="3637C2A2">
            <w:pPr>
              <w:pStyle w:val="6"/>
              <w:spacing w:before="161" w:line="376" w:lineRule="auto"/>
              <w:ind w:firstLine="428"/>
              <w:rPr>
                <w:rFonts w:ascii="仿宋" w:hAnsi="仿宋" w:eastAsia="仿宋" w:cs="仿宋"/>
                <w:sz w:val="20"/>
                <w:szCs w:val="20"/>
              </w:rPr>
            </w:pPr>
            <w:r>
              <w:rPr>
                <w:rFonts w:ascii="仿宋" w:hAnsi="仿宋" w:eastAsia="仿宋" w:cs="仿宋"/>
                <w:spacing w:val="9"/>
                <w:sz w:val="20"/>
                <w:szCs w:val="20"/>
              </w:rPr>
              <w:t>依据《小交通量农村公路工程技术标准》（</w:t>
            </w:r>
            <w:r>
              <w:rPr>
                <w:sz w:val="20"/>
                <w:szCs w:val="20"/>
              </w:rPr>
              <w:t>JTG</w:t>
            </w:r>
            <w:r>
              <w:rPr>
                <w:spacing w:val="9"/>
                <w:sz w:val="20"/>
                <w:szCs w:val="20"/>
              </w:rPr>
              <w:t xml:space="preserve"> 2111—2019</w:t>
            </w:r>
            <w:r>
              <w:rPr>
                <w:rFonts w:ascii="仿宋" w:hAnsi="仿宋" w:eastAsia="仿宋" w:cs="仿宋"/>
                <w:spacing w:val="9"/>
                <w:sz w:val="20"/>
                <w:szCs w:val="20"/>
              </w:rPr>
              <w:t>）及《公路水泥混</w:t>
            </w:r>
            <w:r>
              <w:rPr>
                <w:rFonts w:ascii="仿宋" w:hAnsi="仿宋" w:eastAsia="仿宋" w:cs="仿宋"/>
                <w:spacing w:val="8"/>
                <w:sz w:val="20"/>
                <w:szCs w:val="20"/>
              </w:rPr>
              <w:t>凝土路面设计规范》</w:t>
            </w:r>
            <w:r>
              <w:rPr>
                <w:rFonts w:ascii="仿宋" w:hAnsi="仿宋" w:eastAsia="仿宋" w:cs="仿宋"/>
                <w:spacing w:val="-75"/>
                <w:sz w:val="20"/>
                <w:szCs w:val="20"/>
              </w:rPr>
              <w:t xml:space="preserve"> </w:t>
            </w:r>
            <w:r>
              <w:rPr>
                <w:rFonts w:ascii="仿宋" w:hAnsi="仿宋" w:eastAsia="仿宋" w:cs="仿宋"/>
                <w:spacing w:val="8"/>
                <w:sz w:val="20"/>
                <w:szCs w:val="20"/>
              </w:rPr>
              <w:t>（</w:t>
            </w:r>
            <w:r>
              <w:rPr>
                <w:sz w:val="20"/>
                <w:szCs w:val="20"/>
              </w:rPr>
              <w:t>JTG</w:t>
            </w:r>
            <w:r>
              <w:rPr>
                <w:spacing w:val="8"/>
                <w:sz w:val="20"/>
                <w:szCs w:val="20"/>
              </w:rPr>
              <w:t xml:space="preserve"> </w:t>
            </w:r>
            <w:r>
              <w:rPr>
                <w:sz w:val="20"/>
                <w:szCs w:val="20"/>
              </w:rPr>
              <w:t>D</w:t>
            </w:r>
            <w:r>
              <w:rPr>
                <w:spacing w:val="8"/>
                <w:sz w:val="20"/>
                <w:szCs w:val="20"/>
              </w:rPr>
              <w:t>40-2011</w:t>
            </w:r>
            <w:r>
              <w:rPr>
                <w:rFonts w:ascii="仿宋" w:hAnsi="仿宋" w:eastAsia="仿宋" w:cs="仿宋"/>
                <w:spacing w:val="2"/>
                <w:sz w:val="20"/>
                <w:szCs w:val="20"/>
              </w:rPr>
              <w:t>）</w:t>
            </w:r>
            <w:r>
              <w:rPr>
                <w:rFonts w:ascii="仿宋" w:hAnsi="仿宋" w:eastAsia="仿宋" w:cs="仿宋"/>
                <w:spacing w:val="-51"/>
                <w:sz w:val="20"/>
                <w:szCs w:val="20"/>
              </w:rPr>
              <w:t xml:space="preserve"> </w:t>
            </w:r>
            <w:r>
              <w:rPr>
                <w:rFonts w:ascii="仿宋" w:hAnsi="仿宋" w:eastAsia="仿宋" w:cs="仿宋"/>
                <w:spacing w:val="2"/>
                <w:sz w:val="20"/>
                <w:szCs w:val="20"/>
              </w:rPr>
              <w:t>，</w:t>
            </w:r>
            <w:r>
              <w:rPr>
                <w:rFonts w:ascii="仿宋" w:hAnsi="仿宋" w:eastAsia="仿宋" w:cs="仿宋"/>
                <w:spacing w:val="8"/>
                <w:sz w:val="20"/>
                <w:szCs w:val="20"/>
              </w:rPr>
              <w:t>本项目水泥混凝土路面采用</w:t>
            </w:r>
            <w:r>
              <w:rPr>
                <w:rFonts w:ascii="仿宋" w:hAnsi="仿宋" w:eastAsia="仿宋" w:cs="仿宋"/>
                <w:spacing w:val="-17"/>
                <w:sz w:val="20"/>
                <w:szCs w:val="20"/>
              </w:rPr>
              <w:t xml:space="preserve"> </w:t>
            </w:r>
            <w:r>
              <w:rPr>
                <w:spacing w:val="8"/>
                <w:sz w:val="20"/>
                <w:szCs w:val="20"/>
              </w:rPr>
              <w:t>18</w:t>
            </w:r>
            <w:r>
              <w:rPr>
                <w:sz w:val="20"/>
                <w:szCs w:val="20"/>
              </w:rPr>
              <w:t>cm</w:t>
            </w:r>
            <w:r>
              <w:rPr>
                <w:spacing w:val="23"/>
                <w:w w:val="101"/>
                <w:sz w:val="20"/>
                <w:szCs w:val="20"/>
              </w:rPr>
              <w:t xml:space="preserve"> </w:t>
            </w:r>
            <w:r>
              <w:rPr>
                <w:rFonts w:ascii="仿宋" w:hAnsi="仿宋" w:eastAsia="仿宋" w:cs="仿宋"/>
                <w:spacing w:val="8"/>
                <w:sz w:val="20"/>
                <w:szCs w:val="20"/>
              </w:rPr>
              <w:t>厚</w:t>
            </w:r>
            <w:r>
              <w:rPr>
                <w:rFonts w:ascii="仿宋" w:hAnsi="仿宋" w:eastAsia="仿宋" w:cs="仿宋"/>
                <w:spacing w:val="-34"/>
                <w:sz w:val="20"/>
                <w:szCs w:val="20"/>
              </w:rPr>
              <w:t xml:space="preserve"> </w:t>
            </w:r>
            <w:r>
              <w:rPr>
                <w:spacing w:val="8"/>
                <w:sz w:val="20"/>
                <w:szCs w:val="20"/>
              </w:rPr>
              <w:t>C30</w:t>
            </w:r>
            <w:r>
              <w:rPr>
                <w:rFonts w:ascii="仿宋" w:hAnsi="仿宋" w:eastAsia="仿宋" w:cs="仿宋"/>
                <w:spacing w:val="8"/>
                <w:sz w:val="20"/>
                <w:szCs w:val="20"/>
              </w:rPr>
              <w:t>混凝土面层，设计弯拉强度标准值</w:t>
            </w:r>
            <w:r>
              <w:rPr>
                <w:rFonts w:ascii="仿宋" w:hAnsi="仿宋" w:eastAsia="仿宋" w:cs="仿宋"/>
                <w:spacing w:val="-23"/>
                <w:sz w:val="20"/>
                <w:szCs w:val="20"/>
              </w:rPr>
              <w:t xml:space="preserve"> </w:t>
            </w:r>
            <w:r>
              <w:rPr>
                <w:spacing w:val="8"/>
                <w:sz w:val="20"/>
                <w:szCs w:val="20"/>
              </w:rPr>
              <w:t>4.0</w:t>
            </w:r>
            <w:r>
              <w:rPr>
                <w:sz w:val="20"/>
                <w:szCs w:val="20"/>
              </w:rPr>
              <w:t>MPa</w:t>
            </w:r>
            <w:r>
              <w:rPr>
                <w:spacing w:val="-16"/>
                <w:sz w:val="20"/>
                <w:szCs w:val="20"/>
              </w:rPr>
              <w:t xml:space="preserve"> </w:t>
            </w:r>
            <w:r>
              <w:rPr>
                <w:rFonts w:ascii="仿宋" w:hAnsi="仿宋" w:eastAsia="仿宋" w:cs="仿宋"/>
                <w:spacing w:val="8"/>
                <w:sz w:val="20"/>
                <w:szCs w:val="20"/>
              </w:rPr>
              <w:t>，面板平面尺寸</w:t>
            </w:r>
            <w:r>
              <w:rPr>
                <w:rFonts w:ascii="仿宋" w:hAnsi="仿宋" w:eastAsia="仿宋" w:cs="仿宋"/>
                <w:spacing w:val="-34"/>
                <w:sz w:val="20"/>
                <w:szCs w:val="20"/>
              </w:rPr>
              <w:t xml:space="preserve"> </w:t>
            </w:r>
            <w:r>
              <w:rPr>
                <w:spacing w:val="8"/>
                <w:sz w:val="20"/>
                <w:szCs w:val="20"/>
              </w:rPr>
              <w:t>3.0m×3.5m</w:t>
            </w:r>
            <w:r>
              <w:rPr>
                <w:rFonts w:ascii="仿宋" w:hAnsi="仿宋" w:eastAsia="仿宋" w:cs="仿宋"/>
                <w:spacing w:val="8"/>
                <w:sz w:val="20"/>
                <w:szCs w:val="20"/>
              </w:rPr>
              <w:t>；纵缝设</w:t>
            </w:r>
            <w:r>
              <w:rPr>
                <w:spacing w:val="8"/>
                <w:sz w:val="20"/>
                <w:szCs w:val="20"/>
              </w:rPr>
              <w:t>φ12</w:t>
            </w:r>
            <w:r>
              <w:rPr>
                <w:sz w:val="20"/>
                <w:szCs w:val="20"/>
              </w:rPr>
              <w:t xml:space="preserve"> HRB</w:t>
            </w:r>
            <w:r>
              <w:rPr>
                <w:spacing w:val="5"/>
                <w:sz w:val="20"/>
                <w:szCs w:val="20"/>
              </w:rPr>
              <w:t>400</w:t>
            </w:r>
            <w:r>
              <w:rPr>
                <w:spacing w:val="18"/>
                <w:sz w:val="20"/>
                <w:szCs w:val="20"/>
              </w:rPr>
              <w:t xml:space="preserve"> </w:t>
            </w:r>
            <w:r>
              <w:rPr>
                <w:rFonts w:ascii="仿宋" w:hAnsi="仿宋" w:eastAsia="仿宋" w:cs="仿宋"/>
                <w:spacing w:val="5"/>
                <w:sz w:val="20"/>
                <w:szCs w:val="20"/>
              </w:rPr>
              <w:t>拉杆（长</w:t>
            </w:r>
            <w:r>
              <w:rPr>
                <w:rFonts w:ascii="仿宋" w:hAnsi="仿宋" w:eastAsia="仿宋" w:cs="仿宋"/>
                <w:spacing w:val="-38"/>
                <w:sz w:val="20"/>
                <w:szCs w:val="20"/>
              </w:rPr>
              <w:t xml:space="preserve"> </w:t>
            </w:r>
            <w:r>
              <w:rPr>
                <w:spacing w:val="5"/>
                <w:sz w:val="20"/>
                <w:szCs w:val="20"/>
              </w:rPr>
              <w:t>0.7m</w:t>
            </w:r>
            <w:r>
              <w:rPr>
                <w:spacing w:val="-23"/>
                <w:sz w:val="20"/>
                <w:szCs w:val="20"/>
              </w:rPr>
              <w:t xml:space="preserve"> </w:t>
            </w:r>
            <w:r>
              <w:rPr>
                <w:rFonts w:ascii="仿宋" w:hAnsi="仿宋" w:eastAsia="仿宋" w:cs="仿宋"/>
                <w:spacing w:val="5"/>
                <w:sz w:val="20"/>
                <w:szCs w:val="20"/>
              </w:rPr>
              <w:t>、间距</w:t>
            </w:r>
            <w:r>
              <w:rPr>
                <w:rFonts w:ascii="仿宋" w:hAnsi="仿宋" w:eastAsia="仿宋" w:cs="仿宋"/>
                <w:spacing w:val="-38"/>
                <w:sz w:val="20"/>
                <w:szCs w:val="20"/>
              </w:rPr>
              <w:t xml:space="preserve"> </w:t>
            </w:r>
            <w:r>
              <w:rPr>
                <w:spacing w:val="5"/>
                <w:sz w:val="20"/>
                <w:szCs w:val="20"/>
              </w:rPr>
              <w:t>0.8m</w:t>
            </w:r>
            <w:r>
              <w:rPr>
                <w:rFonts w:ascii="仿宋" w:hAnsi="仿宋" w:eastAsia="仿宋" w:cs="仿宋"/>
                <w:spacing w:val="14"/>
                <w:sz w:val="20"/>
                <w:szCs w:val="20"/>
              </w:rPr>
              <w:t>），</w:t>
            </w:r>
            <w:r>
              <w:rPr>
                <w:rFonts w:ascii="仿宋" w:hAnsi="仿宋" w:eastAsia="仿宋" w:cs="仿宋"/>
                <w:spacing w:val="5"/>
                <w:sz w:val="20"/>
                <w:szCs w:val="20"/>
              </w:rPr>
              <w:t>横</w:t>
            </w:r>
            <w:r>
              <w:rPr>
                <w:rFonts w:ascii="仿宋" w:hAnsi="仿宋" w:eastAsia="仿宋" w:cs="仿宋"/>
                <w:spacing w:val="4"/>
                <w:sz w:val="20"/>
                <w:szCs w:val="20"/>
              </w:rPr>
              <w:t>缝为假缝并设</w:t>
            </w:r>
            <w:r>
              <w:rPr>
                <w:spacing w:val="4"/>
                <w:sz w:val="20"/>
                <w:szCs w:val="20"/>
              </w:rPr>
              <w:t>φ20</w:t>
            </w:r>
            <w:r>
              <w:rPr>
                <w:sz w:val="20"/>
                <w:szCs w:val="20"/>
              </w:rPr>
              <w:t>PVC</w:t>
            </w:r>
            <w:r>
              <w:rPr>
                <w:spacing w:val="22"/>
                <w:sz w:val="20"/>
                <w:szCs w:val="20"/>
              </w:rPr>
              <w:t xml:space="preserve"> </w:t>
            </w:r>
            <w:r>
              <w:rPr>
                <w:rFonts w:ascii="仿宋" w:hAnsi="仿宋" w:eastAsia="仿宋" w:cs="仿宋"/>
                <w:spacing w:val="4"/>
                <w:sz w:val="20"/>
                <w:szCs w:val="20"/>
              </w:rPr>
              <w:t>传力杆（长</w:t>
            </w:r>
            <w:r>
              <w:rPr>
                <w:rFonts w:ascii="仿宋" w:hAnsi="仿宋" w:eastAsia="仿宋" w:cs="仿宋"/>
                <w:spacing w:val="-41"/>
                <w:sz w:val="20"/>
                <w:szCs w:val="20"/>
              </w:rPr>
              <w:t xml:space="preserve"> </w:t>
            </w:r>
            <w:r>
              <w:rPr>
                <w:spacing w:val="4"/>
                <w:sz w:val="20"/>
                <w:szCs w:val="20"/>
              </w:rPr>
              <w:t>0.4m</w:t>
            </w:r>
            <w:r>
              <w:rPr>
                <w:spacing w:val="-22"/>
                <w:sz w:val="20"/>
                <w:szCs w:val="20"/>
              </w:rPr>
              <w:t xml:space="preserve"> </w:t>
            </w:r>
            <w:r>
              <w:rPr>
                <w:rFonts w:ascii="仿宋" w:hAnsi="仿宋" w:eastAsia="仿宋" w:cs="仿宋"/>
                <w:spacing w:val="4"/>
                <w:sz w:val="20"/>
                <w:szCs w:val="20"/>
              </w:rPr>
              <w:t>、</w:t>
            </w:r>
            <w:r>
              <w:rPr>
                <w:rFonts w:ascii="仿宋" w:hAnsi="仿宋" w:eastAsia="仿宋" w:cs="仿宋"/>
                <w:sz w:val="20"/>
                <w:szCs w:val="20"/>
              </w:rPr>
              <w:t>间距</w:t>
            </w:r>
            <w:r>
              <w:rPr>
                <w:rFonts w:ascii="仿宋" w:hAnsi="仿宋" w:eastAsia="仿宋" w:cs="仿宋"/>
                <w:spacing w:val="-37"/>
                <w:sz w:val="20"/>
                <w:szCs w:val="20"/>
              </w:rPr>
              <w:t xml:space="preserve"> </w:t>
            </w:r>
            <w:r>
              <w:rPr>
                <w:sz w:val="20"/>
                <w:szCs w:val="20"/>
              </w:rPr>
              <w:t>0.3m</w:t>
            </w:r>
            <w:r>
              <w:rPr>
                <w:rFonts w:ascii="仿宋" w:hAnsi="仿宋" w:eastAsia="仿宋" w:cs="仿宋"/>
                <w:spacing w:val="-34"/>
                <w:sz w:val="20"/>
                <w:szCs w:val="20"/>
              </w:rPr>
              <w:t>），</w:t>
            </w:r>
            <w:r>
              <w:rPr>
                <w:rFonts w:ascii="仿宋" w:hAnsi="仿宋" w:eastAsia="仿宋" w:cs="仿宋"/>
                <w:sz w:val="20"/>
                <w:szCs w:val="20"/>
              </w:rPr>
              <w:t>接缝内填聚氨酯灌缝胶；表面采用横向刻纹，纹深</w:t>
            </w:r>
            <w:r>
              <w:rPr>
                <w:rFonts w:ascii="仿宋" w:hAnsi="仿宋" w:eastAsia="仿宋" w:cs="仿宋"/>
                <w:spacing w:val="-23"/>
                <w:sz w:val="20"/>
                <w:szCs w:val="20"/>
              </w:rPr>
              <w:t xml:space="preserve"> </w:t>
            </w:r>
            <w:r>
              <w:rPr>
                <w:sz w:val="20"/>
                <w:szCs w:val="20"/>
              </w:rPr>
              <w:t>1.5mm</w:t>
            </w:r>
            <w:r>
              <w:rPr>
                <w:rFonts w:ascii="仿宋" w:hAnsi="仿宋" w:eastAsia="仿宋" w:cs="仿宋"/>
                <w:sz w:val="20"/>
                <w:szCs w:val="20"/>
              </w:rPr>
              <w:t>、间距</w:t>
            </w:r>
            <w:r>
              <w:rPr>
                <w:rFonts w:ascii="仿宋" w:hAnsi="仿宋" w:eastAsia="仿宋" w:cs="仿宋"/>
                <w:spacing w:val="-21"/>
                <w:sz w:val="20"/>
                <w:szCs w:val="20"/>
              </w:rPr>
              <w:t xml:space="preserve"> </w:t>
            </w:r>
            <w:r>
              <w:rPr>
                <w:sz w:val="20"/>
                <w:szCs w:val="20"/>
              </w:rPr>
              <w:t>15mm</w:t>
            </w:r>
            <w:r>
              <w:rPr>
                <w:rFonts w:ascii="仿宋" w:hAnsi="仿宋" w:eastAsia="仿宋" w:cs="仿宋"/>
                <w:sz w:val="20"/>
                <w:szCs w:val="20"/>
              </w:rPr>
              <w:t>，</w:t>
            </w:r>
            <w:r>
              <w:rPr>
                <w:rFonts w:ascii="仿宋" w:hAnsi="仿宋" w:eastAsia="仿宋" w:cs="仿宋"/>
                <w:spacing w:val="5"/>
                <w:sz w:val="20"/>
                <w:szCs w:val="20"/>
              </w:rPr>
              <w:t>构造深度</w:t>
            </w:r>
            <w:r>
              <w:rPr>
                <w:spacing w:val="5"/>
                <w:sz w:val="20"/>
                <w:szCs w:val="20"/>
              </w:rPr>
              <w:t>≥0.6</w:t>
            </w:r>
            <w:r>
              <w:rPr>
                <w:sz w:val="20"/>
                <w:szCs w:val="20"/>
              </w:rPr>
              <w:t>mm</w:t>
            </w:r>
            <w:r>
              <w:rPr>
                <w:rFonts w:ascii="仿宋" w:hAnsi="仿宋" w:eastAsia="仿宋" w:cs="仿宋"/>
                <w:spacing w:val="5"/>
                <w:sz w:val="20"/>
                <w:szCs w:val="20"/>
              </w:rPr>
              <w:t>；与桥涵、平面交叉相接处设置</w:t>
            </w:r>
            <w:r>
              <w:rPr>
                <w:rFonts w:ascii="仿宋" w:hAnsi="仿宋" w:eastAsia="仿宋" w:cs="仿宋"/>
                <w:spacing w:val="-13"/>
                <w:sz w:val="20"/>
                <w:szCs w:val="20"/>
              </w:rPr>
              <w:t xml:space="preserve"> </w:t>
            </w:r>
            <w:r>
              <w:rPr>
                <w:spacing w:val="5"/>
                <w:sz w:val="20"/>
                <w:szCs w:val="20"/>
              </w:rPr>
              <w:t>10m</w:t>
            </w:r>
            <w:r>
              <w:rPr>
                <w:spacing w:val="18"/>
                <w:sz w:val="20"/>
                <w:szCs w:val="20"/>
              </w:rPr>
              <w:t xml:space="preserve"> </w:t>
            </w:r>
            <w:r>
              <w:rPr>
                <w:rFonts w:ascii="仿宋" w:hAnsi="仿宋" w:eastAsia="仿宋" w:cs="仿宋"/>
                <w:spacing w:val="5"/>
                <w:sz w:val="20"/>
                <w:szCs w:val="20"/>
              </w:rPr>
              <w:t>过渡段胀缝，缝内填沥青浸渍</w:t>
            </w:r>
            <w:r>
              <w:rPr>
                <w:rFonts w:ascii="仿宋" w:hAnsi="仿宋" w:eastAsia="仿宋" w:cs="仿宋"/>
                <w:spacing w:val="6"/>
                <w:sz w:val="20"/>
                <w:szCs w:val="20"/>
              </w:rPr>
              <w:t>杉板；混凝土摊铺后采用薄膜覆盖洒水养生，养生期</w:t>
            </w:r>
            <w:r>
              <w:rPr>
                <w:spacing w:val="6"/>
                <w:sz w:val="20"/>
                <w:szCs w:val="20"/>
              </w:rPr>
              <w:t>≥7d</w:t>
            </w:r>
            <w:r>
              <w:rPr>
                <w:spacing w:val="-21"/>
                <w:sz w:val="20"/>
                <w:szCs w:val="20"/>
              </w:rPr>
              <w:t xml:space="preserve"> </w:t>
            </w:r>
            <w:r>
              <w:rPr>
                <w:rFonts w:ascii="仿宋" w:hAnsi="仿宋" w:eastAsia="仿宋" w:cs="仿宋"/>
                <w:spacing w:val="6"/>
                <w:sz w:val="20"/>
                <w:szCs w:val="20"/>
              </w:rPr>
              <w:t>，</w:t>
            </w:r>
            <w:r>
              <w:rPr>
                <w:rFonts w:ascii="仿宋" w:hAnsi="仿宋" w:eastAsia="仿宋" w:cs="仿宋"/>
                <w:spacing w:val="5"/>
                <w:sz w:val="20"/>
                <w:szCs w:val="20"/>
              </w:rPr>
              <w:t>平整度</w:t>
            </w:r>
            <w:r>
              <w:rPr>
                <w:spacing w:val="5"/>
                <w:sz w:val="20"/>
                <w:szCs w:val="20"/>
              </w:rPr>
              <w:t>σ≤1.2</w:t>
            </w:r>
            <w:r>
              <w:rPr>
                <w:sz w:val="20"/>
                <w:szCs w:val="20"/>
              </w:rPr>
              <w:t>mm</w:t>
            </w:r>
            <w:r>
              <w:rPr>
                <w:spacing w:val="-18"/>
                <w:sz w:val="20"/>
                <w:szCs w:val="20"/>
              </w:rPr>
              <w:t xml:space="preserve"> </w:t>
            </w:r>
            <w:r>
              <w:rPr>
                <w:rFonts w:ascii="仿宋" w:hAnsi="仿宋" w:eastAsia="仿宋" w:cs="仿宋"/>
                <w:spacing w:val="5"/>
                <w:sz w:val="20"/>
                <w:szCs w:val="20"/>
              </w:rPr>
              <w:t>，满足四</w:t>
            </w:r>
            <w:r>
              <w:rPr>
                <w:rFonts w:ascii="仿宋" w:hAnsi="仿宋" w:eastAsia="仿宋" w:cs="仿宋"/>
                <w:spacing w:val="7"/>
                <w:sz w:val="20"/>
                <w:szCs w:val="20"/>
              </w:rPr>
              <w:t>级公路</w:t>
            </w:r>
            <w:r>
              <w:rPr>
                <w:spacing w:val="7"/>
                <w:sz w:val="20"/>
                <w:szCs w:val="20"/>
              </w:rPr>
              <w:t>Ⅱ</w:t>
            </w:r>
            <w:r>
              <w:rPr>
                <w:rFonts w:ascii="仿宋" w:hAnsi="仿宋" w:eastAsia="仿宋" w:cs="仿宋"/>
                <w:spacing w:val="7"/>
                <w:sz w:val="20"/>
                <w:szCs w:val="20"/>
              </w:rPr>
              <w:t>类路面使用性能要求。</w:t>
            </w:r>
          </w:p>
          <w:p w14:paraId="68929761">
            <w:pPr>
              <w:pStyle w:val="6"/>
              <w:spacing w:before="6" w:line="229" w:lineRule="auto"/>
              <w:ind w:left="434"/>
              <w:rPr>
                <w:rFonts w:ascii="仿宋" w:hAnsi="仿宋" w:eastAsia="仿宋" w:cs="仿宋"/>
                <w:sz w:val="20"/>
                <w:szCs w:val="20"/>
              </w:rPr>
            </w:pPr>
            <w:r>
              <w:rPr>
                <w:rFonts w:ascii="仿宋" w:hAnsi="仿宋" w:eastAsia="仿宋" w:cs="仿宋"/>
                <w:spacing w:val="9"/>
                <w:sz w:val="20"/>
                <w:szCs w:val="20"/>
              </w:rPr>
              <w:t>（</w:t>
            </w:r>
            <w:r>
              <w:rPr>
                <w:spacing w:val="9"/>
                <w:sz w:val="20"/>
                <w:szCs w:val="20"/>
              </w:rPr>
              <w:t>3</w:t>
            </w:r>
            <w:r>
              <w:rPr>
                <w:rFonts w:ascii="仿宋" w:hAnsi="仿宋" w:eastAsia="仿宋" w:cs="仿宋"/>
                <w:spacing w:val="9"/>
                <w:sz w:val="20"/>
                <w:szCs w:val="20"/>
              </w:rPr>
              <w:t>）未筛分碎石路面设计方案及主要技术</w:t>
            </w:r>
            <w:r>
              <w:rPr>
                <w:rFonts w:ascii="仿宋" w:hAnsi="仿宋" w:eastAsia="仿宋" w:cs="仿宋"/>
                <w:spacing w:val="8"/>
                <w:sz w:val="20"/>
                <w:szCs w:val="20"/>
              </w:rPr>
              <w:t>设计要求</w:t>
            </w:r>
          </w:p>
          <w:p w14:paraId="18EAF7DD">
            <w:pPr>
              <w:pStyle w:val="6"/>
              <w:spacing w:before="160" w:line="377" w:lineRule="auto"/>
              <w:ind w:right="6" w:firstLine="432"/>
              <w:rPr>
                <w:rFonts w:ascii="仿宋" w:hAnsi="仿宋" w:eastAsia="仿宋" w:cs="仿宋"/>
                <w:sz w:val="20"/>
                <w:szCs w:val="20"/>
              </w:rPr>
            </w:pPr>
            <w:r>
              <w:rPr>
                <w:rFonts w:ascii="仿宋" w:hAnsi="仿宋" w:eastAsia="仿宋" w:cs="仿宋"/>
                <w:spacing w:val="9"/>
                <w:sz w:val="20"/>
                <w:szCs w:val="20"/>
              </w:rPr>
              <w:t>依据《小交通量农村公路工程技术标准》</w:t>
            </w:r>
            <w:r>
              <w:rPr>
                <w:rFonts w:ascii="仿宋" w:hAnsi="仿宋" w:eastAsia="仿宋" w:cs="仿宋"/>
                <w:spacing w:val="-79"/>
                <w:sz w:val="20"/>
                <w:szCs w:val="20"/>
              </w:rPr>
              <w:t xml:space="preserve"> </w:t>
            </w:r>
            <w:r>
              <w:rPr>
                <w:rFonts w:ascii="仿宋" w:hAnsi="仿宋" w:eastAsia="仿宋" w:cs="仿宋"/>
                <w:spacing w:val="9"/>
                <w:sz w:val="20"/>
                <w:szCs w:val="20"/>
              </w:rPr>
              <w:t>（</w:t>
            </w:r>
            <w:r>
              <w:rPr>
                <w:sz w:val="20"/>
                <w:szCs w:val="20"/>
              </w:rPr>
              <w:t>JTG</w:t>
            </w:r>
            <w:r>
              <w:rPr>
                <w:spacing w:val="9"/>
                <w:sz w:val="20"/>
                <w:szCs w:val="20"/>
              </w:rPr>
              <w:t xml:space="preserve"> 2111—2019</w:t>
            </w:r>
            <w:r>
              <w:rPr>
                <w:rFonts w:ascii="仿宋" w:hAnsi="仿宋" w:eastAsia="仿宋" w:cs="仿宋"/>
                <w:spacing w:val="7"/>
                <w:sz w:val="20"/>
                <w:szCs w:val="20"/>
              </w:rPr>
              <w:t>）</w:t>
            </w:r>
            <w:r>
              <w:rPr>
                <w:rFonts w:ascii="仿宋" w:hAnsi="仿宋" w:eastAsia="仿宋" w:cs="仿宋"/>
                <w:spacing w:val="-54"/>
                <w:sz w:val="20"/>
                <w:szCs w:val="20"/>
              </w:rPr>
              <w:t xml:space="preserve"> </w:t>
            </w:r>
            <w:r>
              <w:rPr>
                <w:rFonts w:ascii="仿宋" w:hAnsi="仿宋" w:eastAsia="仿宋" w:cs="仿宋"/>
                <w:spacing w:val="7"/>
                <w:sz w:val="20"/>
                <w:szCs w:val="20"/>
              </w:rPr>
              <w:t>，</w:t>
            </w:r>
            <w:r>
              <w:rPr>
                <w:rFonts w:ascii="仿宋" w:hAnsi="仿宋" w:eastAsia="仿宋" w:cs="仿宋"/>
                <w:spacing w:val="9"/>
                <w:sz w:val="20"/>
                <w:szCs w:val="20"/>
              </w:rPr>
              <w:t>本项目未筛分</w:t>
            </w:r>
            <w:r>
              <w:rPr>
                <w:rFonts w:ascii="仿宋" w:hAnsi="仿宋" w:eastAsia="仿宋" w:cs="仿宋"/>
                <w:spacing w:val="17"/>
                <w:sz w:val="20"/>
                <w:szCs w:val="20"/>
              </w:rPr>
              <w:t xml:space="preserve">碎石路面结构层厚 </w:t>
            </w:r>
            <w:r>
              <w:rPr>
                <w:spacing w:val="17"/>
                <w:sz w:val="20"/>
                <w:szCs w:val="20"/>
              </w:rPr>
              <w:t>15</w:t>
            </w:r>
            <w:r>
              <w:rPr>
                <w:sz w:val="20"/>
                <w:szCs w:val="20"/>
              </w:rPr>
              <w:t>cm</w:t>
            </w:r>
            <w:r>
              <w:rPr>
                <w:spacing w:val="-9"/>
                <w:sz w:val="20"/>
                <w:szCs w:val="20"/>
              </w:rPr>
              <w:t xml:space="preserve"> </w:t>
            </w:r>
            <w:r>
              <w:rPr>
                <w:rFonts w:ascii="仿宋" w:hAnsi="仿宋" w:eastAsia="仿宋" w:cs="仿宋"/>
                <w:spacing w:val="17"/>
                <w:sz w:val="20"/>
                <w:szCs w:val="20"/>
              </w:rPr>
              <w:t>，仅用于基本农田保护区及生态敏感段</w:t>
            </w:r>
            <w:r>
              <w:rPr>
                <w:rFonts w:ascii="仿宋" w:hAnsi="仿宋" w:eastAsia="仿宋" w:cs="仿宋"/>
                <w:spacing w:val="-58"/>
                <w:sz w:val="20"/>
                <w:szCs w:val="20"/>
              </w:rPr>
              <w:t xml:space="preserve"> </w:t>
            </w:r>
            <w:r>
              <w:rPr>
                <w:rFonts w:ascii="仿宋" w:hAnsi="仿宋" w:eastAsia="仿宋" w:cs="仿宋"/>
                <w:spacing w:val="17"/>
                <w:sz w:val="20"/>
                <w:szCs w:val="20"/>
              </w:rPr>
              <w:t>；碎石最大粒径</w:t>
            </w:r>
            <w:r>
              <w:rPr>
                <w:spacing w:val="6"/>
                <w:sz w:val="20"/>
                <w:szCs w:val="20"/>
              </w:rPr>
              <w:t>≤37.5</w:t>
            </w:r>
            <w:r>
              <w:rPr>
                <w:sz w:val="20"/>
                <w:szCs w:val="20"/>
              </w:rPr>
              <w:t>mm</w:t>
            </w:r>
            <w:r>
              <w:rPr>
                <w:spacing w:val="-21"/>
                <w:sz w:val="20"/>
                <w:szCs w:val="20"/>
              </w:rPr>
              <w:t xml:space="preserve"> </w:t>
            </w:r>
            <w:r>
              <w:rPr>
                <w:rFonts w:ascii="仿宋" w:hAnsi="仿宋" w:eastAsia="仿宋" w:cs="仿宋"/>
                <w:spacing w:val="6"/>
                <w:sz w:val="20"/>
                <w:szCs w:val="20"/>
              </w:rPr>
              <w:t>，压碎值</w:t>
            </w:r>
            <w:r>
              <w:rPr>
                <w:spacing w:val="6"/>
                <w:sz w:val="20"/>
                <w:szCs w:val="20"/>
              </w:rPr>
              <w:t>≤30%</w:t>
            </w:r>
            <w:r>
              <w:rPr>
                <w:spacing w:val="-20"/>
                <w:sz w:val="20"/>
                <w:szCs w:val="20"/>
              </w:rPr>
              <w:t xml:space="preserve"> </w:t>
            </w:r>
            <w:r>
              <w:rPr>
                <w:rFonts w:ascii="仿宋" w:hAnsi="仿宋" w:eastAsia="仿宋" w:cs="仿宋"/>
                <w:spacing w:val="6"/>
                <w:sz w:val="20"/>
                <w:szCs w:val="20"/>
              </w:rPr>
              <w:t>，含泥量</w:t>
            </w:r>
            <w:r>
              <w:rPr>
                <w:spacing w:val="6"/>
                <w:sz w:val="20"/>
                <w:szCs w:val="20"/>
              </w:rPr>
              <w:t>≤5%</w:t>
            </w:r>
            <w:r>
              <w:rPr>
                <w:spacing w:val="-23"/>
                <w:sz w:val="20"/>
                <w:szCs w:val="20"/>
              </w:rPr>
              <w:t xml:space="preserve"> </w:t>
            </w:r>
            <w:r>
              <w:rPr>
                <w:rFonts w:ascii="仿宋" w:hAnsi="仿宋" w:eastAsia="仿宋" w:cs="仿宋"/>
                <w:spacing w:val="6"/>
                <w:sz w:val="20"/>
                <w:szCs w:val="20"/>
              </w:rPr>
              <w:t>，重型击实压</w:t>
            </w:r>
            <w:r>
              <w:rPr>
                <w:rFonts w:ascii="仿宋" w:hAnsi="仿宋" w:eastAsia="仿宋" w:cs="仿宋"/>
                <w:spacing w:val="5"/>
                <w:sz w:val="20"/>
                <w:szCs w:val="20"/>
              </w:rPr>
              <w:t>实度</w:t>
            </w:r>
            <w:r>
              <w:rPr>
                <w:spacing w:val="5"/>
                <w:sz w:val="20"/>
                <w:szCs w:val="20"/>
              </w:rPr>
              <w:t>≥95%</w:t>
            </w:r>
            <w:r>
              <w:rPr>
                <w:rFonts w:ascii="仿宋" w:hAnsi="仿宋" w:eastAsia="仿宋" w:cs="仿宋"/>
                <w:spacing w:val="5"/>
                <w:sz w:val="20"/>
                <w:szCs w:val="20"/>
              </w:rPr>
              <w:t>；施工时分层摊铺，每</w:t>
            </w:r>
            <w:r>
              <w:rPr>
                <w:rFonts w:ascii="仿宋" w:hAnsi="仿宋" w:eastAsia="仿宋" w:cs="仿宋"/>
                <w:spacing w:val="7"/>
                <w:sz w:val="20"/>
                <w:szCs w:val="20"/>
              </w:rPr>
              <w:t>层松铺厚度</w:t>
            </w:r>
            <w:r>
              <w:rPr>
                <w:spacing w:val="7"/>
                <w:sz w:val="20"/>
                <w:szCs w:val="20"/>
              </w:rPr>
              <w:t>≤15</w:t>
            </w:r>
            <w:r>
              <w:rPr>
                <w:sz w:val="20"/>
                <w:szCs w:val="20"/>
              </w:rPr>
              <w:t>cm</w:t>
            </w:r>
            <w:r>
              <w:rPr>
                <w:rFonts w:ascii="仿宋" w:hAnsi="仿宋" w:eastAsia="仿宋" w:cs="仿宋"/>
                <w:spacing w:val="7"/>
                <w:sz w:val="20"/>
                <w:szCs w:val="20"/>
              </w:rPr>
              <w:t>，分层碾压至规定密实度，严禁一次性超厚填筑，确保路基稳定与环保要求。</w:t>
            </w:r>
          </w:p>
          <w:p w14:paraId="125B484D">
            <w:pPr>
              <w:pStyle w:val="6"/>
              <w:spacing w:line="231" w:lineRule="auto"/>
              <w:ind w:left="434"/>
              <w:rPr>
                <w:rFonts w:ascii="仿宋" w:hAnsi="仿宋" w:eastAsia="仿宋" w:cs="仿宋"/>
                <w:sz w:val="20"/>
                <w:szCs w:val="20"/>
              </w:rPr>
            </w:pPr>
            <w:r>
              <w:rPr>
                <w:rFonts w:ascii="仿宋" w:hAnsi="仿宋" w:eastAsia="仿宋" w:cs="仿宋"/>
                <w:spacing w:val="7"/>
                <w:sz w:val="20"/>
                <w:szCs w:val="20"/>
              </w:rPr>
              <w:t>（</w:t>
            </w:r>
            <w:r>
              <w:rPr>
                <w:spacing w:val="7"/>
                <w:sz w:val="20"/>
                <w:szCs w:val="20"/>
              </w:rPr>
              <w:t>4</w:t>
            </w:r>
            <w:r>
              <w:rPr>
                <w:rFonts w:ascii="仿宋" w:hAnsi="仿宋" w:eastAsia="仿宋" w:cs="仿宋"/>
                <w:spacing w:val="7"/>
                <w:sz w:val="20"/>
                <w:szCs w:val="20"/>
              </w:rPr>
              <w:t>）公路自然区划</w:t>
            </w:r>
          </w:p>
          <w:p w14:paraId="0FE68DD2">
            <w:pPr>
              <w:pStyle w:val="6"/>
              <w:spacing w:before="157" w:line="378" w:lineRule="auto"/>
              <w:ind w:left="28" w:right="5" w:firstLine="402"/>
              <w:rPr>
                <w:rFonts w:ascii="仿宋" w:hAnsi="仿宋" w:eastAsia="仿宋" w:cs="仿宋"/>
                <w:sz w:val="20"/>
                <w:szCs w:val="20"/>
              </w:rPr>
            </w:pPr>
            <w:r>
              <w:rPr>
                <w:rFonts w:ascii="仿宋" w:hAnsi="仿宋" w:eastAsia="仿宋" w:cs="仿宋"/>
                <w:spacing w:val="13"/>
                <w:sz w:val="20"/>
                <w:szCs w:val="20"/>
              </w:rPr>
              <w:t>本项目地处内蒙古自治区中西部，属于内蒙草原中干区，属</w:t>
            </w:r>
            <w:r>
              <w:rPr>
                <w:rFonts w:ascii="仿宋" w:hAnsi="仿宋" w:eastAsia="仿宋" w:cs="仿宋"/>
                <w:spacing w:val="12"/>
                <w:sz w:val="20"/>
                <w:szCs w:val="20"/>
              </w:rPr>
              <w:t>公路自然区划</w:t>
            </w:r>
            <w:r>
              <w:rPr>
                <w:rFonts w:ascii="仿宋" w:hAnsi="仿宋" w:eastAsia="仿宋" w:cs="仿宋"/>
                <w:spacing w:val="-41"/>
                <w:sz w:val="20"/>
                <w:szCs w:val="20"/>
              </w:rPr>
              <w:t xml:space="preserve"> </w:t>
            </w:r>
            <w:r>
              <w:rPr>
                <w:sz w:val="20"/>
                <w:szCs w:val="20"/>
              </w:rPr>
              <w:t>VI</w:t>
            </w:r>
            <w:r>
              <w:rPr>
                <w:spacing w:val="12"/>
                <w:sz w:val="20"/>
                <w:szCs w:val="20"/>
              </w:rPr>
              <w:t>1</w:t>
            </w:r>
            <w:r>
              <w:rPr>
                <w:rFonts w:ascii="仿宋" w:hAnsi="仿宋" w:eastAsia="仿宋" w:cs="仿宋"/>
                <w:spacing w:val="-12"/>
                <w:sz w:val="20"/>
                <w:szCs w:val="20"/>
              </w:rPr>
              <w:t>区。</w:t>
            </w:r>
          </w:p>
          <w:p w14:paraId="46305B01">
            <w:pPr>
              <w:pStyle w:val="6"/>
              <w:spacing w:before="1" w:line="231" w:lineRule="auto"/>
              <w:ind w:left="434"/>
              <w:rPr>
                <w:rFonts w:ascii="仿宋" w:hAnsi="仿宋" w:eastAsia="仿宋" w:cs="仿宋"/>
                <w:sz w:val="20"/>
                <w:szCs w:val="20"/>
              </w:rPr>
            </w:pPr>
            <w:r>
              <w:rPr>
                <w:rFonts w:ascii="仿宋" w:hAnsi="仿宋" w:eastAsia="仿宋" w:cs="仿宋"/>
                <w:spacing w:val="6"/>
                <w:sz w:val="20"/>
                <w:szCs w:val="20"/>
              </w:rPr>
              <w:t>（</w:t>
            </w:r>
            <w:r>
              <w:rPr>
                <w:spacing w:val="6"/>
                <w:sz w:val="20"/>
                <w:szCs w:val="20"/>
              </w:rPr>
              <w:t>5</w:t>
            </w:r>
            <w:r>
              <w:rPr>
                <w:rFonts w:ascii="仿宋" w:hAnsi="仿宋" w:eastAsia="仿宋" w:cs="仿宋"/>
                <w:spacing w:val="6"/>
                <w:sz w:val="20"/>
                <w:szCs w:val="20"/>
              </w:rPr>
              <w:t>）路面结构</w:t>
            </w:r>
          </w:p>
          <w:p w14:paraId="4A856CF1">
            <w:pPr>
              <w:pStyle w:val="6"/>
              <w:spacing w:before="157" w:line="377" w:lineRule="auto"/>
              <w:ind w:left="11" w:right="6" w:firstLine="417"/>
              <w:rPr>
                <w:rFonts w:ascii="仿宋" w:hAnsi="仿宋" w:eastAsia="仿宋" w:cs="仿宋"/>
                <w:sz w:val="20"/>
                <w:szCs w:val="20"/>
              </w:rPr>
            </w:pPr>
            <w:r>
              <w:rPr>
                <w:rFonts w:ascii="仿宋" w:hAnsi="仿宋" w:eastAsia="仿宋" w:cs="仿宋"/>
                <w:spacing w:val="8"/>
                <w:sz w:val="20"/>
                <w:szCs w:val="20"/>
              </w:rPr>
              <w:t>水泥混凝土面层：</w:t>
            </w:r>
            <w:r>
              <w:rPr>
                <w:rFonts w:ascii="仿宋" w:hAnsi="仿宋" w:eastAsia="仿宋" w:cs="仿宋"/>
                <w:spacing w:val="-60"/>
                <w:sz w:val="20"/>
                <w:szCs w:val="20"/>
              </w:rPr>
              <w:t xml:space="preserve"> </w:t>
            </w:r>
            <w:r>
              <w:rPr>
                <w:spacing w:val="8"/>
                <w:sz w:val="20"/>
                <w:szCs w:val="20"/>
              </w:rPr>
              <w:t>18</w:t>
            </w:r>
            <w:r>
              <w:rPr>
                <w:sz w:val="20"/>
                <w:szCs w:val="20"/>
              </w:rPr>
              <w:t>cm</w:t>
            </w:r>
            <w:r>
              <w:rPr>
                <w:spacing w:val="21"/>
                <w:w w:val="101"/>
                <w:sz w:val="20"/>
                <w:szCs w:val="20"/>
              </w:rPr>
              <w:t xml:space="preserve"> </w:t>
            </w:r>
            <w:r>
              <w:rPr>
                <w:rFonts w:ascii="仿宋" w:hAnsi="仿宋" w:eastAsia="仿宋" w:cs="仿宋"/>
                <w:spacing w:val="8"/>
                <w:sz w:val="20"/>
                <w:szCs w:val="20"/>
              </w:rPr>
              <w:t>厚</w:t>
            </w:r>
            <w:r>
              <w:rPr>
                <w:rFonts w:ascii="仿宋" w:hAnsi="仿宋" w:eastAsia="仿宋" w:cs="仿宋"/>
                <w:spacing w:val="-38"/>
                <w:sz w:val="20"/>
                <w:szCs w:val="20"/>
              </w:rPr>
              <w:t xml:space="preserve"> </w:t>
            </w:r>
            <w:r>
              <w:rPr>
                <w:spacing w:val="8"/>
                <w:sz w:val="20"/>
                <w:szCs w:val="20"/>
              </w:rPr>
              <w:t>C30</w:t>
            </w:r>
            <w:r>
              <w:rPr>
                <w:spacing w:val="17"/>
                <w:w w:val="101"/>
                <w:sz w:val="20"/>
                <w:szCs w:val="20"/>
              </w:rPr>
              <w:t xml:space="preserve"> </w:t>
            </w:r>
            <w:r>
              <w:rPr>
                <w:rFonts w:ascii="仿宋" w:hAnsi="仿宋" w:eastAsia="仿宋" w:cs="仿宋"/>
                <w:spacing w:val="8"/>
                <w:sz w:val="20"/>
                <w:szCs w:val="20"/>
              </w:rPr>
              <w:t>水泥混凝土路面</w:t>
            </w:r>
            <w:r>
              <w:rPr>
                <w:rFonts w:ascii="仿宋" w:hAnsi="仿宋" w:eastAsia="仿宋" w:cs="仿宋"/>
                <w:spacing w:val="7"/>
                <w:sz w:val="20"/>
                <w:szCs w:val="20"/>
              </w:rPr>
              <w:t>；垫层：</w:t>
            </w:r>
            <w:r>
              <w:rPr>
                <w:spacing w:val="7"/>
                <w:sz w:val="20"/>
                <w:szCs w:val="20"/>
              </w:rPr>
              <w:t>15</w:t>
            </w:r>
            <w:r>
              <w:rPr>
                <w:sz w:val="20"/>
                <w:szCs w:val="20"/>
              </w:rPr>
              <w:t>cm</w:t>
            </w:r>
            <w:r>
              <w:rPr>
                <w:spacing w:val="21"/>
                <w:sz w:val="20"/>
                <w:szCs w:val="20"/>
              </w:rPr>
              <w:t xml:space="preserve"> </w:t>
            </w:r>
            <w:r>
              <w:rPr>
                <w:rFonts w:ascii="仿宋" w:hAnsi="仿宋" w:eastAsia="仿宋" w:cs="仿宋"/>
                <w:spacing w:val="7"/>
                <w:sz w:val="20"/>
                <w:szCs w:val="20"/>
              </w:rPr>
              <w:t>厚未筛分碎石垫</w:t>
            </w:r>
            <w:r>
              <w:rPr>
                <w:rFonts w:ascii="仿宋" w:hAnsi="仿宋" w:eastAsia="仿宋" w:cs="仿宋"/>
                <w:spacing w:val="-4"/>
                <w:sz w:val="20"/>
                <w:szCs w:val="20"/>
              </w:rPr>
              <w:t>层；</w:t>
            </w:r>
          </w:p>
          <w:p w14:paraId="44BF9911">
            <w:pPr>
              <w:pStyle w:val="6"/>
              <w:spacing w:before="2" w:line="229" w:lineRule="auto"/>
              <w:ind w:left="431"/>
              <w:rPr>
                <w:rFonts w:ascii="仿宋" w:hAnsi="仿宋" w:eastAsia="仿宋" w:cs="仿宋"/>
                <w:sz w:val="20"/>
                <w:szCs w:val="20"/>
              </w:rPr>
            </w:pPr>
            <w:r>
              <w:rPr>
                <w:rFonts w:ascii="仿宋" w:hAnsi="仿宋" w:eastAsia="仿宋" w:cs="仿宋"/>
                <w:spacing w:val="7"/>
                <w:sz w:val="20"/>
                <w:szCs w:val="20"/>
              </w:rPr>
              <w:t>未筛分碎石路面：</w:t>
            </w:r>
            <w:r>
              <w:rPr>
                <w:spacing w:val="7"/>
                <w:sz w:val="20"/>
                <w:szCs w:val="20"/>
              </w:rPr>
              <w:t>18</w:t>
            </w:r>
            <w:r>
              <w:rPr>
                <w:sz w:val="20"/>
                <w:szCs w:val="20"/>
              </w:rPr>
              <w:t>cm</w:t>
            </w:r>
            <w:r>
              <w:rPr>
                <w:spacing w:val="32"/>
                <w:sz w:val="20"/>
                <w:szCs w:val="20"/>
              </w:rPr>
              <w:t xml:space="preserve"> </w:t>
            </w:r>
            <w:r>
              <w:rPr>
                <w:rFonts w:ascii="仿宋" w:hAnsi="仿宋" w:eastAsia="仿宋" w:cs="仿宋"/>
                <w:spacing w:val="7"/>
                <w:sz w:val="20"/>
                <w:szCs w:val="20"/>
              </w:rPr>
              <w:t>厚未筛分碎石面层。</w:t>
            </w:r>
          </w:p>
          <w:p w14:paraId="507EE4F8">
            <w:pPr>
              <w:pStyle w:val="6"/>
              <w:spacing w:before="182" w:line="3503" w:lineRule="exact"/>
              <w:ind w:firstLine="51"/>
            </w:pPr>
            <w:r>
              <w:rPr>
                <w:position w:val="-70"/>
              </w:rPr>
              <w:pict>
                <v:group id="_x0000_s1029" o:spid="_x0000_s1029" o:spt="203" style="height:175.2pt;width:384.85pt;" coordsize="7697,3503">
                  <o:lock v:ext="edit"/>
                  <v:shape id="_x0000_s1030" o:spid="_x0000_s1030" o:spt="75" type="#_x0000_t75" style="position:absolute;left:0;top:0;height:3397;width:7697;" filled="f" stroked="f" coordsize="21600,21600">
                    <v:path/>
                    <v:fill on="f" focussize="0,0"/>
                    <v:stroke on="f"/>
                    <v:imagedata r:id="rId286" o:title=""/>
                    <o:lock v:ext="edit" aspectratio="t"/>
                  </v:shape>
                  <v:shape id="_x0000_s1031" o:spid="_x0000_s1031" o:spt="202" type="#_x0000_t202" style="position:absolute;left:2179;top:3269;height:253;width:3373;" filled="f" stroked="f" coordsize="21600,21600">
                    <v:path/>
                    <v:fill on="f" focussize="0,0"/>
                    <v:stroke on="f"/>
                    <v:imagedata o:title=""/>
                    <o:lock v:ext="edit" aspectratio="f"/>
                    <v:textbox inset="0mm,0mm,0mm,0mm">
                      <w:txbxContent>
                        <w:p w14:paraId="25355478">
                          <w:pPr>
                            <w:spacing w:before="19" w:line="232" w:lineRule="auto"/>
                            <w:ind w:left="20"/>
                            <w:rPr>
                              <w:rFonts w:ascii="仿宋" w:hAnsi="仿宋" w:eastAsia="仿宋" w:cs="仿宋"/>
                              <w:sz w:val="20"/>
                              <w:szCs w:val="20"/>
                            </w:rPr>
                          </w:pPr>
                          <w:r>
                            <w:rPr>
                              <w:rFonts w:ascii="仿宋" w:hAnsi="仿宋" w:eastAsia="仿宋" w:cs="仿宋"/>
                              <w:b/>
                              <w:bCs/>
                              <w:spacing w:val="4"/>
                              <w:sz w:val="20"/>
                              <w:szCs w:val="20"/>
                            </w:rPr>
                            <w:t>图</w:t>
                          </w:r>
                          <w:r>
                            <w:rPr>
                              <w:rFonts w:ascii="仿宋" w:hAnsi="仿宋" w:eastAsia="仿宋" w:cs="仿宋"/>
                              <w:spacing w:val="-32"/>
                              <w:sz w:val="20"/>
                              <w:szCs w:val="20"/>
                            </w:rPr>
                            <w:t xml:space="preserve"> </w:t>
                          </w:r>
                          <w:r>
                            <w:rPr>
                              <w:rFonts w:ascii="Times New Roman" w:hAnsi="Times New Roman" w:eastAsia="Times New Roman" w:cs="Times New Roman"/>
                              <w:b/>
                              <w:bCs/>
                              <w:spacing w:val="4"/>
                              <w:sz w:val="20"/>
                              <w:szCs w:val="20"/>
                            </w:rPr>
                            <w:t xml:space="preserve">2-5  </w:t>
                          </w:r>
                          <w:r>
                            <w:rPr>
                              <w:rFonts w:ascii="仿宋" w:hAnsi="仿宋" w:eastAsia="仿宋" w:cs="仿宋"/>
                              <w:b/>
                              <w:bCs/>
                              <w:spacing w:val="4"/>
                              <w:sz w:val="20"/>
                              <w:szCs w:val="20"/>
                            </w:rPr>
                            <w:t>水泥混凝土路面结构图（一）</w:t>
                          </w:r>
                        </w:p>
                      </w:txbxContent>
                    </v:textbox>
                  </v:shape>
                  <w10:wrap type="none"/>
                  <w10:anchorlock/>
                </v:group>
              </w:pict>
            </w:r>
          </w:p>
        </w:tc>
      </w:tr>
    </w:tbl>
    <w:p w14:paraId="0AA9A374">
      <w:pPr>
        <w:pStyle w:val="2"/>
        <w:spacing w:line="37" w:lineRule="exact"/>
        <w:rPr>
          <w:sz w:val="3"/>
        </w:rPr>
      </w:pPr>
    </w:p>
    <w:p w14:paraId="475CF0E9">
      <w:pPr>
        <w:spacing w:line="37" w:lineRule="exact"/>
        <w:rPr>
          <w:sz w:val="3"/>
          <w:szCs w:val="3"/>
        </w:rPr>
        <w:sectPr>
          <w:footerReference r:id="rId31" w:type="default"/>
          <w:pgSz w:w="11907" w:h="16840"/>
          <w:pgMar w:top="400" w:right="1757" w:bottom="1446" w:left="1757" w:header="0" w:footer="1284" w:gutter="0"/>
          <w:cols w:space="720" w:num="1"/>
        </w:sectPr>
      </w:pPr>
    </w:p>
    <w:p w14:paraId="18243983">
      <w:pPr>
        <w:pStyle w:val="2"/>
        <w:spacing w:line="258" w:lineRule="auto"/>
        <w:rPr>
          <w:sz w:val="21"/>
        </w:rPr>
      </w:pPr>
    </w:p>
    <w:p w14:paraId="209D56BB">
      <w:pPr>
        <w:pStyle w:val="2"/>
        <w:spacing w:line="258" w:lineRule="auto"/>
        <w:rPr>
          <w:sz w:val="21"/>
        </w:rPr>
      </w:pPr>
    </w:p>
    <w:p w14:paraId="57AADE2E">
      <w:pPr>
        <w:pStyle w:val="2"/>
        <w:spacing w:line="258" w:lineRule="auto"/>
        <w:rPr>
          <w:sz w:val="21"/>
        </w:rPr>
      </w:pPr>
    </w:p>
    <w:p w14:paraId="70CF29E1">
      <w:pPr>
        <w:pStyle w:val="2"/>
        <w:spacing w:line="259" w:lineRule="auto"/>
        <w:rPr>
          <w:sz w:val="21"/>
        </w:rPr>
      </w:pPr>
    </w:p>
    <w:p w14:paraId="4638ECC8">
      <w:pPr>
        <w:pStyle w:val="2"/>
        <w:spacing w:line="13693" w:lineRule="exact"/>
      </w:pPr>
      <w:r>
        <w:rPr>
          <w:position w:val="-273"/>
        </w:rPr>
        <w:pict>
          <v:group id="_x0000_s1032" o:spid="_x0000_s1032" o:spt="203" style="height:684.7pt;width:419.65pt;" coordsize="8392,13694">
            <o:lock v:ext="edit"/>
            <v:shape id="_x0000_s1033" o:spid="_x0000_s1033" o:spt="75" type="#_x0000_t75" style="position:absolute;left:0;top:0;height:13694;width:8392;" filled="f" stroked="f" coordsize="21600,21600">
              <v:path/>
              <v:fill on="f" focussize="0,0"/>
              <v:stroke on="f"/>
              <v:imagedata r:id="rId287" o:title=""/>
              <o:lock v:ext="edit" aspectratio="t"/>
            </v:shape>
            <v:shape id="_x0000_s1034" o:spid="_x0000_s1034" o:spt="202" type="#_x0000_t202" style="position:absolute;left:736;top:7311;height:2296;width:7655;" filled="f" stroked="f" coordsize="21600,21600">
              <v:path/>
              <v:fill on="f" focussize="0,0"/>
              <v:stroke on="f"/>
              <v:imagedata o:title=""/>
              <o:lock v:ext="edit" aspectratio="f"/>
              <v:textbox inset="0mm,0mm,0mm,0mm">
                <w:txbxContent>
                  <w:p w14:paraId="617BDC9C">
                    <w:pPr>
                      <w:spacing w:before="19" w:line="232" w:lineRule="auto"/>
                      <w:ind w:left="440"/>
                      <w:rPr>
                        <w:rFonts w:ascii="仿宋" w:hAnsi="仿宋" w:eastAsia="仿宋" w:cs="仿宋"/>
                        <w:sz w:val="20"/>
                        <w:szCs w:val="20"/>
                      </w:rPr>
                    </w:pPr>
                    <w:r>
                      <w:rPr>
                        <w:rFonts w:ascii="Times New Roman" w:hAnsi="Times New Roman" w:eastAsia="Times New Roman" w:cs="Times New Roman"/>
                        <w:b/>
                        <w:bCs/>
                        <w:spacing w:val="1"/>
                        <w:sz w:val="20"/>
                        <w:szCs w:val="20"/>
                      </w:rPr>
                      <w:t>11</w:t>
                    </w:r>
                    <w:r>
                      <w:rPr>
                        <w:rFonts w:ascii="Times New Roman" w:hAnsi="Times New Roman" w:eastAsia="Times New Roman" w:cs="Times New Roman"/>
                        <w:b/>
                        <w:bCs/>
                        <w:spacing w:val="-20"/>
                        <w:sz w:val="20"/>
                        <w:szCs w:val="20"/>
                      </w:rPr>
                      <w:t xml:space="preserve"> </w:t>
                    </w:r>
                    <w:r>
                      <w:rPr>
                        <w:rFonts w:ascii="仿宋" w:hAnsi="仿宋" w:eastAsia="仿宋" w:cs="仿宋"/>
                        <w:b/>
                        <w:bCs/>
                        <w:spacing w:val="1"/>
                        <w:sz w:val="20"/>
                        <w:szCs w:val="20"/>
                      </w:rPr>
                      <w:t>、涵洞工程</w:t>
                    </w:r>
                  </w:p>
                  <w:p w14:paraId="51B8E818">
                    <w:pPr>
                      <w:spacing w:before="157" w:line="377" w:lineRule="auto"/>
                      <w:ind w:left="20" w:right="20" w:firstLine="421"/>
                      <w:jc w:val="both"/>
                      <w:rPr>
                        <w:rFonts w:ascii="仿宋" w:hAnsi="仿宋" w:eastAsia="仿宋" w:cs="仿宋"/>
                        <w:sz w:val="20"/>
                        <w:szCs w:val="20"/>
                      </w:rPr>
                    </w:pPr>
                    <w:r>
                      <w:rPr>
                        <w:rFonts w:ascii="仿宋" w:hAnsi="仿宋" w:eastAsia="仿宋" w:cs="仿宋"/>
                        <w:spacing w:val="10"/>
                        <w:sz w:val="20"/>
                        <w:szCs w:val="20"/>
                      </w:rPr>
                      <w:t>本项目全线共设置涵洞</w:t>
                    </w:r>
                    <w:r>
                      <w:rPr>
                        <w:rFonts w:ascii="仿宋" w:hAnsi="仿宋" w:eastAsia="仿宋" w:cs="仿宋"/>
                        <w:spacing w:val="-20"/>
                        <w:sz w:val="20"/>
                        <w:szCs w:val="20"/>
                      </w:rPr>
                      <w:t xml:space="preserve"> </w:t>
                    </w:r>
                    <w:r>
                      <w:rPr>
                        <w:rFonts w:ascii="Times New Roman" w:hAnsi="Times New Roman" w:eastAsia="Times New Roman" w:cs="Times New Roman"/>
                        <w:spacing w:val="10"/>
                        <w:sz w:val="20"/>
                        <w:szCs w:val="20"/>
                      </w:rPr>
                      <w:t>7</w:t>
                    </w:r>
                    <w:r>
                      <w:rPr>
                        <w:rFonts w:ascii="Times New Roman" w:hAnsi="Times New Roman" w:eastAsia="Times New Roman" w:cs="Times New Roman"/>
                        <w:spacing w:val="21"/>
                        <w:w w:val="101"/>
                        <w:sz w:val="20"/>
                        <w:szCs w:val="20"/>
                      </w:rPr>
                      <w:t xml:space="preserve"> </w:t>
                    </w:r>
                    <w:r>
                      <w:rPr>
                        <w:rFonts w:ascii="仿宋" w:hAnsi="仿宋" w:eastAsia="仿宋" w:cs="仿宋"/>
                        <w:spacing w:val="10"/>
                        <w:sz w:val="20"/>
                        <w:szCs w:val="20"/>
                      </w:rPr>
                      <w:t>道。其中：沙圪堵镇乌拉素村二道壕大坝东至秦家塔</w:t>
                    </w:r>
                    <w:r>
                      <w:rPr>
                        <w:rFonts w:ascii="仿宋" w:hAnsi="仿宋" w:eastAsia="仿宋" w:cs="仿宋"/>
                        <w:spacing w:val="5"/>
                        <w:sz w:val="20"/>
                        <w:szCs w:val="20"/>
                      </w:rPr>
                      <w:t>社段设置</w:t>
                    </w:r>
                    <w:r>
                      <w:rPr>
                        <w:rFonts w:ascii="仿宋" w:hAnsi="仿宋" w:eastAsia="仿宋" w:cs="仿宋"/>
                        <w:spacing w:val="-5"/>
                        <w:sz w:val="20"/>
                        <w:szCs w:val="20"/>
                      </w:rPr>
                      <w:t xml:space="preserve"> </w:t>
                    </w:r>
                    <w:r>
                      <w:rPr>
                        <w:rFonts w:ascii="Times New Roman" w:hAnsi="Times New Roman" w:eastAsia="Times New Roman" w:cs="Times New Roman"/>
                        <w:spacing w:val="5"/>
                        <w:sz w:val="20"/>
                        <w:szCs w:val="20"/>
                      </w:rPr>
                      <w:t>1-0.75m</w:t>
                    </w:r>
                    <w:r>
                      <w:rPr>
                        <w:rFonts w:ascii="Times New Roman" w:hAnsi="Times New Roman" w:eastAsia="Times New Roman" w:cs="Times New Roman"/>
                        <w:spacing w:val="17"/>
                        <w:sz w:val="20"/>
                        <w:szCs w:val="20"/>
                      </w:rPr>
                      <w:t xml:space="preserve"> </w:t>
                    </w:r>
                    <w:r>
                      <w:rPr>
                        <w:rFonts w:ascii="仿宋" w:hAnsi="仿宋" w:eastAsia="仿宋" w:cs="仿宋"/>
                        <w:spacing w:val="5"/>
                        <w:sz w:val="20"/>
                        <w:szCs w:val="20"/>
                      </w:rPr>
                      <w:t>钢筋混凝土圆管涵</w:t>
                    </w:r>
                    <w:r>
                      <w:rPr>
                        <w:rFonts w:ascii="仿宋" w:hAnsi="仿宋" w:eastAsia="仿宋" w:cs="仿宋"/>
                        <w:spacing w:val="-43"/>
                        <w:sz w:val="20"/>
                        <w:szCs w:val="20"/>
                      </w:rPr>
                      <w:t xml:space="preserve"> </w:t>
                    </w:r>
                    <w:r>
                      <w:rPr>
                        <w:rFonts w:ascii="Times New Roman" w:hAnsi="Times New Roman" w:eastAsia="Times New Roman" w:cs="Times New Roman"/>
                        <w:spacing w:val="5"/>
                        <w:sz w:val="20"/>
                        <w:szCs w:val="20"/>
                      </w:rPr>
                      <w:t>2</w:t>
                    </w:r>
                    <w:r>
                      <w:rPr>
                        <w:rFonts w:ascii="Times New Roman" w:hAnsi="Times New Roman" w:eastAsia="Times New Roman" w:cs="Times New Roman"/>
                        <w:spacing w:val="21"/>
                        <w:sz w:val="20"/>
                        <w:szCs w:val="20"/>
                      </w:rPr>
                      <w:t xml:space="preserve"> </w:t>
                    </w:r>
                    <w:r>
                      <w:rPr>
                        <w:rFonts w:ascii="仿宋" w:hAnsi="仿宋" w:eastAsia="仿宋" w:cs="仿宋"/>
                        <w:spacing w:val="5"/>
                        <w:sz w:val="20"/>
                        <w:szCs w:val="20"/>
                      </w:rPr>
                      <w:t>道；双山梁村通社公路工程段设置</w:t>
                    </w:r>
                    <w:r>
                      <w:rPr>
                        <w:rFonts w:ascii="仿宋" w:hAnsi="仿宋" w:eastAsia="仿宋" w:cs="仿宋"/>
                        <w:spacing w:val="-23"/>
                        <w:sz w:val="20"/>
                        <w:szCs w:val="20"/>
                      </w:rPr>
                      <w:t xml:space="preserve"> </w:t>
                    </w:r>
                    <w:r>
                      <w:rPr>
                        <w:rFonts w:ascii="Times New Roman" w:hAnsi="Times New Roman" w:eastAsia="Times New Roman" w:cs="Times New Roman"/>
                        <w:spacing w:val="5"/>
                        <w:sz w:val="20"/>
                        <w:szCs w:val="20"/>
                      </w:rPr>
                      <w:t>1-</w:t>
                    </w:r>
                    <w:r>
                      <w:rPr>
                        <w:rFonts w:ascii="Times New Roman" w:hAnsi="Times New Roman" w:eastAsia="Times New Roman" w:cs="Times New Roman"/>
                        <w:spacing w:val="-28"/>
                        <w:sz w:val="20"/>
                        <w:szCs w:val="20"/>
                      </w:rPr>
                      <w:t xml:space="preserve"> </w:t>
                    </w:r>
                    <w:r>
                      <w:rPr>
                        <w:rFonts w:ascii="Times New Roman" w:hAnsi="Times New Roman" w:eastAsia="Times New Roman" w:cs="Times New Roman"/>
                        <w:spacing w:val="5"/>
                        <w:sz w:val="20"/>
                        <w:szCs w:val="20"/>
                      </w:rPr>
                      <w:t>1.5m</w:t>
                    </w:r>
                    <w:r>
                      <w:rPr>
                        <w:rFonts w:ascii="Times New Roman" w:hAnsi="Times New Roman" w:eastAsia="Times New Roman" w:cs="Times New Roman"/>
                        <w:spacing w:val="19"/>
                        <w:w w:val="101"/>
                        <w:sz w:val="20"/>
                        <w:szCs w:val="20"/>
                      </w:rPr>
                      <w:t xml:space="preserve"> </w:t>
                    </w:r>
                    <w:r>
                      <w:rPr>
                        <w:rFonts w:ascii="仿宋" w:hAnsi="仿宋" w:eastAsia="仿宋" w:cs="仿宋"/>
                        <w:spacing w:val="5"/>
                        <w:sz w:val="20"/>
                        <w:szCs w:val="20"/>
                      </w:rPr>
                      <w:t>钢</w:t>
                    </w:r>
                    <w:r>
                      <w:rPr>
                        <w:rFonts w:ascii="仿宋" w:hAnsi="仿宋" w:eastAsia="仿宋" w:cs="仿宋"/>
                        <w:spacing w:val="6"/>
                        <w:sz w:val="20"/>
                        <w:szCs w:val="20"/>
                      </w:rPr>
                      <w:t>波纹管涵</w:t>
                    </w:r>
                    <w:r>
                      <w:rPr>
                        <w:rFonts w:ascii="仿宋" w:hAnsi="仿宋" w:eastAsia="仿宋" w:cs="仿宋"/>
                        <w:spacing w:val="-41"/>
                        <w:sz w:val="20"/>
                        <w:szCs w:val="20"/>
                      </w:rPr>
                      <w:t xml:space="preserve"> </w:t>
                    </w:r>
                    <w:r>
                      <w:rPr>
                        <w:rFonts w:ascii="Times New Roman" w:hAnsi="Times New Roman" w:eastAsia="Times New Roman" w:cs="Times New Roman"/>
                        <w:spacing w:val="6"/>
                        <w:sz w:val="20"/>
                        <w:szCs w:val="20"/>
                      </w:rPr>
                      <w:t>2</w:t>
                    </w:r>
                    <w:r>
                      <w:rPr>
                        <w:rFonts w:ascii="Times New Roman" w:hAnsi="Times New Roman" w:eastAsia="Times New Roman" w:cs="Times New Roman"/>
                        <w:spacing w:val="19"/>
                        <w:sz w:val="20"/>
                        <w:szCs w:val="20"/>
                      </w:rPr>
                      <w:t xml:space="preserve"> </w:t>
                    </w:r>
                    <w:r>
                      <w:rPr>
                        <w:rFonts w:ascii="仿宋" w:hAnsi="仿宋" w:eastAsia="仿宋" w:cs="仿宋"/>
                        <w:spacing w:val="6"/>
                        <w:sz w:val="20"/>
                        <w:szCs w:val="20"/>
                      </w:rPr>
                      <w:t>道；十二连城乡三道拐社坡底至北防洪堤段拆除既有涵洞后新</w:t>
                    </w:r>
                    <w:r>
                      <w:rPr>
                        <w:rFonts w:ascii="仿宋" w:hAnsi="仿宋" w:eastAsia="仿宋" w:cs="仿宋"/>
                        <w:spacing w:val="5"/>
                        <w:sz w:val="20"/>
                        <w:szCs w:val="20"/>
                      </w:rPr>
                      <w:t>建</w:t>
                    </w:r>
                    <w:r>
                      <w:rPr>
                        <w:rFonts w:ascii="仿宋" w:hAnsi="仿宋" w:eastAsia="仿宋" w:cs="仿宋"/>
                        <w:spacing w:val="-20"/>
                        <w:sz w:val="20"/>
                        <w:szCs w:val="20"/>
                      </w:rPr>
                      <w:t xml:space="preserve"> </w:t>
                    </w:r>
                    <w:r>
                      <w:rPr>
                        <w:rFonts w:ascii="Times New Roman" w:hAnsi="Times New Roman" w:eastAsia="Times New Roman" w:cs="Times New Roman"/>
                        <w:spacing w:val="5"/>
                        <w:sz w:val="20"/>
                        <w:szCs w:val="20"/>
                      </w:rPr>
                      <w:t>1-0.75m</w:t>
                    </w:r>
                    <w:r>
                      <w:rPr>
                        <w:rFonts w:ascii="仿宋" w:hAnsi="仿宋" w:eastAsia="仿宋" w:cs="仿宋"/>
                        <w:spacing w:val="5"/>
                        <w:sz w:val="20"/>
                        <w:szCs w:val="20"/>
                      </w:rPr>
                      <w:t>钢筋混凝土圆管涵</w:t>
                    </w:r>
                    <w:r>
                      <w:rPr>
                        <w:rFonts w:ascii="仿宋" w:hAnsi="仿宋" w:eastAsia="仿宋" w:cs="仿宋"/>
                        <w:spacing w:val="-41"/>
                        <w:sz w:val="20"/>
                        <w:szCs w:val="20"/>
                      </w:rPr>
                      <w:t xml:space="preserve"> </w:t>
                    </w:r>
                    <w:r>
                      <w:rPr>
                        <w:rFonts w:ascii="Times New Roman" w:hAnsi="Times New Roman" w:eastAsia="Times New Roman" w:cs="Times New Roman"/>
                        <w:spacing w:val="5"/>
                        <w:sz w:val="20"/>
                        <w:szCs w:val="20"/>
                      </w:rPr>
                      <w:t>2</w:t>
                    </w:r>
                    <w:r>
                      <w:rPr>
                        <w:rFonts w:ascii="Times New Roman" w:hAnsi="Times New Roman" w:eastAsia="Times New Roman" w:cs="Times New Roman"/>
                        <w:spacing w:val="19"/>
                        <w:sz w:val="20"/>
                        <w:szCs w:val="20"/>
                      </w:rPr>
                      <w:t xml:space="preserve"> </w:t>
                    </w:r>
                    <w:r>
                      <w:rPr>
                        <w:rFonts w:ascii="仿宋" w:hAnsi="仿宋" w:eastAsia="仿宋" w:cs="仿宋"/>
                        <w:spacing w:val="5"/>
                        <w:sz w:val="20"/>
                        <w:szCs w:val="20"/>
                      </w:rPr>
                      <w:t>道；脑包湾村路段一新建</w:t>
                    </w:r>
                    <w:r>
                      <w:rPr>
                        <w:rFonts w:ascii="仿宋" w:hAnsi="仿宋" w:eastAsia="仿宋" w:cs="仿宋"/>
                        <w:spacing w:val="-23"/>
                        <w:sz w:val="20"/>
                        <w:szCs w:val="20"/>
                      </w:rPr>
                      <w:t xml:space="preserve"> </w:t>
                    </w:r>
                    <w:r>
                      <w:rPr>
                        <w:rFonts w:ascii="Times New Roman" w:hAnsi="Times New Roman" w:eastAsia="Times New Roman" w:cs="Times New Roman"/>
                        <w:spacing w:val="5"/>
                        <w:sz w:val="20"/>
                        <w:szCs w:val="20"/>
                      </w:rPr>
                      <w:t>1-0.30m</w:t>
                    </w:r>
                    <w:r>
                      <w:rPr>
                        <w:rFonts w:ascii="Times New Roman" w:hAnsi="Times New Roman" w:eastAsia="Times New Roman" w:cs="Times New Roman"/>
                        <w:spacing w:val="18"/>
                        <w:sz w:val="20"/>
                        <w:szCs w:val="20"/>
                      </w:rPr>
                      <w:t xml:space="preserve"> </w:t>
                    </w:r>
                    <w:r>
                      <w:rPr>
                        <w:rFonts w:ascii="仿宋" w:hAnsi="仿宋" w:eastAsia="仿宋" w:cs="仿宋"/>
                        <w:spacing w:val="5"/>
                        <w:sz w:val="20"/>
                        <w:szCs w:val="20"/>
                      </w:rPr>
                      <w:t>铸</w:t>
                    </w:r>
                    <w:r>
                      <w:rPr>
                        <w:rFonts w:ascii="仿宋" w:hAnsi="仿宋" w:eastAsia="仿宋" w:cs="仿宋"/>
                        <w:spacing w:val="4"/>
                        <w:sz w:val="20"/>
                        <w:szCs w:val="20"/>
                      </w:rPr>
                      <w:t>铁管涵</w:t>
                    </w:r>
                    <w:r>
                      <w:rPr>
                        <w:rFonts w:ascii="仿宋" w:hAnsi="仿宋" w:eastAsia="仿宋" w:cs="仿宋"/>
                        <w:spacing w:val="-21"/>
                        <w:sz w:val="20"/>
                        <w:szCs w:val="20"/>
                      </w:rPr>
                      <w:t xml:space="preserve"> </w:t>
                    </w:r>
                    <w:r>
                      <w:rPr>
                        <w:rFonts w:ascii="Times New Roman" w:hAnsi="Times New Roman" w:eastAsia="Times New Roman" w:cs="Times New Roman"/>
                        <w:spacing w:val="4"/>
                        <w:sz w:val="20"/>
                        <w:szCs w:val="20"/>
                      </w:rPr>
                      <w:t>1</w:t>
                    </w:r>
                    <w:r>
                      <w:rPr>
                        <w:rFonts w:ascii="Times New Roman" w:hAnsi="Times New Roman" w:eastAsia="Times New Roman" w:cs="Times New Roman"/>
                        <w:spacing w:val="16"/>
                        <w:w w:val="101"/>
                        <w:sz w:val="20"/>
                        <w:szCs w:val="20"/>
                      </w:rPr>
                      <w:t xml:space="preserve"> </w:t>
                    </w:r>
                    <w:r>
                      <w:rPr>
                        <w:rFonts w:ascii="仿宋" w:hAnsi="仿宋" w:eastAsia="仿宋" w:cs="仿宋"/>
                        <w:spacing w:val="4"/>
                        <w:sz w:val="20"/>
                        <w:szCs w:val="20"/>
                      </w:rPr>
                      <w:t>道。</w:t>
                    </w:r>
                  </w:p>
                  <w:p w14:paraId="7B334548">
                    <w:pPr>
                      <w:spacing w:line="231" w:lineRule="auto"/>
                      <w:ind w:left="2722"/>
                      <w:rPr>
                        <w:rFonts w:ascii="仿宋" w:hAnsi="仿宋" w:eastAsia="仿宋" w:cs="仿宋"/>
                        <w:sz w:val="20"/>
                        <w:szCs w:val="20"/>
                      </w:rPr>
                    </w:pPr>
                    <w:r>
                      <w:rPr>
                        <w:rFonts w:ascii="仿宋" w:hAnsi="仿宋" w:eastAsia="仿宋" w:cs="仿宋"/>
                        <w:b/>
                        <w:bCs/>
                        <w:spacing w:val="4"/>
                        <w:sz w:val="20"/>
                        <w:szCs w:val="20"/>
                      </w:rPr>
                      <w:t>表</w:t>
                    </w:r>
                    <w:r>
                      <w:rPr>
                        <w:rFonts w:ascii="仿宋" w:hAnsi="仿宋" w:eastAsia="仿宋" w:cs="仿宋"/>
                        <w:spacing w:val="-29"/>
                        <w:sz w:val="20"/>
                        <w:szCs w:val="20"/>
                      </w:rPr>
                      <w:t xml:space="preserve"> </w:t>
                    </w:r>
                    <w:r>
                      <w:rPr>
                        <w:rFonts w:ascii="Times New Roman" w:hAnsi="Times New Roman" w:eastAsia="Times New Roman" w:cs="Times New Roman"/>
                        <w:b/>
                        <w:bCs/>
                        <w:spacing w:val="4"/>
                        <w:sz w:val="20"/>
                        <w:szCs w:val="20"/>
                      </w:rPr>
                      <w:t xml:space="preserve">2-12  </w:t>
                    </w:r>
                    <w:r>
                      <w:rPr>
                        <w:rFonts w:ascii="仿宋" w:hAnsi="仿宋" w:eastAsia="仿宋" w:cs="仿宋"/>
                        <w:b/>
                        <w:bCs/>
                        <w:spacing w:val="4"/>
                        <w:sz w:val="20"/>
                        <w:szCs w:val="20"/>
                      </w:rPr>
                      <w:t>涵洞设置一览表</w:t>
                    </w:r>
                  </w:p>
                </w:txbxContent>
              </v:textbox>
            </v:shape>
            <v:shape id="_x0000_s1035" o:spid="_x0000_s1035" o:spt="202" type="#_x0000_t202" style="position:absolute;left:2977;top:3147;height:4010;width:3375;" filled="f" stroked="f" coordsize="21600,21600">
              <v:path/>
              <v:fill on="f" focussize="0,0"/>
              <v:stroke on="f"/>
              <v:imagedata o:title=""/>
              <o:lock v:ext="edit" aspectratio="f"/>
              <v:textbox inset="0mm,0mm,0mm,0mm">
                <w:txbxContent>
                  <w:p w14:paraId="71179A38">
                    <w:pPr>
                      <w:spacing w:before="19" w:line="232" w:lineRule="auto"/>
                      <w:ind w:left="20"/>
                      <w:rPr>
                        <w:rFonts w:ascii="仿宋" w:hAnsi="仿宋" w:eastAsia="仿宋" w:cs="仿宋"/>
                        <w:sz w:val="20"/>
                        <w:szCs w:val="20"/>
                      </w:rPr>
                    </w:pPr>
                    <w:r>
                      <w:rPr>
                        <w:rFonts w:ascii="仿宋" w:hAnsi="仿宋" w:eastAsia="仿宋" w:cs="仿宋"/>
                        <w:b/>
                        <w:bCs/>
                        <w:spacing w:val="4"/>
                        <w:sz w:val="20"/>
                        <w:szCs w:val="20"/>
                      </w:rPr>
                      <w:t>图</w:t>
                    </w:r>
                    <w:r>
                      <w:rPr>
                        <w:rFonts w:ascii="仿宋" w:hAnsi="仿宋" w:eastAsia="仿宋" w:cs="仿宋"/>
                        <w:spacing w:val="-32"/>
                        <w:sz w:val="20"/>
                        <w:szCs w:val="20"/>
                      </w:rPr>
                      <w:t xml:space="preserve"> </w:t>
                    </w:r>
                    <w:r>
                      <w:rPr>
                        <w:rFonts w:ascii="Times New Roman" w:hAnsi="Times New Roman" w:eastAsia="Times New Roman" w:cs="Times New Roman"/>
                        <w:b/>
                        <w:bCs/>
                        <w:spacing w:val="4"/>
                        <w:sz w:val="20"/>
                        <w:szCs w:val="20"/>
                      </w:rPr>
                      <w:t xml:space="preserve">2-6  </w:t>
                    </w:r>
                    <w:r>
                      <w:rPr>
                        <w:rFonts w:ascii="仿宋" w:hAnsi="仿宋" w:eastAsia="仿宋" w:cs="仿宋"/>
                        <w:b/>
                        <w:bCs/>
                        <w:spacing w:val="4"/>
                        <w:sz w:val="20"/>
                        <w:szCs w:val="20"/>
                      </w:rPr>
                      <w:t>水泥混凝土路面结构图（二）</w:t>
                    </w:r>
                  </w:p>
                  <w:p w14:paraId="50563FBD">
                    <w:pPr>
                      <w:spacing w:line="244" w:lineRule="auto"/>
                      <w:rPr>
                        <w:rFonts w:ascii="Arial"/>
                        <w:sz w:val="21"/>
                      </w:rPr>
                    </w:pPr>
                  </w:p>
                  <w:p w14:paraId="35126EA3">
                    <w:pPr>
                      <w:spacing w:line="244" w:lineRule="auto"/>
                      <w:rPr>
                        <w:rFonts w:ascii="Arial"/>
                        <w:sz w:val="21"/>
                      </w:rPr>
                    </w:pPr>
                  </w:p>
                  <w:p w14:paraId="0FEC7733">
                    <w:pPr>
                      <w:spacing w:line="244" w:lineRule="auto"/>
                      <w:rPr>
                        <w:rFonts w:ascii="Arial"/>
                        <w:sz w:val="21"/>
                      </w:rPr>
                    </w:pPr>
                  </w:p>
                  <w:p w14:paraId="465352D2">
                    <w:pPr>
                      <w:spacing w:line="244" w:lineRule="auto"/>
                      <w:rPr>
                        <w:rFonts w:ascii="Arial"/>
                        <w:sz w:val="21"/>
                      </w:rPr>
                    </w:pPr>
                  </w:p>
                  <w:p w14:paraId="3FFE0EDD">
                    <w:pPr>
                      <w:spacing w:line="244" w:lineRule="auto"/>
                      <w:rPr>
                        <w:rFonts w:ascii="Arial"/>
                        <w:sz w:val="21"/>
                      </w:rPr>
                    </w:pPr>
                  </w:p>
                  <w:p w14:paraId="2C5F277B">
                    <w:pPr>
                      <w:spacing w:line="244" w:lineRule="auto"/>
                      <w:rPr>
                        <w:rFonts w:ascii="Arial"/>
                        <w:sz w:val="21"/>
                      </w:rPr>
                    </w:pPr>
                  </w:p>
                  <w:p w14:paraId="22E42542">
                    <w:pPr>
                      <w:spacing w:line="244" w:lineRule="auto"/>
                      <w:rPr>
                        <w:rFonts w:ascii="Arial"/>
                        <w:sz w:val="21"/>
                      </w:rPr>
                    </w:pPr>
                  </w:p>
                  <w:p w14:paraId="6F8D94AB">
                    <w:pPr>
                      <w:spacing w:line="244" w:lineRule="auto"/>
                      <w:rPr>
                        <w:rFonts w:ascii="Arial"/>
                        <w:sz w:val="21"/>
                      </w:rPr>
                    </w:pPr>
                  </w:p>
                  <w:p w14:paraId="09E2728A">
                    <w:pPr>
                      <w:spacing w:line="244" w:lineRule="auto"/>
                      <w:rPr>
                        <w:rFonts w:ascii="Arial"/>
                        <w:sz w:val="21"/>
                      </w:rPr>
                    </w:pPr>
                  </w:p>
                  <w:p w14:paraId="254B61C5">
                    <w:pPr>
                      <w:spacing w:line="244" w:lineRule="auto"/>
                      <w:rPr>
                        <w:rFonts w:ascii="Arial"/>
                        <w:sz w:val="21"/>
                      </w:rPr>
                    </w:pPr>
                  </w:p>
                  <w:p w14:paraId="317E4E5D">
                    <w:pPr>
                      <w:spacing w:line="244" w:lineRule="auto"/>
                      <w:rPr>
                        <w:rFonts w:ascii="Arial"/>
                        <w:sz w:val="21"/>
                      </w:rPr>
                    </w:pPr>
                  </w:p>
                  <w:p w14:paraId="2B86E9E8">
                    <w:pPr>
                      <w:spacing w:line="245" w:lineRule="auto"/>
                      <w:rPr>
                        <w:rFonts w:ascii="Arial"/>
                        <w:sz w:val="21"/>
                      </w:rPr>
                    </w:pPr>
                  </w:p>
                  <w:p w14:paraId="181CE730">
                    <w:pPr>
                      <w:spacing w:line="245" w:lineRule="auto"/>
                      <w:rPr>
                        <w:rFonts w:ascii="Arial"/>
                        <w:sz w:val="21"/>
                      </w:rPr>
                    </w:pPr>
                  </w:p>
                  <w:p w14:paraId="20D9FA30">
                    <w:pPr>
                      <w:spacing w:line="245" w:lineRule="auto"/>
                      <w:rPr>
                        <w:rFonts w:ascii="Arial"/>
                        <w:sz w:val="21"/>
                      </w:rPr>
                    </w:pPr>
                  </w:p>
                  <w:p w14:paraId="3589F88C">
                    <w:pPr>
                      <w:spacing w:before="65" w:line="229" w:lineRule="auto"/>
                      <w:ind w:left="20"/>
                      <w:rPr>
                        <w:rFonts w:ascii="仿宋" w:hAnsi="仿宋" w:eastAsia="仿宋" w:cs="仿宋"/>
                        <w:sz w:val="20"/>
                        <w:szCs w:val="20"/>
                      </w:rPr>
                    </w:pPr>
                    <w:r>
                      <w:rPr>
                        <w:rFonts w:ascii="仿宋" w:hAnsi="仿宋" w:eastAsia="仿宋" w:cs="仿宋"/>
                        <w:b/>
                        <w:bCs/>
                        <w:spacing w:val="4"/>
                        <w:sz w:val="20"/>
                        <w:szCs w:val="20"/>
                      </w:rPr>
                      <w:t>图</w:t>
                    </w:r>
                    <w:r>
                      <w:rPr>
                        <w:rFonts w:ascii="仿宋" w:hAnsi="仿宋" w:eastAsia="仿宋" w:cs="仿宋"/>
                        <w:spacing w:val="-32"/>
                        <w:sz w:val="20"/>
                        <w:szCs w:val="20"/>
                      </w:rPr>
                      <w:t xml:space="preserve"> </w:t>
                    </w:r>
                    <w:r>
                      <w:rPr>
                        <w:rFonts w:ascii="Times New Roman" w:hAnsi="Times New Roman" w:eastAsia="Times New Roman" w:cs="Times New Roman"/>
                        <w:b/>
                        <w:bCs/>
                        <w:spacing w:val="4"/>
                        <w:sz w:val="20"/>
                        <w:szCs w:val="20"/>
                      </w:rPr>
                      <w:t xml:space="preserve">2-7  </w:t>
                    </w:r>
                    <w:r>
                      <w:rPr>
                        <w:rFonts w:ascii="仿宋" w:hAnsi="仿宋" w:eastAsia="仿宋" w:cs="仿宋"/>
                        <w:b/>
                        <w:bCs/>
                        <w:spacing w:val="4"/>
                        <w:sz w:val="20"/>
                        <w:szCs w:val="20"/>
                      </w:rPr>
                      <w:t>未筛分碎石路面结构图（三）</w:t>
                    </w:r>
                  </w:p>
                </w:txbxContent>
              </v:textbox>
            </v:shape>
            <v:shape id="_x0000_s1036" o:spid="_x0000_s1036" o:spt="202" type="#_x0000_t202" style="position:absolute;left:2928;top:11735;height:225;width:3266;" filled="f" stroked="f" coordsize="21600,21600">
              <v:path/>
              <v:fill on="f" focussize="0,0"/>
              <v:stroke on="f"/>
              <v:imagedata o:title=""/>
              <o:lock v:ext="edit" aspectratio="f"/>
              <v:textbox inset="0mm,0mm,0mm,0mm">
                <w:txbxContent>
                  <w:p w14:paraId="2C836A52">
                    <w:pPr>
                      <w:spacing w:before="19" w:line="222" w:lineRule="auto"/>
                      <w:ind w:left="20"/>
                      <w:rPr>
                        <w:rFonts w:ascii="仿宋" w:hAnsi="仿宋" w:eastAsia="仿宋" w:cs="仿宋"/>
                        <w:sz w:val="18"/>
                        <w:szCs w:val="18"/>
                      </w:rPr>
                    </w:pPr>
                    <w:r>
                      <w:rPr>
                        <w:rFonts w:ascii="仿宋" w:hAnsi="仿宋" w:eastAsia="仿宋" w:cs="仿宋"/>
                        <w:spacing w:val="-1"/>
                        <w:sz w:val="18"/>
                        <w:szCs w:val="18"/>
                      </w:rPr>
                      <w:t>准格尔旗十二连城乡自然村通硬化路工程</w:t>
                    </w:r>
                  </w:p>
                </w:txbxContent>
              </v:textbox>
            </v:shape>
            <v:shape id="_x0000_s1037" o:spid="_x0000_s1037" o:spt="202" type="#_x0000_t202" style="position:absolute;left:3017;top:10031;height:225;width:3086;" filled="f" stroked="f" coordsize="21600,21600">
              <v:path/>
              <v:fill on="f" focussize="0,0"/>
              <v:stroke on="f"/>
              <v:imagedata o:title=""/>
              <o:lock v:ext="edit" aspectratio="f"/>
              <v:textbox inset="0mm,0mm,0mm,0mm">
                <w:txbxContent>
                  <w:p w14:paraId="5D44552F">
                    <w:pPr>
                      <w:spacing w:before="19" w:line="222" w:lineRule="auto"/>
                      <w:ind w:left="20"/>
                      <w:rPr>
                        <w:rFonts w:ascii="仿宋" w:hAnsi="仿宋" w:eastAsia="仿宋" w:cs="仿宋"/>
                        <w:sz w:val="18"/>
                        <w:szCs w:val="18"/>
                      </w:rPr>
                    </w:pPr>
                    <w:r>
                      <w:rPr>
                        <w:rFonts w:ascii="仿宋" w:hAnsi="仿宋" w:eastAsia="仿宋" w:cs="仿宋"/>
                        <w:spacing w:val="-1"/>
                        <w:sz w:val="18"/>
                        <w:szCs w:val="18"/>
                      </w:rPr>
                      <w:t>准格尔旗沙圪堵镇自然村通硬化路工程</w:t>
                    </w:r>
                  </w:p>
                </w:txbxContent>
              </v:textbox>
            </v:shape>
            <v:shape id="_x0000_s1038" o:spid="_x0000_s1038" o:spt="202" type="#_x0000_t202" style="position:absolute;left:3204;top:10273;height:225;width:2718;" filled="f" stroked="f" coordsize="21600,21600">
              <v:path/>
              <v:fill on="f" focussize="0,0"/>
              <v:stroke on="f"/>
              <v:imagedata o:title=""/>
              <o:lock v:ext="edit" aspectratio="f"/>
              <v:textbox inset="0mm,0mm,0mm,0mm">
                <w:txbxContent>
                  <w:p w14:paraId="5749B688">
                    <w:pPr>
                      <w:spacing w:before="19" w:line="222" w:lineRule="auto"/>
                      <w:ind w:left="20"/>
                      <w:rPr>
                        <w:rFonts w:ascii="仿宋" w:hAnsi="仿宋" w:eastAsia="仿宋" w:cs="仿宋"/>
                        <w:sz w:val="18"/>
                        <w:szCs w:val="18"/>
                      </w:rPr>
                    </w:pPr>
                    <w:r>
                      <w:rPr>
                        <w:rFonts w:ascii="仿宋" w:hAnsi="仿宋" w:eastAsia="仿宋" w:cs="仿宋"/>
                        <w:spacing w:val="-2"/>
                        <w:sz w:val="18"/>
                        <w:szCs w:val="18"/>
                      </w:rPr>
                      <w:t>乌拉素村二道壕大坝东至秦家塔社</w:t>
                    </w:r>
                  </w:p>
                </w:txbxContent>
              </v:textbox>
            </v:shape>
            <v:shape id="_x0000_s1039" o:spid="_x0000_s1039" o:spt="202" type="#_x0000_t202" style="position:absolute;left:7394;top:12222;height:457;width:929;" filled="f" stroked="f" coordsize="21600,21600">
              <v:path/>
              <v:fill on="f" focussize="0,0"/>
              <v:stroke on="f"/>
              <v:imagedata o:title=""/>
              <o:lock v:ext="edit" aspectratio="f"/>
              <v:textbox inset="0mm,0mm,0mm,0mm">
                <w:txbxContent>
                  <w:p w14:paraId="4B6B429A">
                    <w:pPr>
                      <w:spacing w:before="19"/>
                      <w:ind w:left="208" w:right="20" w:hanging="189"/>
                      <w:rPr>
                        <w:rFonts w:ascii="仿宋" w:hAnsi="仿宋" w:eastAsia="仿宋" w:cs="仿宋"/>
                        <w:sz w:val="18"/>
                        <w:szCs w:val="18"/>
                      </w:rPr>
                    </w:pPr>
                    <w:r>
                      <w:rPr>
                        <w:rFonts w:ascii="仿宋" w:hAnsi="仿宋" w:eastAsia="仿宋" w:cs="仿宋"/>
                        <w:spacing w:val="-3"/>
                        <w:sz w:val="18"/>
                        <w:szCs w:val="18"/>
                      </w:rPr>
                      <w:t>现有涵洞拆</w:t>
                    </w:r>
                    <w:r>
                      <w:rPr>
                        <w:rFonts w:ascii="仿宋" w:hAnsi="仿宋" w:eastAsia="仿宋" w:cs="仿宋"/>
                        <w:spacing w:val="-7"/>
                        <w:sz w:val="18"/>
                        <w:szCs w:val="18"/>
                      </w:rPr>
                      <w:t>除新建</w:t>
                    </w:r>
                  </w:p>
                </w:txbxContent>
              </v:textbox>
            </v:shape>
            <v:shape id="_x0000_s1040" o:spid="_x0000_s1040" o:spt="202" type="#_x0000_t202" style="position:absolute;left:7394;top:12699;height:457;width:929;" filled="f" stroked="f" coordsize="21600,21600">
              <v:path/>
              <v:fill on="f" focussize="0,0"/>
              <v:stroke on="f"/>
              <v:imagedata o:title=""/>
              <o:lock v:ext="edit" aspectratio="f"/>
              <v:textbox inset="0mm,0mm,0mm,0mm">
                <w:txbxContent>
                  <w:p w14:paraId="24B4328A">
                    <w:pPr>
                      <w:spacing w:before="19"/>
                      <w:ind w:left="208" w:right="20" w:hanging="189"/>
                      <w:rPr>
                        <w:rFonts w:ascii="仿宋" w:hAnsi="仿宋" w:eastAsia="仿宋" w:cs="仿宋"/>
                        <w:sz w:val="18"/>
                        <w:szCs w:val="18"/>
                      </w:rPr>
                    </w:pPr>
                    <w:r>
                      <w:rPr>
                        <w:rFonts w:ascii="仿宋" w:hAnsi="仿宋" w:eastAsia="仿宋" w:cs="仿宋"/>
                        <w:spacing w:val="-3"/>
                        <w:sz w:val="18"/>
                        <w:szCs w:val="18"/>
                      </w:rPr>
                      <w:t>现有涵洞拆</w:t>
                    </w:r>
                    <w:r>
                      <w:rPr>
                        <w:rFonts w:ascii="仿宋" w:hAnsi="仿宋" w:eastAsia="仿宋" w:cs="仿宋"/>
                        <w:spacing w:val="-7"/>
                        <w:sz w:val="18"/>
                        <w:szCs w:val="18"/>
                      </w:rPr>
                      <w:t>除新建</w:t>
                    </w:r>
                  </w:p>
                </w:txbxContent>
              </v:textbox>
            </v:shape>
            <v:shape id="_x0000_s1041" o:spid="_x0000_s1041" o:spt="202" type="#_x0000_t202" style="position:absolute;left:3560;top:11979;height:225;width:2003;" filled="f" stroked="f" coordsize="21600,21600">
              <v:path/>
              <v:fill on="f" focussize="0,0"/>
              <v:stroke on="f"/>
              <v:imagedata o:title=""/>
              <o:lock v:ext="edit" aspectratio="f"/>
              <v:textbox inset="0mm,0mm,0mm,0mm">
                <w:txbxContent>
                  <w:p w14:paraId="243380A5">
                    <w:pPr>
                      <w:spacing w:before="20" w:line="222" w:lineRule="auto"/>
                      <w:ind w:left="20"/>
                      <w:rPr>
                        <w:rFonts w:ascii="仿宋" w:hAnsi="仿宋" w:eastAsia="仿宋" w:cs="仿宋"/>
                        <w:sz w:val="18"/>
                        <w:szCs w:val="18"/>
                      </w:rPr>
                    </w:pPr>
                    <w:r>
                      <w:rPr>
                        <w:rFonts w:ascii="仿宋" w:hAnsi="仿宋" w:eastAsia="仿宋" w:cs="仿宋"/>
                        <w:spacing w:val="-2"/>
                        <w:sz w:val="18"/>
                        <w:szCs w:val="18"/>
                      </w:rPr>
                      <w:t>三道拐社坡底至北防洪堤</w:t>
                    </w:r>
                  </w:p>
                </w:txbxContent>
              </v:textbox>
            </v:shape>
            <v:shape id="_x0000_s1042" o:spid="_x0000_s1042" o:spt="202" type="#_x0000_t202" style="position:absolute;left:3645;top:11005;height:225;width:1828;" filled="f" stroked="f" coordsize="21600,21600">
              <v:path/>
              <v:fill on="f" focussize="0,0"/>
              <v:stroke on="f"/>
              <v:imagedata o:title=""/>
              <o:lock v:ext="edit" aspectratio="f"/>
              <v:textbox inset="0mm,0mm,0mm,0mm">
                <w:txbxContent>
                  <w:p w14:paraId="6C4F6610">
                    <w:pPr>
                      <w:spacing w:before="19" w:line="222" w:lineRule="auto"/>
                      <w:ind w:left="20"/>
                      <w:rPr>
                        <w:rFonts w:ascii="仿宋" w:hAnsi="仿宋" w:eastAsia="仿宋" w:cs="仿宋"/>
                        <w:sz w:val="18"/>
                        <w:szCs w:val="18"/>
                      </w:rPr>
                    </w:pPr>
                    <w:r>
                      <w:rPr>
                        <w:rFonts w:ascii="仿宋" w:hAnsi="仿宋" w:eastAsia="仿宋" w:cs="仿宋"/>
                        <w:spacing w:val="-2"/>
                        <w:sz w:val="18"/>
                        <w:szCs w:val="18"/>
                      </w:rPr>
                      <w:t>双山梁村通社公路工程</w:t>
                    </w:r>
                  </w:p>
                </w:txbxContent>
              </v:textbox>
            </v:shape>
            <v:shape id="_x0000_s1043" o:spid="_x0000_s1043" o:spt="202" type="#_x0000_t202" style="position:absolute;left:3818;top:12337;height:225;width:1468;" filled="f" stroked="f" coordsize="21600,21600">
              <v:path/>
              <v:fill on="f" focussize="0,0"/>
              <v:stroke on="f"/>
              <v:imagedata o:title=""/>
              <o:lock v:ext="edit" aspectratio="f"/>
              <v:textbox inset="0mm,0mm,0mm,0mm">
                <w:txbxContent>
                  <w:p w14:paraId="5148373B">
                    <w:pPr>
                      <w:spacing w:before="20" w:line="223" w:lineRule="auto"/>
                      <w:ind w:left="20"/>
                      <w:rPr>
                        <w:rFonts w:ascii="仿宋" w:hAnsi="仿宋" w:eastAsia="仿宋" w:cs="仿宋"/>
                        <w:sz w:val="18"/>
                        <w:szCs w:val="18"/>
                      </w:rPr>
                    </w:pPr>
                    <w:r>
                      <w:rPr>
                        <w:rFonts w:ascii="仿宋" w:hAnsi="仿宋" w:eastAsia="仿宋" w:cs="仿宋"/>
                        <w:spacing w:val="-2"/>
                        <w:sz w:val="18"/>
                        <w:szCs w:val="18"/>
                      </w:rPr>
                      <w:t>钢筋混凝土圆管涵</w:t>
                    </w:r>
                  </w:p>
                </w:txbxContent>
              </v:textbox>
            </v:shape>
            <v:shape id="_x0000_s1044" o:spid="_x0000_s1044" o:spt="202" type="#_x0000_t202" style="position:absolute;left:3818;top:10760;height:225;width:1468;" filled="f" stroked="f" coordsize="21600,21600">
              <v:path/>
              <v:fill on="f" focussize="0,0"/>
              <v:stroke on="f"/>
              <v:imagedata o:title=""/>
              <o:lock v:ext="edit" aspectratio="f"/>
              <v:textbox inset="0mm,0mm,0mm,0mm">
                <w:txbxContent>
                  <w:p w14:paraId="12DF816C">
                    <w:pPr>
                      <w:spacing w:before="20" w:line="223" w:lineRule="auto"/>
                      <w:ind w:left="20"/>
                      <w:rPr>
                        <w:rFonts w:ascii="仿宋" w:hAnsi="仿宋" w:eastAsia="仿宋" w:cs="仿宋"/>
                        <w:sz w:val="18"/>
                        <w:szCs w:val="18"/>
                      </w:rPr>
                    </w:pPr>
                    <w:r>
                      <w:rPr>
                        <w:rFonts w:ascii="仿宋" w:hAnsi="仿宋" w:eastAsia="仿宋" w:cs="仿宋"/>
                        <w:spacing w:val="-2"/>
                        <w:sz w:val="18"/>
                        <w:szCs w:val="18"/>
                      </w:rPr>
                      <w:t>钢筋混凝土圆管涵</w:t>
                    </w:r>
                  </w:p>
                </w:txbxContent>
              </v:textbox>
            </v:shape>
            <v:shape id="_x0000_s1045" o:spid="_x0000_s1045" o:spt="202" type="#_x0000_t202" style="position:absolute;left:3818;top:10518;height:225;width:1468;" filled="f" stroked="f" coordsize="21600,21600">
              <v:path/>
              <v:fill on="f" focussize="0,0"/>
              <v:stroke on="f"/>
              <v:imagedata o:title=""/>
              <o:lock v:ext="edit" aspectratio="f"/>
              <v:textbox inset="0mm,0mm,0mm,0mm">
                <w:txbxContent>
                  <w:p w14:paraId="4561D959">
                    <w:pPr>
                      <w:spacing w:before="20" w:line="223" w:lineRule="auto"/>
                      <w:ind w:left="20"/>
                      <w:rPr>
                        <w:rFonts w:ascii="仿宋" w:hAnsi="仿宋" w:eastAsia="仿宋" w:cs="仿宋"/>
                        <w:sz w:val="18"/>
                        <w:szCs w:val="18"/>
                      </w:rPr>
                    </w:pPr>
                    <w:r>
                      <w:rPr>
                        <w:rFonts w:ascii="仿宋" w:hAnsi="仿宋" w:eastAsia="仿宋" w:cs="仿宋"/>
                        <w:spacing w:val="-2"/>
                        <w:sz w:val="18"/>
                        <w:szCs w:val="18"/>
                      </w:rPr>
                      <w:t>钢筋混凝土圆管涵</w:t>
                    </w:r>
                  </w:p>
                </w:txbxContent>
              </v:textbox>
            </v:shape>
            <v:shape id="_x0000_s1046" o:spid="_x0000_s1046" o:spt="202" type="#_x0000_t202" style="position:absolute;left:3818;top:12815;height:225;width:1468;" filled="f" stroked="f" coordsize="21600,21600">
              <v:path/>
              <v:fill on="f" focussize="0,0"/>
              <v:stroke on="f"/>
              <v:imagedata o:title=""/>
              <o:lock v:ext="edit" aspectratio="f"/>
              <v:textbox inset="0mm,0mm,0mm,0mm">
                <w:txbxContent>
                  <w:p w14:paraId="12FFFE3F">
                    <w:pPr>
                      <w:spacing w:before="20" w:line="223" w:lineRule="auto"/>
                      <w:ind w:left="20"/>
                      <w:rPr>
                        <w:rFonts w:ascii="仿宋" w:hAnsi="仿宋" w:eastAsia="仿宋" w:cs="仿宋"/>
                        <w:sz w:val="18"/>
                        <w:szCs w:val="18"/>
                      </w:rPr>
                    </w:pPr>
                    <w:r>
                      <w:rPr>
                        <w:rFonts w:ascii="仿宋" w:hAnsi="仿宋" w:eastAsia="仿宋" w:cs="仿宋"/>
                        <w:spacing w:val="-2"/>
                        <w:sz w:val="18"/>
                        <w:szCs w:val="18"/>
                      </w:rPr>
                      <w:t>钢筋混凝土圆管涵</w:t>
                    </w:r>
                  </w:p>
                </w:txbxContent>
              </v:textbox>
            </v:shape>
            <v:shape id="_x0000_s1047" o:spid="_x0000_s1047" o:spt="202" type="#_x0000_t202" style="position:absolute;left:3915;top:13175;height:225;width:1288;" filled="f" stroked="f" coordsize="21600,21600">
              <v:path/>
              <v:fill on="f" focussize="0,0"/>
              <v:stroke on="f"/>
              <v:imagedata o:title=""/>
              <o:lock v:ext="edit" aspectratio="f"/>
              <v:textbox inset="0mm,0mm,0mm,0mm">
                <w:txbxContent>
                  <w:p w14:paraId="6D41DE4C">
                    <w:pPr>
                      <w:spacing w:before="19" w:line="222" w:lineRule="auto"/>
                      <w:ind w:left="20"/>
                      <w:rPr>
                        <w:rFonts w:ascii="仿宋" w:hAnsi="仿宋" w:eastAsia="仿宋" w:cs="仿宋"/>
                        <w:sz w:val="18"/>
                        <w:szCs w:val="18"/>
                      </w:rPr>
                    </w:pPr>
                    <w:r>
                      <w:rPr>
                        <w:rFonts w:ascii="仿宋" w:hAnsi="仿宋" w:eastAsia="仿宋" w:cs="仿宋"/>
                        <w:sz w:val="18"/>
                        <w:szCs w:val="18"/>
                      </w:rPr>
                      <w:t>脑包湾村路段一</w:t>
                    </w:r>
                  </w:p>
                </w:txbxContent>
              </v:textbox>
            </v:shape>
            <v:shape id="_x0000_s1048" o:spid="_x0000_s1048" o:spt="202" type="#_x0000_t202" style="position:absolute;left:4089;top:11247;height:225;width:929;" filled="f" stroked="f" coordsize="21600,21600">
              <v:path/>
              <v:fill on="f" focussize="0,0"/>
              <v:stroke on="f"/>
              <v:imagedata o:title=""/>
              <o:lock v:ext="edit" aspectratio="f"/>
              <v:textbox inset="0mm,0mm,0mm,0mm">
                <w:txbxContent>
                  <w:p w14:paraId="403644E8">
                    <w:pPr>
                      <w:spacing w:before="20" w:line="223" w:lineRule="auto"/>
                      <w:ind w:left="20"/>
                      <w:rPr>
                        <w:rFonts w:ascii="仿宋" w:hAnsi="仿宋" w:eastAsia="仿宋" w:cs="仿宋"/>
                        <w:sz w:val="18"/>
                        <w:szCs w:val="18"/>
                      </w:rPr>
                    </w:pPr>
                    <w:r>
                      <w:rPr>
                        <w:rFonts w:ascii="仿宋" w:hAnsi="仿宋" w:eastAsia="仿宋" w:cs="仿宋"/>
                        <w:spacing w:val="-3"/>
                        <w:sz w:val="18"/>
                        <w:szCs w:val="18"/>
                      </w:rPr>
                      <w:t>钢波纹管涵</w:t>
                    </w:r>
                  </w:p>
                </w:txbxContent>
              </v:textbox>
            </v:shape>
            <v:shape id="_x0000_s1049" o:spid="_x0000_s1049" o:spt="202" type="#_x0000_t202" style="position:absolute;left:4089;top:11492;height:225;width:929;" filled="f" stroked="f" coordsize="21600,21600">
              <v:path/>
              <v:fill on="f" focussize="0,0"/>
              <v:stroke on="f"/>
              <v:imagedata o:title=""/>
              <o:lock v:ext="edit" aspectratio="f"/>
              <v:textbox inset="0mm,0mm,0mm,0mm">
                <w:txbxContent>
                  <w:p w14:paraId="61F50E26">
                    <w:pPr>
                      <w:spacing w:before="20" w:line="223" w:lineRule="auto"/>
                      <w:ind w:left="20"/>
                      <w:rPr>
                        <w:rFonts w:ascii="仿宋" w:hAnsi="仿宋" w:eastAsia="仿宋" w:cs="仿宋"/>
                        <w:sz w:val="18"/>
                        <w:szCs w:val="18"/>
                      </w:rPr>
                    </w:pPr>
                    <w:r>
                      <w:rPr>
                        <w:rFonts w:ascii="仿宋" w:hAnsi="仿宋" w:eastAsia="仿宋" w:cs="仿宋"/>
                        <w:spacing w:val="-3"/>
                        <w:sz w:val="18"/>
                        <w:szCs w:val="18"/>
                      </w:rPr>
                      <w:t>钢波纹管涵</w:t>
                    </w:r>
                  </w:p>
                </w:txbxContent>
              </v:textbox>
            </v:shape>
            <v:shape id="_x0000_s1050" o:spid="_x0000_s1050" o:spt="202" type="#_x0000_t202" style="position:absolute;left:5509;top:9788;height:225;width:910;" filled="f" stroked="f" coordsize="21600,21600">
              <v:path/>
              <v:fill on="f" focussize="0,0"/>
              <v:stroke on="f"/>
              <v:imagedata o:title=""/>
              <o:lock v:ext="edit" aspectratio="f"/>
              <v:textbox inset="0mm,0mm,0mm,0mm">
                <w:txbxContent>
                  <w:p w14:paraId="4450CEC9">
                    <w:pPr>
                      <w:spacing w:before="20" w:line="223" w:lineRule="auto"/>
                      <w:ind w:right="3"/>
                      <w:jc w:val="right"/>
                      <w:rPr>
                        <w:rFonts w:ascii="仿宋" w:hAnsi="仿宋" w:eastAsia="仿宋" w:cs="仿宋"/>
                        <w:sz w:val="18"/>
                        <w:szCs w:val="18"/>
                      </w:rPr>
                    </w:pPr>
                    <w:r>
                      <w:rPr>
                        <w:rFonts w:ascii="仿宋" w:hAnsi="仿宋" w:eastAsia="仿宋" w:cs="仿宋"/>
                        <w:spacing w:val="-3"/>
                        <w:sz w:val="18"/>
                        <w:szCs w:val="18"/>
                      </w:rPr>
                      <w:t>道数（道）</w:t>
                    </w:r>
                  </w:p>
                </w:txbxContent>
              </v:textbox>
            </v:shape>
            <v:shape id="_x0000_s1051" o:spid="_x0000_s1051" o:spt="202" type="#_x0000_t202" style="position:absolute;left:2583;top:9788;height:225;width:870;" filled="f" stroked="f" coordsize="21600,21600">
              <v:path/>
              <v:fill on="f" focussize="0,0"/>
              <v:stroke on="f"/>
              <v:imagedata o:title=""/>
              <o:lock v:ext="edit" aspectratio="f"/>
              <v:textbox inset="0mm,0mm,0mm,0mm">
                <w:txbxContent>
                  <w:p w14:paraId="62C26A9D">
                    <w:pPr>
                      <w:spacing w:before="20" w:line="222" w:lineRule="auto"/>
                      <w:ind w:right="2"/>
                      <w:jc w:val="right"/>
                      <w:rPr>
                        <w:rFonts w:ascii="仿宋" w:hAnsi="仿宋" w:eastAsia="仿宋" w:cs="仿宋"/>
                        <w:sz w:val="18"/>
                        <w:szCs w:val="18"/>
                      </w:rPr>
                    </w:pPr>
                    <w:r>
                      <w:rPr>
                        <w:rFonts w:ascii="仿宋" w:hAnsi="仿宋" w:eastAsia="仿宋" w:cs="仿宋"/>
                        <w:spacing w:val="-3"/>
                        <w:sz w:val="18"/>
                        <w:szCs w:val="18"/>
                      </w:rPr>
                      <w:t>孔径（</w:t>
                    </w:r>
                    <w:r>
                      <w:rPr>
                        <w:rFonts w:ascii="Times New Roman" w:hAnsi="Times New Roman" w:eastAsia="Times New Roman" w:cs="Times New Roman"/>
                        <w:spacing w:val="-3"/>
                        <w:sz w:val="18"/>
                        <w:szCs w:val="18"/>
                      </w:rPr>
                      <w:t>m</w:t>
                    </w:r>
                    <w:r>
                      <w:rPr>
                        <w:rFonts w:ascii="仿宋" w:hAnsi="仿宋" w:eastAsia="仿宋" w:cs="仿宋"/>
                        <w:spacing w:val="-3"/>
                        <w:sz w:val="18"/>
                        <w:szCs w:val="18"/>
                      </w:rPr>
                      <w:t>）</w:t>
                    </w:r>
                  </w:p>
                </w:txbxContent>
              </v:textbox>
            </v:shape>
            <v:shape id="_x0000_s1052" o:spid="_x0000_s1052" o:spt="202" type="#_x0000_t202" style="position:absolute;left:6422;top:9788;height:225;width:870;" filled="f" stroked="f" coordsize="21600,21600">
              <v:path/>
              <v:fill on="f" focussize="0,0"/>
              <v:stroke on="f"/>
              <v:imagedata o:title=""/>
              <o:lock v:ext="edit" aspectratio="f"/>
              <v:textbox inset="0mm,0mm,0mm,0mm">
                <w:txbxContent>
                  <w:p w14:paraId="636245D4">
                    <w:pPr>
                      <w:spacing w:before="20" w:line="225" w:lineRule="auto"/>
                      <w:ind w:right="2"/>
                      <w:jc w:val="right"/>
                      <w:rPr>
                        <w:rFonts w:ascii="仿宋" w:hAnsi="仿宋" w:eastAsia="仿宋" w:cs="仿宋"/>
                        <w:sz w:val="18"/>
                        <w:szCs w:val="18"/>
                      </w:rPr>
                    </w:pPr>
                    <w:r>
                      <w:rPr>
                        <w:rFonts w:ascii="仿宋" w:hAnsi="仿宋" w:eastAsia="仿宋" w:cs="仿宋"/>
                        <w:spacing w:val="-3"/>
                        <w:sz w:val="18"/>
                        <w:szCs w:val="18"/>
                      </w:rPr>
                      <w:t>涵长（</w:t>
                    </w:r>
                    <w:r>
                      <w:rPr>
                        <w:rFonts w:ascii="Times New Roman" w:hAnsi="Times New Roman" w:eastAsia="Times New Roman" w:cs="Times New Roman"/>
                        <w:spacing w:val="-3"/>
                        <w:sz w:val="18"/>
                        <w:szCs w:val="18"/>
                      </w:rPr>
                      <w:t>m</w:t>
                    </w:r>
                    <w:r>
                      <w:rPr>
                        <w:rFonts w:ascii="仿宋" w:hAnsi="仿宋" w:eastAsia="仿宋" w:cs="仿宋"/>
                        <w:spacing w:val="-3"/>
                        <w:sz w:val="18"/>
                        <w:szCs w:val="18"/>
                      </w:rPr>
                      <w:t>）</w:t>
                    </w:r>
                  </w:p>
                </w:txbxContent>
              </v:textbox>
            </v:shape>
            <v:shape id="_x0000_s1053" o:spid="_x0000_s1053" o:spt="202" type="#_x0000_t202" style="position:absolute;left:4179;top:13419;height:225;width:749;" filled="f" stroked="f" coordsize="21600,21600">
              <v:path/>
              <v:fill on="f" focussize="0,0"/>
              <v:stroke on="f"/>
              <v:imagedata o:title=""/>
              <o:lock v:ext="edit" aspectratio="f"/>
              <v:textbox inset="0mm,0mm,0mm,0mm">
                <w:txbxContent>
                  <w:p w14:paraId="3196A2FA">
                    <w:pPr>
                      <w:spacing w:before="20" w:line="223" w:lineRule="auto"/>
                      <w:ind w:left="20"/>
                      <w:rPr>
                        <w:rFonts w:ascii="仿宋" w:hAnsi="仿宋" w:eastAsia="仿宋" w:cs="仿宋"/>
                        <w:sz w:val="18"/>
                        <w:szCs w:val="18"/>
                      </w:rPr>
                    </w:pPr>
                    <w:r>
                      <w:rPr>
                        <w:rFonts w:ascii="仿宋" w:hAnsi="仿宋" w:eastAsia="仿宋" w:cs="仿宋"/>
                        <w:spacing w:val="-3"/>
                        <w:sz w:val="18"/>
                        <w:szCs w:val="18"/>
                      </w:rPr>
                      <w:t>铸铁管涵</w:t>
                    </w:r>
                  </w:p>
                </w:txbxContent>
              </v:textbox>
            </v:shape>
            <v:shape id="_x0000_s1054" o:spid="_x0000_s1054" o:spt="202" type="#_x0000_t202" style="position:absolute;left:4180;top:9788;height:225;width:746;" filled="f" stroked="f" coordsize="21600,21600">
              <v:path/>
              <v:fill on="f" focussize="0,0"/>
              <v:stroke on="f"/>
              <v:imagedata o:title=""/>
              <o:lock v:ext="edit" aspectratio="f"/>
              <v:textbox inset="0mm,0mm,0mm,0mm">
                <w:txbxContent>
                  <w:p w14:paraId="345375E8">
                    <w:pPr>
                      <w:spacing w:before="20" w:line="223" w:lineRule="auto"/>
                      <w:ind w:left="20"/>
                      <w:rPr>
                        <w:rFonts w:ascii="仿宋" w:hAnsi="仿宋" w:eastAsia="仿宋" w:cs="仿宋"/>
                        <w:sz w:val="18"/>
                        <w:szCs w:val="18"/>
                      </w:rPr>
                    </w:pPr>
                    <w:r>
                      <w:rPr>
                        <w:rFonts w:ascii="仿宋" w:hAnsi="仿宋" w:eastAsia="仿宋" w:cs="仿宋"/>
                        <w:spacing w:val="-4"/>
                        <w:sz w:val="18"/>
                        <w:szCs w:val="18"/>
                      </w:rPr>
                      <w:t>涵洞类型</w:t>
                    </w:r>
                  </w:p>
                </w:txbxContent>
              </v:textbox>
            </v:shape>
            <v:shape id="_x0000_s1055" o:spid="_x0000_s1055" o:spt="202" type="#_x0000_t202" style="position:absolute;left:1488;top:9788;height:225;width:725;" filled="f" stroked="f" coordsize="21600,21600">
              <v:path/>
              <v:fill on="f" focussize="0,0"/>
              <v:stroke on="f"/>
              <v:imagedata o:title=""/>
              <o:lock v:ext="edit" aspectratio="f"/>
              <v:textbox inset="0mm,0mm,0mm,0mm">
                <w:txbxContent>
                  <w:p w14:paraId="792A7AB4">
                    <w:pPr>
                      <w:spacing w:before="20" w:line="222" w:lineRule="auto"/>
                      <w:ind w:left="20"/>
                      <w:rPr>
                        <w:rFonts w:ascii="仿宋" w:hAnsi="仿宋" w:eastAsia="仿宋" w:cs="仿宋"/>
                        <w:sz w:val="18"/>
                        <w:szCs w:val="18"/>
                      </w:rPr>
                    </w:pPr>
                    <w:r>
                      <w:rPr>
                        <w:rFonts w:ascii="仿宋" w:hAnsi="仿宋" w:eastAsia="仿宋" w:cs="仿宋"/>
                        <w:spacing w:val="-9"/>
                        <w:sz w:val="18"/>
                        <w:szCs w:val="18"/>
                      </w:rPr>
                      <w:t>中心桩号</w:t>
                    </w:r>
                  </w:p>
                </w:txbxContent>
              </v:textbox>
            </v:shape>
            <v:shape id="_x0000_s1056" o:spid="_x0000_s1056" o:spt="202" type="#_x0000_t202" style="position:absolute;left:1362;top:10549;height:166;width:945;" filled="f" stroked="f" coordsize="21600,21600">
              <v:path/>
              <v:fill on="f" focussize="0,0"/>
              <v:stroke on="f"/>
              <v:imagedata o:title=""/>
              <o:lock v:ext="edit" aspectratio="f"/>
              <v:textbox inset="0mm,0mm,0mm,0mm">
                <w:txbxContent>
                  <w:p w14:paraId="459E5234">
                    <w:pPr>
                      <w:spacing w:before="20" w:line="188" w:lineRule="auto"/>
                      <w:ind w:left="2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K0+150.000</w:t>
                    </w:r>
                  </w:p>
                </w:txbxContent>
              </v:textbox>
            </v:shape>
            <v:shape id="_x0000_s1057" o:spid="_x0000_s1057" o:spt="202" type="#_x0000_t202" style="position:absolute;left:1362;top:11521;height:166;width:945;" filled="f" stroked="f" coordsize="21600,21600">
              <v:path/>
              <v:fill on="f" focussize="0,0"/>
              <v:stroke on="f"/>
              <v:imagedata o:title=""/>
              <o:lock v:ext="edit" aspectratio="f"/>
              <v:textbox inset="0mm,0mm,0mm,0mm">
                <w:txbxContent>
                  <w:p w14:paraId="63A2F994">
                    <w:pPr>
                      <w:spacing w:before="20" w:line="188" w:lineRule="auto"/>
                      <w:ind w:left="2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K0+200.000</w:t>
                    </w:r>
                  </w:p>
                </w:txbxContent>
              </v:textbox>
            </v:shape>
            <v:shape id="_x0000_s1058" o:spid="_x0000_s1058" o:spt="202" type="#_x0000_t202" style="position:absolute;left:1362;top:11279;height:166;width:945;" filled="f" stroked="f" coordsize="21600,21600">
              <v:path/>
              <v:fill on="f" focussize="0,0"/>
              <v:stroke on="f"/>
              <v:imagedata o:title=""/>
              <o:lock v:ext="edit" aspectratio="f"/>
              <v:textbox inset="0mm,0mm,0mm,0mm">
                <w:txbxContent>
                  <w:p w14:paraId="5B8C240E">
                    <w:pPr>
                      <w:spacing w:before="20" w:line="188" w:lineRule="auto"/>
                      <w:ind w:left="2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K0+080.000</w:t>
                    </w:r>
                  </w:p>
                </w:txbxContent>
              </v:textbox>
            </v:shape>
            <v:shape id="_x0000_s1059" o:spid="_x0000_s1059" o:spt="202" type="#_x0000_t202" style="position:absolute;left:1362;top:12846;height:166;width:945;" filled="f" stroked="f" coordsize="21600,21600">
              <v:path/>
              <v:fill on="f" focussize="0,0"/>
              <v:stroke on="f"/>
              <v:imagedata o:title=""/>
              <o:lock v:ext="edit" aspectratio="f"/>
              <v:textbox inset="0mm,0mm,0mm,0mm">
                <w:txbxContent>
                  <w:p w14:paraId="32BE33CC">
                    <w:pPr>
                      <w:spacing w:before="20" w:line="188" w:lineRule="auto"/>
                      <w:ind w:left="2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K1+427.000</w:t>
                    </w:r>
                  </w:p>
                </w:txbxContent>
              </v:textbox>
            </v:shape>
            <v:shape id="_x0000_s1060" o:spid="_x0000_s1060" o:spt="202" type="#_x0000_t202" style="position:absolute;left:1362;top:12368;height:166;width:945;" filled="f" stroked="f" coordsize="21600,21600">
              <v:path/>
              <v:fill on="f" focussize="0,0"/>
              <v:stroke on="f"/>
              <v:imagedata o:title=""/>
              <o:lock v:ext="edit" aspectratio="f"/>
              <v:textbox inset="0mm,0mm,0mm,0mm">
                <w:txbxContent>
                  <w:p w14:paraId="23ED778E">
                    <w:pPr>
                      <w:spacing w:before="20" w:line="188" w:lineRule="auto"/>
                      <w:ind w:left="2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K0+981.000</w:t>
                    </w:r>
                  </w:p>
                </w:txbxContent>
              </v:textbox>
            </v:shape>
            <v:shape id="_x0000_s1061" o:spid="_x0000_s1061" o:spt="202" type="#_x0000_t202" style="position:absolute;left:1362;top:10791;height:166;width:945;" filled="f" stroked="f" coordsize="21600,21600">
              <v:path/>
              <v:fill on="f" focussize="0,0"/>
              <v:stroke on="f"/>
              <v:imagedata o:title=""/>
              <o:lock v:ext="edit" aspectratio="f"/>
              <v:textbox inset="0mm,0mm,0mm,0mm">
                <w:txbxContent>
                  <w:p w14:paraId="28B41F58">
                    <w:pPr>
                      <w:spacing w:before="20" w:line="188" w:lineRule="auto"/>
                      <w:ind w:left="2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K1+938.000</w:t>
                    </w:r>
                  </w:p>
                </w:txbxContent>
              </v:textbox>
            </v:shape>
            <v:shape id="_x0000_s1062" o:spid="_x0000_s1062" o:spt="202" type="#_x0000_t202" style="position:absolute;left:1362;top:13448;height:166;width:945;" filled="f" stroked="f" coordsize="21600,21600">
              <v:path/>
              <v:fill on="f" focussize="0,0"/>
              <v:stroke on="f"/>
              <v:imagedata o:title=""/>
              <o:lock v:ext="edit" aspectratio="f"/>
              <v:textbox inset="0mm,0mm,0mm,0mm">
                <w:txbxContent>
                  <w:p w14:paraId="41A93411">
                    <w:pPr>
                      <w:spacing w:before="20" w:line="188" w:lineRule="auto"/>
                      <w:ind w:left="2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K0+662.500</w:t>
                    </w:r>
                  </w:p>
                </w:txbxContent>
              </v:textbox>
            </v:shape>
            <v:shape id="_x0000_s1063" o:spid="_x0000_s1063" o:spt="202" type="#_x0000_t202" style="position:absolute;left:2738;top:10791;height:202;width:587;" filled="f" stroked="f" coordsize="21600,21600">
              <v:path/>
              <v:fill on="f" focussize="0,0"/>
              <v:stroke on="f"/>
              <v:imagedata o:title=""/>
              <o:lock v:ext="edit" aspectratio="f"/>
              <v:textbox inset="0mm,0mm,0mm,0mm">
                <w:txbxContent>
                  <w:p w14:paraId="3B22D64F">
                    <w:pPr>
                      <w:spacing w:before="20" w:line="188" w:lineRule="auto"/>
                      <w:ind w:left="20"/>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1-φ0.75</w:t>
                    </w:r>
                  </w:p>
                </w:txbxContent>
              </v:textbox>
            </v:shape>
            <v:shape id="_x0000_s1064" o:spid="_x0000_s1064" o:spt="202" type="#_x0000_t202" style="position:absolute;left:2738;top:10549;height:202;width:587;" filled="f" stroked="f" coordsize="21600,21600">
              <v:path/>
              <v:fill on="f" focussize="0,0"/>
              <v:stroke on="f"/>
              <v:imagedata o:title=""/>
              <o:lock v:ext="edit" aspectratio="f"/>
              <v:textbox inset="0mm,0mm,0mm,0mm">
                <w:txbxContent>
                  <w:p w14:paraId="17655797">
                    <w:pPr>
                      <w:spacing w:before="20" w:line="188" w:lineRule="auto"/>
                      <w:ind w:left="20"/>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1-φ0.75</w:t>
                    </w:r>
                  </w:p>
                </w:txbxContent>
              </v:textbox>
            </v:shape>
            <v:shape id="_x0000_s1065" o:spid="_x0000_s1065" o:spt="202" type="#_x0000_t202" style="position:absolute;left:2738;top:12368;height:202;width:587;" filled="f" stroked="f" coordsize="21600,21600">
              <v:path/>
              <v:fill on="f" focussize="0,0"/>
              <v:stroke on="f"/>
              <v:imagedata o:title=""/>
              <o:lock v:ext="edit" aspectratio="f"/>
              <v:textbox inset="0mm,0mm,0mm,0mm">
                <w:txbxContent>
                  <w:p w14:paraId="20CFD273">
                    <w:pPr>
                      <w:spacing w:before="20" w:line="188" w:lineRule="auto"/>
                      <w:ind w:left="20"/>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1-φ0.75</w:t>
                    </w:r>
                  </w:p>
                </w:txbxContent>
              </v:textbox>
            </v:shape>
            <v:shape id="_x0000_s1066" o:spid="_x0000_s1066" o:spt="202" type="#_x0000_t202" style="position:absolute;left:2738;top:12846;height:202;width:587;" filled="f" stroked="f" coordsize="21600,21600">
              <v:path/>
              <v:fill on="f" focussize="0,0"/>
              <v:stroke on="f"/>
              <v:imagedata o:title=""/>
              <o:lock v:ext="edit" aspectratio="f"/>
              <v:textbox inset="0mm,0mm,0mm,0mm">
                <w:txbxContent>
                  <w:p w14:paraId="5B7696D8">
                    <w:pPr>
                      <w:spacing w:before="20" w:line="188" w:lineRule="auto"/>
                      <w:ind w:left="20"/>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1-φ0.75</w:t>
                    </w:r>
                  </w:p>
                </w:txbxContent>
              </v:textbox>
            </v:shape>
            <v:shape id="_x0000_s1067" o:spid="_x0000_s1067" o:spt="202" type="#_x0000_t202" style="position:absolute;left:2738;top:13448;height:202;width:587;" filled="f" stroked="f" coordsize="21600,21600">
              <v:path/>
              <v:fill on="f" focussize="0,0"/>
              <v:stroke on="f"/>
              <v:imagedata o:title=""/>
              <o:lock v:ext="edit" aspectratio="f"/>
              <v:textbox inset="0mm,0mm,0mm,0mm">
                <w:txbxContent>
                  <w:p w14:paraId="21B33FB8">
                    <w:pPr>
                      <w:spacing w:before="20" w:line="188" w:lineRule="auto"/>
                      <w:ind w:left="20"/>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1-φ0.30</w:t>
                    </w:r>
                  </w:p>
                </w:txbxContent>
              </v:textbox>
            </v:shape>
            <v:shape id="_x0000_s1068" o:spid="_x0000_s1068" o:spt="202" type="#_x0000_t202" style="position:absolute;left:2784;top:11521;height:202;width:497;" filled="f" stroked="f" coordsize="21600,21600">
              <v:path/>
              <v:fill on="f" focussize="0,0"/>
              <v:stroke on="f"/>
              <v:imagedata o:title=""/>
              <o:lock v:ext="edit" aspectratio="f"/>
              <v:textbox inset="0mm,0mm,0mm,0mm">
                <w:txbxContent>
                  <w:p w14:paraId="6BA2F200">
                    <w:pPr>
                      <w:spacing w:before="20" w:line="188" w:lineRule="auto"/>
                      <w:ind w:left="20"/>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1-φ1.5</w:t>
                    </w:r>
                  </w:p>
                </w:txbxContent>
              </v:textbox>
            </v:shape>
            <v:shape id="_x0000_s1069" o:spid="_x0000_s1069" o:spt="202" type="#_x0000_t202" style="position:absolute;left:2784;top:11279;height:202;width:497;" filled="f" stroked="f" coordsize="21600,21600">
              <v:path/>
              <v:fill on="f" focussize="0,0"/>
              <v:stroke on="f"/>
              <v:imagedata o:title=""/>
              <o:lock v:ext="edit" aspectratio="f"/>
              <v:textbox inset="0mm,0mm,0mm,0mm">
                <w:txbxContent>
                  <w:p w14:paraId="5312CCF0">
                    <w:pPr>
                      <w:spacing w:before="20" w:line="188" w:lineRule="auto"/>
                      <w:ind w:left="20"/>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1-φ1.5</w:t>
                    </w:r>
                  </w:p>
                </w:txbxContent>
              </v:textbox>
            </v:shape>
            <v:shape id="_x0000_s1070" o:spid="_x0000_s1070" o:spt="202" type="#_x0000_t202" style="position:absolute;left:7663;top:13419;height:225;width:389;" filled="f" stroked="f" coordsize="21600,21600">
              <v:path/>
              <v:fill on="f" focussize="0,0"/>
              <v:stroke on="f"/>
              <v:imagedata o:title=""/>
              <o:lock v:ext="edit" aspectratio="f"/>
              <v:textbox inset="0mm,0mm,0mm,0mm">
                <w:txbxContent>
                  <w:p w14:paraId="13CD9652">
                    <w:pPr>
                      <w:spacing w:before="20" w:line="222" w:lineRule="auto"/>
                      <w:ind w:left="20"/>
                      <w:rPr>
                        <w:rFonts w:ascii="仿宋" w:hAnsi="仿宋" w:eastAsia="仿宋" w:cs="仿宋"/>
                        <w:sz w:val="18"/>
                        <w:szCs w:val="18"/>
                      </w:rPr>
                    </w:pPr>
                    <w:r>
                      <w:rPr>
                        <w:rFonts w:ascii="仿宋" w:hAnsi="仿宋" w:eastAsia="仿宋" w:cs="仿宋"/>
                        <w:spacing w:val="-6"/>
                        <w:sz w:val="18"/>
                        <w:szCs w:val="18"/>
                      </w:rPr>
                      <w:t>新建</w:t>
                    </w:r>
                  </w:p>
                </w:txbxContent>
              </v:textbox>
            </v:shape>
            <v:shape id="_x0000_s1071" o:spid="_x0000_s1071" o:spt="202" type="#_x0000_t202" style="position:absolute;left:7663;top:11247;height:225;width:389;" filled="f" stroked="f" coordsize="21600,21600">
              <v:path/>
              <v:fill on="f" focussize="0,0"/>
              <v:stroke on="f"/>
              <v:imagedata o:title=""/>
              <o:lock v:ext="edit" aspectratio="f"/>
              <v:textbox inset="0mm,0mm,0mm,0mm">
                <w:txbxContent>
                  <w:p w14:paraId="17EF0551">
                    <w:pPr>
                      <w:spacing w:before="20" w:line="222" w:lineRule="auto"/>
                      <w:ind w:left="20"/>
                      <w:rPr>
                        <w:rFonts w:ascii="仿宋" w:hAnsi="仿宋" w:eastAsia="仿宋" w:cs="仿宋"/>
                        <w:sz w:val="18"/>
                        <w:szCs w:val="18"/>
                      </w:rPr>
                    </w:pPr>
                    <w:r>
                      <w:rPr>
                        <w:rFonts w:ascii="仿宋" w:hAnsi="仿宋" w:eastAsia="仿宋" w:cs="仿宋"/>
                        <w:spacing w:val="-6"/>
                        <w:sz w:val="18"/>
                        <w:szCs w:val="18"/>
                      </w:rPr>
                      <w:t>新建</w:t>
                    </w:r>
                  </w:p>
                </w:txbxContent>
              </v:textbox>
            </v:shape>
            <v:shape id="_x0000_s1072" o:spid="_x0000_s1072" o:spt="202" type="#_x0000_t202" style="position:absolute;left:7663;top:10518;height:225;width:389;" filled="f" stroked="f" coordsize="21600,21600">
              <v:path/>
              <v:fill on="f" focussize="0,0"/>
              <v:stroke on="f"/>
              <v:imagedata o:title=""/>
              <o:lock v:ext="edit" aspectratio="f"/>
              <v:textbox inset="0mm,0mm,0mm,0mm">
                <w:txbxContent>
                  <w:p w14:paraId="600C60D0">
                    <w:pPr>
                      <w:spacing w:before="20" w:line="222" w:lineRule="auto"/>
                      <w:ind w:left="20"/>
                      <w:rPr>
                        <w:rFonts w:ascii="仿宋" w:hAnsi="仿宋" w:eastAsia="仿宋" w:cs="仿宋"/>
                        <w:sz w:val="18"/>
                        <w:szCs w:val="18"/>
                      </w:rPr>
                    </w:pPr>
                    <w:r>
                      <w:rPr>
                        <w:rFonts w:ascii="仿宋" w:hAnsi="仿宋" w:eastAsia="仿宋" w:cs="仿宋"/>
                        <w:spacing w:val="-6"/>
                        <w:sz w:val="18"/>
                        <w:szCs w:val="18"/>
                      </w:rPr>
                      <w:t>新建</w:t>
                    </w:r>
                  </w:p>
                </w:txbxContent>
              </v:textbox>
            </v:shape>
            <v:shape id="_x0000_s1073" o:spid="_x0000_s1073" o:spt="202" type="#_x0000_t202" style="position:absolute;left:7663;top:11492;height:225;width:389;" filled="f" stroked="f" coordsize="21600,21600">
              <v:path/>
              <v:fill on="f" focussize="0,0"/>
              <v:stroke on="f"/>
              <v:imagedata o:title=""/>
              <o:lock v:ext="edit" aspectratio="f"/>
              <v:textbox inset="0mm,0mm,0mm,0mm">
                <w:txbxContent>
                  <w:p w14:paraId="31D2CB5E">
                    <w:pPr>
                      <w:spacing w:before="20" w:line="222" w:lineRule="auto"/>
                      <w:ind w:left="20"/>
                      <w:rPr>
                        <w:rFonts w:ascii="仿宋" w:hAnsi="仿宋" w:eastAsia="仿宋" w:cs="仿宋"/>
                        <w:sz w:val="18"/>
                        <w:szCs w:val="18"/>
                      </w:rPr>
                    </w:pPr>
                    <w:r>
                      <w:rPr>
                        <w:rFonts w:ascii="仿宋" w:hAnsi="仿宋" w:eastAsia="仿宋" w:cs="仿宋"/>
                        <w:spacing w:val="-6"/>
                        <w:sz w:val="18"/>
                        <w:szCs w:val="18"/>
                      </w:rPr>
                      <w:t>新建</w:t>
                    </w:r>
                  </w:p>
                </w:txbxContent>
              </v:textbox>
            </v:shape>
            <v:shape id="_x0000_s1074" o:spid="_x0000_s1074" o:spt="202" type="#_x0000_t202" style="position:absolute;left:7663;top:10760;height:225;width:389;" filled="f" stroked="f" coordsize="21600,21600">
              <v:path/>
              <v:fill on="f" focussize="0,0"/>
              <v:stroke on="f"/>
              <v:imagedata o:title=""/>
              <o:lock v:ext="edit" aspectratio="f"/>
              <v:textbox inset="0mm,0mm,0mm,0mm">
                <w:txbxContent>
                  <w:p w14:paraId="051E5395">
                    <w:pPr>
                      <w:spacing w:before="20" w:line="222" w:lineRule="auto"/>
                      <w:ind w:left="20"/>
                      <w:rPr>
                        <w:rFonts w:ascii="仿宋" w:hAnsi="仿宋" w:eastAsia="仿宋" w:cs="仿宋"/>
                        <w:sz w:val="18"/>
                        <w:szCs w:val="18"/>
                      </w:rPr>
                    </w:pPr>
                    <w:r>
                      <w:rPr>
                        <w:rFonts w:ascii="仿宋" w:hAnsi="仿宋" w:eastAsia="仿宋" w:cs="仿宋"/>
                        <w:spacing w:val="-6"/>
                        <w:sz w:val="18"/>
                        <w:szCs w:val="18"/>
                      </w:rPr>
                      <w:t>新建</w:t>
                    </w:r>
                  </w:p>
                </w:txbxContent>
              </v:textbox>
            </v:shape>
            <v:shape id="_x0000_s1075" o:spid="_x0000_s1075" o:spt="202" type="#_x0000_t202" style="position:absolute;left:785;top:9788;height:225;width:389;" filled="f" stroked="f" coordsize="21600,21600">
              <v:path/>
              <v:fill on="f" focussize="0,0"/>
              <v:stroke on="f"/>
              <v:imagedata o:title=""/>
              <o:lock v:ext="edit" aspectratio="f"/>
              <v:textbox inset="0mm,0mm,0mm,0mm">
                <w:txbxContent>
                  <w:p w14:paraId="233CC32A">
                    <w:pPr>
                      <w:spacing w:before="20" w:line="222" w:lineRule="auto"/>
                      <w:ind w:left="20"/>
                      <w:rPr>
                        <w:rFonts w:ascii="仿宋" w:hAnsi="仿宋" w:eastAsia="仿宋" w:cs="仿宋"/>
                        <w:sz w:val="18"/>
                        <w:szCs w:val="18"/>
                      </w:rPr>
                    </w:pPr>
                    <w:r>
                      <w:rPr>
                        <w:rFonts w:ascii="仿宋" w:hAnsi="仿宋" w:eastAsia="仿宋" w:cs="仿宋"/>
                        <w:spacing w:val="-6"/>
                        <w:sz w:val="18"/>
                        <w:szCs w:val="18"/>
                      </w:rPr>
                      <w:t>序号</w:t>
                    </w:r>
                  </w:p>
                </w:txbxContent>
              </v:textbox>
            </v:shape>
            <v:shape id="_x0000_s1076" o:spid="_x0000_s1076" o:spt="202" type="#_x0000_t202" style="position:absolute;left:7665;top:9788;height:225;width:387;" filled="f" stroked="f" coordsize="21600,21600">
              <v:path/>
              <v:fill on="f" focussize="0,0"/>
              <v:stroke on="f"/>
              <v:imagedata o:title=""/>
              <o:lock v:ext="edit" aspectratio="f"/>
              <v:textbox inset="0mm,0mm,0mm,0mm">
                <w:txbxContent>
                  <w:p w14:paraId="1F7EBD12">
                    <w:pPr>
                      <w:spacing w:before="20" w:line="224" w:lineRule="auto"/>
                      <w:ind w:left="20"/>
                      <w:rPr>
                        <w:rFonts w:ascii="仿宋" w:hAnsi="仿宋" w:eastAsia="仿宋" w:cs="仿宋"/>
                        <w:sz w:val="18"/>
                        <w:szCs w:val="18"/>
                      </w:rPr>
                    </w:pPr>
                    <w:r>
                      <w:rPr>
                        <w:rFonts w:ascii="仿宋" w:hAnsi="仿宋" w:eastAsia="仿宋" w:cs="仿宋"/>
                        <w:spacing w:val="-7"/>
                        <w:sz w:val="18"/>
                        <w:szCs w:val="18"/>
                      </w:rPr>
                      <w:t>备注</w:t>
                    </w:r>
                  </w:p>
                </w:txbxContent>
              </v:textbox>
            </v:shape>
            <v:shape id="_x0000_s1077" o:spid="_x0000_s1077" o:spt="202" type="#_x0000_t202" style="position:absolute;left:6686;top:11521;height:166;width:352;" filled="f" stroked="f" coordsize="21600,21600">
              <v:path/>
              <v:fill on="f" focussize="0,0"/>
              <v:stroke on="f"/>
              <v:imagedata o:title=""/>
              <o:lock v:ext="edit" aspectratio="f"/>
              <v:textbox inset="0mm,0mm,0mm,0mm">
                <w:txbxContent>
                  <w:p w14:paraId="40D5D6BC">
                    <w:pPr>
                      <w:spacing w:before="20" w:line="188" w:lineRule="auto"/>
                      <w:ind w:left="2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29.5</w:t>
                    </w:r>
                  </w:p>
                </w:txbxContent>
              </v:textbox>
            </v:shape>
            <v:shape id="_x0000_s1078" o:spid="_x0000_s1078" o:spt="202" type="#_x0000_t202" style="position:absolute;left:6689;top:11279;height:166;width:349;" filled="f" stroked="f" coordsize="21600,21600">
              <v:path/>
              <v:fill on="f" focussize="0,0"/>
              <v:stroke on="f"/>
              <v:imagedata o:title=""/>
              <o:lock v:ext="edit" aspectratio="f"/>
              <v:textbox inset="0mm,0mm,0mm,0mm">
                <w:txbxContent>
                  <w:p w14:paraId="25F3A8AC">
                    <w:pPr>
                      <w:spacing w:before="20" w:line="188" w:lineRule="auto"/>
                      <w:ind w:left="2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38.5</w:t>
                    </w:r>
                  </w:p>
                </w:txbxContent>
              </v:textbox>
            </v:shape>
            <v:shape id="_x0000_s1079" o:spid="_x0000_s1079" o:spt="202" type="#_x0000_t202" style="position:absolute;left:6734;top:10552;height:163;width:258;" filled="f" stroked="f" coordsize="21600,21600">
              <v:path/>
              <v:fill on="f" focussize="0,0"/>
              <v:stroke on="f"/>
              <v:imagedata o:title=""/>
              <o:lock v:ext="edit" aspectratio="f"/>
              <v:textbox inset="0mm,0mm,0mm,0mm">
                <w:txbxContent>
                  <w:p w14:paraId="6D50C0C0">
                    <w:pPr>
                      <w:spacing w:before="20" w:line="185" w:lineRule="auto"/>
                      <w:ind w:left="20"/>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5.5</w:t>
                    </w:r>
                  </w:p>
                </w:txbxContent>
              </v:textbox>
            </v:shape>
            <v:shape id="_x0000_s1080" o:spid="_x0000_s1080" o:spt="202" type="#_x0000_t202" style="position:absolute;left:6734;top:10794;height:163;width:258;" filled="f" stroked="f" coordsize="21600,21600">
              <v:path/>
              <v:fill on="f" focussize="0,0"/>
              <v:stroke on="f"/>
              <v:imagedata o:title=""/>
              <o:lock v:ext="edit" aspectratio="f"/>
              <v:textbox inset="0mm,0mm,0mm,0mm">
                <w:txbxContent>
                  <w:p w14:paraId="0D1C9F6E">
                    <w:pPr>
                      <w:spacing w:before="20" w:line="185" w:lineRule="auto"/>
                      <w:ind w:left="20"/>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5.5</w:t>
                    </w:r>
                  </w:p>
                </w:txbxContent>
              </v:textbox>
            </v:shape>
            <v:shape id="_x0000_s1081" o:spid="_x0000_s1081" o:spt="202" type="#_x0000_t202" style="position:absolute;left:6734;top:12371;height:163;width:258;" filled="f" stroked="f" coordsize="21600,21600">
              <v:path/>
              <v:fill on="f" focussize="0,0"/>
              <v:stroke on="f"/>
              <v:imagedata o:title=""/>
              <o:lock v:ext="edit" aspectratio="f"/>
              <v:textbox inset="0mm,0mm,0mm,0mm">
                <w:txbxContent>
                  <w:p w14:paraId="1EBE7608">
                    <w:pPr>
                      <w:spacing w:before="20" w:line="185" w:lineRule="auto"/>
                      <w:ind w:left="20"/>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5.5</w:t>
                    </w:r>
                  </w:p>
                </w:txbxContent>
              </v:textbox>
            </v:shape>
            <v:shape id="_x0000_s1082" o:spid="_x0000_s1082" o:spt="202" type="#_x0000_t202" style="position:absolute;left:6734;top:12848;height:163;width:258;" filled="f" stroked="f" coordsize="21600,21600">
              <v:path/>
              <v:fill on="f" focussize="0,0"/>
              <v:stroke on="f"/>
              <v:imagedata o:title=""/>
              <o:lock v:ext="edit" aspectratio="f"/>
              <v:textbox inset="0mm,0mm,0mm,0mm">
                <w:txbxContent>
                  <w:p w14:paraId="20643CA3">
                    <w:pPr>
                      <w:spacing w:before="20" w:line="185" w:lineRule="auto"/>
                      <w:ind w:left="20"/>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5.5</w:t>
                    </w:r>
                  </w:p>
                </w:txbxContent>
              </v:textbox>
            </v:shape>
            <v:shape id="_x0000_s1083" o:spid="_x0000_s1083" o:spt="202" type="#_x0000_t202" style="position:absolute;left:6734;top:13451;height:163;width:258;" filled="f" stroked="f" coordsize="21600,21600">
              <v:path/>
              <v:fill on="f" focussize="0,0"/>
              <v:stroke on="f"/>
              <v:imagedata o:title=""/>
              <o:lock v:ext="edit" aspectratio="f"/>
              <v:textbox inset="0mm,0mm,0mm,0mm">
                <w:txbxContent>
                  <w:p w14:paraId="467D5FFF">
                    <w:pPr>
                      <w:spacing w:before="20" w:line="185" w:lineRule="auto"/>
                      <w:ind w:left="20"/>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5.5</w:t>
                    </w:r>
                  </w:p>
                </w:txbxContent>
              </v:textbox>
            </v:shape>
            <v:shape id="_x0000_s1084" o:spid="_x0000_s1084" o:spt="202" type="#_x0000_t202" style="position:absolute;left:911;top:11521;height:163;width:128;" filled="f" stroked="f" coordsize="21600,21600">
              <v:path/>
              <v:fill on="f" focussize="0,0"/>
              <v:stroke on="f"/>
              <v:imagedata o:title=""/>
              <o:lock v:ext="edit" aspectratio="f"/>
              <v:textbox inset="0mm,0mm,0mm,0mm">
                <w:txbxContent>
                  <w:p w14:paraId="0EE7179F">
                    <w:pPr>
                      <w:spacing w:before="20" w:line="188" w:lineRule="auto"/>
                      <w:ind w:left="20"/>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txbxContent>
              </v:textbox>
            </v:shape>
            <v:shape id="_x0000_s1085" o:spid="_x0000_s1085" o:spt="202" type="#_x0000_t202" style="position:absolute;left:911;top:10791;height:163;width:126;" filled="f" stroked="f" coordsize="21600,21600">
              <v:path/>
              <v:fill on="f" focussize="0,0"/>
              <v:stroke on="f"/>
              <v:imagedata o:title=""/>
              <o:lock v:ext="edit" aspectratio="f"/>
              <v:textbox inset="0mm,0mm,0mm,0mm">
                <w:txbxContent>
                  <w:p w14:paraId="5C4AAD76">
                    <w:pPr>
                      <w:spacing w:before="20" w:line="188" w:lineRule="auto"/>
                      <w:ind w:left="20"/>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xbxContent>
              </v:textbox>
            </v:shape>
            <v:shape id="_x0000_s1086" o:spid="_x0000_s1086" o:spt="202" type="#_x0000_t202" style="position:absolute;left:915;top:11279;height:166;width:123;" filled="f" stroked="f" coordsize="21600,21600">
              <v:path/>
              <v:fill on="f" focussize="0,0"/>
              <v:stroke on="f"/>
              <v:imagedata o:title=""/>
              <o:lock v:ext="edit" aspectratio="f"/>
              <v:textbox inset="0mm,0mm,0mm,0mm">
                <w:txbxContent>
                  <w:p w14:paraId="3BED9382">
                    <w:pPr>
                      <w:spacing w:before="20" w:line="188" w:lineRule="auto"/>
                      <w:ind w:left="20"/>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txbxContent>
              </v:textbox>
            </v:shape>
            <v:shape id="_x0000_s1087" o:spid="_x0000_s1087" o:spt="202" type="#_x0000_t202" style="position:absolute;left:915;top:12846;height:166;width:123;" filled="f" stroked="f" coordsize="21600,21600">
              <v:path/>
              <v:fill on="f" focussize="0,0"/>
              <v:stroke on="f"/>
              <v:imagedata o:title=""/>
              <o:lock v:ext="edit" aspectratio="f"/>
              <v:textbox inset="0mm,0mm,0mm,0mm">
                <w:txbxContent>
                  <w:p w14:paraId="3E62DA12">
                    <w:pPr>
                      <w:spacing w:before="20" w:line="188" w:lineRule="auto"/>
                      <w:ind w:left="20"/>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txbxContent>
              </v:textbox>
            </v:shape>
            <v:shape id="_x0000_s1088" o:spid="_x0000_s1088" o:spt="202" type="#_x0000_t202" style="position:absolute;left:914;top:13451;height:163;width:123;" filled="f" stroked="f" coordsize="21600,21600">
              <v:path/>
              <v:fill on="f" focussize="0,0"/>
              <v:stroke on="f"/>
              <v:imagedata o:title=""/>
              <o:lock v:ext="edit" aspectratio="f"/>
              <v:textbox inset="0mm,0mm,0mm,0mm">
                <w:txbxContent>
                  <w:p w14:paraId="5F750031">
                    <w:pPr>
                      <w:spacing w:before="20" w:line="185" w:lineRule="auto"/>
                      <w:ind w:left="20"/>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txbxContent>
              </v:textbox>
            </v:shape>
            <v:shape id="_x0000_s1089" o:spid="_x0000_s1089" o:spt="202" type="#_x0000_t202" style="position:absolute;left:916;top:12371;height:162;width:121;" filled="f" stroked="f" coordsize="21600,21600">
              <v:path/>
              <v:fill on="f" focussize="0,0"/>
              <v:stroke on="f"/>
              <v:imagedata o:title=""/>
              <o:lock v:ext="edit" aspectratio="f"/>
              <v:textbox inset="0mm,0mm,0mm,0mm">
                <w:txbxContent>
                  <w:p w14:paraId="2425C348">
                    <w:pPr>
                      <w:spacing w:before="20" w:line="185" w:lineRule="auto"/>
                      <w:ind w:left="20"/>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txbxContent>
              </v:textbox>
            </v:shape>
            <v:shape id="_x0000_s1090" o:spid="_x0000_s1090" o:spt="202" type="#_x0000_t202" style="position:absolute;left:929;top:10549;height:163;width:108;" filled="f" stroked="f" coordsize="21600,21600">
              <v:path/>
              <v:fill on="f" focussize="0,0"/>
              <v:stroke on="f"/>
              <v:imagedata o:title=""/>
              <o:lock v:ext="edit" aspectratio="f"/>
              <v:textbox inset="0mm,0mm,0mm,0mm">
                <w:txbxContent>
                  <w:p w14:paraId="33EDDEE5">
                    <w:pPr>
                      <w:spacing w:before="20" w:line="188" w:lineRule="auto"/>
                      <w:jc w:val="right"/>
                      <w:rPr>
                        <w:rFonts w:ascii="Times New Roman" w:hAnsi="Times New Roman" w:eastAsia="Times New Roman" w:cs="Times New Roman"/>
                        <w:sz w:val="18"/>
                        <w:szCs w:val="18"/>
                      </w:rPr>
                    </w:pPr>
                    <w:r>
                      <w:rPr>
                        <w:rFonts w:ascii="Times New Roman" w:hAnsi="Times New Roman" w:eastAsia="Times New Roman" w:cs="Times New Roman"/>
                        <w:spacing w:val="-22"/>
                        <w:sz w:val="18"/>
                        <w:szCs w:val="18"/>
                      </w:rPr>
                      <w:t>1</w:t>
                    </w:r>
                  </w:p>
                </w:txbxContent>
              </v:textbox>
            </v:shape>
            <v:shape id="_x0000_s1091" o:spid="_x0000_s1091" o:spt="202" type="#_x0000_t202" style="position:absolute;left:5904;top:12846;height:163;width:108;" filled="f" stroked="f" coordsize="21600,21600">
              <v:path/>
              <v:fill on="f" focussize="0,0"/>
              <v:stroke on="f"/>
              <v:imagedata o:title=""/>
              <o:lock v:ext="edit" aspectratio="f"/>
              <v:textbox inset="0mm,0mm,0mm,0mm">
                <w:txbxContent>
                  <w:p w14:paraId="32E9400F">
                    <w:pPr>
                      <w:spacing w:before="20" w:line="188" w:lineRule="auto"/>
                      <w:jc w:val="right"/>
                      <w:rPr>
                        <w:rFonts w:ascii="Times New Roman" w:hAnsi="Times New Roman" w:eastAsia="Times New Roman" w:cs="Times New Roman"/>
                        <w:sz w:val="18"/>
                        <w:szCs w:val="18"/>
                      </w:rPr>
                    </w:pPr>
                    <w:r>
                      <w:rPr>
                        <w:rFonts w:ascii="Times New Roman" w:hAnsi="Times New Roman" w:eastAsia="Times New Roman" w:cs="Times New Roman"/>
                        <w:spacing w:val="-22"/>
                        <w:sz w:val="18"/>
                        <w:szCs w:val="18"/>
                      </w:rPr>
                      <w:t>1</w:t>
                    </w:r>
                  </w:p>
                </w:txbxContent>
              </v:textbox>
            </v:shape>
            <v:shape id="_x0000_s1092" o:spid="_x0000_s1092" o:spt="202" type="#_x0000_t202" style="position:absolute;left:5904;top:13448;height:163;width:108;" filled="f" stroked="f" coordsize="21600,21600">
              <v:path/>
              <v:fill on="f" focussize="0,0"/>
              <v:stroke on="f"/>
              <v:imagedata o:title=""/>
              <o:lock v:ext="edit" aspectratio="f"/>
              <v:textbox inset="0mm,0mm,0mm,0mm">
                <w:txbxContent>
                  <w:p w14:paraId="5B70790D">
                    <w:pPr>
                      <w:spacing w:before="20" w:line="188" w:lineRule="auto"/>
                      <w:jc w:val="right"/>
                      <w:rPr>
                        <w:rFonts w:ascii="Times New Roman" w:hAnsi="Times New Roman" w:eastAsia="Times New Roman" w:cs="Times New Roman"/>
                        <w:sz w:val="18"/>
                        <w:szCs w:val="18"/>
                      </w:rPr>
                    </w:pPr>
                    <w:r>
                      <w:rPr>
                        <w:rFonts w:ascii="Times New Roman" w:hAnsi="Times New Roman" w:eastAsia="Times New Roman" w:cs="Times New Roman"/>
                        <w:spacing w:val="-22"/>
                        <w:sz w:val="18"/>
                        <w:szCs w:val="18"/>
                      </w:rPr>
                      <w:t>1</w:t>
                    </w:r>
                  </w:p>
                </w:txbxContent>
              </v:textbox>
            </v:shape>
            <v:shape id="_x0000_s1093" o:spid="_x0000_s1093" o:spt="202" type="#_x0000_t202" style="position:absolute;left:5904;top:10549;height:163;width:108;" filled="f" stroked="f" coordsize="21600,21600">
              <v:path/>
              <v:fill on="f" focussize="0,0"/>
              <v:stroke on="f"/>
              <v:imagedata o:title=""/>
              <o:lock v:ext="edit" aspectratio="f"/>
              <v:textbox inset="0mm,0mm,0mm,0mm">
                <w:txbxContent>
                  <w:p w14:paraId="73E2BC07">
                    <w:pPr>
                      <w:spacing w:before="20" w:line="188" w:lineRule="auto"/>
                      <w:jc w:val="right"/>
                      <w:rPr>
                        <w:rFonts w:ascii="Times New Roman" w:hAnsi="Times New Roman" w:eastAsia="Times New Roman" w:cs="Times New Roman"/>
                        <w:sz w:val="18"/>
                        <w:szCs w:val="18"/>
                      </w:rPr>
                    </w:pPr>
                    <w:r>
                      <w:rPr>
                        <w:rFonts w:ascii="Times New Roman" w:hAnsi="Times New Roman" w:eastAsia="Times New Roman" w:cs="Times New Roman"/>
                        <w:spacing w:val="-22"/>
                        <w:sz w:val="18"/>
                        <w:szCs w:val="18"/>
                      </w:rPr>
                      <w:t>1</w:t>
                    </w:r>
                  </w:p>
                </w:txbxContent>
              </v:textbox>
            </v:shape>
            <v:shape id="_x0000_s1094" o:spid="_x0000_s1094" o:spt="202" type="#_x0000_t202" style="position:absolute;left:5904;top:12368;height:163;width:108;" filled="f" stroked="f" coordsize="21600,21600">
              <v:path/>
              <v:fill on="f" focussize="0,0"/>
              <v:stroke on="f"/>
              <v:imagedata o:title=""/>
              <o:lock v:ext="edit" aspectratio="f"/>
              <v:textbox inset="0mm,0mm,0mm,0mm">
                <w:txbxContent>
                  <w:p w14:paraId="14EBA3DD">
                    <w:pPr>
                      <w:spacing w:before="20" w:line="188" w:lineRule="auto"/>
                      <w:jc w:val="right"/>
                      <w:rPr>
                        <w:rFonts w:ascii="Times New Roman" w:hAnsi="Times New Roman" w:eastAsia="Times New Roman" w:cs="Times New Roman"/>
                        <w:sz w:val="18"/>
                        <w:szCs w:val="18"/>
                      </w:rPr>
                    </w:pPr>
                    <w:r>
                      <w:rPr>
                        <w:rFonts w:ascii="Times New Roman" w:hAnsi="Times New Roman" w:eastAsia="Times New Roman" w:cs="Times New Roman"/>
                        <w:spacing w:val="-22"/>
                        <w:sz w:val="18"/>
                        <w:szCs w:val="18"/>
                      </w:rPr>
                      <w:t>1</w:t>
                    </w:r>
                  </w:p>
                </w:txbxContent>
              </v:textbox>
            </v:shape>
            <v:shape id="_x0000_s1095" o:spid="_x0000_s1095" o:spt="202" type="#_x0000_t202" style="position:absolute;left:5904;top:11279;height:163;width:108;" filled="f" stroked="f" coordsize="21600,21600">
              <v:path/>
              <v:fill on="f" focussize="0,0"/>
              <v:stroke on="f"/>
              <v:imagedata o:title=""/>
              <o:lock v:ext="edit" aspectratio="f"/>
              <v:textbox inset="0mm,0mm,0mm,0mm">
                <w:txbxContent>
                  <w:p w14:paraId="64EBBECA">
                    <w:pPr>
                      <w:spacing w:before="20" w:line="188" w:lineRule="auto"/>
                      <w:jc w:val="right"/>
                      <w:rPr>
                        <w:rFonts w:ascii="Times New Roman" w:hAnsi="Times New Roman" w:eastAsia="Times New Roman" w:cs="Times New Roman"/>
                        <w:sz w:val="18"/>
                        <w:szCs w:val="18"/>
                      </w:rPr>
                    </w:pPr>
                    <w:r>
                      <w:rPr>
                        <w:rFonts w:ascii="Times New Roman" w:hAnsi="Times New Roman" w:eastAsia="Times New Roman" w:cs="Times New Roman"/>
                        <w:spacing w:val="-22"/>
                        <w:sz w:val="18"/>
                        <w:szCs w:val="18"/>
                      </w:rPr>
                      <w:t>1</w:t>
                    </w:r>
                  </w:p>
                </w:txbxContent>
              </v:textbox>
            </v:shape>
            <v:shape id="_x0000_s1096" o:spid="_x0000_s1096" o:spt="202" type="#_x0000_t202" style="position:absolute;left:5904;top:10791;height:163;width:108;" filled="f" stroked="f" coordsize="21600,21600">
              <v:path/>
              <v:fill on="f" focussize="0,0"/>
              <v:stroke on="f"/>
              <v:imagedata o:title=""/>
              <o:lock v:ext="edit" aspectratio="f"/>
              <v:textbox inset="0mm,0mm,0mm,0mm">
                <w:txbxContent>
                  <w:p w14:paraId="281845DE">
                    <w:pPr>
                      <w:spacing w:before="20" w:line="188" w:lineRule="auto"/>
                      <w:jc w:val="right"/>
                      <w:rPr>
                        <w:rFonts w:ascii="Times New Roman" w:hAnsi="Times New Roman" w:eastAsia="Times New Roman" w:cs="Times New Roman"/>
                        <w:sz w:val="18"/>
                        <w:szCs w:val="18"/>
                      </w:rPr>
                    </w:pPr>
                    <w:r>
                      <w:rPr>
                        <w:rFonts w:ascii="Times New Roman" w:hAnsi="Times New Roman" w:eastAsia="Times New Roman" w:cs="Times New Roman"/>
                        <w:spacing w:val="-22"/>
                        <w:sz w:val="18"/>
                        <w:szCs w:val="18"/>
                      </w:rPr>
                      <w:t>1</w:t>
                    </w:r>
                  </w:p>
                </w:txbxContent>
              </v:textbox>
            </v:shape>
            <v:shape id="_x0000_s1097" o:spid="_x0000_s1097" o:spt="202" type="#_x0000_t202" style="position:absolute;left:5904;top:11521;height:163;width:108;" filled="f" stroked="f" coordsize="21600,21600">
              <v:path/>
              <v:fill on="f" focussize="0,0"/>
              <v:stroke on="f"/>
              <v:imagedata o:title=""/>
              <o:lock v:ext="edit" aspectratio="f"/>
              <v:textbox inset="0mm,0mm,0mm,0mm">
                <w:txbxContent>
                  <w:p w14:paraId="57083997">
                    <w:pPr>
                      <w:spacing w:before="20" w:line="188" w:lineRule="auto"/>
                      <w:jc w:val="right"/>
                      <w:rPr>
                        <w:rFonts w:ascii="Times New Roman" w:hAnsi="Times New Roman" w:eastAsia="Times New Roman" w:cs="Times New Roman"/>
                        <w:sz w:val="18"/>
                        <w:szCs w:val="18"/>
                      </w:rPr>
                    </w:pPr>
                    <w:r>
                      <w:rPr>
                        <w:rFonts w:ascii="Times New Roman" w:hAnsi="Times New Roman" w:eastAsia="Times New Roman" w:cs="Times New Roman"/>
                        <w:spacing w:val="-22"/>
                        <w:sz w:val="18"/>
                        <w:szCs w:val="18"/>
                      </w:rPr>
                      <w:t>1</w:t>
                    </w:r>
                  </w:p>
                </w:txbxContent>
              </v:textbox>
            </v:shape>
            <w10:wrap type="none"/>
            <w10:anchorlock/>
          </v:group>
        </w:pict>
      </w:r>
    </w:p>
    <w:p w14:paraId="35BF2BEB">
      <w:pPr>
        <w:spacing w:line="13693" w:lineRule="exact"/>
        <w:sectPr>
          <w:footerReference r:id="rId32" w:type="default"/>
          <w:pgSz w:w="11907" w:h="16840"/>
          <w:pgMar w:top="400" w:right="1757" w:bottom="1446" w:left="1757" w:header="0" w:footer="1284" w:gutter="0"/>
          <w:cols w:space="720" w:num="1"/>
        </w:sectPr>
      </w:pPr>
    </w:p>
    <w:p w14:paraId="7C41D8B8">
      <w:pPr>
        <w:spacing w:before="19"/>
      </w:pPr>
    </w:p>
    <w:p w14:paraId="0C529432">
      <w:pPr>
        <w:spacing w:before="19"/>
      </w:pPr>
    </w:p>
    <w:p w14:paraId="48528566">
      <w:pPr>
        <w:spacing w:before="18"/>
      </w:pPr>
    </w:p>
    <w:p w14:paraId="260E8F02">
      <w:pPr>
        <w:spacing w:before="18"/>
      </w:pPr>
    </w:p>
    <w:tbl>
      <w:tblPr>
        <w:tblStyle w:val="5"/>
        <w:tblW w:w="8377"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7"/>
        <w:gridCol w:w="717"/>
        <w:gridCol w:w="57"/>
        <w:gridCol w:w="1137"/>
        <w:gridCol w:w="122"/>
        <w:gridCol w:w="2611"/>
        <w:gridCol w:w="249"/>
        <w:gridCol w:w="1076"/>
        <w:gridCol w:w="434"/>
        <w:gridCol w:w="1237"/>
      </w:tblGrid>
      <w:tr w14:paraId="174A7E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3" w:hRule="atLeast"/>
        </w:trPr>
        <w:tc>
          <w:tcPr>
            <w:tcW w:w="737" w:type="dxa"/>
            <w:vMerge w:val="restart"/>
            <w:tcBorders>
              <w:top w:val="single" w:color="000000" w:sz="6" w:space="0"/>
              <w:left w:val="single" w:color="000000" w:sz="6" w:space="0"/>
              <w:bottom w:val="nil"/>
            </w:tcBorders>
            <w:vAlign w:val="top"/>
          </w:tcPr>
          <w:p w14:paraId="595593EB">
            <w:pPr>
              <w:rPr>
                <w:rFonts w:ascii="Arial"/>
                <w:sz w:val="21"/>
              </w:rPr>
            </w:pPr>
          </w:p>
        </w:tc>
        <w:tc>
          <w:tcPr>
            <w:tcW w:w="7640" w:type="dxa"/>
            <w:gridSpan w:val="9"/>
            <w:tcBorders>
              <w:top w:val="single" w:color="000000" w:sz="6" w:space="0"/>
              <w:bottom w:val="single" w:color="000000" w:sz="10" w:space="0"/>
              <w:right w:val="single" w:color="000000" w:sz="6" w:space="0"/>
            </w:tcBorders>
            <w:vAlign w:val="top"/>
          </w:tcPr>
          <w:p w14:paraId="0E32A390">
            <w:pPr>
              <w:pStyle w:val="6"/>
              <w:spacing w:before="146" w:line="232" w:lineRule="auto"/>
              <w:ind w:left="430"/>
              <w:rPr>
                <w:rFonts w:ascii="仿宋" w:hAnsi="仿宋" w:eastAsia="仿宋" w:cs="仿宋"/>
                <w:sz w:val="20"/>
                <w:szCs w:val="20"/>
              </w:rPr>
            </w:pPr>
            <w:r>
              <w:rPr>
                <w:b/>
                <w:bCs/>
                <w:spacing w:val="1"/>
                <w:sz w:val="20"/>
                <w:szCs w:val="20"/>
              </w:rPr>
              <w:t>12</w:t>
            </w:r>
            <w:r>
              <w:rPr>
                <w:b/>
                <w:bCs/>
                <w:spacing w:val="-20"/>
                <w:sz w:val="20"/>
                <w:szCs w:val="20"/>
              </w:rPr>
              <w:t xml:space="preserve"> </w:t>
            </w:r>
            <w:r>
              <w:rPr>
                <w:rFonts w:ascii="仿宋" w:hAnsi="仿宋" w:eastAsia="仿宋" w:cs="仿宋"/>
                <w:b/>
                <w:bCs/>
                <w:spacing w:val="1"/>
                <w:sz w:val="20"/>
                <w:szCs w:val="20"/>
              </w:rPr>
              <w:t>、交叉工程</w:t>
            </w:r>
          </w:p>
          <w:p w14:paraId="2102CB31">
            <w:pPr>
              <w:pStyle w:val="6"/>
              <w:spacing w:before="157" w:line="377" w:lineRule="auto"/>
              <w:ind w:firstLine="427"/>
              <w:jc w:val="both"/>
              <w:rPr>
                <w:rFonts w:ascii="仿宋" w:hAnsi="仿宋" w:eastAsia="仿宋" w:cs="仿宋"/>
                <w:sz w:val="20"/>
                <w:szCs w:val="20"/>
              </w:rPr>
            </w:pPr>
            <w:r>
              <w:rPr>
                <w:rFonts w:ascii="仿宋" w:hAnsi="仿宋" w:eastAsia="仿宋" w:cs="仿宋"/>
                <w:spacing w:val="6"/>
                <w:sz w:val="20"/>
                <w:szCs w:val="20"/>
              </w:rPr>
              <w:t>本项目设置了</w:t>
            </w:r>
            <w:r>
              <w:rPr>
                <w:rFonts w:ascii="仿宋" w:hAnsi="仿宋" w:eastAsia="仿宋" w:cs="仿宋"/>
                <w:spacing w:val="-26"/>
                <w:sz w:val="20"/>
                <w:szCs w:val="20"/>
              </w:rPr>
              <w:t xml:space="preserve"> </w:t>
            </w:r>
            <w:r>
              <w:rPr>
                <w:spacing w:val="6"/>
                <w:sz w:val="20"/>
                <w:szCs w:val="20"/>
              </w:rPr>
              <w:t>50</w:t>
            </w:r>
            <w:r>
              <w:rPr>
                <w:spacing w:val="15"/>
                <w:w w:val="101"/>
                <w:sz w:val="20"/>
                <w:szCs w:val="20"/>
              </w:rPr>
              <w:t xml:space="preserve"> </w:t>
            </w:r>
            <w:r>
              <w:rPr>
                <w:rFonts w:ascii="仿宋" w:hAnsi="仿宋" w:eastAsia="仿宋" w:cs="仿宋"/>
                <w:spacing w:val="6"/>
                <w:sz w:val="20"/>
                <w:szCs w:val="20"/>
              </w:rPr>
              <w:t>处平面交叉。平面交叉位置的选定综合考虑了公路网现状和规</w:t>
            </w:r>
            <w:r>
              <w:rPr>
                <w:rFonts w:ascii="仿宋" w:hAnsi="仿宋" w:eastAsia="仿宋" w:cs="仿宋"/>
                <w:spacing w:val="10"/>
                <w:sz w:val="20"/>
                <w:szCs w:val="20"/>
              </w:rPr>
              <w:t>划、地形、地物和地质条件、经济与环境因素等，选在地形平坦、视野开阔处，在交叉范围内尽量通视。平面交叉的设置间距综合考虑了公路网的结构和车辆通行条</w:t>
            </w:r>
            <w:r>
              <w:rPr>
                <w:rFonts w:ascii="仿宋" w:hAnsi="仿宋" w:eastAsia="仿宋" w:cs="仿宋"/>
                <w:spacing w:val="7"/>
                <w:sz w:val="20"/>
                <w:szCs w:val="20"/>
              </w:rPr>
              <w:t>件，满足交织长度、视距、转弯车道长度等的最小距离。沙圪堵镇设置</w:t>
            </w:r>
            <w:r>
              <w:rPr>
                <w:rFonts w:ascii="仿宋" w:hAnsi="仿宋" w:eastAsia="仿宋" w:cs="仿宋"/>
                <w:spacing w:val="-44"/>
                <w:sz w:val="20"/>
                <w:szCs w:val="20"/>
              </w:rPr>
              <w:t xml:space="preserve"> </w:t>
            </w:r>
            <w:r>
              <w:rPr>
                <w:spacing w:val="6"/>
                <w:sz w:val="20"/>
                <w:szCs w:val="20"/>
              </w:rPr>
              <w:t>21</w:t>
            </w:r>
            <w:r>
              <w:rPr>
                <w:spacing w:val="18"/>
                <w:w w:val="101"/>
                <w:sz w:val="20"/>
                <w:szCs w:val="20"/>
              </w:rPr>
              <w:t xml:space="preserve"> </w:t>
            </w:r>
            <w:r>
              <w:rPr>
                <w:rFonts w:ascii="仿宋" w:hAnsi="仿宋" w:eastAsia="仿宋" w:cs="仿宋"/>
                <w:spacing w:val="6"/>
                <w:sz w:val="20"/>
                <w:szCs w:val="20"/>
              </w:rPr>
              <w:t>处平面交</w:t>
            </w:r>
            <w:r>
              <w:rPr>
                <w:rFonts w:ascii="仿宋" w:hAnsi="仿宋" w:eastAsia="仿宋" w:cs="仿宋"/>
                <w:spacing w:val="5"/>
                <w:sz w:val="20"/>
                <w:szCs w:val="20"/>
              </w:rPr>
              <w:t>叉、十二连城乡设置</w:t>
            </w:r>
            <w:r>
              <w:rPr>
                <w:rFonts w:ascii="仿宋" w:hAnsi="仿宋" w:eastAsia="仿宋" w:cs="仿宋"/>
                <w:spacing w:val="-40"/>
                <w:sz w:val="20"/>
                <w:szCs w:val="20"/>
              </w:rPr>
              <w:t xml:space="preserve"> </w:t>
            </w:r>
            <w:r>
              <w:rPr>
                <w:spacing w:val="5"/>
                <w:sz w:val="20"/>
                <w:szCs w:val="20"/>
              </w:rPr>
              <w:t>29</w:t>
            </w:r>
            <w:r>
              <w:rPr>
                <w:spacing w:val="18"/>
                <w:w w:val="101"/>
                <w:sz w:val="20"/>
                <w:szCs w:val="20"/>
              </w:rPr>
              <w:t xml:space="preserve"> </w:t>
            </w:r>
            <w:r>
              <w:rPr>
                <w:rFonts w:ascii="仿宋" w:hAnsi="仿宋" w:eastAsia="仿宋" w:cs="仿宋"/>
                <w:spacing w:val="5"/>
                <w:sz w:val="20"/>
                <w:szCs w:val="20"/>
              </w:rPr>
              <w:t>处平面交叉，形式以丁字型（</w:t>
            </w:r>
            <w:r>
              <w:rPr>
                <w:spacing w:val="5"/>
                <w:sz w:val="20"/>
                <w:szCs w:val="20"/>
              </w:rPr>
              <w:t>T</w:t>
            </w:r>
            <w:r>
              <w:rPr>
                <w:spacing w:val="25"/>
                <w:w w:val="101"/>
                <w:sz w:val="20"/>
                <w:szCs w:val="20"/>
              </w:rPr>
              <w:t xml:space="preserve"> </w:t>
            </w:r>
            <w:r>
              <w:rPr>
                <w:rFonts w:ascii="仿宋" w:hAnsi="仿宋" w:eastAsia="仿宋" w:cs="仿宋"/>
                <w:spacing w:val="5"/>
                <w:sz w:val="20"/>
                <w:szCs w:val="20"/>
              </w:rPr>
              <w:t>型）、左</w:t>
            </w:r>
            <w:r>
              <w:rPr>
                <w:spacing w:val="5"/>
                <w:sz w:val="20"/>
                <w:szCs w:val="20"/>
              </w:rPr>
              <w:t>/</w:t>
            </w:r>
            <w:r>
              <w:rPr>
                <w:rFonts w:ascii="仿宋" w:hAnsi="仿宋" w:eastAsia="仿宋" w:cs="仿宋"/>
                <w:spacing w:val="5"/>
                <w:sz w:val="20"/>
                <w:szCs w:val="20"/>
              </w:rPr>
              <w:t>右</w:t>
            </w:r>
            <w:r>
              <w:rPr>
                <w:rFonts w:ascii="仿宋" w:hAnsi="仿宋" w:eastAsia="仿宋" w:cs="仿宋"/>
                <w:spacing w:val="-42"/>
                <w:sz w:val="20"/>
                <w:szCs w:val="20"/>
              </w:rPr>
              <w:t xml:space="preserve"> </w:t>
            </w:r>
            <w:r>
              <w:rPr>
                <w:spacing w:val="5"/>
                <w:sz w:val="20"/>
                <w:szCs w:val="20"/>
              </w:rPr>
              <w:t>T</w:t>
            </w:r>
            <w:r>
              <w:rPr>
                <w:spacing w:val="26"/>
                <w:w w:val="101"/>
                <w:sz w:val="20"/>
                <w:szCs w:val="20"/>
              </w:rPr>
              <w:t xml:space="preserve"> </w:t>
            </w:r>
            <w:r>
              <w:rPr>
                <w:rFonts w:ascii="仿宋" w:hAnsi="仿宋" w:eastAsia="仿宋" w:cs="仿宋"/>
                <w:spacing w:val="5"/>
                <w:sz w:val="20"/>
                <w:szCs w:val="20"/>
              </w:rPr>
              <w:t>型、十字型、</w:t>
            </w:r>
            <w:r>
              <w:rPr>
                <w:rFonts w:ascii="仿宋" w:hAnsi="仿宋" w:eastAsia="仿宋" w:cs="仿宋"/>
                <w:sz w:val="20"/>
                <w:szCs w:val="20"/>
              </w:rPr>
              <w:t xml:space="preserve"> </w:t>
            </w:r>
            <w:r>
              <w:rPr>
                <w:sz w:val="20"/>
                <w:szCs w:val="20"/>
              </w:rPr>
              <w:t>L</w:t>
            </w:r>
            <w:r>
              <w:rPr>
                <w:spacing w:val="26"/>
                <w:w w:val="101"/>
                <w:sz w:val="20"/>
                <w:szCs w:val="20"/>
              </w:rPr>
              <w:t xml:space="preserve"> </w:t>
            </w:r>
            <w:r>
              <w:rPr>
                <w:rFonts w:ascii="仿宋" w:hAnsi="仿宋" w:eastAsia="仿宋" w:cs="仿宋"/>
                <w:sz w:val="20"/>
                <w:szCs w:val="20"/>
              </w:rPr>
              <w:t>型为主。</w:t>
            </w:r>
          </w:p>
          <w:p w14:paraId="764DD8D9">
            <w:pPr>
              <w:pStyle w:val="6"/>
              <w:spacing w:line="231" w:lineRule="auto"/>
              <w:ind w:left="1711"/>
              <w:rPr>
                <w:rFonts w:ascii="仿宋" w:hAnsi="仿宋" w:eastAsia="仿宋" w:cs="仿宋"/>
                <w:sz w:val="20"/>
                <w:szCs w:val="20"/>
              </w:rPr>
            </w:pPr>
            <w:r>
              <w:rPr>
                <w:rFonts w:ascii="仿宋" w:hAnsi="仿宋" w:eastAsia="仿宋" w:cs="仿宋"/>
                <w:b/>
                <w:bCs/>
                <w:spacing w:val="5"/>
                <w:sz w:val="20"/>
                <w:szCs w:val="20"/>
              </w:rPr>
              <w:t>表</w:t>
            </w:r>
            <w:r>
              <w:rPr>
                <w:rFonts w:ascii="仿宋" w:hAnsi="仿宋" w:eastAsia="仿宋" w:cs="仿宋"/>
                <w:spacing w:val="-28"/>
                <w:sz w:val="20"/>
                <w:szCs w:val="20"/>
              </w:rPr>
              <w:t xml:space="preserve"> </w:t>
            </w:r>
            <w:r>
              <w:rPr>
                <w:b/>
                <w:bCs/>
                <w:spacing w:val="5"/>
                <w:sz w:val="20"/>
                <w:szCs w:val="20"/>
              </w:rPr>
              <w:t xml:space="preserve">2-13        </w:t>
            </w:r>
            <w:r>
              <w:rPr>
                <w:rFonts w:ascii="仿宋" w:hAnsi="仿宋" w:eastAsia="仿宋" w:cs="仿宋"/>
                <w:b/>
                <w:bCs/>
                <w:spacing w:val="5"/>
                <w:sz w:val="20"/>
                <w:szCs w:val="20"/>
              </w:rPr>
              <w:t>沙圪堵镇平面交叉工程设置一览表</w:t>
            </w:r>
          </w:p>
        </w:tc>
      </w:tr>
      <w:tr w14:paraId="1AF0FB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9" w:hRule="atLeast"/>
        </w:trPr>
        <w:tc>
          <w:tcPr>
            <w:tcW w:w="737" w:type="dxa"/>
            <w:vMerge w:val="continue"/>
            <w:tcBorders>
              <w:top w:val="nil"/>
              <w:left w:val="single" w:color="000000" w:sz="6" w:space="0"/>
              <w:bottom w:val="nil"/>
            </w:tcBorders>
            <w:vAlign w:val="top"/>
          </w:tcPr>
          <w:p w14:paraId="32A76A70">
            <w:pPr>
              <w:rPr>
                <w:rFonts w:ascii="Arial"/>
                <w:sz w:val="21"/>
              </w:rPr>
            </w:pPr>
          </w:p>
        </w:tc>
        <w:tc>
          <w:tcPr>
            <w:tcW w:w="717" w:type="dxa"/>
            <w:tcBorders>
              <w:top w:val="single" w:color="000000" w:sz="10" w:space="0"/>
            </w:tcBorders>
            <w:vAlign w:val="top"/>
          </w:tcPr>
          <w:p w14:paraId="55EF95C0">
            <w:pPr>
              <w:spacing w:before="23" w:line="201" w:lineRule="auto"/>
              <w:ind w:left="149"/>
              <w:rPr>
                <w:rFonts w:ascii="仿宋" w:hAnsi="仿宋" w:eastAsia="仿宋" w:cs="仿宋"/>
                <w:sz w:val="18"/>
                <w:szCs w:val="18"/>
              </w:rPr>
            </w:pPr>
            <w:r>
              <w:rPr>
                <w:rFonts w:ascii="仿宋" w:hAnsi="仿宋" w:eastAsia="仿宋" w:cs="仿宋"/>
                <w:spacing w:val="-4"/>
                <w:sz w:val="18"/>
                <w:szCs w:val="18"/>
              </w:rPr>
              <w:t>序 号</w:t>
            </w:r>
          </w:p>
        </w:tc>
        <w:tc>
          <w:tcPr>
            <w:tcW w:w="1194" w:type="dxa"/>
            <w:gridSpan w:val="2"/>
            <w:tcBorders>
              <w:top w:val="single" w:color="000000" w:sz="10" w:space="0"/>
            </w:tcBorders>
            <w:vAlign w:val="top"/>
          </w:tcPr>
          <w:p w14:paraId="6C107152">
            <w:pPr>
              <w:spacing w:before="23" w:line="201" w:lineRule="auto"/>
              <w:ind w:left="262"/>
              <w:rPr>
                <w:rFonts w:ascii="仿宋" w:hAnsi="仿宋" w:eastAsia="仿宋" w:cs="仿宋"/>
                <w:sz w:val="18"/>
                <w:szCs w:val="18"/>
              </w:rPr>
            </w:pPr>
            <w:r>
              <w:rPr>
                <w:rFonts w:ascii="仿宋" w:hAnsi="仿宋" w:eastAsia="仿宋" w:cs="仿宋"/>
                <w:spacing w:val="-9"/>
                <w:sz w:val="18"/>
                <w:szCs w:val="18"/>
              </w:rPr>
              <w:t>里程桩号</w:t>
            </w:r>
          </w:p>
        </w:tc>
        <w:tc>
          <w:tcPr>
            <w:tcW w:w="2982" w:type="dxa"/>
            <w:gridSpan w:val="3"/>
            <w:tcBorders>
              <w:top w:val="single" w:color="000000" w:sz="10" w:space="0"/>
            </w:tcBorders>
            <w:vAlign w:val="top"/>
          </w:tcPr>
          <w:p w14:paraId="0D6C0C21">
            <w:pPr>
              <w:spacing w:before="23" w:line="201" w:lineRule="auto"/>
              <w:ind w:left="629"/>
              <w:rPr>
                <w:rFonts w:ascii="仿宋" w:hAnsi="仿宋" w:eastAsia="仿宋" w:cs="仿宋"/>
                <w:sz w:val="18"/>
                <w:szCs w:val="18"/>
              </w:rPr>
            </w:pPr>
            <w:r>
              <w:rPr>
                <w:rFonts w:ascii="仿宋" w:hAnsi="仿宋" w:eastAsia="仿宋" w:cs="仿宋"/>
                <w:spacing w:val="-6"/>
                <w:sz w:val="18"/>
                <w:szCs w:val="18"/>
              </w:rPr>
              <w:t>被交叉道路种类、等级</w:t>
            </w:r>
          </w:p>
        </w:tc>
        <w:tc>
          <w:tcPr>
            <w:tcW w:w="1510" w:type="dxa"/>
            <w:gridSpan w:val="2"/>
            <w:tcBorders>
              <w:top w:val="single" w:color="000000" w:sz="10" w:space="0"/>
            </w:tcBorders>
            <w:vAlign w:val="top"/>
          </w:tcPr>
          <w:p w14:paraId="38256CD6">
            <w:pPr>
              <w:spacing w:before="23" w:line="201" w:lineRule="auto"/>
              <w:ind w:left="334"/>
              <w:rPr>
                <w:rFonts w:ascii="仿宋" w:hAnsi="仿宋" w:eastAsia="仿宋" w:cs="仿宋"/>
                <w:sz w:val="18"/>
                <w:szCs w:val="18"/>
              </w:rPr>
            </w:pPr>
            <w:r>
              <w:rPr>
                <w:rFonts w:ascii="仿宋" w:hAnsi="仿宋" w:eastAsia="仿宋" w:cs="仿宋"/>
                <w:spacing w:val="-5"/>
                <w:sz w:val="18"/>
                <w:szCs w:val="18"/>
              </w:rPr>
              <w:t>数量（处）</w:t>
            </w:r>
          </w:p>
        </w:tc>
        <w:tc>
          <w:tcPr>
            <w:tcW w:w="1237" w:type="dxa"/>
            <w:tcBorders>
              <w:top w:val="single" w:color="000000" w:sz="10" w:space="0"/>
              <w:right w:val="single" w:color="000000" w:sz="6" w:space="0"/>
            </w:tcBorders>
            <w:vAlign w:val="top"/>
          </w:tcPr>
          <w:p w14:paraId="75526C3B">
            <w:pPr>
              <w:spacing w:before="23" w:line="201" w:lineRule="auto"/>
              <w:ind w:left="286"/>
              <w:rPr>
                <w:rFonts w:ascii="仿宋" w:hAnsi="仿宋" w:eastAsia="仿宋" w:cs="仿宋"/>
                <w:sz w:val="18"/>
                <w:szCs w:val="18"/>
              </w:rPr>
            </w:pPr>
            <w:r>
              <w:rPr>
                <w:rFonts w:ascii="仿宋" w:hAnsi="仿宋" w:eastAsia="仿宋" w:cs="仿宋"/>
                <w:spacing w:val="-9"/>
                <w:sz w:val="18"/>
                <w:szCs w:val="18"/>
              </w:rPr>
              <w:t>交叉形式</w:t>
            </w:r>
          </w:p>
        </w:tc>
      </w:tr>
      <w:tr w14:paraId="1447C6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0E736843">
            <w:pPr>
              <w:rPr>
                <w:rFonts w:ascii="Arial"/>
                <w:sz w:val="21"/>
              </w:rPr>
            </w:pPr>
          </w:p>
        </w:tc>
        <w:tc>
          <w:tcPr>
            <w:tcW w:w="7640" w:type="dxa"/>
            <w:gridSpan w:val="9"/>
            <w:tcBorders>
              <w:right w:val="single" w:color="000000" w:sz="6" w:space="0"/>
            </w:tcBorders>
            <w:vAlign w:val="top"/>
          </w:tcPr>
          <w:p w14:paraId="42090BD8">
            <w:pPr>
              <w:spacing w:before="31" w:line="202" w:lineRule="auto"/>
              <w:ind w:left="2451"/>
              <w:rPr>
                <w:rFonts w:ascii="仿宋" w:hAnsi="仿宋" w:eastAsia="仿宋" w:cs="仿宋"/>
                <w:sz w:val="18"/>
                <w:szCs w:val="18"/>
              </w:rPr>
            </w:pPr>
            <w:r>
              <w:rPr>
                <w:rFonts w:ascii="仿宋" w:hAnsi="仿宋" w:eastAsia="仿宋" w:cs="仿宋"/>
                <w:spacing w:val="-8"/>
                <w:sz w:val="18"/>
                <w:szCs w:val="18"/>
              </w:rPr>
              <w:t>四道敖包至淡家梁至杨家塔通村公路</w:t>
            </w:r>
          </w:p>
        </w:tc>
      </w:tr>
      <w:tr w14:paraId="7304EE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09044D2E">
            <w:pPr>
              <w:rPr>
                <w:rFonts w:ascii="Arial"/>
                <w:sz w:val="21"/>
              </w:rPr>
            </w:pPr>
          </w:p>
        </w:tc>
        <w:tc>
          <w:tcPr>
            <w:tcW w:w="717" w:type="dxa"/>
            <w:vAlign w:val="top"/>
          </w:tcPr>
          <w:p w14:paraId="79208FBD">
            <w:pPr>
              <w:pStyle w:val="6"/>
              <w:spacing w:before="50" w:line="188" w:lineRule="auto"/>
              <w:ind w:left="331"/>
            </w:pPr>
            <w:r>
              <w:t>1</w:t>
            </w:r>
          </w:p>
        </w:tc>
        <w:tc>
          <w:tcPr>
            <w:tcW w:w="1194" w:type="dxa"/>
            <w:gridSpan w:val="2"/>
            <w:vAlign w:val="top"/>
          </w:tcPr>
          <w:p w14:paraId="2648DD31">
            <w:pPr>
              <w:pStyle w:val="6"/>
              <w:spacing w:before="50" w:line="188" w:lineRule="auto"/>
              <w:ind w:left="302"/>
            </w:pPr>
            <w:r>
              <w:rPr>
                <w:spacing w:val="-2"/>
              </w:rPr>
              <w:t>K0+760</w:t>
            </w:r>
          </w:p>
        </w:tc>
        <w:tc>
          <w:tcPr>
            <w:tcW w:w="2982" w:type="dxa"/>
            <w:gridSpan w:val="3"/>
            <w:vAlign w:val="top"/>
          </w:tcPr>
          <w:p w14:paraId="7D42AB4F">
            <w:pPr>
              <w:spacing w:before="33" w:line="200" w:lineRule="auto"/>
              <w:ind w:left="1337"/>
              <w:rPr>
                <w:rFonts w:ascii="仿宋" w:hAnsi="仿宋" w:eastAsia="仿宋" w:cs="仿宋"/>
                <w:sz w:val="18"/>
                <w:szCs w:val="18"/>
              </w:rPr>
            </w:pPr>
            <w:r>
              <w:rPr>
                <w:rFonts w:ascii="仿宋" w:hAnsi="仿宋" w:eastAsia="仿宋" w:cs="仿宋"/>
                <w:spacing w:val="-8"/>
                <w:sz w:val="18"/>
                <w:szCs w:val="18"/>
              </w:rPr>
              <w:t>土路</w:t>
            </w:r>
          </w:p>
        </w:tc>
        <w:tc>
          <w:tcPr>
            <w:tcW w:w="1510" w:type="dxa"/>
            <w:gridSpan w:val="2"/>
            <w:vAlign w:val="top"/>
          </w:tcPr>
          <w:p w14:paraId="33C8F577">
            <w:pPr>
              <w:pStyle w:val="6"/>
              <w:spacing w:before="50" w:line="188" w:lineRule="auto"/>
              <w:ind w:left="735"/>
            </w:pPr>
            <w:r>
              <w:t>1</w:t>
            </w:r>
          </w:p>
        </w:tc>
        <w:tc>
          <w:tcPr>
            <w:tcW w:w="1237" w:type="dxa"/>
            <w:tcBorders>
              <w:right w:val="single" w:color="000000" w:sz="6" w:space="0"/>
            </w:tcBorders>
            <w:vAlign w:val="top"/>
          </w:tcPr>
          <w:p w14:paraId="4CDF711E">
            <w:pPr>
              <w:pStyle w:val="6"/>
              <w:spacing w:before="33" w:line="200" w:lineRule="auto"/>
              <w:ind w:left="423"/>
              <w:rPr>
                <w:rFonts w:ascii="仿宋" w:hAnsi="仿宋" w:eastAsia="仿宋" w:cs="仿宋"/>
              </w:rPr>
            </w:pPr>
            <w:r>
              <w:rPr>
                <w:rFonts w:ascii="仿宋" w:hAnsi="仿宋" w:eastAsia="仿宋" w:cs="仿宋"/>
                <w:spacing w:val="-11"/>
              </w:rPr>
              <w:t>左</w:t>
            </w:r>
            <w:r>
              <w:rPr>
                <w:spacing w:val="-11"/>
              </w:rPr>
              <w:t xml:space="preserve">T </w:t>
            </w:r>
            <w:r>
              <w:rPr>
                <w:rFonts w:ascii="仿宋" w:hAnsi="仿宋" w:eastAsia="仿宋" w:cs="仿宋"/>
                <w:spacing w:val="-11"/>
              </w:rPr>
              <w:t>型</w:t>
            </w:r>
          </w:p>
        </w:tc>
      </w:tr>
      <w:tr w14:paraId="212101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35BAC0FE">
            <w:pPr>
              <w:rPr>
                <w:rFonts w:ascii="Arial"/>
                <w:sz w:val="21"/>
              </w:rPr>
            </w:pPr>
          </w:p>
        </w:tc>
        <w:tc>
          <w:tcPr>
            <w:tcW w:w="717" w:type="dxa"/>
            <w:vAlign w:val="top"/>
          </w:tcPr>
          <w:p w14:paraId="3EE87ECE">
            <w:pPr>
              <w:pStyle w:val="6"/>
              <w:spacing w:before="49" w:line="188" w:lineRule="auto"/>
              <w:ind w:left="314"/>
            </w:pPr>
            <w:r>
              <w:t>2</w:t>
            </w:r>
          </w:p>
        </w:tc>
        <w:tc>
          <w:tcPr>
            <w:tcW w:w="1194" w:type="dxa"/>
            <w:gridSpan w:val="2"/>
            <w:vAlign w:val="top"/>
          </w:tcPr>
          <w:p w14:paraId="5CFB6723">
            <w:pPr>
              <w:pStyle w:val="6"/>
              <w:spacing w:before="49" w:line="188" w:lineRule="auto"/>
              <w:ind w:left="302"/>
            </w:pPr>
            <w:r>
              <w:rPr>
                <w:spacing w:val="-2"/>
              </w:rPr>
              <w:t>K0+880</w:t>
            </w:r>
          </w:p>
        </w:tc>
        <w:tc>
          <w:tcPr>
            <w:tcW w:w="2982" w:type="dxa"/>
            <w:gridSpan w:val="3"/>
            <w:vAlign w:val="top"/>
          </w:tcPr>
          <w:p w14:paraId="56A8B7BD">
            <w:pPr>
              <w:spacing w:before="33" w:line="200" w:lineRule="auto"/>
              <w:ind w:left="1337"/>
              <w:rPr>
                <w:rFonts w:ascii="仿宋" w:hAnsi="仿宋" w:eastAsia="仿宋" w:cs="仿宋"/>
                <w:sz w:val="18"/>
                <w:szCs w:val="18"/>
              </w:rPr>
            </w:pPr>
            <w:r>
              <w:rPr>
                <w:rFonts w:ascii="仿宋" w:hAnsi="仿宋" w:eastAsia="仿宋" w:cs="仿宋"/>
                <w:spacing w:val="-8"/>
                <w:sz w:val="18"/>
                <w:szCs w:val="18"/>
              </w:rPr>
              <w:t>土路</w:t>
            </w:r>
          </w:p>
        </w:tc>
        <w:tc>
          <w:tcPr>
            <w:tcW w:w="1510" w:type="dxa"/>
            <w:gridSpan w:val="2"/>
            <w:vAlign w:val="top"/>
          </w:tcPr>
          <w:p w14:paraId="47D3E768">
            <w:pPr>
              <w:pStyle w:val="6"/>
              <w:spacing w:before="49" w:line="188" w:lineRule="auto"/>
              <w:ind w:left="735"/>
            </w:pPr>
            <w:r>
              <w:t>1</w:t>
            </w:r>
          </w:p>
        </w:tc>
        <w:tc>
          <w:tcPr>
            <w:tcW w:w="1237" w:type="dxa"/>
            <w:tcBorders>
              <w:right w:val="single" w:color="000000" w:sz="6" w:space="0"/>
            </w:tcBorders>
            <w:vAlign w:val="top"/>
          </w:tcPr>
          <w:p w14:paraId="2A7A68D2">
            <w:pPr>
              <w:pStyle w:val="6"/>
              <w:spacing w:before="33" w:line="200" w:lineRule="auto"/>
              <w:ind w:left="421"/>
              <w:rPr>
                <w:rFonts w:ascii="仿宋" w:hAnsi="仿宋" w:eastAsia="仿宋" w:cs="仿宋"/>
              </w:rPr>
            </w:pPr>
            <w:r>
              <w:rPr>
                <w:rFonts w:ascii="仿宋" w:hAnsi="仿宋" w:eastAsia="仿宋" w:cs="仿宋"/>
                <w:spacing w:val="-10"/>
              </w:rPr>
              <w:t>右</w:t>
            </w:r>
            <w:r>
              <w:rPr>
                <w:spacing w:val="-10"/>
              </w:rPr>
              <w:t xml:space="preserve">T </w:t>
            </w:r>
            <w:r>
              <w:rPr>
                <w:rFonts w:ascii="仿宋" w:hAnsi="仿宋" w:eastAsia="仿宋" w:cs="仿宋"/>
                <w:spacing w:val="-10"/>
              </w:rPr>
              <w:t>型</w:t>
            </w:r>
          </w:p>
        </w:tc>
      </w:tr>
      <w:tr w14:paraId="00D632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0604DBB6">
            <w:pPr>
              <w:rPr>
                <w:rFonts w:ascii="Arial"/>
                <w:sz w:val="21"/>
              </w:rPr>
            </w:pPr>
          </w:p>
        </w:tc>
        <w:tc>
          <w:tcPr>
            <w:tcW w:w="717" w:type="dxa"/>
            <w:vAlign w:val="top"/>
          </w:tcPr>
          <w:p w14:paraId="16429680">
            <w:pPr>
              <w:pStyle w:val="6"/>
              <w:spacing w:before="48" w:line="188" w:lineRule="auto"/>
              <w:ind w:left="318"/>
            </w:pPr>
            <w:r>
              <w:t>3</w:t>
            </w:r>
          </w:p>
        </w:tc>
        <w:tc>
          <w:tcPr>
            <w:tcW w:w="1194" w:type="dxa"/>
            <w:gridSpan w:val="2"/>
            <w:vAlign w:val="top"/>
          </w:tcPr>
          <w:p w14:paraId="563B3798">
            <w:pPr>
              <w:pStyle w:val="6"/>
              <w:spacing w:before="48" w:line="188" w:lineRule="auto"/>
              <w:ind w:left="302"/>
            </w:pPr>
            <w:r>
              <w:rPr>
                <w:spacing w:val="-2"/>
              </w:rPr>
              <w:t>K1+898</w:t>
            </w:r>
          </w:p>
        </w:tc>
        <w:tc>
          <w:tcPr>
            <w:tcW w:w="2982" w:type="dxa"/>
            <w:gridSpan w:val="3"/>
            <w:vAlign w:val="top"/>
          </w:tcPr>
          <w:p w14:paraId="5AB40A74">
            <w:pPr>
              <w:spacing w:before="32" w:line="201" w:lineRule="auto"/>
              <w:ind w:left="1337"/>
              <w:rPr>
                <w:rFonts w:ascii="仿宋" w:hAnsi="仿宋" w:eastAsia="仿宋" w:cs="仿宋"/>
                <w:sz w:val="18"/>
                <w:szCs w:val="18"/>
              </w:rPr>
            </w:pPr>
            <w:r>
              <w:rPr>
                <w:rFonts w:ascii="仿宋" w:hAnsi="仿宋" w:eastAsia="仿宋" w:cs="仿宋"/>
                <w:spacing w:val="-8"/>
                <w:sz w:val="18"/>
                <w:szCs w:val="18"/>
              </w:rPr>
              <w:t>土路</w:t>
            </w:r>
          </w:p>
        </w:tc>
        <w:tc>
          <w:tcPr>
            <w:tcW w:w="1510" w:type="dxa"/>
            <w:gridSpan w:val="2"/>
            <w:vAlign w:val="top"/>
          </w:tcPr>
          <w:p w14:paraId="106D41B4">
            <w:pPr>
              <w:pStyle w:val="6"/>
              <w:spacing w:before="48" w:line="188" w:lineRule="auto"/>
              <w:ind w:left="735"/>
            </w:pPr>
            <w:r>
              <w:t>1</w:t>
            </w:r>
          </w:p>
        </w:tc>
        <w:tc>
          <w:tcPr>
            <w:tcW w:w="1237" w:type="dxa"/>
            <w:tcBorders>
              <w:right w:val="single" w:color="000000" w:sz="6" w:space="0"/>
            </w:tcBorders>
            <w:vAlign w:val="top"/>
          </w:tcPr>
          <w:p w14:paraId="213AA02F">
            <w:pPr>
              <w:pStyle w:val="6"/>
              <w:spacing w:before="32" w:line="201" w:lineRule="auto"/>
              <w:ind w:left="421"/>
              <w:rPr>
                <w:rFonts w:ascii="仿宋" w:hAnsi="仿宋" w:eastAsia="仿宋" w:cs="仿宋"/>
              </w:rPr>
            </w:pPr>
            <w:r>
              <w:rPr>
                <w:rFonts w:ascii="仿宋" w:hAnsi="仿宋" w:eastAsia="仿宋" w:cs="仿宋"/>
                <w:spacing w:val="-10"/>
              </w:rPr>
              <w:t>右</w:t>
            </w:r>
            <w:r>
              <w:rPr>
                <w:spacing w:val="-10"/>
              </w:rPr>
              <w:t xml:space="preserve">T </w:t>
            </w:r>
            <w:r>
              <w:rPr>
                <w:rFonts w:ascii="仿宋" w:hAnsi="仿宋" w:eastAsia="仿宋" w:cs="仿宋"/>
                <w:spacing w:val="-10"/>
              </w:rPr>
              <w:t>型</w:t>
            </w:r>
          </w:p>
        </w:tc>
      </w:tr>
      <w:tr w14:paraId="6389BC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2ACE5911">
            <w:pPr>
              <w:rPr>
                <w:rFonts w:ascii="Arial"/>
                <w:sz w:val="21"/>
              </w:rPr>
            </w:pPr>
          </w:p>
        </w:tc>
        <w:tc>
          <w:tcPr>
            <w:tcW w:w="717" w:type="dxa"/>
            <w:vAlign w:val="top"/>
          </w:tcPr>
          <w:p w14:paraId="3F31AE13">
            <w:pPr>
              <w:pStyle w:val="6"/>
              <w:spacing w:before="50" w:line="188" w:lineRule="auto"/>
              <w:ind w:left="313"/>
            </w:pPr>
            <w:r>
              <w:t>4</w:t>
            </w:r>
          </w:p>
        </w:tc>
        <w:tc>
          <w:tcPr>
            <w:tcW w:w="1194" w:type="dxa"/>
            <w:gridSpan w:val="2"/>
            <w:vAlign w:val="top"/>
          </w:tcPr>
          <w:p w14:paraId="37AB9600">
            <w:pPr>
              <w:pStyle w:val="6"/>
              <w:spacing w:before="50" w:line="188" w:lineRule="auto"/>
              <w:ind w:left="302"/>
            </w:pPr>
            <w:r>
              <w:rPr>
                <w:spacing w:val="-2"/>
              </w:rPr>
              <w:t>K2+029</w:t>
            </w:r>
          </w:p>
        </w:tc>
        <w:tc>
          <w:tcPr>
            <w:tcW w:w="2982" w:type="dxa"/>
            <w:gridSpan w:val="3"/>
            <w:vAlign w:val="top"/>
          </w:tcPr>
          <w:p w14:paraId="5D1AE34E">
            <w:pPr>
              <w:spacing w:before="33" w:line="199" w:lineRule="auto"/>
              <w:ind w:left="1337"/>
              <w:rPr>
                <w:rFonts w:ascii="仿宋" w:hAnsi="仿宋" w:eastAsia="仿宋" w:cs="仿宋"/>
                <w:sz w:val="18"/>
                <w:szCs w:val="18"/>
              </w:rPr>
            </w:pPr>
            <w:r>
              <w:rPr>
                <w:rFonts w:ascii="仿宋" w:hAnsi="仿宋" w:eastAsia="仿宋" w:cs="仿宋"/>
                <w:spacing w:val="-8"/>
                <w:sz w:val="18"/>
                <w:szCs w:val="18"/>
              </w:rPr>
              <w:t>土路</w:t>
            </w:r>
          </w:p>
        </w:tc>
        <w:tc>
          <w:tcPr>
            <w:tcW w:w="1510" w:type="dxa"/>
            <w:gridSpan w:val="2"/>
            <w:vAlign w:val="top"/>
          </w:tcPr>
          <w:p w14:paraId="459FA54A">
            <w:pPr>
              <w:pStyle w:val="6"/>
              <w:spacing w:before="50" w:line="188" w:lineRule="auto"/>
              <w:ind w:left="735"/>
            </w:pPr>
            <w:r>
              <w:t>1</w:t>
            </w:r>
          </w:p>
        </w:tc>
        <w:tc>
          <w:tcPr>
            <w:tcW w:w="1237" w:type="dxa"/>
            <w:tcBorders>
              <w:right w:val="single" w:color="000000" w:sz="6" w:space="0"/>
            </w:tcBorders>
            <w:vAlign w:val="top"/>
          </w:tcPr>
          <w:p w14:paraId="305CD470">
            <w:pPr>
              <w:pStyle w:val="6"/>
              <w:spacing w:before="33" w:line="199" w:lineRule="auto"/>
              <w:ind w:left="423"/>
              <w:rPr>
                <w:rFonts w:ascii="仿宋" w:hAnsi="仿宋" w:eastAsia="仿宋" w:cs="仿宋"/>
              </w:rPr>
            </w:pPr>
            <w:r>
              <w:rPr>
                <w:rFonts w:ascii="仿宋" w:hAnsi="仿宋" w:eastAsia="仿宋" w:cs="仿宋"/>
                <w:spacing w:val="-11"/>
              </w:rPr>
              <w:t>左</w:t>
            </w:r>
            <w:r>
              <w:rPr>
                <w:spacing w:val="-11"/>
              </w:rPr>
              <w:t xml:space="preserve">T </w:t>
            </w:r>
            <w:r>
              <w:rPr>
                <w:rFonts w:ascii="仿宋" w:hAnsi="仿宋" w:eastAsia="仿宋" w:cs="仿宋"/>
                <w:spacing w:val="-11"/>
              </w:rPr>
              <w:t>型</w:t>
            </w:r>
          </w:p>
        </w:tc>
      </w:tr>
      <w:tr w14:paraId="069AB8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52EB67A7">
            <w:pPr>
              <w:rPr>
                <w:rFonts w:ascii="Arial"/>
                <w:sz w:val="21"/>
              </w:rPr>
            </w:pPr>
          </w:p>
        </w:tc>
        <w:tc>
          <w:tcPr>
            <w:tcW w:w="717" w:type="dxa"/>
            <w:vAlign w:val="top"/>
          </w:tcPr>
          <w:p w14:paraId="352F5E5D">
            <w:pPr>
              <w:pStyle w:val="6"/>
              <w:spacing w:before="52" w:line="185" w:lineRule="auto"/>
              <w:ind w:left="319"/>
            </w:pPr>
            <w:r>
              <w:t>5</w:t>
            </w:r>
          </w:p>
        </w:tc>
        <w:tc>
          <w:tcPr>
            <w:tcW w:w="1194" w:type="dxa"/>
            <w:gridSpan w:val="2"/>
            <w:vAlign w:val="top"/>
          </w:tcPr>
          <w:p w14:paraId="43BC8457">
            <w:pPr>
              <w:pStyle w:val="6"/>
              <w:spacing w:before="50" w:line="188" w:lineRule="auto"/>
              <w:ind w:left="302"/>
            </w:pPr>
            <w:r>
              <w:rPr>
                <w:spacing w:val="-2"/>
              </w:rPr>
              <w:t>K2+066</w:t>
            </w:r>
          </w:p>
        </w:tc>
        <w:tc>
          <w:tcPr>
            <w:tcW w:w="2982" w:type="dxa"/>
            <w:gridSpan w:val="3"/>
            <w:vAlign w:val="top"/>
          </w:tcPr>
          <w:p w14:paraId="574636E7">
            <w:pPr>
              <w:spacing w:before="33" w:line="200" w:lineRule="auto"/>
              <w:ind w:left="1337"/>
              <w:rPr>
                <w:rFonts w:ascii="仿宋" w:hAnsi="仿宋" w:eastAsia="仿宋" w:cs="仿宋"/>
                <w:sz w:val="18"/>
                <w:szCs w:val="18"/>
              </w:rPr>
            </w:pPr>
            <w:r>
              <w:rPr>
                <w:rFonts w:ascii="仿宋" w:hAnsi="仿宋" w:eastAsia="仿宋" w:cs="仿宋"/>
                <w:spacing w:val="-8"/>
                <w:sz w:val="18"/>
                <w:szCs w:val="18"/>
              </w:rPr>
              <w:t>土路</w:t>
            </w:r>
          </w:p>
        </w:tc>
        <w:tc>
          <w:tcPr>
            <w:tcW w:w="1510" w:type="dxa"/>
            <w:gridSpan w:val="2"/>
            <w:vAlign w:val="top"/>
          </w:tcPr>
          <w:p w14:paraId="21ABE44C">
            <w:pPr>
              <w:pStyle w:val="6"/>
              <w:spacing w:before="50" w:line="188" w:lineRule="auto"/>
              <w:ind w:left="735"/>
            </w:pPr>
            <w:r>
              <w:t>1</w:t>
            </w:r>
          </w:p>
        </w:tc>
        <w:tc>
          <w:tcPr>
            <w:tcW w:w="1237" w:type="dxa"/>
            <w:tcBorders>
              <w:right w:val="single" w:color="000000" w:sz="6" w:space="0"/>
            </w:tcBorders>
            <w:vAlign w:val="top"/>
          </w:tcPr>
          <w:p w14:paraId="148F37F0">
            <w:pPr>
              <w:pStyle w:val="6"/>
              <w:spacing w:before="33" w:line="200" w:lineRule="auto"/>
              <w:ind w:left="421"/>
              <w:rPr>
                <w:rFonts w:ascii="仿宋" w:hAnsi="仿宋" w:eastAsia="仿宋" w:cs="仿宋"/>
              </w:rPr>
            </w:pPr>
            <w:r>
              <w:rPr>
                <w:rFonts w:ascii="仿宋" w:hAnsi="仿宋" w:eastAsia="仿宋" w:cs="仿宋"/>
                <w:spacing w:val="-10"/>
              </w:rPr>
              <w:t>右</w:t>
            </w:r>
            <w:r>
              <w:rPr>
                <w:spacing w:val="-10"/>
              </w:rPr>
              <w:t xml:space="preserve">T </w:t>
            </w:r>
            <w:r>
              <w:rPr>
                <w:rFonts w:ascii="仿宋" w:hAnsi="仿宋" w:eastAsia="仿宋" w:cs="仿宋"/>
                <w:spacing w:val="-10"/>
              </w:rPr>
              <w:t>型</w:t>
            </w:r>
          </w:p>
        </w:tc>
      </w:tr>
      <w:tr w14:paraId="079E49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6ED90574">
            <w:pPr>
              <w:rPr>
                <w:rFonts w:ascii="Arial"/>
                <w:sz w:val="21"/>
              </w:rPr>
            </w:pPr>
          </w:p>
        </w:tc>
        <w:tc>
          <w:tcPr>
            <w:tcW w:w="717" w:type="dxa"/>
            <w:vAlign w:val="top"/>
          </w:tcPr>
          <w:p w14:paraId="65CD3FE0">
            <w:pPr>
              <w:pStyle w:val="6"/>
              <w:spacing w:before="51" w:line="188" w:lineRule="auto"/>
              <w:ind w:left="318"/>
            </w:pPr>
            <w:r>
              <w:t>6</w:t>
            </w:r>
          </w:p>
        </w:tc>
        <w:tc>
          <w:tcPr>
            <w:tcW w:w="1194" w:type="dxa"/>
            <w:gridSpan w:val="2"/>
            <w:vAlign w:val="top"/>
          </w:tcPr>
          <w:p w14:paraId="740097F0">
            <w:pPr>
              <w:pStyle w:val="6"/>
              <w:spacing w:before="51" w:line="188" w:lineRule="auto"/>
              <w:ind w:left="302"/>
            </w:pPr>
            <w:r>
              <w:rPr>
                <w:spacing w:val="-2"/>
              </w:rPr>
              <w:t>K3+594</w:t>
            </w:r>
          </w:p>
        </w:tc>
        <w:tc>
          <w:tcPr>
            <w:tcW w:w="2982" w:type="dxa"/>
            <w:gridSpan w:val="3"/>
            <w:vAlign w:val="top"/>
          </w:tcPr>
          <w:p w14:paraId="23C637F5">
            <w:pPr>
              <w:spacing w:before="34" w:line="199" w:lineRule="auto"/>
              <w:ind w:left="1336"/>
              <w:rPr>
                <w:rFonts w:ascii="仿宋" w:hAnsi="仿宋" w:eastAsia="仿宋" w:cs="仿宋"/>
                <w:sz w:val="18"/>
                <w:szCs w:val="18"/>
              </w:rPr>
            </w:pPr>
            <w:r>
              <w:rPr>
                <w:rFonts w:ascii="仿宋" w:hAnsi="仿宋" w:eastAsia="仿宋" w:cs="仿宋"/>
                <w:spacing w:val="-8"/>
                <w:sz w:val="18"/>
                <w:szCs w:val="18"/>
              </w:rPr>
              <w:t>土路</w:t>
            </w:r>
          </w:p>
        </w:tc>
        <w:tc>
          <w:tcPr>
            <w:tcW w:w="1510" w:type="dxa"/>
            <w:gridSpan w:val="2"/>
            <w:vAlign w:val="top"/>
          </w:tcPr>
          <w:p w14:paraId="7E41746D">
            <w:pPr>
              <w:pStyle w:val="6"/>
              <w:spacing w:before="51" w:line="188" w:lineRule="auto"/>
              <w:ind w:left="735"/>
            </w:pPr>
            <w:r>
              <w:t>1</w:t>
            </w:r>
          </w:p>
        </w:tc>
        <w:tc>
          <w:tcPr>
            <w:tcW w:w="1237" w:type="dxa"/>
            <w:tcBorders>
              <w:right w:val="single" w:color="000000" w:sz="6" w:space="0"/>
            </w:tcBorders>
            <w:vAlign w:val="top"/>
          </w:tcPr>
          <w:p w14:paraId="5E1D405D">
            <w:pPr>
              <w:pStyle w:val="6"/>
              <w:spacing w:before="34" w:line="199" w:lineRule="auto"/>
              <w:ind w:left="423"/>
              <w:rPr>
                <w:rFonts w:ascii="仿宋" w:hAnsi="仿宋" w:eastAsia="仿宋" w:cs="仿宋"/>
              </w:rPr>
            </w:pPr>
            <w:r>
              <w:rPr>
                <w:rFonts w:ascii="仿宋" w:hAnsi="仿宋" w:eastAsia="仿宋" w:cs="仿宋"/>
                <w:spacing w:val="-11"/>
              </w:rPr>
              <w:t>左</w:t>
            </w:r>
            <w:r>
              <w:rPr>
                <w:spacing w:val="-11"/>
              </w:rPr>
              <w:t xml:space="preserve">T </w:t>
            </w:r>
            <w:r>
              <w:rPr>
                <w:rFonts w:ascii="仿宋" w:hAnsi="仿宋" w:eastAsia="仿宋" w:cs="仿宋"/>
                <w:spacing w:val="-11"/>
              </w:rPr>
              <w:t>型</w:t>
            </w:r>
          </w:p>
        </w:tc>
      </w:tr>
      <w:tr w14:paraId="1763A2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17688B8E">
            <w:pPr>
              <w:rPr>
                <w:rFonts w:ascii="Arial"/>
                <w:sz w:val="21"/>
              </w:rPr>
            </w:pPr>
          </w:p>
        </w:tc>
        <w:tc>
          <w:tcPr>
            <w:tcW w:w="717" w:type="dxa"/>
            <w:vAlign w:val="top"/>
          </w:tcPr>
          <w:p w14:paraId="5AE78F9E">
            <w:pPr>
              <w:pStyle w:val="6"/>
              <w:spacing w:before="52" w:line="185" w:lineRule="auto"/>
              <w:ind w:left="317"/>
            </w:pPr>
            <w:r>
              <w:t>7</w:t>
            </w:r>
          </w:p>
        </w:tc>
        <w:tc>
          <w:tcPr>
            <w:tcW w:w="1194" w:type="dxa"/>
            <w:gridSpan w:val="2"/>
            <w:vAlign w:val="top"/>
          </w:tcPr>
          <w:p w14:paraId="73E42A68">
            <w:pPr>
              <w:pStyle w:val="6"/>
              <w:spacing w:before="50" w:line="188" w:lineRule="auto"/>
              <w:ind w:left="302"/>
            </w:pPr>
            <w:r>
              <w:rPr>
                <w:spacing w:val="-2"/>
              </w:rPr>
              <w:t>K3+917</w:t>
            </w:r>
          </w:p>
        </w:tc>
        <w:tc>
          <w:tcPr>
            <w:tcW w:w="2982" w:type="dxa"/>
            <w:gridSpan w:val="3"/>
            <w:vAlign w:val="top"/>
          </w:tcPr>
          <w:p w14:paraId="15CD0AE5">
            <w:pPr>
              <w:spacing w:before="32" w:line="200" w:lineRule="auto"/>
              <w:ind w:left="1336"/>
              <w:rPr>
                <w:rFonts w:ascii="仿宋" w:hAnsi="仿宋" w:eastAsia="仿宋" w:cs="仿宋"/>
                <w:sz w:val="18"/>
                <w:szCs w:val="18"/>
              </w:rPr>
            </w:pPr>
            <w:r>
              <w:rPr>
                <w:rFonts w:ascii="仿宋" w:hAnsi="仿宋" w:eastAsia="仿宋" w:cs="仿宋"/>
                <w:spacing w:val="-8"/>
                <w:sz w:val="18"/>
                <w:szCs w:val="18"/>
              </w:rPr>
              <w:t>土路</w:t>
            </w:r>
          </w:p>
        </w:tc>
        <w:tc>
          <w:tcPr>
            <w:tcW w:w="1510" w:type="dxa"/>
            <w:gridSpan w:val="2"/>
            <w:vAlign w:val="top"/>
          </w:tcPr>
          <w:p w14:paraId="37BC6237">
            <w:pPr>
              <w:pStyle w:val="6"/>
              <w:spacing w:before="50" w:line="188" w:lineRule="auto"/>
              <w:ind w:left="735"/>
            </w:pPr>
            <w:r>
              <w:t>1</w:t>
            </w:r>
          </w:p>
        </w:tc>
        <w:tc>
          <w:tcPr>
            <w:tcW w:w="1237" w:type="dxa"/>
            <w:tcBorders>
              <w:right w:val="single" w:color="000000" w:sz="6" w:space="0"/>
            </w:tcBorders>
            <w:vAlign w:val="top"/>
          </w:tcPr>
          <w:p w14:paraId="5395B47C">
            <w:pPr>
              <w:pStyle w:val="6"/>
              <w:spacing w:before="32" w:line="200" w:lineRule="auto"/>
              <w:ind w:left="421"/>
              <w:rPr>
                <w:rFonts w:ascii="仿宋" w:hAnsi="仿宋" w:eastAsia="仿宋" w:cs="仿宋"/>
              </w:rPr>
            </w:pPr>
            <w:r>
              <w:rPr>
                <w:rFonts w:ascii="仿宋" w:hAnsi="仿宋" w:eastAsia="仿宋" w:cs="仿宋"/>
                <w:spacing w:val="-10"/>
              </w:rPr>
              <w:t>右</w:t>
            </w:r>
            <w:r>
              <w:rPr>
                <w:spacing w:val="-10"/>
              </w:rPr>
              <w:t xml:space="preserve">T </w:t>
            </w:r>
            <w:r>
              <w:rPr>
                <w:rFonts w:ascii="仿宋" w:hAnsi="仿宋" w:eastAsia="仿宋" w:cs="仿宋"/>
                <w:spacing w:val="-10"/>
              </w:rPr>
              <w:t>型</w:t>
            </w:r>
          </w:p>
        </w:tc>
      </w:tr>
      <w:tr w14:paraId="62D9C2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161D80DC">
            <w:pPr>
              <w:rPr>
                <w:rFonts w:ascii="Arial"/>
                <w:sz w:val="21"/>
              </w:rPr>
            </w:pPr>
          </w:p>
        </w:tc>
        <w:tc>
          <w:tcPr>
            <w:tcW w:w="717" w:type="dxa"/>
            <w:vAlign w:val="top"/>
          </w:tcPr>
          <w:p w14:paraId="6A380097">
            <w:pPr>
              <w:pStyle w:val="6"/>
              <w:spacing w:before="52" w:line="188" w:lineRule="auto"/>
              <w:ind w:left="321"/>
            </w:pPr>
            <w:r>
              <w:t>8</w:t>
            </w:r>
          </w:p>
        </w:tc>
        <w:tc>
          <w:tcPr>
            <w:tcW w:w="1194" w:type="dxa"/>
            <w:gridSpan w:val="2"/>
            <w:vAlign w:val="top"/>
          </w:tcPr>
          <w:p w14:paraId="02E9C1E9">
            <w:pPr>
              <w:pStyle w:val="6"/>
              <w:spacing w:before="52" w:line="188" w:lineRule="auto"/>
              <w:ind w:left="302"/>
            </w:pPr>
            <w:r>
              <w:rPr>
                <w:spacing w:val="-2"/>
              </w:rPr>
              <w:t>K4+423</w:t>
            </w:r>
          </w:p>
        </w:tc>
        <w:tc>
          <w:tcPr>
            <w:tcW w:w="2982" w:type="dxa"/>
            <w:gridSpan w:val="3"/>
            <w:vAlign w:val="top"/>
          </w:tcPr>
          <w:p w14:paraId="19F15FC6">
            <w:pPr>
              <w:spacing w:before="34" w:line="198" w:lineRule="auto"/>
              <w:ind w:left="1243"/>
              <w:rPr>
                <w:rFonts w:ascii="仿宋" w:hAnsi="仿宋" w:eastAsia="仿宋" w:cs="仿宋"/>
                <w:sz w:val="18"/>
                <w:szCs w:val="18"/>
              </w:rPr>
            </w:pPr>
            <w:r>
              <w:rPr>
                <w:rFonts w:ascii="仿宋" w:hAnsi="仿宋" w:eastAsia="仿宋" w:cs="仿宋"/>
                <w:spacing w:val="-7"/>
                <w:sz w:val="18"/>
                <w:szCs w:val="18"/>
              </w:rPr>
              <w:t>水泥路</w:t>
            </w:r>
          </w:p>
        </w:tc>
        <w:tc>
          <w:tcPr>
            <w:tcW w:w="1510" w:type="dxa"/>
            <w:gridSpan w:val="2"/>
            <w:vAlign w:val="top"/>
          </w:tcPr>
          <w:p w14:paraId="51C269EC">
            <w:pPr>
              <w:pStyle w:val="6"/>
              <w:spacing w:before="52" w:line="188" w:lineRule="auto"/>
              <w:ind w:left="735"/>
            </w:pPr>
            <w:r>
              <w:t>1</w:t>
            </w:r>
          </w:p>
        </w:tc>
        <w:tc>
          <w:tcPr>
            <w:tcW w:w="1237" w:type="dxa"/>
            <w:tcBorders>
              <w:right w:val="single" w:color="000000" w:sz="6" w:space="0"/>
            </w:tcBorders>
            <w:vAlign w:val="top"/>
          </w:tcPr>
          <w:p w14:paraId="0341CFC4">
            <w:pPr>
              <w:spacing w:before="34" w:line="198" w:lineRule="auto"/>
              <w:ind w:left="377"/>
              <w:rPr>
                <w:rFonts w:ascii="仿宋" w:hAnsi="仿宋" w:eastAsia="仿宋" w:cs="仿宋"/>
                <w:sz w:val="18"/>
                <w:szCs w:val="18"/>
              </w:rPr>
            </w:pPr>
            <w:r>
              <w:rPr>
                <w:rFonts w:ascii="仿宋" w:hAnsi="仿宋" w:eastAsia="仿宋" w:cs="仿宋"/>
                <w:spacing w:val="-10"/>
                <w:sz w:val="18"/>
                <w:szCs w:val="18"/>
              </w:rPr>
              <w:t>丁字型</w:t>
            </w:r>
          </w:p>
        </w:tc>
      </w:tr>
      <w:tr w14:paraId="7BDD0B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00C836E4">
            <w:pPr>
              <w:rPr>
                <w:rFonts w:ascii="Arial"/>
                <w:sz w:val="21"/>
              </w:rPr>
            </w:pPr>
          </w:p>
        </w:tc>
        <w:tc>
          <w:tcPr>
            <w:tcW w:w="7640" w:type="dxa"/>
            <w:gridSpan w:val="9"/>
            <w:tcBorders>
              <w:right w:val="single" w:color="000000" w:sz="6" w:space="0"/>
            </w:tcBorders>
            <w:vAlign w:val="top"/>
          </w:tcPr>
          <w:p w14:paraId="66235FB4">
            <w:pPr>
              <w:spacing w:before="34" w:line="198" w:lineRule="auto"/>
              <w:ind w:left="2782"/>
              <w:rPr>
                <w:rFonts w:ascii="仿宋" w:hAnsi="仿宋" w:eastAsia="仿宋" w:cs="仿宋"/>
                <w:sz w:val="18"/>
                <w:szCs w:val="18"/>
              </w:rPr>
            </w:pPr>
            <w:r>
              <w:rPr>
                <w:rFonts w:ascii="仿宋" w:hAnsi="仿宋" w:eastAsia="仿宋" w:cs="仿宋"/>
                <w:spacing w:val="-7"/>
                <w:sz w:val="18"/>
                <w:szCs w:val="18"/>
              </w:rPr>
              <w:t>李家圪堵至土敖包通村公路</w:t>
            </w:r>
          </w:p>
        </w:tc>
      </w:tr>
      <w:tr w14:paraId="6D9E39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4EA1EB7B">
            <w:pPr>
              <w:rPr>
                <w:rFonts w:ascii="Arial"/>
                <w:sz w:val="21"/>
              </w:rPr>
            </w:pPr>
          </w:p>
        </w:tc>
        <w:tc>
          <w:tcPr>
            <w:tcW w:w="717" w:type="dxa"/>
            <w:vAlign w:val="top"/>
          </w:tcPr>
          <w:p w14:paraId="62FDCD94">
            <w:pPr>
              <w:pStyle w:val="6"/>
              <w:spacing w:before="50" w:line="188" w:lineRule="auto"/>
              <w:ind w:left="317"/>
            </w:pPr>
            <w:r>
              <w:t>9</w:t>
            </w:r>
          </w:p>
        </w:tc>
        <w:tc>
          <w:tcPr>
            <w:tcW w:w="1194" w:type="dxa"/>
            <w:gridSpan w:val="2"/>
            <w:vAlign w:val="top"/>
          </w:tcPr>
          <w:p w14:paraId="59388054">
            <w:pPr>
              <w:pStyle w:val="6"/>
              <w:spacing w:before="50" w:line="188" w:lineRule="auto"/>
              <w:ind w:left="302"/>
            </w:pPr>
            <w:r>
              <w:rPr>
                <w:spacing w:val="-2"/>
              </w:rPr>
              <w:t>K0+987</w:t>
            </w:r>
          </w:p>
        </w:tc>
        <w:tc>
          <w:tcPr>
            <w:tcW w:w="2982" w:type="dxa"/>
            <w:gridSpan w:val="3"/>
            <w:vAlign w:val="top"/>
          </w:tcPr>
          <w:p w14:paraId="2AD6ACA9">
            <w:pPr>
              <w:spacing w:before="33" w:line="199" w:lineRule="auto"/>
              <w:ind w:left="1336"/>
              <w:rPr>
                <w:rFonts w:ascii="仿宋" w:hAnsi="仿宋" w:eastAsia="仿宋" w:cs="仿宋"/>
                <w:sz w:val="18"/>
                <w:szCs w:val="18"/>
              </w:rPr>
            </w:pPr>
            <w:r>
              <w:rPr>
                <w:rFonts w:ascii="仿宋" w:hAnsi="仿宋" w:eastAsia="仿宋" w:cs="仿宋"/>
                <w:spacing w:val="-8"/>
                <w:sz w:val="18"/>
                <w:szCs w:val="18"/>
              </w:rPr>
              <w:t>土路</w:t>
            </w:r>
          </w:p>
        </w:tc>
        <w:tc>
          <w:tcPr>
            <w:tcW w:w="1510" w:type="dxa"/>
            <w:gridSpan w:val="2"/>
            <w:vAlign w:val="top"/>
          </w:tcPr>
          <w:p w14:paraId="78DD7AF0">
            <w:pPr>
              <w:pStyle w:val="6"/>
              <w:spacing w:before="50" w:line="188" w:lineRule="auto"/>
              <w:ind w:left="735"/>
            </w:pPr>
            <w:r>
              <w:t>1</w:t>
            </w:r>
          </w:p>
        </w:tc>
        <w:tc>
          <w:tcPr>
            <w:tcW w:w="1237" w:type="dxa"/>
            <w:tcBorders>
              <w:right w:val="single" w:color="000000" w:sz="6" w:space="0"/>
            </w:tcBorders>
            <w:vAlign w:val="top"/>
          </w:tcPr>
          <w:p w14:paraId="1D0A7C63">
            <w:pPr>
              <w:pStyle w:val="6"/>
              <w:spacing w:before="33" w:line="199" w:lineRule="auto"/>
              <w:ind w:left="421"/>
              <w:rPr>
                <w:rFonts w:ascii="仿宋" w:hAnsi="仿宋" w:eastAsia="仿宋" w:cs="仿宋"/>
              </w:rPr>
            </w:pPr>
            <w:r>
              <w:rPr>
                <w:rFonts w:ascii="仿宋" w:hAnsi="仿宋" w:eastAsia="仿宋" w:cs="仿宋"/>
                <w:spacing w:val="-10"/>
              </w:rPr>
              <w:t>右</w:t>
            </w:r>
            <w:r>
              <w:rPr>
                <w:spacing w:val="-10"/>
              </w:rPr>
              <w:t xml:space="preserve">T </w:t>
            </w:r>
            <w:r>
              <w:rPr>
                <w:rFonts w:ascii="仿宋" w:hAnsi="仿宋" w:eastAsia="仿宋" w:cs="仿宋"/>
                <w:spacing w:val="-10"/>
              </w:rPr>
              <w:t>型</w:t>
            </w:r>
          </w:p>
        </w:tc>
      </w:tr>
      <w:tr w14:paraId="6CBC2C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192BF554">
            <w:pPr>
              <w:rPr>
                <w:rFonts w:ascii="Arial"/>
                <w:sz w:val="21"/>
              </w:rPr>
            </w:pPr>
          </w:p>
        </w:tc>
        <w:tc>
          <w:tcPr>
            <w:tcW w:w="717" w:type="dxa"/>
            <w:vAlign w:val="top"/>
          </w:tcPr>
          <w:p w14:paraId="06E62329">
            <w:pPr>
              <w:pStyle w:val="6"/>
              <w:spacing w:before="52" w:line="188" w:lineRule="auto"/>
              <w:ind w:left="286"/>
            </w:pPr>
            <w:r>
              <w:rPr>
                <w:spacing w:val="-11"/>
              </w:rPr>
              <w:t>10</w:t>
            </w:r>
          </w:p>
        </w:tc>
        <w:tc>
          <w:tcPr>
            <w:tcW w:w="1194" w:type="dxa"/>
            <w:gridSpan w:val="2"/>
            <w:vAlign w:val="top"/>
          </w:tcPr>
          <w:p w14:paraId="228E4AF2">
            <w:pPr>
              <w:pStyle w:val="6"/>
              <w:spacing w:before="52" w:line="188" w:lineRule="auto"/>
              <w:ind w:left="302"/>
            </w:pPr>
            <w:r>
              <w:rPr>
                <w:spacing w:val="-2"/>
              </w:rPr>
              <w:t>K0+390</w:t>
            </w:r>
          </w:p>
        </w:tc>
        <w:tc>
          <w:tcPr>
            <w:tcW w:w="2982" w:type="dxa"/>
            <w:gridSpan w:val="3"/>
            <w:vAlign w:val="top"/>
          </w:tcPr>
          <w:p w14:paraId="165BE3DB">
            <w:pPr>
              <w:spacing w:before="35" w:line="197" w:lineRule="auto"/>
              <w:ind w:left="1336"/>
              <w:rPr>
                <w:rFonts w:ascii="仿宋" w:hAnsi="仿宋" w:eastAsia="仿宋" w:cs="仿宋"/>
                <w:sz w:val="18"/>
                <w:szCs w:val="18"/>
              </w:rPr>
            </w:pPr>
            <w:r>
              <w:rPr>
                <w:rFonts w:ascii="仿宋" w:hAnsi="仿宋" w:eastAsia="仿宋" w:cs="仿宋"/>
                <w:spacing w:val="-8"/>
                <w:sz w:val="18"/>
                <w:szCs w:val="18"/>
              </w:rPr>
              <w:t>土路</w:t>
            </w:r>
          </w:p>
        </w:tc>
        <w:tc>
          <w:tcPr>
            <w:tcW w:w="1510" w:type="dxa"/>
            <w:gridSpan w:val="2"/>
            <w:vAlign w:val="top"/>
          </w:tcPr>
          <w:p w14:paraId="1353055F">
            <w:pPr>
              <w:pStyle w:val="6"/>
              <w:spacing w:before="52" w:line="188" w:lineRule="auto"/>
              <w:ind w:left="735"/>
            </w:pPr>
            <w:r>
              <w:t>1</w:t>
            </w:r>
          </w:p>
        </w:tc>
        <w:tc>
          <w:tcPr>
            <w:tcW w:w="1237" w:type="dxa"/>
            <w:tcBorders>
              <w:right w:val="single" w:color="000000" w:sz="6" w:space="0"/>
            </w:tcBorders>
            <w:vAlign w:val="top"/>
          </w:tcPr>
          <w:p w14:paraId="2469C134">
            <w:pPr>
              <w:pStyle w:val="6"/>
              <w:spacing w:before="35" w:line="197" w:lineRule="auto"/>
              <w:ind w:left="423"/>
              <w:rPr>
                <w:rFonts w:ascii="仿宋" w:hAnsi="仿宋" w:eastAsia="仿宋" w:cs="仿宋"/>
              </w:rPr>
            </w:pPr>
            <w:r>
              <w:rPr>
                <w:rFonts w:ascii="仿宋" w:hAnsi="仿宋" w:eastAsia="仿宋" w:cs="仿宋"/>
                <w:spacing w:val="-11"/>
              </w:rPr>
              <w:t>左</w:t>
            </w:r>
            <w:r>
              <w:rPr>
                <w:spacing w:val="-11"/>
              </w:rPr>
              <w:t xml:space="preserve">T </w:t>
            </w:r>
            <w:r>
              <w:rPr>
                <w:rFonts w:ascii="仿宋" w:hAnsi="仿宋" w:eastAsia="仿宋" w:cs="仿宋"/>
                <w:spacing w:val="-11"/>
              </w:rPr>
              <w:t>型</w:t>
            </w:r>
          </w:p>
        </w:tc>
      </w:tr>
      <w:tr w14:paraId="54A6ED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58F009C9">
            <w:pPr>
              <w:rPr>
                <w:rFonts w:ascii="Arial"/>
                <w:sz w:val="21"/>
              </w:rPr>
            </w:pPr>
          </w:p>
        </w:tc>
        <w:tc>
          <w:tcPr>
            <w:tcW w:w="717" w:type="dxa"/>
            <w:vAlign w:val="top"/>
          </w:tcPr>
          <w:p w14:paraId="76C5BD7A">
            <w:pPr>
              <w:pStyle w:val="6"/>
              <w:spacing w:before="52" w:line="188" w:lineRule="auto"/>
              <w:ind w:left="288"/>
            </w:pPr>
            <w:r>
              <w:rPr>
                <w:spacing w:val="-11"/>
              </w:rPr>
              <w:t>11</w:t>
            </w:r>
          </w:p>
        </w:tc>
        <w:tc>
          <w:tcPr>
            <w:tcW w:w="1194" w:type="dxa"/>
            <w:gridSpan w:val="2"/>
            <w:vAlign w:val="top"/>
          </w:tcPr>
          <w:p w14:paraId="0316143C">
            <w:pPr>
              <w:pStyle w:val="6"/>
              <w:spacing w:before="52" w:line="188" w:lineRule="auto"/>
              <w:ind w:left="302"/>
            </w:pPr>
            <w:r>
              <w:rPr>
                <w:spacing w:val="-2"/>
              </w:rPr>
              <w:t>K0+042</w:t>
            </w:r>
          </w:p>
        </w:tc>
        <w:tc>
          <w:tcPr>
            <w:tcW w:w="2982" w:type="dxa"/>
            <w:gridSpan w:val="3"/>
            <w:vAlign w:val="top"/>
          </w:tcPr>
          <w:p w14:paraId="37DF812A">
            <w:pPr>
              <w:spacing w:before="34" w:line="198" w:lineRule="auto"/>
              <w:ind w:left="1336"/>
              <w:rPr>
                <w:rFonts w:ascii="仿宋" w:hAnsi="仿宋" w:eastAsia="仿宋" w:cs="仿宋"/>
                <w:sz w:val="18"/>
                <w:szCs w:val="18"/>
              </w:rPr>
            </w:pPr>
            <w:r>
              <w:rPr>
                <w:rFonts w:ascii="仿宋" w:hAnsi="仿宋" w:eastAsia="仿宋" w:cs="仿宋"/>
                <w:spacing w:val="-8"/>
                <w:sz w:val="18"/>
                <w:szCs w:val="18"/>
              </w:rPr>
              <w:t>土路</w:t>
            </w:r>
          </w:p>
        </w:tc>
        <w:tc>
          <w:tcPr>
            <w:tcW w:w="1510" w:type="dxa"/>
            <w:gridSpan w:val="2"/>
            <w:vAlign w:val="top"/>
          </w:tcPr>
          <w:p w14:paraId="74F54D46">
            <w:pPr>
              <w:pStyle w:val="6"/>
              <w:spacing w:before="52" w:line="188" w:lineRule="auto"/>
              <w:ind w:left="735"/>
            </w:pPr>
            <w:r>
              <w:t>1</w:t>
            </w:r>
          </w:p>
        </w:tc>
        <w:tc>
          <w:tcPr>
            <w:tcW w:w="1237" w:type="dxa"/>
            <w:tcBorders>
              <w:right w:val="single" w:color="000000" w:sz="6" w:space="0"/>
            </w:tcBorders>
            <w:vAlign w:val="top"/>
          </w:tcPr>
          <w:p w14:paraId="1CF943E5">
            <w:pPr>
              <w:pStyle w:val="6"/>
              <w:spacing w:before="34" w:line="198" w:lineRule="auto"/>
              <w:ind w:left="421"/>
              <w:rPr>
                <w:rFonts w:ascii="仿宋" w:hAnsi="仿宋" w:eastAsia="仿宋" w:cs="仿宋"/>
              </w:rPr>
            </w:pPr>
            <w:r>
              <w:rPr>
                <w:rFonts w:ascii="仿宋" w:hAnsi="仿宋" w:eastAsia="仿宋" w:cs="仿宋"/>
                <w:spacing w:val="-10"/>
              </w:rPr>
              <w:t>右</w:t>
            </w:r>
            <w:r>
              <w:rPr>
                <w:spacing w:val="-10"/>
              </w:rPr>
              <w:t xml:space="preserve">T </w:t>
            </w:r>
            <w:r>
              <w:rPr>
                <w:rFonts w:ascii="仿宋" w:hAnsi="仿宋" w:eastAsia="仿宋" w:cs="仿宋"/>
                <w:spacing w:val="-10"/>
              </w:rPr>
              <w:t>型</w:t>
            </w:r>
          </w:p>
        </w:tc>
      </w:tr>
      <w:tr w14:paraId="685647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4A824AE5">
            <w:pPr>
              <w:rPr>
                <w:rFonts w:ascii="Arial"/>
                <w:sz w:val="21"/>
              </w:rPr>
            </w:pPr>
          </w:p>
        </w:tc>
        <w:tc>
          <w:tcPr>
            <w:tcW w:w="717" w:type="dxa"/>
            <w:vAlign w:val="top"/>
          </w:tcPr>
          <w:p w14:paraId="71557625">
            <w:pPr>
              <w:pStyle w:val="6"/>
              <w:spacing w:before="53" w:line="188" w:lineRule="auto"/>
              <w:ind w:left="286"/>
            </w:pPr>
            <w:r>
              <w:rPr>
                <w:spacing w:val="-11"/>
              </w:rPr>
              <w:t>12</w:t>
            </w:r>
          </w:p>
        </w:tc>
        <w:tc>
          <w:tcPr>
            <w:tcW w:w="1194" w:type="dxa"/>
            <w:gridSpan w:val="2"/>
            <w:vAlign w:val="top"/>
          </w:tcPr>
          <w:p w14:paraId="43B138BB">
            <w:pPr>
              <w:pStyle w:val="6"/>
              <w:spacing w:before="53" w:line="188" w:lineRule="auto"/>
              <w:ind w:left="302"/>
            </w:pPr>
            <w:r>
              <w:rPr>
                <w:spacing w:val="-2"/>
              </w:rPr>
              <w:t>K0+370</w:t>
            </w:r>
          </w:p>
        </w:tc>
        <w:tc>
          <w:tcPr>
            <w:tcW w:w="2982" w:type="dxa"/>
            <w:gridSpan w:val="3"/>
            <w:vAlign w:val="top"/>
          </w:tcPr>
          <w:p w14:paraId="6EFB46DA">
            <w:pPr>
              <w:spacing w:before="36" w:line="196" w:lineRule="auto"/>
              <w:ind w:left="1336"/>
              <w:rPr>
                <w:rFonts w:ascii="仿宋" w:hAnsi="仿宋" w:eastAsia="仿宋" w:cs="仿宋"/>
                <w:sz w:val="18"/>
                <w:szCs w:val="18"/>
              </w:rPr>
            </w:pPr>
            <w:r>
              <w:rPr>
                <w:rFonts w:ascii="仿宋" w:hAnsi="仿宋" w:eastAsia="仿宋" w:cs="仿宋"/>
                <w:spacing w:val="-8"/>
                <w:sz w:val="18"/>
                <w:szCs w:val="18"/>
              </w:rPr>
              <w:t>土路</w:t>
            </w:r>
          </w:p>
        </w:tc>
        <w:tc>
          <w:tcPr>
            <w:tcW w:w="1510" w:type="dxa"/>
            <w:gridSpan w:val="2"/>
            <w:vAlign w:val="top"/>
          </w:tcPr>
          <w:p w14:paraId="195293A1">
            <w:pPr>
              <w:pStyle w:val="6"/>
              <w:spacing w:before="53" w:line="188" w:lineRule="auto"/>
              <w:ind w:left="735"/>
            </w:pPr>
            <w:r>
              <w:t>1</w:t>
            </w:r>
          </w:p>
        </w:tc>
        <w:tc>
          <w:tcPr>
            <w:tcW w:w="1237" w:type="dxa"/>
            <w:tcBorders>
              <w:right w:val="single" w:color="000000" w:sz="6" w:space="0"/>
            </w:tcBorders>
            <w:vAlign w:val="top"/>
          </w:tcPr>
          <w:p w14:paraId="61BEAAD6">
            <w:pPr>
              <w:pStyle w:val="6"/>
              <w:spacing w:before="36" w:line="196" w:lineRule="auto"/>
              <w:ind w:left="423"/>
              <w:rPr>
                <w:rFonts w:ascii="仿宋" w:hAnsi="仿宋" w:eastAsia="仿宋" w:cs="仿宋"/>
              </w:rPr>
            </w:pPr>
            <w:r>
              <w:rPr>
                <w:rFonts w:ascii="仿宋" w:hAnsi="仿宋" w:eastAsia="仿宋" w:cs="仿宋"/>
                <w:spacing w:val="-11"/>
              </w:rPr>
              <w:t>左</w:t>
            </w:r>
            <w:r>
              <w:rPr>
                <w:spacing w:val="-11"/>
              </w:rPr>
              <w:t xml:space="preserve">T </w:t>
            </w:r>
            <w:r>
              <w:rPr>
                <w:rFonts w:ascii="仿宋" w:hAnsi="仿宋" w:eastAsia="仿宋" w:cs="仿宋"/>
                <w:spacing w:val="-11"/>
              </w:rPr>
              <w:t>型</w:t>
            </w:r>
          </w:p>
        </w:tc>
      </w:tr>
      <w:tr w14:paraId="4ED7E7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1B368A70">
            <w:pPr>
              <w:rPr>
                <w:rFonts w:ascii="Arial"/>
                <w:sz w:val="21"/>
              </w:rPr>
            </w:pPr>
          </w:p>
        </w:tc>
        <w:tc>
          <w:tcPr>
            <w:tcW w:w="717" w:type="dxa"/>
            <w:vAlign w:val="top"/>
          </w:tcPr>
          <w:p w14:paraId="69B3D143">
            <w:pPr>
              <w:pStyle w:val="6"/>
              <w:spacing w:before="53" w:line="188" w:lineRule="auto"/>
              <w:ind w:left="286"/>
            </w:pPr>
            <w:r>
              <w:rPr>
                <w:spacing w:val="-11"/>
              </w:rPr>
              <w:t>13</w:t>
            </w:r>
          </w:p>
        </w:tc>
        <w:tc>
          <w:tcPr>
            <w:tcW w:w="1194" w:type="dxa"/>
            <w:gridSpan w:val="2"/>
            <w:vAlign w:val="top"/>
          </w:tcPr>
          <w:p w14:paraId="57AE74E8">
            <w:pPr>
              <w:pStyle w:val="6"/>
              <w:spacing w:before="53" w:line="188" w:lineRule="auto"/>
              <w:ind w:left="302"/>
            </w:pPr>
            <w:r>
              <w:rPr>
                <w:spacing w:val="-2"/>
              </w:rPr>
              <w:t>K0+461</w:t>
            </w:r>
          </w:p>
        </w:tc>
        <w:tc>
          <w:tcPr>
            <w:tcW w:w="2982" w:type="dxa"/>
            <w:gridSpan w:val="3"/>
            <w:vAlign w:val="top"/>
          </w:tcPr>
          <w:p w14:paraId="5312A4DD">
            <w:pPr>
              <w:spacing w:before="35" w:line="197" w:lineRule="auto"/>
              <w:ind w:left="1336"/>
              <w:rPr>
                <w:rFonts w:ascii="仿宋" w:hAnsi="仿宋" w:eastAsia="仿宋" w:cs="仿宋"/>
                <w:sz w:val="18"/>
                <w:szCs w:val="18"/>
              </w:rPr>
            </w:pPr>
            <w:r>
              <w:rPr>
                <w:rFonts w:ascii="仿宋" w:hAnsi="仿宋" w:eastAsia="仿宋" w:cs="仿宋"/>
                <w:spacing w:val="-8"/>
                <w:sz w:val="18"/>
                <w:szCs w:val="18"/>
              </w:rPr>
              <w:t>土路</w:t>
            </w:r>
          </w:p>
        </w:tc>
        <w:tc>
          <w:tcPr>
            <w:tcW w:w="1510" w:type="dxa"/>
            <w:gridSpan w:val="2"/>
            <w:vAlign w:val="top"/>
          </w:tcPr>
          <w:p w14:paraId="75B63E10">
            <w:pPr>
              <w:pStyle w:val="6"/>
              <w:spacing w:before="53" w:line="188" w:lineRule="auto"/>
              <w:ind w:left="735"/>
            </w:pPr>
            <w:r>
              <w:t>1</w:t>
            </w:r>
          </w:p>
        </w:tc>
        <w:tc>
          <w:tcPr>
            <w:tcW w:w="1237" w:type="dxa"/>
            <w:tcBorders>
              <w:right w:val="single" w:color="000000" w:sz="6" w:space="0"/>
            </w:tcBorders>
            <w:vAlign w:val="top"/>
          </w:tcPr>
          <w:p w14:paraId="3B694158">
            <w:pPr>
              <w:pStyle w:val="6"/>
              <w:spacing w:before="35" w:line="197" w:lineRule="auto"/>
              <w:ind w:left="421"/>
              <w:rPr>
                <w:rFonts w:ascii="仿宋" w:hAnsi="仿宋" w:eastAsia="仿宋" w:cs="仿宋"/>
              </w:rPr>
            </w:pPr>
            <w:r>
              <w:rPr>
                <w:rFonts w:ascii="仿宋" w:hAnsi="仿宋" w:eastAsia="仿宋" w:cs="仿宋"/>
                <w:spacing w:val="-10"/>
              </w:rPr>
              <w:t>右</w:t>
            </w:r>
            <w:r>
              <w:rPr>
                <w:spacing w:val="-10"/>
              </w:rPr>
              <w:t xml:space="preserve">T </w:t>
            </w:r>
            <w:r>
              <w:rPr>
                <w:rFonts w:ascii="仿宋" w:hAnsi="仿宋" w:eastAsia="仿宋" w:cs="仿宋"/>
                <w:spacing w:val="-10"/>
              </w:rPr>
              <w:t>型</w:t>
            </w:r>
          </w:p>
        </w:tc>
      </w:tr>
      <w:tr w14:paraId="55C151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72505D13">
            <w:pPr>
              <w:rPr>
                <w:rFonts w:ascii="Arial"/>
                <w:sz w:val="21"/>
              </w:rPr>
            </w:pPr>
          </w:p>
        </w:tc>
        <w:tc>
          <w:tcPr>
            <w:tcW w:w="717" w:type="dxa"/>
            <w:vAlign w:val="top"/>
          </w:tcPr>
          <w:p w14:paraId="3E1BA9C0">
            <w:pPr>
              <w:pStyle w:val="6"/>
              <w:spacing w:before="55" w:line="188" w:lineRule="auto"/>
              <w:ind w:left="286"/>
            </w:pPr>
            <w:r>
              <w:rPr>
                <w:spacing w:val="-11"/>
              </w:rPr>
              <w:t>14</w:t>
            </w:r>
          </w:p>
        </w:tc>
        <w:tc>
          <w:tcPr>
            <w:tcW w:w="1194" w:type="dxa"/>
            <w:gridSpan w:val="2"/>
            <w:vAlign w:val="top"/>
          </w:tcPr>
          <w:p w14:paraId="5D750035">
            <w:pPr>
              <w:pStyle w:val="6"/>
              <w:spacing w:before="55" w:line="188" w:lineRule="auto"/>
              <w:ind w:left="302"/>
            </w:pPr>
            <w:r>
              <w:rPr>
                <w:spacing w:val="-2"/>
              </w:rPr>
              <w:t>K0+760</w:t>
            </w:r>
          </w:p>
        </w:tc>
        <w:tc>
          <w:tcPr>
            <w:tcW w:w="2982" w:type="dxa"/>
            <w:gridSpan w:val="3"/>
            <w:vAlign w:val="top"/>
          </w:tcPr>
          <w:p w14:paraId="08C901A5">
            <w:pPr>
              <w:spacing w:before="37" w:line="195" w:lineRule="auto"/>
              <w:ind w:left="1336"/>
              <w:rPr>
                <w:rFonts w:ascii="仿宋" w:hAnsi="仿宋" w:eastAsia="仿宋" w:cs="仿宋"/>
                <w:sz w:val="18"/>
                <w:szCs w:val="18"/>
              </w:rPr>
            </w:pPr>
            <w:r>
              <w:rPr>
                <w:rFonts w:ascii="仿宋" w:hAnsi="仿宋" w:eastAsia="仿宋" w:cs="仿宋"/>
                <w:spacing w:val="-8"/>
                <w:sz w:val="18"/>
                <w:szCs w:val="18"/>
              </w:rPr>
              <w:t>土路</w:t>
            </w:r>
          </w:p>
        </w:tc>
        <w:tc>
          <w:tcPr>
            <w:tcW w:w="1510" w:type="dxa"/>
            <w:gridSpan w:val="2"/>
            <w:vAlign w:val="top"/>
          </w:tcPr>
          <w:p w14:paraId="7D23964B">
            <w:pPr>
              <w:pStyle w:val="6"/>
              <w:spacing w:before="55" w:line="188" w:lineRule="auto"/>
              <w:ind w:left="735"/>
            </w:pPr>
            <w:r>
              <w:t>1</w:t>
            </w:r>
          </w:p>
        </w:tc>
        <w:tc>
          <w:tcPr>
            <w:tcW w:w="1237" w:type="dxa"/>
            <w:tcBorders>
              <w:right w:val="single" w:color="000000" w:sz="6" w:space="0"/>
            </w:tcBorders>
            <w:vAlign w:val="top"/>
          </w:tcPr>
          <w:p w14:paraId="7D5E2F9B">
            <w:pPr>
              <w:pStyle w:val="6"/>
              <w:spacing w:before="37" w:line="195" w:lineRule="auto"/>
              <w:ind w:left="421"/>
              <w:rPr>
                <w:rFonts w:ascii="仿宋" w:hAnsi="仿宋" w:eastAsia="仿宋" w:cs="仿宋"/>
              </w:rPr>
            </w:pPr>
            <w:r>
              <w:rPr>
                <w:rFonts w:ascii="仿宋" w:hAnsi="仿宋" w:eastAsia="仿宋" w:cs="仿宋"/>
                <w:spacing w:val="-10"/>
              </w:rPr>
              <w:t>右</w:t>
            </w:r>
            <w:r>
              <w:rPr>
                <w:spacing w:val="-10"/>
              </w:rPr>
              <w:t xml:space="preserve">T </w:t>
            </w:r>
            <w:r>
              <w:rPr>
                <w:rFonts w:ascii="仿宋" w:hAnsi="仿宋" w:eastAsia="仿宋" w:cs="仿宋"/>
                <w:spacing w:val="-10"/>
              </w:rPr>
              <w:t>型</w:t>
            </w:r>
          </w:p>
        </w:tc>
      </w:tr>
      <w:tr w14:paraId="451600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1CD6603D">
            <w:pPr>
              <w:rPr>
                <w:rFonts w:ascii="Arial"/>
                <w:sz w:val="21"/>
              </w:rPr>
            </w:pPr>
          </w:p>
        </w:tc>
        <w:tc>
          <w:tcPr>
            <w:tcW w:w="717" w:type="dxa"/>
            <w:vAlign w:val="top"/>
          </w:tcPr>
          <w:p w14:paraId="34768073">
            <w:pPr>
              <w:pStyle w:val="6"/>
              <w:spacing w:before="54" w:line="188" w:lineRule="auto"/>
              <w:ind w:left="286"/>
            </w:pPr>
            <w:r>
              <w:rPr>
                <w:spacing w:val="-11"/>
              </w:rPr>
              <w:t>15</w:t>
            </w:r>
          </w:p>
        </w:tc>
        <w:tc>
          <w:tcPr>
            <w:tcW w:w="1194" w:type="dxa"/>
            <w:gridSpan w:val="2"/>
            <w:vAlign w:val="top"/>
          </w:tcPr>
          <w:p w14:paraId="656F9880">
            <w:pPr>
              <w:pStyle w:val="6"/>
              <w:spacing w:before="54" w:line="188" w:lineRule="auto"/>
              <w:ind w:left="302"/>
            </w:pPr>
            <w:r>
              <w:rPr>
                <w:spacing w:val="-2"/>
              </w:rPr>
              <w:t>K0+981</w:t>
            </w:r>
          </w:p>
        </w:tc>
        <w:tc>
          <w:tcPr>
            <w:tcW w:w="2982" w:type="dxa"/>
            <w:gridSpan w:val="3"/>
            <w:vAlign w:val="top"/>
          </w:tcPr>
          <w:p w14:paraId="21ABC2D2">
            <w:pPr>
              <w:spacing w:before="37" w:line="195" w:lineRule="auto"/>
              <w:ind w:left="1243"/>
              <w:rPr>
                <w:rFonts w:ascii="仿宋" w:hAnsi="仿宋" w:eastAsia="仿宋" w:cs="仿宋"/>
                <w:sz w:val="18"/>
                <w:szCs w:val="18"/>
              </w:rPr>
            </w:pPr>
            <w:r>
              <w:rPr>
                <w:rFonts w:ascii="仿宋" w:hAnsi="仿宋" w:eastAsia="仿宋" w:cs="仿宋"/>
                <w:spacing w:val="-7"/>
                <w:sz w:val="18"/>
                <w:szCs w:val="18"/>
              </w:rPr>
              <w:t>水泥路</w:t>
            </w:r>
          </w:p>
        </w:tc>
        <w:tc>
          <w:tcPr>
            <w:tcW w:w="1510" w:type="dxa"/>
            <w:gridSpan w:val="2"/>
            <w:vAlign w:val="top"/>
          </w:tcPr>
          <w:p w14:paraId="19E4AE16">
            <w:pPr>
              <w:pStyle w:val="6"/>
              <w:spacing w:before="54" w:line="188" w:lineRule="auto"/>
              <w:ind w:left="735"/>
            </w:pPr>
            <w:r>
              <w:t>1</w:t>
            </w:r>
          </w:p>
        </w:tc>
        <w:tc>
          <w:tcPr>
            <w:tcW w:w="1237" w:type="dxa"/>
            <w:tcBorders>
              <w:right w:val="single" w:color="000000" w:sz="6" w:space="0"/>
            </w:tcBorders>
            <w:vAlign w:val="top"/>
          </w:tcPr>
          <w:p w14:paraId="1B48AD1C">
            <w:pPr>
              <w:spacing w:before="37" w:line="195" w:lineRule="auto"/>
              <w:ind w:left="377"/>
              <w:rPr>
                <w:rFonts w:ascii="仿宋" w:hAnsi="仿宋" w:eastAsia="仿宋" w:cs="仿宋"/>
                <w:sz w:val="18"/>
                <w:szCs w:val="18"/>
              </w:rPr>
            </w:pPr>
            <w:r>
              <w:rPr>
                <w:rFonts w:ascii="仿宋" w:hAnsi="仿宋" w:eastAsia="仿宋" w:cs="仿宋"/>
                <w:spacing w:val="-10"/>
                <w:sz w:val="18"/>
                <w:szCs w:val="18"/>
              </w:rPr>
              <w:t>丁字型</w:t>
            </w:r>
          </w:p>
        </w:tc>
      </w:tr>
      <w:tr w14:paraId="09FC42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2CB8AA7D">
            <w:pPr>
              <w:rPr>
                <w:rFonts w:ascii="Arial"/>
                <w:sz w:val="21"/>
              </w:rPr>
            </w:pPr>
          </w:p>
        </w:tc>
        <w:tc>
          <w:tcPr>
            <w:tcW w:w="7640" w:type="dxa"/>
            <w:gridSpan w:val="9"/>
            <w:tcBorders>
              <w:right w:val="single" w:color="000000" w:sz="6" w:space="0"/>
            </w:tcBorders>
            <w:vAlign w:val="top"/>
          </w:tcPr>
          <w:p w14:paraId="7AABD27F">
            <w:pPr>
              <w:spacing w:before="39" w:line="193" w:lineRule="auto"/>
              <w:ind w:left="2525"/>
              <w:rPr>
                <w:rFonts w:ascii="仿宋" w:hAnsi="仿宋" w:eastAsia="仿宋" w:cs="仿宋"/>
                <w:sz w:val="18"/>
                <w:szCs w:val="18"/>
              </w:rPr>
            </w:pPr>
            <w:r>
              <w:rPr>
                <w:rFonts w:ascii="仿宋" w:hAnsi="仿宋" w:eastAsia="仿宋" w:cs="仿宋"/>
                <w:spacing w:val="-7"/>
                <w:sz w:val="18"/>
                <w:szCs w:val="18"/>
              </w:rPr>
              <w:t>乌拉素村二道壕大坝东至秦家塔社</w:t>
            </w:r>
          </w:p>
        </w:tc>
      </w:tr>
      <w:tr w14:paraId="193A55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2F107B4A">
            <w:pPr>
              <w:rPr>
                <w:rFonts w:ascii="Arial"/>
                <w:sz w:val="21"/>
              </w:rPr>
            </w:pPr>
          </w:p>
        </w:tc>
        <w:tc>
          <w:tcPr>
            <w:tcW w:w="717" w:type="dxa"/>
            <w:vAlign w:val="top"/>
          </w:tcPr>
          <w:p w14:paraId="35CA5646">
            <w:pPr>
              <w:pStyle w:val="6"/>
              <w:spacing w:before="55" w:line="188" w:lineRule="auto"/>
              <w:ind w:left="286"/>
            </w:pPr>
            <w:r>
              <w:rPr>
                <w:spacing w:val="-11"/>
              </w:rPr>
              <w:t>16</w:t>
            </w:r>
          </w:p>
        </w:tc>
        <w:tc>
          <w:tcPr>
            <w:tcW w:w="1194" w:type="dxa"/>
            <w:gridSpan w:val="2"/>
            <w:vAlign w:val="top"/>
          </w:tcPr>
          <w:p w14:paraId="2DD82278">
            <w:pPr>
              <w:pStyle w:val="6"/>
              <w:spacing w:before="55" w:line="188" w:lineRule="auto"/>
              <w:ind w:left="302"/>
            </w:pPr>
            <w:r>
              <w:rPr>
                <w:spacing w:val="-2"/>
              </w:rPr>
              <w:t>K0+090</w:t>
            </w:r>
          </w:p>
        </w:tc>
        <w:tc>
          <w:tcPr>
            <w:tcW w:w="2982" w:type="dxa"/>
            <w:gridSpan w:val="3"/>
            <w:vAlign w:val="top"/>
          </w:tcPr>
          <w:p w14:paraId="37AEC8FC">
            <w:pPr>
              <w:spacing w:before="38" w:line="194" w:lineRule="auto"/>
              <w:ind w:left="1336"/>
              <w:rPr>
                <w:rFonts w:ascii="仿宋" w:hAnsi="仿宋" w:eastAsia="仿宋" w:cs="仿宋"/>
                <w:sz w:val="18"/>
                <w:szCs w:val="18"/>
              </w:rPr>
            </w:pPr>
            <w:r>
              <w:rPr>
                <w:rFonts w:ascii="仿宋" w:hAnsi="仿宋" w:eastAsia="仿宋" w:cs="仿宋"/>
                <w:spacing w:val="-8"/>
                <w:sz w:val="18"/>
                <w:szCs w:val="18"/>
              </w:rPr>
              <w:t>土路</w:t>
            </w:r>
          </w:p>
        </w:tc>
        <w:tc>
          <w:tcPr>
            <w:tcW w:w="1510" w:type="dxa"/>
            <w:gridSpan w:val="2"/>
            <w:vAlign w:val="top"/>
          </w:tcPr>
          <w:p w14:paraId="2C7DC26A">
            <w:pPr>
              <w:pStyle w:val="6"/>
              <w:spacing w:before="55" w:line="188" w:lineRule="auto"/>
              <w:ind w:left="735"/>
            </w:pPr>
            <w:r>
              <w:t>1</w:t>
            </w:r>
          </w:p>
        </w:tc>
        <w:tc>
          <w:tcPr>
            <w:tcW w:w="1237" w:type="dxa"/>
            <w:tcBorders>
              <w:right w:val="single" w:color="000000" w:sz="6" w:space="0"/>
            </w:tcBorders>
            <w:vAlign w:val="top"/>
          </w:tcPr>
          <w:p w14:paraId="305242B3">
            <w:pPr>
              <w:pStyle w:val="6"/>
              <w:spacing w:before="38" w:line="194" w:lineRule="auto"/>
              <w:ind w:left="421"/>
              <w:rPr>
                <w:rFonts w:ascii="仿宋" w:hAnsi="仿宋" w:eastAsia="仿宋" w:cs="仿宋"/>
              </w:rPr>
            </w:pPr>
            <w:r>
              <w:rPr>
                <w:rFonts w:ascii="仿宋" w:hAnsi="仿宋" w:eastAsia="仿宋" w:cs="仿宋"/>
                <w:spacing w:val="-10"/>
              </w:rPr>
              <w:t>右</w:t>
            </w:r>
            <w:r>
              <w:rPr>
                <w:spacing w:val="-10"/>
              </w:rPr>
              <w:t xml:space="preserve">T </w:t>
            </w:r>
            <w:r>
              <w:rPr>
                <w:rFonts w:ascii="仿宋" w:hAnsi="仿宋" w:eastAsia="仿宋" w:cs="仿宋"/>
                <w:spacing w:val="-10"/>
              </w:rPr>
              <w:t>型</w:t>
            </w:r>
          </w:p>
        </w:tc>
      </w:tr>
      <w:tr w14:paraId="4BC7DE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62C2D319">
            <w:pPr>
              <w:rPr>
                <w:rFonts w:ascii="Arial"/>
                <w:sz w:val="21"/>
              </w:rPr>
            </w:pPr>
          </w:p>
        </w:tc>
        <w:tc>
          <w:tcPr>
            <w:tcW w:w="717" w:type="dxa"/>
            <w:vAlign w:val="top"/>
          </w:tcPr>
          <w:p w14:paraId="3DC4401D">
            <w:pPr>
              <w:pStyle w:val="6"/>
              <w:spacing w:before="55" w:line="188" w:lineRule="auto"/>
              <w:ind w:left="286"/>
            </w:pPr>
            <w:r>
              <w:rPr>
                <w:spacing w:val="-11"/>
              </w:rPr>
              <w:t>17</w:t>
            </w:r>
          </w:p>
        </w:tc>
        <w:tc>
          <w:tcPr>
            <w:tcW w:w="1194" w:type="dxa"/>
            <w:gridSpan w:val="2"/>
            <w:vAlign w:val="top"/>
          </w:tcPr>
          <w:p w14:paraId="7F8D237A">
            <w:pPr>
              <w:pStyle w:val="6"/>
              <w:spacing w:before="55" w:line="188" w:lineRule="auto"/>
              <w:ind w:left="302"/>
            </w:pPr>
            <w:r>
              <w:rPr>
                <w:spacing w:val="-2"/>
              </w:rPr>
              <w:t>K1+090</w:t>
            </w:r>
          </w:p>
        </w:tc>
        <w:tc>
          <w:tcPr>
            <w:tcW w:w="2982" w:type="dxa"/>
            <w:gridSpan w:val="3"/>
            <w:vAlign w:val="top"/>
          </w:tcPr>
          <w:p w14:paraId="25E2640C">
            <w:pPr>
              <w:spacing w:before="37" w:line="195" w:lineRule="auto"/>
              <w:ind w:left="1336"/>
              <w:rPr>
                <w:rFonts w:ascii="仿宋" w:hAnsi="仿宋" w:eastAsia="仿宋" w:cs="仿宋"/>
                <w:sz w:val="18"/>
                <w:szCs w:val="18"/>
              </w:rPr>
            </w:pPr>
            <w:r>
              <w:rPr>
                <w:rFonts w:ascii="仿宋" w:hAnsi="仿宋" w:eastAsia="仿宋" w:cs="仿宋"/>
                <w:spacing w:val="-8"/>
                <w:sz w:val="18"/>
                <w:szCs w:val="18"/>
              </w:rPr>
              <w:t>土路</w:t>
            </w:r>
          </w:p>
        </w:tc>
        <w:tc>
          <w:tcPr>
            <w:tcW w:w="1510" w:type="dxa"/>
            <w:gridSpan w:val="2"/>
            <w:vAlign w:val="top"/>
          </w:tcPr>
          <w:p w14:paraId="4BCCCF9E">
            <w:pPr>
              <w:pStyle w:val="6"/>
              <w:spacing w:before="55" w:line="188" w:lineRule="auto"/>
              <w:ind w:left="735"/>
            </w:pPr>
            <w:r>
              <w:t>1</w:t>
            </w:r>
          </w:p>
        </w:tc>
        <w:tc>
          <w:tcPr>
            <w:tcW w:w="1237" w:type="dxa"/>
            <w:tcBorders>
              <w:right w:val="single" w:color="000000" w:sz="6" w:space="0"/>
            </w:tcBorders>
            <w:vAlign w:val="top"/>
          </w:tcPr>
          <w:p w14:paraId="75556A5E">
            <w:pPr>
              <w:pStyle w:val="6"/>
              <w:spacing w:before="37" w:line="195" w:lineRule="auto"/>
              <w:ind w:left="421"/>
              <w:rPr>
                <w:rFonts w:ascii="仿宋" w:hAnsi="仿宋" w:eastAsia="仿宋" w:cs="仿宋"/>
              </w:rPr>
            </w:pPr>
            <w:r>
              <w:rPr>
                <w:rFonts w:ascii="仿宋" w:hAnsi="仿宋" w:eastAsia="仿宋" w:cs="仿宋"/>
                <w:spacing w:val="-10"/>
              </w:rPr>
              <w:t>右</w:t>
            </w:r>
            <w:r>
              <w:rPr>
                <w:spacing w:val="-10"/>
              </w:rPr>
              <w:t xml:space="preserve">T </w:t>
            </w:r>
            <w:r>
              <w:rPr>
                <w:rFonts w:ascii="仿宋" w:hAnsi="仿宋" w:eastAsia="仿宋" w:cs="仿宋"/>
                <w:spacing w:val="-10"/>
              </w:rPr>
              <w:t>型</w:t>
            </w:r>
          </w:p>
        </w:tc>
      </w:tr>
      <w:tr w14:paraId="029443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39C989AD">
            <w:pPr>
              <w:rPr>
                <w:rFonts w:ascii="Arial"/>
                <w:sz w:val="21"/>
              </w:rPr>
            </w:pPr>
          </w:p>
        </w:tc>
        <w:tc>
          <w:tcPr>
            <w:tcW w:w="717" w:type="dxa"/>
            <w:vAlign w:val="top"/>
          </w:tcPr>
          <w:p w14:paraId="7CD7B24A">
            <w:pPr>
              <w:pStyle w:val="6"/>
              <w:spacing w:before="56" w:line="188" w:lineRule="auto"/>
              <w:ind w:left="286"/>
            </w:pPr>
            <w:r>
              <w:rPr>
                <w:spacing w:val="-11"/>
              </w:rPr>
              <w:t>18</w:t>
            </w:r>
          </w:p>
        </w:tc>
        <w:tc>
          <w:tcPr>
            <w:tcW w:w="1194" w:type="dxa"/>
            <w:gridSpan w:val="2"/>
            <w:vAlign w:val="top"/>
          </w:tcPr>
          <w:p w14:paraId="53AC66F3">
            <w:pPr>
              <w:pStyle w:val="6"/>
              <w:spacing w:before="56" w:line="188" w:lineRule="auto"/>
              <w:ind w:left="302"/>
            </w:pPr>
            <w:r>
              <w:rPr>
                <w:spacing w:val="-2"/>
              </w:rPr>
              <w:t>K1+430</w:t>
            </w:r>
          </w:p>
        </w:tc>
        <w:tc>
          <w:tcPr>
            <w:tcW w:w="2982" w:type="dxa"/>
            <w:gridSpan w:val="3"/>
            <w:vAlign w:val="top"/>
          </w:tcPr>
          <w:p w14:paraId="2B99513F">
            <w:pPr>
              <w:spacing w:before="39" w:line="193" w:lineRule="auto"/>
              <w:ind w:left="1336"/>
              <w:rPr>
                <w:rFonts w:ascii="仿宋" w:hAnsi="仿宋" w:eastAsia="仿宋" w:cs="仿宋"/>
                <w:sz w:val="18"/>
                <w:szCs w:val="18"/>
              </w:rPr>
            </w:pPr>
            <w:r>
              <w:rPr>
                <w:rFonts w:ascii="仿宋" w:hAnsi="仿宋" w:eastAsia="仿宋" w:cs="仿宋"/>
                <w:spacing w:val="-8"/>
                <w:sz w:val="18"/>
                <w:szCs w:val="18"/>
              </w:rPr>
              <w:t>土路</w:t>
            </w:r>
          </w:p>
        </w:tc>
        <w:tc>
          <w:tcPr>
            <w:tcW w:w="1510" w:type="dxa"/>
            <w:gridSpan w:val="2"/>
            <w:vAlign w:val="top"/>
          </w:tcPr>
          <w:p w14:paraId="4D2FAAD3">
            <w:pPr>
              <w:pStyle w:val="6"/>
              <w:spacing w:before="56" w:line="188" w:lineRule="auto"/>
              <w:ind w:left="735"/>
            </w:pPr>
            <w:r>
              <w:t>1</w:t>
            </w:r>
          </w:p>
        </w:tc>
        <w:tc>
          <w:tcPr>
            <w:tcW w:w="1237" w:type="dxa"/>
            <w:tcBorders>
              <w:right w:val="single" w:color="000000" w:sz="6" w:space="0"/>
            </w:tcBorders>
            <w:vAlign w:val="top"/>
          </w:tcPr>
          <w:p w14:paraId="287F431E">
            <w:pPr>
              <w:pStyle w:val="6"/>
              <w:spacing w:before="39" w:line="193" w:lineRule="auto"/>
              <w:ind w:left="421"/>
              <w:rPr>
                <w:rFonts w:ascii="仿宋" w:hAnsi="仿宋" w:eastAsia="仿宋" w:cs="仿宋"/>
              </w:rPr>
            </w:pPr>
            <w:r>
              <w:rPr>
                <w:rFonts w:ascii="仿宋" w:hAnsi="仿宋" w:eastAsia="仿宋" w:cs="仿宋"/>
                <w:spacing w:val="-10"/>
              </w:rPr>
              <w:t>右</w:t>
            </w:r>
            <w:r>
              <w:rPr>
                <w:spacing w:val="-10"/>
              </w:rPr>
              <w:t xml:space="preserve">T </w:t>
            </w:r>
            <w:r>
              <w:rPr>
                <w:rFonts w:ascii="仿宋" w:hAnsi="仿宋" w:eastAsia="仿宋" w:cs="仿宋"/>
                <w:spacing w:val="-10"/>
              </w:rPr>
              <w:t>型</w:t>
            </w:r>
          </w:p>
        </w:tc>
      </w:tr>
      <w:tr w14:paraId="159A49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679D007C">
            <w:pPr>
              <w:rPr>
                <w:rFonts w:ascii="Arial"/>
                <w:sz w:val="21"/>
              </w:rPr>
            </w:pPr>
          </w:p>
        </w:tc>
        <w:tc>
          <w:tcPr>
            <w:tcW w:w="717" w:type="dxa"/>
            <w:vAlign w:val="top"/>
          </w:tcPr>
          <w:p w14:paraId="40332114">
            <w:pPr>
              <w:pStyle w:val="6"/>
              <w:spacing w:before="56" w:line="188" w:lineRule="auto"/>
              <w:ind w:left="286"/>
            </w:pPr>
            <w:r>
              <w:rPr>
                <w:spacing w:val="-11"/>
              </w:rPr>
              <w:t>19</w:t>
            </w:r>
          </w:p>
        </w:tc>
        <w:tc>
          <w:tcPr>
            <w:tcW w:w="1194" w:type="dxa"/>
            <w:gridSpan w:val="2"/>
            <w:vAlign w:val="top"/>
          </w:tcPr>
          <w:p w14:paraId="069853E3">
            <w:pPr>
              <w:pStyle w:val="6"/>
              <w:spacing w:before="56" w:line="188" w:lineRule="auto"/>
              <w:ind w:left="302"/>
            </w:pPr>
            <w:r>
              <w:rPr>
                <w:spacing w:val="-2"/>
              </w:rPr>
              <w:t>K1+955</w:t>
            </w:r>
          </w:p>
        </w:tc>
        <w:tc>
          <w:tcPr>
            <w:tcW w:w="2982" w:type="dxa"/>
            <w:gridSpan w:val="3"/>
            <w:vAlign w:val="top"/>
          </w:tcPr>
          <w:p w14:paraId="432D1DD6">
            <w:pPr>
              <w:spacing w:before="39" w:line="193" w:lineRule="auto"/>
              <w:ind w:left="1336"/>
              <w:rPr>
                <w:rFonts w:ascii="仿宋" w:hAnsi="仿宋" w:eastAsia="仿宋" w:cs="仿宋"/>
                <w:sz w:val="18"/>
                <w:szCs w:val="18"/>
              </w:rPr>
            </w:pPr>
            <w:r>
              <w:rPr>
                <w:rFonts w:ascii="仿宋" w:hAnsi="仿宋" w:eastAsia="仿宋" w:cs="仿宋"/>
                <w:spacing w:val="-8"/>
                <w:sz w:val="18"/>
                <w:szCs w:val="18"/>
              </w:rPr>
              <w:t>土路</w:t>
            </w:r>
          </w:p>
        </w:tc>
        <w:tc>
          <w:tcPr>
            <w:tcW w:w="1510" w:type="dxa"/>
            <w:gridSpan w:val="2"/>
            <w:vAlign w:val="top"/>
          </w:tcPr>
          <w:p w14:paraId="6447EEA6">
            <w:pPr>
              <w:pStyle w:val="6"/>
              <w:spacing w:before="56" w:line="188" w:lineRule="auto"/>
              <w:ind w:left="735"/>
            </w:pPr>
            <w:r>
              <w:t>1</w:t>
            </w:r>
          </w:p>
        </w:tc>
        <w:tc>
          <w:tcPr>
            <w:tcW w:w="1237" w:type="dxa"/>
            <w:tcBorders>
              <w:right w:val="single" w:color="000000" w:sz="6" w:space="0"/>
            </w:tcBorders>
            <w:vAlign w:val="top"/>
          </w:tcPr>
          <w:p w14:paraId="74306754">
            <w:pPr>
              <w:pStyle w:val="6"/>
              <w:spacing w:before="39" w:line="193" w:lineRule="auto"/>
              <w:ind w:left="421"/>
              <w:rPr>
                <w:rFonts w:ascii="仿宋" w:hAnsi="仿宋" w:eastAsia="仿宋" w:cs="仿宋"/>
              </w:rPr>
            </w:pPr>
            <w:r>
              <w:rPr>
                <w:rFonts w:ascii="仿宋" w:hAnsi="仿宋" w:eastAsia="仿宋" w:cs="仿宋"/>
                <w:spacing w:val="-10"/>
              </w:rPr>
              <w:t>右</w:t>
            </w:r>
            <w:r>
              <w:rPr>
                <w:spacing w:val="-10"/>
              </w:rPr>
              <w:t xml:space="preserve">T </w:t>
            </w:r>
            <w:r>
              <w:rPr>
                <w:rFonts w:ascii="仿宋" w:hAnsi="仿宋" w:eastAsia="仿宋" w:cs="仿宋"/>
                <w:spacing w:val="-10"/>
              </w:rPr>
              <w:t>型</w:t>
            </w:r>
          </w:p>
        </w:tc>
      </w:tr>
      <w:tr w14:paraId="328F93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5EC909A7">
            <w:pPr>
              <w:rPr>
                <w:rFonts w:ascii="Arial"/>
                <w:sz w:val="21"/>
              </w:rPr>
            </w:pPr>
          </w:p>
        </w:tc>
        <w:tc>
          <w:tcPr>
            <w:tcW w:w="717" w:type="dxa"/>
            <w:vAlign w:val="top"/>
          </w:tcPr>
          <w:p w14:paraId="48A36B78">
            <w:pPr>
              <w:pStyle w:val="6"/>
              <w:spacing w:before="58" w:line="188" w:lineRule="auto"/>
              <w:ind w:left="268"/>
            </w:pPr>
            <w:r>
              <w:rPr>
                <w:spacing w:val="-2"/>
              </w:rPr>
              <w:t>20</w:t>
            </w:r>
          </w:p>
        </w:tc>
        <w:tc>
          <w:tcPr>
            <w:tcW w:w="1194" w:type="dxa"/>
            <w:gridSpan w:val="2"/>
            <w:vAlign w:val="top"/>
          </w:tcPr>
          <w:p w14:paraId="07C0D080">
            <w:pPr>
              <w:pStyle w:val="6"/>
              <w:spacing w:before="58" w:line="188" w:lineRule="auto"/>
              <w:ind w:left="302"/>
            </w:pPr>
            <w:r>
              <w:rPr>
                <w:spacing w:val="-2"/>
              </w:rPr>
              <w:t>K2+729</w:t>
            </w:r>
          </w:p>
        </w:tc>
        <w:tc>
          <w:tcPr>
            <w:tcW w:w="2982" w:type="dxa"/>
            <w:gridSpan w:val="3"/>
            <w:vAlign w:val="top"/>
          </w:tcPr>
          <w:p w14:paraId="69C4BDD8">
            <w:pPr>
              <w:spacing w:before="40" w:line="193" w:lineRule="auto"/>
              <w:ind w:left="1242"/>
              <w:rPr>
                <w:rFonts w:ascii="仿宋" w:hAnsi="仿宋" w:eastAsia="仿宋" w:cs="仿宋"/>
                <w:sz w:val="18"/>
                <w:szCs w:val="18"/>
              </w:rPr>
            </w:pPr>
            <w:r>
              <w:rPr>
                <w:rFonts w:ascii="仿宋" w:hAnsi="仿宋" w:eastAsia="仿宋" w:cs="仿宋"/>
                <w:spacing w:val="-7"/>
                <w:sz w:val="18"/>
                <w:szCs w:val="18"/>
              </w:rPr>
              <w:t>水泥路</w:t>
            </w:r>
          </w:p>
        </w:tc>
        <w:tc>
          <w:tcPr>
            <w:tcW w:w="1510" w:type="dxa"/>
            <w:gridSpan w:val="2"/>
            <w:vAlign w:val="top"/>
          </w:tcPr>
          <w:p w14:paraId="64D72240">
            <w:pPr>
              <w:pStyle w:val="6"/>
              <w:spacing w:before="58" w:line="188" w:lineRule="auto"/>
              <w:ind w:left="735"/>
            </w:pPr>
            <w:r>
              <w:t>1</w:t>
            </w:r>
          </w:p>
        </w:tc>
        <w:tc>
          <w:tcPr>
            <w:tcW w:w="1237" w:type="dxa"/>
            <w:tcBorders>
              <w:right w:val="single" w:color="000000" w:sz="6" w:space="0"/>
            </w:tcBorders>
            <w:vAlign w:val="top"/>
          </w:tcPr>
          <w:p w14:paraId="186D2490">
            <w:pPr>
              <w:spacing w:before="40" w:line="193" w:lineRule="auto"/>
              <w:ind w:left="377"/>
              <w:rPr>
                <w:rFonts w:ascii="仿宋" w:hAnsi="仿宋" w:eastAsia="仿宋" w:cs="仿宋"/>
                <w:sz w:val="18"/>
                <w:szCs w:val="18"/>
              </w:rPr>
            </w:pPr>
            <w:r>
              <w:rPr>
                <w:rFonts w:ascii="仿宋" w:hAnsi="仿宋" w:eastAsia="仿宋" w:cs="仿宋"/>
                <w:spacing w:val="-10"/>
                <w:sz w:val="18"/>
                <w:szCs w:val="18"/>
              </w:rPr>
              <w:t>丁字型</w:t>
            </w:r>
          </w:p>
        </w:tc>
      </w:tr>
      <w:tr w14:paraId="100054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3C2F61C2">
            <w:pPr>
              <w:rPr>
                <w:rFonts w:ascii="Arial"/>
                <w:sz w:val="21"/>
              </w:rPr>
            </w:pPr>
          </w:p>
        </w:tc>
        <w:tc>
          <w:tcPr>
            <w:tcW w:w="7640" w:type="dxa"/>
            <w:gridSpan w:val="9"/>
            <w:tcBorders>
              <w:right w:val="single" w:color="000000" w:sz="6" w:space="0"/>
            </w:tcBorders>
            <w:vAlign w:val="top"/>
          </w:tcPr>
          <w:p w14:paraId="28C33082">
            <w:pPr>
              <w:spacing w:before="39" w:line="193" w:lineRule="auto"/>
              <w:ind w:left="2949"/>
              <w:rPr>
                <w:rFonts w:ascii="仿宋" w:hAnsi="仿宋" w:eastAsia="仿宋" w:cs="仿宋"/>
                <w:sz w:val="18"/>
                <w:szCs w:val="18"/>
              </w:rPr>
            </w:pPr>
            <w:r>
              <w:rPr>
                <w:rFonts w:ascii="仿宋" w:hAnsi="仿宋" w:eastAsia="仿宋" w:cs="仿宋"/>
                <w:spacing w:val="-6"/>
                <w:sz w:val="18"/>
                <w:szCs w:val="18"/>
              </w:rPr>
              <w:t>双山梁村通社公路工程</w:t>
            </w:r>
          </w:p>
        </w:tc>
      </w:tr>
      <w:tr w14:paraId="15065B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8" w:hRule="atLeast"/>
        </w:trPr>
        <w:tc>
          <w:tcPr>
            <w:tcW w:w="737" w:type="dxa"/>
            <w:vMerge w:val="continue"/>
            <w:tcBorders>
              <w:top w:val="nil"/>
              <w:left w:val="single" w:color="000000" w:sz="6" w:space="0"/>
              <w:bottom w:val="nil"/>
            </w:tcBorders>
            <w:vAlign w:val="top"/>
          </w:tcPr>
          <w:p w14:paraId="7F13F68D">
            <w:pPr>
              <w:rPr>
                <w:rFonts w:ascii="Arial"/>
                <w:sz w:val="21"/>
              </w:rPr>
            </w:pPr>
          </w:p>
        </w:tc>
        <w:tc>
          <w:tcPr>
            <w:tcW w:w="717" w:type="dxa"/>
            <w:tcBorders>
              <w:bottom w:val="single" w:color="000000" w:sz="10" w:space="0"/>
            </w:tcBorders>
            <w:vAlign w:val="top"/>
          </w:tcPr>
          <w:p w14:paraId="748AF174">
            <w:pPr>
              <w:pStyle w:val="6"/>
              <w:spacing w:before="58" w:line="188" w:lineRule="auto"/>
              <w:ind w:left="268"/>
            </w:pPr>
            <w:r>
              <w:rPr>
                <w:spacing w:val="-2"/>
              </w:rPr>
              <w:t>21</w:t>
            </w:r>
          </w:p>
        </w:tc>
        <w:tc>
          <w:tcPr>
            <w:tcW w:w="1194" w:type="dxa"/>
            <w:gridSpan w:val="2"/>
            <w:tcBorders>
              <w:bottom w:val="single" w:color="000000" w:sz="10" w:space="0"/>
            </w:tcBorders>
            <w:vAlign w:val="top"/>
          </w:tcPr>
          <w:p w14:paraId="03AF6159">
            <w:pPr>
              <w:pStyle w:val="6"/>
              <w:spacing w:before="58" w:line="188" w:lineRule="auto"/>
              <w:ind w:left="302"/>
            </w:pPr>
            <w:r>
              <w:rPr>
                <w:spacing w:val="-2"/>
              </w:rPr>
              <w:t>K0+338</w:t>
            </w:r>
          </w:p>
        </w:tc>
        <w:tc>
          <w:tcPr>
            <w:tcW w:w="2982" w:type="dxa"/>
            <w:gridSpan w:val="3"/>
            <w:tcBorders>
              <w:bottom w:val="single" w:color="000000" w:sz="10" w:space="0"/>
            </w:tcBorders>
            <w:vAlign w:val="top"/>
          </w:tcPr>
          <w:p w14:paraId="2D784894">
            <w:pPr>
              <w:spacing w:before="41" w:line="202" w:lineRule="auto"/>
              <w:ind w:left="1242"/>
              <w:rPr>
                <w:rFonts w:ascii="仿宋" w:hAnsi="仿宋" w:eastAsia="仿宋" w:cs="仿宋"/>
                <w:sz w:val="18"/>
                <w:szCs w:val="18"/>
              </w:rPr>
            </w:pPr>
            <w:r>
              <w:rPr>
                <w:rFonts w:ascii="仿宋" w:hAnsi="仿宋" w:eastAsia="仿宋" w:cs="仿宋"/>
                <w:spacing w:val="-7"/>
                <w:sz w:val="18"/>
                <w:szCs w:val="18"/>
              </w:rPr>
              <w:t>水泥路</w:t>
            </w:r>
          </w:p>
        </w:tc>
        <w:tc>
          <w:tcPr>
            <w:tcW w:w="1510" w:type="dxa"/>
            <w:gridSpan w:val="2"/>
            <w:tcBorders>
              <w:bottom w:val="single" w:color="000000" w:sz="10" w:space="0"/>
            </w:tcBorders>
            <w:vAlign w:val="top"/>
          </w:tcPr>
          <w:p w14:paraId="6D56F94E">
            <w:pPr>
              <w:pStyle w:val="6"/>
              <w:spacing w:before="58" w:line="188" w:lineRule="auto"/>
              <w:ind w:left="735"/>
            </w:pPr>
            <w:r>
              <w:t>1</w:t>
            </w:r>
          </w:p>
        </w:tc>
        <w:tc>
          <w:tcPr>
            <w:tcW w:w="1237" w:type="dxa"/>
            <w:tcBorders>
              <w:bottom w:val="single" w:color="000000" w:sz="10" w:space="0"/>
              <w:right w:val="single" w:color="000000" w:sz="6" w:space="0"/>
            </w:tcBorders>
            <w:vAlign w:val="top"/>
          </w:tcPr>
          <w:p w14:paraId="368651BC">
            <w:pPr>
              <w:spacing w:before="41" w:line="202" w:lineRule="auto"/>
              <w:ind w:left="377"/>
              <w:rPr>
                <w:rFonts w:ascii="仿宋" w:hAnsi="仿宋" w:eastAsia="仿宋" w:cs="仿宋"/>
                <w:sz w:val="18"/>
                <w:szCs w:val="18"/>
              </w:rPr>
            </w:pPr>
            <w:r>
              <w:rPr>
                <w:rFonts w:ascii="仿宋" w:hAnsi="仿宋" w:eastAsia="仿宋" w:cs="仿宋"/>
                <w:spacing w:val="-10"/>
                <w:sz w:val="18"/>
                <w:szCs w:val="18"/>
              </w:rPr>
              <w:t>丁字型</w:t>
            </w:r>
          </w:p>
        </w:tc>
      </w:tr>
      <w:tr w14:paraId="207944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737" w:type="dxa"/>
            <w:vMerge w:val="continue"/>
            <w:tcBorders>
              <w:top w:val="nil"/>
              <w:left w:val="single" w:color="000000" w:sz="6" w:space="0"/>
              <w:bottom w:val="nil"/>
            </w:tcBorders>
            <w:vAlign w:val="top"/>
          </w:tcPr>
          <w:p w14:paraId="042385BA">
            <w:pPr>
              <w:rPr>
                <w:rFonts w:ascii="Arial"/>
                <w:sz w:val="21"/>
              </w:rPr>
            </w:pPr>
          </w:p>
        </w:tc>
        <w:tc>
          <w:tcPr>
            <w:tcW w:w="7640" w:type="dxa"/>
            <w:gridSpan w:val="9"/>
            <w:tcBorders>
              <w:top w:val="single" w:color="000000" w:sz="10" w:space="0"/>
              <w:bottom w:val="single" w:color="000000" w:sz="10" w:space="0"/>
              <w:right w:val="single" w:color="000000" w:sz="6" w:space="0"/>
            </w:tcBorders>
            <w:vAlign w:val="top"/>
          </w:tcPr>
          <w:p w14:paraId="0B7EFBD6">
            <w:pPr>
              <w:pStyle w:val="6"/>
              <w:spacing w:before="33" w:line="231" w:lineRule="auto"/>
              <w:ind w:left="1780"/>
              <w:rPr>
                <w:rFonts w:ascii="仿宋" w:hAnsi="仿宋" w:eastAsia="仿宋" w:cs="仿宋"/>
                <w:sz w:val="20"/>
                <w:szCs w:val="20"/>
              </w:rPr>
            </w:pPr>
            <w:r>
              <w:rPr>
                <w:rFonts w:ascii="仿宋" w:hAnsi="仿宋" w:eastAsia="仿宋" w:cs="仿宋"/>
                <w:b/>
                <w:bCs/>
                <w:spacing w:val="5"/>
                <w:sz w:val="20"/>
                <w:szCs w:val="20"/>
              </w:rPr>
              <w:t>表</w:t>
            </w:r>
            <w:r>
              <w:rPr>
                <w:rFonts w:ascii="仿宋" w:hAnsi="仿宋" w:eastAsia="仿宋" w:cs="仿宋"/>
                <w:spacing w:val="-42"/>
                <w:sz w:val="20"/>
                <w:szCs w:val="20"/>
              </w:rPr>
              <w:t xml:space="preserve"> </w:t>
            </w:r>
            <w:r>
              <w:rPr>
                <w:b/>
                <w:bCs/>
                <w:spacing w:val="5"/>
                <w:sz w:val="20"/>
                <w:szCs w:val="20"/>
              </w:rPr>
              <w:t xml:space="preserve">2-14  </w:t>
            </w:r>
            <w:r>
              <w:rPr>
                <w:rFonts w:ascii="仿宋" w:hAnsi="仿宋" w:eastAsia="仿宋" w:cs="仿宋"/>
                <w:b/>
                <w:bCs/>
                <w:spacing w:val="5"/>
                <w:sz w:val="20"/>
                <w:szCs w:val="20"/>
              </w:rPr>
              <w:t>十二连城乡平面交叉工程设置一览表</w:t>
            </w:r>
          </w:p>
        </w:tc>
      </w:tr>
      <w:tr w14:paraId="0CFB0D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8" w:hRule="atLeast"/>
        </w:trPr>
        <w:tc>
          <w:tcPr>
            <w:tcW w:w="737" w:type="dxa"/>
            <w:vMerge w:val="continue"/>
            <w:tcBorders>
              <w:top w:val="nil"/>
              <w:left w:val="single" w:color="000000" w:sz="6" w:space="0"/>
              <w:bottom w:val="nil"/>
            </w:tcBorders>
            <w:vAlign w:val="top"/>
          </w:tcPr>
          <w:p w14:paraId="689845CC">
            <w:pPr>
              <w:rPr>
                <w:rFonts w:ascii="Arial"/>
                <w:sz w:val="21"/>
              </w:rPr>
            </w:pPr>
          </w:p>
        </w:tc>
        <w:tc>
          <w:tcPr>
            <w:tcW w:w="774" w:type="dxa"/>
            <w:gridSpan w:val="2"/>
            <w:tcBorders>
              <w:top w:val="single" w:color="000000" w:sz="10" w:space="0"/>
            </w:tcBorders>
            <w:vAlign w:val="top"/>
          </w:tcPr>
          <w:p w14:paraId="76217EB0">
            <w:pPr>
              <w:spacing w:before="31" w:line="191" w:lineRule="auto"/>
              <w:ind w:left="166"/>
              <w:rPr>
                <w:rFonts w:ascii="仿宋" w:hAnsi="仿宋" w:eastAsia="仿宋" w:cs="仿宋"/>
                <w:sz w:val="18"/>
                <w:szCs w:val="18"/>
              </w:rPr>
            </w:pPr>
            <w:r>
              <w:rPr>
                <w:rFonts w:ascii="仿宋" w:hAnsi="仿宋" w:eastAsia="仿宋" w:cs="仿宋"/>
                <w:spacing w:val="-6"/>
                <w:sz w:val="18"/>
                <w:szCs w:val="18"/>
              </w:rPr>
              <w:t>序</w:t>
            </w:r>
            <w:r>
              <w:rPr>
                <w:rFonts w:ascii="仿宋" w:hAnsi="仿宋" w:eastAsia="仿宋" w:cs="仿宋"/>
                <w:spacing w:val="15"/>
                <w:sz w:val="18"/>
                <w:szCs w:val="18"/>
              </w:rPr>
              <w:t xml:space="preserve"> </w:t>
            </w:r>
            <w:r>
              <w:rPr>
                <w:rFonts w:ascii="仿宋" w:hAnsi="仿宋" w:eastAsia="仿宋" w:cs="仿宋"/>
                <w:spacing w:val="-6"/>
                <w:sz w:val="18"/>
                <w:szCs w:val="18"/>
              </w:rPr>
              <w:t>号</w:t>
            </w:r>
          </w:p>
        </w:tc>
        <w:tc>
          <w:tcPr>
            <w:tcW w:w="1259" w:type="dxa"/>
            <w:gridSpan w:val="2"/>
            <w:tcBorders>
              <w:top w:val="single" w:color="000000" w:sz="10" w:space="0"/>
            </w:tcBorders>
            <w:vAlign w:val="top"/>
          </w:tcPr>
          <w:p w14:paraId="3EB38109">
            <w:pPr>
              <w:spacing w:before="31" w:line="191" w:lineRule="auto"/>
              <w:ind w:left="277"/>
              <w:rPr>
                <w:rFonts w:ascii="仿宋" w:hAnsi="仿宋" w:eastAsia="仿宋" w:cs="仿宋"/>
                <w:sz w:val="18"/>
                <w:szCs w:val="18"/>
              </w:rPr>
            </w:pPr>
            <w:r>
              <w:rPr>
                <w:rFonts w:ascii="仿宋" w:hAnsi="仿宋" w:eastAsia="仿宋" w:cs="仿宋"/>
                <w:spacing w:val="-5"/>
                <w:sz w:val="18"/>
                <w:szCs w:val="18"/>
              </w:rPr>
              <w:t>里程桩号</w:t>
            </w:r>
          </w:p>
        </w:tc>
        <w:tc>
          <w:tcPr>
            <w:tcW w:w="2611" w:type="dxa"/>
            <w:tcBorders>
              <w:top w:val="single" w:color="000000" w:sz="10" w:space="0"/>
            </w:tcBorders>
            <w:vAlign w:val="top"/>
          </w:tcPr>
          <w:p w14:paraId="611CD9E4">
            <w:pPr>
              <w:spacing w:before="31" w:line="191" w:lineRule="auto"/>
              <w:ind w:left="413"/>
              <w:rPr>
                <w:rFonts w:ascii="仿宋" w:hAnsi="仿宋" w:eastAsia="仿宋" w:cs="仿宋"/>
                <w:sz w:val="18"/>
                <w:szCs w:val="18"/>
              </w:rPr>
            </w:pPr>
            <w:r>
              <w:rPr>
                <w:rFonts w:ascii="仿宋" w:hAnsi="仿宋" w:eastAsia="仿宋" w:cs="仿宋"/>
                <w:spacing w:val="-2"/>
                <w:sz w:val="18"/>
                <w:szCs w:val="18"/>
              </w:rPr>
              <w:t>被交叉道路种类、等级</w:t>
            </w:r>
          </w:p>
        </w:tc>
        <w:tc>
          <w:tcPr>
            <w:tcW w:w="1325" w:type="dxa"/>
            <w:gridSpan w:val="2"/>
            <w:tcBorders>
              <w:top w:val="single" w:color="000000" w:sz="10" w:space="0"/>
            </w:tcBorders>
            <w:vAlign w:val="top"/>
          </w:tcPr>
          <w:p w14:paraId="0372E5DC">
            <w:pPr>
              <w:spacing w:before="31" w:line="191" w:lineRule="auto"/>
              <w:ind w:left="223"/>
              <w:rPr>
                <w:rFonts w:ascii="仿宋" w:hAnsi="仿宋" w:eastAsia="仿宋" w:cs="仿宋"/>
                <w:sz w:val="18"/>
                <w:szCs w:val="18"/>
              </w:rPr>
            </w:pPr>
            <w:r>
              <w:rPr>
                <w:rFonts w:ascii="仿宋" w:hAnsi="仿宋" w:eastAsia="仿宋" w:cs="仿宋"/>
                <w:spacing w:val="-3"/>
                <w:sz w:val="18"/>
                <w:szCs w:val="18"/>
              </w:rPr>
              <w:t>数量（处）</w:t>
            </w:r>
          </w:p>
        </w:tc>
        <w:tc>
          <w:tcPr>
            <w:tcW w:w="1671" w:type="dxa"/>
            <w:gridSpan w:val="2"/>
            <w:tcBorders>
              <w:top w:val="single" w:color="000000" w:sz="10" w:space="0"/>
              <w:right w:val="single" w:color="000000" w:sz="6" w:space="0"/>
            </w:tcBorders>
            <w:vAlign w:val="top"/>
          </w:tcPr>
          <w:p w14:paraId="2C8627B6">
            <w:pPr>
              <w:spacing w:before="31" w:line="191" w:lineRule="auto"/>
              <w:ind w:left="487"/>
              <w:rPr>
                <w:rFonts w:ascii="仿宋" w:hAnsi="仿宋" w:eastAsia="仿宋" w:cs="仿宋"/>
                <w:sz w:val="18"/>
                <w:szCs w:val="18"/>
              </w:rPr>
            </w:pPr>
            <w:r>
              <w:rPr>
                <w:rFonts w:ascii="仿宋" w:hAnsi="仿宋" w:eastAsia="仿宋" w:cs="仿宋"/>
                <w:spacing w:val="-5"/>
                <w:sz w:val="18"/>
                <w:szCs w:val="18"/>
              </w:rPr>
              <w:t>交叉形式</w:t>
            </w:r>
          </w:p>
        </w:tc>
      </w:tr>
      <w:tr w14:paraId="24EC1E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779877C7">
            <w:pPr>
              <w:rPr>
                <w:rFonts w:ascii="Arial"/>
                <w:sz w:val="21"/>
              </w:rPr>
            </w:pPr>
          </w:p>
        </w:tc>
        <w:tc>
          <w:tcPr>
            <w:tcW w:w="7640" w:type="dxa"/>
            <w:gridSpan w:val="9"/>
            <w:tcBorders>
              <w:right w:val="single" w:color="000000" w:sz="6" w:space="0"/>
            </w:tcBorders>
            <w:vAlign w:val="top"/>
          </w:tcPr>
          <w:p w14:paraId="3D93B790">
            <w:pPr>
              <w:spacing w:before="41" w:line="192" w:lineRule="auto"/>
              <w:ind w:left="2653"/>
              <w:rPr>
                <w:rFonts w:ascii="仿宋" w:hAnsi="仿宋" w:eastAsia="仿宋" w:cs="仿宋"/>
                <w:sz w:val="18"/>
                <w:szCs w:val="18"/>
              </w:rPr>
            </w:pPr>
            <w:r>
              <w:rPr>
                <w:rFonts w:ascii="仿宋" w:hAnsi="仿宋" w:eastAsia="仿宋" w:cs="仿宋"/>
                <w:spacing w:val="-1"/>
                <w:sz w:val="18"/>
                <w:szCs w:val="18"/>
              </w:rPr>
              <w:t>份子地社新村至二道拐村委会</w:t>
            </w:r>
          </w:p>
        </w:tc>
      </w:tr>
      <w:tr w14:paraId="4B74A3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7A7BC00A">
            <w:pPr>
              <w:rPr>
                <w:rFonts w:ascii="Arial"/>
                <w:sz w:val="21"/>
              </w:rPr>
            </w:pPr>
          </w:p>
        </w:tc>
        <w:tc>
          <w:tcPr>
            <w:tcW w:w="774" w:type="dxa"/>
            <w:gridSpan w:val="2"/>
            <w:vAlign w:val="top"/>
          </w:tcPr>
          <w:p w14:paraId="04E6AD39">
            <w:pPr>
              <w:pStyle w:val="6"/>
              <w:spacing w:before="71" w:line="182" w:lineRule="auto"/>
              <w:ind w:left="355"/>
            </w:pPr>
            <w:r>
              <w:t>1</w:t>
            </w:r>
          </w:p>
        </w:tc>
        <w:tc>
          <w:tcPr>
            <w:tcW w:w="1259" w:type="dxa"/>
            <w:gridSpan w:val="2"/>
            <w:vAlign w:val="top"/>
          </w:tcPr>
          <w:p w14:paraId="35616769">
            <w:pPr>
              <w:pStyle w:val="6"/>
              <w:spacing w:before="71" w:line="182" w:lineRule="auto"/>
              <w:ind w:left="329"/>
            </w:pPr>
            <w:r>
              <w:rPr>
                <w:spacing w:val="-1"/>
              </w:rPr>
              <w:t>K0+000</w:t>
            </w:r>
          </w:p>
        </w:tc>
        <w:tc>
          <w:tcPr>
            <w:tcW w:w="2611" w:type="dxa"/>
            <w:vAlign w:val="top"/>
          </w:tcPr>
          <w:p w14:paraId="55E0B841">
            <w:pPr>
              <w:spacing w:before="42" w:line="190" w:lineRule="auto"/>
              <w:ind w:left="1044"/>
              <w:rPr>
                <w:rFonts w:ascii="仿宋" w:hAnsi="仿宋" w:eastAsia="仿宋" w:cs="仿宋"/>
                <w:sz w:val="18"/>
                <w:szCs w:val="18"/>
              </w:rPr>
            </w:pPr>
            <w:r>
              <w:rPr>
                <w:rFonts w:ascii="仿宋" w:hAnsi="仿宋" w:eastAsia="仿宋" w:cs="仿宋"/>
                <w:spacing w:val="-4"/>
                <w:sz w:val="18"/>
                <w:szCs w:val="18"/>
              </w:rPr>
              <w:t>水泥路</w:t>
            </w:r>
          </w:p>
        </w:tc>
        <w:tc>
          <w:tcPr>
            <w:tcW w:w="1325" w:type="dxa"/>
            <w:gridSpan w:val="2"/>
            <w:vAlign w:val="top"/>
          </w:tcPr>
          <w:p w14:paraId="69CA1C32">
            <w:pPr>
              <w:pStyle w:val="6"/>
              <w:spacing w:before="71" w:line="182" w:lineRule="auto"/>
              <w:ind w:left="639"/>
            </w:pPr>
            <w:r>
              <w:t>1</w:t>
            </w:r>
          </w:p>
        </w:tc>
        <w:tc>
          <w:tcPr>
            <w:tcW w:w="1671" w:type="dxa"/>
            <w:gridSpan w:val="2"/>
            <w:tcBorders>
              <w:right w:val="single" w:color="000000" w:sz="6" w:space="0"/>
            </w:tcBorders>
            <w:vAlign w:val="top"/>
          </w:tcPr>
          <w:p w14:paraId="22427AB2">
            <w:pPr>
              <w:spacing w:before="42" w:line="190" w:lineRule="auto"/>
              <w:ind w:left="578"/>
              <w:rPr>
                <w:rFonts w:ascii="仿宋" w:hAnsi="仿宋" w:eastAsia="仿宋" w:cs="仿宋"/>
                <w:sz w:val="18"/>
                <w:szCs w:val="18"/>
              </w:rPr>
            </w:pPr>
            <w:r>
              <w:rPr>
                <w:rFonts w:ascii="仿宋" w:hAnsi="仿宋" w:eastAsia="仿宋" w:cs="仿宋"/>
                <w:spacing w:val="-7"/>
                <w:sz w:val="18"/>
                <w:szCs w:val="18"/>
              </w:rPr>
              <w:t>丁字型</w:t>
            </w:r>
          </w:p>
        </w:tc>
      </w:tr>
      <w:tr w14:paraId="4C06B9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02633EF6">
            <w:pPr>
              <w:rPr>
                <w:rFonts w:ascii="Arial"/>
                <w:sz w:val="21"/>
              </w:rPr>
            </w:pPr>
          </w:p>
        </w:tc>
        <w:tc>
          <w:tcPr>
            <w:tcW w:w="774" w:type="dxa"/>
            <w:gridSpan w:val="2"/>
            <w:vAlign w:val="top"/>
          </w:tcPr>
          <w:p w14:paraId="546F42F5">
            <w:pPr>
              <w:pStyle w:val="6"/>
              <w:spacing w:before="72" w:line="181" w:lineRule="auto"/>
              <w:ind w:left="338"/>
            </w:pPr>
            <w:r>
              <w:t>2</w:t>
            </w:r>
          </w:p>
        </w:tc>
        <w:tc>
          <w:tcPr>
            <w:tcW w:w="1259" w:type="dxa"/>
            <w:gridSpan w:val="2"/>
            <w:vAlign w:val="top"/>
          </w:tcPr>
          <w:p w14:paraId="623C6C76">
            <w:pPr>
              <w:pStyle w:val="6"/>
              <w:spacing w:before="72" w:line="181" w:lineRule="auto"/>
              <w:ind w:left="329"/>
            </w:pPr>
            <w:r>
              <w:rPr>
                <w:spacing w:val="-1"/>
              </w:rPr>
              <w:t>K0+493</w:t>
            </w:r>
          </w:p>
        </w:tc>
        <w:tc>
          <w:tcPr>
            <w:tcW w:w="2611" w:type="dxa"/>
            <w:vAlign w:val="top"/>
          </w:tcPr>
          <w:p w14:paraId="1C291FD3">
            <w:pPr>
              <w:spacing w:before="41" w:line="192" w:lineRule="auto"/>
              <w:ind w:left="1135"/>
              <w:rPr>
                <w:rFonts w:ascii="仿宋" w:hAnsi="仿宋" w:eastAsia="仿宋" w:cs="仿宋"/>
                <w:sz w:val="18"/>
                <w:szCs w:val="18"/>
              </w:rPr>
            </w:pPr>
            <w:r>
              <w:rPr>
                <w:rFonts w:ascii="仿宋" w:hAnsi="仿宋" w:eastAsia="仿宋" w:cs="仿宋"/>
                <w:spacing w:val="-8"/>
                <w:sz w:val="18"/>
                <w:szCs w:val="18"/>
              </w:rPr>
              <w:t>土路</w:t>
            </w:r>
          </w:p>
        </w:tc>
        <w:tc>
          <w:tcPr>
            <w:tcW w:w="1325" w:type="dxa"/>
            <w:gridSpan w:val="2"/>
            <w:vAlign w:val="top"/>
          </w:tcPr>
          <w:p w14:paraId="7CE70FE7">
            <w:pPr>
              <w:pStyle w:val="6"/>
              <w:spacing w:before="72" w:line="181" w:lineRule="auto"/>
              <w:ind w:left="639"/>
            </w:pPr>
            <w:r>
              <w:t>1</w:t>
            </w:r>
          </w:p>
        </w:tc>
        <w:tc>
          <w:tcPr>
            <w:tcW w:w="1671" w:type="dxa"/>
            <w:gridSpan w:val="2"/>
            <w:tcBorders>
              <w:right w:val="single" w:color="000000" w:sz="6" w:space="0"/>
            </w:tcBorders>
            <w:vAlign w:val="top"/>
          </w:tcPr>
          <w:p w14:paraId="4AEB097D">
            <w:pPr>
              <w:pStyle w:val="6"/>
              <w:spacing w:before="41" w:line="192" w:lineRule="auto"/>
              <w:ind w:left="610"/>
              <w:rPr>
                <w:rFonts w:ascii="仿宋" w:hAnsi="仿宋" w:eastAsia="仿宋" w:cs="仿宋"/>
              </w:rPr>
            </w:pPr>
            <w:r>
              <w:rPr>
                <w:rFonts w:ascii="仿宋" w:hAnsi="仿宋" w:eastAsia="仿宋" w:cs="仿宋"/>
                <w:spacing w:val="-5"/>
              </w:rPr>
              <w:t>左</w:t>
            </w:r>
            <w:r>
              <w:rPr>
                <w:spacing w:val="-5"/>
              </w:rPr>
              <w:t>T</w:t>
            </w:r>
            <w:r>
              <w:rPr>
                <w:rFonts w:ascii="仿宋" w:hAnsi="仿宋" w:eastAsia="仿宋" w:cs="仿宋"/>
                <w:spacing w:val="-5"/>
              </w:rPr>
              <w:t>型</w:t>
            </w:r>
          </w:p>
        </w:tc>
      </w:tr>
      <w:tr w14:paraId="0A1E68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7FA49C19">
            <w:pPr>
              <w:rPr>
                <w:rFonts w:ascii="Arial"/>
                <w:sz w:val="21"/>
              </w:rPr>
            </w:pPr>
          </w:p>
        </w:tc>
        <w:tc>
          <w:tcPr>
            <w:tcW w:w="774" w:type="dxa"/>
            <w:gridSpan w:val="2"/>
            <w:vAlign w:val="top"/>
          </w:tcPr>
          <w:p w14:paraId="482413BD">
            <w:pPr>
              <w:pStyle w:val="6"/>
              <w:spacing w:before="71" w:line="182" w:lineRule="auto"/>
              <w:ind w:left="342"/>
            </w:pPr>
            <w:r>
              <w:t>3</w:t>
            </w:r>
          </w:p>
        </w:tc>
        <w:tc>
          <w:tcPr>
            <w:tcW w:w="1259" w:type="dxa"/>
            <w:gridSpan w:val="2"/>
            <w:vAlign w:val="top"/>
          </w:tcPr>
          <w:p w14:paraId="1A9E4E94">
            <w:pPr>
              <w:pStyle w:val="6"/>
              <w:spacing w:before="71" w:line="182" w:lineRule="auto"/>
              <w:ind w:left="329"/>
            </w:pPr>
            <w:r>
              <w:rPr>
                <w:spacing w:val="-1"/>
              </w:rPr>
              <w:t>K1+588</w:t>
            </w:r>
          </w:p>
        </w:tc>
        <w:tc>
          <w:tcPr>
            <w:tcW w:w="2611" w:type="dxa"/>
            <w:vAlign w:val="top"/>
          </w:tcPr>
          <w:p w14:paraId="6440DE90">
            <w:pPr>
              <w:spacing w:before="39" w:line="193" w:lineRule="auto"/>
              <w:ind w:left="1044"/>
              <w:rPr>
                <w:rFonts w:ascii="仿宋" w:hAnsi="仿宋" w:eastAsia="仿宋" w:cs="仿宋"/>
                <w:sz w:val="18"/>
                <w:szCs w:val="18"/>
              </w:rPr>
            </w:pPr>
            <w:r>
              <w:rPr>
                <w:rFonts w:ascii="仿宋" w:hAnsi="仿宋" w:eastAsia="仿宋" w:cs="仿宋"/>
                <w:spacing w:val="-4"/>
                <w:sz w:val="18"/>
                <w:szCs w:val="18"/>
              </w:rPr>
              <w:t>水泥路</w:t>
            </w:r>
          </w:p>
        </w:tc>
        <w:tc>
          <w:tcPr>
            <w:tcW w:w="1325" w:type="dxa"/>
            <w:gridSpan w:val="2"/>
            <w:vAlign w:val="top"/>
          </w:tcPr>
          <w:p w14:paraId="6C8677F1">
            <w:pPr>
              <w:pStyle w:val="6"/>
              <w:spacing w:before="71" w:line="182" w:lineRule="auto"/>
              <w:ind w:left="639"/>
            </w:pPr>
            <w:r>
              <w:t>1</w:t>
            </w:r>
          </w:p>
        </w:tc>
        <w:tc>
          <w:tcPr>
            <w:tcW w:w="1671" w:type="dxa"/>
            <w:gridSpan w:val="2"/>
            <w:tcBorders>
              <w:right w:val="single" w:color="000000" w:sz="6" w:space="0"/>
            </w:tcBorders>
            <w:vAlign w:val="top"/>
          </w:tcPr>
          <w:p w14:paraId="6A1A7EDB">
            <w:pPr>
              <w:spacing w:before="39" w:line="193" w:lineRule="auto"/>
              <w:ind w:left="578"/>
              <w:rPr>
                <w:rFonts w:ascii="仿宋" w:hAnsi="仿宋" w:eastAsia="仿宋" w:cs="仿宋"/>
                <w:sz w:val="18"/>
                <w:szCs w:val="18"/>
              </w:rPr>
            </w:pPr>
            <w:r>
              <w:rPr>
                <w:rFonts w:ascii="仿宋" w:hAnsi="仿宋" w:eastAsia="仿宋" w:cs="仿宋"/>
                <w:spacing w:val="-7"/>
                <w:sz w:val="18"/>
                <w:szCs w:val="18"/>
              </w:rPr>
              <w:t>丁字型</w:t>
            </w:r>
          </w:p>
        </w:tc>
      </w:tr>
      <w:tr w14:paraId="627638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14F1AAAB">
            <w:pPr>
              <w:rPr>
                <w:rFonts w:ascii="Arial"/>
                <w:sz w:val="21"/>
              </w:rPr>
            </w:pPr>
          </w:p>
        </w:tc>
        <w:tc>
          <w:tcPr>
            <w:tcW w:w="7640" w:type="dxa"/>
            <w:gridSpan w:val="9"/>
            <w:tcBorders>
              <w:right w:val="single" w:color="000000" w:sz="6" w:space="0"/>
            </w:tcBorders>
            <w:vAlign w:val="top"/>
          </w:tcPr>
          <w:p w14:paraId="6C8E5F0E">
            <w:pPr>
              <w:spacing w:before="41" w:line="192" w:lineRule="auto"/>
              <w:ind w:left="2838"/>
              <w:rPr>
                <w:rFonts w:ascii="仿宋" w:hAnsi="仿宋" w:eastAsia="仿宋" w:cs="仿宋"/>
                <w:sz w:val="18"/>
                <w:szCs w:val="18"/>
              </w:rPr>
            </w:pPr>
            <w:r>
              <w:rPr>
                <w:rFonts w:ascii="仿宋" w:hAnsi="仿宋" w:eastAsia="仿宋" w:cs="仿宋"/>
                <w:spacing w:val="-2"/>
                <w:sz w:val="18"/>
                <w:szCs w:val="18"/>
              </w:rPr>
              <w:t>二道拐坡底至张家圪旦社</w:t>
            </w:r>
          </w:p>
        </w:tc>
      </w:tr>
      <w:tr w14:paraId="7CAD01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67865A69">
            <w:pPr>
              <w:rPr>
                <w:rFonts w:ascii="Arial"/>
                <w:sz w:val="21"/>
              </w:rPr>
            </w:pPr>
          </w:p>
        </w:tc>
        <w:tc>
          <w:tcPr>
            <w:tcW w:w="774" w:type="dxa"/>
            <w:gridSpan w:val="2"/>
            <w:vAlign w:val="top"/>
          </w:tcPr>
          <w:p w14:paraId="3E9CDFF6">
            <w:pPr>
              <w:pStyle w:val="6"/>
              <w:spacing w:before="71" w:line="181" w:lineRule="auto"/>
              <w:ind w:left="337"/>
            </w:pPr>
            <w:r>
              <w:t>4</w:t>
            </w:r>
          </w:p>
        </w:tc>
        <w:tc>
          <w:tcPr>
            <w:tcW w:w="1259" w:type="dxa"/>
            <w:gridSpan w:val="2"/>
            <w:vAlign w:val="top"/>
          </w:tcPr>
          <w:p w14:paraId="0D65981F">
            <w:pPr>
              <w:pStyle w:val="6"/>
              <w:spacing w:before="71" w:line="181" w:lineRule="auto"/>
              <w:ind w:left="329"/>
            </w:pPr>
            <w:r>
              <w:rPr>
                <w:spacing w:val="-1"/>
              </w:rPr>
              <w:t>K0+203</w:t>
            </w:r>
          </w:p>
        </w:tc>
        <w:tc>
          <w:tcPr>
            <w:tcW w:w="2611" w:type="dxa"/>
            <w:vAlign w:val="top"/>
          </w:tcPr>
          <w:p w14:paraId="3DFD15F8">
            <w:pPr>
              <w:spacing w:before="40" w:line="192" w:lineRule="auto"/>
              <w:ind w:left="1135"/>
              <w:rPr>
                <w:rFonts w:ascii="仿宋" w:hAnsi="仿宋" w:eastAsia="仿宋" w:cs="仿宋"/>
                <w:sz w:val="18"/>
                <w:szCs w:val="18"/>
              </w:rPr>
            </w:pPr>
            <w:r>
              <w:rPr>
                <w:rFonts w:ascii="仿宋" w:hAnsi="仿宋" w:eastAsia="仿宋" w:cs="仿宋"/>
                <w:spacing w:val="-8"/>
                <w:sz w:val="18"/>
                <w:szCs w:val="18"/>
              </w:rPr>
              <w:t>土路</w:t>
            </w:r>
          </w:p>
        </w:tc>
        <w:tc>
          <w:tcPr>
            <w:tcW w:w="1325" w:type="dxa"/>
            <w:gridSpan w:val="2"/>
            <w:vAlign w:val="top"/>
          </w:tcPr>
          <w:p w14:paraId="533A0870">
            <w:pPr>
              <w:pStyle w:val="6"/>
              <w:spacing w:before="71" w:line="181" w:lineRule="auto"/>
              <w:ind w:left="639"/>
            </w:pPr>
            <w:r>
              <w:t>1</w:t>
            </w:r>
          </w:p>
        </w:tc>
        <w:tc>
          <w:tcPr>
            <w:tcW w:w="1671" w:type="dxa"/>
            <w:gridSpan w:val="2"/>
            <w:tcBorders>
              <w:right w:val="single" w:color="000000" w:sz="6" w:space="0"/>
            </w:tcBorders>
            <w:vAlign w:val="top"/>
          </w:tcPr>
          <w:p w14:paraId="48E10CF4">
            <w:pPr>
              <w:spacing w:before="40" w:line="192" w:lineRule="auto"/>
              <w:ind w:left="577"/>
              <w:rPr>
                <w:rFonts w:ascii="仿宋" w:hAnsi="仿宋" w:eastAsia="仿宋" w:cs="仿宋"/>
                <w:sz w:val="18"/>
                <w:szCs w:val="18"/>
              </w:rPr>
            </w:pPr>
            <w:r>
              <w:rPr>
                <w:rFonts w:ascii="仿宋" w:hAnsi="仿宋" w:eastAsia="仿宋" w:cs="仿宋"/>
                <w:spacing w:val="-6"/>
                <w:sz w:val="18"/>
                <w:szCs w:val="18"/>
              </w:rPr>
              <w:t>十字型</w:t>
            </w:r>
          </w:p>
        </w:tc>
      </w:tr>
      <w:tr w14:paraId="57FBBE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4F4B6609">
            <w:pPr>
              <w:rPr>
                <w:rFonts w:ascii="Arial"/>
                <w:sz w:val="21"/>
              </w:rPr>
            </w:pPr>
          </w:p>
        </w:tc>
        <w:tc>
          <w:tcPr>
            <w:tcW w:w="774" w:type="dxa"/>
            <w:gridSpan w:val="2"/>
            <w:vAlign w:val="top"/>
          </w:tcPr>
          <w:p w14:paraId="16A17243">
            <w:pPr>
              <w:pStyle w:val="6"/>
              <w:spacing w:before="75" w:line="178" w:lineRule="auto"/>
              <w:ind w:left="343"/>
            </w:pPr>
            <w:r>
              <w:t>5</w:t>
            </w:r>
          </w:p>
        </w:tc>
        <w:tc>
          <w:tcPr>
            <w:tcW w:w="1259" w:type="dxa"/>
            <w:gridSpan w:val="2"/>
            <w:vAlign w:val="top"/>
          </w:tcPr>
          <w:p w14:paraId="35599074">
            <w:pPr>
              <w:pStyle w:val="6"/>
              <w:spacing w:before="72" w:line="181" w:lineRule="auto"/>
              <w:ind w:left="329"/>
            </w:pPr>
            <w:r>
              <w:rPr>
                <w:spacing w:val="-1"/>
              </w:rPr>
              <w:t>K0+253</w:t>
            </w:r>
          </w:p>
        </w:tc>
        <w:tc>
          <w:tcPr>
            <w:tcW w:w="2611" w:type="dxa"/>
            <w:vAlign w:val="top"/>
          </w:tcPr>
          <w:p w14:paraId="68C34F10">
            <w:pPr>
              <w:spacing w:before="41" w:line="192" w:lineRule="auto"/>
              <w:ind w:left="1135"/>
              <w:rPr>
                <w:rFonts w:ascii="仿宋" w:hAnsi="仿宋" w:eastAsia="仿宋" w:cs="仿宋"/>
                <w:sz w:val="18"/>
                <w:szCs w:val="18"/>
              </w:rPr>
            </w:pPr>
            <w:r>
              <w:rPr>
                <w:rFonts w:ascii="仿宋" w:hAnsi="仿宋" w:eastAsia="仿宋" w:cs="仿宋"/>
                <w:spacing w:val="-8"/>
                <w:sz w:val="18"/>
                <w:szCs w:val="18"/>
              </w:rPr>
              <w:t>土路</w:t>
            </w:r>
          </w:p>
        </w:tc>
        <w:tc>
          <w:tcPr>
            <w:tcW w:w="1325" w:type="dxa"/>
            <w:gridSpan w:val="2"/>
            <w:vAlign w:val="top"/>
          </w:tcPr>
          <w:p w14:paraId="76DB9299">
            <w:pPr>
              <w:pStyle w:val="6"/>
              <w:spacing w:before="72" w:line="181" w:lineRule="auto"/>
              <w:ind w:left="639"/>
            </w:pPr>
            <w:r>
              <w:t>1</w:t>
            </w:r>
          </w:p>
        </w:tc>
        <w:tc>
          <w:tcPr>
            <w:tcW w:w="1671" w:type="dxa"/>
            <w:gridSpan w:val="2"/>
            <w:tcBorders>
              <w:right w:val="single" w:color="000000" w:sz="6" w:space="0"/>
            </w:tcBorders>
            <w:vAlign w:val="top"/>
          </w:tcPr>
          <w:p w14:paraId="2A1654DC">
            <w:pPr>
              <w:pStyle w:val="6"/>
              <w:spacing w:before="41" w:line="192" w:lineRule="auto"/>
              <w:ind w:left="608"/>
              <w:rPr>
                <w:rFonts w:ascii="仿宋" w:hAnsi="仿宋" w:eastAsia="仿宋" w:cs="仿宋"/>
              </w:rPr>
            </w:pPr>
            <w:r>
              <w:rPr>
                <w:rFonts w:ascii="仿宋" w:hAnsi="仿宋" w:eastAsia="仿宋" w:cs="仿宋"/>
                <w:spacing w:val="-5"/>
              </w:rPr>
              <w:t>右</w:t>
            </w:r>
            <w:r>
              <w:rPr>
                <w:spacing w:val="-5"/>
              </w:rPr>
              <w:t>T</w:t>
            </w:r>
            <w:r>
              <w:rPr>
                <w:rFonts w:ascii="仿宋" w:hAnsi="仿宋" w:eastAsia="仿宋" w:cs="仿宋"/>
                <w:spacing w:val="-5"/>
              </w:rPr>
              <w:t>型</w:t>
            </w:r>
          </w:p>
        </w:tc>
      </w:tr>
      <w:tr w14:paraId="02C329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130FDEE5">
            <w:pPr>
              <w:rPr>
                <w:rFonts w:ascii="Arial"/>
                <w:sz w:val="21"/>
              </w:rPr>
            </w:pPr>
          </w:p>
        </w:tc>
        <w:tc>
          <w:tcPr>
            <w:tcW w:w="774" w:type="dxa"/>
            <w:gridSpan w:val="2"/>
            <w:vAlign w:val="top"/>
          </w:tcPr>
          <w:p w14:paraId="5403979A">
            <w:pPr>
              <w:pStyle w:val="6"/>
              <w:spacing w:before="71" w:line="181" w:lineRule="auto"/>
              <w:ind w:left="342"/>
            </w:pPr>
            <w:r>
              <w:t>6</w:t>
            </w:r>
          </w:p>
        </w:tc>
        <w:tc>
          <w:tcPr>
            <w:tcW w:w="1259" w:type="dxa"/>
            <w:gridSpan w:val="2"/>
            <w:vAlign w:val="top"/>
          </w:tcPr>
          <w:p w14:paraId="00605103">
            <w:pPr>
              <w:pStyle w:val="6"/>
              <w:spacing w:before="71" w:line="181" w:lineRule="auto"/>
              <w:ind w:left="329"/>
            </w:pPr>
            <w:r>
              <w:rPr>
                <w:spacing w:val="-1"/>
              </w:rPr>
              <w:t>K0+574</w:t>
            </w:r>
          </w:p>
        </w:tc>
        <w:tc>
          <w:tcPr>
            <w:tcW w:w="2611" w:type="dxa"/>
            <w:vAlign w:val="top"/>
          </w:tcPr>
          <w:p w14:paraId="164D6DC6">
            <w:pPr>
              <w:spacing w:before="40" w:line="192" w:lineRule="auto"/>
              <w:ind w:left="1135"/>
              <w:rPr>
                <w:rFonts w:ascii="仿宋" w:hAnsi="仿宋" w:eastAsia="仿宋" w:cs="仿宋"/>
                <w:sz w:val="18"/>
                <w:szCs w:val="18"/>
              </w:rPr>
            </w:pPr>
            <w:r>
              <w:rPr>
                <w:rFonts w:ascii="仿宋" w:hAnsi="仿宋" w:eastAsia="仿宋" w:cs="仿宋"/>
                <w:spacing w:val="-8"/>
                <w:sz w:val="18"/>
                <w:szCs w:val="18"/>
              </w:rPr>
              <w:t>土路</w:t>
            </w:r>
          </w:p>
        </w:tc>
        <w:tc>
          <w:tcPr>
            <w:tcW w:w="1325" w:type="dxa"/>
            <w:gridSpan w:val="2"/>
            <w:vAlign w:val="top"/>
          </w:tcPr>
          <w:p w14:paraId="60D67C7E">
            <w:pPr>
              <w:pStyle w:val="6"/>
              <w:spacing w:before="71" w:line="181" w:lineRule="auto"/>
              <w:ind w:left="639"/>
            </w:pPr>
            <w:r>
              <w:t>1</w:t>
            </w:r>
          </w:p>
        </w:tc>
        <w:tc>
          <w:tcPr>
            <w:tcW w:w="1671" w:type="dxa"/>
            <w:gridSpan w:val="2"/>
            <w:tcBorders>
              <w:right w:val="single" w:color="000000" w:sz="6" w:space="0"/>
            </w:tcBorders>
            <w:vAlign w:val="top"/>
          </w:tcPr>
          <w:p w14:paraId="3D1E64E6">
            <w:pPr>
              <w:pStyle w:val="6"/>
              <w:spacing w:before="40" w:line="192" w:lineRule="auto"/>
              <w:ind w:left="610"/>
              <w:rPr>
                <w:rFonts w:ascii="仿宋" w:hAnsi="仿宋" w:eastAsia="仿宋" w:cs="仿宋"/>
              </w:rPr>
            </w:pPr>
            <w:r>
              <w:rPr>
                <w:rFonts w:ascii="仿宋" w:hAnsi="仿宋" w:eastAsia="仿宋" w:cs="仿宋"/>
                <w:spacing w:val="-5"/>
              </w:rPr>
              <w:t>左</w:t>
            </w:r>
            <w:r>
              <w:rPr>
                <w:spacing w:val="-5"/>
              </w:rPr>
              <w:t>T</w:t>
            </w:r>
            <w:r>
              <w:rPr>
                <w:rFonts w:ascii="仿宋" w:hAnsi="仿宋" w:eastAsia="仿宋" w:cs="仿宋"/>
                <w:spacing w:val="-5"/>
              </w:rPr>
              <w:t>型</w:t>
            </w:r>
          </w:p>
        </w:tc>
      </w:tr>
      <w:tr w14:paraId="195B75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55A416E4">
            <w:pPr>
              <w:rPr>
                <w:rFonts w:ascii="Arial"/>
                <w:sz w:val="21"/>
              </w:rPr>
            </w:pPr>
          </w:p>
        </w:tc>
        <w:tc>
          <w:tcPr>
            <w:tcW w:w="774" w:type="dxa"/>
            <w:gridSpan w:val="2"/>
            <w:vAlign w:val="top"/>
          </w:tcPr>
          <w:p w14:paraId="2B83951A">
            <w:pPr>
              <w:pStyle w:val="6"/>
              <w:spacing w:before="73" w:line="179" w:lineRule="auto"/>
              <w:ind w:left="341"/>
            </w:pPr>
            <w:r>
              <w:t>7</w:t>
            </w:r>
          </w:p>
        </w:tc>
        <w:tc>
          <w:tcPr>
            <w:tcW w:w="1259" w:type="dxa"/>
            <w:gridSpan w:val="2"/>
            <w:vAlign w:val="top"/>
          </w:tcPr>
          <w:p w14:paraId="79DCE364">
            <w:pPr>
              <w:pStyle w:val="6"/>
              <w:spacing w:before="71" w:line="182" w:lineRule="auto"/>
              <w:ind w:left="329"/>
            </w:pPr>
            <w:r>
              <w:rPr>
                <w:spacing w:val="-1"/>
              </w:rPr>
              <w:t>K0+722</w:t>
            </w:r>
          </w:p>
        </w:tc>
        <w:tc>
          <w:tcPr>
            <w:tcW w:w="2611" w:type="dxa"/>
            <w:vAlign w:val="top"/>
          </w:tcPr>
          <w:p w14:paraId="45BB52B9">
            <w:pPr>
              <w:spacing w:before="42" w:line="190" w:lineRule="auto"/>
              <w:ind w:left="1135"/>
              <w:rPr>
                <w:rFonts w:ascii="仿宋" w:hAnsi="仿宋" w:eastAsia="仿宋" w:cs="仿宋"/>
                <w:sz w:val="18"/>
                <w:szCs w:val="18"/>
              </w:rPr>
            </w:pPr>
            <w:r>
              <w:rPr>
                <w:rFonts w:ascii="仿宋" w:hAnsi="仿宋" w:eastAsia="仿宋" w:cs="仿宋"/>
                <w:spacing w:val="-8"/>
                <w:sz w:val="18"/>
                <w:szCs w:val="18"/>
              </w:rPr>
              <w:t>土路</w:t>
            </w:r>
          </w:p>
        </w:tc>
        <w:tc>
          <w:tcPr>
            <w:tcW w:w="1325" w:type="dxa"/>
            <w:gridSpan w:val="2"/>
            <w:vAlign w:val="top"/>
          </w:tcPr>
          <w:p w14:paraId="5248B4B8">
            <w:pPr>
              <w:pStyle w:val="6"/>
              <w:spacing w:before="71" w:line="182" w:lineRule="auto"/>
              <w:ind w:left="639"/>
            </w:pPr>
            <w:r>
              <w:t>1</w:t>
            </w:r>
          </w:p>
        </w:tc>
        <w:tc>
          <w:tcPr>
            <w:tcW w:w="1671" w:type="dxa"/>
            <w:gridSpan w:val="2"/>
            <w:tcBorders>
              <w:right w:val="single" w:color="000000" w:sz="6" w:space="0"/>
            </w:tcBorders>
            <w:vAlign w:val="top"/>
          </w:tcPr>
          <w:p w14:paraId="1A678DD3">
            <w:pPr>
              <w:pStyle w:val="6"/>
              <w:spacing w:before="42" w:line="190" w:lineRule="auto"/>
              <w:ind w:left="610"/>
              <w:rPr>
                <w:rFonts w:ascii="仿宋" w:hAnsi="仿宋" w:eastAsia="仿宋" w:cs="仿宋"/>
              </w:rPr>
            </w:pPr>
            <w:r>
              <w:rPr>
                <w:rFonts w:ascii="仿宋" w:hAnsi="仿宋" w:eastAsia="仿宋" w:cs="仿宋"/>
                <w:spacing w:val="-5"/>
              </w:rPr>
              <w:t>左</w:t>
            </w:r>
            <w:r>
              <w:rPr>
                <w:spacing w:val="-5"/>
              </w:rPr>
              <w:t>T</w:t>
            </w:r>
            <w:r>
              <w:rPr>
                <w:rFonts w:ascii="仿宋" w:hAnsi="仿宋" w:eastAsia="仿宋" w:cs="仿宋"/>
                <w:spacing w:val="-5"/>
              </w:rPr>
              <w:t>型</w:t>
            </w:r>
          </w:p>
        </w:tc>
      </w:tr>
      <w:tr w14:paraId="309997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0EEAF44F">
            <w:pPr>
              <w:rPr>
                <w:rFonts w:ascii="Arial"/>
                <w:sz w:val="21"/>
              </w:rPr>
            </w:pPr>
          </w:p>
        </w:tc>
        <w:tc>
          <w:tcPr>
            <w:tcW w:w="774" w:type="dxa"/>
            <w:gridSpan w:val="2"/>
            <w:vAlign w:val="top"/>
          </w:tcPr>
          <w:p w14:paraId="385B2463">
            <w:pPr>
              <w:pStyle w:val="6"/>
              <w:spacing w:before="72" w:line="181" w:lineRule="auto"/>
              <w:ind w:left="345"/>
            </w:pPr>
            <w:r>
              <w:t>8</w:t>
            </w:r>
          </w:p>
        </w:tc>
        <w:tc>
          <w:tcPr>
            <w:tcW w:w="1259" w:type="dxa"/>
            <w:gridSpan w:val="2"/>
            <w:vAlign w:val="top"/>
          </w:tcPr>
          <w:p w14:paraId="314305E3">
            <w:pPr>
              <w:pStyle w:val="6"/>
              <w:spacing w:before="72" w:line="181" w:lineRule="auto"/>
              <w:ind w:left="329"/>
            </w:pPr>
            <w:r>
              <w:rPr>
                <w:spacing w:val="-1"/>
              </w:rPr>
              <w:t>K0+738</w:t>
            </w:r>
          </w:p>
        </w:tc>
        <w:tc>
          <w:tcPr>
            <w:tcW w:w="2611" w:type="dxa"/>
            <w:vAlign w:val="top"/>
          </w:tcPr>
          <w:p w14:paraId="646D6FBA">
            <w:pPr>
              <w:spacing w:before="41" w:line="192" w:lineRule="auto"/>
              <w:ind w:left="1135"/>
              <w:rPr>
                <w:rFonts w:ascii="仿宋" w:hAnsi="仿宋" w:eastAsia="仿宋" w:cs="仿宋"/>
                <w:sz w:val="18"/>
                <w:szCs w:val="18"/>
              </w:rPr>
            </w:pPr>
            <w:r>
              <w:rPr>
                <w:rFonts w:ascii="仿宋" w:hAnsi="仿宋" w:eastAsia="仿宋" w:cs="仿宋"/>
                <w:spacing w:val="-8"/>
                <w:sz w:val="18"/>
                <w:szCs w:val="18"/>
              </w:rPr>
              <w:t>土路</w:t>
            </w:r>
          </w:p>
        </w:tc>
        <w:tc>
          <w:tcPr>
            <w:tcW w:w="1325" w:type="dxa"/>
            <w:gridSpan w:val="2"/>
            <w:vAlign w:val="top"/>
          </w:tcPr>
          <w:p w14:paraId="41C2339D">
            <w:pPr>
              <w:pStyle w:val="6"/>
              <w:spacing w:before="72" w:line="181" w:lineRule="auto"/>
              <w:ind w:left="639"/>
            </w:pPr>
            <w:r>
              <w:t>1</w:t>
            </w:r>
          </w:p>
        </w:tc>
        <w:tc>
          <w:tcPr>
            <w:tcW w:w="1671" w:type="dxa"/>
            <w:gridSpan w:val="2"/>
            <w:tcBorders>
              <w:right w:val="single" w:color="000000" w:sz="6" w:space="0"/>
            </w:tcBorders>
            <w:vAlign w:val="top"/>
          </w:tcPr>
          <w:p w14:paraId="6F56D185">
            <w:pPr>
              <w:pStyle w:val="6"/>
              <w:spacing w:before="41" w:line="192" w:lineRule="auto"/>
              <w:ind w:left="688"/>
              <w:rPr>
                <w:rFonts w:ascii="仿宋" w:hAnsi="仿宋" w:eastAsia="仿宋" w:cs="仿宋"/>
              </w:rPr>
            </w:pPr>
            <w:r>
              <w:rPr>
                <w:spacing w:val="-2"/>
              </w:rPr>
              <w:t>L</w:t>
            </w:r>
            <w:r>
              <w:rPr>
                <w:rFonts w:ascii="仿宋" w:hAnsi="仿宋" w:eastAsia="仿宋" w:cs="仿宋"/>
                <w:spacing w:val="-2"/>
              </w:rPr>
              <w:t>型</w:t>
            </w:r>
          </w:p>
        </w:tc>
      </w:tr>
      <w:tr w14:paraId="67CD4B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3C5007C3">
            <w:pPr>
              <w:rPr>
                <w:rFonts w:ascii="Arial"/>
                <w:sz w:val="21"/>
              </w:rPr>
            </w:pPr>
          </w:p>
        </w:tc>
        <w:tc>
          <w:tcPr>
            <w:tcW w:w="774" w:type="dxa"/>
            <w:gridSpan w:val="2"/>
            <w:vAlign w:val="top"/>
          </w:tcPr>
          <w:p w14:paraId="4176F0CD">
            <w:pPr>
              <w:pStyle w:val="6"/>
              <w:spacing w:before="71" w:line="182" w:lineRule="auto"/>
              <w:ind w:left="342"/>
            </w:pPr>
            <w:r>
              <w:t>9</w:t>
            </w:r>
          </w:p>
        </w:tc>
        <w:tc>
          <w:tcPr>
            <w:tcW w:w="1259" w:type="dxa"/>
            <w:gridSpan w:val="2"/>
            <w:vAlign w:val="top"/>
          </w:tcPr>
          <w:p w14:paraId="4CBA31AE">
            <w:pPr>
              <w:pStyle w:val="6"/>
              <w:spacing w:before="71" w:line="182" w:lineRule="auto"/>
              <w:ind w:left="329"/>
            </w:pPr>
            <w:r>
              <w:rPr>
                <w:spacing w:val="-1"/>
              </w:rPr>
              <w:t>K0+890</w:t>
            </w:r>
          </w:p>
        </w:tc>
        <w:tc>
          <w:tcPr>
            <w:tcW w:w="2611" w:type="dxa"/>
            <w:vAlign w:val="top"/>
          </w:tcPr>
          <w:p w14:paraId="2AB14DE1">
            <w:pPr>
              <w:spacing w:before="39" w:line="193" w:lineRule="auto"/>
              <w:ind w:left="1135"/>
              <w:rPr>
                <w:rFonts w:ascii="仿宋" w:hAnsi="仿宋" w:eastAsia="仿宋" w:cs="仿宋"/>
                <w:sz w:val="18"/>
                <w:szCs w:val="18"/>
              </w:rPr>
            </w:pPr>
            <w:r>
              <w:rPr>
                <w:rFonts w:ascii="仿宋" w:hAnsi="仿宋" w:eastAsia="仿宋" w:cs="仿宋"/>
                <w:spacing w:val="-8"/>
                <w:sz w:val="18"/>
                <w:szCs w:val="18"/>
              </w:rPr>
              <w:t>土路</w:t>
            </w:r>
          </w:p>
        </w:tc>
        <w:tc>
          <w:tcPr>
            <w:tcW w:w="1325" w:type="dxa"/>
            <w:gridSpan w:val="2"/>
            <w:vAlign w:val="top"/>
          </w:tcPr>
          <w:p w14:paraId="7184074A">
            <w:pPr>
              <w:pStyle w:val="6"/>
              <w:spacing w:before="71" w:line="182" w:lineRule="auto"/>
              <w:ind w:left="639"/>
            </w:pPr>
            <w:r>
              <w:t>1</w:t>
            </w:r>
          </w:p>
        </w:tc>
        <w:tc>
          <w:tcPr>
            <w:tcW w:w="1671" w:type="dxa"/>
            <w:gridSpan w:val="2"/>
            <w:tcBorders>
              <w:right w:val="single" w:color="000000" w:sz="6" w:space="0"/>
            </w:tcBorders>
            <w:vAlign w:val="top"/>
          </w:tcPr>
          <w:p w14:paraId="6F2D3883">
            <w:pPr>
              <w:pStyle w:val="6"/>
              <w:spacing w:before="39" w:line="193" w:lineRule="auto"/>
              <w:ind w:left="608"/>
              <w:rPr>
                <w:rFonts w:ascii="仿宋" w:hAnsi="仿宋" w:eastAsia="仿宋" w:cs="仿宋"/>
              </w:rPr>
            </w:pPr>
            <w:r>
              <w:rPr>
                <w:rFonts w:ascii="仿宋" w:hAnsi="仿宋" w:eastAsia="仿宋" w:cs="仿宋"/>
                <w:spacing w:val="-5"/>
              </w:rPr>
              <w:t>右</w:t>
            </w:r>
            <w:r>
              <w:rPr>
                <w:spacing w:val="-5"/>
              </w:rPr>
              <w:t>T</w:t>
            </w:r>
            <w:r>
              <w:rPr>
                <w:rFonts w:ascii="仿宋" w:hAnsi="仿宋" w:eastAsia="仿宋" w:cs="仿宋"/>
                <w:spacing w:val="-5"/>
              </w:rPr>
              <w:t>型</w:t>
            </w:r>
          </w:p>
        </w:tc>
      </w:tr>
      <w:tr w14:paraId="056BE6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4BA20459">
            <w:pPr>
              <w:rPr>
                <w:rFonts w:ascii="Arial"/>
                <w:sz w:val="21"/>
              </w:rPr>
            </w:pPr>
          </w:p>
        </w:tc>
        <w:tc>
          <w:tcPr>
            <w:tcW w:w="774" w:type="dxa"/>
            <w:gridSpan w:val="2"/>
            <w:vAlign w:val="top"/>
          </w:tcPr>
          <w:p w14:paraId="1DB5ED81">
            <w:pPr>
              <w:pStyle w:val="6"/>
              <w:spacing w:before="72" w:line="181" w:lineRule="auto"/>
              <w:ind w:left="310"/>
            </w:pPr>
            <w:r>
              <w:rPr>
                <w:spacing w:val="-10"/>
              </w:rPr>
              <w:t>10</w:t>
            </w:r>
          </w:p>
        </w:tc>
        <w:tc>
          <w:tcPr>
            <w:tcW w:w="1259" w:type="dxa"/>
            <w:gridSpan w:val="2"/>
            <w:vAlign w:val="top"/>
          </w:tcPr>
          <w:p w14:paraId="5C0FBCC6">
            <w:pPr>
              <w:pStyle w:val="6"/>
              <w:spacing w:before="72" w:line="181" w:lineRule="auto"/>
              <w:ind w:left="329"/>
            </w:pPr>
            <w:r>
              <w:rPr>
                <w:spacing w:val="-1"/>
              </w:rPr>
              <w:t>K1+063</w:t>
            </w:r>
          </w:p>
        </w:tc>
        <w:tc>
          <w:tcPr>
            <w:tcW w:w="2611" w:type="dxa"/>
            <w:vAlign w:val="top"/>
          </w:tcPr>
          <w:p w14:paraId="4C2EEC9B">
            <w:pPr>
              <w:spacing w:before="41" w:line="192" w:lineRule="auto"/>
              <w:ind w:left="1135"/>
              <w:rPr>
                <w:rFonts w:ascii="仿宋" w:hAnsi="仿宋" w:eastAsia="仿宋" w:cs="仿宋"/>
                <w:sz w:val="18"/>
                <w:szCs w:val="18"/>
              </w:rPr>
            </w:pPr>
            <w:r>
              <w:rPr>
                <w:rFonts w:ascii="仿宋" w:hAnsi="仿宋" w:eastAsia="仿宋" w:cs="仿宋"/>
                <w:spacing w:val="-8"/>
                <w:sz w:val="18"/>
                <w:szCs w:val="18"/>
              </w:rPr>
              <w:t>土路</w:t>
            </w:r>
          </w:p>
        </w:tc>
        <w:tc>
          <w:tcPr>
            <w:tcW w:w="1325" w:type="dxa"/>
            <w:gridSpan w:val="2"/>
            <w:vAlign w:val="top"/>
          </w:tcPr>
          <w:p w14:paraId="3417D4F7">
            <w:pPr>
              <w:pStyle w:val="6"/>
              <w:spacing w:before="72" w:line="181" w:lineRule="auto"/>
              <w:ind w:left="639"/>
            </w:pPr>
            <w:r>
              <w:t>1</w:t>
            </w:r>
          </w:p>
        </w:tc>
        <w:tc>
          <w:tcPr>
            <w:tcW w:w="1671" w:type="dxa"/>
            <w:gridSpan w:val="2"/>
            <w:tcBorders>
              <w:right w:val="single" w:color="000000" w:sz="6" w:space="0"/>
            </w:tcBorders>
            <w:vAlign w:val="top"/>
          </w:tcPr>
          <w:p w14:paraId="55D49A70">
            <w:pPr>
              <w:pStyle w:val="6"/>
              <w:spacing w:before="41" w:line="192" w:lineRule="auto"/>
              <w:ind w:left="610"/>
              <w:rPr>
                <w:rFonts w:ascii="仿宋" w:hAnsi="仿宋" w:eastAsia="仿宋" w:cs="仿宋"/>
              </w:rPr>
            </w:pPr>
            <w:r>
              <w:rPr>
                <w:rFonts w:ascii="仿宋" w:hAnsi="仿宋" w:eastAsia="仿宋" w:cs="仿宋"/>
                <w:spacing w:val="-5"/>
              </w:rPr>
              <w:t>左</w:t>
            </w:r>
            <w:r>
              <w:rPr>
                <w:spacing w:val="-5"/>
              </w:rPr>
              <w:t>T</w:t>
            </w:r>
            <w:r>
              <w:rPr>
                <w:rFonts w:ascii="仿宋" w:hAnsi="仿宋" w:eastAsia="仿宋" w:cs="仿宋"/>
                <w:spacing w:val="-5"/>
              </w:rPr>
              <w:t>型</w:t>
            </w:r>
          </w:p>
        </w:tc>
      </w:tr>
      <w:tr w14:paraId="273557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0F0D1516">
            <w:pPr>
              <w:rPr>
                <w:rFonts w:ascii="Arial"/>
                <w:sz w:val="21"/>
              </w:rPr>
            </w:pPr>
          </w:p>
        </w:tc>
        <w:tc>
          <w:tcPr>
            <w:tcW w:w="774" w:type="dxa"/>
            <w:gridSpan w:val="2"/>
            <w:vAlign w:val="top"/>
          </w:tcPr>
          <w:p w14:paraId="6B0483C7">
            <w:pPr>
              <w:pStyle w:val="6"/>
              <w:spacing w:before="71" w:line="181" w:lineRule="auto"/>
              <w:ind w:left="312"/>
            </w:pPr>
            <w:r>
              <w:rPr>
                <w:spacing w:val="-11"/>
              </w:rPr>
              <w:t>11</w:t>
            </w:r>
          </w:p>
        </w:tc>
        <w:tc>
          <w:tcPr>
            <w:tcW w:w="1259" w:type="dxa"/>
            <w:gridSpan w:val="2"/>
            <w:vAlign w:val="top"/>
          </w:tcPr>
          <w:p w14:paraId="468F76B7">
            <w:pPr>
              <w:pStyle w:val="6"/>
              <w:spacing w:before="71" w:line="181" w:lineRule="auto"/>
              <w:ind w:left="329"/>
            </w:pPr>
            <w:r>
              <w:rPr>
                <w:spacing w:val="-1"/>
              </w:rPr>
              <w:t>K1+296</w:t>
            </w:r>
          </w:p>
        </w:tc>
        <w:tc>
          <w:tcPr>
            <w:tcW w:w="2611" w:type="dxa"/>
            <w:vAlign w:val="top"/>
          </w:tcPr>
          <w:p w14:paraId="0BD5049F">
            <w:pPr>
              <w:spacing w:before="40" w:line="192" w:lineRule="auto"/>
              <w:ind w:left="1135"/>
              <w:rPr>
                <w:rFonts w:ascii="仿宋" w:hAnsi="仿宋" w:eastAsia="仿宋" w:cs="仿宋"/>
                <w:sz w:val="18"/>
                <w:szCs w:val="18"/>
              </w:rPr>
            </w:pPr>
            <w:r>
              <w:rPr>
                <w:rFonts w:ascii="仿宋" w:hAnsi="仿宋" w:eastAsia="仿宋" w:cs="仿宋"/>
                <w:spacing w:val="-8"/>
                <w:sz w:val="18"/>
                <w:szCs w:val="18"/>
              </w:rPr>
              <w:t>土路</w:t>
            </w:r>
          </w:p>
        </w:tc>
        <w:tc>
          <w:tcPr>
            <w:tcW w:w="1325" w:type="dxa"/>
            <w:gridSpan w:val="2"/>
            <w:vAlign w:val="top"/>
          </w:tcPr>
          <w:p w14:paraId="56CC5D4C">
            <w:pPr>
              <w:pStyle w:val="6"/>
              <w:spacing w:before="71" w:line="181" w:lineRule="auto"/>
              <w:ind w:left="639"/>
            </w:pPr>
            <w:r>
              <w:t>1</w:t>
            </w:r>
          </w:p>
        </w:tc>
        <w:tc>
          <w:tcPr>
            <w:tcW w:w="1671" w:type="dxa"/>
            <w:gridSpan w:val="2"/>
            <w:tcBorders>
              <w:right w:val="single" w:color="000000" w:sz="6" w:space="0"/>
            </w:tcBorders>
            <w:vAlign w:val="top"/>
          </w:tcPr>
          <w:p w14:paraId="0FBD98E5">
            <w:pPr>
              <w:pStyle w:val="6"/>
              <w:spacing w:before="40" w:line="192" w:lineRule="auto"/>
              <w:ind w:left="610"/>
              <w:rPr>
                <w:rFonts w:ascii="仿宋" w:hAnsi="仿宋" w:eastAsia="仿宋" w:cs="仿宋"/>
              </w:rPr>
            </w:pPr>
            <w:r>
              <w:rPr>
                <w:rFonts w:ascii="仿宋" w:hAnsi="仿宋" w:eastAsia="仿宋" w:cs="仿宋"/>
                <w:spacing w:val="-5"/>
              </w:rPr>
              <w:t>左</w:t>
            </w:r>
            <w:r>
              <w:rPr>
                <w:spacing w:val="-5"/>
              </w:rPr>
              <w:t>T</w:t>
            </w:r>
            <w:r>
              <w:rPr>
                <w:rFonts w:ascii="仿宋" w:hAnsi="仿宋" w:eastAsia="仿宋" w:cs="仿宋"/>
                <w:spacing w:val="-5"/>
              </w:rPr>
              <w:t>型</w:t>
            </w:r>
          </w:p>
        </w:tc>
      </w:tr>
      <w:tr w14:paraId="6FB6C8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1" w:hRule="atLeast"/>
        </w:trPr>
        <w:tc>
          <w:tcPr>
            <w:tcW w:w="737" w:type="dxa"/>
            <w:vMerge w:val="continue"/>
            <w:tcBorders>
              <w:top w:val="nil"/>
              <w:left w:val="single" w:color="000000" w:sz="6" w:space="0"/>
              <w:bottom w:val="single" w:color="000000" w:sz="6" w:space="0"/>
            </w:tcBorders>
            <w:vAlign w:val="top"/>
          </w:tcPr>
          <w:p w14:paraId="1EFE69F5">
            <w:pPr>
              <w:rPr>
                <w:rFonts w:ascii="Arial"/>
                <w:sz w:val="21"/>
              </w:rPr>
            </w:pPr>
          </w:p>
        </w:tc>
        <w:tc>
          <w:tcPr>
            <w:tcW w:w="774" w:type="dxa"/>
            <w:gridSpan w:val="2"/>
            <w:tcBorders>
              <w:bottom w:val="single" w:color="000000" w:sz="6" w:space="0"/>
            </w:tcBorders>
            <w:vAlign w:val="top"/>
          </w:tcPr>
          <w:p w14:paraId="3CD18C6D">
            <w:pPr>
              <w:pStyle w:val="6"/>
              <w:spacing w:before="73" w:line="188" w:lineRule="auto"/>
              <w:ind w:left="310"/>
            </w:pPr>
            <w:r>
              <w:rPr>
                <w:spacing w:val="-10"/>
              </w:rPr>
              <w:t>12</w:t>
            </w:r>
          </w:p>
        </w:tc>
        <w:tc>
          <w:tcPr>
            <w:tcW w:w="1259" w:type="dxa"/>
            <w:gridSpan w:val="2"/>
            <w:tcBorders>
              <w:bottom w:val="single" w:color="000000" w:sz="6" w:space="0"/>
            </w:tcBorders>
            <w:vAlign w:val="top"/>
          </w:tcPr>
          <w:p w14:paraId="66489169">
            <w:pPr>
              <w:pStyle w:val="6"/>
              <w:spacing w:before="73" w:line="188" w:lineRule="auto"/>
              <w:ind w:left="329"/>
            </w:pPr>
            <w:r>
              <w:rPr>
                <w:spacing w:val="-1"/>
              </w:rPr>
              <w:t>K1+645</w:t>
            </w:r>
          </w:p>
        </w:tc>
        <w:tc>
          <w:tcPr>
            <w:tcW w:w="2611" w:type="dxa"/>
            <w:tcBorders>
              <w:bottom w:val="single" w:color="000000" w:sz="6" w:space="0"/>
            </w:tcBorders>
            <w:vAlign w:val="top"/>
          </w:tcPr>
          <w:p w14:paraId="0CA65A81">
            <w:pPr>
              <w:spacing w:before="42" w:line="204" w:lineRule="auto"/>
              <w:ind w:left="1135"/>
              <w:rPr>
                <w:rFonts w:ascii="仿宋" w:hAnsi="仿宋" w:eastAsia="仿宋" w:cs="仿宋"/>
                <w:sz w:val="18"/>
                <w:szCs w:val="18"/>
              </w:rPr>
            </w:pPr>
            <w:r>
              <w:rPr>
                <w:rFonts w:ascii="仿宋" w:hAnsi="仿宋" w:eastAsia="仿宋" w:cs="仿宋"/>
                <w:spacing w:val="-8"/>
                <w:sz w:val="18"/>
                <w:szCs w:val="18"/>
              </w:rPr>
              <w:t>土路</w:t>
            </w:r>
          </w:p>
        </w:tc>
        <w:tc>
          <w:tcPr>
            <w:tcW w:w="1325" w:type="dxa"/>
            <w:gridSpan w:val="2"/>
            <w:tcBorders>
              <w:bottom w:val="single" w:color="000000" w:sz="6" w:space="0"/>
            </w:tcBorders>
            <w:vAlign w:val="top"/>
          </w:tcPr>
          <w:p w14:paraId="2B240ABF">
            <w:pPr>
              <w:pStyle w:val="6"/>
              <w:spacing w:before="73" w:line="188" w:lineRule="auto"/>
              <w:ind w:left="639"/>
            </w:pPr>
            <w:r>
              <w:t>1</w:t>
            </w:r>
          </w:p>
        </w:tc>
        <w:tc>
          <w:tcPr>
            <w:tcW w:w="1671" w:type="dxa"/>
            <w:gridSpan w:val="2"/>
            <w:tcBorders>
              <w:bottom w:val="single" w:color="000000" w:sz="6" w:space="0"/>
              <w:right w:val="single" w:color="000000" w:sz="6" w:space="0"/>
            </w:tcBorders>
            <w:vAlign w:val="top"/>
          </w:tcPr>
          <w:p w14:paraId="170E5193">
            <w:pPr>
              <w:pStyle w:val="6"/>
              <w:spacing w:before="42" w:line="204" w:lineRule="auto"/>
              <w:ind w:left="608"/>
              <w:rPr>
                <w:rFonts w:ascii="仿宋" w:hAnsi="仿宋" w:eastAsia="仿宋" w:cs="仿宋"/>
              </w:rPr>
            </w:pPr>
            <w:r>
              <w:rPr>
                <w:rFonts w:ascii="仿宋" w:hAnsi="仿宋" w:eastAsia="仿宋" w:cs="仿宋"/>
                <w:spacing w:val="-5"/>
              </w:rPr>
              <w:t>右</w:t>
            </w:r>
            <w:r>
              <w:rPr>
                <w:spacing w:val="-5"/>
              </w:rPr>
              <w:t>T</w:t>
            </w:r>
            <w:r>
              <w:rPr>
                <w:rFonts w:ascii="仿宋" w:hAnsi="仿宋" w:eastAsia="仿宋" w:cs="仿宋"/>
                <w:spacing w:val="-5"/>
              </w:rPr>
              <w:t>型</w:t>
            </w:r>
          </w:p>
        </w:tc>
      </w:tr>
    </w:tbl>
    <w:p w14:paraId="7CF4F961">
      <w:pPr>
        <w:pStyle w:val="2"/>
        <w:spacing w:line="68" w:lineRule="exact"/>
        <w:rPr>
          <w:sz w:val="5"/>
        </w:rPr>
      </w:pPr>
    </w:p>
    <w:p w14:paraId="055AC0FA">
      <w:pPr>
        <w:spacing w:line="68" w:lineRule="exact"/>
        <w:rPr>
          <w:sz w:val="5"/>
          <w:szCs w:val="5"/>
        </w:rPr>
        <w:sectPr>
          <w:footerReference r:id="rId33" w:type="default"/>
          <w:pgSz w:w="11907" w:h="16840"/>
          <w:pgMar w:top="400" w:right="1757" w:bottom="1446" w:left="1757" w:header="0" w:footer="1284" w:gutter="0"/>
          <w:cols w:space="720" w:num="1"/>
        </w:sectPr>
      </w:pPr>
    </w:p>
    <w:p w14:paraId="7C4CB6A0">
      <w:pPr>
        <w:spacing w:before="19"/>
      </w:pPr>
    </w:p>
    <w:p w14:paraId="2DB40684">
      <w:pPr>
        <w:spacing w:before="19"/>
      </w:pPr>
    </w:p>
    <w:p w14:paraId="6626B935">
      <w:pPr>
        <w:spacing w:before="18"/>
      </w:pPr>
    </w:p>
    <w:p w14:paraId="47E8BC26">
      <w:pPr>
        <w:spacing w:before="18"/>
      </w:pPr>
    </w:p>
    <w:tbl>
      <w:tblPr>
        <w:tblStyle w:val="5"/>
        <w:tblW w:w="8377"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7"/>
        <w:gridCol w:w="774"/>
        <w:gridCol w:w="1259"/>
        <w:gridCol w:w="2611"/>
        <w:gridCol w:w="1325"/>
        <w:gridCol w:w="1671"/>
      </w:tblGrid>
      <w:tr w14:paraId="5F35B3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2" w:hRule="atLeast"/>
        </w:trPr>
        <w:tc>
          <w:tcPr>
            <w:tcW w:w="737" w:type="dxa"/>
            <w:vMerge w:val="restart"/>
            <w:tcBorders>
              <w:top w:val="single" w:color="000000" w:sz="6" w:space="0"/>
              <w:left w:val="single" w:color="000000" w:sz="6" w:space="0"/>
              <w:bottom w:val="nil"/>
            </w:tcBorders>
            <w:vAlign w:val="top"/>
          </w:tcPr>
          <w:p w14:paraId="326CB05E">
            <w:pPr>
              <w:rPr>
                <w:rFonts w:ascii="Arial"/>
                <w:sz w:val="21"/>
              </w:rPr>
            </w:pPr>
          </w:p>
        </w:tc>
        <w:tc>
          <w:tcPr>
            <w:tcW w:w="774" w:type="dxa"/>
            <w:tcBorders>
              <w:top w:val="single" w:color="000000" w:sz="6" w:space="0"/>
            </w:tcBorders>
            <w:vAlign w:val="top"/>
          </w:tcPr>
          <w:p w14:paraId="72BF448D">
            <w:pPr>
              <w:pStyle w:val="6"/>
              <w:spacing w:before="83" w:line="188" w:lineRule="auto"/>
              <w:ind w:left="310"/>
            </w:pPr>
            <w:r>
              <w:rPr>
                <w:spacing w:val="-10"/>
              </w:rPr>
              <w:t>13</w:t>
            </w:r>
          </w:p>
        </w:tc>
        <w:tc>
          <w:tcPr>
            <w:tcW w:w="1259" w:type="dxa"/>
            <w:tcBorders>
              <w:top w:val="single" w:color="000000" w:sz="6" w:space="0"/>
            </w:tcBorders>
            <w:vAlign w:val="top"/>
          </w:tcPr>
          <w:p w14:paraId="2A49291C">
            <w:pPr>
              <w:pStyle w:val="6"/>
              <w:spacing w:before="83" w:line="188" w:lineRule="auto"/>
              <w:ind w:left="329"/>
            </w:pPr>
            <w:r>
              <w:rPr>
                <w:spacing w:val="-1"/>
              </w:rPr>
              <w:t>K1+742</w:t>
            </w:r>
          </w:p>
        </w:tc>
        <w:tc>
          <w:tcPr>
            <w:tcW w:w="2611" w:type="dxa"/>
            <w:tcBorders>
              <w:top w:val="single" w:color="000000" w:sz="6" w:space="0"/>
            </w:tcBorders>
            <w:vAlign w:val="top"/>
          </w:tcPr>
          <w:p w14:paraId="15C7210C">
            <w:pPr>
              <w:spacing w:before="52" w:line="205" w:lineRule="auto"/>
              <w:ind w:left="1135"/>
              <w:rPr>
                <w:rFonts w:ascii="仿宋" w:hAnsi="仿宋" w:eastAsia="仿宋" w:cs="仿宋"/>
                <w:sz w:val="18"/>
                <w:szCs w:val="18"/>
              </w:rPr>
            </w:pPr>
            <w:r>
              <w:rPr>
                <w:rFonts w:ascii="仿宋" w:hAnsi="仿宋" w:eastAsia="仿宋" w:cs="仿宋"/>
                <w:spacing w:val="-8"/>
                <w:sz w:val="18"/>
                <w:szCs w:val="18"/>
              </w:rPr>
              <w:t>土路</w:t>
            </w:r>
          </w:p>
        </w:tc>
        <w:tc>
          <w:tcPr>
            <w:tcW w:w="1325" w:type="dxa"/>
            <w:tcBorders>
              <w:top w:val="single" w:color="000000" w:sz="6" w:space="0"/>
            </w:tcBorders>
            <w:vAlign w:val="top"/>
          </w:tcPr>
          <w:p w14:paraId="0C22C882">
            <w:pPr>
              <w:pStyle w:val="6"/>
              <w:spacing w:before="83" w:line="188" w:lineRule="auto"/>
              <w:ind w:left="639"/>
            </w:pPr>
            <w:r>
              <w:t>1</w:t>
            </w:r>
          </w:p>
        </w:tc>
        <w:tc>
          <w:tcPr>
            <w:tcW w:w="1671" w:type="dxa"/>
            <w:tcBorders>
              <w:top w:val="single" w:color="000000" w:sz="6" w:space="0"/>
              <w:right w:val="single" w:color="000000" w:sz="6" w:space="0"/>
            </w:tcBorders>
            <w:vAlign w:val="top"/>
          </w:tcPr>
          <w:p w14:paraId="0DB155E5">
            <w:pPr>
              <w:pStyle w:val="6"/>
              <w:spacing w:before="52" w:line="205" w:lineRule="auto"/>
              <w:ind w:left="608"/>
              <w:rPr>
                <w:rFonts w:ascii="仿宋" w:hAnsi="仿宋" w:eastAsia="仿宋" w:cs="仿宋"/>
              </w:rPr>
            </w:pPr>
            <w:r>
              <w:rPr>
                <w:rFonts w:ascii="仿宋" w:hAnsi="仿宋" w:eastAsia="仿宋" w:cs="仿宋"/>
                <w:spacing w:val="-5"/>
              </w:rPr>
              <w:t>右</w:t>
            </w:r>
            <w:r>
              <w:rPr>
                <w:spacing w:val="-5"/>
              </w:rPr>
              <w:t>T</w:t>
            </w:r>
            <w:r>
              <w:rPr>
                <w:rFonts w:ascii="仿宋" w:hAnsi="仿宋" w:eastAsia="仿宋" w:cs="仿宋"/>
                <w:spacing w:val="-5"/>
              </w:rPr>
              <w:t>型</w:t>
            </w:r>
          </w:p>
        </w:tc>
      </w:tr>
      <w:tr w14:paraId="34BD20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403DC909">
            <w:pPr>
              <w:rPr>
                <w:rFonts w:ascii="Arial"/>
                <w:sz w:val="21"/>
              </w:rPr>
            </w:pPr>
          </w:p>
        </w:tc>
        <w:tc>
          <w:tcPr>
            <w:tcW w:w="774" w:type="dxa"/>
            <w:vAlign w:val="top"/>
          </w:tcPr>
          <w:p w14:paraId="368CFD8F">
            <w:pPr>
              <w:pStyle w:val="6"/>
              <w:spacing w:before="58" w:line="188" w:lineRule="auto"/>
              <w:ind w:left="310"/>
            </w:pPr>
            <w:r>
              <w:rPr>
                <w:spacing w:val="-10"/>
              </w:rPr>
              <w:t>14</w:t>
            </w:r>
          </w:p>
        </w:tc>
        <w:tc>
          <w:tcPr>
            <w:tcW w:w="1259" w:type="dxa"/>
            <w:vAlign w:val="top"/>
          </w:tcPr>
          <w:p w14:paraId="6B15B99D">
            <w:pPr>
              <w:pStyle w:val="6"/>
              <w:spacing w:before="58" w:line="188" w:lineRule="auto"/>
              <w:ind w:left="329"/>
            </w:pPr>
            <w:r>
              <w:rPr>
                <w:spacing w:val="-1"/>
              </w:rPr>
              <w:t>K2+172</w:t>
            </w:r>
          </w:p>
        </w:tc>
        <w:tc>
          <w:tcPr>
            <w:tcW w:w="2611" w:type="dxa"/>
            <w:vAlign w:val="top"/>
          </w:tcPr>
          <w:p w14:paraId="043D8A35">
            <w:pPr>
              <w:spacing w:before="27" w:line="206" w:lineRule="auto"/>
              <w:ind w:left="1135"/>
              <w:rPr>
                <w:rFonts w:ascii="仿宋" w:hAnsi="仿宋" w:eastAsia="仿宋" w:cs="仿宋"/>
                <w:sz w:val="18"/>
                <w:szCs w:val="18"/>
              </w:rPr>
            </w:pPr>
            <w:r>
              <w:rPr>
                <w:rFonts w:ascii="仿宋" w:hAnsi="仿宋" w:eastAsia="仿宋" w:cs="仿宋"/>
                <w:spacing w:val="-8"/>
                <w:sz w:val="18"/>
                <w:szCs w:val="18"/>
              </w:rPr>
              <w:t>土路</w:t>
            </w:r>
          </w:p>
        </w:tc>
        <w:tc>
          <w:tcPr>
            <w:tcW w:w="1325" w:type="dxa"/>
            <w:vAlign w:val="top"/>
          </w:tcPr>
          <w:p w14:paraId="6ED5038E">
            <w:pPr>
              <w:pStyle w:val="6"/>
              <w:spacing w:before="58" w:line="188" w:lineRule="auto"/>
              <w:ind w:left="639"/>
            </w:pPr>
            <w:r>
              <w:t>1</w:t>
            </w:r>
          </w:p>
        </w:tc>
        <w:tc>
          <w:tcPr>
            <w:tcW w:w="1671" w:type="dxa"/>
            <w:tcBorders>
              <w:right w:val="single" w:color="000000" w:sz="6" w:space="0"/>
            </w:tcBorders>
            <w:vAlign w:val="top"/>
          </w:tcPr>
          <w:p w14:paraId="62B516C2">
            <w:pPr>
              <w:pStyle w:val="6"/>
              <w:spacing w:before="27" w:line="206" w:lineRule="auto"/>
              <w:ind w:left="608"/>
              <w:rPr>
                <w:rFonts w:ascii="仿宋" w:hAnsi="仿宋" w:eastAsia="仿宋" w:cs="仿宋"/>
              </w:rPr>
            </w:pPr>
            <w:r>
              <w:rPr>
                <w:rFonts w:ascii="仿宋" w:hAnsi="仿宋" w:eastAsia="仿宋" w:cs="仿宋"/>
                <w:spacing w:val="-5"/>
              </w:rPr>
              <w:t>右</w:t>
            </w:r>
            <w:r>
              <w:rPr>
                <w:spacing w:val="-5"/>
              </w:rPr>
              <w:t>T</w:t>
            </w:r>
            <w:r>
              <w:rPr>
                <w:rFonts w:ascii="仿宋" w:hAnsi="仿宋" w:eastAsia="仿宋" w:cs="仿宋"/>
                <w:spacing w:val="-5"/>
              </w:rPr>
              <w:t>型</w:t>
            </w:r>
          </w:p>
        </w:tc>
      </w:tr>
      <w:tr w14:paraId="65B231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560FEA68">
            <w:pPr>
              <w:rPr>
                <w:rFonts w:ascii="Arial"/>
                <w:sz w:val="21"/>
              </w:rPr>
            </w:pPr>
          </w:p>
        </w:tc>
        <w:tc>
          <w:tcPr>
            <w:tcW w:w="774" w:type="dxa"/>
            <w:vAlign w:val="top"/>
          </w:tcPr>
          <w:p w14:paraId="10D3A545">
            <w:pPr>
              <w:pStyle w:val="6"/>
              <w:spacing w:before="58" w:line="188" w:lineRule="auto"/>
              <w:ind w:left="310"/>
            </w:pPr>
            <w:r>
              <w:rPr>
                <w:spacing w:val="-10"/>
              </w:rPr>
              <w:t>15</w:t>
            </w:r>
          </w:p>
        </w:tc>
        <w:tc>
          <w:tcPr>
            <w:tcW w:w="1259" w:type="dxa"/>
            <w:vAlign w:val="top"/>
          </w:tcPr>
          <w:p w14:paraId="37C7C22A">
            <w:pPr>
              <w:pStyle w:val="6"/>
              <w:spacing w:before="58" w:line="188" w:lineRule="auto"/>
              <w:ind w:left="329"/>
            </w:pPr>
            <w:r>
              <w:rPr>
                <w:spacing w:val="-1"/>
              </w:rPr>
              <w:t>K2+447</w:t>
            </w:r>
          </w:p>
        </w:tc>
        <w:tc>
          <w:tcPr>
            <w:tcW w:w="2611" w:type="dxa"/>
            <w:vAlign w:val="top"/>
          </w:tcPr>
          <w:p w14:paraId="4DEBEF1F">
            <w:pPr>
              <w:spacing w:before="29" w:line="204" w:lineRule="auto"/>
              <w:ind w:left="1047"/>
              <w:rPr>
                <w:rFonts w:ascii="仿宋" w:hAnsi="仿宋" w:eastAsia="仿宋" w:cs="仿宋"/>
                <w:sz w:val="18"/>
                <w:szCs w:val="18"/>
              </w:rPr>
            </w:pPr>
            <w:r>
              <w:rPr>
                <w:rFonts w:ascii="仿宋" w:hAnsi="仿宋" w:eastAsia="仿宋" w:cs="仿宋"/>
                <w:spacing w:val="-5"/>
                <w:sz w:val="18"/>
                <w:szCs w:val="18"/>
              </w:rPr>
              <w:t>沥青路</w:t>
            </w:r>
          </w:p>
        </w:tc>
        <w:tc>
          <w:tcPr>
            <w:tcW w:w="1325" w:type="dxa"/>
            <w:vAlign w:val="top"/>
          </w:tcPr>
          <w:p w14:paraId="0810E632">
            <w:pPr>
              <w:pStyle w:val="6"/>
              <w:spacing w:before="58" w:line="188" w:lineRule="auto"/>
              <w:ind w:left="639"/>
            </w:pPr>
            <w:r>
              <w:t>1</w:t>
            </w:r>
          </w:p>
        </w:tc>
        <w:tc>
          <w:tcPr>
            <w:tcW w:w="1671" w:type="dxa"/>
            <w:tcBorders>
              <w:right w:val="single" w:color="000000" w:sz="6" w:space="0"/>
            </w:tcBorders>
            <w:vAlign w:val="top"/>
          </w:tcPr>
          <w:p w14:paraId="6E078805">
            <w:pPr>
              <w:spacing w:before="29" w:line="204" w:lineRule="auto"/>
              <w:ind w:left="578"/>
              <w:rPr>
                <w:rFonts w:ascii="仿宋" w:hAnsi="仿宋" w:eastAsia="仿宋" w:cs="仿宋"/>
                <w:sz w:val="18"/>
                <w:szCs w:val="18"/>
              </w:rPr>
            </w:pPr>
            <w:r>
              <w:rPr>
                <w:rFonts w:ascii="仿宋" w:hAnsi="仿宋" w:eastAsia="仿宋" w:cs="仿宋"/>
                <w:spacing w:val="-7"/>
                <w:sz w:val="18"/>
                <w:szCs w:val="18"/>
              </w:rPr>
              <w:t>丁字型</w:t>
            </w:r>
          </w:p>
        </w:tc>
      </w:tr>
      <w:tr w14:paraId="35C018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5931E4ED">
            <w:pPr>
              <w:rPr>
                <w:rFonts w:ascii="Arial"/>
                <w:sz w:val="21"/>
              </w:rPr>
            </w:pPr>
          </w:p>
        </w:tc>
        <w:tc>
          <w:tcPr>
            <w:tcW w:w="7640" w:type="dxa"/>
            <w:gridSpan w:val="5"/>
            <w:tcBorders>
              <w:right w:val="single" w:color="000000" w:sz="6" w:space="0"/>
            </w:tcBorders>
            <w:vAlign w:val="top"/>
          </w:tcPr>
          <w:p w14:paraId="31A3B2E2">
            <w:pPr>
              <w:spacing w:before="29" w:line="205" w:lineRule="auto"/>
              <w:ind w:left="2838"/>
              <w:rPr>
                <w:rFonts w:ascii="仿宋" w:hAnsi="仿宋" w:eastAsia="仿宋" w:cs="仿宋"/>
                <w:sz w:val="18"/>
                <w:szCs w:val="18"/>
              </w:rPr>
            </w:pPr>
            <w:r>
              <w:rPr>
                <w:rFonts w:ascii="仿宋" w:hAnsi="仿宋" w:eastAsia="仿宋" w:cs="仿宋"/>
                <w:spacing w:val="-2"/>
                <w:sz w:val="18"/>
                <w:szCs w:val="18"/>
              </w:rPr>
              <w:t>三道拐社坡底至北防洪堤</w:t>
            </w:r>
          </w:p>
        </w:tc>
      </w:tr>
      <w:tr w14:paraId="0BFF91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17634956">
            <w:pPr>
              <w:rPr>
                <w:rFonts w:ascii="Arial"/>
                <w:sz w:val="21"/>
              </w:rPr>
            </w:pPr>
          </w:p>
        </w:tc>
        <w:tc>
          <w:tcPr>
            <w:tcW w:w="774" w:type="dxa"/>
            <w:vAlign w:val="top"/>
          </w:tcPr>
          <w:p w14:paraId="515E0AB0">
            <w:pPr>
              <w:pStyle w:val="6"/>
              <w:spacing w:before="58" w:line="188" w:lineRule="auto"/>
              <w:ind w:left="310"/>
            </w:pPr>
            <w:r>
              <w:rPr>
                <w:spacing w:val="-10"/>
              </w:rPr>
              <w:t>16</w:t>
            </w:r>
          </w:p>
        </w:tc>
        <w:tc>
          <w:tcPr>
            <w:tcW w:w="1259" w:type="dxa"/>
            <w:vAlign w:val="top"/>
          </w:tcPr>
          <w:p w14:paraId="683C290A">
            <w:pPr>
              <w:pStyle w:val="6"/>
              <w:spacing w:before="58" w:line="188" w:lineRule="auto"/>
              <w:ind w:left="329"/>
            </w:pPr>
            <w:r>
              <w:rPr>
                <w:spacing w:val="-1"/>
              </w:rPr>
              <w:t>K0+426</w:t>
            </w:r>
          </w:p>
        </w:tc>
        <w:tc>
          <w:tcPr>
            <w:tcW w:w="2611" w:type="dxa"/>
            <w:vAlign w:val="top"/>
          </w:tcPr>
          <w:p w14:paraId="3843619B">
            <w:pPr>
              <w:spacing w:before="27" w:line="206" w:lineRule="auto"/>
              <w:ind w:left="1135"/>
              <w:rPr>
                <w:rFonts w:ascii="仿宋" w:hAnsi="仿宋" w:eastAsia="仿宋" w:cs="仿宋"/>
                <w:sz w:val="18"/>
                <w:szCs w:val="18"/>
              </w:rPr>
            </w:pPr>
            <w:r>
              <w:rPr>
                <w:rFonts w:ascii="仿宋" w:hAnsi="仿宋" w:eastAsia="仿宋" w:cs="仿宋"/>
                <w:spacing w:val="-8"/>
                <w:sz w:val="18"/>
                <w:szCs w:val="18"/>
              </w:rPr>
              <w:t>土路</w:t>
            </w:r>
          </w:p>
        </w:tc>
        <w:tc>
          <w:tcPr>
            <w:tcW w:w="1325" w:type="dxa"/>
            <w:vAlign w:val="top"/>
          </w:tcPr>
          <w:p w14:paraId="22755FC4">
            <w:pPr>
              <w:pStyle w:val="6"/>
              <w:spacing w:before="58" w:line="188" w:lineRule="auto"/>
              <w:ind w:left="639"/>
            </w:pPr>
            <w:r>
              <w:t>1</w:t>
            </w:r>
          </w:p>
        </w:tc>
        <w:tc>
          <w:tcPr>
            <w:tcW w:w="1671" w:type="dxa"/>
            <w:tcBorders>
              <w:right w:val="single" w:color="000000" w:sz="6" w:space="0"/>
            </w:tcBorders>
            <w:vAlign w:val="top"/>
          </w:tcPr>
          <w:p w14:paraId="0BD1ADDC">
            <w:pPr>
              <w:pStyle w:val="6"/>
              <w:spacing w:before="27" w:line="206" w:lineRule="auto"/>
              <w:ind w:left="688"/>
              <w:rPr>
                <w:rFonts w:ascii="仿宋" w:hAnsi="仿宋" w:eastAsia="仿宋" w:cs="仿宋"/>
              </w:rPr>
            </w:pPr>
            <w:r>
              <w:rPr>
                <w:spacing w:val="-2"/>
              </w:rPr>
              <w:t>L</w:t>
            </w:r>
            <w:r>
              <w:rPr>
                <w:rFonts w:ascii="仿宋" w:hAnsi="仿宋" w:eastAsia="仿宋" w:cs="仿宋"/>
                <w:spacing w:val="-2"/>
              </w:rPr>
              <w:t>型</w:t>
            </w:r>
          </w:p>
        </w:tc>
      </w:tr>
      <w:tr w14:paraId="6CFFAC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51014285">
            <w:pPr>
              <w:rPr>
                <w:rFonts w:ascii="Arial"/>
                <w:sz w:val="21"/>
              </w:rPr>
            </w:pPr>
          </w:p>
        </w:tc>
        <w:tc>
          <w:tcPr>
            <w:tcW w:w="774" w:type="dxa"/>
            <w:vAlign w:val="top"/>
          </w:tcPr>
          <w:p w14:paraId="6523C69A">
            <w:pPr>
              <w:pStyle w:val="6"/>
              <w:spacing w:before="60" w:line="188" w:lineRule="auto"/>
              <w:ind w:left="310"/>
            </w:pPr>
            <w:r>
              <w:rPr>
                <w:spacing w:val="-10"/>
              </w:rPr>
              <w:t>17</w:t>
            </w:r>
          </w:p>
        </w:tc>
        <w:tc>
          <w:tcPr>
            <w:tcW w:w="1259" w:type="dxa"/>
            <w:vAlign w:val="top"/>
          </w:tcPr>
          <w:p w14:paraId="4018070B">
            <w:pPr>
              <w:pStyle w:val="6"/>
              <w:spacing w:before="60" w:line="188" w:lineRule="auto"/>
              <w:ind w:left="329"/>
            </w:pPr>
            <w:r>
              <w:rPr>
                <w:spacing w:val="-1"/>
              </w:rPr>
              <w:t>K1+240</w:t>
            </w:r>
          </w:p>
        </w:tc>
        <w:tc>
          <w:tcPr>
            <w:tcW w:w="2611" w:type="dxa"/>
            <w:vAlign w:val="top"/>
          </w:tcPr>
          <w:p w14:paraId="7330BDC4">
            <w:pPr>
              <w:spacing w:before="29" w:line="205" w:lineRule="auto"/>
              <w:ind w:left="1135"/>
              <w:rPr>
                <w:rFonts w:ascii="仿宋" w:hAnsi="仿宋" w:eastAsia="仿宋" w:cs="仿宋"/>
                <w:sz w:val="18"/>
                <w:szCs w:val="18"/>
              </w:rPr>
            </w:pPr>
            <w:r>
              <w:rPr>
                <w:rFonts w:ascii="仿宋" w:hAnsi="仿宋" w:eastAsia="仿宋" w:cs="仿宋"/>
                <w:spacing w:val="-8"/>
                <w:sz w:val="18"/>
                <w:szCs w:val="18"/>
              </w:rPr>
              <w:t>土路</w:t>
            </w:r>
          </w:p>
        </w:tc>
        <w:tc>
          <w:tcPr>
            <w:tcW w:w="1325" w:type="dxa"/>
            <w:vAlign w:val="top"/>
          </w:tcPr>
          <w:p w14:paraId="6DE658AF">
            <w:pPr>
              <w:pStyle w:val="6"/>
              <w:spacing w:before="60" w:line="188" w:lineRule="auto"/>
              <w:ind w:left="639"/>
            </w:pPr>
            <w:r>
              <w:t>1</w:t>
            </w:r>
          </w:p>
        </w:tc>
        <w:tc>
          <w:tcPr>
            <w:tcW w:w="1671" w:type="dxa"/>
            <w:tcBorders>
              <w:right w:val="single" w:color="000000" w:sz="6" w:space="0"/>
            </w:tcBorders>
            <w:vAlign w:val="top"/>
          </w:tcPr>
          <w:p w14:paraId="3F5891B5">
            <w:pPr>
              <w:spacing w:before="29" w:line="205" w:lineRule="auto"/>
              <w:ind w:left="577"/>
              <w:rPr>
                <w:rFonts w:ascii="仿宋" w:hAnsi="仿宋" w:eastAsia="仿宋" w:cs="仿宋"/>
                <w:sz w:val="18"/>
                <w:szCs w:val="18"/>
              </w:rPr>
            </w:pPr>
            <w:r>
              <w:rPr>
                <w:rFonts w:ascii="仿宋" w:hAnsi="仿宋" w:eastAsia="仿宋" w:cs="仿宋"/>
                <w:spacing w:val="-6"/>
                <w:sz w:val="18"/>
                <w:szCs w:val="18"/>
              </w:rPr>
              <w:t>十字型</w:t>
            </w:r>
          </w:p>
        </w:tc>
      </w:tr>
      <w:tr w14:paraId="7FBBAF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737" w:type="dxa"/>
            <w:vMerge w:val="continue"/>
            <w:tcBorders>
              <w:top w:val="nil"/>
              <w:left w:val="single" w:color="000000" w:sz="6" w:space="0"/>
              <w:bottom w:val="nil"/>
            </w:tcBorders>
            <w:vAlign w:val="top"/>
          </w:tcPr>
          <w:p w14:paraId="00F958A9">
            <w:pPr>
              <w:rPr>
                <w:rFonts w:ascii="Arial"/>
                <w:sz w:val="21"/>
              </w:rPr>
            </w:pPr>
          </w:p>
        </w:tc>
        <w:tc>
          <w:tcPr>
            <w:tcW w:w="774" w:type="dxa"/>
            <w:vAlign w:val="top"/>
          </w:tcPr>
          <w:p w14:paraId="534A80B0">
            <w:pPr>
              <w:pStyle w:val="6"/>
              <w:spacing w:before="58" w:line="188" w:lineRule="auto"/>
              <w:ind w:left="310"/>
            </w:pPr>
            <w:r>
              <w:rPr>
                <w:spacing w:val="-10"/>
              </w:rPr>
              <w:t>18</w:t>
            </w:r>
          </w:p>
        </w:tc>
        <w:tc>
          <w:tcPr>
            <w:tcW w:w="1259" w:type="dxa"/>
            <w:vAlign w:val="top"/>
          </w:tcPr>
          <w:p w14:paraId="56E1CD52">
            <w:pPr>
              <w:pStyle w:val="6"/>
              <w:spacing w:before="58" w:line="188" w:lineRule="auto"/>
              <w:ind w:left="329"/>
            </w:pPr>
            <w:r>
              <w:rPr>
                <w:spacing w:val="-1"/>
              </w:rPr>
              <w:t>K1+457</w:t>
            </w:r>
          </w:p>
        </w:tc>
        <w:tc>
          <w:tcPr>
            <w:tcW w:w="2611" w:type="dxa"/>
            <w:vAlign w:val="top"/>
          </w:tcPr>
          <w:p w14:paraId="6C02FCAC">
            <w:pPr>
              <w:spacing w:before="27" w:line="205" w:lineRule="auto"/>
              <w:ind w:left="1047"/>
              <w:rPr>
                <w:rFonts w:ascii="仿宋" w:hAnsi="仿宋" w:eastAsia="仿宋" w:cs="仿宋"/>
                <w:sz w:val="18"/>
                <w:szCs w:val="18"/>
              </w:rPr>
            </w:pPr>
            <w:r>
              <w:rPr>
                <w:rFonts w:ascii="仿宋" w:hAnsi="仿宋" w:eastAsia="仿宋" w:cs="仿宋"/>
                <w:spacing w:val="-5"/>
                <w:sz w:val="18"/>
                <w:szCs w:val="18"/>
              </w:rPr>
              <w:t>沥青路</w:t>
            </w:r>
          </w:p>
        </w:tc>
        <w:tc>
          <w:tcPr>
            <w:tcW w:w="1325" w:type="dxa"/>
            <w:vAlign w:val="top"/>
          </w:tcPr>
          <w:p w14:paraId="4E7E69F1">
            <w:pPr>
              <w:pStyle w:val="6"/>
              <w:spacing w:before="58" w:line="188" w:lineRule="auto"/>
              <w:ind w:left="639"/>
            </w:pPr>
            <w:r>
              <w:t>1</w:t>
            </w:r>
          </w:p>
        </w:tc>
        <w:tc>
          <w:tcPr>
            <w:tcW w:w="1671" w:type="dxa"/>
            <w:tcBorders>
              <w:right w:val="single" w:color="000000" w:sz="6" w:space="0"/>
            </w:tcBorders>
            <w:vAlign w:val="top"/>
          </w:tcPr>
          <w:p w14:paraId="7D59BF16">
            <w:pPr>
              <w:spacing w:before="27" w:line="205" w:lineRule="auto"/>
              <w:ind w:left="578"/>
              <w:rPr>
                <w:rFonts w:ascii="仿宋" w:hAnsi="仿宋" w:eastAsia="仿宋" w:cs="仿宋"/>
                <w:sz w:val="18"/>
                <w:szCs w:val="18"/>
              </w:rPr>
            </w:pPr>
            <w:r>
              <w:rPr>
                <w:rFonts w:ascii="仿宋" w:hAnsi="仿宋" w:eastAsia="仿宋" w:cs="仿宋"/>
                <w:spacing w:val="-7"/>
                <w:sz w:val="18"/>
                <w:szCs w:val="18"/>
              </w:rPr>
              <w:t>丁字型</w:t>
            </w:r>
          </w:p>
        </w:tc>
      </w:tr>
      <w:tr w14:paraId="7971E9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4F45A8DA">
            <w:pPr>
              <w:rPr>
                <w:rFonts w:ascii="Arial"/>
                <w:sz w:val="21"/>
              </w:rPr>
            </w:pPr>
          </w:p>
        </w:tc>
        <w:tc>
          <w:tcPr>
            <w:tcW w:w="7640" w:type="dxa"/>
            <w:gridSpan w:val="5"/>
            <w:tcBorders>
              <w:right w:val="single" w:color="000000" w:sz="6" w:space="0"/>
            </w:tcBorders>
            <w:vAlign w:val="top"/>
          </w:tcPr>
          <w:p w14:paraId="3C4E51F8">
            <w:pPr>
              <w:spacing w:before="30" w:line="204" w:lineRule="auto"/>
              <w:ind w:left="3015"/>
              <w:rPr>
                <w:rFonts w:ascii="仿宋" w:hAnsi="仿宋" w:eastAsia="仿宋" w:cs="仿宋"/>
                <w:sz w:val="18"/>
                <w:szCs w:val="18"/>
              </w:rPr>
            </w:pPr>
            <w:r>
              <w:rPr>
                <w:rFonts w:ascii="仿宋" w:hAnsi="仿宋" w:eastAsia="仿宋" w:cs="仿宋"/>
                <w:spacing w:val="-2"/>
                <w:sz w:val="18"/>
                <w:szCs w:val="18"/>
              </w:rPr>
              <w:t>大棚区至杏仁露基地</w:t>
            </w:r>
          </w:p>
        </w:tc>
      </w:tr>
      <w:tr w14:paraId="2E93FB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5DBB07CE">
            <w:pPr>
              <w:rPr>
                <w:rFonts w:ascii="Arial"/>
                <w:sz w:val="21"/>
              </w:rPr>
            </w:pPr>
          </w:p>
        </w:tc>
        <w:tc>
          <w:tcPr>
            <w:tcW w:w="774" w:type="dxa"/>
            <w:vAlign w:val="top"/>
          </w:tcPr>
          <w:p w14:paraId="5B28274A">
            <w:pPr>
              <w:pStyle w:val="6"/>
              <w:spacing w:before="59" w:line="188" w:lineRule="auto"/>
              <w:ind w:left="310"/>
            </w:pPr>
            <w:r>
              <w:rPr>
                <w:spacing w:val="-10"/>
              </w:rPr>
              <w:t>19</w:t>
            </w:r>
          </w:p>
        </w:tc>
        <w:tc>
          <w:tcPr>
            <w:tcW w:w="1259" w:type="dxa"/>
            <w:vAlign w:val="top"/>
          </w:tcPr>
          <w:p w14:paraId="7E812899">
            <w:pPr>
              <w:pStyle w:val="6"/>
              <w:spacing w:before="59" w:line="188" w:lineRule="auto"/>
              <w:ind w:left="329"/>
            </w:pPr>
            <w:r>
              <w:rPr>
                <w:spacing w:val="-1"/>
              </w:rPr>
              <w:t>K0+019</w:t>
            </w:r>
          </w:p>
        </w:tc>
        <w:tc>
          <w:tcPr>
            <w:tcW w:w="2611" w:type="dxa"/>
            <w:vAlign w:val="top"/>
          </w:tcPr>
          <w:p w14:paraId="2886770B">
            <w:pPr>
              <w:spacing w:before="28" w:line="205" w:lineRule="auto"/>
              <w:ind w:left="1135"/>
              <w:rPr>
                <w:rFonts w:ascii="仿宋" w:hAnsi="仿宋" w:eastAsia="仿宋" w:cs="仿宋"/>
                <w:sz w:val="18"/>
                <w:szCs w:val="18"/>
              </w:rPr>
            </w:pPr>
            <w:r>
              <w:rPr>
                <w:rFonts w:ascii="仿宋" w:hAnsi="仿宋" w:eastAsia="仿宋" w:cs="仿宋"/>
                <w:spacing w:val="-8"/>
                <w:sz w:val="18"/>
                <w:szCs w:val="18"/>
              </w:rPr>
              <w:t>土路</w:t>
            </w:r>
          </w:p>
        </w:tc>
        <w:tc>
          <w:tcPr>
            <w:tcW w:w="1325" w:type="dxa"/>
            <w:vAlign w:val="top"/>
          </w:tcPr>
          <w:p w14:paraId="3BD7C5AB">
            <w:pPr>
              <w:pStyle w:val="6"/>
              <w:spacing w:before="59" w:line="188" w:lineRule="auto"/>
              <w:ind w:left="639"/>
            </w:pPr>
            <w:r>
              <w:t>1</w:t>
            </w:r>
          </w:p>
        </w:tc>
        <w:tc>
          <w:tcPr>
            <w:tcW w:w="1671" w:type="dxa"/>
            <w:tcBorders>
              <w:right w:val="single" w:color="000000" w:sz="6" w:space="0"/>
            </w:tcBorders>
            <w:vAlign w:val="top"/>
          </w:tcPr>
          <w:p w14:paraId="6B206E4B">
            <w:pPr>
              <w:pStyle w:val="6"/>
              <w:spacing w:before="28" w:line="205" w:lineRule="auto"/>
              <w:ind w:left="610"/>
              <w:rPr>
                <w:rFonts w:ascii="仿宋" w:hAnsi="仿宋" w:eastAsia="仿宋" w:cs="仿宋"/>
              </w:rPr>
            </w:pPr>
            <w:r>
              <w:rPr>
                <w:rFonts w:ascii="仿宋" w:hAnsi="仿宋" w:eastAsia="仿宋" w:cs="仿宋"/>
                <w:spacing w:val="-5"/>
              </w:rPr>
              <w:t>左</w:t>
            </w:r>
            <w:r>
              <w:rPr>
                <w:spacing w:val="-5"/>
              </w:rPr>
              <w:t>T</w:t>
            </w:r>
            <w:r>
              <w:rPr>
                <w:rFonts w:ascii="仿宋" w:hAnsi="仿宋" w:eastAsia="仿宋" w:cs="仿宋"/>
                <w:spacing w:val="-5"/>
              </w:rPr>
              <w:t>型</w:t>
            </w:r>
          </w:p>
        </w:tc>
      </w:tr>
      <w:tr w14:paraId="0D43ED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0FA0EA24">
            <w:pPr>
              <w:rPr>
                <w:rFonts w:ascii="Arial"/>
                <w:sz w:val="21"/>
              </w:rPr>
            </w:pPr>
          </w:p>
        </w:tc>
        <w:tc>
          <w:tcPr>
            <w:tcW w:w="774" w:type="dxa"/>
            <w:vAlign w:val="top"/>
          </w:tcPr>
          <w:p w14:paraId="7736D6E4">
            <w:pPr>
              <w:pStyle w:val="6"/>
              <w:spacing w:before="59" w:line="188" w:lineRule="auto"/>
              <w:ind w:left="293"/>
            </w:pPr>
            <w:r>
              <w:rPr>
                <w:spacing w:val="-2"/>
              </w:rPr>
              <w:t>20</w:t>
            </w:r>
          </w:p>
        </w:tc>
        <w:tc>
          <w:tcPr>
            <w:tcW w:w="1259" w:type="dxa"/>
            <w:vAlign w:val="top"/>
          </w:tcPr>
          <w:p w14:paraId="163312A3">
            <w:pPr>
              <w:pStyle w:val="6"/>
              <w:spacing w:before="59" w:line="188" w:lineRule="auto"/>
              <w:ind w:left="329"/>
            </w:pPr>
            <w:r>
              <w:rPr>
                <w:spacing w:val="-1"/>
              </w:rPr>
              <w:t>K1+005</w:t>
            </w:r>
          </w:p>
        </w:tc>
        <w:tc>
          <w:tcPr>
            <w:tcW w:w="2611" w:type="dxa"/>
            <w:vAlign w:val="top"/>
          </w:tcPr>
          <w:p w14:paraId="2EAC1ECE">
            <w:pPr>
              <w:spacing w:before="30" w:line="203" w:lineRule="auto"/>
              <w:ind w:left="1135"/>
              <w:rPr>
                <w:rFonts w:ascii="仿宋" w:hAnsi="仿宋" w:eastAsia="仿宋" w:cs="仿宋"/>
                <w:sz w:val="18"/>
                <w:szCs w:val="18"/>
              </w:rPr>
            </w:pPr>
            <w:r>
              <w:rPr>
                <w:rFonts w:ascii="仿宋" w:hAnsi="仿宋" w:eastAsia="仿宋" w:cs="仿宋"/>
                <w:spacing w:val="-8"/>
                <w:sz w:val="18"/>
                <w:szCs w:val="18"/>
              </w:rPr>
              <w:t>土路</w:t>
            </w:r>
          </w:p>
        </w:tc>
        <w:tc>
          <w:tcPr>
            <w:tcW w:w="1325" w:type="dxa"/>
            <w:vAlign w:val="top"/>
          </w:tcPr>
          <w:p w14:paraId="77EE199C">
            <w:pPr>
              <w:pStyle w:val="6"/>
              <w:spacing w:before="59" w:line="188" w:lineRule="auto"/>
              <w:ind w:left="639"/>
            </w:pPr>
            <w:r>
              <w:t>1</w:t>
            </w:r>
          </w:p>
        </w:tc>
        <w:tc>
          <w:tcPr>
            <w:tcW w:w="1671" w:type="dxa"/>
            <w:tcBorders>
              <w:right w:val="single" w:color="000000" w:sz="6" w:space="0"/>
            </w:tcBorders>
            <w:vAlign w:val="top"/>
          </w:tcPr>
          <w:p w14:paraId="276F32EC">
            <w:pPr>
              <w:pStyle w:val="6"/>
              <w:spacing w:before="30" w:line="203" w:lineRule="auto"/>
              <w:ind w:left="610"/>
              <w:rPr>
                <w:rFonts w:ascii="仿宋" w:hAnsi="仿宋" w:eastAsia="仿宋" w:cs="仿宋"/>
              </w:rPr>
            </w:pPr>
            <w:r>
              <w:rPr>
                <w:rFonts w:ascii="仿宋" w:hAnsi="仿宋" w:eastAsia="仿宋" w:cs="仿宋"/>
                <w:spacing w:val="-5"/>
              </w:rPr>
              <w:t>左</w:t>
            </w:r>
            <w:r>
              <w:rPr>
                <w:spacing w:val="-5"/>
              </w:rPr>
              <w:t>T</w:t>
            </w:r>
            <w:r>
              <w:rPr>
                <w:rFonts w:ascii="仿宋" w:hAnsi="仿宋" w:eastAsia="仿宋" w:cs="仿宋"/>
                <w:spacing w:val="-5"/>
              </w:rPr>
              <w:t>型</w:t>
            </w:r>
          </w:p>
        </w:tc>
      </w:tr>
      <w:tr w14:paraId="38615A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1BE1C0C8">
            <w:pPr>
              <w:rPr>
                <w:rFonts w:ascii="Arial"/>
                <w:sz w:val="21"/>
              </w:rPr>
            </w:pPr>
          </w:p>
        </w:tc>
        <w:tc>
          <w:tcPr>
            <w:tcW w:w="774" w:type="dxa"/>
            <w:vAlign w:val="top"/>
          </w:tcPr>
          <w:p w14:paraId="2D88AED4">
            <w:pPr>
              <w:pStyle w:val="6"/>
              <w:spacing w:before="61" w:line="188" w:lineRule="auto"/>
              <w:ind w:left="293"/>
            </w:pPr>
            <w:r>
              <w:rPr>
                <w:spacing w:val="-2"/>
              </w:rPr>
              <w:t>21</w:t>
            </w:r>
          </w:p>
        </w:tc>
        <w:tc>
          <w:tcPr>
            <w:tcW w:w="1259" w:type="dxa"/>
            <w:vAlign w:val="top"/>
          </w:tcPr>
          <w:p w14:paraId="081EFCD8">
            <w:pPr>
              <w:pStyle w:val="6"/>
              <w:spacing w:before="61" w:line="188" w:lineRule="auto"/>
              <w:ind w:left="329"/>
            </w:pPr>
            <w:r>
              <w:rPr>
                <w:spacing w:val="-1"/>
              </w:rPr>
              <w:t>K1+482</w:t>
            </w:r>
          </w:p>
        </w:tc>
        <w:tc>
          <w:tcPr>
            <w:tcW w:w="2611" w:type="dxa"/>
            <w:vAlign w:val="top"/>
          </w:tcPr>
          <w:p w14:paraId="0F219137">
            <w:pPr>
              <w:spacing w:before="30" w:line="204" w:lineRule="auto"/>
              <w:ind w:left="1135"/>
              <w:rPr>
                <w:rFonts w:ascii="仿宋" w:hAnsi="仿宋" w:eastAsia="仿宋" w:cs="仿宋"/>
                <w:sz w:val="18"/>
                <w:szCs w:val="18"/>
              </w:rPr>
            </w:pPr>
            <w:r>
              <w:rPr>
                <w:rFonts w:ascii="仿宋" w:hAnsi="仿宋" w:eastAsia="仿宋" w:cs="仿宋"/>
                <w:spacing w:val="-8"/>
                <w:sz w:val="18"/>
                <w:szCs w:val="18"/>
              </w:rPr>
              <w:t>土路</w:t>
            </w:r>
          </w:p>
        </w:tc>
        <w:tc>
          <w:tcPr>
            <w:tcW w:w="1325" w:type="dxa"/>
            <w:vAlign w:val="top"/>
          </w:tcPr>
          <w:p w14:paraId="293974DC">
            <w:pPr>
              <w:pStyle w:val="6"/>
              <w:spacing w:before="61" w:line="188" w:lineRule="auto"/>
              <w:ind w:left="639"/>
            </w:pPr>
            <w:r>
              <w:t>1</w:t>
            </w:r>
          </w:p>
        </w:tc>
        <w:tc>
          <w:tcPr>
            <w:tcW w:w="1671" w:type="dxa"/>
            <w:tcBorders>
              <w:right w:val="single" w:color="000000" w:sz="6" w:space="0"/>
            </w:tcBorders>
            <w:vAlign w:val="top"/>
          </w:tcPr>
          <w:p w14:paraId="5528EE9F">
            <w:pPr>
              <w:pStyle w:val="6"/>
              <w:spacing w:before="30" w:line="204" w:lineRule="auto"/>
              <w:ind w:left="608"/>
              <w:rPr>
                <w:rFonts w:ascii="仿宋" w:hAnsi="仿宋" w:eastAsia="仿宋" w:cs="仿宋"/>
              </w:rPr>
            </w:pPr>
            <w:r>
              <w:rPr>
                <w:rFonts w:ascii="仿宋" w:hAnsi="仿宋" w:eastAsia="仿宋" w:cs="仿宋"/>
                <w:spacing w:val="-5"/>
              </w:rPr>
              <w:t>右</w:t>
            </w:r>
            <w:r>
              <w:rPr>
                <w:spacing w:val="-5"/>
              </w:rPr>
              <w:t>T</w:t>
            </w:r>
            <w:r>
              <w:rPr>
                <w:rFonts w:ascii="仿宋" w:hAnsi="仿宋" w:eastAsia="仿宋" w:cs="仿宋"/>
                <w:spacing w:val="-5"/>
              </w:rPr>
              <w:t>型</w:t>
            </w:r>
          </w:p>
        </w:tc>
      </w:tr>
      <w:tr w14:paraId="624056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0D720DE3">
            <w:pPr>
              <w:rPr>
                <w:rFonts w:ascii="Arial"/>
                <w:sz w:val="21"/>
              </w:rPr>
            </w:pPr>
          </w:p>
        </w:tc>
        <w:tc>
          <w:tcPr>
            <w:tcW w:w="7640" w:type="dxa"/>
            <w:gridSpan w:val="5"/>
            <w:tcBorders>
              <w:right w:val="single" w:color="000000" w:sz="6" w:space="0"/>
            </w:tcBorders>
            <w:vAlign w:val="top"/>
          </w:tcPr>
          <w:p w14:paraId="73FFC34C">
            <w:pPr>
              <w:spacing w:before="28" w:line="205" w:lineRule="auto"/>
              <w:ind w:left="1844"/>
              <w:rPr>
                <w:rFonts w:ascii="仿宋" w:hAnsi="仿宋" w:eastAsia="仿宋" w:cs="仿宋"/>
                <w:sz w:val="18"/>
                <w:szCs w:val="18"/>
              </w:rPr>
            </w:pPr>
            <w:r>
              <w:rPr>
                <w:rFonts w:ascii="仿宋" w:hAnsi="仿宋" w:eastAsia="仿宋" w:cs="仿宋"/>
                <w:spacing w:val="-1"/>
                <w:sz w:val="18"/>
                <w:szCs w:val="18"/>
              </w:rPr>
              <w:t>准格尔旗十二连城乡脑包湾村自然村通硬化路工程</w:t>
            </w:r>
          </w:p>
        </w:tc>
      </w:tr>
      <w:tr w14:paraId="798FBF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4D2B2135">
            <w:pPr>
              <w:rPr>
                <w:rFonts w:ascii="Arial"/>
                <w:sz w:val="21"/>
              </w:rPr>
            </w:pPr>
          </w:p>
        </w:tc>
        <w:tc>
          <w:tcPr>
            <w:tcW w:w="7640" w:type="dxa"/>
            <w:gridSpan w:val="5"/>
            <w:tcBorders>
              <w:right w:val="single" w:color="000000" w:sz="6" w:space="0"/>
            </w:tcBorders>
            <w:vAlign w:val="top"/>
          </w:tcPr>
          <w:p w14:paraId="6542F855">
            <w:pPr>
              <w:spacing w:before="30" w:line="203" w:lineRule="auto"/>
              <w:ind w:left="3551"/>
              <w:rPr>
                <w:rFonts w:ascii="仿宋" w:hAnsi="仿宋" w:eastAsia="仿宋" w:cs="仿宋"/>
                <w:sz w:val="18"/>
                <w:szCs w:val="18"/>
              </w:rPr>
            </w:pPr>
            <w:r>
              <w:rPr>
                <w:rFonts w:ascii="仿宋" w:hAnsi="仿宋" w:eastAsia="仿宋" w:cs="仿宋"/>
                <w:spacing w:val="1"/>
                <w:sz w:val="18"/>
                <w:szCs w:val="18"/>
              </w:rPr>
              <w:t>路段一</w:t>
            </w:r>
          </w:p>
        </w:tc>
      </w:tr>
      <w:tr w14:paraId="1038DC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0FD461FD">
            <w:pPr>
              <w:rPr>
                <w:rFonts w:ascii="Arial"/>
                <w:sz w:val="21"/>
              </w:rPr>
            </w:pPr>
          </w:p>
        </w:tc>
        <w:tc>
          <w:tcPr>
            <w:tcW w:w="774" w:type="dxa"/>
            <w:vAlign w:val="top"/>
          </w:tcPr>
          <w:p w14:paraId="27CDB41E">
            <w:pPr>
              <w:pStyle w:val="6"/>
              <w:spacing w:before="60" w:line="188" w:lineRule="auto"/>
              <w:ind w:left="293"/>
            </w:pPr>
            <w:r>
              <w:rPr>
                <w:spacing w:val="-2"/>
              </w:rPr>
              <w:t>22</w:t>
            </w:r>
          </w:p>
        </w:tc>
        <w:tc>
          <w:tcPr>
            <w:tcW w:w="1259" w:type="dxa"/>
            <w:vAlign w:val="top"/>
          </w:tcPr>
          <w:p w14:paraId="39815EE6">
            <w:pPr>
              <w:pStyle w:val="6"/>
              <w:spacing w:before="60" w:line="188" w:lineRule="auto"/>
              <w:ind w:left="329"/>
            </w:pPr>
            <w:r>
              <w:rPr>
                <w:spacing w:val="-1"/>
              </w:rPr>
              <w:t>K0+454</w:t>
            </w:r>
          </w:p>
        </w:tc>
        <w:tc>
          <w:tcPr>
            <w:tcW w:w="2611" w:type="dxa"/>
            <w:vAlign w:val="top"/>
          </w:tcPr>
          <w:p w14:paraId="79A61CA2">
            <w:pPr>
              <w:spacing w:before="29" w:line="204" w:lineRule="auto"/>
              <w:ind w:left="1135"/>
              <w:rPr>
                <w:rFonts w:ascii="仿宋" w:hAnsi="仿宋" w:eastAsia="仿宋" w:cs="仿宋"/>
                <w:sz w:val="18"/>
                <w:szCs w:val="18"/>
              </w:rPr>
            </w:pPr>
            <w:r>
              <w:rPr>
                <w:rFonts w:ascii="仿宋" w:hAnsi="仿宋" w:eastAsia="仿宋" w:cs="仿宋"/>
                <w:spacing w:val="-8"/>
                <w:sz w:val="18"/>
                <w:szCs w:val="18"/>
              </w:rPr>
              <w:t>土路</w:t>
            </w:r>
          </w:p>
        </w:tc>
        <w:tc>
          <w:tcPr>
            <w:tcW w:w="1325" w:type="dxa"/>
            <w:vAlign w:val="top"/>
          </w:tcPr>
          <w:p w14:paraId="30E1C182">
            <w:pPr>
              <w:pStyle w:val="6"/>
              <w:spacing w:before="60" w:line="188" w:lineRule="auto"/>
              <w:ind w:left="639"/>
            </w:pPr>
            <w:r>
              <w:t>1</w:t>
            </w:r>
          </w:p>
        </w:tc>
        <w:tc>
          <w:tcPr>
            <w:tcW w:w="1671" w:type="dxa"/>
            <w:tcBorders>
              <w:right w:val="single" w:color="000000" w:sz="6" w:space="0"/>
            </w:tcBorders>
            <w:vAlign w:val="top"/>
          </w:tcPr>
          <w:p w14:paraId="781C3BF1">
            <w:pPr>
              <w:pStyle w:val="6"/>
              <w:spacing w:before="29" w:line="204" w:lineRule="auto"/>
              <w:ind w:left="610"/>
              <w:rPr>
                <w:rFonts w:ascii="仿宋" w:hAnsi="仿宋" w:eastAsia="仿宋" w:cs="仿宋"/>
              </w:rPr>
            </w:pPr>
            <w:r>
              <w:rPr>
                <w:rFonts w:ascii="仿宋" w:hAnsi="仿宋" w:eastAsia="仿宋" w:cs="仿宋"/>
                <w:spacing w:val="-5"/>
              </w:rPr>
              <w:t>左</w:t>
            </w:r>
            <w:r>
              <w:rPr>
                <w:spacing w:val="-5"/>
              </w:rPr>
              <w:t>T</w:t>
            </w:r>
            <w:r>
              <w:rPr>
                <w:rFonts w:ascii="仿宋" w:hAnsi="仿宋" w:eastAsia="仿宋" w:cs="仿宋"/>
                <w:spacing w:val="-5"/>
              </w:rPr>
              <w:t>型</w:t>
            </w:r>
          </w:p>
        </w:tc>
      </w:tr>
      <w:tr w14:paraId="4C0AC7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325E1BB6">
            <w:pPr>
              <w:rPr>
                <w:rFonts w:ascii="Arial"/>
                <w:sz w:val="21"/>
              </w:rPr>
            </w:pPr>
          </w:p>
        </w:tc>
        <w:tc>
          <w:tcPr>
            <w:tcW w:w="774" w:type="dxa"/>
            <w:vAlign w:val="top"/>
          </w:tcPr>
          <w:p w14:paraId="46822025">
            <w:pPr>
              <w:pStyle w:val="6"/>
              <w:spacing w:before="62" w:line="188" w:lineRule="auto"/>
              <w:ind w:left="293"/>
            </w:pPr>
            <w:r>
              <w:rPr>
                <w:spacing w:val="-2"/>
              </w:rPr>
              <w:t>23</w:t>
            </w:r>
          </w:p>
        </w:tc>
        <w:tc>
          <w:tcPr>
            <w:tcW w:w="1259" w:type="dxa"/>
            <w:vAlign w:val="top"/>
          </w:tcPr>
          <w:p w14:paraId="4DDA0E4B">
            <w:pPr>
              <w:pStyle w:val="6"/>
              <w:spacing w:before="62" w:line="188" w:lineRule="auto"/>
              <w:ind w:left="329"/>
            </w:pPr>
            <w:r>
              <w:rPr>
                <w:spacing w:val="-1"/>
              </w:rPr>
              <w:t>K0+636</w:t>
            </w:r>
          </w:p>
        </w:tc>
        <w:tc>
          <w:tcPr>
            <w:tcW w:w="2611" w:type="dxa"/>
            <w:vAlign w:val="top"/>
          </w:tcPr>
          <w:p w14:paraId="154C4FC2">
            <w:pPr>
              <w:spacing w:before="31" w:line="202" w:lineRule="auto"/>
              <w:ind w:left="1135"/>
              <w:rPr>
                <w:rFonts w:ascii="仿宋" w:hAnsi="仿宋" w:eastAsia="仿宋" w:cs="仿宋"/>
                <w:sz w:val="18"/>
                <w:szCs w:val="18"/>
              </w:rPr>
            </w:pPr>
            <w:r>
              <w:rPr>
                <w:rFonts w:ascii="仿宋" w:hAnsi="仿宋" w:eastAsia="仿宋" w:cs="仿宋"/>
                <w:spacing w:val="-8"/>
                <w:sz w:val="18"/>
                <w:szCs w:val="18"/>
              </w:rPr>
              <w:t>土路</w:t>
            </w:r>
          </w:p>
        </w:tc>
        <w:tc>
          <w:tcPr>
            <w:tcW w:w="1325" w:type="dxa"/>
            <w:vAlign w:val="top"/>
          </w:tcPr>
          <w:p w14:paraId="5D4DC1CC">
            <w:pPr>
              <w:pStyle w:val="6"/>
              <w:spacing w:before="62" w:line="188" w:lineRule="auto"/>
              <w:ind w:left="639"/>
            </w:pPr>
            <w:r>
              <w:t>1</w:t>
            </w:r>
          </w:p>
        </w:tc>
        <w:tc>
          <w:tcPr>
            <w:tcW w:w="1671" w:type="dxa"/>
            <w:tcBorders>
              <w:right w:val="single" w:color="000000" w:sz="6" w:space="0"/>
            </w:tcBorders>
            <w:vAlign w:val="top"/>
          </w:tcPr>
          <w:p w14:paraId="2630D7B9">
            <w:pPr>
              <w:pStyle w:val="6"/>
              <w:spacing w:before="31" w:line="202" w:lineRule="auto"/>
              <w:ind w:left="610"/>
              <w:rPr>
                <w:rFonts w:ascii="仿宋" w:hAnsi="仿宋" w:eastAsia="仿宋" w:cs="仿宋"/>
              </w:rPr>
            </w:pPr>
            <w:r>
              <w:rPr>
                <w:rFonts w:ascii="仿宋" w:hAnsi="仿宋" w:eastAsia="仿宋" w:cs="仿宋"/>
                <w:spacing w:val="-5"/>
              </w:rPr>
              <w:t>左</w:t>
            </w:r>
            <w:r>
              <w:rPr>
                <w:spacing w:val="-5"/>
              </w:rPr>
              <w:t>T</w:t>
            </w:r>
            <w:r>
              <w:rPr>
                <w:rFonts w:ascii="仿宋" w:hAnsi="仿宋" w:eastAsia="仿宋" w:cs="仿宋"/>
                <w:spacing w:val="-5"/>
              </w:rPr>
              <w:t>型</w:t>
            </w:r>
          </w:p>
        </w:tc>
      </w:tr>
      <w:tr w14:paraId="0AD70F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4C7C9BD4">
            <w:pPr>
              <w:rPr>
                <w:rFonts w:ascii="Arial"/>
                <w:sz w:val="21"/>
              </w:rPr>
            </w:pPr>
          </w:p>
        </w:tc>
        <w:tc>
          <w:tcPr>
            <w:tcW w:w="774" w:type="dxa"/>
            <w:vAlign w:val="top"/>
          </w:tcPr>
          <w:p w14:paraId="2866BE06">
            <w:pPr>
              <w:pStyle w:val="6"/>
              <w:spacing w:before="61" w:line="188" w:lineRule="auto"/>
              <w:ind w:left="293"/>
            </w:pPr>
            <w:r>
              <w:rPr>
                <w:spacing w:val="-2"/>
              </w:rPr>
              <w:t>24</w:t>
            </w:r>
          </w:p>
        </w:tc>
        <w:tc>
          <w:tcPr>
            <w:tcW w:w="1259" w:type="dxa"/>
            <w:vAlign w:val="top"/>
          </w:tcPr>
          <w:p w14:paraId="554804A4">
            <w:pPr>
              <w:pStyle w:val="6"/>
              <w:spacing w:before="61" w:line="188" w:lineRule="auto"/>
              <w:ind w:left="329"/>
            </w:pPr>
            <w:r>
              <w:rPr>
                <w:spacing w:val="-1"/>
              </w:rPr>
              <w:t>K1+066</w:t>
            </w:r>
          </w:p>
        </w:tc>
        <w:tc>
          <w:tcPr>
            <w:tcW w:w="2611" w:type="dxa"/>
            <w:vAlign w:val="top"/>
          </w:tcPr>
          <w:p w14:paraId="04599174">
            <w:pPr>
              <w:spacing w:before="30" w:line="203" w:lineRule="auto"/>
              <w:ind w:left="1044"/>
              <w:rPr>
                <w:rFonts w:ascii="仿宋" w:hAnsi="仿宋" w:eastAsia="仿宋" w:cs="仿宋"/>
                <w:sz w:val="18"/>
                <w:szCs w:val="18"/>
              </w:rPr>
            </w:pPr>
            <w:r>
              <w:rPr>
                <w:rFonts w:ascii="仿宋" w:hAnsi="仿宋" w:eastAsia="仿宋" w:cs="仿宋"/>
                <w:spacing w:val="-4"/>
                <w:sz w:val="18"/>
                <w:szCs w:val="18"/>
              </w:rPr>
              <w:t>水泥路</w:t>
            </w:r>
          </w:p>
        </w:tc>
        <w:tc>
          <w:tcPr>
            <w:tcW w:w="1325" w:type="dxa"/>
            <w:vAlign w:val="top"/>
          </w:tcPr>
          <w:p w14:paraId="136F86F4">
            <w:pPr>
              <w:pStyle w:val="6"/>
              <w:spacing w:before="61" w:line="188" w:lineRule="auto"/>
              <w:ind w:left="639"/>
            </w:pPr>
            <w:r>
              <w:t>1</w:t>
            </w:r>
          </w:p>
        </w:tc>
        <w:tc>
          <w:tcPr>
            <w:tcW w:w="1671" w:type="dxa"/>
            <w:tcBorders>
              <w:right w:val="single" w:color="000000" w:sz="6" w:space="0"/>
            </w:tcBorders>
            <w:vAlign w:val="top"/>
          </w:tcPr>
          <w:p w14:paraId="476141E9">
            <w:pPr>
              <w:pStyle w:val="6"/>
              <w:spacing w:before="30" w:line="203" w:lineRule="auto"/>
              <w:ind w:left="610"/>
              <w:rPr>
                <w:rFonts w:ascii="仿宋" w:hAnsi="仿宋" w:eastAsia="仿宋" w:cs="仿宋"/>
              </w:rPr>
            </w:pPr>
            <w:r>
              <w:rPr>
                <w:rFonts w:ascii="仿宋" w:hAnsi="仿宋" w:eastAsia="仿宋" w:cs="仿宋"/>
                <w:spacing w:val="-5"/>
              </w:rPr>
              <w:t>左</w:t>
            </w:r>
            <w:r>
              <w:rPr>
                <w:spacing w:val="-5"/>
              </w:rPr>
              <w:t>T</w:t>
            </w:r>
            <w:r>
              <w:rPr>
                <w:rFonts w:ascii="仿宋" w:hAnsi="仿宋" w:eastAsia="仿宋" w:cs="仿宋"/>
                <w:spacing w:val="-5"/>
              </w:rPr>
              <w:t>型</w:t>
            </w:r>
          </w:p>
        </w:tc>
      </w:tr>
      <w:tr w14:paraId="13FCD1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34FA3A65">
            <w:pPr>
              <w:rPr>
                <w:rFonts w:ascii="Arial"/>
                <w:sz w:val="21"/>
              </w:rPr>
            </w:pPr>
          </w:p>
        </w:tc>
        <w:tc>
          <w:tcPr>
            <w:tcW w:w="774" w:type="dxa"/>
            <w:vAlign w:val="top"/>
          </w:tcPr>
          <w:p w14:paraId="3C9C874C">
            <w:pPr>
              <w:pStyle w:val="6"/>
              <w:spacing w:before="63" w:line="188" w:lineRule="auto"/>
              <w:ind w:left="293"/>
            </w:pPr>
            <w:r>
              <w:rPr>
                <w:spacing w:val="-2"/>
              </w:rPr>
              <w:t>25</w:t>
            </w:r>
          </w:p>
        </w:tc>
        <w:tc>
          <w:tcPr>
            <w:tcW w:w="1259" w:type="dxa"/>
            <w:vAlign w:val="top"/>
          </w:tcPr>
          <w:p w14:paraId="7C97EFD0">
            <w:pPr>
              <w:pStyle w:val="6"/>
              <w:spacing w:before="63" w:line="188" w:lineRule="auto"/>
              <w:ind w:left="329"/>
            </w:pPr>
            <w:r>
              <w:rPr>
                <w:spacing w:val="-1"/>
              </w:rPr>
              <w:t>K2+100</w:t>
            </w:r>
          </w:p>
        </w:tc>
        <w:tc>
          <w:tcPr>
            <w:tcW w:w="2611" w:type="dxa"/>
            <w:vAlign w:val="top"/>
          </w:tcPr>
          <w:p w14:paraId="5DA969A1">
            <w:pPr>
              <w:spacing w:before="32" w:line="201" w:lineRule="auto"/>
              <w:ind w:left="1135"/>
              <w:rPr>
                <w:rFonts w:ascii="仿宋" w:hAnsi="仿宋" w:eastAsia="仿宋" w:cs="仿宋"/>
                <w:sz w:val="18"/>
                <w:szCs w:val="18"/>
              </w:rPr>
            </w:pPr>
            <w:r>
              <w:rPr>
                <w:rFonts w:ascii="仿宋" w:hAnsi="仿宋" w:eastAsia="仿宋" w:cs="仿宋"/>
                <w:spacing w:val="-8"/>
                <w:sz w:val="18"/>
                <w:szCs w:val="18"/>
              </w:rPr>
              <w:t>土路</w:t>
            </w:r>
          </w:p>
        </w:tc>
        <w:tc>
          <w:tcPr>
            <w:tcW w:w="1325" w:type="dxa"/>
            <w:vAlign w:val="top"/>
          </w:tcPr>
          <w:p w14:paraId="114BE6E8">
            <w:pPr>
              <w:pStyle w:val="6"/>
              <w:spacing w:before="63" w:line="188" w:lineRule="auto"/>
              <w:ind w:left="639"/>
            </w:pPr>
            <w:r>
              <w:t>1</w:t>
            </w:r>
          </w:p>
        </w:tc>
        <w:tc>
          <w:tcPr>
            <w:tcW w:w="1671" w:type="dxa"/>
            <w:tcBorders>
              <w:right w:val="single" w:color="000000" w:sz="6" w:space="0"/>
            </w:tcBorders>
            <w:vAlign w:val="top"/>
          </w:tcPr>
          <w:p w14:paraId="4EDA8ED3">
            <w:pPr>
              <w:pStyle w:val="6"/>
              <w:spacing w:before="32" w:line="201" w:lineRule="auto"/>
              <w:ind w:left="610"/>
              <w:rPr>
                <w:rFonts w:ascii="仿宋" w:hAnsi="仿宋" w:eastAsia="仿宋" w:cs="仿宋"/>
              </w:rPr>
            </w:pPr>
            <w:r>
              <w:rPr>
                <w:rFonts w:ascii="仿宋" w:hAnsi="仿宋" w:eastAsia="仿宋" w:cs="仿宋"/>
                <w:spacing w:val="-5"/>
              </w:rPr>
              <w:t>左</w:t>
            </w:r>
            <w:r>
              <w:rPr>
                <w:spacing w:val="-5"/>
              </w:rPr>
              <w:t>T</w:t>
            </w:r>
            <w:r>
              <w:rPr>
                <w:rFonts w:ascii="仿宋" w:hAnsi="仿宋" w:eastAsia="仿宋" w:cs="仿宋"/>
                <w:spacing w:val="-5"/>
              </w:rPr>
              <w:t>型</w:t>
            </w:r>
          </w:p>
        </w:tc>
      </w:tr>
      <w:tr w14:paraId="1B5C01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4A26D584">
            <w:pPr>
              <w:rPr>
                <w:rFonts w:ascii="Arial"/>
                <w:sz w:val="21"/>
              </w:rPr>
            </w:pPr>
          </w:p>
        </w:tc>
        <w:tc>
          <w:tcPr>
            <w:tcW w:w="7640" w:type="dxa"/>
            <w:gridSpan w:val="5"/>
            <w:tcBorders>
              <w:right w:val="single" w:color="000000" w:sz="6" w:space="0"/>
            </w:tcBorders>
            <w:vAlign w:val="top"/>
          </w:tcPr>
          <w:p w14:paraId="2B88ECCE">
            <w:pPr>
              <w:spacing w:before="32" w:line="201" w:lineRule="auto"/>
              <w:ind w:left="3551"/>
              <w:rPr>
                <w:rFonts w:ascii="仿宋" w:hAnsi="仿宋" w:eastAsia="仿宋" w:cs="仿宋"/>
                <w:sz w:val="18"/>
                <w:szCs w:val="18"/>
              </w:rPr>
            </w:pPr>
            <w:r>
              <w:rPr>
                <w:rFonts w:ascii="仿宋" w:hAnsi="仿宋" w:eastAsia="仿宋" w:cs="仿宋"/>
                <w:spacing w:val="-4"/>
                <w:sz w:val="18"/>
                <w:szCs w:val="18"/>
              </w:rPr>
              <w:t>路段二</w:t>
            </w:r>
          </w:p>
        </w:tc>
      </w:tr>
      <w:tr w14:paraId="69472C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21E0F5EE">
            <w:pPr>
              <w:rPr>
                <w:rFonts w:ascii="Arial"/>
                <w:sz w:val="21"/>
              </w:rPr>
            </w:pPr>
          </w:p>
        </w:tc>
        <w:tc>
          <w:tcPr>
            <w:tcW w:w="774" w:type="dxa"/>
            <w:vAlign w:val="top"/>
          </w:tcPr>
          <w:p w14:paraId="5E7CFA90">
            <w:pPr>
              <w:pStyle w:val="6"/>
              <w:spacing w:before="62" w:line="188" w:lineRule="auto"/>
              <w:ind w:left="293"/>
            </w:pPr>
            <w:r>
              <w:rPr>
                <w:spacing w:val="-2"/>
              </w:rPr>
              <w:t>26</w:t>
            </w:r>
          </w:p>
        </w:tc>
        <w:tc>
          <w:tcPr>
            <w:tcW w:w="1259" w:type="dxa"/>
            <w:vAlign w:val="top"/>
          </w:tcPr>
          <w:p w14:paraId="7AD04848">
            <w:pPr>
              <w:pStyle w:val="6"/>
              <w:spacing w:before="62" w:line="188" w:lineRule="auto"/>
              <w:ind w:left="329"/>
            </w:pPr>
            <w:r>
              <w:rPr>
                <w:spacing w:val="-1"/>
              </w:rPr>
              <w:t>K0+723</w:t>
            </w:r>
          </w:p>
        </w:tc>
        <w:tc>
          <w:tcPr>
            <w:tcW w:w="2611" w:type="dxa"/>
            <w:vAlign w:val="top"/>
          </w:tcPr>
          <w:p w14:paraId="75327F0C">
            <w:pPr>
              <w:spacing w:before="31" w:line="202" w:lineRule="auto"/>
              <w:ind w:left="1135"/>
              <w:rPr>
                <w:rFonts w:ascii="仿宋" w:hAnsi="仿宋" w:eastAsia="仿宋" w:cs="仿宋"/>
                <w:sz w:val="18"/>
                <w:szCs w:val="18"/>
              </w:rPr>
            </w:pPr>
            <w:r>
              <w:rPr>
                <w:rFonts w:ascii="仿宋" w:hAnsi="仿宋" w:eastAsia="仿宋" w:cs="仿宋"/>
                <w:spacing w:val="-8"/>
                <w:sz w:val="18"/>
                <w:szCs w:val="18"/>
              </w:rPr>
              <w:t>土路</w:t>
            </w:r>
          </w:p>
        </w:tc>
        <w:tc>
          <w:tcPr>
            <w:tcW w:w="1325" w:type="dxa"/>
            <w:vAlign w:val="top"/>
          </w:tcPr>
          <w:p w14:paraId="4E697C2C">
            <w:pPr>
              <w:pStyle w:val="6"/>
              <w:spacing w:before="62" w:line="188" w:lineRule="auto"/>
              <w:ind w:left="639"/>
            </w:pPr>
            <w:r>
              <w:t>1</w:t>
            </w:r>
          </w:p>
        </w:tc>
        <w:tc>
          <w:tcPr>
            <w:tcW w:w="1671" w:type="dxa"/>
            <w:tcBorders>
              <w:right w:val="single" w:color="000000" w:sz="6" w:space="0"/>
            </w:tcBorders>
            <w:vAlign w:val="top"/>
          </w:tcPr>
          <w:p w14:paraId="6551867B">
            <w:pPr>
              <w:pStyle w:val="6"/>
              <w:spacing w:before="31" w:line="202" w:lineRule="auto"/>
              <w:ind w:left="608"/>
              <w:rPr>
                <w:rFonts w:ascii="仿宋" w:hAnsi="仿宋" w:eastAsia="仿宋" w:cs="仿宋"/>
              </w:rPr>
            </w:pPr>
            <w:r>
              <w:rPr>
                <w:rFonts w:ascii="仿宋" w:hAnsi="仿宋" w:eastAsia="仿宋" w:cs="仿宋"/>
                <w:spacing w:val="-5"/>
              </w:rPr>
              <w:t>右</w:t>
            </w:r>
            <w:r>
              <w:rPr>
                <w:spacing w:val="-5"/>
              </w:rPr>
              <w:t>T</w:t>
            </w:r>
            <w:r>
              <w:rPr>
                <w:rFonts w:ascii="仿宋" w:hAnsi="仿宋" w:eastAsia="仿宋" w:cs="仿宋"/>
                <w:spacing w:val="-5"/>
              </w:rPr>
              <w:t>型</w:t>
            </w:r>
          </w:p>
        </w:tc>
      </w:tr>
      <w:tr w14:paraId="539E38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1AB2E3DE">
            <w:pPr>
              <w:rPr>
                <w:rFonts w:ascii="Arial"/>
                <w:sz w:val="21"/>
              </w:rPr>
            </w:pPr>
          </w:p>
        </w:tc>
        <w:tc>
          <w:tcPr>
            <w:tcW w:w="774" w:type="dxa"/>
            <w:vAlign w:val="top"/>
          </w:tcPr>
          <w:p w14:paraId="757DBFCB">
            <w:pPr>
              <w:pStyle w:val="6"/>
              <w:spacing w:before="64" w:line="188" w:lineRule="auto"/>
              <w:ind w:left="293"/>
            </w:pPr>
            <w:r>
              <w:rPr>
                <w:spacing w:val="-2"/>
              </w:rPr>
              <w:t>27</w:t>
            </w:r>
          </w:p>
        </w:tc>
        <w:tc>
          <w:tcPr>
            <w:tcW w:w="1259" w:type="dxa"/>
            <w:vAlign w:val="top"/>
          </w:tcPr>
          <w:p w14:paraId="52F9475A">
            <w:pPr>
              <w:pStyle w:val="6"/>
              <w:spacing w:before="64" w:line="188" w:lineRule="auto"/>
              <w:ind w:left="329"/>
            </w:pPr>
            <w:r>
              <w:rPr>
                <w:spacing w:val="-1"/>
              </w:rPr>
              <w:t>K1+236</w:t>
            </w:r>
          </w:p>
        </w:tc>
        <w:tc>
          <w:tcPr>
            <w:tcW w:w="2611" w:type="dxa"/>
            <w:vAlign w:val="top"/>
          </w:tcPr>
          <w:p w14:paraId="2C273A72">
            <w:pPr>
              <w:spacing w:before="33" w:line="201" w:lineRule="auto"/>
              <w:ind w:left="1044"/>
              <w:rPr>
                <w:rFonts w:ascii="仿宋" w:hAnsi="仿宋" w:eastAsia="仿宋" w:cs="仿宋"/>
                <w:sz w:val="18"/>
                <w:szCs w:val="18"/>
              </w:rPr>
            </w:pPr>
            <w:r>
              <w:rPr>
                <w:rFonts w:ascii="仿宋" w:hAnsi="仿宋" w:eastAsia="仿宋" w:cs="仿宋"/>
                <w:spacing w:val="-4"/>
                <w:sz w:val="18"/>
                <w:szCs w:val="18"/>
              </w:rPr>
              <w:t>水泥路</w:t>
            </w:r>
          </w:p>
        </w:tc>
        <w:tc>
          <w:tcPr>
            <w:tcW w:w="1325" w:type="dxa"/>
            <w:vAlign w:val="top"/>
          </w:tcPr>
          <w:p w14:paraId="30717561">
            <w:pPr>
              <w:pStyle w:val="6"/>
              <w:spacing w:before="64" w:line="188" w:lineRule="auto"/>
              <w:ind w:left="639"/>
            </w:pPr>
            <w:r>
              <w:t>1</w:t>
            </w:r>
          </w:p>
        </w:tc>
        <w:tc>
          <w:tcPr>
            <w:tcW w:w="1671" w:type="dxa"/>
            <w:tcBorders>
              <w:right w:val="single" w:color="000000" w:sz="6" w:space="0"/>
            </w:tcBorders>
            <w:vAlign w:val="top"/>
          </w:tcPr>
          <w:p w14:paraId="49DDBF24">
            <w:pPr>
              <w:spacing w:before="33" w:line="201" w:lineRule="auto"/>
              <w:ind w:left="578"/>
              <w:rPr>
                <w:rFonts w:ascii="仿宋" w:hAnsi="仿宋" w:eastAsia="仿宋" w:cs="仿宋"/>
                <w:sz w:val="18"/>
                <w:szCs w:val="18"/>
              </w:rPr>
            </w:pPr>
            <w:r>
              <w:rPr>
                <w:rFonts w:ascii="仿宋" w:hAnsi="仿宋" w:eastAsia="仿宋" w:cs="仿宋"/>
                <w:spacing w:val="-7"/>
                <w:sz w:val="18"/>
                <w:szCs w:val="18"/>
              </w:rPr>
              <w:t>丁字型</w:t>
            </w:r>
          </w:p>
        </w:tc>
      </w:tr>
      <w:tr w14:paraId="167743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7" w:type="dxa"/>
            <w:vMerge w:val="continue"/>
            <w:tcBorders>
              <w:top w:val="nil"/>
              <w:left w:val="single" w:color="000000" w:sz="6" w:space="0"/>
              <w:bottom w:val="nil"/>
            </w:tcBorders>
            <w:vAlign w:val="top"/>
          </w:tcPr>
          <w:p w14:paraId="4871A251">
            <w:pPr>
              <w:rPr>
                <w:rFonts w:ascii="Arial"/>
                <w:sz w:val="21"/>
              </w:rPr>
            </w:pPr>
          </w:p>
        </w:tc>
        <w:tc>
          <w:tcPr>
            <w:tcW w:w="7640" w:type="dxa"/>
            <w:gridSpan w:val="5"/>
            <w:tcBorders>
              <w:right w:val="single" w:color="000000" w:sz="6" w:space="0"/>
            </w:tcBorders>
            <w:vAlign w:val="top"/>
          </w:tcPr>
          <w:p w14:paraId="6DD9A3F4">
            <w:pPr>
              <w:spacing w:before="31" w:line="202" w:lineRule="auto"/>
              <w:ind w:left="3551"/>
              <w:rPr>
                <w:rFonts w:ascii="仿宋" w:hAnsi="仿宋" w:eastAsia="仿宋" w:cs="仿宋"/>
                <w:sz w:val="18"/>
                <w:szCs w:val="18"/>
              </w:rPr>
            </w:pPr>
            <w:r>
              <w:rPr>
                <w:rFonts w:ascii="仿宋" w:hAnsi="仿宋" w:eastAsia="仿宋" w:cs="仿宋"/>
                <w:spacing w:val="-4"/>
                <w:sz w:val="18"/>
                <w:szCs w:val="18"/>
              </w:rPr>
              <w:t>路段三</w:t>
            </w:r>
          </w:p>
        </w:tc>
      </w:tr>
      <w:tr w14:paraId="4983C3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7" w:type="dxa"/>
            <w:vMerge w:val="continue"/>
            <w:tcBorders>
              <w:top w:val="nil"/>
              <w:left w:val="single" w:color="000000" w:sz="6" w:space="0"/>
              <w:bottom w:val="nil"/>
            </w:tcBorders>
            <w:vAlign w:val="top"/>
          </w:tcPr>
          <w:p w14:paraId="5C3E0408">
            <w:pPr>
              <w:rPr>
                <w:rFonts w:ascii="Arial"/>
                <w:sz w:val="21"/>
              </w:rPr>
            </w:pPr>
          </w:p>
        </w:tc>
        <w:tc>
          <w:tcPr>
            <w:tcW w:w="774" w:type="dxa"/>
            <w:vAlign w:val="top"/>
          </w:tcPr>
          <w:p w14:paraId="41180ADE">
            <w:pPr>
              <w:pStyle w:val="6"/>
              <w:spacing w:before="64" w:line="188" w:lineRule="auto"/>
              <w:ind w:left="293"/>
            </w:pPr>
            <w:r>
              <w:rPr>
                <w:spacing w:val="-2"/>
              </w:rPr>
              <w:t>28</w:t>
            </w:r>
          </w:p>
        </w:tc>
        <w:tc>
          <w:tcPr>
            <w:tcW w:w="1259" w:type="dxa"/>
            <w:vAlign w:val="top"/>
          </w:tcPr>
          <w:p w14:paraId="3AE6B3AA">
            <w:pPr>
              <w:pStyle w:val="6"/>
              <w:spacing w:before="64" w:line="188" w:lineRule="auto"/>
              <w:ind w:left="329"/>
            </w:pPr>
            <w:r>
              <w:rPr>
                <w:spacing w:val="-1"/>
              </w:rPr>
              <w:t>K0+948</w:t>
            </w:r>
          </w:p>
        </w:tc>
        <w:tc>
          <w:tcPr>
            <w:tcW w:w="2611" w:type="dxa"/>
            <w:vAlign w:val="top"/>
          </w:tcPr>
          <w:p w14:paraId="536B5E0A">
            <w:pPr>
              <w:spacing w:before="33" w:line="201" w:lineRule="auto"/>
              <w:ind w:left="1135"/>
              <w:rPr>
                <w:rFonts w:ascii="仿宋" w:hAnsi="仿宋" w:eastAsia="仿宋" w:cs="仿宋"/>
                <w:sz w:val="18"/>
                <w:szCs w:val="18"/>
              </w:rPr>
            </w:pPr>
            <w:r>
              <w:rPr>
                <w:rFonts w:ascii="仿宋" w:hAnsi="仿宋" w:eastAsia="仿宋" w:cs="仿宋"/>
                <w:spacing w:val="-8"/>
                <w:sz w:val="18"/>
                <w:szCs w:val="18"/>
              </w:rPr>
              <w:t>土路</w:t>
            </w:r>
          </w:p>
        </w:tc>
        <w:tc>
          <w:tcPr>
            <w:tcW w:w="1325" w:type="dxa"/>
            <w:vAlign w:val="top"/>
          </w:tcPr>
          <w:p w14:paraId="78AFC67B">
            <w:pPr>
              <w:pStyle w:val="6"/>
              <w:spacing w:before="64" w:line="188" w:lineRule="auto"/>
              <w:ind w:left="639"/>
            </w:pPr>
            <w:r>
              <w:t>1</w:t>
            </w:r>
          </w:p>
        </w:tc>
        <w:tc>
          <w:tcPr>
            <w:tcW w:w="1671" w:type="dxa"/>
            <w:tcBorders>
              <w:right w:val="single" w:color="000000" w:sz="6" w:space="0"/>
            </w:tcBorders>
            <w:vAlign w:val="top"/>
          </w:tcPr>
          <w:p w14:paraId="05C0CA4D">
            <w:pPr>
              <w:pStyle w:val="6"/>
              <w:spacing w:before="33" w:line="201" w:lineRule="auto"/>
              <w:ind w:left="610"/>
              <w:rPr>
                <w:rFonts w:ascii="仿宋" w:hAnsi="仿宋" w:eastAsia="仿宋" w:cs="仿宋"/>
              </w:rPr>
            </w:pPr>
            <w:r>
              <w:rPr>
                <w:rFonts w:ascii="仿宋" w:hAnsi="仿宋" w:eastAsia="仿宋" w:cs="仿宋"/>
                <w:spacing w:val="-5"/>
              </w:rPr>
              <w:t>左</w:t>
            </w:r>
            <w:r>
              <w:rPr>
                <w:spacing w:val="-5"/>
              </w:rPr>
              <w:t>T</w:t>
            </w:r>
            <w:r>
              <w:rPr>
                <w:rFonts w:ascii="仿宋" w:hAnsi="仿宋" w:eastAsia="仿宋" w:cs="仿宋"/>
                <w:spacing w:val="-5"/>
              </w:rPr>
              <w:t>型</w:t>
            </w:r>
          </w:p>
        </w:tc>
      </w:tr>
      <w:tr w14:paraId="544259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737" w:type="dxa"/>
            <w:vMerge w:val="continue"/>
            <w:tcBorders>
              <w:top w:val="nil"/>
              <w:left w:val="single" w:color="000000" w:sz="6" w:space="0"/>
              <w:bottom w:val="nil"/>
            </w:tcBorders>
            <w:vAlign w:val="top"/>
          </w:tcPr>
          <w:p w14:paraId="19315E93">
            <w:pPr>
              <w:rPr>
                <w:rFonts w:ascii="Arial"/>
                <w:sz w:val="21"/>
              </w:rPr>
            </w:pPr>
          </w:p>
        </w:tc>
        <w:tc>
          <w:tcPr>
            <w:tcW w:w="774" w:type="dxa"/>
            <w:tcBorders>
              <w:bottom w:val="single" w:color="000000" w:sz="10" w:space="0"/>
            </w:tcBorders>
            <w:vAlign w:val="top"/>
          </w:tcPr>
          <w:p w14:paraId="199AED6E">
            <w:pPr>
              <w:pStyle w:val="6"/>
              <w:spacing w:before="62" w:line="188" w:lineRule="auto"/>
              <w:ind w:left="293"/>
            </w:pPr>
            <w:r>
              <w:rPr>
                <w:spacing w:val="-2"/>
              </w:rPr>
              <w:t>29</w:t>
            </w:r>
          </w:p>
        </w:tc>
        <w:tc>
          <w:tcPr>
            <w:tcW w:w="1259" w:type="dxa"/>
            <w:tcBorders>
              <w:bottom w:val="single" w:color="000000" w:sz="10" w:space="0"/>
            </w:tcBorders>
            <w:vAlign w:val="top"/>
          </w:tcPr>
          <w:p w14:paraId="2C42ACE0">
            <w:pPr>
              <w:pStyle w:val="6"/>
              <w:spacing w:before="62" w:line="188" w:lineRule="auto"/>
              <w:ind w:left="329"/>
            </w:pPr>
            <w:r>
              <w:rPr>
                <w:spacing w:val="-1"/>
              </w:rPr>
              <w:t>K1+158</w:t>
            </w:r>
          </w:p>
        </w:tc>
        <w:tc>
          <w:tcPr>
            <w:tcW w:w="2611" w:type="dxa"/>
            <w:tcBorders>
              <w:bottom w:val="single" w:color="000000" w:sz="10" w:space="0"/>
            </w:tcBorders>
            <w:vAlign w:val="top"/>
          </w:tcPr>
          <w:p w14:paraId="358F5D6C">
            <w:pPr>
              <w:spacing w:before="31" w:line="211" w:lineRule="auto"/>
              <w:ind w:left="1047"/>
              <w:rPr>
                <w:rFonts w:ascii="仿宋" w:hAnsi="仿宋" w:eastAsia="仿宋" w:cs="仿宋"/>
                <w:sz w:val="18"/>
                <w:szCs w:val="18"/>
              </w:rPr>
            </w:pPr>
            <w:r>
              <w:rPr>
                <w:rFonts w:ascii="仿宋" w:hAnsi="仿宋" w:eastAsia="仿宋" w:cs="仿宋"/>
                <w:spacing w:val="-5"/>
                <w:sz w:val="18"/>
                <w:szCs w:val="18"/>
              </w:rPr>
              <w:t>沥青路</w:t>
            </w:r>
          </w:p>
        </w:tc>
        <w:tc>
          <w:tcPr>
            <w:tcW w:w="1325" w:type="dxa"/>
            <w:tcBorders>
              <w:bottom w:val="single" w:color="000000" w:sz="10" w:space="0"/>
            </w:tcBorders>
            <w:vAlign w:val="top"/>
          </w:tcPr>
          <w:p w14:paraId="2553EDEA">
            <w:pPr>
              <w:pStyle w:val="6"/>
              <w:spacing w:before="62" w:line="188" w:lineRule="auto"/>
              <w:ind w:left="639"/>
            </w:pPr>
            <w:r>
              <w:t>1</w:t>
            </w:r>
          </w:p>
        </w:tc>
        <w:tc>
          <w:tcPr>
            <w:tcW w:w="1671" w:type="dxa"/>
            <w:tcBorders>
              <w:bottom w:val="single" w:color="000000" w:sz="10" w:space="0"/>
              <w:right w:val="single" w:color="000000" w:sz="6" w:space="0"/>
            </w:tcBorders>
            <w:vAlign w:val="top"/>
          </w:tcPr>
          <w:p w14:paraId="326C7D0E">
            <w:pPr>
              <w:spacing w:before="31" w:line="211" w:lineRule="auto"/>
              <w:ind w:left="578"/>
              <w:rPr>
                <w:rFonts w:ascii="仿宋" w:hAnsi="仿宋" w:eastAsia="仿宋" w:cs="仿宋"/>
                <w:sz w:val="18"/>
                <w:szCs w:val="18"/>
              </w:rPr>
            </w:pPr>
            <w:r>
              <w:rPr>
                <w:rFonts w:ascii="仿宋" w:hAnsi="仿宋" w:eastAsia="仿宋" w:cs="仿宋"/>
                <w:spacing w:val="-7"/>
                <w:sz w:val="18"/>
                <w:szCs w:val="18"/>
              </w:rPr>
              <w:t>丁字型</w:t>
            </w:r>
          </w:p>
        </w:tc>
      </w:tr>
      <w:tr w14:paraId="21CD35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9" w:hRule="atLeast"/>
        </w:trPr>
        <w:tc>
          <w:tcPr>
            <w:tcW w:w="737" w:type="dxa"/>
            <w:vMerge w:val="continue"/>
            <w:tcBorders>
              <w:top w:val="nil"/>
              <w:left w:val="single" w:color="000000" w:sz="6" w:space="0"/>
              <w:bottom w:val="single" w:color="000000" w:sz="6" w:space="0"/>
            </w:tcBorders>
            <w:vAlign w:val="top"/>
          </w:tcPr>
          <w:p w14:paraId="136F520F">
            <w:pPr>
              <w:rPr>
                <w:rFonts w:ascii="Arial"/>
                <w:sz w:val="21"/>
              </w:rPr>
            </w:pPr>
          </w:p>
        </w:tc>
        <w:tc>
          <w:tcPr>
            <w:tcW w:w="7640" w:type="dxa"/>
            <w:gridSpan w:val="5"/>
            <w:tcBorders>
              <w:top w:val="single" w:color="000000" w:sz="10" w:space="0"/>
              <w:bottom w:val="single" w:color="000000" w:sz="6" w:space="0"/>
              <w:right w:val="single" w:color="000000" w:sz="6" w:space="0"/>
            </w:tcBorders>
            <w:vAlign w:val="top"/>
          </w:tcPr>
          <w:p w14:paraId="218ADF02">
            <w:pPr>
              <w:pStyle w:val="6"/>
              <w:spacing w:before="27" w:line="231" w:lineRule="auto"/>
              <w:ind w:left="430"/>
              <w:rPr>
                <w:rFonts w:ascii="仿宋" w:hAnsi="仿宋" w:eastAsia="仿宋" w:cs="仿宋"/>
                <w:sz w:val="20"/>
                <w:szCs w:val="20"/>
              </w:rPr>
            </w:pPr>
            <w:r>
              <w:rPr>
                <w:b/>
                <w:bCs/>
                <w:spacing w:val="4"/>
                <w:sz w:val="20"/>
                <w:szCs w:val="20"/>
              </w:rPr>
              <w:t>13</w:t>
            </w:r>
            <w:r>
              <w:rPr>
                <w:b/>
                <w:bCs/>
                <w:spacing w:val="-16"/>
                <w:sz w:val="20"/>
                <w:szCs w:val="20"/>
              </w:rPr>
              <w:t xml:space="preserve"> </w:t>
            </w:r>
            <w:r>
              <w:rPr>
                <w:rFonts w:ascii="仿宋" w:hAnsi="仿宋" w:eastAsia="仿宋" w:cs="仿宋"/>
                <w:b/>
                <w:bCs/>
                <w:spacing w:val="4"/>
                <w:sz w:val="20"/>
                <w:szCs w:val="20"/>
              </w:rPr>
              <w:t>、交通工程及沿线设施</w:t>
            </w:r>
          </w:p>
          <w:p w14:paraId="6F0796DD">
            <w:pPr>
              <w:pStyle w:val="6"/>
              <w:spacing w:before="157" w:line="231" w:lineRule="auto"/>
              <w:ind w:left="434"/>
              <w:rPr>
                <w:rFonts w:ascii="仿宋" w:hAnsi="仿宋" w:eastAsia="仿宋" w:cs="仿宋"/>
                <w:sz w:val="20"/>
                <w:szCs w:val="20"/>
              </w:rPr>
            </w:pPr>
            <w:r>
              <w:rPr>
                <w:rFonts w:ascii="仿宋" w:hAnsi="仿宋" w:eastAsia="仿宋" w:cs="仿宋"/>
                <w:spacing w:val="5"/>
                <w:sz w:val="20"/>
                <w:szCs w:val="20"/>
              </w:rPr>
              <w:t>（</w:t>
            </w:r>
            <w:r>
              <w:rPr>
                <w:spacing w:val="5"/>
                <w:sz w:val="20"/>
                <w:szCs w:val="20"/>
              </w:rPr>
              <w:t>1</w:t>
            </w:r>
            <w:r>
              <w:rPr>
                <w:rFonts w:ascii="仿宋" w:hAnsi="仿宋" w:eastAsia="仿宋" w:cs="仿宋"/>
                <w:spacing w:val="5"/>
                <w:sz w:val="20"/>
                <w:szCs w:val="20"/>
              </w:rPr>
              <w:t>）标志</w:t>
            </w:r>
          </w:p>
          <w:p w14:paraId="79D77E5C">
            <w:pPr>
              <w:spacing w:before="159" w:line="377" w:lineRule="auto"/>
              <w:ind w:left="8" w:right="76" w:firstLine="422"/>
              <w:rPr>
                <w:rFonts w:ascii="仿宋" w:hAnsi="仿宋" w:eastAsia="仿宋" w:cs="仿宋"/>
                <w:sz w:val="20"/>
                <w:szCs w:val="20"/>
              </w:rPr>
            </w:pPr>
            <w:r>
              <w:rPr>
                <w:rFonts w:ascii="仿宋" w:hAnsi="仿宋" w:eastAsia="仿宋" w:cs="仿宋"/>
                <w:spacing w:val="9"/>
                <w:sz w:val="20"/>
                <w:szCs w:val="20"/>
              </w:rPr>
              <w:t>本项目标志主要有指路、指示标志以及警告、禁令标志，在部分段落纵坡较大</w:t>
            </w:r>
            <w:r>
              <w:rPr>
                <w:rFonts w:ascii="仿宋" w:hAnsi="仿宋" w:eastAsia="仿宋" w:cs="仿宋"/>
                <w:spacing w:val="8"/>
                <w:sz w:val="20"/>
                <w:szCs w:val="20"/>
              </w:rPr>
              <w:t>路段增设安全警示标志牌。</w:t>
            </w:r>
          </w:p>
          <w:p w14:paraId="6602AFB1">
            <w:pPr>
              <w:pStyle w:val="6"/>
              <w:spacing w:line="230" w:lineRule="auto"/>
              <w:ind w:left="434"/>
              <w:rPr>
                <w:rFonts w:ascii="仿宋" w:hAnsi="仿宋" w:eastAsia="仿宋" w:cs="仿宋"/>
                <w:sz w:val="20"/>
                <w:szCs w:val="20"/>
              </w:rPr>
            </w:pPr>
            <w:r>
              <w:rPr>
                <w:rFonts w:ascii="仿宋" w:hAnsi="仿宋" w:eastAsia="仿宋" w:cs="仿宋"/>
                <w:spacing w:val="5"/>
                <w:sz w:val="20"/>
                <w:szCs w:val="20"/>
              </w:rPr>
              <w:t>（</w:t>
            </w:r>
            <w:r>
              <w:rPr>
                <w:spacing w:val="5"/>
                <w:sz w:val="20"/>
                <w:szCs w:val="20"/>
              </w:rPr>
              <w:t>2</w:t>
            </w:r>
            <w:r>
              <w:rPr>
                <w:rFonts w:ascii="仿宋" w:hAnsi="仿宋" w:eastAsia="仿宋" w:cs="仿宋"/>
                <w:spacing w:val="5"/>
                <w:sz w:val="20"/>
                <w:szCs w:val="20"/>
              </w:rPr>
              <w:t>）标线</w:t>
            </w:r>
          </w:p>
          <w:p w14:paraId="096194F7">
            <w:pPr>
              <w:pStyle w:val="6"/>
              <w:spacing w:before="157" w:line="378" w:lineRule="auto"/>
              <w:ind w:left="29" w:firstLine="398"/>
              <w:rPr>
                <w:rFonts w:ascii="仿宋" w:hAnsi="仿宋" w:eastAsia="仿宋" w:cs="仿宋"/>
                <w:sz w:val="20"/>
                <w:szCs w:val="20"/>
              </w:rPr>
            </w:pPr>
            <w:r>
              <w:rPr>
                <w:rFonts w:ascii="仿宋" w:hAnsi="仿宋" w:eastAsia="仿宋" w:cs="仿宋"/>
                <w:spacing w:val="-1"/>
                <w:sz w:val="20"/>
                <w:szCs w:val="20"/>
              </w:rPr>
              <w:t>本项目路面标线涂料采用热熔型，车道分界线为黄色虚线，线宽</w:t>
            </w:r>
            <w:r>
              <w:rPr>
                <w:rFonts w:ascii="仿宋" w:hAnsi="仿宋" w:eastAsia="仿宋" w:cs="仿宋"/>
                <w:spacing w:val="-20"/>
                <w:sz w:val="20"/>
                <w:szCs w:val="20"/>
              </w:rPr>
              <w:t xml:space="preserve"> </w:t>
            </w:r>
            <w:r>
              <w:rPr>
                <w:spacing w:val="-1"/>
                <w:sz w:val="20"/>
                <w:szCs w:val="20"/>
              </w:rPr>
              <w:t>15cm</w:t>
            </w:r>
            <w:r>
              <w:rPr>
                <w:rFonts w:ascii="仿宋" w:hAnsi="仿宋" w:eastAsia="仿宋" w:cs="仿宋"/>
                <w:spacing w:val="-1"/>
                <w:sz w:val="20"/>
                <w:szCs w:val="20"/>
              </w:rPr>
              <w:t>，线长</w:t>
            </w:r>
            <w:r>
              <w:rPr>
                <w:rFonts w:ascii="仿宋" w:hAnsi="仿宋" w:eastAsia="仿宋" w:cs="仿宋"/>
                <w:spacing w:val="-42"/>
                <w:sz w:val="20"/>
                <w:szCs w:val="20"/>
              </w:rPr>
              <w:t xml:space="preserve"> </w:t>
            </w:r>
            <w:r>
              <w:rPr>
                <w:spacing w:val="-1"/>
                <w:sz w:val="20"/>
                <w:szCs w:val="20"/>
              </w:rPr>
              <w:t>4m</w:t>
            </w:r>
            <w:r>
              <w:rPr>
                <w:rFonts w:ascii="仿宋" w:hAnsi="仿宋" w:eastAsia="仿宋" w:cs="仿宋"/>
                <w:spacing w:val="-1"/>
                <w:sz w:val="20"/>
                <w:szCs w:val="20"/>
              </w:rPr>
              <w:t>，</w:t>
            </w:r>
            <w:r>
              <w:rPr>
                <w:rFonts w:ascii="仿宋" w:hAnsi="仿宋" w:eastAsia="仿宋" w:cs="仿宋"/>
                <w:spacing w:val="-4"/>
                <w:sz w:val="20"/>
                <w:szCs w:val="20"/>
              </w:rPr>
              <w:t>间距</w:t>
            </w:r>
            <w:r>
              <w:rPr>
                <w:rFonts w:ascii="仿宋" w:hAnsi="仿宋" w:eastAsia="仿宋" w:cs="仿宋"/>
                <w:spacing w:val="-34"/>
                <w:sz w:val="20"/>
                <w:szCs w:val="20"/>
              </w:rPr>
              <w:t xml:space="preserve"> </w:t>
            </w:r>
            <w:r>
              <w:rPr>
                <w:spacing w:val="-4"/>
                <w:sz w:val="20"/>
                <w:szCs w:val="20"/>
              </w:rPr>
              <w:t>6m</w:t>
            </w:r>
            <w:r>
              <w:rPr>
                <w:rFonts w:ascii="仿宋" w:hAnsi="仿宋" w:eastAsia="仿宋" w:cs="仿宋"/>
                <w:spacing w:val="-4"/>
                <w:sz w:val="20"/>
                <w:szCs w:val="20"/>
              </w:rPr>
              <w:t>。</w:t>
            </w:r>
          </w:p>
          <w:p w14:paraId="41CB9F88">
            <w:pPr>
              <w:pStyle w:val="6"/>
              <w:spacing w:before="1" w:line="230" w:lineRule="auto"/>
              <w:ind w:left="434"/>
              <w:rPr>
                <w:rFonts w:ascii="仿宋" w:hAnsi="仿宋" w:eastAsia="仿宋" w:cs="仿宋"/>
                <w:sz w:val="20"/>
                <w:szCs w:val="20"/>
              </w:rPr>
            </w:pPr>
            <w:r>
              <w:rPr>
                <w:rFonts w:ascii="仿宋" w:hAnsi="仿宋" w:eastAsia="仿宋" w:cs="仿宋"/>
                <w:spacing w:val="5"/>
                <w:sz w:val="20"/>
                <w:szCs w:val="20"/>
              </w:rPr>
              <w:t>（</w:t>
            </w:r>
            <w:r>
              <w:rPr>
                <w:spacing w:val="5"/>
                <w:sz w:val="20"/>
                <w:szCs w:val="20"/>
              </w:rPr>
              <w:t>3</w:t>
            </w:r>
            <w:r>
              <w:rPr>
                <w:rFonts w:ascii="仿宋" w:hAnsi="仿宋" w:eastAsia="仿宋" w:cs="仿宋"/>
                <w:spacing w:val="5"/>
                <w:sz w:val="20"/>
                <w:szCs w:val="20"/>
              </w:rPr>
              <w:t>）护栏</w:t>
            </w:r>
          </w:p>
          <w:p w14:paraId="5CA84196">
            <w:pPr>
              <w:pStyle w:val="6"/>
              <w:spacing w:before="158" w:line="228" w:lineRule="auto"/>
              <w:ind w:left="431"/>
              <w:rPr>
                <w:rFonts w:ascii="仿宋" w:hAnsi="仿宋" w:eastAsia="仿宋" w:cs="仿宋"/>
                <w:sz w:val="20"/>
                <w:szCs w:val="20"/>
              </w:rPr>
            </w:pPr>
            <w:r>
              <w:rPr>
                <w:rFonts w:ascii="仿宋" w:hAnsi="仿宋" w:eastAsia="仿宋" w:cs="仿宋"/>
                <w:spacing w:val="8"/>
                <w:sz w:val="20"/>
                <w:szCs w:val="20"/>
              </w:rPr>
              <w:t>本项目在路基临悬崖、深沟路段设置护栏。护栏采用</w:t>
            </w:r>
            <w:r>
              <w:rPr>
                <w:rFonts w:ascii="仿宋" w:hAnsi="仿宋" w:eastAsia="仿宋" w:cs="仿宋"/>
                <w:spacing w:val="-42"/>
                <w:sz w:val="20"/>
                <w:szCs w:val="20"/>
              </w:rPr>
              <w:t xml:space="preserve"> </w:t>
            </w:r>
            <w:r>
              <w:rPr>
                <w:spacing w:val="8"/>
                <w:sz w:val="20"/>
                <w:szCs w:val="20"/>
              </w:rPr>
              <w:t>B</w:t>
            </w:r>
            <w:r>
              <w:rPr>
                <w:spacing w:val="21"/>
                <w:w w:val="101"/>
                <w:sz w:val="20"/>
                <w:szCs w:val="20"/>
              </w:rPr>
              <w:t xml:space="preserve"> </w:t>
            </w:r>
            <w:r>
              <w:rPr>
                <w:rFonts w:ascii="仿宋" w:hAnsi="仿宋" w:eastAsia="仿宋" w:cs="仿宋"/>
                <w:spacing w:val="8"/>
                <w:sz w:val="20"/>
                <w:szCs w:val="20"/>
              </w:rPr>
              <w:t>级护栏，采用</w:t>
            </w:r>
            <w:r>
              <w:rPr>
                <w:rFonts w:ascii="仿宋" w:hAnsi="仿宋" w:eastAsia="仿宋" w:cs="仿宋"/>
                <w:spacing w:val="-43"/>
                <w:sz w:val="20"/>
                <w:szCs w:val="20"/>
              </w:rPr>
              <w:t xml:space="preserve"> </w:t>
            </w:r>
            <w:r>
              <w:rPr>
                <w:spacing w:val="8"/>
                <w:sz w:val="20"/>
                <w:szCs w:val="20"/>
              </w:rPr>
              <w:t>E</w:t>
            </w:r>
            <w:r>
              <w:rPr>
                <w:rFonts w:ascii="仿宋" w:hAnsi="仿宋" w:eastAsia="仿宋" w:cs="仿宋"/>
                <w:spacing w:val="8"/>
                <w:sz w:val="20"/>
                <w:szCs w:val="20"/>
              </w:rPr>
              <w:t>。</w:t>
            </w:r>
          </w:p>
          <w:p w14:paraId="0A7CAA60">
            <w:pPr>
              <w:pStyle w:val="6"/>
              <w:spacing w:before="161" w:line="228" w:lineRule="auto"/>
              <w:ind w:left="434"/>
              <w:rPr>
                <w:rFonts w:ascii="仿宋" w:hAnsi="仿宋" w:eastAsia="仿宋" w:cs="仿宋"/>
                <w:sz w:val="20"/>
                <w:szCs w:val="20"/>
              </w:rPr>
            </w:pPr>
            <w:r>
              <w:rPr>
                <w:rFonts w:ascii="仿宋" w:hAnsi="仿宋" w:eastAsia="仿宋" w:cs="仿宋"/>
                <w:spacing w:val="8"/>
                <w:sz w:val="20"/>
                <w:szCs w:val="20"/>
              </w:rPr>
              <w:t>（</w:t>
            </w:r>
            <w:r>
              <w:rPr>
                <w:spacing w:val="8"/>
                <w:sz w:val="20"/>
                <w:szCs w:val="20"/>
              </w:rPr>
              <w:t>4</w:t>
            </w:r>
            <w:r>
              <w:rPr>
                <w:rFonts w:ascii="仿宋" w:hAnsi="仿宋" w:eastAsia="仿宋" w:cs="仿宋"/>
                <w:spacing w:val="8"/>
                <w:sz w:val="20"/>
                <w:szCs w:val="20"/>
              </w:rPr>
              <w:t>）里程碑、百米桩及公路界碑</w:t>
            </w:r>
          </w:p>
          <w:p w14:paraId="6E1AEC0B">
            <w:pPr>
              <w:pStyle w:val="6"/>
              <w:spacing w:before="162" w:line="375" w:lineRule="auto"/>
              <w:ind w:left="20" w:right="63" w:firstLine="414"/>
              <w:rPr>
                <w:rFonts w:ascii="仿宋" w:hAnsi="仿宋" w:eastAsia="仿宋" w:cs="仿宋"/>
                <w:sz w:val="20"/>
                <w:szCs w:val="20"/>
              </w:rPr>
            </w:pPr>
            <w:r>
              <w:rPr>
                <w:rFonts w:ascii="仿宋" w:hAnsi="仿宋" w:eastAsia="仿宋" w:cs="仿宋"/>
                <w:spacing w:val="8"/>
                <w:sz w:val="20"/>
                <w:szCs w:val="20"/>
              </w:rPr>
              <w:t>里程标志布设在整</w:t>
            </w:r>
            <w:r>
              <w:rPr>
                <w:rFonts w:ascii="仿宋" w:hAnsi="仿宋" w:eastAsia="仿宋" w:cs="仿宋"/>
                <w:spacing w:val="-31"/>
                <w:sz w:val="20"/>
                <w:szCs w:val="20"/>
              </w:rPr>
              <w:t xml:space="preserve"> </w:t>
            </w:r>
            <w:r>
              <w:rPr>
                <w:sz w:val="20"/>
                <w:szCs w:val="20"/>
              </w:rPr>
              <w:t>km</w:t>
            </w:r>
            <w:r>
              <w:rPr>
                <w:spacing w:val="18"/>
                <w:w w:val="101"/>
                <w:sz w:val="20"/>
                <w:szCs w:val="20"/>
              </w:rPr>
              <w:t xml:space="preserve"> </w:t>
            </w:r>
            <w:r>
              <w:rPr>
                <w:rFonts w:ascii="仿宋" w:hAnsi="仿宋" w:eastAsia="仿宋" w:cs="仿宋"/>
                <w:spacing w:val="8"/>
                <w:sz w:val="20"/>
                <w:szCs w:val="20"/>
              </w:rPr>
              <w:t>处，百米标布设在两个里程标间的整百</w:t>
            </w:r>
            <w:r>
              <w:rPr>
                <w:rFonts w:ascii="仿宋" w:hAnsi="仿宋" w:eastAsia="仿宋" w:cs="仿宋"/>
                <w:spacing w:val="-43"/>
                <w:sz w:val="20"/>
                <w:szCs w:val="20"/>
              </w:rPr>
              <w:t xml:space="preserve"> </w:t>
            </w:r>
            <w:r>
              <w:rPr>
                <w:spacing w:val="8"/>
                <w:sz w:val="20"/>
                <w:szCs w:val="20"/>
              </w:rPr>
              <w:t>m</w:t>
            </w:r>
            <w:r>
              <w:rPr>
                <w:spacing w:val="18"/>
                <w:sz w:val="20"/>
                <w:szCs w:val="20"/>
              </w:rPr>
              <w:t xml:space="preserve"> </w:t>
            </w:r>
            <w:r>
              <w:rPr>
                <w:rFonts w:ascii="仿宋" w:hAnsi="仿宋" w:eastAsia="仿宋" w:cs="仿宋"/>
                <w:spacing w:val="8"/>
                <w:sz w:val="20"/>
                <w:szCs w:val="20"/>
              </w:rPr>
              <w:t>处，里程碑和百米桩均设置路线右侧，公路界是碑沿征地线设置。</w:t>
            </w:r>
          </w:p>
          <w:p w14:paraId="577A9303">
            <w:pPr>
              <w:pStyle w:val="6"/>
              <w:spacing w:before="4" w:line="232" w:lineRule="auto"/>
              <w:ind w:left="641"/>
              <w:rPr>
                <w:rFonts w:ascii="仿宋" w:hAnsi="仿宋" w:eastAsia="仿宋" w:cs="仿宋"/>
                <w:sz w:val="20"/>
                <w:szCs w:val="20"/>
              </w:rPr>
            </w:pPr>
            <w:r>
              <w:rPr>
                <w:b/>
                <w:bCs/>
                <w:sz w:val="20"/>
                <w:szCs w:val="20"/>
              </w:rPr>
              <w:t>14</w:t>
            </w:r>
            <w:r>
              <w:rPr>
                <w:b/>
                <w:bCs/>
                <w:spacing w:val="-16"/>
                <w:sz w:val="20"/>
                <w:szCs w:val="20"/>
              </w:rPr>
              <w:t xml:space="preserve"> </w:t>
            </w:r>
            <w:r>
              <w:rPr>
                <w:rFonts w:ascii="仿宋" w:hAnsi="仿宋" w:eastAsia="仿宋" w:cs="仿宋"/>
                <w:b/>
                <w:bCs/>
                <w:sz w:val="20"/>
                <w:szCs w:val="20"/>
              </w:rPr>
              <w:t>、公用工程</w:t>
            </w:r>
          </w:p>
          <w:p w14:paraId="30E08164">
            <w:pPr>
              <w:pStyle w:val="6"/>
              <w:spacing w:before="157" w:line="232" w:lineRule="auto"/>
              <w:ind w:left="434"/>
              <w:rPr>
                <w:rFonts w:ascii="仿宋" w:hAnsi="仿宋" w:eastAsia="仿宋" w:cs="仿宋"/>
                <w:sz w:val="20"/>
                <w:szCs w:val="20"/>
              </w:rPr>
            </w:pPr>
            <w:r>
              <w:rPr>
                <w:rFonts w:ascii="仿宋" w:hAnsi="仿宋" w:eastAsia="仿宋" w:cs="仿宋"/>
                <w:spacing w:val="5"/>
                <w:sz w:val="20"/>
                <w:szCs w:val="20"/>
              </w:rPr>
              <w:t>（</w:t>
            </w:r>
            <w:r>
              <w:rPr>
                <w:spacing w:val="5"/>
                <w:sz w:val="20"/>
                <w:szCs w:val="20"/>
              </w:rPr>
              <w:t>1</w:t>
            </w:r>
            <w:r>
              <w:rPr>
                <w:rFonts w:ascii="仿宋" w:hAnsi="仿宋" w:eastAsia="仿宋" w:cs="仿宋"/>
                <w:spacing w:val="5"/>
                <w:sz w:val="20"/>
                <w:szCs w:val="20"/>
              </w:rPr>
              <w:t>）给水</w:t>
            </w:r>
          </w:p>
          <w:p w14:paraId="7C3F9337">
            <w:pPr>
              <w:pStyle w:val="6"/>
              <w:spacing w:before="157" w:line="376" w:lineRule="auto"/>
              <w:ind w:left="10" w:right="3" w:firstLine="420"/>
              <w:rPr>
                <w:rFonts w:ascii="仿宋" w:hAnsi="仿宋" w:eastAsia="仿宋" w:cs="仿宋"/>
                <w:sz w:val="20"/>
                <w:szCs w:val="20"/>
              </w:rPr>
            </w:pPr>
            <w:r>
              <w:rPr>
                <w:rFonts w:ascii="仿宋" w:hAnsi="仿宋" w:eastAsia="仿宋" w:cs="仿宋"/>
                <w:spacing w:val="9"/>
                <w:sz w:val="20"/>
                <w:szCs w:val="20"/>
              </w:rPr>
              <w:t>本项目施工期为</w:t>
            </w:r>
            <w:r>
              <w:rPr>
                <w:rFonts w:ascii="仿宋" w:hAnsi="仿宋" w:eastAsia="仿宋" w:cs="仿宋"/>
                <w:spacing w:val="-20"/>
                <w:sz w:val="20"/>
                <w:szCs w:val="20"/>
              </w:rPr>
              <w:t xml:space="preserve"> </w:t>
            </w:r>
            <w:r>
              <w:rPr>
                <w:spacing w:val="9"/>
                <w:sz w:val="20"/>
                <w:szCs w:val="20"/>
              </w:rPr>
              <w:t>12</w:t>
            </w:r>
            <w:r>
              <w:rPr>
                <w:spacing w:val="21"/>
                <w:sz w:val="20"/>
                <w:szCs w:val="20"/>
              </w:rPr>
              <w:t xml:space="preserve"> </w:t>
            </w:r>
            <w:r>
              <w:rPr>
                <w:rFonts w:ascii="仿宋" w:hAnsi="仿宋" w:eastAsia="仿宋" w:cs="仿宋"/>
                <w:spacing w:val="9"/>
                <w:sz w:val="20"/>
                <w:szCs w:val="20"/>
              </w:rPr>
              <w:t>个月，施工人数约为</w:t>
            </w:r>
            <w:r>
              <w:rPr>
                <w:rFonts w:ascii="仿宋" w:hAnsi="仿宋" w:eastAsia="仿宋" w:cs="仿宋"/>
                <w:spacing w:val="-41"/>
                <w:sz w:val="20"/>
                <w:szCs w:val="20"/>
              </w:rPr>
              <w:t xml:space="preserve"> </w:t>
            </w:r>
            <w:r>
              <w:rPr>
                <w:spacing w:val="9"/>
                <w:sz w:val="20"/>
                <w:szCs w:val="20"/>
              </w:rPr>
              <w:t>20</w:t>
            </w:r>
            <w:r>
              <w:rPr>
                <w:spacing w:val="21"/>
                <w:w w:val="101"/>
                <w:sz w:val="20"/>
                <w:szCs w:val="20"/>
              </w:rPr>
              <w:t xml:space="preserve"> </w:t>
            </w:r>
            <w:r>
              <w:rPr>
                <w:rFonts w:ascii="仿宋" w:hAnsi="仿宋" w:eastAsia="仿宋" w:cs="仿宋"/>
                <w:spacing w:val="9"/>
                <w:sz w:val="20"/>
                <w:szCs w:val="20"/>
              </w:rPr>
              <w:t>人，施工人员均为当地</w:t>
            </w:r>
            <w:r>
              <w:rPr>
                <w:rFonts w:ascii="仿宋" w:hAnsi="仿宋" w:eastAsia="仿宋" w:cs="仿宋"/>
                <w:spacing w:val="8"/>
                <w:sz w:val="20"/>
                <w:szCs w:val="20"/>
              </w:rPr>
              <w:t>村民。用水</w:t>
            </w:r>
            <w:r>
              <w:rPr>
                <w:rFonts w:ascii="仿宋" w:hAnsi="仿宋" w:eastAsia="仿宋" w:cs="仿宋"/>
                <w:spacing w:val="7"/>
                <w:sz w:val="20"/>
                <w:szCs w:val="20"/>
              </w:rPr>
              <w:t>量参照《内蒙古自治区行业用水定额标准（</w:t>
            </w:r>
            <w:r>
              <w:rPr>
                <w:spacing w:val="7"/>
                <w:sz w:val="20"/>
                <w:szCs w:val="20"/>
              </w:rPr>
              <w:t>2025</w:t>
            </w:r>
            <w:r>
              <w:rPr>
                <w:spacing w:val="21"/>
                <w:sz w:val="20"/>
                <w:szCs w:val="20"/>
              </w:rPr>
              <w:t xml:space="preserve"> </w:t>
            </w:r>
            <w:r>
              <w:rPr>
                <w:rFonts w:ascii="仿宋" w:hAnsi="仿宋" w:eastAsia="仿宋" w:cs="仿宋"/>
                <w:spacing w:val="7"/>
                <w:sz w:val="20"/>
                <w:szCs w:val="20"/>
              </w:rPr>
              <w:t>年版</w:t>
            </w:r>
            <w:r>
              <w:rPr>
                <w:rFonts w:ascii="仿宋" w:hAnsi="仿宋" w:eastAsia="仿宋" w:cs="仿宋"/>
                <w:spacing w:val="6"/>
                <w:sz w:val="20"/>
                <w:szCs w:val="20"/>
              </w:rPr>
              <w:t>）》（</w:t>
            </w:r>
            <w:r>
              <w:rPr>
                <w:sz w:val="20"/>
                <w:szCs w:val="20"/>
              </w:rPr>
              <w:t>DB</w:t>
            </w:r>
            <w:r>
              <w:rPr>
                <w:spacing w:val="6"/>
                <w:sz w:val="20"/>
                <w:szCs w:val="20"/>
              </w:rPr>
              <w:t>15/T385-2020</w:t>
            </w:r>
            <w:r>
              <w:rPr>
                <w:rFonts w:ascii="仿宋" w:hAnsi="仿宋" w:eastAsia="仿宋" w:cs="仿宋"/>
                <w:spacing w:val="24"/>
                <w:sz w:val="20"/>
                <w:szCs w:val="20"/>
              </w:rPr>
              <w:t>），</w:t>
            </w:r>
            <w:r>
              <w:rPr>
                <w:rFonts w:ascii="仿宋" w:hAnsi="仿宋" w:eastAsia="仿宋" w:cs="仿宋"/>
                <w:spacing w:val="6"/>
                <w:sz w:val="20"/>
                <w:szCs w:val="20"/>
              </w:rPr>
              <w:t>员工生活用水量按照</w:t>
            </w:r>
            <w:r>
              <w:rPr>
                <w:rFonts w:ascii="仿宋" w:hAnsi="仿宋" w:eastAsia="仿宋" w:cs="仿宋"/>
                <w:spacing w:val="-35"/>
                <w:sz w:val="20"/>
                <w:szCs w:val="20"/>
              </w:rPr>
              <w:t xml:space="preserve"> </w:t>
            </w:r>
            <w:r>
              <w:rPr>
                <w:spacing w:val="6"/>
                <w:sz w:val="20"/>
                <w:szCs w:val="20"/>
              </w:rPr>
              <w:t>80L/</w:t>
            </w:r>
            <w:r>
              <w:rPr>
                <w:rFonts w:ascii="仿宋" w:hAnsi="仿宋" w:eastAsia="仿宋" w:cs="仿宋"/>
                <w:spacing w:val="6"/>
                <w:sz w:val="20"/>
                <w:szCs w:val="20"/>
              </w:rPr>
              <w:t>人</w:t>
            </w:r>
            <w:r>
              <w:rPr>
                <w:spacing w:val="6"/>
                <w:sz w:val="20"/>
                <w:szCs w:val="20"/>
              </w:rPr>
              <w:t>·d</w:t>
            </w:r>
            <w:r>
              <w:rPr>
                <w:spacing w:val="17"/>
                <w:w w:val="101"/>
                <w:sz w:val="20"/>
                <w:szCs w:val="20"/>
              </w:rPr>
              <w:t xml:space="preserve"> </w:t>
            </w:r>
            <w:r>
              <w:rPr>
                <w:rFonts w:ascii="仿宋" w:hAnsi="仿宋" w:eastAsia="仿宋" w:cs="仿宋"/>
                <w:spacing w:val="6"/>
                <w:sz w:val="20"/>
                <w:szCs w:val="20"/>
              </w:rPr>
              <w:t>计，则员工生活用水量为</w:t>
            </w:r>
            <w:r>
              <w:rPr>
                <w:rFonts w:ascii="仿宋" w:hAnsi="仿宋" w:eastAsia="仿宋" w:cs="仿宋"/>
                <w:spacing w:val="-37"/>
                <w:sz w:val="20"/>
                <w:szCs w:val="20"/>
              </w:rPr>
              <w:t xml:space="preserve"> </w:t>
            </w:r>
            <w:r>
              <w:rPr>
                <w:spacing w:val="6"/>
                <w:sz w:val="20"/>
                <w:szCs w:val="20"/>
              </w:rPr>
              <w:t>584m³(1.6m³/d)</w:t>
            </w:r>
            <w:r>
              <w:rPr>
                <w:spacing w:val="17"/>
                <w:sz w:val="20"/>
                <w:szCs w:val="20"/>
              </w:rPr>
              <w:t xml:space="preserve">  </w:t>
            </w:r>
            <w:r>
              <w:rPr>
                <w:rFonts w:ascii="仿宋" w:hAnsi="仿宋" w:eastAsia="仿宋" w:cs="仿宋"/>
                <w:spacing w:val="6"/>
                <w:sz w:val="20"/>
                <w:szCs w:val="20"/>
              </w:rPr>
              <w:t>，</w:t>
            </w:r>
            <w:r>
              <w:rPr>
                <w:rFonts w:ascii="仿宋" w:hAnsi="仿宋" w:eastAsia="仿宋" w:cs="仿宋"/>
                <w:spacing w:val="5"/>
                <w:sz w:val="20"/>
                <w:szCs w:val="20"/>
              </w:rPr>
              <w:t>生活用水依</w:t>
            </w:r>
            <w:r>
              <w:rPr>
                <w:rFonts w:ascii="仿宋" w:hAnsi="仿宋" w:eastAsia="仿宋" w:cs="仿宋"/>
                <w:spacing w:val="6"/>
                <w:sz w:val="20"/>
                <w:szCs w:val="20"/>
              </w:rPr>
              <w:t>托村庄原有设施。</w:t>
            </w:r>
          </w:p>
          <w:p w14:paraId="5A148828">
            <w:pPr>
              <w:pStyle w:val="6"/>
              <w:spacing w:before="5" w:line="231" w:lineRule="auto"/>
              <w:ind w:left="434"/>
              <w:rPr>
                <w:rFonts w:ascii="仿宋" w:hAnsi="仿宋" w:eastAsia="仿宋" w:cs="仿宋"/>
                <w:sz w:val="20"/>
                <w:szCs w:val="20"/>
              </w:rPr>
            </w:pPr>
            <w:r>
              <w:rPr>
                <w:rFonts w:ascii="仿宋" w:hAnsi="仿宋" w:eastAsia="仿宋" w:cs="仿宋"/>
                <w:spacing w:val="5"/>
                <w:sz w:val="20"/>
                <w:szCs w:val="20"/>
              </w:rPr>
              <w:t>（</w:t>
            </w:r>
            <w:r>
              <w:rPr>
                <w:spacing w:val="5"/>
                <w:sz w:val="20"/>
                <w:szCs w:val="20"/>
              </w:rPr>
              <w:t>2</w:t>
            </w:r>
            <w:r>
              <w:rPr>
                <w:rFonts w:ascii="仿宋" w:hAnsi="仿宋" w:eastAsia="仿宋" w:cs="仿宋"/>
                <w:spacing w:val="5"/>
                <w:sz w:val="20"/>
                <w:szCs w:val="20"/>
              </w:rPr>
              <w:t>）排水</w:t>
            </w:r>
          </w:p>
          <w:p w14:paraId="137F3DBE">
            <w:pPr>
              <w:pStyle w:val="6"/>
              <w:spacing w:before="158" w:line="231" w:lineRule="auto"/>
              <w:ind w:right="6"/>
              <w:jc w:val="right"/>
              <w:rPr>
                <w:rFonts w:ascii="仿宋" w:hAnsi="仿宋" w:eastAsia="仿宋" w:cs="仿宋"/>
                <w:sz w:val="20"/>
                <w:szCs w:val="20"/>
              </w:rPr>
            </w:pPr>
            <w:r>
              <w:rPr>
                <w:rFonts w:ascii="仿宋" w:hAnsi="仿宋" w:eastAsia="仿宋" w:cs="仿宋"/>
                <w:spacing w:val="8"/>
                <w:sz w:val="20"/>
                <w:szCs w:val="20"/>
              </w:rPr>
              <w:t>本项目生活污水量按照生活用水量的</w:t>
            </w:r>
            <w:r>
              <w:rPr>
                <w:rFonts w:ascii="仿宋" w:hAnsi="仿宋" w:eastAsia="仿宋" w:cs="仿宋"/>
                <w:spacing w:val="-20"/>
                <w:sz w:val="20"/>
                <w:szCs w:val="20"/>
              </w:rPr>
              <w:t xml:space="preserve"> </w:t>
            </w:r>
            <w:r>
              <w:rPr>
                <w:spacing w:val="8"/>
                <w:sz w:val="20"/>
                <w:szCs w:val="20"/>
              </w:rPr>
              <w:t>80%</w:t>
            </w:r>
            <w:r>
              <w:rPr>
                <w:rFonts w:ascii="仿宋" w:hAnsi="仿宋" w:eastAsia="仿宋" w:cs="仿宋"/>
                <w:spacing w:val="8"/>
                <w:sz w:val="20"/>
                <w:szCs w:val="20"/>
              </w:rPr>
              <w:t>计，生活用水量为</w:t>
            </w:r>
            <w:r>
              <w:rPr>
                <w:rFonts w:ascii="仿宋" w:hAnsi="仿宋" w:eastAsia="仿宋" w:cs="仿宋"/>
                <w:spacing w:val="-20"/>
                <w:sz w:val="20"/>
                <w:szCs w:val="20"/>
              </w:rPr>
              <w:t xml:space="preserve"> </w:t>
            </w:r>
            <w:r>
              <w:rPr>
                <w:spacing w:val="8"/>
                <w:sz w:val="20"/>
                <w:szCs w:val="20"/>
              </w:rPr>
              <w:t>1.28m³/d</w:t>
            </w:r>
            <w:r>
              <w:rPr>
                <w:spacing w:val="-18"/>
                <w:sz w:val="20"/>
                <w:szCs w:val="20"/>
              </w:rPr>
              <w:t xml:space="preserve"> </w:t>
            </w:r>
            <w:r>
              <w:rPr>
                <w:rFonts w:ascii="仿宋" w:hAnsi="仿宋" w:eastAsia="仿宋" w:cs="仿宋"/>
                <w:spacing w:val="8"/>
                <w:sz w:val="20"/>
                <w:szCs w:val="20"/>
              </w:rPr>
              <w:t>，则生活</w:t>
            </w:r>
          </w:p>
        </w:tc>
      </w:tr>
    </w:tbl>
    <w:p w14:paraId="6324C9BF">
      <w:pPr>
        <w:pStyle w:val="2"/>
        <w:spacing w:line="97" w:lineRule="exact"/>
        <w:rPr>
          <w:sz w:val="8"/>
        </w:rPr>
      </w:pPr>
    </w:p>
    <w:p w14:paraId="4F46B8FF">
      <w:pPr>
        <w:spacing w:line="97" w:lineRule="exact"/>
        <w:rPr>
          <w:sz w:val="8"/>
          <w:szCs w:val="8"/>
        </w:rPr>
        <w:sectPr>
          <w:footerReference r:id="rId34" w:type="default"/>
          <w:pgSz w:w="11907" w:h="16840"/>
          <w:pgMar w:top="400" w:right="1757" w:bottom="1446" w:left="1757" w:header="0" w:footer="1284" w:gutter="0"/>
          <w:cols w:space="720" w:num="1"/>
        </w:sectPr>
      </w:pPr>
    </w:p>
    <w:p w14:paraId="3CB49DC6">
      <w:pPr>
        <w:spacing w:before="19"/>
      </w:pPr>
    </w:p>
    <w:p w14:paraId="0C06D252">
      <w:pPr>
        <w:spacing w:before="19"/>
      </w:pPr>
    </w:p>
    <w:p w14:paraId="1B876417">
      <w:pPr>
        <w:spacing w:before="18"/>
      </w:pPr>
    </w:p>
    <w:p w14:paraId="0FFCE2F9">
      <w:pPr>
        <w:spacing w:before="18"/>
      </w:pPr>
    </w:p>
    <w:tbl>
      <w:tblPr>
        <w:tblStyle w:val="5"/>
        <w:tblW w:w="8377"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37"/>
        <w:gridCol w:w="7640"/>
      </w:tblGrid>
      <w:tr w14:paraId="62A2B3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40" w:hRule="atLeast"/>
        </w:trPr>
        <w:tc>
          <w:tcPr>
            <w:tcW w:w="737" w:type="dxa"/>
            <w:tcBorders>
              <w:bottom w:val="single" w:color="000000" w:sz="2" w:space="0"/>
              <w:right w:val="single" w:color="000000" w:sz="2" w:space="0"/>
            </w:tcBorders>
            <w:vAlign w:val="top"/>
          </w:tcPr>
          <w:p w14:paraId="0C8060DD">
            <w:pPr>
              <w:rPr>
                <w:rFonts w:ascii="Arial"/>
                <w:sz w:val="21"/>
              </w:rPr>
            </w:pPr>
          </w:p>
        </w:tc>
        <w:tc>
          <w:tcPr>
            <w:tcW w:w="7640" w:type="dxa"/>
            <w:tcBorders>
              <w:left w:val="single" w:color="000000" w:sz="2" w:space="0"/>
              <w:bottom w:val="single" w:color="000000" w:sz="2" w:space="0"/>
            </w:tcBorders>
            <w:vAlign w:val="top"/>
          </w:tcPr>
          <w:p w14:paraId="0B828DC7">
            <w:pPr>
              <w:pStyle w:val="6"/>
              <w:spacing w:before="26" w:line="377" w:lineRule="auto"/>
              <w:ind w:left="11" w:right="6"/>
              <w:rPr>
                <w:rFonts w:ascii="仿宋" w:hAnsi="仿宋" w:eastAsia="仿宋" w:cs="仿宋"/>
                <w:sz w:val="20"/>
                <w:szCs w:val="20"/>
              </w:rPr>
            </w:pPr>
            <w:r>
              <w:rPr>
                <w:rFonts w:ascii="仿宋" w:hAnsi="仿宋" w:eastAsia="仿宋" w:cs="仿宋"/>
                <w:spacing w:val="5"/>
                <w:sz w:val="20"/>
                <w:szCs w:val="20"/>
              </w:rPr>
              <w:t>废水量为</w:t>
            </w:r>
            <w:r>
              <w:rPr>
                <w:rFonts w:ascii="仿宋" w:hAnsi="仿宋" w:eastAsia="仿宋" w:cs="仿宋"/>
                <w:spacing w:val="-19"/>
                <w:sz w:val="20"/>
                <w:szCs w:val="20"/>
              </w:rPr>
              <w:t xml:space="preserve"> </w:t>
            </w:r>
            <w:r>
              <w:rPr>
                <w:spacing w:val="5"/>
                <w:sz w:val="20"/>
                <w:szCs w:val="20"/>
              </w:rPr>
              <w:t>1.28m</w:t>
            </w:r>
            <w:r>
              <w:rPr>
                <w:spacing w:val="5"/>
                <w:position w:val="6"/>
                <w:sz w:val="13"/>
                <w:szCs w:val="13"/>
              </w:rPr>
              <w:t>3</w:t>
            </w:r>
            <w:r>
              <w:rPr>
                <w:spacing w:val="5"/>
                <w:sz w:val="20"/>
                <w:szCs w:val="20"/>
              </w:rPr>
              <w:t>/d</w:t>
            </w:r>
            <w:r>
              <w:rPr>
                <w:rFonts w:ascii="仿宋" w:hAnsi="仿宋" w:eastAsia="仿宋" w:cs="仿宋"/>
                <w:spacing w:val="5"/>
                <w:sz w:val="20"/>
                <w:szCs w:val="20"/>
              </w:rPr>
              <w:t>（</w:t>
            </w:r>
            <w:r>
              <w:rPr>
                <w:spacing w:val="5"/>
                <w:sz w:val="20"/>
                <w:szCs w:val="20"/>
              </w:rPr>
              <w:t>467.20m3</w:t>
            </w:r>
            <w:r>
              <w:rPr>
                <w:rFonts w:ascii="仿宋" w:hAnsi="仿宋" w:eastAsia="仿宋" w:cs="仿宋"/>
                <w:spacing w:val="-9"/>
                <w:sz w:val="20"/>
                <w:szCs w:val="20"/>
              </w:rPr>
              <w:t>），</w:t>
            </w:r>
            <w:r>
              <w:rPr>
                <w:rFonts w:ascii="仿宋" w:hAnsi="仿宋" w:eastAsia="仿宋" w:cs="仿宋"/>
                <w:spacing w:val="5"/>
                <w:sz w:val="20"/>
                <w:szCs w:val="20"/>
              </w:rPr>
              <w:t>施工人员产生的生活废水依托当地既有污水设施处</w:t>
            </w:r>
            <w:r>
              <w:rPr>
                <w:rFonts w:ascii="仿宋" w:hAnsi="仿宋" w:eastAsia="仿宋" w:cs="仿宋"/>
                <w:spacing w:val="-4"/>
                <w:sz w:val="20"/>
                <w:szCs w:val="20"/>
              </w:rPr>
              <w:t>理。</w:t>
            </w:r>
          </w:p>
          <w:p w14:paraId="17491DE2">
            <w:pPr>
              <w:pStyle w:val="6"/>
              <w:spacing w:line="228" w:lineRule="auto"/>
              <w:ind w:left="430"/>
              <w:rPr>
                <w:rFonts w:ascii="仿宋" w:hAnsi="仿宋" w:eastAsia="仿宋" w:cs="仿宋"/>
                <w:sz w:val="20"/>
                <w:szCs w:val="20"/>
              </w:rPr>
            </w:pPr>
            <w:r>
              <w:rPr>
                <w:b/>
                <w:bCs/>
                <w:spacing w:val="4"/>
                <w:sz w:val="20"/>
                <w:szCs w:val="20"/>
              </w:rPr>
              <w:t>15</w:t>
            </w:r>
            <w:r>
              <w:rPr>
                <w:b/>
                <w:bCs/>
                <w:spacing w:val="-16"/>
                <w:sz w:val="20"/>
                <w:szCs w:val="20"/>
              </w:rPr>
              <w:t xml:space="preserve"> </w:t>
            </w:r>
            <w:r>
              <w:rPr>
                <w:rFonts w:ascii="仿宋" w:hAnsi="仿宋" w:eastAsia="仿宋" w:cs="仿宋"/>
                <w:b/>
                <w:bCs/>
                <w:spacing w:val="4"/>
                <w:sz w:val="20"/>
                <w:szCs w:val="20"/>
              </w:rPr>
              <w:t>、劳动定员和工作制度</w:t>
            </w:r>
          </w:p>
          <w:p w14:paraId="7C6A7D3E">
            <w:pPr>
              <w:pStyle w:val="6"/>
              <w:spacing w:before="161" w:line="359" w:lineRule="auto"/>
              <w:ind w:left="14" w:right="5" w:firstLine="416"/>
              <w:rPr>
                <w:rFonts w:ascii="仿宋" w:hAnsi="仿宋" w:eastAsia="仿宋" w:cs="仿宋"/>
                <w:sz w:val="20"/>
                <w:szCs w:val="20"/>
              </w:rPr>
            </w:pPr>
            <w:r>
              <w:rPr>
                <w:rFonts w:ascii="仿宋" w:hAnsi="仿宋" w:eastAsia="仿宋" w:cs="仿宋"/>
                <w:spacing w:val="3"/>
                <w:sz w:val="20"/>
                <w:szCs w:val="20"/>
              </w:rPr>
              <w:t>本项目施工期劳动定员约为</w:t>
            </w:r>
            <w:r>
              <w:rPr>
                <w:spacing w:val="3"/>
                <w:sz w:val="20"/>
                <w:szCs w:val="20"/>
              </w:rPr>
              <w:t>20</w:t>
            </w:r>
            <w:r>
              <w:rPr>
                <w:spacing w:val="23"/>
                <w:w w:val="101"/>
                <w:sz w:val="20"/>
                <w:szCs w:val="20"/>
              </w:rPr>
              <w:t xml:space="preserve"> </w:t>
            </w:r>
            <w:r>
              <w:rPr>
                <w:rFonts w:ascii="仿宋" w:hAnsi="仿宋" w:eastAsia="仿宋" w:cs="仿宋"/>
                <w:spacing w:val="3"/>
                <w:sz w:val="20"/>
                <w:szCs w:val="20"/>
              </w:rPr>
              <w:t>人。本项目施工期约</w:t>
            </w:r>
            <w:r>
              <w:rPr>
                <w:rFonts w:ascii="仿宋" w:hAnsi="仿宋" w:eastAsia="仿宋" w:cs="仿宋"/>
                <w:spacing w:val="-23"/>
                <w:sz w:val="20"/>
                <w:szCs w:val="20"/>
              </w:rPr>
              <w:t xml:space="preserve"> </w:t>
            </w:r>
            <w:r>
              <w:rPr>
                <w:spacing w:val="3"/>
                <w:sz w:val="20"/>
                <w:szCs w:val="20"/>
              </w:rPr>
              <w:t>12</w:t>
            </w:r>
            <w:r>
              <w:rPr>
                <w:spacing w:val="18"/>
                <w:w w:val="101"/>
                <w:sz w:val="20"/>
                <w:szCs w:val="20"/>
              </w:rPr>
              <w:t xml:space="preserve"> </w:t>
            </w:r>
            <w:r>
              <w:rPr>
                <w:rFonts w:ascii="仿宋" w:hAnsi="仿宋" w:eastAsia="仿宋" w:cs="仿宋"/>
                <w:spacing w:val="3"/>
                <w:sz w:val="20"/>
                <w:szCs w:val="20"/>
              </w:rPr>
              <w:t>个月，预计开工时间</w:t>
            </w:r>
            <w:r>
              <w:rPr>
                <w:rFonts w:ascii="仿宋" w:hAnsi="仿宋" w:eastAsia="仿宋" w:cs="仿宋"/>
                <w:spacing w:val="-41"/>
                <w:sz w:val="20"/>
                <w:szCs w:val="20"/>
              </w:rPr>
              <w:t xml:space="preserve"> </w:t>
            </w:r>
            <w:r>
              <w:rPr>
                <w:spacing w:val="3"/>
                <w:sz w:val="20"/>
                <w:szCs w:val="20"/>
              </w:rPr>
              <w:t>2026</w:t>
            </w:r>
            <w:r>
              <w:rPr>
                <w:rFonts w:ascii="仿宋" w:hAnsi="仿宋" w:eastAsia="仿宋" w:cs="仿宋"/>
                <w:spacing w:val="1"/>
                <w:sz w:val="20"/>
                <w:szCs w:val="20"/>
              </w:rPr>
              <w:t>年</w:t>
            </w:r>
            <w:r>
              <w:rPr>
                <w:rFonts w:ascii="仿宋" w:hAnsi="仿宋" w:eastAsia="仿宋" w:cs="仿宋"/>
                <w:spacing w:val="-30"/>
                <w:sz w:val="20"/>
                <w:szCs w:val="20"/>
              </w:rPr>
              <w:t xml:space="preserve"> </w:t>
            </w:r>
            <w:r>
              <w:rPr>
                <w:spacing w:val="1"/>
                <w:sz w:val="20"/>
                <w:szCs w:val="20"/>
              </w:rPr>
              <w:t>9</w:t>
            </w:r>
            <w:r>
              <w:rPr>
                <w:spacing w:val="27"/>
                <w:w w:val="101"/>
                <w:sz w:val="20"/>
                <w:szCs w:val="20"/>
              </w:rPr>
              <w:t xml:space="preserve"> </w:t>
            </w:r>
            <w:r>
              <w:rPr>
                <w:rFonts w:ascii="仿宋" w:hAnsi="仿宋" w:eastAsia="仿宋" w:cs="仿宋"/>
                <w:spacing w:val="1"/>
                <w:sz w:val="20"/>
                <w:szCs w:val="20"/>
              </w:rPr>
              <w:t>月，预计完工时间</w:t>
            </w:r>
            <w:r>
              <w:rPr>
                <w:rFonts w:ascii="仿宋" w:hAnsi="仿宋" w:eastAsia="仿宋" w:cs="仿宋"/>
                <w:spacing w:val="-41"/>
                <w:sz w:val="20"/>
                <w:szCs w:val="20"/>
              </w:rPr>
              <w:t xml:space="preserve"> </w:t>
            </w:r>
            <w:r>
              <w:rPr>
                <w:spacing w:val="1"/>
                <w:sz w:val="20"/>
                <w:szCs w:val="20"/>
              </w:rPr>
              <w:t>2027</w:t>
            </w:r>
            <w:r>
              <w:rPr>
                <w:spacing w:val="22"/>
                <w:w w:val="101"/>
                <w:sz w:val="20"/>
                <w:szCs w:val="20"/>
              </w:rPr>
              <w:t xml:space="preserve"> </w:t>
            </w:r>
            <w:r>
              <w:rPr>
                <w:rFonts w:ascii="仿宋" w:hAnsi="仿宋" w:eastAsia="仿宋" w:cs="仿宋"/>
                <w:spacing w:val="1"/>
                <w:sz w:val="20"/>
                <w:szCs w:val="20"/>
              </w:rPr>
              <w:t>年</w:t>
            </w:r>
            <w:r>
              <w:rPr>
                <w:rFonts w:ascii="仿宋" w:hAnsi="仿宋" w:eastAsia="仿宋" w:cs="仿宋"/>
                <w:spacing w:val="-39"/>
                <w:sz w:val="20"/>
                <w:szCs w:val="20"/>
              </w:rPr>
              <w:t xml:space="preserve"> </w:t>
            </w:r>
            <w:r>
              <w:rPr>
                <w:spacing w:val="1"/>
                <w:sz w:val="20"/>
                <w:szCs w:val="20"/>
              </w:rPr>
              <w:t>9</w:t>
            </w:r>
            <w:r>
              <w:rPr>
                <w:spacing w:val="27"/>
                <w:w w:val="101"/>
                <w:sz w:val="20"/>
                <w:szCs w:val="20"/>
              </w:rPr>
              <w:t xml:space="preserve"> </w:t>
            </w:r>
            <w:r>
              <w:rPr>
                <w:rFonts w:ascii="仿宋" w:hAnsi="仿宋" w:eastAsia="仿宋" w:cs="仿宋"/>
                <w:spacing w:val="1"/>
                <w:sz w:val="20"/>
                <w:szCs w:val="20"/>
              </w:rPr>
              <w:t>月。</w:t>
            </w:r>
          </w:p>
        </w:tc>
      </w:tr>
      <w:tr w14:paraId="63C7AF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43" w:hRule="atLeast"/>
        </w:trPr>
        <w:tc>
          <w:tcPr>
            <w:tcW w:w="737" w:type="dxa"/>
            <w:tcBorders>
              <w:top w:val="single" w:color="000000" w:sz="2" w:space="0"/>
              <w:right w:val="single" w:color="000000" w:sz="2" w:space="0"/>
            </w:tcBorders>
            <w:vAlign w:val="top"/>
          </w:tcPr>
          <w:p w14:paraId="7086510E">
            <w:pPr>
              <w:spacing w:line="249" w:lineRule="auto"/>
              <w:rPr>
                <w:rFonts w:ascii="Arial"/>
                <w:sz w:val="21"/>
              </w:rPr>
            </w:pPr>
          </w:p>
          <w:p w14:paraId="614744B3">
            <w:pPr>
              <w:spacing w:line="249" w:lineRule="auto"/>
              <w:rPr>
                <w:rFonts w:ascii="Arial"/>
                <w:sz w:val="21"/>
              </w:rPr>
            </w:pPr>
          </w:p>
          <w:p w14:paraId="3FA52BE6">
            <w:pPr>
              <w:spacing w:line="249" w:lineRule="auto"/>
              <w:rPr>
                <w:rFonts w:ascii="Arial"/>
                <w:sz w:val="21"/>
              </w:rPr>
            </w:pPr>
          </w:p>
          <w:p w14:paraId="0A3FDC58">
            <w:pPr>
              <w:spacing w:line="249" w:lineRule="auto"/>
              <w:rPr>
                <w:rFonts w:ascii="Arial"/>
                <w:sz w:val="21"/>
              </w:rPr>
            </w:pPr>
          </w:p>
          <w:p w14:paraId="51B26C27">
            <w:pPr>
              <w:spacing w:line="249" w:lineRule="auto"/>
              <w:rPr>
                <w:rFonts w:ascii="Arial"/>
                <w:sz w:val="21"/>
              </w:rPr>
            </w:pPr>
          </w:p>
          <w:p w14:paraId="00D2CF26">
            <w:pPr>
              <w:spacing w:line="250" w:lineRule="auto"/>
              <w:rPr>
                <w:rFonts w:ascii="Arial"/>
                <w:sz w:val="21"/>
              </w:rPr>
            </w:pPr>
          </w:p>
          <w:p w14:paraId="2A72FC7C">
            <w:pPr>
              <w:spacing w:line="250" w:lineRule="auto"/>
              <w:rPr>
                <w:rFonts w:ascii="Arial"/>
                <w:sz w:val="21"/>
              </w:rPr>
            </w:pPr>
          </w:p>
          <w:p w14:paraId="543B9AFD">
            <w:pPr>
              <w:spacing w:line="250" w:lineRule="auto"/>
              <w:rPr>
                <w:rFonts w:ascii="Arial"/>
                <w:sz w:val="21"/>
              </w:rPr>
            </w:pPr>
          </w:p>
          <w:p w14:paraId="28253B2C">
            <w:pPr>
              <w:spacing w:line="250" w:lineRule="auto"/>
              <w:rPr>
                <w:rFonts w:ascii="Arial"/>
                <w:sz w:val="21"/>
              </w:rPr>
            </w:pPr>
          </w:p>
          <w:p w14:paraId="15973BF8">
            <w:pPr>
              <w:spacing w:line="250" w:lineRule="auto"/>
              <w:rPr>
                <w:rFonts w:ascii="Arial"/>
                <w:sz w:val="21"/>
              </w:rPr>
            </w:pPr>
          </w:p>
          <w:p w14:paraId="7735D2A8">
            <w:pPr>
              <w:spacing w:line="250" w:lineRule="auto"/>
              <w:rPr>
                <w:rFonts w:ascii="Arial"/>
                <w:sz w:val="21"/>
              </w:rPr>
            </w:pPr>
          </w:p>
          <w:p w14:paraId="23299092">
            <w:pPr>
              <w:spacing w:line="250" w:lineRule="auto"/>
              <w:rPr>
                <w:rFonts w:ascii="Arial"/>
                <w:sz w:val="21"/>
              </w:rPr>
            </w:pPr>
          </w:p>
          <w:p w14:paraId="07A3AED3">
            <w:pPr>
              <w:spacing w:line="250" w:lineRule="auto"/>
              <w:rPr>
                <w:rFonts w:ascii="Arial"/>
                <w:sz w:val="21"/>
              </w:rPr>
            </w:pPr>
          </w:p>
          <w:p w14:paraId="7B9CBFE4">
            <w:pPr>
              <w:spacing w:line="250" w:lineRule="auto"/>
              <w:rPr>
                <w:rFonts w:ascii="Arial"/>
                <w:sz w:val="21"/>
              </w:rPr>
            </w:pPr>
          </w:p>
          <w:p w14:paraId="3A2F3846">
            <w:pPr>
              <w:spacing w:line="250" w:lineRule="auto"/>
              <w:rPr>
                <w:rFonts w:ascii="Arial"/>
                <w:sz w:val="21"/>
              </w:rPr>
            </w:pPr>
          </w:p>
          <w:p w14:paraId="4948AC22">
            <w:pPr>
              <w:spacing w:line="250" w:lineRule="auto"/>
              <w:rPr>
                <w:rFonts w:ascii="Arial"/>
                <w:sz w:val="21"/>
              </w:rPr>
            </w:pPr>
          </w:p>
          <w:p w14:paraId="01AB868B">
            <w:pPr>
              <w:spacing w:line="250" w:lineRule="auto"/>
              <w:rPr>
                <w:rFonts w:ascii="Arial"/>
                <w:sz w:val="21"/>
              </w:rPr>
            </w:pPr>
          </w:p>
          <w:p w14:paraId="6848EDB7">
            <w:pPr>
              <w:spacing w:line="250" w:lineRule="auto"/>
              <w:rPr>
                <w:rFonts w:ascii="Arial"/>
                <w:sz w:val="21"/>
              </w:rPr>
            </w:pPr>
          </w:p>
          <w:p w14:paraId="024CF7B1">
            <w:pPr>
              <w:spacing w:line="250" w:lineRule="auto"/>
              <w:rPr>
                <w:rFonts w:ascii="Arial"/>
                <w:sz w:val="21"/>
              </w:rPr>
            </w:pPr>
          </w:p>
          <w:p w14:paraId="7DD0D7D3">
            <w:pPr>
              <w:spacing w:line="250" w:lineRule="auto"/>
              <w:rPr>
                <w:rFonts w:ascii="Arial"/>
                <w:sz w:val="21"/>
              </w:rPr>
            </w:pPr>
          </w:p>
          <w:p w14:paraId="6FA9E6D6">
            <w:pPr>
              <w:spacing w:line="250" w:lineRule="auto"/>
              <w:rPr>
                <w:rFonts w:ascii="Arial"/>
                <w:sz w:val="21"/>
              </w:rPr>
            </w:pPr>
          </w:p>
          <w:p w14:paraId="3B919472">
            <w:pPr>
              <w:spacing w:before="65" w:line="251" w:lineRule="auto"/>
              <w:ind w:left="63" w:right="51" w:firstLine="6"/>
              <w:jc w:val="both"/>
              <w:rPr>
                <w:rFonts w:ascii="仿宋" w:hAnsi="仿宋" w:eastAsia="仿宋" w:cs="仿宋"/>
                <w:sz w:val="20"/>
                <w:szCs w:val="20"/>
              </w:rPr>
            </w:pPr>
            <w:r>
              <w:rPr>
                <w:rFonts w:ascii="仿宋" w:hAnsi="仿宋" w:eastAsia="仿宋" w:cs="仿宋"/>
                <w:spacing w:val="2"/>
                <w:sz w:val="20"/>
                <w:szCs w:val="20"/>
              </w:rPr>
              <w:t>总平面</w:t>
            </w:r>
            <w:r>
              <w:rPr>
                <w:rFonts w:ascii="仿宋" w:hAnsi="仿宋" w:eastAsia="仿宋" w:cs="仿宋"/>
                <w:spacing w:val="4"/>
                <w:sz w:val="20"/>
                <w:szCs w:val="20"/>
              </w:rPr>
              <w:t>及现场</w:t>
            </w:r>
            <w:r>
              <w:rPr>
                <w:rFonts w:ascii="仿宋" w:hAnsi="仿宋" w:eastAsia="仿宋" w:cs="仿宋"/>
                <w:spacing w:val="29"/>
                <w:w w:val="112"/>
                <w:sz w:val="20"/>
                <w:szCs w:val="20"/>
              </w:rPr>
              <w:t>布置</w:t>
            </w:r>
          </w:p>
        </w:tc>
        <w:tc>
          <w:tcPr>
            <w:tcW w:w="7640" w:type="dxa"/>
            <w:tcBorders>
              <w:top w:val="single" w:color="000000" w:sz="2" w:space="0"/>
              <w:left w:val="single" w:color="000000" w:sz="2" w:space="0"/>
            </w:tcBorders>
            <w:vAlign w:val="top"/>
          </w:tcPr>
          <w:p w14:paraId="3E201932">
            <w:pPr>
              <w:pStyle w:val="6"/>
              <w:spacing w:before="34" w:line="230" w:lineRule="auto"/>
              <w:ind w:left="440"/>
              <w:rPr>
                <w:rFonts w:ascii="仿宋" w:hAnsi="仿宋" w:eastAsia="仿宋" w:cs="仿宋"/>
                <w:sz w:val="20"/>
                <w:szCs w:val="20"/>
              </w:rPr>
            </w:pPr>
            <w:r>
              <w:rPr>
                <w:spacing w:val="5"/>
                <w:sz w:val="20"/>
                <w:szCs w:val="20"/>
              </w:rPr>
              <w:t>1</w:t>
            </w:r>
            <w:r>
              <w:rPr>
                <w:spacing w:val="-11"/>
                <w:sz w:val="20"/>
                <w:szCs w:val="20"/>
              </w:rPr>
              <w:t xml:space="preserve"> </w:t>
            </w:r>
            <w:r>
              <w:rPr>
                <w:rFonts w:ascii="仿宋" w:hAnsi="仿宋" w:eastAsia="仿宋" w:cs="仿宋"/>
                <w:spacing w:val="5"/>
                <w:sz w:val="20"/>
                <w:szCs w:val="20"/>
              </w:rPr>
              <w:t>、李家圪堵至土敖包通村公路</w:t>
            </w:r>
          </w:p>
          <w:p w14:paraId="200C773F">
            <w:pPr>
              <w:pStyle w:val="6"/>
              <w:spacing w:before="158" w:line="377" w:lineRule="auto"/>
              <w:ind w:left="8" w:firstLine="423"/>
              <w:rPr>
                <w:rFonts w:ascii="仿宋" w:hAnsi="仿宋" w:eastAsia="仿宋" w:cs="仿宋"/>
                <w:sz w:val="20"/>
                <w:szCs w:val="20"/>
              </w:rPr>
            </w:pPr>
            <w:r>
              <w:rPr>
                <w:rFonts w:ascii="仿宋" w:hAnsi="仿宋" w:eastAsia="仿宋" w:cs="仿宋"/>
                <w:spacing w:val="9"/>
                <w:sz w:val="20"/>
                <w:szCs w:val="20"/>
              </w:rPr>
              <w:t>李家圪堵至土敖包通村公路共分为</w:t>
            </w:r>
            <w:r>
              <w:rPr>
                <w:rFonts w:ascii="仿宋" w:hAnsi="仿宋" w:eastAsia="仿宋" w:cs="仿宋"/>
                <w:spacing w:val="-38"/>
                <w:sz w:val="20"/>
                <w:szCs w:val="20"/>
              </w:rPr>
              <w:t xml:space="preserve"> </w:t>
            </w:r>
            <w:r>
              <w:rPr>
                <w:spacing w:val="9"/>
                <w:sz w:val="20"/>
                <w:szCs w:val="20"/>
              </w:rPr>
              <w:t>7</w:t>
            </w:r>
            <w:r>
              <w:rPr>
                <w:spacing w:val="21"/>
                <w:sz w:val="20"/>
                <w:szCs w:val="20"/>
              </w:rPr>
              <w:t xml:space="preserve"> </w:t>
            </w:r>
            <w:r>
              <w:rPr>
                <w:rFonts w:ascii="仿宋" w:hAnsi="仿宋" w:eastAsia="仿宋" w:cs="仿宋"/>
                <w:spacing w:val="9"/>
                <w:sz w:val="20"/>
                <w:szCs w:val="20"/>
              </w:rPr>
              <w:t>个路段，每条路段起终点均顺接现有水泥</w:t>
            </w:r>
            <w:r>
              <w:rPr>
                <w:rFonts w:ascii="仿宋" w:hAnsi="仿宋" w:eastAsia="仿宋" w:cs="仿宋"/>
                <w:spacing w:val="10"/>
                <w:sz w:val="20"/>
                <w:szCs w:val="20"/>
              </w:rPr>
              <w:t>道路。根据现场调查，现状道路为水泥混凝土与土路结合的道路，本次设计主要为</w:t>
            </w:r>
            <w:r>
              <w:rPr>
                <w:rFonts w:ascii="仿宋" w:hAnsi="仿宋" w:eastAsia="仿宋" w:cs="仿宋"/>
                <w:spacing w:val="16"/>
                <w:sz w:val="20"/>
                <w:szCs w:val="20"/>
              </w:rPr>
              <w:t>现状土路硬化</w:t>
            </w:r>
            <w:r>
              <w:rPr>
                <w:rFonts w:ascii="仿宋" w:hAnsi="仿宋" w:eastAsia="仿宋" w:cs="仿宋"/>
                <w:spacing w:val="-50"/>
                <w:sz w:val="20"/>
                <w:szCs w:val="20"/>
              </w:rPr>
              <w:t xml:space="preserve"> </w:t>
            </w:r>
            <w:r>
              <w:rPr>
                <w:rFonts w:ascii="仿宋" w:hAnsi="仿宋" w:eastAsia="仿宋" w:cs="仿宋"/>
                <w:spacing w:val="16"/>
                <w:sz w:val="20"/>
                <w:szCs w:val="20"/>
              </w:rPr>
              <w:t>。</w:t>
            </w:r>
            <w:r>
              <w:rPr>
                <w:spacing w:val="16"/>
                <w:sz w:val="20"/>
                <w:szCs w:val="20"/>
              </w:rPr>
              <w:t>7</w:t>
            </w:r>
            <w:r>
              <w:rPr>
                <w:spacing w:val="35"/>
                <w:w w:val="101"/>
                <w:sz w:val="20"/>
                <w:szCs w:val="20"/>
              </w:rPr>
              <w:t xml:space="preserve"> </w:t>
            </w:r>
            <w:r>
              <w:rPr>
                <w:rFonts w:ascii="仿宋" w:hAnsi="仿宋" w:eastAsia="仿宋" w:cs="仿宋"/>
                <w:spacing w:val="16"/>
                <w:sz w:val="20"/>
                <w:szCs w:val="20"/>
              </w:rPr>
              <w:t>个路段里程分别为：</w:t>
            </w:r>
            <w:r>
              <w:rPr>
                <w:rFonts w:ascii="仿宋" w:hAnsi="仿宋" w:eastAsia="仿宋" w:cs="仿宋"/>
                <w:spacing w:val="-40"/>
                <w:sz w:val="20"/>
                <w:szCs w:val="20"/>
              </w:rPr>
              <w:t xml:space="preserve"> </w:t>
            </w:r>
            <w:r>
              <w:rPr>
                <w:rFonts w:ascii="仿宋" w:hAnsi="仿宋" w:eastAsia="仿宋" w:cs="仿宋"/>
                <w:spacing w:val="16"/>
                <w:sz w:val="20"/>
                <w:szCs w:val="20"/>
              </w:rPr>
              <w:t>路段一路线长</w:t>
            </w:r>
            <w:r>
              <w:rPr>
                <w:rFonts w:ascii="仿宋" w:hAnsi="仿宋" w:eastAsia="仿宋" w:cs="仿宋"/>
                <w:spacing w:val="-19"/>
                <w:sz w:val="20"/>
                <w:szCs w:val="20"/>
              </w:rPr>
              <w:t xml:space="preserve"> </w:t>
            </w:r>
            <w:r>
              <w:rPr>
                <w:spacing w:val="16"/>
                <w:sz w:val="20"/>
                <w:szCs w:val="20"/>
              </w:rPr>
              <w:t>0</w:t>
            </w:r>
            <w:r>
              <w:rPr>
                <w:spacing w:val="15"/>
                <w:sz w:val="20"/>
                <w:szCs w:val="20"/>
              </w:rPr>
              <w:t>.</w:t>
            </w:r>
            <w:r>
              <w:rPr>
                <w:spacing w:val="-25"/>
                <w:sz w:val="20"/>
                <w:szCs w:val="20"/>
              </w:rPr>
              <w:t xml:space="preserve"> </w:t>
            </w:r>
            <w:r>
              <w:rPr>
                <w:spacing w:val="15"/>
                <w:sz w:val="20"/>
                <w:szCs w:val="20"/>
              </w:rPr>
              <w:t>175</w:t>
            </w:r>
            <w:r>
              <w:rPr>
                <w:sz w:val="20"/>
                <w:szCs w:val="20"/>
              </w:rPr>
              <w:t>km</w:t>
            </w:r>
            <w:r>
              <w:rPr>
                <w:spacing w:val="15"/>
                <w:sz w:val="20"/>
                <w:szCs w:val="20"/>
              </w:rPr>
              <w:t xml:space="preserve"> </w:t>
            </w:r>
            <w:r>
              <w:rPr>
                <w:rFonts w:ascii="仿宋" w:hAnsi="仿宋" w:eastAsia="仿宋" w:cs="仿宋"/>
                <w:spacing w:val="15"/>
                <w:sz w:val="20"/>
                <w:szCs w:val="20"/>
              </w:rPr>
              <w:t>，路段</w:t>
            </w:r>
            <w:r>
              <w:rPr>
                <w:rFonts w:ascii="仿宋" w:hAnsi="仿宋" w:eastAsia="仿宋" w:cs="仿宋"/>
                <w:spacing w:val="-59"/>
                <w:sz w:val="20"/>
                <w:szCs w:val="20"/>
              </w:rPr>
              <w:t xml:space="preserve"> </w:t>
            </w:r>
            <w:r>
              <w:rPr>
                <w:rFonts w:ascii="仿宋" w:hAnsi="仿宋" w:eastAsia="仿宋" w:cs="仿宋"/>
                <w:spacing w:val="15"/>
                <w:sz w:val="20"/>
                <w:szCs w:val="20"/>
              </w:rPr>
              <w:t>二路线长</w:t>
            </w:r>
            <w:r>
              <w:rPr>
                <w:spacing w:val="-1"/>
                <w:sz w:val="20"/>
                <w:szCs w:val="20"/>
              </w:rPr>
              <w:t>1.018539km</w:t>
            </w:r>
            <w:r>
              <w:rPr>
                <w:rFonts w:ascii="仿宋" w:hAnsi="仿宋" w:eastAsia="仿宋" w:cs="仿宋"/>
                <w:spacing w:val="-1"/>
                <w:sz w:val="20"/>
                <w:szCs w:val="20"/>
              </w:rPr>
              <w:t>，路段三路线长</w:t>
            </w:r>
            <w:r>
              <w:rPr>
                <w:rFonts w:ascii="仿宋" w:hAnsi="仿宋" w:eastAsia="仿宋" w:cs="仿宋"/>
                <w:spacing w:val="-41"/>
                <w:sz w:val="20"/>
                <w:szCs w:val="20"/>
              </w:rPr>
              <w:t xml:space="preserve"> </w:t>
            </w:r>
            <w:r>
              <w:rPr>
                <w:spacing w:val="-1"/>
                <w:sz w:val="20"/>
                <w:szCs w:val="20"/>
              </w:rPr>
              <w:t>0.596km</w:t>
            </w:r>
            <w:r>
              <w:rPr>
                <w:rFonts w:ascii="仿宋" w:hAnsi="仿宋" w:eastAsia="仿宋" w:cs="仿宋"/>
                <w:spacing w:val="-1"/>
                <w:sz w:val="20"/>
                <w:szCs w:val="20"/>
              </w:rPr>
              <w:t>，路段</w:t>
            </w:r>
            <w:r>
              <w:rPr>
                <w:rFonts w:ascii="仿宋" w:hAnsi="仿宋" w:eastAsia="仿宋" w:cs="仿宋"/>
                <w:spacing w:val="-2"/>
                <w:sz w:val="20"/>
                <w:szCs w:val="20"/>
              </w:rPr>
              <w:t>四路线长</w:t>
            </w:r>
            <w:r>
              <w:rPr>
                <w:rFonts w:ascii="仿宋" w:hAnsi="仿宋" w:eastAsia="仿宋" w:cs="仿宋"/>
                <w:spacing w:val="-40"/>
                <w:sz w:val="20"/>
                <w:szCs w:val="20"/>
              </w:rPr>
              <w:t xml:space="preserve"> </w:t>
            </w:r>
            <w:r>
              <w:rPr>
                <w:spacing w:val="-2"/>
                <w:sz w:val="20"/>
                <w:szCs w:val="20"/>
              </w:rPr>
              <w:t>0.399km</w:t>
            </w:r>
            <w:r>
              <w:rPr>
                <w:rFonts w:ascii="仿宋" w:hAnsi="仿宋" w:eastAsia="仿宋" w:cs="仿宋"/>
                <w:spacing w:val="-2"/>
                <w:sz w:val="20"/>
                <w:szCs w:val="20"/>
              </w:rPr>
              <w:t>，路段五路线长</w:t>
            </w:r>
            <w:r>
              <w:rPr>
                <w:rFonts w:ascii="仿宋" w:hAnsi="仿宋" w:eastAsia="仿宋" w:cs="仿宋"/>
                <w:spacing w:val="-42"/>
                <w:sz w:val="20"/>
                <w:szCs w:val="20"/>
              </w:rPr>
              <w:t xml:space="preserve"> </w:t>
            </w:r>
            <w:r>
              <w:rPr>
                <w:spacing w:val="-2"/>
                <w:sz w:val="20"/>
                <w:szCs w:val="20"/>
              </w:rPr>
              <w:t>0.419km</w:t>
            </w:r>
            <w:r>
              <w:rPr>
                <w:rFonts w:ascii="仿宋" w:hAnsi="仿宋" w:eastAsia="仿宋" w:cs="仿宋"/>
                <w:spacing w:val="-2"/>
                <w:sz w:val="20"/>
                <w:szCs w:val="20"/>
              </w:rPr>
              <w:t>，</w:t>
            </w:r>
            <w:r>
              <w:rPr>
                <w:rFonts w:ascii="仿宋" w:hAnsi="仿宋" w:eastAsia="仿宋" w:cs="仿宋"/>
                <w:spacing w:val="4"/>
                <w:sz w:val="20"/>
                <w:szCs w:val="20"/>
              </w:rPr>
              <w:t>路段六路线长</w:t>
            </w:r>
            <w:r>
              <w:rPr>
                <w:rFonts w:ascii="仿宋" w:hAnsi="仿宋" w:eastAsia="仿宋" w:cs="仿宋"/>
                <w:spacing w:val="-27"/>
                <w:sz w:val="20"/>
                <w:szCs w:val="20"/>
              </w:rPr>
              <w:t xml:space="preserve"> </w:t>
            </w:r>
            <w:r>
              <w:rPr>
                <w:spacing w:val="4"/>
                <w:sz w:val="20"/>
                <w:szCs w:val="20"/>
              </w:rPr>
              <w:t>0.907641</w:t>
            </w:r>
            <w:r>
              <w:rPr>
                <w:sz w:val="20"/>
                <w:szCs w:val="20"/>
              </w:rPr>
              <w:t>km</w:t>
            </w:r>
            <w:r>
              <w:rPr>
                <w:spacing w:val="-18"/>
                <w:sz w:val="20"/>
                <w:szCs w:val="20"/>
              </w:rPr>
              <w:t xml:space="preserve"> </w:t>
            </w:r>
            <w:r>
              <w:rPr>
                <w:rFonts w:ascii="仿宋" w:hAnsi="仿宋" w:eastAsia="仿宋" w:cs="仿宋"/>
                <w:spacing w:val="4"/>
                <w:sz w:val="20"/>
                <w:szCs w:val="20"/>
              </w:rPr>
              <w:t>，路段七路线长</w:t>
            </w:r>
            <w:r>
              <w:rPr>
                <w:rFonts w:ascii="仿宋" w:hAnsi="仿宋" w:eastAsia="仿宋" w:cs="仿宋"/>
                <w:spacing w:val="-40"/>
                <w:sz w:val="20"/>
                <w:szCs w:val="20"/>
              </w:rPr>
              <w:t xml:space="preserve"> </w:t>
            </w:r>
            <w:r>
              <w:rPr>
                <w:spacing w:val="4"/>
                <w:sz w:val="20"/>
                <w:szCs w:val="20"/>
              </w:rPr>
              <w:t>0.534</w:t>
            </w:r>
            <w:r>
              <w:rPr>
                <w:sz w:val="20"/>
                <w:szCs w:val="20"/>
              </w:rPr>
              <w:t>km</w:t>
            </w:r>
            <w:r>
              <w:rPr>
                <w:rFonts w:ascii="仿宋" w:hAnsi="仿宋" w:eastAsia="仿宋" w:cs="仿宋"/>
                <w:spacing w:val="4"/>
                <w:sz w:val="20"/>
                <w:szCs w:val="20"/>
              </w:rPr>
              <w:t>。</w:t>
            </w:r>
          </w:p>
          <w:p w14:paraId="6FD6EE2E">
            <w:pPr>
              <w:pStyle w:val="6"/>
              <w:spacing w:before="1" w:line="230" w:lineRule="auto"/>
              <w:ind w:left="420"/>
              <w:rPr>
                <w:rFonts w:ascii="仿宋" w:hAnsi="仿宋" w:eastAsia="仿宋" w:cs="仿宋"/>
                <w:sz w:val="20"/>
                <w:szCs w:val="20"/>
              </w:rPr>
            </w:pPr>
            <w:r>
              <w:rPr>
                <w:spacing w:val="6"/>
                <w:sz w:val="20"/>
                <w:szCs w:val="20"/>
              </w:rPr>
              <w:t>2</w:t>
            </w:r>
            <w:r>
              <w:rPr>
                <w:spacing w:val="-13"/>
                <w:sz w:val="20"/>
                <w:szCs w:val="20"/>
              </w:rPr>
              <w:t xml:space="preserve"> </w:t>
            </w:r>
            <w:r>
              <w:rPr>
                <w:rFonts w:ascii="仿宋" w:hAnsi="仿宋" w:eastAsia="仿宋" w:cs="仿宋"/>
                <w:spacing w:val="6"/>
                <w:sz w:val="20"/>
                <w:szCs w:val="20"/>
              </w:rPr>
              <w:t>、双山梁村通社公路工程</w:t>
            </w:r>
          </w:p>
          <w:p w14:paraId="06D2EDBE">
            <w:pPr>
              <w:pStyle w:val="6"/>
              <w:spacing w:before="157" w:line="377" w:lineRule="auto"/>
              <w:ind w:left="8" w:right="6" w:firstLine="420"/>
              <w:rPr>
                <w:rFonts w:ascii="仿宋" w:hAnsi="仿宋" w:eastAsia="仿宋" w:cs="仿宋"/>
                <w:sz w:val="20"/>
                <w:szCs w:val="20"/>
              </w:rPr>
            </w:pPr>
            <w:r>
              <w:rPr>
                <w:rFonts w:ascii="仿宋" w:hAnsi="仿宋" w:eastAsia="仿宋" w:cs="仿宋"/>
                <w:spacing w:val="7"/>
                <w:sz w:val="20"/>
                <w:szCs w:val="20"/>
              </w:rPr>
              <w:t>路线起点顺接现有水泥路，起点桩号</w:t>
            </w:r>
            <w:r>
              <w:rPr>
                <w:rFonts w:ascii="仿宋" w:hAnsi="仿宋" w:eastAsia="仿宋" w:cs="仿宋"/>
                <w:spacing w:val="-43"/>
                <w:sz w:val="20"/>
                <w:szCs w:val="20"/>
              </w:rPr>
              <w:t xml:space="preserve"> </w:t>
            </w:r>
            <w:r>
              <w:rPr>
                <w:spacing w:val="7"/>
                <w:sz w:val="20"/>
                <w:szCs w:val="20"/>
              </w:rPr>
              <w:t>K0+000</w:t>
            </w:r>
            <w:r>
              <w:rPr>
                <w:spacing w:val="-21"/>
                <w:sz w:val="20"/>
                <w:szCs w:val="20"/>
              </w:rPr>
              <w:t xml:space="preserve"> </w:t>
            </w:r>
            <w:r>
              <w:rPr>
                <w:rFonts w:ascii="仿宋" w:hAnsi="仿宋" w:eastAsia="仿宋" w:cs="仿宋"/>
                <w:spacing w:val="7"/>
                <w:sz w:val="20"/>
                <w:szCs w:val="20"/>
              </w:rPr>
              <w:t>，由北向南沿</w:t>
            </w:r>
            <w:r>
              <w:rPr>
                <w:rFonts w:ascii="仿宋" w:hAnsi="仿宋" w:eastAsia="仿宋" w:cs="仿宋"/>
                <w:spacing w:val="6"/>
                <w:sz w:val="20"/>
                <w:szCs w:val="20"/>
              </w:rPr>
              <w:t>现有土路布线，全线</w:t>
            </w:r>
            <w:r>
              <w:rPr>
                <w:rFonts w:ascii="仿宋" w:hAnsi="仿宋" w:eastAsia="仿宋" w:cs="仿宋"/>
                <w:spacing w:val="8"/>
                <w:sz w:val="20"/>
                <w:szCs w:val="20"/>
              </w:rPr>
              <w:t>路基状况良好，无特殊路基。终点与现有水泥路丁字交叉，终点桩号</w:t>
            </w:r>
            <w:r>
              <w:rPr>
                <w:rFonts w:ascii="仿宋" w:hAnsi="仿宋" w:eastAsia="仿宋" w:cs="仿宋"/>
                <w:spacing w:val="-39"/>
                <w:sz w:val="20"/>
                <w:szCs w:val="20"/>
              </w:rPr>
              <w:t xml:space="preserve"> </w:t>
            </w:r>
            <w:r>
              <w:rPr>
                <w:spacing w:val="8"/>
                <w:sz w:val="20"/>
                <w:szCs w:val="20"/>
              </w:rPr>
              <w:t>K0+337.869</w:t>
            </w:r>
            <w:r>
              <w:rPr>
                <w:rFonts w:ascii="仿宋" w:hAnsi="仿宋" w:eastAsia="仿宋" w:cs="仿宋"/>
                <w:spacing w:val="8"/>
                <w:sz w:val="20"/>
                <w:szCs w:val="20"/>
              </w:rPr>
              <w:t>。</w:t>
            </w:r>
          </w:p>
          <w:p w14:paraId="7E72D2F5">
            <w:pPr>
              <w:pStyle w:val="6"/>
              <w:spacing w:line="230" w:lineRule="auto"/>
              <w:ind w:left="424"/>
              <w:rPr>
                <w:rFonts w:ascii="仿宋" w:hAnsi="仿宋" w:eastAsia="仿宋" w:cs="仿宋"/>
                <w:sz w:val="20"/>
                <w:szCs w:val="20"/>
              </w:rPr>
            </w:pPr>
            <w:r>
              <w:rPr>
                <w:spacing w:val="5"/>
                <w:sz w:val="20"/>
                <w:szCs w:val="20"/>
              </w:rPr>
              <w:t>3</w:t>
            </w:r>
            <w:r>
              <w:rPr>
                <w:spacing w:val="-20"/>
                <w:sz w:val="20"/>
                <w:szCs w:val="20"/>
              </w:rPr>
              <w:t xml:space="preserve"> </w:t>
            </w:r>
            <w:r>
              <w:rPr>
                <w:rFonts w:ascii="仿宋" w:hAnsi="仿宋" w:eastAsia="仿宋" w:cs="仿宋"/>
                <w:spacing w:val="5"/>
                <w:sz w:val="20"/>
                <w:szCs w:val="20"/>
              </w:rPr>
              <w:t>、</w:t>
            </w:r>
            <w:r>
              <w:rPr>
                <w:rFonts w:ascii="仿宋" w:hAnsi="仿宋" w:eastAsia="仿宋" w:cs="仿宋"/>
                <w:spacing w:val="-56"/>
                <w:sz w:val="20"/>
                <w:szCs w:val="20"/>
              </w:rPr>
              <w:t xml:space="preserve"> </w:t>
            </w:r>
            <w:r>
              <w:rPr>
                <w:rFonts w:ascii="仿宋" w:hAnsi="仿宋" w:eastAsia="仿宋" w:cs="仿宋"/>
                <w:spacing w:val="5"/>
                <w:sz w:val="20"/>
                <w:szCs w:val="20"/>
              </w:rPr>
              <w:t>四道敖包至淡家梁至杨家塔通村公路</w:t>
            </w:r>
          </w:p>
          <w:p w14:paraId="6F117A3E">
            <w:pPr>
              <w:pStyle w:val="6"/>
              <w:spacing w:before="160" w:line="377" w:lineRule="auto"/>
              <w:ind w:left="15" w:firstLine="409"/>
              <w:rPr>
                <w:rFonts w:ascii="仿宋" w:hAnsi="仿宋" w:eastAsia="仿宋" w:cs="仿宋"/>
                <w:sz w:val="20"/>
                <w:szCs w:val="20"/>
              </w:rPr>
            </w:pPr>
            <w:r>
              <w:rPr>
                <w:rFonts w:ascii="仿宋" w:hAnsi="仿宋" w:eastAsia="仿宋" w:cs="仿宋"/>
                <w:spacing w:val="2"/>
                <w:sz w:val="20"/>
                <w:szCs w:val="20"/>
              </w:rPr>
              <w:t>路线起点与现有水泥路丁字交叉，起点桩号</w:t>
            </w:r>
            <w:r>
              <w:rPr>
                <w:rFonts w:ascii="仿宋" w:hAnsi="仿宋" w:eastAsia="仿宋" w:cs="仿宋"/>
                <w:spacing w:val="-30"/>
                <w:sz w:val="20"/>
                <w:szCs w:val="20"/>
              </w:rPr>
              <w:t xml:space="preserve"> </w:t>
            </w:r>
            <w:r>
              <w:rPr>
                <w:spacing w:val="2"/>
                <w:sz w:val="20"/>
                <w:szCs w:val="20"/>
              </w:rPr>
              <w:t>K0+000</w:t>
            </w:r>
            <w:r>
              <w:rPr>
                <w:rFonts w:ascii="仿宋" w:hAnsi="仿宋" w:eastAsia="仿宋" w:cs="仿宋"/>
                <w:spacing w:val="2"/>
                <w:sz w:val="20"/>
                <w:szCs w:val="20"/>
              </w:rPr>
              <w:t>，由南向北沿现有土路布线，</w:t>
            </w:r>
            <w:r>
              <w:rPr>
                <w:rFonts w:ascii="仿宋" w:hAnsi="仿宋" w:eastAsia="仿宋" w:cs="仿宋"/>
                <w:spacing w:val="-1"/>
                <w:sz w:val="20"/>
                <w:szCs w:val="20"/>
              </w:rPr>
              <w:t>全线路基状况良好，无特殊路基。终点与现有水泥路丁字交叉，终点桩号</w:t>
            </w:r>
            <w:r>
              <w:rPr>
                <w:rFonts w:ascii="仿宋" w:hAnsi="仿宋" w:eastAsia="仿宋" w:cs="仿宋"/>
                <w:spacing w:val="-42"/>
                <w:sz w:val="20"/>
                <w:szCs w:val="20"/>
              </w:rPr>
              <w:t xml:space="preserve"> </w:t>
            </w:r>
            <w:r>
              <w:rPr>
                <w:spacing w:val="-1"/>
                <w:sz w:val="20"/>
                <w:szCs w:val="20"/>
              </w:rPr>
              <w:t>K4</w:t>
            </w:r>
            <w:r>
              <w:rPr>
                <w:spacing w:val="-2"/>
                <w:sz w:val="20"/>
                <w:szCs w:val="20"/>
              </w:rPr>
              <w:t>+249.702</w:t>
            </w:r>
            <w:r>
              <w:rPr>
                <w:rFonts w:ascii="仿宋" w:hAnsi="仿宋" w:eastAsia="仿宋" w:cs="仿宋"/>
                <w:spacing w:val="-2"/>
                <w:sz w:val="20"/>
                <w:szCs w:val="20"/>
              </w:rPr>
              <w:t>。</w:t>
            </w:r>
          </w:p>
          <w:p w14:paraId="2A41EA28">
            <w:pPr>
              <w:pStyle w:val="6"/>
              <w:spacing w:line="230" w:lineRule="auto"/>
              <w:ind w:left="419"/>
              <w:rPr>
                <w:rFonts w:ascii="仿宋" w:hAnsi="仿宋" w:eastAsia="仿宋" w:cs="仿宋"/>
                <w:sz w:val="20"/>
                <w:szCs w:val="20"/>
              </w:rPr>
            </w:pPr>
            <w:r>
              <w:rPr>
                <w:spacing w:val="7"/>
                <w:sz w:val="20"/>
                <w:szCs w:val="20"/>
              </w:rPr>
              <w:t>4</w:t>
            </w:r>
            <w:r>
              <w:rPr>
                <w:spacing w:val="-11"/>
                <w:sz w:val="20"/>
                <w:szCs w:val="20"/>
              </w:rPr>
              <w:t xml:space="preserve"> </w:t>
            </w:r>
            <w:r>
              <w:rPr>
                <w:rFonts w:ascii="仿宋" w:hAnsi="仿宋" w:eastAsia="仿宋" w:cs="仿宋"/>
                <w:spacing w:val="7"/>
                <w:sz w:val="20"/>
                <w:szCs w:val="20"/>
              </w:rPr>
              <w:t>、乌拉素村二道壕大坝东至秦家塔社</w:t>
            </w:r>
          </w:p>
          <w:p w14:paraId="494F1D93">
            <w:pPr>
              <w:pStyle w:val="6"/>
              <w:spacing w:before="159" w:line="377" w:lineRule="auto"/>
              <w:ind w:left="9" w:right="6" w:firstLine="419"/>
              <w:rPr>
                <w:rFonts w:ascii="仿宋" w:hAnsi="仿宋" w:eastAsia="仿宋" w:cs="仿宋"/>
                <w:sz w:val="20"/>
                <w:szCs w:val="20"/>
              </w:rPr>
            </w:pPr>
            <w:r>
              <w:rPr>
                <w:rFonts w:ascii="仿宋" w:hAnsi="仿宋" w:eastAsia="仿宋" w:cs="仿宋"/>
                <w:spacing w:val="5"/>
                <w:sz w:val="20"/>
                <w:szCs w:val="20"/>
              </w:rPr>
              <w:t>路线起点与现有土路丁字交叉，起点桩号</w:t>
            </w:r>
            <w:r>
              <w:rPr>
                <w:rFonts w:ascii="仿宋" w:hAnsi="仿宋" w:eastAsia="仿宋" w:cs="仿宋"/>
                <w:spacing w:val="-23"/>
                <w:sz w:val="20"/>
                <w:szCs w:val="20"/>
              </w:rPr>
              <w:t xml:space="preserve"> </w:t>
            </w:r>
            <w:r>
              <w:rPr>
                <w:spacing w:val="5"/>
                <w:sz w:val="20"/>
                <w:szCs w:val="20"/>
              </w:rPr>
              <w:t>K0+000</w:t>
            </w:r>
            <w:r>
              <w:rPr>
                <w:spacing w:val="-23"/>
                <w:sz w:val="20"/>
                <w:szCs w:val="20"/>
              </w:rPr>
              <w:t xml:space="preserve"> </w:t>
            </w:r>
            <w:r>
              <w:rPr>
                <w:rFonts w:ascii="仿宋" w:hAnsi="仿宋" w:eastAsia="仿宋" w:cs="仿宋"/>
                <w:spacing w:val="5"/>
                <w:sz w:val="20"/>
                <w:szCs w:val="20"/>
              </w:rPr>
              <w:t>，</w:t>
            </w:r>
            <w:r>
              <w:rPr>
                <w:rFonts w:ascii="仿宋" w:hAnsi="仿宋" w:eastAsia="仿宋" w:cs="仿宋"/>
                <w:spacing w:val="-53"/>
                <w:sz w:val="20"/>
                <w:szCs w:val="20"/>
              </w:rPr>
              <w:t xml:space="preserve"> </w:t>
            </w:r>
            <w:r>
              <w:rPr>
                <w:rFonts w:ascii="仿宋" w:hAnsi="仿宋" w:eastAsia="仿宋" w:cs="仿宋"/>
                <w:spacing w:val="5"/>
                <w:sz w:val="20"/>
                <w:szCs w:val="20"/>
              </w:rPr>
              <w:t>由西向东沿现有土路布线，</w:t>
            </w:r>
            <w:r>
              <w:rPr>
                <w:rFonts w:ascii="仿宋" w:hAnsi="仿宋" w:eastAsia="仿宋" w:cs="仿宋"/>
                <w:spacing w:val="10"/>
                <w:sz w:val="20"/>
                <w:szCs w:val="20"/>
              </w:rPr>
              <w:t>全线路基状况良好，无特殊路基，沿线存在基本农田，</w:t>
            </w:r>
            <w:r>
              <w:rPr>
                <w:rFonts w:ascii="仿宋" w:hAnsi="仿宋" w:eastAsia="仿宋" w:cs="仿宋"/>
                <w:spacing w:val="-48"/>
                <w:sz w:val="20"/>
                <w:szCs w:val="20"/>
              </w:rPr>
              <w:t xml:space="preserve"> </w:t>
            </w:r>
            <w:r>
              <w:rPr>
                <w:rFonts w:ascii="仿宋" w:hAnsi="仿宋" w:eastAsia="仿宋" w:cs="仿宋"/>
                <w:spacing w:val="10"/>
                <w:sz w:val="20"/>
                <w:szCs w:val="20"/>
              </w:rPr>
              <w:t>已进行避让。终点与现有水</w:t>
            </w:r>
            <w:r>
              <w:rPr>
                <w:rFonts w:ascii="仿宋" w:hAnsi="仿宋" w:eastAsia="仿宋" w:cs="仿宋"/>
                <w:spacing w:val="6"/>
                <w:sz w:val="20"/>
                <w:szCs w:val="20"/>
              </w:rPr>
              <w:t>泥路丁字交叉，终点桩号</w:t>
            </w:r>
            <w:r>
              <w:rPr>
                <w:rFonts w:ascii="仿宋" w:hAnsi="仿宋" w:eastAsia="仿宋" w:cs="仿宋"/>
                <w:spacing w:val="-28"/>
                <w:sz w:val="20"/>
                <w:szCs w:val="20"/>
              </w:rPr>
              <w:t xml:space="preserve"> </w:t>
            </w:r>
            <w:r>
              <w:rPr>
                <w:spacing w:val="6"/>
                <w:sz w:val="20"/>
                <w:szCs w:val="20"/>
              </w:rPr>
              <w:t>K2+729</w:t>
            </w:r>
            <w:r>
              <w:rPr>
                <w:rFonts w:ascii="仿宋" w:hAnsi="仿宋" w:eastAsia="仿宋" w:cs="仿宋"/>
                <w:spacing w:val="6"/>
                <w:sz w:val="20"/>
                <w:szCs w:val="20"/>
              </w:rPr>
              <w:t>。</w:t>
            </w:r>
          </w:p>
          <w:p w14:paraId="2B2EF514">
            <w:pPr>
              <w:pStyle w:val="6"/>
              <w:spacing w:before="1" w:line="230" w:lineRule="auto"/>
              <w:ind w:left="426"/>
              <w:rPr>
                <w:rFonts w:ascii="仿宋" w:hAnsi="仿宋" w:eastAsia="仿宋" w:cs="仿宋"/>
                <w:sz w:val="20"/>
                <w:szCs w:val="20"/>
              </w:rPr>
            </w:pPr>
            <w:r>
              <w:rPr>
                <w:spacing w:val="5"/>
                <w:sz w:val="20"/>
                <w:szCs w:val="20"/>
              </w:rPr>
              <w:t>5</w:t>
            </w:r>
            <w:r>
              <w:rPr>
                <w:spacing w:val="-13"/>
                <w:sz w:val="20"/>
                <w:szCs w:val="20"/>
              </w:rPr>
              <w:t xml:space="preserve"> </w:t>
            </w:r>
            <w:r>
              <w:rPr>
                <w:rFonts w:ascii="仿宋" w:hAnsi="仿宋" w:eastAsia="仿宋" w:cs="仿宋"/>
                <w:spacing w:val="5"/>
                <w:sz w:val="20"/>
                <w:szCs w:val="20"/>
              </w:rPr>
              <w:t>、大棚区至杏仁露基地</w:t>
            </w:r>
          </w:p>
          <w:p w14:paraId="305966C8">
            <w:pPr>
              <w:pStyle w:val="6"/>
              <w:spacing w:before="157" w:line="377" w:lineRule="auto"/>
              <w:ind w:left="8" w:right="6" w:firstLine="420"/>
              <w:rPr>
                <w:rFonts w:ascii="仿宋" w:hAnsi="仿宋" w:eastAsia="仿宋" w:cs="仿宋"/>
                <w:sz w:val="20"/>
                <w:szCs w:val="20"/>
              </w:rPr>
            </w:pPr>
            <w:r>
              <w:rPr>
                <w:rFonts w:ascii="仿宋" w:hAnsi="仿宋" w:eastAsia="仿宋" w:cs="仿宋"/>
                <w:spacing w:val="5"/>
                <w:sz w:val="20"/>
                <w:szCs w:val="20"/>
              </w:rPr>
              <w:t xml:space="preserve">路线起点顺接现有水泥路，起点桩号 </w:t>
            </w:r>
            <w:r>
              <w:rPr>
                <w:spacing w:val="5"/>
                <w:sz w:val="20"/>
                <w:szCs w:val="20"/>
              </w:rPr>
              <w:t>K0+000</w:t>
            </w:r>
            <w:r>
              <w:rPr>
                <w:spacing w:val="-4"/>
                <w:sz w:val="20"/>
                <w:szCs w:val="20"/>
              </w:rPr>
              <w:t xml:space="preserve"> </w:t>
            </w:r>
            <w:r>
              <w:rPr>
                <w:rFonts w:ascii="仿宋" w:hAnsi="仿宋" w:eastAsia="仿宋" w:cs="仿宋"/>
                <w:spacing w:val="5"/>
                <w:sz w:val="20"/>
                <w:szCs w:val="20"/>
              </w:rPr>
              <w:t>，由南向北沿现有土路布线，全线</w:t>
            </w:r>
            <w:r>
              <w:rPr>
                <w:rFonts w:ascii="仿宋" w:hAnsi="仿宋" w:eastAsia="仿宋" w:cs="仿宋"/>
                <w:spacing w:val="8"/>
                <w:sz w:val="20"/>
                <w:szCs w:val="20"/>
              </w:rPr>
              <w:t xml:space="preserve">路基状况良好，无特殊路基。终点顺接现有土路，终点桩号 </w:t>
            </w:r>
            <w:r>
              <w:rPr>
                <w:spacing w:val="8"/>
                <w:sz w:val="20"/>
                <w:szCs w:val="20"/>
              </w:rPr>
              <w:t>K1+603</w:t>
            </w:r>
            <w:r>
              <w:rPr>
                <w:rFonts w:ascii="仿宋" w:hAnsi="仿宋" w:eastAsia="仿宋" w:cs="仿宋"/>
                <w:spacing w:val="8"/>
                <w:sz w:val="20"/>
                <w:szCs w:val="20"/>
              </w:rPr>
              <w:t>。</w:t>
            </w:r>
          </w:p>
          <w:p w14:paraId="4727FAD6">
            <w:pPr>
              <w:pStyle w:val="6"/>
              <w:spacing w:before="1" w:line="230" w:lineRule="auto"/>
              <w:ind w:left="425"/>
              <w:rPr>
                <w:rFonts w:ascii="仿宋" w:hAnsi="仿宋" w:eastAsia="仿宋" w:cs="仿宋"/>
                <w:sz w:val="20"/>
                <w:szCs w:val="20"/>
              </w:rPr>
            </w:pPr>
            <w:r>
              <w:rPr>
                <w:spacing w:val="6"/>
                <w:sz w:val="20"/>
                <w:szCs w:val="20"/>
              </w:rPr>
              <w:t>6</w:t>
            </w:r>
            <w:r>
              <w:rPr>
                <w:spacing w:val="-15"/>
                <w:sz w:val="20"/>
                <w:szCs w:val="20"/>
              </w:rPr>
              <w:t xml:space="preserve"> </w:t>
            </w:r>
            <w:r>
              <w:rPr>
                <w:rFonts w:ascii="仿宋" w:hAnsi="仿宋" w:eastAsia="仿宋" w:cs="仿宋"/>
                <w:spacing w:val="6"/>
                <w:sz w:val="20"/>
                <w:szCs w:val="20"/>
              </w:rPr>
              <w:t>、三道拐社坡底至北防洪堤</w:t>
            </w:r>
          </w:p>
          <w:p w14:paraId="3531A479">
            <w:pPr>
              <w:pStyle w:val="6"/>
              <w:spacing w:before="160" w:line="377" w:lineRule="auto"/>
              <w:ind w:left="8" w:right="6" w:firstLine="420"/>
              <w:rPr>
                <w:rFonts w:ascii="仿宋" w:hAnsi="仿宋" w:eastAsia="仿宋" w:cs="仿宋"/>
                <w:sz w:val="20"/>
                <w:szCs w:val="20"/>
              </w:rPr>
            </w:pPr>
            <w:r>
              <w:rPr>
                <w:rFonts w:ascii="仿宋" w:hAnsi="仿宋" w:eastAsia="仿宋" w:cs="仿宋"/>
                <w:spacing w:val="7"/>
                <w:sz w:val="20"/>
                <w:szCs w:val="20"/>
              </w:rPr>
              <w:t>路线起点顺接现有水泥路，起点桩号</w:t>
            </w:r>
            <w:r>
              <w:rPr>
                <w:rFonts w:ascii="仿宋" w:hAnsi="仿宋" w:eastAsia="仿宋" w:cs="仿宋"/>
                <w:spacing w:val="-43"/>
                <w:sz w:val="20"/>
                <w:szCs w:val="20"/>
              </w:rPr>
              <w:t xml:space="preserve"> </w:t>
            </w:r>
            <w:r>
              <w:rPr>
                <w:spacing w:val="7"/>
                <w:sz w:val="20"/>
                <w:szCs w:val="20"/>
              </w:rPr>
              <w:t>K0+000</w:t>
            </w:r>
            <w:r>
              <w:rPr>
                <w:spacing w:val="-21"/>
                <w:sz w:val="20"/>
                <w:szCs w:val="20"/>
              </w:rPr>
              <w:t xml:space="preserve"> </w:t>
            </w:r>
            <w:r>
              <w:rPr>
                <w:rFonts w:ascii="仿宋" w:hAnsi="仿宋" w:eastAsia="仿宋" w:cs="仿宋"/>
                <w:spacing w:val="7"/>
                <w:sz w:val="20"/>
                <w:szCs w:val="20"/>
              </w:rPr>
              <w:t>，由南向北沿</w:t>
            </w:r>
            <w:r>
              <w:rPr>
                <w:rFonts w:ascii="仿宋" w:hAnsi="仿宋" w:eastAsia="仿宋" w:cs="仿宋"/>
                <w:spacing w:val="6"/>
                <w:sz w:val="20"/>
                <w:szCs w:val="20"/>
              </w:rPr>
              <w:t>现有土路布线，全线</w:t>
            </w:r>
            <w:r>
              <w:rPr>
                <w:rFonts w:ascii="仿宋" w:hAnsi="仿宋" w:eastAsia="仿宋" w:cs="仿宋"/>
                <w:spacing w:val="8"/>
                <w:sz w:val="20"/>
                <w:szCs w:val="20"/>
              </w:rPr>
              <w:t>路基状况良好，无特殊路基。终点与现有沥青路丁字交叉，终点桩号</w:t>
            </w:r>
            <w:r>
              <w:rPr>
                <w:rFonts w:ascii="仿宋" w:hAnsi="仿宋" w:eastAsia="仿宋" w:cs="仿宋"/>
                <w:spacing w:val="-39"/>
                <w:sz w:val="20"/>
                <w:szCs w:val="20"/>
              </w:rPr>
              <w:t xml:space="preserve"> </w:t>
            </w:r>
            <w:r>
              <w:rPr>
                <w:spacing w:val="8"/>
                <w:sz w:val="20"/>
                <w:szCs w:val="20"/>
              </w:rPr>
              <w:t>K1+456.665</w:t>
            </w:r>
            <w:r>
              <w:rPr>
                <w:rFonts w:ascii="仿宋" w:hAnsi="仿宋" w:eastAsia="仿宋" w:cs="仿宋"/>
                <w:spacing w:val="8"/>
                <w:sz w:val="20"/>
                <w:szCs w:val="20"/>
              </w:rPr>
              <w:t>。</w:t>
            </w:r>
          </w:p>
          <w:p w14:paraId="5A27150C">
            <w:pPr>
              <w:pStyle w:val="6"/>
              <w:spacing w:line="230" w:lineRule="auto"/>
              <w:ind w:left="424"/>
              <w:rPr>
                <w:rFonts w:ascii="仿宋" w:hAnsi="仿宋" w:eastAsia="仿宋" w:cs="仿宋"/>
                <w:sz w:val="20"/>
                <w:szCs w:val="20"/>
              </w:rPr>
            </w:pPr>
            <w:r>
              <w:rPr>
                <w:spacing w:val="7"/>
                <w:sz w:val="20"/>
                <w:szCs w:val="20"/>
              </w:rPr>
              <w:t>7</w:t>
            </w:r>
            <w:r>
              <w:rPr>
                <w:spacing w:val="-20"/>
                <w:sz w:val="20"/>
                <w:szCs w:val="20"/>
              </w:rPr>
              <w:t xml:space="preserve"> </w:t>
            </w:r>
            <w:r>
              <w:rPr>
                <w:rFonts w:ascii="仿宋" w:hAnsi="仿宋" w:eastAsia="仿宋" w:cs="仿宋"/>
                <w:spacing w:val="7"/>
                <w:sz w:val="20"/>
                <w:szCs w:val="20"/>
              </w:rPr>
              <w:t>、份子地社新村至二道拐村委会</w:t>
            </w:r>
          </w:p>
          <w:p w14:paraId="4315B71B">
            <w:pPr>
              <w:pStyle w:val="6"/>
              <w:spacing w:before="160" w:line="377" w:lineRule="auto"/>
              <w:ind w:left="12" w:firstLine="413"/>
              <w:rPr>
                <w:rFonts w:ascii="仿宋" w:hAnsi="仿宋" w:eastAsia="仿宋" w:cs="仿宋"/>
                <w:sz w:val="20"/>
                <w:szCs w:val="20"/>
              </w:rPr>
            </w:pPr>
            <w:r>
              <w:rPr>
                <w:rFonts w:ascii="仿宋" w:hAnsi="仿宋" w:eastAsia="仿宋" w:cs="仿宋"/>
                <w:spacing w:val="2"/>
                <w:sz w:val="20"/>
                <w:szCs w:val="20"/>
              </w:rPr>
              <w:t>路线起点与现有水泥路丁字交叉，起点桩号</w:t>
            </w:r>
            <w:r>
              <w:rPr>
                <w:rFonts w:ascii="仿宋" w:hAnsi="仿宋" w:eastAsia="仿宋" w:cs="仿宋"/>
                <w:spacing w:val="-31"/>
                <w:sz w:val="20"/>
                <w:szCs w:val="20"/>
              </w:rPr>
              <w:t xml:space="preserve"> </w:t>
            </w:r>
            <w:r>
              <w:rPr>
                <w:spacing w:val="2"/>
                <w:sz w:val="20"/>
                <w:szCs w:val="20"/>
              </w:rPr>
              <w:t>K0+000</w:t>
            </w:r>
            <w:r>
              <w:rPr>
                <w:rFonts w:ascii="仿宋" w:hAnsi="仿宋" w:eastAsia="仿宋" w:cs="仿宋"/>
                <w:spacing w:val="2"/>
                <w:sz w:val="20"/>
                <w:szCs w:val="20"/>
              </w:rPr>
              <w:t>，由西向东沿现有土路布线，</w:t>
            </w:r>
            <w:r>
              <w:rPr>
                <w:rFonts w:ascii="仿宋" w:hAnsi="仿宋" w:eastAsia="仿宋" w:cs="仿宋"/>
                <w:spacing w:val="9"/>
                <w:sz w:val="20"/>
                <w:szCs w:val="20"/>
              </w:rPr>
              <w:t>全线路基状况良好，无特殊路基，沿线存在基</w:t>
            </w:r>
            <w:r>
              <w:rPr>
                <w:rFonts w:ascii="仿宋" w:hAnsi="仿宋" w:eastAsia="仿宋" w:cs="仿宋"/>
                <w:spacing w:val="8"/>
                <w:sz w:val="20"/>
                <w:szCs w:val="20"/>
              </w:rPr>
              <w:t>本农田，</w:t>
            </w:r>
            <w:r>
              <w:rPr>
                <w:rFonts w:ascii="仿宋" w:hAnsi="仿宋" w:eastAsia="仿宋" w:cs="仿宋"/>
                <w:spacing w:val="-50"/>
                <w:sz w:val="20"/>
                <w:szCs w:val="20"/>
              </w:rPr>
              <w:t xml:space="preserve"> </w:t>
            </w:r>
            <w:r>
              <w:rPr>
                <w:rFonts w:ascii="仿宋" w:hAnsi="仿宋" w:eastAsia="仿宋" w:cs="仿宋"/>
                <w:spacing w:val="8"/>
                <w:sz w:val="20"/>
                <w:szCs w:val="20"/>
              </w:rPr>
              <w:t>已进行避让。终点顺接现有</w:t>
            </w:r>
            <w:r>
              <w:rPr>
                <w:rFonts w:ascii="仿宋" w:hAnsi="仿宋" w:eastAsia="仿宋" w:cs="仿宋"/>
                <w:spacing w:val="4"/>
                <w:sz w:val="20"/>
                <w:szCs w:val="20"/>
              </w:rPr>
              <w:t xml:space="preserve">土路，终点桩号 </w:t>
            </w:r>
            <w:r>
              <w:rPr>
                <w:spacing w:val="4"/>
                <w:sz w:val="20"/>
                <w:szCs w:val="20"/>
              </w:rPr>
              <w:t>K1+593.103</w:t>
            </w:r>
            <w:r>
              <w:rPr>
                <w:rFonts w:ascii="仿宋" w:hAnsi="仿宋" w:eastAsia="仿宋" w:cs="仿宋"/>
                <w:spacing w:val="4"/>
                <w:sz w:val="20"/>
                <w:szCs w:val="20"/>
              </w:rPr>
              <w:t>。</w:t>
            </w:r>
          </w:p>
          <w:p w14:paraId="7A428265">
            <w:pPr>
              <w:pStyle w:val="6"/>
              <w:spacing w:line="231" w:lineRule="auto"/>
              <w:ind w:left="429"/>
              <w:rPr>
                <w:rFonts w:ascii="仿宋" w:hAnsi="仿宋" w:eastAsia="仿宋" w:cs="仿宋"/>
                <w:sz w:val="20"/>
                <w:szCs w:val="20"/>
              </w:rPr>
            </w:pPr>
            <w:r>
              <w:rPr>
                <w:spacing w:val="6"/>
                <w:sz w:val="20"/>
                <w:szCs w:val="20"/>
              </w:rPr>
              <w:t>8</w:t>
            </w:r>
            <w:r>
              <w:rPr>
                <w:spacing w:val="-19"/>
                <w:sz w:val="20"/>
                <w:szCs w:val="20"/>
              </w:rPr>
              <w:t xml:space="preserve"> </w:t>
            </w:r>
            <w:r>
              <w:rPr>
                <w:rFonts w:ascii="仿宋" w:hAnsi="仿宋" w:eastAsia="仿宋" w:cs="仿宋"/>
                <w:spacing w:val="6"/>
                <w:sz w:val="20"/>
                <w:szCs w:val="20"/>
              </w:rPr>
              <w:t>、二道拐坡底至张家圪旦社</w:t>
            </w:r>
          </w:p>
          <w:p w14:paraId="6DA31EAC">
            <w:pPr>
              <w:pStyle w:val="6"/>
              <w:spacing w:before="157" w:line="229" w:lineRule="auto"/>
              <w:jc w:val="right"/>
              <w:rPr>
                <w:rFonts w:ascii="仿宋" w:hAnsi="仿宋" w:eastAsia="仿宋" w:cs="仿宋"/>
                <w:sz w:val="20"/>
                <w:szCs w:val="20"/>
              </w:rPr>
            </w:pPr>
            <w:r>
              <w:rPr>
                <w:rFonts w:ascii="仿宋" w:hAnsi="仿宋" w:eastAsia="仿宋" w:cs="仿宋"/>
                <w:spacing w:val="2"/>
                <w:sz w:val="20"/>
                <w:szCs w:val="20"/>
              </w:rPr>
              <w:t>路线起点与现有水泥路丁字交叉，起点桩号</w:t>
            </w:r>
            <w:r>
              <w:rPr>
                <w:rFonts w:ascii="仿宋" w:hAnsi="仿宋" w:eastAsia="仿宋" w:cs="仿宋"/>
                <w:spacing w:val="-33"/>
                <w:sz w:val="20"/>
                <w:szCs w:val="20"/>
              </w:rPr>
              <w:t xml:space="preserve"> </w:t>
            </w:r>
            <w:r>
              <w:rPr>
                <w:spacing w:val="2"/>
                <w:sz w:val="20"/>
                <w:szCs w:val="20"/>
              </w:rPr>
              <w:t>K0+000</w:t>
            </w:r>
            <w:r>
              <w:rPr>
                <w:rFonts w:ascii="仿宋" w:hAnsi="仿宋" w:eastAsia="仿宋" w:cs="仿宋"/>
                <w:spacing w:val="2"/>
                <w:sz w:val="20"/>
                <w:szCs w:val="20"/>
              </w:rPr>
              <w:t>，由西向东沿现有土路布线，</w:t>
            </w:r>
          </w:p>
        </w:tc>
      </w:tr>
    </w:tbl>
    <w:p w14:paraId="7E89062A">
      <w:pPr>
        <w:pStyle w:val="2"/>
        <w:rPr>
          <w:sz w:val="21"/>
        </w:rPr>
      </w:pPr>
    </w:p>
    <w:p w14:paraId="30E8F0F9">
      <w:pPr>
        <w:rPr>
          <w:sz w:val="21"/>
          <w:szCs w:val="21"/>
        </w:rPr>
        <w:sectPr>
          <w:footerReference r:id="rId35" w:type="default"/>
          <w:pgSz w:w="11907" w:h="16840"/>
          <w:pgMar w:top="400" w:right="1757" w:bottom="1446" w:left="1757" w:header="0" w:footer="1284" w:gutter="0"/>
          <w:cols w:space="720" w:num="1"/>
        </w:sectPr>
      </w:pPr>
    </w:p>
    <w:p w14:paraId="7C871F53">
      <w:pPr>
        <w:spacing w:before="19"/>
      </w:pPr>
    </w:p>
    <w:p w14:paraId="104F5E5D">
      <w:pPr>
        <w:spacing w:before="19"/>
      </w:pPr>
    </w:p>
    <w:p w14:paraId="0B90E3C2">
      <w:pPr>
        <w:spacing w:before="18"/>
      </w:pPr>
    </w:p>
    <w:p w14:paraId="6D2183EF">
      <w:pPr>
        <w:spacing w:before="18"/>
      </w:pPr>
    </w:p>
    <w:tbl>
      <w:tblPr>
        <w:tblStyle w:val="5"/>
        <w:tblW w:w="8377"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37"/>
        <w:gridCol w:w="7640"/>
      </w:tblGrid>
      <w:tr w14:paraId="5B34BF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528" w:hRule="atLeast"/>
        </w:trPr>
        <w:tc>
          <w:tcPr>
            <w:tcW w:w="737" w:type="dxa"/>
            <w:tcBorders>
              <w:bottom w:val="single" w:color="000000" w:sz="2" w:space="0"/>
              <w:right w:val="single" w:color="000000" w:sz="2" w:space="0"/>
            </w:tcBorders>
            <w:vAlign w:val="top"/>
          </w:tcPr>
          <w:p w14:paraId="739B4772">
            <w:pPr>
              <w:rPr>
                <w:rFonts w:ascii="Arial"/>
                <w:sz w:val="21"/>
              </w:rPr>
            </w:pPr>
          </w:p>
        </w:tc>
        <w:tc>
          <w:tcPr>
            <w:tcW w:w="7640" w:type="dxa"/>
            <w:tcBorders>
              <w:left w:val="single" w:color="000000" w:sz="2" w:space="0"/>
              <w:bottom w:val="single" w:color="000000" w:sz="2" w:space="0"/>
            </w:tcBorders>
            <w:vAlign w:val="top"/>
          </w:tcPr>
          <w:p w14:paraId="1ED2E9CF">
            <w:pPr>
              <w:pStyle w:val="6"/>
              <w:spacing w:before="26" w:line="377" w:lineRule="auto"/>
              <w:ind w:left="12" w:right="6" w:firstLine="2"/>
              <w:rPr>
                <w:rFonts w:ascii="仿宋" w:hAnsi="仿宋" w:eastAsia="仿宋" w:cs="仿宋"/>
                <w:sz w:val="20"/>
                <w:szCs w:val="20"/>
              </w:rPr>
            </w:pPr>
            <w:r>
              <w:rPr>
                <w:rFonts w:ascii="仿宋" w:hAnsi="仿宋" w:eastAsia="仿宋" w:cs="仿宋"/>
                <w:spacing w:val="10"/>
                <w:sz w:val="20"/>
                <w:szCs w:val="20"/>
              </w:rPr>
              <w:t>全线路基状况良好，无特殊路基，沿线存在基本农田，</w:t>
            </w:r>
            <w:r>
              <w:rPr>
                <w:rFonts w:ascii="仿宋" w:hAnsi="仿宋" w:eastAsia="仿宋" w:cs="仿宋"/>
                <w:spacing w:val="-48"/>
                <w:sz w:val="20"/>
                <w:szCs w:val="20"/>
              </w:rPr>
              <w:t xml:space="preserve"> </w:t>
            </w:r>
            <w:r>
              <w:rPr>
                <w:rFonts w:ascii="仿宋" w:hAnsi="仿宋" w:eastAsia="仿宋" w:cs="仿宋"/>
                <w:spacing w:val="10"/>
                <w:sz w:val="20"/>
                <w:szCs w:val="20"/>
              </w:rPr>
              <w:t>已进行避让。终</w:t>
            </w:r>
            <w:r>
              <w:rPr>
                <w:rFonts w:ascii="仿宋" w:hAnsi="仿宋" w:eastAsia="仿宋" w:cs="仿宋"/>
                <w:spacing w:val="9"/>
                <w:sz w:val="20"/>
                <w:szCs w:val="20"/>
              </w:rPr>
              <w:t>点顺接现有</w:t>
            </w:r>
            <w:r>
              <w:rPr>
                <w:rFonts w:ascii="仿宋" w:hAnsi="仿宋" w:eastAsia="仿宋" w:cs="仿宋"/>
                <w:spacing w:val="5"/>
                <w:sz w:val="20"/>
                <w:szCs w:val="20"/>
              </w:rPr>
              <w:t xml:space="preserve">土路，终点桩号 </w:t>
            </w:r>
            <w:r>
              <w:rPr>
                <w:spacing w:val="5"/>
                <w:sz w:val="20"/>
                <w:szCs w:val="20"/>
              </w:rPr>
              <w:t>K1+593.103</w:t>
            </w:r>
            <w:r>
              <w:rPr>
                <w:rFonts w:ascii="仿宋" w:hAnsi="仿宋" w:eastAsia="仿宋" w:cs="仿宋"/>
                <w:spacing w:val="5"/>
                <w:sz w:val="20"/>
                <w:szCs w:val="20"/>
              </w:rPr>
              <w:t>。</w:t>
            </w:r>
          </w:p>
          <w:p w14:paraId="12C7475B">
            <w:pPr>
              <w:pStyle w:val="6"/>
              <w:spacing w:line="230" w:lineRule="auto"/>
              <w:ind w:left="424"/>
              <w:rPr>
                <w:rFonts w:ascii="仿宋" w:hAnsi="仿宋" w:eastAsia="仿宋" w:cs="仿宋"/>
                <w:sz w:val="20"/>
                <w:szCs w:val="20"/>
              </w:rPr>
            </w:pPr>
            <w:r>
              <w:rPr>
                <w:spacing w:val="6"/>
                <w:sz w:val="20"/>
                <w:szCs w:val="20"/>
              </w:rPr>
              <w:t>9</w:t>
            </w:r>
            <w:r>
              <w:rPr>
                <w:spacing w:val="-15"/>
                <w:sz w:val="20"/>
                <w:szCs w:val="20"/>
              </w:rPr>
              <w:t xml:space="preserve"> </w:t>
            </w:r>
            <w:r>
              <w:rPr>
                <w:rFonts w:ascii="仿宋" w:hAnsi="仿宋" w:eastAsia="仿宋" w:cs="仿宋"/>
                <w:spacing w:val="6"/>
                <w:sz w:val="20"/>
                <w:szCs w:val="20"/>
              </w:rPr>
              <w:t>、脑包湾村自然村通硬化路</w:t>
            </w:r>
          </w:p>
          <w:p w14:paraId="24792AA1">
            <w:pPr>
              <w:pStyle w:val="6"/>
              <w:spacing w:before="158" w:line="376" w:lineRule="auto"/>
              <w:ind w:firstLine="425"/>
              <w:rPr>
                <w:rFonts w:ascii="仿宋" w:hAnsi="仿宋" w:eastAsia="仿宋" w:cs="仿宋"/>
                <w:sz w:val="20"/>
                <w:szCs w:val="20"/>
              </w:rPr>
            </w:pPr>
            <w:r>
              <w:rPr>
                <w:rFonts w:ascii="仿宋" w:hAnsi="仿宋" w:eastAsia="仿宋" w:cs="仿宋"/>
                <w:spacing w:val="13"/>
                <w:sz w:val="20"/>
                <w:szCs w:val="20"/>
              </w:rPr>
              <w:t>路段一起点与现有水泥路丁字交叉，</w:t>
            </w:r>
            <w:r>
              <w:rPr>
                <w:rFonts w:ascii="仿宋" w:hAnsi="仿宋" w:eastAsia="仿宋" w:cs="仿宋"/>
                <w:spacing w:val="44"/>
                <w:sz w:val="20"/>
                <w:szCs w:val="20"/>
              </w:rPr>
              <w:t xml:space="preserve"> </w:t>
            </w:r>
            <w:r>
              <w:rPr>
                <w:rFonts w:ascii="仿宋" w:hAnsi="仿宋" w:eastAsia="仿宋" w:cs="仿宋"/>
                <w:spacing w:val="13"/>
                <w:sz w:val="20"/>
                <w:szCs w:val="20"/>
              </w:rPr>
              <w:t>起点桩号</w:t>
            </w:r>
            <w:r>
              <w:rPr>
                <w:rFonts w:ascii="仿宋" w:hAnsi="仿宋" w:eastAsia="仿宋" w:cs="仿宋"/>
                <w:spacing w:val="-35"/>
                <w:sz w:val="20"/>
                <w:szCs w:val="20"/>
              </w:rPr>
              <w:t xml:space="preserve"> </w:t>
            </w:r>
            <w:r>
              <w:rPr>
                <w:spacing w:val="13"/>
                <w:sz w:val="20"/>
                <w:szCs w:val="20"/>
              </w:rPr>
              <w:t>K0+000</w:t>
            </w:r>
            <w:r>
              <w:rPr>
                <w:spacing w:val="-11"/>
                <w:sz w:val="20"/>
                <w:szCs w:val="20"/>
              </w:rPr>
              <w:t xml:space="preserve"> </w:t>
            </w:r>
            <w:r>
              <w:rPr>
                <w:rFonts w:ascii="仿宋" w:hAnsi="仿宋" w:eastAsia="仿宋" w:cs="仿宋"/>
                <w:spacing w:val="13"/>
                <w:sz w:val="20"/>
                <w:szCs w:val="20"/>
              </w:rPr>
              <w:t>，</w:t>
            </w:r>
            <w:r>
              <w:rPr>
                <w:rFonts w:ascii="仿宋" w:hAnsi="仿宋" w:eastAsia="仿宋" w:cs="仿宋"/>
                <w:spacing w:val="12"/>
                <w:sz w:val="20"/>
                <w:szCs w:val="20"/>
              </w:rPr>
              <w:t>沿现有土路布线，</w:t>
            </w:r>
            <w:r>
              <w:rPr>
                <w:rFonts w:ascii="仿宋" w:hAnsi="仿宋" w:eastAsia="仿宋" w:cs="仿宋"/>
                <w:sz w:val="20"/>
                <w:szCs w:val="20"/>
              </w:rPr>
              <w:t xml:space="preserve"> </w:t>
            </w:r>
            <w:r>
              <w:rPr>
                <w:spacing w:val="6"/>
                <w:sz w:val="20"/>
                <w:szCs w:val="20"/>
              </w:rPr>
              <w:t>K1+966-K1+977</w:t>
            </w:r>
            <w:r>
              <w:rPr>
                <w:spacing w:val="39"/>
                <w:sz w:val="20"/>
                <w:szCs w:val="20"/>
              </w:rPr>
              <w:t xml:space="preserve"> </w:t>
            </w:r>
            <w:r>
              <w:rPr>
                <w:rFonts w:ascii="仿宋" w:hAnsi="仿宋" w:eastAsia="仿宋" w:cs="仿宋"/>
                <w:spacing w:val="6"/>
                <w:sz w:val="20"/>
                <w:szCs w:val="20"/>
              </w:rPr>
              <w:t>段因降雨造成水毁，对路床</w:t>
            </w:r>
            <w:r>
              <w:rPr>
                <w:rFonts w:ascii="仿宋" w:hAnsi="仿宋" w:eastAsia="仿宋" w:cs="仿宋"/>
                <w:spacing w:val="-35"/>
                <w:sz w:val="20"/>
                <w:szCs w:val="20"/>
              </w:rPr>
              <w:t xml:space="preserve"> </w:t>
            </w:r>
            <w:r>
              <w:rPr>
                <w:spacing w:val="6"/>
                <w:sz w:val="20"/>
                <w:szCs w:val="20"/>
              </w:rPr>
              <w:t>80</w:t>
            </w:r>
            <w:r>
              <w:rPr>
                <w:sz w:val="20"/>
                <w:szCs w:val="20"/>
              </w:rPr>
              <w:t>cm</w:t>
            </w:r>
            <w:r>
              <w:rPr>
                <w:spacing w:val="15"/>
                <w:sz w:val="20"/>
                <w:szCs w:val="20"/>
              </w:rPr>
              <w:t xml:space="preserve">  </w:t>
            </w:r>
            <w:r>
              <w:rPr>
                <w:rFonts w:ascii="仿宋" w:hAnsi="仿宋" w:eastAsia="仿宋" w:cs="仿宋"/>
                <w:spacing w:val="6"/>
                <w:sz w:val="20"/>
                <w:szCs w:val="20"/>
              </w:rPr>
              <w:t>范围内进行换填处理，其余段落</w:t>
            </w:r>
            <w:r>
              <w:rPr>
                <w:rFonts w:ascii="仿宋" w:hAnsi="仿宋" w:eastAsia="仿宋" w:cs="仿宋"/>
                <w:spacing w:val="-2"/>
                <w:sz w:val="20"/>
                <w:szCs w:val="20"/>
              </w:rPr>
              <w:t>路基状况良好，沿线存在基本农田，已进行避让。终点顺接路段三，终点桩号</w:t>
            </w:r>
            <w:r>
              <w:rPr>
                <w:rFonts w:ascii="仿宋" w:hAnsi="仿宋" w:eastAsia="仿宋" w:cs="仿宋"/>
                <w:spacing w:val="-42"/>
                <w:sz w:val="20"/>
                <w:szCs w:val="20"/>
              </w:rPr>
              <w:t xml:space="preserve"> </w:t>
            </w:r>
            <w:r>
              <w:rPr>
                <w:spacing w:val="-2"/>
                <w:sz w:val="20"/>
                <w:szCs w:val="20"/>
              </w:rPr>
              <w:t>K2</w:t>
            </w:r>
            <w:r>
              <w:rPr>
                <w:spacing w:val="-3"/>
                <w:sz w:val="20"/>
                <w:szCs w:val="20"/>
              </w:rPr>
              <w:t>+110</w:t>
            </w:r>
            <w:r>
              <w:rPr>
                <w:rFonts w:ascii="仿宋" w:hAnsi="仿宋" w:eastAsia="仿宋" w:cs="仿宋"/>
                <w:spacing w:val="-3"/>
                <w:sz w:val="20"/>
                <w:szCs w:val="20"/>
              </w:rPr>
              <w:t>。</w:t>
            </w:r>
          </w:p>
          <w:p w14:paraId="0582BA6B">
            <w:pPr>
              <w:pStyle w:val="6"/>
              <w:spacing w:before="3" w:line="377" w:lineRule="auto"/>
              <w:ind w:left="10" w:right="6" w:firstLine="418"/>
              <w:rPr>
                <w:rFonts w:ascii="仿宋" w:hAnsi="仿宋" w:eastAsia="仿宋" w:cs="仿宋"/>
                <w:sz w:val="20"/>
                <w:szCs w:val="20"/>
              </w:rPr>
            </w:pPr>
            <w:r>
              <w:rPr>
                <w:rFonts w:ascii="仿宋" w:hAnsi="仿宋" w:eastAsia="仿宋" w:cs="仿宋"/>
                <w:spacing w:val="6"/>
                <w:sz w:val="20"/>
                <w:szCs w:val="20"/>
              </w:rPr>
              <w:t>路段二起点接路段一</w:t>
            </w:r>
            <w:r>
              <w:rPr>
                <w:rFonts w:ascii="仿宋" w:hAnsi="仿宋" w:eastAsia="仿宋" w:cs="仿宋"/>
                <w:spacing w:val="-44"/>
                <w:sz w:val="20"/>
                <w:szCs w:val="20"/>
              </w:rPr>
              <w:t xml:space="preserve"> </w:t>
            </w:r>
            <w:r>
              <w:rPr>
                <w:spacing w:val="6"/>
                <w:sz w:val="20"/>
                <w:szCs w:val="20"/>
              </w:rPr>
              <w:t>K1+067</w:t>
            </w:r>
            <w:r>
              <w:rPr>
                <w:spacing w:val="18"/>
                <w:w w:val="101"/>
                <w:sz w:val="20"/>
                <w:szCs w:val="20"/>
              </w:rPr>
              <w:t xml:space="preserve"> </w:t>
            </w:r>
            <w:r>
              <w:rPr>
                <w:rFonts w:ascii="仿宋" w:hAnsi="仿宋" w:eastAsia="仿宋" w:cs="仿宋"/>
                <w:spacing w:val="6"/>
                <w:sz w:val="20"/>
                <w:szCs w:val="20"/>
              </w:rPr>
              <w:t>处，形成丁字交叉，沿现有</w:t>
            </w:r>
            <w:r>
              <w:rPr>
                <w:rFonts w:ascii="仿宋" w:hAnsi="仿宋" w:eastAsia="仿宋" w:cs="仿宋"/>
                <w:spacing w:val="5"/>
                <w:sz w:val="20"/>
                <w:szCs w:val="20"/>
              </w:rPr>
              <w:t>土路布线，全线路基状</w:t>
            </w:r>
            <w:r>
              <w:rPr>
                <w:rFonts w:ascii="仿宋" w:hAnsi="仿宋" w:eastAsia="仿宋" w:cs="仿宋"/>
                <w:spacing w:val="10"/>
                <w:sz w:val="20"/>
                <w:szCs w:val="20"/>
              </w:rPr>
              <w:t>况良好，无特殊路基，沿线存在基本农田，</w:t>
            </w:r>
            <w:r>
              <w:rPr>
                <w:rFonts w:ascii="仿宋" w:hAnsi="仿宋" w:eastAsia="仿宋" w:cs="仿宋"/>
                <w:spacing w:val="-48"/>
                <w:sz w:val="20"/>
                <w:szCs w:val="20"/>
              </w:rPr>
              <w:t xml:space="preserve"> </w:t>
            </w:r>
            <w:r>
              <w:rPr>
                <w:rFonts w:ascii="仿宋" w:hAnsi="仿宋" w:eastAsia="仿宋" w:cs="仿宋"/>
                <w:spacing w:val="10"/>
                <w:sz w:val="20"/>
                <w:szCs w:val="20"/>
              </w:rPr>
              <w:t>已进行避让。终点顺接现有土路，终点</w:t>
            </w:r>
            <w:r>
              <w:rPr>
                <w:rFonts w:ascii="仿宋" w:hAnsi="仿宋" w:eastAsia="仿宋" w:cs="仿宋"/>
                <w:spacing w:val="4"/>
                <w:sz w:val="20"/>
                <w:szCs w:val="20"/>
              </w:rPr>
              <w:t xml:space="preserve">桩号 </w:t>
            </w:r>
            <w:r>
              <w:rPr>
                <w:spacing w:val="4"/>
                <w:sz w:val="20"/>
                <w:szCs w:val="20"/>
              </w:rPr>
              <w:t>K1+236</w:t>
            </w:r>
            <w:r>
              <w:rPr>
                <w:rFonts w:ascii="仿宋" w:hAnsi="仿宋" w:eastAsia="仿宋" w:cs="仿宋"/>
                <w:spacing w:val="4"/>
                <w:sz w:val="20"/>
                <w:szCs w:val="20"/>
              </w:rPr>
              <w:t>。</w:t>
            </w:r>
          </w:p>
          <w:p w14:paraId="04B5AC78">
            <w:pPr>
              <w:pStyle w:val="6"/>
              <w:spacing w:before="1" w:line="377" w:lineRule="auto"/>
              <w:ind w:left="18" w:right="6" w:firstLine="410"/>
              <w:rPr>
                <w:rFonts w:ascii="仿宋" w:hAnsi="仿宋" w:eastAsia="仿宋" w:cs="仿宋"/>
                <w:sz w:val="20"/>
                <w:szCs w:val="20"/>
              </w:rPr>
            </w:pPr>
            <w:r>
              <w:rPr>
                <w:rFonts w:ascii="仿宋" w:hAnsi="仿宋" w:eastAsia="仿宋" w:cs="仿宋"/>
                <w:spacing w:val="12"/>
                <w:sz w:val="20"/>
                <w:szCs w:val="20"/>
              </w:rPr>
              <w:t>路段三起点顺接路段一，沿现有土路布线，</w:t>
            </w:r>
            <w:r>
              <w:rPr>
                <w:rFonts w:ascii="仿宋" w:hAnsi="仿宋" w:eastAsia="仿宋" w:cs="仿宋"/>
                <w:spacing w:val="11"/>
                <w:sz w:val="20"/>
                <w:szCs w:val="20"/>
              </w:rPr>
              <w:t>全线路基状况良好，无特殊路基，因路段三走廊带范围穿越基本农田，本次设计路面结构采用未筛分碎石路面。终点</w:t>
            </w:r>
            <w:r>
              <w:rPr>
                <w:rFonts w:ascii="仿宋" w:hAnsi="仿宋" w:eastAsia="仿宋" w:cs="仿宋"/>
                <w:spacing w:val="7"/>
                <w:sz w:val="20"/>
                <w:szCs w:val="20"/>
              </w:rPr>
              <w:t>与现有沥青路丁字交叉，终点桩号</w:t>
            </w:r>
            <w:r>
              <w:rPr>
                <w:rFonts w:ascii="仿宋" w:hAnsi="仿宋" w:eastAsia="仿宋" w:cs="仿宋"/>
                <w:spacing w:val="-43"/>
                <w:sz w:val="20"/>
                <w:szCs w:val="20"/>
              </w:rPr>
              <w:t xml:space="preserve"> </w:t>
            </w:r>
            <w:r>
              <w:rPr>
                <w:spacing w:val="7"/>
                <w:sz w:val="20"/>
                <w:szCs w:val="20"/>
              </w:rPr>
              <w:t>K1+158</w:t>
            </w:r>
            <w:r>
              <w:rPr>
                <w:rFonts w:ascii="仿宋" w:hAnsi="仿宋" w:eastAsia="仿宋" w:cs="仿宋"/>
                <w:spacing w:val="7"/>
                <w:sz w:val="20"/>
                <w:szCs w:val="20"/>
              </w:rPr>
              <w:t>。</w:t>
            </w:r>
          </w:p>
          <w:p w14:paraId="740743FD">
            <w:pPr>
              <w:pStyle w:val="6"/>
              <w:spacing w:line="230" w:lineRule="auto"/>
              <w:ind w:left="440"/>
              <w:rPr>
                <w:rFonts w:ascii="仿宋" w:hAnsi="仿宋" w:eastAsia="仿宋" w:cs="仿宋"/>
                <w:sz w:val="20"/>
                <w:szCs w:val="20"/>
              </w:rPr>
            </w:pPr>
            <w:r>
              <w:rPr>
                <w:spacing w:val="6"/>
                <w:sz w:val="20"/>
                <w:szCs w:val="20"/>
              </w:rPr>
              <w:t>10</w:t>
            </w:r>
            <w:r>
              <w:rPr>
                <w:spacing w:val="-10"/>
                <w:sz w:val="20"/>
                <w:szCs w:val="20"/>
              </w:rPr>
              <w:t xml:space="preserve"> </w:t>
            </w:r>
            <w:r>
              <w:rPr>
                <w:rFonts w:ascii="仿宋" w:hAnsi="仿宋" w:eastAsia="仿宋" w:cs="仿宋"/>
                <w:spacing w:val="6"/>
                <w:sz w:val="20"/>
                <w:szCs w:val="20"/>
              </w:rPr>
              <w:t>、沿黄巨合滩出口东至天顺圪梁通村路</w:t>
            </w:r>
          </w:p>
          <w:p w14:paraId="5C01CEBD">
            <w:pPr>
              <w:pStyle w:val="6"/>
              <w:spacing w:before="158" w:line="378" w:lineRule="auto"/>
              <w:ind w:left="8" w:right="6" w:firstLine="420"/>
              <w:rPr>
                <w:rFonts w:ascii="仿宋" w:hAnsi="仿宋" w:eastAsia="仿宋" w:cs="仿宋"/>
                <w:sz w:val="20"/>
                <w:szCs w:val="20"/>
              </w:rPr>
            </w:pPr>
            <w:r>
              <w:rPr>
                <w:rFonts w:ascii="仿宋" w:hAnsi="仿宋" w:eastAsia="仿宋" w:cs="仿宋"/>
                <w:spacing w:val="7"/>
                <w:sz w:val="20"/>
                <w:szCs w:val="20"/>
              </w:rPr>
              <w:t>路线起点顺接现有水泥路，起点桩号</w:t>
            </w:r>
            <w:r>
              <w:rPr>
                <w:rFonts w:ascii="仿宋" w:hAnsi="仿宋" w:eastAsia="仿宋" w:cs="仿宋"/>
                <w:spacing w:val="-43"/>
                <w:sz w:val="20"/>
                <w:szCs w:val="20"/>
              </w:rPr>
              <w:t xml:space="preserve"> </w:t>
            </w:r>
            <w:r>
              <w:rPr>
                <w:spacing w:val="7"/>
                <w:sz w:val="20"/>
                <w:szCs w:val="20"/>
              </w:rPr>
              <w:t>K0+000</w:t>
            </w:r>
            <w:r>
              <w:rPr>
                <w:spacing w:val="-21"/>
                <w:sz w:val="20"/>
                <w:szCs w:val="20"/>
              </w:rPr>
              <w:t xml:space="preserve"> </w:t>
            </w:r>
            <w:r>
              <w:rPr>
                <w:rFonts w:ascii="仿宋" w:hAnsi="仿宋" w:eastAsia="仿宋" w:cs="仿宋"/>
                <w:spacing w:val="7"/>
                <w:sz w:val="20"/>
                <w:szCs w:val="20"/>
              </w:rPr>
              <w:t>，由南向北沿</w:t>
            </w:r>
            <w:r>
              <w:rPr>
                <w:rFonts w:ascii="仿宋" w:hAnsi="仿宋" w:eastAsia="仿宋" w:cs="仿宋"/>
                <w:spacing w:val="6"/>
                <w:sz w:val="20"/>
                <w:szCs w:val="20"/>
              </w:rPr>
              <w:t>现有土路布线，全线</w:t>
            </w:r>
            <w:r>
              <w:rPr>
                <w:rFonts w:ascii="仿宋" w:hAnsi="仿宋" w:eastAsia="仿宋" w:cs="仿宋"/>
                <w:spacing w:val="8"/>
                <w:sz w:val="20"/>
                <w:szCs w:val="20"/>
              </w:rPr>
              <w:t>路基状况良好，无特殊路基。终点与现有沥青路丁字交叉，终点桩号</w:t>
            </w:r>
            <w:r>
              <w:rPr>
                <w:rFonts w:ascii="仿宋" w:hAnsi="仿宋" w:eastAsia="仿宋" w:cs="仿宋"/>
                <w:spacing w:val="-39"/>
                <w:sz w:val="20"/>
                <w:szCs w:val="20"/>
              </w:rPr>
              <w:t xml:space="preserve"> </w:t>
            </w:r>
            <w:r>
              <w:rPr>
                <w:spacing w:val="8"/>
                <w:sz w:val="20"/>
                <w:szCs w:val="20"/>
              </w:rPr>
              <w:t>K1+456.665</w:t>
            </w:r>
            <w:r>
              <w:rPr>
                <w:rFonts w:ascii="仿宋" w:hAnsi="仿宋" w:eastAsia="仿宋" w:cs="仿宋"/>
                <w:spacing w:val="8"/>
                <w:sz w:val="20"/>
                <w:szCs w:val="20"/>
              </w:rPr>
              <w:t>。</w:t>
            </w:r>
          </w:p>
          <w:p w14:paraId="58ED5AD5">
            <w:pPr>
              <w:pStyle w:val="6"/>
              <w:spacing w:line="230" w:lineRule="auto"/>
              <w:ind w:left="431"/>
              <w:rPr>
                <w:rFonts w:ascii="仿宋" w:hAnsi="仿宋" w:eastAsia="仿宋" w:cs="仿宋"/>
                <w:sz w:val="20"/>
                <w:szCs w:val="20"/>
              </w:rPr>
            </w:pPr>
            <w:r>
              <w:rPr>
                <w:rFonts w:ascii="仿宋" w:hAnsi="仿宋" w:eastAsia="仿宋" w:cs="仿宋"/>
                <w:spacing w:val="9"/>
                <w:sz w:val="20"/>
                <w:szCs w:val="20"/>
              </w:rPr>
              <w:t>本项目线路走向图见附图</w:t>
            </w:r>
            <w:r>
              <w:rPr>
                <w:spacing w:val="9"/>
                <w:sz w:val="20"/>
                <w:szCs w:val="20"/>
              </w:rPr>
              <w:t>4</w:t>
            </w:r>
            <w:r>
              <w:rPr>
                <w:spacing w:val="24"/>
                <w:w w:val="101"/>
                <w:sz w:val="20"/>
                <w:szCs w:val="20"/>
              </w:rPr>
              <w:t xml:space="preserve"> </w:t>
            </w:r>
            <w:r>
              <w:rPr>
                <w:rFonts w:ascii="仿宋" w:hAnsi="仿宋" w:eastAsia="仿宋" w:cs="仿宋"/>
                <w:spacing w:val="9"/>
                <w:sz w:val="20"/>
                <w:szCs w:val="20"/>
              </w:rPr>
              <w:t>和附图</w:t>
            </w:r>
            <w:r>
              <w:rPr>
                <w:rFonts w:ascii="仿宋" w:hAnsi="仿宋" w:eastAsia="仿宋" w:cs="仿宋"/>
                <w:spacing w:val="-38"/>
                <w:sz w:val="20"/>
                <w:szCs w:val="20"/>
              </w:rPr>
              <w:t xml:space="preserve"> </w:t>
            </w:r>
            <w:r>
              <w:rPr>
                <w:spacing w:val="9"/>
                <w:sz w:val="20"/>
                <w:szCs w:val="20"/>
              </w:rPr>
              <w:t>5</w:t>
            </w:r>
            <w:r>
              <w:rPr>
                <w:rFonts w:ascii="仿宋" w:hAnsi="仿宋" w:eastAsia="仿宋" w:cs="仿宋"/>
                <w:spacing w:val="9"/>
                <w:sz w:val="20"/>
                <w:szCs w:val="20"/>
              </w:rPr>
              <w:t>。</w:t>
            </w:r>
          </w:p>
        </w:tc>
      </w:tr>
      <w:tr w14:paraId="1B8370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69" w:hRule="atLeast"/>
        </w:trPr>
        <w:tc>
          <w:tcPr>
            <w:tcW w:w="737" w:type="dxa"/>
            <w:tcBorders>
              <w:top w:val="single" w:color="000000" w:sz="2" w:space="0"/>
              <w:right w:val="single" w:color="000000" w:sz="2" w:space="0"/>
            </w:tcBorders>
            <w:vAlign w:val="top"/>
          </w:tcPr>
          <w:p w14:paraId="339DC9F2">
            <w:pPr>
              <w:spacing w:line="243" w:lineRule="auto"/>
              <w:rPr>
                <w:rFonts w:ascii="Arial"/>
                <w:sz w:val="21"/>
              </w:rPr>
            </w:pPr>
          </w:p>
          <w:p w14:paraId="619957AE">
            <w:pPr>
              <w:spacing w:line="243" w:lineRule="auto"/>
              <w:rPr>
                <w:rFonts w:ascii="Arial"/>
                <w:sz w:val="21"/>
              </w:rPr>
            </w:pPr>
          </w:p>
          <w:p w14:paraId="6F6A555E">
            <w:pPr>
              <w:spacing w:line="243" w:lineRule="auto"/>
              <w:rPr>
                <w:rFonts w:ascii="Arial"/>
                <w:sz w:val="21"/>
              </w:rPr>
            </w:pPr>
          </w:p>
          <w:p w14:paraId="0BD4C835">
            <w:pPr>
              <w:spacing w:line="243" w:lineRule="auto"/>
              <w:rPr>
                <w:rFonts w:ascii="Arial"/>
                <w:sz w:val="21"/>
              </w:rPr>
            </w:pPr>
          </w:p>
          <w:p w14:paraId="6ECC88BE">
            <w:pPr>
              <w:spacing w:line="243" w:lineRule="auto"/>
              <w:rPr>
                <w:rFonts w:ascii="Arial"/>
                <w:sz w:val="21"/>
              </w:rPr>
            </w:pPr>
          </w:p>
          <w:p w14:paraId="25A0C4E6">
            <w:pPr>
              <w:spacing w:line="243" w:lineRule="auto"/>
              <w:rPr>
                <w:rFonts w:ascii="Arial"/>
                <w:sz w:val="21"/>
              </w:rPr>
            </w:pPr>
          </w:p>
          <w:p w14:paraId="5C20641D">
            <w:pPr>
              <w:spacing w:line="243" w:lineRule="auto"/>
              <w:rPr>
                <w:rFonts w:ascii="Arial"/>
                <w:sz w:val="21"/>
              </w:rPr>
            </w:pPr>
          </w:p>
          <w:p w14:paraId="064E40F9">
            <w:pPr>
              <w:spacing w:line="243" w:lineRule="auto"/>
              <w:rPr>
                <w:rFonts w:ascii="Arial"/>
                <w:sz w:val="21"/>
              </w:rPr>
            </w:pPr>
          </w:p>
          <w:p w14:paraId="0C945491">
            <w:pPr>
              <w:spacing w:line="243" w:lineRule="auto"/>
              <w:rPr>
                <w:rFonts w:ascii="Arial"/>
                <w:sz w:val="21"/>
              </w:rPr>
            </w:pPr>
          </w:p>
          <w:p w14:paraId="754F58FE">
            <w:pPr>
              <w:spacing w:line="243" w:lineRule="auto"/>
              <w:rPr>
                <w:rFonts w:ascii="Arial"/>
                <w:sz w:val="21"/>
              </w:rPr>
            </w:pPr>
          </w:p>
          <w:p w14:paraId="247F6BDE">
            <w:pPr>
              <w:spacing w:line="243" w:lineRule="auto"/>
              <w:rPr>
                <w:rFonts w:ascii="Arial"/>
                <w:sz w:val="21"/>
              </w:rPr>
            </w:pPr>
          </w:p>
          <w:p w14:paraId="76F4B630">
            <w:pPr>
              <w:spacing w:line="243" w:lineRule="auto"/>
              <w:rPr>
                <w:rFonts w:ascii="Arial"/>
                <w:sz w:val="21"/>
              </w:rPr>
            </w:pPr>
          </w:p>
          <w:p w14:paraId="528BC962">
            <w:pPr>
              <w:spacing w:line="244" w:lineRule="auto"/>
              <w:rPr>
                <w:rFonts w:ascii="Arial"/>
                <w:sz w:val="21"/>
              </w:rPr>
            </w:pPr>
          </w:p>
          <w:p w14:paraId="6D4D2AEE">
            <w:pPr>
              <w:spacing w:before="65" w:line="251" w:lineRule="auto"/>
              <w:ind w:left="170" w:right="156" w:hanging="5"/>
              <w:rPr>
                <w:rFonts w:ascii="仿宋" w:hAnsi="仿宋" w:eastAsia="仿宋" w:cs="仿宋"/>
                <w:sz w:val="20"/>
                <w:szCs w:val="20"/>
              </w:rPr>
            </w:pPr>
            <w:r>
              <w:rPr>
                <w:rFonts w:ascii="仿宋" w:hAnsi="仿宋" w:eastAsia="仿宋" w:cs="仿宋"/>
                <w:spacing w:val="2"/>
                <w:sz w:val="20"/>
                <w:szCs w:val="20"/>
              </w:rPr>
              <w:t>施工</w:t>
            </w:r>
            <w:r>
              <w:rPr>
                <w:rFonts w:ascii="仿宋" w:hAnsi="仿宋" w:eastAsia="仿宋" w:cs="仿宋"/>
                <w:spacing w:val="-1"/>
                <w:sz w:val="20"/>
                <w:szCs w:val="20"/>
              </w:rPr>
              <w:t>方案</w:t>
            </w:r>
          </w:p>
        </w:tc>
        <w:tc>
          <w:tcPr>
            <w:tcW w:w="7640" w:type="dxa"/>
            <w:tcBorders>
              <w:top w:val="single" w:color="000000" w:sz="2" w:space="0"/>
              <w:left w:val="single" w:color="000000" w:sz="2" w:space="0"/>
            </w:tcBorders>
            <w:vAlign w:val="top"/>
          </w:tcPr>
          <w:p w14:paraId="5028D1DE">
            <w:pPr>
              <w:pStyle w:val="6"/>
              <w:spacing w:before="40" w:line="377" w:lineRule="auto"/>
              <w:ind w:left="11" w:firstLine="477"/>
              <w:jc w:val="both"/>
              <w:rPr>
                <w:rFonts w:ascii="仿宋" w:hAnsi="仿宋" w:eastAsia="仿宋" w:cs="仿宋"/>
                <w:sz w:val="20"/>
                <w:szCs w:val="20"/>
              </w:rPr>
            </w:pPr>
            <w:r>
              <w:rPr>
                <w:rFonts w:ascii="仿宋" w:hAnsi="仿宋" w:eastAsia="仿宋" w:cs="仿宋"/>
                <w:spacing w:val="7"/>
                <w:sz w:val="20"/>
                <w:szCs w:val="20"/>
              </w:rPr>
              <w:t>本项目路线全长为</w:t>
            </w:r>
            <w:r>
              <w:rPr>
                <w:rFonts w:ascii="仿宋" w:hAnsi="仿宋" w:eastAsia="仿宋" w:cs="仿宋"/>
                <w:spacing w:val="-44"/>
                <w:sz w:val="20"/>
                <w:szCs w:val="20"/>
              </w:rPr>
              <w:t xml:space="preserve"> </w:t>
            </w:r>
            <w:r>
              <w:rPr>
                <w:spacing w:val="7"/>
                <w:sz w:val="20"/>
                <w:szCs w:val="20"/>
              </w:rPr>
              <w:t>26.508</w:t>
            </w:r>
            <w:r>
              <w:rPr>
                <w:sz w:val="20"/>
                <w:szCs w:val="20"/>
              </w:rPr>
              <w:t>km</w:t>
            </w:r>
            <w:r>
              <w:rPr>
                <w:spacing w:val="-18"/>
                <w:sz w:val="20"/>
                <w:szCs w:val="20"/>
              </w:rPr>
              <w:t xml:space="preserve"> </w:t>
            </w:r>
            <w:r>
              <w:rPr>
                <w:rFonts w:ascii="仿宋" w:hAnsi="仿宋" w:eastAsia="仿宋" w:cs="仿宋"/>
                <w:spacing w:val="7"/>
                <w:sz w:val="20"/>
                <w:szCs w:val="20"/>
              </w:rPr>
              <w:t>，按四级公路 (</w:t>
            </w:r>
            <w:r>
              <w:rPr>
                <w:spacing w:val="7"/>
                <w:sz w:val="20"/>
                <w:szCs w:val="20"/>
              </w:rPr>
              <w:t>Ⅱ</w:t>
            </w:r>
            <w:r>
              <w:rPr>
                <w:rFonts w:ascii="仿宋" w:hAnsi="仿宋" w:eastAsia="仿宋" w:cs="仿宋"/>
                <w:spacing w:val="7"/>
                <w:sz w:val="20"/>
                <w:szCs w:val="20"/>
              </w:rPr>
              <w:t>类</w:t>
            </w:r>
            <w:r>
              <w:rPr>
                <w:rFonts w:ascii="仿宋" w:hAnsi="仿宋" w:eastAsia="仿宋" w:cs="仿宋"/>
                <w:spacing w:val="6"/>
                <w:sz w:val="20"/>
                <w:szCs w:val="20"/>
              </w:rPr>
              <w:t>）标准建设，全线设计速度均采用</w:t>
            </w:r>
            <w:r>
              <w:rPr>
                <w:rFonts w:ascii="仿宋" w:hAnsi="仿宋" w:eastAsia="仿宋" w:cs="仿宋"/>
                <w:spacing w:val="-19"/>
                <w:sz w:val="20"/>
                <w:szCs w:val="20"/>
              </w:rPr>
              <w:t xml:space="preserve"> </w:t>
            </w:r>
            <w:r>
              <w:rPr>
                <w:spacing w:val="6"/>
                <w:sz w:val="20"/>
                <w:szCs w:val="20"/>
              </w:rPr>
              <w:t>15</w:t>
            </w:r>
            <w:r>
              <w:rPr>
                <w:sz w:val="20"/>
                <w:szCs w:val="20"/>
              </w:rPr>
              <w:t>km</w:t>
            </w:r>
            <w:r>
              <w:rPr>
                <w:spacing w:val="6"/>
                <w:sz w:val="20"/>
                <w:szCs w:val="20"/>
              </w:rPr>
              <w:t>/h</w:t>
            </w:r>
            <w:r>
              <w:rPr>
                <w:spacing w:val="-18"/>
                <w:sz w:val="20"/>
                <w:szCs w:val="20"/>
              </w:rPr>
              <w:t xml:space="preserve"> </w:t>
            </w:r>
            <w:r>
              <w:rPr>
                <w:rFonts w:ascii="仿宋" w:hAnsi="仿宋" w:eastAsia="仿宋" w:cs="仿宋"/>
                <w:spacing w:val="6"/>
                <w:sz w:val="20"/>
                <w:szCs w:val="20"/>
              </w:rPr>
              <w:t>，路基宽度均为</w:t>
            </w:r>
            <w:r>
              <w:rPr>
                <w:rFonts w:ascii="仿宋" w:hAnsi="仿宋" w:eastAsia="仿宋" w:cs="仿宋"/>
                <w:spacing w:val="-39"/>
                <w:sz w:val="20"/>
                <w:szCs w:val="20"/>
              </w:rPr>
              <w:t xml:space="preserve"> </w:t>
            </w:r>
            <w:r>
              <w:rPr>
                <w:spacing w:val="6"/>
                <w:sz w:val="20"/>
                <w:szCs w:val="20"/>
              </w:rPr>
              <w:t>4.5m</w:t>
            </w:r>
            <w:r>
              <w:rPr>
                <w:spacing w:val="-19"/>
                <w:sz w:val="20"/>
                <w:szCs w:val="20"/>
              </w:rPr>
              <w:t xml:space="preserve"> </w:t>
            </w:r>
            <w:r>
              <w:rPr>
                <w:rFonts w:ascii="仿宋" w:hAnsi="仿宋" w:eastAsia="仿宋" w:cs="仿宋"/>
                <w:spacing w:val="6"/>
                <w:sz w:val="20"/>
                <w:szCs w:val="20"/>
              </w:rPr>
              <w:t>，路面宽</w:t>
            </w:r>
            <w:r>
              <w:rPr>
                <w:rFonts w:ascii="仿宋" w:hAnsi="仿宋" w:eastAsia="仿宋" w:cs="仿宋"/>
                <w:spacing w:val="5"/>
                <w:sz w:val="20"/>
                <w:szCs w:val="20"/>
              </w:rPr>
              <w:t>度均为</w:t>
            </w:r>
            <w:r>
              <w:rPr>
                <w:rFonts w:ascii="仿宋" w:hAnsi="仿宋" w:eastAsia="仿宋" w:cs="仿宋"/>
                <w:spacing w:val="-34"/>
                <w:sz w:val="20"/>
                <w:szCs w:val="20"/>
              </w:rPr>
              <w:t xml:space="preserve"> </w:t>
            </w:r>
            <w:r>
              <w:rPr>
                <w:spacing w:val="5"/>
                <w:sz w:val="20"/>
                <w:szCs w:val="20"/>
              </w:rPr>
              <w:t>3.5m</w:t>
            </w:r>
            <w:r>
              <w:rPr>
                <w:spacing w:val="-20"/>
                <w:sz w:val="20"/>
                <w:szCs w:val="20"/>
              </w:rPr>
              <w:t xml:space="preserve"> </w:t>
            </w:r>
            <w:r>
              <w:rPr>
                <w:rFonts w:ascii="仿宋" w:hAnsi="仿宋" w:eastAsia="仿宋" w:cs="仿宋"/>
                <w:spacing w:val="5"/>
                <w:sz w:val="20"/>
                <w:szCs w:val="20"/>
              </w:rPr>
              <w:t>。除准格尔旗十二连城乡脑</w:t>
            </w:r>
            <w:r>
              <w:rPr>
                <w:rFonts w:ascii="仿宋" w:hAnsi="仿宋" w:eastAsia="仿宋" w:cs="仿宋"/>
                <w:spacing w:val="6"/>
                <w:sz w:val="20"/>
                <w:szCs w:val="20"/>
              </w:rPr>
              <w:t>包湾村自然村通硬化路工程段采用未筛分碎石路面，其余段均采用水泥混</w:t>
            </w:r>
            <w:r>
              <w:rPr>
                <w:rFonts w:ascii="仿宋" w:hAnsi="仿宋" w:eastAsia="仿宋" w:cs="仿宋"/>
                <w:spacing w:val="5"/>
                <w:sz w:val="20"/>
                <w:szCs w:val="20"/>
              </w:rPr>
              <w:t>凝土路面。</w:t>
            </w:r>
          </w:p>
          <w:p w14:paraId="436FC5BA">
            <w:pPr>
              <w:pStyle w:val="6"/>
              <w:spacing w:before="2" w:line="376" w:lineRule="auto"/>
              <w:ind w:left="8" w:right="1" w:firstLine="419"/>
              <w:jc w:val="both"/>
              <w:rPr>
                <w:rFonts w:ascii="仿宋" w:hAnsi="仿宋" w:eastAsia="仿宋" w:cs="仿宋"/>
                <w:sz w:val="20"/>
                <w:szCs w:val="20"/>
              </w:rPr>
            </w:pPr>
            <w:r>
              <w:rPr>
                <w:rFonts w:ascii="仿宋" w:hAnsi="仿宋" w:eastAsia="仿宋" w:cs="仿宋"/>
                <w:spacing w:val="-1"/>
                <w:sz w:val="20"/>
                <w:szCs w:val="20"/>
              </w:rPr>
              <w:t>工程量包括路基挖填土方总量</w:t>
            </w:r>
            <w:r>
              <w:rPr>
                <w:rFonts w:ascii="仿宋" w:hAnsi="仿宋" w:eastAsia="仿宋" w:cs="仿宋"/>
                <w:spacing w:val="-33"/>
                <w:sz w:val="20"/>
                <w:szCs w:val="20"/>
              </w:rPr>
              <w:t xml:space="preserve"> </w:t>
            </w:r>
            <w:r>
              <w:rPr>
                <w:spacing w:val="-1"/>
                <w:sz w:val="20"/>
                <w:szCs w:val="20"/>
              </w:rPr>
              <w:t>6.18</w:t>
            </w:r>
            <w:r>
              <w:rPr>
                <w:spacing w:val="15"/>
                <w:sz w:val="20"/>
                <w:szCs w:val="20"/>
              </w:rPr>
              <w:t xml:space="preserve"> </w:t>
            </w:r>
            <w:r>
              <w:rPr>
                <w:rFonts w:ascii="仿宋" w:hAnsi="仿宋" w:eastAsia="仿宋" w:cs="仿宋"/>
                <w:spacing w:val="-1"/>
                <w:sz w:val="20"/>
                <w:szCs w:val="20"/>
              </w:rPr>
              <w:t>万</w:t>
            </w:r>
            <w:r>
              <w:rPr>
                <w:rFonts w:ascii="仿宋" w:hAnsi="仿宋" w:eastAsia="仿宋" w:cs="仿宋"/>
                <w:spacing w:val="-49"/>
                <w:sz w:val="20"/>
                <w:szCs w:val="20"/>
              </w:rPr>
              <w:t xml:space="preserve"> </w:t>
            </w:r>
            <w:r>
              <w:rPr>
                <w:spacing w:val="-1"/>
                <w:sz w:val="20"/>
                <w:szCs w:val="20"/>
              </w:rPr>
              <w:t>m³</w:t>
            </w:r>
            <w:r>
              <w:rPr>
                <w:spacing w:val="-23"/>
                <w:sz w:val="20"/>
                <w:szCs w:val="20"/>
              </w:rPr>
              <w:t xml:space="preserve"> </w:t>
            </w:r>
            <w:r>
              <w:rPr>
                <w:rFonts w:ascii="仿宋" w:hAnsi="仿宋" w:eastAsia="仿宋" w:cs="仿宋"/>
                <w:spacing w:val="-1"/>
                <w:sz w:val="20"/>
                <w:szCs w:val="20"/>
              </w:rPr>
              <w:t>,</w:t>
            </w:r>
            <w:r>
              <w:rPr>
                <w:rFonts w:ascii="仿宋" w:hAnsi="仿宋" w:eastAsia="仿宋" w:cs="仿宋"/>
                <w:spacing w:val="46"/>
                <w:sz w:val="20"/>
                <w:szCs w:val="20"/>
              </w:rPr>
              <w:t xml:space="preserve"> </w:t>
            </w:r>
            <w:r>
              <w:rPr>
                <w:rFonts w:ascii="仿宋" w:hAnsi="仿宋" w:eastAsia="仿宋" w:cs="仿宋"/>
                <w:spacing w:val="-1"/>
                <w:sz w:val="20"/>
                <w:szCs w:val="20"/>
              </w:rPr>
              <w:t>现浇混凝土排水</w:t>
            </w:r>
            <w:r>
              <w:rPr>
                <w:rFonts w:ascii="仿宋" w:hAnsi="仿宋" w:eastAsia="仿宋" w:cs="仿宋"/>
                <w:spacing w:val="-44"/>
                <w:sz w:val="20"/>
                <w:szCs w:val="20"/>
              </w:rPr>
              <w:t xml:space="preserve"> </w:t>
            </w:r>
            <w:r>
              <w:rPr>
                <w:spacing w:val="-1"/>
                <w:sz w:val="20"/>
                <w:szCs w:val="20"/>
              </w:rPr>
              <w:t>763.</w:t>
            </w:r>
            <w:r>
              <w:rPr>
                <w:spacing w:val="-28"/>
                <w:sz w:val="20"/>
                <w:szCs w:val="20"/>
              </w:rPr>
              <w:t xml:space="preserve"> </w:t>
            </w:r>
            <w:r>
              <w:rPr>
                <w:spacing w:val="-1"/>
                <w:sz w:val="20"/>
                <w:szCs w:val="20"/>
              </w:rPr>
              <w:t>1m³</w:t>
            </w:r>
            <w:r>
              <w:rPr>
                <w:spacing w:val="-24"/>
                <w:sz w:val="20"/>
                <w:szCs w:val="20"/>
              </w:rPr>
              <w:t xml:space="preserve"> </w:t>
            </w:r>
            <w:r>
              <w:rPr>
                <w:rFonts w:ascii="仿宋" w:hAnsi="仿宋" w:eastAsia="仿宋" w:cs="仿宋"/>
                <w:spacing w:val="-1"/>
                <w:sz w:val="20"/>
                <w:szCs w:val="20"/>
              </w:rPr>
              <w:t>,</w:t>
            </w:r>
            <w:r>
              <w:rPr>
                <w:rFonts w:ascii="仿宋" w:hAnsi="仿宋" w:eastAsia="仿宋" w:cs="仿宋"/>
                <w:spacing w:val="49"/>
                <w:sz w:val="20"/>
                <w:szCs w:val="20"/>
              </w:rPr>
              <w:t xml:space="preserve"> </w:t>
            </w:r>
            <w:r>
              <w:rPr>
                <w:rFonts w:ascii="仿宋" w:hAnsi="仿宋" w:eastAsia="仿宋" w:cs="仿宋"/>
                <w:spacing w:val="-1"/>
                <w:sz w:val="20"/>
                <w:szCs w:val="20"/>
              </w:rPr>
              <w:t>水泥混凝土</w:t>
            </w:r>
            <w:r>
              <w:rPr>
                <w:rFonts w:ascii="仿宋" w:hAnsi="仿宋" w:eastAsia="仿宋" w:cs="仿宋"/>
                <w:spacing w:val="3"/>
                <w:sz w:val="20"/>
                <w:szCs w:val="20"/>
              </w:rPr>
              <w:t>路面</w:t>
            </w:r>
            <w:r>
              <w:rPr>
                <w:rFonts w:ascii="仿宋" w:hAnsi="仿宋" w:eastAsia="仿宋" w:cs="仿宋"/>
                <w:spacing w:val="-39"/>
                <w:sz w:val="20"/>
                <w:szCs w:val="20"/>
              </w:rPr>
              <w:t xml:space="preserve"> </w:t>
            </w:r>
            <w:r>
              <w:rPr>
                <w:spacing w:val="3"/>
                <w:sz w:val="20"/>
                <w:szCs w:val="20"/>
              </w:rPr>
              <w:t>88463m</w:t>
            </w:r>
            <w:r>
              <w:rPr>
                <w:spacing w:val="3"/>
                <w:position w:val="6"/>
                <w:sz w:val="13"/>
                <w:szCs w:val="13"/>
              </w:rPr>
              <w:t>2</w:t>
            </w:r>
            <w:r>
              <w:rPr>
                <w:spacing w:val="-8"/>
                <w:position w:val="6"/>
                <w:sz w:val="13"/>
                <w:szCs w:val="13"/>
              </w:rPr>
              <w:t xml:space="preserve"> </w:t>
            </w:r>
            <w:r>
              <w:rPr>
                <w:rFonts w:ascii="仿宋" w:hAnsi="仿宋" w:eastAsia="仿宋" w:cs="仿宋"/>
                <w:spacing w:val="3"/>
                <w:sz w:val="20"/>
                <w:szCs w:val="20"/>
              </w:rPr>
              <w:t>，未筛分碎石路面</w:t>
            </w:r>
            <w:r>
              <w:rPr>
                <w:rFonts w:ascii="仿宋" w:hAnsi="仿宋" w:eastAsia="仿宋" w:cs="仿宋"/>
                <w:spacing w:val="-28"/>
                <w:sz w:val="20"/>
                <w:szCs w:val="20"/>
              </w:rPr>
              <w:t xml:space="preserve"> </w:t>
            </w:r>
            <w:r>
              <w:rPr>
                <w:spacing w:val="3"/>
                <w:sz w:val="20"/>
                <w:szCs w:val="20"/>
              </w:rPr>
              <w:t>113738m</w:t>
            </w:r>
            <w:r>
              <w:rPr>
                <w:spacing w:val="3"/>
                <w:position w:val="6"/>
                <w:sz w:val="13"/>
                <w:szCs w:val="13"/>
              </w:rPr>
              <w:t>2</w:t>
            </w:r>
            <w:r>
              <w:rPr>
                <w:spacing w:val="3"/>
                <w:sz w:val="20"/>
                <w:szCs w:val="20"/>
              </w:rPr>
              <w:t>,</w:t>
            </w:r>
            <w:r>
              <w:rPr>
                <w:rFonts w:ascii="仿宋" w:hAnsi="仿宋" w:eastAsia="仿宋" w:cs="仿宋"/>
                <w:spacing w:val="3"/>
                <w:sz w:val="20"/>
                <w:szCs w:val="20"/>
              </w:rPr>
              <w:t>平面交</w:t>
            </w:r>
            <w:r>
              <w:rPr>
                <w:rFonts w:ascii="仿宋" w:hAnsi="仿宋" w:eastAsia="仿宋" w:cs="仿宋"/>
                <w:spacing w:val="2"/>
                <w:sz w:val="20"/>
                <w:szCs w:val="20"/>
              </w:rPr>
              <w:t>叉</w:t>
            </w:r>
            <w:r>
              <w:rPr>
                <w:rFonts w:ascii="仿宋" w:hAnsi="仿宋" w:eastAsia="仿宋" w:cs="仿宋"/>
                <w:spacing w:val="-40"/>
                <w:sz w:val="20"/>
                <w:szCs w:val="20"/>
              </w:rPr>
              <w:t xml:space="preserve"> </w:t>
            </w:r>
            <w:r>
              <w:rPr>
                <w:spacing w:val="2"/>
                <w:sz w:val="20"/>
                <w:szCs w:val="20"/>
              </w:rPr>
              <w:t>50</w:t>
            </w:r>
            <w:r>
              <w:rPr>
                <w:spacing w:val="14"/>
                <w:w w:val="101"/>
                <w:sz w:val="20"/>
                <w:szCs w:val="20"/>
              </w:rPr>
              <w:t xml:space="preserve"> </w:t>
            </w:r>
            <w:r>
              <w:rPr>
                <w:rFonts w:ascii="仿宋" w:hAnsi="仿宋" w:eastAsia="仿宋" w:cs="仿宋"/>
                <w:spacing w:val="2"/>
                <w:sz w:val="20"/>
                <w:szCs w:val="20"/>
              </w:rPr>
              <w:t>处，涵洞</w:t>
            </w:r>
            <w:r>
              <w:rPr>
                <w:rFonts w:ascii="仿宋" w:hAnsi="仿宋" w:eastAsia="仿宋" w:cs="仿宋"/>
                <w:spacing w:val="-42"/>
                <w:sz w:val="20"/>
                <w:szCs w:val="20"/>
              </w:rPr>
              <w:t xml:space="preserve"> </w:t>
            </w:r>
            <w:r>
              <w:rPr>
                <w:spacing w:val="2"/>
                <w:sz w:val="20"/>
                <w:szCs w:val="20"/>
              </w:rPr>
              <w:t>7</w:t>
            </w:r>
            <w:r>
              <w:rPr>
                <w:spacing w:val="13"/>
                <w:w w:val="101"/>
                <w:sz w:val="20"/>
                <w:szCs w:val="20"/>
              </w:rPr>
              <w:t xml:space="preserve"> </w:t>
            </w:r>
            <w:r>
              <w:rPr>
                <w:rFonts w:ascii="仿宋" w:hAnsi="仿宋" w:eastAsia="仿宋" w:cs="仿宋"/>
                <w:spacing w:val="2"/>
                <w:sz w:val="20"/>
                <w:szCs w:val="20"/>
              </w:rPr>
              <w:t>道。本项目道路施</w:t>
            </w:r>
            <w:r>
              <w:rPr>
                <w:rFonts w:ascii="仿宋" w:hAnsi="仿宋" w:eastAsia="仿宋" w:cs="仿宋"/>
                <w:spacing w:val="8"/>
                <w:sz w:val="20"/>
                <w:szCs w:val="20"/>
              </w:rPr>
              <w:t>工期工艺流程及产污示意图见下图。</w:t>
            </w:r>
          </w:p>
          <w:p w14:paraId="039624B0">
            <w:pPr>
              <w:pStyle w:val="6"/>
              <w:spacing w:line="230" w:lineRule="auto"/>
              <w:ind w:left="431"/>
              <w:rPr>
                <w:rFonts w:ascii="仿宋" w:hAnsi="仿宋" w:eastAsia="仿宋" w:cs="仿宋"/>
                <w:sz w:val="20"/>
                <w:szCs w:val="20"/>
              </w:rPr>
            </w:pPr>
            <w:r>
              <w:rPr>
                <w:rFonts w:ascii="仿宋" w:hAnsi="仿宋" w:eastAsia="仿宋" w:cs="仿宋"/>
                <w:spacing w:val="7"/>
                <w:sz w:val="20"/>
                <w:szCs w:val="20"/>
              </w:rPr>
              <w:t>本项目施工工艺流程及产排污节点见图</w:t>
            </w:r>
            <w:r>
              <w:rPr>
                <w:rFonts w:ascii="仿宋" w:hAnsi="仿宋" w:eastAsia="仿宋" w:cs="仿宋"/>
                <w:spacing w:val="-28"/>
                <w:sz w:val="20"/>
                <w:szCs w:val="20"/>
              </w:rPr>
              <w:t xml:space="preserve"> </w:t>
            </w:r>
            <w:r>
              <w:rPr>
                <w:spacing w:val="7"/>
                <w:sz w:val="20"/>
                <w:szCs w:val="20"/>
              </w:rPr>
              <w:t>2-8</w:t>
            </w:r>
            <w:r>
              <w:rPr>
                <w:rFonts w:ascii="仿宋" w:hAnsi="仿宋" w:eastAsia="仿宋" w:cs="仿宋"/>
                <w:spacing w:val="7"/>
                <w:sz w:val="20"/>
                <w:szCs w:val="20"/>
              </w:rPr>
              <w:t>。</w:t>
            </w:r>
          </w:p>
          <w:p w14:paraId="60022BCB">
            <w:pPr>
              <w:spacing w:before="128" w:line="3515" w:lineRule="exact"/>
              <w:ind w:firstLine="601"/>
            </w:pPr>
            <w:r>
              <w:rPr>
                <w:position w:val="-70"/>
              </w:rPr>
              <w:drawing>
                <wp:inline distT="0" distB="0" distL="0" distR="0">
                  <wp:extent cx="4060825" cy="2232025"/>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288"/>
                          <a:stretch>
                            <a:fillRect/>
                          </a:stretch>
                        </pic:blipFill>
                        <pic:spPr>
                          <a:xfrm>
                            <a:off x="0" y="0"/>
                            <a:ext cx="4061459" cy="2232266"/>
                          </a:xfrm>
                          <a:prstGeom prst="rect">
                            <a:avLst/>
                          </a:prstGeom>
                        </pic:spPr>
                      </pic:pic>
                    </a:graphicData>
                  </a:graphic>
                </wp:inline>
              </w:drawing>
            </w:r>
          </w:p>
          <w:p w14:paraId="1E67A054">
            <w:pPr>
              <w:pStyle w:val="6"/>
              <w:spacing w:before="205" w:line="231" w:lineRule="auto"/>
              <w:ind w:left="1149"/>
              <w:rPr>
                <w:rFonts w:ascii="仿宋" w:hAnsi="仿宋" w:eastAsia="仿宋" w:cs="仿宋"/>
                <w:sz w:val="20"/>
                <w:szCs w:val="20"/>
              </w:rPr>
            </w:pPr>
            <w:r>
              <w:rPr>
                <w:rFonts w:ascii="仿宋" w:hAnsi="仿宋" w:eastAsia="仿宋" w:cs="仿宋"/>
                <w:b/>
                <w:bCs/>
                <w:spacing w:val="6"/>
                <w:sz w:val="20"/>
                <w:szCs w:val="20"/>
              </w:rPr>
              <w:t>图</w:t>
            </w:r>
            <w:r>
              <w:rPr>
                <w:rFonts w:ascii="仿宋" w:hAnsi="仿宋" w:eastAsia="仿宋" w:cs="仿宋"/>
                <w:spacing w:val="-40"/>
                <w:sz w:val="20"/>
                <w:szCs w:val="20"/>
              </w:rPr>
              <w:t xml:space="preserve"> </w:t>
            </w:r>
            <w:r>
              <w:rPr>
                <w:b/>
                <w:bCs/>
                <w:spacing w:val="6"/>
                <w:sz w:val="20"/>
                <w:szCs w:val="20"/>
              </w:rPr>
              <w:t xml:space="preserve">2-8    </w:t>
            </w:r>
            <w:r>
              <w:rPr>
                <w:rFonts w:ascii="仿宋" w:hAnsi="仿宋" w:eastAsia="仿宋" w:cs="仿宋"/>
                <w:b/>
                <w:bCs/>
                <w:spacing w:val="6"/>
                <w:sz w:val="20"/>
                <w:szCs w:val="20"/>
              </w:rPr>
              <w:t>本项目道路施工期及运营期工艺流程及产污示意图</w:t>
            </w:r>
          </w:p>
        </w:tc>
      </w:tr>
    </w:tbl>
    <w:p w14:paraId="317775C1">
      <w:pPr>
        <w:pStyle w:val="2"/>
        <w:rPr>
          <w:sz w:val="21"/>
        </w:rPr>
      </w:pPr>
    </w:p>
    <w:p w14:paraId="6BFA0701">
      <w:pPr>
        <w:rPr>
          <w:sz w:val="21"/>
          <w:szCs w:val="21"/>
        </w:rPr>
        <w:sectPr>
          <w:footerReference r:id="rId36" w:type="default"/>
          <w:pgSz w:w="11907" w:h="16840"/>
          <w:pgMar w:top="400" w:right="1757" w:bottom="1446" w:left="1757" w:header="0" w:footer="1284" w:gutter="0"/>
          <w:cols w:space="720" w:num="1"/>
        </w:sectPr>
      </w:pPr>
    </w:p>
    <w:p w14:paraId="0AB9DC92">
      <w:pPr>
        <w:spacing w:before="19"/>
      </w:pPr>
    </w:p>
    <w:p w14:paraId="240AEB99">
      <w:pPr>
        <w:spacing w:before="19"/>
      </w:pPr>
    </w:p>
    <w:p w14:paraId="08EF434E">
      <w:pPr>
        <w:spacing w:before="18"/>
      </w:pPr>
    </w:p>
    <w:p w14:paraId="7ED6E488">
      <w:pPr>
        <w:spacing w:before="18"/>
      </w:pPr>
    </w:p>
    <w:tbl>
      <w:tblPr>
        <w:tblStyle w:val="5"/>
        <w:tblW w:w="8377"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37"/>
        <w:gridCol w:w="7640"/>
      </w:tblGrid>
      <w:tr w14:paraId="330035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904" w:hRule="atLeast"/>
        </w:trPr>
        <w:tc>
          <w:tcPr>
            <w:tcW w:w="737" w:type="dxa"/>
            <w:tcBorders>
              <w:right w:val="single" w:color="000000" w:sz="2" w:space="0"/>
            </w:tcBorders>
            <w:vAlign w:val="top"/>
          </w:tcPr>
          <w:p w14:paraId="50B57B68">
            <w:pPr>
              <w:rPr>
                <w:rFonts w:ascii="Arial"/>
                <w:sz w:val="21"/>
              </w:rPr>
            </w:pPr>
          </w:p>
        </w:tc>
        <w:tc>
          <w:tcPr>
            <w:tcW w:w="7640" w:type="dxa"/>
            <w:tcBorders>
              <w:left w:val="single" w:color="000000" w:sz="2" w:space="0"/>
            </w:tcBorders>
            <w:vAlign w:val="top"/>
          </w:tcPr>
          <w:p w14:paraId="0240EB04">
            <w:pPr>
              <w:pStyle w:val="6"/>
              <w:spacing w:before="26" w:line="232" w:lineRule="auto"/>
              <w:ind w:left="430"/>
              <w:rPr>
                <w:rFonts w:ascii="仿宋" w:hAnsi="仿宋" w:eastAsia="仿宋" w:cs="仿宋"/>
                <w:sz w:val="20"/>
                <w:szCs w:val="20"/>
              </w:rPr>
            </w:pPr>
            <w:r>
              <w:rPr>
                <w:b/>
                <w:bCs/>
                <w:spacing w:val="3"/>
                <w:sz w:val="20"/>
                <w:szCs w:val="20"/>
              </w:rPr>
              <w:t>1</w:t>
            </w:r>
            <w:r>
              <w:rPr>
                <w:b/>
                <w:bCs/>
                <w:spacing w:val="-12"/>
                <w:sz w:val="20"/>
                <w:szCs w:val="20"/>
              </w:rPr>
              <w:t xml:space="preserve"> </w:t>
            </w:r>
            <w:r>
              <w:rPr>
                <w:rFonts w:ascii="仿宋" w:hAnsi="仿宋" w:eastAsia="仿宋" w:cs="仿宋"/>
                <w:b/>
                <w:bCs/>
                <w:spacing w:val="3"/>
                <w:sz w:val="20"/>
                <w:szCs w:val="20"/>
              </w:rPr>
              <w:t>、路基工程施工工艺</w:t>
            </w:r>
          </w:p>
          <w:p w14:paraId="2C8F12A7">
            <w:pPr>
              <w:spacing w:before="157" w:line="376" w:lineRule="auto"/>
              <w:ind w:left="11" w:firstLine="413"/>
              <w:jc w:val="both"/>
              <w:rPr>
                <w:rFonts w:ascii="仿宋" w:hAnsi="仿宋" w:eastAsia="仿宋" w:cs="仿宋"/>
                <w:sz w:val="20"/>
                <w:szCs w:val="20"/>
              </w:rPr>
            </w:pPr>
            <w:r>
              <w:rPr>
                <w:rFonts w:ascii="仿宋" w:hAnsi="仿宋" w:eastAsia="仿宋" w:cs="仿宋"/>
                <w:spacing w:val="8"/>
                <w:sz w:val="20"/>
                <w:szCs w:val="20"/>
              </w:rPr>
              <w:t>路基工程施工主要包括筑路、削坡、路基边坡防护等工艺。按设计</w:t>
            </w:r>
            <w:r>
              <w:rPr>
                <w:rFonts w:ascii="仿宋" w:hAnsi="仿宋" w:eastAsia="仿宋" w:cs="仿宋"/>
                <w:spacing w:val="7"/>
                <w:sz w:val="20"/>
                <w:szCs w:val="20"/>
              </w:rPr>
              <w:t>和规范及监</w:t>
            </w:r>
            <w:r>
              <w:rPr>
                <w:rFonts w:ascii="仿宋" w:hAnsi="仿宋" w:eastAsia="仿宋" w:cs="仿宋"/>
                <w:spacing w:val="8"/>
                <w:sz w:val="20"/>
                <w:szCs w:val="20"/>
              </w:rPr>
              <w:t>理指定的要求，对不同路段路基处理的不同方案进行施工。路基填筑施工完成后，</w:t>
            </w:r>
            <w:r>
              <w:rPr>
                <w:rFonts w:ascii="仿宋" w:hAnsi="仿宋" w:eastAsia="仿宋" w:cs="仿宋"/>
                <w:spacing w:val="6"/>
                <w:sz w:val="20"/>
                <w:szCs w:val="20"/>
              </w:rPr>
              <w:t>要对路基表面排水横坡、平整度、边坡等进行整修。整修要按照设计结构</w:t>
            </w:r>
            <w:r>
              <w:rPr>
                <w:rFonts w:ascii="仿宋" w:hAnsi="仿宋" w:eastAsia="仿宋" w:cs="仿宋"/>
                <w:spacing w:val="5"/>
                <w:sz w:val="20"/>
                <w:szCs w:val="20"/>
              </w:rPr>
              <w:t>尺寸进行，</w:t>
            </w:r>
            <w:r>
              <w:rPr>
                <w:rFonts w:ascii="仿宋" w:hAnsi="仿宋" w:eastAsia="仿宋" w:cs="仿宋"/>
                <w:spacing w:val="6"/>
                <w:sz w:val="20"/>
                <w:szCs w:val="20"/>
              </w:rPr>
              <w:t>自上而下进行削坡修整，不得在边坡上以土贴补。施工采用人工和挖掘机</w:t>
            </w:r>
            <w:r>
              <w:rPr>
                <w:rFonts w:ascii="仿宋" w:hAnsi="仿宋" w:eastAsia="仿宋" w:cs="仿宋"/>
                <w:spacing w:val="5"/>
                <w:sz w:val="20"/>
                <w:szCs w:val="20"/>
              </w:rPr>
              <w:t>、装载机、</w:t>
            </w:r>
            <w:r>
              <w:rPr>
                <w:rFonts w:ascii="仿宋" w:hAnsi="仿宋" w:eastAsia="仿宋" w:cs="仿宋"/>
                <w:spacing w:val="6"/>
                <w:sz w:val="20"/>
                <w:szCs w:val="20"/>
              </w:rPr>
              <w:t>自卸汽车联合作业的方法进行施工。</w:t>
            </w:r>
          </w:p>
          <w:p w14:paraId="6E4C5C0D">
            <w:pPr>
              <w:pStyle w:val="6"/>
              <w:spacing w:before="4" w:line="232" w:lineRule="auto"/>
              <w:ind w:left="434"/>
              <w:rPr>
                <w:rFonts w:ascii="仿宋" w:hAnsi="仿宋" w:eastAsia="仿宋" w:cs="仿宋"/>
                <w:sz w:val="20"/>
                <w:szCs w:val="20"/>
              </w:rPr>
            </w:pPr>
            <w:r>
              <w:rPr>
                <w:rFonts w:ascii="仿宋" w:hAnsi="仿宋" w:eastAsia="仿宋" w:cs="仿宋"/>
                <w:spacing w:val="6"/>
                <w:sz w:val="20"/>
                <w:szCs w:val="20"/>
              </w:rPr>
              <w:t>（</w:t>
            </w:r>
            <w:r>
              <w:rPr>
                <w:spacing w:val="6"/>
                <w:sz w:val="20"/>
                <w:szCs w:val="20"/>
              </w:rPr>
              <w:t>1</w:t>
            </w:r>
            <w:r>
              <w:rPr>
                <w:rFonts w:ascii="仿宋" w:hAnsi="仿宋" w:eastAsia="仿宋" w:cs="仿宋"/>
                <w:spacing w:val="6"/>
                <w:sz w:val="20"/>
                <w:szCs w:val="20"/>
              </w:rPr>
              <w:t>）挖方路基</w:t>
            </w:r>
          </w:p>
          <w:p w14:paraId="3F890C17">
            <w:pPr>
              <w:spacing w:before="158" w:line="375" w:lineRule="auto"/>
              <w:ind w:left="17" w:right="73" w:firstLine="413"/>
              <w:rPr>
                <w:rFonts w:ascii="仿宋" w:hAnsi="仿宋" w:eastAsia="仿宋" w:cs="仿宋"/>
                <w:sz w:val="20"/>
                <w:szCs w:val="20"/>
              </w:rPr>
            </w:pPr>
            <w:r>
              <w:rPr>
                <w:rFonts w:ascii="仿宋" w:hAnsi="仿宋" w:eastAsia="仿宋" w:cs="仿宋"/>
                <w:spacing w:val="9"/>
                <w:sz w:val="20"/>
                <w:szCs w:val="20"/>
              </w:rPr>
              <w:t>根据各路段地形，土方工程开挖必须自上而下地进行，主要以挖掘机和推土机</w:t>
            </w:r>
            <w:r>
              <w:rPr>
                <w:rFonts w:ascii="仿宋" w:hAnsi="仿宋" w:eastAsia="仿宋" w:cs="仿宋"/>
                <w:spacing w:val="7"/>
                <w:sz w:val="20"/>
                <w:szCs w:val="20"/>
              </w:rPr>
              <w:t>为主，近距离纵向调配以推土机为主，远距离以挖掘机挖，</w:t>
            </w:r>
            <w:r>
              <w:rPr>
                <w:rFonts w:ascii="仿宋" w:hAnsi="仿宋" w:eastAsia="仿宋" w:cs="仿宋"/>
                <w:spacing w:val="-30"/>
                <w:sz w:val="20"/>
                <w:szCs w:val="20"/>
              </w:rPr>
              <w:t xml:space="preserve"> </w:t>
            </w:r>
            <w:r>
              <w:rPr>
                <w:rFonts w:ascii="仿宋" w:hAnsi="仿宋" w:eastAsia="仿宋" w:cs="仿宋"/>
                <w:spacing w:val="7"/>
                <w:sz w:val="20"/>
                <w:szCs w:val="20"/>
              </w:rPr>
              <w:t>自卸汽车运输为主。</w:t>
            </w:r>
          </w:p>
          <w:p w14:paraId="50484E4C">
            <w:pPr>
              <w:pStyle w:val="6"/>
              <w:spacing w:before="2" w:line="232" w:lineRule="auto"/>
              <w:ind w:left="434"/>
              <w:rPr>
                <w:rFonts w:ascii="仿宋" w:hAnsi="仿宋" w:eastAsia="仿宋" w:cs="仿宋"/>
                <w:sz w:val="20"/>
                <w:szCs w:val="20"/>
              </w:rPr>
            </w:pPr>
            <w:r>
              <w:rPr>
                <w:rFonts w:ascii="仿宋" w:hAnsi="仿宋" w:eastAsia="仿宋" w:cs="仿宋"/>
                <w:spacing w:val="6"/>
                <w:sz w:val="20"/>
                <w:szCs w:val="20"/>
              </w:rPr>
              <w:t>（</w:t>
            </w:r>
            <w:r>
              <w:rPr>
                <w:spacing w:val="6"/>
                <w:sz w:val="20"/>
                <w:szCs w:val="20"/>
              </w:rPr>
              <w:t>2</w:t>
            </w:r>
            <w:r>
              <w:rPr>
                <w:rFonts w:ascii="仿宋" w:hAnsi="仿宋" w:eastAsia="仿宋" w:cs="仿宋"/>
                <w:spacing w:val="6"/>
                <w:sz w:val="20"/>
                <w:szCs w:val="20"/>
              </w:rPr>
              <w:t>）路基填筑</w:t>
            </w:r>
          </w:p>
          <w:p w14:paraId="1714AFBF">
            <w:pPr>
              <w:pStyle w:val="6"/>
              <w:spacing w:before="159" w:line="377" w:lineRule="auto"/>
              <w:ind w:left="10" w:firstLine="415"/>
              <w:rPr>
                <w:rFonts w:ascii="仿宋" w:hAnsi="仿宋" w:eastAsia="仿宋" w:cs="仿宋"/>
                <w:sz w:val="20"/>
                <w:szCs w:val="20"/>
              </w:rPr>
            </w:pPr>
            <w:r>
              <w:rPr>
                <w:rFonts w:ascii="仿宋" w:hAnsi="仿宋" w:eastAsia="仿宋" w:cs="仿宋"/>
                <w:spacing w:val="8"/>
                <w:sz w:val="20"/>
                <w:szCs w:val="20"/>
              </w:rPr>
              <w:t>路基填筑采用水平分层全断面填筑方法施工，逐段逐层向上填筑，</w:t>
            </w:r>
            <w:r>
              <w:rPr>
                <w:rFonts w:ascii="仿宋" w:hAnsi="仿宋" w:eastAsia="仿宋" w:cs="仿宋"/>
                <w:spacing w:val="7"/>
                <w:sz w:val="20"/>
                <w:szCs w:val="20"/>
              </w:rPr>
              <w:t>先将开挖出</w:t>
            </w:r>
            <w:r>
              <w:rPr>
                <w:rFonts w:ascii="仿宋" w:hAnsi="仿宋" w:eastAsia="仿宋" w:cs="仿宋"/>
                <w:spacing w:val="8"/>
                <w:sz w:val="20"/>
                <w:szCs w:val="20"/>
              </w:rPr>
              <w:t>来的土作为填方材料充分利用进行填平。对于采用水泥混凝土路面的路基，</w:t>
            </w:r>
            <w:r>
              <w:rPr>
                <w:rFonts w:ascii="仿宋" w:hAnsi="仿宋" w:eastAsia="仿宋" w:cs="仿宋"/>
                <w:spacing w:val="7"/>
                <w:sz w:val="20"/>
                <w:szCs w:val="20"/>
              </w:rPr>
              <w:t>再铺设</w:t>
            </w:r>
            <w:r>
              <w:rPr>
                <w:rFonts w:ascii="仿宋" w:hAnsi="仿宋" w:eastAsia="仿宋" w:cs="仿宋"/>
                <w:sz w:val="20"/>
                <w:szCs w:val="20"/>
              </w:rPr>
              <w:t xml:space="preserve"> </w:t>
            </w:r>
            <w:r>
              <w:rPr>
                <w:spacing w:val="6"/>
                <w:sz w:val="20"/>
                <w:szCs w:val="20"/>
              </w:rPr>
              <w:t>15</w:t>
            </w:r>
            <w:r>
              <w:rPr>
                <w:sz w:val="20"/>
                <w:szCs w:val="20"/>
              </w:rPr>
              <w:t>cm</w:t>
            </w:r>
            <w:r>
              <w:rPr>
                <w:spacing w:val="27"/>
                <w:w w:val="101"/>
                <w:sz w:val="20"/>
                <w:szCs w:val="20"/>
              </w:rPr>
              <w:t xml:space="preserve"> </w:t>
            </w:r>
            <w:r>
              <w:rPr>
                <w:rFonts w:ascii="仿宋" w:hAnsi="仿宋" w:eastAsia="仿宋" w:cs="仿宋"/>
                <w:spacing w:val="6"/>
                <w:sz w:val="20"/>
                <w:szCs w:val="20"/>
              </w:rPr>
              <w:t>厚未筛分碎石作为垫层；对于采用未筛分碎石路面的路基，直接铺设</w:t>
            </w:r>
            <w:r>
              <w:rPr>
                <w:rFonts w:ascii="仿宋" w:hAnsi="仿宋" w:eastAsia="仿宋" w:cs="仿宋"/>
                <w:spacing w:val="-21"/>
                <w:sz w:val="20"/>
                <w:szCs w:val="20"/>
              </w:rPr>
              <w:t xml:space="preserve"> </w:t>
            </w:r>
            <w:r>
              <w:rPr>
                <w:spacing w:val="6"/>
                <w:sz w:val="20"/>
                <w:szCs w:val="20"/>
              </w:rPr>
              <w:t>18</w:t>
            </w:r>
            <w:r>
              <w:rPr>
                <w:sz w:val="20"/>
                <w:szCs w:val="20"/>
              </w:rPr>
              <w:t>cm</w:t>
            </w:r>
            <w:r>
              <w:rPr>
                <w:spacing w:val="17"/>
                <w:w w:val="101"/>
                <w:sz w:val="20"/>
                <w:szCs w:val="20"/>
              </w:rPr>
              <w:t xml:space="preserve"> </w:t>
            </w:r>
            <w:r>
              <w:rPr>
                <w:rFonts w:ascii="仿宋" w:hAnsi="仿宋" w:eastAsia="仿宋" w:cs="仿宋"/>
                <w:spacing w:val="6"/>
                <w:sz w:val="20"/>
                <w:szCs w:val="20"/>
              </w:rPr>
              <w:t>厚未筛分碎石同时作为垫层和路面。不同的填料分层填筑，路基填筑采取挖、</w:t>
            </w:r>
            <w:r>
              <w:rPr>
                <w:rFonts w:ascii="仿宋" w:hAnsi="仿宋" w:eastAsia="仿宋" w:cs="仿宋"/>
                <w:spacing w:val="5"/>
                <w:sz w:val="20"/>
                <w:szCs w:val="20"/>
              </w:rPr>
              <w:t>装、运、</w:t>
            </w:r>
            <w:r>
              <w:rPr>
                <w:rFonts w:ascii="仿宋" w:hAnsi="仿宋" w:eastAsia="仿宋" w:cs="仿宋"/>
                <w:spacing w:val="8"/>
                <w:sz w:val="20"/>
                <w:szCs w:val="20"/>
              </w:rPr>
              <w:t>摊、平、压路机压实的机械化流水作业，每层填压的填料均要平行于</w:t>
            </w:r>
            <w:r>
              <w:rPr>
                <w:rFonts w:ascii="仿宋" w:hAnsi="仿宋" w:eastAsia="仿宋" w:cs="仿宋"/>
                <w:spacing w:val="7"/>
                <w:sz w:val="20"/>
                <w:szCs w:val="20"/>
              </w:rPr>
              <w:t>最终的路基表</w:t>
            </w:r>
            <w:r>
              <w:rPr>
                <w:rFonts w:ascii="仿宋" w:hAnsi="仿宋" w:eastAsia="仿宋" w:cs="仿宋"/>
                <w:spacing w:val="4"/>
                <w:sz w:val="20"/>
                <w:szCs w:val="20"/>
              </w:rPr>
              <w:t>面。另外，直接铺设</w:t>
            </w:r>
            <w:r>
              <w:rPr>
                <w:rFonts w:ascii="仿宋" w:hAnsi="仿宋" w:eastAsia="仿宋" w:cs="仿宋"/>
                <w:spacing w:val="-7"/>
                <w:sz w:val="20"/>
                <w:szCs w:val="20"/>
              </w:rPr>
              <w:t xml:space="preserve"> </w:t>
            </w:r>
            <w:r>
              <w:rPr>
                <w:spacing w:val="4"/>
                <w:sz w:val="20"/>
                <w:szCs w:val="20"/>
              </w:rPr>
              <w:t>18</w:t>
            </w:r>
            <w:r>
              <w:rPr>
                <w:sz w:val="20"/>
                <w:szCs w:val="20"/>
              </w:rPr>
              <w:t>cm</w:t>
            </w:r>
            <w:r>
              <w:rPr>
                <w:spacing w:val="20"/>
                <w:sz w:val="20"/>
                <w:szCs w:val="20"/>
              </w:rPr>
              <w:t xml:space="preserve"> </w:t>
            </w:r>
            <w:r>
              <w:rPr>
                <w:rFonts w:ascii="仿宋" w:hAnsi="仿宋" w:eastAsia="仿宋" w:cs="仿宋"/>
                <w:spacing w:val="4"/>
                <w:sz w:val="20"/>
                <w:szCs w:val="20"/>
              </w:rPr>
              <w:t>厚未筛分碎石同时作为垫层和路面的道路，要对碎石充分</w:t>
            </w:r>
            <w:r>
              <w:rPr>
                <w:rFonts w:ascii="仿宋" w:hAnsi="仿宋" w:eastAsia="仿宋" w:cs="仿宋"/>
                <w:sz w:val="20"/>
                <w:szCs w:val="20"/>
              </w:rPr>
              <w:t>压实。</w:t>
            </w:r>
          </w:p>
          <w:p w14:paraId="04B53618">
            <w:pPr>
              <w:spacing w:before="1" w:line="230" w:lineRule="auto"/>
              <w:ind w:left="428"/>
              <w:rPr>
                <w:rFonts w:ascii="仿宋" w:hAnsi="仿宋" w:eastAsia="仿宋" w:cs="仿宋"/>
                <w:sz w:val="20"/>
                <w:szCs w:val="20"/>
              </w:rPr>
            </w:pPr>
            <w:r>
              <w:rPr>
                <w:rFonts w:ascii="仿宋" w:hAnsi="仿宋" w:eastAsia="仿宋" w:cs="仿宋"/>
                <w:spacing w:val="8"/>
                <w:sz w:val="20"/>
                <w:szCs w:val="20"/>
              </w:rPr>
              <w:t>路基填筑施工工艺见下图。</w:t>
            </w:r>
          </w:p>
        </w:tc>
      </w:tr>
    </w:tbl>
    <w:p w14:paraId="4364D7BE">
      <w:pPr>
        <w:pStyle w:val="2"/>
        <w:rPr>
          <w:sz w:val="21"/>
        </w:rPr>
      </w:pPr>
    </w:p>
    <w:p w14:paraId="1AB444FF">
      <w:pPr>
        <w:rPr>
          <w:sz w:val="21"/>
          <w:szCs w:val="21"/>
        </w:rPr>
        <w:sectPr>
          <w:footerReference r:id="rId37" w:type="default"/>
          <w:pgSz w:w="11907" w:h="16840"/>
          <w:pgMar w:top="400" w:right="1757" w:bottom="1446" w:left="1757" w:header="0" w:footer="1284" w:gutter="0"/>
          <w:cols w:space="720" w:num="1"/>
        </w:sectPr>
      </w:pPr>
    </w:p>
    <w:p w14:paraId="062BB1F3">
      <w:pPr>
        <w:spacing w:before="19"/>
      </w:pPr>
    </w:p>
    <w:p w14:paraId="11695D1E">
      <w:pPr>
        <w:spacing w:before="19"/>
      </w:pPr>
    </w:p>
    <w:p w14:paraId="1276F76D">
      <w:pPr>
        <w:spacing w:before="18"/>
      </w:pPr>
    </w:p>
    <w:p w14:paraId="1C56058B">
      <w:pPr>
        <w:spacing w:before="18"/>
      </w:pPr>
    </w:p>
    <w:tbl>
      <w:tblPr>
        <w:tblStyle w:val="5"/>
        <w:tblW w:w="8377"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37"/>
        <w:gridCol w:w="7640"/>
      </w:tblGrid>
      <w:tr w14:paraId="19CC5D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689" w:hRule="atLeast"/>
        </w:trPr>
        <w:tc>
          <w:tcPr>
            <w:tcW w:w="737" w:type="dxa"/>
            <w:tcBorders>
              <w:right w:val="single" w:color="000000" w:sz="2" w:space="0"/>
            </w:tcBorders>
            <w:vAlign w:val="top"/>
          </w:tcPr>
          <w:p w14:paraId="3895CF60">
            <w:pPr>
              <w:rPr>
                <w:rFonts w:ascii="Arial"/>
                <w:sz w:val="21"/>
              </w:rPr>
            </w:pPr>
          </w:p>
        </w:tc>
        <w:tc>
          <w:tcPr>
            <w:tcW w:w="7640" w:type="dxa"/>
            <w:tcBorders>
              <w:left w:val="single" w:color="000000" w:sz="2" w:space="0"/>
            </w:tcBorders>
            <w:vAlign w:val="top"/>
          </w:tcPr>
          <w:p w14:paraId="7C2E897D">
            <w:pPr>
              <w:spacing w:line="246" w:lineRule="auto"/>
              <w:rPr>
                <w:rFonts w:ascii="Arial"/>
                <w:sz w:val="21"/>
              </w:rPr>
            </w:pPr>
          </w:p>
          <w:p w14:paraId="1CD1BE5B">
            <w:pPr>
              <w:spacing w:line="246" w:lineRule="auto"/>
              <w:rPr>
                <w:rFonts w:ascii="Arial"/>
                <w:sz w:val="21"/>
              </w:rPr>
            </w:pPr>
          </w:p>
          <w:p w14:paraId="596A245E">
            <w:pPr>
              <w:spacing w:line="246" w:lineRule="auto"/>
              <w:rPr>
                <w:rFonts w:ascii="Arial"/>
                <w:sz w:val="21"/>
              </w:rPr>
            </w:pPr>
          </w:p>
          <w:p w14:paraId="101994ED">
            <w:pPr>
              <w:spacing w:line="246" w:lineRule="auto"/>
              <w:rPr>
                <w:rFonts w:ascii="Arial"/>
                <w:sz w:val="21"/>
              </w:rPr>
            </w:pPr>
          </w:p>
          <w:p w14:paraId="058EDBCF">
            <w:pPr>
              <w:spacing w:line="246" w:lineRule="auto"/>
              <w:rPr>
                <w:rFonts w:ascii="Arial"/>
                <w:sz w:val="21"/>
              </w:rPr>
            </w:pPr>
          </w:p>
          <w:p w14:paraId="57227619">
            <w:pPr>
              <w:spacing w:line="246" w:lineRule="auto"/>
              <w:rPr>
                <w:rFonts w:ascii="Arial"/>
                <w:sz w:val="21"/>
              </w:rPr>
            </w:pPr>
          </w:p>
          <w:p w14:paraId="29C9AB72">
            <w:pPr>
              <w:spacing w:line="246" w:lineRule="auto"/>
              <w:rPr>
                <w:rFonts w:ascii="Arial"/>
                <w:sz w:val="21"/>
              </w:rPr>
            </w:pPr>
          </w:p>
          <w:p w14:paraId="005DB524">
            <w:pPr>
              <w:spacing w:line="246" w:lineRule="auto"/>
              <w:rPr>
                <w:rFonts w:ascii="Arial"/>
                <w:sz w:val="21"/>
              </w:rPr>
            </w:pPr>
          </w:p>
          <w:p w14:paraId="3E39C463">
            <w:pPr>
              <w:spacing w:line="246" w:lineRule="auto"/>
              <w:rPr>
                <w:rFonts w:ascii="Arial"/>
                <w:sz w:val="21"/>
              </w:rPr>
            </w:pPr>
          </w:p>
          <w:p w14:paraId="446C1849">
            <w:pPr>
              <w:spacing w:line="246" w:lineRule="auto"/>
              <w:rPr>
                <w:rFonts w:ascii="Arial"/>
                <w:sz w:val="21"/>
              </w:rPr>
            </w:pPr>
          </w:p>
          <w:p w14:paraId="6DD9B97A">
            <w:pPr>
              <w:spacing w:line="246" w:lineRule="auto"/>
              <w:rPr>
                <w:rFonts w:ascii="Arial"/>
                <w:sz w:val="21"/>
              </w:rPr>
            </w:pPr>
          </w:p>
          <w:p w14:paraId="01E523F7">
            <w:pPr>
              <w:spacing w:line="246" w:lineRule="auto"/>
              <w:rPr>
                <w:rFonts w:ascii="Arial"/>
                <w:sz w:val="21"/>
              </w:rPr>
            </w:pPr>
          </w:p>
          <w:p w14:paraId="2D61AD12">
            <w:pPr>
              <w:spacing w:line="246" w:lineRule="auto"/>
              <w:rPr>
                <w:rFonts w:ascii="Arial"/>
                <w:sz w:val="21"/>
              </w:rPr>
            </w:pPr>
          </w:p>
          <w:p w14:paraId="2F79A934">
            <w:pPr>
              <w:spacing w:line="246" w:lineRule="auto"/>
              <w:rPr>
                <w:rFonts w:ascii="Arial"/>
                <w:sz w:val="21"/>
              </w:rPr>
            </w:pPr>
          </w:p>
          <w:p w14:paraId="4C9FC2F4">
            <w:pPr>
              <w:spacing w:line="246" w:lineRule="auto"/>
              <w:rPr>
                <w:rFonts w:ascii="Arial"/>
                <w:sz w:val="21"/>
              </w:rPr>
            </w:pPr>
          </w:p>
          <w:p w14:paraId="7E5999EA">
            <w:pPr>
              <w:spacing w:line="246" w:lineRule="auto"/>
              <w:rPr>
                <w:rFonts w:ascii="Arial"/>
                <w:sz w:val="21"/>
              </w:rPr>
            </w:pPr>
          </w:p>
          <w:p w14:paraId="6C9ACBE7">
            <w:pPr>
              <w:spacing w:line="246" w:lineRule="auto"/>
              <w:rPr>
                <w:rFonts w:ascii="Arial"/>
                <w:sz w:val="21"/>
              </w:rPr>
            </w:pPr>
          </w:p>
          <w:p w14:paraId="4A6A0EFC">
            <w:pPr>
              <w:spacing w:line="246" w:lineRule="auto"/>
              <w:rPr>
                <w:rFonts w:ascii="Arial"/>
                <w:sz w:val="21"/>
              </w:rPr>
            </w:pPr>
          </w:p>
          <w:p w14:paraId="315AA25C">
            <w:pPr>
              <w:spacing w:line="246" w:lineRule="auto"/>
              <w:rPr>
                <w:rFonts w:ascii="Arial"/>
                <w:sz w:val="21"/>
              </w:rPr>
            </w:pPr>
          </w:p>
          <w:p w14:paraId="533C04C6">
            <w:pPr>
              <w:spacing w:line="246" w:lineRule="auto"/>
              <w:rPr>
                <w:rFonts w:ascii="Arial"/>
                <w:sz w:val="21"/>
              </w:rPr>
            </w:pPr>
          </w:p>
          <w:p w14:paraId="5C6E647A">
            <w:pPr>
              <w:spacing w:line="246" w:lineRule="auto"/>
              <w:rPr>
                <w:rFonts w:ascii="Arial"/>
                <w:sz w:val="21"/>
              </w:rPr>
            </w:pPr>
          </w:p>
          <w:p w14:paraId="5CA1E514">
            <w:pPr>
              <w:spacing w:line="246" w:lineRule="auto"/>
              <w:rPr>
                <w:rFonts w:ascii="Arial"/>
                <w:sz w:val="21"/>
              </w:rPr>
            </w:pPr>
          </w:p>
          <w:p w14:paraId="51D1B5EC">
            <w:pPr>
              <w:spacing w:line="246" w:lineRule="auto"/>
              <w:rPr>
                <w:rFonts w:ascii="Arial"/>
                <w:sz w:val="21"/>
              </w:rPr>
            </w:pPr>
          </w:p>
          <w:p w14:paraId="4752C00A">
            <w:pPr>
              <w:spacing w:line="246" w:lineRule="auto"/>
              <w:rPr>
                <w:rFonts w:ascii="Arial"/>
                <w:sz w:val="21"/>
              </w:rPr>
            </w:pPr>
          </w:p>
          <w:p w14:paraId="17416A53">
            <w:pPr>
              <w:spacing w:line="246" w:lineRule="auto"/>
              <w:rPr>
                <w:rFonts w:ascii="Arial"/>
                <w:sz w:val="21"/>
              </w:rPr>
            </w:pPr>
          </w:p>
          <w:p w14:paraId="5DAA7B04">
            <w:pPr>
              <w:spacing w:line="246" w:lineRule="auto"/>
              <w:rPr>
                <w:rFonts w:ascii="Arial"/>
                <w:sz w:val="21"/>
              </w:rPr>
            </w:pPr>
          </w:p>
          <w:p w14:paraId="58C96DF1">
            <w:pPr>
              <w:spacing w:line="246" w:lineRule="auto"/>
              <w:rPr>
                <w:rFonts w:ascii="Arial"/>
                <w:sz w:val="21"/>
              </w:rPr>
            </w:pPr>
          </w:p>
          <w:p w14:paraId="2D347E75">
            <w:pPr>
              <w:spacing w:line="246" w:lineRule="auto"/>
              <w:rPr>
                <w:rFonts w:ascii="Arial"/>
                <w:sz w:val="21"/>
              </w:rPr>
            </w:pPr>
          </w:p>
          <w:p w14:paraId="0EDAD1A8">
            <w:pPr>
              <w:spacing w:line="246" w:lineRule="auto"/>
              <w:rPr>
                <w:rFonts w:ascii="Arial"/>
                <w:sz w:val="21"/>
              </w:rPr>
            </w:pPr>
          </w:p>
          <w:p w14:paraId="43B1F131">
            <w:pPr>
              <w:spacing w:line="246" w:lineRule="auto"/>
              <w:rPr>
                <w:rFonts w:ascii="Arial"/>
                <w:sz w:val="21"/>
              </w:rPr>
            </w:pPr>
          </w:p>
          <w:p w14:paraId="169EAF93">
            <w:pPr>
              <w:spacing w:line="246" w:lineRule="auto"/>
              <w:rPr>
                <w:rFonts w:ascii="Arial"/>
                <w:sz w:val="21"/>
              </w:rPr>
            </w:pPr>
          </w:p>
          <w:p w14:paraId="781F432C">
            <w:pPr>
              <w:spacing w:line="246" w:lineRule="auto"/>
              <w:rPr>
                <w:rFonts w:ascii="Arial"/>
                <w:sz w:val="21"/>
              </w:rPr>
            </w:pPr>
          </w:p>
          <w:p w14:paraId="09A7F46F">
            <w:pPr>
              <w:spacing w:line="246" w:lineRule="auto"/>
              <w:rPr>
                <w:rFonts w:ascii="Arial"/>
                <w:sz w:val="21"/>
              </w:rPr>
            </w:pPr>
          </w:p>
          <w:p w14:paraId="7D2FBC70">
            <w:pPr>
              <w:spacing w:line="246" w:lineRule="auto"/>
              <w:rPr>
                <w:rFonts w:ascii="Arial"/>
                <w:sz w:val="21"/>
              </w:rPr>
            </w:pPr>
          </w:p>
          <w:p w14:paraId="29427373">
            <w:pPr>
              <w:spacing w:line="246" w:lineRule="auto"/>
              <w:rPr>
                <w:rFonts w:ascii="Arial"/>
                <w:sz w:val="21"/>
              </w:rPr>
            </w:pPr>
          </w:p>
          <w:p w14:paraId="3F022ECE">
            <w:pPr>
              <w:spacing w:line="246" w:lineRule="auto"/>
              <w:rPr>
                <w:rFonts w:ascii="Arial"/>
                <w:sz w:val="21"/>
              </w:rPr>
            </w:pPr>
          </w:p>
          <w:p w14:paraId="26E98218">
            <w:pPr>
              <w:spacing w:line="246" w:lineRule="auto"/>
              <w:rPr>
                <w:rFonts w:ascii="Arial"/>
                <w:sz w:val="21"/>
              </w:rPr>
            </w:pPr>
          </w:p>
          <w:p w14:paraId="5DE7E0A6">
            <w:pPr>
              <w:pStyle w:val="6"/>
              <w:spacing w:before="65" w:line="232" w:lineRule="auto"/>
              <w:ind w:left="2730"/>
              <w:rPr>
                <w:rFonts w:ascii="仿宋" w:hAnsi="仿宋" w:eastAsia="仿宋" w:cs="仿宋"/>
                <w:sz w:val="20"/>
                <w:szCs w:val="20"/>
              </w:rPr>
            </w:pPr>
            <w:r>
              <w:rPr>
                <w:rFonts w:ascii="仿宋" w:hAnsi="仿宋" w:eastAsia="仿宋" w:cs="仿宋"/>
                <w:b/>
                <w:bCs/>
                <w:spacing w:val="3"/>
                <w:sz w:val="20"/>
                <w:szCs w:val="20"/>
              </w:rPr>
              <w:t>图</w:t>
            </w:r>
            <w:r>
              <w:rPr>
                <w:rFonts w:ascii="仿宋" w:hAnsi="仿宋" w:eastAsia="仿宋" w:cs="仿宋"/>
                <w:spacing w:val="-27"/>
                <w:sz w:val="20"/>
                <w:szCs w:val="20"/>
              </w:rPr>
              <w:t xml:space="preserve"> </w:t>
            </w:r>
            <w:r>
              <w:rPr>
                <w:b/>
                <w:bCs/>
                <w:spacing w:val="3"/>
                <w:sz w:val="20"/>
                <w:szCs w:val="20"/>
              </w:rPr>
              <w:t xml:space="preserve">2-9    </w:t>
            </w:r>
            <w:r>
              <w:rPr>
                <w:rFonts w:ascii="仿宋" w:hAnsi="仿宋" w:eastAsia="仿宋" w:cs="仿宋"/>
                <w:b/>
                <w:bCs/>
                <w:spacing w:val="3"/>
                <w:sz w:val="20"/>
                <w:szCs w:val="20"/>
              </w:rPr>
              <w:t>路基填筑施工工艺图</w:t>
            </w:r>
          </w:p>
          <w:p w14:paraId="5C5BD928">
            <w:pPr>
              <w:pStyle w:val="6"/>
              <w:spacing w:before="156" w:line="232" w:lineRule="auto"/>
              <w:ind w:left="421"/>
              <w:rPr>
                <w:rFonts w:ascii="仿宋" w:hAnsi="仿宋" w:eastAsia="仿宋" w:cs="仿宋"/>
                <w:sz w:val="20"/>
                <w:szCs w:val="20"/>
              </w:rPr>
            </w:pPr>
            <w:r>
              <w:rPr>
                <w:b/>
                <w:bCs/>
                <w:spacing w:val="4"/>
                <w:sz w:val="20"/>
                <w:szCs w:val="20"/>
              </w:rPr>
              <w:t>2</w:t>
            </w:r>
            <w:r>
              <w:rPr>
                <w:b/>
                <w:bCs/>
                <w:spacing w:val="-14"/>
                <w:sz w:val="20"/>
                <w:szCs w:val="20"/>
              </w:rPr>
              <w:t xml:space="preserve"> </w:t>
            </w:r>
            <w:r>
              <w:rPr>
                <w:rFonts w:ascii="仿宋" w:hAnsi="仿宋" w:eastAsia="仿宋" w:cs="仿宋"/>
                <w:b/>
                <w:bCs/>
                <w:spacing w:val="4"/>
                <w:sz w:val="20"/>
                <w:szCs w:val="20"/>
              </w:rPr>
              <w:t>、路面工程施工工艺</w:t>
            </w:r>
          </w:p>
          <w:p w14:paraId="2816B0CD">
            <w:pPr>
              <w:pStyle w:val="6"/>
              <w:spacing w:before="159" w:line="232" w:lineRule="auto"/>
              <w:ind w:left="434"/>
              <w:rPr>
                <w:rFonts w:ascii="仿宋" w:hAnsi="仿宋" w:eastAsia="仿宋" w:cs="仿宋"/>
                <w:sz w:val="20"/>
                <w:szCs w:val="20"/>
              </w:rPr>
            </w:pPr>
            <w:r>
              <w:rPr>
                <w:rFonts w:ascii="仿宋" w:hAnsi="仿宋" w:eastAsia="仿宋" w:cs="仿宋"/>
                <w:spacing w:val="6"/>
                <w:sz w:val="20"/>
                <w:szCs w:val="20"/>
              </w:rPr>
              <w:t>（</w:t>
            </w:r>
            <w:r>
              <w:rPr>
                <w:spacing w:val="6"/>
                <w:sz w:val="20"/>
                <w:szCs w:val="20"/>
              </w:rPr>
              <w:t>1</w:t>
            </w:r>
            <w:r>
              <w:rPr>
                <w:rFonts w:ascii="仿宋" w:hAnsi="仿宋" w:eastAsia="仿宋" w:cs="仿宋"/>
                <w:spacing w:val="6"/>
                <w:sz w:val="20"/>
                <w:szCs w:val="20"/>
              </w:rPr>
              <w:t>）外购成品混凝土。</w:t>
            </w:r>
          </w:p>
          <w:p w14:paraId="05D1DD73">
            <w:pPr>
              <w:pStyle w:val="6"/>
              <w:spacing w:before="158" w:line="375" w:lineRule="auto"/>
              <w:ind w:left="12" w:right="6" w:firstLine="421"/>
              <w:rPr>
                <w:rFonts w:ascii="仿宋" w:hAnsi="仿宋" w:eastAsia="仿宋" w:cs="仿宋"/>
                <w:sz w:val="20"/>
                <w:szCs w:val="20"/>
              </w:rPr>
            </w:pPr>
            <w:r>
              <w:rPr>
                <w:rFonts w:ascii="仿宋" w:hAnsi="仿宋" w:eastAsia="仿宋" w:cs="仿宋"/>
                <w:spacing w:val="8"/>
                <w:sz w:val="20"/>
                <w:szCs w:val="20"/>
              </w:rPr>
              <w:t>（</w:t>
            </w:r>
            <w:r>
              <w:rPr>
                <w:spacing w:val="8"/>
                <w:sz w:val="20"/>
                <w:szCs w:val="20"/>
              </w:rPr>
              <w:t>2</w:t>
            </w:r>
            <w:r>
              <w:rPr>
                <w:rFonts w:ascii="仿宋" w:hAnsi="仿宋" w:eastAsia="仿宋" w:cs="仿宋"/>
                <w:spacing w:val="8"/>
                <w:sz w:val="20"/>
                <w:szCs w:val="20"/>
              </w:rPr>
              <w:t>）基层及底基层采用集中场拌，摊铺机摊铺。摊铺碾压后应立即用塑料薄膜</w:t>
            </w:r>
            <w:r>
              <w:rPr>
                <w:rFonts w:ascii="仿宋" w:hAnsi="仿宋" w:eastAsia="仿宋" w:cs="仿宋"/>
                <w:spacing w:val="9"/>
                <w:sz w:val="20"/>
                <w:szCs w:val="20"/>
              </w:rPr>
              <w:t>覆盖洒水养生，基层顶面铺设下封层后方能铺筑面层，养生期间严禁车辆通行。</w:t>
            </w:r>
          </w:p>
          <w:p w14:paraId="717F23A8">
            <w:pPr>
              <w:pStyle w:val="6"/>
              <w:spacing w:before="2" w:line="229" w:lineRule="auto"/>
              <w:ind w:left="434"/>
              <w:rPr>
                <w:rFonts w:ascii="仿宋" w:hAnsi="仿宋" w:eastAsia="仿宋" w:cs="仿宋"/>
                <w:sz w:val="20"/>
                <w:szCs w:val="20"/>
              </w:rPr>
            </w:pPr>
            <w:r>
              <w:rPr>
                <w:rFonts w:ascii="仿宋" w:hAnsi="仿宋" w:eastAsia="仿宋" w:cs="仿宋"/>
                <w:spacing w:val="9"/>
                <w:sz w:val="20"/>
                <w:szCs w:val="20"/>
              </w:rPr>
              <w:t>（</w:t>
            </w:r>
            <w:r>
              <w:rPr>
                <w:spacing w:val="9"/>
                <w:sz w:val="20"/>
                <w:szCs w:val="20"/>
              </w:rPr>
              <w:t>3</w:t>
            </w:r>
            <w:r>
              <w:rPr>
                <w:rFonts w:ascii="仿宋" w:hAnsi="仿宋" w:eastAsia="仿宋" w:cs="仿宋"/>
                <w:spacing w:val="9"/>
                <w:sz w:val="20"/>
                <w:szCs w:val="20"/>
              </w:rPr>
              <w:t>）摊铺机摊铺时，采用两台或多台摊铺机</w:t>
            </w:r>
            <w:r>
              <w:rPr>
                <w:rFonts w:ascii="仿宋" w:hAnsi="仿宋" w:eastAsia="仿宋" w:cs="仿宋"/>
                <w:spacing w:val="8"/>
                <w:sz w:val="20"/>
                <w:szCs w:val="20"/>
              </w:rPr>
              <w:t>前后交替同步摊铺。</w:t>
            </w:r>
          </w:p>
          <w:p w14:paraId="2044F26B">
            <w:pPr>
              <w:pStyle w:val="6"/>
              <w:spacing w:before="160" w:line="376" w:lineRule="auto"/>
              <w:ind w:left="10" w:right="17" w:firstLine="424"/>
              <w:rPr>
                <w:rFonts w:ascii="仿宋" w:hAnsi="仿宋" w:eastAsia="仿宋" w:cs="仿宋"/>
                <w:sz w:val="20"/>
                <w:szCs w:val="20"/>
              </w:rPr>
            </w:pPr>
            <w:r>
              <w:rPr>
                <w:rFonts w:ascii="仿宋" w:hAnsi="仿宋" w:eastAsia="仿宋" w:cs="仿宋"/>
                <w:spacing w:val="8"/>
                <w:sz w:val="20"/>
                <w:szCs w:val="20"/>
              </w:rPr>
              <w:t>（</w:t>
            </w:r>
            <w:r>
              <w:rPr>
                <w:spacing w:val="8"/>
                <w:sz w:val="20"/>
                <w:szCs w:val="20"/>
              </w:rPr>
              <w:t>4</w:t>
            </w:r>
            <w:r>
              <w:rPr>
                <w:rFonts w:ascii="仿宋" w:hAnsi="仿宋" w:eastAsia="仿宋" w:cs="仿宋"/>
                <w:spacing w:val="8"/>
                <w:sz w:val="20"/>
                <w:szCs w:val="20"/>
              </w:rPr>
              <w:t>）路面摊铺前，应做好各结构层配合比设计，并通过试拌确定生产</w:t>
            </w:r>
            <w:r>
              <w:rPr>
                <w:rFonts w:ascii="仿宋" w:hAnsi="仿宋" w:eastAsia="仿宋" w:cs="仿宋"/>
                <w:spacing w:val="7"/>
                <w:sz w:val="20"/>
                <w:szCs w:val="20"/>
              </w:rPr>
              <w:t>配合比，</w:t>
            </w:r>
            <w:r>
              <w:rPr>
                <w:rFonts w:ascii="仿宋" w:hAnsi="仿宋" w:eastAsia="仿宋" w:cs="仿宋"/>
                <w:spacing w:val="8"/>
                <w:sz w:val="20"/>
                <w:szCs w:val="20"/>
              </w:rPr>
              <w:t>若不符合要求时，及时分析原因，调整配合比。</w:t>
            </w:r>
          </w:p>
          <w:p w14:paraId="4DB319CA">
            <w:pPr>
              <w:pStyle w:val="6"/>
              <w:spacing w:before="3" w:line="232" w:lineRule="auto"/>
              <w:ind w:left="419"/>
              <w:rPr>
                <w:rFonts w:ascii="仿宋" w:hAnsi="仿宋" w:eastAsia="仿宋" w:cs="仿宋"/>
                <w:sz w:val="20"/>
                <w:szCs w:val="20"/>
              </w:rPr>
            </w:pPr>
            <w:r>
              <w:rPr>
                <w:b/>
                <w:bCs/>
                <w:spacing w:val="4"/>
                <w:sz w:val="20"/>
                <w:szCs w:val="20"/>
              </w:rPr>
              <w:t>3</w:t>
            </w:r>
            <w:r>
              <w:rPr>
                <w:b/>
                <w:bCs/>
                <w:spacing w:val="-12"/>
                <w:sz w:val="20"/>
                <w:szCs w:val="20"/>
              </w:rPr>
              <w:t xml:space="preserve"> </w:t>
            </w:r>
            <w:r>
              <w:rPr>
                <w:rFonts w:ascii="仿宋" w:hAnsi="仿宋" w:eastAsia="仿宋" w:cs="仿宋"/>
                <w:b/>
                <w:bCs/>
                <w:spacing w:val="4"/>
                <w:sz w:val="20"/>
                <w:szCs w:val="20"/>
              </w:rPr>
              <w:t>、涵洞工程施工工艺</w:t>
            </w:r>
          </w:p>
          <w:p w14:paraId="15137A19">
            <w:pPr>
              <w:pStyle w:val="6"/>
              <w:spacing w:before="157" w:line="359" w:lineRule="auto"/>
              <w:ind w:left="10" w:right="6" w:firstLine="420"/>
              <w:rPr>
                <w:rFonts w:ascii="仿宋" w:hAnsi="仿宋" w:eastAsia="仿宋" w:cs="仿宋"/>
                <w:sz w:val="20"/>
                <w:szCs w:val="20"/>
              </w:rPr>
            </w:pPr>
            <w:r>
              <w:rPr>
                <w:rFonts w:ascii="仿宋" w:hAnsi="仿宋" w:eastAsia="仿宋" w:cs="仿宋"/>
                <w:spacing w:val="10"/>
                <w:sz w:val="20"/>
                <w:szCs w:val="20"/>
              </w:rPr>
              <w:t>本项目全线共设置涵洞</w:t>
            </w:r>
            <w:r>
              <w:rPr>
                <w:rFonts w:ascii="仿宋" w:hAnsi="仿宋" w:eastAsia="仿宋" w:cs="仿宋"/>
                <w:spacing w:val="-20"/>
                <w:sz w:val="20"/>
                <w:szCs w:val="20"/>
              </w:rPr>
              <w:t xml:space="preserve"> </w:t>
            </w:r>
            <w:r>
              <w:rPr>
                <w:spacing w:val="10"/>
                <w:sz w:val="20"/>
                <w:szCs w:val="20"/>
              </w:rPr>
              <w:t>7</w:t>
            </w:r>
            <w:r>
              <w:rPr>
                <w:spacing w:val="21"/>
                <w:w w:val="101"/>
                <w:sz w:val="20"/>
                <w:szCs w:val="20"/>
              </w:rPr>
              <w:t xml:space="preserve"> </w:t>
            </w:r>
            <w:r>
              <w:rPr>
                <w:rFonts w:ascii="仿宋" w:hAnsi="仿宋" w:eastAsia="仿宋" w:cs="仿宋"/>
                <w:spacing w:val="10"/>
                <w:sz w:val="20"/>
                <w:szCs w:val="20"/>
              </w:rPr>
              <w:t>道。其中：沙圪堵镇乌拉素村二道壕大坝东至秦家塔</w:t>
            </w:r>
            <w:r>
              <w:rPr>
                <w:rFonts w:ascii="仿宋" w:hAnsi="仿宋" w:eastAsia="仿宋" w:cs="仿宋"/>
                <w:spacing w:val="5"/>
                <w:sz w:val="20"/>
                <w:szCs w:val="20"/>
              </w:rPr>
              <w:t>社段设置</w:t>
            </w:r>
            <w:r>
              <w:rPr>
                <w:rFonts w:ascii="仿宋" w:hAnsi="仿宋" w:eastAsia="仿宋" w:cs="仿宋"/>
                <w:spacing w:val="-5"/>
                <w:sz w:val="20"/>
                <w:szCs w:val="20"/>
              </w:rPr>
              <w:t xml:space="preserve"> </w:t>
            </w:r>
            <w:r>
              <w:rPr>
                <w:spacing w:val="5"/>
                <w:sz w:val="20"/>
                <w:szCs w:val="20"/>
              </w:rPr>
              <w:t>1-0.75m</w:t>
            </w:r>
            <w:r>
              <w:rPr>
                <w:spacing w:val="16"/>
                <w:w w:val="101"/>
                <w:sz w:val="20"/>
                <w:szCs w:val="20"/>
              </w:rPr>
              <w:t xml:space="preserve"> </w:t>
            </w:r>
            <w:r>
              <w:rPr>
                <w:rFonts w:ascii="仿宋" w:hAnsi="仿宋" w:eastAsia="仿宋" w:cs="仿宋"/>
                <w:spacing w:val="5"/>
                <w:sz w:val="20"/>
                <w:szCs w:val="20"/>
              </w:rPr>
              <w:t>钢筋混凝土圆管涵</w:t>
            </w:r>
            <w:r>
              <w:rPr>
                <w:rFonts w:ascii="仿宋" w:hAnsi="仿宋" w:eastAsia="仿宋" w:cs="仿宋"/>
                <w:spacing w:val="-43"/>
                <w:sz w:val="20"/>
                <w:szCs w:val="20"/>
              </w:rPr>
              <w:t xml:space="preserve"> </w:t>
            </w:r>
            <w:r>
              <w:rPr>
                <w:spacing w:val="5"/>
                <w:sz w:val="20"/>
                <w:szCs w:val="20"/>
              </w:rPr>
              <w:t>2</w:t>
            </w:r>
            <w:r>
              <w:rPr>
                <w:spacing w:val="21"/>
                <w:sz w:val="20"/>
                <w:szCs w:val="20"/>
              </w:rPr>
              <w:t xml:space="preserve"> </w:t>
            </w:r>
            <w:r>
              <w:rPr>
                <w:rFonts w:ascii="仿宋" w:hAnsi="仿宋" w:eastAsia="仿宋" w:cs="仿宋"/>
                <w:spacing w:val="5"/>
                <w:sz w:val="20"/>
                <w:szCs w:val="20"/>
              </w:rPr>
              <w:t>道；双山梁村通社公路工程段设置</w:t>
            </w:r>
            <w:r>
              <w:rPr>
                <w:rFonts w:ascii="仿宋" w:hAnsi="仿宋" w:eastAsia="仿宋" w:cs="仿宋"/>
                <w:spacing w:val="-23"/>
                <w:sz w:val="20"/>
                <w:szCs w:val="20"/>
              </w:rPr>
              <w:t xml:space="preserve"> </w:t>
            </w:r>
            <w:r>
              <w:rPr>
                <w:spacing w:val="5"/>
                <w:sz w:val="20"/>
                <w:szCs w:val="20"/>
              </w:rPr>
              <w:t>1-</w:t>
            </w:r>
            <w:r>
              <w:rPr>
                <w:spacing w:val="-28"/>
                <w:sz w:val="20"/>
                <w:szCs w:val="20"/>
              </w:rPr>
              <w:t xml:space="preserve"> </w:t>
            </w:r>
            <w:r>
              <w:rPr>
                <w:spacing w:val="5"/>
                <w:sz w:val="20"/>
                <w:szCs w:val="20"/>
              </w:rPr>
              <w:t>1.5m</w:t>
            </w:r>
            <w:r>
              <w:rPr>
                <w:spacing w:val="19"/>
                <w:w w:val="101"/>
                <w:sz w:val="20"/>
                <w:szCs w:val="20"/>
              </w:rPr>
              <w:t xml:space="preserve"> </w:t>
            </w:r>
            <w:r>
              <w:rPr>
                <w:rFonts w:ascii="仿宋" w:hAnsi="仿宋" w:eastAsia="仿宋" w:cs="仿宋"/>
                <w:spacing w:val="5"/>
                <w:sz w:val="20"/>
                <w:szCs w:val="20"/>
              </w:rPr>
              <w:t>钢</w:t>
            </w:r>
          </w:p>
        </w:tc>
      </w:tr>
    </w:tbl>
    <w:p w14:paraId="6996E3A7">
      <w:pPr>
        <w:pStyle w:val="2"/>
        <w:spacing w:line="224" w:lineRule="exact"/>
        <w:rPr>
          <w:sz w:val="19"/>
        </w:rPr>
      </w:pPr>
    </w:p>
    <w:p w14:paraId="7E76874D">
      <w:pPr>
        <w:spacing w:line="224" w:lineRule="exact"/>
        <w:rPr>
          <w:sz w:val="19"/>
          <w:szCs w:val="19"/>
        </w:rPr>
        <w:sectPr>
          <w:headerReference r:id="rId38" w:type="default"/>
          <w:footerReference r:id="rId39" w:type="default"/>
          <w:pgSz w:w="11907" w:h="16840"/>
          <w:pgMar w:top="400" w:right="1757" w:bottom="1446" w:left="1757" w:header="0" w:footer="1284" w:gutter="0"/>
          <w:cols w:space="720" w:num="1"/>
        </w:sectPr>
      </w:pPr>
    </w:p>
    <w:p w14:paraId="5699F113">
      <w:pPr>
        <w:spacing w:before="19"/>
      </w:pPr>
    </w:p>
    <w:p w14:paraId="502F61DE">
      <w:pPr>
        <w:spacing w:before="19"/>
      </w:pPr>
    </w:p>
    <w:p w14:paraId="1EB12F33">
      <w:pPr>
        <w:spacing w:before="18"/>
      </w:pPr>
    </w:p>
    <w:p w14:paraId="4839F6DA">
      <w:pPr>
        <w:spacing w:before="18"/>
      </w:pPr>
    </w:p>
    <w:tbl>
      <w:tblPr>
        <w:tblStyle w:val="5"/>
        <w:tblW w:w="8377"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37"/>
        <w:gridCol w:w="7640"/>
      </w:tblGrid>
      <w:tr w14:paraId="4FCAD2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478" w:hRule="atLeast"/>
        </w:trPr>
        <w:tc>
          <w:tcPr>
            <w:tcW w:w="737" w:type="dxa"/>
            <w:tcBorders>
              <w:right w:val="single" w:color="000000" w:sz="2" w:space="0"/>
            </w:tcBorders>
            <w:vAlign w:val="top"/>
          </w:tcPr>
          <w:p w14:paraId="39320446">
            <w:pPr>
              <w:rPr>
                <w:rFonts w:ascii="Arial"/>
                <w:sz w:val="21"/>
              </w:rPr>
            </w:pPr>
          </w:p>
        </w:tc>
        <w:tc>
          <w:tcPr>
            <w:tcW w:w="7640" w:type="dxa"/>
            <w:tcBorders>
              <w:left w:val="single" w:color="000000" w:sz="2" w:space="0"/>
            </w:tcBorders>
            <w:vAlign w:val="top"/>
          </w:tcPr>
          <w:p w14:paraId="1DBF4289">
            <w:pPr>
              <w:pStyle w:val="6"/>
              <w:spacing w:before="26" w:line="377" w:lineRule="auto"/>
              <w:ind w:left="9" w:right="7" w:firstLine="5"/>
              <w:rPr>
                <w:rFonts w:ascii="仿宋" w:hAnsi="仿宋" w:eastAsia="仿宋" w:cs="仿宋"/>
                <w:sz w:val="20"/>
                <w:szCs w:val="20"/>
              </w:rPr>
            </w:pPr>
            <w:r>
              <w:rPr>
                <w:rFonts w:ascii="仿宋" w:hAnsi="仿宋" w:eastAsia="仿宋" w:cs="仿宋"/>
                <w:spacing w:val="6"/>
                <w:sz w:val="20"/>
                <w:szCs w:val="20"/>
              </w:rPr>
              <w:t>波纹管涵</w:t>
            </w:r>
            <w:r>
              <w:rPr>
                <w:rFonts w:ascii="仿宋" w:hAnsi="仿宋" w:eastAsia="仿宋" w:cs="仿宋"/>
                <w:spacing w:val="-40"/>
                <w:sz w:val="20"/>
                <w:szCs w:val="20"/>
              </w:rPr>
              <w:t xml:space="preserve"> </w:t>
            </w:r>
            <w:r>
              <w:rPr>
                <w:spacing w:val="6"/>
                <w:sz w:val="20"/>
                <w:szCs w:val="20"/>
              </w:rPr>
              <w:t>2</w:t>
            </w:r>
            <w:r>
              <w:rPr>
                <w:spacing w:val="18"/>
                <w:w w:val="101"/>
                <w:sz w:val="20"/>
                <w:szCs w:val="20"/>
              </w:rPr>
              <w:t xml:space="preserve"> </w:t>
            </w:r>
            <w:r>
              <w:rPr>
                <w:rFonts w:ascii="仿宋" w:hAnsi="仿宋" w:eastAsia="仿宋" w:cs="仿宋"/>
                <w:spacing w:val="6"/>
                <w:sz w:val="20"/>
                <w:szCs w:val="20"/>
              </w:rPr>
              <w:t>道；十二连城乡三道拐社坡底至北防洪堤段拆除</w:t>
            </w:r>
            <w:r>
              <w:rPr>
                <w:rFonts w:ascii="仿宋" w:hAnsi="仿宋" w:eastAsia="仿宋" w:cs="仿宋"/>
                <w:spacing w:val="5"/>
                <w:sz w:val="20"/>
                <w:szCs w:val="20"/>
              </w:rPr>
              <w:t>既有涵洞后新建</w:t>
            </w:r>
            <w:r>
              <w:rPr>
                <w:rFonts w:ascii="仿宋" w:hAnsi="仿宋" w:eastAsia="仿宋" w:cs="仿宋"/>
                <w:spacing w:val="-21"/>
                <w:sz w:val="20"/>
                <w:szCs w:val="20"/>
              </w:rPr>
              <w:t xml:space="preserve"> </w:t>
            </w:r>
            <w:r>
              <w:rPr>
                <w:spacing w:val="5"/>
                <w:sz w:val="20"/>
                <w:szCs w:val="20"/>
              </w:rPr>
              <w:t>1-0.75m</w:t>
            </w:r>
            <w:r>
              <w:rPr>
                <w:rFonts w:ascii="仿宋" w:hAnsi="仿宋" w:eastAsia="仿宋" w:cs="仿宋"/>
                <w:spacing w:val="5"/>
                <w:sz w:val="20"/>
                <w:szCs w:val="20"/>
              </w:rPr>
              <w:t>钢筋混凝土圆管涵</w:t>
            </w:r>
            <w:r>
              <w:rPr>
                <w:rFonts w:ascii="仿宋" w:hAnsi="仿宋" w:eastAsia="仿宋" w:cs="仿宋"/>
                <w:spacing w:val="-41"/>
                <w:sz w:val="20"/>
                <w:szCs w:val="20"/>
              </w:rPr>
              <w:t xml:space="preserve"> </w:t>
            </w:r>
            <w:r>
              <w:rPr>
                <w:spacing w:val="5"/>
                <w:sz w:val="20"/>
                <w:szCs w:val="20"/>
              </w:rPr>
              <w:t>2</w:t>
            </w:r>
            <w:r>
              <w:rPr>
                <w:spacing w:val="19"/>
                <w:sz w:val="20"/>
                <w:szCs w:val="20"/>
              </w:rPr>
              <w:t xml:space="preserve"> </w:t>
            </w:r>
            <w:r>
              <w:rPr>
                <w:rFonts w:ascii="仿宋" w:hAnsi="仿宋" w:eastAsia="仿宋" w:cs="仿宋"/>
                <w:spacing w:val="5"/>
                <w:sz w:val="20"/>
                <w:szCs w:val="20"/>
              </w:rPr>
              <w:t>道；脑包湾村路段一新建</w:t>
            </w:r>
            <w:r>
              <w:rPr>
                <w:rFonts w:ascii="仿宋" w:hAnsi="仿宋" w:eastAsia="仿宋" w:cs="仿宋"/>
                <w:spacing w:val="-23"/>
                <w:sz w:val="20"/>
                <w:szCs w:val="20"/>
              </w:rPr>
              <w:t xml:space="preserve"> </w:t>
            </w:r>
            <w:r>
              <w:rPr>
                <w:spacing w:val="5"/>
                <w:sz w:val="20"/>
                <w:szCs w:val="20"/>
              </w:rPr>
              <w:t>1-0.30m</w:t>
            </w:r>
            <w:r>
              <w:rPr>
                <w:spacing w:val="18"/>
                <w:sz w:val="20"/>
                <w:szCs w:val="20"/>
              </w:rPr>
              <w:t xml:space="preserve"> </w:t>
            </w:r>
            <w:r>
              <w:rPr>
                <w:rFonts w:ascii="仿宋" w:hAnsi="仿宋" w:eastAsia="仿宋" w:cs="仿宋"/>
                <w:spacing w:val="5"/>
                <w:sz w:val="20"/>
                <w:szCs w:val="20"/>
              </w:rPr>
              <w:t>铸</w:t>
            </w:r>
            <w:r>
              <w:rPr>
                <w:rFonts w:ascii="仿宋" w:hAnsi="仿宋" w:eastAsia="仿宋" w:cs="仿宋"/>
                <w:spacing w:val="4"/>
                <w:sz w:val="20"/>
                <w:szCs w:val="20"/>
              </w:rPr>
              <w:t>铁管涵</w:t>
            </w:r>
            <w:r>
              <w:rPr>
                <w:rFonts w:ascii="仿宋" w:hAnsi="仿宋" w:eastAsia="仿宋" w:cs="仿宋"/>
                <w:spacing w:val="-21"/>
                <w:sz w:val="20"/>
                <w:szCs w:val="20"/>
              </w:rPr>
              <w:t xml:space="preserve"> </w:t>
            </w:r>
            <w:r>
              <w:rPr>
                <w:spacing w:val="4"/>
                <w:sz w:val="20"/>
                <w:szCs w:val="20"/>
              </w:rPr>
              <w:t>1</w:t>
            </w:r>
            <w:r>
              <w:rPr>
                <w:spacing w:val="16"/>
                <w:w w:val="101"/>
                <w:sz w:val="20"/>
                <w:szCs w:val="20"/>
              </w:rPr>
              <w:t xml:space="preserve"> </w:t>
            </w:r>
            <w:r>
              <w:rPr>
                <w:rFonts w:ascii="仿宋" w:hAnsi="仿宋" w:eastAsia="仿宋" w:cs="仿宋"/>
                <w:spacing w:val="4"/>
                <w:sz w:val="20"/>
                <w:szCs w:val="20"/>
              </w:rPr>
              <w:t>道。</w:t>
            </w:r>
          </w:p>
          <w:p w14:paraId="2E645BD9">
            <w:pPr>
              <w:spacing w:before="1" w:line="375" w:lineRule="auto"/>
              <w:ind w:left="11" w:firstLine="416"/>
              <w:rPr>
                <w:rFonts w:ascii="仿宋" w:hAnsi="仿宋" w:eastAsia="仿宋" w:cs="仿宋"/>
                <w:sz w:val="20"/>
                <w:szCs w:val="20"/>
              </w:rPr>
            </w:pPr>
            <w:r>
              <w:rPr>
                <w:rFonts w:ascii="仿宋" w:hAnsi="仿宋" w:eastAsia="仿宋" w:cs="仿宋"/>
                <w:spacing w:val="6"/>
                <w:sz w:val="20"/>
                <w:szCs w:val="20"/>
              </w:rPr>
              <w:t>本项目各类涵洞施工以基坑开挖、基础处理、涵管安装、</w:t>
            </w:r>
            <w:r>
              <w:rPr>
                <w:rFonts w:ascii="仿宋" w:hAnsi="仿宋" w:eastAsia="仿宋" w:cs="仿宋"/>
                <w:spacing w:val="5"/>
                <w:sz w:val="20"/>
                <w:szCs w:val="20"/>
              </w:rPr>
              <w:t>回填夯实为核心工序，</w:t>
            </w:r>
            <w:r>
              <w:rPr>
                <w:rFonts w:ascii="仿宋" w:hAnsi="仿宋" w:eastAsia="仿宋" w:cs="仿宋"/>
                <w:spacing w:val="6"/>
                <w:sz w:val="20"/>
                <w:szCs w:val="20"/>
              </w:rPr>
              <w:t>其中三道拐社路段涵洞需先行开展既有涵洞拆除作业，全线涵洞具</w:t>
            </w:r>
            <w:r>
              <w:rPr>
                <w:rFonts w:ascii="仿宋" w:hAnsi="仿宋" w:eastAsia="仿宋" w:cs="仿宋"/>
                <w:spacing w:val="5"/>
                <w:sz w:val="20"/>
                <w:szCs w:val="20"/>
              </w:rPr>
              <w:t>体工艺流程如下：</w:t>
            </w:r>
          </w:p>
          <w:p w14:paraId="2E8D9A63">
            <w:pPr>
              <w:pStyle w:val="6"/>
              <w:spacing w:before="1" w:line="377" w:lineRule="auto"/>
              <w:ind w:left="9" w:right="6" w:firstLine="436"/>
              <w:rPr>
                <w:rFonts w:ascii="仿宋" w:hAnsi="仿宋" w:eastAsia="仿宋" w:cs="仿宋"/>
                <w:sz w:val="20"/>
                <w:szCs w:val="20"/>
              </w:rPr>
            </w:pPr>
            <w:r>
              <w:rPr>
                <w:rFonts w:ascii="仿宋" w:hAnsi="仿宋" w:eastAsia="仿宋" w:cs="仿宋"/>
                <w:b/>
                <w:bCs/>
                <w:spacing w:val="8"/>
                <w:sz w:val="20"/>
                <w:szCs w:val="20"/>
              </w:rPr>
              <w:t>既有涵洞拆除（仅三道拐社重建涵洞）</w:t>
            </w:r>
            <w:r>
              <w:rPr>
                <w:b/>
                <w:bCs/>
                <w:spacing w:val="8"/>
                <w:sz w:val="20"/>
                <w:szCs w:val="20"/>
              </w:rPr>
              <w:t>→</w:t>
            </w:r>
            <w:r>
              <w:rPr>
                <w:rFonts w:ascii="仿宋" w:hAnsi="仿宋" w:eastAsia="仿宋" w:cs="仿宋"/>
                <w:b/>
                <w:bCs/>
                <w:spacing w:val="8"/>
                <w:sz w:val="20"/>
                <w:szCs w:val="20"/>
              </w:rPr>
              <w:t>基坑开挖</w:t>
            </w:r>
            <w:r>
              <w:rPr>
                <w:b/>
                <w:bCs/>
                <w:spacing w:val="8"/>
                <w:sz w:val="20"/>
                <w:szCs w:val="20"/>
              </w:rPr>
              <w:t>→</w:t>
            </w:r>
            <w:r>
              <w:rPr>
                <w:b/>
                <w:bCs/>
                <w:spacing w:val="-28"/>
                <w:sz w:val="20"/>
                <w:szCs w:val="20"/>
              </w:rPr>
              <w:t xml:space="preserve"> </w:t>
            </w:r>
            <w:r>
              <w:rPr>
                <w:rFonts w:ascii="仿宋" w:hAnsi="仿宋" w:eastAsia="仿宋" w:cs="仿宋"/>
                <w:b/>
                <w:bCs/>
                <w:spacing w:val="8"/>
                <w:sz w:val="20"/>
                <w:szCs w:val="20"/>
              </w:rPr>
              <w:t>基坑修整夯实</w:t>
            </w:r>
            <w:r>
              <w:rPr>
                <w:b/>
                <w:bCs/>
                <w:spacing w:val="8"/>
                <w:sz w:val="20"/>
                <w:szCs w:val="20"/>
              </w:rPr>
              <w:t>→</w:t>
            </w:r>
            <w:r>
              <w:rPr>
                <w:b/>
                <w:bCs/>
                <w:spacing w:val="-33"/>
                <w:sz w:val="20"/>
                <w:szCs w:val="20"/>
              </w:rPr>
              <w:t xml:space="preserve"> </w:t>
            </w:r>
            <w:r>
              <w:rPr>
                <w:rFonts w:ascii="仿宋" w:hAnsi="仿宋" w:eastAsia="仿宋" w:cs="仿宋"/>
                <w:b/>
                <w:bCs/>
                <w:spacing w:val="8"/>
                <w:sz w:val="20"/>
                <w:szCs w:val="20"/>
              </w:rPr>
              <w:t>涵体基础</w:t>
            </w:r>
            <w:r>
              <w:rPr>
                <w:rFonts w:ascii="仿宋" w:hAnsi="仿宋" w:eastAsia="仿宋" w:cs="仿宋"/>
                <w:b/>
                <w:bCs/>
                <w:spacing w:val="7"/>
                <w:sz w:val="20"/>
                <w:szCs w:val="20"/>
              </w:rPr>
              <w:t>施工</w:t>
            </w:r>
            <w:r>
              <w:rPr>
                <w:b/>
                <w:bCs/>
                <w:spacing w:val="7"/>
                <w:sz w:val="20"/>
                <w:szCs w:val="20"/>
              </w:rPr>
              <w:t>→</w:t>
            </w:r>
            <w:r>
              <w:rPr>
                <w:b/>
                <w:bCs/>
                <w:spacing w:val="-30"/>
                <w:sz w:val="20"/>
                <w:szCs w:val="20"/>
              </w:rPr>
              <w:t xml:space="preserve"> </w:t>
            </w:r>
            <w:r>
              <w:rPr>
                <w:rFonts w:ascii="仿宋" w:hAnsi="仿宋" w:eastAsia="仿宋" w:cs="仿宋"/>
                <w:b/>
                <w:bCs/>
                <w:spacing w:val="7"/>
                <w:sz w:val="20"/>
                <w:szCs w:val="20"/>
              </w:rPr>
              <w:t>涵管运输吊装安装</w:t>
            </w:r>
            <w:r>
              <w:rPr>
                <w:b/>
                <w:bCs/>
                <w:spacing w:val="7"/>
                <w:sz w:val="20"/>
                <w:szCs w:val="20"/>
              </w:rPr>
              <w:t>→</w:t>
            </w:r>
            <w:r>
              <w:rPr>
                <w:rFonts w:ascii="仿宋" w:hAnsi="仿宋" w:eastAsia="仿宋" w:cs="仿宋"/>
                <w:b/>
                <w:bCs/>
                <w:spacing w:val="7"/>
                <w:sz w:val="20"/>
                <w:szCs w:val="20"/>
              </w:rPr>
              <w:t>接缝密封处理</w:t>
            </w:r>
            <w:r>
              <w:rPr>
                <w:b/>
                <w:bCs/>
                <w:spacing w:val="7"/>
                <w:sz w:val="20"/>
                <w:szCs w:val="20"/>
              </w:rPr>
              <w:t>→</w:t>
            </w:r>
            <w:r>
              <w:rPr>
                <w:b/>
                <w:bCs/>
                <w:spacing w:val="-32"/>
                <w:sz w:val="20"/>
                <w:szCs w:val="20"/>
              </w:rPr>
              <w:t xml:space="preserve"> </w:t>
            </w:r>
            <w:r>
              <w:rPr>
                <w:rFonts w:ascii="仿宋" w:hAnsi="仿宋" w:eastAsia="仿宋" w:cs="仿宋"/>
                <w:b/>
                <w:bCs/>
                <w:spacing w:val="7"/>
                <w:sz w:val="20"/>
                <w:szCs w:val="20"/>
              </w:rPr>
              <w:t>涵体两侧及顶部回填夯实</w:t>
            </w:r>
          </w:p>
          <w:p w14:paraId="74865409">
            <w:pPr>
              <w:spacing w:before="1" w:line="231" w:lineRule="auto"/>
              <w:ind w:left="432"/>
              <w:rPr>
                <w:rFonts w:ascii="仿宋" w:hAnsi="仿宋" w:eastAsia="仿宋" w:cs="仿宋"/>
                <w:sz w:val="20"/>
                <w:szCs w:val="20"/>
              </w:rPr>
            </w:pPr>
            <w:r>
              <w:rPr>
                <w:rFonts w:ascii="仿宋" w:hAnsi="仿宋" w:eastAsia="仿宋" w:cs="仿宋"/>
                <w:spacing w:val="6"/>
                <w:sz w:val="20"/>
                <w:szCs w:val="20"/>
              </w:rPr>
              <w:t>具体工艺过程说明：</w:t>
            </w:r>
          </w:p>
          <w:p w14:paraId="64DC6780">
            <w:pPr>
              <w:pStyle w:val="6"/>
              <w:spacing w:before="158" w:line="376" w:lineRule="auto"/>
              <w:ind w:left="11" w:right="6" w:firstLine="422"/>
              <w:rPr>
                <w:rFonts w:ascii="仿宋" w:hAnsi="仿宋" w:eastAsia="仿宋" w:cs="仿宋"/>
                <w:sz w:val="20"/>
                <w:szCs w:val="20"/>
              </w:rPr>
            </w:pPr>
            <w:r>
              <w:rPr>
                <w:rFonts w:ascii="仿宋" w:hAnsi="仿宋" w:eastAsia="仿宋" w:cs="仿宋"/>
                <w:b/>
                <w:bCs/>
                <w:spacing w:val="8"/>
                <w:sz w:val="20"/>
                <w:szCs w:val="20"/>
              </w:rPr>
              <w:t>（</w:t>
            </w:r>
            <w:r>
              <w:rPr>
                <w:b/>
                <w:bCs/>
                <w:spacing w:val="8"/>
                <w:sz w:val="20"/>
                <w:szCs w:val="20"/>
              </w:rPr>
              <w:t>1</w:t>
            </w:r>
            <w:r>
              <w:rPr>
                <w:rFonts w:ascii="仿宋" w:hAnsi="仿宋" w:eastAsia="仿宋" w:cs="仿宋"/>
                <w:b/>
                <w:bCs/>
                <w:spacing w:val="8"/>
                <w:sz w:val="20"/>
                <w:szCs w:val="20"/>
              </w:rPr>
              <w:t>）既有涵洞拆除</w:t>
            </w:r>
            <w:r>
              <w:rPr>
                <w:rFonts w:ascii="仿宋" w:hAnsi="仿宋" w:eastAsia="仿宋" w:cs="仿宋"/>
                <w:spacing w:val="8"/>
                <w:sz w:val="20"/>
                <w:szCs w:val="20"/>
              </w:rPr>
              <w:t>：针对十二连城乡三道拐社需改建路段</w:t>
            </w:r>
            <w:r>
              <w:rPr>
                <w:rFonts w:ascii="仿宋" w:hAnsi="仿宋" w:eastAsia="仿宋" w:cs="仿宋"/>
                <w:spacing w:val="7"/>
                <w:sz w:val="20"/>
                <w:szCs w:val="20"/>
              </w:rPr>
              <w:t>，施工前对原有废弃</w:t>
            </w:r>
            <w:r>
              <w:rPr>
                <w:rFonts w:ascii="仿宋" w:hAnsi="仿宋" w:eastAsia="仿宋" w:cs="仿宋"/>
                <w:spacing w:val="11"/>
                <w:sz w:val="20"/>
                <w:szCs w:val="20"/>
              </w:rPr>
              <w:t>涵洞进行整体拆除，彻底清理基坑内建筑垃圾及软弱土层，完成场地平整，为新建</w:t>
            </w:r>
            <w:r>
              <w:rPr>
                <w:rFonts w:ascii="仿宋" w:hAnsi="仿宋" w:eastAsia="仿宋" w:cs="仿宋"/>
                <w:spacing w:val="7"/>
                <w:sz w:val="20"/>
                <w:szCs w:val="20"/>
              </w:rPr>
              <w:t>涵洞施工提供合格作业基底。</w:t>
            </w:r>
          </w:p>
          <w:p w14:paraId="6AEF0387">
            <w:pPr>
              <w:pStyle w:val="6"/>
              <w:spacing w:before="6" w:line="376" w:lineRule="auto"/>
              <w:ind w:left="10" w:firstLine="421"/>
              <w:rPr>
                <w:rFonts w:ascii="仿宋" w:hAnsi="仿宋" w:eastAsia="仿宋" w:cs="仿宋"/>
                <w:sz w:val="20"/>
                <w:szCs w:val="20"/>
              </w:rPr>
            </w:pPr>
            <w:r>
              <w:rPr>
                <w:rFonts w:ascii="仿宋" w:hAnsi="仿宋" w:eastAsia="仿宋" w:cs="仿宋"/>
                <w:b/>
                <w:bCs/>
                <w:spacing w:val="8"/>
                <w:sz w:val="20"/>
                <w:szCs w:val="20"/>
              </w:rPr>
              <w:t>（</w:t>
            </w:r>
            <w:r>
              <w:rPr>
                <w:b/>
                <w:bCs/>
                <w:spacing w:val="8"/>
                <w:sz w:val="20"/>
                <w:szCs w:val="20"/>
              </w:rPr>
              <w:t>2</w:t>
            </w:r>
            <w:r>
              <w:rPr>
                <w:rFonts w:ascii="仿宋" w:hAnsi="仿宋" w:eastAsia="仿宋" w:cs="仿宋"/>
                <w:b/>
                <w:bCs/>
                <w:spacing w:val="8"/>
                <w:sz w:val="20"/>
                <w:szCs w:val="20"/>
              </w:rPr>
              <w:t>）基坑开挖</w:t>
            </w:r>
            <w:r>
              <w:rPr>
                <w:rFonts w:ascii="仿宋" w:hAnsi="仿宋" w:eastAsia="仿宋" w:cs="仿宋"/>
                <w:spacing w:val="8"/>
                <w:sz w:val="20"/>
                <w:szCs w:val="20"/>
              </w:rPr>
              <w:t>：全线所有涵洞基坑均采用人工配合反铲挖掘机进行开挖施工，</w:t>
            </w:r>
            <w:r>
              <w:rPr>
                <w:rFonts w:ascii="仿宋" w:hAnsi="仿宋" w:eastAsia="仿宋" w:cs="仿宋"/>
                <w:spacing w:val="6"/>
                <w:sz w:val="20"/>
                <w:szCs w:val="20"/>
              </w:rPr>
              <w:t>结合基坑现场土质条件，合理确定基坑坑壁放坡坡比，保障基坑开挖过程边</w:t>
            </w:r>
            <w:r>
              <w:rPr>
                <w:rFonts w:ascii="仿宋" w:hAnsi="仿宋" w:eastAsia="仿宋" w:cs="仿宋"/>
                <w:spacing w:val="5"/>
                <w:sz w:val="20"/>
                <w:szCs w:val="20"/>
              </w:rPr>
              <w:t>坡稳定，</w:t>
            </w:r>
            <w:r>
              <w:rPr>
                <w:rFonts w:ascii="仿宋" w:hAnsi="仿宋" w:eastAsia="仿宋" w:cs="仿宋"/>
                <w:spacing w:val="10"/>
                <w:sz w:val="20"/>
                <w:szCs w:val="20"/>
              </w:rPr>
              <w:t>避免边坡坍塌引发生态扰动；开挖至设计标高后，人工清理基坑底部原状土体，减</w:t>
            </w:r>
            <w:r>
              <w:rPr>
                <w:rFonts w:ascii="仿宋" w:hAnsi="仿宋" w:eastAsia="仿宋" w:cs="仿宋"/>
                <w:spacing w:val="6"/>
                <w:sz w:val="20"/>
                <w:szCs w:val="20"/>
              </w:rPr>
              <w:t>少机械施工对基底土层的扰动。</w:t>
            </w:r>
          </w:p>
          <w:p w14:paraId="3AEC247B">
            <w:pPr>
              <w:pStyle w:val="6"/>
              <w:spacing w:before="3" w:line="376" w:lineRule="auto"/>
              <w:ind w:left="11" w:firstLine="419"/>
              <w:rPr>
                <w:rFonts w:ascii="仿宋" w:hAnsi="仿宋" w:eastAsia="仿宋" w:cs="仿宋"/>
                <w:sz w:val="20"/>
                <w:szCs w:val="20"/>
              </w:rPr>
            </w:pPr>
            <w:r>
              <w:rPr>
                <w:rFonts w:ascii="仿宋" w:hAnsi="仿宋" w:eastAsia="仿宋" w:cs="仿宋"/>
                <w:b/>
                <w:bCs/>
                <w:spacing w:val="8"/>
                <w:sz w:val="20"/>
                <w:szCs w:val="20"/>
              </w:rPr>
              <w:t>（</w:t>
            </w:r>
            <w:r>
              <w:rPr>
                <w:b/>
                <w:bCs/>
                <w:spacing w:val="8"/>
                <w:sz w:val="20"/>
                <w:szCs w:val="20"/>
              </w:rPr>
              <w:t>3</w:t>
            </w:r>
            <w:r>
              <w:rPr>
                <w:rFonts w:ascii="仿宋" w:hAnsi="仿宋" w:eastAsia="仿宋" w:cs="仿宋"/>
                <w:b/>
                <w:bCs/>
                <w:spacing w:val="8"/>
                <w:sz w:val="20"/>
                <w:szCs w:val="20"/>
              </w:rPr>
              <w:t>）基坑修整夯实</w:t>
            </w:r>
            <w:r>
              <w:rPr>
                <w:rFonts w:ascii="仿宋" w:hAnsi="仿宋" w:eastAsia="仿宋" w:cs="仿宋"/>
                <w:spacing w:val="8"/>
                <w:sz w:val="20"/>
                <w:szCs w:val="20"/>
              </w:rPr>
              <w:t>：基坑开挖完成后，对基坑底部进行整平</w:t>
            </w:r>
            <w:r>
              <w:rPr>
                <w:rFonts w:ascii="仿宋" w:hAnsi="仿宋" w:eastAsia="仿宋" w:cs="仿宋"/>
                <w:spacing w:val="7"/>
                <w:sz w:val="20"/>
                <w:szCs w:val="20"/>
              </w:rPr>
              <w:t>、分层夯实处理，</w:t>
            </w:r>
            <w:r>
              <w:rPr>
                <w:rFonts w:ascii="仿宋" w:hAnsi="仿宋" w:eastAsia="仿宋" w:cs="仿宋"/>
                <w:spacing w:val="6"/>
                <w:sz w:val="20"/>
                <w:szCs w:val="20"/>
              </w:rPr>
              <w:t>检测基底密实度及承载力，确保基底满足涵体承载要求，防止后期涵体不</w:t>
            </w:r>
            <w:r>
              <w:rPr>
                <w:rFonts w:ascii="仿宋" w:hAnsi="仿宋" w:eastAsia="仿宋" w:cs="仿宋"/>
                <w:spacing w:val="5"/>
                <w:sz w:val="20"/>
                <w:szCs w:val="20"/>
              </w:rPr>
              <w:t>均匀沉降。</w:t>
            </w:r>
          </w:p>
          <w:p w14:paraId="2ECC4569">
            <w:pPr>
              <w:pStyle w:val="6"/>
              <w:spacing w:before="1" w:line="377" w:lineRule="auto"/>
              <w:ind w:left="12" w:right="6" w:firstLine="421"/>
              <w:rPr>
                <w:rFonts w:ascii="仿宋" w:hAnsi="仿宋" w:eastAsia="仿宋" w:cs="仿宋"/>
                <w:sz w:val="20"/>
                <w:szCs w:val="20"/>
              </w:rPr>
            </w:pPr>
            <w:r>
              <w:rPr>
                <w:rFonts w:ascii="仿宋" w:hAnsi="仿宋" w:eastAsia="仿宋" w:cs="仿宋"/>
                <w:b/>
                <w:bCs/>
                <w:spacing w:val="8"/>
                <w:sz w:val="20"/>
                <w:szCs w:val="20"/>
              </w:rPr>
              <w:t>（</w:t>
            </w:r>
            <w:r>
              <w:rPr>
                <w:b/>
                <w:bCs/>
                <w:spacing w:val="8"/>
                <w:sz w:val="20"/>
                <w:szCs w:val="20"/>
              </w:rPr>
              <w:t>4</w:t>
            </w:r>
            <w:r>
              <w:rPr>
                <w:rFonts w:ascii="仿宋" w:hAnsi="仿宋" w:eastAsia="仿宋" w:cs="仿宋"/>
                <w:b/>
                <w:bCs/>
                <w:spacing w:val="8"/>
                <w:sz w:val="20"/>
                <w:szCs w:val="20"/>
              </w:rPr>
              <w:t>）涵体基础施工</w:t>
            </w:r>
            <w:r>
              <w:rPr>
                <w:rFonts w:ascii="仿宋" w:hAnsi="仿宋" w:eastAsia="仿宋" w:cs="仿宋"/>
                <w:spacing w:val="8"/>
                <w:sz w:val="20"/>
                <w:szCs w:val="20"/>
              </w:rPr>
              <w:t>：依据不同涵洞类型开展基础施工，钢</w:t>
            </w:r>
            <w:r>
              <w:rPr>
                <w:rFonts w:ascii="仿宋" w:hAnsi="仿宋" w:eastAsia="仿宋" w:cs="仿宋"/>
                <w:spacing w:val="7"/>
                <w:sz w:val="20"/>
                <w:szCs w:val="20"/>
              </w:rPr>
              <w:t>筋混凝土圆管涵、铸</w:t>
            </w:r>
            <w:r>
              <w:rPr>
                <w:rFonts w:ascii="仿宋" w:hAnsi="仿宋" w:eastAsia="仿宋" w:cs="仿宋"/>
                <w:spacing w:val="9"/>
                <w:sz w:val="20"/>
                <w:szCs w:val="20"/>
              </w:rPr>
              <w:t>铁管涵浇筑整体式混凝土涵底及扩大基础；钢波纹管涵铺设级配砂石垫层。</w:t>
            </w:r>
          </w:p>
          <w:p w14:paraId="28C46F05">
            <w:pPr>
              <w:pStyle w:val="6"/>
              <w:spacing w:line="377" w:lineRule="auto"/>
              <w:ind w:left="9" w:firstLine="421"/>
              <w:rPr>
                <w:rFonts w:ascii="仿宋" w:hAnsi="仿宋" w:eastAsia="仿宋" w:cs="仿宋"/>
                <w:sz w:val="20"/>
                <w:szCs w:val="20"/>
              </w:rPr>
            </w:pPr>
            <w:r>
              <w:rPr>
                <w:rFonts w:ascii="仿宋" w:hAnsi="仿宋" w:eastAsia="仿宋" w:cs="仿宋"/>
                <w:b/>
                <w:bCs/>
                <w:spacing w:val="6"/>
                <w:sz w:val="20"/>
                <w:szCs w:val="20"/>
              </w:rPr>
              <w:t>（</w:t>
            </w:r>
            <w:r>
              <w:rPr>
                <w:b/>
                <w:bCs/>
                <w:spacing w:val="6"/>
                <w:sz w:val="20"/>
                <w:szCs w:val="20"/>
              </w:rPr>
              <w:t>5</w:t>
            </w:r>
            <w:r>
              <w:rPr>
                <w:rFonts w:ascii="仿宋" w:hAnsi="仿宋" w:eastAsia="仿宋" w:cs="仿宋"/>
                <w:b/>
                <w:bCs/>
                <w:spacing w:val="6"/>
                <w:sz w:val="20"/>
                <w:szCs w:val="20"/>
              </w:rPr>
              <w:t>）涵管运输与安装</w:t>
            </w:r>
            <w:r>
              <w:rPr>
                <w:rFonts w:ascii="仿宋" w:hAnsi="仿宋" w:eastAsia="仿宋" w:cs="仿宋"/>
                <w:spacing w:val="6"/>
                <w:sz w:val="20"/>
                <w:szCs w:val="20"/>
              </w:rPr>
              <w:t>：各类预制涵管、波纹管、铸铁管均通过载重汽车运输至施工现场，到场后采用人工配合汽车吊开展吊装就位作业，严格控制涵管安装</w:t>
            </w:r>
            <w:r>
              <w:rPr>
                <w:rFonts w:ascii="仿宋" w:hAnsi="仿宋" w:eastAsia="仿宋" w:cs="仿宋"/>
                <w:spacing w:val="5"/>
                <w:sz w:val="20"/>
                <w:szCs w:val="20"/>
              </w:rPr>
              <w:t>高程、</w:t>
            </w:r>
            <w:r>
              <w:rPr>
                <w:rFonts w:ascii="仿宋" w:hAnsi="仿宋" w:eastAsia="仿宋" w:cs="仿宋"/>
                <w:spacing w:val="6"/>
                <w:sz w:val="20"/>
                <w:szCs w:val="20"/>
              </w:rPr>
              <w:t>轴线及排水坡度，保证涵洞排水通畅。</w:t>
            </w:r>
          </w:p>
          <w:p w14:paraId="71768B16">
            <w:pPr>
              <w:pStyle w:val="6"/>
              <w:spacing w:before="2" w:line="375" w:lineRule="auto"/>
              <w:ind w:left="10" w:firstLine="421"/>
              <w:rPr>
                <w:rFonts w:ascii="仿宋" w:hAnsi="仿宋" w:eastAsia="仿宋" w:cs="仿宋"/>
                <w:sz w:val="20"/>
                <w:szCs w:val="20"/>
              </w:rPr>
            </w:pPr>
            <w:r>
              <w:rPr>
                <w:rFonts w:ascii="仿宋" w:hAnsi="仿宋" w:eastAsia="仿宋" w:cs="仿宋"/>
                <w:b/>
                <w:bCs/>
                <w:spacing w:val="2"/>
                <w:sz w:val="20"/>
                <w:szCs w:val="20"/>
              </w:rPr>
              <w:t>（</w:t>
            </w:r>
            <w:r>
              <w:rPr>
                <w:b/>
                <w:bCs/>
                <w:spacing w:val="2"/>
                <w:sz w:val="20"/>
                <w:szCs w:val="20"/>
              </w:rPr>
              <w:t>6</w:t>
            </w:r>
            <w:r>
              <w:rPr>
                <w:rFonts w:ascii="仿宋" w:hAnsi="仿宋" w:eastAsia="仿宋" w:cs="仿宋"/>
                <w:b/>
                <w:bCs/>
                <w:spacing w:val="2"/>
                <w:sz w:val="20"/>
                <w:szCs w:val="20"/>
              </w:rPr>
              <w:t>）接缝密封处理</w:t>
            </w:r>
            <w:r>
              <w:rPr>
                <w:rFonts w:ascii="仿宋" w:hAnsi="仿宋" w:eastAsia="仿宋" w:cs="仿宋"/>
                <w:spacing w:val="2"/>
                <w:sz w:val="20"/>
                <w:szCs w:val="20"/>
              </w:rPr>
              <w:t>：涵管安装就位后，对管节之间拼接缝隙进行密封防水处理，</w:t>
            </w:r>
            <w:r>
              <w:rPr>
                <w:rFonts w:ascii="仿宋" w:hAnsi="仿宋" w:eastAsia="仿宋" w:cs="仿宋"/>
                <w:spacing w:val="8"/>
                <w:sz w:val="20"/>
                <w:szCs w:val="20"/>
              </w:rPr>
              <w:t>避免后期地表水、地下水通过接缝渗漏，保障涵洞结构完整性与使</w:t>
            </w:r>
            <w:r>
              <w:rPr>
                <w:rFonts w:ascii="仿宋" w:hAnsi="仿宋" w:eastAsia="仿宋" w:cs="仿宋"/>
                <w:spacing w:val="7"/>
                <w:sz w:val="20"/>
                <w:szCs w:val="20"/>
              </w:rPr>
              <w:t>用稳定性。</w:t>
            </w:r>
          </w:p>
          <w:p w14:paraId="53E507A5">
            <w:pPr>
              <w:pStyle w:val="6"/>
              <w:spacing w:before="4" w:line="377" w:lineRule="auto"/>
              <w:ind w:left="9" w:firstLine="421"/>
              <w:rPr>
                <w:rFonts w:ascii="仿宋" w:hAnsi="仿宋" w:eastAsia="仿宋" w:cs="仿宋"/>
                <w:sz w:val="20"/>
                <w:szCs w:val="20"/>
              </w:rPr>
            </w:pPr>
            <w:r>
              <w:rPr>
                <w:rFonts w:ascii="仿宋" w:hAnsi="仿宋" w:eastAsia="仿宋" w:cs="仿宋"/>
                <w:b/>
                <w:bCs/>
                <w:spacing w:val="2"/>
                <w:sz w:val="20"/>
                <w:szCs w:val="20"/>
              </w:rPr>
              <w:t>（</w:t>
            </w:r>
            <w:r>
              <w:rPr>
                <w:b/>
                <w:bCs/>
                <w:spacing w:val="2"/>
                <w:sz w:val="20"/>
                <w:szCs w:val="20"/>
              </w:rPr>
              <w:t>7</w:t>
            </w:r>
            <w:r>
              <w:rPr>
                <w:rFonts w:ascii="仿宋" w:hAnsi="仿宋" w:eastAsia="仿宋" w:cs="仿宋"/>
                <w:b/>
                <w:bCs/>
                <w:spacing w:val="2"/>
                <w:sz w:val="20"/>
                <w:szCs w:val="20"/>
              </w:rPr>
              <w:t>）回填夯实</w:t>
            </w:r>
            <w:r>
              <w:rPr>
                <w:rFonts w:ascii="仿宋" w:hAnsi="仿宋" w:eastAsia="仿宋" w:cs="仿宋"/>
                <w:spacing w:val="2"/>
                <w:sz w:val="20"/>
                <w:szCs w:val="20"/>
              </w:rPr>
              <w:t>：涵管安装及接缝施工完成且结构强度达标后，及时对涵洞两侧、</w:t>
            </w:r>
            <w:r>
              <w:rPr>
                <w:rFonts w:ascii="仿宋" w:hAnsi="仿宋" w:eastAsia="仿宋" w:cs="仿宋"/>
                <w:spacing w:val="10"/>
                <w:sz w:val="20"/>
                <w:szCs w:val="20"/>
              </w:rPr>
              <w:t>管身顶部进行分层土方回填，并逐层夯实，减少路基沉降，保</w:t>
            </w:r>
            <w:r>
              <w:rPr>
                <w:rFonts w:ascii="仿宋" w:hAnsi="仿宋" w:eastAsia="仿宋" w:cs="仿宋"/>
                <w:spacing w:val="9"/>
                <w:sz w:val="20"/>
                <w:szCs w:val="20"/>
              </w:rPr>
              <w:t>证涵洞与周边路基结</w:t>
            </w:r>
            <w:r>
              <w:rPr>
                <w:rFonts w:ascii="仿宋" w:hAnsi="仿宋" w:eastAsia="仿宋" w:cs="仿宋"/>
                <w:spacing w:val="6"/>
                <w:sz w:val="20"/>
                <w:szCs w:val="20"/>
              </w:rPr>
              <w:t>构衔接紧密，</w:t>
            </w:r>
            <w:r>
              <w:rPr>
                <w:rFonts w:ascii="仿宋" w:hAnsi="仿宋" w:eastAsia="仿宋" w:cs="仿宋"/>
                <w:spacing w:val="-54"/>
                <w:sz w:val="20"/>
                <w:szCs w:val="20"/>
              </w:rPr>
              <w:t xml:space="preserve"> </w:t>
            </w:r>
            <w:r>
              <w:rPr>
                <w:rFonts w:ascii="仿宋" w:hAnsi="仿宋" w:eastAsia="仿宋" w:cs="仿宋"/>
                <w:spacing w:val="6"/>
                <w:sz w:val="20"/>
                <w:szCs w:val="20"/>
              </w:rPr>
              <w:t>同步降低工程施工对周边地表径流及土壤环境的影响。</w:t>
            </w:r>
          </w:p>
          <w:p w14:paraId="5F1616BF">
            <w:pPr>
              <w:pStyle w:val="6"/>
              <w:spacing w:line="229" w:lineRule="auto"/>
              <w:ind w:left="421"/>
              <w:rPr>
                <w:rFonts w:ascii="仿宋" w:hAnsi="仿宋" w:eastAsia="仿宋" w:cs="仿宋"/>
                <w:sz w:val="20"/>
                <w:szCs w:val="20"/>
              </w:rPr>
            </w:pPr>
            <w:r>
              <w:rPr>
                <w:b/>
                <w:bCs/>
                <w:spacing w:val="5"/>
                <w:sz w:val="20"/>
                <w:szCs w:val="20"/>
              </w:rPr>
              <w:t>4</w:t>
            </w:r>
            <w:r>
              <w:rPr>
                <w:b/>
                <w:bCs/>
                <w:spacing w:val="-14"/>
                <w:sz w:val="20"/>
                <w:szCs w:val="20"/>
              </w:rPr>
              <w:t xml:space="preserve"> </w:t>
            </w:r>
            <w:r>
              <w:rPr>
                <w:rFonts w:ascii="仿宋" w:hAnsi="仿宋" w:eastAsia="仿宋" w:cs="仿宋"/>
                <w:b/>
                <w:bCs/>
                <w:spacing w:val="5"/>
                <w:sz w:val="20"/>
                <w:szCs w:val="20"/>
              </w:rPr>
              <w:t>、交通工程及环境保护工程</w:t>
            </w:r>
          </w:p>
          <w:p w14:paraId="553D6AE6">
            <w:pPr>
              <w:spacing w:before="160" w:line="376" w:lineRule="auto"/>
              <w:ind w:left="8" w:right="76" w:firstLine="422"/>
              <w:jc w:val="both"/>
              <w:rPr>
                <w:rFonts w:ascii="仿宋" w:hAnsi="仿宋" w:eastAsia="仿宋" w:cs="仿宋"/>
                <w:sz w:val="20"/>
                <w:szCs w:val="20"/>
              </w:rPr>
            </w:pPr>
            <w:r>
              <w:rPr>
                <w:rFonts w:ascii="仿宋" w:hAnsi="仿宋" w:eastAsia="仿宋" w:cs="仿宋"/>
                <w:spacing w:val="9"/>
                <w:sz w:val="20"/>
                <w:szCs w:val="20"/>
              </w:rPr>
              <w:t>本工程全线交通工程设施施工在主体工程基本完成后，即可展开沿线设施与环</w:t>
            </w:r>
            <w:r>
              <w:rPr>
                <w:rFonts w:ascii="仿宋" w:hAnsi="仿宋" w:eastAsia="仿宋" w:cs="仿宋"/>
                <w:spacing w:val="10"/>
                <w:sz w:val="20"/>
                <w:szCs w:val="20"/>
              </w:rPr>
              <w:t>境保护工程的施工，沿线设施包括交通标志、</w:t>
            </w:r>
            <w:r>
              <w:rPr>
                <w:rFonts w:ascii="仿宋" w:hAnsi="仿宋" w:eastAsia="仿宋" w:cs="仿宋"/>
                <w:spacing w:val="9"/>
                <w:sz w:val="20"/>
                <w:szCs w:val="20"/>
              </w:rPr>
              <w:t>安全、管理设施等，环境保护工程为</w:t>
            </w:r>
            <w:r>
              <w:rPr>
                <w:rFonts w:ascii="仿宋" w:hAnsi="仿宋" w:eastAsia="仿宋" w:cs="仿宋"/>
                <w:spacing w:val="8"/>
                <w:sz w:val="20"/>
                <w:szCs w:val="20"/>
              </w:rPr>
              <w:t>路基两侧护坡种草植被恢复等工程。</w:t>
            </w:r>
          </w:p>
          <w:p w14:paraId="0D8BED3E">
            <w:pPr>
              <w:pStyle w:val="6"/>
              <w:spacing w:before="3" w:line="232" w:lineRule="auto"/>
              <w:ind w:left="423"/>
              <w:rPr>
                <w:rFonts w:ascii="仿宋" w:hAnsi="仿宋" w:eastAsia="仿宋" w:cs="仿宋"/>
                <w:sz w:val="20"/>
                <w:szCs w:val="20"/>
              </w:rPr>
            </w:pPr>
            <w:r>
              <w:rPr>
                <w:b/>
                <w:bCs/>
                <w:spacing w:val="1"/>
                <w:sz w:val="20"/>
                <w:szCs w:val="20"/>
              </w:rPr>
              <w:t>5</w:t>
            </w:r>
            <w:r>
              <w:rPr>
                <w:b/>
                <w:bCs/>
                <w:spacing w:val="-18"/>
                <w:sz w:val="20"/>
                <w:szCs w:val="20"/>
              </w:rPr>
              <w:t xml:space="preserve"> </w:t>
            </w:r>
            <w:r>
              <w:rPr>
                <w:rFonts w:ascii="仿宋" w:hAnsi="仿宋" w:eastAsia="仿宋" w:cs="仿宋"/>
                <w:b/>
                <w:bCs/>
                <w:spacing w:val="1"/>
                <w:sz w:val="20"/>
                <w:szCs w:val="20"/>
              </w:rPr>
              <w:t>、施工方案</w:t>
            </w:r>
          </w:p>
          <w:p w14:paraId="28C3ED44">
            <w:pPr>
              <w:spacing w:before="158" w:line="359" w:lineRule="auto"/>
              <w:ind w:left="31" w:right="76" w:firstLine="399"/>
              <w:rPr>
                <w:rFonts w:ascii="仿宋" w:hAnsi="仿宋" w:eastAsia="仿宋" w:cs="仿宋"/>
                <w:sz w:val="20"/>
                <w:szCs w:val="20"/>
              </w:rPr>
            </w:pPr>
            <w:r>
              <w:rPr>
                <w:rFonts w:ascii="仿宋" w:hAnsi="仿宋" w:eastAsia="仿宋" w:cs="仿宋"/>
                <w:spacing w:val="9"/>
                <w:sz w:val="20"/>
                <w:szCs w:val="20"/>
              </w:rPr>
              <w:t>根据项目所处区域内施工条件和特点，拟建项目在施工组织计划和施工中，提</w:t>
            </w:r>
            <w:r>
              <w:rPr>
                <w:rFonts w:ascii="仿宋" w:hAnsi="仿宋" w:eastAsia="仿宋" w:cs="仿宋"/>
                <w:spacing w:val="4"/>
                <w:sz w:val="20"/>
                <w:szCs w:val="20"/>
              </w:rPr>
              <w:t>出以下施工方案：</w:t>
            </w:r>
          </w:p>
        </w:tc>
      </w:tr>
    </w:tbl>
    <w:p w14:paraId="4DAE5280">
      <w:pPr>
        <w:pStyle w:val="2"/>
        <w:rPr>
          <w:sz w:val="21"/>
        </w:rPr>
      </w:pPr>
    </w:p>
    <w:p w14:paraId="03A84372">
      <w:pPr>
        <w:rPr>
          <w:sz w:val="21"/>
          <w:szCs w:val="21"/>
        </w:rPr>
        <w:sectPr>
          <w:headerReference r:id="rId40" w:type="default"/>
          <w:footerReference r:id="rId41" w:type="default"/>
          <w:pgSz w:w="11907" w:h="16840"/>
          <w:pgMar w:top="400" w:right="1757" w:bottom="1446" w:left="1757" w:header="0" w:footer="1284" w:gutter="0"/>
          <w:cols w:space="720" w:num="1"/>
        </w:sectPr>
      </w:pPr>
    </w:p>
    <w:p w14:paraId="27E202F2">
      <w:pPr>
        <w:spacing w:before="19"/>
      </w:pPr>
    </w:p>
    <w:p w14:paraId="0C64AB4C">
      <w:pPr>
        <w:spacing w:before="19"/>
      </w:pPr>
    </w:p>
    <w:p w14:paraId="336D6262">
      <w:pPr>
        <w:spacing w:before="18"/>
      </w:pPr>
    </w:p>
    <w:p w14:paraId="020FAC1F">
      <w:pPr>
        <w:spacing w:before="18"/>
      </w:pPr>
    </w:p>
    <w:tbl>
      <w:tblPr>
        <w:tblStyle w:val="5"/>
        <w:tblW w:w="8377"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37"/>
        <w:gridCol w:w="7640"/>
      </w:tblGrid>
      <w:tr w14:paraId="56EB7D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89" w:hRule="atLeast"/>
        </w:trPr>
        <w:tc>
          <w:tcPr>
            <w:tcW w:w="737" w:type="dxa"/>
            <w:tcBorders>
              <w:bottom w:val="single" w:color="000000" w:sz="2" w:space="0"/>
              <w:right w:val="single" w:color="000000" w:sz="2" w:space="0"/>
            </w:tcBorders>
            <w:vAlign w:val="top"/>
          </w:tcPr>
          <w:p w14:paraId="3FEA054C">
            <w:pPr>
              <w:rPr>
                <w:rFonts w:ascii="Arial"/>
                <w:sz w:val="21"/>
              </w:rPr>
            </w:pPr>
          </w:p>
        </w:tc>
        <w:tc>
          <w:tcPr>
            <w:tcW w:w="7640" w:type="dxa"/>
            <w:tcBorders>
              <w:left w:val="single" w:color="000000" w:sz="2" w:space="0"/>
              <w:bottom w:val="single" w:color="000000" w:sz="2" w:space="0"/>
            </w:tcBorders>
            <w:vAlign w:val="top"/>
          </w:tcPr>
          <w:p w14:paraId="0546F097">
            <w:pPr>
              <w:pStyle w:val="6"/>
              <w:spacing w:before="27" w:line="376" w:lineRule="auto"/>
              <w:ind w:left="11" w:right="6" w:firstLine="422"/>
              <w:rPr>
                <w:rFonts w:ascii="仿宋" w:hAnsi="仿宋" w:eastAsia="仿宋" w:cs="仿宋"/>
                <w:sz w:val="20"/>
                <w:szCs w:val="20"/>
              </w:rPr>
            </w:pPr>
            <w:r>
              <w:rPr>
                <w:rFonts w:ascii="仿宋" w:hAnsi="仿宋" w:eastAsia="仿宋" w:cs="仿宋"/>
                <w:spacing w:val="8"/>
                <w:sz w:val="20"/>
                <w:szCs w:val="20"/>
              </w:rPr>
              <w:t>（</w:t>
            </w:r>
            <w:r>
              <w:rPr>
                <w:spacing w:val="8"/>
                <w:sz w:val="20"/>
                <w:szCs w:val="20"/>
              </w:rPr>
              <w:t>1</w:t>
            </w:r>
            <w:r>
              <w:rPr>
                <w:rFonts w:ascii="仿宋" w:hAnsi="仿宋" w:eastAsia="仿宋" w:cs="仿宋"/>
                <w:spacing w:val="8"/>
                <w:sz w:val="20"/>
                <w:szCs w:val="20"/>
              </w:rPr>
              <w:t>）针对本项目实际情况，施工质量要求严，为保证工程质量和进度，建议工程施工选用专业队伍，尽可能全部采用机械化施工。</w:t>
            </w:r>
          </w:p>
          <w:p w14:paraId="2B3E8C0E">
            <w:pPr>
              <w:pStyle w:val="6"/>
              <w:spacing w:before="1" w:line="376" w:lineRule="auto"/>
              <w:ind w:left="12" w:right="6" w:firstLine="421"/>
              <w:rPr>
                <w:rFonts w:ascii="仿宋" w:hAnsi="仿宋" w:eastAsia="仿宋" w:cs="仿宋"/>
                <w:sz w:val="20"/>
                <w:szCs w:val="20"/>
              </w:rPr>
            </w:pPr>
            <w:r>
              <w:rPr>
                <w:rFonts w:ascii="仿宋" w:hAnsi="仿宋" w:eastAsia="仿宋" w:cs="仿宋"/>
                <w:spacing w:val="8"/>
                <w:sz w:val="20"/>
                <w:szCs w:val="20"/>
              </w:rPr>
              <w:t>（</w:t>
            </w:r>
            <w:r>
              <w:rPr>
                <w:spacing w:val="8"/>
                <w:sz w:val="20"/>
                <w:szCs w:val="20"/>
              </w:rPr>
              <w:t>2</w:t>
            </w:r>
            <w:r>
              <w:rPr>
                <w:rFonts w:ascii="仿宋" w:hAnsi="仿宋" w:eastAsia="仿宋" w:cs="仿宋"/>
                <w:spacing w:val="8"/>
                <w:sz w:val="20"/>
                <w:szCs w:val="20"/>
              </w:rPr>
              <w:t>）由于路线地处寒冷地区冰冻期长，实际施工期短，应合理安排施工组织计</w:t>
            </w:r>
            <w:r>
              <w:rPr>
                <w:rFonts w:ascii="仿宋" w:hAnsi="仿宋" w:eastAsia="仿宋" w:cs="仿宋"/>
                <w:spacing w:val="6"/>
                <w:sz w:val="20"/>
                <w:szCs w:val="20"/>
              </w:rPr>
              <w:t>划，保证按时完工。</w:t>
            </w:r>
          </w:p>
          <w:p w14:paraId="5D502745">
            <w:pPr>
              <w:pStyle w:val="6"/>
              <w:spacing w:line="377" w:lineRule="auto"/>
              <w:ind w:left="11" w:right="6" w:firstLine="422"/>
              <w:rPr>
                <w:rFonts w:ascii="仿宋" w:hAnsi="仿宋" w:eastAsia="仿宋" w:cs="仿宋"/>
                <w:sz w:val="20"/>
                <w:szCs w:val="20"/>
              </w:rPr>
            </w:pPr>
            <w:r>
              <w:rPr>
                <w:rFonts w:ascii="仿宋" w:hAnsi="仿宋" w:eastAsia="仿宋" w:cs="仿宋"/>
                <w:spacing w:val="8"/>
                <w:sz w:val="20"/>
                <w:szCs w:val="20"/>
              </w:rPr>
              <w:t>（</w:t>
            </w:r>
            <w:r>
              <w:rPr>
                <w:spacing w:val="8"/>
                <w:sz w:val="20"/>
                <w:szCs w:val="20"/>
              </w:rPr>
              <w:t>3</w:t>
            </w:r>
            <w:r>
              <w:rPr>
                <w:rFonts w:ascii="仿宋" w:hAnsi="仿宋" w:eastAsia="仿宋" w:cs="仿宋"/>
                <w:spacing w:val="8"/>
                <w:sz w:val="20"/>
                <w:szCs w:val="20"/>
              </w:rPr>
              <w:t>）为避免路基沉陷，在施工中必须保证路基填土的压实度和路面平整度及防渗要求，做好路基路面排水及防护工程。</w:t>
            </w:r>
          </w:p>
          <w:p w14:paraId="31331A5D">
            <w:pPr>
              <w:pStyle w:val="6"/>
              <w:spacing w:line="377" w:lineRule="auto"/>
              <w:ind w:left="9" w:right="6" w:firstLine="425"/>
              <w:rPr>
                <w:rFonts w:ascii="仿宋" w:hAnsi="仿宋" w:eastAsia="仿宋" w:cs="仿宋"/>
                <w:sz w:val="20"/>
                <w:szCs w:val="20"/>
              </w:rPr>
            </w:pPr>
            <w:r>
              <w:rPr>
                <w:rFonts w:ascii="仿宋" w:hAnsi="仿宋" w:eastAsia="仿宋" w:cs="仿宋"/>
                <w:spacing w:val="8"/>
                <w:sz w:val="20"/>
                <w:szCs w:val="20"/>
              </w:rPr>
              <w:t>（</w:t>
            </w:r>
            <w:r>
              <w:rPr>
                <w:spacing w:val="8"/>
                <w:sz w:val="20"/>
                <w:szCs w:val="20"/>
              </w:rPr>
              <w:t>4</w:t>
            </w:r>
            <w:r>
              <w:rPr>
                <w:rFonts w:ascii="仿宋" w:hAnsi="仿宋" w:eastAsia="仿宋" w:cs="仿宋"/>
                <w:spacing w:val="8"/>
                <w:sz w:val="20"/>
                <w:szCs w:val="20"/>
              </w:rPr>
              <w:t>）施工开挖时要集中挖掘材料，严禁乱挖乱掘、随意扩大工作面，禁止随意</w:t>
            </w:r>
            <w:r>
              <w:rPr>
                <w:rFonts w:ascii="仿宋" w:hAnsi="仿宋" w:eastAsia="仿宋" w:cs="仿宋"/>
                <w:spacing w:val="10"/>
                <w:sz w:val="20"/>
                <w:szCs w:val="20"/>
              </w:rPr>
              <w:t>碾压周边植被。挖方路段产生的废方，可依</w:t>
            </w:r>
            <w:r>
              <w:rPr>
                <w:rFonts w:ascii="仿宋" w:hAnsi="仿宋" w:eastAsia="仿宋" w:cs="仿宋"/>
                <w:spacing w:val="9"/>
                <w:sz w:val="20"/>
                <w:szCs w:val="20"/>
              </w:rPr>
              <w:t>路两侧整齐平整临时堆放，必须依设计及时调运，通过合理调配土石方，实现土石方量平</w:t>
            </w:r>
            <w:r>
              <w:rPr>
                <w:rFonts w:ascii="仿宋" w:hAnsi="仿宋" w:eastAsia="仿宋" w:cs="仿宋"/>
                <w:spacing w:val="8"/>
                <w:sz w:val="20"/>
                <w:szCs w:val="20"/>
              </w:rPr>
              <w:t>衡。</w:t>
            </w:r>
          </w:p>
          <w:p w14:paraId="52C93BFE">
            <w:pPr>
              <w:pStyle w:val="6"/>
              <w:spacing w:before="1" w:line="230" w:lineRule="auto"/>
              <w:ind w:left="429"/>
              <w:rPr>
                <w:rFonts w:ascii="仿宋" w:hAnsi="仿宋" w:eastAsia="仿宋" w:cs="仿宋"/>
                <w:sz w:val="20"/>
                <w:szCs w:val="20"/>
              </w:rPr>
            </w:pPr>
            <w:r>
              <w:rPr>
                <w:rFonts w:ascii="仿宋" w:hAnsi="仿宋" w:eastAsia="仿宋" w:cs="仿宋"/>
                <w:spacing w:val="5"/>
                <w:sz w:val="20"/>
                <w:szCs w:val="20"/>
              </w:rPr>
              <w:t>施工进度：本项目施工工期为</w:t>
            </w:r>
            <w:r>
              <w:rPr>
                <w:rFonts w:ascii="仿宋" w:hAnsi="仿宋" w:eastAsia="仿宋" w:cs="仿宋"/>
                <w:spacing w:val="-10"/>
                <w:sz w:val="20"/>
                <w:szCs w:val="20"/>
              </w:rPr>
              <w:t xml:space="preserve"> </w:t>
            </w:r>
            <w:r>
              <w:rPr>
                <w:spacing w:val="5"/>
                <w:sz w:val="20"/>
                <w:szCs w:val="20"/>
              </w:rPr>
              <w:t>12</w:t>
            </w:r>
            <w:r>
              <w:rPr>
                <w:spacing w:val="19"/>
                <w:sz w:val="20"/>
                <w:szCs w:val="20"/>
              </w:rPr>
              <w:t xml:space="preserve"> </w:t>
            </w:r>
            <w:r>
              <w:rPr>
                <w:rFonts w:ascii="仿宋" w:hAnsi="仿宋" w:eastAsia="仿宋" w:cs="仿宋"/>
                <w:spacing w:val="5"/>
                <w:sz w:val="20"/>
                <w:szCs w:val="20"/>
              </w:rPr>
              <w:t>个月。</w:t>
            </w:r>
          </w:p>
          <w:p w14:paraId="5ADA288D">
            <w:pPr>
              <w:pStyle w:val="6"/>
              <w:spacing w:before="159" w:line="232" w:lineRule="auto"/>
              <w:ind w:left="429"/>
              <w:rPr>
                <w:rFonts w:ascii="仿宋" w:hAnsi="仿宋" w:eastAsia="仿宋" w:cs="仿宋"/>
                <w:sz w:val="20"/>
                <w:szCs w:val="20"/>
              </w:rPr>
            </w:pPr>
            <w:r>
              <w:rPr>
                <w:rFonts w:ascii="仿宋" w:hAnsi="仿宋" w:eastAsia="仿宋" w:cs="仿宋"/>
                <w:spacing w:val="7"/>
                <w:sz w:val="20"/>
                <w:szCs w:val="20"/>
              </w:rPr>
              <w:t>施工人数：施工期平均施工人数约为</w:t>
            </w:r>
            <w:r>
              <w:rPr>
                <w:rFonts w:ascii="仿宋" w:hAnsi="仿宋" w:eastAsia="仿宋" w:cs="仿宋"/>
                <w:spacing w:val="-40"/>
                <w:sz w:val="20"/>
                <w:szCs w:val="20"/>
              </w:rPr>
              <w:t xml:space="preserve"> </w:t>
            </w:r>
            <w:r>
              <w:rPr>
                <w:spacing w:val="7"/>
                <w:sz w:val="20"/>
                <w:szCs w:val="20"/>
              </w:rPr>
              <w:t>20</w:t>
            </w:r>
            <w:r>
              <w:rPr>
                <w:spacing w:val="19"/>
                <w:sz w:val="20"/>
                <w:szCs w:val="20"/>
              </w:rPr>
              <w:t xml:space="preserve"> </w:t>
            </w:r>
            <w:r>
              <w:rPr>
                <w:rFonts w:ascii="仿宋" w:hAnsi="仿宋" w:eastAsia="仿宋" w:cs="仿宋"/>
                <w:spacing w:val="7"/>
                <w:sz w:val="20"/>
                <w:szCs w:val="20"/>
              </w:rPr>
              <w:t>人。</w:t>
            </w:r>
          </w:p>
        </w:tc>
      </w:tr>
      <w:tr w14:paraId="3F2F0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90" w:hRule="atLeast"/>
        </w:trPr>
        <w:tc>
          <w:tcPr>
            <w:tcW w:w="737" w:type="dxa"/>
            <w:tcBorders>
              <w:top w:val="single" w:color="000000" w:sz="2" w:space="0"/>
              <w:right w:val="single" w:color="000000" w:sz="2" w:space="0"/>
            </w:tcBorders>
            <w:vAlign w:val="top"/>
          </w:tcPr>
          <w:p w14:paraId="6869ED9D">
            <w:pPr>
              <w:spacing w:line="249" w:lineRule="auto"/>
              <w:rPr>
                <w:rFonts w:ascii="Arial"/>
                <w:sz w:val="21"/>
              </w:rPr>
            </w:pPr>
          </w:p>
          <w:p w14:paraId="13879F62">
            <w:pPr>
              <w:spacing w:line="249" w:lineRule="auto"/>
              <w:rPr>
                <w:rFonts w:ascii="Arial"/>
                <w:sz w:val="21"/>
              </w:rPr>
            </w:pPr>
          </w:p>
          <w:p w14:paraId="44BF6C17">
            <w:pPr>
              <w:spacing w:line="249" w:lineRule="auto"/>
              <w:rPr>
                <w:rFonts w:ascii="Arial"/>
                <w:sz w:val="21"/>
              </w:rPr>
            </w:pPr>
          </w:p>
          <w:p w14:paraId="6B168339">
            <w:pPr>
              <w:spacing w:line="249" w:lineRule="auto"/>
              <w:rPr>
                <w:rFonts w:ascii="Arial"/>
                <w:sz w:val="21"/>
              </w:rPr>
            </w:pPr>
          </w:p>
          <w:p w14:paraId="09B588C3">
            <w:pPr>
              <w:spacing w:line="249" w:lineRule="auto"/>
              <w:rPr>
                <w:rFonts w:ascii="Arial"/>
                <w:sz w:val="21"/>
              </w:rPr>
            </w:pPr>
          </w:p>
          <w:p w14:paraId="24F19B95">
            <w:pPr>
              <w:spacing w:line="249" w:lineRule="auto"/>
              <w:rPr>
                <w:rFonts w:ascii="Arial"/>
                <w:sz w:val="21"/>
              </w:rPr>
            </w:pPr>
          </w:p>
          <w:p w14:paraId="7A5D0120">
            <w:pPr>
              <w:spacing w:line="249" w:lineRule="auto"/>
              <w:rPr>
                <w:rFonts w:ascii="Arial"/>
                <w:sz w:val="21"/>
              </w:rPr>
            </w:pPr>
          </w:p>
          <w:p w14:paraId="0DA2225B">
            <w:pPr>
              <w:spacing w:line="250" w:lineRule="auto"/>
              <w:rPr>
                <w:rFonts w:ascii="Arial"/>
                <w:sz w:val="21"/>
              </w:rPr>
            </w:pPr>
          </w:p>
          <w:p w14:paraId="2676527D">
            <w:pPr>
              <w:spacing w:line="250" w:lineRule="auto"/>
              <w:rPr>
                <w:rFonts w:ascii="Arial"/>
                <w:sz w:val="21"/>
              </w:rPr>
            </w:pPr>
          </w:p>
          <w:p w14:paraId="4E47207D">
            <w:pPr>
              <w:spacing w:line="250" w:lineRule="auto"/>
              <w:rPr>
                <w:rFonts w:ascii="Arial"/>
                <w:sz w:val="21"/>
              </w:rPr>
            </w:pPr>
          </w:p>
          <w:p w14:paraId="4C2E1766">
            <w:pPr>
              <w:spacing w:line="250" w:lineRule="auto"/>
              <w:rPr>
                <w:rFonts w:ascii="Arial"/>
                <w:sz w:val="21"/>
              </w:rPr>
            </w:pPr>
          </w:p>
          <w:p w14:paraId="67174126">
            <w:pPr>
              <w:spacing w:line="250" w:lineRule="auto"/>
              <w:rPr>
                <w:rFonts w:ascii="Arial"/>
                <w:sz w:val="21"/>
              </w:rPr>
            </w:pPr>
          </w:p>
          <w:p w14:paraId="0599DCFD">
            <w:pPr>
              <w:spacing w:line="250" w:lineRule="auto"/>
              <w:rPr>
                <w:rFonts w:ascii="Arial"/>
                <w:sz w:val="21"/>
              </w:rPr>
            </w:pPr>
          </w:p>
          <w:p w14:paraId="6E972FB0">
            <w:pPr>
              <w:spacing w:line="250" w:lineRule="auto"/>
              <w:rPr>
                <w:rFonts w:ascii="Arial"/>
                <w:sz w:val="21"/>
              </w:rPr>
            </w:pPr>
          </w:p>
          <w:p w14:paraId="03FDEB07">
            <w:pPr>
              <w:spacing w:line="250" w:lineRule="auto"/>
              <w:rPr>
                <w:rFonts w:ascii="Arial"/>
                <w:sz w:val="21"/>
              </w:rPr>
            </w:pPr>
          </w:p>
          <w:p w14:paraId="10CB00D2">
            <w:pPr>
              <w:spacing w:line="250" w:lineRule="auto"/>
              <w:rPr>
                <w:rFonts w:ascii="Arial"/>
                <w:sz w:val="21"/>
              </w:rPr>
            </w:pPr>
          </w:p>
          <w:p w14:paraId="6E1C7B63">
            <w:pPr>
              <w:spacing w:before="78" w:line="222" w:lineRule="auto"/>
              <w:ind w:left="21"/>
              <w:rPr>
                <w:rFonts w:ascii="仿宋" w:hAnsi="仿宋" w:eastAsia="仿宋" w:cs="仿宋"/>
                <w:sz w:val="24"/>
                <w:szCs w:val="24"/>
              </w:rPr>
            </w:pPr>
            <w:r>
              <w:rPr>
                <w:rFonts w:ascii="仿宋" w:hAnsi="仿宋" w:eastAsia="仿宋" w:cs="仿宋"/>
                <w:spacing w:val="-9"/>
                <w:sz w:val="24"/>
                <w:szCs w:val="24"/>
              </w:rPr>
              <w:t>其他</w:t>
            </w:r>
          </w:p>
        </w:tc>
        <w:tc>
          <w:tcPr>
            <w:tcW w:w="7640" w:type="dxa"/>
            <w:tcBorders>
              <w:top w:val="single" w:color="000000" w:sz="2" w:space="0"/>
              <w:left w:val="single" w:color="000000" w:sz="2" w:space="0"/>
            </w:tcBorders>
            <w:vAlign w:val="top"/>
          </w:tcPr>
          <w:p w14:paraId="37D6F0E8">
            <w:pPr>
              <w:pStyle w:val="6"/>
              <w:spacing w:before="35" w:line="229" w:lineRule="auto"/>
              <w:ind w:left="440"/>
              <w:rPr>
                <w:rFonts w:ascii="仿宋" w:hAnsi="仿宋" w:eastAsia="仿宋" w:cs="仿宋"/>
                <w:sz w:val="20"/>
                <w:szCs w:val="20"/>
              </w:rPr>
            </w:pPr>
            <w:r>
              <w:rPr>
                <w:spacing w:val="4"/>
                <w:sz w:val="20"/>
                <w:szCs w:val="20"/>
              </w:rPr>
              <w:t>1</w:t>
            </w:r>
            <w:r>
              <w:rPr>
                <w:spacing w:val="-17"/>
                <w:sz w:val="20"/>
                <w:szCs w:val="20"/>
              </w:rPr>
              <w:t xml:space="preserve"> </w:t>
            </w:r>
            <w:r>
              <w:rPr>
                <w:rFonts w:ascii="仿宋" w:hAnsi="仿宋" w:eastAsia="仿宋" w:cs="仿宋"/>
                <w:spacing w:val="4"/>
                <w:sz w:val="20"/>
                <w:szCs w:val="20"/>
              </w:rPr>
              <w:t>、施工依托合理性分析</w:t>
            </w:r>
          </w:p>
          <w:p w14:paraId="0EDC55F7">
            <w:pPr>
              <w:pStyle w:val="6"/>
              <w:spacing w:before="159" w:line="232" w:lineRule="auto"/>
              <w:ind w:left="434"/>
              <w:rPr>
                <w:rFonts w:ascii="仿宋" w:hAnsi="仿宋" w:eastAsia="仿宋" w:cs="仿宋"/>
                <w:sz w:val="20"/>
                <w:szCs w:val="20"/>
              </w:rPr>
            </w:pPr>
            <w:r>
              <w:rPr>
                <w:rFonts w:ascii="仿宋" w:hAnsi="仿宋" w:eastAsia="仿宋" w:cs="仿宋"/>
                <w:spacing w:val="6"/>
                <w:sz w:val="20"/>
                <w:szCs w:val="20"/>
              </w:rPr>
              <w:t>（</w:t>
            </w:r>
            <w:r>
              <w:rPr>
                <w:spacing w:val="6"/>
                <w:sz w:val="20"/>
                <w:szCs w:val="20"/>
              </w:rPr>
              <w:t>1</w:t>
            </w:r>
            <w:r>
              <w:rPr>
                <w:rFonts w:ascii="仿宋" w:hAnsi="仿宋" w:eastAsia="仿宋" w:cs="仿宋"/>
                <w:spacing w:val="6"/>
                <w:sz w:val="20"/>
                <w:szCs w:val="20"/>
              </w:rPr>
              <w:t>）场外交通</w:t>
            </w:r>
          </w:p>
          <w:p w14:paraId="0EF9DB64">
            <w:pPr>
              <w:spacing w:before="157" w:line="377" w:lineRule="auto"/>
              <w:ind w:left="10" w:right="76" w:firstLine="420"/>
              <w:rPr>
                <w:rFonts w:ascii="仿宋" w:hAnsi="仿宋" w:eastAsia="仿宋" w:cs="仿宋"/>
                <w:sz w:val="20"/>
                <w:szCs w:val="20"/>
              </w:rPr>
            </w:pPr>
            <w:r>
              <w:rPr>
                <w:rFonts w:ascii="仿宋" w:hAnsi="仿宋" w:eastAsia="仿宋" w:cs="仿宋"/>
                <w:spacing w:val="9"/>
                <w:sz w:val="20"/>
                <w:szCs w:val="20"/>
              </w:rPr>
              <w:t>本工程主要运输方式以公路为主，担负工程所有建筑材料及工程机械的进场。本地各料场与拟建公路之间均有等级公路、乡镇道路及便道通达，交通运输条件良</w:t>
            </w:r>
            <w:r>
              <w:rPr>
                <w:rFonts w:ascii="仿宋" w:hAnsi="仿宋" w:eastAsia="仿宋" w:cs="仿宋"/>
                <w:spacing w:val="6"/>
                <w:sz w:val="20"/>
                <w:szCs w:val="20"/>
              </w:rPr>
              <w:t>好。外购材料运输方便，</w:t>
            </w:r>
            <w:r>
              <w:rPr>
                <w:rFonts w:ascii="仿宋" w:hAnsi="仿宋" w:eastAsia="仿宋" w:cs="仿宋"/>
                <w:spacing w:val="-52"/>
                <w:sz w:val="20"/>
                <w:szCs w:val="20"/>
              </w:rPr>
              <w:t xml:space="preserve"> </w:t>
            </w:r>
            <w:r>
              <w:rPr>
                <w:rFonts w:ascii="仿宋" w:hAnsi="仿宋" w:eastAsia="仿宋" w:cs="仿宋"/>
                <w:spacing w:val="6"/>
                <w:sz w:val="20"/>
                <w:szCs w:val="20"/>
              </w:rPr>
              <w:t>以汽车运输为主。</w:t>
            </w:r>
          </w:p>
          <w:p w14:paraId="3B936A9F">
            <w:pPr>
              <w:pStyle w:val="6"/>
              <w:spacing w:before="1" w:line="231" w:lineRule="auto"/>
              <w:ind w:left="434"/>
              <w:rPr>
                <w:rFonts w:ascii="仿宋" w:hAnsi="仿宋" w:eastAsia="仿宋" w:cs="仿宋"/>
                <w:sz w:val="20"/>
                <w:szCs w:val="20"/>
              </w:rPr>
            </w:pPr>
            <w:r>
              <w:rPr>
                <w:rFonts w:ascii="仿宋" w:hAnsi="仿宋" w:eastAsia="仿宋" w:cs="仿宋"/>
                <w:spacing w:val="6"/>
                <w:sz w:val="20"/>
                <w:szCs w:val="20"/>
              </w:rPr>
              <w:t>（</w:t>
            </w:r>
            <w:r>
              <w:rPr>
                <w:spacing w:val="6"/>
                <w:sz w:val="20"/>
                <w:szCs w:val="20"/>
              </w:rPr>
              <w:t>2</w:t>
            </w:r>
            <w:r>
              <w:rPr>
                <w:rFonts w:ascii="仿宋" w:hAnsi="仿宋" w:eastAsia="仿宋" w:cs="仿宋"/>
                <w:spacing w:val="6"/>
                <w:sz w:val="20"/>
                <w:szCs w:val="20"/>
              </w:rPr>
              <w:t>）场内交通</w:t>
            </w:r>
          </w:p>
          <w:p w14:paraId="35A7BB42">
            <w:pPr>
              <w:spacing w:before="158" w:line="375" w:lineRule="auto"/>
              <w:ind w:left="9" w:firstLine="418"/>
              <w:rPr>
                <w:rFonts w:ascii="仿宋" w:hAnsi="仿宋" w:eastAsia="仿宋" w:cs="仿宋"/>
                <w:sz w:val="20"/>
                <w:szCs w:val="20"/>
              </w:rPr>
            </w:pPr>
            <w:r>
              <w:rPr>
                <w:rFonts w:ascii="仿宋" w:hAnsi="仿宋" w:eastAsia="仿宋" w:cs="仿宋"/>
                <w:spacing w:val="6"/>
                <w:sz w:val="20"/>
                <w:szCs w:val="20"/>
              </w:rPr>
              <w:t>本项目不设拌和站、预制场，石料、砂砾、水泥混凝土等</w:t>
            </w:r>
            <w:r>
              <w:rPr>
                <w:rFonts w:ascii="仿宋" w:hAnsi="仿宋" w:eastAsia="仿宋" w:cs="仿宋"/>
                <w:spacing w:val="5"/>
                <w:sz w:val="20"/>
                <w:szCs w:val="20"/>
              </w:rPr>
              <w:t>均采用外购方式解决，</w:t>
            </w:r>
            <w:r>
              <w:rPr>
                <w:rFonts w:ascii="仿宋" w:hAnsi="仿宋" w:eastAsia="仿宋" w:cs="仿宋"/>
                <w:spacing w:val="7"/>
                <w:sz w:val="20"/>
                <w:szCs w:val="20"/>
              </w:rPr>
              <w:t>材料运输主要依托已有公路，施工车辆依托已有公路。</w:t>
            </w:r>
          </w:p>
          <w:p w14:paraId="1E2B0B65">
            <w:pPr>
              <w:pStyle w:val="6"/>
              <w:spacing w:before="4" w:line="232" w:lineRule="auto"/>
              <w:ind w:left="434"/>
              <w:rPr>
                <w:rFonts w:ascii="仿宋" w:hAnsi="仿宋" w:eastAsia="仿宋" w:cs="仿宋"/>
                <w:sz w:val="20"/>
                <w:szCs w:val="20"/>
              </w:rPr>
            </w:pPr>
            <w:r>
              <w:rPr>
                <w:rFonts w:ascii="仿宋" w:hAnsi="仿宋" w:eastAsia="仿宋" w:cs="仿宋"/>
                <w:spacing w:val="7"/>
                <w:sz w:val="20"/>
                <w:szCs w:val="20"/>
              </w:rPr>
              <w:t>（</w:t>
            </w:r>
            <w:r>
              <w:rPr>
                <w:spacing w:val="7"/>
                <w:sz w:val="20"/>
                <w:szCs w:val="20"/>
              </w:rPr>
              <w:t>3</w:t>
            </w:r>
            <w:r>
              <w:rPr>
                <w:rFonts w:ascii="仿宋" w:hAnsi="仿宋" w:eastAsia="仿宋" w:cs="仿宋"/>
                <w:spacing w:val="7"/>
                <w:sz w:val="20"/>
                <w:szCs w:val="20"/>
              </w:rPr>
              <w:t>）工程用水及用电</w:t>
            </w:r>
          </w:p>
          <w:p w14:paraId="24CA8BE9">
            <w:pPr>
              <w:spacing w:before="157" w:line="377" w:lineRule="auto"/>
              <w:ind w:left="10" w:right="76" w:firstLine="418"/>
              <w:rPr>
                <w:rFonts w:ascii="仿宋" w:hAnsi="仿宋" w:eastAsia="仿宋" w:cs="仿宋"/>
                <w:sz w:val="20"/>
                <w:szCs w:val="20"/>
              </w:rPr>
            </w:pPr>
            <w:r>
              <w:rPr>
                <w:rFonts w:ascii="仿宋" w:hAnsi="仿宋" w:eastAsia="仿宋" w:cs="仿宋"/>
                <w:spacing w:val="8"/>
                <w:sz w:val="20"/>
                <w:szCs w:val="20"/>
              </w:rPr>
              <w:t>施工人员生活用水、用电均依托附近村庄现有生活设施，沿线水源、</w:t>
            </w:r>
            <w:r>
              <w:rPr>
                <w:rFonts w:ascii="仿宋" w:hAnsi="仿宋" w:eastAsia="仿宋" w:cs="仿宋"/>
                <w:spacing w:val="-49"/>
                <w:sz w:val="20"/>
                <w:szCs w:val="20"/>
              </w:rPr>
              <w:t xml:space="preserve"> </w:t>
            </w:r>
            <w:r>
              <w:rPr>
                <w:rFonts w:ascii="仿宋" w:hAnsi="仿宋" w:eastAsia="仿宋" w:cs="仿宋"/>
                <w:spacing w:val="8"/>
                <w:sz w:val="20"/>
                <w:szCs w:val="20"/>
              </w:rPr>
              <w:t>电力供可</w:t>
            </w:r>
            <w:r>
              <w:rPr>
                <w:rFonts w:ascii="仿宋" w:hAnsi="仿宋" w:eastAsia="仿宋" w:cs="仿宋"/>
                <w:spacing w:val="7"/>
                <w:sz w:val="20"/>
                <w:szCs w:val="20"/>
              </w:rPr>
              <w:t>满足工程用电需求。</w:t>
            </w:r>
          </w:p>
        </w:tc>
      </w:tr>
    </w:tbl>
    <w:p w14:paraId="196D4357">
      <w:pPr>
        <w:pStyle w:val="2"/>
        <w:rPr>
          <w:sz w:val="21"/>
        </w:rPr>
      </w:pPr>
    </w:p>
    <w:p w14:paraId="289D3123">
      <w:pPr>
        <w:rPr>
          <w:sz w:val="21"/>
          <w:szCs w:val="21"/>
        </w:rPr>
        <w:sectPr>
          <w:footerReference r:id="rId42" w:type="default"/>
          <w:pgSz w:w="11907" w:h="16840"/>
          <w:pgMar w:top="400" w:right="1757" w:bottom="1446" w:left="1757" w:header="0" w:footer="1284" w:gutter="0"/>
          <w:cols w:space="720" w:num="1"/>
        </w:sectPr>
      </w:pPr>
    </w:p>
    <w:p w14:paraId="58674F6E">
      <w:pPr>
        <w:pStyle w:val="2"/>
        <w:spacing w:line="245" w:lineRule="auto"/>
        <w:rPr>
          <w:sz w:val="21"/>
        </w:rPr>
      </w:pPr>
    </w:p>
    <w:p w14:paraId="5A15C2D2">
      <w:pPr>
        <w:pStyle w:val="2"/>
        <w:spacing w:line="245" w:lineRule="auto"/>
        <w:rPr>
          <w:sz w:val="21"/>
        </w:rPr>
      </w:pPr>
    </w:p>
    <w:p w14:paraId="1DC2E789">
      <w:pPr>
        <w:pStyle w:val="2"/>
        <w:spacing w:line="245" w:lineRule="auto"/>
        <w:rPr>
          <w:sz w:val="21"/>
        </w:rPr>
      </w:pPr>
    </w:p>
    <w:p w14:paraId="1D7BC6FD">
      <w:pPr>
        <w:pStyle w:val="2"/>
        <w:spacing w:line="246" w:lineRule="auto"/>
        <w:rPr>
          <w:sz w:val="21"/>
        </w:rPr>
      </w:pPr>
    </w:p>
    <w:p w14:paraId="6CC54D64">
      <w:pPr>
        <w:spacing w:before="97" w:line="222" w:lineRule="auto"/>
        <w:ind w:left="1944"/>
        <w:outlineLvl w:val="0"/>
        <w:rPr>
          <w:rFonts w:ascii="黑体" w:hAnsi="黑体" w:eastAsia="黑体" w:cs="黑体"/>
          <w:sz w:val="30"/>
          <w:szCs w:val="30"/>
        </w:rPr>
      </w:pPr>
      <w:r>
        <w:rPr>
          <w:rFonts w:ascii="黑体" w:hAnsi="黑体" w:eastAsia="黑体" w:cs="黑体"/>
          <w:spacing w:val="-1"/>
          <w:sz w:val="30"/>
          <w:szCs w:val="30"/>
        </w:rPr>
        <w:t>三、生态环境现状、保护目标及评价标准</w:t>
      </w:r>
    </w:p>
    <w:p w14:paraId="3D8C102D">
      <w:pPr>
        <w:spacing w:line="178" w:lineRule="exact"/>
      </w:pPr>
    </w:p>
    <w:tbl>
      <w:tblPr>
        <w:tblStyle w:val="5"/>
        <w:tblW w:w="860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28"/>
        <w:gridCol w:w="7878"/>
      </w:tblGrid>
      <w:tr w14:paraId="274BEB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079" w:hRule="atLeast"/>
        </w:trPr>
        <w:tc>
          <w:tcPr>
            <w:tcW w:w="728" w:type="dxa"/>
            <w:tcBorders>
              <w:right w:val="single" w:color="000000" w:sz="2" w:space="0"/>
            </w:tcBorders>
            <w:vAlign w:val="top"/>
          </w:tcPr>
          <w:p w14:paraId="52E5CE19">
            <w:pPr>
              <w:spacing w:line="242" w:lineRule="auto"/>
              <w:rPr>
                <w:rFonts w:ascii="Arial"/>
                <w:sz w:val="21"/>
              </w:rPr>
            </w:pPr>
          </w:p>
          <w:p w14:paraId="1B6C25CB">
            <w:pPr>
              <w:spacing w:line="242" w:lineRule="auto"/>
              <w:rPr>
                <w:rFonts w:ascii="Arial"/>
                <w:sz w:val="21"/>
              </w:rPr>
            </w:pPr>
          </w:p>
          <w:p w14:paraId="38801B12">
            <w:pPr>
              <w:spacing w:line="242" w:lineRule="auto"/>
              <w:rPr>
                <w:rFonts w:ascii="Arial"/>
                <w:sz w:val="21"/>
              </w:rPr>
            </w:pPr>
          </w:p>
          <w:p w14:paraId="579FB591">
            <w:pPr>
              <w:spacing w:line="242" w:lineRule="auto"/>
              <w:rPr>
                <w:rFonts w:ascii="Arial"/>
                <w:sz w:val="21"/>
              </w:rPr>
            </w:pPr>
          </w:p>
          <w:p w14:paraId="1A6A541B">
            <w:pPr>
              <w:spacing w:line="242" w:lineRule="auto"/>
              <w:rPr>
                <w:rFonts w:ascii="Arial"/>
                <w:sz w:val="21"/>
              </w:rPr>
            </w:pPr>
          </w:p>
          <w:p w14:paraId="3265FEE6">
            <w:pPr>
              <w:spacing w:line="242" w:lineRule="auto"/>
              <w:rPr>
                <w:rFonts w:ascii="Arial"/>
                <w:sz w:val="21"/>
              </w:rPr>
            </w:pPr>
          </w:p>
          <w:p w14:paraId="6D6EB413">
            <w:pPr>
              <w:spacing w:line="242" w:lineRule="auto"/>
              <w:rPr>
                <w:rFonts w:ascii="Arial"/>
                <w:sz w:val="21"/>
              </w:rPr>
            </w:pPr>
          </w:p>
          <w:p w14:paraId="10214253">
            <w:pPr>
              <w:spacing w:line="242" w:lineRule="auto"/>
              <w:rPr>
                <w:rFonts w:ascii="Arial"/>
                <w:sz w:val="21"/>
              </w:rPr>
            </w:pPr>
          </w:p>
          <w:p w14:paraId="79C453C0">
            <w:pPr>
              <w:spacing w:line="242" w:lineRule="auto"/>
              <w:rPr>
                <w:rFonts w:ascii="Arial"/>
                <w:sz w:val="21"/>
              </w:rPr>
            </w:pPr>
          </w:p>
          <w:p w14:paraId="5282FE96">
            <w:pPr>
              <w:spacing w:line="242" w:lineRule="auto"/>
              <w:rPr>
                <w:rFonts w:ascii="Arial"/>
                <w:sz w:val="21"/>
              </w:rPr>
            </w:pPr>
          </w:p>
          <w:p w14:paraId="5B2546D9">
            <w:pPr>
              <w:spacing w:line="242" w:lineRule="auto"/>
              <w:rPr>
                <w:rFonts w:ascii="Arial"/>
                <w:sz w:val="21"/>
              </w:rPr>
            </w:pPr>
          </w:p>
          <w:p w14:paraId="6FD1FD2A">
            <w:pPr>
              <w:spacing w:line="242" w:lineRule="auto"/>
              <w:rPr>
                <w:rFonts w:ascii="Arial"/>
                <w:sz w:val="21"/>
              </w:rPr>
            </w:pPr>
          </w:p>
          <w:p w14:paraId="767F7CE7">
            <w:pPr>
              <w:spacing w:line="242" w:lineRule="auto"/>
              <w:rPr>
                <w:rFonts w:ascii="Arial"/>
                <w:sz w:val="21"/>
              </w:rPr>
            </w:pPr>
          </w:p>
          <w:p w14:paraId="6C1C101C">
            <w:pPr>
              <w:spacing w:line="242" w:lineRule="auto"/>
              <w:rPr>
                <w:rFonts w:ascii="Arial"/>
                <w:sz w:val="21"/>
              </w:rPr>
            </w:pPr>
          </w:p>
          <w:p w14:paraId="7DC481D5">
            <w:pPr>
              <w:spacing w:line="243" w:lineRule="auto"/>
              <w:rPr>
                <w:rFonts w:ascii="Arial"/>
                <w:sz w:val="21"/>
              </w:rPr>
            </w:pPr>
          </w:p>
          <w:p w14:paraId="7302E579">
            <w:pPr>
              <w:spacing w:line="243" w:lineRule="auto"/>
              <w:rPr>
                <w:rFonts w:ascii="Arial"/>
                <w:sz w:val="21"/>
              </w:rPr>
            </w:pPr>
          </w:p>
          <w:p w14:paraId="6EA1BC26">
            <w:pPr>
              <w:spacing w:line="243" w:lineRule="auto"/>
              <w:rPr>
                <w:rFonts w:ascii="Arial"/>
                <w:sz w:val="21"/>
              </w:rPr>
            </w:pPr>
          </w:p>
          <w:p w14:paraId="52068321">
            <w:pPr>
              <w:spacing w:line="243" w:lineRule="auto"/>
              <w:rPr>
                <w:rFonts w:ascii="Arial"/>
                <w:sz w:val="21"/>
              </w:rPr>
            </w:pPr>
          </w:p>
          <w:p w14:paraId="577E3374">
            <w:pPr>
              <w:spacing w:line="243" w:lineRule="auto"/>
              <w:rPr>
                <w:rFonts w:ascii="Arial"/>
                <w:sz w:val="21"/>
              </w:rPr>
            </w:pPr>
          </w:p>
          <w:p w14:paraId="39284B1E">
            <w:pPr>
              <w:spacing w:line="243" w:lineRule="auto"/>
              <w:rPr>
                <w:rFonts w:ascii="Arial"/>
                <w:sz w:val="21"/>
              </w:rPr>
            </w:pPr>
          </w:p>
          <w:p w14:paraId="1B277D04">
            <w:pPr>
              <w:spacing w:line="243" w:lineRule="auto"/>
              <w:rPr>
                <w:rFonts w:ascii="Arial"/>
                <w:sz w:val="21"/>
              </w:rPr>
            </w:pPr>
          </w:p>
          <w:p w14:paraId="3F435DE9">
            <w:pPr>
              <w:spacing w:line="243" w:lineRule="auto"/>
              <w:rPr>
                <w:rFonts w:ascii="Arial"/>
                <w:sz w:val="21"/>
              </w:rPr>
            </w:pPr>
          </w:p>
          <w:p w14:paraId="29FCFA52">
            <w:pPr>
              <w:spacing w:line="243" w:lineRule="auto"/>
              <w:rPr>
                <w:rFonts w:ascii="Arial"/>
                <w:sz w:val="21"/>
              </w:rPr>
            </w:pPr>
          </w:p>
          <w:p w14:paraId="0D49C378">
            <w:pPr>
              <w:spacing w:line="243" w:lineRule="auto"/>
              <w:rPr>
                <w:rFonts w:ascii="Arial"/>
                <w:sz w:val="21"/>
              </w:rPr>
            </w:pPr>
          </w:p>
          <w:p w14:paraId="4B1C0CAB">
            <w:pPr>
              <w:spacing w:line="243" w:lineRule="auto"/>
              <w:rPr>
                <w:rFonts w:ascii="Arial"/>
                <w:sz w:val="21"/>
              </w:rPr>
            </w:pPr>
          </w:p>
          <w:p w14:paraId="2A657EF1">
            <w:pPr>
              <w:spacing w:before="65" w:line="251" w:lineRule="auto"/>
              <w:ind w:left="158" w:right="155" w:firstLine="12"/>
              <w:jc w:val="both"/>
              <w:rPr>
                <w:rFonts w:ascii="仿宋" w:hAnsi="仿宋" w:eastAsia="仿宋" w:cs="仿宋"/>
                <w:sz w:val="20"/>
                <w:szCs w:val="20"/>
              </w:rPr>
            </w:pPr>
            <w:r>
              <w:rPr>
                <w:rFonts w:ascii="仿宋" w:hAnsi="仿宋" w:eastAsia="仿宋" w:cs="仿宋"/>
                <w:spacing w:val="-5"/>
                <w:sz w:val="20"/>
                <w:szCs w:val="20"/>
              </w:rPr>
              <w:t>生态</w:t>
            </w:r>
            <w:r>
              <w:rPr>
                <w:rFonts w:ascii="仿宋" w:hAnsi="仿宋" w:eastAsia="仿宋" w:cs="仿宋"/>
                <w:spacing w:val="2"/>
                <w:sz w:val="20"/>
                <w:szCs w:val="20"/>
              </w:rPr>
              <w:t>环境现状</w:t>
            </w:r>
          </w:p>
        </w:tc>
        <w:tc>
          <w:tcPr>
            <w:tcW w:w="7878" w:type="dxa"/>
            <w:tcBorders>
              <w:left w:val="single" w:color="000000" w:sz="2" w:space="0"/>
            </w:tcBorders>
            <w:vAlign w:val="top"/>
          </w:tcPr>
          <w:p w14:paraId="3E24ACE6">
            <w:pPr>
              <w:pStyle w:val="6"/>
              <w:spacing w:before="36" w:line="229" w:lineRule="auto"/>
              <w:ind w:left="532"/>
              <w:rPr>
                <w:rFonts w:ascii="仿宋" w:hAnsi="仿宋" w:eastAsia="仿宋" w:cs="仿宋"/>
                <w:sz w:val="20"/>
                <w:szCs w:val="20"/>
              </w:rPr>
            </w:pPr>
            <w:r>
              <w:rPr>
                <w:b/>
                <w:bCs/>
                <w:spacing w:val="5"/>
                <w:sz w:val="20"/>
                <w:szCs w:val="20"/>
              </w:rPr>
              <w:t>1</w:t>
            </w:r>
            <w:r>
              <w:rPr>
                <w:b/>
                <w:bCs/>
                <w:spacing w:val="-7"/>
                <w:sz w:val="20"/>
                <w:szCs w:val="20"/>
              </w:rPr>
              <w:t xml:space="preserve"> </w:t>
            </w:r>
            <w:r>
              <w:rPr>
                <w:rFonts w:ascii="仿宋" w:hAnsi="仿宋" w:eastAsia="仿宋" w:cs="仿宋"/>
                <w:b/>
                <w:bCs/>
                <w:spacing w:val="5"/>
                <w:sz w:val="20"/>
                <w:szCs w:val="20"/>
              </w:rPr>
              <w:t>、生态环境现状（详见生态影响专项评价）</w:t>
            </w:r>
          </w:p>
          <w:p w14:paraId="74F0BFF9">
            <w:pPr>
              <w:pStyle w:val="6"/>
              <w:spacing w:before="159" w:line="230" w:lineRule="auto"/>
              <w:ind w:left="537"/>
              <w:rPr>
                <w:rFonts w:ascii="仿宋" w:hAnsi="仿宋" w:eastAsia="仿宋" w:cs="仿宋"/>
                <w:sz w:val="20"/>
                <w:szCs w:val="20"/>
              </w:rPr>
            </w:pPr>
            <w:r>
              <w:rPr>
                <w:rFonts w:ascii="仿宋" w:hAnsi="仿宋" w:eastAsia="仿宋" w:cs="仿宋"/>
                <w:spacing w:val="7"/>
                <w:sz w:val="20"/>
                <w:szCs w:val="20"/>
              </w:rPr>
              <w:t>（</w:t>
            </w:r>
            <w:r>
              <w:rPr>
                <w:spacing w:val="7"/>
                <w:sz w:val="20"/>
                <w:szCs w:val="20"/>
              </w:rPr>
              <w:t>1</w:t>
            </w:r>
            <w:r>
              <w:rPr>
                <w:rFonts w:ascii="仿宋" w:hAnsi="仿宋" w:eastAsia="仿宋" w:cs="仿宋"/>
                <w:spacing w:val="7"/>
                <w:sz w:val="20"/>
                <w:szCs w:val="20"/>
              </w:rPr>
              <w:t>）主体功能区划</w:t>
            </w:r>
          </w:p>
          <w:p w14:paraId="63BCFCA8">
            <w:pPr>
              <w:spacing w:before="159" w:line="377" w:lineRule="auto"/>
              <w:ind w:left="112" w:right="51" w:firstLine="420"/>
              <w:jc w:val="both"/>
              <w:rPr>
                <w:rFonts w:ascii="仿宋" w:hAnsi="仿宋" w:eastAsia="仿宋" w:cs="仿宋"/>
                <w:sz w:val="20"/>
                <w:szCs w:val="20"/>
              </w:rPr>
            </w:pPr>
            <w:r>
              <w:rPr>
                <w:rFonts w:ascii="仿宋" w:hAnsi="仿宋" w:eastAsia="仿宋" w:cs="仿宋"/>
                <w:spacing w:val="8"/>
                <w:sz w:val="20"/>
                <w:szCs w:val="20"/>
              </w:rPr>
              <w:t>根据《内蒙古自治区主体功能区规划》将全区国土空间划分为以下主体功能区：</w:t>
            </w:r>
            <w:r>
              <w:rPr>
                <w:rFonts w:ascii="仿宋" w:hAnsi="仿宋" w:eastAsia="仿宋" w:cs="仿宋"/>
                <w:spacing w:val="7"/>
                <w:sz w:val="20"/>
                <w:szCs w:val="20"/>
              </w:rPr>
              <w:t>按开发方式，划分为重点开发区域、限制开发区域和禁止开发区域</w:t>
            </w:r>
            <w:r>
              <w:rPr>
                <w:rFonts w:ascii="仿宋" w:hAnsi="仿宋" w:eastAsia="仿宋" w:cs="仿宋"/>
                <w:spacing w:val="6"/>
                <w:sz w:val="20"/>
                <w:szCs w:val="20"/>
              </w:rPr>
              <w:t>；按开发内容，划</w:t>
            </w:r>
            <w:r>
              <w:rPr>
                <w:rFonts w:ascii="仿宋" w:hAnsi="仿宋" w:eastAsia="仿宋" w:cs="仿宋"/>
                <w:spacing w:val="7"/>
                <w:sz w:val="20"/>
                <w:szCs w:val="20"/>
              </w:rPr>
              <w:t>分为城市化地区、农产品主产区和重点生态功能区；按层次</w:t>
            </w:r>
            <w:r>
              <w:rPr>
                <w:rFonts w:ascii="仿宋" w:hAnsi="仿宋" w:eastAsia="仿宋" w:cs="仿宋"/>
                <w:spacing w:val="6"/>
                <w:sz w:val="20"/>
                <w:szCs w:val="20"/>
              </w:rPr>
              <w:t>，划分为国家级和自治区</w:t>
            </w:r>
            <w:r>
              <w:rPr>
                <w:rFonts w:ascii="仿宋" w:hAnsi="仿宋" w:eastAsia="仿宋" w:cs="仿宋"/>
                <w:spacing w:val="7"/>
                <w:sz w:val="20"/>
                <w:szCs w:val="20"/>
              </w:rPr>
              <w:t>级两个层面。本项目所在地准格尔旗属于国家级重点开发区域，</w:t>
            </w:r>
            <w:r>
              <w:rPr>
                <w:rFonts w:ascii="仿宋" w:hAnsi="仿宋" w:eastAsia="仿宋" w:cs="仿宋"/>
                <w:spacing w:val="6"/>
                <w:sz w:val="20"/>
                <w:szCs w:val="20"/>
              </w:rPr>
              <w:t>项目建设符合主体功</w:t>
            </w:r>
            <w:r>
              <w:rPr>
                <w:rFonts w:ascii="仿宋" w:hAnsi="仿宋" w:eastAsia="仿宋" w:cs="仿宋"/>
                <w:spacing w:val="5"/>
                <w:sz w:val="20"/>
                <w:szCs w:val="20"/>
              </w:rPr>
              <w:t>能区划定位。</w:t>
            </w:r>
          </w:p>
          <w:p w14:paraId="086AC8A7">
            <w:pPr>
              <w:pStyle w:val="6"/>
              <w:spacing w:line="230" w:lineRule="auto"/>
              <w:ind w:left="537"/>
              <w:rPr>
                <w:rFonts w:ascii="仿宋" w:hAnsi="仿宋" w:eastAsia="仿宋" w:cs="仿宋"/>
                <w:sz w:val="20"/>
                <w:szCs w:val="20"/>
              </w:rPr>
            </w:pPr>
            <w:r>
              <w:rPr>
                <w:rFonts w:ascii="仿宋" w:hAnsi="仿宋" w:eastAsia="仿宋" w:cs="仿宋"/>
                <w:spacing w:val="7"/>
                <w:sz w:val="20"/>
                <w:szCs w:val="20"/>
              </w:rPr>
              <w:t>（</w:t>
            </w:r>
            <w:r>
              <w:rPr>
                <w:spacing w:val="7"/>
                <w:sz w:val="20"/>
                <w:szCs w:val="20"/>
              </w:rPr>
              <w:t>2</w:t>
            </w:r>
            <w:r>
              <w:rPr>
                <w:rFonts w:ascii="仿宋" w:hAnsi="仿宋" w:eastAsia="仿宋" w:cs="仿宋"/>
                <w:spacing w:val="7"/>
                <w:sz w:val="20"/>
                <w:szCs w:val="20"/>
              </w:rPr>
              <w:t>）生态功能区概况</w:t>
            </w:r>
          </w:p>
          <w:p w14:paraId="0FCCF14D">
            <w:pPr>
              <w:spacing w:before="158" w:line="377" w:lineRule="auto"/>
              <w:ind w:left="111" w:right="45" w:firstLine="421"/>
              <w:rPr>
                <w:rFonts w:ascii="仿宋" w:hAnsi="仿宋" w:eastAsia="仿宋" w:cs="仿宋"/>
                <w:sz w:val="20"/>
                <w:szCs w:val="20"/>
              </w:rPr>
            </w:pPr>
            <w:r>
              <w:rPr>
                <w:rFonts w:ascii="仿宋" w:hAnsi="仿宋" w:eastAsia="仿宋" w:cs="仿宋"/>
                <w:spacing w:val="7"/>
                <w:sz w:val="20"/>
                <w:szCs w:val="20"/>
              </w:rPr>
              <w:t>项目位于鄂尔多斯市准格尔旗，分属两大生态</w:t>
            </w:r>
            <w:r>
              <w:rPr>
                <w:rFonts w:ascii="仿宋" w:hAnsi="仿宋" w:eastAsia="仿宋" w:cs="仿宋"/>
                <w:spacing w:val="6"/>
                <w:sz w:val="20"/>
                <w:szCs w:val="20"/>
              </w:rPr>
              <w:t>功能区：北部黄土丘陵段为准格尔</w:t>
            </w:r>
            <w:r>
              <w:rPr>
                <w:rFonts w:ascii="仿宋" w:hAnsi="仿宋" w:eastAsia="仿宋" w:cs="仿宋"/>
                <w:spacing w:val="7"/>
                <w:sz w:val="20"/>
                <w:szCs w:val="20"/>
              </w:rPr>
              <w:t>黄土丘陵沟壑农田草原水土保持生态功能区，属黄河粗泥沙重点来</w:t>
            </w:r>
            <w:r>
              <w:rPr>
                <w:rFonts w:ascii="仿宋" w:hAnsi="仿宋" w:eastAsia="仿宋" w:cs="仿宋"/>
                <w:spacing w:val="6"/>
                <w:sz w:val="20"/>
                <w:szCs w:val="20"/>
              </w:rPr>
              <w:t>源区，主导功能为</w:t>
            </w:r>
            <w:r>
              <w:rPr>
                <w:rFonts w:ascii="仿宋" w:hAnsi="仿宋" w:eastAsia="仿宋" w:cs="仿宋"/>
                <w:spacing w:val="7"/>
                <w:sz w:val="20"/>
                <w:szCs w:val="20"/>
              </w:rPr>
              <w:t>水土保持、拦蓄入黄泥沙，区域砒砂岩易侵蚀、工矿扰动、林</w:t>
            </w:r>
            <w:r>
              <w:rPr>
                <w:rFonts w:ascii="仿宋" w:hAnsi="仿宋" w:eastAsia="仿宋" w:cs="仿宋"/>
                <w:spacing w:val="6"/>
                <w:sz w:val="20"/>
                <w:szCs w:val="20"/>
              </w:rPr>
              <w:t>分单一、水资源短缺等</w:t>
            </w:r>
            <w:r>
              <w:rPr>
                <w:rFonts w:ascii="仿宋" w:hAnsi="仿宋" w:eastAsia="仿宋" w:cs="仿宋"/>
                <w:spacing w:val="3"/>
                <w:sz w:val="20"/>
                <w:szCs w:val="20"/>
              </w:rPr>
              <w:t>生态问题突出；沿黄平原段为土默特平原灌溉农业生态功能区，是全市核心</w:t>
            </w:r>
            <w:r>
              <w:rPr>
                <w:rFonts w:ascii="仿宋" w:hAnsi="仿宋" w:eastAsia="仿宋" w:cs="仿宋"/>
                <w:spacing w:val="2"/>
                <w:sz w:val="20"/>
                <w:szCs w:val="20"/>
              </w:rPr>
              <w:t>灌溉农区，</w:t>
            </w:r>
            <w:r>
              <w:rPr>
                <w:rFonts w:ascii="仿宋" w:hAnsi="仿宋" w:eastAsia="仿宋" w:cs="仿宋"/>
                <w:spacing w:val="7"/>
                <w:sz w:val="20"/>
                <w:szCs w:val="20"/>
              </w:rPr>
              <w:t>主导功能为农业稳产、沿黄水质缓冲，存在土壤次生盐渍化、农业</w:t>
            </w:r>
            <w:r>
              <w:rPr>
                <w:rFonts w:ascii="仿宋" w:hAnsi="仿宋" w:eastAsia="仿宋" w:cs="仿宋"/>
                <w:spacing w:val="6"/>
                <w:sz w:val="20"/>
                <w:szCs w:val="20"/>
              </w:rPr>
              <w:t>面源污染、地下水</w:t>
            </w:r>
            <w:r>
              <w:rPr>
                <w:rFonts w:ascii="仿宋" w:hAnsi="仿宋" w:eastAsia="仿宋" w:cs="仿宋"/>
                <w:spacing w:val="8"/>
                <w:sz w:val="20"/>
                <w:szCs w:val="20"/>
              </w:rPr>
              <w:t>超采、农田生态单一等问题。</w:t>
            </w:r>
          </w:p>
          <w:p w14:paraId="274D0F38">
            <w:pPr>
              <w:pStyle w:val="6"/>
              <w:spacing w:before="3" w:line="232" w:lineRule="auto"/>
              <w:ind w:left="537"/>
              <w:rPr>
                <w:rFonts w:ascii="仿宋" w:hAnsi="仿宋" w:eastAsia="仿宋" w:cs="仿宋"/>
                <w:sz w:val="20"/>
                <w:szCs w:val="20"/>
              </w:rPr>
            </w:pPr>
            <w:r>
              <w:rPr>
                <w:rFonts w:ascii="仿宋" w:hAnsi="仿宋" w:eastAsia="仿宋" w:cs="仿宋"/>
                <w:spacing w:val="6"/>
                <w:sz w:val="20"/>
                <w:szCs w:val="20"/>
              </w:rPr>
              <w:t>（</w:t>
            </w:r>
            <w:r>
              <w:rPr>
                <w:spacing w:val="6"/>
                <w:sz w:val="20"/>
                <w:szCs w:val="20"/>
              </w:rPr>
              <w:t>3</w:t>
            </w:r>
            <w:r>
              <w:rPr>
                <w:rFonts w:ascii="仿宋" w:hAnsi="仿宋" w:eastAsia="仿宋" w:cs="仿宋"/>
                <w:spacing w:val="6"/>
                <w:sz w:val="20"/>
                <w:szCs w:val="20"/>
              </w:rPr>
              <w:t>）调查方法</w:t>
            </w:r>
          </w:p>
          <w:p w14:paraId="3BC082B7">
            <w:pPr>
              <w:pStyle w:val="6"/>
              <w:spacing w:before="155" w:line="377" w:lineRule="auto"/>
              <w:ind w:left="113" w:right="103" w:firstLine="420"/>
              <w:rPr>
                <w:rFonts w:ascii="仿宋" w:hAnsi="仿宋" w:eastAsia="仿宋" w:cs="仿宋"/>
                <w:sz w:val="20"/>
                <w:szCs w:val="20"/>
              </w:rPr>
            </w:pPr>
            <w:r>
              <w:rPr>
                <w:rFonts w:ascii="仿宋" w:hAnsi="仿宋" w:eastAsia="仿宋" w:cs="仿宋"/>
                <w:spacing w:val="6"/>
                <w:sz w:val="20"/>
                <w:szCs w:val="20"/>
              </w:rPr>
              <w:t>依据《环境影响评价技术导则</w:t>
            </w:r>
            <w:r>
              <w:rPr>
                <w:rFonts w:ascii="仿宋" w:hAnsi="仿宋" w:eastAsia="仿宋" w:cs="仿宋"/>
                <w:spacing w:val="35"/>
                <w:sz w:val="20"/>
                <w:szCs w:val="20"/>
              </w:rPr>
              <w:t xml:space="preserve"> </w:t>
            </w:r>
            <w:r>
              <w:rPr>
                <w:rFonts w:ascii="仿宋" w:hAnsi="仿宋" w:eastAsia="仿宋" w:cs="仿宋"/>
                <w:spacing w:val="6"/>
                <w:sz w:val="20"/>
                <w:szCs w:val="20"/>
              </w:rPr>
              <w:t>生态影响》（</w:t>
            </w:r>
            <w:r>
              <w:rPr>
                <w:sz w:val="20"/>
                <w:szCs w:val="20"/>
              </w:rPr>
              <w:t>HJ</w:t>
            </w:r>
            <w:r>
              <w:rPr>
                <w:spacing w:val="6"/>
                <w:sz w:val="20"/>
                <w:szCs w:val="20"/>
              </w:rPr>
              <w:t>19-20</w:t>
            </w:r>
            <w:r>
              <w:rPr>
                <w:spacing w:val="5"/>
                <w:sz w:val="20"/>
                <w:szCs w:val="20"/>
              </w:rPr>
              <w:t>22</w:t>
            </w:r>
            <w:r>
              <w:rPr>
                <w:rFonts w:ascii="仿宋" w:hAnsi="仿宋" w:eastAsia="仿宋" w:cs="仿宋"/>
                <w:spacing w:val="2"/>
                <w:sz w:val="20"/>
                <w:szCs w:val="20"/>
              </w:rPr>
              <w:t>），</w:t>
            </w:r>
            <w:r>
              <w:rPr>
                <w:rFonts w:ascii="仿宋" w:hAnsi="仿宋" w:eastAsia="仿宋" w:cs="仿宋"/>
                <w:spacing w:val="5"/>
                <w:sz w:val="20"/>
                <w:szCs w:val="20"/>
              </w:rPr>
              <w:t>采用资料收集、现场实地走访、</w:t>
            </w:r>
            <w:r>
              <w:rPr>
                <w:spacing w:val="5"/>
                <w:sz w:val="20"/>
                <w:szCs w:val="20"/>
              </w:rPr>
              <w:t>2026</w:t>
            </w:r>
            <w:r>
              <w:rPr>
                <w:spacing w:val="36"/>
                <w:sz w:val="20"/>
                <w:szCs w:val="20"/>
              </w:rPr>
              <w:t xml:space="preserve"> </w:t>
            </w:r>
            <w:r>
              <w:rPr>
                <w:rFonts w:ascii="仿宋" w:hAnsi="仿宋" w:eastAsia="仿宋" w:cs="仿宋"/>
                <w:spacing w:val="5"/>
                <w:sz w:val="20"/>
                <w:szCs w:val="20"/>
              </w:rPr>
              <w:t>年</w:t>
            </w:r>
            <w:r>
              <w:rPr>
                <w:rFonts w:ascii="仿宋" w:hAnsi="仿宋" w:eastAsia="仿宋" w:cs="仿宋"/>
                <w:spacing w:val="-39"/>
                <w:sz w:val="20"/>
                <w:szCs w:val="20"/>
              </w:rPr>
              <w:t xml:space="preserve"> </w:t>
            </w:r>
            <w:r>
              <w:rPr>
                <w:spacing w:val="5"/>
                <w:sz w:val="20"/>
                <w:szCs w:val="20"/>
              </w:rPr>
              <w:t>6</w:t>
            </w:r>
            <w:r>
              <w:rPr>
                <w:spacing w:val="28"/>
                <w:sz w:val="20"/>
                <w:szCs w:val="20"/>
              </w:rPr>
              <w:t xml:space="preserve"> </w:t>
            </w:r>
            <w:r>
              <w:rPr>
                <w:rFonts w:ascii="仿宋" w:hAnsi="仿宋" w:eastAsia="仿宋" w:cs="仿宋"/>
                <w:spacing w:val="5"/>
                <w:sz w:val="20"/>
                <w:szCs w:val="20"/>
              </w:rPr>
              <w:t>月哨兵</w:t>
            </w:r>
            <w:r>
              <w:rPr>
                <w:rFonts w:ascii="仿宋" w:hAnsi="仿宋" w:eastAsia="仿宋" w:cs="仿宋"/>
                <w:spacing w:val="-43"/>
                <w:sz w:val="20"/>
                <w:szCs w:val="20"/>
              </w:rPr>
              <w:t xml:space="preserve"> </w:t>
            </w:r>
            <w:r>
              <w:rPr>
                <w:spacing w:val="5"/>
                <w:sz w:val="20"/>
                <w:szCs w:val="20"/>
              </w:rPr>
              <w:t>2</w:t>
            </w:r>
            <w:r>
              <w:rPr>
                <w:spacing w:val="23"/>
                <w:sz w:val="20"/>
                <w:szCs w:val="20"/>
              </w:rPr>
              <w:t xml:space="preserve"> </w:t>
            </w:r>
            <w:r>
              <w:rPr>
                <w:rFonts w:ascii="仿宋" w:hAnsi="仿宋" w:eastAsia="仿宋" w:cs="仿宋"/>
                <w:spacing w:val="5"/>
                <w:sz w:val="20"/>
                <w:szCs w:val="20"/>
              </w:rPr>
              <w:t>号</w:t>
            </w:r>
            <w:r>
              <w:rPr>
                <w:rFonts w:ascii="仿宋" w:hAnsi="仿宋" w:eastAsia="仿宋" w:cs="仿宋"/>
                <w:spacing w:val="-23"/>
                <w:sz w:val="20"/>
                <w:szCs w:val="20"/>
              </w:rPr>
              <w:t xml:space="preserve"> </w:t>
            </w:r>
            <w:r>
              <w:rPr>
                <w:spacing w:val="5"/>
                <w:sz w:val="20"/>
                <w:szCs w:val="20"/>
              </w:rPr>
              <w:t>10m</w:t>
            </w:r>
            <w:r>
              <w:rPr>
                <w:spacing w:val="17"/>
                <w:w w:val="101"/>
                <w:sz w:val="20"/>
                <w:szCs w:val="20"/>
              </w:rPr>
              <w:t xml:space="preserve"> </w:t>
            </w:r>
            <w:r>
              <w:rPr>
                <w:rFonts w:ascii="仿宋" w:hAnsi="仿宋" w:eastAsia="仿宋" w:cs="仿宋"/>
                <w:spacing w:val="5"/>
                <w:sz w:val="20"/>
                <w:szCs w:val="20"/>
              </w:rPr>
              <w:t>分辨率卫星遥感解译等方式开展评价；遥感解</w:t>
            </w:r>
            <w:r>
              <w:rPr>
                <w:rFonts w:ascii="仿宋" w:hAnsi="仿宋" w:eastAsia="仿宋" w:cs="仿宋"/>
                <w:spacing w:val="7"/>
                <w:sz w:val="20"/>
                <w:szCs w:val="20"/>
              </w:rPr>
              <w:t>译范围为各线路中心线两侧外延</w:t>
            </w:r>
            <w:r>
              <w:rPr>
                <w:rFonts w:ascii="仿宋" w:hAnsi="仿宋" w:eastAsia="仿宋" w:cs="仿宋"/>
                <w:spacing w:val="-33"/>
                <w:sz w:val="20"/>
                <w:szCs w:val="20"/>
              </w:rPr>
              <w:t xml:space="preserve"> </w:t>
            </w:r>
            <w:r>
              <w:rPr>
                <w:spacing w:val="7"/>
                <w:sz w:val="20"/>
                <w:szCs w:val="20"/>
              </w:rPr>
              <w:t>300m</w:t>
            </w:r>
            <w:r>
              <w:rPr>
                <w:rFonts w:ascii="仿宋" w:hAnsi="仿宋" w:eastAsia="仿宋" w:cs="仿宋"/>
                <w:spacing w:val="7"/>
                <w:sz w:val="20"/>
                <w:szCs w:val="20"/>
              </w:rPr>
              <w:t>。</w:t>
            </w:r>
          </w:p>
          <w:p w14:paraId="1602ECDF">
            <w:pPr>
              <w:pStyle w:val="6"/>
              <w:spacing w:line="230" w:lineRule="auto"/>
              <w:ind w:left="537"/>
              <w:rPr>
                <w:rFonts w:ascii="仿宋" w:hAnsi="仿宋" w:eastAsia="仿宋" w:cs="仿宋"/>
                <w:sz w:val="20"/>
                <w:szCs w:val="20"/>
              </w:rPr>
            </w:pPr>
            <w:r>
              <w:rPr>
                <w:rFonts w:ascii="仿宋" w:hAnsi="仿宋" w:eastAsia="仿宋" w:cs="仿宋"/>
                <w:spacing w:val="8"/>
                <w:sz w:val="20"/>
                <w:szCs w:val="20"/>
              </w:rPr>
              <w:t>（</w:t>
            </w:r>
            <w:r>
              <w:rPr>
                <w:spacing w:val="8"/>
                <w:sz w:val="20"/>
                <w:szCs w:val="20"/>
              </w:rPr>
              <w:t>4</w:t>
            </w:r>
            <w:r>
              <w:rPr>
                <w:rFonts w:ascii="仿宋" w:hAnsi="仿宋" w:eastAsia="仿宋" w:cs="仿宋"/>
                <w:spacing w:val="8"/>
                <w:sz w:val="20"/>
                <w:szCs w:val="20"/>
              </w:rPr>
              <w:t>）评价区土地利用现状</w:t>
            </w:r>
          </w:p>
          <w:p w14:paraId="7C5A7BBB">
            <w:pPr>
              <w:pStyle w:val="6"/>
              <w:spacing w:before="159" w:line="377" w:lineRule="auto"/>
              <w:ind w:left="106" w:right="48" w:firstLine="426"/>
              <w:rPr>
                <w:rFonts w:ascii="仿宋" w:hAnsi="仿宋" w:eastAsia="仿宋" w:cs="仿宋"/>
                <w:sz w:val="20"/>
                <w:szCs w:val="20"/>
              </w:rPr>
            </w:pPr>
            <w:r>
              <w:rPr>
                <w:rFonts w:ascii="仿宋" w:hAnsi="仿宋" w:eastAsia="仿宋" w:cs="仿宋"/>
                <w:spacing w:val="3"/>
                <w:sz w:val="20"/>
                <w:szCs w:val="20"/>
              </w:rPr>
              <w:t>根据遥感解译，评价范围总面积</w:t>
            </w:r>
            <w:r>
              <w:rPr>
                <w:rFonts w:ascii="仿宋" w:hAnsi="仿宋" w:eastAsia="仿宋" w:cs="仿宋"/>
                <w:spacing w:val="30"/>
                <w:sz w:val="20"/>
                <w:szCs w:val="20"/>
              </w:rPr>
              <w:t xml:space="preserve"> </w:t>
            </w:r>
            <w:r>
              <w:rPr>
                <w:spacing w:val="3"/>
                <w:sz w:val="20"/>
                <w:szCs w:val="20"/>
              </w:rPr>
              <w:t>1810.61</w:t>
            </w:r>
            <w:r>
              <w:rPr>
                <w:sz w:val="20"/>
                <w:szCs w:val="20"/>
              </w:rPr>
              <w:t>hm</w:t>
            </w:r>
            <w:r>
              <w:rPr>
                <w:spacing w:val="3"/>
                <w:sz w:val="20"/>
                <w:szCs w:val="20"/>
              </w:rPr>
              <w:t>²</w:t>
            </w:r>
            <w:r>
              <w:rPr>
                <w:spacing w:val="-19"/>
                <w:sz w:val="20"/>
                <w:szCs w:val="20"/>
              </w:rPr>
              <w:t xml:space="preserve"> </w:t>
            </w:r>
            <w:r>
              <w:rPr>
                <w:rFonts w:ascii="仿宋" w:hAnsi="仿宋" w:eastAsia="仿宋" w:cs="仿宋"/>
                <w:spacing w:val="3"/>
                <w:sz w:val="20"/>
                <w:szCs w:val="20"/>
              </w:rPr>
              <w:t>,</w:t>
            </w:r>
            <w:r>
              <w:rPr>
                <w:rFonts w:ascii="仿宋" w:hAnsi="仿宋" w:eastAsia="仿宋" w:cs="仿宋"/>
                <w:spacing w:val="53"/>
                <w:sz w:val="20"/>
                <w:szCs w:val="20"/>
              </w:rPr>
              <w:t xml:space="preserve"> </w:t>
            </w:r>
            <w:r>
              <w:rPr>
                <w:rFonts w:ascii="仿宋" w:hAnsi="仿宋" w:eastAsia="仿宋" w:cs="仿宋"/>
                <w:spacing w:val="3"/>
                <w:sz w:val="20"/>
                <w:szCs w:val="20"/>
              </w:rPr>
              <w:t>共</w:t>
            </w:r>
            <w:r>
              <w:rPr>
                <w:rFonts w:ascii="仿宋" w:hAnsi="仿宋" w:eastAsia="仿宋" w:cs="仿宋"/>
                <w:spacing w:val="-21"/>
                <w:sz w:val="20"/>
                <w:szCs w:val="20"/>
              </w:rPr>
              <w:t xml:space="preserve"> </w:t>
            </w:r>
            <w:r>
              <w:rPr>
                <w:spacing w:val="3"/>
                <w:sz w:val="20"/>
                <w:szCs w:val="20"/>
              </w:rPr>
              <w:t>153</w:t>
            </w:r>
            <w:r>
              <w:rPr>
                <w:spacing w:val="2"/>
                <w:sz w:val="20"/>
                <w:szCs w:val="20"/>
              </w:rPr>
              <w:t>1</w:t>
            </w:r>
            <w:r>
              <w:rPr>
                <w:spacing w:val="16"/>
                <w:w w:val="101"/>
                <w:sz w:val="20"/>
                <w:szCs w:val="20"/>
              </w:rPr>
              <w:t xml:space="preserve"> </w:t>
            </w:r>
            <w:r>
              <w:rPr>
                <w:rFonts w:ascii="仿宋" w:hAnsi="仿宋" w:eastAsia="仿宋" w:cs="仿宋"/>
                <w:spacing w:val="2"/>
                <w:sz w:val="20"/>
                <w:szCs w:val="20"/>
              </w:rPr>
              <w:t>个斑块，林、草、耕地为绝对主体，合计占比</w:t>
            </w:r>
            <w:r>
              <w:rPr>
                <w:rFonts w:ascii="仿宋" w:hAnsi="仿宋" w:eastAsia="仿宋" w:cs="仿宋"/>
                <w:spacing w:val="-32"/>
                <w:sz w:val="20"/>
                <w:szCs w:val="20"/>
              </w:rPr>
              <w:t xml:space="preserve"> </w:t>
            </w:r>
            <w:r>
              <w:rPr>
                <w:spacing w:val="2"/>
                <w:sz w:val="20"/>
                <w:szCs w:val="20"/>
              </w:rPr>
              <w:t>99.66%</w:t>
            </w:r>
            <w:r>
              <w:rPr>
                <w:spacing w:val="-23"/>
                <w:sz w:val="20"/>
                <w:szCs w:val="20"/>
              </w:rPr>
              <w:t xml:space="preserve"> </w:t>
            </w:r>
            <w:r>
              <w:rPr>
                <w:rFonts w:ascii="仿宋" w:hAnsi="仿宋" w:eastAsia="仿宋" w:cs="仿宋"/>
                <w:spacing w:val="2"/>
                <w:sz w:val="20"/>
                <w:szCs w:val="20"/>
              </w:rPr>
              <w:t>，人为开发强度低；项目总占地</w:t>
            </w:r>
            <w:r>
              <w:rPr>
                <w:rFonts w:ascii="仿宋" w:hAnsi="仿宋" w:eastAsia="仿宋" w:cs="仿宋"/>
                <w:spacing w:val="-22"/>
                <w:sz w:val="20"/>
                <w:szCs w:val="20"/>
              </w:rPr>
              <w:t xml:space="preserve"> </w:t>
            </w:r>
            <w:r>
              <w:rPr>
                <w:spacing w:val="2"/>
                <w:sz w:val="20"/>
                <w:szCs w:val="20"/>
              </w:rPr>
              <w:t>13.58</w:t>
            </w:r>
            <w:r>
              <w:rPr>
                <w:sz w:val="20"/>
                <w:szCs w:val="20"/>
              </w:rPr>
              <w:t>hm</w:t>
            </w:r>
            <w:r>
              <w:rPr>
                <w:spacing w:val="2"/>
                <w:sz w:val="20"/>
                <w:szCs w:val="20"/>
              </w:rPr>
              <w:t>²</w:t>
            </w:r>
            <w:r>
              <w:rPr>
                <w:spacing w:val="-22"/>
                <w:sz w:val="20"/>
                <w:szCs w:val="20"/>
              </w:rPr>
              <w:t xml:space="preserve"> </w:t>
            </w:r>
            <w:r>
              <w:rPr>
                <w:rFonts w:ascii="仿宋" w:hAnsi="仿宋" w:eastAsia="仿宋" w:cs="仿宋"/>
                <w:spacing w:val="2"/>
                <w:sz w:val="20"/>
                <w:szCs w:val="20"/>
              </w:rPr>
              <w:t>,</w:t>
            </w:r>
            <w:r>
              <w:rPr>
                <w:rFonts w:ascii="仿宋" w:hAnsi="仿宋" w:eastAsia="仿宋" w:cs="仿宋"/>
                <w:spacing w:val="45"/>
                <w:sz w:val="20"/>
                <w:szCs w:val="20"/>
              </w:rPr>
              <w:t xml:space="preserve"> </w:t>
            </w:r>
            <w:r>
              <w:rPr>
                <w:rFonts w:ascii="仿宋" w:hAnsi="仿宋" w:eastAsia="仿宋" w:cs="仿宋"/>
                <w:spacing w:val="2"/>
                <w:sz w:val="20"/>
                <w:szCs w:val="20"/>
              </w:rPr>
              <w:t>无耕地占用；</w:t>
            </w:r>
            <w:r>
              <w:rPr>
                <w:rFonts w:ascii="仿宋" w:hAnsi="仿宋" w:eastAsia="仿宋" w:cs="仿宋"/>
                <w:sz w:val="20"/>
                <w:szCs w:val="20"/>
              </w:rPr>
              <w:t xml:space="preserve"> </w:t>
            </w:r>
            <w:r>
              <w:rPr>
                <w:spacing w:val="7"/>
                <w:sz w:val="20"/>
                <w:szCs w:val="20"/>
              </w:rPr>
              <w:t>73.03%</w:t>
            </w:r>
            <w:r>
              <w:rPr>
                <w:rFonts w:ascii="仿宋" w:hAnsi="仿宋" w:eastAsia="仿宋" w:cs="仿宋"/>
                <w:spacing w:val="7"/>
                <w:sz w:val="20"/>
                <w:szCs w:val="20"/>
              </w:rPr>
              <w:t>为既有农村道路（无植被硬化地面</w:t>
            </w:r>
            <w:r>
              <w:rPr>
                <w:rFonts w:ascii="仿宋" w:hAnsi="仿宋" w:eastAsia="仿宋" w:cs="仿宋"/>
                <w:spacing w:val="27"/>
                <w:sz w:val="20"/>
                <w:szCs w:val="20"/>
              </w:rPr>
              <w:t>），</w:t>
            </w:r>
            <w:r>
              <w:rPr>
                <w:rFonts w:ascii="仿宋" w:hAnsi="仿宋" w:eastAsia="仿宋" w:cs="仿宋"/>
                <w:spacing w:val="7"/>
                <w:sz w:val="20"/>
                <w:szCs w:val="20"/>
              </w:rPr>
              <w:t>原生林草地仅占</w:t>
            </w:r>
            <w:r>
              <w:rPr>
                <w:rFonts w:ascii="仿宋" w:hAnsi="仿宋" w:eastAsia="仿宋" w:cs="仿宋"/>
                <w:spacing w:val="-40"/>
                <w:sz w:val="20"/>
                <w:szCs w:val="20"/>
              </w:rPr>
              <w:t xml:space="preserve"> </w:t>
            </w:r>
            <w:r>
              <w:rPr>
                <w:spacing w:val="7"/>
                <w:sz w:val="20"/>
                <w:szCs w:val="20"/>
              </w:rPr>
              <w:t>26.44%</w:t>
            </w:r>
            <w:r>
              <w:rPr>
                <w:spacing w:val="-21"/>
                <w:sz w:val="20"/>
                <w:szCs w:val="20"/>
              </w:rPr>
              <w:t xml:space="preserve"> </w:t>
            </w:r>
            <w:r>
              <w:rPr>
                <w:rFonts w:ascii="仿宋" w:hAnsi="仿宋" w:eastAsia="仿宋" w:cs="仿宋"/>
                <w:spacing w:val="7"/>
                <w:sz w:val="20"/>
                <w:szCs w:val="20"/>
              </w:rPr>
              <w:t>，其中灌木林</w:t>
            </w:r>
            <w:r>
              <w:rPr>
                <w:rFonts w:ascii="仿宋" w:hAnsi="仿宋" w:eastAsia="仿宋" w:cs="仿宋"/>
                <w:spacing w:val="5"/>
                <w:sz w:val="20"/>
                <w:szCs w:val="20"/>
              </w:rPr>
              <w:t>地</w:t>
            </w:r>
            <w:r>
              <w:rPr>
                <w:rFonts w:ascii="仿宋" w:hAnsi="仿宋" w:eastAsia="仿宋" w:cs="仿宋"/>
                <w:spacing w:val="-23"/>
                <w:sz w:val="20"/>
                <w:szCs w:val="20"/>
              </w:rPr>
              <w:t xml:space="preserve"> </w:t>
            </w:r>
            <w:r>
              <w:rPr>
                <w:spacing w:val="5"/>
                <w:sz w:val="20"/>
                <w:szCs w:val="20"/>
              </w:rPr>
              <w:t>11.80%</w:t>
            </w:r>
            <w:r>
              <w:rPr>
                <w:spacing w:val="-20"/>
                <w:sz w:val="20"/>
                <w:szCs w:val="20"/>
              </w:rPr>
              <w:t xml:space="preserve"> </w:t>
            </w:r>
            <w:r>
              <w:rPr>
                <w:rFonts w:ascii="仿宋" w:hAnsi="仿宋" w:eastAsia="仿宋" w:cs="仿宋"/>
                <w:spacing w:val="5"/>
                <w:sz w:val="20"/>
                <w:szCs w:val="20"/>
              </w:rPr>
              <w:t>、天然牧草地</w:t>
            </w:r>
            <w:r>
              <w:rPr>
                <w:rFonts w:ascii="仿宋" w:hAnsi="仿宋" w:eastAsia="仿宋" w:cs="仿宋"/>
                <w:spacing w:val="-37"/>
                <w:sz w:val="20"/>
                <w:szCs w:val="20"/>
              </w:rPr>
              <w:t xml:space="preserve"> </w:t>
            </w:r>
            <w:r>
              <w:rPr>
                <w:spacing w:val="5"/>
                <w:sz w:val="20"/>
                <w:szCs w:val="20"/>
              </w:rPr>
              <w:t>7.62%</w:t>
            </w:r>
            <w:r>
              <w:rPr>
                <w:spacing w:val="-20"/>
                <w:sz w:val="20"/>
                <w:szCs w:val="20"/>
              </w:rPr>
              <w:t xml:space="preserve"> </w:t>
            </w:r>
            <w:r>
              <w:rPr>
                <w:rFonts w:ascii="仿宋" w:hAnsi="仿宋" w:eastAsia="仿宋" w:cs="仿宋"/>
                <w:spacing w:val="5"/>
                <w:sz w:val="20"/>
                <w:szCs w:val="20"/>
              </w:rPr>
              <w:t>，乔木林占用极少，无成片成熟林</w:t>
            </w:r>
            <w:r>
              <w:rPr>
                <w:rFonts w:ascii="仿宋" w:hAnsi="仿宋" w:eastAsia="仿宋" w:cs="仿宋"/>
                <w:spacing w:val="4"/>
                <w:sz w:val="20"/>
                <w:szCs w:val="20"/>
              </w:rPr>
              <w:t>地。</w:t>
            </w:r>
          </w:p>
          <w:p w14:paraId="5A64170F">
            <w:pPr>
              <w:pStyle w:val="6"/>
              <w:spacing w:line="229" w:lineRule="auto"/>
              <w:ind w:left="537"/>
              <w:rPr>
                <w:rFonts w:ascii="仿宋" w:hAnsi="仿宋" w:eastAsia="仿宋" w:cs="仿宋"/>
                <w:sz w:val="20"/>
                <w:szCs w:val="20"/>
              </w:rPr>
            </w:pPr>
            <w:r>
              <w:rPr>
                <w:rFonts w:ascii="仿宋" w:hAnsi="仿宋" w:eastAsia="仿宋" w:cs="仿宋"/>
                <w:spacing w:val="7"/>
                <w:sz w:val="20"/>
                <w:szCs w:val="20"/>
              </w:rPr>
              <w:t>（</w:t>
            </w:r>
            <w:r>
              <w:rPr>
                <w:spacing w:val="7"/>
                <w:sz w:val="20"/>
                <w:szCs w:val="20"/>
              </w:rPr>
              <w:t>5</w:t>
            </w:r>
            <w:r>
              <w:rPr>
                <w:rFonts w:ascii="仿宋" w:hAnsi="仿宋" w:eastAsia="仿宋" w:cs="仿宋"/>
                <w:spacing w:val="7"/>
                <w:sz w:val="20"/>
                <w:szCs w:val="20"/>
              </w:rPr>
              <w:t>）植物资源现状</w:t>
            </w:r>
          </w:p>
          <w:p w14:paraId="42B96ADA">
            <w:pPr>
              <w:pStyle w:val="6"/>
              <w:spacing w:before="162" w:line="376" w:lineRule="auto"/>
              <w:ind w:left="115" w:right="103" w:firstLine="416"/>
              <w:rPr>
                <w:rFonts w:ascii="仿宋" w:hAnsi="仿宋" w:eastAsia="仿宋" w:cs="仿宋"/>
                <w:sz w:val="20"/>
                <w:szCs w:val="20"/>
              </w:rPr>
            </w:pPr>
            <w:r>
              <w:rPr>
                <w:rFonts w:ascii="仿宋" w:hAnsi="仿宋" w:eastAsia="仿宋" w:cs="仿宋"/>
                <w:spacing w:val="7"/>
                <w:sz w:val="20"/>
                <w:szCs w:val="20"/>
              </w:rPr>
              <w:t>植被区划：隶属欧亚草原植物区</w:t>
            </w:r>
            <w:r>
              <w:rPr>
                <w:spacing w:val="7"/>
                <w:sz w:val="20"/>
                <w:szCs w:val="20"/>
              </w:rPr>
              <w:t>—</w:t>
            </w:r>
            <w:r>
              <w:rPr>
                <w:rFonts w:ascii="仿宋" w:hAnsi="仿宋" w:eastAsia="仿宋" w:cs="仿宋"/>
                <w:spacing w:val="7"/>
                <w:sz w:val="20"/>
                <w:szCs w:val="20"/>
              </w:rPr>
              <w:t>黄土高原草原</w:t>
            </w:r>
            <w:r>
              <w:rPr>
                <w:rFonts w:ascii="仿宋" w:hAnsi="仿宋" w:eastAsia="仿宋" w:cs="仿宋"/>
                <w:spacing w:val="6"/>
                <w:sz w:val="20"/>
                <w:szCs w:val="20"/>
              </w:rPr>
              <w:t>省鄂尔多斯高原州，暖温型典型</w:t>
            </w:r>
            <w:r>
              <w:rPr>
                <w:rFonts w:ascii="仿宋" w:hAnsi="仿宋" w:eastAsia="仿宋" w:cs="仿宋"/>
                <w:spacing w:val="7"/>
                <w:sz w:val="20"/>
                <w:szCs w:val="20"/>
              </w:rPr>
              <w:t>草原亚带，地带性原生植被为本氏针茅</w:t>
            </w:r>
            <w:r>
              <w:rPr>
                <w:spacing w:val="7"/>
                <w:sz w:val="20"/>
                <w:szCs w:val="20"/>
              </w:rPr>
              <w:t>+</w:t>
            </w:r>
            <w:r>
              <w:rPr>
                <w:spacing w:val="-12"/>
                <w:sz w:val="20"/>
                <w:szCs w:val="20"/>
              </w:rPr>
              <w:t xml:space="preserve"> </w:t>
            </w:r>
            <w:r>
              <w:rPr>
                <w:rFonts w:ascii="仿宋" w:hAnsi="仿宋" w:eastAsia="仿宋" w:cs="仿宋"/>
                <w:spacing w:val="7"/>
                <w:sz w:val="20"/>
                <w:szCs w:val="20"/>
              </w:rPr>
              <w:t>百里香群落；</w:t>
            </w:r>
          </w:p>
          <w:p w14:paraId="09CFDFFC">
            <w:pPr>
              <w:spacing w:before="2" w:line="376" w:lineRule="auto"/>
              <w:ind w:left="117" w:right="103" w:firstLine="415"/>
              <w:rPr>
                <w:rFonts w:ascii="仿宋" w:hAnsi="仿宋" w:eastAsia="仿宋" w:cs="仿宋"/>
                <w:sz w:val="20"/>
                <w:szCs w:val="20"/>
              </w:rPr>
            </w:pPr>
            <w:r>
              <w:rPr>
                <w:rFonts w:ascii="仿宋" w:hAnsi="仿宋" w:eastAsia="仿宋" w:cs="仿宋"/>
                <w:spacing w:val="7"/>
                <w:sz w:val="20"/>
                <w:szCs w:val="20"/>
              </w:rPr>
              <w:t>物种情况：区域优势乡土物种为柠条锦鸡儿、</w:t>
            </w:r>
            <w:r>
              <w:rPr>
                <w:rFonts w:ascii="仿宋" w:hAnsi="仿宋" w:eastAsia="仿宋" w:cs="仿宋"/>
                <w:spacing w:val="6"/>
                <w:sz w:val="20"/>
                <w:szCs w:val="20"/>
              </w:rPr>
              <w:t>杏树、白榆、羊草、芨芨草等；经全域调查，未发现国家、</w:t>
            </w:r>
            <w:r>
              <w:rPr>
                <w:rFonts w:ascii="仿宋" w:hAnsi="仿宋" w:eastAsia="仿宋" w:cs="仿宋"/>
                <w:spacing w:val="-27"/>
                <w:sz w:val="20"/>
                <w:szCs w:val="20"/>
              </w:rPr>
              <w:t xml:space="preserve"> </w:t>
            </w:r>
            <w:r>
              <w:rPr>
                <w:rFonts w:ascii="仿宋" w:hAnsi="仿宋" w:eastAsia="仿宋" w:cs="仿宋"/>
                <w:spacing w:val="6"/>
                <w:sz w:val="20"/>
                <w:szCs w:val="20"/>
              </w:rPr>
              <w:t>自治区级珍稀濒危保护野生植物；</w:t>
            </w:r>
          </w:p>
          <w:p w14:paraId="5EFDCA77">
            <w:pPr>
              <w:pStyle w:val="6"/>
              <w:spacing w:before="2" w:line="377" w:lineRule="auto"/>
              <w:ind w:left="114" w:right="45" w:firstLine="417"/>
              <w:jc w:val="both"/>
              <w:rPr>
                <w:rFonts w:ascii="仿宋" w:hAnsi="仿宋" w:eastAsia="仿宋" w:cs="仿宋"/>
                <w:sz w:val="20"/>
                <w:szCs w:val="20"/>
              </w:rPr>
            </w:pPr>
            <w:r>
              <w:rPr>
                <w:rFonts w:ascii="仿宋" w:hAnsi="仿宋" w:eastAsia="仿宋" w:cs="仿宋"/>
                <w:spacing w:val="1"/>
                <w:sz w:val="20"/>
                <w:szCs w:val="20"/>
              </w:rPr>
              <w:t>植被结构：评价区自然植被（林、灌、草、滩涂）</w:t>
            </w:r>
            <w:r>
              <w:rPr>
                <w:rFonts w:ascii="仿宋" w:hAnsi="仿宋" w:eastAsia="仿宋" w:cs="仿宋"/>
                <w:spacing w:val="-58"/>
                <w:sz w:val="20"/>
                <w:szCs w:val="20"/>
              </w:rPr>
              <w:t xml:space="preserve"> </w:t>
            </w:r>
            <w:r>
              <w:rPr>
                <w:rFonts w:ascii="仿宋" w:hAnsi="仿宋" w:eastAsia="仿宋" w:cs="仿宋"/>
                <w:spacing w:val="1"/>
                <w:sz w:val="20"/>
                <w:szCs w:val="20"/>
              </w:rPr>
              <w:t>占</w:t>
            </w:r>
            <w:r>
              <w:rPr>
                <w:rFonts w:ascii="仿宋" w:hAnsi="仿宋" w:eastAsia="仿宋" w:cs="仿宋"/>
                <w:spacing w:val="-36"/>
                <w:sz w:val="20"/>
                <w:szCs w:val="20"/>
              </w:rPr>
              <w:t xml:space="preserve"> </w:t>
            </w:r>
            <w:r>
              <w:rPr>
                <w:spacing w:val="1"/>
                <w:sz w:val="20"/>
                <w:szCs w:val="20"/>
              </w:rPr>
              <w:t>65.</w:t>
            </w:r>
            <w:r>
              <w:rPr>
                <w:spacing w:val="-25"/>
                <w:sz w:val="20"/>
                <w:szCs w:val="20"/>
              </w:rPr>
              <w:t xml:space="preserve"> </w:t>
            </w:r>
            <w:r>
              <w:rPr>
                <w:spacing w:val="1"/>
                <w:sz w:val="20"/>
                <w:szCs w:val="20"/>
              </w:rPr>
              <w:t>19%</w:t>
            </w:r>
            <w:r>
              <w:rPr>
                <w:spacing w:val="-23"/>
                <w:sz w:val="20"/>
                <w:szCs w:val="20"/>
              </w:rPr>
              <w:t xml:space="preserve"> </w:t>
            </w:r>
            <w:r>
              <w:rPr>
                <w:rFonts w:ascii="仿宋" w:hAnsi="仿宋" w:eastAsia="仿宋" w:cs="仿宋"/>
                <w:spacing w:val="1"/>
                <w:sz w:val="20"/>
                <w:szCs w:val="20"/>
              </w:rPr>
              <w:t>，农田植被</w:t>
            </w:r>
            <w:r>
              <w:rPr>
                <w:rFonts w:ascii="仿宋" w:hAnsi="仿宋" w:eastAsia="仿宋" w:cs="仿宋"/>
                <w:spacing w:val="-40"/>
                <w:sz w:val="20"/>
                <w:szCs w:val="20"/>
              </w:rPr>
              <w:t xml:space="preserve"> </w:t>
            </w:r>
            <w:r>
              <w:rPr>
                <w:spacing w:val="1"/>
                <w:sz w:val="20"/>
                <w:szCs w:val="20"/>
              </w:rPr>
              <w:t>29.4</w:t>
            </w:r>
            <w:r>
              <w:rPr>
                <w:sz w:val="20"/>
                <w:szCs w:val="20"/>
              </w:rPr>
              <w:t>1%</w:t>
            </w:r>
            <w:r>
              <w:rPr>
                <w:rFonts w:ascii="仿宋" w:hAnsi="仿宋" w:eastAsia="仿宋" w:cs="仿宋"/>
                <w:sz w:val="20"/>
                <w:szCs w:val="20"/>
              </w:rPr>
              <w:t>，</w:t>
            </w:r>
            <w:r>
              <w:rPr>
                <w:rFonts w:ascii="仿宋" w:hAnsi="仿宋" w:eastAsia="仿宋" w:cs="仿宋"/>
                <w:spacing w:val="7"/>
                <w:sz w:val="20"/>
                <w:szCs w:val="20"/>
              </w:rPr>
              <w:t>无植被硬化</w:t>
            </w:r>
            <w:r>
              <w:rPr>
                <w:spacing w:val="7"/>
                <w:sz w:val="20"/>
                <w:szCs w:val="20"/>
              </w:rPr>
              <w:t>/</w:t>
            </w:r>
            <w:r>
              <w:rPr>
                <w:rFonts w:ascii="仿宋" w:hAnsi="仿宋" w:eastAsia="仿宋" w:cs="仿宋"/>
                <w:spacing w:val="7"/>
                <w:sz w:val="20"/>
                <w:szCs w:val="20"/>
              </w:rPr>
              <w:t>裸地</w:t>
            </w:r>
            <w:r>
              <w:rPr>
                <w:rFonts w:ascii="仿宋" w:hAnsi="仿宋" w:eastAsia="仿宋" w:cs="仿宋"/>
                <w:spacing w:val="-35"/>
                <w:sz w:val="20"/>
                <w:szCs w:val="20"/>
              </w:rPr>
              <w:t xml:space="preserve"> </w:t>
            </w:r>
            <w:r>
              <w:rPr>
                <w:spacing w:val="7"/>
                <w:sz w:val="20"/>
                <w:szCs w:val="20"/>
              </w:rPr>
              <w:t>5.40%</w:t>
            </w:r>
            <w:r>
              <w:rPr>
                <w:rFonts w:ascii="仿宋" w:hAnsi="仿宋" w:eastAsia="仿宋" w:cs="仿宋"/>
                <w:spacing w:val="7"/>
                <w:sz w:val="20"/>
                <w:szCs w:val="20"/>
              </w:rPr>
              <w:t>；</w:t>
            </w:r>
            <w:r>
              <w:rPr>
                <w:rFonts w:ascii="仿宋" w:hAnsi="仿宋" w:eastAsia="仿宋" w:cs="仿宋"/>
                <w:spacing w:val="-41"/>
                <w:sz w:val="20"/>
                <w:szCs w:val="20"/>
              </w:rPr>
              <w:t xml:space="preserve"> </w:t>
            </w:r>
            <w:r>
              <w:rPr>
                <w:rFonts w:ascii="仿宋" w:hAnsi="仿宋" w:eastAsia="仿宋" w:cs="仿宋"/>
                <w:spacing w:val="7"/>
                <w:sz w:val="20"/>
                <w:szCs w:val="20"/>
              </w:rPr>
              <w:t>占地内植被以柠条灌丛、针茅草原为主，不占</w:t>
            </w:r>
            <w:r>
              <w:rPr>
                <w:rFonts w:ascii="仿宋" w:hAnsi="仿宋" w:eastAsia="仿宋" w:cs="仿宋"/>
                <w:spacing w:val="6"/>
                <w:sz w:val="20"/>
                <w:szCs w:val="20"/>
              </w:rPr>
              <w:t>用农田、滩</w:t>
            </w:r>
            <w:r>
              <w:rPr>
                <w:rFonts w:ascii="仿宋" w:hAnsi="仿宋" w:eastAsia="仿宋" w:cs="仿宋"/>
                <w:spacing w:val="8"/>
                <w:sz w:val="20"/>
                <w:szCs w:val="20"/>
              </w:rPr>
              <w:t>涂植被，原生植被侵占规模有限。</w:t>
            </w:r>
          </w:p>
          <w:p w14:paraId="73A88A37">
            <w:pPr>
              <w:pStyle w:val="6"/>
              <w:spacing w:line="229" w:lineRule="auto"/>
              <w:ind w:left="537"/>
              <w:rPr>
                <w:rFonts w:ascii="仿宋" w:hAnsi="仿宋" w:eastAsia="仿宋" w:cs="仿宋"/>
                <w:sz w:val="20"/>
                <w:szCs w:val="20"/>
              </w:rPr>
            </w:pPr>
            <w:r>
              <w:rPr>
                <w:rFonts w:ascii="仿宋" w:hAnsi="仿宋" w:eastAsia="仿宋" w:cs="仿宋"/>
                <w:spacing w:val="7"/>
                <w:sz w:val="20"/>
                <w:szCs w:val="20"/>
              </w:rPr>
              <w:t>（</w:t>
            </w:r>
            <w:r>
              <w:rPr>
                <w:spacing w:val="7"/>
                <w:sz w:val="20"/>
                <w:szCs w:val="20"/>
              </w:rPr>
              <w:t>6</w:t>
            </w:r>
            <w:r>
              <w:rPr>
                <w:rFonts w:ascii="仿宋" w:hAnsi="仿宋" w:eastAsia="仿宋" w:cs="仿宋"/>
                <w:spacing w:val="7"/>
                <w:sz w:val="20"/>
                <w:szCs w:val="20"/>
              </w:rPr>
              <w:t>）动物资源现状</w:t>
            </w:r>
          </w:p>
        </w:tc>
      </w:tr>
    </w:tbl>
    <w:p w14:paraId="0BD59C65">
      <w:pPr>
        <w:pStyle w:val="2"/>
        <w:rPr>
          <w:sz w:val="21"/>
        </w:rPr>
      </w:pPr>
    </w:p>
    <w:p w14:paraId="7697D014">
      <w:pPr>
        <w:rPr>
          <w:sz w:val="21"/>
          <w:szCs w:val="21"/>
        </w:rPr>
        <w:sectPr>
          <w:footerReference r:id="rId43" w:type="default"/>
          <w:pgSz w:w="11907" w:h="16840"/>
          <w:pgMar w:top="400" w:right="1643" w:bottom="1446" w:left="1642" w:header="0" w:footer="1284" w:gutter="0"/>
          <w:cols w:space="720" w:num="1"/>
        </w:sectPr>
      </w:pPr>
    </w:p>
    <w:p w14:paraId="31B31F76">
      <w:pPr>
        <w:spacing w:before="19"/>
      </w:pPr>
    </w:p>
    <w:p w14:paraId="295CB562">
      <w:pPr>
        <w:spacing w:before="19"/>
      </w:pPr>
    </w:p>
    <w:p w14:paraId="2EC3E719">
      <w:pPr>
        <w:spacing w:before="18"/>
      </w:pPr>
    </w:p>
    <w:p w14:paraId="4DE8CC28">
      <w:pPr>
        <w:spacing w:before="18"/>
      </w:pPr>
    </w:p>
    <w:tbl>
      <w:tblPr>
        <w:tblStyle w:val="5"/>
        <w:tblW w:w="8606"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8"/>
        <w:gridCol w:w="1441"/>
        <w:gridCol w:w="1670"/>
        <w:gridCol w:w="1385"/>
        <w:gridCol w:w="1222"/>
        <w:gridCol w:w="1222"/>
        <w:gridCol w:w="938"/>
      </w:tblGrid>
      <w:tr w14:paraId="19EE2D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4" w:hRule="atLeast"/>
        </w:trPr>
        <w:tc>
          <w:tcPr>
            <w:tcW w:w="728" w:type="dxa"/>
            <w:vMerge w:val="restart"/>
            <w:tcBorders>
              <w:top w:val="single" w:color="000000" w:sz="6" w:space="0"/>
              <w:left w:val="single" w:color="000000" w:sz="6" w:space="0"/>
              <w:bottom w:val="nil"/>
            </w:tcBorders>
            <w:vAlign w:val="top"/>
          </w:tcPr>
          <w:p w14:paraId="4747AA70">
            <w:pPr>
              <w:rPr>
                <w:rFonts w:ascii="Arial"/>
                <w:sz w:val="21"/>
              </w:rPr>
            </w:pPr>
          </w:p>
        </w:tc>
        <w:tc>
          <w:tcPr>
            <w:tcW w:w="7878" w:type="dxa"/>
            <w:gridSpan w:val="6"/>
            <w:tcBorders>
              <w:top w:val="single" w:color="000000" w:sz="6" w:space="0"/>
              <w:bottom w:val="single" w:color="000000" w:sz="10" w:space="0"/>
              <w:right w:val="single" w:color="000000" w:sz="6" w:space="0"/>
            </w:tcBorders>
            <w:vAlign w:val="top"/>
          </w:tcPr>
          <w:p w14:paraId="347480DE">
            <w:pPr>
              <w:spacing w:before="37" w:line="376" w:lineRule="auto"/>
              <w:ind w:left="111" w:right="38" w:firstLine="421"/>
              <w:jc w:val="both"/>
              <w:rPr>
                <w:rFonts w:ascii="仿宋" w:hAnsi="仿宋" w:eastAsia="仿宋" w:cs="仿宋"/>
                <w:sz w:val="20"/>
                <w:szCs w:val="20"/>
              </w:rPr>
            </w:pPr>
            <w:r>
              <w:rPr>
                <w:rFonts w:ascii="仿宋" w:hAnsi="仿宋" w:eastAsia="仿宋" w:cs="仿宋"/>
                <w:spacing w:val="7"/>
                <w:sz w:val="20"/>
                <w:szCs w:val="20"/>
              </w:rPr>
              <w:t>评价区属蒙新区东部草原亚区鄂尔多斯暖温型</w:t>
            </w:r>
            <w:r>
              <w:rPr>
                <w:rFonts w:ascii="仿宋" w:hAnsi="仿宋" w:eastAsia="仿宋" w:cs="仿宋"/>
                <w:spacing w:val="6"/>
                <w:sz w:val="20"/>
                <w:szCs w:val="20"/>
              </w:rPr>
              <w:t>草原省，无珍稀濒危野生动物及保</w:t>
            </w:r>
            <w:r>
              <w:rPr>
                <w:rFonts w:ascii="仿宋" w:hAnsi="仿宋" w:eastAsia="仿宋" w:cs="仿宋"/>
                <w:spacing w:val="7"/>
                <w:sz w:val="20"/>
                <w:szCs w:val="20"/>
              </w:rPr>
              <w:t>护物种集中栖息地；野生动物以广布小型啮齿类、常见鸟类、</w:t>
            </w:r>
            <w:r>
              <w:rPr>
                <w:rFonts w:ascii="仿宋" w:hAnsi="仿宋" w:eastAsia="仿宋" w:cs="仿宋"/>
                <w:spacing w:val="-43"/>
                <w:sz w:val="20"/>
                <w:szCs w:val="20"/>
              </w:rPr>
              <w:t xml:space="preserve"> </w:t>
            </w:r>
            <w:r>
              <w:rPr>
                <w:rFonts w:ascii="仿宋" w:hAnsi="仿宋" w:eastAsia="仿宋" w:cs="仿宋"/>
                <w:spacing w:val="7"/>
                <w:sz w:val="20"/>
                <w:szCs w:val="20"/>
              </w:rPr>
              <w:t>昆虫为主，包括石鸡、</w:t>
            </w:r>
            <w:r>
              <w:rPr>
                <w:rFonts w:ascii="仿宋" w:hAnsi="仿宋" w:eastAsia="仿宋" w:cs="仿宋"/>
                <w:spacing w:val="6"/>
                <w:sz w:val="20"/>
                <w:szCs w:val="20"/>
              </w:rPr>
              <w:t>雉鸡、喜鹊、蒙古兔、跳鼠等；对照名录，无国家</w:t>
            </w:r>
            <w:r>
              <w:rPr>
                <w:rFonts w:ascii="仿宋" w:hAnsi="仿宋" w:eastAsia="仿宋" w:cs="仿宋"/>
                <w:spacing w:val="5"/>
                <w:sz w:val="20"/>
                <w:szCs w:val="20"/>
              </w:rPr>
              <w:t>、</w:t>
            </w:r>
            <w:r>
              <w:rPr>
                <w:rFonts w:ascii="仿宋" w:hAnsi="仿宋" w:eastAsia="仿宋" w:cs="仿宋"/>
                <w:spacing w:val="-58"/>
                <w:sz w:val="20"/>
                <w:szCs w:val="20"/>
              </w:rPr>
              <w:t xml:space="preserve"> </w:t>
            </w:r>
            <w:r>
              <w:rPr>
                <w:rFonts w:ascii="仿宋" w:hAnsi="仿宋" w:eastAsia="仿宋" w:cs="仿宋"/>
                <w:spacing w:val="5"/>
                <w:sz w:val="20"/>
                <w:szCs w:val="20"/>
              </w:rPr>
              <w:t>自治区重点保护陆生野生动植物</w:t>
            </w:r>
            <w:r>
              <w:rPr>
                <w:rFonts w:ascii="仿宋" w:hAnsi="仿宋" w:eastAsia="仿宋" w:cs="仿宋"/>
                <w:spacing w:val="7"/>
                <w:sz w:val="20"/>
                <w:szCs w:val="20"/>
              </w:rPr>
              <w:t>分布，不涉及自然保护地。</w:t>
            </w:r>
          </w:p>
          <w:p w14:paraId="372F955E">
            <w:pPr>
              <w:pStyle w:val="6"/>
              <w:spacing w:before="3" w:line="231" w:lineRule="auto"/>
              <w:ind w:left="537"/>
              <w:rPr>
                <w:rFonts w:ascii="仿宋" w:hAnsi="仿宋" w:eastAsia="仿宋" w:cs="仿宋"/>
                <w:sz w:val="20"/>
                <w:szCs w:val="20"/>
              </w:rPr>
            </w:pPr>
            <w:r>
              <w:rPr>
                <w:rFonts w:ascii="仿宋" w:hAnsi="仿宋" w:eastAsia="仿宋" w:cs="仿宋"/>
                <w:spacing w:val="8"/>
                <w:sz w:val="20"/>
                <w:szCs w:val="20"/>
              </w:rPr>
              <w:t>（</w:t>
            </w:r>
            <w:r>
              <w:rPr>
                <w:spacing w:val="8"/>
                <w:sz w:val="20"/>
                <w:szCs w:val="20"/>
              </w:rPr>
              <w:t>7</w:t>
            </w:r>
            <w:r>
              <w:rPr>
                <w:rFonts w:ascii="仿宋" w:hAnsi="仿宋" w:eastAsia="仿宋" w:cs="仿宋"/>
                <w:spacing w:val="8"/>
                <w:sz w:val="20"/>
                <w:szCs w:val="20"/>
              </w:rPr>
              <w:t>）生态现状综合评价结论</w:t>
            </w:r>
          </w:p>
          <w:p w14:paraId="72A72586">
            <w:pPr>
              <w:spacing w:before="156" w:line="377" w:lineRule="auto"/>
              <w:ind w:left="112" w:right="103" w:firstLine="437"/>
              <w:rPr>
                <w:rFonts w:ascii="仿宋" w:hAnsi="仿宋" w:eastAsia="仿宋" w:cs="仿宋"/>
                <w:sz w:val="20"/>
                <w:szCs w:val="20"/>
              </w:rPr>
            </w:pPr>
            <w:r>
              <w:rPr>
                <w:rFonts w:ascii="仿宋" w:hAnsi="仿宋" w:eastAsia="仿宋" w:cs="仿宋"/>
                <w:spacing w:val="6"/>
                <w:sz w:val="20"/>
                <w:szCs w:val="20"/>
              </w:rPr>
              <w:t>区域以林草复合生态系统为基底，自然植被占主导，耐旱乡土物种适配本地干旱</w:t>
            </w:r>
            <w:r>
              <w:rPr>
                <w:rFonts w:ascii="仿宋" w:hAnsi="仿宋" w:eastAsia="仿宋" w:cs="仿宋"/>
                <w:spacing w:val="7"/>
                <w:sz w:val="20"/>
                <w:szCs w:val="20"/>
              </w:rPr>
              <w:t>环境，生态承载力整体较好；工程为通村道路硬化项目，依托既有</w:t>
            </w:r>
            <w:r>
              <w:rPr>
                <w:rFonts w:ascii="仿宋" w:hAnsi="仿宋" w:eastAsia="仿宋" w:cs="仿宋"/>
                <w:spacing w:val="6"/>
                <w:sz w:val="20"/>
                <w:szCs w:val="20"/>
              </w:rPr>
              <w:t>乡村土路布线，永</w:t>
            </w:r>
            <w:r>
              <w:rPr>
                <w:rFonts w:ascii="仿宋" w:hAnsi="仿宋" w:eastAsia="仿宋" w:cs="仿宋"/>
                <w:spacing w:val="7"/>
                <w:sz w:val="20"/>
                <w:szCs w:val="20"/>
              </w:rPr>
              <w:t>久占地以原有土路路面为主，原生林草地占用量小，不占用耕地</w:t>
            </w:r>
            <w:r>
              <w:rPr>
                <w:rFonts w:ascii="仿宋" w:hAnsi="仿宋" w:eastAsia="仿宋" w:cs="仿宋"/>
                <w:spacing w:val="6"/>
                <w:sz w:val="20"/>
                <w:szCs w:val="20"/>
              </w:rPr>
              <w:t>、滩涂，生态敏感性</w:t>
            </w:r>
            <w:r>
              <w:rPr>
                <w:rFonts w:ascii="仿宋" w:hAnsi="仿宋" w:eastAsia="仿宋" w:cs="仿宋"/>
                <w:spacing w:val="1"/>
                <w:sz w:val="20"/>
                <w:szCs w:val="20"/>
              </w:rPr>
              <w:t>中等。</w:t>
            </w:r>
          </w:p>
          <w:p w14:paraId="62CD456F">
            <w:pPr>
              <w:pStyle w:val="6"/>
              <w:spacing w:line="230" w:lineRule="auto"/>
              <w:ind w:left="523"/>
              <w:rPr>
                <w:rFonts w:ascii="仿宋" w:hAnsi="仿宋" w:eastAsia="仿宋" w:cs="仿宋"/>
                <w:sz w:val="20"/>
                <w:szCs w:val="20"/>
              </w:rPr>
            </w:pPr>
            <w:r>
              <w:rPr>
                <w:b/>
                <w:bCs/>
                <w:spacing w:val="5"/>
                <w:sz w:val="20"/>
                <w:szCs w:val="20"/>
              </w:rPr>
              <w:t>2</w:t>
            </w:r>
            <w:r>
              <w:rPr>
                <w:b/>
                <w:bCs/>
                <w:spacing w:val="-10"/>
                <w:sz w:val="20"/>
                <w:szCs w:val="20"/>
              </w:rPr>
              <w:t xml:space="preserve"> </w:t>
            </w:r>
            <w:r>
              <w:rPr>
                <w:rFonts w:ascii="仿宋" w:hAnsi="仿宋" w:eastAsia="仿宋" w:cs="仿宋"/>
                <w:b/>
                <w:bCs/>
                <w:spacing w:val="5"/>
                <w:sz w:val="20"/>
                <w:szCs w:val="20"/>
              </w:rPr>
              <w:t>、区域环境空气质量达标判定</w:t>
            </w:r>
          </w:p>
          <w:p w14:paraId="39FA5006">
            <w:pPr>
              <w:pStyle w:val="6"/>
              <w:spacing w:before="161" w:line="376" w:lineRule="auto"/>
              <w:ind w:left="113" w:right="103" w:firstLine="419"/>
              <w:jc w:val="both"/>
              <w:rPr>
                <w:rFonts w:ascii="仿宋" w:hAnsi="仿宋" w:eastAsia="仿宋" w:cs="仿宋"/>
                <w:sz w:val="20"/>
                <w:szCs w:val="20"/>
              </w:rPr>
            </w:pPr>
            <w:r>
              <w:rPr>
                <w:rFonts w:ascii="仿宋" w:hAnsi="仿宋" w:eastAsia="仿宋" w:cs="仿宋"/>
                <w:spacing w:val="8"/>
                <w:sz w:val="20"/>
                <w:szCs w:val="20"/>
              </w:rPr>
              <w:t>本项目位于鄂尔多斯市准格尔旗，根据内蒙古自治区生态环境厅</w:t>
            </w:r>
            <w:r>
              <w:rPr>
                <w:rFonts w:ascii="仿宋" w:hAnsi="仿宋" w:eastAsia="仿宋" w:cs="仿宋"/>
                <w:spacing w:val="-34"/>
                <w:sz w:val="20"/>
                <w:szCs w:val="20"/>
              </w:rPr>
              <w:t xml:space="preserve"> </w:t>
            </w:r>
            <w:r>
              <w:rPr>
                <w:spacing w:val="8"/>
                <w:sz w:val="20"/>
                <w:szCs w:val="20"/>
              </w:rPr>
              <w:t>2026</w:t>
            </w:r>
            <w:r>
              <w:rPr>
                <w:spacing w:val="25"/>
                <w:sz w:val="20"/>
                <w:szCs w:val="20"/>
              </w:rPr>
              <w:t xml:space="preserve"> </w:t>
            </w:r>
            <w:r>
              <w:rPr>
                <w:rFonts w:ascii="仿宋" w:hAnsi="仿宋" w:eastAsia="仿宋" w:cs="仿宋"/>
                <w:spacing w:val="8"/>
                <w:sz w:val="20"/>
                <w:szCs w:val="20"/>
              </w:rPr>
              <w:t>年</w:t>
            </w:r>
            <w:r>
              <w:rPr>
                <w:rFonts w:ascii="仿宋" w:hAnsi="仿宋" w:eastAsia="仿宋" w:cs="仿宋"/>
                <w:spacing w:val="-36"/>
                <w:sz w:val="20"/>
                <w:szCs w:val="20"/>
              </w:rPr>
              <w:t xml:space="preserve"> </w:t>
            </w:r>
            <w:r>
              <w:rPr>
                <w:spacing w:val="8"/>
                <w:sz w:val="20"/>
                <w:szCs w:val="20"/>
              </w:rPr>
              <w:t>6</w:t>
            </w:r>
            <w:r>
              <w:rPr>
                <w:spacing w:val="27"/>
                <w:w w:val="101"/>
                <w:sz w:val="20"/>
                <w:szCs w:val="20"/>
              </w:rPr>
              <w:t xml:space="preserve"> </w:t>
            </w:r>
            <w:r>
              <w:rPr>
                <w:rFonts w:ascii="仿宋" w:hAnsi="仿宋" w:eastAsia="仿宋" w:cs="仿宋"/>
                <w:spacing w:val="8"/>
                <w:sz w:val="20"/>
                <w:szCs w:val="20"/>
              </w:rPr>
              <w:t>月</w:t>
            </w:r>
            <w:r>
              <w:rPr>
                <w:rFonts w:ascii="仿宋" w:hAnsi="仿宋" w:eastAsia="仿宋" w:cs="仿宋"/>
                <w:spacing w:val="-42"/>
                <w:sz w:val="20"/>
                <w:szCs w:val="20"/>
              </w:rPr>
              <w:t xml:space="preserve"> </w:t>
            </w:r>
            <w:r>
              <w:rPr>
                <w:spacing w:val="8"/>
                <w:sz w:val="20"/>
                <w:szCs w:val="20"/>
              </w:rPr>
              <w:t>4</w:t>
            </w:r>
            <w:r>
              <w:rPr>
                <w:rFonts w:ascii="仿宋" w:hAnsi="仿宋" w:eastAsia="仿宋" w:cs="仿宋"/>
                <w:spacing w:val="8"/>
                <w:sz w:val="20"/>
                <w:szCs w:val="20"/>
              </w:rPr>
              <w:t>日公布的《</w:t>
            </w:r>
            <w:r>
              <w:rPr>
                <w:spacing w:val="8"/>
                <w:sz w:val="20"/>
                <w:szCs w:val="20"/>
              </w:rPr>
              <w:t>2025</w:t>
            </w:r>
            <w:r>
              <w:rPr>
                <w:spacing w:val="24"/>
                <w:w w:val="101"/>
                <w:sz w:val="20"/>
                <w:szCs w:val="20"/>
              </w:rPr>
              <w:t xml:space="preserve"> </w:t>
            </w:r>
            <w:r>
              <w:rPr>
                <w:rFonts w:ascii="仿宋" w:hAnsi="仿宋" w:eastAsia="仿宋" w:cs="仿宋"/>
                <w:spacing w:val="8"/>
                <w:sz w:val="20"/>
                <w:szCs w:val="20"/>
              </w:rPr>
              <w:t>年内蒙古自治区生态环境状况公报》</w:t>
            </w:r>
            <w:r>
              <w:rPr>
                <w:rFonts w:ascii="仿宋" w:hAnsi="仿宋" w:eastAsia="仿宋" w:cs="仿宋"/>
                <w:spacing w:val="-44"/>
                <w:sz w:val="20"/>
                <w:szCs w:val="20"/>
              </w:rPr>
              <w:t xml:space="preserve"> </w:t>
            </w:r>
            <w:r>
              <w:rPr>
                <w:rFonts w:ascii="仿宋" w:hAnsi="仿宋" w:eastAsia="仿宋" w:cs="仿宋"/>
                <w:spacing w:val="7"/>
                <w:sz w:val="20"/>
                <w:szCs w:val="20"/>
              </w:rPr>
              <w:t>中</w:t>
            </w:r>
            <w:r>
              <w:rPr>
                <w:spacing w:val="7"/>
                <w:sz w:val="20"/>
                <w:szCs w:val="20"/>
              </w:rPr>
              <w:t>“</w:t>
            </w:r>
            <w:r>
              <w:rPr>
                <w:spacing w:val="-28"/>
                <w:sz w:val="20"/>
                <w:szCs w:val="20"/>
              </w:rPr>
              <w:t xml:space="preserve"> </w:t>
            </w:r>
            <w:r>
              <w:rPr>
                <w:rFonts w:ascii="仿宋" w:hAnsi="仿宋" w:eastAsia="仿宋" w:cs="仿宋"/>
                <w:spacing w:val="7"/>
                <w:sz w:val="20"/>
                <w:szCs w:val="20"/>
              </w:rPr>
              <w:t>全区城市环境空气质量</w:t>
            </w:r>
            <w:r>
              <w:rPr>
                <w:spacing w:val="7"/>
                <w:sz w:val="20"/>
                <w:szCs w:val="20"/>
              </w:rPr>
              <w:t>”</w:t>
            </w:r>
            <w:r>
              <w:rPr>
                <w:spacing w:val="-28"/>
                <w:sz w:val="20"/>
                <w:szCs w:val="20"/>
              </w:rPr>
              <w:t xml:space="preserve"> </w:t>
            </w:r>
            <w:r>
              <w:rPr>
                <w:rFonts w:ascii="仿宋" w:hAnsi="仿宋" w:eastAsia="仿宋" w:cs="仿宋"/>
                <w:spacing w:val="7"/>
                <w:sz w:val="20"/>
                <w:szCs w:val="20"/>
              </w:rPr>
              <w:t>结</w:t>
            </w:r>
            <w:r>
              <w:rPr>
                <w:rFonts w:ascii="仿宋" w:hAnsi="仿宋" w:eastAsia="仿宋" w:cs="仿宋"/>
                <w:spacing w:val="9"/>
                <w:sz w:val="20"/>
                <w:szCs w:val="20"/>
              </w:rPr>
              <w:t>论：</w:t>
            </w:r>
            <w:r>
              <w:rPr>
                <w:spacing w:val="9"/>
                <w:sz w:val="20"/>
                <w:szCs w:val="20"/>
              </w:rPr>
              <w:t>“2025</w:t>
            </w:r>
            <w:r>
              <w:rPr>
                <w:spacing w:val="36"/>
                <w:sz w:val="20"/>
                <w:szCs w:val="20"/>
              </w:rPr>
              <w:t xml:space="preserve"> </w:t>
            </w:r>
            <w:r>
              <w:rPr>
                <w:rFonts w:ascii="仿宋" w:hAnsi="仿宋" w:eastAsia="仿宋" w:cs="仿宋"/>
                <w:spacing w:val="9"/>
                <w:sz w:val="20"/>
                <w:szCs w:val="20"/>
              </w:rPr>
              <w:t>年，全区环境空气六项污染物年均浓度均达标</w:t>
            </w:r>
            <w:r>
              <w:rPr>
                <w:spacing w:val="9"/>
                <w:sz w:val="20"/>
                <w:szCs w:val="20"/>
              </w:rPr>
              <w:t>”</w:t>
            </w:r>
            <w:r>
              <w:rPr>
                <w:spacing w:val="-17"/>
                <w:sz w:val="20"/>
                <w:szCs w:val="20"/>
              </w:rPr>
              <w:t xml:space="preserve"> </w:t>
            </w:r>
            <w:r>
              <w:rPr>
                <w:rFonts w:ascii="仿宋" w:hAnsi="仿宋" w:eastAsia="仿宋" w:cs="仿宋"/>
                <w:spacing w:val="9"/>
                <w:sz w:val="20"/>
                <w:szCs w:val="20"/>
              </w:rPr>
              <w:t>。本项目位于内蒙古自治</w:t>
            </w:r>
            <w:r>
              <w:rPr>
                <w:rFonts w:ascii="仿宋" w:hAnsi="仿宋" w:eastAsia="仿宋" w:cs="仿宋"/>
                <w:spacing w:val="7"/>
                <w:sz w:val="20"/>
                <w:szCs w:val="20"/>
              </w:rPr>
              <w:t>区鄂尔多斯市，</w:t>
            </w:r>
            <w:r>
              <w:rPr>
                <w:rFonts w:ascii="仿宋" w:hAnsi="仿宋" w:eastAsia="仿宋" w:cs="仿宋"/>
                <w:spacing w:val="-48"/>
                <w:sz w:val="20"/>
                <w:szCs w:val="20"/>
              </w:rPr>
              <w:t xml:space="preserve"> </w:t>
            </w:r>
            <w:r>
              <w:rPr>
                <w:rFonts w:ascii="仿宋" w:hAnsi="仿宋" w:eastAsia="仿宋" w:cs="仿宋"/>
                <w:spacing w:val="7"/>
                <w:sz w:val="20"/>
                <w:szCs w:val="20"/>
              </w:rPr>
              <w:t>因此项目所在区域环境空气质量属于达标区。</w:t>
            </w:r>
          </w:p>
          <w:p w14:paraId="3DC46237">
            <w:pPr>
              <w:pStyle w:val="6"/>
              <w:spacing w:before="6" w:line="374" w:lineRule="auto"/>
              <w:ind w:left="106" w:right="103" w:firstLine="427"/>
              <w:rPr>
                <w:rFonts w:ascii="仿宋" w:hAnsi="仿宋" w:eastAsia="仿宋" w:cs="仿宋"/>
                <w:sz w:val="20"/>
                <w:szCs w:val="20"/>
              </w:rPr>
            </w:pPr>
            <w:r>
              <w:rPr>
                <w:rFonts w:ascii="仿宋" w:hAnsi="仿宋" w:eastAsia="仿宋" w:cs="仿宋"/>
                <w:spacing w:val="14"/>
                <w:sz w:val="20"/>
                <w:szCs w:val="20"/>
              </w:rPr>
              <w:t>根据环境空气质量模型技术支持服务系统数据查询结果，鄂尔多斯市</w:t>
            </w:r>
            <w:r>
              <w:rPr>
                <w:rFonts w:ascii="仿宋" w:hAnsi="仿宋" w:eastAsia="仿宋" w:cs="仿宋"/>
                <w:spacing w:val="-36"/>
                <w:sz w:val="20"/>
                <w:szCs w:val="20"/>
              </w:rPr>
              <w:t xml:space="preserve"> </w:t>
            </w:r>
            <w:r>
              <w:rPr>
                <w:spacing w:val="14"/>
                <w:sz w:val="20"/>
                <w:szCs w:val="20"/>
              </w:rPr>
              <w:t>2025</w:t>
            </w:r>
            <w:r>
              <w:rPr>
                <w:spacing w:val="26"/>
                <w:w w:val="101"/>
                <w:sz w:val="20"/>
                <w:szCs w:val="20"/>
              </w:rPr>
              <w:t xml:space="preserve"> </w:t>
            </w:r>
            <w:r>
              <w:rPr>
                <w:rFonts w:ascii="仿宋" w:hAnsi="仿宋" w:eastAsia="仿宋" w:cs="仿宋"/>
                <w:spacing w:val="14"/>
                <w:sz w:val="20"/>
                <w:szCs w:val="20"/>
              </w:rPr>
              <w:t>年</w:t>
            </w:r>
            <w:r>
              <w:rPr>
                <w:sz w:val="20"/>
                <w:szCs w:val="20"/>
              </w:rPr>
              <w:t>SO</w:t>
            </w:r>
            <w:r>
              <w:rPr>
                <w:spacing w:val="3"/>
                <w:position w:val="-1"/>
                <w:sz w:val="13"/>
                <w:szCs w:val="13"/>
              </w:rPr>
              <w:t xml:space="preserve">2 </w:t>
            </w:r>
            <w:r>
              <w:rPr>
                <w:rFonts w:ascii="仿宋" w:hAnsi="仿宋" w:eastAsia="仿宋" w:cs="仿宋"/>
                <w:spacing w:val="3"/>
                <w:sz w:val="20"/>
                <w:szCs w:val="20"/>
              </w:rPr>
              <w:t>、</w:t>
            </w:r>
            <w:r>
              <w:rPr>
                <w:sz w:val="20"/>
                <w:szCs w:val="20"/>
              </w:rPr>
              <w:t>NO</w:t>
            </w:r>
            <w:r>
              <w:rPr>
                <w:spacing w:val="3"/>
                <w:position w:val="-1"/>
                <w:sz w:val="13"/>
                <w:szCs w:val="13"/>
              </w:rPr>
              <w:t xml:space="preserve">2 </w:t>
            </w:r>
            <w:r>
              <w:rPr>
                <w:rFonts w:ascii="仿宋" w:hAnsi="仿宋" w:eastAsia="仿宋" w:cs="仿宋"/>
                <w:spacing w:val="3"/>
                <w:sz w:val="20"/>
                <w:szCs w:val="20"/>
              </w:rPr>
              <w:t>、</w:t>
            </w:r>
            <w:r>
              <w:rPr>
                <w:sz w:val="20"/>
                <w:szCs w:val="20"/>
              </w:rPr>
              <w:t>PM</w:t>
            </w:r>
            <w:r>
              <w:rPr>
                <w:spacing w:val="3"/>
                <w:position w:val="-1"/>
                <w:sz w:val="13"/>
                <w:szCs w:val="13"/>
              </w:rPr>
              <w:t xml:space="preserve">10 </w:t>
            </w:r>
            <w:r>
              <w:rPr>
                <w:rFonts w:ascii="仿宋" w:hAnsi="仿宋" w:eastAsia="仿宋" w:cs="仿宋"/>
                <w:spacing w:val="3"/>
                <w:sz w:val="20"/>
                <w:szCs w:val="20"/>
              </w:rPr>
              <w:t>、</w:t>
            </w:r>
            <w:r>
              <w:rPr>
                <w:sz w:val="20"/>
                <w:szCs w:val="20"/>
              </w:rPr>
              <w:t>PM</w:t>
            </w:r>
            <w:r>
              <w:rPr>
                <w:spacing w:val="3"/>
                <w:position w:val="-1"/>
                <w:sz w:val="13"/>
                <w:szCs w:val="13"/>
              </w:rPr>
              <w:t>2.5</w:t>
            </w:r>
            <w:r>
              <w:rPr>
                <w:spacing w:val="29"/>
                <w:w w:val="101"/>
                <w:position w:val="-1"/>
                <w:sz w:val="13"/>
                <w:szCs w:val="13"/>
              </w:rPr>
              <w:t xml:space="preserve"> </w:t>
            </w:r>
            <w:r>
              <w:rPr>
                <w:rFonts w:ascii="仿宋" w:hAnsi="仿宋" w:eastAsia="仿宋" w:cs="仿宋"/>
                <w:spacing w:val="3"/>
                <w:sz w:val="20"/>
                <w:szCs w:val="20"/>
              </w:rPr>
              <w:t>年均浓度分别为</w:t>
            </w:r>
            <w:r>
              <w:rPr>
                <w:rFonts w:ascii="仿宋" w:hAnsi="仿宋" w:eastAsia="仿宋" w:cs="仿宋"/>
                <w:spacing w:val="-35"/>
                <w:sz w:val="20"/>
                <w:szCs w:val="20"/>
              </w:rPr>
              <w:t xml:space="preserve"> </w:t>
            </w:r>
            <w:r>
              <w:rPr>
                <w:spacing w:val="3"/>
                <w:sz w:val="20"/>
                <w:szCs w:val="20"/>
              </w:rPr>
              <w:t xml:space="preserve">7 </w:t>
            </w:r>
            <w:r>
              <w:rPr>
                <w:sz w:val="20"/>
                <w:szCs w:val="20"/>
              </w:rPr>
              <w:t>ug</w:t>
            </w:r>
            <w:r>
              <w:rPr>
                <w:spacing w:val="3"/>
                <w:sz w:val="20"/>
                <w:szCs w:val="20"/>
              </w:rPr>
              <w:t>/m</w:t>
            </w:r>
            <w:r>
              <w:rPr>
                <w:spacing w:val="3"/>
                <w:position w:val="6"/>
                <w:sz w:val="13"/>
                <w:szCs w:val="13"/>
              </w:rPr>
              <w:t xml:space="preserve">3 </w:t>
            </w:r>
            <w:r>
              <w:rPr>
                <w:rFonts w:ascii="仿宋" w:hAnsi="仿宋" w:eastAsia="仿宋" w:cs="仿宋"/>
                <w:spacing w:val="3"/>
                <w:sz w:val="20"/>
                <w:szCs w:val="20"/>
              </w:rPr>
              <w:t>、</w:t>
            </w:r>
            <w:r>
              <w:rPr>
                <w:spacing w:val="3"/>
                <w:sz w:val="20"/>
                <w:szCs w:val="20"/>
              </w:rPr>
              <w:t xml:space="preserve">20 </w:t>
            </w:r>
            <w:r>
              <w:rPr>
                <w:sz w:val="20"/>
                <w:szCs w:val="20"/>
              </w:rPr>
              <w:t>ug</w:t>
            </w:r>
            <w:r>
              <w:rPr>
                <w:spacing w:val="3"/>
                <w:sz w:val="20"/>
                <w:szCs w:val="20"/>
              </w:rPr>
              <w:t>/m</w:t>
            </w:r>
            <w:r>
              <w:rPr>
                <w:spacing w:val="3"/>
                <w:position w:val="6"/>
                <w:sz w:val="13"/>
                <w:szCs w:val="13"/>
              </w:rPr>
              <w:t xml:space="preserve">3 </w:t>
            </w:r>
            <w:r>
              <w:rPr>
                <w:rFonts w:ascii="仿宋" w:hAnsi="仿宋" w:eastAsia="仿宋" w:cs="仿宋"/>
                <w:spacing w:val="3"/>
                <w:sz w:val="20"/>
                <w:szCs w:val="20"/>
              </w:rPr>
              <w:t>、</w:t>
            </w:r>
            <w:r>
              <w:rPr>
                <w:spacing w:val="3"/>
                <w:sz w:val="20"/>
                <w:szCs w:val="20"/>
              </w:rPr>
              <w:t xml:space="preserve">54 </w:t>
            </w:r>
            <w:r>
              <w:rPr>
                <w:sz w:val="20"/>
                <w:szCs w:val="20"/>
              </w:rPr>
              <w:t>ug</w:t>
            </w:r>
            <w:r>
              <w:rPr>
                <w:spacing w:val="3"/>
                <w:sz w:val="20"/>
                <w:szCs w:val="20"/>
              </w:rPr>
              <w:t>/m</w:t>
            </w:r>
            <w:r>
              <w:rPr>
                <w:spacing w:val="3"/>
                <w:position w:val="6"/>
                <w:sz w:val="13"/>
                <w:szCs w:val="13"/>
              </w:rPr>
              <w:t xml:space="preserve">3 </w:t>
            </w:r>
            <w:r>
              <w:rPr>
                <w:rFonts w:ascii="仿宋" w:hAnsi="仿宋" w:eastAsia="仿宋" w:cs="仿宋"/>
                <w:spacing w:val="3"/>
                <w:sz w:val="20"/>
                <w:szCs w:val="20"/>
              </w:rPr>
              <w:t>、</w:t>
            </w:r>
            <w:r>
              <w:rPr>
                <w:spacing w:val="3"/>
                <w:sz w:val="20"/>
                <w:szCs w:val="20"/>
              </w:rPr>
              <w:t xml:space="preserve">18 </w:t>
            </w:r>
            <w:r>
              <w:rPr>
                <w:sz w:val="20"/>
                <w:szCs w:val="20"/>
              </w:rPr>
              <w:t>ug</w:t>
            </w:r>
            <w:r>
              <w:rPr>
                <w:spacing w:val="3"/>
                <w:sz w:val="20"/>
                <w:szCs w:val="20"/>
              </w:rPr>
              <w:t>/m</w:t>
            </w:r>
            <w:r>
              <w:rPr>
                <w:spacing w:val="3"/>
                <w:position w:val="6"/>
                <w:sz w:val="13"/>
                <w:szCs w:val="13"/>
              </w:rPr>
              <w:t xml:space="preserve">3 </w:t>
            </w:r>
            <w:r>
              <w:rPr>
                <w:rFonts w:ascii="仿宋" w:hAnsi="仿宋" w:eastAsia="仿宋" w:cs="仿宋"/>
                <w:spacing w:val="3"/>
                <w:sz w:val="20"/>
                <w:szCs w:val="20"/>
              </w:rPr>
              <w:t>；</w:t>
            </w:r>
            <w:r>
              <w:rPr>
                <w:rFonts w:ascii="仿宋" w:hAnsi="仿宋" w:eastAsia="仿宋" w:cs="仿宋"/>
                <w:sz w:val="20"/>
                <w:szCs w:val="20"/>
              </w:rPr>
              <w:t xml:space="preserve"> </w:t>
            </w:r>
            <w:r>
              <w:rPr>
                <w:sz w:val="20"/>
                <w:szCs w:val="20"/>
              </w:rPr>
              <w:t>CO</w:t>
            </w:r>
            <w:r>
              <w:rPr>
                <w:spacing w:val="4"/>
                <w:sz w:val="20"/>
                <w:szCs w:val="20"/>
              </w:rPr>
              <w:t xml:space="preserve"> 24</w:t>
            </w:r>
            <w:r>
              <w:rPr>
                <w:spacing w:val="17"/>
                <w:w w:val="101"/>
                <w:sz w:val="20"/>
                <w:szCs w:val="20"/>
              </w:rPr>
              <w:t xml:space="preserve"> </w:t>
            </w:r>
            <w:r>
              <w:rPr>
                <w:rFonts w:ascii="仿宋" w:hAnsi="仿宋" w:eastAsia="仿宋" w:cs="仿宋"/>
                <w:spacing w:val="4"/>
                <w:sz w:val="20"/>
                <w:szCs w:val="20"/>
              </w:rPr>
              <w:t>小时平均第</w:t>
            </w:r>
            <w:r>
              <w:rPr>
                <w:rFonts w:ascii="仿宋" w:hAnsi="仿宋" w:eastAsia="仿宋" w:cs="仿宋"/>
                <w:spacing w:val="-37"/>
                <w:sz w:val="20"/>
                <w:szCs w:val="20"/>
              </w:rPr>
              <w:t xml:space="preserve"> </w:t>
            </w:r>
            <w:r>
              <w:rPr>
                <w:spacing w:val="4"/>
                <w:sz w:val="20"/>
                <w:szCs w:val="20"/>
              </w:rPr>
              <w:t>95</w:t>
            </w:r>
            <w:r>
              <w:rPr>
                <w:spacing w:val="29"/>
                <w:sz w:val="20"/>
                <w:szCs w:val="20"/>
              </w:rPr>
              <w:t xml:space="preserve"> </w:t>
            </w:r>
            <w:r>
              <w:rPr>
                <w:rFonts w:ascii="仿宋" w:hAnsi="仿宋" w:eastAsia="仿宋" w:cs="仿宋"/>
                <w:spacing w:val="4"/>
                <w:sz w:val="20"/>
                <w:szCs w:val="20"/>
              </w:rPr>
              <w:t>百分位数为</w:t>
            </w:r>
            <w:r>
              <w:rPr>
                <w:rFonts w:ascii="仿宋" w:hAnsi="仿宋" w:eastAsia="仿宋" w:cs="仿宋"/>
                <w:spacing w:val="-35"/>
                <w:sz w:val="20"/>
                <w:szCs w:val="20"/>
              </w:rPr>
              <w:t xml:space="preserve"> </w:t>
            </w:r>
            <w:r>
              <w:rPr>
                <w:spacing w:val="4"/>
                <w:sz w:val="20"/>
                <w:szCs w:val="20"/>
              </w:rPr>
              <w:t>0.7</w:t>
            </w:r>
            <w:r>
              <w:rPr>
                <w:sz w:val="20"/>
                <w:szCs w:val="20"/>
              </w:rPr>
              <w:t>mg</w:t>
            </w:r>
            <w:r>
              <w:rPr>
                <w:spacing w:val="4"/>
                <w:sz w:val="20"/>
                <w:szCs w:val="20"/>
              </w:rPr>
              <w:t>/m</w:t>
            </w:r>
            <w:r>
              <w:rPr>
                <w:spacing w:val="4"/>
                <w:position w:val="6"/>
                <w:sz w:val="13"/>
                <w:szCs w:val="13"/>
              </w:rPr>
              <w:t xml:space="preserve">3 </w:t>
            </w:r>
            <w:r>
              <w:rPr>
                <w:rFonts w:ascii="仿宋" w:hAnsi="仿宋" w:eastAsia="仿宋" w:cs="仿宋"/>
                <w:spacing w:val="3"/>
                <w:sz w:val="20"/>
                <w:szCs w:val="20"/>
              </w:rPr>
              <w:t>，</w:t>
            </w:r>
            <w:r>
              <w:rPr>
                <w:spacing w:val="3"/>
                <w:sz w:val="20"/>
                <w:szCs w:val="20"/>
              </w:rPr>
              <w:t>O</w:t>
            </w:r>
            <w:r>
              <w:rPr>
                <w:spacing w:val="3"/>
                <w:position w:val="-1"/>
                <w:sz w:val="13"/>
                <w:szCs w:val="13"/>
              </w:rPr>
              <w:t xml:space="preserve">3   </w:t>
            </w:r>
            <w:r>
              <w:rPr>
                <w:rFonts w:ascii="仿宋" w:hAnsi="仿宋" w:eastAsia="仿宋" w:cs="仿宋"/>
                <w:spacing w:val="3"/>
                <w:sz w:val="20"/>
                <w:szCs w:val="20"/>
              </w:rPr>
              <w:t>日最大</w:t>
            </w:r>
            <w:r>
              <w:rPr>
                <w:rFonts w:ascii="仿宋" w:hAnsi="仿宋" w:eastAsia="仿宋" w:cs="仿宋"/>
                <w:spacing w:val="-33"/>
                <w:sz w:val="20"/>
                <w:szCs w:val="20"/>
              </w:rPr>
              <w:t xml:space="preserve"> </w:t>
            </w:r>
            <w:r>
              <w:rPr>
                <w:spacing w:val="3"/>
                <w:sz w:val="20"/>
                <w:szCs w:val="20"/>
              </w:rPr>
              <w:t>8</w:t>
            </w:r>
            <w:r>
              <w:rPr>
                <w:spacing w:val="21"/>
                <w:sz w:val="20"/>
                <w:szCs w:val="20"/>
              </w:rPr>
              <w:t xml:space="preserve"> </w:t>
            </w:r>
            <w:r>
              <w:rPr>
                <w:rFonts w:ascii="仿宋" w:hAnsi="仿宋" w:eastAsia="仿宋" w:cs="仿宋"/>
                <w:spacing w:val="3"/>
                <w:sz w:val="20"/>
                <w:szCs w:val="20"/>
              </w:rPr>
              <w:t>小时平均第</w:t>
            </w:r>
            <w:r>
              <w:rPr>
                <w:rFonts w:ascii="仿宋" w:hAnsi="仿宋" w:eastAsia="仿宋" w:cs="仿宋"/>
                <w:spacing w:val="-37"/>
                <w:sz w:val="20"/>
                <w:szCs w:val="20"/>
              </w:rPr>
              <w:t xml:space="preserve"> </w:t>
            </w:r>
            <w:r>
              <w:rPr>
                <w:spacing w:val="3"/>
                <w:sz w:val="20"/>
                <w:szCs w:val="20"/>
              </w:rPr>
              <w:t>90</w:t>
            </w:r>
            <w:r>
              <w:rPr>
                <w:spacing w:val="28"/>
                <w:w w:val="101"/>
                <w:sz w:val="20"/>
                <w:szCs w:val="20"/>
              </w:rPr>
              <w:t xml:space="preserve"> </w:t>
            </w:r>
            <w:r>
              <w:rPr>
                <w:rFonts w:ascii="仿宋" w:hAnsi="仿宋" w:eastAsia="仿宋" w:cs="仿宋"/>
                <w:spacing w:val="3"/>
                <w:sz w:val="20"/>
                <w:szCs w:val="20"/>
              </w:rPr>
              <w:t>百分位数为</w:t>
            </w:r>
            <w:r>
              <w:rPr>
                <w:spacing w:val="6"/>
                <w:sz w:val="20"/>
                <w:szCs w:val="20"/>
              </w:rPr>
              <w:t>139</w:t>
            </w:r>
            <w:r>
              <w:rPr>
                <w:sz w:val="20"/>
                <w:szCs w:val="20"/>
              </w:rPr>
              <w:t>ug</w:t>
            </w:r>
            <w:r>
              <w:rPr>
                <w:spacing w:val="6"/>
                <w:sz w:val="20"/>
                <w:szCs w:val="20"/>
              </w:rPr>
              <w:t>/m</w:t>
            </w:r>
            <w:r>
              <w:rPr>
                <w:spacing w:val="6"/>
                <w:position w:val="6"/>
                <w:sz w:val="13"/>
                <w:szCs w:val="13"/>
              </w:rPr>
              <w:t>3</w:t>
            </w:r>
            <w:r>
              <w:rPr>
                <w:spacing w:val="3"/>
                <w:position w:val="6"/>
                <w:sz w:val="13"/>
                <w:szCs w:val="13"/>
              </w:rPr>
              <w:t xml:space="preserve"> </w:t>
            </w:r>
            <w:r>
              <w:rPr>
                <w:rFonts w:ascii="仿宋" w:hAnsi="仿宋" w:eastAsia="仿宋" w:cs="仿宋"/>
                <w:spacing w:val="6"/>
                <w:sz w:val="20"/>
                <w:szCs w:val="20"/>
              </w:rPr>
              <w:t>；各污染物平均浓度均优于《环境空气质量标准》（</w:t>
            </w:r>
            <w:r>
              <w:rPr>
                <w:sz w:val="20"/>
                <w:szCs w:val="20"/>
              </w:rPr>
              <w:t>GB</w:t>
            </w:r>
            <w:r>
              <w:rPr>
                <w:spacing w:val="6"/>
                <w:sz w:val="20"/>
                <w:szCs w:val="20"/>
              </w:rPr>
              <w:t>3095-2026</w:t>
            </w:r>
            <w:r>
              <w:rPr>
                <w:rFonts w:ascii="仿宋" w:hAnsi="仿宋" w:eastAsia="仿宋" w:cs="仿宋"/>
                <w:spacing w:val="6"/>
                <w:sz w:val="20"/>
                <w:szCs w:val="20"/>
              </w:rPr>
              <w:t>）</w:t>
            </w:r>
            <w:r>
              <w:rPr>
                <w:rFonts w:ascii="仿宋" w:hAnsi="仿宋" w:eastAsia="仿宋" w:cs="仿宋"/>
                <w:spacing w:val="-54"/>
                <w:sz w:val="20"/>
                <w:szCs w:val="20"/>
              </w:rPr>
              <w:t xml:space="preserve"> </w:t>
            </w:r>
            <w:r>
              <w:rPr>
                <w:rFonts w:ascii="仿宋" w:hAnsi="仿宋" w:eastAsia="仿宋" w:cs="仿宋"/>
                <w:spacing w:val="6"/>
                <w:sz w:val="20"/>
                <w:szCs w:val="20"/>
              </w:rPr>
              <w:t>中过渡</w:t>
            </w:r>
            <w:r>
              <w:rPr>
                <w:rFonts w:ascii="仿宋" w:hAnsi="仿宋" w:eastAsia="仿宋" w:cs="仿宋"/>
                <w:spacing w:val="8"/>
                <w:sz w:val="20"/>
                <w:szCs w:val="20"/>
              </w:rPr>
              <w:t>阶段浓度限值二级标准限值，本项目基本污染物环境质量现状评价结果见表</w:t>
            </w:r>
            <w:r>
              <w:rPr>
                <w:rFonts w:ascii="仿宋" w:hAnsi="仿宋" w:eastAsia="仿宋" w:cs="仿宋"/>
                <w:spacing w:val="-35"/>
                <w:sz w:val="20"/>
                <w:szCs w:val="20"/>
              </w:rPr>
              <w:t xml:space="preserve"> </w:t>
            </w:r>
            <w:r>
              <w:rPr>
                <w:spacing w:val="8"/>
                <w:sz w:val="20"/>
                <w:szCs w:val="20"/>
              </w:rPr>
              <w:t>3-</w:t>
            </w:r>
            <w:r>
              <w:rPr>
                <w:spacing w:val="-25"/>
                <w:sz w:val="20"/>
                <w:szCs w:val="20"/>
              </w:rPr>
              <w:t xml:space="preserve"> </w:t>
            </w:r>
            <w:r>
              <w:rPr>
                <w:spacing w:val="8"/>
                <w:sz w:val="20"/>
                <w:szCs w:val="20"/>
              </w:rPr>
              <w:t>1</w:t>
            </w:r>
            <w:r>
              <w:rPr>
                <w:rFonts w:ascii="仿宋" w:hAnsi="仿宋" w:eastAsia="仿宋" w:cs="仿宋"/>
                <w:spacing w:val="8"/>
                <w:sz w:val="20"/>
                <w:szCs w:val="20"/>
              </w:rPr>
              <w:t>。</w:t>
            </w:r>
          </w:p>
          <w:p w14:paraId="3AD8EB76">
            <w:pPr>
              <w:pStyle w:val="6"/>
              <w:spacing w:before="16" w:line="217" w:lineRule="auto"/>
              <w:ind w:left="2053"/>
              <w:rPr>
                <w:rFonts w:ascii="仿宋" w:hAnsi="仿宋" w:eastAsia="仿宋" w:cs="仿宋"/>
                <w:sz w:val="20"/>
                <w:szCs w:val="20"/>
              </w:rPr>
            </w:pPr>
            <w:r>
              <w:rPr>
                <w:rFonts w:ascii="仿宋" w:hAnsi="仿宋" w:eastAsia="仿宋" w:cs="仿宋"/>
                <w:b/>
                <w:bCs/>
                <w:spacing w:val="1"/>
                <w:sz w:val="20"/>
                <w:szCs w:val="20"/>
              </w:rPr>
              <w:t>表</w:t>
            </w:r>
            <w:r>
              <w:rPr>
                <w:rFonts w:ascii="仿宋" w:hAnsi="仿宋" w:eastAsia="仿宋" w:cs="仿宋"/>
                <w:spacing w:val="-48"/>
                <w:sz w:val="20"/>
                <w:szCs w:val="20"/>
              </w:rPr>
              <w:t xml:space="preserve"> </w:t>
            </w:r>
            <w:r>
              <w:rPr>
                <w:b/>
                <w:bCs/>
                <w:spacing w:val="1"/>
                <w:sz w:val="20"/>
                <w:szCs w:val="20"/>
              </w:rPr>
              <w:t xml:space="preserve">3-1      </w:t>
            </w:r>
            <w:r>
              <w:rPr>
                <w:rFonts w:ascii="仿宋" w:hAnsi="仿宋" w:eastAsia="仿宋" w:cs="仿宋"/>
                <w:b/>
                <w:bCs/>
                <w:spacing w:val="1"/>
                <w:sz w:val="20"/>
                <w:szCs w:val="20"/>
              </w:rPr>
              <w:t>基本污染物</w:t>
            </w:r>
            <w:r>
              <w:rPr>
                <w:rFonts w:ascii="仿宋" w:hAnsi="仿宋" w:eastAsia="仿宋" w:cs="仿宋"/>
                <w:spacing w:val="1"/>
                <w:sz w:val="20"/>
                <w:szCs w:val="20"/>
              </w:rPr>
              <w:t xml:space="preserve"> </w:t>
            </w:r>
            <w:r>
              <w:rPr>
                <w:rFonts w:ascii="仿宋" w:hAnsi="仿宋" w:eastAsia="仿宋" w:cs="仿宋"/>
                <w:b/>
                <w:bCs/>
                <w:spacing w:val="1"/>
                <w:sz w:val="20"/>
                <w:szCs w:val="20"/>
              </w:rPr>
              <w:t>环境质量现状评价表</w:t>
            </w:r>
          </w:p>
        </w:tc>
      </w:tr>
      <w:tr w14:paraId="2536CA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728" w:type="dxa"/>
            <w:vMerge w:val="continue"/>
            <w:tcBorders>
              <w:top w:val="nil"/>
              <w:left w:val="single" w:color="000000" w:sz="6" w:space="0"/>
              <w:bottom w:val="nil"/>
            </w:tcBorders>
            <w:vAlign w:val="top"/>
          </w:tcPr>
          <w:p w14:paraId="6E53E6F5">
            <w:pPr>
              <w:rPr>
                <w:rFonts w:ascii="Arial"/>
                <w:sz w:val="21"/>
              </w:rPr>
            </w:pPr>
          </w:p>
        </w:tc>
        <w:tc>
          <w:tcPr>
            <w:tcW w:w="1441" w:type="dxa"/>
            <w:tcBorders>
              <w:top w:val="single" w:color="000000" w:sz="10" w:space="0"/>
            </w:tcBorders>
            <w:vAlign w:val="top"/>
          </w:tcPr>
          <w:p w14:paraId="3742FF39">
            <w:pPr>
              <w:spacing w:before="198" w:line="221" w:lineRule="auto"/>
              <w:ind w:left="512"/>
              <w:rPr>
                <w:rFonts w:ascii="仿宋" w:hAnsi="仿宋" w:eastAsia="仿宋" w:cs="仿宋"/>
                <w:sz w:val="18"/>
                <w:szCs w:val="18"/>
              </w:rPr>
            </w:pPr>
            <w:r>
              <w:rPr>
                <w:rFonts w:ascii="仿宋" w:hAnsi="仿宋" w:eastAsia="仿宋" w:cs="仿宋"/>
                <w:spacing w:val="-6"/>
                <w:sz w:val="18"/>
                <w:szCs w:val="18"/>
              </w:rPr>
              <w:t>污染物</w:t>
            </w:r>
          </w:p>
        </w:tc>
        <w:tc>
          <w:tcPr>
            <w:tcW w:w="1670" w:type="dxa"/>
            <w:tcBorders>
              <w:top w:val="single" w:color="000000" w:sz="10" w:space="0"/>
            </w:tcBorders>
            <w:vAlign w:val="top"/>
          </w:tcPr>
          <w:p w14:paraId="76BCF594">
            <w:pPr>
              <w:spacing w:before="198" w:line="222" w:lineRule="auto"/>
              <w:ind w:left="396"/>
              <w:rPr>
                <w:rFonts w:ascii="仿宋" w:hAnsi="仿宋" w:eastAsia="仿宋" w:cs="仿宋"/>
                <w:sz w:val="18"/>
                <w:szCs w:val="18"/>
              </w:rPr>
            </w:pPr>
            <w:r>
              <w:rPr>
                <w:rFonts w:ascii="仿宋" w:hAnsi="仿宋" w:eastAsia="仿宋" w:cs="仿宋"/>
                <w:spacing w:val="-4"/>
                <w:sz w:val="18"/>
                <w:szCs w:val="18"/>
              </w:rPr>
              <w:t>年评价指标</w:t>
            </w:r>
          </w:p>
        </w:tc>
        <w:tc>
          <w:tcPr>
            <w:tcW w:w="1385" w:type="dxa"/>
            <w:tcBorders>
              <w:top w:val="single" w:color="000000" w:sz="10" w:space="0"/>
            </w:tcBorders>
            <w:vAlign w:val="top"/>
          </w:tcPr>
          <w:p w14:paraId="2A897F5E">
            <w:pPr>
              <w:pStyle w:val="6"/>
              <w:spacing w:before="79" w:line="233" w:lineRule="auto"/>
              <w:ind w:left="393" w:right="304" w:hanging="78"/>
              <w:rPr>
                <w:rFonts w:ascii="仿宋" w:hAnsi="仿宋" w:eastAsia="仿宋" w:cs="仿宋"/>
              </w:rPr>
            </w:pPr>
            <w:r>
              <w:rPr>
                <w:rFonts w:ascii="仿宋" w:hAnsi="仿宋" w:eastAsia="仿宋" w:cs="仿宋"/>
                <w:spacing w:val="-3"/>
              </w:rPr>
              <w:t>现状浓度</w:t>
            </w:r>
            <w:r>
              <w:rPr>
                <w:spacing w:val="-3"/>
              </w:rPr>
              <w:t>/</w:t>
            </w:r>
            <w:r>
              <w:rPr>
                <w:spacing w:val="3"/>
              </w:rPr>
              <w:t xml:space="preserve"> </w:t>
            </w:r>
            <w:r>
              <w:rPr>
                <w:rFonts w:ascii="仿宋" w:hAnsi="仿宋" w:eastAsia="仿宋" w:cs="仿宋"/>
                <w:spacing w:val="-4"/>
              </w:rPr>
              <w:t>(</w:t>
            </w:r>
            <w:r>
              <w:rPr>
                <w:spacing w:val="-4"/>
              </w:rPr>
              <w:t>μg/m</w:t>
            </w:r>
            <w:r>
              <w:rPr>
                <w:spacing w:val="-4"/>
                <w:sz w:val="11"/>
                <w:szCs w:val="11"/>
              </w:rPr>
              <w:t>3</w:t>
            </w:r>
            <w:r>
              <w:rPr>
                <w:rFonts w:ascii="仿宋" w:hAnsi="仿宋" w:eastAsia="仿宋" w:cs="仿宋"/>
                <w:spacing w:val="-4"/>
              </w:rPr>
              <w:t>）</w:t>
            </w:r>
          </w:p>
        </w:tc>
        <w:tc>
          <w:tcPr>
            <w:tcW w:w="1222" w:type="dxa"/>
            <w:tcBorders>
              <w:top w:val="single" w:color="000000" w:sz="10" w:space="0"/>
            </w:tcBorders>
            <w:vAlign w:val="top"/>
          </w:tcPr>
          <w:p w14:paraId="4116849B">
            <w:pPr>
              <w:pStyle w:val="6"/>
              <w:spacing w:before="79" w:line="233" w:lineRule="auto"/>
              <w:ind w:left="315" w:right="226" w:firstLine="12"/>
              <w:rPr>
                <w:rFonts w:ascii="仿宋" w:hAnsi="仿宋" w:eastAsia="仿宋" w:cs="仿宋"/>
              </w:rPr>
            </w:pPr>
            <w:r>
              <w:rPr>
                <w:rFonts w:ascii="仿宋" w:hAnsi="仿宋" w:eastAsia="仿宋" w:cs="仿宋"/>
                <w:spacing w:val="-3"/>
              </w:rPr>
              <w:t>标准值</w:t>
            </w:r>
            <w:r>
              <w:rPr>
                <w:spacing w:val="-3"/>
              </w:rPr>
              <w:t>/</w:t>
            </w:r>
            <w:r>
              <w:t xml:space="preserve"> </w:t>
            </w:r>
            <w:r>
              <w:rPr>
                <w:rFonts w:ascii="仿宋" w:hAnsi="仿宋" w:eastAsia="仿宋" w:cs="仿宋"/>
                <w:spacing w:val="-4"/>
              </w:rPr>
              <w:t>(</w:t>
            </w:r>
            <w:r>
              <w:rPr>
                <w:spacing w:val="-4"/>
              </w:rPr>
              <w:t>μg/m</w:t>
            </w:r>
            <w:r>
              <w:rPr>
                <w:spacing w:val="-4"/>
                <w:sz w:val="11"/>
                <w:szCs w:val="11"/>
              </w:rPr>
              <w:t>3</w:t>
            </w:r>
            <w:r>
              <w:rPr>
                <w:rFonts w:ascii="仿宋" w:hAnsi="仿宋" w:eastAsia="仿宋" w:cs="仿宋"/>
                <w:spacing w:val="-4"/>
              </w:rPr>
              <w:t>）</w:t>
            </w:r>
          </w:p>
        </w:tc>
        <w:tc>
          <w:tcPr>
            <w:tcW w:w="1222" w:type="dxa"/>
            <w:tcBorders>
              <w:top w:val="single" w:color="000000" w:sz="10" w:space="0"/>
            </w:tcBorders>
            <w:vAlign w:val="top"/>
          </w:tcPr>
          <w:p w14:paraId="597F4421">
            <w:pPr>
              <w:pStyle w:val="6"/>
              <w:spacing w:before="198" w:line="222" w:lineRule="auto"/>
              <w:ind w:right="9"/>
              <w:jc w:val="right"/>
              <w:rPr>
                <w:rFonts w:ascii="仿宋" w:hAnsi="仿宋" w:eastAsia="仿宋" w:cs="仿宋"/>
              </w:rPr>
            </w:pPr>
            <w:r>
              <w:rPr>
                <w:rFonts w:ascii="仿宋" w:hAnsi="仿宋" w:eastAsia="仿宋" w:cs="仿宋"/>
                <w:spacing w:val="-7"/>
              </w:rPr>
              <w:t>占标率</w:t>
            </w:r>
            <w:r>
              <w:rPr>
                <w:spacing w:val="-7"/>
              </w:rPr>
              <w:t>/</w:t>
            </w:r>
            <w:r>
              <w:rPr>
                <w:rFonts w:ascii="仿宋" w:hAnsi="仿宋" w:eastAsia="仿宋" w:cs="仿宋"/>
                <w:spacing w:val="-7"/>
              </w:rPr>
              <w:t>（</w:t>
            </w:r>
            <w:r>
              <w:rPr>
                <w:spacing w:val="-7"/>
              </w:rPr>
              <w:t>%</w:t>
            </w:r>
            <w:r>
              <w:rPr>
                <w:rFonts w:ascii="仿宋" w:hAnsi="仿宋" w:eastAsia="仿宋" w:cs="仿宋"/>
                <w:spacing w:val="-7"/>
              </w:rPr>
              <w:t>）</w:t>
            </w:r>
          </w:p>
        </w:tc>
        <w:tc>
          <w:tcPr>
            <w:tcW w:w="938" w:type="dxa"/>
            <w:tcBorders>
              <w:top w:val="single" w:color="000000" w:sz="10" w:space="0"/>
              <w:right w:val="single" w:color="000000" w:sz="6" w:space="0"/>
            </w:tcBorders>
            <w:vAlign w:val="top"/>
          </w:tcPr>
          <w:p w14:paraId="526E2C5A">
            <w:pPr>
              <w:spacing w:before="81" w:line="222" w:lineRule="auto"/>
              <w:ind w:left="248"/>
              <w:rPr>
                <w:rFonts w:ascii="仿宋" w:hAnsi="仿宋" w:eastAsia="仿宋" w:cs="仿宋"/>
                <w:sz w:val="18"/>
                <w:szCs w:val="18"/>
              </w:rPr>
            </w:pPr>
            <w:r>
              <w:rPr>
                <w:rFonts w:ascii="仿宋" w:hAnsi="仿宋" w:eastAsia="仿宋" w:cs="仿宋"/>
                <w:spacing w:val="-8"/>
                <w:sz w:val="18"/>
                <w:szCs w:val="18"/>
              </w:rPr>
              <w:t>达标</w:t>
            </w:r>
          </w:p>
          <w:p w14:paraId="7CAD2667">
            <w:pPr>
              <w:spacing w:before="16" w:line="222" w:lineRule="auto"/>
              <w:ind w:left="250"/>
              <w:rPr>
                <w:rFonts w:ascii="仿宋" w:hAnsi="仿宋" w:eastAsia="仿宋" w:cs="仿宋"/>
                <w:sz w:val="18"/>
                <w:szCs w:val="18"/>
              </w:rPr>
            </w:pPr>
            <w:r>
              <w:rPr>
                <w:rFonts w:ascii="仿宋" w:hAnsi="仿宋" w:eastAsia="仿宋" w:cs="仿宋"/>
                <w:spacing w:val="-9"/>
                <w:sz w:val="18"/>
                <w:szCs w:val="18"/>
              </w:rPr>
              <w:t>情况</w:t>
            </w:r>
          </w:p>
        </w:tc>
      </w:tr>
      <w:tr w14:paraId="6F0394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28" w:type="dxa"/>
            <w:vMerge w:val="continue"/>
            <w:tcBorders>
              <w:top w:val="nil"/>
              <w:left w:val="single" w:color="000000" w:sz="6" w:space="0"/>
              <w:bottom w:val="nil"/>
            </w:tcBorders>
            <w:vAlign w:val="top"/>
          </w:tcPr>
          <w:p w14:paraId="03C70938">
            <w:pPr>
              <w:rPr>
                <w:rFonts w:ascii="Arial"/>
                <w:sz w:val="21"/>
              </w:rPr>
            </w:pPr>
          </w:p>
        </w:tc>
        <w:tc>
          <w:tcPr>
            <w:tcW w:w="1441" w:type="dxa"/>
            <w:vMerge w:val="restart"/>
            <w:tcBorders>
              <w:bottom w:val="nil"/>
            </w:tcBorders>
            <w:vAlign w:val="top"/>
          </w:tcPr>
          <w:p w14:paraId="31E4C7D3">
            <w:pPr>
              <w:pStyle w:val="6"/>
              <w:spacing w:before="100" w:line="190" w:lineRule="auto"/>
              <w:ind w:left="581"/>
              <w:rPr>
                <w:sz w:val="11"/>
                <w:szCs w:val="11"/>
              </w:rPr>
            </w:pPr>
            <w:r>
              <w:t>PM</w:t>
            </w:r>
            <w:r>
              <w:rPr>
                <w:spacing w:val="1"/>
                <w:position w:val="-1"/>
                <w:sz w:val="11"/>
                <w:szCs w:val="11"/>
              </w:rPr>
              <w:t>10</w:t>
            </w:r>
          </w:p>
          <w:p w14:paraId="2967E250">
            <w:pPr>
              <w:spacing w:line="38" w:lineRule="exact"/>
            </w:pPr>
          </w:p>
          <w:tbl>
            <w:tblPr>
              <w:tblStyle w:val="5"/>
              <w:tblW w:w="1335" w:type="dxa"/>
              <w:tblInd w:w="10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1335"/>
            </w:tblGrid>
            <w:tr w14:paraId="414C208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41" w:hRule="atLeast"/>
              </w:trPr>
              <w:tc>
                <w:tcPr>
                  <w:tcW w:w="1335" w:type="dxa"/>
                  <w:tcBorders>
                    <w:top w:val="single" w:color="000000" w:sz="2" w:space="0"/>
                    <w:bottom w:val="single" w:color="000000" w:sz="2" w:space="0"/>
                  </w:tcBorders>
                  <w:vAlign w:val="top"/>
                </w:tcPr>
                <w:p w14:paraId="6BC7CC39">
                  <w:pPr>
                    <w:pStyle w:val="6"/>
                    <w:spacing w:before="64" w:line="190" w:lineRule="auto"/>
                    <w:ind w:left="465"/>
                    <w:rPr>
                      <w:sz w:val="11"/>
                      <w:szCs w:val="11"/>
                    </w:rPr>
                  </w:pPr>
                  <w:r>
                    <w:t>PM</w:t>
                  </w:r>
                  <w:r>
                    <w:rPr>
                      <w:spacing w:val="1"/>
                      <w:position w:val="-1"/>
                      <w:sz w:val="11"/>
                      <w:szCs w:val="11"/>
                    </w:rPr>
                    <w:t>2.5</w:t>
                  </w:r>
                </w:p>
              </w:tc>
            </w:tr>
            <w:tr w14:paraId="59C2FC64">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40" w:hRule="atLeast"/>
              </w:trPr>
              <w:tc>
                <w:tcPr>
                  <w:tcW w:w="1335" w:type="dxa"/>
                  <w:tcBorders>
                    <w:top w:val="single" w:color="000000" w:sz="2" w:space="0"/>
                    <w:bottom w:val="single" w:color="000000" w:sz="2" w:space="0"/>
                  </w:tcBorders>
                  <w:vAlign w:val="top"/>
                </w:tcPr>
                <w:p w14:paraId="2DEFB2EA">
                  <w:pPr>
                    <w:pStyle w:val="6"/>
                    <w:spacing w:before="59" w:line="194" w:lineRule="auto"/>
                    <w:ind w:left="533"/>
                    <w:rPr>
                      <w:sz w:val="11"/>
                      <w:szCs w:val="11"/>
                    </w:rPr>
                  </w:pPr>
                  <w:r>
                    <w:rPr>
                      <w:spacing w:val="-4"/>
                    </w:rPr>
                    <w:t>SO</w:t>
                  </w:r>
                  <w:r>
                    <w:rPr>
                      <w:spacing w:val="-4"/>
                      <w:position w:val="-1"/>
                      <w:sz w:val="11"/>
                      <w:szCs w:val="11"/>
                    </w:rPr>
                    <w:t>2</w:t>
                  </w:r>
                </w:p>
              </w:tc>
            </w:tr>
          </w:tbl>
          <w:p w14:paraId="583011DE">
            <w:pPr>
              <w:pStyle w:val="6"/>
              <w:spacing w:before="57" w:line="187" w:lineRule="auto"/>
              <w:ind w:left="605"/>
              <w:rPr>
                <w:sz w:val="11"/>
                <w:szCs w:val="11"/>
              </w:rPr>
            </w:pPr>
            <w:r>
              <w:t>NO</w:t>
            </w:r>
            <w:r>
              <w:rPr>
                <w:spacing w:val="3"/>
                <w:position w:val="-1"/>
                <w:sz w:val="11"/>
                <w:szCs w:val="11"/>
              </w:rPr>
              <w:t>2</w:t>
            </w:r>
          </w:p>
        </w:tc>
        <w:tc>
          <w:tcPr>
            <w:tcW w:w="1670" w:type="dxa"/>
            <w:vMerge w:val="restart"/>
            <w:tcBorders>
              <w:bottom w:val="nil"/>
            </w:tcBorders>
            <w:vAlign w:val="top"/>
          </w:tcPr>
          <w:p w14:paraId="7114D516">
            <w:pPr>
              <w:spacing w:line="370" w:lineRule="auto"/>
              <w:rPr>
                <w:rFonts w:ascii="Arial"/>
                <w:sz w:val="21"/>
              </w:rPr>
            </w:pPr>
          </w:p>
          <w:p w14:paraId="44A06271">
            <w:pPr>
              <w:spacing w:before="58" w:line="222" w:lineRule="auto"/>
              <w:ind w:left="216"/>
              <w:rPr>
                <w:rFonts w:ascii="仿宋" w:hAnsi="仿宋" w:eastAsia="仿宋" w:cs="仿宋"/>
                <w:sz w:val="18"/>
                <w:szCs w:val="18"/>
              </w:rPr>
            </w:pPr>
            <w:r>
              <w:rPr>
                <w:rFonts w:ascii="仿宋" w:hAnsi="仿宋" w:eastAsia="仿宋" w:cs="仿宋"/>
                <w:spacing w:val="-3"/>
                <w:sz w:val="18"/>
                <w:szCs w:val="18"/>
              </w:rPr>
              <w:t>年平均质量浓度</w:t>
            </w:r>
          </w:p>
        </w:tc>
        <w:tc>
          <w:tcPr>
            <w:tcW w:w="1385" w:type="dxa"/>
            <w:vAlign w:val="top"/>
          </w:tcPr>
          <w:p w14:paraId="05529E0E">
            <w:pPr>
              <w:pStyle w:val="6"/>
              <w:spacing w:before="97" w:line="188" w:lineRule="auto"/>
              <w:ind w:left="608"/>
            </w:pPr>
            <w:r>
              <w:rPr>
                <w:spacing w:val="-4"/>
              </w:rPr>
              <w:t>54</w:t>
            </w:r>
          </w:p>
        </w:tc>
        <w:tc>
          <w:tcPr>
            <w:tcW w:w="1222" w:type="dxa"/>
            <w:vAlign w:val="top"/>
          </w:tcPr>
          <w:p w14:paraId="5210E245">
            <w:pPr>
              <w:pStyle w:val="6"/>
              <w:spacing w:before="97" w:line="188" w:lineRule="auto"/>
              <w:ind w:left="528"/>
            </w:pPr>
            <w:r>
              <w:rPr>
                <w:spacing w:val="-4"/>
              </w:rPr>
              <w:t>60</w:t>
            </w:r>
          </w:p>
        </w:tc>
        <w:tc>
          <w:tcPr>
            <w:tcW w:w="1222" w:type="dxa"/>
            <w:vAlign w:val="top"/>
          </w:tcPr>
          <w:p w14:paraId="20251817">
            <w:pPr>
              <w:pStyle w:val="6"/>
              <w:spacing w:before="140" w:line="170" w:lineRule="auto"/>
              <w:ind w:left="529"/>
            </w:pPr>
            <w:r>
              <w:rPr>
                <w:spacing w:val="-4"/>
              </w:rPr>
              <w:t>90</w:t>
            </w:r>
          </w:p>
        </w:tc>
        <w:tc>
          <w:tcPr>
            <w:tcW w:w="938" w:type="dxa"/>
            <w:tcBorders>
              <w:right w:val="single" w:color="000000" w:sz="6" w:space="0"/>
            </w:tcBorders>
            <w:vAlign w:val="top"/>
          </w:tcPr>
          <w:p w14:paraId="56CCC387">
            <w:pPr>
              <w:spacing w:before="66" w:line="222" w:lineRule="auto"/>
              <w:ind w:left="248"/>
              <w:rPr>
                <w:rFonts w:ascii="仿宋" w:hAnsi="仿宋" w:eastAsia="仿宋" w:cs="仿宋"/>
                <w:sz w:val="18"/>
                <w:szCs w:val="18"/>
              </w:rPr>
            </w:pPr>
            <w:r>
              <w:rPr>
                <w:rFonts w:ascii="仿宋" w:hAnsi="仿宋" w:eastAsia="仿宋" w:cs="仿宋"/>
                <w:spacing w:val="-8"/>
                <w:sz w:val="18"/>
                <w:szCs w:val="18"/>
              </w:rPr>
              <w:t>达标</w:t>
            </w:r>
          </w:p>
        </w:tc>
      </w:tr>
      <w:tr w14:paraId="026CCC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28" w:type="dxa"/>
            <w:vMerge w:val="continue"/>
            <w:tcBorders>
              <w:top w:val="nil"/>
              <w:left w:val="single" w:color="000000" w:sz="6" w:space="0"/>
              <w:bottom w:val="nil"/>
            </w:tcBorders>
            <w:vAlign w:val="top"/>
          </w:tcPr>
          <w:p w14:paraId="241301C4">
            <w:pPr>
              <w:rPr>
                <w:rFonts w:ascii="Arial"/>
                <w:sz w:val="21"/>
              </w:rPr>
            </w:pPr>
          </w:p>
        </w:tc>
        <w:tc>
          <w:tcPr>
            <w:tcW w:w="1441" w:type="dxa"/>
            <w:vMerge w:val="continue"/>
            <w:tcBorders>
              <w:top w:val="nil"/>
              <w:bottom w:val="nil"/>
            </w:tcBorders>
            <w:vAlign w:val="top"/>
          </w:tcPr>
          <w:p w14:paraId="6721CB1A">
            <w:pPr>
              <w:rPr>
                <w:rFonts w:ascii="Arial"/>
                <w:sz w:val="21"/>
              </w:rPr>
            </w:pPr>
          </w:p>
        </w:tc>
        <w:tc>
          <w:tcPr>
            <w:tcW w:w="1670" w:type="dxa"/>
            <w:vMerge w:val="continue"/>
            <w:tcBorders>
              <w:top w:val="nil"/>
              <w:bottom w:val="nil"/>
            </w:tcBorders>
            <w:vAlign w:val="top"/>
          </w:tcPr>
          <w:p w14:paraId="2035267B">
            <w:pPr>
              <w:rPr>
                <w:rFonts w:ascii="Arial"/>
                <w:sz w:val="21"/>
              </w:rPr>
            </w:pPr>
          </w:p>
        </w:tc>
        <w:tc>
          <w:tcPr>
            <w:tcW w:w="1385" w:type="dxa"/>
            <w:vAlign w:val="top"/>
          </w:tcPr>
          <w:p w14:paraId="4A957B1D">
            <w:pPr>
              <w:pStyle w:val="6"/>
              <w:spacing w:before="66" w:line="188" w:lineRule="auto"/>
              <w:ind w:left="620"/>
            </w:pPr>
            <w:r>
              <w:rPr>
                <w:spacing w:val="-10"/>
              </w:rPr>
              <w:t>18</w:t>
            </w:r>
          </w:p>
        </w:tc>
        <w:tc>
          <w:tcPr>
            <w:tcW w:w="1222" w:type="dxa"/>
            <w:vAlign w:val="top"/>
          </w:tcPr>
          <w:p w14:paraId="32F47224">
            <w:pPr>
              <w:pStyle w:val="6"/>
              <w:spacing w:before="66" w:line="188" w:lineRule="auto"/>
              <w:ind w:left="527"/>
            </w:pPr>
            <w:r>
              <w:rPr>
                <w:spacing w:val="-4"/>
              </w:rPr>
              <w:t>30</w:t>
            </w:r>
          </w:p>
        </w:tc>
        <w:tc>
          <w:tcPr>
            <w:tcW w:w="1222" w:type="dxa"/>
            <w:vAlign w:val="top"/>
          </w:tcPr>
          <w:p w14:paraId="6C763D16">
            <w:pPr>
              <w:pStyle w:val="6"/>
              <w:spacing w:before="80" w:line="172" w:lineRule="auto"/>
              <w:ind w:left="530"/>
            </w:pPr>
            <w:r>
              <w:rPr>
                <w:spacing w:val="-4"/>
              </w:rPr>
              <w:t>60</w:t>
            </w:r>
          </w:p>
        </w:tc>
        <w:tc>
          <w:tcPr>
            <w:tcW w:w="938" w:type="dxa"/>
            <w:tcBorders>
              <w:right w:val="single" w:color="000000" w:sz="6" w:space="0"/>
            </w:tcBorders>
            <w:vAlign w:val="top"/>
          </w:tcPr>
          <w:p w14:paraId="35745203">
            <w:pPr>
              <w:spacing w:before="37" w:line="196" w:lineRule="auto"/>
              <w:ind w:left="248"/>
              <w:rPr>
                <w:rFonts w:ascii="仿宋" w:hAnsi="仿宋" w:eastAsia="仿宋" w:cs="仿宋"/>
                <w:sz w:val="18"/>
                <w:szCs w:val="18"/>
              </w:rPr>
            </w:pPr>
            <w:r>
              <w:rPr>
                <w:rFonts w:ascii="仿宋" w:hAnsi="仿宋" w:eastAsia="仿宋" w:cs="仿宋"/>
                <w:spacing w:val="-8"/>
                <w:sz w:val="18"/>
                <w:szCs w:val="18"/>
              </w:rPr>
              <w:t>达标</w:t>
            </w:r>
          </w:p>
        </w:tc>
      </w:tr>
      <w:tr w14:paraId="761707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28" w:type="dxa"/>
            <w:vMerge w:val="continue"/>
            <w:tcBorders>
              <w:top w:val="nil"/>
              <w:left w:val="single" w:color="000000" w:sz="6" w:space="0"/>
              <w:bottom w:val="nil"/>
            </w:tcBorders>
            <w:vAlign w:val="top"/>
          </w:tcPr>
          <w:p w14:paraId="2034AC7A">
            <w:pPr>
              <w:rPr>
                <w:rFonts w:ascii="Arial"/>
                <w:sz w:val="21"/>
              </w:rPr>
            </w:pPr>
          </w:p>
        </w:tc>
        <w:tc>
          <w:tcPr>
            <w:tcW w:w="1441" w:type="dxa"/>
            <w:vMerge w:val="continue"/>
            <w:tcBorders>
              <w:top w:val="nil"/>
              <w:bottom w:val="nil"/>
            </w:tcBorders>
            <w:vAlign w:val="top"/>
          </w:tcPr>
          <w:p w14:paraId="5FFC1907">
            <w:pPr>
              <w:rPr>
                <w:rFonts w:ascii="Arial"/>
                <w:sz w:val="21"/>
              </w:rPr>
            </w:pPr>
          </w:p>
        </w:tc>
        <w:tc>
          <w:tcPr>
            <w:tcW w:w="1670" w:type="dxa"/>
            <w:vMerge w:val="continue"/>
            <w:tcBorders>
              <w:top w:val="nil"/>
              <w:bottom w:val="nil"/>
            </w:tcBorders>
            <w:vAlign w:val="top"/>
          </w:tcPr>
          <w:p w14:paraId="3EE6F308">
            <w:pPr>
              <w:rPr>
                <w:rFonts w:ascii="Arial"/>
                <w:sz w:val="21"/>
              </w:rPr>
            </w:pPr>
          </w:p>
        </w:tc>
        <w:tc>
          <w:tcPr>
            <w:tcW w:w="1385" w:type="dxa"/>
            <w:vAlign w:val="top"/>
          </w:tcPr>
          <w:p w14:paraId="62C12951">
            <w:pPr>
              <w:pStyle w:val="6"/>
              <w:spacing w:before="69" w:line="184" w:lineRule="auto"/>
              <w:ind w:left="652"/>
            </w:pPr>
            <w:r>
              <w:t>7</w:t>
            </w:r>
          </w:p>
        </w:tc>
        <w:tc>
          <w:tcPr>
            <w:tcW w:w="1222" w:type="dxa"/>
            <w:vAlign w:val="top"/>
          </w:tcPr>
          <w:p w14:paraId="1FCAC97A">
            <w:pPr>
              <w:pStyle w:val="6"/>
              <w:spacing w:before="66" w:line="187" w:lineRule="auto"/>
              <w:ind w:left="528"/>
            </w:pPr>
            <w:r>
              <w:rPr>
                <w:spacing w:val="-4"/>
              </w:rPr>
              <w:t>60</w:t>
            </w:r>
          </w:p>
        </w:tc>
        <w:tc>
          <w:tcPr>
            <w:tcW w:w="1222" w:type="dxa"/>
            <w:vAlign w:val="top"/>
          </w:tcPr>
          <w:p w14:paraId="43F1C946">
            <w:pPr>
              <w:pStyle w:val="6"/>
              <w:spacing w:before="78" w:line="173" w:lineRule="auto"/>
              <w:ind w:left="481"/>
            </w:pPr>
            <w:r>
              <w:rPr>
                <w:spacing w:val="-7"/>
              </w:rPr>
              <w:t>11.7</w:t>
            </w:r>
          </w:p>
        </w:tc>
        <w:tc>
          <w:tcPr>
            <w:tcW w:w="938" w:type="dxa"/>
            <w:tcBorders>
              <w:right w:val="single" w:color="000000" w:sz="6" w:space="0"/>
            </w:tcBorders>
            <w:vAlign w:val="top"/>
          </w:tcPr>
          <w:p w14:paraId="6DC18F1E">
            <w:pPr>
              <w:spacing w:before="35" w:line="197" w:lineRule="auto"/>
              <w:ind w:left="248"/>
              <w:rPr>
                <w:rFonts w:ascii="仿宋" w:hAnsi="仿宋" w:eastAsia="仿宋" w:cs="仿宋"/>
                <w:sz w:val="18"/>
                <w:szCs w:val="18"/>
              </w:rPr>
            </w:pPr>
            <w:r>
              <w:rPr>
                <w:rFonts w:ascii="仿宋" w:hAnsi="仿宋" w:eastAsia="仿宋" w:cs="仿宋"/>
                <w:spacing w:val="-8"/>
                <w:sz w:val="18"/>
                <w:szCs w:val="18"/>
              </w:rPr>
              <w:t>达标</w:t>
            </w:r>
          </w:p>
        </w:tc>
      </w:tr>
      <w:tr w14:paraId="00A94D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28" w:type="dxa"/>
            <w:vMerge w:val="continue"/>
            <w:tcBorders>
              <w:top w:val="nil"/>
              <w:left w:val="single" w:color="000000" w:sz="6" w:space="0"/>
              <w:bottom w:val="nil"/>
            </w:tcBorders>
            <w:vAlign w:val="top"/>
          </w:tcPr>
          <w:p w14:paraId="7DAB13BC">
            <w:pPr>
              <w:rPr>
                <w:rFonts w:ascii="Arial"/>
                <w:sz w:val="21"/>
              </w:rPr>
            </w:pPr>
          </w:p>
        </w:tc>
        <w:tc>
          <w:tcPr>
            <w:tcW w:w="1441" w:type="dxa"/>
            <w:vMerge w:val="continue"/>
            <w:tcBorders>
              <w:top w:val="nil"/>
            </w:tcBorders>
            <w:vAlign w:val="top"/>
          </w:tcPr>
          <w:p w14:paraId="0008E4F5">
            <w:pPr>
              <w:rPr>
                <w:rFonts w:ascii="Arial"/>
                <w:sz w:val="21"/>
              </w:rPr>
            </w:pPr>
          </w:p>
        </w:tc>
        <w:tc>
          <w:tcPr>
            <w:tcW w:w="1670" w:type="dxa"/>
            <w:vMerge w:val="continue"/>
            <w:tcBorders>
              <w:top w:val="nil"/>
            </w:tcBorders>
            <w:vAlign w:val="top"/>
          </w:tcPr>
          <w:p w14:paraId="5B50ED4D">
            <w:pPr>
              <w:rPr>
                <w:rFonts w:ascii="Arial"/>
                <w:sz w:val="21"/>
              </w:rPr>
            </w:pPr>
          </w:p>
        </w:tc>
        <w:tc>
          <w:tcPr>
            <w:tcW w:w="1385" w:type="dxa"/>
            <w:vAlign w:val="top"/>
          </w:tcPr>
          <w:p w14:paraId="0B73E314">
            <w:pPr>
              <w:pStyle w:val="6"/>
              <w:spacing w:before="66" w:line="187" w:lineRule="auto"/>
              <w:ind w:left="603"/>
            </w:pPr>
            <w:r>
              <w:rPr>
                <w:spacing w:val="-2"/>
              </w:rPr>
              <w:t>20</w:t>
            </w:r>
          </w:p>
        </w:tc>
        <w:tc>
          <w:tcPr>
            <w:tcW w:w="1222" w:type="dxa"/>
            <w:vAlign w:val="top"/>
          </w:tcPr>
          <w:p w14:paraId="2504FDC7">
            <w:pPr>
              <w:pStyle w:val="6"/>
              <w:spacing w:before="66" w:line="187" w:lineRule="auto"/>
              <w:ind w:left="523"/>
            </w:pPr>
            <w:r>
              <w:rPr>
                <w:spacing w:val="-1"/>
              </w:rPr>
              <w:t>40</w:t>
            </w:r>
          </w:p>
        </w:tc>
        <w:tc>
          <w:tcPr>
            <w:tcW w:w="1222" w:type="dxa"/>
            <w:vAlign w:val="top"/>
          </w:tcPr>
          <w:p w14:paraId="03818E8D">
            <w:pPr>
              <w:pStyle w:val="6"/>
              <w:spacing w:before="80" w:line="171" w:lineRule="auto"/>
              <w:ind w:left="487"/>
            </w:pPr>
            <w:r>
              <w:rPr>
                <w:spacing w:val="-3"/>
              </w:rPr>
              <w:t>500</w:t>
            </w:r>
          </w:p>
        </w:tc>
        <w:tc>
          <w:tcPr>
            <w:tcW w:w="938" w:type="dxa"/>
            <w:tcBorders>
              <w:right w:val="single" w:color="000000" w:sz="6" w:space="0"/>
            </w:tcBorders>
            <w:vAlign w:val="top"/>
          </w:tcPr>
          <w:p w14:paraId="3239568D">
            <w:pPr>
              <w:spacing w:before="37" w:line="195" w:lineRule="auto"/>
              <w:ind w:left="248"/>
              <w:rPr>
                <w:rFonts w:ascii="仿宋" w:hAnsi="仿宋" w:eastAsia="仿宋" w:cs="仿宋"/>
                <w:sz w:val="18"/>
                <w:szCs w:val="18"/>
              </w:rPr>
            </w:pPr>
            <w:r>
              <w:rPr>
                <w:rFonts w:ascii="仿宋" w:hAnsi="仿宋" w:eastAsia="仿宋" w:cs="仿宋"/>
                <w:spacing w:val="-8"/>
                <w:sz w:val="18"/>
                <w:szCs w:val="18"/>
              </w:rPr>
              <w:t>达标</w:t>
            </w:r>
          </w:p>
        </w:tc>
      </w:tr>
      <w:tr w14:paraId="11B896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28" w:type="dxa"/>
            <w:vMerge w:val="continue"/>
            <w:tcBorders>
              <w:top w:val="nil"/>
              <w:left w:val="single" w:color="000000" w:sz="6" w:space="0"/>
              <w:bottom w:val="nil"/>
            </w:tcBorders>
            <w:vAlign w:val="top"/>
          </w:tcPr>
          <w:p w14:paraId="65C36A22">
            <w:pPr>
              <w:rPr>
                <w:rFonts w:ascii="Arial"/>
                <w:sz w:val="21"/>
              </w:rPr>
            </w:pPr>
          </w:p>
        </w:tc>
        <w:tc>
          <w:tcPr>
            <w:tcW w:w="1441" w:type="dxa"/>
            <w:vAlign w:val="top"/>
          </w:tcPr>
          <w:p w14:paraId="4B0B32CA">
            <w:pPr>
              <w:pStyle w:val="6"/>
              <w:spacing w:before="37" w:line="217" w:lineRule="auto"/>
              <w:ind w:left="421" w:right="139" w:hanging="177"/>
              <w:rPr>
                <w:rFonts w:ascii="仿宋" w:hAnsi="仿宋" w:eastAsia="仿宋" w:cs="仿宋"/>
              </w:rPr>
            </w:pPr>
            <w:r>
              <w:rPr>
                <w:spacing w:val="-5"/>
              </w:rPr>
              <w:t>CO</w:t>
            </w:r>
            <w:r>
              <w:rPr>
                <w:rFonts w:ascii="仿宋" w:hAnsi="仿宋" w:eastAsia="仿宋" w:cs="仿宋"/>
                <w:spacing w:val="-5"/>
              </w:rPr>
              <w:t>（第</w:t>
            </w:r>
            <w:r>
              <w:rPr>
                <w:rFonts w:ascii="仿宋" w:hAnsi="仿宋" w:eastAsia="仿宋" w:cs="仿宋"/>
                <w:spacing w:val="-38"/>
              </w:rPr>
              <w:t xml:space="preserve"> </w:t>
            </w:r>
            <w:r>
              <w:rPr>
                <w:spacing w:val="-5"/>
              </w:rPr>
              <w:t>95</w:t>
            </w:r>
            <w:r>
              <w:rPr>
                <w:spacing w:val="18"/>
                <w:w w:val="101"/>
              </w:rPr>
              <w:t xml:space="preserve"> </w:t>
            </w:r>
            <w:r>
              <w:rPr>
                <w:rFonts w:ascii="仿宋" w:hAnsi="仿宋" w:eastAsia="仿宋" w:cs="仿宋"/>
                <w:spacing w:val="-5"/>
              </w:rPr>
              <w:t>百</w:t>
            </w:r>
            <w:r>
              <w:rPr>
                <w:rFonts w:ascii="仿宋" w:hAnsi="仿宋" w:eastAsia="仿宋" w:cs="仿宋"/>
                <w:spacing w:val="-4"/>
              </w:rPr>
              <w:t>分位数）</w:t>
            </w:r>
          </w:p>
        </w:tc>
        <w:tc>
          <w:tcPr>
            <w:tcW w:w="1670" w:type="dxa"/>
            <w:vAlign w:val="top"/>
          </w:tcPr>
          <w:p w14:paraId="2F838073">
            <w:pPr>
              <w:spacing w:before="37" w:line="217" w:lineRule="auto"/>
              <w:ind w:left="574" w:right="115" w:hanging="444"/>
              <w:rPr>
                <w:rFonts w:ascii="仿宋" w:hAnsi="仿宋" w:eastAsia="仿宋" w:cs="仿宋"/>
                <w:sz w:val="18"/>
                <w:szCs w:val="18"/>
              </w:rPr>
            </w:pPr>
            <w:r>
              <w:rPr>
                <w:rFonts w:ascii="仿宋" w:hAnsi="仿宋" w:eastAsia="仿宋" w:cs="仿宋"/>
                <w:spacing w:val="-3"/>
                <w:sz w:val="18"/>
                <w:szCs w:val="18"/>
              </w:rPr>
              <w:t>百分位数日平均质</w:t>
            </w:r>
            <w:r>
              <w:rPr>
                <w:rFonts w:ascii="仿宋" w:hAnsi="仿宋" w:eastAsia="仿宋" w:cs="仿宋"/>
                <w:spacing w:val="-5"/>
                <w:sz w:val="18"/>
                <w:szCs w:val="18"/>
              </w:rPr>
              <w:t>量浓度</w:t>
            </w:r>
          </w:p>
        </w:tc>
        <w:tc>
          <w:tcPr>
            <w:tcW w:w="1385" w:type="dxa"/>
            <w:vAlign w:val="top"/>
          </w:tcPr>
          <w:p w14:paraId="49E5A398">
            <w:pPr>
              <w:pStyle w:val="6"/>
              <w:spacing w:before="168" w:line="206" w:lineRule="auto"/>
              <w:ind w:left="347"/>
              <w:rPr>
                <w:sz w:val="11"/>
                <w:szCs w:val="11"/>
              </w:rPr>
            </w:pPr>
            <w:r>
              <w:rPr>
                <w:spacing w:val="-1"/>
              </w:rPr>
              <w:t>0.7mg/m</w:t>
            </w:r>
            <w:r>
              <w:rPr>
                <w:spacing w:val="-1"/>
                <w:position w:val="5"/>
                <w:sz w:val="11"/>
                <w:szCs w:val="11"/>
              </w:rPr>
              <w:t>3</w:t>
            </w:r>
          </w:p>
        </w:tc>
        <w:tc>
          <w:tcPr>
            <w:tcW w:w="1222" w:type="dxa"/>
            <w:vAlign w:val="top"/>
          </w:tcPr>
          <w:p w14:paraId="3036B562">
            <w:pPr>
              <w:pStyle w:val="6"/>
              <w:spacing w:before="168" w:line="206" w:lineRule="auto"/>
              <w:ind w:left="331"/>
              <w:rPr>
                <w:sz w:val="11"/>
                <w:szCs w:val="11"/>
              </w:rPr>
            </w:pPr>
            <w:r>
              <w:rPr>
                <w:spacing w:val="-1"/>
              </w:rPr>
              <w:t>4mg/m</w:t>
            </w:r>
            <w:r>
              <w:rPr>
                <w:spacing w:val="-1"/>
                <w:position w:val="5"/>
                <w:sz w:val="11"/>
                <w:szCs w:val="11"/>
              </w:rPr>
              <w:t>3</w:t>
            </w:r>
          </w:p>
        </w:tc>
        <w:tc>
          <w:tcPr>
            <w:tcW w:w="1222" w:type="dxa"/>
            <w:vAlign w:val="top"/>
          </w:tcPr>
          <w:p w14:paraId="5A45F309">
            <w:pPr>
              <w:pStyle w:val="6"/>
              <w:spacing w:before="183" w:line="188" w:lineRule="auto"/>
              <w:ind w:left="476"/>
            </w:pPr>
            <w:r>
              <w:rPr>
                <w:spacing w:val="-6"/>
              </w:rPr>
              <w:t>17.5</w:t>
            </w:r>
          </w:p>
        </w:tc>
        <w:tc>
          <w:tcPr>
            <w:tcW w:w="938" w:type="dxa"/>
            <w:tcBorders>
              <w:right w:val="single" w:color="000000" w:sz="6" w:space="0"/>
            </w:tcBorders>
            <w:vAlign w:val="top"/>
          </w:tcPr>
          <w:p w14:paraId="6F469301">
            <w:pPr>
              <w:spacing w:before="152" w:line="222" w:lineRule="auto"/>
              <w:ind w:left="248"/>
              <w:rPr>
                <w:rFonts w:ascii="仿宋" w:hAnsi="仿宋" w:eastAsia="仿宋" w:cs="仿宋"/>
                <w:sz w:val="18"/>
                <w:szCs w:val="18"/>
              </w:rPr>
            </w:pPr>
            <w:r>
              <w:rPr>
                <w:rFonts w:ascii="仿宋" w:hAnsi="仿宋" w:eastAsia="仿宋" w:cs="仿宋"/>
                <w:spacing w:val="-8"/>
                <w:sz w:val="18"/>
                <w:szCs w:val="18"/>
              </w:rPr>
              <w:t>达标</w:t>
            </w:r>
          </w:p>
        </w:tc>
      </w:tr>
      <w:tr w14:paraId="3591E2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28" w:type="dxa"/>
            <w:vMerge w:val="continue"/>
            <w:tcBorders>
              <w:top w:val="nil"/>
              <w:left w:val="single" w:color="000000" w:sz="6" w:space="0"/>
              <w:bottom w:val="nil"/>
            </w:tcBorders>
            <w:vAlign w:val="top"/>
          </w:tcPr>
          <w:p w14:paraId="1A52EF7A">
            <w:pPr>
              <w:rPr>
                <w:rFonts w:ascii="Arial"/>
                <w:sz w:val="21"/>
              </w:rPr>
            </w:pPr>
          </w:p>
        </w:tc>
        <w:tc>
          <w:tcPr>
            <w:tcW w:w="1441" w:type="dxa"/>
            <w:tcBorders>
              <w:bottom w:val="single" w:color="000000" w:sz="10" w:space="0"/>
            </w:tcBorders>
            <w:vAlign w:val="top"/>
          </w:tcPr>
          <w:p w14:paraId="40DCB9DB">
            <w:pPr>
              <w:pStyle w:val="6"/>
              <w:spacing w:before="38" w:line="220" w:lineRule="auto"/>
              <w:ind w:left="215"/>
              <w:rPr>
                <w:rFonts w:ascii="仿宋" w:hAnsi="仿宋" w:eastAsia="仿宋" w:cs="仿宋"/>
              </w:rPr>
            </w:pPr>
            <w:r>
              <w:rPr>
                <w:spacing w:val="-4"/>
              </w:rPr>
              <w:t>O</w:t>
            </w:r>
            <w:r>
              <w:rPr>
                <w:spacing w:val="-4"/>
                <w:position w:val="-1"/>
                <w:sz w:val="11"/>
                <w:szCs w:val="11"/>
              </w:rPr>
              <w:t>3</w:t>
            </w:r>
            <w:r>
              <w:rPr>
                <w:rFonts w:ascii="仿宋" w:hAnsi="仿宋" w:eastAsia="仿宋" w:cs="仿宋"/>
                <w:spacing w:val="-15"/>
              </w:rPr>
              <w:t>（第</w:t>
            </w:r>
            <w:r>
              <w:rPr>
                <w:rFonts w:ascii="仿宋" w:hAnsi="仿宋" w:eastAsia="仿宋" w:cs="仿宋"/>
                <w:spacing w:val="-32"/>
              </w:rPr>
              <w:t xml:space="preserve"> </w:t>
            </w:r>
            <w:r>
              <w:rPr>
                <w:spacing w:val="-15"/>
              </w:rPr>
              <w:t>90</w:t>
            </w:r>
            <w:r>
              <w:rPr>
                <w:spacing w:val="21"/>
              </w:rPr>
              <w:t xml:space="preserve"> </w:t>
            </w:r>
            <w:r>
              <w:rPr>
                <w:rFonts w:ascii="仿宋" w:hAnsi="仿宋" w:eastAsia="仿宋" w:cs="仿宋"/>
                <w:spacing w:val="-15"/>
              </w:rPr>
              <w:t>百分</w:t>
            </w:r>
          </w:p>
          <w:p w14:paraId="1A326286">
            <w:pPr>
              <w:spacing w:before="17" w:line="205" w:lineRule="auto"/>
              <w:ind w:left="509"/>
              <w:rPr>
                <w:rFonts w:ascii="仿宋" w:hAnsi="仿宋" w:eastAsia="仿宋" w:cs="仿宋"/>
                <w:sz w:val="18"/>
                <w:szCs w:val="18"/>
              </w:rPr>
            </w:pPr>
            <w:r>
              <w:rPr>
                <w:rFonts w:ascii="仿宋" w:hAnsi="仿宋" w:eastAsia="仿宋" w:cs="仿宋"/>
                <w:spacing w:val="-5"/>
                <w:sz w:val="18"/>
                <w:szCs w:val="18"/>
              </w:rPr>
              <w:t>位数）</w:t>
            </w:r>
          </w:p>
        </w:tc>
        <w:tc>
          <w:tcPr>
            <w:tcW w:w="1670" w:type="dxa"/>
            <w:tcBorders>
              <w:bottom w:val="single" w:color="000000" w:sz="10" w:space="0"/>
            </w:tcBorders>
            <w:vAlign w:val="top"/>
          </w:tcPr>
          <w:p w14:paraId="75C6A453">
            <w:pPr>
              <w:pStyle w:val="6"/>
              <w:spacing w:before="38" w:line="222" w:lineRule="auto"/>
              <w:ind w:left="485" w:right="158" w:hanging="309"/>
              <w:rPr>
                <w:rFonts w:ascii="仿宋" w:hAnsi="仿宋" w:eastAsia="仿宋" w:cs="仿宋"/>
              </w:rPr>
            </w:pPr>
            <w:r>
              <w:rPr>
                <w:rFonts w:ascii="仿宋" w:hAnsi="仿宋" w:eastAsia="仿宋" w:cs="仿宋"/>
                <w:spacing w:val="-6"/>
              </w:rPr>
              <w:t>百分位数</w:t>
            </w:r>
            <w:r>
              <w:rPr>
                <w:rFonts w:ascii="仿宋" w:hAnsi="仿宋" w:eastAsia="仿宋" w:cs="仿宋"/>
                <w:spacing w:val="-30"/>
              </w:rPr>
              <w:t xml:space="preserve"> </w:t>
            </w:r>
            <w:r>
              <w:rPr>
                <w:spacing w:val="-6"/>
              </w:rPr>
              <w:t>8h</w:t>
            </w:r>
            <w:r>
              <w:rPr>
                <w:spacing w:val="12"/>
              </w:rPr>
              <w:t xml:space="preserve"> </w:t>
            </w:r>
            <w:r>
              <w:rPr>
                <w:rFonts w:ascii="仿宋" w:hAnsi="仿宋" w:eastAsia="仿宋" w:cs="仿宋"/>
                <w:spacing w:val="-6"/>
              </w:rPr>
              <w:t>平均</w:t>
            </w:r>
            <w:r>
              <w:rPr>
                <w:rFonts w:ascii="仿宋" w:hAnsi="仿宋" w:eastAsia="仿宋" w:cs="仿宋"/>
                <w:spacing w:val="-5"/>
              </w:rPr>
              <w:t>质量浓度</w:t>
            </w:r>
          </w:p>
        </w:tc>
        <w:tc>
          <w:tcPr>
            <w:tcW w:w="1385" w:type="dxa"/>
            <w:tcBorders>
              <w:bottom w:val="single" w:color="000000" w:sz="10" w:space="0"/>
            </w:tcBorders>
            <w:vAlign w:val="top"/>
          </w:tcPr>
          <w:p w14:paraId="2888D03A">
            <w:pPr>
              <w:pStyle w:val="6"/>
              <w:spacing w:before="185" w:line="188" w:lineRule="auto"/>
              <w:ind w:left="577"/>
            </w:pPr>
            <w:r>
              <w:rPr>
                <w:spacing w:val="-7"/>
              </w:rPr>
              <w:t>139</w:t>
            </w:r>
          </w:p>
        </w:tc>
        <w:tc>
          <w:tcPr>
            <w:tcW w:w="1222" w:type="dxa"/>
            <w:tcBorders>
              <w:bottom w:val="single" w:color="000000" w:sz="10" w:space="0"/>
            </w:tcBorders>
            <w:vAlign w:val="top"/>
          </w:tcPr>
          <w:p w14:paraId="544EF6F3">
            <w:pPr>
              <w:pStyle w:val="6"/>
              <w:spacing w:before="185" w:line="188" w:lineRule="auto"/>
              <w:ind w:left="498"/>
            </w:pPr>
            <w:r>
              <w:rPr>
                <w:spacing w:val="-7"/>
              </w:rPr>
              <w:t>160</w:t>
            </w:r>
          </w:p>
        </w:tc>
        <w:tc>
          <w:tcPr>
            <w:tcW w:w="1222" w:type="dxa"/>
            <w:tcBorders>
              <w:bottom w:val="single" w:color="000000" w:sz="10" w:space="0"/>
            </w:tcBorders>
            <w:vAlign w:val="top"/>
          </w:tcPr>
          <w:p w14:paraId="02114DE4">
            <w:pPr>
              <w:pStyle w:val="6"/>
              <w:spacing w:before="185" w:line="188" w:lineRule="auto"/>
              <w:ind w:left="466"/>
            </w:pPr>
            <w:r>
              <w:rPr>
                <w:spacing w:val="-3"/>
              </w:rPr>
              <w:t>86.9</w:t>
            </w:r>
          </w:p>
        </w:tc>
        <w:tc>
          <w:tcPr>
            <w:tcW w:w="938" w:type="dxa"/>
            <w:tcBorders>
              <w:bottom w:val="single" w:color="000000" w:sz="10" w:space="0"/>
              <w:right w:val="single" w:color="000000" w:sz="6" w:space="0"/>
            </w:tcBorders>
            <w:vAlign w:val="top"/>
          </w:tcPr>
          <w:p w14:paraId="47F36FC2">
            <w:pPr>
              <w:spacing w:before="154" w:line="222" w:lineRule="auto"/>
              <w:ind w:left="248"/>
              <w:rPr>
                <w:rFonts w:ascii="仿宋" w:hAnsi="仿宋" w:eastAsia="仿宋" w:cs="仿宋"/>
                <w:sz w:val="18"/>
                <w:szCs w:val="18"/>
              </w:rPr>
            </w:pPr>
            <w:r>
              <w:rPr>
                <w:rFonts w:ascii="仿宋" w:hAnsi="仿宋" w:eastAsia="仿宋" w:cs="仿宋"/>
                <w:spacing w:val="-8"/>
                <w:sz w:val="18"/>
                <w:szCs w:val="18"/>
              </w:rPr>
              <w:t>达标</w:t>
            </w:r>
          </w:p>
        </w:tc>
      </w:tr>
      <w:tr w14:paraId="5C4B66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64" w:hRule="atLeast"/>
        </w:trPr>
        <w:tc>
          <w:tcPr>
            <w:tcW w:w="728" w:type="dxa"/>
            <w:vMerge w:val="continue"/>
            <w:tcBorders>
              <w:top w:val="nil"/>
              <w:left w:val="single" w:color="000000" w:sz="6" w:space="0"/>
              <w:bottom w:val="single" w:color="000000" w:sz="6" w:space="0"/>
            </w:tcBorders>
            <w:vAlign w:val="top"/>
          </w:tcPr>
          <w:p w14:paraId="1D919933">
            <w:pPr>
              <w:rPr>
                <w:rFonts w:ascii="Arial"/>
                <w:sz w:val="21"/>
              </w:rPr>
            </w:pPr>
          </w:p>
        </w:tc>
        <w:tc>
          <w:tcPr>
            <w:tcW w:w="7878" w:type="dxa"/>
            <w:gridSpan w:val="6"/>
            <w:tcBorders>
              <w:top w:val="single" w:color="000000" w:sz="10" w:space="0"/>
              <w:bottom w:val="single" w:color="000000" w:sz="6" w:space="0"/>
              <w:right w:val="single" w:color="000000" w:sz="6" w:space="0"/>
            </w:tcBorders>
            <w:vAlign w:val="top"/>
          </w:tcPr>
          <w:p w14:paraId="0205D63B">
            <w:pPr>
              <w:pStyle w:val="6"/>
              <w:spacing w:before="33" w:line="229" w:lineRule="auto"/>
              <w:ind w:left="522"/>
              <w:rPr>
                <w:rFonts w:ascii="仿宋" w:hAnsi="仿宋" w:eastAsia="仿宋" w:cs="仿宋"/>
                <w:sz w:val="20"/>
                <w:szCs w:val="20"/>
              </w:rPr>
            </w:pPr>
            <w:r>
              <w:rPr>
                <w:b/>
                <w:bCs/>
                <w:spacing w:val="6"/>
                <w:sz w:val="20"/>
                <w:szCs w:val="20"/>
              </w:rPr>
              <w:t>3</w:t>
            </w:r>
            <w:r>
              <w:rPr>
                <w:b/>
                <w:bCs/>
                <w:spacing w:val="-11"/>
                <w:sz w:val="20"/>
                <w:szCs w:val="20"/>
              </w:rPr>
              <w:t xml:space="preserve"> </w:t>
            </w:r>
            <w:r>
              <w:rPr>
                <w:rFonts w:ascii="仿宋" w:hAnsi="仿宋" w:eastAsia="仿宋" w:cs="仿宋"/>
                <w:b/>
                <w:bCs/>
                <w:spacing w:val="6"/>
                <w:sz w:val="20"/>
                <w:szCs w:val="20"/>
              </w:rPr>
              <w:t>、声环境质量现状（详见声环境影响专项评价）</w:t>
            </w:r>
          </w:p>
          <w:p w14:paraId="600DFF87">
            <w:pPr>
              <w:pStyle w:val="6"/>
              <w:spacing w:before="158" w:line="377" w:lineRule="auto"/>
              <w:ind w:left="112" w:right="103" w:firstLine="420"/>
              <w:rPr>
                <w:rFonts w:ascii="仿宋" w:hAnsi="仿宋" w:eastAsia="仿宋" w:cs="仿宋"/>
                <w:sz w:val="20"/>
                <w:szCs w:val="20"/>
              </w:rPr>
            </w:pPr>
            <w:r>
              <w:rPr>
                <w:rFonts w:ascii="仿宋" w:hAnsi="仿宋" w:eastAsia="仿宋" w:cs="仿宋"/>
                <w:spacing w:val="2"/>
                <w:sz w:val="20"/>
                <w:szCs w:val="20"/>
              </w:rPr>
              <w:t>本项目委托内蒙古华予环境检测有限公司于</w:t>
            </w:r>
            <w:r>
              <w:rPr>
                <w:rFonts w:ascii="仿宋" w:hAnsi="仿宋" w:eastAsia="仿宋" w:cs="仿宋"/>
                <w:spacing w:val="-43"/>
                <w:sz w:val="20"/>
                <w:szCs w:val="20"/>
              </w:rPr>
              <w:t xml:space="preserve"> </w:t>
            </w:r>
            <w:r>
              <w:rPr>
                <w:spacing w:val="2"/>
                <w:sz w:val="20"/>
                <w:szCs w:val="20"/>
              </w:rPr>
              <w:t>2026</w:t>
            </w:r>
            <w:r>
              <w:rPr>
                <w:spacing w:val="20"/>
                <w:sz w:val="20"/>
                <w:szCs w:val="20"/>
              </w:rPr>
              <w:t xml:space="preserve"> </w:t>
            </w:r>
            <w:r>
              <w:rPr>
                <w:rFonts w:ascii="仿宋" w:hAnsi="仿宋" w:eastAsia="仿宋" w:cs="仿宋"/>
                <w:spacing w:val="2"/>
                <w:sz w:val="20"/>
                <w:szCs w:val="20"/>
              </w:rPr>
              <w:t>年</w:t>
            </w:r>
            <w:r>
              <w:rPr>
                <w:rFonts w:ascii="仿宋" w:hAnsi="仿宋" w:eastAsia="仿宋" w:cs="仿宋"/>
                <w:spacing w:val="-39"/>
                <w:sz w:val="20"/>
                <w:szCs w:val="20"/>
              </w:rPr>
              <w:t xml:space="preserve"> </w:t>
            </w:r>
            <w:r>
              <w:rPr>
                <w:spacing w:val="2"/>
                <w:sz w:val="20"/>
                <w:szCs w:val="20"/>
              </w:rPr>
              <w:t>6</w:t>
            </w:r>
            <w:r>
              <w:rPr>
                <w:spacing w:val="23"/>
                <w:sz w:val="20"/>
                <w:szCs w:val="20"/>
              </w:rPr>
              <w:t xml:space="preserve"> </w:t>
            </w:r>
            <w:r>
              <w:rPr>
                <w:rFonts w:ascii="仿宋" w:hAnsi="仿宋" w:eastAsia="仿宋" w:cs="仿宋"/>
                <w:spacing w:val="2"/>
                <w:sz w:val="20"/>
                <w:szCs w:val="20"/>
              </w:rPr>
              <w:t>月</w:t>
            </w:r>
            <w:r>
              <w:rPr>
                <w:rFonts w:ascii="仿宋" w:hAnsi="仿宋" w:eastAsia="仿宋" w:cs="仿宋"/>
                <w:spacing w:val="-23"/>
                <w:sz w:val="20"/>
                <w:szCs w:val="20"/>
              </w:rPr>
              <w:t xml:space="preserve"> </w:t>
            </w:r>
            <w:r>
              <w:rPr>
                <w:spacing w:val="2"/>
                <w:sz w:val="20"/>
                <w:szCs w:val="20"/>
              </w:rPr>
              <w:t xml:space="preserve">12  </w:t>
            </w:r>
            <w:r>
              <w:rPr>
                <w:rFonts w:ascii="仿宋" w:hAnsi="仿宋" w:eastAsia="仿宋" w:cs="仿宋"/>
                <w:spacing w:val="2"/>
                <w:sz w:val="20"/>
                <w:szCs w:val="20"/>
              </w:rPr>
              <w:t>日</w:t>
            </w:r>
            <w:r>
              <w:rPr>
                <w:spacing w:val="1"/>
                <w:sz w:val="20"/>
                <w:szCs w:val="20"/>
              </w:rPr>
              <w:t>-6</w:t>
            </w:r>
            <w:r>
              <w:rPr>
                <w:spacing w:val="25"/>
                <w:w w:val="101"/>
                <w:sz w:val="20"/>
                <w:szCs w:val="20"/>
              </w:rPr>
              <w:t xml:space="preserve"> </w:t>
            </w:r>
            <w:r>
              <w:rPr>
                <w:rFonts w:ascii="仿宋" w:hAnsi="仿宋" w:eastAsia="仿宋" w:cs="仿宋"/>
                <w:spacing w:val="1"/>
                <w:sz w:val="20"/>
                <w:szCs w:val="20"/>
              </w:rPr>
              <w:t>月</w:t>
            </w:r>
            <w:r>
              <w:rPr>
                <w:rFonts w:ascii="仿宋" w:hAnsi="仿宋" w:eastAsia="仿宋" w:cs="仿宋"/>
                <w:spacing w:val="-23"/>
                <w:sz w:val="20"/>
                <w:szCs w:val="20"/>
              </w:rPr>
              <w:t xml:space="preserve"> </w:t>
            </w:r>
            <w:r>
              <w:rPr>
                <w:spacing w:val="1"/>
                <w:sz w:val="20"/>
                <w:szCs w:val="20"/>
              </w:rPr>
              <w:t xml:space="preserve">14  </w:t>
            </w:r>
            <w:r>
              <w:rPr>
                <w:rFonts w:ascii="仿宋" w:hAnsi="仿宋" w:eastAsia="仿宋" w:cs="仿宋"/>
                <w:spacing w:val="1"/>
                <w:sz w:val="20"/>
                <w:szCs w:val="20"/>
              </w:rPr>
              <w:t>日开展为</w:t>
            </w:r>
            <w:r>
              <w:rPr>
                <w:rFonts w:ascii="仿宋" w:hAnsi="仿宋" w:eastAsia="仿宋" w:cs="仿宋"/>
                <w:spacing w:val="6"/>
                <w:sz w:val="20"/>
                <w:szCs w:val="20"/>
              </w:rPr>
              <w:t>期</w:t>
            </w:r>
            <w:r>
              <w:rPr>
                <w:rFonts w:ascii="仿宋" w:hAnsi="仿宋" w:eastAsia="仿宋" w:cs="仿宋"/>
                <w:spacing w:val="-39"/>
                <w:sz w:val="20"/>
                <w:szCs w:val="20"/>
              </w:rPr>
              <w:t xml:space="preserve"> </w:t>
            </w:r>
            <w:r>
              <w:rPr>
                <w:spacing w:val="6"/>
                <w:sz w:val="20"/>
                <w:szCs w:val="20"/>
              </w:rPr>
              <w:t>2</w:t>
            </w:r>
            <w:r>
              <w:rPr>
                <w:spacing w:val="19"/>
                <w:sz w:val="20"/>
                <w:szCs w:val="20"/>
              </w:rPr>
              <w:t xml:space="preserve"> </w:t>
            </w:r>
            <w:r>
              <w:rPr>
                <w:rFonts w:ascii="仿宋" w:hAnsi="仿宋" w:eastAsia="仿宋" w:cs="仿宋"/>
                <w:spacing w:val="6"/>
                <w:sz w:val="20"/>
                <w:szCs w:val="20"/>
              </w:rPr>
              <w:t>天的连续声环境现状监测。</w:t>
            </w:r>
          </w:p>
          <w:p w14:paraId="64681181">
            <w:pPr>
              <w:pStyle w:val="6"/>
              <w:spacing w:before="1" w:line="377" w:lineRule="auto"/>
              <w:ind w:left="111" w:right="45" w:firstLine="421"/>
              <w:jc w:val="both"/>
              <w:rPr>
                <w:rFonts w:ascii="仿宋" w:hAnsi="仿宋" w:eastAsia="仿宋" w:cs="仿宋"/>
                <w:sz w:val="20"/>
                <w:szCs w:val="20"/>
              </w:rPr>
            </w:pPr>
            <w:r>
              <w:rPr>
                <w:rFonts w:ascii="仿宋" w:hAnsi="仿宋" w:eastAsia="仿宋" w:cs="仿宋"/>
                <w:spacing w:val="7"/>
                <w:sz w:val="20"/>
                <w:szCs w:val="20"/>
              </w:rPr>
              <w:t>本次监测共覆盖沙圪堵镇、四道包村、乌拉素</w:t>
            </w:r>
            <w:r>
              <w:rPr>
                <w:rFonts w:ascii="仿宋" w:hAnsi="仿宋" w:eastAsia="仿宋" w:cs="仿宋"/>
                <w:spacing w:val="6"/>
                <w:sz w:val="20"/>
                <w:szCs w:val="20"/>
              </w:rPr>
              <w:t>村、十二连城、脑包湾村、杨子华</w:t>
            </w:r>
            <w:r>
              <w:rPr>
                <w:rFonts w:ascii="仿宋" w:hAnsi="仿宋" w:eastAsia="仿宋" w:cs="仿宋"/>
                <w:spacing w:val="3"/>
                <w:sz w:val="20"/>
                <w:szCs w:val="20"/>
              </w:rPr>
              <w:t>村等沿线村落散户敏感点，同时布设沿黄公路、兴巴高速两条现状道路噪声</w:t>
            </w:r>
            <w:r>
              <w:rPr>
                <w:rFonts w:ascii="仿宋" w:hAnsi="仿宋" w:eastAsia="仿宋" w:cs="仿宋"/>
                <w:spacing w:val="2"/>
                <w:sz w:val="20"/>
                <w:szCs w:val="20"/>
              </w:rPr>
              <w:t>衰减断面，</w:t>
            </w:r>
            <w:r>
              <w:rPr>
                <w:rFonts w:ascii="仿宋" w:hAnsi="仿宋" w:eastAsia="仿宋" w:cs="仿宋"/>
                <w:spacing w:val="6"/>
                <w:sz w:val="20"/>
                <w:szCs w:val="20"/>
              </w:rPr>
              <w:t>配套设置</w:t>
            </w:r>
            <w:r>
              <w:rPr>
                <w:rFonts w:ascii="仿宋" w:hAnsi="仿宋" w:eastAsia="仿宋" w:cs="仿宋"/>
                <w:spacing w:val="-41"/>
                <w:sz w:val="20"/>
                <w:szCs w:val="20"/>
              </w:rPr>
              <w:t xml:space="preserve"> </w:t>
            </w:r>
            <w:r>
              <w:rPr>
                <w:spacing w:val="6"/>
                <w:sz w:val="20"/>
                <w:szCs w:val="20"/>
              </w:rPr>
              <w:t>2</w:t>
            </w:r>
            <w:r>
              <w:rPr>
                <w:spacing w:val="19"/>
                <w:sz w:val="20"/>
                <w:szCs w:val="20"/>
              </w:rPr>
              <w:t xml:space="preserve"> </w:t>
            </w:r>
            <w:r>
              <w:rPr>
                <w:rFonts w:ascii="仿宋" w:hAnsi="仿宋" w:eastAsia="仿宋" w:cs="仿宋"/>
                <w:spacing w:val="6"/>
                <w:sz w:val="20"/>
                <w:szCs w:val="20"/>
              </w:rPr>
              <w:t>处区域背景点位。</w:t>
            </w:r>
          </w:p>
          <w:p w14:paraId="327144BD">
            <w:pPr>
              <w:pStyle w:val="6"/>
              <w:spacing w:before="1" w:line="220" w:lineRule="auto"/>
              <w:ind w:left="538"/>
              <w:rPr>
                <w:rFonts w:ascii="仿宋" w:hAnsi="仿宋" w:eastAsia="仿宋" w:cs="仿宋"/>
                <w:sz w:val="20"/>
                <w:szCs w:val="20"/>
              </w:rPr>
            </w:pPr>
            <w:r>
              <w:rPr>
                <w:rFonts w:ascii="仿宋" w:hAnsi="仿宋" w:eastAsia="仿宋" w:cs="仿宋"/>
                <w:spacing w:val="7"/>
                <w:sz w:val="20"/>
                <w:szCs w:val="20"/>
              </w:rPr>
              <w:t>监测指标为等效连续</w:t>
            </w:r>
            <w:r>
              <w:rPr>
                <w:rFonts w:ascii="仿宋" w:hAnsi="仿宋" w:eastAsia="仿宋" w:cs="仿宋"/>
                <w:spacing w:val="-46"/>
                <w:sz w:val="20"/>
                <w:szCs w:val="20"/>
              </w:rPr>
              <w:t xml:space="preserve"> </w:t>
            </w:r>
            <w:r>
              <w:rPr>
                <w:spacing w:val="7"/>
                <w:sz w:val="20"/>
                <w:szCs w:val="20"/>
              </w:rPr>
              <w:t>A</w:t>
            </w:r>
            <w:r>
              <w:rPr>
                <w:spacing w:val="16"/>
                <w:w w:val="101"/>
                <w:sz w:val="20"/>
                <w:szCs w:val="20"/>
              </w:rPr>
              <w:t xml:space="preserve"> </w:t>
            </w:r>
            <w:r>
              <w:rPr>
                <w:rFonts w:ascii="仿宋" w:hAnsi="仿宋" w:eastAsia="仿宋" w:cs="仿宋"/>
                <w:spacing w:val="7"/>
                <w:sz w:val="20"/>
                <w:szCs w:val="20"/>
              </w:rPr>
              <w:t>声级（</w:t>
            </w:r>
            <w:r>
              <w:rPr>
                <w:sz w:val="20"/>
                <w:szCs w:val="20"/>
              </w:rPr>
              <w:t>Leq</w:t>
            </w:r>
            <w:r>
              <w:rPr>
                <w:rFonts w:ascii="仿宋" w:hAnsi="仿宋" w:eastAsia="仿宋" w:cs="仿宋"/>
                <w:spacing w:val="-3"/>
                <w:sz w:val="20"/>
                <w:szCs w:val="20"/>
              </w:rPr>
              <w:t>），</w:t>
            </w:r>
            <w:r>
              <w:rPr>
                <w:rFonts w:ascii="仿宋" w:hAnsi="仿宋" w:eastAsia="仿宋" w:cs="仿宋"/>
                <w:spacing w:val="7"/>
                <w:sz w:val="20"/>
                <w:szCs w:val="20"/>
              </w:rPr>
              <w:t>所有点位昼夜分别开展不少于</w:t>
            </w:r>
            <w:r>
              <w:rPr>
                <w:rFonts w:ascii="仿宋" w:hAnsi="仿宋" w:eastAsia="仿宋" w:cs="仿宋"/>
                <w:spacing w:val="-41"/>
                <w:sz w:val="20"/>
                <w:szCs w:val="20"/>
              </w:rPr>
              <w:t xml:space="preserve"> </w:t>
            </w:r>
            <w:r>
              <w:rPr>
                <w:spacing w:val="7"/>
                <w:sz w:val="20"/>
                <w:szCs w:val="20"/>
              </w:rPr>
              <w:t>20</w:t>
            </w:r>
            <w:r>
              <w:rPr>
                <w:sz w:val="20"/>
                <w:szCs w:val="20"/>
              </w:rPr>
              <w:t>min</w:t>
            </w:r>
            <w:r>
              <w:rPr>
                <w:spacing w:val="22"/>
                <w:w w:val="101"/>
                <w:sz w:val="20"/>
                <w:szCs w:val="20"/>
              </w:rPr>
              <w:t xml:space="preserve"> </w:t>
            </w:r>
            <w:r>
              <w:rPr>
                <w:rFonts w:ascii="仿宋" w:hAnsi="仿宋" w:eastAsia="仿宋" w:cs="仿宋"/>
                <w:spacing w:val="7"/>
                <w:sz w:val="20"/>
                <w:szCs w:val="20"/>
              </w:rPr>
              <w:t>代表</w:t>
            </w:r>
          </w:p>
        </w:tc>
      </w:tr>
    </w:tbl>
    <w:p w14:paraId="0E53E745">
      <w:pPr>
        <w:pStyle w:val="2"/>
        <w:rPr>
          <w:sz w:val="21"/>
        </w:rPr>
      </w:pPr>
    </w:p>
    <w:p w14:paraId="23F3A49F">
      <w:pPr>
        <w:rPr>
          <w:sz w:val="21"/>
          <w:szCs w:val="21"/>
        </w:rPr>
        <w:sectPr>
          <w:footerReference r:id="rId44" w:type="default"/>
          <w:pgSz w:w="11907" w:h="16840"/>
          <w:pgMar w:top="400" w:right="1643" w:bottom="1446" w:left="1642" w:header="0" w:footer="1284" w:gutter="0"/>
          <w:cols w:space="720" w:num="1"/>
        </w:sectPr>
      </w:pPr>
    </w:p>
    <w:p w14:paraId="2DF9C0BF">
      <w:pPr>
        <w:spacing w:before="19"/>
      </w:pPr>
    </w:p>
    <w:p w14:paraId="45692B7F">
      <w:pPr>
        <w:spacing w:before="19"/>
      </w:pPr>
    </w:p>
    <w:p w14:paraId="3D0D7E51">
      <w:pPr>
        <w:spacing w:before="18"/>
      </w:pPr>
    </w:p>
    <w:p w14:paraId="30A00A85">
      <w:pPr>
        <w:spacing w:before="18"/>
      </w:pPr>
    </w:p>
    <w:tbl>
      <w:tblPr>
        <w:tblStyle w:val="5"/>
        <w:tblW w:w="860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28"/>
        <w:gridCol w:w="7878"/>
      </w:tblGrid>
      <w:tr w14:paraId="6C271F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581" w:hRule="atLeast"/>
        </w:trPr>
        <w:tc>
          <w:tcPr>
            <w:tcW w:w="728" w:type="dxa"/>
            <w:tcBorders>
              <w:right w:val="single" w:color="000000" w:sz="2" w:space="0"/>
            </w:tcBorders>
            <w:vAlign w:val="top"/>
          </w:tcPr>
          <w:p w14:paraId="21A43829">
            <w:pPr>
              <w:rPr>
                <w:rFonts w:ascii="Arial"/>
                <w:sz w:val="21"/>
              </w:rPr>
            </w:pPr>
          </w:p>
        </w:tc>
        <w:tc>
          <w:tcPr>
            <w:tcW w:w="7878" w:type="dxa"/>
            <w:tcBorders>
              <w:left w:val="single" w:color="000000" w:sz="2" w:space="0"/>
            </w:tcBorders>
            <w:vAlign w:val="top"/>
          </w:tcPr>
          <w:p w14:paraId="27413719">
            <w:pPr>
              <w:spacing w:before="36" w:line="229" w:lineRule="auto"/>
              <w:ind w:left="115"/>
              <w:rPr>
                <w:rFonts w:ascii="仿宋" w:hAnsi="仿宋" w:eastAsia="仿宋" w:cs="仿宋"/>
                <w:sz w:val="20"/>
                <w:szCs w:val="20"/>
              </w:rPr>
            </w:pPr>
            <w:r>
              <w:rPr>
                <w:rFonts w:ascii="仿宋" w:hAnsi="仿宋" w:eastAsia="仿宋" w:cs="仿宋"/>
                <w:spacing w:val="2"/>
                <w:sz w:val="20"/>
                <w:szCs w:val="20"/>
              </w:rPr>
              <w:t>性监测。</w:t>
            </w:r>
          </w:p>
          <w:p w14:paraId="54D7E608">
            <w:pPr>
              <w:pStyle w:val="6"/>
              <w:spacing w:before="158" w:line="375" w:lineRule="auto"/>
              <w:ind w:left="116" w:right="103" w:firstLine="416"/>
              <w:jc w:val="both"/>
              <w:rPr>
                <w:rFonts w:ascii="仿宋" w:hAnsi="仿宋" w:eastAsia="仿宋" w:cs="仿宋"/>
                <w:sz w:val="20"/>
                <w:szCs w:val="20"/>
              </w:rPr>
            </w:pPr>
            <w:r>
              <w:rPr>
                <w:rFonts w:ascii="仿宋" w:hAnsi="仿宋" w:eastAsia="仿宋" w:cs="仿宋"/>
                <w:spacing w:val="6"/>
                <w:sz w:val="20"/>
                <w:szCs w:val="20"/>
              </w:rPr>
              <w:t>本次监测所有村落散户敏感点声环境质量全部达标，整体声环境质量良好。各敏</w:t>
            </w:r>
            <w:r>
              <w:rPr>
                <w:rFonts w:ascii="仿宋" w:hAnsi="仿宋" w:eastAsia="仿宋" w:cs="仿宋"/>
                <w:spacing w:val="5"/>
                <w:sz w:val="20"/>
                <w:szCs w:val="20"/>
              </w:rPr>
              <w:t>感点两日监测均值统计显示，昼间噪声均值区间为</w:t>
            </w:r>
            <w:r>
              <w:rPr>
                <w:rFonts w:ascii="仿宋" w:hAnsi="仿宋" w:eastAsia="仿宋" w:cs="仿宋"/>
                <w:spacing w:val="-30"/>
                <w:sz w:val="20"/>
                <w:szCs w:val="20"/>
              </w:rPr>
              <w:t xml:space="preserve"> </w:t>
            </w:r>
            <w:r>
              <w:rPr>
                <w:spacing w:val="5"/>
                <w:sz w:val="20"/>
                <w:szCs w:val="20"/>
              </w:rPr>
              <w:t>43.0~53.0</w:t>
            </w:r>
            <w:r>
              <w:rPr>
                <w:sz w:val="20"/>
                <w:szCs w:val="20"/>
              </w:rPr>
              <w:t>dB</w:t>
            </w:r>
            <w:r>
              <w:rPr>
                <w:spacing w:val="5"/>
                <w:sz w:val="20"/>
                <w:szCs w:val="20"/>
              </w:rPr>
              <w:t>(A)</w:t>
            </w:r>
            <w:r>
              <w:rPr>
                <w:rFonts w:ascii="仿宋" w:hAnsi="仿宋" w:eastAsia="仿宋" w:cs="仿宋"/>
                <w:spacing w:val="5"/>
                <w:sz w:val="20"/>
                <w:szCs w:val="20"/>
              </w:rPr>
              <w:t>，均低于</w:t>
            </w:r>
            <w:r>
              <w:rPr>
                <w:rFonts w:ascii="仿宋" w:hAnsi="仿宋" w:eastAsia="仿宋" w:cs="仿宋"/>
                <w:spacing w:val="-23"/>
                <w:sz w:val="20"/>
                <w:szCs w:val="20"/>
              </w:rPr>
              <w:t xml:space="preserve"> </w:t>
            </w:r>
            <w:r>
              <w:rPr>
                <w:spacing w:val="5"/>
                <w:sz w:val="20"/>
                <w:szCs w:val="20"/>
              </w:rPr>
              <w:t>1</w:t>
            </w:r>
            <w:r>
              <w:rPr>
                <w:spacing w:val="20"/>
                <w:w w:val="101"/>
                <w:sz w:val="20"/>
                <w:szCs w:val="20"/>
              </w:rPr>
              <w:t xml:space="preserve"> </w:t>
            </w:r>
            <w:r>
              <w:rPr>
                <w:rFonts w:ascii="仿宋" w:hAnsi="仿宋" w:eastAsia="仿宋" w:cs="仿宋"/>
                <w:spacing w:val="5"/>
                <w:sz w:val="20"/>
                <w:szCs w:val="20"/>
              </w:rPr>
              <w:t>类区昼</w:t>
            </w:r>
            <w:r>
              <w:rPr>
                <w:rFonts w:ascii="仿宋" w:hAnsi="仿宋" w:eastAsia="仿宋" w:cs="仿宋"/>
                <w:spacing w:val="6"/>
                <w:sz w:val="20"/>
                <w:szCs w:val="20"/>
              </w:rPr>
              <w:t>间</w:t>
            </w:r>
            <w:r>
              <w:rPr>
                <w:rFonts w:ascii="仿宋" w:hAnsi="仿宋" w:eastAsia="仿宋" w:cs="仿宋"/>
                <w:spacing w:val="-37"/>
                <w:sz w:val="20"/>
                <w:szCs w:val="20"/>
              </w:rPr>
              <w:t xml:space="preserve"> </w:t>
            </w:r>
            <w:r>
              <w:rPr>
                <w:spacing w:val="6"/>
                <w:sz w:val="20"/>
                <w:szCs w:val="20"/>
              </w:rPr>
              <w:t>55</w:t>
            </w:r>
            <w:r>
              <w:rPr>
                <w:sz w:val="20"/>
                <w:szCs w:val="20"/>
              </w:rPr>
              <w:t>dB</w:t>
            </w:r>
            <w:r>
              <w:rPr>
                <w:spacing w:val="6"/>
                <w:sz w:val="20"/>
                <w:szCs w:val="20"/>
              </w:rPr>
              <w:t>(A)</w:t>
            </w:r>
            <w:r>
              <w:rPr>
                <w:rFonts w:ascii="仿宋" w:hAnsi="仿宋" w:eastAsia="仿宋" w:cs="仿宋"/>
                <w:spacing w:val="6"/>
                <w:sz w:val="20"/>
                <w:szCs w:val="20"/>
              </w:rPr>
              <w:t>限值；夜间噪声均值区间为</w:t>
            </w:r>
            <w:r>
              <w:rPr>
                <w:rFonts w:ascii="仿宋" w:hAnsi="仿宋" w:eastAsia="仿宋" w:cs="仿宋"/>
                <w:spacing w:val="-37"/>
                <w:sz w:val="20"/>
                <w:szCs w:val="20"/>
              </w:rPr>
              <w:t xml:space="preserve"> </w:t>
            </w:r>
            <w:r>
              <w:rPr>
                <w:spacing w:val="6"/>
                <w:sz w:val="20"/>
                <w:szCs w:val="20"/>
              </w:rPr>
              <w:t>36.0~4</w:t>
            </w:r>
            <w:r>
              <w:rPr>
                <w:spacing w:val="5"/>
                <w:sz w:val="20"/>
                <w:szCs w:val="20"/>
              </w:rPr>
              <w:t>3.0</w:t>
            </w:r>
            <w:r>
              <w:rPr>
                <w:sz w:val="20"/>
                <w:szCs w:val="20"/>
              </w:rPr>
              <w:t>dB</w:t>
            </w:r>
            <w:r>
              <w:rPr>
                <w:spacing w:val="5"/>
                <w:sz w:val="20"/>
                <w:szCs w:val="20"/>
              </w:rPr>
              <w:t>(A)</w:t>
            </w:r>
            <w:r>
              <w:rPr>
                <w:spacing w:val="-21"/>
                <w:sz w:val="20"/>
                <w:szCs w:val="20"/>
              </w:rPr>
              <w:t xml:space="preserve"> </w:t>
            </w:r>
            <w:r>
              <w:rPr>
                <w:rFonts w:ascii="仿宋" w:hAnsi="仿宋" w:eastAsia="仿宋" w:cs="仿宋"/>
                <w:spacing w:val="5"/>
                <w:sz w:val="20"/>
                <w:szCs w:val="20"/>
              </w:rPr>
              <w:t>，均低于</w:t>
            </w:r>
            <w:r>
              <w:rPr>
                <w:rFonts w:ascii="仿宋" w:hAnsi="仿宋" w:eastAsia="仿宋" w:cs="仿宋"/>
                <w:spacing w:val="-20"/>
                <w:sz w:val="20"/>
                <w:szCs w:val="20"/>
              </w:rPr>
              <w:t xml:space="preserve"> </w:t>
            </w:r>
            <w:r>
              <w:rPr>
                <w:spacing w:val="5"/>
                <w:sz w:val="20"/>
                <w:szCs w:val="20"/>
              </w:rPr>
              <w:t>1</w:t>
            </w:r>
            <w:r>
              <w:rPr>
                <w:spacing w:val="20"/>
                <w:sz w:val="20"/>
                <w:szCs w:val="20"/>
              </w:rPr>
              <w:t xml:space="preserve"> </w:t>
            </w:r>
            <w:r>
              <w:rPr>
                <w:rFonts w:ascii="仿宋" w:hAnsi="仿宋" w:eastAsia="仿宋" w:cs="仿宋"/>
                <w:spacing w:val="5"/>
                <w:sz w:val="20"/>
                <w:szCs w:val="20"/>
              </w:rPr>
              <w:t>类区夜间</w:t>
            </w:r>
            <w:r>
              <w:rPr>
                <w:rFonts w:ascii="仿宋" w:hAnsi="仿宋" w:eastAsia="仿宋" w:cs="仿宋"/>
                <w:spacing w:val="-44"/>
                <w:sz w:val="20"/>
                <w:szCs w:val="20"/>
              </w:rPr>
              <w:t xml:space="preserve"> </w:t>
            </w:r>
            <w:r>
              <w:rPr>
                <w:spacing w:val="5"/>
                <w:sz w:val="20"/>
                <w:szCs w:val="20"/>
              </w:rPr>
              <w:t>45</w:t>
            </w:r>
            <w:r>
              <w:rPr>
                <w:sz w:val="20"/>
                <w:szCs w:val="20"/>
              </w:rPr>
              <w:t>dB</w:t>
            </w:r>
            <w:r>
              <w:rPr>
                <w:spacing w:val="5"/>
                <w:sz w:val="20"/>
                <w:szCs w:val="20"/>
              </w:rPr>
              <w:t>(A)</w:t>
            </w:r>
            <w:r>
              <w:rPr>
                <w:rFonts w:ascii="仿宋" w:hAnsi="仿宋" w:eastAsia="仿宋" w:cs="仿宋"/>
                <w:spacing w:val="-1"/>
                <w:sz w:val="20"/>
                <w:szCs w:val="20"/>
              </w:rPr>
              <w:t>限值。</w:t>
            </w:r>
          </w:p>
          <w:p w14:paraId="15D4E44C">
            <w:pPr>
              <w:pStyle w:val="6"/>
              <w:spacing w:before="9" w:line="375" w:lineRule="auto"/>
              <w:ind w:left="103" w:right="103" w:firstLine="429"/>
              <w:jc w:val="both"/>
              <w:rPr>
                <w:rFonts w:ascii="仿宋" w:hAnsi="仿宋" w:eastAsia="仿宋" w:cs="仿宋"/>
                <w:sz w:val="20"/>
                <w:szCs w:val="20"/>
              </w:rPr>
            </w:pPr>
            <w:r>
              <w:rPr>
                <w:rFonts w:ascii="仿宋" w:hAnsi="仿宋" w:eastAsia="仿宋" w:cs="仿宋"/>
                <w:spacing w:val="8"/>
                <w:sz w:val="20"/>
                <w:szCs w:val="20"/>
              </w:rPr>
              <w:t>沿黄公路监测数据：昼间最大均值</w:t>
            </w:r>
            <w:r>
              <w:rPr>
                <w:rFonts w:ascii="仿宋" w:hAnsi="仿宋" w:eastAsia="仿宋" w:cs="仿宋"/>
                <w:spacing w:val="-32"/>
                <w:sz w:val="20"/>
                <w:szCs w:val="20"/>
              </w:rPr>
              <w:t xml:space="preserve"> </w:t>
            </w:r>
            <w:r>
              <w:rPr>
                <w:spacing w:val="8"/>
                <w:sz w:val="20"/>
                <w:szCs w:val="20"/>
              </w:rPr>
              <w:t>54.0</w:t>
            </w:r>
            <w:r>
              <w:rPr>
                <w:sz w:val="20"/>
                <w:szCs w:val="20"/>
              </w:rPr>
              <w:t>dB</w:t>
            </w:r>
            <w:r>
              <w:rPr>
                <w:spacing w:val="8"/>
                <w:sz w:val="20"/>
                <w:szCs w:val="20"/>
              </w:rPr>
              <w:t>(A)</w:t>
            </w:r>
            <w:r>
              <w:rPr>
                <w:spacing w:val="-16"/>
                <w:sz w:val="20"/>
                <w:szCs w:val="20"/>
              </w:rPr>
              <w:t xml:space="preserve"> </w:t>
            </w:r>
            <w:r>
              <w:rPr>
                <w:rFonts w:ascii="仿宋" w:hAnsi="仿宋" w:eastAsia="仿宋" w:cs="仿宋"/>
                <w:spacing w:val="8"/>
                <w:sz w:val="20"/>
                <w:szCs w:val="20"/>
              </w:rPr>
              <w:t>、夜间最大均值</w:t>
            </w:r>
            <w:r>
              <w:rPr>
                <w:rFonts w:ascii="仿宋" w:hAnsi="仿宋" w:eastAsia="仿宋" w:cs="仿宋"/>
                <w:spacing w:val="-39"/>
                <w:sz w:val="20"/>
                <w:szCs w:val="20"/>
              </w:rPr>
              <w:t xml:space="preserve"> </w:t>
            </w:r>
            <w:r>
              <w:rPr>
                <w:spacing w:val="8"/>
                <w:sz w:val="20"/>
                <w:szCs w:val="20"/>
              </w:rPr>
              <w:t>43.5</w:t>
            </w:r>
            <w:r>
              <w:rPr>
                <w:sz w:val="20"/>
                <w:szCs w:val="20"/>
              </w:rPr>
              <w:t>dB</w:t>
            </w:r>
            <w:r>
              <w:rPr>
                <w:spacing w:val="8"/>
                <w:sz w:val="20"/>
                <w:szCs w:val="20"/>
              </w:rPr>
              <w:t>(A)</w:t>
            </w:r>
            <w:r>
              <w:rPr>
                <w:spacing w:val="-17"/>
                <w:sz w:val="20"/>
                <w:szCs w:val="20"/>
              </w:rPr>
              <w:t xml:space="preserve"> </w:t>
            </w:r>
            <w:r>
              <w:rPr>
                <w:rFonts w:ascii="仿宋" w:hAnsi="仿宋" w:eastAsia="仿宋" w:cs="仿宋"/>
                <w:spacing w:val="8"/>
                <w:sz w:val="20"/>
                <w:szCs w:val="20"/>
              </w:rPr>
              <w:t>；兴巴高速监测数据：昼间最大均值</w:t>
            </w:r>
            <w:r>
              <w:rPr>
                <w:rFonts w:ascii="仿宋" w:hAnsi="仿宋" w:eastAsia="仿宋" w:cs="仿宋"/>
                <w:spacing w:val="-17"/>
                <w:sz w:val="20"/>
                <w:szCs w:val="20"/>
              </w:rPr>
              <w:t xml:space="preserve"> </w:t>
            </w:r>
            <w:r>
              <w:rPr>
                <w:spacing w:val="8"/>
                <w:sz w:val="20"/>
                <w:szCs w:val="20"/>
              </w:rPr>
              <w:t>53.5</w:t>
            </w:r>
            <w:r>
              <w:rPr>
                <w:sz w:val="20"/>
                <w:szCs w:val="20"/>
              </w:rPr>
              <w:t>dB</w:t>
            </w:r>
            <w:r>
              <w:rPr>
                <w:spacing w:val="8"/>
                <w:sz w:val="20"/>
                <w:szCs w:val="20"/>
              </w:rPr>
              <w:t>(A)</w:t>
            </w:r>
            <w:r>
              <w:rPr>
                <w:spacing w:val="-16"/>
                <w:sz w:val="20"/>
                <w:szCs w:val="20"/>
              </w:rPr>
              <w:t xml:space="preserve"> </w:t>
            </w:r>
            <w:r>
              <w:rPr>
                <w:rFonts w:ascii="仿宋" w:hAnsi="仿宋" w:eastAsia="仿宋" w:cs="仿宋"/>
                <w:spacing w:val="8"/>
                <w:sz w:val="20"/>
                <w:szCs w:val="20"/>
              </w:rPr>
              <w:t>、夜间最大均值</w:t>
            </w:r>
            <w:r>
              <w:rPr>
                <w:rFonts w:ascii="仿宋" w:hAnsi="仿宋" w:eastAsia="仿宋" w:cs="仿宋"/>
                <w:spacing w:val="-39"/>
                <w:sz w:val="20"/>
                <w:szCs w:val="20"/>
              </w:rPr>
              <w:t xml:space="preserve"> </w:t>
            </w:r>
            <w:r>
              <w:rPr>
                <w:spacing w:val="8"/>
                <w:sz w:val="20"/>
                <w:szCs w:val="20"/>
              </w:rPr>
              <w:t>44.0</w:t>
            </w:r>
            <w:r>
              <w:rPr>
                <w:sz w:val="20"/>
                <w:szCs w:val="20"/>
              </w:rPr>
              <w:t>dB</w:t>
            </w:r>
            <w:r>
              <w:rPr>
                <w:spacing w:val="8"/>
                <w:sz w:val="20"/>
                <w:szCs w:val="20"/>
              </w:rPr>
              <w:t>(A)</w:t>
            </w:r>
            <w:r>
              <w:rPr>
                <w:spacing w:val="-18"/>
                <w:sz w:val="20"/>
                <w:szCs w:val="20"/>
              </w:rPr>
              <w:t xml:space="preserve"> </w:t>
            </w:r>
            <w:r>
              <w:rPr>
                <w:rFonts w:ascii="仿宋" w:hAnsi="仿宋" w:eastAsia="仿宋" w:cs="仿宋"/>
                <w:spacing w:val="8"/>
                <w:sz w:val="20"/>
                <w:szCs w:val="20"/>
              </w:rPr>
              <w:t>。两条现状道路</w:t>
            </w:r>
            <w:r>
              <w:rPr>
                <w:spacing w:val="17"/>
                <w:sz w:val="20"/>
                <w:szCs w:val="20"/>
              </w:rPr>
              <w:t>20m</w:t>
            </w:r>
            <w:r>
              <w:rPr>
                <w:spacing w:val="41"/>
                <w:w w:val="101"/>
                <w:sz w:val="20"/>
                <w:szCs w:val="20"/>
              </w:rPr>
              <w:t xml:space="preserve"> </w:t>
            </w:r>
            <w:r>
              <w:rPr>
                <w:rFonts w:ascii="仿宋" w:hAnsi="仿宋" w:eastAsia="仿宋" w:cs="仿宋"/>
                <w:spacing w:val="17"/>
                <w:sz w:val="20"/>
                <w:szCs w:val="20"/>
              </w:rPr>
              <w:t>近场范围内昼夜噪声均满足</w:t>
            </w:r>
            <w:r>
              <w:rPr>
                <w:rFonts w:ascii="仿宋" w:hAnsi="仿宋" w:eastAsia="仿宋" w:cs="仿宋"/>
                <w:spacing w:val="-27"/>
                <w:sz w:val="20"/>
                <w:szCs w:val="20"/>
              </w:rPr>
              <w:t xml:space="preserve"> </w:t>
            </w:r>
            <w:r>
              <w:rPr>
                <w:spacing w:val="17"/>
                <w:sz w:val="20"/>
                <w:szCs w:val="20"/>
              </w:rPr>
              <w:t>4a</w:t>
            </w:r>
            <w:r>
              <w:rPr>
                <w:spacing w:val="36"/>
                <w:w w:val="101"/>
                <w:sz w:val="20"/>
                <w:szCs w:val="20"/>
              </w:rPr>
              <w:t xml:space="preserve"> </w:t>
            </w:r>
            <w:r>
              <w:rPr>
                <w:rFonts w:ascii="仿宋" w:hAnsi="仿宋" w:eastAsia="仿宋" w:cs="仿宋"/>
                <w:spacing w:val="17"/>
                <w:sz w:val="20"/>
                <w:szCs w:val="20"/>
              </w:rPr>
              <w:t>类声环境限值要求</w:t>
            </w:r>
            <w:r>
              <w:rPr>
                <w:rFonts w:ascii="仿宋" w:hAnsi="仿宋" w:eastAsia="仿宋" w:cs="仿宋"/>
                <w:spacing w:val="-55"/>
                <w:sz w:val="20"/>
                <w:szCs w:val="20"/>
              </w:rPr>
              <w:t xml:space="preserve"> </w:t>
            </w:r>
            <w:r>
              <w:rPr>
                <w:rFonts w:ascii="仿宋" w:hAnsi="仿宋" w:eastAsia="仿宋" w:cs="仿宋"/>
                <w:spacing w:val="17"/>
                <w:sz w:val="20"/>
                <w:szCs w:val="20"/>
              </w:rPr>
              <w:t>，</w:t>
            </w:r>
            <w:r>
              <w:rPr>
                <w:rFonts w:ascii="仿宋" w:hAnsi="仿宋" w:eastAsia="仿宋" w:cs="仿宋"/>
                <w:spacing w:val="-50"/>
                <w:sz w:val="20"/>
                <w:szCs w:val="20"/>
              </w:rPr>
              <w:t xml:space="preserve"> </w:t>
            </w:r>
            <w:r>
              <w:rPr>
                <w:spacing w:val="17"/>
                <w:sz w:val="20"/>
                <w:szCs w:val="20"/>
              </w:rPr>
              <w:t>120m</w:t>
            </w:r>
            <w:r>
              <w:rPr>
                <w:spacing w:val="35"/>
                <w:w w:val="101"/>
                <w:sz w:val="20"/>
                <w:szCs w:val="20"/>
              </w:rPr>
              <w:t xml:space="preserve"> </w:t>
            </w:r>
            <w:r>
              <w:rPr>
                <w:rFonts w:ascii="仿宋" w:hAnsi="仿宋" w:eastAsia="仿宋" w:cs="仿宋"/>
                <w:spacing w:val="17"/>
                <w:sz w:val="20"/>
                <w:szCs w:val="20"/>
              </w:rPr>
              <w:t>处夜间噪声降至</w:t>
            </w:r>
            <w:r>
              <w:rPr>
                <w:spacing w:val="8"/>
                <w:sz w:val="20"/>
                <w:szCs w:val="20"/>
              </w:rPr>
              <w:t>36</w:t>
            </w:r>
            <w:r>
              <w:rPr>
                <w:sz w:val="20"/>
                <w:szCs w:val="20"/>
              </w:rPr>
              <w:t>dB</w:t>
            </w:r>
            <w:r>
              <w:rPr>
                <w:spacing w:val="8"/>
                <w:sz w:val="20"/>
                <w:szCs w:val="20"/>
              </w:rPr>
              <w:t>(A)</w:t>
            </w:r>
            <w:r>
              <w:rPr>
                <w:spacing w:val="-5"/>
                <w:sz w:val="20"/>
                <w:szCs w:val="20"/>
              </w:rPr>
              <w:t xml:space="preserve"> </w:t>
            </w:r>
            <w:r>
              <w:rPr>
                <w:rFonts w:ascii="仿宋" w:hAnsi="仿宋" w:eastAsia="仿宋" w:cs="仿宋"/>
                <w:spacing w:val="8"/>
                <w:sz w:val="20"/>
                <w:szCs w:val="20"/>
              </w:rPr>
              <w:t>，基本与区域背景噪声持平，现状道路交通噪声影响范围有限、影响程度较</w:t>
            </w:r>
            <w:r>
              <w:rPr>
                <w:rFonts w:ascii="仿宋" w:hAnsi="仿宋" w:eastAsia="仿宋" w:cs="仿宋"/>
                <w:spacing w:val="2"/>
                <w:sz w:val="20"/>
                <w:szCs w:val="20"/>
              </w:rPr>
              <w:t>低。</w:t>
            </w:r>
          </w:p>
          <w:p w14:paraId="48065212">
            <w:pPr>
              <w:spacing w:before="11" w:line="377" w:lineRule="auto"/>
              <w:ind w:left="112" w:right="103" w:firstLine="420"/>
              <w:jc w:val="both"/>
              <w:rPr>
                <w:rFonts w:ascii="仿宋" w:hAnsi="仿宋" w:eastAsia="仿宋" w:cs="仿宋"/>
                <w:sz w:val="20"/>
                <w:szCs w:val="20"/>
              </w:rPr>
            </w:pPr>
            <w:r>
              <w:rPr>
                <w:rFonts w:ascii="仿宋" w:hAnsi="仿宋" w:eastAsia="仿宋" w:cs="仿宋"/>
                <w:spacing w:val="13"/>
                <w:sz w:val="20"/>
                <w:szCs w:val="20"/>
              </w:rPr>
              <w:t>本项目拟建公路沿线农村敏感点声环境质量整体</w:t>
            </w:r>
            <w:r>
              <w:rPr>
                <w:rFonts w:ascii="仿宋" w:hAnsi="仿宋" w:eastAsia="仿宋" w:cs="仿宋"/>
                <w:spacing w:val="12"/>
                <w:sz w:val="20"/>
                <w:szCs w:val="20"/>
              </w:rPr>
              <w:t>优良，全部满足对应功能区标</w:t>
            </w:r>
            <w:r>
              <w:rPr>
                <w:rFonts w:ascii="仿宋" w:hAnsi="仿宋" w:eastAsia="仿宋" w:cs="仿宋"/>
                <w:spacing w:val="7"/>
                <w:sz w:val="20"/>
                <w:szCs w:val="20"/>
              </w:rPr>
              <w:t>准；区域现状道路交通噪声衰减规律正常，无超标现象，区</w:t>
            </w:r>
            <w:r>
              <w:rPr>
                <w:rFonts w:ascii="仿宋" w:hAnsi="仿宋" w:eastAsia="仿宋" w:cs="仿宋"/>
                <w:spacing w:val="6"/>
                <w:sz w:val="20"/>
                <w:szCs w:val="20"/>
              </w:rPr>
              <w:t>域声环境现状可满足项目</w:t>
            </w:r>
            <w:r>
              <w:rPr>
                <w:rFonts w:ascii="仿宋" w:hAnsi="仿宋" w:eastAsia="仿宋" w:cs="仿宋"/>
                <w:spacing w:val="7"/>
                <w:sz w:val="20"/>
                <w:szCs w:val="20"/>
              </w:rPr>
              <w:t>建设的环境基底要求。</w:t>
            </w:r>
          </w:p>
          <w:p w14:paraId="4F1A4B0B">
            <w:pPr>
              <w:pStyle w:val="6"/>
              <w:spacing w:line="230" w:lineRule="auto"/>
              <w:ind w:left="524"/>
              <w:rPr>
                <w:rFonts w:ascii="仿宋" w:hAnsi="仿宋" w:eastAsia="仿宋" w:cs="仿宋"/>
                <w:sz w:val="20"/>
                <w:szCs w:val="20"/>
              </w:rPr>
            </w:pPr>
            <w:r>
              <w:rPr>
                <w:b/>
                <w:bCs/>
                <w:spacing w:val="4"/>
                <w:sz w:val="20"/>
                <w:szCs w:val="20"/>
              </w:rPr>
              <w:t>4</w:t>
            </w:r>
            <w:r>
              <w:rPr>
                <w:b/>
                <w:bCs/>
                <w:spacing w:val="-11"/>
                <w:sz w:val="20"/>
                <w:szCs w:val="20"/>
              </w:rPr>
              <w:t xml:space="preserve"> </w:t>
            </w:r>
            <w:r>
              <w:rPr>
                <w:rFonts w:ascii="仿宋" w:hAnsi="仿宋" w:eastAsia="仿宋" w:cs="仿宋"/>
                <w:b/>
                <w:bCs/>
                <w:spacing w:val="4"/>
                <w:sz w:val="20"/>
                <w:szCs w:val="20"/>
              </w:rPr>
              <w:t>、地表水环境质量现状</w:t>
            </w:r>
          </w:p>
          <w:p w14:paraId="25CE31D0">
            <w:pPr>
              <w:spacing w:before="160" w:line="377" w:lineRule="auto"/>
              <w:ind w:left="112" w:right="47" w:firstLine="420"/>
              <w:jc w:val="both"/>
              <w:rPr>
                <w:rFonts w:ascii="仿宋" w:hAnsi="仿宋" w:eastAsia="仿宋" w:cs="仿宋"/>
                <w:sz w:val="20"/>
                <w:szCs w:val="20"/>
              </w:rPr>
            </w:pPr>
            <w:r>
              <w:rPr>
                <w:rFonts w:ascii="仿宋" w:hAnsi="仿宋" w:eastAsia="仿宋" w:cs="仿宋"/>
                <w:spacing w:val="7"/>
                <w:sz w:val="20"/>
                <w:szCs w:val="20"/>
              </w:rPr>
              <w:t>本项目道路不涉及河道施工；施工期不产生施</w:t>
            </w:r>
            <w:r>
              <w:rPr>
                <w:rFonts w:ascii="仿宋" w:hAnsi="仿宋" w:eastAsia="仿宋" w:cs="仿宋"/>
                <w:spacing w:val="6"/>
                <w:sz w:val="20"/>
                <w:szCs w:val="20"/>
              </w:rPr>
              <w:t>工废水，施工人员生活依托租住附</w:t>
            </w:r>
            <w:r>
              <w:rPr>
                <w:rFonts w:ascii="仿宋" w:hAnsi="仿宋" w:eastAsia="仿宋" w:cs="仿宋"/>
                <w:spacing w:val="8"/>
                <w:sz w:val="20"/>
                <w:szCs w:val="20"/>
              </w:rPr>
              <w:t>近村庄，施工生活污水依托附近村庄现有卫生处理设施；本项目不设集中式服务区，运营期废水主要为路面径流。</w:t>
            </w:r>
            <w:r>
              <w:rPr>
                <w:rFonts w:ascii="仿宋" w:hAnsi="仿宋" w:eastAsia="仿宋" w:cs="仿宋"/>
                <w:spacing w:val="-59"/>
                <w:sz w:val="20"/>
                <w:szCs w:val="20"/>
              </w:rPr>
              <w:t xml:space="preserve"> </w:t>
            </w:r>
            <w:r>
              <w:rPr>
                <w:rFonts w:ascii="仿宋" w:hAnsi="仿宋" w:eastAsia="仿宋" w:cs="仿宋"/>
                <w:spacing w:val="8"/>
                <w:sz w:val="20"/>
                <w:szCs w:val="20"/>
              </w:rPr>
              <w:t>因此，本项目不开展地表水环境质量现状调查。</w:t>
            </w:r>
          </w:p>
          <w:p w14:paraId="2E5DFDAC">
            <w:pPr>
              <w:pStyle w:val="6"/>
              <w:spacing w:line="230" w:lineRule="auto"/>
              <w:ind w:left="525"/>
              <w:rPr>
                <w:rFonts w:ascii="仿宋" w:hAnsi="仿宋" w:eastAsia="仿宋" w:cs="仿宋"/>
                <w:sz w:val="20"/>
                <w:szCs w:val="20"/>
              </w:rPr>
            </w:pPr>
            <w:r>
              <w:rPr>
                <w:b/>
                <w:bCs/>
                <w:spacing w:val="5"/>
                <w:sz w:val="20"/>
                <w:szCs w:val="20"/>
              </w:rPr>
              <w:t>5</w:t>
            </w:r>
            <w:r>
              <w:rPr>
                <w:b/>
                <w:bCs/>
                <w:spacing w:val="-12"/>
                <w:sz w:val="20"/>
                <w:szCs w:val="20"/>
              </w:rPr>
              <w:t xml:space="preserve"> </w:t>
            </w:r>
            <w:r>
              <w:rPr>
                <w:rFonts w:ascii="仿宋" w:hAnsi="仿宋" w:eastAsia="仿宋" w:cs="仿宋"/>
                <w:b/>
                <w:bCs/>
                <w:spacing w:val="5"/>
                <w:sz w:val="20"/>
                <w:szCs w:val="20"/>
              </w:rPr>
              <w:t>、土壤、地下水环境质量现状</w:t>
            </w:r>
          </w:p>
          <w:p w14:paraId="35DECBEC">
            <w:pPr>
              <w:pStyle w:val="6"/>
              <w:spacing w:before="159" w:line="377" w:lineRule="auto"/>
              <w:ind w:left="111" w:right="105" w:firstLine="421"/>
              <w:jc w:val="both"/>
              <w:rPr>
                <w:sz w:val="20"/>
                <w:szCs w:val="20"/>
              </w:rPr>
            </w:pPr>
            <w:r>
              <w:rPr>
                <w:rFonts w:ascii="仿宋" w:hAnsi="仿宋" w:eastAsia="仿宋" w:cs="仿宋"/>
                <w:spacing w:val="6"/>
                <w:sz w:val="20"/>
                <w:szCs w:val="20"/>
              </w:rPr>
              <w:t>根据《建设项目环境影响报告表编制技术指南》（污染影响类）中地下水、土壤</w:t>
            </w:r>
            <w:r>
              <w:rPr>
                <w:rFonts w:ascii="仿宋" w:hAnsi="仿宋" w:eastAsia="仿宋" w:cs="仿宋"/>
                <w:spacing w:val="9"/>
                <w:sz w:val="20"/>
                <w:szCs w:val="20"/>
              </w:rPr>
              <w:t>环境质量现状监测要求：</w:t>
            </w:r>
            <w:r>
              <w:rPr>
                <w:spacing w:val="9"/>
                <w:sz w:val="20"/>
                <w:szCs w:val="20"/>
              </w:rPr>
              <w:t>“</w:t>
            </w:r>
            <w:r>
              <w:rPr>
                <w:spacing w:val="-31"/>
                <w:sz w:val="20"/>
                <w:szCs w:val="20"/>
              </w:rPr>
              <w:t xml:space="preserve"> </w:t>
            </w:r>
            <w:r>
              <w:rPr>
                <w:rFonts w:ascii="仿宋" w:hAnsi="仿宋" w:eastAsia="仿宋" w:cs="仿宋"/>
                <w:spacing w:val="9"/>
                <w:sz w:val="20"/>
                <w:szCs w:val="20"/>
              </w:rPr>
              <w:t>原则上不开展环境质量现状调查。建设项目存在土壤</w:t>
            </w:r>
            <w:r>
              <w:rPr>
                <w:rFonts w:ascii="仿宋" w:hAnsi="仿宋" w:eastAsia="仿宋" w:cs="仿宋"/>
                <w:spacing w:val="8"/>
                <w:sz w:val="20"/>
                <w:szCs w:val="20"/>
              </w:rPr>
              <w:t>、地</w:t>
            </w:r>
            <w:r>
              <w:rPr>
                <w:rFonts w:ascii="仿宋" w:hAnsi="仿宋" w:eastAsia="仿宋" w:cs="仿宋"/>
                <w:spacing w:val="10"/>
                <w:sz w:val="20"/>
                <w:szCs w:val="20"/>
              </w:rPr>
              <w:t>下水环境污染途径的，应结合污染源、保护</w:t>
            </w:r>
            <w:r>
              <w:rPr>
                <w:rFonts w:ascii="仿宋" w:hAnsi="仿宋" w:eastAsia="仿宋" w:cs="仿宋"/>
                <w:spacing w:val="9"/>
                <w:sz w:val="20"/>
                <w:szCs w:val="20"/>
              </w:rPr>
              <w:t>目标分布情况开展现状调查以留作背景</w:t>
            </w:r>
            <w:r>
              <w:rPr>
                <w:rFonts w:ascii="仿宋" w:hAnsi="仿宋" w:eastAsia="仿宋" w:cs="仿宋"/>
                <w:spacing w:val="18"/>
                <w:sz w:val="20"/>
                <w:szCs w:val="20"/>
              </w:rPr>
              <w:t>值。</w:t>
            </w:r>
            <w:r>
              <w:rPr>
                <w:spacing w:val="18"/>
                <w:sz w:val="20"/>
                <w:szCs w:val="20"/>
              </w:rPr>
              <w:t>”</w:t>
            </w:r>
          </w:p>
          <w:p w14:paraId="1733309F">
            <w:pPr>
              <w:spacing w:before="3" w:line="377" w:lineRule="auto"/>
              <w:ind w:left="111" w:right="103" w:firstLine="421"/>
              <w:jc w:val="both"/>
              <w:rPr>
                <w:rFonts w:ascii="仿宋" w:hAnsi="仿宋" w:eastAsia="仿宋" w:cs="仿宋"/>
                <w:sz w:val="20"/>
                <w:szCs w:val="20"/>
              </w:rPr>
            </w:pPr>
            <w:r>
              <w:rPr>
                <w:rFonts w:ascii="仿宋" w:hAnsi="仿宋" w:eastAsia="仿宋" w:cs="仿宋"/>
                <w:spacing w:val="7"/>
                <w:sz w:val="20"/>
                <w:szCs w:val="20"/>
              </w:rPr>
              <w:t>本项目为交通运输项目，施工期不设置施工营</w:t>
            </w:r>
            <w:r>
              <w:rPr>
                <w:rFonts w:ascii="仿宋" w:hAnsi="仿宋" w:eastAsia="仿宋" w:cs="仿宋"/>
                <w:spacing w:val="6"/>
                <w:sz w:val="20"/>
                <w:szCs w:val="20"/>
              </w:rPr>
              <w:t>地，运营期沿线不设置加油站、服</w:t>
            </w:r>
            <w:r>
              <w:rPr>
                <w:rFonts w:ascii="仿宋" w:hAnsi="仿宋" w:eastAsia="仿宋" w:cs="仿宋"/>
                <w:spacing w:val="7"/>
                <w:sz w:val="20"/>
                <w:szCs w:val="20"/>
              </w:rPr>
              <w:t>务设施等，因此，不存在土壤、地下水环境污染途径，因此本项目</w:t>
            </w:r>
            <w:r>
              <w:rPr>
                <w:rFonts w:ascii="仿宋" w:hAnsi="仿宋" w:eastAsia="仿宋" w:cs="仿宋"/>
                <w:spacing w:val="6"/>
                <w:sz w:val="20"/>
                <w:szCs w:val="20"/>
              </w:rPr>
              <w:t>不进行地下水、土</w:t>
            </w:r>
            <w:r>
              <w:rPr>
                <w:rFonts w:ascii="仿宋" w:hAnsi="仿宋" w:eastAsia="仿宋" w:cs="仿宋"/>
                <w:spacing w:val="7"/>
                <w:sz w:val="20"/>
                <w:szCs w:val="20"/>
              </w:rPr>
              <w:t>壤环境质量现状调查。</w:t>
            </w:r>
          </w:p>
        </w:tc>
      </w:tr>
    </w:tbl>
    <w:p w14:paraId="1A186E53">
      <w:pPr>
        <w:pStyle w:val="2"/>
        <w:rPr>
          <w:sz w:val="21"/>
        </w:rPr>
      </w:pPr>
    </w:p>
    <w:p w14:paraId="273C29F2">
      <w:pPr>
        <w:rPr>
          <w:sz w:val="21"/>
          <w:szCs w:val="21"/>
        </w:rPr>
        <w:sectPr>
          <w:footerReference r:id="rId45" w:type="default"/>
          <w:pgSz w:w="11907" w:h="16840"/>
          <w:pgMar w:top="400" w:right="1643" w:bottom="1446" w:left="1642" w:header="0" w:footer="1284" w:gutter="0"/>
          <w:cols w:space="720" w:num="1"/>
        </w:sectPr>
      </w:pPr>
    </w:p>
    <w:p w14:paraId="29BA3B13">
      <w:pPr>
        <w:pStyle w:val="2"/>
        <w:spacing w:line="263" w:lineRule="auto"/>
        <w:rPr>
          <w:sz w:val="21"/>
        </w:rPr>
      </w:pPr>
    </w:p>
    <w:p w14:paraId="7907BB56">
      <w:pPr>
        <w:pStyle w:val="2"/>
        <w:spacing w:line="263" w:lineRule="auto"/>
        <w:rPr>
          <w:sz w:val="21"/>
        </w:rPr>
      </w:pPr>
    </w:p>
    <w:p w14:paraId="6FF5DE3A">
      <w:pPr>
        <w:pStyle w:val="2"/>
        <w:spacing w:line="263" w:lineRule="auto"/>
        <w:rPr>
          <w:sz w:val="21"/>
        </w:rPr>
      </w:pPr>
    </w:p>
    <w:p w14:paraId="420D882C">
      <w:pPr>
        <w:pStyle w:val="2"/>
        <w:spacing w:line="263" w:lineRule="auto"/>
        <w:rPr>
          <w:sz w:val="21"/>
        </w:rPr>
      </w:pPr>
      <w:r>
        <w:pict>
          <v:shape id="_x0000_s1098" o:spid="_x0000_s1098" style="position:absolute;left:0pt;margin-left:0.45pt;margin-top:12.75pt;height:1pt;width:431.1pt;z-index:251663360;mso-width-relative:page;mso-height-relative:page;" filled="f" stroked="t" coordsize="8622,20" path="m0,9l8621,9e">
            <v:fill on="f" focussize="0,0"/>
            <v:stroke weight="0.96pt" color="#000000" miterlimit="2" joinstyle="bevel"/>
            <v:imagedata o:title=""/>
            <o:lock v:ext="edit"/>
          </v:shape>
        </w:pict>
      </w:r>
      <w:r>
        <w:pict>
          <v:shape id="_x0000_s1099" o:spid="_x0000_s1099" style="position:absolute;left:0pt;margin-left:0.45pt;margin-top:12.75pt;height:674.95pt;width:1pt;z-index:251664384;mso-width-relative:page;mso-height-relative:page;" filled="f" stroked="t" coordsize="20,13499" path="m9,0l9,13498e">
            <v:fill on="f" focussize="0,0"/>
            <v:stroke weight="0.96pt" color="#000000" miterlimit="2" joinstyle="bevel"/>
            <v:imagedata o:title=""/>
            <o:lock v:ext="edit"/>
          </v:shape>
        </w:pict>
      </w:r>
    </w:p>
    <w:p w14:paraId="41EC7DA4">
      <w:pPr>
        <w:pStyle w:val="2"/>
        <w:spacing w:line="13479" w:lineRule="exact"/>
      </w:pPr>
      <w:r>
        <w:rPr>
          <w:position w:val="-269"/>
        </w:rPr>
        <w:pict>
          <v:group id="_x0000_s1100" o:spid="_x0000_s1100" o:spt="203" style="height:674pt;width:431.1pt;" coordsize="8622,13480">
            <o:lock v:ext="edit"/>
            <v:shape id="_x0000_s1101" o:spid="_x0000_s1101" o:spt="75" type="#_x0000_t75" style="position:absolute;left:0;top:0;height:13480;width:8622;" filled="f" stroked="f" coordsize="21600,21600">
              <v:path/>
              <v:fill on="f" focussize="0,0"/>
              <v:stroke on="f"/>
              <v:imagedata r:id="rId289" o:title=""/>
              <o:lock v:ext="edit" aspectratio="t"/>
            </v:shape>
            <v:shape id="_x0000_s1102" o:spid="_x0000_s1102" o:spt="202" type="#_x0000_t202" style="position:absolute;left:1651;top:10201;height:3238;width:6384;" filled="f" stroked="f" coordsize="21600,21600">
              <v:path/>
              <v:fill on="f" focussize="0,0"/>
              <v:stroke on="f"/>
              <v:imagedata o:title=""/>
              <o:lock v:ext="edit" aspectratio="f"/>
              <v:textbox inset="0mm,0mm,0mm,0mm">
                <w:txbxContent>
                  <w:p w14:paraId="607EB0CC">
                    <w:pPr>
                      <w:spacing w:before="19" w:line="222" w:lineRule="auto"/>
                      <w:ind w:left="20"/>
                      <w:rPr>
                        <w:rFonts w:ascii="仿宋" w:hAnsi="仿宋" w:eastAsia="仿宋" w:cs="仿宋"/>
                        <w:sz w:val="18"/>
                        <w:szCs w:val="18"/>
                      </w:rPr>
                    </w:pPr>
                    <w:r>
                      <w:rPr>
                        <w:rFonts w:ascii="仿宋" w:hAnsi="仿宋" w:eastAsia="仿宋" w:cs="仿宋"/>
                        <w:spacing w:val="-5"/>
                        <w:sz w:val="18"/>
                        <w:szCs w:val="18"/>
                      </w:rPr>
                      <w:t>份子地社新村至二道拐村委会                    二道拐坡底至张家圪旦社</w:t>
                    </w:r>
                  </w:p>
                  <w:p w14:paraId="2359F059">
                    <w:pPr>
                      <w:spacing w:line="247" w:lineRule="auto"/>
                      <w:rPr>
                        <w:rFonts w:ascii="Arial"/>
                        <w:sz w:val="21"/>
                      </w:rPr>
                    </w:pPr>
                  </w:p>
                  <w:p w14:paraId="22B97BC6">
                    <w:pPr>
                      <w:spacing w:line="247" w:lineRule="auto"/>
                      <w:rPr>
                        <w:rFonts w:ascii="Arial"/>
                        <w:sz w:val="21"/>
                      </w:rPr>
                    </w:pPr>
                  </w:p>
                  <w:p w14:paraId="3B52E8A9">
                    <w:pPr>
                      <w:spacing w:line="247" w:lineRule="auto"/>
                      <w:rPr>
                        <w:rFonts w:ascii="Arial"/>
                        <w:sz w:val="21"/>
                      </w:rPr>
                    </w:pPr>
                  </w:p>
                  <w:p w14:paraId="760A0060">
                    <w:pPr>
                      <w:spacing w:line="247" w:lineRule="auto"/>
                      <w:rPr>
                        <w:rFonts w:ascii="Arial"/>
                        <w:sz w:val="21"/>
                      </w:rPr>
                    </w:pPr>
                  </w:p>
                  <w:p w14:paraId="39F60DBA">
                    <w:pPr>
                      <w:spacing w:line="247" w:lineRule="auto"/>
                      <w:rPr>
                        <w:rFonts w:ascii="Arial"/>
                        <w:sz w:val="21"/>
                      </w:rPr>
                    </w:pPr>
                  </w:p>
                  <w:p w14:paraId="00B0B902">
                    <w:pPr>
                      <w:spacing w:line="247" w:lineRule="auto"/>
                      <w:rPr>
                        <w:rFonts w:ascii="Arial"/>
                        <w:sz w:val="21"/>
                      </w:rPr>
                    </w:pPr>
                  </w:p>
                  <w:p w14:paraId="7C84FFA9">
                    <w:pPr>
                      <w:spacing w:line="248" w:lineRule="auto"/>
                      <w:rPr>
                        <w:rFonts w:ascii="Arial"/>
                        <w:sz w:val="21"/>
                      </w:rPr>
                    </w:pPr>
                  </w:p>
                  <w:p w14:paraId="5FD8316A">
                    <w:pPr>
                      <w:spacing w:line="248" w:lineRule="auto"/>
                      <w:rPr>
                        <w:rFonts w:ascii="Arial"/>
                        <w:sz w:val="21"/>
                      </w:rPr>
                    </w:pPr>
                  </w:p>
                  <w:p w14:paraId="45F33200">
                    <w:pPr>
                      <w:spacing w:line="248" w:lineRule="auto"/>
                      <w:rPr>
                        <w:rFonts w:ascii="Arial"/>
                        <w:sz w:val="21"/>
                      </w:rPr>
                    </w:pPr>
                  </w:p>
                  <w:p w14:paraId="4812C540">
                    <w:pPr>
                      <w:spacing w:line="248" w:lineRule="auto"/>
                      <w:rPr>
                        <w:rFonts w:ascii="Arial"/>
                        <w:sz w:val="21"/>
                      </w:rPr>
                    </w:pPr>
                  </w:p>
                  <w:p w14:paraId="5BE92ACE">
                    <w:pPr>
                      <w:spacing w:line="248" w:lineRule="auto"/>
                      <w:rPr>
                        <w:rFonts w:ascii="Arial"/>
                        <w:sz w:val="21"/>
                      </w:rPr>
                    </w:pPr>
                  </w:p>
                  <w:p w14:paraId="364BC480">
                    <w:pPr>
                      <w:spacing w:before="59" w:line="222" w:lineRule="auto"/>
                      <w:ind w:right="12"/>
                      <w:jc w:val="right"/>
                      <w:rPr>
                        <w:rFonts w:ascii="仿宋" w:hAnsi="仿宋" w:eastAsia="仿宋" w:cs="仿宋"/>
                        <w:sz w:val="18"/>
                        <w:szCs w:val="18"/>
                      </w:rPr>
                    </w:pPr>
                    <w:r>
                      <w:rPr>
                        <w:rFonts w:ascii="仿宋" w:hAnsi="仿宋" w:eastAsia="仿宋" w:cs="仿宋"/>
                        <w:spacing w:val="-5"/>
                        <w:sz w:val="18"/>
                        <w:szCs w:val="18"/>
                      </w:rPr>
                      <w:t>三道拐社坡底至北防洪堤                 沿黄巨合滩出口东至天顺圪梁通村路</w:t>
                    </w:r>
                  </w:p>
                </w:txbxContent>
              </v:textbox>
            </v:shape>
            <v:shape id="_x0000_s1103" o:spid="_x0000_s1103" o:spt="202" type="#_x0000_t202" style="position:absolute;left:851;top:12;height:661;width:7670;" filled="f" stroked="f" coordsize="21600,21600">
              <v:path/>
              <v:fill on="f" focussize="0,0"/>
              <v:stroke on="f"/>
              <v:imagedata o:title=""/>
              <o:lock v:ext="edit" aspectratio="f"/>
              <v:textbox inset="0mm,0mm,0mm,0mm">
                <w:txbxContent>
                  <w:p w14:paraId="7F60FDAE">
                    <w:pPr>
                      <w:spacing w:before="19" w:line="313" w:lineRule="auto"/>
                      <w:ind w:left="20" w:right="20" w:firstLine="399"/>
                      <w:rPr>
                        <w:rFonts w:ascii="仿宋" w:hAnsi="仿宋" w:eastAsia="仿宋" w:cs="仿宋"/>
                        <w:sz w:val="20"/>
                        <w:szCs w:val="20"/>
                      </w:rPr>
                    </w:pPr>
                    <w:r>
                      <w:rPr>
                        <w:rFonts w:ascii="仿宋" w:hAnsi="仿宋" w:eastAsia="仿宋" w:cs="仿宋"/>
                        <w:spacing w:val="7"/>
                        <w:sz w:val="20"/>
                        <w:szCs w:val="20"/>
                      </w:rPr>
                      <w:t>本项目为新建道路，为乡村道路硬化工程，现</w:t>
                    </w:r>
                    <w:r>
                      <w:rPr>
                        <w:rFonts w:ascii="仿宋" w:hAnsi="仿宋" w:eastAsia="仿宋" w:cs="仿宋"/>
                        <w:spacing w:val="6"/>
                        <w:sz w:val="20"/>
                        <w:szCs w:val="20"/>
                      </w:rPr>
                      <w:t>有道路为土路面，扬尘污染较为突</w:t>
                    </w:r>
                    <w:r>
                      <w:rPr>
                        <w:rFonts w:ascii="仿宋" w:hAnsi="仿宋" w:eastAsia="仿宋" w:cs="仿宋"/>
                        <w:spacing w:val="7"/>
                        <w:sz w:val="20"/>
                        <w:szCs w:val="20"/>
                      </w:rPr>
                      <w:t>出，无生态破坏问题。现有通村道路现状见下图。</w:t>
                    </w:r>
                  </w:p>
                </w:txbxContent>
              </v:textbox>
            </v:shape>
            <v:shape id="_x0000_s1104" o:spid="_x0000_s1104" o:spt="202" type="#_x0000_t202" style="position:absolute;left:1742;top:3663;height:225;width:6292;" filled="f" stroked="f" coordsize="21600,21600">
              <v:path/>
              <v:fill on="f" focussize="0,0"/>
              <v:stroke on="f"/>
              <v:imagedata o:title=""/>
              <o:lock v:ext="edit" aspectratio="f"/>
              <v:textbox inset="0mm,0mm,0mm,0mm">
                <w:txbxContent>
                  <w:p w14:paraId="69A10FDD">
                    <w:pPr>
                      <w:spacing w:before="19" w:line="222" w:lineRule="auto"/>
                      <w:ind w:left="20"/>
                      <w:rPr>
                        <w:rFonts w:ascii="仿宋" w:hAnsi="仿宋" w:eastAsia="仿宋" w:cs="仿宋"/>
                        <w:sz w:val="18"/>
                        <w:szCs w:val="18"/>
                      </w:rPr>
                    </w:pPr>
                    <w:r>
                      <w:rPr>
                        <w:rFonts w:ascii="仿宋" w:hAnsi="仿宋" w:eastAsia="仿宋" w:cs="仿宋"/>
                        <w:spacing w:val="-5"/>
                        <w:sz w:val="18"/>
                        <w:szCs w:val="18"/>
                      </w:rPr>
                      <w:t>李家圪堵至土敖包通村公路                四道敖包至淡家梁至杨家塔通村</w:t>
                    </w:r>
                    <w:r>
                      <w:rPr>
                        <w:rFonts w:ascii="仿宋" w:hAnsi="仿宋" w:eastAsia="仿宋" w:cs="仿宋"/>
                        <w:spacing w:val="-6"/>
                        <w:sz w:val="18"/>
                        <w:szCs w:val="18"/>
                      </w:rPr>
                      <w:t>公路</w:t>
                    </w:r>
                  </w:p>
                </w:txbxContent>
              </v:textbox>
            </v:shape>
            <v:shape id="_x0000_s1105" o:spid="_x0000_s1105" o:spt="202" type="#_x0000_t202" style="position:absolute;left:1488;top:6947;height:225;width:6024;" filled="f" stroked="f" coordsize="21600,21600">
              <v:path/>
              <v:fill on="f" focussize="0,0"/>
              <v:stroke on="f"/>
              <v:imagedata o:title=""/>
              <o:lock v:ext="edit" aspectratio="f"/>
              <v:textbox inset="0mm,0mm,0mm,0mm">
                <w:txbxContent>
                  <w:p w14:paraId="2BE39035">
                    <w:pPr>
                      <w:spacing w:before="19" w:line="222" w:lineRule="auto"/>
                      <w:ind w:left="20"/>
                      <w:rPr>
                        <w:rFonts w:ascii="仿宋" w:hAnsi="仿宋" w:eastAsia="仿宋" w:cs="仿宋"/>
                        <w:sz w:val="18"/>
                        <w:szCs w:val="18"/>
                      </w:rPr>
                    </w:pPr>
                    <w:r>
                      <w:rPr>
                        <w:rFonts w:ascii="仿宋" w:hAnsi="仿宋" w:eastAsia="仿宋" w:cs="仿宋"/>
                        <w:spacing w:val="-5"/>
                        <w:sz w:val="18"/>
                        <w:szCs w:val="18"/>
                      </w:rPr>
                      <w:t>乌拉素村二道壕大坝东至秦家塔社                   双山梁村通社公路工程</w:t>
                    </w:r>
                  </w:p>
                </w:txbxContent>
              </v:textbox>
            </v:shape>
            <v:shape id="_x0000_s1106" o:spid="_x0000_s1106" o:spt="202" type="#_x0000_t202" style="position:absolute;left:153;top:5369;height:2707;width:445;" filled="f" stroked="f" coordsize="21600,21600">
              <v:path/>
              <v:fill on="f" focussize="0,0"/>
              <v:stroke on="f"/>
              <v:imagedata o:title=""/>
              <o:lock v:ext="edit" aspectratio="f"/>
              <v:textbox inset="0mm,0mm,0mm,0mm">
                <w:txbxContent>
                  <w:p w14:paraId="2A6279BC">
                    <w:pPr>
                      <w:spacing w:before="20" w:line="232" w:lineRule="auto"/>
                      <w:ind w:left="28"/>
                      <w:rPr>
                        <w:rFonts w:ascii="仿宋" w:hAnsi="仿宋" w:eastAsia="仿宋" w:cs="仿宋"/>
                        <w:sz w:val="20"/>
                        <w:szCs w:val="20"/>
                      </w:rPr>
                    </w:pPr>
                    <w:r>
                      <w:rPr>
                        <w:rFonts w:ascii="仿宋" w:hAnsi="仿宋" w:eastAsia="仿宋" w:cs="仿宋"/>
                        <w:spacing w:val="-3"/>
                        <w:sz w:val="20"/>
                        <w:szCs w:val="20"/>
                      </w:rPr>
                      <w:t>与项</w:t>
                    </w:r>
                  </w:p>
                  <w:p w14:paraId="7E61C25F">
                    <w:pPr>
                      <w:spacing w:before="21" w:line="231" w:lineRule="auto"/>
                      <w:ind w:left="56"/>
                      <w:rPr>
                        <w:rFonts w:ascii="仿宋" w:hAnsi="仿宋" w:eastAsia="仿宋" w:cs="仿宋"/>
                        <w:sz w:val="20"/>
                        <w:szCs w:val="20"/>
                      </w:rPr>
                    </w:pPr>
                    <w:r>
                      <w:rPr>
                        <w:rFonts w:ascii="仿宋" w:hAnsi="仿宋" w:eastAsia="仿宋" w:cs="仿宋"/>
                        <w:spacing w:val="-17"/>
                        <w:sz w:val="20"/>
                        <w:szCs w:val="20"/>
                      </w:rPr>
                      <w:t>目有</w:t>
                    </w:r>
                  </w:p>
                  <w:p w14:paraId="2EB10870">
                    <w:pPr>
                      <w:spacing w:before="21" w:line="233" w:lineRule="auto"/>
                      <w:ind w:left="25"/>
                      <w:rPr>
                        <w:rFonts w:ascii="仿宋" w:hAnsi="仿宋" w:eastAsia="仿宋" w:cs="仿宋"/>
                        <w:sz w:val="20"/>
                        <w:szCs w:val="20"/>
                      </w:rPr>
                    </w:pPr>
                    <w:r>
                      <w:rPr>
                        <w:rFonts w:ascii="仿宋" w:hAnsi="仿宋" w:eastAsia="仿宋" w:cs="仿宋"/>
                        <w:spacing w:val="-1"/>
                        <w:sz w:val="20"/>
                        <w:szCs w:val="20"/>
                      </w:rPr>
                      <w:t>关的</w:t>
                    </w:r>
                  </w:p>
                  <w:p w14:paraId="61343468">
                    <w:pPr>
                      <w:spacing w:before="21" w:line="231" w:lineRule="auto"/>
                      <w:ind w:left="24"/>
                      <w:rPr>
                        <w:rFonts w:ascii="仿宋" w:hAnsi="仿宋" w:eastAsia="仿宋" w:cs="仿宋"/>
                        <w:sz w:val="20"/>
                        <w:szCs w:val="20"/>
                      </w:rPr>
                    </w:pPr>
                    <w:r>
                      <w:rPr>
                        <w:rFonts w:ascii="仿宋" w:hAnsi="仿宋" w:eastAsia="仿宋" w:cs="仿宋"/>
                        <w:spacing w:val="-1"/>
                        <w:sz w:val="20"/>
                        <w:szCs w:val="20"/>
                      </w:rPr>
                      <w:t>原有</w:t>
                    </w:r>
                  </w:p>
                  <w:p w14:paraId="466CECD1">
                    <w:pPr>
                      <w:spacing w:before="20" w:line="231" w:lineRule="auto"/>
                      <w:ind w:left="20"/>
                      <w:rPr>
                        <w:rFonts w:ascii="仿宋" w:hAnsi="仿宋" w:eastAsia="仿宋" w:cs="仿宋"/>
                        <w:sz w:val="20"/>
                        <w:szCs w:val="20"/>
                      </w:rPr>
                    </w:pPr>
                    <w:r>
                      <w:rPr>
                        <w:rFonts w:ascii="仿宋" w:hAnsi="仿宋" w:eastAsia="仿宋" w:cs="仿宋"/>
                        <w:spacing w:val="2"/>
                        <w:sz w:val="20"/>
                        <w:szCs w:val="20"/>
                      </w:rPr>
                      <w:t>环境</w:t>
                    </w:r>
                  </w:p>
                  <w:p w14:paraId="7C923D14">
                    <w:pPr>
                      <w:spacing w:before="21" w:line="231" w:lineRule="auto"/>
                      <w:ind w:left="24"/>
                      <w:rPr>
                        <w:rFonts w:ascii="仿宋" w:hAnsi="仿宋" w:eastAsia="仿宋" w:cs="仿宋"/>
                        <w:sz w:val="20"/>
                        <w:szCs w:val="20"/>
                      </w:rPr>
                    </w:pPr>
                    <w:r>
                      <w:rPr>
                        <w:rFonts w:ascii="仿宋" w:hAnsi="仿宋" w:eastAsia="仿宋" w:cs="仿宋"/>
                        <w:spacing w:val="-1"/>
                        <w:sz w:val="20"/>
                        <w:szCs w:val="20"/>
                      </w:rPr>
                      <w:t>污染</w:t>
                    </w:r>
                  </w:p>
                  <w:p w14:paraId="70347789">
                    <w:pPr>
                      <w:spacing w:before="23" w:line="232" w:lineRule="auto"/>
                      <w:ind w:left="20"/>
                      <w:rPr>
                        <w:rFonts w:ascii="仿宋" w:hAnsi="仿宋" w:eastAsia="仿宋" w:cs="仿宋"/>
                        <w:sz w:val="20"/>
                        <w:szCs w:val="20"/>
                      </w:rPr>
                    </w:pPr>
                    <w:r>
                      <w:rPr>
                        <w:rFonts w:ascii="仿宋" w:hAnsi="仿宋" w:eastAsia="仿宋" w:cs="仿宋"/>
                        <w:spacing w:val="2"/>
                        <w:sz w:val="20"/>
                        <w:szCs w:val="20"/>
                      </w:rPr>
                      <w:t>和生</w:t>
                    </w:r>
                  </w:p>
                  <w:p w14:paraId="04806723">
                    <w:pPr>
                      <w:spacing w:before="20" w:line="234" w:lineRule="auto"/>
                      <w:ind w:left="28"/>
                      <w:rPr>
                        <w:rFonts w:ascii="仿宋" w:hAnsi="仿宋" w:eastAsia="仿宋" w:cs="仿宋"/>
                        <w:sz w:val="20"/>
                        <w:szCs w:val="20"/>
                      </w:rPr>
                    </w:pPr>
                    <w:r>
                      <w:rPr>
                        <w:rFonts w:ascii="仿宋" w:hAnsi="仿宋" w:eastAsia="仿宋" w:cs="仿宋"/>
                        <w:spacing w:val="-3"/>
                        <w:sz w:val="20"/>
                        <w:szCs w:val="20"/>
                      </w:rPr>
                      <w:t>态破</w:t>
                    </w:r>
                  </w:p>
                  <w:p w14:paraId="60F4CB6C">
                    <w:pPr>
                      <w:spacing w:before="20" w:line="231" w:lineRule="auto"/>
                      <w:ind w:left="20"/>
                      <w:rPr>
                        <w:rFonts w:ascii="仿宋" w:hAnsi="仿宋" w:eastAsia="仿宋" w:cs="仿宋"/>
                        <w:sz w:val="20"/>
                        <w:szCs w:val="20"/>
                      </w:rPr>
                    </w:pPr>
                    <w:r>
                      <w:rPr>
                        <w:rFonts w:ascii="仿宋" w:hAnsi="仿宋" w:eastAsia="仿宋" w:cs="仿宋"/>
                        <w:spacing w:val="2"/>
                        <w:sz w:val="20"/>
                        <w:szCs w:val="20"/>
                      </w:rPr>
                      <w:t>坏问</w:t>
                    </w:r>
                  </w:p>
                  <w:p w14:paraId="6B209941">
                    <w:pPr>
                      <w:spacing w:before="23" w:line="234" w:lineRule="auto"/>
                      <w:ind w:left="126"/>
                      <w:rPr>
                        <w:rFonts w:ascii="仿宋" w:hAnsi="仿宋" w:eastAsia="仿宋" w:cs="仿宋"/>
                        <w:sz w:val="20"/>
                        <w:szCs w:val="20"/>
                      </w:rPr>
                    </w:pPr>
                    <w:r>
                      <w:rPr>
                        <w:rFonts w:ascii="仿宋" w:hAnsi="仿宋" w:eastAsia="仿宋" w:cs="仿宋"/>
                        <w:sz w:val="20"/>
                        <w:szCs w:val="20"/>
                      </w:rPr>
                      <w:t>题</w:t>
                    </w:r>
                  </w:p>
                </w:txbxContent>
              </v:textbox>
            </v:shape>
            <w10:wrap type="none"/>
            <w10:anchorlock/>
          </v:group>
        </w:pict>
      </w:r>
    </w:p>
    <w:p w14:paraId="0F3E4333">
      <w:pPr>
        <w:spacing w:line="13479" w:lineRule="exact"/>
        <w:sectPr>
          <w:footerReference r:id="rId46" w:type="default"/>
          <w:pgSz w:w="11907" w:h="16840"/>
          <w:pgMar w:top="400" w:right="1643" w:bottom="1446" w:left="1642" w:header="0" w:footer="1284" w:gutter="0"/>
          <w:cols w:space="720" w:num="1"/>
        </w:sectPr>
      </w:pPr>
    </w:p>
    <w:p w14:paraId="199CD5C7">
      <w:pPr>
        <w:spacing w:before="19"/>
      </w:pPr>
    </w:p>
    <w:p w14:paraId="1A9F1FE3">
      <w:pPr>
        <w:spacing w:before="19"/>
      </w:pPr>
    </w:p>
    <w:p w14:paraId="10C5847B">
      <w:pPr>
        <w:spacing w:before="18"/>
      </w:pPr>
    </w:p>
    <w:p w14:paraId="1264498B">
      <w:pPr>
        <w:spacing w:before="18"/>
      </w:pPr>
    </w:p>
    <w:tbl>
      <w:tblPr>
        <w:tblStyle w:val="5"/>
        <w:tblW w:w="8606"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8"/>
        <w:gridCol w:w="114"/>
        <w:gridCol w:w="3889"/>
        <w:gridCol w:w="3751"/>
        <w:gridCol w:w="124"/>
      </w:tblGrid>
      <w:tr w14:paraId="20169C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06" w:hRule="atLeast"/>
        </w:trPr>
        <w:tc>
          <w:tcPr>
            <w:tcW w:w="728" w:type="dxa"/>
            <w:vMerge w:val="restart"/>
            <w:tcBorders>
              <w:top w:val="single" w:color="000000" w:sz="6" w:space="0"/>
              <w:left w:val="single" w:color="000000" w:sz="6" w:space="0"/>
              <w:bottom w:val="nil"/>
            </w:tcBorders>
            <w:vAlign w:val="top"/>
          </w:tcPr>
          <w:p w14:paraId="1031F62D">
            <w:pPr>
              <w:rPr>
                <w:rFonts w:ascii="Arial"/>
                <w:sz w:val="21"/>
              </w:rPr>
            </w:pPr>
          </w:p>
        </w:tc>
        <w:tc>
          <w:tcPr>
            <w:tcW w:w="114" w:type="dxa"/>
            <w:tcBorders>
              <w:top w:val="single" w:color="000000" w:sz="6" w:space="0"/>
              <w:bottom w:val="nil"/>
            </w:tcBorders>
            <w:vAlign w:val="top"/>
          </w:tcPr>
          <w:p w14:paraId="4E8C7ADD">
            <w:pPr>
              <w:rPr>
                <w:rFonts w:ascii="Arial"/>
                <w:sz w:val="21"/>
              </w:rPr>
            </w:pPr>
          </w:p>
        </w:tc>
        <w:tc>
          <w:tcPr>
            <w:tcW w:w="3889" w:type="dxa"/>
            <w:tcBorders>
              <w:top w:val="single" w:color="000000" w:sz="6" w:space="0"/>
            </w:tcBorders>
            <w:vAlign w:val="top"/>
          </w:tcPr>
          <w:p w14:paraId="36A78726">
            <w:pPr>
              <w:spacing w:before="16" w:line="3067" w:lineRule="exact"/>
            </w:pPr>
            <w:r>
              <w:rPr>
                <w:position w:val="-61"/>
              </w:rPr>
              <w:drawing>
                <wp:inline distT="0" distB="0" distL="0" distR="0">
                  <wp:extent cx="2465705" cy="1947545"/>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290"/>
                          <a:stretch>
                            <a:fillRect/>
                          </a:stretch>
                        </pic:blipFill>
                        <pic:spPr>
                          <a:xfrm>
                            <a:off x="0" y="0"/>
                            <a:ext cx="2466339" cy="1947671"/>
                          </a:xfrm>
                          <a:prstGeom prst="rect">
                            <a:avLst/>
                          </a:prstGeom>
                        </pic:spPr>
                      </pic:pic>
                    </a:graphicData>
                  </a:graphic>
                </wp:inline>
              </w:drawing>
            </w:r>
          </w:p>
        </w:tc>
        <w:tc>
          <w:tcPr>
            <w:tcW w:w="3751" w:type="dxa"/>
            <w:tcBorders>
              <w:top w:val="single" w:color="000000" w:sz="6" w:space="0"/>
            </w:tcBorders>
            <w:vAlign w:val="top"/>
          </w:tcPr>
          <w:p w14:paraId="18866AB5">
            <w:pPr>
              <w:spacing w:before="59" w:line="2990" w:lineRule="exact"/>
              <w:ind w:firstLine="2"/>
            </w:pPr>
            <w:r>
              <w:rPr>
                <w:position w:val="-59"/>
              </w:rPr>
              <w:drawing>
                <wp:inline distT="0" distB="0" distL="0" distR="0">
                  <wp:extent cx="2376170" cy="1898650"/>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291"/>
                          <a:stretch>
                            <a:fillRect/>
                          </a:stretch>
                        </pic:blipFill>
                        <pic:spPr>
                          <a:xfrm>
                            <a:off x="0" y="0"/>
                            <a:ext cx="2376804" cy="1898904"/>
                          </a:xfrm>
                          <a:prstGeom prst="rect">
                            <a:avLst/>
                          </a:prstGeom>
                        </pic:spPr>
                      </pic:pic>
                    </a:graphicData>
                  </a:graphic>
                </wp:inline>
              </w:drawing>
            </w:r>
          </w:p>
        </w:tc>
        <w:tc>
          <w:tcPr>
            <w:tcW w:w="124" w:type="dxa"/>
            <w:vMerge w:val="restart"/>
            <w:tcBorders>
              <w:top w:val="single" w:color="000000" w:sz="6" w:space="0"/>
              <w:bottom w:val="nil"/>
              <w:right w:val="single" w:color="000000" w:sz="6" w:space="0"/>
            </w:tcBorders>
            <w:vAlign w:val="top"/>
          </w:tcPr>
          <w:p w14:paraId="7537C691">
            <w:pPr>
              <w:rPr>
                <w:rFonts w:ascii="Arial"/>
                <w:sz w:val="21"/>
              </w:rPr>
            </w:pPr>
          </w:p>
        </w:tc>
      </w:tr>
      <w:tr w14:paraId="20CF78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28" w:type="dxa"/>
            <w:vMerge w:val="continue"/>
            <w:tcBorders>
              <w:top w:val="nil"/>
              <w:left w:val="single" w:color="000000" w:sz="6" w:space="0"/>
              <w:bottom w:val="nil"/>
            </w:tcBorders>
            <w:vAlign w:val="top"/>
          </w:tcPr>
          <w:p w14:paraId="400D54B3">
            <w:pPr>
              <w:rPr>
                <w:rFonts w:ascii="Arial"/>
                <w:sz w:val="21"/>
              </w:rPr>
            </w:pPr>
          </w:p>
        </w:tc>
        <w:tc>
          <w:tcPr>
            <w:tcW w:w="114" w:type="dxa"/>
            <w:tcBorders>
              <w:top w:val="nil"/>
              <w:bottom w:val="nil"/>
            </w:tcBorders>
            <w:vAlign w:val="top"/>
          </w:tcPr>
          <w:p w14:paraId="43A0A02B">
            <w:pPr>
              <w:spacing w:line="228" w:lineRule="exact"/>
              <w:rPr>
                <w:rFonts w:ascii="Arial"/>
                <w:sz w:val="19"/>
              </w:rPr>
            </w:pPr>
          </w:p>
        </w:tc>
        <w:tc>
          <w:tcPr>
            <w:tcW w:w="3889" w:type="dxa"/>
            <w:vAlign w:val="top"/>
          </w:tcPr>
          <w:p w14:paraId="7878A873">
            <w:pPr>
              <w:spacing w:before="32" w:line="201" w:lineRule="auto"/>
              <w:ind w:left="1170"/>
              <w:rPr>
                <w:rFonts w:ascii="仿宋" w:hAnsi="仿宋" w:eastAsia="仿宋" w:cs="仿宋"/>
                <w:sz w:val="18"/>
                <w:szCs w:val="18"/>
              </w:rPr>
            </w:pPr>
            <w:r>
              <w:rPr>
                <w:rFonts w:ascii="仿宋" w:hAnsi="仿宋" w:eastAsia="仿宋" w:cs="仿宋"/>
                <w:spacing w:val="-7"/>
                <w:sz w:val="18"/>
                <w:szCs w:val="18"/>
              </w:rPr>
              <w:t>大棚区至杏仁露基地</w:t>
            </w:r>
          </w:p>
        </w:tc>
        <w:tc>
          <w:tcPr>
            <w:tcW w:w="3751" w:type="dxa"/>
            <w:vAlign w:val="top"/>
          </w:tcPr>
          <w:p w14:paraId="76F05B4B">
            <w:pPr>
              <w:spacing w:before="32" w:line="201" w:lineRule="auto"/>
              <w:ind w:left="931"/>
              <w:rPr>
                <w:rFonts w:ascii="仿宋" w:hAnsi="仿宋" w:eastAsia="仿宋" w:cs="仿宋"/>
                <w:sz w:val="18"/>
                <w:szCs w:val="18"/>
              </w:rPr>
            </w:pPr>
            <w:r>
              <w:rPr>
                <w:rFonts w:ascii="仿宋" w:hAnsi="仿宋" w:eastAsia="仿宋" w:cs="仿宋"/>
                <w:spacing w:val="-7"/>
                <w:sz w:val="18"/>
                <w:szCs w:val="18"/>
              </w:rPr>
              <w:t>脑包湾村自然村通硬化路</w:t>
            </w:r>
          </w:p>
        </w:tc>
        <w:tc>
          <w:tcPr>
            <w:tcW w:w="124" w:type="dxa"/>
            <w:vMerge w:val="continue"/>
            <w:tcBorders>
              <w:top w:val="nil"/>
              <w:bottom w:val="nil"/>
              <w:right w:val="single" w:color="000000" w:sz="6" w:space="0"/>
            </w:tcBorders>
            <w:vAlign w:val="top"/>
          </w:tcPr>
          <w:p w14:paraId="1E3A2E77">
            <w:pPr>
              <w:rPr>
                <w:rFonts w:ascii="Arial"/>
                <w:sz w:val="21"/>
              </w:rPr>
            </w:pPr>
          </w:p>
        </w:tc>
      </w:tr>
      <w:tr w14:paraId="3D225E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28" w:type="dxa"/>
            <w:vMerge w:val="continue"/>
            <w:tcBorders>
              <w:top w:val="nil"/>
              <w:left w:val="single" w:color="000000" w:sz="6" w:space="0"/>
              <w:bottom w:val="nil"/>
            </w:tcBorders>
            <w:vAlign w:val="top"/>
          </w:tcPr>
          <w:p w14:paraId="6818425B">
            <w:pPr>
              <w:rPr>
                <w:rFonts w:ascii="Arial"/>
                <w:sz w:val="21"/>
              </w:rPr>
            </w:pPr>
          </w:p>
        </w:tc>
        <w:tc>
          <w:tcPr>
            <w:tcW w:w="114" w:type="dxa"/>
            <w:tcBorders>
              <w:top w:val="nil"/>
              <w:bottom w:val="nil"/>
            </w:tcBorders>
            <w:vAlign w:val="top"/>
          </w:tcPr>
          <w:p w14:paraId="3C2FB3D7">
            <w:pPr>
              <w:rPr>
                <w:rFonts w:ascii="Arial"/>
                <w:sz w:val="21"/>
              </w:rPr>
            </w:pPr>
          </w:p>
        </w:tc>
        <w:tc>
          <w:tcPr>
            <w:tcW w:w="7640" w:type="dxa"/>
            <w:gridSpan w:val="2"/>
            <w:vAlign w:val="top"/>
          </w:tcPr>
          <w:p w14:paraId="2FA4ADF5">
            <w:pPr>
              <w:pStyle w:val="6"/>
              <w:spacing w:before="36" w:line="214" w:lineRule="auto"/>
              <w:ind w:left="2673"/>
              <w:rPr>
                <w:rFonts w:ascii="仿宋" w:hAnsi="仿宋" w:eastAsia="仿宋" w:cs="仿宋"/>
                <w:sz w:val="20"/>
                <w:szCs w:val="20"/>
              </w:rPr>
            </w:pPr>
            <w:r>
              <w:rPr>
                <w:rFonts w:ascii="仿宋" w:hAnsi="仿宋" w:eastAsia="仿宋" w:cs="仿宋"/>
                <w:b/>
                <w:bCs/>
                <w:spacing w:val="-1"/>
                <w:sz w:val="20"/>
                <w:szCs w:val="20"/>
              </w:rPr>
              <w:t>图</w:t>
            </w:r>
            <w:r>
              <w:rPr>
                <w:rFonts w:ascii="仿宋" w:hAnsi="仿宋" w:eastAsia="仿宋" w:cs="仿宋"/>
                <w:spacing w:val="-41"/>
                <w:sz w:val="20"/>
                <w:szCs w:val="20"/>
              </w:rPr>
              <w:t xml:space="preserve"> </w:t>
            </w:r>
            <w:r>
              <w:rPr>
                <w:b/>
                <w:bCs/>
                <w:spacing w:val="-1"/>
                <w:sz w:val="20"/>
                <w:szCs w:val="20"/>
              </w:rPr>
              <w:t xml:space="preserve">3-1        </w:t>
            </w:r>
            <w:r>
              <w:rPr>
                <w:rFonts w:ascii="仿宋" w:hAnsi="仿宋" w:eastAsia="仿宋" w:cs="仿宋"/>
                <w:b/>
                <w:bCs/>
                <w:spacing w:val="-1"/>
                <w:sz w:val="20"/>
                <w:szCs w:val="20"/>
              </w:rPr>
              <w:t>各路段现状情况</w:t>
            </w:r>
          </w:p>
        </w:tc>
        <w:tc>
          <w:tcPr>
            <w:tcW w:w="124" w:type="dxa"/>
            <w:vMerge w:val="continue"/>
            <w:tcBorders>
              <w:top w:val="nil"/>
              <w:bottom w:val="nil"/>
              <w:right w:val="single" w:color="000000" w:sz="6" w:space="0"/>
            </w:tcBorders>
            <w:vAlign w:val="top"/>
          </w:tcPr>
          <w:p w14:paraId="48FA0B43">
            <w:pPr>
              <w:rPr>
                <w:rFonts w:ascii="Arial"/>
                <w:sz w:val="21"/>
              </w:rPr>
            </w:pPr>
          </w:p>
        </w:tc>
      </w:tr>
      <w:tr w14:paraId="051AA0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07" w:hRule="atLeast"/>
        </w:trPr>
        <w:tc>
          <w:tcPr>
            <w:tcW w:w="728" w:type="dxa"/>
            <w:vMerge w:val="continue"/>
            <w:tcBorders>
              <w:top w:val="nil"/>
              <w:left w:val="single" w:color="000000" w:sz="6" w:space="0"/>
              <w:bottom w:val="single" w:color="000000" w:sz="6" w:space="0"/>
            </w:tcBorders>
            <w:vAlign w:val="top"/>
          </w:tcPr>
          <w:p w14:paraId="1FD73C97">
            <w:pPr>
              <w:rPr>
                <w:rFonts w:ascii="Arial"/>
                <w:sz w:val="21"/>
              </w:rPr>
            </w:pPr>
          </w:p>
        </w:tc>
        <w:tc>
          <w:tcPr>
            <w:tcW w:w="7878" w:type="dxa"/>
            <w:gridSpan w:val="4"/>
            <w:tcBorders>
              <w:bottom w:val="single" w:color="000000" w:sz="6" w:space="0"/>
              <w:right w:val="single" w:color="000000" w:sz="6" w:space="0"/>
            </w:tcBorders>
            <w:vAlign w:val="top"/>
          </w:tcPr>
          <w:p w14:paraId="5B065470">
            <w:pPr>
              <w:rPr>
                <w:rFonts w:ascii="Arial"/>
                <w:sz w:val="21"/>
              </w:rPr>
            </w:pPr>
          </w:p>
        </w:tc>
      </w:tr>
    </w:tbl>
    <w:p w14:paraId="3DC06F8B">
      <w:pPr>
        <w:pStyle w:val="2"/>
        <w:rPr>
          <w:sz w:val="21"/>
        </w:rPr>
      </w:pPr>
    </w:p>
    <w:p w14:paraId="607529A4">
      <w:pPr>
        <w:rPr>
          <w:sz w:val="21"/>
          <w:szCs w:val="21"/>
        </w:rPr>
        <w:sectPr>
          <w:footerReference r:id="rId47" w:type="default"/>
          <w:pgSz w:w="11907" w:h="16840"/>
          <w:pgMar w:top="400" w:right="1643" w:bottom="1446" w:left="1642" w:header="0" w:footer="1284" w:gutter="0"/>
          <w:cols w:space="720" w:num="1"/>
        </w:sectPr>
      </w:pPr>
    </w:p>
    <w:p w14:paraId="7DDC0133">
      <w:pPr>
        <w:spacing w:before="19"/>
      </w:pPr>
    </w:p>
    <w:p w14:paraId="3F4C273B">
      <w:pPr>
        <w:spacing w:before="19"/>
      </w:pPr>
    </w:p>
    <w:p w14:paraId="59FEE1A3">
      <w:pPr>
        <w:spacing w:before="18"/>
      </w:pPr>
    </w:p>
    <w:p w14:paraId="289AFAE2">
      <w:pPr>
        <w:spacing w:before="18"/>
      </w:pPr>
    </w:p>
    <w:tbl>
      <w:tblPr>
        <w:tblStyle w:val="5"/>
        <w:tblW w:w="859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36"/>
        <w:gridCol w:w="7863"/>
      </w:tblGrid>
      <w:tr w14:paraId="4457A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423" w:hRule="atLeast"/>
        </w:trPr>
        <w:tc>
          <w:tcPr>
            <w:tcW w:w="736" w:type="dxa"/>
            <w:tcBorders>
              <w:right w:val="single" w:color="000000" w:sz="2" w:space="0"/>
            </w:tcBorders>
            <w:vAlign w:val="top"/>
          </w:tcPr>
          <w:p w14:paraId="30B6812C">
            <w:pPr>
              <w:spacing w:line="243" w:lineRule="auto"/>
              <w:rPr>
                <w:rFonts w:ascii="Arial"/>
                <w:sz w:val="21"/>
              </w:rPr>
            </w:pPr>
          </w:p>
          <w:p w14:paraId="3CC75BF8">
            <w:pPr>
              <w:spacing w:line="243" w:lineRule="auto"/>
              <w:rPr>
                <w:rFonts w:ascii="Arial"/>
                <w:sz w:val="21"/>
              </w:rPr>
            </w:pPr>
          </w:p>
          <w:p w14:paraId="61FE74B0">
            <w:pPr>
              <w:spacing w:line="243" w:lineRule="auto"/>
              <w:rPr>
                <w:rFonts w:ascii="Arial"/>
                <w:sz w:val="21"/>
              </w:rPr>
            </w:pPr>
          </w:p>
          <w:p w14:paraId="3FFB6732">
            <w:pPr>
              <w:spacing w:line="243" w:lineRule="auto"/>
              <w:rPr>
                <w:rFonts w:ascii="Arial"/>
                <w:sz w:val="21"/>
              </w:rPr>
            </w:pPr>
          </w:p>
          <w:p w14:paraId="5A2FE307">
            <w:pPr>
              <w:spacing w:line="244" w:lineRule="auto"/>
              <w:rPr>
                <w:rFonts w:ascii="Arial"/>
                <w:sz w:val="21"/>
              </w:rPr>
            </w:pPr>
          </w:p>
          <w:p w14:paraId="5AB99969">
            <w:pPr>
              <w:spacing w:line="244" w:lineRule="auto"/>
              <w:rPr>
                <w:rFonts w:ascii="Arial"/>
                <w:sz w:val="21"/>
              </w:rPr>
            </w:pPr>
          </w:p>
          <w:p w14:paraId="4BEEFB09">
            <w:pPr>
              <w:spacing w:line="244" w:lineRule="auto"/>
              <w:rPr>
                <w:rFonts w:ascii="Arial"/>
                <w:sz w:val="21"/>
              </w:rPr>
            </w:pPr>
          </w:p>
          <w:p w14:paraId="6CC52176">
            <w:pPr>
              <w:spacing w:line="244" w:lineRule="auto"/>
              <w:rPr>
                <w:rFonts w:ascii="Arial"/>
                <w:sz w:val="21"/>
              </w:rPr>
            </w:pPr>
          </w:p>
          <w:p w14:paraId="479986E0">
            <w:pPr>
              <w:spacing w:line="244" w:lineRule="auto"/>
              <w:rPr>
                <w:rFonts w:ascii="Arial"/>
                <w:sz w:val="21"/>
              </w:rPr>
            </w:pPr>
          </w:p>
          <w:p w14:paraId="603C5318">
            <w:pPr>
              <w:spacing w:line="244" w:lineRule="auto"/>
              <w:rPr>
                <w:rFonts w:ascii="Arial"/>
                <w:sz w:val="21"/>
              </w:rPr>
            </w:pPr>
          </w:p>
          <w:p w14:paraId="63FF79FE">
            <w:pPr>
              <w:spacing w:line="244" w:lineRule="auto"/>
              <w:rPr>
                <w:rFonts w:ascii="Arial"/>
                <w:sz w:val="21"/>
              </w:rPr>
            </w:pPr>
          </w:p>
          <w:p w14:paraId="332C40A1">
            <w:pPr>
              <w:spacing w:line="244" w:lineRule="auto"/>
              <w:rPr>
                <w:rFonts w:ascii="Arial"/>
                <w:sz w:val="21"/>
              </w:rPr>
            </w:pPr>
          </w:p>
          <w:p w14:paraId="6A7A5CFC">
            <w:pPr>
              <w:spacing w:line="244" w:lineRule="auto"/>
              <w:rPr>
                <w:rFonts w:ascii="Arial"/>
                <w:sz w:val="21"/>
              </w:rPr>
            </w:pPr>
          </w:p>
          <w:p w14:paraId="1AE8B9BB">
            <w:pPr>
              <w:spacing w:line="244" w:lineRule="auto"/>
              <w:rPr>
                <w:rFonts w:ascii="Arial"/>
                <w:sz w:val="21"/>
              </w:rPr>
            </w:pPr>
          </w:p>
          <w:p w14:paraId="6BDE61F8">
            <w:pPr>
              <w:spacing w:line="244" w:lineRule="auto"/>
              <w:rPr>
                <w:rFonts w:ascii="Arial"/>
                <w:sz w:val="21"/>
              </w:rPr>
            </w:pPr>
          </w:p>
          <w:p w14:paraId="4FD28F9E">
            <w:pPr>
              <w:spacing w:line="244" w:lineRule="auto"/>
              <w:rPr>
                <w:rFonts w:ascii="Arial"/>
                <w:sz w:val="21"/>
              </w:rPr>
            </w:pPr>
          </w:p>
          <w:p w14:paraId="7B5F49E8">
            <w:pPr>
              <w:spacing w:line="244" w:lineRule="auto"/>
              <w:rPr>
                <w:rFonts w:ascii="Arial"/>
                <w:sz w:val="21"/>
              </w:rPr>
            </w:pPr>
          </w:p>
          <w:p w14:paraId="671267E1">
            <w:pPr>
              <w:spacing w:line="244" w:lineRule="auto"/>
              <w:rPr>
                <w:rFonts w:ascii="Arial"/>
                <w:sz w:val="21"/>
              </w:rPr>
            </w:pPr>
          </w:p>
          <w:p w14:paraId="4FFC9C69">
            <w:pPr>
              <w:spacing w:line="244" w:lineRule="auto"/>
              <w:rPr>
                <w:rFonts w:ascii="Arial"/>
                <w:sz w:val="21"/>
              </w:rPr>
            </w:pPr>
          </w:p>
          <w:p w14:paraId="28AAB53D">
            <w:pPr>
              <w:spacing w:line="244" w:lineRule="auto"/>
              <w:rPr>
                <w:rFonts w:ascii="Arial"/>
                <w:sz w:val="21"/>
              </w:rPr>
            </w:pPr>
          </w:p>
          <w:p w14:paraId="1B865F88">
            <w:pPr>
              <w:spacing w:line="244" w:lineRule="auto"/>
              <w:rPr>
                <w:rFonts w:ascii="Arial"/>
                <w:sz w:val="21"/>
              </w:rPr>
            </w:pPr>
          </w:p>
          <w:p w14:paraId="017249D2">
            <w:pPr>
              <w:spacing w:line="244" w:lineRule="auto"/>
              <w:rPr>
                <w:rFonts w:ascii="Arial"/>
                <w:sz w:val="21"/>
              </w:rPr>
            </w:pPr>
          </w:p>
          <w:p w14:paraId="45CBA721">
            <w:pPr>
              <w:spacing w:line="244" w:lineRule="auto"/>
              <w:rPr>
                <w:rFonts w:ascii="Arial"/>
                <w:sz w:val="21"/>
              </w:rPr>
            </w:pPr>
          </w:p>
          <w:p w14:paraId="3ADB8C14">
            <w:pPr>
              <w:spacing w:line="244" w:lineRule="auto"/>
              <w:rPr>
                <w:rFonts w:ascii="Arial"/>
                <w:sz w:val="21"/>
              </w:rPr>
            </w:pPr>
          </w:p>
          <w:p w14:paraId="7B3EF6B1">
            <w:pPr>
              <w:spacing w:line="244" w:lineRule="auto"/>
              <w:rPr>
                <w:rFonts w:ascii="Arial"/>
                <w:sz w:val="21"/>
              </w:rPr>
            </w:pPr>
          </w:p>
          <w:p w14:paraId="3A68F036">
            <w:pPr>
              <w:spacing w:before="65" w:line="251" w:lineRule="auto"/>
              <w:ind w:left="161" w:right="160" w:firstLine="12"/>
              <w:jc w:val="both"/>
              <w:rPr>
                <w:rFonts w:ascii="仿宋" w:hAnsi="仿宋" w:eastAsia="仿宋" w:cs="仿宋"/>
                <w:sz w:val="20"/>
                <w:szCs w:val="20"/>
              </w:rPr>
            </w:pPr>
            <w:r>
              <w:rPr>
                <w:rFonts w:ascii="仿宋" w:hAnsi="仿宋" w:eastAsia="仿宋" w:cs="仿宋"/>
                <w:spacing w:val="-5"/>
                <w:sz w:val="20"/>
                <w:szCs w:val="20"/>
              </w:rPr>
              <w:t>生态</w:t>
            </w:r>
            <w:r>
              <w:rPr>
                <w:rFonts w:ascii="仿宋" w:hAnsi="仿宋" w:eastAsia="仿宋" w:cs="仿宋"/>
                <w:spacing w:val="2"/>
                <w:sz w:val="20"/>
                <w:szCs w:val="20"/>
              </w:rPr>
              <w:t>环境保护目标</w:t>
            </w:r>
          </w:p>
        </w:tc>
        <w:tc>
          <w:tcPr>
            <w:tcW w:w="7863" w:type="dxa"/>
            <w:tcBorders>
              <w:left w:val="single" w:color="000000" w:sz="2" w:space="0"/>
            </w:tcBorders>
            <w:vAlign w:val="top"/>
          </w:tcPr>
          <w:p w14:paraId="74704210">
            <w:pPr>
              <w:spacing w:before="37" w:line="376" w:lineRule="auto"/>
              <w:ind w:left="113" w:right="150" w:firstLine="419"/>
              <w:rPr>
                <w:rFonts w:ascii="仿宋" w:hAnsi="仿宋" w:eastAsia="仿宋" w:cs="仿宋"/>
                <w:sz w:val="20"/>
                <w:szCs w:val="20"/>
              </w:rPr>
            </w:pPr>
            <w:r>
              <w:rPr>
                <w:rFonts w:ascii="仿宋" w:hAnsi="仿宋" w:eastAsia="仿宋" w:cs="仿宋"/>
                <w:spacing w:val="11"/>
                <w:sz w:val="20"/>
                <w:szCs w:val="20"/>
              </w:rPr>
              <w:t>本项目位于鄂尔多斯市准格尔旗沙圪堵镇和十二连城乡，根据</w:t>
            </w:r>
            <w:r>
              <w:rPr>
                <w:rFonts w:ascii="仿宋" w:hAnsi="仿宋" w:eastAsia="仿宋" w:cs="仿宋"/>
                <w:spacing w:val="10"/>
                <w:sz w:val="20"/>
                <w:szCs w:val="20"/>
              </w:rPr>
              <w:t>路线周边现状，</w:t>
            </w:r>
            <w:r>
              <w:rPr>
                <w:rFonts w:ascii="仿宋" w:hAnsi="仿宋" w:eastAsia="仿宋" w:cs="仿宋"/>
                <w:spacing w:val="7"/>
                <w:sz w:val="20"/>
                <w:szCs w:val="20"/>
              </w:rPr>
              <w:t>确定项目的保护目标。</w:t>
            </w:r>
          </w:p>
          <w:p w14:paraId="5141C8D5">
            <w:pPr>
              <w:pStyle w:val="6"/>
              <w:spacing w:before="1" w:line="229" w:lineRule="auto"/>
              <w:ind w:left="532"/>
              <w:rPr>
                <w:rFonts w:ascii="仿宋" w:hAnsi="仿宋" w:eastAsia="仿宋" w:cs="仿宋"/>
                <w:sz w:val="20"/>
                <w:szCs w:val="20"/>
              </w:rPr>
            </w:pPr>
            <w:r>
              <w:rPr>
                <w:b/>
                <w:bCs/>
                <w:spacing w:val="3"/>
                <w:sz w:val="20"/>
                <w:szCs w:val="20"/>
              </w:rPr>
              <w:t>1</w:t>
            </w:r>
            <w:r>
              <w:rPr>
                <w:b/>
                <w:bCs/>
                <w:spacing w:val="-12"/>
                <w:sz w:val="20"/>
                <w:szCs w:val="20"/>
              </w:rPr>
              <w:t xml:space="preserve"> </w:t>
            </w:r>
            <w:r>
              <w:rPr>
                <w:rFonts w:ascii="仿宋" w:hAnsi="仿宋" w:eastAsia="仿宋" w:cs="仿宋"/>
                <w:b/>
                <w:bCs/>
                <w:spacing w:val="3"/>
                <w:sz w:val="20"/>
                <w:szCs w:val="20"/>
              </w:rPr>
              <w:t>、生态环境保护目标</w:t>
            </w:r>
          </w:p>
          <w:p w14:paraId="3065A072">
            <w:pPr>
              <w:pStyle w:val="6"/>
              <w:spacing w:before="160" w:line="377" w:lineRule="auto"/>
              <w:ind w:left="120" w:right="102" w:firstLine="413"/>
              <w:jc w:val="both"/>
              <w:rPr>
                <w:rFonts w:ascii="仿宋" w:hAnsi="仿宋" w:eastAsia="仿宋" w:cs="仿宋"/>
                <w:sz w:val="20"/>
                <w:szCs w:val="20"/>
              </w:rPr>
            </w:pPr>
            <w:r>
              <w:rPr>
                <w:rFonts w:ascii="仿宋" w:hAnsi="仿宋" w:eastAsia="仿宋" w:cs="仿宋"/>
                <w:spacing w:val="7"/>
                <w:sz w:val="20"/>
                <w:szCs w:val="20"/>
              </w:rPr>
              <w:t>根据《环境影响评价技术导则</w:t>
            </w:r>
            <w:r>
              <w:rPr>
                <w:spacing w:val="7"/>
                <w:sz w:val="20"/>
                <w:szCs w:val="20"/>
              </w:rPr>
              <w:t>—</w:t>
            </w:r>
            <w:r>
              <w:rPr>
                <w:rFonts w:ascii="仿宋" w:hAnsi="仿宋" w:eastAsia="仿宋" w:cs="仿宋"/>
                <w:spacing w:val="7"/>
                <w:sz w:val="20"/>
                <w:szCs w:val="20"/>
              </w:rPr>
              <w:t>生态影响》（</w:t>
            </w:r>
            <w:r>
              <w:rPr>
                <w:sz w:val="20"/>
                <w:szCs w:val="20"/>
              </w:rPr>
              <w:t>HJ</w:t>
            </w:r>
            <w:r>
              <w:rPr>
                <w:spacing w:val="7"/>
                <w:sz w:val="20"/>
                <w:szCs w:val="20"/>
              </w:rPr>
              <w:t>19-2022</w:t>
            </w:r>
            <w:r>
              <w:rPr>
                <w:rFonts w:ascii="仿宋" w:hAnsi="仿宋" w:eastAsia="仿宋" w:cs="仿宋"/>
                <w:spacing w:val="7"/>
                <w:sz w:val="20"/>
                <w:szCs w:val="20"/>
              </w:rPr>
              <w:t>）</w:t>
            </w:r>
            <w:r>
              <w:rPr>
                <w:rFonts w:ascii="仿宋" w:hAnsi="仿宋" w:eastAsia="仿宋" w:cs="仿宋"/>
                <w:spacing w:val="-33"/>
                <w:sz w:val="20"/>
                <w:szCs w:val="20"/>
              </w:rPr>
              <w:t xml:space="preserve"> </w:t>
            </w:r>
            <w:r>
              <w:rPr>
                <w:rFonts w:ascii="仿宋" w:hAnsi="仿宋" w:eastAsia="仿宋" w:cs="仿宋"/>
                <w:spacing w:val="7"/>
                <w:sz w:val="20"/>
                <w:szCs w:val="20"/>
              </w:rPr>
              <w:t>中生态环境评价工作</w:t>
            </w:r>
            <w:r>
              <w:rPr>
                <w:rFonts w:ascii="仿宋" w:hAnsi="仿宋" w:eastAsia="仿宋" w:cs="仿宋"/>
                <w:spacing w:val="8"/>
                <w:sz w:val="20"/>
                <w:szCs w:val="20"/>
              </w:rPr>
              <w:t>等级划分原则，本项目生态评价等级为三级。评价范围为道路中心线两侧外扩</w:t>
            </w:r>
            <w:r>
              <w:rPr>
                <w:rFonts w:ascii="仿宋" w:hAnsi="仿宋" w:eastAsia="仿宋" w:cs="仿宋"/>
                <w:spacing w:val="-32"/>
                <w:sz w:val="20"/>
                <w:szCs w:val="20"/>
              </w:rPr>
              <w:t xml:space="preserve"> </w:t>
            </w:r>
            <w:r>
              <w:rPr>
                <w:spacing w:val="8"/>
                <w:sz w:val="20"/>
                <w:szCs w:val="20"/>
              </w:rPr>
              <w:t>300m</w:t>
            </w:r>
            <w:r>
              <w:rPr>
                <w:rFonts w:ascii="仿宋" w:hAnsi="仿宋" w:eastAsia="仿宋" w:cs="仿宋"/>
                <w:spacing w:val="-2"/>
                <w:sz w:val="20"/>
                <w:szCs w:val="20"/>
              </w:rPr>
              <w:t>范围。</w:t>
            </w:r>
          </w:p>
          <w:p w14:paraId="5DCEED3E">
            <w:pPr>
              <w:pStyle w:val="6"/>
              <w:spacing w:line="229" w:lineRule="auto"/>
              <w:ind w:left="523"/>
              <w:rPr>
                <w:rFonts w:ascii="仿宋" w:hAnsi="仿宋" w:eastAsia="仿宋" w:cs="仿宋"/>
                <w:sz w:val="20"/>
                <w:szCs w:val="20"/>
              </w:rPr>
            </w:pPr>
            <w:r>
              <w:rPr>
                <w:b/>
                <w:bCs/>
                <w:spacing w:val="4"/>
                <w:sz w:val="20"/>
                <w:szCs w:val="20"/>
              </w:rPr>
              <w:t>2</w:t>
            </w:r>
            <w:r>
              <w:rPr>
                <w:b/>
                <w:bCs/>
                <w:spacing w:val="-14"/>
                <w:sz w:val="20"/>
                <w:szCs w:val="20"/>
              </w:rPr>
              <w:t xml:space="preserve"> </w:t>
            </w:r>
            <w:r>
              <w:rPr>
                <w:rFonts w:ascii="仿宋" w:hAnsi="仿宋" w:eastAsia="仿宋" w:cs="仿宋"/>
                <w:b/>
                <w:bCs/>
                <w:spacing w:val="4"/>
                <w:sz w:val="20"/>
                <w:szCs w:val="20"/>
              </w:rPr>
              <w:t>、大气环境保护目标</w:t>
            </w:r>
          </w:p>
          <w:p w14:paraId="35FFAFB7">
            <w:pPr>
              <w:spacing w:before="159" w:line="228" w:lineRule="auto"/>
              <w:ind w:left="533"/>
              <w:rPr>
                <w:rFonts w:ascii="仿宋" w:hAnsi="仿宋" w:eastAsia="仿宋" w:cs="仿宋"/>
                <w:sz w:val="20"/>
                <w:szCs w:val="20"/>
              </w:rPr>
            </w:pPr>
            <w:r>
              <w:rPr>
                <w:rFonts w:ascii="仿宋" w:hAnsi="仿宋" w:eastAsia="仿宋" w:cs="仿宋"/>
                <w:spacing w:val="9"/>
                <w:sz w:val="20"/>
                <w:szCs w:val="20"/>
              </w:rPr>
              <w:t>本项目为农村公路建设项目，不包含服务区、车站、隧道等，根据工程分析，</w:t>
            </w:r>
          </w:p>
          <w:p w14:paraId="39649810">
            <w:pPr>
              <w:pStyle w:val="6"/>
              <w:spacing w:before="161" w:line="377" w:lineRule="auto"/>
              <w:ind w:left="113" w:right="105"/>
              <w:rPr>
                <w:rFonts w:ascii="仿宋" w:hAnsi="仿宋" w:eastAsia="仿宋" w:cs="仿宋"/>
                <w:sz w:val="20"/>
                <w:szCs w:val="20"/>
              </w:rPr>
            </w:pPr>
            <w:r>
              <w:rPr>
                <w:rFonts w:ascii="仿宋" w:hAnsi="仿宋" w:eastAsia="仿宋" w:cs="仿宋"/>
                <w:spacing w:val="9"/>
                <w:sz w:val="20"/>
                <w:szCs w:val="20"/>
              </w:rPr>
              <w:t>本项目主要大气污染因污染物为施工扬尘，经采取措施治理后其污染物排放量较少（且施工结束后其扬尘污染消失</w:t>
            </w:r>
            <w:r>
              <w:rPr>
                <w:rFonts w:ascii="仿宋" w:hAnsi="仿宋" w:eastAsia="仿宋" w:cs="仿宋"/>
                <w:spacing w:val="18"/>
                <w:sz w:val="20"/>
                <w:szCs w:val="20"/>
              </w:rPr>
              <w:t>）；</w:t>
            </w:r>
            <w:r>
              <w:rPr>
                <w:rFonts w:ascii="仿宋" w:hAnsi="仿宋" w:eastAsia="仿宋" w:cs="仿宋"/>
                <w:spacing w:val="9"/>
                <w:sz w:val="20"/>
                <w:szCs w:val="20"/>
              </w:rPr>
              <w:t>运营期大气污染物为汽车尾气及车辆行驶</w:t>
            </w:r>
            <w:r>
              <w:rPr>
                <w:rFonts w:ascii="仿宋" w:hAnsi="仿宋" w:eastAsia="仿宋" w:cs="仿宋"/>
                <w:spacing w:val="8"/>
                <w:sz w:val="20"/>
                <w:szCs w:val="20"/>
              </w:rPr>
              <w:t>产生</w:t>
            </w:r>
            <w:r>
              <w:rPr>
                <w:rFonts w:ascii="仿宋" w:hAnsi="仿宋" w:eastAsia="仿宋" w:cs="仿宋"/>
                <w:spacing w:val="6"/>
                <w:sz w:val="20"/>
                <w:szCs w:val="20"/>
              </w:rPr>
              <w:t>的二次扬尘，各污染物排放量较低；本项目拟建路线中心线两侧</w:t>
            </w:r>
            <w:r>
              <w:rPr>
                <w:rFonts w:ascii="仿宋" w:hAnsi="仿宋" w:eastAsia="仿宋" w:cs="仿宋"/>
                <w:spacing w:val="-27"/>
                <w:sz w:val="20"/>
                <w:szCs w:val="20"/>
              </w:rPr>
              <w:t xml:space="preserve"> </w:t>
            </w:r>
            <w:r>
              <w:rPr>
                <w:spacing w:val="6"/>
                <w:sz w:val="20"/>
                <w:szCs w:val="20"/>
              </w:rPr>
              <w:t>500m</w:t>
            </w:r>
            <w:r>
              <w:rPr>
                <w:spacing w:val="26"/>
                <w:w w:val="101"/>
                <w:sz w:val="20"/>
                <w:szCs w:val="20"/>
              </w:rPr>
              <w:t xml:space="preserve"> </w:t>
            </w:r>
            <w:r>
              <w:rPr>
                <w:rFonts w:ascii="仿宋" w:hAnsi="仿宋" w:eastAsia="仿宋" w:cs="仿宋"/>
                <w:spacing w:val="6"/>
                <w:sz w:val="20"/>
                <w:szCs w:val="20"/>
              </w:rPr>
              <w:t>范围内的无自</w:t>
            </w:r>
            <w:r>
              <w:rPr>
                <w:rFonts w:ascii="仿宋" w:hAnsi="仿宋" w:eastAsia="仿宋" w:cs="仿宋"/>
                <w:spacing w:val="8"/>
                <w:sz w:val="20"/>
                <w:szCs w:val="20"/>
              </w:rPr>
              <w:t>然保护区、风景名胜区等，沿线主要为农村地区。</w:t>
            </w:r>
            <w:r>
              <w:rPr>
                <w:rFonts w:ascii="仿宋" w:hAnsi="仿宋" w:eastAsia="仿宋" w:cs="仿宋"/>
                <w:spacing w:val="-47"/>
                <w:sz w:val="20"/>
                <w:szCs w:val="20"/>
              </w:rPr>
              <w:t xml:space="preserve"> </w:t>
            </w:r>
            <w:r>
              <w:rPr>
                <w:rFonts w:ascii="仿宋" w:hAnsi="仿宋" w:eastAsia="仿宋" w:cs="仿宋"/>
                <w:spacing w:val="8"/>
                <w:sz w:val="20"/>
                <w:szCs w:val="20"/>
              </w:rPr>
              <w:t>因此，本项目不设置大气环境评</w:t>
            </w:r>
            <w:r>
              <w:rPr>
                <w:rFonts w:ascii="仿宋" w:hAnsi="仿宋" w:eastAsia="仿宋" w:cs="仿宋"/>
                <w:spacing w:val="3"/>
                <w:sz w:val="20"/>
                <w:szCs w:val="20"/>
              </w:rPr>
              <w:t>价范围。</w:t>
            </w:r>
          </w:p>
          <w:p w14:paraId="606FA421">
            <w:pPr>
              <w:pStyle w:val="6"/>
              <w:spacing w:line="229" w:lineRule="auto"/>
              <w:ind w:left="522"/>
              <w:rPr>
                <w:rFonts w:ascii="仿宋" w:hAnsi="仿宋" w:eastAsia="仿宋" w:cs="仿宋"/>
                <w:sz w:val="20"/>
                <w:szCs w:val="20"/>
              </w:rPr>
            </w:pPr>
            <w:r>
              <w:rPr>
                <w:b/>
                <w:bCs/>
                <w:spacing w:val="4"/>
                <w:sz w:val="20"/>
                <w:szCs w:val="20"/>
              </w:rPr>
              <w:t>3</w:t>
            </w:r>
            <w:r>
              <w:rPr>
                <w:b/>
                <w:bCs/>
                <w:spacing w:val="-17"/>
                <w:sz w:val="20"/>
                <w:szCs w:val="20"/>
              </w:rPr>
              <w:t xml:space="preserve"> </w:t>
            </w:r>
            <w:r>
              <w:rPr>
                <w:rFonts w:ascii="仿宋" w:hAnsi="仿宋" w:eastAsia="仿宋" w:cs="仿宋"/>
                <w:b/>
                <w:bCs/>
                <w:spacing w:val="4"/>
                <w:sz w:val="20"/>
                <w:szCs w:val="20"/>
              </w:rPr>
              <w:t>、声环境保护目标</w:t>
            </w:r>
          </w:p>
          <w:p w14:paraId="7A00F2AE">
            <w:pPr>
              <w:pStyle w:val="6"/>
              <w:spacing w:before="163" w:line="376" w:lineRule="auto"/>
              <w:ind w:left="115" w:right="119" w:firstLine="418"/>
              <w:rPr>
                <w:rFonts w:ascii="仿宋" w:hAnsi="仿宋" w:eastAsia="仿宋" w:cs="仿宋"/>
                <w:sz w:val="20"/>
                <w:szCs w:val="20"/>
              </w:rPr>
            </w:pPr>
            <w:r>
              <w:rPr>
                <w:rFonts w:ascii="仿宋" w:hAnsi="仿宋" w:eastAsia="仿宋" w:cs="仿宋"/>
                <w:spacing w:val="8"/>
                <w:sz w:val="20"/>
                <w:szCs w:val="20"/>
              </w:rPr>
              <w:t>根据《环境影响评价技术导则  声环境》（</w:t>
            </w:r>
            <w:r>
              <w:rPr>
                <w:sz w:val="20"/>
                <w:szCs w:val="20"/>
              </w:rPr>
              <w:t>HJ</w:t>
            </w:r>
            <w:r>
              <w:rPr>
                <w:spacing w:val="8"/>
                <w:sz w:val="20"/>
                <w:szCs w:val="20"/>
              </w:rPr>
              <w:t>2.4—2021</w:t>
            </w:r>
            <w:r>
              <w:rPr>
                <w:rFonts w:ascii="仿宋" w:hAnsi="仿宋" w:eastAsia="仿宋" w:cs="仿宋"/>
                <w:spacing w:val="19"/>
                <w:sz w:val="20"/>
                <w:szCs w:val="20"/>
              </w:rPr>
              <w:t>），</w:t>
            </w:r>
            <w:r>
              <w:rPr>
                <w:rFonts w:ascii="仿宋" w:hAnsi="仿宋" w:eastAsia="仿宋" w:cs="仿宋"/>
                <w:spacing w:val="8"/>
                <w:sz w:val="20"/>
                <w:szCs w:val="20"/>
              </w:rPr>
              <w:t>声环境影响评价等</w:t>
            </w:r>
            <w:r>
              <w:rPr>
                <w:rFonts w:ascii="仿宋" w:hAnsi="仿宋" w:eastAsia="仿宋" w:cs="仿宋"/>
                <w:spacing w:val="6"/>
                <w:sz w:val="20"/>
                <w:szCs w:val="20"/>
              </w:rPr>
              <w:t>级为二级，</w:t>
            </w:r>
            <w:r>
              <w:rPr>
                <w:rFonts w:ascii="仿宋" w:hAnsi="仿宋" w:eastAsia="仿宋" w:cs="仿宋"/>
                <w:spacing w:val="-49"/>
                <w:sz w:val="20"/>
                <w:szCs w:val="20"/>
              </w:rPr>
              <w:t xml:space="preserve"> </w:t>
            </w:r>
            <w:r>
              <w:rPr>
                <w:rFonts w:ascii="仿宋" w:hAnsi="仿宋" w:eastAsia="仿宋" w:cs="仿宋"/>
                <w:spacing w:val="6"/>
                <w:sz w:val="20"/>
                <w:szCs w:val="20"/>
              </w:rPr>
              <w:t>以线路中心线外两侧</w:t>
            </w:r>
            <w:r>
              <w:rPr>
                <w:rFonts w:ascii="仿宋" w:hAnsi="仿宋" w:eastAsia="仿宋" w:cs="仿宋"/>
                <w:spacing w:val="-41"/>
                <w:sz w:val="20"/>
                <w:szCs w:val="20"/>
              </w:rPr>
              <w:t xml:space="preserve"> </w:t>
            </w:r>
            <w:r>
              <w:rPr>
                <w:spacing w:val="6"/>
                <w:sz w:val="20"/>
                <w:szCs w:val="20"/>
              </w:rPr>
              <w:t>200m</w:t>
            </w:r>
            <w:r>
              <w:rPr>
                <w:spacing w:val="27"/>
                <w:sz w:val="20"/>
                <w:szCs w:val="20"/>
              </w:rPr>
              <w:t xml:space="preserve"> </w:t>
            </w:r>
            <w:r>
              <w:rPr>
                <w:rFonts w:ascii="仿宋" w:hAnsi="仿宋" w:eastAsia="仿宋" w:cs="仿宋"/>
                <w:spacing w:val="6"/>
                <w:sz w:val="20"/>
                <w:szCs w:val="20"/>
              </w:rPr>
              <w:t>范围为评价范围，声环境保护目标见表</w:t>
            </w:r>
            <w:r>
              <w:rPr>
                <w:rFonts w:ascii="仿宋" w:hAnsi="仿宋" w:eastAsia="仿宋" w:cs="仿宋"/>
                <w:spacing w:val="-39"/>
                <w:sz w:val="20"/>
                <w:szCs w:val="20"/>
              </w:rPr>
              <w:t xml:space="preserve"> </w:t>
            </w:r>
            <w:r>
              <w:rPr>
                <w:spacing w:val="6"/>
                <w:sz w:val="20"/>
                <w:szCs w:val="20"/>
              </w:rPr>
              <w:t>3-3</w:t>
            </w:r>
            <w:r>
              <w:rPr>
                <w:rFonts w:ascii="仿宋" w:hAnsi="仿宋" w:eastAsia="仿宋" w:cs="仿宋"/>
                <w:spacing w:val="6"/>
                <w:sz w:val="20"/>
                <w:szCs w:val="20"/>
              </w:rPr>
              <w:t>。</w:t>
            </w:r>
          </w:p>
          <w:p w14:paraId="3296B8C5">
            <w:pPr>
              <w:pStyle w:val="6"/>
              <w:spacing w:before="1" w:line="229" w:lineRule="auto"/>
              <w:ind w:left="523"/>
              <w:rPr>
                <w:rFonts w:ascii="仿宋" w:hAnsi="仿宋" w:eastAsia="仿宋" w:cs="仿宋"/>
                <w:sz w:val="20"/>
                <w:szCs w:val="20"/>
              </w:rPr>
            </w:pPr>
            <w:r>
              <w:rPr>
                <w:b/>
                <w:bCs/>
                <w:spacing w:val="5"/>
                <w:sz w:val="20"/>
                <w:szCs w:val="20"/>
              </w:rPr>
              <w:t>4</w:t>
            </w:r>
            <w:r>
              <w:rPr>
                <w:b/>
                <w:bCs/>
                <w:spacing w:val="-20"/>
                <w:sz w:val="20"/>
                <w:szCs w:val="20"/>
              </w:rPr>
              <w:t xml:space="preserve"> </w:t>
            </w:r>
            <w:r>
              <w:rPr>
                <w:rFonts w:ascii="仿宋" w:hAnsi="仿宋" w:eastAsia="仿宋" w:cs="仿宋"/>
                <w:b/>
                <w:bCs/>
                <w:spacing w:val="5"/>
                <w:sz w:val="20"/>
                <w:szCs w:val="20"/>
              </w:rPr>
              <w:t>、地表水环境保护目标</w:t>
            </w:r>
          </w:p>
          <w:p w14:paraId="61BF8EE3">
            <w:pPr>
              <w:spacing w:before="159" w:line="378" w:lineRule="auto"/>
              <w:ind w:left="124" w:right="37" w:firstLine="408"/>
              <w:rPr>
                <w:rFonts w:ascii="仿宋" w:hAnsi="仿宋" w:eastAsia="仿宋" w:cs="仿宋"/>
                <w:sz w:val="20"/>
                <w:szCs w:val="20"/>
              </w:rPr>
            </w:pPr>
            <w:r>
              <w:rPr>
                <w:rFonts w:ascii="仿宋" w:hAnsi="仿宋" w:eastAsia="仿宋" w:cs="仿宋"/>
                <w:spacing w:val="8"/>
                <w:sz w:val="20"/>
                <w:szCs w:val="20"/>
              </w:rPr>
              <w:t>根据现场调查，本项目拟建路线不涉及过水路面，施工期及运营期无生产废水、</w:t>
            </w:r>
            <w:r>
              <w:rPr>
                <w:rFonts w:ascii="仿宋" w:hAnsi="仿宋" w:eastAsia="仿宋" w:cs="仿宋"/>
                <w:spacing w:val="7"/>
                <w:sz w:val="20"/>
                <w:szCs w:val="20"/>
              </w:rPr>
              <w:t>生活污水产生及排放，</w:t>
            </w:r>
            <w:r>
              <w:rPr>
                <w:rFonts w:ascii="仿宋" w:hAnsi="仿宋" w:eastAsia="仿宋" w:cs="仿宋"/>
                <w:spacing w:val="-57"/>
                <w:sz w:val="20"/>
                <w:szCs w:val="20"/>
              </w:rPr>
              <w:t xml:space="preserve"> </w:t>
            </w:r>
            <w:r>
              <w:rPr>
                <w:rFonts w:ascii="仿宋" w:hAnsi="仿宋" w:eastAsia="仿宋" w:cs="仿宋"/>
                <w:spacing w:val="7"/>
                <w:sz w:val="20"/>
                <w:szCs w:val="20"/>
              </w:rPr>
              <w:t>因此，不涉及地表水环境保</w:t>
            </w:r>
            <w:r>
              <w:rPr>
                <w:rFonts w:ascii="仿宋" w:hAnsi="仿宋" w:eastAsia="仿宋" w:cs="仿宋"/>
                <w:spacing w:val="6"/>
                <w:sz w:val="20"/>
                <w:szCs w:val="20"/>
              </w:rPr>
              <w:t>护目标。</w:t>
            </w:r>
          </w:p>
          <w:p w14:paraId="05BD2A6D">
            <w:pPr>
              <w:pStyle w:val="6"/>
              <w:spacing w:line="229" w:lineRule="auto"/>
              <w:ind w:left="535"/>
              <w:rPr>
                <w:rFonts w:ascii="仿宋" w:hAnsi="仿宋" w:eastAsia="仿宋" w:cs="仿宋"/>
                <w:sz w:val="20"/>
                <w:szCs w:val="20"/>
              </w:rPr>
            </w:pPr>
            <w:r>
              <w:rPr>
                <w:rFonts w:ascii="仿宋" w:hAnsi="仿宋" w:eastAsia="仿宋" w:cs="仿宋"/>
                <w:spacing w:val="6"/>
                <w:sz w:val="20"/>
                <w:szCs w:val="20"/>
              </w:rPr>
              <w:t>综上，本项目生态保护目标见表</w:t>
            </w:r>
            <w:r>
              <w:rPr>
                <w:rFonts w:ascii="仿宋" w:hAnsi="仿宋" w:eastAsia="仿宋" w:cs="仿宋"/>
                <w:spacing w:val="-36"/>
                <w:sz w:val="20"/>
                <w:szCs w:val="20"/>
              </w:rPr>
              <w:t xml:space="preserve"> </w:t>
            </w:r>
            <w:r>
              <w:rPr>
                <w:spacing w:val="6"/>
                <w:sz w:val="20"/>
                <w:szCs w:val="20"/>
              </w:rPr>
              <w:t>3-2</w:t>
            </w:r>
            <w:r>
              <w:rPr>
                <w:spacing w:val="-18"/>
                <w:sz w:val="20"/>
                <w:szCs w:val="20"/>
              </w:rPr>
              <w:t xml:space="preserve"> </w:t>
            </w:r>
            <w:r>
              <w:rPr>
                <w:rFonts w:ascii="仿宋" w:hAnsi="仿宋" w:eastAsia="仿宋" w:cs="仿宋"/>
                <w:spacing w:val="6"/>
                <w:sz w:val="20"/>
                <w:szCs w:val="20"/>
              </w:rPr>
              <w:t>，声环境保护目标见</w:t>
            </w:r>
            <w:r>
              <w:rPr>
                <w:rFonts w:ascii="仿宋" w:hAnsi="仿宋" w:eastAsia="仿宋" w:cs="仿宋"/>
                <w:spacing w:val="5"/>
                <w:sz w:val="20"/>
                <w:szCs w:val="20"/>
              </w:rPr>
              <w:t>表</w:t>
            </w:r>
            <w:r>
              <w:rPr>
                <w:rFonts w:ascii="仿宋" w:hAnsi="仿宋" w:eastAsia="仿宋" w:cs="仿宋"/>
                <w:spacing w:val="-39"/>
                <w:sz w:val="20"/>
                <w:szCs w:val="20"/>
              </w:rPr>
              <w:t xml:space="preserve"> </w:t>
            </w:r>
            <w:r>
              <w:rPr>
                <w:spacing w:val="5"/>
                <w:sz w:val="20"/>
                <w:szCs w:val="20"/>
              </w:rPr>
              <w:t>3-3</w:t>
            </w:r>
            <w:r>
              <w:rPr>
                <w:spacing w:val="23"/>
                <w:w w:val="101"/>
                <w:sz w:val="20"/>
                <w:szCs w:val="20"/>
              </w:rPr>
              <w:t xml:space="preserve"> </w:t>
            </w:r>
            <w:r>
              <w:rPr>
                <w:rFonts w:ascii="仿宋" w:hAnsi="仿宋" w:eastAsia="仿宋" w:cs="仿宋"/>
                <w:spacing w:val="5"/>
                <w:sz w:val="20"/>
                <w:szCs w:val="20"/>
              </w:rPr>
              <w:t>及附图</w:t>
            </w:r>
            <w:r>
              <w:rPr>
                <w:rFonts w:ascii="仿宋" w:hAnsi="仿宋" w:eastAsia="仿宋" w:cs="仿宋"/>
                <w:spacing w:val="-39"/>
                <w:sz w:val="20"/>
                <w:szCs w:val="20"/>
              </w:rPr>
              <w:t xml:space="preserve"> </w:t>
            </w:r>
            <w:r>
              <w:rPr>
                <w:spacing w:val="5"/>
                <w:sz w:val="20"/>
                <w:szCs w:val="20"/>
              </w:rPr>
              <w:t>6</w:t>
            </w:r>
            <w:r>
              <w:rPr>
                <w:rFonts w:ascii="仿宋" w:hAnsi="仿宋" w:eastAsia="仿宋" w:cs="仿宋"/>
                <w:spacing w:val="5"/>
                <w:sz w:val="20"/>
                <w:szCs w:val="20"/>
              </w:rPr>
              <w:t>。</w:t>
            </w:r>
          </w:p>
        </w:tc>
      </w:tr>
    </w:tbl>
    <w:p w14:paraId="4C065E48">
      <w:pPr>
        <w:pStyle w:val="2"/>
        <w:rPr>
          <w:sz w:val="21"/>
        </w:rPr>
      </w:pPr>
    </w:p>
    <w:p w14:paraId="2D20D9C3">
      <w:pPr>
        <w:rPr>
          <w:sz w:val="21"/>
          <w:szCs w:val="21"/>
        </w:rPr>
        <w:sectPr>
          <w:footerReference r:id="rId48" w:type="default"/>
          <w:pgSz w:w="11907" w:h="16840"/>
          <w:pgMar w:top="400" w:right="1646" w:bottom="1446" w:left="1646" w:header="0" w:footer="1284" w:gutter="0"/>
          <w:cols w:space="720" w:num="1"/>
        </w:sectPr>
      </w:pPr>
    </w:p>
    <w:p w14:paraId="651BA672">
      <w:pPr>
        <w:spacing w:before="38"/>
      </w:pPr>
    </w:p>
    <w:p w14:paraId="062B5EE7">
      <w:pPr>
        <w:spacing w:before="38"/>
      </w:pPr>
    </w:p>
    <w:p w14:paraId="4F80E271">
      <w:pPr>
        <w:spacing w:before="38"/>
      </w:pPr>
    </w:p>
    <w:p w14:paraId="13BE0CEE">
      <w:pPr>
        <w:spacing w:before="38"/>
      </w:pPr>
    </w:p>
    <w:p w14:paraId="3072D4E3">
      <w:pPr>
        <w:spacing w:before="37"/>
      </w:pPr>
    </w:p>
    <w:tbl>
      <w:tblPr>
        <w:tblStyle w:val="5"/>
        <w:tblW w:w="1418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7"/>
        <w:gridCol w:w="2150"/>
        <w:gridCol w:w="3552"/>
        <w:gridCol w:w="1148"/>
        <w:gridCol w:w="1538"/>
        <w:gridCol w:w="1281"/>
        <w:gridCol w:w="3814"/>
      </w:tblGrid>
      <w:tr w14:paraId="34DB76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1" w:hRule="atLeast"/>
        </w:trPr>
        <w:tc>
          <w:tcPr>
            <w:tcW w:w="14180" w:type="dxa"/>
            <w:gridSpan w:val="7"/>
            <w:tcBorders>
              <w:bottom w:val="single" w:color="000000" w:sz="10" w:space="0"/>
            </w:tcBorders>
            <w:vAlign w:val="top"/>
          </w:tcPr>
          <w:p w14:paraId="4E57EEC1">
            <w:pPr>
              <w:spacing w:before="35" w:line="227" w:lineRule="auto"/>
              <w:ind w:left="5600"/>
              <w:rPr>
                <w:rFonts w:ascii="仿宋" w:hAnsi="仿宋" w:eastAsia="仿宋" w:cs="仿宋"/>
                <w:sz w:val="20"/>
                <w:szCs w:val="20"/>
              </w:rPr>
            </w:pPr>
            <w:r>
              <w:rPr>
                <w:rFonts w:ascii="仿宋" w:hAnsi="仿宋" w:eastAsia="仿宋" w:cs="仿宋"/>
                <w:b/>
                <w:bCs/>
                <w:spacing w:val="5"/>
                <w:sz w:val="20"/>
                <w:szCs w:val="20"/>
              </w:rPr>
              <w:t>表</w:t>
            </w:r>
            <w:r>
              <w:rPr>
                <w:rFonts w:ascii="仿宋" w:hAnsi="仿宋" w:eastAsia="仿宋" w:cs="仿宋"/>
                <w:spacing w:val="-26"/>
                <w:sz w:val="20"/>
                <w:szCs w:val="20"/>
              </w:rPr>
              <w:t xml:space="preserve"> </w:t>
            </w:r>
            <w:r>
              <w:rPr>
                <w:rFonts w:ascii="仿宋" w:hAnsi="仿宋" w:eastAsia="仿宋" w:cs="仿宋"/>
                <w:b/>
                <w:bCs/>
                <w:spacing w:val="5"/>
                <w:sz w:val="20"/>
                <w:szCs w:val="20"/>
              </w:rPr>
              <w:t>3-2</w:t>
            </w:r>
            <w:r>
              <w:rPr>
                <w:rFonts w:ascii="仿宋" w:hAnsi="仿宋" w:eastAsia="仿宋" w:cs="仿宋"/>
                <w:spacing w:val="5"/>
                <w:sz w:val="20"/>
                <w:szCs w:val="20"/>
              </w:rPr>
              <w:t xml:space="preserve">   </w:t>
            </w:r>
            <w:r>
              <w:rPr>
                <w:rFonts w:ascii="仿宋" w:hAnsi="仿宋" w:eastAsia="仿宋" w:cs="仿宋"/>
                <w:b/>
                <w:bCs/>
                <w:spacing w:val="5"/>
                <w:sz w:val="20"/>
                <w:szCs w:val="20"/>
              </w:rPr>
              <w:t>本项目生态保护目标表</w:t>
            </w:r>
          </w:p>
        </w:tc>
      </w:tr>
      <w:tr w14:paraId="4761D4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9" w:hRule="atLeast"/>
        </w:trPr>
        <w:tc>
          <w:tcPr>
            <w:tcW w:w="697" w:type="dxa"/>
            <w:tcBorders>
              <w:top w:val="single" w:color="000000" w:sz="10" w:space="0"/>
            </w:tcBorders>
            <w:vAlign w:val="top"/>
          </w:tcPr>
          <w:p w14:paraId="4CF662C1">
            <w:pPr>
              <w:spacing w:before="18" w:line="206" w:lineRule="auto"/>
              <w:ind w:left="232"/>
              <w:rPr>
                <w:rFonts w:ascii="仿宋" w:hAnsi="仿宋" w:eastAsia="仿宋" w:cs="仿宋"/>
                <w:sz w:val="18"/>
                <w:szCs w:val="18"/>
              </w:rPr>
            </w:pPr>
            <w:r>
              <w:rPr>
                <w:rFonts w:ascii="仿宋" w:hAnsi="仿宋" w:eastAsia="仿宋" w:cs="仿宋"/>
                <w:spacing w:val="-6"/>
                <w:sz w:val="18"/>
                <w:szCs w:val="18"/>
              </w:rPr>
              <w:t>序号</w:t>
            </w:r>
          </w:p>
        </w:tc>
        <w:tc>
          <w:tcPr>
            <w:tcW w:w="2150" w:type="dxa"/>
            <w:tcBorders>
              <w:top w:val="single" w:color="000000" w:sz="10" w:space="0"/>
            </w:tcBorders>
            <w:vAlign w:val="top"/>
          </w:tcPr>
          <w:p w14:paraId="27E1A231">
            <w:pPr>
              <w:spacing w:before="18" w:line="206" w:lineRule="auto"/>
              <w:ind w:left="541"/>
              <w:rPr>
                <w:rFonts w:ascii="仿宋" w:hAnsi="仿宋" w:eastAsia="仿宋" w:cs="仿宋"/>
                <w:sz w:val="18"/>
                <w:szCs w:val="18"/>
              </w:rPr>
            </w:pPr>
            <w:r>
              <w:rPr>
                <w:rFonts w:ascii="仿宋" w:hAnsi="仿宋" w:eastAsia="仿宋" w:cs="仿宋"/>
                <w:spacing w:val="-3"/>
                <w:sz w:val="18"/>
                <w:szCs w:val="18"/>
              </w:rPr>
              <w:t>保护目标类型</w:t>
            </w:r>
          </w:p>
        </w:tc>
        <w:tc>
          <w:tcPr>
            <w:tcW w:w="3552" w:type="dxa"/>
            <w:tcBorders>
              <w:top w:val="single" w:color="000000" w:sz="10" w:space="0"/>
            </w:tcBorders>
            <w:vAlign w:val="top"/>
          </w:tcPr>
          <w:p w14:paraId="448DE7C1">
            <w:pPr>
              <w:spacing w:before="18" w:line="206" w:lineRule="auto"/>
              <w:ind w:left="1425"/>
              <w:rPr>
                <w:rFonts w:ascii="仿宋" w:hAnsi="仿宋" w:eastAsia="仿宋" w:cs="仿宋"/>
                <w:sz w:val="18"/>
                <w:szCs w:val="18"/>
              </w:rPr>
            </w:pPr>
            <w:r>
              <w:rPr>
                <w:rFonts w:ascii="仿宋" w:hAnsi="仿宋" w:eastAsia="仿宋" w:cs="仿宋"/>
                <w:spacing w:val="-4"/>
                <w:sz w:val="18"/>
                <w:szCs w:val="18"/>
              </w:rPr>
              <w:t>所属路段</w:t>
            </w:r>
          </w:p>
        </w:tc>
        <w:tc>
          <w:tcPr>
            <w:tcW w:w="1148" w:type="dxa"/>
            <w:tcBorders>
              <w:top w:val="single" w:color="000000" w:sz="10" w:space="0"/>
            </w:tcBorders>
            <w:vAlign w:val="top"/>
          </w:tcPr>
          <w:p w14:paraId="1429C037">
            <w:pPr>
              <w:spacing w:before="18" w:line="206" w:lineRule="auto"/>
              <w:ind w:left="224"/>
              <w:rPr>
                <w:rFonts w:ascii="仿宋" w:hAnsi="仿宋" w:eastAsia="仿宋" w:cs="仿宋"/>
                <w:sz w:val="18"/>
                <w:szCs w:val="18"/>
              </w:rPr>
            </w:pPr>
            <w:r>
              <w:rPr>
                <w:rFonts w:ascii="仿宋" w:hAnsi="仿宋" w:eastAsia="仿宋" w:cs="仿宋"/>
                <w:spacing w:val="-4"/>
                <w:sz w:val="18"/>
                <w:szCs w:val="18"/>
              </w:rPr>
              <w:t>影响范围</w:t>
            </w:r>
          </w:p>
        </w:tc>
        <w:tc>
          <w:tcPr>
            <w:tcW w:w="1538" w:type="dxa"/>
            <w:tcBorders>
              <w:top w:val="single" w:color="000000" w:sz="10" w:space="0"/>
            </w:tcBorders>
            <w:vAlign w:val="top"/>
          </w:tcPr>
          <w:p w14:paraId="289B3A5E">
            <w:pPr>
              <w:spacing w:before="4" w:line="220" w:lineRule="auto"/>
              <w:ind w:left="312"/>
              <w:rPr>
                <w:rFonts w:ascii="仿宋" w:hAnsi="仿宋" w:eastAsia="仿宋" w:cs="仿宋"/>
                <w:sz w:val="8"/>
                <w:szCs w:val="8"/>
              </w:rPr>
            </w:pPr>
            <w:r>
              <w:rPr>
                <w:rFonts w:ascii="仿宋" w:hAnsi="仿宋" w:eastAsia="仿宋" w:cs="仿宋"/>
                <w:spacing w:val="-7"/>
                <w:sz w:val="18"/>
                <w:szCs w:val="18"/>
              </w:rPr>
              <w:t>占用面积</w:t>
            </w:r>
            <w:r>
              <w:rPr>
                <w:rFonts w:ascii="仿宋" w:hAnsi="仿宋" w:eastAsia="仿宋" w:cs="仿宋"/>
                <w:spacing w:val="-35"/>
                <w:sz w:val="18"/>
                <w:szCs w:val="18"/>
              </w:rPr>
              <w:t xml:space="preserve"> </w:t>
            </w:r>
            <w:r>
              <w:rPr>
                <w:rFonts w:ascii="仿宋" w:hAnsi="仿宋" w:eastAsia="仿宋" w:cs="仿宋"/>
                <w:spacing w:val="-7"/>
                <w:sz w:val="18"/>
                <w:szCs w:val="18"/>
              </w:rPr>
              <w:t>hm</w:t>
            </w:r>
            <w:r>
              <w:rPr>
                <w:rFonts w:ascii="仿宋" w:hAnsi="仿宋" w:eastAsia="仿宋" w:cs="仿宋"/>
                <w:spacing w:val="-7"/>
                <w:position w:val="8"/>
                <w:sz w:val="8"/>
                <w:szCs w:val="8"/>
              </w:rPr>
              <w:t>2</w:t>
            </w:r>
          </w:p>
        </w:tc>
        <w:tc>
          <w:tcPr>
            <w:tcW w:w="1281" w:type="dxa"/>
            <w:tcBorders>
              <w:top w:val="single" w:color="000000" w:sz="10" w:space="0"/>
            </w:tcBorders>
            <w:vAlign w:val="top"/>
          </w:tcPr>
          <w:p w14:paraId="62112144">
            <w:pPr>
              <w:spacing w:before="4" w:line="220" w:lineRule="auto"/>
              <w:ind w:left="156"/>
              <w:rPr>
                <w:rFonts w:ascii="仿宋" w:hAnsi="仿宋" w:eastAsia="仿宋" w:cs="仿宋"/>
                <w:sz w:val="8"/>
                <w:szCs w:val="8"/>
              </w:rPr>
            </w:pPr>
            <w:r>
              <w:rPr>
                <w:rFonts w:ascii="仿宋" w:hAnsi="仿宋" w:eastAsia="仿宋" w:cs="仿宋"/>
                <w:spacing w:val="7"/>
                <w:sz w:val="18"/>
                <w:szCs w:val="18"/>
              </w:rPr>
              <w:t>影响面积</w:t>
            </w:r>
            <w:r>
              <w:rPr>
                <w:rFonts w:ascii="仿宋" w:hAnsi="仿宋" w:eastAsia="仿宋" w:cs="仿宋"/>
                <w:sz w:val="18"/>
                <w:szCs w:val="18"/>
              </w:rPr>
              <w:t>hm</w:t>
            </w:r>
            <w:r>
              <w:rPr>
                <w:rFonts w:ascii="仿宋" w:hAnsi="仿宋" w:eastAsia="仿宋" w:cs="仿宋"/>
                <w:spacing w:val="7"/>
                <w:position w:val="8"/>
                <w:sz w:val="8"/>
                <w:szCs w:val="8"/>
              </w:rPr>
              <w:t>2</w:t>
            </w:r>
          </w:p>
        </w:tc>
        <w:tc>
          <w:tcPr>
            <w:tcW w:w="3814" w:type="dxa"/>
            <w:tcBorders>
              <w:top w:val="single" w:color="000000" w:sz="10" w:space="0"/>
            </w:tcBorders>
            <w:vAlign w:val="top"/>
          </w:tcPr>
          <w:p w14:paraId="3927DBE2">
            <w:pPr>
              <w:spacing w:before="18" w:line="206" w:lineRule="auto"/>
              <w:ind w:left="1061"/>
              <w:rPr>
                <w:rFonts w:ascii="仿宋" w:hAnsi="仿宋" w:eastAsia="仿宋" w:cs="仿宋"/>
                <w:sz w:val="18"/>
                <w:szCs w:val="18"/>
              </w:rPr>
            </w:pPr>
            <w:r>
              <w:rPr>
                <w:rFonts w:ascii="仿宋" w:hAnsi="仿宋" w:eastAsia="仿宋" w:cs="仿宋"/>
                <w:spacing w:val="-3"/>
                <w:sz w:val="18"/>
                <w:szCs w:val="18"/>
              </w:rPr>
              <w:t>生态功能与保护要求</w:t>
            </w:r>
          </w:p>
        </w:tc>
      </w:tr>
      <w:tr w14:paraId="3959C1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697" w:type="dxa"/>
            <w:vAlign w:val="top"/>
          </w:tcPr>
          <w:p w14:paraId="7BCED3CB">
            <w:pPr>
              <w:spacing w:before="143" w:line="237" w:lineRule="exact"/>
              <w:ind w:left="374"/>
              <w:rPr>
                <w:rFonts w:ascii="仿宋" w:hAnsi="仿宋" w:eastAsia="仿宋" w:cs="仿宋"/>
                <w:sz w:val="18"/>
                <w:szCs w:val="18"/>
              </w:rPr>
            </w:pPr>
            <w:r>
              <w:rPr>
                <w:rFonts w:ascii="仿宋" w:hAnsi="仿宋" w:eastAsia="仿宋" w:cs="仿宋"/>
                <w:position w:val="1"/>
                <w:sz w:val="18"/>
                <w:szCs w:val="18"/>
              </w:rPr>
              <w:t>1</w:t>
            </w:r>
          </w:p>
        </w:tc>
        <w:tc>
          <w:tcPr>
            <w:tcW w:w="2150" w:type="dxa"/>
            <w:vAlign w:val="top"/>
          </w:tcPr>
          <w:p w14:paraId="04B27FA4">
            <w:pPr>
              <w:spacing w:before="144" w:line="222" w:lineRule="auto"/>
              <w:ind w:left="721"/>
              <w:rPr>
                <w:rFonts w:ascii="仿宋" w:hAnsi="仿宋" w:eastAsia="仿宋" w:cs="仿宋"/>
                <w:sz w:val="18"/>
                <w:szCs w:val="18"/>
              </w:rPr>
            </w:pPr>
            <w:r>
              <w:rPr>
                <w:rFonts w:ascii="仿宋" w:hAnsi="仿宋" w:eastAsia="仿宋" w:cs="仿宋"/>
                <w:spacing w:val="-3"/>
                <w:sz w:val="18"/>
                <w:szCs w:val="18"/>
              </w:rPr>
              <w:t>基本草原</w:t>
            </w:r>
          </w:p>
        </w:tc>
        <w:tc>
          <w:tcPr>
            <w:tcW w:w="3552" w:type="dxa"/>
            <w:vMerge w:val="restart"/>
            <w:tcBorders>
              <w:bottom w:val="nil"/>
            </w:tcBorders>
            <w:vAlign w:val="top"/>
          </w:tcPr>
          <w:p w14:paraId="4D714CF7">
            <w:pPr>
              <w:spacing w:before="24" w:line="235" w:lineRule="auto"/>
              <w:ind w:left="116" w:right="106" w:firstLine="4"/>
              <w:jc w:val="both"/>
              <w:rPr>
                <w:rFonts w:ascii="仿宋" w:hAnsi="仿宋" w:eastAsia="仿宋" w:cs="仿宋"/>
                <w:sz w:val="18"/>
                <w:szCs w:val="18"/>
              </w:rPr>
            </w:pPr>
            <w:r>
              <w:rPr>
                <w:rFonts w:ascii="仿宋" w:hAnsi="仿宋" w:eastAsia="仿宋" w:cs="仿宋"/>
                <w:spacing w:val="-6"/>
                <w:sz w:val="18"/>
                <w:szCs w:val="18"/>
              </w:rPr>
              <w:t>李家圪堵至土敖包通村公路段、双山梁村通社公路段、四道敖包至淡家梁至杨家塔通村公路段、乌拉素村二道壕大坝东至秦家塔社通村公路段、大棚区至杏仁露基地路段、二</w:t>
            </w:r>
            <w:r>
              <w:rPr>
                <w:rFonts w:ascii="仿宋" w:hAnsi="仿宋" w:eastAsia="仿宋" w:cs="仿宋"/>
                <w:spacing w:val="4"/>
                <w:sz w:val="18"/>
                <w:szCs w:val="18"/>
              </w:rPr>
              <w:t>道拐坡底至张家圪旦社及脑包湾村自然村</w:t>
            </w:r>
            <w:r>
              <w:rPr>
                <w:rFonts w:ascii="仿宋" w:hAnsi="仿宋" w:eastAsia="仿宋" w:cs="仿宋"/>
                <w:spacing w:val="-6"/>
                <w:sz w:val="18"/>
                <w:szCs w:val="18"/>
              </w:rPr>
              <w:t>通硬化路段、沿黄巨合滩出口东至天顺圪梁</w:t>
            </w:r>
            <w:r>
              <w:rPr>
                <w:rFonts w:ascii="仿宋" w:hAnsi="仿宋" w:eastAsia="仿宋" w:cs="仿宋"/>
                <w:spacing w:val="-3"/>
                <w:sz w:val="18"/>
                <w:szCs w:val="18"/>
              </w:rPr>
              <w:t>通村路段</w:t>
            </w:r>
          </w:p>
        </w:tc>
        <w:tc>
          <w:tcPr>
            <w:tcW w:w="1148" w:type="dxa"/>
            <w:vMerge w:val="restart"/>
            <w:tcBorders>
              <w:bottom w:val="nil"/>
            </w:tcBorders>
            <w:vAlign w:val="top"/>
          </w:tcPr>
          <w:p w14:paraId="2A76FFEE">
            <w:pPr>
              <w:spacing w:line="254" w:lineRule="auto"/>
              <w:rPr>
                <w:rFonts w:ascii="Arial"/>
                <w:sz w:val="21"/>
              </w:rPr>
            </w:pPr>
          </w:p>
          <w:p w14:paraId="02B1F9F0">
            <w:pPr>
              <w:spacing w:line="254" w:lineRule="auto"/>
              <w:rPr>
                <w:rFonts w:ascii="Arial"/>
                <w:sz w:val="21"/>
              </w:rPr>
            </w:pPr>
          </w:p>
          <w:p w14:paraId="74852C2B">
            <w:pPr>
              <w:spacing w:line="254" w:lineRule="auto"/>
              <w:rPr>
                <w:rFonts w:ascii="Arial"/>
                <w:sz w:val="21"/>
              </w:rPr>
            </w:pPr>
          </w:p>
          <w:p w14:paraId="43A96D9F">
            <w:pPr>
              <w:spacing w:line="255" w:lineRule="auto"/>
              <w:rPr>
                <w:rFonts w:ascii="Arial"/>
                <w:sz w:val="21"/>
              </w:rPr>
            </w:pPr>
          </w:p>
          <w:p w14:paraId="5506A0F1">
            <w:pPr>
              <w:spacing w:before="59" w:line="222" w:lineRule="auto"/>
              <w:ind w:left="134"/>
              <w:rPr>
                <w:rFonts w:ascii="仿宋" w:hAnsi="仿宋" w:eastAsia="仿宋" w:cs="仿宋"/>
                <w:sz w:val="18"/>
                <w:szCs w:val="18"/>
              </w:rPr>
            </w:pPr>
            <w:r>
              <w:rPr>
                <w:rFonts w:ascii="仿宋" w:hAnsi="仿宋" w:eastAsia="仿宋" w:cs="仿宋"/>
                <w:spacing w:val="-3"/>
                <w:sz w:val="18"/>
                <w:szCs w:val="18"/>
              </w:rPr>
              <w:t>道路中心线</w:t>
            </w:r>
          </w:p>
          <w:p w14:paraId="1E11B987">
            <w:pPr>
              <w:spacing w:before="15" w:line="224" w:lineRule="auto"/>
              <w:ind w:left="209"/>
              <w:rPr>
                <w:rFonts w:ascii="仿宋" w:hAnsi="仿宋" w:eastAsia="仿宋" w:cs="仿宋"/>
                <w:sz w:val="18"/>
                <w:szCs w:val="18"/>
              </w:rPr>
            </w:pPr>
            <w:r>
              <w:rPr>
                <w:rFonts w:ascii="仿宋" w:hAnsi="仿宋" w:eastAsia="仿宋" w:cs="仿宋"/>
                <w:spacing w:val="-5"/>
                <w:sz w:val="18"/>
                <w:szCs w:val="18"/>
              </w:rPr>
              <w:t>两侧</w:t>
            </w:r>
            <w:r>
              <w:rPr>
                <w:rFonts w:ascii="仿宋" w:hAnsi="仿宋" w:eastAsia="仿宋" w:cs="仿宋"/>
                <w:spacing w:val="-37"/>
                <w:sz w:val="18"/>
                <w:szCs w:val="18"/>
              </w:rPr>
              <w:t xml:space="preserve"> </w:t>
            </w:r>
            <w:r>
              <w:rPr>
                <w:rFonts w:ascii="仿宋" w:hAnsi="仿宋" w:eastAsia="仿宋" w:cs="仿宋"/>
                <w:spacing w:val="-5"/>
                <w:sz w:val="18"/>
                <w:szCs w:val="18"/>
              </w:rPr>
              <w:t>300m</w:t>
            </w:r>
          </w:p>
          <w:p w14:paraId="6426D23D">
            <w:pPr>
              <w:spacing w:before="14" w:line="222" w:lineRule="auto"/>
              <w:ind w:left="323"/>
              <w:rPr>
                <w:rFonts w:ascii="仿宋" w:hAnsi="仿宋" w:eastAsia="仿宋" w:cs="仿宋"/>
                <w:sz w:val="18"/>
                <w:szCs w:val="18"/>
              </w:rPr>
            </w:pPr>
            <w:r>
              <w:rPr>
                <w:rFonts w:ascii="仿宋" w:hAnsi="仿宋" w:eastAsia="仿宋" w:cs="仿宋"/>
                <w:spacing w:val="-8"/>
                <w:sz w:val="18"/>
                <w:szCs w:val="18"/>
              </w:rPr>
              <w:t>范围内</w:t>
            </w:r>
          </w:p>
        </w:tc>
        <w:tc>
          <w:tcPr>
            <w:tcW w:w="1538" w:type="dxa"/>
            <w:vAlign w:val="top"/>
          </w:tcPr>
          <w:p w14:paraId="66C64538">
            <w:pPr>
              <w:pStyle w:val="6"/>
              <w:spacing w:before="172" w:line="188" w:lineRule="auto"/>
              <w:ind w:left="525"/>
            </w:pPr>
            <w:r>
              <w:rPr>
                <w:spacing w:val="-1"/>
              </w:rPr>
              <w:t>0.1797</w:t>
            </w:r>
          </w:p>
        </w:tc>
        <w:tc>
          <w:tcPr>
            <w:tcW w:w="1281" w:type="dxa"/>
            <w:vAlign w:val="top"/>
          </w:tcPr>
          <w:p w14:paraId="7A9C3E62">
            <w:pPr>
              <w:spacing w:before="144"/>
              <w:ind w:left="424"/>
              <w:rPr>
                <w:rFonts w:ascii="仿宋" w:hAnsi="仿宋" w:eastAsia="仿宋" w:cs="仿宋"/>
                <w:sz w:val="18"/>
                <w:szCs w:val="18"/>
              </w:rPr>
            </w:pPr>
            <w:r>
              <w:rPr>
                <w:rFonts w:ascii="仿宋" w:hAnsi="仿宋" w:eastAsia="仿宋" w:cs="仿宋"/>
                <w:spacing w:val="-2"/>
                <w:sz w:val="18"/>
                <w:szCs w:val="18"/>
              </w:rPr>
              <w:t>76.12</w:t>
            </w:r>
          </w:p>
        </w:tc>
        <w:tc>
          <w:tcPr>
            <w:tcW w:w="3814" w:type="dxa"/>
            <w:vAlign w:val="top"/>
          </w:tcPr>
          <w:p w14:paraId="3E68CF10">
            <w:pPr>
              <w:spacing w:before="27" w:line="223" w:lineRule="auto"/>
              <w:ind w:left="421" w:right="250" w:hanging="259"/>
              <w:rPr>
                <w:rFonts w:ascii="仿宋" w:hAnsi="仿宋" w:eastAsia="仿宋" w:cs="仿宋"/>
                <w:sz w:val="18"/>
                <w:szCs w:val="18"/>
              </w:rPr>
            </w:pPr>
            <w:r>
              <w:rPr>
                <w:rFonts w:ascii="仿宋" w:hAnsi="仿宋" w:eastAsia="仿宋" w:cs="仿宋"/>
                <w:spacing w:val="-2"/>
                <w:sz w:val="18"/>
                <w:szCs w:val="18"/>
              </w:rPr>
              <w:t>防风固沙、保持水土、维护草原生态系统完</w:t>
            </w:r>
            <w:r>
              <w:rPr>
                <w:rFonts w:ascii="仿宋" w:hAnsi="仿宋" w:eastAsia="仿宋" w:cs="仿宋"/>
                <w:spacing w:val="-1"/>
                <w:sz w:val="18"/>
                <w:szCs w:val="18"/>
              </w:rPr>
              <w:t>整性，严格禁止占用、破坏草原植被</w:t>
            </w:r>
          </w:p>
        </w:tc>
      </w:tr>
      <w:tr w14:paraId="284B40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697" w:type="dxa"/>
            <w:vAlign w:val="top"/>
          </w:tcPr>
          <w:p w14:paraId="7780D694">
            <w:pPr>
              <w:spacing w:before="142" w:line="236" w:lineRule="exact"/>
              <w:ind w:left="363"/>
              <w:rPr>
                <w:rFonts w:ascii="仿宋" w:hAnsi="仿宋" w:eastAsia="仿宋" w:cs="仿宋"/>
                <w:sz w:val="18"/>
                <w:szCs w:val="18"/>
              </w:rPr>
            </w:pPr>
            <w:r>
              <w:rPr>
                <w:rFonts w:ascii="仿宋" w:hAnsi="仿宋" w:eastAsia="仿宋" w:cs="仿宋"/>
                <w:position w:val="1"/>
                <w:sz w:val="18"/>
                <w:szCs w:val="18"/>
              </w:rPr>
              <w:t>2</w:t>
            </w:r>
          </w:p>
        </w:tc>
        <w:tc>
          <w:tcPr>
            <w:tcW w:w="2150" w:type="dxa"/>
            <w:vAlign w:val="top"/>
          </w:tcPr>
          <w:p w14:paraId="25F62FAE">
            <w:pPr>
              <w:spacing w:before="27" w:line="223" w:lineRule="auto"/>
              <w:ind w:left="722" w:right="106" w:hanging="588"/>
              <w:rPr>
                <w:rFonts w:ascii="仿宋" w:hAnsi="仿宋" w:eastAsia="仿宋" w:cs="仿宋"/>
                <w:sz w:val="18"/>
                <w:szCs w:val="18"/>
              </w:rPr>
            </w:pPr>
            <w:r>
              <w:rPr>
                <w:rFonts w:ascii="仿宋" w:hAnsi="仿宋" w:eastAsia="仿宋" w:cs="仿宋"/>
                <w:spacing w:val="-7"/>
                <w:sz w:val="18"/>
                <w:szCs w:val="18"/>
              </w:rPr>
              <w:t>国家二级公益林、地方三</w:t>
            </w:r>
            <w:r>
              <w:rPr>
                <w:rFonts w:ascii="仿宋" w:hAnsi="仿宋" w:eastAsia="仿宋" w:cs="仿宋"/>
                <w:spacing w:val="-4"/>
                <w:sz w:val="18"/>
                <w:szCs w:val="18"/>
              </w:rPr>
              <w:t>级公益林</w:t>
            </w:r>
          </w:p>
        </w:tc>
        <w:tc>
          <w:tcPr>
            <w:tcW w:w="3552" w:type="dxa"/>
            <w:vMerge w:val="continue"/>
            <w:tcBorders>
              <w:top w:val="nil"/>
              <w:bottom w:val="nil"/>
            </w:tcBorders>
            <w:vAlign w:val="top"/>
          </w:tcPr>
          <w:p w14:paraId="38222395">
            <w:pPr>
              <w:rPr>
                <w:rFonts w:ascii="Arial"/>
                <w:sz w:val="21"/>
              </w:rPr>
            </w:pPr>
          </w:p>
        </w:tc>
        <w:tc>
          <w:tcPr>
            <w:tcW w:w="1148" w:type="dxa"/>
            <w:vMerge w:val="continue"/>
            <w:tcBorders>
              <w:top w:val="nil"/>
              <w:bottom w:val="nil"/>
            </w:tcBorders>
            <w:vAlign w:val="top"/>
          </w:tcPr>
          <w:p w14:paraId="34D67E61">
            <w:pPr>
              <w:rPr>
                <w:rFonts w:ascii="Arial"/>
                <w:sz w:val="21"/>
              </w:rPr>
            </w:pPr>
          </w:p>
        </w:tc>
        <w:tc>
          <w:tcPr>
            <w:tcW w:w="1538" w:type="dxa"/>
            <w:vAlign w:val="top"/>
          </w:tcPr>
          <w:p w14:paraId="2DC7B8B3">
            <w:pPr>
              <w:pStyle w:val="6"/>
              <w:spacing w:before="173" w:line="188" w:lineRule="auto"/>
              <w:ind w:left="540"/>
            </w:pPr>
            <w:r>
              <w:rPr>
                <w:spacing w:val="-4"/>
              </w:rPr>
              <w:t>1.8358</w:t>
            </w:r>
          </w:p>
        </w:tc>
        <w:tc>
          <w:tcPr>
            <w:tcW w:w="1281" w:type="dxa"/>
            <w:vAlign w:val="top"/>
          </w:tcPr>
          <w:p w14:paraId="50529261">
            <w:pPr>
              <w:spacing w:before="142"/>
              <w:ind w:left="288"/>
              <w:rPr>
                <w:rFonts w:ascii="仿宋" w:hAnsi="仿宋" w:eastAsia="仿宋" w:cs="仿宋"/>
                <w:sz w:val="18"/>
                <w:szCs w:val="18"/>
              </w:rPr>
            </w:pPr>
            <w:r>
              <w:rPr>
                <w:rFonts w:ascii="仿宋" w:hAnsi="仿宋" w:eastAsia="仿宋" w:cs="仿宋"/>
                <w:spacing w:val="-1"/>
                <w:sz w:val="18"/>
                <w:szCs w:val="18"/>
              </w:rPr>
              <w:t>261.1642</w:t>
            </w:r>
          </w:p>
        </w:tc>
        <w:tc>
          <w:tcPr>
            <w:tcW w:w="3814" w:type="dxa"/>
            <w:vAlign w:val="top"/>
          </w:tcPr>
          <w:p w14:paraId="1E8CA7BD">
            <w:pPr>
              <w:spacing w:before="27" w:line="223" w:lineRule="auto"/>
              <w:ind w:left="780" w:right="250" w:hanging="629"/>
              <w:rPr>
                <w:rFonts w:ascii="仿宋" w:hAnsi="仿宋" w:eastAsia="仿宋" w:cs="仿宋"/>
                <w:sz w:val="18"/>
                <w:szCs w:val="18"/>
              </w:rPr>
            </w:pPr>
            <w:r>
              <w:rPr>
                <w:rFonts w:ascii="仿宋" w:hAnsi="仿宋" w:eastAsia="仿宋" w:cs="仿宋"/>
                <w:spacing w:val="-1"/>
                <w:sz w:val="18"/>
                <w:szCs w:val="18"/>
              </w:rPr>
              <w:t>涵养水源、保持水土、维护生物多样性，严格禁止采伐、破坏林地植被</w:t>
            </w:r>
          </w:p>
        </w:tc>
      </w:tr>
      <w:tr w14:paraId="002D3F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697" w:type="dxa"/>
            <w:vAlign w:val="top"/>
          </w:tcPr>
          <w:p w14:paraId="34D7C14A">
            <w:pPr>
              <w:spacing w:before="250" w:line="241" w:lineRule="auto"/>
              <w:ind w:left="364"/>
              <w:rPr>
                <w:rFonts w:ascii="仿宋" w:hAnsi="仿宋" w:eastAsia="仿宋" w:cs="仿宋"/>
                <w:sz w:val="18"/>
                <w:szCs w:val="18"/>
              </w:rPr>
            </w:pPr>
            <w:r>
              <w:rPr>
                <w:rFonts w:ascii="仿宋" w:hAnsi="仿宋" w:eastAsia="仿宋" w:cs="仿宋"/>
                <w:sz w:val="18"/>
                <w:szCs w:val="18"/>
              </w:rPr>
              <w:t>3</w:t>
            </w:r>
          </w:p>
        </w:tc>
        <w:tc>
          <w:tcPr>
            <w:tcW w:w="2150" w:type="dxa"/>
            <w:vAlign w:val="top"/>
          </w:tcPr>
          <w:p w14:paraId="31175C45">
            <w:pPr>
              <w:spacing w:before="251" w:line="222" w:lineRule="auto"/>
              <w:ind w:left="635"/>
              <w:rPr>
                <w:rFonts w:ascii="仿宋" w:hAnsi="仿宋" w:eastAsia="仿宋" w:cs="仿宋"/>
                <w:sz w:val="18"/>
                <w:szCs w:val="18"/>
              </w:rPr>
            </w:pPr>
            <w:r>
              <w:rPr>
                <w:rFonts w:ascii="仿宋" w:hAnsi="仿宋" w:eastAsia="仿宋" w:cs="仿宋"/>
                <w:spacing w:val="-3"/>
                <w:sz w:val="18"/>
                <w:szCs w:val="18"/>
              </w:rPr>
              <w:t>一般商品林</w:t>
            </w:r>
          </w:p>
        </w:tc>
        <w:tc>
          <w:tcPr>
            <w:tcW w:w="3552" w:type="dxa"/>
            <w:vMerge w:val="continue"/>
            <w:tcBorders>
              <w:top w:val="nil"/>
            </w:tcBorders>
            <w:vAlign w:val="top"/>
          </w:tcPr>
          <w:p w14:paraId="6F2CBDD9">
            <w:pPr>
              <w:rPr>
                <w:rFonts w:ascii="Arial"/>
                <w:sz w:val="21"/>
              </w:rPr>
            </w:pPr>
          </w:p>
        </w:tc>
        <w:tc>
          <w:tcPr>
            <w:tcW w:w="1148" w:type="dxa"/>
            <w:vMerge w:val="continue"/>
            <w:tcBorders>
              <w:top w:val="nil"/>
              <w:bottom w:val="nil"/>
            </w:tcBorders>
            <w:vAlign w:val="top"/>
          </w:tcPr>
          <w:p w14:paraId="1E18A220">
            <w:pPr>
              <w:rPr>
                <w:rFonts w:ascii="Arial"/>
                <w:sz w:val="21"/>
              </w:rPr>
            </w:pPr>
          </w:p>
        </w:tc>
        <w:tc>
          <w:tcPr>
            <w:tcW w:w="1538" w:type="dxa"/>
            <w:vAlign w:val="top"/>
          </w:tcPr>
          <w:p w14:paraId="085A16D9">
            <w:pPr>
              <w:pStyle w:val="6"/>
              <w:spacing w:before="279" w:line="188" w:lineRule="auto"/>
              <w:ind w:left="571"/>
            </w:pPr>
            <w:r>
              <w:rPr>
                <w:spacing w:val="-2"/>
              </w:rPr>
              <w:t>0.113</w:t>
            </w:r>
          </w:p>
        </w:tc>
        <w:tc>
          <w:tcPr>
            <w:tcW w:w="1281" w:type="dxa"/>
            <w:vAlign w:val="top"/>
          </w:tcPr>
          <w:p w14:paraId="58C1F51D">
            <w:pPr>
              <w:spacing w:before="251"/>
              <w:ind w:left="342"/>
              <w:rPr>
                <w:rFonts w:ascii="仿宋" w:hAnsi="仿宋" w:eastAsia="仿宋" w:cs="仿宋"/>
                <w:sz w:val="18"/>
                <w:szCs w:val="18"/>
              </w:rPr>
            </w:pPr>
            <w:r>
              <w:rPr>
                <w:rFonts w:ascii="仿宋" w:hAnsi="仿宋" w:eastAsia="仿宋" w:cs="仿宋"/>
                <w:spacing w:val="-3"/>
                <w:sz w:val="18"/>
                <w:szCs w:val="18"/>
              </w:rPr>
              <w:t>185.477</w:t>
            </w:r>
          </w:p>
        </w:tc>
        <w:tc>
          <w:tcPr>
            <w:tcW w:w="3814" w:type="dxa"/>
            <w:vAlign w:val="top"/>
          </w:tcPr>
          <w:p w14:paraId="4BFC2482">
            <w:pPr>
              <w:spacing w:before="133" w:line="220" w:lineRule="auto"/>
              <w:ind w:left="168"/>
              <w:rPr>
                <w:rFonts w:ascii="仿宋" w:hAnsi="仿宋" w:eastAsia="仿宋" w:cs="仿宋"/>
                <w:sz w:val="18"/>
                <w:szCs w:val="18"/>
              </w:rPr>
            </w:pPr>
            <w:r>
              <w:rPr>
                <w:rFonts w:ascii="仿宋" w:hAnsi="仿宋" w:eastAsia="仿宋" w:cs="仿宋"/>
                <w:spacing w:val="-2"/>
                <w:sz w:val="18"/>
                <w:szCs w:val="18"/>
              </w:rPr>
              <w:t>以木材生产、经济林种植为主，兼顾生态防</w:t>
            </w:r>
          </w:p>
          <w:p w14:paraId="79BA28ED">
            <w:pPr>
              <w:spacing w:before="17" w:line="222" w:lineRule="auto"/>
              <w:ind w:left="961"/>
              <w:rPr>
                <w:rFonts w:ascii="仿宋" w:hAnsi="仿宋" w:eastAsia="仿宋" w:cs="仿宋"/>
                <w:sz w:val="18"/>
                <w:szCs w:val="18"/>
              </w:rPr>
            </w:pPr>
            <w:r>
              <w:rPr>
                <w:rFonts w:ascii="仿宋" w:hAnsi="仿宋" w:eastAsia="仿宋" w:cs="仿宋"/>
                <w:spacing w:val="-2"/>
                <w:sz w:val="18"/>
                <w:szCs w:val="18"/>
              </w:rPr>
              <w:t>护功能，合理开发利用</w:t>
            </w:r>
          </w:p>
        </w:tc>
      </w:tr>
      <w:tr w14:paraId="744A37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1" w:hRule="atLeast"/>
        </w:trPr>
        <w:tc>
          <w:tcPr>
            <w:tcW w:w="697" w:type="dxa"/>
            <w:vAlign w:val="top"/>
          </w:tcPr>
          <w:p w14:paraId="5DE88247">
            <w:pPr>
              <w:spacing w:line="434" w:lineRule="auto"/>
              <w:rPr>
                <w:rFonts w:ascii="Arial"/>
                <w:sz w:val="21"/>
              </w:rPr>
            </w:pPr>
          </w:p>
          <w:p w14:paraId="1816F218">
            <w:pPr>
              <w:spacing w:before="58" w:line="237" w:lineRule="exact"/>
              <w:ind w:left="360"/>
              <w:rPr>
                <w:rFonts w:ascii="仿宋" w:hAnsi="仿宋" w:eastAsia="仿宋" w:cs="仿宋"/>
                <w:sz w:val="18"/>
                <w:szCs w:val="18"/>
              </w:rPr>
            </w:pPr>
            <w:r>
              <w:rPr>
                <w:rFonts w:ascii="仿宋" w:hAnsi="仿宋" w:eastAsia="仿宋" w:cs="仿宋"/>
                <w:position w:val="1"/>
                <w:sz w:val="18"/>
                <w:szCs w:val="18"/>
              </w:rPr>
              <w:t>4</w:t>
            </w:r>
          </w:p>
        </w:tc>
        <w:tc>
          <w:tcPr>
            <w:tcW w:w="2150" w:type="dxa"/>
            <w:vAlign w:val="top"/>
          </w:tcPr>
          <w:p w14:paraId="56EA7D23">
            <w:pPr>
              <w:spacing w:line="434" w:lineRule="auto"/>
              <w:rPr>
                <w:rFonts w:ascii="Arial"/>
                <w:sz w:val="21"/>
              </w:rPr>
            </w:pPr>
          </w:p>
          <w:p w14:paraId="3EC57C42">
            <w:pPr>
              <w:spacing w:before="59" w:line="222" w:lineRule="auto"/>
              <w:ind w:left="721"/>
              <w:rPr>
                <w:rFonts w:ascii="仿宋" w:hAnsi="仿宋" w:eastAsia="仿宋" w:cs="仿宋"/>
                <w:sz w:val="18"/>
                <w:szCs w:val="18"/>
              </w:rPr>
            </w:pPr>
            <w:r>
              <w:rPr>
                <w:rFonts w:ascii="仿宋" w:hAnsi="仿宋" w:eastAsia="仿宋" w:cs="仿宋"/>
                <w:spacing w:val="-3"/>
                <w:sz w:val="18"/>
                <w:szCs w:val="18"/>
              </w:rPr>
              <w:t>基本农田</w:t>
            </w:r>
          </w:p>
        </w:tc>
        <w:tc>
          <w:tcPr>
            <w:tcW w:w="3552" w:type="dxa"/>
            <w:vAlign w:val="top"/>
          </w:tcPr>
          <w:p w14:paraId="29E3F695">
            <w:pPr>
              <w:spacing w:before="26" w:line="222" w:lineRule="auto"/>
              <w:ind w:left="125"/>
              <w:rPr>
                <w:rFonts w:ascii="仿宋" w:hAnsi="仿宋" w:eastAsia="仿宋" w:cs="仿宋"/>
                <w:sz w:val="18"/>
                <w:szCs w:val="18"/>
              </w:rPr>
            </w:pPr>
            <w:r>
              <w:rPr>
                <w:rFonts w:ascii="仿宋" w:hAnsi="仿宋" w:eastAsia="仿宋" w:cs="仿宋"/>
                <w:spacing w:val="-5"/>
                <w:sz w:val="18"/>
                <w:szCs w:val="18"/>
              </w:rPr>
              <w:t>乌拉素村二道壕大坝东至秦家塔社路段、份</w:t>
            </w:r>
          </w:p>
          <w:p w14:paraId="1DAC56D0">
            <w:pPr>
              <w:spacing w:before="16" w:line="222" w:lineRule="auto"/>
              <w:ind w:left="124"/>
              <w:rPr>
                <w:rFonts w:ascii="仿宋" w:hAnsi="仿宋" w:eastAsia="仿宋" w:cs="仿宋"/>
                <w:sz w:val="18"/>
                <w:szCs w:val="18"/>
              </w:rPr>
            </w:pPr>
            <w:r>
              <w:rPr>
                <w:rFonts w:ascii="仿宋" w:hAnsi="仿宋" w:eastAsia="仿宋" w:cs="仿宋"/>
                <w:spacing w:val="-6"/>
                <w:sz w:val="18"/>
                <w:szCs w:val="18"/>
              </w:rPr>
              <w:t>子地社新村至二道拐村委会路段、二道拐坡</w:t>
            </w:r>
          </w:p>
          <w:p w14:paraId="59132EDC">
            <w:pPr>
              <w:spacing w:before="18" w:line="222" w:lineRule="auto"/>
              <w:ind w:left="118"/>
              <w:rPr>
                <w:rFonts w:ascii="仿宋" w:hAnsi="仿宋" w:eastAsia="仿宋" w:cs="仿宋"/>
                <w:sz w:val="18"/>
                <w:szCs w:val="18"/>
              </w:rPr>
            </w:pPr>
            <w:r>
              <w:rPr>
                <w:rFonts w:ascii="仿宋" w:hAnsi="仿宋" w:eastAsia="仿宋" w:cs="仿宋"/>
                <w:spacing w:val="-6"/>
                <w:sz w:val="18"/>
                <w:szCs w:val="18"/>
              </w:rPr>
              <w:t>底至张家圪旦社路段、脑包湾村自然村通硬</w:t>
            </w:r>
          </w:p>
          <w:p w14:paraId="5FACCD60">
            <w:pPr>
              <w:spacing w:before="17" w:line="222" w:lineRule="auto"/>
              <w:ind w:left="117"/>
              <w:rPr>
                <w:rFonts w:ascii="仿宋" w:hAnsi="仿宋" w:eastAsia="仿宋" w:cs="仿宋"/>
                <w:sz w:val="18"/>
                <w:szCs w:val="18"/>
              </w:rPr>
            </w:pPr>
            <w:r>
              <w:rPr>
                <w:rFonts w:ascii="仿宋" w:hAnsi="仿宋" w:eastAsia="仿宋" w:cs="仿宋"/>
                <w:spacing w:val="-6"/>
                <w:sz w:val="18"/>
                <w:szCs w:val="18"/>
              </w:rPr>
              <w:t>化路路段、沿黄巨合滩出口东至天顺圪梁通</w:t>
            </w:r>
          </w:p>
          <w:p w14:paraId="3A793CAA">
            <w:pPr>
              <w:spacing w:before="16" w:line="205" w:lineRule="auto"/>
              <w:ind w:left="1513"/>
              <w:rPr>
                <w:rFonts w:ascii="仿宋" w:hAnsi="仿宋" w:eastAsia="仿宋" w:cs="仿宋"/>
                <w:sz w:val="18"/>
                <w:szCs w:val="18"/>
              </w:rPr>
            </w:pPr>
            <w:r>
              <w:rPr>
                <w:rFonts w:ascii="仿宋" w:hAnsi="仿宋" w:eastAsia="仿宋" w:cs="仿宋"/>
                <w:spacing w:val="-4"/>
                <w:sz w:val="18"/>
                <w:szCs w:val="18"/>
              </w:rPr>
              <w:t>村路段</w:t>
            </w:r>
          </w:p>
        </w:tc>
        <w:tc>
          <w:tcPr>
            <w:tcW w:w="1148" w:type="dxa"/>
            <w:vMerge w:val="continue"/>
            <w:tcBorders>
              <w:top w:val="nil"/>
            </w:tcBorders>
            <w:vAlign w:val="top"/>
          </w:tcPr>
          <w:p w14:paraId="1005C707">
            <w:pPr>
              <w:rPr>
                <w:rFonts w:ascii="Arial"/>
                <w:sz w:val="21"/>
              </w:rPr>
            </w:pPr>
          </w:p>
        </w:tc>
        <w:tc>
          <w:tcPr>
            <w:tcW w:w="1538" w:type="dxa"/>
            <w:vAlign w:val="top"/>
          </w:tcPr>
          <w:p w14:paraId="64047C57">
            <w:pPr>
              <w:spacing w:line="433" w:lineRule="auto"/>
              <w:rPr>
                <w:rFonts w:ascii="Arial"/>
                <w:sz w:val="21"/>
              </w:rPr>
            </w:pPr>
          </w:p>
          <w:p w14:paraId="00B567F6">
            <w:pPr>
              <w:spacing w:before="59" w:line="224" w:lineRule="auto"/>
              <w:ind w:left="511"/>
              <w:rPr>
                <w:rFonts w:ascii="仿宋" w:hAnsi="仿宋" w:eastAsia="仿宋" w:cs="仿宋"/>
                <w:sz w:val="18"/>
                <w:szCs w:val="18"/>
              </w:rPr>
            </w:pPr>
            <w:r>
              <w:rPr>
                <w:rFonts w:ascii="仿宋" w:hAnsi="仿宋" w:eastAsia="仿宋" w:cs="仿宋"/>
                <w:spacing w:val="-6"/>
                <w:sz w:val="18"/>
                <w:szCs w:val="18"/>
              </w:rPr>
              <w:t>不占用</w:t>
            </w:r>
          </w:p>
        </w:tc>
        <w:tc>
          <w:tcPr>
            <w:tcW w:w="1281" w:type="dxa"/>
            <w:vAlign w:val="top"/>
          </w:tcPr>
          <w:p w14:paraId="5D54CD78">
            <w:pPr>
              <w:spacing w:line="434" w:lineRule="auto"/>
              <w:rPr>
                <w:rFonts w:ascii="Arial"/>
                <w:sz w:val="21"/>
              </w:rPr>
            </w:pPr>
          </w:p>
          <w:p w14:paraId="1D6FBF15">
            <w:pPr>
              <w:spacing w:before="59"/>
              <w:ind w:left="378"/>
              <w:rPr>
                <w:rFonts w:ascii="仿宋" w:hAnsi="仿宋" w:eastAsia="仿宋" w:cs="仿宋"/>
                <w:sz w:val="18"/>
                <w:szCs w:val="18"/>
              </w:rPr>
            </w:pPr>
            <w:r>
              <w:rPr>
                <w:rFonts w:ascii="仿宋" w:hAnsi="仿宋" w:eastAsia="仿宋" w:cs="仿宋"/>
                <w:spacing w:val="-2"/>
                <w:sz w:val="18"/>
                <w:szCs w:val="18"/>
              </w:rPr>
              <w:t>399.05</w:t>
            </w:r>
          </w:p>
        </w:tc>
        <w:tc>
          <w:tcPr>
            <w:tcW w:w="3814" w:type="dxa"/>
            <w:vAlign w:val="top"/>
          </w:tcPr>
          <w:p w14:paraId="2976A7F6">
            <w:pPr>
              <w:spacing w:line="317" w:lineRule="auto"/>
              <w:rPr>
                <w:rFonts w:ascii="Arial"/>
                <w:sz w:val="21"/>
              </w:rPr>
            </w:pPr>
          </w:p>
          <w:p w14:paraId="6FAB0086">
            <w:pPr>
              <w:spacing w:before="58" w:line="220" w:lineRule="auto"/>
              <w:ind w:left="120"/>
              <w:rPr>
                <w:rFonts w:ascii="仿宋" w:hAnsi="仿宋" w:eastAsia="仿宋" w:cs="仿宋"/>
                <w:sz w:val="18"/>
                <w:szCs w:val="18"/>
              </w:rPr>
            </w:pPr>
            <w:r>
              <w:rPr>
                <w:rFonts w:ascii="仿宋" w:hAnsi="仿宋" w:eastAsia="仿宋" w:cs="仿宋"/>
                <w:spacing w:val="-2"/>
                <w:sz w:val="18"/>
                <w:szCs w:val="18"/>
              </w:rPr>
              <w:t>保障粮食安全，严格落实基本农田保护制度，</w:t>
            </w:r>
          </w:p>
          <w:p w14:paraId="2DFAE133">
            <w:pPr>
              <w:spacing w:before="18" w:line="222" w:lineRule="auto"/>
              <w:ind w:left="875"/>
              <w:rPr>
                <w:rFonts w:ascii="仿宋" w:hAnsi="仿宋" w:eastAsia="仿宋" w:cs="仿宋"/>
                <w:sz w:val="18"/>
                <w:szCs w:val="18"/>
              </w:rPr>
            </w:pPr>
            <w:r>
              <w:rPr>
                <w:rFonts w:ascii="仿宋" w:hAnsi="仿宋" w:eastAsia="仿宋" w:cs="仿宋"/>
                <w:spacing w:val="-2"/>
                <w:sz w:val="18"/>
                <w:szCs w:val="18"/>
              </w:rPr>
              <w:t>禁止任何非农业建设占用</w:t>
            </w:r>
          </w:p>
        </w:tc>
      </w:tr>
      <w:tr w14:paraId="0388A6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697" w:type="dxa"/>
            <w:vAlign w:val="top"/>
          </w:tcPr>
          <w:p w14:paraId="105BADA4">
            <w:pPr>
              <w:spacing w:before="147" w:line="241" w:lineRule="auto"/>
              <w:ind w:left="364"/>
              <w:rPr>
                <w:rFonts w:ascii="仿宋" w:hAnsi="仿宋" w:eastAsia="仿宋" w:cs="仿宋"/>
                <w:sz w:val="18"/>
                <w:szCs w:val="18"/>
              </w:rPr>
            </w:pPr>
            <w:r>
              <w:rPr>
                <w:rFonts w:ascii="仿宋" w:hAnsi="仿宋" w:eastAsia="仿宋" w:cs="仿宋"/>
                <w:sz w:val="18"/>
                <w:szCs w:val="18"/>
              </w:rPr>
              <w:t>5</w:t>
            </w:r>
          </w:p>
        </w:tc>
        <w:tc>
          <w:tcPr>
            <w:tcW w:w="2150" w:type="dxa"/>
            <w:vAlign w:val="top"/>
          </w:tcPr>
          <w:p w14:paraId="21C593B2">
            <w:pPr>
              <w:spacing w:before="147" w:line="224" w:lineRule="auto"/>
              <w:ind w:left="724"/>
              <w:rPr>
                <w:rFonts w:ascii="仿宋" w:hAnsi="仿宋" w:eastAsia="仿宋" w:cs="仿宋"/>
                <w:sz w:val="18"/>
                <w:szCs w:val="18"/>
              </w:rPr>
            </w:pPr>
            <w:r>
              <w:rPr>
                <w:rFonts w:ascii="仿宋" w:hAnsi="仿宋" w:eastAsia="仿宋" w:cs="仿宋"/>
                <w:spacing w:val="-4"/>
                <w:sz w:val="18"/>
                <w:szCs w:val="18"/>
              </w:rPr>
              <w:t>一般耕地</w:t>
            </w:r>
          </w:p>
        </w:tc>
        <w:tc>
          <w:tcPr>
            <w:tcW w:w="3552" w:type="dxa"/>
            <w:vAlign w:val="top"/>
          </w:tcPr>
          <w:p w14:paraId="6702A6E6">
            <w:pPr>
              <w:spacing w:before="147" w:line="222" w:lineRule="auto"/>
              <w:ind w:left="1334"/>
              <w:rPr>
                <w:rFonts w:ascii="仿宋" w:hAnsi="仿宋" w:eastAsia="仿宋" w:cs="仿宋"/>
                <w:sz w:val="18"/>
                <w:szCs w:val="18"/>
              </w:rPr>
            </w:pPr>
            <w:r>
              <w:rPr>
                <w:rFonts w:ascii="仿宋" w:hAnsi="仿宋" w:eastAsia="仿宋" w:cs="仿宋"/>
                <w:spacing w:val="-3"/>
                <w:sz w:val="18"/>
                <w:szCs w:val="18"/>
              </w:rPr>
              <w:t>各路段沿线</w:t>
            </w:r>
          </w:p>
        </w:tc>
        <w:tc>
          <w:tcPr>
            <w:tcW w:w="1148" w:type="dxa"/>
            <w:vMerge w:val="restart"/>
            <w:tcBorders>
              <w:bottom w:val="nil"/>
            </w:tcBorders>
            <w:vAlign w:val="top"/>
          </w:tcPr>
          <w:p w14:paraId="0B8212D8">
            <w:pPr>
              <w:spacing w:line="280" w:lineRule="auto"/>
              <w:rPr>
                <w:rFonts w:ascii="Arial"/>
                <w:sz w:val="21"/>
              </w:rPr>
            </w:pPr>
          </w:p>
          <w:p w14:paraId="30DDAC9E">
            <w:pPr>
              <w:spacing w:line="280" w:lineRule="auto"/>
              <w:rPr>
                <w:rFonts w:ascii="Arial"/>
                <w:sz w:val="21"/>
              </w:rPr>
            </w:pPr>
          </w:p>
          <w:p w14:paraId="5B2D0B6B">
            <w:pPr>
              <w:spacing w:before="59" w:line="222" w:lineRule="auto"/>
              <w:ind w:left="134"/>
              <w:rPr>
                <w:rFonts w:ascii="仿宋" w:hAnsi="仿宋" w:eastAsia="仿宋" w:cs="仿宋"/>
                <w:sz w:val="18"/>
                <w:szCs w:val="18"/>
              </w:rPr>
            </w:pPr>
            <w:r>
              <w:rPr>
                <w:rFonts w:ascii="仿宋" w:hAnsi="仿宋" w:eastAsia="仿宋" w:cs="仿宋"/>
                <w:spacing w:val="-3"/>
                <w:sz w:val="18"/>
                <w:szCs w:val="18"/>
              </w:rPr>
              <w:t>道路中心线</w:t>
            </w:r>
          </w:p>
          <w:p w14:paraId="7A6E563E">
            <w:pPr>
              <w:spacing w:before="15" w:line="224" w:lineRule="auto"/>
              <w:ind w:left="209"/>
              <w:rPr>
                <w:rFonts w:ascii="仿宋" w:hAnsi="仿宋" w:eastAsia="仿宋" w:cs="仿宋"/>
                <w:sz w:val="18"/>
                <w:szCs w:val="18"/>
              </w:rPr>
            </w:pPr>
            <w:r>
              <w:rPr>
                <w:rFonts w:ascii="仿宋" w:hAnsi="仿宋" w:eastAsia="仿宋" w:cs="仿宋"/>
                <w:spacing w:val="-5"/>
                <w:sz w:val="18"/>
                <w:szCs w:val="18"/>
              </w:rPr>
              <w:t>两侧</w:t>
            </w:r>
            <w:r>
              <w:rPr>
                <w:rFonts w:ascii="仿宋" w:hAnsi="仿宋" w:eastAsia="仿宋" w:cs="仿宋"/>
                <w:spacing w:val="-37"/>
                <w:sz w:val="18"/>
                <w:szCs w:val="18"/>
              </w:rPr>
              <w:t xml:space="preserve"> </w:t>
            </w:r>
            <w:r>
              <w:rPr>
                <w:rFonts w:ascii="仿宋" w:hAnsi="仿宋" w:eastAsia="仿宋" w:cs="仿宋"/>
                <w:spacing w:val="-5"/>
                <w:sz w:val="18"/>
                <w:szCs w:val="18"/>
              </w:rPr>
              <w:t>300m</w:t>
            </w:r>
          </w:p>
          <w:p w14:paraId="518A4957">
            <w:pPr>
              <w:spacing w:before="14" w:line="222" w:lineRule="auto"/>
              <w:ind w:left="323"/>
              <w:rPr>
                <w:rFonts w:ascii="仿宋" w:hAnsi="仿宋" w:eastAsia="仿宋" w:cs="仿宋"/>
                <w:sz w:val="18"/>
                <w:szCs w:val="18"/>
              </w:rPr>
            </w:pPr>
            <w:r>
              <w:rPr>
                <w:rFonts w:ascii="仿宋" w:hAnsi="仿宋" w:eastAsia="仿宋" w:cs="仿宋"/>
                <w:spacing w:val="-8"/>
                <w:sz w:val="18"/>
                <w:szCs w:val="18"/>
              </w:rPr>
              <w:t>范围内</w:t>
            </w:r>
          </w:p>
        </w:tc>
        <w:tc>
          <w:tcPr>
            <w:tcW w:w="1538" w:type="dxa"/>
            <w:vAlign w:val="top"/>
          </w:tcPr>
          <w:p w14:paraId="3E749324">
            <w:pPr>
              <w:spacing w:before="147" w:line="224" w:lineRule="auto"/>
              <w:ind w:left="511"/>
              <w:rPr>
                <w:rFonts w:ascii="仿宋" w:hAnsi="仿宋" w:eastAsia="仿宋" w:cs="仿宋"/>
                <w:sz w:val="18"/>
                <w:szCs w:val="18"/>
              </w:rPr>
            </w:pPr>
            <w:r>
              <w:rPr>
                <w:rFonts w:ascii="仿宋" w:hAnsi="仿宋" w:eastAsia="仿宋" w:cs="仿宋"/>
                <w:spacing w:val="-6"/>
                <w:sz w:val="18"/>
                <w:szCs w:val="18"/>
              </w:rPr>
              <w:t>不占用</w:t>
            </w:r>
          </w:p>
        </w:tc>
        <w:tc>
          <w:tcPr>
            <w:tcW w:w="1281" w:type="dxa"/>
            <w:vAlign w:val="top"/>
          </w:tcPr>
          <w:p w14:paraId="67B3206A">
            <w:pPr>
              <w:spacing w:before="147"/>
              <w:ind w:left="421"/>
              <w:rPr>
                <w:rFonts w:ascii="仿宋" w:hAnsi="仿宋" w:eastAsia="仿宋" w:cs="仿宋"/>
                <w:sz w:val="18"/>
                <w:szCs w:val="18"/>
              </w:rPr>
            </w:pPr>
            <w:r>
              <w:rPr>
                <w:rFonts w:ascii="仿宋" w:hAnsi="仿宋" w:eastAsia="仿宋" w:cs="仿宋"/>
                <w:spacing w:val="-2"/>
                <w:sz w:val="18"/>
                <w:szCs w:val="18"/>
              </w:rPr>
              <w:t>97.52</w:t>
            </w:r>
          </w:p>
        </w:tc>
        <w:tc>
          <w:tcPr>
            <w:tcW w:w="3814" w:type="dxa"/>
            <w:vAlign w:val="top"/>
          </w:tcPr>
          <w:p w14:paraId="12A54EEF">
            <w:pPr>
              <w:spacing w:before="29" w:line="221" w:lineRule="auto"/>
              <w:ind w:left="150"/>
              <w:rPr>
                <w:rFonts w:ascii="仿宋" w:hAnsi="仿宋" w:eastAsia="仿宋" w:cs="仿宋"/>
                <w:sz w:val="18"/>
                <w:szCs w:val="18"/>
              </w:rPr>
            </w:pPr>
            <w:r>
              <w:rPr>
                <w:rFonts w:ascii="仿宋" w:hAnsi="仿宋" w:eastAsia="仿宋" w:cs="仿宋"/>
                <w:spacing w:val="-1"/>
                <w:sz w:val="18"/>
                <w:szCs w:val="18"/>
              </w:rPr>
              <w:t>用于农业生产，保障农产品供给，严格控制</w:t>
            </w:r>
          </w:p>
          <w:p w14:paraId="33B32232">
            <w:pPr>
              <w:spacing w:before="16" w:line="205" w:lineRule="auto"/>
              <w:ind w:left="1236"/>
              <w:rPr>
                <w:rFonts w:ascii="仿宋" w:hAnsi="仿宋" w:eastAsia="仿宋" w:cs="仿宋"/>
                <w:sz w:val="18"/>
                <w:szCs w:val="18"/>
              </w:rPr>
            </w:pPr>
            <w:r>
              <w:rPr>
                <w:rFonts w:ascii="仿宋" w:hAnsi="仿宋" w:eastAsia="仿宋" w:cs="仿宋"/>
                <w:spacing w:val="-3"/>
                <w:sz w:val="18"/>
                <w:szCs w:val="18"/>
              </w:rPr>
              <w:t>非农业建设占用</w:t>
            </w:r>
          </w:p>
        </w:tc>
      </w:tr>
      <w:tr w14:paraId="22F24F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697" w:type="dxa"/>
            <w:vAlign w:val="top"/>
          </w:tcPr>
          <w:p w14:paraId="2DDF4ECE">
            <w:pPr>
              <w:spacing w:before="145" w:line="241" w:lineRule="auto"/>
              <w:ind w:left="362"/>
              <w:rPr>
                <w:rFonts w:ascii="仿宋" w:hAnsi="仿宋" w:eastAsia="仿宋" w:cs="仿宋"/>
                <w:sz w:val="18"/>
                <w:szCs w:val="18"/>
              </w:rPr>
            </w:pPr>
            <w:r>
              <w:rPr>
                <w:rFonts w:ascii="仿宋" w:hAnsi="仿宋" w:eastAsia="仿宋" w:cs="仿宋"/>
                <w:sz w:val="18"/>
                <w:szCs w:val="18"/>
              </w:rPr>
              <w:t>6</w:t>
            </w:r>
          </w:p>
        </w:tc>
        <w:tc>
          <w:tcPr>
            <w:tcW w:w="2150" w:type="dxa"/>
            <w:vAlign w:val="top"/>
          </w:tcPr>
          <w:p w14:paraId="7B7EE8E3">
            <w:pPr>
              <w:spacing w:before="145" w:line="222" w:lineRule="auto"/>
              <w:ind w:left="633"/>
              <w:rPr>
                <w:rFonts w:ascii="仿宋" w:hAnsi="仿宋" w:eastAsia="仿宋" w:cs="仿宋"/>
                <w:sz w:val="18"/>
                <w:szCs w:val="18"/>
              </w:rPr>
            </w:pPr>
            <w:r>
              <w:rPr>
                <w:rFonts w:ascii="仿宋" w:hAnsi="仿宋" w:eastAsia="仿宋" w:cs="仿宋"/>
                <w:spacing w:val="-3"/>
                <w:sz w:val="18"/>
                <w:szCs w:val="18"/>
              </w:rPr>
              <w:t>其他牧草地</w:t>
            </w:r>
          </w:p>
        </w:tc>
        <w:tc>
          <w:tcPr>
            <w:tcW w:w="3552" w:type="dxa"/>
            <w:vAlign w:val="top"/>
          </w:tcPr>
          <w:p w14:paraId="61E35EBB">
            <w:pPr>
              <w:spacing w:before="145" w:line="222" w:lineRule="auto"/>
              <w:ind w:left="1334"/>
              <w:rPr>
                <w:rFonts w:ascii="仿宋" w:hAnsi="仿宋" w:eastAsia="仿宋" w:cs="仿宋"/>
                <w:sz w:val="18"/>
                <w:szCs w:val="18"/>
              </w:rPr>
            </w:pPr>
            <w:r>
              <w:rPr>
                <w:rFonts w:ascii="仿宋" w:hAnsi="仿宋" w:eastAsia="仿宋" w:cs="仿宋"/>
                <w:spacing w:val="-3"/>
                <w:sz w:val="18"/>
                <w:szCs w:val="18"/>
              </w:rPr>
              <w:t>各路段沿线</w:t>
            </w:r>
          </w:p>
        </w:tc>
        <w:tc>
          <w:tcPr>
            <w:tcW w:w="1148" w:type="dxa"/>
            <w:vMerge w:val="continue"/>
            <w:tcBorders>
              <w:top w:val="nil"/>
              <w:bottom w:val="nil"/>
            </w:tcBorders>
            <w:vAlign w:val="top"/>
          </w:tcPr>
          <w:p w14:paraId="4F267244">
            <w:pPr>
              <w:rPr>
                <w:rFonts w:ascii="Arial"/>
                <w:sz w:val="21"/>
              </w:rPr>
            </w:pPr>
          </w:p>
        </w:tc>
        <w:tc>
          <w:tcPr>
            <w:tcW w:w="1538" w:type="dxa"/>
            <w:vAlign w:val="top"/>
          </w:tcPr>
          <w:p w14:paraId="363A238F">
            <w:pPr>
              <w:spacing w:before="145"/>
              <w:ind w:left="514"/>
              <w:rPr>
                <w:rFonts w:ascii="仿宋" w:hAnsi="仿宋" w:eastAsia="仿宋" w:cs="仿宋"/>
                <w:sz w:val="18"/>
                <w:szCs w:val="18"/>
              </w:rPr>
            </w:pPr>
            <w:r>
              <w:rPr>
                <w:rFonts w:ascii="仿宋" w:hAnsi="仿宋" w:eastAsia="仿宋" w:cs="仿宋"/>
                <w:spacing w:val="-4"/>
                <w:sz w:val="18"/>
                <w:szCs w:val="18"/>
              </w:rPr>
              <w:t>1.4303</w:t>
            </w:r>
          </w:p>
        </w:tc>
        <w:tc>
          <w:tcPr>
            <w:tcW w:w="1281" w:type="dxa"/>
            <w:vAlign w:val="top"/>
          </w:tcPr>
          <w:p w14:paraId="17964D45">
            <w:pPr>
              <w:spacing w:before="145"/>
              <w:ind w:left="289"/>
              <w:rPr>
                <w:rFonts w:ascii="仿宋" w:hAnsi="仿宋" w:eastAsia="仿宋" w:cs="仿宋"/>
                <w:sz w:val="18"/>
                <w:szCs w:val="18"/>
              </w:rPr>
            </w:pPr>
            <w:r>
              <w:rPr>
                <w:rFonts w:ascii="仿宋" w:hAnsi="仿宋" w:eastAsia="仿宋" w:cs="仿宋"/>
                <w:spacing w:val="-2"/>
                <w:sz w:val="18"/>
                <w:szCs w:val="18"/>
              </w:rPr>
              <w:t>558.2397</w:t>
            </w:r>
          </w:p>
        </w:tc>
        <w:tc>
          <w:tcPr>
            <w:tcW w:w="3814" w:type="dxa"/>
            <w:vAlign w:val="top"/>
          </w:tcPr>
          <w:p w14:paraId="3374E54C">
            <w:pPr>
              <w:spacing w:before="30" w:line="220" w:lineRule="auto"/>
              <w:ind w:left="150"/>
              <w:rPr>
                <w:rFonts w:ascii="仿宋" w:hAnsi="仿宋" w:eastAsia="仿宋" w:cs="仿宋"/>
                <w:sz w:val="18"/>
                <w:szCs w:val="18"/>
              </w:rPr>
            </w:pPr>
            <w:r>
              <w:rPr>
                <w:rFonts w:ascii="仿宋" w:hAnsi="仿宋" w:eastAsia="仿宋" w:cs="仿宋"/>
                <w:spacing w:val="-1"/>
                <w:sz w:val="18"/>
                <w:szCs w:val="18"/>
              </w:rPr>
              <w:t>用于畜牧业生产，兼顾水土保持、防风固沙</w:t>
            </w:r>
          </w:p>
          <w:p w14:paraId="06124B28">
            <w:pPr>
              <w:spacing w:before="18" w:line="204" w:lineRule="auto"/>
              <w:ind w:left="881"/>
              <w:rPr>
                <w:rFonts w:ascii="仿宋" w:hAnsi="仿宋" w:eastAsia="仿宋" w:cs="仿宋"/>
                <w:sz w:val="18"/>
                <w:szCs w:val="18"/>
              </w:rPr>
            </w:pPr>
            <w:r>
              <w:rPr>
                <w:rFonts w:ascii="仿宋" w:hAnsi="仿宋" w:eastAsia="仿宋" w:cs="仿宋"/>
                <w:spacing w:val="-3"/>
                <w:sz w:val="18"/>
                <w:szCs w:val="18"/>
              </w:rPr>
              <w:t>生态功能，合理放牧利用</w:t>
            </w:r>
          </w:p>
        </w:tc>
      </w:tr>
      <w:tr w14:paraId="1EFFE8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8" w:hRule="atLeast"/>
        </w:trPr>
        <w:tc>
          <w:tcPr>
            <w:tcW w:w="697" w:type="dxa"/>
            <w:tcBorders>
              <w:bottom w:val="single" w:color="000000" w:sz="10" w:space="0"/>
            </w:tcBorders>
            <w:vAlign w:val="top"/>
          </w:tcPr>
          <w:p w14:paraId="68CD96EA">
            <w:pPr>
              <w:spacing w:line="318" w:lineRule="auto"/>
              <w:rPr>
                <w:rFonts w:ascii="Arial"/>
                <w:sz w:val="21"/>
              </w:rPr>
            </w:pPr>
          </w:p>
          <w:p w14:paraId="2C1F2F1B">
            <w:pPr>
              <w:spacing w:before="59" w:line="241" w:lineRule="auto"/>
              <w:ind w:left="365"/>
              <w:rPr>
                <w:rFonts w:ascii="仿宋" w:hAnsi="仿宋" w:eastAsia="仿宋" w:cs="仿宋"/>
                <w:sz w:val="18"/>
                <w:szCs w:val="18"/>
              </w:rPr>
            </w:pPr>
            <w:r>
              <w:rPr>
                <w:rFonts w:ascii="仿宋" w:hAnsi="仿宋" w:eastAsia="仿宋" w:cs="仿宋"/>
                <w:sz w:val="18"/>
                <w:szCs w:val="18"/>
              </w:rPr>
              <w:t>7</w:t>
            </w:r>
          </w:p>
        </w:tc>
        <w:tc>
          <w:tcPr>
            <w:tcW w:w="2150" w:type="dxa"/>
            <w:tcBorders>
              <w:bottom w:val="single" w:color="000000" w:sz="10" w:space="0"/>
            </w:tcBorders>
            <w:vAlign w:val="top"/>
          </w:tcPr>
          <w:p w14:paraId="2BA26065">
            <w:pPr>
              <w:spacing w:before="261" w:line="239" w:lineRule="auto"/>
              <w:ind w:left="720" w:right="106" w:hanging="599"/>
              <w:rPr>
                <w:rFonts w:ascii="仿宋" w:hAnsi="仿宋" w:eastAsia="仿宋" w:cs="仿宋"/>
                <w:sz w:val="18"/>
                <w:szCs w:val="18"/>
              </w:rPr>
            </w:pPr>
            <w:r>
              <w:rPr>
                <w:rFonts w:ascii="仿宋" w:hAnsi="仿宋" w:eastAsia="仿宋" w:cs="仿宋"/>
                <w:spacing w:val="-6"/>
                <w:sz w:val="18"/>
                <w:szCs w:val="18"/>
              </w:rPr>
              <w:t>鸟类、小型兽类、两栖类</w:t>
            </w:r>
            <w:r>
              <w:rPr>
                <w:rFonts w:ascii="仿宋" w:hAnsi="仿宋" w:eastAsia="仿宋" w:cs="仿宋"/>
                <w:spacing w:val="-3"/>
                <w:sz w:val="18"/>
                <w:szCs w:val="18"/>
              </w:rPr>
              <w:t>野生动物</w:t>
            </w:r>
          </w:p>
        </w:tc>
        <w:tc>
          <w:tcPr>
            <w:tcW w:w="3552" w:type="dxa"/>
            <w:tcBorders>
              <w:bottom w:val="single" w:color="000000" w:sz="10" w:space="0"/>
            </w:tcBorders>
            <w:vAlign w:val="top"/>
          </w:tcPr>
          <w:p w14:paraId="6DDFF481">
            <w:pPr>
              <w:spacing w:line="318" w:lineRule="auto"/>
              <w:rPr>
                <w:rFonts w:ascii="Arial"/>
                <w:sz w:val="21"/>
              </w:rPr>
            </w:pPr>
          </w:p>
          <w:p w14:paraId="26D631D1">
            <w:pPr>
              <w:spacing w:before="59" w:line="222" w:lineRule="auto"/>
              <w:ind w:left="974"/>
              <w:rPr>
                <w:rFonts w:ascii="仿宋" w:hAnsi="仿宋" w:eastAsia="仿宋" w:cs="仿宋"/>
                <w:sz w:val="18"/>
                <w:szCs w:val="18"/>
              </w:rPr>
            </w:pPr>
            <w:r>
              <w:rPr>
                <w:rFonts w:ascii="仿宋" w:hAnsi="仿宋" w:eastAsia="仿宋" w:cs="仿宋"/>
                <w:spacing w:val="-2"/>
                <w:sz w:val="18"/>
                <w:szCs w:val="18"/>
              </w:rPr>
              <w:t>各路段沿线两侧区域</w:t>
            </w:r>
          </w:p>
        </w:tc>
        <w:tc>
          <w:tcPr>
            <w:tcW w:w="1148" w:type="dxa"/>
            <w:vMerge w:val="continue"/>
            <w:tcBorders>
              <w:top w:val="nil"/>
              <w:bottom w:val="single" w:color="000000" w:sz="10" w:space="0"/>
            </w:tcBorders>
            <w:vAlign w:val="top"/>
          </w:tcPr>
          <w:p w14:paraId="22E48E31">
            <w:pPr>
              <w:rPr>
                <w:rFonts w:ascii="Arial"/>
                <w:sz w:val="21"/>
              </w:rPr>
            </w:pPr>
          </w:p>
        </w:tc>
        <w:tc>
          <w:tcPr>
            <w:tcW w:w="1538" w:type="dxa"/>
            <w:tcBorders>
              <w:bottom w:val="single" w:color="000000" w:sz="10" w:space="0"/>
            </w:tcBorders>
            <w:vAlign w:val="top"/>
          </w:tcPr>
          <w:p w14:paraId="6FD5AA13">
            <w:pPr>
              <w:spacing w:line="318" w:lineRule="auto"/>
              <w:rPr>
                <w:rFonts w:ascii="Arial"/>
                <w:sz w:val="21"/>
              </w:rPr>
            </w:pPr>
          </w:p>
          <w:p w14:paraId="5BC6742E">
            <w:pPr>
              <w:spacing w:before="58" w:line="226" w:lineRule="auto"/>
              <w:ind w:left="726"/>
              <w:rPr>
                <w:rFonts w:ascii="仿宋" w:hAnsi="仿宋" w:eastAsia="仿宋" w:cs="仿宋"/>
                <w:sz w:val="18"/>
                <w:szCs w:val="18"/>
              </w:rPr>
            </w:pPr>
            <w:r>
              <w:rPr>
                <w:rFonts w:ascii="仿宋" w:hAnsi="仿宋" w:eastAsia="仿宋" w:cs="仿宋"/>
                <w:sz w:val="18"/>
                <w:szCs w:val="18"/>
              </w:rPr>
              <w:t>/</w:t>
            </w:r>
          </w:p>
        </w:tc>
        <w:tc>
          <w:tcPr>
            <w:tcW w:w="1281" w:type="dxa"/>
            <w:tcBorders>
              <w:bottom w:val="single" w:color="000000" w:sz="10" w:space="0"/>
            </w:tcBorders>
            <w:vAlign w:val="top"/>
          </w:tcPr>
          <w:p w14:paraId="06C471F7">
            <w:pPr>
              <w:spacing w:line="318" w:lineRule="auto"/>
              <w:rPr>
                <w:rFonts w:ascii="Arial"/>
                <w:sz w:val="21"/>
              </w:rPr>
            </w:pPr>
          </w:p>
          <w:p w14:paraId="034CF5AF">
            <w:pPr>
              <w:spacing w:before="58" w:line="226" w:lineRule="auto"/>
              <w:ind w:left="599"/>
              <w:rPr>
                <w:rFonts w:ascii="仿宋" w:hAnsi="仿宋" w:eastAsia="仿宋" w:cs="仿宋"/>
                <w:sz w:val="18"/>
                <w:szCs w:val="18"/>
              </w:rPr>
            </w:pPr>
            <w:r>
              <w:rPr>
                <w:rFonts w:ascii="仿宋" w:hAnsi="仿宋" w:eastAsia="仿宋" w:cs="仿宋"/>
                <w:sz w:val="18"/>
                <w:szCs w:val="18"/>
              </w:rPr>
              <w:t>/</w:t>
            </w:r>
          </w:p>
        </w:tc>
        <w:tc>
          <w:tcPr>
            <w:tcW w:w="3814" w:type="dxa"/>
            <w:tcBorders>
              <w:bottom w:val="single" w:color="000000" w:sz="10" w:space="0"/>
            </w:tcBorders>
            <w:vAlign w:val="top"/>
          </w:tcPr>
          <w:p w14:paraId="44E7CDAA">
            <w:pPr>
              <w:spacing w:before="28" w:line="222" w:lineRule="auto"/>
              <w:ind w:left="157"/>
              <w:rPr>
                <w:rFonts w:ascii="仿宋" w:hAnsi="仿宋" w:eastAsia="仿宋" w:cs="仿宋"/>
                <w:sz w:val="18"/>
                <w:szCs w:val="18"/>
              </w:rPr>
            </w:pPr>
            <w:r>
              <w:rPr>
                <w:rFonts w:ascii="仿宋" w:hAnsi="仿宋" w:eastAsia="仿宋" w:cs="仿宋"/>
                <w:spacing w:val="-1"/>
                <w:sz w:val="18"/>
                <w:szCs w:val="18"/>
              </w:rPr>
              <w:t>为区域内鸟类、小型兽类、两栖类等野生动</w:t>
            </w:r>
          </w:p>
          <w:p w14:paraId="702FB56E">
            <w:pPr>
              <w:spacing w:before="15" w:line="221" w:lineRule="auto"/>
              <w:ind w:left="151"/>
              <w:rPr>
                <w:rFonts w:ascii="仿宋" w:hAnsi="仿宋" w:eastAsia="仿宋" w:cs="仿宋"/>
                <w:sz w:val="18"/>
                <w:szCs w:val="18"/>
              </w:rPr>
            </w:pPr>
            <w:r>
              <w:rPr>
                <w:rFonts w:ascii="仿宋" w:hAnsi="仿宋" w:eastAsia="仿宋" w:cs="仿宋"/>
                <w:spacing w:val="-1"/>
                <w:sz w:val="18"/>
                <w:szCs w:val="18"/>
              </w:rPr>
              <w:t>物提供觅食、栖息、繁殖场所，是区域生物</w:t>
            </w:r>
          </w:p>
          <w:p w14:paraId="58184E58">
            <w:pPr>
              <w:spacing w:before="17" w:line="219" w:lineRule="auto"/>
              <w:ind w:left="161"/>
              <w:rPr>
                <w:rFonts w:ascii="仿宋" w:hAnsi="仿宋" w:eastAsia="仿宋" w:cs="仿宋"/>
                <w:sz w:val="18"/>
                <w:szCs w:val="18"/>
              </w:rPr>
            </w:pPr>
            <w:r>
              <w:rPr>
                <w:rFonts w:ascii="仿宋" w:hAnsi="仿宋" w:eastAsia="仿宋" w:cs="仿宋"/>
                <w:spacing w:val="-2"/>
                <w:sz w:val="18"/>
                <w:szCs w:val="18"/>
              </w:rPr>
              <w:t>多样性保护的重要节点，严格禁止破坏栖息</w:t>
            </w:r>
          </w:p>
          <w:p w14:paraId="1D5D1E8F">
            <w:pPr>
              <w:spacing w:before="21" w:line="214" w:lineRule="auto"/>
              <w:ind w:left="602"/>
              <w:rPr>
                <w:rFonts w:ascii="仿宋" w:hAnsi="仿宋" w:eastAsia="仿宋" w:cs="仿宋"/>
                <w:sz w:val="18"/>
                <w:szCs w:val="18"/>
              </w:rPr>
            </w:pPr>
            <w:r>
              <w:rPr>
                <w:rFonts w:ascii="仿宋" w:hAnsi="仿宋" w:eastAsia="仿宋" w:cs="仿宋"/>
                <w:spacing w:val="-1"/>
                <w:sz w:val="18"/>
                <w:szCs w:val="18"/>
              </w:rPr>
              <w:t>地植被、干扰野生动物正常活动</w:t>
            </w:r>
          </w:p>
        </w:tc>
      </w:tr>
      <w:tr w14:paraId="372D3F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6" w:hRule="atLeast"/>
        </w:trPr>
        <w:tc>
          <w:tcPr>
            <w:tcW w:w="14180" w:type="dxa"/>
            <w:gridSpan w:val="7"/>
            <w:tcBorders>
              <w:top w:val="single" w:color="000000" w:sz="10" w:space="0"/>
            </w:tcBorders>
            <w:vAlign w:val="top"/>
          </w:tcPr>
          <w:p w14:paraId="44199498">
            <w:pPr>
              <w:rPr>
                <w:rFonts w:ascii="Arial"/>
                <w:sz w:val="21"/>
              </w:rPr>
            </w:pPr>
          </w:p>
        </w:tc>
      </w:tr>
    </w:tbl>
    <w:p w14:paraId="7C28B877">
      <w:pPr>
        <w:pStyle w:val="2"/>
        <w:rPr>
          <w:sz w:val="21"/>
        </w:rPr>
      </w:pPr>
    </w:p>
    <w:p w14:paraId="54A23139">
      <w:pPr>
        <w:rPr>
          <w:sz w:val="21"/>
          <w:szCs w:val="21"/>
        </w:rPr>
        <w:sectPr>
          <w:footerReference r:id="rId49" w:type="default"/>
          <w:pgSz w:w="16840" w:h="11907"/>
          <w:pgMar w:top="400" w:right="1327" w:bottom="1447" w:left="1327" w:header="0" w:footer="1285" w:gutter="0"/>
          <w:cols w:space="720" w:num="1"/>
        </w:sectPr>
      </w:pPr>
    </w:p>
    <w:p w14:paraId="404ABB5B">
      <w:pPr>
        <w:spacing w:before="38"/>
      </w:pPr>
    </w:p>
    <w:p w14:paraId="6ACCD411">
      <w:pPr>
        <w:spacing w:before="38"/>
      </w:pPr>
    </w:p>
    <w:p w14:paraId="5919C83F">
      <w:pPr>
        <w:spacing w:before="38"/>
      </w:pPr>
    </w:p>
    <w:p w14:paraId="58E96AAE">
      <w:pPr>
        <w:spacing w:before="38"/>
      </w:pPr>
    </w:p>
    <w:p w14:paraId="4233B34B">
      <w:pPr>
        <w:spacing w:before="37"/>
      </w:pPr>
    </w:p>
    <w:tbl>
      <w:tblPr>
        <w:tblStyle w:val="5"/>
        <w:tblW w:w="1418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11"/>
        <w:gridCol w:w="725"/>
        <w:gridCol w:w="800"/>
        <w:gridCol w:w="875"/>
        <w:gridCol w:w="712"/>
        <w:gridCol w:w="963"/>
        <w:gridCol w:w="1049"/>
        <w:gridCol w:w="1050"/>
        <w:gridCol w:w="937"/>
        <w:gridCol w:w="1087"/>
        <w:gridCol w:w="1135"/>
        <w:gridCol w:w="2225"/>
        <w:gridCol w:w="2111"/>
      </w:tblGrid>
      <w:tr w14:paraId="77C38C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1" w:hRule="atLeast"/>
        </w:trPr>
        <w:tc>
          <w:tcPr>
            <w:tcW w:w="14180" w:type="dxa"/>
            <w:gridSpan w:val="13"/>
            <w:tcBorders>
              <w:bottom w:val="single" w:color="000000" w:sz="10" w:space="0"/>
            </w:tcBorders>
            <w:vAlign w:val="top"/>
          </w:tcPr>
          <w:p w14:paraId="159514AD">
            <w:pPr>
              <w:spacing w:before="35" w:line="227" w:lineRule="auto"/>
              <w:ind w:left="5600"/>
              <w:rPr>
                <w:rFonts w:ascii="仿宋" w:hAnsi="仿宋" w:eastAsia="仿宋" w:cs="仿宋"/>
                <w:sz w:val="20"/>
                <w:szCs w:val="20"/>
              </w:rPr>
            </w:pPr>
            <w:r>
              <w:rPr>
                <w:rFonts w:ascii="仿宋" w:hAnsi="仿宋" w:eastAsia="仿宋" w:cs="仿宋"/>
                <w:b/>
                <w:bCs/>
                <w:spacing w:val="5"/>
                <w:sz w:val="20"/>
                <w:szCs w:val="20"/>
              </w:rPr>
              <w:t>表</w:t>
            </w:r>
            <w:r>
              <w:rPr>
                <w:rFonts w:ascii="仿宋" w:hAnsi="仿宋" w:eastAsia="仿宋" w:cs="仿宋"/>
                <w:spacing w:val="-26"/>
                <w:sz w:val="20"/>
                <w:szCs w:val="20"/>
              </w:rPr>
              <w:t xml:space="preserve"> </w:t>
            </w:r>
            <w:r>
              <w:rPr>
                <w:rFonts w:ascii="仿宋" w:hAnsi="仿宋" w:eastAsia="仿宋" w:cs="仿宋"/>
                <w:b/>
                <w:bCs/>
                <w:spacing w:val="5"/>
                <w:sz w:val="20"/>
                <w:szCs w:val="20"/>
              </w:rPr>
              <w:t>3-3</w:t>
            </w:r>
            <w:r>
              <w:rPr>
                <w:rFonts w:ascii="仿宋" w:hAnsi="仿宋" w:eastAsia="仿宋" w:cs="仿宋"/>
                <w:spacing w:val="5"/>
                <w:sz w:val="20"/>
                <w:szCs w:val="20"/>
              </w:rPr>
              <w:t xml:space="preserve">   </w:t>
            </w:r>
            <w:r>
              <w:rPr>
                <w:rFonts w:ascii="仿宋" w:hAnsi="仿宋" w:eastAsia="仿宋" w:cs="仿宋"/>
                <w:b/>
                <w:bCs/>
                <w:spacing w:val="5"/>
                <w:sz w:val="20"/>
                <w:szCs w:val="20"/>
              </w:rPr>
              <w:t>本项目声环境保护目标</w:t>
            </w:r>
          </w:p>
        </w:tc>
      </w:tr>
      <w:tr w14:paraId="35518D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9" w:hRule="atLeast"/>
        </w:trPr>
        <w:tc>
          <w:tcPr>
            <w:tcW w:w="511" w:type="dxa"/>
            <w:tcBorders>
              <w:top w:val="single" w:color="000000" w:sz="10" w:space="0"/>
            </w:tcBorders>
            <w:vAlign w:val="top"/>
          </w:tcPr>
          <w:p w14:paraId="0B83AC9B">
            <w:pPr>
              <w:spacing w:line="308" w:lineRule="auto"/>
              <w:rPr>
                <w:rFonts w:ascii="Arial"/>
                <w:sz w:val="21"/>
              </w:rPr>
            </w:pPr>
          </w:p>
          <w:p w14:paraId="0441E845">
            <w:pPr>
              <w:spacing w:before="58" w:line="222" w:lineRule="auto"/>
              <w:ind w:right="21"/>
              <w:jc w:val="right"/>
              <w:rPr>
                <w:rFonts w:ascii="仿宋" w:hAnsi="仿宋" w:eastAsia="仿宋" w:cs="仿宋"/>
                <w:sz w:val="18"/>
                <w:szCs w:val="18"/>
              </w:rPr>
            </w:pPr>
            <w:r>
              <w:rPr>
                <w:rFonts w:ascii="仿宋" w:hAnsi="仿宋" w:eastAsia="仿宋" w:cs="仿宋"/>
                <w:spacing w:val="-6"/>
                <w:sz w:val="18"/>
                <w:szCs w:val="18"/>
              </w:rPr>
              <w:t>序号</w:t>
            </w:r>
          </w:p>
        </w:tc>
        <w:tc>
          <w:tcPr>
            <w:tcW w:w="725" w:type="dxa"/>
            <w:tcBorders>
              <w:top w:val="single" w:color="000000" w:sz="10" w:space="0"/>
            </w:tcBorders>
            <w:vAlign w:val="top"/>
          </w:tcPr>
          <w:p w14:paraId="11DFE678">
            <w:pPr>
              <w:spacing w:before="133" w:line="222" w:lineRule="auto"/>
              <w:ind w:left="100"/>
              <w:rPr>
                <w:rFonts w:ascii="仿宋" w:hAnsi="仿宋" w:eastAsia="仿宋" w:cs="仿宋"/>
                <w:sz w:val="18"/>
                <w:szCs w:val="18"/>
              </w:rPr>
            </w:pPr>
            <w:r>
              <w:rPr>
                <w:rFonts w:ascii="仿宋" w:hAnsi="仿宋" w:eastAsia="仿宋" w:cs="仿宋"/>
                <w:spacing w:val="-4"/>
                <w:sz w:val="18"/>
                <w:szCs w:val="18"/>
              </w:rPr>
              <w:t>声环境</w:t>
            </w:r>
          </w:p>
          <w:p w14:paraId="23621041">
            <w:pPr>
              <w:spacing w:before="18" w:line="221" w:lineRule="auto"/>
              <w:ind w:left="101"/>
              <w:rPr>
                <w:rFonts w:ascii="仿宋" w:hAnsi="仿宋" w:eastAsia="仿宋" w:cs="仿宋"/>
                <w:sz w:val="18"/>
                <w:szCs w:val="18"/>
              </w:rPr>
            </w:pPr>
            <w:r>
              <w:rPr>
                <w:rFonts w:ascii="仿宋" w:hAnsi="仿宋" w:eastAsia="仿宋" w:cs="仿宋"/>
                <w:spacing w:val="-5"/>
                <w:sz w:val="18"/>
                <w:szCs w:val="18"/>
              </w:rPr>
              <w:t>保护目</w:t>
            </w:r>
          </w:p>
          <w:p w14:paraId="216CE702">
            <w:pPr>
              <w:spacing w:before="17" w:line="221" w:lineRule="auto"/>
              <w:ind w:left="100"/>
              <w:rPr>
                <w:rFonts w:ascii="仿宋" w:hAnsi="仿宋" w:eastAsia="仿宋" w:cs="仿宋"/>
                <w:sz w:val="18"/>
                <w:szCs w:val="18"/>
              </w:rPr>
            </w:pPr>
            <w:r>
              <w:rPr>
                <w:rFonts w:ascii="仿宋" w:hAnsi="仿宋" w:eastAsia="仿宋" w:cs="仿宋"/>
                <w:spacing w:val="-4"/>
                <w:sz w:val="18"/>
                <w:szCs w:val="18"/>
              </w:rPr>
              <w:t>标名称</w:t>
            </w:r>
          </w:p>
        </w:tc>
        <w:tc>
          <w:tcPr>
            <w:tcW w:w="800" w:type="dxa"/>
            <w:tcBorders>
              <w:top w:val="single" w:color="000000" w:sz="10" w:space="0"/>
            </w:tcBorders>
            <w:vAlign w:val="top"/>
          </w:tcPr>
          <w:p w14:paraId="2951DC39">
            <w:pPr>
              <w:spacing w:line="308" w:lineRule="auto"/>
              <w:rPr>
                <w:rFonts w:ascii="Arial"/>
                <w:sz w:val="21"/>
              </w:rPr>
            </w:pPr>
          </w:p>
          <w:p w14:paraId="6006138F">
            <w:pPr>
              <w:spacing w:before="58" w:line="219" w:lineRule="auto"/>
              <w:ind w:left="48"/>
              <w:rPr>
                <w:rFonts w:ascii="仿宋" w:hAnsi="仿宋" w:eastAsia="仿宋" w:cs="仿宋"/>
                <w:sz w:val="18"/>
                <w:szCs w:val="18"/>
              </w:rPr>
            </w:pPr>
            <w:r>
              <w:rPr>
                <w:rFonts w:ascii="仿宋" w:hAnsi="仿宋" w:eastAsia="仿宋" w:cs="仿宋"/>
                <w:spacing w:val="-4"/>
                <w:sz w:val="18"/>
                <w:szCs w:val="18"/>
              </w:rPr>
              <w:t>所在路段</w:t>
            </w:r>
          </w:p>
        </w:tc>
        <w:tc>
          <w:tcPr>
            <w:tcW w:w="875" w:type="dxa"/>
            <w:tcBorders>
              <w:top w:val="single" w:color="000000" w:sz="10" w:space="0"/>
            </w:tcBorders>
            <w:vAlign w:val="top"/>
          </w:tcPr>
          <w:p w14:paraId="0A6B2B95">
            <w:pPr>
              <w:spacing w:line="308" w:lineRule="auto"/>
              <w:rPr>
                <w:rFonts w:ascii="Arial"/>
                <w:sz w:val="21"/>
              </w:rPr>
            </w:pPr>
          </w:p>
          <w:p w14:paraId="097C71AB">
            <w:pPr>
              <w:spacing w:before="58" w:line="223" w:lineRule="auto"/>
              <w:ind w:left="85"/>
              <w:rPr>
                <w:rFonts w:ascii="仿宋" w:hAnsi="仿宋" w:eastAsia="仿宋" w:cs="仿宋"/>
                <w:sz w:val="18"/>
                <w:szCs w:val="18"/>
              </w:rPr>
            </w:pPr>
            <w:r>
              <w:rPr>
                <w:rFonts w:ascii="仿宋" w:hAnsi="仿宋" w:eastAsia="仿宋" w:cs="仿宋"/>
                <w:spacing w:val="-3"/>
                <w:sz w:val="18"/>
                <w:szCs w:val="18"/>
              </w:rPr>
              <w:t>桩号范围</w:t>
            </w:r>
          </w:p>
        </w:tc>
        <w:tc>
          <w:tcPr>
            <w:tcW w:w="712" w:type="dxa"/>
            <w:tcBorders>
              <w:top w:val="single" w:color="000000" w:sz="10" w:space="0"/>
            </w:tcBorders>
            <w:vAlign w:val="top"/>
          </w:tcPr>
          <w:p w14:paraId="15A75AE6">
            <w:pPr>
              <w:spacing w:before="250"/>
              <w:ind w:left="277" w:right="85" w:hanging="178"/>
              <w:rPr>
                <w:rFonts w:ascii="仿宋" w:hAnsi="仿宋" w:eastAsia="仿宋" w:cs="仿宋"/>
                <w:sz w:val="18"/>
                <w:szCs w:val="18"/>
              </w:rPr>
            </w:pPr>
            <w:r>
              <w:rPr>
                <w:rFonts w:ascii="仿宋" w:hAnsi="仿宋" w:eastAsia="仿宋" w:cs="仿宋"/>
                <w:spacing w:val="-6"/>
                <w:sz w:val="18"/>
                <w:szCs w:val="18"/>
              </w:rPr>
              <w:t>线路形</w:t>
            </w:r>
            <w:r>
              <w:rPr>
                <w:rFonts w:ascii="仿宋" w:hAnsi="仿宋" w:eastAsia="仿宋" w:cs="仿宋"/>
                <w:sz w:val="18"/>
                <w:szCs w:val="18"/>
              </w:rPr>
              <w:t>式</w:t>
            </w:r>
          </w:p>
        </w:tc>
        <w:tc>
          <w:tcPr>
            <w:tcW w:w="963" w:type="dxa"/>
            <w:tcBorders>
              <w:top w:val="single" w:color="000000" w:sz="10" w:space="0"/>
            </w:tcBorders>
            <w:vAlign w:val="top"/>
          </w:tcPr>
          <w:p w14:paraId="64092649">
            <w:pPr>
              <w:spacing w:line="307" w:lineRule="auto"/>
              <w:rPr>
                <w:rFonts w:ascii="Arial"/>
                <w:sz w:val="21"/>
              </w:rPr>
            </w:pPr>
          </w:p>
          <w:p w14:paraId="53EBBA08">
            <w:pPr>
              <w:spacing w:before="59" w:line="222" w:lineRule="auto"/>
              <w:ind w:left="312"/>
              <w:rPr>
                <w:rFonts w:ascii="仿宋" w:hAnsi="仿宋" w:eastAsia="仿宋" w:cs="仿宋"/>
                <w:sz w:val="18"/>
                <w:szCs w:val="18"/>
              </w:rPr>
            </w:pPr>
            <w:r>
              <w:rPr>
                <w:rFonts w:ascii="仿宋" w:hAnsi="仿宋" w:eastAsia="仿宋" w:cs="仿宋"/>
                <w:spacing w:val="-9"/>
                <w:sz w:val="18"/>
                <w:szCs w:val="18"/>
              </w:rPr>
              <w:t>方位</w:t>
            </w:r>
          </w:p>
        </w:tc>
        <w:tc>
          <w:tcPr>
            <w:tcW w:w="1049" w:type="dxa"/>
            <w:tcBorders>
              <w:top w:val="single" w:color="000000" w:sz="10" w:space="0"/>
            </w:tcBorders>
            <w:vAlign w:val="top"/>
          </w:tcPr>
          <w:p w14:paraId="743213A7">
            <w:pPr>
              <w:spacing w:before="29" w:line="221" w:lineRule="auto"/>
              <w:ind w:left="81"/>
              <w:rPr>
                <w:rFonts w:ascii="仿宋" w:hAnsi="仿宋" w:eastAsia="仿宋" w:cs="仿宋"/>
                <w:sz w:val="18"/>
                <w:szCs w:val="18"/>
              </w:rPr>
            </w:pPr>
            <w:r>
              <w:rPr>
                <w:rFonts w:ascii="仿宋" w:hAnsi="仿宋" w:eastAsia="仿宋" w:cs="仿宋"/>
                <w:spacing w:val="-3"/>
                <w:sz w:val="18"/>
                <w:szCs w:val="18"/>
              </w:rPr>
              <w:t>声环境保护</w:t>
            </w:r>
          </w:p>
          <w:p w14:paraId="6EAB5A2F">
            <w:pPr>
              <w:spacing w:before="17" w:line="222" w:lineRule="auto"/>
              <w:ind w:left="113"/>
              <w:rPr>
                <w:rFonts w:ascii="仿宋" w:hAnsi="仿宋" w:eastAsia="仿宋" w:cs="仿宋"/>
                <w:sz w:val="18"/>
                <w:szCs w:val="18"/>
              </w:rPr>
            </w:pPr>
            <w:r>
              <w:rPr>
                <w:rFonts w:ascii="仿宋" w:hAnsi="仿宋" w:eastAsia="仿宋" w:cs="仿宋"/>
                <w:spacing w:val="-9"/>
                <w:sz w:val="18"/>
                <w:szCs w:val="18"/>
              </w:rPr>
              <w:t>目标预测点</w:t>
            </w:r>
          </w:p>
          <w:p w14:paraId="06655345">
            <w:pPr>
              <w:spacing w:before="16" w:line="223" w:lineRule="auto"/>
              <w:ind w:left="88"/>
              <w:rPr>
                <w:rFonts w:ascii="仿宋" w:hAnsi="仿宋" w:eastAsia="仿宋" w:cs="仿宋"/>
                <w:sz w:val="18"/>
                <w:szCs w:val="18"/>
              </w:rPr>
            </w:pPr>
            <w:r>
              <w:rPr>
                <w:rFonts w:ascii="仿宋" w:hAnsi="仿宋" w:eastAsia="仿宋" w:cs="仿宋"/>
                <w:spacing w:val="-4"/>
                <w:sz w:val="18"/>
                <w:szCs w:val="18"/>
              </w:rPr>
              <w:t>与路面高差</w:t>
            </w:r>
          </w:p>
          <w:p w14:paraId="0801EF59">
            <w:pPr>
              <w:pStyle w:val="6"/>
              <w:spacing w:before="31" w:line="192" w:lineRule="auto"/>
              <w:ind w:left="398"/>
            </w:pPr>
            <w:r>
              <w:rPr>
                <w:spacing w:val="-3"/>
              </w:rPr>
              <w:t>(m)</w:t>
            </w:r>
          </w:p>
        </w:tc>
        <w:tc>
          <w:tcPr>
            <w:tcW w:w="1050" w:type="dxa"/>
            <w:tcBorders>
              <w:top w:val="single" w:color="000000" w:sz="10" w:space="0"/>
            </w:tcBorders>
            <w:vAlign w:val="top"/>
          </w:tcPr>
          <w:p w14:paraId="5E1699C5">
            <w:pPr>
              <w:pStyle w:val="6"/>
              <w:spacing w:before="132" w:line="241" w:lineRule="auto"/>
              <w:ind w:left="17" w:firstLine="70"/>
              <w:jc w:val="both"/>
              <w:rPr>
                <w:rFonts w:ascii="仿宋" w:hAnsi="仿宋" w:eastAsia="仿宋" w:cs="仿宋"/>
              </w:rPr>
            </w:pPr>
            <w:r>
              <w:rPr>
                <w:rFonts w:ascii="仿宋" w:hAnsi="仿宋" w:eastAsia="仿宋" w:cs="仿宋"/>
                <w:spacing w:val="-7"/>
              </w:rPr>
              <w:t>首排距道路</w:t>
            </w:r>
            <w:r>
              <w:rPr>
                <w:rFonts w:ascii="仿宋" w:hAnsi="仿宋" w:eastAsia="仿宋" w:cs="仿宋"/>
                <w:spacing w:val="-9"/>
              </w:rPr>
              <w:t>边界（红线）</w:t>
            </w:r>
            <w:r>
              <w:rPr>
                <w:rFonts w:ascii="仿宋" w:hAnsi="仿宋" w:eastAsia="仿宋" w:cs="仿宋"/>
                <w:spacing w:val="11"/>
              </w:rPr>
              <w:t>距离（</w:t>
            </w:r>
            <w:r>
              <w:rPr>
                <w:spacing w:val="11"/>
              </w:rPr>
              <w:t>m</w:t>
            </w:r>
            <w:r>
              <w:rPr>
                <w:rFonts w:ascii="仿宋" w:hAnsi="仿宋" w:eastAsia="仿宋" w:cs="仿宋"/>
                <w:spacing w:val="11"/>
              </w:rPr>
              <w:t>）</w:t>
            </w:r>
          </w:p>
        </w:tc>
        <w:tc>
          <w:tcPr>
            <w:tcW w:w="937" w:type="dxa"/>
            <w:tcBorders>
              <w:top w:val="single" w:color="000000" w:sz="10" w:space="0"/>
            </w:tcBorders>
            <w:vAlign w:val="top"/>
          </w:tcPr>
          <w:p w14:paraId="7B80E842">
            <w:pPr>
              <w:pStyle w:val="6"/>
              <w:spacing w:before="250"/>
              <w:ind w:left="18" w:firstLine="7"/>
              <w:rPr>
                <w:rFonts w:ascii="仿宋" w:hAnsi="仿宋" w:eastAsia="仿宋" w:cs="仿宋"/>
              </w:rPr>
            </w:pPr>
            <w:r>
              <w:rPr>
                <w:rFonts w:ascii="仿宋" w:hAnsi="仿宋" w:eastAsia="仿宋" w:cs="仿宋"/>
                <w:spacing w:val="-15"/>
              </w:rPr>
              <w:t>距道路中心</w:t>
            </w:r>
            <w:r>
              <w:rPr>
                <w:rFonts w:ascii="仿宋" w:hAnsi="仿宋" w:eastAsia="仿宋" w:cs="仿宋"/>
                <w:spacing w:val="-22"/>
              </w:rPr>
              <w:t>线距离（</w:t>
            </w:r>
            <w:r>
              <w:rPr>
                <w:spacing w:val="-22"/>
              </w:rPr>
              <w:t>m</w:t>
            </w:r>
            <w:r>
              <w:rPr>
                <w:rFonts w:ascii="仿宋" w:hAnsi="仿宋" w:eastAsia="仿宋" w:cs="仿宋"/>
                <w:spacing w:val="-22"/>
              </w:rPr>
              <w:t>）</w:t>
            </w:r>
          </w:p>
        </w:tc>
        <w:tc>
          <w:tcPr>
            <w:tcW w:w="1087" w:type="dxa"/>
            <w:tcBorders>
              <w:top w:val="single" w:color="000000" w:sz="10" w:space="0"/>
            </w:tcBorders>
            <w:vAlign w:val="top"/>
          </w:tcPr>
          <w:p w14:paraId="3076A4C5">
            <w:pPr>
              <w:spacing w:before="250"/>
              <w:ind w:left="298" w:right="90" w:hanging="196"/>
              <w:rPr>
                <w:rFonts w:ascii="仿宋" w:hAnsi="仿宋" w:eastAsia="仿宋" w:cs="仿宋"/>
                <w:sz w:val="18"/>
                <w:szCs w:val="18"/>
              </w:rPr>
            </w:pPr>
            <w:r>
              <w:rPr>
                <w:rFonts w:ascii="仿宋" w:hAnsi="仿宋" w:eastAsia="仿宋" w:cs="仿宋"/>
                <w:spacing w:val="-3"/>
                <w:sz w:val="18"/>
                <w:szCs w:val="18"/>
              </w:rPr>
              <w:t>声环境功能</w:t>
            </w:r>
            <w:r>
              <w:rPr>
                <w:rFonts w:ascii="仿宋" w:hAnsi="仿宋" w:eastAsia="仿宋" w:cs="仿宋"/>
                <w:spacing w:val="-10"/>
                <w:sz w:val="18"/>
                <w:szCs w:val="18"/>
              </w:rPr>
              <w:t>区类别</w:t>
            </w:r>
          </w:p>
        </w:tc>
        <w:tc>
          <w:tcPr>
            <w:tcW w:w="1135" w:type="dxa"/>
            <w:tcBorders>
              <w:top w:val="single" w:color="000000" w:sz="10" w:space="0"/>
            </w:tcBorders>
            <w:vAlign w:val="top"/>
          </w:tcPr>
          <w:p w14:paraId="792DD289">
            <w:pPr>
              <w:spacing w:before="250"/>
              <w:ind w:left="329" w:right="23" w:hanging="290"/>
              <w:rPr>
                <w:rFonts w:ascii="仿宋" w:hAnsi="仿宋" w:eastAsia="仿宋" w:cs="仿宋"/>
                <w:sz w:val="18"/>
                <w:szCs w:val="18"/>
              </w:rPr>
            </w:pPr>
            <w:r>
              <w:rPr>
                <w:rFonts w:ascii="仿宋" w:hAnsi="仿宋" w:eastAsia="仿宋" w:cs="仿宋"/>
                <w:spacing w:val="-3"/>
                <w:sz w:val="18"/>
                <w:szCs w:val="18"/>
              </w:rPr>
              <w:t>道路评价范围</w:t>
            </w:r>
            <w:r>
              <w:rPr>
                <w:rFonts w:ascii="仿宋" w:hAnsi="仿宋" w:eastAsia="仿宋" w:cs="仿宋"/>
                <w:spacing w:val="-12"/>
                <w:sz w:val="18"/>
                <w:szCs w:val="18"/>
              </w:rPr>
              <w:t>内人数</w:t>
            </w:r>
          </w:p>
        </w:tc>
        <w:tc>
          <w:tcPr>
            <w:tcW w:w="2225" w:type="dxa"/>
            <w:tcBorders>
              <w:top w:val="single" w:color="000000" w:sz="10" w:space="0"/>
            </w:tcBorders>
            <w:vAlign w:val="top"/>
          </w:tcPr>
          <w:p w14:paraId="4B8CF5C3">
            <w:pPr>
              <w:spacing w:before="17" w:line="221" w:lineRule="auto"/>
              <w:ind w:left="131"/>
              <w:rPr>
                <w:rFonts w:ascii="仿宋" w:hAnsi="仿宋" w:eastAsia="仿宋" w:cs="仿宋"/>
                <w:sz w:val="18"/>
                <w:szCs w:val="18"/>
              </w:rPr>
            </w:pPr>
            <w:r>
              <w:rPr>
                <w:rFonts w:ascii="仿宋" w:hAnsi="仿宋" w:eastAsia="仿宋" w:cs="仿宋"/>
                <w:spacing w:val="-2"/>
                <w:sz w:val="18"/>
                <w:szCs w:val="18"/>
              </w:rPr>
              <w:t>声环境保护目标情况说明</w:t>
            </w:r>
          </w:p>
          <w:p w14:paraId="3F5A3402">
            <w:pPr>
              <w:spacing w:before="17" w:line="221" w:lineRule="auto"/>
              <w:ind w:left="48"/>
              <w:rPr>
                <w:rFonts w:ascii="仿宋" w:hAnsi="仿宋" w:eastAsia="仿宋" w:cs="仿宋"/>
                <w:sz w:val="18"/>
                <w:szCs w:val="18"/>
              </w:rPr>
            </w:pPr>
            <w:r>
              <w:rPr>
                <w:rFonts w:ascii="仿宋" w:hAnsi="仿宋" w:eastAsia="仿宋" w:cs="仿宋"/>
                <w:spacing w:val="-2"/>
                <w:sz w:val="18"/>
                <w:szCs w:val="18"/>
              </w:rPr>
              <w:t>（介绍声环境保护目标建筑</w:t>
            </w:r>
          </w:p>
          <w:p w14:paraId="7AD54A84">
            <w:pPr>
              <w:spacing w:before="17" w:line="222" w:lineRule="auto"/>
              <w:ind w:left="47"/>
              <w:rPr>
                <w:rFonts w:ascii="仿宋" w:hAnsi="仿宋" w:eastAsia="仿宋" w:cs="仿宋"/>
                <w:sz w:val="18"/>
                <w:szCs w:val="18"/>
              </w:rPr>
            </w:pPr>
            <w:r>
              <w:rPr>
                <w:rFonts w:ascii="仿宋" w:hAnsi="仿宋" w:eastAsia="仿宋" w:cs="仿宋"/>
                <w:spacing w:val="-2"/>
                <w:sz w:val="18"/>
                <w:szCs w:val="18"/>
              </w:rPr>
              <w:t>结构、朝向、楼层、周围环</w:t>
            </w:r>
          </w:p>
          <w:p w14:paraId="31394B65">
            <w:pPr>
              <w:spacing w:before="18" w:line="205" w:lineRule="auto"/>
              <w:ind w:left="765"/>
              <w:rPr>
                <w:rFonts w:ascii="仿宋" w:hAnsi="仿宋" w:eastAsia="仿宋" w:cs="仿宋"/>
                <w:sz w:val="18"/>
                <w:szCs w:val="18"/>
              </w:rPr>
            </w:pPr>
            <w:r>
              <w:rPr>
                <w:rFonts w:ascii="仿宋" w:hAnsi="仿宋" w:eastAsia="仿宋" w:cs="仿宋"/>
                <w:spacing w:val="-4"/>
                <w:sz w:val="18"/>
                <w:szCs w:val="18"/>
              </w:rPr>
              <w:t>境情况）</w:t>
            </w:r>
          </w:p>
        </w:tc>
        <w:tc>
          <w:tcPr>
            <w:tcW w:w="2111" w:type="dxa"/>
            <w:tcBorders>
              <w:top w:val="single" w:color="000000" w:sz="10" w:space="0"/>
            </w:tcBorders>
            <w:vAlign w:val="top"/>
          </w:tcPr>
          <w:p w14:paraId="52791AC5">
            <w:pPr>
              <w:spacing w:line="307" w:lineRule="auto"/>
              <w:rPr>
                <w:rFonts w:ascii="Arial"/>
                <w:sz w:val="21"/>
              </w:rPr>
            </w:pPr>
          </w:p>
          <w:p w14:paraId="7CE546EB">
            <w:pPr>
              <w:spacing w:before="59" w:line="221" w:lineRule="auto"/>
              <w:ind w:left="23"/>
              <w:rPr>
                <w:rFonts w:ascii="仿宋" w:hAnsi="仿宋" w:eastAsia="仿宋" w:cs="仿宋"/>
                <w:sz w:val="18"/>
                <w:szCs w:val="18"/>
              </w:rPr>
            </w:pPr>
            <w:r>
              <w:rPr>
                <w:rFonts w:ascii="仿宋" w:hAnsi="仿宋" w:eastAsia="仿宋" w:cs="仿宋"/>
                <w:spacing w:val="-1"/>
                <w:sz w:val="18"/>
                <w:szCs w:val="18"/>
              </w:rPr>
              <w:t>路线与保护目标位置关系</w:t>
            </w:r>
          </w:p>
        </w:tc>
      </w:tr>
      <w:tr w14:paraId="5CC696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4180" w:type="dxa"/>
            <w:gridSpan w:val="13"/>
            <w:vAlign w:val="top"/>
          </w:tcPr>
          <w:p w14:paraId="5938005C">
            <w:pPr>
              <w:spacing w:before="82" w:line="223" w:lineRule="auto"/>
              <w:ind w:left="6739"/>
              <w:rPr>
                <w:rFonts w:ascii="仿宋" w:hAnsi="仿宋" w:eastAsia="仿宋" w:cs="仿宋"/>
                <w:sz w:val="18"/>
                <w:szCs w:val="18"/>
              </w:rPr>
            </w:pPr>
            <w:r>
              <w:rPr>
                <w:rFonts w:ascii="仿宋" w:hAnsi="仿宋" w:eastAsia="仿宋" w:cs="仿宋"/>
                <w:b/>
                <w:bCs/>
                <w:spacing w:val="-5"/>
                <w:sz w:val="18"/>
                <w:szCs w:val="18"/>
              </w:rPr>
              <w:t>沙圪堵镇</w:t>
            </w:r>
          </w:p>
        </w:tc>
      </w:tr>
      <w:tr w14:paraId="242EF0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4" w:hRule="atLeast"/>
        </w:trPr>
        <w:tc>
          <w:tcPr>
            <w:tcW w:w="511" w:type="dxa"/>
            <w:vAlign w:val="top"/>
          </w:tcPr>
          <w:p w14:paraId="2F6D1DA4">
            <w:pPr>
              <w:spacing w:line="340" w:lineRule="auto"/>
              <w:rPr>
                <w:rFonts w:ascii="Arial"/>
                <w:sz w:val="21"/>
              </w:rPr>
            </w:pPr>
          </w:p>
          <w:p w14:paraId="180B61BE">
            <w:pPr>
              <w:spacing w:line="340" w:lineRule="auto"/>
              <w:rPr>
                <w:rFonts w:ascii="Arial"/>
                <w:sz w:val="21"/>
              </w:rPr>
            </w:pPr>
          </w:p>
          <w:p w14:paraId="22E8C3A1">
            <w:pPr>
              <w:pStyle w:val="6"/>
              <w:spacing w:before="52" w:line="188" w:lineRule="auto"/>
              <w:ind w:left="280"/>
            </w:pPr>
            <w:r>
              <w:t>1</w:t>
            </w:r>
          </w:p>
        </w:tc>
        <w:tc>
          <w:tcPr>
            <w:tcW w:w="725" w:type="dxa"/>
            <w:vAlign w:val="top"/>
          </w:tcPr>
          <w:p w14:paraId="1FD1A068">
            <w:pPr>
              <w:spacing w:line="263" w:lineRule="auto"/>
              <w:rPr>
                <w:rFonts w:ascii="Arial"/>
                <w:sz w:val="21"/>
              </w:rPr>
            </w:pPr>
          </w:p>
          <w:p w14:paraId="75676395">
            <w:pPr>
              <w:spacing w:line="264" w:lineRule="auto"/>
              <w:rPr>
                <w:rFonts w:ascii="Arial"/>
                <w:sz w:val="21"/>
              </w:rPr>
            </w:pPr>
          </w:p>
          <w:p w14:paraId="6EEFE805">
            <w:pPr>
              <w:pStyle w:val="6"/>
              <w:spacing w:before="59"/>
              <w:ind w:left="188" w:right="62" w:hanging="119"/>
              <w:rPr>
                <w:rFonts w:ascii="仿宋" w:hAnsi="仿宋" w:eastAsia="仿宋" w:cs="仿宋"/>
              </w:rPr>
            </w:pPr>
            <w:r>
              <w:rPr>
                <w:rFonts w:ascii="仿宋" w:hAnsi="仿宋" w:eastAsia="仿宋" w:cs="仿宋"/>
                <w:spacing w:val="-3"/>
              </w:rPr>
              <w:t>庙圪梁</w:t>
            </w:r>
            <w:r>
              <w:rPr>
                <w:spacing w:val="-3"/>
              </w:rPr>
              <w:t>-</w:t>
            </w:r>
            <w:r>
              <w:rPr>
                <w:rFonts w:ascii="仿宋" w:hAnsi="仿宋" w:eastAsia="仿宋" w:cs="仿宋"/>
                <w:spacing w:val="-6"/>
              </w:rPr>
              <w:t>散户</w:t>
            </w:r>
          </w:p>
        </w:tc>
        <w:tc>
          <w:tcPr>
            <w:tcW w:w="800" w:type="dxa"/>
            <w:vMerge w:val="restart"/>
            <w:tcBorders>
              <w:bottom w:val="nil"/>
            </w:tcBorders>
            <w:vAlign w:val="top"/>
          </w:tcPr>
          <w:p w14:paraId="2DF06959">
            <w:pPr>
              <w:spacing w:line="244" w:lineRule="auto"/>
              <w:rPr>
                <w:rFonts w:ascii="Arial"/>
                <w:sz w:val="21"/>
              </w:rPr>
            </w:pPr>
          </w:p>
          <w:p w14:paraId="47689375">
            <w:pPr>
              <w:spacing w:line="244" w:lineRule="auto"/>
              <w:rPr>
                <w:rFonts w:ascii="Arial"/>
                <w:sz w:val="21"/>
              </w:rPr>
            </w:pPr>
          </w:p>
          <w:p w14:paraId="18BEDDBD">
            <w:pPr>
              <w:spacing w:line="245" w:lineRule="auto"/>
              <w:rPr>
                <w:rFonts w:ascii="Arial"/>
                <w:sz w:val="21"/>
              </w:rPr>
            </w:pPr>
          </w:p>
          <w:p w14:paraId="3EDAA30A">
            <w:pPr>
              <w:spacing w:line="245" w:lineRule="auto"/>
              <w:rPr>
                <w:rFonts w:ascii="Arial"/>
                <w:sz w:val="21"/>
              </w:rPr>
            </w:pPr>
          </w:p>
          <w:p w14:paraId="48394DEB">
            <w:pPr>
              <w:spacing w:line="245" w:lineRule="auto"/>
              <w:rPr>
                <w:rFonts w:ascii="Arial"/>
                <w:sz w:val="21"/>
              </w:rPr>
            </w:pPr>
          </w:p>
          <w:p w14:paraId="6587641F">
            <w:pPr>
              <w:spacing w:before="58" w:line="239" w:lineRule="auto"/>
              <w:ind w:left="51" w:right="39"/>
              <w:jc w:val="both"/>
              <w:rPr>
                <w:rFonts w:ascii="仿宋" w:hAnsi="仿宋" w:eastAsia="仿宋" w:cs="仿宋"/>
                <w:sz w:val="18"/>
                <w:szCs w:val="18"/>
              </w:rPr>
            </w:pPr>
            <w:r>
              <w:rPr>
                <w:rFonts w:ascii="仿宋" w:hAnsi="仿宋" w:eastAsia="仿宋" w:cs="仿宋"/>
                <w:spacing w:val="-5"/>
                <w:sz w:val="18"/>
                <w:szCs w:val="18"/>
              </w:rPr>
              <w:t>李家圪堵</w:t>
            </w:r>
            <w:r>
              <w:rPr>
                <w:rFonts w:ascii="仿宋" w:hAnsi="仿宋" w:eastAsia="仿宋" w:cs="仿宋"/>
                <w:spacing w:val="-4"/>
                <w:sz w:val="18"/>
                <w:szCs w:val="18"/>
              </w:rPr>
              <w:t>至土敖包通村公路</w:t>
            </w:r>
          </w:p>
        </w:tc>
        <w:tc>
          <w:tcPr>
            <w:tcW w:w="875" w:type="dxa"/>
            <w:vAlign w:val="top"/>
          </w:tcPr>
          <w:p w14:paraId="7DD53341">
            <w:pPr>
              <w:spacing w:line="411" w:lineRule="auto"/>
              <w:rPr>
                <w:rFonts w:ascii="Arial"/>
                <w:sz w:val="21"/>
              </w:rPr>
            </w:pPr>
          </w:p>
          <w:p w14:paraId="0F5B2F21">
            <w:pPr>
              <w:pStyle w:val="6"/>
              <w:spacing w:before="58" w:line="239" w:lineRule="auto"/>
              <w:ind w:left="50"/>
              <w:rPr>
                <w:rFonts w:ascii="仿宋" w:hAnsi="仿宋" w:eastAsia="仿宋" w:cs="仿宋"/>
              </w:rPr>
            </w:pPr>
            <w:r>
              <w:rPr>
                <w:spacing w:val="9"/>
              </w:rPr>
              <w:t>K0+920</w:t>
            </w:r>
            <w:r>
              <w:rPr>
                <w:rFonts w:ascii="仿宋" w:hAnsi="仿宋" w:eastAsia="仿宋" w:cs="仿宋"/>
                <w:spacing w:val="9"/>
              </w:rPr>
              <w:t>~</w:t>
            </w:r>
          </w:p>
          <w:p w14:paraId="690FF767">
            <w:pPr>
              <w:pStyle w:val="6"/>
              <w:spacing w:line="212" w:lineRule="auto"/>
              <w:ind w:left="21"/>
              <w:rPr>
                <w:rFonts w:ascii="仿宋" w:hAnsi="仿宋" w:eastAsia="仿宋" w:cs="仿宋"/>
              </w:rPr>
            </w:pPr>
            <w:r>
              <w:rPr>
                <w:spacing w:val="-1"/>
              </w:rPr>
              <w:t>K1+018(</w:t>
            </w:r>
            <w:r>
              <w:rPr>
                <w:rFonts w:ascii="仿宋" w:hAnsi="仿宋" w:eastAsia="仿宋" w:cs="仿宋"/>
                <w:spacing w:val="-1"/>
              </w:rPr>
              <w:t>路</w:t>
            </w:r>
          </w:p>
          <w:p w14:paraId="576FA948">
            <w:pPr>
              <w:spacing w:before="26" w:line="223" w:lineRule="auto"/>
              <w:ind w:left="266"/>
              <w:rPr>
                <w:rFonts w:ascii="仿宋" w:hAnsi="仿宋" w:eastAsia="仿宋" w:cs="仿宋"/>
                <w:sz w:val="18"/>
                <w:szCs w:val="18"/>
              </w:rPr>
            </w:pPr>
            <w:r>
              <w:rPr>
                <w:rFonts w:ascii="仿宋" w:hAnsi="仿宋" w:eastAsia="仿宋" w:cs="仿宋"/>
                <w:spacing w:val="2"/>
                <w:sz w:val="18"/>
                <w:szCs w:val="18"/>
              </w:rPr>
              <w:t>段二</w:t>
            </w:r>
          </w:p>
        </w:tc>
        <w:tc>
          <w:tcPr>
            <w:tcW w:w="712" w:type="dxa"/>
            <w:vAlign w:val="top"/>
          </w:tcPr>
          <w:p w14:paraId="4205BEC0">
            <w:pPr>
              <w:spacing w:line="322" w:lineRule="auto"/>
              <w:rPr>
                <w:rFonts w:ascii="Arial"/>
                <w:sz w:val="21"/>
              </w:rPr>
            </w:pPr>
          </w:p>
          <w:p w14:paraId="4E9F81CB">
            <w:pPr>
              <w:spacing w:line="323" w:lineRule="auto"/>
              <w:rPr>
                <w:rFonts w:ascii="Arial"/>
                <w:sz w:val="21"/>
              </w:rPr>
            </w:pPr>
          </w:p>
          <w:p w14:paraId="07BA06C5">
            <w:pPr>
              <w:spacing w:before="58" w:line="223" w:lineRule="auto"/>
              <w:ind w:left="183"/>
              <w:rPr>
                <w:rFonts w:ascii="仿宋" w:hAnsi="仿宋" w:eastAsia="仿宋" w:cs="仿宋"/>
                <w:sz w:val="18"/>
                <w:szCs w:val="18"/>
              </w:rPr>
            </w:pPr>
            <w:r>
              <w:rPr>
                <w:rFonts w:ascii="仿宋" w:hAnsi="仿宋" w:eastAsia="仿宋" w:cs="仿宋"/>
                <w:spacing w:val="-6"/>
                <w:sz w:val="18"/>
                <w:szCs w:val="18"/>
              </w:rPr>
              <w:t>路基</w:t>
            </w:r>
          </w:p>
        </w:tc>
        <w:tc>
          <w:tcPr>
            <w:tcW w:w="963" w:type="dxa"/>
            <w:vAlign w:val="top"/>
          </w:tcPr>
          <w:p w14:paraId="11E92EC7">
            <w:pPr>
              <w:spacing w:line="322" w:lineRule="auto"/>
              <w:rPr>
                <w:rFonts w:ascii="Arial"/>
                <w:sz w:val="21"/>
              </w:rPr>
            </w:pPr>
          </w:p>
          <w:p w14:paraId="31CABEAE">
            <w:pPr>
              <w:spacing w:line="323" w:lineRule="auto"/>
              <w:rPr>
                <w:rFonts w:ascii="Arial"/>
                <w:sz w:val="21"/>
              </w:rPr>
            </w:pPr>
          </w:p>
          <w:p w14:paraId="688861A7">
            <w:pPr>
              <w:spacing w:before="58" w:line="223" w:lineRule="auto"/>
              <w:ind w:left="306"/>
              <w:rPr>
                <w:rFonts w:ascii="仿宋" w:hAnsi="仿宋" w:eastAsia="仿宋" w:cs="仿宋"/>
                <w:sz w:val="18"/>
                <w:szCs w:val="18"/>
              </w:rPr>
            </w:pPr>
            <w:r>
              <w:rPr>
                <w:rFonts w:ascii="仿宋" w:hAnsi="仿宋" w:eastAsia="仿宋" w:cs="仿宋"/>
                <w:spacing w:val="-6"/>
                <w:sz w:val="18"/>
                <w:szCs w:val="18"/>
              </w:rPr>
              <w:t>路右</w:t>
            </w:r>
          </w:p>
        </w:tc>
        <w:tc>
          <w:tcPr>
            <w:tcW w:w="1049" w:type="dxa"/>
            <w:vAlign w:val="top"/>
          </w:tcPr>
          <w:p w14:paraId="289FD1C1">
            <w:pPr>
              <w:spacing w:line="340" w:lineRule="auto"/>
              <w:rPr>
                <w:rFonts w:ascii="Arial"/>
                <w:sz w:val="21"/>
              </w:rPr>
            </w:pPr>
          </w:p>
          <w:p w14:paraId="7EF02A86">
            <w:pPr>
              <w:spacing w:line="340" w:lineRule="auto"/>
              <w:rPr>
                <w:rFonts w:ascii="Arial"/>
                <w:sz w:val="21"/>
              </w:rPr>
            </w:pPr>
          </w:p>
          <w:p w14:paraId="11FF267B">
            <w:pPr>
              <w:pStyle w:val="6"/>
              <w:spacing w:before="52" w:line="188" w:lineRule="auto"/>
              <w:ind w:left="416"/>
            </w:pPr>
            <w:r>
              <w:rPr>
                <w:spacing w:val="-3"/>
              </w:rPr>
              <w:t>5.6</w:t>
            </w:r>
          </w:p>
        </w:tc>
        <w:tc>
          <w:tcPr>
            <w:tcW w:w="1050" w:type="dxa"/>
            <w:vAlign w:val="top"/>
          </w:tcPr>
          <w:p w14:paraId="49CA6FA3">
            <w:pPr>
              <w:spacing w:line="340" w:lineRule="auto"/>
              <w:rPr>
                <w:rFonts w:ascii="Arial"/>
                <w:sz w:val="21"/>
              </w:rPr>
            </w:pPr>
          </w:p>
          <w:p w14:paraId="74E79848">
            <w:pPr>
              <w:spacing w:line="340" w:lineRule="auto"/>
              <w:rPr>
                <w:rFonts w:ascii="Arial"/>
                <w:sz w:val="21"/>
              </w:rPr>
            </w:pPr>
          </w:p>
          <w:p w14:paraId="615C07E5">
            <w:pPr>
              <w:pStyle w:val="6"/>
              <w:spacing w:before="52" w:line="188" w:lineRule="auto"/>
              <w:ind w:left="322"/>
            </w:pPr>
            <w:r>
              <w:rPr>
                <w:spacing w:val="-1"/>
              </w:rPr>
              <w:t>28.75</w:t>
            </w:r>
          </w:p>
        </w:tc>
        <w:tc>
          <w:tcPr>
            <w:tcW w:w="937" w:type="dxa"/>
            <w:vAlign w:val="top"/>
          </w:tcPr>
          <w:p w14:paraId="605FAE2D">
            <w:pPr>
              <w:spacing w:line="340" w:lineRule="auto"/>
              <w:rPr>
                <w:rFonts w:ascii="Arial"/>
                <w:sz w:val="21"/>
              </w:rPr>
            </w:pPr>
          </w:p>
          <w:p w14:paraId="43BC1298">
            <w:pPr>
              <w:spacing w:line="340" w:lineRule="auto"/>
              <w:rPr>
                <w:rFonts w:ascii="Arial"/>
                <w:sz w:val="21"/>
              </w:rPr>
            </w:pPr>
          </w:p>
          <w:p w14:paraId="75987E3A">
            <w:pPr>
              <w:pStyle w:val="6"/>
              <w:spacing w:before="52" w:line="188" w:lineRule="auto"/>
              <w:ind w:left="382"/>
            </w:pPr>
            <w:r>
              <w:rPr>
                <w:spacing w:val="-4"/>
              </w:rPr>
              <w:t>31</w:t>
            </w:r>
          </w:p>
        </w:tc>
        <w:tc>
          <w:tcPr>
            <w:tcW w:w="1087" w:type="dxa"/>
            <w:vAlign w:val="top"/>
          </w:tcPr>
          <w:p w14:paraId="635730E1">
            <w:pPr>
              <w:spacing w:line="322" w:lineRule="auto"/>
              <w:rPr>
                <w:rFonts w:ascii="Arial"/>
                <w:sz w:val="21"/>
              </w:rPr>
            </w:pPr>
          </w:p>
          <w:p w14:paraId="670C4C88">
            <w:pPr>
              <w:spacing w:line="323" w:lineRule="auto"/>
              <w:rPr>
                <w:rFonts w:ascii="Arial"/>
                <w:sz w:val="21"/>
              </w:rPr>
            </w:pPr>
          </w:p>
          <w:p w14:paraId="602BC586">
            <w:pPr>
              <w:pStyle w:val="6"/>
              <w:spacing w:before="59" w:line="224" w:lineRule="auto"/>
              <w:ind w:left="426"/>
              <w:rPr>
                <w:rFonts w:ascii="仿宋" w:hAnsi="仿宋" w:eastAsia="仿宋" w:cs="仿宋"/>
              </w:rPr>
            </w:pPr>
            <w:r>
              <w:rPr>
                <w:spacing w:val="-11"/>
              </w:rPr>
              <w:t>1</w:t>
            </w:r>
            <w:r>
              <w:rPr>
                <w:rFonts w:ascii="仿宋" w:hAnsi="仿宋" w:eastAsia="仿宋" w:cs="仿宋"/>
                <w:spacing w:val="-11"/>
              </w:rPr>
              <w:t>类</w:t>
            </w:r>
          </w:p>
        </w:tc>
        <w:tc>
          <w:tcPr>
            <w:tcW w:w="1135" w:type="dxa"/>
            <w:vAlign w:val="top"/>
          </w:tcPr>
          <w:p w14:paraId="71674337">
            <w:pPr>
              <w:spacing w:line="322" w:lineRule="auto"/>
              <w:rPr>
                <w:rFonts w:ascii="Arial"/>
                <w:sz w:val="21"/>
              </w:rPr>
            </w:pPr>
          </w:p>
          <w:p w14:paraId="1C0783F7">
            <w:pPr>
              <w:spacing w:line="323" w:lineRule="auto"/>
              <w:rPr>
                <w:rFonts w:ascii="Arial"/>
                <w:sz w:val="21"/>
              </w:rPr>
            </w:pPr>
          </w:p>
          <w:p w14:paraId="59D9D9E3">
            <w:pPr>
              <w:pStyle w:val="6"/>
              <w:spacing w:before="58" w:line="223" w:lineRule="auto"/>
              <w:ind w:left="275"/>
              <w:rPr>
                <w:rFonts w:ascii="仿宋" w:hAnsi="仿宋" w:eastAsia="仿宋" w:cs="仿宋"/>
              </w:rPr>
            </w:pPr>
            <w:r>
              <w:rPr>
                <w:spacing w:val="-1"/>
              </w:rPr>
              <w:t>2</w:t>
            </w:r>
            <w:r>
              <w:rPr>
                <w:rFonts w:ascii="仿宋" w:hAnsi="仿宋" w:eastAsia="仿宋" w:cs="仿宋"/>
                <w:spacing w:val="-1"/>
              </w:rPr>
              <w:t>户</w:t>
            </w:r>
            <w:r>
              <w:rPr>
                <w:spacing w:val="-1"/>
              </w:rPr>
              <w:t>/7</w:t>
            </w:r>
            <w:r>
              <w:rPr>
                <w:rFonts w:ascii="仿宋" w:hAnsi="仿宋" w:eastAsia="仿宋" w:cs="仿宋"/>
                <w:spacing w:val="-1"/>
              </w:rPr>
              <w:t>人</w:t>
            </w:r>
          </w:p>
        </w:tc>
        <w:tc>
          <w:tcPr>
            <w:tcW w:w="2225" w:type="dxa"/>
            <w:vAlign w:val="top"/>
          </w:tcPr>
          <w:p w14:paraId="0E202D0B">
            <w:pPr>
              <w:spacing w:line="264" w:lineRule="auto"/>
              <w:rPr>
                <w:rFonts w:ascii="Arial"/>
                <w:sz w:val="21"/>
              </w:rPr>
            </w:pPr>
          </w:p>
          <w:p w14:paraId="35CE6108">
            <w:pPr>
              <w:spacing w:line="264" w:lineRule="auto"/>
              <w:rPr>
                <w:rFonts w:ascii="Arial"/>
                <w:sz w:val="21"/>
              </w:rPr>
            </w:pPr>
          </w:p>
          <w:p w14:paraId="25CB27F4">
            <w:pPr>
              <w:pStyle w:val="6"/>
              <w:spacing w:before="59"/>
              <w:ind w:left="13"/>
              <w:rPr>
                <w:rFonts w:ascii="仿宋" w:hAnsi="仿宋" w:eastAsia="仿宋" w:cs="仿宋"/>
              </w:rPr>
            </w:pPr>
            <w:r>
              <w:rPr>
                <w:rFonts w:ascii="仿宋" w:hAnsi="仿宋" w:eastAsia="仿宋" w:cs="仿宋"/>
                <w:spacing w:val="-8"/>
              </w:rPr>
              <w:t>砖混，</w:t>
            </w:r>
            <w:r>
              <w:rPr>
                <w:spacing w:val="-8"/>
              </w:rPr>
              <w:t>1</w:t>
            </w:r>
            <w:r>
              <w:rPr>
                <w:rFonts w:ascii="仿宋" w:hAnsi="仿宋" w:eastAsia="仿宋" w:cs="仿宋"/>
                <w:spacing w:val="-8"/>
              </w:rPr>
              <w:t>层平房，侧向拟建道</w:t>
            </w:r>
            <w:r>
              <w:rPr>
                <w:rFonts w:ascii="仿宋" w:hAnsi="仿宋" w:eastAsia="仿宋" w:cs="仿宋"/>
                <w:spacing w:val="-11"/>
              </w:rPr>
              <w:t>路，地面地势高于拟建道路。</w:t>
            </w:r>
          </w:p>
        </w:tc>
        <w:tc>
          <w:tcPr>
            <w:tcW w:w="2111" w:type="dxa"/>
            <w:vAlign w:val="top"/>
          </w:tcPr>
          <w:p w14:paraId="04E8231D">
            <w:pPr>
              <w:spacing w:before="2" w:line="1564" w:lineRule="exact"/>
              <w:ind w:firstLine="12"/>
            </w:pPr>
            <w:r>
              <w:rPr>
                <w:position w:val="-31"/>
              </w:rPr>
              <w:drawing>
                <wp:inline distT="0" distB="0" distL="0" distR="0">
                  <wp:extent cx="1254125" cy="993140"/>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292"/>
                          <a:stretch>
                            <a:fillRect/>
                          </a:stretch>
                        </pic:blipFill>
                        <pic:spPr>
                          <a:xfrm>
                            <a:off x="0" y="0"/>
                            <a:ext cx="1254252" cy="993647"/>
                          </a:xfrm>
                          <a:prstGeom prst="rect">
                            <a:avLst/>
                          </a:prstGeom>
                        </pic:spPr>
                      </pic:pic>
                    </a:graphicData>
                  </a:graphic>
                </wp:inline>
              </w:drawing>
            </w:r>
          </w:p>
        </w:tc>
      </w:tr>
      <w:tr w14:paraId="635670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24" w:hRule="atLeast"/>
        </w:trPr>
        <w:tc>
          <w:tcPr>
            <w:tcW w:w="511" w:type="dxa"/>
            <w:vAlign w:val="top"/>
          </w:tcPr>
          <w:p w14:paraId="7A386183">
            <w:pPr>
              <w:spacing w:line="348" w:lineRule="auto"/>
              <w:rPr>
                <w:rFonts w:ascii="Arial"/>
                <w:sz w:val="21"/>
              </w:rPr>
            </w:pPr>
          </w:p>
          <w:p w14:paraId="43A2635A">
            <w:pPr>
              <w:spacing w:line="348" w:lineRule="auto"/>
              <w:rPr>
                <w:rFonts w:ascii="Arial"/>
                <w:sz w:val="21"/>
              </w:rPr>
            </w:pPr>
          </w:p>
          <w:p w14:paraId="1DC537AC">
            <w:pPr>
              <w:pStyle w:val="6"/>
              <w:spacing w:before="52" w:line="188" w:lineRule="auto"/>
              <w:ind w:left="262"/>
            </w:pPr>
            <w:r>
              <w:t>2</w:t>
            </w:r>
          </w:p>
        </w:tc>
        <w:tc>
          <w:tcPr>
            <w:tcW w:w="725" w:type="dxa"/>
            <w:vAlign w:val="top"/>
          </w:tcPr>
          <w:p w14:paraId="265F1035">
            <w:pPr>
              <w:spacing w:line="272" w:lineRule="auto"/>
              <w:rPr>
                <w:rFonts w:ascii="Arial"/>
                <w:sz w:val="21"/>
              </w:rPr>
            </w:pPr>
          </w:p>
          <w:p w14:paraId="13620983">
            <w:pPr>
              <w:spacing w:line="272" w:lineRule="auto"/>
              <w:rPr>
                <w:rFonts w:ascii="Arial"/>
                <w:sz w:val="21"/>
              </w:rPr>
            </w:pPr>
          </w:p>
          <w:p w14:paraId="45181CE4">
            <w:pPr>
              <w:pStyle w:val="6"/>
              <w:spacing w:before="59" w:line="222" w:lineRule="auto"/>
              <w:ind w:left="71"/>
            </w:pPr>
            <w:r>
              <w:rPr>
                <w:rFonts w:ascii="仿宋" w:hAnsi="仿宋" w:eastAsia="仿宋" w:cs="仿宋"/>
                <w:spacing w:val="-2"/>
              </w:rPr>
              <w:t>崔家峁</w:t>
            </w:r>
            <w:r>
              <w:rPr>
                <w:spacing w:val="-2"/>
              </w:rPr>
              <w:t>-</w:t>
            </w:r>
          </w:p>
          <w:p w14:paraId="50926573">
            <w:pPr>
              <w:spacing w:before="16" w:line="222" w:lineRule="auto"/>
              <w:ind w:left="188"/>
              <w:rPr>
                <w:rFonts w:ascii="仿宋" w:hAnsi="仿宋" w:eastAsia="仿宋" w:cs="仿宋"/>
                <w:sz w:val="18"/>
                <w:szCs w:val="18"/>
              </w:rPr>
            </w:pPr>
            <w:r>
              <w:rPr>
                <w:rFonts w:ascii="仿宋" w:hAnsi="仿宋" w:eastAsia="仿宋" w:cs="仿宋"/>
                <w:spacing w:val="-6"/>
                <w:sz w:val="18"/>
                <w:szCs w:val="18"/>
              </w:rPr>
              <w:t>散户</w:t>
            </w:r>
          </w:p>
        </w:tc>
        <w:tc>
          <w:tcPr>
            <w:tcW w:w="800" w:type="dxa"/>
            <w:vMerge w:val="continue"/>
            <w:tcBorders>
              <w:top w:val="nil"/>
            </w:tcBorders>
            <w:vAlign w:val="top"/>
          </w:tcPr>
          <w:p w14:paraId="5A453851">
            <w:pPr>
              <w:rPr>
                <w:rFonts w:ascii="Arial"/>
                <w:sz w:val="21"/>
              </w:rPr>
            </w:pPr>
          </w:p>
        </w:tc>
        <w:tc>
          <w:tcPr>
            <w:tcW w:w="875" w:type="dxa"/>
            <w:vAlign w:val="top"/>
          </w:tcPr>
          <w:p w14:paraId="72B53A5B">
            <w:pPr>
              <w:spacing w:line="427" w:lineRule="auto"/>
              <w:rPr>
                <w:rFonts w:ascii="Arial"/>
                <w:sz w:val="21"/>
              </w:rPr>
            </w:pPr>
          </w:p>
          <w:p w14:paraId="43DEA53F">
            <w:pPr>
              <w:pStyle w:val="6"/>
              <w:spacing w:before="58" w:line="239" w:lineRule="auto"/>
              <w:ind w:left="50"/>
              <w:rPr>
                <w:rFonts w:ascii="仿宋" w:hAnsi="仿宋" w:eastAsia="仿宋" w:cs="仿宋"/>
              </w:rPr>
            </w:pPr>
            <w:r>
              <w:rPr>
                <w:spacing w:val="9"/>
              </w:rPr>
              <w:t>K0+050</w:t>
            </w:r>
            <w:r>
              <w:rPr>
                <w:rFonts w:ascii="仿宋" w:hAnsi="仿宋" w:eastAsia="仿宋" w:cs="仿宋"/>
                <w:spacing w:val="9"/>
              </w:rPr>
              <w:t>~</w:t>
            </w:r>
          </w:p>
          <w:p w14:paraId="06F23FCC">
            <w:pPr>
              <w:pStyle w:val="6"/>
              <w:spacing w:line="236" w:lineRule="auto"/>
              <w:ind w:left="266" w:right="21" w:hanging="245"/>
              <w:rPr>
                <w:rFonts w:ascii="仿宋" w:hAnsi="仿宋" w:eastAsia="仿宋" w:cs="仿宋"/>
              </w:rPr>
            </w:pPr>
            <w:r>
              <w:rPr>
                <w:spacing w:val="-1"/>
              </w:rPr>
              <w:t>K0+070(</w:t>
            </w:r>
            <w:r>
              <w:rPr>
                <w:rFonts w:ascii="仿宋" w:hAnsi="仿宋" w:eastAsia="仿宋" w:cs="仿宋"/>
                <w:spacing w:val="-1"/>
              </w:rPr>
              <w:t>路</w:t>
            </w:r>
            <w:r>
              <w:rPr>
                <w:rFonts w:ascii="仿宋" w:hAnsi="仿宋" w:eastAsia="仿宋" w:cs="仿宋"/>
                <w:spacing w:val="-7"/>
              </w:rPr>
              <w:t>段五</w:t>
            </w:r>
          </w:p>
        </w:tc>
        <w:tc>
          <w:tcPr>
            <w:tcW w:w="712" w:type="dxa"/>
            <w:vAlign w:val="top"/>
          </w:tcPr>
          <w:p w14:paraId="6489F6BD">
            <w:pPr>
              <w:spacing w:line="330" w:lineRule="auto"/>
              <w:rPr>
                <w:rFonts w:ascii="Arial"/>
                <w:sz w:val="21"/>
              </w:rPr>
            </w:pPr>
          </w:p>
          <w:p w14:paraId="7A719FF9">
            <w:pPr>
              <w:spacing w:line="331" w:lineRule="auto"/>
              <w:rPr>
                <w:rFonts w:ascii="Arial"/>
                <w:sz w:val="21"/>
              </w:rPr>
            </w:pPr>
          </w:p>
          <w:p w14:paraId="6034882F">
            <w:pPr>
              <w:spacing w:before="58" w:line="223" w:lineRule="auto"/>
              <w:ind w:left="183"/>
              <w:rPr>
                <w:rFonts w:ascii="仿宋" w:hAnsi="仿宋" w:eastAsia="仿宋" w:cs="仿宋"/>
                <w:sz w:val="18"/>
                <w:szCs w:val="18"/>
              </w:rPr>
            </w:pPr>
            <w:r>
              <w:rPr>
                <w:rFonts w:ascii="仿宋" w:hAnsi="仿宋" w:eastAsia="仿宋" w:cs="仿宋"/>
                <w:spacing w:val="-6"/>
                <w:sz w:val="18"/>
                <w:szCs w:val="18"/>
              </w:rPr>
              <w:t>路基</w:t>
            </w:r>
          </w:p>
        </w:tc>
        <w:tc>
          <w:tcPr>
            <w:tcW w:w="963" w:type="dxa"/>
            <w:vAlign w:val="top"/>
          </w:tcPr>
          <w:p w14:paraId="54323E9F">
            <w:pPr>
              <w:spacing w:line="330" w:lineRule="auto"/>
              <w:rPr>
                <w:rFonts w:ascii="Arial"/>
                <w:sz w:val="21"/>
              </w:rPr>
            </w:pPr>
          </w:p>
          <w:p w14:paraId="69E5A244">
            <w:pPr>
              <w:spacing w:line="331" w:lineRule="auto"/>
              <w:rPr>
                <w:rFonts w:ascii="Arial"/>
                <w:sz w:val="21"/>
              </w:rPr>
            </w:pPr>
          </w:p>
          <w:p w14:paraId="035E7662">
            <w:pPr>
              <w:spacing w:before="58" w:line="223" w:lineRule="auto"/>
              <w:ind w:left="306"/>
              <w:rPr>
                <w:rFonts w:ascii="仿宋" w:hAnsi="仿宋" w:eastAsia="仿宋" w:cs="仿宋"/>
                <w:sz w:val="18"/>
                <w:szCs w:val="18"/>
              </w:rPr>
            </w:pPr>
            <w:r>
              <w:rPr>
                <w:rFonts w:ascii="仿宋" w:hAnsi="仿宋" w:eastAsia="仿宋" w:cs="仿宋"/>
                <w:spacing w:val="-6"/>
                <w:sz w:val="18"/>
                <w:szCs w:val="18"/>
              </w:rPr>
              <w:t>路右</w:t>
            </w:r>
          </w:p>
        </w:tc>
        <w:tc>
          <w:tcPr>
            <w:tcW w:w="1049" w:type="dxa"/>
            <w:vAlign w:val="top"/>
          </w:tcPr>
          <w:p w14:paraId="12ABBBCE">
            <w:pPr>
              <w:spacing w:line="348" w:lineRule="auto"/>
              <w:rPr>
                <w:rFonts w:ascii="Arial"/>
                <w:sz w:val="21"/>
              </w:rPr>
            </w:pPr>
          </w:p>
          <w:p w14:paraId="53D8743D">
            <w:pPr>
              <w:spacing w:line="348" w:lineRule="auto"/>
              <w:rPr>
                <w:rFonts w:ascii="Arial"/>
                <w:sz w:val="21"/>
              </w:rPr>
            </w:pPr>
          </w:p>
          <w:p w14:paraId="728CA96C">
            <w:pPr>
              <w:pStyle w:val="6"/>
              <w:spacing w:before="52" w:line="188" w:lineRule="auto"/>
              <w:ind w:left="369"/>
            </w:pPr>
            <w:r>
              <w:rPr>
                <w:spacing w:val="-2"/>
              </w:rPr>
              <w:t>0.35</w:t>
            </w:r>
          </w:p>
        </w:tc>
        <w:tc>
          <w:tcPr>
            <w:tcW w:w="1050" w:type="dxa"/>
            <w:vAlign w:val="top"/>
          </w:tcPr>
          <w:p w14:paraId="30BB9E7B">
            <w:pPr>
              <w:spacing w:line="348" w:lineRule="auto"/>
              <w:rPr>
                <w:rFonts w:ascii="Arial"/>
                <w:sz w:val="21"/>
              </w:rPr>
            </w:pPr>
          </w:p>
          <w:p w14:paraId="617CE522">
            <w:pPr>
              <w:spacing w:line="348" w:lineRule="auto"/>
              <w:rPr>
                <w:rFonts w:ascii="Arial"/>
                <w:sz w:val="21"/>
              </w:rPr>
            </w:pPr>
          </w:p>
          <w:p w14:paraId="0771CDC0">
            <w:pPr>
              <w:pStyle w:val="6"/>
              <w:spacing w:before="52" w:line="188" w:lineRule="auto"/>
              <w:ind w:left="340"/>
            </w:pPr>
            <w:r>
              <w:rPr>
                <w:spacing w:val="-4"/>
              </w:rPr>
              <w:t>10.75</w:t>
            </w:r>
          </w:p>
        </w:tc>
        <w:tc>
          <w:tcPr>
            <w:tcW w:w="937" w:type="dxa"/>
            <w:vAlign w:val="top"/>
          </w:tcPr>
          <w:p w14:paraId="1DEA50CC">
            <w:pPr>
              <w:spacing w:line="348" w:lineRule="auto"/>
              <w:rPr>
                <w:rFonts w:ascii="Arial"/>
                <w:sz w:val="21"/>
              </w:rPr>
            </w:pPr>
          </w:p>
          <w:p w14:paraId="560C30DF">
            <w:pPr>
              <w:spacing w:line="348" w:lineRule="auto"/>
              <w:rPr>
                <w:rFonts w:ascii="Arial"/>
                <w:sz w:val="21"/>
              </w:rPr>
            </w:pPr>
          </w:p>
          <w:p w14:paraId="6B8E1BC1">
            <w:pPr>
              <w:pStyle w:val="6"/>
              <w:spacing w:before="52" w:line="188" w:lineRule="auto"/>
              <w:ind w:left="396"/>
            </w:pPr>
            <w:r>
              <w:rPr>
                <w:spacing w:val="-10"/>
              </w:rPr>
              <w:t>13</w:t>
            </w:r>
          </w:p>
        </w:tc>
        <w:tc>
          <w:tcPr>
            <w:tcW w:w="1087" w:type="dxa"/>
            <w:vAlign w:val="top"/>
          </w:tcPr>
          <w:p w14:paraId="102EF685">
            <w:pPr>
              <w:spacing w:line="330" w:lineRule="auto"/>
              <w:rPr>
                <w:rFonts w:ascii="Arial"/>
                <w:sz w:val="21"/>
              </w:rPr>
            </w:pPr>
          </w:p>
          <w:p w14:paraId="7AC426A5">
            <w:pPr>
              <w:spacing w:line="331" w:lineRule="auto"/>
              <w:rPr>
                <w:rFonts w:ascii="Arial"/>
                <w:sz w:val="21"/>
              </w:rPr>
            </w:pPr>
          </w:p>
          <w:p w14:paraId="0524D220">
            <w:pPr>
              <w:pStyle w:val="6"/>
              <w:spacing w:before="59" w:line="224" w:lineRule="auto"/>
              <w:ind w:left="426"/>
              <w:rPr>
                <w:rFonts w:ascii="仿宋" w:hAnsi="仿宋" w:eastAsia="仿宋" w:cs="仿宋"/>
              </w:rPr>
            </w:pPr>
            <w:r>
              <w:rPr>
                <w:spacing w:val="-11"/>
              </w:rPr>
              <w:t>1</w:t>
            </w:r>
            <w:r>
              <w:rPr>
                <w:rFonts w:ascii="仿宋" w:hAnsi="仿宋" w:eastAsia="仿宋" w:cs="仿宋"/>
                <w:spacing w:val="-11"/>
              </w:rPr>
              <w:t>类</w:t>
            </w:r>
          </w:p>
        </w:tc>
        <w:tc>
          <w:tcPr>
            <w:tcW w:w="1135" w:type="dxa"/>
            <w:vAlign w:val="top"/>
          </w:tcPr>
          <w:p w14:paraId="09EC58E5">
            <w:pPr>
              <w:spacing w:line="330" w:lineRule="auto"/>
              <w:rPr>
                <w:rFonts w:ascii="Arial"/>
                <w:sz w:val="21"/>
              </w:rPr>
            </w:pPr>
          </w:p>
          <w:p w14:paraId="05E1FFCC">
            <w:pPr>
              <w:spacing w:line="331" w:lineRule="auto"/>
              <w:rPr>
                <w:rFonts w:ascii="Arial"/>
                <w:sz w:val="21"/>
              </w:rPr>
            </w:pPr>
          </w:p>
          <w:p w14:paraId="2EAC18DF">
            <w:pPr>
              <w:pStyle w:val="6"/>
              <w:spacing w:before="58" w:line="223" w:lineRule="auto"/>
              <w:ind w:left="292"/>
              <w:rPr>
                <w:rFonts w:ascii="仿宋" w:hAnsi="仿宋" w:eastAsia="仿宋" w:cs="仿宋"/>
              </w:rPr>
            </w:pPr>
            <w:r>
              <w:rPr>
                <w:spacing w:val="-5"/>
              </w:rPr>
              <w:t>1</w:t>
            </w:r>
            <w:r>
              <w:rPr>
                <w:rFonts w:ascii="仿宋" w:hAnsi="仿宋" w:eastAsia="仿宋" w:cs="仿宋"/>
                <w:spacing w:val="-5"/>
              </w:rPr>
              <w:t>户</w:t>
            </w:r>
            <w:r>
              <w:rPr>
                <w:spacing w:val="-5"/>
              </w:rPr>
              <w:t>/3</w:t>
            </w:r>
            <w:r>
              <w:rPr>
                <w:rFonts w:ascii="仿宋" w:hAnsi="仿宋" w:eastAsia="仿宋" w:cs="仿宋"/>
                <w:spacing w:val="-5"/>
              </w:rPr>
              <w:t>人</w:t>
            </w:r>
          </w:p>
        </w:tc>
        <w:tc>
          <w:tcPr>
            <w:tcW w:w="2225" w:type="dxa"/>
            <w:vAlign w:val="top"/>
          </w:tcPr>
          <w:p w14:paraId="73584A25">
            <w:pPr>
              <w:spacing w:line="427" w:lineRule="auto"/>
              <w:rPr>
                <w:rFonts w:ascii="Arial"/>
                <w:sz w:val="21"/>
              </w:rPr>
            </w:pPr>
          </w:p>
          <w:p w14:paraId="2DD7C2F3">
            <w:pPr>
              <w:pStyle w:val="6"/>
              <w:spacing w:before="59" w:line="223" w:lineRule="auto"/>
              <w:jc w:val="right"/>
              <w:rPr>
                <w:rFonts w:ascii="仿宋" w:hAnsi="仿宋" w:eastAsia="仿宋" w:cs="仿宋"/>
              </w:rPr>
            </w:pPr>
            <w:r>
              <w:rPr>
                <w:rFonts w:ascii="仿宋" w:hAnsi="仿宋" w:eastAsia="仿宋" w:cs="仿宋"/>
                <w:spacing w:val="-4"/>
              </w:rPr>
              <w:t>砖混，</w:t>
            </w:r>
            <w:r>
              <w:rPr>
                <w:spacing w:val="-4"/>
              </w:rPr>
              <w:t>1</w:t>
            </w:r>
            <w:r>
              <w:rPr>
                <w:rFonts w:ascii="仿宋" w:hAnsi="仿宋" w:eastAsia="仿宋" w:cs="仿宋"/>
                <w:spacing w:val="-4"/>
              </w:rPr>
              <w:t>层平房，侧向拟建道</w:t>
            </w:r>
          </w:p>
          <w:p w14:paraId="22A903DD">
            <w:pPr>
              <w:spacing w:before="15" w:line="223" w:lineRule="auto"/>
              <w:ind w:left="42"/>
              <w:rPr>
                <w:rFonts w:ascii="仿宋" w:hAnsi="仿宋" w:eastAsia="仿宋" w:cs="仿宋"/>
                <w:sz w:val="18"/>
                <w:szCs w:val="18"/>
              </w:rPr>
            </w:pPr>
            <w:r>
              <w:rPr>
                <w:rFonts w:ascii="仿宋" w:hAnsi="仿宋" w:eastAsia="仿宋" w:cs="仿宋"/>
                <w:spacing w:val="-1"/>
                <w:sz w:val="18"/>
                <w:szCs w:val="18"/>
              </w:rPr>
              <w:t>路，道路右侧地面地势高于</w:t>
            </w:r>
          </w:p>
          <w:p w14:paraId="64B036A2">
            <w:pPr>
              <w:spacing w:before="15" w:line="223" w:lineRule="auto"/>
              <w:ind w:left="672"/>
              <w:rPr>
                <w:rFonts w:ascii="仿宋" w:hAnsi="仿宋" w:eastAsia="仿宋" w:cs="仿宋"/>
                <w:sz w:val="18"/>
                <w:szCs w:val="18"/>
              </w:rPr>
            </w:pPr>
            <w:r>
              <w:rPr>
                <w:rFonts w:ascii="仿宋" w:hAnsi="仿宋" w:eastAsia="仿宋" w:cs="仿宋"/>
                <w:spacing w:val="-3"/>
                <w:sz w:val="18"/>
                <w:szCs w:val="18"/>
              </w:rPr>
              <w:t>拟建道路。</w:t>
            </w:r>
          </w:p>
        </w:tc>
        <w:tc>
          <w:tcPr>
            <w:tcW w:w="2111" w:type="dxa"/>
            <w:vAlign w:val="top"/>
          </w:tcPr>
          <w:p w14:paraId="55970C54">
            <w:pPr>
              <w:spacing w:before="3" w:line="1604" w:lineRule="exact"/>
              <w:ind w:firstLine="12"/>
            </w:pPr>
            <w:r>
              <w:rPr>
                <w:position w:val="-32"/>
              </w:rPr>
              <w:drawing>
                <wp:inline distT="0" distB="0" distL="0" distR="0">
                  <wp:extent cx="1244600" cy="1017905"/>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293"/>
                          <a:stretch>
                            <a:fillRect/>
                          </a:stretch>
                        </pic:blipFill>
                        <pic:spPr>
                          <a:xfrm>
                            <a:off x="0" y="0"/>
                            <a:ext cx="1245107" cy="1018032"/>
                          </a:xfrm>
                          <a:prstGeom prst="rect">
                            <a:avLst/>
                          </a:prstGeom>
                        </pic:spPr>
                      </pic:pic>
                    </a:graphicData>
                  </a:graphic>
                </wp:inline>
              </w:drawing>
            </w:r>
          </w:p>
        </w:tc>
      </w:tr>
      <w:tr w14:paraId="562CF1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4" w:hRule="atLeast"/>
        </w:trPr>
        <w:tc>
          <w:tcPr>
            <w:tcW w:w="511" w:type="dxa"/>
            <w:vAlign w:val="top"/>
          </w:tcPr>
          <w:p w14:paraId="4F335388">
            <w:pPr>
              <w:spacing w:line="304" w:lineRule="auto"/>
              <w:rPr>
                <w:rFonts w:ascii="Arial"/>
                <w:sz w:val="21"/>
              </w:rPr>
            </w:pPr>
          </w:p>
          <w:p w14:paraId="5B505786">
            <w:pPr>
              <w:spacing w:line="305" w:lineRule="auto"/>
              <w:rPr>
                <w:rFonts w:ascii="Arial"/>
                <w:sz w:val="21"/>
              </w:rPr>
            </w:pPr>
          </w:p>
          <w:p w14:paraId="6B966F7F">
            <w:pPr>
              <w:pStyle w:val="6"/>
              <w:spacing w:before="51" w:line="188" w:lineRule="auto"/>
              <w:ind w:left="266"/>
            </w:pPr>
            <w:r>
              <w:t>3</w:t>
            </w:r>
          </w:p>
        </w:tc>
        <w:tc>
          <w:tcPr>
            <w:tcW w:w="725" w:type="dxa"/>
            <w:vAlign w:val="top"/>
          </w:tcPr>
          <w:p w14:paraId="7C1DA17C">
            <w:pPr>
              <w:spacing w:line="456" w:lineRule="auto"/>
              <w:rPr>
                <w:rFonts w:ascii="Arial"/>
                <w:sz w:val="21"/>
              </w:rPr>
            </w:pPr>
          </w:p>
          <w:p w14:paraId="0116BF98">
            <w:pPr>
              <w:pStyle w:val="6"/>
              <w:spacing w:before="58"/>
              <w:ind w:left="188" w:right="62" w:hanging="112"/>
              <w:rPr>
                <w:rFonts w:ascii="仿宋" w:hAnsi="仿宋" w:eastAsia="仿宋" w:cs="仿宋"/>
              </w:rPr>
            </w:pPr>
            <w:r>
              <w:rPr>
                <w:rFonts w:ascii="仿宋" w:hAnsi="仿宋" w:eastAsia="仿宋" w:cs="仿宋"/>
                <w:spacing w:val="-5"/>
              </w:rPr>
              <w:t>瓦窑平</w:t>
            </w:r>
            <w:r>
              <w:rPr>
                <w:spacing w:val="-5"/>
              </w:rPr>
              <w:t>-</w:t>
            </w:r>
            <w:r>
              <w:rPr>
                <w:rFonts w:ascii="仿宋" w:hAnsi="仿宋" w:eastAsia="仿宋" w:cs="仿宋"/>
                <w:spacing w:val="-6"/>
              </w:rPr>
              <w:t>散户</w:t>
            </w:r>
          </w:p>
        </w:tc>
        <w:tc>
          <w:tcPr>
            <w:tcW w:w="800" w:type="dxa"/>
            <w:vAlign w:val="top"/>
          </w:tcPr>
          <w:p w14:paraId="0CF53D28">
            <w:pPr>
              <w:spacing w:line="339" w:lineRule="auto"/>
              <w:rPr>
                <w:rFonts w:ascii="Arial"/>
                <w:sz w:val="21"/>
              </w:rPr>
            </w:pPr>
          </w:p>
          <w:p w14:paraId="5658BE2B">
            <w:pPr>
              <w:spacing w:before="59" w:line="222" w:lineRule="auto"/>
              <w:ind w:left="47"/>
              <w:rPr>
                <w:rFonts w:ascii="仿宋" w:hAnsi="仿宋" w:eastAsia="仿宋" w:cs="仿宋"/>
                <w:sz w:val="18"/>
                <w:szCs w:val="18"/>
              </w:rPr>
            </w:pPr>
            <w:r>
              <w:rPr>
                <w:rFonts w:ascii="仿宋" w:hAnsi="仿宋" w:eastAsia="仿宋" w:cs="仿宋"/>
                <w:spacing w:val="-3"/>
                <w:sz w:val="18"/>
                <w:szCs w:val="18"/>
              </w:rPr>
              <w:t>双山梁村</w:t>
            </w:r>
          </w:p>
          <w:p w14:paraId="1424BA9F">
            <w:pPr>
              <w:spacing w:before="16" w:line="223" w:lineRule="auto"/>
              <w:ind w:left="51"/>
              <w:rPr>
                <w:rFonts w:ascii="仿宋" w:hAnsi="仿宋" w:eastAsia="仿宋" w:cs="仿宋"/>
                <w:sz w:val="18"/>
                <w:szCs w:val="18"/>
              </w:rPr>
            </w:pPr>
            <w:r>
              <w:rPr>
                <w:rFonts w:ascii="仿宋" w:hAnsi="仿宋" w:eastAsia="仿宋" w:cs="仿宋"/>
                <w:spacing w:val="-4"/>
                <w:sz w:val="18"/>
                <w:szCs w:val="18"/>
              </w:rPr>
              <w:t>通社公路</w:t>
            </w:r>
          </w:p>
          <w:p w14:paraId="475ACF5D">
            <w:pPr>
              <w:spacing w:before="15" w:line="223" w:lineRule="auto"/>
              <w:ind w:left="231"/>
              <w:rPr>
                <w:rFonts w:ascii="仿宋" w:hAnsi="仿宋" w:eastAsia="仿宋" w:cs="仿宋"/>
                <w:sz w:val="18"/>
                <w:szCs w:val="18"/>
              </w:rPr>
            </w:pPr>
            <w:r>
              <w:rPr>
                <w:rFonts w:ascii="仿宋" w:hAnsi="仿宋" w:eastAsia="仿宋" w:cs="仿宋"/>
                <w:spacing w:val="-9"/>
                <w:sz w:val="18"/>
                <w:szCs w:val="18"/>
              </w:rPr>
              <w:t>工程</w:t>
            </w:r>
          </w:p>
        </w:tc>
        <w:tc>
          <w:tcPr>
            <w:tcW w:w="875" w:type="dxa"/>
            <w:vAlign w:val="top"/>
          </w:tcPr>
          <w:p w14:paraId="5DC8CFA4">
            <w:pPr>
              <w:spacing w:line="468" w:lineRule="auto"/>
              <w:rPr>
                <w:rFonts w:ascii="Arial"/>
                <w:sz w:val="21"/>
              </w:rPr>
            </w:pPr>
          </w:p>
          <w:p w14:paraId="7DD4DB2A">
            <w:pPr>
              <w:pStyle w:val="6"/>
              <w:spacing w:before="59"/>
              <w:ind w:left="50"/>
              <w:rPr>
                <w:rFonts w:ascii="仿宋" w:hAnsi="仿宋" w:eastAsia="仿宋" w:cs="仿宋"/>
              </w:rPr>
            </w:pPr>
            <w:r>
              <w:rPr>
                <w:spacing w:val="9"/>
              </w:rPr>
              <w:t>K0+070</w:t>
            </w:r>
            <w:r>
              <w:rPr>
                <w:rFonts w:ascii="仿宋" w:hAnsi="仿宋" w:eastAsia="仿宋" w:cs="仿宋"/>
                <w:spacing w:val="9"/>
              </w:rPr>
              <w:t>~</w:t>
            </w:r>
          </w:p>
          <w:p w14:paraId="173E81FB">
            <w:pPr>
              <w:pStyle w:val="6"/>
              <w:spacing w:before="15" w:line="188" w:lineRule="auto"/>
              <w:ind w:left="138"/>
            </w:pPr>
            <w:r>
              <w:rPr>
                <w:spacing w:val="-1"/>
              </w:rPr>
              <w:t>K0+220</w:t>
            </w:r>
          </w:p>
        </w:tc>
        <w:tc>
          <w:tcPr>
            <w:tcW w:w="712" w:type="dxa"/>
            <w:vAlign w:val="top"/>
          </w:tcPr>
          <w:p w14:paraId="2F6B1F1E">
            <w:pPr>
              <w:spacing w:line="285" w:lineRule="auto"/>
              <w:rPr>
                <w:rFonts w:ascii="Arial"/>
                <w:sz w:val="21"/>
              </w:rPr>
            </w:pPr>
          </w:p>
          <w:p w14:paraId="23876A51">
            <w:pPr>
              <w:spacing w:line="286" w:lineRule="auto"/>
              <w:rPr>
                <w:rFonts w:ascii="Arial"/>
                <w:sz w:val="21"/>
              </w:rPr>
            </w:pPr>
          </w:p>
          <w:p w14:paraId="51B5B893">
            <w:pPr>
              <w:spacing w:before="58" w:line="223" w:lineRule="auto"/>
              <w:ind w:left="183"/>
              <w:rPr>
                <w:rFonts w:ascii="仿宋" w:hAnsi="仿宋" w:eastAsia="仿宋" w:cs="仿宋"/>
                <w:sz w:val="18"/>
                <w:szCs w:val="18"/>
              </w:rPr>
            </w:pPr>
            <w:r>
              <w:rPr>
                <w:rFonts w:ascii="仿宋" w:hAnsi="仿宋" w:eastAsia="仿宋" w:cs="仿宋"/>
                <w:spacing w:val="-6"/>
                <w:sz w:val="18"/>
                <w:szCs w:val="18"/>
              </w:rPr>
              <w:t>路基</w:t>
            </w:r>
          </w:p>
        </w:tc>
        <w:tc>
          <w:tcPr>
            <w:tcW w:w="963" w:type="dxa"/>
            <w:vAlign w:val="top"/>
          </w:tcPr>
          <w:p w14:paraId="0B66F446">
            <w:pPr>
              <w:spacing w:line="285" w:lineRule="auto"/>
              <w:rPr>
                <w:rFonts w:ascii="Arial"/>
                <w:sz w:val="21"/>
              </w:rPr>
            </w:pPr>
          </w:p>
          <w:p w14:paraId="165F8936">
            <w:pPr>
              <w:spacing w:line="286" w:lineRule="auto"/>
              <w:rPr>
                <w:rFonts w:ascii="Arial"/>
                <w:sz w:val="21"/>
              </w:rPr>
            </w:pPr>
          </w:p>
          <w:p w14:paraId="4644C0FD">
            <w:pPr>
              <w:spacing w:before="58" w:line="223" w:lineRule="auto"/>
              <w:ind w:left="306"/>
              <w:rPr>
                <w:rFonts w:ascii="仿宋" w:hAnsi="仿宋" w:eastAsia="仿宋" w:cs="仿宋"/>
                <w:sz w:val="18"/>
                <w:szCs w:val="18"/>
              </w:rPr>
            </w:pPr>
            <w:r>
              <w:rPr>
                <w:rFonts w:ascii="仿宋" w:hAnsi="仿宋" w:eastAsia="仿宋" w:cs="仿宋"/>
                <w:spacing w:val="-6"/>
                <w:sz w:val="18"/>
                <w:szCs w:val="18"/>
              </w:rPr>
              <w:t>路右</w:t>
            </w:r>
          </w:p>
        </w:tc>
        <w:tc>
          <w:tcPr>
            <w:tcW w:w="1049" w:type="dxa"/>
            <w:vAlign w:val="top"/>
          </w:tcPr>
          <w:p w14:paraId="7D2B21E0">
            <w:pPr>
              <w:spacing w:line="304" w:lineRule="auto"/>
              <w:rPr>
                <w:rFonts w:ascii="Arial"/>
                <w:sz w:val="21"/>
              </w:rPr>
            </w:pPr>
          </w:p>
          <w:p w14:paraId="27828AF8">
            <w:pPr>
              <w:spacing w:line="305" w:lineRule="auto"/>
              <w:rPr>
                <w:rFonts w:ascii="Arial"/>
                <w:sz w:val="21"/>
              </w:rPr>
            </w:pPr>
          </w:p>
          <w:p w14:paraId="0B9CD6DA">
            <w:pPr>
              <w:pStyle w:val="6"/>
              <w:spacing w:before="51" w:line="188" w:lineRule="auto"/>
              <w:ind w:left="338"/>
            </w:pPr>
            <w:r>
              <w:rPr>
                <w:spacing w:val="-4"/>
              </w:rPr>
              <w:t>14.28</w:t>
            </w:r>
          </w:p>
        </w:tc>
        <w:tc>
          <w:tcPr>
            <w:tcW w:w="1050" w:type="dxa"/>
            <w:vAlign w:val="top"/>
          </w:tcPr>
          <w:p w14:paraId="2A9727DA">
            <w:pPr>
              <w:spacing w:line="304" w:lineRule="auto"/>
              <w:rPr>
                <w:rFonts w:ascii="Arial"/>
                <w:sz w:val="21"/>
              </w:rPr>
            </w:pPr>
          </w:p>
          <w:p w14:paraId="69FADC8B">
            <w:pPr>
              <w:spacing w:line="305" w:lineRule="auto"/>
              <w:rPr>
                <w:rFonts w:ascii="Arial"/>
                <w:sz w:val="21"/>
              </w:rPr>
            </w:pPr>
          </w:p>
          <w:p w14:paraId="5328F958">
            <w:pPr>
              <w:pStyle w:val="6"/>
              <w:spacing w:before="51" w:line="188" w:lineRule="auto"/>
              <w:ind w:left="294"/>
            </w:pPr>
            <w:r>
              <w:rPr>
                <w:spacing w:val="-4"/>
              </w:rPr>
              <w:t>101.75</w:t>
            </w:r>
          </w:p>
        </w:tc>
        <w:tc>
          <w:tcPr>
            <w:tcW w:w="937" w:type="dxa"/>
            <w:vAlign w:val="top"/>
          </w:tcPr>
          <w:p w14:paraId="4679681E">
            <w:pPr>
              <w:spacing w:line="304" w:lineRule="auto"/>
              <w:rPr>
                <w:rFonts w:ascii="Arial"/>
                <w:sz w:val="21"/>
              </w:rPr>
            </w:pPr>
          </w:p>
          <w:p w14:paraId="4ED143BD">
            <w:pPr>
              <w:spacing w:line="305" w:lineRule="auto"/>
              <w:rPr>
                <w:rFonts w:ascii="Arial"/>
                <w:sz w:val="21"/>
              </w:rPr>
            </w:pPr>
          </w:p>
          <w:p w14:paraId="36A089D7">
            <w:pPr>
              <w:pStyle w:val="6"/>
              <w:spacing w:before="51" w:line="188" w:lineRule="auto"/>
              <w:ind w:left="351"/>
            </w:pPr>
            <w:r>
              <w:rPr>
                <w:spacing w:val="-7"/>
              </w:rPr>
              <w:t>104</w:t>
            </w:r>
          </w:p>
        </w:tc>
        <w:tc>
          <w:tcPr>
            <w:tcW w:w="1087" w:type="dxa"/>
            <w:vAlign w:val="top"/>
          </w:tcPr>
          <w:p w14:paraId="5E538D15">
            <w:pPr>
              <w:spacing w:line="285" w:lineRule="auto"/>
              <w:rPr>
                <w:rFonts w:ascii="Arial"/>
                <w:sz w:val="21"/>
              </w:rPr>
            </w:pPr>
          </w:p>
          <w:p w14:paraId="6334C151">
            <w:pPr>
              <w:spacing w:line="286" w:lineRule="auto"/>
              <w:rPr>
                <w:rFonts w:ascii="Arial"/>
                <w:sz w:val="21"/>
              </w:rPr>
            </w:pPr>
          </w:p>
          <w:p w14:paraId="0FD74C1D">
            <w:pPr>
              <w:pStyle w:val="6"/>
              <w:spacing w:before="59" w:line="224" w:lineRule="auto"/>
              <w:ind w:left="426"/>
              <w:rPr>
                <w:rFonts w:ascii="仿宋" w:hAnsi="仿宋" w:eastAsia="仿宋" w:cs="仿宋"/>
              </w:rPr>
            </w:pPr>
            <w:r>
              <w:rPr>
                <w:spacing w:val="-11"/>
              </w:rPr>
              <w:t>1</w:t>
            </w:r>
            <w:r>
              <w:rPr>
                <w:rFonts w:ascii="仿宋" w:hAnsi="仿宋" w:eastAsia="仿宋" w:cs="仿宋"/>
                <w:spacing w:val="-11"/>
              </w:rPr>
              <w:t>类</w:t>
            </w:r>
          </w:p>
        </w:tc>
        <w:tc>
          <w:tcPr>
            <w:tcW w:w="1135" w:type="dxa"/>
            <w:vAlign w:val="top"/>
          </w:tcPr>
          <w:p w14:paraId="684A82F9">
            <w:pPr>
              <w:spacing w:line="285" w:lineRule="auto"/>
              <w:rPr>
                <w:rFonts w:ascii="Arial"/>
                <w:sz w:val="21"/>
              </w:rPr>
            </w:pPr>
          </w:p>
          <w:p w14:paraId="72BEF404">
            <w:pPr>
              <w:spacing w:line="286" w:lineRule="auto"/>
              <w:rPr>
                <w:rFonts w:ascii="Arial"/>
                <w:sz w:val="21"/>
              </w:rPr>
            </w:pPr>
          </w:p>
          <w:p w14:paraId="26DA4293">
            <w:pPr>
              <w:pStyle w:val="6"/>
              <w:spacing w:before="58" w:line="223" w:lineRule="auto"/>
              <w:ind w:left="275"/>
              <w:rPr>
                <w:rFonts w:ascii="仿宋" w:hAnsi="仿宋" w:eastAsia="仿宋" w:cs="仿宋"/>
              </w:rPr>
            </w:pPr>
            <w:r>
              <w:rPr>
                <w:spacing w:val="-1"/>
              </w:rPr>
              <w:t>2</w:t>
            </w:r>
            <w:r>
              <w:rPr>
                <w:rFonts w:ascii="仿宋" w:hAnsi="仿宋" w:eastAsia="仿宋" w:cs="仿宋"/>
                <w:spacing w:val="-1"/>
              </w:rPr>
              <w:t>户</w:t>
            </w:r>
            <w:r>
              <w:rPr>
                <w:spacing w:val="-1"/>
              </w:rPr>
              <w:t>/6</w:t>
            </w:r>
            <w:r>
              <w:rPr>
                <w:rFonts w:ascii="仿宋" w:hAnsi="仿宋" w:eastAsia="仿宋" w:cs="仿宋"/>
                <w:spacing w:val="-1"/>
              </w:rPr>
              <w:t>人</w:t>
            </w:r>
          </w:p>
        </w:tc>
        <w:tc>
          <w:tcPr>
            <w:tcW w:w="2225" w:type="dxa"/>
            <w:vAlign w:val="top"/>
          </w:tcPr>
          <w:p w14:paraId="5F40A57C">
            <w:pPr>
              <w:spacing w:line="340" w:lineRule="auto"/>
              <w:rPr>
                <w:rFonts w:ascii="Arial"/>
                <w:sz w:val="21"/>
              </w:rPr>
            </w:pPr>
          </w:p>
          <w:p w14:paraId="0DEABFFF">
            <w:pPr>
              <w:pStyle w:val="6"/>
              <w:spacing w:before="58" w:line="222" w:lineRule="auto"/>
              <w:jc w:val="right"/>
              <w:rPr>
                <w:rFonts w:ascii="仿宋" w:hAnsi="仿宋" w:eastAsia="仿宋" w:cs="仿宋"/>
              </w:rPr>
            </w:pPr>
            <w:r>
              <w:rPr>
                <w:rFonts w:ascii="仿宋" w:hAnsi="仿宋" w:eastAsia="仿宋" w:cs="仿宋"/>
                <w:spacing w:val="-7"/>
              </w:rPr>
              <w:t>砖混，</w:t>
            </w:r>
            <w:r>
              <w:rPr>
                <w:spacing w:val="-7"/>
              </w:rPr>
              <w:t>1</w:t>
            </w:r>
            <w:r>
              <w:rPr>
                <w:rFonts w:ascii="仿宋" w:hAnsi="仿宋" w:eastAsia="仿宋" w:cs="仿宋"/>
                <w:spacing w:val="-7"/>
              </w:rPr>
              <w:t>层平房，侧向</w:t>
            </w:r>
            <w:r>
              <w:rPr>
                <w:spacing w:val="-7"/>
              </w:rPr>
              <w:t>/</w:t>
            </w:r>
            <w:r>
              <w:rPr>
                <w:rFonts w:ascii="仿宋" w:hAnsi="仿宋" w:eastAsia="仿宋" w:cs="仿宋"/>
                <w:spacing w:val="-7"/>
              </w:rPr>
              <w:t>背向拟</w:t>
            </w:r>
          </w:p>
          <w:p w14:paraId="2CA8050E">
            <w:pPr>
              <w:spacing w:before="16" w:line="223" w:lineRule="auto"/>
              <w:ind w:left="43"/>
              <w:rPr>
                <w:rFonts w:ascii="仿宋" w:hAnsi="仿宋" w:eastAsia="仿宋" w:cs="仿宋"/>
                <w:sz w:val="18"/>
                <w:szCs w:val="18"/>
              </w:rPr>
            </w:pPr>
            <w:r>
              <w:rPr>
                <w:rFonts w:ascii="仿宋" w:hAnsi="仿宋" w:eastAsia="仿宋" w:cs="仿宋"/>
                <w:spacing w:val="-1"/>
                <w:sz w:val="18"/>
                <w:szCs w:val="18"/>
              </w:rPr>
              <w:t>建道路，道路右侧地面地势</w:t>
            </w:r>
          </w:p>
          <w:p w14:paraId="4622C872">
            <w:pPr>
              <w:spacing w:before="15" w:line="223" w:lineRule="auto"/>
              <w:ind w:left="498"/>
              <w:rPr>
                <w:rFonts w:ascii="仿宋" w:hAnsi="仿宋" w:eastAsia="仿宋" w:cs="仿宋"/>
                <w:sz w:val="18"/>
                <w:szCs w:val="18"/>
              </w:rPr>
            </w:pPr>
            <w:r>
              <w:rPr>
                <w:rFonts w:ascii="仿宋" w:hAnsi="仿宋" w:eastAsia="仿宋" w:cs="仿宋"/>
                <w:spacing w:val="-3"/>
                <w:sz w:val="18"/>
                <w:szCs w:val="18"/>
              </w:rPr>
              <w:t>高于拟建道路。</w:t>
            </w:r>
          </w:p>
        </w:tc>
        <w:tc>
          <w:tcPr>
            <w:tcW w:w="2111" w:type="dxa"/>
            <w:vAlign w:val="top"/>
          </w:tcPr>
          <w:p w14:paraId="04D3CE99">
            <w:pPr>
              <w:spacing w:before="4" w:line="1430" w:lineRule="exact"/>
              <w:ind w:firstLine="5"/>
            </w:pPr>
            <w:r>
              <w:rPr>
                <w:position w:val="-28"/>
              </w:rPr>
              <w:drawing>
                <wp:inline distT="0" distB="0" distL="0" distR="0">
                  <wp:extent cx="1261745" cy="907415"/>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294"/>
                          <a:stretch>
                            <a:fillRect/>
                          </a:stretch>
                        </pic:blipFill>
                        <pic:spPr>
                          <a:xfrm>
                            <a:off x="0" y="0"/>
                            <a:ext cx="1261871" cy="907669"/>
                          </a:xfrm>
                          <a:prstGeom prst="rect">
                            <a:avLst/>
                          </a:prstGeom>
                        </pic:spPr>
                      </pic:pic>
                    </a:graphicData>
                  </a:graphic>
                </wp:inline>
              </w:drawing>
            </w:r>
          </w:p>
        </w:tc>
      </w:tr>
      <w:tr w14:paraId="5B2596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77" w:hRule="atLeast"/>
        </w:trPr>
        <w:tc>
          <w:tcPr>
            <w:tcW w:w="511" w:type="dxa"/>
            <w:vAlign w:val="top"/>
          </w:tcPr>
          <w:p w14:paraId="4EB72490">
            <w:pPr>
              <w:spacing w:line="334" w:lineRule="auto"/>
              <w:rPr>
                <w:rFonts w:ascii="Arial"/>
                <w:sz w:val="21"/>
              </w:rPr>
            </w:pPr>
          </w:p>
          <w:p w14:paraId="7CFD6007">
            <w:pPr>
              <w:spacing w:line="335" w:lineRule="auto"/>
              <w:rPr>
                <w:rFonts w:ascii="Arial"/>
                <w:sz w:val="21"/>
              </w:rPr>
            </w:pPr>
          </w:p>
          <w:p w14:paraId="2DF26ED4">
            <w:pPr>
              <w:pStyle w:val="6"/>
              <w:spacing w:before="52" w:line="188" w:lineRule="auto"/>
              <w:ind w:left="261"/>
            </w:pPr>
            <w:r>
              <w:t>4</w:t>
            </w:r>
          </w:p>
        </w:tc>
        <w:tc>
          <w:tcPr>
            <w:tcW w:w="725" w:type="dxa"/>
            <w:vAlign w:val="top"/>
          </w:tcPr>
          <w:p w14:paraId="33363191">
            <w:pPr>
              <w:spacing w:line="258" w:lineRule="auto"/>
              <w:rPr>
                <w:rFonts w:ascii="Arial"/>
                <w:sz w:val="21"/>
              </w:rPr>
            </w:pPr>
          </w:p>
          <w:p w14:paraId="2C3222F9">
            <w:pPr>
              <w:spacing w:line="258" w:lineRule="auto"/>
              <w:rPr>
                <w:rFonts w:ascii="Arial"/>
                <w:sz w:val="21"/>
              </w:rPr>
            </w:pPr>
          </w:p>
          <w:p w14:paraId="2E84C8C9">
            <w:pPr>
              <w:pStyle w:val="6"/>
              <w:spacing w:before="59"/>
              <w:ind w:left="142" w:right="91" w:hanging="41"/>
            </w:pPr>
            <w:r>
              <w:rPr>
                <w:rFonts w:ascii="仿宋" w:hAnsi="仿宋" w:eastAsia="仿宋" w:cs="仿宋"/>
                <w:spacing w:val="-5"/>
              </w:rPr>
              <w:t>刘家塔</w:t>
            </w:r>
            <w:r>
              <w:rPr>
                <w:rFonts w:ascii="仿宋" w:hAnsi="仿宋" w:eastAsia="仿宋" w:cs="仿宋"/>
                <w:spacing w:val="-4"/>
              </w:rPr>
              <w:t>散户</w:t>
            </w:r>
            <w:r>
              <w:rPr>
                <w:spacing w:val="-4"/>
              </w:rPr>
              <w:t>1</w:t>
            </w:r>
          </w:p>
        </w:tc>
        <w:tc>
          <w:tcPr>
            <w:tcW w:w="800" w:type="dxa"/>
            <w:vAlign w:val="top"/>
          </w:tcPr>
          <w:p w14:paraId="405C502F">
            <w:pPr>
              <w:spacing w:line="286" w:lineRule="auto"/>
              <w:rPr>
                <w:rFonts w:ascii="Arial"/>
                <w:sz w:val="21"/>
              </w:rPr>
            </w:pPr>
          </w:p>
          <w:p w14:paraId="62B5BDCC">
            <w:pPr>
              <w:spacing w:before="58" w:line="239" w:lineRule="auto"/>
              <w:ind w:left="51" w:right="39" w:firstLine="17"/>
              <w:jc w:val="both"/>
              <w:rPr>
                <w:rFonts w:ascii="仿宋" w:hAnsi="仿宋" w:eastAsia="仿宋" w:cs="仿宋"/>
                <w:sz w:val="18"/>
                <w:szCs w:val="18"/>
              </w:rPr>
            </w:pPr>
            <w:r>
              <w:rPr>
                <w:rFonts w:ascii="仿宋" w:hAnsi="仿宋" w:eastAsia="仿宋" w:cs="仿宋"/>
                <w:spacing w:val="-9"/>
                <w:sz w:val="18"/>
                <w:szCs w:val="18"/>
              </w:rPr>
              <w:t>四道敖包</w:t>
            </w:r>
            <w:r>
              <w:rPr>
                <w:rFonts w:ascii="仿宋" w:hAnsi="仿宋" w:eastAsia="仿宋" w:cs="仿宋"/>
                <w:spacing w:val="-4"/>
                <w:sz w:val="18"/>
                <w:szCs w:val="18"/>
              </w:rPr>
              <w:t>至淡家梁至杨家塔通村公路</w:t>
            </w:r>
          </w:p>
        </w:tc>
        <w:tc>
          <w:tcPr>
            <w:tcW w:w="875" w:type="dxa"/>
            <w:vAlign w:val="top"/>
          </w:tcPr>
          <w:p w14:paraId="0D1947A9">
            <w:pPr>
              <w:spacing w:line="264" w:lineRule="auto"/>
              <w:rPr>
                <w:rFonts w:ascii="Arial"/>
                <w:sz w:val="21"/>
              </w:rPr>
            </w:pPr>
          </w:p>
          <w:p w14:paraId="6C1301AA">
            <w:pPr>
              <w:spacing w:line="264" w:lineRule="auto"/>
              <w:rPr>
                <w:rFonts w:ascii="Arial"/>
                <w:sz w:val="21"/>
              </w:rPr>
            </w:pPr>
          </w:p>
          <w:p w14:paraId="3114E877">
            <w:pPr>
              <w:pStyle w:val="6"/>
              <w:spacing w:before="59"/>
              <w:ind w:left="50"/>
              <w:rPr>
                <w:rFonts w:ascii="仿宋" w:hAnsi="仿宋" w:eastAsia="仿宋" w:cs="仿宋"/>
              </w:rPr>
            </w:pPr>
            <w:r>
              <w:rPr>
                <w:spacing w:val="9"/>
              </w:rPr>
              <w:t>K0+190</w:t>
            </w:r>
            <w:r>
              <w:rPr>
                <w:rFonts w:ascii="仿宋" w:hAnsi="仿宋" w:eastAsia="仿宋" w:cs="仿宋"/>
                <w:spacing w:val="9"/>
              </w:rPr>
              <w:t>~</w:t>
            </w:r>
          </w:p>
          <w:p w14:paraId="3C906EF7">
            <w:pPr>
              <w:pStyle w:val="6"/>
              <w:spacing w:before="15" w:line="188" w:lineRule="auto"/>
              <w:ind w:left="138"/>
            </w:pPr>
            <w:r>
              <w:rPr>
                <w:spacing w:val="-1"/>
              </w:rPr>
              <w:t>K0+250</w:t>
            </w:r>
          </w:p>
        </w:tc>
        <w:tc>
          <w:tcPr>
            <w:tcW w:w="712" w:type="dxa"/>
            <w:vAlign w:val="top"/>
          </w:tcPr>
          <w:p w14:paraId="0D1DA9F1">
            <w:pPr>
              <w:spacing w:line="317" w:lineRule="auto"/>
              <w:rPr>
                <w:rFonts w:ascii="Arial"/>
                <w:sz w:val="21"/>
              </w:rPr>
            </w:pPr>
          </w:p>
          <w:p w14:paraId="44ACB1F3">
            <w:pPr>
              <w:spacing w:line="317" w:lineRule="auto"/>
              <w:rPr>
                <w:rFonts w:ascii="Arial"/>
                <w:sz w:val="21"/>
              </w:rPr>
            </w:pPr>
          </w:p>
          <w:p w14:paraId="66F579AD">
            <w:pPr>
              <w:spacing w:before="58" w:line="223" w:lineRule="auto"/>
              <w:ind w:left="183"/>
              <w:rPr>
                <w:rFonts w:ascii="仿宋" w:hAnsi="仿宋" w:eastAsia="仿宋" w:cs="仿宋"/>
                <w:sz w:val="18"/>
                <w:szCs w:val="18"/>
              </w:rPr>
            </w:pPr>
            <w:r>
              <w:rPr>
                <w:rFonts w:ascii="仿宋" w:hAnsi="仿宋" w:eastAsia="仿宋" w:cs="仿宋"/>
                <w:spacing w:val="-6"/>
                <w:sz w:val="18"/>
                <w:szCs w:val="18"/>
              </w:rPr>
              <w:t>路基</w:t>
            </w:r>
          </w:p>
        </w:tc>
        <w:tc>
          <w:tcPr>
            <w:tcW w:w="963" w:type="dxa"/>
            <w:vAlign w:val="top"/>
          </w:tcPr>
          <w:p w14:paraId="53B89D04">
            <w:pPr>
              <w:spacing w:line="317" w:lineRule="auto"/>
              <w:rPr>
                <w:rFonts w:ascii="Arial"/>
                <w:sz w:val="21"/>
              </w:rPr>
            </w:pPr>
          </w:p>
          <w:p w14:paraId="7163C5E2">
            <w:pPr>
              <w:spacing w:line="317" w:lineRule="auto"/>
              <w:rPr>
                <w:rFonts w:ascii="Arial"/>
                <w:sz w:val="21"/>
              </w:rPr>
            </w:pPr>
          </w:p>
          <w:p w14:paraId="769DFF76">
            <w:pPr>
              <w:spacing w:before="58" w:line="223" w:lineRule="auto"/>
              <w:ind w:left="306"/>
              <w:rPr>
                <w:rFonts w:ascii="仿宋" w:hAnsi="仿宋" w:eastAsia="仿宋" w:cs="仿宋"/>
                <w:sz w:val="18"/>
                <w:szCs w:val="18"/>
              </w:rPr>
            </w:pPr>
            <w:r>
              <w:rPr>
                <w:rFonts w:ascii="仿宋" w:hAnsi="仿宋" w:eastAsia="仿宋" w:cs="仿宋"/>
                <w:spacing w:val="-6"/>
                <w:sz w:val="18"/>
                <w:szCs w:val="18"/>
              </w:rPr>
              <w:t>路右</w:t>
            </w:r>
          </w:p>
        </w:tc>
        <w:tc>
          <w:tcPr>
            <w:tcW w:w="1049" w:type="dxa"/>
            <w:vAlign w:val="top"/>
          </w:tcPr>
          <w:p w14:paraId="09482115">
            <w:pPr>
              <w:spacing w:line="334" w:lineRule="auto"/>
              <w:rPr>
                <w:rFonts w:ascii="Arial"/>
                <w:sz w:val="21"/>
              </w:rPr>
            </w:pPr>
          </w:p>
          <w:p w14:paraId="1B8DE876">
            <w:pPr>
              <w:spacing w:line="335" w:lineRule="auto"/>
              <w:rPr>
                <w:rFonts w:ascii="Arial"/>
                <w:sz w:val="21"/>
              </w:rPr>
            </w:pPr>
          </w:p>
          <w:p w14:paraId="6C1E0CFE">
            <w:pPr>
              <w:pStyle w:val="6"/>
              <w:spacing w:before="52" w:line="188" w:lineRule="auto"/>
              <w:ind w:left="341"/>
            </w:pPr>
            <w:r>
              <w:rPr>
                <w:spacing w:val="-2"/>
              </w:rPr>
              <w:t>-9.82</w:t>
            </w:r>
          </w:p>
        </w:tc>
        <w:tc>
          <w:tcPr>
            <w:tcW w:w="1050" w:type="dxa"/>
            <w:vAlign w:val="top"/>
          </w:tcPr>
          <w:p w14:paraId="7FD6D21E">
            <w:pPr>
              <w:spacing w:line="334" w:lineRule="auto"/>
              <w:rPr>
                <w:rFonts w:ascii="Arial"/>
                <w:sz w:val="21"/>
              </w:rPr>
            </w:pPr>
          </w:p>
          <w:p w14:paraId="411D36AC">
            <w:pPr>
              <w:spacing w:line="335" w:lineRule="auto"/>
              <w:rPr>
                <w:rFonts w:ascii="Arial"/>
                <w:sz w:val="21"/>
              </w:rPr>
            </w:pPr>
          </w:p>
          <w:p w14:paraId="4F86F686">
            <w:pPr>
              <w:pStyle w:val="6"/>
              <w:spacing w:before="52" w:line="188" w:lineRule="auto"/>
              <w:ind w:left="322"/>
            </w:pPr>
            <w:r>
              <w:rPr>
                <w:spacing w:val="-1"/>
              </w:rPr>
              <w:t>47.75</w:t>
            </w:r>
          </w:p>
        </w:tc>
        <w:tc>
          <w:tcPr>
            <w:tcW w:w="937" w:type="dxa"/>
            <w:vAlign w:val="top"/>
          </w:tcPr>
          <w:p w14:paraId="26895A21">
            <w:pPr>
              <w:spacing w:line="334" w:lineRule="auto"/>
              <w:rPr>
                <w:rFonts w:ascii="Arial"/>
                <w:sz w:val="21"/>
              </w:rPr>
            </w:pPr>
          </w:p>
          <w:p w14:paraId="50D53894">
            <w:pPr>
              <w:spacing w:line="335" w:lineRule="auto"/>
              <w:rPr>
                <w:rFonts w:ascii="Arial"/>
                <w:sz w:val="21"/>
              </w:rPr>
            </w:pPr>
          </w:p>
          <w:p w14:paraId="610BBA83">
            <w:pPr>
              <w:pStyle w:val="6"/>
              <w:spacing w:before="52" w:line="188" w:lineRule="auto"/>
              <w:ind w:left="384"/>
            </w:pPr>
            <w:r>
              <w:rPr>
                <w:spacing w:val="-4"/>
              </w:rPr>
              <w:t>50</w:t>
            </w:r>
          </w:p>
        </w:tc>
        <w:tc>
          <w:tcPr>
            <w:tcW w:w="1087" w:type="dxa"/>
            <w:vAlign w:val="top"/>
          </w:tcPr>
          <w:p w14:paraId="6997E72D">
            <w:pPr>
              <w:spacing w:line="317" w:lineRule="auto"/>
              <w:rPr>
                <w:rFonts w:ascii="Arial"/>
                <w:sz w:val="21"/>
              </w:rPr>
            </w:pPr>
          </w:p>
          <w:p w14:paraId="678292B4">
            <w:pPr>
              <w:spacing w:line="317" w:lineRule="auto"/>
              <w:rPr>
                <w:rFonts w:ascii="Arial"/>
                <w:sz w:val="21"/>
              </w:rPr>
            </w:pPr>
          </w:p>
          <w:p w14:paraId="78219EEA">
            <w:pPr>
              <w:pStyle w:val="6"/>
              <w:spacing w:before="58" w:line="224" w:lineRule="auto"/>
              <w:ind w:left="426"/>
              <w:rPr>
                <w:rFonts w:ascii="仿宋" w:hAnsi="仿宋" w:eastAsia="仿宋" w:cs="仿宋"/>
              </w:rPr>
            </w:pPr>
            <w:r>
              <w:rPr>
                <w:spacing w:val="-11"/>
              </w:rPr>
              <w:t>1</w:t>
            </w:r>
            <w:r>
              <w:rPr>
                <w:rFonts w:ascii="仿宋" w:hAnsi="仿宋" w:eastAsia="仿宋" w:cs="仿宋"/>
                <w:spacing w:val="-11"/>
              </w:rPr>
              <w:t>类</w:t>
            </w:r>
          </w:p>
        </w:tc>
        <w:tc>
          <w:tcPr>
            <w:tcW w:w="1135" w:type="dxa"/>
            <w:vAlign w:val="top"/>
          </w:tcPr>
          <w:p w14:paraId="52F2E923">
            <w:pPr>
              <w:spacing w:line="317" w:lineRule="auto"/>
              <w:rPr>
                <w:rFonts w:ascii="Arial"/>
                <w:sz w:val="21"/>
              </w:rPr>
            </w:pPr>
          </w:p>
          <w:p w14:paraId="54B37D0A">
            <w:pPr>
              <w:spacing w:line="317" w:lineRule="auto"/>
              <w:rPr>
                <w:rFonts w:ascii="Arial"/>
                <w:sz w:val="21"/>
              </w:rPr>
            </w:pPr>
          </w:p>
          <w:p w14:paraId="5E301900">
            <w:pPr>
              <w:pStyle w:val="6"/>
              <w:spacing w:before="58" w:line="223" w:lineRule="auto"/>
              <w:ind w:left="275"/>
              <w:rPr>
                <w:rFonts w:ascii="仿宋" w:hAnsi="仿宋" w:eastAsia="仿宋" w:cs="仿宋"/>
              </w:rPr>
            </w:pPr>
            <w:r>
              <w:rPr>
                <w:spacing w:val="-1"/>
              </w:rPr>
              <w:t>2</w:t>
            </w:r>
            <w:r>
              <w:rPr>
                <w:rFonts w:ascii="仿宋" w:hAnsi="仿宋" w:eastAsia="仿宋" w:cs="仿宋"/>
                <w:spacing w:val="-1"/>
              </w:rPr>
              <w:t>户</w:t>
            </w:r>
            <w:r>
              <w:rPr>
                <w:spacing w:val="-1"/>
              </w:rPr>
              <w:t>/5</w:t>
            </w:r>
            <w:r>
              <w:rPr>
                <w:rFonts w:ascii="仿宋" w:hAnsi="仿宋" w:eastAsia="仿宋" w:cs="仿宋"/>
                <w:spacing w:val="-1"/>
              </w:rPr>
              <w:t>人</w:t>
            </w:r>
          </w:p>
        </w:tc>
        <w:tc>
          <w:tcPr>
            <w:tcW w:w="2225" w:type="dxa"/>
            <w:vAlign w:val="top"/>
          </w:tcPr>
          <w:p w14:paraId="6B2C8A02">
            <w:pPr>
              <w:spacing w:line="258" w:lineRule="auto"/>
              <w:rPr>
                <w:rFonts w:ascii="Arial"/>
                <w:sz w:val="21"/>
              </w:rPr>
            </w:pPr>
          </w:p>
          <w:p w14:paraId="4AA4B761">
            <w:pPr>
              <w:spacing w:line="259" w:lineRule="auto"/>
              <w:rPr>
                <w:rFonts w:ascii="Arial"/>
                <w:sz w:val="21"/>
              </w:rPr>
            </w:pPr>
          </w:p>
          <w:p w14:paraId="40694BEF">
            <w:pPr>
              <w:pStyle w:val="6"/>
              <w:spacing w:before="58"/>
              <w:ind w:left="130" w:hanging="116"/>
              <w:rPr>
                <w:rFonts w:ascii="仿宋" w:hAnsi="仿宋" w:eastAsia="仿宋" w:cs="仿宋"/>
              </w:rPr>
            </w:pPr>
            <w:r>
              <w:rPr>
                <w:rFonts w:ascii="仿宋" w:hAnsi="仿宋" w:eastAsia="仿宋" w:cs="仿宋"/>
                <w:spacing w:val="-4"/>
              </w:rPr>
              <w:t>砖混，</w:t>
            </w:r>
            <w:r>
              <w:rPr>
                <w:spacing w:val="-4"/>
              </w:rPr>
              <w:t>1</w:t>
            </w:r>
            <w:r>
              <w:rPr>
                <w:rFonts w:ascii="仿宋" w:hAnsi="仿宋" w:eastAsia="仿宋" w:cs="仿宋"/>
                <w:spacing w:val="-4"/>
              </w:rPr>
              <w:t>层平房，背向拟建道</w:t>
            </w:r>
            <w:r>
              <w:rPr>
                <w:rFonts w:ascii="仿宋" w:hAnsi="仿宋" w:eastAsia="仿宋" w:cs="仿宋"/>
                <w:spacing w:val="-2"/>
              </w:rPr>
              <w:t>路，地势低于拟建道路。</w:t>
            </w:r>
          </w:p>
        </w:tc>
        <w:tc>
          <w:tcPr>
            <w:tcW w:w="2111" w:type="dxa"/>
            <w:vAlign w:val="top"/>
          </w:tcPr>
          <w:p w14:paraId="26E0F026">
            <w:pPr>
              <w:spacing w:before="5" w:line="1552" w:lineRule="exact"/>
              <w:ind w:firstLine="12"/>
            </w:pPr>
            <w:r>
              <w:rPr>
                <w:position w:val="-31"/>
              </w:rPr>
              <w:drawing>
                <wp:inline distT="0" distB="0" distL="0" distR="0">
                  <wp:extent cx="1249680" cy="985520"/>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295"/>
                          <a:stretch>
                            <a:fillRect/>
                          </a:stretch>
                        </pic:blipFill>
                        <pic:spPr>
                          <a:xfrm>
                            <a:off x="0" y="0"/>
                            <a:ext cx="1249680" cy="986027"/>
                          </a:xfrm>
                          <a:prstGeom prst="rect">
                            <a:avLst/>
                          </a:prstGeom>
                        </pic:spPr>
                      </pic:pic>
                    </a:graphicData>
                  </a:graphic>
                </wp:inline>
              </w:drawing>
            </w:r>
          </w:p>
        </w:tc>
      </w:tr>
    </w:tbl>
    <w:p w14:paraId="45387D28">
      <w:pPr>
        <w:pStyle w:val="2"/>
        <w:rPr>
          <w:sz w:val="21"/>
        </w:rPr>
      </w:pPr>
    </w:p>
    <w:p w14:paraId="41893BCE">
      <w:pPr>
        <w:rPr>
          <w:sz w:val="21"/>
          <w:szCs w:val="21"/>
        </w:rPr>
        <w:sectPr>
          <w:footerReference r:id="rId50" w:type="default"/>
          <w:pgSz w:w="16840" w:h="11907"/>
          <w:pgMar w:top="400" w:right="1327" w:bottom="1447" w:left="1327" w:header="0" w:footer="1285" w:gutter="0"/>
          <w:cols w:space="720" w:num="1"/>
        </w:sectPr>
      </w:pPr>
    </w:p>
    <w:p w14:paraId="7A516D3F">
      <w:pPr>
        <w:spacing w:before="38"/>
      </w:pPr>
    </w:p>
    <w:p w14:paraId="55C1A228">
      <w:pPr>
        <w:spacing w:before="38"/>
      </w:pPr>
    </w:p>
    <w:p w14:paraId="71F1D41B">
      <w:pPr>
        <w:spacing w:before="38"/>
      </w:pPr>
    </w:p>
    <w:p w14:paraId="09EEB1F6">
      <w:pPr>
        <w:spacing w:before="38"/>
      </w:pPr>
    </w:p>
    <w:p w14:paraId="7CE91D64">
      <w:pPr>
        <w:spacing w:before="37"/>
      </w:pPr>
    </w:p>
    <w:tbl>
      <w:tblPr>
        <w:tblStyle w:val="5"/>
        <w:tblW w:w="1418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11"/>
        <w:gridCol w:w="725"/>
        <w:gridCol w:w="800"/>
        <w:gridCol w:w="875"/>
        <w:gridCol w:w="712"/>
        <w:gridCol w:w="963"/>
        <w:gridCol w:w="1049"/>
        <w:gridCol w:w="1050"/>
        <w:gridCol w:w="937"/>
        <w:gridCol w:w="1087"/>
        <w:gridCol w:w="1135"/>
        <w:gridCol w:w="2225"/>
        <w:gridCol w:w="2111"/>
      </w:tblGrid>
      <w:tr w14:paraId="6EA344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9" w:hRule="atLeast"/>
        </w:trPr>
        <w:tc>
          <w:tcPr>
            <w:tcW w:w="511" w:type="dxa"/>
            <w:vAlign w:val="top"/>
          </w:tcPr>
          <w:p w14:paraId="4968A112">
            <w:pPr>
              <w:spacing w:line="343" w:lineRule="auto"/>
              <w:rPr>
                <w:rFonts w:ascii="Arial"/>
                <w:sz w:val="21"/>
              </w:rPr>
            </w:pPr>
          </w:p>
          <w:p w14:paraId="20820252">
            <w:pPr>
              <w:spacing w:line="343" w:lineRule="auto"/>
              <w:rPr>
                <w:rFonts w:ascii="Arial"/>
                <w:sz w:val="21"/>
              </w:rPr>
            </w:pPr>
          </w:p>
          <w:p w14:paraId="698EFC4D">
            <w:pPr>
              <w:pStyle w:val="6"/>
              <w:spacing w:before="52" w:line="185" w:lineRule="auto"/>
              <w:ind w:left="267"/>
            </w:pPr>
            <w:r>
              <w:t>5</w:t>
            </w:r>
          </w:p>
        </w:tc>
        <w:tc>
          <w:tcPr>
            <w:tcW w:w="725" w:type="dxa"/>
            <w:vAlign w:val="top"/>
          </w:tcPr>
          <w:p w14:paraId="403B34A1">
            <w:pPr>
              <w:spacing w:line="265" w:lineRule="auto"/>
              <w:rPr>
                <w:rFonts w:ascii="Arial"/>
                <w:sz w:val="21"/>
              </w:rPr>
            </w:pPr>
          </w:p>
          <w:p w14:paraId="0610D991">
            <w:pPr>
              <w:spacing w:line="265" w:lineRule="auto"/>
              <w:rPr>
                <w:rFonts w:ascii="Arial"/>
                <w:sz w:val="21"/>
              </w:rPr>
            </w:pPr>
          </w:p>
          <w:p w14:paraId="5F42044C">
            <w:pPr>
              <w:pStyle w:val="6"/>
              <w:spacing w:before="59"/>
              <w:ind w:left="142" w:right="91" w:hanging="41"/>
            </w:pPr>
            <w:r>
              <w:rPr>
                <w:rFonts w:ascii="仿宋" w:hAnsi="仿宋" w:eastAsia="仿宋" w:cs="仿宋"/>
                <w:spacing w:val="-5"/>
              </w:rPr>
              <w:t>刘家塔</w:t>
            </w:r>
            <w:r>
              <w:rPr>
                <w:rFonts w:ascii="仿宋" w:hAnsi="仿宋" w:eastAsia="仿宋" w:cs="仿宋"/>
                <w:spacing w:val="-4"/>
              </w:rPr>
              <w:t>散户</w:t>
            </w:r>
            <w:r>
              <w:rPr>
                <w:spacing w:val="-4"/>
              </w:rPr>
              <w:t>2</w:t>
            </w:r>
          </w:p>
        </w:tc>
        <w:tc>
          <w:tcPr>
            <w:tcW w:w="800" w:type="dxa"/>
            <w:vMerge w:val="restart"/>
            <w:tcBorders>
              <w:bottom w:val="nil"/>
            </w:tcBorders>
            <w:vAlign w:val="top"/>
          </w:tcPr>
          <w:p w14:paraId="044E456B">
            <w:pPr>
              <w:rPr>
                <w:rFonts w:ascii="Arial"/>
                <w:sz w:val="21"/>
              </w:rPr>
            </w:pPr>
          </w:p>
        </w:tc>
        <w:tc>
          <w:tcPr>
            <w:tcW w:w="875" w:type="dxa"/>
            <w:vAlign w:val="top"/>
          </w:tcPr>
          <w:p w14:paraId="3A496158">
            <w:pPr>
              <w:spacing w:line="271" w:lineRule="auto"/>
              <w:rPr>
                <w:rFonts w:ascii="Arial"/>
                <w:sz w:val="21"/>
              </w:rPr>
            </w:pPr>
          </w:p>
          <w:p w14:paraId="3265E345">
            <w:pPr>
              <w:spacing w:line="272" w:lineRule="auto"/>
              <w:rPr>
                <w:rFonts w:ascii="Arial"/>
                <w:sz w:val="21"/>
              </w:rPr>
            </w:pPr>
          </w:p>
          <w:p w14:paraId="7E8A9D92">
            <w:pPr>
              <w:pStyle w:val="6"/>
              <w:spacing w:before="58"/>
              <w:ind w:left="50"/>
              <w:rPr>
                <w:rFonts w:ascii="仿宋" w:hAnsi="仿宋" w:eastAsia="仿宋" w:cs="仿宋"/>
              </w:rPr>
            </w:pPr>
            <w:r>
              <w:rPr>
                <w:spacing w:val="9"/>
              </w:rPr>
              <w:t>K0+730</w:t>
            </w:r>
            <w:r>
              <w:rPr>
                <w:rFonts w:ascii="仿宋" w:hAnsi="仿宋" w:eastAsia="仿宋" w:cs="仿宋"/>
                <w:spacing w:val="9"/>
              </w:rPr>
              <w:t>~</w:t>
            </w:r>
          </w:p>
          <w:p w14:paraId="2FD8B792">
            <w:pPr>
              <w:pStyle w:val="6"/>
              <w:spacing w:before="18" w:line="188" w:lineRule="auto"/>
              <w:ind w:left="138"/>
            </w:pPr>
            <w:r>
              <w:rPr>
                <w:spacing w:val="-1"/>
              </w:rPr>
              <w:t>K0+790</w:t>
            </w:r>
          </w:p>
        </w:tc>
        <w:tc>
          <w:tcPr>
            <w:tcW w:w="712" w:type="dxa"/>
            <w:vAlign w:val="top"/>
          </w:tcPr>
          <w:p w14:paraId="4ADE7EAD">
            <w:pPr>
              <w:spacing w:line="324" w:lineRule="auto"/>
              <w:rPr>
                <w:rFonts w:ascii="Arial"/>
                <w:sz w:val="21"/>
              </w:rPr>
            </w:pPr>
          </w:p>
          <w:p w14:paraId="46F84BA2">
            <w:pPr>
              <w:spacing w:line="324" w:lineRule="auto"/>
              <w:rPr>
                <w:rFonts w:ascii="Arial"/>
                <w:sz w:val="21"/>
              </w:rPr>
            </w:pPr>
          </w:p>
          <w:p w14:paraId="21C74904">
            <w:pPr>
              <w:spacing w:before="58" w:line="223" w:lineRule="auto"/>
              <w:ind w:left="183"/>
              <w:rPr>
                <w:rFonts w:ascii="仿宋" w:hAnsi="仿宋" w:eastAsia="仿宋" w:cs="仿宋"/>
                <w:sz w:val="18"/>
                <w:szCs w:val="18"/>
              </w:rPr>
            </w:pPr>
            <w:r>
              <w:rPr>
                <w:rFonts w:ascii="仿宋" w:hAnsi="仿宋" w:eastAsia="仿宋" w:cs="仿宋"/>
                <w:spacing w:val="-6"/>
                <w:sz w:val="18"/>
                <w:szCs w:val="18"/>
              </w:rPr>
              <w:t>路基</w:t>
            </w:r>
          </w:p>
        </w:tc>
        <w:tc>
          <w:tcPr>
            <w:tcW w:w="963" w:type="dxa"/>
            <w:vAlign w:val="top"/>
          </w:tcPr>
          <w:p w14:paraId="3CB7D436">
            <w:pPr>
              <w:spacing w:line="324" w:lineRule="auto"/>
              <w:rPr>
                <w:rFonts w:ascii="Arial"/>
                <w:sz w:val="21"/>
              </w:rPr>
            </w:pPr>
          </w:p>
          <w:p w14:paraId="54FA134B">
            <w:pPr>
              <w:spacing w:line="324" w:lineRule="auto"/>
              <w:rPr>
                <w:rFonts w:ascii="Arial"/>
                <w:sz w:val="21"/>
              </w:rPr>
            </w:pPr>
          </w:p>
          <w:p w14:paraId="563E57FE">
            <w:pPr>
              <w:spacing w:before="58" w:line="223" w:lineRule="auto"/>
              <w:ind w:left="306"/>
              <w:rPr>
                <w:rFonts w:ascii="仿宋" w:hAnsi="仿宋" w:eastAsia="仿宋" w:cs="仿宋"/>
                <w:sz w:val="18"/>
                <w:szCs w:val="18"/>
              </w:rPr>
            </w:pPr>
            <w:r>
              <w:rPr>
                <w:rFonts w:ascii="仿宋" w:hAnsi="仿宋" w:eastAsia="仿宋" w:cs="仿宋"/>
                <w:spacing w:val="-6"/>
                <w:sz w:val="18"/>
                <w:szCs w:val="18"/>
              </w:rPr>
              <w:t>路左</w:t>
            </w:r>
          </w:p>
        </w:tc>
        <w:tc>
          <w:tcPr>
            <w:tcW w:w="1049" w:type="dxa"/>
            <w:vAlign w:val="top"/>
          </w:tcPr>
          <w:p w14:paraId="0B5E1C16">
            <w:pPr>
              <w:spacing w:line="341" w:lineRule="auto"/>
              <w:rPr>
                <w:rFonts w:ascii="Arial"/>
                <w:sz w:val="21"/>
              </w:rPr>
            </w:pPr>
          </w:p>
          <w:p w14:paraId="1F96A33C">
            <w:pPr>
              <w:spacing w:line="342" w:lineRule="auto"/>
              <w:rPr>
                <w:rFonts w:ascii="Arial"/>
                <w:sz w:val="21"/>
              </w:rPr>
            </w:pPr>
          </w:p>
          <w:p w14:paraId="7074EFED">
            <w:pPr>
              <w:pStyle w:val="6"/>
              <w:spacing w:before="52" w:line="188" w:lineRule="auto"/>
              <w:ind w:left="369"/>
            </w:pPr>
            <w:r>
              <w:rPr>
                <w:spacing w:val="-2"/>
              </w:rPr>
              <w:t>3.47</w:t>
            </w:r>
          </w:p>
        </w:tc>
        <w:tc>
          <w:tcPr>
            <w:tcW w:w="1050" w:type="dxa"/>
            <w:vAlign w:val="top"/>
          </w:tcPr>
          <w:p w14:paraId="0209EDED">
            <w:pPr>
              <w:spacing w:line="341" w:lineRule="auto"/>
              <w:rPr>
                <w:rFonts w:ascii="Arial"/>
                <w:sz w:val="21"/>
              </w:rPr>
            </w:pPr>
          </w:p>
          <w:p w14:paraId="4AC43A31">
            <w:pPr>
              <w:spacing w:line="342" w:lineRule="auto"/>
              <w:rPr>
                <w:rFonts w:ascii="Arial"/>
                <w:sz w:val="21"/>
              </w:rPr>
            </w:pPr>
          </w:p>
          <w:p w14:paraId="53302B72">
            <w:pPr>
              <w:pStyle w:val="6"/>
              <w:spacing w:before="52" w:line="188" w:lineRule="auto"/>
              <w:ind w:left="340"/>
            </w:pPr>
            <w:r>
              <w:rPr>
                <w:spacing w:val="-4"/>
              </w:rPr>
              <w:t>10.75</w:t>
            </w:r>
          </w:p>
        </w:tc>
        <w:tc>
          <w:tcPr>
            <w:tcW w:w="937" w:type="dxa"/>
            <w:vAlign w:val="top"/>
          </w:tcPr>
          <w:p w14:paraId="41F97ECF">
            <w:pPr>
              <w:spacing w:line="341" w:lineRule="auto"/>
              <w:rPr>
                <w:rFonts w:ascii="Arial"/>
                <w:sz w:val="21"/>
              </w:rPr>
            </w:pPr>
          </w:p>
          <w:p w14:paraId="49590BC5">
            <w:pPr>
              <w:spacing w:line="342" w:lineRule="auto"/>
              <w:rPr>
                <w:rFonts w:ascii="Arial"/>
                <w:sz w:val="21"/>
              </w:rPr>
            </w:pPr>
          </w:p>
          <w:p w14:paraId="0E2D4F80">
            <w:pPr>
              <w:pStyle w:val="6"/>
              <w:spacing w:before="52" w:line="188" w:lineRule="auto"/>
              <w:ind w:left="396"/>
            </w:pPr>
            <w:r>
              <w:rPr>
                <w:spacing w:val="-10"/>
              </w:rPr>
              <w:t>13</w:t>
            </w:r>
          </w:p>
        </w:tc>
        <w:tc>
          <w:tcPr>
            <w:tcW w:w="1087" w:type="dxa"/>
            <w:vAlign w:val="top"/>
          </w:tcPr>
          <w:p w14:paraId="3EEB40A9">
            <w:pPr>
              <w:spacing w:line="324" w:lineRule="auto"/>
              <w:rPr>
                <w:rFonts w:ascii="Arial"/>
                <w:sz w:val="21"/>
              </w:rPr>
            </w:pPr>
          </w:p>
          <w:p w14:paraId="37605DA5">
            <w:pPr>
              <w:spacing w:line="324" w:lineRule="auto"/>
              <w:rPr>
                <w:rFonts w:ascii="Arial"/>
                <w:sz w:val="21"/>
              </w:rPr>
            </w:pPr>
          </w:p>
          <w:p w14:paraId="740A4F21">
            <w:pPr>
              <w:pStyle w:val="6"/>
              <w:spacing w:before="59" w:line="224" w:lineRule="auto"/>
              <w:ind w:left="426"/>
              <w:rPr>
                <w:rFonts w:ascii="仿宋" w:hAnsi="仿宋" w:eastAsia="仿宋" w:cs="仿宋"/>
              </w:rPr>
            </w:pPr>
            <w:r>
              <w:rPr>
                <w:spacing w:val="-11"/>
              </w:rPr>
              <w:t>1</w:t>
            </w:r>
            <w:r>
              <w:rPr>
                <w:rFonts w:ascii="仿宋" w:hAnsi="仿宋" w:eastAsia="仿宋" w:cs="仿宋"/>
                <w:spacing w:val="-11"/>
              </w:rPr>
              <w:t>类</w:t>
            </w:r>
          </w:p>
        </w:tc>
        <w:tc>
          <w:tcPr>
            <w:tcW w:w="1135" w:type="dxa"/>
            <w:vAlign w:val="top"/>
          </w:tcPr>
          <w:p w14:paraId="42CCF3E8">
            <w:pPr>
              <w:spacing w:line="324" w:lineRule="auto"/>
              <w:rPr>
                <w:rFonts w:ascii="Arial"/>
                <w:sz w:val="21"/>
              </w:rPr>
            </w:pPr>
          </w:p>
          <w:p w14:paraId="2AE99636">
            <w:pPr>
              <w:spacing w:line="324" w:lineRule="auto"/>
              <w:rPr>
                <w:rFonts w:ascii="Arial"/>
                <w:sz w:val="21"/>
              </w:rPr>
            </w:pPr>
          </w:p>
          <w:p w14:paraId="32D9837D">
            <w:pPr>
              <w:pStyle w:val="6"/>
              <w:spacing w:before="58" w:line="223" w:lineRule="auto"/>
              <w:ind w:left="292"/>
              <w:rPr>
                <w:rFonts w:ascii="仿宋" w:hAnsi="仿宋" w:eastAsia="仿宋" w:cs="仿宋"/>
              </w:rPr>
            </w:pPr>
            <w:r>
              <w:rPr>
                <w:spacing w:val="-5"/>
              </w:rPr>
              <w:t>1</w:t>
            </w:r>
            <w:r>
              <w:rPr>
                <w:rFonts w:ascii="仿宋" w:hAnsi="仿宋" w:eastAsia="仿宋" w:cs="仿宋"/>
                <w:spacing w:val="-5"/>
              </w:rPr>
              <w:t>户</w:t>
            </w:r>
            <w:r>
              <w:rPr>
                <w:spacing w:val="-5"/>
              </w:rPr>
              <w:t>/3</w:t>
            </w:r>
            <w:r>
              <w:rPr>
                <w:rFonts w:ascii="仿宋" w:hAnsi="仿宋" w:eastAsia="仿宋" w:cs="仿宋"/>
                <w:spacing w:val="-5"/>
              </w:rPr>
              <w:t>人</w:t>
            </w:r>
          </w:p>
        </w:tc>
        <w:tc>
          <w:tcPr>
            <w:tcW w:w="2225" w:type="dxa"/>
            <w:vAlign w:val="top"/>
          </w:tcPr>
          <w:p w14:paraId="16CAF51B">
            <w:pPr>
              <w:spacing w:line="265" w:lineRule="auto"/>
              <w:rPr>
                <w:rFonts w:ascii="Arial"/>
                <w:sz w:val="21"/>
              </w:rPr>
            </w:pPr>
          </w:p>
          <w:p w14:paraId="59924EA7">
            <w:pPr>
              <w:spacing w:line="266" w:lineRule="auto"/>
              <w:rPr>
                <w:rFonts w:ascii="Arial"/>
                <w:sz w:val="21"/>
              </w:rPr>
            </w:pPr>
          </w:p>
          <w:p w14:paraId="7D416979">
            <w:pPr>
              <w:pStyle w:val="6"/>
              <w:spacing w:before="59"/>
              <w:ind w:left="130" w:hanging="116"/>
              <w:rPr>
                <w:rFonts w:ascii="仿宋" w:hAnsi="仿宋" w:eastAsia="仿宋" w:cs="仿宋"/>
              </w:rPr>
            </w:pPr>
            <w:r>
              <w:rPr>
                <w:rFonts w:ascii="仿宋" w:hAnsi="仿宋" w:eastAsia="仿宋" w:cs="仿宋"/>
                <w:spacing w:val="-4"/>
              </w:rPr>
              <w:t>砖混，</w:t>
            </w:r>
            <w:r>
              <w:rPr>
                <w:spacing w:val="-4"/>
              </w:rPr>
              <w:t>1</w:t>
            </w:r>
            <w:r>
              <w:rPr>
                <w:rFonts w:ascii="仿宋" w:hAnsi="仿宋" w:eastAsia="仿宋" w:cs="仿宋"/>
                <w:spacing w:val="-4"/>
              </w:rPr>
              <w:t>层平房，侧向拟建道</w:t>
            </w:r>
            <w:r>
              <w:rPr>
                <w:rFonts w:ascii="仿宋" w:hAnsi="仿宋" w:eastAsia="仿宋" w:cs="仿宋"/>
                <w:spacing w:val="-2"/>
              </w:rPr>
              <w:t>路，地势高于拟建道路。</w:t>
            </w:r>
          </w:p>
        </w:tc>
        <w:tc>
          <w:tcPr>
            <w:tcW w:w="2111" w:type="dxa"/>
            <w:vMerge w:val="restart"/>
            <w:tcBorders>
              <w:bottom w:val="nil"/>
            </w:tcBorders>
            <w:vAlign w:val="top"/>
          </w:tcPr>
          <w:p w14:paraId="501A179A">
            <w:pPr>
              <w:spacing w:before="33" w:line="6219" w:lineRule="exact"/>
              <w:ind w:firstLine="12"/>
            </w:pPr>
            <w:r>
              <w:rPr>
                <w:position w:val="-124"/>
              </w:rPr>
              <w:drawing>
                <wp:inline distT="0" distB="0" distL="0" distR="0">
                  <wp:extent cx="1247775" cy="3948430"/>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296"/>
                          <a:stretch>
                            <a:fillRect/>
                          </a:stretch>
                        </pic:blipFill>
                        <pic:spPr>
                          <a:xfrm>
                            <a:off x="0" y="0"/>
                            <a:ext cx="1248155" cy="3948683"/>
                          </a:xfrm>
                          <a:prstGeom prst="rect">
                            <a:avLst/>
                          </a:prstGeom>
                        </pic:spPr>
                      </pic:pic>
                    </a:graphicData>
                  </a:graphic>
                </wp:inline>
              </w:drawing>
            </w:r>
          </w:p>
        </w:tc>
      </w:tr>
      <w:tr w14:paraId="7D20C9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2" w:hRule="atLeast"/>
        </w:trPr>
        <w:tc>
          <w:tcPr>
            <w:tcW w:w="511" w:type="dxa"/>
            <w:vMerge w:val="restart"/>
            <w:tcBorders>
              <w:bottom w:val="nil"/>
            </w:tcBorders>
            <w:vAlign w:val="top"/>
          </w:tcPr>
          <w:p w14:paraId="11408655">
            <w:pPr>
              <w:spacing w:line="332" w:lineRule="auto"/>
              <w:rPr>
                <w:rFonts w:ascii="Arial"/>
                <w:sz w:val="21"/>
              </w:rPr>
            </w:pPr>
          </w:p>
          <w:p w14:paraId="58E3FDC4">
            <w:pPr>
              <w:spacing w:line="333" w:lineRule="auto"/>
              <w:rPr>
                <w:rFonts w:ascii="Arial"/>
                <w:sz w:val="21"/>
              </w:rPr>
            </w:pPr>
          </w:p>
          <w:p w14:paraId="5C971445">
            <w:pPr>
              <w:pStyle w:val="6"/>
              <w:spacing w:before="51" w:line="188" w:lineRule="auto"/>
              <w:ind w:left="266"/>
            </w:pPr>
            <w:r>
              <w:t>6</w:t>
            </w:r>
          </w:p>
        </w:tc>
        <w:tc>
          <w:tcPr>
            <w:tcW w:w="725" w:type="dxa"/>
            <w:vMerge w:val="restart"/>
            <w:tcBorders>
              <w:bottom w:val="nil"/>
            </w:tcBorders>
            <w:vAlign w:val="top"/>
          </w:tcPr>
          <w:p w14:paraId="6DDCCA0C">
            <w:pPr>
              <w:spacing w:line="314" w:lineRule="auto"/>
              <w:rPr>
                <w:rFonts w:ascii="Arial"/>
                <w:sz w:val="21"/>
              </w:rPr>
            </w:pPr>
          </w:p>
          <w:p w14:paraId="76446F4D">
            <w:pPr>
              <w:spacing w:line="315" w:lineRule="auto"/>
              <w:rPr>
                <w:rFonts w:ascii="Arial"/>
                <w:sz w:val="21"/>
              </w:rPr>
            </w:pPr>
          </w:p>
          <w:p w14:paraId="69C1A97A">
            <w:pPr>
              <w:spacing w:before="59" w:line="222" w:lineRule="auto"/>
              <w:ind w:left="110"/>
              <w:rPr>
                <w:rFonts w:ascii="仿宋" w:hAnsi="仿宋" w:eastAsia="仿宋" w:cs="仿宋"/>
                <w:sz w:val="18"/>
                <w:szCs w:val="18"/>
              </w:rPr>
            </w:pPr>
            <w:r>
              <w:rPr>
                <w:rFonts w:ascii="仿宋" w:hAnsi="仿宋" w:eastAsia="仿宋" w:cs="仿宋"/>
                <w:spacing w:val="-8"/>
                <w:sz w:val="18"/>
                <w:szCs w:val="18"/>
              </w:rPr>
              <w:t>陈家梁</w:t>
            </w:r>
          </w:p>
        </w:tc>
        <w:tc>
          <w:tcPr>
            <w:tcW w:w="800" w:type="dxa"/>
            <w:vMerge w:val="continue"/>
            <w:tcBorders>
              <w:top w:val="nil"/>
              <w:bottom w:val="nil"/>
            </w:tcBorders>
            <w:vAlign w:val="top"/>
          </w:tcPr>
          <w:p w14:paraId="16B91CBF">
            <w:pPr>
              <w:rPr>
                <w:rFonts w:ascii="Arial"/>
                <w:sz w:val="21"/>
              </w:rPr>
            </w:pPr>
          </w:p>
        </w:tc>
        <w:tc>
          <w:tcPr>
            <w:tcW w:w="875" w:type="dxa"/>
            <w:vMerge w:val="restart"/>
            <w:tcBorders>
              <w:bottom w:val="nil"/>
            </w:tcBorders>
            <w:vAlign w:val="top"/>
          </w:tcPr>
          <w:p w14:paraId="71B6712F">
            <w:pPr>
              <w:spacing w:line="262" w:lineRule="auto"/>
              <w:rPr>
                <w:rFonts w:ascii="Arial"/>
                <w:sz w:val="21"/>
              </w:rPr>
            </w:pPr>
          </w:p>
          <w:p w14:paraId="54753AB8">
            <w:pPr>
              <w:spacing w:line="262" w:lineRule="auto"/>
              <w:rPr>
                <w:rFonts w:ascii="Arial"/>
                <w:sz w:val="21"/>
              </w:rPr>
            </w:pPr>
          </w:p>
          <w:p w14:paraId="147A5021">
            <w:pPr>
              <w:pStyle w:val="6"/>
              <w:spacing w:before="59"/>
              <w:ind w:left="50"/>
              <w:rPr>
                <w:rFonts w:ascii="仿宋" w:hAnsi="仿宋" w:eastAsia="仿宋" w:cs="仿宋"/>
              </w:rPr>
            </w:pPr>
            <w:r>
              <w:rPr>
                <w:spacing w:val="9"/>
              </w:rPr>
              <w:t>K2+030</w:t>
            </w:r>
            <w:r>
              <w:rPr>
                <w:rFonts w:ascii="仿宋" w:hAnsi="仿宋" w:eastAsia="仿宋" w:cs="仿宋"/>
                <w:spacing w:val="9"/>
              </w:rPr>
              <w:t>~</w:t>
            </w:r>
          </w:p>
          <w:p w14:paraId="4BEA44E6">
            <w:pPr>
              <w:pStyle w:val="6"/>
              <w:spacing w:before="17" w:line="188" w:lineRule="auto"/>
              <w:ind w:left="138"/>
            </w:pPr>
            <w:r>
              <w:rPr>
                <w:spacing w:val="-1"/>
              </w:rPr>
              <w:t>K2+140</w:t>
            </w:r>
          </w:p>
        </w:tc>
        <w:tc>
          <w:tcPr>
            <w:tcW w:w="712" w:type="dxa"/>
            <w:vMerge w:val="restart"/>
            <w:tcBorders>
              <w:bottom w:val="nil"/>
            </w:tcBorders>
            <w:vAlign w:val="top"/>
          </w:tcPr>
          <w:p w14:paraId="5FA2FF10">
            <w:pPr>
              <w:spacing w:line="314" w:lineRule="auto"/>
              <w:rPr>
                <w:rFonts w:ascii="Arial"/>
                <w:sz w:val="21"/>
              </w:rPr>
            </w:pPr>
          </w:p>
          <w:p w14:paraId="6B931D5C">
            <w:pPr>
              <w:spacing w:line="315" w:lineRule="auto"/>
              <w:rPr>
                <w:rFonts w:ascii="Arial"/>
                <w:sz w:val="21"/>
              </w:rPr>
            </w:pPr>
          </w:p>
          <w:p w14:paraId="737F0513">
            <w:pPr>
              <w:spacing w:before="59" w:line="223" w:lineRule="auto"/>
              <w:ind w:left="183"/>
              <w:rPr>
                <w:rFonts w:ascii="仿宋" w:hAnsi="仿宋" w:eastAsia="仿宋" w:cs="仿宋"/>
                <w:sz w:val="18"/>
                <w:szCs w:val="18"/>
              </w:rPr>
            </w:pPr>
            <w:r>
              <w:rPr>
                <w:rFonts w:ascii="仿宋" w:hAnsi="仿宋" w:eastAsia="仿宋" w:cs="仿宋"/>
                <w:spacing w:val="-6"/>
                <w:sz w:val="18"/>
                <w:szCs w:val="18"/>
              </w:rPr>
              <w:t>路基</w:t>
            </w:r>
          </w:p>
        </w:tc>
        <w:tc>
          <w:tcPr>
            <w:tcW w:w="963" w:type="dxa"/>
            <w:vAlign w:val="top"/>
          </w:tcPr>
          <w:p w14:paraId="02CF51E5">
            <w:pPr>
              <w:spacing w:before="296" w:line="223" w:lineRule="auto"/>
              <w:ind w:left="306"/>
              <w:rPr>
                <w:rFonts w:ascii="仿宋" w:hAnsi="仿宋" w:eastAsia="仿宋" w:cs="仿宋"/>
                <w:sz w:val="18"/>
                <w:szCs w:val="18"/>
              </w:rPr>
            </w:pPr>
            <w:r>
              <w:rPr>
                <w:rFonts w:ascii="仿宋" w:hAnsi="仿宋" w:eastAsia="仿宋" w:cs="仿宋"/>
                <w:spacing w:val="-6"/>
                <w:sz w:val="18"/>
                <w:szCs w:val="18"/>
              </w:rPr>
              <w:t>路左</w:t>
            </w:r>
          </w:p>
        </w:tc>
        <w:tc>
          <w:tcPr>
            <w:tcW w:w="1049" w:type="dxa"/>
            <w:vAlign w:val="top"/>
          </w:tcPr>
          <w:p w14:paraId="04B71DC3">
            <w:pPr>
              <w:spacing w:line="271" w:lineRule="auto"/>
              <w:rPr>
                <w:rFonts w:ascii="Arial"/>
                <w:sz w:val="21"/>
              </w:rPr>
            </w:pPr>
          </w:p>
          <w:p w14:paraId="096D0344">
            <w:pPr>
              <w:pStyle w:val="6"/>
              <w:spacing w:before="52" w:line="188" w:lineRule="auto"/>
              <w:ind w:left="341"/>
            </w:pPr>
            <w:r>
              <w:rPr>
                <w:spacing w:val="-2"/>
              </w:rPr>
              <w:t>-2.18</w:t>
            </w:r>
          </w:p>
        </w:tc>
        <w:tc>
          <w:tcPr>
            <w:tcW w:w="1050" w:type="dxa"/>
            <w:vAlign w:val="top"/>
          </w:tcPr>
          <w:p w14:paraId="0212FAC2">
            <w:pPr>
              <w:spacing w:line="271" w:lineRule="auto"/>
              <w:rPr>
                <w:rFonts w:ascii="Arial"/>
                <w:sz w:val="21"/>
              </w:rPr>
            </w:pPr>
          </w:p>
          <w:p w14:paraId="7B8F820F">
            <w:pPr>
              <w:pStyle w:val="6"/>
              <w:spacing w:before="52" w:line="188" w:lineRule="auto"/>
              <w:ind w:left="371"/>
            </w:pPr>
            <w:r>
              <w:rPr>
                <w:spacing w:val="-2"/>
              </w:rPr>
              <w:t>7.25</w:t>
            </w:r>
          </w:p>
        </w:tc>
        <w:tc>
          <w:tcPr>
            <w:tcW w:w="937" w:type="dxa"/>
            <w:vAlign w:val="top"/>
          </w:tcPr>
          <w:p w14:paraId="4DD971BC">
            <w:pPr>
              <w:spacing w:line="271" w:lineRule="auto"/>
              <w:rPr>
                <w:rFonts w:ascii="Arial"/>
                <w:sz w:val="21"/>
              </w:rPr>
            </w:pPr>
          </w:p>
          <w:p w14:paraId="576965EA">
            <w:pPr>
              <w:pStyle w:val="6"/>
              <w:spacing w:before="52" w:line="188" w:lineRule="auto"/>
              <w:ind w:left="358"/>
            </w:pPr>
            <w:r>
              <w:rPr>
                <w:spacing w:val="-2"/>
              </w:rPr>
              <w:t>9.5</w:t>
            </w:r>
          </w:p>
        </w:tc>
        <w:tc>
          <w:tcPr>
            <w:tcW w:w="1087" w:type="dxa"/>
            <w:vMerge w:val="restart"/>
            <w:tcBorders>
              <w:bottom w:val="nil"/>
            </w:tcBorders>
            <w:vAlign w:val="top"/>
          </w:tcPr>
          <w:p w14:paraId="1F8864C7">
            <w:pPr>
              <w:spacing w:line="315" w:lineRule="auto"/>
              <w:rPr>
                <w:rFonts w:ascii="Arial"/>
                <w:sz w:val="21"/>
              </w:rPr>
            </w:pPr>
          </w:p>
          <w:p w14:paraId="5B04CDAC">
            <w:pPr>
              <w:spacing w:line="315" w:lineRule="auto"/>
              <w:rPr>
                <w:rFonts w:ascii="Arial"/>
                <w:sz w:val="21"/>
              </w:rPr>
            </w:pPr>
          </w:p>
          <w:p w14:paraId="408AD684">
            <w:pPr>
              <w:pStyle w:val="6"/>
              <w:spacing w:before="58" w:line="224" w:lineRule="auto"/>
              <w:ind w:left="426"/>
              <w:rPr>
                <w:rFonts w:ascii="仿宋" w:hAnsi="仿宋" w:eastAsia="仿宋" w:cs="仿宋"/>
              </w:rPr>
            </w:pPr>
            <w:r>
              <w:rPr>
                <w:spacing w:val="-11"/>
              </w:rPr>
              <w:t>1</w:t>
            </w:r>
            <w:r>
              <w:rPr>
                <w:rFonts w:ascii="仿宋" w:hAnsi="仿宋" w:eastAsia="仿宋" w:cs="仿宋"/>
                <w:spacing w:val="-11"/>
              </w:rPr>
              <w:t>类</w:t>
            </w:r>
          </w:p>
        </w:tc>
        <w:tc>
          <w:tcPr>
            <w:tcW w:w="1135" w:type="dxa"/>
            <w:vAlign w:val="top"/>
          </w:tcPr>
          <w:p w14:paraId="3230E177">
            <w:pPr>
              <w:pStyle w:val="6"/>
              <w:spacing w:before="296" w:line="223" w:lineRule="auto"/>
              <w:ind w:left="275"/>
              <w:rPr>
                <w:rFonts w:ascii="仿宋" w:hAnsi="仿宋" w:eastAsia="仿宋" w:cs="仿宋"/>
              </w:rPr>
            </w:pPr>
            <w:r>
              <w:rPr>
                <w:spacing w:val="-1"/>
              </w:rPr>
              <w:t>2</w:t>
            </w:r>
            <w:r>
              <w:rPr>
                <w:rFonts w:ascii="仿宋" w:hAnsi="仿宋" w:eastAsia="仿宋" w:cs="仿宋"/>
                <w:spacing w:val="-1"/>
              </w:rPr>
              <w:t>户</w:t>
            </w:r>
            <w:r>
              <w:rPr>
                <w:spacing w:val="-1"/>
              </w:rPr>
              <w:t>/6</w:t>
            </w:r>
            <w:r>
              <w:rPr>
                <w:rFonts w:ascii="仿宋" w:hAnsi="仿宋" w:eastAsia="仿宋" w:cs="仿宋"/>
                <w:spacing w:val="-1"/>
              </w:rPr>
              <w:t>人</w:t>
            </w:r>
          </w:p>
        </w:tc>
        <w:tc>
          <w:tcPr>
            <w:tcW w:w="2225" w:type="dxa"/>
            <w:vMerge w:val="restart"/>
            <w:tcBorders>
              <w:bottom w:val="nil"/>
            </w:tcBorders>
            <w:vAlign w:val="top"/>
          </w:tcPr>
          <w:p w14:paraId="1ED834F5">
            <w:pPr>
              <w:spacing w:line="281" w:lineRule="auto"/>
              <w:rPr>
                <w:rFonts w:ascii="Arial"/>
                <w:sz w:val="21"/>
              </w:rPr>
            </w:pPr>
          </w:p>
          <w:p w14:paraId="66B7B7D0">
            <w:pPr>
              <w:pStyle w:val="6"/>
              <w:spacing w:before="58" w:line="223" w:lineRule="auto"/>
              <w:jc w:val="right"/>
              <w:rPr>
                <w:rFonts w:ascii="仿宋" w:hAnsi="仿宋" w:eastAsia="仿宋" w:cs="仿宋"/>
              </w:rPr>
            </w:pPr>
            <w:r>
              <w:rPr>
                <w:rFonts w:ascii="仿宋" w:hAnsi="仿宋" w:eastAsia="仿宋" w:cs="仿宋"/>
                <w:spacing w:val="-4"/>
              </w:rPr>
              <w:t>砖混，</w:t>
            </w:r>
            <w:r>
              <w:rPr>
                <w:spacing w:val="-4"/>
              </w:rPr>
              <w:t>1</w:t>
            </w:r>
            <w:r>
              <w:rPr>
                <w:rFonts w:ascii="仿宋" w:hAnsi="仿宋" w:eastAsia="仿宋" w:cs="仿宋"/>
                <w:spacing w:val="-4"/>
              </w:rPr>
              <w:t>层平房，侧向拟建道</w:t>
            </w:r>
          </w:p>
          <w:p w14:paraId="07935D7F">
            <w:pPr>
              <w:spacing w:before="15" w:line="223" w:lineRule="auto"/>
              <w:ind w:left="42"/>
              <w:rPr>
                <w:rFonts w:ascii="仿宋" w:hAnsi="仿宋" w:eastAsia="仿宋" w:cs="仿宋"/>
                <w:sz w:val="18"/>
                <w:szCs w:val="18"/>
              </w:rPr>
            </w:pPr>
            <w:r>
              <w:rPr>
                <w:rFonts w:ascii="仿宋" w:hAnsi="仿宋" w:eastAsia="仿宋" w:cs="仿宋"/>
                <w:spacing w:val="-1"/>
                <w:sz w:val="18"/>
                <w:szCs w:val="18"/>
              </w:rPr>
              <w:t>路，道路右侧地面地势高于</w:t>
            </w:r>
          </w:p>
          <w:p w14:paraId="71AC45F8">
            <w:pPr>
              <w:spacing w:before="15" w:line="223" w:lineRule="auto"/>
              <w:ind w:left="43"/>
              <w:rPr>
                <w:rFonts w:ascii="仿宋" w:hAnsi="仿宋" w:eastAsia="仿宋" w:cs="仿宋"/>
                <w:sz w:val="18"/>
                <w:szCs w:val="18"/>
              </w:rPr>
            </w:pPr>
            <w:r>
              <w:rPr>
                <w:rFonts w:ascii="仿宋" w:hAnsi="仿宋" w:eastAsia="仿宋" w:cs="仿宋"/>
                <w:spacing w:val="-1"/>
                <w:sz w:val="18"/>
                <w:szCs w:val="18"/>
              </w:rPr>
              <w:t>拟建道路，左侧低于拟建道</w:t>
            </w:r>
          </w:p>
          <w:p w14:paraId="28BA022E">
            <w:pPr>
              <w:spacing w:before="17" w:line="223" w:lineRule="auto"/>
              <w:ind w:left="942"/>
              <w:rPr>
                <w:rFonts w:ascii="仿宋" w:hAnsi="仿宋" w:eastAsia="仿宋" w:cs="仿宋"/>
                <w:sz w:val="18"/>
                <w:szCs w:val="18"/>
              </w:rPr>
            </w:pPr>
            <w:r>
              <w:rPr>
                <w:rFonts w:ascii="仿宋" w:hAnsi="仿宋" w:eastAsia="仿宋" w:cs="仿宋"/>
                <w:spacing w:val="-6"/>
                <w:sz w:val="18"/>
                <w:szCs w:val="18"/>
              </w:rPr>
              <w:t>路。</w:t>
            </w:r>
          </w:p>
        </w:tc>
        <w:tc>
          <w:tcPr>
            <w:tcW w:w="2111" w:type="dxa"/>
            <w:vMerge w:val="continue"/>
            <w:tcBorders>
              <w:top w:val="nil"/>
              <w:bottom w:val="nil"/>
            </w:tcBorders>
            <w:vAlign w:val="top"/>
          </w:tcPr>
          <w:p w14:paraId="3F8EAF54">
            <w:pPr>
              <w:rPr>
                <w:rFonts w:ascii="Arial"/>
                <w:sz w:val="21"/>
              </w:rPr>
            </w:pPr>
          </w:p>
        </w:tc>
      </w:tr>
      <w:tr w14:paraId="3F3892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6" w:hRule="atLeast"/>
        </w:trPr>
        <w:tc>
          <w:tcPr>
            <w:tcW w:w="511" w:type="dxa"/>
            <w:vMerge w:val="continue"/>
            <w:tcBorders>
              <w:top w:val="nil"/>
            </w:tcBorders>
            <w:vAlign w:val="top"/>
          </w:tcPr>
          <w:p w14:paraId="0230F041">
            <w:pPr>
              <w:rPr>
                <w:rFonts w:ascii="Arial"/>
                <w:sz w:val="21"/>
              </w:rPr>
            </w:pPr>
          </w:p>
        </w:tc>
        <w:tc>
          <w:tcPr>
            <w:tcW w:w="725" w:type="dxa"/>
            <w:vMerge w:val="continue"/>
            <w:tcBorders>
              <w:top w:val="nil"/>
            </w:tcBorders>
            <w:vAlign w:val="top"/>
          </w:tcPr>
          <w:p w14:paraId="09FE0458">
            <w:pPr>
              <w:rPr>
                <w:rFonts w:ascii="Arial"/>
                <w:sz w:val="21"/>
              </w:rPr>
            </w:pPr>
          </w:p>
        </w:tc>
        <w:tc>
          <w:tcPr>
            <w:tcW w:w="800" w:type="dxa"/>
            <w:vMerge w:val="continue"/>
            <w:tcBorders>
              <w:top w:val="nil"/>
              <w:bottom w:val="nil"/>
            </w:tcBorders>
            <w:vAlign w:val="top"/>
          </w:tcPr>
          <w:p w14:paraId="0E1CA0F9">
            <w:pPr>
              <w:rPr>
                <w:rFonts w:ascii="Arial"/>
                <w:sz w:val="21"/>
              </w:rPr>
            </w:pPr>
          </w:p>
        </w:tc>
        <w:tc>
          <w:tcPr>
            <w:tcW w:w="875" w:type="dxa"/>
            <w:vMerge w:val="continue"/>
            <w:tcBorders>
              <w:top w:val="nil"/>
            </w:tcBorders>
            <w:vAlign w:val="top"/>
          </w:tcPr>
          <w:p w14:paraId="7DF25180">
            <w:pPr>
              <w:rPr>
                <w:rFonts w:ascii="Arial"/>
                <w:sz w:val="21"/>
              </w:rPr>
            </w:pPr>
          </w:p>
        </w:tc>
        <w:tc>
          <w:tcPr>
            <w:tcW w:w="712" w:type="dxa"/>
            <w:vMerge w:val="continue"/>
            <w:tcBorders>
              <w:top w:val="nil"/>
            </w:tcBorders>
            <w:vAlign w:val="top"/>
          </w:tcPr>
          <w:p w14:paraId="45DEB5BA">
            <w:pPr>
              <w:rPr>
                <w:rFonts w:ascii="Arial"/>
                <w:sz w:val="21"/>
              </w:rPr>
            </w:pPr>
          </w:p>
        </w:tc>
        <w:tc>
          <w:tcPr>
            <w:tcW w:w="963" w:type="dxa"/>
            <w:vAlign w:val="top"/>
          </w:tcPr>
          <w:p w14:paraId="4C271EE5">
            <w:pPr>
              <w:spacing w:line="243" w:lineRule="auto"/>
              <w:rPr>
                <w:rFonts w:ascii="Arial"/>
                <w:sz w:val="21"/>
              </w:rPr>
            </w:pPr>
          </w:p>
          <w:p w14:paraId="715673DA">
            <w:pPr>
              <w:spacing w:before="59" w:line="223" w:lineRule="auto"/>
              <w:ind w:left="306"/>
              <w:rPr>
                <w:rFonts w:ascii="仿宋" w:hAnsi="仿宋" w:eastAsia="仿宋" w:cs="仿宋"/>
                <w:sz w:val="18"/>
                <w:szCs w:val="18"/>
              </w:rPr>
            </w:pPr>
            <w:r>
              <w:rPr>
                <w:rFonts w:ascii="仿宋" w:hAnsi="仿宋" w:eastAsia="仿宋" w:cs="仿宋"/>
                <w:spacing w:val="-6"/>
                <w:sz w:val="18"/>
                <w:szCs w:val="18"/>
              </w:rPr>
              <w:t>路右</w:t>
            </w:r>
          </w:p>
        </w:tc>
        <w:tc>
          <w:tcPr>
            <w:tcW w:w="1049" w:type="dxa"/>
            <w:vAlign w:val="top"/>
          </w:tcPr>
          <w:p w14:paraId="7AFBAE28">
            <w:pPr>
              <w:spacing w:line="279" w:lineRule="auto"/>
              <w:rPr>
                <w:rFonts w:ascii="Arial"/>
                <w:sz w:val="21"/>
              </w:rPr>
            </w:pPr>
          </w:p>
          <w:p w14:paraId="28FBB507">
            <w:pPr>
              <w:pStyle w:val="6"/>
              <w:spacing w:before="51" w:line="188" w:lineRule="auto"/>
              <w:ind w:left="411"/>
            </w:pPr>
            <w:r>
              <w:rPr>
                <w:spacing w:val="-1"/>
              </w:rPr>
              <w:t>2.2</w:t>
            </w:r>
          </w:p>
        </w:tc>
        <w:tc>
          <w:tcPr>
            <w:tcW w:w="1050" w:type="dxa"/>
            <w:vAlign w:val="top"/>
          </w:tcPr>
          <w:p w14:paraId="6A537139">
            <w:pPr>
              <w:spacing w:line="279" w:lineRule="auto"/>
              <w:rPr>
                <w:rFonts w:ascii="Arial"/>
                <w:sz w:val="21"/>
              </w:rPr>
            </w:pPr>
          </w:p>
          <w:p w14:paraId="099AB208">
            <w:pPr>
              <w:pStyle w:val="6"/>
              <w:spacing w:before="51" w:line="188" w:lineRule="auto"/>
              <w:ind w:left="322"/>
            </w:pPr>
            <w:r>
              <w:rPr>
                <w:spacing w:val="-1"/>
              </w:rPr>
              <w:t>40.75</w:t>
            </w:r>
          </w:p>
        </w:tc>
        <w:tc>
          <w:tcPr>
            <w:tcW w:w="937" w:type="dxa"/>
            <w:vAlign w:val="top"/>
          </w:tcPr>
          <w:p w14:paraId="74C89DA7">
            <w:pPr>
              <w:spacing w:line="279" w:lineRule="auto"/>
              <w:rPr>
                <w:rFonts w:ascii="Arial"/>
                <w:sz w:val="21"/>
              </w:rPr>
            </w:pPr>
          </w:p>
          <w:p w14:paraId="0AC4817B">
            <w:pPr>
              <w:pStyle w:val="6"/>
              <w:spacing w:before="51" w:line="188" w:lineRule="auto"/>
              <w:ind w:left="311"/>
            </w:pPr>
            <w:r>
              <w:rPr>
                <w:spacing w:val="-1"/>
              </w:rPr>
              <w:t>43.0</w:t>
            </w:r>
          </w:p>
        </w:tc>
        <w:tc>
          <w:tcPr>
            <w:tcW w:w="1087" w:type="dxa"/>
            <w:vMerge w:val="continue"/>
            <w:tcBorders>
              <w:top w:val="nil"/>
            </w:tcBorders>
            <w:vAlign w:val="top"/>
          </w:tcPr>
          <w:p w14:paraId="34A439BA">
            <w:pPr>
              <w:rPr>
                <w:rFonts w:ascii="Arial"/>
                <w:sz w:val="21"/>
              </w:rPr>
            </w:pPr>
          </w:p>
        </w:tc>
        <w:tc>
          <w:tcPr>
            <w:tcW w:w="1135" w:type="dxa"/>
            <w:vAlign w:val="top"/>
          </w:tcPr>
          <w:p w14:paraId="2D803B1F">
            <w:pPr>
              <w:spacing w:line="243" w:lineRule="auto"/>
              <w:rPr>
                <w:rFonts w:ascii="Arial"/>
                <w:sz w:val="21"/>
              </w:rPr>
            </w:pPr>
          </w:p>
          <w:p w14:paraId="06DDAFF6">
            <w:pPr>
              <w:pStyle w:val="6"/>
              <w:spacing w:before="59" w:line="223" w:lineRule="auto"/>
              <w:ind w:left="233"/>
              <w:rPr>
                <w:rFonts w:ascii="仿宋" w:hAnsi="仿宋" w:eastAsia="仿宋" w:cs="仿宋"/>
              </w:rPr>
            </w:pPr>
            <w:r>
              <w:rPr>
                <w:spacing w:val="-2"/>
              </w:rPr>
              <w:t>3</w:t>
            </w:r>
            <w:r>
              <w:rPr>
                <w:rFonts w:ascii="仿宋" w:hAnsi="仿宋" w:eastAsia="仿宋" w:cs="仿宋"/>
                <w:spacing w:val="-2"/>
              </w:rPr>
              <w:t>户</w:t>
            </w:r>
            <w:r>
              <w:rPr>
                <w:spacing w:val="-2"/>
              </w:rPr>
              <w:t>/11</w:t>
            </w:r>
            <w:r>
              <w:rPr>
                <w:rFonts w:ascii="仿宋" w:hAnsi="仿宋" w:eastAsia="仿宋" w:cs="仿宋"/>
                <w:spacing w:val="-2"/>
              </w:rPr>
              <w:t>人</w:t>
            </w:r>
          </w:p>
        </w:tc>
        <w:tc>
          <w:tcPr>
            <w:tcW w:w="2225" w:type="dxa"/>
            <w:vMerge w:val="continue"/>
            <w:tcBorders>
              <w:top w:val="nil"/>
            </w:tcBorders>
            <w:vAlign w:val="top"/>
          </w:tcPr>
          <w:p w14:paraId="7A686F32">
            <w:pPr>
              <w:rPr>
                <w:rFonts w:ascii="Arial"/>
                <w:sz w:val="21"/>
              </w:rPr>
            </w:pPr>
          </w:p>
        </w:tc>
        <w:tc>
          <w:tcPr>
            <w:tcW w:w="2111" w:type="dxa"/>
            <w:vMerge w:val="continue"/>
            <w:tcBorders>
              <w:top w:val="nil"/>
              <w:bottom w:val="nil"/>
            </w:tcBorders>
            <w:vAlign w:val="top"/>
          </w:tcPr>
          <w:p w14:paraId="1EAD3004">
            <w:pPr>
              <w:rPr>
                <w:rFonts w:ascii="Arial"/>
                <w:sz w:val="21"/>
              </w:rPr>
            </w:pPr>
          </w:p>
        </w:tc>
      </w:tr>
      <w:tr w14:paraId="314DB9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54" w:hRule="atLeast"/>
        </w:trPr>
        <w:tc>
          <w:tcPr>
            <w:tcW w:w="511" w:type="dxa"/>
            <w:vAlign w:val="top"/>
          </w:tcPr>
          <w:p w14:paraId="271EEDE8">
            <w:pPr>
              <w:spacing w:line="357" w:lineRule="auto"/>
              <w:rPr>
                <w:rFonts w:ascii="Arial"/>
                <w:sz w:val="21"/>
              </w:rPr>
            </w:pPr>
          </w:p>
          <w:p w14:paraId="2121AD50">
            <w:pPr>
              <w:spacing w:line="357" w:lineRule="auto"/>
              <w:rPr>
                <w:rFonts w:ascii="Arial"/>
                <w:sz w:val="21"/>
              </w:rPr>
            </w:pPr>
          </w:p>
          <w:p w14:paraId="42BCE51B">
            <w:pPr>
              <w:pStyle w:val="6"/>
              <w:spacing w:before="52" w:line="185" w:lineRule="auto"/>
              <w:ind w:left="265"/>
            </w:pPr>
            <w:r>
              <w:t>7</w:t>
            </w:r>
          </w:p>
        </w:tc>
        <w:tc>
          <w:tcPr>
            <w:tcW w:w="725" w:type="dxa"/>
            <w:vAlign w:val="top"/>
          </w:tcPr>
          <w:p w14:paraId="42749DFE">
            <w:pPr>
              <w:spacing w:line="279" w:lineRule="auto"/>
              <w:rPr>
                <w:rFonts w:ascii="Arial"/>
                <w:sz w:val="21"/>
              </w:rPr>
            </w:pPr>
          </w:p>
          <w:p w14:paraId="04BEACF6">
            <w:pPr>
              <w:spacing w:line="280" w:lineRule="auto"/>
              <w:rPr>
                <w:rFonts w:ascii="Arial"/>
                <w:sz w:val="21"/>
              </w:rPr>
            </w:pPr>
          </w:p>
          <w:p w14:paraId="5B4CFD27">
            <w:pPr>
              <w:pStyle w:val="6"/>
              <w:spacing w:before="58"/>
              <w:ind w:left="142" w:right="91" w:hanging="40"/>
            </w:pPr>
            <w:r>
              <w:rPr>
                <w:rFonts w:ascii="仿宋" w:hAnsi="仿宋" w:eastAsia="仿宋" w:cs="仿宋"/>
                <w:spacing w:val="-5"/>
              </w:rPr>
              <w:t>大圪梁</w:t>
            </w:r>
            <w:r>
              <w:rPr>
                <w:rFonts w:ascii="仿宋" w:hAnsi="仿宋" w:eastAsia="仿宋" w:cs="仿宋"/>
                <w:spacing w:val="-4"/>
              </w:rPr>
              <w:t>散户</w:t>
            </w:r>
            <w:r>
              <w:rPr>
                <w:spacing w:val="-4"/>
              </w:rPr>
              <w:t>1</w:t>
            </w:r>
          </w:p>
        </w:tc>
        <w:tc>
          <w:tcPr>
            <w:tcW w:w="800" w:type="dxa"/>
            <w:vMerge w:val="continue"/>
            <w:tcBorders>
              <w:top w:val="nil"/>
              <w:bottom w:val="nil"/>
            </w:tcBorders>
            <w:vAlign w:val="top"/>
          </w:tcPr>
          <w:p w14:paraId="65AD3FAA">
            <w:pPr>
              <w:rPr>
                <w:rFonts w:ascii="Arial"/>
                <w:sz w:val="21"/>
              </w:rPr>
            </w:pPr>
          </w:p>
        </w:tc>
        <w:tc>
          <w:tcPr>
            <w:tcW w:w="875" w:type="dxa"/>
            <w:vAlign w:val="top"/>
          </w:tcPr>
          <w:p w14:paraId="76F365E9">
            <w:pPr>
              <w:spacing w:line="285" w:lineRule="auto"/>
              <w:rPr>
                <w:rFonts w:ascii="Arial"/>
                <w:sz w:val="21"/>
              </w:rPr>
            </w:pPr>
          </w:p>
          <w:p w14:paraId="5C4A3057">
            <w:pPr>
              <w:spacing w:line="286" w:lineRule="auto"/>
              <w:rPr>
                <w:rFonts w:ascii="Arial"/>
                <w:sz w:val="21"/>
              </w:rPr>
            </w:pPr>
          </w:p>
          <w:p w14:paraId="7B53E196">
            <w:pPr>
              <w:pStyle w:val="6"/>
              <w:spacing w:before="59"/>
              <w:ind w:left="50"/>
              <w:rPr>
                <w:rFonts w:ascii="仿宋" w:hAnsi="仿宋" w:eastAsia="仿宋" w:cs="仿宋"/>
              </w:rPr>
            </w:pPr>
            <w:r>
              <w:rPr>
                <w:spacing w:val="9"/>
              </w:rPr>
              <w:t>K3+360</w:t>
            </w:r>
            <w:r>
              <w:rPr>
                <w:rFonts w:ascii="仿宋" w:hAnsi="仿宋" w:eastAsia="仿宋" w:cs="仿宋"/>
                <w:spacing w:val="9"/>
              </w:rPr>
              <w:t>~</w:t>
            </w:r>
          </w:p>
          <w:p w14:paraId="4527FBE2">
            <w:pPr>
              <w:pStyle w:val="6"/>
              <w:spacing w:before="17" w:line="188" w:lineRule="auto"/>
              <w:ind w:left="138"/>
            </w:pPr>
            <w:r>
              <w:rPr>
                <w:spacing w:val="-1"/>
              </w:rPr>
              <w:t>K3+690</w:t>
            </w:r>
          </w:p>
        </w:tc>
        <w:tc>
          <w:tcPr>
            <w:tcW w:w="712" w:type="dxa"/>
            <w:vAlign w:val="top"/>
          </w:tcPr>
          <w:p w14:paraId="21A0B551">
            <w:pPr>
              <w:spacing w:line="338" w:lineRule="auto"/>
              <w:rPr>
                <w:rFonts w:ascii="Arial"/>
                <w:sz w:val="21"/>
              </w:rPr>
            </w:pPr>
          </w:p>
          <w:p w14:paraId="14F30269">
            <w:pPr>
              <w:spacing w:line="338" w:lineRule="auto"/>
              <w:rPr>
                <w:rFonts w:ascii="Arial"/>
                <w:sz w:val="21"/>
              </w:rPr>
            </w:pPr>
          </w:p>
          <w:p w14:paraId="2C3B0D16">
            <w:pPr>
              <w:spacing w:before="59" w:line="223" w:lineRule="auto"/>
              <w:ind w:left="183"/>
              <w:rPr>
                <w:rFonts w:ascii="仿宋" w:hAnsi="仿宋" w:eastAsia="仿宋" w:cs="仿宋"/>
                <w:sz w:val="18"/>
                <w:szCs w:val="18"/>
              </w:rPr>
            </w:pPr>
            <w:r>
              <w:rPr>
                <w:rFonts w:ascii="仿宋" w:hAnsi="仿宋" w:eastAsia="仿宋" w:cs="仿宋"/>
                <w:spacing w:val="-6"/>
                <w:sz w:val="18"/>
                <w:szCs w:val="18"/>
              </w:rPr>
              <w:t>路基</w:t>
            </w:r>
          </w:p>
        </w:tc>
        <w:tc>
          <w:tcPr>
            <w:tcW w:w="963" w:type="dxa"/>
            <w:vAlign w:val="top"/>
          </w:tcPr>
          <w:p w14:paraId="091438F2">
            <w:pPr>
              <w:spacing w:line="338" w:lineRule="auto"/>
              <w:rPr>
                <w:rFonts w:ascii="Arial"/>
                <w:sz w:val="21"/>
              </w:rPr>
            </w:pPr>
          </w:p>
          <w:p w14:paraId="4ECB7555">
            <w:pPr>
              <w:spacing w:line="338" w:lineRule="auto"/>
              <w:rPr>
                <w:rFonts w:ascii="Arial"/>
                <w:sz w:val="21"/>
              </w:rPr>
            </w:pPr>
          </w:p>
          <w:p w14:paraId="6B49204A">
            <w:pPr>
              <w:spacing w:before="59" w:line="223" w:lineRule="auto"/>
              <w:ind w:left="306"/>
              <w:rPr>
                <w:rFonts w:ascii="仿宋" w:hAnsi="仿宋" w:eastAsia="仿宋" w:cs="仿宋"/>
                <w:sz w:val="18"/>
                <w:szCs w:val="18"/>
              </w:rPr>
            </w:pPr>
            <w:r>
              <w:rPr>
                <w:rFonts w:ascii="仿宋" w:hAnsi="仿宋" w:eastAsia="仿宋" w:cs="仿宋"/>
                <w:spacing w:val="-6"/>
                <w:sz w:val="18"/>
                <w:szCs w:val="18"/>
              </w:rPr>
              <w:t>路左</w:t>
            </w:r>
          </w:p>
        </w:tc>
        <w:tc>
          <w:tcPr>
            <w:tcW w:w="1049" w:type="dxa"/>
            <w:vAlign w:val="top"/>
          </w:tcPr>
          <w:p w14:paraId="1366D37F">
            <w:pPr>
              <w:spacing w:line="355" w:lineRule="auto"/>
              <w:rPr>
                <w:rFonts w:ascii="Arial"/>
                <w:sz w:val="21"/>
              </w:rPr>
            </w:pPr>
          </w:p>
          <w:p w14:paraId="28211032">
            <w:pPr>
              <w:spacing w:line="356" w:lineRule="auto"/>
              <w:rPr>
                <w:rFonts w:ascii="Arial"/>
                <w:sz w:val="21"/>
              </w:rPr>
            </w:pPr>
          </w:p>
          <w:p w14:paraId="4AAE1A96">
            <w:pPr>
              <w:pStyle w:val="6"/>
              <w:spacing w:before="52" w:line="188" w:lineRule="auto"/>
              <w:ind w:left="384"/>
            </w:pPr>
            <w:r>
              <w:rPr>
                <w:spacing w:val="-2"/>
              </w:rPr>
              <w:t>-8.</w:t>
            </w:r>
            <w:r>
              <w:rPr>
                <w:spacing w:val="-23"/>
              </w:rPr>
              <w:t xml:space="preserve"> </w:t>
            </w:r>
            <w:r>
              <w:rPr>
                <w:spacing w:val="-2"/>
              </w:rPr>
              <w:t>1</w:t>
            </w:r>
          </w:p>
        </w:tc>
        <w:tc>
          <w:tcPr>
            <w:tcW w:w="1050" w:type="dxa"/>
            <w:vAlign w:val="top"/>
          </w:tcPr>
          <w:p w14:paraId="1131990B">
            <w:pPr>
              <w:spacing w:line="355" w:lineRule="auto"/>
              <w:rPr>
                <w:rFonts w:ascii="Arial"/>
                <w:sz w:val="21"/>
              </w:rPr>
            </w:pPr>
          </w:p>
          <w:p w14:paraId="3B7927A7">
            <w:pPr>
              <w:spacing w:line="356" w:lineRule="auto"/>
              <w:rPr>
                <w:rFonts w:ascii="Arial"/>
                <w:sz w:val="21"/>
              </w:rPr>
            </w:pPr>
          </w:p>
          <w:p w14:paraId="6B0E6136">
            <w:pPr>
              <w:pStyle w:val="6"/>
              <w:spacing w:before="52" w:line="188" w:lineRule="auto"/>
              <w:ind w:left="326"/>
            </w:pPr>
            <w:r>
              <w:rPr>
                <w:spacing w:val="-2"/>
              </w:rPr>
              <w:t>39.75</w:t>
            </w:r>
          </w:p>
        </w:tc>
        <w:tc>
          <w:tcPr>
            <w:tcW w:w="937" w:type="dxa"/>
            <w:vAlign w:val="top"/>
          </w:tcPr>
          <w:p w14:paraId="7CBBED60">
            <w:pPr>
              <w:spacing w:line="356" w:lineRule="auto"/>
              <w:rPr>
                <w:rFonts w:ascii="Arial"/>
                <w:sz w:val="21"/>
              </w:rPr>
            </w:pPr>
          </w:p>
          <w:p w14:paraId="2BD40626">
            <w:pPr>
              <w:spacing w:line="356" w:lineRule="auto"/>
              <w:rPr>
                <w:rFonts w:ascii="Arial"/>
                <w:sz w:val="21"/>
              </w:rPr>
            </w:pPr>
          </w:p>
          <w:p w14:paraId="19131D4D">
            <w:pPr>
              <w:pStyle w:val="6"/>
              <w:spacing w:before="51" w:line="188" w:lineRule="auto"/>
              <w:ind w:left="378"/>
            </w:pPr>
            <w:r>
              <w:rPr>
                <w:spacing w:val="-1"/>
              </w:rPr>
              <w:t>42</w:t>
            </w:r>
          </w:p>
        </w:tc>
        <w:tc>
          <w:tcPr>
            <w:tcW w:w="1087" w:type="dxa"/>
            <w:vAlign w:val="top"/>
          </w:tcPr>
          <w:p w14:paraId="33D0B276">
            <w:pPr>
              <w:spacing w:line="338" w:lineRule="auto"/>
              <w:rPr>
                <w:rFonts w:ascii="Arial"/>
                <w:sz w:val="21"/>
              </w:rPr>
            </w:pPr>
          </w:p>
          <w:p w14:paraId="699A71B6">
            <w:pPr>
              <w:spacing w:line="338" w:lineRule="auto"/>
              <w:rPr>
                <w:rFonts w:ascii="Arial"/>
                <w:sz w:val="21"/>
              </w:rPr>
            </w:pPr>
          </w:p>
          <w:p w14:paraId="1AA084D4">
            <w:pPr>
              <w:pStyle w:val="6"/>
              <w:spacing w:before="59" w:line="224" w:lineRule="auto"/>
              <w:ind w:left="426"/>
              <w:rPr>
                <w:rFonts w:ascii="仿宋" w:hAnsi="仿宋" w:eastAsia="仿宋" w:cs="仿宋"/>
              </w:rPr>
            </w:pPr>
            <w:r>
              <w:rPr>
                <w:spacing w:val="-11"/>
              </w:rPr>
              <w:t>1</w:t>
            </w:r>
            <w:r>
              <w:rPr>
                <w:rFonts w:ascii="仿宋" w:hAnsi="仿宋" w:eastAsia="仿宋" w:cs="仿宋"/>
                <w:spacing w:val="-11"/>
              </w:rPr>
              <w:t>类</w:t>
            </w:r>
          </w:p>
        </w:tc>
        <w:tc>
          <w:tcPr>
            <w:tcW w:w="1135" w:type="dxa"/>
            <w:vAlign w:val="top"/>
          </w:tcPr>
          <w:p w14:paraId="7C09D7D5">
            <w:pPr>
              <w:spacing w:line="338" w:lineRule="auto"/>
              <w:rPr>
                <w:rFonts w:ascii="Arial"/>
                <w:sz w:val="21"/>
              </w:rPr>
            </w:pPr>
          </w:p>
          <w:p w14:paraId="628B2563">
            <w:pPr>
              <w:spacing w:line="338" w:lineRule="auto"/>
              <w:rPr>
                <w:rFonts w:ascii="Arial"/>
                <w:sz w:val="21"/>
              </w:rPr>
            </w:pPr>
          </w:p>
          <w:p w14:paraId="478878B4">
            <w:pPr>
              <w:pStyle w:val="6"/>
              <w:spacing w:before="59" w:line="223" w:lineRule="auto"/>
              <w:ind w:left="275"/>
              <w:rPr>
                <w:rFonts w:ascii="仿宋" w:hAnsi="仿宋" w:eastAsia="仿宋" w:cs="仿宋"/>
              </w:rPr>
            </w:pPr>
            <w:r>
              <w:rPr>
                <w:spacing w:val="-1"/>
              </w:rPr>
              <w:t>2</w:t>
            </w:r>
            <w:r>
              <w:rPr>
                <w:rFonts w:ascii="仿宋" w:hAnsi="仿宋" w:eastAsia="仿宋" w:cs="仿宋"/>
                <w:spacing w:val="-1"/>
              </w:rPr>
              <w:t>户</w:t>
            </w:r>
            <w:r>
              <w:rPr>
                <w:spacing w:val="-1"/>
              </w:rPr>
              <w:t>/5</w:t>
            </w:r>
            <w:r>
              <w:rPr>
                <w:rFonts w:ascii="仿宋" w:hAnsi="仿宋" w:eastAsia="仿宋" w:cs="仿宋"/>
                <w:spacing w:val="-1"/>
              </w:rPr>
              <w:t>人</w:t>
            </w:r>
          </w:p>
        </w:tc>
        <w:tc>
          <w:tcPr>
            <w:tcW w:w="2225" w:type="dxa"/>
            <w:vAlign w:val="top"/>
          </w:tcPr>
          <w:p w14:paraId="266F043A">
            <w:pPr>
              <w:spacing w:line="442" w:lineRule="auto"/>
              <w:rPr>
                <w:rFonts w:ascii="Arial"/>
                <w:sz w:val="21"/>
              </w:rPr>
            </w:pPr>
          </w:p>
          <w:p w14:paraId="3B169B13">
            <w:pPr>
              <w:pStyle w:val="6"/>
              <w:spacing w:before="59" w:line="223" w:lineRule="auto"/>
              <w:jc w:val="right"/>
              <w:rPr>
                <w:rFonts w:ascii="仿宋" w:hAnsi="仿宋" w:eastAsia="仿宋" w:cs="仿宋"/>
              </w:rPr>
            </w:pPr>
            <w:r>
              <w:rPr>
                <w:rFonts w:ascii="仿宋" w:hAnsi="仿宋" w:eastAsia="仿宋" w:cs="仿宋"/>
                <w:spacing w:val="-4"/>
              </w:rPr>
              <w:t>砖混，</w:t>
            </w:r>
            <w:r>
              <w:rPr>
                <w:spacing w:val="-4"/>
              </w:rPr>
              <w:t>1</w:t>
            </w:r>
            <w:r>
              <w:rPr>
                <w:rFonts w:ascii="仿宋" w:hAnsi="仿宋" w:eastAsia="仿宋" w:cs="仿宋"/>
                <w:spacing w:val="-4"/>
              </w:rPr>
              <w:t>层平房，侧向拟建道</w:t>
            </w:r>
          </w:p>
          <w:p w14:paraId="0E29C8AA">
            <w:pPr>
              <w:spacing w:before="15" w:line="223" w:lineRule="auto"/>
              <w:ind w:left="42"/>
              <w:rPr>
                <w:rFonts w:ascii="仿宋" w:hAnsi="仿宋" w:eastAsia="仿宋" w:cs="仿宋"/>
                <w:sz w:val="18"/>
                <w:szCs w:val="18"/>
              </w:rPr>
            </w:pPr>
            <w:r>
              <w:rPr>
                <w:rFonts w:ascii="仿宋" w:hAnsi="仿宋" w:eastAsia="仿宋" w:cs="仿宋"/>
                <w:spacing w:val="-1"/>
                <w:sz w:val="18"/>
                <w:szCs w:val="18"/>
              </w:rPr>
              <w:t>路，道路左侧地面地势低于</w:t>
            </w:r>
          </w:p>
          <w:p w14:paraId="71C87860">
            <w:pPr>
              <w:spacing w:before="15" w:line="223" w:lineRule="auto"/>
              <w:ind w:left="672"/>
              <w:rPr>
                <w:rFonts w:ascii="仿宋" w:hAnsi="仿宋" w:eastAsia="仿宋" w:cs="仿宋"/>
                <w:sz w:val="18"/>
                <w:szCs w:val="18"/>
              </w:rPr>
            </w:pPr>
            <w:r>
              <w:rPr>
                <w:rFonts w:ascii="仿宋" w:hAnsi="仿宋" w:eastAsia="仿宋" w:cs="仿宋"/>
                <w:spacing w:val="-3"/>
                <w:sz w:val="18"/>
                <w:szCs w:val="18"/>
              </w:rPr>
              <w:t>拟建道路。</w:t>
            </w:r>
          </w:p>
        </w:tc>
        <w:tc>
          <w:tcPr>
            <w:tcW w:w="2111" w:type="dxa"/>
            <w:vMerge w:val="continue"/>
            <w:tcBorders>
              <w:top w:val="nil"/>
              <w:bottom w:val="nil"/>
            </w:tcBorders>
            <w:vAlign w:val="top"/>
          </w:tcPr>
          <w:p w14:paraId="675C3423">
            <w:pPr>
              <w:rPr>
                <w:rFonts w:ascii="Arial"/>
                <w:sz w:val="21"/>
              </w:rPr>
            </w:pPr>
          </w:p>
        </w:tc>
      </w:tr>
      <w:tr w14:paraId="1C90E5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4" w:hRule="atLeast"/>
        </w:trPr>
        <w:tc>
          <w:tcPr>
            <w:tcW w:w="511" w:type="dxa"/>
            <w:vAlign w:val="top"/>
          </w:tcPr>
          <w:p w14:paraId="7ACA71C4">
            <w:pPr>
              <w:spacing w:line="311" w:lineRule="auto"/>
              <w:rPr>
                <w:rFonts w:ascii="Arial"/>
                <w:sz w:val="21"/>
              </w:rPr>
            </w:pPr>
          </w:p>
          <w:p w14:paraId="21F53C21">
            <w:pPr>
              <w:spacing w:line="312" w:lineRule="auto"/>
              <w:rPr>
                <w:rFonts w:ascii="Arial"/>
                <w:sz w:val="21"/>
              </w:rPr>
            </w:pPr>
          </w:p>
          <w:p w14:paraId="4CDD9B39">
            <w:pPr>
              <w:pStyle w:val="6"/>
              <w:spacing w:before="51" w:line="188" w:lineRule="auto"/>
              <w:ind w:left="269"/>
            </w:pPr>
            <w:r>
              <w:t>8</w:t>
            </w:r>
          </w:p>
        </w:tc>
        <w:tc>
          <w:tcPr>
            <w:tcW w:w="725" w:type="dxa"/>
            <w:vAlign w:val="top"/>
          </w:tcPr>
          <w:p w14:paraId="4329E478">
            <w:pPr>
              <w:spacing w:line="470" w:lineRule="auto"/>
              <w:rPr>
                <w:rFonts w:ascii="Arial"/>
                <w:sz w:val="21"/>
              </w:rPr>
            </w:pPr>
          </w:p>
          <w:p w14:paraId="7309556E">
            <w:pPr>
              <w:pStyle w:val="6"/>
              <w:spacing w:before="58"/>
              <w:ind w:left="142" w:right="91" w:hanging="40"/>
            </w:pPr>
            <w:r>
              <w:rPr>
                <w:rFonts w:ascii="仿宋" w:hAnsi="仿宋" w:eastAsia="仿宋" w:cs="仿宋"/>
                <w:spacing w:val="-5"/>
              </w:rPr>
              <w:t>大圪梁</w:t>
            </w:r>
            <w:r>
              <w:rPr>
                <w:rFonts w:ascii="仿宋" w:hAnsi="仿宋" w:eastAsia="仿宋" w:cs="仿宋"/>
                <w:spacing w:val="-4"/>
              </w:rPr>
              <w:t>散户</w:t>
            </w:r>
            <w:r>
              <w:rPr>
                <w:spacing w:val="-4"/>
              </w:rPr>
              <w:t>2</w:t>
            </w:r>
          </w:p>
        </w:tc>
        <w:tc>
          <w:tcPr>
            <w:tcW w:w="800" w:type="dxa"/>
            <w:vMerge w:val="continue"/>
            <w:tcBorders>
              <w:top w:val="nil"/>
            </w:tcBorders>
            <w:vAlign w:val="top"/>
          </w:tcPr>
          <w:p w14:paraId="4CDA488A">
            <w:pPr>
              <w:rPr>
                <w:rFonts w:ascii="Arial"/>
                <w:sz w:val="21"/>
              </w:rPr>
            </w:pPr>
          </w:p>
        </w:tc>
        <w:tc>
          <w:tcPr>
            <w:tcW w:w="875" w:type="dxa"/>
            <w:vAlign w:val="top"/>
          </w:tcPr>
          <w:p w14:paraId="5DCB278D">
            <w:pPr>
              <w:spacing w:line="311" w:lineRule="auto"/>
              <w:rPr>
                <w:rFonts w:ascii="Arial"/>
                <w:sz w:val="21"/>
              </w:rPr>
            </w:pPr>
          </w:p>
          <w:p w14:paraId="0B3DC275">
            <w:pPr>
              <w:spacing w:line="312" w:lineRule="auto"/>
              <w:rPr>
                <w:rFonts w:ascii="Arial"/>
                <w:sz w:val="21"/>
              </w:rPr>
            </w:pPr>
          </w:p>
          <w:p w14:paraId="41A0ACAE">
            <w:pPr>
              <w:pStyle w:val="6"/>
              <w:spacing w:before="51" w:line="188" w:lineRule="auto"/>
              <w:ind w:left="138"/>
            </w:pPr>
            <w:r>
              <w:rPr>
                <w:spacing w:val="-1"/>
              </w:rPr>
              <w:t>K4+150</w:t>
            </w:r>
          </w:p>
        </w:tc>
        <w:tc>
          <w:tcPr>
            <w:tcW w:w="712" w:type="dxa"/>
            <w:vAlign w:val="top"/>
          </w:tcPr>
          <w:p w14:paraId="0C410F2D">
            <w:pPr>
              <w:spacing w:line="293" w:lineRule="auto"/>
              <w:rPr>
                <w:rFonts w:ascii="Arial"/>
                <w:sz w:val="21"/>
              </w:rPr>
            </w:pPr>
          </w:p>
          <w:p w14:paraId="59FE5E11">
            <w:pPr>
              <w:spacing w:line="294" w:lineRule="auto"/>
              <w:rPr>
                <w:rFonts w:ascii="Arial"/>
                <w:sz w:val="21"/>
              </w:rPr>
            </w:pPr>
          </w:p>
          <w:p w14:paraId="61D639AE">
            <w:pPr>
              <w:spacing w:before="59" w:line="223" w:lineRule="auto"/>
              <w:ind w:left="183"/>
              <w:rPr>
                <w:rFonts w:ascii="仿宋" w:hAnsi="仿宋" w:eastAsia="仿宋" w:cs="仿宋"/>
                <w:sz w:val="18"/>
                <w:szCs w:val="18"/>
              </w:rPr>
            </w:pPr>
            <w:r>
              <w:rPr>
                <w:rFonts w:ascii="仿宋" w:hAnsi="仿宋" w:eastAsia="仿宋" w:cs="仿宋"/>
                <w:spacing w:val="-6"/>
                <w:sz w:val="18"/>
                <w:szCs w:val="18"/>
              </w:rPr>
              <w:t>路基</w:t>
            </w:r>
          </w:p>
        </w:tc>
        <w:tc>
          <w:tcPr>
            <w:tcW w:w="963" w:type="dxa"/>
            <w:vAlign w:val="top"/>
          </w:tcPr>
          <w:p w14:paraId="75F3834D">
            <w:pPr>
              <w:spacing w:line="293" w:lineRule="auto"/>
              <w:rPr>
                <w:rFonts w:ascii="Arial"/>
                <w:sz w:val="21"/>
              </w:rPr>
            </w:pPr>
          </w:p>
          <w:p w14:paraId="4C96DA8C">
            <w:pPr>
              <w:spacing w:line="294" w:lineRule="auto"/>
              <w:rPr>
                <w:rFonts w:ascii="Arial"/>
                <w:sz w:val="21"/>
              </w:rPr>
            </w:pPr>
          </w:p>
          <w:p w14:paraId="1A5303A7">
            <w:pPr>
              <w:spacing w:before="59" w:line="223" w:lineRule="auto"/>
              <w:ind w:left="306"/>
              <w:rPr>
                <w:rFonts w:ascii="仿宋" w:hAnsi="仿宋" w:eastAsia="仿宋" w:cs="仿宋"/>
                <w:sz w:val="18"/>
                <w:szCs w:val="18"/>
              </w:rPr>
            </w:pPr>
            <w:r>
              <w:rPr>
                <w:rFonts w:ascii="仿宋" w:hAnsi="仿宋" w:eastAsia="仿宋" w:cs="仿宋"/>
                <w:spacing w:val="-6"/>
                <w:sz w:val="18"/>
                <w:szCs w:val="18"/>
              </w:rPr>
              <w:t>路右</w:t>
            </w:r>
          </w:p>
        </w:tc>
        <w:tc>
          <w:tcPr>
            <w:tcW w:w="1049" w:type="dxa"/>
            <w:vAlign w:val="top"/>
          </w:tcPr>
          <w:p w14:paraId="12FA0438">
            <w:pPr>
              <w:spacing w:line="311" w:lineRule="auto"/>
              <w:rPr>
                <w:rFonts w:ascii="Arial"/>
                <w:sz w:val="21"/>
              </w:rPr>
            </w:pPr>
          </w:p>
          <w:p w14:paraId="7A338F22">
            <w:pPr>
              <w:spacing w:line="312" w:lineRule="auto"/>
              <w:rPr>
                <w:rFonts w:ascii="Arial"/>
                <w:sz w:val="21"/>
              </w:rPr>
            </w:pPr>
          </w:p>
          <w:p w14:paraId="4CD417D9">
            <w:pPr>
              <w:pStyle w:val="6"/>
              <w:spacing w:before="51" w:line="188" w:lineRule="auto"/>
              <w:ind w:left="341"/>
            </w:pPr>
            <w:r>
              <w:rPr>
                <w:spacing w:val="-2"/>
              </w:rPr>
              <w:t>-4.14</w:t>
            </w:r>
          </w:p>
        </w:tc>
        <w:tc>
          <w:tcPr>
            <w:tcW w:w="1050" w:type="dxa"/>
            <w:vAlign w:val="top"/>
          </w:tcPr>
          <w:p w14:paraId="06501002">
            <w:pPr>
              <w:spacing w:line="311" w:lineRule="auto"/>
              <w:rPr>
                <w:rFonts w:ascii="Arial"/>
                <w:sz w:val="21"/>
              </w:rPr>
            </w:pPr>
          </w:p>
          <w:p w14:paraId="20E100BE">
            <w:pPr>
              <w:spacing w:line="312" w:lineRule="auto"/>
              <w:rPr>
                <w:rFonts w:ascii="Arial"/>
                <w:sz w:val="21"/>
              </w:rPr>
            </w:pPr>
          </w:p>
          <w:p w14:paraId="40530C12">
            <w:pPr>
              <w:pStyle w:val="6"/>
              <w:spacing w:before="51" w:line="188" w:lineRule="auto"/>
              <w:ind w:left="322"/>
            </w:pPr>
            <w:r>
              <w:rPr>
                <w:spacing w:val="-1"/>
              </w:rPr>
              <w:t>24.75</w:t>
            </w:r>
          </w:p>
        </w:tc>
        <w:tc>
          <w:tcPr>
            <w:tcW w:w="937" w:type="dxa"/>
            <w:vAlign w:val="top"/>
          </w:tcPr>
          <w:p w14:paraId="7081F948">
            <w:pPr>
              <w:spacing w:line="311" w:lineRule="auto"/>
              <w:rPr>
                <w:rFonts w:ascii="Arial"/>
                <w:sz w:val="21"/>
              </w:rPr>
            </w:pPr>
          </w:p>
          <w:p w14:paraId="7DAFFB41">
            <w:pPr>
              <w:spacing w:line="312" w:lineRule="auto"/>
              <w:rPr>
                <w:rFonts w:ascii="Arial"/>
                <w:sz w:val="21"/>
              </w:rPr>
            </w:pPr>
          </w:p>
          <w:p w14:paraId="6B6A36AA">
            <w:pPr>
              <w:pStyle w:val="6"/>
              <w:spacing w:before="51" w:line="188" w:lineRule="auto"/>
              <w:ind w:left="379"/>
            </w:pPr>
            <w:r>
              <w:rPr>
                <w:spacing w:val="-2"/>
              </w:rPr>
              <w:t>27</w:t>
            </w:r>
          </w:p>
        </w:tc>
        <w:tc>
          <w:tcPr>
            <w:tcW w:w="1087" w:type="dxa"/>
            <w:vAlign w:val="top"/>
          </w:tcPr>
          <w:p w14:paraId="7B17B247">
            <w:pPr>
              <w:spacing w:line="294" w:lineRule="auto"/>
              <w:rPr>
                <w:rFonts w:ascii="Arial"/>
                <w:sz w:val="21"/>
              </w:rPr>
            </w:pPr>
          </w:p>
          <w:p w14:paraId="0CBB7DE6">
            <w:pPr>
              <w:spacing w:line="294" w:lineRule="auto"/>
              <w:rPr>
                <w:rFonts w:ascii="Arial"/>
                <w:sz w:val="21"/>
              </w:rPr>
            </w:pPr>
          </w:p>
          <w:p w14:paraId="29CDB310">
            <w:pPr>
              <w:pStyle w:val="6"/>
              <w:spacing w:before="58" w:line="224" w:lineRule="auto"/>
              <w:ind w:left="426"/>
              <w:rPr>
                <w:rFonts w:ascii="仿宋" w:hAnsi="仿宋" w:eastAsia="仿宋" w:cs="仿宋"/>
              </w:rPr>
            </w:pPr>
            <w:r>
              <w:rPr>
                <w:spacing w:val="-11"/>
              </w:rPr>
              <w:t>1</w:t>
            </w:r>
            <w:r>
              <w:rPr>
                <w:rFonts w:ascii="仿宋" w:hAnsi="仿宋" w:eastAsia="仿宋" w:cs="仿宋"/>
                <w:spacing w:val="-11"/>
              </w:rPr>
              <w:t>类</w:t>
            </w:r>
          </w:p>
        </w:tc>
        <w:tc>
          <w:tcPr>
            <w:tcW w:w="1135" w:type="dxa"/>
            <w:vAlign w:val="top"/>
          </w:tcPr>
          <w:p w14:paraId="3E6BAB92">
            <w:pPr>
              <w:spacing w:line="293" w:lineRule="auto"/>
              <w:rPr>
                <w:rFonts w:ascii="Arial"/>
                <w:sz w:val="21"/>
              </w:rPr>
            </w:pPr>
          </w:p>
          <w:p w14:paraId="60EE3ED4">
            <w:pPr>
              <w:spacing w:line="294" w:lineRule="auto"/>
              <w:rPr>
                <w:rFonts w:ascii="Arial"/>
                <w:sz w:val="21"/>
              </w:rPr>
            </w:pPr>
          </w:p>
          <w:p w14:paraId="7577F64E">
            <w:pPr>
              <w:pStyle w:val="6"/>
              <w:spacing w:before="59" w:line="223" w:lineRule="auto"/>
              <w:ind w:left="292"/>
              <w:rPr>
                <w:rFonts w:ascii="仿宋" w:hAnsi="仿宋" w:eastAsia="仿宋" w:cs="仿宋"/>
              </w:rPr>
            </w:pPr>
            <w:r>
              <w:rPr>
                <w:spacing w:val="-5"/>
              </w:rPr>
              <w:t>1</w:t>
            </w:r>
            <w:r>
              <w:rPr>
                <w:rFonts w:ascii="仿宋" w:hAnsi="仿宋" w:eastAsia="仿宋" w:cs="仿宋"/>
                <w:spacing w:val="-5"/>
              </w:rPr>
              <w:t>户</w:t>
            </w:r>
            <w:r>
              <w:rPr>
                <w:spacing w:val="-5"/>
              </w:rPr>
              <w:t>/3</w:t>
            </w:r>
            <w:r>
              <w:rPr>
                <w:rFonts w:ascii="仿宋" w:hAnsi="仿宋" w:eastAsia="仿宋" w:cs="仿宋"/>
                <w:spacing w:val="-5"/>
              </w:rPr>
              <w:t>人</w:t>
            </w:r>
          </w:p>
        </w:tc>
        <w:tc>
          <w:tcPr>
            <w:tcW w:w="2225" w:type="dxa"/>
            <w:vAlign w:val="top"/>
          </w:tcPr>
          <w:p w14:paraId="22930AF6">
            <w:pPr>
              <w:spacing w:line="353" w:lineRule="auto"/>
              <w:rPr>
                <w:rFonts w:ascii="Arial"/>
                <w:sz w:val="21"/>
              </w:rPr>
            </w:pPr>
          </w:p>
          <w:p w14:paraId="5DDF2849">
            <w:pPr>
              <w:pStyle w:val="6"/>
              <w:spacing w:before="59" w:line="223" w:lineRule="auto"/>
              <w:jc w:val="right"/>
              <w:rPr>
                <w:rFonts w:ascii="仿宋" w:hAnsi="仿宋" w:eastAsia="仿宋" w:cs="仿宋"/>
              </w:rPr>
            </w:pPr>
            <w:r>
              <w:rPr>
                <w:rFonts w:ascii="仿宋" w:hAnsi="仿宋" w:eastAsia="仿宋" w:cs="仿宋"/>
                <w:spacing w:val="-4"/>
              </w:rPr>
              <w:t>砖混，</w:t>
            </w:r>
            <w:r>
              <w:rPr>
                <w:spacing w:val="-4"/>
              </w:rPr>
              <w:t>1</w:t>
            </w:r>
            <w:r>
              <w:rPr>
                <w:rFonts w:ascii="仿宋" w:hAnsi="仿宋" w:eastAsia="仿宋" w:cs="仿宋"/>
                <w:spacing w:val="-4"/>
              </w:rPr>
              <w:t>层平房，侧向拟建道</w:t>
            </w:r>
          </w:p>
          <w:p w14:paraId="60042306">
            <w:pPr>
              <w:spacing w:before="15" w:line="223" w:lineRule="auto"/>
              <w:ind w:left="42"/>
              <w:rPr>
                <w:rFonts w:ascii="仿宋" w:hAnsi="仿宋" w:eastAsia="仿宋" w:cs="仿宋"/>
                <w:sz w:val="18"/>
                <w:szCs w:val="18"/>
              </w:rPr>
            </w:pPr>
            <w:r>
              <w:rPr>
                <w:rFonts w:ascii="仿宋" w:hAnsi="仿宋" w:eastAsia="仿宋" w:cs="仿宋"/>
                <w:spacing w:val="-1"/>
                <w:sz w:val="18"/>
                <w:szCs w:val="18"/>
              </w:rPr>
              <w:t>路，道路右侧地面地势低于</w:t>
            </w:r>
          </w:p>
          <w:p w14:paraId="058C056D">
            <w:pPr>
              <w:spacing w:before="15" w:line="223" w:lineRule="auto"/>
              <w:ind w:left="672"/>
              <w:rPr>
                <w:rFonts w:ascii="仿宋" w:hAnsi="仿宋" w:eastAsia="仿宋" w:cs="仿宋"/>
                <w:sz w:val="18"/>
                <w:szCs w:val="18"/>
              </w:rPr>
            </w:pPr>
            <w:r>
              <w:rPr>
                <w:rFonts w:ascii="仿宋" w:hAnsi="仿宋" w:eastAsia="仿宋" w:cs="仿宋"/>
                <w:spacing w:val="-3"/>
                <w:sz w:val="18"/>
                <w:szCs w:val="18"/>
              </w:rPr>
              <w:t>拟建道路。</w:t>
            </w:r>
          </w:p>
        </w:tc>
        <w:tc>
          <w:tcPr>
            <w:tcW w:w="2111" w:type="dxa"/>
            <w:vMerge w:val="continue"/>
            <w:tcBorders>
              <w:top w:val="nil"/>
            </w:tcBorders>
            <w:vAlign w:val="top"/>
          </w:tcPr>
          <w:p w14:paraId="040D62A8">
            <w:pPr>
              <w:rPr>
                <w:rFonts w:ascii="Arial"/>
                <w:sz w:val="21"/>
              </w:rPr>
            </w:pPr>
          </w:p>
        </w:tc>
      </w:tr>
      <w:tr w14:paraId="323122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97" w:hRule="atLeast"/>
        </w:trPr>
        <w:tc>
          <w:tcPr>
            <w:tcW w:w="511" w:type="dxa"/>
            <w:vAlign w:val="top"/>
          </w:tcPr>
          <w:p w14:paraId="0EB206D1">
            <w:pPr>
              <w:spacing w:line="243" w:lineRule="auto"/>
              <w:rPr>
                <w:rFonts w:ascii="Arial"/>
                <w:sz w:val="21"/>
              </w:rPr>
            </w:pPr>
          </w:p>
          <w:p w14:paraId="5E1BF34A">
            <w:pPr>
              <w:spacing w:line="243" w:lineRule="auto"/>
              <w:rPr>
                <w:rFonts w:ascii="Arial"/>
                <w:sz w:val="21"/>
              </w:rPr>
            </w:pPr>
          </w:p>
          <w:p w14:paraId="10C126E3">
            <w:pPr>
              <w:spacing w:line="243" w:lineRule="auto"/>
              <w:rPr>
                <w:rFonts w:ascii="Arial"/>
                <w:sz w:val="21"/>
              </w:rPr>
            </w:pPr>
          </w:p>
          <w:p w14:paraId="2D0782E4">
            <w:pPr>
              <w:pStyle w:val="6"/>
              <w:spacing w:before="52" w:line="188" w:lineRule="auto"/>
              <w:ind w:left="266"/>
            </w:pPr>
            <w:r>
              <w:t>9</w:t>
            </w:r>
          </w:p>
        </w:tc>
        <w:tc>
          <w:tcPr>
            <w:tcW w:w="725" w:type="dxa"/>
            <w:vAlign w:val="top"/>
          </w:tcPr>
          <w:p w14:paraId="5227BB91">
            <w:pPr>
              <w:spacing w:line="287" w:lineRule="auto"/>
              <w:rPr>
                <w:rFonts w:ascii="Arial"/>
                <w:sz w:val="21"/>
              </w:rPr>
            </w:pPr>
          </w:p>
          <w:p w14:paraId="2C0B3259">
            <w:pPr>
              <w:spacing w:line="288" w:lineRule="auto"/>
              <w:rPr>
                <w:rFonts w:ascii="Arial"/>
                <w:sz w:val="21"/>
              </w:rPr>
            </w:pPr>
          </w:p>
          <w:p w14:paraId="591913EE">
            <w:pPr>
              <w:pStyle w:val="6"/>
              <w:spacing w:before="59" w:line="242" w:lineRule="auto"/>
              <w:ind w:left="188" w:right="62" w:hanging="113"/>
              <w:rPr>
                <w:rFonts w:ascii="仿宋" w:hAnsi="仿宋" w:eastAsia="仿宋" w:cs="仿宋"/>
              </w:rPr>
            </w:pPr>
            <w:r>
              <w:rPr>
                <w:rFonts w:ascii="仿宋" w:hAnsi="仿宋" w:eastAsia="仿宋" w:cs="仿宋"/>
                <w:spacing w:val="-5"/>
              </w:rPr>
              <w:t>二道壕</w:t>
            </w:r>
            <w:r>
              <w:rPr>
                <w:spacing w:val="-5"/>
              </w:rPr>
              <w:t>-</w:t>
            </w:r>
            <w:r>
              <w:rPr>
                <w:rFonts w:ascii="仿宋" w:hAnsi="仿宋" w:eastAsia="仿宋" w:cs="仿宋"/>
                <w:spacing w:val="-6"/>
              </w:rPr>
              <w:t>散户</w:t>
            </w:r>
          </w:p>
        </w:tc>
        <w:tc>
          <w:tcPr>
            <w:tcW w:w="800" w:type="dxa"/>
            <w:vAlign w:val="top"/>
          </w:tcPr>
          <w:p w14:paraId="59F12BEC">
            <w:pPr>
              <w:spacing w:line="344" w:lineRule="auto"/>
              <w:rPr>
                <w:rFonts w:ascii="Arial"/>
                <w:sz w:val="21"/>
              </w:rPr>
            </w:pPr>
          </w:p>
          <w:p w14:paraId="5EB56D46">
            <w:pPr>
              <w:spacing w:before="58"/>
              <w:ind w:left="51" w:right="39" w:firstLine="4"/>
              <w:jc w:val="both"/>
              <w:rPr>
                <w:rFonts w:ascii="仿宋" w:hAnsi="仿宋" w:eastAsia="仿宋" w:cs="仿宋"/>
                <w:sz w:val="18"/>
                <w:szCs w:val="18"/>
              </w:rPr>
            </w:pPr>
            <w:r>
              <w:rPr>
                <w:rFonts w:ascii="仿宋" w:hAnsi="仿宋" w:eastAsia="仿宋" w:cs="仿宋"/>
                <w:spacing w:val="-6"/>
                <w:sz w:val="18"/>
                <w:szCs w:val="18"/>
              </w:rPr>
              <w:t>乌拉素村</w:t>
            </w:r>
            <w:r>
              <w:rPr>
                <w:rFonts w:ascii="仿宋" w:hAnsi="仿宋" w:eastAsia="仿宋" w:cs="仿宋"/>
                <w:spacing w:val="-5"/>
                <w:sz w:val="18"/>
                <w:szCs w:val="18"/>
              </w:rPr>
              <w:t>二道壕大坝东至秦</w:t>
            </w:r>
            <w:r>
              <w:rPr>
                <w:rFonts w:ascii="仿宋" w:hAnsi="仿宋" w:eastAsia="仿宋" w:cs="仿宋"/>
                <w:spacing w:val="24"/>
                <w:sz w:val="18"/>
                <w:szCs w:val="18"/>
              </w:rPr>
              <w:t>家塔社</w:t>
            </w:r>
          </w:p>
        </w:tc>
        <w:tc>
          <w:tcPr>
            <w:tcW w:w="875" w:type="dxa"/>
            <w:vAlign w:val="top"/>
          </w:tcPr>
          <w:p w14:paraId="170994DC">
            <w:pPr>
              <w:spacing w:line="294" w:lineRule="auto"/>
              <w:rPr>
                <w:rFonts w:ascii="Arial"/>
                <w:sz w:val="21"/>
              </w:rPr>
            </w:pPr>
          </w:p>
          <w:p w14:paraId="622A49EF">
            <w:pPr>
              <w:spacing w:line="295" w:lineRule="auto"/>
              <w:rPr>
                <w:rFonts w:ascii="Arial"/>
                <w:sz w:val="21"/>
              </w:rPr>
            </w:pPr>
          </w:p>
          <w:p w14:paraId="7E662E33">
            <w:pPr>
              <w:pStyle w:val="6"/>
              <w:spacing w:before="59"/>
              <w:ind w:left="50"/>
              <w:rPr>
                <w:rFonts w:ascii="仿宋" w:hAnsi="仿宋" w:eastAsia="仿宋" w:cs="仿宋"/>
              </w:rPr>
            </w:pPr>
            <w:r>
              <w:rPr>
                <w:spacing w:val="9"/>
              </w:rPr>
              <w:t>K0+000</w:t>
            </w:r>
            <w:r>
              <w:rPr>
                <w:rFonts w:ascii="仿宋" w:hAnsi="仿宋" w:eastAsia="仿宋" w:cs="仿宋"/>
                <w:spacing w:val="9"/>
              </w:rPr>
              <w:t>~</w:t>
            </w:r>
          </w:p>
          <w:p w14:paraId="74C7E777">
            <w:pPr>
              <w:pStyle w:val="6"/>
              <w:spacing w:before="15" w:line="188" w:lineRule="auto"/>
              <w:ind w:left="184"/>
            </w:pPr>
            <w:r>
              <w:rPr>
                <w:spacing w:val="-1"/>
              </w:rPr>
              <w:t>K0+70</w:t>
            </w:r>
          </w:p>
        </w:tc>
        <w:tc>
          <w:tcPr>
            <w:tcW w:w="712" w:type="dxa"/>
            <w:vAlign w:val="top"/>
          </w:tcPr>
          <w:p w14:paraId="263E5EE5">
            <w:pPr>
              <w:spacing w:line="346" w:lineRule="auto"/>
              <w:rPr>
                <w:rFonts w:ascii="Arial"/>
                <w:sz w:val="21"/>
              </w:rPr>
            </w:pPr>
          </w:p>
          <w:p w14:paraId="3F0DC355">
            <w:pPr>
              <w:spacing w:line="346" w:lineRule="auto"/>
              <w:rPr>
                <w:rFonts w:ascii="Arial"/>
                <w:sz w:val="21"/>
              </w:rPr>
            </w:pPr>
          </w:p>
          <w:p w14:paraId="5765F5E3">
            <w:pPr>
              <w:spacing w:before="58" w:line="223" w:lineRule="auto"/>
              <w:ind w:left="183"/>
              <w:rPr>
                <w:rFonts w:ascii="仿宋" w:hAnsi="仿宋" w:eastAsia="仿宋" w:cs="仿宋"/>
                <w:sz w:val="18"/>
                <w:szCs w:val="18"/>
              </w:rPr>
            </w:pPr>
            <w:r>
              <w:rPr>
                <w:rFonts w:ascii="仿宋" w:hAnsi="仿宋" w:eastAsia="仿宋" w:cs="仿宋"/>
                <w:spacing w:val="-6"/>
                <w:sz w:val="18"/>
                <w:szCs w:val="18"/>
              </w:rPr>
              <w:t>路基</w:t>
            </w:r>
          </w:p>
        </w:tc>
        <w:tc>
          <w:tcPr>
            <w:tcW w:w="963" w:type="dxa"/>
            <w:vAlign w:val="top"/>
          </w:tcPr>
          <w:p w14:paraId="6A89AFD3">
            <w:pPr>
              <w:spacing w:line="346" w:lineRule="auto"/>
              <w:rPr>
                <w:rFonts w:ascii="Arial"/>
                <w:sz w:val="21"/>
              </w:rPr>
            </w:pPr>
          </w:p>
          <w:p w14:paraId="2B452027">
            <w:pPr>
              <w:spacing w:line="346" w:lineRule="auto"/>
              <w:rPr>
                <w:rFonts w:ascii="Arial"/>
                <w:sz w:val="21"/>
              </w:rPr>
            </w:pPr>
          </w:p>
          <w:p w14:paraId="093F3BB5">
            <w:pPr>
              <w:spacing w:before="58" w:line="223" w:lineRule="auto"/>
              <w:ind w:left="306"/>
              <w:rPr>
                <w:rFonts w:ascii="仿宋" w:hAnsi="仿宋" w:eastAsia="仿宋" w:cs="仿宋"/>
                <w:sz w:val="18"/>
                <w:szCs w:val="18"/>
              </w:rPr>
            </w:pPr>
            <w:r>
              <w:rPr>
                <w:rFonts w:ascii="仿宋" w:hAnsi="仿宋" w:eastAsia="仿宋" w:cs="仿宋"/>
                <w:spacing w:val="-6"/>
                <w:sz w:val="18"/>
                <w:szCs w:val="18"/>
              </w:rPr>
              <w:t>路左</w:t>
            </w:r>
          </w:p>
        </w:tc>
        <w:tc>
          <w:tcPr>
            <w:tcW w:w="1049" w:type="dxa"/>
            <w:vAlign w:val="top"/>
          </w:tcPr>
          <w:p w14:paraId="69ADBD54">
            <w:pPr>
              <w:spacing w:line="243" w:lineRule="auto"/>
              <w:rPr>
                <w:rFonts w:ascii="Arial"/>
                <w:sz w:val="21"/>
              </w:rPr>
            </w:pPr>
          </w:p>
          <w:p w14:paraId="5390378A">
            <w:pPr>
              <w:spacing w:line="243" w:lineRule="auto"/>
              <w:rPr>
                <w:rFonts w:ascii="Arial"/>
                <w:sz w:val="21"/>
              </w:rPr>
            </w:pPr>
          </w:p>
          <w:p w14:paraId="44445D69">
            <w:pPr>
              <w:spacing w:line="243" w:lineRule="auto"/>
              <w:rPr>
                <w:rFonts w:ascii="Arial"/>
                <w:sz w:val="21"/>
              </w:rPr>
            </w:pPr>
          </w:p>
          <w:p w14:paraId="77BD7AC7">
            <w:pPr>
              <w:pStyle w:val="6"/>
              <w:spacing w:before="52" w:line="188" w:lineRule="auto"/>
              <w:ind w:left="341"/>
            </w:pPr>
            <w:r>
              <w:rPr>
                <w:spacing w:val="-6"/>
              </w:rPr>
              <w:t>-</w:t>
            </w:r>
            <w:r>
              <w:rPr>
                <w:spacing w:val="-23"/>
              </w:rPr>
              <w:t xml:space="preserve"> </w:t>
            </w:r>
            <w:r>
              <w:rPr>
                <w:spacing w:val="-6"/>
              </w:rPr>
              <w:t>1.29</w:t>
            </w:r>
          </w:p>
        </w:tc>
        <w:tc>
          <w:tcPr>
            <w:tcW w:w="1050" w:type="dxa"/>
            <w:vAlign w:val="top"/>
          </w:tcPr>
          <w:p w14:paraId="0D809E91">
            <w:pPr>
              <w:spacing w:line="244" w:lineRule="auto"/>
              <w:rPr>
                <w:rFonts w:ascii="Arial"/>
                <w:sz w:val="21"/>
              </w:rPr>
            </w:pPr>
          </w:p>
          <w:p w14:paraId="3D980BEC">
            <w:pPr>
              <w:spacing w:line="244" w:lineRule="auto"/>
              <w:rPr>
                <w:rFonts w:ascii="Arial"/>
                <w:sz w:val="21"/>
              </w:rPr>
            </w:pPr>
          </w:p>
          <w:p w14:paraId="06E996C7">
            <w:pPr>
              <w:spacing w:line="244" w:lineRule="auto"/>
              <w:rPr>
                <w:rFonts w:ascii="Arial"/>
                <w:sz w:val="21"/>
              </w:rPr>
            </w:pPr>
          </w:p>
          <w:p w14:paraId="5DF8DA84">
            <w:pPr>
              <w:pStyle w:val="6"/>
              <w:spacing w:before="52" w:line="185" w:lineRule="auto"/>
              <w:ind w:left="327"/>
            </w:pPr>
            <w:r>
              <w:rPr>
                <w:spacing w:val="-2"/>
              </w:rPr>
              <w:t>57.75</w:t>
            </w:r>
          </w:p>
        </w:tc>
        <w:tc>
          <w:tcPr>
            <w:tcW w:w="937" w:type="dxa"/>
            <w:vAlign w:val="top"/>
          </w:tcPr>
          <w:p w14:paraId="4F9FA3BA">
            <w:pPr>
              <w:spacing w:line="243" w:lineRule="auto"/>
              <w:rPr>
                <w:rFonts w:ascii="Arial"/>
                <w:sz w:val="21"/>
              </w:rPr>
            </w:pPr>
          </w:p>
          <w:p w14:paraId="4CAD9AEB">
            <w:pPr>
              <w:spacing w:line="243" w:lineRule="auto"/>
              <w:rPr>
                <w:rFonts w:ascii="Arial"/>
                <w:sz w:val="21"/>
              </w:rPr>
            </w:pPr>
          </w:p>
          <w:p w14:paraId="26FF1958">
            <w:pPr>
              <w:spacing w:line="243" w:lineRule="auto"/>
              <w:rPr>
                <w:rFonts w:ascii="Arial"/>
                <w:sz w:val="21"/>
              </w:rPr>
            </w:pPr>
          </w:p>
          <w:p w14:paraId="098DE5E2">
            <w:pPr>
              <w:pStyle w:val="6"/>
              <w:spacing w:before="52" w:line="188" w:lineRule="auto"/>
              <w:ind w:left="383"/>
            </w:pPr>
            <w:r>
              <w:rPr>
                <w:spacing w:val="-4"/>
              </w:rPr>
              <w:t>60</w:t>
            </w:r>
          </w:p>
        </w:tc>
        <w:tc>
          <w:tcPr>
            <w:tcW w:w="1087" w:type="dxa"/>
            <w:vAlign w:val="top"/>
          </w:tcPr>
          <w:p w14:paraId="7BCBE62A">
            <w:pPr>
              <w:spacing w:line="346" w:lineRule="auto"/>
              <w:rPr>
                <w:rFonts w:ascii="Arial"/>
                <w:sz w:val="21"/>
              </w:rPr>
            </w:pPr>
          </w:p>
          <w:p w14:paraId="5E1C2116">
            <w:pPr>
              <w:spacing w:line="346" w:lineRule="auto"/>
              <w:rPr>
                <w:rFonts w:ascii="Arial"/>
                <w:sz w:val="21"/>
              </w:rPr>
            </w:pPr>
          </w:p>
          <w:p w14:paraId="3F97A786">
            <w:pPr>
              <w:pStyle w:val="6"/>
              <w:spacing w:before="58" w:line="224" w:lineRule="auto"/>
              <w:ind w:left="426"/>
              <w:rPr>
                <w:rFonts w:ascii="仿宋" w:hAnsi="仿宋" w:eastAsia="仿宋" w:cs="仿宋"/>
              </w:rPr>
            </w:pPr>
            <w:r>
              <w:rPr>
                <w:spacing w:val="-11"/>
              </w:rPr>
              <w:t>1</w:t>
            </w:r>
            <w:r>
              <w:rPr>
                <w:rFonts w:ascii="仿宋" w:hAnsi="仿宋" w:eastAsia="仿宋" w:cs="仿宋"/>
                <w:spacing w:val="-11"/>
              </w:rPr>
              <w:t>类</w:t>
            </w:r>
          </w:p>
        </w:tc>
        <w:tc>
          <w:tcPr>
            <w:tcW w:w="1135" w:type="dxa"/>
            <w:vAlign w:val="top"/>
          </w:tcPr>
          <w:p w14:paraId="45384D2C">
            <w:pPr>
              <w:spacing w:line="346" w:lineRule="auto"/>
              <w:rPr>
                <w:rFonts w:ascii="Arial"/>
                <w:sz w:val="21"/>
              </w:rPr>
            </w:pPr>
          </w:p>
          <w:p w14:paraId="2A46C884">
            <w:pPr>
              <w:spacing w:line="346" w:lineRule="auto"/>
              <w:rPr>
                <w:rFonts w:ascii="Arial"/>
                <w:sz w:val="21"/>
              </w:rPr>
            </w:pPr>
          </w:p>
          <w:p w14:paraId="56131228">
            <w:pPr>
              <w:pStyle w:val="6"/>
              <w:spacing w:before="58" w:line="223" w:lineRule="auto"/>
              <w:ind w:left="275"/>
              <w:rPr>
                <w:rFonts w:ascii="仿宋" w:hAnsi="仿宋" w:eastAsia="仿宋" w:cs="仿宋"/>
              </w:rPr>
            </w:pPr>
            <w:r>
              <w:rPr>
                <w:spacing w:val="-1"/>
              </w:rPr>
              <w:t>2</w:t>
            </w:r>
            <w:r>
              <w:rPr>
                <w:rFonts w:ascii="仿宋" w:hAnsi="仿宋" w:eastAsia="仿宋" w:cs="仿宋"/>
                <w:spacing w:val="-1"/>
              </w:rPr>
              <w:t>户</w:t>
            </w:r>
            <w:r>
              <w:rPr>
                <w:spacing w:val="-1"/>
              </w:rPr>
              <w:t>/6</w:t>
            </w:r>
            <w:r>
              <w:rPr>
                <w:rFonts w:ascii="仿宋" w:hAnsi="仿宋" w:eastAsia="仿宋" w:cs="仿宋"/>
                <w:spacing w:val="-1"/>
              </w:rPr>
              <w:t>人</w:t>
            </w:r>
          </w:p>
        </w:tc>
        <w:tc>
          <w:tcPr>
            <w:tcW w:w="2225" w:type="dxa"/>
            <w:vAlign w:val="top"/>
          </w:tcPr>
          <w:p w14:paraId="0CB8C807">
            <w:pPr>
              <w:spacing w:line="287" w:lineRule="auto"/>
              <w:rPr>
                <w:rFonts w:ascii="Arial"/>
                <w:sz w:val="21"/>
              </w:rPr>
            </w:pPr>
          </w:p>
          <w:p w14:paraId="26796405">
            <w:pPr>
              <w:spacing w:line="287" w:lineRule="auto"/>
              <w:rPr>
                <w:rFonts w:ascii="Arial"/>
                <w:sz w:val="21"/>
              </w:rPr>
            </w:pPr>
          </w:p>
          <w:p w14:paraId="2D0BA943">
            <w:pPr>
              <w:pStyle w:val="6"/>
              <w:spacing w:before="58" w:line="243" w:lineRule="auto"/>
              <w:ind w:left="130" w:hanging="116"/>
              <w:rPr>
                <w:rFonts w:ascii="仿宋" w:hAnsi="仿宋" w:eastAsia="仿宋" w:cs="仿宋"/>
              </w:rPr>
            </w:pPr>
            <w:r>
              <w:rPr>
                <w:rFonts w:ascii="仿宋" w:hAnsi="仿宋" w:eastAsia="仿宋" w:cs="仿宋"/>
                <w:spacing w:val="-4"/>
              </w:rPr>
              <w:t>砖混，</w:t>
            </w:r>
            <w:r>
              <w:rPr>
                <w:spacing w:val="-4"/>
              </w:rPr>
              <w:t>1</w:t>
            </w:r>
            <w:r>
              <w:rPr>
                <w:rFonts w:ascii="仿宋" w:hAnsi="仿宋" w:eastAsia="仿宋" w:cs="仿宋"/>
                <w:spacing w:val="-4"/>
              </w:rPr>
              <w:t>层平房，面向拟建道</w:t>
            </w:r>
            <w:r>
              <w:rPr>
                <w:rFonts w:ascii="仿宋" w:hAnsi="仿宋" w:eastAsia="仿宋" w:cs="仿宋"/>
                <w:spacing w:val="-2"/>
              </w:rPr>
              <w:t>路，地势低于拟建道路。</w:t>
            </w:r>
          </w:p>
        </w:tc>
        <w:tc>
          <w:tcPr>
            <w:tcW w:w="2111" w:type="dxa"/>
            <w:vAlign w:val="top"/>
          </w:tcPr>
          <w:p w14:paraId="5D0C5633">
            <w:pPr>
              <w:spacing w:before="5" w:line="1680" w:lineRule="exact"/>
              <w:ind w:firstLine="26"/>
            </w:pPr>
            <w:r>
              <w:rPr>
                <w:position w:val="-33"/>
              </w:rPr>
              <w:drawing>
                <wp:inline distT="0" distB="0" distL="0" distR="0">
                  <wp:extent cx="1238885" cy="1066800"/>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297"/>
                          <a:stretch>
                            <a:fillRect/>
                          </a:stretch>
                        </pic:blipFill>
                        <pic:spPr>
                          <a:xfrm>
                            <a:off x="0" y="0"/>
                            <a:ext cx="1239011" cy="1066800"/>
                          </a:xfrm>
                          <a:prstGeom prst="rect">
                            <a:avLst/>
                          </a:prstGeom>
                        </pic:spPr>
                      </pic:pic>
                    </a:graphicData>
                  </a:graphic>
                </wp:inline>
              </w:drawing>
            </w:r>
          </w:p>
        </w:tc>
      </w:tr>
    </w:tbl>
    <w:p w14:paraId="1242BB20">
      <w:pPr>
        <w:pStyle w:val="2"/>
        <w:rPr>
          <w:sz w:val="21"/>
        </w:rPr>
      </w:pPr>
    </w:p>
    <w:p w14:paraId="6D5E62DE">
      <w:pPr>
        <w:rPr>
          <w:sz w:val="21"/>
          <w:szCs w:val="21"/>
        </w:rPr>
        <w:sectPr>
          <w:footerReference r:id="rId51" w:type="default"/>
          <w:pgSz w:w="16840" w:h="11907"/>
          <w:pgMar w:top="400" w:right="1327" w:bottom="1447" w:left="1327" w:header="0" w:footer="1285" w:gutter="0"/>
          <w:cols w:space="720" w:num="1"/>
        </w:sectPr>
      </w:pPr>
    </w:p>
    <w:p w14:paraId="609E03B3">
      <w:pPr>
        <w:spacing w:before="38"/>
      </w:pPr>
      <w:r>
        <w:drawing>
          <wp:anchor distT="0" distB="0" distL="0" distR="0" simplePos="0" relativeHeight="251665408" behindDoc="0" locked="0" layoutInCell="0" allowOverlap="1">
            <wp:simplePos x="0" y="0"/>
            <wp:positionH relativeFrom="page">
              <wp:posOffset>8512810</wp:posOffset>
            </wp:positionH>
            <wp:positionV relativeFrom="page">
              <wp:posOffset>2432050</wp:posOffset>
            </wp:positionV>
            <wp:extent cx="1266825" cy="3529330"/>
            <wp:effectExtent l="0" t="0" r="0" b="0"/>
            <wp:wrapNone/>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298"/>
                    <a:stretch>
                      <a:fillRect/>
                    </a:stretch>
                  </pic:blipFill>
                  <pic:spPr>
                    <a:xfrm>
                      <a:off x="0" y="0"/>
                      <a:ext cx="1266570" cy="3529583"/>
                    </a:xfrm>
                    <a:prstGeom prst="rect">
                      <a:avLst/>
                    </a:prstGeom>
                  </pic:spPr>
                </pic:pic>
              </a:graphicData>
            </a:graphic>
          </wp:anchor>
        </w:drawing>
      </w:r>
    </w:p>
    <w:p w14:paraId="0D5C4E8A">
      <w:pPr>
        <w:spacing w:before="38"/>
      </w:pPr>
    </w:p>
    <w:p w14:paraId="25A392F5">
      <w:pPr>
        <w:spacing w:before="38"/>
      </w:pPr>
    </w:p>
    <w:p w14:paraId="3A0C86C4">
      <w:pPr>
        <w:spacing w:before="38"/>
      </w:pPr>
    </w:p>
    <w:p w14:paraId="3DF71A62">
      <w:pPr>
        <w:spacing w:before="37"/>
      </w:pPr>
    </w:p>
    <w:tbl>
      <w:tblPr>
        <w:tblStyle w:val="5"/>
        <w:tblW w:w="1418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11"/>
        <w:gridCol w:w="725"/>
        <w:gridCol w:w="800"/>
        <w:gridCol w:w="875"/>
        <w:gridCol w:w="712"/>
        <w:gridCol w:w="963"/>
        <w:gridCol w:w="1049"/>
        <w:gridCol w:w="1050"/>
        <w:gridCol w:w="937"/>
        <w:gridCol w:w="1087"/>
        <w:gridCol w:w="1135"/>
        <w:gridCol w:w="2225"/>
        <w:gridCol w:w="2111"/>
      </w:tblGrid>
      <w:tr w14:paraId="2F4274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79" w:hRule="atLeast"/>
        </w:trPr>
        <w:tc>
          <w:tcPr>
            <w:tcW w:w="511" w:type="dxa"/>
            <w:vAlign w:val="top"/>
          </w:tcPr>
          <w:p w14:paraId="3853CDC6">
            <w:pPr>
              <w:spacing w:line="262" w:lineRule="auto"/>
              <w:rPr>
                <w:rFonts w:ascii="Arial"/>
                <w:sz w:val="21"/>
              </w:rPr>
            </w:pPr>
          </w:p>
          <w:p w14:paraId="64FA49AC">
            <w:pPr>
              <w:spacing w:line="263" w:lineRule="auto"/>
              <w:rPr>
                <w:rFonts w:ascii="Arial"/>
                <w:sz w:val="21"/>
              </w:rPr>
            </w:pPr>
          </w:p>
          <w:p w14:paraId="6D820A19">
            <w:pPr>
              <w:spacing w:line="263" w:lineRule="auto"/>
              <w:rPr>
                <w:rFonts w:ascii="Arial"/>
                <w:sz w:val="21"/>
              </w:rPr>
            </w:pPr>
          </w:p>
          <w:p w14:paraId="7152C2ED">
            <w:pPr>
              <w:pStyle w:val="6"/>
              <w:spacing w:before="52" w:line="188" w:lineRule="auto"/>
              <w:ind w:left="236"/>
            </w:pPr>
            <w:r>
              <w:rPr>
                <w:spacing w:val="-10"/>
              </w:rPr>
              <w:t>10</w:t>
            </w:r>
          </w:p>
        </w:tc>
        <w:tc>
          <w:tcPr>
            <w:tcW w:w="725" w:type="dxa"/>
            <w:vAlign w:val="top"/>
          </w:tcPr>
          <w:p w14:paraId="2FD85912">
            <w:pPr>
              <w:spacing w:line="317" w:lineRule="auto"/>
              <w:rPr>
                <w:rFonts w:ascii="Arial"/>
                <w:sz w:val="21"/>
              </w:rPr>
            </w:pPr>
          </w:p>
          <w:p w14:paraId="6F9AA22C">
            <w:pPr>
              <w:spacing w:line="318" w:lineRule="auto"/>
              <w:rPr>
                <w:rFonts w:ascii="Arial"/>
                <w:sz w:val="21"/>
              </w:rPr>
            </w:pPr>
          </w:p>
          <w:p w14:paraId="411D6A7E">
            <w:pPr>
              <w:pStyle w:val="6"/>
              <w:spacing w:before="59"/>
              <w:ind w:left="188" w:right="62" w:hanging="114"/>
              <w:rPr>
                <w:rFonts w:ascii="仿宋" w:hAnsi="仿宋" w:eastAsia="仿宋" w:cs="仿宋"/>
              </w:rPr>
            </w:pPr>
            <w:r>
              <w:rPr>
                <w:rFonts w:ascii="仿宋" w:hAnsi="仿宋" w:eastAsia="仿宋" w:cs="仿宋"/>
                <w:spacing w:val="-5"/>
              </w:rPr>
              <w:t>三道壕</w:t>
            </w:r>
            <w:r>
              <w:rPr>
                <w:spacing w:val="-5"/>
              </w:rPr>
              <w:t>-</w:t>
            </w:r>
            <w:r>
              <w:rPr>
                <w:rFonts w:ascii="仿宋" w:hAnsi="仿宋" w:eastAsia="仿宋" w:cs="仿宋"/>
                <w:spacing w:val="-6"/>
              </w:rPr>
              <w:t>散户</w:t>
            </w:r>
          </w:p>
        </w:tc>
        <w:tc>
          <w:tcPr>
            <w:tcW w:w="800" w:type="dxa"/>
            <w:vAlign w:val="top"/>
          </w:tcPr>
          <w:p w14:paraId="403B042C">
            <w:pPr>
              <w:rPr>
                <w:rFonts w:ascii="Arial"/>
                <w:sz w:val="21"/>
              </w:rPr>
            </w:pPr>
          </w:p>
        </w:tc>
        <w:tc>
          <w:tcPr>
            <w:tcW w:w="875" w:type="dxa"/>
            <w:vAlign w:val="top"/>
          </w:tcPr>
          <w:p w14:paraId="6E1FF3F2">
            <w:pPr>
              <w:spacing w:line="324" w:lineRule="auto"/>
              <w:rPr>
                <w:rFonts w:ascii="Arial"/>
                <w:sz w:val="21"/>
              </w:rPr>
            </w:pPr>
          </w:p>
          <w:p w14:paraId="4A86AA1D">
            <w:pPr>
              <w:spacing w:line="324" w:lineRule="auto"/>
              <w:rPr>
                <w:rFonts w:ascii="Arial"/>
                <w:sz w:val="21"/>
              </w:rPr>
            </w:pPr>
          </w:p>
          <w:p w14:paraId="0F6CFAF0">
            <w:pPr>
              <w:pStyle w:val="6"/>
              <w:spacing w:before="58"/>
              <w:ind w:left="50"/>
              <w:rPr>
                <w:rFonts w:ascii="仿宋" w:hAnsi="仿宋" w:eastAsia="仿宋" w:cs="仿宋"/>
              </w:rPr>
            </w:pPr>
            <w:r>
              <w:rPr>
                <w:spacing w:val="9"/>
              </w:rPr>
              <w:t>K0+270</w:t>
            </w:r>
            <w:r>
              <w:rPr>
                <w:rFonts w:ascii="仿宋" w:hAnsi="仿宋" w:eastAsia="仿宋" w:cs="仿宋"/>
                <w:spacing w:val="9"/>
              </w:rPr>
              <w:t>~</w:t>
            </w:r>
          </w:p>
          <w:p w14:paraId="0D73F222">
            <w:pPr>
              <w:pStyle w:val="6"/>
              <w:spacing w:before="15" w:line="188" w:lineRule="auto"/>
              <w:ind w:left="138"/>
            </w:pPr>
            <w:r>
              <w:rPr>
                <w:spacing w:val="-1"/>
              </w:rPr>
              <w:t>K0+370</w:t>
            </w:r>
          </w:p>
        </w:tc>
        <w:tc>
          <w:tcPr>
            <w:tcW w:w="712" w:type="dxa"/>
            <w:vAlign w:val="top"/>
          </w:tcPr>
          <w:p w14:paraId="79B322F1">
            <w:pPr>
              <w:spacing w:line="251" w:lineRule="auto"/>
              <w:rPr>
                <w:rFonts w:ascii="Arial"/>
                <w:sz w:val="21"/>
              </w:rPr>
            </w:pPr>
          </w:p>
          <w:p w14:paraId="5FEC2B2A">
            <w:pPr>
              <w:spacing w:line="251" w:lineRule="auto"/>
              <w:rPr>
                <w:rFonts w:ascii="Arial"/>
                <w:sz w:val="21"/>
              </w:rPr>
            </w:pPr>
          </w:p>
          <w:p w14:paraId="1DFFEA1B">
            <w:pPr>
              <w:spacing w:line="251" w:lineRule="auto"/>
              <w:rPr>
                <w:rFonts w:ascii="Arial"/>
                <w:sz w:val="21"/>
              </w:rPr>
            </w:pPr>
          </w:p>
          <w:p w14:paraId="11070845">
            <w:pPr>
              <w:spacing w:before="58" w:line="223" w:lineRule="auto"/>
              <w:ind w:left="183"/>
              <w:rPr>
                <w:rFonts w:ascii="仿宋" w:hAnsi="仿宋" w:eastAsia="仿宋" w:cs="仿宋"/>
                <w:sz w:val="18"/>
                <w:szCs w:val="18"/>
              </w:rPr>
            </w:pPr>
            <w:r>
              <w:rPr>
                <w:rFonts w:ascii="仿宋" w:hAnsi="仿宋" w:eastAsia="仿宋" w:cs="仿宋"/>
                <w:spacing w:val="-6"/>
                <w:sz w:val="18"/>
                <w:szCs w:val="18"/>
              </w:rPr>
              <w:t>路基</w:t>
            </w:r>
          </w:p>
        </w:tc>
        <w:tc>
          <w:tcPr>
            <w:tcW w:w="963" w:type="dxa"/>
            <w:vAlign w:val="top"/>
          </w:tcPr>
          <w:p w14:paraId="5E11D8C7">
            <w:pPr>
              <w:spacing w:line="251" w:lineRule="auto"/>
              <w:rPr>
                <w:rFonts w:ascii="Arial"/>
                <w:sz w:val="21"/>
              </w:rPr>
            </w:pPr>
          </w:p>
          <w:p w14:paraId="32575E88">
            <w:pPr>
              <w:spacing w:line="251" w:lineRule="auto"/>
              <w:rPr>
                <w:rFonts w:ascii="Arial"/>
                <w:sz w:val="21"/>
              </w:rPr>
            </w:pPr>
          </w:p>
          <w:p w14:paraId="1892DD99">
            <w:pPr>
              <w:spacing w:line="251" w:lineRule="auto"/>
              <w:rPr>
                <w:rFonts w:ascii="Arial"/>
                <w:sz w:val="21"/>
              </w:rPr>
            </w:pPr>
          </w:p>
          <w:p w14:paraId="3D951C85">
            <w:pPr>
              <w:spacing w:before="58" w:line="223" w:lineRule="auto"/>
              <w:ind w:left="306"/>
              <w:rPr>
                <w:rFonts w:ascii="仿宋" w:hAnsi="仿宋" w:eastAsia="仿宋" w:cs="仿宋"/>
                <w:sz w:val="18"/>
                <w:szCs w:val="18"/>
              </w:rPr>
            </w:pPr>
            <w:r>
              <w:rPr>
                <w:rFonts w:ascii="仿宋" w:hAnsi="仿宋" w:eastAsia="仿宋" w:cs="仿宋"/>
                <w:spacing w:val="-6"/>
                <w:sz w:val="18"/>
                <w:szCs w:val="18"/>
              </w:rPr>
              <w:t>路右</w:t>
            </w:r>
          </w:p>
        </w:tc>
        <w:tc>
          <w:tcPr>
            <w:tcW w:w="1049" w:type="dxa"/>
            <w:vAlign w:val="top"/>
          </w:tcPr>
          <w:p w14:paraId="5DE8C67A">
            <w:pPr>
              <w:spacing w:line="262" w:lineRule="auto"/>
              <w:rPr>
                <w:rFonts w:ascii="Arial"/>
                <w:sz w:val="21"/>
              </w:rPr>
            </w:pPr>
          </w:p>
          <w:p w14:paraId="15F78624">
            <w:pPr>
              <w:spacing w:line="263" w:lineRule="auto"/>
              <w:rPr>
                <w:rFonts w:ascii="Arial"/>
                <w:sz w:val="21"/>
              </w:rPr>
            </w:pPr>
          </w:p>
          <w:p w14:paraId="56FF93FE">
            <w:pPr>
              <w:spacing w:line="263" w:lineRule="auto"/>
              <w:rPr>
                <w:rFonts w:ascii="Arial"/>
                <w:sz w:val="21"/>
              </w:rPr>
            </w:pPr>
          </w:p>
          <w:p w14:paraId="467D9AE8">
            <w:pPr>
              <w:pStyle w:val="6"/>
              <w:spacing w:before="52" w:line="188" w:lineRule="auto"/>
              <w:ind w:left="341"/>
            </w:pPr>
            <w:r>
              <w:rPr>
                <w:spacing w:val="-2"/>
              </w:rPr>
              <w:t>-3.07</w:t>
            </w:r>
          </w:p>
        </w:tc>
        <w:tc>
          <w:tcPr>
            <w:tcW w:w="1050" w:type="dxa"/>
            <w:vAlign w:val="top"/>
          </w:tcPr>
          <w:p w14:paraId="29E1AFD9">
            <w:pPr>
              <w:spacing w:line="262" w:lineRule="auto"/>
              <w:rPr>
                <w:rFonts w:ascii="Arial"/>
                <w:sz w:val="21"/>
              </w:rPr>
            </w:pPr>
          </w:p>
          <w:p w14:paraId="4A316154">
            <w:pPr>
              <w:spacing w:line="263" w:lineRule="auto"/>
              <w:rPr>
                <w:rFonts w:ascii="Arial"/>
                <w:sz w:val="21"/>
              </w:rPr>
            </w:pPr>
          </w:p>
          <w:p w14:paraId="326A54A4">
            <w:pPr>
              <w:spacing w:line="263" w:lineRule="auto"/>
              <w:rPr>
                <w:rFonts w:ascii="Arial"/>
                <w:sz w:val="21"/>
              </w:rPr>
            </w:pPr>
          </w:p>
          <w:p w14:paraId="6FB35710">
            <w:pPr>
              <w:pStyle w:val="6"/>
              <w:spacing w:before="52" w:line="188" w:lineRule="auto"/>
              <w:ind w:left="322"/>
            </w:pPr>
            <w:r>
              <w:rPr>
                <w:spacing w:val="-1"/>
              </w:rPr>
              <w:t>20.75</w:t>
            </w:r>
          </w:p>
        </w:tc>
        <w:tc>
          <w:tcPr>
            <w:tcW w:w="937" w:type="dxa"/>
            <w:vAlign w:val="top"/>
          </w:tcPr>
          <w:p w14:paraId="5F2C197E">
            <w:pPr>
              <w:spacing w:line="262" w:lineRule="auto"/>
              <w:rPr>
                <w:rFonts w:ascii="Arial"/>
                <w:sz w:val="21"/>
              </w:rPr>
            </w:pPr>
          </w:p>
          <w:p w14:paraId="234F31FA">
            <w:pPr>
              <w:spacing w:line="263" w:lineRule="auto"/>
              <w:rPr>
                <w:rFonts w:ascii="Arial"/>
                <w:sz w:val="21"/>
              </w:rPr>
            </w:pPr>
          </w:p>
          <w:p w14:paraId="3055D5AC">
            <w:pPr>
              <w:spacing w:line="263" w:lineRule="auto"/>
              <w:rPr>
                <w:rFonts w:ascii="Arial"/>
                <w:sz w:val="21"/>
              </w:rPr>
            </w:pPr>
          </w:p>
          <w:p w14:paraId="3B1D6785">
            <w:pPr>
              <w:pStyle w:val="6"/>
              <w:spacing w:before="52" w:line="188" w:lineRule="auto"/>
              <w:ind w:left="379"/>
            </w:pPr>
            <w:r>
              <w:rPr>
                <w:spacing w:val="-2"/>
              </w:rPr>
              <w:t>23</w:t>
            </w:r>
          </w:p>
        </w:tc>
        <w:tc>
          <w:tcPr>
            <w:tcW w:w="1087" w:type="dxa"/>
            <w:vAlign w:val="top"/>
          </w:tcPr>
          <w:p w14:paraId="18516CA3">
            <w:pPr>
              <w:spacing w:line="251" w:lineRule="auto"/>
              <w:rPr>
                <w:rFonts w:ascii="Arial"/>
                <w:sz w:val="21"/>
              </w:rPr>
            </w:pPr>
          </w:p>
          <w:p w14:paraId="36AAA694">
            <w:pPr>
              <w:spacing w:line="251" w:lineRule="auto"/>
              <w:rPr>
                <w:rFonts w:ascii="Arial"/>
                <w:sz w:val="21"/>
              </w:rPr>
            </w:pPr>
          </w:p>
          <w:p w14:paraId="1B546507">
            <w:pPr>
              <w:spacing w:line="251" w:lineRule="auto"/>
              <w:rPr>
                <w:rFonts w:ascii="Arial"/>
                <w:sz w:val="21"/>
              </w:rPr>
            </w:pPr>
          </w:p>
          <w:p w14:paraId="2BB0A521">
            <w:pPr>
              <w:pStyle w:val="6"/>
              <w:spacing w:before="59" w:line="224" w:lineRule="auto"/>
              <w:ind w:left="426"/>
              <w:rPr>
                <w:rFonts w:ascii="仿宋" w:hAnsi="仿宋" w:eastAsia="仿宋" w:cs="仿宋"/>
              </w:rPr>
            </w:pPr>
            <w:r>
              <w:rPr>
                <w:spacing w:val="-11"/>
              </w:rPr>
              <w:t>1</w:t>
            </w:r>
            <w:r>
              <w:rPr>
                <w:rFonts w:ascii="仿宋" w:hAnsi="仿宋" w:eastAsia="仿宋" w:cs="仿宋"/>
                <w:spacing w:val="-11"/>
              </w:rPr>
              <w:t>类</w:t>
            </w:r>
          </w:p>
        </w:tc>
        <w:tc>
          <w:tcPr>
            <w:tcW w:w="1135" w:type="dxa"/>
            <w:vAlign w:val="top"/>
          </w:tcPr>
          <w:p w14:paraId="012CB0CD">
            <w:pPr>
              <w:spacing w:line="251" w:lineRule="auto"/>
              <w:rPr>
                <w:rFonts w:ascii="Arial"/>
                <w:sz w:val="21"/>
              </w:rPr>
            </w:pPr>
          </w:p>
          <w:p w14:paraId="1B7AC2BE">
            <w:pPr>
              <w:spacing w:line="251" w:lineRule="auto"/>
              <w:rPr>
                <w:rFonts w:ascii="Arial"/>
                <w:sz w:val="21"/>
              </w:rPr>
            </w:pPr>
          </w:p>
          <w:p w14:paraId="7DB6CB69">
            <w:pPr>
              <w:spacing w:line="251" w:lineRule="auto"/>
              <w:rPr>
                <w:rFonts w:ascii="Arial"/>
                <w:sz w:val="21"/>
              </w:rPr>
            </w:pPr>
          </w:p>
          <w:p w14:paraId="4D62A585">
            <w:pPr>
              <w:pStyle w:val="6"/>
              <w:spacing w:before="58" w:line="223" w:lineRule="auto"/>
              <w:ind w:left="275"/>
              <w:rPr>
                <w:rFonts w:ascii="仿宋" w:hAnsi="仿宋" w:eastAsia="仿宋" w:cs="仿宋"/>
              </w:rPr>
            </w:pPr>
            <w:r>
              <w:rPr>
                <w:spacing w:val="-1"/>
              </w:rPr>
              <w:t>2</w:t>
            </w:r>
            <w:r>
              <w:rPr>
                <w:rFonts w:ascii="仿宋" w:hAnsi="仿宋" w:eastAsia="仿宋" w:cs="仿宋"/>
                <w:spacing w:val="-1"/>
              </w:rPr>
              <w:t>户</w:t>
            </w:r>
            <w:r>
              <w:rPr>
                <w:spacing w:val="-1"/>
              </w:rPr>
              <w:t>/5</w:t>
            </w:r>
            <w:r>
              <w:rPr>
                <w:rFonts w:ascii="仿宋" w:hAnsi="仿宋" w:eastAsia="仿宋" w:cs="仿宋"/>
                <w:spacing w:val="-1"/>
              </w:rPr>
              <w:t>人</w:t>
            </w:r>
          </w:p>
        </w:tc>
        <w:tc>
          <w:tcPr>
            <w:tcW w:w="2225" w:type="dxa"/>
            <w:vAlign w:val="top"/>
          </w:tcPr>
          <w:p w14:paraId="6E2481C7">
            <w:pPr>
              <w:spacing w:line="318" w:lineRule="auto"/>
              <w:rPr>
                <w:rFonts w:ascii="Arial"/>
                <w:sz w:val="21"/>
              </w:rPr>
            </w:pPr>
          </w:p>
          <w:p w14:paraId="43C67B6A">
            <w:pPr>
              <w:spacing w:line="318" w:lineRule="auto"/>
              <w:rPr>
                <w:rFonts w:ascii="Arial"/>
                <w:sz w:val="21"/>
              </w:rPr>
            </w:pPr>
          </w:p>
          <w:p w14:paraId="622DB500">
            <w:pPr>
              <w:pStyle w:val="6"/>
              <w:spacing w:before="59"/>
              <w:ind w:left="130" w:hanging="116"/>
              <w:rPr>
                <w:rFonts w:ascii="仿宋" w:hAnsi="仿宋" w:eastAsia="仿宋" w:cs="仿宋"/>
              </w:rPr>
            </w:pPr>
            <w:r>
              <w:rPr>
                <w:rFonts w:ascii="仿宋" w:hAnsi="仿宋" w:eastAsia="仿宋" w:cs="仿宋"/>
                <w:spacing w:val="-4"/>
              </w:rPr>
              <w:t>砖混，</w:t>
            </w:r>
            <w:r>
              <w:rPr>
                <w:spacing w:val="-4"/>
              </w:rPr>
              <w:t>1</w:t>
            </w:r>
            <w:r>
              <w:rPr>
                <w:rFonts w:ascii="仿宋" w:hAnsi="仿宋" w:eastAsia="仿宋" w:cs="仿宋"/>
                <w:spacing w:val="-4"/>
              </w:rPr>
              <w:t>层平房，面向拟建道</w:t>
            </w:r>
            <w:r>
              <w:rPr>
                <w:rFonts w:ascii="仿宋" w:hAnsi="仿宋" w:eastAsia="仿宋" w:cs="仿宋"/>
                <w:spacing w:val="-2"/>
              </w:rPr>
              <w:t>路，地势低于拟建道路。</w:t>
            </w:r>
          </w:p>
        </w:tc>
        <w:tc>
          <w:tcPr>
            <w:tcW w:w="2111" w:type="dxa"/>
            <w:vAlign w:val="top"/>
          </w:tcPr>
          <w:p w14:paraId="4992283A">
            <w:pPr>
              <w:spacing w:before="33" w:line="1726" w:lineRule="exact"/>
              <w:ind w:firstLine="12"/>
            </w:pPr>
            <w:r>
              <w:rPr>
                <w:position w:val="-34"/>
              </w:rPr>
              <w:drawing>
                <wp:inline distT="0" distB="0" distL="0" distR="0">
                  <wp:extent cx="1249680" cy="1095375"/>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299"/>
                          <a:stretch>
                            <a:fillRect/>
                          </a:stretch>
                        </pic:blipFill>
                        <pic:spPr>
                          <a:xfrm>
                            <a:off x="0" y="0"/>
                            <a:ext cx="1249680" cy="1095755"/>
                          </a:xfrm>
                          <a:prstGeom prst="rect">
                            <a:avLst/>
                          </a:prstGeom>
                        </pic:spPr>
                      </pic:pic>
                    </a:graphicData>
                  </a:graphic>
                </wp:inline>
              </w:drawing>
            </w:r>
          </w:p>
        </w:tc>
      </w:tr>
      <w:tr w14:paraId="64348E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14180" w:type="dxa"/>
            <w:gridSpan w:val="13"/>
            <w:vAlign w:val="top"/>
          </w:tcPr>
          <w:p w14:paraId="317A66E6">
            <w:pPr>
              <w:spacing w:before="28" w:line="205" w:lineRule="auto"/>
              <w:ind w:left="6652"/>
              <w:rPr>
                <w:rFonts w:ascii="仿宋" w:hAnsi="仿宋" w:eastAsia="仿宋" w:cs="仿宋"/>
                <w:sz w:val="18"/>
                <w:szCs w:val="18"/>
              </w:rPr>
            </w:pPr>
            <w:r>
              <w:rPr>
                <w:rFonts w:ascii="仿宋" w:hAnsi="仿宋" w:eastAsia="仿宋" w:cs="仿宋"/>
                <w:b/>
                <w:bCs/>
                <w:spacing w:val="-5"/>
                <w:sz w:val="18"/>
                <w:szCs w:val="18"/>
              </w:rPr>
              <w:t>十二连城乡</w:t>
            </w:r>
          </w:p>
        </w:tc>
      </w:tr>
      <w:tr w14:paraId="3968E6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9" w:hRule="atLeast"/>
        </w:trPr>
        <w:tc>
          <w:tcPr>
            <w:tcW w:w="511" w:type="dxa"/>
            <w:vMerge w:val="restart"/>
            <w:tcBorders>
              <w:bottom w:val="nil"/>
            </w:tcBorders>
            <w:vAlign w:val="top"/>
          </w:tcPr>
          <w:p w14:paraId="1129651F">
            <w:pPr>
              <w:spacing w:line="266" w:lineRule="auto"/>
              <w:rPr>
                <w:rFonts w:ascii="Arial"/>
                <w:sz w:val="21"/>
              </w:rPr>
            </w:pPr>
          </w:p>
          <w:p w14:paraId="305FDDD9">
            <w:pPr>
              <w:spacing w:line="266" w:lineRule="auto"/>
              <w:rPr>
                <w:rFonts w:ascii="Arial"/>
                <w:sz w:val="21"/>
              </w:rPr>
            </w:pPr>
          </w:p>
          <w:p w14:paraId="2DDD85AC">
            <w:pPr>
              <w:spacing w:line="267" w:lineRule="auto"/>
              <w:rPr>
                <w:rFonts w:ascii="Arial"/>
                <w:sz w:val="21"/>
              </w:rPr>
            </w:pPr>
          </w:p>
          <w:p w14:paraId="0511159F">
            <w:pPr>
              <w:pStyle w:val="6"/>
              <w:spacing w:before="52" w:line="188" w:lineRule="auto"/>
              <w:ind w:left="236"/>
            </w:pPr>
            <w:r>
              <w:rPr>
                <w:spacing w:val="-11"/>
              </w:rPr>
              <w:t>11</w:t>
            </w:r>
          </w:p>
        </w:tc>
        <w:tc>
          <w:tcPr>
            <w:tcW w:w="725" w:type="dxa"/>
            <w:vMerge w:val="restart"/>
            <w:tcBorders>
              <w:bottom w:val="nil"/>
            </w:tcBorders>
            <w:vAlign w:val="top"/>
          </w:tcPr>
          <w:p w14:paraId="161EA144">
            <w:pPr>
              <w:spacing w:line="323" w:lineRule="auto"/>
              <w:rPr>
                <w:rFonts w:ascii="Arial"/>
                <w:sz w:val="21"/>
              </w:rPr>
            </w:pPr>
          </w:p>
          <w:p w14:paraId="238AB3C4">
            <w:pPr>
              <w:spacing w:line="324" w:lineRule="auto"/>
              <w:rPr>
                <w:rFonts w:ascii="Arial"/>
                <w:sz w:val="21"/>
              </w:rPr>
            </w:pPr>
          </w:p>
          <w:p w14:paraId="4259C064">
            <w:pPr>
              <w:spacing w:before="59" w:line="239" w:lineRule="auto"/>
              <w:ind w:left="100" w:right="91"/>
              <w:rPr>
                <w:rFonts w:ascii="仿宋" w:hAnsi="仿宋" w:eastAsia="仿宋" w:cs="仿宋"/>
                <w:sz w:val="18"/>
                <w:szCs w:val="18"/>
              </w:rPr>
            </w:pPr>
            <w:r>
              <w:rPr>
                <w:rFonts w:ascii="仿宋" w:hAnsi="仿宋" w:eastAsia="仿宋" w:cs="仿宋"/>
                <w:spacing w:val="-4"/>
                <w:sz w:val="18"/>
                <w:szCs w:val="18"/>
              </w:rPr>
              <w:t>份子地社新村</w:t>
            </w:r>
          </w:p>
        </w:tc>
        <w:tc>
          <w:tcPr>
            <w:tcW w:w="800" w:type="dxa"/>
            <w:vMerge w:val="restart"/>
            <w:tcBorders>
              <w:bottom w:val="nil"/>
            </w:tcBorders>
            <w:vAlign w:val="top"/>
          </w:tcPr>
          <w:p w14:paraId="34CC6AD7">
            <w:pPr>
              <w:spacing w:line="415" w:lineRule="auto"/>
              <w:rPr>
                <w:rFonts w:ascii="Arial"/>
                <w:sz w:val="21"/>
              </w:rPr>
            </w:pPr>
          </w:p>
          <w:p w14:paraId="6B0AA933">
            <w:pPr>
              <w:spacing w:before="59" w:line="222" w:lineRule="auto"/>
              <w:ind w:left="47"/>
              <w:rPr>
                <w:rFonts w:ascii="仿宋" w:hAnsi="仿宋" w:eastAsia="仿宋" w:cs="仿宋"/>
                <w:sz w:val="18"/>
                <w:szCs w:val="18"/>
              </w:rPr>
            </w:pPr>
            <w:r>
              <w:rPr>
                <w:rFonts w:ascii="仿宋" w:hAnsi="仿宋" w:eastAsia="仿宋" w:cs="仿宋"/>
                <w:spacing w:val="-3"/>
                <w:sz w:val="18"/>
                <w:szCs w:val="18"/>
              </w:rPr>
              <w:t>份子地社</w:t>
            </w:r>
          </w:p>
          <w:p w14:paraId="663110CD">
            <w:pPr>
              <w:spacing w:before="15" w:line="222" w:lineRule="auto"/>
              <w:ind w:left="47"/>
              <w:rPr>
                <w:rFonts w:ascii="仿宋" w:hAnsi="仿宋" w:eastAsia="仿宋" w:cs="仿宋"/>
                <w:sz w:val="18"/>
                <w:szCs w:val="18"/>
              </w:rPr>
            </w:pPr>
            <w:r>
              <w:rPr>
                <w:rFonts w:ascii="仿宋" w:hAnsi="仿宋" w:eastAsia="仿宋" w:cs="仿宋"/>
                <w:spacing w:val="-3"/>
                <w:sz w:val="18"/>
                <w:szCs w:val="18"/>
              </w:rPr>
              <w:t>新村至二</w:t>
            </w:r>
          </w:p>
          <w:p w14:paraId="67D02D32">
            <w:pPr>
              <w:spacing w:before="16" w:line="222" w:lineRule="auto"/>
              <w:ind w:left="48"/>
              <w:rPr>
                <w:rFonts w:ascii="仿宋" w:hAnsi="仿宋" w:eastAsia="仿宋" w:cs="仿宋"/>
                <w:sz w:val="18"/>
                <w:szCs w:val="18"/>
              </w:rPr>
            </w:pPr>
            <w:r>
              <w:rPr>
                <w:rFonts w:ascii="仿宋" w:hAnsi="仿宋" w:eastAsia="仿宋" w:cs="仿宋"/>
                <w:spacing w:val="-4"/>
                <w:sz w:val="18"/>
                <w:szCs w:val="18"/>
              </w:rPr>
              <w:t>道拐村委</w:t>
            </w:r>
          </w:p>
          <w:p w14:paraId="0BAC78B8">
            <w:pPr>
              <w:spacing w:before="18" w:line="229" w:lineRule="auto"/>
              <w:ind w:left="322"/>
              <w:rPr>
                <w:rFonts w:ascii="仿宋" w:hAnsi="仿宋" w:eastAsia="仿宋" w:cs="仿宋"/>
                <w:sz w:val="18"/>
                <w:szCs w:val="18"/>
              </w:rPr>
            </w:pPr>
            <w:r>
              <w:rPr>
                <w:rFonts w:ascii="仿宋" w:hAnsi="仿宋" w:eastAsia="仿宋" w:cs="仿宋"/>
                <w:sz w:val="18"/>
                <w:szCs w:val="18"/>
              </w:rPr>
              <w:t>会</w:t>
            </w:r>
          </w:p>
        </w:tc>
        <w:tc>
          <w:tcPr>
            <w:tcW w:w="875" w:type="dxa"/>
            <w:vMerge w:val="restart"/>
            <w:tcBorders>
              <w:bottom w:val="nil"/>
            </w:tcBorders>
            <w:vAlign w:val="top"/>
          </w:tcPr>
          <w:p w14:paraId="42349A7D">
            <w:pPr>
              <w:spacing w:line="329" w:lineRule="auto"/>
              <w:rPr>
                <w:rFonts w:ascii="Arial"/>
                <w:sz w:val="21"/>
              </w:rPr>
            </w:pPr>
          </w:p>
          <w:p w14:paraId="64B56547">
            <w:pPr>
              <w:spacing w:line="329" w:lineRule="auto"/>
              <w:rPr>
                <w:rFonts w:ascii="Arial"/>
                <w:sz w:val="21"/>
              </w:rPr>
            </w:pPr>
          </w:p>
          <w:p w14:paraId="14FE366F">
            <w:pPr>
              <w:pStyle w:val="6"/>
              <w:spacing w:before="59"/>
              <w:ind w:left="50"/>
              <w:rPr>
                <w:rFonts w:ascii="仿宋" w:hAnsi="仿宋" w:eastAsia="仿宋" w:cs="仿宋"/>
              </w:rPr>
            </w:pPr>
            <w:r>
              <w:rPr>
                <w:spacing w:val="9"/>
              </w:rPr>
              <w:t>K0+890</w:t>
            </w:r>
            <w:r>
              <w:rPr>
                <w:rFonts w:ascii="仿宋" w:hAnsi="仿宋" w:eastAsia="仿宋" w:cs="仿宋"/>
                <w:spacing w:val="9"/>
              </w:rPr>
              <w:t>~</w:t>
            </w:r>
          </w:p>
          <w:p w14:paraId="1156BBBC">
            <w:pPr>
              <w:pStyle w:val="6"/>
              <w:spacing w:before="18" w:line="188" w:lineRule="auto"/>
              <w:ind w:left="138"/>
            </w:pPr>
            <w:r>
              <w:rPr>
                <w:spacing w:val="-1"/>
              </w:rPr>
              <w:t>K1+560</w:t>
            </w:r>
          </w:p>
        </w:tc>
        <w:tc>
          <w:tcPr>
            <w:tcW w:w="712" w:type="dxa"/>
            <w:vAlign w:val="top"/>
          </w:tcPr>
          <w:p w14:paraId="1388B13F">
            <w:pPr>
              <w:spacing w:line="277" w:lineRule="auto"/>
              <w:rPr>
                <w:rFonts w:ascii="Arial"/>
                <w:sz w:val="21"/>
              </w:rPr>
            </w:pPr>
          </w:p>
          <w:p w14:paraId="38C15E3A">
            <w:pPr>
              <w:spacing w:before="58" w:line="223" w:lineRule="auto"/>
              <w:ind w:left="183"/>
              <w:rPr>
                <w:rFonts w:ascii="仿宋" w:hAnsi="仿宋" w:eastAsia="仿宋" w:cs="仿宋"/>
                <w:sz w:val="18"/>
                <w:szCs w:val="18"/>
              </w:rPr>
            </w:pPr>
            <w:r>
              <w:rPr>
                <w:rFonts w:ascii="仿宋" w:hAnsi="仿宋" w:eastAsia="仿宋" w:cs="仿宋"/>
                <w:spacing w:val="-6"/>
                <w:sz w:val="18"/>
                <w:szCs w:val="18"/>
              </w:rPr>
              <w:t>路基</w:t>
            </w:r>
          </w:p>
        </w:tc>
        <w:tc>
          <w:tcPr>
            <w:tcW w:w="963" w:type="dxa"/>
            <w:vAlign w:val="top"/>
          </w:tcPr>
          <w:p w14:paraId="6753AE7E">
            <w:pPr>
              <w:spacing w:line="277" w:lineRule="auto"/>
              <w:rPr>
                <w:rFonts w:ascii="Arial"/>
                <w:sz w:val="21"/>
              </w:rPr>
            </w:pPr>
          </w:p>
          <w:p w14:paraId="336595B4">
            <w:pPr>
              <w:spacing w:before="58" w:line="223" w:lineRule="auto"/>
              <w:ind w:left="306"/>
              <w:rPr>
                <w:rFonts w:ascii="仿宋" w:hAnsi="仿宋" w:eastAsia="仿宋" w:cs="仿宋"/>
                <w:sz w:val="18"/>
                <w:szCs w:val="18"/>
              </w:rPr>
            </w:pPr>
            <w:r>
              <w:rPr>
                <w:rFonts w:ascii="仿宋" w:hAnsi="仿宋" w:eastAsia="仿宋" w:cs="仿宋"/>
                <w:spacing w:val="-6"/>
                <w:sz w:val="18"/>
                <w:szCs w:val="18"/>
              </w:rPr>
              <w:t>路左</w:t>
            </w:r>
          </w:p>
        </w:tc>
        <w:tc>
          <w:tcPr>
            <w:tcW w:w="1049" w:type="dxa"/>
            <w:vAlign w:val="top"/>
          </w:tcPr>
          <w:p w14:paraId="35F76A61">
            <w:pPr>
              <w:spacing w:line="314" w:lineRule="auto"/>
              <w:rPr>
                <w:rFonts w:ascii="Arial"/>
                <w:sz w:val="21"/>
              </w:rPr>
            </w:pPr>
          </w:p>
          <w:p w14:paraId="164544AC">
            <w:pPr>
              <w:pStyle w:val="6"/>
              <w:spacing w:before="52" w:line="188" w:lineRule="auto"/>
              <w:ind w:left="481"/>
            </w:pPr>
            <w:r>
              <w:t>0</w:t>
            </w:r>
          </w:p>
        </w:tc>
        <w:tc>
          <w:tcPr>
            <w:tcW w:w="1050" w:type="dxa"/>
            <w:vAlign w:val="top"/>
          </w:tcPr>
          <w:p w14:paraId="683F4018">
            <w:pPr>
              <w:spacing w:line="314" w:lineRule="auto"/>
              <w:rPr>
                <w:rFonts w:ascii="Arial"/>
                <w:sz w:val="21"/>
              </w:rPr>
            </w:pPr>
          </w:p>
          <w:p w14:paraId="2E0FAD9E">
            <w:pPr>
              <w:pStyle w:val="6"/>
              <w:spacing w:before="52" w:line="188" w:lineRule="auto"/>
              <w:ind w:left="368"/>
            </w:pPr>
            <w:r>
              <w:rPr>
                <w:spacing w:val="-1"/>
              </w:rPr>
              <w:t>2.75</w:t>
            </w:r>
          </w:p>
        </w:tc>
        <w:tc>
          <w:tcPr>
            <w:tcW w:w="937" w:type="dxa"/>
            <w:vAlign w:val="top"/>
          </w:tcPr>
          <w:p w14:paraId="564AABC2">
            <w:pPr>
              <w:spacing w:line="317" w:lineRule="auto"/>
              <w:rPr>
                <w:rFonts w:ascii="Arial"/>
                <w:sz w:val="21"/>
              </w:rPr>
            </w:pPr>
          </w:p>
          <w:p w14:paraId="4549DA8E">
            <w:pPr>
              <w:pStyle w:val="6"/>
              <w:spacing w:before="52" w:line="185" w:lineRule="auto"/>
              <w:ind w:left="427"/>
            </w:pPr>
            <w:r>
              <w:t>5</w:t>
            </w:r>
          </w:p>
        </w:tc>
        <w:tc>
          <w:tcPr>
            <w:tcW w:w="1087" w:type="dxa"/>
            <w:vMerge w:val="restart"/>
            <w:tcBorders>
              <w:bottom w:val="nil"/>
            </w:tcBorders>
            <w:vAlign w:val="top"/>
          </w:tcPr>
          <w:p w14:paraId="2BAE86A0">
            <w:pPr>
              <w:spacing w:line="254" w:lineRule="auto"/>
              <w:rPr>
                <w:rFonts w:ascii="Arial"/>
                <w:sz w:val="21"/>
              </w:rPr>
            </w:pPr>
          </w:p>
          <w:p w14:paraId="0CAD6245">
            <w:pPr>
              <w:spacing w:line="255" w:lineRule="auto"/>
              <w:rPr>
                <w:rFonts w:ascii="Arial"/>
                <w:sz w:val="21"/>
              </w:rPr>
            </w:pPr>
          </w:p>
          <w:p w14:paraId="160D5107">
            <w:pPr>
              <w:spacing w:line="255" w:lineRule="auto"/>
              <w:rPr>
                <w:rFonts w:ascii="Arial"/>
                <w:sz w:val="21"/>
              </w:rPr>
            </w:pPr>
          </w:p>
          <w:p w14:paraId="6203AD38">
            <w:pPr>
              <w:pStyle w:val="6"/>
              <w:spacing w:before="58" w:line="224" w:lineRule="auto"/>
              <w:ind w:left="426"/>
              <w:rPr>
                <w:rFonts w:ascii="仿宋" w:hAnsi="仿宋" w:eastAsia="仿宋" w:cs="仿宋"/>
              </w:rPr>
            </w:pPr>
            <w:r>
              <w:rPr>
                <w:spacing w:val="-11"/>
              </w:rPr>
              <w:t>1</w:t>
            </w:r>
            <w:r>
              <w:rPr>
                <w:rFonts w:ascii="仿宋" w:hAnsi="仿宋" w:eastAsia="仿宋" w:cs="仿宋"/>
                <w:spacing w:val="-11"/>
              </w:rPr>
              <w:t>类</w:t>
            </w:r>
          </w:p>
        </w:tc>
        <w:tc>
          <w:tcPr>
            <w:tcW w:w="1135" w:type="dxa"/>
            <w:vAlign w:val="top"/>
          </w:tcPr>
          <w:p w14:paraId="1562FDF6">
            <w:pPr>
              <w:spacing w:line="277" w:lineRule="auto"/>
              <w:rPr>
                <w:rFonts w:ascii="Arial"/>
                <w:sz w:val="21"/>
              </w:rPr>
            </w:pPr>
          </w:p>
          <w:p w14:paraId="4012F862">
            <w:pPr>
              <w:pStyle w:val="6"/>
              <w:spacing w:before="58" w:line="223" w:lineRule="auto"/>
              <w:ind w:left="233"/>
              <w:rPr>
                <w:rFonts w:ascii="仿宋" w:hAnsi="仿宋" w:eastAsia="仿宋" w:cs="仿宋"/>
              </w:rPr>
            </w:pPr>
            <w:r>
              <w:rPr>
                <w:spacing w:val="-2"/>
              </w:rPr>
              <w:t>6</w:t>
            </w:r>
            <w:r>
              <w:rPr>
                <w:rFonts w:ascii="仿宋" w:hAnsi="仿宋" w:eastAsia="仿宋" w:cs="仿宋"/>
                <w:spacing w:val="-2"/>
              </w:rPr>
              <w:t>户</w:t>
            </w:r>
            <w:r>
              <w:rPr>
                <w:spacing w:val="-2"/>
              </w:rPr>
              <w:t>/21</w:t>
            </w:r>
            <w:r>
              <w:rPr>
                <w:rFonts w:ascii="仿宋" w:hAnsi="仿宋" w:eastAsia="仿宋" w:cs="仿宋"/>
                <w:spacing w:val="-2"/>
              </w:rPr>
              <w:t>人</w:t>
            </w:r>
          </w:p>
        </w:tc>
        <w:tc>
          <w:tcPr>
            <w:tcW w:w="2225" w:type="dxa"/>
            <w:vAlign w:val="top"/>
          </w:tcPr>
          <w:p w14:paraId="14CBD69B">
            <w:pPr>
              <w:pStyle w:val="6"/>
              <w:spacing w:before="222"/>
              <w:ind w:left="42" w:hanging="28"/>
              <w:rPr>
                <w:rFonts w:ascii="仿宋" w:hAnsi="仿宋" w:eastAsia="仿宋" w:cs="仿宋"/>
              </w:rPr>
            </w:pPr>
            <w:r>
              <w:rPr>
                <w:rFonts w:ascii="仿宋" w:hAnsi="仿宋" w:eastAsia="仿宋" w:cs="仿宋"/>
                <w:spacing w:val="-4"/>
              </w:rPr>
              <w:t>砖混，</w:t>
            </w:r>
            <w:r>
              <w:rPr>
                <w:spacing w:val="-4"/>
              </w:rPr>
              <w:t>1</w:t>
            </w:r>
            <w:r>
              <w:rPr>
                <w:rFonts w:ascii="仿宋" w:hAnsi="仿宋" w:eastAsia="仿宋" w:cs="仿宋"/>
                <w:spacing w:val="-4"/>
              </w:rPr>
              <w:t>层平房，背向拟建道</w:t>
            </w:r>
            <w:r>
              <w:rPr>
                <w:rFonts w:ascii="仿宋" w:hAnsi="仿宋" w:eastAsia="仿宋" w:cs="仿宋"/>
                <w:spacing w:val="-1"/>
              </w:rPr>
              <w:t>路，地势与拟建道路等高。</w:t>
            </w:r>
          </w:p>
        </w:tc>
        <w:tc>
          <w:tcPr>
            <w:tcW w:w="2111" w:type="dxa"/>
            <w:vMerge w:val="restart"/>
            <w:tcBorders>
              <w:bottom w:val="nil"/>
            </w:tcBorders>
            <w:vAlign w:val="top"/>
          </w:tcPr>
          <w:p w14:paraId="5913B2CD">
            <w:pPr>
              <w:rPr>
                <w:rFonts w:ascii="Arial"/>
                <w:sz w:val="21"/>
              </w:rPr>
            </w:pPr>
          </w:p>
        </w:tc>
      </w:tr>
      <w:tr w14:paraId="2213F7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9" w:hRule="atLeast"/>
        </w:trPr>
        <w:tc>
          <w:tcPr>
            <w:tcW w:w="511" w:type="dxa"/>
            <w:vMerge w:val="continue"/>
            <w:tcBorders>
              <w:top w:val="nil"/>
            </w:tcBorders>
            <w:vAlign w:val="top"/>
          </w:tcPr>
          <w:p w14:paraId="4B7F6EAE">
            <w:pPr>
              <w:rPr>
                <w:rFonts w:ascii="Arial"/>
                <w:sz w:val="21"/>
              </w:rPr>
            </w:pPr>
          </w:p>
        </w:tc>
        <w:tc>
          <w:tcPr>
            <w:tcW w:w="725" w:type="dxa"/>
            <w:vMerge w:val="continue"/>
            <w:tcBorders>
              <w:top w:val="nil"/>
            </w:tcBorders>
            <w:vAlign w:val="top"/>
          </w:tcPr>
          <w:p w14:paraId="29721D3F">
            <w:pPr>
              <w:rPr>
                <w:rFonts w:ascii="Arial"/>
                <w:sz w:val="21"/>
              </w:rPr>
            </w:pPr>
          </w:p>
        </w:tc>
        <w:tc>
          <w:tcPr>
            <w:tcW w:w="800" w:type="dxa"/>
            <w:vMerge w:val="continue"/>
            <w:tcBorders>
              <w:top w:val="nil"/>
            </w:tcBorders>
            <w:vAlign w:val="top"/>
          </w:tcPr>
          <w:p w14:paraId="3EFC1FEE">
            <w:pPr>
              <w:rPr>
                <w:rFonts w:ascii="Arial"/>
                <w:sz w:val="21"/>
              </w:rPr>
            </w:pPr>
          </w:p>
        </w:tc>
        <w:tc>
          <w:tcPr>
            <w:tcW w:w="875" w:type="dxa"/>
            <w:vMerge w:val="continue"/>
            <w:tcBorders>
              <w:top w:val="nil"/>
            </w:tcBorders>
            <w:vAlign w:val="top"/>
          </w:tcPr>
          <w:p w14:paraId="021ADFDF">
            <w:pPr>
              <w:rPr>
                <w:rFonts w:ascii="Arial"/>
                <w:sz w:val="21"/>
              </w:rPr>
            </w:pPr>
          </w:p>
        </w:tc>
        <w:tc>
          <w:tcPr>
            <w:tcW w:w="712" w:type="dxa"/>
            <w:vAlign w:val="top"/>
          </w:tcPr>
          <w:p w14:paraId="64FCEFC6">
            <w:pPr>
              <w:spacing w:line="334" w:lineRule="auto"/>
              <w:rPr>
                <w:rFonts w:ascii="Arial"/>
                <w:sz w:val="21"/>
              </w:rPr>
            </w:pPr>
          </w:p>
          <w:p w14:paraId="7C5B4555">
            <w:pPr>
              <w:spacing w:before="58" w:line="223" w:lineRule="auto"/>
              <w:ind w:left="183"/>
              <w:rPr>
                <w:rFonts w:ascii="仿宋" w:hAnsi="仿宋" w:eastAsia="仿宋" w:cs="仿宋"/>
                <w:sz w:val="18"/>
                <w:szCs w:val="18"/>
              </w:rPr>
            </w:pPr>
            <w:r>
              <w:rPr>
                <w:rFonts w:ascii="仿宋" w:hAnsi="仿宋" w:eastAsia="仿宋" w:cs="仿宋"/>
                <w:spacing w:val="-6"/>
                <w:sz w:val="18"/>
                <w:szCs w:val="18"/>
              </w:rPr>
              <w:t>路基</w:t>
            </w:r>
          </w:p>
        </w:tc>
        <w:tc>
          <w:tcPr>
            <w:tcW w:w="963" w:type="dxa"/>
            <w:vAlign w:val="top"/>
          </w:tcPr>
          <w:p w14:paraId="357DC12E">
            <w:pPr>
              <w:spacing w:line="334" w:lineRule="auto"/>
              <w:rPr>
                <w:rFonts w:ascii="Arial"/>
                <w:sz w:val="21"/>
              </w:rPr>
            </w:pPr>
          </w:p>
          <w:p w14:paraId="0CBCA7FA">
            <w:pPr>
              <w:spacing w:before="58" w:line="223" w:lineRule="auto"/>
              <w:ind w:left="306"/>
              <w:rPr>
                <w:rFonts w:ascii="仿宋" w:hAnsi="仿宋" w:eastAsia="仿宋" w:cs="仿宋"/>
                <w:sz w:val="18"/>
                <w:szCs w:val="18"/>
              </w:rPr>
            </w:pPr>
            <w:r>
              <w:rPr>
                <w:rFonts w:ascii="仿宋" w:hAnsi="仿宋" w:eastAsia="仿宋" w:cs="仿宋"/>
                <w:spacing w:val="-6"/>
                <w:sz w:val="18"/>
                <w:szCs w:val="18"/>
              </w:rPr>
              <w:t>路右</w:t>
            </w:r>
          </w:p>
        </w:tc>
        <w:tc>
          <w:tcPr>
            <w:tcW w:w="1049" w:type="dxa"/>
            <w:vAlign w:val="top"/>
          </w:tcPr>
          <w:p w14:paraId="64CFF2D4">
            <w:pPr>
              <w:spacing w:line="372" w:lineRule="auto"/>
              <w:rPr>
                <w:rFonts w:ascii="Arial"/>
                <w:sz w:val="21"/>
              </w:rPr>
            </w:pPr>
          </w:p>
          <w:p w14:paraId="217BDBBD">
            <w:pPr>
              <w:pStyle w:val="6"/>
              <w:spacing w:before="51" w:line="188" w:lineRule="auto"/>
              <w:ind w:left="481"/>
            </w:pPr>
            <w:r>
              <w:t>0</w:t>
            </w:r>
          </w:p>
        </w:tc>
        <w:tc>
          <w:tcPr>
            <w:tcW w:w="1050" w:type="dxa"/>
            <w:vAlign w:val="top"/>
          </w:tcPr>
          <w:p w14:paraId="41F322CB">
            <w:pPr>
              <w:spacing w:line="372" w:lineRule="auto"/>
              <w:rPr>
                <w:rFonts w:ascii="Arial"/>
                <w:sz w:val="21"/>
              </w:rPr>
            </w:pPr>
          </w:p>
          <w:p w14:paraId="4A128D51">
            <w:pPr>
              <w:pStyle w:val="6"/>
              <w:spacing w:before="51" w:line="188" w:lineRule="auto"/>
              <w:ind w:left="340"/>
            </w:pPr>
            <w:r>
              <w:rPr>
                <w:spacing w:val="-4"/>
              </w:rPr>
              <w:t>14.75</w:t>
            </w:r>
          </w:p>
        </w:tc>
        <w:tc>
          <w:tcPr>
            <w:tcW w:w="937" w:type="dxa"/>
            <w:vAlign w:val="top"/>
          </w:tcPr>
          <w:p w14:paraId="6873830F">
            <w:pPr>
              <w:spacing w:line="372" w:lineRule="auto"/>
              <w:rPr>
                <w:rFonts w:ascii="Arial"/>
                <w:sz w:val="21"/>
              </w:rPr>
            </w:pPr>
          </w:p>
          <w:p w14:paraId="7A3F34DB">
            <w:pPr>
              <w:pStyle w:val="6"/>
              <w:spacing w:before="51" w:line="188" w:lineRule="auto"/>
              <w:ind w:left="396"/>
            </w:pPr>
            <w:r>
              <w:rPr>
                <w:spacing w:val="-10"/>
              </w:rPr>
              <w:t>17</w:t>
            </w:r>
          </w:p>
        </w:tc>
        <w:tc>
          <w:tcPr>
            <w:tcW w:w="1087" w:type="dxa"/>
            <w:vMerge w:val="continue"/>
            <w:tcBorders>
              <w:top w:val="nil"/>
            </w:tcBorders>
            <w:vAlign w:val="top"/>
          </w:tcPr>
          <w:p w14:paraId="432A2712">
            <w:pPr>
              <w:rPr>
                <w:rFonts w:ascii="Arial"/>
                <w:sz w:val="21"/>
              </w:rPr>
            </w:pPr>
          </w:p>
        </w:tc>
        <w:tc>
          <w:tcPr>
            <w:tcW w:w="1135" w:type="dxa"/>
            <w:vAlign w:val="top"/>
          </w:tcPr>
          <w:p w14:paraId="162D5DEB">
            <w:pPr>
              <w:spacing w:line="334" w:lineRule="auto"/>
              <w:rPr>
                <w:rFonts w:ascii="Arial"/>
                <w:sz w:val="21"/>
              </w:rPr>
            </w:pPr>
          </w:p>
          <w:p w14:paraId="260437DA">
            <w:pPr>
              <w:pStyle w:val="6"/>
              <w:spacing w:before="58" w:line="223" w:lineRule="auto"/>
              <w:ind w:left="201"/>
              <w:rPr>
                <w:rFonts w:ascii="仿宋" w:hAnsi="仿宋" w:eastAsia="仿宋" w:cs="仿宋"/>
              </w:rPr>
            </w:pPr>
            <w:r>
              <w:rPr>
                <w:spacing w:val="-3"/>
              </w:rPr>
              <w:t>16</w:t>
            </w:r>
            <w:r>
              <w:rPr>
                <w:rFonts w:ascii="仿宋" w:hAnsi="仿宋" w:eastAsia="仿宋" w:cs="仿宋"/>
                <w:spacing w:val="-3"/>
              </w:rPr>
              <w:t>户</w:t>
            </w:r>
            <w:r>
              <w:rPr>
                <w:spacing w:val="-3"/>
              </w:rPr>
              <w:t>/56</w:t>
            </w:r>
            <w:r>
              <w:rPr>
                <w:rFonts w:ascii="仿宋" w:hAnsi="仿宋" w:eastAsia="仿宋" w:cs="仿宋"/>
                <w:spacing w:val="-3"/>
              </w:rPr>
              <w:t>人</w:t>
            </w:r>
          </w:p>
        </w:tc>
        <w:tc>
          <w:tcPr>
            <w:tcW w:w="2225" w:type="dxa"/>
            <w:vAlign w:val="top"/>
          </w:tcPr>
          <w:p w14:paraId="12C1EB63">
            <w:pPr>
              <w:pStyle w:val="6"/>
              <w:spacing w:before="277"/>
              <w:ind w:left="42" w:hanging="28"/>
              <w:rPr>
                <w:rFonts w:ascii="仿宋" w:hAnsi="仿宋" w:eastAsia="仿宋" w:cs="仿宋"/>
              </w:rPr>
            </w:pPr>
            <w:r>
              <w:rPr>
                <w:rFonts w:ascii="仿宋" w:hAnsi="仿宋" w:eastAsia="仿宋" w:cs="仿宋"/>
                <w:spacing w:val="-4"/>
              </w:rPr>
              <w:t>砖混，</w:t>
            </w:r>
            <w:r>
              <w:rPr>
                <w:spacing w:val="-4"/>
              </w:rPr>
              <w:t>1</w:t>
            </w:r>
            <w:r>
              <w:rPr>
                <w:rFonts w:ascii="仿宋" w:hAnsi="仿宋" w:eastAsia="仿宋" w:cs="仿宋"/>
                <w:spacing w:val="-4"/>
              </w:rPr>
              <w:t>层平房，面向拟建道</w:t>
            </w:r>
            <w:r>
              <w:rPr>
                <w:rFonts w:ascii="仿宋" w:hAnsi="仿宋" w:eastAsia="仿宋" w:cs="仿宋"/>
                <w:spacing w:val="-1"/>
              </w:rPr>
              <w:t>路，地势与拟建道路等高。</w:t>
            </w:r>
          </w:p>
        </w:tc>
        <w:tc>
          <w:tcPr>
            <w:tcW w:w="2111" w:type="dxa"/>
            <w:vMerge w:val="continue"/>
            <w:tcBorders>
              <w:top w:val="nil"/>
            </w:tcBorders>
            <w:vAlign w:val="top"/>
          </w:tcPr>
          <w:p w14:paraId="698847AB">
            <w:pPr>
              <w:rPr>
                <w:rFonts w:ascii="Arial"/>
                <w:sz w:val="21"/>
              </w:rPr>
            </w:pPr>
          </w:p>
        </w:tc>
      </w:tr>
      <w:tr w14:paraId="5130CC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44" w:hRule="atLeast"/>
        </w:trPr>
        <w:tc>
          <w:tcPr>
            <w:tcW w:w="511" w:type="dxa"/>
            <w:vAlign w:val="top"/>
          </w:tcPr>
          <w:p w14:paraId="2DEA9522">
            <w:pPr>
              <w:spacing w:line="252" w:lineRule="auto"/>
              <w:rPr>
                <w:rFonts w:ascii="Arial"/>
                <w:sz w:val="21"/>
              </w:rPr>
            </w:pPr>
          </w:p>
          <w:p w14:paraId="514DDA4F">
            <w:pPr>
              <w:spacing w:line="252" w:lineRule="auto"/>
              <w:rPr>
                <w:rFonts w:ascii="Arial"/>
                <w:sz w:val="21"/>
              </w:rPr>
            </w:pPr>
          </w:p>
          <w:p w14:paraId="484BFA25">
            <w:pPr>
              <w:spacing w:line="252" w:lineRule="auto"/>
              <w:rPr>
                <w:rFonts w:ascii="Arial"/>
                <w:sz w:val="21"/>
              </w:rPr>
            </w:pPr>
          </w:p>
          <w:p w14:paraId="0C674266">
            <w:pPr>
              <w:pStyle w:val="6"/>
              <w:spacing w:before="52" w:line="188" w:lineRule="auto"/>
              <w:ind w:left="236"/>
            </w:pPr>
            <w:r>
              <w:rPr>
                <w:spacing w:val="-11"/>
              </w:rPr>
              <w:t>12</w:t>
            </w:r>
          </w:p>
        </w:tc>
        <w:tc>
          <w:tcPr>
            <w:tcW w:w="725" w:type="dxa"/>
            <w:vAlign w:val="top"/>
          </w:tcPr>
          <w:p w14:paraId="10894CD2">
            <w:pPr>
              <w:rPr>
                <w:rFonts w:ascii="Arial"/>
                <w:sz w:val="21"/>
              </w:rPr>
            </w:pPr>
          </w:p>
          <w:p w14:paraId="2EC91516">
            <w:pPr>
              <w:rPr>
                <w:rFonts w:ascii="Arial"/>
                <w:sz w:val="21"/>
              </w:rPr>
            </w:pPr>
          </w:p>
          <w:p w14:paraId="4F2A0563">
            <w:pPr>
              <w:spacing w:line="241" w:lineRule="auto"/>
              <w:rPr>
                <w:rFonts w:ascii="Arial"/>
                <w:sz w:val="21"/>
              </w:rPr>
            </w:pPr>
          </w:p>
          <w:p w14:paraId="1BFAFED8">
            <w:pPr>
              <w:spacing w:before="58" w:line="225" w:lineRule="auto"/>
              <w:ind w:left="102"/>
              <w:rPr>
                <w:rFonts w:ascii="仿宋" w:hAnsi="仿宋" w:eastAsia="仿宋" w:cs="仿宋"/>
                <w:sz w:val="18"/>
                <w:szCs w:val="18"/>
              </w:rPr>
            </w:pPr>
            <w:r>
              <w:rPr>
                <w:rFonts w:ascii="仿宋" w:hAnsi="仿宋" w:eastAsia="仿宋" w:cs="仿宋"/>
                <w:spacing w:val="-5"/>
                <w:sz w:val="18"/>
                <w:szCs w:val="18"/>
              </w:rPr>
              <w:t>西圪旦</w:t>
            </w:r>
          </w:p>
        </w:tc>
        <w:tc>
          <w:tcPr>
            <w:tcW w:w="800" w:type="dxa"/>
            <w:vMerge w:val="restart"/>
            <w:tcBorders>
              <w:bottom w:val="nil"/>
            </w:tcBorders>
            <w:vAlign w:val="top"/>
          </w:tcPr>
          <w:p w14:paraId="4F6C5756">
            <w:pPr>
              <w:spacing w:line="247" w:lineRule="auto"/>
              <w:rPr>
                <w:rFonts w:ascii="Arial"/>
                <w:sz w:val="21"/>
              </w:rPr>
            </w:pPr>
          </w:p>
          <w:p w14:paraId="6A7E8194">
            <w:pPr>
              <w:spacing w:line="247" w:lineRule="auto"/>
              <w:rPr>
                <w:rFonts w:ascii="Arial"/>
                <w:sz w:val="21"/>
              </w:rPr>
            </w:pPr>
          </w:p>
          <w:p w14:paraId="15082DDD">
            <w:pPr>
              <w:spacing w:line="247" w:lineRule="auto"/>
              <w:rPr>
                <w:rFonts w:ascii="Arial"/>
                <w:sz w:val="21"/>
              </w:rPr>
            </w:pPr>
          </w:p>
          <w:p w14:paraId="2751244B">
            <w:pPr>
              <w:spacing w:line="248" w:lineRule="auto"/>
              <w:rPr>
                <w:rFonts w:ascii="Arial"/>
                <w:sz w:val="21"/>
              </w:rPr>
            </w:pPr>
          </w:p>
          <w:p w14:paraId="1803E473">
            <w:pPr>
              <w:spacing w:line="248" w:lineRule="auto"/>
              <w:rPr>
                <w:rFonts w:ascii="Arial"/>
                <w:sz w:val="21"/>
              </w:rPr>
            </w:pPr>
          </w:p>
          <w:p w14:paraId="64B1FBE5">
            <w:pPr>
              <w:spacing w:line="248" w:lineRule="auto"/>
              <w:rPr>
                <w:rFonts w:ascii="Arial"/>
                <w:sz w:val="21"/>
              </w:rPr>
            </w:pPr>
          </w:p>
          <w:p w14:paraId="43573B2B">
            <w:pPr>
              <w:spacing w:before="59"/>
              <w:ind w:left="48" w:right="39" w:firstLine="5"/>
              <w:jc w:val="both"/>
              <w:rPr>
                <w:rFonts w:ascii="仿宋" w:hAnsi="仿宋" w:eastAsia="仿宋" w:cs="仿宋"/>
                <w:sz w:val="18"/>
                <w:szCs w:val="18"/>
              </w:rPr>
            </w:pPr>
            <w:r>
              <w:rPr>
                <w:rFonts w:ascii="仿宋" w:hAnsi="仿宋" w:eastAsia="仿宋" w:cs="仿宋"/>
                <w:spacing w:val="-5"/>
                <w:sz w:val="18"/>
                <w:szCs w:val="18"/>
              </w:rPr>
              <w:t>二道拐坡</w:t>
            </w:r>
            <w:r>
              <w:rPr>
                <w:rFonts w:ascii="仿宋" w:hAnsi="仿宋" w:eastAsia="仿宋" w:cs="仿宋"/>
                <w:spacing w:val="-4"/>
                <w:sz w:val="18"/>
                <w:szCs w:val="18"/>
              </w:rPr>
              <w:t>地至张家</w:t>
            </w:r>
            <w:r>
              <w:rPr>
                <w:rFonts w:ascii="仿宋" w:hAnsi="仿宋" w:eastAsia="仿宋" w:cs="仿宋"/>
                <w:spacing w:val="25"/>
                <w:sz w:val="18"/>
                <w:szCs w:val="18"/>
              </w:rPr>
              <w:t>圪旦社</w:t>
            </w:r>
          </w:p>
        </w:tc>
        <w:tc>
          <w:tcPr>
            <w:tcW w:w="875" w:type="dxa"/>
            <w:vMerge w:val="restart"/>
            <w:tcBorders>
              <w:bottom w:val="nil"/>
            </w:tcBorders>
            <w:vAlign w:val="top"/>
          </w:tcPr>
          <w:p w14:paraId="2241F4EF">
            <w:pPr>
              <w:spacing w:line="269" w:lineRule="auto"/>
              <w:rPr>
                <w:rFonts w:ascii="Arial"/>
                <w:sz w:val="21"/>
              </w:rPr>
            </w:pPr>
          </w:p>
          <w:p w14:paraId="2D2D7CBE">
            <w:pPr>
              <w:spacing w:line="269" w:lineRule="auto"/>
              <w:rPr>
                <w:rFonts w:ascii="Arial"/>
                <w:sz w:val="21"/>
              </w:rPr>
            </w:pPr>
          </w:p>
          <w:p w14:paraId="7A46AA40">
            <w:pPr>
              <w:spacing w:line="269" w:lineRule="auto"/>
              <w:rPr>
                <w:rFonts w:ascii="Arial"/>
                <w:sz w:val="21"/>
              </w:rPr>
            </w:pPr>
          </w:p>
          <w:p w14:paraId="6CAD00E1">
            <w:pPr>
              <w:spacing w:line="269" w:lineRule="auto"/>
              <w:rPr>
                <w:rFonts w:ascii="Arial"/>
                <w:sz w:val="21"/>
              </w:rPr>
            </w:pPr>
          </w:p>
          <w:p w14:paraId="50914431">
            <w:pPr>
              <w:spacing w:line="270" w:lineRule="auto"/>
              <w:rPr>
                <w:rFonts w:ascii="Arial"/>
                <w:sz w:val="21"/>
              </w:rPr>
            </w:pPr>
          </w:p>
          <w:p w14:paraId="74B908ED">
            <w:pPr>
              <w:spacing w:line="270" w:lineRule="auto"/>
              <w:rPr>
                <w:rFonts w:ascii="Arial"/>
                <w:sz w:val="21"/>
              </w:rPr>
            </w:pPr>
          </w:p>
          <w:p w14:paraId="1BEC1FE8">
            <w:pPr>
              <w:pStyle w:val="6"/>
              <w:spacing w:before="58"/>
              <w:ind w:left="50"/>
              <w:rPr>
                <w:rFonts w:ascii="仿宋" w:hAnsi="仿宋" w:eastAsia="仿宋" w:cs="仿宋"/>
              </w:rPr>
            </w:pPr>
            <w:r>
              <w:rPr>
                <w:spacing w:val="9"/>
              </w:rPr>
              <w:t>K0+300</w:t>
            </w:r>
            <w:r>
              <w:rPr>
                <w:rFonts w:ascii="仿宋" w:hAnsi="仿宋" w:eastAsia="仿宋" w:cs="仿宋"/>
                <w:spacing w:val="9"/>
              </w:rPr>
              <w:t>~</w:t>
            </w:r>
          </w:p>
          <w:p w14:paraId="7E495581">
            <w:pPr>
              <w:pStyle w:val="6"/>
              <w:spacing w:before="15" w:line="188" w:lineRule="auto"/>
              <w:ind w:left="138"/>
            </w:pPr>
            <w:r>
              <w:rPr>
                <w:spacing w:val="-1"/>
              </w:rPr>
              <w:t>K2+270</w:t>
            </w:r>
          </w:p>
        </w:tc>
        <w:tc>
          <w:tcPr>
            <w:tcW w:w="712" w:type="dxa"/>
            <w:vMerge w:val="restart"/>
            <w:tcBorders>
              <w:bottom w:val="nil"/>
            </w:tcBorders>
            <w:vAlign w:val="top"/>
          </w:tcPr>
          <w:p w14:paraId="46513DF8">
            <w:pPr>
              <w:spacing w:line="245" w:lineRule="auto"/>
              <w:rPr>
                <w:rFonts w:ascii="Arial"/>
                <w:sz w:val="21"/>
              </w:rPr>
            </w:pPr>
          </w:p>
          <w:p w14:paraId="4CC85C20">
            <w:pPr>
              <w:spacing w:line="245" w:lineRule="auto"/>
              <w:rPr>
                <w:rFonts w:ascii="Arial"/>
                <w:sz w:val="21"/>
              </w:rPr>
            </w:pPr>
          </w:p>
          <w:p w14:paraId="53750725">
            <w:pPr>
              <w:spacing w:line="245" w:lineRule="auto"/>
              <w:rPr>
                <w:rFonts w:ascii="Arial"/>
                <w:sz w:val="21"/>
              </w:rPr>
            </w:pPr>
          </w:p>
          <w:p w14:paraId="2B129B6A">
            <w:pPr>
              <w:spacing w:line="245" w:lineRule="auto"/>
              <w:rPr>
                <w:rFonts w:ascii="Arial"/>
                <w:sz w:val="21"/>
              </w:rPr>
            </w:pPr>
          </w:p>
          <w:p w14:paraId="30964332">
            <w:pPr>
              <w:spacing w:line="246" w:lineRule="auto"/>
              <w:rPr>
                <w:rFonts w:ascii="Arial"/>
                <w:sz w:val="21"/>
              </w:rPr>
            </w:pPr>
          </w:p>
          <w:p w14:paraId="310189F5">
            <w:pPr>
              <w:spacing w:line="246" w:lineRule="auto"/>
              <w:rPr>
                <w:rFonts w:ascii="Arial"/>
                <w:sz w:val="21"/>
              </w:rPr>
            </w:pPr>
          </w:p>
          <w:p w14:paraId="2076542A">
            <w:pPr>
              <w:spacing w:line="246" w:lineRule="auto"/>
              <w:rPr>
                <w:rFonts w:ascii="Arial"/>
                <w:sz w:val="21"/>
              </w:rPr>
            </w:pPr>
          </w:p>
          <w:p w14:paraId="418E46E1">
            <w:pPr>
              <w:spacing w:before="58" w:line="223" w:lineRule="auto"/>
              <w:ind w:left="183"/>
              <w:rPr>
                <w:rFonts w:ascii="仿宋" w:hAnsi="仿宋" w:eastAsia="仿宋" w:cs="仿宋"/>
                <w:sz w:val="18"/>
                <w:szCs w:val="18"/>
              </w:rPr>
            </w:pPr>
            <w:r>
              <w:rPr>
                <w:rFonts w:ascii="仿宋" w:hAnsi="仿宋" w:eastAsia="仿宋" w:cs="仿宋"/>
                <w:spacing w:val="-6"/>
                <w:sz w:val="18"/>
                <w:szCs w:val="18"/>
              </w:rPr>
              <w:t>路基</w:t>
            </w:r>
          </w:p>
        </w:tc>
        <w:tc>
          <w:tcPr>
            <w:tcW w:w="963" w:type="dxa"/>
            <w:vAlign w:val="top"/>
          </w:tcPr>
          <w:p w14:paraId="4710473B">
            <w:pPr>
              <w:rPr>
                <w:rFonts w:ascii="Arial"/>
                <w:sz w:val="21"/>
              </w:rPr>
            </w:pPr>
          </w:p>
          <w:p w14:paraId="6A789FE2">
            <w:pPr>
              <w:rPr>
                <w:rFonts w:ascii="Arial"/>
                <w:sz w:val="21"/>
              </w:rPr>
            </w:pPr>
          </w:p>
          <w:p w14:paraId="367BE9BC">
            <w:pPr>
              <w:spacing w:line="241" w:lineRule="auto"/>
              <w:rPr>
                <w:rFonts w:ascii="Arial"/>
                <w:sz w:val="21"/>
              </w:rPr>
            </w:pPr>
          </w:p>
          <w:p w14:paraId="025134B9">
            <w:pPr>
              <w:spacing w:before="58" w:line="223" w:lineRule="auto"/>
              <w:ind w:left="306"/>
              <w:rPr>
                <w:rFonts w:ascii="仿宋" w:hAnsi="仿宋" w:eastAsia="仿宋" w:cs="仿宋"/>
                <w:sz w:val="18"/>
                <w:szCs w:val="18"/>
              </w:rPr>
            </w:pPr>
            <w:r>
              <w:rPr>
                <w:rFonts w:ascii="仿宋" w:hAnsi="仿宋" w:eastAsia="仿宋" w:cs="仿宋"/>
                <w:spacing w:val="-6"/>
                <w:sz w:val="18"/>
                <w:szCs w:val="18"/>
              </w:rPr>
              <w:t>路左</w:t>
            </w:r>
          </w:p>
        </w:tc>
        <w:tc>
          <w:tcPr>
            <w:tcW w:w="1049" w:type="dxa"/>
            <w:vAlign w:val="top"/>
          </w:tcPr>
          <w:p w14:paraId="5D6DCB31">
            <w:pPr>
              <w:spacing w:line="252" w:lineRule="auto"/>
              <w:rPr>
                <w:rFonts w:ascii="Arial"/>
                <w:sz w:val="21"/>
              </w:rPr>
            </w:pPr>
          </w:p>
          <w:p w14:paraId="10811763">
            <w:pPr>
              <w:spacing w:line="252" w:lineRule="auto"/>
              <w:rPr>
                <w:rFonts w:ascii="Arial"/>
                <w:sz w:val="21"/>
              </w:rPr>
            </w:pPr>
          </w:p>
          <w:p w14:paraId="6392909A">
            <w:pPr>
              <w:spacing w:line="252" w:lineRule="auto"/>
              <w:rPr>
                <w:rFonts w:ascii="Arial"/>
                <w:sz w:val="21"/>
              </w:rPr>
            </w:pPr>
          </w:p>
          <w:p w14:paraId="00BAEE0F">
            <w:pPr>
              <w:pStyle w:val="6"/>
              <w:spacing w:before="52" w:line="188" w:lineRule="auto"/>
              <w:ind w:left="369"/>
            </w:pPr>
            <w:r>
              <w:rPr>
                <w:spacing w:val="-2"/>
              </w:rPr>
              <w:t>0.13</w:t>
            </w:r>
          </w:p>
        </w:tc>
        <w:tc>
          <w:tcPr>
            <w:tcW w:w="1050" w:type="dxa"/>
            <w:vAlign w:val="top"/>
          </w:tcPr>
          <w:p w14:paraId="616529CB">
            <w:pPr>
              <w:spacing w:line="253" w:lineRule="auto"/>
              <w:rPr>
                <w:rFonts w:ascii="Arial"/>
                <w:sz w:val="21"/>
              </w:rPr>
            </w:pPr>
          </w:p>
          <w:p w14:paraId="00BD3D43">
            <w:pPr>
              <w:spacing w:line="253" w:lineRule="auto"/>
              <w:rPr>
                <w:rFonts w:ascii="Arial"/>
                <w:sz w:val="21"/>
              </w:rPr>
            </w:pPr>
          </w:p>
          <w:p w14:paraId="41E16B66">
            <w:pPr>
              <w:spacing w:line="253" w:lineRule="auto"/>
              <w:rPr>
                <w:rFonts w:ascii="Arial"/>
                <w:sz w:val="21"/>
              </w:rPr>
            </w:pPr>
          </w:p>
          <w:p w14:paraId="7F6AF03B">
            <w:pPr>
              <w:pStyle w:val="6"/>
              <w:spacing w:before="51" w:line="185" w:lineRule="auto"/>
              <w:ind w:left="373"/>
            </w:pPr>
            <w:r>
              <w:rPr>
                <w:spacing w:val="-3"/>
              </w:rPr>
              <w:t>5.75</w:t>
            </w:r>
          </w:p>
        </w:tc>
        <w:tc>
          <w:tcPr>
            <w:tcW w:w="937" w:type="dxa"/>
            <w:vAlign w:val="top"/>
          </w:tcPr>
          <w:p w14:paraId="144A1761">
            <w:pPr>
              <w:spacing w:line="252" w:lineRule="auto"/>
              <w:rPr>
                <w:rFonts w:ascii="Arial"/>
                <w:sz w:val="21"/>
              </w:rPr>
            </w:pPr>
          </w:p>
          <w:p w14:paraId="489FFA3B">
            <w:pPr>
              <w:spacing w:line="252" w:lineRule="auto"/>
              <w:rPr>
                <w:rFonts w:ascii="Arial"/>
                <w:sz w:val="21"/>
              </w:rPr>
            </w:pPr>
          </w:p>
          <w:p w14:paraId="61A4601D">
            <w:pPr>
              <w:spacing w:line="252" w:lineRule="auto"/>
              <w:rPr>
                <w:rFonts w:ascii="Arial"/>
                <w:sz w:val="21"/>
              </w:rPr>
            </w:pPr>
          </w:p>
          <w:p w14:paraId="59C1EB23">
            <w:pPr>
              <w:pStyle w:val="6"/>
              <w:spacing w:before="52" w:line="188" w:lineRule="auto"/>
              <w:ind w:left="429"/>
            </w:pPr>
            <w:r>
              <w:t>8</w:t>
            </w:r>
          </w:p>
        </w:tc>
        <w:tc>
          <w:tcPr>
            <w:tcW w:w="1087" w:type="dxa"/>
            <w:vAlign w:val="top"/>
          </w:tcPr>
          <w:p w14:paraId="6789CF29">
            <w:pPr>
              <w:spacing w:line="273" w:lineRule="auto"/>
              <w:rPr>
                <w:rFonts w:ascii="Arial"/>
                <w:sz w:val="21"/>
              </w:rPr>
            </w:pPr>
          </w:p>
          <w:p w14:paraId="487505E4">
            <w:pPr>
              <w:spacing w:line="274" w:lineRule="auto"/>
              <w:rPr>
                <w:rFonts w:ascii="Arial"/>
                <w:sz w:val="21"/>
              </w:rPr>
            </w:pPr>
          </w:p>
          <w:p w14:paraId="311D182A">
            <w:pPr>
              <w:spacing w:line="274" w:lineRule="auto"/>
              <w:rPr>
                <w:rFonts w:ascii="Arial"/>
                <w:sz w:val="21"/>
              </w:rPr>
            </w:pPr>
          </w:p>
          <w:p w14:paraId="4772003D">
            <w:pPr>
              <w:pStyle w:val="6"/>
              <w:spacing w:before="59" w:line="224" w:lineRule="auto"/>
              <w:ind w:left="426"/>
              <w:rPr>
                <w:rFonts w:ascii="仿宋" w:hAnsi="仿宋" w:eastAsia="仿宋" w:cs="仿宋"/>
              </w:rPr>
            </w:pPr>
            <w:r>
              <w:rPr>
                <w:spacing w:val="-11"/>
              </w:rPr>
              <w:t>1</w:t>
            </w:r>
            <w:r>
              <w:rPr>
                <w:rFonts w:ascii="仿宋" w:hAnsi="仿宋" w:eastAsia="仿宋" w:cs="仿宋"/>
                <w:spacing w:val="-11"/>
              </w:rPr>
              <w:t>类</w:t>
            </w:r>
          </w:p>
        </w:tc>
        <w:tc>
          <w:tcPr>
            <w:tcW w:w="1135" w:type="dxa"/>
            <w:vAlign w:val="top"/>
          </w:tcPr>
          <w:p w14:paraId="186F82EE">
            <w:pPr>
              <w:rPr>
                <w:rFonts w:ascii="Arial"/>
                <w:sz w:val="21"/>
              </w:rPr>
            </w:pPr>
          </w:p>
          <w:p w14:paraId="185DE0E5">
            <w:pPr>
              <w:rPr>
                <w:rFonts w:ascii="Arial"/>
                <w:sz w:val="21"/>
              </w:rPr>
            </w:pPr>
          </w:p>
          <w:p w14:paraId="4337D07A">
            <w:pPr>
              <w:spacing w:line="241" w:lineRule="auto"/>
              <w:rPr>
                <w:rFonts w:ascii="Arial"/>
                <w:sz w:val="21"/>
              </w:rPr>
            </w:pPr>
          </w:p>
          <w:p w14:paraId="6EF7FE72">
            <w:pPr>
              <w:pStyle w:val="6"/>
              <w:spacing w:before="58" w:line="223" w:lineRule="auto"/>
              <w:ind w:left="275"/>
              <w:rPr>
                <w:rFonts w:ascii="仿宋" w:hAnsi="仿宋" w:eastAsia="仿宋" w:cs="仿宋"/>
              </w:rPr>
            </w:pPr>
            <w:r>
              <w:rPr>
                <w:spacing w:val="-1"/>
              </w:rPr>
              <w:t>2</w:t>
            </w:r>
            <w:r>
              <w:rPr>
                <w:rFonts w:ascii="仿宋" w:hAnsi="仿宋" w:eastAsia="仿宋" w:cs="仿宋"/>
                <w:spacing w:val="-1"/>
              </w:rPr>
              <w:t>户</w:t>
            </w:r>
            <w:r>
              <w:rPr>
                <w:spacing w:val="-1"/>
              </w:rPr>
              <w:t>/5</w:t>
            </w:r>
            <w:r>
              <w:rPr>
                <w:rFonts w:ascii="仿宋" w:hAnsi="仿宋" w:eastAsia="仿宋" w:cs="仿宋"/>
                <w:spacing w:val="-1"/>
              </w:rPr>
              <w:t>人</w:t>
            </w:r>
          </w:p>
        </w:tc>
        <w:tc>
          <w:tcPr>
            <w:tcW w:w="2225" w:type="dxa"/>
            <w:vAlign w:val="top"/>
          </w:tcPr>
          <w:p w14:paraId="29BA6703">
            <w:pPr>
              <w:spacing w:line="301" w:lineRule="auto"/>
              <w:rPr>
                <w:rFonts w:ascii="Arial"/>
                <w:sz w:val="21"/>
              </w:rPr>
            </w:pPr>
          </w:p>
          <w:p w14:paraId="5B58F975">
            <w:pPr>
              <w:spacing w:line="302" w:lineRule="auto"/>
              <w:rPr>
                <w:rFonts w:ascii="Arial"/>
                <w:sz w:val="21"/>
              </w:rPr>
            </w:pPr>
          </w:p>
          <w:p w14:paraId="5E31BD48">
            <w:pPr>
              <w:pStyle w:val="6"/>
              <w:spacing w:before="59"/>
              <w:ind w:left="42" w:hanging="28"/>
              <w:rPr>
                <w:rFonts w:ascii="仿宋" w:hAnsi="仿宋" w:eastAsia="仿宋" w:cs="仿宋"/>
              </w:rPr>
            </w:pPr>
            <w:r>
              <w:rPr>
                <w:rFonts w:ascii="仿宋" w:hAnsi="仿宋" w:eastAsia="仿宋" w:cs="仿宋"/>
                <w:spacing w:val="-4"/>
              </w:rPr>
              <w:t>砖混，</w:t>
            </w:r>
            <w:r>
              <w:rPr>
                <w:spacing w:val="-4"/>
              </w:rPr>
              <w:t>1</w:t>
            </w:r>
            <w:r>
              <w:rPr>
                <w:rFonts w:ascii="仿宋" w:hAnsi="仿宋" w:eastAsia="仿宋" w:cs="仿宋"/>
                <w:spacing w:val="-4"/>
              </w:rPr>
              <w:t>层平房，侧向拟建道</w:t>
            </w:r>
            <w:r>
              <w:rPr>
                <w:rFonts w:ascii="仿宋" w:hAnsi="仿宋" w:eastAsia="仿宋" w:cs="仿宋"/>
                <w:spacing w:val="-1"/>
              </w:rPr>
              <w:t>路，地势略高于拟建道路。</w:t>
            </w:r>
          </w:p>
        </w:tc>
        <w:tc>
          <w:tcPr>
            <w:tcW w:w="2111" w:type="dxa"/>
            <w:vMerge w:val="restart"/>
            <w:tcBorders>
              <w:bottom w:val="nil"/>
            </w:tcBorders>
            <w:vAlign w:val="top"/>
          </w:tcPr>
          <w:p w14:paraId="6C97DF08">
            <w:pPr>
              <w:rPr>
                <w:rFonts w:ascii="Arial"/>
                <w:sz w:val="21"/>
              </w:rPr>
            </w:pPr>
          </w:p>
        </w:tc>
      </w:tr>
      <w:tr w14:paraId="440ECB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2" w:hRule="atLeast"/>
        </w:trPr>
        <w:tc>
          <w:tcPr>
            <w:tcW w:w="511" w:type="dxa"/>
            <w:vMerge w:val="restart"/>
            <w:tcBorders>
              <w:bottom w:val="nil"/>
            </w:tcBorders>
            <w:vAlign w:val="top"/>
          </w:tcPr>
          <w:p w14:paraId="2F0BE1AB">
            <w:pPr>
              <w:spacing w:line="296" w:lineRule="auto"/>
              <w:rPr>
                <w:rFonts w:ascii="Arial"/>
                <w:sz w:val="21"/>
              </w:rPr>
            </w:pPr>
          </w:p>
          <w:p w14:paraId="0B1B5F46">
            <w:pPr>
              <w:spacing w:line="296" w:lineRule="auto"/>
              <w:rPr>
                <w:rFonts w:ascii="Arial"/>
                <w:sz w:val="21"/>
              </w:rPr>
            </w:pPr>
          </w:p>
          <w:p w14:paraId="34357E99">
            <w:pPr>
              <w:spacing w:line="296" w:lineRule="auto"/>
              <w:rPr>
                <w:rFonts w:ascii="Arial"/>
                <w:sz w:val="21"/>
              </w:rPr>
            </w:pPr>
          </w:p>
          <w:p w14:paraId="6120E071">
            <w:pPr>
              <w:pStyle w:val="6"/>
              <w:spacing w:before="52" w:line="188" w:lineRule="auto"/>
              <w:ind w:left="236"/>
            </w:pPr>
            <w:r>
              <w:rPr>
                <w:spacing w:val="-10"/>
              </w:rPr>
              <w:t>13</w:t>
            </w:r>
          </w:p>
        </w:tc>
        <w:tc>
          <w:tcPr>
            <w:tcW w:w="725" w:type="dxa"/>
            <w:vMerge w:val="restart"/>
            <w:tcBorders>
              <w:bottom w:val="nil"/>
            </w:tcBorders>
            <w:vAlign w:val="top"/>
          </w:tcPr>
          <w:p w14:paraId="3DA0E65C">
            <w:pPr>
              <w:spacing w:line="244" w:lineRule="auto"/>
              <w:rPr>
                <w:rFonts w:ascii="Arial"/>
                <w:sz w:val="21"/>
              </w:rPr>
            </w:pPr>
          </w:p>
          <w:p w14:paraId="08C6220F">
            <w:pPr>
              <w:spacing w:line="244" w:lineRule="auto"/>
              <w:rPr>
                <w:rFonts w:ascii="Arial"/>
                <w:sz w:val="21"/>
              </w:rPr>
            </w:pPr>
          </w:p>
          <w:p w14:paraId="232B265A">
            <w:pPr>
              <w:spacing w:line="245" w:lineRule="auto"/>
              <w:rPr>
                <w:rFonts w:ascii="Arial"/>
                <w:sz w:val="21"/>
              </w:rPr>
            </w:pPr>
          </w:p>
          <w:p w14:paraId="7C9584D0">
            <w:pPr>
              <w:spacing w:before="58" w:line="248" w:lineRule="auto"/>
              <w:ind w:left="284" w:right="91" w:hanging="182"/>
              <w:rPr>
                <w:rFonts w:ascii="仿宋" w:hAnsi="仿宋" w:eastAsia="仿宋" w:cs="仿宋"/>
                <w:sz w:val="18"/>
                <w:szCs w:val="18"/>
              </w:rPr>
            </w:pPr>
            <w:r>
              <w:rPr>
                <w:rFonts w:ascii="仿宋" w:hAnsi="仿宋" w:eastAsia="仿宋" w:cs="仿宋"/>
                <w:spacing w:val="-5"/>
                <w:sz w:val="18"/>
                <w:szCs w:val="18"/>
              </w:rPr>
              <w:t>张家圪</w:t>
            </w:r>
            <w:r>
              <w:rPr>
                <w:rFonts w:ascii="仿宋" w:hAnsi="仿宋" w:eastAsia="仿宋" w:cs="仿宋"/>
                <w:sz w:val="18"/>
                <w:szCs w:val="18"/>
              </w:rPr>
              <w:t>旦</w:t>
            </w:r>
          </w:p>
        </w:tc>
        <w:tc>
          <w:tcPr>
            <w:tcW w:w="800" w:type="dxa"/>
            <w:vMerge w:val="continue"/>
            <w:tcBorders>
              <w:top w:val="nil"/>
              <w:bottom w:val="nil"/>
            </w:tcBorders>
            <w:vAlign w:val="top"/>
          </w:tcPr>
          <w:p w14:paraId="23212CC8">
            <w:pPr>
              <w:rPr>
                <w:rFonts w:ascii="Arial"/>
                <w:sz w:val="21"/>
              </w:rPr>
            </w:pPr>
          </w:p>
        </w:tc>
        <w:tc>
          <w:tcPr>
            <w:tcW w:w="875" w:type="dxa"/>
            <w:vMerge w:val="continue"/>
            <w:tcBorders>
              <w:top w:val="nil"/>
              <w:bottom w:val="nil"/>
            </w:tcBorders>
            <w:vAlign w:val="top"/>
          </w:tcPr>
          <w:p w14:paraId="40EFBFCE">
            <w:pPr>
              <w:rPr>
                <w:rFonts w:ascii="Arial"/>
                <w:sz w:val="21"/>
              </w:rPr>
            </w:pPr>
          </w:p>
        </w:tc>
        <w:tc>
          <w:tcPr>
            <w:tcW w:w="712" w:type="dxa"/>
            <w:vMerge w:val="continue"/>
            <w:tcBorders>
              <w:top w:val="nil"/>
              <w:bottom w:val="nil"/>
            </w:tcBorders>
            <w:vAlign w:val="top"/>
          </w:tcPr>
          <w:p w14:paraId="475698F3">
            <w:pPr>
              <w:rPr>
                <w:rFonts w:ascii="Arial"/>
                <w:sz w:val="21"/>
              </w:rPr>
            </w:pPr>
          </w:p>
        </w:tc>
        <w:tc>
          <w:tcPr>
            <w:tcW w:w="963" w:type="dxa"/>
            <w:vAlign w:val="top"/>
          </w:tcPr>
          <w:p w14:paraId="0364D6C5">
            <w:pPr>
              <w:spacing w:line="273" w:lineRule="auto"/>
              <w:rPr>
                <w:rFonts w:ascii="Arial"/>
                <w:sz w:val="21"/>
              </w:rPr>
            </w:pPr>
          </w:p>
          <w:p w14:paraId="2E990DE6">
            <w:pPr>
              <w:spacing w:before="58" w:line="223" w:lineRule="auto"/>
              <w:ind w:left="306"/>
              <w:rPr>
                <w:rFonts w:ascii="仿宋" w:hAnsi="仿宋" w:eastAsia="仿宋" w:cs="仿宋"/>
                <w:sz w:val="18"/>
                <w:szCs w:val="18"/>
              </w:rPr>
            </w:pPr>
            <w:r>
              <w:rPr>
                <w:rFonts w:ascii="仿宋" w:hAnsi="仿宋" w:eastAsia="仿宋" w:cs="仿宋"/>
                <w:spacing w:val="-6"/>
                <w:sz w:val="18"/>
                <w:szCs w:val="18"/>
              </w:rPr>
              <w:t>路右</w:t>
            </w:r>
          </w:p>
        </w:tc>
        <w:tc>
          <w:tcPr>
            <w:tcW w:w="1049" w:type="dxa"/>
            <w:vAlign w:val="top"/>
          </w:tcPr>
          <w:p w14:paraId="64C1AE76">
            <w:pPr>
              <w:spacing w:line="308" w:lineRule="auto"/>
              <w:rPr>
                <w:rFonts w:ascii="Arial"/>
                <w:sz w:val="21"/>
              </w:rPr>
            </w:pPr>
          </w:p>
          <w:p w14:paraId="329B68DB">
            <w:pPr>
              <w:pStyle w:val="6"/>
              <w:spacing w:before="52" w:line="188" w:lineRule="auto"/>
              <w:ind w:left="429"/>
            </w:pPr>
            <w:r>
              <w:rPr>
                <w:spacing w:val="-7"/>
              </w:rPr>
              <w:t>1.</w:t>
            </w:r>
            <w:r>
              <w:rPr>
                <w:spacing w:val="-24"/>
              </w:rPr>
              <w:t xml:space="preserve"> </w:t>
            </w:r>
            <w:r>
              <w:rPr>
                <w:spacing w:val="-7"/>
              </w:rPr>
              <w:t>1</w:t>
            </w:r>
          </w:p>
        </w:tc>
        <w:tc>
          <w:tcPr>
            <w:tcW w:w="1050" w:type="dxa"/>
            <w:vAlign w:val="top"/>
          </w:tcPr>
          <w:p w14:paraId="69B7656C">
            <w:pPr>
              <w:spacing w:line="308" w:lineRule="auto"/>
              <w:rPr>
                <w:rFonts w:ascii="Arial"/>
                <w:sz w:val="21"/>
              </w:rPr>
            </w:pPr>
          </w:p>
          <w:p w14:paraId="759BCF1E">
            <w:pPr>
              <w:pStyle w:val="6"/>
              <w:spacing w:before="52" w:line="188" w:lineRule="auto"/>
              <w:ind w:left="322"/>
            </w:pPr>
            <w:r>
              <w:rPr>
                <w:spacing w:val="-1"/>
              </w:rPr>
              <w:t>24.75</w:t>
            </w:r>
          </w:p>
        </w:tc>
        <w:tc>
          <w:tcPr>
            <w:tcW w:w="937" w:type="dxa"/>
            <w:vAlign w:val="top"/>
          </w:tcPr>
          <w:p w14:paraId="2106411C">
            <w:pPr>
              <w:spacing w:line="308" w:lineRule="auto"/>
              <w:rPr>
                <w:rFonts w:ascii="Arial"/>
                <w:sz w:val="21"/>
              </w:rPr>
            </w:pPr>
          </w:p>
          <w:p w14:paraId="28B7BFF4">
            <w:pPr>
              <w:pStyle w:val="6"/>
              <w:spacing w:before="52" w:line="188" w:lineRule="auto"/>
              <w:ind w:left="379"/>
            </w:pPr>
            <w:r>
              <w:rPr>
                <w:spacing w:val="-2"/>
              </w:rPr>
              <w:t>27</w:t>
            </w:r>
          </w:p>
        </w:tc>
        <w:tc>
          <w:tcPr>
            <w:tcW w:w="1087" w:type="dxa"/>
            <w:vMerge w:val="restart"/>
            <w:tcBorders>
              <w:bottom w:val="nil"/>
            </w:tcBorders>
            <w:vAlign w:val="top"/>
          </w:tcPr>
          <w:p w14:paraId="40D8CEB1">
            <w:pPr>
              <w:spacing w:line="283" w:lineRule="auto"/>
              <w:rPr>
                <w:rFonts w:ascii="Arial"/>
                <w:sz w:val="21"/>
              </w:rPr>
            </w:pPr>
          </w:p>
          <w:p w14:paraId="69FFA68D">
            <w:pPr>
              <w:spacing w:line="284" w:lineRule="auto"/>
              <w:rPr>
                <w:rFonts w:ascii="Arial"/>
                <w:sz w:val="21"/>
              </w:rPr>
            </w:pPr>
          </w:p>
          <w:p w14:paraId="1AE688E6">
            <w:pPr>
              <w:spacing w:line="284" w:lineRule="auto"/>
              <w:rPr>
                <w:rFonts w:ascii="Arial"/>
                <w:sz w:val="21"/>
              </w:rPr>
            </w:pPr>
          </w:p>
          <w:p w14:paraId="65F77C7D">
            <w:pPr>
              <w:pStyle w:val="6"/>
              <w:spacing w:before="58" w:line="224" w:lineRule="auto"/>
              <w:ind w:left="426"/>
              <w:rPr>
                <w:rFonts w:ascii="仿宋" w:hAnsi="仿宋" w:eastAsia="仿宋" w:cs="仿宋"/>
              </w:rPr>
            </w:pPr>
            <w:r>
              <w:rPr>
                <w:spacing w:val="-11"/>
              </w:rPr>
              <w:t>1</w:t>
            </w:r>
            <w:r>
              <w:rPr>
                <w:rFonts w:ascii="仿宋" w:hAnsi="仿宋" w:eastAsia="仿宋" w:cs="仿宋"/>
                <w:spacing w:val="-11"/>
              </w:rPr>
              <w:t>类</w:t>
            </w:r>
          </w:p>
        </w:tc>
        <w:tc>
          <w:tcPr>
            <w:tcW w:w="1135" w:type="dxa"/>
            <w:vAlign w:val="top"/>
          </w:tcPr>
          <w:p w14:paraId="0B8EF1FF">
            <w:pPr>
              <w:spacing w:line="273" w:lineRule="auto"/>
              <w:rPr>
                <w:rFonts w:ascii="Arial"/>
                <w:sz w:val="21"/>
              </w:rPr>
            </w:pPr>
          </w:p>
          <w:p w14:paraId="66955A07">
            <w:pPr>
              <w:pStyle w:val="6"/>
              <w:spacing w:before="58" w:line="223" w:lineRule="auto"/>
              <w:ind w:left="234"/>
              <w:rPr>
                <w:rFonts w:ascii="仿宋" w:hAnsi="仿宋" w:eastAsia="仿宋" w:cs="仿宋"/>
              </w:rPr>
            </w:pPr>
            <w:r>
              <w:rPr>
                <w:spacing w:val="-2"/>
              </w:rPr>
              <w:t>5</w:t>
            </w:r>
            <w:r>
              <w:rPr>
                <w:rFonts w:ascii="仿宋" w:hAnsi="仿宋" w:eastAsia="仿宋" w:cs="仿宋"/>
                <w:spacing w:val="-2"/>
              </w:rPr>
              <w:t>户</w:t>
            </w:r>
            <w:r>
              <w:rPr>
                <w:spacing w:val="-2"/>
              </w:rPr>
              <w:t>/17</w:t>
            </w:r>
            <w:r>
              <w:rPr>
                <w:rFonts w:ascii="仿宋" w:hAnsi="仿宋" w:eastAsia="仿宋" w:cs="仿宋"/>
                <w:spacing w:val="-2"/>
              </w:rPr>
              <w:t>人</w:t>
            </w:r>
          </w:p>
        </w:tc>
        <w:tc>
          <w:tcPr>
            <w:tcW w:w="2225" w:type="dxa"/>
            <w:vAlign w:val="top"/>
          </w:tcPr>
          <w:p w14:paraId="4C6C5F58">
            <w:pPr>
              <w:pStyle w:val="6"/>
              <w:spacing w:before="98" w:line="222" w:lineRule="auto"/>
              <w:jc w:val="right"/>
              <w:rPr>
                <w:rFonts w:ascii="仿宋" w:hAnsi="仿宋" w:eastAsia="仿宋" w:cs="仿宋"/>
              </w:rPr>
            </w:pPr>
            <w:r>
              <w:rPr>
                <w:rFonts w:ascii="仿宋" w:hAnsi="仿宋" w:eastAsia="仿宋" w:cs="仿宋"/>
                <w:spacing w:val="-4"/>
              </w:rPr>
              <w:t>砖混，</w:t>
            </w:r>
            <w:r>
              <w:rPr>
                <w:spacing w:val="-4"/>
              </w:rPr>
              <w:t>1</w:t>
            </w:r>
            <w:r>
              <w:rPr>
                <w:rFonts w:ascii="仿宋" w:hAnsi="仿宋" w:eastAsia="仿宋" w:cs="仿宋"/>
                <w:spacing w:val="-4"/>
              </w:rPr>
              <w:t>层平房，侧向、背向</w:t>
            </w:r>
          </w:p>
          <w:p w14:paraId="022DE8A1">
            <w:pPr>
              <w:spacing w:before="16" w:line="222" w:lineRule="auto"/>
              <w:ind w:left="43"/>
              <w:rPr>
                <w:rFonts w:ascii="仿宋" w:hAnsi="仿宋" w:eastAsia="仿宋" w:cs="仿宋"/>
                <w:sz w:val="18"/>
                <w:szCs w:val="18"/>
              </w:rPr>
            </w:pPr>
            <w:r>
              <w:rPr>
                <w:rFonts w:ascii="仿宋" w:hAnsi="仿宋" w:eastAsia="仿宋" w:cs="仿宋"/>
                <w:spacing w:val="-1"/>
                <w:sz w:val="18"/>
                <w:szCs w:val="18"/>
              </w:rPr>
              <w:t>拟建道路，地势略高于拟建</w:t>
            </w:r>
          </w:p>
          <w:p w14:paraId="50D4E42C">
            <w:pPr>
              <w:spacing w:before="18" w:line="223" w:lineRule="auto"/>
              <w:ind w:left="853"/>
              <w:rPr>
                <w:rFonts w:ascii="仿宋" w:hAnsi="仿宋" w:eastAsia="仿宋" w:cs="仿宋"/>
                <w:sz w:val="18"/>
                <w:szCs w:val="18"/>
              </w:rPr>
            </w:pPr>
            <w:r>
              <w:rPr>
                <w:rFonts w:ascii="仿宋" w:hAnsi="仿宋" w:eastAsia="仿宋" w:cs="仿宋"/>
                <w:spacing w:val="-5"/>
                <w:sz w:val="18"/>
                <w:szCs w:val="18"/>
              </w:rPr>
              <w:t>道路。</w:t>
            </w:r>
          </w:p>
        </w:tc>
        <w:tc>
          <w:tcPr>
            <w:tcW w:w="2111" w:type="dxa"/>
            <w:vMerge w:val="continue"/>
            <w:tcBorders>
              <w:top w:val="nil"/>
              <w:bottom w:val="nil"/>
            </w:tcBorders>
            <w:vAlign w:val="top"/>
          </w:tcPr>
          <w:p w14:paraId="6587A2EB">
            <w:pPr>
              <w:rPr>
                <w:rFonts w:ascii="Arial"/>
                <w:sz w:val="21"/>
              </w:rPr>
            </w:pPr>
          </w:p>
        </w:tc>
      </w:tr>
      <w:tr w14:paraId="7F2A96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64" w:hRule="atLeast"/>
        </w:trPr>
        <w:tc>
          <w:tcPr>
            <w:tcW w:w="511" w:type="dxa"/>
            <w:vMerge w:val="continue"/>
            <w:tcBorders>
              <w:top w:val="nil"/>
              <w:bottom w:val="single" w:color="000000" w:sz="10" w:space="0"/>
            </w:tcBorders>
            <w:vAlign w:val="top"/>
          </w:tcPr>
          <w:p w14:paraId="623A4CCA">
            <w:pPr>
              <w:rPr>
                <w:rFonts w:ascii="Arial"/>
                <w:sz w:val="21"/>
              </w:rPr>
            </w:pPr>
          </w:p>
        </w:tc>
        <w:tc>
          <w:tcPr>
            <w:tcW w:w="725" w:type="dxa"/>
            <w:vMerge w:val="continue"/>
            <w:tcBorders>
              <w:top w:val="nil"/>
              <w:bottom w:val="single" w:color="000000" w:sz="10" w:space="0"/>
            </w:tcBorders>
            <w:vAlign w:val="top"/>
          </w:tcPr>
          <w:p w14:paraId="24544EC0">
            <w:pPr>
              <w:rPr>
                <w:rFonts w:ascii="Arial"/>
                <w:sz w:val="21"/>
              </w:rPr>
            </w:pPr>
          </w:p>
        </w:tc>
        <w:tc>
          <w:tcPr>
            <w:tcW w:w="800" w:type="dxa"/>
            <w:vMerge w:val="continue"/>
            <w:tcBorders>
              <w:top w:val="nil"/>
              <w:bottom w:val="single" w:color="000000" w:sz="10" w:space="0"/>
            </w:tcBorders>
            <w:vAlign w:val="top"/>
          </w:tcPr>
          <w:p w14:paraId="03B17640">
            <w:pPr>
              <w:rPr>
                <w:rFonts w:ascii="Arial"/>
                <w:sz w:val="21"/>
              </w:rPr>
            </w:pPr>
          </w:p>
        </w:tc>
        <w:tc>
          <w:tcPr>
            <w:tcW w:w="875" w:type="dxa"/>
            <w:vMerge w:val="continue"/>
            <w:tcBorders>
              <w:top w:val="nil"/>
              <w:bottom w:val="single" w:color="000000" w:sz="10" w:space="0"/>
            </w:tcBorders>
            <w:vAlign w:val="top"/>
          </w:tcPr>
          <w:p w14:paraId="5832C79A">
            <w:pPr>
              <w:rPr>
                <w:rFonts w:ascii="Arial"/>
                <w:sz w:val="21"/>
              </w:rPr>
            </w:pPr>
          </w:p>
        </w:tc>
        <w:tc>
          <w:tcPr>
            <w:tcW w:w="712" w:type="dxa"/>
            <w:vMerge w:val="continue"/>
            <w:tcBorders>
              <w:top w:val="nil"/>
              <w:bottom w:val="single" w:color="000000" w:sz="10" w:space="0"/>
            </w:tcBorders>
            <w:vAlign w:val="top"/>
          </w:tcPr>
          <w:p w14:paraId="6AAB0978">
            <w:pPr>
              <w:rPr>
                <w:rFonts w:ascii="Arial"/>
                <w:sz w:val="21"/>
              </w:rPr>
            </w:pPr>
          </w:p>
        </w:tc>
        <w:tc>
          <w:tcPr>
            <w:tcW w:w="963" w:type="dxa"/>
            <w:tcBorders>
              <w:bottom w:val="single" w:color="000000" w:sz="10" w:space="0"/>
            </w:tcBorders>
            <w:vAlign w:val="top"/>
          </w:tcPr>
          <w:p w14:paraId="78BD8E3F">
            <w:pPr>
              <w:spacing w:line="431" w:lineRule="auto"/>
              <w:rPr>
                <w:rFonts w:ascii="Arial"/>
                <w:sz w:val="21"/>
              </w:rPr>
            </w:pPr>
          </w:p>
          <w:p w14:paraId="33892B38">
            <w:pPr>
              <w:spacing w:before="58" w:line="223" w:lineRule="auto"/>
              <w:ind w:left="306"/>
              <w:rPr>
                <w:rFonts w:ascii="仿宋" w:hAnsi="仿宋" w:eastAsia="仿宋" w:cs="仿宋"/>
                <w:sz w:val="18"/>
                <w:szCs w:val="18"/>
              </w:rPr>
            </w:pPr>
            <w:r>
              <w:rPr>
                <w:rFonts w:ascii="仿宋" w:hAnsi="仿宋" w:eastAsia="仿宋" w:cs="仿宋"/>
                <w:spacing w:val="-6"/>
                <w:sz w:val="18"/>
                <w:szCs w:val="18"/>
              </w:rPr>
              <w:t>路左</w:t>
            </w:r>
          </w:p>
        </w:tc>
        <w:tc>
          <w:tcPr>
            <w:tcW w:w="1049" w:type="dxa"/>
            <w:tcBorders>
              <w:bottom w:val="single" w:color="000000" w:sz="10" w:space="0"/>
            </w:tcBorders>
            <w:vAlign w:val="top"/>
          </w:tcPr>
          <w:p w14:paraId="6D145DF0">
            <w:pPr>
              <w:spacing w:line="466" w:lineRule="auto"/>
              <w:rPr>
                <w:rFonts w:ascii="Arial"/>
                <w:sz w:val="21"/>
              </w:rPr>
            </w:pPr>
          </w:p>
          <w:p w14:paraId="3ADC53A4">
            <w:pPr>
              <w:pStyle w:val="6"/>
              <w:spacing w:before="52" w:line="188" w:lineRule="auto"/>
              <w:ind w:left="369"/>
            </w:pPr>
            <w:r>
              <w:rPr>
                <w:spacing w:val="-2"/>
              </w:rPr>
              <w:t>0.17</w:t>
            </w:r>
          </w:p>
        </w:tc>
        <w:tc>
          <w:tcPr>
            <w:tcW w:w="1050" w:type="dxa"/>
            <w:tcBorders>
              <w:bottom w:val="single" w:color="000000" w:sz="10" w:space="0"/>
            </w:tcBorders>
            <w:vAlign w:val="top"/>
          </w:tcPr>
          <w:p w14:paraId="711F166C">
            <w:pPr>
              <w:spacing w:line="466" w:lineRule="auto"/>
              <w:rPr>
                <w:rFonts w:ascii="Arial"/>
                <w:sz w:val="21"/>
              </w:rPr>
            </w:pPr>
          </w:p>
          <w:p w14:paraId="3A47284E">
            <w:pPr>
              <w:pStyle w:val="6"/>
              <w:spacing w:before="52" w:line="188" w:lineRule="auto"/>
              <w:ind w:left="322"/>
            </w:pPr>
            <w:r>
              <w:rPr>
                <w:spacing w:val="-1"/>
              </w:rPr>
              <w:t>24.75</w:t>
            </w:r>
          </w:p>
        </w:tc>
        <w:tc>
          <w:tcPr>
            <w:tcW w:w="937" w:type="dxa"/>
            <w:tcBorders>
              <w:bottom w:val="single" w:color="000000" w:sz="10" w:space="0"/>
            </w:tcBorders>
            <w:vAlign w:val="top"/>
          </w:tcPr>
          <w:p w14:paraId="50519DDD">
            <w:pPr>
              <w:spacing w:line="466" w:lineRule="auto"/>
              <w:rPr>
                <w:rFonts w:ascii="Arial"/>
                <w:sz w:val="21"/>
              </w:rPr>
            </w:pPr>
          </w:p>
          <w:p w14:paraId="0BF826DC">
            <w:pPr>
              <w:pStyle w:val="6"/>
              <w:spacing w:before="52" w:line="188" w:lineRule="auto"/>
              <w:ind w:left="379"/>
            </w:pPr>
            <w:r>
              <w:rPr>
                <w:spacing w:val="-2"/>
              </w:rPr>
              <w:t>27</w:t>
            </w:r>
          </w:p>
        </w:tc>
        <w:tc>
          <w:tcPr>
            <w:tcW w:w="1087" w:type="dxa"/>
            <w:vMerge w:val="continue"/>
            <w:tcBorders>
              <w:top w:val="nil"/>
              <w:bottom w:val="single" w:color="000000" w:sz="10" w:space="0"/>
            </w:tcBorders>
            <w:vAlign w:val="top"/>
          </w:tcPr>
          <w:p w14:paraId="3B17601A">
            <w:pPr>
              <w:rPr>
                <w:rFonts w:ascii="Arial"/>
                <w:sz w:val="21"/>
              </w:rPr>
            </w:pPr>
          </w:p>
        </w:tc>
        <w:tc>
          <w:tcPr>
            <w:tcW w:w="1135" w:type="dxa"/>
            <w:tcBorders>
              <w:bottom w:val="single" w:color="000000" w:sz="10" w:space="0"/>
            </w:tcBorders>
            <w:vAlign w:val="top"/>
          </w:tcPr>
          <w:p w14:paraId="7DC97E90">
            <w:pPr>
              <w:spacing w:line="431" w:lineRule="auto"/>
              <w:rPr>
                <w:rFonts w:ascii="Arial"/>
                <w:sz w:val="21"/>
              </w:rPr>
            </w:pPr>
          </w:p>
          <w:p w14:paraId="1986098D">
            <w:pPr>
              <w:pStyle w:val="6"/>
              <w:spacing w:before="58" w:line="223" w:lineRule="auto"/>
              <w:ind w:left="278"/>
              <w:rPr>
                <w:rFonts w:ascii="仿宋" w:hAnsi="仿宋" w:eastAsia="仿宋" w:cs="仿宋"/>
              </w:rPr>
            </w:pPr>
            <w:r>
              <w:rPr>
                <w:spacing w:val="-2"/>
              </w:rPr>
              <w:t>3</w:t>
            </w:r>
            <w:r>
              <w:rPr>
                <w:rFonts w:ascii="仿宋" w:hAnsi="仿宋" w:eastAsia="仿宋" w:cs="仿宋"/>
                <w:spacing w:val="-2"/>
              </w:rPr>
              <w:t>户</w:t>
            </w:r>
            <w:r>
              <w:rPr>
                <w:spacing w:val="-2"/>
              </w:rPr>
              <w:t>/7</w:t>
            </w:r>
            <w:r>
              <w:rPr>
                <w:rFonts w:ascii="仿宋" w:hAnsi="仿宋" w:eastAsia="仿宋" w:cs="仿宋"/>
                <w:spacing w:val="-2"/>
              </w:rPr>
              <w:t>人</w:t>
            </w:r>
          </w:p>
        </w:tc>
        <w:tc>
          <w:tcPr>
            <w:tcW w:w="2225" w:type="dxa"/>
            <w:tcBorders>
              <w:bottom w:val="single" w:color="000000" w:sz="10" w:space="0"/>
            </w:tcBorders>
            <w:vAlign w:val="top"/>
          </w:tcPr>
          <w:p w14:paraId="1A731C0C">
            <w:pPr>
              <w:spacing w:line="313" w:lineRule="auto"/>
              <w:rPr>
                <w:rFonts w:ascii="Arial"/>
                <w:sz w:val="21"/>
              </w:rPr>
            </w:pPr>
          </w:p>
          <w:p w14:paraId="582E7EFE">
            <w:pPr>
              <w:pStyle w:val="6"/>
              <w:spacing w:before="59"/>
              <w:ind w:left="42" w:hanging="28"/>
              <w:rPr>
                <w:rFonts w:ascii="仿宋" w:hAnsi="仿宋" w:eastAsia="仿宋" w:cs="仿宋"/>
              </w:rPr>
            </w:pPr>
            <w:r>
              <w:rPr>
                <w:rFonts w:ascii="仿宋" w:hAnsi="仿宋" w:eastAsia="仿宋" w:cs="仿宋"/>
                <w:spacing w:val="-4"/>
              </w:rPr>
              <w:t>砖混，</w:t>
            </w:r>
            <w:r>
              <w:rPr>
                <w:spacing w:val="-4"/>
              </w:rPr>
              <w:t>1</w:t>
            </w:r>
            <w:r>
              <w:rPr>
                <w:rFonts w:ascii="仿宋" w:hAnsi="仿宋" w:eastAsia="仿宋" w:cs="仿宋"/>
                <w:spacing w:val="-4"/>
              </w:rPr>
              <w:t>层平房，侧向拟建道</w:t>
            </w:r>
            <w:r>
              <w:rPr>
                <w:rFonts w:ascii="仿宋" w:hAnsi="仿宋" w:eastAsia="仿宋" w:cs="仿宋"/>
                <w:spacing w:val="-1"/>
              </w:rPr>
              <w:t>路，地势略高于拟建道路。</w:t>
            </w:r>
          </w:p>
        </w:tc>
        <w:tc>
          <w:tcPr>
            <w:tcW w:w="2111" w:type="dxa"/>
            <w:vMerge w:val="continue"/>
            <w:tcBorders>
              <w:top w:val="nil"/>
              <w:bottom w:val="single" w:color="000000" w:sz="10" w:space="0"/>
            </w:tcBorders>
            <w:vAlign w:val="top"/>
          </w:tcPr>
          <w:p w14:paraId="0D83C46C">
            <w:pPr>
              <w:rPr>
                <w:rFonts w:ascii="Arial"/>
                <w:sz w:val="21"/>
              </w:rPr>
            </w:pPr>
          </w:p>
        </w:tc>
      </w:tr>
      <w:tr w14:paraId="71F47C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 w:hRule="atLeast"/>
        </w:trPr>
        <w:tc>
          <w:tcPr>
            <w:tcW w:w="14180" w:type="dxa"/>
            <w:gridSpan w:val="13"/>
            <w:tcBorders>
              <w:top w:val="single" w:color="000000" w:sz="10" w:space="0"/>
            </w:tcBorders>
            <w:vAlign w:val="top"/>
          </w:tcPr>
          <w:p w14:paraId="6F1A148F">
            <w:pPr>
              <w:spacing w:line="120" w:lineRule="exact"/>
              <w:rPr>
                <w:rFonts w:ascii="Arial"/>
                <w:sz w:val="10"/>
              </w:rPr>
            </w:pPr>
          </w:p>
        </w:tc>
      </w:tr>
    </w:tbl>
    <w:p w14:paraId="24F25C5E">
      <w:pPr>
        <w:pStyle w:val="2"/>
        <w:rPr>
          <w:sz w:val="21"/>
        </w:rPr>
      </w:pPr>
    </w:p>
    <w:p w14:paraId="3A7D4CBF">
      <w:pPr>
        <w:rPr>
          <w:sz w:val="21"/>
          <w:szCs w:val="21"/>
        </w:rPr>
        <w:sectPr>
          <w:footerReference r:id="rId52" w:type="default"/>
          <w:pgSz w:w="16840" w:h="11907"/>
          <w:pgMar w:top="400" w:right="1327" w:bottom="1447" w:left="1327" w:header="0" w:footer="1285" w:gutter="0"/>
          <w:cols w:space="720" w:num="1"/>
        </w:sectPr>
      </w:pPr>
    </w:p>
    <w:p w14:paraId="19C7041F">
      <w:pPr>
        <w:spacing w:before="38"/>
      </w:pPr>
    </w:p>
    <w:p w14:paraId="61CDB34D">
      <w:pPr>
        <w:spacing w:before="38"/>
      </w:pPr>
    </w:p>
    <w:p w14:paraId="53C9541E">
      <w:pPr>
        <w:spacing w:before="38"/>
      </w:pPr>
    </w:p>
    <w:p w14:paraId="0268D6B5">
      <w:pPr>
        <w:spacing w:before="38"/>
      </w:pPr>
    </w:p>
    <w:p w14:paraId="7D870F35">
      <w:pPr>
        <w:spacing w:before="37"/>
      </w:pPr>
    </w:p>
    <w:tbl>
      <w:tblPr>
        <w:tblStyle w:val="5"/>
        <w:tblW w:w="1418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11"/>
        <w:gridCol w:w="725"/>
        <w:gridCol w:w="800"/>
        <w:gridCol w:w="875"/>
        <w:gridCol w:w="712"/>
        <w:gridCol w:w="963"/>
        <w:gridCol w:w="1049"/>
        <w:gridCol w:w="1050"/>
        <w:gridCol w:w="937"/>
        <w:gridCol w:w="1087"/>
        <w:gridCol w:w="1135"/>
        <w:gridCol w:w="2225"/>
        <w:gridCol w:w="2111"/>
      </w:tblGrid>
      <w:tr w14:paraId="2E9495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46" w:hRule="atLeast"/>
        </w:trPr>
        <w:tc>
          <w:tcPr>
            <w:tcW w:w="511" w:type="dxa"/>
            <w:tcBorders>
              <w:bottom w:val="single" w:color="000000" w:sz="10" w:space="0"/>
            </w:tcBorders>
            <w:vAlign w:val="top"/>
          </w:tcPr>
          <w:p w14:paraId="0C1DB2DF">
            <w:pPr>
              <w:spacing w:line="273" w:lineRule="auto"/>
              <w:rPr>
                <w:rFonts w:ascii="Arial"/>
                <w:sz w:val="21"/>
              </w:rPr>
            </w:pPr>
          </w:p>
          <w:p w14:paraId="36FAA167">
            <w:pPr>
              <w:spacing w:line="273" w:lineRule="auto"/>
              <w:rPr>
                <w:rFonts w:ascii="Arial"/>
                <w:sz w:val="21"/>
              </w:rPr>
            </w:pPr>
          </w:p>
          <w:p w14:paraId="47598EA2">
            <w:pPr>
              <w:spacing w:line="273" w:lineRule="auto"/>
              <w:rPr>
                <w:rFonts w:ascii="Arial"/>
                <w:sz w:val="21"/>
              </w:rPr>
            </w:pPr>
          </w:p>
          <w:p w14:paraId="637521AE">
            <w:pPr>
              <w:pStyle w:val="6"/>
              <w:spacing w:before="52" w:line="188" w:lineRule="auto"/>
              <w:ind w:left="236"/>
            </w:pPr>
            <w:r>
              <w:rPr>
                <w:spacing w:val="-11"/>
              </w:rPr>
              <w:t>14</w:t>
            </w:r>
          </w:p>
        </w:tc>
        <w:tc>
          <w:tcPr>
            <w:tcW w:w="725" w:type="dxa"/>
            <w:tcBorders>
              <w:bottom w:val="single" w:color="000000" w:sz="10" w:space="0"/>
            </w:tcBorders>
            <w:vAlign w:val="top"/>
          </w:tcPr>
          <w:p w14:paraId="1785C709">
            <w:pPr>
              <w:spacing w:line="260" w:lineRule="auto"/>
              <w:rPr>
                <w:rFonts w:ascii="Arial"/>
                <w:sz w:val="21"/>
              </w:rPr>
            </w:pPr>
          </w:p>
          <w:p w14:paraId="655CDB68">
            <w:pPr>
              <w:spacing w:line="261" w:lineRule="auto"/>
              <w:rPr>
                <w:rFonts w:ascii="Arial"/>
                <w:sz w:val="21"/>
              </w:rPr>
            </w:pPr>
          </w:p>
          <w:p w14:paraId="0543AF98">
            <w:pPr>
              <w:spacing w:line="261" w:lineRule="auto"/>
              <w:rPr>
                <w:rFonts w:ascii="Arial"/>
                <w:sz w:val="21"/>
              </w:rPr>
            </w:pPr>
          </w:p>
          <w:p w14:paraId="2AFE1538">
            <w:pPr>
              <w:spacing w:before="58" w:line="222" w:lineRule="auto"/>
              <w:ind w:left="100"/>
              <w:rPr>
                <w:rFonts w:ascii="仿宋" w:hAnsi="仿宋" w:eastAsia="仿宋" w:cs="仿宋"/>
                <w:sz w:val="18"/>
                <w:szCs w:val="18"/>
              </w:rPr>
            </w:pPr>
            <w:r>
              <w:rPr>
                <w:rFonts w:ascii="仿宋" w:hAnsi="仿宋" w:eastAsia="仿宋" w:cs="仿宋"/>
                <w:spacing w:val="-4"/>
                <w:sz w:val="18"/>
                <w:szCs w:val="18"/>
              </w:rPr>
              <w:t>神官湾</w:t>
            </w:r>
          </w:p>
        </w:tc>
        <w:tc>
          <w:tcPr>
            <w:tcW w:w="800" w:type="dxa"/>
            <w:tcBorders>
              <w:bottom w:val="single" w:color="000000" w:sz="10" w:space="0"/>
            </w:tcBorders>
            <w:vAlign w:val="top"/>
          </w:tcPr>
          <w:p w14:paraId="2DFBE8A4">
            <w:pPr>
              <w:spacing w:line="275" w:lineRule="auto"/>
              <w:rPr>
                <w:rFonts w:ascii="Arial"/>
                <w:sz w:val="21"/>
              </w:rPr>
            </w:pPr>
          </w:p>
          <w:p w14:paraId="62097529">
            <w:pPr>
              <w:spacing w:line="276" w:lineRule="auto"/>
              <w:rPr>
                <w:rFonts w:ascii="Arial"/>
                <w:sz w:val="21"/>
              </w:rPr>
            </w:pPr>
          </w:p>
          <w:p w14:paraId="3B0451C4">
            <w:pPr>
              <w:spacing w:before="59" w:line="239" w:lineRule="auto"/>
              <w:ind w:left="80" w:right="39" w:hanging="33"/>
              <w:jc w:val="both"/>
              <w:rPr>
                <w:rFonts w:ascii="仿宋" w:hAnsi="仿宋" w:eastAsia="仿宋" w:cs="仿宋"/>
                <w:sz w:val="18"/>
                <w:szCs w:val="18"/>
              </w:rPr>
            </w:pPr>
            <w:r>
              <w:rPr>
                <w:rFonts w:ascii="仿宋" w:hAnsi="仿宋" w:eastAsia="仿宋" w:cs="仿宋"/>
                <w:spacing w:val="-3"/>
                <w:sz w:val="18"/>
                <w:szCs w:val="18"/>
              </w:rPr>
              <w:t>脑包湾村</w:t>
            </w:r>
            <w:r>
              <w:rPr>
                <w:rFonts w:ascii="仿宋" w:hAnsi="仿宋" w:eastAsia="仿宋" w:cs="仿宋"/>
                <w:spacing w:val="-12"/>
                <w:sz w:val="18"/>
                <w:szCs w:val="18"/>
              </w:rPr>
              <w:t>自然村通</w:t>
            </w:r>
            <w:r>
              <w:rPr>
                <w:rFonts w:ascii="仿宋" w:hAnsi="仿宋" w:eastAsia="仿宋" w:cs="仿宋"/>
                <w:spacing w:val="14"/>
                <w:sz w:val="18"/>
                <w:szCs w:val="18"/>
              </w:rPr>
              <w:t>硬化路</w:t>
            </w:r>
          </w:p>
        </w:tc>
        <w:tc>
          <w:tcPr>
            <w:tcW w:w="875" w:type="dxa"/>
            <w:tcBorders>
              <w:bottom w:val="single" w:color="000000" w:sz="10" w:space="0"/>
            </w:tcBorders>
            <w:vAlign w:val="top"/>
          </w:tcPr>
          <w:p w14:paraId="74CCF17A">
            <w:pPr>
              <w:spacing w:line="339" w:lineRule="auto"/>
              <w:rPr>
                <w:rFonts w:ascii="Arial"/>
                <w:sz w:val="21"/>
              </w:rPr>
            </w:pPr>
          </w:p>
          <w:p w14:paraId="54A4432C">
            <w:pPr>
              <w:spacing w:line="340" w:lineRule="auto"/>
              <w:rPr>
                <w:rFonts w:ascii="Arial"/>
                <w:sz w:val="21"/>
              </w:rPr>
            </w:pPr>
          </w:p>
          <w:p w14:paraId="2B3CE906">
            <w:pPr>
              <w:pStyle w:val="6"/>
              <w:spacing w:before="59"/>
              <w:ind w:left="50"/>
              <w:rPr>
                <w:rFonts w:ascii="仿宋" w:hAnsi="仿宋" w:eastAsia="仿宋" w:cs="仿宋"/>
              </w:rPr>
            </w:pPr>
            <w:r>
              <w:rPr>
                <w:spacing w:val="9"/>
              </w:rPr>
              <w:t>K1+110</w:t>
            </w:r>
            <w:r>
              <w:rPr>
                <w:rFonts w:ascii="仿宋" w:hAnsi="仿宋" w:eastAsia="仿宋" w:cs="仿宋"/>
                <w:spacing w:val="9"/>
              </w:rPr>
              <w:t>~</w:t>
            </w:r>
          </w:p>
          <w:p w14:paraId="4B544F85">
            <w:pPr>
              <w:pStyle w:val="6"/>
              <w:spacing w:before="15" w:line="188" w:lineRule="auto"/>
              <w:ind w:left="138"/>
            </w:pPr>
            <w:r>
              <w:rPr>
                <w:spacing w:val="-1"/>
              </w:rPr>
              <w:t>K1+236</w:t>
            </w:r>
          </w:p>
        </w:tc>
        <w:tc>
          <w:tcPr>
            <w:tcW w:w="712" w:type="dxa"/>
            <w:tcBorders>
              <w:bottom w:val="single" w:color="000000" w:sz="10" w:space="0"/>
            </w:tcBorders>
            <w:vAlign w:val="top"/>
          </w:tcPr>
          <w:p w14:paraId="64834CF5">
            <w:pPr>
              <w:spacing w:line="260" w:lineRule="auto"/>
              <w:rPr>
                <w:rFonts w:ascii="Arial"/>
                <w:sz w:val="21"/>
              </w:rPr>
            </w:pPr>
          </w:p>
          <w:p w14:paraId="5080BCD7">
            <w:pPr>
              <w:spacing w:line="260" w:lineRule="auto"/>
              <w:rPr>
                <w:rFonts w:ascii="Arial"/>
                <w:sz w:val="21"/>
              </w:rPr>
            </w:pPr>
          </w:p>
          <w:p w14:paraId="78C3B1E4">
            <w:pPr>
              <w:spacing w:line="261" w:lineRule="auto"/>
              <w:rPr>
                <w:rFonts w:ascii="Arial"/>
                <w:sz w:val="21"/>
              </w:rPr>
            </w:pPr>
          </w:p>
          <w:p w14:paraId="1F881B67">
            <w:pPr>
              <w:spacing w:before="59" w:line="223" w:lineRule="auto"/>
              <w:ind w:left="183"/>
              <w:rPr>
                <w:rFonts w:ascii="仿宋" w:hAnsi="仿宋" w:eastAsia="仿宋" w:cs="仿宋"/>
                <w:sz w:val="18"/>
                <w:szCs w:val="18"/>
              </w:rPr>
            </w:pPr>
            <w:r>
              <w:rPr>
                <w:rFonts w:ascii="仿宋" w:hAnsi="仿宋" w:eastAsia="仿宋" w:cs="仿宋"/>
                <w:spacing w:val="-6"/>
                <w:sz w:val="18"/>
                <w:szCs w:val="18"/>
              </w:rPr>
              <w:t>路基</w:t>
            </w:r>
          </w:p>
        </w:tc>
        <w:tc>
          <w:tcPr>
            <w:tcW w:w="963" w:type="dxa"/>
            <w:tcBorders>
              <w:bottom w:val="single" w:color="000000" w:sz="10" w:space="0"/>
            </w:tcBorders>
            <w:vAlign w:val="top"/>
          </w:tcPr>
          <w:p w14:paraId="5B88D728">
            <w:pPr>
              <w:spacing w:line="260" w:lineRule="auto"/>
              <w:rPr>
                <w:rFonts w:ascii="Arial"/>
                <w:sz w:val="21"/>
              </w:rPr>
            </w:pPr>
          </w:p>
          <w:p w14:paraId="0EF3C30A">
            <w:pPr>
              <w:spacing w:line="260" w:lineRule="auto"/>
              <w:rPr>
                <w:rFonts w:ascii="Arial"/>
                <w:sz w:val="21"/>
              </w:rPr>
            </w:pPr>
          </w:p>
          <w:p w14:paraId="12D8F838">
            <w:pPr>
              <w:spacing w:line="261" w:lineRule="auto"/>
              <w:rPr>
                <w:rFonts w:ascii="Arial"/>
                <w:sz w:val="21"/>
              </w:rPr>
            </w:pPr>
          </w:p>
          <w:p w14:paraId="1A5B2C55">
            <w:pPr>
              <w:spacing w:before="59" w:line="223" w:lineRule="auto"/>
              <w:ind w:left="306"/>
              <w:rPr>
                <w:rFonts w:ascii="仿宋" w:hAnsi="仿宋" w:eastAsia="仿宋" w:cs="仿宋"/>
                <w:sz w:val="18"/>
                <w:szCs w:val="18"/>
              </w:rPr>
            </w:pPr>
            <w:r>
              <w:rPr>
                <w:rFonts w:ascii="仿宋" w:hAnsi="仿宋" w:eastAsia="仿宋" w:cs="仿宋"/>
                <w:spacing w:val="-6"/>
                <w:sz w:val="18"/>
                <w:szCs w:val="18"/>
              </w:rPr>
              <w:t>路左</w:t>
            </w:r>
          </w:p>
        </w:tc>
        <w:tc>
          <w:tcPr>
            <w:tcW w:w="1049" w:type="dxa"/>
            <w:tcBorders>
              <w:bottom w:val="single" w:color="000000" w:sz="10" w:space="0"/>
            </w:tcBorders>
            <w:vAlign w:val="top"/>
          </w:tcPr>
          <w:p w14:paraId="33AB658F">
            <w:pPr>
              <w:spacing w:line="273" w:lineRule="auto"/>
              <w:rPr>
                <w:rFonts w:ascii="Arial"/>
                <w:sz w:val="21"/>
              </w:rPr>
            </w:pPr>
          </w:p>
          <w:p w14:paraId="43C48805">
            <w:pPr>
              <w:spacing w:line="273" w:lineRule="auto"/>
              <w:rPr>
                <w:rFonts w:ascii="Arial"/>
                <w:sz w:val="21"/>
              </w:rPr>
            </w:pPr>
          </w:p>
          <w:p w14:paraId="570CDDFB">
            <w:pPr>
              <w:spacing w:line="273" w:lineRule="auto"/>
              <w:rPr>
                <w:rFonts w:ascii="Arial"/>
                <w:sz w:val="21"/>
              </w:rPr>
            </w:pPr>
          </w:p>
          <w:p w14:paraId="6B07E6BD">
            <w:pPr>
              <w:pStyle w:val="6"/>
              <w:spacing w:before="52" w:line="188" w:lineRule="auto"/>
              <w:ind w:left="371"/>
            </w:pPr>
            <w:r>
              <w:rPr>
                <w:spacing w:val="-2"/>
              </w:rPr>
              <w:t>5.18</w:t>
            </w:r>
          </w:p>
        </w:tc>
        <w:tc>
          <w:tcPr>
            <w:tcW w:w="1050" w:type="dxa"/>
            <w:tcBorders>
              <w:bottom w:val="single" w:color="000000" w:sz="10" w:space="0"/>
            </w:tcBorders>
            <w:vAlign w:val="top"/>
          </w:tcPr>
          <w:p w14:paraId="511DD384">
            <w:pPr>
              <w:spacing w:line="273" w:lineRule="auto"/>
              <w:rPr>
                <w:rFonts w:ascii="Arial"/>
                <w:sz w:val="21"/>
              </w:rPr>
            </w:pPr>
          </w:p>
          <w:p w14:paraId="383B4992">
            <w:pPr>
              <w:spacing w:line="273" w:lineRule="auto"/>
              <w:rPr>
                <w:rFonts w:ascii="Arial"/>
                <w:sz w:val="21"/>
              </w:rPr>
            </w:pPr>
          </w:p>
          <w:p w14:paraId="03A30D8F">
            <w:pPr>
              <w:spacing w:line="273" w:lineRule="auto"/>
              <w:rPr>
                <w:rFonts w:ascii="Arial"/>
                <w:sz w:val="21"/>
              </w:rPr>
            </w:pPr>
          </w:p>
          <w:p w14:paraId="6C3A2FCE">
            <w:pPr>
              <w:pStyle w:val="6"/>
              <w:spacing w:before="52" w:line="188" w:lineRule="auto"/>
              <w:ind w:left="340"/>
            </w:pPr>
            <w:r>
              <w:rPr>
                <w:spacing w:val="-4"/>
              </w:rPr>
              <w:t>12.75</w:t>
            </w:r>
          </w:p>
        </w:tc>
        <w:tc>
          <w:tcPr>
            <w:tcW w:w="937" w:type="dxa"/>
            <w:tcBorders>
              <w:bottom w:val="single" w:color="000000" w:sz="10" w:space="0"/>
            </w:tcBorders>
            <w:vAlign w:val="top"/>
          </w:tcPr>
          <w:p w14:paraId="44D9C621">
            <w:pPr>
              <w:spacing w:line="273" w:lineRule="auto"/>
              <w:rPr>
                <w:rFonts w:ascii="Arial"/>
                <w:sz w:val="21"/>
              </w:rPr>
            </w:pPr>
          </w:p>
          <w:p w14:paraId="277562B4">
            <w:pPr>
              <w:spacing w:line="273" w:lineRule="auto"/>
              <w:rPr>
                <w:rFonts w:ascii="Arial"/>
                <w:sz w:val="21"/>
              </w:rPr>
            </w:pPr>
          </w:p>
          <w:p w14:paraId="539692A1">
            <w:pPr>
              <w:spacing w:line="273" w:lineRule="auto"/>
              <w:rPr>
                <w:rFonts w:ascii="Arial"/>
                <w:sz w:val="21"/>
              </w:rPr>
            </w:pPr>
          </w:p>
          <w:p w14:paraId="4B6DC12F">
            <w:pPr>
              <w:pStyle w:val="6"/>
              <w:spacing w:before="52" w:line="188" w:lineRule="auto"/>
              <w:ind w:left="396"/>
            </w:pPr>
            <w:r>
              <w:rPr>
                <w:spacing w:val="-10"/>
              </w:rPr>
              <w:t>15</w:t>
            </w:r>
          </w:p>
        </w:tc>
        <w:tc>
          <w:tcPr>
            <w:tcW w:w="1087" w:type="dxa"/>
            <w:tcBorders>
              <w:bottom w:val="single" w:color="000000" w:sz="10" w:space="0"/>
            </w:tcBorders>
            <w:vAlign w:val="top"/>
          </w:tcPr>
          <w:p w14:paraId="64043CEF">
            <w:pPr>
              <w:spacing w:line="260" w:lineRule="auto"/>
              <w:rPr>
                <w:rFonts w:ascii="Arial"/>
                <w:sz w:val="21"/>
              </w:rPr>
            </w:pPr>
          </w:p>
          <w:p w14:paraId="17EDFA80">
            <w:pPr>
              <w:spacing w:line="261" w:lineRule="auto"/>
              <w:rPr>
                <w:rFonts w:ascii="Arial"/>
                <w:sz w:val="21"/>
              </w:rPr>
            </w:pPr>
          </w:p>
          <w:p w14:paraId="7D5E7F83">
            <w:pPr>
              <w:spacing w:line="261" w:lineRule="auto"/>
              <w:rPr>
                <w:rFonts w:ascii="Arial"/>
                <w:sz w:val="21"/>
              </w:rPr>
            </w:pPr>
          </w:p>
          <w:p w14:paraId="26250D82">
            <w:pPr>
              <w:pStyle w:val="6"/>
              <w:spacing w:before="58" w:line="224" w:lineRule="auto"/>
              <w:ind w:left="426"/>
              <w:rPr>
                <w:rFonts w:ascii="仿宋" w:hAnsi="仿宋" w:eastAsia="仿宋" w:cs="仿宋"/>
              </w:rPr>
            </w:pPr>
            <w:r>
              <w:rPr>
                <w:spacing w:val="-11"/>
              </w:rPr>
              <w:t>1</w:t>
            </w:r>
            <w:r>
              <w:rPr>
                <w:rFonts w:ascii="仿宋" w:hAnsi="仿宋" w:eastAsia="仿宋" w:cs="仿宋"/>
                <w:spacing w:val="-11"/>
              </w:rPr>
              <w:t>类</w:t>
            </w:r>
          </w:p>
        </w:tc>
        <w:tc>
          <w:tcPr>
            <w:tcW w:w="1135" w:type="dxa"/>
            <w:tcBorders>
              <w:bottom w:val="single" w:color="000000" w:sz="10" w:space="0"/>
            </w:tcBorders>
            <w:vAlign w:val="top"/>
          </w:tcPr>
          <w:p w14:paraId="5C8A2F6A">
            <w:pPr>
              <w:spacing w:line="260" w:lineRule="auto"/>
              <w:rPr>
                <w:rFonts w:ascii="Arial"/>
                <w:sz w:val="21"/>
              </w:rPr>
            </w:pPr>
          </w:p>
          <w:p w14:paraId="70734E19">
            <w:pPr>
              <w:spacing w:line="260" w:lineRule="auto"/>
              <w:rPr>
                <w:rFonts w:ascii="Arial"/>
                <w:sz w:val="21"/>
              </w:rPr>
            </w:pPr>
          </w:p>
          <w:p w14:paraId="6EE7240F">
            <w:pPr>
              <w:spacing w:line="261" w:lineRule="auto"/>
              <w:rPr>
                <w:rFonts w:ascii="Arial"/>
                <w:sz w:val="21"/>
              </w:rPr>
            </w:pPr>
          </w:p>
          <w:p w14:paraId="6C195A5D">
            <w:pPr>
              <w:pStyle w:val="6"/>
              <w:spacing w:before="59" w:line="223" w:lineRule="auto"/>
              <w:ind w:left="233"/>
              <w:rPr>
                <w:rFonts w:ascii="仿宋" w:hAnsi="仿宋" w:eastAsia="仿宋" w:cs="仿宋"/>
              </w:rPr>
            </w:pPr>
            <w:r>
              <w:rPr>
                <w:spacing w:val="-2"/>
              </w:rPr>
              <w:t>9</w:t>
            </w:r>
            <w:r>
              <w:rPr>
                <w:rFonts w:ascii="仿宋" w:hAnsi="仿宋" w:eastAsia="仿宋" w:cs="仿宋"/>
                <w:spacing w:val="-2"/>
              </w:rPr>
              <w:t>户</w:t>
            </w:r>
            <w:r>
              <w:rPr>
                <w:spacing w:val="-2"/>
              </w:rPr>
              <w:t>/25</w:t>
            </w:r>
            <w:r>
              <w:rPr>
                <w:rFonts w:ascii="仿宋" w:hAnsi="仿宋" w:eastAsia="仿宋" w:cs="仿宋"/>
                <w:spacing w:val="-2"/>
              </w:rPr>
              <w:t>人</w:t>
            </w:r>
          </w:p>
        </w:tc>
        <w:tc>
          <w:tcPr>
            <w:tcW w:w="2225" w:type="dxa"/>
            <w:tcBorders>
              <w:bottom w:val="single" w:color="000000" w:sz="10" w:space="0"/>
            </w:tcBorders>
            <w:vAlign w:val="top"/>
          </w:tcPr>
          <w:p w14:paraId="5FF25A91">
            <w:pPr>
              <w:spacing w:line="275" w:lineRule="auto"/>
              <w:rPr>
                <w:rFonts w:ascii="Arial"/>
                <w:sz w:val="21"/>
              </w:rPr>
            </w:pPr>
          </w:p>
          <w:p w14:paraId="198EEF1B">
            <w:pPr>
              <w:spacing w:line="275" w:lineRule="auto"/>
              <w:rPr>
                <w:rFonts w:ascii="Arial"/>
                <w:sz w:val="21"/>
              </w:rPr>
            </w:pPr>
          </w:p>
          <w:p w14:paraId="0DCAC70F">
            <w:pPr>
              <w:pStyle w:val="6"/>
              <w:spacing w:before="59" w:line="222" w:lineRule="auto"/>
              <w:jc w:val="right"/>
              <w:rPr>
                <w:rFonts w:ascii="仿宋" w:hAnsi="仿宋" w:eastAsia="仿宋" w:cs="仿宋"/>
              </w:rPr>
            </w:pPr>
            <w:r>
              <w:rPr>
                <w:rFonts w:ascii="仿宋" w:hAnsi="仿宋" w:eastAsia="仿宋" w:cs="仿宋"/>
                <w:spacing w:val="-4"/>
              </w:rPr>
              <w:t>砖混，</w:t>
            </w:r>
            <w:r>
              <w:rPr>
                <w:spacing w:val="-4"/>
              </w:rPr>
              <w:t>1</w:t>
            </w:r>
            <w:r>
              <w:rPr>
                <w:rFonts w:ascii="仿宋" w:hAnsi="仿宋" w:eastAsia="仿宋" w:cs="仿宋"/>
                <w:spacing w:val="-4"/>
              </w:rPr>
              <w:t>层平房，背向拟建道</w:t>
            </w:r>
          </w:p>
          <w:p w14:paraId="79AF6B4B">
            <w:pPr>
              <w:spacing w:before="16" w:line="223" w:lineRule="auto"/>
              <w:ind w:left="42"/>
              <w:rPr>
                <w:rFonts w:ascii="仿宋" w:hAnsi="仿宋" w:eastAsia="仿宋" w:cs="仿宋"/>
                <w:sz w:val="18"/>
                <w:szCs w:val="18"/>
              </w:rPr>
            </w:pPr>
            <w:r>
              <w:rPr>
                <w:rFonts w:ascii="仿宋" w:hAnsi="仿宋" w:eastAsia="仿宋" w:cs="仿宋"/>
                <w:spacing w:val="-1"/>
                <w:sz w:val="18"/>
                <w:szCs w:val="18"/>
              </w:rPr>
              <w:t>路，道路左侧地面地势高于</w:t>
            </w:r>
          </w:p>
          <w:p w14:paraId="6DCD938E">
            <w:pPr>
              <w:spacing w:before="15" w:line="223" w:lineRule="auto"/>
              <w:ind w:left="672"/>
              <w:rPr>
                <w:rFonts w:ascii="仿宋" w:hAnsi="仿宋" w:eastAsia="仿宋" w:cs="仿宋"/>
                <w:sz w:val="18"/>
                <w:szCs w:val="18"/>
              </w:rPr>
            </w:pPr>
            <w:r>
              <w:rPr>
                <w:rFonts w:ascii="仿宋" w:hAnsi="仿宋" w:eastAsia="仿宋" w:cs="仿宋"/>
                <w:spacing w:val="-3"/>
                <w:sz w:val="18"/>
                <w:szCs w:val="18"/>
              </w:rPr>
              <w:t>拟建道路。</w:t>
            </w:r>
          </w:p>
        </w:tc>
        <w:tc>
          <w:tcPr>
            <w:tcW w:w="2111" w:type="dxa"/>
            <w:tcBorders>
              <w:bottom w:val="single" w:color="000000" w:sz="10" w:space="0"/>
            </w:tcBorders>
            <w:vAlign w:val="top"/>
          </w:tcPr>
          <w:p w14:paraId="1EB88508">
            <w:pPr>
              <w:spacing w:before="33" w:line="1796" w:lineRule="exact"/>
              <w:ind w:firstLine="5"/>
            </w:pPr>
            <w:r>
              <w:rPr>
                <w:position w:val="-35"/>
              </w:rPr>
              <w:drawing>
                <wp:inline distT="0" distB="0" distL="0" distR="0">
                  <wp:extent cx="1266190" cy="1139825"/>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300"/>
                          <a:stretch>
                            <a:fillRect/>
                          </a:stretch>
                        </pic:blipFill>
                        <pic:spPr>
                          <a:xfrm>
                            <a:off x="0" y="0"/>
                            <a:ext cx="1266570" cy="1139951"/>
                          </a:xfrm>
                          <a:prstGeom prst="rect">
                            <a:avLst/>
                          </a:prstGeom>
                        </pic:spPr>
                      </pic:pic>
                    </a:graphicData>
                  </a:graphic>
                </wp:inline>
              </w:drawing>
            </w:r>
          </w:p>
        </w:tc>
      </w:tr>
      <w:tr w14:paraId="17BE6B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01" w:hRule="atLeast"/>
        </w:trPr>
        <w:tc>
          <w:tcPr>
            <w:tcW w:w="14180" w:type="dxa"/>
            <w:gridSpan w:val="13"/>
            <w:tcBorders>
              <w:top w:val="single" w:color="000000" w:sz="10" w:space="0"/>
            </w:tcBorders>
            <w:vAlign w:val="top"/>
          </w:tcPr>
          <w:p w14:paraId="5CD6B90F">
            <w:pPr>
              <w:rPr>
                <w:rFonts w:ascii="Arial"/>
                <w:sz w:val="21"/>
              </w:rPr>
            </w:pPr>
          </w:p>
        </w:tc>
      </w:tr>
    </w:tbl>
    <w:p w14:paraId="5840405E">
      <w:pPr>
        <w:pStyle w:val="2"/>
        <w:rPr>
          <w:sz w:val="21"/>
        </w:rPr>
      </w:pPr>
    </w:p>
    <w:p w14:paraId="63E9F892">
      <w:pPr>
        <w:rPr>
          <w:sz w:val="21"/>
          <w:szCs w:val="21"/>
        </w:rPr>
        <w:sectPr>
          <w:footerReference r:id="rId53" w:type="default"/>
          <w:pgSz w:w="16840" w:h="11907"/>
          <w:pgMar w:top="400" w:right="1327" w:bottom="1447" w:left="1327" w:header="0" w:footer="1285" w:gutter="0"/>
          <w:cols w:space="720" w:num="1"/>
        </w:sectPr>
      </w:pPr>
    </w:p>
    <w:p w14:paraId="19CDE586">
      <w:pPr>
        <w:spacing w:before="15"/>
      </w:pPr>
    </w:p>
    <w:p w14:paraId="163BAF04">
      <w:pPr>
        <w:spacing w:before="15"/>
      </w:pPr>
    </w:p>
    <w:p w14:paraId="2D3BA24B">
      <w:pPr>
        <w:spacing w:before="15"/>
      </w:pPr>
    </w:p>
    <w:p w14:paraId="1EA21302">
      <w:pPr>
        <w:spacing w:before="14"/>
      </w:pPr>
    </w:p>
    <w:p w14:paraId="3A4BC172">
      <w:pPr>
        <w:spacing w:before="14"/>
      </w:pPr>
    </w:p>
    <w:tbl>
      <w:tblPr>
        <w:tblStyle w:val="5"/>
        <w:tblW w:w="8599"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4"/>
        <w:gridCol w:w="1164"/>
        <w:gridCol w:w="1495"/>
        <w:gridCol w:w="1159"/>
        <w:gridCol w:w="1048"/>
        <w:gridCol w:w="1063"/>
        <w:gridCol w:w="988"/>
        <w:gridCol w:w="998"/>
      </w:tblGrid>
      <w:tr w14:paraId="43E53C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60" w:hRule="atLeast"/>
        </w:trPr>
        <w:tc>
          <w:tcPr>
            <w:tcW w:w="684" w:type="dxa"/>
            <w:vMerge w:val="restart"/>
            <w:tcBorders>
              <w:top w:val="single" w:color="000000" w:sz="6" w:space="0"/>
              <w:left w:val="single" w:color="000000" w:sz="6" w:space="0"/>
              <w:bottom w:val="nil"/>
            </w:tcBorders>
            <w:vAlign w:val="top"/>
          </w:tcPr>
          <w:p w14:paraId="48497700">
            <w:pPr>
              <w:spacing w:line="241" w:lineRule="auto"/>
              <w:rPr>
                <w:rFonts w:ascii="Arial"/>
                <w:sz w:val="21"/>
              </w:rPr>
            </w:pPr>
          </w:p>
          <w:p w14:paraId="480E6D7A">
            <w:pPr>
              <w:spacing w:line="241" w:lineRule="auto"/>
              <w:rPr>
                <w:rFonts w:ascii="Arial"/>
                <w:sz w:val="21"/>
              </w:rPr>
            </w:pPr>
          </w:p>
          <w:p w14:paraId="23919689">
            <w:pPr>
              <w:spacing w:line="241" w:lineRule="auto"/>
              <w:rPr>
                <w:rFonts w:ascii="Arial"/>
                <w:sz w:val="21"/>
              </w:rPr>
            </w:pPr>
          </w:p>
          <w:p w14:paraId="25DB593F">
            <w:pPr>
              <w:spacing w:line="241" w:lineRule="auto"/>
              <w:rPr>
                <w:rFonts w:ascii="Arial"/>
                <w:sz w:val="21"/>
              </w:rPr>
            </w:pPr>
          </w:p>
          <w:p w14:paraId="62A54B01">
            <w:pPr>
              <w:spacing w:line="241" w:lineRule="auto"/>
              <w:rPr>
                <w:rFonts w:ascii="Arial"/>
                <w:sz w:val="21"/>
              </w:rPr>
            </w:pPr>
          </w:p>
          <w:p w14:paraId="2DB6AB06">
            <w:pPr>
              <w:spacing w:line="241" w:lineRule="auto"/>
              <w:rPr>
                <w:rFonts w:ascii="Arial"/>
                <w:sz w:val="21"/>
              </w:rPr>
            </w:pPr>
          </w:p>
          <w:p w14:paraId="6015103B">
            <w:pPr>
              <w:spacing w:line="241" w:lineRule="auto"/>
              <w:rPr>
                <w:rFonts w:ascii="Arial"/>
                <w:sz w:val="21"/>
              </w:rPr>
            </w:pPr>
          </w:p>
          <w:p w14:paraId="53FDCDCD">
            <w:pPr>
              <w:spacing w:line="241" w:lineRule="auto"/>
              <w:rPr>
                <w:rFonts w:ascii="Arial"/>
                <w:sz w:val="21"/>
              </w:rPr>
            </w:pPr>
          </w:p>
          <w:p w14:paraId="2D97E124">
            <w:pPr>
              <w:spacing w:line="241" w:lineRule="auto"/>
              <w:rPr>
                <w:rFonts w:ascii="Arial"/>
                <w:sz w:val="21"/>
              </w:rPr>
            </w:pPr>
          </w:p>
          <w:p w14:paraId="0B1A666C">
            <w:pPr>
              <w:spacing w:line="241" w:lineRule="auto"/>
              <w:rPr>
                <w:rFonts w:ascii="Arial"/>
                <w:sz w:val="21"/>
              </w:rPr>
            </w:pPr>
          </w:p>
          <w:p w14:paraId="244A281D">
            <w:pPr>
              <w:spacing w:line="241" w:lineRule="auto"/>
              <w:rPr>
                <w:rFonts w:ascii="Arial"/>
                <w:sz w:val="21"/>
              </w:rPr>
            </w:pPr>
          </w:p>
          <w:p w14:paraId="40885DD5">
            <w:pPr>
              <w:spacing w:line="241" w:lineRule="auto"/>
              <w:rPr>
                <w:rFonts w:ascii="Arial"/>
                <w:sz w:val="21"/>
              </w:rPr>
            </w:pPr>
          </w:p>
          <w:p w14:paraId="6374517A">
            <w:pPr>
              <w:spacing w:line="241" w:lineRule="auto"/>
              <w:rPr>
                <w:rFonts w:ascii="Arial"/>
                <w:sz w:val="21"/>
              </w:rPr>
            </w:pPr>
          </w:p>
          <w:p w14:paraId="019C0BD6">
            <w:pPr>
              <w:spacing w:line="241" w:lineRule="auto"/>
              <w:rPr>
                <w:rFonts w:ascii="Arial"/>
                <w:sz w:val="21"/>
              </w:rPr>
            </w:pPr>
          </w:p>
          <w:p w14:paraId="652C1BDE">
            <w:pPr>
              <w:spacing w:line="241" w:lineRule="auto"/>
              <w:rPr>
                <w:rFonts w:ascii="Arial"/>
                <w:sz w:val="21"/>
              </w:rPr>
            </w:pPr>
          </w:p>
          <w:p w14:paraId="143F84EA">
            <w:pPr>
              <w:spacing w:line="241" w:lineRule="auto"/>
              <w:rPr>
                <w:rFonts w:ascii="Arial"/>
                <w:sz w:val="21"/>
              </w:rPr>
            </w:pPr>
          </w:p>
          <w:p w14:paraId="3A3E2CF2">
            <w:pPr>
              <w:spacing w:line="241" w:lineRule="auto"/>
              <w:rPr>
                <w:rFonts w:ascii="Arial"/>
                <w:sz w:val="21"/>
              </w:rPr>
            </w:pPr>
          </w:p>
          <w:p w14:paraId="10252A9F">
            <w:pPr>
              <w:spacing w:line="242" w:lineRule="auto"/>
              <w:rPr>
                <w:rFonts w:ascii="Arial"/>
                <w:sz w:val="21"/>
              </w:rPr>
            </w:pPr>
          </w:p>
          <w:p w14:paraId="614831AA">
            <w:pPr>
              <w:spacing w:line="242" w:lineRule="auto"/>
              <w:rPr>
                <w:rFonts w:ascii="Arial"/>
                <w:sz w:val="21"/>
              </w:rPr>
            </w:pPr>
          </w:p>
          <w:p w14:paraId="1E7E64AE">
            <w:pPr>
              <w:spacing w:line="242" w:lineRule="auto"/>
              <w:rPr>
                <w:rFonts w:ascii="Arial"/>
                <w:sz w:val="21"/>
              </w:rPr>
            </w:pPr>
          </w:p>
          <w:p w14:paraId="3FE461A1">
            <w:pPr>
              <w:spacing w:line="242" w:lineRule="auto"/>
              <w:rPr>
                <w:rFonts w:ascii="Arial"/>
                <w:sz w:val="21"/>
              </w:rPr>
            </w:pPr>
          </w:p>
          <w:p w14:paraId="61995D67">
            <w:pPr>
              <w:spacing w:line="242" w:lineRule="auto"/>
              <w:rPr>
                <w:rFonts w:ascii="Arial"/>
                <w:sz w:val="21"/>
              </w:rPr>
            </w:pPr>
          </w:p>
          <w:p w14:paraId="6E0A34E6">
            <w:pPr>
              <w:spacing w:line="242" w:lineRule="auto"/>
              <w:rPr>
                <w:rFonts w:ascii="Arial"/>
                <w:sz w:val="21"/>
              </w:rPr>
            </w:pPr>
          </w:p>
          <w:p w14:paraId="11B0BAFF">
            <w:pPr>
              <w:spacing w:line="242" w:lineRule="auto"/>
              <w:rPr>
                <w:rFonts w:ascii="Arial"/>
                <w:sz w:val="21"/>
              </w:rPr>
            </w:pPr>
          </w:p>
          <w:p w14:paraId="19FB8A02">
            <w:pPr>
              <w:spacing w:line="242" w:lineRule="auto"/>
              <w:rPr>
                <w:rFonts w:ascii="Arial"/>
                <w:sz w:val="21"/>
              </w:rPr>
            </w:pPr>
          </w:p>
          <w:p w14:paraId="2BEB1AE1">
            <w:pPr>
              <w:spacing w:line="242" w:lineRule="auto"/>
              <w:rPr>
                <w:rFonts w:ascii="Arial"/>
                <w:sz w:val="21"/>
              </w:rPr>
            </w:pPr>
          </w:p>
          <w:p w14:paraId="0A95CB8A">
            <w:pPr>
              <w:spacing w:before="65" w:line="252" w:lineRule="auto"/>
              <w:ind w:left="130" w:right="134" w:hanging="1"/>
              <w:rPr>
                <w:rFonts w:ascii="宋体" w:hAnsi="宋体" w:eastAsia="宋体" w:cs="宋体"/>
                <w:sz w:val="20"/>
                <w:szCs w:val="20"/>
              </w:rPr>
            </w:pPr>
            <w:r>
              <w:rPr>
                <w:rFonts w:ascii="宋体" w:hAnsi="宋体" w:eastAsia="宋体" w:cs="宋体"/>
                <w:spacing w:val="5"/>
                <w:sz w:val="20"/>
                <w:szCs w:val="20"/>
              </w:rPr>
              <w:t>评价</w:t>
            </w:r>
            <w:r>
              <w:rPr>
                <w:rFonts w:ascii="宋体" w:hAnsi="宋体" w:eastAsia="宋体" w:cs="宋体"/>
                <w:spacing w:val="4"/>
                <w:sz w:val="20"/>
                <w:szCs w:val="20"/>
              </w:rPr>
              <w:t>标准</w:t>
            </w:r>
          </w:p>
        </w:tc>
        <w:tc>
          <w:tcPr>
            <w:tcW w:w="7915" w:type="dxa"/>
            <w:gridSpan w:val="7"/>
            <w:tcBorders>
              <w:top w:val="single" w:color="000000" w:sz="6" w:space="0"/>
              <w:bottom w:val="single" w:color="000000" w:sz="10" w:space="0"/>
              <w:right w:val="single" w:color="000000" w:sz="6" w:space="0"/>
            </w:tcBorders>
            <w:vAlign w:val="top"/>
          </w:tcPr>
          <w:p w14:paraId="34A3E1A8">
            <w:pPr>
              <w:spacing w:before="35" w:line="231" w:lineRule="auto"/>
              <w:ind w:left="535"/>
              <w:rPr>
                <w:rFonts w:ascii="仿宋" w:hAnsi="仿宋" w:eastAsia="仿宋" w:cs="仿宋"/>
                <w:sz w:val="20"/>
                <w:szCs w:val="20"/>
              </w:rPr>
            </w:pPr>
            <w:r>
              <w:rPr>
                <w:rFonts w:ascii="仿宋" w:hAnsi="仿宋" w:eastAsia="仿宋" w:cs="仿宋"/>
                <w:b/>
                <w:bCs/>
                <w:spacing w:val="6"/>
                <w:sz w:val="20"/>
                <w:szCs w:val="20"/>
              </w:rPr>
              <w:t>一、环境质量标准</w:t>
            </w:r>
          </w:p>
          <w:p w14:paraId="04751EA5">
            <w:pPr>
              <w:pStyle w:val="6"/>
              <w:spacing w:before="157" w:line="231" w:lineRule="auto"/>
              <w:ind w:left="531"/>
              <w:rPr>
                <w:rFonts w:ascii="仿宋" w:hAnsi="仿宋" w:eastAsia="仿宋" w:cs="仿宋"/>
                <w:sz w:val="20"/>
                <w:szCs w:val="20"/>
              </w:rPr>
            </w:pPr>
            <w:r>
              <w:rPr>
                <w:b/>
                <w:bCs/>
                <w:spacing w:val="3"/>
                <w:sz w:val="20"/>
                <w:szCs w:val="20"/>
              </w:rPr>
              <w:t>1</w:t>
            </w:r>
            <w:r>
              <w:rPr>
                <w:b/>
                <w:bCs/>
                <w:spacing w:val="-12"/>
                <w:sz w:val="20"/>
                <w:szCs w:val="20"/>
              </w:rPr>
              <w:t xml:space="preserve"> </w:t>
            </w:r>
            <w:r>
              <w:rPr>
                <w:rFonts w:ascii="仿宋" w:hAnsi="仿宋" w:eastAsia="仿宋" w:cs="仿宋"/>
                <w:b/>
                <w:bCs/>
                <w:spacing w:val="3"/>
                <w:sz w:val="20"/>
                <w:szCs w:val="20"/>
              </w:rPr>
              <w:t>、环境空气质量标准</w:t>
            </w:r>
          </w:p>
          <w:p w14:paraId="7B9B93DF">
            <w:pPr>
              <w:pStyle w:val="6"/>
              <w:spacing w:before="160" w:line="376" w:lineRule="auto"/>
              <w:ind w:left="113" w:right="105" w:firstLine="419"/>
              <w:rPr>
                <w:rFonts w:ascii="仿宋" w:hAnsi="仿宋" w:eastAsia="仿宋" w:cs="仿宋"/>
                <w:sz w:val="20"/>
                <w:szCs w:val="20"/>
              </w:rPr>
            </w:pPr>
            <w:r>
              <w:rPr>
                <w:rFonts w:ascii="仿宋" w:hAnsi="仿宋" w:eastAsia="仿宋" w:cs="仿宋"/>
                <w:spacing w:val="7"/>
                <w:sz w:val="20"/>
                <w:szCs w:val="20"/>
              </w:rPr>
              <w:t>项目所在地环境空气质量执行《环境空气质量标准》（</w:t>
            </w:r>
            <w:r>
              <w:rPr>
                <w:sz w:val="20"/>
                <w:szCs w:val="20"/>
              </w:rPr>
              <w:t>GB</w:t>
            </w:r>
            <w:r>
              <w:rPr>
                <w:spacing w:val="7"/>
                <w:sz w:val="20"/>
                <w:szCs w:val="20"/>
              </w:rPr>
              <w:t>3095-2026</w:t>
            </w:r>
            <w:r>
              <w:rPr>
                <w:rFonts w:ascii="仿宋" w:hAnsi="仿宋" w:eastAsia="仿宋" w:cs="仿宋"/>
                <w:spacing w:val="7"/>
                <w:sz w:val="20"/>
                <w:szCs w:val="20"/>
              </w:rPr>
              <w:t>）</w:t>
            </w:r>
            <w:r>
              <w:rPr>
                <w:rFonts w:ascii="仿宋" w:hAnsi="仿宋" w:eastAsia="仿宋" w:cs="仿宋"/>
                <w:spacing w:val="-45"/>
                <w:sz w:val="20"/>
                <w:szCs w:val="20"/>
              </w:rPr>
              <w:t xml:space="preserve"> </w:t>
            </w:r>
            <w:r>
              <w:rPr>
                <w:rFonts w:ascii="仿宋" w:hAnsi="仿宋" w:eastAsia="仿宋" w:cs="仿宋"/>
                <w:spacing w:val="7"/>
                <w:sz w:val="20"/>
                <w:szCs w:val="20"/>
              </w:rPr>
              <w:t>中过渡阶</w:t>
            </w:r>
            <w:r>
              <w:rPr>
                <w:rFonts w:ascii="仿宋" w:hAnsi="仿宋" w:eastAsia="仿宋" w:cs="仿宋"/>
                <w:spacing w:val="8"/>
                <w:sz w:val="20"/>
                <w:szCs w:val="20"/>
              </w:rPr>
              <w:t>段浓度限值二级标准，详细标准值见下表。</w:t>
            </w:r>
          </w:p>
          <w:p w14:paraId="4B476583">
            <w:pPr>
              <w:pStyle w:val="6"/>
              <w:spacing w:line="231" w:lineRule="auto"/>
              <w:ind w:left="2746"/>
              <w:rPr>
                <w:rFonts w:ascii="仿宋" w:hAnsi="仿宋" w:eastAsia="仿宋" w:cs="仿宋"/>
                <w:sz w:val="20"/>
                <w:szCs w:val="20"/>
              </w:rPr>
            </w:pPr>
            <w:r>
              <w:rPr>
                <w:rFonts w:ascii="仿宋" w:hAnsi="仿宋" w:eastAsia="仿宋" w:cs="仿宋"/>
                <w:b/>
                <w:bCs/>
                <w:spacing w:val="4"/>
                <w:sz w:val="20"/>
                <w:szCs w:val="20"/>
              </w:rPr>
              <w:t>表</w:t>
            </w:r>
            <w:r>
              <w:rPr>
                <w:rFonts w:ascii="仿宋" w:hAnsi="仿宋" w:eastAsia="仿宋" w:cs="仿宋"/>
                <w:spacing w:val="-41"/>
                <w:sz w:val="20"/>
                <w:szCs w:val="20"/>
              </w:rPr>
              <w:t xml:space="preserve"> </w:t>
            </w:r>
            <w:r>
              <w:rPr>
                <w:b/>
                <w:bCs/>
                <w:spacing w:val="4"/>
                <w:sz w:val="20"/>
                <w:szCs w:val="20"/>
              </w:rPr>
              <w:t>3-4</w:t>
            </w:r>
            <w:r>
              <w:rPr>
                <w:b/>
                <w:bCs/>
                <w:spacing w:val="7"/>
                <w:sz w:val="20"/>
                <w:szCs w:val="20"/>
              </w:rPr>
              <w:t xml:space="preserve">    </w:t>
            </w:r>
            <w:r>
              <w:rPr>
                <w:rFonts w:ascii="仿宋" w:hAnsi="仿宋" w:eastAsia="仿宋" w:cs="仿宋"/>
                <w:b/>
                <w:bCs/>
                <w:spacing w:val="4"/>
                <w:sz w:val="20"/>
                <w:szCs w:val="20"/>
              </w:rPr>
              <w:t>大气环境质量标准</w:t>
            </w:r>
          </w:p>
        </w:tc>
      </w:tr>
      <w:tr w14:paraId="06AF51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8" w:hRule="atLeast"/>
        </w:trPr>
        <w:tc>
          <w:tcPr>
            <w:tcW w:w="684" w:type="dxa"/>
            <w:vMerge w:val="continue"/>
            <w:tcBorders>
              <w:top w:val="nil"/>
              <w:left w:val="single" w:color="000000" w:sz="6" w:space="0"/>
              <w:bottom w:val="nil"/>
            </w:tcBorders>
            <w:vAlign w:val="top"/>
          </w:tcPr>
          <w:p w14:paraId="0350182B">
            <w:pPr>
              <w:rPr>
                <w:rFonts w:ascii="Arial"/>
                <w:sz w:val="21"/>
              </w:rPr>
            </w:pPr>
          </w:p>
        </w:tc>
        <w:tc>
          <w:tcPr>
            <w:tcW w:w="1164" w:type="dxa"/>
            <w:vMerge w:val="restart"/>
            <w:tcBorders>
              <w:top w:val="single" w:color="000000" w:sz="10" w:space="0"/>
              <w:bottom w:val="nil"/>
            </w:tcBorders>
            <w:vAlign w:val="top"/>
          </w:tcPr>
          <w:p w14:paraId="007C5372">
            <w:pPr>
              <w:spacing w:before="140" w:line="221" w:lineRule="auto"/>
              <w:ind w:left="120"/>
              <w:rPr>
                <w:rFonts w:ascii="仿宋" w:hAnsi="仿宋" w:eastAsia="仿宋" w:cs="仿宋"/>
                <w:sz w:val="18"/>
                <w:szCs w:val="18"/>
              </w:rPr>
            </w:pPr>
            <w:r>
              <w:rPr>
                <w:rFonts w:ascii="仿宋" w:hAnsi="仿宋" w:eastAsia="仿宋" w:cs="仿宋"/>
                <w:spacing w:val="-4"/>
                <w:sz w:val="18"/>
                <w:szCs w:val="18"/>
              </w:rPr>
              <w:t>污染物名称</w:t>
            </w:r>
          </w:p>
        </w:tc>
        <w:tc>
          <w:tcPr>
            <w:tcW w:w="1495" w:type="dxa"/>
            <w:vMerge w:val="restart"/>
            <w:tcBorders>
              <w:top w:val="single" w:color="000000" w:sz="10" w:space="0"/>
              <w:bottom w:val="nil"/>
            </w:tcBorders>
            <w:vAlign w:val="top"/>
          </w:tcPr>
          <w:p w14:paraId="6B919F29">
            <w:pPr>
              <w:spacing w:before="140" w:line="222" w:lineRule="auto"/>
              <w:ind w:left="393"/>
              <w:rPr>
                <w:rFonts w:ascii="仿宋" w:hAnsi="仿宋" w:eastAsia="仿宋" w:cs="仿宋"/>
                <w:sz w:val="18"/>
                <w:szCs w:val="18"/>
              </w:rPr>
            </w:pPr>
            <w:r>
              <w:rPr>
                <w:rFonts w:ascii="仿宋" w:hAnsi="仿宋" w:eastAsia="仿宋" w:cs="仿宋"/>
                <w:spacing w:val="-4"/>
                <w:sz w:val="18"/>
                <w:szCs w:val="18"/>
              </w:rPr>
              <w:t>取值时间</w:t>
            </w:r>
          </w:p>
        </w:tc>
        <w:tc>
          <w:tcPr>
            <w:tcW w:w="2207" w:type="dxa"/>
            <w:gridSpan w:val="2"/>
            <w:tcBorders>
              <w:top w:val="single" w:color="000000" w:sz="10" w:space="0"/>
            </w:tcBorders>
            <w:vAlign w:val="top"/>
          </w:tcPr>
          <w:p w14:paraId="0F8CD696">
            <w:pPr>
              <w:spacing w:before="18" w:line="205" w:lineRule="auto"/>
              <w:ind w:left="395"/>
              <w:rPr>
                <w:rFonts w:ascii="仿宋" w:hAnsi="仿宋" w:eastAsia="仿宋" w:cs="仿宋"/>
                <w:sz w:val="18"/>
                <w:szCs w:val="18"/>
              </w:rPr>
            </w:pPr>
            <w:r>
              <w:rPr>
                <w:rFonts w:ascii="仿宋" w:hAnsi="仿宋" w:eastAsia="仿宋" w:cs="仿宋"/>
                <w:spacing w:val="-2"/>
                <w:sz w:val="18"/>
                <w:szCs w:val="18"/>
              </w:rPr>
              <w:t>过渡阶段浓度限值</w:t>
            </w:r>
          </w:p>
        </w:tc>
        <w:tc>
          <w:tcPr>
            <w:tcW w:w="2051" w:type="dxa"/>
            <w:gridSpan w:val="2"/>
            <w:tcBorders>
              <w:top w:val="single" w:color="000000" w:sz="10" w:space="0"/>
            </w:tcBorders>
            <w:vAlign w:val="top"/>
          </w:tcPr>
          <w:p w14:paraId="7B6998A7">
            <w:pPr>
              <w:spacing w:before="18" w:line="205" w:lineRule="auto"/>
              <w:ind w:left="681"/>
              <w:rPr>
                <w:rFonts w:ascii="仿宋" w:hAnsi="仿宋" w:eastAsia="仿宋" w:cs="仿宋"/>
                <w:sz w:val="18"/>
                <w:szCs w:val="18"/>
              </w:rPr>
            </w:pPr>
            <w:r>
              <w:rPr>
                <w:rFonts w:ascii="仿宋" w:hAnsi="仿宋" w:eastAsia="仿宋" w:cs="仿宋"/>
                <w:spacing w:val="-4"/>
                <w:sz w:val="18"/>
                <w:szCs w:val="18"/>
              </w:rPr>
              <w:t>浓度限值</w:t>
            </w:r>
          </w:p>
        </w:tc>
        <w:tc>
          <w:tcPr>
            <w:tcW w:w="998" w:type="dxa"/>
            <w:vMerge w:val="restart"/>
            <w:tcBorders>
              <w:top w:val="single" w:color="000000" w:sz="10" w:space="0"/>
              <w:bottom w:val="nil"/>
              <w:right w:val="single" w:color="000000" w:sz="6" w:space="0"/>
            </w:tcBorders>
            <w:vAlign w:val="top"/>
          </w:tcPr>
          <w:p w14:paraId="53B56CBA">
            <w:pPr>
              <w:spacing w:before="140" w:line="221" w:lineRule="auto"/>
              <w:ind w:left="127"/>
              <w:rPr>
                <w:rFonts w:ascii="仿宋" w:hAnsi="仿宋" w:eastAsia="仿宋" w:cs="仿宋"/>
                <w:sz w:val="18"/>
                <w:szCs w:val="18"/>
              </w:rPr>
            </w:pPr>
            <w:r>
              <w:rPr>
                <w:rFonts w:ascii="仿宋" w:hAnsi="仿宋" w:eastAsia="仿宋" w:cs="仿宋"/>
                <w:spacing w:val="-4"/>
                <w:sz w:val="18"/>
                <w:szCs w:val="18"/>
              </w:rPr>
              <w:t>浓度单位</w:t>
            </w:r>
          </w:p>
        </w:tc>
      </w:tr>
      <w:tr w14:paraId="39F80A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684" w:type="dxa"/>
            <w:vMerge w:val="continue"/>
            <w:tcBorders>
              <w:top w:val="nil"/>
              <w:left w:val="single" w:color="000000" w:sz="6" w:space="0"/>
              <w:bottom w:val="nil"/>
            </w:tcBorders>
            <w:vAlign w:val="top"/>
          </w:tcPr>
          <w:p w14:paraId="423EB397">
            <w:pPr>
              <w:rPr>
                <w:rFonts w:ascii="Arial"/>
                <w:sz w:val="21"/>
              </w:rPr>
            </w:pPr>
          </w:p>
        </w:tc>
        <w:tc>
          <w:tcPr>
            <w:tcW w:w="1164" w:type="dxa"/>
            <w:vMerge w:val="continue"/>
            <w:tcBorders>
              <w:top w:val="nil"/>
            </w:tcBorders>
            <w:vAlign w:val="top"/>
          </w:tcPr>
          <w:p w14:paraId="5040A246">
            <w:pPr>
              <w:rPr>
                <w:rFonts w:ascii="Arial"/>
                <w:sz w:val="21"/>
              </w:rPr>
            </w:pPr>
          </w:p>
        </w:tc>
        <w:tc>
          <w:tcPr>
            <w:tcW w:w="1495" w:type="dxa"/>
            <w:vMerge w:val="continue"/>
            <w:tcBorders>
              <w:top w:val="nil"/>
            </w:tcBorders>
            <w:vAlign w:val="top"/>
          </w:tcPr>
          <w:p w14:paraId="564DFDC5">
            <w:pPr>
              <w:rPr>
                <w:rFonts w:ascii="Arial"/>
                <w:sz w:val="21"/>
              </w:rPr>
            </w:pPr>
          </w:p>
        </w:tc>
        <w:tc>
          <w:tcPr>
            <w:tcW w:w="1159" w:type="dxa"/>
            <w:vAlign w:val="top"/>
          </w:tcPr>
          <w:p w14:paraId="7F9CEF3E">
            <w:pPr>
              <w:spacing w:before="30" w:line="203" w:lineRule="auto"/>
              <w:ind w:left="410"/>
              <w:rPr>
                <w:rFonts w:ascii="仿宋" w:hAnsi="仿宋" w:eastAsia="仿宋" w:cs="仿宋"/>
                <w:sz w:val="18"/>
                <w:szCs w:val="18"/>
              </w:rPr>
            </w:pPr>
            <w:r>
              <w:rPr>
                <w:rFonts w:ascii="仿宋" w:hAnsi="仿宋" w:eastAsia="仿宋" w:cs="仿宋"/>
                <w:spacing w:val="-8"/>
                <w:sz w:val="18"/>
                <w:szCs w:val="18"/>
              </w:rPr>
              <w:t>一级</w:t>
            </w:r>
          </w:p>
        </w:tc>
        <w:tc>
          <w:tcPr>
            <w:tcW w:w="1048" w:type="dxa"/>
            <w:vAlign w:val="top"/>
          </w:tcPr>
          <w:p w14:paraId="73E91799">
            <w:pPr>
              <w:spacing w:before="30" w:line="203" w:lineRule="auto"/>
              <w:ind w:left="360"/>
              <w:rPr>
                <w:rFonts w:ascii="仿宋" w:hAnsi="仿宋" w:eastAsia="仿宋" w:cs="仿宋"/>
                <w:sz w:val="18"/>
                <w:szCs w:val="18"/>
              </w:rPr>
            </w:pPr>
            <w:r>
              <w:rPr>
                <w:rFonts w:ascii="仿宋" w:hAnsi="仿宋" w:eastAsia="仿宋" w:cs="仿宋"/>
                <w:spacing w:val="-9"/>
                <w:sz w:val="18"/>
                <w:szCs w:val="18"/>
              </w:rPr>
              <w:t>二级</w:t>
            </w:r>
          </w:p>
        </w:tc>
        <w:tc>
          <w:tcPr>
            <w:tcW w:w="1063" w:type="dxa"/>
            <w:vAlign w:val="top"/>
          </w:tcPr>
          <w:p w14:paraId="2D23411C">
            <w:pPr>
              <w:spacing w:before="30" w:line="203" w:lineRule="auto"/>
              <w:ind w:left="365"/>
              <w:rPr>
                <w:rFonts w:ascii="仿宋" w:hAnsi="仿宋" w:eastAsia="仿宋" w:cs="仿宋"/>
                <w:sz w:val="18"/>
                <w:szCs w:val="18"/>
              </w:rPr>
            </w:pPr>
            <w:r>
              <w:rPr>
                <w:rFonts w:ascii="仿宋" w:hAnsi="仿宋" w:eastAsia="仿宋" w:cs="仿宋"/>
                <w:spacing w:val="-8"/>
                <w:sz w:val="18"/>
                <w:szCs w:val="18"/>
              </w:rPr>
              <w:t>一级</w:t>
            </w:r>
          </w:p>
        </w:tc>
        <w:tc>
          <w:tcPr>
            <w:tcW w:w="988" w:type="dxa"/>
            <w:vAlign w:val="top"/>
          </w:tcPr>
          <w:p w14:paraId="139EF94E">
            <w:pPr>
              <w:spacing w:before="30" w:line="203" w:lineRule="auto"/>
              <w:ind w:left="333"/>
              <w:rPr>
                <w:rFonts w:ascii="仿宋" w:hAnsi="仿宋" w:eastAsia="仿宋" w:cs="仿宋"/>
                <w:sz w:val="18"/>
                <w:szCs w:val="18"/>
              </w:rPr>
            </w:pPr>
            <w:r>
              <w:rPr>
                <w:rFonts w:ascii="仿宋" w:hAnsi="仿宋" w:eastAsia="仿宋" w:cs="仿宋"/>
                <w:spacing w:val="-9"/>
                <w:sz w:val="18"/>
                <w:szCs w:val="18"/>
              </w:rPr>
              <w:t>二级</w:t>
            </w:r>
          </w:p>
        </w:tc>
        <w:tc>
          <w:tcPr>
            <w:tcW w:w="998" w:type="dxa"/>
            <w:vMerge w:val="continue"/>
            <w:tcBorders>
              <w:top w:val="nil"/>
              <w:right w:val="single" w:color="000000" w:sz="6" w:space="0"/>
            </w:tcBorders>
            <w:vAlign w:val="top"/>
          </w:tcPr>
          <w:p w14:paraId="6DEB8926">
            <w:pPr>
              <w:rPr>
                <w:rFonts w:ascii="Arial"/>
                <w:sz w:val="21"/>
              </w:rPr>
            </w:pPr>
          </w:p>
        </w:tc>
      </w:tr>
      <w:tr w14:paraId="29CED3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684" w:type="dxa"/>
            <w:vMerge w:val="continue"/>
            <w:tcBorders>
              <w:top w:val="nil"/>
              <w:left w:val="single" w:color="000000" w:sz="6" w:space="0"/>
              <w:bottom w:val="nil"/>
            </w:tcBorders>
            <w:vAlign w:val="top"/>
          </w:tcPr>
          <w:p w14:paraId="2DC39981">
            <w:pPr>
              <w:rPr>
                <w:rFonts w:ascii="Arial"/>
                <w:sz w:val="21"/>
              </w:rPr>
            </w:pPr>
          </w:p>
        </w:tc>
        <w:tc>
          <w:tcPr>
            <w:tcW w:w="1164" w:type="dxa"/>
            <w:vMerge w:val="restart"/>
            <w:tcBorders>
              <w:bottom w:val="nil"/>
            </w:tcBorders>
            <w:vAlign w:val="top"/>
          </w:tcPr>
          <w:p w14:paraId="0F913605">
            <w:pPr>
              <w:spacing w:line="249" w:lineRule="auto"/>
              <w:rPr>
                <w:rFonts w:ascii="Arial"/>
                <w:sz w:val="21"/>
              </w:rPr>
            </w:pPr>
          </w:p>
          <w:p w14:paraId="1BC80323">
            <w:pPr>
              <w:pStyle w:val="6"/>
              <w:spacing w:before="51" w:line="194" w:lineRule="auto"/>
              <w:ind w:left="378"/>
              <w:rPr>
                <w:sz w:val="11"/>
                <w:szCs w:val="11"/>
              </w:rPr>
            </w:pPr>
            <w:r>
              <w:rPr>
                <w:spacing w:val="-3"/>
              </w:rPr>
              <w:t>SO</w:t>
            </w:r>
            <w:r>
              <w:rPr>
                <w:spacing w:val="-3"/>
                <w:position w:val="-1"/>
                <w:sz w:val="11"/>
                <w:szCs w:val="11"/>
              </w:rPr>
              <w:t>2</w:t>
            </w:r>
          </w:p>
        </w:tc>
        <w:tc>
          <w:tcPr>
            <w:tcW w:w="1495" w:type="dxa"/>
            <w:vAlign w:val="top"/>
          </w:tcPr>
          <w:p w14:paraId="320EEAFF">
            <w:pPr>
              <w:spacing w:before="29" w:line="204" w:lineRule="auto"/>
              <w:ind w:left="487"/>
              <w:rPr>
                <w:rFonts w:ascii="仿宋" w:hAnsi="仿宋" w:eastAsia="仿宋" w:cs="仿宋"/>
                <w:sz w:val="18"/>
                <w:szCs w:val="18"/>
              </w:rPr>
            </w:pPr>
            <w:r>
              <w:rPr>
                <w:rFonts w:ascii="仿宋" w:hAnsi="仿宋" w:eastAsia="仿宋" w:cs="仿宋"/>
                <w:spacing w:val="-6"/>
                <w:sz w:val="18"/>
                <w:szCs w:val="18"/>
              </w:rPr>
              <w:t>年平均</w:t>
            </w:r>
          </w:p>
        </w:tc>
        <w:tc>
          <w:tcPr>
            <w:tcW w:w="1159" w:type="dxa"/>
            <w:vAlign w:val="top"/>
          </w:tcPr>
          <w:p w14:paraId="49D36369">
            <w:pPr>
              <w:pStyle w:val="6"/>
              <w:spacing w:before="60" w:line="188" w:lineRule="auto"/>
              <w:ind w:left="488"/>
            </w:pPr>
            <w:r>
              <w:rPr>
                <w:spacing w:val="-2"/>
              </w:rPr>
              <w:t>20</w:t>
            </w:r>
          </w:p>
        </w:tc>
        <w:tc>
          <w:tcPr>
            <w:tcW w:w="1048" w:type="dxa"/>
            <w:vAlign w:val="top"/>
          </w:tcPr>
          <w:p w14:paraId="3E261B74">
            <w:pPr>
              <w:pStyle w:val="6"/>
              <w:spacing w:before="60" w:line="188" w:lineRule="auto"/>
              <w:ind w:left="439"/>
            </w:pPr>
            <w:r>
              <w:rPr>
                <w:spacing w:val="-4"/>
              </w:rPr>
              <w:t>60</w:t>
            </w:r>
          </w:p>
        </w:tc>
        <w:tc>
          <w:tcPr>
            <w:tcW w:w="1063" w:type="dxa"/>
            <w:vAlign w:val="top"/>
          </w:tcPr>
          <w:p w14:paraId="2A966FC9">
            <w:pPr>
              <w:pStyle w:val="6"/>
              <w:spacing w:before="60" w:line="188" w:lineRule="auto"/>
              <w:ind w:left="446"/>
            </w:pPr>
            <w:r>
              <w:rPr>
                <w:spacing w:val="-2"/>
              </w:rPr>
              <w:t>20</w:t>
            </w:r>
          </w:p>
        </w:tc>
        <w:tc>
          <w:tcPr>
            <w:tcW w:w="988" w:type="dxa"/>
            <w:vAlign w:val="top"/>
          </w:tcPr>
          <w:p w14:paraId="130A0EAB">
            <w:pPr>
              <w:pStyle w:val="6"/>
              <w:spacing w:before="60" w:line="188" w:lineRule="auto"/>
              <w:ind w:left="410"/>
            </w:pPr>
            <w:r>
              <w:rPr>
                <w:spacing w:val="-2"/>
              </w:rPr>
              <w:t>20</w:t>
            </w:r>
          </w:p>
        </w:tc>
        <w:tc>
          <w:tcPr>
            <w:tcW w:w="998" w:type="dxa"/>
            <w:vMerge w:val="restart"/>
            <w:tcBorders>
              <w:bottom w:val="nil"/>
              <w:right w:val="single" w:color="000000" w:sz="6" w:space="0"/>
            </w:tcBorders>
            <w:vAlign w:val="top"/>
          </w:tcPr>
          <w:p w14:paraId="492C5D28">
            <w:pPr>
              <w:spacing w:line="264" w:lineRule="auto"/>
              <w:rPr>
                <w:rFonts w:ascii="Arial"/>
                <w:sz w:val="21"/>
              </w:rPr>
            </w:pPr>
          </w:p>
          <w:p w14:paraId="76C59671">
            <w:pPr>
              <w:spacing w:line="265" w:lineRule="auto"/>
              <w:rPr>
                <w:rFonts w:ascii="Arial"/>
                <w:sz w:val="21"/>
              </w:rPr>
            </w:pPr>
          </w:p>
          <w:p w14:paraId="21E9B2F1">
            <w:pPr>
              <w:spacing w:line="265" w:lineRule="auto"/>
              <w:rPr>
                <w:rFonts w:ascii="Arial"/>
                <w:sz w:val="21"/>
              </w:rPr>
            </w:pPr>
          </w:p>
          <w:p w14:paraId="5FB745B1">
            <w:pPr>
              <w:spacing w:line="265" w:lineRule="auto"/>
              <w:rPr>
                <w:rFonts w:ascii="Arial"/>
                <w:sz w:val="21"/>
              </w:rPr>
            </w:pPr>
          </w:p>
          <w:p w14:paraId="1A16A47D">
            <w:pPr>
              <w:spacing w:line="265" w:lineRule="auto"/>
              <w:rPr>
                <w:rFonts w:ascii="Arial"/>
                <w:sz w:val="21"/>
              </w:rPr>
            </w:pPr>
          </w:p>
          <w:p w14:paraId="1A238754">
            <w:pPr>
              <w:pStyle w:val="6"/>
              <w:spacing w:before="52" w:line="206" w:lineRule="auto"/>
              <w:ind w:left="302"/>
              <w:rPr>
                <w:sz w:val="11"/>
                <w:szCs w:val="11"/>
              </w:rPr>
            </w:pPr>
            <w:r>
              <w:rPr>
                <w:spacing w:val="-2"/>
              </w:rPr>
              <w:t>μg/m</w:t>
            </w:r>
            <w:r>
              <w:rPr>
                <w:spacing w:val="-2"/>
                <w:position w:val="5"/>
                <w:sz w:val="11"/>
                <w:szCs w:val="11"/>
              </w:rPr>
              <w:t>3</w:t>
            </w:r>
          </w:p>
        </w:tc>
      </w:tr>
      <w:tr w14:paraId="45D1D0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684" w:type="dxa"/>
            <w:vMerge w:val="continue"/>
            <w:tcBorders>
              <w:top w:val="nil"/>
              <w:left w:val="single" w:color="000000" w:sz="6" w:space="0"/>
              <w:bottom w:val="nil"/>
            </w:tcBorders>
            <w:vAlign w:val="top"/>
          </w:tcPr>
          <w:p w14:paraId="04F5C54F">
            <w:pPr>
              <w:rPr>
                <w:rFonts w:ascii="Arial"/>
                <w:sz w:val="21"/>
              </w:rPr>
            </w:pPr>
          </w:p>
        </w:tc>
        <w:tc>
          <w:tcPr>
            <w:tcW w:w="1164" w:type="dxa"/>
            <w:vMerge w:val="continue"/>
            <w:tcBorders>
              <w:top w:val="nil"/>
              <w:bottom w:val="nil"/>
            </w:tcBorders>
            <w:vAlign w:val="top"/>
          </w:tcPr>
          <w:p w14:paraId="00ECA478">
            <w:pPr>
              <w:rPr>
                <w:rFonts w:ascii="Arial"/>
                <w:sz w:val="21"/>
              </w:rPr>
            </w:pPr>
          </w:p>
        </w:tc>
        <w:tc>
          <w:tcPr>
            <w:tcW w:w="1495" w:type="dxa"/>
            <w:vAlign w:val="top"/>
          </w:tcPr>
          <w:p w14:paraId="5A5739DD">
            <w:pPr>
              <w:pStyle w:val="6"/>
              <w:spacing w:before="31" w:line="202" w:lineRule="auto"/>
              <w:ind w:left="272"/>
              <w:rPr>
                <w:rFonts w:ascii="仿宋" w:hAnsi="仿宋" w:eastAsia="仿宋" w:cs="仿宋"/>
              </w:rPr>
            </w:pPr>
            <w:r>
              <w:rPr>
                <w:spacing w:val="-3"/>
              </w:rPr>
              <w:t>24</w:t>
            </w:r>
            <w:r>
              <w:rPr>
                <w:spacing w:val="13"/>
                <w:w w:val="101"/>
              </w:rPr>
              <w:t xml:space="preserve"> </w:t>
            </w:r>
            <w:r>
              <w:rPr>
                <w:rFonts w:ascii="仿宋" w:hAnsi="仿宋" w:eastAsia="仿宋" w:cs="仿宋"/>
                <w:spacing w:val="-3"/>
              </w:rPr>
              <w:t>小时平均</w:t>
            </w:r>
          </w:p>
        </w:tc>
        <w:tc>
          <w:tcPr>
            <w:tcW w:w="1159" w:type="dxa"/>
            <w:vAlign w:val="top"/>
          </w:tcPr>
          <w:p w14:paraId="25D6A531">
            <w:pPr>
              <w:pStyle w:val="6"/>
              <w:spacing w:before="60" w:line="188" w:lineRule="auto"/>
              <w:ind w:left="493"/>
            </w:pPr>
            <w:r>
              <w:rPr>
                <w:spacing w:val="-4"/>
              </w:rPr>
              <w:t>50</w:t>
            </w:r>
          </w:p>
        </w:tc>
        <w:tc>
          <w:tcPr>
            <w:tcW w:w="1048" w:type="dxa"/>
            <w:vAlign w:val="top"/>
          </w:tcPr>
          <w:p w14:paraId="06ADBBC0">
            <w:pPr>
              <w:pStyle w:val="6"/>
              <w:spacing w:before="60" w:line="188" w:lineRule="auto"/>
              <w:ind w:left="407"/>
            </w:pPr>
            <w:r>
              <w:rPr>
                <w:spacing w:val="-7"/>
              </w:rPr>
              <w:t>150</w:t>
            </w:r>
          </w:p>
        </w:tc>
        <w:tc>
          <w:tcPr>
            <w:tcW w:w="1063" w:type="dxa"/>
            <w:vAlign w:val="top"/>
          </w:tcPr>
          <w:p w14:paraId="08BD831D">
            <w:pPr>
              <w:pStyle w:val="6"/>
              <w:spacing w:before="60" w:line="188" w:lineRule="auto"/>
              <w:ind w:left="451"/>
            </w:pPr>
            <w:r>
              <w:rPr>
                <w:spacing w:val="-4"/>
              </w:rPr>
              <w:t>50</w:t>
            </w:r>
          </w:p>
        </w:tc>
        <w:tc>
          <w:tcPr>
            <w:tcW w:w="988" w:type="dxa"/>
            <w:vAlign w:val="top"/>
          </w:tcPr>
          <w:p w14:paraId="55ED5D65">
            <w:pPr>
              <w:pStyle w:val="6"/>
              <w:spacing w:before="60" w:line="188" w:lineRule="auto"/>
              <w:ind w:left="415"/>
            </w:pPr>
            <w:r>
              <w:rPr>
                <w:spacing w:val="-4"/>
              </w:rPr>
              <w:t>50</w:t>
            </w:r>
          </w:p>
        </w:tc>
        <w:tc>
          <w:tcPr>
            <w:tcW w:w="998" w:type="dxa"/>
            <w:vMerge w:val="continue"/>
            <w:tcBorders>
              <w:top w:val="nil"/>
              <w:bottom w:val="nil"/>
              <w:right w:val="single" w:color="000000" w:sz="6" w:space="0"/>
            </w:tcBorders>
            <w:vAlign w:val="top"/>
          </w:tcPr>
          <w:p w14:paraId="7E814123">
            <w:pPr>
              <w:rPr>
                <w:rFonts w:ascii="Arial"/>
                <w:sz w:val="21"/>
              </w:rPr>
            </w:pPr>
          </w:p>
        </w:tc>
      </w:tr>
      <w:tr w14:paraId="14C345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684" w:type="dxa"/>
            <w:vMerge w:val="continue"/>
            <w:tcBorders>
              <w:top w:val="nil"/>
              <w:left w:val="single" w:color="000000" w:sz="6" w:space="0"/>
              <w:bottom w:val="nil"/>
            </w:tcBorders>
            <w:vAlign w:val="top"/>
          </w:tcPr>
          <w:p w14:paraId="39B8FEC5">
            <w:pPr>
              <w:rPr>
                <w:rFonts w:ascii="Arial"/>
                <w:sz w:val="21"/>
              </w:rPr>
            </w:pPr>
          </w:p>
        </w:tc>
        <w:tc>
          <w:tcPr>
            <w:tcW w:w="1164" w:type="dxa"/>
            <w:vMerge w:val="continue"/>
            <w:tcBorders>
              <w:top w:val="nil"/>
            </w:tcBorders>
            <w:vAlign w:val="top"/>
          </w:tcPr>
          <w:p w14:paraId="6F6F89EC">
            <w:pPr>
              <w:rPr>
                <w:rFonts w:ascii="Arial"/>
                <w:sz w:val="21"/>
              </w:rPr>
            </w:pPr>
          </w:p>
        </w:tc>
        <w:tc>
          <w:tcPr>
            <w:tcW w:w="1495" w:type="dxa"/>
            <w:vAlign w:val="top"/>
          </w:tcPr>
          <w:p w14:paraId="5E748B3D">
            <w:pPr>
              <w:pStyle w:val="6"/>
              <w:spacing w:before="30" w:line="204" w:lineRule="auto"/>
              <w:ind w:left="335"/>
              <w:rPr>
                <w:rFonts w:ascii="仿宋" w:hAnsi="仿宋" w:eastAsia="仿宋" w:cs="仿宋"/>
              </w:rPr>
            </w:pPr>
            <w:r>
              <w:rPr>
                <w:spacing w:val="-7"/>
              </w:rPr>
              <w:t>1</w:t>
            </w:r>
            <w:r>
              <w:rPr>
                <w:spacing w:val="12"/>
              </w:rPr>
              <w:t xml:space="preserve"> </w:t>
            </w:r>
            <w:r>
              <w:rPr>
                <w:rFonts w:ascii="仿宋" w:hAnsi="仿宋" w:eastAsia="仿宋" w:cs="仿宋"/>
                <w:spacing w:val="-7"/>
              </w:rPr>
              <w:t>小时平均</w:t>
            </w:r>
          </w:p>
        </w:tc>
        <w:tc>
          <w:tcPr>
            <w:tcW w:w="1159" w:type="dxa"/>
            <w:vAlign w:val="top"/>
          </w:tcPr>
          <w:p w14:paraId="1B30BE98">
            <w:pPr>
              <w:pStyle w:val="6"/>
              <w:spacing w:before="61" w:line="188" w:lineRule="auto"/>
              <w:ind w:left="462"/>
            </w:pPr>
            <w:r>
              <w:rPr>
                <w:spacing w:val="-7"/>
              </w:rPr>
              <w:t>150</w:t>
            </w:r>
          </w:p>
        </w:tc>
        <w:tc>
          <w:tcPr>
            <w:tcW w:w="1048" w:type="dxa"/>
            <w:vAlign w:val="top"/>
          </w:tcPr>
          <w:p w14:paraId="6EDB6713">
            <w:pPr>
              <w:pStyle w:val="6"/>
              <w:spacing w:before="61" w:line="188" w:lineRule="auto"/>
              <w:ind w:left="395"/>
            </w:pPr>
            <w:r>
              <w:rPr>
                <w:spacing w:val="-3"/>
              </w:rPr>
              <w:t>500</w:t>
            </w:r>
          </w:p>
        </w:tc>
        <w:tc>
          <w:tcPr>
            <w:tcW w:w="1063" w:type="dxa"/>
            <w:vAlign w:val="top"/>
          </w:tcPr>
          <w:p w14:paraId="1F951130">
            <w:pPr>
              <w:pStyle w:val="6"/>
              <w:spacing w:before="61" w:line="188" w:lineRule="auto"/>
              <w:ind w:left="417"/>
            </w:pPr>
            <w:r>
              <w:rPr>
                <w:spacing w:val="-7"/>
              </w:rPr>
              <w:t>150</w:t>
            </w:r>
          </w:p>
        </w:tc>
        <w:tc>
          <w:tcPr>
            <w:tcW w:w="988" w:type="dxa"/>
            <w:vAlign w:val="top"/>
          </w:tcPr>
          <w:p w14:paraId="3862511F">
            <w:pPr>
              <w:pStyle w:val="6"/>
              <w:spacing w:before="61" w:line="188" w:lineRule="auto"/>
              <w:ind w:left="382"/>
            </w:pPr>
            <w:r>
              <w:rPr>
                <w:spacing w:val="-7"/>
              </w:rPr>
              <w:t>150</w:t>
            </w:r>
          </w:p>
        </w:tc>
        <w:tc>
          <w:tcPr>
            <w:tcW w:w="998" w:type="dxa"/>
            <w:vMerge w:val="continue"/>
            <w:tcBorders>
              <w:top w:val="nil"/>
              <w:bottom w:val="nil"/>
              <w:right w:val="single" w:color="000000" w:sz="6" w:space="0"/>
            </w:tcBorders>
            <w:vAlign w:val="top"/>
          </w:tcPr>
          <w:p w14:paraId="6680C97F">
            <w:pPr>
              <w:rPr>
                <w:rFonts w:ascii="Arial"/>
                <w:sz w:val="21"/>
              </w:rPr>
            </w:pPr>
          </w:p>
        </w:tc>
      </w:tr>
      <w:tr w14:paraId="64F5FB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684" w:type="dxa"/>
            <w:vMerge w:val="continue"/>
            <w:tcBorders>
              <w:top w:val="nil"/>
              <w:left w:val="single" w:color="000000" w:sz="6" w:space="0"/>
              <w:bottom w:val="nil"/>
            </w:tcBorders>
            <w:vAlign w:val="top"/>
          </w:tcPr>
          <w:p w14:paraId="7C4212C9">
            <w:pPr>
              <w:rPr>
                <w:rFonts w:ascii="Arial"/>
                <w:sz w:val="21"/>
              </w:rPr>
            </w:pPr>
          </w:p>
        </w:tc>
        <w:tc>
          <w:tcPr>
            <w:tcW w:w="1164" w:type="dxa"/>
            <w:vMerge w:val="restart"/>
            <w:tcBorders>
              <w:bottom w:val="nil"/>
            </w:tcBorders>
            <w:vAlign w:val="top"/>
          </w:tcPr>
          <w:p w14:paraId="265F4594">
            <w:pPr>
              <w:pStyle w:val="6"/>
              <w:spacing w:before="182" w:line="188" w:lineRule="auto"/>
              <w:ind w:left="357"/>
            </w:pPr>
            <w:r>
              <w:rPr>
                <w:spacing w:val="-3"/>
              </w:rPr>
              <w:t>TSP</w:t>
            </w:r>
          </w:p>
        </w:tc>
        <w:tc>
          <w:tcPr>
            <w:tcW w:w="1495" w:type="dxa"/>
            <w:vAlign w:val="top"/>
          </w:tcPr>
          <w:p w14:paraId="4B22C88E">
            <w:pPr>
              <w:spacing w:before="31" w:line="202" w:lineRule="auto"/>
              <w:ind w:left="487"/>
              <w:rPr>
                <w:rFonts w:ascii="仿宋" w:hAnsi="仿宋" w:eastAsia="仿宋" w:cs="仿宋"/>
                <w:sz w:val="18"/>
                <w:szCs w:val="18"/>
              </w:rPr>
            </w:pPr>
            <w:r>
              <w:rPr>
                <w:rFonts w:ascii="仿宋" w:hAnsi="仿宋" w:eastAsia="仿宋" w:cs="仿宋"/>
                <w:spacing w:val="-6"/>
                <w:sz w:val="18"/>
                <w:szCs w:val="18"/>
              </w:rPr>
              <w:t>年平均</w:t>
            </w:r>
          </w:p>
        </w:tc>
        <w:tc>
          <w:tcPr>
            <w:tcW w:w="1159" w:type="dxa"/>
            <w:vAlign w:val="top"/>
          </w:tcPr>
          <w:p w14:paraId="49397C1C">
            <w:pPr>
              <w:pStyle w:val="6"/>
              <w:spacing w:before="56" w:line="192" w:lineRule="auto"/>
              <w:ind w:left="549"/>
            </w:pPr>
            <w:r>
              <w:t>/</w:t>
            </w:r>
          </w:p>
        </w:tc>
        <w:tc>
          <w:tcPr>
            <w:tcW w:w="1048" w:type="dxa"/>
            <w:vAlign w:val="top"/>
          </w:tcPr>
          <w:p w14:paraId="37D7C2A7">
            <w:pPr>
              <w:pStyle w:val="6"/>
              <w:spacing w:before="56" w:line="192" w:lineRule="auto"/>
              <w:ind w:left="496"/>
            </w:pPr>
            <w:r>
              <w:t>/</w:t>
            </w:r>
          </w:p>
        </w:tc>
        <w:tc>
          <w:tcPr>
            <w:tcW w:w="1063" w:type="dxa"/>
            <w:vAlign w:val="top"/>
          </w:tcPr>
          <w:p w14:paraId="1D2F2B18">
            <w:pPr>
              <w:pStyle w:val="6"/>
              <w:spacing w:before="60" w:line="188" w:lineRule="auto"/>
              <w:ind w:left="453"/>
            </w:pPr>
            <w:r>
              <w:rPr>
                <w:spacing w:val="-5"/>
              </w:rPr>
              <w:t>80</w:t>
            </w:r>
          </w:p>
        </w:tc>
        <w:tc>
          <w:tcPr>
            <w:tcW w:w="988" w:type="dxa"/>
            <w:vAlign w:val="top"/>
          </w:tcPr>
          <w:p w14:paraId="499FD5EC">
            <w:pPr>
              <w:pStyle w:val="6"/>
              <w:spacing w:before="60" w:line="188" w:lineRule="auto"/>
              <w:ind w:left="364"/>
            </w:pPr>
            <w:r>
              <w:rPr>
                <w:spacing w:val="-1"/>
              </w:rPr>
              <w:t>200</w:t>
            </w:r>
          </w:p>
        </w:tc>
        <w:tc>
          <w:tcPr>
            <w:tcW w:w="998" w:type="dxa"/>
            <w:vMerge w:val="continue"/>
            <w:tcBorders>
              <w:top w:val="nil"/>
              <w:bottom w:val="nil"/>
              <w:right w:val="single" w:color="000000" w:sz="6" w:space="0"/>
            </w:tcBorders>
            <w:vAlign w:val="top"/>
          </w:tcPr>
          <w:p w14:paraId="3286ABF2">
            <w:pPr>
              <w:rPr>
                <w:rFonts w:ascii="Arial"/>
                <w:sz w:val="21"/>
              </w:rPr>
            </w:pPr>
          </w:p>
        </w:tc>
      </w:tr>
      <w:tr w14:paraId="1CD8E7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684" w:type="dxa"/>
            <w:vMerge w:val="continue"/>
            <w:tcBorders>
              <w:top w:val="nil"/>
              <w:left w:val="single" w:color="000000" w:sz="6" w:space="0"/>
              <w:bottom w:val="nil"/>
            </w:tcBorders>
            <w:vAlign w:val="top"/>
          </w:tcPr>
          <w:p w14:paraId="7843CC10">
            <w:pPr>
              <w:rPr>
                <w:rFonts w:ascii="Arial"/>
                <w:sz w:val="21"/>
              </w:rPr>
            </w:pPr>
          </w:p>
        </w:tc>
        <w:tc>
          <w:tcPr>
            <w:tcW w:w="1164" w:type="dxa"/>
            <w:vMerge w:val="continue"/>
            <w:tcBorders>
              <w:top w:val="nil"/>
            </w:tcBorders>
            <w:vAlign w:val="top"/>
          </w:tcPr>
          <w:p w14:paraId="7DBDC90A">
            <w:pPr>
              <w:rPr>
                <w:rFonts w:ascii="Arial"/>
                <w:sz w:val="21"/>
              </w:rPr>
            </w:pPr>
          </w:p>
        </w:tc>
        <w:tc>
          <w:tcPr>
            <w:tcW w:w="1495" w:type="dxa"/>
            <w:vAlign w:val="top"/>
          </w:tcPr>
          <w:p w14:paraId="1822BEC3">
            <w:pPr>
              <w:pStyle w:val="6"/>
              <w:spacing w:before="31" w:line="203" w:lineRule="auto"/>
              <w:ind w:left="272"/>
              <w:rPr>
                <w:rFonts w:ascii="仿宋" w:hAnsi="仿宋" w:eastAsia="仿宋" w:cs="仿宋"/>
              </w:rPr>
            </w:pPr>
            <w:r>
              <w:rPr>
                <w:spacing w:val="-3"/>
              </w:rPr>
              <w:t>24</w:t>
            </w:r>
            <w:r>
              <w:rPr>
                <w:spacing w:val="13"/>
                <w:w w:val="101"/>
              </w:rPr>
              <w:t xml:space="preserve"> </w:t>
            </w:r>
            <w:r>
              <w:rPr>
                <w:rFonts w:ascii="仿宋" w:hAnsi="仿宋" w:eastAsia="仿宋" w:cs="仿宋"/>
                <w:spacing w:val="-3"/>
              </w:rPr>
              <w:t>小时平均</w:t>
            </w:r>
          </w:p>
        </w:tc>
        <w:tc>
          <w:tcPr>
            <w:tcW w:w="1159" w:type="dxa"/>
            <w:vAlign w:val="top"/>
          </w:tcPr>
          <w:p w14:paraId="0D5936E8">
            <w:pPr>
              <w:pStyle w:val="6"/>
              <w:spacing w:before="58" w:line="192" w:lineRule="auto"/>
              <w:ind w:left="549"/>
            </w:pPr>
            <w:r>
              <w:t>/</w:t>
            </w:r>
          </w:p>
        </w:tc>
        <w:tc>
          <w:tcPr>
            <w:tcW w:w="1048" w:type="dxa"/>
            <w:vAlign w:val="top"/>
          </w:tcPr>
          <w:p w14:paraId="1A43BACC">
            <w:pPr>
              <w:pStyle w:val="6"/>
              <w:spacing w:before="58" w:line="192" w:lineRule="auto"/>
              <w:ind w:left="496"/>
            </w:pPr>
            <w:r>
              <w:t>/</w:t>
            </w:r>
          </w:p>
        </w:tc>
        <w:tc>
          <w:tcPr>
            <w:tcW w:w="1063" w:type="dxa"/>
            <w:vAlign w:val="top"/>
          </w:tcPr>
          <w:p w14:paraId="025E00FB">
            <w:pPr>
              <w:pStyle w:val="6"/>
              <w:spacing w:before="62" w:line="188" w:lineRule="auto"/>
              <w:ind w:left="417"/>
            </w:pPr>
            <w:r>
              <w:rPr>
                <w:spacing w:val="-7"/>
              </w:rPr>
              <w:t>120</w:t>
            </w:r>
          </w:p>
        </w:tc>
        <w:tc>
          <w:tcPr>
            <w:tcW w:w="988" w:type="dxa"/>
            <w:vAlign w:val="top"/>
          </w:tcPr>
          <w:p w14:paraId="0ACA924D">
            <w:pPr>
              <w:pStyle w:val="6"/>
              <w:spacing w:before="62" w:line="188" w:lineRule="auto"/>
              <w:ind w:left="368"/>
            </w:pPr>
            <w:r>
              <w:rPr>
                <w:spacing w:val="-3"/>
              </w:rPr>
              <w:t>300</w:t>
            </w:r>
          </w:p>
        </w:tc>
        <w:tc>
          <w:tcPr>
            <w:tcW w:w="998" w:type="dxa"/>
            <w:vMerge w:val="continue"/>
            <w:tcBorders>
              <w:top w:val="nil"/>
              <w:bottom w:val="nil"/>
              <w:right w:val="single" w:color="000000" w:sz="6" w:space="0"/>
            </w:tcBorders>
            <w:vAlign w:val="top"/>
          </w:tcPr>
          <w:p w14:paraId="49DC0D51">
            <w:pPr>
              <w:rPr>
                <w:rFonts w:ascii="Arial"/>
                <w:sz w:val="21"/>
              </w:rPr>
            </w:pPr>
          </w:p>
        </w:tc>
      </w:tr>
      <w:tr w14:paraId="520700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684" w:type="dxa"/>
            <w:vMerge w:val="continue"/>
            <w:tcBorders>
              <w:top w:val="nil"/>
              <w:left w:val="single" w:color="000000" w:sz="6" w:space="0"/>
              <w:bottom w:val="nil"/>
            </w:tcBorders>
            <w:vAlign w:val="top"/>
          </w:tcPr>
          <w:p w14:paraId="46076217">
            <w:pPr>
              <w:rPr>
                <w:rFonts w:ascii="Arial"/>
                <w:sz w:val="21"/>
              </w:rPr>
            </w:pPr>
          </w:p>
        </w:tc>
        <w:tc>
          <w:tcPr>
            <w:tcW w:w="1164" w:type="dxa"/>
            <w:vMerge w:val="restart"/>
            <w:tcBorders>
              <w:bottom w:val="nil"/>
            </w:tcBorders>
            <w:vAlign w:val="top"/>
          </w:tcPr>
          <w:p w14:paraId="29A20130">
            <w:pPr>
              <w:spacing w:line="248" w:lineRule="auto"/>
              <w:rPr>
                <w:rFonts w:ascii="Arial"/>
                <w:sz w:val="21"/>
              </w:rPr>
            </w:pPr>
          </w:p>
          <w:p w14:paraId="57F94F55">
            <w:pPr>
              <w:pStyle w:val="6"/>
              <w:spacing w:before="52" w:line="194" w:lineRule="auto"/>
              <w:ind w:left="350"/>
              <w:rPr>
                <w:sz w:val="11"/>
                <w:szCs w:val="11"/>
              </w:rPr>
            </w:pPr>
            <w:r>
              <w:t>NO</w:t>
            </w:r>
            <w:r>
              <w:rPr>
                <w:spacing w:val="3"/>
                <w:position w:val="-1"/>
                <w:sz w:val="11"/>
                <w:szCs w:val="11"/>
              </w:rPr>
              <w:t>2</w:t>
            </w:r>
          </w:p>
        </w:tc>
        <w:tc>
          <w:tcPr>
            <w:tcW w:w="1495" w:type="dxa"/>
            <w:vAlign w:val="top"/>
          </w:tcPr>
          <w:p w14:paraId="2FAA079D">
            <w:pPr>
              <w:spacing w:before="29" w:line="204" w:lineRule="auto"/>
              <w:ind w:left="487"/>
              <w:rPr>
                <w:rFonts w:ascii="仿宋" w:hAnsi="仿宋" w:eastAsia="仿宋" w:cs="仿宋"/>
                <w:sz w:val="18"/>
                <w:szCs w:val="18"/>
              </w:rPr>
            </w:pPr>
            <w:r>
              <w:rPr>
                <w:rFonts w:ascii="仿宋" w:hAnsi="仿宋" w:eastAsia="仿宋" w:cs="仿宋"/>
                <w:spacing w:val="-6"/>
                <w:sz w:val="18"/>
                <w:szCs w:val="18"/>
              </w:rPr>
              <w:t>年平均</w:t>
            </w:r>
          </w:p>
        </w:tc>
        <w:tc>
          <w:tcPr>
            <w:tcW w:w="1159" w:type="dxa"/>
            <w:vAlign w:val="top"/>
          </w:tcPr>
          <w:p w14:paraId="2E1367D7">
            <w:pPr>
              <w:pStyle w:val="6"/>
              <w:spacing w:before="60" w:line="188" w:lineRule="auto"/>
              <w:ind w:left="487"/>
            </w:pPr>
            <w:r>
              <w:rPr>
                <w:spacing w:val="-1"/>
              </w:rPr>
              <w:t>40</w:t>
            </w:r>
          </w:p>
        </w:tc>
        <w:tc>
          <w:tcPr>
            <w:tcW w:w="1048" w:type="dxa"/>
            <w:vAlign w:val="top"/>
          </w:tcPr>
          <w:p w14:paraId="163F7F47">
            <w:pPr>
              <w:pStyle w:val="6"/>
              <w:spacing w:before="60" w:line="188" w:lineRule="auto"/>
              <w:ind w:left="434"/>
            </w:pPr>
            <w:r>
              <w:rPr>
                <w:spacing w:val="-1"/>
              </w:rPr>
              <w:t>40</w:t>
            </w:r>
          </w:p>
        </w:tc>
        <w:tc>
          <w:tcPr>
            <w:tcW w:w="1063" w:type="dxa"/>
            <w:vAlign w:val="top"/>
          </w:tcPr>
          <w:p w14:paraId="421F9705">
            <w:pPr>
              <w:pStyle w:val="6"/>
              <w:spacing w:before="60" w:line="188" w:lineRule="auto"/>
              <w:ind w:left="449"/>
            </w:pPr>
            <w:r>
              <w:rPr>
                <w:spacing w:val="-4"/>
              </w:rPr>
              <w:t>30</w:t>
            </w:r>
          </w:p>
        </w:tc>
        <w:tc>
          <w:tcPr>
            <w:tcW w:w="988" w:type="dxa"/>
            <w:vAlign w:val="top"/>
          </w:tcPr>
          <w:p w14:paraId="2E779FCC">
            <w:pPr>
              <w:pStyle w:val="6"/>
              <w:spacing w:before="60" w:line="188" w:lineRule="auto"/>
              <w:ind w:left="413"/>
            </w:pPr>
            <w:r>
              <w:rPr>
                <w:spacing w:val="-4"/>
              </w:rPr>
              <w:t>30</w:t>
            </w:r>
          </w:p>
        </w:tc>
        <w:tc>
          <w:tcPr>
            <w:tcW w:w="998" w:type="dxa"/>
            <w:vMerge w:val="continue"/>
            <w:tcBorders>
              <w:top w:val="nil"/>
              <w:bottom w:val="nil"/>
              <w:right w:val="single" w:color="000000" w:sz="6" w:space="0"/>
            </w:tcBorders>
            <w:vAlign w:val="top"/>
          </w:tcPr>
          <w:p w14:paraId="7A2621C4">
            <w:pPr>
              <w:rPr>
                <w:rFonts w:ascii="Arial"/>
                <w:sz w:val="21"/>
              </w:rPr>
            </w:pPr>
          </w:p>
        </w:tc>
      </w:tr>
      <w:tr w14:paraId="10805E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684" w:type="dxa"/>
            <w:vMerge w:val="continue"/>
            <w:tcBorders>
              <w:top w:val="nil"/>
              <w:left w:val="single" w:color="000000" w:sz="6" w:space="0"/>
              <w:bottom w:val="nil"/>
            </w:tcBorders>
            <w:vAlign w:val="top"/>
          </w:tcPr>
          <w:p w14:paraId="2AABC5FF">
            <w:pPr>
              <w:rPr>
                <w:rFonts w:ascii="Arial"/>
                <w:sz w:val="21"/>
              </w:rPr>
            </w:pPr>
          </w:p>
        </w:tc>
        <w:tc>
          <w:tcPr>
            <w:tcW w:w="1164" w:type="dxa"/>
            <w:vMerge w:val="continue"/>
            <w:tcBorders>
              <w:top w:val="nil"/>
              <w:bottom w:val="nil"/>
            </w:tcBorders>
            <w:vAlign w:val="top"/>
          </w:tcPr>
          <w:p w14:paraId="2361A689">
            <w:pPr>
              <w:rPr>
                <w:rFonts w:ascii="Arial"/>
                <w:sz w:val="21"/>
              </w:rPr>
            </w:pPr>
          </w:p>
        </w:tc>
        <w:tc>
          <w:tcPr>
            <w:tcW w:w="1495" w:type="dxa"/>
            <w:vAlign w:val="top"/>
          </w:tcPr>
          <w:p w14:paraId="7957B3EF">
            <w:pPr>
              <w:pStyle w:val="6"/>
              <w:spacing w:before="31" w:line="202" w:lineRule="auto"/>
              <w:ind w:left="272"/>
              <w:rPr>
                <w:rFonts w:ascii="仿宋" w:hAnsi="仿宋" w:eastAsia="仿宋" w:cs="仿宋"/>
              </w:rPr>
            </w:pPr>
            <w:r>
              <w:rPr>
                <w:spacing w:val="-3"/>
              </w:rPr>
              <w:t>24</w:t>
            </w:r>
            <w:r>
              <w:rPr>
                <w:spacing w:val="13"/>
                <w:w w:val="101"/>
              </w:rPr>
              <w:t xml:space="preserve"> </w:t>
            </w:r>
            <w:r>
              <w:rPr>
                <w:rFonts w:ascii="仿宋" w:hAnsi="仿宋" w:eastAsia="仿宋" w:cs="仿宋"/>
                <w:spacing w:val="-3"/>
              </w:rPr>
              <w:t>小时平均</w:t>
            </w:r>
          </w:p>
        </w:tc>
        <w:tc>
          <w:tcPr>
            <w:tcW w:w="1159" w:type="dxa"/>
            <w:vAlign w:val="top"/>
          </w:tcPr>
          <w:p w14:paraId="48BCD530">
            <w:pPr>
              <w:pStyle w:val="6"/>
              <w:spacing w:before="62" w:line="188" w:lineRule="auto"/>
              <w:ind w:left="495"/>
            </w:pPr>
            <w:r>
              <w:rPr>
                <w:spacing w:val="-5"/>
              </w:rPr>
              <w:t>80</w:t>
            </w:r>
          </w:p>
        </w:tc>
        <w:tc>
          <w:tcPr>
            <w:tcW w:w="1048" w:type="dxa"/>
            <w:vAlign w:val="top"/>
          </w:tcPr>
          <w:p w14:paraId="583AE253">
            <w:pPr>
              <w:pStyle w:val="6"/>
              <w:spacing w:before="62" w:line="188" w:lineRule="auto"/>
              <w:ind w:left="442"/>
            </w:pPr>
            <w:r>
              <w:rPr>
                <w:spacing w:val="-5"/>
              </w:rPr>
              <w:t>80</w:t>
            </w:r>
          </w:p>
        </w:tc>
        <w:tc>
          <w:tcPr>
            <w:tcW w:w="1063" w:type="dxa"/>
            <w:vAlign w:val="top"/>
          </w:tcPr>
          <w:p w14:paraId="2FFE5D51">
            <w:pPr>
              <w:pStyle w:val="6"/>
              <w:spacing w:before="62" w:line="188" w:lineRule="auto"/>
              <w:ind w:left="451"/>
            </w:pPr>
            <w:r>
              <w:rPr>
                <w:spacing w:val="-4"/>
              </w:rPr>
              <w:t>50</w:t>
            </w:r>
          </w:p>
        </w:tc>
        <w:tc>
          <w:tcPr>
            <w:tcW w:w="988" w:type="dxa"/>
            <w:vAlign w:val="top"/>
          </w:tcPr>
          <w:p w14:paraId="011DE5D3">
            <w:pPr>
              <w:pStyle w:val="6"/>
              <w:spacing w:before="62" w:line="188" w:lineRule="auto"/>
              <w:ind w:left="415"/>
            </w:pPr>
            <w:r>
              <w:rPr>
                <w:spacing w:val="-4"/>
              </w:rPr>
              <w:t>50</w:t>
            </w:r>
          </w:p>
        </w:tc>
        <w:tc>
          <w:tcPr>
            <w:tcW w:w="998" w:type="dxa"/>
            <w:vMerge w:val="continue"/>
            <w:tcBorders>
              <w:top w:val="nil"/>
              <w:bottom w:val="nil"/>
              <w:right w:val="single" w:color="000000" w:sz="6" w:space="0"/>
            </w:tcBorders>
            <w:vAlign w:val="top"/>
          </w:tcPr>
          <w:p w14:paraId="7715BA35">
            <w:pPr>
              <w:rPr>
                <w:rFonts w:ascii="Arial"/>
                <w:sz w:val="21"/>
              </w:rPr>
            </w:pPr>
          </w:p>
        </w:tc>
      </w:tr>
      <w:tr w14:paraId="2F8C6D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684" w:type="dxa"/>
            <w:vMerge w:val="continue"/>
            <w:tcBorders>
              <w:top w:val="nil"/>
              <w:left w:val="single" w:color="000000" w:sz="6" w:space="0"/>
              <w:bottom w:val="nil"/>
            </w:tcBorders>
            <w:vAlign w:val="top"/>
          </w:tcPr>
          <w:p w14:paraId="790C1BAD">
            <w:pPr>
              <w:rPr>
                <w:rFonts w:ascii="Arial"/>
                <w:sz w:val="21"/>
              </w:rPr>
            </w:pPr>
          </w:p>
        </w:tc>
        <w:tc>
          <w:tcPr>
            <w:tcW w:w="1164" w:type="dxa"/>
            <w:vMerge w:val="continue"/>
            <w:tcBorders>
              <w:top w:val="nil"/>
            </w:tcBorders>
            <w:vAlign w:val="top"/>
          </w:tcPr>
          <w:p w14:paraId="59D47698">
            <w:pPr>
              <w:rPr>
                <w:rFonts w:ascii="Arial"/>
                <w:sz w:val="21"/>
              </w:rPr>
            </w:pPr>
          </w:p>
        </w:tc>
        <w:tc>
          <w:tcPr>
            <w:tcW w:w="1495" w:type="dxa"/>
            <w:vAlign w:val="top"/>
          </w:tcPr>
          <w:p w14:paraId="58A1C344">
            <w:pPr>
              <w:pStyle w:val="6"/>
              <w:spacing w:before="30" w:line="203" w:lineRule="auto"/>
              <w:ind w:left="335"/>
              <w:rPr>
                <w:rFonts w:ascii="仿宋" w:hAnsi="仿宋" w:eastAsia="仿宋" w:cs="仿宋"/>
              </w:rPr>
            </w:pPr>
            <w:r>
              <w:rPr>
                <w:spacing w:val="-7"/>
              </w:rPr>
              <w:t>1</w:t>
            </w:r>
            <w:r>
              <w:rPr>
                <w:spacing w:val="12"/>
              </w:rPr>
              <w:t xml:space="preserve"> </w:t>
            </w:r>
            <w:r>
              <w:rPr>
                <w:rFonts w:ascii="仿宋" w:hAnsi="仿宋" w:eastAsia="仿宋" w:cs="仿宋"/>
                <w:spacing w:val="-7"/>
              </w:rPr>
              <w:t>小时平均</w:t>
            </w:r>
          </w:p>
        </w:tc>
        <w:tc>
          <w:tcPr>
            <w:tcW w:w="1159" w:type="dxa"/>
            <w:vAlign w:val="top"/>
          </w:tcPr>
          <w:p w14:paraId="0B612415">
            <w:pPr>
              <w:pStyle w:val="6"/>
              <w:spacing w:before="61" w:line="188" w:lineRule="auto"/>
              <w:ind w:left="445"/>
            </w:pPr>
            <w:r>
              <w:rPr>
                <w:spacing w:val="-1"/>
              </w:rPr>
              <w:t>200</w:t>
            </w:r>
          </w:p>
        </w:tc>
        <w:tc>
          <w:tcPr>
            <w:tcW w:w="1048" w:type="dxa"/>
            <w:vAlign w:val="top"/>
          </w:tcPr>
          <w:p w14:paraId="3E4E216B">
            <w:pPr>
              <w:pStyle w:val="6"/>
              <w:spacing w:before="61" w:line="188" w:lineRule="auto"/>
              <w:ind w:left="390"/>
            </w:pPr>
            <w:r>
              <w:rPr>
                <w:spacing w:val="-1"/>
              </w:rPr>
              <w:t>200</w:t>
            </w:r>
          </w:p>
        </w:tc>
        <w:tc>
          <w:tcPr>
            <w:tcW w:w="1063" w:type="dxa"/>
            <w:vAlign w:val="top"/>
          </w:tcPr>
          <w:p w14:paraId="3F2E7638">
            <w:pPr>
              <w:pStyle w:val="6"/>
              <w:spacing w:before="61" w:line="188" w:lineRule="auto"/>
              <w:ind w:left="400"/>
            </w:pPr>
            <w:r>
              <w:rPr>
                <w:spacing w:val="-1"/>
              </w:rPr>
              <w:t>200</w:t>
            </w:r>
          </w:p>
        </w:tc>
        <w:tc>
          <w:tcPr>
            <w:tcW w:w="988" w:type="dxa"/>
            <w:vAlign w:val="top"/>
          </w:tcPr>
          <w:p w14:paraId="66E73B6A">
            <w:pPr>
              <w:pStyle w:val="6"/>
              <w:spacing w:before="61" w:line="188" w:lineRule="auto"/>
              <w:ind w:left="364"/>
            </w:pPr>
            <w:r>
              <w:rPr>
                <w:spacing w:val="-1"/>
              </w:rPr>
              <w:t>200</w:t>
            </w:r>
          </w:p>
        </w:tc>
        <w:tc>
          <w:tcPr>
            <w:tcW w:w="998" w:type="dxa"/>
            <w:vMerge w:val="continue"/>
            <w:tcBorders>
              <w:top w:val="nil"/>
              <w:bottom w:val="nil"/>
              <w:right w:val="single" w:color="000000" w:sz="6" w:space="0"/>
            </w:tcBorders>
            <w:vAlign w:val="top"/>
          </w:tcPr>
          <w:p w14:paraId="5D419410">
            <w:pPr>
              <w:rPr>
                <w:rFonts w:ascii="Arial"/>
                <w:sz w:val="21"/>
              </w:rPr>
            </w:pPr>
          </w:p>
        </w:tc>
      </w:tr>
      <w:tr w14:paraId="363582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684" w:type="dxa"/>
            <w:vMerge w:val="continue"/>
            <w:tcBorders>
              <w:top w:val="nil"/>
              <w:left w:val="single" w:color="000000" w:sz="6" w:space="0"/>
              <w:bottom w:val="nil"/>
            </w:tcBorders>
            <w:vAlign w:val="top"/>
          </w:tcPr>
          <w:p w14:paraId="7BB80DAE">
            <w:pPr>
              <w:rPr>
                <w:rFonts w:ascii="Arial"/>
                <w:sz w:val="21"/>
              </w:rPr>
            </w:pPr>
          </w:p>
        </w:tc>
        <w:tc>
          <w:tcPr>
            <w:tcW w:w="1164" w:type="dxa"/>
            <w:vMerge w:val="restart"/>
            <w:tcBorders>
              <w:bottom w:val="nil"/>
            </w:tcBorders>
            <w:vAlign w:val="top"/>
          </w:tcPr>
          <w:p w14:paraId="2B0F0016">
            <w:pPr>
              <w:pStyle w:val="6"/>
              <w:spacing w:before="186" w:line="199" w:lineRule="auto"/>
              <w:ind w:left="326"/>
              <w:rPr>
                <w:sz w:val="11"/>
                <w:szCs w:val="11"/>
              </w:rPr>
            </w:pPr>
            <w:r>
              <w:t>PM</w:t>
            </w:r>
            <w:r>
              <w:rPr>
                <w:sz w:val="11"/>
                <w:szCs w:val="11"/>
              </w:rPr>
              <w:t>10</w:t>
            </w:r>
          </w:p>
        </w:tc>
        <w:tc>
          <w:tcPr>
            <w:tcW w:w="1495" w:type="dxa"/>
            <w:vAlign w:val="top"/>
          </w:tcPr>
          <w:p w14:paraId="781ACB2D">
            <w:pPr>
              <w:spacing w:before="32" w:line="201" w:lineRule="auto"/>
              <w:ind w:left="487"/>
              <w:rPr>
                <w:rFonts w:ascii="仿宋" w:hAnsi="仿宋" w:eastAsia="仿宋" w:cs="仿宋"/>
                <w:sz w:val="18"/>
                <w:szCs w:val="18"/>
              </w:rPr>
            </w:pPr>
            <w:r>
              <w:rPr>
                <w:rFonts w:ascii="仿宋" w:hAnsi="仿宋" w:eastAsia="仿宋" w:cs="仿宋"/>
                <w:spacing w:val="-6"/>
                <w:sz w:val="18"/>
                <w:szCs w:val="18"/>
              </w:rPr>
              <w:t>年平均</w:t>
            </w:r>
          </w:p>
        </w:tc>
        <w:tc>
          <w:tcPr>
            <w:tcW w:w="1159" w:type="dxa"/>
            <w:vAlign w:val="top"/>
          </w:tcPr>
          <w:p w14:paraId="5F779C6F">
            <w:pPr>
              <w:pStyle w:val="6"/>
              <w:spacing w:before="61" w:line="188" w:lineRule="auto"/>
              <w:ind w:left="487"/>
            </w:pPr>
            <w:r>
              <w:rPr>
                <w:spacing w:val="-1"/>
              </w:rPr>
              <w:t>40</w:t>
            </w:r>
          </w:p>
        </w:tc>
        <w:tc>
          <w:tcPr>
            <w:tcW w:w="1048" w:type="dxa"/>
            <w:vAlign w:val="top"/>
          </w:tcPr>
          <w:p w14:paraId="733D3638">
            <w:pPr>
              <w:pStyle w:val="6"/>
              <w:spacing w:before="61" w:line="188" w:lineRule="auto"/>
              <w:ind w:left="439"/>
            </w:pPr>
            <w:r>
              <w:rPr>
                <w:spacing w:val="-4"/>
              </w:rPr>
              <w:t>60</w:t>
            </w:r>
          </w:p>
        </w:tc>
        <w:tc>
          <w:tcPr>
            <w:tcW w:w="1063" w:type="dxa"/>
            <w:vAlign w:val="top"/>
          </w:tcPr>
          <w:p w14:paraId="5155E3BE">
            <w:pPr>
              <w:pStyle w:val="6"/>
              <w:spacing w:before="61" w:line="188" w:lineRule="auto"/>
              <w:ind w:left="446"/>
            </w:pPr>
            <w:r>
              <w:rPr>
                <w:spacing w:val="-2"/>
              </w:rPr>
              <w:t>20</w:t>
            </w:r>
          </w:p>
        </w:tc>
        <w:tc>
          <w:tcPr>
            <w:tcW w:w="988" w:type="dxa"/>
            <w:vAlign w:val="top"/>
          </w:tcPr>
          <w:p w14:paraId="18EC8098">
            <w:pPr>
              <w:pStyle w:val="6"/>
              <w:spacing w:before="61" w:line="188" w:lineRule="auto"/>
              <w:ind w:left="415"/>
            </w:pPr>
            <w:r>
              <w:rPr>
                <w:spacing w:val="-4"/>
              </w:rPr>
              <w:t>50</w:t>
            </w:r>
          </w:p>
        </w:tc>
        <w:tc>
          <w:tcPr>
            <w:tcW w:w="998" w:type="dxa"/>
            <w:vMerge w:val="continue"/>
            <w:tcBorders>
              <w:top w:val="nil"/>
              <w:bottom w:val="nil"/>
              <w:right w:val="single" w:color="000000" w:sz="6" w:space="0"/>
            </w:tcBorders>
            <w:vAlign w:val="top"/>
          </w:tcPr>
          <w:p w14:paraId="661E33B7">
            <w:pPr>
              <w:rPr>
                <w:rFonts w:ascii="Arial"/>
                <w:sz w:val="21"/>
              </w:rPr>
            </w:pPr>
          </w:p>
        </w:tc>
      </w:tr>
      <w:tr w14:paraId="657EE4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684" w:type="dxa"/>
            <w:vMerge w:val="continue"/>
            <w:tcBorders>
              <w:top w:val="nil"/>
              <w:left w:val="single" w:color="000000" w:sz="6" w:space="0"/>
              <w:bottom w:val="nil"/>
            </w:tcBorders>
            <w:vAlign w:val="top"/>
          </w:tcPr>
          <w:p w14:paraId="3CF4D264">
            <w:pPr>
              <w:rPr>
                <w:rFonts w:ascii="Arial"/>
                <w:sz w:val="21"/>
              </w:rPr>
            </w:pPr>
          </w:p>
        </w:tc>
        <w:tc>
          <w:tcPr>
            <w:tcW w:w="1164" w:type="dxa"/>
            <w:vMerge w:val="continue"/>
            <w:tcBorders>
              <w:top w:val="nil"/>
            </w:tcBorders>
            <w:vAlign w:val="top"/>
          </w:tcPr>
          <w:p w14:paraId="2E057CC3">
            <w:pPr>
              <w:rPr>
                <w:rFonts w:ascii="Arial"/>
                <w:sz w:val="21"/>
              </w:rPr>
            </w:pPr>
          </w:p>
        </w:tc>
        <w:tc>
          <w:tcPr>
            <w:tcW w:w="1495" w:type="dxa"/>
            <w:vAlign w:val="top"/>
          </w:tcPr>
          <w:p w14:paraId="31535613">
            <w:pPr>
              <w:pStyle w:val="6"/>
              <w:spacing w:before="32" w:line="201" w:lineRule="auto"/>
              <w:ind w:left="272"/>
              <w:rPr>
                <w:rFonts w:ascii="仿宋" w:hAnsi="仿宋" w:eastAsia="仿宋" w:cs="仿宋"/>
              </w:rPr>
            </w:pPr>
            <w:r>
              <w:rPr>
                <w:spacing w:val="-3"/>
              </w:rPr>
              <w:t>24</w:t>
            </w:r>
            <w:r>
              <w:rPr>
                <w:spacing w:val="13"/>
                <w:w w:val="101"/>
              </w:rPr>
              <w:t xml:space="preserve"> </w:t>
            </w:r>
            <w:r>
              <w:rPr>
                <w:rFonts w:ascii="仿宋" w:hAnsi="仿宋" w:eastAsia="仿宋" w:cs="仿宋"/>
                <w:spacing w:val="-3"/>
              </w:rPr>
              <w:t>小时平均</w:t>
            </w:r>
          </w:p>
        </w:tc>
        <w:tc>
          <w:tcPr>
            <w:tcW w:w="1159" w:type="dxa"/>
            <w:vAlign w:val="top"/>
          </w:tcPr>
          <w:p w14:paraId="20D92658">
            <w:pPr>
              <w:pStyle w:val="6"/>
              <w:spacing w:before="62" w:line="188" w:lineRule="auto"/>
              <w:ind w:left="493"/>
            </w:pPr>
            <w:r>
              <w:rPr>
                <w:spacing w:val="-4"/>
              </w:rPr>
              <w:t>50</w:t>
            </w:r>
          </w:p>
        </w:tc>
        <w:tc>
          <w:tcPr>
            <w:tcW w:w="1048" w:type="dxa"/>
            <w:vAlign w:val="top"/>
          </w:tcPr>
          <w:p w14:paraId="0DDAC645">
            <w:pPr>
              <w:pStyle w:val="6"/>
              <w:spacing w:before="62" w:line="188" w:lineRule="auto"/>
              <w:ind w:left="407"/>
            </w:pPr>
            <w:r>
              <w:rPr>
                <w:spacing w:val="-7"/>
              </w:rPr>
              <w:t>120</w:t>
            </w:r>
          </w:p>
        </w:tc>
        <w:tc>
          <w:tcPr>
            <w:tcW w:w="1063" w:type="dxa"/>
            <w:vAlign w:val="top"/>
          </w:tcPr>
          <w:p w14:paraId="690F1DD4">
            <w:pPr>
              <w:pStyle w:val="6"/>
              <w:spacing w:before="62" w:line="188" w:lineRule="auto"/>
              <w:ind w:left="451"/>
            </w:pPr>
            <w:r>
              <w:rPr>
                <w:spacing w:val="-4"/>
              </w:rPr>
              <w:t>50</w:t>
            </w:r>
          </w:p>
        </w:tc>
        <w:tc>
          <w:tcPr>
            <w:tcW w:w="988" w:type="dxa"/>
            <w:vAlign w:val="top"/>
          </w:tcPr>
          <w:p w14:paraId="5BED7900">
            <w:pPr>
              <w:pStyle w:val="6"/>
              <w:spacing w:before="62" w:line="188" w:lineRule="auto"/>
              <w:ind w:left="382"/>
            </w:pPr>
            <w:r>
              <w:rPr>
                <w:spacing w:val="-7"/>
              </w:rPr>
              <w:t>100</w:t>
            </w:r>
          </w:p>
        </w:tc>
        <w:tc>
          <w:tcPr>
            <w:tcW w:w="998" w:type="dxa"/>
            <w:vMerge w:val="continue"/>
            <w:tcBorders>
              <w:top w:val="nil"/>
              <w:bottom w:val="nil"/>
              <w:right w:val="single" w:color="000000" w:sz="6" w:space="0"/>
            </w:tcBorders>
            <w:vAlign w:val="top"/>
          </w:tcPr>
          <w:p w14:paraId="086F173A">
            <w:pPr>
              <w:rPr>
                <w:rFonts w:ascii="Arial"/>
                <w:sz w:val="21"/>
              </w:rPr>
            </w:pPr>
          </w:p>
        </w:tc>
      </w:tr>
      <w:tr w14:paraId="10EBFD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684" w:type="dxa"/>
            <w:vMerge w:val="continue"/>
            <w:tcBorders>
              <w:top w:val="nil"/>
              <w:left w:val="single" w:color="000000" w:sz="6" w:space="0"/>
              <w:bottom w:val="nil"/>
            </w:tcBorders>
            <w:vAlign w:val="top"/>
          </w:tcPr>
          <w:p w14:paraId="722A2865">
            <w:pPr>
              <w:rPr>
                <w:rFonts w:ascii="Arial"/>
                <w:sz w:val="21"/>
              </w:rPr>
            </w:pPr>
          </w:p>
        </w:tc>
        <w:tc>
          <w:tcPr>
            <w:tcW w:w="1164" w:type="dxa"/>
            <w:vMerge w:val="restart"/>
            <w:tcBorders>
              <w:bottom w:val="nil"/>
            </w:tcBorders>
            <w:vAlign w:val="top"/>
          </w:tcPr>
          <w:p w14:paraId="2BD7908F">
            <w:pPr>
              <w:pStyle w:val="6"/>
              <w:spacing w:before="187" w:line="199" w:lineRule="auto"/>
              <w:ind w:left="309"/>
              <w:rPr>
                <w:sz w:val="11"/>
                <w:szCs w:val="11"/>
              </w:rPr>
            </w:pPr>
            <w:r>
              <w:t>PM</w:t>
            </w:r>
            <w:r>
              <w:rPr>
                <w:spacing w:val="1"/>
                <w:sz w:val="11"/>
                <w:szCs w:val="11"/>
              </w:rPr>
              <w:t>2.5</w:t>
            </w:r>
          </w:p>
        </w:tc>
        <w:tc>
          <w:tcPr>
            <w:tcW w:w="1495" w:type="dxa"/>
            <w:vAlign w:val="top"/>
          </w:tcPr>
          <w:p w14:paraId="0686808D">
            <w:pPr>
              <w:spacing w:before="32" w:line="200" w:lineRule="auto"/>
              <w:ind w:left="487"/>
              <w:rPr>
                <w:rFonts w:ascii="仿宋" w:hAnsi="仿宋" w:eastAsia="仿宋" w:cs="仿宋"/>
                <w:sz w:val="18"/>
                <w:szCs w:val="18"/>
              </w:rPr>
            </w:pPr>
            <w:r>
              <w:rPr>
                <w:rFonts w:ascii="仿宋" w:hAnsi="仿宋" w:eastAsia="仿宋" w:cs="仿宋"/>
                <w:spacing w:val="-6"/>
                <w:sz w:val="18"/>
                <w:szCs w:val="18"/>
              </w:rPr>
              <w:t>年平均</w:t>
            </w:r>
          </w:p>
        </w:tc>
        <w:tc>
          <w:tcPr>
            <w:tcW w:w="1159" w:type="dxa"/>
            <w:vAlign w:val="top"/>
          </w:tcPr>
          <w:p w14:paraId="1B336347">
            <w:pPr>
              <w:pStyle w:val="6"/>
              <w:spacing w:before="62" w:line="188" w:lineRule="auto"/>
              <w:ind w:left="505"/>
            </w:pPr>
            <w:r>
              <w:rPr>
                <w:spacing w:val="-10"/>
              </w:rPr>
              <w:t>15</w:t>
            </w:r>
          </w:p>
        </w:tc>
        <w:tc>
          <w:tcPr>
            <w:tcW w:w="1048" w:type="dxa"/>
            <w:vAlign w:val="top"/>
          </w:tcPr>
          <w:p w14:paraId="2309FF29">
            <w:pPr>
              <w:pStyle w:val="6"/>
              <w:spacing w:before="62" w:line="188" w:lineRule="auto"/>
              <w:ind w:left="439"/>
            </w:pPr>
            <w:r>
              <w:rPr>
                <w:spacing w:val="-4"/>
              </w:rPr>
              <w:t>30</w:t>
            </w:r>
          </w:p>
        </w:tc>
        <w:tc>
          <w:tcPr>
            <w:tcW w:w="1063" w:type="dxa"/>
            <w:vAlign w:val="top"/>
          </w:tcPr>
          <w:p w14:paraId="23B028BA">
            <w:pPr>
              <w:pStyle w:val="6"/>
              <w:spacing w:before="62" w:line="188" w:lineRule="auto"/>
              <w:ind w:left="463"/>
            </w:pPr>
            <w:r>
              <w:rPr>
                <w:spacing w:val="-10"/>
              </w:rPr>
              <w:t>10</w:t>
            </w:r>
          </w:p>
        </w:tc>
        <w:tc>
          <w:tcPr>
            <w:tcW w:w="988" w:type="dxa"/>
            <w:vAlign w:val="top"/>
          </w:tcPr>
          <w:p w14:paraId="6F37ECCE">
            <w:pPr>
              <w:pStyle w:val="6"/>
              <w:spacing w:before="62" w:line="188" w:lineRule="auto"/>
              <w:ind w:left="410"/>
            </w:pPr>
            <w:r>
              <w:rPr>
                <w:spacing w:val="-2"/>
              </w:rPr>
              <w:t>25</w:t>
            </w:r>
          </w:p>
        </w:tc>
        <w:tc>
          <w:tcPr>
            <w:tcW w:w="998" w:type="dxa"/>
            <w:vMerge w:val="continue"/>
            <w:tcBorders>
              <w:top w:val="nil"/>
              <w:bottom w:val="nil"/>
              <w:right w:val="single" w:color="000000" w:sz="6" w:space="0"/>
            </w:tcBorders>
            <w:vAlign w:val="top"/>
          </w:tcPr>
          <w:p w14:paraId="5AF5DAE4">
            <w:pPr>
              <w:rPr>
                <w:rFonts w:ascii="Arial"/>
                <w:sz w:val="21"/>
              </w:rPr>
            </w:pPr>
          </w:p>
        </w:tc>
      </w:tr>
      <w:tr w14:paraId="1FBAF4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684" w:type="dxa"/>
            <w:vMerge w:val="continue"/>
            <w:tcBorders>
              <w:top w:val="nil"/>
              <w:left w:val="single" w:color="000000" w:sz="6" w:space="0"/>
              <w:bottom w:val="nil"/>
            </w:tcBorders>
            <w:vAlign w:val="top"/>
          </w:tcPr>
          <w:p w14:paraId="4759104C">
            <w:pPr>
              <w:rPr>
                <w:rFonts w:ascii="Arial"/>
                <w:sz w:val="21"/>
              </w:rPr>
            </w:pPr>
          </w:p>
        </w:tc>
        <w:tc>
          <w:tcPr>
            <w:tcW w:w="1164" w:type="dxa"/>
            <w:vMerge w:val="continue"/>
            <w:tcBorders>
              <w:top w:val="nil"/>
            </w:tcBorders>
            <w:vAlign w:val="top"/>
          </w:tcPr>
          <w:p w14:paraId="34A796CD">
            <w:pPr>
              <w:rPr>
                <w:rFonts w:ascii="Arial"/>
                <w:sz w:val="21"/>
              </w:rPr>
            </w:pPr>
          </w:p>
        </w:tc>
        <w:tc>
          <w:tcPr>
            <w:tcW w:w="1495" w:type="dxa"/>
            <w:vAlign w:val="top"/>
          </w:tcPr>
          <w:p w14:paraId="074E3B30">
            <w:pPr>
              <w:pStyle w:val="6"/>
              <w:spacing w:before="32" w:line="200" w:lineRule="auto"/>
              <w:ind w:left="272"/>
              <w:rPr>
                <w:rFonts w:ascii="仿宋" w:hAnsi="仿宋" w:eastAsia="仿宋" w:cs="仿宋"/>
              </w:rPr>
            </w:pPr>
            <w:r>
              <w:rPr>
                <w:spacing w:val="-3"/>
              </w:rPr>
              <w:t>24</w:t>
            </w:r>
            <w:r>
              <w:rPr>
                <w:spacing w:val="13"/>
                <w:w w:val="101"/>
              </w:rPr>
              <w:t xml:space="preserve"> </w:t>
            </w:r>
            <w:r>
              <w:rPr>
                <w:rFonts w:ascii="仿宋" w:hAnsi="仿宋" w:eastAsia="仿宋" w:cs="仿宋"/>
                <w:spacing w:val="-3"/>
              </w:rPr>
              <w:t>小时平均</w:t>
            </w:r>
          </w:p>
        </w:tc>
        <w:tc>
          <w:tcPr>
            <w:tcW w:w="1159" w:type="dxa"/>
            <w:vAlign w:val="top"/>
          </w:tcPr>
          <w:p w14:paraId="72FE853C">
            <w:pPr>
              <w:pStyle w:val="6"/>
              <w:spacing w:before="64" w:line="188" w:lineRule="auto"/>
              <w:ind w:left="491"/>
            </w:pPr>
            <w:r>
              <w:rPr>
                <w:spacing w:val="-4"/>
              </w:rPr>
              <w:t>35</w:t>
            </w:r>
          </w:p>
        </w:tc>
        <w:tc>
          <w:tcPr>
            <w:tcW w:w="1048" w:type="dxa"/>
            <w:vAlign w:val="top"/>
          </w:tcPr>
          <w:p w14:paraId="1EC6DCC1">
            <w:pPr>
              <w:pStyle w:val="6"/>
              <w:spacing w:before="64" w:line="188" w:lineRule="auto"/>
              <w:ind w:left="439"/>
            </w:pPr>
            <w:r>
              <w:rPr>
                <w:spacing w:val="-4"/>
              </w:rPr>
              <w:t>60</w:t>
            </w:r>
          </w:p>
        </w:tc>
        <w:tc>
          <w:tcPr>
            <w:tcW w:w="1063" w:type="dxa"/>
            <w:vAlign w:val="top"/>
          </w:tcPr>
          <w:p w14:paraId="1883BD29">
            <w:pPr>
              <w:pStyle w:val="6"/>
              <w:spacing w:before="64" w:line="188" w:lineRule="auto"/>
              <w:ind w:left="446"/>
            </w:pPr>
            <w:r>
              <w:rPr>
                <w:spacing w:val="-2"/>
              </w:rPr>
              <w:t>25</w:t>
            </w:r>
          </w:p>
        </w:tc>
        <w:tc>
          <w:tcPr>
            <w:tcW w:w="988" w:type="dxa"/>
            <w:vAlign w:val="top"/>
          </w:tcPr>
          <w:p w14:paraId="544DC43B">
            <w:pPr>
              <w:pStyle w:val="6"/>
              <w:spacing w:before="64" w:line="188" w:lineRule="auto"/>
              <w:ind w:left="415"/>
            </w:pPr>
            <w:r>
              <w:rPr>
                <w:spacing w:val="-4"/>
              </w:rPr>
              <w:t>50</w:t>
            </w:r>
          </w:p>
        </w:tc>
        <w:tc>
          <w:tcPr>
            <w:tcW w:w="998" w:type="dxa"/>
            <w:vMerge w:val="continue"/>
            <w:tcBorders>
              <w:top w:val="nil"/>
              <w:right w:val="single" w:color="000000" w:sz="6" w:space="0"/>
            </w:tcBorders>
            <w:vAlign w:val="top"/>
          </w:tcPr>
          <w:p w14:paraId="13F113DC">
            <w:pPr>
              <w:rPr>
                <w:rFonts w:ascii="Arial"/>
                <w:sz w:val="21"/>
              </w:rPr>
            </w:pPr>
          </w:p>
        </w:tc>
      </w:tr>
      <w:tr w14:paraId="0578BA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684" w:type="dxa"/>
            <w:vMerge w:val="continue"/>
            <w:tcBorders>
              <w:top w:val="nil"/>
              <w:left w:val="single" w:color="000000" w:sz="6" w:space="0"/>
              <w:bottom w:val="nil"/>
            </w:tcBorders>
            <w:vAlign w:val="top"/>
          </w:tcPr>
          <w:p w14:paraId="17FEE0A4">
            <w:pPr>
              <w:rPr>
                <w:rFonts w:ascii="Arial"/>
                <w:sz w:val="21"/>
              </w:rPr>
            </w:pPr>
          </w:p>
        </w:tc>
        <w:tc>
          <w:tcPr>
            <w:tcW w:w="1164" w:type="dxa"/>
            <w:vMerge w:val="restart"/>
            <w:tcBorders>
              <w:bottom w:val="nil"/>
            </w:tcBorders>
            <w:vAlign w:val="top"/>
          </w:tcPr>
          <w:p w14:paraId="0E6CA326">
            <w:pPr>
              <w:pStyle w:val="6"/>
              <w:spacing w:before="183" w:line="188" w:lineRule="auto"/>
              <w:ind w:left="392"/>
            </w:pPr>
            <w:r>
              <w:rPr>
                <w:spacing w:val="-4"/>
              </w:rPr>
              <w:t>CO</w:t>
            </w:r>
          </w:p>
        </w:tc>
        <w:tc>
          <w:tcPr>
            <w:tcW w:w="1495" w:type="dxa"/>
            <w:vAlign w:val="top"/>
          </w:tcPr>
          <w:p w14:paraId="4B281F28">
            <w:pPr>
              <w:pStyle w:val="6"/>
              <w:spacing w:before="32" w:line="201" w:lineRule="auto"/>
              <w:ind w:left="272"/>
              <w:rPr>
                <w:rFonts w:ascii="仿宋" w:hAnsi="仿宋" w:eastAsia="仿宋" w:cs="仿宋"/>
              </w:rPr>
            </w:pPr>
            <w:r>
              <w:rPr>
                <w:spacing w:val="-3"/>
              </w:rPr>
              <w:t>24</w:t>
            </w:r>
            <w:r>
              <w:rPr>
                <w:spacing w:val="13"/>
                <w:w w:val="101"/>
              </w:rPr>
              <w:t xml:space="preserve"> </w:t>
            </w:r>
            <w:r>
              <w:rPr>
                <w:rFonts w:ascii="仿宋" w:hAnsi="仿宋" w:eastAsia="仿宋" w:cs="仿宋"/>
                <w:spacing w:val="-3"/>
              </w:rPr>
              <w:t>小时平均</w:t>
            </w:r>
          </w:p>
        </w:tc>
        <w:tc>
          <w:tcPr>
            <w:tcW w:w="1159" w:type="dxa"/>
            <w:vAlign w:val="top"/>
          </w:tcPr>
          <w:p w14:paraId="13E77043">
            <w:pPr>
              <w:pStyle w:val="6"/>
              <w:spacing w:before="63" w:line="188" w:lineRule="auto"/>
              <w:ind w:left="533"/>
            </w:pPr>
            <w:r>
              <w:t>4</w:t>
            </w:r>
          </w:p>
        </w:tc>
        <w:tc>
          <w:tcPr>
            <w:tcW w:w="1048" w:type="dxa"/>
            <w:vAlign w:val="top"/>
          </w:tcPr>
          <w:p w14:paraId="62A2699F">
            <w:pPr>
              <w:pStyle w:val="6"/>
              <w:spacing w:before="63" w:line="188" w:lineRule="auto"/>
              <w:ind w:left="480"/>
            </w:pPr>
            <w:r>
              <w:t>4</w:t>
            </w:r>
          </w:p>
        </w:tc>
        <w:tc>
          <w:tcPr>
            <w:tcW w:w="1063" w:type="dxa"/>
            <w:vAlign w:val="top"/>
          </w:tcPr>
          <w:p w14:paraId="2501C004">
            <w:pPr>
              <w:pStyle w:val="6"/>
              <w:spacing w:before="63" w:line="188" w:lineRule="auto"/>
              <w:ind w:left="488"/>
            </w:pPr>
            <w:r>
              <w:t>4</w:t>
            </w:r>
          </w:p>
        </w:tc>
        <w:tc>
          <w:tcPr>
            <w:tcW w:w="988" w:type="dxa"/>
            <w:vAlign w:val="top"/>
          </w:tcPr>
          <w:p w14:paraId="4E645960">
            <w:pPr>
              <w:pStyle w:val="6"/>
              <w:spacing w:before="63" w:line="188" w:lineRule="auto"/>
              <w:ind w:left="455"/>
            </w:pPr>
            <w:r>
              <w:t>4</w:t>
            </w:r>
          </w:p>
        </w:tc>
        <w:tc>
          <w:tcPr>
            <w:tcW w:w="998" w:type="dxa"/>
            <w:vMerge w:val="restart"/>
            <w:tcBorders>
              <w:bottom w:val="nil"/>
              <w:right w:val="single" w:color="000000" w:sz="6" w:space="0"/>
            </w:tcBorders>
            <w:vAlign w:val="top"/>
          </w:tcPr>
          <w:p w14:paraId="3F77B77A">
            <w:pPr>
              <w:pStyle w:val="6"/>
              <w:spacing w:before="167" w:line="206" w:lineRule="auto"/>
              <w:ind w:left="293"/>
              <w:rPr>
                <w:sz w:val="11"/>
                <w:szCs w:val="11"/>
              </w:rPr>
            </w:pPr>
            <w:r>
              <w:t>mg/m</w:t>
            </w:r>
            <w:r>
              <w:rPr>
                <w:position w:val="5"/>
                <w:sz w:val="11"/>
                <w:szCs w:val="11"/>
              </w:rPr>
              <w:t>3</w:t>
            </w:r>
          </w:p>
        </w:tc>
      </w:tr>
      <w:tr w14:paraId="125D03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684" w:type="dxa"/>
            <w:vMerge w:val="continue"/>
            <w:tcBorders>
              <w:top w:val="nil"/>
              <w:left w:val="single" w:color="000000" w:sz="6" w:space="0"/>
              <w:bottom w:val="nil"/>
            </w:tcBorders>
            <w:vAlign w:val="top"/>
          </w:tcPr>
          <w:p w14:paraId="2DB33F7A">
            <w:pPr>
              <w:rPr>
                <w:rFonts w:ascii="Arial"/>
                <w:sz w:val="21"/>
              </w:rPr>
            </w:pPr>
          </w:p>
        </w:tc>
        <w:tc>
          <w:tcPr>
            <w:tcW w:w="1164" w:type="dxa"/>
            <w:vMerge w:val="continue"/>
            <w:tcBorders>
              <w:top w:val="nil"/>
            </w:tcBorders>
            <w:vAlign w:val="top"/>
          </w:tcPr>
          <w:p w14:paraId="06F7D3BA">
            <w:pPr>
              <w:rPr>
                <w:rFonts w:ascii="Arial"/>
                <w:sz w:val="21"/>
              </w:rPr>
            </w:pPr>
          </w:p>
        </w:tc>
        <w:tc>
          <w:tcPr>
            <w:tcW w:w="1495" w:type="dxa"/>
            <w:vAlign w:val="top"/>
          </w:tcPr>
          <w:p w14:paraId="49D9C293">
            <w:pPr>
              <w:pStyle w:val="6"/>
              <w:spacing w:before="34" w:line="200" w:lineRule="auto"/>
              <w:ind w:left="335"/>
              <w:rPr>
                <w:rFonts w:ascii="仿宋" w:hAnsi="仿宋" w:eastAsia="仿宋" w:cs="仿宋"/>
              </w:rPr>
            </w:pPr>
            <w:r>
              <w:rPr>
                <w:spacing w:val="-7"/>
              </w:rPr>
              <w:t>1</w:t>
            </w:r>
            <w:r>
              <w:rPr>
                <w:spacing w:val="12"/>
              </w:rPr>
              <w:t xml:space="preserve"> </w:t>
            </w:r>
            <w:r>
              <w:rPr>
                <w:rFonts w:ascii="仿宋" w:hAnsi="仿宋" w:eastAsia="仿宋" w:cs="仿宋"/>
                <w:spacing w:val="-7"/>
              </w:rPr>
              <w:t>小时平均</w:t>
            </w:r>
          </w:p>
        </w:tc>
        <w:tc>
          <w:tcPr>
            <w:tcW w:w="1159" w:type="dxa"/>
            <w:vAlign w:val="top"/>
          </w:tcPr>
          <w:p w14:paraId="6CD20618">
            <w:pPr>
              <w:pStyle w:val="6"/>
              <w:spacing w:before="65" w:line="188" w:lineRule="auto"/>
              <w:ind w:left="505"/>
            </w:pPr>
            <w:r>
              <w:rPr>
                <w:spacing w:val="-10"/>
              </w:rPr>
              <w:t>10</w:t>
            </w:r>
          </w:p>
        </w:tc>
        <w:tc>
          <w:tcPr>
            <w:tcW w:w="1048" w:type="dxa"/>
            <w:vAlign w:val="top"/>
          </w:tcPr>
          <w:p w14:paraId="6DFE967A">
            <w:pPr>
              <w:pStyle w:val="6"/>
              <w:spacing w:before="65" w:line="188" w:lineRule="auto"/>
              <w:ind w:left="453"/>
            </w:pPr>
            <w:r>
              <w:rPr>
                <w:spacing w:val="-10"/>
              </w:rPr>
              <w:t>10</w:t>
            </w:r>
          </w:p>
        </w:tc>
        <w:tc>
          <w:tcPr>
            <w:tcW w:w="1063" w:type="dxa"/>
            <w:vAlign w:val="top"/>
          </w:tcPr>
          <w:p w14:paraId="6415E162">
            <w:pPr>
              <w:pStyle w:val="6"/>
              <w:spacing w:before="65" w:line="188" w:lineRule="auto"/>
              <w:ind w:left="463"/>
            </w:pPr>
            <w:r>
              <w:rPr>
                <w:spacing w:val="-10"/>
              </w:rPr>
              <w:t>10</w:t>
            </w:r>
          </w:p>
        </w:tc>
        <w:tc>
          <w:tcPr>
            <w:tcW w:w="988" w:type="dxa"/>
            <w:vAlign w:val="top"/>
          </w:tcPr>
          <w:p w14:paraId="66EF073E">
            <w:pPr>
              <w:pStyle w:val="6"/>
              <w:spacing w:before="65" w:line="188" w:lineRule="auto"/>
              <w:ind w:left="427"/>
            </w:pPr>
            <w:r>
              <w:rPr>
                <w:spacing w:val="-10"/>
              </w:rPr>
              <w:t>10</w:t>
            </w:r>
          </w:p>
        </w:tc>
        <w:tc>
          <w:tcPr>
            <w:tcW w:w="998" w:type="dxa"/>
            <w:vMerge w:val="continue"/>
            <w:tcBorders>
              <w:top w:val="nil"/>
              <w:right w:val="single" w:color="000000" w:sz="6" w:space="0"/>
            </w:tcBorders>
            <w:vAlign w:val="top"/>
          </w:tcPr>
          <w:p w14:paraId="011318E2">
            <w:pPr>
              <w:rPr>
                <w:rFonts w:ascii="Arial"/>
                <w:sz w:val="21"/>
              </w:rPr>
            </w:pPr>
          </w:p>
        </w:tc>
      </w:tr>
      <w:tr w14:paraId="427179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684" w:type="dxa"/>
            <w:vMerge w:val="continue"/>
            <w:tcBorders>
              <w:top w:val="nil"/>
              <w:left w:val="single" w:color="000000" w:sz="6" w:space="0"/>
              <w:bottom w:val="nil"/>
            </w:tcBorders>
            <w:vAlign w:val="top"/>
          </w:tcPr>
          <w:p w14:paraId="69648F9E">
            <w:pPr>
              <w:rPr>
                <w:rFonts w:ascii="Arial"/>
                <w:sz w:val="21"/>
              </w:rPr>
            </w:pPr>
          </w:p>
        </w:tc>
        <w:tc>
          <w:tcPr>
            <w:tcW w:w="1164" w:type="dxa"/>
            <w:vMerge w:val="restart"/>
            <w:tcBorders>
              <w:bottom w:val="nil"/>
            </w:tcBorders>
            <w:vAlign w:val="top"/>
          </w:tcPr>
          <w:p w14:paraId="62E73604">
            <w:pPr>
              <w:pStyle w:val="6"/>
              <w:spacing w:before="182" w:line="194" w:lineRule="auto"/>
              <w:ind w:left="423"/>
              <w:rPr>
                <w:sz w:val="11"/>
                <w:szCs w:val="11"/>
              </w:rPr>
            </w:pPr>
            <w:r>
              <w:rPr>
                <w:spacing w:val="-4"/>
              </w:rPr>
              <w:t>O</w:t>
            </w:r>
            <w:r>
              <w:rPr>
                <w:spacing w:val="-4"/>
                <w:position w:val="-1"/>
                <w:sz w:val="11"/>
                <w:szCs w:val="11"/>
              </w:rPr>
              <w:t>3</w:t>
            </w:r>
          </w:p>
        </w:tc>
        <w:tc>
          <w:tcPr>
            <w:tcW w:w="1495" w:type="dxa"/>
            <w:vAlign w:val="top"/>
          </w:tcPr>
          <w:p w14:paraId="7C1DAFDD">
            <w:pPr>
              <w:pStyle w:val="6"/>
              <w:spacing w:before="32" w:line="201" w:lineRule="auto"/>
              <w:ind w:left="324"/>
              <w:rPr>
                <w:rFonts w:ascii="仿宋" w:hAnsi="仿宋" w:eastAsia="仿宋" w:cs="仿宋"/>
              </w:rPr>
            </w:pPr>
            <w:r>
              <w:rPr>
                <w:spacing w:val="-5"/>
              </w:rPr>
              <w:t>8</w:t>
            </w:r>
            <w:r>
              <w:rPr>
                <w:spacing w:val="12"/>
              </w:rPr>
              <w:t xml:space="preserve"> </w:t>
            </w:r>
            <w:r>
              <w:rPr>
                <w:rFonts w:ascii="仿宋" w:hAnsi="仿宋" w:eastAsia="仿宋" w:cs="仿宋"/>
                <w:spacing w:val="-5"/>
              </w:rPr>
              <w:t>小时平均</w:t>
            </w:r>
          </w:p>
        </w:tc>
        <w:tc>
          <w:tcPr>
            <w:tcW w:w="1159" w:type="dxa"/>
            <w:vAlign w:val="top"/>
          </w:tcPr>
          <w:p w14:paraId="13228802">
            <w:pPr>
              <w:pStyle w:val="6"/>
              <w:spacing w:before="63" w:line="188" w:lineRule="auto"/>
              <w:ind w:left="462"/>
            </w:pPr>
            <w:r>
              <w:rPr>
                <w:spacing w:val="-7"/>
              </w:rPr>
              <w:t>100</w:t>
            </w:r>
          </w:p>
        </w:tc>
        <w:tc>
          <w:tcPr>
            <w:tcW w:w="1048" w:type="dxa"/>
            <w:vAlign w:val="top"/>
          </w:tcPr>
          <w:p w14:paraId="52714DCD">
            <w:pPr>
              <w:pStyle w:val="6"/>
              <w:spacing w:before="63" w:line="188" w:lineRule="auto"/>
              <w:ind w:left="407"/>
            </w:pPr>
            <w:r>
              <w:rPr>
                <w:spacing w:val="-7"/>
              </w:rPr>
              <w:t>160</w:t>
            </w:r>
          </w:p>
        </w:tc>
        <w:tc>
          <w:tcPr>
            <w:tcW w:w="1063" w:type="dxa"/>
            <w:vAlign w:val="top"/>
          </w:tcPr>
          <w:p w14:paraId="3601C242">
            <w:pPr>
              <w:pStyle w:val="6"/>
              <w:spacing w:before="63" w:line="188" w:lineRule="auto"/>
              <w:ind w:left="417"/>
            </w:pPr>
            <w:r>
              <w:rPr>
                <w:spacing w:val="-7"/>
              </w:rPr>
              <w:t>100</w:t>
            </w:r>
          </w:p>
        </w:tc>
        <w:tc>
          <w:tcPr>
            <w:tcW w:w="988" w:type="dxa"/>
            <w:vAlign w:val="top"/>
          </w:tcPr>
          <w:p w14:paraId="53FF3282">
            <w:pPr>
              <w:pStyle w:val="6"/>
              <w:spacing w:before="63" w:line="188" w:lineRule="auto"/>
              <w:ind w:left="382"/>
            </w:pPr>
            <w:r>
              <w:rPr>
                <w:spacing w:val="-7"/>
              </w:rPr>
              <w:t>160</w:t>
            </w:r>
          </w:p>
        </w:tc>
        <w:tc>
          <w:tcPr>
            <w:tcW w:w="998" w:type="dxa"/>
            <w:vMerge w:val="restart"/>
            <w:tcBorders>
              <w:bottom w:val="nil"/>
              <w:right w:val="single" w:color="000000" w:sz="6" w:space="0"/>
            </w:tcBorders>
            <w:vAlign w:val="top"/>
          </w:tcPr>
          <w:p w14:paraId="6B69EAF7">
            <w:pPr>
              <w:pStyle w:val="6"/>
              <w:spacing w:before="168" w:line="206" w:lineRule="auto"/>
              <w:ind w:left="302"/>
              <w:rPr>
                <w:sz w:val="11"/>
                <w:szCs w:val="11"/>
              </w:rPr>
            </w:pPr>
            <w:r>
              <w:rPr>
                <w:spacing w:val="-2"/>
              </w:rPr>
              <w:t>μg/m</w:t>
            </w:r>
            <w:r>
              <w:rPr>
                <w:spacing w:val="-2"/>
                <w:position w:val="5"/>
                <w:sz w:val="11"/>
                <w:szCs w:val="11"/>
              </w:rPr>
              <w:t>3</w:t>
            </w:r>
          </w:p>
        </w:tc>
      </w:tr>
      <w:tr w14:paraId="08758C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684" w:type="dxa"/>
            <w:vMerge w:val="continue"/>
            <w:tcBorders>
              <w:top w:val="nil"/>
              <w:left w:val="single" w:color="000000" w:sz="6" w:space="0"/>
              <w:bottom w:val="nil"/>
            </w:tcBorders>
            <w:vAlign w:val="top"/>
          </w:tcPr>
          <w:p w14:paraId="2745CCAE">
            <w:pPr>
              <w:rPr>
                <w:rFonts w:ascii="Arial"/>
                <w:sz w:val="21"/>
              </w:rPr>
            </w:pPr>
          </w:p>
        </w:tc>
        <w:tc>
          <w:tcPr>
            <w:tcW w:w="1164" w:type="dxa"/>
            <w:vMerge w:val="continue"/>
            <w:tcBorders>
              <w:top w:val="nil"/>
              <w:bottom w:val="single" w:color="000000" w:sz="10" w:space="0"/>
            </w:tcBorders>
            <w:vAlign w:val="top"/>
          </w:tcPr>
          <w:p w14:paraId="72D39D65">
            <w:pPr>
              <w:rPr>
                <w:rFonts w:ascii="Arial"/>
                <w:sz w:val="21"/>
              </w:rPr>
            </w:pPr>
          </w:p>
        </w:tc>
        <w:tc>
          <w:tcPr>
            <w:tcW w:w="1495" w:type="dxa"/>
            <w:tcBorders>
              <w:bottom w:val="single" w:color="000000" w:sz="10" w:space="0"/>
            </w:tcBorders>
            <w:vAlign w:val="top"/>
          </w:tcPr>
          <w:p w14:paraId="30E41F68">
            <w:pPr>
              <w:pStyle w:val="6"/>
              <w:spacing w:before="34" w:line="208" w:lineRule="auto"/>
              <w:ind w:left="335"/>
              <w:rPr>
                <w:rFonts w:ascii="仿宋" w:hAnsi="仿宋" w:eastAsia="仿宋" w:cs="仿宋"/>
              </w:rPr>
            </w:pPr>
            <w:r>
              <w:rPr>
                <w:spacing w:val="-7"/>
              </w:rPr>
              <w:t>1</w:t>
            </w:r>
            <w:r>
              <w:rPr>
                <w:spacing w:val="12"/>
              </w:rPr>
              <w:t xml:space="preserve"> </w:t>
            </w:r>
            <w:r>
              <w:rPr>
                <w:rFonts w:ascii="仿宋" w:hAnsi="仿宋" w:eastAsia="仿宋" w:cs="仿宋"/>
                <w:spacing w:val="-7"/>
              </w:rPr>
              <w:t>小时平均</w:t>
            </w:r>
          </w:p>
        </w:tc>
        <w:tc>
          <w:tcPr>
            <w:tcW w:w="1159" w:type="dxa"/>
            <w:tcBorders>
              <w:bottom w:val="single" w:color="000000" w:sz="10" w:space="0"/>
            </w:tcBorders>
            <w:vAlign w:val="top"/>
          </w:tcPr>
          <w:p w14:paraId="1EBD7ED3">
            <w:pPr>
              <w:pStyle w:val="6"/>
              <w:spacing w:before="65" w:line="188" w:lineRule="auto"/>
              <w:ind w:left="462"/>
            </w:pPr>
            <w:r>
              <w:rPr>
                <w:spacing w:val="-7"/>
              </w:rPr>
              <w:t>160</w:t>
            </w:r>
          </w:p>
        </w:tc>
        <w:tc>
          <w:tcPr>
            <w:tcW w:w="1048" w:type="dxa"/>
            <w:tcBorders>
              <w:bottom w:val="single" w:color="000000" w:sz="10" w:space="0"/>
            </w:tcBorders>
            <w:vAlign w:val="top"/>
          </w:tcPr>
          <w:p w14:paraId="08A5EF8B">
            <w:pPr>
              <w:pStyle w:val="6"/>
              <w:spacing w:before="65" w:line="188" w:lineRule="auto"/>
              <w:ind w:left="390"/>
            </w:pPr>
            <w:r>
              <w:rPr>
                <w:spacing w:val="-1"/>
              </w:rPr>
              <w:t>200</w:t>
            </w:r>
          </w:p>
        </w:tc>
        <w:tc>
          <w:tcPr>
            <w:tcW w:w="1063" w:type="dxa"/>
            <w:tcBorders>
              <w:bottom w:val="single" w:color="000000" w:sz="10" w:space="0"/>
            </w:tcBorders>
            <w:vAlign w:val="top"/>
          </w:tcPr>
          <w:p w14:paraId="2930BFDF">
            <w:pPr>
              <w:pStyle w:val="6"/>
              <w:spacing w:before="65" w:line="188" w:lineRule="auto"/>
              <w:ind w:left="417"/>
            </w:pPr>
            <w:r>
              <w:rPr>
                <w:spacing w:val="-7"/>
              </w:rPr>
              <w:t>160</w:t>
            </w:r>
          </w:p>
        </w:tc>
        <w:tc>
          <w:tcPr>
            <w:tcW w:w="988" w:type="dxa"/>
            <w:tcBorders>
              <w:bottom w:val="single" w:color="000000" w:sz="10" w:space="0"/>
            </w:tcBorders>
            <w:vAlign w:val="top"/>
          </w:tcPr>
          <w:p w14:paraId="49E10613">
            <w:pPr>
              <w:pStyle w:val="6"/>
              <w:spacing w:before="65" w:line="188" w:lineRule="auto"/>
              <w:ind w:left="364"/>
            </w:pPr>
            <w:r>
              <w:rPr>
                <w:spacing w:val="-1"/>
              </w:rPr>
              <w:t>200</w:t>
            </w:r>
          </w:p>
        </w:tc>
        <w:tc>
          <w:tcPr>
            <w:tcW w:w="998" w:type="dxa"/>
            <w:vMerge w:val="continue"/>
            <w:tcBorders>
              <w:top w:val="nil"/>
              <w:bottom w:val="single" w:color="000000" w:sz="10" w:space="0"/>
              <w:right w:val="single" w:color="000000" w:sz="6" w:space="0"/>
            </w:tcBorders>
            <w:vAlign w:val="top"/>
          </w:tcPr>
          <w:p w14:paraId="1BC5B661">
            <w:pPr>
              <w:rPr>
                <w:rFonts w:ascii="Arial"/>
                <w:sz w:val="21"/>
              </w:rPr>
            </w:pPr>
          </w:p>
        </w:tc>
      </w:tr>
      <w:tr w14:paraId="0AE733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6" w:hRule="atLeast"/>
        </w:trPr>
        <w:tc>
          <w:tcPr>
            <w:tcW w:w="684" w:type="dxa"/>
            <w:vMerge w:val="continue"/>
            <w:tcBorders>
              <w:top w:val="nil"/>
              <w:left w:val="single" w:color="000000" w:sz="6" w:space="0"/>
              <w:bottom w:val="single" w:color="000000" w:sz="6" w:space="0"/>
            </w:tcBorders>
            <w:vAlign w:val="top"/>
          </w:tcPr>
          <w:p w14:paraId="0215C4F0">
            <w:pPr>
              <w:rPr>
                <w:rFonts w:ascii="Arial"/>
                <w:sz w:val="21"/>
              </w:rPr>
            </w:pPr>
          </w:p>
        </w:tc>
        <w:tc>
          <w:tcPr>
            <w:tcW w:w="7915" w:type="dxa"/>
            <w:gridSpan w:val="7"/>
            <w:tcBorders>
              <w:top w:val="single" w:color="000000" w:sz="10" w:space="0"/>
              <w:bottom w:val="single" w:color="000000" w:sz="6" w:space="0"/>
              <w:right w:val="single" w:color="000000" w:sz="6" w:space="0"/>
            </w:tcBorders>
            <w:vAlign w:val="top"/>
          </w:tcPr>
          <w:p w14:paraId="3234F047">
            <w:pPr>
              <w:pStyle w:val="6"/>
              <w:spacing w:before="29" w:line="231" w:lineRule="auto"/>
              <w:ind w:left="523"/>
              <w:rPr>
                <w:rFonts w:ascii="仿宋" w:hAnsi="仿宋" w:eastAsia="仿宋" w:cs="仿宋"/>
                <w:sz w:val="20"/>
                <w:szCs w:val="20"/>
              </w:rPr>
            </w:pPr>
            <w:r>
              <w:rPr>
                <w:b/>
                <w:bCs/>
                <w:spacing w:val="4"/>
                <w:sz w:val="20"/>
                <w:szCs w:val="20"/>
              </w:rPr>
              <w:t>2</w:t>
            </w:r>
            <w:r>
              <w:rPr>
                <w:b/>
                <w:bCs/>
                <w:spacing w:val="-19"/>
                <w:sz w:val="20"/>
                <w:szCs w:val="20"/>
              </w:rPr>
              <w:t xml:space="preserve"> </w:t>
            </w:r>
            <w:r>
              <w:rPr>
                <w:rFonts w:ascii="仿宋" w:hAnsi="仿宋" w:eastAsia="仿宋" w:cs="仿宋"/>
                <w:b/>
                <w:bCs/>
                <w:spacing w:val="4"/>
                <w:sz w:val="20"/>
                <w:szCs w:val="20"/>
              </w:rPr>
              <w:t>、声环境质量标准</w:t>
            </w:r>
          </w:p>
          <w:p w14:paraId="0351B1BF">
            <w:pPr>
              <w:pStyle w:val="6"/>
              <w:spacing w:before="157" w:line="377" w:lineRule="auto"/>
              <w:ind w:left="111" w:right="102" w:firstLine="419"/>
              <w:jc w:val="both"/>
              <w:rPr>
                <w:rFonts w:ascii="仿宋" w:hAnsi="仿宋" w:eastAsia="仿宋" w:cs="仿宋"/>
                <w:sz w:val="20"/>
                <w:szCs w:val="20"/>
              </w:rPr>
            </w:pPr>
            <w:r>
              <w:rPr>
                <w:rFonts w:ascii="仿宋" w:hAnsi="仿宋" w:eastAsia="仿宋" w:cs="仿宋"/>
                <w:spacing w:val="8"/>
                <w:sz w:val="20"/>
                <w:szCs w:val="20"/>
              </w:rPr>
              <w:t>沿黄巨合滩出口东至天顺圪梁通村路沿兴巴高速北侧布</w:t>
            </w:r>
            <w:r>
              <w:rPr>
                <w:rFonts w:ascii="仿宋" w:hAnsi="仿宋" w:eastAsia="仿宋" w:cs="仿宋"/>
                <w:spacing w:val="7"/>
                <w:sz w:val="20"/>
                <w:szCs w:val="20"/>
              </w:rPr>
              <w:t>设，全线处于兴巴高速用</w:t>
            </w:r>
            <w:r>
              <w:rPr>
                <w:rFonts w:ascii="仿宋" w:hAnsi="仿宋" w:eastAsia="仿宋" w:cs="仿宋"/>
                <w:spacing w:val="8"/>
                <w:sz w:val="20"/>
                <w:szCs w:val="20"/>
              </w:rPr>
              <w:t>地边界外侧</w:t>
            </w:r>
            <w:r>
              <w:rPr>
                <w:rFonts w:ascii="仿宋" w:hAnsi="仿宋" w:eastAsia="仿宋" w:cs="仿宋"/>
                <w:spacing w:val="-20"/>
                <w:sz w:val="20"/>
                <w:szCs w:val="20"/>
              </w:rPr>
              <w:t xml:space="preserve"> </w:t>
            </w:r>
            <w:r>
              <w:rPr>
                <w:spacing w:val="8"/>
                <w:sz w:val="20"/>
                <w:szCs w:val="20"/>
              </w:rPr>
              <w:t>50m</w:t>
            </w:r>
            <w:r>
              <w:rPr>
                <w:spacing w:val="31"/>
                <w:w w:val="101"/>
                <w:sz w:val="20"/>
                <w:szCs w:val="20"/>
              </w:rPr>
              <w:t xml:space="preserve"> </w:t>
            </w:r>
            <w:r>
              <w:rPr>
                <w:rFonts w:ascii="仿宋" w:hAnsi="仿宋" w:eastAsia="仿宋" w:cs="仿宋"/>
                <w:spacing w:val="8"/>
                <w:sz w:val="20"/>
                <w:szCs w:val="20"/>
              </w:rPr>
              <w:t>范围内，拟建公路用地边线与兴巴高速用地边线最小间距</w:t>
            </w:r>
            <w:r>
              <w:rPr>
                <w:rFonts w:ascii="仿宋" w:hAnsi="仿宋" w:eastAsia="仿宋" w:cs="仿宋"/>
                <w:spacing w:val="-20"/>
                <w:sz w:val="20"/>
                <w:szCs w:val="20"/>
              </w:rPr>
              <w:t xml:space="preserve"> </w:t>
            </w:r>
            <w:r>
              <w:rPr>
                <w:spacing w:val="8"/>
                <w:sz w:val="20"/>
                <w:szCs w:val="20"/>
              </w:rPr>
              <w:t>12m</w:t>
            </w:r>
            <w:r>
              <w:rPr>
                <w:spacing w:val="-18"/>
                <w:sz w:val="20"/>
                <w:szCs w:val="20"/>
              </w:rPr>
              <w:t xml:space="preserve"> </w:t>
            </w:r>
            <w:r>
              <w:rPr>
                <w:rFonts w:ascii="仿宋" w:hAnsi="仿宋" w:eastAsia="仿宋" w:cs="仿宋"/>
                <w:spacing w:val="8"/>
                <w:sz w:val="20"/>
                <w:szCs w:val="20"/>
              </w:rPr>
              <w:t>。结合噪声区划要求：本段通村公路中心线两侧</w:t>
            </w:r>
            <w:r>
              <w:rPr>
                <w:rFonts w:ascii="仿宋" w:hAnsi="仿宋" w:eastAsia="仿宋" w:cs="仿宋"/>
                <w:spacing w:val="-37"/>
                <w:sz w:val="20"/>
                <w:szCs w:val="20"/>
              </w:rPr>
              <w:t xml:space="preserve"> </w:t>
            </w:r>
            <w:r>
              <w:rPr>
                <w:spacing w:val="8"/>
                <w:sz w:val="20"/>
                <w:szCs w:val="20"/>
              </w:rPr>
              <w:t>200m</w:t>
            </w:r>
            <w:r>
              <w:rPr>
                <w:spacing w:val="16"/>
                <w:w w:val="101"/>
                <w:sz w:val="20"/>
                <w:szCs w:val="20"/>
              </w:rPr>
              <w:t xml:space="preserve"> </w:t>
            </w:r>
            <w:r>
              <w:rPr>
                <w:rFonts w:ascii="仿宋" w:hAnsi="仿宋" w:eastAsia="仿宋" w:cs="仿宋"/>
                <w:spacing w:val="8"/>
                <w:sz w:val="20"/>
                <w:szCs w:val="20"/>
              </w:rPr>
              <w:t>评价范围内，对应兴巴高速用地边</w:t>
            </w:r>
            <w:r>
              <w:rPr>
                <w:rFonts w:ascii="仿宋" w:hAnsi="仿宋" w:eastAsia="仿宋" w:cs="仿宋"/>
                <w:spacing w:val="3"/>
                <w:sz w:val="20"/>
                <w:szCs w:val="20"/>
              </w:rPr>
              <w:t>界两侧</w:t>
            </w:r>
            <w:r>
              <w:rPr>
                <w:rFonts w:ascii="仿宋" w:hAnsi="仿宋" w:eastAsia="仿宋" w:cs="仿宋"/>
                <w:spacing w:val="-38"/>
                <w:sz w:val="20"/>
                <w:szCs w:val="20"/>
              </w:rPr>
              <w:t xml:space="preserve"> </w:t>
            </w:r>
            <w:r>
              <w:rPr>
                <w:spacing w:val="3"/>
                <w:sz w:val="20"/>
                <w:szCs w:val="20"/>
              </w:rPr>
              <w:t>50m</w:t>
            </w:r>
            <w:r>
              <w:rPr>
                <w:spacing w:val="36"/>
                <w:sz w:val="20"/>
                <w:szCs w:val="20"/>
              </w:rPr>
              <w:t xml:space="preserve"> </w:t>
            </w:r>
            <w:r>
              <w:rPr>
                <w:rFonts w:ascii="仿宋" w:hAnsi="仿宋" w:eastAsia="仿宋" w:cs="仿宋"/>
                <w:spacing w:val="3"/>
                <w:sz w:val="20"/>
                <w:szCs w:val="20"/>
              </w:rPr>
              <w:t>区域执行</w:t>
            </w:r>
            <w:r>
              <w:rPr>
                <w:rFonts w:ascii="仿宋" w:hAnsi="仿宋" w:eastAsia="仿宋" w:cs="仿宋"/>
                <w:spacing w:val="-42"/>
                <w:sz w:val="20"/>
                <w:szCs w:val="20"/>
              </w:rPr>
              <w:t xml:space="preserve"> </w:t>
            </w:r>
            <w:r>
              <w:rPr>
                <w:spacing w:val="3"/>
                <w:sz w:val="20"/>
                <w:szCs w:val="20"/>
              </w:rPr>
              <w:t>4a</w:t>
            </w:r>
            <w:r>
              <w:rPr>
                <w:spacing w:val="18"/>
                <w:sz w:val="20"/>
                <w:szCs w:val="20"/>
              </w:rPr>
              <w:t xml:space="preserve"> </w:t>
            </w:r>
            <w:r>
              <w:rPr>
                <w:rFonts w:ascii="仿宋" w:hAnsi="仿宋" w:eastAsia="仿宋" w:cs="仿宋"/>
                <w:spacing w:val="3"/>
                <w:sz w:val="20"/>
                <w:szCs w:val="20"/>
              </w:rPr>
              <w:t>类标准，超出高速边界</w:t>
            </w:r>
            <w:r>
              <w:rPr>
                <w:rFonts w:ascii="仿宋" w:hAnsi="仿宋" w:eastAsia="仿宋" w:cs="仿宋"/>
                <w:spacing w:val="-35"/>
                <w:sz w:val="20"/>
                <w:szCs w:val="20"/>
              </w:rPr>
              <w:t xml:space="preserve"> </w:t>
            </w:r>
            <w:r>
              <w:rPr>
                <w:spacing w:val="3"/>
                <w:sz w:val="20"/>
                <w:szCs w:val="20"/>
              </w:rPr>
              <w:t>50m</w:t>
            </w:r>
            <w:r>
              <w:rPr>
                <w:spacing w:val="36"/>
                <w:w w:val="101"/>
                <w:sz w:val="20"/>
                <w:szCs w:val="20"/>
              </w:rPr>
              <w:t xml:space="preserve"> </w:t>
            </w:r>
            <w:r>
              <w:rPr>
                <w:rFonts w:ascii="仿宋" w:hAnsi="仿宋" w:eastAsia="仿宋" w:cs="仿宋"/>
                <w:spacing w:val="3"/>
                <w:sz w:val="20"/>
                <w:szCs w:val="20"/>
              </w:rPr>
              <w:t>以外的剩余评价区域执行</w:t>
            </w:r>
            <w:r>
              <w:rPr>
                <w:rFonts w:ascii="仿宋" w:hAnsi="仿宋" w:eastAsia="仿宋" w:cs="仿宋"/>
                <w:spacing w:val="-23"/>
                <w:sz w:val="20"/>
                <w:szCs w:val="20"/>
              </w:rPr>
              <w:t xml:space="preserve"> </w:t>
            </w:r>
            <w:r>
              <w:rPr>
                <w:spacing w:val="2"/>
                <w:sz w:val="20"/>
                <w:szCs w:val="20"/>
              </w:rPr>
              <w:t>1</w:t>
            </w:r>
            <w:r>
              <w:rPr>
                <w:spacing w:val="20"/>
                <w:w w:val="101"/>
                <w:sz w:val="20"/>
                <w:szCs w:val="20"/>
              </w:rPr>
              <w:t xml:space="preserve"> </w:t>
            </w:r>
            <w:r>
              <w:rPr>
                <w:rFonts w:ascii="仿宋" w:hAnsi="仿宋" w:eastAsia="仿宋" w:cs="仿宋"/>
                <w:spacing w:val="2"/>
                <w:sz w:val="20"/>
                <w:szCs w:val="20"/>
              </w:rPr>
              <w:t>类标</w:t>
            </w:r>
            <w:r>
              <w:rPr>
                <w:rFonts w:ascii="仿宋" w:hAnsi="仿宋" w:eastAsia="仿宋" w:cs="仿宋"/>
                <w:spacing w:val="8"/>
                <w:sz w:val="20"/>
                <w:szCs w:val="20"/>
              </w:rPr>
              <w:t>准；其余线路紧邻村庄分布，沿线村庄工业生产活动偏少，因此该部</w:t>
            </w:r>
            <w:r>
              <w:rPr>
                <w:rFonts w:ascii="仿宋" w:hAnsi="仿宋" w:eastAsia="仿宋" w:cs="仿宋"/>
                <w:spacing w:val="7"/>
                <w:sz w:val="20"/>
                <w:szCs w:val="20"/>
              </w:rPr>
              <w:t>分路段公路中心</w:t>
            </w:r>
            <w:r>
              <w:rPr>
                <w:rFonts w:ascii="仿宋" w:hAnsi="仿宋" w:eastAsia="仿宋" w:cs="仿宋"/>
                <w:spacing w:val="5"/>
                <w:sz w:val="20"/>
                <w:szCs w:val="20"/>
              </w:rPr>
              <w:t>线两侧</w:t>
            </w:r>
            <w:r>
              <w:rPr>
                <w:rFonts w:ascii="仿宋" w:hAnsi="仿宋" w:eastAsia="仿宋" w:cs="仿宋"/>
                <w:spacing w:val="-43"/>
                <w:sz w:val="20"/>
                <w:szCs w:val="20"/>
              </w:rPr>
              <w:t xml:space="preserve"> </w:t>
            </w:r>
            <w:r>
              <w:rPr>
                <w:spacing w:val="5"/>
                <w:sz w:val="20"/>
                <w:szCs w:val="20"/>
              </w:rPr>
              <w:t>200m</w:t>
            </w:r>
            <w:r>
              <w:rPr>
                <w:spacing w:val="18"/>
                <w:sz w:val="20"/>
                <w:szCs w:val="20"/>
              </w:rPr>
              <w:t xml:space="preserve"> </w:t>
            </w:r>
            <w:r>
              <w:rPr>
                <w:rFonts w:ascii="仿宋" w:hAnsi="仿宋" w:eastAsia="仿宋" w:cs="仿宋"/>
                <w:spacing w:val="5"/>
                <w:sz w:val="20"/>
                <w:szCs w:val="20"/>
              </w:rPr>
              <w:t>评价范围整体执行</w:t>
            </w:r>
            <w:r>
              <w:rPr>
                <w:rFonts w:ascii="仿宋" w:hAnsi="仿宋" w:eastAsia="仿宋" w:cs="仿宋"/>
                <w:spacing w:val="-23"/>
                <w:sz w:val="20"/>
                <w:szCs w:val="20"/>
              </w:rPr>
              <w:t xml:space="preserve"> </w:t>
            </w:r>
            <w:r>
              <w:rPr>
                <w:spacing w:val="5"/>
                <w:sz w:val="20"/>
                <w:szCs w:val="20"/>
              </w:rPr>
              <w:t>1</w:t>
            </w:r>
            <w:r>
              <w:rPr>
                <w:spacing w:val="20"/>
                <w:sz w:val="20"/>
                <w:szCs w:val="20"/>
              </w:rPr>
              <w:t xml:space="preserve"> </w:t>
            </w:r>
            <w:r>
              <w:rPr>
                <w:rFonts w:ascii="仿宋" w:hAnsi="仿宋" w:eastAsia="仿宋" w:cs="仿宋"/>
                <w:spacing w:val="5"/>
                <w:sz w:val="20"/>
                <w:szCs w:val="20"/>
              </w:rPr>
              <w:t>类环境标准。</w:t>
            </w:r>
          </w:p>
          <w:p w14:paraId="277EB8A1">
            <w:pPr>
              <w:pStyle w:val="6"/>
              <w:spacing w:line="229" w:lineRule="auto"/>
              <w:ind w:left="1961"/>
              <w:rPr>
                <w:rFonts w:ascii="仿宋" w:hAnsi="仿宋" w:eastAsia="仿宋" w:cs="仿宋"/>
                <w:sz w:val="20"/>
                <w:szCs w:val="20"/>
              </w:rPr>
            </w:pPr>
            <w:r>
              <w:rPr>
                <w:rFonts w:ascii="仿宋" w:hAnsi="仿宋" w:eastAsia="仿宋" w:cs="仿宋"/>
                <w:b/>
                <w:bCs/>
                <w:spacing w:val="4"/>
                <w:sz w:val="20"/>
                <w:szCs w:val="20"/>
              </w:rPr>
              <w:t>表</w:t>
            </w:r>
            <w:r>
              <w:rPr>
                <w:rFonts w:ascii="仿宋" w:hAnsi="仿宋" w:eastAsia="仿宋" w:cs="仿宋"/>
                <w:spacing w:val="-24"/>
                <w:sz w:val="20"/>
                <w:szCs w:val="20"/>
              </w:rPr>
              <w:t xml:space="preserve"> </w:t>
            </w:r>
            <w:r>
              <w:rPr>
                <w:b/>
                <w:bCs/>
                <w:spacing w:val="4"/>
                <w:sz w:val="20"/>
                <w:szCs w:val="20"/>
              </w:rPr>
              <w:t xml:space="preserve">3-5      </w:t>
            </w:r>
            <w:r>
              <w:rPr>
                <w:rFonts w:ascii="仿宋" w:hAnsi="仿宋" w:eastAsia="仿宋" w:cs="仿宋"/>
                <w:b/>
                <w:bCs/>
                <w:spacing w:val="4"/>
                <w:sz w:val="20"/>
                <w:szCs w:val="20"/>
              </w:rPr>
              <w:t>声环境质量标准</w:t>
            </w:r>
            <w:r>
              <w:rPr>
                <w:rFonts w:ascii="仿宋" w:hAnsi="仿宋" w:eastAsia="仿宋" w:cs="仿宋"/>
                <w:spacing w:val="14"/>
                <w:sz w:val="20"/>
                <w:szCs w:val="20"/>
              </w:rPr>
              <w:t xml:space="preserve">  </w:t>
            </w:r>
            <w:r>
              <w:rPr>
                <w:rFonts w:ascii="仿宋" w:hAnsi="仿宋" w:eastAsia="仿宋" w:cs="仿宋"/>
                <w:b/>
                <w:bCs/>
                <w:spacing w:val="4"/>
                <w:sz w:val="20"/>
                <w:szCs w:val="20"/>
              </w:rPr>
              <w:t>单位：</w:t>
            </w:r>
            <w:r>
              <w:rPr>
                <w:b/>
                <w:bCs/>
                <w:sz w:val="20"/>
                <w:szCs w:val="20"/>
              </w:rPr>
              <w:t>dB</w:t>
            </w:r>
            <w:r>
              <w:rPr>
                <w:rFonts w:ascii="仿宋" w:hAnsi="仿宋" w:eastAsia="仿宋" w:cs="仿宋"/>
                <w:b/>
                <w:bCs/>
                <w:spacing w:val="4"/>
                <w:sz w:val="20"/>
                <w:szCs w:val="20"/>
              </w:rPr>
              <w:t>（</w:t>
            </w:r>
            <w:r>
              <w:rPr>
                <w:b/>
                <w:bCs/>
                <w:spacing w:val="4"/>
                <w:sz w:val="20"/>
                <w:szCs w:val="20"/>
              </w:rPr>
              <w:t>A</w:t>
            </w:r>
            <w:r>
              <w:rPr>
                <w:rFonts w:ascii="仿宋" w:hAnsi="仿宋" w:eastAsia="仿宋" w:cs="仿宋"/>
                <w:b/>
                <w:bCs/>
                <w:spacing w:val="4"/>
                <w:sz w:val="20"/>
                <w:szCs w:val="20"/>
              </w:rPr>
              <w:t>）</w:t>
            </w:r>
          </w:p>
          <w:p w14:paraId="6B61C461">
            <w:pPr>
              <w:spacing w:line="130" w:lineRule="exact"/>
            </w:pPr>
          </w:p>
          <w:tbl>
            <w:tblPr>
              <w:tblStyle w:val="5"/>
              <w:tblW w:w="7703" w:type="dxa"/>
              <w:tblInd w:w="9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0"/>
              <w:gridCol w:w="571"/>
              <w:gridCol w:w="598"/>
              <w:gridCol w:w="2337"/>
              <w:gridCol w:w="3377"/>
            </w:tblGrid>
            <w:tr w14:paraId="34F513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820" w:type="dxa"/>
                  <w:vMerge w:val="restart"/>
                  <w:tcBorders>
                    <w:top w:val="single" w:color="000000" w:sz="10" w:space="0"/>
                    <w:left w:val="nil"/>
                    <w:bottom w:val="nil"/>
                  </w:tcBorders>
                  <w:vAlign w:val="top"/>
                </w:tcPr>
                <w:p w14:paraId="0124C25D">
                  <w:pPr>
                    <w:spacing w:before="151" w:line="222" w:lineRule="auto"/>
                    <w:ind w:left="58"/>
                    <w:rPr>
                      <w:rFonts w:ascii="仿宋" w:hAnsi="仿宋" w:eastAsia="仿宋" w:cs="仿宋"/>
                      <w:sz w:val="18"/>
                      <w:szCs w:val="18"/>
                    </w:rPr>
                  </w:pPr>
                  <w:r>
                    <w:rPr>
                      <w:rFonts w:ascii="仿宋" w:hAnsi="仿宋" w:eastAsia="仿宋" w:cs="仿宋"/>
                      <w:spacing w:val="-3"/>
                      <w:sz w:val="18"/>
                      <w:szCs w:val="18"/>
                    </w:rPr>
                    <w:t>声功能区</w:t>
                  </w:r>
                </w:p>
              </w:tc>
              <w:tc>
                <w:tcPr>
                  <w:tcW w:w="1169" w:type="dxa"/>
                  <w:gridSpan w:val="2"/>
                  <w:tcBorders>
                    <w:top w:val="single" w:color="000000" w:sz="10" w:space="0"/>
                  </w:tcBorders>
                  <w:vAlign w:val="top"/>
                </w:tcPr>
                <w:p w14:paraId="0000479E">
                  <w:pPr>
                    <w:spacing w:before="32" w:line="201" w:lineRule="auto"/>
                    <w:ind w:left="232"/>
                    <w:rPr>
                      <w:rFonts w:ascii="仿宋" w:hAnsi="仿宋" w:eastAsia="仿宋" w:cs="仿宋"/>
                      <w:sz w:val="18"/>
                      <w:szCs w:val="18"/>
                    </w:rPr>
                  </w:pPr>
                  <w:r>
                    <w:rPr>
                      <w:rFonts w:ascii="仿宋" w:hAnsi="仿宋" w:eastAsia="仿宋" w:cs="仿宋"/>
                      <w:spacing w:val="-3"/>
                      <w:sz w:val="18"/>
                      <w:szCs w:val="18"/>
                    </w:rPr>
                    <w:t>标准限值</w:t>
                  </w:r>
                </w:p>
              </w:tc>
              <w:tc>
                <w:tcPr>
                  <w:tcW w:w="2337" w:type="dxa"/>
                  <w:vMerge w:val="restart"/>
                  <w:tcBorders>
                    <w:top w:val="single" w:color="000000" w:sz="10" w:space="0"/>
                    <w:bottom w:val="nil"/>
                  </w:tcBorders>
                  <w:vAlign w:val="top"/>
                </w:tcPr>
                <w:p w14:paraId="1CF5177C">
                  <w:pPr>
                    <w:spacing w:before="151" w:line="223" w:lineRule="auto"/>
                    <w:ind w:left="817"/>
                    <w:rPr>
                      <w:rFonts w:ascii="仿宋" w:hAnsi="仿宋" w:eastAsia="仿宋" w:cs="仿宋"/>
                      <w:sz w:val="18"/>
                      <w:szCs w:val="18"/>
                    </w:rPr>
                  </w:pPr>
                  <w:r>
                    <w:rPr>
                      <w:rFonts w:ascii="仿宋" w:hAnsi="仿宋" w:eastAsia="仿宋" w:cs="仿宋"/>
                      <w:spacing w:val="-3"/>
                      <w:sz w:val="18"/>
                      <w:szCs w:val="18"/>
                    </w:rPr>
                    <w:t>适用路段</w:t>
                  </w:r>
                </w:p>
              </w:tc>
              <w:tc>
                <w:tcPr>
                  <w:tcW w:w="3377" w:type="dxa"/>
                  <w:vMerge w:val="restart"/>
                  <w:tcBorders>
                    <w:top w:val="single" w:color="000000" w:sz="10" w:space="0"/>
                    <w:bottom w:val="nil"/>
                    <w:right w:val="nil"/>
                  </w:tcBorders>
                  <w:vAlign w:val="top"/>
                </w:tcPr>
                <w:p w14:paraId="7DAE7B95">
                  <w:pPr>
                    <w:spacing w:before="151" w:line="224" w:lineRule="auto"/>
                    <w:ind w:left="1339"/>
                    <w:rPr>
                      <w:rFonts w:ascii="仿宋" w:hAnsi="仿宋" w:eastAsia="仿宋" w:cs="仿宋"/>
                      <w:sz w:val="18"/>
                      <w:szCs w:val="18"/>
                    </w:rPr>
                  </w:pPr>
                  <w:r>
                    <w:rPr>
                      <w:rFonts w:ascii="仿宋" w:hAnsi="仿宋" w:eastAsia="仿宋" w:cs="仿宋"/>
                      <w:spacing w:val="-3"/>
                      <w:sz w:val="18"/>
                      <w:szCs w:val="18"/>
                    </w:rPr>
                    <w:t>适用区域</w:t>
                  </w:r>
                </w:p>
              </w:tc>
            </w:tr>
            <w:tr w14:paraId="74BDAD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4" w:hRule="atLeast"/>
              </w:trPr>
              <w:tc>
                <w:tcPr>
                  <w:tcW w:w="820" w:type="dxa"/>
                  <w:vMerge w:val="continue"/>
                  <w:tcBorders>
                    <w:top w:val="nil"/>
                    <w:left w:val="nil"/>
                  </w:tcBorders>
                  <w:vAlign w:val="top"/>
                </w:tcPr>
                <w:p w14:paraId="07015EF0">
                  <w:pPr>
                    <w:rPr>
                      <w:rFonts w:ascii="Arial"/>
                      <w:sz w:val="21"/>
                    </w:rPr>
                  </w:pPr>
                </w:p>
              </w:tc>
              <w:tc>
                <w:tcPr>
                  <w:tcW w:w="571" w:type="dxa"/>
                  <w:vAlign w:val="top"/>
                </w:tcPr>
                <w:p w14:paraId="6F7A3A88">
                  <w:pPr>
                    <w:spacing w:before="30" w:line="198" w:lineRule="auto"/>
                    <w:ind w:left="115"/>
                    <w:rPr>
                      <w:rFonts w:ascii="仿宋" w:hAnsi="仿宋" w:eastAsia="仿宋" w:cs="仿宋"/>
                      <w:sz w:val="18"/>
                      <w:szCs w:val="18"/>
                    </w:rPr>
                  </w:pPr>
                  <w:r>
                    <w:rPr>
                      <w:rFonts w:ascii="仿宋" w:hAnsi="仿宋" w:eastAsia="仿宋" w:cs="仿宋"/>
                      <w:spacing w:val="-6"/>
                      <w:sz w:val="18"/>
                      <w:szCs w:val="18"/>
                    </w:rPr>
                    <w:t>昼间</w:t>
                  </w:r>
                </w:p>
              </w:tc>
              <w:tc>
                <w:tcPr>
                  <w:tcW w:w="598" w:type="dxa"/>
                  <w:vAlign w:val="top"/>
                </w:tcPr>
                <w:p w14:paraId="18414AEA">
                  <w:pPr>
                    <w:spacing w:before="30" w:line="198" w:lineRule="auto"/>
                    <w:ind w:left="127"/>
                    <w:rPr>
                      <w:rFonts w:ascii="仿宋" w:hAnsi="仿宋" w:eastAsia="仿宋" w:cs="仿宋"/>
                      <w:sz w:val="18"/>
                      <w:szCs w:val="18"/>
                    </w:rPr>
                  </w:pPr>
                  <w:r>
                    <w:rPr>
                      <w:rFonts w:ascii="仿宋" w:hAnsi="仿宋" w:eastAsia="仿宋" w:cs="仿宋"/>
                      <w:spacing w:val="-6"/>
                      <w:sz w:val="18"/>
                      <w:szCs w:val="18"/>
                    </w:rPr>
                    <w:t>夜间</w:t>
                  </w:r>
                </w:p>
              </w:tc>
              <w:tc>
                <w:tcPr>
                  <w:tcW w:w="2337" w:type="dxa"/>
                  <w:vMerge w:val="continue"/>
                  <w:tcBorders>
                    <w:top w:val="nil"/>
                  </w:tcBorders>
                  <w:vAlign w:val="top"/>
                </w:tcPr>
                <w:p w14:paraId="4EBFBDCE">
                  <w:pPr>
                    <w:rPr>
                      <w:rFonts w:ascii="Arial"/>
                      <w:sz w:val="21"/>
                    </w:rPr>
                  </w:pPr>
                </w:p>
              </w:tc>
              <w:tc>
                <w:tcPr>
                  <w:tcW w:w="3377" w:type="dxa"/>
                  <w:vMerge w:val="continue"/>
                  <w:tcBorders>
                    <w:top w:val="nil"/>
                    <w:right w:val="nil"/>
                  </w:tcBorders>
                  <w:vAlign w:val="top"/>
                </w:tcPr>
                <w:p w14:paraId="43DE0592">
                  <w:pPr>
                    <w:rPr>
                      <w:rFonts w:ascii="Arial"/>
                      <w:sz w:val="21"/>
                    </w:rPr>
                  </w:pPr>
                </w:p>
              </w:tc>
            </w:tr>
            <w:tr w14:paraId="71D9D1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820" w:type="dxa"/>
                  <w:tcBorders>
                    <w:left w:val="nil"/>
                  </w:tcBorders>
                  <w:vAlign w:val="top"/>
                </w:tcPr>
                <w:p w14:paraId="78C3240F">
                  <w:pPr>
                    <w:pStyle w:val="6"/>
                    <w:spacing w:before="152" w:line="224" w:lineRule="auto"/>
                    <w:ind w:left="213"/>
                    <w:rPr>
                      <w:rFonts w:ascii="仿宋" w:hAnsi="仿宋" w:eastAsia="仿宋" w:cs="仿宋"/>
                    </w:rPr>
                  </w:pPr>
                  <w:r>
                    <w:rPr>
                      <w:spacing w:val="-1"/>
                    </w:rPr>
                    <w:t>4a</w:t>
                  </w:r>
                  <w:r>
                    <w:rPr>
                      <w:spacing w:val="11"/>
                      <w:w w:val="101"/>
                    </w:rPr>
                    <w:t xml:space="preserve"> </w:t>
                  </w:r>
                  <w:r>
                    <w:rPr>
                      <w:rFonts w:ascii="仿宋" w:hAnsi="仿宋" w:eastAsia="仿宋" w:cs="仿宋"/>
                      <w:spacing w:val="-1"/>
                    </w:rPr>
                    <w:t>类</w:t>
                  </w:r>
                </w:p>
              </w:tc>
              <w:tc>
                <w:tcPr>
                  <w:tcW w:w="571" w:type="dxa"/>
                  <w:vAlign w:val="top"/>
                </w:tcPr>
                <w:p w14:paraId="645C1D4D">
                  <w:pPr>
                    <w:pStyle w:val="6"/>
                    <w:spacing w:before="183" w:line="188" w:lineRule="auto"/>
                    <w:ind w:left="198"/>
                  </w:pPr>
                  <w:r>
                    <w:rPr>
                      <w:spacing w:val="-3"/>
                    </w:rPr>
                    <w:t>70</w:t>
                  </w:r>
                </w:p>
              </w:tc>
              <w:tc>
                <w:tcPr>
                  <w:tcW w:w="598" w:type="dxa"/>
                  <w:vAlign w:val="top"/>
                </w:tcPr>
                <w:p w14:paraId="31A7F4D7">
                  <w:pPr>
                    <w:pStyle w:val="6"/>
                    <w:spacing w:before="186" w:line="185" w:lineRule="auto"/>
                    <w:ind w:left="215"/>
                  </w:pPr>
                  <w:r>
                    <w:rPr>
                      <w:spacing w:val="-4"/>
                    </w:rPr>
                    <w:t>55</w:t>
                  </w:r>
                </w:p>
              </w:tc>
              <w:tc>
                <w:tcPr>
                  <w:tcW w:w="2337" w:type="dxa"/>
                  <w:vAlign w:val="top"/>
                </w:tcPr>
                <w:p w14:paraId="7B2107B0">
                  <w:pPr>
                    <w:spacing w:before="37" w:line="222" w:lineRule="auto"/>
                    <w:ind w:left="98"/>
                    <w:rPr>
                      <w:rFonts w:ascii="仿宋" w:hAnsi="仿宋" w:eastAsia="仿宋" w:cs="仿宋"/>
                      <w:sz w:val="18"/>
                      <w:szCs w:val="18"/>
                    </w:rPr>
                  </w:pPr>
                  <w:r>
                    <w:rPr>
                      <w:rFonts w:ascii="仿宋" w:hAnsi="仿宋" w:eastAsia="仿宋" w:cs="仿宋"/>
                      <w:spacing w:val="-1"/>
                      <w:sz w:val="18"/>
                      <w:szCs w:val="18"/>
                    </w:rPr>
                    <w:t>沿黄巨合滩出口东至天顺圪</w:t>
                  </w:r>
                </w:p>
                <w:p w14:paraId="46F76610">
                  <w:pPr>
                    <w:spacing w:before="15" w:line="189" w:lineRule="auto"/>
                    <w:ind w:left="820"/>
                    <w:rPr>
                      <w:rFonts w:ascii="仿宋" w:hAnsi="仿宋" w:eastAsia="仿宋" w:cs="仿宋"/>
                      <w:sz w:val="18"/>
                      <w:szCs w:val="18"/>
                    </w:rPr>
                  </w:pPr>
                  <w:r>
                    <w:rPr>
                      <w:rFonts w:ascii="仿宋" w:hAnsi="仿宋" w:eastAsia="仿宋" w:cs="仿宋"/>
                      <w:spacing w:val="-4"/>
                      <w:sz w:val="18"/>
                      <w:szCs w:val="18"/>
                    </w:rPr>
                    <w:t>梁通村路</w:t>
                  </w:r>
                </w:p>
              </w:tc>
              <w:tc>
                <w:tcPr>
                  <w:tcW w:w="3377" w:type="dxa"/>
                  <w:tcBorders>
                    <w:right w:val="nil"/>
                  </w:tcBorders>
                  <w:vAlign w:val="top"/>
                </w:tcPr>
                <w:p w14:paraId="2F3F8DED">
                  <w:pPr>
                    <w:pStyle w:val="6"/>
                    <w:spacing w:before="36" w:line="221" w:lineRule="auto"/>
                    <w:ind w:left="56"/>
                    <w:rPr>
                      <w:rFonts w:ascii="仿宋" w:hAnsi="仿宋" w:eastAsia="仿宋" w:cs="仿宋"/>
                    </w:rPr>
                  </w:pPr>
                  <w:r>
                    <w:rPr>
                      <w:rFonts w:ascii="仿宋" w:hAnsi="仿宋" w:eastAsia="仿宋" w:cs="仿宋"/>
                      <w:spacing w:val="-3"/>
                    </w:rPr>
                    <w:t>对应兴巴高速用地边界两侧</w:t>
                  </w:r>
                  <w:r>
                    <w:rPr>
                      <w:rFonts w:ascii="仿宋" w:hAnsi="仿宋" w:eastAsia="仿宋" w:cs="仿宋"/>
                      <w:spacing w:val="-30"/>
                    </w:rPr>
                    <w:t xml:space="preserve"> </w:t>
                  </w:r>
                  <w:r>
                    <w:rPr>
                      <w:spacing w:val="-3"/>
                    </w:rPr>
                    <w:t>50m</w:t>
                  </w:r>
                  <w:r>
                    <w:rPr>
                      <w:spacing w:val="28"/>
                    </w:rPr>
                    <w:t xml:space="preserve"> </w:t>
                  </w:r>
                  <w:r>
                    <w:rPr>
                      <w:rFonts w:ascii="仿宋" w:hAnsi="仿宋" w:eastAsia="仿宋" w:cs="仿宋"/>
                      <w:spacing w:val="-3"/>
                    </w:rPr>
                    <w:t>区域执行</w:t>
                  </w:r>
                </w:p>
                <w:p w14:paraId="4E0F2A18">
                  <w:pPr>
                    <w:pStyle w:val="6"/>
                    <w:spacing w:before="17" w:line="189" w:lineRule="auto"/>
                    <w:ind w:left="1313"/>
                    <w:rPr>
                      <w:rFonts w:ascii="仿宋" w:hAnsi="仿宋" w:eastAsia="仿宋" w:cs="仿宋"/>
                    </w:rPr>
                  </w:pPr>
                  <w:r>
                    <w:rPr>
                      <w:spacing w:val="-4"/>
                    </w:rPr>
                    <w:t>4a</w:t>
                  </w:r>
                  <w:r>
                    <w:rPr>
                      <w:spacing w:val="14"/>
                      <w:w w:val="101"/>
                    </w:rPr>
                    <w:t xml:space="preserve"> </w:t>
                  </w:r>
                  <w:r>
                    <w:rPr>
                      <w:rFonts w:ascii="仿宋" w:hAnsi="仿宋" w:eastAsia="仿宋" w:cs="仿宋"/>
                      <w:spacing w:val="-4"/>
                    </w:rPr>
                    <w:t>类标准</w:t>
                  </w:r>
                </w:p>
              </w:tc>
            </w:tr>
            <w:tr w14:paraId="473D04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820" w:type="dxa"/>
                  <w:tcBorders>
                    <w:left w:val="nil"/>
                    <w:bottom w:val="single" w:color="000000" w:sz="10" w:space="0"/>
                  </w:tcBorders>
                  <w:vAlign w:val="top"/>
                </w:tcPr>
                <w:p w14:paraId="2F6627B4">
                  <w:pPr>
                    <w:pStyle w:val="6"/>
                    <w:spacing w:before="161" w:line="224" w:lineRule="auto"/>
                    <w:ind w:left="270"/>
                    <w:rPr>
                      <w:rFonts w:ascii="仿宋" w:hAnsi="仿宋" w:eastAsia="仿宋" w:cs="仿宋"/>
                    </w:rPr>
                  </w:pPr>
                  <w:r>
                    <w:rPr>
                      <w:spacing w:val="-11"/>
                    </w:rPr>
                    <w:t>1</w:t>
                  </w:r>
                  <w:r>
                    <w:rPr>
                      <w:spacing w:val="15"/>
                      <w:w w:val="101"/>
                    </w:rPr>
                    <w:t xml:space="preserve"> </w:t>
                  </w:r>
                  <w:r>
                    <w:rPr>
                      <w:rFonts w:ascii="仿宋" w:hAnsi="仿宋" w:eastAsia="仿宋" w:cs="仿宋"/>
                      <w:spacing w:val="-11"/>
                    </w:rPr>
                    <w:t>类</w:t>
                  </w:r>
                </w:p>
              </w:tc>
              <w:tc>
                <w:tcPr>
                  <w:tcW w:w="571" w:type="dxa"/>
                  <w:tcBorders>
                    <w:bottom w:val="single" w:color="000000" w:sz="10" w:space="0"/>
                  </w:tcBorders>
                  <w:vAlign w:val="top"/>
                </w:tcPr>
                <w:p w14:paraId="3BFF3D06">
                  <w:pPr>
                    <w:pStyle w:val="6"/>
                    <w:spacing w:before="192" w:line="185" w:lineRule="auto"/>
                    <w:ind w:left="200"/>
                  </w:pPr>
                  <w:r>
                    <w:rPr>
                      <w:spacing w:val="-4"/>
                    </w:rPr>
                    <w:t>55</w:t>
                  </w:r>
                </w:p>
              </w:tc>
              <w:tc>
                <w:tcPr>
                  <w:tcW w:w="598" w:type="dxa"/>
                  <w:tcBorders>
                    <w:bottom w:val="single" w:color="000000" w:sz="10" w:space="0"/>
                  </w:tcBorders>
                  <w:vAlign w:val="top"/>
                </w:tcPr>
                <w:p w14:paraId="688701CC">
                  <w:pPr>
                    <w:pStyle w:val="6"/>
                    <w:spacing w:before="189" w:line="188" w:lineRule="auto"/>
                    <w:ind w:left="209"/>
                  </w:pPr>
                  <w:r>
                    <w:rPr>
                      <w:spacing w:val="-1"/>
                    </w:rPr>
                    <w:t>45</w:t>
                  </w:r>
                </w:p>
              </w:tc>
              <w:tc>
                <w:tcPr>
                  <w:tcW w:w="2337" w:type="dxa"/>
                  <w:tcBorders>
                    <w:bottom w:val="single" w:color="000000" w:sz="10" w:space="0"/>
                  </w:tcBorders>
                  <w:vAlign w:val="top"/>
                </w:tcPr>
                <w:p w14:paraId="3966E5A3">
                  <w:pPr>
                    <w:spacing w:before="160" w:line="223" w:lineRule="auto"/>
                    <w:ind w:left="819"/>
                    <w:rPr>
                      <w:rFonts w:ascii="仿宋" w:hAnsi="仿宋" w:eastAsia="仿宋" w:cs="仿宋"/>
                      <w:sz w:val="18"/>
                      <w:szCs w:val="18"/>
                    </w:rPr>
                  </w:pPr>
                  <w:r>
                    <w:rPr>
                      <w:rFonts w:ascii="仿宋" w:hAnsi="仿宋" w:eastAsia="仿宋" w:cs="仿宋"/>
                      <w:spacing w:val="-4"/>
                      <w:sz w:val="18"/>
                      <w:szCs w:val="18"/>
                    </w:rPr>
                    <w:t>其余路段</w:t>
                  </w:r>
                </w:p>
              </w:tc>
              <w:tc>
                <w:tcPr>
                  <w:tcW w:w="3377" w:type="dxa"/>
                  <w:tcBorders>
                    <w:bottom w:val="single" w:color="000000" w:sz="10" w:space="0"/>
                    <w:right w:val="nil"/>
                  </w:tcBorders>
                  <w:vAlign w:val="top"/>
                </w:tcPr>
                <w:p w14:paraId="2BB318D8">
                  <w:pPr>
                    <w:pStyle w:val="6"/>
                    <w:spacing w:before="43" w:line="221" w:lineRule="auto"/>
                    <w:ind w:left="49"/>
                    <w:rPr>
                      <w:rFonts w:ascii="仿宋" w:hAnsi="仿宋" w:eastAsia="仿宋" w:cs="仿宋"/>
                    </w:rPr>
                  </w:pPr>
                  <w:r>
                    <w:rPr>
                      <w:rFonts w:ascii="仿宋" w:hAnsi="仿宋" w:eastAsia="仿宋" w:cs="仿宋"/>
                      <w:spacing w:val="-2"/>
                    </w:rPr>
                    <w:t>除执行</w:t>
                  </w:r>
                  <w:r>
                    <w:rPr>
                      <w:rFonts w:ascii="仿宋" w:hAnsi="仿宋" w:eastAsia="仿宋" w:cs="仿宋"/>
                      <w:spacing w:val="-44"/>
                    </w:rPr>
                    <w:t xml:space="preserve"> </w:t>
                  </w:r>
                  <w:r>
                    <w:rPr>
                      <w:spacing w:val="-2"/>
                    </w:rPr>
                    <w:t>4a</w:t>
                  </w:r>
                  <w:r>
                    <w:rPr>
                      <w:spacing w:val="14"/>
                      <w:w w:val="102"/>
                    </w:rPr>
                    <w:t xml:space="preserve"> </w:t>
                  </w:r>
                  <w:r>
                    <w:rPr>
                      <w:rFonts w:ascii="仿宋" w:hAnsi="仿宋" w:eastAsia="仿宋" w:cs="仿宋"/>
                      <w:spacing w:val="-2"/>
                    </w:rPr>
                    <w:t>类以外的区域，剩余区域中心线</w:t>
                  </w:r>
                </w:p>
                <w:p w14:paraId="3D4AB210">
                  <w:pPr>
                    <w:pStyle w:val="6"/>
                    <w:spacing w:before="19" w:line="204" w:lineRule="auto"/>
                    <w:ind w:left="1010"/>
                    <w:rPr>
                      <w:rFonts w:ascii="仿宋" w:hAnsi="仿宋" w:eastAsia="仿宋" w:cs="仿宋"/>
                    </w:rPr>
                  </w:pPr>
                  <w:r>
                    <w:rPr>
                      <w:rFonts w:ascii="仿宋" w:hAnsi="仿宋" w:eastAsia="仿宋" w:cs="仿宋"/>
                      <w:spacing w:val="-6"/>
                    </w:rPr>
                    <w:t>两侧</w:t>
                  </w:r>
                  <w:r>
                    <w:rPr>
                      <w:rFonts w:ascii="仿宋" w:hAnsi="仿宋" w:eastAsia="仿宋" w:cs="仿宋"/>
                      <w:spacing w:val="-36"/>
                    </w:rPr>
                    <w:t xml:space="preserve"> </w:t>
                  </w:r>
                  <w:r>
                    <w:rPr>
                      <w:spacing w:val="-6"/>
                    </w:rPr>
                    <w:t>200m</w:t>
                  </w:r>
                  <w:r>
                    <w:rPr>
                      <w:spacing w:val="22"/>
                    </w:rPr>
                    <w:t xml:space="preserve"> </w:t>
                  </w:r>
                  <w:r>
                    <w:rPr>
                      <w:rFonts w:ascii="仿宋" w:hAnsi="仿宋" w:eastAsia="仿宋" w:cs="仿宋"/>
                      <w:spacing w:val="-6"/>
                    </w:rPr>
                    <w:t>范围内</w:t>
                  </w:r>
                </w:p>
              </w:tc>
            </w:tr>
          </w:tbl>
          <w:p w14:paraId="41922A67">
            <w:pPr>
              <w:spacing w:before="34" w:line="229" w:lineRule="auto"/>
              <w:ind w:left="538"/>
              <w:rPr>
                <w:rFonts w:ascii="仿宋" w:hAnsi="仿宋" w:eastAsia="仿宋" w:cs="仿宋"/>
                <w:sz w:val="20"/>
                <w:szCs w:val="20"/>
              </w:rPr>
            </w:pPr>
            <w:r>
              <w:rPr>
                <w:rFonts w:ascii="仿宋" w:hAnsi="仿宋" w:eastAsia="仿宋" w:cs="仿宋"/>
                <w:b/>
                <w:bCs/>
                <w:spacing w:val="6"/>
                <w:sz w:val="20"/>
                <w:szCs w:val="20"/>
              </w:rPr>
              <w:t>二、污染物排放标准</w:t>
            </w:r>
          </w:p>
          <w:p w14:paraId="04700153">
            <w:pPr>
              <w:pStyle w:val="6"/>
              <w:spacing w:before="159" w:line="233" w:lineRule="auto"/>
              <w:ind w:left="531"/>
              <w:rPr>
                <w:rFonts w:ascii="仿宋" w:hAnsi="仿宋" w:eastAsia="仿宋" w:cs="仿宋"/>
                <w:sz w:val="20"/>
                <w:szCs w:val="20"/>
              </w:rPr>
            </w:pPr>
            <w:r>
              <w:rPr>
                <w:b/>
                <w:bCs/>
                <w:spacing w:val="-4"/>
                <w:sz w:val="20"/>
                <w:szCs w:val="20"/>
              </w:rPr>
              <w:t>1</w:t>
            </w:r>
            <w:r>
              <w:rPr>
                <w:b/>
                <w:bCs/>
                <w:spacing w:val="-19"/>
                <w:sz w:val="20"/>
                <w:szCs w:val="20"/>
              </w:rPr>
              <w:t xml:space="preserve"> </w:t>
            </w:r>
            <w:r>
              <w:rPr>
                <w:rFonts w:ascii="仿宋" w:hAnsi="仿宋" w:eastAsia="仿宋" w:cs="仿宋"/>
                <w:b/>
                <w:bCs/>
                <w:spacing w:val="-4"/>
                <w:sz w:val="20"/>
                <w:szCs w:val="20"/>
              </w:rPr>
              <w:t>、废气</w:t>
            </w:r>
          </w:p>
          <w:p w14:paraId="5A5F23AB">
            <w:pPr>
              <w:pStyle w:val="6"/>
              <w:spacing w:before="156" w:line="376" w:lineRule="auto"/>
              <w:ind w:left="112" w:right="105" w:firstLine="419"/>
              <w:rPr>
                <w:rFonts w:ascii="仿宋" w:hAnsi="仿宋" w:eastAsia="仿宋" w:cs="仿宋"/>
                <w:sz w:val="20"/>
                <w:szCs w:val="20"/>
              </w:rPr>
            </w:pPr>
            <w:r>
              <w:rPr>
                <w:rFonts w:ascii="仿宋" w:hAnsi="仿宋" w:eastAsia="仿宋" w:cs="仿宋"/>
                <w:spacing w:val="8"/>
                <w:sz w:val="20"/>
                <w:szCs w:val="20"/>
              </w:rPr>
              <w:t>项目施工过程中产生的废气排放、运营期检修道</w:t>
            </w:r>
            <w:r>
              <w:rPr>
                <w:rFonts w:ascii="仿宋" w:hAnsi="仿宋" w:eastAsia="仿宋" w:cs="仿宋"/>
                <w:spacing w:val="7"/>
                <w:sz w:val="20"/>
                <w:szCs w:val="20"/>
              </w:rPr>
              <w:t>路扬尘执行《大气污染物综合排</w:t>
            </w:r>
            <w:r>
              <w:rPr>
                <w:rFonts w:ascii="仿宋" w:hAnsi="仿宋" w:eastAsia="仿宋" w:cs="仿宋"/>
                <w:spacing w:val="6"/>
                <w:sz w:val="20"/>
                <w:szCs w:val="20"/>
              </w:rPr>
              <w:t>放标准》（</w:t>
            </w:r>
            <w:r>
              <w:rPr>
                <w:sz w:val="20"/>
                <w:szCs w:val="20"/>
              </w:rPr>
              <w:t>GB</w:t>
            </w:r>
            <w:r>
              <w:rPr>
                <w:spacing w:val="6"/>
                <w:sz w:val="20"/>
                <w:szCs w:val="20"/>
              </w:rPr>
              <w:t>16297-</w:t>
            </w:r>
            <w:r>
              <w:rPr>
                <w:spacing w:val="-20"/>
                <w:sz w:val="20"/>
                <w:szCs w:val="20"/>
              </w:rPr>
              <w:t xml:space="preserve"> </w:t>
            </w:r>
            <w:r>
              <w:rPr>
                <w:spacing w:val="6"/>
                <w:sz w:val="20"/>
                <w:szCs w:val="20"/>
              </w:rPr>
              <w:t>1996</w:t>
            </w:r>
            <w:r>
              <w:rPr>
                <w:rFonts w:ascii="仿宋" w:hAnsi="仿宋" w:eastAsia="仿宋" w:cs="仿宋"/>
                <w:spacing w:val="6"/>
                <w:sz w:val="20"/>
                <w:szCs w:val="20"/>
              </w:rPr>
              <w:t>）</w:t>
            </w:r>
            <w:r>
              <w:rPr>
                <w:rFonts w:ascii="仿宋" w:hAnsi="仿宋" w:eastAsia="仿宋" w:cs="仿宋"/>
                <w:spacing w:val="-52"/>
                <w:sz w:val="20"/>
                <w:szCs w:val="20"/>
              </w:rPr>
              <w:t xml:space="preserve"> </w:t>
            </w:r>
            <w:r>
              <w:rPr>
                <w:rFonts w:ascii="仿宋" w:hAnsi="仿宋" w:eastAsia="仿宋" w:cs="仿宋"/>
                <w:spacing w:val="6"/>
                <w:sz w:val="20"/>
                <w:szCs w:val="20"/>
              </w:rPr>
              <w:t>中无组织排放监控浓度限值具体标准详下表。</w:t>
            </w:r>
          </w:p>
        </w:tc>
      </w:tr>
    </w:tbl>
    <w:p w14:paraId="38C90564">
      <w:pPr>
        <w:pStyle w:val="2"/>
        <w:rPr>
          <w:sz w:val="21"/>
        </w:rPr>
      </w:pPr>
    </w:p>
    <w:p w14:paraId="15856D60">
      <w:pPr>
        <w:rPr>
          <w:sz w:val="21"/>
          <w:szCs w:val="21"/>
        </w:rPr>
        <w:sectPr>
          <w:footerReference r:id="rId54" w:type="default"/>
          <w:pgSz w:w="11907" w:h="16840"/>
          <w:pgMar w:top="400" w:right="1646" w:bottom="1446" w:left="1646" w:header="0" w:footer="1284" w:gutter="0"/>
          <w:cols w:space="720" w:num="1"/>
        </w:sectPr>
      </w:pPr>
    </w:p>
    <w:p w14:paraId="145FE01A">
      <w:pPr>
        <w:spacing w:before="19"/>
      </w:pPr>
    </w:p>
    <w:p w14:paraId="53DAE25D">
      <w:pPr>
        <w:spacing w:before="19"/>
      </w:pPr>
    </w:p>
    <w:p w14:paraId="65BE1E68">
      <w:pPr>
        <w:spacing w:before="18"/>
      </w:pPr>
    </w:p>
    <w:p w14:paraId="34BBA441">
      <w:pPr>
        <w:spacing w:before="18"/>
      </w:pPr>
    </w:p>
    <w:tbl>
      <w:tblPr>
        <w:tblStyle w:val="5"/>
        <w:tblW w:w="8599"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3"/>
        <w:gridCol w:w="496"/>
        <w:gridCol w:w="792"/>
        <w:gridCol w:w="566"/>
        <w:gridCol w:w="425"/>
        <w:gridCol w:w="566"/>
        <w:gridCol w:w="707"/>
        <w:gridCol w:w="991"/>
        <w:gridCol w:w="849"/>
        <w:gridCol w:w="2524"/>
      </w:tblGrid>
      <w:tr w14:paraId="36DBA2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5" w:hRule="atLeast"/>
        </w:trPr>
        <w:tc>
          <w:tcPr>
            <w:tcW w:w="683" w:type="dxa"/>
            <w:vMerge w:val="restart"/>
            <w:tcBorders>
              <w:top w:val="single" w:color="000000" w:sz="6" w:space="0"/>
              <w:left w:val="single" w:color="000000" w:sz="6" w:space="0"/>
              <w:bottom w:val="nil"/>
            </w:tcBorders>
            <w:vAlign w:val="top"/>
          </w:tcPr>
          <w:p w14:paraId="604791A0">
            <w:pPr>
              <w:rPr>
                <w:rFonts w:ascii="Arial"/>
                <w:sz w:val="21"/>
              </w:rPr>
            </w:pPr>
          </w:p>
        </w:tc>
        <w:tc>
          <w:tcPr>
            <w:tcW w:w="7916" w:type="dxa"/>
            <w:gridSpan w:val="9"/>
            <w:tcBorders>
              <w:top w:val="single" w:color="000000" w:sz="6" w:space="0"/>
              <w:bottom w:val="single" w:color="000000" w:sz="10" w:space="0"/>
              <w:right w:val="single" w:color="000000" w:sz="6" w:space="0"/>
            </w:tcBorders>
            <w:vAlign w:val="top"/>
          </w:tcPr>
          <w:p w14:paraId="0352DD67">
            <w:pPr>
              <w:pStyle w:val="6"/>
              <w:spacing w:before="37" w:line="229" w:lineRule="auto"/>
              <w:ind w:left="2430"/>
              <w:rPr>
                <w:rFonts w:ascii="仿宋" w:hAnsi="仿宋" w:eastAsia="仿宋" w:cs="仿宋"/>
                <w:sz w:val="20"/>
                <w:szCs w:val="20"/>
              </w:rPr>
            </w:pPr>
            <w:r>
              <w:rPr>
                <w:rFonts w:ascii="仿宋" w:hAnsi="仿宋" w:eastAsia="仿宋" w:cs="仿宋"/>
                <w:b/>
                <w:bCs/>
                <w:spacing w:val="5"/>
                <w:sz w:val="20"/>
                <w:szCs w:val="20"/>
              </w:rPr>
              <w:t>表</w:t>
            </w:r>
            <w:r>
              <w:rPr>
                <w:rFonts w:ascii="仿宋" w:hAnsi="仿宋" w:eastAsia="仿宋" w:cs="仿宋"/>
                <w:spacing w:val="-34"/>
                <w:sz w:val="20"/>
                <w:szCs w:val="20"/>
              </w:rPr>
              <w:t xml:space="preserve"> </w:t>
            </w:r>
            <w:r>
              <w:rPr>
                <w:b/>
                <w:bCs/>
                <w:spacing w:val="5"/>
                <w:sz w:val="20"/>
                <w:szCs w:val="20"/>
              </w:rPr>
              <w:t xml:space="preserve">3-6    </w:t>
            </w:r>
            <w:r>
              <w:rPr>
                <w:rFonts w:ascii="仿宋" w:hAnsi="仿宋" w:eastAsia="仿宋" w:cs="仿宋"/>
                <w:b/>
                <w:bCs/>
                <w:spacing w:val="5"/>
                <w:sz w:val="20"/>
                <w:szCs w:val="20"/>
              </w:rPr>
              <w:t>大气污染物综合排放标准</w:t>
            </w:r>
          </w:p>
          <w:p w14:paraId="09065608">
            <w:pPr>
              <w:spacing w:line="128" w:lineRule="exact"/>
            </w:pPr>
          </w:p>
          <w:tbl>
            <w:tblPr>
              <w:tblStyle w:val="5"/>
              <w:tblW w:w="7700" w:type="dxa"/>
              <w:tblInd w:w="10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4"/>
              <w:gridCol w:w="1140"/>
              <w:gridCol w:w="2174"/>
              <w:gridCol w:w="2143"/>
              <w:gridCol w:w="1499"/>
            </w:tblGrid>
            <w:tr w14:paraId="0F18DB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4" w:hRule="atLeast"/>
              </w:trPr>
              <w:tc>
                <w:tcPr>
                  <w:tcW w:w="744" w:type="dxa"/>
                  <w:vMerge w:val="restart"/>
                  <w:tcBorders>
                    <w:top w:val="single" w:color="000000" w:sz="10" w:space="0"/>
                    <w:left w:val="nil"/>
                    <w:bottom w:val="nil"/>
                  </w:tcBorders>
                  <w:vAlign w:val="top"/>
                </w:tcPr>
                <w:p w14:paraId="6CA656F6">
                  <w:pPr>
                    <w:spacing w:before="153" w:line="221" w:lineRule="auto"/>
                    <w:ind w:left="113"/>
                    <w:rPr>
                      <w:rFonts w:ascii="仿宋" w:hAnsi="仿宋" w:eastAsia="仿宋" w:cs="仿宋"/>
                      <w:sz w:val="18"/>
                      <w:szCs w:val="18"/>
                    </w:rPr>
                  </w:pPr>
                  <w:r>
                    <w:rPr>
                      <w:rFonts w:ascii="仿宋" w:hAnsi="仿宋" w:eastAsia="仿宋" w:cs="仿宋"/>
                      <w:spacing w:val="-6"/>
                      <w:sz w:val="18"/>
                      <w:szCs w:val="18"/>
                    </w:rPr>
                    <w:t>污染物</w:t>
                  </w:r>
                </w:p>
              </w:tc>
              <w:tc>
                <w:tcPr>
                  <w:tcW w:w="1140" w:type="dxa"/>
                  <w:vMerge w:val="restart"/>
                  <w:tcBorders>
                    <w:top w:val="single" w:color="000000" w:sz="10" w:space="0"/>
                    <w:bottom w:val="nil"/>
                  </w:tcBorders>
                  <w:vAlign w:val="top"/>
                </w:tcPr>
                <w:p w14:paraId="7FC44A2C">
                  <w:pPr>
                    <w:pStyle w:val="6"/>
                    <w:spacing w:before="35" w:line="217" w:lineRule="auto"/>
                    <w:ind w:left="17" w:firstLine="26"/>
                    <w:rPr>
                      <w:rFonts w:ascii="仿宋" w:hAnsi="仿宋" w:eastAsia="仿宋" w:cs="仿宋"/>
                    </w:rPr>
                  </w:pPr>
                  <w:r>
                    <w:rPr>
                      <w:rFonts w:ascii="仿宋" w:hAnsi="仿宋" w:eastAsia="仿宋" w:cs="仿宋"/>
                      <w:spacing w:val="-11"/>
                    </w:rPr>
                    <w:t>最高允许排放</w:t>
                  </w:r>
                  <w:r>
                    <w:rPr>
                      <w:rFonts w:ascii="仿宋" w:hAnsi="仿宋" w:eastAsia="仿宋" w:cs="仿宋"/>
                      <w:spacing w:val="-8"/>
                    </w:rPr>
                    <w:t>浓度（</w:t>
                  </w:r>
                  <w:r>
                    <w:rPr>
                      <w:spacing w:val="-8"/>
                    </w:rPr>
                    <w:t>mg/m</w:t>
                  </w:r>
                  <w:r>
                    <w:rPr>
                      <w:spacing w:val="1"/>
                      <w:sz w:val="11"/>
                      <w:szCs w:val="11"/>
                    </w:rPr>
                    <w:t>3</w:t>
                  </w:r>
                  <w:r>
                    <w:rPr>
                      <w:rFonts w:ascii="仿宋" w:hAnsi="仿宋" w:eastAsia="仿宋" w:cs="仿宋"/>
                      <w:spacing w:val="-24"/>
                    </w:rPr>
                    <w:t>）</w:t>
                  </w:r>
                </w:p>
              </w:tc>
              <w:tc>
                <w:tcPr>
                  <w:tcW w:w="2174" w:type="dxa"/>
                  <w:tcBorders>
                    <w:top w:val="single" w:color="000000" w:sz="10" w:space="0"/>
                  </w:tcBorders>
                  <w:vAlign w:val="top"/>
                </w:tcPr>
                <w:p w14:paraId="69613866">
                  <w:pPr>
                    <w:pStyle w:val="6"/>
                    <w:spacing w:before="30" w:line="198" w:lineRule="auto"/>
                    <w:ind w:left="40"/>
                    <w:rPr>
                      <w:rFonts w:ascii="仿宋" w:hAnsi="仿宋" w:eastAsia="仿宋" w:cs="仿宋"/>
                    </w:rPr>
                  </w:pPr>
                  <w:r>
                    <w:rPr>
                      <w:rFonts w:ascii="仿宋" w:hAnsi="仿宋" w:eastAsia="仿宋" w:cs="仿宋"/>
                      <w:spacing w:val="-2"/>
                    </w:rPr>
                    <w:t>最高允许排放速率（</w:t>
                  </w:r>
                  <w:r>
                    <w:rPr>
                      <w:spacing w:val="-2"/>
                    </w:rPr>
                    <w:t>kg/h</w:t>
                  </w:r>
                  <w:r>
                    <w:rPr>
                      <w:rFonts w:ascii="仿宋" w:hAnsi="仿宋" w:eastAsia="仿宋" w:cs="仿宋"/>
                      <w:spacing w:val="-2"/>
                    </w:rPr>
                    <w:t>）</w:t>
                  </w:r>
                </w:p>
              </w:tc>
              <w:tc>
                <w:tcPr>
                  <w:tcW w:w="3642" w:type="dxa"/>
                  <w:gridSpan w:val="2"/>
                  <w:tcBorders>
                    <w:top w:val="single" w:color="000000" w:sz="10" w:space="0"/>
                    <w:right w:val="nil"/>
                  </w:tcBorders>
                  <w:vAlign w:val="top"/>
                </w:tcPr>
                <w:p w14:paraId="17AB47BF">
                  <w:pPr>
                    <w:spacing w:before="30" w:line="198" w:lineRule="auto"/>
                    <w:ind w:left="844"/>
                    <w:rPr>
                      <w:rFonts w:ascii="仿宋" w:hAnsi="仿宋" w:eastAsia="仿宋" w:cs="仿宋"/>
                      <w:sz w:val="18"/>
                      <w:szCs w:val="18"/>
                    </w:rPr>
                  </w:pPr>
                  <w:r>
                    <w:rPr>
                      <w:rFonts w:ascii="仿宋" w:hAnsi="仿宋" w:eastAsia="仿宋" w:cs="仿宋"/>
                      <w:spacing w:val="-2"/>
                      <w:sz w:val="18"/>
                      <w:szCs w:val="18"/>
                    </w:rPr>
                    <w:t>无组织排放监控浓度限值</w:t>
                  </w:r>
                </w:p>
              </w:tc>
            </w:tr>
            <w:tr w14:paraId="0C74AC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 w:hRule="atLeast"/>
              </w:trPr>
              <w:tc>
                <w:tcPr>
                  <w:tcW w:w="744" w:type="dxa"/>
                  <w:vMerge w:val="continue"/>
                  <w:tcBorders>
                    <w:top w:val="nil"/>
                    <w:left w:val="nil"/>
                  </w:tcBorders>
                  <w:vAlign w:val="top"/>
                </w:tcPr>
                <w:p w14:paraId="245DD79B">
                  <w:pPr>
                    <w:rPr>
                      <w:rFonts w:ascii="Arial"/>
                      <w:sz w:val="21"/>
                    </w:rPr>
                  </w:pPr>
                </w:p>
              </w:tc>
              <w:tc>
                <w:tcPr>
                  <w:tcW w:w="1140" w:type="dxa"/>
                  <w:vMerge w:val="continue"/>
                  <w:tcBorders>
                    <w:top w:val="nil"/>
                  </w:tcBorders>
                  <w:vAlign w:val="top"/>
                </w:tcPr>
                <w:p w14:paraId="5F10A4B8">
                  <w:pPr>
                    <w:rPr>
                      <w:rFonts w:ascii="Arial"/>
                      <w:sz w:val="21"/>
                    </w:rPr>
                  </w:pPr>
                </w:p>
              </w:tc>
              <w:tc>
                <w:tcPr>
                  <w:tcW w:w="2174" w:type="dxa"/>
                  <w:vAlign w:val="top"/>
                </w:tcPr>
                <w:p w14:paraId="7CE71FB3">
                  <w:pPr>
                    <w:spacing w:before="33" w:line="191" w:lineRule="auto"/>
                    <w:ind w:left="922"/>
                    <w:rPr>
                      <w:rFonts w:ascii="仿宋" w:hAnsi="仿宋" w:eastAsia="仿宋" w:cs="仿宋"/>
                      <w:sz w:val="18"/>
                      <w:szCs w:val="18"/>
                    </w:rPr>
                  </w:pPr>
                  <w:r>
                    <w:rPr>
                      <w:rFonts w:ascii="仿宋" w:hAnsi="仿宋" w:eastAsia="仿宋" w:cs="仿宋"/>
                      <w:spacing w:val="-9"/>
                      <w:sz w:val="18"/>
                      <w:szCs w:val="18"/>
                    </w:rPr>
                    <w:t>二级</w:t>
                  </w:r>
                </w:p>
              </w:tc>
              <w:tc>
                <w:tcPr>
                  <w:tcW w:w="2143" w:type="dxa"/>
                  <w:vAlign w:val="top"/>
                </w:tcPr>
                <w:p w14:paraId="67C92006">
                  <w:pPr>
                    <w:spacing w:before="33" w:line="191" w:lineRule="auto"/>
                    <w:ind w:left="816"/>
                    <w:rPr>
                      <w:rFonts w:ascii="仿宋" w:hAnsi="仿宋" w:eastAsia="仿宋" w:cs="仿宋"/>
                      <w:sz w:val="18"/>
                      <w:szCs w:val="18"/>
                    </w:rPr>
                  </w:pPr>
                  <w:r>
                    <w:rPr>
                      <w:rFonts w:ascii="仿宋" w:hAnsi="仿宋" w:eastAsia="仿宋" w:cs="仿宋"/>
                      <w:spacing w:val="-6"/>
                      <w:sz w:val="18"/>
                      <w:szCs w:val="18"/>
                    </w:rPr>
                    <w:t>监控点</w:t>
                  </w:r>
                </w:p>
              </w:tc>
              <w:tc>
                <w:tcPr>
                  <w:tcW w:w="1499" w:type="dxa"/>
                  <w:tcBorders>
                    <w:right w:val="nil"/>
                  </w:tcBorders>
                  <w:vAlign w:val="top"/>
                </w:tcPr>
                <w:p w14:paraId="3E62730A">
                  <w:pPr>
                    <w:pStyle w:val="6"/>
                    <w:spacing w:before="33" w:line="191" w:lineRule="auto"/>
                    <w:ind w:left="166"/>
                    <w:rPr>
                      <w:rFonts w:ascii="仿宋" w:hAnsi="仿宋" w:eastAsia="仿宋" w:cs="仿宋"/>
                    </w:rPr>
                  </w:pPr>
                  <w:r>
                    <w:rPr>
                      <w:rFonts w:ascii="仿宋" w:hAnsi="仿宋" w:eastAsia="仿宋" w:cs="仿宋"/>
                      <w:spacing w:val="-2"/>
                    </w:rPr>
                    <w:t>浓度（</w:t>
                  </w:r>
                  <w:r>
                    <w:rPr>
                      <w:spacing w:val="-2"/>
                    </w:rPr>
                    <w:t>mg/m</w:t>
                  </w:r>
                  <w:r>
                    <w:rPr>
                      <w:spacing w:val="-2"/>
                      <w:sz w:val="11"/>
                      <w:szCs w:val="11"/>
                    </w:rPr>
                    <w:t>3</w:t>
                  </w:r>
                  <w:r>
                    <w:rPr>
                      <w:rFonts w:ascii="仿宋" w:hAnsi="仿宋" w:eastAsia="仿宋" w:cs="仿宋"/>
                      <w:spacing w:val="-2"/>
                    </w:rPr>
                    <w:t>）</w:t>
                  </w:r>
                </w:p>
              </w:tc>
            </w:tr>
            <w:tr w14:paraId="417D69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4" w:hRule="atLeast"/>
              </w:trPr>
              <w:tc>
                <w:tcPr>
                  <w:tcW w:w="744" w:type="dxa"/>
                  <w:tcBorders>
                    <w:left w:val="nil"/>
                    <w:bottom w:val="single" w:color="000000" w:sz="10" w:space="0"/>
                  </w:tcBorders>
                  <w:vAlign w:val="top"/>
                </w:tcPr>
                <w:p w14:paraId="1E41DA9B">
                  <w:pPr>
                    <w:spacing w:before="44" w:line="205" w:lineRule="auto"/>
                    <w:ind w:left="110"/>
                    <w:rPr>
                      <w:rFonts w:ascii="仿宋" w:hAnsi="仿宋" w:eastAsia="仿宋" w:cs="仿宋"/>
                      <w:sz w:val="18"/>
                      <w:szCs w:val="18"/>
                    </w:rPr>
                  </w:pPr>
                  <w:r>
                    <w:rPr>
                      <w:rFonts w:ascii="仿宋" w:hAnsi="仿宋" w:eastAsia="仿宋" w:cs="仿宋"/>
                      <w:spacing w:val="-5"/>
                      <w:sz w:val="18"/>
                      <w:szCs w:val="18"/>
                    </w:rPr>
                    <w:t>颗粒物</w:t>
                  </w:r>
                </w:p>
              </w:tc>
              <w:tc>
                <w:tcPr>
                  <w:tcW w:w="1140" w:type="dxa"/>
                  <w:tcBorders>
                    <w:bottom w:val="single" w:color="000000" w:sz="10" w:space="0"/>
                  </w:tcBorders>
                  <w:vAlign w:val="top"/>
                </w:tcPr>
                <w:p w14:paraId="5AB7C471">
                  <w:pPr>
                    <w:pStyle w:val="6"/>
                    <w:spacing w:before="71" w:line="192" w:lineRule="auto"/>
                    <w:ind w:left="542"/>
                  </w:pPr>
                  <w:r>
                    <w:t>/</w:t>
                  </w:r>
                </w:p>
              </w:tc>
              <w:tc>
                <w:tcPr>
                  <w:tcW w:w="2174" w:type="dxa"/>
                  <w:tcBorders>
                    <w:bottom w:val="single" w:color="000000" w:sz="10" w:space="0"/>
                  </w:tcBorders>
                  <w:vAlign w:val="top"/>
                </w:tcPr>
                <w:p w14:paraId="7BA658DE">
                  <w:pPr>
                    <w:pStyle w:val="6"/>
                    <w:spacing w:before="71" w:line="192" w:lineRule="auto"/>
                    <w:ind w:left="1060"/>
                  </w:pPr>
                  <w:r>
                    <w:t>/</w:t>
                  </w:r>
                </w:p>
              </w:tc>
              <w:tc>
                <w:tcPr>
                  <w:tcW w:w="2143" w:type="dxa"/>
                  <w:tcBorders>
                    <w:bottom w:val="single" w:color="000000" w:sz="10" w:space="0"/>
                  </w:tcBorders>
                  <w:vAlign w:val="top"/>
                </w:tcPr>
                <w:p w14:paraId="19EECEC1">
                  <w:pPr>
                    <w:spacing w:before="44" w:line="205" w:lineRule="auto"/>
                    <w:ind w:left="361"/>
                    <w:rPr>
                      <w:rFonts w:ascii="仿宋" w:hAnsi="仿宋" w:eastAsia="仿宋" w:cs="仿宋"/>
                      <w:sz w:val="18"/>
                      <w:szCs w:val="18"/>
                    </w:rPr>
                  </w:pPr>
                  <w:r>
                    <w:rPr>
                      <w:rFonts w:ascii="仿宋" w:hAnsi="仿宋" w:eastAsia="仿宋" w:cs="仿宋"/>
                      <w:spacing w:val="-2"/>
                      <w:sz w:val="18"/>
                      <w:szCs w:val="18"/>
                    </w:rPr>
                    <w:t>周界外浓度最高点</w:t>
                  </w:r>
                </w:p>
              </w:tc>
              <w:tc>
                <w:tcPr>
                  <w:tcW w:w="1499" w:type="dxa"/>
                  <w:tcBorders>
                    <w:bottom w:val="single" w:color="000000" w:sz="10" w:space="0"/>
                    <w:right w:val="nil"/>
                  </w:tcBorders>
                  <w:vAlign w:val="top"/>
                </w:tcPr>
                <w:p w14:paraId="0CF4B51A">
                  <w:pPr>
                    <w:pStyle w:val="6"/>
                    <w:spacing w:before="75" w:line="188" w:lineRule="auto"/>
                    <w:ind w:left="657"/>
                  </w:pPr>
                  <w:r>
                    <w:rPr>
                      <w:spacing w:val="-7"/>
                    </w:rPr>
                    <w:t>1.0</w:t>
                  </w:r>
                </w:p>
              </w:tc>
            </w:tr>
          </w:tbl>
          <w:p w14:paraId="3ABC56DA">
            <w:pPr>
              <w:pStyle w:val="6"/>
              <w:spacing w:before="31" w:line="374" w:lineRule="auto"/>
              <w:ind w:left="112" w:right="105" w:firstLine="420"/>
              <w:jc w:val="both"/>
              <w:rPr>
                <w:rFonts w:ascii="仿宋" w:hAnsi="仿宋" w:eastAsia="仿宋" w:cs="仿宋"/>
                <w:sz w:val="20"/>
                <w:szCs w:val="20"/>
              </w:rPr>
            </w:pPr>
            <w:r>
              <w:rPr>
                <w:rFonts w:ascii="仿宋" w:hAnsi="仿宋" w:eastAsia="仿宋" w:cs="仿宋"/>
                <w:spacing w:val="8"/>
                <w:sz w:val="20"/>
                <w:szCs w:val="20"/>
              </w:rPr>
              <w:t>施工期非道路移动机械排放废气执行《非道路移动</w:t>
            </w:r>
            <w:r>
              <w:rPr>
                <w:rFonts w:ascii="仿宋" w:hAnsi="仿宋" w:eastAsia="仿宋" w:cs="仿宋"/>
                <w:spacing w:val="7"/>
                <w:sz w:val="20"/>
                <w:szCs w:val="20"/>
              </w:rPr>
              <w:t>机械用柴油机排气污染物排放</w:t>
            </w:r>
            <w:r>
              <w:rPr>
                <w:rFonts w:ascii="仿宋" w:hAnsi="仿宋" w:eastAsia="仿宋" w:cs="仿宋"/>
                <w:spacing w:val="8"/>
                <w:sz w:val="20"/>
                <w:szCs w:val="20"/>
              </w:rPr>
              <w:t>限值及测量方法</w:t>
            </w:r>
            <w:r>
              <w:rPr>
                <w:spacing w:val="8"/>
                <w:sz w:val="20"/>
                <w:szCs w:val="20"/>
              </w:rPr>
              <w:t>(</w:t>
            </w:r>
            <w:r>
              <w:rPr>
                <w:rFonts w:ascii="仿宋" w:hAnsi="仿宋" w:eastAsia="仿宋" w:cs="仿宋"/>
                <w:spacing w:val="8"/>
                <w:sz w:val="20"/>
                <w:szCs w:val="20"/>
              </w:rPr>
              <w:t>中国第三、</w:t>
            </w:r>
            <w:r>
              <w:rPr>
                <w:rFonts w:ascii="仿宋" w:hAnsi="仿宋" w:eastAsia="仿宋" w:cs="仿宋"/>
                <w:spacing w:val="-52"/>
                <w:sz w:val="20"/>
                <w:szCs w:val="20"/>
              </w:rPr>
              <w:t xml:space="preserve"> </w:t>
            </w:r>
            <w:r>
              <w:rPr>
                <w:rFonts w:ascii="仿宋" w:hAnsi="仿宋" w:eastAsia="仿宋" w:cs="仿宋"/>
                <w:spacing w:val="8"/>
                <w:sz w:val="20"/>
                <w:szCs w:val="20"/>
              </w:rPr>
              <w:t>四阶段）》（</w:t>
            </w:r>
            <w:r>
              <w:rPr>
                <w:sz w:val="20"/>
                <w:szCs w:val="20"/>
              </w:rPr>
              <w:t>GB</w:t>
            </w:r>
            <w:r>
              <w:rPr>
                <w:spacing w:val="8"/>
                <w:sz w:val="20"/>
                <w:szCs w:val="20"/>
              </w:rPr>
              <w:t>20891-2014</w:t>
            </w:r>
            <w:r>
              <w:rPr>
                <w:rFonts w:ascii="仿宋" w:hAnsi="仿宋" w:eastAsia="仿宋" w:cs="仿宋"/>
                <w:spacing w:val="8"/>
                <w:sz w:val="20"/>
                <w:szCs w:val="20"/>
              </w:rPr>
              <w:t>）及其修改单中第四阶段的标准限值，具体标准值见下表。</w:t>
            </w:r>
          </w:p>
          <w:p w14:paraId="56D47730">
            <w:pPr>
              <w:pStyle w:val="6"/>
              <w:spacing w:before="10" w:line="229" w:lineRule="auto"/>
              <w:ind w:left="1482"/>
              <w:rPr>
                <w:rFonts w:ascii="仿宋" w:hAnsi="仿宋" w:eastAsia="仿宋" w:cs="仿宋"/>
                <w:sz w:val="20"/>
                <w:szCs w:val="20"/>
              </w:rPr>
            </w:pPr>
            <w:r>
              <w:rPr>
                <w:rFonts w:ascii="仿宋" w:hAnsi="仿宋" w:eastAsia="仿宋" w:cs="仿宋"/>
                <w:b/>
                <w:bCs/>
                <w:spacing w:val="6"/>
                <w:sz w:val="20"/>
                <w:szCs w:val="20"/>
              </w:rPr>
              <w:t>表</w:t>
            </w:r>
            <w:r>
              <w:rPr>
                <w:rFonts w:ascii="仿宋" w:hAnsi="仿宋" w:eastAsia="仿宋" w:cs="仿宋"/>
                <w:spacing w:val="-28"/>
                <w:sz w:val="20"/>
                <w:szCs w:val="20"/>
              </w:rPr>
              <w:t xml:space="preserve"> </w:t>
            </w:r>
            <w:r>
              <w:rPr>
                <w:b/>
                <w:bCs/>
                <w:spacing w:val="6"/>
                <w:sz w:val="20"/>
                <w:szCs w:val="20"/>
              </w:rPr>
              <w:t xml:space="preserve">3-7    </w:t>
            </w:r>
            <w:r>
              <w:rPr>
                <w:rFonts w:ascii="仿宋" w:hAnsi="仿宋" w:eastAsia="仿宋" w:cs="仿宋"/>
                <w:b/>
                <w:bCs/>
                <w:spacing w:val="6"/>
                <w:sz w:val="20"/>
                <w:szCs w:val="20"/>
              </w:rPr>
              <w:t>非道路移动机械用柴油机排气污染物排放限值</w:t>
            </w:r>
          </w:p>
          <w:p w14:paraId="4167EEAD">
            <w:pPr>
              <w:spacing w:line="129" w:lineRule="exact"/>
            </w:pPr>
          </w:p>
          <w:tbl>
            <w:tblPr>
              <w:tblStyle w:val="5"/>
              <w:tblW w:w="7697" w:type="dxa"/>
              <w:tblInd w:w="10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27"/>
              <w:gridCol w:w="1203"/>
              <w:gridCol w:w="897"/>
              <w:gridCol w:w="898"/>
              <w:gridCol w:w="898"/>
              <w:gridCol w:w="942"/>
              <w:gridCol w:w="856"/>
              <w:gridCol w:w="748"/>
              <w:gridCol w:w="928"/>
            </w:tblGrid>
            <w:tr w14:paraId="082A34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327" w:type="dxa"/>
                  <w:tcBorders>
                    <w:top w:val="single" w:color="000000" w:sz="10" w:space="0"/>
                    <w:left w:val="nil"/>
                  </w:tcBorders>
                  <w:textDirection w:val="tbRlV"/>
                  <w:vAlign w:val="top"/>
                </w:tcPr>
                <w:p w14:paraId="6746B5F2">
                  <w:pPr>
                    <w:spacing w:before="74" w:line="199" w:lineRule="auto"/>
                    <w:ind w:left="31"/>
                    <w:rPr>
                      <w:rFonts w:ascii="仿宋" w:hAnsi="仿宋" w:eastAsia="仿宋" w:cs="仿宋"/>
                      <w:sz w:val="18"/>
                      <w:szCs w:val="18"/>
                    </w:rPr>
                  </w:pPr>
                  <w:r>
                    <w:rPr>
                      <w:rFonts w:ascii="仿宋" w:hAnsi="仿宋" w:eastAsia="仿宋" w:cs="仿宋"/>
                      <w:spacing w:val="28"/>
                      <w:sz w:val="18"/>
                      <w:szCs w:val="18"/>
                    </w:rPr>
                    <w:t>阶段</w:t>
                  </w:r>
                </w:p>
              </w:tc>
              <w:tc>
                <w:tcPr>
                  <w:tcW w:w="1203" w:type="dxa"/>
                  <w:tcBorders>
                    <w:top w:val="single" w:color="000000" w:sz="10" w:space="0"/>
                  </w:tcBorders>
                  <w:vAlign w:val="top"/>
                </w:tcPr>
                <w:p w14:paraId="22FF5467">
                  <w:pPr>
                    <w:pStyle w:val="6"/>
                    <w:spacing w:before="32" w:line="222" w:lineRule="auto"/>
                    <w:ind w:left="19" w:firstLine="133"/>
                    <w:rPr>
                      <w:rFonts w:ascii="仿宋" w:hAnsi="仿宋" w:eastAsia="仿宋" w:cs="仿宋"/>
                    </w:rPr>
                  </w:pPr>
                  <w:r>
                    <w:rPr>
                      <w:rFonts w:ascii="仿宋" w:hAnsi="仿宋" w:eastAsia="仿宋" w:cs="仿宋"/>
                      <w:spacing w:val="-13"/>
                    </w:rPr>
                    <w:t>额定净功率</w:t>
                  </w:r>
                  <w:r>
                    <w:rPr>
                      <w:rFonts w:ascii="仿宋" w:hAnsi="仿宋" w:eastAsia="仿宋" w:cs="仿宋"/>
                      <w:spacing w:val="1"/>
                    </w:rPr>
                    <w:t xml:space="preserve"> </w:t>
                  </w:r>
                  <w:r>
                    <w:rPr>
                      <w:rFonts w:ascii="仿宋" w:hAnsi="仿宋" w:eastAsia="仿宋" w:cs="仿宋"/>
                      <w:spacing w:val="-9"/>
                    </w:rPr>
                    <w:t>（</w:t>
                  </w:r>
                  <w:r>
                    <w:rPr>
                      <w:spacing w:val="-9"/>
                    </w:rPr>
                    <w:t>Pmax</w:t>
                  </w:r>
                  <w:r>
                    <w:rPr>
                      <w:rFonts w:ascii="仿宋" w:hAnsi="仿宋" w:eastAsia="仿宋" w:cs="仿宋"/>
                      <w:spacing w:val="-44"/>
                      <w:w w:val="85"/>
                    </w:rPr>
                    <w:t>）（</w:t>
                  </w:r>
                  <w:r>
                    <w:rPr>
                      <w:spacing w:val="-9"/>
                    </w:rPr>
                    <w:t>kW</w:t>
                  </w:r>
                  <w:r>
                    <w:rPr>
                      <w:rFonts w:ascii="仿宋" w:hAnsi="仿宋" w:eastAsia="仿宋" w:cs="仿宋"/>
                      <w:spacing w:val="-9"/>
                    </w:rPr>
                    <w:t>）</w:t>
                  </w:r>
                </w:p>
              </w:tc>
              <w:tc>
                <w:tcPr>
                  <w:tcW w:w="897" w:type="dxa"/>
                  <w:tcBorders>
                    <w:top w:val="single" w:color="000000" w:sz="10" w:space="0"/>
                  </w:tcBorders>
                  <w:vAlign w:val="top"/>
                </w:tcPr>
                <w:p w14:paraId="6AC9CB3B">
                  <w:pPr>
                    <w:pStyle w:val="6"/>
                    <w:spacing w:before="59" w:line="188" w:lineRule="auto"/>
                    <w:ind w:left="327"/>
                  </w:pPr>
                  <w:r>
                    <w:rPr>
                      <w:spacing w:val="-4"/>
                    </w:rPr>
                    <w:t>CO</w:t>
                  </w:r>
                </w:p>
                <w:p w14:paraId="530B4414">
                  <w:pPr>
                    <w:pStyle w:val="6"/>
                    <w:spacing w:before="27" w:line="210" w:lineRule="auto"/>
                    <w:ind w:left="38"/>
                    <w:rPr>
                      <w:rFonts w:ascii="仿宋" w:hAnsi="仿宋" w:eastAsia="仿宋" w:cs="仿宋"/>
                    </w:rPr>
                  </w:pPr>
                  <w:r>
                    <w:rPr>
                      <w:rFonts w:ascii="仿宋" w:hAnsi="仿宋" w:eastAsia="仿宋" w:cs="仿宋"/>
                      <w:spacing w:val="-3"/>
                    </w:rPr>
                    <w:t>（</w:t>
                  </w:r>
                  <w:r>
                    <w:rPr>
                      <w:spacing w:val="-3"/>
                    </w:rPr>
                    <w:t>g/kWh</w:t>
                  </w:r>
                  <w:r>
                    <w:rPr>
                      <w:rFonts w:ascii="仿宋" w:hAnsi="仿宋" w:eastAsia="仿宋" w:cs="仿宋"/>
                      <w:spacing w:val="-3"/>
                    </w:rPr>
                    <w:t>）</w:t>
                  </w:r>
                </w:p>
              </w:tc>
              <w:tc>
                <w:tcPr>
                  <w:tcW w:w="898" w:type="dxa"/>
                  <w:tcBorders>
                    <w:top w:val="single" w:color="000000" w:sz="10" w:space="0"/>
                  </w:tcBorders>
                  <w:vAlign w:val="top"/>
                </w:tcPr>
                <w:p w14:paraId="2A98D205">
                  <w:pPr>
                    <w:pStyle w:val="6"/>
                    <w:spacing w:before="59" w:line="188" w:lineRule="auto"/>
                    <w:ind w:left="325"/>
                  </w:pPr>
                  <w:r>
                    <w:rPr>
                      <w:spacing w:val="-2"/>
                    </w:rPr>
                    <w:t>HC</w:t>
                  </w:r>
                </w:p>
                <w:p w14:paraId="1820F7D5">
                  <w:pPr>
                    <w:pStyle w:val="6"/>
                    <w:spacing w:before="27" w:line="210" w:lineRule="auto"/>
                    <w:ind w:left="38"/>
                    <w:rPr>
                      <w:rFonts w:ascii="仿宋" w:hAnsi="仿宋" w:eastAsia="仿宋" w:cs="仿宋"/>
                    </w:rPr>
                  </w:pPr>
                  <w:r>
                    <w:rPr>
                      <w:rFonts w:ascii="仿宋" w:hAnsi="仿宋" w:eastAsia="仿宋" w:cs="仿宋"/>
                      <w:spacing w:val="-3"/>
                    </w:rPr>
                    <w:t>（</w:t>
                  </w:r>
                  <w:r>
                    <w:rPr>
                      <w:spacing w:val="-3"/>
                    </w:rPr>
                    <w:t>g/kWh</w:t>
                  </w:r>
                  <w:r>
                    <w:rPr>
                      <w:rFonts w:ascii="仿宋" w:hAnsi="仿宋" w:eastAsia="仿宋" w:cs="仿宋"/>
                      <w:spacing w:val="-3"/>
                    </w:rPr>
                    <w:t>）</w:t>
                  </w:r>
                </w:p>
              </w:tc>
              <w:tc>
                <w:tcPr>
                  <w:tcW w:w="898" w:type="dxa"/>
                  <w:tcBorders>
                    <w:top w:val="single" w:color="000000" w:sz="10" w:space="0"/>
                  </w:tcBorders>
                  <w:vAlign w:val="top"/>
                </w:tcPr>
                <w:p w14:paraId="2E868AD7">
                  <w:pPr>
                    <w:pStyle w:val="6"/>
                    <w:spacing w:before="59" w:line="188" w:lineRule="auto"/>
                    <w:ind w:left="269"/>
                  </w:pPr>
                  <w:r>
                    <w:t>NOx</w:t>
                  </w:r>
                </w:p>
                <w:p w14:paraId="28F3F4A7">
                  <w:pPr>
                    <w:pStyle w:val="6"/>
                    <w:spacing w:before="27" w:line="210" w:lineRule="auto"/>
                    <w:ind w:left="38"/>
                    <w:rPr>
                      <w:rFonts w:ascii="仿宋" w:hAnsi="仿宋" w:eastAsia="仿宋" w:cs="仿宋"/>
                    </w:rPr>
                  </w:pPr>
                  <w:r>
                    <w:rPr>
                      <w:rFonts w:ascii="仿宋" w:hAnsi="仿宋" w:eastAsia="仿宋" w:cs="仿宋"/>
                      <w:spacing w:val="-3"/>
                    </w:rPr>
                    <w:t>（</w:t>
                  </w:r>
                  <w:r>
                    <w:rPr>
                      <w:spacing w:val="-3"/>
                    </w:rPr>
                    <w:t>g/kWh</w:t>
                  </w:r>
                  <w:r>
                    <w:rPr>
                      <w:rFonts w:ascii="仿宋" w:hAnsi="仿宋" w:eastAsia="仿宋" w:cs="仿宋"/>
                      <w:spacing w:val="-3"/>
                    </w:rPr>
                    <w:t>）</w:t>
                  </w:r>
                </w:p>
              </w:tc>
              <w:tc>
                <w:tcPr>
                  <w:tcW w:w="942" w:type="dxa"/>
                  <w:tcBorders>
                    <w:top w:val="single" w:color="000000" w:sz="10" w:space="0"/>
                  </w:tcBorders>
                  <w:vAlign w:val="top"/>
                </w:tcPr>
                <w:p w14:paraId="0EE20CD1">
                  <w:pPr>
                    <w:pStyle w:val="6"/>
                    <w:spacing w:before="59" w:line="188" w:lineRule="auto"/>
                    <w:ind w:left="120"/>
                  </w:pPr>
                  <w:r>
                    <w:rPr>
                      <w:spacing w:val="-1"/>
                    </w:rPr>
                    <w:t>HC+NOx</w:t>
                  </w:r>
                </w:p>
                <w:p w14:paraId="3C9EB784">
                  <w:pPr>
                    <w:pStyle w:val="6"/>
                    <w:spacing w:before="27" w:line="210" w:lineRule="auto"/>
                    <w:ind w:left="62"/>
                    <w:rPr>
                      <w:rFonts w:ascii="仿宋" w:hAnsi="仿宋" w:eastAsia="仿宋" w:cs="仿宋"/>
                    </w:rPr>
                  </w:pPr>
                  <w:r>
                    <w:rPr>
                      <w:rFonts w:ascii="仿宋" w:hAnsi="仿宋" w:eastAsia="仿宋" w:cs="仿宋"/>
                      <w:spacing w:val="-3"/>
                    </w:rPr>
                    <w:t>（</w:t>
                  </w:r>
                  <w:r>
                    <w:rPr>
                      <w:spacing w:val="-3"/>
                    </w:rPr>
                    <w:t>g/kWh</w:t>
                  </w:r>
                  <w:r>
                    <w:rPr>
                      <w:rFonts w:ascii="仿宋" w:hAnsi="仿宋" w:eastAsia="仿宋" w:cs="仿宋"/>
                      <w:spacing w:val="-3"/>
                    </w:rPr>
                    <w:t>）</w:t>
                  </w:r>
                </w:p>
              </w:tc>
              <w:tc>
                <w:tcPr>
                  <w:tcW w:w="856" w:type="dxa"/>
                  <w:tcBorders>
                    <w:top w:val="single" w:color="000000" w:sz="10" w:space="0"/>
                  </w:tcBorders>
                  <w:vAlign w:val="top"/>
                </w:tcPr>
                <w:p w14:paraId="029E213E">
                  <w:pPr>
                    <w:pStyle w:val="6"/>
                    <w:spacing w:before="62" w:line="185" w:lineRule="auto"/>
                    <w:ind w:left="299"/>
                  </w:pPr>
                  <w:r>
                    <w:rPr>
                      <w:spacing w:val="-2"/>
                    </w:rPr>
                    <w:t>PM</w:t>
                  </w:r>
                </w:p>
                <w:p w14:paraId="4317A63D">
                  <w:pPr>
                    <w:pStyle w:val="6"/>
                    <w:spacing w:before="26" w:line="210" w:lineRule="auto"/>
                    <w:jc w:val="right"/>
                    <w:rPr>
                      <w:rFonts w:ascii="仿宋" w:hAnsi="仿宋" w:eastAsia="仿宋" w:cs="仿宋"/>
                    </w:rPr>
                  </w:pPr>
                  <w:r>
                    <w:rPr>
                      <w:rFonts w:ascii="仿宋" w:hAnsi="仿宋" w:eastAsia="仿宋" w:cs="仿宋"/>
                      <w:spacing w:val="-5"/>
                    </w:rPr>
                    <w:t>（</w:t>
                  </w:r>
                  <w:r>
                    <w:rPr>
                      <w:spacing w:val="-5"/>
                    </w:rPr>
                    <w:t>g/kWh</w:t>
                  </w:r>
                  <w:r>
                    <w:rPr>
                      <w:rFonts w:ascii="仿宋" w:hAnsi="仿宋" w:eastAsia="仿宋" w:cs="仿宋"/>
                      <w:spacing w:val="-5"/>
                    </w:rPr>
                    <w:t>）</w:t>
                  </w:r>
                </w:p>
              </w:tc>
              <w:tc>
                <w:tcPr>
                  <w:tcW w:w="748" w:type="dxa"/>
                  <w:tcBorders>
                    <w:top w:val="single" w:color="000000" w:sz="10" w:space="0"/>
                  </w:tcBorders>
                  <w:vAlign w:val="top"/>
                </w:tcPr>
                <w:p w14:paraId="05F0E9AA">
                  <w:pPr>
                    <w:pStyle w:val="6"/>
                    <w:spacing w:before="62" w:line="190" w:lineRule="auto"/>
                    <w:ind w:left="210"/>
                    <w:rPr>
                      <w:sz w:val="11"/>
                      <w:szCs w:val="11"/>
                    </w:rPr>
                  </w:pPr>
                  <w:r>
                    <w:t>NH</w:t>
                  </w:r>
                  <w:r>
                    <w:rPr>
                      <w:spacing w:val="3"/>
                      <w:position w:val="-1"/>
                      <w:sz w:val="11"/>
                      <w:szCs w:val="11"/>
                    </w:rPr>
                    <w:t>3</w:t>
                  </w:r>
                </w:p>
                <w:p w14:paraId="1717DB83">
                  <w:pPr>
                    <w:pStyle w:val="6"/>
                    <w:spacing w:before="22" w:line="210" w:lineRule="auto"/>
                    <w:ind w:left="49"/>
                    <w:rPr>
                      <w:rFonts w:ascii="仿宋" w:hAnsi="仿宋" w:eastAsia="仿宋" w:cs="仿宋"/>
                    </w:rPr>
                  </w:pPr>
                  <w:r>
                    <w:rPr>
                      <w:rFonts w:ascii="仿宋" w:hAnsi="仿宋" w:eastAsia="仿宋" w:cs="仿宋"/>
                      <w:spacing w:val="-4"/>
                    </w:rPr>
                    <w:t>（</w:t>
                  </w:r>
                  <w:r>
                    <w:rPr>
                      <w:spacing w:val="-4"/>
                    </w:rPr>
                    <w:t>ppm</w:t>
                  </w:r>
                  <w:r>
                    <w:rPr>
                      <w:rFonts w:ascii="仿宋" w:hAnsi="仿宋" w:eastAsia="仿宋" w:cs="仿宋"/>
                      <w:spacing w:val="-4"/>
                    </w:rPr>
                    <w:t>）</w:t>
                  </w:r>
                </w:p>
              </w:tc>
              <w:tc>
                <w:tcPr>
                  <w:tcW w:w="928" w:type="dxa"/>
                  <w:tcBorders>
                    <w:top w:val="single" w:color="000000" w:sz="10" w:space="0"/>
                    <w:right w:val="nil"/>
                  </w:tcBorders>
                  <w:vAlign w:val="top"/>
                </w:tcPr>
                <w:p w14:paraId="18AC1927">
                  <w:pPr>
                    <w:pStyle w:val="6"/>
                    <w:spacing w:before="146" w:line="236" w:lineRule="auto"/>
                    <w:jc w:val="right"/>
                    <w:rPr>
                      <w:rFonts w:ascii="仿宋" w:hAnsi="仿宋" w:eastAsia="仿宋" w:cs="仿宋"/>
                    </w:rPr>
                  </w:pPr>
                  <w:r>
                    <w:rPr>
                      <w:spacing w:val="-13"/>
                      <w:w w:val="96"/>
                    </w:rPr>
                    <w:t>PN</w:t>
                  </w:r>
                  <w:r>
                    <w:rPr>
                      <w:rFonts w:ascii="仿宋" w:hAnsi="仿宋" w:eastAsia="仿宋" w:cs="仿宋"/>
                      <w:spacing w:val="-13"/>
                      <w:w w:val="96"/>
                    </w:rPr>
                    <w:t>（</w:t>
                  </w:r>
                  <w:r>
                    <w:rPr>
                      <w:spacing w:val="-13"/>
                      <w:w w:val="96"/>
                    </w:rPr>
                    <w:t>#/kWh</w:t>
                  </w:r>
                  <w:r>
                    <w:rPr>
                      <w:rFonts w:ascii="仿宋" w:hAnsi="仿宋" w:eastAsia="仿宋" w:cs="仿宋"/>
                      <w:spacing w:val="-13"/>
                      <w:w w:val="96"/>
                    </w:rPr>
                    <w:t>）</w:t>
                  </w:r>
                </w:p>
              </w:tc>
            </w:tr>
            <w:tr w14:paraId="16D7B0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327" w:type="dxa"/>
                  <w:vMerge w:val="restart"/>
                  <w:tcBorders>
                    <w:left w:val="nil"/>
                    <w:bottom w:val="nil"/>
                  </w:tcBorders>
                  <w:textDirection w:val="tbRlV"/>
                  <w:vAlign w:val="top"/>
                </w:tcPr>
                <w:p w14:paraId="1A889A4C">
                  <w:pPr>
                    <w:spacing w:before="74" w:line="199" w:lineRule="auto"/>
                    <w:ind w:left="151"/>
                    <w:rPr>
                      <w:rFonts w:ascii="仿宋" w:hAnsi="仿宋" w:eastAsia="仿宋" w:cs="仿宋"/>
                      <w:sz w:val="18"/>
                      <w:szCs w:val="18"/>
                    </w:rPr>
                  </w:pPr>
                  <w:r>
                    <w:rPr>
                      <w:rFonts w:ascii="仿宋" w:hAnsi="仿宋" w:eastAsia="仿宋" w:cs="仿宋"/>
                      <w:spacing w:val="41"/>
                      <w:sz w:val="18"/>
                      <w:szCs w:val="18"/>
                    </w:rPr>
                    <w:t>第四阶段</w:t>
                  </w:r>
                </w:p>
              </w:tc>
              <w:tc>
                <w:tcPr>
                  <w:tcW w:w="1203" w:type="dxa"/>
                  <w:vAlign w:val="top"/>
                </w:tcPr>
                <w:p w14:paraId="0CFAFBB0">
                  <w:pPr>
                    <w:pStyle w:val="6"/>
                    <w:spacing w:before="29" w:line="203" w:lineRule="auto"/>
                    <w:ind w:left="171"/>
                  </w:pPr>
                  <w:r>
                    <w:rPr>
                      <w:spacing w:val="-1"/>
                    </w:rPr>
                    <w:t>Pmax</w:t>
                  </w:r>
                  <w:r>
                    <w:rPr>
                      <w:rFonts w:ascii="仿宋" w:hAnsi="仿宋" w:eastAsia="仿宋" w:cs="仿宋"/>
                      <w:spacing w:val="-1"/>
                    </w:rPr>
                    <w:t>＞</w:t>
                  </w:r>
                  <w:r>
                    <w:rPr>
                      <w:spacing w:val="-1"/>
                    </w:rPr>
                    <w:t>560</w:t>
                  </w:r>
                </w:p>
              </w:tc>
              <w:tc>
                <w:tcPr>
                  <w:tcW w:w="897" w:type="dxa"/>
                  <w:vAlign w:val="top"/>
                </w:tcPr>
                <w:p w14:paraId="1D19F0D1">
                  <w:pPr>
                    <w:pStyle w:val="6"/>
                    <w:spacing w:before="57" w:line="188" w:lineRule="auto"/>
                    <w:ind w:left="340"/>
                  </w:pPr>
                  <w:r>
                    <w:rPr>
                      <w:spacing w:val="-2"/>
                    </w:rPr>
                    <w:t>3.5</w:t>
                  </w:r>
                </w:p>
              </w:tc>
              <w:tc>
                <w:tcPr>
                  <w:tcW w:w="898" w:type="dxa"/>
                  <w:vAlign w:val="top"/>
                </w:tcPr>
                <w:p w14:paraId="4B48DBE3">
                  <w:pPr>
                    <w:pStyle w:val="6"/>
                    <w:spacing w:before="57" w:line="188" w:lineRule="auto"/>
                    <w:ind w:left="340"/>
                  </w:pPr>
                  <w:r>
                    <w:rPr>
                      <w:spacing w:val="-2"/>
                    </w:rPr>
                    <w:t>0.4</w:t>
                  </w:r>
                </w:p>
              </w:tc>
              <w:tc>
                <w:tcPr>
                  <w:tcW w:w="898" w:type="dxa"/>
                  <w:vAlign w:val="top"/>
                </w:tcPr>
                <w:p w14:paraId="268D6E91">
                  <w:pPr>
                    <w:pStyle w:val="6"/>
                    <w:spacing w:before="57" w:line="174" w:lineRule="auto"/>
                    <w:ind w:left="55"/>
                  </w:pPr>
                  <w:r>
                    <w:rPr>
                      <w:spacing w:val="-4"/>
                    </w:rPr>
                    <w:t>3.5</w:t>
                  </w:r>
                  <w:r>
                    <w:rPr>
                      <w:spacing w:val="-18"/>
                    </w:rPr>
                    <w:t xml:space="preserve"> </w:t>
                  </w:r>
                  <w:r>
                    <w:rPr>
                      <w:rFonts w:ascii="仿宋" w:hAnsi="仿宋" w:eastAsia="仿宋" w:cs="仿宋"/>
                      <w:spacing w:val="-4"/>
                    </w:rPr>
                    <w:t>，</w:t>
                  </w:r>
                  <w:r>
                    <w:rPr>
                      <w:spacing w:val="-4"/>
                    </w:rPr>
                    <w:t>0.67a</w:t>
                  </w:r>
                </w:p>
              </w:tc>
              <w:tc>
                <w:tcPr>
                  <w:tcW w:w="942" w:type="dxa"/>
                  <w:vAlign w:val="top"/>
                </w:tcPr>
                <w:p w14:paraId="2DF6EF95">
                  <w:pPr>
                    <w:pStyle w:val="6"/>
                    <w:spacing w:before="134" w:line="85" w:lineRule="exact"/>
                    <w:ind w:left="377"/>
                  </w:pPr>
                  <w:r>
                    <w:rPr>
                      <w:spacing w:val="3"/>
                      <w:position w:val="-2"/>
                    </w:rPr>
                    <w:t>—</w:t>
                  </w:r>
                </w:p>
              </w:tc>
              <w:tc>
                <w:tcPr>
                  <w:tcW w:w="856" w:type="dxa"/>
                  <w:vAlign w:val="top"/>
                </w:tcPr>
                <w:p w14:paraId="730551A2">
                  <w:pPr>
                    <w:pStyle w:val="6"/>
                    <w:spacing w:before="57" w:line="188" w:lineRule="auto"/>
                    <w:ind w:left="319"/>
                  </w:pPr>
                  <w:r>
                    <w:rPr>
                      <w:spacing w:val="-2"/>
                    </w:rPr>
                    <w:t>0.</w:t>
                  </w:r>
                  <w:r>
                    <w:rPr>
                      <w:spacing w:val="-24"/>
                    </w:rPr>
                    <w:t xml:space="preserve"> </w:t>
                  </w:r>
                  <w:r>
                    <w:rPr>
                      <w:spacing w:val="-2"/>
                    </w:rPr>
                    <w:t>1</w:t>
                  </w:r>
                </w:p>
              </w:tc>
              <w:tc>
                <w:tcPr>
                  <w:tcW w:w="748" w:type="dxa"/>
                  <w:vMerge w:val="restart"/>
                  <w:tcBorders>
                    <w:bottom w:val="nil"/>
                  </w:tcBorders>
                  <w:vAlign w:val="top"/>
                </w:tcPr>
                <w:p w14:paraId="583FD4AD">
                  <w:pPr>
                    <w:spacing w:line="472" w:lineRule="auto"/>
                    <w:rPr>
                      <w:rFonts w:ascii="Arial"/>
                      <w:sz w:val="21"/>
                    </w:rPr>
                  </w:pPr>
                </w:p>
                <w:p w14:paraId="5F58B698">
                  <w:pPr>
                    <w:pStyle w:val="6"/>
                    <w:spacing w:before="52" w:line="192" w:lineRule="auto"/>
                    <w:ind w:left="240"/>
                  </w:pPr>
                  <w:r>
                    <w:rPr>
                      <w:spacing w:val="-1"/>
                    </w:rPr>
                    <w:t>25b</w:t>
                  </w:r>
                </w:p>
              </w:tc>
              <w:tc>
                <w:tcPr>
                  <w:tcW w:w="928" w:type="dxa"/>
                  <w:tcBorders>
                    <w:right w:val="nil"/>
                  </w:tcBorders>
                  <w:vAlign w:val="top"/>
                </w:tcPr>
                <w:p w14:paraId="6B33AC25">
                  <w:pPr>
                    <w:pStyle w:val="6"/>
                    <w:spacing w:before="134" w:line="85" w:lineRule="exact"/>
                    <w:ind w:left="373"/>
                  </w:pPr>
                  <w:r>
                    <w:rPr>
                      <w:spacing w:val="3"/>
                      <w:position w:val="-2"/>
                    </w:rPr>
                    <w:t>—</w:t>
                  </w:r>
                </w:p>
              </w:tc>
            </w:tr>
            <w:tr w14:paraId="48C33F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2" w:hRule="atLeast"/>
              </w:trPr>
              <w:tc>
                <w:tcPr>
                  <w:tcW w:w="327" w:type="dxa"/>
                  <w:vMerge w:val="continue"/>
                  <w:tcBorders>
                    <w:top w:val="nil"/>
                    <w:left w:val="nil"/>
                    <w:bottom w:val="nil"/>
                  </w:tcBorders>
                  <w:textDirection w:val="tbRlV"/>
                  <w:vAlign w:val="top"/>
                </w:tcPr>
                <w:p w14:paraId="2CB75023">
                  <w:pPr>
                    <w:rPr>
                      <w:rFonts w:ascii="Arial"/>
                      <w:sz w:val="21"/>
                    </w:rPr>
                  </w:pPr>
                </w:p>
              </w:tc>
              <w:tc>
                <w:tcPr>
                  <w:tcW w:w="1203" w:type="dxa"/>
                  <w:vAlign w:val="top"/>
                </w:tcPr>
                <w:p w14:paraId="7F9ACC94">
                  <w:pPr>
                    <w:pStyle w:val="6"/>
                    <w:spacing w:before="48" w:line="178" w:lineRule="auto"/>
                    <w:ind w:left="45"/>
                  </w:pPr>
                  <w:r>
                    <w:rPr>
                      <w:spacing w:val="-2"/>
                    </w:rPr>
                    <w:t>130≤Pmax≤560</w:t>
                  </w:r>
                </w:p>
              </w:tc>
              <w:tc>
                <w:tcPr>
                  <w:tcW w:w="897" w:type="dxa"/>
                  <w:vAlign w:val="top"/>
                </w:tcPr>
                <w:p w14:paraId="7C86A5AA">
                  <w:pPr>
                    <w:pStyle w:val="6"/>
                    <w:spacing w:before="48" w:line="178" w:lineRule="auto"/>
                    <w:ind w:left="340"/>
                  </w:pPr>
                  <w:r>
                    <w:rPr>
                      <w:spacing w:val="-2"/>
                    </w:rPr>
                    <w:t>3.5</w:t>
                  </w:r>
                </w:p>
              </w:tc>
              <w:tc>
                <w:tcPr>
                  <w:tcW w:w="898" w:type="dxa"/>
                  <w:vAlign w:val="top"/>
                </w:tcPr>
                <w:p w14:paraId="1EA73C2E">
                  <w:pPr>
                    <w:pStyle w:val="6"/>
                    <w:spacing w:before="48" w:line="178" w:lineRule="auto"/>
                    <w:ind w:left="294"/>
                  </w:pPr>
                  <w:r>
                    <w:rPr>
                      <w:spacing w:val="-2"/>
                    </w:rPr>
                    <w:t>0.19</w:t>
                  </w:r>
                </w:p>
              </w:tc>
              <w:tc>
                <w:tcPr>
                  <w:tcW w:w="898" w:type="dxa"/>
                  <w:vAlign w:val="top"/>
                </w:tcPr>
                <w:p w14:paraId="6F9463F4">
                  <w:pPr>
                    <w:pStyle w:val="6"/>
                    <w:spacing w:before="48" w:line="178" w:lineRule="auto"/>
                    <w:ind w:left="337"/>
                  </w:pPr>
                  <w:r>
                    <w:rPr>
                      <w:spacing w:val="-1"/>
                    </w:rPr>
                    <w:t>2.0</w:t>
                  </w:r>
                </w:p>
              </w:tc>
              <w:tc>
                <w:tcPr>
                  <w:tcW w:w="942" w:type="dxa"/>
                  <w:vAlign w:val="top"/>
                </w:tcPr>
                <w:p w14:paraId="00012E8E">
                  <w:pPr>
                    <w:pStyle w:val="6"/>
                    <w:spacing w:before="124" w:line="77" w:lineRule="exact"/>
                    <w:ind w:left="377"/>
                  </w:pPr>
                  <w:r>
                    <w:rPr>
                      <w:spacing w:val="3"/>
                      <w:position w:val="-2"/>
                    </w:rPr>
                    <w:t>—</w:t>
                  </w:r>
                </w:p>
              </w:tc>
              <w:tc>
                <w:tcPr>
                  <w:tcW w:w="856" w:type="dxa"/>
                  <w:vAlign w:val="top"/>
                </w:tcPr>
                <w:p w14:paraId="3614C86C">
                  <w:pPr>
                    <w:pStyle w:val="6"/>
                    <w:spacing w:before="48" w:line="178" w:lineRule="auto"/>
                    <w:ind w:left="230"/>
                  </w:pPr>
                  <w:r>
                    <w:rPr>
                      <w:spacing w:val="-2"/>
                    </w:rPr>
                    <w:t>0.025</w:t>
                  </w:r>
                </w:p>
              </w:tc>
              <w:tc>
                <w:tcPr>
                  <w:tcW w:w="748" w:type="dxa"/>
                  <w:vMerge w:val="continue"/>
                  <w:tcBorders>
                    <w:top w:val="nil"/>
                    <w:bottom w:val="nil"/>
                  </w:tcBorders>
                  <w:vAlign w:val="top"/>
                </w:tcPr>
                <w:p w14:paraId="64495A9B">
                  <w:pPr>
                    <w:rPr>
                      <w:rFonts w:ascii="Arial"/>
                      <w:sz w:val="21"/>
                    </w:rPr>
                  </w:pPr>
                </w:p>
              </w:tc>
              <w:tc>
                <w:tcPr>
                  <w:tcW w:w="928" w:type="dxa"/>
                  <w:vMerge w:val="restart"/>
                  <w:tcBorders>
                    <w:bottom w:val="nil"/>
                    <w:right w:val="nil"/>
                  </w:tcBorders>
                  <w:vAlign w:val="top"/>
                </w:tcPr>
                <w:p w14:paraId="7BB7F438">
                  <w:pPr>
                    <w:pStyle w:val="6"/>
                    <w:spacing w:before="290" w:line="188" w:lineRule="auto"/>
                    <w:ind w:left="195"/>
                  </w:pPr>
                  <w:r>
                    <w:rPr>
                      <w:spacing w:val="-2"/>
                    </w:rPr>
                    <w:t>5×1012</w:t>
                  </w:r>
                </w:p>
              </w:tc>
            </w:tr>
            <w:tr w14:paraId="64E82B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327" w:type="dxa"/>
                  <w:vMerge w:val="continue"/>
                  <w:tcBorders>
                    <w:top w:val="nil"/>
                    <w:left w:val="nil"/>
                    <w:bottom w:val="nil"/>
                  </w:tcBorders>
                  <w:textDirection w:val="tbRlV"/>
                  <w:vAlign w:val="top"/>
                </w:tcPr>
                <w:p w14:paraId="637A69AF">
                  <w:pPr>
                    <w:rPr>
                      <w:rFonts w:ascii="Arial"/>
                      <w:sz w:val="21"/>
                    </w:rPr>
                  </w:pPr>
                </w:p>
              </w:tc>
              <w:tc>
                <w:tcPr>
                  <w:tcW w:w="1203" w:type="dxa"/>
                  <w:vAlign w:val="top"/>
                </w:tcPr>
                <w:p w14:paraId="43D51527">
                  <w:pPr>
                    <w:pStyle w:val="6"/>
                    <w:spacing w:before="30" w:line="203" w:lineRule="auto"/>
                    <w:ind w:left="37"/>
                  </w:pPr>
                  <w:r>
                    <w:rPr>
                      <w:spacing w:val="-1"/>
                    </w:rPr>
                    <w:t>56≤Pmax</w:t>
                  </w:r>
                  <w:r>
                    <w:rPr>
                      <w:rFonts w:ascii="仿宋" w:hAnsi="仿宋" w:eastAsia="仿宋" w:cs="仿宋"/>
                      <w:spacing w:val="-1"/>
                    </w:rPr>
                    <w:t>＜</w:t>
                  </w:r>
                  <w:r>
                    <w:rPr>
                      <w:spacing w:val="-1"/>
                    </w:rPr>
                    <w:t>130</w:t>
                  </w:r>
                </w:p>
              </w:tc>
              <w:tc>
                <w:tcPr>
                  <w:tcW w:w="897" w:type="dxa"/>
                  <w:vAlign w:val="top"/>
                </w:tcPr>
                <w:p w14:paraId="5957A424">
                  <w:pPr>
                    <w:pStyle w:val="6"/>
                    <w:spacing w:before="62" w:line="185" w:lineRule="auto"/>
                    <w:ind w:left="409"/>
                  </w:pPr>
                  <w:r>
                    <w:t>5</w:t>
                  </w:r>
                </w:p>
              </w:tc>
              <w:tc>
                <w:tcPr>
                  <w:tcW w:w="898" w:type="dxa"/>
                  <w:vAlign w:val="top"/>
                </w:tcPr>
                <w:p w14:paraId="72DD62B9">
                  <w:pPr>
                    <w:pStyle w:val="6"/>
                    <w:spacing w:before="59" w:line="188" w:lineRule="auto"/>
                    <w:ind w:left="294"/>
                  </w:pPr>
                  <w:r>
                    <w:rPr>
                      <w:spacing w:val="-2"/>
                    </w:rPr>
                    <w:t>0.19</w:t>
                  </w:r>
                </w:p>
              </w:tc>
              <w:tc>
                <w:tcPr>
                  <w:tcW w:w="898" w:type="dxa"/>
                  <w:vAlign w:val="top"/>
                </w:tcPr>
                <w:p w14:paraId="68C85936">
                  <w:pPr>
                    <w:pStyle w:val="6"/>
                    <w:spacing w:before="59" w:line="188" w:lineRule="auto"/>
                    <w:ind w:left="341"/>
                  </w:pPr>
                  <w:r>
                    <w:rPr>
                      <w:spacing w:val="-2"/>
                    </w:rPr>
                    <w:t>3.3</w:t>
                  </w:r>
                </w:p>
              </w:tc>
              <w:tc>
                <w:tcPr>
                  <w:tcW w:w="942" w:type="dxa"/>
                  <w:vAlign w:val="top"/>
                </w:tcPr>
                <w:p w14:paraId="130C4F48">
                  <w:pPr>
                    <w:pStyle w:val="6"/>
                    <w:spacing w:before="135" w:line="86" w:lineRule="exact"/>
                    <w:ind w:left="377"/>
                  </w:pPr>
                  <w:r>
                    <w:rPr>
                      <w:spacing w:val="3"/>
                      <w:position w:val="-2"/>
                    </w:rPr>
                    <w:t>—</w:t>
                  </w:r>
                </w:p>
              </w:tc>
              <w:tc>
                <w:tcPr>
                  <w:tcW w:w="856" w:type="dxa"/>
                  <w:vAlign w:val="top"/>
                </w:tcPr>
                <w:p w14:paraId="7105EF99">
                  <w:pPr>
                    <w:pStyle w:val="6"/>
                    <w:spacing w:before="59" w:line="188" w:lineRule="auto"/>
                    <w:ind w:left="230"/>
                  </w:pPr>
                  <w:r>
                    <w:rPr>
                      <w:spacing w:val="-2"/>
                    </w:rPr>
                    <w:t>0.025</w:t>
                  </w:r>
                </w:p>
              </w:tc>
              <w:tc>
                <w:tcPr>
                  <w:tcW w:w="748" w:type="dxa"/>
                  <w:vMerge w:val="continue"/>
                  <w:tcBorders>
                    <w:top w:val="nil"/>
                    <w:bottom w:val="nil"/>
                  </w:tcBorders>
                  <w:vAlign w:val="top"/>
                </w:tcPr>
                <w:p w14:paraId="3A1AB565">
                  <w:pPr>
                    <w:rPr>
                      <w:rFonts w:ascii="Arial"/>
                      <w:sz w:val="21"/>
                    </w:rPr>
                  </w:pPr>
                </w:p>
              </w:tc>
              <w:tc>
                <w:tcPr>
                  <w:tcW w:w="928" w:type="dxa"/>
                  <w:vMerge w:val="continue"/>
                  <w:tcBorders>
                    <w:top w:val="nil"/>
                    <w:bottom w:val="nil"/>
                    <w:right w:val="nil"/>
                  </w:tcBorders>
                  <w:vAlign w:val="top"/>
                </w:tcPr>
                <w:p w14:paraId="5575AB2E">
                  <w:pPr>
                    <w:rPr>
                      <w:rFonts w:ascii="Arial"/>
                      <w:sz w:val="21"/>
                    </w:rPr>
                  </w:pPr>
                </w:p>
              </w:tc>
            </w:tr>
            <w:tr w14:paraId="4FEAD0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327" w:type="dxa"/>
                  <w:vMerge w:val="continue"/>
                  <w:tcBorders>
                    <w:top w:val="nil"/>
                    <w:left w:val="nil"/>
                    <w:bottom w:val="nil"/>
                  </w:tcBorders>
                  <w:textDirection w:val="tbRlV"/>
                  <w:vAlign w:val="top"/>
                </w:tcPr>
                <w:p w14:paraId="076A5DC2">
                  <w:pPr>
                    <w:rPr>
                      <w:rFonts w:ascii="Arial"/>
                      <w:sz w:val="21"/>
                    </w:rPr>
                  </w:pPr>
                </w:p>
              </w:tc>
              <w:tc>
                <w:tcPr>
                  <w:tcW w:w="1203" w:type="dxa"/>
                  <w:vAlign w:val="top"/>
                </w:tcPr>
                <w:p w14:paraId="59EC3B3D">
                  <w:pPr>
                    <w:pStyle w:val="6"/>
                    <w:spacing w:before="30" w:line="202" w:lineRule="auto"/>
                    <w:ind w:left="82"/>
                  </w:pPr>
                  <w:r>
                    <w:rPr>
                      <w:spacing w:val="-1"/>
                    </w:rPr>
                    <w:t>37≤Pmax</w:t>
                  </w:r>
                  <w:r>
                    <w:rPr>
                      <w:rFonts w:ascii="仿宋" w:hAnsi="仿宋" w:eastAsia="仿宋" w:cs="仿宋"/>
                      <w:spacing w:val="-1"/>
                    </w:rPr>
                    <w:t>＜</w:t>
                  </w:r>
                  <w:r>
                    <w:rPr>
                      <w:spacing w:val="-1"/>
                    </w:rPr>
                    <w:t>56</w:t>
                  </w:r>
                </w:p>
              </w:tc>
              <w:tc>
                <w:tcPr>
                  <w:tcW w:w="897" w:type="dxa"/>
                  <w:vAlign w:val="top"/>
                </w:tcPr>
                <w:p w14:paraId="73680ECD">
                  <w:pPr>
                    <w:pStyle w:val="6"/>
                    <w:spacing w:before="63" w:line="185" w:lineRule="auto"/>
                    <w:ind w:left="409"/>
                  </w:pPr>
                  <w:r>
                    <w:t>5</w:t>
                  </w:r>
                </w:p>
              </w:tc>
              <w:tc>
                <w:tcPr>
                  <w:tcW w:w="898" w:type="dxa"/>
                  <w:vAlign w:val="top"/>
                </w:tcPr>
                <w:p w14:paraId="0D88BD71">
                  <w:pPr>
                    <w:pStyle w:val="6"/>
                    <w:spacing w:before="137" w:line="86" w:lineRule="exact"/>
                    <w:ind w:left="356"/>
                  </w:pPr>
                  <w:r>
                    <w:rPr>
                      <w:spacing w:val="3"/>
                      <w:position w:val="-2"/>
                    </w:rPr>
                    <w:t>—</w:t>
                  </w:r>
                </w:p>
              </w:tc>
              <w:tc>
                <w:tcPr>
                  <w:tcW w:w="898" w:type="dxa"/>
                  <w:vAlign w:val="top"/>
                </w:tcPr>
                <w:p w14:paraId="4504B319">
                  <w:pPr>
                    <w:pStyle w:val="6"/>
                    <w:spacing w:before="137" w:line="86" w:lineRule="exact"/>
                    <w:ind w:left="356"/>
                  </w:pPr>
                  <w:r>
                    <w:rPr>
                      <w:spacing w:val="3"/>
                      <w:position w:val="-2"/>
                    </w:rPr>
                    <w:t>—</w:t>
                  </w:r>
                </w:p>
              </w:tc>
              <w:tc>
                <w:tcPr>
                  <w:tcW w:w="942" w:type="dxa"/>
                  <w:vAlign w:val="top"/>
                </w:tcPr>
                <w:p w14:paraId="7F8D072D">
                  <w:pPr>
                    <w:pStyle w:val="6"/>
                    <w:spacing w:before="61" w:line="188" w:lineRule="auto"/>
                    <w:ind w:left="360"/>
                  </w:pPr>
                  <w:r>
                    <w:rPr>
                      <w:spacing w:val="-1"/>
                    </w:rPr>
                    <w:t>4.7</w:t>
                  </w:r>
                </w:p>
              </w:tc>
              <w:tc>
                <w:tcPr>
                  <w:tcW w:w="856" w:type="dxa"/>
                  <w:vAlign w:val="top"/>
                </w:tcPr>
                <w:p w14:paraId="6FB21F34">
                  <w:pPr>
                    <w:pStyle w:val="6"/>
                    <w:spacing w:before="61" w:line="188" w:lineRule="auto"/>
                    <w:ind w:left="230"/>
                  </w:pPr>
                  <w:r>
                    <w:rPr>
                      <w:spacing w:val="-2"/>
                    </w:rPr>
                    <w:t>0.025</w:t>
                  </w:r>
                </w:p>
              </w:tc>
              <w:tc>
                <w:tcPr>
                  <w:tcW w:w="748" w:type="dxa"/>
                  <w:vMerge w:val="continue"/>
                  <w:tcBorders>
                    <w:top w:val="nil"/>
                    <w:bottom w:val="nil"/>
                  </w:tcBorders>
                  <w:vAlign w:val="top"/>
                </w:tcPr>
                <w:p w14:paraId="2D1D5433">
                  <w:pPr>
                    <w:rPr>
                      <w:rFonts w:ascii="Arial"/>
                      <w:sz w:val="21"/>
                    </w:rPr>
                  </w:pPr>
                </w:p>
              </w:tc>
              <w:tc>
                <w:tcPr>
                  <w:tcW w:w="928" w:type="dxa"/>
                  <w:vMerge w:val="continue"/>
                  <w:tcBorders>
                    <w:top w:val="nil"/>
                    <w:right w:val="nil"/>
                  </w:tcBorders>
                  <w:vAlign w:val="top"/>
                </w:tcPr>
                <w:p w14:paraId="07ECD5DE">
                  <w:pPr>
                    <w:rPr>
                      <w:rFonts w:ascii="Arial"/>
                      <w:sz w:val="21"/>
                    </w:rPr>
                  </w:pPr>
                </w:p>
              </w:tc>
            </w:tr>
            <w:tr w14:paraId="076106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2" w:hRule="atLeast"/>
              </w:trPr>
              <w:tc>
                <w:tcPr>
                  <w:tcW w:w="327" w:type="dxa"/>
                  <w:vMerge w:val="continue"/>
                  <w:tcBorders>
                    <w:top w:val="nil"/>
                    <w:left w:val="nil"/>
                  </w:tcBorders>
                  <w:textDirection w:val="tbRlV"/>
                  <w:vAlign w:val="top"/>
                </w:tcPr>
                <w:p w14:paraId="0FEDF6B8">
                  <w:pPr>
                    <w:rPr>
                      <w:rFonts w:ascii="Arial"/>
                      <w:sz w:val="21"/>
                    </w:rPr>
                  </w:pPr>
                </w:p>
              </w:tc>
              <w:tc>
                <w:tcPr>
                  <w:tcW w:w="1203" w:type="dxa"/>
                  <w:vAlign w:val="top"/>
                </w:tcPr>
                <w:p w14:paraId="4159CD58">
                  <w:pPr>
                    <w:pStyle w:val="6"/>
                    <w:spacing w:before="33" w:line="204" w:lineRule="auto"/>
                    <w:ind w:left="217"/>
                  </w:pPr>
                  <w:r>
                    <w:rPr>
                      <w:spacing w:val="-1"/>
                    </w:rPr>
                    <w:t>Pmax</w:t>
                  </w:r>
                  <w:r>
                    <w:rPr>
                      <w:rFonts w:ascii="仿宋" w:hAnsi="仿宋" w:eastAsia="仿宋" w:cs="仿宋"/>
                      <w:spacing w:val="-1"/>
                    </w:rPr>
                    <w:t>＜</w:t>
                  </w:r>
                  <w:r>
                    <w:rPr>
                      <w:spacing w:val="-1"/>
                    </w:rPr>
                    <w:t>37</w:t>
                  </w:r>
                </w:p>
              </w:tc>
              <w:tc>
                <w:tcPr>
                  <w:tcW w:w="897" w:type="dxa"/>
                  <w:vAlign w:val="top"/>
                </w:tcPr>
                <w:p w14:paraId="7B913E6F">
                  <w:pPr>
                    <w:pStyle w:val="6"/>
                    <w:spacing w:before="64" w:line="185" w:lineRule="auto"/>
                    <w:ind w:left="342"/>
                  </w:pPr>
                  <w:r>
                    <w:rPr>
                      <w:spacing w:val="-3"/>
                    </w:rPr>
                    <w:t>5.5</w:t>
                  </w:r>
                </w:p>
              </w:tc>
              <w:tc>
                <w:tcPr>
                  <w:tcW w:w="898" w:type="dxa"/>
                  <w:vAlign w:val="top"/>
                </w:tcPr>
                <w:p w14:paraId="79335C91">
                  <w:pPr>
                    <w:pStyle w:val="6"/>
                    <w:spacing w:before="138" w:line="85" w:lineRule="exact"/>
                    <w:ind w:left="356"/>
                  </w:pPr>
                  <w:r>
                    <w:rPr>
                      <w:spacing w:val="3"/>
                      <w:position w:val="-2"/>
                    </w:rPr>
                    <w:t>—</w:t>
                  </w:r>
                </w:p>
              </w:tc>
              <w:tc>
                <w:tcPr>
                  <w:tcW w:w="898" w:type="dxa"/>
                  <w:vAlign w:val="top"/>
                </w:tcPr>
                <w:p w14:paraId="56E84CAF">
                  <w:pPr>
                    <w:pStyle w:val="6"/>
                    <w:spacing w:before="138" w:line="85" w:lineRule="exact"/>
                    <w:ind w:left="356"/>
                  </w:pPr>
                  <w:r>
                    <w:rPr>
                      <w:spacing w:val="3"/>
                      <w:position w:val="-2"/>
                    </w:rPr>
                    <w:t>—</w:t>
                  </w:r>
                </w:p>
              </w:tc>
              <w:tc>
                <w:tcPr>
                  <w:tcW w:w="942" w:type="dxa"/>
                  <w:vAlign w:val="top"/>
                </w:tcPr>
                <w:p w14:paraId="51404454">
                  <w:pPr>
                    <w:pStyle w:val="6"/>
                    <w:spacing w:before="64" w:line="185" w:lineRule="auto"/>
                    <w:ind w:left="363"/>
                  </w:pPr>
                  <w:r>
                    <w:rPr>
                      <w:spacing w:val="-2"/>
                    </w:rPr>
                    <w:t>7.5</w:t>
                  </w:r>
                </w:p>
              </w:tc>
              <w:tc>
                <w:tcPr>
                  <w:tcW w:w="856" w:type="dxa"/>
                  <w:vAlign w:val="top"/>
                </w:tcPr>
                <w:p w14:paraId="0158374A">
                  <w:pPr>
                    <w:pStyle w:val="6"/>
                    <w:spacing w:before="61" w:line="188" w:lineRule="auto"/>
                    <w:ind w:left="319"/>
                  </w:pPr>
                  <w:r>
                    <w:rPr>
                      <w:spacing w:val="-2"/>
                    </w:rPr>
                    <w:t>0.6</w:t>
                  </w:r>
                </w:p>
              </w:tc>
              <w:tc>
                <w:tcPr>
                  <w:tcW w:w="748" w:type="dxa"/>
                  <w:vMerge w:val="continue"/>
                  <w:tcBorders>
                    <w:top w:val="nil"/>
                  </w:tcBorders>
                  <w:vAlign w:val="top"/>
                </w:tcPr>
                <w:p w14:paraId="3F112C3F">
                  <w:pPr>
                    <w:rPr>
                      <w:rFonts w:ascii="Arial"/>
                      <w:sz w:val="21"/>
                    </w:rPr>
                  </w:pPr>
                </w:p>
              </w:tc>
              <w:tc>
                <w:tcPr>
                  <w:tcW w:w="928" w:type="dxa"/>
                  <w:tcBorders>
                    <w:right w:val="nil"/>
                  </w:tcBorders>
                  <w:vAlign w:val="top"/>
                </w:tcPr>
                <w:p w14:paraId="186E7F35">
                  <w:pPr>
                    <w:pStyle w:val="6"/>
                    <w:spacing w:before="138" w:line="85" w:lineRule="exact"/>
                    <w:ind w:left="373"/>
                  </w:pPr>
                  <w:r>
                    <w:rPr>
                      <w:spacing w:val="3"/>
                      <w:position w:val="-2"/>
                    </w:rPr>
                    <w:t>—</w:t>
                  </w:r>
                </w:p>
              </w:tc>
            </w:tr>
          </w:tbl>
          <w:p w14:paraId="3014DA66">
            <w:pPr>
              <w:pStyle w:val="6"/>
              <w:spacing w:before="28" w:line="220" w:lineRule="auto"/>
              <w:ind w:left="1845"/>
              <w:rPr>
                <w:rFonts w:ascii="仿宋" w:hAnsi="仿宋" w:eastAsia="仿宋" w:cs="仿宋"/>
              </w:rPr>
            </w:pPr>
            <w:r>
              <w:t>a</w:t>
            </w:r>
            <w:r>
              <w:rPr>
                <w:rFonts w:ascii="仿宋" w:hAnsi="仿宋" w:eastAsia="仿宋" w:cs="仿宋"/>
              </w:rPr>
              <w:t>适用于可移动式发电机组用</w:t>
            </w:r>
            <w:r>
              <w:t>Pmax&gt; 90</w:t>
            </w:r>
            <w:r>
              <w:rPr>
                <w:spacing w:val="-1"/>
              </w:rPr>
              <w:t>0kW</w:t>
            </w:r>
            <w:r>
              <w:rPr>
                <w:rFonts w:ascii="仿宋" w:hAnsi="仿宋" w:eastAsia="仿宋" w:cs="仿宋"/>
                <w:spacing w:val="-1"/>
              </w:rPr>
              <w:t>的柴油机。</w:t>
            </w:r>
          </w:p>
          <w:p w14:paraId="60802CF6">
            <w:pPr>
              <w:pStyle w:val="6"/>
              <w:tabs>
                <w:tab w:val="left" w:pos="2736"/>
              </w:tabs>
              <w:spacing w:before="18" w:line="220" w:lineRule="auto"/>
              <w:ind w:left="102"/>
              <w:rPr>
                <w:rFonts w:ascii="仿宋" w:hAnsi="仿宋" w:eastAsia="仿宋" w:cs="仿宋"/>
              </w:rPr>
            </w:pPr>
            <w:r>
              <w:rPr>
                <w:u w:val="single" w:color="auto"/>
              </w:rPr>
              <w:tab/>
            </w:r>
            <w:r>
              <w:rPr>
                <w:spacing w:val="-1"/>
                <w:u w:val="single" w:color="auto"/>
              </w:rPr>
              <w:t>b</w:t>
            </w:r>
            <w:r>
              <w:rPr>
                <w:rFonts w:ascii="仿宋" w:hAnsi="仿宋" w:eastAsia="仿宋" w:cs="仿宋"/>
                <w:spacing w:val="-1"/>
                <w:u w:val="single" w:color="auto"/>
              </w:rPr>
              <w:t>适用于使用反应剂的柴油机。</w:t>
            </w:r>
            <w:r>
              <w:rPr>
                <w:rFonts w:ascii="仿宋" w:hAnsi="仿宋" w:eastAsia="仿宋" w:cs="仿宋"/>
                <w:u w:val="single" w:color="auto"/>
              </w:rPr>
              <w:t xml:space="preserve">                              </w:t>
            </w:r>
          </w:p>
          <w:p w14:paraId="6EC9B38B">
            <w:pPr>
              <w:pStyle w:val="6"/>
              <w:spacing w:before="53" w:line="231" w:lineRule="auto"/>
              <w:ind w:left="524"/>
              <w:outlineLvl w:val="0"/>
              <w:rPr>
                <w:rFonts w:ascii="仿宋" w:hAnsi="仿宋" w:eastAsia="仿宋" w:cs="仿宋"/>
                <w:sz w:val="20"/>
                <w:szCs w:val="20"/>
              </w:rPr>
            </w:pPr>
            <w:r>
              <w:rPr>
                <w:b/>
                <w:bCs/>
                <w:spacing w:val="-2"/>
                <w:sz w:val="20"/>
                <w:szCs w:val="20"/>
              </w:rPr>
              <w:t>2</w:t>
            </w:r>
            <w:r>
              <w:rPr>
                <w:b/>
                <w:bCs/>
                <w:spacing w:val="-18"/>
                <w:sz w:val="20"/>
                <w:szCs w:val="20"/>
              </w:rPr>
              <w:t xml:space="preserve"> </w:t>
            </w:r>
            <w:r>
              <w:rPr>
                <w:rFonts w:ascii="仿宋" w:hAnsi="仿宋" w:eastAsia="仿宋" w:cs="仿宋"/>
                <w:b/>
                <w:bCs/>
                <w:spacing w:val="-2"/>
                <w:sz w:val="20"/>
                <w:szCs w:val="20"/>
              </w:rPr>
              <w:t>、噪声</w:t>
            </w:r>
          </w:p>
          <w:p w14:paraId="58804CAD">
            <w:pPr>
              <w:pStyle w:val="6"/>
              <w:spacing w:before="158" w:line="221" w:lineRule="auto"/>
              <w:ind w:left="532"/>
              <w:rPr>
                <w:rFonts w:ascii="仿宋" w:hAnsi="仿宋" w:eastAsia="仿宋" w:cs="仿宋"/>
                <w:sz w:val="20"/>
                <w:szCs w:val="20"/>
              </w:rPr>
            </w:pPr>
            <w:r>
              <w:rPr>
                <w:rFonts w:ascii="仿宋" w:hAnsi="仿宋" w:eastAsia="仿宋" w:cs="仿宋"/>
                <w:spacing w:val="8"/>
                <w:sz w:val="20"/>
                <w:szCs w:val="20"/>
              </w:rPr>
              <w:t>施工期噪声执行《建筑施工噪声排放标准》</w:t>
            </w:r>
            <w:r>
              <w:rPr>
                <w:spacing w:val="8"/>
                <w:sz w:val="20"/>
                <w:szCs w:val="20"/>
              </w:rPr>
              <w:t>(</w:t>
            </w:r>
            <w:r>
              <w:rPr>
                <w:sz w:val="20"/>
                <w:szCs w:val="20"/>
              </w:rPr>
              <w:t>GB</w:t>
            </w:r>
            <w:r>
              <w:rPr>
                <w:spacing w:val="8"/>
                <w:sz w:val="20"/>
                <w:szCs w:val="20"/>
              </w:rPr>
              <w:t>12523-2025)</w:t>
            </w:r>
            <w:r>
              <w:rPr>
                <w:rFonts w:ascii="仿宋" w:hAnsi="仿宋" w:eastAsia="仿宋" w:cs="仿宋"/>
                <w:spacing w:val="8"/>
                <w:sz w:val="20"/>
                <w:szCs w:val="20"/>
              </w:rPr>
              <w:t>中相应的标准值。</w:t>
            </w:r>
          </w:p>
          <w:p w14:paraId="13F9B32B">
            <w:pPr>
              <w:pStyle w:val="6"/>
              <w:spacing w:before="171" w:line="221" w:lineRule="auto"/>
              <w:ind w:left="2051"/>
              <w:rPr>
                <w:sz w:val="20"/>
                <w:szCs w:val="20"/>
              </w:rPr>
            </w:pPr>
            <w:r>
              <w:rPr>
                <w:rFonts w:ascii="仿宋" w:hAnsi="仿宋" w:eastAsia="仿宋" w:cs="仿宋"/>
                <w:b/>
                <w:bCs/>
                <w:spacing w:val="5"/>
                <w:sz w:val="20"/>
                <w:szCs w:val="20"/>
              </w:rPr>
              <w:t>表</w:t>
            </w:r>
            <w:r>
              <w:rPr>
                <w:rFonts w:ascii="仿宋" w:hAnsi="仿宋" w:eastAsia="仿宋" w:cs="仿宋"/>
                <w:spacing w:val="-42"/>
                <w:sz w:val="20"/>
                <w:szCs w:val="20"/>
              </w:rPr>
              <w:t xml:space="preserve"> </w:t>
            </w:r>
            <w:r>
              <w:rPr>
                <w:b/>
                <w:bCs/>
                <w:spacing w:val="5"/>
                <w:sz w:val="20"/>
                <w:szCs w:val="20"/>
              </w:rPr>
              <w:t xml:space="preserve">3-8      </w:t>
            </w:r>
            <w:r>
              <w:rPr>
                <w:rFonts w:ascii="仿宋" w:hAnsi="仿宋" w:eastAsia="仿宋" w:cs="仿宋"/>
                <w:b/>
                <w:bCs/>
                <w:spacing w:val="5"/>
                <w:sz w:val="20"/>
                <w:szCs w:val="20"/>
              </w:rPr>
              <w:t>噪声排放标准一览表</w:t>
            </w:r>
            <w:r>
              <w:rPr>
                <w:rFonts w:ascii="仿宋" w:hAnsi="仿宋" w:eastAsia="仿宋" w:cs="仿宋"/>
                <w:spacing w:val="11"/>
                <w:sz w:val="20"/>
                <w:szCs w:val="20"/>
              </w:rPr>
              <w:t xml:space="preserve">   </w:t>
            </w:r>
            <w:r>
              <w:rPr>
                <w:rFonts w:ascii="仿宋" w:hAnsi="仿宋" w:eastAsia="仿宋" w:cs="仿宋"/>
                <w:b/>
                <w:bCs/>
                <w:spacing w:val="5"/>
                <w:sz w:val="20"/>
                <w:szCs w:val="20"/>
              </w:rPr>
              <w:t>单位：</w:t>
            </w:r>
            <w:r>
              <w:rPr>
                <w:b/>
                <w:bCs/>
                <w:sz w:val="20"/>
                <w:szCs w:val="20"/>
              </w:rPr>
              <w:t>dB</w:t>
            </w:r>
            <w:r>
              <w:rPr>
                <w:b/>
                <w:bCs/>
                <w:spacing w:val="5"/>
                <w:sz w:val="20"/>
                <w:szCs w:val="20"/>
              </w:rPr>
              <w:t>(A)</w:t>
            </w:r>
          </w:p>
        </w:tc>
      </w:tr>
      <w:tr w14:paraId="499F1F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8" w:hRule="atLeast"/>
        </w:trPr>
        <w:tc>
          <w:tcPr>
            <w:tcW w:w="683" w:type="dxa"/>
            <w:vMerge w:val="continue"/>
            <w:tcBorders>
              <w:top w:val="nil"/>
              <w:left w:val="single" w:color="000000" w:sz="6" w:space="0"/>
              <w:bottom w:val="nil"/>
            </w:tcBorders>
            <w:vAlign w:val="top"/>
          </w:tcPr>
          <w:p w14:paraId="633F47AE">
            <w:pPr>
              <w:rPr>
                <w:rFonts w:ascii="Arial"/>
                <w:sz w:val="21"/>
              </w:rPr>
            </w:pPr>
          </w:p>
        </w:tc>
        <w:tc>
          <w:tcPr>
            <w:tcW w:w="496" w:type="dxa"/>
            <w:vMerge w:val="restart"/>
            <w:tcBorders>
              <w:top w:val="single" w:color="000000" w:sz="10" w:space="0"/>
              <w:bottom w:val="nil"/>
            </w:tcBorders>
            <w:vAlign w:val="top"/>
          </w:tcPr>
          <w:p w14:paraId="190862D3">
            <w:pPr>
              <w:spacing w:before="29" w:line="222" w:lineRule="auto"/>
              <w:ind w:left="166" w:right="68" w:hanging="88"/>
              <w:rPr>
                <w:rFonts w:ascii="仿宋" w:hAnsi="仿宋" w:eastAsia="仿宋" w:cs="仿宋"/>
                <w:sz w:val="18"/>
                <w:szCs w:val="18"/>
              </w:rPr>
            </w:pPr>
            <w:r>
              <w:rPr>
                <w:rFonts w:ascii="仿宋" w:hAnsi="仿宋" w:eastAsia="仿宋" w:cs="仿宋"/>
                <w:spacing w:val="-8"/>
                <w:sz w:val="18"/>
                <w:szCs w:val="18"/>
              </w:rPr>
              <w:t>污染</w:t>
            </w:r>
            <w:r>
              <w:rPr>
                <w:rFonts w:ascii="仿宋" w:hAnsi="仿宋" w:eastAsia="仿宋" w:cs="仿宋"/>
                <w:sz w:val="18"/>
                <w:szCs w:val="18"/>
              </w:rPr>
              <w:t>源</w:t>
            </w:r>
          </w:p>
        </w:tc>
        <w:tc>
          <w:tcPr>
            <w:tcW w:w="792" w:type="dxa"/>
            <w:vMerge w:val="restart"/>
            <w:tcBorders>
              <w:top w:val="single" w:color="000000" w:sz="10" w:space="0"/>
              <w:bottom w:val="nil"/>
            </w:tcBorders>
            <w:vAlign w:val="top"/>
          </w:tcPr>
          <w:p w14:paraId="2637D267">
            <w:pPr>
              <w:spacing w:before="29" w:line="222" w:lineRule="auto"/>
              <w:ind w:left="223"/>
              <w:rPr>
                <w:rFonts w:ascii="仿宋" w:hAnsi="仿宋" w:eastAsia="仿宋" w:cs="仿宋"/>
                <w:sz w:val="18"/>
                <w:szCs w:val="18"/>
              </w:rPr>
            </w:pPr>
            <w:r>
              <w:rPr>
                <w:rFonts w:ascii="仿宋" w:hAnsi="仿宋" w:eastAsia="仿宋" w:cs="仿宋"/>
                <w:spacing w:val="-8"/>
                <w:sz w:val="18"/>
                <w:szCs w:val="18"/>
              </w:rPr>
              <w:t>污染</w:t>
            </w:r>
          </w:p>
          <w:p w14:paraId="3F876BCE">
            <w:pPr>
              <w:spacing w:before="16" w:line="205" w:lineRule="auto"/>
              <w:ind w:left="238"/>
              <w:rPr>
                <w:rFonts w:ascii="仿宋" w:hAnsi="仿宋" w:eastAsia="仿宋" w:cs="仿宋"/>
                <w:sz w:val="18"/>
                <w:szCs w:val="18"/>
              </w:rPr>
            </w:pPr>
            <w:r>
              <w:rPr>
                <w:rFonts w:ascii="仿宋" w:hAnsi="仿宋" w:eastAsia="仿宋" w:cs="仿宋"/>
                <w:spacing w:val="-16"/>
                <w:sz w:val="18"/>
                <w:szCs w:val="18"/>
              </w:rPr>
              <w:t>因子</w:t>
            </w:r>
          </w:p>
        </w:tc>
        <w:tc>
          <w:tcPr>
            <w:tcW w:w="566" w:type="dxa"/>
            <w:vMerge w:val="restart"/>
            <w:tcBorders>
              <w:top w:val="single" w:color="000000" w:sz="10" w:space="0"/>
              <w:bottom w:val="nil"/>
            </w:tcBorders>
            <w:vAlign w:val="top"/>
          </w:tcPr>
          <w:p w14:paraId="2BDBCDC1">
            <w:pPr>
              <w:spacing w:before="144" w:line="223" w:lineRule="auto"/>
              <w:ind w:left="30"/>
              <w:rPr>
                <w:rFonts w:ascii="仿宋" w:hAnsi="仿宋" w:eastAsia="仿宋" w:cs="仿宋"/>
                <w:sz w:val="18"/>
                <w:szCs w:val="18"/>
              </w:rPr>
            </w:pPr>
            <w:r>
              <w:rPr>
                <w:rFonts w:ascii="仿宋" w:hAnsi="仿宋" w:eastAsia="仿宋" w:cs="仿宋"/>
                <w:spacing w:val="-9"/>
                <w:sz w:val="18"/>
                <w:szCs w:val="18"/>
              </w:rPr>
              <w:t>时间段</w:t>
            </w:r>
          </w:p>
        </w:tc>
        <w:tc>
          <w:tcPr>
            <w:tcW w:w="425" w:type="dxa"/>
            <w:vMerge w:val="restart"/>
            <w:tcBorders>
              <w:top w:val="single" w:color="000000" w:sz="10" w:space="0"/>
              <w:bottom w:val="nil"/>
            </w:tcBorders>
            <w:vAlign w:val="top"/>
          </w:tcPr>
          <w:p w14:paraId="3518954A">
            <w:pPr>
              <w:spacing w:before="144" w:line="223" w:lineRule="auto"/>
              <w:ind w:left="42"/>
              <w:rPr>
                <w:rFonts w:ascii="仿宋" w:hAnsi="仿宋" w:eastAsia="仿宋" w:cs="仿宋"/>
                <w:sz w:val="18"/>
                <w:szCs w:val="18"/>
              </w:rPr>
            </w:pPr>
            <w:r>
              <w:rPr>
                <w:rFonts w:ascii="仿宋" w:hAnsi="仿宋" w:eastAsia="仿宋" w:cs="仿宋"/>
                <w:spacing w:val="-8"/>
                <w:sz w:val="18"/>
                <w:szCs w:val="18"/>
              </w:rPr>
              <w:t>类别</w:t>
            </w:r>
          </w:p>
        </w:tc>
        <w:tc>
          <w:tcPr>
            <w:tcW w:w="1273" w:type="dxa"/>
            <w:gridSpan w:val="2"/>
            <w:tcBorders>
              <w:top w:val="single" w:color="000000" w:sz="10" w:space="0"/>
            </w:tcBorders>
            <w:vAlign w:val="top"/>
          </w:tcPr>
          <w:p w14:paraId="5439D1BA">
            <w:pPr>
              <w:spacing w:before="23" w:line="199" w:lineRule="auto"/>
              <w:ind w:left="372"/>
              <w:rPr>
                <w:rFonts w:ascii="仿宋" w:hAnsi="仿宋" w:eastAsia="仿宋" w:cs="仿宋"/>
                <w:sz w:val="18"/>
                <w:szCs w:val="18"/>
              </w:rPr>
            </w:pPr>
            <w:r>
              <w:rPr>
                <w:rFonts w:ascii="仿宋" w:hAnsi="仿宋" w:eastAsia="仿宋" w:cs="仿宋"/>
                <w:spacing w:val="-4"/>
                <w:sz w:val="18"/>
                <w:szCs w:val="18"/>
              </w:rPr>
              <w:t>标准值</w:t>
            </w:r>
          </w:p>
        </w:tc>
        <w:tc>
          <w:tcPr>
            <w:tcW w:w="991" w:type="dxa"/>
            <w:vMerge w:val="restart"/>
            <w:tcBorders>
              <w:top w:val="single" w:color="000000" w:sz="10" w:space="0"/>
              <w:bottom w:val="nil"/>
            </w:tcBorders>
            <w:vAlign w:val="top"/>
          </w:tcPr>
          <w:p w14:paraId="781844AF">
            <w:pPr>
              <w:spacing w:before="144" w:line="223" w:lineRule="auto"/>
              <w:ind w:left="143"/>
              <w:rPr>
                <w:rFonts w:ascii="仿宋" w:hAnsi="仿宋" w:eastAsia="仿宋" w:cs="仿宋"/>
                <w:sz w:val="18"/>
                <w:szCs w:val="18"/>
              </w:rPr>
            </w:pPr>
            <w:r>
              <w:rPr>
                <w:rFonts w:ascii="仿宋" w:hAnsi="仿宋" w:eastAsia="仿宋" w:cs="仿宋"/>
                <w:spacing w:val="-3"/>
                <w:sz w:val="18"/>
                <w:szCs w:val="18"/>
              </w:rPr>
              <w:t>适用范围</w:t>
            </w:r>
          </w:p>
        </w:tc>
        <w:tc>
          <w:tcPr>
            <w:tcW w:w="849" w:type="dxa"/>
            <w:vMerge w:val="restart"/>
            <w:tcBorders>
              <w:top w:val="single" w:color="000000" w:sz="10" w:space="0"/>
              <w:bottom w:val="nil"/>
            </w:tcBorders>
            <w:vAlign w:val="top"/>
          </w:tcPr>
          <w:p w14:paraId="3E4D67B9">
            <w:pPr>
              <w:spacing w:before="143" w:line="224" w:lineRule="auto"/>
              <w:ind w:left="76"/>
              <w:rPr>
                <w:rFonts w:ascii="仿宋" w:hAnsi="仿宋" w:eastAsia="仿宋" w:cs="仿宋"/>
                <w:sz w:val="18"/>
                <w:szCs w:val="18"/>
              </w:rPr>
            </w:pPr>
            <w:r>
              <w:rPr>
                <w:rFonts w:ascii="仿宋" w:hAnsi="仿宋" w:eastAsia="仿宋" w:cs="仿宋"/>
                <w:spacing w:val="-3"/>
                <w:sz w:val="18"/>
                <w:szCs w:val="18"/>
              </w:rPr>
              <w:t>适用区域</w:t>
            </w:r>
          </w:p>
        </w:tc>
        <w:tc>
          <w:tcPr>
            <w:tcW w:w="2524" w:type="dxa"/>
            <w:vMerge w:val="restart"/>
            <w:tcBorders>
              <w:top w:val="single" w:color="000000" w:sz="10" w:space="0"/>
              <w:bottom w:val="nil"/>
              <w:right w:val="single" w:color="000000" w:sz="6" w:space="0"/>
            </w:tcBorders>
            <w:vAlign w:val="top"/>
          </w:tcPr>
          <w:p w14:paraId="47E817B0">
            <w:pPr>
              <w:spacing w:before="144" w:line="221" w:lineRule="auto"/>
              <w:ind w:left="636"/>
              <w:rPr>
                <w:rFonts w:ascii="仿宋" w:hAnsi="仿宋" w:eastAsia="仿宋" w:cs="仿宋"/>
                <w:sz w:val="18"/>
                <w:szCs w:val="18"/>
              </w:rPr>
            </w:pPr>
            <w:r>
              <w:rPr>
                <w:rFonts w:ascii="仿宋" w:hAnsi="仿宋" w:eastAsia="仿宋" w:cs="仿宋"/>
                <w:spacing w:val="-2"/>
                <w:sz w:val="18"/>
                <w:szCs w:val="18"/>
              </w:rPr>
              <w:t>标准名称及类别</w:t>
            </w:r>
          </w:p>
        </w:tc>
      </w:tr>
      <w:tr w14:paraId="716425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683" w:type="dxa"/>
            <w:vMerge w:val="continue"/>
            <w:tcBorders>
              <w:top w:val="nil"/>
              <w:left w:val="single" w:color="000000" w:sz="6" w:space="0"/>
              <w:bottom w:val="nil"/>
            </w:tcBorders>
            <w:vAlign w:val="top"/>
          </w:tcPr>
          <w:p w14:paraId="7D747BF5">
            <w:pPr>
              <w:rPr>
                <w:rFonts w:ascii="Arial"/>
                <w:sz w:val="21"/>
              </w:rPr>
            </w:pPr>
          </w:p>
        </w:tc>
        <w:tc>
          <w:tcPr>
            <w:tcW w:w="496" w:type="dxa"/>
            <w:vMerge w:val="continue"/>
            <w:tcBorders>
              <w:top w:val="nil"/>
            </w:tcBorders>
            <w:vAlign w:val="top"/>
          </w:tcPr>
          <w:p w14:paraId="768313DF">
            <w:pPr>
              <w:rPr>
                <w:rFonts w:ascii="Arial"/>
                <w:sz w:val="21"/>
              </w:rPr>
            </w:pPr>
          </w:p>
        </w:tc>
        <w:tc>
          <w:tcPr>
            <w:tcW w:w="792" w:type="dxa"/>
            <w:vMerge w:val="continue"/>
            <w:tcBorders>
              <w:top w:val="nil"/>
            </w:tcBorders>
            <w:vAlign w:val="top"/>
          </w:tcPr>
          <w:p w14:paraId="22CF3809">
            <w:pPr>
              <w:rPr>
                <w:rFonts w:ascii="Arial"/>
                <w:sz w:val="21"/>
              </w:rPr>
            </w:pPr>
          </w:p>
        </w:tc>
        <w:tc>
          <w:tcPr>
            <w:tcW w:w="566" w:type="dxa"/>
            <w:vMerge w:val="continue"/>
            <w:tcBorders>
              <w:top w:val="nil"/>
            </w:tcBorders>
            <w:vAlign w:val="top"/>
          </w:tcPr>
          <w:p w14:paraId="256E54CC">
            <w:pPr>
              <w:rPr>
                <w:rFonts w:ascii="Arial"/>
                <w:sz w:val="21"/>
              </w:rPr>
            </w:pPr>
          </w:p>
        </w:tc>
        <w:tc>
          <w:tcPr>
            <w:tcW w:w="425" w:type="dxa"/>
            <w:vMerge w:val="continue"/>
            <w:tcBorders>
              <w:top w:val="nil"/>
            </w:tcBorders>
            <w:vAlign w:val="top"/>
          </w:tcPr>
          <w:p w14:paraId="5F82BA50">
            <w:pPr>
              <w:rPr>
                <w:rFonts w:ascii="Arial"/>
                <w:sz w:val="21"/>
              </w:rPr>
            </w:pPr>
          </w:p>
        </w:tc>
        <w:tc>
          <w:tcPr>
            <w:tcW w:w="566" w:type="dxa"/>
            <w:vAlign w:val="top"/>
          </w:tcPr>
          <w:p w14:paraId="23FB392A">
            <w:pPr>
              <w:spacing w:before="35" w:line="198" w:lineRule="auto"/>
              <w:ind w:left="109"/>
              <w:rPr>
                <w:rFonts w:ascii="仿宋" w:hAnsi="仿宋" w:eastAsia="仿宋" w:cs="仿宋"/>
                <w:sz w:val="18"/>
                <w:szCs w:val="18"/>
              </w:rPr>
            </w:pPr>
            <w:r>
              <w:rPr>
                <w:rFonts w:ascii="仿宋" w:hAnsi="仿宋" w:eastAsia="仿宋" w:cs="仿宋"/>
                <w:spacing w:val="-6"/>
                <w:sz w:val="18"/>
                <w:szCs w:val="18"/>
              </w:rPr>
              <w:t>昼间</w:t>
            </w:r>
          </w:p>
        </w:tc>
        <w:tc>
          <w:tcPr>
            <w:tcW w:w="707" w:type="dxa"/>
            <w:vAlign w:val="top"/>
          </w:tcPr>
          <w:p w14:paraId="22EAC11B">
            <w:pPr>
              <w:spacing w:before="35" w:line="198" w:lineRule="auto"/>
              <w:ind w:left="181"/>
              <w:rPr>
                <w:rFonts w:ascii="仿宋" w:hAnsi="仿宋" w:eastAsia="仿宋" w:cs="仿宋"/>
                <w:sz w:val="18"/>
                <w:szCs w:val="18"/>
              </w:rPr>
            </w:pPr>
            <w:r>
              <w:rPr>
                <w:rFonts w:ascii="仿宋" w:hAnsi="仿宋" w:eastAsia="仿宋" w:cs="仿宋"/>
                <w:spacing w:val="-6"/>
                <w:sz w:val="18"/>
                <w:szCs w:val="18"/>
              </w:rPr>
              <w:t>夜间</w:t>
            </w:r>
          </w:p>
        </w:tc>
        <w:tc>
          <w:tcPr>
            <w:tcW w:w="991" w:type="dxa"/>
            <w:vMerge w:val="continue"/>
            <w:tcBorders>
              <w:top w:val="nil"/>
            </w:tcBorders>
            <w:vAlign w:val="top"/>
          </w:tcPr>
          <w:p w14:paraId="661F4AF0">
            <w:pPr>
              <w:rPr>
                <w:rFonts w:ascii="Arial"/>
                <w:sz w:val="21"/>
              </w:rPr>
            </w:pPr>
          </w:p>
        </w:tc>
        <w:tc>
          <w:tcPr>
            <w:tcW w:w="849" w:type="dxa"/>
            <w:vMerge w:val="continue"/>
            <w:tcBorders>
              <w:top w:val="nil"/>
            </w:tcBorders>
            <w:vAlign w:val="top"/>
          </w:tcPr>
          <w:p w14:paraId="0D702860">
            <w:pPr>
              <w:rPr>
                <w:rFonts w:ascii="Arial"/>
                <w:sz w:val="21"/>
              </w:rPr>
            </w:pPr>
          </w:p>
        </w:tc>
        <w:tc>
          <w:tcPr>
            <w:tcW w:w="2524" w:type="dxa"/>
            <w:vMerge w:val="continue"/>
            <w:tcBorders>
              <w:top w:val="nil"/>
              <w:right w:val="single" w:color="000000" w:sz="6" w:space="0"/>
            </w:tcBorders>
            <w:vAlign w:val="top"/>
          </w:tcPr>
          <w:p w14:paraId="2DA76DB9">
            <w:pPr>
              <w:rPr>
                <w:rFonts w:ascii="Arial"/>
                <w:sz w:val="21"/>
              </w:rPr>
            </w:pPr>
          </w:p>
        </w:tc>
      </w:tr>
      <w:tr w14:paraId="3A1B34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683" w:type="dxa"/>
            <w:vMerge w:val="continue"/>
            <w:tcBorders>
              <w:top w:val="nil"/>
              <w:left w:val="single" w:color="000000" w:sz="6" w:space="0"/>
              <w:bottom w:val="nil"/>
            </w:tcBorders>
            <w:vAlign w:val="top"/>
          </w:tcPr>
          <w:p w14:paraId="720983C3">
            <w:pPr>
              <w:rPr>
                <w:rFonts w:ascii="Arial"/>
                <w:sz w:val="21"/>
              </w:rPr>
            </w:pPr>
          </w:p>
        </w:tc>
        <w:tc>
          <w:tcPr>
            <w:tcW w:w="496" w:type="dxa"/>
            <w:tcBorders>
              <w:bottom w:val="single" w:color="000000" w:sz="10" w:space="0"/>
            </w:tcBorders>
            <w:vAlign w:val="top"/>
          </w:tcPr>
          <w:p w14:paraId="3B9AE012">
            <w:pPr>
              <w:spacing w:before="149" w:line="222" w:lineRule="auto"/>
              <w:ind w:left="82"/>
              <w:rPr>
                <w:rFonts w:ascii="仿宋" w:hAnsi="仿宋" w:eastAsia="仿宋" w:cs="仿宋"/>
                <w:sz w:val="18"/>
                <w:szCs w:val="18"/>
              </w:rPr>
            </w:pPr>
            <w:r>
              <w:rPr>
                <w:rFonts w:ascii="仿宋" w:hAnsi="仿宋" w:eastAsia="仿宋" w:cs="仿宋"/>
                <w:spacing w:val="-10"/>
                <w:sz w:val="18"/>
                <w:szCs w:val="18"/>
              </w:rPr>
              <w:t>噪声</w:t>
            </w:r>
          </w:p>
        </w:tc>
        <w:tc>
          <w:tcPr>
            <w:tcW w:w="792" w:type="dxa"/>
            <w:tcBorders>
              <w:bottom w:val="single" w:color="000000" w:sz="10" w:space="0"/>
            </w:tcBorders>
            <w:vAlign w:val="top"/>
          </w:tcPr>
          <w:p w14:paraId="1A8DCBB4">
            <w:pPr>
              <w:pStyle w:val="6"/>
              <w:spacing w:before="34" w:line="224" w:lineRule="auto"/>
              <w:ind w:left="144" w:right="39" w:hanging="98"/>
              <w:rPr>
                <w:rFonts w:ascii="仿宋" w:hAnsi="仿宋" w:eastAsia="仿宋" w:cs="仿宋"/>
              </w:rPr>
            </w:pPr>
            <w:r>
              <w:rPr>
                <w:rFonts w:ascii="仿宋" w:hAnsi="仿宋" w:eastAsia="仿宋" w:cs="仿宋"/>
                <w:spacing w:val="-5"/>
              </w:rPr>
              <w:t>等效连续</w:t>
            </w:r>
            <w:r>
              <w:rPr>
                <w:spacing w:val="-1"/>
              </w:rPr>
              <w:t>A</w:t>
            </w:r>
            <w:r>
              <w:rPr>
                <w:rFonts w:ascii="仿宋" w:hAnsi="仿宋" w:eastAsia="仿宋" w:cs="仿宋"/>
                <w:spacing w:val="-1"/>
              </w:rPr>
              <w:t>声级</w:t>
            </w:r>
          </w:p>
        </w:tc>
        <w:tc>
          <w:tcPr>
            <w:tcW w:w="566" w:type="dxa"/>
            <w:tcBorders>
              <w:bottom w:val="single" w:color="000000" w:sz="10" w:space="0"/>
            </w:tcBorders>
            <w:vAlign w:val="top"/>
          </w:tcPr>
          <w:p w14:paraId="2A8B1B87">
            <w:pPr>
              <w:spacing w:before="149" w:line="223" w:lineRule="auto"/>
              <w:ind w:left="17"/>
              <w:rPr>
                <w:rFonts w:ascii="仿宋" w:hAnsi="仿宋" w:eastAsia="仿宋" w:cs="仿宋"/>
                <w:sz w:val="18"/>
                <w:szCs w:val="18"/>
              </w:rPr>
            </w:pPr>
            <w:r>
              <w:rPr>
                <w:rFonts w:ascii="仿宋" w:hAnsi="仿宋" w:eastAsia="仿宋" w:cs="仿宋"/>
                <w:spacing w:val="-4"/>
                <w:sz w:val="18"/>
                <w:szCs w:val="18"/>
              </w:rPr>
              <w:t>施工期</w:t>
            </w:r>
          </w:p>
        </w:tc>
        <w:tc>
          <w:tcPr>
            <w:tcW w:w="425" w:type="dxa"/>
            <w:tcBorders>
              <w:bottom w:val="single" w:color="000000" w:sz="10" w:space="0"/>
            </w:tcBorders>
            <w:vAlign w:val="top"/>
          </w:tcPr>
          <w:p w14:paraId="2D8BD009">
            <w:pPr>
              <w:pStyle w:val="6"/>
              <w:spacing w:before="177" w:line="192" w:lineRule="auto"/>
              <w:ind w:left="181"/>
            </w:pPr>
            <w:r>
              <w:t>/</w:t>
            </w:r>
          </w:p>
        </w:tc>
        <w:tc>
          <w:tcPr>
            <w:tcW w:w="566" w:type="dxa"/>
            <w:tcBorders>
              <w:bottom w:val="single" w:color="000000" w:sz="10" w:space="0"/>
            </w:tcBorders>
            <w:vAlign w:val="top"/>
          </w:tcPr>
          <w:p w14:paraId="73B32123">
            <w:pPr>
              <w:pStyle w:val="6"/>
              <w:spacing w:before="180" w:line="188" w:lineRule="auto"/>
              <w:ind w:left="195"/>
            </w:pPr>
            <w:r>
              <w:rPr>
                <w:spacing w:val="-3"/>
              </w:rPr>
              <w:t>70</w:t>
            </w:r>
          </w:p>
        </w:tc>
        <w:tc>
          <w:tcPr>
            <w:tcW w:w="707" w:type="dxa"/>
            <w:tcBorders>
              <w:bottom w:val="single" w:color="000000" w:sz="10" w:space="0"/>
            </w:tcBorders>
            <w:vAlign w:val="top"/>
          </w:tcPr>
          <w:p w14:paraId="231CA5C4">
            <w:pPr>
              <w:pStyle w:val="6"/>
              <w:spacing w:before="183" w:line="185" w:lineRule="auto"/>
              <w:ind w:left="269"/>
            </w:pPr>
            <w:r>
              <w:rPr>
                <w:spacing w:val="-4"/>
              </w:rPr>
              <w:t>55</w:t>
            </w:r>
          </w:p>
        </w:tc>
        <w:tc>
          <w:tcPr>
            <w:tcW w:w="991" w:type="dxa"/>
            <w:tcBorders>
              <w:bottom w:val="single" w:color="000000" w:sz="10" w:space="0"/>
            </w:tcBorders>
            <w:vAlign w:val="top"/>
          </w:tcPr>
          <w:p w14:paraId="45D3105C">
            <w:pPr>
              <w:spacing w:before="149" w:line="222" w:lineRule="auto"/>
              <w:ind w:left="148"/>
              <w:rPr>
                <w:rFonts w:ascii="仿宋" w:hAnsi="仿宋" w:eastAsia="仿宋" w:cs="仿宋"/>
                <w:sz w:val="18"/>
                <w:szCs w:val="18"/>
              </w:rPr>
            </w:pPr>
            <w:r>
              <w:rPr>
                <w:rFonts w:ascii="仿宋" w:hAnsi="仿宋" w:eastAsia="仿宋" w:cs="仿宋"/>
                <w:spacing w:val="-5"/>
                <w:sz w:val="18"/>
                <w:szCs w:val="18"/>
              </w:rPr>
              <w:t>全部范围</w:t>
            </w:r>
          </w:p>
        </w:tc>
        <w:tc>
          <w:tcPr>
            <w:tcW w:w="849" w:type="dxa"/>
            <w:tcBorders>
              <w:bottom w:val="single" w:color="000000" w:sz="10" w:space="0"/>
            </w:tcBorders>
            <w:vAlign w:val="top"/>
          </w:tcPr>
          <w:p w14:paraId="0E21EFDA">
            <w:pPr>
              <w:spacing w:before="149" w:line="222" w:lineRule="auto"/>
              <w:ind w:left="81"/>
              <w:rPr>
                <w:rFonts w:ascii="仿宋" w:hAnsi="仿宋" w:eastAsia="仿宋" w:cs="仿宋"/>
                <w:sz w:val="18"/>
                <w:szCs w:val="18"/>
              </w:rPr>
            </w:pPr>
            <w:r>
              <w:rPr>
                <w:rFonts w:ascii="仿宋" w:hAnsi="仿宋" w:eastAsia="仿宋" w:cs="仿宋"/>
                <w:spacing w:val="-5"/>
                <w:sz w:val="18"/>
                <w:szCs w:val="18"/>
              </w:rPr>
              <w:t>全部道路</w:t>
            </w:r>
          </w:p>
        </w:tc>
        <w:tc>
          <w:tcPr>
            <w:tcW w:w="2524" w:type="dxa"/>
            <w:tcBorders>
              <w:bottom w:val="single" w:color="000000" w:sz="10" w:space="0"/>
              <w:right w:val="single" w:color="000000" w:sz="6" w:space="0"/>
            </w:tcBorders>
            <w:vAlign w:val="top"/>
          </w:tcPr>
          <w:p w14:paraId="08A387D8">
            <w:pPr>
              <w:spacing w:before="34" w:line="222" w:lineRule="auto"/>
              <w:ind w:left="189"/>
              <w:rPr>
                <w:rFonts w:ascii="仿宋" w:hAnsi="仿宋" w:eastAsia="仿宋" w:cs="仿宋"/>
                <w:sz w:val="18"/>
                <w:szCs w:val="18"/>
              </w:rPr>
            </w:pPr>
            <w:r>
              <w:rPr>
                <w:rFonts w:ascii="仿宋" w:hAnsi="仿宋" w:eastAsia="仿宋" w:cs="仿宋"/>
                <w:spacing w:val="-2"/>
                <w:sz w:val="18"/>
                <w:szCs w:val="18"/>
              </w:rPr>
              <w:t>《建筑施工噪声排放标准》</w:t>
            </w:r>
          </w:p>
          <w:p w14:paraId="730AFEEE">
            <w:pPr>
              <w:pStyle w:val="6"/>
              <w:spacing w:before="16" w:line="209" w:lineRule="auto"/>
              <w:ind w:left="534"/>
              <w:rPr>
                <w:rFonts w:ascii="仿宋" w:hAnsi="仿宋" w:eastAsia="仿宋" w:cs="仿宋"/>
              </w:rPr>
            </w:pPr>
            <w:r>
              <w:rPr>
                <w:rFonts w:ascii="仿宋" w:hAnsi="仿宋" w:eastAsia="仿宋" w:cs="仿宋"/>
                <w:spacing w:val="-2"/>
              </w:rPr>
              <w:t>（</w:t>
            </w:r>
            <w:r>
              <w:rPr>
                <w:spacing w:val="-2"/>
              </w:rPr>
              <w:t>GB12523-2025</w:t>
            </w:r>
            <w:r>
              <w:rPr>
                <w:rFonts w:ascii="仿宋" w:hAnsi="仿宋" w:eastAsia="仿宋" w:cs="仿宋"/>
                <w:spacing w:val="-2"/>
              </w:rPr>
              <w:t>）</w:t>
            </w:r>
          </w:p>
        </w:tc>
      </w:tr>
      <w:tr w14:paraId="4AE12A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20" w:hRule="atLeast"/>
        </w:trPr>
        <w:tc>
          <w:tcPr>
            <w:tcW w:w="683" w:type="dxa"/>
            <w:vMerge w:val="continue"/>
            <w:tcBorders>
              <w:top w:val="nil"/>
              <w:left w:val="single" w:color="000000" w:sz="6" w:space="0"/>
            </w:tcBorders>
            <w:vAlign w:val="top"/>
          </w:tcPr>
          <w:p w14:paraId="3DFE8EAB">
            <w:pPr>
              <w:rPr>
                <w:rFonts w:ascii="Arial"/>
                <w:sz w:val="21"/>
              </w:rPr>
            </w:pPr>
          </w:p>
        </w:tc>
        <w:tc>
          <w:tcPr>
            <w:tcW w:w="7916" w:type="dxa"/>
            <w:gridSpan w:val="9"/>
            <w:tcBorders>
              <w:top w:val="single" w:color="000000" w:sz="10" w:space="0"/>
              <w:right w:val="single" w:color="000000" w:sz="6" w:space="0"/>
            </w:tcBorders>
            <w:vAlign w:val="top"/>
          </w:tcPr>
          <w:p w14:paraId="209FCF88">
            <w:pPr>
              <w:pStyle w:val="6"/>
              <w:spacing w:before="28" w:line="232" w:lineRule="auto"/>
              <w:ind w:left="522"/>
              <w:outlineLvl w:val="0"/>
              <w:rPr>
                <w:rFonts w:ascii="仿宋" w:hAnsi="仿宋" w:eastAsia="仿宋" w:cs="仿宋"/>
                <w:sz w:val="20"/>
                <w:szCs w:val="20"/>
              </w:rPr>
            </w:pPr>
            <w:r>
              <w:rPr>
                <w:b/>
                <w:bCs/>
                <w:spacing w:val="-1"/>
                <w:sz w:val="20"/>
                <w:szCs w:val="20"/>
              </w:rPr>
              <w:t>3</w:t>
            </w:r>
            <w:r>
              <w:rPr>
                <w:b/>
                <w:bCs/>
                <w:spacing w:val="-20"/>
                <w:sz w:val="20"/>
                <w:szCs w:val="20"/>
              </w:rPr>
              <w:t xml:space="preserve"> </w:t>
            </w:r>
            <w:r>
              <w:rPr>
                <w:rFonts w:ascii="仿宋" w:hAnsi="仿宋" w:eastAsia="仿宋" w:cs="仿宋"/>
                <w:b/>
                <w:bCs/>
                <w:spacing w:val="-1"/>
                <w:sz w:val="20"/>
                <w:szCs w:val="20"/>
              </w:rPr>
              <w:t>、废水</w:t>
            </w:r>
          </w:p>
          <w:p w14:paraId="1CC8EEF7">
            <w:pPr>
              <w:spacing w:before="158" w:line="377" w:lineRule="auto"/>
              <w:ind w:left="116" w:right="102" w:firstLine="416"/>
              <w:rPr>
                <w:rFonts w:ascii="仿宋" w:hAnsi="仿宋" w:eastAsia="仿宋" w:cs="仿宋"/>
                <w:sz w:val="20"/>
                <w:szCs w:val="20"/>
              </w:rPr>
            </w:pPr>
            <w:r>
              <w:rPr>
                <w:rFonts w:ascii="仿宋" w:hAnsi="仿宋" w:eastAsia="仿宋" w:cs="仿宋"/>
                <w:spacing w:val="8"/>
                <w:sz w:val="20"/>
                <w:szCs w:val="20"/>
              </w:rPr>
              <w:t>施工期不产生施工废水，施工人员生活依托附近租住村</w:t>
            </w:r>
            <w:r>
              <w:rPr>
                <w:rFonts w:ascii="仿宋" w:hAnsi="仿宋" w:eastAsia="仿宋" w:cs="仿宋"/>
                <w:spacing w:val="7"/>
                <w:sz w:val="20"/>
                <w:szCs w:val="20"/>
              </w:rPr>
              <w:t>庄，施工生活废水依托村</w:t>
            </w:r>
            <w:r>
              <w:rPr>
                <w:rFonts w:ascii="仿宋" w:hAnsi="仿宋" w:eastAsia="仿宋" w:cs="仿宋"/>
                <w:spacing w:val="9"/>
                <w:sz w:val="20"/>
                <w:szCs w:val="20"/>
              </w:rPr>
              <w:t>庄现有卫生处理设施。本项目不设集中式服务区，运营期废水主要为路面径流。</w:t>
            </w:r>
          </w:p>
        </w:tc>
      </w:tr>
      <w:tr w14:paraId="351C5E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3" w:hRule="atLeast"/>
        </w:trPr>
        <w:tc>
          <w:tcPr>
            <w:tcW w:w="683" w:type="dxa"/>
            <w:tcBorders>
              <w:left w:val="single" w:color="000000" w:sz="6" w:space="0"/>
              <w:bottom w:val="single" w:color="000000" w:sz="6" w:space="0"/>
            </w:tcBorders>
            <w:vAlign w:val="top"/>
          </w:tcPr>
          <w:p w14:paraId="0629A3CC">
            <w:pPr>
              <w:spacing w:line="284" w:lineRule="auto"/>
              <w:rPr>
                <w:rFonts w:ascii="Arial"/>
                <w:sz w:val="21"/>
              </w:rPr>
            </w:pPr>
          </w:p>
          <w:p w14:paraId="376DEFFB">
            <w:pPr>
              <w:spacing w:before="65" w:line="230" w:lineRule="auto"/>
              <w:ind w:left="137"/>
              <w:rPr>
                <w:rFonts w:ascii="仿宋" w:hAnsi="仿宋" w:eastAsia="仿宋" w:cs="仿宋"/>
                <w:sz w:val="20"/>
                <w:szCs w:val="20"/>
              </w:rPr>
            </w:pPr>
            <w:r>
              <w:rPr>
                <w:rFonts w:ascii="仿宋" w:hAnsi="仿宋" w:eastAsia="仿宋" w:cs="仿宋"/>
                <w:spacing w:val="1"/>
                <w:sz w:val="20"/>
                <w:szCs w:val="20"/>
              </w:rPr>
              <w:t>其他</w:t>
            </w:r>
          </w:p>
        </w:tc>
        <w:tc>
          <w:tcPr>
            <w:tcW w:w="7916" w:type="dxa"/>
            <w:gridSpan w:val="9"/>
            <w:tcBorders>
              <w:bottom w:val="single" w:color="000000" w:sz="6" w:space="0"/>
              <w:right w:val="single" w:color="000000" w:sz="6" w:space="0"/>
            </w:tcBorders>
            <w:vAlign w:val="top"/>
          </w:tcPr>
          <w:p w14:paraId="1714B9EF">
            <w:pPr>
              <w:spacing w:line="277" w:lineRule="auto"/>
              <w:rPr>
                <w:rFonts w:ascii="Arial"/>
                <w:sz w:val="21"/>
              </w:rPr>
            </w:pPr>
          </w:p>
          <w:p w14:paraId="2D64ACB9">
            <w:pPr>
              <w:spacing w:before="65" w:line="234" w:lineRule="auto"/>
              <w:ind w:left="4072"/>
              <w:rPr>
                <w:rFonts w:ascii="仿宋" w:hAnsi="仿宋" w:eastAsia="仿宋" w:cs="仿宋"/>
                <w:sz w:val="20"/>
                <w:szCs w:val="20"/>
              </w:rPr>
            </w:pPr>
            <w:r>
              <w:rPr>
                <w:rFonts w:ascii="仿宋" w:hAnsi="仿宋" w:eastAsia="仿宋" w:cs="仿宋"/>
                <w:sz w:val="20"/>
                <w:szCs w:val="20"/>
              </w:rPr>
              <w:t>无</w:t>
            </w:r>
          </w:p>
        </w:tc>
      </w:tr>
    </w:tbl>
    <w:p w14:paraId="65DFC674">
      <w:pPr>
        <w:pStyle w:val="2"/>
        <w:rPr>
          <w:sz w:val="21"/>
        </w:rPr>
      </w:pPr>
    </w:p>
    <w:p w14:paraId="52190A77">
      <w:pPr>
        <w:rPr>
          <w:sz w:val="21"/>
          <w:szCs w:val="21"/>
        </w:rPr>
        <w:sectPr>
          <w:footerReference r:id="rId55" w:type="default"/>
          <w:pgSz w:w="11907" w:h="16840"/>
          <w:pgMar w:top="400" w:right="1646" w:bottom="1446" w:left="1646" w:header="0" w:footer="1284" w:gutter="0"/>
          <w:cols w:space="720" w:num="1"/>
        </w:sectPr>
      </w:pPr>
    </w:p>
    <w:p w14:paraId="22AECA61">
      <w:pPr>
        <w:pStyle w:val="2"/>
        <w:spacing w:line="245" w:lineRule="auto"/>
        <w:rPr>
          <w:sz w:val="21"/>
        </w:rPr>
      </w:pPr>
    </w:p>
    <w:p w14:paraId="579059D1">
      <w:pPr>
        <w:pStyle w:val="2"/>
        <w:spacing w:line="245" w:lineRule="auto"/>
        <w:rPr>
          <w:sz w:val="21"/>
        </w:rPr>
      </w:pPr>
    </w:p>
    <w:p w14:paraId="7B93266E">
      <w:pPr>
        <w:pStyle w:val="2"/>
        <w:spacing w:line="245" w:lineRule="auto"/>
        <w:rPr>
          <w:sz w:val="21"/>
        </w:rPr>
      </w:pPr>
    </w:p>
    <w:p w14:paraId="2ECA53BB">
      <w:pPr>
        <w:pStyle w:val="2"/>
        <w:spacing w:line="246" w:lineRule="auto"/>
        <w:rPr>
          <w:sz w:val="21"/>
        </w:rPr>
      </w:pPr>
    </w:p>
    <w:p w14:paraId="28F62E5B">
      <w:pPr>
        <w:spacing w:before="97" w:line="222" w:lineRule="auto"/>
        <w:ind w:left="3199"/>
        <w:outlineLvl w:val="0"/>
        <w:rPr>
          <w:rFonts w:ascii="黑体" w:hAnsi="黑体" w:eastAsia="黑体" w:cs="黑体"/>
          <w:sz w:val="30"/>
          <w:szCs w:val="30"/>
        </w:rPr>
      </w:pPr>
      <w:r>
        <w:rPr>
          <w:rFonts w:ascii="黑体" w:hAnsi="黑体" w:eastAsia="黑体" w:cs="黑体"/>
          <w:spacing w:val="-3"/>
          <w:sz w:val="30"/>
          <w:szCs w:val="30"/>
        </w:rPr>
        <w:t>四、生态环境影响分析</w:t>
      </w:r>
    </w:p>
    <w:p w14:paraId="4304042C">
      <w:pPr>
        <w:spacing w:line="178" w:lineRule="exact"/>
      </w:pPr>
    </w:p>
    <w:tbl>
      <w:tblPr>
        <w:tblStyle w:val="5"/>
        <w:tblW w:w="869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68"/>
        <w:gridCol w:w="8027"/>
      </w:tblGrid>
      <w:tr w14:paraId="67BF2D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079" w:hRule="atLeast"/>
        </w:trPr>
        <w:tc>
          <w:tcPr>
            <w:tcW w:w="668" w:type="dxa"/>
            <w:tcBorders>
              <w:right w:val="single" w:color="000000" w:sz="2" w:space="0"/>
            </w:tcBorders>
            <w:vAlign w:val="top"/>
          </w:tcPr>
          <w:p w14:paraId="325A4AC9">
            <w:pPr>
              <w:spacing w:line="245" w:lineRule="auto"/>
              <w:rPr>
                <w:rFonts w:ascii="Arial"/>
                <w:sz w:val="21"/>
              </w:rPr>
            </w:pPr>
          </w:p>
          <w:p w14:paraId="0179264A">
            <w:pPr>
              <w:spacing w:line="245" w:lineRule="auto"/>
              <w:rPr>
                <w:rFonts w:ascii="Arial"/>
                <w:sz w:val="21"/>
              </w:rPr>
            </w:pPr>
          </w:p>
          <w:p w14:paraId="26B37945">
            <w:pPr>
              <w:spacing w:line="245" w:lineRule="auto"/>
              <w:rPr>
                <w:rFonts w:ascii="Arial"/>
                <w:sz w:val="21"/>
              </w:rPr>
            </w:pPr>
          </w:p>
          <w:p w14:paraId="56E59CD9">
            <w:pPr>
              <w:spacing w:line="245" w:lineRule="auto"/>
              <w:rPr>
                <w:rFonts w:ascii="Arial"/>
                <w:sz w:val="21"/>
              </w:rPr>
            </w:pPr>
          </w:p>
          <w:p w14:paraId="2561A854">
            <w:pPr>
              <w:spacing w:line="246" w:lineRule="auto"/>
              <w:rPr>
                <w:rFonts w:ascii="Arial"/>
                <w:sz w:val="21"/>
              </w:rPr>
            </w:pPr>
          </w:p>
          <w:p w14:paraId="0C3B6F00">
            <w:pPr>
              <w:spacing w:line="246" w:lineRule="auto"/>
              <w:rPr>
                <w:rFonts w:ascii="Arial"/>
                <w:sz w:val="21"/>
              </w:rPr>
            </w:pPr>
          </w:p>
          <w:p w14:paraId="2B14D2F1">
            <w:pPr>
              <w:spacing w:line="246" w:lineRule="auto"/>
              <w:rPr>
                <w:rFonts w:ascii="Arial"/>
                <w:sz w:val="21"/>
              </w:rPr>
            </w:pPr>
          </w:p>
          <w:p w14:paraId="1868B1D6">
            <w:pPr>
              <w:spacing w:line="246" w:lineRule="auto"/>
              <w:rPr>
                <w:rFonts w:ascii="Arial"/>
                <w:sz w:val="21"/>
              </w:rPr>
            </w:pPr>
          </w:p>
          <w:p w14:paraId="1316355E">
            <w:pPr>
              <w:spacing w:line="246" w:lineRule="auto"/>
              <w:rPr>
                <w:rFonts w:ascii="Arial"/>
                <w:sz w:val="21"/>
              </w:rPr>
            </w:pPr>
          </w:p>
          <w:p w14:paraId="2946BC5A">
            <w:pPr>
              <w:spacing w:line="246" w:lineRule="auto"/>
              <w:rPr>
                <w:rFonts w:ascii="Arial"/>
                <w:sz w:val="21"/>
              </w:rPr>
            </w:pPr>
          </w:p>
          <w:p w14:paraId="1F53818D">
            <w:pPr>
              <w:spacing w:line="246" w:lineRule="auto"/>
              <w:rPr>
                <w:rFonts w:ascii="Arial"/>
                <w:sz w:val="21"/>
              </w:rPr>
            </w:pPr>
          </w:p>
          <w:p w14:paraId="6F2E4046">
            <w:pPr>
              <w:spacing w:line="246" w:lineRule="auto"/>
              <w:rPr>
                <w:rFonts w:ascii="Arial"/>
                <w:sz w:val="21"/>
              </w:rPr>
            </w:pPr>
          </w:p>
          <w:p w14:paraId="25DCED54">
            <w:pPr>
              <w:spacing w:line="246" w:lineRule="auto"/>
              <w:rPr>
                <w:rFonts w:ascii="Arial"/>
                <w:sz w:val="21"/>
              </w:rPr>
            </w:pPr>
          </w:p>
          <w:p w14:paraId="3A119502">
            <w:pPr>
              <w:spacing w:line="246" w:lineRule="auto"/>
              <w:rPr>
                <w:rFonts w:ascii="Arial"/>
                <w:sz w:val="21"/>
              </w:rPr>
            </w:pPr>
          </w:p>
          <w:p w14:paraId="5AFE9156">
            <w:pPr>
              <w:spacing w:line="246" w:lineRule="auto"/>
              <w:rPr>
                <w:rFonts w:ascii="Arial"/>
                <w:sz w:val="21"/>
              </w:rPr>
            </w:pPr>
          </w:p>
          <w:p w14:paraId="405891F2">
            <w:pPr>
              <w:spacing w:line="246" w:lineRule="auto"/>
              <w:rPr>
                <w:rFonts w:ascii="Arial"/>
                <w:sz w:val="21"/>
              </w:rPr>
            </w:pPr>
          </w:p>
          <w:p w14:paraId="33FBCD82">
            <w:pPr>
              <w:spacing w:line="246" w:lineRule="auto"/>
              <w:rPr>
                <w:rFonts w:ascii="Arial"/>
                <w:sz w:val="21"/>
              </w:rPr>
            </w:pPr>
          </w:p>
          <w:p w14:paraId="4E2F9FC3">
            <w:pPr>
              <w:spacing w:line="246" w:lineRule="auto"/>
              <w:rPr>
                <w:rFonts w:ascii="Arial"/>
                <w:sz w:val="21"/>
              </w:rPr>
            </w:pPr>
          </w:p>
          <w:p w14:paraId="1FE8BD9D">
            <w:pPr>
              <w:spacing w:line="246" w:lineRule="auto"/>
              <w:rPr>
                <w:rFonts w:ascii="Arial"/>
                <w:sz w:val="21"/>
              </w:rPr>
            </w:pPr>
          </w:p>
          <w:p w14:paraId="685DD044">
            <w:pPr>
              <w:spacing w:line="246" w:lineRule="auto"/>
              <w:rPr>
                <w:rFonts w:ascii="Arial"/>
                <w:sz w:val="21"/>
              </w:rPr>
            </w:pPr>
          </w:p>
          <w:p w14:paraId="1FF6FEDF">
            <w:pPr>
              <w:spacing w:line="246" w:lineRule="auto"/>
              <w:rPr>
                <w:rFonts w:ascii="Arial"/>
                <w:sz w:val="21"/>
              </w:rPr>
            </w:pPr>
          </w:p>
          <w:p w14:paraId="23F3C5F6">
            <w:pPr>
              <w:spacing w:line="246" w:lineRule="auto"/>
              <w:rPr>
                <w:rFonts w:ascii="Arial"/>
                <w:sz w:val="21"/>
              </w:rPr>
            </w:pPr>
          </w:p>
          <w:p w14:paraId="709E6337">
            <w:pPr>
              <w:spacing w:line="246" w:lineRule="auto"/>
              <w:rPr>
                <w:rFonts w:ascii="Arial"/>
                <w:sz w:val="21"/>
              </w:rPr>
            </w:pPr>
          </w:p>
          <w:p w14:paraId="1C34D263">
            <w:pPr>
              <w:spacing w:before="65" w:line="251" w:lineRule="auto"/>
              <w:ind w:left="108" w:right="123"/>
              <w:jc w:val="both"/>
              <w:rPr>
                <w:rFonts w:ascii="仿宋" w:hAnsi="仿宋" w:eastAsia="仿宋" w:cs="仿宋"/>
                <w:sz w:val="20"/>
                <w:szCs w:val="20"/>
              </w:rPr>
            </w:pPr>
            <w:r>
              <w:rPr>
                <w:rFonts w:ascii="仿宋" w:hAnsi="仿宋" w:eastAsia="仿宋" w:cs="仿宋"/>
                <w:spacing w:val="13"/>
                <w:sz w:val="20"/>
                <w:szCs w:val="20"/>
              </w:rPr>
              <w:t>施工</w:t>
            </w:r>
            <w:r>
              <w:rPr>
                <w:rFonts w:ascii="仿宋" w:hAnsi="仿宋" w:eastAsia="仿宋" w:cs="仿宋"/>
                <w:spacing w:val="12"/>
                <w:sz w:val="20"/>
                <w:szCs w:val="20"/>
              </w:rPr>
              <w:t>期生态环境影响分</w:t>
            </w:r>
            <w:r>
              <w:rPr>
                <w:rFonts w:ascii="仿宋" w:hAnsi="仿宋" w:eastAsia="仿宋" w:cs="仿宋"/>
                <w:spacing w:val="50"/>
                <w:w w:val="130"/>
                <w:sz w:val="20"/>
                <w:szCs w:val="20"/>
              </w:rPr>
              <w:t>析</w:t>
            </w:r>
          </w:p>
        </w:tc>
        <w:tc>
          <w:tcPr>
            <w:tcW w:w="8027" w:type="dxa"/>
            <w:tcBorders>
              <w:left w:val="single" w:color="000000" w:sz="2" w:space="0"/>
            </w:tcBorders>
            <w:vAlign w:val="top"/>
          </w:tcPr>
          <w:p w14:paraId="7C5C5CB5">
            <w:pPr>
              <w:pStyle w:val="6"/>
              <w:spacing w:before="36" w:line="376" w:lineRule="auto"/>
              <w:ind w:left="115" w:right="105" w:firstLine="418"/>
              <w:rPr>
                <w:rFonts w:ascii="仿宋" w:hAnsi="仿宋" w:eastAsia="仿宋" w:cs="仿宋"/>
                <w:sz w:val="20"/>
                <w:szCs w:val="20"/>
              </w:rPr>
            </w:pPr>
            <w:r>
              <w:rPr>
                <w:rFonts w:ascii="仿宋" w:hAnsi="仿宋" w:eastAsia="仿宋" w:cs="仿宋"/>
                <w:spacing w:val="6"/>
                <w:sz w:val="20"/>
                <w:szCs w:val="20"/>
              </w:rPr>
              <w:t>本项目施工期为</w:t>
            </w:r>
            <w:r>
              <w:rPr>
                <w:rFonts w:ascii="仿宋" w:hAnsi="仿宋" w:eastAsia="仿宋" w:cs="仿宋"/>
                <w:spacing w:val="-8"/>
                <w:sz w:val="20"/>
                <w:szCs w:val="20"/>
              </w:rPr>
              <w:t xml:space="preserve"> </w:t>
            </w:r>
            <w:r>
              <w:rPr>
                <w:spacing w:val="6"/>
                <w:sz w:val="20"/>
                <w:szCs w:val="20"/>
              </w:rPr>
              <w:t>12</w:t>
            </w:r>
            <w:r>
              <w:rPr>
                <w:spacing w:val="18"/>
                <w:w w:val="101"/>
                <w:sz w:val="20"/>
                <w:szCs w:val="20"/>
              </w:rPr>
              <w:t xml:space="preserve"> </w:t>
            </w:r>
            <w:r>
              <w:rPr>
                <w:rFonts w:ascii="仿宋" w:hAnsi="仿宋" w:eastAsia="仿宋" w:cs="仿宋"/>
                <w:spacing w:val="6"/>
                <w:sz w:val="20"/>
                <w:szCs w:val="20"/>
              </w:rPr>
              <w:t>个月，施工过程中的主要污染因素为废水、废气、噪声、固体</w:t>
            </w:r>
            <w:r>
              <w:rPr>
                <w:rFonts w:ascii="仿宋" w:hAnsi="仿宋" w:eastAsia="仿宋" w:cs="仿宋"/>
                <w:spacing w:val="7"/>
                <w:sz w:val="20"/>
                <w:szCs w:val="20"/>
              </w:rPr>
              <w:t>废物和生态</w:t>
            </w:r>
            <w:r>
              <w:rPr>
                <w:rFonts w:hint="eastAsia" w:ascii="仿宋" w:hAnsi="仿宋" w:eastAsia="仿宋" w:cs="仿宋"/>
                <w:spacing w:val="7"/>
                <w:sz w:val="20"/>
                <w:szCs w:val="20"/>
                <w:lang w:val="en-US" w:eastAsia="zh-CN"/>
              </w:rPr>
              <w:t>环境</w:t>
            </w:r>
            <w:r>
              <w:rPr>
                <w:rFonts w:ascii="仿宋" w:hAnsi="仿宋" w:eastAsia="仿宋" w:cs="仿宋"/>
                <w:spacing w:val="7"/>
                <w:sz w:val="20"/>
                <w:szCs w:val="20"/>
              </w:rPr>
              <w:t>影响等。</w:t>
            </w:r>
          </w:p>
          <w:p w14:paraId="03E3884D">
            <w:pPr>
              <w:pStyle w:val="6"/>
              <w:spacing w:before="1" w:line="230" w:lineRule="auto"/>
              <w:ind w:left="533"/>
              <w:rPr>
                <w:rFonts w:ascii="仿宋" w:hAnsi="仿宋" w:eastAsia="仿宋" w:cs="仿宋"/>
                <w:sz w:val="20"/>
                <w:szCs w:val="20"/>
              </w:rPr>
            </w:pPr>
            <w:r>
              <w:rPr>
                <w:b/>
                <w:bCs/>
                <w:spacing w:val="2"/>
                <w:sz w:val="20"/>
                <w:szCs w:val="20"/>
              </w:rPr>
              <w:t>1</w:t>
            </w:r>
            <w:r>
              <w:rPr>
                <w:b/>
                <w:bCs/>
                <w:spacing w:val="-17"/>
                <w:sz w:val="20"/>
                <w:szCs w:val="20"/>
              </w:rPr>
              <w:t xml:space="preserve"> </w:t>
            </w:r>
            <w:r>
              <w:rPr>
                <w:rFonts w:ascii="仿宋" w:hAnsi="仿宋" w:eastAsia="仿宋" w:cs="仿宋"/>
                <w:b/>
                <w:bCs/>
                <w:spacing w:val="2"/>
                <w:sz w:val="20"/>
                <w:szCs w:val="20"/>
              </w:rPr>
              <w:t>、影响因素分析</w:t>
            </w:r>
          </w:p>
          <w:p w14:paraId="04E28A19">
            <w:pPr>
              <w:pStyle w:val="6"/>
              <w:spacing w:before="158" w:line="232" w:lineRule="auto"/>
              <w:ind w:left="537"/>
              <w:rPr>
                <w:rFonts w:ascii="仿宋" w:hAnsi="仿宋" w:eastAsia="仿宋" w:cs="仿宋"/>
                <w:sz w:val="20"/>
                <w:szCs w:val="20"/>
              </w:rPr>
            </w:pPr>
            <w:r>
              <w:rPr>
                <w:rFonts w:ascii="仿宋" w:hAnsi="仿宋" w:eastAsia="仿宋" w:cs="仿宋"/>
                <w:spacing w:val="6"/>
                <w:sz w:val="20"/>
                <w:szCs w:val="20"/>
              </w:rPr>
              <w:t>（</w:t>
            </w:r>
            <w:r>
              <w:rPr>
                <w:spacing w:val="6"/>
                <w:sz w:val="20"/>
                <w:szCs w:val="20"/>
              </w:rPr>
              <w:t>1</w:t>
            </w:r>
            <w:r>
              <w:rPr>
                <w:rFonts w:ascii="仿宋" w:hAnsi="仿宋" w:eastAsia="仿宋" w:cs="仿宋"/>
                <w:spacing w:val="6"/>
                <w:sz w:val="20"/>
                <w:szCs w:val="20"/>
              </w:rPr>
              <w:t>）路基工程</w:t>
            </w:r>
          </w:p>
          <w:p w14:paraId="1F23B109">
            <w:pPr>
              <w:spacing w:before="159" w:line="231" w:lineRule="auto"/>
              <w:ind w:left="531"/>
              <w:rPr>
                <w:rFonts w:ascii="仿宋" w:hAnsi="仿宋" w:eastAsia="仿宋" w:cs="仿宋"/>
                <w:sz w:val="20"/>
                <w:szCs w:val="20"/>
              </w:rPr>
            </w:pPr>
            <w:r>
              <w:rPr>
                <w:rFonts w:ascii="仿宋" w:hAnsi="仿宋" w:eastAsia="仿宋" w:cs="仿宋"/>
                <w:spacing w:val="8"/>
                <w:sz w:val="20"/>
                <w:szCs w:val="20"/>
              </w:rPr>
              <w:t>路基工程施工会不同程度地产生以下影响：</w:t>
            </w:r>
          </w:p>
          <w:p w14:paraId="49786213">
            <w:pPr>
              <w:spacing w:before="158" w:line="376" w:lineRule="auto"/>
              <w:ind w:left="115" w:right="150" w:firstLine="411"/>
              <w:rPr>
                <w:rFonts w:ascii="仿宋" w:hAnsi="仿宋" w:eastAsia="仿宋" w:cs="仿宋"/>
                <w:sz w:val="20"/>
                <w:szCs w:val="20"/>
              </w:rPr>
            </w:pPr>
            <w:r>
              <w:rPr>
                <w:rFonts w:ascii="宋体" w:hAnsi="宋体" w:eastAsia="宋体" w:cs="宋体"/>
                <w:spacing w:val="8"/>
                <w:sz w:val="20"/>
                <w:szCs w:val="20"/>
              </w:rPr>
              <w:t>①</w:t>
            </w:r>
            <w:r>
              <w:rPr>
                <w:rFonts w:ascii="仿宋" w:hAnsi="仿宋" w:eastAsia="仿宋" w:cs="仿宋"/>
                <w:spacing w:val="8"/>
                <w:sz w:val="20"/>
                <w:szCs w:val="20"/>
              </w:rPr>
              <w:t>清表：施工清表过程中会产生扬尘及弃渣等固体废物，</w:t>
            </w:r>
            <w:r>
              <w:rPr>
                <w:rFonts w:ascii="仿宋" w:hAnsi="仿宋" w:eastAsia="仿宋" w:cs="仿宋"/>
                <w:spacing w:val="-42"/>
                <w:sz w:val="20"/>
                <w:szCs w:val="20"/>
              </w:rPr>
              <w:t xml:space="preserve"> </w:t>
            </w:r>
            <w:r>
              <w:rPr>
                <w:rFonts w:ascii="仿宋" w:hAnsi="仿宋" w:eastAsia="仿宋" w:cs="仿宋"/>
                <w:spacing w:val="8"/>
                <w:sz w:val="20"/>
                <w:szCs w:val="20"/>
              </w:rPr>
              <w:t>固体废物应及时处理，产生的松散堆土处理不当将造成水土流失。</w:t>
            </w:r>
          </w:p>
          <w:p w14:paraId="71AC9B5B">
            <w:pPr>
              <w:spacing w:before="1" w:line="376" w:lineRule="auto"/>
              <w:ind w:left="112" w:right="47" w:firstLine="413"/>
              <w:rPr>
                <w:rFonts w:ascii="仿宋" w:hAnsi="仿宋" w:eastAsia="仿宋" w:cs="仿宋"/>
                <w:sz w:val="20"/>
                <w:szCs w:val="20"/>
              </w:rPr>
            </w:pPr>
            <w:r>
              <w:rPr>
                <w:rFonts w:ascii="宋体" w:hAnsi="宋体" w:eastAsia="宋体" w:cs="宋体"/>
                <w:spacing w:val="7"/>
                <w:sz w:val="20"/>
                <w:szCs w:val="20"/>
              </w:rPr>
              <w:t>②</w:t>
            </w:r>
            <w:r>
              <w:rPr>
                <w:rFonts w:ascii="仿宋" w:hAnsi="仿宋" w:eastAsia="仿宋" w:cs="仿宋"/>
                <w:spacing w:val="7"/>
                <w:sz w:val="20"/>
                <w:szCs w:val="20"/>
              </w:rPr>
              <w:t>路基施工：直接开挖或填土不及时做好挡护和防水临时工</w:t>
            </w:r>
            <w:r>
              <w:rPr>
                <w:rFonts w:ascii="仿宋" w:hAnsi="仿宋" w:eastAsia="仿宋" w:cs="仿宋"/>
                <w:spacing w:val="6"/>
                <w:sz w:val="20"/>
                <w:szCs w:val="20"/>
              </w:rPr>
              <w:t>程，将造成水土流失，</w:t>
            </w:r>
            <w:r>
              <w:rPr>
                <w:rFonts w:ascii="仿宋" w:hAnsi="仿宋" w:eastAsia="仿宋" w:cs="仿宋"/>
                <w:spacing w:val="7"/>
                <w:sz w:val="20"/>
                <w:szCs w:val="20"/>
              </w:rPr>
              <w:t>破坏植被，影响景观；路基施工过程产生扬尘和噪声；物料运</w:t>
            </w:r>
            <w:r>
              <w:rPr>
                <w:rFonts w:ascii="仿宋" w:hAnsi="仿宋" w:eastAsia="仿宋" w:cs="仿宋"/>
                <w:spacing w:val="6"/>
                <w:sz w:val="20"/>
                <w:szCs w:val="20"/>
              </w:rPr>
              <w:t>输过程产生扬尘和噪声，并损坏地方道路。</w:t>
            </w:r>
          </w:p>
          <w:p w14:paraId="13620E44">
            <w:pPr>
              <w:spacing w:before="4" w:line="230" w:lineRule="auto"/>
              <w:ind w:left="526"/>
              <w:rPr>
                <w:rFonts w:ascii="仿宋" w:hAnsi="仿宋" w:eastAsia="仿宋" w:cs="仿宋"/>
                <w:sz w:val="20"/>
                <w:szCs w:val="20"/>
              </w:rPr>
            </w:pPr>
            <w:r>
              <w:rPr>
                <w:rFonts w:ascii="宋体" w:hAnsi="宋体" w:eastAsia="宋体" w:cs="宋体"/>
                <w:spacing w:val="8"/>
                <w:sz w:val="20"/>
                <w:szCs w:val="20"/>
              </w:rPr>
              <w:t>③</w:t>
            </w:r>
            <w:r>
              <w:rPr>
                <w:rFonts w:ascii="仿宋" w:hAnsi="仿宋" w:eastAsia="仿宋" w:cs="仿宋"/>
                <w:spacing w:val="8"/>
                <w:sz w:val="20"/>
                <w:szCs w:val="20"/>
              </w:rPr>
              <w:t>边坡修坡：水土流失影响及扬尘影响。</w:t>
            </w:r>
          </w:p>
          <w:p w14:paraId="3887423B">
            <w:pPr>
              <w:spacing w:before="158" w:line="230" w:lineRule="auto"/>
              <w:ind w:left="526"/>
              <w:rPr>
                <w:rFonts w:ascii="仿宋" w:hAnsi="仿宋" w:eastAsia="仿宋" w:cs="仿宋"/>
                <w:sz w:val="20"/>
                <w:szCs w:val="20"/>
              </w:rPr>
            </w:pPr>
            <w:r>
              <w:rPr>
                <w:rFonts w:ascii="宋体" w:hAnsi="宋体" w:eastAsia="宋体" w:cs="宋体"/>
                <w:spacing w:val="9"/>
                <w:sz w:val="20"/>
                <w:szCs w:val="20"/>
              </w:rPr>
              <w:t>④</w:t>
            </w:r>
            <w:r>
              <w:rPr>
                <w:rFonts w:ascii="仿宋" w:hAnsi="仿宋" w:eastAsia="仿宋" w:cs="仿宋"/>
                <w:spacing w:val="9"/>
                <w:sz w:val="20"/>
                <w:szCs w:val="20"/>
              </w:rPr>
              <w:t>公路施工期施工噪声对两侧声环境影响。</w:t>
            </w:r>
          </w:p>
          <w:p w14:paraId="248295CE">
            <w:pPr>
              <w:spacing w:before="159" w:line="229" w:lineRule="auto"/>
              <w:ind w:left="526"/>
              <w:rPr>
                <w:rFonts w:ascii="仿宋" w:hAnsi="仿宋" w:eastAsia="仿宋" w:cs="仿宋"/>
                <w:sz w:val="20"/>
                <w:szCs w:val="20"/>
              </w:rPr>
            </w:pPr>
            <w:r>
              <w:rPr>
                <w:rFonts w:ascii="宋体" w:hAnsi="宋体" w:eastAsia="宋体" w:cs="宋体"/>
                <w:spacing w:val="9"/>
                <w:sz w:val="20"/>
                <w:szCs w:val="20"/>
              </w:rPr>
              <w:t>⑤</w:t>
            </w:r>
            <w:r>
              <w:rPr>
                <w:rFonts w:ascii="仿宋" w:hAnsi="仿宋" w:eastAsia="仿宋" w:cs="仿宋"/>
                <w:spacing w:val="9"/>
                <w:sz w:val="20"/>
                <w:szCs w:val="20"/>
              </w:rPr>
              <w:t>公路建设过程中对野生动物、农田设施造成短期影响。</w:t>
            </w:r>
          </w:p>
          <w:p w14:paraId="2F22686D">
            <w:pPr>
              <w:pStyle w:val="6"/>
              <w:spacing w:before="159" w:line="232" w:lineRule="auto"/>
              <w:ind w:left="537"/>
              <w:rPr>
                <w:rFonts w:ascii="仿宋" w:hAnsi="仿宋" w:eastAsia="仿宋" w:cs="仿宋"/>
                <w:sz w:val="20"/>
                <w:szCs w:val="20"/>
              </w:rPr>
            </w:pPr>
            <w:r>
              <w:rPr>
                <w:rFonts w:ascii="仿宋" w:hAnsi="仿宋" w:eastAsia="仿宋" w:cs="仿宋"/>
                <w:spacing w:val="6"/>
                <w:sz w:val="20"/>
                <w:szCs w:val="20"/>
              </w:rPr>
              <w:t>（</w:t>
            </w:r>
            <w:r>
              <w:rPr>
                <w:spacing w:val="6"/>
                <w:sz w:val="20"/>
                <w:szCs w:val="20"/>
              </w:rPr>
              <w:t>2</w:t>
            </w:r>
            <w:r>
              <w:rPr>
                <w:rFonts w:ascii="仿宋" w:hAnsi="仿宋" w:eastAsia="仿宋" w:cs="仿宋"/>
                <w:spacing w:val="6"/>
                <w:sz w:val="20"/>
                <w:szCs w:val="20"/>
              </w:rPr>
              <w:t>）路面工程</w:t>
            </w:r>
          </w:p>
          <w:p w14:paraId="6EC8AD3F">
            <w:pPr>
              <w:spacing w:before="160" w:line="228" w:lineRule="auto"/>
              <w:ind w:left="526"/>
              <w:rPr>
                <w:rFonts w:ascii="仿宋" w:hAnsi="仿宋" w:eastAsia="仿宋" w:cs="仿宋"/>
                <w:sz w:val="20"/>
                <w:szCs w:val="20"/>
              </w:rPr>
            </w:pPr>
            <w:r>
              <w:rPr>
                <w:rFonts w:ascii="宋体" w:hAnsi="宋体" w:eastAsia="宋体" w:cs="宋体"/>
                <w:spacing w:val="8"/>
                <w:sz w:val="20"/>
                <w:szCs w:val="20"/>
              </w:rPr>
              <w:t>①</w:t>
            </w:r>
            <w:r>
              <w:rPr>
                <w:rFonts w:ascii="仿宋" w:hAnsi="仿宋" w:eastAsia="仿宋" w:cs="仿宋"/>
                <w:spacing w:val="8"/>
                <w:sz w:val="20"/>
                <w:szCs w:val="20"/>
              </w:rPr>
              <w:t>施工机械噪声、物料运输车辆噪声。</w:t>
            </w:r>
          </w:p>
          <w:p w14:paraId="2C2B2BE9">
            <w:pPr>
              <w:spacing w:before="161" w:line="230" w:lineRule="auto"/>
              <w:ind w:left="526"/>
              <w:rPr>
                <w:rFonts w:ascii="仿宋" w:hAnsi="仿宋" w:eastAsia="仿宋" w:cs="仿宋"/>
                <w:sz w:val="20"/>
                <w:szCs w:val="20"/>
              </w:rPr>
            </w:pPr>
            <w:r>
              <w:rPr>
                <w:rFonts w:ascii="宋体" w:hAnsi="宋体" w:eastAsia="宋体" w:cs="宋体"/>
                <w:spacing w:val="8"/>
                <w:sz w:val="20"/>
                <w:szCs w:val="20"/>
              </w:rPr>
              <w:t>②</w:t>
            </w:r>
            <w:r>
              <w:rPr>
                <w:rFonts w:ascii="仿宋" w:hAnsi="仿宋" w:eastAsia="仿宋" w:cs="仿宋"/>
                <w:spacing w:val="8"/>
                <w:sz w:val="20"/>
                <w:szCs w:val="20"/>
              </w:rPr>
              <w:t>路面摊铺施工和扬尘影响。</w:t>
            </w:r>
          </w:p>
          <w:p w14:paraId="7A491A3C">
            <w:pPr>
              <w:pStyle w:val="6"/>
              <w:spacing w:before="159" w:line="229" w:lineRule="auto"/>
              <w:ind w:left="524"/>
              <w:rPr>
                <w:rFonts w:ascii="仿宋" w:hAnsi="仿宋" w:eastAsia="仿宋" w:cs="仿宋"/>
                <w:sz w:val="20"/>
                <w:szCs w:val="20"/>
              </w:rPr>
            </w:pPr>
            <w:r>
              <w:rPr>
                <w:b/>
                <w:bCs/>
                <w:spacing w:val="6"/>
                <w:sz w:val="20"/>
                <w:szCs w:val="20"/>
              </w:rPr>
              <w:t>2</w:t>
            </w:r>
            <w:r>
              <w:rPr>
                <w:b/>
                <w:bCs/>
                <w:spacing w:val="-3"/>
                <w:sz w:val="20"/>
                <w:szCs w:val="20"/>
              </w:rPr>
              <w:t xml:space="preserve"> </w:t>
            </w:r>
            <w:r>
              <w:rPr>
                <w:rFonts w:ascii="仿宋" w:hAnsi="仿宋" w:eastAsia="仿宋" w:cs="仿宋"/>
                <w:b/>
                <w:bCs/>
                <w:spacing w:val="6"/>
                <w:sz w:val="20"/>
                <w:szCs w:val="20"/>
              </w:rPr>
              <w:t>、施工期生态环境影响分析（详见生态影响专项评价）</w:t>
            </w:r>
          </w:p>
          <w:p w14:paraId="468AE24A">
            <w:pPr>
              <w:spacing w:before="161" w:line="377" w:lineRule="auto"/>
              <w:ind w:left="112" w:right="103" w:firstLine="423"/>
              <w:rPr>
                <w:rFonts w:ascii="仿宋" w:hAnsi="仿宋" w:eastAsia="仿宋" w:cs="仿宋"/>
                <w:sz w:val="20"/>
                <w:szCs w:val="20"/>
              </w:rPr>
            </w:pPr>
            <w:r>
              <w:rPr>
                <w:rFonts w:ascii="仿宋" w:hAnsi="仿宋" w:eastAsia="仿宋" w:cs="仿宋"/>
                <w:spacing w:val="11"/>
                <w:sz w:val="20"/>
                <w:szCs w:val="20"/>
              </w:rPr>
              <w:t>综合分析表明，本项目施工期生态影响整体表现为局部、短</w:t>
            </w:r>
            <w:r>
              <w:rPr>
                <w:rFonts w:ascii="仿宋" w:hAnsi="仿宋" w:eastAsia="仿宋" w:cs="仿宋"/>
                <w:spacing w:val="10"/>
                <w:sz w:val="20"/>
                <w:szCs w:val="20"/>
              </w:rPr>
              <w:t>暂、可逆、可控，无</w:t>
            </w:r>
            <w:r>
              <w:rPr>
                <w:rFonts w:ascii="仿宋" w:hAnsi="仿宋" w:eastAsia="仿宋" w:cs="仿宋"/>
                <w:spacing w:val="11"/>
                <w:sz w:val="20"/>
                <w:szCs w:val="20"/>
              </w:rPr>
              <w:t>长期、持续性及不可逆生态损害。项目永久占地以现状土路和裸土地</w:t>
            </w:r>
            <w:r>
              <w:rPr>
                <w:rFonts w:ascii="仿宋" w:hAnsi="仿宋" w:eastAsia="仿宋" w:cs="仿宋"/>
                <w:spacing w:val="10"/>
                <w:sz w:val="20"/>
                <w:szCs w:val="20"/>
              </w:rPr>
              <w:t>为主，仅少量占</w:t>
            </w:r>
            <w:r>
              <w:rPr>
                <w:rFonts w:ascii="仿宋" w:hAnsi="仿宋" w:eastAsia="仿宋" w:cs="仿宋"/>
                <w:spacing w:val="11"/>
                <w:sz w:val="20"/>
                <w:szCs w:val="20"/>
              </w:rPr>
              <w:t>用林地、草地，植被生物量损失轻微；沿线植被均为区域广布乡土物</w:t>
            </w:r>
            <w:r>
              <w:rPr>
                <w:rFonts w:ascii="仿宋" w:hAnsi="仿宋" w:eastAsia="仿宋" w:cs="仿宋"/>
                <w:spacing w:val="10"/>
                <w:sz w:val="20"/>
                <w:szCs w:val="20"/>
              </w:rPr>
              <w:t>种，无珍稀濒危</w:t>
            </w:r>
            <w:r>
              <w:rPr>
                <w:rFonts w:ascii="仿宋" w:hAnsi="仿宋" w:eastAsia="仿宋" w:cs="仿宋"/>
                <w:spacing w:val="11"/>
                <w:sz w:val="20"/>
                <w:szCs w:val="20"/>
              </w:rPr>
              <w:t>及重点保护野生植物，工程斑块式零散占地不会改变区域植被群落结</w:t>
            </w:r>
            <w:r>
              <w:rPr>
                <w:rFonts w:ascii="仿宋" w:hAnsi="仿宋" w:eastAsia="仿宋" w:cs="仿宋"/>
                <w:spacing w:val="10"/>
                <w:sz w:val="20"/>
                <w:szCs w:val="20"/>
              </w:rPr>
              <w:t>构与生态格局。</w:t>
            </w:r>
            <w:r>
              <w:rPr>
                <w:rFonts w:ascii="仿宋" w:hAnsi="仿宋" w:eastAsia="仿宋" w:cs="仿宋"/>
                <w:spacing w:val="11"/>
                <w:sz w:val="20"/>
                <w:szCs w:val="20"/>
              </w:rPr>
              <w:t>工程占用公益林、商品林及基本草原规模极小，未破坏林地、草原生</w:t>
            </w:r>
            <w:r>
              <w:rPr>
                <w:rFonts w:ascii="仿宋" w:hAnsi="仿宋" w:eastAsia="仿宋" w:cs="仿宋"/>
                <w:spacing w:val="10"/>
                <w:sz w:val="20"/>
                <w:szCs w:val="20"/>
              </w:rPr>
              <w:t>态系统完整性，</w:t>
            </w:r>
            <w:r>
              <w:rPr>
                <w:rFonts w:ascii="仿宋" w:hAnsi="仿宋" w:eastAsia="仿宋" w:cs="仿宋"/>
                <w:spacing w:val="11"/>
                <w:sz w:val="20"/>
                <w:szCs w:val="20"/>
              </w:rPr>
              <w:t>通过落实生态补偿、异地造林、草原占补平衡等措施，可有效弥补植</w:t>
            </w:r>
            <w:r>
              <w:rPr>
                <w:rFonts w:ascii="仿宋" w:hAnsi="仿宋" w:eastAsia="仿宋" w:cs="仿宋"/>
                <w:spacing w:val="10"/>
                <w:sz w:val="20"/>
                <w:szCs w:val="20"/>
              </w:rPr>
              <w:t>被损耗，保障区</w:t>
            </w:r>
            <w:r>
              <w:rPr>
                <w:rFonts w:ascii="仿宋" w:hAnsi="仿宋" w:eastAsia="仿宋" w:cs="仿宋"/>
                <w:spacing w:val="11"/>
                <w:sz w:val="20"/>
                <w:szCs w:val="20"/>
              </w:rPr>
              <w:t>域生态功能稳定。项目不占用基本农田，施工对周边农田产生的扬尘</w:t>
            </w:r>
            <w:r>
              <w:rPr>
                <w:rFonts w:ascii="仿宋" w:hAnsi="仿宋" w:eastAsia="仿宋" w:cs="仿宋"/>
                <w:spacing w:val="10"/>
                <w:sz w:val="20"/>
                <w:szCs w:val="20"/>
              </w:rPr>
              <w:t>、径流、机械扰动等影响均为短期可逆影响，采取洒水抑尘、</w:t>
            </w:r>
            <w:r>
              <w:rPr>
                <w:rFonts w:ascii="仿宋" w:hAnsi="仿宋" w:eastAsia="仿宋" w:cs="仿宋"/>
                <w:spacing w:val="-56"/>
                <w:sz w:val="20"/>
                <w:szCs w:val="20"/>
              </w:rPr>
              <w:t xml:space="preserve"> </w:t>
            </w:r>
            <w:r>
              <w:rPr>
                <w:rFonts w:ascii="仿宋" w:hAnsi="仿宋" w:eastAsia="仿宋" w:cs="仿宋"/>
                <w:spacing w:val="10"/>
                <w:sz w:val="20"/>
                <w:szCs w:val="20"/>
              </w:rPr>
              <w:t>围挡防</w:t>
            </w:r>
            <w:r>
              <w:rPr>
                <w:rFonts w:ascii="仿宋" w:hAnsi="仿宋" w:eastAsia="仿宋" w:cs="仿宋"/>
                <w:spacing w:val="9"/>
                <w:sz w:val="20"/>
                <w:szCs w:val="20"/>
              </w:rPr>
              <w:t>护、农田设施修复等措施后，可</w:t>
            </w:r>
            <w:r>
              <w:rPr>
                <w:rFonts w:ascii="仿宋" w:hAnsi="仿宋" w:eastAsia="仿宋" w:cs="仿宋"/>
                <w:spacing w:val="7"/>
                <w:sz w:val="20"/>
                <w:szCs w:val="20"/>
              </w:rPr>
              <w:t>完全消除不利影响。</w:t>
            </w:r>
          </w:p>
          <w:p w14:paraId="347DEE4F">
            <w:pPr>
              <w:spacing w:before="1" w:line="371" w:lineRule="auto"/>
              <w:ind w:left="115" w:right="103" w:firstLine="417"/>
              <w:jc w:val="both"/>
              <w:rPr>
                <w:rFonts w:ascii="仿宋" w:hAnsi="仿宋" w:eastAsia="仿宋" w:cs="仿宋"/>
                <w:sz w:val="20"/>
                <w:szCs w:val="20"/>
              </w:rPr>
            </w:pPr>
            <w:r>
              <w:rPr>
                <w:rFonts w:ascii="仿宋" w:hAnsi="仿宋" w:eastAsia="仿宋" w:cs="仿宋"/>
                <w:spacing w:val="11"/>
                <w:sz w:val="20"/>
                <w:szCs w:val="20"/>
              </w:rPr>
              <w:t>施工期人为活动、机械噪声将对区域野生动物产生短暂栖息干扰，但</w:t>
            </w:r>
            <w:r>
              <w:rPr>
                <w:rFonts w:ascii="仿宋" w:hAnsi="仿宋" w:eastAsia="仿宋" w:cs="仿宋"/>
                <w:spacing w:val="10"/>
                <w:sz w:val="20"/>
                <w:szCs w:val="20"/>
              </w:rPr>
              <w:t>评价区内无重点保护野生动物及栖息地，</w:t>
            </w:r>
            <w:r>
              <w:rPr>
                <w:rFonts w:ascii="仿宋" w:hAnsi="仿宋" w:eastAsia="仿宋" w:cs="仿宋"/>
                <w:spacing w:val="-60"/>
                <w:sz w:val="20"/>
                <w:szCs w:val="20"/>
              </w:rPr>
              <w:t xml:space="preserve"> </w:t>
            </w:r>
            <w:r>
              <w:rPr>
                <w:rFonts w:ascii="仿宋" w:hAnsi="仿宋" w:eastAsia="仿宋" w:cs="仿宋"/>
                <w:spacing w:val="10"/>
                <w:sz w:val="20"/>
                <w:szCs w:val="20"/>
              </w:rPr>
              <w:t>区域野生生物适应性强、</w:t>
            </w:r>
            <w:r>
              <w:rPr>
                <w:rFonts w:ascii="仿宋" w:hAnsi="仿宋" w:eastAsia="仿宋" w:cs="仿宋"/>
                <w:spacing w:val="9"/>
                <w:sz w:val="20"/>
                <w:szCs w:val="20"/>
              </w:rPr>
              <w:t>周边替代生境充足，施工结束</w:t>
            </w:r>
            <w:r>
              <w:rPr>
                <w:rFonts w:ascii="仿宋" w:hAnsi="仿宋" w:eastAsia="仿宋" w:cs="仿宋"/>
                <w:spacing w:val="11"/>
                <w:sz w:val="20"/>
                <w:szCs w:val="20"/>
              </w:rPr>
              <w:t>后动物生境可自然恢复，不会造成区域野生动物种群及生物多</w:t>
            </w:r>
            <w:r>
              <w:rPr>
                <w:rFonts w:ascii="仿宋" w:hAnsi="仿宋" w:eastAsia="仿宋" w:cs="仿宋"/>
                <w:spacing w:val="10"/>
                <w:sz w:val="20"/>
                <w:szCs w:val="20"/>
              </w:rPr>
              <w:t>样性下降。施工扰动地</w:t>
            </w:r>
            <w:r>
              <w:rPr>
                <w:rFonts w:ascii="仿宋" w:hAnsi="仿宋" w:eastAsia="仿宋" w:cs="仿宋"/>
                <w:spacing w:val="11"/>
                <w:sz w:val="20"/>
                <w:szCs w:val="20"/>
              </w:rPr>
              <w:t>表、裸露边坡会短暂增大区域水土流失风险，但通过采取表土</w:t>
            </w:r>
            <w:r>
              <w:rPr>
                <w:rFonts w:ascii="仿宋" w:hAnsi="仿宋" w:eastAsia="仿宋" w:cs="仿宋"/>
                <w:spacing w:val="10"/>
                <w:sz w:val="20"/>
                <w:szCs w:val="20"/>
              </w:rPr>
              <w:t>防护、临时排水、边坡</w:t>
            </w:r>
            <w:r>
              <w:rPr>
                <w:rFonts w:ascii="仿宋" w:hAnsi="仿宋" w:eastAsia="仿宋" w:cs="仿宋"/>
                <w:spacing w:val="11"/>
                <w:sz w:val="20"/>
                <w:szCs w:val="20"/>
              </w:rPr>
              <w:t>及时治理、完工后植被复绿等水土保持措施，可有效控制水土</w:t>
            </w:r>
            <w:r>
              <w:rPr>
                <w:rFonts w:ascii="仿宋" w:hAnsi="仿宋" w:eastAsia="仿宋" w:cs="仿宋"/>
                <w:spacing w:val="10"/>
                <w:sz w:val="20"/>
                <w:szCs w:val="20"/>
              </w:rPr>
              <w:t>流失影响。施工结束后通过路基边坡生态绿化及专项植被恢复，</w:t>
            </w:r>
            <w:r>
              <w:rPr>
                <w:rFonts w:ascii="仿宋" w:hAnsi="仿宋" w:eastAsia="仿宋" w:cs="仿宋"/>
                <w:spacing w:val="-60"/>
                <w:sz w:val="20"/>
                <w:szCs w:val="20"/>
              </w:rPr>
              <w:t xml:space="preserve"> </w:t>
            </w:r>
            <w:r>
              <w:rPr>
                <w:rFonts w:ascii="仿宋" w:hAnsi="仿宋" w:eastAsia="仿宋" w:cs="仿宋"/>
                <w:spacing w:val="10"/>
                <w:sz w:val="20"/>
                <w:szCs w:val="20"/>
              </w:rPr>
              <w:t>区域生态环境</w:t>
            </w:r>
            <w:r>
              <w:rPr>
                <w:rFonts w:ascii="仿宋" w:hAnsi="仿宋" w:eastAsia="仿宋" w:cs="仿宋"/>
                <w:spacing w:val="9"/>
                <w:sz w:val="20"/>
                <w:szCs w:val="20"/>
              </w:rPr>
              <w:t>可逐步恢复至原有水平。总体</w:t>
            </w:r>
          </w:p>
        </w:tc>
      </w:tr>
    </w:tbl>
    <w:p w14:paraId="6948646C">
      <w:pPr>
        <w:pStyle w:val="2"/>
        <w:rPr>
          <w:sz w:val="21"/>
        </w:rPr>
      </w:pPr>
    </w:p>
    <w:p w14:paraId="7AF1C243">
      <w:pPr>
        <w:rPr>
          <w:sz w:val="21"/>
          <w:szCs w:val="21"/>
        </w:rPr>
        <w:sectPr>
          <w:footerReference r:id="rId56" w:type="default"/>
          <w:pgSz w:w="11907" w:h="16840"/>
          <w:pgMar w:top="400" w:right="1598" w:bottom="1446" w:left="1598" w:header="0" w:footer="1284" w:gutter="0"/>
          <w:cols w:space="720" w:num="1"/>
        </w:sectPr>
      </w:pPr>
    </w:p>
    <w:p w14:paraId="32B4330B">
      <w:pPr>
        <w:spacing w:before="19"/>
      </w:pPr>
    </w:p>
    <w:p w14:paraId="3AB8B22A">
      <w:pPr>
        <w:spacing w:before="19"/>
      </w:pPr>
    </w:p>
    <w:p w14:paraId="6699A292">
      <w:pPr>
        <w:spacing w:before="18"/>
      </w:pPr>
    </w:p>
    <w:p w14:paraId="52662E37">
      <w:pPr>
        <w:spacing w:before="18"/>
      </w:pPr>
    </w:p>
    <w:tbl>
      <w:tblPr>
        <w:tblStyle w:val="5"/>
        <w:tblW w:w="869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68"/>
        <w:gridCol w:w="8027"/>
      </w:tblGrid>
      <w:tr w14:paraId="7BF016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860" w:hRule="atLeast"/>
        </w:trPr>
        <w:tc>
          <w:tcPr>
            <w:tcW w:w="668" w:type="dxa"/>
            <w:tcBorders>
              <w:right w:val="single" w:color="000000" w:sz="2" w:space="0"/>
            </w:tcBorders>
            <w:vAlign w:val="top"/>
          </w:tcPr>
          <w:p w14:paraId="098E41A1">
            <w:pPr>
              <w:rPr>
                <w:rFonts w:ascii="Arial"/>
                <w:sz w:val="21"/>
              </w:rPr>
            </w:pPr>
          </w:p>
        </w:tc>
        <w:tc>
          <w:tcPr>
            <w:tcW w:w="8027" w:type="dxa"/>
            <w:tcBorders>
              <w:left w:val="single" w:color="000000" w:sz="2" w:space="0"/>
            </w:tcBorders>
            <w:vAlign w:val="top"/>
          </w:tcPr>
          <w:p w14:paraId="7B68720C">
            <w:pPr>
              <w:spacing w:before="37" w:line="375" w:lineRule="auto"/>
              <w:ind w:left="114" w:right="103"/>
              <w:rPr>
                <w:rFonts w:ascii="仿宋" w:hAnsi="仿宋" w:eastAsia="仿宋" w:cs="仿宋"/>
                <w:sz w:val="20"/>
                <w:szCs w:val="20"/>
              </w:rPr>
            </w:pPr>
            <w:r>
              <w:rPr>
                <w:rFonts w:ascii="仿宋" w:hAnsi="仿宋" w:eastAsia="仿宋" w:cs="仿宋"/>
                <w:spacing w:val="11"/>
                <w:sz w:val="20"/>
                <w:szCs w:val="20"/>
              </w:rPr>
              <w:t>来看，在全面落实各项生态保护与水土保持措施的前提下，本项</w:t>
            </w:r>
            <w:r>
              <w:rPr>
                <w:rFonts w:ascii="仿宋" w:hAnsi="仿宋" w:eastAsia="仿宋" w:cs="仿宋"/>
                <w:spacing w:val="10"/>
                <w:sz w:val="20"/>
                <w:szCs w:val="20"/>
              </w:rPr>
              <w:t>目施工期生态影响总</w:t>
            </w:r>
            <w:r>
              <w:rPr>
                <w:rFonts w:ascii="仿宋" w:hAnsi="仿宋" w:eastAsia="仿宋" w:cs="仿宋"/>
                <w:spacing w:val="9"/>
                <w:sz w:val="20"/>
                <w:szCs w:val="20"/>
              </w:rPr>
              <w:t>体轻微，对区域生态系统整体稳定无实质性不利</w:t>
            </w:r>
            <w:r>
              <w:rPr>
                <w:rFonts w:ascii="仿宋" w:hAnsi="仿宋" w:eastAsia="仿宋" w:cs="仿宋"/>
                <w:spacing w:val="8"/>
                <w:sz w:val="20"/>
                <w:szCs w:val="20"/>
              </w:rPr>
              <w:t>影响。</w:t>
            </w:r>
          </w:p>
          <w:p w14:paraId="5193C577">
            <w:pPr>
              <w:pStyle w:val="6"/>
              <w:spacing w:before="2" w:line="230" w:lineRule="auto"/>
              <w:ind w:left="522"/>
              <w:rPr>
                <w:rFonts w:ascii="仿宋" w:hAnsi="仿宋" w:eastAsia="仿宋" w:cs="仿宋"/>
                <w:sz w:val="20"/>
                <w:szCs w:val="20"/>
              </w:rPr>
            </w:pPr>
            <w:r>
              <w:rPr>
                <w:b/>
                <w:bCs/>
                <w:spacing w:val="5"/>
                <w:sz w:val="20"/>
                <w:szCs w:val="20"/>
              </w:rPr>
              <w:t>3</w:t>
            </w:r>
            <w:r>
              <w:rPr>
                <w:b/>
                <w:bCs/>
                <w:spacing w:val="-12"/>
                <w:sz w:val="20"/>
                <w:szCs w:val="20"/>
              </w:rPr>
              <w:t xml:space="preserve"> </w:t>
            </w:r>
            <w:r>
              <w:rPr>
                <w:rFonts w:ascii="仿宋" w:hAnsi="仿宋" w:eastAsia="仿宋" w:cs="仿宋"/>
                <w:b/>
                <w:bCs/>
                <w:spacing w:val="5"/>
                <w:sz w:val="20"/>
                <w:szCs w:val="20"/>
              </w:rPr>
              <w:t>、施工期大气环境影响分析</w:t>
            </w:r>
          </w:p>
          <w:p w14:paraId="662184A6">
            <w:pPr>
              <w:spacing w:before="159" w:line="377" w:lineRule="auto"/>
              <w:ind w:left="113" w:right="103" w:firstLine="419"/>
              <w:jc w:val="both"/>
              <w:rPr>
                <w:rFonts w:ascii="仿宋" w:hAnsi="仿宋" w:eastAsia="仿宋" w:cs="仿宋"/>
                <w:sz w:val="20"/>
                <w:szCs w:val="20"/>
              </w:rPr>
            </w:pPr>
            <w:r>
              <w:rPr>
                <w:rFonts w:ascii="仿宋" w:hAnsi="仿宋" w:eastAsia="仿宋" w:cs="仿宋"/>
                <w:spacing w:val="11"/>
                <w:sz w:val="20"/>
                <w:szCs w:val="20"/>
              </w:rPr>
              <w:t>施工时土方开挖、路基填筑和人工构造物挖基、材料运输、搅拌、摊</w:t>
            </w:r>
            <w:r>
              <w:rPr>
                <w:rFonts w:ascii="仿宋" w:hAnsi="仿宋" w:eastAsia="仿宋" w:cs="仿宋"/>
                <w:spacing w:val="10"/>
                <w:sz w:val="20"/>
                <w:szCs w:val="20"/>
              </w:rPr>
              <w:t>铺等工程工</w:t>
            </w:r>
            <w:r>
              <w:rPr>
                <w:rFonts w:ascii="仿宋" w:hAnsi="仿宋" w:eastAsia="仿宋" w:cs="仿宋"/>
                <w:spacing w:val="11"/>
                <w:sz w:val="20"/>
                <w:szCs w:val="20"/>
              </w:rPr>
              <w:t>序中都会产生污染，导致大气质量下降，在道路施工期主要大气污</w:t>
            </w:r>
            <w:r>
              <w:rPr>
                <w:rFonts w:ascii="仿宋" w:hAnsi="仿宋" w:eastAsia="仿宋" w:cs="仿宋"/>
                <w:spacing w:val="10"/>
                <w:sz w:val="20"/>
                <w:szCs w:val="20"/>
              </w:rPr>
              <w:t>染物是扬尘。扬尘</w:t>
            </w:r>
            <w:r>
              <w:rPr>
                <w:rFonts w:ascii="仿宋" w:hAnsi="仿宋" w:eastAsia="仿宋" w:cs="仿宋"/>
                <w:spacing w:val="11"/>
                <w:sz w:val="20"/>
                <w:szCs w:val="20"/>
              </w:rPr>
              <w:t>的主要来源是挖方填方作业、施工车辆运行中的临时起尘及未铺装</w:t>
            </w:r>
            <w:r>
              <w:rPr>
                <w:rFonts w:ascii="仿宋" w:hAnsi="仿宋" w:eastAsia="仿宋" w:cs="仿宋"/>
                <w:spacing w:val="10"/>
                <w:sz w:val="20"/>
                <w:szCs w:val="20"/>
              </w:rPr>
              <w:t>路面起尘、筑路机</w:t>
            </w:r>
            <w:r>
              <w:rPr>
                <w:rFonts w:ascii="仿宋" w:hAnsi="仿宋" w:eastAsia="仿宋" w:cs="仿宋"/>
                <w:spacing w:val="7"/>
                <w:sz w:val="20"/>
                <w:szCs w:val="20"/>
              </w:rPr>
              <w:t>械不断运行起尘等。</w:t>
            </w:r>
          </w:p>
          <w:p w14:paraId="7DC1EEB1">
            <w:pPr>
              <w:pStyle w:val="6"/>
              <w:spacing w:line="228" w:lineRule="auto"/>
              <w:ind w:left="537"/>
              <w:rPr>
                <w:rFonts w:ascii="仿宋" w:hAnsi="仿宋" w:eastAsia="仿宋" w:cs="仿宋"/>
                <w:sz w:val="20"/>
                <w:szCs w:val="20"/>
              </w:rPr>
            </w:pPr>
            <w:r>
              <w:rPr>
                <w:rFonts w:ascii="仿宋" w:hAnsi="仿宋" w:eastAsia="仿宋" w:cs="仿宋"/>
                <w:spacing w:val="7"/>
                <w:sz w:val="20"/>
                <w:szCs w:val="20"/>
              </w:rPr>
              <w:t>（</w:t>
            </w:r>
            <w:r>
              <w:rPr>
                <w:spacing w:val="7"/>
                <w:sz w:val="20"/>
                <w:szCs w:val="20"/>
              </w:rPr>
              <w:t>1</w:t>
            </w:r>
            <w:r>
              <w:rPr>
                <w:rFonts w:ascii="仿宋" w:hAnsi="仿宋" w:eastAsia="仿宋" w:cs="仿宋"/>
                <w:spacing w:val="7"/>
                <w:sz w:val="20"/>
                <w:szCs w:val="20"/>
              </w:rPr>
              <w:t>）车辆及施工机械尾气</w:t>
            </w:r>
          </w:p>
          <w:p w14:paraId="6BF772A9">
            <w:pPr>
              <w:pStyle w:val="6"/>
              <w:spacing w:before="162" w:line="377" w:lineRule="auto"/>
              <w:ind w:left="97" w:right="103" w:firstLine="435"/>
              <w:rPr>
                <w:rFonts w:ascii="仿宋" w:hAnsi="仿宋" w:eastAsia="仿宋" w:cs="仿宋"/>
                <w:sz w:val="20"/>
                <w:szCs w:val="20"/>
              </w:rPr>
            </w:pPr>
            <w:r>
              <w:rPr>
                <w:rFonts w:ascii="仿宋" w:hAnsi="仿宋" w:eastAsia="仿宋" w:cs="仿宋"/>
                <w:spacing w:val="11"/>
                <w:sz w:val="20"/>
                <w:szCs w:val="20"/>
              </w:rPr>
              <w:t>施工区的燃油设备主要是施工机械和运输车辆，其排放的尾气在施工</w:t>
            </w:r>
            <w:r>
              <w:rPr>
                <w:rFonts w:ascii="仿宋" w:hAnsi="仿宋" w:eastAsia="仿宋" w:cs="仿宋"/>
                <w:spacing w:val="10"/>
                <w:sz w:val="20"/>
                <w:szCs w:val="20"/>
              </w:rPr>
              <w:t>期间对施工</w:t>
            </w:r>
            <w:r>
              <w:rPr>
                <w:rFonts w:ascii="仿宋" w:hAnsi="仿宋" w:eastAsia="仿宋" w:cs="仿宋"/>
                <w:spacing w:val="12"/>
                <w:sz w:val="20"/>
                <w:szCs w:val="20"/>
              </w:rPr>
              <w:t>作业点和交通道路附近的大气环境会造成一定程度的污染，产生</w:t>
            </w:r>
            <w:r>
              <w:rPr>
                <w:rFonts w:ascii="仿宋" w:hAnsi="仿宋" w:eastAsia="仿宋" w:cs="仿宋"/>
                <w:spacing w:val="-17"/>
                <w:sz w:val="20"/>
                <w:szCs w:val="20"/>
              </w:rPr>
              <w:t xml:space="preserve"> </w:t>
            </w:r>
            <w:r>
              <w:rPr>
                <w:sz w:val="20"/>
                <w:szCs w:val="20"/>
              </w:rPr>
              <w:t>CO</w:t>
            </w:r>
            <w:r>
              <w:rPr>
                <w:spacing w:val="-16"/>
                <w:sz w:val="20"/>
                <w:szCs w:val="20"/>
              </w:rPr>
              <w:t xml:space="preserve"> </w:t>
            </w:r>
            <w:r>
              <w:rPr>
                <w:rFonts w:ascii="仿宋" w:hAnsi="仿宋" w:eastAsia="仿宋" w:cs="仿宋"/>
                <w:spacing w:val="12"/>
                <w:sz w:val="20"/>
                <w:szCs w:val="20"/>
              </w:rPr>
              <w:t>、碳氢化合物、</w:t>
            </w:r>
            <w:r>
              <w:rPr>
                <w:rFonts w:ascii="仿宋" w:hAnsi="仿宋" w:eastAsia="仿宋" w:cs="仿宋"/>
                <w:sz w:val="20"/>
                <w:szCs w:val="20"/>
              </w:rPr>
              <w:t xml:space="preserve"> </w:t>
            </w:r>
            <w:r>
              <w:rPr>
                <w:sz w:val="20"/>
                <w:szCs w:val="20"/>
              </w:rPr>
              <w:t>NO</w:t>
            </w:r>
            <w:r>
              <w:rPr>
                <w:position w:val="-1"/>
                <w:sz w:val="13"/>
                <w:szCs w:val="13"/>
              </w:rPr>
              <w:t>X</w:t>
            </w:r>
            <w:r>
              <w:rPr>
                <w:spacing w:val="23"/>
                <w:w w:val="101"/>
                <w:position w:val="-1"/>
                <w:sz w:val="13"/>
                <w:szCs w:val="13"/>
              </w:rPr>
              <w:t xml:space="preserve"> </w:t>
            </w:r>
            <w:r>
              <w:rPr>
                <w:rFonts w:ascii="仿宋" w:hAnsi="仿宋" w:eastAsia="仿宋" w:cs="仿宋"/>
                <w:spacing w:val="7"/>
                <w:sz w:val="20"/>
                <w:szCs w:val="20"/>
              </w:rPr>
              <w:t>等污染物。</w:t>
            </w:r>
          </w:p>
          <w:p w14:paraId="25346011">
            <w:pPr>
              <w:pStyle w:val="6"/>
              <w:spacing w:before="1" w:line="376" w:lineRule="auto"/>
              <w:ind w:left="114" w:right="103" w:firstLine="446"/>
              <w:jc w:val="both"/>
              <w:rPr>
                <w:rFonts w:ascii="仿宋" w:hAnsi="仿宋" w:eastAsia="仿宋" w:cs="仿宋"/>
                <w:sz w:val="20"/>
                <w:szCs w:val="20"/>
              </w:rPr>
            </w:pPr>
            <w:r>
              <w:rPr>
                <w:rFonts w:ascii="仿宋" w:hAnsi="仿宋" w:eastAsia="仿宋" w:cs="仿宋"/>
                <w:spacing w:val="10"/>
                <w:sz w:val="20"/>
                <w:szCs w:val="20"/>
              </w:rPr>
              <w:t>由于施工区空气流通性好，排放废气中的各项污染物能够很快扩散，不会引起局</w:t>
            </w:r>
            <w:r>
              <w:rPr>
                <w:rFonts w:ascii="仿宋" w:hAnsi="仿宋" w:eastAsia="仿宋" w:cs="仿宋"/>
                <w:spacing w:val="6"/>
                <w:sz w:val="20"/>
                <w:szCs w:val="20"/>
              </w:rPr>
              <w:t>部</w:t>
            </w:r>
            <w:r>
              <w:rPr>
                <w:rFonts w:ascii="仿宋" w:hAnsi="仿宋" w:eastAsia="仿宋" w:cs="仿宋"/>
                <w:spacing w:val="-5"/>
                <w:sz w:val="20"/>
                <w:szCs w:val="20"/>
              </w:rPr>
              <w:t xml:space="preserve"> </w:t>
            </w:r>
            <w:r>
              <w:rPr>
                <w:spacing w:val="6"/>
                <w:sz w:val="20"/>
                <w:szCs w:val="20"/>
              </w:rPr>
              <w:t>100%</w:t>
            </w:r>
            <w:r>
              <w:rPr>
                <w:rFonts w:ascii="仿宋" w:hAnsi="仿宋" w:eastAsia="仿宋" w:cs="仿宋"/>
                <w:spacing w:val="6"/>
                <w:sz w:val="20"/>
                <w:szCs w:val="20"/>
              </w:rPr>
              <w:t>大气环境质量的恶化，加之废气排放的不连续性和工程施工期有限，排放的废</w:t>
            </w:r>
            <w:r>
              <w:rPr>
                <w:rFonts w:ascii="仿宋" w:hAnsi="仿宋" w:eastAsia="仿宋" w:cs="仿宋"/>
                <w:spacing w:val="8"/>
                <w:sz w:val="20"/>
                <w:szCs w:val="20"/>
              </w:rPr>
              <w:t>气对区域的环境空气质量影响是较小的。</w:t>
            </w:r>
          </w:p>
          <w:p w14:paraId="45B11B6F">
            <w:pPr>
              <w:pStyle w:val="6"/>
              <w:spacing w:before="3" w:line="233" w:lineRule="auto"/>
              <w:ind w:left="537"/>
              <w:rPr>
                <w:rFonts w:ascii="仿宋" w:hAnsi="仿宋" w:eastAsia="仿宋" w:cs="仿宋"/>
                <w:sz w:val="20"/>
                <w:szCs w:val="20"/>
              </w:rPr>
            </w:pPr>
            <w:r>
              <w:rPr>
                <w:rFonts w:ascii="仿宋" w:hAnsi="仿宋" w:eastAsia="仿宋" w:cs="仿宋"/>
                <w:spacing w:val="6"/>
                <w:sz w:val="20"/>
                <w:szCs w:val="20"/>
              </w:rPr>
              <w:t>（</w:t>
            </w:r>
            <w:r>
              <w:rPr>
                <w:spacing w:val="6"/>
                <w:sz w:val="20"/>
                <w:szCs w:val="20"/>
              </w:rPr>
              <w:t>2</w:t>
            </w:r>
            <w:r>
              <w:rPr>
                <w:rFonts w:ascii="仿宋" w:hAnsi="仿宋" w:eastAsia="仿宋" w:cs="仿宋"/>
                <w:spacing w:val="6"/>
                <w:sz w:val="20"/>
                <w:szCs w:val="20"/>
              </w:rPr>
              <w:t>）施工扬尘</w:t>
            </w:r>
          </w:p>
          <w:p w14:paraId="480D8A75">
            <w:pPr>
              <w:spacing w:before="155" w:line="377" w:lineRule="auto"/>
              <w:ind w:left="128" w:right="103" w:firstLine="404"/>
              <w:rPr>
                <w:rFonts w:ascii="仿宋" w:hAnsi="仿宋" w:eastAsia="仿宋" w:cs="仿宋"/>
                <w:sz w:val="20"/>
                <w:szCs w:val="20"/>
              </w:rPr>
            </w:pPr>
            <w:r>
              <w:rPr>
                <w:rFonts w:ascii="仿宋" w:hAnsi="仿宋" w:eastAsia="仿宋" w:cs="仿宋"/>
                <w:spacing w:val="11"/>
                <w:sz w:val="20"/>
                <w:szCs w:val="20"/>
              </w:rPr>
              <w:t>施工场地产生的扬尘主要来源于挖掘机械等施工时产生的扬尘以及运</w:t>
            </w:r>
            <w:r>
              <w:rPr>
                <w:rFonts w:ascii="仿宋" w:hAnsi="仿宋" w:eastAsia="仿宋" w:cs="仿宋"/>
                <w:spacing w:val="10"/>
                <w:sz w:val="20"/>
                <w:szCs w:val="20"/>
              </w:rPr>
              <w:t>输车辆进出</w:t>
            </w:r>
            <w:r>
              <w:rPr>
                <w:rFonts w:ascii="仿宋" w:hAnsi="仿宋" w:eastAsia="仿宋" w:cs="仿宋"/>
                <w:spacing w:val="4"/>
                <w:sz w:val="20"/>
                <w:szCs w:val="20"/>
              </w:rPr>
              <w:t>时产生的扬尘。</w:t>
            </w:r>
          </w:p>
          <w:p w14:paraId="251F9443">
            <w:pPr>
              <w:pStyle w:val="6"/>
              <w:spacing w:before="1" w:line="377" w:lineRule="auto"/>
              <w:ind w:left="113" w:right="90" w:firstLine="420"/>
              <w:jc w:val="both"/>
              <w:rPr>
                <w:rFonts w:ascii="仿宋" w:hAnsi="仿宋" w:eastAsia="仿宋" w:cs="仿宋"/>
                <w:sz w:val="20"/>
                <w:szCs w:val="20"/>
              </w:rPr>
            </w:pPr>
            <w:r>
              <w:rPr>
                <w:rFonts w:ascii="仿宋" w:hAnsi="仿宋" w:eastAsia="仿宋" w:cs="仿宋"/>
                <w:spacing w:val="11"/>
                <w:sz w:val="20"/>
                <w:szCs w:val="20"/>
              </w:rPr>
              <w:t>据有关调查显示，施工工地的扬尘主要是由运输车辆的行驶产生</w:t>
            </w:r>
            <w:r>
              <w:rPr>
                <w:rFonts w:ascii="仿宋" w:hAnsi="仿宋" w:eastAsia="仿宋" w:cs="仿宋"/>
                <w:spacing w:val="10"/>
                <w:sz w:val="20"/>
                <w:szCs w:val="20"/>
              </w:rPr>
              <w:t>，约占扬尘总量</w:t>
            </w:r>
            <w:r>
              <w:rPr>
                <w:rFonts w:ascii="仿宋" w:hAnsi="仿宋" w:eastAsia="仿宋" w:cs="仿宋"/>
                <w:spacing w:val="9"/>
                <w:sz w:val="20"/>
                <w:szCs w:val="20"/>
              </w:rPr>
              <w:t>的</w:t>
            </w:r>
            <w:r>
              <w:rPr>
                <w:rFonts w:ascii="仿宋" w:hAnsi="仿宋" w:eastAsia="仿宋" w:cs="仿宋"/>
                <w:spacing w:val="-36"/>
                <w:sz w:val="20"/>
                <w:szCs w:val="20"/>
              </w:rPr>
              <w:t xml:space="preserve"> </w:t>
            </w:r>
            <w:r>
              <w:rPr>
                <w:spacing w:val="9"/>
                <w:sz w:val="20"/>
                <w:szCs w:val="20"/>
              </w:rPr>
              <w:t>60%</w:t>
            </w:r>
            <w:r>
              <w:rPr>
                <w:spacing w:val="-23"/>
                <w:sz w:val="20"/>
                <w:szCs w:val="20"/>
              </w:rPr>
              <w:t xml:space="preserve"> </w:t>
            </w:r>
            <w:r>
              <w:rPr>
                <w:rFonts w:ascii="仿宋" w:hAnsi="仿宋" w:eastAsia="仿宋" w:cs="仿宋"/>
                <w:spacing w:val="9"/>
                <w:sz w:val="20"/>
                <w:szCs w:val="20"/>
              </w:rPr>
              <w:t>，并与公路路面车辆行驶速度有关，一般情况下，施工场地、施工公路</w:t>
            </w:r>
            <w:r>
              <w:rPr>
                <w:rFonts w:ascii="仿宋" w:hAnsi="仿宋" w:eastAsia="仿宋" w:cs="仿宋"/>
                <w:spacing w:val="8"/>
                <w:sz w:val="20"/>
                <w:szCs w:val="20"/>
              </w:rPr>
              <w:t>在自然</w:t>
            </w:r>
            <w:r>
              <w:rPr>
                <w:rFonts w:ascii="仿宋" w:hAnsi="仿宋" w:eastAsia="仿宋" w:cs="仿宋"/>
                <w:spacing w:val="10"/>
                <w:sz w:val="20"/>
                <w:szCs w:val="20"/>
              </w:rPr>
              <w:t>风作用下产生的扬尘所影响的范围在</w:t>
            </w:r>
            <w:r>
              <w:rPr>
                <w:rFonts w:ascii="仿宋" w:hAnsi="仿宋" w:eastAsia="仿宋" w:cs="仿宋"/>
                <w:spacing w:val="-18"/>
                <w:sz w:val="20"/>
                <w:szCs w:val="20"/>
              </w:rPr>
              <w:t xml:space="preserve"> </w:t>
            </w:r>
            <w:r>
              <w:rPr>
                <w:spacing w:val="10"/>
                <w:sz w:val="20"/>
                <w:szCs w:val="20"/>
              </w:rPr>
              <w:t>100m</w:t>
            </w:r>
            <w:r>
              <w:rPr>
                <w:spacing w:val="42"/>
                <w:sz w:val="20"/>
                <w:szCs w:val="20"/>
              </w:rPr>
              <w:t xml:space="preserve"> </w:t>
            </w:r>
            <w:r>
              <w:rPr>
                <w:rFonts w:ascii="仿宋" w:hAnsi="仿宋" w:eastAsia="仿宋" w:cs="仿宋"/>
                <w:spacing w:val="10"/>
                <w:sz w:val="20"/>
                <w:szCs w:val="20"/>
              </w:rPr>
              <w:t>以内。如果在施工</w:t>
            </w:r>
            <w:r>
              <w:rPr>
                <w:rFonts w:ascii="仿宋" w:hAnsi="仿宋" w:eastAsia="仿宋" w:cs="仿宋"/>
                <w:spacing w:val="9"/>
                <w:sz w:val="20"/>
                <w:szCs w:val="20"/>
              </w:rPr>
              <w:t>期间对车辆行驶的路面</w:t>
            </w:r>
            <w:r>
              <w:rPr>
                <w:rFonts w:ascii="仿宋" w:hAnsi="仿宋" w:eastAsia="仿宋" w:cs="仿宋"/>
                <w:spacing w:val="10"/>
                <w:sz w:val="20"/>
                <w:szCs w:val="20"/>
              </w:rPr>
              <w:t>实施洒水抑尘，每天洒水</w:t>
            </w:r>
            <w:r>
              <w:rPr>
                <w:spacing w:val="10"/>
                <w:sz w:val="20"/>
                <w:szCs w:val="20"/>
              </w:rPr>
              <w:t>4</w:t>
            </w:r>
            <w:r>
              <w:rPr>
                <w:rFonts w:ascii="仿宋" w:hAnsi="仿宋" w:eastAsia="仿宋" w:cs="仿宋"/>
                <w:spacing w:val="10"/>
                <w:sz w:val="20"/>
                <w:szCs w:val="20"/>
              </w:rPr>
              <w:t>～</w:t>
            </w:r>
            <w:r>
              <w:rPr>
                <w:spacing w:val="10"/>
                <w:sz w:val="20"/>
                <w:szCs w:val="20"/>
              </w:rPr>
              <w:t xml:space="preserve">5 </w:t>
            </w:r>
            <w:r>
              <w:rPr>
                <w:rFonts w:ascii="仿宋" w:hAnsi="仿宋" w:eastAsia="仿宋" w:cs="仿宋"/>
                <w:spacing w:val="10"/>
                <w:sz w:val="20"/>
                <w:szCs w:val="20"/>
              </w:rPr>
              <w:t>次，可使扬尘减少</w:t>
            </w:r>
            <w:r>
              <w:rPr>
                <w:spacing w:val="9"/>
                <w:sz w:val="20"/>
                <w:szCs w:val="20"/>
              </w:rPr>
              <w:t>70%</w:t>
            </w:r>
            <w:r>
              <w:rPr>
                <w:rFonts w:ascii="仿宋" w:hAnsi="仿宋" w:eastAsia="仿宋" w:cs="仿宋"/>
                <w:spacing w:val="9"/>
                <w:sz w:val="20"/>
                <w:szCs w:val="20"/>
              </w:rPr>
              <w:t>左右，下表为施工场地洒水抑尘</w:t>
            </w:r>
            <w:r>
              <w:rPr>
                <w:rFonts w:ascii="仿宋" w:hAnsi="仿宋" w:eastAsia="仿宋" w:cs="仿宋"/>
                <w:spacing w:val="8"/>
                <w:sz w:val="20"/>
                <w:szCs w:val="20"/>
              </w:rPr>
              <w:t>的试验结果，</w:t>
            </w:r>
            <w:r>
              <w:rPr>
                <w:rFonts w:ascii="仿宋" w:hAnsi="仿宋" w:eastAsia="仿宋" w:cs="仿宋"/>
                <w:spacing w:val="-51"/>
                <w:sz w:val="20"/>
                <w:szCs w:val="20"/>
              </w:rPr>
              <w:t xml:space="preserve"> </w:t>
            </w:r>
            <w:r>
              <w:rPr>
                <w:rFonts w:ascii="仿宋" w:hAnsi="仿宋" w:eastAsia="仿宋" w:cs="仿宋"/>
                <w:spacing w:val="8"/>
                <w:sz w:val="20"/>
                <w:szCs w:val="20"/>
              </w:rPr>
              <w:t>由表可知，在实施每天洒水</w:t>
            </w:r>
            <w:r>
              <w:rPr>
                <w:spacing w:val="8"/>
                <w:sz w:val="20"/>
                <w:szCs w:val="20"/>
              </w:rPr>
              <w:t>4</w:t>
            </w:r>
            <w:r>
              <w:rPr>
                <w:rFonts w:ascii="仿宋" w:hAnsi="仿宋" w:eastAsia="仿宋" w:cs="仿宋"/>
                <w:spacing w:val="8"/>
                <w:sz w:val="20"/>
                <w:szCs w:val="20"/>
              </w:rPr>
              <w:t>～</w:t>
            </w:r>
            <w:r>
              <w:rPr>
                <w:spacing w:val="8"/>
                <w:sz w:val="20"/>
                <w:szCs w:val="20"/>
              </w:rPr>
              <w:t>5</w:t>
            </w:r>
            <w:r>
              <w:rPr>
                <w:spacing w:val="18"/>
                <w:sz w:val="20"/>
                <w:szCs w:val="20"/>
              </w:rPr>
              <w:t xml:space="preserve"> </w:t>
            </w:r>
            <w:r>
              <w:rPr>
                <w:rFonts w:ascii="仿宋" w:hAnsi="仿宋" w:eastAsia="仿宋" w:cs="仿宋"/>
                <w:spacing w:val="8"/>
                <w:sz w:val="20"/>
                <w:szCs w:val="20"/>
              </w:rPr>
              <w:t>次进行抑尘，可有</w:t>
            </w:r>
            <w:r>
              <w:rPr>
                <w:rFonts w:ascii="仿宋" w:hAnsi="仿宋" w:eastAsia="仿宋" w:cs="仿宋"/>
                <w:spacing w:val="7"/>
                <w:sz w:val="20"/>
                <w:szCs w:val="20"/>
              </w:rPr>
              <w:t>效地控制施工扬尘，</w:t>
            </w:r>
            <w:r>
              <w:rPr>
                <w:rFonts w:ascii="仿宋" w:hAnsi="仿宋" w:eastAsia="仿宋" w:cs="仿宋"/>
                <w:spacing w:val="8"/>
                <w:sz w:val="20"/>
                <w:szCs w:val="20"/>
              </w:rPr>
              <w:t>可将</w:t>
            </w:r>
            <w:r>
              <w:rPr>
                <w:rFonts w:ascii="仿宋" w:hAnsi="仿宋" w:eastAsia="仿宋" w:cs="仿宋"/>
                <w:spacing w:val="-39"/>
                <w:sz w:val="20"/>
                <w:szCs w:val="20"/>
              </w:rPr>
              <w:t xml:space="preserve"> </w:t>
            </w:r>
            <w:r>
              <w:rPr>
                <w:sz w:val="20"/>
                <w:szCs w:val="20"/>
              </w:rPr>
              <w:t>TSP</w:t>
            </w:r>
            <w:r>
              <w:rPr>
                <w:spacing w:val="23"/>
                <w:sz w:val="20"/>
                <w:szCs w:val="20"/>
              </w:rPr>
              <w:t xml:space="preserve"> </w:t>
            </w:r>
            <w:r>
              <w:rPr>
                <w:rFonts w:ascii="仿宋" w:hAnsi="仿宋" w:eastAsia="仿宋" w:cs="仿宋"/>
                <w:spacing w:val="8"/>
                <w:sz w:val="20"/>
                <w:szCs w:val="20"/>
              </w:rPr>
              <w:t>污染距离缩小到</w:t>
            </w:r>
            <w:r>
              <w:rPr>
                <w:spacing w:val="8"/>
                <w:sz w:val="20"/>
                <w:szCs w:val="20"/>
              </w:rPr>
              <w:t>20</w:t>
            </w:r>
            <w:r>
              <w:rPr>
                <w:rFonts w:ascii="仿宋" w:hAnsi="仿宋" w:eastAsia="仿宋" w:cs="仿宋"/>
                <w:spacing w:val="8"/>
                <w:sz w:val="20"/>
                <w:szCs w:val="20"/>
              </w:rPr>
              <w:t>～</w:t>
            </w:r>
            <w:r>
              <w:rPr>
                <w:spacing w:val="8"/>
                <w:sz w:val="20"/>
                <w:szCs w:val="20"/>
              </w:rPr>
              <w:t>50m</w:t>
            </w:r>
            <w:r>
              <w:rPr>
                <w:spacing w:val="26"/>
                <w:w w:val="101"/>
                <w:sz w:val="20"/>
                <w:szCs w:val="20"/>
              </w:rPr>
              <w:t xml:space="preserve"> </w:t>
            </w:r>
            <w:r>
              <w:rPr>
                <w:rFonts w:ascii="仿宋" w:hAnsi="仿宋" w:eastAsia="仿宋" w:cs="仿宋"/>
                <w:spacing w:val="8"/>
                <w:sz w:val="20"/>
                <w:szCs w:val="20"/>
              </w:rPr>
              <w:t>范围内。另外，由于道路和扬尘量</w:t>
            </w:r>
            <w:r>
              <w:rPr>
                <w:rFonts w:ascii="仿宋" w:hAnsi="仿宋" w:eastAsia="仿宋" w:cs="仿宋"/>
                <w:spacing w:val="7"/>
                <w:sz w:val="20"/>
                <w:szCs w:val="20"/>
              </w:rPr>
              <w:t>与车辆的行驶速</w:t>
            </w:r>
            <w:r>
              <w:rPr>
                <w:rFonts w:ascii="仿宋" w:hAnsi="仿宋" w:eastAsia="仿宋" w:cs="仿宋"/>
                <w:spacing w:val="11"/>
                <w:sz w:val="20"/>
                <w:szCs w:val="20"/>
              </w:rPr>
              <w:t>度有关，速度愈快，其扬尘量势必愈大，所以在施工场地，对施工</w:t>
            </w:r>
            <w:r>
              <w:rPr>
                <w:rFonts w:ascii="仿宋" w:hAnsi="仿宋" w:eastAsia="仿宋" w:cs="仿宋"/>
                <w:spacing w:val="10"/>
                <w:sz w:val="20"/>
                <w:szCs w:val="20"/>
              </w:rPr>
              <w:t>车辆必须实施限速</w:t>
            </w:r>
            <w:r>
              <w:rPr>
                <w:rFonts w:ascii="仿宋" w:hAnsi="仿宋" w:eastAsia="仿宋" w:cs="仿宋"/>
                <w:spacing w:val="9"/>
                <w:sz w:val="20"/>
                <w:szCs w:val="20"/>
              </w:rPr>
              <w:t>行驶，一方面是减少扬尘发生量，另一方面也是出于施工安全的考虑。</w:t>
            </w:r>
          </w:p>
          <w:p w14:paraId="4A27F9F0">
            <w:pPr>
              <w:pStyle w:val="6"/>
              <w:spacing w:line="231" w:lineRule="auto"/>
              <w:ind w:left="2275"/>
              <w:rPr>
                <w:rFonts w:ascii="仿宋" w:hAnsi="仿宋" w:eastAsia="仿宋" w:cs="仿宋"/>
                <w:sz w:val="20"/>
                <w:szCs w:val="20"/>
              </w:rPr>
            </w:pPr>
            <w:r>
              <w:rPr>
                <w:rFonts w:ascii="仿宋" w:hAnsi="仿宋" w:eastAsia="仿宋" w:cs="仿宋"/>
                <w:b/>
                <w:bCs/>
                <w:spacing w:val="5"/>
                <w:sz w:val="20"/>
                <w:szCs w:val="20"/>
              </w:rPr>
              <w:t>表</w:t>
            </w:r>
            <w:r>
              <w:rPr>
                <w:rFonts w:ascii="仿宋" w:hAnsi="仿宋" w:eastAsia="仿宋" w:cs="仿宋"/>
                <w:spacing w:val="-26"/>
                <w:sz w:val="20"/>
                <w:szCs w:val="20"/>
              </w:rPr>
              <w:t xml:space="preserve"> </w:t>
            </w:r>
            <w:r>
              <w:rPr>
                <w:b/>
                <w:bCs/>
                <w:spacing w:val="5"/>
                <w:sz w:val="20"/>
                <w:szCs w:val="20"/>
              </w:rPr>
              <w:t xml:space="preserve">4-1    </w:t>
            </w:r>
            <w:r>
              <w:rPr>
                <w:rFonts w:ascii="仿宋" w:hAnsi="仿宋" w:eastAsia="仿宋" w:cs="仿宋"/>
                <w:b/>
                <w:bCs/>
                <w:spacing w:val="5"/>
                <w:sz w:val="20"/>
                <w:szCs w:val="20"/>
              </w:rPr>
              <w:t>施工期场地洒水抑尘试验结果</w:t>
            </w:r>
          </w:p>
          <w:p w14:paraId="6CD961B9">
            <w:pPr>
              <w:spacing w:line="127" w:lineRule="exact"/>
            </w:pPr>
          </w:p>
          <w:tbl>
            <w:tblPr>
              <w:tblStyle w:val="5"/>
              <w:tblW w:w="7813" w:type="dxa"/>
              <w:tblInd w:w="10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359"/>
              <w:gridCol w:w="1069"/>
              <w:gridCol w:w="941"/>
              <w:gridCol w:w="814"/>
              <w:gridCol w:w="815"/>
              <w:gridCol w:w="815"/>
            </w:tblGrid>
            <w:tr w14:paraId="62ACD1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5" w:hRule="atLeast"/>
              </w:trPr>
              <w:tc>
                <w:tcPr>
                  <w:tcW w:w="4428" w:type="dxa"/>
                  <w:gridSpan w:val="2"/>
                  <w:tcBorders>
                    <w:top w:val="single" w:color="000000" w:sz="10" w:space="0"/>
                    <w:left w:val="nil"/>
                  </w:tcBorders>
                  <w:vAlign w:val="top"/>
                </w:tcPr>
                <w:p w14:paraId="563318FF">
                  <w:pPr>
                    <w:pStyle w:val="6"/>
                    <w:spacing w:before="32" w:line="197" w:lineRule="auto"/>
                    <w:ind w:left="1795"/>
                    <w:rPr>
                      <w:rFonts w:ascii="仿宋" w:hAnsi="仿宋" w:eastAsia="仿宋" w:cs="仿宋"/>
                    </w:rPr>
                  </w:pPr>
                  <w:r>
                    <w:rPr>
                      <w:rFonts w:ascii="仿宋" w:hAnsi="仿宋" w:eastAsia="仿宋" w:cs="仿宋"/>
                      <w:spacing w:val="-3"/>
                    </w:rPr>
                    <w:t>距离（</w:t>
                  </w:r>
                  <w:r>
                    <w:rPr>
                      <w:spacing w:val="-3"/>
                    </w:rPr>
                    <w:t>m</w:t>
                  </w:r>
                  <w:r>
                    <w:rPr>
                      <w:rFonts w:ascii="仿宋" w:hAnsi="仿宋" w:eastAsia="仿宋" w:cs="仿宋"/>
                      <w:spacing w:val="-3"/>
                    </w:rPr>
                    <w:t>）</w:t>
                  </w:r>
                </w:p>
              </w:tc>
              <w:tc>
                <w:tcPr>
                  <w:tcW w:w="941" w:type="dxa"/>
                  <w:tcBorders>
                    <w:top w:val="single" w:color="000000" w:sz="10" w:space="0"/>
                  </w:tcBorders>
                  <w:vAlign w:val="top"/>
                </w:tcPr>
                <w:p w14:paraId="70DE0631">
                  <w:pPr>
                    <w:pStyle w:val="6"/>
                    <w:spacing w:before="64" w:line="185" w:lineRule="auto"/>
                    <w:ind w:left="429"/>
                  </w:pPr>
                  <w:r>
                    <w:t>5</w:t>
                  </w:r>
                </w:p>
              </w:tc>
              <w:tc>
                <w:tcPr>
                  <w:tcW w:w="814" w:type="dxa"/>
                  <w:tcBorders>
                    <w:top w:val="single" w:color="000000" w:sz="10" w:space="0"/>
                  </w:tcBorders>
                  <w:vAlign w:val="top"/>
                </w:tcPr>
                <w:p w14:paraId="0D37A088">
                  <w:pPr>
                    <w:pStyle w:val="6"/>
                    <w:spacing w:before="62" w:line="188" w:lineRule="auto"/>
                    <w:ind w:left="319"/>
                  </w:pPr>
                  <w:r>
                    <w:rPr>
                      <w:spacing w:val="-2"/>
                    </w:rPr>
                    <w:t>20</w:t>
                  </w:r>
                </w:p>
              </w:tc>
              <w:tc>
                <w:tcPr>
                  <w:tcW w:w="815" w:type="dxa"/>
                  <w:tcBorders>
                    <w:top w:val="single" w:color="000000" w:sz="10" w:space="0"/>
                  </w:tcBorders>
                  <w:vAlign w:val="top"/>
                </w:tcPr>
                <w:p w14:paraId="06DB517F">
                  <w:pPr>
                    <w:pStyle w:val="6"/>
                    <w:spacing w:before="62" w:line="188" w:lineRule="auto"/>
                    <w:ind w:left="323"/>
                  </w:pPr>
                  <w:r>
                    <w:rPr>
                      <w:spacing w:val="-4"/>
                    </w:rPr>
                    <w:t>50</w:t>
                  </w:r>
                </w:p>
              </w:tc>
              <w:tc>
                <w:tcPr>
                  <w:tcW w:w="815" w:type="dxa"/>
                  <w:tcBorders>
                    <w:top w:val="single" w:color="000000" w:sz="10" w:space="0"/>
                    <w:right w:val="nil"/>
                  </w:tcBorders>
                  <w:vAlign w:val="top"/>
                </w:tcPr>
                <w:p w14:paraId="034E472C">
                  <w:pPr>
                    <w:pStyle w:val="6"/>
                    <w:spacing w:before="62" w:line="188" w:lineRule="auto"/>
                    <w:ind w:left="291"/>
                  </w:pPr>
                  <w:r>
                    <w:rPr>
                      <w:spacing w:val="-7"/>
                    </w:rPr>
                    <w:t>100</w:t>
                  </w:r>
                </w:p>
              </w:tc>
            </w:tr>
            <w:tr w14:paraId="394C80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 w:hRule="atLeast"/>
              </w:trPr>
              <w:tc>
                <w:tcPr>
                  <w:tcW w:w="3359" w:type="dxa"/>
                  <w:vMerge w:val="restart"/>
                  <w:tcBorders>
                    <w:left w:val="nil"/>
                    <w:bottom w:val="nil"/>
                  </w:tcBorders>
                  <w:vAlign w:val="top"/>
                </w:tcPr>
                <w:p w14:paraId="1D9EF632">
                  <w:pPr>
                    <w:pStyle w:val="6"/>
                    <w:spacing w:before="155" w:line="212" w:lineRule="auto"/>
                    <w:ind w:left="549"/>
                    <w:rPr>
                      <w:rFonts w:ascii="仿宋" w:hAnsi="仿宋" w:eastAsia="仿宋" w:cs="仿宋"/>
                    </w:rPr>
                  </w:pPr>
                  <w:r>
                    <w:rPr>
                      <w:spacing w:val="-2"/>
                    </w:rPr>
                    <w:t>TSP</w:t>
                  </w:r>
                  <w:r>
                    <w:rPr>
                      <w:spacing w:val="28"/>
                    </w:rPr>
                    <w:t xml:space="preserve"> </w:t>
                  </w:r>
                  <w:r>
                    <w:rPr>
                      <w:rFonts w:ascii="仿宋" w:hAnsi="仿宋" w:eastAsia="仿宋" w:cs="仿宋"/>
                      <w:spacing w:val="-2"/>
                    </w:rPr>
                    <w:t>小时平均浓度（</w:t>
                  </w:r>
                  <w:r>
                    <w:rPr>
                      <w:spacing w:val="-2"/>
                    </w:rPr>
                    <w:t>mg/m</w:t>
                  </w:r>
                  <w:r>
                    <w:rPr>
                      <w:spacing w:val="-2"/>
                      <w:sz w:val="11"/>
                      <w:szCs w:val="11"/>
                    </w:rPr>
                    <w:t>3</w:t>
                  </w:r>
                  <w:r>
                    <w:rPr>
                      <w:rFonts w:ascii="仿宋" w:hAnsi="仿宋" w:eastAsia="仿宋" w:cs="仿宋"/>
                      <w:spacing w:val="-2"/>
                    </w:rPr>
                    <w:t>）</w:t>
                  </w:r>
                </w:p>
              </w:tc>
              <w:tc>
                <w:tcPr>
                  <w:tcW w:w="1069" w:type="dxa"/>
                  <w:vAlign w:val="top"/>
                </w:tcPr>
                <w:p w14:paraId="3D687394">
                  <w:pPr>
                    <w:spacing w:before="35" w:line="189" w:lineRule="auto"/>
                    <w:ind w:left="277"/>
                    <w:rPr>
                      <w:rFonts w:ascii="仿宋" w:hAnsi="仿宋" w:eastAsia="仿宋" w:cs="仿宋"/>
                      <w:sz w:val="18"/>
                      <w:szCs w:val="18"/>
                    </w:rPr>
                  </w:pPr>
                  <w:r>
                    <w:rPr>
                      <w:rFonts w:ascii="仿宋" w:hAnsi="仿宋" w:eastAsia="仿宋" w:cs="仿宋"/>
                      <w:spacing w:val="-6"/>
                      <w:sz w:val="18"/>
                      <w:szCs w:val="18"/>
                    </w:rPr>
                    <w:t>不洒水</w:t>
                  </w:r>
                </w:p>
              </w:tc>
              <w:tc>
                <w:tcPr>
                  <w:tcW w:w="941" w:type="dxa"/>
                  <w:vAlign w:val="top"/>
                </w:tcPr>
                <w:p w14:paraId="27B279EC">
                  <w:pPr>
                    <w:pStyle w:val="6"/>
                    <w:spacing w:before="63" w:line="181" w:lineRule="auto"/>
                    <w:ind w:left="286"/>
                  </w:pPr>
                  <w:r>
                    <w:rPr>
                      <w:spacing w:val="-9"/>
                    </w:rPr>
                    <w:t>10.</w:t>
                  </w:r>
                  <w:r>
                    <w:rPr>
                      <w:spacing w:val="-21"/>
                    </w:rPr>
                    <w:t xml:space="preserve"> </w:t>
                  </w:r>
                  <w:r>
                    <w:rPr>
                      <w:spacing w:val="-9"/>
                    </w:rPr>
                    <w:t>14</w:t>
                  </w:r>
                </w:p>
              </w:tc>
              <w:tc>
                <w:tcPr>
                  <w:tcW w:w="814" w:type="dxa"/>
                  <w:vAlign w:val="top"/>
                </w:tcPr>
                <w:p w14:paraId="574BD535">
                  <w:pPr>
                    <w:pStyle w:val="6"/>
                    <w:spacing w:before="63" w:line="181" w:lineRule="auto"/>
                    <w:ind w:left="249"/>
                  </w:pPr>
                  <w:r>
                    <w:rPr>
                      <w:spacing w:val="-1"/>
                    </w:rPr>
                    <w:t>2.89</w:t>
                  </w:r>
                </w:p>
              </w:tc>
              <w:tc>
                <w:tcPr>
                  <w:tcW w:w="815" w:type="dxa"/>
                  <w:vAlign w:val="top"/>
                </w:tcPr>
                <w:p w14:paraId="596D7843">
                  <w:pPr>
                    <w:pStyle w:val="6"/>
                    <w:spacing w:before="63" w:line="181" w:lineRule="auto"/>
                    <w:ind w:left="268"/>
                  </w:pPr>
                  <w:r>
                    <w:rPr>
                      <w:spacing w:val="-5"/>
                    </w:rPr>
                    <w:t>1.15</w:t>
                  </w:r>
                </w:p>
              </w:tc>
              <w:tc>
                <w:tcPr>
                  <w:tcW w:w="815" w:type="dxa"/>
                  <w:tcBorders>
                    <w:right w:val="nil"/>
                  </w:tcBorders>
                  <w:vAlign w:val="top"/>
                </w:tcPr>
                <w:p w14:paraId="2909BBCC">
                  <w:pPr>
                    <w:pStyle w:val="6"/>
                    <w:spacing w:before="63" w:line="181" w:lineRule="auto"/>
                    <w:ind w:left="252"/>
                  </w:pPr>
                  <w:r>
                    <w:rPr>
                      <w:spacing w:val="-2"/>
                    </w:rPr>
                    <w:t>0.86</w:t>
                  </w:r>
                </w:p>
              </w:tc>
            </w:tr>
            <w:tr w14:paraId="2BC987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4" w:hRule="atLeast"/>
              </w:trPr>
              <w:tc>
                <w:tcPr>
                  <w:tcW w:w="3359" w:type="dxa"/>
                  <w:vMerge w:val="continue"/>
                  <w:tcBorders>
                    <w:top w:val="nil"/>
                    <w:left w:val="nil"/>
                    <w:bottom w:val="single" w:color="000000" w:sz="10" w:space="0"/>
                  </w:tcBorders>
                  <w:vAlign w:val="top"/>
                </w:tcPr>
                <w:p w14:paraId="71ACF20E">
                  <w:pPr>
                    <w:rPr>
                      <w:rFonts w:ascii="Arial"/>
                      <w:sz w:val="21"/>
                    </w:rPr>
                  </w:pPr>
                </w:p>
              </w:tc>
              <w:tc>
                <w:tcPr>
                  <w:tcW w:w="1069" w:type="dxa"/>
                  <w:tcBorders>
                    <w:bottom w:val="single" w:color="000000" w:sz="10" w:space="0"/>
                  </w:tcBorders>
                  <w:vAlign w:val="top"/>
                </w:tcPr>
                <w:p w14:paraId="286FEC2F">
                  <w:pPr>
                    <w:spacing w:before="45" w:line="204" w:lineRule="auto"/>
                    <w:ind w:left="362"/>
                    <w:rPr>
                      <w:rFonts w:ascii="仿宋" w:hAnsi="仿宋" w:eastAsia="仿宋" w:cs="仿宋"/>
                      <w:sz w:val="18"/>
                      <w:szCs w:val="18"/>
                    </w:rPr>
                  </w:pPr>
                  <w:r>
                    <w:rPr>
                      <w:rFonts w:ascii="仿宋" w:hAnsi="仿宋" w:eastAsia="仿宋" w:cs="仿宋"/>
                      <w:spacing w:val="-6"/>
                      <w:sz w:val="18"/>
                      <w:szCs w:val="18"/>
                    </w:rPr>
                    <w:t>洒水</w:t>
                  </w:r>
                </w:p>
              </w:tc>
              <w:tc>
                <w:tcPr>
                  <w:tcW w:w="941" w:type="dxa"/>
                  <w:tcBorders>
                    <w:bottom w:val="single" w:color="000000" w:sz="10" w:space="0"/>
                  </w:tcBorders>
                  <w:vAlign w:val="top"/>
                </w:tcPr>
                <w:p w14:paraId="12AC5343">
                  <w:pPr>
                    <w:pStyle w:val="6"/>
                    <w:spacing w:before="74" w:line="188" w:lineRule="auto"/>
                    <w:ind w:left="314"/>
                  </w:pPr>
                  <w:r>
                    <w:rPr>
                      <w:spacing w:val="-1"/>
                    </w:rPr>
                    <w:t>2.01</w:t>
                  </w:r>
                </w:p>
              </w:tc>
              <w:tc>
                <w:tcPr>
                  <w:tcW w:w="814" w:type="dxa"/>
                  <w:tcBorders>
                    <w:bottom w:val="single" w:color="000000" w:sz="10" w:space="0"/>
                  </w:tcBorders>
                  <w:vAlign w:val="top"/>
                </w:tcPr>
                <w:p w14:paraId="02F60C60">
                  <w:pPr>
                    <w:pStyle w:val="6"/>
                    <w:spacing w:before="74" w:line="188" w:lineRule="auto"/>
                    <w:ind w:left="266"/>
                  </w:pPr>
                  <w:r>
                    <w:rPr>
                      <w:spacing w:val="-5"/>
                    </w:rPr>
                    <w:t>1.40</w:t>
                  </w:r>
                </w:p>
              </w:tc>
              <w:tc>
                <w:tcPr>
                  <w:tcW w:w="815" w:type="dxa"/>
                  <w:tcBorders>
                    <w:bottom w:val="single" w:color="000000" w:sz="10" w:space="0"/>
                  </w:tcBorders>
                  <w:vAlign w:val="top"/>
                </w:tcPr>
                <w:p w14:paraId="63A9B8CC">
                  <w:pPr>
                    <w:pStyle w:val="6"/>
                    <w:spacing w:before="74" w:line="188" w:lineRule="auto"/>
                    <w:ind w:left="254"/>
                  </w:pPr>
                  <w:r>
                    <w:rPr>
                      <w:spacing w:val="-2"/>
                    </w:rPr>
                    <w:t>0.67</w:t>
                  </w:r>
                </w:p>
              </w:tc>
              <w:tc>
                <w:tcPr>
                  <w:tcW w:w="815" w:type="dxa"/>
                  <w:tcBorders>
                    <w:bottom w:val="single" w:color="000000" w:sz="10" w:space="0"/>
                    <w:right w:val="nil"/>
                  </w:tcBorders>
                  <w:vAlign w:val="top"/>
                </w:tcPr>
                <w:p w14:paraId="63961F5B">
                  <w:pPr>
                    <w:pStyle w:val="6"/>
                    <w:spacing w:before="74" w:line="188" w:lineRule="auto"/>
                    <w:ind w:left="252"/>
                  </w:pPr>
                  <w:r>
                    <w:rPr>
                      <w:spacing w:val="-2"/>
                    </w:rPr>
                    <w:t>0.60</w:t>
                  </w:r>
                </w:p>
              </w:tc>
            </w:tr>
          </w:tbl>
          <w:p w14:paraId="373C3F8F">
            <w:pPr>
              <w:pStyle w:val="6"/>
              <w:spacing w:before="30" w:line="377" w:lineRule="auto"/>
              <w:ind w:left="112" w:right="102" w:firstLine="424"/>
              <w:jc w:val="both"/>
              <w:rPr>
                <w:rFonts w:ascii="仿宋" w:hAnsi="仿宋" w:eastAsia="仿宋" w:cs="仿宋"/>
                <w:sz w:val="20"/>
                <w:szCs w:val="20"/>
              </w:rPr>
            </w:pPr>
            <w:r>
              <w:rPr>
                <w:rFonts w:ascii="仿宋" w:hAnsi="仿宋" w:eastAsia="仿宋" w:cs="仿宋"/>
                <w:spacing w:val="11"/>
                <w:sz w:val="20"/>
                <w:szCs w:val="20"/>
              </w:rPr>
              <w:t>公路沿线村庄的居民比较分散，进出工地的物料、弃土运</w:t>
            </w:r>
            <w:r>
              <w:rPr>
                <w:rFonts w:ascii="仿宋" w:hAnsi="仿宋" w:eastAsia="仿宋" w:cs="仿宋"/>
                <w:spacing w:val="10"/>
                <w:sz w:val="20"/>
                <w:szCs w:val="20"/>
              </w:rPr>
              <w:t>输车辆，应尽可能采用</w:t>
            </w:r>
            <w:r>
              <w:rPr>
                <w:rFonts w:ascii="仿宋" w:hAnsi="仿宋" w:eastAsia="仿宋" w:cs="仿宋"/>
                <w:spacing w:val="11"/>
                <w:sz w:val="20"/>
                <w:szCs w:val="20"/>
              </w:rPr>
              <w:t>密闭车斗，并保证物料不遗撒外漏。若无密闭车斗，物料、弃土的装</w:t>
            </w:r>
            <w:r>
              <w:rPr>
                <w:rFonts w:ascii="仿宋" w:hAnsi="仿宋" w:eastAsia="仿宋" w:cs="仿宋"/>
                <w:spacing w:val="10"/>
                <w:sz w:val="20"/>
                <w:szCs w:val="20"/>
              </w:rPr>
              <w:t>载高度不得超过</w:t>
            </w:r>
            <w:r>
              <w:rPr>
                <w:rFonts w:ascii="仿宋" w:hAnsi="仿宋" w:eastAsia="仿宋" w:cs="仿宋"/>
                <w:spacing w:val="7"/>
                <w:sz w:val="20"/>
                <w:szCs w:val="20"/>
              </w:rPr>
              <w:t>车辆槽帮上沿，车斗应用苫布遮盖严实。苫布边缘至少要遮住</w:t>
            </w:r>
            <w:r>
              <w:rPr>
                <w:rFonts w:ascii="仿宋" w:hAnsi="仿宋" w:eastAsia="仿宋" w:cs="仿宋"/>
                <w:spacing w:val="6"/>
                <w:sz w:val="20"/>
                <w:szCs w:val="20"/>
              </w:rPr>
              <w:t>槽帮上沿以下</w:t>
            </w:r>
            <w:r>
              <w:rPr>
                <w:rFonts w:ascii="仿宋" w:hAnsi="仿宋" w:eastAsia="仿宋" w:cs="仿宋"/>
                <w:spacing w:val="-23"/>
                <w:sz w:val="20"/>
                <w:szCs w:val="20"/>
              </w:rPr>
              <w:t xml:space="preserve"> </w:t>
            </w:r>
            <w:r>
              <w:rPr>
                <w:spacing w:val="6"/>
                <w:sz w:val="20"/>
                <w:szCs w:val="20"/>
              </w:rPr>
              <w:t>15</w:t>
            </w:r>
            <w:r>
              <w:rPr>
                <w:sz w:val="20"/>
                <w:szCs w:val="20"/>
              </w:rPr>
              <w:t>cm</w:t>
            </w:r>
            <w:r>
              <w:rPr>
                <w:spacing w:val="-20"/>
                <w:sz w:val="20"/>
                <w:szCs w:val="20"/>
              </w:rPr>
              <w:t xml:space="preserve"> </w:t>
            </w:r>
            <w:r>
              <w:rPr>
                <w:rFonts w:ascii="仿宋" w:hAnsi="仿宋" w:eastAsia="仿宋" w:cs="仿宋"/>
                <w:spacing w:val="6"/>
                <w:sz w:val="20"/>
                <w:szCs w:val="20"/>
              </w:rPr>
              <w:t>，保</w:t>
            </w:r>
            <w:r>
              <w:rPr>
                <w:rFonts w:ascii="仿宋" w:hAnsi="仿宋" w:eastAsia="仿宋" w:cs="仿宋"/>
                <w:spacing w:val="8"/>
                <w:sz w:val="20"/>
                <w:szCs w:val="20"/>
              </w:rPr>
              <w:t>证物料、弃土等不露出，</w:t>
            </w:r>
            <w:r>
              <w:rPr>
                <w:rFonts w:ascii="仿宋" w:hAnsi="仿宋" w:eastAsia="仿宋" w:cs="仿宋"/>
                <w:spacing w:val="-59"/>
                <w:sz w:val="20"/>
                <w:szCs w:val="20"/>
              </w:rPr>
              <w:t xml:space="preserve"> </w:t>
            </w:r>
            <w:r>
              <w:rPr>
                <w:rFonts w:ascii="仿宋" w:hAnsi="仿宋" w:eastAsia="仿宋" w:cs="仿宋"/>
                <w:spacing w:val="8"/>
                <w:sz w:val="20"/>
                <w:szCs w:val="20"/>
              </w:rPr>
              <w:t>以减小物料运输车辆产生扬尘对周边居民的影</w:t>
            </w:r>
            <w:r>
              <w:rPr>
                <w:rFonts w:ascii="仿宋" w:hAnsi="仿宋" w:eastAsia="仿宋" w:cs="仿宋"/>
                <w:spacing w:val="7"/>
                <w:sz w:val="20"/>
                <w:szCs w:val="20"/>
              </w:rPr>
              <w:t>响。</w:t>
            </w:r>
          </w:p>
          <w:p w14:paraId="092318B3">
            <w:pPr>
              <w:spacing w:before="3" w:line="359" w:lineRule="auto"/>
              <w:ind w:left="115" w:right="103" w:firstLine="424"/>
              <w:rPr>
                <w:rFonts w:ascii="仿宋" w:hAnsi="仿宋" w:eastAsia="仿宋" w:cs="仿宋"/>
                <w:sz w:val="20"/>
                <w:szCs w:val="20"/>
              </w:rPr>
            </w:pPr>
            <w:r>
              <w:rPr>
                <w:rFonts w:ascii="仿宋" w:hAnsi="仿宋" w:eastAsia="仿宋" w:cs="仿宋"/>
                <w:spacing w:val="9"/>
                <w:sz w:val="20"/>
                <w:szCs w:val="20"/>
              </w:rPr>
              <w:t>另外进出工地的物料、弃土，其扬尘的产生还受作业时风速的影响，</w:t>
            </w:r>
            <w:r>
              <w:rPr>
                <w:rFonts w:ascii="仿宋" w:hAnsi="仿宋" w:eastAsia="仿宋" w:cs="仿宋"/>
                <w:spacing w:val="-42"/>
                <w:sz w:val="20"/>
                <w:szCs w:val="20"/>
              </w:rPr>
              <w:t xml:space="preserve"> </w:t>
            </w:r>
            <w:r>
              <w:rPr>
                <w:rFonts w:ascii="仿宋" w:hAnsi="仿宋" w:eastAsia="仿宋" w:cs="仿宋"/>
                <w:spacing w:val="9"/>
                <w:sz w:val="20"/>
                <w:szCs w:val="20"/>
              </w:rPr>
              <w:t>因此，禁止在大风天气进行此类作业，减少建材的露天堆放是抑制这类扬尘的有效手段。</w:t>
            </w:r>
          </w:p>
        </w:tc>
      </w:tr>
    </w:tbl>
    <w:p w14:paraId="02835D39">
      <w:pPr>
        <w:pStyle w:val="2"/>
        <w:spacing w:line="53" w:lineRule="exact"/>
        <w:rPr>
          <w:sz w:val="4"/>
        </w:rPr>
      </w:pPr>
    </w:p>
    <w:p w14:paraId="2DE3EF56">
      <w:pPr>
        <w:spacing w:line="53" w:lineRule="exact"/>
        <w:rPr>
          <w:sz w:val="4"/>
          <w:szCs w:val="4"/>
        </w:rPr>
        <w:sectPr>
          <w:footerReference r:id="rId57" w:type="default"/>
          <w:pgSz w:w="11907" w:h="16840"/>
          <w:pgMar w:top="400" w:right="1598" w:bottom="1446" w:left="1598" w:header="0" w:footer="1284" w:gutter="0"/>
          <w:cols w:space="720" w:num="1"/>
        </w:sectPr>
      </w:pPr>
    </w:p>
    <w:p w14:paraId="19C91AFD">
      <w:pPr>
        <w:spacing w:before="19"/>
      </w:pPr>
    </w:p>
    <w:p w14:paraId="0E9C268F">
      <w:pPr>
        <w:spacing w:before="19"/>
      </w:pPr>
    </w:p>
    <w:p w14:paraId="3C91CB4E">
      <w:pPr>
        <w:spacing w:before="18"/>
      </w:pPr>
    </w:p>
    <w:p w14:paraId="5426354A">
      <w:pPr>
        <w:spacing w:before="18"/>
      </w:pPr>
    </w:p>
    <w:tbl>
      <w:tblPr>
        <w:tblStyle w:val="5"/>
        <w:tblW w:w="869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68"/>
        <w:gridCol w:w="8027"/>
      </w:tblGrid>
      <w:tr w14:paraId="53FA39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488" w:hRule="atLeast"/>
        </w:trPr>
        <w:tc>
          <w:tcPr>
            <w:tcW w:w="668" w:type="dxa"/>
            <w:tcBorders>
              <w:right w:val="single" w:color="000000" w:sz="2" w:space="0"/>
            </w:tcBorders>
            <w:vAlign w:val="top"/>
          </w:tcPr>
          <w:p w14:paraId="3276C792">
            <w:pPr>
              <w:rPr>
                <w:rFonts w:ascii="Arial"/>
                <w:sz w:val="21"/>
              </w:rPr>
            </w:pPr>
          </w:p>
        </w:tc>
        <w:tc>
          <w:tcPr>
            <w:tcW w:w="8027" w:type="dxa"/>
            <w:tcBorders>
              <w:left w:val="single" w:color="000000" w:sz="2" w:space="0"/>
            </w:tcBorders>
            <w:vAlign w:val="top"/>
          </w:tcPr>
          <w:p w14:paraId="316F50F0">
            <w:pPr>
              <w:spacing w:before="35" w:line="377" w:lineRule="auto"/>
              <w:ind w:left="112" w:right="148" w:firstLine="420"/>
              <w:jc w:val="both"/>
              <w:rPr>
                <w:rFonts w:ascii="仿宋" w:hAnsi="仿宋" w:eastAsia="仿宋" w:cs="仿宋"/>
                <w:sz w:val="20"/>
                <w:szCs w:val="20"/>
              </w:rPr>
            </w:pPr>
            <w:r>
              <w:rPr>
                <w:rFonts w:ascii="仿宋" w:hAnsi="仿宋" w:eastAsia="仿宋" w:cs="仿宋"/>
                <w:spacing w:val="8"/>
                <w:sz w:val="20"/>
                <w:szCs w:val="20"/>
              </w:rPr>
              <w:t>施工中对地表的破坏会加大沙尘的浓度，</w:t>
            </w:r>
            <w:r>
              <w:rPr>
                <w:rFonts w:ascii="仿宋" w:hAnsi="仿宋" w:eastAsia="仿宋" w:cs="仿宋"/>
                <w:spacing w:val="-46"/>
                <w:sz w:val="20"/>
                <w:szCs w:val="20"/>
              </w:rPr>
              <w:t xml:space="preserve"> </w:t>
            </w:r>
            <w:r>
              <w:rPr>
                <w:rFonts w:ascii="仿宋" w:hAnsi="仿宋" w:eastAsia="仿宋" w:cs="仿宋"/>
                <w:spacing w:val="8"/>
                <w:sz w:val="20"/>
                <w:szCs w:val="20"/>
              </w:rPr>
              <w:t>因此施工作业必然对本项目沿线村庄环</w:t>
            </w:r>
            <w:r>
              <w:rPr>
                <w:rFonts w:ascii="仿宋" w:hAnsi="仿宋" w:eastAsia="仿宋" w:cs="仿宋"/>
                <w:spacing w:val="10"/>
                <w:sz w:val="20"/>
                <w:szCs w:val="20"/>
              </w:rPr>
              <w:t>境空气造成一定程度的污染，但这种污染是短期</w:t>
            </w:r>
            <w:r>
              <w:rPr>
                <w:rFonts w:ascii="仿宋" w:hAnsi="仿宋" w:eastAsia="仿宋" w:cs="仿宋"/>
                <w:spacing w:val="9"/>
                <w:sz w:val="20"/>
                <w:szCs w:val="20"/>
              </w:rPr>
              <w:t>的，工程结束后，这种污染将逐渐减</w:t>
            </w:r>
            <w:r>
              <w:rPr>
                <w:rFonts w:ascii="仿宋" w:hAnsi="仿宋" w:eastAsia="仿宋" w:cs="仿宋"/>
                <w:spacing w:val="10"/>
                <w:sz w:val="20"/>
                <w:szCs w:val="20"/>
              </w:rPr>
              <w:t>轻或消失。本报告要求建设单位和施工单位对施</w:t>
            </w:r>
            <w:r>
              <w:rPr>
                <w:rFonts w:ascii="仿宋" w:hAnsi="仿宋" w:eastAsia="仿宋" w:cs="仿宋"/>
                <w:spacing w:val="9"/>
                <w:sz w:val="20"/>
                <w:szCs w:val="20"/>
              </w:rPr>
              <w:t>工场地定期洒水，有效降低施工扬尘</w:t>
            </w:r>
            <w:r>
              <w:rPr>
                <w:rFonts w:ascii="仿宋" w:hAnsi="仿宋" w:eastAsia="仿宋" w:cs="仿宋"/>
                <w:spacing w:val="7"/>
                <w:sz w:val="20"/>
                <w:szCs w:val="20"/>
              </w:rPr>
              <w:t>对周边环境的影响。</w:t>
            </w:r>
          </w:p>
          <w:p w14:paraId="09DC2A80">
            <w:pPr>
              <w:pStyle w:val="6"/>
              <w:spacing w:before="1" w:line="230" w:lineRule="auto"/>
              <w:ind w:left="522"/>
              <w:rPr>
                <w:rFonts w:ascii="仿宋" w:hAnsi="仿宋" w:eastAsia="仿宋" w:cs="仿宋"/>
                <w:sz w:val="20"/>
                <w:szCs w:val="20"/>
              </w:rPr>
            </w:pPr>
            <w:r>
              <w:rPr>
                <w:b/>
                <w:bCs/>
                <w:spacing w:val="4"/>
                <w:sz w:val="20"/>
                <w:szCs w:val="20"/>
              </w:rPr>
              <w:t>3</w:t>
            </w:r>
            <w:r>
              <w:rPr>
                <w:b/>
                <w:bCs/>
                <w:spacing w:val="-17"/>
                <w:sz w:val="20"/>
                <w:szCs w:val="20"/>
              </w:rPr>
              <w:t xml:space="preserve"> </w:t>
            </w:r>
            <w:r>
              <w:rPr>
                <w:rFonts w:ascii="仿宋" w:hAnsi="仿宋" w:eastAsia="仿宋" w:cs="仿宋"/>
                <w:b/>
                <w:bCs/>
                <w:spacing w:val="4"/>
                <w:sz w:val="20"/>
                <w:szCs w:val="20"/>
              </w:rPr>
              <w:t>、水环境影响分析</w:t>
            </w:r>
          </w:p>
          <w:p w14:paraId="483B5D55">
            <w:pPr>
              <w:spacing w:before="158" w:line="230" w:lineRule="auto"/>
              <w:ind w:left="526"/>
              <w:rPr>
                <w:rFonts w:ascii="仿宋" w:hAnsi="仿宋" w:eastAsia="仿宋" w:cs="仿宋"/>
                <w:sz w:val="20"/>
                <w:szCs w:val="20"/>
              </w:rPr>
            </w:pPr>
            <w:r>
              <w:rPr>
                <w:rFonts w:ascii="宋体" w:hAnsi="宋体" w:eastAsia="宋体" w:cs="宋体"/>
                <w:spacing w:val="7"/>
                <w:sz w:val="20"/>
                <w:szCs w:val="20"/>
              </w:rPr>
              <w:t>①</w:t>
            </w:r>
            <w:r>
              <w:rPr>
                <w:rFonts w:ascii="仿宋" w:hAnsi="仿宋" w:eastAsia="仿宋" w:cs="仿宋"/>
                <w:spacing w:val="7"/>
                <w:sz w:val="20"/>
                <w:szCs w:val="20"/>
              </w:rPr>
              <w:t>生产废水</w:t>
            </w:r>
          </w:p>
          <w:p w14:paraId="7D9D9679">
            <w:pPr>
              <w:pStyle w:val="6"/>
              <w:spacing w:before="160" w:line="373" w:lineRule="auto"/>
              <w:ind w:left="115" w:right="105" w:firstLine="419"/>
              <w:jc w:val="both"/>
              <w:rPr>
                <w:rFonts w:ascii="仿宋" w:hAnsi="仿宋" w:eastAsia="仿宋" w:cs="仿宋"/>
                <w:sz w:val="20"/>
                <w:szCs w:val="20"/>
              </w:rPr>
            </w:pPr>
            <w:r>
              <w:rPr>
                <w:rFonts w:ascii="仿宋" w:hAnsi="仿宋" w:eastAsia="仿宋" w:cs="仿宋"/>
                <w:spacing w:val="9"/>
                <w:sz w:val="20"/>
                <w:szCs w:val="20"/>
              </w:rPr>
              <w:t>本项目不自设预制场，预制构件均外购，不产生施工废水；本项目现场不设置专</w:t>
            </w:r>
            <w:r>
              <w:rPr>
                <w:rFonts w:ascii="仿宋" w:hAnsi="仿宋" w:eastAsia="仿宋" w:cs="仿宋"/>
                <w:spacing w:val="7"/>
                <w:sz w:val="20"/>
                <w:szCs w:val="20"/>
              </w:rPr>
              <w:t>门的施工机械设备维修与冲洗点，依托施工场地周边汽车</w:t>
            </w:r>
            <w:r>
              <w:rPr>
                <w:spacing w:val="7"/>
                <w:sz w:val="20"/>
                <w:szCs w:val="20"/>
              </w:rPr>
              <w:t>(</w:t>
            </w:r>
            <w:r>
              <w:rPr>
                <w:rFonts w:ascii="仿宋" w:hAnsi="仿宋" w:eastAsia="仿宋" w:cs="仿宋"/>
                <w:spacing w:val="7"/>
                <w:sz w:val="20"/>
                <w:szCs w:val="20"/>
              </w:rPr>
              <w:t>设备</w:t>
            </w:r>
            <w:r>
              <w:rPr>
                <w:spacing w:val="6"/>
                <w:sz w:val="20"/>
                <w:szCs w:val="20"/>
              </w:rPr>
              <w:t>)</w:t>
            </w:r>
            <w:r>
              <w:rPr>
                <w:rFonts w:ascii="仿宋" w:hAnsi="仿宋" w:eastAsia="仿宋" w:cs="仿宋"/>
                <w:spacing w:val="6"/>
                <w:sz w:val="20"/>
                <w:szCs w:val="20"/>
              </w:rPr>
              <w:t>维修公司对机械设备进</w:t>
            </w:r>
            <w:r>
              <w:rPr>
                <w:rFonts w:ascii="仿宋" w:hAnsi="仿宋" w:eastAsia="仿宋" w:cs="仿宋"/>
                <w:spacing w:val="8"/>
                <w:sz w:val="20"/>
                <w:szCs w:val="20"/>
              </w:rPr>
              <w:t>行集中维修与冲洗，不产生维修与冲洗废水。</w:t>
            </w:r>
          </w:p>
          <w:p w14:paraId="5F9AD029">
            <w:pPr>
              <w:spacing w:before="11" w:line="230" w:lineRule="auto"/>
              <w:ind w:left="526"/>
              <w:rPr>
                <w:rFonts w:ascii="仿宋" w:hAnsi="仿宋" w:eastAsia="仿宋" w:cs="仿宋"/>
                <w:sz w:val="20"/>
                <w:szCs w:val="20"/>
              </w:rPr>
            </w:pPr>
            <w:r>
              <w:rPr>
                <w:rFonts w:ascii="宋体" w:hAnsi="宋体" w:eastAsia="宋体" w:cs="宋体"/>
                <w:spacing w:val="8"/>
                <w:sz w:val="20"/>
                <w:szCs w:val="20"/>
              </w:rPr>
              <w:t>②</w:t>
            </w:r>
            <w:r>
              <w:rPr>
                <w:rFonts w:ascii="仿宋" w:hAnsi="仿宋" w:eastAsia="仿宋" w:cs="仿宋"/>
                <w:spacing w:val="8"/>
                <w:sz w:val="20"/>
                <w:szCs w:val="20"/>
              </w:rPr>
              <w:t>生活污水</w:t>
            </w:r>
          </w:p>
          <w:p w14:paraId="100B0120">
            <w:pPr>
              <w:pStyle w:val="6"/>
              <w:spacing w:before="159" w:line="377" w:lineRule="auto"/>
              <w:ind w:left="113" w:right="102" w:firstLine="420"/>
              <w:rPr>
                <w:rFonts w:ascii="仿宋" w:hAnsi="仿宋" w:eastAsia="仿宋" w:cs="仿宋"/>
                <w:sz w:val="20"/>
                <w:szCs w:val="20"/>
              </w:rPr>
            </w:pPr>
            <w:r>
              <w:rPr>
                <w:rFonts w:ascii="仿宋" w:hAnsi="仿宋" w:eastAsia="仿宋" w:cs="仿宋"/>
                <w:spacing w:val="11"/>
                <w:sz w:val="20"/>
                <w:szCs w:val="20"/>
              </w:rPr>
              <w:t>本项目施工人员生活依托租住附近村庄，平均人数</w:t>
            </w:r>
            <w:r>
              <w:rPr>
                <w:rFonts w:ascii="仿宋" w:hAnsi="仿宋" w:eastAsia="仿宋" w:cs="仿宋"/>
                <w:spacing w:val="-38"/>
                <w:sz w:val="20"/>
                <w:szCs w:val="20"/>
              </w:rPr>
              <w:t xml:space="preserve"> </w:t>
            </w:r>
            <w:r>
              <w:rPr>
                <w:spacing w:val="11"/>
                <w:sz w:val="20"/>
                <w:szCs w:val="20"/>
              </w:rPr>
              <w:t>20</w:t>
            </w:r>
            <w:r>
              <w:rPr>
                <w:spacing w:val="21"/>
                <w:sz w:val="20"/>
                <w:szCs w:val="20"/>
              </w:rPr>
              <w:t xml:space="preserve"> </w:t>
            </w:r>
            <w:r>
              <w:rPr>
                <w:rFonts w:ascii="仿宋" w:hAnsi="仿宋" w:eastAsia="仿宋" w:cs="仿宋"/>
                <w:spacing w:val="11"/>
                <w:sz w:val="20"/>
                <w:szCs w:val="20"/>
              </w:rPr>
              <w:t>人</w:t>
            </w:r>
            <w:r>
              <w:rPr>
                <w:spacing w:val="11"/>
                <w:sz w:val="20"/>
                <w:szCs w:val="20"/>
              </w:rPr>
              <w:t>/</w:t>
            </w:r>
            <w:r>
              <w:rPr>
                <w:rFonts w:ascii="仿宋" w:hAnsi="仿宋" w:eastAsia="仿宋" w:cs="仿宋"/>
                <w:spacing w:val="11"/>
                <w:sz w:val="20"/>
                <w:szCs w:val="20"/>
              </w:rPr>
              <w:t>天，施工</w:t>
            </w:r>
            <w:r>
              <w:rPr>
                <w:rFonts w:ascii="仿宋" w:hAnsi="仿宋" w:eastAsia="仿宋" w:cs="仿宋"/>
                <w:spacing w:val="10"/>
                <w:sz w:val="20"/>
                <w:szCs w:val="20"/>
              </w:rPr>
              <w:t>人员按日人均</w:t>
            </w:r>
            <w:r>
              <w:rPr>
                <w:rFonts w:ascii="仿宋" w:hAnsi="仿宋" w:eastAsia="仿宋" w:cs="仿宋"/>
                <w:spacing w:val="6"/>
                <w:sz w:val="20"/>
                <w:szCs w:val="20"/>
              </w:rPr>
              <w:t>用水量</w:t>
            </w:r>
            <w:r>
              <w:rPr>
                <w:rFonts w:ascii="仿宋" w:hAnsi="仿宋" w:eastAsia="仿宋" w:cs="仿宋"/>
                <w:spacing w:val="-35"/>
                <w:sz w:val="20"/>
                <w:szCs w:val="20"/>
              </w:rPr>
              <w:t xml:space="preserve"> </w:t>
            </w:r>
            <w:r>
              <w:rPr>
                <w:spacing w:val="6"/>
                <w:sz w:val="20"/>
                <w:szCs w:val="20"/>
              </w:rPr>
              <w:t>80L</w:t>
            </w:r>
            <w:r>
              <w:rPr>
                <w:spacing w:val="17"/>
                <w:sz w:val="20"/>
                <w:szCs w:val="20"/>
              </w:rPr>
              <w:t xml:space="preserve"> </w:t>
            </w:r>
            <w:r>
              <w:rPr>
                <w:rFonts w:ascii="仿宋" w:hAnsi="仿宋" w:eastAsia="仿宋" w:cs="仿宋"/>
                <w:spacing w:val="6"/>
                <w:sz w:val="20"/>
                <w:szCs w:val="20"/>
              </w:rPr>
              <w:t>计算，施工期为</w:t>
            </w:r>
            <w:r>
              <w:rPr>
                <w:rFonts w:ascii="仿宋" w:hAnsi="仿宋" w:eastAsia="仿宋" w:cs="仿宋"/>
                <w:spacing w:val="-21"/>
                <w:sz w:val="20"/>
                <w:szCs w:val="20"/>
              </w:rPr>
              <w:t xml:space="preserve"> </w:t>
            </w:r>
            <w:r>
              <w:rPr>
                <w:spacing w:val="6"/>
                <w:sz w:val="20"/>
                <w:szCs w:val="20"/>
              </w:rPr>
              <w:t>12</w:t>
            </w:r>
            <w:r>
              <w:rPr>
                <w:spacing w:val="19"/>
                <w:sz w:val="20"/>
                <w:szCs w:val="20"/>
              </w:rPr>
              <w:t xml:space="preserve"> </w:t>
            </w:r>
            <w:r>
              <w:rPr>
                <w:rFonts w:ascii="仿宋" w:hAnsi="仿宋" w:eastAsia="仿宋" w:cs="仿宋"/>
                <w:spacing w:val="6"/>
                <w:sz w:val="20"/>
                <w:szCs w:val="20"/>
              </w:rPr>
              <w:t>个月，污水排放</w:t>
            </w:r>
            <w:r>
              <w:rPr>
                <w:rFonts w:ascii="仿宋" w:hAnsi="仿宋" w:eastAsia="仿宋" w:cs="仿宋"/>
                <w:spacing w:val="5"/>
                <w:sz w:val="20"/>
                <w:szCs w:val="20"/>
              </w:rPr>
              <w:t>系数按</w:t>
            </w:r>
            <w:r>
              <w:rPr>
                <w:rFonts w:ascii="仿宋" w:hAnsi="仿宋" w:eastAsia="仿宋" w:cs="仿宋"/>
                <w:spacing w:val="-40"/>
                <w:sz w:val="20"/>
                <w:szCs w:val="20"/>
              </w:rPr>
              <w:t xml:space="preserve"> </w:t>
            </w:r>
            <w:r>
              <w:rPr>
                <w:spacing w:val="5"/>
                <w:sz w:val="20"/>
                <w:szCs w:val="20"/>
              </w:rPr>
              <w:t>0.8</w:t>
            </w:r>
            <w:r>
              <w:rPr>
                <w:spacing w:val="15"/>
                <w:w w:val="101"/>
                <w:sz w:val="20"/>
                <w:szCs w:val="20"/>
              </w:rPr>
              <w:t xml:space="preserve"> </w:t>
            </w:r>
            <w:r>
              <w:rPr>
                <w:rFonts w:ascii="仿宋" w:hAnsi="仿宋" w:eastAsia="仿宋" w:cs="仿宋"/>
                <w:spacing w:val="5"/>
                <w:sz w:val="20"/>
                <w:szCs w:val="20"/>
              </w:rPr>
              <w:t>计算，施工期生活污水产生</w:t>
            </w:r>
            <w:r>
              <w:rPr>
                <w:rFonts w:ascii="仿宋" w:hAnsi="仿宋" w:eastAsia="仿宋" w:cs="仿宋"/>
                <w:spacing w:val="6"/>
                <w:sz w:val="20"/>
                <w:szCs w:val="20"/>
              </w:rPr>
              <w:t>量为</w:t>
            </w:r>
            <w:r>
              <w:rPr>
                <w:rFonts w:ascii="仿宋" w:hAnsi="仿宋" w:eastAsia="仿宋" w:cs="仿宋"/>
                <w:spacing w:val="-20"/>
                <w:sz w:val="20"/>
                <w:szCs w:val="20"/>
              </w:rPr>
              <w:t xml:space="preserve"> </w:t>
            </w:r>
            <w:r>
              <w:rPr>
                <w:spacing w:val="6"/>
                <w:sz w:val="20"/>
                <w:szCs w:val="20"/>
              </w:rPr>
              <w:t>1.28m³/d</w:t>
            </w:r>
            <w:r>
              <w:rPr>
                <w:spacing w:val="-21"/>
                <w:sz w:val="20"/>
                <w:szCs w:val="20"/>
              </w:rPr>
              <w:t xml:space="preserve"> </w:t>
            </w:r>
            <w:r>
              <w:rPr>
                <w:rFonts w:ascii="仿宋" w:hAnsi="仿宋" w:eastAsia="仿宋" w:cs="仿宋"/>
                <w:spacing w:val="6"/>
                <w:sz w:val="20"/>
                <w:szCs w:val="20"/>
              </w:rPr>
              <w:t>，施工生活污水依托附近村庄现有卫生处理设施。</w:t>
            </w:r>
          </w:p>
          <w:p w14:paraId="78B47C27">
            <w:pPr>
              <w:spacing w:before="2" w:line="377" w:lineRule="auto"/>
              <w:ind w:left="115" w:right="105" w:firstLine="418"/>
              <w:rPr>
                <w:rFonts w:ascii="仿宋" w:hAnsi="仿宋" w:eastAsia="仿宋" w:cs="仿宋"/>
                <w:sz w:val="20"/>
                <w:szCs w:val="20"/>
              </w:rPr>
            </w:pPr>
            <w:r>
              <w:rPr>
                <w:rFonts w:ascii="仿宋" w:hAnsi="仿宋" w:eastAsia="仿宋" w:cs="仿宋"/>
                <w:spacing w:val="11"/>
                <w:sz w:val="20"/>
                <w:szCs w:val="20"/>
              </w:rPr>
              <w:t>本项目道路不涉及河道，不涉及施工废水、生活污水的排放</w:t>
            </w:r>
            <w:r>
              <w:rPr>
                <w:rFonts w:ascii="仿宋" w:hAnsi="仿宋" w:eastAsia="仿宋" w:cs="仿宋"/>
                <w:spacing w:val="10"/>
                <w:sz w:val="20"/>
                <w:szCs w:val="20"/>
              </w:rPr>
              <w:t>，不会对地表水产生</w:t>
            </w:r>
            <w:r>
              <w:rPr>
                <w:rFonts w:ascii="仿宋" w:hAnsi="仿宋" w:eastAsia="仿宋" w:cs="仿宋"/>
                <w:sz w:val="20"/>
                <w:szCs w:val="20"/>
              </w:rPr>
              <w:t>影响。</w:t>
            </w:r>
          </w:p>
          <w:p w14:paraId="7789DB1A">
            <w:pPr>
              <w:pStyle w:val="6"/>
              <w:spacing w:line="229" w:lineRule="auto"/>
              <w:ind w:left="524"/>
              <w:rPr>
                <w:rFonts w:ascii="仿宋" w:hAnsi="仿宋" w:eastAsia="仿宋" w:cs="仿宋"/>
                <w:sz w:val="20"/>
                <w:szCs w:val="20"/>
              </w:rPr>
            </w:pPr>
            <w:r>
              <w:rPr>
                <w:b/>
                <w:bCs/>
                <w:spacing w:val="1"/>
                <w:sz w:val="20"/>
                <w:szCs w:val="20"/>
              </w:rPr>
              <w:t>4</w:t>
            </w:r>
            <w:r>
              <w:rPr>
                <w:b/>
                <w:bCs/>
                <w:spacing w:val="-14"/>
                <w:sz w:val="20"/>
                <w:szCs w:val="20"/>
              </w:rPr>
              <w:t xml:space="preserve"> </w:t>
            </w:r>
            <w:r>
              <w:rPr>
                <w:rFonts w:ascii="仿宋" w:hAnsi="仿宋" w:eastAsia="仿宋" w:cs="仿宋"/>
                <w:b/>
                <w:bCs/>
                <w:spacing w:val="1"/>
                <w:sz w:val="20"/>
                <w:szCs w:val="20"/>
              </w:rPr>
              <w:t>、</w:t>
            </w:r>
            <w:r>
              <w:rPr>
                <w:rFonts w:ascii="仿宋" w:hAnsi="仿宋" w:eastAsia="仿宋" w:cs="仿宋"/>
                <w:spacing w:val="-56"/>
                <w:sz w:val="20"/>
                <w:szCs w:val="20"/>
              </w:rPr>
              <w:t xml:space="preserve"> </w:t>
            </w:r>
            <w:r>
              <w:rPr>
                <w:rFonts w:ascii="仿宋" w:hAnsi="仿宋" w:eastAsia="仿宋" w:cs="仿宋"/>
                <w:b/>
                <w:bCs/>
                <w:spacing w:val="1"/>
                <w:sz w:val="20"/>
                <w:szCs w:val="20"/>
              </w:rPr>
              <w:t>固体废物环境影响分析</w:t>
            </w:r>
          </w:p>
          <w:p w14:paraId="3EC59D08">
            <w:pPr>
              <w:spacing w:before="159" w:line="377" w:lineRule="auto"/>
              <w:ind w:left="125" w:right="103" w:firstLine="407"/>
              <w:rPr>
                <w:rFonts w:ascii="仿宋" w:hAnsi="仿宋" w:eastAsia="仿宋" w:cs="仿宋"/>
                <w:sz w:val="20"/>
                <w:szCs w:val="20"/>
              </w:rPr>
            </w:pPr>
            <w:r>
              <w:rPr>
                <w:rFonts w:ascii="仿宋" w:hAnsi="仿宋" w:eastAsia="仿宋" w:cs="仿宋"/>
                <w:spacing w:val="11"/>
                <w:sz w:val="20"/>
                <w:szCs w:val="20"/>
              </w:rPr>
              <w:t>施工期间产生的固体废物主要为施工现场产生的工程弃土、建筑垃圾</w:t>
            </w:r>
            <w:r>
              <w:rPr>
                <w:rFonts w:ascii="仿宋" w:hAnsi="仿宋" w:eastAsia="仿宋" w:cs="仿宋"/>
                <w:spacing w:val="10"/>
                <w:sz w:val="20"/>
                <w:szCs w:val="20"/>
              </w:rPr>
              <w:t>、施工人员</w:t>
            </w:r>
            <w:r>
              <w:rPr>
                <w:rFonts w:ascii="仿宋" w:hAnsi="仿宋" w:eastAsia="仿宋" w:cs="仿宋"/>
                <w:spacing w:val="8"/>
                <w:sz w:val="20"/>
                <w:szCs w:val="20"/>
              </w:rPr>
              <w:t>生活垃圾，若处理不当，可能对周围环境产生不利影响。</w:t>
            </w:r>
          </w:p>
          <w:p w14:paraId="1513410E">
            <w:pPr>
              <w:pStyle w:val="6"/>
              <w:spacing w:before="2" w:line="232" w:lineRule="auto"/>
              <w:ind w:left="537"/>
              <w:rPr>
                <w:rFonts w:ascii="仿宋" w:hAnsi="仿宋" w:eastAsia="仿宋" w:cs="仿宋"/>
                <w:sz w:val="20"/>
                <w:szCs w:val="20"/>
              </w:rPr>
            </w:pPr>
            <w:r>
              <w:rPr>
                <w:rFonts w:ascii="仿宋" w:hAnsi="仿宋" w:eastAsia="仿宋" w:cs="仿宋"/>
                <w:spacing w:val="6"/>
                <w:sz w:val="20"/>
                <w:szCs w:val="20"/>
              </w:rPr>
              <w:t>（</w:t>
            </w:r>
            <w:r>
              <w:rPr>
                <w:spacing w:val="6"/>
                <w:sz w:val="20"/>
                <w:szCs w:val="20"/>
              </w:rPr>
              <w:t>1</w:t>
            </w:r>
            <w:r>
              <w:rPr>
                <w:rFonts w:ascii="仿宋" w:hAnsi="仿宋" w:eastAsia="仿宋" w:cs="仿宋"/>
                <w:spacing w:val="6"/>
                <w:sz w:val="20"/>
                <w:szCs w:val="20"/>
              </w:rPr>
              <w:t>）工程弃土</w:t>
            </w:r>
          </w:p>
          <w:p w14:paraId="033DAFBC">
            <w:pPr>
              <w:spacing w:before="155" w:line="377" w:lineRule="auto"/>
              <w:ind w:left="112" w:right="47" w:firstLine="419"/>
              <w:rPr>
                <w:rFonts w:ascii="仿宋" w:hAnsi="仿宋" w:eastAsia="仿宋" w:cs="仿宋"/>
                <w:sz w:val="20"/>
                <w:szCs w:val="20"/>
              </w:rPr>
            </w:pPr>
            <w:r>
              <w:rPr>
                <w:rFonts w:ascii="仿宋" w:hAnsi="仿宋" w:eastAsia="仿宋" w:cs="仿宋"/>
                <w:spacing w:val="11"/>
                <w:sz w:val="20"/>
                <w:szCs w:val="20"/>
              </w:rPr>
              <w:t>施工期工程弃土包括路基表土剥离物和基础开挖土方，若随意堆放，</w:t>
            </w:r>
            <w:r>
              <w:rPr>
                <w:rFonts w:ascii="仿宋" w:hAnsi="仿宋" w:eastAsia="仿宋" w:cs="仿宋"/>
                <w:spacing w:val="10"/>
                <w:sz w:val="20"/>
                <w:szCs w:val="20"/>
              </w:rPr>
              <w:t>表土易被雨</w:t>
            </w:r>
            <w:r>
              <w:rPr>
                <w:rFonts w:ascii="仿宋" w:hAnsi="仿宋" w:eastAsia="仿宋" w:cs="仿宋"/>
                <w:spacing w:val="11"/>
                <w:sz w:val="20"/>
                <w:szCs w:val="20"/>
              </w:rPr>
              <w:t>水冲刷引发水土流失，破坏周边土壤结构和植被，通过将表土集中堆</w:t>
            </w:r>
            <w:r>
              <w:rPr>
                <w:rFonts w:ascii="仿宋" w:hAnsi="仿宋" w:eastAsia="仿宋" w:cs="仿宋"/>
                <w:spacing w:val="10"/>
                <w:sz w:val="20"/>
                <w:szCs w:val="20"/>
              </w:rPr>
              <w:t>存于占地范围内</w:t>
            </w:r>
            <w:r>
              <w:rPr>
                <w:rFonts w:ascii="仿宋" w:hAnsi="仿宋" w:eastAsia="仿宋" w:cs="仿宋"/>
                <w:spacing w:val="7"/>
                <w:sz w:val="20"/>
                <w:szCs w:val="20"/>
              </w:rPr>
              <w:t>适宜位置，后期用于路基边坡绿化；基础开挖土方通过本桩或</w:t>
            </w:r>
            <w:r>
              <w:rPr>
                <w:rFonts w:ascii="仿宋" w:hAnsi="仿宋" w:eastAsia="仿宋" w:cs="仿宋"/>
                <w:spacing w:val="6"/>
                <w:sz w:val="20"/>
                <w:szCs w:val="20"/>
              </w:rPr>
              <w:t>远运利用进行移挖补填，</w:t>
            </w:r>
            <w:r>
              <w:rPr>
                <w:rFonts w:ascii="仿宋" w:hAnsi="仿宋" w:eastAsia="仿宋" w:cs="仿宋"/>
                <w:spacing w:val="9"/>
                <w:sz w:val="20"/>
                <w:szCs w:val="20"/>
              </w:rPr>
              <w:t>项目整体可实现平衡，施工过程中无弃土弃</w:t>
            </w:r>
            <w:r>
              <w:rPr>
                <w:rFonts w:ascii="仿宋" w:hAnsi="仿宋" w:eastAsia="仿宋" w:cs="仿宋"/>
                <w:spacing w:val="8"/>
                <w:sz w:val="20"/>
                <w:szCs w:val="20"/>
              </w:rPr>
              <w:t>渣产生。</w:t>
            </w:r>
          </w:p>
          <w:p w14:paraId="08C6917D">
            <w:pPr>
              <w:pStyle w:val="6"/>
              <w:spacing w:before="1" w:line="232" w:lineRule="auto"/>
              <w:ind w:left="537"/>
              <w:rPr>
                <w:rFonts w:ascii="仿宋" w:hAnsi="仿宋" w:eastAsia="仿宋" w:cs="仿宋"/>
                <w:sz w:val="20"/>
                <w:szCs w:val="20"/>
              </w:rPr>
            </w:pPr>
            <w:r>
              <w:rPr>
                <w:rFonts w:ascii="仿宋" w:hAnsi="仿宋" w:eastAsia="仿宋" w:cs="仿宋"/>
                <w:spacing w:val="6"/>
                <w:sz w:val="20"/>
                <w:szCs w:val="20"/>
              </w:rPr>
              <w:t>（</w:t>
            </w:r>
            <w:r>
              <w:rPr>
                <w:spacing w:val="6"/>
                <w:sz w:val="20"/>
                <w:szCs w:val="20"/>
              </w:rPr>
              <w:t>2</w:t>
            </w:r>
            <w:r>
              <w:rPr>
                <w:rFonts w:ascii="仿宋" w:hAnsi="仿宋" w:eastAsia="仿宋" w:cs="仿宋"/>
                <w:spacing w:val="6"/>
                <w:sz w:val="20"/>
                <w:szCs w:val="20"/>
              </w:rPr>
              <w:t>）建筑垃圾</w:t>
            </w:r>
          </w:p>
          <w:p w14:paraId="5998EBA3">
            <w:pPr>
              <w:spacing w:before="157" w:line="377" w:lineRule="auto"/>
              <w:ind w:left="113" w:right="148" w:firstLine="420"/>
              <w:rPr>
                <w:rFonts w:ascii="仿宋" w:hAnsi="仿宋" w:eastAsia="仿宋" w:cs="仿宋"/>
                <w:sz w:val="20"/>
                <w:szCs w:val="20"/>
              </w:rPr>
            </w:pPr>
            <w:r>
              <w:rPr>
                <w:rFonts w:ascii="仿宋" w:hAnsi="仿宋" w:eastAsia="仿宋" w:cs="仿宋"/>
                <w:spacing w:val="8"/>
                <w:sz w:val="20"/>
                <w:szCs w:val="20"/>
              </w:rPr>
              <w:t>建筑垃圾主要是施工中产生的废砂石，</w:t>
            </w:r>
            <w:r>
              <w:rPr>
                <w:rFonts w:ascii="仿宋" w:hAnsi="仿宋" w:eastAsia="仿宋" w:cs="仿宋"/>
                <w:spacing w:val="-47"/>
                <w:sz w:val="20"/>
                <w:szCs w:val="20"/>
              </w:rPr>
              <w:t xml:space="preserve"> </w:t>
            </w:r>
            <w:r>
              <w:rPr>
                <w:rFonts w:ascii="仿宋" w:hAnsi="仿宋" w:eastAsia="仿宋" w:cs="仿宋"/>
                <w:spacing w:val="8"/>
                <w:sz w:val="20"/>
                <w:szCs w:val="20"/>
              </w:rPr>
              <w:t>以及新旧路基衔接处及局部挖除现有路面</w:t>
            </w:r>
            <w:r>
              <w:rPr>
                <w:rFonts w:ascii="仿宋" w:hAnsi="仿宋" w:eastAsia="仿宋" w:cs="仿宋"/>
                <w:spacing w:val="10"/>
                <w:sz w:val="20"/>
                <w:szCs w:val="20"/>
              </w:rPr>
              <w:t>段产生的废弃路面材料等。若无序丢弃，会占</w:t>
            </w:r>
            <w:r>
              <w:rPr>
                <w:rFonts w:ascii="仿宋" w:hAnsi="仿宋" w:eastAsia="仿宋" w:cs="仿宋"/>
                <w:spacing w:val="9"/>
                <w:sz w:val="20"/>
                <w:szCs w:val="20"/>
              </w:rPr>
              <w:t>用土地资源，其含有的有害物质可能渗</w:t>
            </w:r>
            <w:r>
              <w:rPr>
                <w:rFonts w:ascii="仿宋" w:hAnsi="仿宋" w:eastAsia="仿宋" w:cs="仿宋"/>
                <w:spacing w:val="8"/>
                <w:sz w:val="20"/>
                <w:szCs w:val="20"/>
              </w:rPr>
              <w:t>透到土壤中造成污染，且在风力作用下易产生扬尘，影响周边空气质量。</w:t>
            </w:r>
            <w:r>
              <w:rPr>
                <w:rFonts w:ascii="仿宋" w:hAnsi="仿宋" w:eastAsia="仿宋" w:cs="仿宋"/>
                <w:spacing w:val="-43"/>
                <w:sz w:val="20"/>
                <w:szCs w:val="20"/>
              </w:rPr>
              <w:t xml:space="preserve"> </w:t>
            </w:r>
            <w:r>
              <w:rPr>
                <w:rFonts w:ascii="仿宋" w:hAnsi="仿宋" w:eastAsia="仿宋" w:cs="仿宋"/>
                <w:spacing w:val="8"/>
                <w:sz w:val="20"/>
                <w:szCs w:val="20"/>
              </w:rPr>
              <w:t>因此，优先</w:t>
            </w:r>
            <w:r>
              <w:rPr>
                <w:rFonts w:ascii="仿宋" w:hAnsi="仿宋" w:eastAsia="仿宋" w:cs="仿宋"/>
                <w:spacing w:val="9"/>
                <w:sz w:val="20"/>
                <w:szCs w:val="20"/>
              </w:rPr>
              <w:t>回收利用，不能利用的，应通过集中收集后送至建筑垃圾填埋场。</w:t>
            </w:r>
          </w:p>
          <w:p w14:paraId="5AEDF20B">
            <w:pPr>
              <w:pStyle w:val="6"/>
              <w:spacing w:before="3" w:line="232" w:lineRule="auto"/>
              <w:ind w:left="537"/>
              <w:rPr>
                <w:rFonts w:ascii="仿宋" w:hAnsi="仿宋" w:eastAsia="仿宋" w:cs="仿宋"/>
                <w:sz w:val="20"/>
                <w:szCs w:val="20"/>
              </w:rPr>
            </w:pPr>
            <w:r>
              <w:rPr>
                <w:rFonts w:ascii="仿宋" w:hAnsi="仿宋" w:eastAsia="仿宋" w:cs="仿宋"/>
                <w:spacing w:val="6"/>
                <w:sz w:val="20"/>
                <w:szCs w:val="20"/>
              </w:rPr>
              <w:t>（</w:t>
            </w:r>
            <w:r>
              <w:rPr>
                <w:spacing w:val="6"/>
                <w:sz w:val="20"/>
                <w:szCs w:val="20"/>
              </w:rPr>
              <w:t>3</w:t>
            </w:r>
            <w:r>
              <w:rPr>
                <w:rFonts w:ascii="仿宋" w:hAnsi="仿宋" w:eastAsia="仿宋" w:cs="仿宋"/>
                <w:spacing w:val="6"/>
                <w:sz w:val="20"/>
                <w:szCs w:val="20"/>
              </w:rPr>
              <w:t>）生活垃圾</w:t>
            </w:r>
          </w:p>
          <w:p w14:paraId="67E3575F">
            <w:pPr>
              <w:pStyle w:val="6"/>
              <w:spacing w:before="157" w:line="374" w:lineRule="auto"/>
              <w:ind w:left="115" w:right="102" w:firstLine="419"/>
              <w:rPr>
                <w:rFonts w:ascii="仿宋" w:hAnsi="仿宋" w:eastAsia="仿宋" w:cs="仿宋"/>
                <w:sz w:val="20"/>
                <w:szCs w:val="20"/>
              </w:rPr>
            </w:pPr>
            <w:r>
              <w:rPr>
                <w:rFonts w:ascii="仿宋" w:hAnsi="仿宋" w:eastAsia="仿宋" w:cs="仿宋"/>
                <w:spacing w:val="7"/>
                <w:sz w:val="20"/>
                <w:szCs w:val="20"/>
              </w:rPr>
              <w:t>本项目施工人员约</w:t>
            </w:r>
            <w:r>
              <w:rPr>
                <w:rFonts w:ascii="仿宋" w:hAnsi="仿宋" w:eastAsia="仿宋" w:cs="仿宋"/>
                <w:spacing w:val="-41"/>
                <w:sz w:val="20"/>
                <w:szCs w:val="20"/>
              </w:rPr>
              <w:t xml:space="preserve"> </w:t>
            </w:r>
            <w:r>
              <w:rPr>
                <w:spacing w:val="7"/>
                <w:sz w:val="20"/>
                <w:szCs w:val="20"/>
              </w:rPr>
              <w:t>20</w:t>
            </w:r>
            <w:r>
              <w:rPr>
                <w:spacing w:val="19"/>
                <w:sz w:val="20"/>
                <w:szCs w:val="20"/>
              </w:rPr>
              <w:t xml:space="preserve"> </w:t>
            </w:r>
            <w:r>
              <w:rPr>
                <w:rFonts w:ascii="仿宋" w:hAnsi="仿宋" w:eastAsia="仿宋" w:cs="仿宋"/>
                <w:spacing w:val="7"/>
                <w:sz w:val="20"/>
                <w:szCs w:val="20"/>
              </w:rPr>
              <w:t>人，生活垃圾的产生量按</w:t>
            </w:r>
            <w:r>
              <w:rPr>
                <w:rFonts w:ascii="仿宋" w:hAnsi="仿宋" w:eastAsia="仿宋" w:cs="仿宋"/>
                <w:spacing w:val="-40"/>
                <w:sz w:val="20"/>
                <w:szCs w:val="20"/>
              </w:rPr>
              <w:t xml:space="preserve"> </w:t>
            </w:r>
            <w:r>
              <w:rPr>
                <w:spacing w:val="7"/>
                <w:sz w:val="20"/>
                <w:szCs w:val="20"/>
              </w:rPr>
              <w:t>0.5</w:t>
            </w:r>
            <w:r>
              <w:rPr>
                <w:sz w:val="20"/>
                <w:szCs w:val="20"/>
              </w:rPr>
              <w:t>kg</w:t>
            </w:r>
            <w:r>
              <w:rPr>
                <w:spacing w:val="7"/>
                <w:sz w:val="20"/>
                <w:szCs w:val="20"/>
              </w:rPr>
              <w:t>/</w:t>
            </w:r>
            <w:r>
              <w:rPr>
                <w:rFonts w:ascii="仿宋" w:hAnsi="仿宋" w:eastAsia="仿宋" w:cs="仿宋"/>
                <w:spacing w:val="7"/>
                <w:sz w:val="20"/>
                <w:szCs w:val="20"/>
              </w:rPr>
              <w:t>人</w:t>
            </w:r>
            <w:r>
              <w:rPr>
                <w:rFonts w:ascii="MS PGothic" w:hAnsi="MS PGothic" w:eastAsia="MS PGothic" w:cs="MS PGothic"/>
                <w:spacing w:val="7"/>
                <w:sz w:val="20"/>
                <w:szCs w:val="20"/>
              </w:rPr>
              <w:t>・</w:t>
            </w:r>
            <w:r>
              <w:rPr>
                <w:spacing w:val="7"/>
                <w:sz w:val="20"/>
                <w:szCs w:val="20"/>
              </w:rPr>
              <w:t xml:space="preserve">d </w:t>
            </w:r>
            <w:r>
              <w:rPr>
                <w:rFonts w:ascii="仿宋" w:hAnsi="仿宋" w:eastAsia="仿宋" w:cs="仿宋"/>
                <w:spacing w:val="7"/>
                <w:sz w:val="20"/>
                <w:szCs w:val="20"/>
              </w:rPr>
              <w:t>计，施工期</w:t>
            </w:r>
            <w:r>
              <w:rPr>
                <w:rFonts w:ascii="仿宋" w:hAnsi="仿宋" w:eastAsia="仿宋" w:cs="仿宋"/>
                <w:spacing w:val="-20"/>
                <w:sz w:val="20"/>
                <w:szCs w:val="20"/>
              </w:rPr>
              <w:t xml:space="preserve"> </w:t>
            </w:r>
            <w:r>
              <w:rPr>
                <w:spacing w:val="6"/>
                <w:sz w:val="20"/>
                <w:szCs w:val="20"/>
              </w:rPr>
              <w:t>12</w:t>
            </w:r>
            <w:r>
              <w:rPr>
                <w:spacing w:val="16"/>
                <w:sz w:val="20"/>
                <w:szCs w:val="20"/>
              </w:rPr>
              <w:t xml:space="preserve"> </w:t>
            </w:r>
            <w:r>
              <w:rPr>
                <w:rFonts w:ascii="仿宋" w:hAnsi="仿宋" w:eastAsia="仿宋" w:cs="仿宋"/>
                <w:spacing w:val="6"/>
                <w:sz w:val="20"/>
                <w:szCs w:val="20"/>
              </w:rPr>
              <w:t>个月，则生活垃圾产生量为</w:t>
            </w:r>
            <w:r>
              <w:rPr>
                <w:rFonts w:ascii="仿宋" w:hAnsi="仿宋" w:eastAsia="仿宋" w:cs="仿宋"/>
                <w:spacing w:val="-40"/>
                <w:sz w:val="20"/>
                <w:szCs w:val="20"/>
              </w:rPr>
              <w:t xml:space="preserve"> </w:t>
            </w:r>
            <w:r>
              <w:rPr>
                <w:spacing w:val="6"/>
                <w:sz w:val="20"/>
                <w:szCs w:val="20"/>
              </w:rPr>
              <w:t>0.01t/d</w:t>
            </w:r>
            <w:r>
              <w:rPr>
                <w:spacing w:val="-21"/>
                <w:sz w:val="20"/>
                <w:szCs w:val="20"/>
              </w:rPr>
              <w:t xml:space="preserve"> </w:t>
            </w:r>
            <w:r>
              <w:rPr>
                <w:rFonts w:ascii="仿宋" w:hAnsi="仿宋" w:eastAsia="仿宋" w:cs="仿宋"/>
                <w:spacing w:val="6"/>
                <w:sz w:val="20"/>
                <w:szCs w:val="20"/>
              </w:rPr>
              <w:t>，整个施工期生活垃圾发生总量</w:t>
            </w:r>
            <w:r>
              <w:rPr>
                <w:rFonts w:ascii="仿宋" w:hAnsi="仿宋" w:eastAsia="仿宋" w:cs="仿宋"/>
                <w:spacing w:val="5"/>
                <w:sz w:val="20"/>
                <w:szCs w:val="20"/>
              </w:rPr>
              <w:t>为</w:t>
            </w:r>
            <w:r>
              <w:rPr>
                <w:rFonts w:ascii="仿宋" w:hAnsi="仿宋" w:eastAsia="仿宋" w:cs="仿宋"/>
                <w:spacing w:val="-36"/>
                <w:sz w:val="20"/>
                <w:szCs w:val="20"/>
              </w:rPr>
              <w:t xml:space="preserve"> </w:t>
            </w:r>
            <w:r>
              <w:rPr>
                <w:spacing w:val="5"/>
                <w:sz w:val="20"/>
                <w:szCs w:val="20"/>
              </w:rPr>
              <w:t>3.65t</w:t>
            </w:r>
            <w:r>
              <w:rPr>
                <w:spacing w:val="-22"/>
                <w:sz w:val="20"/>
                <w:szCs w:val="20"/>
              </w:rPr>
              <w:t xml:space="preserve"> </w:t>
            </w:r>
            <w:r>
              <w:rPr>
                <w:rFonts w:ascii="仿宋" w:hAnsi="仿宋" w:eastAsia="仿宋" w:cs="仿宋"/>
                <w:spacing w:val="5"/>
                <w:sz w:val="20"/>
                <w:szCs w:val="20"/>
              </w:rPr>
              <w:t>，集中收集后统一</w:t>
            </w:r>
            <w:r>
              <w:rPr>
                <w:rFonts w:ascii="仿宋" w:hAnsi="仿宋" w:eastAsia="仿宋" w:cs="仿宋"/>
                <w:spacing w:val="9"/>
                <w:sz w:val="20"/>
                <w:szCs w:val="20"/>
              </w:rPr>
              <w:t>运送至地方环卫部门指定地点进行处理，不会对沿线周边环境造成较大的影响。</w:t>
            </w:r>
          </w:p>
          <w:p w14:paraId="38C95C7F">
            <w:pPr>
              <w:spacing w:before="8" w:line="229" w:lineRule="auto"/>
              <w:ind w:left="535"/>
              <w:rPr>
                <w:rFonts w:ascii="仿宋" w:hAnsi="仿宋" w:eastAsia="仿宋" w:cs="仿宋"/>
                <w:sz w:val="20"/>
                <w:szCs w:val="20"/>
              </w:rPr>
            </w:pPr>
            <w:r>
              <w:rPr>
                <w:rFonts w:ascii="仿宋" w:hAnsi="仿宋" w:eastAsia="仿宋" w:cs="仿宋"/>
                <w:spacing w:val="9"/>
                <w:sz w:val="20"/>
                <w:szCs w:val="20"/>
              </w:rPr>
              <w:t>综上，施工期产生的固体废弃物均得到妥善收集处理，去向可行。</w:t>
            </w:r>
          </w:p>
        </w:tc>
      </w:tr>
    </w:tbl>
    <w:p w14:paraId="53C3DD86">
      <w:pPr>
        <w:pStyle w:val="2"/>
        <w:rPr>
          <w:sz w:val="21"/>
        </w:rPr>
      </w:pPr>
    </w:p>
    <w:p w14:paraId="03E9C6E4">
      <w:pPr>
        <w:rPr>
          <w:sz w:val="21"/>
          <w:szCs w:val="21"/>
        </w:rPr>
        <w:sectPr>
          <w:footerReference r:id="rId58" w:type="default"/>
          <w:pgSz w:w="11907" w:h="16840"/>
          <w:pgMar w:top="400" w:right="1598" w:bottom="1446" w:left="1598" w:header="0" w:footer="1284" w:gutter="0"/>
          <w:cols w:space="720" w:num="1"/>
        </w:sectPr>
      </w:pPr>
    </w:p>
    <w:p w14:paraId="07FABFE5">
      <w:pPr>
        <w:spacing w:before="19"/>
      </w:pPr>
    </w:p>
    <w:p w14:paraId="3BB29D47">
      <w:pPr>
        <w:spacing w:before="19"/>
      </w:pPr>
    </w:p>
    <w:p w14:paraId="66146968">
      <w:pPr>
        <w:spacing w:before="18"/>
      </w:pPr>
    </w:p>
    <w:p w14:paraId="0A5209D5">
      <w:pPr>
        <w:spacing w:before="18"/>
      </w:pPr>
    </w:p>
    <w:tbl>
      <w:tblPr>
        <w:tblStyle w:val="5"/>
        <w:tblW w:w="869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68"/>
        <w:gridCol w:w="8027"/>
      </w:tblGrid>
      <w:tr w14:paraId="194D35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15" w:hRule="atLeast"/>
        </w:trPr>
        <w:tc>
          <w:tcPr>
            <w:tcW w:w="668" w:type="dxa"/>
            <w:tcBorders>
              <w:bottom w:val="single" w:color="000000" w:sz="2" w:space="0"/>
              <w:right w:val="single" w:color="000000" w:sz="2" w:space="0"/>
            </w:tcBorders>
            <w:vAlign w:val="top"/>
          </w:tcPr>
          <w:p w14:paraId="2C6BB862">
            <w:pPr>
              <w:rPr>
                <w:rFonts w:ascii="Arial"/>
                <w:sz w:val="21"/>
              </w:rPr>
            </w:pPr>
          </w:p>
        </w:tc>
        <w:tc>
          <w:tcPr>
            <w:tcW w:w="8027" w:type="dxa"/>
            <w:tcBorders>
              <w:left w:val="single" w:color="000000" w:sz="2" w:space="0"/>
              <w:bottom w:val="single" w:color="000000" w:sz="2" w:space="0"/>
            </w:tcBorders>
            <w:vAlign w:val="top"/>
          </w:tcPr>
          <w:p w14:paraId="383F0453">
            <w:pPr>
              <w:pStyle w:val="6"/>
              <w:spacing w:before="37" w:line="229" w:lineRule="auto"/>
              <w:ind w:left="526"/>
              <w:rPr>
                <w:rFonts w:ascii="仿宋" w:hAnsi="仿宋" w:eastAsia="仿宋" w:cs="仿宋"/>
                <w:sz w:val="20"/>
                <w:szCs w:val="20"/>
              </w:rPr>
            </w:pPr>
            <w:r>
              <w:rPr>
                <w:b/>
                <w:bCs/>
                <w:spacing w:val="6"/>
                <w:sz w:val="20"/>
                <w:szCs w:val="20"/>
              </w:rPr>
              <w:t>5</w:t>
            </w:r>
            <w:r>
              <w:rPr>
                <w:b/>
                <w:bCs/>
                <w:spacing w:val="-15"/>
                <w:sz w:val="20"/>
                <w:szCs w:val="20"/>
              </w:rPr>
              <w:t xml:space="preserve"> </w:t>
            </w:r>
            <w:r>
              <w:rPr>
                <w:rFonts w:ascii="仿宋" w:hAnsi="仿宋" w:eastAsia="仿宋" w:cs="仿宋"/>
                <w:b/>
                <w:bCs/>
                <w:spacing w:val="6"/>
                <w:sz w:val="20"/>
                <w:szCs w:val="20"/>
              </w:rPr>
              <w:t>、声环境影响分析（详见声环境影响专项评价）</w:t>
            </w:r>
          </w:p>
          <w:p w14:paraId="27896173">
            <w:pPr>
              <w:pStyle w:val="6"/>
              <w:spacing w:before="158" w:line="377" w:lineRule="auto"/>
              <w:ind w:left="112" w:right="102" w:firstLine="421"/>
              <w:jc w:val="both"/>
              <w:rPr>
                <w:rFonts w:ascii="仿宋" w:hAnsi="仿宋" w:eastAsia="仿宋" w:cs="仿宋"/>
                <w:sz w:val="20"/>
                <w:szCs w:val="20"/>
              </w:rPr>
            </w:pPr>
            <w:r>
              <w:rPr>
                <w:rFonts w:ascii="仿宋" w:hAnsi="仿宋" w:eastAsia="仿宋" w:cs="仿宋"/>
                <w:spacing w:val="6"/>
                <w:sz w:val="20"/>
                <w:szCs w:val="20"/>
              </w:rPr>
              <w:t>本项目全线禁止夜间施工，无夜间（</w:t>
            </w:r>
            <w:r>
              <w:rPr>
                <w:spacing w:val="6"/>
                <w:sz w:val="20"/>
                <w:szCs w:val="20"/>
              </w:rPr>
              <w:t>22.00-</w:t>
            </w:r>
            <w:r>
              <w:rPr>
                <w:rFonts w:ascii="仿宋" w:hAnsi="仿宋" w:eastAsia="仿宋" w:cs="仿宋"/>
                <w:spacing w:val="6"/>
                <w:sz w:val="20"/>
                <w:szCs w:val="20"/>
              </w:rPr>
              <w:t>次日</w:t>
            </w:r>
            <w:r>
              <w:rPr>
                <w:rFonts w:ascii="仿宋" w:hAnsi="仿宋" w:eastAsia="仿宋" w:cs="仿宋"/>
                <w:spacing w:val="-36"/>
                <w:sz w:val="20"/>
                <w:szCs w:val="20"/>
              </w:rPr>
              <w:t xml:space="preserve"> </w:t>
            </w:r>
            <w:r>
              <w:rPr>
                <w:spacing w:val="6"/>
                <w:sz w:val="20"/>
                <w:szCs w:val="20"/>
              </w:rPr>
              <w:t>6:00</w:t>
            </w:r>
            <w:r>
              <w:rPr>
                <w:rFonts w:ascii="仿宋" w:hAnsi="仿宋" w:eastAsia="仿宋" w:cs="仿宋"/>
                <w:spacing w:val="6"/>
                <w:sz w:val="20"/>
                <w:szCs w:val="20"/>
              </w:rPr>
              <w:t>）噪声扰民风险</w:t>
            </w:r>
            <w:r>
              <w:rPr>
                <w:rFonts w:ascii="仿宋" w:hAnsi="仿宋" w:eastAsia="仿宋" w:cs="仿宋"/>
                <w:spacing w:val="5"/>
                <w:sz w:val="20"/>
                <w:szCs w:val="20"/>
              </w:rPr>
              <w:t>，临近敏感点</w:t>
            </w:r>
            <w:r>
              <w:rPr>
                <w:rFonts w:ascii="仿宋" w:hAnsi="仿宋" w:eastAsia="仿宋" w:cs="仿宋"/>
                <w:spacing w:val="3"/>
                <w:sz w:val="20"/>
                <w:szCs w:val="20"/>
              </w:rPr>
              <w:t>施工段午间</w:t>
            </w:r>
            <w:r>
              <w:rPr>
                <w:rFonts w:ascii="仿宋" w:hAnsi="仿宋" w:eastAsia="仿宋" w:cs="仿宋"/>
                <w:spacing w:val="-22"/>
                <w:sz w:val="20"/>
                <w:szCs w:val="20"/>
              </w:rPr>
              <w:t xml:space="preserve"> </w:t>
            </w:r>
            <w:r>
              <w:rPr>
                <w:spacing w:val="3"/>
                <w:sz w:val="20"/>
                <w:szCs w:val="20"/>
              </w:rPr>
              <w:t>12:00-</w:t>
            </w:r>
            <w:r>
              <w:rPr>
                <w:spacing w:val="-26"/>
                <w:sz w:val="20"/>
                <w:szCs w:val="20"/>
              </w:rPr>
              <w:t xml:space="preserve"> </w:t>
            </w:r>
            <w:r>
              <w:rPr>
                <w:spacing w:val="3"/>
                <w:sz w:val="20"/>
                <w:szCs w:val="20"/>
              </w:rPr>
              <w:t>14:00</w:t>
            </w:r>
            <w:r>
              <w:rPr>
                <w:spacing w:val="18"/>
                <w:sz w:val="20"/>
                <w:szCs w:val="20"/>
              </w:rPr>
              <w:t xml:space="preserve"> </w:t>
            </w:r>
            <w:r>
              <w:rPr>
                <w:rFonts w:ascii="仿宋" w:hAnsi="仿宋" w:eastAsia="仿宋" w:cs="仿宋"/>
                <w:spacing w:val="3"/>
                <w:sz w:val="20"/>
                <w:szCs w:val="20"/>
              </w:rPr>
              <w:t>和</w:t>
            </w:r>
            <w:r>
              <w:rPr>
                <w:rFonts w:ascii="仿宋" w:hAnsi="仿宋" w:eastAsia="仿宋" w:cs="仿宋"/>
                <w:spacing w:val="-43"/>
                <w:sz w:val="20"/>
                <w:szCs w:val="20"/>
              </w:rPr>
              <w:t xml:space="preserve"> </w:t>
            </w:r>
            <w:r>
              <w:rPr>
                <w:spacing w:val="3"/>
                <w:sz w:val="20"/>
                <w:szCs w:val="20"/>
              </w:rPr>
              <w:t>22:00-</w:t>
            </w:r>
            <w:r>
              <w:rPr>
                <w:rFonts w:ascii="仿宋" w:hAnsi="仿宋" w:eastAsia="仿宋" w:cs="仿宋"/>
                <w:spacing w:val="3"/>
                <w:sz w:val="20"/>
                <w:szCs w:val="20"/>
              </w:rPr>
              <w:t>次</w:t>
            </w:r>
            <w:r>
              <w:rPr>
                <w:rFonts w:ascii="仿宋" w:hAnsi="仿宋" w:eastAsia="仿宋" w:cs="仿宋"/>
                <w:spacing w:val="-43"/>
                <w:sz w:val="20"/>
                <w:szCs w:val="20"/>
              </w:rPr>
              <w:t xml:space="preserve"> </w:t>
            </w:r>
            <w:r>
              <w:rPr>
                <w:rFonts w:ascii="仿宋" w:hAnsi="仿宋" w:eastAsia="仿宋" w:cs="仿宋"/>
                <w:spacing w:val="3"/>
                <w:sz w:val="20"/>
                <w:szCs w:val="20"/>
              </w:rPr>
              <w:t>日</w:t>
            </w:r>
            <w:r>
              <w:rPr>
                <w:rFonts w:ascii="仿宋" w:hAnsi="仿宋" w:eastAsia="仿宋" w:cs="仿宋"/>
                <w:spacing w:val="-34"/>
                <w:sz w:val="20"/>
                <w:szCs w:val="20"/>
              </w:rPr>
              <w:t xml:space="preserve"> </w:t>
            </w:r>
            <w:r>
              <w:rPr>
                <w:spacing w:val="3"/>
                <w:sz w:val="20"/>
                <w:szCs w:val="20"/>
              </w:rPr>
              <w:t>8:00</w:t>
            </w:r>
            <w:r>
              <w:rPr>
                <w:spacing w:val="17"/>
                <w:w w:val="101"/>
                <w:sz w:val="20"/>
                <w:szCs w:val="20"/>
              </w:rPr>
              <w:t xml:space="preserve"> </w:t>
            </w:r>
            <w:r>
              <w:rPr>
                <w:rFonts w:ascii="仿宋" w:hAnsi="仿宋" w:eastAsia="仿宋" w:cs="仿宋"/>
                <w:spacing w:val="3"/>
                <w:sz w:val="20"/>
                <w:szCs w:val="20"/>
              </w:rPr>
              <w:t>均禁</w:t>
            </w:r>
            <w:r>
              <w:rPr>
                <w:rFonts w:ascii="仿宋" w:hAnsi="仿宋" w:eastAsia="仿宋" w:cs="仿宋"/>
                <w:spacing w:val="2"/>
                <w:sz w:val="20"/>
                <w:szCs w:val="20"/>
              </w:rPr>
              <w:t>止施工；同时无爆破、现场搅拌及高频</w:t>
            </w:r>
            <w:r>
              <w:rPr>
                <w:rFonts w:ascii="仿宋" w:hAnsi="仿宋" w:eastAsia="仿宋" w:cs="仿宋"/>
                <w:spacing w:val="11"/>
                <w:sz w:val="20"/>
                <w:szCs w:val="20"/>
              </w:rPr>
              <w:t>冲击施工工序，从源头规避了各类高风险噪声源。施工噪声仅昼间产</w:t>
            </w:r>
            <w:r>
              <w:rPr>
                <w:rFonts w:ascii="仿宋" w:hAnsi="仿宋" w:eastAsia="仿宋" w:cs="仿宋"/>
                <w:spacing w:val="10"/>
                <w:sz w:val="20"/>
                <w:szCs w:val="20"/>
              </w:rPr>
              <w:t>生，无全域连片</w:t>
            </w:r>
            <w:r>
              <w:rPr>
                <w:rFonts w:ascii="仿宋" w:hAnsi="仿宋" w:eastAsia="仿宋" w:cs="仿宋"/>
                <w:spacing w:val="11"/>
                <w:sz w:val="20"/>
                <w:szCs w:val="20"/>
              </w:rPr>
              <w:t>扰民风险，整体以沿线点状分散干扰为主，仅局部小型村落路段存在</w:t>
            </w:r>
            <w:r>
              <w:rPr>
                <w:rFonts w:ascii="仿宋" w:hAnsi="仿宋" w:eastAsia="仿宋" w:cs="仿宋"/>
                <w:spacing w:val="10"/>
                <w:sz w:val="20"/>
                <w:szCs w:val="20"/>
              </w:rPr>
              <w:t>昼间集中扰民问</w:t>
            </w:r>
            <w:r>
              <w:rPr>
                <w:rFonts w:ascii="仿宋" w:hAnsi="仿宋" w:eastAsia="仿宋" w:cs="仿宋"/>
                <w:spacing w:val="9"/>
                <w:sz w:val="20"/>
                <w:szCs w:val="20"/>
              </w:rPr>
              <w:t>题；结合沿线人居分布特征，项目采用分区差异化降噪管控方案：</w:t>
            </w:r>
          </w:p>
          <w:p w14:paraId="6837556D">
            <w:pPr>
              <w:spacing w:before="1" w:line="228" w:lineRule="auto"/>
              <w:ind w:left="532"/>
              <w:rPr>
                <w:rFonts w:ascii="仿宋" w:hAnsi="仿宋" w:eastAsia="仿宋" w:cs="仿宋"/>
                <w:sz w:val="20"/>
                <w:szCs w:val="20"/>
              </w:rPr>
            </w:pPr>
            <w:r>
              <w:rPr>
                <w:rFonts w:ascii="仿宋" w:hAnsi="仿宋" w:eastAsia="仿宋" w:cs="仿宋"/>
                <w:spacing w:val="8"/>
                <w:sz w:val="20"/>
                <w:szCs w:val="20"/>
              </w:rPr>
              <w:t>散户分散路段：</w:t>
            </w:r>
            <w:r>
              <w:rPr>
                <w:rFonts w:ascii="仿宋" w:hAnsi="仿宋" w:eastAsia="仿宋" w:cs="仿宋"/>
                <w:spacing w:val="-54"/>
                <w:sz w:val="20"/>
                <w:szCs w:val="20"/>
              </w:rPr>
              <w:t xml:space="preserve"> </w:t>
            </w:r>
            <w:r>
              <w:rPr>
                <w:rFonts w:ascii="仿宋" w:hAnsi="仿宋" w:eastAsia="仿宋" w:cs="仿宋"/>
                <w:spacing w:val="8"/>
                <w:sz w:val="20"/>
                <w:szCs w:val="20"/>
              </w:rPr>
              <w:t>以施工时序管控、运输车辆禁鸣限行为主，简化工程降噪</w:t>
            </w:r>
            <w:r>
              <w:rPr>
                <w:rFonts w:ascii="仿宋" w:hAnsi="仿宋" w:eastAsia="仿宋" w:cs="仿宋"/>
                <w:spacing w:val="7"/>
                <w:sz w:val="20"/>
                <w:szCs w:val="20"/>
              </w:rPr>
              <w:t>设施；</w:t>
            </w:r>
          </w:p>
          <w:p w14:paraId="43005840">
            <w:pPr>
              <w:spacing w:before="160" w:line="377" w:lineRule="auto"/>
              <w:ind w:left="122" w:right="103" w:firstLine="411"/>
              <w:rPr>
                <w:rFonts w:ascii="仿宋" w:hAnsi="仿宋" w:eastAsia="仿宋" w:cs="仿宋"/>
                <w:sz w:val="20"/>
                <w:szCs w:val="20"/>
              </w:rPr>
            </w:pPr>
            <w:r>
              <w:rPr>
                <w:rFonts w:ascii="仿宋" w:hAnsi="仿宋" w:eastAsia="仿宋" w:cs="仿宋"/>
                <w:spacing w:val="11"/>
                <w:sz w:val="20"/>
                <w:szCs w:val="20"/>
              </w:rPr>
              <w:t>集中村社路段：加密隔声围挡、严控多台高噪声机械同步作业，</w:t>
            </w:r>
            <w:r>
              <w:rPr>
                <w:rFonts w:ascii="仿宋" w:hAnsi="仿宋" w:eastAsia="仿宋" w:cs="仿宋"/>
                <w:spacing w:val="10"/>
                <w:sz w:val="20"/>
                <w:szCs w:val="20"/>
              </w:rPr>
              <w:t>强化传播路径降</w:t>
            </w:r>
            <w:r>
              <w:rPr>
                <w:rFonts w:ascii="仿宋" w:hAnsi="仿宋" w:eastAsia="仿宋" w:cs="仿宋"/>
                <w:spacing w:val="-7"/>
                <w:sz w:val="20"/>
                <w:szCs w:val="20"/>
              </w:rPr>
              <w:t>噪；</w:t>
            </w:r>
          </w:p>
          <w:p w14:paraId="3118BAE9">
            <w:pPr>
              <w:spacing w:before="1" w:line="377" w:lineRule="auto"/>
              <w:ind w:left="112" w:right="103" w:firstLine="424"/>
              <w:rPr>
                <w:rFonts w:ascii="仿宋" w:hAnsi="仿宋" w:eastAsia="仿宋" w:cs="仿宋"/>
                <w:sz w:val="20"/>
                <w:szCs w:val="20"/>
              </w:rPr>
            </w:pPr>
            <w:r>
              <w:rPr>
                <w:rFonts w:ascii="仿宋" w:hAnsi="仿宋" w:eastAsia="仿宋" w:cs="仿宋"/>
                <w:spacing w:val="11"/>
                <w:sz w:val="20"/>
                <w:szCs w:val="20"/>
              </w:rPr>
              <w:t>通用管控要求：施工避开村民午休及夜间休息时段，选用</w:t>
            </w:r>
            <w:r>
              <w:rPr>
                <w:rFonts w:ascii="仿宋" w:hAnsi="仿宋" w:eastAsia="仿宋" w:cs="仿宋"/>
                <w:spacing w:val="10"/>
                <w:sz w:val="20"/>
                <w:szCs w:val="20"/>
              </w:rPr>
              <w:t>低噪声施工设备，高噪</w:t>
            </w:r>
            <w:r>
              <w:rPr>
                <w:rFonts w:ascii="仿宋" w:hAnsi="仿宋" w:eastAsia="仿宋" w:cs="仿宋"/>
                <w:spacing w:val="6"/>
                <w:sz w:val="20"/>
                <w:szCs w:val="20"/>
              </w:rPr>
              <w:t>声工序错峰作业。</w:t>
            </w:r>
          </w:p>
          <w:p w14:paraId="024CA6B0">
            <w:pPr>
              <w:spacing w:before="1" w:line="357" w:lineRule="auto"/>
              <w:ind w:left="112" w:right="103" w:firstLine="430"/>
              <w:rPr>
                <w:rFonts w:ascii="仿宋" w:hAnsi="仿宋" w:eastAsia="仿宋" w:cs="仿宋"/>
                <w:sz w:val="20"/>
                <w:szCs w:val="20"/>
              </w:rPr>
            </w:pPr>
            <w:r>
              <w:rPr>
                <w:rFonts w:ascii="仿宋" w:hAnsi="仿宋" w:eastAsia="仿宋" w:cs="仿宋"/>
                <w:spacing w:val="11"/>
                <w:sz w:val="20"/>
                <w:szCs w:val="20"/>
              </w:rPr>
              <w:t>落实以上措施后，施工期噪声影响可控制在</w:t>
            </w:r>
            <w:r>
              <w:rPr>
                <w:rFonts w:ascii="仿宋" w:hAnsi="仿宋" w:eastAsia="仿宋" w:cs="仿宋"/>
                <w:spacing w:val="10"/>
                <w:sz w:val="20"/>
                <w:szCs w:val="20"/>
              </w:rPr>
              <w:t>可接受范围内，不会对沿线村民生活</w:t>
            </w:r>
            <w:r>
              <w:rPr>
                <w:rFonts w:ascii="仿宋" w:hAnsi="仿宋" w:eastAsia="仿宋" w:cs="仿宋"/>
                <w:spacing w:val="7"/>
                <w:sz w:val="20"/>
                <w:szCs w:val="20"/>
              </w:rPr>
              <w:t>造成不可逆的不良影响。</w:t>
            </w:r>
          </w:p>
        </w:tc>
      </w:tr>
      <w:tr w14:paraId="56729D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178" w:hRule="atLeast"/>
        </w:trPr>
        <w:tc>
          <w:tcPr>
            <w:tcW w:w="668" w:type="dxa"/>
            <w:tcBorders>
              <w:top w:val="single" w:color="000000" w:sz="2" w:space="0"/>
              <w:right w:val="single" w:color="000000" w:sz="2" w:space="0"/>
            </w:tcBorders>
            <w:vAlign w:val="top"/>
          </w:tcPr>
          <w:p w14:paraId="7CD9F054">
            <w:pPr>
              <w:spacing w:line="247" w:lineRule="auto"/>
              <w:rPr>
                <w:rFonts w:ascii="Arial"/>
                <w:sz w:val="21"/>
              </w:rPr>
            </w:pPr>
          </w:p>
          <w:p w14:paraId="385F73AE">
            <w:pPr>
              <w:spacing w:line="247" w:lineRule="auto"/>
              <w:rPr>
                <w:rFonts w:ascii="Arial"/>
                <w:sz w:val="21"/>
              </w:rPr>
            </w:pPr>
          </w:p>
          <w:p w14:paraId="7853DF5B">
            <w:pPr>
              <w:spacing w:line="247" w:lineRule="auto"/>
              <w:rPr>
                <w:rFonts w:ascii="Arial"/>
                <w:sz w:val="21"/>
              </w:rPr>
            </w:pPr>
          </w:p>
          <w:p w14:paraId="475C3FF5">
            <w:pPr>
              <w:spacing w:line="247" w:lineRule="auto"/>
              <w:rPr>
                <w:rFonts w:ascii="Arial"/>
                <w:sz w:val="21"/>
              </w:rPr>
            </w:pPr>
          </w:p>
          <w:p w14:paraId="07DF2321">
            <w:pPr>
              <w:spacing w:line="248" w:lineRule="auto"/>
              <w:rPr>
                <w:rFonts w:ascii="Arial"/>
                <w:sz w:val="21"/>
              </w:rPr>
            </w:pPr>
          </w:p>
          <w:p w14:paraId="5F9E8C21">
            <w:pPr>
              <w:spacing w:line="248" w:lineRule="auto"/>
              <w:rPr>
                <w:rFonts w:ascii="Arial"/>
                <w:sz w:val="21"/>
              </w:rPr>
            </w:pPr>
          </w:p>
          <w:p w14:paraId="7D30BC4E">
            <w:pPr>
              <w:spacing w:line="248" w:lineRule="auto"/>
              <w:rPr>
                <w:rFonts w:ascii="Arial"/>
                <w:sz w:val="21"/>
              </w:rPr>
            </w:pPr>
          </w:p>
          <w:p w14:paraId="0673E08F">
            <w:pPr>
              <w:spacing w:line="248" w:lineRule="auto"/>
              <w:rPr>
                <w:rFonts w:ascii="Arial"/>
                <w:sz w:val="21"/>
              </w:rPr>
            </w:pPr>
          </w:p>
          <w:p w14:paraId="050DA760">
            <w:pPr>
              <w:spacing w:line="248" w:lineRule="auto"/>
              <w:rPr>
                <w:rFonts w:ascii="Arial"/>
                <w:sz w:val="21"/>
              </w:rPr>
            </w:pPr>
          </w:p>
          <w:p w14:paraId="5DAFA5F9">
            <w:pPr>
              <w:spacing w:line="248" w:lineRule="auto"/>
              <w:rPr>
                <w:rFonts w:ascii="Arial"/>
                <w:sz w:val="21"/>
              </w:rPr>
            </w:pPr>
          </w:p>
          <w:p w14:paraId="3F235611">
            <w:pPr>
              <w:spacing w:line="248" w:lineRule="auto"/>
              <w:rPr>
                <w:rFonts w:ascii="Arial"/>
                <w:sz w:val="21"/>
              </w:rPr>
            </w:pPr>
          </w:p>
          <w:p w14:paraId="051B009E">
            <w:pPr>
              <w:spacing w:line="248" w:lineRule="auto"/>
              <w:rPr>
                <w:rFonts w:ascii="Arial"/>
                <w:sz w:val="21"/>
              </w:rPr>
            </w:pPr>
          </w:p>
          <w:p w14:paraId="49BD8999">
            <w:pPr>
              <w:spacing w:line="248" w:lineRule="auto"/>
              <w:rPr>
                <w:rFonts w:ascii="Arial"/>
                <w:sz w:val="21"/>
              </w:rPr>
            </w:pPr>
          </w:p>
          <w:p w14:paraId="42CDB919">
            <w:pPr>
              <w:spacing w:before="65" w:line="251" w:lineRule="auto"/>
              <w:ind w:left="109" w:right="123" w:firstLine="1"/>
              <w:jc w:val="both"/>
              <w:rPr>
                <w:rFonts w:ascii="仿宋" w:hAnsi="仿宋" w:eastAsia="仿宋" w:cs="仿宋"/>
                <w:sz w:val="20"/>
                <w:szCs w:val="20"/>
              </w:rPr>
            </w:pPr>
            <w:r>
              <w:rPr>
                <w:rFonts w:ascii="仿宋" w:hAnsi="仿宋" w:eastAsia="仿宋" w:cs="仿宋"/>
                <w:spacing w:val="11"/>
                <w:sz w:val="20"/>
                <w:szCs w:val="20"/>
              </w:rPr>
              <w:t>运营</w:t>
            </w:r>
            <w:r>
              <w:rPr>
                <w:rFonts w:ascii="仿宋" w:hAnsi="仿宋" w:eastAsia="仿宋" w:cs="仿宋"/>
                <w:spacing w:val="12"/>
                <w:sz w:val="20"/>
                <w:szCs w:val="20"/>
              </w:rPr>
              <w:t>期生态环境影响分</w:t>
            </w:r>
            <w:r>
              <w:rPr>
                <w:rFonts w:ascii="仿宋" w:hAnsi="仿宋" w:eastAsia="仿宋" w:cs="仿宋"/>
                <w:spacing w:val="50"/>
                <w:w w:val="130"/>
                <w:sz w:val="20"/>
                <w:szCs w:val="20"/>
              </w:rPr>
              <w:t>析</w:t>
            </w:r>
          </w:p>
        </w:tc>
        <w:tc>
          <w:tcPr>
            <w:tcW w:w="8027" w:type="dxa"/>
            <w:tcBorders>
              <w:top w:val="single" w:color="000000" w:sz="2" w:space="0"/>
              <w:left w:val="single" w:color="000000" w:sz="2" w:space="0"/>
            </w:tcBorders>
            <w:vAlign w:val="top"/>
          </w:tcPr>
          <w:p w14:paraId="50DB8B54">
            <w:pPr>
              <w:pStyle w:val="6"/>
              <w:spacing w:before="35" w:line="229" w:lineRule="auto"/>
              <w:ind w:left="533"/>
              <w:outlineLvl w:val="1"/>
              <w:rPr>
                <w:rFonts w:ascii="仿宋" w:hAnsi="仿宋" w:eastAsia="仿宋" w:cs="仿宋"/>
                <w:sz w:val="20"/>
                <w:szCs w:val="20"/>
              </w:rPr>
            </w:pPr>
            <w:r>
              <w:rPr>
                <w:b/>
                <w:bCs/>
                <w:spacing w:val="6"/>
                <w:sz w:val="20"/>
                <w:szCs w:val="20"/>
              </w:rPr>
              <w:t>1</w:t>
            </w:r>
            <w:r>
              <w:rPr>
                <w:b/>
                <w:bCs/>
                <w:spacing w:val="-19"/>
                <w:sz w:val="20"/>
                <w:szCs w:val="20"/>
              </w:rPr>
              <w:t xml:space="preserve"> </w:t>
            </w:r>
            <w:r>
              <w:rPr>
                <w:rFonts w:ascii="仿宋" w:hAnsi="仿宋" w:eastAsia="仿宋" w:cs="仿宋"/>
                <w:b/>
                <w:bCs/>
                <w:spacing w:val="6"/>
                <w:sz w:val="20"/>
                <w:szCs w:val="20"/>
              </w:rPr>
              <w:t>、生态环境影响分析（详见生态影响专项评</w:t>
            </w:r>
            <w:r>
              <w:rPr>
                <w:rFonts w:ascii="仿宋" w:hAnsi="仿宋" w:eastAsia="仿宋" w:cs="仿宋"/>
                <w:b/>
                <w:bCs/>
                <w:spacing w:val="5"/>
                <w:sz w:val="20"/>
                <w:szCs w:val="20"/>
              </w:rPr>
              <w:t>价）</w:t>
            </w:r>
          </w:p>
          <w:p w14:paraId="1C1CCB87">
            <w:pPr>
              <w:spacing w:before="159" w:line="231" w:lineRule="auto"/>
              <w:ind w:left="537"/>
              <w:outlineLvl w:val="1"/>
              <w:rPr>
                <w:rFonts w:ascii="仿宋" w:hAnsi="仿宋" w:eastAsia="仿宋" w:cs="仿宋"/>
                <w:sz w:val="20"/>
                <w:szCs w:val="20"/>
              </w:rPr>
            </w:pPr>
            <w:r>
              <w:rPr>
                <w:rFonts w:ascii="仿宋" w:hAnsi="仿宋" w:eastAsia="仿宋" w:cs="仿宋"/>
                <w:spacing w:val="11"/>
                <w:sz w:val="20"/>
                <w:szCs w:val="20"/>
              </w:rPr>
              <w:t>公路建成后，破坏永久占地内的植被，形成公路用地类型</w:t>
            </w:r>
            <w:r>
              <w:rPr>
                <w:rFonts w:ascii="仿宋" w:hAnsi="仿宋" w:eastAsia="仿宋" w:cs="仿宋"/>
                <w:spacing w:val="10"/>
                <w:sz w:val="20"/>
                <w:szCs w:val="20"/>
              </w:rPr>
              <w:t>。本项目原有景观格局</w:t>
            </w:r>
          </w:p>
          <w:p w14:paraId="3C22C617">
            <w:pPr>
              <w:spacing w:before="161" w:line="376" w:lineRule="auto"/>
              <w:ind w:left="114" w:right="103" w:firstLine="26"/>
              <w:jc w:val="both"/>
              <w:rPr>
                <w:rFonts w:ascii="仿宋" w:hAnsi="仿宋" w:eastAsia="仿宋" w:cs="仿宋"/>
                <w:sz w:val="20"/>
                <w:szCs w:val="20"/>
              </w:rPr>
            </w:pPr>
            <w:r>
              <w:rPr>
                <w:rFonts w:ascii="仿宋" w:hAnsi="仿宋" w:eastAsia="仿宋" w:cs="仿宋"/>
                <w:spacing w:val="10"/>
                <w:sz w:val="20"/>
                <w:szCs w:val="20"/>
              </w:rPr>
              <w:t>已形成，项目营运后，评价区域内野生动物对周边环境逐渐适应，对沿线区域野生动</w:t>
            </w:r>
            <w:r>
              <w:rPr>
                <w:rFonts w:ascii="仿宋" w:hAnsi="仿宋" w:eastAsia="仿宋" w:cs="仿宋"/>
                <w:spacing w:val="11"/>
                <w:sz w:val="20"/>
                <w:szCs w:val="20"/>
              </w:rPr>
              <w:t>物基本不产生阻隔影响，项目建设对整体景观格局影响较小，不</w:t>
            </w:r>
            <w:r>
              <w:rPr>
                <w:rFonts w:ascii="仿宋" w:hAnsi="仿宋" w:eastAsia="仿宋" w:cs="仿宋"/>
                <w:spacing w:val="10"/>
                <w:sz w:val="20"/>
                <w:szCs w:val="20"/>
              </w:rPr>
              <w:t>会改变评价区整体自</w:t>
            </w:r>
            <w:r>
              <w:rPr>
                <w:rFonts w:ascii="仿宋" w:hAnsi="仿宋" w:eastAsia="仿宋" w:cs="仿宋"/>
                <w:spacing w:val="9"/>
                <w:sz w:val="20"/>
                <w:szCs w:val="20"/>
              </w:rPr>
              <w:t>然景观。运营期生态影响分析，详见生态影响专</w:t>
            </w:r>
            <w:r>
              <w:rPr>
                <w:rFonts w:ascii="仿宋" w:hAnsi="仿宋" w:eastAsia="仿宋" w:cs="仿宋"/>
                <w:spacing w:val="8"/>
                <w:sz w:val="20"/>
                <w:szCs w:val="20"/>
              </w:rPr>
              <w:t>项评价。</w:t>
            </w:r>
          </w:p>
          <w:p w14:paraId="53E1A750">
            <w:pPr>
              <w:pStyle w:val="6"/>
              <w:spacing w:before="1" w:line="230" w:lineRule="auto"/>
              <w:ind w:left="524"/>
              <w:outlineLvl w:val="1"/>
              <w:rPr>
                <w:rFonts w:ascii="仿宋" w:hAnsi="仿宋" w:eastAsia="仿宋" w:cs="仿宋"/>
                <w:sz w:val="20"/>
                <w:szCs w:val="20"/>
              </w:rPr>
            </w:pPr>
            <w:r>
              <w:rPr>
                <w:b/>
                <w:bCs/>
                <w:spacing w:val="4"/>
                <w:sz w:val="20"/>
                <w:szCs w:val="20"/>
              </w:rPr>
              <w:t>2</w:t>
            </w:r>
            <w:r>
              <w:rPr>
                <w:b/>
                <w:bCs/>
                <w:spacing w:val="-14"/>
                <w:sz w:val="20"/>
                <w:szCs w:val="20"/>
              </w:rPr>
              <w:t xml:space="preserve"> </w:t>
            </w:r>
            <w:r>
              <w:rPr>
                <w:rFonts w:ascii="仿宋" w:hAnsi="仿宋" w:eastAsia="仿宋" w:cs="仿宋"/>
                <w:b/>
                <w:bCs/>
                <w:spacing w:val="4"/>
                <w:sz w:val="20"/>
                <w:szCs w:val="20"/>
              </w:rPr>
              <w:t>、大气环境影响分析</w:t>
            </w:r>
          </w:p>
          <w:p w14:paraId="2087E45D">
            <w:pPr>
              <w:spacing w:before="161" w:line="228" w:lineRule="auto"/>
              <w:ind w:left="534"/>
              <w:outlineLvl w:val="1"/>
              <w:rPr>
                <w:rFonts w:ascii="仿宋" w:hAnsi="仿宋" w:eastAsia="仿宋" w:cs="仿宋"/>
                <w:sz w:val="20"/>
                <w:szCs w:val="20"/>
              </w:rPr>
            </w:pPr>
            <w:r>
              <w:rPr>
                <w:rFonts w:ascii="仿宋" w:hAnsi="仿宋" w:eastAsia="仿宋" w:cs="仿宋"/>
                <w:spacing w:val="11"/>
                <w:sz w:val="20"/>
                <w:szCs w:val="20"/>
              </w:rPr>
              <w:t>本项目运营期的主要大气污染物为汽车尾气及车辆行驶产生的二</w:t>
            </w:r>
            <w:r>
              <w:rPr>
                <w:rFonts w:ascii="仿宋" w:hAnsi="仿宋" w:eastAsia="仿宋" w:cs="仿宋"/>
                <w:spacing w:val="10"/>
                <w:sz w:val="20"/>
                <w:szCs w:val="20"/>
              </w:rPr>
              <w:t>次扬尘。运营期</w:t>
            </w:r>
          </w:p>
          <w:p w14:paraId="170BF039">
            <w:pPr>
              <w:pStyle w:val="6"/>
              <w:spacing w:before="161" w:line="377" w:lineRule="auto"/>
              <w:ind w:left="114" w:right="102" w:firstLine="8"/>
              <w:jc w:val="both"/>
              <w:rPr>
                <w:rFonts w:ascii="仿宋" w:hAnsi="仿宋" w:eastAsia="仿宋" w:cs="仿宋"/>
                <w:sz w:val="20"/>
                <w:szCs w:val="20"/>
              </w:rPr>
            </w:pPr>
            <w:r>
              <w:rPr>
                <w:rFonts w:ascii="仿宋" w:hAnsi="仿宋" w:eastAsia="仿宋" w:cs="仿宋"/>
                <w:spacing w:val="11"/>
                <w:sz w:val="20"/>
                <w:szCs w:val="20"/>
              </w:rPr>
              <w:t>随着交通量的增加，道路上行驶的汽车尾气</w:t>
            </w:r>
            <w:r>
              <w:rPr>
                <w:rFonts w:ascii="仿宋" w:hAnsi="仿宋" w:eastAsia="仿宋" w:cs="仿宋"/>
                <w:spacing w:val="10"/>
                <w:sz w:val="20"/>
                <w:szCs w:val="20"/>
              </w:rPr>
              <w:t>，排放总量也会相应加大。汽车排放的尾</w:t>
            </w:r>
            <w:r>
              <w:rPr>
                <w:rFonts w:ascii="仿宋" w:hAnsi="仿宋" w:eastAsia="仿宋" w:cs="仿宋"/>
                <w:spacing w:val="8"/>
                <w:sz w:val="20"/>
                <w:szCs w:val="20"/>
              </w:rPr>
              <w:t>气中含有</w:t>
            </w:r>
            <w:r>
              <w:rPr>
                <w:rFonts w:ascii="仿宋" w:hAnsi="仿宋" w:eastAsia="仿宋" w:cs="仿宋"/>
                <w:spacing w:val="-32"/>
                <w:sz w:val="20"/>
                <w:szCs w:val="20"/>
              </w:rPr>
              <w:t xml:space="preserve"> </w:t>
            </w:r>
            <w:r>
              <w:rPr>
                <w:sz w:val="20"/>
                <w:szCs w:val="20"/>
              </w:rPr>
              <w:t>CO</w:t>
            </w:r>
            <w:r>
              <w:rPr>
                <w:spacing w:val="-20"/>
                <w:sz w:val="20"/>
                <w:szCs w:val="20"/>
              </w:rPr>
              <w:t xml:space="preserve"> </w:t>
            </w:r>
            <w:r>
              <w:rPr>
                <w:rFonts w:ascii="仿宋" w:hAnsi="仿宋" w:eastAsia="仿宋" w:cs="仿宋"/>
                <w:spacing w:val="8"/>
                <w:sz w:val="20"/>
                <w:szCs w:val="20"/>
              </w:rPr>
              <w:t>、</w:t>
            </w:r>
            <w:r>
              <w:rPr>
                <w:sz w:val="20"/>
                <w:szCs w:val="20"/>
              </w:rPr>
              <w:t>NOx</w:t>
            </w:r>
            <w:r>
              <w:rPr>
                <w:spacing w:val="-19"/>
                <w:sz w:val="20"/>
                <w:szCs w:val="20"/>
              </w:rPr>
              <w:t xml:space="preserve"> </w:t>
            </w:r>
            <w:r>
              <w:rPr>
                <w:rFonts w:ascii="仿宋" w:hAnsi="仿宋" w:eastAsia="仿宋" w:cs="仿宋"/>
                <w:spacing w:val="8"/>
                <w:sz w:val="20"/>
                <w:szCs w:val="20"/>
              </w:rPr>
              <w:t>、</w:t>
            </w:r>
            <w:r>
              <w:rPr>
                <w:sz w:val="20"/>
                <w:szCs w:val="20"/>
              </w:rPr>
              <w:t>HC</w:t>
            </w:r>
            <w:r>
              <w:rPr>
                <w:spacing w:val="19"/>
                <w:sz w:val="20"/>
                <w:szCs w:val="20"/>
              </w:rPr>
              <w:t xml:space="preserve"> </w:t>
            </w:r>
            <w:r>
              <w:rPr>
                <w:rFonts w:ascii="仿宋" w:hAnsi="仿宋" w:eastAsia="仿宋" w:cs="仿宋"/>
                <w:spacing w:val="8"/>
                <w:sz w:val="20"/>
                <w:szCs w:val="20"/>
              </w:rPr>
              <w:t>及颗粒物等污染因子。另外，道路上行驶的汽车轮胎接触路</w:t>
            </w:r>
            <w:r>
              <w:rPr>
                <w:rFonts w:ascii="仿宋" w:hAnsi="仿宋" w:eastAsia="仿宋" w:cs="仿宋"/>
                <w:spacing w:val="11"/>
                <w:sz w:val="20"/>
                <w:szCs w:val="20"/>
              </w:rPr>
              <w:t>面积尘将产生二次扬尘，也会对周边大气、土壤、植被造成一定</w:t>
            </w:r>
            <w:r>
              <w:rPr>
                <w:rFonts w:ascii="仿宋" w:hAnsi="仿宋" w:eastAsia="仿宋" w:cs="仿宋"/>
                <w:spacing w:val="10"/>
                <w:sz w:val="20"/>
                <w:szCs w:val="20"/>
              </w:rPr>
              <w:t>的污染，直接或间接</w:t>
            </w:r>
            <w:r>
              <w:rPr>
                <w:rFonts w:ascii="仿宋" w:hAnsi="仿宋" w:eastAsia="仿宋" w:cs="仿宋"/>
                <w:spacing w:val="7"/>
                <w:sz w:val="20"/>
                <w:szCs w:val="20"/>
              </w:rPr>
              <w:t>地对周边环境产生污染影响。</w:t>
            </w:r>
          </w:p>
          <w:p w14:paraId="536276F3">
            <w:pPr>
              <w:pStyle w:val="6"/>
              <w:spacing w:before="1" w:line="227" w:lineRule="auto"/>
              <w:ind w:left="537"/>
              <w:rPr>
                <w:rFonts w:ascii="仿宋" w:hAnsi="仿宋" w:eastAsia="仿宋" w:cs="仿宋"/>
                <w:sz w:val="20"/>
                <w:szCs w:val="20"/>
              </w:rPr>
            </w:pPr>
            <w:r>
              <w:rPr>
                <w:rFonts w:ascii="仿宋" w:hAnsi="仿宋" w:eastAsia="仿宋" w:cs="仿宋"/>
                <w:spacing w:val="6"/>
                <w:sz w:val="20"/>
                <w:szCs w:val="20"/>
              </w:rPr>
              <w:t>（</w:t>
            </w:r>
            <w:r>
              <w:rPr>
                <w:spacing w:val="6"/>
                <w:sz w:val="20"/>
                <w:szCs w:val="20"/>
              </w:rPr>
              <w:t>1</w:t>
            </w:r>
            <w:r>
              <w:rPr>
                <w:rFonts w:ascii="仿宋" w:hAnsi="仿宋" w:eastAsia="仿宋" w:cs="仿宋"/>
                <w:spacing w:val="6"/>
                <w:sz w:val="20"/>
                <w:szCs w:val="20"/>
              </w:rPr>
              <w:t>）汽车尾气</w:t>
            </w:r>
          </w:p>
          <w:p w14:paraId="3A28DD8A">
            <w:pPr>
              <w:pStyle w:val="6"/>
              <w:spacing w:before="160" w:line="377" w:lineRule="auto"/>
              <w:ind w:left="112" w:right="31" w:firstLine="424"/>
              <w:rPr>
                <w:rFonts w:ascii="仿宋" w:hAnsi="仿宋" w:eastAsia="仿宋" w:cs="仿宋"/>
                <w:sz w:val="20"/>
                <w:szCs w:val="20"/>
              </w:rPr>
            </w:pPr>
            <w:r>
              <w:rPr>
                <w:rFonts w:ascii="仿宋" w:hAnsi="仿宋" w:eastAsia="仿宋" w:cs="仿宋"/>
                <w:spacing w:val="11"/>
                <w:sz w:val="20"/>
                <w:szCs w:val="20"/>
              </w:rPr>
              <w:t>公路机动车尾气影响具备近距离、短时性特点，尾气污染</w:t>
            </w:r>
            <w:r>
              <w:rPr>
                <w:rFonts w:ascii="仿宋" w:hAnsi="仿宋" w:eastAsia="仿宋" w:cs="仿宋"/>
                <w:spacing w:val="10"/>
                <w:sz w:val="20"/>
                <w:szCs w:val="20"/>
              </w:rPr>
              <w:t>物高浓度影响带集中于</w:t>
            </w:r>
            <w:r>
              <w:rPr>
                <w:rFonts w:ascii="仿宋" w:hAnsi="仿宋" w:eastAsia="仿宋" w:cs="仿宋"/>
                <w:spacing w:val="6"/>
                <w:sz w:val="20"/>
                <w:szCs w:val="20"/>
              </w:rPr>
              <w:t>道路路基两侧</w:t>
            </w:r>
            <w:r>
              <w:rPr>
                <w:rFonts w:ascii="仿宋" w:hAnsi="仿宋" w:eastAsia="仿宋" w:cs="仿宋"/>
                <w:spacing w:val="-21"/>
                <w:sz w:val="20"/>
                <w:szCs w:val="20"/>
              </w:rPr>
              <w:t xml:space="preserve"> </w:t>
            </w:r>
            <w:r>
              <w:rPr>
                <w:spacing w:val="6"/>
                <w:sz w:val="20"/>
                <w:szCs w:val="20"/>
              </w:rPr>
              <w:t>0~20m</w:t>
            </w:r>
            <w:r>
              <w:rPr>
                <w:spacing w:val="27"/>
                <w:sz w:val="20"/>
                <w:szCs w:val="20"/>
              </w:rPr>
              <w:t xml:space="preserve"> </w:t>
            </w:r>
            <w:r>
              <w:rPr>
                <w:rFonts w:ascii="仿宋" w:hAnsi="仿宋" w:eastAsia="仿宋" w:cs="仿宋"/>
                <w:spacing w:val="6"/>
                <w:sz w:val="20"/>
                <w:szCs w:val="20"/>
              </w:rPr>
              <w:t>范围，污染物以</w:t>
            </w:r>
            <w:r>
              <w:rPr>
                <w:rFonts w:ascii="仿宋" w:hAnsi="仿宋" w:eastAsia="仿宋" w:cs="仿宋"/>
                <w:spacing w:val="-38"/>
                <w:sz w:val="20"/>
                <w:szCs w:val="20"/>
              </w:rPr>
              <w:t xml:space="preserve"> </w:t>
            </w:r>
            <w:r>
              <w:rPr>
                <w:sz w:val="20"/>
                <w:szCs w:val="20"/>
              </w:rPr>
              <w:t>CO</w:t>
            </w:r>
            <w:r>
              <w:rPr>
                <w:rFonts w:ascii="仿宋" w:hAnsi="仿宋" w:eastAsia="仿宋" w:cs="仿宋"/>
                <w:spacing w:val="6"/>
                <w:sz w:val="20"/>
                <w:szCs w:val="20"/>
              </w:rPr>
              <w:t>、</w:t>
            </w:r>
            <w:r>
              <w:rPr>
                <w:sz w:val="20"/>
                <w:szCs w:val="20"/>
              </w:rPr>
              <w:t>NOx</w:t>
            </w:r>
            <w:r>
              <w:rPr>
                <w:rFonts w:ascii="仿宋" w:hAnsi="仿宋" w:eastAsia="仿宋" w:cs="仿宋"/>
                <w:spacing w:val="6"/>
                <w:sz w:val="20"/>
                <w:szCs w:val="20"/>
              </w:rPr>
              <w:t>、</w:t>
            </w:r>
            <w:r>
              <w:rPr>
                <w:sz w:val="20"/>
                <w:szCs w:val="20"/>
              </w:rPr>
              <w:t>HC</w:t>
            </w:r>
            <w:r>
              <w:rPr>
                <w:spacing w:val="20"/>
                <w:sz w:val="20"/>
                <w:szCs w:val="20"/>
              </w:rPr>
              <w:t xml:space="preserve"> </w:t>
            </w:r>
            <w:r>
              <w:rPr>
                <w:rFonts w:ascii="仿宋" w:hAnsi="仿宋" w:eastAsia="仿宋" w:cs="仿宋"/>
                <w:spacing w:val="6"/>
                <w:sz w:val="20"/>
                <w:szCs w:val="20"/>
              </w:rPr>
              <w:t>及颗粒物为主。受四级公路通行</w:t>
            </w:r>
            <w:r>
              <w:rPr>
                <w:rFonts w:ascii="仿宋" w:hAnsi="仿宋" w:eastAsia="仿宋" w:cs="仿宋"/>
                <w:spacing w:val="9"/>
                <w:sz w:val="20"/>
                <w:szCs w:val="20"/>
              </w:rPr>
              <w:t>条件限制，村口交叉</w:t>
            </w:r>
            <w:r>
              <w:rPr>
                <w:rFonts w:ascii="仿宋" w:hAnsi="仿宋" w:eastAsia="仿宋" w:cs="仿宋"/>
                <w:spacing w:val="-33"/>
                <w:sz w:val="20"/>
                <w:szCs w:val="20"/>
              </w:rPr>
              <w:t xml:space="preserve"> </w:t>
            </w:r>
            <w:r>
              <w:rPr>
                <w:rFonts w:ascii="仿宋" w:hAnsi="仿宋" w:eastAsia="仿宋" w:cs="仿宋"/>
                <w:spacing w:val="9"/>
                <w:sz w:val="20"/>
                <w:szCs w:val="20"/>
              </w:rPr>
              <w:t>口、减速带、爬坡路段车辆低速行驶、频繁启停，尾气排放强度</w:t>
            </w:r>
            <w:r>
              <w:rPr>
                <w:rFonts w:ascii="仿宋" w:hAnsi="仿宋" w:eastAsia="仿宋" w:cs="仿宋"/>
                <w:spacing w:val="7"/>
                <w:sz w:val="20"/>
                <w:szCs w:val="20"/>
              </w:rPr>
              <w:t>相对更高；开阔田间、草地路段通风条件好，尾气扩散速度快，污染物堆积程度极低。</w:t>
            </w:r>
            <w:r>
              <w:rPr>
                <w:rFonts w:ascii="仿宋" w:hAnsi="仿宋" w:eastAsia="仿宋" w:cs="仿宋"/>
                <w:spacing w:val="8"/>
                <w:sz w:val="20"/>
                <w:szCs w:val="20"/>
              </w:rPr>
              <w:t>道路两侧</w:t>
            </w:r>
            <w:r>
              <w:rPr>
                <w:rFonts w:ascii="仿宋" w:hAnsi="仿宋" w:eastAsia="仿宋" w:cs="仿宋"/>
                <w:spacing w:val="-35"/>
                <w:sz w:val="20"/>
                <w:szCs w:val="20"/>
              </w:rPr>
              <w:t xml:space="preserve"> </w:t>
            </w:r>
            <w:r>
              <w:rPr>
                <w:spacing w:val="8"/>
                <w:sz w:val="20"/>
                <w:szCs w:val="20"/>
              </w:rPr>
              <w:t>50m</w:t>
            </w:r>
            <w:r>
              <w:rPr>
                <w:spacing w:val="36"/>
                <w:sz w:val="20"/>
                <w:szCs w:val="20"/>
              </w:rPr>
              <w:t xml:space="preserve"> </w:t>
            </w:r>
            <w:r>
              <w:rPr>
                <w:rFonts w:ascii="仿宋" w:hAnsi="仿宋" w:eastAsia="仿宋" w:cs="仿宋"/>
                <w:spacing w:val="8"/>
                <w:sz w:val="20"/>
                <w:szCs w:val="20"/>
              </w:rPr>
              <w:t>以外区域，尾气污染物经大气扩散稀释后</w:t>
            </w:r>
            <w:r>
              <w:rPr>
                <w:rFonts w:ascii="仿宋" w:hAnsi="仿宋" w:eastAsia="仿宋" w:cs="仿宋"/>
                <w:spacing w:val="7"/>
                <w:sz w:val="20"/>
                <w:szCs w:val="20"/>
              </w:rPr>
              <w:t>，浓度基本回归区域大气本底值，不会对远距离居民点、农田、草原产生持续性尾气污染，无远距离大气扩散影响。</w:t>
            </w:r>
          </w:p>
          <w:p w14:paraId="6EE997D4">
            <w:pPr>
              <w:pStyle w:val="6"/>
              <w:spacing w:before="1" w:line="230" w:lineRule="auto"/>
              <w:ind w:left="537"/>
              <w:rPr>
                <w:rFonts w:ascii="仿宋" w:hAnsi="仿宋" w:eastAsia="仿宋" w:cs="仿宋"/>
                <w:sz w:val="20"/>
                <w:szCs w:val="20"/>
              </w:rPr>
            </w:pPr>
            <w:r>
              <w:rPr>
                <w:rFonts w:ascii="仿宋" w:hAnsi="仿宋" w:eastAsia="仿宋" w:cs="仿宋"/>
                <w:spacing w:val="7"/>
                <w:sz w:val="20"/>
                <w:szCs w:val="20"/>
              </w:rPr>
              <w:t>（</w:t>
            </w:r>
            <w:r>
              <w:rPr>
                <w:spacing w:val="7"/>
                <w:sz w:val="20"/>
                <w:szCs w:val="20"/>
              </w:rPr>
              <w:t>2</w:t>
            </w:r>
            <w:r>
              <w:rPr>
                <w:rFonts w:ascii="仿宋" w:hAnsi="仿宋" w:eastAsia="仿宋" w:cs="仿宋"/>
                <w:spacing w:val="7"/>
                <w:sz w:val="20"/>
                <w:szCs w:val="20"/>
              </w:rPr>
              <w:t>）扬尘影响分析</w:t>
            </w:r>
          </w:p>
          <w:p w14:paraId="36CC73EA">
            <w:pPr>
              <w:spacing w:before="159" w:line="228" w:lineRule="auto"/>
              <w:ind w:left="534"/>
              <w:rPr>
                <w:rFonts w:ascii="仿宋" w:hAnsi="仿宋" w:eastAsia="仿宋" w:cs="仿宋"/>
                <w:sz w:val="20"/>
                <w:szCs w:val="20"/>
              </w:rPr>
            </w:pPr>
            <w:r>
              <w:rPr>
                <w:rFonts w:ascii="仿宋" w:hAnsi="仿宋" w:eastAsia="仿宋" w:cs="仿宋"/>
                <w:spacing w:val="11"/>
                <w:sz w:val="20"/>
                <w:szCs w:val="20"/>
              </w:rPr>
              <w:t>道路上行驶汽车的轮胎接触路面（尤其未筛分碎石路面）而使路面积尘扬</w:t>
            </w:r>
            <w:r>
              <w:rPr>
                <w:rFonts w:ascii="仿宋" w:hAnsi="仿宋" w:eastAsia="仿宋" w:cs="仿宋"/>
                <w:spacing w:val="10"/>
                <w:sz w:val="20"/>
                <w:szCs w:val="20"/>
              </w:rPr>
              <w:t>起，从</w:t>
            </w:r>
          </w:p>
        </w:tc>
      </w:tr>
    </w:tbl>
    <w:p w14:paraId="407CC8AB">
      <w:pPr>
        <w:pStyle w:val="2"/>
        <w:rPr>
          <w:sz w:val="21"/>
        </w:rPr>
      </w:pPr>
    </w:p>
    <w:p w14:paraId="2F7A315B">
      <w:pPr>
        <w:rPr>
          <w:sz w:val="21"/>
          <w:szCs w:val="21"/>
        </w:rPr>
        <w:sectPr>
          <w:footerReference r:id="rId59" w:type="default"/>
          <w:pgSz w:w="11907" w:h="16840"/>
          <w:pgMar w:top="400" w:right="1598" w:bottom="1446" w:left="1598" w:header="0" w:footer="1284" w:gutter="0"/>
          <w:cols w:space="720" w:num="1"/>
        </w:sectPr>
      </w:pPr>
    </w:p>
    <w:p w14:paraId="1E26D95A">
      <w:pPr>
        <w:spacing w:before="19"/>
      </w:pPr>
    </w:p>
    <w:p w14:paraId="1D338C0A">
      <w:pPr>
        <w:spacing w:before="19"/>
      </w:pPr>
    </w:p>
    <w:p w14:paraId="26EFB848">
      <w:pPr>
        <w:spacing w:before="18"/>
      </w:pPr>
    </w:p>
    <w:p w14:paraId="2E6FDD20">
      <w:pPr>
        <w:spacing w:before="18"/>
      </w:pPr>
    </w:p>
    <w:tbl>
      <w:tblPr>
        <w:tblStyle w:val="5"/>
        <w:tblW w:w="869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68"/>
        <w:gridCol w:w="8027"/>
      </w:tblGrid>
      <w:tr w14:paraId="1C5E61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478" w:hRule="atLeast"/>
        </w:trPr>
        <w:tc>
          <w:tcPr>
            <w:tcW w:w="668" w:type="dxa"/>
            <w:tcBorders>
              <w:right w:val="single" w:color="000000" w:sz="2" w:space="0"/>
            </w:tcBorders>
            <w:vAlign w:val="top"/>
          </w:tcPr>
          <w:p w14:paraId="41CD5852">
            <w:pPr>
              <w:rPr>
                <w:rFonts w:ascii="Arial"/>
                <w:sz w:val="21"/>
              </w:rPr>
            </w:pPr>
          </w:p>
        </w:tc>
        <w:tc>
          <w:tcPr>
            <w:tcW w:w="8027" w:type="dxa"/>
            <w:tcBorders>
              <w:left w:val="single" w:color="000000" w:sz="2" w:space="0"/>
            </w:tcBorders>
            <w:vAlign w:val="top"/>
          </w:tcPr>
          <w:p w14:paraId="101B607F">
            <w:pPr>
              <w:spacing w:before="28" w:line="376" w:lineRule="auto"/>
              <w:ind w:left="114" w:right="103" w:firstLine="3"/>
              <w:jc w:val="both"/>
              <w:rPr>
                <w:rFonts w:ascii="仿宋" w:hAnsi="仿宋" w:eastAsia="仿宋" w:cs="仿宋"/>
                <w:sz w:val="20"/>
                <w:szCs w:val="20"/>
              </w:rPr>
            </w:pPr>
            <w:r>
              <w:rPr>
                <w:rFonts w:ascii="仿宋" w:hAnsi="仿宋" w:eastAsia="仿宋" w:cs="仿宋"/>
                <w:spacing w:val="9"/>
                <w:sz w:val="20"/>
                <w:szCs w:val="20"/>
              </w:rPr>
              <w:t>而产生二次扬尘污染。在运送散装含尘物料时，</w:t>
            </w:r>
            <w:r>
              <w:rPr>
                <w:rFonts w:ascii="仿宋" w:hAnsi="仿宋" w:eastAsia="仿宋" w:cs="仿宋"/>
                <w:spacing w:val="-38"/>
                <w:sz w:val="20"/>
                <w:szCs w:val="20"/>
              </w:rPr>
              <w:t xml:space="preserve"> </w:t>
            </w:r>
            <w:r>
              <w:rPr>
                <w:rFonts w:ascii="仿宋" w:hAnsi="仿宋" w:eastAsia="仿宋" w:cs="仿宋"/>
                <w:spacing w:val="9"/>
                <w:sz w:val="20"/>
                <w:szCs w:val="20"/>
              </w:rPr>
              <w:t>由于撒落、风吹等原因，使物料产生</w:t>
            </w:r>
            <w:r>
              <w:rPr>
                <w:rFonts w:ascii="仿宋" w:hAnsi="仿宋" w:eastAsia="仿宋" w:cs="仿宋"/>
                <w:spacing w:val="11"/>
                <w:sz w:val="20"/>
                <w:szCs w:val="20"/>
              </w:rPr>
              <w:t>扬尘污染。本项目主要为混凝土路面，工程运营期扬尘污染的大</w:t>
            </w:r>
            <w:r>
              <w:rPr>
                <w:rFonts w:ascii="仿宋" w:hAnsi="仿宋" w:eastAsia="仿宋" w:cs="仿宋"/>
                <w:spacing w:val="10"/>
                <w:sz w:val="20"/>
                <w:szCs w:val="20"/>
              </w:rPr>
              <w:t>小取决于道路路面状况的好坏、路面的清洁程度，</w:t>
            </w:r>
            <w:r>
              <w:rPr>
                <w:rFonts w:ascii="仿宋" w:hAnsi="仿宋" w:eastAsia="仿宋" w:cs="仿宋"/>
                <w:spacing w:val="-56"/>
                <w:sz w:val="20"/>
                <w:szCs w:val="20"/>
              </w:rPr>
              <w:t xml:space="preserve"> </w:t>
            </w:r>
            <w:r>
              <w:rPr>
                <w:rFonts w:ascii="仿宋" w:hAnsi="仿宋" w:eastAsia="仿宋" w:cs="仿宋"/>
                <w:spacing w:val="10"/>
                <w:sz w:val="20"/>
                <w:szCs w:val="20"/>
              </w:rPr>
              <w:t>以及对营运车辆的</w:t>
            </w:r>
            <w:r>
              <w:rPr>
                <w:rFonts w:ascii="仿宋" w:hAnsi="仿宋" w:eastAsia="仿宋" w:cs="仿宋"/>
                <w:spacing w:val="9"/>
                <w:sz w:val="20"/>
                <w:szCs w:val="20"/>
              </w:rPr>
              <w:t>管理。通过对道路路面进行维护，其</w:t>
            </w:r>
            <w:r>
              <w:rPr>
                <w:rFonts w:ascii="仿宋" w:hAnsi="仿宋" w:eastAsia="仿宋" w:cs="仿宋"/>
                <w:spacing w:val="11"/>
                <w:sz w:val="20"/>
                <w:szCs w:val="20"/>
              </w:rPr>
              <w:t>扬尘污染影响相对较小；另外，针对未筛分碎石路面，通过在施</w:t>
            </w:r>
            <w:r>
              <w:rPr>
                <w:rFonts w:ascii="仿宋" w:hAnsi="仿宋" w:eastAsia="仿宋" w:cs="仿宋"/>
                <w:spacing w:val="10"/>
                <w:sz w:val="20"/>
                <w:szCs w:val="20"/>
              </w:rPr>
              <w:t>工期对其进行有效压</w:t>
            </w:r>
            <w:r>
              <w:rPr>
                <w:rFonts w:ascii="仿宋" w:hAnsi="仿宋" w:eastAsia="仿宋" w:cs="仿宋"/>
                <w:spacing w:val="9"/>
                <w:sz w:val="20"/>
                <w:szCs w:val="20"/>
              </w:rPr>
              <w:t>实，并在运营期通过控制车速等措施，其扬尘产生量不大，影响是可以接受的。</w:t>
            </w:r>
          </w:p>
          <w:p w14:paraId="15731E97">
            <w:pPr>
              <w:pStyle w:val="6"/>
              <w:spacing w:before="2" w:line="230" w:lineRule="auto"/>
              <w:ind w:left="522"/>
              <w:rPr>
                <w:rFonts w:ascii="仿宋" w:hAnsi="仿宋" w:eastAsia="仿宋" w:cs="仿宋"/>
                <w:sz w:val="20"/>
                <w:szCs w:val="20"/>
              </w:rPr>
            </w:pPr>
            <w:r>
              <w:rPr>
                <w:b/>
                <w:bCs/>
                <w:spacing w:val="4"/>
                <w:sz w:val="20"/>
                <w:szCs w:val="20"/>
              </w:rPr>
              <w:t>3</w:t>
            </w:r>
            <w:r>
              <w:rPr>
                <w:b/>
                <w:bCs/>
                <w:spacing w:val="-17"/>
                <w:sz w:val="20"/>
                <w:szCs w:val="20"/>
              </w:rPr>
              <w:t xml:space="preserve"> </w:t>
            </w:r>
            <w:r>
              <w:rPr>
                <w:rFonts w:ascii="仿宋" w:hAnsi="仿宋" w:eastAsia="仿宋" w:cs="仿宋"/>
                <w:b/>
                <w:bCs/>
                <w:spacing w:val="4"/>
                <w:sz w:val="20"/>
                <w:szCs w:val="20"/>
              </w:rPr>
              <w:t>、水环境影响分析</w:t>
            </w:r>
          </w:p>
          <w:p w14:paraId="7463B579">
            <w:pPr>
              <w:spacing w:before="160" w:line="377" w:lineRule="auto"/>
              <w:ind w:left="113" w:right="148" w:firstLine="420"/>
              <w:jc w:val="both"/>
              <w:rPr>
                <w:rFonts w:ascii="仿宋" w:hAnsi="仿宋" w:eastAsia="仿宋" w:cs="仿宋"/>
                <w:sz w:val="20"/>
                <w:szCs w:val="20"/>
              </w:rPr>
            </w:pPr>
            <w:r>
              <w:rPr>
                <w:rFonts w:ascii="仿宋" w:hAnsi="仿宋" w:eastAsia="仿宋" w:cs="仿宋"/>
                <w:spacing w:val="9"/>
                <w:sz w:val="20"/>
                <w:szCs w:val="20"/>
              </w:rPr>
              <w:t>本公路为四级通村公路，全线不设置服务区、收费站、洗车场及养护工区，无生</w:t>
            </w:r>
            <w:r>
              <w:rPr>
                <w:rFonts w:ascii="仿宋" w:hAnsi="仿宋" w:eastAsia="仿宋" w:cs="仿宋"/>
                <w:spacing w:val="10"/>
                <w:sz w:val="20"/>
                <w:szCs w:val="20"/>
              </w:rPr>
              <w:t>产废水、生活污水集中排放源。结合项目区域</w:t>
            </w:r>
            <w:r>
              <w:rPr>
                <w:rFonts w:ascii="仿宋" w:hAnsi="仿宋" w:eastAsia="仿宋" w:cs="仿宋"/>
                <w:spacing w:val="9"/>
                <w:sz w:val="20"/>
                <w:szCs w:val="20"/>
              </w:rPr>
              <w:t>气候、地形水文及道路通行特征，运营</w:t>
            </w:r>
            <w:r>
              <w:rPr>
                <w:rFonts w:ascii="仿宋" w:hAnsi="仿宋" w:eastAsia="仿宋" w:cs="仿宋"/>
                <w:spacing w:val="8"/>
                <w:sz w:val="20"/>
                <w:szCs w:val="20"/>
              </w:rPr>
              <w:t>期水环境影响均为面源、短时、</w:t>
            </w:r>
            <w:r>
              <w:rPr>
                <w:rFonts w:ascii="仿宋" w:hAnsi="仿宋" w:eastAsia="仿宋" w:cs="仿宋"/>
                <w:spacing w:val="-43"/>
                <w:sz w:val="20"/>
                <w:szCs w:val="20"/>
              </w:rPr>
              <w:t xml:space="preserve"> </w:t>
            </w:r>
            <w:r>
              <w:rPr>
                <w:rFonts w:ascii="仿宋" w:hAnsi="仿宋" w:eastAsia="仿宋" w:cs="仿宋"/>
                <w:spacing w:val="8"/>
                <w:sz w:val="20"/>
                <w:szCs w:val="20"/>
              </w:rPr>
              <w:t>间歇性影响，无连续稳定废水排放，具体影响分析如</w:t>
            </w:r>
            <w:r>
              <w:rPr>
                <w:rFonts w:ascii="仿宋" w:hAnsi="仿宋" w:eastAsia="仿宋" w:cs="仿宋"/>
                <w:spacing w:val="-3"/>
                <w:sz w:val="20"/>
                <w:szCs w:val="20"/>
              </w:rPr>
              <w:t>下：</w:t>
            </w:r>
          </w:p>
          <w:p w14:paraId="4B9C8FB7">
            <w:pPr>
              <w:pStyle w:val="6"/>
              <w:spacing w:before="1" w:line="231" w:lineRule="auto"/>
              <w:ind w:left="537"/>
              <w:rPr>
                <w:rFonts w:ascii="仿宋" w:hAnsi="仿宋" w:eastAsia="仿宋" w:cs="仿宋"/>
                <w:sz w:val="20"/>
                <w:szCs w:val="20"/>
              </w:rPr>
            </w:pPr>
            <w:r>
              <w:rPr>
                <w:rFonts w:ascii="仿宋" w:hAnsi="仿宋" w:eastAsia="仿宋" w:cs="仿宋"/>
                <w:spacing w:val="7"/>
                <w:sz w:val="20"/>
                <w:szCs w:val="20"/>
              </w:rPr>
              <w:t>（</w:t>
            </w:r>
            <w:r>
              <w:rPr>
                <w:spacing w:val="7"/>
                <w:sz w:val="20"/>
                <w:szCs w:val="20"/>
              </w:rPr>
              <w:t>1</w:t>
            </w:r>
            <w:r>
              <w:rPr>
                <w:rFonts w:ascii="仿宋" w:hAnsi="仿宋" w:eastAsia="仿宋" w:cs="仿宋"/>
                <w:spacing w:val="7"/>
                <w:sz w:val="20"/>
                <w:szCs w:val="20"/>
              </w:rPr>
              <w:t>）降雨路面径流影响</w:t>
            </w:r>
          </w:p>
          <w:p w14:paraId="6B1DB0FD">
            <w:pPr>
              <w:pStyle w:val="6"/>
              <w:spacing w:before="155" w:line="377" w:lineRule="auto"/>
              <w:ind w:left="111" w:right="105" w:firstLine="430"/>
              <w:rPr>
                <w:rFonts w:ascii="仿宋" w:hAnsi="仿宋" w:eastAsia="仿宋" w:cs="仿宋"/>
                <w:sz w:val="20"/>
                <w:szCs w:val="20"/>
              </w:rPr>
            </w:pPr>
            <w:r>
              <w:rPr>
                <w:rFonts w:ascii="仿宋" w:hAnsi="仿宋" w:eastAsia="仿宋" w:cs="仿宋"/>
                <w:spacing w:val="9"/>
                <w:sz w:val="20"/>
                <w:szCs w:val="20"/>
              </w:rPr>
              <w:t>晴天路面会累积车辆磨损粉尘、轮胎磨损颗粒物、机动车微量油污、沿途散落秸</w:t>
            </w:r>
            <w:r>
              <w:rPr>
                <w:rFonts w:ascii="仿宋" w:hAnsi="仿宋" w:eastAsia="仿宋" w:cs="仿宋"/>
                <w:spacing w:val="10"/>
                <w:sz w:val="20"/>
                <w:szCs w:val="20"/>
              </w:rPr>
              <w:t>秆及畜禽粪便等污染物，区域暴雨天气发生时，雨</w:t>
            </w:r>
            <w:r>
              <w:rPr>
                <w:rFonts w:ascii="仿宋" w:hAnsi="仿宋" w:eastAsia="仿宋" w:cs="仿宋"/>
                <w:spacing w:val="9"/>
                <w:sz w:val="20"/>
                <w:szCs w:val="20"/>
              </w:rPr>
              <w:t>水直接冲刷路面形成路面径流，径</w:t>
            </w:r>
            <w:r>
              <w:rPr>
                <w:rFonts w:ascii="仿宋" w:hAnsi="仿宋" w:eastAsia="仿宋" w:cs="仿宋"/>
                <w:spacing w:val="8"/>
                <w:sz w:val="20"/>
                <w:szCs w:val="20"/>
              </w:rPr>
              <w:t>流中含有</w:t>
            </w:r>
            <w:r>
              <w:rPr>
                <w:rFonts w:ascii="仿宋" w:hAnsi="仿宋" w:eastAsia="仿宋" w:cs="仿宋"/>
                <w:spacing w:val="-32"/>
                <w:sz w:val="20"/>
                <w:szCs w:val="20"/>
              </w:rPr>
              <w:t xml:space="preserve"> </w:t>
            </w:r>
            <w:r>
              <w:rPr>
                <w:sz w:val="20"/>
                <w:szCs w:val="20"/>
              </w:rPr>
              <w:t>SS</w:t>
            </w:r>
            <w:r>
              <w:rPr>
                <w:spacing w:val="-19"/>
                <w:sz w:val="20"/>
                <w:szCs w:val="20"/>
              </w:rPr>
              <w:t xml:space="preserve"> </w:t>
            </w:r>
            <w:r>
              <w:rPr>
                <w:rFonts w:ascii="仿宋" w:hAnsi="仿宋" w:eastAsia="仿宋" w:cs="仿宋"/>
                <w:spacing w:val="8"/>
                <w:sz w:val="20"/>
                <w:szCs w:val="20"/>
              </w:rPr>
              <w:t>、石油类、有机质等污染物。初期雨水冲刷效应</w:t>
            </w:r>
            <w:r>
              <w:rPr>
                <w:rFonts w:ascii="仿宋" w:hAnsi="仿宋" w:eastAsia="仿宋" w:cs="仿宋"/>
                <w:spacing w:val="7"/>
                <w:sz w:val="20"/>
                <w:szCs w:val="20"/>
              </w:rPr>
              <w:t>最为明显，初期径流污染</w:t>
            </w:r>
            <w:r>
              <w:rPr>
                <w:rFonts w:ascii="仿宋" w:hAnsi="仿宋" w:eastAsia="仿宋" w:cs="仿宋"/>
                <w:spacing w:val="10"/>
                <w:sz w:val="20"/>
                <w:szCs w:val="20"/>
              </w:rPr>
              <w:t>物浓度较高，若未经边沟疏导直接漫流进入周边农</w:t>
            </w:r>
            <w:r>
              <w:rPr>
                <w:rFonts w:ascii="仿宋" w:hAnsi="仿宋" w:eastAsia="仿宋" w:cs="仿宋"/>
                <w:spacing w:val="9"/>
                <w:sz w:val="20"/>
                <w:szCs w:val="20"/>
              </w:rPr>
              <w:t>田灌溉渠、地表沟道，会短时提升</w:t>
            </w:r>
            <w:r>
              <w:rPr>
                <w:rFonts w:ascii="仿宋" w:hAnsi="仿宋" w:eastAsia="仿宋" w:cs="仿宋"/>
                <w:spacing w:val="10"/>
                <w:sz w:val="20"/>
                <w:szCs w:val="20"/>
              </w:rPr>
              <w:t>地表水悬浮物浓度，轻微影响灌溉水质；本项目车流量极低，无大型货运车辆通行，</w:t>
            </w:r>
            <w:r>
              <w:rPr>
                <w:rFonts w:ascii="仿宋" w:hAnsi="仿宋" w:eastAsia="仿宋" w:cs="仿宋"/>
                <w:spacing w:val="9"/>
                <w:sz w:val="20"/>
                <w:szCs w:val="20"/>
              </w:rPr>
              <w:t>路面污染物累积量小，仅降雨初期存在短时污染，无长期持续性水污染影响。</w:t>
            </w:r>
          </w:p>
          <w:p w14:paraId="04DC31BE">
            <w:pPr>
              <w:pStyle w:val="6"/>
              <w:spacing w:before="2" w:line="231" w:lineRule="auto"/>
              <w:ind w:left="537"/>
              <w:rPr>
                <w:rFonts w:ascii="仿宋" w:hAnsi="仿宋" w:eastAsia="仿宋" w:cs="仿宋"/>
                <w:sz w:val="20"/>
                <w:szCs w:val="20"/>
              </w:rPr>
            </w:pPr>
            <w:r>
              <w:rPr>
                <w:rFonts w:ascii="仿宋" w:hAnsi="仿宋" w:eastAsia="仿宋" w:cs="仿宋"/>
                <w:spacing w:val="8"/>
                <w:sz w:val="20"/>
                <w:szCs w:val="20"/>
              </w:rPr>
              <w:t>（</w:t>
            </w:r>
            <w:r>
              <w:rPr>
                <w:spacing w:val="8"/>
                <w:sz w:val="20"/>
                <w:szCs w:val="20"/>
              </w:rPr>
              <w:t>2</w:t>
            </w:r>
            <w:r>
              <w:rPr>
                <w:rFonts w:ascii="仿宋" w:hAnsi="仿宋" w:eastAsia="仿宋" w:cs="仿宋"/>
                <w:spacing w:val="8"/>
                <w:sz w:val="20"/>
                <w:szCs w:val="20"/>
              </w:rPr>
              <w:t>）路基边坡水土流失水环境影响</w:t>
            </w:r>
          </w:p>
          <w:p w14:paraId="41492EF4">
            <w:pPr>
              <w:spacing w:before="156" w:line="377" w:lineRule="auto"/>
              <w:ind w:left="114" w:right="148" w:firstLine="420"/>
              <w:rPr>
                <w:rFonts w:ascii="仿宋" w:hAnsi="仿宋" w:eastAsia="仿宋" w:cs="仿宋"/>
                <w:sz w:val="20"/>
                <w:szCs w:val="20"/>
              </w:rPr>
            </w:pPr>
            <w:r>
              <w:rPr>
                <w:rFonts w:ascii="仿宋" w:hAnsi="仿宋" w:eastAsia="仿宋" w:cs="仿宋"/>
                <w:spacing w:val="9"/>
                <w:sz w:val="20"/>
                <w:szCs w:val="20"/>
              </w:rPr>
              <w:t>项目沿线为黄土丘陵地貌，土体结构松散、抗冲刷能力差，夏季强暴雨雨水会直</w:t>
            </w:r>
            <w:r>
              <w:rPr>
                <w:rFonts w:ascii="仿宋" w:hAnsi="仿宋" w:eastAsia="仿宋" w:cs="仿宋"/>
                <w:spacing w:val="10"/>
                <w:sz w:val="20"/>
                <w:szCs w:val="20"/>
              </w:rPr>
              <w:t>接冲刷路基裸露边坡及开挖断面，产生泥沙随</w:t>
            </w:r>
            <w:r>
              <w:rPr>
                <w:rFonts w:ascii="仿宋" w:hAnsi="仿宋" w:eastAsia="仿宋" w:cs="仿宋"/>
                <w:spacing w:val="9"/>
                <w:sz w:val="20"/>
                <w:szCs w:val="20"/>
              </w:rPr>
              <w:t>地表径流汇入周边水系。边坡水土流失</w:t>
            </w:r>
            <w:r>
              <w:rPr>
                <w:rFonts w:ascii="仿宋" w:hAnsi="仿宋" w:eastAsia="仿宋" w:cs="仿宋"/>
                <w:spacing w:val="10"/>
                <w:sz w:val="20"/>
                <w:szCs w:val="20"/>
              </w:rPr>
              <w:t>是本项目运营期最突出的水环境及生态负面问</w:t>
            </w:r>
            <w:r>
              <w:rPr>
                <w:rFonts w:ascii="仿宋" w:hAnsi="仿宋" w:eastAsia="仿宋" w:cs="仿宋"/>
                <w:spacing w:val="9"/>
                <w:sz w:val="20"/>
                <w:szCs w:val="20"/>
              </w:rPr>
              <w:t>题，干旱无风季节无此类影响，影响集</w:t>
            </w:r>
            <w:r>
              <w:rPr>
                <w:rFonts w:ascii="仿宋" w:hAnsi="仿宋" w:eastAsia="仿宋" w:cs="仿宋"/>
                <w:spacing w:val="7"/>
                <w:sz w:val="20"/>
                <w:szCs w:val="20"/>
              </w:rPr>
              <w:t>中发生在汛期暴雨时段。</w:t>
            </w:r>
          </w:p>
          <w:p w14:paraId="0BDE1258">
            <w:pPr>
              <w:pStyle w:val="6"/>
              <w:spacing w:before="3" w:line="377" w:lineRule="auto"/>
              <w:ind w:left="113" w:right="103" w:firstLine="424"/>
              <w:jc w:val="both"/>
              <w:rPr>
                <w:rFonts w:ascii="仿宋" w:hAnsi="仿宋" w:eastAsia="仿宋" w:cs="仿宋"/>
                <w:sz w:val="20"/>
                <w:szCs w:val="20"/>
              </w:rPr>
            </w:pPr>
            <w:r>
              <w:rPr>
                <w:rFonts w:ascii="仿宋" w:hAnsi="仿宋" w:eastAsia="仿宋" w:cs="仿宋"/>
                <w:spacing w:val="8"/>
                <w:sz w:val="20"/>
                <w:szCs w:val="20"/>
              </w:rPr>
              <w:t>（</w:t>
            </w:r>
            <w:r>
              <w:rPr>
                <w:spacing w:val="8"/>
                <w:sz w:val="20"/>
                <w:szCs w:val="20"/>
              </w:rPr>
              <w:t>3</w:t>
            </w:r>
            <w:r>
              <w:rPr>
                <w:rFonts w:ascii="仿宋" w:hAnsi="仿宋" w:eastAsia="仿宋" w:cs="仿宋"/>
                <w:spacing w:val="8"/>
                <w:sz w:val="20"/>
                <w:szCs w:val="20"/>
              </w:rPr>
              <w:t>）道路紧邻村落与农田段，沿线村民存在</w:t>
            </w:r>
            <w:r>
              <w:rPr>
                <w:rFonts w:ascii="仿宋" w:hAnsi="仿宋" w:eastAsia="仿宋" w:cs="仿宋"/>
                <w:spacing w:val="7"/>
                <w:sz w:val="20"/>
                <w:szCs w:val="20"/>
              </w:rPr>
              <w:t>向路边边沟倾倒生活污水、堆放农家</w:t>
            </w:r>
            <w:r>
              <w:rPr>
                <w:rFonts w:ascii="仿宋" w:hAnsi="仿宋" w:eastAsia="仿宋" w:cs="仿宋"/>
                <w:spacing w:val="11"/>
                <w:sz w:val="20"/>
                <w:szCs w:val="20"/>
              </w:rPr>
              <w:t>肥与农药化肥、丢弃生活垃圾等行为，雨天雨水淋溶会携带污染物</w:t>
            </w:r>
            <w:r>
              <w:rPr>
                <w:rFonts w:ascii="仿宋" w:hAnsi="仿宋" w:eastAsia="仿宋" w:cs="仿宋"/>
                <w:spacing w:val="10"/>
                <w:sz w:val="20"/>
                <w:szCs w:val="20"/>
              </w:rPr>
              <w:t>进入地表沟渠，形</w:t>
            </w:r>
            <w:r>
              <w:rPr>
                <w:rFonts w:ascii="仿宋" w:hAnsi="仿宋" w:eastAsia="仿宋" w:cs="仿宋"/>
                <w:spacing w:val="9"/>
                <w:sz w:val="20"/>
                <w:szCs w:val="20"/>
              </w:rPr>
              <w:t>成农业面源与生活面源复合水污染，对沿线农田灌溉水质造成一定扰动。</w:t>
            </w:r>
          </w:p>
          <w:p w14:paraId="54D19461">
            <w:pPr>
              <w:pStyle w:val="6"/>
              <w:spacing w:before="5" w:line="372" w:lineRule="auto"/>
              <w:ind w:left="111" w:right="103" w:firstLine="424"/>
              <w:jc w:val="both"/>
              <w:rPr>
                <w:rFonts w:ascii="仿宋" w:hAnsi="仿宋" w:eastAsia="仿宋" w:cs="仿宋"/>
                <w:sz w:val="20"/>
                <w:szCs w:val="20"/>
              </w:rPr>
            </w:pPr>
            <w:r>
              <w:rPr>
                <w:rFonts w:ascii="仿宋" w:hAnsi="仿宋" w:eastAsia="仿宋" w:cs="仿宋"/>
                <w:spacing w:val="11"/>
                <w:sz w:val="20"/>
                <w:szCs w:val="20"/>
              </w:rPr>
              <w:t>综上，本四级通村公路运营期无生产废水、生活污水等常态</w:t>
            </w:r>
            <w:r>
              <w:rPr>
                <w:rFonts w:ascii="仿宋" w:hAnsi="仿宋" w:eastAsia="仿宋" w:cs="仿宋"/>
                <w:spacing w:val="10"/>
                <w:sz w:val="20"/>
                <w:szCs w:val="20"/>
              </w:rPr>
              <w:t>化点源污水排放，所有水环境影响均为间歇性、短时性面源污染，污染影响全部集中于</w:t>
            </w:r>
            <w:r>
              <w:rPr>
                <w:rFonts w:ascii="仿宋" w:hAnsi="仿宋" w:eastAsia="仿宋" w:cs="仿宋"/>
                <w:spacing w:val="-27"/>
                <w:sz w:val="20"/>
                <w:szCs w:val="20"/>
              </w:rPr>
              <w:t xml:space="preserve"> </w:t>
            </w:r>
            <w:r>
              <w:rPr>
                <w:spacing w:val="10"/>
                <w:sz w:val="20"/>
                <w:szCs w:val="20"/>
              </w:rPr>
              <w:t>7-9</w:t>
            </w:r>
            <w:r>
              <w:rPr>
                <w:spacing w:val="30"/>
                <w:sz w:val="20"/>
                <w:szCs w:val="20"/>
              </w:rPr>
              <w:t xml:space="preserve"> </w:t>
            </w:r>
            <w:r>
              <w:rPr>
                <w:rFonts w:ascii="仿宋" w:hAnsi="仿宋" w:eastAsia="仿宋" w:cs="仿宋"/>
                <w:spacing w:val="10"/>
                <w:sz w:val="20"/>
                <w:szCs w:val="20"/>
              </w:rPr>
              <w:t>月汛期强降雨</w:t>
            </w:r>
            <w:r>
              <w:rPr>
                <w:rFonts w:ascii="仿宋" w:hAnsi="仿宋" w:eastAsia="仿宋" w:cs="仿宋"/>
                <w:spacing w:val="11"/>
                <w:sz w:val="20"/>
                <w:szCs w:val="20"/>
              </w:rPr>
              <w:t>时段，晴天基本无水环境负面影响。结合项目所在黄土丘陵区域水土保</w:t>
            </w:r>
            <w:r>
              <w:rPr>
                <w:rFonts w:ascii="仿宋" w:hAnsi="仿宋" w:eastAsia="仿宋" w:cs="仿宋"/>
                <w:spacing w:val="10"/>
                <w:sz w:val="20"/>
                <w:szCs w:val="20"/>
              </w:rPr>
              <w:t>持管控要求，</w:t>
            </w:r>
            <w:r>
              <w:rPr>
                <w:rFonts w:ascii="仿宋" w:hAnsi="仿宋" w:eastAsia="仿宋" w:cs="仿宋"/>
                <w:spacing w:val="11"/>
                <w:sz w:val="20"/>
                <w:szCs w:val="20"/>
              </w:rPr>
              <w:t>项目运营期首要水环境不利影响为黄土路基边坡暴雨冲刷引发的水土流</w:t>
            </w:r>
            <w:r>
              <w:rPr>
                <w:rFonts w:ascii="仿宋" w:hAnsi="仿宋" w:eastAsia="仿宋" w:cs="仿宋"/>
                <w:spacing w:val="10"/>
                <w:sz w:val="20"/>
                <w:szCs w:val="20"/>
              </w:rPr>
              <w:t>失，易造成沿</w:t>
            </w:r>
            <w:r>
              <w:rPr>
                <w:rFonts w:ascii="仿宋" w:hAnsi="仿宋" w:eastAsia="仿宋" w:cs="仿宋"/>
                <w:spacing w:val="11"/>
                <w:sz w:val="20"/>
                <w:szCs w:val="20"/>
              </w:rPr>
              <w:t>线灌溉沟渠、天然沟道泥沙淤积，影响区域排水与农田灌溉功能；次要</w:t>
            </w:r>
            <w:r>
              <w:rPr>
                <w:rFonts w:ascii="仿宋" w:hAnsi="仿宋" w:eastAsia="仿宋" w:cs="仿宋"/>
                <w:spacing w:val="10"/>
                <w:sz w:val="20"/>
                <w:szCs w:val="20"/>
              </w:rPr>
              <w:t>影响为降雨初期路面径流带来的短时水质扰动，</w:t>
            </w:r>
            <w:r>
              <w:rPr>
                <w:rFonts w:ascii="仿宋" w:hAnsi="仿宋" w:eastAsia="仿宋" w:cs="仿宋"/>
                <w:spacing w:val="-57"/>
                <w:sz w:val="20"/>
                <w:szCs w:val="20"/>
              </w:rPr>
              <w:t xml:space="preserve"> </w:t>
            </w:r>
            <w:r>
              <w:rPr>
                <w:rFonts w:ascii="仿宋" w:hAnsi="仿宋" w:eastAsia="仿宋" w:cs="仿宋"/>
                <w:spacing w:val="10"/>
                <w:sz w:val="20"/>
                <w:szCs w:val="20"/>
              </w:rPr>
              <w:t>以及沿线村民乱排污水</w:t>
            </w:r>
            <w:r>
              <w:rPr>
                <w:rFonts w:ascii="仿宋" w:hAnsi="仿宋" w:eastAsia="仿宋" w:cs="仿宋"/>
                <w:spacing w:val="9"/>
                <w:sz w:val="20"/>
                <w:szCs w:val="20"/>
              </w:rPr>
              <w:t>、农资乱堆放引发的人为次</w:t>
            </w:r>
            <w:r>
              <w:rPr>
                <w:rFonts w:ascii="仿宋" w:hAnsi="仿宋" w:eastAsia="仿宋" w:cs="仿宋"/>
                <w:spacing w:val="11"/>
                <w:sz w:val="20"/>
                <w:szCs w:val="20"/>
              </w:rPr>
              <w:t>生面源污染。总体而言，公路正常运营对沿线田间沟渠、周边地表水体</w:t>
            </w:r>
            <w:r>
              <w:rPr>
                <w:rFonts w:ascii="仿宋" w:hAnsi="仿宋" w:eastAsia="仿宋" w:cs="仿宋"/>
                <w:spacing w:val="10"/>
                <w:sz w:val="20"/>
                <w:szCs w:val="20"/>
              </w:rPr>
              <w:t>水环境扰动较</w:t>
            </w:r>
            <w:r>
              <w:rPr>
                <w:rFonts w:ascii="仿宋" w:hAnsi="仿宋" w:eastAsia="仿宋" w:cs="仿宋"/>
                <w:spacing w:val="11"/>
                <w:sz w:val="20"/>
                <w:szCs w:val="20"/>
              </w:rPr>
              <w:t>小，在落实路面保洁、排水系统管护、边坡水土保持、沿线人居环境管</w:t>
            </w:r>
            <w:r>
              <w:rPr>
                <w:rFonts w:ascii="仿宋" w:hAnsi="仿宋" w:eastAsia="仿宋" w:cs="仿宋"/>
                <w:spacing w:val="10"/>
                <w:sz w:val="20"/>
                <w:szCs w:val="20"/>
              </w:rPr>
              <w:t>控等防护措施</w:t>
            </w:r>
          </w:p>
        </w:tc>
      </w:tr>
    </w:tbl>
    <w:p w14:paraId="11F2F599">
      <w:pPr>
        <w:pStyle w:val="2"/>
        <w:rPr>
          <w:sz w:val="21"/>
        </w:rPr>
      </w:pPr>
    </w:p>
    <w:p w14:paraId="164499BD">
      <w:pPr>
        <w:rPr>
          <w:sz w:val="21"/>
          <w:szCs w:val="21"/>
        </w:rPr>
        <w:sectPr>
          <w:footerReference r:id="rId60" w:type="default"/>
          <w:pgSz w:w="11907" w:h="16840"/>
          <w:pgMar w:top="400" w:right="1598" w:bottom="1446" w:left="1598" w:header="0" w:footer="1284" w:gutter="0"/>
          <w:cols w:space="720" w:num="1"/>
        </w:sectPr>
      </w:pPr>
    </w:p>
    <w:p w14:paraId="70B6E860">
      <w:pPr>
        <w:spacing w:before="19"/>
      </w:pPr>
    </w:p>
    <w:p w14:paraId="60450A94">
      <w:pPr>
        <w:spacing w:before="19"/>
      </w:pPr>
    </w:p>
    <w:p w14:paraId="734D4E11">
      <w:pPr>
        <w:spacing w:before="18"/>
      </w:pPr>
    </w:p>
    <w:p w14:paraId="6D236306">
      <w:pPr>
        <w:spacing w:before="18"/>
      </w:pPr>
    </w:p>
    <w:tbl>
      <w:tblPr>
        <w:tblStyle w:val="5"/>
        <w:tblW w:w="869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68"/>
        <w:gridCol w:w="8027"/>
      </w:tblGrid>
      <w:tr w14:paraId="2BF729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478" w:hRule="atLeast"/>
        </w:trPr>
        <w:tc>
          <w:tcPr>
            <w:tcW w:w="668" w:type="dxa"/>
            <w:tcBorders>
              <w:right w:val="single" w:color="000000" w:sz="2" w:space="0"/>
            </w:tcBorders>
            <w:vAlign w:val="top"/>
          </w:tcPr>
          <w:p w14:paraId="21CE40CE">
            <w:pPr>
              <w:rPr>
                <w:rFonts w:ascii="Arial"/>
                <w:sz w:val="21"/>
              </w:rPr>
            </w:pPr>
          </w:p>
        </w:tc>
        <w:tc>
          <w:tcPr>
            <w:tcW w:w="8027" w:type="dxa"/>
            <w:tcBorders>
              <w:left w:val="single" w:color="000000" w:sz="2" w:space="0"/>
            </w:tcBorders>
            <w:vAlign w:val="top"/>
          </w:tcPr>
          <w:p w14:paraId="35E62E65">
            <w:pPr>
              <w:spacing w:before="27" w:line="376" w:lineRule="auto"/>
              <w:ind w:left="112" w:right="103" w:firstLine="2"/>
              <w:rPr>
                <w:rFonts w:ascii="仿宋" w:hAnsi="仿宋" w:eastAsia="仿宋" w:cs="仿宋"/>
                <w:sz w:val="20"/>
                <w:szCs w:val="20"/>
              </w:rPr>
            </w:pPr>
            <w:r>
              <w:rPr>
                <w:rFonts w:ascii="仿宋" w:hAnsi="仿宋" w:eastAsia="仿宋" w:cs="仿宋"/>
                <w:spacing w:val="11"/>
                <w:sz w:val="20"/>
                <w:szCs w:val="20"/>
              </w:rPr>
              <w:t>后，可最大限度消减水环境不利影响，运营期水环境影响处于</w:t>
            </w:r>
            <w:r>
              <w:rPr>
                <w:rFonts w:ascii="仿宋" w:hAnsi="仿宋" w:eastAsia="仿宋" w:cs="仿宋"/>
                <w:spacing w:val="10"/>
                <w:sz w:val="20"/>
                <w:szCs w:val="20"/>
              </w:rPr>
              <w:t>可接受范围，符合区域</w:t>
            </w:r>
            <w:r>
              <w:rPr>
                <w:rFonts w:ascii="仿宋" w:hAnsi="仿宋" w:eastAsia="仿宋" w:cs="仿宋"/>
                <w:spacing w:val="8"/>
                <w:sz w:val="20"/>
                <w:szCs w:val="20"/>
              </w:rPr>
              <w:t>水土保持与水环境管控要求。</w:t>
            </w:r>
          </w:p>
          <w:p w14:paraId="050D9BD6">
            <w:pPr>
              <w:pStyle w:val="6"/>
              <w:spacing w:before="1" w:line="229" w:lineRule="auto"/>
              <w:ind w:left="524"/>
              <w:rPr>
                <w:rFonts w:ascii="仿宋" w:hAnsi="仿宋" w:eastAsia="仿宋" w:cs="仿宋"/>
                <w:sz w:val="20"/>
                <w:szCs w:val="20"/>
              </w:rPr>
            </w:pPr>
            <w:r>
              <w:rPr>
                <w:b/>
                <w:bCs/>
                <w:sz w:val="20"/>
                <w:szCs w:val="20"/>
              </w:rPr>
              <w:t>4</w:t>
            </w:r>
            <w:r>
              <w:rPr>
                <w:b/>
                <w:bCs/>
                <w:spacing w:val="-18"/>
                <w:sz w:val="20"/>
                <w:szCs w:val="20"/>
              </w:rPr>
              <w:t xml:space="preserve"> </w:t>
            </w:r>
            <w:r>
              <w:rPr>
                <w:rFonts w:ascii="仿宋" w:hAnsi="仿宋" w:eastAsia="仿宋" w:cs="仿宋"/>
                <w:b/>
                <w:bCs/>
                <w:sz w:val="20"/>
                <w:szCs w:val="20"/>
              </w:rPr>
              <w:t>、</w:t>
            </w:r>
            <w:r>
              <w:rPr>
                <w:rFonts w:ascii="仿宋" w:hAnsi="仿宋" w:eastAsia="仿宋" w:cs="仿宋"/>
                <w:spacing w:val="-56"/>
                <w:sz w:val="20"/>
                <w:szCs w:val="20"/>
              </w:rPr>
              <w:t xml:space="preserve"> </w:t>
            </w:r>
            <w:r>
              <w:rPr>
                <w:rFonts w:ascii="仿宋" w:hAnsi="仿宋" w:eastAsia="仿宋" w:cs="仿宋"/>
                <w:b/>
                <w:bCs/>
                <w:sz w:val="20"/>
                <w:szCs w:val="20"/>
              </w:rPr>
              <w:t>固体废物影响分析</w:t>
            </w:r>
          </w:p>
          <w:p w14:paraId="04D33DC4">
            <w:pPr>
              <w:spacing w:before="160" w:line="377" w:lineRule="auto"/>
              <w:ind w:left="112" w:right="103" w:firstLine="421"/>
              <w:jc w:val="both"/>
              <w:rPr>
                <w:rFonts w:ascii="仿宋" w:hAnsi="仿宋" w:eastAsia="仿宋" w:cs="仿宋"/>
                <w:sz w:val="20"/>
                <w:szCs w:val="20"/>
              </w:rPr>
            </w:pPr>
            <w:r>
              <w:rPr>
                <w:rFonts w:ascii="仿宋" w:hAnsi="仿宋" w:eastAsia="仿宋" w:cs="仿宋"/>
                <w:spacing w:val="11"/>
                <w:sz w:val="20"/>
                <w:szCs w:val="20"/>
              </w:rPr>
              <w:t>项目属于通村公路项目，其本身不产生固体废物。项目沿线未设</w:t>
            </w:r>
            <w:r>
              <w:rPr>
                <w:rFonts w:ascii="仿宋" w:hAnsi="仿宋" w:eastAsia="仿宋" w:cs="仿宋"/>
                <w:spacing w:val="10"/>
                <w:sz w:val="20"/>
                <w:szCs w:val="20"/>
              </w:rPr>
              <w:t>收费站、超限运</w:t>
            </w:r>
            <w:r>
              <w:rPr>
                <w:rFonts w:ascii="仿宋" w:hAnsi="仿宋" w:eastAsia="仿宋" w:cs="仿宋"/>
                <w:spacing w:val="11"/>
                <w:sz w:val="20"/>
                <w:szCs w:val="20"/>
              </w:rPr>
              <w:t>输检测站、养护站、服务区等设施，运营期固体废弃物主要为行人生</w:t>
            </w:r>
            <w:r>
              <w:rPr>
                <w:rFonts w:ascii="仿宋" w:hAnsi="仿宋" w:eastAsia="仿宋" w:cs="仿宋"/>
                <w:spacing w:val="10"/>
                <w:sz w:val="20"/>
                <w:szCs w:val="20"/>
              </w:rPr>
              <w:t>活垃圾、运输车</w:t>
            </w:r>
            <w:r>
              <w:rPr>
                <w:rFonts w:ascii="仿宋" w:hAnsi="仿宋" w:eastAsia="仿宋" w:cs="仿宋"/>
                <w:spacing w:val="11"/>
                <w:sz w:val="20"/>
                <w:szCs w:val="20"/>
              </w:rPr>
              <w:t>辆洒落的物料、道路养护固废，上述固体废物均由环卫部门清理清运</w:t>
            </w:r>
            <w:r>
              <w:rPr>
                <w:rFonts w:ascii="仿宋" w:hAnsi="仿宋" w:eastAsia="仿宋" w:cs="仿宋"/>
                <w:spacing w:val="10"/>
                <w:sz w:val="20"/>
                <w:szCs w:val="20"/>
              </w:rPr>
              <w:t>处置，不会对周</w:t>
            </w:r>
            <w:r>
              <w:rPr>
                <w:rFonts w:ascii="仿宋" w:hAnsi="仿宋" w:eastAsia="仿宋" w:cs="仿宋"/>
                <w:spacing w:val="6"/>
                <w:sz w:val="20"/>
                <w:szCs w:val="20"/>
              </w:rPr>
              <w:t>围环境造成影响。</w:t>
            </w:r>
          </w:p>
          <w:p w14:paraId="4BC5B59D">
            <w:pPr>
              <w:pStyle w:val="6"/>
              <w:spacing w:line="229" w:lineRule="auto"/>
              <w:ind w:left="526"/>
              <w:rPr>
                <w:rFonts w:ascii="仿宋" w:hAnsi="仿宋" w:eastAsia="仿宋" w:cs="仿宋"/>
                <w:sz w:val="20"/>
                <w:szCs w:val="20"/>
              </w:rPr>
            </w:pPr>
            <w:r>
              <w:rPr>
                <w:b/>
                <w:bCs/>
                <w:spacing w:val="6"/>
                <w:sz w:val="20"/>
                <w:szCs w:val="20"/>
              </w:rPr>
              <w:t>5</w:t>
            </w:r>
            <w:r>
              <w:rPr>
                <w:b/>
                <w:bCs/>
                <w:spacing w:val="-15"/>
                <w:sz w:val="20"/>
                <w:szCs w:val="20"/>
              </w:rPr>
              <w:t xml:space="preserve"> </w:t>
            </w:r>
            <w:r>
              <w:rPr>
                <w:rFonts w:ascii="仿宋" w:hAnsi="仿宋" w:eastAsia="仿宋" w:cs="仿宋"/>
                <w:b/>
                <w:bCs/>
                <w:spacing w:val="6"/>
                <w:sz w:val="20"/>
                <w:szCs w:val="20"/>
              </w:rPr>
              <w:t>、声环境影响分析（详见声环境影响专项评价）</w:t>
            </w:r>
          </w:p>
          <w:p w14:paraId="2815F139">
            <w:pPr>
              <w:pStyle w:val="6"/>
              <w:spacing w:before="156" w:line="377" w:lineRule="auto"/>
              <w:ind w:left="111" w:right="102" w:firstLine="422"/>
              <w:jc w:val="both"/>
              <w:rPr>
                <w:rFonts w:ascii="仿宋" w:hAnsi="仿宋" w:eastAsia="仿宋" w:cs="仿宋"/>
                <w:sz w:val="20"/>
                <w:szCs w:val="20"/>
              </w:rPr>
            </w:pPr>
            <w:r>
              <w:rPr>
                <w:rFonts w:ascii="仿宋" w:hAnsi="仿宋" w:eastAsia="仿宋" w:cs="仿宋"/>
                <w:spacing w:val="5"/>
                <w:sz w:val="20"/>
                <w:szCs w:val="20"/>
              </w:rPr>
              <w:t>本项目运营期依据《环境影响评价技术导则 声环境》《环境影响评</w:t>
            </w:r>
            <w:r>
              <w:rPr>
                <w:rFonts w:ascii="仿宋" w:hAnsi="仿宋" w:eastAsia="仿宋" w:cs="仿宋"/>
                <w:spacing w:val="4"/>
                <w:sz w:val="20"/>
                <w:szCs w:val="20"/>
              </w:rPr>
              <w:t>价技术导则 公</w:t>
            </w:r>
            <w:r>
              <w:rPr>
                <w:rFonts w:ascii="仿宋" w:hAnsi="仿宋" w:eastAsia="仿宋" w:cs="仿宋"/>
                <w:spacing w:val="6"/>
                <w:sz w:val="20"/>
                <w:szCs w:val="20"/>
              </w:rPr>
              <w:t>路建设项目》推荐模型开展噪声预测，结合</w:t>
            </w:r>
            <w:r>
              <w:rPr>
                <w:rFonts w:ascii="仿宋" w:hAnsi="仿宋" w:eastAsia="仿宋" w:cs="仿宋"/>
                <w:spacing w:val="-8"/>
                <w:sz w:val="20"/>
                <w:szCs w:val="20"/>
              </w:rPr>
              <w:t xml:space="preserve"> </w:t>
            </w:r>
            <w:r>
              <w:rPr>
                <w:spacing w:val="6"/>
                <w:sz w:val="20"/>
                <w:szCs w:val="20"/>
              </w:rPr>
              <w:t>15</w:t>
            </w:r>
            <w:r>
              <w:rPr>
                <w:sz w:val="20"/>
                <w:szCs w:val="20"/>
              </w:rPr>
              <w:t>km</w:t>
            </w:r>
            <w:r>
              <w:rPr>
                <w:spacing w:val="6"/>
                <w:sz w:val="20"/>
                <w:szCs w:val="20"/>
              </w:rPr>
              <w:t>/h</w:t>
            </w:r>
            <w:r>
              <w:rPr>
                <w:spacing w:val="17"/>
                <w:w w:val="101"/>
                <w:sz w:val="20"/>
                <w:szCs w:val="20"/>
              </w:rPr>
              <w:t xml:space="preserve"> </w:t>
            </w:r>
            <w:r>
              <w:rPr>
                <w:rFonts w:ascii="仿宋" w:hAnsi="仿宋" w:eastAsia="仿宋" w:cs="仿宋"/>
                <w:spacing w:val="6"/>
                <w:sz w:val="20"/>
                <w:szCs w:val="20"/>
              </w:rPr>
              <w:t>设计时速、水泥混凝土路面、零路</w:t>
            </w:r>
            <w:r>
              <w:rPr>
                <w:rFonts w:ascii="仿宋" w:hAnsi="仿宋" w:eastAsia="仿宋" w:cs="仿宋"/>
                <w:spacing w:val="9"/>
                <w:sz w:val="20"/>
                <w:szCs w:val="20"/>
              </w:rPr>
              <w:t>基高度不利工况，分近、</w:t>
            </w:r>
            <w:r>
              <w:rPr>
                <w:rFonts w:ascii="仿宋" w:hAnsi="仿宋" w:eastAsia="仿宋" w:cs="仿宋"/>
                <w:spacing w:val="-33"/>
                <w:sz w:val="20"/>
                <w:szCs w:val="20"/>
              </w:rPr>
              <w:t xml:space="preserve"> </w:t>
            </w:r>
            <w:r>
              <w:rPr>
                <w:rFonts w:ascii="仿宋" w:hAnsi="仿宋" w:eastAsia="仿宋" w:cs="仿宋"/>
                <w:spacing w:val="9"/>
                <w:sz w:val="20"/>
                <w:szCs w:val="20"/>
              </w:rPr>
              <w:t>中、远期昼夜间测算噪声贡献值；交通噪声随距道路距离增</w:t>
            </w:r>
            <w:r>
              <w:rPr>
                <w:rFonts w:ascii="仿宋" w:hAnsi="仿宋" w:eastAsia="仿宋" w:cs="仿宋"/>
                <w:spacing w:val="6"/>
                <w:sz w:val="20"/>
                <w:szCs w:val="20"/>
              </w:rPr>
              <w:t>加逐步衰减，远期昼间道路中心线</w:t>
            </w:r>
            <w:r>
              <w:rPr>
                <w:rFonts w:ascii="仿宋" w:hAnsi="仿宋" w:eastAsia="仿宋" w:cs="仿宋"/>
                <w:spacing w:val="-42"/>
                <w:sz w:val="20"/>
                <w:szCs w:val="20"/>
              </w:rPr>
              <w:t xml:space="preserve"> </w:t>
            </w:r>
            <w:r>
              <w:rPr>
                <w:spacing w:val="6"/>
                <w:sz w:val="20"/>
                <w:szCs w:val="20"/>
              </w:rPr>
              <w:t>20m</w:t>
            </w:r>
            <w:r>
              <w:rPr>
                <w:spacing w:val="16"/>
                <w:sz w:val="20"/>
                <w:szCs w:val="20"/>
              </w:rPr>
              <w:t xml:space="preserve"> </w:t>
            </w:r>
            <w:r>
              <w:rPr>
                <w:rFonts w:ascii="仿宋" w:hAnsi="仿宋" w:eastAsia="仿宋" w:cs="仿宋"/>
                <w:spacing w:val="6"/>
                <w:sz w:val="20"/>
                <w:szCs w:val="20"/>
              </w:rPr>
              <w:t>处噪声贡献值仅</w:t>
            </w:r>
            <w:r>
              <w:rPr>
                <w:rFonts w:ascii="仿宋" w:hAnsi="仿宋" w:eastAsia="仿宋" w:cs="仿宋"/>
                <w:spacing w:val="-42"/>
                <w:sz w:val="20"/>
                <w:szCs w:val="20"/>
              </w:rPr>
              <w:t xml:space="preserve"> </w:t>
            </w:r>
            <w:r>
              <w:rPr>
                <w:spacing w:val="6"/>
                <w:sz w:val="20"/>
                <w:szCs w:val="20"/>
              </w:rPr>
              <w:t>40.00</w:t>
            </w:r>
            <w:r>
              <w:rPr>
                <w:sz w:val="20"/>
                <w:szCs w:val="20"/>
              </w:rPr>
              <w:t>dB</w:t>
            </w:r>
            <w:r>
              <w:rPr>
                <w:spacing w:val="6"/>
                <w:sz w:val="20"/>
                <w:szCs w:val="20"/>
              </w:rPr>
              <w:t xml:space="preserve"> (A)</w:t>
            </w:r>
            <w:r>
              <w:rPr>
                <w:rFonts w:ascii="仿宋" w:hAnsi="仿宋" w:eastAsia="仿宋" w:cs="仿宋"/>
                <w:spacing w:val="6"/>
                <w:sz w:val="20"/>
                <w:szCs w:val="20"/>
              </w:rPr>
              <w:t>，各时段达标距离</w:t>
            </w:r>
            <w:r>
              <w:rPr>
                <w:rFonts w:ascii="仿宋" w:hAnsi="仿宋" w:eastAsia="仿宋" w:cs="仿宋"/>
                <w:spacing w:val="4"/>
                <w:sz w:val="20"/>
                <w:szCs w:val="20"/>
              </w:rPr>
              <w:t>均小于道路中心线外</w:t>
            </w:r>
            <w:r>
              <w:rPr>
                <w:rFonts w:ascii="仿宋" w:hAnsi="仿宋" w:eastAsia="仿宋" w:cs="仿宋"/>
                <w:spacing w:val="-6"/>
                <w:sz w:val="20"/>
                <w:szCs w:val="20"/>
              </w:rPr>
              <w:t xml:space="preserve"> </w:t>
            </w:r>
            <w:r>
              <w:rPr>
                <w:spacing w:val="4"/>
                <w:sz w:val="20"/>
                <w:szCs w:val="20"/>
              </w:rPr>
              <w:t>10m</w:t>
            </w:r>
            <w:r>
              <w:rPr>
                <w:rFonts w:ascii="仿宋" w:hAnsi="仿宋" w:eastAsia="仿宋" w:cs="仿宋"/>
                <w:spacing w:val="4"/>
                <w:sz w:val="20"/>
                <w:szCs w:val="20"/>
              </w:rPr>
              <w:t>，道路沿线无超标区域；沿线</w:t>
            </w:r>
            <w:r>
              <w:rPr>
                <w:rFonts w:ascii="仿宋" w:hAnsi="仿宋" w:eastAsia="仿宋" w:cs="仿宋"/>
                <w:spacing w:val="-21"/>
                <w:sz w:val="20"/>
                <w:szCs w:val="20"/>
              </w:rPr>
              <w:t xml:space="preserve"> </w:t>
            </w:r>
            <w:r>
              <w:rPr>
                <w:spacing w:val="4"/>
                <w:sz w:val="20"/>
                <w:szCs w:val="20"/>
              </w:rPr>
              <w:t>14</w:t>
            </w:r>
            <w:r>
              <w:rPr>
                <w:spacing w:val="16"/>
                <w:w w:val="101"/>
                <w:sz w:val="20"/>
                <w:szCs w:val="20"/>
              </w:rPr>
              <w:t xml:space="preserve"> </w:t>
            </w:r>
            <w:r>
              <w:rPr>
                <w:rFonts w:ascii="仿宋" w:hAnsi="仿宋" w:eastAsia="仿宋" w:cs="仿宋"/>
                <w:spacing w:val="4"/>
                <w:sz w:val="20"/>
                <w:szCs w:val="20"/>
              </w:rPr>
              <w:t>处执行</w:t>
            </w:r>
            <w:r>
              <w:rPr>
                <w:rFonts w:ascii="仿宋" w:hAnsi="仿宋" w:eastAsia="仿宋" w:cs="仿宋"/>
                <w:spacing w:val="-23"/>
                <w:sz w:val="20"/>
                <w:szCs w:val="20"/>
              </w:rPr>
              <w:t xml:space="preserve"> </w:t>
            </w:r>
            <w:r>
              <w:rPr>
                <w:spacing w:val="4"/>
                <w:sz w:val="20"/>
                <w:szCs w:val="20"/>
              </w:rPr>
              <w:t>1</w:t>
            </w:r>
            <w:r>
              <w:rPr>
                <w:spacing w:val="20"/>
                <w:w w:val="101"/>
                <w:sz w:val="20"/>
                <w:szCs w:val="20"/>
              </w:rPr>
              <w:t xml:space="preserve"> </w:t>
            </w:r>
            <w:r>
              <w:rPr>
                <w:rFonts w:ascii="仿宋" w:hAnsi="仿宋" w:eastAsia="仿宋" w:cs="仿宋"/>
                <w:spacing w:val="4"/>
                <w:sz w:val="20"/>
                <w:szCs w:val="20"/>
              </w:rPr>
              <w:t>类声环境标准的居</w:t>
            </w:r>
            <w:r>
              <w:rPr>
                <w:rFonts w:ascii="仿宋" w:hAnsi="仿宋" w:eastAsia="仿宋" w:cs="仿宋"/>
                <w:spacing w:val="9"/>
                <w:sz w:val="20"/>
                <w:szCs w:val="20"/>
              </w:rPr>
              <w:t>民敏感点，叠加背景噪声后近、</w:t>
            </w:r>
            <w:r>
              <w:rPr>
                <w:rFonts w:ascii="仿宋" w:hAnsi="仿宋" w:eastAsia="仿宋" w:cs="仿宋"/>
                <w:spacing w:val="-33"/>
                <w:sz w:val="20"/>
                <w:szCs w:val="20"/>
              </w:rPr>
              <w:t xml:space="preserve"> </w:t>
            </w:r>
            <w:r>
              <w:rPr>
                <w:rFonts w:ascii="仿宋" w:hAnsi="仿宋" w:eastAsia="仿宋" w:cs="仿宋"/>
                <w:spacing w:val="9"/>
                <w:sz w:val="20"/>
                <w:szCs w:val="20"/>
              </w:rPr>
              <w:t>中、远期昼夜预测值全部达标，噪声较现状最大增量</w:t>
            </w:r>
            <w:r>
              <w:rPr>
                <w:rFonts w:ascii="仿宋" w:hAnsi="仿宋" w:eastAsia="仿宋" w:cs="仿宋"/>
                <w:spacing w:val="5"/>
                <w:sz w:val="20"/>
                <w:szCs w:val="20"/>
              </w:rPr>
              <w:t>仅昼间</w:t>
            </w:r>
            <w:r>
              <w:rPr>
                <w:rFonts w:ascii="仿宋" w:hAnsi="仿宋" w:eastAsia="仿宋" w:cs="仿宋"/>
                <w:spacing w:val="-44"/>
                <w:sz w:val="20"/>
                <w:szCs w:val="20"/>
              </w:rPr>
              <w:t xml:space="preserve"> </w:t>
            </w:r>
            <w:r>
              <w:rPr>
                <w:spacing w:val="5"/>
                <w:sz w:val="20"/>
                <w:szCs w:val="20"/>
              </w:rPr>
              <w:t>4.28</w:t>
            </w:r>
            <w:r>
              <w:rPr>
                <w:sz w:val="20"/>
                <w:szCs w:val="20"/>
              </w:rPr>
              <w:t>dB</w:t>
            </w:r>
            <w:r>
              <w:rPr>
                <w:spacing w:val="5"/>
                <w:sz w:val="20"/>
                <w:szCs w:val="20"/>
              </w:rPr>
              <w:t xml:space="preserve"> (A)</w:t>
            </w:r>
            <w:r>
              <w:rPr>
                <w:spacing w:val="-18"/>
                <w:sz w:val="20"/>
                <w:szCs w:val="20"/>
              </w:rPr>
              <w:t xml:space="preserve"> </w:t>
            </w:r>
            <w:r>
              <w:rPr>
                <w:rFonts w:ascii="仿宋" w:hAnsi="仿宋" w:eastAsia="仿宋" w:cs="仿宋"/>
                <w:spacing w:val="5"/>
                <w:sz w:val="20"/>
                <w:szCs w:val="20"/>
              </w:rPr>
              <w:t>、夜间</w:t>
            </w:r>
            <w:r>
              <w:rPr>
                <w:rFonts w:ascii="仿宋" w:hAnsi="仿宋" w:eastAsia="仿宋" w:cs="仿宋"/>
                <w:spacing w:val="-44"/>
                <w:sz w:val="20"/>
                <w:szCs w:val="20"/>
              </w:rPr>
              <w:t xml:space="preserve"> </w:t>
            </w:r>
            <w:r>
              <w:rPr>
                <w:spacing w:val="5"/>
                <w:sz w:val="20"/>
                <w:szCs w:val="20"/>
              </w:rPr>
              <w:t>4.42</w:t>
            </w:r>
            <w:r>
              <w:rPr>
                <w:sz w:val="20"/>
                <w:szCs w:val="20"/>
              </w:rPr>
              <w:t>dB</w:t>
            </w:r>
            <w:r>
              <w:rPr>
                <w:spacing w:val="5"/>
                <w:sz w:val="20"/>
                <w:szCs w:val="20"/>
              </w:rPr>
              <w:t xml:space="preserve"> (A)</w:t>
            </w:r>
            <w:r>
              <w:rPr>
                <w:spacing w:val="-19"/>
                <w:sz w:val="20"/>
                <w:szCs w:val="20"/>
              </w:rPr>
              <w:t xml:space="preserve"> </w:t>
            </w:r>
            <w:r>
              <w:rPr>
                <w:rFonts w:ascii="仿宋" w:hAnsi="仿宋" w:eastAsia="仿宋" w:cs="仿宋"/>
                <w:spacing w:val="5"/>
                <w:sz w:val="20"/>
                <w:szCs w:val="20"/>
              </w:rPr>
              <w:t>，整体交通噪</w:t>
            </w:r>
            <w:r>
              <w:rPr>
                <w:rFonts w:ascii="仿宋" w:hAnsi="仿宋" w:eastAsia="仿宋" w:cs="仿宋"/>
                <w:spacing w:val="4"/>
                <w:sz w:val="20"/>
                <w:szCs w:val="20"/>
              </w:rPr>
              <w:t>声源强低、衰减快，对沿线居民声环</w:t>
            </w:r>
            <w:r>
              <w:rPr>
                <w:rFonts w:ascii="仿宋" w:hAnsi="仿宋" w:eastAsia="仿宋" w:cs="仿宋"/>
                <w:spacing w:val="8"/>
                <w:sz w:val="20"/>
                <w:szCs w:val="20"/>
              </w:rPr>
              <w:t>境影响较小，无需配套专项降噪工程。</w:t>
            </w:r>
          </w:p>
          <w:p w14:paraId="2BF363FE">
            <w:pPr>
              <w:pStyle w:val="6"/>
              <w:spacing w:before="4" w:line="230" w:lineRule="auto"/>
              <w:ind w:left="527"/>
              <w:rPr>
                <w:rFonts w:ascii="仿宋" w:hAnsi="仿宋" w:eastAsia="仿宋" w:cs="仿宋"/>
                <w:sz w:val="20"/>
                <w:szCs w:val="20"/>
              </w:rPr>
            </w:pPr>
            <w:r>
              <w:rPr>
                <w:b/>
                <w:bCs/>
                <w:spacing w:val="3"/>
                <w:sz w:val="20"/>
                <w:szCs w:val="20"/>
              </w:rPr>
              <w:t>6</w:t>
            </w:r>
            <w:r>
              <w:rPr>
                <w:b/>
                <w:bCs/>
                <w:spacing w:val="-19"/>
                <w:sz w:val="20"/>
                <w:szCs w:val="20"/>
              </w:rPr>
              <w:t xml:space="preserve"> </w:t>
            </w:r>
            <w:r>
              <w:rPr>
                <w:rFonts w:ascii="仿宋" w:hAnsi="仿宋" w:eastAsia="仿宋" w:cs="仿宋"/>
                <w:b/>
                <w:bCs/>
                <w:spacing w:val="3"/>
                <w:sz w:val="20"/>
                <w:szCs w:val="20"/>
              </w:rPr>
              <w:t>、环境风险分析</w:t>
            </w:r>
          </w:p>
          <w:p w14:paraId="79776112">
            <w:pPr>
              <w:spacing w:before="159" w:line="377" w:lineRule="auto"/>
              <w:ind w:left="112" w:right="103" w:firstLine="421"/>
              <w:jc w:val="both"/>
              <w:rPr>
                <w:rFonts w:ascii="仿宋" w:hAnsi="仿宋" w:eastAsia="仿宋" w:cs="仿宋"/>
                <w:sz w:val="20"/>
                <w:szCs w:val="20"/>
              </w:rPr>
            </w:pPr>
            <w:r>
              <w:rPr>
                <w:rFonts w:ascii="仿宋" w:hAnsi="仿宋" w:eastAsia="仿宋" w:cs="仿宋"/>
                <w:spacing w:val="11"/>
                <w:sz w:val="20"/>
                <w:szCs w:val="20"/>
              </w:rPr>
              <w:t>本项目属于通村公路建设项目，全线无隧道工程，施工期间不使</w:t>
            </w:r>
            <w:r>
              <w:rPr>
                <w:rFonts w:ascii="仿宋" w:hAnsi="仿宋" w:eastAsia="仿宋" w:cs="仿宋"/>
                <w:spacing w:val="10"/>
                <w:sz w:val="20"/>
                <w:szCs w:val="20"/>
              </w:rPr>
              <w:t>用炸药等易燃易</w:t>
            </w:r>
            <w:r>
              <w:rPr>
                <w:rFonts w:ascii="仿宋" w:hAnsi="仿宋" w:eastAsia="仿宋" w:cs="仿宋"/>
                <w:spacing w:val="11"/>
                <w:sz w:val="20"/>
                <w:szCs w:val="20"/>
              </w:rPr>
              <w:t>爆物；运营期间不涉及有毒有害和易燃易爆危险物质生产、使用、储</w:t>
            </w:r>
            <w:r>
              <w:rPr>
                <w:rFonts w:ascii="仿宋" w:hAnsi="仿宋" w:eastAsia="仿宋" w:cs="仿宋"/>
                <w:spacing w:val="10"/>
                <w:sz w:val="20"/>
                <w:szCs w:val="20"/>
              </w:rPr>
              <w:t>存（包括管线输运</w:t>
            </w:r>
            <w:r>
              <w:rPr>
                <w:rFonts w:ascii="仿宋" w:hAnsi="仿宋" w:eastAsia="仿宋" w:cs="仿宋"/>
                <w:spacing w:val="4"/>
                <w:sz w:val="20"/>
                <w:szCs w:val="20"/>
              </w:rPr>
              <w:t>）</w:t>
            </w:r>
            <w:r>
              <w:rPr>
                <w:rFonts w:ascii="仿宋" w:hAnsi="仿宋" w:eastAsia="仿宋" w:cs="仿宋"/>
                <w:spacing w:val="-58"/>
                <w:sz w:val="20"/>
                <w:szCs w:val="20"/>
              </w:rPr>
              <w:t xml:space="preserve"> </w:t>
            </w:r>
            <w:r>
              <w:rPr>
                <w:rFonts w:ascii="仿宋" w:hAnsi="仿宋" w:eastAsia="仿宋" w:cs="仿宋"/>
                <w:spacing w:val="4"/>
                <w:sz w:val="20"/>
                <w:szCs w:val="20"/>
              </w:rPr>
              <w:t>，</w:t>
            </w:r>
            <w:r>
              <w:rPr>
                <w:rFonts w:ascii="仿宋" w:hAnsi="仿宋" w:eastAsia="仿宋" w:cs="仿宋"/>
                <w:spacing w:val="10"/>
                <w:sz w:val="20"/>
                <w:szCs w:val="20"/>
              </w:rPr>
              <w:t>但有毒有害和易燃易爆物质运输车辆行经本项目时，如发生交通事故，可能导</w:t>
            </w:r>
            <w:r>
              <w:rPr>
                <w:rFonts w:ascii="仿宋" w:hAnsi="仿宋" w:eastAsia="仿宋" w:cs="仿宋"/>
                <w:spacing w:val="11"/>
                <w:sz w:val="20"/>
                <w:szCs w:val="20"/>
              </w:rPr>
              <w:t>致运输物质泄漏、燃烧等，短时间将对事故发生地点附近一定范围内</w:t>
            </w:r>
            <w:r>
              <w:rPr>
                <w:rFonts w:ascii="仿宋" w:hAnsi="仿宋" w:eastAsia="仿宋" w:cs="仿宋"/>
                <w:spacing w:val="10"/>
                <w:sz w:val="20"/>
                <w:szCs w:val="20"/>
              </w:rPr>
              <w:t>的水环境、土壤</w:t>
            </w:r>
            <w:r>
              <w:rPr>
                <w:rFonts w:ascii="仿宋" w:hAnsi="仿宋" w:eastAsia="仿宋" w:cs="仿宋"/>
                <w:spacing w:val="9"/>
                <w:sz w:val="20"/>
                <w:szCs w:val="20"/>
              </w:rPr>
              <w:t>环境及大气环境产生污染，对公路沿线敏感点造成较大危害。</w:t>
            </w:r>
          </w:p>
          <w:p w14:paraId="2F60EF81">
            <w:pPr>
              <w:spacing w:before="1" w:line="376" w:lineRule="auto"/>
              <w:ind w:left="119" w:right="103" w:firstLine="414"/>
              <w:rPr>
                <w:rFonts w:ascii="仿宋" w:hAnsi="仿宋" w:eastAsia="仿宋" w:cs="仿宋"/>
                <w:sz w:val="20"/>
                <w:szCs w:val="20"/>
              </w:rPr>
            </w:pPr>
            <w:r>
              <w:rPr>
                <w:rFonts w:ascii="仿宋" w:hAnsi="仿宋" w:eastAsia="仿宋" w:cs="仿宋"/>
                <w:spacing w:val="11"/>
                <w:sz w:val="20"/>
                <w:szCs w:val="20"/>
              </w:rPr>
              <w:t>根据我国公路事故类型统计，构成行驶车辆事故风险的主要是运</w:t>
            </w:r>
            <w:r>
              <w:rPr>
                <w:rFonts w:ascii="仿宋" w:hAnsi="仿宋" w:eastAsia="仿宋" w:cs="仿宋"/>
                <w:spacing w:val="10"/>
                <w:sz w:val="20"/>
                <w:szCs w:val="20"/>
              </w:rPr>
              <w:t>输石油化工车辆</w:t>
            </w:r>
            <w:r>
              <w:rPr>
                <w:rFonts w:ascii="仿宋" w:hAnsi="仿宋" w:eastAsia="仿宋" w:cs="仿宋"/>
                <w:spacing w:val="8"/>
                <w:sz w:val="20"/>
                <w:szCs w:val="20"/>
              </w:rPr>
              <w:t>发生的各种事故。这些环境风险事故类型主要有：</w:t>
            </w:r>
          </w:p>
          <w:p w14:paraId="41FBD43D">
            <w:pPr>
              <w:pStyle w:val="6"/>
              <w:spacing w:before="3" w:line="228" w:lineRule="auto"/>
              <w:ind w:left="537"/>
              <w:rPr>
                <w:rFonts w:ascii="仿宋" w:hAnsi="仿宋" w:eastAsia="仿宋" w:cs="仿宋"/>
                <w:sz w:val="20"/>
                <w:szCs w:val="20"/>
              </w:rPr>
            </w:pPr>
            <w:r>
              <w:rPr>
                <w:rFonts w:ascii="仿宋" w:hAnsi="仿宋" w:eastAsia="仿宋" w:cs="仿宋"/>
                <w:spacing w:val="9"/>
                <w:sz w:val="20"/>
                <w:szCs w:val="20"/>
              </w:rPr>
              <w:t>（</w:t>
            </w:r>
            <w:r>
              <w:rPr>
                <w:spacing w:val="9"/>
                <w:sz w:val="20"/>
                <w:szCs w:val="20"/>
              </w:rPr>
              <w:t>1</w:t>
            </w:r>
            <w:r>
              <w:rPr>
                <w:rFonts w:ascii="仿宋" w:hAnsi="仿宋" w:eastAsia="仿宋" w:cs="仿宋"/>
                <w:spacing w:val="9"/>
                <w:sz w:val="20"/>
                <w:szCs w:val="20"/>
              </w:rPr>
              <w:t>）车辆本身携带的汽油（柴油）和机油泄漏，排</w:t>
            </w:r>
            <w:r>
              <w:rPr>
                <w:rFonts w:ascii="仿宋" w:hAnsi="仿宋" w:eastAsia="仿宋" w:cs="仿宋"/>
                <w:spacing w:val="8"/>
                <w:sz w:val="20"/>
                <w:szCs w:val="20"/>
              </w:rPr>
              <w:t>入附近水体；</w:t>
            </w:r>
          </w:p>
          <w:p w14:paraId="35BB55D0">
            <w:pPr>
              <w:pStyle w:val="6"/>
              <w:spacing w:before="161" w:line="376" w:lineRule="auto"/>
              <w:ind w:left="116" w:right="105" w:firstLine="421"/>
              <w:rPr>
                <w:rFonts w:ascii="仿宋" w:hAnsi="仿宋" w:eastAsia="仿宋" w:cs="仿宋"/>
                <w:sz w:val="20"/>
                <w:szCs w:val="20"/>
              </w:rPr>
            </w:pPr>
            <w:r>
              <w:rPr>
                <w:rFonts w:ascii="仿宋" w:hAnsi="仿宋" w:eastAsia="仿宋" w:cs="仿宋"/>
                <w:spacing w:val="8"/>
                <w:sz w:val="20"/>
                <w:szCs w:val="20"/>
              </w:rPr>
              <w:t>（</w:t>
            </w:r>
            <w:r>
              <w:rPr>
                <w:spacing w:val="8"/>
                <w:sz w:val="20"/>
                <w:szCs w:val="20"/>
              </w:rPr>
              <w:t>2</w:t>
            </w:r>
            <w:r>
              <w:rPr>
                <w:rFonts w:ascii="仿宋" w:hAnsi="仿宋" w:eastAsia="仿宋" w:cs="仿宋"/>
                <w:spacing w:val="8"/>
                <w:sz w:val="20"/>
                <w:szCs w:val="20"/>
              </w:rPr>
              <w:t>）化学危险品的运输车辆发生交通事故后</w:t>
            </w:r>
            <w:r>
              <w:rPr>
                <w:rFonts w:ascii="仿宋" w:hAnsi="仿宋" w:eastAsia="仿宋" w:cs="仿宋"/>
                <w:spacing w:val="7"/>
                <w:sz w:val="20"/>
                <w:szCs w:val="20"/>
              </w:rPr>
              <w:t>，有毒有害固态、液态危险品发生泄</w:t>
            </w:r>
            <w:r>
              <w:rPr>
                <w:rFonts w:ascii="仿宋" w:hAnsi="仿宋" w:eastAsia="仿宋" w:cs="仿宋"/>
                <w:spacing w:val="8"/>
                <w:sz w:val="20"/>
                <w:szCs w:val="20"/>
              </w:rPr>
              <w:t>漏或易燃易爆物质引起爆炸，引起水污染和空气污染；</w:t>
            </w:r>
          </w:p>
          <w:p w14:paraId="76773A39">
            <w:pPr>
              <w:pStyle w:val="6"/>
              <w:spacing w:before="2" w:line="376" w:lineRule="auto"/>
              <w:ind w:left="115" w:right="58" w:firstLine="418"/>
              <w:jc w:val="both"/>
              <w:rPr>
                <w:rFonts w:ascii="仿宋" w:hAnsi="仿宋" w:eastAsia="仿宋" w:cs="仿宋"/>
                <w:sz w:val="20"/>
                <w:szCs w:val="20"/>
              </w:rPr>
            </w:pPr>
            <w:r>
              <w:rPr>
                <w:rFonts w:ascii="仿宋" w:hAnsi="仿宋" w:eastAsia="仿宋" w:cs="仿宋"/>
                <w:spacing w:val="2"/>
                <w:sz w:val="20"/>
                <w:szCs w:val="20"/>
              </w:rPr>
              <w:t>本项目营运期不涉及《建设项目环境风险评价技术导则》（</w:t>
            </w:r>
            <w:r>
              <w:rPr>
                <w:sz w:val="20"/>
                <w:szCs w:val="20"/>
              </w:rPr>
              <w:t>HJ</w:t>
            </w:r>
            <w:r>
              <w:rPr>
                <w:spacing w:val="2"/>
                <w:sz w:val="20"/>
                <w:szCs w:val="20"/>
              </w:rPr>
              <w:t>169-2018</w:t>
            </w:r>
            <w:r>
              <w:rPr>
                <w:rFonts w:ascii="仿宋" w:hAnsi="仿宋" w:eastAsia="仿宋" w:cs="仿宋"/>
                <w:spacing w:val="2"/>
                <w:sz w:val="20"/>
                <w:szCs w:val="20"/>
              </w:rPr>
              <w:t>）明确的</w:t>
            </w:r>
            <w:r>
              <w:rPr>
                <w:spacing w:val="2"/>
                <w:sz w:val="20"/>
                <w:szCs w:val="20"/>
              </w:rPr>
              <w:t>“</w:t>
            </w:r>
            <w:r>
              <w:rPr>
                <w:rFonts w:ascii="仿宋" w:hAnsi="仿宋" w:eastAsia="仿宋" w:cs="仿宋"/>
                <w:spacing w:val="2"/>
                <w:sz w:val="20"/>
                <w:szCs w:val="20"/>
              </w:rPr>
              <w:t>有</w:t>
            </w:r>
            <w:r>
              <w:rPr>
                <w:rFonts w:ascii="仿宋" w:hAnsi="仿宋" w:eastAsia="仿宋" w:cs="仿宋"/>
                <w:spacing w:val="7"/>
                <w:sz w:val="20"/>
                <w:szCs w:val="20"/>
              </w:rPr>
              <w:t>毒有害和易燃易爆危险物质生产、使用和储存（包括使用管道运输）</w:t>
            </w:r>
            <w:r>
              <w:rPr>
                <w:spacing w:val="7"/>
                <w:sz w:val="20"/>
                <w:szCs w:val="20"/>
              </w:rPr>
              <w:t>”</w:t>
            </w:r>
            <w:r>
              <w:rPr>
                <w:spacing w:val="-8"/>
                <w:sz w:val="20"/>
                <w:szCs w:val="20"/>
              </w:rPr>
              <w:t xml:space="preserve"> </w:t>
            </w:r>
            <w:r>
              <w:rPr>
                <w:rFonts w:ascii="仿宋" w:hAnsi="仿宋" w:eastAsia="仿宋" w:cs="仿宋"/>
                <w:spacing w:val="7"/>
                <w:sz w:val="20"/>
                <w:szCs w:val="20"/>
              </w:rPr>
              <w:t>的情形，全线无</w:t>
            </w:r>
            <w:r>
              <w:rPr>
                <w:rFonts w:ascii="仿宋" w:hAnsi="仿宋" w:eastAsia="仿宋" w:cs="仿宋"/>
                <w:spacing w:val="8"/>
                <w:sz w:val="20"/>
                <w:szCs w:val="20"/>
              </w:rPr>
              <w:t>隧道工程，施工期间不使用炸药等易燃易爆物</w:t>
            </w:r>
            <w:r>
              <w:rPr>
                <w:rFonts w:ascii="仿宋" w:hAnsi="仿宋" w:eastAsia="仿宋" w:cs="仿宋"/>
                <w:spacing w:val="7"/>
                <w:sz w:val="20"/>
                <w:szCs w:val="20"/>
              </w:rPr>
              <w:t>，环境风险潜势为</w:t>
            </w:r>
            <w:r>
              <w:rPr>
                <w:rFonts w:ascii="仿宋" w:hAnsi="仿宋" w:eastAsia="仿宋" w:cs="仿宋"/>
                <w:spacing w:val="-40"/>
                <w:sz w:val="20"/>
                <w:szCs w:val="20"/>
              </w:rPr>
              <w:t xml:space="preserve"> </w:t>
            </w:r>
            <w:r>
              <w:rPr>
                <w:spacing w:val="7"/>
                <w:sz w:val="20"/>
                <w:szCs w:val="20"/>
              </w:rPr>
              <w:t>I</w:t>
            </w:r>
            <w:r>
              <w:rPr>
                <w:spacing w:val="-21"/>
                <w:sz w:val="20"/>
                <w:szCs w:val="20"/>
              </w:rPr>
              <w:t xml:space="preserve"> </w:t>
            </w:r>
            <w:r>
              <w:rPr>
                <w:rFonts w:ascii="仿宋" w:hAnsi="仿宋" w:eastAsia="仿宋" w:cs="仿宋"/>
                <w:spacing w:val="7"/>
                <w:sz w:val="20"/>
                <w:szCs w:val="20"/>
              </w:rPr>
              <w:t>，可开展简单分析。</w:t>
            </w:r>
          </w:p>
          <w:p w14:paraId="0A6D42F7">
            <w:pPr>
              <w:spacing w:before="3" w:line="377" w:lineRule="auto"/>
              <w:ind w:left="115" w:right="103" w:firstLine="418"/>
              <w:rPr>
                <w:rFonts w:ascii="仿宋" w:hAnsi="仿宋" w:eastAsia="仿宋" w:cs="仿宋"/>
                <w:sz w:val="20"/>
                <w:szCs w:val="20"/>
              </w:rPr>
            </w:pPr>
            <w:r>
              <w:rPr>
                <w:rFonts w:ascii="仿宋" w:hAnsi="仿宋" w:eastAsia="仿宋" w:cs="仿宋"/>
                <w:spacing w:val="11"/>
                <w:sz w:val="20"/>
                <w:szCs w:val="20"/>
              </w:rPr>
              <w:t>本项目环境风险主要表现为运输危险品车辆发生泄漏的事故。针</w:t>
            </w:r>
            <w:r>
              <w:rPr>
                <w:rFonts w:ascii="仿宋" w:hAnsi="仿宋" w:eastAsia="仿宋" w:cs="仿宋"/>
                <w:spacing w:val="10"/>
                <w:sz w:val="20"/>
                <w:szCs w:val="20"/>
              </w:rPr>
              <w:t>对可能出现的环</w:t>
            </w:r>
            <w:r>
              <w:rPr>
                <w:rFonts w:ascii="仿宋" w:hAnsi="仿宋" w:eastAsia="仿宋" w:cs="仿宋"/>
                <w:spacing w:val="7"/>
                <w:sz w:val="20"/>
                <w:szCs w:val="20"/>
              </w:rPr>
              <w:t>境风险，应采取如下措施。</w:t>
            </w:r>
          </w:p>
          <w:p w14:paraId="0FB5CB33">
            <w:pPr>
              <w:pStyle w:val="6"/>
              <w:spacing w:before="1" w:line="227" w:lineRule="auto"/>
              <w:ind w:left="537"/>
              <w:rPr>
                <w:rFonts w:ascii="仿宋" w:hAnsi="仿宋" w:eastAsia="仿宋" w:cs="仿宋"/>
                <w:sz w:val="20"/>
                <w:szCs w:val="20"/>
              </w:rPr>
            </w:pPr>
            <w:r>
              <w:rPr>
                <w:rFonts w:ascii="仿宋" w:hAnsi="仿宋" w:eastAsia="仿宋" w:cs="仿宋"/>
                <w:spacing w:val="8"/>
                <w:sz w:val="20"/>
                <w:szCs w:val="20"/>
              </w:rPr>
              <w:t>（</w:t>
            </w:r>
            <w:r>
              <w:rPr>
                <w:spacing w:val="8"/>
                <w:sz w:val="20"/>
                <w:szCs w:val="20"/>
              </w:rPr>
              <w:t>1</w:t>
            </w:r>
            <w:r>
              <w:rPr>
                <w:rFonts w:ascii="仿宋" w:hAnsi="仿宋" w:eastAsia="仿宋" w:cs="仿宋"/>
                <w:spacing w:val="8"/>
                <w:sz w:val="20"/>
                <w:szCs w:val="20"/>
              </w:rPr>
              <w:t>）应设置警示牌、危险品车辆限速标志，</w:t>
            </w:r>
            <w:r>
              <w:rPr>
                <w:rFonts w:ascii="仿宋" w:hAnsi="仿宋" w:eastAsia="仿宋" w:cs="仿宋"/>
                <w:spacing w:val="7"/>
                <w:sz w:val="20"/>
                <w:szCs w:val="20"/>
              </w:rPr>
              <w:t>提醒司机注意安全和控制车速，防止</w:t>
            </w:r>
          </w:p>
        </w:tc>
      </w:tr>
    </w:tbl>
    <w:p w14:paraId="658381ED">
      <w:pPr>
        <w:pStyle w:val="2"/>
        <w:rPr>
          <w:sz w:val="21"/>
        </w:rPr>
      </w:pPr>
    </w:p>
    <w:p w14:paraId="43D40396">
      <w:pPr>
        <w:rPr>
          <w:sz w:val="21"/>
          <w:szCs w:val="21"/>
        </w:rPr>
        <w:sectPr>
          <w:footerReference r:id="rId61" w:type="default"/>
          <w:pgSz w:w="11907" w:h="16840"/>
          <w:pgMar w:top="400" w:right="1598" w:bottom="1446" w:left="1598" w:header="0" w:footer="1284" w:gutter="0"/>
          <w:cols w:space="720" w:num="1"/>
        </w:sectPr>
      </w:pPr>
    </w:p>
    <w:p w14:paraId="38045219">
      <w:pPr>
        <w:spacing w:before="19"/>
      </w:pPr>
    </w:p>
    <w:p w14:paraId="19A159AE">
      <w:pPr>
        <w:spacing w:before="19"/>
      </w:pPr>
    </w:p>
    <w:p w14:paraId="2293638B">
      <w:pPr>
        <w:spacing w:before="18"/>
      </w:pPr>
    </w:p>
    <w:p w14:paraId="15640E1F">
      <w:pPr>
        <w:spacing w:before="18"/>
      </w:pPr>
    </w:p>
    <w:tbl>
      <w:tblPr>
        <w:tblStyle w:val="5"/>
        <w:tblW w:w="869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68"/>
        <w:gridCol w:w="8027"/>
      </w:tblGrid>
      <w:tr w14:paraId="1C245F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80" w:hRule="atLeast"/>
        </w:trPr>
        <w:tc>
          <w:tcPr>
            <w:tcW w:w="668" w:type="dxa"/>
            <w:tcBorders>
              <w:bottom w:val="single" w:color="000000" w:sz="2" w:space="0"/>
              <w:right w:val="single" w:color="000000" w:sz="2" w:space="0"/>
            </w:tcBorders>
            <w:vAlign w:val="top"/>
          </w:tcPr>
          <w:p w14:paraId="59B34C86">
            <w:pPr>
              <w:rPr>
                <w:rFonts w:ascii="Arial"/>
                <w:sz w:val="21"/>
              </w:rPr>
            </w:pPr>
          </w:p>
        </w:tc>
        <w:tc>
          <w:tcPr>
            <w:tcW w:w="8027" w:type="dxa"/>
            <w:tcBorders>
              <w:left w:val="single" w:color="000000" w:sz="2" w:space="0"/>
              <w:bottom w:val="single" w:color="000000" w:sz="2" w:space="0"/>
            </w:tcBorders>
            <w:vAlign w:val="top"/>
          </w:tcPr>
          <w:p w14:paraId="25403CE3">
            <w:pPr>
              <w:spacing w:before="27" w:line="231" w:lineRule="auto"/>
              <w:ind w:left="113"/>
              <w:rPr>
                <w:rFonts w:ascii="仿宋" w:hAnsi="仿宋" w:eastAsia="仿宋" w:cs="仿宋"/>
                <w:sz w:val="20"/>
                <w:szCs w:val="20"/>
              </w:rPr>
            </w:pPr>
            <w:r>
              <w:rPr>
                <w:rFonts w:ascii="仿宋" w:hAnsi="仿宋" w:eastAsia="仿宋" w:cs="仿宋"/>
                <w:spacing w:val="6"/>
                <w:sz w:val="20"/>
                <w:szCs w:val="20"/>
              </w:rPr>
              <w:t>事故污染环境；</w:t>
            </w:r>
          </w:p>
          <w:p w14:paraId="7F108CF0">
            <w:pPr>
              <w:pStyle w:val="6"/>
              <w:spacing w:before="158" w:line="376" w:lineRule="auto"/>
              <w:ind w:left="121" w:right="102" w:firstLine="416"/>
              <w:rPr>
                <w:rFonts w:ascii="仿宋" w:hAnsi="仿宋" w:eastAsia="仿宋" w:cs="仿宋"/>
                <w:sz w:val="20"/>
                <w:szCs w:val="20"/>
              </w:rPr>
            </w:pPr>
            <w:r>
              <w:rPr>
                <w:rFonts w:ascii="仿宋" w:hAnsi="仿宋" w:eastAsia="仿宋" w:cs="仿宋"/>
                <w:spacing w:val="8"/>
                <w:sz w:val="20"/>
                <w:szCs w:val="20"/>
              </w:rPr>
              <w:t>（</w:t>
            </w:r>
            <w:r>
              <w:rPr>
                <w:spacing w:val="8"/>
                <w:sz w:val="20"/>
                <w:szCs w:val="20"/>
              </w:rPr>
              <w:t>2</w:t>
            </w:r>
            <w:r>
              <w:rPr>
                <w:rFonts w:ascii="仿宋" w:hAnsi="仿宋" w:eastAsia="仿宋" w:cs="仿宋"/>
                <w:spacing w:val="8"/>
                <w:sz w:val="20"/>
                <w:szCs w:val="20"/>
              </w:rPr>
              <w:t>）建设单位是环境风险防范的责任及实施主体，</w:t>
            </w:r>
            <w:r>
              <w:rPr>
                <w:rFonts w:ascii="仿宋" w:hAnsi="仿宋" w:eastAsia="仿宋" w:cs="仿宋"/>
                <w:spacing w:val="7"/>
                <w:sz w:val="20"/>
                <w:szCs w:val="20"/>
              </w:rPr>
              <w:t>环评建议建设单位应按有关部</w:t>
            </w:r>
            <w:r>
              <w:rPr>
                <w:rFonts w:ascii="仿宋" w:hAnsi="仿宋" w:eastAsia="仿宋" w:cs="仿宋"/>
                <w:spacing w:val="11"/>
                <w:sz w:val="20"/>
                <w:szCs w:val="20"/>
              </w:rPr>
              <w:t>门要求单独编制本项目完善的环境风险应急预案</w:t>
            </w:r>
            <w:r>
              <w:rPr>
                <w:rFonts w:ascii="仿宋" w:hAnsi="仿宋" w:eastAsia="仿宋" w:cs="仿宋"/>
                <w:spacing w:val="10"/>
                <w:sz w:val="20"/>
                <w:szCs w:val="20"/>
              </w:rPr>
              <w:t>，纳入沿线突发环境事件应急预案体</w:t>
            </w:r>
            <w:r>
              <w:rPr>
                <w:rFonts w:ascii="仿宋" w:hAnsi="仿宋" w:eastAsia="仿宋" w:cs="仿宋"/>
                <w:spacing w:val="6"/>
                <w:sz w:val="20"/>
                <w:szCs w:val="20"/>
              </w:rPr>
              <w:t>系，并报有关部门审批。</w:t>
            </w:r>
          </w:p>
          <w:p w14:paraId="5C924B3F">
            <w:pPr>
              <w:pStyle w:val="6"/>
              <w:spacing w:before="2" w:line="375" w:lineRule="auto"/>
              <w:ind w:left="116" w:right="102" w:firstLine="421"/>
              <w:rPr>
                <w:rFonts w:ascii="仿宋" w:hAnsi="仿宋" w:eastAsia="仿宋" w:cs="仿宋"/>
                <w:sz w:val="20"/>
                <w:szCs w:val="20"/>
              </w:rPr>
            </w:pPr>
            <w:r>
              <w:rPr>
                <w:rFonts w:ascii="仿宋" w:hAnsi="仿宋" w:eastAsia="仿宋" w:cs="仿宋"/>
                <w:spacing w:val="9"/>
                <w:sz w:val="20"/>
                <w:szCs w:val="20"/>
              </w:rPr>
              <w:t>（</w:t>
            </w:r>
            <w:r>
              <w:rPr>
                <w:spacing w:val="9"/>
                <w:sz w:val="20"/>
                <w:szCs w:val="20"/>
              </w:rPr>
              <w:t>3</w:t>
            </w:r>
            <w:r>
              <w:rPr>
                <w:rFonts w:ascii="仿宋" w:hAnsi="仿宋" w:eastAsia="仿宋" w:cs="仿宋"/>
                <w:spacing w:val="9"/>
                <w:sz w:val="20"/>
                <w:szCs w:val="20"/>
              </w:rPr>
              <w:t>）加强日常危险品运输车辆的</w:t>
            </w:r>
            <w:r>
              <w:rPr>
                <w:spacing w:val="9"/>
                <w:sz w:val="20"/>
                <w:szCs w:val="20"/>
              </w:rPr>
              <w:t>“</w:t>
            </w:r>
            <w:r>
              <w:rPr>
                <w:spacing w:val="-27"/>
                <w:sz w:val="20"/>
                <w:szCs w:val="20"/>
              </w:rPr>
              <w:t xml:space="preserve"> </w:t>
            </w:r>
            <w:r>
              <w:rPr>
                <w:rFonts w:ascii="仿宋" w:hAnsi="仿宋" w:eastAsia="仿宋" w:cs="仿宋"/>
                <w:spacing w:val="9"/>
                <w:sz w:val="20"/>
                <w:szCs w:val="20"/>
              </w:rPr>
              <w:t>三证</w:t>
            </w:r>
            <w:r>
              <w:rPr>
                <w:spacing w:val="9"/>
                <w:sz w:val="20"/>
                <w:szCs w:val="20"/>
              </w:rPr>
              <w:t>”</w:t>
            </w:r>
            <w:r>
              <w:rPr>
                <w:spacing w:val="-32"/>
                <w:sz w:val="20"/>
                <w:szCs w:val="20"/>
              </w:rPr>
              <w:t xml:space="preserve"> </w:t>
            </w:r>
            <w:r>
              <w:rPr>
                <w:rFonts w:ascii="仿宋" w:hAnsi="仿宋" w:eastAsia="仿宋" w:cs="仿宋"/>
                <w:spacing w:val="9"/>
                <w:sz w:val="20"/>
                <w:szCs w:val="20"/>
              </w:rPr>
              <w:t>检查、超载车辆的检查</w:t>
            </w:r>
            <w:r>
              <w:rPr>
                <w:rFonts w:ascii="仿宋" w:hAnsi="仿宋" w:eastAsia="仿宋" w:cs="仿宋"/>
                <w:spacing w:val="8"/>
                <w:sz w:val="20"/>
                <w:szCs w:val="20"/>
              </w:rPr>
              <w:t>，若</w:t>
            </w:r>
            <w:r>
              <w:rPr>
                <w:spacing w:val="8"/>
                <w:sz w:val="20"/>
                <w:szCs w:val="20"/>
              </w:rPr>
              <w:t>“</w:t>
            </w:r>
            <w:r>
              <w:rPr>
                <w:spacing w:val="-26"/>
                <w:sz w:val="20"/>
                <w:szCs w:val="20"/>
              </w:rPr>
              <w:t xml:space="preserve"> </w:t>
            </w:r>
            <w:r>
              <w:rPr>
                <w:rFonts w:ascii="仿宋" w:hAnsi="仿宋" w:eastAsia="仿宋" w:cs="仿宋"/>
                <w:spacing w:val="8"/>
                <w:sz w:val="20"/>
                <w:szCs w:val="20"/>
              </w:rPr>
              <w:t>三 证</w:t>
            </w:r>
            <w:r>
              <w:rPr>
                <w:spacing w:val="8"/>
                <w:sz w:val="20"/>
                <w:szCs w:val="20"/>
              </w:rPr>
              <w:t>”</w:t>
            </w:r>
            <w:r>
              <w:rPr>
                <w:spacing w:val="-28"/>
                <w:sz w:val="20"/>
                <w:szCs w:val="20"/>
              </w:rPr>
              <w:t xml:space="preserve"> </w:t>
            </w:r>
            <w:r>
              <w:rPr>
                <w:rFonts w:ascii="仿宋" w:hAnsi="仿宋" w:eastAsia="仿宋" w:cs="仿宋"/>
                <w:spacing w:val="8"/>
                <w:sz w:val="20"/>
                <w:szCs w:val="20"/>
              </w:rPr>
              <w:t>不全</w:t>
            </w:r>
            <w:r>
              <w:rPr>
                <w:rFonts w:ascii="仿宋" w:hAnsi="仿宋" w:eastAsia="仿宋" w:cs="仿宋"/>
                <w:spacing w:val="7"/>
                <w:sz w:val="20"/>
                <w:szCs w:val="20"/>
              </w:rPr>
              <w:t>或车辆超载可禁止其上路。</w:t>
            </w:r>
          </w:p>
          <w:p w14:paraId="5A6DDBC9">
            <w:pPr>
              <w:pStyle w:val="6"/>
              <w:spacing w:before="5" w:line="375" w:lineRule="auto"/>
              <w:ind w:left="115" w:right="105" w:firstLine="422"/>
              <w:rPr>
                <w:rFonts w:ascii="仿宋" w:hAnsi="仿宋" w:eastAsia="仿宋" w:cs="仿宋"/>
                <w:sz w:val="20"/>
                <w:szCs w:val="20"/>
              </w:rPr>
            </w:pPr>
            <w:r>
              <w:rPr>
                <w:rFonts w:ascii="仿宋" w:hAnsi="仿宋" w:eastAsia="仿宋" w:cs="仿宋"/>
                <w:spacing w:val="8"/>
                <w:sz w:val="20"/>
                <w:szCs w:val="20"/>
              </w:rPr>
              <w:t>（</w:t>
            </w:r>
            <w:r>
              <w:rPr>
                <w:spacing w:val="8"/>
                <w:sz w:val="20"/>
                <w:szCs w:val="20"/>
              </w:rPr>
              <w:t>4</w:t>
            </w:r>
            <w:r>
              <w:rPr>
                <w:rFonts w:ascii="仿宋" w:hAnsi="仿宋" w:eastAsia="仿宋" w:cs="仿宋"/>
                <w:spacing w:val="8"/>
                <w:sz w:val="20"/>
                <w:szCs w:val="20"/>
              </w:rPr>
              <w:t>）运载危险品的车辆应上报公路管理部门</w:t>
            </w:r>
            <w:r>
              <w:rPr>
                <w:rFonts w:ascii="仿宋" w:hAnsi="仿宋" w:eastAsia="仿宋" w:cs="仿宋"/>
                <w:spacing w:val="7"/>
                <w:sz w:val="20"/>
                <w:szCs w:val="20"/>
              </w:rPr>
              <w:t>，经检查批准后方可上路行驶，车辆</w:t>
            </w:r>
            <w:r>
              <w:rPr>
                <w:rFonts w:ascii="仿宋" w:hAnsi="仿宋" w:eastAsia="仿宋" w:cs="仿宋"/>
                <w:spacing w:val="8"/>
                <w:sz w:val="20"/>
                <w:szCs w:val="20"/>
              </w:rPr>
              <w:t>上要有危险品标志，并不能随意停车。</w:t>
            </w:r>
          </w:p>
          <w:p w14:paraId="55B8AD5E">
            <w:pPr>
              <w:pStyle w:val="6"/>
              <w:spacing w:before="3" w:line="358" w:lineRule="auto"/>
              <w:ind w:left="128" w:right="102" w:firstLine="409"/>
              <w:rPr>
                <w:rFonts w:ascii="仿宋" w:hAnsi="仿宋" w:eastAsia="仿宋" w:cs="仿宋"/>
                <w:sz w:val="20"/>
                <w:szCs w:val="20"/>
              </w:rPr>
            </w:pPr>
            <w:r>
              <w:rPr>
                <w:rFonts w:ascii="仿宋" w:hAnsi="仿宋" w:eastAsia="仿宋" w:cs="仿宋"/>
                <w:spacing w:val="8"/>
                <w:sz w:val="20"/>
                <w:szCs w:val="20"/>
              </w:rPr>
              <w:t>（</w:t>
            </w:r>
            <w:r>
              <w:rPr>
                <w:spacing w:val="8"/>
                <w:sz w:val="20"/>
                <w:szCs w:val="20"/>
              </w:rPr>
              <w:t>5</w:t>
            </w:r>
            <w:r>
              <w:rPr>
                <w:rFonts w:ascii="仿宋" w:hAnsi="仿宋" w:eastAsia="仿宋" w:cs="仿宋"/>
                <w:spacing w:val="8"/>
                <w:sz w:val="20"/>
                <w:szCs w:val="20"/>
              </w:rPr>
              <w:t>）危险品运输途中，公路管理部门应予以严密监</w:t>
            </w:r>
            <w:r>
              <w:rPr>
                <w:rFonts w:ascii="仿宋" w:hAnsi="仿宋" w:eastAsia="仿宋" w:cs="仿宋"/>
                <w:spacing w:val="7"/>
                <w:sz w:val="20"/>
                <w:szCs w:val="20"/>
              </w:rPr>
              <w:t>控，以便发生意外情况时能及</w:t>
            </w:r>
            <w:r>
              <w:rPr>
                <w:rFonts w:ascii="仿宋" w:hAnsi="仿宋" w:eastAsia="仿宋" w:cs="仿宋"/>
                <w:spacing w:val="6"/>
                <w:sz w:val="20"/>
                <w:szCs w:val="20"/>
              </w:rPr>
              <w:t>时采取措施，防患于未然。</w:t>
            </w:r>
          </w:p>
        </w:tc>
      </w:tr>
      <w:tr w14:paraId="413F62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23" w:hRule="atLeast"/>
        </w:trPr>
        <w:tc>
          <w:tcPr>
            <w:tcW w:w="668" w:type="dxa"/>
            <w:tcBorders>
              <w:top w:val="single" w:color="000000" w:sz="2" w:space="0"/>
              <w:right w:val="single" w:color="000000" w:sz="2" w:space="0"/>
            </w:tcBorders>
            <w:vAlign w:val="top"/>
          </w:tcPr>
          <w:p w14:paraId="3011DB11">
            <w:pPr>
              <w:spacing w:line="255" w:lineRule="auto"/>
              <w:rPr>
                <w:rFonts w:ascii="Arial"/>
                <w:sz w:val="21"/>
              </w:rPr>
            </w:pPr>
          </w:p>
          <w:p w14:paraId="13B7EE5D">
            <w:pPr>
              <w:spacing w:line="255" w:lineRule="auto"/>
              <w:rPr>
                <w:rFonts w:ascii="Arial"/>
                <w:sz w:val="21"/>
              </w:rPr>
            </w:pPr>
          </w:p>
          <w:p w14:paraId="3A58AA04">
            <w:pPr>
              <w:spacing w:line="255" w:lineRule="auto"/>
              <w:rPr>
                <w:rFonts w:ascii="Arial"/>
                <w:sz w:val="21"/>
              </w:rPr>
            </w:pPr>
          </w:p>
          <w:p w14:paraId="3453FE0F">
            <w:pPr>
              <w:spacing w:line="255" w:lineRule="auto"/>
              <w:rPr>
                <w:rFonts w:ascii="Arial"/>
                <w:sz w:val="21"/>
              </w:rPr>
            </w:pPr>
          </w:p>
          <w:p w14:paraId="60401CC0">
            <w:pPr>
              <w:spacing w:line="255" w:lineRule="auto"/>
              <w:rPr>
                <w:rFonts w:ascii="Arial"/>
                <w:sz w:val="21"/>
              </w:rPr>
            </w:pPr>
          </w:p>
          <w:p w14:paraId="3D2807EB">
            <w:pPr>
              <w:spacing w:line="255" w:lineRule="auto"/>
              <w:rPr>
                <w:rFonts w:ascii="Arial"/>
                <w:sz w:val="21"/>
              </w:rPr>
            </w:pPr>
          </w:p>
          <w:p w14:paraId="77F048F6">
            <w:pPr>
              <w:spacing w:line="255" w:lineRule="auto"/>
              <w:rPr>
                <w:rFonts w:ascii="Arial"/>
                <w:sz w:val="21"/>
              </w:rPr>
            </w:pPr>
          </w:p>
          <w:p w14:paraId="60306D6F">
            <w:pPr>
              <w:spacing w:line="255" w:lineRule="auto"/>
              <w:rPr>
                <w:rFonts w:ascii="Arial"/>
                <w:sz w:val="21"/>
              </w:rPr>
            </w:pPr>
          </w:p>
          <w:p w14:paraId="24CAED9C">
            <w:pPr>
              <w:spacing w:line="255" w:lineRule="auto"/>
              <w:rPr>
                <w:rFonts w:ascii="Arial"/>
                <w:sz w:val="21"/>
              </w:rPr>
            </w:pPr>
          </w:p>
          <w:p w14:paraId="3FCFAB36">
            <w:pPr>
              <w:spacing w:line="255" w:lineRule="auto"/>
              <w:rPr>
                <w:rFonts w:ascii="Arial"/>
                <w:sz w:val="21"/>
              </w:rPr>
            </w:pPr>
          </w:p>
          <w:p w14:paraId="176EB1FF">
            <w:pPr>
              <w:spacing w:line="256" w:lineRule="auto"/>
              <w:rPr>
                <w:rFonts w:ascii="Arial"/>
                <w:sz w:val="21"/>
              </w:rPr>
            </w:pPr>
          </w:p>
          <w:p w14:paraId="024F3455">
            <w:pPr>
              <w:spacing w:line="256" w:lineRule="auto"/>
              <w:rPr>
                <w:rFonts w:ascii="Arial"/>
                <w:sz w:val="21"/>
              </w:rPr>
            </w:pPr>
          </w:p>
          <w:p w14:paraId="7A973F1B">
            <w:pPr>
              <w:spacing w:line="256" w:lineRule="auto"/>
              <w:rPr>
                <w:rFonts w:ascii="Arial"/>
                <w:sz w:val="21"/>
              </w:rPr>
            </w:pPr>
          </w:p>
          <w:p w14:paraId="284EEE88">
            <w:pPr>
              <w:spacing w:line="256" w:lineRule="auto"/>
              <w:rPr>
                <w:rFonts w:ascii="Arial"/>
                <w:sz w:val="21"/>
              </w:rPr>
            </w:pPr>
          </w:p>
          <w:p w14:paraId="0F99B346">
            <w:pPr>
              <w:spacing w:line="256" w:lineRule="auto"/>
              <w:rPr>
                <w:rFonts w:ascii="Arial"/>
                <w:sz w:val="21"/>
              </w:rPr>
            </w:pPr>
          </w:p>
          <w:p w14:paraId="05FC8390">
            <w:pPr>
              <w:spacing w:before="65" w:line="251" w:lineRule="auto"/>
              <w:ind w:left="128" w:right="125" w:firstLine="2"/>
              <w:jc w:val="both"/>
              <w:rPr>
                <w:rFonts w:ascii="仿宋" w:hAnsi="仿宋" w:eastAsia="仿宋" w:cs="仿宋"/>
                <w:sz w:val="20"/>
                <w:szCs w:val="20"/>
              </w:rPr>
            </w:pPr>
            <w:r>
              <w:rPr>
                <w:rFonts w:ascii="仿宋" w:hAnsi="仿宋" w:eastAsia="仿宋" w:cs="仿宋"/>
                <w:sz w:val="20"/>
                <w:szCs w:val="20"/>
              </w:rPr>
              <w:t>选址</w:t>
            </w:r>
            <w:r>
              <w:rPr>
                <w:rFonts w:ascii="仿宋" w:hAnsi="仿宋" w:eastAsia="仿宋" w:cs="仿宋"/>
                <w:spacing w:val="2"/>
                <w:sz w:val="20"/>
                <w:szCs w:val="20"/>
              </w:rPr>
              <w:t>选线环境合理性分</w:t>
            </w:r>
            <w:r>
              <w:rPr>
                <w:rFonts w:ascii="仿宋" w:hAnsi="仿宋" w:eastAsia="仿宋" w:cs="仿宋"/>
                <w:spacing w:val="50"/>
                <w:w w:val="125"/>
                <w:sz w:val="20"/>
                <w:szCs w:val="20"/>
              </w:rPr>
              <w:t>析</w:t>
            </w:r>
          </w:p>
        </w:tc>
        <w:tc>
          <w:tcPr>
            <w:tcW w:w="8027" w:type="dxa"/>
            <w:tcBorders>
              <w:top w:val="single" w:color="000000" w:sz="2" w:space="0"/>
              <w:left w:val="single" w:color="000000" w:sz="2" w:space="0"/>
            </w:tcBorders>
            <w:vAlign w:val="top"/>
          </w:tcPr>
          <w:p w14:paraId="1A20C0C8">
            <w:pPr>
              <w:pStyle w:val="6"/>
              <w:spacing w:before="36" w:line="377" w:lineRule="auto"/>
              <w:ind w:left="112" w:right="103" w:firstLine="421"/>
              <w:jc w:val="both"/>
              <w:rPr>
                <w:rFonts w:ascii="仿宋" w:hAnsi="仿宋" w:eastAsia="仿宋" w:cs="仿宋"/>
                <w:sz w:val="20"/>
                <w:szCs w:val="20"/>
              </w:rPr>
            </w:pPr>
            <w:r>
              <w:rPr>
                <w:rFonts w:ascii="仿宋" w:hAnsi="仿宋" w:eastAsia="仿宋" w:cs="仿宋"/>
                <w:spacing w:val="11"/>
                <w:sz w:val="20"/>
                <w:szCs w:val="20"/>
              </w:rPr>
              <w:t>本项目位于准格尔旗沙圪堵镇、十二连城乡自然村范围内，主要</w:t>
            </w:r>
            <w:r>
              <w:rPr>
                <w:rFonts w:ascii="仿宋" w:hAnsi="仿宋" w:eastAsia="仿宋" w:cs="仿宋"/>
                <w:spacing w:val="10"/>
                <w:sz w:val="20"/>
                <w:szCs w:val="20"/>
              </w:rPr>
              <w:t>建设内容为区域现状土路硬化改造工程。项目立足乡村交通发展短板</w:t>
            </w:r>
            <w:r>
              <w:rPr>
                <w:rFonts w:ascii="仿宋" w:hAnsi="仿宋" w:eastAsia="仿宋" w:cs="仿宋"/>
                <w:spacing w:val="9"/>
                <w:sz w:val="20"/>
                <w:szCs w:val="20"/>
              </w:rPr>
              <w:t>，</w:t>
            </w:r>
            <w:r>
              <w:rPr>
                <w:rFonts w:ascii="仿宋" w:hAnsi="仿宋" w:eastAsia="仿宋" w:cs="仿宋"/>
                <w:spacing w:val="-56"/>
                <w:sz w:val="20"/>
                <w:szCs w:val="20"/>
              </w:rPr>
              <w:t xml:space="preserve"> </w:t>
            </w:r>
            <w:r>
              <w:rPr>
                <w:rFonts w:ascii="仿宋" w:hAnsi="仿宋" w:eastAsia="仿宋" w:cs="仿宋"/>
                <w:spacing w:val="9"/>
                <w:sz w:val="20"/>
                <w:szCs w:val="20"/>
              </w:rPr>
              <w:t>以改善农村通行条件、完善乡</w:t>
            </w:r>
            <w:r>
              <w:rPr>
                <w:rFonts w:ascii="仿宋" w:hAnsi="仿宋" w:eastAsia="仿宋" w:cs="仿宋"/>
                <w:spacing w:val="11"/>
                <w:sz w:val="20"/>
                <w:szCs w:val="20"/>
              </w:rPr>
              <w:t>村基础设施配套为核心目标，畅通乡村对外交通联络通道，助力区域</w:t>
            </w:r>
            <w:r>
              <w:rPr>
                <w:rFonts w:ascii="仿宋" w:hAnsi="仿宋" w:eastAsia="仿宋" w:cs="仿宋"/>
                <w:spacing w:val="10"/>
                <w:sz w:val="20"/>
                <w:szCs w:val="20"/>
              </w:rPr>
              <w:t>农村产业发展与</w:t>
            </w:r>
            <w:r>
              <w:rPr>
                <w:rFonts w:ascii="仿宋" w:hAnsi="仿宋" w:eastAsia="仿宋" w:cs="仿宋"/>
                <w:spacing w:val="7"/>
                <w:sz w:val="20"/>
                <w:szCs w:val="20"/>
              </w:rPr>
              <w:t>民生保障提质，推动地方经济社会高质量发展。本项目各路段总占地面积</w:t>
            </w:r>
            <w:r>
              <w:rPr>
                <w:rFonts w:ascii="仿宋" w:hAnsi="仿宋" w:eastAsia="仿宋" w:cs="仿宋"/>
                <w:spacing w:val="-10"/>
                <w:sz w:val="20"/>
                <w:szCs w:val="20"/>
              </w:rPr>
              <w:t xml:space="preserve"> </w:t>
            </w:r>
            <w:r>
              <w:rPr>
                <w:spacing w:val="7"/>
                <w:sz w:val="20"/>
                <w:szCs w:val="20"/>
              </w:rPr>
              <w:t>13.58</w:t>
            </w:r>
            <w:r>
              <w:rPr>
                <w:sz w:val="20"/>
                <w:szCs w:val="20"/>
              </w:rPr>
              <w:t>hm</w:t>
            </w:r>
            <w:r>
              <w:rPr>
                <w:spacing w:val="7"/>
                <w:sz w:val="20"/>
                <w:szCs w:val="20"/>
              </w:rPr>
              <w:t>2</w:t>
            </w:r>
            <w:r>
              <w:rPr>
                <w:spacing w:val="-19"/>
                <w:sz w:val="20"/>
                <w:szCs w:val="20"/>
              </w:rPr>
              <w:t xml:space="preserve"> </w:t>
            </w:r>
            <w:r>
              <w:rPr>
                <w:rFonts w:ascii="仿宋" w:hAnsi="仿宋" w:eastAsia="仿宋" w:cs="仿宋"/>
                <w:spacing w:val="7"/>
                <w:sz w:val="20"/>
                <w:szCs w:val="20"/>
              </w:rPr>
              <w:t>，</w:t>
            </w:r>
            <w:r>
              <w:rPr>
                <w:rFonts w:ascii="仿宋" w:hAnsi="仿宋" w:eastAsia="仿宋" w:cs="仿宋"/>
                <w:spacing w:val="9"/>
                <w:sz w:val="20"/>
                <w:szCs w:val="20"/>
              </w:rPr>
              <w:t>全部为永久占地，</w:t>
            </w:r>
            <w:r>
              <w:rPr>
                <w:rFonts w:ascii="仿宋" w:hAnsi="仿宋" w:eastAsia="仿宋" w:cs="仿宋"/>
                <w:spacing w:val="-33"/>
                <w:sz w:val="20"/>
                <w:szCs w:val="20"/>
              </w:rPr>
              <w:t xml:space="preserve"> </w:t>
            </w:r>
            <w:r>
              <w:rPr>
                <w:rFonts w:ascii="仿宋" w:hAnsi="仿宋" w:eastAsia="仿宋" w:cs="仿宋"/>
                <w:spacing w:val="9"/>
                <w:sz w:val="20"/>
                <w:szCs w:val="20"/>
              </w:rPr>
              <w:t>占地类型主要包括草地、林地、裸土地；工程全程依托既有土路原</w:t>
            </w:r>
            <w:r>
              <w:rPr>
                <w:rFonts w:ascii="仿宋" w:hAnsi="仿宋" w:eastAsia="仿宋" w:cs="仿宋"/>
                <w:spacing w:val="11"/>
                <w:sz w:val="20"/>
                <w:szCs w:val="20"/>
              </w:rPr>
              <w:t>位改造，不设置取土场、弃土场等临时工程设施，无临时用地需求，</w:t>
            </w:r>
            <w:r>
              <w:rPr>
                <w:rFonts w:ascii="仿宋" w:hAnsi="仿宋" w:eastAsia="仿宋" w:cs="仿宋"/>
                <w:spacing w:val="10"/>
                <w:sz w:val="20"/>
                <w:szCs w:val="20"/>
              </w:rPr>
              <w:t>最大程度减少地</w:t>
            </w:r>
            <w:r>
              <w:rPr>
                <w:rFonts w:ascii="仿宋" w:hAnsi="仿宋" w:eastAsia="仿宋" w:cs="仿宋"/>
                <w:spacing w:val="5"/>
                <w:sz w:val="20"/>
                <w:szCs w:val="20"/>
              </w:rPr>
              <w:t>表扰动范围。</w:t>
            </w:r>
          </w:p>
          <w:p w14:paraId="403DED16">
            <w:pPr>
              <w:pStyle w:val="6"/>
              <w:spacing w:line="377" w:lineRule="auto"/>
              <w:ind w:left="114" w:right="102" w:firstLine="418"/>
              <w:jc w:val="both"/>
              <w:rPr>
                <w:rFonts w:ascii="仿宋" w:hAnsi="仿宋" w:eastAsia="仿宋" w:cs="仿宋"/>
                <w:sz w:val="20"/>
                <w:szCs w:val="20"/>
              </w:rPr>
            </w:pPr>
            <w:r>
              <w:rPr>
                <w:rFonts w:ascii="仿宋" w:hAnsi="仿宋" w:eastAsia="仿宋" w:cs="仿宋"/>
                <w:spacing w:val="11"/>
                <w:sz w:val="20"/>
                <w:szCs w:val="20"/>
              </w:rPr>
              <w:t>从区域管控底线核查情况来看，项目选址已完成国土空间、文物保护</w:t>
            </w:r>
            <w:r>
              <w:rPr>
                <w:rFonts w:ascii="仿宋" w:hAnsi="仿宋" w:eastAsia="仿宋" w:cs="仿宋"/>
                <w:spacing w:val="10"/>
                <w:sz w:val="20"/>
                <w:szCs w:val="20"/>
              </w:rPr>
              <w:t>、饮用水源</w:t>
            </w:r>
            <w:r>
              <w:rPr>
                <w:rFonts w:ascii="仿宋" w:hAnsi="仿宋" w:eastAsia="仿宋" w:cs="仿宋"/>
                <w:spacing w:val="11"/>
                <w:sz w:val="20"/>
                <w:szCs w:val="20"/>
              </w:rPr>
              <w:t>保护多部门合规性核查，均取得官方复函意见。依据《准格尔旗</w:t>
            </w:r>
            <w:r>
              <w:rPr>
                <w:rFonts w:ascii="仿宋" w:hAnsi="仿宋" w:eastAsia="仿宋" w:cs="仿宋"/>
                <w:spacing w:val="10"/>
                <w:sz w:val="20"/>
                <w:szCs w:val="20"/>
              </w:rPr>
              <w:t>自然资源局关于准格</w:t>
            </w:r>
            <w:r>
              <w:rPr>
                <w:rFonts w:ascii="仿宋" w:hAnsi="仿宋" w:eastAsia="仿宋" w:cs="仿宋"/>
                <w:spacing w:val="7"/>
                <w:sz w:val="20"/>
                <w:szCs w:val="20"/>
              </w:rPr>
              <w:t>尔旗</w:t>
            </w:r>
            <w:r>
              <w:rPr>
                <w:rFonts w:ascii="仿宋" w:hAnsi="仿宋" w:eastAsia="仿宋" w:cs="仿宋"/>
                <w:spacing w:val="-41"/>
                <w:sz w:val="20"/>
                <w:szCs w:val="20"/>
              </w:rPr>
              <w:t xml:space="preserve"> </w:t>
            </w:r>
            <w:r>
              <w:rPr>
                <w:spacing w:val="7"/>
                <w:sz w:val="20"/>
                <w:szCs w:val="20"/>
              </w:rPr>
              <w:t>2025</w:t>
            </w:r>
            <w:r>
              <w:rPr>
                <w:spacing w:val="22"/>
                <w:w w:val="101"/>
                <w:sz w:val="20"/>
                <w:szCs w:val="20"/>
              </w:rPr>
              <w:t xml:space="preserve"> </w:t>
            </w:r>
            <w:r>
              <w:rPr>
                <w:rFonts w:ascii="仿宋" w:hAnsi="仿宋" w:eastAsia="仿宋" w:cs="仿宋"/>
                <w:spacing w:val="7"/>
                <w:sz w:val="20"/>
                <w:szCs w:val="20"/>
              </w:rPr>
              <w:t>年沙圪堵镇、十二连城乡自然村通硬化路工程征求意见的</w:t>
            </w:r>
            <w:r>
              <w:rPr>
                <w:rFonts w:ascii="仿宋" w:hAnsi="仿宋" w:eastAsia="仿宋" w:cs="仿宋"/>
                <w:spacing w:val="6"/>
                <w:sz w:val="20"/>
                <w:szCs w:val="20"/>
              </w:rPr>
              <w:t>复函》（准自然资</w:t>
            </w:r>
            <w:r>
              <w:rPr>
                <w:rFonts w:ascii="仿宋" w:hAnsi="仿宋" w:eastAsia="仿宋" w:cs="仿宋"/>
                <w:spacing w:val="7"/>
                <w:sz w:val="20"/>
                <w:szCs w:val="20"/>
              </w:rPr>
              <w:t>函〔</w:t>
            </w:r>
            <w:r>
              <w:rPr>
                <w:spacing w:val="7"/>
                <w:sz w:val="20"/>
                <w:szCs w:val="20"/>
              </w:rPr>
              <w:t>2025</w:t>
            </w:r>
            <w:r>
              <w:rPr>
                <w:rFonts w:ascii="仿宋" w:hAnsi="仿宋" w:eastAsia="仿宋" w:cs="仿宋"/>
                <w:spacing w:val="7"/>
                <w:sz w:val="20"/>
                <w:szCs w:val="20"/>
              </w:rPr>
              <w:t>〕</w:t>
            </w:r>
            <w:r>
              <w:rPr>
                <w:spacing w:val="7"/>
                <w:sz w:val="20"/>
                <w:szCs w:val="20"/>
              </w:rPr>
              <w:t>2372</w:t>
            </w:r>
            <w:r>
              <w:rPr>
                <w:spacing w:val="21"/>
                <w:w w:val="101"/>
                <w:sz w:val="20"/>
                <w:szCs w:val="20"/>
              </w:rPr>
              <w:t xml:space="preserve"> </w:t>
            </w:r>
            <w:r>
              <w:rPr>
                <w:rFonts w:ascii="仿宋" w:hAnsi="仿宋" w:eastAsia="仿宋" w:cs="仿宋"/>
                <w:spacing w:val="7"/>
                <w:sz w:val="20"/>
                <w:szCs w:val="20"/>
              </w:rPr>
              <w:t>号</w:t>
            </w:r>
            <w:r>
              <w:rPr>
                <w:rFonts w:ascii="仿宋" w:hAnsi="仿宋" w:eastAsia="仿宋" w:cs="仿宋"/>
                <w:spacing w:val="26"/>
                <w:sz w:val="20"/>
                <w:szCs w:val="20"/>
              </w:rPr>
              <w:t>），</w:t>
            </w:r>
            <w:r>
              <w:rPr>
                <w:rFonts w:ascii="仿宋" w:hAnsi="仿宋" w:eastAsia="仿宋" w:cs="仿宋"/>
                <w:spacing w:val="7"/>
                <w:sz w:val="20"/>
                <w:szCs w:val="20"/>
              </w:rPr>
              <w:t>项目用地未涉及生态保护红线、永久基本农田，符合国土空间管控相关要求；依据《准格尔旗文物局关于准格尔旗</w:t>
            </w:r>
            <w:r>
              <w:rPr>
                <w:rFonts w:ascii="仿宋" w:hAnsi="仿宋" w:eastAsia="仿宋" w:cs="仿宋"/>
                <w:spacing w:val="-43"/>
                <w:sz w:val="20"/>
                <w:szCs w:val="20"/>
              </w:rPr>
              <w:t xml:space="preserve"> </w:t>
            </w:r>
            <w:r>
              <w:rPr>
                <w:spacing w:val="7"/>
                <w:sz w:val="20"/>
                <w:szCs w:val="20"/>
              </w:rPr>
              <w:t>2025</w:t>
            </w:r>
            <w:r>
              <w:rPr>
                <w:spacing w:val="22"/>
                <w:w w:val="101"/>
                <w:sz w:val="20"/>
                <w:szCs w:val="20"/>
              </w:rPr>
              <w:t xml:space="preserve"> </w:t>
            </w:r>
            <w:r>
              <w:rPr>
                <w:rFonts w:ascii="仿宋" w:hAnsi="仿宋" w:eastAsia="仿宋" w:cs="仿宋"/>
                <w:spacing w:val="7"/>
                <w:sz w:val="20"/>
                <w:szCs w:val="20"/>
              </w:rPr>
              <w:t>年沙圪堵镇、</w:t>
            </w:r>
            <w:r>
              <w:rPr>
                <w:rFonts w:ascii="仿宋" w:hAnsi="仿宋" w:eastAsia="仿宋" w:cs="仿宋"/>
                <w:spacing w:val="6"/>
                <w:sz w:val="20"/>
                <w:szCs w:val="20"/>
              </w:rPr>
              <w:t>十二连城乡自</w:t>
            </w:r>
            <w:r>
              <w:rPr>
                <w:rFonts w:ascii="仿宋" w:hAnsi="仿宋" w:eastAsia="仿宋" w:cs="仿宋"/>
                <w:spacing w:val="8"/>
                <w:sz w:val="20"/>
                <w:szCs w:val="20"/>
              </w:rPr>
              <w:t>然村通硬化路的复函》（准文物函〔</w:t>
            </w:r>
            <w:r>
              <w:rPr>
                <w:spacing w:val="8"/>
                <w:sz w:val="20"/>
                <w:szCs w:val="20"/>
              </w:rPr>
              <w:t>2025</w:t>
            </w:r>
            <w:r>
              <w:rPr>
                <w:rFonts w:ascii="仿宋" w:hAnsi="仿宋" w:eastAsia="仿宋" w:cs="仿宋"/>
                <w:spacing w:val="8"/>
                <w:sz w:val="20"/>
                <w:szCs w:val="20"/>
              </w:rPr>
              <w:t>〕</w:t>
            </w:r>
            <w:r>
              <w:rPr>
                <w:spacing w:val="7"/>
                <w:sz w:val="20"/>
                <w:szCs w:val="20"/>
              </w:rPr>
              <w:t>1408</w:t>
            </w:r>
            <w:r>
              <w:rPr>
                <w:spacing w:val="20"/>
                <w:w w:val="101"/>
                <w:sz w:val="20"/>
                <w:szCs w:val="20"/>
              </w:rPr>
              <w:t xml:space="preserve"> </w:t>
            </w:r>
            <w:r>
              <w:rPr>
                <w:rFonts w:ascii="仿宋" w:hAnsi="仿宋" w:eastAsia="仿宋" w:cs="仿宋"/>
                <w:spacing w:val="7"/>
                <w:sz w:val="20"/>
                <w:szCs w:val="20"/>
              </w:rPr>
              <w:t>号</w:t>
            </w:r>
            <w:r>
              <w:rPr>
                <w:rFonts w:ascii="仿宋" w:hAnsi="仿宋" w:eastAsia="仿宋" w:cs="仿宋"/>
                <w:spacing w:val="17"/>
                <w:sz w:val="20"/>
                <w:szCs w:val="20"/>
              </w:rPr>
              <w:t>），</w:t>
            </w:r>
            <w:r>
              <w:rPr>
                <w:rFonts w:ascii="仿宋" w:hAnsi="仿宋" w:eastAsia="仿宋" w:cs="仿宋"/>
                <w:spacing w:val="7"/>
                <w:sz w:val="20"/>
                <w:szCs w:val="20"/>
              </w:rPr>
              <w:t>建设范围内无文物普查登记遗</w:t>
            </w:r>
            <w:r>
              <w:rPr>
                <w:rFonts w:ascii="仿宋" w:hAnsi="仿宋" w:eastAsia="仿宋" w:cs="仿宋"/>
                <w:spacing w:val="11"/>
                <w:sz w:val="20"/>
                <w:szCs w:val="20"/>
              </w:rPr>
              <w:t>存，无文物保护相关制约因素；依据《鄂尔多斯市生态环境局准</w:t>
            </w:r>
            <w:r>
              <w:rPr>
                <w:rFonts w:ascii="仿宋" w:hAnsi="仿宋" w:eastAsia="仿宋" w:cs="仿宋"/>
                <w:spacing w:val="10"/>
                <w:sz w:val="20"/>
                <w:szCs w:val="20"/>
              </w:rPr>
              <w:t>格尔旗分局关于准格</w:t>
            </w:r>
            <w:r>
              <w:rPr>
                <w:rFonts w:ascii="仿宋" w:hAnsi="仿宋" w:eastAsia="仿宋" w:cs="仿宋"/>
                <w:spacing w:val="12"/>
                <w:sz w:val="20"/>
                <w:szCs w:val="20"/>
              </w:rPr>
              <w:t>尔旗</w:t>
            </w:r>
            <w:r>
              <w:rPr>
                <w:rFonts w:ascii="仿宋" w:hAnsi="仿宋" w:eastAsia="仿宋" w:cs="仿宋"/>
                <w:spacing w:val="-34"/>
                <w:sz w:val="20"/>
                <w:szCs w:val="20"/>
              </w:rPr>
              <w:t xml:space="preserve"> </w:t>
            </w:r>
            <w:r>
              <w:rPr>
                <w:spacing w:val="12"/>
                <w:sz w:val="20"/>
                <w:szCs w:val="20"/>
              </w:rPr>
              <w:t>2025</w:t>
            </w:r>
            <w:r>
              <w:rPr>
                <w:spacing w:val="24"/>
                <w:sz w:val="20"/>
                <w:szCs w:val="20"/>
              </w:rPr>
              <w:t xml:space="preserve"> </w:t>
            </w:r>
            <w:r>
              <w:rPr>
                <w:rFonts w:ascii="仿宋" w:hAnsi="仿宋" w:eastAsia="仿宋" w:cs="仿宋"/>
                <w:spacing w:val="12"/>
                <w:sz w:val="20"/>
                <w:szCs w:val="20"/>
              </w:rPr>
              <w:t>年沙圪堵镇、十二连城乡自然村通硬化路范围是否占用水源地保护区的复</w:t>
            </w:r>
            <w:r>
              <w:rPr>
                <w:rFonts w:ascii="仿宋" w:hAnsi="仿宋" w:eastAsia="仿宋" w:cs="仿宋"/>
                <w:spacing w:val="9"/>
                <w:sz w:val="20"/>
                <w:szCs w:val="20"/>
              </w:rPr>
              <w:t>函》</w:t>
            </w:r>
            <w:r>
              <w:rPr>
                <w:rFonts w:ascii="仿宋" w:hAnsi="仿宋" w:eastAsia="仿宋" w:cs="仿宋"/>
                <w:spacing w:val="-79"/>
                <w:sz w:val="20"/>
                <w:szCs w:val="20"/>
              </w:rPr>
              <w:t xml:space="preserve"> </w:t>
            </w:r>
            <w:r>
              <w:rPr>
                <w:rFonts w:ascii="仿宋" w:hAnsi="仿宋" w:eastAsia="仿宋" w:cs="仿宋"/>
                <w:spacing w:val="9"/>
                <w:sz w:val="20"/>
                <w:szCs w:val="20"/>
              </w:rPr>
              <w:t>（鄂环准函〔</w:t>
            </w:r>
            <w:r>
              <w:rPr>
                <w:spacing w:val="9"/>
                <w:sz w:val="20"/>
                <w:szCs w:val="20"/>
              </w:rPr>
              <w:t>2025</w:t>
            </w:r>
            <w:r>
              <w:rPr>
                <w:rFonts w:ascii="仿宋" w:hAnsi="仿宋" w:eastAsia="仿宋" w:cs="仿宋"/>
                <w:spacing w:val="9"/>
                <w:sz w:val="20"/>
                <w:szCs w:val="20"/>
              </w:rPr>
              <w:t>〕</w:t>
            </w:r>
            <w:r>
              <w:rPr>
                <w:spacing w:val="9"/>
                <w:sz w:val="20"/>
                <w:szCs w:val="20"/>
              </w:rPr>
              <w:t>339</w:t>
            </w:r>
            <w:r>
              <w:rPr>
                <w:spacing w:val="22"/>
                <w:w w:val="101"/>
                <w:sz w:val="20"/>
                <w:szCs w:val="20"/>
              </w:rPr>
              <w:t xml:space="preserve"> </w:t>
            </w:r>
            <w:r>
              <w:rPr>
                <w:rFonts w:ascii="仿宋" w:hAnsi="仿宋" w:eastAsia="仿宋" w:cs="仿宋"/>
                <w:spacing w:val="9"/>
                <w:sz w:val="20"/>
                <w:szCs w:val="20"/>
              </w:rPr>
              <w:t>号</w:t>
            </w:r>
            <w:r>
              <w:rPr>
                <w:rFonts w:ascii="仿宋" w:hAnsi="仿宋" w:eastAsia="仿宋" w:cs="仿宋"/>
                <w:spacing w:val="8"/>
                <w:sz w:val="20"/>
                <w:szCs w:val="20"/>
              </w:rPr>
              <w:t>）</w:t>
            </w:r>
            <w:r>
              <w:rPr>
                <w:rFonts w:ascii="仿宋" w:hAnsi="仿宋" w:eastAsia="仿宋" w:cs="仿宋"/>
                <w:spacing w:val="-56"/>
                <w:sz w:val="20"/>
                <w:szCs w:val="20"/>
              </w:rPr>
              <w:t xml:space="preserve"> </w:t>
            </w:r>
            <w:r>
              <w:rPr>
                <w:rFonts w:ascii="仿宋" w:hAnsi="仿宋" w:eastAsia="仿宋" w:cs="仿宋"/>
                <w:spacing w:val="8"/>
                <w:sz w:val="20"/>
                <w:szCs w:val="20"/>
              </w:rPr>
              <w:t>，</w:t>
            </w:r>
            <w:r>
              <w:rPr>
                <w:rFonts w:ascii="仿宋" w:hAnsi="仿宋" w:eastAsia="仿宋" w:cs="仿宋"/>
                <w:spacing w:val="9"/>
                <w:sz w:val="20"/>
                <w:szCs w:val="20"/>
              </w:rPr>
              <w:t>项目用地不涉及集中式饮用水水源地保护区，不</w:t>
            </w:r>
            <w:r>
              <w:rPr>
                <w:rFonts w:ascii="仿宋" w:hAnsi="仿宋" w:eastAsia="仿宋" w:cs="仿宋"/>
                <w:spacing w:val="7"/>
                <w:sz w:val="20"/>
                <w:szCs w:val="20"/>
              </w:rPr>
              <w:t>会对区域饮水安全造成影响。</w:t>
            </w:r>
          </w:p>
          <w:p w14:paraId="3EB4E6DE">
            <w:pPr>
              <w:pStyle w:val="6"/>
              <w:spacing w:line="228" w:lineRule="auto"/>
              <w:ind w:left="537"/>
              <w:rPr>
                <w:rFonts w:ascii="仿宋" w:hAnsi="仿宋" w:eastAsia="仿宋" w:cs="仿宋"/>
                <w:sz w:val="20"/>
                <w:szCs w:val="20"/>
              </w:rPr>
            </w:pPr>
            <w:r>
              <w:rPr>
                <w:rFonts w:ascii="仿宋" w:hAnsi="仿宋" w:eastAsia="仿宋" w:cs="仿宋"/>
                <w:spacing w:val="8"/>
                <w:sz w:val="20"/>
                <w:szCs w:val="20"/>
              </w:rPr>
              <w:t>（</w:t>
            </w:r>
            <w:r>
              <w:rPr>
                <w:spacing w:val="8"/>
                <w:sz w:val="20"/>
                <w:szCs w:val="20"/>
              </w:rPr>
              <w:t>1</w:t>
            </w:r>
            <w:r>
              <w:rPr>
                <w:rFonts w:ascii="仿宋" w:hAnsi="仿宋" w:eastAsia="仿宋" w:cs="仿宋"/>
                <w:spacing w:val="8"/>
                <w:sz w:val="20"/>
                <w:szCs w:val="20"/>
              </w:rPr>
              <w:t>）林地与基本草原占用合理性分析</w:t>
            </w:r>
          </w:p>
          <w:p w14:paraId="57757342">
            <w:pPr>
              <w:pStyle w:val="6"/>
              <w:spacing w:before="165" w:line="373" w:lineRule="auto"/>
              <w:ind w:left="113" w:right="102" w:firstLine="420"/>
              <w:rPr>
                <w:rFonts w:ascii="仿宋" w:hAnsi="仿宋" w:eastAsia="仿宋" w:cs="仿宋"/>
                <w:sz w:val="20"/>
                <w:szCs w:val="20"/>
              </w:rPr>
            </w:pPr>
            <w:r>
              <w:rPr>
                <w:rFonts w:ascii="仿宋" w:hAnsi="仿宋" w:eastAsia="仿宋" w:cs="仿宋"/>
                <w:spacing w:val="7"/>
                <w:sz w:val="20"/>
                <w:szCs w:val="20"/>
              </w:rPr>
              <w:t>根据《准格尔旗林业和草原局关于准格尔旗</w:t>
            </w:r>
            <w:r>
              <w:rPr>
                <w:rFonts w:ascii="仿宋" w:hAnsi="仿宋" w:eastAsia="仿宋" w:cs="仿宋"/>
                <w:spacing w:val="-41"/>
                <w:sz w:val="20"/>
                <w:szCs w:val="20"/>
              </w:rPr>
              <w:t xml:space="preserve"> </w:t>
            </w:r>
            <w:r>
              <w:rPr>
                <w:spacing w:val="7"/>
                <w:sz w:val="20"/>
                <w:szCs w:val="20"/>
              </w:rPr>
              <w:t>2025</w:t>
            </w:r>
            <w:r>
              <w:rPr>
                <w:spacing w:val="22"/>
                <w:w w:val="101"/>
                <w:sz w:val="20"/>
                <w:szCs w:val="20"/>
              </w:rPr>
              <w:t xml:space="preserve"> </w:t>
            </w:r>
            <w:r>
              <w:rPr>
                <w:rFonts w:ascii="仿宋" w:hAnsi="仿宋" w:eastAsia="仿宋" w:cs="仿宋"/>
                <w:spacing w:val="6"/>
                <w:sz w:val="20"/>
                <w:szCs w:val="20"/>
              </w:rPr>
              <w:t>年沙圪堵镇、十二连城乡自然村</w:t>
            </w:r>
            <w:r>
              <w:rPr>
                <w:rFonts w:ascii="仿宋" w:hAnsi="仿宋" w:eastAsia="仿宋" w:cs="仿宋"/>
                <w:spacing w:val="8"/>
                <w:sz w:val="20"/>
                <w:szCs w:val="20"/>
              </w:rPr>
              <w:t>通硬化路工程征求意见的复函》（准林草函〔</w:t>
            </w:r>
            <w:r>
              <w:rPr>
                <w:spacing w:val="8"/>
                <w:sz w:val="20"/>
                <w:szCs w:val="20"/>
              </w:rPr>
              <w:t>2025</w:t>
            </w:r>
            <w:r>
              <w:rPr>
                <w:rFonts w:ascii="仿宋" w:hAnsi="仿宋" w:eastAsia="仿宋" w:cs="仿宋"/>
                <w:spacing w:val="8"/>
                <w:sz w:val="20"/>
                <w:szCs w:val="20"/>
              </w:rPr>
              <w:t>〕</w:t>
            </w:r>
            <w:r>
              <w:rPr>
                <w:spacing w:val="8"/>
                <w:sz w:val="20"/>
                <w:szCs w:val="20"/>
              </w:rPr>
              <w:t>982</w:t>
            </w:r>
            <w:r>
              <w:rPr>
                <w:spacing w:val="21"/>
                <w:sz w:val="20"/>
                <w:szCs w:val="20"/>
              </w:rPr>
              <w:t xml:space="preserve"> </w:t>
            </w:r>
            <w:r>
              <w:rPr>
                <w:rFonts w:ascii="仿宋" w:hAnsi="仿宋" w:eastAsia="仿宋" w:cs="仿宋"/>
                <w:spacing w:val="8"/>
                <w:sz w:val="20"/>
                <w:szCs w:val="20"/>
              </w:rPr>
              <w:t>号</w:t>
            </w:r>
            <w:r>
              <w:rPr>
                <w:rFonts w:ascii="仿宋" w:hAnsi="仿宋" w:eastAsia="仿宋" w:cs="仿宋"/>
                <w:spacing w:val="4"/>
                <w:sz w:val="20"/>
                <w:szCs w:val="20"/>
              </w:rPr>
              <w:t>）</w:t>
            </w:r>
            <w:r>
              <w:rPr>
                <w:rFonts w:ascii="仿宋" w:hAnsi="仿宋" w:eastAsia="仿宋" w:cs="仿宋"/>
                <w:spacing w:val="-58"/>
                <w:sz w:val="20"/>
                <w:szCs w:val="20"/>
              </w:rPr>
              <w:t xml:space="preserve"> </w:t>
            </w:r>
            <w:r>
              <w:rPr>
                <w:rFonts w:ascii="仿宋" w:hAnsi="仿宋" w:eastAsia="仿宋" w:cs="仿宋"/>
                <w:spacing w:val="4"/>
                <w:sz w:val="20"/>
                <w:szCs w:val="20"/>
              </w:rPr>
              <w:t>，</w:t>
            </w:r>
            <w:r>
              <w:rPr>
                <w:rFonts w:ascii="仿宋" w:hAnsi="仿宋" w:eastAsia="仿宋" w:cs="仿宋"/>
                <w:spacing w:val="8"/>
                <w:sz w:val="20"/>
                <w:szCs w:val="20"/>
              </w:rPr>
              <w:t>本项目不涉及</w:t>
            </w:r>
            <w:r>
              <w:rPr>
                <w:spacing w:val="8"/>
                <w:sz w:val="20"/>
                <w:szCs w:val="20"/>
              </w:rPr>
              <w:t>Ⅰ</w:t>
            </w:r>
            <w:r>
              <w:rPr>
                <w:rFonts w:ascii="仿宋" w:hAnsi="仿宋" w:eastAsia="仿宋" w:cs="仿宋"/>
                <w:spacing w:val="8"/>
                <w:sz w:val="20"/>
                <w:szCs w:val="20"/>
              </w:rPr>
              <w:t>级保护</w:t>
            </w:r>
            <w:r>
              <w:rPr>
                <w:rFonts w:ascii="仿宋" w:hAnsi="仿宋" w:eastAsia="仿宋" w:cs="仿宋"/>
                <w:spacing w:val="7"/>
                <w:sz w:val="20"/>
                <w:szCs w:val="20"/>
              </w:rPr>
              <w:t>林地，仅占用</w:t>
            </w:r>
            <w:r>
              <w:rPr>
                <w:spacing w:val="7"/>
                <w:sz w:val="20"/>
                <w:szCs w:val="20"/>
              </w:rPr>
              <w:t>Ⅱ</w:t>
            </w:r>
            <w:r>
              <w:rPr>
                <w:rFonts w:ascii="仿宋" w:hAnsi="仿宋" w:eastAsia="仿宋" w:cs="仿宋"/>
                <w:spacing w:val="7"/>
                <w:sz w:val="20"/>
                <w:szCs w:val="20"/>
              </w:rPr>
              <w:t>级、</w:t>
            </w:r>
            <w:r>
              <w:rPr>
                <w:spacing w:val="7"/>
                <w:sz w:val="20"/>
                <w:szCs w:val="20"/>
              </w:rPr>
              <w:t>Ⅲ</w:t>
            </w:r>
            <w:r>
              <w:rPr>
                <w:rFonts w:ascii="仿宋" w:hAnsi="仿宋" w:eastAsia="仿宋" w:cs="仿宋"/>
                <w:spacing w:val="7"/>
                <w:sz w:val="20"/>
                <w:szCs w:val="20"/>
              </w:rPr>
              <w:t>级、</w:t>
            </w:r>
            <w:r>
              <w:rPr>
                <w:spacing w:val="7"/>
                <w:sz w:val="20"/>
                <w:szCs w:val="20"/>
              </w:rPr>
              <w:t>Ⅳ</w:t>
            </w:r>
            <w:r>
              <w:rPr>
                <w:rFonts w:ascii="仿宋" w:hAnsi="仿宋" w:eastAsia="仿宋" w:cs="仿宋"/>
                <w:spacing w:val="7"/>
                <w:sz w:val="20"/>
                <w:szCs w:val="20"/>
              </w:rPr>
              <w:t>级保护林地及部分基本草原，林草主管部门已原则同意本次项目林草占用方案。结合</w:t>
            </w:r>
            <w:r>
              <w:rPr>
                <w:rFonts w:ascii="仿宋" w:hAnsi="仿宋" w:eastAsia="仿宋" w:cs="仿宋"/>
                <w:spacing w:val="-43"/>
                <w:sz w:val="20"/>
                <w:szCs w:val="20"/>
              </w:rPr>
              <w:t xml:space="preserve"> </w:t>
            </w:r>
            <w:r>
              <w:rPr>
                <w:spacing w:val="7"/>
                <w:sz w:val="20"/>
                <w:szCs w:val="20"/>
              </w:rPr>
              <w:t>2024</w:t>
            </w:r>
            <w:r>
              <w:rPr>
                <w:spacing w:val="19"/>
                <w:w w:val="101"/>
                <w:sz w:val="20"/>
                <w:szCs w:val="20"/>
              </w:rPr>
              <w:t xml:space="preserve"> </w:t>
            </w:r>
            <w:r>
              <w:rPr>
                <w:rFonts w:ascii="仿宋" w:hAnsi="仿宋" w:eastAsia="仿宋" w:cs="仿宋"/>
                <w:spacing w:val="7"/>
                <w:sz w:val="20"/>
                <w:szCs w:val="20"/>
              </w:rPr>
              <w:t>年度国土变更调查成果、国家级公益林矢量数据、森</w:t>
            </w:r>
            <w:r>
              <w:rPr>
                <w:rFonts w:ascii="仿宋" w:hAnsi="仿宋" w:eastAsia="仿宋" w:cs="仿宋"/>
                <w:spacing w:val="11"/>
                <w:sz w:val="20"/>
                <w:szCs w:val="20"/>
              </w:rPr>
              <w:t>林草原湿地荒漠化普查成果及《内蒙古自治区林业厅关于进一步规</w:t>
            </w:r>
            <w:r>
              <w:rPr>
                <w:rFonts w:ascii="仿宋" w:hAnsi="仿宋" w:eastAsia="仿宋" w:cs="仿宋"/>
                <w:spacing w:val="10"/>
                <w:sz w:val="20"/>
                <w:szCs w:val="20"/>
              </w:rPr>
              <w:t>范建设项目使用林</w:t>
            </w:r>
          </w:p>
        </w:tc>
      </w:tr>
    </w:tbl>
    <w:p w14:paraId="66C62493">
      <w:pPr>
        <w:pStyle w:val="2"/>
        <w:rPr>
          <w:sz w:val="21"/>
        </w:rPr>
      </w:pPr>
    </w:p>
    <w:p w14:paraId="722939BF">
      <w:pPr>
        <w:rPr>
          <w:sz w:val="21"/>
          <w:szCs w:val="21"/>
        </w:rPr>
        <w:sectPr>
          <w:footerReference r:id="rId62" w:type="default"/>
          <w:pgSz w:w="11907" w:h="16840"/>
          <w:pgMar w:top="400" w:right="1598" w:bottom="1446" w:left="1598" w:header="0" w:footer="1284" w:gutter="0"/>
          <w:cols w:space="720" w:num="1"/>
        </w:sectPr>
      </w:pPr>
    </w:p>
    <w:p w14:paraId="0E1F354C">
      <w:pPr>
        <w:spacing w:before="19"/>
      </w:pPr>
    </w:p>
    <w:p w14:paraId="24F8FAC6">
      <w:pPr>
        <w:spacing w:before="19"/>
      </w:pPr>
    </w:p>
    <w:p w14:paraId="54C5F300">
      <w:pPr>
        <w:spacing w:before="18"/>
      </w:pPr>
    </w:p>
    <w:p w14:paraId="4DE28083">
      <w:pPr>
        <w:spacing w:before="18"/>
      </w:pPr>
    </w:p>
    <w:tbl>
      <w:tblPr>
        <w:tblStyle w:val="5"/>
        <w:tblW w:w="869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68"/>
        <w:gridCol w:w="8027"/>
      </w:tblGrid>
      <w:tr w14:paraId="7E6322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498" w:hRule="atLeast"/>
        </w:trPr>
        <w:tc>
          <w:tcPr>
            <w:tcW w:w="668" w:type="dxa"/>
            <w:tcBorders>
              <w:right w:val="single" w:color="000000" w:sz="2" w:space="0"/>
            </w:tcBorders>
            <w:vAlign w:val="top"/>
          </w:tcPr>
          <w:p w14:paraId="77EE52FF">
            <w:pPr>
              <w:rPr>
                <w:rFonts w:ascii="Arial"/>
                <w:sz w:val="21"/>
              </w:rPr>
            </w:pPr>
          </w:p>
        </w:tc>
        <w:tc>
          <w:tcPr>
            <w:tcW w:w="8027" w:type="dxa"/>
            <w:tcBorders>
              <w:left w:val="single" w:color="000000" w:sz="2" w:space="0"/>
            </w:tcBorders>
            <w:vAlign w:val="top"/>
          </w:tcPr>
          <w:p w14:paraId="7309CA78">
            <w:pPr>
              <w:pStyle w:val="6"/>
              <w:spacing w:before="28" w:line="376" w:lineRule="auto"/>
              <w:ind w:left="113" w:right="102"/>
              <w:jc w:val="both"/>
              <w:rPr>
                <w:rFonts w:ascii="仿宋" w:hAnsi="仿宋" w:eastAsia="仿宋" w:cs="仿宋"/>
                <w:sz w:val="20"/>
                <w:szCs w:val="20"/>
              </w:rPr>
            </w:pPr>
            <w:r>
              <w:rPr>
                <w:rFonts w:ascii="仿宋" w:hAnsi="仿宋" w:eastAsia="仿宋" w:cs="仿宋"/>
                <w:spacing w:val="8"/>
                <w:sz w:val="20"/>
                <w:szCs w:val="20"/>
              </w:rPr>
              <w:t>地审核管理工作的通知》（内林资发〔</w:t>
            </w:r>
            <w:r>
              <w:rPr>
                <w:spacing w:val="8"/>
                <w:sz w:val="20"/>
                <w:szCs w:val="20"/>
              </w:rPr>
              <w:t>2019</w:t>
            </w:r>
            <w:r>
              <w:rPr>
                <w:rFonts w:ascii="仿宋" w:hAnsi="仿宋" w:eastAsia="仿宋" w:cs="仿宋"/>
                <w:spacing w:val="8"/>
                <w:sz w:val="20"/>
                <w:szCs w:val="20"/>
              </w:rPr>
              <w:t>〕</w:t>
            </w:r>
            <w:r>
              <w:rPr>
                <w:spacing w:val="8"/>
                <w:sz w:val="20"/>
                <w:szCs w:val="20"/>
              </w:rPr>
              <w:t>25</w:t>
            </w:r>
            <w:r>
              <w:rPr>
                <w:spacing w:val="28"/>
                <w:w w:val="101"/>
                <w:sz w:val="20"/>
                <w:szCs w:val="20"/>
              </w:rPr>
              <w:t xml:space="preserve"> </w:t>
            </w:r>
            <w:r>
              <w:rPr>
                <w:rFonts w:ascii="仿宋" w:hAnsi="仿宋" w:eastAsia="仿宋" w:cs="仿宋"/>
                <w:spacing w:val="8"/>
                <w:sz w:val="20"/>
                <w:szCs w:val="20"/>
              </w:rPr>
              <w:t>号）相关界定，项目共计占用基本草</w:t>
            </w:r>
            <w:r>
              <w:rPr>
                <w:rFonts w:ascii="仿宋" w:hAnsi="仿宋" w:eastAsia="仿宋" w:cs="仿宋"/>
                <w:spacing w:val="6"/>
                <w:sz w:val="20"/>
                <w:szCs w:val="20"/>
              </w:rPr>
              <w:t>原</w:t>
            </w:r>
            <w:r>
              <w:rPr>
                <w:rFonts w:ascii="仿宋" w:hAnsi="仿宋" w:eastAsia="仿宋" w:cs="仿宋"/>
                <w:spacing w:val="-37"/>
                <w:sz w:val="20"/>
                <w:szCs w:val="20"/>
              </w:rPr>
              <w:t xml:space="preserve"> </w:t>
            </w:r>
            <w:r>
              <w:rPr>
                <w:spacing w:val="6"/>
                <w:sz w:val="20"/>
                <w:szCs w:val="20"/>
              </w:rPr>
              <w:t>0.1797</w:t>
            </w:r>
            <w:r>
              <w:rPr>
                <w:spacing w:val="27"/>
                <w:sz w:val="20"/>
                <w:szCs w:val="20"/>
              </w:rPr>
              <w:t xml:space="preserve"> </w:t>
            </w:r>
            <w:r>
              <w:rPr>
                <w:rFonts w:ascii="仿宋" w:hAnsi="仿宋" w:eastAsia="仿宋" w:cs="仿宋"/>
                <w:spacing w:val="6"/>
                <w:sz w:val="20"/>
                <w:szCs w:val="20"/>
              </w:rPr>
              <w:t>公顷，其中天然牧草地</w:t>
            </w:r>
            <w:r>
              <w:rPr>
                <w:rFonts w:ascii="仿宋" w:hAnsi="仿宋" w:eastAsia="仿宋" w:cs="仿宋"/>
                <w:spacing w:val="-38"/>
                <w:sz w:val="20"/>
                <w:szCs w:val="20"/>
              </w:rPr>
              <w:t xml:space="preserve"> </w:t>
            </w:r>
            <w:r>
              <w:rPr>
                <w:spacing w:val="6"/>
                <w:sz w:val="20"/>
                <w:szCs w:val="20"/>
              </w:rPr>
              <w:t>0.0761</w:t>
            </w:r>
            <w:r>
              <w:rPr>
                <w:spacing w:val="25"/>
                <w:sz w:val="20"/>
                <w:szCs w:val="20"/>
              </w:rPr>
              <w:t xml:space="preserve"> </w:t>
            </w:r>
            <w:r>
              <w:rPr>
                <w:rFonts w:ascii="仿宋" w:hAnsi="仿宋" w:eastAsia="仿宋" w:cs="仿宋"/>
                <w:spacing w:val="6"/>
                <w:sz w:val="20"/>
                <w:szCs w:val="20"/>
              </w:rPr>
              <w:t>公顷、其他草地</w:t>
            </w:r>
            <w:r>
              <w:rPr>
                <w:rFonts w:ascii="仿宋" w:hAnsi="仿宋" w:eastAsia="仿宋" w:cs="仿宋"/>
                <w:spacing w:val="-35"/>
                <w:sz w:val="20"/>
                <w:szCs w:val="20"/>
              </w:rPr>
              <w:t xml:space="preserve"> </w:t>
            </w:r>
            <w:r>
              <w:rPr>
                <w:spacing w:val="6"/>
                <w:sz w:val="20"/>
                <w:szCs w:val="20"/>
              </w:rPr>
              <w:t>0.1036</w:t>
            </w:r>
            <w:r>
              <w:rPr>
                <w:spacing w:val="24"/>
                <w:sz w:val="20"/>
                <w:szCs w:val="20"/>
              </w:rPr>
              <w:t xml:space="preserve"> </w:t>
            </w:r>
            <w:r>
              <w:rPr>
                <w:rFonts w:ascii="仿宋" w:hAnsi="仿宋" w:eastAsia="仿宋" w:cs="仿宋"/>
                <w:spacing w:val="6"/>
                <w:sz w:val="20"/>
                <w:szCs w:val="20"/>
              </w:rPr>
              <w:t>公顷；</w:t>
            </w:r>
            <w:r>
              <w:rPr>
                <w:rFonts w:ascii="仿宋" w:hAnsi="仿宋" w:eastAsia="仿宋" w:cs="仿宋"/>
                <w:spacing w:val="-39"/>
                <w:sz w:val="20"/>
                <w:szCs w:val="20"/>
              </w:rPr>
              <w:t xml:space="preserve"> </w:t>
            </w:r>
            <w:r>
              <w:rPr>
                <w:rFonts w:ascii="仿宋" w:hAnsi="仿宋" w:eastAsia="仿宋" w:cs="仿宋"/>
                <w:spacing w:val="6"/>
                <w:sz w:val="20"/>
                <w:szCs w:val="20"/>
              </w:rPr>
              <w:t>占用各类保护</w:t>
            </w:r>
            <w:r>
              <w:rPr>
                <w:rFonts w:ascii="仿宋" w:hAnsi="仿宋" w:eastAsia="仿宋" w:cs="仿宋"/>
                <w:spacing w:val="8"/>
                <w:sz w:val="20"/>
                <w:szCs w:val="20"/>
              </w:rPr>
              <w:t>林地</w:t>
            </w:r>
            <w:r>
              <w:rPr>
                <w:rFonts w:ascii="仿宋" w:hAnsi="仿宋" w:eastAsia="仿宋" w:cs="仿宋"/>
                <w:spacing w:val="-10"/>
                <w:sz w:val="20"/>
                <w:szCs w:val="20"/>
              </w:rPr>
              <w:t xml:space="preserve"> </w:t>
            </w:r>
            <w:r>
              <w:rPr>
                <w:spacing w:val="8"/>
                <w:sz w:val="20"/>
                <w:szCs w:val="20"/>
              </w:rPr>
              <w:t>1.9488</w:t>
            </w:r>
            <w:r>
              <w:rPr>
                <w:spacing w:val="22"/>
                <w:w w:val="101"/>
                <w:sz w:val="20"/>
                <w:szCs w:val="20"/>
              </w:rPr>
              <w:t xml:space="preserve"> </w:t>
            </w:r>
            <w:r>
              <w:rPr>
                <w:rFonts w:ascii="仿宋" w:hAnsi="仿宋" w:eastAsia="仿宋" w:cs="仿宋"/>
                <w:spacing w:val="8"/>
                <w:sz w:val="20"/>
                <w:szCs w:val="20"/>
              </w:rPr>
              <w:t>公顷，包括</w:t>
            </w:r>
            <w:r>
              <w:rPr>
                <w:spacing w:val="8"/>
                <w:sz w:val="20"/>
                <w:szCs w:val="20"/>
              </w:rPr>
              <w:t>Ⅱ</w:t>
            </w:r>
            <w:r>
              <w:rPr>
                <w:rFonts w:ascii="仿宋" w:hAnsi="仿宋" w:eastAsia="仿宋" w:cs="仿宋"/>
                <w:spacing w:val="8"/>
                <w:sz w:val="20"/>
                <w:szCs w:val="20"/>
              </w:rPr>
              <w:t>级保护林地（国家二级公益林）</w:t>
            </w:r>
            <w:r>
              <w:rPr>
                <w:spacing w:val="8"/>
                <w:sz w:val="20"/>
                <w:szCs w:val="20"/>
              </w:rPr>
              <w:t>0.6446</w:t>
            </w:r>
            <w:r>
              <w:rPr>
                <w:spacing w:val="22"/>
                <w:sz w:val="20"/>
                <w:szCs w:val="20"/>
              </w:rPr>
              <w:t xml:space="preserve"> </w:t>
            </w:r>
            <w:r>
              <w:rPr>
                <w:rFonts w:ascii="仿宋" w:hAnsi="仿宋" w:eastAsia="仿宋" w:cs="仿宋"/>
                <w:spacing w:val="8"/>
                <w:sz w:val="20"/>
                <w:szCs w:val="20"/>
              </w:rPr>
              <w:t>公顷、</w:t>
            </w:r>
            <w:r>
              <w:rPr>
                <w:spacing w:val="8"/>
                <w:sz w:val="20"/>
                <w:szCs w:val="20"/>
              </w:rPr>
              <w:t>Ⅲ</w:t>
            </w:r>
            <w:r>
              <w:rPr>
                <w:rFonts w:ascii="仿宋" w:hAnsi="仿宋" w:eastAsia="仿宋" w:cs="仿宋"/>
                <w:spacing w:val="8"/>
                <w:sz w:val="20"/>
                <w:szCs w:val="20"/>
              </w:rPr>
              <w:t>级保护林地</w:t>
            </w:r>
            <w:r>
              <w:rPr>
                <w:rFonts w:ascii="仿宋" w:hAnsi="仿宋" w:eastAsia="仿宋" w:cs="仿宋"/>
                <w:spacing w:val="6"/>
                <w:sz w:val="20"/>
                <w:szCs w:val="20"/>
              </w:rPr>
              <w:t>（地方公益林）</w:t>
            </w:r>
            <w:r>
              <w:rPr>
                <w:spacing w:val="6"/>
                <w:sz w:val="20"/>
                <w:szCs w:val="20"/>
              </w:rPr>
              <w:t>1.1912</w:t>
            </w:r>
            <w:r>
              <w:rPr>
                <w:spacing w:val="36"/>
                <w:sz w:val="20"/>
                <w:szCs w:val="20"/>
              </w:rPr>
              <w:t xml:space="preserve"> </w:t>
            </w:r>
            <w:r>
              <w:rPr>
                <w:rFonts w:ascii="仿宋" w:hAnsi="仿宋" w:eastAsia="仿宋" w:cs="仿宋"/>
                <w:spacing w:val="6"/>
                <w:sz w:val="20"/>
                <w:szCs w:val="20"/>
              </w:rPr>
              <w:t>公顷、</w:t>
            </w:r>
            <w:r>
              <w:rPr>
                <w:spacing w:val="6"/>
                <w:sz w:val="20"/>
                <w:szCs w:val="20"/>
              </w:rPr>
              <w:t>Ⅳ</w:t>
            </w:r>
            <w:r>
              <w:rPr>
                <w:rFonts w:ascii="仿宋" w:hAnsi="仿宋" w:eastAsia="仿宋" w:cs="仿宋"/>
                <w:spacing w:val="6"/>
                <w:sz w:val="20"/>
                <w:szCs w:val="20"/>
              </w:rPr>
              <w:t>级保护林地（一般商品林）</w:t>
            </w:r>
            <w:r>
              <w:rPr>
                <w:spacing w:val="6"/>
                <w:sz w:val="20"/>
                <w:szCs w:val="20"/>
              </w:rPr>
              <w:t>0.1130</w:t>
            </w:r>
            <w:r>
              <w:rPr>
                <w:spacing w:val="19"/>
                <w:w w:val="101"/>
                <w:sz w:val="20"/>
                <w:szCs w:val="20"/>
              </w:rPr>
              <w:t xml:space="preserve"> </w:t>
            </w:r>
            <w:r>
              <w:rPr>
                <w:rFonts w:ascii="仿宋" w:hAnsi="仿宋" w:eastAsia="仿宋" w:cs="仿宋"/>
                <w:spacing w:val="6"/>
                <w:sz w:val="20"/>
                <w:szCs w:val="20"/>
              </w:rPr>
              <w:t>公顷。</w:t>
            </w:r>
          </w:p>
          <w:p w14:paraId="34A9D7AC">
            <w:pPr>
              <w:pStyle w:val="6"/>
              <w:spacing w:before="1" w:line="377" w:lineRule="auto"/>
              <w:ind w:left="104" w:right="37" w:firstLine="428"/>
              <w:jc w:val="both"/>
              <w:rPr>
                <w:rFonts w:ascii="仿宋" w:hAnsi="仿宋" w:eastAsia="仿宋" w:cs="仿宋"/>
                <w:sz w:val="20"/>
                <w:szCs w:val="20"/>
              </w:rPr>
            </w:pPr>
            <w:r>
              <w:rPr>
                <w:rFonts w:ascii="仿宋" w:hAnsi="仿宋" w:eastAsia="仿宋" w:cs="仿宋"/>
                <w:spacing w:val="9"/>
                <w:sz w:val="20"/>
                <w:szCs w:val="20"/>
              </w:rPr>
              <w:t>林地占用方面，依据《建设项目使用林地审核审批管理办法</w:t>
            </w:r>
            <w:r>
              <w:rPr>
                <w:rFonts w:ascii="仿宋" w:hAnsi="仿宋" w:eastAsia="仿宋" w:cs="仿宋"/>
                <w:spacing w:val="8"/>
                <w:sz w:val="20"/>
                <w:szCs w:val="20"/>
              </w:rPr>
              <w:t>》（国家林业局第</w:t>
            </w:r>
            <w:r>
              <w:rPr>
                <w:rFonts w:ascii="仿宋" w:hAnsi="仿宋" w:eastAsia="仿宋" w:cs="仿宋"/>
                <w:spacing w:val="-36"/>
                <w:sz w:val="20"/>
                <w:szCs w:val="20"/>
              </w:rPr>
              <w:t xml:space="preserve"> </w:t>
            </w:r>
            <w:r>
              <w:rPr>
                <w:spacing w:val="8"/>
                <w:sz w:val="20"/>
                <w:szCs w:val="20"/>
              </w:rPr>
              <w:t>35</w:t>
            </w:r>
            <w:r>
              <w:rPr>
                <w:rFonts w:ascii="仿宋" w:hAnsi="仿宋" w:eastAsia="仿宋" w:cs="仿宋"/>
                <w:spacing w:val="7"/>
                <w:sz w:val="20"/>
                <w:szCs w:val="20"/>
              </w:rPr>
              <w:t>号令）规定，符合乡村规划的乡村基础设施项目，可依法占用</w:t>
            </w:r>
            <w:r>
              <w:rPr>
                <w:spacing w:val="7"/>
                <w:sz w:val="20"/>
                <w:szCs w:val="20"/>
              </w:rPr>
              <w:t>Ⅱ</w:t>
            </w:r>
            <w:r>
              <w:rPr>
                <w:rFonts w:ascii="仿宋" w:hAnsi="仿宋" w:eastAsia="仿宋" w:cs="仿宋"/>
                <w:spacing w:val="7"/>
                <w:sz w:val="20"/>
                <w:szCs w:val="20"/>
              </w:rPr>
              <w:t>级及以下保护林地。本</w:t>
            </w:r>
            <w:r>
              <w:rPr>
                <w:rFonts w:ascii="仿宋" w:hAnsi="仿宋" w:eastAsia="仿宋" w:cs="仿宋"/>
                <w:spacing w:val="4"/>
                <w:sz w:val="20"/>
                <w:szCs w:val="20"/>
              </w:rPr>
              <w:t>项目属于公益性乡村交通基础设施工程，契合当地乡村整体发展规划，占用</w:t>
            </w:r>
            <w:r>
              <w:rPr>
                <w:spacing w:val="4"/>
                <w:sz w:val="20"/>
                <w:szCs w:val="20"/>
              </w:rPr>
              <w:t>Ⅱ</w:t>
            </w:r>
            <w:r>
              <w:rPr>
                <w:rFonts w:ascii="仿宋" w:hAnsi="仿宋" w:eastAsia="仿宋" w:cs="仿宋"/>
                <w:spacing w:val="4"/>
                <w:sz w:val="20"/>
                <w:szCs w:val="20"/>
              </w:rPr>
              <w:t>级</w:t>
            </w:r>
            <w:r>
              <w:rPr>
                <w:rFonts w:ascii="仿宋" w:hAnsi="仿宋" w:eastAsia="仿宋" w:cs="仿宋"/>
                <w:spacing w:val="3"/>
                <w:sz w:val="20"/>
                <w:szCs w:val="20"/>
              </w:rPr>
              <w:t>、</w:t>
            </w:r>
            <w:r>
              <w:rPr>
                <w:spacing w:val="3"/>
                <w:sz w:val="20"/>
                <w:szCs w:val="20"/>
              </w:rPr>
              <w:t>Ⅲ</w:t>
            </w:r>
            <w:r>
              <w:rPr>
                <w:rFonts w:ascii="仿宋" w:hAnsi="仿宋" w:eastAsia="仿宋" w:cs="仿宋"/>
                <w:spacing w:val="3"/>
                <w:sz w:val="20"/>
                <w:szCs w:val="20"/>
              </w:rPr>
              <w:t>级、</w:t>
            </w:r>
            <w:r>
              <w:rPr>
                <w:rFonts w:ascii="仿宋" w:hAnsi="仿宋" w:eastAsia="仿宋" w:cs="仿宋"/>
                <w:sz w:val="20"/>
                <w:szCs w:val="20"/>
              </w:rPr>
              <w:t xml:space="preserve"> </w:t>
            </w:r>
            <w:r>
              <w:rPr>
                <w:spacing w:val="11"/>
                <w:sz w:val="20"/>
                <w:szCs w:val="20"/>
              </w:rPr>
              <w:t>Ⅳ</w:t>
            </w:r>
            <w:r>
              <w:rPr>
                <w:rFonts w:ascii="仿宋" w:hAnsi="仿宋" w:eastAsia="仿宋" w:cs="仿宋"/>
                <w:spacing w:val="11"/>
                <w:sz w:val="20"/>
                <w:szCs w:val="20"/>
              </w:rPr>
              <w:t>级保护林地符合现行林地管理政策。项目开工前，建设单位将严格履行法定程序，完整办理林地使用审批手续，并按照《关于调整森林植被恢复费征收标准引导节约利用林地的通知》</w:t>
            </w:r>
            <w:r>
              <w:rPr>
                <w:rFonts w:ascii="仿宋" w:hAnsi="仿宋" w:eastAsia="仿宋" w:cs="仿宋"/>
                <w:spacing w:val="-77"/>
                <w:sz w:val="20"/>
                <w:szCs w:val="20"/>
              </w:rPr>
              <w:t xml:space="preserve"> </w:t>
            </w:r>
            <w:r>
              <w:rPr>
                <w:rFonts w:ascii="仿宋" w:hAnsi="仿宋" w:eastAsia="仿宋" w:cs="仿宋"/>
                <w:spacing w:val="11"/>
                <w:sz w:val="20"/>
                <w:szCs w:val="20"/>
              </w:rPr>
              <w:t>（内财非税〔</w:t>
            </w:r>
            <w:r>
              <w:rPr>
                <w:spacing w:val="11"/>
                <w:sz w:val="20"/>
                <w:szCs w:val="20"/>
              </w:rPr>
              <w:t>2016</w:t>
            </w:r>
            <w:r>
              <w:rPr>
                <w:rFonts w:ascii="仿宋" w:hAnsi="仿宋" w:eastAsia="仿宋" w:cs="仿宋"/>
                <w:spacing w:val="11"/>
                <w:sz w:val="20"/>
                <w:szCs w:val="20"/>
              </w:rPr>
              <w:t>〕</w:t>
            </w:r>
            <w:r>
              <w:rPr>
                <w:spacing w:val="11"/>
                <w:sz w:val="20"/>
                <w:szCs w:val="20"/>
              </w:rPr>
              <w:t>375</w:t>
            </w:r>
            <w:r>
              <w:rPr>
                <w:spacing w:val="25"/>
                <w:sz w:val="20"/>
                <w:szCs w:val="20"/>
              </w:rPr>
              <w:t xml:space="preserve"> </w:t>
            </w:r>
            <w:r>
              <w:rPr>
                <w:rFonts w:ascii="仿宋" w:hAnsi="仿宋" w:eastAsia="仿宋" w:cs="仿宋"/>
                <w:spacing w:val="11"/>
                <w:sz w:val="20"/>
                <w:szCs w:val="20"/>
              </w:rPr>
              <w:t>号）核定标准</w:t>
            </w:r>
            <w:r>
              <w:rPr>
                <w:rFonts w:ascii="仿宋" w:hAnsi="仿宋" w:eastAsia="仿宋" w:cs="仿宋"/>
                <w:spacing w:val="10"/>
                <w:sz w:val="20"/>
                <w:szCs w:val="20"/>
              </w:rPr>
              <w:t>，足额缴纳森林植被恢复费，</w:t>
            </w:r>
            <w:r>
              <w:rPr>
                <w:rFonts w:ascii="仿宋" w:hAnsi="仿宋" w:eastAsia="仿宋" w:cs="仿宋"/>
                <w:spacing w:val="9"/>
                <w:sz w:val="20"/>
                <w:szCs w:val="20"/>
              </w:rPr>
              <w:t>逐项落实林地生态修复补偿措施，弥补林地占用带来的生态损耗。</w:t>
            </w:r>
          </w:p>
          <w:p w14:paraId="7F1F1DB7">
            <w:pPr>
              <w:spacing w:before="9" w:line="376" w:lineRule="auto"/>
              <w:ind w:left="112" w:right="103" w:firstLine="420"/>
              <w:jc w:val="both"/>
              <w:rPr>
                <w:rFonts w:ascii="仿宋" w:hAnsi="仿宋" w:eastAsia="仿宋" w:cs="仿宋"/>
                <w:sz w:val="20"/>
                <w:szCs w:val="20"/>
              </w:rPr>
            </w:pPr>
            <w:r>
              <w:rPr>
                <w:rFonts w:ascii="仿宋" w:hAnsi="仿宋" w:eastAsia="仿宋" w:cs="仿宋"/>
                <w:spacing w:val="11"/>
                <w:sz w:val="20"/>
                <w:szCs w:val="20"/>
              </w:rPr>
              <w:t>基本草原占用方面，依据《内蒙古自治区草原征占用审核审批管理</w:t>
            </w:r>
            <w:r>
              <w:rPr>
                <w:rFonts w:ascii="仿宋" w:hAnsi="仿宋" w:eastAsia="仿宋" w:cs="仿宋"/>
                <w:spacing w:val="10"/>
                <w:sz w:val="20"/>
                <w:szCs w:val="20"/>
              </w:rPr>
              <w:t>规定》第六条</w:t>
            </w:r>
            <w:r>
              <w:rPr>
                <w:rFonts w:ascii="仿宋" w:hAnsi="仿宋" w:eastAsia="仿宋" w:cs="仿宋"/>
                <w:spacing w:val="11"/>
                <w:sz w:val="20"/>
                <w:szCs w:val="20"/>
              </w:rPr>
              <w:t>要求，农村牧区公路项目受地形限制无法避让基本草原的，可依规办</w:t>
            </w:r>
            <w:r>
              <w:rPr>
                <w:rFonts w:ascii="仿宋" w:hAnsi="仿宋" w:eastAsia="仿宋" w:cs="仿宋"/>
                <w:spacing w:val="10"/>
                <w:sz w:val="20"/>
                <w:szCs w:val="20"/>
              </w:rPr>
              <w:t>理草原征占用审</w:t>
            </w:r>
            <w:r>
              <w:rPr>
                <w:rFonts w:ascii="仿宋" w:hAnsi="仿宋" w:eastAsia="仿宋" w:cs="仿宋"/>
                <w:spacing w:val="9"/>
                <w:sz w:val="20"/>
                <w:szCs w:val="20"/>
              </w:rPr>
              <w:t>批手续。本项目沿现状既有土路改造，项目区属于丘陵地貌，地形起伏较大、</w:t>
            </w:r>
            <w:r>
              <w:rPr>
                <w:rFonts w:ascii="仿宋" w:hAnsi="仿宋" w:eastAsia="仿宋" w:cs="仿宋"/>
                <w:spacing w:val="-33"/>
                <w:sz w:val="20"/>
                <w:szCs w:val="20"/>
              </w:rPr>
              <w:t xml:space="preserve"> </w:t>
            </w:r>
            <w:r>
              <w:rPr>
                <w:rFonts w:ascii="仿宋" w:hAnsi="仿宋" w:eastAsia="仿宋" w:cs="仿宋"/>
                <w:spacing w:val="9"/>
                <w:sz w:val="20"/>
                <w:szCs w:val="20"/>
              </w:rPr>
              <w:t>自然坡</w:t>
            </w:r>
            <w:r>
              <w:rPr>
                <w:rFonts w:ascii="仿宋" w:hAnsi="仿宋" w:eastAsia="仿宋" w:cs="仿宋"/>
                <w:spacing w:val="10"/>
                <w:sz w:val="20"/>
                <w:szCs w:val="20"/>
              </w:rPr>
              <w:t>度明显，道路平面及纵断面设计均受地形条件严格制约，</w:t>
            </w:r>
            <w:r>
              <w:rPr>
                <w:rFonts w:ascii="仿宋" w:hAnsi="仿宋" w:eastAsia="仿宋" w:cs="仿宋"/>
                <w:spacing w:val="-59"/>
                <w:sz w:val="20"/>
                <w:szCs w:val="20"/>
              </w:rPr>
              <w:t xml:space="preserve"> </w:t>
            </w:r>
            <w:r>
              <w:rPr>
                <w:rFonts w:ascii="仿宋" w:hAnsi="仿宋" w:eastAsia="仿宋" w:cs="仿宋"/>
                <w:spacing w:val="10"/>
                <w:sz w:val="20"/>
                <w:szCs w:val="20"/>
              </w:rPr>
              <w:t>既</w:t>
            </w:r>
            <w:r>
              <w:rPr>
                <w:rFonts w:ascii="仿宋" w:hAnsi="仿宋" w:eastAsia="仿宋" w:cs="仿宋"/>
                <w:spacing w:val="9"/>
                <w:sz w:val="20"/>
                <w:szCs w:val="20"/>
              </w:rPr>
              <w:t>有道路现状轨迹已是适配</w:t>
            </w:r>
            <w:r>
              <w:rPr>
                <w:rFonts w:ascii="仿宋" w:hAnsi="仿宋" w:eastAsia="仿宋" w:cs="仿宋"/>
                <w:spacing w:val="11"/>
                <w:sz w:val="20"/>
                <w:szCs w:val="20"/>
              </w:rPr>
              <w:t>地形的最优线位，现阶段方案已实现生态占用最小化、地表扰动集中</w:t>
            </w:r>
            <w:r>
              <w:rPr>
                <w:rFonts w:ascii="仿宋" w:hAnsi="仿宋" w:eastAsia="仿宋" w:cs="仿宋"/>
                <w:spacing w:val="10"/>
                <w:sz w:val="20"/>
                <w:szCs w:val="20"/>
              </w:rPr>
              <w:t>化。若刻意避让</w:t>
            </w:r>
            <w:r>
              <w:rPr>
                <w:rFonts w:ascii="仿宋" w:hAnsi="仿宋" w:eastAsia="仿宋" w:cs="仿宋"/>
                <w:spacing w:val="11"/>
                <w:sz w:val="20"/>
                <w:szCs w:val="20"/>
              </w:rPr>
              <w:t>现有基本草原，需大幅调整道路走向，采取线路绕行、路基高填深挖</w:t>
            </w:r>
            <w:r>
              <w:rPr>
                <w:rFonts w:ascii="仿宋" w:hAnsi="仿宋" w:eastAsia="仿宋" w:cs="仿宋"/>
                <w:spacing w:val="10"/>
                <w:sz w:val="20"/>
                <w:szCs w:val="20"/>
              </w:rPr>
              <w:t>、大规模土石方</w:t>
            </w:r>
            <w:r>
              <w:rPr>
                <w:rFonts w:ascii="仿宋" w:hAnsi="仿宋" w:eastAsia="仿宋" w:cs="仿宋"/>
                <w:spacing w:val="11"/>
                <w:sz w:val="20"/>
                <w:szCs w:val="20"/>
              </w:rPr>
              <w:t>开挖等工程措施，不仅会显著增加工程建设投资与施工难度，还会进</w:t>
            </w:r>
            <w:r>
              <w:rPr>
                <w:rFonts w:ascii="仿宋" w:hAnsi="仿宋" w:eastAsia="仿宋" w:cs="仿宋"/>
                <w:spacing w:val="10"/>
                <w:sz w:val="20"/>
                <w:szCs w:val="20"/>
              </w:rPr>
              <w:t>一步扩大地表扰</w:t>
            </w:r>
            <w:r>
              <w:rPr>
                <w:rFonts w:ascii="仿宋" w:hAnsi="仿宋" w:eastAsia="仿宋" w:cs="仿宋"/>
                <w:spacing w:val="11"/>
                <w:sz w:val="20"/>
                <w:szCs w:val="20"/>
              </w:rPr>
              <w:t>动面积，破坏原有地表植被与水土保持体系，引发更严重的水土流失</w:t>
            </w:r>
            <w:r>
              <w:rPr>
                <w:rFonts w:ascii="仿宋" w:hAnsi="仿宋" w:eastAsia="仿宋" w:cs="仿宋"/>
                <w:spacing w:val="10"/>
                <w:sz w:val="20"/>
                <w:szCs w:val="20"/>
              </w:rPr>
              <w:t>和生态破坏，整</w:t>
            </w:r>
            <w:r>
              <w:rPr>
                <w:rFonts w:ascii="仿宋" w:hAnsi="仿宋" w:eastAsia="仿宋" w:cs="仿宋"/>
                <w:spacing w:val="8"/>
                <w:sz w:val="20"/>
                <w:szCs w:val="20"/>
              </w:rPr>
              <w:t>体生态代价远高于原位合理占用。</w:t>
            </w:r>
          </w:p>
          <w:p w14:paraId="659FBE4C">
            <w:pPr>
              <w:spacing w:line="377" w:lineRule="auto"/>
              <w:ind w:left="114" w:right="103" w:firstLine="421"/>
              <w:jc w:val="both"/>
              <w:rPr>
                <w:rFonts w:ascii="仿宋" w:hAnsi="仿宋" w:eastAsia="仿宋" w:cs="仿宋"/>
                <w:sz w:val="20"/>
                <w:szCs w:val="20"/>
              </w:rPr>
            </w:pPr>
            <w:r>
              <w:rPr>
                <w:rFonts w:ascii="仿宋" w:hAnsi="仿宋" w:eastAsia="仿宋" w:cs="仿宋"/>
                <w:spacing w:val="11"/>
                <w:sz w:val="20"/>
                <w:szCs w:val="20"/>
              </w:rPr>
              <w:t>综上，本项目基本草原占用属于地形客观条件限制下的无法</w:t>
            </w:r>
            <w:r>
              <w:rPr>
                <w:rFonts w:ascii="仿宋" w:hAnsi="仿宋" w:eastAsia="仿宋" w:cs="仿宋"/>
                <w:spacing w:val="10"/>
                <w:sz w:val="20"/>
                <w:szCs w:val="20"/>
              </w:rPr>
              <w:t>避让情形，符合农村</w:t>
            </w:r>
            <w:r>
              <w:rPr>
                <w:rFonts w:ascii="仿宋" w:hAnsi="仿宋" w:eastAsia="仿宋" w:cs="仿宋"/>
                <w:spacing w:val="9"/>
                <w:sz w:val="20"/>
                <w:szCs w:val="20"/>
              </w:rPr>
              <w:t>牧区公路建设草原征占用相关政策要求。</w:t>
            </w:r>
            <w:r>
              <w:rPr>
                <w:rFonts w:ascii="仿宋" w:hAnsi="仿宋" w:eastAsia="仿宋" w:cs="仿宋"/>
                <w:spacing w:val="-35"/>
                <w:sz w:val="20"/>
                <w:szCs w:val="20"/>
              </w:rPr>
              <w:t xml:space="preserve"> </w:t>
            </w:r>
            <w:r>
              <w:rPr>
                <w:rFonts w:ascii="仿宋" w:hAnsi="仿宋" w:eastAsia="仿宋" w:cs="仿宋"/>
                <w:spacing w:val="9"/>
                <w:sz w:val="20"/>
                <w:szCs w:val="20"/>
              </w:rPr>
              <w:t>目前项目草原征占用手续正在有序推进，基</w:t>
            </w:r>
            <w:r>
              <w:rPr>
                <w:rFonts w:ascii="仿宋" w:hAnsi="仿宋" w:eastAsia="仿宋" w:cs="仿宋"/>
                <w:spacing w:val="11"/>
                <w:sz w:val="20"/>
                <w:szCs w:val="20"/>
              </w:rPr>
              <w:t>本草原占补平衡方案已启动编制，后续将严格落实占补平衡要求</w:t>
            </w:r>
            <w:r>
              <w:rPr>
                <w:rFonts w:ascii="仿宋" w:hAnsi="仿宋" w:eastAsia="仿宋" w:cs="仿宋"/>
                <w:spacing w:val="10"/>
                <w:sz w:val="20"/>
                <w:szCs w:val="20"/>
              </w:rPr>
              <w:t>，保障区域基本草原</w:t>
            </w:r>
            <w:r>
              <w:rPr>
                <w:rFonts w:ascii="仿宋" w:hAnsi="仿宋" w:eastAsia="仿宋" w:cs="仿宋"/>
                <w:spacing w:val="8"/>
                <w:sz w:val="20"/>
                <w:szCs w:val="20"/>
              </w:rPr>
              <w:t>面积不减少、生态功能不退化。</w:t>
            </w:r>
          </w:p>
          <w:p w14:paraId="46BBD129">
            <w:pPr>
              <w:pStyle w:val="6"/>
              <w:spacing w:before="2" w:line="229" w:lineRule="auto"/>
              <w:ind w:left="537"/>
              <w:rPr>
                <w:rFonts w:ascii="仿宋" w:hAnsi="仿宋" w:eastAsia="仿宋" w:cs="仿宋"/>
                <w:sz w:val="20"/>
                <w:szCs w:val="20"/>
              </w:rPr>
            </w:pPr>
            <w:r>
              <w:rPr>
                <w:rFonts w:ascii="仿宋" w:hAnsi="仿宋" w:eastAsia="仿宋" w:cs="仿宋"/>
                <w:spacing w:val="7"/>
                <w:sz w:val="20"/>
                <w:szCs w:val="20"/>
              </w:rPr>
              <w:t>（</w:t>
            </w:r>
            <w:r>
              <w:rPr>
                <w:spacing w:val="7"/>
                <w:sz w:val="20"/>
                <w:szCs w:val="20"/>
              </w:rPr>
              <w:t>2</w:t>
            </w:r>
            <w:r>
              <w:rPr>
                <w:rFonts w:ascii="仿宋" w:hAnsi="仿宋" w:eastAsia="仿宋" w:cs="仿宋"/>
                <w:spacing w:val="7"/>
                <w:sz w:val="20"/>
                <w:szCs w:val="20"/>
              </w:rPr>
              <w:t>）用地手续合规性分析</w:t>
            </w:r>
          </w:p>
          <w:p w14:paraId="6404138C">
            <w:pPr>
              <w:pStyle w:val="6"/>
              <w:spacing w:before="161" w:line="377" w:lineRule="auto"/>
              <w:ind w:left="111" w:right="40" w:firstLine="422"/>
              <w:rPr>
                <w:rFonts w:ascii="仿宋" w:hAnsi="仿宋" w:eastAsia="仿宋" w:cs="仿宋"/>
                <w:sz w:val="20"/>
                <w:szCs w:val="20"/>
              </w:rPr>
            </w:pPr>
            <w:r>
              <w:rPr>
                <w:rFonts w:ascii="仿宋" w:hAnsi="仿宋" w:eastAsia="仿宋" w:cs="仿宋"/>
                <w:spacing w:val="7"/>
                <w:sz w:val="20"/>
                <w:szCs w:val="20"/>
              </w:rPr>
              <w:t>根据《准格尔旗自然资源局关于准格尔旗</w:t>
            </w:r>
            <w:r>
              <w:rPr>
                <w:rFonts w:ascii="仿宋" w:hAnsi="仿宋" w:eastAsia="仿宋" w:cs="仿宋"/>
                <w:spacing w:val="-43"/>
                <w:sz w:val="20"/>
                <w:szCs w:val="20"/>
              </w:rPr>
              <w:t xml:space="preserve"> </w:t>
            </w:r>
            <w:r>
              <w:rPr>
                <w:spacing w:val="7"/>
                <w:sz w:val="20"/>
                <w:szCs w:val="20"/>
              </w:rPr>
              <w:t>2025</w:t>
            </w:r>
            <w:r>
              <w:rPr>
                <w:spacing w:val="19"/>
                <w:w w:val="101"/>
                <w:sz w:val="20"/>
                <w:szCs w:val="20"/>
              </w:rPr>
              <w:t xml:space="preserve"> </w:t>
            </w:r>
            <w:r>
              <w:rPr>
                <w:rFonts w:ascii="仿宋" w:hAnsi="仿宋" w:eastAsia="仿宋" w:cs="仿宋"/>
                <w:spacing w:val="7"/>
                <w:sz w:val="20"/>
                <w:szCs w:val="20"/>
              </w:rPr>
              <w:t>年沙圪堵镇、十二</w:t>
            </w:r>
            <w:r>
              <w:rPr>
                <w:rFonts w:ascii="仿宋" w:hAnsi="仿宋" w:eastAsia="仿宋" w:cs="仿宋"/>
                <w:spacing w:val="6"/>
                <w:sz w:val="20"/>
                <w:szCs w:val="20"/>
              </w:rPr>
              <w:t>连城乡自然村通硬化路工程无需办理用地预审与选址意见书的复函》（准自然资函〔</w:t>
            </w:r>
            <w:r>
              <w:rPr>
                <w:spacing w:val="6"/>
                <w:sz w:val="20"/>
                <w:szCs w:val="20"/>
              </w:rPr>
              <w:t>2025</w:t>
            </w:r>
            <w:r>
              <w:rPr>
                <w:rFonts w:ascii="仿宋" w:hAnsi="仿宋" w:eastAsia="仿宋" w:cs="仿宋"/>
                <w:spacing w:val="6"/>
                <w:sz w:val="20"/>
                <w:szCs w:val="20"/>
              </w:rPr>
              <w:t>〕</w:t>
            </w:r>
            <w:r>
              <w:rPr>
                <w:spacing w:val="6"/>
                <w:sz w:val="20"/>
                <w:szCs w:val="20"/>
              </w:rPr>
              <w:t>2382</w:t>
            </w:r>
            <w:r>
              <w:rPr>
                <w:spacing w:val="21"/>
                <w:w w:val="101"/>
                <w:sz w:val="20"/>
                <w:szCs w:val="20"/>
              </w:rPr>
              <w:t xml:space="preserve"> </w:t>
            </w:r>
            <w:r>
              <w:rPr>
                <w:rFonts w:ascii="仿宋" w:hAnsi="仿宋" w:eastAsia="仿宋" w:cs="仿宋"/>
                <w:spacing w:val="6"/>
                <w:sz w:val="20"/>
                <w:szCs w:val="20"/>
              </w:rPr>
              <w:t>号</w:t>
            </w:r>
            <w:r>
              <w:rPr>
                <w:rFonts w:ascii="仿宋" w:hAnsi="仿宋" w:eastAsia="仿宋" w:cs="仿宋"/>
                <w:spacing w:val="-24"/>
                <w:sz w:val="20"/>
                <w:szCs w:val="20"/>
              </w:rPr>
              <w:t>），</w:t>
            </w:r>
            <w:r>
              <w:rPr>
                <w:rFonts w:ascii="仿宋" w:hAnsi="仿宋" w:eastAsia="仿宋" w:cs="仿宋"/>
                <w:spacing w:val="11"/>
                <w:sz w:val="20"/>
                <w:szCs w:val="20"/>
              </w:rPr>
              <w:t>本项目属于农村牧区公路基础设施项目，建设用地纳入农用地管理范</w:t>
            </w:r>
            <w:r>
              <w:rPr>
                <w:rFonts w:ascii="仿宋" w:hAnsi="仿宋" w:eastAsia="仿宋" w:cs="仿宋"/>
                <w:spacing w:val="10"/>
                <w:sz w:val="20"/>
                <w:szCs w:val="20"/>
              </w:rPr>
              <w:t>畴，不涉及新增</w:t>
            </w:r>
            <w:r>
              <w:rPr>
                <w:rFonts w:ascii="仿宋" w:hAnsi="仿宋" w:eastAsia="仿宋" w:cs="仿宋"/>
                <w:spacing w:val="11"/>
                <w:sz w:val="20"/>
                <w:szCs w:val="20"/>
              </w:rPr>
              <w:t>建设用地，符合无需办理用地预审与选址意见书的法定情形，项目前</w:t>
            </w:r>
            <w:r>
              <w:rPr>
                <w:rFonts w:ascii="仿宋" w:hAnsi="仿宋" w:eastAsia="仿宋" w:cs="仿宋"/>
                <w:spacing w:val="10"/>
                <w:sz w:val="20"/>
                <w:szCs w:val="20"/>
              </w:rPr>
              <w:t>期用地审批流程</w:t>
            </w:r>
            <w:r>
              <w:rPr>
                <w:rFonts w:ascii="仿宋" w:hAnsi="仿宋" w:eastAsia="仿宋" w:cs="仿宋"/>
                <w:spacing w:val="5"/>
                <w:sz w:val="20"/>
                <w:szCs w:val="20"/>
              </w:rPr>
              <w:t>合法合规。</w:t>
            </w:r>
          </w:p>
          <w:p w14:paraId="463D7DCD">
            <w:pPr>
              <w:pStyle w:val="6"/>
              <w:spacing w:line="231" w:lineRule="auto"/>
              <w:ind w:left="537"/>
              <w:rPr>
                <w:rFonts w:ascii="仿宋" w:hAnsi="仿宋" w:eastAsia="仿宋" w:cs="仿宋"/>
                <w:sz w:val="20"/>
                <w:szCs w:val="20"/>
              </w:rPr>
            </w:pPr>
            <w:r>
              <w:rPr>
                <w:rFonts w:ascii="仿宋" w:hAnsi="仿宋" w:eastAsia="仿宋" w:cs="仿宋"/>
                <w:spacing w:val="7"/>
                <w:sz w:val="20"/>
                <w:szCs w:val="20"/>
              </w:rPr>
              <w:t>（</w:t>
            </w:r>
            <w:r>
              <w:rPr>
                <w:spacing w:val="7"/>
                <w:sz w:val="20"/>
                <w:szCs w:val="20"/>
              </w:rPr>
              <w:t>3</w:t>
            </w:r>
            <w:r>
              <w:rPr>
                <w:rFonts w:ascii="仿宋" w:hAnsi="仿宋" w:eastAsia="仿宋" w:cs="仿宋"/>
                <w:spacing w:val="7"/>
                <w:sz w:val="20"/>
                <w:szCs w:val="20"/>
              </w:rPr>
              <w:t>）选址总体结论</w:t>
            </w:r>
          </w:p>
          <w:p w14:paraId="43475A14">
            <w:pPr>
              <w:spacing w:before="159" w:line="368" w:lineRule="auto"/>
              <w:ind w:left="124" w:right="103" w:firstLine="411"/>
              <w:rPr>
                <w:rFonts w:ascii="仿宋" w:hAnsi="仿宋" w:eastAsia="仿宋" w:cs="仿宋"/>
                <w:sz w:val="20"/>
                <w:szCs w:val="20"/>
              </w:rPr>
            </w:pPr>
            <w:r>
              <w:rPr>
                <w:rFonts w:ascii="仿宋" w:hAnsi="仿宋" w:eastAsia="仿宋" w:cs="仿宋"/>
                <w:spacing w:val="11"/>
                <w:sz w:val="20"/>
                <w:szCs w:val="20"/>
              </w:rPr>
              <w:t>综合以上分析，本项目选址符合国土空间规划、生态保护、</w:t>
            </w:r>
            <w:r>
              <w:rPr>
                <w:rFonts w:ascii="仿宋" w:hAnsi="仿宋" w:eastAsia="仿宋" w:cs="仿宋"/>
                <w:spacing w:val="10"/>
                <w:sz w:val="20"/>
                <w:szCs w:val="20"/>
              </w:rPr>
              <w:t>文物保护及建设用地管理相关法律法规与地方政策要求。项目依托现状土路实施硬化改造，最大程度降低</w:t>
            </w:r>
          </w:p>
        </w:tc>
      </w:tr>
    </w:tbl>
    <w:p w14:paraId="2B378000">
      <w:pPr>
        <w:pStyle w:val="2"/>
        <w:rPr>
          <w:sz w:val="21"/>
        </w:rPr>
      </w:pPr>
    </w:p>
    <w:p w14:paraId="104408EF">
      <w:pPr>
        <w:rPr>
          <w:sz w:val="21"/>
          <w:szCs w:val="21"/>
        </w:rPr>
        <w:sectPr>
          <w:footerReference r:id="rId63" w:type="default"/>
          <w:pgSz w:w="11907" w:h="16840"/>
          <w:pgMar w:top="400" w:right="1598" w:bottom="1443" w:left="1598" w:header="0" w:footer="1284" w:gutter="0"/>
          <w:cols w:space="720" w:num="1"/>
        </w:sectPr>
      </w:pPr>
    </w:p>
    <w:p w14:paraId="1B3D8AEF">
      <w:pPr>
        <w:spacing w:before="19"/>
      </w:pPr>
    </w:p>
    <w:p w14:paraId="10E7D056">
      <w:pPr>
        <w:spacing w:before="19"/>
      </w:pPr>
    </w:p>
    <w:p w14:paraId="7F7399D3">
      <w:pPr>
        <w:spacing w:before="18"/>
      </w:pPr>
    </w:p>
    <w:p w14:paraId="4BD91824">
      <w:pPr>
        <w:spacing w:before="18"/>
      </w:pPr>
    </w:p>
    <w:tbl>
      <w:tblPr>
        <w:tblStyle w:val="5"/>
        <w:tblW w:w="869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68"/>
        <w:gridCol w:w="8027"/>
      </w:tblGrid>
      <w:tr w14:paraId="57F9C0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115" w:hRule="atLeast"/>
        </w:trPr>
        <w:tc>
          <w:tcPr>
            <w:tcW w:w="668" w:type="dxa"/>
            <w:tcBorders>
              <w:right w:val="single" w:color="000000" w:sz="2" w:space="0"/>
            </w:tcBorders>
            <w:vAlign w:val="top"/>
          </w:tcPr>
          <w:p w14:paraId="0D226F23">
            <w:pPr>
              <w:rPr>
                <w:rFonts w:ascii="Arial"/>
                <w:sz w:val="21"/>
              </w:rPr>
            </w:pPr>
          </w:p>
        </w:tc>
        <w:tc>
          <w:tcPr>
            <w:tcW w:w="8027" w:type="dxa"/>
            <w:tcBorders>
              <w:left w:val="single" w:color="000000" w:sz="2" w:space="0"/>
            </w:tcBorders>
            <w:vAlign w:val="top"/>
          </w:tcPr>
          <w:p w14:paraId="2164C9BB">
            <w:pPr>
              <w:spacing w:before="28" w:line="376" w:lineRule="auto"/>
              <w:ind w:left="111" w:right="103" w:firstLine="27"/>
              <w:jc w:val="both"/>
              <w:rPr>
                <w:rFonts w:ascii="仿宋" w:hAnsi="仿宋" w:eastAsia="仿宋" w:cs="仿宋"/>
                <w:sz w:val="20"/>
                <w:szCs w:val="20"/>
              </w:rPr>
            </w:pPr>
            <w:r>
              <w:rPr>
                <w:rFonts w:ascii="仿宋" w:hAnsi="仿宋" w:eastAsia="仿宋" w:cs="仿宋"/>
                <w:spacing w:val="10"/>
                <w:sz w:val="20"/>
                <w:szCs w:val="20"/>
              </w:rPr>
              <w:t>了工程建设对区域生态环境的扰动；工程涉及的林地、基本草原占用均为地形条件制</w:t>
            </w:r>
            <w:r>
              <w:rPr>
                <w:rFonts w:ascii="仿宋" w:hAnsi="仿宋" w:eastAsia="仿宋" w:cs="仿宋"/>
                <w:spacing w:val="9"/>
                <w:sz w:val="20"/>
                <w:szCs w:val="20"/>
              </w:rPr>
              <w:t>约下的必要占用，不存在盲目</w:t>
            </w:r>
            <w:r>
              <w:rPr>
                <w:rFonts w:ascii="仿宋" w:hAnsi="仿宋" w:eastAsia="仿宋" w:cs="仿宋"/>
                <w:spacing w:val="-33"/>
                <w:sz w:val="20"/>
                <w:szCs w:val="20"/>
              </w:rPr>
              <w:t xml:space="preserve"> </w:t>
            </w:r>
            <w:r>
              <w:rPr>
                <w:rFonts w:ascii="仿宋" w:hAnsi="仿宋" w:eastAsia="仿宋" w:cs="仿宋"/>
                <w:spacing w:val="9"/>
                <w:sz w:val="20"/>
                <w:szCs w:val="20"/>
              </w:rPr>
              <w:t>占地、违规占地情况。针对林草占用产生的生态影响，</w:t>
            </w:r>
            <w:r>
              <w:rPr>
                <w:rFonts w:ascii="仿宋" w:hAnsi="仿宋" w:eastAsia="仿宋" w:cs="仿宋"/>
                <w:spacing w:val="11"/>
                <w:sz w:val="20"/>
                <w:szCs w:val="20"/>
              </w:rPr>
              <w:t>可通过完善行政审批流程、足额缴纳生态恢复费用、落实植被修复及</w:t>
            </w:r>
            <w:r>
              <w:rPr>
                <w:rFonts w:ascii="仿宋" w:hAnsi="仿宋" w:eastAsia="仿宋" w:cs="仿宋"/>
                <w:spacing w:val="10"/>
                <w:sz w:val="20"/>
                <w:szCs w:val="20"/>
              </w:rPr>
              <w:t>草原占补平衡等</w:t>
            </w:r>
            <w:r>
              <w:rPr>
                <w:rFonts w:ascii="仿宋" w:hAnsi="仿宋" w:eastAsia="仿宋" w:cs="仿宋"/>
                <w:spacing w:val="11"/>
                <w:sz w:val="20"/>
                <w:szCs w:val="20"/>
              </w:rPr>
              <w:t>措施有效消解不利影响，用地相关问题不会制约项目合法建设。整体</w:t>
            </w:r>
            <w:r>
              <w:rPr>
                <w:rFonts w:ascii="仿宋" w:hAnsi="仿宋" w:eastAsia="仿宋" w:cs="仿宋"/>
                <w:spacing w:val="10"/>
                <w:sz w:val="20"/>
                <w:szCs w:val="20"/>
              </w:rPr>
              <w:t>来看，本项目线</w:t>
            </w:r>
            <w:r>
              <w:rPr>
                <w:rFonts w:ascii="仿宋" w:hAnsi="仿宋" w:eastAsia="仿宋" w:cs="仿宋"/>
                <w:spacing w:val="6"/>
                <w:sz w:val="20"/>
                <w:szCs w:val="20"/>
              </w:rPr>
              <w:t>路选址科学合规、</w:t>
            </w:r>
            <w:r>
              <w:rPr>
                <w:rFonts w:ascii="仿宋" w:hAnsi="仿宋" w:eastAsia="仿宋" w:cs="仿宋"/>
                <w:spacing w:val="-26"/>
                <w:sz w:val="20"/>
                <w:szCs w:val="20"/>
              </w:rPr>
              <w:t xml:space="preserve"> </w:t>
            </w:r>
            <w:r>
              <w:rPr>
                <w:rFonts w:ascii="仿宋" w:hAnsi="仿宋" w:eastAsia="仿宋" w:cs="仿宋"/>
                <w:spacing w:val="6"/>
                <w:sz w:val="20"/>
                <w:szCs w:val="20"/>
              </w:rPr>
              <w:t>占地合理可控，选址方案具备可行性。</w:t>
            </w:r>
          </w:p>
        </w:tc>
      </w:tr>
    </w:tbl>
    <w:p w14:paraId="267BA3D2">
      <w:pPr>
        <w:pStyle w:val="2"/>
        <w:rPr>
          <w:sz w:val="21"/>
        </w:rPr>
      </w:pPr>
    </w:p>
    <w:p w14:paraId="27C33321">
      <w:pPr>
        <w:rPr>
          <w:sz w:val="21"/>
          <w:szCs w:val="21"/>
        </w:rPr>
        <w:sectPr>
          <w:footerReference r:id="rId64" w:type="default"/>
          <w:pgSz w:w="11907" w:h="16840"/>
          <w:pgMar w:top="400" w:right="1598" w:bottom="1446" w:left="1598" w:header="0" w:footer="1284" w:gutter="0"/>
          <w:cols w:space="720" w:num="1"/>
        </w:sectPr>
      </w:pPr>
    </w:p>
    <w:p w14:paraId="62E006C6">
      <w:pPr>
        <w:pStyle w:val="2"/>
        <w:spacing w:line="245" w:lineRule="auto"/>
        <w:rPr>
          <w:sz w:val="21"/>
        </w:rPr>
      </w:pPr>
    </w:p>
    <w:p w14:paraId="4D6048ED">
      <w:pPr>
        <w:pStyle w:val="2"/>
        <w:spacing w:line="245" w:lineRule="auto"/>
        <w:rPr>
          <w:sz w:val="21"/>
        </w:rPr>
      </w:pPr>
    </w:p>
    <w:p w14:paraId="2E557EEF">
      <w:pPr>
        <w:pStyle w:val="2"/>
        <w:spacing w:line="245" w:lineRule="auto"/>
        <w:rPr>
          <w:sz w:val="21"/>
        </w:rPr>
      </w:pPr>
    </w:p>
    <w:p w14:paraId="149931D3">
      <w:pPr>
        <w:pStyle w:val="2"/>
        <w:spacing w:line="246" w:lineRule="auto"/>
        <w:rPr>
          <w:sz w:val="21"/>
        </w:rPr>
      </w:pPr>
    </w:p>
    <w:p w14:paraId="3ADBF895">
      <w:pPr>
        <w:spacing w:before="97" w:line="222" w:lineRule="auto"/>
        <w:ind w:left="2892"/>
        <w:outlineLvl w:val="0"/>
        <w:rPr>
          <w:rFonts w:ascii="黑体" w:hAnsi="黑体" w:eastAsia="黑体" w:cs="黑体"/>
          <w:sz w:val="30"/>
          <w:szCs w:val="30"/>
        </w:rPr>
      </w:pPr>
      <w:r>
        <w:rPr>
          <w:rFonts w:ascii="黑体" w:hAnsi="黑体" w:eastAsia="黑体" w:cs="黑体"/>
          <w:spacing w:val="-2"/>
          <w:sz w:val="30"/>
          <w:szCs w:val="30"/>
        </w:rPr>
        <w:t>五、主要生态环境保护措施</w:t>
      </w:r>
    </w:p>
    <w:p w14:paraId="63ECD7E5">
      <w:pPr>
        <w:spacing w:line="178" w:lineRule="exact"/>
      </w:pPr>
    </w:p>
    <w:tbl>
      <w:tblPr>
        <w:tblStyle w:val="5"/>
        <w:tblW w:w="8698"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48"/>
        <w:gridCol w:w="7950"/>
      </w:tblGrid>
      <w:tr w14:paraId="46F812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079" w:hRule="atLeast"/>
        </w:trPr>
        <w:tc>
          <w:tcPr>
            <w:tcW w:w="748" w:type="dxa"/>
            <w:tcBorders>
              <w:right w:val="single" w:color="000000" w:sz="2" w:space="0"/>
            </w:tcBorders>
            <w:vAlign w:val="top"/>
          </w:tcPr>
          <w:p w14:paraId="7F30F43B">
            <w:pPr>
              <w:spacing w:line="245" w:lineRule="auto"/>
              <w:rPr>
                <w:rFonts w:ascii="Arial"/>
                <w:sz w:val="21"/>
              </w:rPr>
            </w:pPr>
          </w:p>
          <w:p w14:paraId="7A6FC585">
            <w:pPr>
              <w:spacing w:line="245" w:lineRule="auto"/>
              <w:rPr>
                <w:rFonts w:ascii="Arial"/>
                <w:sz w:val="21"/>
              </w:rPr>
            </w:pPr>
          </w:p>
          <w:p w14:paraId="1A1B2FA1">
            <w:pPr>
              <w:spacing w:line="245" w:lineRule="auto"/>
              <w:rPr>
                <w:rFonts w:ascii="Arial"/>
                <w:sz w:val="21"/>
              </w:rPr>
            </w:pPr>
          </w:p>
          <w:p w14:paraId="16BF0073">
            <w:pPr>
              <w:spacing w:line="245" w:lineRule="auto"/>
              <w:rPr>
                <w:rFonts w:ascii="Arial"/>
                <w:sz w:val="21"/>
              </w:rPr>
            </w:pPr>
          </w:p>
          <w:p w14:paraId="4F7276C8">
            <w:pPr>
              <w:spacing w:line="245" w:lineRule="auto"/>
              <w:rPr>
                <w:rFonts w:ascii="Arial"/>
                <w:sz w:val="21"/>
              </w:rPr>
            </w:pPr>
          </w:p>
          <w:p w14:paraId="793F1FE6">
            <w:pPr>
              <w:spacing w:line="245" w:lineRule="auto"/>
              <w:rPr>
                <w:rFonts w:ascii="Arial"/>
                <w:sz w:val="21"/>
              </w:rPr>
            </w:pPr>
          </w:p>
          <w:p w14:paraId="0A8CE91E">
            <w:pPr>
              <w:spacing w:line="245" w:lineRule="auto"/>
              <w:rPr>
                <w:rFonts w:ascii="Arial"/>
                <w:sz w:val="21"/>
              </w:rPr>
            </w:pPr>
          </w:p>
          <w:p w14:paraId="252BEF1F">
            <w:pPr>
              <w:spacing w:line="245" w:lineRule="auto"/>
              <w:rPr>
                <w:rFonts w:ascii="Arial"/>
                <w:sz w:val="21"/>
              </w:rPr>
            </w:pPr>
          </w:p>
          <w:p w14:paraId="41D22BEA">
            <w:pPr>
              <w:spacing w:line="246" w:lineRule="auto"/>
              <w:rPr>
                <w:rFonts w:ascii="Arial"/>
                <w:sz w:val="21"/>
              </w:rPr>
            </w:pPr>
          </w:p>
          <w:p w14:paraId="77402EA3">
            <w:pPr>
              <w:spacing w:line="246" w:lineRule="auto"/>
              <w:rPr>
                <w:rFonts w:ascii="Arial"/>
                <w:sz w:val="21"/>
              </w:rPr>
            </w:pPr>
          </w:p>
          <w:p w14:paraId="3479877A">
            <w:pPr>
              <w:spacing w:line="246" w:lineRule="auto"/>
              <w:rPr>
                <w:rFonts w:ascii="Arial"/>
                <w:sz w:val="21"/>
              </w:rPr>
            </w:pPr>
          </w:p>
          <w:p w14:paraId="4F81B8A2">
            <w:pPr>
              <w:spacing w:line="246" w:lineRule="auto"/>
              <w:rPr>
                <w:rFonts w:ascii="Arial"/>
                <w:sz w:val="21"/>
              </w:rPr>
            </w:pPr>
          </w:p>
          <w:p w14:paraId="548B35E2">
            <w:pPr>
              <w:spacing w:line="246" w:lineRule="auto"/>
              <w:rPr>
                <w:rFonts w:ascii="Arial"/>
                <w:sz w:val="21"/>
              </w:rPr>
            </w:pPr>
          </w:p>
          <w:p w14:paraId="14675F9B">
            <w:pPr>
              <w:spacing w:line="246" w:lineRule="auto"/>
              <w:rPr>
                <w:rFonts w:ascii="Arial"/>
                <w:sz w:val="21"/>
              </w:rPr>
            </w:pPr>
          </w:p>
          <w:p w14:paraId="5DA98ED5">
            <w:pPr>
              <w:spacing w:line="246" w:lineRule="auto"/>
              <w:rPr>
                <w:rFonts w:ascii="Arial"/>
                <w:sz w:val="21"/>
              </w:rPr>
            </w:pPr>
          </w:p>
          <w:p w14:paraId="057AB8C2">
            <w:pPr>
              <w:spacing w:line="246" w:lineRule="auto"/>
              <w:rPr>
                <w:rFonts w:ascii="Arial"/>
                <w:sz w:val="21"/>
              </w:rPr>
            </w:pPr>
          </w:p>
          <w:p w14:paraId="02844772">
            <w:pPr>
              <w:spacing w:line="246" w:lineRule="auto"/>
              <w:rPr>
                <w:rFonts w:ascii="Arial"/>
                <w:sz w:val="21"/>
              </w:rPr>
            </w:pPr>
          </w:p>
          <w:p w14:paraId="75275487">
            <w:pPr>
              <w:spacing w:line="246" w:lineRule="auto"/>
              <w:rPr>
                <w:rFonts w:ascii="Arial"/>
                <w:sz w:val="21"/>
              </w:rPr>
            </w:pPr>
          </w:p>
          <w:p w14:paraId="7B89A2A5">
            <w:pPr>
              <w:spacing w:line="246" w:lineRule="auto"/>
              <w:rPr>
                <w:rFonts w:ascii="Arial"/>
                <w:sz w:val="21"/>
              </w:rPr>
            </w:pPr>
          </w:p>
          <w:p w14:paraId="6A5B87D6">
            <w:pPr>
              <w:spacing w:line="246" w:lineRule="auto"/>
              <w:rPr>
                <w:rFonts w:ascii="Arial"/>
                <w:sz w:val="21"/>
              </w:rPr>
            </w:pPr>
          </w:p>
          <w:p w14:paraId="4D4A462F">
            <w:pPr>
              <w:spacing w:line="246" w:lineRule="auto"/>
              <w:rPr>
                <w:rFonts w:ascii="Arial"/>
                <w:sz w:val="21"/>
              </w:rPr>
            </w:pPr>
          </w:p>
          <w:p w14:paraId="0661B753">
            <w:pPr>
              <w:spacing w:line="246" w:lineRule="auto"/>
              <w:rPr>
                <w:rFonts w:ascii="Arial"/>
                <w:sz w:val="21"/>
              </w:rPr>
            </w:pPr>
          </w:p>
          <w:p w14:paraId="6C9BCFCB">
            <w:pPr>
              <w:spacing w:line="246" w:lineRule="auto"/>
              <w:rPr>
                <w:rFonts w:ascii="Arial"/>
                <w:sz w:val="21"/>
              </w:rPr>
            </w:pPr>
          </w:p>
          <w:p w14:paraId="44C0254C">
            <w:pPr>
              <w:spacing w:before="65" w:line="252" w:lineRule="auto"/>
              <w:ind w:left="146" w:right="165"/>
              <w:jc w:val="both"/>
              <w:rPr>
                <w:rFonts w:ascii="仿宋" w:hAnsi="仿宋" w:eastAsia="仿宋" w:cs="仿宋"/>
                <w:sz w:val="20"/>
                <w:szCs w:val="20"/>
              </w:rPr>
            </w:pPr>
            <w:r>
              <w:rPr>
                <w:rFonts w:ascii="仿宋" w:hAnsi="仿宋" w:eastAsia="仿宋" w:cs="仿宋"/>
                <w:spacing w:val="13"/>
                <w:sz w:val="20"/>
                <w:szCs w:val="20"/>
              </w:rPr>
              <w:t>施工期生态环境保护措</w:t>
            </w:r>
            <w:r>
              <w:rPr>
                <w:rFonts w:ascii="仿宋" w:hAnsi="仿宋" w:eastAsia="仿宋" w:cs="仿宋"/>
                <w:spacing w:val="51"/>
                <w:w w:val="130"/>
                <w:sz w:val="20"/>
                <w:szCs w:val="20"/>
              </w:rPr>
              <w:t>施</w:t>
            </w:r>
          </w:p>
        </w:tc>
        <w:tc>
          <w:tcPr>
            <w:tcW w:w="7950" w:type="dxa"/>
            <w:tcBorders>
              <w:left w:val="single" w:color="000000" w:sz="2" w:space="0"/>
            </w:tcBorders>
            <w:vAlign w:val="top"/>
          </w:tcPr>
          <w:p w14:paraId="3CB10456">
            <w:pPr>
              <w:spacing w:before="35" w:line="376" w:lineRule="auto"/>
              <w:ind w:left="113" w:right="103" w:firstLine="419"/>
              <w:jc w:val="both"/>
              <w:rPr>
                <w:rFonts w:ascii="仿宋" w:hAnsi="仿宋" w:eastAsia="仿宋" w:cs="仿宋"/>
                <w:sz w:val="20"/>
                <w:szCs w:val="20"/>
              </w:rPr>
            </w:pPr>
            <w:r>
              <w:rPr>
                <w:rFonts w:ascii="仿宋" w:hAnsi="仿宋" w:eastAsia="仿宋" w:cs="仿宋"/>
                <w:spacing w:val="9"/>
                <w:sz w:val="20"/>
                <w:szCs w:val="20"/>
              </w:rPr>
              <w:t>本工程对环境的负面影响主要为生态环境的影响，</w:t>
            </w:r>
            <w:r>
              <w:rPr>
                <w:rFonts w:ascii="仿宋" w:hAnsi="仿宋" w:eastAsia="仿宋" w:cs="仿宋"/>
                <w:spacing w:val="8"/>
                <w:sz w:val="20"/>
                <w:szCs w:val="20"/>
              </w:rPr>
              <w:t>生态环境保护的对策是避免、</w:t>
            </w:r>
            <w:r>
              <w:rPr>
                <w:rFonts w:ascii="仿宋" w:hAnsi="仿宋" w:eastAsia="仿宋" w:cs="仿宋"/>
                <w:spacing w:val="9"/>
                <w:sz w:val="20"/>
                <w:szCs w:val="20"/>
              </w:rPr>
              <w:t>消减和补偿，重点在于工程施工阶段避免或减缓对生态的</w:t>
            </w:r>
            <w:r>
              <w:rPr>
                <w:rFonts w:ascii="仿宋" w:hAnsi="仿宋" w:eastAsia="仿宋" w:cs="仿宋"/>
                <w:spacing w:val="8"/>
                <w:sz w:val="20"/>
                <w:szCs w:val="20"/>
              </w:rPr>
              <w:t>破坏和影响，以及施工结束</w:t>
            </w:r>
            <w:r>
              <w:rPr>
                <w:rFonts w:ascii="仿宋" w:hAnsi="仿宋" w:eastAsia="仿宋" w:cs="仿宋"/>
                <w:spacing w:val="9"/>
                <w:sz w:val="20"/>
                <w:szCs w:val="20"/>
              </w:rPr>
              <w:t>后的生态恢复措施。在对生态环境的防护和恢复上，本工程采取以下多种措施：</w:t>
            </w:r>
          </w:p>
          <w:p w14:paraId="761E76C1">
            <w:pPr>
              <w:pStyle w:val="6"/>
              <w:spacing w:before="2" w:line="229" w:lineRule="auto"/>
              <w:ind w:left="532"/>
              <w:rPr>
                <w:rFonts w:ascii="仿宋" w:hAnsi="仿宋" w:eastAsia="仿宋" w:cs="仿宋"/>
                <w:sz w:val="20"/>
                <w:szCs w:val="20"/>
              </w:rPr>
            </w:pPr>
            <w:r>
              <w:rPr>
                <w:b/>
                <w:bCs/>
                <w:spacing w:val="5"/>
                <w:sz w:val="20"/>
                <w:szCs w:val="20"/>
              </w:rPr>
              <w:t>1</w:t>
            </w:r>
            <w:r>
              <w:rPr>
                <w:b/>
                <w:bCs/>
                <w:spacing w:val="-7"/>
                <w:sz w:val="20"/>
                <w:szCs w:val="20"/>
              </w:rPr>
              <w:t xml:space="preserve"> </w:t>
            </w:r>
            <w:r>
              <w:rPr>
                <w:rFonts w:ascii="仿宋" w:hAnsi="仿宋" w:eastAsia="仿宋" w:cs="仿宋"/>
                <w:b/>
                <w:bCs/>
                <w:spacing w:val="5"/>
                <w:sz w:val="20"/>
                <w:szCs w:val="20"/>
              </w:rPr>
              <w:t>、生态保护措施（详见生态影响专项评价）</w:t>
            </w:r>
          </w:p>
          <w:p w14:paraId="1FC04591">
            <w:pPr>
              <w:pStyle w:val="6"/>
              <w:spacing w:before="160" w:line="377" w:lineRule="auto"/>
              <w:ind w:left="112" w:right="30" w:firstLine="420"/>
              <w:jc w:val="both"/>
              <w:rPr>
                <w:rFonts w:ascii="仿宋" w:hAnsi="仿宋" w:eastAsia="仿宋" w:cs="仿宋"/>
                <w:sz w:val="20"/>
                <w:szCs w:val="20"/>
              </w:rPr>
            </w:pPr>
            <w:r>
              <w:rPr>
                <w:rFonts w:ascii="仿宋" w:hAnsi="仿宋" w:eastAsia="仿宋" w:cs="仿宋"/>
                <w:spacing w:val="9"/>
                <w:sz w:val="20"/>
                <w:szCs w:val="20"/>
              </w:rPr>
              <w:t>本项目施工期从多维度落实生态环境保护与恢复管</w:t>
            </w:r>
            <w:r>
              <w:rPr>
                <w:rFonts w:ascii="仿宋" w:hAnsi="仿宋" w:eastAsia="仿宋" w:cs="仿宋"/>
                <w:spacing w:val="8"/>
                <w:sz w:val="20"/>
                <w:szCs w:val="20"/>
              </w:rPr>
              <w:t>控：施工上划定作业红线、优</w:t>
            </w:r>
            <w:r>
              <w:rPr>
                <w:rFonts w:ascii="仿宋" w:hAnsi="仿宋" w:eastAsia="仿宋" w:cs="仿宋"/>
                <w:spacing w:val="9"/>
                <w:sz w:val="20"/>
                <w:szCs w:val="20"/>
              </w:rPr>
              <w:t>化工期与雨季施工方案，路基分层压实并配套临时排水，剥离</w:t>
            </w:r>
            <w:r>
              <w:rPr>
                <w:rFonts w:ascii="仿宋" w:hAnsi="仿宋" w:eastAsia="仿宋" w:cs="仿宋"/>
                <w:spacing w:val="8"/>
                <w:sz w:val="20"/>
                <w:szCs w:val="20"/>
              </w:rPr>
              <w:t>表土规范堆放覆盖、就</w:t>
            </w:r>
            <w:r>
              <w:rPr>
                <w:rFonts w:ascii="仿宋" w:hAnsi="仿宋" w:eastAsia="仿宋" w:cs="仿宋"/>
                <w:spacing w:val="9"/>
                <w:sz w:val="20"/>
                <w:szCs w:val="20"/>
              </w:rPr>
              <w:t>近用于植被恢复，临时工程设置在永久占地范围内，不新增</w:t>
            </w:r>
            <w:r>
              <w:rPr>
                <w:rFonts w:ascii="仿宋" w:hAnsi="仿宋" w:eastAsia="仿宋" w:cs="仿宋"/>
                <w:spacing w:val="8"/>
                <w:sz w:val="20"/>
                <w:szCs w:val="20"/>
              </w:rPr>
              <w:t>临时占地；植被方面严控</w:t>
            </w:r>
            <w:r>
              <w:rPr>
                <w:rFonts w:ascii="仿宋" w:hAnsi="仿宋" w:eastAsia="仿宋" w:cs="仿宋"/>
                <w:spacing w:val="9"/>
                <w:sz w:val="20"/>
                <w:szCs w:val="20"/>
              </w:rPr>
              <w:t>作业带避免超挖损毁植被，完工后清理固废并对路基边坡混</w:t>
            </w:r>
            <w:r>
              <w:rPr>
                <w:rFonts w:ascii="仿宋" w:hAnsi="仿宋" w:eastAsia="仿宋" w:cs="仿宋"/>
                <w:spacing w:val="8"/>
                <w:sz w:val="20"/>
                <w:szCs w:val="20"/>
              </w:rPr>
              <w:t>播针茅、紫花苜蓿等草种</w:t>
            </w:r>
            <w:r>
              <w:rPr>
                <w:rFonts w:ascii="仿宋" w:hAnsi="仿宋" w:eastAsia="仿宋" w:cs="仿宋"/>
                <w:spacing w:val="7"/>
                <w:sz w:val="20"/>
                <w:szCs w:val="20"/>
              </w:rPr>
              <w:t>开展人工结合自然修复，保障植被成活率不低于</w:t>
            </w:r>
            <w:r>
              <w:rPr>
                <w:rFonts w:ascii="仿宋" w:hAnsi="仿宋" w:eastAsia="仿宋" w:cs="仿宋"/>
                <w:spacing w:val="-36"/>
                <w:sz w:val="20"/>
                <w:szCs w:val="20"/>
              </w:rPr>
              <w:t xml:space="preserve"> </w:t>
            </w:r>
            <w:r>
              <w:rPr>
                <w:spacing w:val="7"/>
                <w:sz w:val="20"/>
                <w:szCs w:val="20"/>
              </w:rPr>
              <w:t>90%</w:t>
            </w:r>
            <w:r>
              <w:rPr>
                <w:spacing w:val="-22"/>
                <w:sz w:val="20"/>
                <w:szCs w:val="20"/>
              </w:rPr>
              <w:t xml:space="preserve"> </w:t>
            </w:r>
            <w:r>
              <w:rPr>
                <w:rFonts w:ascii="仿宋" w:hAnsi="仿宋" w:eastAsia="仿宋" w:cs="仿宋"/>
                <w:spacing w:val="7"/>
                <w:sz w:val="20"/>
                <w:szCs w:val="20"/>
              </w:rPr>
              <w:t>、覆盖度不低于原有水平，</w:t>
            </w:r>
            <w:r>
              <w:rPr>
                <w:rFonts w:ascii="仿宋" w:hAnsi="仿宋" w:eastAsia="仿宋" w:cs="仿宋"/>
                <w:spacing w:val="6"/>
                <w:sz w:val="20"/>
                <w:szCs w:val="20"/>
              </w:rPr>
              <w:t>边坡</w:t>
            </w:r>
            <w:r>
              <w:rPr>
                <w:rFonts w:ascii="仿宋" w:hAnsi="仿宋" w:eastAsia="仿宋" w:cs="仿宋"/>
                <w:spacing w:val="9"/>
                <w:sz w:val="20"/>
                <w:szCs w:val="20"/>
              </w:rPr>
              <w:t>按高度分别采用沙柳网格、拱形骨架植草搭配截水沟、急流槽</w:t>
            </w:r>
            <w:r>
              <w:rPr>
                <w:rFonts w:ascii="仿宋" w:hAnsi="仿宋" w:eastAsia="仿宋" w:cs="仿宋"/>
                <w:spacing w:val="8"/>
                <w:sz w:val="20"/>
                <w:szCs w:val="20"/>
              </w:rPr>
              <w:t>体系防控水土流失；动</w:t>
            </w:r>
            <w:r>
              <w:rPr>
                <w:rFonts w:ascii="仿宋" w:hAnsi="仿宋" w:eastAsia="仿宋" w:cs="仿宋"/>
                <w:spacing w:val="9"/>
                <w:sz w:val="20"/>
                <w:szCs w:val="20"/>
              </w:rPr>
              <w:t>物保护上开展施工人员环保宣教，严禁捕猎野生动物，避开</w:t>
            </w:r>
            <w:r>
              <w:rPr>
                <w:rFonts w:ascii="仿宋" w:hAnsi="仿宋" w:eastAsia="仿宋" w:cs="仿宋"/>
                <w:spacing w:val="8"/>
                <w:sz w:val="20"/>
                <w:szCs w:val="20"/>
              </w:rPr>
              <w:t>晨昏夜间动物活动高峰开</w:t>
            </w:r>
            <w:r>
              <w:rPr>
                <w:rFonts w:ascii="仿宋" w:hAnsi="仿宋" w:eastAsia="仿宋" w:cs="仿宋"/>
                <w:spacing w:val="9"/>
                <w:sz w:val="20"/>
                <w:szCs w:val="20"/>
              </w:rPr>
              <w:t>展高噪声作业、禁止夜间施工减少声光惊扰；针对林地、基</w:t>
            </w:r>
            <w:r>
              <w:rPr>
                <w:rFonts w:ascii="仿宋" w:hAnsi="仿宋" w:eastAsia="仿宋" w:cs="仿宋"/>
                <w:spacing w:val="8"/>
                <w:sz w:val="20"/>
                <w:szCs w:val="20"/>
              </w:rPr>
              <w:t>本草原、沿线基本农田分</w:t>
            </w:r>
            <w:r>
              <w:rPr>
                <w:rFonts w:ascii="仿宋" w:hAnsi="仿宋" w:eastAsia="仿宋" w:cs="仿宋"/>
                <w:spacing w:val="9"/>
                <w:sz w:val="20"/>
                <w:szCs w:val="20"/>
              </w:rPr>
              <w:t>类施策，林地尽量少占并依规办理使用手续、足额缴纳</w:t>
            </w:r>
            <w:r>
              <w:rPr>
                <w:rFonts w:ascii="仿宋" w:hAnsi="仿宋" w:eastAsia="仿宋" w:cs="仿宋"/>
                <w:spacing w:val="8"/>
                <w:sz w:val="20"/>
                <w:szCs w:val="20"/>
              </w:rPr>
              <w:t>各类补偿费用，基本草原优化</w:t>
            </w:r>
            <w:r>
              <w:rPr>
                <w:rFonts w:ascii="仿宋" w:hAnsi="仿宋" w:eastAsia="仿宋" w:cs="仿宋"/>
                <w:spacing w:val="10"/>
                <w:sz w:val="20"/>
                <w:szCs w:val="20"/>
              </w:rPr>
              <w:t>布线避让、落实同等面积占补平衡并完工后修复草地，沿线基本农田设置围挡警示、</w:t>
            </w:r>
            <w:r>
              <w:rPr>
                <w:rFonts w:ascii="仿宋" w:hAnsi="仿宋" w:eastAsia="仿宋" w:cs="仿宋"/>
                <w:spacing w:val="5"/>
                <w:sz w:val="20"/>
                <w:szCs w:val="20"/>
              </w:rPr>
              <w:t>临时设施全部置于永久占地内、严控机械路线防止碾压浸泡，扰动农田及时平整复耕，全程安排巡查管控，同时通过设置警示标识、专人巡查杜绝超范围扰动各类生态用地，全方位降低工程施工对沿线植被、土壤、野生动植物、林地、草原及农田的生态影响。</w:t>
            </w:r>
          </w:p>
          <w:p w14:paraId="53FB9B13">
            <w:pPr>
              <w:pStyle w:val="6"/>
              <w:spacing w:before="1" w:line="229" w:lineRule="auto"/>
              <w:ind w:left="523"/>
              <w:rPr>
                <w:rFonts w:ascii="仿宋" w:hAnsi="仿宋" w:eastAsia="仿宋" w:cs="仿宋"/>
                <w:sz w:val="20"/>
                <w:szCs w:val="20"/>
              </w:rPr>
            </w:pPr>
            <w:r>
              <w:rPr>
                <w:b/>
                <w:bCs/>
                <w:spacing w:val="4"/>
                <w:sz w:val="20"/>
                <w:szCs w:val="20"/>
              </w:rPr>
              <w:t>2</w:t>
            </w:r>
            <w:r>
              <w:rPr>
                <w:b/>
                <w:bCs/>
                <w:spacing w:val="-14"/>
                <w:sz w:val="20"/>
                <w:szCs w:val="20"/>
              </w:rPr>
              <w:t xml:space="preserve"> </w:t>
            </w:r>
            <w:r>
              <w:rPr>
                <w:rFonts w:ascii="仿宋" w:hAnsi="仿宋" w:eastAsia="仿宋" w:cs="仿宋"/>
                <w:b/>
                <w:bCs/>
                <w:spacing w:val="4"/>
                <w:sz w:val="20"/>
                <w:szCs w:val="20"/>
              </w:rPr>
              <w:t>、大气环境保护措施</w:t>
            </w:r>
          </w:p>
          <w:p w14:paraId="769701EA">
            <w:pPr>
              <w:pStyle w:val="6"/>
              <w:spacing w:before="159" w:line="376" w:lineRule="auto"/>
              <w:ind w:left="115" w:right="176" w:firstLine="421"/>
              <w:rPr>
                <w:rFonts w:ascii="仿宋" w:hAnsi="仿宋" w:eastAsia="仿宋" w:cs="仿宋"/>
                <w:sz w:val="20"/>
                <w:szCs w:val="20"/>
              </w:rPr>
            </w:pPr>
            <w:r>
              <w:rPr>
                <w:rFonts w:ascii="仿宋" w:hAnsi="仿宋" w:eastAsia="仿宋" w:cs="仿宋"/>
                <w:spacing w:val="9"/>
                <w:sz w:val="20"/>
                <w:szCs w:val="20"/>
              </w:rPr>
              <w:t>（</w:t>
            </w:r>
            <w:r>
              <w:rPr>
                <w:spacing w:val="9"/>
                <w:sz w:val="20"/>
                <w:szCs w:val="20"/>
              </w:rPr>
              <w:t>1</w:t>
            </w:r>
            <w:r>
              <w:rPr>
                <w:rFonts w:ascii="仿宋" w:hAnsi="仿宋" w:eastAsia="仿宋" w:cs="仿宋"/>
                <w:spacing w:val="9"/>
                <w:sz w:val="20"/>
                <w:szCs w:val="20"/>
              </w:rPr>
              <w:t>）运输道路、施工场地应定时洒水，每天至少两次（上、</w:t>
            </w:r>
            <w:r>
              <w:rPr>
                <w:rFonts w:ascii="仿宋" w:hAnsi="仿宋" w:eastAsia="仿宋" w:cs="仿宋"/>
                <w:spacing w:val="8"/>
                <w:sz w:val="20"/>
                <w:szCs w:val="20"/>
              </w:rPr>
              <w:t>下班</w:t>
            </w:r>
            <w:r>
              <w:rPr>
                <w:rFonts w:ascii="仿宋" w:hAnsi="仿宋" w:eastAsia="仿宋" w:cs="仿宋"/>
                <w:spacing w:val="17"/>
                <w:sz w:val="20"/>
                <w:szCs w:val="20"/>
              </w:rPr>
              <w:t>），</w:t>
            </w:r>
            <w:r>
              <w:rPr>
                <w:rFonts w:ascii="仿宋" w:hAnsi="仿宋" w:eastAsia="仿宋" w:cs="仿宋"/>
                <w:spacing w:val="8"/>
                <w:sz w:val="20"/>
                <w:szCs w:val="20"/>
              </w:rPr>
              <w:t>在经过村</w:t>
            </w:r>
            <w:r>
              <w:rPr>
                <w:rFonts w:ascii="仿宋" w:hAnsi="仿宋" w:eastAsia="仿宋" w:cs="仿宋"/>
                <w:spacing w:val="9"/>
                <w:sz w:val="20"/>
                <w:szCs w:val="20"/>
              </w:rPr>
              <w:t>庄散户要加强洒水密度和强度；另外，沙土等散装材料装卸应随时洒水防止扬尘。</w:t>
            </w:r>
          </w:p>
          <w:p w14:paraId="634F35EC">
            <w:pPr>
              <w:pStyle w:val="6"/>
              <w:spacing w:before="5" w:line="376" w:lineRule="auto"/>
              <w:ind w:left="111" w:right="103" w:firstLine="425"/>
              <w:rPr>
                <w:rFonts w:ascii="仿宋" w:hAnsi="仿宋" w:eastAsia="仿宋" w:cs="仿宋"/>
                <w:sz w:val="20"/>
                <w:szCs w:val="20"/>
              </w:rPr>
            </w:pPr>
            <w:r>
              <w:rPr>
                <w:rFonts w:ascii="仿宋" w:hAnsi="仿宋" w:eastAsia="仿宋" w:cs="仿宋"/>
                <w:spacing w:val="8"/>
                <w:sz w:val="20"/>
                <w:szCs w:val="20"/>
              </w:rPr>
              <w:t>（</w:t>
            </w:r>
            <w:r>
              <w:rPr>
                <w:spacing w:val="8"/>
                <w:sz w:val="20"/>
                <w:szCs w:val="20"/>
              </w:rPr>
              <w:t>2</w:t>
            </w:r>
            <w:r>
              <w:rPr>
                <w:rFonts w:ascii="仿宋" w:hAnsi="仿宋" w:eastAsia="仿宋" w:cs="仿宋"/>
                <w:spacing w:val="8"/>
                <w:sz w:val="20"/>
                <w:szCs w:val="20"/>
              </w:rPr>
              <w:t>）运送散装含尘物料的车辆，要用蓬布苫盖，</w:t>
            </w:r>
            <w:r>
              <w:rPr>
                <w:rFonts w:ascii="仿宋" w:hAnsi="仿宋" w:eastAsia="仿宋" w:cs="仿宋"/>
                <w:spacing w:val="-54"/>
                <w:sz w:val="20"/>
                <w:szCs w:val="20"/>
              </w:rPr>
              <w:t xml:space="preserve"> </w:t>
            </w:r>
            <w:r>
              <w:rPr>
                <w:rFonts w:ascii="仿宋" w:hAnsi="仿宋" w:eastAsia="仿宋" w:cs="仿宋"/>
                <w:spacing w:val="8"/>
                <w:sz w:val="20"/>
                <w:szCs w:val="20"/>
              </w:rPr>
              <w:t>以防物料飞扬。对运送砂石料</w:t>
            </w:r>
            <w:r>
              <w:rPr>
                <w:rFonts w:ascii="仿宋" w:hAnsi="仿宋" w:eastAsia="仿宋" w:cs="仿宋"/>
                <w:spacing w:val="9"/>
                <w:sz w:val="20"/>
                <w:szCs w:val="20"/>
              </w:rPr>
              <w:t>的车辆应限制超载，不得沿途洒漏；粉状材料应罐装或袋装，</w:t>
            </w:r>
            <w:r>
              <w:rPr>
                <w:rFonts w:ascii="仿宋" w:hAnsi="仿宋" w:eastAsia="仿宋" w:cs="仿宋"/>
                <w:spacing w:val="8"/>
                <w:sz w:val="20"/>
                <w:szCs w:val="20"/>
              </w:rPr>
              <w:t>采用湿装湿运；水泥、</w:t>
            </w:r>
            <w:r>
              <w:rPr>
                <w:rFonts w:ascii="仿宋" w:hAnsi="仿宋" w:eastAsia="仿宋" w:cs="仿宋"/>
                <w:spacing w:val="9"/>
                <w:sz w:val="20"/>
                <w:szCs w:val="20"/>
              </w:rPr>
              <w:t>砂土等材料运输禁止超载，并盖篷布。粉状材料堆放时应采取</w:t>
            </w:r>
            <w:r>
              <w:rPr>
                <w:rFonts w:ascii="仿宋" w:hAnsi="仿宋" w:eastAsia="仿宋" w:cs="仿宋"/>
                <w:spacing w:val="8"/>
                <w:sz w:val="20"/>
                <w:szCs w:val="20"/>
              </w:rPr>
              <w:t>防风防雨措施，必要时设立围栏，并定时洒水防止扬尘。</w:t>
            </w:r>
          </w:p>
          <w:p w14:paraId="5A84699A">
            <w:pPr>
              <w:pStyle w:val="6"/>
              <w:spacing w:before="3" w:line="377" w:lineRule="auto"/>
              <w:ind w:left="113" w:right="103" w:firstLine="423"/>
              <w:rPr>
                <w:rFonts w:ascii="仿宋" w:hAnsi="仿宋" w:eastAsia="仿宋" w:cs="仿宋"/>
                <w:sz w:val="20"/>
                <w:szCs w:val="20"/>
              </w:rPr>
            </w:pPr>
            <w:r>
              <w:rPr>
                <w:rFonts w:ascii="仿宋" w:hAnsi="仿宋" w:eastAsia="仿宋" w:cs="仿宋"/>
                <w:spacing w:val="9"/>
                <w:sz w:val="20"/>
                <w:szCs w:val="20"/>
              </w:rPr>
              <w:t>（</w:t>
            </w:r>
            <w:r>
              <w:rPr>
                <w:spacing w:val="9"/>
                <w:sz w:val="20"/>
                <w:szCs w:val="20"/>
              </w:rPr>
              <w:t>3</w:t>
            </w:r>
            <w:r>
              <w:rPr>
                <w:rFonts w:ascii="仿宋" w:hAnsi="仿宋" w:eastAsia="仿宋" w:cs="仿宋"/>
                <w:spacing w:val="9"/>
                <w:sz w:val="20"/>
                <w:szCs w:val="20"/>
              </w:rPr>
              <w:t>）施工单位必须选用符合国家卫生防护标准的施工机械和运输工具，确保其废气排放符合国家有关标准。加强对机械设备的养护，减少</w:t>
            </w:r>
            <w:r>
              <w:rPr>
                <w:rFonts w:ascii="仿宋" w:hAnsi="仿宋" w:eastAsia="仿宋" w:cs="仿宋"/>
                <w:spacing w:val="8"/>
                <w:sz w:val="20"/>
                <w:szCs w:val="20"/>
              </w:rPr>
              <w:t>不必要的空转时间，以控</w:t>
            </w:r>
            <w:r>
              <w:rPr>
                <w:rFonts w:ascii="仿宋" w:hAnsi="仿宋" w:eastAsia="仿宋" w:cs="仿宋"/>
                <w:spacing w:val="5"/>
                <w:sz w:val="20"/>
                <w:szCs w:val="20"/>
              </w:rPr>
              <w:t>制尾气排放。</w:t>
            </w:r>
          </w:p>
          <w:p w14:paraId="32753B51">
            <w:pPr>
              <w:pStyle w:val="6"/>
              <w:spacing w:before="1" w:line="377" w:lineRule="auto"/>
              <w:ind w:left="111" w:right="103" w:firstLine="425"/>
              <w:rPr>
                <w:rFonts w:ascii="仿宋" w:hAnsi="仿宋" w:eastAsia="仿宋" w:cs="仿宋"/>
                <w:sz w:val="20"/>
                <w:szCs w:val="20"/>
              </w:rPr>
            </w:pPr>
            <w:r>
              <w:rPr>
                <w:rFonts w:ascii="仿宋" w:hAnsi="仿宋" w:eastAsia="仿宋" w:cs="仿宋"/>
                <w:spacing w:val="9"/>
                <w:sz w:val="20"/>
                <w:szCs w:val="20"/>
              </w:rPr>
              <w:t>（</w:t>
            </w:r>
            <w:r>
              <w:rPr>
                <w:spacing w:val="9"/>
                <w:sz w:val="20"/>
                <w:szCs w:val="20"/>
              </w:rPr>
              <w:t>4</w:t>
            </w:r>
            <w:r>
              <w:rPr>
                <w:rFonts w:ascii="仿宋" w:hAnsi="仿宋" w:eastAsia="仿宋" w:cs="仿宋"/>
                <w:spacing w:val="9"/>
                <w:sz w:val="20"/>
                <w:szCs w:val="20"/>
              </w:rPr>
              <w:t>）严禁在施工现场焚烧任何废弃物和可能产生有毒有害气体、烟尘、臭气的物质，施工过程中，严禁将废弃的建筑材料作为燃料燃烧。施</w:t>
            </w:r>
            <w:r>
              <w:rPr>
                <w:rFonts w:ascii="仿宋" w:hAnsi="仿宋" w:eastAsia="仿宋" w:cs="仿宋"/>
                <w:spacing w:val="8"/>
                <w:sz w:val="20"/>
                <w:szCs w:val="20"/>
              </w:rPr>
              <w:t>工结束后，应及时恢复施工占用场地的地面道路及植被。</w:t>
            </w:r>
          </w:p>
          <w:p w14:paraId="1B376A2D">
            <w:pPr>
              <w:pStyle w:val="6"/>
              <w:spacing w:before="1" w:line="227" w:lineRule="auto"/>
              <w:ind w:left="536"/>
              <w:rPr>
                <w:rFonts w:ascii="仿宋" w:hAnsi="仿宋" w:eastAsia="仿宋" w:cs="仿宋"/>
                <w:sz w:val="20"/>
                <w:szCs w:val="20"/>
              </w:rPr>
            </w:pPr>
            <w:r>
              <w:rPr>
                <w:rFonts w:ascii="仿宋" w:hAnsi="仿宋" w:eastAsia="仿宋" w:cs="仿宋"/>
                <w:spacing w:val="8"/>
                <w:sz w:val="20"/>
                <w:szCs w:val="20"/>
              </w:rPr>
              <w:t>（</w:t>
            </w:r>
            <w:r>
              <w:rPr>
                <w:spacing w:val="8"/>
                <w:sz w:val="20"/>
                <w:szCs w:val="20"/>
              </w:rPr>
              <w:t>5</w:t>
            </w:r>
            <w:r>
              <w:rPr>
                <w:rFonts w:ascii="仿宋" w:hAnsi="仿宋" w:eastAsia="仿宋" w:cs="仿宋"/>
                <w:spacing w:val="8"/>
                <w:sz w:val="20"/>
                <w:szCs w:val="20"/>
              </w:rPr>
              <w:t>）对施工车辆尾气的控制措施</w:t>
            </w:r>
          </w:p>
          <w:p w14:paraId="3300308F">
            <w:pPr>
              <w:spacing w:before="161" w:line="228" w:lineRule="auto"/>
              <w:ind w:left="525"/>
              <w:rPr>
                <w:rFonts w:ascii="仿宋" w:hAnsi="仿宋" w:eastAsia="仿宋" w:cs="仿宋"/>
                <w:sz w:val="20"/>
                <w:szCs w:val="20"/>
              </w:rPr>
            </w:pPr>
            <w:r>
              <w:rPr>
                <w:rFonts w:ascii="宋体" w:hAnsi="宋体" w:eastAsia="宋体" w:cs="宋体"/>
                <w:spacing w:val="9"/>
                <w:sz w:val="20"/>
                <w:szCs w:val="20"/>
              </w:rPr>
              <w:t>①</w:t>
            </w:r>
            <w:r>
              <w:rPr>
                <w:rFonts w:ascii="仿宋" w:hAnsi="仿宋" w:eastAsia="仿宋" w:cs="仿宋"/>
                <w:spacing w:val="9"/>
                <w:sz w:val="20"/>
                <w:szCs w:val="20"/>
              </w:rPr>
              <w:t>加强在用非道路移动机械的排放检测和维修。加强非道路移动机械的维修、保</w:t>
            </w:r>
          </w:p>
        </w:tc>
      </w:tr>
    </w:tbl>
    <w:p w14:paraId="47F3A30F">
      <w:pPr>
        <w:pStyle w:val="2"/>
        <w:rPr>
          <w:sz w:val="21"/>
        </w:rPr>
      </w:pPr>
    </w:p>
    <w:p w14:paraId="59C1756E">
      <w:pPr>
        <w:rPr>
          <w:sz w:val="21"/>
          <w:szCs w:val="21"/>
        </w:rPr>
        <w:sectPr>
          <w:footerReference r:id="rId65" w:type="default"/>
          <w:pgSz w:w="11907" w:h="16840"/>
          <w:pgMar w:top="400" w:right="1597" w:bottom="1443" w:left="1596" w:header="0" w:footer="1284" w:gutter="0"/>
          <w:cols w:space="720" w:num="1"/>
        </w:sectPr>
      </w:pPr>
    </w:p>
    <w:p w14:paraId="40391F26">
      <w:pPr>
        <w:spacing w:before="19"/>
      </w:pPr>
    </w:p>
    <w:p w14:paraId="6F427463">
      <w:pPr>
        <w:spacing w:before="19"/>
      </w:pPr>
    </w:p>
    <w:p w14:paraId="68408088">
      <w:pPr>
        <w:spacing w:before="18"/>
      </w:pPr>
    </w:p>
    <w:p w14:paraId="4772F079">
      <w:pPr>
        <w:spacing w:before="18"/>
      </w:pPr>
    </w:p>
    <w:tbl>
      <w:tblPr>
        <w:tblStyle w:val="5"/>
        <w:tblW w:w="8698"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48"/>
        <w:gridCol w:w="7950"/>
      </w:tblGrid>
      <w:tr w14:paraId="78AA49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488" w:hRule="atLeast"/>
        </w:trPr>
        <w:tc>
          <w:tcPr>
            <w:tcW w:w="748" w:type="dxa"/>
            <w:tcBorders>
              <w:right w:val="single" w:color="000000" w:sz="2" w:space="0"/>
            </w:tcBorders>
            <w:vAlign w:val="top"/>
          </w:tcPr>
          <w:p w14:paraId="26B6762A">
            <w:pPr>
              <w:rPr>
                <w:rFonts w:ascii="Arial"/>
                <w:sz w:val="21"/>
              </w:rPr>
            </w:pPr>
          </w:p>
        </w:tc>
        <w:tc>
          <w:tcPr>
            <w:tcW w:w="7950" w:type="dxa"/>
            <w:tcBorders>
              <w:left w:val="single" w:color="000000" w:sz="2" w:space="0"/>
            </w:tcBorders>
            <w:vAlign w:val="top"/>
          </w:tcPr>
          <w:p w14:paraId="7E3F4403">
            <w:pPr>
              <w:spacing w:before="36" w:line="377" w:lineRule="auto"/>
              <w:ind w:left="115" w:right="103" w:hanging="3"/>
              <w:rPr>
                <w:rFonts w:ascii="仿宋" w:hAnsi="仿宋" w:eastAsia="仿宋" w:cs="仿宋"/>
                <w:sz w:val="20"/>
                <w:szCs w:val="20"/>
              </w:rPr>
            </w:pPr>
            <w:r>
              <w:rPr>
                <w:rFonts w:ascii="仿宋" w:hAnsi="仿宋" w:eastAsia="仿宋" w:cs="仿宋"/>
                <w:spacing w:val="9"/>
                <w:sz w:val="20"/>
                <w:szCs w:val="20"/>
              </w:rPr>
              <w:t>养，使其保持良好的技术状态。项目周边路网发达，附近城</w:t>
            </w:r>
            <w:r>
              <w:rPr>
                <w:rFonts w:ascii="仿宋" w:hAnsi="仿宋" w:eastAsia="仿宋" w:cs="仿宋"/>
                <w:spacing w:val="8"/>
                <w:sz w:val="20"/>
                <w:szCs w:val="20"/>
              </w:rPr>
              <w:t>区均有维修保养机械的能</w:t>
            </w:r>
            <w:r>
              <w:rPr>
                <w:rFonts w:ascii="仿宋" w:hAnsi="仿宋" w:eastAsia="仿宋" w:cs="仿宋"/>
                <w:spacing w:val="-5"/>
                <w:sz w:val="20"/>
                <w:szCs w:val="20"/>
              </w:rPr>
              <w:t>力。</w:t>
            </w:r>
          </w:p>
          <w:p w14:paraId="0528E6FE">
            <w:pPr>
              <w:spacing w:line="375" w:lineRule="auto"/>
              <w:ind w:left="113" w:right="103" w:firstLine="411"/>
              <w:rPr>
                <w:rFonts w:ascii="仿宋" w:hAnsi="仿宋" w:eastAsia="仿宋" w:cs="仿宋"/>
                <w:sz w:val="20"/>
                <w:szCs w:val="20"/>
              </w:rPr>
            </w:pPr>
            <w:r>
              <w:rPr>
                <w:rFonts w:ascii="宋体" w:hAnsi="宋体" w:eastAsia="宋体" w:cs="宋体"/>
                <w:spacing w:val="9"/>
                <w:sz w:val="20"/>
                <w:szCs w:val="20"/>
              </w:rPr>
              <w:t>②</w:t>
            </w:r>
            <w:r>
              <w:rPr>
                <w:rFonts w:ascii="仿宋" w:hAnsi="仿宋" w:eastAsia="仿宋" w:cs="仿宋"/>
                <w:spacing w:val="9"/>
                <w:sz w:val="20"/>
                <w:szCs w:val="20"/>
              </w:rPr>
              <w:t>加强对非道路移动机械排放尾气的检测，经检测排放不达标的车辆</w:t>
            </w:r>
            <w:r>
              <w:rPr>
                <w:rFonts w:ascii="仿宋" w:hAnsi="仿宋" w:eastAsia="仿宋" w:cs="仿宋"/>
                <w:spacing w:val="8"/>
                <w:sz w:val="20"/>
                <w:szCs w:val="20"/>
              </w:rPr>
              <w:t>，应强制进</w:t>
            </w:r>
            <w:r>
              <w:rPr>
                <w:rFonts w:ascii="仿宋" w:hAnsi="仿宋" w:eastAsia="仿宋" w:cs="仿宋"/>
                <w:spacing w:val="9"/>
                <w:sz w:val="20"/>
                <w:szCs w:val="20"/>
              </w:rPr>
              <w:t>行维修、保养，保证施工车辆及其污染控制装置处于正常技术状态。</w:t>
            </w:r>
          </w:p>
          <w:p w14:paraId="116FDF7B">
            <w:pPr>
              <w:spacing w:before="4" w:line="376" w:lineRule="auto"/>
              <w:ind w:left="111" w:right="103" w:firstLine="421"/>
              <w:jc w:val="both"/>
              <w:rPr>
                <w:rFonts w:ascii="仿宋" w:hAnsi="仿宋" w:eastAsia="仿宋" w:cs="仿宋"/>
                <w:sz w:val="20"/>
                <w:szCs w:val="20"/>
              </w:rPr>
            </w:pPr>
            <w:r>
              <w:rPr>
                <w:rFonts w:ascii="仿宋" w:hAnsi="仿宋" w:eastAsia="仿宋" w:cs="仿宋"/>
                <w:spacing w:val="9"/>
                <w:sz w:val="20"/>
                <w:szCs w:val="20"/>
              </w:rPr>
              <w:t>道路施工期扬尘对周围空气环境有一定的影响，但</w:t>
            </w:r>
            <w:r>
              <w:rPr>
                <w:rFonts w:ascii="仿宋" w:hAnsi="仿宋" w:eastAsia="仿宋" w:cs="仿宋"/>
                <w:spacing w:val="8"/>
                <w:sz w:val="20"/>
                <w:szCs w:val="20"/>
              </w:rPr>
              <w:t>是由于施工期是暂时的，影响</w:t>
            </w:r>
            <w:r>
              <w:rPr>
                <w:rFonts w:ascii="仿宋" w:hAnsi="仿宋" w:eastAsia="仿宋" w:cs="仿宋"/>
                <w:spacing w:val="9"/>
                <w:sz w:val="20"/>
                <w:szCs w:val="20"/>
              </w:rPr>
              <w:t>也是短暂的，随着道路的竣工运营，施工期大气环境影响也将</w:t>
            </w:r>
            <w:r>
              <w:rPr>
                <w:rFonts w:ascii="仿宋" w:hAnsi="仿宋" w:eastAsia="仿宋" w:cs="仿宋"/>
                <w:spacing w:val="8"/>
                <w:sz w:val="20"/>
                <w:szCs w:val="20"/>
              </w:rPr>
              <w:t>随之消失。因此，项目</w:t>
            </w:r>
            <w:r>
              <w:rPr>
                <w:rFonts w:ascii="仿宋" w:hAnsi="仿宋" w:eastAsia="仿宋" w:cs="仿宋"/>
                <w:spacing w:val="9"/>
                <w:sz w:val="20"/>
                <w:szCs w:val="20"/>
              </w:rPr>
              <w:t>施工期不会造成项目所在地环境空气质量明</w:t>
            </w:r>
            <w:r>
              <w:rPr>
                <w:rFonts w:ascii="仿宋" w:hAnsi="仿宋" w:eastAsia="仿宋" w:cs="仿宋"/>
                <w:spacing w:val="8"/>
                <w:sz w:val="20"/>
                <w:szCs w:val="20"/>
              </w:rPr>
              <w:t>显恶化。</w:t>
            </w:r>
          </w:p>
          <w:p w14:paraId="74A8BDF9">
            <w:pPr>
              <w:pStyle w:val="6"/>
              <w:spacing w:before="2" w:line="229" w:lineRule="auto"/>
              <w:ind w:left="521"/>
              <w:rPr>
                <w:rFonts w:ascii="仿宋" w:hAnsi="仿宋" w:eastAsia="仿宋" w:cs="仿宋"/>
                <w:sz w:val="20"/>
                <w:szCs w:val="20"/>
              </w:rPr>
            </w:pPr>
            <w:r>
              <w:rPr>
                <w:b/>
                <w:bCs/>
                <w:spacing w:val="4"/>
                <w:sz w:val="20"/>
                <w:szCs w:val="20"/>
              </w:rPr>
              <w:t>3</w:t>
            </w:r>
            <w:r>
              <w:rPr>
                <w:b/>
                <w:bCs/>
                <w:spacing w:val="-17"/>
                <w:sz w:val="20"/>
                <w:szCs w:val="20"/>
              </w:rPr>
              <w:t xml:space="preserve"> </w:t>
            </w:r>
            <w:r>
              <w:rPr>
                <w:rFonts w:ascii="仿宋" w:hAnsi="仿宋" w:eastAsia="仿宋" w:cs="仿宋"/>
                <w:b/>
                <w:bCs/>
                <w:spacing w:val="4"/>
                <w:sz w:val="20"/>
                <w:szCs w:val="20"/>
              </w:rPr>
              <w:t>、水环境保护措施</w:t>
            </w:r>
          </w:p>
          <w:p w14:paraId="3CB309A9">
            <w:pPr>
              <w:spacing w:before="159" w:line="232" w:lineRule="auto"/>
              <w:ind w:left="531"/>
              <w:rPr>
                <w:rFonts w:ascii="仿宋" w:hAnsi="仿宋" w:eastAsia="仿宋" w:cs="仿宋"/>
                <w:sz w:val="20"/>
                <w:szCs w:val="20"/>
              </w:rPr>
            </w:pPr>
            <w:r>
              <w:rPr>
                <w:rFonts w:ascii="仿宋" w:hAnsi="仿宋" w:eastAsia="仿宋" w:cs="仿宋"/>
                <w:spacing w:val="8"/>
                <w:sz w:val="20"/>
                <w:szCs w:val="20"/>
              </w:rPr>
              <w:t>施工期废水主要为施工废水、生活污水。</w:t>
            </w:r>
          </w:p>
          <w:p w14:paraId="258E7699">
            <w:pPr>
              <w:pStyle w:val="6"/>
              <w:spacing w:before="157" w:line="230" w:lineRule="auto"/>
              <w:ind w:left="536"/>
              <w:rPr>
                <w:rFonts w:ascii="仿宋" w:hAnsi="仿宋" w:eastAsia="仿宋" w:cs="仿宋"/>
                <w:sz w:val="20"/>
                <w:szCs w:val="20"/>
              </w:rPr>
            </w:pPr>
            <w:r>
              <w:rPr>
                <w:rFonts w:ascii="仿宋" w:hAnsi="仿宋" w:eastAsia="仿宋" w:cs="仿宋"/>
                <w:spacing w:val="9"/>
                <w:sz w:val="20"/>
                <w:szCs w:val="20"/>
              </w:rPr>
              <w:t>（</w:t>
            </w:r>
            <w:r>
              <w:rPr>
                <w:spacing w:val="9"/>
                <w:sz w:val="20"/>
                <w:szCs w:val="20"/>
              </w:rPr>
              <w:t>1</w:t>
            </w:r>
            <w:r>
              <w:rPr>
                <w:rFonts w:ascii="仿宋" w:hAnsi="仿宋" w:eastAsia="仿宋" w:cs="仿宋"/>
                <w:spacing w:val="9"/>
                <w:sz w:val="20"/>
                <w:szCs w:val="20"/>
              </w:rPr>
              <w:t>）施工期不设置施工营地，生活污水依托附近村庄已有卫</w:t>
            </w:r>
            <w:r>
              <w:rPr>
                <w:rFonts w:ascii="仿宋" w:hAnsi="仿宋" w:eastAsia="仿宋" w:cs="仿宋"/>
                <w:spacing w:val="8"/>
                <w:sz w:val="20"/>
                <w:szCs w:val="20"/>
              </w:rPr>
              <w:t>生设施。</w:t>
            </w:r>
          </w:p>
          <w:p w14:paraId="386FE7BF">
            <w:pPr>
              <w:pStyle w:val="6"/>
              <w:spacing w:before="162" w:line="376" w:lineRule="auto"/>
              <w:ind w:left="111" w:right="103" w:firstLine="425"/>
              <w:rPr>
                <w:rFonts w:ascii="仿宋" w:hAnsi="仿宋" w:eastAsia="仿宋" w:cs="仿宋"/>
                <w:sz w:val="20"/>
                <w:szCs w:val="20"/>
              </w:rPr>
            </w:pPr>
            <w:r>
              <w:rPr>
                <w:rFonts w:ascii="仿宋" w:hAnsi="仿宋" w:eastAsia="仿宋" w:cs="仿宋"/>
                <w:spacing w:val="8"/>
                <w:sz w:val="20"/>
                <w:szCs w:val="20"/>
              </w:rPr>
              <w:t>（</w:t>
            </w:r>
            <w:r>
              <w:rPr>
                <w:spacing w:val="8"/>
                <w:sz w:val="20"/>
                <w:szCs w:val="20"/>
              </w:rPr>
              <w:t>2</w:t>
            </w:r>
            <w:r>
              <w:rPr>
                <w:rFonts w:ascii="仿宋" w:hAnsi="仿宋" w:eastAsia="仿宋" w:cs="仿宋"/>
                <w:spacing w:val="8"/>
                <w:sz w:val="20"/>
                <w:szCs w:val="20"/>
              </w:rPr>
              <w:t>）进入施工现场的机械和车辆要加强检修，尽量杜绝跑、</w:t>
            </w:r>
            <w:r>
              <w:rPr>
                <w:rFonts w:ascii="仿宋" w:hAnsi="仿宋" w:eastAsia="仿宋" w:cs="仿宋"/>
                <w:spacing w:val="-52"/>
                <w:sz w:val="20"/>
                <w:szCs w:val="20"/>
              </w:rPr>
              <w:t xml:space="preserve"> </w:t>
            </w:r>
            <w:r>
              <w:rPr>
                <w:rFonts w:ascii="仿宋" w:hAnsi="仿宋" w:eastAsia="仿宋" w:cs="仿宋"/>
                <w:spacing w:val="8"/>
                <w:sz w:val="20"/>
                <w:szCs w:val="20"/>
              </w:rPr>
              <w:t>冒、滴、漏，</w:t>
            </w:r>
            <w:r>
              <w:rPr>
                <w:rFonts w:ascii="仿宋" w:hAnsi="仿宋" w:eastAsia="仿宋" w:cs="仿宋"/>
                <w:spacing w:val="7"/>
                <w:sz w:val="20"/>
                <w:szCs w:val="20"/>
              </w:rPr>
              <w:t>从而</w:t>
            </w:r>
            <w:r>
              <w:rPr>
                <w:rFonts w:ascii="仿宋" w:hAnsi="仿宋" w:eastAsia="仿宋" w:cs="仿宋"/>
                <w:spacing w:val="9"/>
                <w:sz w:val="20"/>
                <w:szCs w:val="20"/>
              </w:rPr>
              <w:t>减少含油污水的产生量。本项目施工所需机械均为常用机械，</w:t>
            </w:r>
            <w:r>
              <w:rPr>
                <w:rFonts w:ascii="仿宋" w:hAnsi="仿宋" w:eastAsia="仿宋" w:cs="仿宋"/>
                <w:spacing w:val="8"/>
                <w:sz w:val="20"/>
                <w:szCs w:val="20"/>
              </w:rPr>
              <w:t>项目附近的城镇均具备修理保养条件，施工现场不考虑机械的保养维修。</w:t>
            </w:r>
          </w:p>
          <w:p w14:paraId="794C273B">
            <w:pPr>
              <w:pStyle w:val="6"/>
              <w:spacing w:before="1" w:line="230" w:lineRule="auto"/>
              <w:ind w:left="536"/>
              <w:rPr>
                <w:rFonts w:ascii="仿宋" w:hAnsi="仿宋" w:eastAsia="仿宋" w:cs="仿宋"/>
                <w:sz w:val="20"/>
                <w:szCs w:val="20"/>
              </w:rPr>
            </w:pPr>
            <w:r>
              <w:rPr>
                <w:rFonts w:ascii="仿宋" w:hAnsi="仿宋" w:eastAsia="仿宋" w:cs="仿宋"/>
                <w:spacing w:val="9"/>
                <w:sz w:val="20"/>
                <w:szCs w:val="20"/>
              </w:rPr>
              <w:t>（</w:t>
            </w:r>
            <w:r>
              <w:rPr>
                <w:spacing w:val="9"/>
                <w:sz w:val="20"/>
                <w:szCs w:val="20"/>
              </w:rPr>
              <w:t>3</w:t>
            </w:r>
            <w:r>
              <w:rPr>
                <w:rFonts w:ascii="仿宋" w:hAnsi="仿宋" w:eastAsia="仿宋" w:cs="仿宋"/>
                <w:spacing w:val="9"/>
                <w:sz w:val="20"/>
                <w:szCs w:val="20"/>
              </w:rPr>
              <w:t>）本项目不自设预制场，预制构件均外购，不产</w:t>
            </w:r>
            <w:r>
              <w:rPr>
                <w:rFonts w:ascii="仿宋" w:hAnsi="仿宋" w:eastAsia="仿宋" w:cs="仿宋"/>
                <w:spacing w:val="8"/>
                <w:sz w:val="20"/>
                <w:szCs w:val="20"/>
              </w:rPr>
              <w:t>生施工废水。</w:t>
            </w:r>
          </w:p>
          <w:p w14:paraId="68A80F76">
            <w:pPr>
              <w:pStyle w:val="6"/>
              <w:spacing w:before="162" w:line="229" w:lineRule="auto"/>
              <w:ind w:left="523"/>
              <w:rPr>
                <w:rFonts w:ascii="仿宋" w:hAnsi="仿宋" w:eastAsia="仿宋" w:cs="仿宋"/>
                <w:sz w:val="20"/>
                <w:szCs w:val="20"/>
              </w:rPr>
            </w:pPr>
            <w:r>
              <w:rPr>
                <w:b/>
                <w:bCs/>
                <w:sz w:val="20"/>
                <w:szCs w:val="20"/>
              </w:rPr>
              <w:t>4</w:t>
            </w:r>
            <w:r>
              <w:rPr>
                <w:b/>
                <w:bCs/>
                <w:spacing w:val="-18"/>
                <w:sz w:val="20"/>
                <w:szCs w:val="20"/>
              </w:rPr>
              <w:t xml:space="preserve"> </w:t>
            </w:r>
            <w:r>
              <w:rPr>
                <w:rFonts w:ascii="仿宋" w:hAnsi="仿宋" w:eastAsia="仿宋" w:cs="仿宋"/>
                <w:b/>
                <w:bCs/>
                <w:sz w:val="20"/>
                <w:szCs w:val="20"/>
              </w:rPr>
              <w:t>、</w:t>
            </w:r>
            <w:r>
              <w:rPr>
                <w:rFonts w:ascii="仿宋" w:hAnsi="仿宋" w:eastAsia="仿宋" w:cs="仿宋"/>
                <w:spacing w:val="-56"/>
                <w:sz w:val="20"/>
                <w:szCs w:val="20"/>
              </w:rPr>
              <w:t xml:space="preserve"> </w:t>
            </w:r>
            <w:r>
              <w:rPr>
                <w:rFonts w:ascii="仿宋" w:hAnsi="仿宋" w:eastAsia="仿宋" w:cs="仿宋"/>
                <w:b/>
                <w:bCs/>
                <w:sz w:val="20"/>
                <w:szCs w:val="20"/>
              </w:rPr>
              <w:t>固体废物保护措施</w:t>
            </w:r>
          </w:p>
          <w:p w14:paraId="0BCA9F77">
            <w:pPr>
              <w:spacing w:before="159" w:line="377" w:lineRule="auto"/>
              <w:ind w:left="116" w:right="103" w:firstLine="415"/>
              <w:rPr>
                <w:rFonts w:ascii="仿宋" w:hAnsi="仿宋" w:eastAsia="仿宋" w:cs="仿宋"/>
                <w:sz w:val="20"/>
                <w:szCs w:val="20"/>
              </w:rPr>
            </w:pPr>
            <w:r>
              <w:rPr>
                <w:rFonts w:ascii="仿宋" w:hAnsi="仿宋" w:eastAsia="仿宋" w:cs="仿宋"/>
                <w:spacing w:val="9"/>
                <w:sz w:val="20"/>
                <w:szCs w:val="20"/>
              </w:rPr>
              <w:t>施工期的固体废弃物主要包括工程弃土、建筑垃圾、</w:t>
            </w:r>
            <w:r>
              <w:rPr>
                <w:rFonts w:ascii="仿宋" w:hAnsi="仿宋" w:eastAsia="仿宋" w:cs="仿宋"/>
                <w:spacing w:val="8"/>
                <w:sz w:val="20"/>
                <w:szCs w:val="20"/>
              </w:rPr>
              <w:t>生活垃圾等，采取以下固废</w:t>
            </w:r>
            <w:r>
              <w:rPr>
                <w:rFonts w:ascii="仿宋" w:hAnsi="仿宋" w:eastAsia="仿宋" w:cs="仿宋"/>
                <w:spacing w:val="5"/>
                <w:sz w:val="20"/>
                <w:szCs w:val="20"/>
              </w:rPr>
              <w:t>污染防治措施：</w:t>
            </w:r>
          </w:p>
          <w:p w14:paraId="3DB77FF4">
            <w:pPr>
              <w:pStyle w:val="6"/>
              <w:spacing w:before="3" w:line="376" w:lineRule="auto"/>
              <w:ind w:left="111" w:right="103" w:firstLine="425"/>
              <w:rPr>
                <w:rFonts w:ascii="仿宋" w:hAnsi="仿宋" w:eastAsia="仿宋" w:cs="仿宋"/>
                <w:sz w:val="20"/>
                <w:szCs w:val="20"/>
              </w:rPr>
            </w:pPr>
            <w:r>
              <w:rPr>
                <w:rFonts w:ascii="仿宋" w:hAnsi="仿宋" w:eastAsia="仿宋" w:cs="仿宋"/>
                <w:spacing w:val="11"/>
                <w:sz w:val="20"/>
                <w:szCs w:val="20"/>
              </w:rPr>
              <w:t>（</w:t>
            </w:r>
            <w:r>
              <w:rPr>
                <w:spacing w:val="11"/>
                <w:sz w:val="20"/>
                <w:szCs w:val="20"/>
              </w:rPr>
              <w:t>1</w:t>
            </w:r>
            <w:r>
              <w:rPr>
                <w:rFonts w:ascii="仿宋" w:hAnsi="仿宋" w:eastAsia="仿宋" w:cs="仿宋"/>
                <w:spacing w:val="11"/>
                <w:sz w:val="20"/>
                <w:szCs w:val="20"/>
              </w:rPr>
              <w:t>）施工期间施工人员产生的生活垃圾易腐败变质，产生恶臭，滋生蚊蝇并传</w:t>
            </w:r>
            <w:r>
              <w:rPr>
                <w:rFonts w:ascii="仿宋" w:hAnsi="仿宋" w:eastAsia="仿宋" w:cs="仿宋"/>
                <w:spacing w:val="9"/>
                <w:sz w:val="20"/>
                <w:szCs w:val="20"/>
              </w:rPr>
              <w:t>播疾病，对施工人员的健康和周围环境造成不利影响。如遇大</w:t>
            </w:r>
            <w:r>
              <w:rPr>
                <w:rFonts w:ascii="仿宋" w:hAnsi="仿宋" w:eastAsia="仿宋" w:cs="仿宋"/>
                <w:spacing w:val="8"/>
                <w:sz w:val="20"/>
                <w:szCs w:val="20"/>
              </w:rPr>
              <w:t>风、降雨天气，则对周</w:t>
            </w:r>
            <w:r>
              <w:rPr>
                <w:rFonts w:ascii="仿宋" w:hAnsi="仿宋" w:eastAsia="仿宋" w:cs="仿宋"/>
                <w:spacing w:val="9"/>
                <w:sz w:val="20"/>
                <w:szCs w:val="20"/>
              </w:rPr>
              <w:t>围环境造成影响。整个施工期生活垃圾集中收集至垃圾桶，按</w:t>
            </w:r>
            <w:r>
              <w:rPr>
                <w:rFonts w:ascii="仿宋" w:hAnsi="仿宋" w:eastAsia="仿宋" w:cs="仿宋"/>
                <w:spacing w:val="8"/>
                <w:sz w:val="20"/>
                <w:szCs w:val="20"/>
              </w:rPr>
              <w:t>计划和施工操作规程，并在指定地点存放，</w:t>
            </w:r>
            <w:r>
              <w:rPr>
                <w:rFonts w:ascii="仿宋" w:hAnsi="仿宋" w:eastAsia="仿宋" w:cs="仿宋"/>
                <w:spacing w:val="-51"/>
                <w:sz w:val="20"/>
                <w:szCs w:val="20"/>
              </w:rPr>
              <w:t xml:space="preserve"> </w:t>
            </w:r>
            <w:r>
              <w:rPr>
                <w:rFonts w:ascii="仿宋" w:hAnsi="仿宋" w:eastAsia="仿宋" w:cs="仿宋"/>
                <w:spacing w:val="8"/>
                <w:sz w:val="20"/>
                <w:szCs w:val="20"/>
              </w:rPr>
              <w:t>由环卫部门清运，严禁随意丢弃，严格控制环境污染物</w:t>
            </w:r>
            <w:r>
              <w:rPr>
                <w:rFonts w:ascii="仿宋" w:hAnsi="仿宋" w:eastAsia="仿宋" w:cs="仿宋"/>
                <w:spacing w:val="7"/>
                <w:sz w:val="20"/>
                <w:szCs w:val="20"/>
              </w:rPr>
              <w:t>排弃。</w:t>
            </w:r>
          </w:p>
          <w:p w14:paraId="6FEE7343">
            <w:pPr>
              <w:pStyle w:val="6"/>
              <w:spacing w:before="2" w:line="229" w:lineRule="auto"/>
              <w:ind w:left="536"/>
              <w:rPr>
                <w:rFonts w:ascii="仿宋" w:hAnsi="仿宋" w:eastAsia="仿宋" w:cs="仿宋"/>
                <w:sz w:val="20"/>
                <w:szCs w:val="20"/>
              </w:rPr>
            </w:pPr>
            <w:r>
              <w:rPr>
                <w:rFonts w:ascii="仿宋" w:hAnsi="仿宋" w:eastAsia="仿宋" w:cs="仿宋"/>
                <w:spacing w:val="9"/>
                <w:sz w:val="20"/>
                <w:szCs w:val="20"/>
              </w:rPr>
              <w:t>（</w:t>
            </w:r>
            <w:r>
              <w:rPr>
                <w:spacing w:val="9"/>
                <w:sz w:val="20"/>
                <w:szCs w:val="20"/>
              </w:rPr>
              <w:t>2</w:t>
            </w:r>
            <w:r>
              <w:rPr>
                <w:rFonts w:ascii="仿宋" w:hAnsi="仿宋" w:eastAsia="仿宋" w:cs="仿宋"/>
                <w:spacing w:val="9"/>
                <w:sz w:val="20"/>
                <w:szCs w:val="20"/>
              </w:rPr>
              <w:t>）施工过程中产生的建筑垃圾，能回用的尽量回用，不能回用的集中堆放，</w:t>
            </w:r>
          </w:p>
          <w:p w14:paraId="1F336819">
            <w:pPr>
              <w:spacing w:before="160" w:line="377" w:lineRule="auto"/>
              <w:ind w:left="111" w:right="103" w:firstLine="6"/>
              <w:rPr>
                <w:rFonts w:ascii="仿宋" w:hAnsi="仿宋" w:eastAsia="仿宋" w:cs="仿宋"/>
                <w:sz w:val="20"/>
                <w:szCs w:val="20"/>
              </w:rPr>
            </w:pPr>
            <w:r>
              <w:rPr>
                <w:rFonts w:ascii="仿宋" w:hAnsi="仿宋" w:eastAsia="仿宋" w:cs="仿宋"/>
                <w:spacing w:val="9"/>
                <w:sz w:val="20"/>
                <w:szCs w:val="20"/>
              </w:rPr>
              <w:t>送至市政部门指定建筑垃圾填埋场。对于剩余的</w:t>
            </w:r>
            <w:r>
              <w:rPr>
                <w:rFonts w:ascii="仿宋" w:hAnsi="仿宋" w:eastAsia="仿宋" w:cs="仿宋"/>
                <w:spacing w:val="8"/>
                <w:sz w:val="20"/>
                <w:szCs w:val="20"/>
              </w:rPr>
              <w:t>筑路材料，包括石料、砂、石灰、水</w:t>
            </w:r>
            <w:r>
              <w:rPr>
                <w:rFonts w:ascii="仿宋" w:hAnsi="仿宋" w:eastAsia="仿宋" w:cs="仿宋"/>
                <w:spacing w:val="9"/>
                <w:sz w:val="20"/>
                <w:szCs w:val="20"/>
              </w:rPr>
              <w:t>泥等，应按施工计划运输建筑材料，避免堆存，对于剩余的、</w:t>
            </w:r>
            <w:r>
              <w:rPr>
                <w:rFonts w:ascii="仿宋" w:hAnsi="仿宋" w:eastAsia="仿宋" w:cs="仿宋"/>
                <w:spacing w:val="8"/>
                <w:sz w:val="20"/>
                <w:szCs w:val="20"/>
              </w:rPr>
              <w:t>尚能使用的建筑材料应</w:t>
            </w:r>
            <w:r>
              <w:rPr>
                <w:rFonts w:ascii="仿宋" w:hAnsi="仿宋" w:eastAsia="仿宋" w:cs="仿宋"/>
                <w:spacing w:val="9"/>
                <w:sz w:val="20"/>
                <w:szCs w:val="20"/>
              </w:rPr>
              <w:t>及时运走，对于不能使用的废料应及时送到政府指定地点进行</w:t>
            </w:r>
            <w:r>
              <w:rPr>
                <w:rFonts w:ascii="仿宋" w:hAnsi="仿宋" w:eastAsia="仿宋" w:cs="仿宋"/>
                <w:spacing w:val="8"/>
                <w:sz w:val="20"/>
                <w:szCs w:val="20"/>
              </w:rPr>
              <w:t>处理。不得随意倾倒，以免污染当地环境和影响景观。</w:t>
            </w:r>
          </w:p>
          <w:p w14:paraId="1E00BAE4">
            <w:pPr>
              <w:pStyle w:val="6"/>
              <w:spacing w:line="372" w:lineRule="auto"/>
              <w:ind w:left="109" w:right="36" w:firstLine="426"/>
              <w:rPr>
                <w:rFonts w:ascii="仿宋" w:hAnsi="仿宋" w:eastAsia="仿宋" w:cs="仿宋"/>
                <w:sz w:val="20"/>
                <w:szCs w:val="20"/>
              </w:rPr>
            </w:pPr>
            <w:r>
              <w:rPr>
                <w:rFonts w:ascii="仿宋" w:hAnsi="仿宋" w:eastAsia="仿宋" w:cs="仿宋"/>
                <w:spacing w:val="11"/>
                <w:sz w:val="20"/>
                <w:szCs w:val="20"/>
              </w:rPr>
              <w:t>（</w:t>
            </w:r>
            <w:r>
              <w:rPr>
                <w:spacing w:val="11"/>
                <w:sz w:val="20"/>
                <w:szCs w:val="20"/>
              </w:rPr>
              <w:t>3</w:t>
            </w:r>
            <w:r>
              <w:rPr>
                <w:rFonts w:ascii="仿宋" w:hAnsi="仿宋" w:eastAsia="仿宋" w:cs="仿宋"/>
                <w:spacing w:val="11"/>
                <w:sz w:val="20"/>
                <w:szCs w:val="20"/>
              </w:rPr>
              <w:t>）施工期工程弃土包括路基表土剥离物和基础开挖土方，若随意堆放，表土</w:t>
            </w:r>
            <w:r>
              <w:rPr>
                <w:rFonts w:ascii="仿宋" w:hAnsi="仿宋" w:eastAsia="仿宋" w:cs="仿宋"/>
                <w:spacing w:val="5"/>
                <w:sz w:val="20"/>
                <w:szCs w:val="20"/>
              </w:rPr>
              <w:t>易被雨水冲刷引发水土流失，破坏周边土壤结构和植被；将表土集中堆存于指定场地，</w:t>
            </w:r>
            <w:r>
              <w:rPr>
                <w:rFonts w:ascii="仿宋" w:hAnsi="仿宋" w:eastAsia="仿宋" w:cs="仿宋"/>
                <w:spacing w:val="9"/>
                <w:sz w:val="20"/>
                <w:szCs w:val="20"/>
              </w:rPr>
              <w:t>后期用于路基边坡绿化等植被恢复；工程产生的弃土合理调配、全</w:t>
            </w:r>
            <w:r>
              <w:rPr>
                <w:rFonts w:ascii="仿宋" w:hAnsi="仿宋" w:eastAsia="仿宋" w:cs="仿宋"/>
                <w:spacing w:val="8"/>
                <w:sz w:val="20"/>
                <w:szCs w:val="20"/>
              </w:rPr>
              <w:t>部利用，不得随意</w:t>
            </w:r>
            <w:r>
              <w:rPr>
                <w:rFonts w:ascii="仿宋" w:hAnsi="仿宋" w:eastAsia="仿宋" w:cs="仿宋"/>
                <w:spacing w:val="9"/>
                <w:sz w:val="20"/>
                <w:szCs w:val="20"/>
              </w:rPr>
              <w:t>排放。严格遵守当地有关施工现场管理规定的要求，散料等的运输</w:t>
            </w:r>
            <w:r>
              <w:rPr>
                <w:rFonts w:ascii="仿宋" w:hAnsi="仿宋" w:eastAsia="仿宋" w:cs="仿宋"/>
                <w:spacing w:val="8"/>
                <w:sz w:val="20"/>
                <w:szCs w:val="20"/>
              </w:rPr>
              <w:t>必须由有资质的专</w:t>
            </w:r>
            <w:r>
              <w:rPr>
                <w:rFonts w:ascii="仿宋" w:hAnsi="仿宋" w:eastAsia="仿宋" w:cs="仿宋"/>
                <w:spacing w:val="5"/>
                <w:sz w:val="20"/>
                <w:szCs w:val="20"/>
              </w:rPr>
              <w:t>业运输公司运输，车辆运输散体物料和废弃物时，必须密闭、包扎、覆盖，不得超载、</w:t>
            </w:r>
            <w:r>
              <w:rPr>
                <w:rFonts w:ascii="仿宋" w:hAnsi="仿宋" w:eastAsia="仿宋" w:cs="仿宋"/>
                <w:spacing w:val="9"/>
                <w:sz w:val="20"/>
                <w:szCs w:val="20"/>
              </w:rPr>
              <w:t>沿途撒漏；运载土方的车辆必须在规定的时间内，按指定路段行驶</w:t>
            </w:r>
            <w:r>
              <w:rPr>
                <w:rFonts w:ascii="仿宋" w:hAnsi="仿宋" w:eastAsia="仿宋" w:cs="仿宋"/>
                <w:spacing w:val="8"/>
                <w:sz w:val="20"/>
                <w:szCs w:val="20"/>
              </w:rPr>
              <w:t>，避免造成对周围</w:t>
            </w:r>
            <w:r>
              <w:rPr>
                <w:rFonts w:ascii="仿宋" w:hAnsi="仿宋" w:eastAsia="仿宋" w:cs="仿宋"/>
                <w:spacing w:val="6"/>
                <w:sz w:val="20"/>
                <w:szCs w:val="20"/>
              </w:rPr>
              <w:t>环境的影响。</w:t>
            </w:r>
          </w:p>
        </w:tc>
      </w:tr>
    </w:tbl>
    <w:p w14:paraId="3E5E06BC">
      <w:pPr>
        <w:pStyle w:val="2"/>
        <w:rPr>
          <w:sz w:val="21"/>
        </w:rPr>
      </w:pPr>
    </w:p>
    <w:p w14:paraId="1458B651">
      <w:pPr>
        <w:rPr>
          <w:sz w:val="21"/>
          <w:szCs w:val="21"/>
        </w:rPr>
        <w:sectPr>
          <w:footerReference r:id="rId66" w:type="default"/>
          <w:pgSz w:w="11907" w:h="16840"/>
          <w:pgMar w:top="400" w:right="1597" w:bottom="1446" w:left="1596" w:header="0" w:footer="1284" w:gutter="0"/>
          <w:cols w:space="720" w:num="1"/>
        </w:sectPr>
      </w:pPr>
    </w:p>
    <w:p w14:paraId="3D9F4707">
      <w:pPr>
        <w:spacing w:before="19"/>
      </w:pPr>
    </w:p>
    <w:p w14:paraId="1313F2C7">
      <w:pPr>
        <w:spacing w:before="19"/>
      </w:pPr>
    </w:p>
    <w:p w14:paraId="2691A794">
      <w:pPr>
        <w:spacing w:before="18"/>
      </w:pPr>
    </w:p>
    <w:p w14:paraId="2F6BCE93">
      <w:pPr>
        <w:spacing w:before="18"/>
      </w:pPr>
    </w:p>
    <w:tbl>
      <w:tblPr>
        <w:tblStyle w:val="5"/>
        <w:tblW w:w="8698"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48"/>
        <w:gridCol w:w="7950"/>
      </w:tblGrid>
      <w:tr w14:paraId="050B1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488" w:hRule="atLeast"/>
        </w:trPr>
        <w:tc>
          <w:tcPr>
            <w:tcW w:w="748" w:type="dxa"/>
            <w:tcBorders>
              <w:right w:val="single" w:color="000000" w:sz="2" w:space="0"/>
            </w:tcBorders>
            <w:vAlign w:val="top"/>
          </w:tcPr>
          <w:p w14:paraId="36A85DE7">
            <w:pPr>
              <w:rPr>
                <w:rFonts w:ascii="Arial"/>
                <w:sz w:val="21"/>
              </w:rPr>
            </w:pPr>
          </w:p>
        </w:tc>
        <w:tc>
          <w:tcPr>
            <w:tcW w:w="7950" w:type="dxa"/>
            <w:tcBorders>
              <w:left w:val="single" w:color="000000" w:sz="2" w:space="0"/>
            </w:tcBorders>
            <w:vAlign w:val="top"/>
          </w:tcPr>
          <w:p w14:paraId="7FD75946">
            <w:pPr>
              <w:pStyle w:val="6"/>
              <w:spacing w:before="37" w:line="229" w:lineRule="auto"/>
              <w:ind w:left="525"/>
              <w:rPr>
                <w:rFonts w:ascii="仿宋" w:hAnsi="仿宋" w:eastAsia="仿宋" w:cs="仿宋"/>
                <w:sz w:val="20"/>
                <w:szCs w:val="20"/>
              </w:rPr>
            </w:pPr>
            <w:r>
              <w:rPr>
                <w:b/>
                <w:bCs/>
                <w:spacing w:val="6"/>
                <w:sz w:val="20"/>
                <w:szCs w:val="20"/>
              </w:rPr>
              <w:t>5</w:t>
            </w:r>
            <w:r>
              <w:rPr>
                <w:b/>
                <w:bCs/>
                <w:spacing w:val="-15"/>
                <w:sz w:val="20"/>
                <w:szCs w:val="20"/>
              </w:rPr>
              <w:t xml:space="preserve"> </w:t>
            </w:r>
            <w:r>
              <w:rPr>
                <w:rFonts w:ascii="仿宋" w:hAnsi="仿宋" w:eastAsia="仿宋" w:cs="仿宋"/>
                <w:b/>
                <w:bCs/>
                <w:spacing w:val="6"/>
                <w:sz w:val="20"/>
                <w:szCs w:val="20"/>
              </w:rPr>
              <w:t>、声环境保护措施（详见声环境影响专项评价）</w:t>
            </w:r>
          </w:p>
          <w:p w14:paraId="0B0EEC93">
            <w:pPr>
              <w:pStyle w:val="6"/>
              <w:spacing w:before="159" w:line="232" w:lineRule="auto"/>
              <w:ind w:left="536"/>
              <w:rPr>
                <w:rFonts w:ascii="仿宋" w:hAnsi="仿宋" w:eastAsia="仿宋" w:cs="仿宋"/>
                <w:sz w:val="20"/>
                <w:szCs w:val="20"/>
              </w:rPr>
            </w:pPr>
            <w:r>
              <w:rPr>
                <w:rFonts w:ascii="仿宋" w:hAnsi="仿宋" w:eastAsia="仿宋" w:cs="仿宋"/>
                <w:spacing w:val="6"/>
                <w:sz w:val="20"/>
                <w:szCs w:val="20"/>
              </w:rPr>
              <w:t>（</w:t>
            </w:r>
            <w:r>
              <w:rPr>
                <w:spacing w:val="6"/>
                <w:sz w:val="20"/>
                <w:szCs w:val="20"/>
              </w:rPr>
              <w:t>1</w:t>
            </w:r>
            <w:r>
              <w:rPr>
                <w:rFonts w:ascii="仿宋" w:hAnsi="仿宋" w:eastAsia="仿宋" w:cs="仿宋"/>
                <w:spacing w:val="6"/>
                <w:sz w:val="20"/>
                <w:szCs w:val="20"/>
              </w:rPr>
              <w:t>）施工期</w:t>
            </w:r>
          </w:p>
          <w:p w14:paraId="296E53EE">
            <w:pPr>
              <w:pStyle w:val="6"/>
              <w:spacing w:before="158" w:line="377" w:lineRule="auto"/>
              <w:ind w:left="111" w:right="102" w:firstLine="421"/>
              <w:rPr>
                <w:rFonts w:ascii="仿宋" w:hAnsi="仿宋" w:eastAsia="仿宋" w:cs="仿宋"/>
                <w:sz w:val="20"/>
                <w:szCs w:val="20"/>
              </w:rPr>
            </w:pPr>
            <w:r>
              <w:rPr>
                <w:rFonts w:ascii="仿宋" w:hAnsi="仿宋" w:eastAsia="仿宋" w:cs="仿宋"/>
                <w:spacing w:val="9"/>
                <w:sz w:val="20"/>
                <w:szCs w:val="20"/>
              </w:rPr>
              <w:t>本项目施工期降噪主要采取措施如下：科学集中布</w:t>
            </w:r>
            <w:r>
              <w:rPr>
                <w:rFonts w:ascii="仿宋" w:hAnsi="仿宋" w:eastAsia="仿宋" w:cs="仿宋"/>
                <w:spacing w:val="8"/>
                <w:sz w:val="20"/>
                <w:szCs w:val="20"/>
              </w:rPr>
              <w:t>置施工现场振动设备，选用低</w:t>
            </w:r>
            <w:r>
              <w:rPr>
                <w:rFonts w:ascii="仿宋" w:hAnsi="仿宋" w:eastAsia="仿宋" w:cs="仿宋"/>
                <w:spacing w:val="6"/>
                <w:sz w:val="20"/>
                <w:szCs w:val="20"/>
              </w:rPr>
              <w:t>噪声合规机具并加装减振基座、定期维保，临近敏感点设置高度不低于</w:t>
            </w:r>
            <w:r>
              <w:rPr>
                <w:rFonts w:ascii="仿宋" w:hAnsi="仿宋" w:eastAsia="仿宋" w:cs="仿宋"/>
                <w:spacing w:val="-40"/>
                <w:sz w:val="20"/>
                <w:szCs w:val="20"/>
              </w:rPr>
              <w:t xml:space="preserve"> </w:t>
            </w:r>
            <w:r>
              <w:rPr>
                <w:spacing w:val="6"/>
                <w:sz w:val="20"/>
                <w:szCs w:val="20"/>
              </w:rPr>
              <w:t>2.5m</w:t>
            </w:r>
            <w:r>
              <w:rPr>
                <w:spacing w:val="-22"/>
                <w:sz w:val="20"/>
                <w:szCs w:val="20"/>
              </w:rPr>
              <w:t xml:space="preserve"> </w:t>
            </w:r>
            <w:r>
              <w:rPr>
                <w:rFonts w:ascii="仿宋" w:hAnsi="仿宋" w:eastAsia="仿宋" w:cs="仿宋"/>
                <w:spacing w:val="5"/>
                <w:sz w:val="20"/>
                <w:szCs w:val="20"/>
              </w:rPr>
              <w:t>、两端各</w:t>
            </w:r>
            <w:r>
              <w:rPr>
                <w:rFonts w:ascii="仿宋" w:hAnsi="仿宋" w:eastAsia="仿宋" w:cs="仿宋"/>
                <w:spacing w:val="7"/>
                <w:sz w:val="20"/>
                <w:szCs w:val="20"/>
              </w:rPr>
              <w:t>延伸</w:t>
            </w:r>
            <w:r>
              <w:rPr>
                <w:rFonts w:ascii="仿宋" w:hAnsi="仿宋" w:eastAsia="仿宋" w:cs="仿宋"/>
                <w:spacing w:val="-35"/>
                <w:sz w:val="20"/>
                <w:szCs w:val="20"/>
              </w:rPr>
              <w:t xml:space="preserve"> </w:t>
            </w:r>
            <w:r>
              <w:rPr>
                <w:spacing w:val="7"/>
                <w:sz w:val="20"/>
                <w:szCs w:val="20"/>
              </w:rPr>
              <w:t>50m</w:t>
            </w:r>
            <w:r>
              <w:rPr>
                <w:spacing w:val="30"/>
                <w:sz w:val="20"/>
                <w:szCs w:val="20"/>
              </w:rPr>
              <w:t xml:space="preserve"> </w:t>
            </w:r>
            <w:r>
              <w:rPr>
                <w:rFonts w:ascii="仿宋" w:hAnsi="仿宋" w:eastAsia="仿宋" w:cs="仿宋"/>
                <w:spacing w:val="7"/>
                <w:sz w:val="20"/>
                <w:szCs w:val="20"/>
              </w:rPr>
              <w:t>的临时隔声屏障，可降噪</w:t>
            </w:r>
            <w:r>
              <w:rPr>
                <w:spacing w:val="7"/>
                <w:sz w:val="20"/>
                <w:szCs w:val="20"/>
              </w:rPr>
              <w:t>5</w:t>
            </w:r>
            <w:r>
              <w:rPr>
                <w:rFonts w:ascii="仿宋" w:hAnsi="仿宋" w:eastAsia="仿宋" w:cs="仿宋"/>
                <w:spacing w:val="7"/>
                <w:sz w:val="20"/>
                <w:szCs w:val="20"/>
              </w:rPr>
              <w:t>～</w:t>
            </w:r>
            <w:r>
              <w:rPr>
                <w:spacing w:val="7"/>
                <w:sz w:val="20"/>
                <w:szCs w:val="20"/>
              </w:rPr>
              <w:t>15</w:t>
            </w:r>
            <w:r>
              <w:rPr>
                <w:sz w:val="20"/>
                <w:szCs w:val="20"/>
              </w:rPr>
              <w:t>dB</w:t>
            </w:r>
            <w:r>
              <w:rPr>
                <w:spacing w:val="-22"/>
                <w:sz w:val="20"/>
                <w:szCs w:val="20"/>
              </w:rPr>
              <w:t xml:space="preserve"> </w:t>
            </w:r>
            <w:r>
              <w:rPr>
                <w:rFonts w:ascii="仿宋" w:hAnsi="仿宋" w:eastAsia="仿宋" w:cs="仿宋"/>
                <w:spacing w:val="7"/>
                <w:sz w:val="20"/>
                <w:szCs w:val="20"/>
              </w:rPr>
              <w:t>，同时避免多台高噪机械同时</w:t>
            </w:r>
            <w:r>
              <w:rPr>
                <w:rFonts w:ascii="仿宋" w:hAnsi="仿宋" w:eastAsia="仿宋" w:cs="仿宋"/>
                <w:spacing w:val="6"/>
                <w:sz w:val="20"/>
                <w:szCs w:val="20"/>
              </w:rPr>
              <w:t>作业；严格</w:t>
            </w:r>
            <w:r>
              <w:rPr>
                <w:rFonts w:ascii="仿宋" w:hAnsi="仿宋" w:eastAsia="仿宋" w:cs="仿宋"/>
                <w:spacing w:val="3"/>
                <w:sz w:val="20"/>
                <w:szCs w:val="20"/>
              </w:rPr>
              <w:t>管控施工及运输时间，全线</w:t>
            </w:r>
            <w:r>
              <w:rPr>
                <w:rFonts w:ascii="仿宋" w:hAnsi="仿宋" w:eastAsia="仿宋" w:cs="仿宋"/>
                <w:spacing w:val="-41"/>
                <w:sz w:val="20"/>
                <w:szCs w:val="20"/>
              </w:rPr>
              <w:t xml:space="preserve"> </w:t>
            </w:r>
            <w:r>
              <w:rPr>
                <w:spacing w:val="3"/>
                <w:sz w:val="20"/>
                <w:szCs w:val="20"/>
              </w:rPr>
              <w:t>22:00-</w:t>
            </w:r>
            <w:r>
              <w:rPr>
                <w:rFonts w:ascii="仿宋" w:hAnsi="仿宋" w:eastAsia="仿宋" w:cs="仿宋"/>
                <w:spacing w:val="3"/>
                <w:sz w:val="20"/>
                <w:szCs w:val="20"/>
              </w:rPr>
              <w:t>次</w:t>
            </w:r>
            <w:r>
              <w:rPr>
                <w:rFonts w:ascii="仿宋" w:hAnsi="仿宋" w:eastAsia="仿宋" w:cs="仿宋"/>
                <w:spacing w:val="-42"/>
                <w:sz w:val="20"/>
                <w:szCs w:val="20"/>
              </w:rPr>
              <w:t xml:space="preserve"> </w:t>
            </w:r>
            <w:r>
              <w:rPr>
                <w:rFonts w:ascii="仿宋" w:hAnsi="仿宋" w:eastAsia="仿宋" w:cs="仿宋"/>
                <w:spacing w:val="2"/>
                <w:sz w:val="20"/>
                <w:szCs w:val="20"/>
              </w:rPr>
              <w:t>日</w:t>
            </w:r>
            <w:r>
              <w:rPr>
                <w:rFonts w:ascii="仿宋" w:hAnsi="仿宋" w:eastAsia="仿宋" w:cs="仿宋"/>
                <w:spacing w:val="-36"/>
                <w:sz w:val="20"/>
                <w:szCs w:val="20"/>
              </w:rPr>
              <w:t xml:space="preserve"> </w:t>
            </w:r>
            <w:r>
              <w:rPr>
                <w:spacing w:val="2"/>
                <w:sz w:val="20"/>
                <w:szCs w:val="20"/>
              </w:rPr>
              <w:t>6:00</w:t>
            </w:r>
            <w:r>
              <w:rPr>
                <w:spacing w:val="21"/>
                <w:w w:val="101"/>
                <w:sz w:val="20"/>
                <w:szCs w:val="20"/>
              </w:rPr>
              <w:t xml:space="preserve"> </w:t>
            </w:r>
            <w:r>
              <w:rPr>
                <w:rFonts w:ascii="仿宋" w:hAnsi="仿宋" w:eastAsia="仿宋" w:cs="仿宋"/>
                <w:spacing w:val="2"/>
                <w:sz w:val="20"/>
                <w:szCs w:val="20"/>
              </w:rPr>
              <w:t>禁止夜间施工，敏感路段午休</w:t>
            </w:r>
            <w:r>
              <w:rPr>
                <w:rFonts w:ascii="仿宋" w:hAnsi="仿宋" w:eastAsia="仿宋" w:cs="仿宋"/>
                <w:spacing w:val="-21"/>
                <w:sz w:val="20"/>
                <w:szCs w:val="20"/>
              </w:rPr>
              <w:t xml:space="preserve"> </w:t>
            </w:r>
            <w:r>
              <w:rPr>
                <w:spacing w:val="2"/>
                <w:sz w:val="20"/>
                <w:szCs w:val="20"/>
              </w:rPr>
              <w:t>12:00-</w:t>
            </w:r>
            <w:r>
              <w:rPr>
                <w:spacing w:val="-28"/>
                <w:sz w:val="20"/>
                <w:szCs w:val="20"/>
              </w:rPr>
              <w:t xml:space="preserve"> </w:t>
            </w:r>
            <w:r>
              <w:rPr>
                <w:spacing w:val="2"/>
                <w:sz w:val="20"/>
                <w:szCs w:val="20"/>
              </w:rPr>
              <w:t>14:00</w:t>
            </w:r>
            <w:r>
              <w:rPr>
                <w:rFonts w:ascii="仿宋" w:hAnsi="仿宋" w:eastAsia="仿宋" w:cs="仿宋"/>
                <w:spacing w:val="10"/>
                <w:sz w:val="20"/>
                <w:szCs w:val="20"/>
              </w:rPr>
              <w:t>停工，仅允许</w:t>
            </w:r>
            <w:r>
              <w:rPr>
                <w:rFonts w:ascii="仿宋" w:hAnsi="仿宋" w:eastAsia="仿宋" w:cs="仿宋"/>
                <w:spacing w:val="-34"/>
                <w:sz w:val="20"/>
                <w:szCs w:val="20"/>
              </w:rPr>
              <w:t xml:space="preserve"> </w:t>
            </w:r>
            <w:r>
              <w:rPr>
                <w:spacing w:val="10"/>
                <w:sz w:val="20"/>
                <w:szCs w:val="20"/>
              </w:rPr>
              <w:t>0:00-8:00</w:t>
            </w:r>
            <w:r>
              <w:rPr>
                <w:spacing w:val="19"/>
                <w:w w:val="101"/>
                <w:sz w:val="20"/>
                <w:szCs w:val="20"/>
              </w:rPr>
              <w:t xml:space="preserve"> </w:t>
            </w:r>
            <w:r>
              <w:rPr>
                <w:rFonts w:ascii="仿宋" w:hAnsi="仿宋" w:eastAsia="仿宋" w:cs="仿宋"/>
                <w:spacing w:val="10"/>
                <w:sz w:val="20"/>
                <w:szCs w:val="20"/>
              </w:rPr>
              <w:t>施工，运输车辆尽量绕行居民区，途经村庄时午休、夜间禁</w:t>
            </w:r>
            <w:r>
              <w:rPr>
                <w:rFonts w:ascii="仿宋" w:hAnsi="仿宋" w:eastAsia="仿宋" w:cs="仿宋"/>
                <w:spacing w:val="9"/>
                <w:sz w:val="20"/>
                <w:szCs w:val="20"/>
              </w:rPr>
              <w:t>止通行，确需连续施工须落实降噪措施并报生态环境局审批、</w:t>
            </w:r>
            <w:r>
              <w:rPr>
                <w:rFonts w:ascii="仿宋" w:hAnsi="仿宋" w:eastAsia="仿宋" w:cs="仿宋"/>
                <w:spacing w:val="8"/>
                <w:sz w:val="20"/>
                <w:szCs w:val="20"/>
              </w:rPr>
              <w:t>公示周边村民；此外向</w:t>
            </w:r>
            <w:r>
              <w:rPr>
                <w:rFonts w:ascii="仿宋" w:hAnsi="仿宋" w:eastAsia="仿宋" w:cs="仿宋"/>
                <w:spacing w:val="9"/>
                <w:sz w:val="20"/>
                <w:szCs w:val="20"/>
              </w:rPr>
              <w:t>周边群众做好宣传安抚，开展施工人员环保教育以文明施工减</w:t>
            </w:r>
            <w:r>
              <w:rPr>
                <w:rFonts w:ascii="仿宋" w:hAnsi="仿宋" w:eastAsia="仿宋" w:cs="仿宋"/>
                <w:spacing w:val="8"/>
                <w:sz w:val="20"/>
                <w:szCs w:val="20"/>
              </w:rPr>
              <w:t>少人为噪声，将噪声管</w:t>
            </w:r>
            <w:r>
              <w:rPr>
                <w:rFonts w:ascii="仿宋" w:hAnsi="仿宋" w:eastAsia="仿宋" w:cs="仿宋"/>
                <w:spacing w:val="9"/>
                <w:sz w:val="20"/>
                <w:szCs w:val="20"/>
              </w:rPr>
              <w:t>控纳入承包合同并安排专人监管，施工单位主动接受环保部门</w:t>
            </w:r>
            <w:r>
              <w:rPr>
                <w:rFonts w:ascii="仿宋" w:hAnsi="仿宋" w:eastAsia="仿宋" w:cs="仿宋"/>
                <w:spacing w:val="8"/>
                <w:sz w:val="20"/>
                <w:szCs w:val="20"/>
              </w:rPr>
              <w:t>监督，严格落实《中华人民共和国噪声污染防治法》等相关法规。</w:t>
            </w:r>
          </w:p>
          <w:p w14:paraId="0EAB2D97">
            <w:pPr>
              <w:pStyle w:val="6"/>
              <w:spacing w:line="231" w:lineRule="auto"/>
              <w:ind w:left="536"/>
              <w:rPr>
                <w:rFonts w:ascii="仿宋" w:hAnsi="仿宋" w:eastAsia="仿宋" w:cs="仿宋"/>
                <w:sz w:val="20"/>
                <w:szCs w:val="20"/>
              </w:rPr>
            </w:pPr>
            <w:r>
              <w:rPr>
                <w:rFonts w:ascii="仿宋" w:hAnsi="仿宋" w:eastAsia="仿宋" w:cs="仿宋"/>
                <w:spacing w:val="6"/>
                <w:sz w:val="20"/>
                <w:szCs w:val="20"/>
              </w:rPr>
              <w:t>（</w:t>
            </w:r>
            <w:r>
              <w:rPr>
                <w:spacing w:val="6"/>
                <w:sz w:val="20"/>
                <w:szCs w:val="20"/>
              </w:rPr>
              <w:t>2</w:t>
            </w:r>
            <w:r>
              <w:rPr>
                <w:rFonts w:ascii="仿宋" w:hAnsi="仿宋" w:eastAsia="仿宋" w:cs="仿宋"/>
                <w:spacing w:val="6"/>
                <w:sz w:val="20"/>
                <w:szCs w:val="20"/>
              </w:rPr>
              <w:t>）运营期</w:t>
            </w:r>
          </w:p>
          <w:p w14:paraId="36D2EBAF">
            <w:pPr>
              <w:pStyle w:val="6"/>
              <w:spacing w:before="158" w:line="377" w:lineRule="auto"/>
              <w:ind w:left="112" w:right="45" w:firstLine="420"/>
              <w:rPr>
                <w:rFonts w:ascii="仿宋" w:hAnsi="仿宋" w:eastAsia="仿宋" w:cs="仿宋"/>
                <w:sz w:val="20"/>
                <w:szCs w:val="20"/>
              </w:rPr>
            </w:pPr>
            <w:r>
              <w:rPr>
                <w:rFonts w:ascii="仿宋" w:hAnsi="仿宋" w:eastAsia="仿宋" w:cs="仿宋"/>
                <w:spacing w:val="10"/>
                <w:sz w:val="20"/>
                <w:szCs w:val="20"/>
              </w:rPr>
              <w:t>本项目采用水泥混凝土路面，通过优化水泥路面降噪工艺、全线低速限速管控、</w:t>
            </w:r>
            <w:r>
              <w:rPr>
                <w:rFonts w:ascii="仿宋" w:hAnsi="仿宋" w:eastAsia="仿宋" w:cs="仿宋"/>
                <w:spacing w:val="9"/>
                <w:sz w:val="20"/>
                <w:szCs w:val="20"/>
              </w:rPr>
              <w:t>夜间高噪声车辆限行、用地规划管控，并充分利用沿线农村</w:t>
            </w:r>
            <w:r>
              <w:rPr>
                <w:rFonts w:ascii="仿宋" w:hAnsi="仿宋" w:eastAsia="仿宋" w:cs="仿宋"/>
                <w:spacing w:val="8"/>
                <w:sz w:val="20"/>
                <w:szCs w:val="20"/>
              </w:rPr>
              <w:t>砖混住房墙体、院落围墙</w:t>
            </w:r>
            <w:r>
              <w:rPr>
                <w:rFonts w:ascii="仿宋" w:hAnsi="仿宋" w:eastAsia="仿宋" w:cs="仿宋"/>
                <w:spacing w:val="9"/>
                <w:sz w:val="20"/>
                <w:szCs w:val="20"/>
              </w:rPr>
              <w:t>及房屋布局的天然隔声性能，配套定期噪声跟踪监测，形成完</w:t>
            </w:r>
            <w:r>
              <w:rPr>
                <w:rFonts w:ascii="仿宋" w:hAnsi="仿宋" w:eastAsia="仿宋" w:cs="仿宋"/>
                <w:spacing w:val="8"/>
                <w:sz w:val="20"/>
                <w:szCs w:val="20"/>
              </w:rPr>
              <w:t>整噪声防控体系。结合噪声预测结果，全线</w:t>
            </w:r>
            <w:r>
              <w:rPr>
                <w:rFonts w:ascii="仿宋" w:hAnsi="仿宋" w:eastAsia="仿宋" w:cs="仿宋"/>
                <w:spacing w:val="-18"/>
                <w:sz w:val="20"/>
                <w:szCs w:val="20"/>
              </w:rPr>
              <w:t xml:space="preserve"> </w:t>
            </w:r>
            <w:r>
              <w:rPr>
                <w:spacing w:val="8"/>
                <w:sz w:val="20"/>
                <w:szCs w:val="20"/>
              </w:rPr>
              <w:t>14</w:t>
            </w:r>
            <w:r>
              <w:rPr>
                <w:spacing w:val="18"/>
                <w:w w:val="101"/>
                <w:sz w:val="20"/>
                <w:szCs w:val="20"/>
              </w:rPr>
              <w:t xml:space="preserve"> </w:t>
            </w:r>
            <w:r>
              <w:rPr>
                <w:rFonts w:ascii="仿宋" w:hAnsi="仿宋" w:eastAsia="仿宋" w:cs="仿宋"/>
                <w:spacing w:val="8"/>
                <w:sz w:val="20"/>
                <w:szCs w:val="20"/>
              </w:rPr>
              <w:t>处敏感点运营各阶段室外噪</w:t>
            </w:r>
            <w:r>
              <w:rPr>
                <w:rFonts w:ascii="仿宋" w:hAnsi="仿宋" w:eastAsia="仿宋" w:cs="仿宋"/>
                <w:spacing w:val="7"/>
                <w:sz w:val="20"/>
                <w:szCs w:val="20"/>
              </w:rPr>
              <w:t>声均满足</w:t>
            </w:r>
            <w:r>
              <w:rPr>
                <w:rFonts w:ascii="仿宋" w:hAnsi="仿宋" w:eastAsia="仿宋" w:cs="仿宋"/>
                <w:spacing w:val="-23"/>
                <w:sz w:val="20"/>
                <w:szCs w:val="20"/>
              </w:rPr>
              <w:t xml:space="preserve"> </w:t>
            </w:r>
            <w:r>
              <w:rPr>
                <w:spacing w:val="7"/>
                <w:sz w:val="20"/>
                <w:szCs w:val="20"/>
              </w:rPr>
              <w:t>1</w:t>
            </w:r>
            <w:r>
              <w:rPr>
                <w:spacing w:val="23"/>
                <w:sz w:val="20"/>
                <w:szCs w:val="20"/>
              </w:rPr>
              <w:t xml:space="preserve"> </w:t>
            </w:r>
            <w:r>
              <w:rPr>
                <w:rFonts w:ascii="仿宋" w:hAnsi="仿宋" w:eastAsia="仿宋" w:cs="仿宋"/>
                <w:spacing w:val="7"/>
                <w:sz w:val="20"/>
                <w:szCs w:val="20"/>
              </w:rPr>
              <w:t>类声环境标准，</w:t>
            </w:r>
            <w:r>
              <w:rPr>
                <w:rFonts w:ascii="仿宋" w:hAnsi="仿宋" w:eastAsia="仿宋" w:cs="仿宋"/>
                <w:spacing w:val="-60"/>
                <w:sz w:val="20"/>
                <w:szCs w:val="20"/>
              </w:rPr>
              <w:t xml:space="preserve"> </w:t>
            </w:r>
            <w:r>
              <w:rPr>
                <w:rFonts w:ascii="仿宋" w:hAnsi="仿宋" w:eastAsia="仿宋" w:cs="仿宋"/>
                <w:spacing w:val="7"/>
                <w:sz w:val="20"/>
                <w:szCs w:val="20"/>
              </w:rPr>
              <w:t>室外</w:t>
            </w:r>
            <w:r>
              <w:rPr>
                <w:rFonts w:ascii="仿宋" w:hAnsi="仿宋" w:eastAsia="仿宋" w:cs="仿宋"/>
                <w:spacing w:val="9"/>
                <w:sz w:val="20"/>
                <w:szCs w:val="20"/>
              </w:rPr>
              <w:t>噪声增量整体偏低；农村砖混住房自身隔声能力可进一步降</w:t>
            </w:r>
            <w:r>
              <w:rPr>
                <w:rFonts w:ascii="仿宋" w:hAnsi="仿宋" w:eastAsia="仿宋" w:cs="仿宋"/>
                <w:spacing w:val="8"/>
                <w:sz w:val="20"/>
                <w:szCs w:val="20"/>
              </w:rPr>
              <w:t>低室内噪声水平，有效缓</w:t>
            </w:r>
            <w:r>
              <w:rPr>
                <w:rFonts w:ascii="仿宋" w:hAnsi="仿宋" w:eastAsia="仿宋" w:cs="仿宋"/>
                <w:spacing w:val="5"/>
                <w:sz w:val="20"/>
                <w:szCs w:val="20"/>
              </w:rPr>
              <w:t>解公路交通噪声对居民生活的干扰。整套防治措施技术成熟、投</w:t>
            </w:r>
            <w:r>
              <w:rPr>
                <w:rFonts w:ascii="仿宋" w:hAnsi="仿宋" w:eastAsia="仿宋" w:cs="仿宋"/>
                <w:spacing w:val="4"/>
                <w:sz w:val="20"/>
                <w:szCs w:val="20"/>
              </w:rPr>
              <w:t>资节约、实施难度低，</w:t>
            </w:r>
            <w:r>
              <w:rPr>
                <w:rFonts w:ascii="仿宋" w:hAnsi="仿宋" w:eastAsia="仿宋" w:cs="仿宋"/>
                <w:spacing w:val="9"/>
                <w:sz w:val="20"/>
                <w:szCs w:val="20"/>
              </w:rPr>
              <w:t>可有效控制运营期噪声环境影响，措施具备充分可</w:t>
            </w:r>
            <w:r>
              <w:rPr>
                <w:rFonts w:ascii="仿宋" w:hAnsi="仿宋" w:eastAsia="仿宋" w:cs="仿宋"/>
                <w:spacing w:val="8"/>
                <w:sz w:val="20"/>
                <w:szCs w:val="20"/>
              </w:rPr>
              <w:t>行性。</w:t>
            </w:r>
          </w:p>
          <w:p w14:paraId="12979D42">
            <w:pPr>
              <w:pStyle w:val="6"/>
              <w:spacing w:line="229" w:lineRule="auto"/>
              <w:ind w:left="526"/>
              <w:rPr>
                <w:rFonts w:ascii="仿宋" w:hAnsi="仿宋" w:eastAsia="仿宋" w:cs="仿宋"/>
                <w:sz w:val="20"/>
                <w:szCs w:val="20"/>
              </w:rPr>
            </w:pPr>
            <w:r>
              <w:rPr>
                <w:b/>
                <w:bCs/>
                <w:spacing w:val="5"/>
                <w:sz w:val="20"/>
                <w:szCs w:val="20"/>
              </w:rPr>
              <w:t>6</w:t>
            </w:r>
            <w:r>
              <w:rPr>
                <w:b/>
                <w:bCs/>
                <w:spacing w:val="-20"/>
                <w:sz w:val="20"/>
                <w:szCs w:val="20"/>
              </w:rPr>
              <w:t xml:space="preserve"> </w:t>
            </w:r>
            <w:r>
              <w:rPr>
                <w:rFonts w:ascii="仿宋" w:hAnsi="仿宋" w:eastAsia="仿宋" w:cs="仿宋"/>
                <w:b/>
                <w:bCs/>
                <w:spacing w:val="5"/>
                <w:sz w:val="20"/>
                <w:szCs w:val="20"/>
              </w:rPr>
              <w:t>、材料运输影响减缓措施</w:t>
            </w:r>
          </w:p>
          <w:p w14:paraId="50D65A87">
            <w:pPr>
              <w:pStyle w:val="6"/>
              <w:spacing w:before="160" w:line="228" w:lineRule="auto"/>
              <w:ind w:left="536"/>
              <w:rPr>
                <w:rFonts w:ascii="仿宋" w:hAnsi="仿宋" w:eastAsia="仿宋" w:cs="仿宋"/>
                <w:sz w:val="20"/>
                <w:szCs w:val="20"/>
              </w:rPr>
            </w:pPr>
            <w:r>
              <w:rPr>
                <w:rFonts w:ascii="仿宋" w:hAnsi="仿宋" w:eastAsia="仿宋" w:cs="仿宋"/>
                <w:spacing w:val="8"/>
                <w:sz w:val="20"/>
                <w:szCs w:val="20"/>
              </w:rPr>
              <w:t>（</w:t>
            </w:r>
            <w:r>
              <w:rPr>
                <w:spacing w:val="8"/>
                <w:sz w:val="20"/>
                <w:szCs w:val="20"/>
              </w:rPr>
              <w:t>1</w:t>
            </w:r>
            <w:r>
              <w:rPr>
                <w:rFonts w:ascii="仿宋" w:hAnsi="仿宋" w:eastAsia="仿宋" w:cs="仿宋"/>
                <w:spacing w:val="8"/>
                <w:sz w:val="20"/>
                <w:szCs w:val="20"/>
              </w:rPr>
              <w:t>）材料运输要避开车流高峰时段。</w:t>
            </w:r>
          </w:p>
          <w:p w14:paraId="52A19C04">
            <w:pPr>
              <w:pStyle w:val="6"/>
              <w:spacing w:before="161" w:line="228" w:lineRule="auto"/>
              <w:ind w:left="536"/>
              <w:rPr>
                <w:rFonts w:ascii="仿宋" w:hAnsi="仿宋" w:eastAsia="仿宋" w:cs="仿宋"/>
                <w:sz w:val="20"/>
                <w:szCs w:val="20"/>
              </w:rPr>
            </w:pPr>
            <w:r>
              <w:rPr>
                <w:rFonts w:ascii="仿宋" w:hAnsi="仿宋" w:eastAsia="仿宋" w:cs="仿宋"/>
                <w:spacing w:val="8"/>
                <w:sz w:val="20"/>
                <w:szCs w:val="20"/>
              </w:rPr>
              <w:t>（</w:t>
            </w:r>
            <w:r>
              <w:rPr>
                <w:spacing w:val="8"/>
                <w:sz w:val="20"/>
                <w:szCs w:val="20"/>
              </w:rPr>
              <w:t>2</w:t>
            </w:r>
            <w:r>
              <w:rPr>
                <w:rFonts w:ascii="仿宋" w:hAnsi="仿宋" w:eastAsia="仿宋" w:cs="仿宋"/>
                <w:spacing w:val="8"/>
                <w:sz w:val="20"/>
                <w:szCs w:val="20"/>
              </w:rPr>
              <w:t>）运输车辆应遵守当地的交通法规。</w:t>
            </w:r>
          </w:p>
          <w:p w14:paraId="26E4850E">
            <w:pPr>
              <w:pStyle w:val="6"/>
              <w:spacing w:before="160" w:line="229" w:lineRule="auto"/>
              <w:ind w:left="536"/>
              <w:rPr>
                <w:rFonts w:ascii="仿宋" w:hAnsi="仿宋" w:eastAsia="仿宋" w:cs="仿宋"/>
                <w:sz w:val="20"/>
                <w:szCs w:val="20"/>
              </w:rPr>
            </w:pPr>
            <w:r>
              <w:rPr>
                <w:rFonts w:ascii="仿宋" w:hAnsi="仿宋" w:eastAsia="仿宋" w:cs="仿宋"/>
                <w:spacing w:val="8"/>
                <w:sz w:val="20"/>
                <w:szCs w:val="20"/>
              </w:rPr>
              <w:t>（</w:t>
            </w:r>
            <w:r>
              <w:rPr>
                <w:spacing w:val="8"/>
                <w:sz w:val="20"/>
                <w:szCs w:val="20"/>
              </w:rPr>
              <w:t>3</w:t>
            </w:r>
            <w:r>
              <w:rPr>
                <w:rFonts w:ascii="仿宋" w:hAnsi="仿宋" w:eastAsia="仿宋" w:cs="仿宋"/>
                <w:spacing w:val="8"/>
                <w:sz w:val="20"/>
                <w:szCs w:val="20"/>
              </w:rPr>
              <w:t>）切忌超载运输以免造成散装材料的散落和堵塞交通。</w:t>
            </w:r>
          </w:p>
          <w:p w14:paraId="5CE638C8">
            <w:pPr>
              <w:pStyle w:val="6"/>
              <w:spacing w:before="160" w:line="228" w:lineRule="auto"/>
              <w:ind w:left="536"/>
              <w:rPr>
                <w:rFonts w:ascii="仿宋" w:hAnsi="仿宋" w:eastAsia="仿宋" w:cs="仿宋"/>
                <w:sz w:val="20"/>
                <w:szCs w:val="20"/>
              </w:rPr>
            </w:pPr>
            <w:r>
              <w:rPr>
                <w:rFonts w:ascii="仿宋" w:hAnsi="仿宋" w:eastAsia="仿宋" w:cs="仿宋"/>
                <w:spacing w:val="9"/>
                <w:sz w:val="20"/>
                <w:szCs w:val="20"/>
              </w:rPr>
              <w:t>（</w:t>
            </w:r>
            <w:r>
              <w:rPr>
                <w:spacing w:val="9"/>
                <w:sz w:val="20"/>
                <w:szCs w:val="20"/>
              </w:rPr>
              <w:t>4</w:t>
            </w:r>
            <w:r>
              <w:rPr>
                <w:rFonts w:ascii="仿宋" w:hAnsi="仿宋" w:eastAsia="仿宋" w:cs="仿宋"/>
                <w:spacing w:val="9"/>
                <w:sz w:val="20"/>
                <w:szCs w:val="20"/>
              </w:rPr>
              <w:t>）运输车辆经过村民区时应适当减速，设置警示标志，禁止高声鸣</w:t>
            </w:r>
            <w:r>
              <w:rPr>
                <w:rFonts w:ascii="仿宋" w:hAnsi="仿宋" w:eastAsia="仿宋" w:cs="仿宋"/>
                <w:spacing w:val="8"/>
                <w:sz w:val="20"/>
                <w:szCs w:val="20"/>
              </w:rPr>
              <w:t>笛。</w:t>
            </w:r>
          </w:p>
          <w:p w14:paraId="7A9E5AEE">
            <w:pPr>
              <w:pStyle w:val="6"/>
              <w:spacing w:before="164" w:line="228" w:lineRule="auto"/>
              <w:ind w:left="536"/>
              <w:rPr>
                <w:rFonts w:ascii="仿宋" w:hAnsi="仿宋" w:eastAsia="仿宋" w:cs="仿宋"/>
                <w:sz w:val="20"/>
                <w:szCs w:val="20"/>
              </w:rPr>
            </w:pPr>
            <w:r>
              <w:rPr>
                <w:rFonts w:ascii="仿宋" w:hAnsi="仿宋" w:eastAsia="仿宋" w:cs="仿宋"/>
                <w:spacing w:val="8"/>
                <w:sz w:val="20"/>
                <w:szCs w:val="20"/>
              </w:rPr>
              <w:t>（</w:t>
            </w:r>
            <w:r>
              <w:rPr>
                <w:spacing w:val="8"/>
                <w:sz w:val="20"/>
                <w:szCs w:val="20"/>
              </w:rPr>
              <w:t>5</w:t>
            </w:r>
            <w:r>
              <w:rPr>
                <w:rFonts w:ascii="仿宋" w:hAnsi="仿宋" w:eastAsia="仿宋" w:cs="仿宋"/>
                <w:spacing w:val="8"/>
                <w:sz w:val="20"/>
                <w:szCs w:val="20"/>
              </w:rPr>
              <w:t>）物料运输车密封，运输途中不散落。</w:t>
            </w:r>
          </w:p>
          <w:p w14:paraId="03AF647D">
            <w:pPr>
              <w:pStyle w:val="6"/>
              <w:spacing w:before="160" w:line="232" w:lineRule="auto"/>
              <w:ind w:left="525"/>
              <w:rPr>
                <w:rFonts w:ascii="仿宋" w:hAnsi="仿宋" w:eastAsia="仿宋" w:cs="仿宋"/>
                <w:sz w:val="20"/>
                <w:szCs w:val="20"/>
              </w:rPr>
            </w:pPr>
            <w:r>
              <w:rPr>
                <w:b/>
                <w:bCs/>
                <w:spacing w:val="3"/>
                <w:sz w:val="20"/>
                <w:szCs w:val="20"/>
              </w:rPr>
              <w:t>7</w:t>
            </w:r>
            <w:r>
              <w:rPr>
                <w:b/>
                <w:bCs/>
                <w:spacing w:val="-18"/>
                <w:sz w:val="20"/>
                <w:szCs w:val="20"/>
              </w:rPr>
              <w:t xml:space="preserve"> </w:t>
            </w:r>
            <w:r>
              <w:rPr>
                <w:rFonts w:ascii="仿宋" w:hAnsi="仿宋" w:eastAsia="仿宋" w:cs="仿宋"/>
                <w:b/>
                <w:bCs/>
                <w:spacing w:val="3"/>
                <w:sz w:val="20"/>
                <w:szCs w:val="20"/>
              </w:rPr>
              <w:t>、安全防范措施</w:t>
            </w:r>
          </w:p>
          <w:p w14:paraId="0C2B50B1">
            <w:pPr>
              <w:spacing w:before="158" w:line="376" w:lineRule="auto"/>
              <w:ind w:left="111" w:right="103" w:firstLine="421"/>
              <w:rPr>
                <w:rFonts w:ascii="仿宋" w:hAnsi="仿宋" w:eastAsia="仿宋" w:cs="仿宋"/>
                <w:sz w:val="20"/>
                <w:szCs w:val="20"/>
              </w:rPr>
            </w:pPr>
            <w:r>
              <w:rPr>
                <w:rFonts w:ascii="仿宋" w:hAnsi="仿宋" w:eastAsia="仿宋" w:cs="仿宋"/>
                <w:spacing w:val="9"/>
                <w:sz w:val="20"/>
                <w:szCs w:val="20"/>
              </w:rPr>
              <w:t>本工程实施区域人口及车流量相对分散，但务必也</w:t>
            </w:r>
            <w:r>
              <w:rPr>
                <w:rFonts w:ascii="仿宋" w:hAnsi="仿宋" w:eastAsia="仿宋" w:cs="仿宋"/>
                <w:spacing w:val="8"/>
                <w:sz w:val="20"/>
                <w:szCs w:val="20"/>
              </w:rPr>
              <w:t>要做好施工安全管理工作，保</w:t>
            </w:r>
            <w:r>
              <w:rPr>
                <w:rFonts w:ascii="仿宋" w:hAnsi="仿宋" w:eastAsia="仿宋" w:cs="仿宋"/>
                <w:spacing w:val="6"/>
                <w:sz w:val="20"/>
                <w:szCs w:val="20"/>
              </w:rPr>
              <w:t>证村民出行安全。</w:t>
            </w:r>
          </w:p>
          <w:p w14:paraId="7428F263">
            <w:pPr>
              <w:pStyle w:val="6"/>
              <w:spacing w:before="3" w:line="376" w:lineRule="auto"/>
              <w:ind w:left="114" w:right="223" w:firstLine="421"/>
              <w:rPr>
                <w:rFonts w:ascii="仿宋" w:hAnsi="仿宋" w:eastAsia="仿宋" w:cs="仿宋"/>
                <w:sz w:val="20"/>
                <w:szCs w:val="20"/>
              </w:rPr>
            </w:pPr>
            <w:r>
              <w:rPr>
                <w:rFonts w:ascii="仿宋" w:hAnsi="仿宋" w:eastAsia="仿宋" w:cs="仿宋"/>
                <w:spacing w:val="8"/>
                <w:sz w:val="20"/>
                <w:szCs w:val="20"/>
              </w:rPr>
              <w:t>（</w:t>
            </w:r>
            <w:r>
              <w:rPr>
                <w:spacing w:val="8"/>
                <w:sz w:val="20"/>
                <w:szCs w:val="20"/>
              </w:rPr>
              <w:t>1</w:t>
            </w:r>
            <w:r>
              <w:rPr>
                <w:rFonts w:ascii="仿宋" w:hAnsi="仿宋" w:eastAsia="仿宋" w:cs="仿宋"/>
                <w:spacing w:val="8"/>
                <w:sz w:val="20"/>
                <w:szCs w:val="20"/>
              </w:rPr>
              <w:t>）施工单位应建立安全生产管理制度，制定相应切实可行的安全防护措</w:t>
            </w:r>
            <w:r>
              <w:rPr>
                <w:rFonts w:ascii="仿宋" w:hAnsi="仿宋" w:eastAsia="仿宋" w:cs="仿宋"/>
                <w:spacing w:val="7"/>
                <w:sz w:val="20"/>
                <w:szCs w:val="20"/>
              </w:rPr>
              <w:t>施，</w:t>
            </w:r>
            <w:r>
              <w:rPr>
                <w:rFonts w:ascii="仿宋" w:hAnsi="仿宋" w:eastAsia="仿宋" w:cs="仿宋"/>
                <w:spacing w:val="8"/>
                <w:sz w:val="20"/>
                <w:szCs w:val="20"/>
              </w:rPr>
              <w:t>并由专人负责监督安全施工作业。</w:t>
            </w:r>
          </w:p>
          <w:p w14:paraId="321C0318">
            <w:pPr>
              <w:pStyle w:val="6"/>
              <w:spacing w:before="2" w:line="365" w:lineRule="auto"/>
              <w:ind w:left="111" w:right="103" w:firstLine="425"/>
              <w:rPr>
                <w:rFonts w:ascii="仿宋" w:hAnsi="仿宋" w:eastAsia="仿宋" w:cs="仿宋"/>
                <w:sz w:val="20"/>
                <w:szCs w:val="20"/>
              </w:rPr>
            </w:pPr>
            <w:r>
              <w:rPr>
                <w:rFonts w:ascii="仿宋" w:hAnsi="仿宋" w:eastAsia="仿宋" w:cs="仿宋"/>
                <w:spacing w:val="9"/>
                <w:sz w:val="20"/>
                <w:szCs w:val="20"/>
              </w:rPr>
              <w:t>（</w:t>
            </w:r>
            <w:r>
              <w:rPr>
                <w:spacing w:val="9"/>
                <w:sz w:val="20"/>
                <w:szCs w:val="20"/>
              </w:rPr>
              <w:t>2</w:t>
            </w:r>
            <w:r>
              <w:rPr>
                <w:rFonts w:ascii="仿宋" w:hAnsi="仿宋" w:eastAsia="仿宋" w:cs="仿宋"/>
                <w:spacing w:val="9"/>
                <w:sz w:val="20"/>
                <w:szCs w:val="20"/>
              </w:rPr>
              <w:t>）加强施工人员劳动保护措施，在特殊地段施工，施工人员应戴安全帽，大量接触粉尘及高噪设备施工区域的施工人员须佩戴口罩、耳塞</w:t>
            </w:r>
            <w:r>
              <w:rPr>
                <w:rFonts w:ascii="仿宋" w:hAnsi="仿宋" w:eastAsia="仿宋" w:cs="仿宋"/>
                <w:spacing w:val="8"/>
                <w:sz w:val="20"/>
                <w:szCs w:val="20"/>
              </w:rPr>
              <w:t>等个人防护用具，以保证施工人员的安全和身体健康。</w:t>
            </w:r>
          </w:p>
        </w:tc>
      </w:tr>
    </w:tbl>
    <w:p w14:paraId="74D90F6E">
      <w:pPr>
        <w:pStyle w:val="2"/>
        <w:rPr>
          <w:sz w:val="21"/>
        </w:rPr>
      </w:pPr>
    </w:p>
    <w:p w14:paraId="3040CBDB">
      <w:pPr>
        <w:rPr>
          <w:sz w:val="21"/>
          <w:szCs w:val="21"/>
        </w:rPr>
        <w:sectPr>
          <w:footerReference r:id="rId67" w:type="default"/>
          <w:pgSz w:w="11907" w:h="16840"/>
          <w:pgMar w:top="400" w:right="1597" w:bottom="1446" w:left="1596" w:header="0" w:footer="1284" w:gutter="0"/>
          <w:cols w:space="720" w:num="1"/>
        </w:sectPr>
      </w:pPr>
    </w:p>
    <w:p w14:paraId="60BA4831">
      <w:pPr>
        <w:spacing w:before="19"/>
      </w:pPr>
    </w:p>
    <w:p w14:paraId="7CB44DB5">
      <w:pPr>
        <w:spacing w:before="19"/>
      </w:pPr>
    </w:p>
    <w:p w14:paraId="7D16DFBF">
      <w:pPr>
        <w:spacing w:before="18"/>
      </w:pPr>
    </w:p>
    <w:p w14:paraId="04E4503C">
      <w:pPr>
        <w:spacing w:before="18"/>
      </w:pPr>
    </w:p>
    <w:tbl>
      <w:tblPr>
        <w:tblStyle w:val="5"/>
        <w:tblW w:w="8698"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48"/>
        <w:gridCol w:w="7950"/>
      </w:tblGrid>
      <w:tr w14:paraId="1FF503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455" w:hRule="atLeast"/>
        </w:trPr>
        <w:tc>
          <w:tcPr>
            <w:tcW w:w="748" w:type="dxa"/>
            <w:tcBorders>
              <w:right w:val="single" w:color="000000" w:sz="2" w:space="0"/>
            </w:tcBorders>
            <w:vAlign w:val="top"/>
          </w:tcPr>
          <w:p w14:paraId="5A3D0B3D">
            <w:pPr>
              <w:rPr>
                <w:rFonts w:ascii="Arial"/>
                <w:sz w:val="21"/>
              </w:rPr>
            </w:pPr>
          </w:p>
        </w:tc>
        <w:tc>
          <w:tcPr>
            <w:tcW w:w="7950" w:type="dxa"/>
            <w:tcBorders>
              <w:left w:val="single" w:color="000000" w:sz="2" w:space="0"/>
            </w:tcBorders>
            <w:vAlign w:val="top"/>
          </w:tcPr>
          <w:p w14:paraId="5F99DE86">
            <w:pPr>
              <w:pStyle w:val="6"/>
              <w:spacing w:before="36" w:line="229" w:lineRule="auto"/>
              <w:ind w:left="536"/>
              <w:rPr>
                <w:rFonts w:ascii="仿宋" w:hAnsi="仿宋" w:eastAsia="仿宋" w:cs="仿宋"/>
                <w:sz w:val="20"/>
                <w:szCs w:val="20"/>
              </w:rPr>
            </w:pPr>
            <w:r>
              <w:rPr>
                <w:rFonts w:ascii="仿宋" w:hAnsi="仿宋" w:eastAsia="仿宋" w:cs="仿宋"/>
                <w:spacing w:val="9"/>
                <w:sz w:val="20"/>
                <w:szCs w:val="20"/>
              </w:rPr>
              <w:t>（</w:t>
            </w:r>
            <w:r>
              <w:rPr>
                <w:spacing w:val="9"/>
                <w:sz w:val="20"/>
                <w:szCs w:val="20"/>
              </w:rPr>
              <w:t>3</w:t>
            </w:r>
            <w:r>
              <w:rPr>
                <w:rFonts w:ascii="仿宋" w:hAnsi="仿宋" w:eastAsia="仿宋" w:cs="仿宋"/>
                <w:spacing w:val="9"/>
                <w:sz w:val="20"/>
                <w:szCs w:val="20"/>
              </w:rPr>
              <w:t>）材料运输避开高峰期，减轻现有道路的拥挤程度，防止交通事</w:t>
            </w:r>
            <w:r>
              <w:rPr>
                <w:rFonts w:ascii="仿宋" w:hAnsi="仿宋" w:eastAsia="仿宋" w:cs="仿宋"/>
                <w:spacing w:val="8"/>
                <w:sz w:val="20"/>
                <w:szCs w:val="20"/>
              </w:rPr>
              <w:t>故。</w:t>
            </w:r>
          </w:p>
        </w:tc>
      </w:tr>
    </w:tbl>
    <w:p w14:paraId="479424C4">
      <w:pPr>
        <w:pStyle w:val="2"/>
        <w:rPr>
          <w:sz w:val="21"/>
        </w:rPr>
      </w:pPr>
    </w:p>
    <w:p w14:paraId="0298CBEC">
      <w:pPr>
        <w:rPr>
          <w:sz w:val="21"/>
          <w:szCs w:val="21"/>
        </w:rPr>
        <w:sectPr>
          <w:footerReference r:id="rId68" w:type="default"/>
          <w:pgSz w:w="11907" w:h="16840"/>
          <w:pgMar w:top="400" w:right="1597" w:bottom="1446" w:left="1596" w:header="0" w:footer="1284" w:gutter="0"/>
          <w:cols w:space="720" w:num="1"/>
        </w:sectPr>
      </w:pPr>
    </w:p>
    <w:p w14:paraId="05A3C06C">
      <w:pPr>
        <w:spacing w:before="19"/>
      </w:pPr>
    </w:p>
    <w:p w14:paraId="65133599">
      <w:pPr>
        <w:spacing w:before="19"/>
      </w:pPr>
    </w:p>
    <w:p w14:paraId="31384E6D">
      <w:pPr>
        <w:spacing w:before="18"/>
      </w:pPr>
    </w:p>
    <w:p w14:paraId="6F640C1C">
      <w:pPr>
        <w:spacing w:before="18"/>
      </w:pPr>
    </w:p>
    <w:tbl>
      <w:tblPr>
        <w:tblStyle w:val="5"/>
        <w:tblW w:w="8698"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48"/>
        <w:gridCol w:w="7950"/>
      </w:tblGrid>
      <w:tr w14:paraId="6148EE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488" w:hRule="atLeast"/>
        </w:trPr>
        <w:tc>
          <w:tcPr>
            <w:tcW w:w="748" w:type="dxa"/>
            <w:tcBorders>
              <w:right w:val="single" w:color="000000" w:sz="2" w:space="0"/>
            </w:tcBorders>
            <w:vAlign w:val="top"/>
          </w:tcPr>
          <w:p w14:paraId="43692D79">
            <w:pPr>
              <w:spacing w:line="244" w:lineRule="auto"/>
              <w:rPr>
                <w:rFonts w:ascii="Arial"/>
                <w:sz w:val="21"/>
              </w:rPr>
            </w:pPr>
          </w:p>
          <w:p w14:paraId="77DE128F">
            <w:pPr>
              <w:spacing w:line="244" w:lineRule="auto"/>
              <w:rPr>
                <w:rFonts w:ascii="Arial"/>
                <w:sz w:val="21"/>
              </w:rPr>
            </w:pPr>
          </w:p>
          <w:p w14:paraId="275043A7">
            <w:pPr>
              <w:spacing w:line="244" w:lineRule="auto"/>
              <w:rPr>
                <w:rFonts w:ascii="Arial"/>
                <w:sz w:val="21"/>
              </w:rPr>
            </w:pPr>
          </w:p>
          <w:p w14:paraId="6FA44256">
            <w:pPr>
              <w:spacing w:line="244" w:lineRule="auto"/>
              <w:rPr>
                <w:rFonts w:ascii="Arial"/>
                <w:sz w:val="21"/>
              </w:rPr>
            </w:pPr>
          </w:p>
          <w:p w14:paraId="64A455A6">
            <w:pPr>
              <w:spacing w:line="244" w:lineRule="auto"/>
              <w:rPr>
                <w:rFonts w:ascii="Arial"/>
                <w:sz w:val="21"/>
              </w:rPr>
            </w:pPr>
          </w:p>
          <w:p w14:paraId="66BF750F">
            <w:pPr>
              <w:spacing w:line="244" w:lineRule="auto"/>
              <w:rPr>
                <w:rFonts w:ascii="Arial"/>
                <w:sz w:val="21"/>
              </w:rPr>
            </w:pPr>
          </w:p>
          <w:p w14:paraId="44905380">
            <w:pPr>
              <w:spacing w:line="244" w:lineRule="auto"/>
              <w:rPr>
                <w:rFonts w:ascii="Arial"/>
                <w:sz w:val="21"/>
              </w:rPr>
            </w:pPr>
          </w:p>
          <w:p w14:paraId="234981C8">
            <w:pPr>
              <w:spacing w:line="244" w:lineRule="auto"/>
              <w:rPr>
                <w:rFonts w:ascii="Arial"/>
                <w:sz w:val="21"/>
              </w:rPr>
            </w:pPr>
          </w:p>
          <w:p w14:paraId="7FFCF622">
            <w:pPr>
              <w:spacing w:line="244" w:lineRule="auto"/>
              <w:rPr>
                <w:rFonts w:ascii="Arial"/>
                <w:sz w:val="21"/>
              </w:rPr>
            </w:pPr>
          </w:p>
          <w:p w14:paraId="45FBA705">
            <w:pPr>
              <w:spacing w:line="244" w:lineRule="auto"/>
              <w:rPr>
                <w:rFonts w:ascii="Arial"/>
                <w:sz w:val="21"/>
              </w:rPr>
            </w:pPr>
          </w:p>
          <w:p w14:paraId="46366CAE">
            <w:pPr>
              <w:spacing w:line="244" w:lineRule="auto"/>
              <w:rPr>
                <w:rFonts w:ascii="Arial"/>
                <w:sz w:val="21"/>
              </w:rPr>
            </w:pPr>
          </w:p>
          <w:p w14:paraId="4F639648">
            <w:pPr>
              <w:spacing w:line="244" w:lineRule="auto"/>
              <w:rPr>
                <w:rFonts w:ascii="Arial"/>
                <w:sz w:val="21"/>
              </w:rPr>
            </w:pPr>
          </w:p>
          <w:p w14:paraId="47855F59">
            <w:pPr>
              <w:spacing w:line="244" w:lineRule="auto"/>
              <w:rPr>
                <w:rFonts w:ascii="Arial"/>
                <w:sz w:val="21"/>
              </w:rPr>
            </w:pPr>
          </w:p>
          <w:p w14:paraId="40FF1504">
            <w:pPr>
              <w:spacing w:line="244" w:lineRule="auto"/>
              <w:rPr>
                <w:rFonts w:ascii="Arial"/>
                <w:sz w:val="21"/>
              </w:rPr>
            </w:pPr>
          </w:p>
          <w:p w14:paraId="5233B216">
            <w:pPr>
              <w:spacing w:line="244" w:lineRule="auto"/>
              <w:rPr>
                <w:rFonts w:ascii="Arial"/>
                <w:sz w:val="21"/>
              </w:rPr>
            </w:pPr>
          </w:p>
          <w:p w14:paraId="687C57BB">
            <w:pPr>
              <w:spacing w:line="244" w:lineRule="auto"/>
              <w:rPr>
                <w:rFonts w:ascii="Arial"/>
                <w:sz w:val="21"/>
              </w:rPr>
            </w:pPr>
          </w:p>
          <w:p w14:paraId="13673AF0">
            <w:pPr>
              <w:spacing w:line="244" w:lineRule="auto"/>
              <w:rPr>
                <w:rFonts w:ascii="Arial"/>
                <w:sz w:val="21"/>
              </w:rPr>
            </w:pPr>
          </w:p>
          <w:p w14:paraId="30340CBD">
            <w:pPr>
              <w:spacing w:line="244" w:lineRule="auto"/>
              <w:rPr>
                <w:rFonts w:ascii="Arial"/>
                <w:sz w:val="21"/>
              </w:rPr>
            </w:pPr>
          </w:p>
          <w:p w14:paraId="4A637345">
            <w:pPr>
              <w:spacing w:line="244" w:lineRule="auto"/>
              <w:rPr>
                <w:rFonts w:ascii="Arial"/>
                <w:sz w:val="21"/>
              </w:rPr>
            </w:pPr>
          </w:p>
          <w:p w14:paraId="52BABC45">
            <w:pPr>
              <w:spacing w:line="244" w:lineRule="auto"/>
              <w:rPr>
                <w:rFonts w:ascii="Arial"/>
                <w:sz w:val="21"/>
              </w:rPr>
            </w:pPr>
          </w:p>
          <w:p w14:paraId="6F223370">
            <w:pPr>
              <w:spacing w:line="244" w:lineRule="auto"/>
              <w:rPr>
                <w:rFonts w:ascii="Arial"/>
                <w:sz w:val="21"/>
              </w:rPr>
            </w:pPr>
          </w:p>
          <w:p w14:paraId="1F5D6495">
            <w:pPr>
              <w:spacing w:line="244" w:lineRule="auto"/>
              <w:rPr>
                <w:rFonts w:ascii="Arial"/>
                <w:sz w:val="21"/>
              </w:rPr>
            </w:pPr>
          </w:p>
          <w:p w14:paraId="331B2811">
            <w:pPr>
              <w:spacing w:line="244" w:lineRule="auto"/>
              <w:rPr>
                <w:rFonts w:ascii="Arial"/>
                <w:sz w:val="21"/>
              </w:rPr>
            </w:pPr>
          </w:p>
          <w:p w14:paraId="6FA4CF72">
            <w:pPr>
              <w:spacing w:line="244" w:lineRule="auto"/>
              <w:rPr>
                <w:rFonts w:ascii="Arial"/>
                <w:sz w:val="21"/>
              </w:rPr>
            </w:pPr>
          </w:p>
          <w:p w14:paraId="78B0CCBE">
            <w:pPr>
              <w:spacing w:before="65" w:line="252" w:lineRule="auto"/>
              <w:ind w:left="146" w:right="165" w:firstLine="2"/>
              <w:jc w:val="both"/>
              <w:rPr>
                <w:rFonts w:ascii="仿宋" w:hAnsi="仿宋" w:eastAsia="仿宋" w:cs="仿宋"/>
                <w:sz w:val="20"/>
                <w:szCs w:val="20"/>
              </w:rPr>
            </w:pPr>
            <w:r>
              <w:rPr>
                <w:rFonts w:ascii="仿宋" w:hAnsi="仿宋" w:eastAsia="仿宋" w:cs="仿宋"/>
                <w:spacing w:val="11"/>
                <w:sz w:val="20"/>
                <w:szCs w:val="20"/>
              </w:rPr>
              <w:t>运营</w:t>
            </w:r>
            <w:r>
              <w:rPr>
                <w:rFonts w:ascii="仿宋" w:hAnsi="仿宋" w:eastAsia="仿宋" w:cs="仿宋"/>
                <w:spacing w:val="13"/>
                <w:sz w:val="20"/>
                <w:szCs w:val="20"/>
              </w:rPr>
              <w:t>期生态环境保护措</w:t>
            </w:r>
            <w:r>
              <w:rPr>
                <w:rFonts w:ascii="仿宋" w:hAnsi="仿宋" w:eastAsia="仿宋" w:cs="仿宋"/>
                <w:spacing w:val="51"/>
                <w:w w:val="130"/>
                <w:sz w:val="20"/>
                <w:szCs w:val="20"/>
              </w:rPr>
              <w:t>施</w:t>
            </w:r>
          </w:p>
        </w:tc>
        <w:tc>
          <w:tcPr>
            <w:tcW w:w="7950" w:type="dxa"/>
            <w:tcBorders>
              <w:left w:val="single" w:color="000000" w:sz="2" w:space="0"/>
            </w:tcBorders>
            <w:vAlign w:val="top"/>
          </w:tcPr>
          <w:p w14:paraId="63A5D780">
            <w:pPr>
              <w:pStyle w:val="6"/>
              <w:spacing w:before="37" w:line="229" w:lineRule="auto"/>
              <w:ind w:left="532"/>
              <w:rPr>
                <w:rFonts w:ascii="仿宋" w:hAnsi="仿宋" w:eastAsia="仿宋" w:cs="仿宋"/>
                <w:sz w:val="20"/>
                <w:szCs w:val="20"/>
              </w:rPr>
            </w:pPr>
            <w:r>
              <w:rPr>
                <w:b/>
                <w:bCs/>
                <w:spacing w:val="3"/>
                <w:sz w:val="20"/>
                <w:szCs w:val="20"/>
              </w:rPr>
              <w:t>1</w:t>
            </w:r>
            <w:r>
              <w:rPr>
                <w:b/>
                <w:bCs/>
                <w:spacing w:val="-12"/>
                <w:sz w:val="20"/>
                <w:szCs w:val="20"/>
              </w:rPr>
              <w:t xml:space="preserve"> </w:t>
            </w:r>
            <w:r>
              <w:rPr>
                <w:rFonts w:ascii="仿宋" w:hAnsi="仿宋" w:eastAsia="仿宋" w:cs="仿宋"/>
                <w:b/>
                <w:bCs/>
                <w:spacing w:val="3"/>
                <w:sz w:val="20"/>
                <w:szCs w:val="20"/>
              </w:rPr>
              <w:t>、生态环境保护措施</w:t>
            </w:r>
          </w:p>
          <w:p w14:paraId="1FE5489E">
            <w:pPr>
              <w:spacing w:before="158" w:line="377" w:lineRule="auto"/>
              <w:ind w:left="111" w:right="103" w:firstLine="422"/>
              <w:jc w:val="both"/>
              <w:rPr>
                <w:rFonts w:ascii="仿宋" w:hAnsi="仿宋" w:eastAsia="仿宋" w:cs="仿宋"/>
                <w:sz w:val="20"/>
                <w:szCs w:val="20"/>
              </w:rPr>
            </w:pPr>
            <w:r>
              <w:rPr>
                <w:rFonts w:ascii="仿宋" w:hAnsi="仿宋" w:eastAsia="仿宋" w:cs="仿宋"/>
                <w:spacing w:val="7"/>
                <w:sz w:val="20"/>
                <w:szCs w:val="20"/>
              </w:rPr>
              <w:t>运营期，</w:t>
            </w:r>
            <w:r>
              <w:rPr>
                <w:rFonts w:ascii="仿宋" w:hAnsi="仿宋" w:eastAsia="仿宋" w:cs="仿宋"/>
                <w:spacing w:val="-44"/>
                <w:sz w:val="20"/>
                <w:szCs w:val="20"/>
              </w:rPr>
              <w:t xml:space="preserve"> </w:t>
            </w:r>
            <w:r>
              <w:rPr>
                <w:rFonts w:ascii="仿宋" w:hAnsi="仿宋" w:eastAsia="仿宋" w:cs="仿宋"/>
                <w:spacing w:val="7"/>
                <w:sz w:val="20"/>
                <w:szCs w:val="20"/>
              </w:rPr>
              <w:t>以边坡植被长效管护、排水系统常态化清淤修复、沿线乡土绿化缓冲、</w:t>
            </w:r>
            <w:r>
              <w:rPr>
                <w:rFonts w:ascii="仿宋" w:hAnsi="仿宋" w:eastAsia="仿宋" w:cs="仿宋"/>
                <w:spacing w:val="9"/>
                <w:sz w:val="20"/>
                <w:szCs w:val="20"/>
              </w:rPr>
              <w:t>小型野生动物涵洞通道维持、路面径流生态过滤、沿线垃圾常</w:t>
            </w:r>
            <w:r>
              <w:rPr>
                <w:rFonts w:ascii="仿宋" w:hAnsi="仿宋" w:eastAsia="仿宋" w:cs="仿宋"/>
                <w:spacing w:val="8"/>
                <w:sz w:val="20"/>
                <w:szCs w:val="20"/>
              </w:rPr>
              <w:t>态化清运、年度植被补</w:t>
            </w:r>
            <w:r>
              <w:rPr>
                <w:rFonts w:ascii="仿宋" w:hAnsi="仿宋" w:eastAsia="仿宋" w:cs="仿宋"/>
                <w:spacing w:val="9"/>
                <w:sz w:val="20"/>
                <w:szCs w:val="20"/>
              </w:rPr>
              <w:t>植与生态巡护为核心；针对基本农田、一般耕地、林地等敏感</w:t>
            </w:r>
            <w:r>
              <w:rPr>
                <w:rFonts w:ascii="仿宋" w:hAnsi="仿宋" w:eastAsia="仿宋" w:cs="仿宋"/>
                <w:spacing w:val="8"/>
                <w:sz w:val="20"/>
                <w:szCs w:val="20"/>
              </w:rPr>
              <w:t>路段增设生态截污沟、</w:t>
            </w:r>
            <w:r>
              <w:rPr>
                <w:rFonts w:ascii="仿宋" w:hAnsi="仿宋" w:eastAsia="仿宋" w:cs="仿宋"/>
                <w:spacing w:val="9"/>
                <w:sz w:val="20"/>
                <w:szCs w:val="20"/>
              </w:rPr>
              <w:t>减速禁鸣等专项措施，同步落实水土流失应急处置与占地生态</w:t>
            </w:r>
            <w:r>
              <w:rPr>
                <w:rFonts w:ascii="仿宋" w:hAnsi="仿宋" w:eastAsia="仿宋" w:cs="仿宋"/>
                <w:spacing w:val="8"/>
                <w:sz w:val="20"/>
                <w:szCs w:val="20"/>
              </w:rPr>
              <w:t>补偿，持续降低道路分</w:t>
            </w:r>
            <w:r>
              <w:rPr>
                <w:rFonts w:ascii="仿宋" w:hAnsi="仿宋" w:eastAsia="仿宋" w:cs="仿宋"/>
                <w:spacing w:val="9"/>
                <w:sz w:val="20"/>
                <w:szCs w:val="20"/>
              </w:rPr>
              <w:t>割、交通扰动、径流冲刷带来的沿线生态退</w:t>
            </w:r>
            <w:r>
              <w:rPr>
                <w:rFonts w:ascii="仿宋" w:hAnsi="仿宋" w:eastAsia="仿宋" w:cs="仿宋"/>
                <w:spacing w:val="8"/>
                <w:sz w:val="20"/>
                <w:szCs w:val="20"/>
              </w:rPr>
              <w:t>化风险。</w:t>
            </w:r>
          </w:p>
          <w:p w14:paraId="59AF2964">
            <w:pPr>
              <w:pStyle w:val="6"/>
              <w:spacing w:before="1" w:line="229" w:lineRule="auto"/>
              <w:ind w:left="523"/>
              <w:rPr>
                <w:rFonts w:ascii="仿宋" w:hAnsi="仿宋" w:eastAsia="仿宋" w:cs="仿宋"/>
                <w:sz w:val="20"/>
                <w:szCs w:val="20"/>
              </w:rPr>
            </w:pPr>
            <w:r>
              <w:rPr>
                <w:b/>
                <w:bCs/>
                <w:spacing w:val="4"/>
                <w:sz w:val="20"/>
                <w:szCs w:val="20"/>
              </w:rPr>
              <w:t>2</w:t>
            </w:r>
            <w:r>
              <w:rPr>
                <w:b/>
                <w:bCs/>
                <w:spacing w:val="-14"/>
                <w:sz w:val="20"/>
                <w:szCs w:val="20"/>
              </w:rPr>
              <w:t xml:space="preserve"> </w:t>
            </w:r>
            <w:r>
              <w:rPr>
                <w:rFonts w:ascii="仿宋" w:hAnsi="仿宋" w:eastAsia="仿宋" w:cs="仿宋"/>
                <w:b/>
                <w:bCs/>
                <w:spacing w:val="4"/>
                <w:sz w:val="20"/>
                <w:szCs w:val="20"/>
              </w:rPr>
              <w:t>、环境空气保护措施</w:t>
            </w:r>
          </w:p>
          <w:p w14:paraId="09543A0D">
            <w:pPr>
              <w:pStyle w:val="6"/>
              <w:spacing w:before="160" w:line="377" w:lineRule="auto"/>
              <w:ind w:left="113" w:right="103" w:firstLine="419"/>
              <w:jc w:val="both"/>
              <w:rPr>
                <w:rFonts w:ascii="仿宋" w:hAnsi="仿宋" w:eastAsia="仿宋" w:cs="仿宋"/>
                <w:sz w:val="20"/>
                <w:szCs w:val="20"/>
              </w:rPr>
            </w:pPr>
            <w:r>
              <w:rPr>
                <w:rFonts w:ascii="仿宋" w:hAnsi="仿宋" w:eastAsia="仿宋" w:cs="仿宋"/>
                <w:spacing w:val="9"/>
                <w:sz w:val="20"/>
                <w:szCs w:val="20"/>
              </w:rPr>
              <w:t>项目运营期间，车辆行驶造成的扬尘（尤其未筛分</w:t>
            </w:r>
            <w:r>
              <w:rPr>
                <w:rFonts w:ascii="仿宋" w:hAnsi="仿宋" w:eastAsia="仿宋" w:cs="仿宋"/>
                <w:spacing w:val="8"/>
                <w:sz w:val="20"/>
                <w:szCs w:val="20"/>
              </w:rPr>
              <w:t>碎石路面）及排放的汽车尾气会造成一定的空气污染，其主要污染物为</w:t>
            </w:r>
            <w:r>
              <w:rPr>
                <w:rFonts w:ascii="仿宋" w:hAnsi="仿宋" w:eastAsia="仿宋" w:cs="仿宋"/>
                <w:spacing w:val="-40"/>
                <w:sz w:val="20"/>
                <w:szCs w:val="20"/>
              </w:rPr>
              <w:t xml:space="preserve"> </w:t>
            </w:r>
            <w:r>
              <w:rPr>
                <w:sz w:val="20"/>
                <w:szCs w:val="20"/>
              </w:rPr>
              <w:t>CO</w:t>
            </w:r>
            <w:r>
              <w:rPr>
                <w:rFonts w:ascii="仿宋" w:hAnsi="仿宋" w:eastAsia="仿宋" w:cs="仿宋"/>
                <w:spacing w:val="8"/>
                <w:sz w:val="20"/>
                <w:szCs w:val="20"/>
              </w:rPr>
              <w:t>、</w:t>
            </w:r>
            <w:r>
              <w:rPr>
                <w:sz w:val="20"/>
                <w:szCs w:val="20"/>
              </w:rPr>
              <w:t>NOx</w:t>
            </w:r>
            <w:r>
              <w:rPr>
                <w:rFonts w:ascii="仿宋" w:hAnsi="仿宋" w:eastAsia="仿宋" w:cs="仿宋"/>
                <w:spacing w:val="8"/>
                <w:sz w:val="20"/>
                <w:szCs w:val="20"/>
              </w:rPr>
              <w:t>、</w:t>
            </w:r>
            <w:r>
              <w:rPr>
                <w:sz w:val="20"/>
                <w:szCs w:val="20"/>
              </w:rPr>
              <w:t>HC</w:t>
            </w:r>
            <w:r>
              <w:rPr>
                <w:spacing w:val="21"/>
                <w:w w:val="101"/>
                <w:sz w:val="20"/>
                <w:szCs w:val="20"/>
              </w:rPr>
              <w:t xml:space="preserve"> </w:t>
            </w:r>
            <w:r>
              <w:rPr>
                <w:rFonts w:ascii="仿宋" w:hAnsi="仿宋" w:eastAsia="仿宋" w:cs="仿宋"/>
                <w:spacing w:val="8"/>
                <w:sz w:val="20"/>
                <w:szCs w:val="20"/>
              </w:rPr>
              <w:t>及</w:t>
            </w:r>
            <w:r>
              <w:rPr>
                <w:rFonts w:ascii="仿宋" w:hAnsi="仿宋" w:eastAsia="仿宋" w:cs="仿宋"/>
                <w:spacing w:val="7"/>
                <w:sz w:val="20"/>
                <w:szCs w:val="20"/>
              </w:rPr>
              <w:t>颗粒物。污染物排放量的</w:t>
            </w:r>
            <w:r>
              <w:rPr>
                <w:rFonts w:ascii="仿宋" w:hAnsi="仿宋" w:eastAsia="仿宋" w:cs="仿宋"/>
                <w:spacing w:val="9"/>
                <w:sz w:val="20"/>
                <w:szCs w:val="20"/>
              </w:rPr>
              <w:t>大小与交通量成比例增加，与车辆的类型以及汽车运行的</w:t>
            </w:r>
            <w:r>
              <w:rPr>
                <w:rFonts w:ascii="仿宋" w:hAnsi="仿宋" w:eastAsia="仿宋" w:cs="仿宋"/>
                <w:spacing w:val="8"/>
                <w:sz w:val="20"/>
                <w:szCs w:val="20"/>
              </w:rPr>
              <w:t>情况有关。为减少汽车尾气对环境的影响，建设单位应采取如下防治措施：</w:t>
            </w:r>
          </w:p>
          <w:p w14:paraId="41600153">
            <w:pPr>
              <w:pStyle w:val="6"/>
              <w:spacing w:line="228" w:lineRule="auto"/>
              <w:ind w:left="536"/>
              <w:rPr>
                <w:rFonts w:ascii="仿宋" w:hAnsi="仿宋" w:eastAsia="仿宋" w:cs="仿宋"/>
                <w:sz w:val="20"/>
                <w:szCs w:val="20"/>
              </w:rPr>
            </w:pPr>
            <w:r>
              <w:rPr>
                <w:rFonts w:ascii="仿宋" w:hAnsi="仿宋" w:eastAsia="仿宋" w:cs="仿宋"/>
                <w:spacing w:val="8"/>
                <w:sz w:val="20"/>
                <w:szCs w:val="20"/>
              </w:rPr>
              <w:t>（</w:t>
            </w:r>
            <w:r>
              <w:rPr>
                <w:spacing w:val="8"/>
                <w:sz w:val="20"/>
                <w:szCs w:val="20"/>
              </w:rPr>
              <w:t>1</w:t>
            </w:r>
            <w:r>
              <w:rPr>
                <w:rFonts w:ascii="仿宋" w:hAnsi="仿宋" w:eastAsia="仿宋" w:cs="仿宋"/>
                <w:spacing w:val="8"/>
                <w:sz w:val="20"/>
                <w:szCs w:val="20"/>
              </w:rPr>
              <w:t>）穿村路段设置限速标识，减少车辆怠速启停时间。</w:t>
            </w:r>
          </w:p>
          <w:p w14:paraId="1F1FC5CA">
            <w:pPr>
              <w:pStyle w:val="6"/>
              <w:spacing w:before="162" w:line="375" w:lineRule="auto"/>
              <w:ind w:left="113" w:right="104" w:firstLine="422"/>
              <w:rPr>
                <w:rFonts w:ascii="仿宋" w:hAnsi="仿宋" w:eastAsia="仿宋" w:cs="仿宋"/>
                <w:sz w:val="20"/>
                <w:szCs w:val="20"/>
              </w:rPr>
            </w:pPr>
            <w:r>
              <w:rPr>
                <w:rFonts w:ascii="仿宋" w:hAnsi="仿宋" w:eastAsia="仿宋" w:cs="仿宋"/>
                <w:spacing w:val="11"/>
                <w:sz w:val="20"/>
                <w:szCs w:val="20"/>
              </w:rPr>
              <w:t>（</w:t>
            </w:r>
            <w:r>
              <w:rPr>
                <w:spacing w:val="11"/>
                <w:sz w:val="20"/>
                <w:szCs w:val="20"/>
              </w:rPr>
              <w:t>2</w:t>
            </w:r>
            <w:r>
              <w:rPr>
                <w:rFonts w:ascii="仿宋" w:hAnsi="仿宋" w:eastAsia="仿宋" w:cs="仿宋"/>
                <w:spacing w:val="11"/>
                <w:sz w:val="20"/>
                <w:szCs w:val="20"/>
              </w:rPr>
              <w:t>）加强交通管理，规定车速范围，保持车流畅通，提高道路的利用效率和通</w:t>
            </w:r>
            <w:r>
              <w:rPr>
                <w:rFonts w:ascii="仿宋" w:hAnsi="仿宋" w:eastAsia="仿宋" w:cs="仿宋"/>
                <w:spacing w:val="9"/>
                <w:sz w:val="20"/>
                <w:szCs w:val="20"/>
              </w:rPr>
              <w:t>行水平，减少因拥挤塞车，怠速行驶造成的大</w:t>
            </w:r>
            <w:r>
              <w:rPr>
                <w:rFonts w:ascii="仿宋" w:hAnsi="仿宋" w:eastAsia="仿宋" w:cs="仿宋"/>
                <w:spacing w:val="8"/>
                <w:sz w:val="20"/>
                <w:szCs w:val="20"/>
              </w:rPr>
              <w:t>气污染。</w:t>
            </w:r>
          </w:p>
          <w:p w14:paraId="72715DA8">
            <w:pPr>
              <w:pStyle w:val="6"/>
              <w:spacing w:before="5" w:line="229" w:lineRule="auto"/>
              <w:ind w:left="536"/>
              <w:rPr>
                <w:rFonts w:ascii="仿宋" w:hAnsi="仿宋" w:eastAsia="仿宋" w:cs="仿宋"/>
                <w:sz w:val="20"/>
                <w:szCs w:val="20"/>
              </w:rPr>
            </w:pPr>
            <w:r>
              <w:rPr>
                <w:rFonts w:ascii="仿宋" w:hAnsi="仿宋" w:eastAsia="仿宋" w:cs="仿宋"/>
                <w:spacing w:val="9"/>
                <w:sz w:val="20"/>
                <w:szCs w:val="20"/>
              </w:rPr>
              <w:t>（</w:t>
            </w:r>
            <w:r>
              <w:rPr>
                <w:spacing w:val="9"/>
                <w:sz w:val="20"/>
                <w:szCs w:val="20"/>
              </w:rPr>
              <w:t>3</w:t>
            </w:r>
            <w:r>
              <w:rPr>
                <w:rFonts w:ascii="仿宋" w:hAnsi="仿宋" w:eastAsia="仿宋" w:cs="仿宋"/>
                <w:spacing w:val="9"/>
                <w:sz w:val="20"/>
                <w:szCs w:val="20"/>
              </w:rPr>
              <w:t>）路面应及时清扫，防止固体废物随风飞扬造</w:t>
            </w:r>
            <w:r>
              <w:rPr>
                <w:rFonts w:ascii="仿宋" w:hAnsi="仿宋" w:eastAsia="仿宋" w:cs="仿宋"/>
                <w:spacing w:val="8"/>
                <w:sz w:val="20"/>
                <w:szCs w:val="20"/>
              </w:rPr>
              <w:t>成大气污染。</w:t>
            </w:r>
          </w:p>
          <w:p w14:paraId="7174C463">
            <w:pPr>
              <w:pStyle w:val="6"/>
              <w:spacing w:before="160" w:line="375" w:lineRule="auto"/>
              <w:ind w:left="113" w:right="176" w:firstLine="423"/>
              <w:rPr>
                <w:rFonts w:ascii="仿宋" w:hAnsi="仿宋" w:eastAsia="仿宋" w:cs="仿宋"/>
                <w:sz w:val="20"/>
                <w:szCs w:val="20"/>
              </w:rPr>
            </w:pPr>
            <w:r>
              <w:rPr>
                <w:rFonts w:ascii="仿宋" w:hAnsi="仿宋" w:eastAsia="仿宋" w:cs="仿宋"/>
                <w:spacing w:val="9"/>
                <w:sz w:val="20"/>
                <w:szCs w:val="20"/>
              </w:rPr>
              <w:t>（</w:t>
            </w:r>
            <w:r>
              <w:rPr>
                <w:spacing w:val="9"/>
                <w:sz w:val="20"/>
                <w:szCs w:val="20"/>
              </w:rPr>
              <w:t>4</w:t>
            </w:r>
            <w:r>
              <w:rPr>
                <w:rFonts w:ascii="仿宋" w:hAnsi="仿宋" w:eastAsia="仿宋" w:cs="仿宋"/>
                <w:spacing w:val="9"/>
                <w:sz w:val="20"/>
                <w:szCs w:val="20"/>
              </w:rPr>
              <w:t>）针对未筛分碎石路面，通过在施工期对其进行有效压实，并在运营期通过</w:t>
            </w:r>
            <w:r>
              <w:rPr>
                <w:rFonts w:ascii="仿宋" w:hAnsi="仿宋" w:eastAsia="仿宋" w:cs="仿宋"/>
                <w:spacing w:val="8"/>
                <w:sz w:val="20"/>
                <w:szCs w:val="20"/>
              </w:rPr>
              <w:t>控制车速等措施，其扬尘产生量不大。</w:t>
            </w:r>
          </w:p>
          <w:p w14:paraId="13DC1AC0">
            <w:pPr>
              <w:spacing w:before="3" w:line="228" w:lineRule="auto"/>
              <w:ind w:left="533"/>
              <w:rPr>
                <w:rFonts w:ascii="仿宋" w:hAnsi="仿宋" w:eastAsia="仿宋" w:cs="仿宋"/>
                <w:sz w:val="20"/>
                <w:szCs w:val="20"/>
              </w:rPr>
            </w:pPr>
            <w:r>
              <w:rPr>
                <w:rFonts w:ascii="仿宋" w:hAnsi="仿宋" w:eastAsia="仿宋" w:cs="仿宋"/>
                <w:spacing w:val="9"/>
                <w:sz w:val="20"/>
                <w:szCs w:val="20"/>
              </w:rPr>
              <w:t>采取以上措施后，本项目道路机动车尾气不会对沿线环境空气产生明显影响。</w:t>
            </w:r>
          </w:p>
          <w:p w14:paraId="5646CF53">
            <w:pPr>
              <w:pStyle w:val="6"/>
              <w:spacing w:before="163" w:line="229" w:lineRule="auto"/>
              <w:ind w:left="521"/>
              <w:rPr>
                <w:rFonts w:ascii="仿宋" w:hAnsi="仿宋" w:eastAsia="仿宋" w:cs="仿宋"/>
                <w:sz w:val="20"/>
                <w:szCs w:val="20"/>
              </w:rPr>
            </w:pPr>
            <w:r>
              <w:rPr>
                <w:b/>
                <w:bCs/>
                <w:spacing w:val="4"/>
                <w:sz w:val="20"/>
                <w:szCs w:val="20"/>
              </w:rPr>
              <w:t>3</w:t>
            </w:r>
            <w:r>
              <w:rPr>
                <w:b/>
                <w:bCs/>
                <w:spacing w:val="-17"/>
                <w:sz w:val="20"/>
                <w:szCs w:val="20"/>
              </w:rPr>
              <w:t xml:space="preserve"> </w:t>
            </w:r>
            <w:r>
              <w:rPr>
                <w:rFonts w:ascii="仿宋" w:hAnsi="仿宋" w:eastAsia="仿宋" w:cs="仿宋"/>
                <w:b/>
                <w:bCs/>
                <w:spacing w:val="4"/>
                <w:sz w:val="20"/>
                <w:szCs w:val="20"/>
              </w:rPr>
              <w:t>、水环境保护措施</w:t>
            </w:r>
          </w:p>
          <w:p w14:paraId="2AD98940">
            <w:pPr>
              <w:spacing w:before="162" w:line="376" w:lineRule="auto"/>
              <w:ind w:left="110" w:right="103" w:firstLine="422"/>
              <w:jc w:val="both"/>
              <w:rPr>
                <w:rFonts w:ascii="仿宋" w:hAnsi="仿宋" w:eastAsia="仿宋" w:cs="仿宋"/>
                <w:sz w:val="20"/>
                <w:szCs w:val="20"/>
              </w:rPr>
            </w:pPr>
            <w:r>
              <w:rPr>
                <w:rFonts w:ascii="仿宋" w:hAnsi="仿宋" w:eastAsia="仿宋" w:cs="仿宋"/>
                <w:spacing w:val="9"/>
                <w:sz w:val="20"/>
                <w:szCs w:val="20"/>
              </w:rPr>
              <w:t>本项目为四级通村公路，全线不设置服务区、收费</w:t>
            </w:r>
            <w:r>
              <w:rPr>
                <w:rFonts w:ascii="仿宋" w:hAnsi="仿宋" w:eastAsia="仿宋" w:cs="仿宋"/>
                <w:spacing w:val="8"/>
                <w:sz w:val="20"/>
                <w:szCs w:val="20"/>
              </w:rPr>
              <w:t>站、洗车场及养护工区，无生</w:t>
            </w:r>
            <w:r>
              <w:rPr>
                <w:rFonts w:ascii="仿宋" w:hAnsi="仿宋" w:eastAsia="仿宋" w:cs="仿宋"/>
                <w:spacing w:val="9"/>
                <w:sz w:val="20"/>
                <w:szCs w:val="20"/>
              </w:rPr>
              <w:t>产废水、生活污水集中排放源，运营期水环境影响主要为雨天路</w:t>
            </w:r>
            <w:r>
              <w:rPr>
                <w:rFonts w:ascii="仿宋" w:hAnsi="仿宋" w:eastAsia="仿宋" w:cs="仿宋"/>
                <w:spacing w:val="8"/>
                <w:sz w:val="20"/>
                <w:szCs w:val="20"/>
              </w:rPr>
              <w:t>面雨水径流污染、道</w:t>
            </w:r>
            <w:r>
              <w:rPr>
                <w:rFonts w:ascii="仿宋" w:hAnsi="仿宋" w:eastAsia="仿宋" w:cs="仿宋"/>
                <w:spacing w:val="9"/>
                <w:sz w:val="20"/>
                <w:szCs w:val="20"/>
              </w:rPr>
              <w:t>路边坡水土流失，辅以少量沿线村民路面随意排水、路边杂物淤</w:t>
            </w:r>
            <w:r>
              <w:rPr>
                <w:rFonts w:ascii="仿宋" w:hAnsi="仿宋" w:eastAsia="仿宋" w:cs="仿宋"/>
                <w:spacing w:val="8"/>
                <w:sz w:val="20"/>
                <w:szCs w:val="20"/>
              </w:rPr>
              <w:t>积排水通道带来的次生水环境影响。水环境保护措施如下：</w:t>
            </w:r>
          </w:p>
          <w:p w14:paraId="1C9AAEE8">
            <w:pPr>
              <w:pStyle w:val="6"/>
              <w:spacing w:line="231" w:lineRule="auto"/>
              <w:ind w:left="536"/>
              <w:rPr>
                <w:rFonts w:ascii="仿宋" w:hAnsi="仿宋" w:eastAsia="仿宋" w:cs="仿宋"/>
                <w:sz w:val="20"/>
                <w:szCs w:val="20"/>
              </w:rPr>
            </w:pPr>
            <w:r>
              <w:rPr>
                <w:rFonts w:ascii="仿宋" w:hAnsi="仿宋" w:eastAsia="仿宋" w:cs="仿宋"/>
                <w:spacing w:val="8"/>
                <w:sz w:val="20"/>
                <w:szCs w:val="20"/>
              </w:rPr>
              <w:t>（</w:t>
            </w:r>
            <w:r>
              <w:rPr>
                <w:spacing w:val="8"/>
                <w:sz w:val="20"/>
                <w:szCs w:val="20"/>
              </w:rPr>
              <w:t>1</w:t>
            </w:r>
            <w:r>
              <w:rPr>
                <w:rFonts w:ascii="仿宋" w:hAnsi="仿宋" w:eastAsia="仿宋" w:cs="仿宋"/>
                <w:spacing w:val="8"/>
                <w:sz w:val="20"/>
                <w:szCs w:val="20"/>
              </w:rPr>
              <w:t>）路面雨水径流防控措施</w:t>
            </w:r>
          </w:p>
          <w:p w14:paraId="44E62E53">
            <w:pPr>
              <w:pStyle w:val="6"/>
              <w:spacing w:before="162" w:line="376" w:lineRule="auto"/>
              <w:ind w:left="111" w:right="103" w:firstLine="414"/>
              <w:rPr>
                <w:rFonts w:ascii="仿宋" w:hAnsi="仿宋" w:eastAsia="仿宋" w:cs="仿宋"/>
                <w:sz w:val="20"/>
                <w:szCs w:val="20"/>
              </w:rPr>
            </w:pPr>
            <w:r>
              <w:rPr>
                <w:rFonts w:ascii="宋体" w:hAnsi="宋体" w:eastAsia="宋体" w:cs="宋体"/>
                <w:spacing w:val="9"/>
                <w:sz w:val="20"/>
                <w:szCs w:val="20"/>
              </w:rPr>
              <w:t>①</w:t>
            </w:r>
            <w:r>
              <w:rPr>
                <w:rFonts w:ascii="仿宋" w:hAnsi="仿宋" w:eastAsia="仿宋" w:cs="仿宋"/>
                <w:spacing w:val="9"/>
                <w:sz w:val="20"/>
                <w:szCs w:val="20"/>
              </w:rPr>
              <w:t>路面日常保洁管控：定期清扫路面，及时清理路面散落泥沙、生</w:t>
            </w:r>
            <w:r>
              <w:rPr>
                <w:rFonts w:ascii="仿宋" w:hAnsi="仿宋" w:eastAsia="仿宋" w:cs="仿宋"/>
                <w:spacing w:val="8"/>
                <w:sz w:val="20"/>
                <w:szCs w:val="20"/>
              </w:rPr>
              <w:t>活垃圾、农作</w:t>
            </w:r>
            <w:r>
              <w:rPr>
                <w:rFonts w:ascii="仿宋" w:hAnsi="仿宋" w:eastAsia="仿宋" w:cs="仿宋"/>
                <w:spacing w:val="9"/>
                <w:sz w:val="20"/>
                <w:szCs w:val="20"/>
              </w:rPr>
              <w:t>物秸秆、畜禽粪便及车辆滴落油污，减少雨水冲刷下路面</w:t>
            </w:r>
            <w:r>
              <w:rPr>
                <w:rFonts w:ascii="仿宋" w:hAnsi="仿宋" w:eastAsia="仿宋" w:cs="仿宋"/>
                <w:spacing w:val="8"/>
                <w:sz w:val="20"/>
                <w:szCs w:val="20"/>
              </w:rPr>
              <w:t>污染物存量，从源头降低雨水径流中</w:t>
            </w:r>
            <w:r>
              <w:rPr>
                <w:rFonts w:ascii="仿宋" w:hAnsi="仿宋" w:eastAsia="仿宋" w:cs="仿宋"/>
                <w:spacing w:val="-14"/>
                <w:sz w:val="20"/>
                <w:szCs w:val="20"/>
              </w:rPr>
              <w:t xml:space="preserve"> </w:t>
            </w:r>
            <w:r>
              <w:rPr>
                <w:sz w:val="20"/>
                <w:szCs w:val="20"/>
              </w:rPr>
              <w:t>SS</w:t>
            </w:r>
            <w:r>
              <w:rPr>
                <w:spacing w:val="-16"/>
                <w:sz w:val="20"/>
                <w:szCs w:val="20"/>
              </w:rPr>
              <w:t xml:space="preserve"> </w:t>
            </w:r>
            <w:r>
              <w:rPr>
                <w:rFonts w:ascii="仿宋" w:hAnsi="仿宋" w:eastAsia="仿宋" w:cs="仿宋"/>
                <w:spacing w:val="8"/>
                <w:sz w:val="20"/>
                <w:szCs w:val="20"/>
              </w:rPr>
              <w:t>、石油类、有机物等污染物浓度。严禁沿线村民向路面、路边排水沟抛</w:t>
            </w:r>
            <w:r>
              <w:rPr>
                <w:rFonts w:ascii="仿宋" w:hAnsi="仿宋" w:eastAsia="仿宋" w:cs="仿宋"/>
                <w:spacing w:val="9"/>
                <w:sz w:val="20"/>
                <w:szCs w:val="20"/>
              </w:rPr>
              <w:t>洒垃圾、倾倒生活污水，避免外源污染物汇入地表径</w:t>
            </w:r>
            <w:r>
              <w:rPr>
                <w:rFonts w:ascii="仿宋" w:hAnsi="仿宋" w:eastAsia="仿宋" w:cs="仿宋"/>
                <w:spacing w:val="8"/>
                <w:sz w:val="20"/>
                <w:szCs w:val="20"/>
              </w:rPr>
              <w:t>流。</w:t>
            </w:r>
          </w:p>
          <w:p w14:paraId="397BEB91">
            <w:pPr>
              <w:spacing w:before="2" w:line="377" w:lineRule="auto"/>
              <w:ind w:left="111" w:right="103" w:firstLine="413"/>
              <w:rPr>
                <w:rFonts w:ascii="仿宋" w:hAnsi="仿宋" w:eastAsia="仿宋" w:cs="仿宋"/>
                <w:sz w:val="20"/>
                <w:szCs w:val="20"/>
              </w:rPr>
            </w:pPr>
            <w:r>
              <w:rPr>
                <w:rFonts w:ascii="宋体" w:hAnsi="宋体" w:eastAsia="宋体" w:cs="宋体"/>
                <w:spacing w:val="7"/>
                <w:sz w:val="20"/>
                <w:szCs w:val="20"/>
              </w:rPr>
              <w:t>②</w:t>
            </w:r>
            <w:r>
              <w:rPr>
                <w:rFonts w:ascii="仿宋" w:hAnsi="仿宋" w:eastAsia="仿宋" w:cs="仿宋"/>
                <w:spacing w:val="7"/>
                <w:sz w:val="20"/>
                <w:szCs w:val="20"/>
              </w:rPr>
              <w:t>排水系统维护疏通：定期巡查清理道路边沟、排水沟、涵洞进出</w:t>
            </w:r>
            <w:r>
              <w:rPr>
                <w:rFonts w:ascii="仿宋" w:hAnsi="仿宋" w:eastAsia="仿宋" w:cs="仿宋"/>
                <w:spacing w:val="-35"/>
                <w:sz w:val="20"/>
                <w:szCs w:val="20"/>
              </w:rPr>
              <w:t xml:space="preserve"> </w:t>
            </w:r>
            <w:r>
              <w:rPr>
                <w:rFonts w:ascii="仿宋" w:hAnsi="仿宋" w:eastAsia="仿宋" w:cs="仿宋"/>
                <w:spacing w:val="7"/>
                <w:sz w:val="20"/>
                <w:szCs w:val="20"/>
              </w:rPr>
              <w:t>口，清除淤积</w:t>
            </w:r>
            <w:r>
              <w:rPr>
                <w:rFonts w:ascii="仿宋" w:hAnsi="仿宋" w:eastAsia="仿宋" w:cs="仿宋"/>
                <w:spacing w:val="9"/>
                <w:sz w:val="20"/>
                <w:szCs w:val="20"/>
              </w:rPr>
              <w:t>泥沙、杂草及漂浮垃圾，保障路面排水系统通畅，避免路面积</w:t>
            </w:r>
            <w:r>
              <w:rPr>
                <w:rFonts w:ascii="仿宋" w:hAnsi="仿宋" w:eastAsia="仿宋" w:cs="仿宋"/>
                <w:spacing w:val="8"/>
                <w:sz w:val="20"/>
                <w:szCs w:val="20"/>
              </w:rPr>
              <w:t>水浸泡路基；同时防止</w:t>
            </w:r>
            <w:r>
              <w:rPr>
                <w:rFonts w:ascii="仿宋" w:hAnsi="仿宋" w:eastAsia="仿宋" w:cs="仿宋"/>
                <w:spacing w:val="9"/>
                <w:sz w:val="20"/>
                <w:szCs w:val="20"/>
              </w:rPr>
              <w:t>淤积杂物堵塞沟渠，造成雨水漫流，携带路面污染物直接汇入</w:t>
            </w:r>
            <w:r>
              <w:rPr>
                <w:rFonts w:ascii="仿宋" w:hAnsi="仿宋" w:eastAsia="仿宋" w:cs="仿宋"/>
                <w:spacing w:val="8"/>
                <w:sz w:val="20"/>
                <w:szCs w:val="20"/>
              </w:rPr>
              <w:t>周边农田灌溉沟渠、地</w:t>
            </w:r>
            <w:r>
              <w:rPr>
                <w:rFonts w:ascii="仿宋" w:hAnsi="仿宋" w:eastAsia="仿宋" w:cs="仿宋"/>
                <w:spacing w:val="3"/>
                <w:sz w:val="20"/>
                <w:szCs w:val="20"/>
              </w:rPr>
              <w:t>表水体。</w:t>
            </w:r>
          </w:p>
          <w:p w14:paraId="68603A55">
            <w:pPr>
              <w:pStyle w:val="6"/>
              <w:spacing w:before="1" w:line="230" w:lineRule="auto"/>
              <w:ind w:left="536"/>
              <w:rPr>
                <w:rFonts w:ascii="仿宋" w:hAnsi="仿宋" w:eastAsia="仿宋" w:cs="仿宋"/>
                <w:sz w:val="20"/>
                <w:szCs w:val="20"/>
              </w:rPr>
            </w:pPr>
            <w:r>
              <w:rPr>
                <w:rFonts w:ascii="仿宋" w:hAnsi="仿宋" w:eastAsia="仿宋" w:cs="仿宋"/>
                <w:spacing w:val="8"/>
                <w:sz w:val="20"/>
                <w:szCs w:val="20"/>
              </w:rPr>
              <w:t>（</w:t>
            </w:r>
            <w:r>
              <w:rPr>
                <w:spacing w:val="8"/>
                <w:sz w:val="20"/>
                <w:szCs w:val="20"/>
              </w:rPr>
              <w:t>2</w:t>
            </w:r>
            <w:r>
              <w:rPr>
                <w:rFonts w:ascii="仿宋" w:hAnsi="仿宋" w:eastAsia="仿宋" w:cs="仿宋"/>
                <w:spacing w:val="8"/>
                <w:sz w:val="20"/>
                <w:szCs w:val="20"/>
              </w:rPr>
              <w:t>）路基边坡水土流失防治措施</w:t>
            </w:r>
          </w:p>
        </w:tc>
      </w:tr>
    </w:tbl>
    <w:p w14:paraId="2515636F">
      <w:pPr>
        <w:pStyle w:val="2"/>
        <w:rPr>
          <w:sz w:val="21"/>
        </w:rPr>
      </w:pPr>
    </w:p>
    <w:p w14:paraId="3E83FCAB">
      <w:pPr>
        <w:rPr>
          <w:sz w:val="21"/>
          <w:szCs w:val="21"/>
        </w:rPr>
        <w:sectPr>
          <w:footerReference r:id="rId69" w:type="default"/>
          <w:pgSz w:w="11907" w:h="16840"/>
          <w:pgMar w:top="400" w:right="1597" w:bottom="1446" w:left="1596" w:header="0" w:footer="1284" w:gutter="0"/>
          <w:cols w:space="720" w:num="1"/>
        </w:sectPr>
      </w:pPr>
    </w:p>
    <w:p w14:paraId="0C2F117C">
      <w:pPr>
        <w:spacing w:before="19"/>
      </w:pPr>
    </w:p>
    <w:p w14:paraId="0F56BE70">
      <w:pPr>
        <w:spacing w:before="19"/>
      </w:pPr>
    </w:p>
    <w:p w14:paraId="322EB176">
      <w:pPr>
        <w:spacing w:before="18"/>
      </w:pPr>
    </w:p>
    <w:p w14:paraId="3E72ADAF">
      <w:pPr>
        <w:spacing w:before="18"/>
      </w:pPr>
    </w:p>
    <w:tbl>
      <w:tblPr>
        <w:tblStyle w:val="5"/>
        <w:tblW w:w="8698"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48"/>
        <w:gridCol w:w="7950"/>
      </w:tblGrid>
      <w:tr w14:paraId="37B3CF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488" w:hRule="atLeast"/>
        </w:trPr>
        <w:tc>
          <w:tcPr>
            <w:tcW w:w="748" w:type="dxa"/>
            <w:tcBorders>
              <w:right w:val="single" w:color="000000" w:sz="2" w:space="0"/>
            </w:tcBorders>
            <w:vAlign w:val="top"/>
          </w:tcPr>
          <w:p w14:paraId="3060C313">
            <w:pPr>
              <w:rPr>
                <w:rFonts w:ascii="Arial"/>
                <w:sz w:val="21"/>
              </w:rPr>
            </w:pPr>
          </w:p>
        </w:tc>
        <w:tc>
          <w:tcPr>
            <w:tcW w:w="7950" w:type="dxa"/>
            <w:tcBorders>
              <w:left w:val="single" w:color="000000" w:sz="2" w:space="0"/>
            </w:tcBorders>
            <w:vAlign w:val="top"/>
          </w:tcPr>
          <w:p w14:paraId="5BFEFA9A">
            <w:pPr>
              <w:spacing w:before="37" w:line="376" w:lineRule="auto"/>
              <w:ind w:left="112" w:right="103" w:firstLine="420"/>
              <w:jc w:val="both"/>
              <w:rPr>
                <w:rFonts w:ascii="仿宋" w:hAnsi="仿宋" w:eastAsia="仿宋" w:cs="仿宋"/>
                <w:sz w:val="20"/>
                <w:szCs w:val="20"/>
              </w:rPr>
            </w:pPr>
            <w:r>
              <w:rPr>
                <w:rFonts w:ascii="仿宋" w:hAnsi="仿宋" w:eastAsia="仿宋" w:cs="仿宋"/>
                <w:spacing w:val="9"/>
                <w:sz w:val="20"/>
                <w:szCs w:val="20"/>
              </w:rPr>
              <w:t>雨季过后及时排查路基、边坡冲沟、塌陷问题，对小</w:t>
            </w:r>
            <w:r>
              <w:rPr>
                <w:rFonts w:ascii="仿宋" w:hAnsi="仿宋" w:eastAsia="仿宋" w:cs="仿宋"/>
                <w:spacing w:val="8"/>
                <w:sz w:val="20"/>
                <w:szCs w:val="20"/>
              </w:rPr>
              <w:t>型冲沟及时回填夯实，避免</w:t>
            </w:r>
            <w:r>
              <w:rPr>
                <w:rFonts w:ascii="仿宋" w:hAnsi="仿宋" w:eastAsia="仿宋" w:cs="仿宋"/>
                <w:spacing w:val="9"/>
                <w:sz w:val="20"/>
                <w:szCs w:val="20"/>
              </w:rPr>
              <w:t>雨水持续冲刷扩大水土流失范围；低洼易积水路段优化排水</w:t>
            </w:r>
            <w:r>
              <w:rPr>
                <w:rFonts w:ascii="仿宋" w:hAnsi="仿宋" w:eastAsia="仿宋" w:cs="仿宋"/>
                <w:spacing w:val="8"/>
                <w:sz w:val="20"/>
                <w:szCs w:val="20"/>
              </w:rPr>
              <w:t>坡度，引导雨水有序排入原有自然沟渠，避免雨水直接冲刷裸露路基土体。</w:t>
            </w:r>
          </w:p>
          <w:p w14:paraId="1DC213BA">
            <w:pPr>
              <w:pStyle w:val="6"/>
              <w:spacing w:before="2" w:line="377" w:lineRule="auto"/>
              <w:ind w:left="115" w:right="103" w:firstLine="421"/>
              <w:jc w:val="both"/>
              <w:rPr>
                <w:rFonts w:ascii="仿宋" w:hAnsi="仿宋" w:eastAsia="仿宋" w:cs="仿宋"/>
                <w:sz w:val="20"/>
                <w:szCs w:val="20"/>
              </w:rPr>
            </w:pPr>
            <w:r>
              <w:rPr>
                <w:rFonts w:ascii="仿宋" w:hAnsi="仿宋" w:eastAsia="仿宋" w:cs="仿宋"/>
                <w:spacing w:val="9"/>
                <w:sz w:val="20"/>
                <w:szCs w:val="20"/>
              </w:rPr>
              <w:t>（</w:t>
            </w:r>
            <w:r>
              <w:rPr>
                <w:spacing w:val="9"/>
                <w:sz w:val="20"/>
                <w:szCs w:val="20"/>
              </w:rPr>
              <w:t>3</w:t>
            </w:r>
            <w:r>
              <w:rPr>
                <w:rFonts w:ascii="仿宋" w:hAnsi="仿宋" w:eastAsia="仿宋" w:cs="仿宋"/>
                <w:spacing w:val="9"/>
                <w:sz w:val="20"/>
                <w:szCs w:val="20"/>
              </w:rPr>
              <w:t>）联合村委会开展宣传，禁止村民将路边排水沟作为污水排放、农药化肥清洗容器的场所；禁止雨季在道路两侧路边堆放化肥、</w:t>
            </w:r>
            <w:r>
              <w:rPr>
                <w:rFonts w:ascii="仿宋" w:hAnsi="仿宋" w:eastAsia="仿宋" w:cs="仿宋"/>
                <w:spacing w:val="8"/>
                <w:sz w:val="20"/>
                <w:szCs w:val="20"/>
              </w:rPr>
              <w:t>农药、农家肥，避免雨水淋溶造成面源水污染，保障沿线农田灌溉水质安全。</w:t>
            </w:r>
          </w:p>
          <w:p w14:paraId="7E1481FB">
            <w:pPr>
              <w:spacing w:before="2" w:line="376" w:lineRule="auto"/>
              <w:ind w:left="111" w:right="103" w:firstLine="423"/>
              <w:jc w:val="both"/>
              <w:rPr>
                <w:rFonts w:ascii="仿宋" w:hAnsi="仿宋" w:eastAsia="仿宋" w:cs="仿宋"/>
                <w:sz w:val="20"/>
                <w:szCs w:val="20"/>
              </w:rPr>
            </w:pPr>
            <w:r>
              <w:rPr>
                <w:rFonts w:ascii="仿宋" w:hAnsi="仿宋" w:eastAsia="仿宋" w:cs="仿宋"/>
                <w:spacing w:val="9"/>
                <w:sz w:val="20"/>
                <w:szCs w:val="20"/>
              </w:rPr>
              <w:t>综上，本项目无运营期集中污水排放，落实以</w:t>
            </w:r>
            <w:r>
              <w:rPr>
                <w:rFonts w:ascii="仿宋" w:hAnsi="仿宋" w:eastAsia="仿宋" w:cs="仿宋"/>
                <w:spacing w:val="8"/>
                <w:sz w:val="20"/>
                <w:szCs w:val="20"/>
              </w:rPr>
              <w:t>上措施后，路面径流、水土流失等</w:t>
            </w:r>
            <w:r>
              <w:rPr>
                <w:rFonts w:ascii="仿宋" w:hAnsi="仿宋" w:eastAsia="仿宋" w:cs="仿宋"/>
                <w:spacing w:val="9"/>
                <w:sz w:val="20"/>
                <w:szCs w:val="20"/>
              </w:rPr>
              <w:t>水环境影响可得到有效控制，不会对沿线沟渠、地表水体及农</w:t>
            </w:r>
            <w:r>
              <w:rPr>
                <w:rFonts w:ascii="仿宋" w:hAnsi="仿宋" w:eastAsia="仿宋" w:cs="仿宋"/>
                <w:spacing w:val="8"/>
                <w:sz w:val="20"/>
                <w:szCs w:val="20"/>
              </w:rPr>
              <w:t>田灌溉水质造成明显不利影响，水环境影响可接受。</w:t>
            </w:r>
          </w:p>
          <w:p w14:paraId="132FA5BC">
            <w:pPr>
              <w:pStyle w:val="6"/>
              <w:spacing w:line="229" w:lineRule="auto"/>
              <w:ind w:left="523"/>
              <w:rPr>
                <w:rFonts w:ascii="仿宋" w:hAnsi="仿宋" w:eastAsia="仿宋" w:cs="仿宋"/>
                <w:sz w:val="20"/>
                <w:szCs w:val="20"/>
              </w:rPr>
            </w:pPr>
            <w:r>
              <w:rPr>
                <w:b/>
                <w:bCs/>
                <w:sz w:val="20"/>
                <w:szCs w:val="20"/>
              </w:rPr>
              <w:t>4</w:t>
            </w:r>
            <w:r>
              <w:rPr>
                <w:b/>
                <w:bCs/>
                <w:spacing w:val="-18"/>
                <w:sz w:val="20"/>
                <w:szCs w:val="20"/>
              </w:rPr>
              <w:t xml:space="preserve"> </w:t>
            </w:r>
            <w:r>
              <w:rPr>
                <w:rFonts w:ascii="仿宋" w:hAnsi="仿宋" w:eastAsia="仿宋" w:cs="仿宋"/>
                <w:b/>
                <w:bCs/>
                <w:sz w:val="20"/>
                <w:szCs w:val="20"/>
              </w:rPr>
              <w:t>、</w:t>
            </w:r>
            <w:r>
              <w:rPr>
                <w:rFonts w:ascii="仿宋" w:hAnsi="仿宋" w:eastAsia="仿宋" w:cs="仿宋"/>
                <w:spacing w:val="-56"/>
                <w:sz w:val="20"/>
                <w:szCs w:val="20"/>
              </w:rPr>
              <w:t xml:space="preserve"> </w:t>
            </w:r>
            <w:r>
              <w:rPr>
                <w:rFonts w:ascii="仿宋" w:hAnsi="仿宋" w:eastAsia="仿宋" w:cs="仿宋"/>
                <w:b/>
                <w:bCs/>
                <w:sz w:val="20"/>
                <w:szCs w:val="20"/>
              </w:rPr>
              <w:t>固体废物保护措施</w:t>
            </w:r>
          </w:p>
          <w:p w14:paraId="5C8FBED7">
            <w:pPr>
              <w:spacing w:before="161" w:line="377" w:lineRule="auto"/>
              <w:ind w:left="111" w:right="30" w:firstLine="421"/>
              <w:jc w:val="both"/>
              <w:rPr>
                <w:rFonts w:ascii="仿宋" w:hAnsi="仿宋" w:eastAsia="仿宋" w:cs="仿宋"/>
                <w:sz w:val="20"/>
                <w:szCs w:val="20"/>
              </w:rPr>
            </w:pPr>
            <w:r>
              <w:rPr>
                <w:rFonts w:ascii="仿宋" w:hAnsi="仿宋" w:eastAsia="仿宋" w:cs="仿宋"/>
                <w:spacing w:val="9"/>
                <w:sz w:val="20"/>
                <w:szCs w:val="20"/>
              </w:rPr>
              <w:t>项目自身不产生固体废物。营运期间产生的固体废</w:t>
            </w:r>
            <w:r>
              <w:rPr>
                <w:rFonts w:ascii="仿宋" w:hAnsi="仿宋" w:eastAsia="仿宋" w:cs="仿宋"/>
                <w:spacing w:val="8"/>
                <w:sz w:val="20"/>
                <w:szCs w:val="20"/>
              </w:rPr>
              <w:t>物主要为运输车辆装载过多时</w:t>
            </w:r>
            <w:r>
              <w:rPr>
                <w:rFonts w:ascii="仿宋" w:hAnsi="仿宋" w:eastAsia="仿宋" w:cs="仿宋"/>
                <w:spacing w:val="5"/>
                <w:sz w:val="20"/>
                <w:szCs w:val="20"/>
              </w:rPr>
              <w:t>散落的泥土、汽车轮胎携带的泥沙，固体废物产生量较少，由环卫部门定期收集处理，</w:t>
            </w:r>
            <w:r>
              <w:rPr>
                <w:rFonts w:ascii="仿宋" w:hAnsi="仿宋" w:eastAsia="仿宋" w:cs="仿宋"/>
                <w:spacing w:val="9"/>
                <w:sz w:val="20"/>
                <w:szCs w:val="20"/>
              </w:rPr>
              <w:t>不会对周边环境产生影响。司乘人员及道路行人丢弃的果皮、</w:t>
            </w:r>
            <w:r>
              <w:rPr>
                <w:rFonts w:ascii="仿宋" w:hAnsi="仿宋" w:eastAsia="仿宋" w:cs="仿宋"/>
                <w:spacing w:val="8"/>
                <w:sz w:val="20"/>
                <w:szCs w:val="20"/>
              </w:rPr>
              <w:t>纸屑、塑料及包装废弃</w:t>
            </w:r>
            <w:r>
              <w:rPr>
                <w:rFonts w:ascii="仿宋" w:hAnsi="仿宋" w:eastAsia="仿宋" w:cs="仿宋"/>
                <w:spacing w:val="5"/>
                <w:sz w:val="20"/>
                <w:szCs w:val="20"/>
              </w:rPr>
              <w:t>物，由环卫人员收集后统一由环卫部门处理，其发生量较小，可由市政环卫人员清洁。此外，在道路运营中，应加强道路环保的宣传力度，增强管理单位和乘客的环保意识，</w:t>
            </w:r>
            <w:r>
              <w:rPr>
                <w:rFonts w:ascii="仿宋" w:hAnsi="仿宋" w:eastAsia="仿宋" w:cs="仿宋"/>
                <w:spacing w:val="8"/>
                <w:sz w:val="20"/>
                <w:szCs w:val="20"/>
              </w:rPr>
              <w:t>不要随便乱扔垃圾，培养保护环境的责任心。</w:t>
            </w:r>
          </w:p>
          <w:p w14:paraId="7D82A7DB">
            <w:pPr>
              <w:pStyle w:val="6"/>
              <w:spacing w:line="229" w:lineRule="auto"/>
              <w:ind w:left="525"/>
              <w:rPr>
                <w:rFonts w:ascii="仿宋" w:hAnsi="仿宋" w:eastAsia="仿宋" w:cs="仿宋"/>
                <w:sz w:val="20"/>
                <w:szCs w:val="20"/>
              </w:rPr>
            </w:pPr>
            <w:r>
              <w:rPr>
                <w:b/>
                <w:bCs/>
                <w:spacing w:val="6"/>
                <w:sz w:val="20"/>
                <w:szCs w:val="20"/>
              </w:rPr>
              <w:t>5</w:t>
            </w:r>
            <w:r>
              <w:rPr>
                <w:b/>
                <w:bCs/>
                <w:spacing w:val="-15"/>
                <w:sz w:val="20"/>
                <w:szCs w:val="20"/>
              </w:rPr>
              <w:t xml:space="preserve"> </w:t>
            </w:r>
            <w:r>
              <w:rPr>
                <w:rFonts w:ascii="仿宋" w:hAnsi="仿宋" w:eastAsia="仿宋" w:cs="仿宋"/>
                <w:b/>
                <w:bCs/>
                <w:spacing w:val="6"/>
                <w:sz w:val="20"/>
                <w:szCs w:val="20"/>
              </w:rPr>
              <w:t>、声环境保护措施（详见声环境影响专项评价）</w:t>
            </w:r>
          </w:p>
          <w:p w14:paraId="1B41D8B1">
            <w:pPr>
              <w:pStyle w:val="6"/>
              <w:spacing w:before="159" w:line="377" w:lineRule="auto"/>
              <w:ind w:left="111" w:right="103" w:firstLine="421"/>
              <w:jc w:val="both"/>
              <w:rPr>
                <w:rFonts w:ascii="仿宋" w:hAnsi="仿宋" w:eastAsia="仿宋" w:cs="仿宋"/>
                <w:sz w:val="20"/>
                <w:szCs w:val="20"/>
              </w:rPr>
            </w:pPr>
            <w:r>
              <w:rPr>
                <w:rFonts w:ascii="仿宋" w:hAnsi="仿宋" w:eastAsia="仿宋" w:cs="仿宋"/>
                <w:spacing w:val="9"/>
                <w:sz w:val="20"/>
                <w:szCs w:val="20"/>
              </w:rPr>
              <w:t>根据营运期交通噪声预测结果，结合各敏感点噪声</w:t>
            </w:r>
            <w:r>
              <w:rPr>
                <w:rFonts w:ascii="仿宋" w:hAnsi="仿宋" w:eastAsia="仿宋" w:cs="仿宋"/>
                <w:spacing w:val="8"/>
                <w:sz w:val="20"/>
                <w:szCs w:val="20"/>
              </w:rPr>
              <w:t>预测分析结果，各敏感点均不存在超标情况，</w:t>
            </w:r>
            <w:r>
              <w:rPr>
                <w:rFonts w:ascii="仿宋" w:hAnsi="仿宋" w:eastAsia="仿宋" w:cs="仿宋"/>
                <w:spacing w:val="-59"/>
                <w:sz w:val="20"/>
                <w:szCs w:val="20"/>
              </w:rPr>
              <w:t xml:space="preserve"> </w:t>
            </w:r>
            <w:r>
              <w:rPr>
                <w:rFonts w:ascii="仿宋" w:hAnsi="仿宋" w:eastAsia="仿宋" w:cs="仿宋"/>
                <w:spacing w:val="8"/>
                <w:sz w:val="20"/>
                <w:szCs w:val="20"/>
              </w:rPr>
              <w:t>因此本项目拟采用限制车速、按季度</w:t>
            </w:r>
            <w:r>
              <w:rPr>
                <w:rFonts w:ascii="仿宋" w:hAnsi="仿宋" w:eastAsia="仿宋" w:cs="仿宋"/>
                <w:spacing w:val="7"/>
                <w:sz w:val="20"/>
                <w:szCs w:val="20"/>
              </w:rPr>
              <w:t>开展路面巡查，及时修补坑槽、</w:t>
            </w:r>
            <w:r>
              <w:rPr>
                <w:rFonts w:ascii="仿宋" w:hAnsi="仿宋" w:eastAsia="仿宋" w:cs="仿宋"/>
                <w:spacing w:val="9"/>
                <w:sz w:val="20"/>
                <w:szCs w:val="20"/>
              </w:rPr>
              <w:t>裂缝，避免因破损路面使车辆颠簸噪声增加，修补材料采用与</w:t>
            </w:r>
            <w:r>
              <w:rPr>
                <w:rFonts w:ascii="仿宋" w:hAnsi="仿宋" w:eastAsia="仿宋" w:cs="仿宋"/>
                <w:spacing w:val="8"/>
                <w:sz w:val="20"/>
                <w:szCs w:val="20"/>
              </w:rPr>
              <w:t>原路面一致的混凝土水</w:t>
            </w:r>
            <w:r>
              <w:rPr>
                <w:rFonts w:ascii="仿宋" w:hAnsi="仿宋" w:eastAsia="仿宋" w:cs="仿宋"/>
                <w:spacing w:val="9"/>
                <w:sz w:val="20"/>
                <w:szCs w:val="20"/>
              </w:rPr>
              <w:t>泥路面，确保路面结构连续性。采取以上措施后，对环境功能</w:t>
            </w:r>
            <w:r>
              <w:rPr>
                <w:rFonts w:ascii="仿宋" w:hAnsi="仿宋" w:eastAsia="仿宋" w:cs="仿宋"/>
                <w:spacing w:val="8"/>
                <w:sz w:val="20"/>
                <w:szCs w:val="20"/>
              </w:rPr>
              <w:t>区及各敏感目标声环境质量进行合理保护，使其满足《声环境质量标准》（</w:t>
            </w:r>
            <w:r>
              <w:rPr>
                <w:sz w:val="20"/>
                <w:szCs w:val="20"/>
              </w:rPr>
              <w:t>GB</w:t>
            </w:r>
            <w:r>
              <w:rPr>
                <w:spacing w:val="8"/>
                <w:sz w:val="20"/>
                <w:szCs w:val="20"/>
              </w:rPr>
              <w:t>3096-2008</w:t>
            </w:r>
            <w:r>
              <w:rPr>
                <w:rFonts w:ascii="仿宋" w:hAnsi="仿宋" w:eastAsia="仿宋" w:cs="仿宋"/>
                <w:spacing w:val="8"/>
                <w:sz w:val="20"/>
                <w:szCs w:val="20"/>
              </w:rPr>
              <w:t>）</w:t>
            </w:r>
            <w:r>
              <w:rPr>
                <w:rFonts w:ascii="仿宋" w:hAnsi="仿宋" w:eastAsia="仿宋" w:cs="仿宋"/>
                <w:spacing w:val="-41"/>
                <w:sz w:val="20"/>
                <w:szCs w:val="20"/>
              </w:rPr>
              <w:t xml:space="preserve"> </w:t>
            </w:r>
            <w:r>
              <w:rPr>
                <w:rFonts w:ascii="仿宋" w:hAnsi="仿宋" w:eastAsia="仿宋" w:cs="仿宋"/>
                <w:spacing w:val="8"/>
                <w:sz w:val="20"/>
                <w:szCs w:val="20"/>
              </w:rPr>
              <w:t>中随影标准限值要求，详见声环境影响专项评价。</w:t>
            </w:r>
          </w:p>
          <w:p w14:paraId="330404BD">
            <w:pPr>
              <w:pStyle w:val="6"/>
              <w:spacing w:line="231" w:lineRule="auto"/>
              <w:ind w:left="526"/>
              <w:rPr>
                <w:rFonts w:ascii="仿宋" w:hAnsi="仿宋" w:eastAsia="仿宋" w:cs="仿宋"/>
                <w:sz w:val="20"/>
                <w:szCs w:val="20"/>
              </w:rPr>
            </w:pPr>
            <w:r>
              <w:rPr>
                <w:b/>
                <w:bCs/>
                <w:spacing w:val="4"/>
                <w:sz w:val="20"/>
                <w:szCs w:val="20"/>
              </w:rPr>
              <w:t>6</w:t>
            </w:r>
            <w:r>
              <w:rPr>
                <w:b/>
                <w:bCs/>
                <w:spacing w:val="-11"/>
                <w:sz w:val="20"/>
                <w:szCs w:val="20"/>
              </w:rPr>
              <w:t xml:space="preserve"> </w:t>
            </w:r>
            <w:r>
              <w:rPr>
                <w:rFonts w:ascii="仿宋" w:hAnsi="仿宋" w:eastAsia="仿宋" w:cs="仿宋"/>
                <w:b/>
                <w:bCs/>
                <w:spacing w:val="4"/>
                <w:sz w:val="20"/>
                <w:szCs w:val="20"/>
              </w:rPr>
              <w:t>、环境管理与监测计划</w:t>
            </w:r>
          </w:p>
          <w:p w14:paraId="0DA1E514">
            <w:pPr>
              <w:spacing w:before="161" w:line="377" w:lineRule="auto"/>
              <w:ind w:left="112" w:right="103" w:firstLine="420"/>
              <w:jc w:val="both"/>
              <w:rPr>
                <w:rFonts w:ascii="仿宋" w:hAnsi="仿宋" w:eastAsia="仿宋" w:cs="仿宋"/>
                <w:sz w:val="20"/>
                <w:szCs w:val="20"/>
              </w:rPr>
            </w:pPr>
            <w:r>
              <w:rPr>
                <w:rFonts w:ascii="仿宋" w:hAnsi="仿宋" w:eastAsia="仿宋" w:cs="仿宋"/>
                <w:spacing w:val="9"/>
                <w:sz w:val="20"/>
                <w:szCs w:val="20"/>
              </w:rPr>
              <w:t>项目施工期和运营期都会对周围的自然环境、生态</w:t>
            </w:r>
            <w:r>
              <w:rPr>
                <w:rFonts w:ascii="仿宋" w:hAnsi="仿宋" w:eastAsia="仿宋" w:cs="仿宋"/>
                <w:spacing w:val="8"/>
                <w:sz w:val="20"/>
                <w:szCs w:val="20"/>
              </w:rPr>
              <w:t>环境、社会经济环境和公众生</w:t>
            </w:r>
            <w:r>
              <w:rPr>
                <w:rFonts w:ascii="仿宋" w:hAnsi="仿宋" w:eastAsia="仿宋" w:cs="仿宋"/>
                <w:spacing w:val="9"/>
                <w:sz w:val="20"/>
                <w:szCs w:val="20"/>
              </w:rPr>
              <w:t>活质量带一定的影响，为了及时采取有效的环境保护措施减</w:t>
            </w:r>
            <w:r>
              <w:rPr>
                <w:rFonts w:ascii="仿宋" w:hAnsi="仿宋" w:eastAsia="仿宋" w:cs="仿宋"/>
                <w:spacing w:val="8"/>
                <w:sz w:val="20"/>
                <w:szCs w:val="20"/>
              </w:rPr>
              <w:t>轻或消除不利影响，需要</w:t>
            </w:r>
            <w:r>
              <w:rPr>
                <w:rFonts w:ascii="仿宋" w:hAnsi="仿宋" w:eastAsia="仿宋" w:cs="仿宋"/>
                <w:spacing w:val="9"/>
                <w:sz w:val="20"/>
                <w:szCs w:val="20"/>
              </w:rPr>
              <w:t>在工程施工建设期和营运期制定必要的环境保护管理与监测</w:t>
            </w:r>
            <w:r>
              <w:rPr>
                <w:rFonts w:ascii="仿宋" w:hAnsi="仿宋" w:eastAsia="仿宋" w:cs="仿宋"/>
                <w:spacing w:val="8"/>
                <w:sz w:val="20"/>
                <w:szCs w:val="20"/>
              </w:rPr>
              <w:t>计划。制定环境监测计划</w:t>
            </w:r>
            <w:r>
              <w:rPr>
                <w:rFonts w:ascii="仿宋" w:hAnsi="仿宋" w:eastAsia="仿宋" w:cs="仿宋"/>
                <w:spacing w:val="9"/>
                <w:sz w:val="20"/>
                <w:szCs w:val="20"/>
              </w:rPr>
              <w:t>的目的是为了监督各项措施的落实，根据监测结果适时调整</w:t>
            </w:r>
            <w:r>
              <w:rPr>
                <w:rFonts w:ascii="仿宋" w:hAnsi="仿宋" w:eastAsia="仿宋" w:cs="仿宋"/>
                <w:spacing w:val="8"/>
                <w:sz w:val="20"/>
                <w:szCs w:val="20"/>
              </w:rPr>
              <w:t>环境保护行动计划，为环</w:t>
            </w:r>
            <w:r>
              <w:rPr>
                <w:rFonts w:ascii="仿宋" w:hAnsi="仿宋" w:eastAsia="仿宋" w:cs="仿宋"/>
                <w:spacing w:val="9"/>
                <w:sz w:val="20"/>
                <w:szCs w:val="20"/>
              </w:rPr>
              <w:t>保措施的实施时间和实施方案提供依据，制定的原则是根据</w:t>
            </w:r>
            <w:r>
              <w:rPr>
                <w:rFonts w:ascii="仿宋" w:hAnsi="仿宋" w:eastAsia="仿宋" w:cs="仿宋"/>
                <w:spacing w:val="8"/>
                <w:sz w:val="20"/>
                <w:szCs w:val="20"/>
              </w:rPr>
              <w:t>预期的各个时间的主要环</w:t>
            </w:r>
            <w:r>
              <w:rPr>
                <w:rFonts w:ascii="仿宋" w:hAnsi="仿宋" w:eastAsia="仿宋" w:cs="仿宋"/>
                <w:spacing w:val="3"/>
                <w:sz w:val="20"/>
                <w:szCs w:val="20"/>
              </w:rPr>
              <w:t>境影响。</w:t>
            </w:r>
          </w:p>
          <w:p w14:paraId="3DB0A3EC">
            <w:pPr>
              <w:pStyle w:val="6"/>
              <w:spacing w:line="365" w:lineRule="auto"/>
              <w:ind w:left="116" w:right="103" w:firstLine="415"/>
              <w:jc w:val="both"/>
              <w:rPr>
                <w:sz w:val="20"/>
                <w:szCs w:val="20"/>
              </w:rPr>
            </w:pPr>
            <w:r>
              <w:rPr>
                <w:rFonts w:ascii="仿宋" w:hAnsi="仿宋" w:eastAsia="仿宋" w:cs="仿宋"/>
                <w:spacing w:val="9"/>
                <w:sz w:val="20"/>
                <w:szCs w:val="20"/>
              </w:rPr>
              <w:t>施工建设期由道路建设相关部门统一负责管理，道路</w:t>
            </w:r>
            <w:r>
              <w:rPr>
                <w:rFonts w:ascii="仿宋" w:hAnsi="仿宋" w:eastAsia="仿宋" w:cs="仿宋"/>
                <w:spacing w:val="8"/>
                <w:sz w:val="20"/>
                <w:szCs w:val="20"/>
              </w:rPr>
              <w:t>运营期管理有市政部门统一</w:t>
            </w:r>
            <w:r>
              <w:rPr>
                <w:rFonts w:ascii="仿宋" w:hAnsi="仿宋" w:eastAsia="仿宋" w:cs="仿宋"/>
                <w:spacing w:val="9"/>
                <w:sz w:val="20"/>
                <w:szCs w:val="20"/>
              </w:rPr>
              <w:t>负责管理。在施工和运营期，管理机构有义务</w:t>
            </w:r>
            <w:r>
              <w:rPr>
                <w:rFonts w:ascii="仿宋" w:hAnsi="仿宋" w:eastAsia="仿宋" w:cs="仿宋"/>
                <w:spacing w:val="8"/>
                <w:sz w:val="20"/>
                <w:szCs w:val="20"/>
              </w:rPr>
              <w:t>做好本项目的环境保护管理工作，其主</w:t>
            </w:r>
            <w:r>
              <w:rPr>
                <w:rFonts w:ascii="仿宋" w:hAnsi="仿宋" w:eastAsia="仿宋" w:cs="仿宋"/>
                <w:spacing w:val="5"/>
                <w:sz w:val="20"/>
                <w:szCs w:val="20"/>
              </w:rPr>
              <w:t>要职责如下</w:t>
            </w:r>
            <w:r>
              <w:rPr>
                <w:spacing w:val="5"/>
                <w:sz w:val="20"/>
                <w:szCs w:val="20"/>
              </w:rPr>
              <w:t>:</w:t>
            </w:r>
          </w:p>
        </w:tc>
      </w:tr>
    </w:tbl>
    <w:p w14:paraId="4F624BCC">
      <w:pPr>
        <w:pStyle w:val="2"/>
        <w:rPr>
          <w:sz w:val="21"/>
        </w:rPr>
      </w:pPr>
    </w:p>
    <w:p w14:paraId="2F20EDEA">
      <w:pPr>
        <w:rPr>
          <w:sz w:val="21"/>
          <w:szCs w:val="21"/>
        </w:rPr>
        <w:sectPr>
          <w:footerReference r:id="rId70" w:type="default"/>
          <w:pgSz w:w="11907" w:h="16840"/>
          <w:pgMar w:top="400" w:right="1597" w:bottom="1446" w:left="1596" w:header="0" w:footer="1284" w:gutter="0"/>
          <w:cols w:space="720" w:num="1"/>
        </w:sectPr>
      </w:pPr>
    </w:p>
    <w:p w14:paraId="39B488FB">
      <w:pPr>
        <w:spacing w:before="19"/>
      </w:pPr>
    </w:p>
    <w:p w14:paraId="79E07AB2">
      <w:pPr>
        <w:spacing w:before="19"/>
      </w:pPr>
    </w:p>
    <w:p w14:paraId="55D21D97">
      <w:pPr>
        <w:spacing w:before="18"/>
      </w:pPr>
    </w:p>
    <w:p w14:paraId="2CC5C287">
      <w:pPr>
        <w:spacing w:before="18"/>
      </w:pPr>
    </w:p>
    <w:tbl>
      <w:tblPr>
        <w:tblStyle w:val="5"/>
        <w:tblW w:w="8698"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48"/>
        <w:gridCol w:w="7950"/>
      </w:tblGrid>
      <w:tr w14:paraId="4BD999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720" w:hRule="atLeast"/>
        </w:trPr>
        <w:tc>
          <w:tcPr>
            <w:tcW w:w="748" w:type="dxa"/>
            <w:tcBorders>
              <w:right w:val="single" w:color="000000" w:sz="2" w:space="0"/>
            </w:tcBorders>
            <w:vAlign w:val="top"/>
          </w:tcPr>
          <w:p w14:paraId="075D2A33">
            <w:pPr>
              <w:rPr>
                <w:rFonts w:ascii="Arial"/>
                <w:sz w:val="21"/>
              </w:rPr>
            </w:pPr>
          </w:p>
        </w:tc>
        <w:tc>
          <w:tcPr>
            <w:tcW w:w="7950" w:type="dxa"/>
            <w:tcBorders>
              <w:left w:val="single" w:color="000000" w:sz="2" w:space="0"/>
            </w:tcBorders>
            <w:vAlign w:val="top"/>
          </w:tcPr>
          <w:p w14:paraId="4E8C389B">
            <w:pPr>
              <w:spacing w:before="37" w:line="229" w:lineRule="auto"/>
              <w:ind w:left="525"/>
              <w:rPr>
                <w:rFonts w:ascii="仿宋" w:hAnsi="仿宋" w:eastAsia="仿宋" w:cs="仿宋"/>
                <w:sz w:val="20"/>
                <w:szCs w:val="20"/>
              </w:rPr>
            </w:pPr>
            <w:r>
              <w:rPr>
                <w:rFonts w:ascii="宋体" w:hAnsi="宋体" w:eastAsia="宋体" w:cs="宋体"/>
                <w:spacing w:val="9"/>
                <w:sz w:val="20"/>
                <w:szCs w:val="20"/>
              </w:rPr>
              <w:t>①</w:t>
            </w:r>
            <w:r>
              <w:rPr>
                <w:rFonts w:ascii="仿宋" w:hAnsi="仿宋" w:eastAsia="仿宋" w:cs="仿宋"/>
                <w:spacing w:val="9"/>
                <w:sz w:val="20"/>
                <w:szCs w:val="20"/>
              </w:rPr>
              <w:t>贯彻执行国家及省市各项环境保护方针、政策和法规。</w:t>
            </w:r>
          </w:p>
          <w:p w14:paraId="79C9CC33">
            <w:pPr>
              <w:pStyle w:val="6"/>
              <w:spacing w:before="158" w:line="377" w:lineRule="auto"/>
              <w:ind w:left="116" w:right="231" w:firstLine="408"/>
              <w:rPr>
                <w:rFonts w:ascii="仿宋" w:hAnsi="仿宋" w:eastAsia="仿宋" w:cs="仿宋"/>
                <w:sz w:val="20"/>
                <w:szCs w:val="20"/>
              </w:rPr>
            </w:pPr>
            <w:r>
              <w:rPr>
                <w:rFonts w:ascii="宋体" w:hAnsi="宋体" w:eastAsia="宋体" w:cs="宋体"/>
                <w:spacing w:val="9"/>
                <w:sz w:val="20"/>
                <w:szCs w:val="20"/>
              </w:rPr>
              <w:t>②</w:t>
            </w:r>
            <w:r>
              <w:rPr>
                <w:rFonts w:ascii="仿宋" w:hAnsi="仿宋" w:eastAsia="仿宋" w:cs="仿宋"/>
                <w:spacing w:val="9"/>
                <w:sz w:val="20"/>
                <w:szCs w:val="20"/>
              </w:rPr>
              <w:t>负责监督环境实施计划和编写</w:t>
            </w:r>
            <w:r>
              <w:rPr>
                <w:spacing w:val="9"/>
                <w:sz w:val="20"/>
                <w:szCs w:val="20"/>
              </w:rPr>
              <w:t>,</w:t>
            </w:r>
            <w:r>
              <w:rPr>
                <w:spacing w:val="-30"/>
                <w:sz w:val="20"/>
                <w:szCs w:val="20"/>
              </w:rPr>
              <w:t xml:space="preserve"> </w:t>
            </w:r>
            <w:r>
              <w:rPr>
                <w:rFonts w:ascii="仿宋" w:hAnsi="仿宋" w:eastAsia="仿宋" w:cs="仿宋"/>
                <w:spacing w:val="9"/>
                <w:sz w:val="20"/>
                <w:szCs w:val="20"/>
              </w:rPr>
              <w:t>负责监督本报告中所提到的各项环保措</w:t>
            </w:r>
            <w:r>
              <w:rPr>
                <w:rFonts w:ascii="仿宋" w:hAnsi="仿宋" w:eastAsia="仿宋" w:cs="仿宋"/>
                <w:spacing w:val="8"/>
                <w:sz w:val="20"/>
                <w:szCs w:val="20"/>
              </w:rPr>
              <w:t>施的落</w:t>
            </w:r>
            <w:r>
              <w:rPr>
                <w:rFonts w:ascii="仿宋" w:hAnsi="仿宋" w:eastAsia="仿宋" w:cs="仿宋"/>
                <w:spacing w:val="-5"/>
                <w:sz w:val="20"/>
                <w:szCs w:val="20"/>
              </w:rPr>
              <w:t>实。</w:t>
            </w:r>
          </w:p>
          <w:p w14:paraId="4F9ADBF5">
            <w:pPr>
              <w:spacing w:line="228" w:lineRule="auto"/>
              <w:ind w:left="524"/>
              <w:rPr>
                <w:rFonts w:ascii="仿宋" w:hAnsi="仿宋" w:eastAsia="仿宋" w:cs="仿宋"/>
                <w:sz w:val="20"/>
                <w:szCs w:val="20"/>
              </w:rPr>
            </w:pPr>
            <w:r>
              <w:rPr>
                <w:rFonts w:ascii="宋体" w:hAnsi="宋体" w:eastAsia="宋体" w:cs="宋体"/>
                <w:spacing w:val="9"/>
                <w:sz w:val="20"/>
                <w:szCs w:val="20"/>
              </w:rPr>
              <w:t>③</w:t>
            </w:r>
            <w:r>
              <w:rPr>
                <w:rFonts w:ascii="仿宋" w:hAnsi="仿宋" w:eastAsia="仿宋" w:cs="仿宋"/>
                <w:spacing w:val="9"/>
                <w:sz w:val="20"/>
                <w:szCs w:val="20"/>
              </w:rPr>
              <w:t>制定污染事故处置计划，并对事故进行调查处理。</w:t>
            </w:r>
          </w:p>
          <w:p w14:paraId="2213B738">
            <w:pPr>
              <w:pStyle w:val="6"/>
              <w:spacing w:before="161" w:line="377" w:lineRule="auto"/>
              <w:ind w:left="112" w:right="103" w:firstLine="419"/>
              <w:jc w:val="both"/>
              <w:rPr>
                <w:rFonts w:ascii="仿宋" w:hAnsi="仿宋" w:eastAsia="仿宋" w:cs="仿宋"/>
                <w:sz w:val="20"/>
                <w:szCs w:val="20"/>
              </w:rPr>
            </w:pPr>
            <w:r>
              <w:rPr>
                <w:rFonts w:ascii="仿宋" w:hAnsi="仿宋" w:eastAsia="仿宋" w:cs="仿宋"/>
                <w:spacing w:val="9"/>
                <w:sz w:val="20"/>
                <w:szCs w:val="20"/>
              </w:rPr>
              <w:t>施工期环境监测的重点是声环境，运营期环境监测的</w:t>
            </w:r>
            <w:r>
              <w:rPr>
                <w:rFonts w:ascii="仿宋" w:hAnsi="仿宋" w:eastAsia="仿宋" w:cs="仿宋"/>
                <w:spacing w:val="8"/>
                <w:sz w:val="20"/>
                <w:szCs w:val="20"/>
              </w:rPr>
              <w:t>重点是生态环境。常规监测</w:t>
            </w:r>
            <w:r>
              <w:rPr>
                <w:rFonts w:ascii="仿宋" w:hAnsi="仿宋" w:eastAsia="仿宋" w:cs="仿宋"/>
                <w:spacing w:val="9"/>
                <w:sz w:val="20"/>
                <w:szCs w:val="20"/>
              </w:rPr>
              <w:t>要求定点和不定点、定时和不定时抽检相结合的方式进行。</w:t>
            </w:r>
            <w:r>
              <w:rPr>
                <w:rFonts w:ascii="仿宋" w:hAnsi="仿宋" w:eastAsia="仿宋" w:cs="仿宋"/>
                <w:spacing w:val="8"/>
                <w:sz w:val="20"/>
                <w:szCs w:val="20"/>
              </w:rPr>
              <w:t>下面根据项目可能造成的</w:t>
            </w:r>
            <w:r>
              <w:rPr>
                <w:rFonts w:ascii="仿宋" w:hAnsi="仿宋" w:eastAsia="仿宋" w:cs="仿宋"/>
                <w:spacing w:val="9"/>
                <w:sz w:val="20"/>
                <w:szCs w:val="20"/>
              </w:rPr>
              <w:t>环境影响和周围环境的要求，提出项目建设和运营过程中的</w:t>
            </w:r>
            <w:r>
              <w:rPr>
                <w:rFonts w:ascii="仿宋" w:hAnsi="仿宋" w:eastAsia="仿宋" w:cs="仿宋"/>
                <w:spacing w:val="8"/>
                <w:sz w:val="20"/>
                <w:szCs w:val="20"/>
              </w:rPr>
              <w:t>环境管理和环境监测的具</w:t>
            </w:r>
            <w:r>
              <w:rPr>
                <w:rFonts w:ascii="仿宋" w:hAnsi="仿宋" w:eastAsia="仿宋" w:cs="仿宋"/>
                <w:spacing w:val="5"/>
                <w:sz w:val="20"/>
                <w:szCs w:val="20"/>
              </w:rPr>
              <w:t>体要求。环境管理计划见表</w:t>
            </w:r>
            <w:r>
              <w:rPr>
                <w:rFonts w:ascii="仿宋" w:hAnsi="仿宋" w:eastAsia="仿宋" w:cs="仿宋"/>
                <w:spacing w:val="-31"/>
                <w:sz w:val="20"/>
                <w:szCs w:val="20"/>
              </w:rPr>
              <w:t xml:space="preserve"> </w:t>
            </w:r>
            <w:r>
              <w:rPr>
                <w:spacing w:val="5"/>
                <w:sz w:val="20"/>
                <w:szCs w:val="20"/>
              </w:rPr>
              <w:t>5-</w:t>
            </w:r>
            <w:r>
              <w:rPr>
                <w:spacing w:val="-25"/>
                <w:sz w:val="20"/>
                <w:szCs w:val="20"/>
              </w:rPr>
              <w:t xml:space="preserve"> </w:t>
            </w:r>
            <w:r>
              <w:rPr>
                <w:spacing w:val="5"/>
                <w:sz w:val="20"/>
                <w:szCs w:val="20"/>
              </w:rPr>
              <w:t>1</w:t>
            </w:r>
            <w:r>
              <w:rPr>
                <w:spacing w:val="-20"/>
                <w:sz w:val="20"/>
                <w:szCs w:val="20"/>
              </w:rPr>
              <w:t xml:space="preserve"> </w:t>
            </w:r>
            <w:r>
              <w:rPr>
                <w:rFonts w:ascii="仿宋" w:hAnsi="仿宋" w:eastAsia="仿宋" w:cs="仿宋"/>
                <w:spacing w:val="5"/>
                <w:sz w:val="20"/>
                <w:szCs w:val="20"/>
              </w:rPr>
              <w:t>，环境监测计划见表</w:t>
            </w:r>
            <w:r>
              <w:rPr>
                <w:rFonts w:ascii="仿宋" w:hAnsi="仿宋" w:eastAsia="仿宋" w:cs="仿宋"/>
                <w:spacing w:val="-38"/>
                <w:sz w:val="20"/>
                <w:szCs w:val="20"/>
              </w:rPr>
              <w:t xml:space="preserve"> </w:t>
            </w:r>
            <w:r>
              <w:rPr>
                <w:spacing w:val="5"/>
                <w:sz w:val="20"/>
                <w:szCs w:val="20"/>
              </w:rPr>
              <w:t>5-2</w:t>
            </w:r>
            <w:r>
              <w:rPr>
                <w:rFonts w:ascii="仿宋" w:hAnsi="仿宋" w:eastAsia="仿宋" w:cs="仿宋"/>
                <w:spacing w:val="5"/>
                <w:sz w:val="20"/>
                <w:szCs w:val="20"/>
              </w:rPr>
              <w:t>。</w:t>
            </w:r>
          </w:p>
          <w:p w14:paraId="448A503A">
            <w:pPr>
              <w:pStyle w:val="6"/>
              <w:spacing w:line="230" w:lineRule="auto"/>
              <w:ind w:left="2570"/>
              <w:rPr>
                <w:rFonts w:ascii="仿宋" w:hAnsi="仿宋" w:eastAsia="仿宋" w:cs="仿宋"/>
                <w:sz w:val="20"/>
                <w:szCs w:val="20"/>
              </w:rPr>
            </w:pPr>
            <w:r>
              <w:rPr>
                <w:b/>
                <w:bCs/>
                <w:spacing w:val="6"/>
                <w:sz w:val="20"/>
                <w:szCs w:val="20"/>
              </w:rPr>
              <w:t xml:space="preserve">5-1    </w:t>
            </w:r>
            <w:r>
              <w:rPr>
                <w:rFonts w:ascii="仿宋" w:hAnsi="仿宋" w:eastAsia="仿宋" w:cs="仿宋"/>
                <w:b/>
                <w:bCs/>
                <w:spacing w:val="6"/>
                <w:sz w:val="20"/>
                <w:szCs w:val="20"/>
              </w:rPr>
              <w:t>项目环境管理计划一览表</w:t>
            </w:r>
          </w:p>
          <w:p w14:paraId="1BB4E073">
            <w:pPr>
              <w:spacing w:line="129" w:lineRule="exact"/>
            </w:pPr>
          </w:p>
          <w:tbl>
            <w:tblPr>
              <w:tblStyle w:val="5"/>
              <w:tblW w:w="7738" w:type="dxa"/>
              <w:tblInd w:w="9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0"/>
              <w:gridCol w:w="953"/>
              <w:gridCol w:w="5155"/>
              <w:gridCol w:w="820"/>
            </w:tblGrid>
            <w:tr w14:paraId="5DFA38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810" w:type="dxa"/>
                  <w:tcBorders>
                    <w:top w:val="single" w:color="000000" w:sz="10" w:space="0"/>
                    <w:left w:val="nil"/>
                  </w:tcBorders>
                  <w:vAlign w:val="top"/>
                </w:tcPr>
                <w:p w14:paraId="1BD013CF">
                  <w:pPr>
                    <w:spacing w:before="146" w:line="222" w:lineRule="auto"/>
                    <w:ind w:left="246"/>
                    <w:rPr>
                      <w:rFonts w:ascii="仿宋" w:hAnsi="仿宋" w:eastAsia="仿宋" w:cs="仿宋"/>
                      <w:sz w:val="18"/>
                      <w:szCs w:val="18"/>
                    </w:rPr>
                  </w:pPr>
                  <w:r>
                    <w:rPr>
                      <w:rFonts w:ascii="仿宋" w:hAnsi="仿宋" w:eastAsia="仿宋" w:cs="仿宋"/>
                      <w:spacing w:val="-13"/>
                      <w:sz w:val="18"/>
                      <w:szCs w:val="18"/>
                    </w:rPr>
                    <w:t>阶段</w:t>
                  </w:r>
                </w:p>
              </w:tc>
              <w:tc>
                <w:tcPr>
                  <w:tcW w:w="953" w:type="dxa"/>
                  <w:tcBorders>
                    <w:top w:val="single" w:color="000000" w:sz="10" w:space="0"/>
                  </w:tcBorders>
                  <w:vAlign w:val="top"/>
                </w:tcPr>
                <w:p w14:paraId="2E55AF72">
                  <w:pPr>
                    <w:spacing w:before="32" w:line="222" w:lineRule="auto"/>
                    <w:ind w:left="400" w:right="24" w:hanging="363"/>
                    <w:rPr>
                      <w:rFonts w:ascii="仿宋" w:hAnsi="仿宋" w:eastAsia="仿宋" w:cs="仿宋"/>
                      <w:sz w:val="18"/>
                      <w:szCs w:val="18"/>
                    </w:rPr>
                  </w:pPr>
                  <w:r>
                    <w:rPr>
                      <w:rFonts w:ascii="仿宋" w:hAnsi="仿宋" w:eastAsia="仿宋" w:cs="仿宋"/>
                      <w:spacing w:val="-3"/>
                      <w:sz w:val="18"/>
                      <w:szCs w:val="18"/>
                    </w:rPr>
                    <w:t>潜在负面影</w:t>
                  </w:r>
                  <w:r>
                    <w:rPr>
                      <w:rFonts w:ascii="仿宋" w:hAnsi="仿宋" w:eastAsia="仿宋" w:cs="仿宋"/>
                      <w:sz w:val="18"/>
                      <w:szCs w:val="18"/>
                    </w:rPr>
                    <w:t>响</w:t>
                  </w:r>
                </w:p>
              </w:tc>
              <w:tc>
                <w:tcPr>
                  <w:tcW w:w="5155" w:type="dxa"/>
                  <w:tcBorders>
                    <w:top w:val="single" w:color="000000" w:sz="10" w:space="0"/>
                  </w:tcBorders>
                  <w:vAlign w:val="top"/>
                </w:tcPr>
                <w:p w14:paraId="1508C3B2">
                  <w:pPr>
                    <w:spacing w:before="146" w:line="223" w:lineRule="auto"/>
                    <w:ind w:left="2228"/>
                    <w:rPr>
                      <w:rFonts w:ascii="仿宋" w:hAnsi="仿宋" w:eastAsia="仿宋" w:cs="仿宋"/>
                      <w:sz w:val="18"/>
                      <w:szCs w:val="18"/>
                    </w:rPr>
                  </w:pPr>
                  <w:r>
                    <w:rPr>
                      <w:rFonts w:ascii="仿宋" w:hAnsi="仿宋" w:eastAsia="仿宋" w:cs="仿宋"/>
                      <w:spacing w:val="-4"/>
                      <w:sz w:val="18"/>
                      <w:szCs w:val="18"/>
                    </w:rPr>
                    <w:t>减缓措施</w:t>
                  </w:r>
                </w:p>
              </w:tc>
              <w:tc>
                <w:tcPr>
                  <w:tcW w:w="820" w:type="dxa"/>
                  <w:tcBorders>
                    <w:top w:val="single" w:color="000000" w:sz="10" w:space="0"/>
                    <w:right w:val="nil"/>
                  </w:tcBorders>
                  <w:vAlign w:val="top"/>
                </w:tcPr>
                <w:p w14:paraId="325327E5">
                  <w:pPr>
                    <w:spacing w:before="147" w:line="222" w:lineRule="auto"/>
                    <w:ind w:left="67"/>
                    <w:rPr>
                      <w:rFonts w:ascii="仿宋" w:hAnsi="仿宋" w:eastAsia="仿宋" w:cs="仿宋"/>
                      <w:sz w:val="18"/>
                      <w:szCs w:val="18"/>
                    </w:rPr>
                  </w:pPr>
                  <w:r>
                    <w:rPr>
                      <w:rFonts w:ascii="仿宋" w:hAnsi="仿宋" w:eastAsia="仿宋" w:cs="仿宋"/>
                      <w:spacing w:val="-5"/>
                      <w:sz w:val="18"/>
                      <w:szCs w:val="18"/>
                    </w:rPr>
                    <w:t>负责机构</w:t>
                  </w:r>
                </w:p>
              </w:tc>
            </w:tr>
            <w:tr w14:paraId="34AF30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69" w:hRule="atLeast"/>
              </w:trPr>
              <w:tc>
                <w:tcPr>
                  <w:tcW w:w="810" w:type="dxa"/>
                  <w:vMerge w:val="restart"/>
                  <w:tcBorders>
                    <w:left w:val="nil"/>
                    <w:bottom w:val="nil"/>
                  </w:tcBorders>
                  <w:vAlign w:val="top"/>
                </w:tcPr>
                <w:p w14:paraId="46EF55B3">
                  <w:pPr>
                    <w:spacing w:line="243" w:lineRule="auto"/>
                    <w:rPr>
                      <w:rFonts w:ascii="Arial"/>
                      <w:sz w:val="21"/>
                    </w:rPr>
                  </w:pPr>
                </w:p>
                <w:p w14:paraId="5D69127D">
                  <w:pPr>
                    <w:spacing w:line="244" w:lineRule="auto"/>
                    <w:rPr>
                      <w:rFonts w:ascii="Arial"/>
                      <w:sz w:val="21"/>
                    </w:rPr>
                  </w:pPr>
                </w:p>
                <w:p w14:paraId="733655AE">
                  <w:pPr>
                    <w:spacing w:line="244" w:lineRule="auto"/>
                    <w:rPr>
                      <w:rFonts w:ascii="Arial"/>
                      <w:sz w:val="21"/>
                    </w:rPr>
                  </w:pPr>
                </w:p>
                <w:p w14:paraId="05F24F20">
                  <w:pPr>
                    <w:spacing w:line="244" w:lineRule="auto"/>
                    <w:rPr>
                      <w:rFonts w:ascii="Arial"/>
                      <w:sz w:val="21"/>
                    </w:rPr>
                  </w:pPr>
                </w:p>
                <w:p w14:paraId="238D829D">
                  <w:pPr>
                    <w:spacing w:line="244" w:lineRule="auto"/>
                    <w:rPr>
                      <w:rFonts w:ascii="Arial"/>
                      <w:sz w:val="21"/>
                    </w:rPr>
                  </w:pPr>
                </w:p>
                <w:p w14:paraId="4916E3F3">
                  <w:pPr>
                    <w:spacing w:line="244" w:lineRule="auto"/>
                    <w:rPr>
                      <w:rFonts w:ascii="Arial"/>
                      <w:sz w:val="21"/>
                    </w:rPr>
                  </w:pPr>
                </w:p>
                <w:p w14:paraId="25C41855">
                  <w:pPr>
                    <w:spacing w:line="244" w:lineRule="auto"/>
                    <w:rPr>
                      <w:rFonts w:ascii="Arial"/>
                      <w:sz w:val="21"/>
                    </w:rPr>
                  </w:pPr>
                </w:p>
                <w:p w14:paraId="7EE458F0">
                  <w:pPr>
                    <w:spacing w:line="244" w:lineRule="auto"/>
                    <w:rPr>
                      <w:rFonts w:ascii="Arial"/>
                      <w:sz w:val="21"/>
                    </w:rPr>
                  </w:pPr>
                </w:p>
                <w:p w14:paraId="2AA1CE19">
                  <w:pPr>
                    <w:spacing w:line="244" w:lineRule="auto"/>
                    <w:rPr>
                      <w:rFonts w:ascii="Arial"/>
                      <w:sz w:val="21"/>
                    </w:rPr>
                  </w:pPr>
                </w:p>
                <w:p w14:paraId="1CD3FE1B">
                  <w:pPr>
                    <w:spacing w:line="244" w:lineRule="auto"/>
                    <w:rPr>
                      <w:rFonts w:ascii="Arial"/>
                      <w:sz w:val="21"/>
                    </w:rPr>
                  </w:pPr>
                </w:p>
                <w:p w14:paraId="219315D9">
                  <w:pPr>
                    <w:spacing w:before="58" w:line="222" w:lineRule="auto"/>
                    <w:ind w:left="53"/>
                    <w:rPr>
                      <w:rFonts w:ascii="仿宋" w:hAnsi="仿宋" w:eastAsia="仿宋" w:cs="仿宋"/>
                      <w:sz w:val="18"/>
                      <w:szCs w:val="18"/>
                    </w:rPr>
                  </w:pPr>
                  <w:r>
                    <w:rPr>
                      <w:rFonts w:ascii="仿宋" w:hAnsi="仿宋" w:eastAsia="仿宋" w:cs="仿宋"/>
                      <w:spacing w:val="-3"/>
                      <w:sz w:val="18"/>
                      <w:szCs w:val="18"/>
                    </w:rPr>
                    <w:t>施工阶段</w:t>
                  </w:r>
                </w:p>
              </w:tc>
              <w:tc>
                <w:tcPr>
                  <w:tcW w:w="953" w:type="dxa"/>
                  <w:vAlign w:val="top"/>
                </w:tcPr>
                <w:p w14:paraId="5143F2F5">
                  <w:pPr>
                    <w:spacing w:line="434" w:lineRule="auto"/>
                    <w:rPr>
                      <w:rFonts w:ascii="Arial"/>
                      <w:sz w:val="21"/>
                    </w:rPr>
                  </w:pPr>
                </w:p>
                <w:p w14:paraId="754E6850">
                  <w:pPr>
                    <w:spacing w:before="58" w:line="224" w:lineRule="auto"/>
                    <w:ind w:left="124"/>
                    <w:rPr>
                      <w:rFonts w:ascii="仿宋" w:hAnsi="仿宋" w:eastAsia="仿宋" w:cs="仿宋"/>
                      <w:sz w:val="18"/>
                      <w:szCs w:val="18"/>
                    </w:rPr>
                  </w:pPr>
                  <w:r>
                    <w:rPr>
                      <w:rFonts w:ascii="仿宋" w:hAnsi="仿宋" w:eastAsia="仿宋" w:cs="仿宋"/>
                      <w:spacing w:val="-3"/>
                      <w:sz w:val="18"/>
                      <w:szCs w:val="18"/>
                    </w:rPr>
                    <w:t>施工废气</w:t>
                  </w:r>
                </w:p>
              </w:tc>
              <w:tc>
                <w:tcPr>
                  <w:tcW w:w="5155" w:type="dxa"/>
                  <w:vAlign w:val="top"/>
                </w:tcPr>
                <w:p w14:paraId="7FA2B5EE">
                  <w:pPr>
                    <w:spacing w:before="29" w:line="220" w:lineRule="auto"/>
                    <w:ind w:left="13"/>
                    <w:rPr>
                      <w:rFonts w:ascii="仿宋" w:hAnsi="仿宋" w:eastAsia="仿宋" w:cs="仿宋"/>
                      <w:sz w:val="18"/>
                      <w:szCs w:val="18"/>
                    </w:rPr>
                  </w:pPr>
                  <w:r>
                    <w:rPr>
                      <w:rFonts w:ascii="仿宋" w:hAnsi="仿宋" w:eastAsia="仿宋" w:cs="仿宋"/>
                      <w:spacing w:val="-3"/>
                      <w:sz w:val="18"/>
                      <w:szCs w:val="18"/>
                    </w:rPr>
                    <w:t>加强施工管理，运输易起尘的材料应加盖苫布覆盖，保持施工运输</w:t>
                  </w:r>
                </w:p>
                <w:p w14:paraId="74FBCEC7">
                  <w:pPr>
                    <w:spacing w:before="18" w:line="219" w:lineRule="auto"/>
                    <w:ind w:right="2"/>
                    <w:jc w:val="right"/>
                    <w:rPr>
                      <w:rFonts w:ascii="仿宋" w:hAnsi="仿宋" w:eastAsia="仿宋" w:cs="仿宋"/>
                      <w:sz w:val="18"/>
                      <w:szCs w:val="18"/>
                    </w:rPr>
                  </w:pPr>
                  <w:r>
                    <w:rPr>
                      <w:rFonts w:ascii="仿宋" w:hAnsi="仿宋" w:eastAsia="仿宋" w:cs="仿宋"/>
                      <w:spacing w:val="-3"/>
                      <w:sz w:val="18"/>
                      <w:szCs w:val="18"/>
                    </w:rPr>
                    <w:t>道路的清洁，定期洒水降尘，避免在大风季节进行扬尘较大的</w:t>
                  </w:r>
                  <w:r>
                    <w:rPr>
                      <w:rFonts w:ascii="仿宋" w:hAnsi="仿宋" w:eastAsia="仿宋" w:cs="仿宋"/>
                      <w:spacing w:val="-4"/>
                      <w:sz w:val="18"/>
                      <w:szCs w:val="18"/>
                    </w:rPr>
                    <w:t>施工</w:t>
                  </w:r>
                </w:p>
                <w:p w14:paraId="7F5E4186">
                  <w:pPr>
                    <w:spacing w:before="19" w:line="219" w:lineRule="auto"/>
                    <w:jc w:val="right"/>
                    <w:rPr>
                      <w:rFonts w:ascii="仿宋" w:hAnsi="仿宋" w:eastAsia="仿宋" w:cs="仿宋"/>
                      <w:sz w:val="18"/>
                      <w:szCs w:val="18"/>
                    </w:rPr>
                  </w:pPr>
                  <w:r>
                    <w:rPr>
                      <w:rFonts w:ascii="仿宋" w:hAnsi="仿宋" w:eastAsia="仿宋" w:cs="仿宋"/>
                      <w:spacing w:val="-3"/>
                      <w:sz w:val="18"/>
                      <w:szCs w:val="18"/>
                    </w:rPr>
                    <w:t>工序。严禁尾气超标车辆上路，加强对道路的养护；禁止车</w:t>
                  </w:r>
                  <w:r>
                    <w:rPr>
                      <w:rFonts w:ascii="仿宋" w:hAnsi="仿宋" w:eastAsia="仿宋" w:cs="仿宋"/>
                      <w:spacing w:val="-4"/>
                      <w:sz w:val="18"/>
                      <w:szCs w:val="18"/>
                    </w:rPr>
                    <w:t>况差、</w:t>
                  </w:r>
                </w:p>
                <w:p w14:paraId="7783F30B">
                  <w:pPr>
                    <w:spacing w:before="19" w:line="219" w:lineRule="auto"/>
                    <w:ind w:right="2"/>
                    <w:jc w:val="right"/>
                    <w:rPr>
                      <w:rFonts w:ascii="仿宋" w:hAnsi="仿宋" w:eastAsia="仿宋" w:cs="仿宋"/>
                      <w:sz w:val="18"/>
                      <w:szCs w:val="18"/>
                    </w:rPr>
                  </w:pPr>
                  <w:r>
                    <w:rPr>
                      <w:rFonts w:ascii="仿宋" w:hAnsi="仿宋" w:eastAsia="仿宋" w:cs="仿宋"/>
                      <w:spacing w:val="-3"/>
                      <w:sz w:val="18"/>
                      <w:szCs w:val="18"/>
                    </w:rPr>
                    <w:t>超载、装卸物品遮盖不严容易洒落的车辆上路，减少车辆滞速</w:t>
                  </w:r>
                  <w:r>
                    <w:rPr>
                      <w:rFonts w:ascii="仿宋" w:hAnsi="仿宋" w:eastAsia="仿宋" w:cs="仿宋"/>
                      <w:spacing w:val="-4"/>
                      <w:sz w:val="18"/>
                      <w:szCs w:val="18"/>
                    </w:rPr>
                    <w:t>怠速</w:t>
                  </w:r>
                </w:p>
                <w:p w14:paraId="44963FF1">
                  <w:pPr>
                    <w:spacing w:before="18" w:line="204" w:lineRule="auto"/>
                    <w:ind w:left="2315"/>
                    <w:rPr>
                      <w:rFonts w:ascii="仿宋" w:hAnsi="仿宋" w:eastAsia="仿宋" w:cs="仿宋"/>
                      <w:sz w:val="18"/>
                      <w:szCs w:val="18"/>
                    </w:rPr>
                  </w:pPr>
                  <w:r>
                    <w:rPr>
                      <w:rFonts w:ascii="仿宋" w:hAnsi="仿宋" w:eastAsia="仿宋" w:cs="仿宋"/>
                      <w:spacing w:val="-4"/>
                      <w:sz w:val="18"/>
                      <w:szCs w:val="18"/>
                    </w:rPr>
                    <w:t>状态。</w:t>
                  </w:r>
                </w:p>
              </w:tc>
              <w:tc>
                <w:tcPr>
                  <w:tcW w:w="820" w:type="dxa"/>
                  <w:vMerge w:val="restart"/>
                  <w:tcBorders>
                    <w:bottom w:val="nil"/>
                    <w:right w:val="nil"/>
                  </w:tcBorders>
                  <w:vAlign w:val="top"/>
                </w:tcPr>
                <w:p w14:paraId="46F096EB">
                  <w:pPr>
                    <w:spacing w:line="243" w:lineRule="auto"/>
                    <w:rPr>
                      <w:rFonts w:ascii="Arial"/>
                      <w:sz w:val="21"/>
                    </w:rPr>
                  </w:pPr>
                </w:p>
                <w:p w14:paraId="0AA0642E">
                  <w:pPr>
                    <w:spacing w:line="244" w:lineRule="auto"/>
                    <w:rPr>
                      <w:rFonts w:ascii="Arial"/>
                      <w:sz w:val="21"/>
                    </w:rPr>
                  </w:pPr>
                </w:p>
                <w:p w14:paraId="6B0E0E1D">
                  <w:pPr>
                    <w:spacing w:line="244" w:lineRule="auto"/>
                    <w:rPr>
                      <w:rFonts w:ascii="Arial"/>
                      <w:sz w:val="21"/>
                    </w:rPr>
                  </w:pPr>
                </w:p>
                <w:p w14:paraId="76FCA9EA">
                  <w:pPr>
                    <w:spacing w:line="244" w:lineRule="auto"/>
                    <w:rPr>
                      <w:rFonts w:ascii="Arial"/>
                      <w:sz w:val="21"/>
                    </w:rPr>
                  </w:pPr>
                </w:p>
                <w:p w14:paraId="42B116D6">
                  <w:pPr>
                    <w:spacing w:line="244" w:lineRule="auto"/>
                    <w:rPr>
                      <w:rFonts w:ascii="Arial"/>
                      <w:sz w:val="21"/>
                    </w:rPr>
                  </w:pPr>
                </w:p>
                <w:p w14:paraId="0FB7F154">
                  <w:pPr>
                    <w:spacing w:line="244" w:lineRule="auto"/>
                    <w:rPr>
                      <w:rFonts w:ascii="Arial"/>
                      <w:sz w:val="21"/>
                    </w:rPr>
                  </w:pPr>
                </w:p>
                <w:p w14:paraId="50509E17">
                  <w:pPr>
                    <w:spacing w:line="244" w:lineRule="auto"/>
                    <w:rPr>
                      <w:rFonts w:ascii="Arial"/>
                      <w:sz w:val="21"/>
                    </w:rPr>
                  </w:pPr>
                </w:p>
                <w:p w14:paraId="4082EA96">
                  <w:pPr>
                    <w:spacing w:line="244" w:lineRule="auto"/>
                    <w:rPr>
                      <w:rFonts w:ascii="Arial"/>
                      <w:sz w:val="21"/>
                    </w:rPr>
                  </w:pPr>
                </w:p>
                <w:p w14:paraId="29076AB6">
                  <w:pPr>
                    <w:spacing w:line="244" w:lineRule="auto"/>
                    <w:rPr>
                      <w:rFonts w:ascii="Arial"/>
                      <w:sz w:val="21"/>
                    </w:rPr>
                  </w:pPr>
                </w:p>
                <w:p w14:paraId="6C28A25F">
                  <w:pPr>
                    <w:spacing w:line="244" w:lineRule="auto"/>
                    <w:rPr>
                      <w:rFonts w:ascii="Arial"/>
                      <w:sz w:val="21"/>
                    </w:rPr>
                  </w:pPr>
                </w:p>
                <w:p w14:paraId="24B1319A">
                  <w:pPr>
                    <w:spacing w:before="59" w:line="221" w:lineRule="auto"/>
                    <w:ind w:left="61"/>
                    <w:rPr>
                      <w:rFonts w:ascii="仿宋" w:hAnsi="仿宋" w:eastAsia="仿宋" w:cs="仿宋"/>
                      <w:sz w:val="18"/>
                      <w:szCs w:val="18"/>
                    </w:rPr>
                  </w:pPr>
                  <w:r>
                    <w:rPr>
                      <w:rFonts w:ascii="仿宋" w:hAnsi="仿宋" w:eastAsia="仿宋" w:cs="仿宋"/>
                      <w:spacing w:val="-3"/>
                      <w:sz w:val="18"/>
                      <w:szCs w:val="18"/>
                    </w:rPr>
                    <w:t>施工单位</w:t>
                  </w:r>
                </w:p>
              </w:tc>
            </w:tr>
            <w:tr w14:paraId="3E0DEC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3" w:hRule="atLeast"/>
              </w:trPr>
              <w:tc>
                <w:tcPr>
                  <w:tcW w:w="810" w:type="dxa"/>
                  <w:vMerge w:val="continue"/>
                  <w:tcBorders>
                    <w:top w:val="nil"/>
                    <w:left w:val="nil"/>
                    <w:bottom w:val="nil"/>
                  </w:tcBorders>
                  <w:vAlign w:val="top"/>
                </w:tcPr>
                <w:p w14:paraId="283EAFED">
                  <w:pPr>
                    <w:rPr>
                      <w:rFonts w:ascii="Arial"/>
                      <w:sz w:val="21"/>
                    </w:rPr>
                  </w:pPr>
                </w:p>
              </w:tc>
              <w:tc>
                <w:tcPr>
                  <w:tcW w:w="953" w:type="dxa"/>
                  <w:vAlign w:val="top"/>
                </w:tcPr>
                <w:p w14:paraId="0266C198">
                  <w:pPr>
                    <w:spacing w:before="264" w:line="222" w:lineRule="auto"/>
                    <w:ind w:left="124"/>
                    <w:rPr>
                      <w:rFonts w:ascii="仿宋" w:hAnsi="仿宋" w:eastAsia="仿宋" w:cs="仿宋"/>
                      <w:sz w:val="18"/>
                      <w:szCs w:val="18"/>
                    </w:rPr>
                  </w:pPr>
                  <w:r>
                    <w:rPr>
                      <w:rFonts w:ascii="仿宋" w:hAnsi="仿宋" w:eastAsia="仿宋" w:cs="仿宋"/>
                      <w:spacing w:val="-3"/>
                      <w:sz w:val="18"/>
                      <w:szCs w:val="18"/>
                    </w:rPr>
                    <w:t>施工噪声</w:t>
                  </w:r>
                </w:p>
              </w:tc>
              <w:tc>
                <w:tcPr>
                  <w:tcW w:w="5155" w:type="dxa"/>
                  <w:vAlign w:val="top"/>
                </w:tcPr>
                <w:p w14:paraId="6554EB91">
                  <w:pPr>
                    <w:spacing w:before="31" w:line="220" w:lineRule="auto"/>
                    <w:jc w:val="right"/>
                    <w:rPr>
                      <w:rFonts w:ascii="仿宋" w:hAnsi="仿宋" w:eastAsia="仿宋" w:cs="仿宋"/>
                      <w:sz w:val="18"/>
                      <w:szCs w:val="18"/>
                    </w:rPr>
                  </w:pPr>
                  <w:r>
                    <w:rPr>
                      <w:rFonts w:ascii="仿宋" w:hAnsi="仿宋" w:eastAsia="仿宋" w:cs="仿宋"/>
                      <w:spacing w:val="-9"/>
                      <w:sz w:val="18"/>
                      <w:szCs w:val="18"/>
                    </w:rPr>
                    <w:t>施工过程采取施工围挡、使用低噪声设备、科学安排施工作业时间，</w:t>
                  </w:r>
                </w:p>
                <w:p w14:paraId="00E1ED81">
                  <w:pPr>
                    <w:pStyle w:val="6"/>
                    <w:spacing w:before="18" w:line="222" w:lineRule="auto"/>
                    <w:ind w:right="2"/>
                    <w:jc w:val="right"/>
                    <w:rPr>
                      <w:rFonts w:ascii="仿宋" w:hAnsi="仿宋" w:eastAsia="仿宋" w:cs="仿宋"/>
                    </w:rPr>
                  </w:pPr>
                  <w:r>
                    <w:rPr>
                      <w:rFonts w:ascii="仿宋" w:hAnsi="仿宋" w:eastAsia="仿宋" w:cs="仿宋"/>
                      <w:spacing w:val="-3"/>
                    </w:rPr>
                    <w:t>午间、夜间禁止施工等。对于</w:t>
                  </w:r>
                  <w:r>
                    <w:rPr>
                      <w:rFonts w:ascii="仿宋" w:hAnsi="仿宋" w:eastAsia="仿宋" w:cs="仿宋"/>
                      <w:spacing w:val="-24"/>
                    </w:rPr>
                    <w:t xml:space="preserve"> </w:t>
                  </w:r>
                  <w:r>
                    <w:rPr>
                      <w:spacing w:val="-3"/>
                    </w:rPr>
                    <w:t>200m</w:t>
                  </w:r>
                  <w:r>
                    <w:rPr>
                      <w:spacing w:val="19"/>
                      <w:w w:val="101"/>
                    </w:rPr>
                    <w:t xml:space="preserve"> </w:t>
                  </w:r>
                  <w:r>
                    <w:rPr>
                      <w:rFonts w:ascii="仿宋" w:hAnsi="仿宋" w:eastAsia="仿宋" w:cs="仿宋"/>
                      <w:spacing w:val="-3"/>
                    </w:rPr>
                    <w:t>范围内的噪声敏感目标，可设</w:t>
                  </w:r>
                </w:p>
                <w:p w14:paraId="271F45A3">
                  <w:pPr>
                    <w:spacing w:before="16" w:line="201" w:lineRule="auto"/>
                    <w:ind w:left="967"/>
                    <w:rPr>
                      <w:rFonts w:ascii="仿宋" w:hAnsi="仿宋" w:eastAsia="仿宋" w:cs="仿宋"/>
                      <w:sz w:val="18"/>
                      <w:szCs w:val="18"/>
                    </w:rPr>
                  </w:pPr>
                  <w:r>
                    <w:rPr>
                      <w:rFonts w:ascii="仿宋" w:hAnsi="仿宋" w:eastAsia="仿宋" w:cs="仿宋"/>
                      <w:spacing w:val="-1"/>
                      <w:sz w:val="18"/>
                      <w:szCs w:val="18"/>
                    </w:rPr>
                    <w:t>置临时隔声挡板，进一步削弱噪声传入。</w:t>
                  </w:r>
                </w:p>
              </w:tc>
              <w:tc>
                <w:tcPr>
                  <w:tcW w:w="820" w:type="dxa"/>
                  <w:vMerge w:val="continue"/>
                  <w:tcBorders>
                    <w:top w:val="nil"/>
                    <w:bottom w:val="nil"/>
                    <w:right w:val="nil"/>
                  </w:tcBorders>
                  <w:vAlign w:val="top"/>
                </w:tcPr>
                <w:p w14:paraId="77A1160E">
                  <w:pPr>
                    <w:rPr>
                      <w:rFonts w:ascii="Arial"/>
                      <w:sz w:val="21"/>
                    </w:rPr>
                  </w:pPr>
                </w:p>
              </w:tc>
            </w:tr>
            <w:tr w14:paraId="4755B7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810" w:type="dxa"/>
                  <w:vMerge w:val="continue"/>
                  <w:tcBorders>
                    <w:top w:val="nil"/>
                    <w:left w:val="nil"/>
                    <w:bottom w:val="nil"/>
                  </w:tcBorders>
                  <w:vAlign w:val="top"/>
                </w:tcPr>
                <w:p w14:paraId="17E1E97E">
                  <w:pPr>
                    <w:rPr>
                      <w:rFonts w:ascii="Arial"/>
                      <w:sz w:val="21"/>
                    </w:rPr>
                  </w:pPr>
                </w:p>
              </w:tc>
              <w:tc>
                <w:tcPr>
                  <w:tcW w:w="953" w:type="dxa"/>
                  <w:vAlign w:val="top"/>
                </w:tcPr>
                <w:p w14:paraId="131CE838">
                  <w:pPr>
                    <w:spacing w:before="151" w:line="223" w:lineRule="auto"/>
                    <w:ind w:left="124"/>
                    <w:rPr>
                      <w:rFonts w:ascii="仿宋" w:hAnsi="仿宋" w:eastAsia="仿宋" w:cs="仿宋"/>
                      <w:sz w:val="18"/>
                      <w:szCs w:val="18"/>
                    </w:rPr>
                  </w:pPr>
                  <w:r>
                    <w:rPr>
                      <w:rFonts w:ascii="仿宋" w:hAnsi="仿宋" w:eastAsia="仿宋" w:cs="仿宋"/>
                      <w:spacing w:val="-3"/>
                      <w:sz w:val="18"/>
                      <w:szCs w:val="18"/>
                    </w:rPr>
                    <w:t>施工废水</w:t>
                  </w:r>
                </w:p>
              </w:tc>
              <w:tc>
                <w:tcPr>
                  <w:tcW w:w="5155" w:type="dxa"/>
                  <w:vAlign w:val="top"/>
                </w:tcPr>
                <w:p w14:paraId="36DC70A4">
                  <w:pPr>
                    <w:spacing w:before="33" w:line="220" w:lineRule="auto"/>
                    <w:ind w:right="2"/>
                    <w:jc w:val="right"/>
                    <w:rPr>
                      <w:rFonts w:ascii="仿宋" w:hAnsi="仿宋" w:eastAsia="仿宋" w:cs="仿宋"/>
                      <w:sz w:val="18"/>
                      <w:szCs w:val="18"/>
                    </w:rPr>
                  </w:pPr>
                  <w:r>
                    <w:rPr>
                      <w:rFonts w:ascii="仿宋" w:hAnsi="仿宋" w:eastAsia="仿宋" w:cs="仿宋"/>
                      <w:spacing w:val="-3"/>
                      <w:sz w:val="18"/>
                      <w:szCs w:val="18"/>
                    </w:rPr>
                    <w:t>本项目不自设预制场、拌合站，预制构件等材料均外购，不产</w:t>
                  </w:r>
                  <w:r>
                    <w:rPr>
                      <w:rFonts w:ascii="仿宋" w:hAnsi="仿宋" w:eastAsia="仿宋" w:cs="仿宋"/>
                      <w:spacing w:val="-4"/>
                      <w:sz w:val="18"/>
                      <w:szCs w:val="18"/>
                    </w:rPr>
                    <w:t>生施</w:t>
                  </w:r>
                </w:p>
                <w:p w14:paraId="7BBF57F1">
                  <w:pPr>
                    <w:spacing w:before="17" w:line="200" w:lineRule="auto"/>
                    <w:ind w:left="2231"/>
                    <w:rPr>
                      <w:rFonts w:ascii="仿宋" w:hAnsi="仿宋" w:eastAsia="仿宋" w:cs="仿宋"/>
                      <w:sz w:val="18"/>
                      <w:szCs w:val="18"/>
                    </w:rPr>
                  </w:pPr>
                  <w:r>
                    <w:rPr>
                      <w:rFonts w:ascii="仿宋" w:hAnsi="仿宋" w:eastAsia="仿宋" w:cs="仿宋"/>
                      <w:spacing w:val="-5"/>
                      <w:sz w:val="18"/>
                      <w:szCs w:val="18"/>
                    </w:rPr>
                    <w:t>工废水。</w:t>
                  </w:r>
                </w:p>
              </w:tc>
              <w:tc>
                <w:tcPr>
                  <w:tcW w:w="820" w:type="dxa"/>
                  <w:vMerge w:val="continue"/>
                  <w:tcBorders>
                    <w:top w:val="nil"/>
                    <w:bottom w:val="nil"/>
                    <w:right w:val="nil"/>
                  </w:tcBorders>
                  <w:vAlign w:val="top"/>
                </w:tcPr>
                <w:p w14:paraId="4345FCCD">
                  <w:pPr>
                    <w:rPr>
                      <w:rFonts w:ascii="Arial"/>
                      <w:sz w:val="21"/>
                    </w:rPr>
                  </w:pPr>
                </w:p>
              </w:tc>
            </w:tr>
            <w:tr w14:paraId="4E2E76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810" w:type="dxa"/>
                  <w:vMerge w:val="continue"/>
                  <w:tcBorders>
                    <w:top w:val="nil"/>
                    <w:left w:val="nil"/>
                    <w:bottom w:val="nil"/>
                  </w:tcBorders>
                  <w:vAlign w:val="top"/>
                </w:tcPr>
                <w:p w14:paraId="00369ECA">
                  <w:pPr>
                    <w:rPr>
                      <w:rFonts w:ascii="Arial"/>
                      <w:sz w:val="21"/>
                    </w:rPr>
                  </w:pPr>
                </w:p>
              </w:tc>
              <w:tc>
                <w:tcPr>
                  <w:tcW w:w="953" w:type="dxa"/>
                  <w:vAlign w:val="top"/>
                </w:tcPr>
                <w:p w14:paraId="56F69AE0">
                  <w:pPr>
                    <w:spacing w:before="150" w:line="223" w:lineRule="auto"/>
                    <w:ind w:left="135"/>
                    <w:rPr>
                      <w:rFonts w:ascii="仿宋" w:hAnsi="仿宋" w:eastAsia="仿宋" w:cs="仿宋"/>
                      <w:sz w:val="18"/>
                      <w:szCs w:val="18"/>
                    </w:rPr>
                  </w:pPr>
                  <w:r>
                    <w:rPr>
                      <w:rFonts w:ascii="仿宋" w:hAnsi="仿宋" w:eastAsia="仿宋" w:cs="仿宋"/>
                      <w:spacing w:val="-6"/>
                      <w:sz w:val="18"/>
                      <w:szCs w:val="18"/>
                    </w:rPr>
                    <w:t>生活污水</w:t>
                  </w:r>
                </w:p>
              </w:tc>
              <w:tc>
                <w:tcPr>
                  <w:tcW w:w="5155" w:type="dxa"/>
                  <w:vAlign w:val="top"/>
                </w:tcPr>
                <w:p w14:paraId="4FFFA375">
                  <w:pPr>
                    <w:spacing w:before="34" w:line="222" w:lineRule="auto"/>
                    <w:ind w:left="13"/>
                    <w:rPr>
                      <w:rFonts w:ascii="仿宋" w:hAnsi="仿宋" w:eastAsia="仿宋" w:cs="仿宋"/>
                      <w:sz w:val="18"/>
                      <w:szCs w:val="18"/>
                    </w:rPr>
                  </w:pPr>
                  <w:r>
                    <w:rPr>
                      <w:rFonts w:ascii="仿宋" w:hAnsi="仿宋" w:eastAsia="仿宋" w:cs="仿宋"/>
                      <w:spacing w:val="-3"/>
                      <w:sz w:val="18"/>
                      <w:szCs w:val="18"/>
                    </w:rPr>
                    <w:t>施工人员生活污水依托施工生活区租用的民房现有生活设施，项目</w:t>
                  </w:r>
                </w:p>
                <w:p w14:paraId="70EA2755">
                  <w:pPr>
                    <w:spacing w:before="16" w:line="197" w:lineRule="auto"/>
                    <w:ind w:left="1791"/>
                    <w:rPr>
                      <w:rFonts w:ascii="仿宋" w:hAnsi="仿宋" w:eastAsia="仿宋" w:cs="仿宋"/>
                      <w:sz w:val="18"/>
                      <w:szCs w:val="18"/>
                    </w:rPr>
                  </w:pPr>
                  <w:r>
                    <w:rPr>
                      <w:rFonts w:ascii="仿宋" w:hAnsi="仿宋" w:eastAsia="仿宋" w:cs="仿宋"/>
                      <w:spacing w:val="-4"/>
                      <w:sz w:val="18"/>
                      <w:szCs w:val="18"/>
                    </w:rPr>
                    <w:t>区内不产生生活污水</w:t>
                  </w:r>
                </w:p>
              </w:tc>
              <w:tc>
                <w:tcPr>
                  <w:tcW w:w="820" w:type="dxa"/>
                  <w:vMerge w:val="continue"/>
                  <w:tcBorders>
                    <w:top w:val="nil"/>
                    <w:bottom w:val="nil"/>
                    <w:right w:val="nil"/>
                  </w:tcBorders>
                  <w:vAlign w:val="top"/>
                </w:tcPr>
                <w:p w14:paraId="3AC448A1">
                  <w:pPr>
                    <w:rPr>
                      <w:rFonts w:ascii="Arial"/>
                      <w:sz w:val="21"/>
                    </w:rPr>
                  </w:pPr>
                </w:p>
              </w:tc>
            </w:tr>
            <w:tr w14:paraId="49E3C5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810" w:type="dxa"/>
                  <w:vMerge w:val="continue"/>
                  <w:tcBorders>
                    <w:top w:val="nil"/>
                    <w:left w:val="nil"/>
                    <w:bottom w:val="nil"/>
                  </w:tcBorders>
                  <w:vAlign w:val="top"/>
                </w:tcPr>
                <w:p w14:paraId="211E7F2F">
                  <w:pPr>
                    <w:rPr>
                      <w:rFonts w:ascii="Arial"/>
                      <w:sz w:val="21"/>
                    </w:rPr>
                  </w:pPr>
                </w:p>
              </w:tc>
              <w:tc>
                <w:tcPr>
                  <w:tcW w:w="953" w:type="dxa"/>
                  <w:vAlign w:val="top"/>
                </w:tcPr>
                <w:p w14:paraId="1143CAA1">
                  <w:pPr>
                    <w:spacing w:before="34" w:line="197" w:lineRule="auto"/>
                    <w:ind w:left="128"/>
                    <w:rPr>
                      <w:rFonts w:ascii="仿宋" w:hAnsi="仿宋" w:eastAsia="仿宋" w:cs="仿宋"/>
                      <w:sz w:val="18"/>
                      <w:szCs w:val="18"/>
                    </w:rPr>
                  </w:pPr>
                  <w:r>
                    <w:rPr>
                      <w:rFonts w:ascii="仿宋" w:hAnsi="仿宋" w:eastAsia="仿宋" w:cs="仿宋"/>
                      <w:spacing w:val="-5"/>
                      <w:sz w:val="18"/>
                      <w:szCs w:val="18"/>
                    </w:rPr>
                    <w:t>工程弃土</w:t>
                  </w:r>
                </w:p>
              </w:tc>
              <w:tc>
                <w:tcPr>
                  <w:tcW w:w="5155" w:type="dxa"/>
                  <w:vAlign w:val="top"/>
                </w:tcPr>
                <w:p w14:paraId="36A7AAA4">
                  <w:pPr>
                    <w:spacing w:before="34" w:line="197" w:lineRule="auto"/>
                    <w:ind w:left="1331"/>
                    <w:rPr>
                      <w:rFonts w:ascii="仿宋" w:hAnsi="仿宋" w:eastAsia="仿宋" w:cs="仿宋"/>
                      <w:sz w:val="18"/>
                      <w:szCs w:val="18"/>
                    </w:rPr>
                  </w:pPr>
                  <w:r>
                    <w:rPr>
                      <w:rFonts w:ascii="仿宋" w:hAnsi="仿宋" w:eastAsia="仿宋" w:cs="仿宋"/>
                      <w:spacing w:val="-2"/>
                      <w:sz w:val="18"/>
                      <w:szCs w:val="18"/>
                    </w:rPr>
                    <w:t>合理调配土石方，不产生弃土。</w:t>
                  </w:r>
                </w:p>
              </w:tc>
              <w:tc>
                <w:tcPr>
                  <w:tcW w:w="820" w:type="dxa"/>
                  <w:vMerge w:val="continue"/>
                  <w:tcBorders>
                    <w:top w:val="nil"/>
                    <w:bottom w:val="nil"/>
                    <w:right w:val="nil"/>
                  </w:tcBorders>
                  <w:vAlign w:val="top"/>
                </w:tcPr>
                <w:p w14:paraId="06244AC1">
                  <w:pPr>
                    <w:rPr>
                      <w:rFonts w:ascii="Arial"/>
                      <w:sz w:val="21"/>
                    </w:rPr>
                  </w:pPr>
                </w:p>
              </w:tc>
            </w:tr>
            <w:tr w14:paraId="0D40C2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810" w:type="dxa"/>
                  <w:vMerge w:val="continue"/>
                  <w:tcBorders>
                    <w:top w:val="nil"/>
                    <w:left w:val="nil"/>
                    <w:bottom w:val="nil"/>
                  </w:tcBorders>
                  <w:vAlign w:val="top"/>
                </w:tcPr>
                <w:p w14:paraId="2EAF34B0">
                  <w:pPr>
                    <w:rPr>
                      <w:rFonts w:ascii="Arial"/>
                      <w:sz w:val="21"/>
                    </w:rPr>
                  </w:pPr>
                </w:p>
              </w:tc>
              <w:tc>
                <w:tcPr>
                  <w:tcW w:w="953" w:type="dxa"/>
                  <w:vAlign w:val="top"/>
                </w:tcPr>
                <w:p w14:paraId="0C9B5691">
                  <w:pPr>
                    <w:spacing w:before="153" w:line="224" w:lineRule="auto"/>
                    <w:ind w:left="124"/>
                    <w:rPr>
                      <w:rFonts w:ascii="仿宋" w:hAnsi="仿宋" w:eastAsia="仿宋" w:cs="仿宋"/>
                      <w:sz w:val="18"/>
                      <w:szCs w:val="18"/>
                    </w:rPr>
                  </w:pPr>
                  <w:r>
                    <w:rPr>
                      <w:rFonts w:ascii="仿宋" w:hAnsi="仿宋" w:eastAsia="仿宋" w:cs="仿宋"/>
                      <w:spacing w:val="-3"/>
                      <w:sz w:val="18"/>
                      <w:szCs w:val="18"/>
                    </w:rPr>
                    <w:t>建筑垃圾</w:t>
                  </w:r>
                </w:p>
              </w:tc>
              <w:tc>
                <w:tcPr>
                  <w:tcW w:w="5155" w:type="dxa"/>
                  <w:vAlign w:val="top"/>
                </w:tcPr>
                <w:p w14:paraId="3D9AADC3">
                  <w:pPr>
                    <w:spacing w:before="37" w:line="222" w:lineRule="auto"/>
                    <w:ind w:left="13"/>
                    <w:rPr>
                      <w:rFonts w:ascii="仿宋" w:hAnsi="仿宋" w:eastAsia="仿宋" w:cs="仿宋"/>
                      <w:sz w:val="18"/>
                      <w:szCs w:val="18"/>
                    </w:rPr>
                  </w:pPr>
                  <w:r>
                    <w:rPr>
                      <w:rFonts w:ascii="仿宋" w:hAnsi="仿宋" w:eastAsia="仿宋" w:cs="仿宋"/>
                      <w:spacing w:val="-3"/>
                      <w:sz w:val="18"/>
                      <w:szCs w:val="18"/>
                    </w:rPr>
                    <w:t>优先回收利用，不能利用的统一收集后运至市政指定建筑垃圾排放</w:t>
                  </w:r>
                </w:p>
                <w:p w14:paraId="783007E1">
                  <w:pPr>
                    <w:spacing w:before="16" w:line="195" w:lineRule="auto"/>
                    <w:ind w:left="2236"/>
                    <w:rPr>
                      <w:rFonts w:ascii="仿宋" w:hAnsi="仿宋" w:eastAsia="仿宋" w:cs="仿宋"/>
                      <w:sz w:val="18"/>
                      <w:szCs w:val="18"/>
                    </w:rPr>
                  </w:pPr>
                  <w:r>
                    <w:rPr>
                      <w:rFonts w:ascii="仿宋" w:hAnsi="仿宋" w:eastAsia="仿宋" w:cs="仿宋"/>
                      <w:spacing w:val="-6"/>
                      <w:sz w:val="18"/>
                      <w:szCs w:val="18"/>
                    </w:rPr>
                    <w:t>点处置；</w:t>
                  </w:r>
                </w:p>
              </w:tc>
              <w:tc>
                <w:tcPr>
                  <w:tcW w:w="820" w:type="dxa"/>
                  <w:vMerge w:val="continue"/>
                  <w:tcBorders>
                    <w:top w:val="nil"/>
                    <w:bottom w:val="nil"/>
                    <w:right w:val="nil"/>
                  </w:tcBorders>
                  <w:vAlign w:val="top"/>
                </w:tcPr>
                <w:p w14:paraId="1E497487">
                  <w:pPr>
                    <w:rPr>
                      <w:rFonts w:ascii="Arial"/>
                      <w:sz w:val="21"/>
                    </w:rPr>
                  </w:pPr>
                </w:p>
              </w:tc>
            </w:tr>
            <w:tr w14:paraId="4186AF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810" w:type="dxa"/>
                  <w:vMerge w:val="continue"/>
                  <w:tcBorders>
                    <w:top w:val="nil"/>
                    <w:left w:val="nil"/>
                    <w:bottom w:val="nil"/>
                  </w:tcBorders>
                  <w:vAlign w:val="top"/>
                </w:tcPr>
                <w:p w14:paraId="1FF13A23">
                  <w:pPr>
                    <w:rPr>
                      <w:rFonts w:ascii="Arial"/>
                      <w:sz w:val="21"/>
                    </w:rPr>
                  </w:pPr>
                </w:p>
              </w:tc>
              <w:tc>
                <w:tcPr>
                  <w:tcW w:w="953" w:type="dxa"/>
                  <w:vAlign w:val="top"/>
                </w:tcPr>
                <w:p w14:paraId="135F3421">
                  <w:pPr>
                    <w:spacing w:before="154" w:line="224" w:lineRule="auto"/>
                    <w:ind w:left="135"/>
                    <w:rPr>
                      <w:rFonts w:ascii="仿宋" w:hAnsi="仿宋" w:eastAsia="仿宋" w:cs="仿宋"/>
                      <w:sz w:val="18"/>
                      <w:szCs w:val="18"/>
                    </w:rPr>
                  </w:pPr>
                  <w:r>
                    <w:rPr>
                      <w:rFonts w:ascii="仿宋" w:hAnsi="仿宋" w:eastAsia="仿宋" w:cs="仿宋"/>
                      <w:spacing w:val="-6"/>
                      <w:sz w:val="18"/>
                      <w:szCs w:val="18"/>
                    </w:rPr>
                    <w:t>生活垃圾</w:t>
                  </w:r>
                </w:p>
              </w:tc>
              <w:tc>
                <w:tcPr>
                  <w:tcW w:w="5155" w:type="dxa"/>
                  <w:vAlign w:val="top"/>
                </w:tcPr>
                <w:p w14:paraId="4A7F5C37">
                  <w:pPr>
                    <w:spacing w:before="39" w:line="222" w:lineRule="auto"/>
                    <w:ind w:right="2"/>
                    <w:jc w:val="right"/>
                    <w:rPr>
                      <w:rFonts w:ascii="仿宋" w:hAnsi="仿宋" w:eastAsia="仿宋" w:cs="仿宋"/>
                      <w:sz w:val="18"/>
                      <w:szCs w:val="18"/>
                    </w:rPr>
                  </w:pPr>
                  <w:r>
                    <w:rPr>
                      <w:rFonts w:ascii="仿宋" w:hAnsi="仿宋" w:eastAsia="仿宋" w:cs="仿宋"/>
                      <w:spacing w:val="-4"/>
                      <w:sz w:val="18"/>
                      <w:szCs w:val="18"/>
                    </w:rPr>
                    <w:t>生活垃圾按照当地村民生活垃圾处理方式，集中收集后，交当地环</w:t>
                  </w:r>
                </w:p>
                <w:p w14:paraId="21FA1058">
                  <w:pPr>
                    <w:spacing w:before="17" w:line="193" w:lineRule="auto"/>
                    <w:ind w:left="1778"/>
                    <w:rPr>
                      <w:rFonts w:ascii="仿宋" w:hAnsi="仿宋" w:eastAsia="仿宋" w:cs="仿宋"/>
                      <w:sz w:val="18"/>
                      <w:szCs w:val="18"/>
                    </w:rPr>
                  </w:pPr>
                  <w:r>
                    <w:rPr>
                      <w:rFonts w:ascii="仿宋" w:hAnsi="仿宋" w:eastAsia="仿宋" w:cs="仿宋"/>
                      <w:spacing w:val="-2"/>
                      <w:sz w:val="18"/>
                      <w:szCs w:val="18"/>
                    </w:rPr>
                    <w:t>卫部门的要求处理。</w:t>
                  </w:r>
                </w:p>
              </w:tc>
              <w:tc>
                <w:tcPr>
                  <w:tcW w:w="820" w:type="dxa"/>
                  <w:vMerge w:val="continue"/>
                  <w:tcBorders>
                    <w:top w:val="nil"/>
                    <w:bottom w:val="nil"/>
                    <w:right w:val="nil"/>
                  </w:tcBorders>
                  <w:vAlign w:val="top"/>
                </w:tcPr>
                <w:p w14:paraId="6CAE2540">
                  <w:pPr>
                    <w:rPr>
                      <w:rFonts w:ascii="Arial"/>
                      <w:sz w:val="21"/>
                    </w:rPr>
                  </w:pPr>
                </w:p>
              </w:tc>
            </w:tr>
            <w:tr w14:paraId="26EC57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69" w:hRule="atLeast"/>
              </w:trPr>
              <w:tc>
                <w:tcPr>
                  <w:tcW w:w="810" w:type="dxa"/>
                  <w:vMerge w:val="continue"/>
                  <w:tcBorders>
                    <w:top w:val="nil"/>
                    <w:left w:val="nil"/>
                  </w:tcBorders>
                  <w:vAlign w:val="top"/>
                </w:tcPr>
                <w:p w14:paraId="021E8B45">
                  <w:pPr>
                    <w:rPr>
                      <w:rFonts w:ascii="Arial"/>
                      <w:sz w:val="21"/>
                    </w:rPr>
                  </w:pPr>
                </w:p>
              </w:tc>
              <w:tc>
                <w:tcPr>
                  <w:tcW w:w="953" w:type="dxa"/>
                  <w:vAlign w:val="top"/>
                </w:tcPr>
                <w:p w14:paraId="73FC0C9E">
                  <w:pPr>
                    <w:spacing w:line="443" w:lineRule="auto"/>
                    <w:rPr>
                      <w:rFonts w:ascii="Arial"/>
                      <w:sz w:val="21"/>
                    </w:rPr>
                  </w:pPr>
                </w:p>
                <w:p w14:paraId="2FE33A09">
                  <w:pPr>
                    <w:spacing w:before="58" w:line="226" w:lineRule="auto"/>
                    <w:ind w:left="315"/>
                    <w:rPr>
                      <w:rFonts w:ascii="仿宋" w:hAnsi="仿宋" w:eastAsia="仿宋" w:cs="仿宋"/>
                      <w:sz w:val="18"/>
                      <w:szCs w:val="18"/>
                    </w:rPr>
                  </w:pPr>
                  <w:r>
                    <w:rPr>
                      <w:rFonts w:ascii="仿宋" w:hAnsi="仿宋" w:eastAsia="仿宋" w:cs="仿宋"/>
                      <w:spacing w:val="-12"/>
                      <w:sz w:val="18"/>
                      <w:szCs w:val="18"/>
                    </w:rPr>
                    <w:t>生态</w:t>
                  </w:r>
                </w:p>
              </w:tc>
              <w:tc>
                <w:tcPr>
                  <w:tcW w:w="5155" w:type="dxa"/>
                  <w:vAlign w:val="top"/>
                </w:tcPr>
                <w:p w14:paraId="24A3C4F5">
                  <w:pPr>
                    <w:spacing w:before="39" w:line="220" w:lineRule="auto"/>
                    <w:ind w:right="2"/>
                    <w:jc w:val="right"/>
                    <w:rPr>
                      <w:rFonts w:ascii="仿宋" w:hAnsi="仿宋" w:eastAsia="仿宋" w:cs="仿宋"/>
                      <w:sz w:val="18"/>
                      <w:szCs w:val="18"/>
                    </w:rPr>
                  </w:pPr>
                  <w:r>
                    <w:rPr>
                      <w:rFonts w:ascii="仿宋" w:hAnsi="仿宋" w:eastAsia="仿宋" w:cs="仿宋"/>
                      <w:spacing w:val="-4"/>
                      <w:sz w:val="18"/>
                      <w:szCs w:val="18"/>
                    </w:rPr>
                    <w:t>限制施工作业区范围，施工过程中剥离的表土于占地范围内适宜位</w:t>
                  </w:r>
                </w:p>
                <w:p w14:paraId="007F206B">
                  <w:pPr>
                    <w:spacing w:before="18" w:line="219" w:lineRule="auto"/>
                    <w:ind w:right="2"/>
                    <w:jc w:val="right"/>
                    <w:rPr>
                      <w:rFonts w:ascii="仿宋" w:hAnsi="仿宋" w:eastAsia="仿宋" w:cs="仿宋"/>
                      <w:sz w:val="18"/>
                      <w:szCs w:val="18"/>
                    </w:rPr>
                  </w:pPr>
                  <w:r>
                    <w:rPr>
                      <w:rFonts w:ascii="仿宋" w:hAnsi="仿宋" w:eastAsia="仿宋" w:cs="仿宋"/>
                      <w:spacing w:val="-3"/>
                      <w:sz w:val="18"/>
                      <w:szCs w:val="18"/>
                    </w:rPr>
                    <w:t>置妥善保存。施工结束后，直接用于路肩边坡植被恢复，选取</w:t>
                  </w:r>
                  <w:r>
                    <w:rPr>
                      <w:rFonts w:ascii="仿宋" w:hAnsi="仿宋" w:eastAsia="仿宋" w:cs="仿宋"/>
                      <w:spacing w:val="-4"/>
                      <w:sz w:val="18"/>
                      <w:szCs w:val="18"/>
                    </w:rPr>
                    <w:t>当地</w:t>
                  </w:r>
                </w:p>
                <w:p w14:paraId="0C614157">
                  <w:pPr>
                    <w:spacing w:before="18" w:line="220" w:lineRule="auto"/>
                    <w:ind w:right="2"/>
                    <w:jc w:val="right"/>
                    <w:rPr>
                      <w:rFonts w:ascii="仿宋" w:hAnsi="仿宋" w:eastAsia="仿宋" w:cs="仿宋"/>
                      <w:sz w:val="18"/>
                      <w:szCs w:val="18"/>
                    </w:rPr>
                  </w:pPr>
                  <w:r>
                    <w:rPr>
                      <w:rFonts w:ascii="仿宋" w:hAnsi="仿宋" w:eastAsia="仿宋" w:cs="仿宋"/>
                      <w:spacing w:val="-3"/>
                      <w:sz w:val="18"/>
                      <w:szCs w:val="18"/>
                    </w:rPr>
                    <w:t>草种（混播针茅、紫花苜蓿、羊草、披碱草等）为主，植</w:t>
                  </w:r>
                  <w:r>
                    <w:rPr>
                      <w:rFonts w:ascii="仿宋" w:hAnsi="仿宋" w:eastAsia="仿宋" w:cs="仿宋"/>
                      <w:spacing w:val="-4"/>
                      <w:sz w:val="18"/>
                      <w:szCs w:val="18"/>
                    </w:rPr>
                    <w:t>被覆盖率</w:t>
                  </w:r>
                </w:p>
                <w:p w14:paraId="00E5AB22">
                  <w:pPr>
                    <w:spacing w:before="20" w:line="222" w:lineRule="auto"/>
                    <w:ind w:right="2"/>
                    <w:jc w:val="right"/>
                    <w:rPr>
                      <w:rFonts w:ascii="仿宋" w:hAnsi="仿宋" w:eastAsia="仿宋" w:cs="仿宋"/>
                      <w:sz w:val="18"/>
                      <w:szCs w:val="18"/>
                    </w:rPr>
                  </w:pPr>
                  <w:r>
                    <w:rPr>
                      <w:rFonts w:ascii="仿宋" w:hAnsi="仿宋" w:eastAsia="仿宋" w:cs="仿宋"/>
                      <w:spacing w:val="-3"/>
                      <w:sz w:val="18"/>
                      <w:szCs w:val="18"/>
                    </w:rPr>
                    <w:t>不低于利用前或周边平均水平；路基防护采用植草防护</w:t>
                  </w:r>
                  <w:r>
                    <w:rPr>
                      <w:rFonts w:ascii="仿宋" w:hAnsi="仿宋" w:eastAsia="仿宋" w:cs="仿宋"/>
                      <w:spacing w:val="-4"/>
                      <w:sz w:val="18"/>
                      <w:szCs w:val="18"/>
                    </w:rPr>
                    <w:t>，达到美化</w:t>
                  </w:r>
                </w:p>
                <w:p w14:paraId="2CB3D76E">
                  <w:pPr>
                    <w:spacing w:before="16" w:line="191" w:lineRule="auto"/>
                    <w:ind w:left="245"/>
                    <w:rPr>
                      <w:rFonts w:ascii="仿宋" w:hAnsi="仿宋" w:eastAsia="仿宋" w:cs="仿宋"/>
                      <w:sz w:val="18"/>
                      <w:szCs w:val="18"/>
                    </w:rPr>
                  </w:pPr>
                  <w:r>
                    <w:rPr>
                      <w:rFonts w:ascii="仿宋" w:hAnsi="仿宋" w:eastAsia="仿宋" w:cs="仿宋"/>
                      <w:spacing w:val="-1"/>
                      <w:sz w:val="18"/>
                      <w:szCs w:val="18"/>
                    </w:rPr>
                    <w:t>路容、减少视觉污染，尽可能减小项目对自然生态的破坏。</w:t>
                  </w:r>
                </w:p>
              </w:tc>
              <w:tc>
                <w:tcPr>
                  <w:tcW w:w="820" w:type="dxa"/>
                  <w:vMerge w:val="continue"/>
                  <w:tcBorders>
                    <w:top w:val="nil"/>
                    <w:right w:val="nil"/>
                  </w:tcBorders>
                  <w:vAlign w:val="top"/>
                </w:tcPr>
                <w:p w14:paraId="4CC58751">
                  <w:pPr>
                    <w:rPr>
                      <w:rFonts w:ascii="Arial"/>
                      <w:sz w:val="21"/>
                    </w:rPr>
                  </w:pPr>
                </w:p>
              </w:tc>
            </w:tr>
            <w:tr w14:paraId="1881BB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6" w:hRule="atLeast"/>
              </w:trPr>
              <w:tc>
                <w:tcPr>
                  <w:tcW w:w="810" w:type="dxa"/>
                  <w:vMerge w:val="restart"/>
                  <w:tcBorders>
                    <w:left w:val="nil"/>
                    <w:bottom w:val="nil"/>
                  </w:tcBorders>
                  <w:vAlign w:val="top"/>
                </w:tcPr>
                <w:p w14:paraId="055D64FF">
                  <w:pPr>
                    <w:spacing w:line="252" w:lineRule="auto"/>
                    <w:rPr>
                      <w:rFonts w:ascii="Arial"/>
                      <w:sz w:val="21"/>
                    </w:rPr>
                  </w:pPr>
                </w:p>
                <w:p w14:paraId="51CD68CE">
                  <w:pPr>
                    <w:spacing w:line="252" w:lineRule="auto"/>
                    <w:rPr>
                      <w:rFonts w:ascii="Arial"/>
                      <w:sz w:val="21"/>
                    </w:rPr>
                  </w:pPr>
                </w:p>
                <w:p w14:paraId="0F829FD0">
                  <w:pPr>
                    <w:spacing w:line="252" w:lineRule="auto"/>
                    <w:rPr>
                      <w:rFonts w:ascii="Arial"/>
                      <w:sz w:val="21"/>
                    </w:rPr>
                  </w:pPr>
                </w:p>
                <w:p w14:paraId="44A1397D">
                  <w:pPr>
                    <w:spacing w:line="253" w:lineRule="auto"/>
                    <w:rPr>
                      <w:rFonts w:ascii="Arial"/>
                      <w:sz w:val="21"/>
                    </w:rPr>
                  </w:pPr>
                </w:p>
                <w:p w14:paraId="2481A4E8">
                  <w:pPr>
                    <w:spacing w:line="253" w:lineRule="auto"/>
                    <w:rPr>
                      <w:rFonts w:ascii="Arial"/>
                      <w:sz w:val="21"/>
                    </w:rPr>
                  </w:pPr>
                </w:p>
                <w:p w14:paraId="6609787F">
                  <w:pPr>
                    <w:spacing w:line="253" w:lineRule="auto"/>
                    <w:rPr>
                      <w:rFonts w:ascii="Arial"/>
                      <w:sz w:val="21"/>
                    </w:rPr>
                  </w:pPr>
                </w:p>
                <w:p w14:paraId="3193519A">
                  <w:pPr>
                    <w:spacing w:before="59" w:line="222" w:lineRule="auto"/>
                    <w:ind w:left="55"/>
                    <w:rPr>
                      <w:rFonts w:ascii="仿宋" w:hAnsi="仿宋" w:eastAsia="仿宋" w:cs="仿宋"/>
                      <w:sz w:val="18"/>
                      <w:szCs w:val="18"/>
                    </w:rPr>
                  </w:pPr>
                  <w:r>
                    <w:rPr>
                      <w:rFonts w:ascii="仿宋" w:hAnsi="仿宋" w:eastAsia="仿宋" w:cs="仿宋"/>
                      <w:spacing w:val="-4"/>
                      <w:sz w:val="18"/>
                      <w:szCs w:val="18"/>
                    </w:rPr>
                    <w:t>运营阶段</w:t>
                  </w:r>
                </w:p>
              </w:tc>
              <w:tc>
                <w:tcPr>
                  <w:tcW w:w="953" w:type="dxa"/>
                  <w:vAlign w:val="top"/>
                </w:tcPr>
                <w:p w14:paraId="160F588C">
                  <w:pPr>
                    <w:spacing w:before="43" w:line="219" w:lineRule="auto"/>
                    <w:ind w:left="40"/>
                    <w:rPr>
                      <w:rFonts w:ascii="仿宋" w:hAnsi="仿宋" w:eastAsia="仿宋" w:cs="仿宋"/>
                      <w:sz w:val="18"/>
                      <w:szCs w:val="18"/>
                    </w:rPr>
                  </w:pPr>
                  <w:r>
                    <w:rPr>
                      <w:rFonts w:ascii="仿宋" w:hAnsi="仿宋" w:eastAsia="仿宋" w:cs="仿宋"/>
                      <w:spacing w:val="-4"/>
                      <w:sz w:val="18"/>
                      <w:szCs w:val="18"/>
                    </w:rPr>
                    <w:t>车辆行驶造</w:t>
                  </w:r>
                </w:p>
                <w:p w14:paraId="70D05D3E">
                  <w:pPr>
                    <w:spacing w:before="18" w:line="224" w:lineRule="auto"/>
                    <w:ind w:left="38"/>
                    <w:rPr>
                      <w:rFonts w:ascii="仿宋" w:hAnsi="仿宋" w:eastAsia="仿宋" w:cs="仿宋"/>
                      <w:sz w:val="18"/>
                      <w:szCs w:val="18"/>
                    </w:rPr>
                  </w:pPr>
                  <w:r>
                    <w:rPr>
                      <w:rFonts w:ascii="仿宋" w:hAnsi="仿宋" w:eastAsia="仿宋" w:cs="仿宋"/>
                      <w:spacing w:val="-3"/>
                      <w:sz w:val="18"/>
                      <w:szCs w:val="18"/>
                    </w:rPr>
                    <w:t>成的扬尘及</w:t>
                  </w:r>
                </w:p>
                <w:p w14:paraId="44409541">
                  <w:pPr>
                    <w:spacing w:before="14" w:line="214" w:lineRule="auto"/>
                    <w:ind w:left="305" w:right="24" w:hanging="272"/>
                    <w:rPr>
                      <w:rFonts w:ascii="仿宋" w:hAnsi="仿宋" w:eastAsia="仿宋" w:cs="仿宋"/>
                      <w:sz w:val="18"/>
                      <w:szCs w:val="18"/>
                    </w:rPr>
                  </w:pPr>
                  <w:r>
                    <w:rPr>
                      <w:rFonts w:ascii="仿宋" w:hAnsi="仿宋" w:eastAsia="仿宋" w:cs="仿宋"/>
                      <w:spacing w:val="-2"/>
                      <w:sz w:val="18"/>
                      <w:szCs w:val="18"/>
                    </w:rPr>
                    <w:t>排放的汽车</w:t>
                  </w:r>
                  <w:r>
                    <w:rPr>
                      <w:rFonts w:ascii="仿宋" w:hAnsi="仿宋" w:eastAsia="仿宋" w:cs="仿宋"/>
                      <w:spacing w:val="-7"/>
                      <w:sz w:val="18"/>
                      <w:szCs w:val="18"/>
                    </w:rPr>
                    <w:t>尾气</w:t>
                  </w:r>
                </w:p>
              </w:tc>
              <w:tc>
                <w:tcPr>
                  <w:tcW w:w="5155" w:type="dxa"/>
                  <w:vAlign w:val="top"/>
                </w:tcPr>
                <w:p w14:paraId="3C43177B">
                  <w:pPr>
                    <w:spacing w:before="276" w:line="221" w:lineRule="auto"/>
                    <w:ind w:right="2"/>
                    <w:jc w:val="right"/>
                    <w:rPr>
                      <w:rFonts w:ascii="仿宋" w:hAnsi="仿宋" w:eastAsia="仿宋" w:cs="仿宋"/>
                      <w:sz w:val="18"/>
                      <w:szCs w:val="18"/>
                    </w:rPr>
                  </w:pPr>
                  <w:r>
                    <w:rPr>
                      <w:rFonts w:ascii="仿宋" w:hAnsi="仿宋" w:eastAsia="仿宋" w:cs="仿宋"/>
                      <w:spacing w:val="-3"/>
                      <w:sz w:val="18"/>
                      <w:szCs w:val="18"/>
                    </w:rPr>
                    <w:t>通过采用水泥混凝土路面、未筛分碎石进行有效压实等，</w:t>
                  </w:r>
                  <w:r>
                    <w:rPr>
                      <w:rFonts w:ascii="仿宋" w:hAnsi="仿宋" w:eastAsia="仿宋" w:cs="仿宋"/>
                      <w:spacing w:val="-4"/>
                      <w:sz w:val="18"/>
                      <w:szCs w:val="18"/>
                    </w:rPr>
                    <w:t>道路定期</w:t>
                  </w:r>
                </w:p>
                <w:p w14:paraId="4E440098">
                  <w:pPr>
                    <w:spacing w:before="17" w:line="220" w:lineRule="auto"/>
                    <w:ind w:left="335"/>
                    <w:rPr>
                      <w:rFonts w:ascii="仿宋" w:hAnsi="仿宋" w:eastAsia="仿宋" w:cs="仿宋"/>
                      <w:sz w:val="18"/>
                      <w:szCs w:val="18"/>
                    </w:rPr>
                  </w:pPr>
                  <w:r>
                    <w:rPr>
                      <w:rFonts w:ascii="仿宋" w:hAnsi="仿宋" w:eastAsia="仿宋" w:cs="仿宋"/>
                      <w:spacing w:val="-1"/>
                      <w:sz w:val="18"/>
                      <w:szCs w:val="18"/>
                    </w:rPr>
                    <w:t>养护。加强路线两侧绿化，增强植被对扬尘的吸附作用。</w:t>
                  </w:r>
                </w:p>
              </w:tc>
              <w:tc>
                <w:tcPr>
                  <w:tcW w:w="820" w:type="dxa"/>
                  <w:vMerge w:val="restart"/>
                  <w:tcBorders>
                    <w:bottom w:val="nil"/>
                    <w:right w:val="nil"/>
                  </w:tcBorders>
                  <w:vAlign w:val="top"/>
                </w:tcPr>
                <w:p w14:paraId="6B5A86FC">
                  <w:pPr>
                    <w:spacing w:line="256" w:lineRule="auto"/>
                    <w:rPr>
                      <w:rFonts w:ascii="Arial"/>
                      <w:sz w:val="21"/>
                    </w:rPr>
                  </w:pPr>
                </w:p>
                <w:p w14:paraId="1BF0E602">
                  <w:pPr>
                    <w:spacing w:line="256" w:lineRule="auto"/>
                    <w:rPr>
                      <w:rFonts w:ascii="Arial"/>
                      <w:sz w:val="21"/>
                    </w:rPr>
                  </w:pPr>
                </w:p>
                <w:p w14:paraId="5A908BD8">
                  <w:pPr>
                    <w:spacing w:line="257" w:lineRule="auto"/>
                    <w:rPr>
                      <w:rFonts w:ascii="Arial"/>
                      <w:sz w:val="21"/>
                    </w:rPr>
                  </w:pPr>
                </w:p>
                <w:p w14:paraId="50DB33E1">
                  <w:pPr>
                    <w:spacing w:line="257" w:lineRule="auto"/>
                    <w:rPr>
                      <w:rFonts w:ascii="Arial"/>
                      <w:sz w:val="21"/>
                    </w:rPr>
                  </w:pPr>
                </w:p>
                <w:p w14:paraId="6E9E5053">
                  <w:pPr>
                    <w:spacing w:line="257" w:lineRule="auto"/>
                    <w:rPr>
                      <w:rFonts w:ascii="Arial"/>
                      <w:sz w:val="21"/>
                    </w:rPr>
                  </w:pPr>
                </w:p>
                <w:p w14:paraId="0708B1D8">
                  <w:pPr>
                    <w:spacing w:before="59"/>
                    <w:ind w:left="16" w:hanging="2"/>
                    <w:jc w:val="both"/>
                    <w:rPr>
                      <w:rFonts w:ascii="仿宋" w:hAnsi="仿宋" w:eastAsia="仿宋" w:cs="仿宋"/>
                      <w:sz w:val="18"/>
                      <w:szCs w:val="18"/>
                    </w:rPr>
                  </w:pPr>
                  <w:r>
                    <w:rPr>
                      <w:rFonts w:ascii="仿宋" w:hAnsi="仿宋" w:eastAsia="仿宋" w:cs="仿宋"/>
                      <w:spacing w:val="-20"/>
                      <w:sz w:val="18"/>
                      <w:szCs w:val="18"/>
                    </w:rPr>
                    <w:t>建设单位、</w:t>
                  </w:r>
                  <w:r>
                    <w:rPr>
                      <w:rFonts w:ascii="仿宋" w:hAnsi="仿宋" w:eastAsia="仿宋" w:cs="仿宋"/>
                      <w:spacing w:val="-3"/>
                      <w:sz w:val="18"/>
                      <w:szCs w:val="18"/>
                    </w:rPr>
                    <w:t>生态环境</w:t>
                  </w:r>
                  <w:r>
                    <w:rPr>
                      <w:rFonts w:ascii="仿宋" w:hAnsi="仿宋" w:eastAsia="仿宋" w:cs="仿宋"/>
                      <w:spacing w:val="-28"/>
                      <w:sz w:val="18"/>
                      <w:szCs w:val="18"/>
                    </w:rPr>
                    <w:t>局、城建局</w:t>
                  </w:r>
                </w:p>
              </w:tc>
            </w:tr>
            <w:tr w14:paraId="1317FC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810" w:type="dxa"/>
                  <w:vMerge w:val="continue"/>
                  <w:tcBorders>
                    <w:top w:val="nil"/>
                    <w:left w:val="nil"/>
                    <w:bottom w:val="nil"/>
                  </w:tcBorders>
                  <w:vAlign w:val="top"/>
                </w:tcPr>
                <w:p w14:paraId="16E33646">
                  <w:pPr>
                    <w:rPr>
                      <w:rFonts w:ascii="Arial"/>
                      <w:sz w:val="21"/>
                    </w:rPr>
                  </w:pPr>
                </w:p>
              </w:tc>
              <w:tc>
                <w:tcPr>
                  <w:tcW w:w="953" w:type="dxa"/>
                  <w:vAlign w:val="top"/>
                </w:tcPr>
                <w:p w14:paraId="68257866">
                  <w:pPr>
                    <w:spacing w:before="45" w:line="213" w:lineRule="auto"/>
                    <w:ind w:left="395" w:right="24" w:hanging="355"/>
                    <w:rPr>
                      <w:rFonts w:ascii="仿宋" w:hAnsi="仿宋" w:eastAsia="仿宋" w:cs="仿宋"/>
                      <w:sz w:val="18"/>
                      <w:szCs w:val="18"/>
                    </w:rPr>
                  </w:pPr>
                  <w:r>
                    <w:rPr>
                      <w:rFonts w:ascii="仿宋" w:hAnsi="仿宋" w:eastAsia="仿宋" w:cs="仿宋"/>
                      <w:spacing w:val="-4"/>
                      <w:sz w:val="18"/>
                      <w:szCs w:val="18"/>
                    </w:rPr>
                    <w:t>车辆行驶噪</w:t>
                  </w:r>
                  <w:r>
                    <w:rPr>
                      <w:rFonts w:ascii="仿宋" w:hAnsi="仿宋" w:eastAsia="仿宋" w:cs="仿宋"/>
                      <w:sz w:val="18"/>
                      <w:szCs w:val="18"/>
                    </w:rPr>
                    <w:t>声</w:t>
                  </w:r>
                </w:p>
              </w:tc>
              <w:tc>
                <w:tcPr>
                  <w:tcW w:w="5155" w:type="dxa"/>
                  <w:vAlign w:val="top"/>
                </w:tcPr>
                <w:p w14:paraId="26F27708">
                  <w:pPr>
                    <w:pStyle w:val="6"/>
                    <w:spacing w:before="45" w:line="213" w:lineRule="auto"/>
                    <w:ind w:left="12"/>
                    <w:rPr>
                      <w:rFonts w:ascii="仿宋" w:hAnsi="仿宋" w:eastAsia="仿宋" w:cs="仿宋"/>
                    </w:rPr>
                  </w:pPr>
                  <w:r>
                    <w:rPr>
                      <w:rFonts w:ascii="仿宋" w:hAnsi="仿宋" w:eastAsia="仿宋" w:cs="仿宋"/>
                      <w:spacing w:val="-4"/>
                    </w:rPr>
                    <w:t>路边设置限速标志，降低交通噪声的影响。对于</w:t>
                  </w:r>
                  <w:r>
                    <w:rPr>
                      <w:rFonts w:ascii="仿宋" w:hAnsi="仿宋" w:eastAsia="仿宋" w:cs="仿宋"/>
                      <w:spacing w:val="-36"/>
                    </w:rPr>
                    <w:t xml:space="preserve"> </w:t>
                  </w:r>
                  <w:r>
                    <w:rPr>
                      <w:spacing w:val="-4"/>
                    </w:rPr>
                    <w:t>200m</w:t>
                  </w:r>
                  <w:r>
                    <w:rPr>
                      <w:spacing w:val="22"/>
                    </w:rPr>
                    <w:t xml:space="preserve"> </w:t>
                  </w:r>
                  <w:r>
                    <w:rPr>
                      <w:rFonts w:ascii="仿宋" w:hAnsi="仿宋" w:eastAsia="仿宋" w:cs="仿宋"/>
                      <w:spacing w:val="-4"/>
                    </w:rPr>
                    <w:t>范围内的噪</w:t>
                  </w:r>
                  <w:r>
                    <w:rPr>
                      <w:rFonts w:ascii="仿宋" w:hAnsi="仿宋" w:eastAsia="仿宋" w:cs="仿宋"/>
                      <w:spacing w:val="-3"/>
                    </w:rPr>
                    <w:t>声敏感目标，路边设立夜间禁止鸣笛标志，可有效削弱噪声传入。</w:t>
                  </w:r>
                </w:p>
              </w:tc>
              <w:tc>
                <w:tcPr>
                  <w:tcW w:w="820" w:type="dxa"/>
                  <w:vMerge w:val="continue"/>
                  <w:tcBorders>
                    <w:top w:val="nil"/>
                    <w:bottom w:val="nil"/>
                    <w:right w:val="nil"/>
                  </w:tcBorders>
                  <w:vAlign w:val="top"/>
                </w:tcPr>
                <w:p w14:paraId="06564E4B">
                  <w:pPr>
                    <w:rPr>
                      <w:rFonts w:ascii="Arial"/>
                      <w:sz w:val="21"/>
                    </w:rPr>
                  </w:pPr>
                </w:p>
              </w:tc>
            </w:tr>
            <w:tr w14:paraId="74614C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3" w:hRule="atLeast"/>
              </w:trPr>
              <w:tc>
                <w:tcPr>
                  <w:tcW w:w="810" w:type="dxa"/>
                  <w:vMerge w:val="continue"/>
                  <w:tcBorders>
                    <w:top w:val="nil"/>
                    <w:left w:val="nil"/>
                    <w:bottom w:val="nil"/>
                  </w:tcBorders>
                  <w:vAlign w:val="top"/>
                </w:tcPr>
                <w:p w14:paraId="64C560D0">
                  <w:pPr>
                    <w:rPr>
                      <w:rFonts w:ascii="Arial"/>
                      <w:sz w:val="21"/>
                    </w:rPr>
                  </w:pPr>
                </w:p>
              </w:tc>
              <w:tc>
                <w:tcPr>
                  <w:tcW w:w="953" w:type="dxa"/>
                  <w:vAlign w:val="top"/>
                </w:tcPr>
                <w:p w14:paraId="65D442CD">
                  <w:pPr>
                    <w:spacing w:before="280" w:line="222" w:lineRule="auto"/>
                    <w:ind w:left="123"/>
                    <w:rPr>
                      <w:rFonts w:ascii="仿宋" w:hAnsi="仿宋" w:eastAsia="仿宋" w:cs="仿宋"/>
                      <w:sz w:val="18"/>
                      <w:szCs w:val="18"/>
                    </w:rPr>
                  </w:pPr>
                  <w:r>
                    <w:rPr>
                      <w:rFonts w:ascii="仿宋" w:hAnsi="仿宋" w:eastAsia="仿宋" w:cs="仿宋"/>
                      <w:spacing w:val="-3"/>
                      <w:sz w:val="18"/>
                      <w:szCs w:val="18"/>
                    </w:rPr>
                    <w:t>路面径流</w:t>
                  </w:r>
                </w:p>
              </w:tc>
              <w:tc>
                <w:tcPr>
                  <w:tcW w:w="5155" w:type="dxa"/>
                  <w:vAlign w:val="top"/>
                </w:tcPr>
                <w:p w14:paraId="6176D40C">
                  <w:pPr>
                    <w:spacing w:before="46" w:line="222" w:lineRule="auto"/>
                    <w:ind w:left="12"/>
                    <w:rPr>
                      <w:rFonts w:ascii="仿宋" w:hAnsi="仿宋" w:eastAsia="仿宋" w:cs="仿宋"/>
                      <w:sz w:val="18"/>
                      <w:szCs w:val="18"/>
                    </w:rPr>
                  </w:pPr>
                  <w:r>
                    <w:rPr>
                      <w:rFonts w:ascii="仿宋" w:hAnsi="仿宋" w:eastAsia="仿宋" w:cs="仿宋"/>
                      <w:spacing w:val="-3"/>
                      <w:sz w:val="18"/>
                      <w:szCs w:val="18"/>
                    </w:rPr>
                    <w:t>路基填土高度较低路基采用散排方式，纵坡较大汇水较多路基设置</w:t>
                  </w:r>
                </w:p>
                <w:p w14:paraId="468152AB">
                  <w:pPr>
                    <w:pStyle w:val="6"/>
                    <w:spacing w:before="17" w:line="222" w:lineRule="auto"/>
                    <w:ind w:right="2"/>
                    <w:jc w:val="right"/>
                    <w:rPr>
                      <w:rFonts w:ascii="仿宋" w:hAnsi="仿宋" w:eastAsia="仿宋" w:cs="仿宋"/>
                    </w:rPr>
                  </w:pPr>
                  <w:r>
                    <w:rPr>
                      <w:rFonts w:ascii="仿宋" w:hAnsi="仿宋" w:eastAsia="仿宋" w:cs="仿宋"/>
                      <w:spacing w:val="-4"/>
                    </w:rPr>
                    <w:t>三角形边沟</w:t>
                  </w:r>
                  <w:r>
                    <w:rPr>
                      <w:spacing w:val="-4"/>
                    </w:rPr>
                    <w:t>/</w:t>
                  </w:r>
                  <w:r>
                    <w:rPr>
                      <w:rFonts w:ascii="仿宋" w:hAnsi="仿宋" w:eastAsia="仿宋" w:cs="仿宋"/>
                      <w:spacing w:val="-4"/>
                    </w:rPr>
                    <w:t>梯形排水沟</w:t>
                  </w:r>
                  <w:r>
                    <w:rPr>
                      <w:spacing w:val="-4"/>
                    </w:rPr>
                    <w:t>/</w:t>
                  </w:r>
                  <w:r>
                    <w:rPr>
                      <w:rFonts w:ascii="仿宋" w:hAnsi="仿宋" w:eastAsia="仿宋" w:cs="仿宋"/>
                      <w:spacing w:val="-4"/>
                    </w:rPr>
                    <w:t>球墨铸铁管，路线填土高</w:t>
                  </w:r>
                  <w:r>
                    <w:rPr>
                      <w:rFonts w:ascii="仿宋" w:hAnsi="仿宋" w:eastAsia="仿宋" w:cs="仿宋"/>
                      <w:spacing w:val="-5"/>
                    </w:rPr>
                    <w:t>度大于</w:t>
                  </w:r>
                  <w:r>
                    <w:rPr>
                      <w:rFonts w:ascii="仿宋" w:hAnsi="仿宋" w:eastAsia="仿宋" w:cs="仿宋"/>
                      <w:spacing w:val="-40"/>
                    </w:rPr>
                    <w:t xml:space="preserve"> </w:t>
                  </w:r>
                  <w:r>
                    <w:rPr>
                      <w:spacing w:val="-5"/>
                    </w:rPr>
                    <w:t>2.0m</w:t>
                  </w:r>
                  <w:r>
                    <w:rPr>
                      <w:spacing w:val="24"/>
                      <w:w w:val="101"/>
                    </w:rPr>
                    <w:t xml:space="preserve"> </w:t>
                  </w:r>
                  <w:r>
                    <w:rPr>
                      <w:rFonts w:ascii="仿宋" w:hAnsi="仿宋" w:eastAsia="仿宋" w:cs="仿宋"/>
                      <w:spacing w:val="-5"/>
                    </w:rPr>
                    <w:t>时设</w:t>
                  </w:r>
                </w:p>
                <w:p w14:paraId="4A177071">
                  <w:pPr>
                    <w:spacing w:before="15" w:line="185" w:lineRule="auto"/>
                    <w:ind w:left="2236"/>
                    <w:rPr>
                      <w:rFonts w:ascii="仿宋" w:hAnsi="仿宋" w:eastAsia="仿宋" w:cs="仿宋"/>
                      <w:sz w:val="18"/>
                      <w:szCs w:val="18"/>
                    </w:rPr>
                  </w:pPr>
                  <w:r>
                    <w:rPr>
                      <w:rFonts w:ascii="仿宋" w:hAnsi="仿宋" w:eastAsia="仿宋" w:cs="仿宋"/>
                      <w:spacing w:val="-6"/>
                      <w:sz w:val="18"/>
                      <w:szCs w:val="18"/>
                    </w:rPr>
                    <w:t>急流槽。</w:t>
                  </w:r>
                </w:p>
              </w:tc>
              <w:tc>
                <w:tcPr>
                  <w:tcW w:w="820" w:type="dxa"/>
                  <w:vMerge w:val="continue"/>
                  <w:tcBorders>
                    <w:top w:val="nil"/>
                    <w:bottom w:val="nil"/>
                    <w:right w:val="nil"/>
                  </w:tcBorders>
                  <w:vAlign w:val="top"/>
                </w:tcPr>
                <w:p w14:paraId="3DF2DCA0">
                  <w:pPr>
                    <w:rPr>
                      <w:rFonts w:ascii="Arial"/>
                      <w:sz w:val="21"/>
                    </w:rPr>
                  </w:pPr>
                </w:p>
              </w:tc>
            </w:tr>
            <w:tr w14:paraId="348482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810" w:type="dxa"/>
                  <w:vMerge w:val="continue"/>
                  <w:tcBorders>
                    <w:top w:val="nil"/>
                    <w:left w:val="nil"/>
                    <w:bottom w:val="nil"/>
                  </w:tcBorders>
                  <w:vAlign w:val="top"/>
                </w:tcPr>
                <w:p w14:paraId="50661CEC">
                  <w:pPr>
                    <w:rPr>
                      <w:rFonts w:ascii="Arial"/>
                      <w:sz w:val="21"/>
                    </w:rPr>
                  </w:pPr>
                </w:p>
              </w:tc>
              <w:tc>
                <w:tcPr>
                  <w:tcW w:w="953" w:type="dxa"/>
                  <w:vAlign w:val="top"/>
                </w:tcPr>
                <w:p w14:paraId="0391D196">
                  <w:pPr>
                    <w:spacing w:before="49" w:line="183" w:lineRule="auto"/>
                    <w:ind w:left="125"/>
                    <w:rPr>
                      <w:rFonts w:ascii="仿宋" w:hAnsi="仿宋" w:eastAsia="仿宋" w:cs="仿宋"/>
                      <w:sz w:val="18"/>
                      <w:szCs w:val="18"/>
                    </w:rPr>
                  </w:pPr>
                  <w:r>
                    <w:rPr>
                      <w:rFonts w:ascii="仿宋" w:hAnsi="仿宋" w:eastAsia="仿宋" w:cs="仿宋"/>
                      <w:spacing w:val="-4"/>
                      <w:sz w:val="18"/>
                      <w:szCs w:val="18"/>
                    </w:rPr>
                    <w:t>道路垃圾</w:t>
                  </w:r>
                </w:p>
              </w:tc>
              <w:tc>
                <w:tcPr>
                  <w:tcW w:w="5155" w:type="dxa"/>
                  <w:vAlign w:val="top"/>
                </w:tcPr>
                <w:p w14:paraId="6FF2276E">
                  <w:pPr>
                    <w:spacing w:before="49" w:line="183" w:lineRule="auto"/>
                    <w:ind w:left="1438"/>
                    <w:rPr>
                      <w:rFonts w:ascii="仿宋" w:hAnsi="仿宋" w:eastAsia="仿宋" w:cs="仿宋"/>
                      <w:sz w:val="18"/>
                      <w:szCs w:val="18"/>
                    </w:rPr>
                  </w:pPr>
                  <w:r>
                    <w:rPr>
                      <w:rFonts w:ascii="仿宋" w:hAnsi="仿宋" w:eastAsia="仿宋" w:cs="仿宋"/>
                      <w:spacing w:val="-3"/>
                      <w:sz w:val="18"/>
                      <w:szCs w:val="18"/>
                    </w:rPr>
                    <w:t>由环卫部门定期清理清运处置</w:t>
                  </w:r>
                </w:p>
              </w:tc>
              <w:tc>
                <w:tcPr>
                  <w:tcW w:w="820" w:type="dxa"/>
                  <w:vMerge w:val="continue"/>
                  <w:tcBorders>
                    <w:top w:val="nil"/>
                    <w:bottom w:val="nil"/>
                    <w:right w:val="nil"/>
                  </w:tcBorders>
                  <w:vAlign w:val="top"/>
                </w:tcPr>
                <w:p w14:paraId="1C36D4E4">
                  <w:pPr>
                    <w:rPr>
                      <w:rFonts w:ascii="Arial"/>
                      <w:sz w:val="21"/>
                    </w:rPr>
                  </w:pPr>
                </w:p>
              </w:tc>
            </w:tr>
            <w:tr w14:paraId="2708B9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810" w:type="dxa"/>
                  <w:vMerge w:val="continue"/>
                  <w:tcBorders>
                    <w:top w:val="nil"/>
                    <w:left w:val="nil"/>
                    <w:bottom w:val="nil"/>
                  </w:tcBorders>
                  <w:vAlign w:val="top"/>
                </w:tcPr>
                <w:p w14:paraId="6AD78D23">
                  <w:pPr>
                    <w:rPr>
                      <w:rFonts w:ascii="Arial"/>
                      <w:sz w:val="21"/>
                    </w:rPr>
                  </w:pPr>
                </w:p>
              </w:tc>
              <w:tc>
                <w:tcPr>
                  <w:tcW w:w="953" w:type="dxa"/>
                  <w:vAlign w:val="top"/>
                </w:tcPr>
                <w:p w14:paraId="25CD1C2A">
                  <w:pPr>
                    <w:spacing w:before="164" w:line="226" w:lineRule="auto"/>
                    <w:ind w:left="315"/>
                    <w:rPr>
                      <w:rFonts w:ascii="仿宋" w:hAnsi="仿宋" w:eastAsia="仿宋" w:cs="仿宋"/>
                      <w:sz w:val="18"/>
                      <w:szCs w:val="18"/>
                    </w:rPr>
                  </w:pPr>
                  <w:r>
                    <w:rPr>
                      <w:rFonts w:ascii="仿宋" w:hAnsi="仿宋" w:eastAsia="仿宋" w:cs="仿宋"/>
                      <w:spacing w:val="-12"/>
                      <w:sz w:val="18"/>
                      <w:szCs w:val="18"/>
                    </w:rPr>
                    <w:t>生态</w:t>
                  </w:r>
                </w:p>
              </w:tc>
              <w:tc>
                <w:tcPr>
                  <w:tcW w:w="5155" w:type="dxa"/>
                  <w:vAlign w:val="top"/>
                </w:tcPr>
                <w:p w14:paraId="0259CC6C">
                  <w:pPr>
                    <w:spacing w:before="48" w:line="211" w:lineRule="auto"/>
                    <w:ind w:left="13"/>
                    <w:rPr>
                      <w:rFonts w:ascii="仿宋" w:hAnsi="仿宋" w:eastAsia="仿宋" w:cs="仿宋"/>
                      <w:sz w:val="18"/>
                      <w:szCs w:val="18"/>
                    </w:rPr>
                  </w:pPr>
                  <w:r>
                    <w:rPr>
                      <w:rFonts w:ascii="仿宋" w:hAnsi="仿宋" w:eastAsia="仿宋" w:cs="仿宋"/>
                      <w:spacing w:val="-5"/>
                      <w:sz w:val="18"/>
                      <w:szCs w:val="18"/>
                    </w:rPr>
                    <w:t>应设置路牌提醒，避免人为破坏植被或生物活动空间。若植被因车</w:t>
                  </w:r>
                  <w:r>
                    <w:rPr>
                      <w:rFonts w:ascii="仿宋" w:hAnsi="仿宋" w:eastAsia="仿宋" w:cs="仿宋"/>
                      <w:spacing w:val="-3"/>
                      <w:sz w:val="18"/>
                      <w:szCs w:val="18"/>
                    </w:rPr>
                    <w:t>辆碰撞、人为踩踏受损，需及时补种本地物种，维持植被覆盖度。</w:t>
                  </w:r>
                </w:p>
              </w:tc>
              <w:tc>
                <w:tcPr>
                  <w:tcW w:w="820" w:type="dxa"/>
                  <w:vMerge w:val="continue"/>
                  <w:tcBorders>
                    <w:top w:val="nil"/>
                    <w:bottom w:val="nil"/>
                    <w:right w:val="nil"/>
                  </w:tcBorders>
                  <w:vAlign w:val="top"/>
                </w:tcPr>
                <w:p w14:paraId="42F35540">
                  <w:pPr>
                    <w:rPr>
                      <w:rFonts w:ascii="Arial"/>
                      <w:sz w:val="21"/>
                    </w:rPr>
                  </w:pPr>
                </w:p>
              </w:tc>
            </w:tr>
            <w:tr w14:paraId="433FFB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4" w:hRule="atLeast"/>
              </w:trPr>
              <w:tc>
                <w:tcPr>
                  <w:tcW w:w="810" w:type="dxa"/>
                  <w:vMerge w:val="continue"/>
                  <w:tcBorders>
                    <w:top w:val="nil"/>
                    <w:left w:val="nil"/>
                    <w:bottom w:val="single" w:color="000000" w:sz="10" w:space="0"/>
                  </w:tcBorders>
                  <w:vAlign w:val="top"/>
                </w:tcPr>
                <w:p w14:paraId="4EA18101">
                  <w:pPr>
                    <w:rPr>
                      <w:rFonts w:ascii="Arial"/>
                      <w:sz w:val="21"/>
                    </w:rPr>
                  </w:pPr>
                </w:p>
              </w:tc>
              <w:tc>
                <w:tcPr>
                  <w:tcW w:w="953" w:type="dxa"/>
                  <w:tcBorders>
                    <w:bottom w:val="single" w:color="000000" w:sz="10" w:space="0"/>
                  </w:tcBorders>
                  <w:vAlign w:val="top"/>
                </w:tcPr>
                <w:p w14:paraId="6C476360">
                  <w:pPr>
                    <w:spacing w:before="51" w:line="222" w:lineRule="auto"/>
                    <w:ind w:left="216" w:right="24" w:hanging="179"/>
                    <w:rPr>
                      <w:rFonts w:ascii="仿宋" w:hAnsi="仿宋" w:eastAsia="仿宋" w:cs="仿宋"/>
                      <w:sz w:val="18"/>
                      <w:szCs w:val="18"/>
                    </w:rPr>
                  </w:pPr>
                  <w:r>
                    <w:rPr>
                      <w:rFonts w:ascii="仿宋" w:hAnsi="仿宋" w:eastAsia="仿宋" w:cs="仿宋"/>
                      <w:spacing w:val="-3"/>
                      <w:sz w:val="18"/>
                      <w:szCs w:val="18"/>
                    </w:rPr>
                    <w:t>运输车辆事</w:t>
                  </w:r>
                  <w:r>
                    <w:rPr>
                      <w:rFonts w:ascii="仿宋" w:hAnsi="仿宋" w:eastAsia="仿宋" w:cs="仿宋"/>
                      <w:spacing w:val="-5"/>
                      <w:sz w:val="18"/>
                      <w:szCs w:val="18"/>
                    </w:rPr>
                    <w:t>故风险</w:t>
                  </w:r>
                </w:p>
              </w:tc>
              <w:tc>
                <w:tcPr>
                  <w:tcW w:w="5155" w:type="dxa"/>
                  <w:tcBorders>
                    <w:bottom w:val="single" w:color="000000" w:sz="10" w:space="0"/>
                  </w:tcBorders>
                  <w:vAlign w:val="top"/>
                </w:tcPr>
                <w:p w14:paraId="0B4FBBC2">
                  <w:pPr>
                    <w:pStyle w:val="6"/>
                    <w:spacing w:before="51" w:line="219" w:lineRule="auto"/>
                    <w:ind w:left="13"/>
                    <w:rPr>
                      <w:rFonts w:ascii="仿宋" w:hAnsi="仿宋" w:eastAsia="仿宋" w:cs="仿宋"/>
                    </w:rPr>
                  </w:pPr>
                  <w:r>
                    <w:rPr>
                      <w:rFonts w:ascii="仿宋" w:hAnsi="仿宋" w:eastAsia="仿宋" w:cs="仿宋"/>
                      <w:spacing w:val="-2"/>
                    </w:rPr>
                    <w:t>设置</w:t>
                  </w:r>
                  <w:r>
                    <w:rPr>
                      <w:spacing w:val="-2"/>
                    </w:rPr>
                    <w:t>“</w:t>
                  </w:r>
                  <w:r>
                    <w:rPr>
                      <w:rFonts w:ascii="仿宋" w:hAnsi="仿宋" w:eastAsia="仿宋" w:cs="仿宋"/>
                      <w:spacing w:val="-2"/>
                    </w:rPr>
                    <w:t>谨慎驾驶</w:t>
                  </w:r>
                  <w:r>
                    <w:rPr>
                      <w:spacing w:val="-2"/>
                    </w:rPr>
                    <w:t>”</w:t>
                  </w:r>
                  <w:r>
                    <w:rPr>
                      <w:rFonts w:ascii="仿宋" w:hAnsi="仿宋" w:eastAsia="仿宋" w:cs="仿宋"/>
                      <w:spacing w:val="-2"/>
                    </w:rPr>
                    <w:t>警示牌和</w:t>
                  </w:r>
                  <w:r>
                    <w:rPr>
                      <w:spacing w:val="-2"/>
                    </w:rPr>
                    <w:t>“</w:t>
                  </w:r>
                  <w:r>
                    <w:rPr>
                      <w:spacing w:val="-27"/>
                    </w:rPr>
                    <w:t xml:space="preserve"> </w:t>
                  </w:r>
                  <w:r>
                    <w:rPr>
                      <w:rFonts w:ascii="仿宋" w:hAnsi="仿宋" w:eastAsia="仿宋" w:cs="仿宋"/>
                      <w:spacing w:val="-2"/>
                    </w:rPr>
                    <w:t>车辆限速、限行</w:t>
                  </w:r>
                  <w:r>
                    <w:rPr>
                      <w:spacing w:val="-2"/>
                    </w:rPr>
                    <w:t>”</w:t>
                  </w:r>
                  <w:r>
                    <w:rPr>
                      <w:rFonts w:ascii="仿宋" w:hAnsi="仿宋" w:eastAsia="仿宋" w:cs="仿宋"/>
                      <w:spacing w:val="-2"/>
                    </w:rPr>
                    <w:t>标识牌，提醒危</w:t>
                  </w:r>
                  <w:r>
                    <w:rPr>
                      <w:rFonts w:ascii="仿宋" w:hAnsi="仿宋" w:eastAsia="仿宋" w:cs="仿宋"/>
                      <w:spacing w:val="-3"/>
                    </w:rPr>
                    <w:t>险品车</w:t>
                  </w:r>
                </w:p>
                <w:p w14:paraId="304B7CCB">
                  <w:pPr>
                    <w:spacing w:before="18" w:line="205" w:lineRule="auto"/>
                    <w:ind w:left="1326"/>
                    <w:rPr>
                      <w:rFonts w:ascii="仿宋" w:hAnsi="仿宋" w:eastAsia="仿宋" w:cs="仿宋"/>
                      <w:sz w:val="18"/>
                      <w:szCs w:val="18"/>
                    </w:rPr>
                  </w:pPr>
                  <w:r>
                    <w:rPr>
                      <w:rFonts w:ascii="仿宋" w:hAnsi="仿宋" w:eastAsia="仿宋" w:cs="仿宋"/>
                      <w:spacing w:val="-1"/>
                      <w:sz w:val="18"/>
                      <w:szCs w:val="18"/>
                    </w:rPr>
                    <w:t>辆驾驶员注意安全、控制车速。</w:t>
                  </w:r>
                </w:p>
              </w:tc>
              <w:tc>
                <w:tcPr>
                  <w:tcW w:w="820" w:type="dxa"/>
                  <w:vMerge w:val="continue"/>
                  <w:tcBorders>
                    <w:top w:val="nil"/>
                    <w:bottom w:val="single" w:color="000000" w:sz="10" w:space="0"/>
                    <w:right w:val="nil"/>
                  </w:tcBorders>
                  <w:vAlign w:val="top"/>
                </w:tcPr>
                <w:p w14:paraId="109E87C9">
                  <w:pPr>
                    <w:rPr>
                      <w:rFonts w:ascii="Arial"/>
                      <w:sz w:val="21"/>
                    </w:rPr>
                  </w:pPr>
                </w:p>
              </w:tc>
            </w:tr>
          </w:tbl>
          <w:p w14:paraId="5E5267D4">
            <w:pPr>
              <w:rPr>
                <w:rFonts w:ascii="Arial"/>
                <w:sz w:val="21"/>
              </w:rPr>
            </w:pPr>
          </w:p>
        </w:tc>
      </w:tr>
    </w:tbl>
    <w:p w14:paraId="4B6F1B5D">
      <w:pPr>
        <w:pStyle w:val="2"/>
        <w:spacing w:line="193" w:lineRule="exact"/>
        <w:rPr>
          <w:sz w:val="16"/>
        </w:rPr>
      </w:pPr>
    </w:p>
    <w:p w14:paraId="4CD98740">
      <w:pPr>
        <w:spacing w:line="193" w:lineRule="exact"/>
        <w:rPr>
          <w:sz w:val="16"/>
          <w:szCs w:val="16"/>
        </w:rPr>
        <w:sectPr>
          <w:footerReference r:id="rId71" w:type="default"/>
          <w:pgSz w:w="11907" w:h="16840"/>
          <w:pgMar w:top="400" w:right="1597" w:bottom="1446" w:left="1596" w:header="0" w:footer="1284" w:gutter="0"/>
          <w:cols w:space="720" w:num="1"/>
        </w:sectPr>
      </w:pPr>
    </w:p>
    <w:p w14:paraId="20987870">
      <w:pPr>
        <w:spacing w:before="19"/>
      </w:pPr>
    </w:p>
    <w:p w14:paraId="7C9C0283">
      <w:pPr>
        <w:spacing w:before="19"/>
      </w:pPr>
    </w:p>
    <w:p w14:paraId="04E52B79">
      <w:pPr>
        <w:spacing w:before="18"/>
      </w:pPr>
    </w:p>
    <w:p w14:paraId="46380571">
      <w:pPr>
        <w:spacing w:before="18"/>
      </w:pPr>
    </w:p>
    <w:tbl>
      <w:tblPr>
        <w:tblStyle w:val="5"/>
        <w:tblW w:w="8698"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8"/>
        <w:gridCol w:w="848"/>
        <w:gridCol w:w="888"/>
        <w:gridCol w:w="2381"/>
        <w:gridCol w:w="3833"/>
      </w:tblGrid>
      <w:tr w14:paraId="783D13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1" w:hRule="atLeast"/>
        </w:trPr>
        <w:tc>
          <w:tcPr>
            <w:tcW w:w="748" w:type="dxa"/>
            <w:vMerge w:val="restart"/>
            <w:tcBorders>
              <w:top w:val="single" w:color="000000" w:sz="6" w:space="0"/>
              <w:left w:val="single" w:color="000000" w:sz="6" w:space="0"/>
              <w:bottom w:val="nil"/>
            </w:tcBorders>
            <w:vAlign w:val="top"/>
          </w:tcPr>
          <w:p w14:paraId="59002BCA">
            <w:pPr>
              <w:rPr>
                <w:rFonts w:ascii="Arial"/>
                <w:sz w:val="21"/>
              </w:rPr>
            </w:pPr>
          </w:p>
        </w:tc>
        <w:tc>
          <w:tcPr>
            <w:tcW w:w="7950" w:type="dxa"/>
            <w:gridSpan w:val="4"/>
            <w:tcBorders>
              <w:top w:val="single" w:color="000000" w:sz="6" w:space="0"/>
              <w:bottom w:val="single" w:color="000000" w:sz="10" w:space="0"/>
              <w:right w:val="single" w:color="000000" w:sz="6" w:space="0"/>
            </w:tcBorders>
            <w:vAlign w:val="top"/>
          </w:tcPr>
          <w:p w14:paraId="65CD52A6">
            <w:pPr>
              <w:pStyle w:val="6"/>
              <w:spacing w:before="37" w:line="225" w:lineRule="auto"/>
              <w:ind w:left="3098"/>
              <w:rPr>
                <w:rFonts w:ascii="仿宋" w:hAnsi="仿宋" w:eastAsia="仿宋" w:cs="仿宋"/>
                <w:sz w:val="20"/>
                <w:szCs w:val="20"/>
              </w:rPr>
            </w:pPr>
            <w:r>
              <w:rPr>
                <w:b/>
                <w:bCs/>
                <w:spacing w:val="4"/>
                <w:sz w:val="20"/>
                <w:szCs w:val="20"/>
              </w:rPr>
              <w:t>5-2</w:t>
            </w:r>
            <w:r>
              <w:rPr>
                <w:b/>
                <w:bCs/>
                <w:spacing w:val="6"/>
                <w:sz w:val="20"/>
                <w:szCs w:val="20"/>
              </w:rPr>
              <w:t xml:space="preserve">    </w:t>
            </w:r>
            <w:r>
              <w:rPr>
                <w:rFonts w:ascii="仿宋" w:hAnsi="仿宋" w:eastAsia="仿宋" w:cs="仿宋"/>
                <w:b/>
                <w:bCs/>
                <w:spacing w:val="4"/>
                <w:sz w:val="20"/>
                <w:szCs w:val="20"/>
              </w:rPr>
              <w:t>环境监测计划</w:t>
            </w:r>
          </w:p>
        </w:tc>
      </w:tr>
      <w:tr w14:paraId="504160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9" w:hRule="atLeast"/>
        </w:trPr>
        <w:tc>
          <w:tcPr>
            <w:tcW w:w="748" w:type="dxa"/>
            <w:vMerge w:val="continue"/>
            <w:tcBorders>
              <w:top w:val="nil"/>
              <w:left w:val="single" w:color="000000" w:sz="6" w:space="0"/>
              <w:bottom w:val="nil"/>
            </w:tcBorders>
            <w:vAlign w:val="top"/>
          </w:tcPr>
          <w:p w14:paraId="077675E0">
            <w:pPr>
              <w:rPr>
                <w:rFonts w:ascii="Arial"/>
                <w:sz w:val="21"/>
              </w:rPr>
            </w:pPr>
          </w:p>
        </w:tc>
        <w:tc>
          <w:tcPr>
            <w:tcW w:w="848" w:type="dxa"/>
            <w:vMerge w:val="restart"/>
            <w:tcBorders>
              <w:top w:val="single" w:color="000000" w:sz="10" w:space="0"/>
              <w:bottom w:val="nil"/>
            </w:tcBorders>
            <w:vAlign w:val="top"/>
          </w:tcPr>
          <w:p w14:paraId="2E976BA0">
            <w:pPr>
              <w:spacing w:before="139" w:line="224" w:lineRule="auto"/>
              <w:ind w:left="302"/>
              <w:rPr>
                <w:rFonts w:ascii="仿宋" w:hAnsi="仿宋" w:eastAsia="仿宋" w:cs="仿宋"/>
                <w:sz w:val="18"/>
                <w:szCs w:val="18"/>
              </w:rPr>
            </w:pPr>
            <w:r>
              <w:rPr>
                <w:rFonts w:ascii="仿宋" w:hAnsi="仿宋" w:eastAsia="仿宋" w:cs="仿宋"/>
                <w:spacing w:val="-8"/>
                <w:sz w:val="18"/>
                <w:szCs w:val="18"/>
              </w:rPr>
              <w:t>类型</w:t>
            </w:r>
          </w:p>
        </w:tc>
        <w:tc>
          <w:tcPr>
            <w:tcW w:w="888" w:type="dxa"/>
            <w:vMerge w:val="restart"/>
            <w:tcBorders>
              <w:top w:val="single" w:color="000000" w:sz="10" w:space="0"/>
              <w:bottom w:val="nil"/>
            </w:tcBorders>
            <w:vAlign w:val="top"/>
          </w:tcPr>
          <w:p w14:paraId="186EE898">
            <w:pPr>
              <w:spacing w:before="139" w:line="224" w:lineRule="auto"/>
              <w:ind w:left="270"/>
              <w:rPr>
                <w:rFonts w:ascii="仿宋" w:hAnsi="仿宋" w:eastAsia="仿宋" w:cs="仿宋"/>
                <w:sz w:val="18"/>
                <w:szCs w:val="18"/>
              </w:rPr>
            </w:pPr>
            <w:r>
              <w:rPr>
                <w:rFonts w:ascii="仿宋" w:hAnsi="仿宋" w:eastAsia="仿宋" w:cs="仿宋"/>
                <w:spacing w:val="-7"/>
                <w:sz w:val="18"/>
                <w:szCs w:val="18"/>
              </w:rPr>
              <w:t>项目</w:t>
            </w:r>
          </w:p>
        </w:tc>
        <w:tc>
          <w:tcPr>
            <w:tcW w:w="6214" w:type="dxa"/>
            <w:gridSpan w:val="2"/>
            <w:tcBorders>
              <w:top w:val="single" w:color="000000" w:sz="10" w:space="0"/>
              <w:right w:val="single" w:color="000000" w:sz="6" w:space="0"/>
            </w:tcBorders>
            <w:vAlign w:val="top"/>
          </w:tcPr>
          <w:p w14:paraId="215AB08C">
            <w:pPr>
              <w:spacing w:before="19" w:line="205" w:lineRule="auto"/>
              <w:ind w:left="2523"/>
              <w:rPr>
                <w:rFonts w:ascii="仿宋" w:hAnsi="仿宋" w:eastAsia="仿宋" w:cs="仿宋"/>
                <w:sz w:val="18"/>
                <w:szCs w:val="18"/>
              </w:rPr>
            </w:pPr>
            <w:r>
              <w:rPr>
                <w:rFonts w:ascii="仿宋" w:hAnsi="仿宋" w:eastAsia="仿宋" w:cs="仿宋"/>
                <w:spacing w:val="-3"/>
                <w:sz w:val="18"/>
                <w:szCs w:val="18"/>
              </w:rPr>
              <w:t>分期监测方案</w:t>
            </w:r>
          </w:p>
        </w:tc>
      </w:tr>
      <w:tr w14:paraId="45DFA0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48" w:type="dxa"/>
            <w:vMerge w:val="continue"/>
            <w:tcBorders>
              <w:top w:val="nil"/>
              <w:left w:val="single" w:color="000000" w:sz="6" w:space="0"/>
              <w:bottom w:val="nil"/>
            </w:tcBorders>
            <w:vAlign w:val="top"/>
          </w:tcPr>
          <w:p w14:paraId="05F951AA">
            <w:pPr>
              <w:rPr>
                <w:rFonts w:ascii="Arial"/>
                <w:sz w:val="21"/>
              </w:rPr>
            </w:pPr>
          </w:p>
        </w:tc>
        <w:tc>
          <w:tcPr>
            <w:tcW w:w="848" w:type="dxa"/>
            <w:vMerge w:val="continue"/>
            <w:tcBorders>
              <w:top w:val="nil"/>
            </w:tcBorders>
            <w:vAlign w:val="top"/>
          </w:tcPr>
          <w:p w14:paraId="7D126CFB">
            <w:pPr>
              <w:rPr>
                <w:rFonts w:ascii="Arial"/>
                <w:sz w:val="21"/>
              </w:rPr>
            </w:pPr>
          </w:p>
        </w:tc>
        <w:tc>
          <w:tcPr>
            <w:tcW w:w="888" w:type="dxa"/>
            <w:vMerge w:val="continue"/>
            <w:tcBorders>
              <w:top w:val="nil"/>
            </w:tcBorders>
            <w:vAlign w:val="top"/>
          </w:tcPr>
          <w:p w14:paraId="28902EC3">
            <w:pPr>
              <w:rPr>
                <w:rFonts w:ascii="Arial"/>
                <w:sz w:val="21"/>
              </w:rPr>
            </w:pPr>
          </w:p>
        </w:tc>
        <w:tc>
          <w:tcPr>
            <w:tcW w:w="2381" w:type="dxa"/>
            <w:vAlign w:val="top"/>
          </w:tcPr>
          <w:p w14:paraId="0DD56269">
            <w:pPr>
              <w:spacing w:before="28" w:line="205" w:lineRule="auto"/>
              <w:ind w:left="927"/>
              <w:rPr>
                <w:rFonts w:ascii="仿宋" w:hAnsi="仿宋" w:eastAsia="仿宋" w:cs="仿宋"/>
                <w:sz w:val="18"/>
                <w:szCs w:val="18"/>
              </w:rPr>
            </w:pPr>
            <w:r>
              <w:rPr>
                <w:rFonts w:ascii="仿宋" w:hAnsi="仿宋" w:eastAsia="仿宋" w:cs="仿宋"/>
                <w:spacing w:val="-4"/>
                <w:sz w:val="18"/>
                <w:szCs w:val="18"/>
              </w:rPr>
              <w:t>施工期</w:t>
            </w:r>
          </w:p>
        </w:tc>
        <w:tc>
          <w:tcPr>
            <w:tcW w:w="3833" w:type="dxa"/>
            <w:tcBorders>
              <w:right w:val="single" w:color="000000" w:sz="6" w:space="0"/>
            </w:tcBorders>
            <w:vAlign w:val="top"/>
          </w:tcPr>
          <w:p w14:paraId="493AA1A7">
            <w:pPr>
              <w:spacing w:before="28" w:line="205" w:lineRule="auto"/>
              <w:ind w:left="1605"/>
              <w:rPr>
                <w:rFonts w:ascii="仿宋" w:hAnsi="仿宋" w:eastAsia="仿宋" w:cs="仿宋"/>
                <w:sz w:val="18"/>
                <w:szCs w:val="18"/>
              </w:rPr>
            </w:pPr>
            <w:r>
              <w:rPr>
                <w:rFonts w:ascii="仿宋" w:hAnsi="仿宋" w:eastAsia="仿宋" w:cs="仿宋"/>
                <w:spacing w:val="-5"/>
                <w:sz w:val="18"/>
                <w:szCs w:val="18"/>
              </w:rPr>
              <w:t>运营期</w:t>
            </w:r>
          </w:p>
        </w:tc>
      </w:tr>
      <w:tr w14:paraId="41CDD2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48" w:type="dxa"/>
            <w:vMerge w:val="continue"/>
            <w:tcBorders>
              <w:top w:val="nil"/>
              <w:left w:val="single" w:color="000000" w:sz="6" w:space="0"/>
              <w:bottom w:val="nil"/>
            </w:tcBorders>
            <w:vAlign w:val="top"/>
          </w:tcPr>
          <w:p w14:paraId="4D3DD93D">
            <w:pPr>
              <w:rPr>
                <w:rFonts w:ascii="Arial"/>
                <w:sz w:val="21"/>
              </w:rPr>
            </w:pPr>
          </w:p>
        </w:tc>
        <w:tc>
          <w:tcPr>
            <w:tcW w:w="848" w:type="dxa"/>
            <w:vMerge w:val="restart"/>
            <w:tcBorders>
              <w:bottom w:val="nil"/>
            </w:tcBorders>
            <w:vAlign w:val="top"/>
          </w:tcPr>
          <w:p w14:paraId="07DBE661">
            <w:pPr>
              <w:spacing w:line="301" w:lineRule="auto"/>
              <w:rPr>
                <w:rFonts w:ascii="Arial"/>
                <w:sz w:val="21"/>
              </w:rPr>
            </w:pPr>
          </w:p>
          <w:p w14:paraId="6B3F54C2">
            <w:pPr>
              <w:spacing w:line="301" w:lineRule="auto"/>
              <w:rPr>
                <w:rFonts w:ascii="Arial"/>
                <w:sz w:val="21"/>
              </w:rPr>
            </w:pPr>
          </w:p>
          <w:p w14:paraId="2915A1E9">
            <w:pPr>
              <w:spacing w:line="302" w:lineRule="auto"/>
              <w:rPr>
                <w:rFonts w:ascii="Arial"/>
                <w:sz w:val="21"/>
              </w:rPr>
            </w:pPr>
          </w:p>
          <w:p w14:paraId="5C282112">
            <w:pPr>
              <w:spacing w:before="58" w:line="222" w:lineRule="auto"/>
              <w:ind w:right="15"/>
              <w:jc w:val="right"/>
              <w:rPr>
                <w:rFonts w:ascii="仿宋" w:hAnsi="仿宋" w:eastAsia="仿宋" w:cs="仿宋"/>
                <w:sz w:val="18"/>
                <w:szCs w:val="18"/>
              </w:rPr>
            </w:pPr>
            <w:r>
              <w:rPr>
                <w:rFonts w:ascii="仿宋" w:hAnsi="仿宋" w:eastAsia="仿宋" w:cs="仿宋"/>
                <w:spacing w:val="-3"/>
                <w:sz w:val="18"/>
                <w:szCs w:val="18"/>
              </w:rPr>
              <w:t>环境噪声</w:t>
            </w:r>
          </w:p>
        </w:tc>
        <w:tc>
          <w:tcPr>
            <w:tcW w:w="888" w:type="dxa"/>
            <w:vAlign w:val="top"/>
          </w:tcPr>
          <w:p w14:paraId="29C2D384">
            <w:pPr>
              <w:spacing w:before="27" w:line="207" w:lineRule="auto"/>
              <w:ind w:left="93"/>
              <w:rPr>
                <w:rFonts w:ascii="仿宋" w:hAnsi="仿宋" w:eastAsia="仿宋" w:cs="仿宋"/>
                <w:sz w:val="18"/>
                <w:szCs w:val="18"/>
              </w:rPr>
            </w:pPr>
            <w:r>
              <w:rPr>
                <w:rFonts w:ascii="仿宋" w:hAnsi="仿宋" w:eastAsia="仿宋" w:cs="仿宋"/>
                <w:spacing w:val="-4"/>
                <w:sz w:val="18"/>
                <w:szCs w:val="18"/>
              </w:rPr>
              <w:t>污染来源</w:t>
            </w:r>
          </w:p>
        </w:tc>
        <w:tc>
          <w:tcPr>
            <w:tcW w:w="2381" w:type="dxa"/>
            <w:vAlign w:val="top"/>
          </w:tcPr>
          <w:p w14:paraId="22EA52C0">
            <w:pPr>
              <w:spacing w:before="27" w:line="207" w:lineRule="auto"/>
              <w:ind w:left="658"/>
              <w:rPr>
                <w:rFonts w:ascii="仿宋" w:hAnsi="仿宋" w:eastAsia="仿宋" w:cs="仿宋"/>
                <w:sz w:val="18"/>
                <w:szCs w:val="18"/>
              </w:rPr>
            </w:pPr>
            <w:r>
              <w:rPr>
                <w:rFonts w:ascii="仿宋" w:hAnsi="仿宋" w:eastAsia="仿宋" w:cs="仿宋"/>
                <w:spacing w:val="-2"/>
                <w:sz w:val="18"/>
                <w:szCs w:val="18"/>
              </w:rPr>
              <w:t>施工机械噪声</w:t>
            </w:r>
          </w:p>
        </w:tc>
        <w:tc>
          <w:tcPr>
            <w:tcW w:w="3833" w:type="dxa"/>
            <w:tcBorders>
              <w:right w:val="single" w:color="000000" w:sz="6" w:space="0"/>
            </w:tcBorders>
            <w:vAlign w:val="top"/>
          </w:tcPr>
          <w:p w14:paraId="58B84E6F">
            <w:pPr>
              <w:spacing w:before="27" w:line="207" w:lineRule="auto"/>
              <w:ind w:left="1517"/>
              <w:rPr>
                <w:rFonts w:ascii="仿宋" w:hAnsi="仿宋" w:eastAsia="仿宋" w:cs="仿宋"/>
                <w:sz w:val="18"/>
                <w:szCs w:val="18"/>
              </w:rPr>
            </w:pPr>
            <w:r>
              <w:rPr>
                <w:rFonts w:ascii="仿宋" w:hAnsi="仿宋" w:eastAsia="仿宋" w:cs="仿宋"/>
                <w:spacing w:val="-5"/>
                <w:sz w:val="18"/>
                <w:szCs w:val="18"/>
              </w:rPr>
              <w:t>交通噪声</w:t>
            </w:r>
          </w:p>
        </w:tc>
      </w:tr>
      <w:tr w14:paraId="3A0D49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48" w:type="dxa"/>
            <w:vMerge w:val="continue"/>
            <w:tcBorders>
              <w:top w:val="nil"/>
              <w:left w:val="single" w:color="000000" w:sz="6" w:space="0"/>
              <w:bottom w:val="nil"/>
            </w:tcBorders>
            <w:vAlign w:val="top"/>
          </w:tcPr>
          <w:p w14:paraId="3F2ACBB9">
            <w:pPr>
              <w:rPr>
                <w:rFonts w:ascii="Arial"/>
                <w:sz w:val="21"/>
              </w:rPr>
            </w:pPr>
          </w:p>
        </w:tc>
        <w:tc>
          <w:tcPr>
            <w:tcW w:w="848" w:type="dxa"/>
            <w:vMerge w:val="continue"/>
            <w:tcBorders>
              <w:top w:val="nil"/>
              <w:bottom w:val="nil"/>
            </w:tcBorders>
            <w:vAlign w:val="top"/>
          </w:tcPr>
          <w:p w14:paraId="2345B6DB">
            <w:pPr>
              <w:rPr>
                <w:rFonts w:ascii="Arial"/>
                <w:sz w:val="21"/>
              </w:rPr>
            </w:pPr>
          </w:p>
        </w:tc>
        <w:tc>
          <w:tcPr>
            <w:tcW w:w="888" w:type="dxa"/>
            <w:vAlign w:val="top"/>
          </w:tcPr>
          <w:p w14:paraId="1423AEA1">
            <w:pPr>
              <w:spacing w:before="28" w:line="205" w:lineRule="auto"/>
              <w:ind w:left="95"/>
              <w:rPr>
                <w:rFonts w:ascii="仿宋" w:hAnsi="仿宋" w:eastAsia="仿宋" w:cs="仿宋"/>
                <w:sz w:val="18"/>
                <w:szCs w:val="18"/>
              </w:rPr>
            </w:pPr>
            <w:r>
              <w:rPr>
                <w:rFonts w:ascii="仿宋" w:hAnsi="仿宋" w:eastAsia="仿宋" w:cs="仿宋"/>
                <w:spacing w:val="-5"/>
                <w:sz w:val="18"/>
                <w:szCs w:val="18"/>
              </w:rPr>
              <w:t>监测因子</w:t>
            </w:r>
          </w:p>
        </w:tc>
        <w:tc>
          <w:tcPr>
            <w:tcW w:w="2381" w:type="dxa"/>
            <w:vAlign w:val="top"/>
          </w:tcPr>
          <w:p w14:paraId="54C98DDA">
            <w:pPr>
              <w:pStyle w:val="6"/>
              <w:spacing w:before="58" w:line="196" w:lineRule="auto"/>
              <w:ind w:left="1039"/>
              <w:rPr>
                <w:sz w:val="11"/>
                <w:szCs w:val="11"/>
              </w:rPr>
            </w:pPr>
            <w:r>
              <w:t>L</w:t>
            </w:r>
            <w:r>
              <w:rPr>
                <w:sz w:val="11"/>
                <w:szCs w:val="11"/>
              </w:rPr>
              <w:t>Aeq</w:t>
            </w:r>
          </w:p>
        </w:tc>
        <w:tc>
          <w:tcPr>
            <w:tcW w:w="3833" w:type="dxa"/>
            <w:tcBorders>
              <w:right w:val="single" w:color="000000" w:sz="6" w:space="0"/>
            </w:tcBorders>
            <w:vAlign w:val="top"/>
          </w:tcPr>
          <w:p w14:paraId="0D64C89D">
            <w:pPr>
              <w:pStyle w:val="6"/>
              <w:spacing w:before="58" w:line="196" w:lineRule="auto"/>
              <w:ind w:left="1713"/>
              <w:rPr>
                <w:sz w:val="11"/>
                <w:szCs w:val="11"/>
              </w:rPr>
            </w:pPr>
            <w:r>
              <w:t>L</w:t>
            </w:r>
            <w:r>
              <w:rPr>
                <w:sz w:val="11"/>
                <w:szCs w:val="11"/>
              </w:rPr>
              <w:t>Aeq</w:t>
            </w:r>
          </w:p>
        </w:tc>
      </w:tr>
      <w:tr w14:paraId="748BA2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748" w:type="dxa"/>
            <w:vMerge w:val="continue"/>
            <w:tcBorders>
              <w:top w:val="nil"/>
              <w:left w:val="single" w:color="000000" w:sz="6" w:space="0"/>
              <w:bottom w:val="nil"/>
            </w:tcBorders>
            <w:vAlign w:val="top"/>
          </w:tcPr>
          <w:p w14:paraId="5D5E48EB">
            <w:pPr>
              <w:rPr>
                <w:rFonts w:ascii="Arial"/>
                <w:sz w:val="21"/>
              </w:rPr>
            </w:pPr>
          </w:p>
        </w:tc>
        <w:tc>
          <w:tcPr>
            <w:tcW w:w="848" w:type="dxa"/>
            <w:vMerge w:val="continue"/>
            <w:tcBorders>
              <w:top w:val="nil"/>
              <w:bottom w:val="nil"/>
            </w:tcBorders>
            <w:vAlign w:val="top"/>
          </w:tcPr>
          <w:p w14:paraId="49AB58F6">
            <w:pPr>
              <w:rPr>
                <w:rFonts w:ascii="Arial"/>
                <w:sz w:val="21"/>
              </w:rPr>
            </w:pPr>
          </w:p>
        </w:tc>
        <w:tc>
          <w:tcPr>
            <w:tcW w:w="888" w:type="dxa"/>
            <w:vAlign w:val="top"/>
          </w:tcPr>
          <w:p w14:paraId="26466ACF">
            <w:pPr>
              <w:spacing w:before="130" w:line="221" w:lineRule="auto"/>
              <w:ind w:left="89"/>
              <w:rPr>
                <w:rFonts w:ascii="仿宋" w:hAnsi="仿宋" w:eastAsia="仿宋" w:cs="仿宋"/>
                <w:sz w:val="18"/>
                <w:szCs w:val="18"/>
              </w:rPr>
            </w:pPr>
            <w:r>
              <w:rPr>
                <w:rFonts w:ascii="仿宋" w:hAnsi="仿宋" w:eastAsia="仿宋" w:cs="仿宋"/>
                <w:spacing w:val="-3"/>
                <w:sz w:val="18"/>
                <w:szCs w:val="18"/>
              </w:rPr>
              <w:t>执行标准</w:t>
            </w:r>
          </w:p>
        </w:tc>
        <w:tc>
          <w:tcPr>
            <w:tcW w:w="2381" w:type="dxa"/>
            <w:vAlign w:val="top"/>
          </w:tcPr>
          <w:p w14:paraId="49CE242F">
            <w:pPr>
              <w:spacing w:before="27" w:line="222" w:lineRule="auto"/>
              <w:ind w:left="119"/>
              <w:rPr>
                <w:rFonts w:ascii="仿宋" w:hAnsi="仿宋" w:eastAsia="仿宋" w:cs="仿宋"/>
                <w:sz w:val="18"/>
                <w:szCs w:val="18"/>
              </w:rPr>
            </w:pPr>
            <w:r>
              <w:rPr>
                <w:rFonts w:ascii="仿宋" w:hAnsi="仿宋" w:eastAsia="仿宋" w:cs="仿宋"/>
                <w:spacing w:val="-2"/>
                <w:sz w:val="18"/>
                <w:szCs w:val="18"/>
              </w:rPr>
              <w:t>《建筑施工噪声排放标准》</w:t>
            </w:r>
          </w:p>
          <w:p w14:paraId="659B880D">
            <w:pPr>
              <w:pStyle w:val="6"/>
              <w:spacing w:before="32" w:line="185" w:lineRule="auto"/>
              <w:ind w:left="572"/>
            </w:pPr>
            <w:r>
              <w:rPr>
                <w:spacing w:val="-1"/>
              </w:rPr>
              <w:t>(GB12523-2025)</w:t>
            </w:r>
          </w:p>
        </w:tc>
        <w:tc>
          <w:tcPr>
            <w:tcW w:w="3833" w:type="dxa"/>
            <w:tcBorders>
              <w:right w:val="single" w:color="000000" w:sz="6" w:space="0"/>
            </w:tcBorders>
            <w:vAlign w:val="top"/>
          </w:tcPr>
          <w:p w14:paraId="6A3FB260">
            <w:pPr>
              <w:pStyle w:val="6"/>
              <w:spacing w:before="130" w:line="212" w:lineRule="auto"/>
              <w:ind w:left="16"/>
              <w:rPr>
                <w:rFonts w:ascii="仿宋" w:hAnsi="仿宋" w:eastAsia="仿宋" w:cs="仿宋"/>
              </w:rPr>
            </w:pPr>
            <w:r>
              <w:rPr>
                <w:rFonts w:ascii="仿宋" w:hAnsi="仿宋" w:eastAsia="仿宋" w:cs="仿宋"/>
                <w:spacing w:val="-4"/>
              </w:rPr>
              <w:t>《声环境质量标准》</w:t>
            </w:r>
            <w:r>
              <w:rPr>
                <w:spacing w:val="-4"/>
              </w:rPr>
              <w:t>(BG3096-2008)1</w:t>
            </w:r>
            <w:r>
              <w:rPr>
                <w:spacing w:val="14"/>
              </w:rPr>
              <w:t xml:space="preserve"> </w:t>
            </w:r>
            <w:r>
              <w:rPr>
                <w:rFonts w:ascii="仿宋" w:hAnsi="仿宋" w:eastAsia="仿宋" w:cs="仿宋"/>
                <w:spacing w:val="-4"/>
              </w:rPr>
              <w:t>类标</w:t>
            </w:r>
            <w:r>
              <w:rPr>
                <w:rFonts w:ascii="仿宋" w:hAnsi="仿宋" w:eastAsia="仿宋" w:cs="仿宋"/>
                <w:spacing w:val="-5"/>
              </w:rPr>
              <w:t>准限值</w:t>
            </w:r>
          </w:p>
        </w:tc>
      </w:tr>
      <w:tr w14:paraId="50690E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748" w:type="dxa"/>
            <w:vMerge w:val="continue"/>
            <w:tcBorders>
              <w:top w:val="nil"/>
              <w:left w:val="single" w:color="000000" w:sz="6" w:space="0"/>
              <w:bottom w:val="nil"/>
            </w:tcBorders>
            <w:vAlign w:val="top"/>
          </w:tcPr>
          <w:p w14:paraId="454F88F9">
            <w:pPr>
              <w:rPr>
                <w:rFonts w:ascii="Arial"/>
                <w:sz w:val="21"/>
              </w:rPr>
            </w:pPr>
          </w:p>
        </w:tc>
        <w:tc>
          <w:tcPr>
            <w:tcW w:w="848" w:type="dxa"/>
            <w:vMerge w:val="continue"/>
            <w:tcBorders>
              <w:top w:val="nil"/>
              <w:bottom w:val="nil"/>
            </w:tcBorders>
            <w:vAlign w:val="top"/>
          </w:tcPr>
          <w:p w14:paraId="26D26A30">
            <w:pPr>
              <w:rPr>
                <w:rFonts w:ascii="Arial"/>
                <w:sz w:val="21"/>
              </w:rPr>
            </w:pPr>
          </w:p>
        </w:tc>
        <w:tc>
          <w:tcPr>
            <w:tcW w:w="888" w:type="dxa"/>
            <w:vAlign w:val="top"/>
          </w:tcPr>
          <w:p w14:paraId="363058A8">
            <w:pPr>
              <w:spacing w:before="260" w:line="222" w:lineRule="auto"/>
              <w:ind w:left="95"/>
              <w:rPr>
                <w:rFonts w:ascii="仿宋" w:hAnsi="仿宋" w:eastAsia="仿宋" w:cs="仿宋"/>
                <w:sz w:val="18"/>
                <w:szCs w:val="18"/>
              </w:rPr>
            </w:pPr>
            <w:r>
              <w:rPr>
                <w:rFonts w:ascii="仿宋" w:hAnsi="仿宋" w:eastAsia="仿宋" w:cs="仿宋"/>
                <w:spacing w:val="-5"/>
                <w:sz w:val="18"/>
                <w:szCs w:val="18"/>
              </w:rPr>
              <w:t>监测点位</w:t>
            </w:r>
          </w:p>
        </w:tc>
        <w:tc>
          <w:tcPr>
            <w:tcW w:w="2381" w:type="dxa"/>
            <w:vAlign w:val="top"/>
          </w:tcPr>
          <w:p w14:paraId="640A7709">
            <w:pPr>
              <w:spacing w:before="27" w:line="222" w:lineRule="auto"/>
              <w:ind w:left="27"/>
              <w:rPr>
                <w:rFonts w:ascii="仿宋" w:hAnsi="仿宋" w:eastAsia="仿宋" w:cs="仿宋"/>
                <w:sz w:val="18"/>
                <w:szCs w:val="18"/>
              </w:rPr>
            </w:pPr>
            <w:r>
              <w:rPr>
                <w:rFonts w:ascii="仿宋" w:hAnsi="仿宋" w:eastAsia="仿宋" w:cs="仿宋"/>
                <w:spacing w:val="-1"/>
                <w:sz w:val="18"/>
                <w:szCs w:val="18"/>
              </w:rPr>
              <w:t>份子地社新村、西圪旦、张家</w:t>
            </w:r>
          </w:p>
          <w:p w14:paraId="6B959BE4">
            <w:pPr>
              <w:spacing w:before="17" w:line="222" w:lineRule="auto"/>
              <w:ind w:left="30"/>
              <w:rPr>
                <w:rFonts w:ascii="仿宋" w:hAnsi="仿宋" w:eastAsia="仿宋" w:cs="仿宋"/>
                <w:sz w:val="18"/>
                <w:szCs w:val="18"/>
              </w:rPr>
            </w:pPr>
            <w:r>
              <w:rPr>
                <w:rFonts w:ascii="仿宋" w:hAnsi="仿宋" w:eastAsia="仿宋" w:cs="仿宋"/>
                <w:spacing w:val="-2"/>
                <w:sz w:val="18"/>
                <w:szCs w:val="18"/>
              </w:rPr>
              <w:t>圪旦、陈家梁等敏感点边界面</w:t>
            </w:r>
          </w:p>
          <w:p w14:paraId="748926EF">
            <w:pPr>
              <w:spacing w:before="15" w:line="206" w:lineRule="auto"/>
              <w:ind w:left="682"/>
              <w:rPr>
                <w:rFonts w:ascii="仿宋" w:hAnsi="仿宋" w:eastAsia="仿宋" w:cs="仿宋"/>
                <w:sz w:val="18"/>
                <w:szCs w:val="18"/>
              </w:rPr>
            </w:pPr>
            <w:r>
              <w:rPr>
                <w:rFonts w:ascii="仿宋" w:hAnsi="仿宋" w:eastAsia="仿宋" w:cs="仿宋"/>
                <w:spacing w:val="-6"/>
                <w:sz w:val="18"/>
                <w:szCs w:val="18"/>
              </w:rPr>
              <w:t>向本工程一侧</w:t>
            </w:r>
          </w:p>
        </w:tc>
        <w:tc>
          <w:tcPr>
            <w:tcW w:w="3833" w:type="dxa"/>
            <w:tcBorders>
              <w:right w:val="single" w:color="000000" w:sz="6" w:space="0"/>
            </w:tcBorders>
            <w:vAlign w:val="top"/>
          </w:tcPr>
          <w:p w14:paraId="14E0BA9E">
            <w:pPr>
              <w:spacing w:before="142" w:line="222" w:lineRule="auto"/>
              <w:ind w:left="15"/>
              <w:rPr>
                <w:rFonts w:ascii="仿宋" w:hAnsi="仿宋" w:eastAsia="仿宋" w:cs="仿宋"/>
                <w:sz w:val="18"/>
                <w:szCs w:val="18"/>
              </w:rPr>
            </w:pPr>
            <w:r>
              <w:rPr>
                <w:rFonts w:ascii="仿宋" w:hAnsi="仿宋" w:eastAsia="仿宋" w:cs="仿宋"/>
                <w:spacing w:val="-4"/>
                <w:sz w:val="18"/>
                <w:szCs w:val="18"/>
              </w:rPr>
              <w:t>份子地社新村、西圪旦、张家圪旦、陈家梁等敏</w:t>
            </w:r>
          </w:p>
          <w:p w14:paraId="5FDE3FFC">
            <w:pPr>
              <w:spacing w:before="16" w:line="223" w:lineRule="auto"/>
              <w:ind w:left="1156"/>
              <w:rPr>
                <w:rFonts w:ascii="仿宋" w:hAnsi="仿宋" w:eastAsia="仿宋" w:cs="仿宋"/>
                <w:sz w:val="18"/>
                <w:szCs w:val="18"/>
              </w:rPr>
            </w:pPr>
            <w:r>
              <w:rPr>
                <w:rFonts w:ascii="仿宋" w:hAnsi="仿宋" w:eastAsia="仿宋" w:cs="仿宋"/>
                <w:spacing w:val="-2"/>
                <w:sz w:val="18"/>
                <w:szCs w:val="18"/>
              </w:rPr>
              <w:t>感点面向工程一侧</w:t>
            </w:r>
          </w:p>
        </w:tc>
      </w:tr>
      <w:tr w14:paraId="6B9EA9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48" w:type="dxa"/>
            <w:vMerge w:val="continue"/>
            <w:tcBorders>
              <w:top w:val="nil"/>
              <w:left w:val="single" w:color="000000" w:sz="6" w:space="0"/>
              <w:bottom w:val="nil"/>
            </w:tcBorders>
            <w:vAlign w:val="top"/>
          </w:tcPr>
          <w:p w14:paraId="436A71BD">
            <w:pPr>
              <w:rPr>
                <w:rFonts w:ascii="Arial"/>
                <w:sz w:val="21"/>
              </w:rPr>
            </w:pPr>
          </w:p>
        </w:tc>
        <w:tc>
          <w:tcPr>
            <w:tcW w:w="848" w:type="dxa"/>
            <w:vMerge w:val="continue"/>
            <w:tcBorders>
              <w:top w:val="nil"/>
            </w:tcBorders>
            <w:vAlign w:val="top"/>
          </w:tcPr>
          <w:p w14:paraId="6F9BD08B">
            <w:pPr>
              <w:rPr>
                <w:rFonts w:ascii="Arial"/>
                <w:sz w:val="21"/>
              </w:rPr>
            </w:pPr>
          </w:p>
        </w:tc>
        <w:tc>
          <w:tcPr>
            <w:tcW w:w="888" w:type="dxa"/>
            <w:vAlign w:val="top"/>
          </w:tcPr>
          <w:p w14:paraId="6DE399DE">
            <w:pPr>
              <w:spacing w:before="144" w:line="223" w:lineRule="auto"/>
              <w:ind w:left="95"/>
              <w:rPr>
                <w:rFonts w:ascii="仿宋" w:hAnsi="仿宋" w:eastAsia="仿宋" w:cs="仿宋"/>
                <w:sz w:val="18"/>
                <w:szCs w:val="18"/>
              </w:rPr>
            </w:pPr>
            <w:r>
              <w:rPr>
                <w:rFonts w:ascii="仿宋" w:hAnsi="仿宋" w:eastAsia="仿宋" w:cs="仿宋"/>
                <w:spacing w:val="-5"/>
                <w:sz w:val="18"/>
                <w:szCs w:val="18"/>
              </w:rPr>
              <w:t>监测频次</w:t>
            </w:r>
          </w:p>
        </w:tc>
        <w:tc>
          <w:tcPr>
            <w:tcW w:w="2381" w:type="dxa"/>
            <w:vAlign w:val="top"/>
          </w:tcPr>
          <w:p w14:paraId="27D3E864">
            <w:pPr>
              <w:pStyle w:val="6"/>
              <w:spacing w:before="28" w:line="222" w:lineRule="auto"/>
              <w:ind w:left="20" w:right="11"/>
              <w:rPr>
                <w:rFonts w:ascii="仿宋" w:hAnsi="仿宋" w:eastAsia="仿宋" w:cs="仿宋"/>
              </w:rPr>
            </w:pPr>
            <w:r>
              <w:rPr>
                <w:spacing w:val="-6"/>
              </w:rPr>
              <w:t>1</w:t>
            </w:r>
            <w:r>
              <w:rPr>
                <w:spacing w:val="24"/>
                <w:w w:val="101"/>
              </w:rPr>
              <w:t xml:space="preserve"> </w:t>
            </w:r>
            <w:r>
              <w:rPr>
                <w:rFonts w:ascii="仿宋" w:hAnsi="仿宋" w:eastAsia="仿宋" w:cs="仿宋"/>
                <w:spacing w:val="-6"/>
              </w:rPr>
              <w:t>次</w:t>
            </w:r>
            <w:r>
              <w:rPr>
                <w:spacing w:val="-6"/>
              </w:rPr>
              <w:t>/</w:t>
            </w:r>
            <w:r>
              <w:rPr>
                <w:rFonts w:ascii="仿宋" w:hAnsi="仿宋" w:eastAsia="仿宋" w:cs="仿宋"/>
                <w:spacing w:val="-6"/>
              </w:rPr>
              <w:t>季</w:t>
            </w:r>
            <w:r>
              <w:rPr>
                <w:spacing w:val="-6"/>
              </w:rPr>
              <w:t>•</w:t>
            </w:r>
            <w:r>
              <w:rPr>
                <w:rFonts w:ascii="仿宋" w:hAnsi="仿宋" w:eastAsia="仿宋" w:cs="仿宋"/>
                <w:spacing w:val="-6"/>
              </w:rPr>
              <w:t>处，必要时随机抽测，</w:t>
            </w:r>
            <w:r>
              <w:rPr>
                <w:rFonts w:ascii="仿宋" w:hAnsi="仿宋" w:eastAsia="仿宋" w:cs="仿宋"/>
              </w:rPr>
              <w:t xml:space="preserve"> </w:t>
            </w:r>
            <w:r>
              <w:rPr>
                <w:spacing w:val="-4"/>
              </w:rPr>
              <w:t>1</w:t>
            </w:r>
            <w:r>
              <w:rPr>
                <w:spacing w:val="21"/>
                <w:w w:val="101"/>
              </w:rPr>
              <w:t xml:space="preserve"> </w:t>
            </w:r>
            <w:r>
              <w:rPr>
                <w:rFonts w:ascii="仿宋" w:hAnsi="仿宋" w:eastAsia="仿宋" w:cs="仿宋"/>
                <w:spacing w:val="-4"/>
              </w:rPr>
              <w:t>天</w:t>
            </w:r>
            <w:r>
              <w:rPr>
                <w:spacing w:val="-4"/>
              </w:rPr>
              <w:t>/</w:t>
            </w:r>
            <w:r>
              <w:rPr>
                <w:rFonts w:ascii="仿宋" w:hAnsi="仿宋" w:eastAsia="仿宋" w:cs="仿宋"/>
                <w:spacing w:val="-4"/>
              </w:rPr>
              <w:t>次，昼夜各一次。</w:t>
            </w:r>
          </w:p>
        </w:tc>
        <w:tc>
          <w:tcPr>
            <w:tcW w:w="3833" w:type="dxa"/>
            <w:tcBorders>
              <w:right w:val="single" w:color="000000" w:sz="6" w:space="0"/>
            </w:tcBorders>
            <w:vAlign w:val="top"/>
          </w:tcPr>
          <w:p w14:paraId="2D95A8F7">
            <w:pPr>
              <w:pStyle w:val="6"/>
              <w:spacing w:before="28" w:line="222" w:lineRule="auto"/>
              <w:ind w:left="15" w:right="102"/>
              <w:rPr>
                <w:rFonts w:ascii="仿宋" w:hAnsi="仿宋" w:eastAsia="仿宋" w:cs="仿宋"/>
              </w:rPr>
            </w:pPr>
            <w:r>
              <w:rPr>
                <w:rFonts w:ascii="仿宋" w:hAnsi="仿宋" w:eastAsia="仿宋" w:cs="仿宋"/>
                <w:spacing w:val="-4"/>
              </w:rPr>
              <w:t>近期</w:t>
            </w:r>
            <w:r>
              <w:rPr>
                <w:spacing w:val="-4"/>
              </w:rPr>
              <w:t>2</w:t>
            </w:r>
            <w:r>
              <w:rPr>
                <w:spacing w:val="14"/>
              </w:rPr>
              <w:t xml:space="preserve"> </w:t>
            </w:r>
            <w:r>
              <w:rPr>
                <w:rFonts w:ascii="仿宋" w:hAnsi="仿宋" w:eastAsia="仿宋" w:cs="仿宋"/>
                <w:spacing w:val="-4"/>
              </w:rPr>
              <w:t>次</w:t>
            </w:r>
            <w:r>
              <w:rPr>
                <w:spacing w:val="-4"/>
              </w:rPr>
              <w:t>/</w:t>
            </w:r>
            <w:r>
              <w:rPr>
                <w:rFonts w:ascii="仿宋" w:hAnsi="仿宋" w:eastAsia="仿宋" w:cs="仿宋"/>
                <w:spacing w:val="-4"/>
              </w:rPr>
              <w:t>年，</w:t>
            </w:r>
            <w:r>
              <w:rPr>
                <w:spacing w:val="-4"/>
              </w:rPr>
              <w:t>2</w:t>
            </w:r>
            <w:r>
              <w:rPr>
                <w:spacing w:val="14"/>
                <w:w w:val="101"/>
              </w:rPr>
              <w:t xml:space="preserve"> </w:t>
            </w:r>
            <w:r>
              <w:rPr>
                <w:rFonts w:ascii="仿宋" w:hAnsi="仿宋" w:eastAsia="仿宋" w:cs="仿宋"/>
                <w:spacing w:val="-4"/>
              </w:rPr>
              <w:t>天</w:t>
            </w:r>
            <w:r>
              <w:rPr>
                <w:spacing w:val="-4"/>
              </w:rPr>
              <w:t>/</w:t>
            </w:r>
            <w:r>
              <w:rPr>
                <w:rFonts w:ascii="仿宋" w:hAnsi="仿宋" w:eastAsia="仿宋" w:cs="仿宋"/>
                <w:spacing w:val="-4"/>
              </w:rPr>
              <w:t>次，每天昼间、夜间各监测</w:t>
            </w:r>
            <w:r>
              <w:rPr>
                <w:rFonts w:ascii="仿宋" w:hAnsi="仿宋" w:eastAsia="仿宋" w:cs="仿宋"/>
                <w:spacing w:val="-23"/>
              </w:rPr>
              <w:t xml:space="preserve"> </w:t>
            </w:r>
            <w:r>
              <w:rPr>
                <w:spacing w:val="-4"/>
              </w:rPr>
              <w:t>1</w:t>
            </w:r>
            <w:r>
              <w:rPr>
                <w:rFonts w:ascii="仿宋" w:hAnsi="仿宋" w:eastAsia="仿宋" w:cs="仿宋"/>
                <w:spacing w:val="-1"/>
              </w:rPr>
              <w:t>次；中远期可适当减少监测频次。</w:t>
            </w:r>
          </w:p>
        </w:tc>
      </w:tr>
      <w:tr w14:paraId="4C9F11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7" w:hRule="atLeast"/>
        </w:trPr>
        <w:tc>
          <w:tcPr>
            <w:tcW w:w="748" w:type="dxa"/>
            <w:vMerge w:val="continue"/>
            <w:tcBorders>
              <w:top w:val="nil"/>
              <w:left w:val="single" w:color="000000" w:sz="6" w:space="0"/>
              <w:bottom w:val="nil"/>
            </w:tcBorders>
            <w:vAlign w:val="top"/>
          </w:tcPr>
          <w:p w14:paraId="35F3778F">
            <w:pPr>
              <w:rPr>
                <w:rFonts w:ascii="Arial"/>
                <w:sz w:val="21"/>
              </w:rPr>
            </w:pPr>
          </w:p>
        </w:tc>
        <w:tc>
          <w:tcPr>
            <w:tcW w:w="848" w:type="dxa"/>
            <w:vMerge w:val="restart"/>
            <w:tcBorders>
              <w:bottom w:val="nil"/>
            </w:tcBorders>
            <w:vAlign w:val="top"/>
          </w:tcPr>
          <w:p w14:paraId="0229F904">
            <w:pPr>
              <w:spacing w:line="304" w:lineRule="auto"/>
              <w:rPr>
                <w:rFonts w:ascii="Arial"/>
                <w:sz w:val="21"/>
              </w:rPr>
            </w:pPr>
          </w:p>
          <w:p w14:paraId="6CCDF29E">
            <w:pPr>
              <w:spacing w:line="304" w:lineRule="auto"/>
              <w:rPr>
                <w:rFonts w:ascii="Arial"/>
                <w:sz w:val="21"/>
              </w:rPr>
            </w:pPr>
          </w:p>
          <w:p w14:paraId="460625BB">
            <w:pPr>
              <w:spacing w:line="304" w:lineRule="auto"/>
              <w:rPr>
                <w:rFonts w:ascii="Arial"/>
                <w:sz w:val="21"/>
              </w:rPr>
            </w:pPr>
          </w:p>
          <w:p w14:paraId="0E7632F8">
            <w:pPr>
              <w:spacing w:before="58" w:line="222" w:lineRule="auto"/>
              <w:ind w:right="15"/>
              <w:jc w:val="right"/>
              <w:rPr>
                <w:rFonts w:ascii="仿宋" w:hAnsi="仿宋" w:eastAsia="仿宋" w:cs="仿宋"/>
                <w:sz w:val="18"/>
                <w:szCs w:val="18"/>
              </w:rPr>
            </w:pPr>
            <w:r>
              <w:rPr>
                <w:rFonts w:ascii="仿宋" w:hAnsi="仿宋" w:eastAsia="仿宋" w:cs="仿宋"/>
                <w:spacing w:val="-6"/>
                <w:sz w:val="18"/>
                <w:szCs w:val="18"/>
              </w:rPr>
              <w:t>生态环境</w:t>
            </w:r>
          </w:p>
        </w:tc>
        <w:tc>
          <w:tcPr>
            <w:tcW w:w="888" w:type="dxa"/>
            <w:vAlign w:val="top"/>
          </w:tcPr>
          <w:p w14:paraId="6AD6E7A3">
            <w:pPr>
              <w:spacing w:line="318" w:lineRule="auto"/>
              <w:rPr>
                <w:rFonts w:ascii="Arial"/>
                <w:sz w:val="21"/>
              </w:rPr>
            </w:pPr>
          </w:p>
          <w:p w14:paraId="781679E3">
            <w:pPr>
              <w:spacing w:before="58" w:line="223" w:lineRule="auto"/>
              <w:ind w:left="95"/>
              <w:rPr>
                <w:rFonts w:ascii="仿宋" w:hAnsi="仿宋" w:eastAsia="仿宋" w:cs="仿宋"/>
                <w:sz w:val="18"/>
                <w:szCs w:val="18"/>
              </w:rPr>
            </w:pPr>
            <w:r>
              <w:rPr>
                <w:rFonts w:ascii="仿宋" w:hAnsi="仿宋" w:eastAsia="仿宋" w:cs="仿宋"/>
                <w:spacing w:val="-5"/>
                <w:sz w:val="18"/>
                <w:szCs w:val="18"/>
              </w:rPr>
              <w:t>监测项目</w:t>
            </w:r>
          </w:p>
        </w:tc>
        <w:tc>
          <w:tcPr>
            <w:tcW w:w="2381" w:type="dxa"/>
            <w:vAlign w:val="top"/>
          </w:tcPr>
          <w:p w14:paraId="3D8F74FC">
            <w:pPr>
              <w:spacing w:before="28" w:line="220" w:lineRule="auto"/>
              <w:ind w:left="27"/>
              <w:rPr>
                <w:rFonts w:ascii="仿宋" w:hAnsi="仿宋" w:eastAsia="仿宋" w:cs="仿宋"/>
                <w:sz w:val="18"/>
                <w:szCs w:val="18"/>
              </w:rPr>
            </w:pPr>
            <w:r>
              <w:rPr>
                <w:rFonts w:ascii="仿宋" w:hAnsi="仿宋" w:eastAsia="仿宋" w:cs="仿宋"/>
                <w:spacing w:val="-1"/>
                <w:sz w:val="18"/>
                <w:szCs w:val="18"/>
              </w:rPr>
              <w:t>基本农田面积、农作物种类、</w:t>
            </w:r>
          </w:p>
          <w:p w14:paraId="2F6062DA">
            <w:pPr>
              <w:spacing w:before="20" w:line="222" w:lineRule="auto"/>
              <w:ind w:left="38"/>
              <w:rPr>
                <w:rFonts w:ascii="仿宋" w:hAnsi="仿宋" w:eastAsia="仿宋" w:cs="仿宋"/>
                <w:sz w:val="18"/>
                <w:szCs w:val="18"/>
              </w:rPr>
            </w:pPr>
            <w:r>
              <w:rPr>
                <w:rFonts w:ascii="仿宋" w:hAnsi="仿宋" w:eastAsia="仿宋" w:cs="仿宋"/>
                <w:spacing w:val="-2"/>
                <w:sz w:val="18"/>
                <w:szCs w:val="18"/>
              </w:rPr>
              <w:t>生长状况；公益林地、基本草</w:t>
            </w:r>
          </w:p>
          <w:p w14:paraId="6E6B7ED0">
            <w:pPr>
              <w:spacing w:before="15" w:line="221" w:lineRule="auto"/>
              <w:ind w:left="31"/>
              <w:rPr>
                <w:rFonts w:ascii="仿宋" w:hAnsi="仿宋" w:eastAsia="仿宋" w:cs="仿宋"/>
                <w:sz w:val="18"/>
                <w:szCs w:val="18"/>
              </w:rPr>
            </w:pPr>
            <w:r>
              <w:rPr>
                <w:rFonts w:ascii="仿宋" w:hAnsi="仿宋" w:eastAsia="仿宋" w:cs="仿宋"/>
                <w:spacing w:val="-2"/>
                <w:sz w:val="18"/>
                <w:szCs w:val="18"/>
              </w:rPr>
              <w:t>原植被种类、群落结构、野生</w:t>
            </w:r>
          </w:p>
          <w:p w14:paraId="2949900B">
            <w:pPr>
              <w:spacing w:before="17" w:line="203" w:lineRule="auto"/>
              <w:ind w:left="301"/>
              <w:rPr>
                <w:rFonts w:ascii="仿宋" w:hAnsi="仿宋" w:eastAsia="仿宋" w:cs="仿宋"/>
                <w:sz w:val="18"/>
                <w:szCs w:val="18"/>
              </w:rPr>
            </w:pPr>
            <w:r>
              <w:rPr>
                <w:rFonts w:ascii="仿宋" w:hAnsi="仿宋" w:eastAsia="仿宋" w:cs="仿宋"/>
                <w:spacing w:val="-2"/>
                <w:sz w:val="18"/>
                <w:szCs w:val="18"/>
              </w:rPr>
              <w:t>动物种类、分布情况等</w:t>
            </w:r>
          </w:p>
        </w:tc>
        <w:tc>
          <w:tcPr>
            <w:tcW w:w="3833" w:type="dxa"/>
            <w:tcBorders>
              <w:right w:val="single" w:color="000000" w:sz="6" w:space="0"/>
            </w:tcBorders>
            <w:vAlign w:val="top"/>
          </w:tcPr>
          <w:p w14:paraId="45412B7B">
            <w:pPr>
              <w:spacing w:line="352" w:lineRule="auto"/>
              <w:rPr>
                <w:rFonts w:ascii="Arial"/>
                <w:sz w:val="21"/>
              </w:rPr>
            </w:pPr>
          </w:p>
          <w:p w14:paraId="2EBB3C0F">
            <w:pPr>
              <w:pStyle w:val="6"/>
              <w:spacing w:before="52" w:line="192" w:lineRule="auto"/>
              <w:ind w:left="1837"/>
            </w:pPr>
            <w:r>
              <w:t>/</w:t>
            </w:r>
          </w:p>
        </w:tc>
      </w:tr>
      <w:tr w14:paraId="5DD893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48" w:type="dxa"/>
            <w:vMerge w:val="continue"/>
            <w:tcBorders>
              <w:top w:val="nil"/>
              <w:left w:val="single" w:color="000000" w:sz="6" w:space="0"/>
              <w:bottom w:val="nil"/>
            </w:tcBorders>
            <w:vAlign w:val="top"/>
          </w:tcPr>
          <w:p w14:paraId="414CB3D9">
            <w:pPr>
              <w:rPr>
                <w:rFonts w:ascii="Arial"/>
                <w:sz w:val="21"/>
              </w:rPr>
            </w:pPr>
          </w:p>
        </w:tc>
        <w:tc>
          <w:tcPr>
            <w:tcW w:w="848" w:type="dxa"/>
            <w:vMerge w:val="continue"/>
            <w:tcBorders>
              <w:top w:val="nil"/>
              <w:bottom w:val="nil"/>
            </w:tcBorders>
            <w:vAlign w:val="top"/>
          </w:tcPr>
          <w:p w14:paraId="30E898EA">
            <w:pPr>
              <w:rPr>
                <w:rFonts w:ascii="Arial"/>
                <w:sz w:val="21"/>
              </w:rPr>
            </w:pPr>
          </w:p>
        </w:tc>
        <w:tc>
          <w:tcPr>
            <w:tcW w:w="888" w:type="dxa"/>
            <w:vAlign w:val="top"/>
          </w:tcPr>
          <w:p w14:paraId="76764BBB">
            <w:pPr>
              <w:spacing w:before="146" w:line="222" w:lineRule="auto"/>
              <w:ind w:left="95"/>
              <w:rPr>
                <w:rFonts w:ascii="仿宋" w:hAnsi="仿宋" w:eastAsia="仿宋" w:cs="仿宋"/>
                <w:sz w:val="18"/>
                <w:szCs w:val="18"/>
              </w:rPr>
            </w:pPr>
            <w:r>
              <w:rPr>
                <w:rFonts w:ascii="仿宋" w:hAnsi="仿宋" w:eastAsia="仿宋" w:cs="仿宋"/>
                <w:spacing w:val="-5"/>
                <w:sz w:val="18"/>
                <w:szCs w:val="18"/>
              </w:rPr>
              <w:t>监测点位</w:t>
            </w:r>
          </w:p>
        </w:tc>
        <w:tc>
          <w:tcPr>
            <w:tcW w:w="2381" w:type="dxa"/>
            <w:vAlign w:val="top"/>
          </w:tcPr>
          <w:p w14:paraId="5C2E4A6C">
            <w:pPr>
              <w:spacing w:before="31" w:line="220" w:lineRule="auto"/>
              <w:ind w:left="661" w:right="20" w:hanging="634"/>
              <w:rPr>
                <w:rFonts w:ascii="仿宋" w:hAnsi="仿宋" w:eastAsia="仿宋" w:cs="仿宋"/>
                <w:sz w:val="18"/>
                <w:szCs w:val="18"/>
              </w:rPr>
            </w:pPr>
            <w:r>
              <w:rPr>
                <w:rFonts w:ascii="仿宋" w:hAnsi="仿宋" w:eastAsia="仿宋" w:cs="仿宋"/>
                <w:spacing w:val="-1"/>
                <w:sz w:val="18"/>
                <w:szCs w:val="18"/>
              </w:rPr>
              <w:t>沿线基本农田、公益林和基本</w:t>
            </w:r>
            <w:r>
              <w:rPr>
                <w:rFonts w:ascii="仿宋" w:hAnsi="仿宋" w:eastAsia="仿宋" w:cs="仿宋"/>
                <w:spacing w:val="-3"/>
                <w:sz w:val="18"/>
                <w:szCs w:val="18"/>
              </w:rPr>
              <w:t>草原分布区域</w:t>
            </w:r>
          </w:p>
        </w:tc>
        <w:tc>
          <w:tcPr>
            <w:tcW w:w="3833" w:type="dxa"/>
            <w:tcBorders>
              <w:right w:val="single" w:color="000000" w:sz="6" w:space="0"/>
            </w:tcBorders>
            <w:vAlign w:val="top"/>
          </w:tcPr>
          <w:p w14:paraId="0DF3339D">
            <w:pPr>
              <w:pStyle w:val="6"/>
              <w:spacing w:before="174" w:line="192" w:lineRule="auto"/>
              <w:ind w:left="1837"/>
            </w:pPr>
            <w:r>
              <w:t>/</w:t>
            </w:r>
          </w:p>
        </w:tc>
      </w:tr>
      <w:tr w14:paraId="173DFE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748" w:type="dxa"/>
            <w:vMerge w:val="continue"/>
            <w:tcBorders>
              <w:top w:val="nil"/>
              <w:left w:val="single" w:color="000000" w:sz="6" w:space="0"/>
              <w:bottom w:val="nil"/>
            </w:tcBorders>
            <w:vAlign w:val="top"/>
          </w:tcPr>
          <w:p w14:paraId="4ED7B67B">
            <w:pPr>
              <w:rPr>
                <w:rFonts w:ascii="Arial"/>
                <w:sz w:val="21"/>
              </w:rPr>
            </w:pPr>
          </w:p>
        </w:tc>
        <w:tc>
          <w:tcPr>
            <w:tcW w:w="848" w:type="dxa"/>
            <w:vMerge w:val="continue"/>
            <w:tcBorders>
              <w:top w:val="nil"/>
              <w:bottom w:val="nil"/>
            </w:tcBorders>
            <w:vAlign w:val="top"/>
          </w:tcPr>
          <w:p w14:paraId="39C5120F">
            <w:pPr>
              <w:rPr>
                <w:rFonts w:ascii="Arial"/>
                <w:sz w:val="21"/>
              </w:rPr>
            </w:pPr>
          </w:p>
        </w:tc>
        <w:tc>
          <w:tcPr>
            <w:tcW w:w="888" w:type="dxa"/>
            <w:vAlign w:val="top"/>
          </w:tcPr>
          <w:p w14:paraId="29764F17">
            <w:pPr>
              <w:spacing w:before="148" w:line="223" w:lineRule="auto"/>
              <w:ind w:left="95"/>
              <w:rPr>
                <w:rFonts w:ascii="仿宋" w:hAnsi="仿宋" w:eastAsia="仿宋" w:cs="仿宋"/>
                <w:sz w:val="18"/>
                <w:szCs w:val="18"/>
              </w:rPr>
            </w:pPr>
            <w:r>
              <w:rPr>
                <w:rFonts w:ascii="仿宋" w:hAnsi="仿宋" w:eastAsia="仿宋" w:cs="仿宋"/>
                <w:spacing w:val="-5"/>
                <w:sz w:val="18"/>
                <w:szCs w:val="18"/>
              </w:rPr>
              <w:t>监测方法</w:t>
            </w:r>
          </w:p>
        </w:tc>
        <w:tc>
          <w:tcPr>
            <w:tcW w:w="2381" w:type="dxa"/>
            <w:vAlign w:val="top"/>
          </w:tcPr>
          <w:p w14:paraId="19B3EAF5">
            <w:pPr>
              <w:spacing w:before="33" w:line="219" w:lineRule="auto"/>
              <w:ind w:left="27"/>
              <w:rPr>
                <w:rFonts w:ascii="仿宋" w:hAnsi="仿宋" w:eastAsia="仿宋" w:cs="仿宋"/>
                <w:sz w:val="18"/>
                <w:szCs w:val="18"/>
              </w:rPr>
            </w:pPr>
            <w:r>
              <w:rPr>
                <w:rFonts w:ascii="仿宋" w:hAnsi="仿宋" w:eastAsia="仿宋" w:cs="仿宋"/>
                <w:spacing w:val="-1"/>
                <w:sz w:val="18"/>
                <w:szCs w:val="18"/>
              </w:rPr>
              <w:t>现场巡查、样方调查、遥感无</w:t>
            </w:r>
          </w:p>
          <w:p w14:paraId="3356F702">
            <w:pPr>
              <w:spacing w:before="18" w:line="201" w:lineRule="auto"/>
              <w:ind w:left="841"/>
              <w:rPr>
                <w:rFonts w:ascii="仿宋" w:hAnsi="仿宋" w:eastAsia="仿宋" w:cs="仿宋"/>
                <w:sz w:val="18"/>
                <w:szCs w:val="18"/>
              </w:rPr>
            </w:pPr>
            <w:r>
              <w:rPr>
                <w:rFonts w:ascii="仿宋" w:hAnsi="仿宋" w:eastAsia="仿宋" w:cs="仿宋"/>
                <w:spacing w:val="-4"/>
                <w:sz w:val="18"/>
                <w:szCs w:val="18"/>
              </w:rPr>
              <w:t>人机观测</w:t>
            </w:r>
          </w:p>
        </w:tc>
        <w:tc>
          <w:tcPr>
            <w:tcW w:w="3833" w:type="dxa"/>
            <w:tcBorders>
              <w:right w:val="single" w:color="000000" w:sz="6" w:space="0"/>
            </w:tcBorders>
            <w:vAlign w:val="top"/>
          </w:tcPr>
          <w:p w14:paraId="34BE4EBC">
            <w:pPr>
              <w:pStyle w:val="6"/>
              <w:spacing w:before="174" w:line="192" w:lineRule="auto"/>
              <w:ind w:left="1837"/>
            </w:pPr>
            <w:r>
              <w:t>/</w:t>
            </w:r>
          </w:p>
        </w:tc>
      </w:tr>
      <w:tr w14:paraId="49A1ED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8" w:hRule="atLeast"/>
        </w:trPr>
        <w:tc>
          <w:tcPr>
            <w:tcW w:w="748" w:type="dxa"/>
            <w:vMerge w:val="continue"/>
            <w:tcBorders>
              <w:top w:val="nil"/>
              <w:left w:val="single" w:color="000000" w:sz="6" w:space="0"/>
              <w:bottom w:val="nil"/>
            </w:tcBorders>
            <w:vAlign w:val="top"/>
          </w:tcPr>
          <w:p w14:paraId="5C832A8D">
            <w:pPr>
              <w:rPr>
                <w:rFonts w:ascii="Arial"/>
                <w:sz w:val="21"/>
              </w:rPr>
            </w:pPr>
          </w:p>
        </w:tc>
        <w:tc>
          <w:tcPr>
            <w:tcW w:w="848" w:type="dxa"/>
            <w:vMerge w:val="continue"/>
            <w:tcBorders>
              <w:top w:val="nil"/>
              <w:bottom w:val="single" w:color="000000" w:sz="10" w:space="0"/>
            </w:tcBorders>
            <w:vAlign w:val="top"/>
          </w:tcPr>
          <w:p w14:paraId="236718D1">
            <w:pPr>
              <w:rPr>
                <w:rFonts w:ascii="Arial"/>
                <w:sz w:val="21"/>
              </w:rPr>
            </w:pPr>
          </w:p>
        </w:tc>
        <w:tc>
          <w:tcPr>
            <w:tcW w:w="888" w:type="dxa"/>
            <w:tcBorders>
              <w:bottom w:val="single" w:color="000000" w:sz="10" w:space="0"/>
            </w:tcBorders>
            <w:vAlign w:val="top"/>
          </w:tcPr>
          <w:p w14:paraId="14D96031">
            <w:pPr>
              <w:spacing w:before="31" w:line="212" w:lineRule="auto"/>
              <w:ind w:left="95"/>
              <w:rPr>
                <w:rFonts w:ascii="仿宋" w:hAnsi="仿宋" w:eastAsia="仿宋" w:cs="仿宋"/>
                <w:sz w:val="18"/>
                <w:szCs w:val="18"/>
              </w:rPr>
            </w:pPr>
            <w:r>
              <w:rPr>
                <w:rFonts w:ascii="仿宋" w:hAnsi="仿宋" w:eastAsia="仿宋" w:cs="仿宋"/>
                <w:spacing w:val="-5"/>
                <w:sz w:val="18"/>
                <w:szCs w:val="18"/>
              </w:rPr>
              <w:t>监测频次</w:t>
            </w:r>
          </w:p>
        </w:tc>
        <w:tc>
          <w:tcPr>
            <w:tcW w:w="2381" w:type="dxa"/>
            <w:tcBorders>
              <w:bottom w:val="single" w:color="000000" w:sz="10" w:space="0"/>
            </w:tcBorders>
            <w:vAlign w:val="top"/>
          </w:tcPr>
          <w:p w14:paraId="322DB309">
            <w:pPr>
              <w:pStyle w:val="6"/>
              <w:spacing w:before="31" w:line="212" w:lineRule="auto"/>
              <w:ind w:left="492"/>
              <w:rPr>
                <w:rFonts w:ascii="仿宋" w:hAnsi="仿宋" w:eastAsia="仿宋" w:cs="仿宋"/>
              </w:rPr>
            </w:pPr>
            <w:r>
              <w:rPr>
                <w:rFonts w:ascii="仿宋" w:hAnsi="仿宋" w:eastAsia="仿宋" w:cs="仿宋"/>
                <w:spacing w:val="-2"/>
              </w:rPr>
              <w:t>施工期每年</w:t>
            </w:r>
            <w:r>
              <w:rPr>
                <w:rFonts w:ascii="仿宋" w:hAnsi="仿宋" w:eastAsia="仿宋" w:cs="仿宋"/>
                <w:spacing w:val="-38"/>
              </w:rPr>
              <w:t xml:space="preserve"> </w:t>
            </w:r>
            <w:r>
              <w:rPr>
                <w:spacing w:val="-2"/>
              </w:rPr>
              <w:t>4-9</w:t>
            </w:r>
            <w:r>
              <w:rPr>
                <w:spacing w:val="17"/>
                <w:w w:val="101"/>
              </w:rPr>
              <w:t xml:space="preserve"> </w:t>
            </w:r>
            <w:r>
              <w:rPr>
                <w:rFonts w:ascii="仿宋" w:hAnsi="仿宋" w:eastAsia="仿宋" w:cs="仿宋"/>
                <w:spacing w:val="-2"/>
              </w:rPr>
              <w:t>月</w:t>
            </w:r>
          </w:p>
        </w:tc>
        <w:tc>
          <w:tcPr>
            <w:tcW w:w="3833" w:type="dxa"/>
            <w:tcBorders>
              <w:bottom w:val="single" w:color="000000" w:sz="10" w:space="0"/>
              <w:right w:val="single" w:color="000000" w:sz="6" w:space="0"/>
            </w:tcBorders>
            <w:vAlign w:val="top"/>
          </w:tcPr>
          <w:p w14:paraId="6D1554DE">
            <w:pPr>
              <w:pStyle w:val="6"/>
              <w:spacing w:before="59" w:line="192" w:lineRule="auto"/>
              <w:ind w:left="1837"/>
            </w:pPr>
            <w:r>
              <w:t>/</w:t>
            </w:r>
          </w:p>
        </w:tc>
      </w:tr>
      <w:tr w14:paraId="4A6350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9" w:hRule="atLeast"/>
        </w:trPr>
        <w:tc>
          <w:tcPr>
            <w:tcW w:w="748" w:type="dxa"/>
            <w:vMerge w:val="continue"/>
            <w:tcBorders>
              <w:top w:val="nil"/>
              <w:left w:val="single" w:color="000000" w:sz="6" w:space="0"/>
              <w:bottom w:val="single" w:color="000000" w:sz="6" w:space="0"/>
            </w:tcBorders>
            <w:vAlign w:val="top"/>
          </w:tcPr>
          <w:p w14:paraId="2F9BE456">
            <w:pPr>
              <w:rPr>
                <w:rFonts w:ascii="Arial"/>
                <w:sz w:val="21"/>
              </w:rPr>
            </w:pPr>
          </w:p>
        </w:tc>
        <w:tc>
          <w:tcPr>
            <w:tcW w:w="7950" w:type="dxa"/>
            <w:gridSpan w:val="4"/>
            <w:tcBorders>
              <w:top w:val="single" w:color="000000" w:sz="10" w:space="0"/>
              <w:bottom w:val="single" w:color="000000" w:sz="6" w:space="0"/>
              <w:right w:val="single" w:color="000000" w:sz="6" w:space="0"/>
            </w:tcBorders>
            <w:vAlign w:val="top"/>
          </w:tcPr>
          <w:p w14:paraId="376F7922">
            <w:pPr>
              <w:rPr>
                <w:rFonts w:ascii="Arial"/>
                <w:sz w:val="21"/>
              </w:rPr>
            </w:pPr>
          </w:p>
        </w:tc>
      </w:tr>
    </w:tbl>
    <w:p w14:paraId="0E7CE68A">
      <w:pPr>
        <w:pStyle w:val="2"/>
        <w:rPr>
          <w:sz w:val="21"/>
        </w:rPr>
      </w:pPr>
    </w:p>
    <w:p w14:paraId="090941FB">
      <w:pPr>
        <w:rPr>
          <w:sz w:val="21"/>
          <w:szCs w:val="21"/>
        </w:rPr>
        <w:sectPr>
          <w:footerReference r:id="rId72" w:type="default"/>
          <w:pgSz w:w="11907" w:h="16840"/>
          <w:pgMar w:top="400" w:right="1597" w:bottom="1446" w:left="1596" w:header="0" w:footer="1284" w:gutter="0"/>
          <w:cols w:space="720" w:num="1"/>
        </w:sectPr>
      </w:pPr>
    </w:p>
    <w:p w14:paraId="24F38400">
      <w:pPr>
        <w:spacing w:before="19"/>
      </w:pPr>
    </w:p>
    <w:p w14:paraId="5E2CC863">
      <w:pPr>
        <w:spacing w:before="19"/>
      </w:pPr>
    </w:p>
    <w:p w14:paraId="648CAC37">
      <w:pPr>
        <w:spacing w:before="18"/>
      </w:pPr>
    </w:p>
    <w:p w14:paraId="02AE77E2">
      <w:pPr>
        <w:spacing w:before="18"/>
      </w:pPr>
    </w:p>
    <w:tbl>
      <w:tblPr>
        <w:tblStyle w:val="5"/>
        <w:tblW w:w="8698"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8"/>
        <w:gridCol w:w="387"/>
        <w:gridCol w:w="596"/>
        <w:gridCol w:w="2875"/>
        <w:gridCol w:w="2936"/>
        <w:gridCol w:w="1156"/>
      </w:tblGrid>
      <w:tr w14:paraId="164087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84" w:hRule="atLeast"/>
        </w:trPr>
        <w:tc>
          <w:tcPr>
            <w:tcW w:w="748" w:type="dxa"/>
            <w:vMerge w:val="restart"/>
            <w:tcBorders>
              <w:top w:val="single" w:color="000000" w:sz="6" w:space="0"/>
              <w:left w:val="single" w:color="000000" w:sz="6" w:space="0"/>
              <w:bottom w:val="nil"/>
            </w:tcBorders>
            <w:vAlign w:val="top"/>
          </w:tcPr>
          <w:p w14:paraId="5443A63D">
            <w:pPr>
              <w:spacing w:line="246" w:lineRule="auto"/>
              <w:rPr>
                <w:rFonts w:ascii="Arial"/>
                <w:sz w:val="21"/>
              </w:rPr>
            </w:pPr>
          </w:p>
          <w:p w14:paraId="5C56C29D">
            <w:pPr>
              <w:spacing w:line="246" w:lineRule="auto"/>
              <w:rPr>
                <w:rFonts w:ascii="Arial"/>
                <w:sz w:val="21"/>
              </w:rPr>
            </w:pPr>
          </w:p>
          <w:p w14:paraId="0B0EEF0E">
            <w:pPr>
              <w:spacing w:line="246" w:lineRule="auto"/>
              <w:rPr>
                <w:rFonts w:ascii="Arial"/>
                <w:sz w:val="21"/>
              </w:rPr>
            </w:pPr>
          </w:p>
          <w:p w14:paraId="2DFCF1E7">
            <w:pPr>
              <w:spacing w:line="246" w:lineRule="auto"/>
              <w:rPr>
                <w:rFonts w:ascii="Arial"/>
                <w:sz w:val="21"/>
              </w:rPr>
            </w:pPr>
          </w:p>
          <w:p w14:paraId="0A7D6467">
            <w:pPr>
              <w:spacing w:line="246" w:lineRule="auto"/>
              <w:rPr>
                <w:rFonts w:ascii="Arial"/>
                <w:sz w:val="21"/>
              </w:rPr>
            </w:pPr>
          </w:p>
          <w:p w14:paraId="3DE11477">
            <w:pPr>
              <w:spacing w:line="246" w:lineRule="auto"/>
              <w:rPr>
                <w:rFonts w:ascii="Arial"/>
                <w:sz w:val="21"/>
              </w:rPr>
            </w:pPr>
          </w:p>
          <w:p w14:paraId="06F16753">
            <w:pPr>
              <w:spacing w:line="246" w:lineRule="auto"/>
              <w:rPr>
                <w:rFonts w:ascii="Arial"/>
                <w:sz w:val="21"/>
              </w:rPr>
            </w:pPr>
          </w:p>
          <w:p w14:paraId="7A521FD0">
            <w:pPr>
              <w:spacing w:line="246" w:lineRule="auto"/>
              <w:rPr>
                <w:rFonts w:ascii="Arial"/>
                <w:sz w:val="21"/>
              </w:rPr>
            </w:pPr>
          </w:p>
          <w:p w14:paraId="6141D7FF">
            <w:pPr>
              <w:spacing w:line="246" w:lineRule="auto"/>
              <w:rPr>
                <w:rFonts w:ascii="Arial"/>
                <w:sz w:val="21"/>
              </w:rPr>
            </w:pPr>
          </w:p>
          <w:p w14:paraId="11EA93FF">
            <w:pPr>
              <w:spacing w:line="246" w:lineRule="auto"/>
              <w:rPr>
                <w:rFonts w:ascii="Arial"/>
                <w:sz w:val="21"/>
              </w:rPr>
            </w:pPr>
          </w:p>
          <w:p w14:paraId="2A1013C2">
            <w:pPr>
              <w:spacing w:line="246" w:lineRule="auto"/>
              <w:rPr>
                <w:rFonts w:ascii="Arial"/>
                <w:sz w:val="21"/>
              </w:rPr>
            </w:pPr>
          </w:p>
          <w:p w14:paraId="3BA1963E">
            <w:pPr>
              <w:spacing w:line="246" w:lineRule="auto"/>
              <w:rPr>
                <w:rFonts w:ascii="Arial"/>
                <w:sz w:val="21"/>
              </w:rPr>
            </w:pPr>
          </w:p>
          <w:p w14:paraId="71333049">
            <w:pPr>
              <w:spacing w:line="246" w:lineRule="auto"/>
              <w:rPr>
                <w:rFonts w:ascii="Arial"/>
                <w:sz w:val="21"/>
              </w:rPr>
            </w:pPr>
          </w:p>
          <w:p w14:paraId="630549E9">
            <w:pPr>
              <w:spacing w:line="246" w:lineRule="auto"/>
              <w:rPr>
                <w:rFonts w:ascii="Arial"/>
                <w:sz w:val="21"/>
              </w:rPr>
            </w:pPr>
          </w:p>
          <w:p w14:paraId="5378743E">
            <w:pPr>
              <w:spacing w:line="246" w:lineRule="auto"/>
              <w:rPr>
                <w:rFonts w:ascii="Arial"/>
                <w:sz w:val="21"/>
              </w:rPr>
            </w:pPr>
          </w:p>
          <w:p w14:paraId="1FC757B2">
            <w:pPr>
              <w:spacing w:line="246" w:lineRule="auto"/>
              <w:rPr>
                <w:rFonts w:ascii="Arial"/>
                <w:sz w:val="21"/>
              </w:rPr>
            </w:pPr>
          </w:p>
          <w:p w14:paraId="5E9AA548">
            <w:pPr>
              <w:spacing w:line="246" w:lineRule="auto"/>
              <w:rPr>
                <w:rFonts w:ascii="Arial"/>
                <w:sz w:val="21"/>
              </w:rPr>
            </w:pPr>
          </w:p>
          <w:p w14:paraId="6FE8B716">
            <w:pPr>
              <w:spacing w:line="246" w:lineRule="auto"/>
              <w:rPr>
                <w:rFonts w:ascii="Arial"/>
                <w:sz w:val="21"/>
              </w:rPr>
            </w:pPr>
          </w:p>
          <w:p w14:paraId="448537CA">
            <w:pPr>
              <w:spacing w:line="246" w:lineRule="auto"/>
              <w:rPr>
                <w:rFonts w:ascii="Arial"/>
                <w:sz w:val="21"/>
              </w:rPr>
            </w:pPr>
          </w:p>
          <w:p w14:paraId="0D133C52">
            <w:pPr>
              <w:spacing w:line="246" w:lineRule="auto"/>
              <w:rPr>
                <w:rFonts w:ascii="Arial"/>
                <w:sz w:val="21"/>
              </w:rPr>
            </w:pPr>
          </w:p>
          <w:p w14:paraId="189968C7">
            <w:pPr>
              <w:spacing w:line="246" w:lineRule="auto"/>
              <w:rPr>
                <w:rFonts w:ascii="Arial"/>
                <w:sz w:val="21"/>
              </w:rPr>
            </w:pPr>
          </w:p>
          <w:p w14:paraId="288B26ED">
            <w:pPr>
              <w:spacing w:line="246" w:lineRule="auto"/>
              <w:rPr>
                <w:rFonts w:ascii="Arial"/>
                <w:sz w:val="21"/>
              </w:rPr>
            </w:pPr>
          </w:p>
          <w:p w14:paraId="788CFF10">
            <w:pPr>
              <w:spacing w:line="246" w:lineRule="auto"/>
              <w:rPr>
                <w:rFonts w:ascii="Arial"/>
                <w:sz w:val="21"/>
              </w:rPr>
            </w:pPr>
          </w:p>
          <w:p w14:paraId="27ADA1AA">
            <w:pPr>
              <w:spacing w:line="247" w:lineRule="auto"/>
              <w:rPr>
                <w:rFonts w:ascii="Arial"/>
                <w:sz w:val="21"/>
              </w:rPr>
            </w:pPr>
          </w:p>
          <w:p w14:paraId="3AC7CCBD">
            <w:pPr>
              <w:spacing w:line="247" w:lineRule="auto"/>
              <w:rPr>
                <w:rFonts w:ascii="Arial"/>
                <w:sz w:val="21"/>
              </w:rPr>
            </w:pPr>
          </w:p>
          <w:p w14:paraId="363CE4BF">
            <w:pPr>
              <w:spacing w:line="247" w:lineRule="auto"/>
              <w:rPr>
                <w:rFonts w:ascii="Arial"/>
                <w:sz w:val="21"/>
              </w:rPr>
            </w:pPr>
          </w:p>
          <w:p w14:paraId="6547560C">
            <w:pPr>
              <w:spacing w:line="247" w:lineRule="auto"/>
              <w:rPr>
                <w:rFonts w:ascii="Arial"/>
                <w:sz w:val="21"/>
              </w:rPr>
            </w:pPr>
          </w:p>
          <w:p w14:paraId="40CBC211">
            <w:pPr>
              <w:spacing w:before="65" w:line="230" w:lineRule="auto"/>
              <w:ind w:left="170"/>
              <w:rPr>
                <w:rFonts w:ascii="仿宋" w:hAnsi="仿宋" w:eastAsia="仿宋" w:cs="仿宋"/>
                <w:sz w:val="20"/>
                <w:szCs w:val="20"/>
              </w:rPr>
            </w:pPr>
            <w:r>
              <w:rPr>
                <w:rFonts w:ascii="仿宋" w:hAnsi="仿宋" w:eastAsia="仿宋" w:cs="仿宋"/>
                <w:spacing w:val="1"/>
                <w:sz w:val="20"/>
                <w:szCs w:val="20"/>
              </w:rPr>
              <w:t>其他</w:t>
            </w:r>
          </w:p>
        </w:tc>
        <w:tc>
          <w:tcPr>
            <w:tcW w:w="7950" w:type="dxa"/>
            <w:gridSpan w:val="5"/>
            <w:tcBorders>
              <w:top w:val="single" w:color="000000" w:sz="6" w:space="0"/>
              <w:bottom w:val="single" w:color="000000" w:sz="10" w:space="0"/>
              <w:right w:val="single" w:color="000000" w:sz="6" w:space="0"/>
            </w:tcBorders>
            <w:vAlign w:val="top"/>
          </w:tcPr>
          <w:p w14:paraId="7E80F544">
            <w:pPr>
              <w:pStyle w:val="6"/>
              <w:spacing w:before="156" w:line="230" w:lineRule="auto"/>
              <w:ind w:left="536"/>
              <w:rPr>
                <w:rFonts w:ascii="仿宋" w:hAnsi="仿宋" w:eastAsia="仿宋" w:cs="仿宋"/>
                <w:sz w:val="20"/>
                <w:szCs w:val="20"/>
              </w:rPr>
            </w:pPr>
            <w:r>
              <w:rPr>
                <w:rFonts w:ascii="仿宋" w:hAnsi="仿宋" w:eastAsia="仿宋" w:cs="仿宋"/>
                <w:spacing w:val="4"/>
                <w:sz w:val="20"/>
                <w:szCs w:val="20"/>
              </w:rPr>
              <w:t>（</w:t>
            </w:r>
            <w:r>
              <w:rPr>
                <w:spacing w:val="4"/>
                <w:sz w:val="20"/>
                <w:szCs w:val="20"/>
              </w:rPr>
              <w:t>1</w:t>
            </w:r>
            <w:r>
              <w:rPr>
                <w:rFonts w:ascii="仿宋" w:hAnsi="仿宋" w:eastAsia="仿宋" w:cs="仿宋"/>
                <w:spacing w:val="4"/>
                <w:sz w:val="20"/>
                <w:szCs w:val="20"/>
              </w:rPr>
              <w:t>）“三同时</w:t>
            </w:r>
            <w:r>
              <w:rPr>
                <w:rFonts w:ascii="仿宋" w:hAnsi="仿宋" w:eastAsia="仿宋" w:cs="仿宋"/>
                <w:spacing w:val="-65"/>
                <w:sz w:val="20"/>
                <w:szCs w:val="20"/>
              </w:rPr>
              <w:t xml:space="preserve"> </w:t>
            </w:r>
            <w:r>
              <w:rPr>
                <w:rFonts w:ascii="仿宋" w:hAnsi="仿宋" w:eastAsia="仿宋" w:cs="仿宋"/>
                <w:spacing w:val="4"/>
                <w:sz w:val="20"/>
                <w:szCs w:val="20"/>
              </w:rPr>
              <w:t>”制度</w:t>
            </w:r>
          </w:p>
          <w:p w14:paraId="176F0409">
            <w:pPr>
              <w:spacing w:before="279" w:line="229" w:lineRule="auto"/>
              <w:ind w:left="533"/>
              <w:rPr>
                <w:rFonts w:ascii="仿宋" w:hAnsi="仿宋" w:eastAsia="仿宋" w:cs="仿宋"/>
                <w:sz w:val="20"/>
                <w:szCs w:val="20"/>
              </w:rPr>
            </w:pPr>
            <w:r>
              <w:rPr>
                <w:rFonts w:ascii="仿宋" w:hAnsi="仿宋" w:eastAsia="仿宋" w:cs="仿宋"/>
                <w:spacing w:val="9"/>
                <w:sz w:val="20"/>
                <w:szCs w:val="20"/>
              </w:rPr>
              <w:t>本项目施工期和运营期，建设单位应严格执行三同时制度。</w:t>
            </w:r>
          </w:p>
          <w:p w14:paraId="25415399">
            <w:pPr>
              <w:pStyle w:val="6"/>
              <w:spacing w:before="159" w:line="231" w:lineRule="auto"/>
              <w:ind w:left="1604"/>
              <w:rPr>
                <w:rFonts w:ascii="仿宋" w:hAnsi="仿宋" w:eastAsia="仿宋" w:cs="仿宋"/>
                <w:sz w:val="20"/>
                <w:szCs w:val="20"/>
              </w:rPr>
            </w:pPr>
            <w:r>
              <w:rPr>
                <w:rFonts w:ascii="仿宋" w:hAnsi="仿宋" w:eastAsia="仿宋" w:cs="仿宋"/>
                <w:b/>
                <w:bCs/>
                <w:spacing w:val="5"/>
                <w:sz w:val="20"/>
                <w:szCs w:val="20"/>
              </w:rPr>
              <w:t>表</w:t>
            </w:r>
            <w:r>
              <w:rPr>
                <w:rFonts w:ascii="仿宋" w:hAnsi="仿宋" w:eastAsia="仿宋" w:cs="仿宋"/>
                <w:spacing w:val="-30"/>
                <w:sz w:val="20"/>
                <w:szCs w:val="20"/>
              </w:rPr>
              <w:t xml:space="preserve"> </w:t>
            </w:r>
            <w:r>
              <w:rPr>
                <w:b/>
                <w:bCs/>
                <w:spacing w:val="5"/>
                <w:sz w:val="20"/>
                <w:szCs w:val="20"/>
              </w:rPr>
              <w:t xml:space="preserve">5-3    </w:t>
            </w:r>
            <w:r>
              <w:rPr>
                <w:rFonts w:ascii="仿宋" w:hAnsi="仿宋" w:eastAsia="仿宋" w:cs="仿宋"/>
                <w:b/>
                <w:bCs/>
                <w:spacing w:val="5"/>
                <w:sz w:val="20"/>
                <w:szCs w:val="20"/>
              </w:rPr>
              <w:t>本项目施工期和运营期</w:t>
            </w:r>
            <w:r>
              <w:rPr>
                <w:b/>
                <w:bCs/>
                <w:spacing w:val="5"/>
                <w:sz w:val="20"/>
                <w:szCs w:val="20"/>
              </w:rPr>
              <w:t>“</w:t>
            </w:r>
            <w:r>
              <w:rPr>
                <w:b/>
                <w:bCs/>
                <w:spacing w:val="-29"/>
                <w:sz w:val="20"/>
                <w:szCs w:val="20"/>
              </w:rPr>
              <w:t xml:space="preserve"> </w:t>
            </w:r>
            <w:r>
              <w:rPr>
                <w:rFonts w:ascii="仿宋" w:hAnsi="仿宋" w:eastAsia="仿宋" w:cs="仿宋"/>
                <w:b/>
                <w:bCs/>
                <w:spacing w:val="5"/>
                <w:sz w:val="20"/>
                <w:szCs w:val="20"/>
              </w:rPr>
              <w:t>三同时</w:t>
            </w:r>
            <w:r>
              <w:rPr>
                <w:b/>
                <w:bCs/>
                <w:spacing w:val="5"/>
                <w:sz w:val="20"/>
                <w:szCs w:val="20"/>
              </w:rPr>
              <w:t>”</w:t>
            </w:r>
            <w:r>
              <w:rPr>
                <w:rFonts w:ascii="仿宋" w:hAnsi="仿宋" w:eastAsia="仿宋" w:cs="仿宋"/>
                <w:b/>
                <w:bCs/>
                <w:spacing w:val="5"/>
                <w:sz w:val="20"/>
                <w:szCs w:val="20"/>
              </w:rPr>
              <w:t>验收一览表</w:t>
            </w:r>
          </w:p>
        </w:tc>
      </w:tr>
      <w:tr w14:paraId="44C95D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7" w:hRule="atLeast"/>
        </w:trPr>
        <w:tc>
          <w:tcPr>
            <w:tcW w:w="748" w:type="dxa"/>
            <w:vMerge w:val="continue"/>
            <w:tcBorders>
              <w:top w:val="nil"/>
              <w:left w:val="single" w:color="000000" w:sz="6" w:space="0"/>
              <w:bottom w:val="nil"/>
            </w:tcBorders>
            <w:vAlign w:val="top"/>
          </w:tcPr>
          <w:p w14:paraId="1DA711C0">
            <w:pPr>
              <w:rPr>
                <w:rFonts w:ascii="Arial"/>
                <w:sz w:val="21"/>
              </w:rPr>
            </w:pPr>
          </w:p>
        </w:tc>
        <w:tc>
          <w:tcPr>
            <w:tcW w:w="387" w:type="dxa"/>
            <w:tcBorders>
              <w:top w:val="single" w:color="000000" w:sz="10" w:space="0"/>
            </w:tcBorders>
            <w:textDirection w:val="tbRlV"/>
            <w:vAlign w:val="top"/>
          </w:tcPr>
          <w:p w14:paraId="40ED8761">
            <w:pPr>
              <w:spacing w:before="55" w:line="202" w:lineRule="auto"/>
              <w:ind w:left="19"/>
              <w:rPr>
                <w:rFonts w:ascii="仿宋" w:hAnsi="仿宋" w:eastAsia="仿宋" w:cs="仿宋"/>
                <w:sz w:val="18"/>
                <w:szCs w:val="18"/>
              </w:rPr>
            </w:pPr>
            <w:r>
              <w:rPr>
                <w:rFonts w:ascii="仿宋" w:hAnsi="仿宋" w:eastAsia="仿宋" w:cs="仿宋"/>
                <w:spacing w:val="40"/>
                <w:sz w:val="18"/>
                <w:szCs w:val="18"/>
              </w:rPr>
              <w:t>环境要素</w:t>
            </w:r>
          </w:p>
        </w:tc>
        <w:tc>
          <w:tcPr>
            <w:tcW w:w="596" w:type="dxa"/>
            <w:tcBorders>
              <w:top w:val="single" w:color="000000" w:sz="10" w:space="0"/>
            </w:tcBorders>
            <w:vAlign w:val="top"/>
          </w:tcPr>
          <w:p w14:paraId="333C9A38">
            <w:pPr>
              <w:spacing w:line="306" w:lineRule="auto"/>
              <w:rPr>
                <w:rFonts w:ascii="Arial"/>
                <w:sz w:val="21"/>
              </w:rPr>
            </w:pPr>
          </w:p>
          <w:p w14:paraId="5611EE77">
            <w:pPr>
              <w:spacing w:before="58" w:line="222" w:lineRule="auto"/>
              <w:ind w:left="134"/>
              <w:rPr>
                <w:rFonts w:ascii="仿宋" w:hAnsi="仿宋" w:eastAsia="仿宋" w:cs="仿宋"/>
                <w:sz w:val="18"/>
                <w:szCs w:val="18"/>
              </w:rPr>
            </w:pPr>
            <w:r>
              <w:rPr>
                <w:rFonts w:ascii="仿宋" w:hAnsi="仿宋" w:eastAsia="仿宋" w:cs="仿宋"/>
                <w:spacing w:val="-13"/>
                <w:sz w:val="18"/>
                <w:szCs w:val="18"/>
              </w:rPr>
              <w:t>阶段</w:t>
            </w:r>
          </w:p>
        </w:tc>
        <w:tc>
          <w:tcPr>
            <w:tcW w:w="2875" w:type="dxa"/>
            <w:tcBorders>
              <w:top w:val="single" w:color="000000" w:sz="10" w:space="0"/>
            </w:tcBorders>
            <w:vAlign w:val="top"/>
          </w:tcPr>
          <w:p w14:paraId="0DBBE384">
            <w:pPr>
              <w:spacing w:line="306" w:lineRule="auto"/>
              <w:rPr>
                <w:rFonts w:ascii="Arial"/>
                <w:sz w:val="21"/>
              </w:rPr>
            </w:pPr>
          </w:p>
          <w:p w14:paraId="356742F6">
            <w:pPr>
              <w:spacing w:before="59" w:line="221" w:lineRule="auto"/>
              <w:ind w:left="814"/>
              <w:rPr>
                <w:rFonts w:ascii="仿宋" w:hAnsi="仿宋" w:eastAsia="仿宋" w:cs="仿宋"/>
                <w:sz w:val="18"/>
                <w:szCs w:val="18"/>
              </w:rPr>
            </w:pPr>
            <w:r>
              <w:rPr>
                <w:rFonts w:ascii="仿宋" w:hAnsi="仿宋" w:eastAsia="仿宋" w:cs="仿宋"/>
                <w:spacing w:val="-2"/>
                <w:sz w:val="18"/>
                <w:szCs w:val="18"/>
              </w:rPr>
              <w:t>环保设施及措施</w:t>
            </w:r>
          </w:p>
        </w:tc>
        <w:tc>
          <w:tcPr>
            <w:tcW w:w="2936" w:type="dxa"/>
            <w:tcBorders>
              <w:top w:val="single" w:color="000000" w:sz="10" w:space="0"/>
            </w:tcBorders>
            <w:vAlign w:val="top"/>
          </w:tcPr>
          <w:p w14:paraId="0A842E61">
            <w:pPr>
              <w:spacing w:line="307" w:lineRule="auto"/>
              <w:rPr>
                <w:rFonts w:ascii="Arial"/>
                <w:sz w:val="21"/>
              </w:rPr>
            </w:pPr>
          </w:p>
          <w:p w14:paraId="3EAC9870">
            <w:pPr>
              <w:spacing w:before="58" w:line="222" w:lineRule="auto"/>
              <w:ind w:left="1118"/>
              <w:rPr>
                <w:rFonts w:ascii="仿宋" w:hAnsi="仿宋" w:eastAsia="仿宋" w:cs="仿宋"/>
                <w:sz w:val="18"/>
                <w:szCs w:val="18"/>
              </w:rPr>
            </w:pPr>
            <w:r>
              <w:rPr>
                <w:rFonts w:ascii="仿宋" w:hAnsi="仿宋" w:eastAsia="仿宋" w:cs="仿宋"/>
                <w:spacing w:val="-3"/>
                <w:sz w:val="18"/>
                <w:szCs w:val="18"/>
              </w:rPr>
              <w:t>验收内容</w:t>
            </w:r>
          </w:p>
        </w:tc>
        <w:tc>
          <w:tcPr>
            <w:tcW w:w="1156" w:type="dxa"/>
            <w:tcBorders>
              <w:top w:val="single" w:color="000000" w:sz="10" w:space="0"/>
              <w:right w:val="single" w:color="000000" w:sz="6" w:space="0"/>
            </w:tcBorders>
            <w:vAlign w:val="top"/>
          </w:tcPr>
          <w:p w14:paraId="22042F9B">
            <w:pPr>
              <w:spacing w:line="307" w:lineRule="auto"/>
              <w:rPr>
                <w:rFonts w:ascii="Arial"/>
                <w:sz w:val="21"/>
              </w:rPr>
            </w:pPr>
          </w:p>
          <w:p w14:paraId="3198DAE4">
            <w:pPr>
              <w:spacing w:before="58" w:line="222" w:lineRule="auto"/>
              <w:ind w:left="177"/>
              <w:rPr>
                <w:rFonts w:ascii="仿宋" w:hAnsi="仿宋" w:eastAsia="仿宋" w:cs="仿宋"/>
                <w:sz w:val="18"/>
                <w:szCs w:val="18"/>
              </w:rPr>
            </w:pPr>
            <w:r>
              <w:rPr>
                <w:rFonts w:ascii="仿宋" w:hAnsi="仿宋" w:eastAsia="仿宋" w:cs="仿宋"/>
                <w:spacing w:val="-3"/>
                <w:sz w:val="18"/>
                <w:szCs w:val="18"/>
              </w:rPr>
              <w:t>验收标准</w:t>
            </w:r>
          </w:p>
        </w:tc>
      </w:tr>
      <w:tr w14:paraId="1CBE74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1" w:hRule="atLeast"/>
        </w:trPr>
        <w:tc>
          <w:tcPr>
            <w:tcW w:w="748" w:type="dxa"/>
            <w:vMerge w:val="continue"/>
            <w:tcBorders>
              <w:top w:val="nil"/>
              <w:left w:val="single" w:color="000000" w:sz="6" w:space="0"/>
              <w:bottom w:val="nil"/>
            </w:tcBorders>
            <w:vAlign w:val="top"/>
          </w:tcPr>
          <w:p w14:paraId="76359886">
            <w:pPr>
              <w:rPr>
                <w:rFonts w:ascii="Arial"/>
                <w:sz w:val="21"/>
              </w:rPr>
            </w:pPr>
          </w:p>
        </w:tc>
        <w:tc>
          <w:tcPr>
            <w:tcW w:w="387" w:type="dxa"/>
            <w:vMerge w:val="restart"/>
            <w:tcBorders>
              <w:bottom w:val="nil"/>
            </w:tcBorders>
            <w:textDirection w:val="tbRlV"/>
            <w:vAlign w:val="top"/>
          </w:tcPr>
          <w:p w14:paraId="242D3EBD">
            <w:pPr>
              <w:spacing w:before="55" w:line="202" w:lineRule="auto"/>
              <w:ind w:left="1319"/>
              <w:rPr>
                <w:rFonts w:ascii="仿宋" w:hAnsi="仿宋" w:eastAsia="仿宋" w:cs="仿宋"/>
                <w:sz w:val="18"/>
                <w:szCs w:val="18"/>
              </w:rPr>
            </w:pPr>
            <w:r>
              <w:rPr>
                <w:rFonts w:ascii="仿宋" w:hAnsi="仿宋" w:eastAsia="仿宋" w:cs="仿宋"/>
                <w:spacing w:val="28"/>
                <w:sz w:val="18"/>
                <w:szCs w:val="18"/>
              </w:rPr>
              <w:t>废气</w:t>
            </w:r>
          </w:p>
        </w:tc>
        <w:tc>
          <w:tcPr>
            <w:tcW w:w="596" w:type="dxa"/>
            <w:vAlign w:val="top"/>
          </w:tcPr>
          <w:p w14:paraId="33C3D449">
            <w:pPr>
              <w:spacing w:line="261" w:lineRule="auto"/>
              <w:rPr>
                <w:rFonts w:ascii="Arial"/>
                <w:sz w:val="21"/>
              </w:rPr>
            </w:pPr>
          </w:p>
          <w:p w14:paraId="5B69BFBE">
            <w:pPr>
              <w:spacing w:line="261" w:lineRule="auto"/>
              <w:rPr>
                <w:rFonts w:ascii="Arial"/>
                <w:sz w:val="21"/>
              </w:rPr>
            </w:pPr>
          </w:p>
          <w:p w14:paraId="51BA4027">
            <w:pPr>
              <w:spacing w:line="261" w:lineRule="auto"/>
              <w:rPr>
                <w:rFonts w:ascii="Arial"/>
                <w:sz w:val="21"/>
              </w:rPr>
            </w:pPr>
          </w:p>
          <w:p w14:paraId="0251B937">
            <w:pPr>
              <w:spacing w:before="58" w:line="223" w:lineRule="auto"/>
              <w:ind w:left="32"/>
              <w:rPr>
                <w:rFonts w:ascii="仿宋" w:hAnsi="仿宋" w:eastAsia="仿宋" w:cs="仿宋"/>
                <w:sz w:val="18"/>
                <w:szCs w:val="18"/>
              </w:rPr>
            </w:pPr>
            <w:r>
              <w:rPr>
                <w:rFonts w:ascii="仿宋" w:hAnsi="仿宋" w:eastAsia="仿宋" w:cs="仿宋"/>
                <w:spacing w:val="-4"/>
                <w:sz w:val="18"/>
                <w:szCs w:val="18"/>
              </w:rPr>
              <w:t>施工期</w:t>
            </w:r>
          </w:p>
        </w:tc>
        <w:tc>
          <w:tcPr>
            <w:tcW w:w="2875" w:type="dxa"/>
            <w:vAlign w:val="top"/>
          </w:tcPr>
          <w:p w14:paraId="6506AEA2">
            <w:pPr>
              <w:spacing w:before="30" w:line="220" w:lineRule="auto"/>
              <w:ind w:right="1"/>
              <w:jc w:val="right"/>
              <w:rPr>
                <w:rFonts w:ascii="仿宋" w:hAnsi="仿宋" w:eastAsia="仿宋" w:cs="仿宋"/>
                <w:sz w:val="18"/>
                <w:szCs w:val="18"/>
              </w:rPr>
            </w:pPr>
            <w:r>
              <w:rPr>
                <w:rFonts w:ascii="仿宋" w:hAnsi="仿宋" w:eastAsia="仿宋" w:cs="仿宋"/>
                <w:spacing w:val="-2"/>
                <w:sz w:val="18"/>
                <w:szCs w:val="18"/>
              </w:rPr>
              <w:t>加强施工管理，运输易起尘的材料应</w:t>
            </w:r>
          </w:p>
          <w:p w14:paraId="3C492EA5">
            <w:pPr>
              <w:spacing w:before="18" w:line="220" w:lineRule="auto"/>
              <w:ind w:right="1"/>
              <w:jc w:val="right"/>
              <w:rPr>
                <w:rFonts w:ascii="仿宋" w:hAnsi="仿宋" w:eastAsia="仿宋" w:cs="仿宋"/>
                <w:sz w:val="18"/>
                <w:szCs w:val="18"/>
              </w:rPr>
            </w:pPr>
            <w:r>
              <w:rPr>
                <w:rFonts w:ascii="仿宋" w:hAnsi="仿宋" w:eastAsia="仿宋" w:cs="仿宋"/>
                <w:spacing w:val="-2"/>
                <w:sz w:val="18"/>
                <w:szCs w:val="18"/>
              </w:rPr>
              <w:t>加盖苫布覆盖，保持施工运输道路的</w:t>
            </w:r>
          </w:p>
          <w:p w14:paraId="23FEA11E">
            <w:pPr>
              <w:spacing w:before="18" w:line="219" w:lineRule="auto"/>
              <w:ind w:right="1"/>
              <w:jc w:val="right"/>
              <w:rPr>
                <w:rFonts w:ascii="仿宋" w:hAnsi="仿宋" w:eastAsia="仿宋" w:cs="仿宋"/>
                <w:sz w:val="18"/>
                <w:szCs w:val="18"/>
              </w:rPr>
            </w:pPr>
            <w:r>
              <w:rPr>
                <w:rFonts w:ascii="仿宋" w:hAnsi="仿宋" w:eastAsia="仿宋" w:cs="仿宋"/>
                <w:spacing w:val="-2"/>
                <w:sz w:val="18"/>
                <w:szCs w:val="18"/>
              </w:rPr>
              <w:t>清洁，定期洒水降尘，避免在大风季</w:t>
            </w:r>
          </w:p>
          <w:p w14:paraId="7F921EAD">
            <w:pPr>
              <w:spacing w:before="21" w:line="221" w:lineRule="auto"/>
              <w:ind w:right="1"/>
              <w:jc w:val="right"/>
              <w:rPr>
                <w:rFonts w:ascii="仿宋" w:hAnsi="仿宋" w:eastAsia="仿宋" w:cs="仿宋"/>
                <w:sz w:val="18"/>
                <w:szCs w:val="18"/>
              </w:rPr>
            </w:pPr>
            <w:r>
              <w:rPr>
                <w:rFonts w:ascii="仿宋" w:hAnsi="仿宋" w:eastAsia="仿宋" w:cs="仿宋"/>
                <w:spacing w:val="-2"/>
                <w:sz w:val="18"/>
                <w:szCs w:val="18"/>
              </w:rPr>
              <w:t>节进行扬尘较大的施工工序。严禁尾</w:t>
            </w:r>
          </w:p>
          <w:p w14:paraId="07DCE63E">
            <w:pPr>
              <w:spacing w:before="17" w:line="219" w:lineRule="auto"/>
              <w:ind w:left="101"/>
              <w:rPr>
                <w:rFonts w:ascii="仿宋" w:hAnsi="仿宋" w:eastAsia="仿宋" w:cs="仿宋"/>
                <w:sz w:val="18"/>
                <w:szCs w:val="18"/>
              </w:rPr>
            </w:pPr>
            <w:r>
              <w:rPr>
                <w:rFonts w:ascii="仿宋" w:hAnsi="仿宋" w:eastAsia="仿宋" w:cs="仿宋"/>
                <w:spacing w:val="-2"/>
                <w:sz w:val="18"/>
                <w:szCs w:val="18"/>
              </w:rPr>
              <w:t>气超标车辆上路，加强对道路的养</w:t>
            </w:r>
          </w:p>
          <w:p w14:paraId="712D3D2A">
            <w:pPr>
              <w:spacing w:before="19" w:line="219" w:lineRule="auto"/>
              <w:ind w:right="1"/>
              <w:jc w:val="right"/>
              <w:rPr>
                <w:rFonts w:ascii="仿宋" w:hAnsi="仿宋" w:eastAsia="仿宋" w:cs="仿宋"/>
                <w:sz w:val="18"/>
                <w:szCs w:val="18"/>
              </w:rPr>
            </w:pPr>
            <w:r>
              <w:rPr>
                <w:rFonts w:ascii="仿宋" w:hAnsi="仿宋" w:eastAsia="仿宋" w:cs="仿宋"/>
                <w:spacing w:val="-2"/>
                <w:sz w:val="18"/>
                <w:szCs w:val="18"/>
              </w:rPr>
              <w:t>护；禁止车况差、超载、装卸物品遮</w:t>
            </w:r>
          </w:p>
          <w:p w14:paraId="597805A3">
            <w:pPr>
              <w:spacing w:before="19" w:line="219" w:lineRule="auto"/>
              <w:ind w:right="1"/>
              <w:jc w:val="right"/>
              <w:rPr>
                <w:rFonts w:ascii="仿宋" w:hAnsi="仿宋" w:eastAsia="仿宋" w:cs="仿宋"/>
                <w:sz w:val="18"/>
                <w:szCs w:val="18"/>
              </w:rPr>
            </w:pPr>
            <w:r>
              <w:rPr>
                <w:rFonts w:ascii="仿宋" w:hAnsi="仿宋" w:eastAsia="仿宋" w:cs="仿宋"/>
                <w:spacing w:val="-2"/>
                <w:sz w:val="18"/>
                <w:szCs w:val="18"/>
              </w:rPr>
              <w:t>盖不严容易洒落的车辆上路，减少车</w:t>
            </w:r>
          </w:p>
          <w:p w14:paraId="7C6AAF35">
            <w:pPr>
              <w:spacing w:before="22" w:line="201" w:lineRule="auto"/>
              <w:ind w:left="725"/>
              <w:rPr>
                <w:rFonts w:ascii="仿宋" w:hAnsi="仿宋" w:eastAsia="仿宋" w:cs="仿宋"/>
                <w:sz w:val="18"/>
                <w:szCs w:val="18"/>
              </w:rPr>
            </w:pPr>
            <w:r>
              <w:rPr>
                <w:rFonts w:ascii="仿宋" w:hAnsi="仿宋" w:eastAsia="仿宋" w:cs="仿宋"/>
                <w:spacing w:val="-2"/>
                <w:sz w:val="18"/>
                <w:szCs w:val="18"/>
              </w:rPr>
              <w:t>辆滞速怠速状态。</w:t>
            </w:r>
          </w:p>
        </w:tc>
        <w:tc>
          <w:tcPr>
            <w:tcW w:w="2936" w:type="dxa"/>
            <w:vAlign w:val="top"/>
          </w:tcPr>
          <w:p w14:paraId="754BC6C4">
            <w:pPr>
              <w:spacing w:line="261" w:lineRule="auto"/>
              <w:rPr>
                <w:rFonts w:ascii="Arial"/>
                <w:sz w:val="21"/>
              </w:rPr>
            </w:pPr>
          </w:p>
          <w:p w14:paraId="57CC98B7">
            <w:pPr>
              <w:spacing w:line="261" w:lineRule="auto"/>
              <w:rPr>
                <w:rFonts w:ascii="Arial"/>
                <w:sz w:val="21"/>
              </w:rPr>
            </w:pPr>
          </w:p>
          <w:p w14:paraId="4550B2AC">
            <w:pPr>
              <w:spacing w:line="261" w:lineRule="auto"/>
              <w:rPr>
                <w:rFonts w:ascii="Arial"/>
                <w:sz w:val="21"/>
              </w:rPr>
            </w:pPr>
          </w:p>
          <w:p w14:paraId="6F29F361">
            <w:pPr>
              <w:spacing w:before="58" w:line="219" w:lineRule="auto"/>
              <w:ind w:left="40"/>
              <w:rPr>
                <w:rFonts w:ascii="仿宋" w:hAnsi="仿宋" w:eastAsia="仿宋" w:cs="仿宋"/>
                <w:sz w:val="18"/>
                <w:szCs w:val="18"/>
              </w:rPr>
            </w:pPr>
            <w:r>
              <w:rPr>
                <w:rFonts w:ascii="仿宋" w:hAnsi="仿宋" w:eastAsia="仿宋" w:cs="仿宋"/>
                <w:spacing w:val="-1"/>
                <w:sz w:val="18"/>
                <w:szCs w:val="18"/>
              </w:rPr>
              <w:t>运输道路清洁，运输车辆无违规违章</w:t>
            </w:r>
          </w:p>
        </w:tc>
        <w:tc>
          <w:tcPr>
            <w:tcW w:w="1156" w:type="dxa"/>
            <w:tcBorders>
              <w:right w:val="single" w:color="000000" w:sz="6" w:space="0"/>
            </w:tcBorders>
            <w:vAlign w:val="top"/>
          </w:tcPr>
          <w:p w14:paraId="15AACCA3">
            <w:pPr>
              <w:spacing w:line="272" w:lineRule="auto"/>
              <w:rPr>
                <w:rFonts w:ascii="Arial"/>
                <w:sz w:val="21"/>
              </w:rPr>
            </w:pPr>
          </w:p>
          <w:p w14:paraId="6C4CA0E0">
            <w:pPr>
              <w:spacing w:line="272" w:lineRule="auto"/>
              <w:rPr>
                <w:rFonts w:ascii="Arial"/>
                <w:sz w:val="21"/>
              </w:rPr>
            </w:pPr>
          </w:p>
          <w:p w14:paraId="1C050AA0">
            <w:pPr>
              <w:spacing w:line="273" w:lineRule="auto"/>
              <w:rPr>
                <w:rFonts w:ascii="Arial"/>
                <w:sz w:val="21"/>
              </w:rPr>
            </w:pPr>
          </w:p>
          <w:p w14:paraId="1963BAF1">
            <w:pPr>
              <w:pStyle w:val="6"/>
              <w:spacing w:before="52" w:line="192" w:lineRule="auto"/>
              <w:ind w:left="499"/>
            </w:pPr>
            <w:r>
              <w:t>/</w:t>
            </w:r>
          </w:p>
        </w:tc>
      </w:tr>
      <w:tr w14:paraId="6A9FED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1" w:hRule="atLeast"/>
        </w:trPr>
        <w:tc>
          <w:tcPr>
            <w:tcW w:w="748" w:type="dxa"/>
            <w:vMerge w:val="continue"/>
            <w:tcBorders>
              <w:top w:val="nil"/>
              <w:left w:val="single" w:color="000000" w:sz="6" w:space="0"/>
              <w:bottom w:val="nil"/>
            </w:tcBorders>
            <w:vAlign w:val="top"/>
          </w:tcPr>
          <w:p w14:paraId="0DE5BCE0">
            <w:pPr>
              <w:rPr>
                <w:rFonts w:ascii="Arial"/>
                <w:sz w:val="21"/>
              </w:rPr>
            </w:pPr>
          </w:p>
        </w:tc>
        <w:tc>
          <w:tcPr>
            <w:tcW w:w="387" w:type="dxa"/>
            <w:vMerge w:val="continue"/>
            <w:tcBorders>
              <w:top w:val="nil"/>
            </w:tcBorders>
            <w:textDirection w:val="tbRlV"/>
            <w:vAlign w:val="top"/>
          </w:tcPr>
          <w:p w14:paraId="446A4FC6">
            <w:pPr>
              <w:rPr>
                <w:rFonts w:ascii="Arial"/>
                <w:sz w:val="21"/>
              </w:rPr>
            </w:pPr>
          </w:p>
        </w:tc>
        <w:tc>
          <w:tcPr>
            <w:tcW w:w="596" w:type="dxa"/>
            <w:vAlign w:val="top"/>
          </w:tcPr>
          <w:p w14:paraId="41B614A0">
            <w:pPr>
              <w:spacing w:line="435" w:lineRule="auto"/>
              <w:rPr>
                <w:rFonts w:ascii="Arial"/>
                <w:sz w:val="21"/>
              </w:rPr>
            </w:pPr>
          </w:p>
          <w:p w14:paraId="56043346">
            <w:pPr>
              <w:spacing w:before="59" w:line="223" w:lineRule="auto"/>
              <w:ind w:left="34"/>
              <w:rPr>
                <w:rFonts w:ascii="仿宋" w:hAnsi="仿宋" w:eastAsia="仿宋" w:cs="仿宋"/>
                <w:sz w:val="18"/>
                <w:szCs w:val="18"/>
              </w:rPr>
            </w:pPr>
            <w:r>
              <w:rPr>
                <w:rFonts w:ascii="仿宋" w:hAnsi="仿宋" w:eastAsia="仿宋" w:cs="仿宋"/>
                <w:spacing w:val="-5"/>
                <w:sz w:val="18"/>
                <w:szCs w:val="18"/>
              </w:rPr>
              <w:t>运营期</w:t>
            </w:r>
          </w:p>
        </w:tc>
        <w:tc>
          <w:tcPr>
            <w:tcW w:w="2875" w:type="dxa"/>
            <w:vAlign w:val="top"/>
          </w:tcPr>
          <w:p w14:paraId="1130B49D">
            <w:pPr>
              <w:spacing w:before="31" w:line="219" w:lineRule="auto"/>
              <w:ind w:left="98"/>
              <w:rPr>
                <w:rFonts w:ascii="仿宋" w:hAnsi="仿宋" w:eastAsia="仿宋" w:cs="仿宋"/>
                <w:sz w:val="18"/>
                <w:szCs w:val="18"/>
              </w:rPr>
            </w:pPr>
            <w:r>
              <w:rPr>
                <w:rFonts w:ascii="仿宋" w:hAnsi="仿宋" w:eastAsia="仿宋" w:cs="仿宋"/>
                <w:spacing w:val="-2"/>
                <w:sz w:val="18"/>
                <w:szCs w:val="18"/>
              </w:rPr>
              <w:t>车辆行驶造成的扬尘及排放的汽车</w:t>
            </w:r>
          </w:p>
          <w:p w14:paraId="65BC5DE8">
            <w:pPr>
              <w:spacing w:before="19" w:line="222" w:lineRule="auto"/>
              <w:jc w:val="right"/>
              <w:rPr>
                <w:rFonts w:ascii="仿宋" w:hAnsi="仿宋" w:eastAsia="仿宋" w:cs="仿宋"/>
                <w:sz w:val="18"/>
                <w:szCs w:val="18"/>
              </w:rPr>
            </w:pPr>
            <w:r>
              <w:rPr>
                <w:rFonts w:ascii="仿宋" w:hAnsi="仿宋" w:eastAsia="仿宋" w:cs="仿宋"/>
                <w:spacing w:val="-2"/>
                <w:sz w:val="18"/>
                <w:szCs w:val="18"/>
              </w:rPr>
              <w:t>尾气，通过采用水泥混凝土路面、未</w:t>
            </w:r>
          </w:p>
          <w:p w14:paraId="09DA620C">
            <w:pPr>
              <w:spacing w:before="15" w:line="221" w:lineRule="auto"/>
              <w:ind w:right="1"/>
              <w:jc w:val="right"/>
              <w:rPr>
                <w:rFonts w:ascii="仿宋" w:hAnsi="仿宋" w:eastAsia="仿宋" w:cs="仿宋"/>
                <w:sz w:val="18"/>
                <w:szCs w:val="18"/>
              </w:rPr>
            </w:pPr>
            <w:r>
              <w:rPr>
                <w:rFonts w:ascii="仿宋" w:hAnsi="仿宋" w:eastAsia="仿宋" w:cs="仿宋"/>
                <w:spacing w:val="-2"/>
                <w:sz w:val="18"/>
                <w:szCs w:val="18"/>
              </w:rPr>
              <w:t>筛分碎石路面进行有效压实等，道路</w:t>
            </w:r>
          </w:p>
          <w:p w14:paraId="1F1D53CD">
            <w:pPr>
              <w:spacing w:before="19" w:line="221" w:lineRule="auto"/>
              <w:ind w:right="1"/>
              <w:jc w:val="right"/>
              <w:rPr>
                <w:rFonts w:ascii="仿宋" w:hAnsi="仿宋" w:eastAsia="仿宋" w:cs="仿宋"/>
                <w:sz w:val="18"/>
                <w:szCs w:val="18"/>
              </w:rPr>
            </w:pPr>
            <w:r>
              <w:rPr>
                <w:rFonts w:ascii="仿宋" w:hAnsi="仿宋" w:eastAsia="仿宋" w:cs="仿宋"/>
                <w:spacing w:val="-2"/>
                <w:sz w:val="18"/>
                <w:szCs w:val="18"/>
              </w:rPr>
              <w:t>定期养护。加强路线两侧绿化，增强</w:t>
            </w:r>
          </w:p>
          <w:p w14:paraId="5C0E89E5">
            <w:pPr>
              <w:spacing w:before="18" w:line="201" w:lineRule="auto"/>
              <w:ind w:left="453"/>
              <w:rPr>
                <w:rFonts w:ascii="仿宋" w:hAnsi="仿宋" w:eastAsia="仿宋" w:cs="仿宋"/>
                <w:sz w:val="18"/>
                <w:szCs w:val="18"/>
              </w:rPr>
            </w:pPr>
            <w:r>
              <w:rPr>
                <w:rFonts w:ascii="仿宋" w:hAnsi="仿宋" w:eastAsia="仿宋" w:cs="仿宋"/>
                <w:spacing w:val="-2"/>
                <w:sz w:val="18"/>
                <w:szCs w:val="18"/>
              </w:rPr>
              <w:t>植被对扬尘的吸附作用。</w:t>
            </w:r>
          </w:p>
        </w:tc>
        <w:tc>
          <w:tcPr>
            <w:tcW w:w="2936" w:type="dxa"/>
            <w:vAlign w:val="top"/>
          </w:tcPr>
          <w:p w14:paraId="6855FE70">
            <w:pPr>
              <w:spacing w:line="435" w:lineRule="auto"/>
              <w:rPr>
                <w:rFonts w:ascii="Arial"/>
                <w:sz w:val="21"/>
              </w:rPr>
            </w:pPr>
          </w:p>
          <w:p w14:paraId="5F5113C8">
            <w:pPr>
              <w:spacing w:before="59" w:line="222" w:lineRule="auto"/>
              <w:ind w:left="852"/>
              <w:rPr>
                <w:rFonts w:ascii="仿宋" w:hAnsi="仿宋" w:eastAsia="仿宋" w:cs="仿宋"/>
                <w:sz w:val="18"/>
                <w:szCs w:val="18"/>
              </w:rPr>
            </w:pPr>
            <w:r>
              <w:rPr>
                <w:rFonts w:ascii="仿宋" w:hAnsi="仿宋" w:eastAsia="仿宋" w:cs="仿宋"/>
                <w:spacing w:val="-3"/>
                <w:sz w:val="18"/>
                <w:szCs w:val="18"/>
              </w:rPr>
              <w:t>无明显扬尘污染</w:t>
            </w:r>
          </w:p>
        </w:tc>
        <w:tc>
          <w:tcPr>
            <w:tcW w:w="1156" w:type="dxa"/>
            <w:tcBorders>
              <w:right w:val="single" w:color="000000" w:sz="6" w:space="0"/>
            </w:tcBorders>
            <w:vAlign w:val="top"/>
          </w:tcPr>
          <w:p w14:paraId="2A683E48">
            <w:pPr>
              <w:spacing w:line="469" w:lineRule="auto"/>
              <w:rPr>
                <w:rFonts w:ascii="Arial"/>
                <w:sz w:val="21"/>
              </w:rPr>
            </w:pPr>
          </w:p>
          <w:p w14:paraId="31F7FE63">
            <w:pPr>
              <w:pStyle w:val="6"/>
              <w:spacing w:before="52" w:line="192" w:lineRule="auto"/>
              <w:ind w:left="499"/>
            </w:pPr>
            <w:r>
              <w:t>/</w:t>
            </w:r>
          </w:p>
        </w:tc>
      </w:tr>
      <w:tr w14:paraId="2F38F9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1" w:hRule="atLeast"/>
        </w:trPr>
        <w:tc>
          <w:tcPr>
            <w:tcW w:w="748" w:type="dxa"/>
            <w:vMerge w:val="continue"/>
            <w:tcBorders>
              <w:top w:val="nil"/>
              <w:left w:val="single" w:color="000000" w:sz="6" w:space="0"/>
              <w:bottom w:val="nil"/>
            </w:tcBorders>
            <w:vAlign w:val="top"/>
          </w:tcPr>
          <w:p w14:paraId="244DB20B">
            <w:pPr>
              <w:rPr>
                <w:rFonts w:ascii="Arial"/>
                <w:sz w:val="21"/>
              </w:rPr>
            </w:pPr>
          </w:p>
        </w:tc>
        <w:tc>
          <w:tcPr>
            <w:tcW w:w="387" w:type="dxa"/>
            <w:vMerge w:val="restart"/>
            <w:tcBorders>
              <w:bottom w:val="nil"/>
            </w:tcBorders>
            <w:textDirection w:val="tbRlV"/>
            <w:vAlign w:val="top"/>
          </w:tcPr>
          <w:p w14:paraId="65B42E1C">
            <w:pPr>
              <w:spacing w:before="55" w:line="203" w:lineRule="auto"/>
              <w:ind w:left="2020"/>
              <w:rPr>
                <w:rFonts w:ascii="仿宋" w:hAnsi="仿宋" w:eastAsia="仿宋" w:cs="仿宋"/>
                <w:sz w:val="18"/>
                <w:szCs w:val="18"/>
              </w:rPr>
            </w:pPr>
            <w:r>
              <w:rPr>
                <w:rFonts w:ascii="仿宋" w:hAnsi="仿宋" w:eastAsia="仿宋" w:cs="仿宋"/>
                <w:spacing w:val="28"/>
                <w:sz w:val="18"/>
                <w:szCs w:val="18"/>
              </w:rPr>
              <w:t>废水</w:t>
            </w:r>
          </w:p>
        </w:tc>
        <w:tc>
          <w:tcPr>
            <w:tcW w:w="596" w:type="dxa"/>
            <w:vAlign w:val="top"/>
          </w:tcPr>
          <w:p w14:paraId="675A5DF8">
            <w:pPr>
              <w:spacing w:line="438" w:lineRule="auto"/>
              <w:rPr>
                <w:rFonts w:ascii="Arial"/>
                <w:sz w:val="21"/>
              </w:rPr>
            </w:pPr>
          </w:p>
          <w:p w14:paraId="4B749402">
            <w:pPr>
              <w:spacing w:before="58" w:line="223" w:lineRule="auto"/>
              <w:ind w:left="32"/>
              <w:rPr>
                <w:rFonts w:ascii="仿宋" w:hAnsi="仿宋" w:eastAsia="仿宋" w:cs="仿宋"/>
                <w:sz w:val="18"/>
                <w:szCs w:val="18"/>
              </w:rPr>
            </w:pPr>
            <w:r>
              <w:rPr>
                <w:rFonts w:ascii="仿宋" w:hAnsi="仿宋" w:eastAsia="仿宋" w:cs="仿宋"/>
                <w:spacing w:val="-4"/>
                <w:sz w:val="18"/>
                <w:szCs w:val="18"/>
              </w:rPr>
              <w:t>施工期</w:t>
            </w:r>
          </w:p>
        </w:tc>
        <w:tc>
          <w:tcPr>
            <w:tcW w:w="2875" w:type="dxa"/>
            <w:vAlign w:val="top"/>
          </w:tcPr>
          <w:p w14:paraId="5AF844D6">
            <w:pPr>
              <w:spacing w:before="31" w:line="223" w:lineRule="auto"/>
              <w:ind w:left="93"/>
              <w:rPr>
                <w:rFonts w:ascii="仿宋" w:hAnsi="仿宋" w:eastAsia="仿宋" w:cs="仿宋"/>
                <w:sz w:val="18"/>
                <w:szCs w:val="18"/>
              </w:rPr>
            </w:pPr>
            <w:r>
              <w:rPr>
                <w:rFonts w:ascii="仿宋" w:hAnsi="仿宋" w:eastAsia="仿宋" w:cs="仿宋"/>
                <w:spacing w:val="-1"/>
                <w:sz w:val="18"/>
                <w:szCs w:val="18"/>
              </w:rPr>
              <w:t>施工人员生活污水依托施工生活区</w:t>
            </w:r>
          </w:p>
          <w:p w14:paraId="7BAA2B18">
            <w:pPr>
              <w:spacing w:before="17" w:line="222" w:lineRule="auto"/>
              <w:ind w:right="1"/>
              <w:jc w:val="right"/>
              <w:rPr>
                <w:rFonts w:ascii="仿宋" w:hAnsi="仿宋" w:eastAsia="仿宋" w:cs="仿宋"/>
                <w:sz w:val="18"/>
                <w:szCs w:val="18"/>
              </w:rPr>
            </w:pPr>
            <w:r>
              <w:rPr>
                <w:rFonts w:ascii="仿宋" w:hAnsi="仿宋" w:eastAsia="仿宋" w:cs="仿宋"/>
                <w:spacing w:val="-2"/>
                <w:sz w:val="18"/>
                <w:szCs w:val="18"/>
              </w:rPr>
              <w:t>租用的民房现有生活设施，项目区内</w:t>
            </w:r>
          </w:p>
          <w:p w14:paraId="1ED0E66B">
            <w:pPr>
              <w:spacing w:before="16" w:line="222" w:lineRule="auto"/>
              <w:ind w:right="1"/>
              <w:jc w:val="right"/>
              <w:rPr>
                <w:rFonts w:ascii="仿宋" w:hAnsi="仿宋" w:eastAsia="仿宋" w:cs="仿宋"/>
                <w:sz w:val="18"/>
                <w:szCs w:val="18"/>
              </w:rPr>
            </w:pPr>
            <w:r>
              <w:rPr>
                <w:rFonts w:ascii="仿宋" w:hAnsi="仿宋" w:eastAsia="仿宋" w:cs="仿宋"/>
                <w:spacing w:val="-2"/>
                <w:sz w:val="18"/>
                <w:szCs w:val="18"/>
              </w:rPr>
              <w:t>不产生生活污水。本项目不自设预制</w:t>
            </w:r>
          </w:p>
          <w:p w14:paraId="1E44834C">
            <w:pPr>
              <w:spacing w:before="16" w:line="220" w:lineRule="auto"/>
              <w:jc w:val="right"/>
              <w:rPr>
                <w:rFonts w:ascii="仿宋" w:hAnsi="仿宋" w:eastAsia="仿宋" w:cs="仿宋"/>
                <w:sz w:val="18"/>
                <w:szCs w:val="18"/>
              </w:rPr>
            </w:pPr>
            <w:r>
              <w:rPr>
                <w:rFonts w:ascii="仿宋" w:hAnsi="仿宋" w:eastAsia="仿宋" w:cs="仿宋"/>
                <w:spacing w:val="-12"/>
                <w:sz w:val="18"/>
                <w:szCs w:val="18"/>
              </w:rPr>
              <w:t>场、拌合站，预制构件等材料均外购，</w:t>
            </w:r>
          </w:p>
          <w:p w14:paraId="5C6A04A2">
            <w:pPr>
              <w:spacing w:before="18" w:line="201" w:lineRule="auto"/>
              <w:ind w:left="729"/>
              <w:rPr>
                <w:rFonts w:ascii="仿宋" w:hAnsi="仿宋" w:eastAsia="仿宋" w:cs="仿宋"/>
                <w:sz w:val="18"/>
                <w:szCs w:val="18"/>
              </w:rPr>
            </w:pPr>
            <w:r>
              <w:rPr>
                <w:rFonts w:ascii="仿宋" w:hAnsi="仿宋" w:eastAsia="仿宋" w:cs="仿宋"/>
                <w:spacing w:val="-3"/>
                <w:sz w:val="18"/>
                <w:szCs w:val="18"/>
              </w:rPr>
              <w:t>不产生施工废水。</w:t>
            </w:r>
          </w:p>
        </w:tc>
        <w:tc>
          <w:tcPr>
            <w:tcW w:w="2936" w:type="dxa"/>
            <w:vAlign w:val="top"/>
          </w:tcPr>
          <w:p w14:paraId="4AB639E5">
            <w:pPr>
              <w:spacing w:line="438" w:lineRule="auto"/>
              <w:rPr>
                <w:rFonts w:ascii="Arial"/>
                <w:sz w:val="21"/>
              </w:rPr>
            </w:pPr>
          </w:p>
          <w:p w14:paraId="0298B2AE">
            <w:pPr>
              <w:spacing w:before="58" w:line="222" w:lineRule="auto"/>
              <w:ind w:left="671"/>
              <w:rPr>
                <w:rFonts w:ascii="仿宋" w:hAnsi="仿宋" w:eastAsia="仿宋" w:cs="仿宋"/>
                <w:sz w:val="18"/>
                <w:szCs w:val="18"/>
              </w:rPr>
            </w:pPr>
            <w:r>
              <w:rPr>
                <w:rFonts w:ascii="仿宋" w:hAnsi="仿宋" w:eastAsia="仿宋" w:cs="仿宋"/>
                <w:spacing w:val="-2"/>
                <w:sz w:val="18"/>
                <w:szCs w:val="18"/>
              </w:rPr>
              <w:t>项目区内无废水排放</w:t>
            </w:r>
          </w:p>
        </w:tc>
        <w:tc>
          <w:tcPr>
            <w:tcW w:w="1156" w:type="dxa"/>
            <w:tcBorders>
              <w:right w:val="single" w:color="000000" w:sz="6" w:space="0"/>
            </w:tcBorders>
            <w:vAlign w:val="top"/>
          </w:tcPr>
          <w:p w14:paraId="27C08B5B">
            <w:pPr>
              <w:spacing w:line="438" w:lineRule="auto"/>
              <w:rPr>
                <w:rFonts w:ascii="Arial"/>
                <w:sz w:val="21"/>
              </w:rPr>
            </w:pPr>
          </w:p>
          <w:p w14:paraId="3D103355">
            <w:pPr>
              <w:spacing w:before="58" w:line="222" w:lineRule="auto"/>
              <w:ind w:left="270"/>
              <w:rPr>
                <w:rFonts w:ascii="仿宋" w:hAnsi="仿宋" w:eastAsia="仿宋" w:cs="仿宋"/>
                <w:sz w:val="18"/>
                <w:szCs w:val="18"/>
              </w:rPr>
            </w:pPr>
            <w:r>
              <w:rPr>
                <w:rFonts w:ascii="仿宋" w:hAnsi="仿宋" w:eastAsia="仿宋" w:cs="仿宋"/>
                <w:spacing w:val="-6"/>
                <w:sz w:val="18"/>
                <w:szCs w:val="18"/>
              </w:rPr>
              <w:t>不外排</w:t>
            </w:r>
          </w:p>
        </w:tc>
      </w:tr>
      <w:tr w14:paraId="5B7308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9" w:hRule="atLeast"/>
        </w:trPr>
        <w:tc>
          <w:tcPr>
            <w:tcW w:w="748" w:type="dxa"/>
            <w:vMerge w:val="continue"/>
            <w:tcBorders>
              <w:top w:val="nil"/>
              <w:left w:val="single" w:color="000000" w:sz="6" w:space="0"/>
              <w:bottom w:val="nil"/>
            </w:tcBorders>
            <w:vAlign w:val="top"/>
          </w:tcPr>
          <w:p w14:paraId="0F2F3E1E">
            <w:pPr>
              <w:rPr>
                <w:rFonts w:ascii="Arial"/>
                <w:sz w:val="21"/>
              </w:rPr>
            </w:pPr>
          </w:p>
        </w:tc>
        <w:tc>
          <w:tcPr>
            <w:tcW w:w="387" w:type="dxa"/>
            <w:vMerge w:val="continue"/>
            <w:tcBorders>
              <w:top w:val="nil"/>
            </w:tcBorders>
            <w:textDirection w:val="tbRlV"/>
            <w:vAlign w:val="top"/>
          </w:tcPr>
          <w:p w14:paraId="192F37FD">
            <w:pPr>
              <w:rPr>
                <w:rFonts w:ascii="Arial"/>
                <w:sz w:val="21"/>
              </w:rPr>
            </w:pPr>
          </w:p>
        </w:tc>
        <w:tc>
          <w:tcPr>
            <w:tcW w:w="596" w:type="dxa"/>
            <w:vAlign w:val="top"/>
          </w:tcPr>
          <w:p w14:paraId="347C737E">
            <w:pPr>
              <w:spacing w:line="247" w:lineRule="auto"/>
              <w:rPr>
                <w:rFonts w:ascii="Arial"/>
                <w:sz w:val="21"/>
              </w:rPr>
            </w:pPr>
          </w:p>
          <w:p w14:paraId="01943834">
            <w:pPr>
              <w:spacing w:line="247" w:lineRule="auto"/>
              <w:rPr>
                <w:rFonts w:ascii="Arial"/>
                <w:sz w:val="21"/>
              </w:rPr>
            </w:pPr>
          </w:p>
          <w:p w14:paraId="3E035FCF">
            <w:pPr>
              <w:spacing w:line="247" w:lineRule="auto"/>
              <w:rPr>
                <w:rFonts w:ascii="Arial"/>
                <w:sz w:val="21"/>
              </w:rPr>
            </w:pPr>
          </w:p>
          <w:p w14:paraId="7820F0BB">
            <w:pPr>
              <w:spacing w:line="247" w:lineRule="auto"/>
              <w:rPr>
                <w:rFonts w:ascii="Arial"/>
                <w:sz w:val="21"/>
              </w:rPr>
            </w:pPr>
          </w:p>
          <w:p w14:paraId="123EF704">
            <w:pPr>
              <w:spacing w:line="247" w:lineRule="auto"/>
              <w:rPr>
                <w:rFonts w:ascii="Arial"/>
                <w:sz w:val="21"/>
              </w:rPr>
            </w:pPr>
          </w:p>
          <w:p w14:paraId="20CFB445">
            <w:pPr>
              <w:spacing w:line="247" w:lineRule="auto"/>
              <w:rPr>
                <w:rFonts w:ascii="Arial"/>
                <w:sz w:val="21"/>
              </w:rPr>
            </w:pPr>
          </w:p>
          <w:p w14:paraId="6A4892BC">
            <w:pPr>
              <w:spacing w:before="59" w:line="223" w:lineRule="auto"/>
              <w:ind w:left="34"/>
              <w:rPr>
                <w:rFonts w:ascii="仿宋" w:hAnsi="仿宋" w:eastAsia="仿宋" w:cs="仿宋"/>
                <w:sz w:val="18"/>
                <w:szCs w:val="18"/>
              </w:rPr>
            </w:pPr>
            <w:r>
              <w:rPr>
                <w:rFonts w:ascii="仿宋" w:hAnsi="仿宋" w:eastAsia="仿宋" w:cs="仿宋"/>
                <w:spacing w:val="-5"/>
                <w:sz w:val="18"/>
                <w:szCs w:val="18"/>
              </w:rPr>
              <w:t>运营期</w:t>
            </w:r>
          </w:p>
        </w:tc>
        <w:tc>
          <w:tcPr>
            <w:tcW w:w="2875" w:type="dxa"/>
            <w:vAlign w:val="top"/>
          </w:tcPr>
          <w:p w14:paraId="2AB60832">
            <w:pPr>
              <w:spacing w:line="300" w:lineRule="auto"/>
              <w:rPr>
                <w:rFonts w:ascii="Arial"/>
                <w:sz w:val="21"/>
              </w:rPr>
            </w:pPr>
          </w:p>
          <w:p w14:paraId="6C15452E">
            <w:pPr>
              <w:spacing w:line="301" w:lineRule="auto"/>
              <w:rPr>
                <w:rFonts w:ascii="Arial"/>
                <w:sz w:val="21"/>
              </w:rPr>
            </w:pPr>
          </w:p>
          <w:p w14:paraId="3F27DE7E">
            <w:pPr>
              <w:spacing w:line="301" w:lineRule="auto"/>
              <w:rPr>
                <w:rFonts w:ascii="Arial"/>
                <w:sz w:val="21"/>
              </w:rPr>
            </w:pPr>
          </w:p>
          <w:p w14:paraId="29D58937">
            <w:pPr>
              <w:spacing w:before="59" w:line="222" w:lineRule="auto"/>
              <w:ind w:left="95"/>
              <w:rPr>
                <w:rFonts w:ascii="仿宋" w:hAnsi="仿宋" w:eastAsia="仿宋" w:cs="仿宋"/>
                <w:sz w:val="18"/>
                <w:szCs w:val="18"/>
              </w:rPr>
            </w:pPr>
            <w:r>
              <w:rPr>
                <w:rFonts w:ascii="仿宋" w:hAnsi="仿宋" w:eastAsia="仿宋" w:cs="仿宋"/>
                <w:spacing w:val="-1"/>
                <w:sz w:val="18"/>
                <w:szCs w:val="18"/>
              </w:rPr>
              <w:t>运营期对水环境的影响主要来自路</w:t>
            </w:r>
          </w:p>
          <w:p w14:paraId="774DC052">
            <w:pPr>
              <w:spacing w:before="16" w:line="222" w:lineRule="auto"/>
              <w:ind w:right="1"/>
              <w:jc w:val="right"/>
              <w:rPr>
                <w:rFonts w:ascii="仿宋" w:hAnsi="仿宋" w:eastAsia="仿宋" w:cs="仿宋"/>
                <w:sz w:val="18"/>
                <w:szCs w:val="18"/>
              </w:rPr>
            </w:pPr>
            <w:r>
              <w:rPr>
                <w:rFonts w:ascii="仿宋" w:hAnsi="仿宋" w:eastAsia="仿宋" w:cs="仿宋"/>
                <w:spacing w:val="-2"/>
                <w:sz w:val="18"/>
                <w:szCs w:val="18"/>
              </w:rPr>
              <w:t>面径流排放，路基填土高度较低路基</w:t>
            </w:r>
          </w:p>
          <w:p w14:paraId="76C45440">
            <w:pPr>
              <w:spacing w:before="16" w:line="222" w:lineRule="auto"/>
              <w:ind w:right="1"/>
              <w:jc w:val="right"/>
              <w:rPr>
                <w:rFonts w:ascii="仿宋" w:hAnsi="仿宋" w:eastAsia="仿宋" w:cs="仿宋"/>
                <w:sz w:val="18"/>
                <w:szCs w:val="18"/>
              </w:rPr>
            </w:pPr>
            <w:r>
              <w:rPr>
                <w:rFonts w:ascii="仿宋" w:hAnsi="仿宋" w:eastAsia="仿宋" w:cs="仿宋"/>
                <w:spacing w:val="-2"/>
                <w:sz w:val="18"/>
                <w:szCs w:val="18"/>
              </w:rPr>
              <w:t>采用散排方式，纵坡较大汇水较多路</w:t>
            </w:r>
          </w:p>
          <w:p w14:paraId="561E8F59">
            <w:pPr>
              <w:pStyle w:val="6"/>
              <w:spacing w:before="19" w:line="222" w:lineRule="auto"/>
              <w:ind w:left="46"/>
              <w:rPr>
                <w:rFonts w:ascii="仿宋" w:hAnsi="仿宋" w:eastAsia="仿宋" w:cs="仿宋"/>
              </w:rPr>
            </w:pPr>
            <w:r>
              <w:rPr>
                <w:rFonts w:ascii="仿宋" w:hAnsi="仿宋" w:eastAsia="仿宋" w:cs="仿宋"/>
                <w:spacing w:val="-1"/>
              </w:rPr>
              <w:t>基设置三角形边沟</w:t>
            </w:r>
            <w:r>
              <w:rPr>
                <w:spacing w:val="-1"/>
              </w:rPr>
              <w:t>/</w:t>
            </w:r>
            <w:r>
              <w:rPr>
                <w:rFonts w:ascii="仿宋" w:hAnsi="仿宋" w:eastAsia="仿宋" w:cs="仿宋"/>
                <w:spacing w:val="-1"/>
              </w:rPr>
              <w:t>梯形排水沟</w:t>
            </w:r>
            <w:r>
              <w:rPr>
                <w:spacing w:val="-1"/>
              </w:rPr>
              <w:t>/</w:t>
            </w:r>
            <w:r>
              <w:rPr>
                <w:rFonts w:ascii="仿宋" w:hAnsi="仿宋" w:eastAsia="仿宋" w:cs="仿宋"/>
                <w:spacing w:val="-1"/>
              </w:rPr>
              <w:t>球墨</w:t>
            </w:r>
          </w:p>
          <w:p w14:paraId="6E20D35F">
            <w:pPr>
              <w:pStyle w:val="6"/>
              <w:spacing w:before="16" w:line="223" w:lineRule="auto"/>
              <w:ind w:left="46"/>
              <w:rPr>
                <w:rFonts w:ascii="仿宋" w:hAnsi="仿宋" w:eastAsia="仿宋" w:cs="仿宋"/>
              </w:rPr>
            </w:pPr>
            <w:r>
              <w:rPr>
                <w:rFonts w:ascii="仿宋" w:hAnsi="仿宋" w:eastAsia="仿宋" w:cs="仿宋"/>
                <w:spacing w:val="-1"/>
              </w:rPr>
              <w:t>铸铁管，路线填土高度大于</w:t>
            </w:r>
            <w:r>
              <w:rPr>
                <w:rFonts w:ascii="仿宋" w:hAnsi="仿宋" w:eastAsia="仿宋" w:cs="仿宋"/>
                <w:spacing w:val="-40"/>
              </w:rPr>
              <w:t xml:space="preserve"> </w:t>
            </w:r>
            <w:r>
              <w:rPr>
                <w:spacing w:val="-1"/>
              </w:rPr>
              <w:t>2.0m</w:t>
            </w:r>
            <w:r>
              <w:rPr>
                <w:spacing w:val="24"/>
                <w:w w:val="101"/>
              </w:rPr>
              <w:t xml:space="preserve"> </w:t>
            </w:r>
            <w:r>
              <w:rPr>
                <w:rFonts w:ascii="仿宋" w:hAnsi="仿宋" w:eastAsia="仿宋" w:cs="仿宋"/>
                <w:spacing w:val="-1"/>
              </w:rPr>
              <w:t>时</w:t>
            </w:r>
          </w:p>
          <w:p w14:paraId="7D49B64F">
            <w:pPr>
              <w:spacing w:before="15" w:line="222" w:lineRule="auto"/>
              <w:ind w:left="993"/>
              <w:rPr>
                <w:rFonts w:ascii="仿宋" w:hAnsi="仿宋" w:eastAsia="仿宋" w:cs="仿宋"/>
                <w:sz w:val="18"/>
                <w:szCs w:val="18"/>
              </w:rPr>
            </w:pPr>
            <w:r>
              <w:rPr>
                <w:rFonts w:ascii="仿宋" w:hAnsi="仿宋" w:eastAsia="仿宋" w:cs="仿宋"/>
                <w:spacing w:val="-3"/>
                <w:sz w:val="18"/>
                <w:szCs w:val="18"/>
              </w:rPr>
              <w:t>设急流槽。</w:t>
            </w:r>
          </w:p>
        </w:tc>
        <w:tc>
          <w:tcPr>
            <w:tcW w:w="2936" w:type="dxa"/>
            <w:vAlign w:val="top"/>
          </w:tcPr>
          <w:p w14:paraId="4AE4A642">
            <w:pPr>
              <w:spacing w:before="33" w:line="222" w:lineRule="auto"/>
              <w:ind w:left="40"/>
              <w:rPr>
                <w:rFonts w:ascii="仿宋" w:hAnsi="仿宋" w:eastAsia="仿宋" w:cs="仿宋"/>
                <w:sz w:val="18"/>
                <w:szCs w:val="18"/>
              </w:rPr>
            </w:pPr>
            <w:r>
              <w:rPr>
                <w:rFonts w:ascii="仿宋" w:hAnsi="仿宋" w:eastAsia="仿宋" w:cs="仿宋"/>
                <w:spacing w:val="-1"/>
                <w:sz w:val="18"/>
                <w:szCs w:val="18"/>
              </w:rPr>
              <w:t>填方路段采取散排，挖方路段采用浅</w:t>
            </w:r>
          </w:p>
          <w:p w14:paraId="54B1B654">
            <w:pPr>
              <w:spacing w:before="15" w:line="222" w:lineRule="auto"/>
              <w:ind w:left="44"/>
              <w:rPr>
                <w:rFonts w:ascii="仿宋" w:hAnsi="仿宋" w:eastAsia="仿宋" w:cs="仿宋"/>
                <w:sz w:val="18"/>
                <w:szCs w:val="18"/>
              </w:rPr>
            </w:pPr>
            <w:r>
              <w:rPr>
                <w:rFonts w:ascii="仿宋" w:hAnsi="仿宋" w:eastAsia="仿宋" w:cs="仿宋"/>
                <w:spacing w:val="-2"/>
                <w:sz w:val="18"/>
                <w:szCs w:val="18"/>
              </w:rPr>
              <w:t>三角形边沟，连接路提排水沟将水引</w:t>
            </w:r>
          </w:p>
          <w:p w14:paraId="3133FF87">
            <w:pPr>
              <w:spacing w:before="16" w:line="220" w:lineRule="auto"/>
              <w:ind w:left="57"/>
              <w:rPr>
                <w:rFonts w:ascii="仿宋" w:hAnsi="仿宋" w:eastAsia="仿宋" w:cs="仿宋"/>
                <w:sz w:val="18"/>
                <w:szCs w:val="18"/>
              </w:rPr>
            </w:pPr>
            <w:r>
              <w:rPr>
                <w:rFonts w:ascii="仿宋" w:hAnsi="仿宋" w:eastAsia="仿宋" w:cs="仿宋"/>
                <w:spacing w:val="-2"/>
                <w:sz w:val="18"/>
                <w:szCs w:val="18"/>
              </w:rPr>
              <w:t>出坡脚以外。边沟纵除特殊情况外，</w:t>
            </w:r>
          </w:p>
          <w:p w14:paraId="675CC5B1">
            <w:pPr>
              <w:pStyle w:val="6"/>
              <w:spacing w:before="21" w:line="212" w:lineRule="auto"/>
              <w:ind w:left="193"/>
              <w:rPr>
                <w:rFonts w:ascii="仿宋" w:hAnsi="仿宋" w:eastAsia="仿宋" w:cs="仿宋"/>
              </w:rPr>
            </w:pPr>
            <w:r>
              <w:rPr>
                <w:rFonts w:ascii="仿宋" w:hAnsi="仿宋" w:eastAsia="仿宋" w:cs="仿宋"/>
                <w:spacing w:val="-2"/>
              </w:rPr>
              <w:t>一般与纵坡一致</w:t>
            </w:r>
            <w:r>
              <w:rPr>
                <w:spacing w:val="-2"/>
              </w:rPr>
              <w:t>(</w:t>
            </w:r>
            <w:r>
              <w:rPr>
                <w:rFonts w:ascii="仿宋" w:hAnsi="仿宋" w:eastAsia="仿宋" w:cs="仿宋"/>
                <w:spacing w:val="-2"/>
              </w:rPr>
              <w:t>必须保证不小于</w:t>
            </w:r>
          </w:p>
          <w:p w14:paraId="150C724B">
            <w:pPr>
              <w:pStyle w:val="6"/>
              <w:spacing w:before="26" w:line="212" w:lineRule="auto"/>
              <w:jc w:val="right"/>
              <w:rPr>
                <w:rFonts w:ascii="仿宋" w:hAnsi="仿宋" w:eastAsia="仿宋" w:cs="仿宋"/>
              </w:rPr>
            </w:pPr>
            <w:r>
              <w:rPr>
                <w:spacing w:val="-4"/>
              </w:rPr>
              <w:t xml:space="preserve">0.3%) </w:t>
            </w:r>
            <w:r>
              <w:rPr>
                <w:rFonts w:ascii="仿宋" w:hAnsi="仿宋" w:eastAsia="仿宋" w:cs="仿宋"/>
                <w:spacing w:val="-4"/>
              </w:rPr>
              <w:t>。出水口地形平缓路段采用排水</w:t>
            </w:r>
          </w:p>
          <w:p w14:paraId="0074D8D8">
            <w:pPr>
              <w:spacing w:before="28" w:line="219" w:lineRule="auto"/>
              <w:ind w:left="40"/>
              <w:rPr>
                <w:rFonts w:ascii="仿宋" w:hAnsi="仿宋" w:eastAsia="仿宋" w:cs="仿宋"/>
                <w:sz w:val="18"/>
                <w:szCs w:val="18"/>
              </w:rPr>
            </w:pPr>
            <w:r>
              <w:rPr>
                <w:rFonts w:ascii="仿宋" w:hAnsi="仿宋" w:eastAsia="仿宋" w:cs="仿宋"/>
                <w:spacing w:val="-1"/>
                <w:sz w:val="18"/>
                <w:szCs w:val="18"/>
              </w:rPr>
              <w:t>沟向线外转的方式排出边沟水，其转</w:t>
            </w:r>
          </w:p>
          <w:p w14:paraId="477064A9">
            <w:pPr>
              <w:pStyle w:val="6"/>
              <w:spacing w:before="19" w:line="221" w:lineRule="auto"/>
              <w:ind w:left="83"/>
              <w:rPr>
                <w:rFonts w:ascii="仿宋" w:hAnsi="仿宋" w:eastAsia="仿宋" w:cs="仿宋"/>
              </w:rPr>
            </w:pPr>
            <w:r>
              <w:rPr>
                <w:rFonts w:ascii="仿宋" w:hAnsi="仿宋" w:eastAsia="仿宋" w:cs="仿宋"/>
                <w:spacing w:val="-3"/>
              </w:rPr>
              <w:t>半应大于</w:t>
            </w:r>
            <w:r>
              <w:rPr>
                <w:rFonts w:ascii="仿宋" w:hAnsi="仿宋" w:eastAsia="仿宋" w:cs="仿宋"/>
                <w:spacing w:val="-34"/>
              </w:rPr>
              <w:t xml:space="preserve"> </w:t>
            </w:r>
            <w:r>
              <w:rPr>
                <w:spacing w:val="-3"/>
              </w:rPr>
              <w:t>5m</w:t>
            </w:r>
            <w:r>
              <w:rPr>
                <w:spacing w:val="-21"/>
              </w:rPr>
              <w:t xml:space="preserve"> </w:t>
            </w:r>
            <w:r>
              <w:rPr>
                <w:rFonts w:ascii="仿宋" w:hAnsi="仿宋" w:eastAsia="仿宋" w:cs="仿宋"/>
                <w:spacing w:val="-3"/>
              </w:rPr>
              <w:t>，出水口端部设置现浇</w:t>
            </w:r>
          </w:p>
          <w:p w14:paraId="2BCCE06E">
            <w:pPr>
              <w:pStyle w:val="6"/>
              <w:spacing w:before="18" w:line="222" w:lineRule="auto"/>
              <w:ind w:left="43"/>
              <w:rPr>
                <w:rFonts w:ascii="仿宋" w:hAnsi="仿宋" w:eastAsia="仿宋" w:cs="仿宋"/>
              </w:rPr>
            </w:pPr>
            <w:r>
              <w:rPr>
                <w:spacing w:val="-2"/>
              </w:rPr>
              <w:t>C25</w:t>
            </w:r>
            <w:r>
              <w:rPr>
                <w:spacing w:val="24"/>
                <w:w w:val="101"/>
              </w:rPr>
              <w:t xml:space="preserve"> </w:t>
            </w:r>
            <w:r>
              <w:rPr>
                <w:rFonts w:ascii="仿宋" w:hAnsi="仿宋" w:eastAsia="仿宋" w:cs="仿宋"/>
                <w:spacing w:val="-2"/>
              </w:rPr>
              <w:t>混凝土隔水墙。边沟、出水口排</w:t>
            </w:r>
          </w:p>
          <w:p w14:paraId="1E1290C1">
            <w:pPr>
              <w:pStyle w:val="6"/>
              <w:spacing w:before="16" w:line="222" w:lineRule="auto"/>
              <w:ind w:left="24"/>
              <w:rPr>
                <w:rFonts w:ascii="仿宋" w:hAnsi="仿宋" w:eastAsia="仿宋" w:cs="仿宋"/>
              </w:rPr>
            </w:pPr>
            <w:r>
              <w:rPr>
                <w:rFonts w:ascii="仿宋" w:hAnsi="仿宋" w:eastAsia="仿宋" w:cs="仿宋"/>
                <w:spacing w:val="-2"/>
              </w:rPr>
              <w:t>水沟采用</w:t>
            </w:r>
            <w:r>
              <w:rPr>
                <w:rFonts w:ascii="仿宋" w:hAnsi="仿宋" w:eastAsia="仿宋" w:cs="仿宋"/>
                <w:spacing w:val="-37"/>
              </w:rPr>
              <w:t xml:space="preserve"> </w:t>
            </w:r>
            <w:r>
              <w:rPr>
                <w:spacing w:val="-2"/>
              </w:rPr>
              <w:t>C25</w:t>
            </w:r>
            <w:r>
              <w:rPr>
                <w:spacing w:val="14"/>
                <w:w w:val="101"/>
              </w:rPr>
              <w:t xml:space="preserve"> </w:t>
            </w:r>
            <w:r>
              <w:rPr>
                <w:rFonts w:ascii="仿宋" w:hAnsi="仿宋" w:eastAsia="仿宋" w:cs="仿宋"/>
                <w:spacing w:val="-2"/>
              </w:rPr>
              <w:t>混凝土现浇，边沟的为</w:t>
            </w:r>
          </w:p>
          <w:p w14:paraId="6CE06AB8">
            <w:pPr>
              <w:spacing w:before="16" w:line="219" w:lineRule="auto"/>
              <w:ind w:left="41"/>
              <w:rPr>
                <w:rFonts w:ascii="仿宋" w:hAnsi="仿宋" w:eastAsia="仿宋" w:cs="仿宋"/>
                <w:sz w:val="18"/>
                <w:szCs w:val="18"/>
              </w:rPr>
            </w:pPr>
            <w:r>
              <w:rPr>
                <w:rFonts w:ascii="仿宋" w:hAnsi="仿宋" w:eastAsia="仿宋" w:cs="仿宋"/>
                <w:spacing w:val="-1"/>
                <w:sz w:val="18"/>
                <w:szCs w:val="18"/>
              </w:rPr>
              <w:t>底沟壁按规定整平夯实。砌体在转折</w:t>
            </w:r>
          </w:p>
          <w:p w14:paraId="269F7EB7">
            <w:pPr>
              <w:pStyle w:val="6"/>
              <w:spacing w:before="22" w:line="220" w:lineRule="auto"/>
              <w:jc w:val="right"/>
              <w:rPr>
                <w:rFonts w:ascii="仿宋" w:hAnsi="仿宋" w:eastAsia="仿宋" w:cs="仿宋"/>
              </w:rPr>
            </w:pPr>
            <w:r>
              <w:rPr>
                <w:rFonts w:ascii="仿宋" w:hAnsi="仿宋" w:eastAsia="仿宋" w:cs="仿宋"/>
                <w:spacing w:val="1"/>
              </w:rPr>
              <w:t>处及沿长度方向每隔</w:t>
            </w:r>
            <w:r>
              <w:rPr>
                <w:spacing w:val="1"/>
              </w:rPr>
              <w:t>2.0m</w:t>
            </w:r>
            <w:r>
              <w:rPr>
                <w:rFonts w:ascii="仿宋" w:hAnsi="仿宋" w:eastAsia="仿宋" w:cs="仿宋"/>
                <w:spacing w:val="1"/>
              </w:rPr>
              <w:t>切割一道假</w:t>
            </w:r>
          </w:p>
          <w:p w14:paraId="020C1C8C">
            <w:pPr>
              <w:pStyle w:val="6"/>
              <w:spacing w:before="18" w:line="220" w:lineRule="auto"/>
              <w:jc w:val="right"/>
              <w:rPr>
                <w:rFonts w:ascii="仿宋" w:hAnsi="仿宋" w:eastAsia="仿宋" w:cs="仿宋"/>
              </w:rPr>
            </w:pPr>
            <w:r>
              <w:rPr>
                <w:rFonts w:ascii="仿宋" w:hAnsi="仿宋" w:eastAsia="仿宋" w:cs="仿宋"/>
                <w:spacing w:val="-5"/>
              </w:rPr>
              <w:t>缝，缝宽</w:t>
            </w:r>
            <w:r>
              <w:rPr>
                <w:rFonts w:ascii="仿宋" w:hAnsi="仿宋" w:eastAsia="仿宋" w:cs="仿宋"/>
                <w:spacing w:val="-28"/>
              </w:rPr>
              <w:t xml:space="preserve"> </w:t>
            </w:r>
            <w:r>
              <w:rPr>
                <w:spacing w:val="-5"/>
              </w:rPr>
              <w:t>6mm</w:t>
            </w:r>
            <w:r>
              <w:rPr>
                <w:spacing w:val="-19"/>
              </w:rPr>
              <w:t xml:space="preserve"> </w:t>
            </w:r>
            <w:r>
              <w:rPr>
                <w:rFonts w:ascii="仿宋" w:hAnsi="仿宋" w:eastAsia="仿宋" w:cs="仿宋"/>
                <w:spacing w:val="-5"/>
              </w:rPr>
              <w:t>，深</w:t>
            </w:r>
            <w:r>
              <w:rPr>
                <w:rFonts w:ascii="仿宋" w:hAnsi="仿宋" w:eastAsia="仿宋" w:cs="仿宋"/>
                <w:spacing w:val="-36"/>
              </w:rPr>
              <w:t xml:space="preserve"> </w:t>
            </w:r>
            <w:r>
              <w:rPr>
                <w:spacing w:val="-5"/>
              </w:rPr>
              <w:t>5cm</w:t>
            </w:r>
            <w:r>
              <w:rPr>
                <w:spacing w:val="-23"/>
              </w:rPr>
              <w:t xml:space="preserve"> </w:t>
            </w:r>
            <w:r>
              <w:rPr>
                <w:rFonts w:ascii="仿宋" w:hAnsi="仿宋" w:eastAsia="仿宋" w:cs="仿宋"/>
                <w:spacing w:val="-5"/>
              </w:rPr>
              <w:t>，并采用热沥</w:t>
            </w:r>
          </w:p>
          <w:p w14:paraId="586A696E">
            <w:pPr>
              <w:pStyle w:val="6"/>
              <w:spacing w:before="19" w:line="220" w:lineRule="auto"/>
              <w:jc w:val="right"/>
              <w:rPr>
                <w:rFonts w:ascii="仿宋" w:hAnsi="仿宋" w:eastAsia="仿宋" w:cs="仿宋"/>
              </w:rPr>
            </w:pPr>
            <w:r>
              <w:rPr>
                <w:rFonts w:ascii="仿宋" w:hAnsi="仿宋" w:eastAsia="仿宋" w:cs="仿宋"/>
                <w:spacing w:val="-3"/>
              </w:rPr>
              <w:t>青灌缝，每隔</w:t>
            </w:r>
            <w:r>
              <w:rPr>
                <w:rFonts w:ascii="仿宋" w:hAnsi="仿宋" w:eastAsia="仿宋" w:cs="仿宋"/>
                <w:spacing w:val="-26"/>
              </w:rPr>
              <w:t xml:space="preserve"> </w:t>
            </w:r>
            <w:r>
              <w:rPr>
                <w:spacing w:val="-3"/>
              </w:rPr>
              <w:t>20m</w:t>
            </w:r>
            <w:r>
              <w:rPr>
                <w:spacing w:val="11"/>
                <w:w w:val="101"/>
              </w:rPr>
              <w:t xml:space="preserve"> </w:t>
            </w:r>
            <w:r>
              <w:rPr>
                <w:rFonts w:ascii="仿宋" w:hAnsi="仿宋" w:eastAsia="仿宋" w:cs="仿宋"/>
                <w:spacing w:val="-3"/>
              </w:rPr>
              <w:t>设一道伸缩缝，并</w:t>
            </w:r>
          </w:p>
          <w:p w14:paraId="5A594460">
            <w:pPr>
              <w:spacing w:before="18" w:line="197" w:lineRule="auto"/>
              <w:ind w:left="672"/>
              <w:rPr>
                <w:rFonts w:ascii="仿宋" w:hAnsi="仿宋" w:eastAsia="仿宋" w:cs="仿宋"/>
                <w:sz w:val="18"/>
                <w:szCs w:val="18"/>
              </w:rPr>
            </w:pPr>
            <w:r>
              <w:rPr>
                <w:rFonts w:ascii="仿宋" w:hAnsi="仿宋" w:eastAsia="仿宋" w:cs="仿宋"/>
                <w:spacing w:val="-2"/>
                <w:sz w:val="18"/>
                <w:szCs w:val="18"/>
              </w:rPr>
              <w:t>采用泡沫橡胶板缝。</w:t>
            </w:r>
          </w:p>
        </w:tc>
        <w:tc>
          <w:tcPr>
            <w:tcW w:w="1156" w:type="dxa"/>
            <w:tcBorders>
              <w:right w:val="single" w:color="000000" w:sz="6" w:space="0"/>
            </w:tcBorders>
            <w:vAlign w:val="top"/>
          </w:tcPr>
          <w:p w14:paraId="137C8BAC">
            <w:pPr>
              <w:spacing w:line="247" w:lineRule="auto"/>
              <w:rPr>
                <w:rFonts w:ascii="Arial"/>
                <w:sz w:val="21"/>
              </w:rPr>
            </w:pPr>
          </w:p>
          <w:p w14:paraId="09242467">
            <w:pPr>
              <w:spacing w:line="247" w:lineRule="auto"/>
              <w:rPr>
                <w:rFonts w:ascii="Arial"/>
                <w:sz w:val="21"/>
              </w:rPr>
            </w:pPr>
          </w:p>
          <w:p w14:paraId="6967C69D">
            <w:pPr>
              <w:spacing w:line="247" w:lineRule="auto"/>
              <w:rPr>
                <w:rFonts w:ascii="Arial"/>
                <w:sz w:val="21"/>
              </w:rPr>
            </w:pPr>
          </w:p>
          <w:p w14:paraId="461467EA">
            <w:pPr>
              <w:spacing w:line="247" w:lineRule="auto"/>
              <w:rPr>
                <w:rFonts w:ascii="Arial"/>
                <w:sz w:val="21"/>
              </w:rPr>
            </w:pPr>
          </w:p>
          <w:p w14:paraId="4B657ECA">
            <w:pPr>
              <w:spacing w:line="247" w:lineRule="auto"/>
              <w:rPr>
                <w:rFonts w:ascii="Arial"/>
                <w:sz w:val="21"/>
              </w:rPr>
            </w:pPr>
          </w:p>
          <w:p w14:paraId="2FA60AE3">
            <w:pPr>
              <w:spacing w:line="248" w:lineRule="auto"/>
              <w:rPr>
                <w:rFonts w:ascii="Arial"/>
                <w:sz w:val="21"/>
              </w:rPr>
            </w:pPr>
          </w:p>
          <w:p w14:paraId="70A694EC">
            <w:pPr>
              <w:spacing w:before="58" w:line="222" w:lineRule="auto"/>
              <w:ind w:left="86"/>
              <w:rPr>
                <w:rFonts w:ascii="仿宋" w:hAnsi="仿宋" w:eastAsia="仿宋" w:cs="仿宋"/>
                <w:sz w:val="18"/>
                <w:szCs w:val="18"/>
              </w:rPr>
            </w:pPr>
            <w:r>
              <w:rPr>
                <w:rFonts w:ascii="仿宋" w:hAnsi="仿宋" w:eastAsia="仿宋" w:cs="仿宋"/>
                <w:spacing w:val="-3"/>
                <w:sz w:val="18"/>
                <w:szCs w:val="18"/>
              </w:rPr>
              <w:t>按要求建成</w:t>
            </w:r>
          </w:p>
        </w:tc>
      </w:tr>
      <w:tr w14:paraId="59F1B0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1" w:hRule="atLeast"/>
        </w:trPr>
        <w:tc>
          <w:tcPr>
            <w:tcW w:w="748" w:type="dxa"/>
            <w:vMerge w:val="continue"/>
            <w:tcBorders>
              <w:top w:val="nil"/>
              <w:left w:val="single" w:color="000000" w:sz="6" w:space="0"/>
              <w:bottom w:val="nil"/>
            </w:tcBorders>
            <w:vAlign w:val="top"/>
          </w:tcPr>
          <w:p w14:paraId="25684419">
            <w:pPr>
              <w:rPr>
                <w:rFonts w:ascii="Arial"/>
                <w:sz w:val="21"/>
              </w:rPr>
            </w:pPr>
          </w:p>
        </w:tc>
        <w:tc>
          <w:tcPr>
            <w:tcW w:w="387" w:type="dxa"/>
            <w:vMerge w:val="restart"/>
            <w:tcBorders>
              <w:bottom w:val="nil"/>
            </w:tcBorders>
            <w:textDirection w:val="tbRlV"/>
            <w:vAlign w:val="top"/>
          </w:tcPr>
          <w:p w14:paraId="5A919B80">
            <w:pPr>
              <w:spacing w:before="55" w:line="202" w:lineRule="auto"/>
              <w:ind w:left="976"/>
              <w:rPr>
                <w:rFonts w:ascii="仿宋" w:hAnsi="仿宋" w:eastAsia="仿宋" w:cs="仿宋"/>
                <w:sz w:val="18"/>
                <w:szCs w:val="18"/>
              </w:rPr>
            </w:pPr>
            <w:r>
              <w:rPr>
                <w:rFonts w:ascii="仿宋" w:hAnsi="仿宋" w:eastAsia="仿宋" w:cs="仿宋"/>
                <w:spacing w:val="28"/>
                <w:sz w:val="18"/>
                <w:szCs w:val="18"/>
              </w:rPr>
              <w:t>固废</w:t>
            </w:r>
          </w:p>
        </w:tc>
        <w:tc>
          <w:tcPr>
            <w:tcW w:w="596" w:type="dxa"/>
            <w:vAlign w:val="top"/>
          </w:tcPr>
          <w:p w14:paraId="519886F8">
            <w:pPr>
              <w:spacing w:line="263" w:lineRule="auto"/>
              <w:rPr>
                <w:rFonts w:ascii="Arial"/>
                <w:sz w:val="21"/>
              </w:rPr>
            </w:pPr>
          </w:p>
          <w:p w14:paraId="57B9E25E">
            <w:pPr>
              <w:spacing w:line="263" w:lineRule="auto"/>
              <w:rPr>
                <w:rFonts w:ascii="Arial"/>
                <w:sz w:val="21"/>
              </w:rPr>
            </w:pPr>
          </w:p>
          <w:p w14:paraId="28566AB8">
            <w:pPr>
              <w:spacing w:line="264" w:lineRule="auto"/>
              <w:rPr>
                <w:rFonts w:ascii="Arial"/>
                <w:sz w:val="21"/>
              </w:rPr>
            </w:pPr>
          </w:p>
          <w:p w14:paraId="015D9A1C">
            <w:pPr>
              <w:spacing w:before="59" w:line="223" w:lineRule="auto"/>
              <w:ind w:left="32"/>
              <w:rPr>
                <w:rFonts w:ascii="仿宋" w:hAnsi="仿宋" w:eastAsia="仿宋" w:cs="仿宋"/>
                <w:sz w:val="18"/>
                <w:szCs w:val="18"/>
              </w:rPr>
            </w:pPr>
            <w:r>
              <w:rPr>
                <w:rFonts w:ascii="仿宋" w:hAnsi="仿宋" w:eastAsia="仿宋" w:cs="仿宋"/>
                <w:spacing w:val="-4"/>
                <w:sz w:val="18"/>
                <w:szCs w:val="18"/>
              </w:rPr>
              <w:t>施工期</w:t>
            </w:r>
          </w:p>
        </w:tc>
        <w:tc>
          <w:tcPr>
            <w:tcW w:w="2875" w:type="dxa"/>
            <w:vAlign w:val="top"/>
          </w:tcPr>
          <w:p w14:paraId="130E7FB4">
            <w:pPr>
              <w:spacing w:before="38" w:line="223" w:lineRule="auto"/>
              <w:ind w:right="1"/>
              <w:jc w:val="right"/>
              <w:rPr>
                <w:rFonts w:ascii="仿宋" w:hAnsi="仿宋" w:eastAsia="仿宋" w:cs="仿宋"/>
                <w:sz w:val="18"/>
                <w:szCs w:val="18"/>
              </w:rPr>
            </w:pPr>
            <w:r>
              <w:rPr>
                <w:rFonts w:ascii="仿宋" w:hAnsi="仿宋" w:eastAsia="仿宋" w:cs="仿宋"/>
                <w:spacing w:val="-2"/>
                <w:sz w:val="18"/>
                <w:szCs w:val="18"/>
              </w:rPr>
              <w:t>工程弃土：合理调配土石方，不产生</w:t>
            </w:r>
          </w:p>
          <w:p w14:paraId="48B77F0C">
            <w:pPr>
              <w:spacing w:before="15" w:line="223" w:lineRule="auto"/>
              <w:ind w:left="1179"/>
              <w:rPr>
                <w:rFonts w:ascii="仿宋" w:hAnsi="仿宋" w:eastAsia="仿宋" w:cs="仿宋"/>
                <w:sz w:val="18"/>
                <w:szCs w:val="18"/>
              </w:rPr>
            </w:pPr>
            <w:r>
              <w:rPr>
                <w:rFonts w:ascii="仿宋" w:hAnsi="仿宋" w:eastAsia="仿宋" w:cs="仿宋"/>
                <w:spacing w:val="-6"/>
                <w:sz w:val="18"/>
                <w:szCs w:val="18"/>
              </w:rPr>
              <w:t>弃土。</w:t>
            </w:r>
          </w:p>
          <w:p w14:paraId="04AA92A9">
            <w:pPr>
              <w:spacing w:before="14" w:line="222" w:lineRule="auto"/>
              <w:ind w:right="1"/>
              <w:jc w:val="right"/>
              <w:rPr>
                <w:rFonts w:ascii="仿宋" w:hAnsi="仿宋" w:eastAsia="仿宋" w:cs="仿宋"/>
                <w:sz w:val="18"/>
                <w:szCs w:val="18"/>
              </w:rPr>
            </w:pPr>
            <w:r>
              <w:rPr>
                <w:rFonts w:ascii="仿宋" w:hAnsi="仿宋" w:eastAsia="仿宋" w:cs="仿宋"/>
                <w:spacing w:val="-2"/>
                <w:sz w:val="18"/>
                <w:szCs w:val="18"/>
              </w:rPr>
              <w:t>建筑垃圾：优先回收利用，不能利用</w:t>
            </w:r>
          </w:p>
          <w:p w14:paraId="207DA441">
            <w:pPr>
              <w:spacing w:before="18" w:line="222" w:lineRule="auto"/>
              <w:ind w:left="105"/>
              <w:rPr>
                <w:rFonts w:ascii="仿宋" w:hAnsi="仿宋" w:eastAsia="仿宋" w:cs="仿宋"/>
                <w:sz w:val="18"/>
                <w:szCs w:val="18"/>
              </w:rPr>
            </w:pPr>
            <w:r>
              <w:rPr>
                <w:rFonts w:ascii="仿宋" w:hAnsi="仿宋" w:eastAsia="仿宋" w:cs="仿宋"/>
                <w:spacing w:val="-2"/>
                <w:sz w:val="18"/>
                <w:szCs w:val="18"/>
              </w:rPr>
              <w:t>的统一收集后运至市政指定建筑垃</w:t>
            </w:r>
          </w:p>
          <w:p w14:paraId="533F40E6">
            <w:pPr>
              <w:spacing w:before="17" w:line="222" w:lineRule="auto"/>
              <w:ind w:left="813"/>
              <w:rPr>
                <w:rFonts w:ascii="仿宋" w:hAnsi="仿宋" w:eastAsia="仿宋" w:cs="仿宋"/>
                <w:sz w:val="18"/>
                <w:szCs w:val="18"/>
              </w:rPr>
            </w:pPr>
            <w:r>
              <w:rPr>
                <w:rFonts w:ascii="仿宋" w:hAnsi="仿宋" w:eastAsia="仿宋" w:cs="仿宋"/>
                <w:spacing w:val="-2"/>
                <w:sz w:val="18"/>
                <w:szCs w:val="18"/>
              </w:rPr>
              <w:t>圾排放点处置；</w:t>
            </w:r>
          </w:p>
          <w:p w14:paraId="513456AE">
            <w:pPr>
              <w:spacing w:before="15" w:line="222" w:lineRule="auto"/>
              <w:ind w:right="1"/>
              <w:jc w:val="right"/>
              <w:rPr>
                <w:rFonts w:ascii="仿宋" w:hAnsi="仿宋" w:eastAsia="仿宋" w:cs="仿宋"/>
                <w:sz w:val="18"/>
                <w:szCs w:val="18"/>
              </w:rPr>
            </w:pPr>
            <w:r>
              <w:rPr>
                <w:rFonts w:ascii="仿宋" w:hAnsi="仿宋" w:eastAsia="仿宋" w:cs="仿宋"/>
                <w:spacing w:val="-3"/>
                <w:sz w:val="18"/>
                <w:szCs w:val="18"/>
              </w:rPr>
              <w:t>生活垃圾：按照当地村民生活垃圾处</w:t>
            </w:r>
          </w:p>
          <w:p w14:paraId="6D067D08">
            <w:pPr>
              <w:spacing w:before="17" w:line="222" w:lineRule="auto"/>
              <w:ind w:right="1"/>
              <w:jc w:val="right"/>
              <w:rPr>
                <w:rFonts w:ascii="仿宋" w:hAnsi="仿宋" w:eastAsia="仿宋" w:cs="仿宋"/>
                <w:sz w:val="18"/>
                <w:szCs w:val="18"/>
              </w:rPr>
            </w:pPr>
            <w:r>
              <w:rPr>
                <w:rFonts w:ascii="仿宋" w:hAnsi="仿宋" w:eastAsia="仿宋" w:cs="仿宋"/>
                <w:spacing w:val="-2"/>
                <w:sz w:val="18"/>
                <w:szCs w:val="18"/>
              </w:rPr>
              <w:t>理方式，集中收集后，交当地环卫部</w:t>
            </w:r>
          </w:p>
          <w:p w14:paraId="01E89514">
            <w:pPr>
              <w:spacing w:before="19" w:line="193" w:lineRule="auto"/>
              <w:ind w:left="832"/>
              <w:rPr>
                <w:rFonts w:ascii="仿宋" w:hAnsi="仿宋" w:eastAsia="仿宋" w:cs="仿宋"/>
                <w:sz w:val="18"/>
                <w:szCs w:val="18"/>
              </w:rPr>
            </w:pPr>
            <w:r>
              <w:rPr>
                <w:rFonts w:ascii="仿宋" w:hAnsi="仿宋" w:eastAsia="仿宋" w:cs="仿宋"/>
                <w:spacing w:val="-5"/>
                <w:sz w:val="18"/>
                <w:szCs w:val="18"/>
              </w:rPr>
              <w:t>门的要求处理。</w:t>
            </w:r>
          </w:p>
        </w:tc>
        <w:tc>
          <w:tcPr>
            <w:tcW w:w="2936" w:type="dxa"/>
            <w:vAlign w:val="top"/>
          </w:tcPr>
          <w:p w14:paraId="7BD16271">
            <w:pPr>
              <w:spacing w:line="279" w:lineRule="auto"/>
              <w:rPr>
                <w:rFonts w:ascii="Arial"/>
                <w:sz w:val="21"/>
              </w:rPr>
            </w:pPr>
          </w:p>
          <w:p w14:paraId="3B5313F2">
            <w:pPr>
              <w:spacing w:line="280" w:lineRule="auto"/>
              <w:rPr>
                <w:rFonts w:ascii="Arial"/>
                <w:sz w:val="21"/>
              </w:rPr>
            </w:pPr>
          </w:p>
          <w:p w14:paraId="2B9D639C">
            <w:pPr>
              <w:spacing w:before="59" w:line="222" w:lineRule="auto"/>
              <w:ind w:left="41"/>
              <w:rPr>
                <w:rFonts w:ascii="仿宋" w:hAnsi="仿宋" w:eastAsia="仿宋" w:cs="仿宋"/>
                <w:sz w:val="18"/>
                <w:szCs w:val="18"/>
              </w:rPr>
            </w:pPr>
            <w:r>
              <w:rPr>
                <w:rFonts w:ascii="仿宋" w:hAnsi="仿宋" w:eastAsia="仿宋" w:cs="仿宋"/>
                <w:spacing w:val="-1"/>
                <w:sz w:val="18"/>
                <w:szCs w:val="18"/>
              </w:rPr>
              <w:t>土石方调配合理，无弃土产生；垃圾</w:t>
            </w:r>
          </w:p>
          <w:p w14:paraId="59C7B2F0">
            <w:pPr>
              <w:spacing w:before="15" w:line="222" w:lineRule="auto"/>
              <w:ind w:left="41"/>
              <w:rPr>
                <w:rFonts w:ascii="仿宋" w:hAnsi="仿宋" w:eastAsia="仿宋" w:cs="仿宋"/>
                <w:sz w:val="18"/>
                <w:szCs w:val="18"/>
              </w:rPr>
            </w:pPr>
            <w:r>
              <w:rPr>
                <w:rFonts w:ascii="仿宋" w:hAnsi="仿宋" w:eastAsia="仿宋" w:cs="仿宋"/>
                <w:spacing w:val="-1"/>
                <w:sz w:val="18"/>
                <w:szCs w:val="18"/>
              </w:rPr>
              <w:t>无随意丢弃、倾倒现象，均合理收集</w:t>
            </w:r>
          </w:p>
          <w:p w14:paraId="61608AE5">
            <w:pPr>
              <w:spacing w:before="16" w:line="225" w:lineRule="auto"/>
              <w:ind w:left="1121"/>
              <w:rPr>
                <w:rFonts w:ascii="仿宋" w:hAnsi="仿宋" w:eastAsia="仿宋" w:cs="仿宋"/>
                <w:sz w:val="18"/>
                <w:szCs w:val="18"/>
              </w:rPr>
            </w:pPr>
            <w:r>
              <w:rPr>
                <w:rFonts w:ascii="仿宋" w:hAnsi="仿宋" w:eastAsia="仿宋" w:cs="仿宋"/>
                <w:spacing w:val="-4"/>
                <w:sz w:val="18"/>
                <w:szCs w:val="18"/>
              </w:rPr>
              <w:t>及处置。</w:t>
            </w:r>
          </w:p>
        </w:tc>
        <w:tc>
          <w:tcPr>
            <w:tcW w:w="1156" w:type="dxa"/>
            <w:vMerge w:val="restart"/>
            <w:tcBorders>
              <w:bottom w:val="nil"/>
              <w:right w:val="single" w:color="000000" w:sz="6" w:space="0"/>
            </w:tcBorders>
            <w:vAlign w:val="top"/>
          </w:tcPr>
          <w:p w14:paraId="4FC466D9">
            <w:pPr>
              <w:spacing w:line="303" w:lineRule="auto"/>
              <w:rPr>
                <w:rFonts w:ascii="Arial"/>
                <w:sz w:val="21"/>
              </w:rPr>
            </w:pPr>
          </w:p>
          <w:p w14:paraId="2350C6A9">
            <w:pPr>
              <w:spacing w:line="304" w:lineRule="auto"/>
              <w:rPr>
                <w:rFonts w:ascii="Arial"/>
                <w:sz w:val="21"/>
              </w:rPr>
            </w:pPr>
          </w:p>
          <w:p w14:paraId="09DACF32">
            <w:pPr>
              <w:spacing w:line="304" w:lineRule="auto"/>
              <w:rPr>
                <w:rFonts w:ascii="Arial"/>
                <w:sz w:val="21"/>
              </w:rPr>
            </w:pPr>
          </w:p>
          <w:p w14:paraId="66F975CE">
            <w:pPr>
              <w:spacing w:before="59" w:line="243" w:lineRule="auto"/>
              <w:ind w:left="267" w:right="171" w:hanging="162"/>
              <w:rPr>
                <w:rFonts w:ascii="仿宋" w:hAnsi="仿宋" w:eastAsia="仿宋" w:cs="仿宋"/>
                <w:sz w:val="18"/>
                <w:szCs w:val="18"/>
              </w:rPr>
            </w:pPr>
            <w:r>
              <w:rPr>
                <w:rFonts w:ascii="仿宋" w:hAnsi="仿宋" w:eastAsia="仿宋" w:cs="仿宋"/>
                <w:spacing w:val="-7"/>
                <w:sz w:val="18"/>
                <w:szCs w:val="18"/>
              </w:rPr>
              <w:t>固废得到合</w:t>
            </w:r>
            <w:r>
              <w:rPr>
                <w:rFonts w:ascii="仿宋" w:hAnsi="仿宋" w:eastAsia="仿宋" w:cs="仿宋"/>
                <w:spacing w:val="-5"/>
                <w:sz w:val="18"/>
                <w:szCs w:val="18"/>
              </w:rPr>
              <w:t>理处置</w:t>
            </w:r>
          </w:p>
        </w:tc>
      </w:tr>
      <w:tr w14:paraId="798A4C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48" w:type="dxa"/>
            <w:vMerge w:val="continue"/>
            <w:tcBorders>
              <w:top w:val="nil"/>
              <w:left w:val="single" w:color="000000" w:sz="6" w:space="0"/>
              <w:bottom w:val="nil"/>
            </w:tcBorders>
            <w:vAlign w:val="top"/>
          </w:tcPr>
          <w:p w14:paraId="0966DA2A">
            <w:pPr>
              <w:rPr>
                <w:rFonts w:ascii="Arial"/>
                <w:sz w:val="21"/>
              </w:rPr>
            </w:pPr>
          </w:p>
        </w:tc>
        <w:tc>
          <w:tcPr>
            <w:tcW w:w="387" w:type="dxa"/>
            <w:vMerge w:val="continue"/>
            <w:tcBorders>
              <w:top w:val="nil"/>
            </w:tcBorders>
            <w:textDirection w:val="tbRlV"/>
            <w:vAlign w:val="top"/>
          </w:tcPr>
          <w:p w14:paraId="16E1FCF9">
            <w:pPr>
              <w:rPr>
                <w:rFonts w:ascii="Arial"/>
                <w:sz w:val="21"/>
              </w:rPr>
            </w:pPr>
          </w:p>
        </w:tc>
        <w:tc>
          <w:tcPr>
            <w:tcW w:w="596" w:type="dxa"/>
            <w:vAlign w:val="top"/>
          </w:tcPr>
          <w:p w14:paraId="0603825C">
            <w:pPr>
              <w:spacing w:before="156" w:line="223" w:lineRule="auto"/>
              <w:ind w:left="34"/>
              <w:rPr>
                <w:rFonts w:ascii="仿宋" w:hAnsi="仿宋" w:eastAsia="仿宋" w:cs="仿宋"/>
                <w:sz w:val="18"/>
                <w:szCs w:val="18"/>
              </w:rPr>
            </w:pPr>
            <w:r>
              <w:rPr>
                <w:rFonts w:ascii="仿宋" w:hAnsi="仿宋" w:eastAsia="仿宋" w:cs="仿宋"/>
                <w:spacing w:val="-5"/>
                <w:sz w:val="18"/>
                <w:szCs w:val="18"/>
              </w:rPr>
              <w:t>运营期</w:t>
            </w:r>
          </w:p>
        </w:tc>
        <w:tc>
          <w:tcPr>
            <w:tcW w:w="2875" w:type="dxa"/>
            <w:vAlign w:val="top"/>
          </w:tcPr>
          <w:p w14:paraId="4665826A">
            <w:pPr>
              <w:spacing w:before="38" w:line="222" w:lineRule="auto"/>
              <w:jc w:val="right"/>
              <w:rPr>
                <w:rFonts w:ascii="仿宋" w:hAnsi="仿宋" w:eastAsia="仿宋" w:cs="仿宋"/>
                <w:sz w:val="18"/>
                <w:szCs w:val="18"/>
              </w:rPr>
            </w:pPr>
            <w:r>
              <w:rPr>
                <w:rFonts w:ascii="仿宋" w:hAnsi="仿宋" w:eastAsia="仿宋" w:cs="仿宋"/>
                <w:spacing w:val="-2"/>
                <w:sz w:val="18"/>
                <w:szCs w:val="18"/>
              </w:rPr>
              <w:t>沿线道路生活垃圾，由环卫部门统一</w:t>
            </w:r>
          </w:p>
          <w:p w14:paraId="6CF18495">
            <w:pPr>
              <w:spacing w:before="17" w:line="194" w:lineRule="auto"/>
              <w:ind w:left="1095"/>
              <w:rPr>
                <w:rFonts w:ascii="仿宋" w:hAnsi="仿宋" w:eastAsia="仿宋" w:cs="仿宋"/>
                <w:sz w:val="18"/>
                <w:szCs w:val="18"/>
              </w:rPr>
            </w:pPr>
            <w:r>
              <w:rPr>
                <w:rFonts w:ascii="仿宋" w:hAnsi="仿宋" w:eastAsia="仿宋" w:cs="仿宋"/>
                <w:spacing w:val="-6"/>
                <w:sz w:val="18"/>
                <w:szCs w:val="18"/>
              </w:rPr>
              <w:t>收集处理</w:t>
            </w:r>
          </w:p>
        </w:tc>
        <w:tc>
          <w:tcPr>
            <w:tcW w:w="2936" w:type="dxa"/>
            <w:vAlign w:val="top"/>
          </w:tcPr>
          <w:p w14:paraId="4D2B8B19">
            <w:pPr>
              <w:spacing w:before="155" w:line="222" w:lineRule="auto"/>
              <w:ind w:left="672"/>
              <w:rPr>
                <w:rFonts w:ascii="仿宋" w:hAnsi="仿宋" w:eastAsia="仿宋" w:cs="仿宋"/>
                <w:sz w:val="18"/>
                <w:szCs w:val="18"/>
              </w:rPr>
            </w:pPr>
            <w:r>
              <w:rPr>
                <w:rFonts w:ascii="仿宋" w:hAnsi="仿宋" w:eastAsia="仿宋" w:cs="仿宋"/>
                <w:spacing w:val="-2"/>
                <w:sz w:val="18"/>
                <w:szCs w:val="18"/>
              </w:rPr>
              <w:t>垃圾收集、处理效果</w:t>
            </w:r>
          </w:p>
        </w:tc>
        <w:tc>
          <w:tcPr>
            <w:tcW w:w="1156" w:type="dxa"/>
            <w:vMerge w:val="continue"/>
            <w:tcBorders>
              <w:top w:val="nil"/>
              <w:right w:val="single" w:color="000000" w:sz="6" w:space="0"/>
            </w:tcBorders>
            <w:vAlign w:val="top"/>
          </w:tcPr>
          <w:p w14:paraId="0F406987">
            <w:pPr>
              <w:rPr>
                <w:rFonts w:ascii="Arial"/>
                <w:sz w:val="21"/>
              </w:rPr>
            </w:pPr>
          </w:p>
        </w:tc>
      </w:tr>
      <w:tr w14:paraId="695BA5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6" w:hRule="atLeast"/>
        </w:trPr>
        <w:tc>
          <w:tcPr>
            <w:tcW w:w="748" w:type="dxa"/>
            <w:vMerge w:val="continue"/>
            <w:tcBorders>
              <w:top w:val="nil"/>
              <w:left w:val="single" w:color="000000" w:sz="6" w:space="0"/>
              <w:bottom w:val="single" w:color="000000" w:sz="6" w:space="0"/>
            </w:tcBorders>
            <w:vAlign w:val="top"/>
          </w:tcPr>
          <w:p w14:paraId="33B16513">
            <w:pPr>
              <w:rPr>
                <w:rFonts w:ascii="Arial"/>
                <w:sz w:val="21"/>
              </w:rPr>
            </w:pPr>
          </w:p>
        </w:tc>
        <w:tc>
          <w:tcPr>
            <w:tcW w:w="387" w:type="dxa"/>
            <w:tcBorders>
              <w:bottom w:val="single" w:color="000000" w:sz="6" w:space="0"/>
            </w:tcBorders>
            <w:textDirection w:val="tbRlV"/>
            <w:vAlign w:val="top"/>
          </w:tcPr>
          <w:p w14:paraId="688761F2">
            <w:pPr>
              <w:spacing w:before="55" w:line="202" w:lineRule="auto"/>
              <w:ind w:left="505"/>
              <w:rPr>
                <w:rFonts w:ascii="仿宋" w:hAnsi="仿宋" w:eastAsia="仿宋" w:cs="仿宋"/>
                <w:sz w:val="18"/>
                <w:szCs w:val="18"/>
              </w:rPr>
            </w:pPr>
            <w:r>
              <w:rPr>
                <w:rFonts w:ascii="仿宋" w:hAnsi="仿宋" w:eastAsia="仿宋" w:cs="仿宋"/>
                <w:spacing w:val="28"/>
                <w:sz w:val="18"/>
                <w:szCs w:val="18"/>
              </w:rPr>
              <w:t>噪声</w:t>
            </w:r>
          </w:p>
        </w:tc>
        <w:tc>
          <w:tcPr>
            <w:tcW w:w="596" w:type="dxa"/>
            <w:tcBorders>
              <w:bottom w:val="single" w:color="000000" w:sz="6" w:space="0"/>
            </w:tcBorders>
            <w:vAlign w:val="top"/>
          </w:tcPr>
          <w:p w14:paraId="3E12E3CD">
            <w:pPr>
              <w:spacing w:line="280" w:lineRule="auto"/>
              <w:rPr>
                <w:rFonts w:ascii="Arial"/>
                <w:sz w:val="21"/>
              </w:rPr>
            </w:pPr>
          </w:p>
          <w:p w14:paraId="41EBB81D">
            <w:pPr>
              <w:spacing w:line="281" w:lineRule="auto"/>
              <w:rPr>
                <w:rFonts w:ascii="Arial"/>
                <w:sz w:val="21"/>
              </w:rPr>
            </w:pPr>
          </w:p>
          <w:p w14:paraId="75B6CCC0">
            <w:pPr>
              <w:spacing w:before="59" w:line="223" w:lineRule="auto"/>
              <w:ind w:left="32"/>
              <w:rPr>
                <w:rFonts w:ascii="仿宋" w:hAnsi="仿宋" w:eastAsia="仿宋" w:cs="仿宋"/>
                <w:sz w:val="18"/>
                <w:szCs w:val="18"/>
              </w:rPr>
            </w:pPr>
            <w:r>
              <w:rPr>
                <w:rFonts w:ascii="仿宋" w:hAnsi="仿宋" w:eastAsia="仿宋" w:cs="仿宋"/>
                <w:spacing w:val="-4"/>
                <w:sz w:val="18"/>
                <w:szCs w:val="18"/>
              </w:rPr>
              <w:t>施工期</w:t>
            </w:r>
          </w:p>
        </w:tc>
        <w:tc>
          <w:tcPr>
            <w:tcW w:w="2875" w:type="dxa"/>
            <w:tcBorders>
              <w:bottom w:val="single" w:color="000000" w:sz="6" w:space="0"/>
            </w:tcBorders>
            <w:vAlign w:val="top"/>
          </w:tcPr>
          <w:p w14:paraId="04C43906">
            <w:pPr>
              <w:spacing w:before="40" w:line="222" w:lineRule="auto"/>
              <w:ind w:right="1"/>
              <w:jc w:val="right"/>
              <w:rPr>
                <w:rFonts w:ascii="仿宋" w:hAnsi="仿宋" w:eastAsia="仿宋" w:cs="仿宋"/>
                <w:sz w:val="18"/>
                <w:szCs w:val="18"/>
              </w:rPr>
            </w:pPr>
            <w:r>
              <w:rPr>
                <w:rFonts w:ascii="仿宋" w:hAnsi="仿宋" w:eastAsia="仿宋" w:cs="仿宋"/>
                <w:spacing w:val="-2"/>
                <w:sz w:val="18"/>
                <w:szCs w:val="18"/>
              </w:rPr>
              <w:t>施工过程采取施工围挡、使用低噪声</w:t>
            </w:r>
          </w:p>
          <w:p w14:paraId="0F569BB0">
            <w:pPr>
              <w:spacing w:before="16" w:line="220" w:lineRule="auto"/>
              <w:jc w:val="right"/>
              <w:rPr>
                <w:rFonts w:ascii="仿宋" w:hAnsi="仿宋" w:eastAsia="仿宋" w:cs="仿宋"/>
                <w:sz w:val="18"/>
                <w:szCs w:val="18"/>
              </w:rPr>
            </w:pPr>
            <w:r>
              <w:rPr>
                <w:rFonts w:ascii="仿宋" w:hAnsi="仿宋" w:eastAsia="仿宋" w:cs="仿宋"/>
                <w:spacing w:val="-2"/>
                <w:sz w:val="18"/>
                <w:szCs w:val="18"/>
              </w:rPr>
              <w:t>设备、科学安排施工作业时间，临近</w:t>
            </w:r>
          </w:p>
          <w:p w14:paraId="4C608417">
            <w:pPr>
              <w:spacing w:before="18" w:line="222" w:lineRule="auto"/>
              <w:jc w:val="right"/>
              <w:rPr>
                <w:rFonts w:ascii="仿宋" w:hAnsi="仿宋" w:eastAsia="仿宋" w:cs="仿宋"/>
                <w:sz w:val="18"/>
                <w:szCs w:val="18"/>
              </w:rPr>
            </w:pPr>
            <w:r>
              <w:rPr>
                <w:rFonts w:ascii="仿宋" w:hAnsi="仿宋" w:eastAsia="仿宋" w:cs="仿宋"/>
                <w:spacing w:val="-3"/>
                <w:sz w:val="18"/>
                <w:szCs w:val="18"/>
              </w:rPr>
              <w:t>敏感目标段午间、夜间禁止施工等。</w:t>
            </w:r>
          </w:p>
          <w:p w14:paraId="4E2C68CC">
            <w:pPr>
              <w:pStyle w:val="6"/>
              <w:spacing w:before="18" w:line="222" w:lineRule="auto"/>
              <w:ind w:left="26"/>
              <w:rPr>
                <w:rFonts w:ascii="仿宋" w:hAnsi="仿宋" w:eastAsia="仿宋" w:cs="仿宋"/>
              </w:rPr>
            </w:pPr>
            <w:r>
              <w:rPr>
                <w:rFonts w:ascii="仿宋" w:hAnsi="仿宋" w:eastAsia="仿宋" w:cs="仿宋"/>
                <w:spacing w:val="-3"/>
              </w:rPr>
              <w:t>对于</w:t>
            </w:r>
            <w:r>
              <w:rPr>
                <w:rFonts w:ascii="仿宋" w:hAnsi="仿宋" w:eastAsia="仿宋" w:cs="仿宋"/>
                <w:spacing w:val="-29"/>
              </w:rPr>
              <w:t xml:space="preserve"> </w:t>
            </w:r>
            <w:r>
              <w:rPr>
                <w:spacing w:val="-3"/>
              </w:rPr>
              <w:t>200m</w:t>
            </w:r>
            <w:r>
              <w:rPr>
                <w:spacing w:val="22"/>
              </w:rPr>
              <w:t xml:space="preserve"> </w:t>
            </w:r>
            <w:r>
              <w:rPr>
                <w:rFonts w:ascii="仿宋" w:hAnsi="仿宋" w:eastAsia="仿宋" w:cs="仿宋"/>
                <w:spacing w:val="-3"/>
              </w:rPr>
              <w:t>范围内的噪声敏感目标，</w:t>
            </w:r>
          </w:p>
          <w:p w14:paraId="71A272D3">
            <w:pPr>
              <w:spacing w:before="15" w:line="222" w:lineRule="auto"/>
              <w:jc w:val="right"/>
              <w:rPr>
                <w:rFonts w:ascii="仿宋" w:hAnsi="仿宋" w:eastAsia="仿宋" w:cs="仿宋"/>
                <w:sz w:val="18"/>
                <w:szCs w:val="18"/>
              </w:rPr>
            </w:pPr>
            <w:r>
              <w:rPr>
                <w:rFonts w:ascii="仿宋" w:hAnsi="仿宋" w:eastAsia="仿宋" w:cs="仿宋"/>
                <w:spacing w:val="-2"/>
                <w:sz w:val="18"/>
                <w:szCs w:val="18"/>
              </w:rPr>
              <w:t>可设置临时隔声屏障，进一步削弱噪</w:t>
            </w:r>
          </w:p>
          <w:p w14:paraId="1B566BFB">
            <w:pPr>
              <w:spacing w:before="17" w:line="204" w:lineRule="auto"/>
              <w:ind w:left="1085"/>
              <w:rPr>
                <w:rFonts w:ascii="仿宋" w:hAnsi="仿宋" w:eastAsia="仿宋" w:cs="仿宋"/>
                <w:sz w:val="18"/>
                <w:szCs w:val="18"/>
              </w:rPr>
            </w:pPr>
            <w:r>
              <w:rPr>
                <w:rFonts w:ascii="仿宋" w:hAnsi="仿宋" w:eastAsia="仿宋" w:cs="仿宋"/>
                <w:spacing w:val="-3"/>
                <w:sz w:val="18"/>
                <w:szCs w:val="18"/>
              </w:rPr>
              <w:t>声传入。</w:t>
            </w:r>
          </w:p>
        </w:tc>
        <w:tc>
          <w:tcPr>
            <w:tcW w:w="2936" w:type="dxa"/>
            <w:tcBorders>
              <w:bottom w:val="single" w:color="000000" w:sz="6" w:space="0"/>
            </w:tcBorders>
            <w:vAlign w:val="top"/>
          </w:tcPr>
          <w:p w14:paraId="5CFCB240">
            <w:pPr>
              <w:spacing w:before="273" w:line="222" w:lineRule="auto"/>
              <w:ind w:left="38"/>
              <w:rPr>
                <w:rFonts w:ascii="仿宋" w:hAnsi="仿宋" w:eastAsia="仿宋" w:cs="仿宋"/>
                <w:sz w:val="18"/>
                <w:szCs w:val="18"/>
              </w:rPr>
            </w:pPr>
            <w:r>
              <w:rPr>
                <w:rFonts w:ascii="仿宋" w:hAnsi="仿宋" w:eastAsia="仿宋" w:cs="仿宋"/>
                <w:spacing w:val="-1"/>
                <w:sz w:val="18"/>
                <w:szCs w:val="18"/>
              </w:rPr>
              <w:t>设置施工围挡，未使用淘汰类施工设</w:t>
            </w:r>
          </w:p>
          <w:p w14:paraId="27D1A0AB">
            <w:pPr>
              <w:pStyle w:val="6"/>
              <w:spacing w:before="16" w:line="222" w:lineRule="auto"/>
              <w:ind w:left="76"/>
            </w:pPr>
            <w:r>
              <w:rPr>
                <w:rFonts w:ascii="仿宋" w:hAnsi="仿宋" w:eastAsia="仿宋" w:cs="仿宋"/>
                <w:spacing w:val="-3"/>
              </w:rPr>
              <w:t>备，夜间未施工；施工期间</w:t>
            </w:r>
            <w:r>
              <w:rPr>
                <w:rFonts w:ascii="仿宋" w:hAnsi="仿宋" w:eastAsia="仿宋" w:cs="仿宋"/>
                <w:spacing w:val="-25"/>
              </w:rPr>
              <w:t xml:space="preserve"> </w:t>
            </w:r>
            <w:r>
              <w:rPr>
                <w:spacing w:val="-3"/>
              </w:rPr>
              <w:t>1</w:t>
            </w:r>
            <w:r>
              <w:rPr>
                <w:spacing w:val="14"/>
                <w:w w:val="101"/>
              </w:rPr>
              <w:t xml:space="preserve"> </w:t>
            </w:r>
            <w:r>
              <w:rPr>
                <w:rFonts w:ascii="仿宋" w:hAnsi="仿宋" w:eastAsia="仿宋" w:cs="仿宋"/>
                <w:spacing w:val="-3"/>
              </w:rPr>
              <w:t>次</w:t>
            </w:r>
            <w:r>
              <w:rPr>
                <w:spacing w:val="-3"/>
              </w:rPr>
              <w:t>/</w:t>
            </w:r>
            <w:r>
              <w:rPr>
                <w:rFonts w:ascii="仿宋" w:hAnsi="仿宋" w:eastAsia="仿宋" w:cs="仿宋"/>
                <w:spacing w:val="-3"/>
              </w:rPr>
              <w:t>季</w:t>
            </w:r>
            <w:r>
              <w:rPr>
                <w:spacing w:val="-3"/>
              </w:rPr>
              <w:t>•</w:t>
            </w:r>
          </w:p>
          <w:p w14:paraId="5AC482DD">
            <w:pPr>
              <w:pStyle w:val="6"/>
              <w:spacing w:before="16" w:line="222" w:lineRule="auto"/>
              <w:ind w:left="40"/>
              <w:rPr>
                <w:rFonts w:ascii="仿宋" w:hAnsi="仿宋" w:eastAsia="仿宋" w:cs="仿宋"/>
              </w:rPr>
            </w:pPr>
            <w:r>
              <w:rPr>
                <w:rFonts w:ascii="仿宋" w:hAnsi="仿宋" w:eastAsia="仿宋" w:cs="仿宋"/>
                <w:spacing w:val="-2"/>
              </w:rPr>
              <w:t>处，必要时随机抽测，</w:t>
            </w:r>
            <w:r>
              <w:rPr>
                <w:spacing w:val="-2"/>
              </w:rPr>
              <w:t>1</w:t>
            </w:r>
            <w:r>
              <w:rPr>
                <w:spacing w:val="20"/>
              </w:rPr>
              <w:t xml:space="preserve"> </w:t>
            </w:r>
            <w:r>
              <w:rPr>
                <w:rFonts w:ascii="仿宋" w:hAnsi="仿宋" w:eastAsia="仿宋" w:cs="仿宋"/>
                <w:spacing w:val="-2"/>
              </w:rPr>
              <w:t>天</w:t>
            </w:r>
            <w:r>
              <w:rPr>
                <w:spacing w:val="-2"/>
              </w:rPr>
              <w:t>/</w:t>
            </w:r>
            <w:r>
              <w:rPr>
                <w:rFonts w:ascii="仿宋" w:hAnsi="仿宋" w:eastAsia="仿宋" w:cs="仿宋"/>
                <w:spacing w:val="-2"/>
              </w:rPr>
              <w:t>次，昼夜</w:t>
            </w:r>
          </w:p>
          <w:p w14:paraId="080CDA97">
            <w:pPr>
              <w:spacing w:before="18" w:line="223" w:lineRule="auto"/>
              <w:ind w:left="1120"/>
              <w:rPr>
                <w:rFonts w:ascii="仿宋" w:hAnsi="仿宋" w:eastAsia="仿宋" w:cs="仿宋"/>
                <w:sz w:val="18"/>
                <w:szCs w:val="18"/>
              </w:rPr>
            </w:pPr>
            <w:r>
              <w:rPr>
                <w:rFonts w:ascii="仿宋" w:hAnsi="仿宋" w:eastAsia="仿宋" w:cs="仿宋"/>
                <w:spacing w:val="-4"/>
                <w:sz w:val="18"/>
                <w:szCs w:val="18"/>
              </w:rPr>
              <w:t>各一次。</w:t>
            </w:r>
          </w:p>
        </w:tc>
        <w:tc>
          <w:tcPr>
            <w:tcW w:w="1156" w:type="dxa"/>
            <w:tcBorders>
              <w:bottom w:val="single" w:color="000000" w:sz="6" w:space="0"/>
              <w:right w:val="single" w:color="000000" w:sz="6" w:space="0"/>
            </w:tcBorders>
            <w:vAlign w:val="top"/>
          </w:tcPr>
          <w:p w14:paraId="13F5A5E9">
            <w:pPr>
              <w:spacing w:before="52" w:line="222" w:lineRule="auto"/>
              <w:ind w:left="87"/>
              <w:rPr>
                <w:rFonts w:ascii="仿宋" w:hAnsi="仿宋" w:eastAsia="仿宋" w:cs="仿宋"/>
                <w:sz w:val="18"/>
                <w:szCs w:val="18"/>
              </w:rPr>
            </w:pPr>
            <w:r>
              <w:rPr>
                <w:rFonts w:ascii="仿宋" w:hAnsi="仿宋" w:eastAsia="仿宋" w:cs="仿宋"/>
                <w:spacing w:val="-3"/>
                <w:sz w:val="18"/>
                <w:szCs w:val="18"/>
              </w:rPr>
              <w:t>《声环境质</w:t>
            </w:r>
          </w:p>
          <w:p w14:paraId="36D3D921">
            <w:pPr>
              <w:spacing w:before="16" w:line="222" w:lineRule="auto"/>
              <w:ind w:left="180"/>
              <w:rPr>
                <w:rFonts w:ascii="仿宋" w:hAnsi="仿宋" w:eastAsia="仿宋" w:cs="仿宋"/>
                <w:sz w:val="18"/>
                <w:szCs w:val="18"/>
              </w:rPr>
            </w:pPr>
            <w:r>
              <w:rPr>
                <w:rFonts w:ascii="仿宋" w:hAnsi="仿宋" w:eastAsia="仿宋" w:cs="仿宋"/>
                <w:spacing w:val="-4"/>
                <w:sz w:val="18"/>
                <w:szCs w:val="18"/>
              </w:rPr>
              <w:t>量标准》</w:t>
            </w:r>
          </w:p>
          <w:p w14:paraId="7A2FCCCB">
            <w:pPr>
              <w:pStyle w:val="6"/>
              <w:spacing w:before="29" w:line="192" w:lineRule="auto"/>
              <w:ind w:left="31"/>
            </w:pPr>
            <w:r>
              <w:rPr>
                <w:spacing w:val="-1"/>
              </w:rPr>
              <w:t>(GB3096-200</w:t>
            </w:r>
          </w:p>
          <w:p w14:paraId="12E029D4">
            <w:pPr>
              <w:pStyle w:val="6"/>
              <w:spacing w:before="27" w:line="212" w:lineRule="auto"/>
              <w:ind w:left="18"/>
              <w:rPr>
                <w:rFonts w:ascii="仿宋" w:hAnsi="仿宋" w:eastAsia="仿宋" w:cs="仿宋"/>
              </w:rPr>
            </w:pPr>
            <w:r>
              <w:t xml:space="preserve">8)1 </w:t>
            </w:r>
            <w:r>
              <w:rPr>
                <w:rFonts w:ascii="仿宋" w:hAnsi="仿宋" w:eastAsia="仿宋" w:cs="仿宋"/>
              </w:rPr>
              <w:t>类和</w:t>
            </w:r>
            <w:r>
              <w:t xml:space="preserve">4a </w:t>
            </w:r>
            <w:r>
              <w:rPr>
                <w:rFonts w:ascii="仿宋" w:hAnsi="仿宋" w:eastAsia="仿宋" w:cs="仿宋"/>
              </w:rPr>
              <w:t>类</w:t>
            </w:r>
          </w:p>
          <w:p w14:paraId="473C888B">
            <w:pPr>
              <w:spacing w:before="28" w:line="221" w:lineRule="auto"/>
              <w:ind w:left="18"/>
              <w:rPr>
                <w:rFonts w:ascii="仿宋" w:hAnsi="仿宋" w:eastAsia="仿宋" w:cs="仿宋"/>
                <w:sz w:val="18"/>
                <w:szCs w:val="18"/>
              </w:rPr>
            </w:pPr>
            <w:r>
              <w:rPr>
                <w:rFonts w:ascii="仿宋" w:hAnsi="仿宋" w:eastAsia="仿宋" w:cs="仿宋"/>
                <w:spacing w:val="-10"/>
                <w:sz w:val="18"/>
                <w:szCs w:val="18"/>
              </w:rPr>
              <w:t>标准，详细与</w:t>
            </w:r>
          </w:p>
          <w:p w14:paraId="1C105DE8">
            <w:pPr>
              <w:spacing w:before="17" w:line="219" w:lineRule="auto"/>
              <w:ind w:left="86"/>
              <w:rPr>
                <w:rFonts w:ascii="仿宋" w:hAnsi="仿宋" w:eastAsia="仿宋" w:cs="仿宋"/>
                <w:sz w:val="18"/>
                <w:szCs w:val="18"/>
              </w:rPr>
            </w:pPr>
            <w:r>
              <w:rPr>
                <w:rFonts w:ascii="仿宋" w:hAnsi="仿宋" w:eastAsia="仿宋" w:cs="仿宋"/>
                <w:spacing w:val="-3"/>
                <w:sz w:val="18"/>
                <w:szCs w:val="18"/>
              </w:rPr>
              <w:t>现状保护目</w:t>
            </w:r>
          </w:p>
        </w:tc>
      </w:tr>
    </w:tbl>
    <w:p w14:paraId="29FA825C">
      <w:pPr>
        <w:pStyle w:val="2"/>
        <w:spacing w:line="202" w:lineRule="exact"/>
        <w:rPr>
          <w:sz w:val="17"/>
        </w:rPr>
      </w:pPr>
    </w:p>
    <w:p w14:paraId="5CA46646">
      <w:pPr>
        <w:spacing w:line="202" w:lineRule="exact"/>
        <w:rPr>
          <w:sz w:val="17"/>
          <w:szCs w:val="17"/>
        </w:rPr>
        <w:sectPr>
          <w:footerReference r:id="rId73" w:type="default"/>
          <w:pgSz w:w="11907" w:h="16840"/>
          <w:pgMar w:top="400" w:right="1597" w:bottom="1446" w:left="1596" w:header="0" w:footer="1284" w:gutter="0"/>
          <w:cols w:space="720" w:num="1"/>
        </w:sectPr>
      </w:pPr>
    </w:p>
    <w:p w14:paraId="7625E205">
      <w:pPr>
        <w:spacing w:before="19"/>
      </w:pPr>
    </w:p>
    <w:p w14:paraId="0FF45FA4">
      <w:pPr>
        <w:spacing w:before="19"/>
      </w:pPr>
    </w:p>
    <w:p w14:paraId="71EEC56D">
      <w:pPr>
        <w:spacing w:before="18"/>
      </w:pPr>
    </w:p>
    <w:p w14:paraId="4A99D562">
      <w:pPr>
        <w:spacing w:before="18"/>
      </w:pPr>
    </w:p>
    <w:tbl>
      <w:tblPr>
        <w:tblStyle w:val="5"/>
        <w:tblW w:w="8698"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48"/>
        <w:gridCol w:w="7950"/>
      </w:tblGrid>
      <w:tr w14:paraId="363DD2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251" w:hRule="atLeast"/>
        </w:trPr>
        <w:tc>
          <w:tcPr>
            <w:tcW w:w="748" w:type="dxa"/>
            <w:tcBorders>
              <w:bottom w:val="single" w:color="000000" w:sz="2" w:space="0"/>
              <w:right w:val="single" w:color="000000" w:sz="2" w:space="0"/>
            </w:tcBorders>
            <w:vAlign w:val="top"/>
          </w:tcPr>
          <w:p w14:paraId="52BF4707">
            <w:pPr>
              <w:rPr>
                <w:rFonts w:ascii="Arial"/>
                <w:sz w:val="21"/>
              </w:rPr>
            </w:pPr>
          </w:p>
        </w:tc>
        <w:tc>
          <w:tcPr>
            <w:tcW w:w="7950" w:type="dxa"/>
            <w:tcBorders>
              <w:left w:val="single" w:color="000000" w:sz="2" w:space="0"/>
              <w:bottom w:val="single" w:color="000000" w:sz="2" w:space="0"/>
            </w:tcBorders>
            <w:vAlign w:val="top"/>
          </w:tcPr>
          <w:p w14:paraId="18F5478F">
            <w:pPr>
              <w:spacing w:line="33" w:lineRule="exact"/>
            </w:pPr>
          </w:p>
          <w:tbl>
            <w:tblPr>
              <w:tblStyle w:val="5"/>
              <w:tblW w:w="7738" w:type="dxa"/>
              <w:tblInd w:w="9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80"/>
              <w:gridCol w:w="597"/>
              <w:gridCol w:w="2880"/>
              <w:gridCol w:w="2941"/>
              <w:gridCol w:w="1040"/>
            </w:tblGrid>
            <w:tr w14:paraId="030AF6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5" w:hRule="atLeast"/>
              </w:trPr>
              <w:tc>
                <w:tcPr>
                  <w:tcW w:w="280" w:type="dxa"/>
                  <w:tcBorders>
                    <w:top w:val="nil"/>
                    <w:left w:val="nil"/>
                  </w:tcBorders>
                  <w:vAlign w:val="top"/>
                </w:tcPr>
                <w:p w14:paraId="4198D18B">
                  <w:pPr>
                    <w:rPr>
                      <w:rFonts w:ascii="Arial"/>
                      <w:sz w:val="21"/>
                    </w:rPr>
                  </w:pPr>
                </w:p>
              </w:tc>
              <w:tc>
                <w:tcPr>
                  <w:tcW w:w="597" w:type="dxa"/>
                  <w:tcBorders>
                    <w:top w:val="nil"/>
                  </w:tcBorders>
                  <w:vAlign w:val="top"/>
                </w:tcPr>
                <w:p w14:paraId="13B8FD79">
                  <w:pPr>
                    <w:spacing w:line="296" w:lineRule="auto"/>
                    <w:rPr>
                      <w:rFonts w:ascii="Arial"/>
                      <w:sz w:val="21"/>
                    </w:rPr>
                  </w:pPr>
                </w:p>
                <w:p w14:paraId="7967DD4D">
                  <w:pPr>
                    <w:spacing w:before="59" w:line="223" w:lineRule="auto"/>
                    <w:ind w:left="39"/>
                    <w:rPr>
                      <w:rFonts w:ascii="仿宋" w:hAnsi="仿宋" w:eastAsia="仿宋" w:cs="仿宋"/>
                      <w:sz w:val="18"/>
                      <w:szCs w:val="18"/>
                    </w:rPr>
                  </w:pPr>
                  <w:r>
                    <w:rPr>
                      <w:rFonts w:ascii="仿宋" w:hAnsi="仿宋" w:eastAsia="仿宋" w:cs="仿宋"/>
                      <w:spacing w:val="-5"/>
                      <w:sz w:val="18"/>
                      <w:szCs w:val="18"/>
                    </w:rPr>
                    <w:t>运营期</w:t>
                  </w:r>
                </w:p>
              </w:tc>
              <w:tc>
                <w:tcPr>
                  <w:tcW w:w="2880" w:type="dxa"/>
                  <w:tcBorders>
                    <w:top w:val="nil"/>
                  </w:tcBorders>
                  <w:vAlign w:val="top"/>
                </w:tcPr>
                <w:p w14:paraId="43773D7B">
                  <w:pPr>
                    <w:spacing w:before="9" w:line="222" w:lineRule="auto"/>
                    <w:ind w:right="2"/>
                    <w:jc w:val="right"/>
                    <w:rPr>
                      <w:rFonts w:ascii="仿宋" w:hAnsi="仿宋" w:eastAsia="仿宋" w:cs="仿宋"/>
                      <w:sz w:val="18"/>
                      <w:szCs w:val="18"/>
                    </w:rPr>
                  </w:pPr>
                  <w:r>
                    <w:rPr>
                      <w:rFonts w:ascii="仿宋" w:hAnsi="仿宋" w:eastAsia="仿宋" w:cs="仿宋"/>
                      <w:spacing w:val="-2"/>
                      <w:sz w:val="18"/>
                      <w:szCs w:val="18"/>
                    </w:rPr>
                    <w:t>路边设置限速标志，降低交通噪声的</w:t>
                  </w:r>
                </w:p>
                <w:p w14:paraId="2A9CBA2B">
                  <w:pPr>
                    <w:pStyle w:val="6"/>
                    <w:spacing w:before="16" w:line="222" w:lineRule="auto"/>
                    <w:ind w:left="30"/>
                    <w:rPr>
                      <w:rFonts w:ascii="仿宋" w:hAnsi="仿宋" w:eastAsia="仿宋" w:cs="仿宋"/>
                    </w:rPr>
                  </w:pPr>
                  <w:r>
                    <w:rPr>
                      <w:rFonts w:ascii="仿宋" w:hAnsi="仿宋" w:eastAsia="仿宋" w:cs="仿宋"/>
                      <w:spacing w:val="-3"/>
                    </w:rPr>
                    <w:t>影响。对于</w:t>
                  </w:r>
                  <w:r>
                    <w:rPr>
                      <w:rFonts w:ascii="仿宋" w:hAnsi="仿宋" w:eastAsia="仿宋" w:cs="仿宋"/>
                      <w:spacing w:val="-30"/>
                    </w:rPr>
                    <w:t xml:space="preserve"> </w:t>
                  </w:r>
                  <w:r>
                    <w:rPr>
                      <w:spacing w:val="-3"/>
                    </w:rPr>
                    <w:t>200m</w:t>
                  </w:r>
                  <w:r>
                    <w:rPr>
                      <w:spacing w:val="22"/>
                      <w:w w:val="101"/>
                    </w:rPr>
                    <w:t xml:space="preserve"> </w:t>
                  </w:r>
                  <w:r>
                    <w:rPr>
                      <w:rFonts w:ascii="仿宋" w:hAnsi="仿宋" w:eastAsia="仿宋" w:cs="仿宋"/>
                      <w:spacing w:val="-3"/>
                    </w:rPr>
                    <w:t>范围内的噪声敏感</w:t>
                  </w:r>
                </w:p>
                <w:p w14:paraId="640F3D0B">
                  <w:pPr>
                    <w:spacing w:before="16" w:line="222" w:lineRule="auto"/>
                    <w:jc w:val="right"/>
                    <w:rPr>
                      <w:rFonts w:ascii="仿宋" w:hAnsi="仿宋" w:eastAsia="仿宋" w:cs="仿宋"/>
                      <w:sz w:val="18"/>
                      <w:szCs w:val="18"/>
                    </w:rPr>
                  </w:pPr>
                  <w:r>
                    <w:rPr>
                      <w:rFonts w:ascii="仿宋" w:hAnsi="仿宋" w:eastAsia="仿宋" w:cs="仿宋"/>
                      <w:spacing w:val="-6"/>
                      <w:sz w:val="18"/>
                      <w:szCs w:val="18"/>
                    </w:rPr>
                    <w:t>目标，路边设立夜间禁止鸣笛标志，</w:t>
                  </w:r>
                </w:p>
                <w:p w14:paraId="5747FD65">
                  <w:pPr>
                    <w:spacing w:before="18" w:line="200" w:lineRule="auto"/>
                    <w:ind w:left="552"/>
                    <w:rPr>
                      <w:rFonts w:ascii="仿宋" w:hAnsi="仿宋" w:eastAsia="仿宋" w:cs="仿宋"/>
                      <w:sz w:val="18"/>
                      <w:szCs w:val="18"/>
                    </w:rPr>
                  </w:pPr>
                  <w:r>
                    <w:rPr>
                      <w:rFonts w:ascii="仿宋" w:hAnsi="仿宋" w:eastAsia="仿宋" w:cs="仿宋"/>
                      <w:spacing w:val="-2"/>
                      <w:sz w:val="18"/>
                      <w:szCs w:val="18"/>
                    </w:rPr>
                    <w:t>可有效削弱噪声传入。</w:t>
                  </w:r>
                </w:p>
              </w:tc>
              <w:tc>
                <w:tcPr>
                  <w:tcW w:w="2941" w:type="dxa"/>
                  <w:tcBorders>
                    <w:top w:val="nil"/>
                  </w:tcBorders>
                  <w:vAlign w:val="top"/>
                </w:tcPr>
                <w:p w14:paraId="31FCF802">
                  <w:pPr>
                    <w:pStyle w:val="6"/>
                    <w:spacing w:before="123" w:line="222" w:lineRule="auto"/>
                    <w:jc w:val="right"/>
                    <w:rPr>
                      <w:rFonts w:ascii="仿宋" w:hAnsi="仿宋" w:eastAsia="仿宋" w:cs="仿宋"/>
                    </w:rPr>
                  </w:pPr>
                  <w:r>
                    <w:rPr>
                      <w:rFonts w:ascii="仿宋" w:hAnsi="仿宋" w:eastAsia="仿宋" w:cs="仿宋"/>
                      <w:spacing w:val="-9"/>
                    </w:rPr>
                    <w:t>村庄设置限速禁鸣标志；近期</w:t>
                  </w:r>
                  <w:r>
                    <w:rPr>
                      <w:spacing w:val="-9"/>
                    </w:rPr>
                    <w:t>2</w:t>
                  </w:r>
                  <w:r>
                    <w:rPr>
                      <w:spacing w:val="18"/>
                    </w:rPr>
                    <w:t xml:space="preserve"> </w:t>
                  </w:r>
                  <w:r>
                    <w:rPr>
                      <w:rFonts w:ascii="仿宋" w:hAnsi="仿宋" w:eastAsia="仿宋" w:cs="仿宋"/>
                      <w:spacing w:val="-9"/>
                    </w:rPr>
                    <w:t>次</w:t>
                  </w:r>
                  <w:r>
                    <w:rPr>
                      <w:spacing w:val="-9"/>
                    </w:rPr>
                    <w:t>/</w:t>
                  </w:r>
                  <w:r>
                    <w:rPr>
                      <w:rFonts w:ascii="仿宋" w:hAnsi="仿宋" w:eastAsia="仿宋" w:cs="仿宋"/>
                      <w:spacing w:val="-9"/>
                    </w:rPr>
                    <w:t>年，</w:t>
                  </w:r>
                </w:p>
                <w:p w14:paraId="23AE570F">
                  <w:pPr>
                    <w:pStyle w:val="6"/>
                    <w:spacing w:before="17" w:line="222" w:lineRule="auto"/>
                    <w:jc w:val="right"/>
                    <w:rPr>
                      <w:rFonts w:ascii="仿宋" w:hAnsi="仿宋" w:eastAsia="仿宋" w:cs="仿宋"/>
                    </w:rPr>
                  </w:pPr>
                  <w:r>
                    <w:rPr>
                      <w:spacing w:val="-11"/>
                    </w:rPr>
                    <w:t>2</w:t>
                  </w:r>
                  <w:r>
                    <w:rPr>
                      <w:spacing w:val="18"/>
                    </w:rPr>
                    <w:t xml:space="preserve"> </w:t>
                  </w:r>
                  <w:r>
                    <w:rPr>
                      <w:rFonts w:ascii="仿宋" w:hAnsi="仿宋" w:eastAsia="仿宋" w:cs="仿宋"/>
                      <w:spacing w:val="-11"/>
                    </w:rPr>
                    <w:t>天</w:t>
                  </w:r>
                  <w:r>
                    <w:rPr>
                      <w:spacing w:val="-11"/>
                    </w:rPr>
                    <w:t>/</w:t>
                  </w:r>
                  <w:r>
                    <w:rPr>
                      <w:rFonts w:ascii="仿宋" w:hAnsi="仿宋" w:eastAsia="仿宋" w:cs="仿宋"/>
                      <w:spacing w:val="-11"/>
                    </w:rPr>
                    <w:t>次，每天昼间、夜间各监测</w:t>
                  </w:r>
                  <w:r>
                    <w:rPr>
                      <w:rFonts w:ascii="仿宋" w:hAnsi="仿宋" w:eastAsia="仿宋" w:cs="仿宋"/>
                      <w:spacing w:val="-25"/>
                    </w:rPr>
                    <w:t xml:space="preserve"> </w:t>
                  </w:r>
                  <w:r>
                    <w:rPr>
                      <w:spacing w:val="-11"/>
                    </w:rPr>
                    <w:t xml:space="preserve">1  </w:t>
                  </w:r>
                  <w:r>
                    <w:rPr>
                      <w:rFonts w:ascii="仿宋" w:hAnsi="仿宋" w:eastAsia="仿宋" w:cs="仿宋"/>
                      <w:spacing w:val="-11"/>
                    </w:rPr>
                    <w:t>次；</w:t>
                  </w:r>
                </w:p>
                <w:p w14:paraId="579AEF1F">
                  <w:pPr>
                    <w:spacing w:before="16" w:line="222" w:lineRule="auto"/>
                    <w:ind w:left="332"/>
                    <w:rPr>
                      <w:rFonts w:ascii="仿宋" w:hAnsi="仿宋" w:eastAsia="仿宋" w:cs="仿宋"/>
                      <w:sz w:val="18"/>
                      <w:szCs w:val="18"/>
                    </w:rPr>
                  </w:pPr>
                  <w:r>
                    <w:rPr>
                      <w:rFonts w:ascii="仿宋" w:hAnsi="仿宋" w:eastAsia="仿宋" w:cs="仿宋"/>
                      <w:spacing w:val="-3"/>
                      <w:sz w:val="18"/>
                      <w:szCs w:val="18"/>
                    </w:rPr>
                    <w:t>中远期可适当减少监测频次。</w:t>
                  </w:r>
                </w:p>
              </w:tc>
              <w:tc>
                <w:tcPr>
                  <w:tcW w:w="1040" w:type="dxa"/>
                  <w:tcBorders>
                    <w:top w:val="nil"/>
                    <w:right w:val="nil"/>
                  </w:tcBorders>
                  <w:vAlign w:val="top"/>
                </w:tcPr>
                <w:p w14:paraId="689E5538">
                  <w:pPr>
                    <w:spacing w:before="9" w:line="222" w:lineRule="auto"/>
                    <w:jc w:val="right"/>
                    <w:rPr>
                      <w:rFonts w:ascii="仿宋" w:hAnsi="仿宋" w:eastAsia="仿宋" w:cs="仿宋"/>
                      <w:sz w:val="18"/>
                      <w:szCs w:val="18"/>
                    </w:rPr>
                  </w:pPr>
                  <w:r>
                    <w:rPr>
                      <w:rFonts w:ascii="仿宋" w:hAnsi="仿宋" w:eastAsia="仿宋" w:cs="仿宋"/>
                      <w:spacing w:val="-10"/>
                      <w:sz w:val="18"/>
                      <w:szCs w:val="18"/>
                    </w:rPr>
                    <w:t>标一致，见噪</w:t>
                  </w:r>
                </w:p>
                <w:p w14:paraId="5900FA43">
                  <w:pPr>
                    <w:pStyle w:val="6"/>
                    <w:spacing w:before="16" w:line="222" w:lineRule="auto"/>
                    <w:ind w:left="51"/>
                  </w:pPr>
                  <w:r>
                    <w:rPr>
                      <w:rFonts w:ascii="仿宋" w:hAnsi="仿宋" w:eastAsia="仿宋" w:cs="仿宋"/>
                      <w:spacing w:val="-1"/>
                    </w:rPr>
                    <w:t>声专项评价</w:t>
                  </w:r>
                  <w:r>
                    <w:rPr>
                      <w:spacing w:val="-1"/>
                    </w:rPr>
                    <w:t>-</w:t>
                  </w:r>
                </w:p>
                <w:p w14:paraId="6534DF28">
                  <w:pPr>
                    <w:spacing w:before="16" w:line="222" w:lineRule="auto"/>
                    <w:ind w:left="80"/>
                    <w:rPr>
                      <w:rFonts w:ascii="仿宋" w:hAnsi="仿宋" w:eastAsia="仿宋" w:cs="仿宋"/>
                      <w:sz w:val="18"/>
                      <w:szCs w:val="18"/>
                    </w:rPr>
                  </w:pPr>
                  <w:r>
                    <w:rPr>
                      <w:rFonts w:ascii="仿宋" w:hAnsi="仿宋" w:eastAsia="仿宋" w:cs="仿宋"/>
                      <w:spacing w:val="-3"/>
                      <w:sz w:val="18"/>
                      <w:szCs w:val="18"/>
                    </w:rPr>
                    <w:t>声环境现状</w:t>
                  </w:r>
                </w:p>
                <w:p w14:paraId="63AC057A">
                  <w:pPr>
                    <w:spacing w:before="18" w:line="200" w:lineRule="auto"/>
                    <w:ind w:left="172"/>
                    <w:rPr>
                      <w:rFonts w:ascii="仿宋" w:hAnsi="仿宋" w:eastAsia="仿宋" w:cs="仿宋"/>
                      <w:sz w:val="18"/>
                      <w:szCs w:val="18"/>
                    </w:rPr>
                  </w:pPr>
                  <w:r>
                    <w:rPr>
                      <w:rFonts w:ascii="仿宋" w:hAnsi="仿宋" w:eastAsia="仿宋" w:cs="仿宋"/>
                      <w:spacing w:val="-4"/>
                      <w:sz w:val="18"/>
                      <w:szCs w:val="18"/>
                    </w:rPr>
                    <w:t>评价章节</w:t>
                  </w:r>
                </w:p>
              </w:tc>
            </w:tr>
            <w:tr w14:paraId="24D795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62" w:hRule="atLeast"/>
              </w:trPr>
              <w:tc>
                <w:tcPr>
                  <w:tcW w:w="280" w:type="dxa"/>
                  <w:vMerge w:val="restart"/>
                  <w:tcBorders>
                    <w:left w:val="nil"/>
                    <w:bottom w:val="nil"/>
                  </w:tcBorders>
                  <w:textDirection w:val="tbRlV"/>
                  <w:vAlign w:val="top"/>
                </w:tcPr>
                <w:p w14:paraId="01A874BB">
                  <w:pPr>
                    <w:spacing w:before="50" w:line="198" w:lineRule="auto"/>
                    <w:ind w:left="970"/>
                    <w:rPr>
                      <w:rFonts w:ascii="仿宋" w:hAnsi="仿宋" w:eastAsia="仿宋" w:cs="仿宋"/>
                      <w:sz w:val="18"/>
                      <w:szCs w:val="18"/>
                    </w:rPr>
                  </w:pPr>
                  <w:r>
                    <w:rPr>
                      <w:rFonts w:ascii="仿宋" w:hAnsi="仿宋" w:eastAsia="仿宋" w:cs="仿宋"/>
                      <w:spacing w:val="40"/>
                      <w:sz w:val="18"/>
                      <w:szCs w:val="18"/>
                    </w:rPr>
                    <w:t>生态恢复</w:t>
                  </w:r>
                </w:p>
              </w:tc>
              <w:tc>
                <w:tcPr>
                  <w:tcW w:w="597" w:type="dxa"/>
                  <w:vAlign w:val="top"/>
                </w:tcPr>
                <w:p w14:paraId="22367465">
                  <w:pPr>
                    <w:spacing w:line="261" w:lineRule="auto"/>
                    <w:rPr>
                      <w:rFonts w:ascii="Arial"/>
                      <w:sz w:val="21"/>
                    </w:rPr>
                  </w:pPr>
                </w:p>
                <w:p w14:paraId="7C7C36E5">
                  <w:pPr>
                    <w:spacing w:line="261" w:lineRule="auto"/>
                    <w:rPr>
                      <w:rFonts w:ascii="Arial"/>
                      <w:sz w:val="21"/>
                    </w:rPr>
                  </w:pPr>
                </w:p>
                <w:p w14:paraId="12BD0523">
                  <w:pPr>
                    <w:spacing w:line="262" w:lineRule="auto"/>
                    <w:rPr>
                      <w:rFonts w:ascii="Arial"/>
                      <w:sz w:val="21"/>
                    </w:rPr>
                  </w:pPr>
                </w:p>
                <w:p w14:paraId="1FA1905B">
                  <w:pPr>
                    <w:spacing w:before="59" w:line="223" w:lineRule="auto"/>
                    <w:ind w:left="37"/>
                    <w:rPr>
                      <w:rFonts w:ascii="仿宋" w:hAnsi="仿宋" w:eastAsia="仿宋" w:cs="仿宋"/>
                      <w:sz w:val="18"/>
                      <w:szCs w:val="18"/>
                    </w:rPr>
                  </w:pPr>
                  <w:r>
                    <w:rPr>
                      <w:rFonts w:ascii="仿宋" w:hAnsi="仿宋" w:eastAsia="仿宋" w:cs="仿宋"/>
                      <w:spacing w:val="-4"/>
                      <w:sz w:val="18"/>
                      <w:szCs w:val="18"/>
                    </w:rPr>
                    <w:t>施工期</w:t>
                  </w:r>
                </w:p>
              </w:tc>
              <w:tc>
                <w:tcPr>
                  <w:tcW w:w="2880" w:type="dxa"/>
                  <w:vAlign w:val="top"/>
                </w:tcPr>
                <w:p w14:paraId="4378D780">
                  <w:pPr>
                    <w:spacing w:before="32" w:line="220" w:lineRule="auto"/>
                    <w:ind w:right="2"/>
                    <w:jc w:val="right"/>
                    <w:rPr>
                      <w:rFonts w:ascii="仿宋" w:hAnsi="仿宋" w:eastAsia="仿宋" w:cs="仿宋"/>
                      <w:sz w:val="18"/>
                      <w:szCs w:val="18"/>
                    </w:rPr>
                  </w:pPr>
                  <w:r>
                    <w:rPr>
                      <w:rFonts w:ascii="仿宋" w:hAnsi="仿宋" w:eastAsia="仿宋" w:cs="仿宋"/>
                      <w:spacing w:val="-3"/>
                      <w:sz w:val="18"/>
                      <w:szCs w:val="18"/>
                    </w:rPr>
                    <w:t>限制施工作业区范围，开挖区表土单</w:t>
                  </w:r>
                </w:p>
                <w:p w14:paraId="27A68E84">
                  <w:pPr>
                    <w:spacing w:before="18" w:line="219" w:lineRule="auto"/>
                    <w:ind w:right="2"/>
                    <w:jc w:val="right"/>
                    <w:rPr>
                      <w:rFonts w:ascii="仿宋" w:hAnsi="仿宋" w:eastAsia="仿宋" w:cs="仿宋"/>
                      <w:sz w:val="18"/>
                      <w:szCs w:val="18"/>
                    </w:rPr>
                  </w:pPr>
                  <w:r>
                    <w:rPr>
                      <w:rFonts w:ascii="仿宋" w:hAnsi="仿宋" w:eastAsia="仿宋" w:cs="仿宋"/>
                      <w:spacing w:val="-2"/>
                      <w:sz w:val="18"/>
                      <w:szCs w:val="18"/>
                    </w:rPr>
                    <w:t>独堆存，妥善保存用于道路沿线占地</w:t>
                  </w:r>
                </w:p>
                <w:p w14:paraId="3D9D5D42">
                  <w:pPr>
                    <w:spacing w:before="19" w:line="220" w:lineRule="auto"/>
                    <w:ind w:right="2"/>
                    <w:jc w:val="right"/>
                    <w:rPr>
                      <w:rFonts w:ascii="仿宋" w:hAnsi="仿宋" w:eastAsia="仿宋" w:cs="仿宋"/>
                      <w:sz w:val="18"/>
                      <w:szCs w:val="18"/>
                    </w:rPr>
                  </w:pPr>
                  <w:r>
                    <w:rPr>
                      <w:rFonts w:ascii="仿宋" w:hAnsi="仿宋" w:eastAsia="仿宋" w:cs="仿宋"/>
                      <w:spacing w:val="-2"/>
                      <w:sz w:val="18"/>
                      <w:szCs w:val="18"/>
                    </w:rPr>
                    <w:t>范围内。施工结束后，立即对路基边</w:t>
                  </w:r>
                </w:p>
                <w:p w14:paraId="1660C372">
                  <w:pPr>
                    <w:spacing w:before="18" w:line="220" w:lineRule="auto"/>
                    <w:ind w:left="98"/>
                    <w:rPr>
                      <w:rFonts w:ascii="仿宋" w:hAnsi="仿宋" w:eastAsia="仿宋" w:cs="仿宋"/>
                      <w:sz w:val="18"/>
                      <w:szCs w:val="18"/>
                    </w:rPr>
                  </w:pPr>
                  <w:r>
                    <w:rPr>
                      <w:rFonts w:ascii="仿宋" w:hAnsi="仿宋" w:eastAsia="仿宋" w:cs="仿宋"/>
                      <w:spacing w:val="-1"/>
                      <w:sz w:val="18"/>
                      <w:szCs w:val="18"/>
                    </w:rPr>
                    <w:t>坡进行生态恢复，选取当地草种为</w:t>
                  </w:r>
                </w:p>
                <w:p w14:paraId="032BA5D3">
                  <w:pPr>
                    <w:spacing w:before="20" w:line="222" w:lineRule="auto"/>
                    <w:ind w:right="2"/>
                    <w:jc w:val="right"/>
                    <w:rPr>
                      <w:rFonts w:ascii="仿宋" w:hAnsi="仿宋" w:eastAsia="仿宋" w:cs="仿宋"/>
                      <w:sz w:val="18"/>
                      <w:szCs w:val="18"/>
                    </w:rPr>
                  </w:pPr>
                  <w:r>
                    <w:rPr>
                      <w:rFonts w:ascii="仿宋" w:hAnsi="仿宋" w:eastAsia="仿宋" w:cs="仿宋"/>
                      <w:spacing w:val="-2"/>
                      <w:sz w:val="18"/>
                      <w:szCs w:val="18"/>
                    </w:rPr>
                    <w:t>主，植被覆盖率不低于利用前平均水</w:t>
                  </w:r>
                </w:p>
                <w:p w14:paraId="332DEAD9">
                  <w:pPr>
                    <w:spacing w:before="17" w:line="222" w:lineRule="auto"/>
                    <w:ind w:right="2"/>
                    <w:jc w:val="right"/>
                    <w:rPr>
                      <w:rFonts w:ascii="仿宋" w:hAnsi="仿宋" w:eastAsia="仿宋" w:cs="仿宋"/>
                      <w:sz w:val="18"/>
                      <w:szCs w:val="18"/>
                    </w:rPr>
                  </w:pPr>
                  <w:r>
                    <w:rPr>
                      <w:rFonts w:ascii="仿宋" w:hAnsi="仿宋" w:eastAsia="仿宋" w:cs="仿宋"/>
                      <w:spacing w:val="-2"/>
                      <w:sz w:val="18"/>
                      <w:szCs w:val="18"/>
                    </w:rPr>
                    <w:t>平；路基防护采用植草防护，达到美</w:t>
                  </w:r>
                </w:p>
                <w:p w14:paraId="767D68B4">
                  <w:pPr>
                    <w:spacing w:before="15" w:line="222" w:lineRule="auto"/>
                    <w:ind w:right="2"/>
                    <w:jc w:val="right"/>
                    <w:rPr>
                      <w:rFonts w:ascii="仿宋" w:hAnsi="仿宋" w:eastAsia="仿宋" w:cs="仿宋"/>
                      <w:sz w:val="18"/>
                      <w:szCs w:val="18"/>
                    </w:rPr>
                  </w:pPr>
                  <w:r>
                    <w:rPr>
                      <w:rFonts w:ascii="仿宋" w:hAnsi="仿宋" w:eastAsia="仿宋" w:cs="仿宋"/>
                      <w:spacing w:val="-2"/>
                      <w:sz w:val="18"/>
                      <w:szCs w:val="18"/>
                    </w:rPr>
                    <w:t>化路容、减少视觉污染，尽可能减小</w:t>
                  </w:r>
                </w:p>
                <w:p w14:paraId="675A6176">
                  <w:pPr>
                    <w:spacing w:before="19" w:line="190" w:lineRule="auto"/>
                    <w:ind w:left="459"/>
                    <w:rPr>
                      <w:rFonts w:ascii="仿宋" w:hAnsi="仿宋" w:eastAsia="仿宋" w:cs="仿宋"/>
                      <w:sz w:val="18"/>
                      <w:szCs w:val="18"/>
                    </w:rPr>
                  </w:pPr>
                  <w:r>
                    <w:rPr>
                      <w:rFonts w:ascii="仿宋" w:hAnsi="仿宋" w:eastAsia="仿宋" w:cs="仿宋"/>
                      <w:spacing w:val="-2"/>
                      <w:sz w:val="18"/>
                      <w:szCs w:val="18"/>
                    </w:rPr>
                    <w:t>项目对自然生态的破坏。</w:t>
                  </w:r>
                </w:p>
              </w:tc>
              <w:tc>
                <w:tcPr>
                  <w:tcW w:w="2941" w:type="dxa"/>
                  <w:vAlign w:val="top"/>
                </w:tcPr>
                <w:p w14:paraId="21259DF9">
                  <w:pPr>
                    <w:spacing w:line="319" w:lineRule="auto"/>
                    <w:rPr>
                      <w:rFonts w:ascii="Arial"/>
                      <w:sz w:val="21"/>
                    </w:rPr>
                  </w:pPr>
                </w:p>
                <w:p w14:paraId="5295F48B">
                  <w:pPr>
                    <w:spacing w:before="59" w:line="220" w:lineRule="auto"/>
                    <w:ind w:left="39"/>
                    <w:rPr>
                      <w:rFonts w:ascii="仿宋" w:hAnsi="仿宋" w:eastAsia="仿宋" w:cs="仿宋"/>
                      <w:sz w:val="18"/>
                      <w:szCs w:val="18"/>
                    </w:rPr>
                  </w:pPr>
                  <w:r>
                    <w:rPr>
                      <w:rFonts w:ascii="仿宋" w:hAnsi="仿宋" w:eastAsia="仿宋" w:cs="仿宋"/>
                      <w:spacing w:val="-1"/>
                      <w:sz w:val="18"/>
                      <w:szCs w:val="18"/>
                    </w:rPr>
                    <w:t>恢复植被群落类型为混播针茅、紫花</w:t>
                  </w:r>
                </w:p>
                <w:p w14:paraId="30BF995A">
                  <w:pPr>
                    <w:spacing w:before="18" w:line="220" w:lineRule="auto"/>
                    <w:ind w:left="45"/>
                    <w:rPr>
                      <w:rFonts w:ascii="仿宋" w:hAnsi="仿宋" w:eastAsia="仿宋" w:cs="仿宋"/>
                      <w:sz w:val="18"/>
                      <w:szCs w:val="18"/>
                    </w:rPr>
                  </w:pPr>
                  <w:r>
                    <w:rPr>
                      <w:rFonts w:ascii="仿宋" w:hAnsi="仿宋" w:eastAsia="仿宋" w:cs="仿宋"/>
                      <w:spacing w:val="-2"/>
                      <w:sz w:val="18"/>
                      <w:szCs w:val="18"/>
                    </w:rPr>
                    <w:t>苜蓿、羊草、披碱草等，恢复土地类</w:t>
                  </w:r>
                </w:p>
                <w:p w14:paraId="5E0411E4">
                  <w:pPr>
                    <w:spacing w:before="18" w:line="220" w:lineRule="auto"/>
                    <w:ind w:left="46"/>
                    <w:rPr>
                      <w:rFonts w:ascii="仿宋" w:hAnsi="仿宋" w:eastAsia="仿宋" w:cs="仿宋"/>
                      <w:sz w:val="18"/>
                      <w:szCs w:val="18"/>
                    </w:rPr>
                  </w:pPr>
                  <w:r>
                    <w:rPr>
                      <w:rFonts w:ascii="仿宋" w:hAnsi="仿宋" w:eastAsia="仿宋" w:cs="仿宋"/>
                      <w:spacing w:val="-2"/>
                      <w:sz w:val="18"/>
                      <w:szCs w:val="18"/>
                    </w:rPr>
                    <w:t>型为草地，恢复程度：恢复后植被覆</w:t>
                  </w:r>
                </w:p>
                <w:p w14:paraId="130C7126">
                  <w:pPr>
                    <w:spacing w:before="20" w:line="222" w:lineRule="auto"/>
                    <w:ind w:left="42"/>
                    <w:rPr>
                      <w:rFonts w:ascii="仿宋" w:hAnsi="仿宋" w:eastAsia="仿宋" w:cs="仿宋"/>
                      <w:sz w:val="18"/>
                      <w:szCs w:val="18"/>
                    </w:rPr>
                  </w:pPr>
                  <w:r>
                    <w:rPr>
                      <w:rFonts w:ascii="仿宋" w:hAnsi="仿宋" w:eastAsia="仿宋" w:cs="仿宋"/>
                      <w:spacing w:val="-1"/>
                      <w:sz w:val="18"/>
                      <w:szCs w:val="18"/>
                    </w:rPr>
                    <w:t>盖度不低于施工前植被覆盖水平，植</w:t>
                  </w:r>
                </w:p>
                <w:p w14:paraId="33692599">
                  <w:pPr>
                    <w:pStyle w:val="6"/>
                    <w:spacing w:before="16" w:line="223" w:lineRule="auto"/>
                    <w:ind w:left="662"/>
                  </w:pPr>
                  <w:r>
                    <w:rPr>
                      <w:rFonts w:ascii="仿宋" w:hAnsi="仿宋" w:eastAsia="仿宋" w:cs="仿宋"/>
                      <w:spacing w:val="-2"/>
                    </w:rPr>
                    <w:t>被成活率不低于</w:t>
                  </w:r>
                  <w:r>
                    <w:rPr>
                      <w:rFonts w:ascii="仿宋" w:hAnsi="仿宋" w:eastAsia="仿宋" w:cs="仿宋"/>
                      <w:spacing w:val="-37"/>
                    </w:rPr>
                    <w:t xml:space="preserve"> </w:t>
                  </w:r>
                  <w:r>
                    <w:rPr>
                      <w:spacing w:val="-2"/>
                    </w:rPr>
                    <w:t>90%</w:t>
                  </w:r>
                </w:p>
              </w:tc>
              <w:tc>
                <w:tcPr>
                  <w:tcW w:w="1040" w:type="dxa"/>
                  <w:vMerge w:val="restart"/>
                  <w:tcBorders>
                    <w:bottom w:val="nil"/>
                    <w:right w:val="nil"/>
                  </w:tcBorders>
                  <w:vAlign w:val="top"/>
                </w:tcPr>
                <w:p w14:paraId="78FF013D">
                  <w:pPr>
                    <w:spacing w:line="337" w:lineRule="auto"/>
                    <w:rPr>
                      <w:rFonts w:ascii="Arial"/>
                      <w:sz w:val="21"/>
                    </w:rPr>
                  </w:pPr>
                </w:p>
                <w:p w14:paraId="0BB1BA13">
                  <w:pPr>
                    <w:spacing w:line="338" w:lineRule="auto"/>
                    <w:rPr>
                      <w:rFonts w:ascii="Arial"/>
                      <w:sz w:val="21"/>
                    </w:rPr>
                  </w:pPr>
                </w:p>
                <w:p w14:paraId="55C607E1">
                  <w:pPr>
                    <w:spacing w:before="58" w:line="220" w:lineRule="auto"/>
                    <w:ind w:left="81"/>
                    <w:rPr>
                      <w:rFonts w:ascii="仿宋" w:hAnsi="仿宋" w:eastAsia="仿宋" w:cs="仿宋"/>
                      <w:sz w:val="18"/>
                      <w:szCs w:val="18"/>
                    </w:rPr>
                  </w:pPr>
                  <w:r>
                    <w:rPr>
                      <w:rFonts w:ascii="仿宋" w:hAnsi="仿宋" w:eastAsia="仿宋" w:cs="仿宋"/>
                      <w:spacing w:val="-3"/>
                      <w:sz w:val="18"/>
                      <w:szCs w:val="18"/>
                    </w:rPr>
                    <w:t>恢复后植被</w:t>
                  </w:r>
                </w:p>
                <w:p w14:paraId="599996C2">
                  <w:pPr>
                    <w:spacing w:before="18" w:line="223" w:lineRule="auto"/>
                    <w:ind w:left="82"/>
                    <w:rPr>
                      <w:rFonts w:ascii="仿宋" w:hAnsi="仿宋" w:eastAsia="仿宋" w:cs="仿宋"/>
                      <w:sz w:val="18"/>
                      <w:szCs w:val="18"/>
                    </w:rPr>
                  </w:pPr>
                  <w:r>
                    <w:rPr>
                      <w:rFonts w:ascii="仿宋" w:hAnsi="仿宋" w:eastAsia="仿宋" w:cs="仿宋"/>
                      <w:spacing w:val="-3"/>
                      <w:sz w:val="18"/>
                      <w:szCs w:val="18"/>
                    </w:rPr>
                    <w:t>覆盖度不低</w:t>
                  </w:r>
                </w:p>
                <w:p w14:paraId="2F3CCB07">
                  <w:pPr>
                    <w:spacing w:before="14" w:line="222" w:lineRule="auto"/>
                    <w:ind w:left="84"/>
                    <w:rPr>
                      <w:rFonts w:ascii="仿宋" w:hAnsi="仿宋" w:eastAsia="仿宋" w:cs="仿宋"/>
                      <w:sz w:val="18"/>
                      <w:szCs w:val="18"/>
                    </w:rPr>
                  </w:pPr>
                  <w:r>
                    <w:rPr>
                      <w:rFonts w:ascii="仿宋" w:hAnsi="仿宋" w:eastAsia="仿宋" w:cs="仿宋"/>
                      <w:spacing w:val="-4"/>
                      <w:sz w:val="18"/>
                      <w:szCs w:val="18"/>
                    </w:rPr>
                    <w:t>于利用前平</w:t>
                  </w:r>
                </w:p>
                <w:p w14:paraId="6D42436A">
                  <w:pPr>
                    <w:spacing w:before="17" w:line="222" w:lineRule="auto"/>
                    <w:jc w:val="right"/>
                    <w:rPr>
                      <w:rFonts w:ascii="仿宋" w:hAnsi="仿宋" w:eastAsia="仿宋" w:cs="仿宋"/>
                      <w:sz w:val="18"/>
                      <w:szCs w:val="18"/>
                    </w:rPr>
                  </w:pPr>
                  <w:r>
                    <w:rPr>
                      <w:rFonts w:ascii="仿宋" w:hAnsi="仿宋" w:eastAsia="仿宋" w:cs="仿宋"/>
                      <w:spacing w:val="-10"/>
                      <w:sz w:val="18"/>
                      <w:szCs w:val="18"/>
                    </w:rPr>
                    <w:t>均水平，植被</w:t>
                  </w:r>
                </w:p>
                <w:p w14:paraId="5724FDCB">
                  <w:pPr>
                    <w:spacing w:before="16" w:line="223" w:lineRule="auto"/>
                    <w:ind w:left="83"/>
                    <w:rPr>
                      <w:rFonts w:ascii="仿宋" w:hAnsi="仿宋" w:eastAsia="仿宋" w:cs="仿宋"/>
                      <w:sz w:val="18"/>
                      <w:szCs w:val="18"/>
                    </w:rPr>
                  </w:pPr>
                  <w:r>
                    <w:rPr>
                      <w:rFonts w:ascii="仿宋" w:hAnsi="仿宋" w:eastAsia="仿宋" w:cs="仿宋"/>
                      <w:spacing w:val="-3"/>
                      <w:sz w:val="18"/>
                      <w:szCs w:val="18"/>
                    </w:rPr>
                    <w:t>成活率不低</w:t>
                  </w:r>
                </w:p>
                <w:p w14:paraId="2229CD79">
                  <w:pPr>
                    <w:pStyle w:val="6"/>
                    <w:spacing w:before="18" w:line="224" w:lineRule="auto"/>
                    <w:ind w:left="168"/>
                    <w:rPr>
                      <w:rFonts w:ascii="仿宋" w:hAnsi="仿宋" w:eastAsia="仿宋" w:cs="仿宋"/>
                    </w:rPr>
                  </w:pPr>
                  <w:r>
                    <w:rPr>
                      <w:rFonts w:ascii="仿宋" w:hAnsi="仿宋" w:eastAsia="仿宋" w:cs="仿宋"/>
                      <w:spacing w:val="-5"/>
                    </w:rPr>
                    <w:t>于</w:t>
                  </w:r>
                  <w:r>
                    <w:rPr>
                      <w:rFonts w:ascii="仿宋" w:hAnsi="仿宋" w:eastAsia="仿宋" w:cs="仿宋"/>
                      <w:spacing w:val="-36"/>
                    </w:rPr>
                    <w:t xml:space="preserve"> </w:t>
                  </w:r>
                  <w:r>
                    <w:rPr>
                      <w:spacing w:val="-5"/>
                    </w:rPr>
                    <w:t>90%</w:t>
                  </w:r>
                  <w:r>
                    <w:rPr>
                      <w:rFonts w:ascii="仿宋" w:hAnsi="仿宋" w:eastAsia="仿宋" w:cs="仿宋"/>
                      <w:spacing w:val="-5"/>
                    </w:rPr>
                    <w:t>。</w:t>
                  </w:r>
                </w:p>
              </w:tc>
            </w:tr>
            <w:tr w14:paraId="69891E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4" w:hRule="atLeast"/>
              </w:trPr>
              <w:tc>
                <w:tcPr>
                  <w:tcW w:w="280" w:type="dxa"/>
                  <w:vMerge w:val="continue"/>
                  <w:tcBorders>
                    <w:top w:val="nil"/>
                    <w:left w:val="nil"/>
                  </w:tcBorders>
                  <w:textDirection w:val="tbRlV"/>
                  <w:vAlign w:val="top"/>
                </w:tcPr>
                <w:p w14:paraId="4559947F">
                  <w:pPr>
                    <w:rPr>
                      <w:rFonts w:ascii="Arial"/>
                      <w:sz w:val="21"/>
                    </w:rPr>
                  </w:pPr>
                </w:p>
              </w:tc>
              <w:tc>
                <w:tcPr>
                  <w:tcW w:w="597" w:type="dxa"/>
                  <w:vAlign w:val="top"/>
                </w:tcPr>
                <w:p w14:paraId="35128BFB">
                  <w:pPr>
                    <w:spacing w:line="331" w:lineRule="auto"/>
                    <w:rPr>
                      <w:rFonts w:ascii="Arial"/>
                      <w:sz w:val="21"/>
                    </w:rPr>
                  </w:pPr>
                </w:p>
                <w:p w14:paraId="1D9FFA4B">
                  <w:pPr>
                    <w:spacing w:before="59" w:line="223" w:lineRule="auto"/>
                    <w:ind w:left="39"/>
                    <w:rPr>
                      <w:rFonts w:ascii="仿宋" w:hAnsi="仿宋" w:eastAsia="仿宋" w:cs="仿宋"/>
                      <w:sz w:val="18"/>
                      <w:szCs w:val="18"/>
                    </w:rPr>
                  </w:pPr>
                  <w:r>
                    <w:rPr>
                      <w:rFonts w:ascii="仿宋" w:hAnsi="仿宋" w:eastAsia="仿宋" w:cs="仿宋"/>
                      <w:spacing w:val="-5"/>
                      <w:sz w:val="18"/>
                      <w:szCs w:val="18"/>
                    </w:rPr>
                    <w:t>运营期</w:t>
                  </w:r>
                </w:p>
              </w:tc>
              <w:tc>
                <w:tcPr>
                  <w:tcW w:w="2880" w:type="dxa"/>
                  <w:vAlign w:val="top"/>
                </w:tcPr>
                <w:p w14:paraId="467496DE">
                  <w:pPr>
                    <w:spacing w:before="42" w:line="222" w:lineRule="auto"/>
                    <w:ind w:right="2"/>
                    <w:jc w:val="right"/>
                    <w:rPr>
                      <w:rFonts w:ascii="仿宋" w:hAnsi="仿宋" w:eastAsia="仿宋" w:cs="仿宋"/>
                      <w:sz w:val="18"/>
                      <w:szCs w:val="18"/>
                    </w:rPr>
                  </w:pPr>
                  <w:r>
                    <w:rPr>
                      <w:rFonts w:ascii="仿宋" w:hAnsi="仿宋" w:eastAsia="仿宋" w:cs="仿宋"/>
                      <w:spacing w:val="-2"/>
                      <w:sz w:val="18"/>
                      <w:szCs w:val="18"/>
                    </w:rPr>
                    <w:t>运营期应设置路牌提醒，避免人为破</w:t>
                  </w:r>
                </w:p>
                <w:p w14:paraId="6ED8C029">
                  <w:pPr>
                    <w:spacing w:before="16" w:line="219" w:lineRule="auto"/>
                    <w:ind w:right="2"/>
                    <w:jc w:val="right"/>
                    <w:rPr>
                      <w:rFonts w:ascii="仿宋" w:hAnsi="仿宋" w:eastAsia="仿宋" w:cs="仿宋"/>
                      <w:sz w:val="18"/>
                      <w:szCs w:val="18"/>
                    </w:rPr>
                  </w:pPr>
                  <w:r>
                    <w:rPr>
                      <w:rFonts w:ascii="仿宋" w:hAnsi="仿宋" w:eastAsia="仿宋" w:cs="仿宋"/>
                      <w:spacing w:val="-2"/>
                      <w:sz w:val="18"/>
                      <w:szCs w:val="18"/>
                    </w:rPr>
                    <w:t>坏植被或生物活动空间。若植被因车</w:t>
                  </w:r>
                </w:p>
                <w:p w14:paraId="7599647C">
                  <w:pPr>
                    <w:spacing w:before="18" w:line="221" w:lineRule="auto"/>
                    <w:ind w:right="2"/>
                    <w:jc w:val="right"/>
                    <w:rPr>
                      <w:rFonts w:ascii="仿宋" w:hAnsi="仿宋" w:eastAsia="仿宋" w:cs="仿宋"/>
                      <w:sz w:val="18"/>
                      <w:szCs w:val="18"/>
                    </w:rPr>
                  </w:pPr>
                  <w:r>
                    <w:rPr>
                      <w:rFonts w:ascii="仿宋" w:hAnsi="仿宋" w:eastAsia="仿宋" w:cs="仿宋"/>
                      <w:spacing w:val="-2"/>
                      <w:sz w:val="18"/>
                      <w:szCs w:val="18"/>
                    </w:rPr>
                    <w:t>辆碰撞、人为踩踏受损，需及时补种</w:t>
                  </w:r>
                </w:p>
                <w:p w14:paraId="3DA77305">
                  <w:pPr>
                    <w:spacing w:before="19" w:line="186" w:lineRule="auto"/>
                    <w:ind w:left="279"/>
                    <w:rPr>
                      <w:rFonts w:ascii="仿宋" w:hAnsi="仿宋" w:eastAsia="仿宋" w:cs="仿宋"/>
                      <w:sz w:val="18"/>
                      <w:szCs w:val="18"/>
                    </w:rPr>
                  </w:pPr>
                  <w:r>
                    <w:rPr>
                      <w:rFonts w:ascii="仿宋" w:hAnsi="仿宋" w:eastAsia="仿宋" w:cs="仿宋"/>
                      <w:spacing w:val="-1"/>
                      <w:sz w:val="18"/>
                      <w:szCs w:val="18"/>
                    </w:rPr>
                    <w:t>本地物种，维持植被覆盖度。</w:t>
                  </w:r>
                </w:p>
              </w:tc>
              <w:tc>
                <w:tcPr>
                  <w:tcW w:w="2941" w:type="dxa"/>
                  <w:vAlign w:val="top"/>
                </w:tcPr>
                <w:p w14:paraId="32DF1EDA">
                  <w:pPr>
                    <w:spacing w:line="331" w:lineRule="auto"/>
                    <w:rPr>
                      <w:rFonts w:ascii="Arial"/>
                      <w:sz w:val="21"/>
                    </w:rPr>
                  </w:pPr>
                </w:p>
                <w:p w14:paraId="32DFEC1C">
                  <w:pPr>
                    <w:spacing w:before="59" w:line="222" w:lineRule="auto"/>
                    <w:ind w:left="39"/>
                    <w:rPr>
                      <w:rFonts w:ascii="仿宋" w:hAnsi="仿宋" w:eastAsia="仿宋" w:cs="仿宋"/>
                      <w:sz w:val="18"/>
                      <w:szCs w:val="18"/>
                    </w:rPr>
                  </w:pPr>
                  <w:r>
                    <w:rPr>
                      <w:rFonts w:ascii="仿宋" w:hAnsi="仿宋" w:eastAsia="仿宋" w:cs="仿宋"/>
                      <w:spacing w:val="-1"/>
                      <w:sz w:val="18"/>
                      <w:szCs w:val="18"/>
                    </w:rPr>
                    <w:t>对主体工程区（路基两侧扰动区域）</w:t>
                  </w:r>
                </w:p>
              </w:tc>
              <w:tc>
                <w:tcPr>
                  <w:tcW w:w="1040" w:type="dxa"/>
                  <w:vMerge w:val="continue"/>
                  <w:tcBorders>
                    <w:top w:val="nil"/>
                    <w:right w:val="nil"/>
                  </w:tcBorders>
                  <w:vAlign w:val="top"/>
                </w:tcPr>
                <w:p w14:paraId="27612CAE">
                  <w:pPr>
                    <w:rPr>
                      <w:rFonts w:ascii="Arial"/>
                      <w:sz w:val="21"/>
                    </w:rPr>
                  </w:pPr>
                </w:p>
              </w:tc>
            </w:tr>
            <w:tr w14:paraId="213FB0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8" w:hRule="atLeast"/>
              </w:trPr>
              <w:tc>
                <w:tcPr>
                  <w:tcW w:w="877" w:type="dxa"/>
                  <w:gridSpan w:val="2"/>
                  <w:tcBorders>
                    <w:left w:val="nil"/>
                    <w:bottom w:val="single" w:color="000000" w:sz="10" w:space="0"/>
                  </w:tcBorders>
                  <w:vAlign w:val="top"/>
                </w:tcPr>
                <w:p w14:paraId="6A41675F">
                  <w:pPr>
                    <w:spacing w:line="336" w:lineRule="auto"/>
                    <w:rPr>
                      <w:rFonts w:ascii="Arial"/>
                      <w:sz w:val="21"/>
                    </w:rPr>
                  </w:pPr>
                </w:p>
                <w:p w14:paraId="713CB469">
                  <w:pPr>
                    <w:spacing w:before="58" w:line="222" w:lineRule="auto"/>
                    <w:ind w:left="87"/>
                    <w:rPr>
                      <w:rFonts w:ascii="仿宋" w:hAnsi="仿宋" w:eastAsia="仿宋" w:cs="仿宋"/>
                      <w:sz w:val="18"/>
                      <w:szCs w:val="18"/>
                    </w:rPr>
                  </w:pPr>
                  <w:r>
                    <w:rPr>
                      <w:rFonts w:ascii="仿宋" w:hAnsi="仿宋" w:eastAsia="仿宋" w:cs="仿宋"/>
                      <w:spacing w:val="-3"/>
                      <w:sz w:val="18"/>
                      <w:szCs w:val="18"/>
                    </w:rPr>
                    <w:t>环境风险</w:t>
                  </w:r>
                </w:p>
              </w:tc>
              <w:tc>
                <w:tcPr>
                  <w:tcW w:w="2880" w:type="dxa"/>
                  <w:tcBorders>
                    <w:bottom w:val="single" w:color="000000" w:sz="10" w:space="0"/>
                  </w:tcBorders>
                  <w:vAlign w:val="top"/>
                </w:tcPr>
                <w:p w14:paraId="59E450D9">
                  <w:pPr>
                    <w:spacing w:before="164" w:line="219" w:lineRule="auto"/>
                    <w:ind w:left="99"/>
                    <w:rPr>
                      <w:rFonts w:ascii="仿宋" w:hAnsi="仿宋" w:eastAsia="仿宋" w:cs="仿宋"/>
                      <w:sz w:val="18"/>
                      <w:szCs w:val="18"/>
                    </w:rPr>
                  </w:pPr>
                  <w:r>
                    <w:rPr>
                      <w:rFonts w:ascii="仿宋" w:hAnsi="仿宋" w:eastAsia="仿宋" w:cs="仿宋"/>
                      <w:spacing w:val="-1"/>
                      <w:sz w:val="18"/>
                      <w:szCs w:val="18"/>
                    </w:rPr>
                    <w:t>运输车辆事故风险制定和执行紧急</w:t>
                  </w:r>
                </w:p>
                <w:p w14:paraId="20AAAACB">
                  <w:pPr>
                    <w:spacing w:before="19" w:line="222" w:lineRule="auto"/>
                    <w:ind w:left="98"/>
                    <w:rPr>
                      <w:rFonts w:ascii="仿宋" w:hAnsi="仿宋" w:eastAsia="仿宋" w:cs="仿宋"/>
                      <w:sz w:val="18"/>
                      <w:szCs w:val="18"/>
                    </w:rPr>
                  </w:pPr>
                  <w:r>
                    <w:rPr>
                      <w:rFonts w:ascii="仿宋" w:hAnsi="仿宋" w:eastAsia="仿宋" w:cs="仿宋"/>
                      <w:spacing w:val="-1"/>
                      <w:sz w:val="18"/>
                      <w:szCs w:val="18"/>
                    </w:rPr>
                    <w:t>事故处理计划，设定必要的机构监</w:t>
                  </w:r>
                </w:p>
                <w:p w14:paraId="46552218">
                  <w:pPr>
                    <w:spacing w:before="16" w:line="223" w:lineRule="auto"/>
                    <w:ind w:left="463"/>
                    <w:rPr>
                      <w:rFonts w:ascii="仿宋" w:hAnsi="仿宋" w:eastAsia="仿宋" w:cs="仿宋"/>
                      <w:sz w:val="18"/>
                      <w:szCs w:val="18"/>
                    </w:rPr>
                  </w:pPr>
                  <w:r>
                    <w:rPr>
                      <w:rFonts w:ascii="仿宋" w:hAnsi="仿宋" w:eastAsia="仿宋" w:cs="仿宋"/>
                      <w:spacing w:val="-2"/>
                      <w:sz w:val="18"/>
                      <w:szCs w:val="18"/>
                    </w:rPr>
                    <w:t>督、管理和处理紧急事故</w:t>
                  </w:r>
                </w:p>
              </w:tc>
              <w:tc>
                <w:tcPr>
                  <w:tcW w:w="2941" w:type="dxa"/>
                  <w:tcBorders>
                    <w:bottom w:val="single" w:color="000000" w:sz="10" w:space="0"/>
                  </w:tcBorders>
                  <w:vAlign w:val="top"/>
                </w:tcPr>
                <w:p w14:paraId="60E811C2">
                  <w:pPr>
                    <w:spacing w:line="335" w:lineRule="auto"/>
                    <w:rPr>
                      <w:rFonts w:ascii="Arial"/>
                      <w:sz w:val="21"/>
                    </w:rPr>
                  </w:pPr>
                </w:p>
                <w:p w14:paraId="4410C7E2">
                  <w:pPr>
                    <w:spacing w:before="58" w:line="222" w:lineRule="auto"/>
                    <w:ind w:left="399"/>
                    <w:rPr>
                      <w:rFonts w:ascii="仿宋" w:hAnsi="仿宋" w:eastAsia="仿宋" w:cs="仿宋"/>
                      <w:sz w:val="18"/>
                      <w:szCs w:val="18"/>
                    </w:rPr>
                  </w:pPr>
                  <w:r>
                    <w:rPr>
                      <w:rFonts w:ascii="仿宋" w:hAnsi="仿宋" w:eastAsia="仿宋" w:cs="仿宋"/>
                      <w:spacing w:val="-2"/>
                      <w:sz w:val="18"/>
                      <w:szCs w:val="18"/>
                    </w:rPr>
                    <w:t>制定突发环境事件应急预案</w:t>
                  </w:r>
                </w:p>
              </w:tc>
              <w:tc>
                <w:tcPr>
                  <w:tcW w:w="1040" w:type="dxa"/>
                  <w:tcBorders>
                    <w:bottom w:val="single" w:color="000000" w:sz="10" w:space="0"/>
                    <w:right w:val="nil"/>
                  </w:tcBorders>
                  <w:vAlign w:val="top"/>
                </w:tcPr>
                <w:p w14:paraId="13356C9B">
                  <w:pPr>
                    <w:spacing w:before="48" w:line="222" w:lineRule="auto"/>
                    <w:ind w:left="89"/>
                    <w:rPr>
                      <w:rFonts w:ascii="仿宋" w:hAnsi="仿宋" w:eastAsia="仿宋" w:cs="仿宋"/>
                      <w:sz w:val="18"/>
                      <w:szCs w:val="18"/>
                    </w:rPr>
                  </w:pPr>
                  <w:r>
                    <w:rPr>
                      <w:rFonts w:ascii="仿宋" w:hAnsi="仿宋" w:eastAsia="仿宋" w:cs="仿宋"/>
                      <w:spacing w:val="-5"/>
                      <w:sz w:val="18"/>
                      <w:szCs w:val="18"/>
                    </w:rPr>
                    <w:t>降低危险化</w:t>
                  </w:r>
                </w:p>
                <w:p w14:paraId="4F6255D3">
                  <w:pPr>
                    <w:spacing w:before="16" w:line="223" w:lineRule="auto"/>
                    <w:ind w:left="88"/>
                    <w:rPr>
                      <w:rFonts w:ascii="仿宋" w:hAnsi="仿宋" w:eastAsia="仿宋" w:cs="仿宋"/>
                      <w:sz w:val="18"/>
                      <w:szCs w:val="18"/>
                    </w:rPr>
                  </w:pPr>
                  <w:r>
                    <w:rPr>
                      <w:rFonts w:ascii="仿宋" w:hAnsi="仿宋" w:eastAsia="仿宋" w:cs="仿宋"/>
                      <w:spacing w:val="-4"/>
                      <w:sz w:val="18"/>
                      <w:szCs w:val="18"/>
                    </w:rPr>
                    <w:t>学品运输泄</w:t>
                  </w:r>
                </w:p>
                <w:p w14:paraId="3D07BAB6">
                  <w:pPr>
                    <w:spacing w:before="15" w:line="223" w:lineRule="auto"/>
                    <w:ind w:left="83"/>
                    <w:rPr>
                      <w:rFonts w:ascii="仿宋" w:hAnsi="仿宋" w:eastAsia="仿宋" w:cs="仿宋"/>
                      <w:sz w:val="18"/>
                      <w:szCs w:val="18"/>
                    </w:rPr>
                  </w:pPr>
                  <w:r>
                    <w:rPr>
                      <w:rFonts w:ascii="仿宋" w:hAnsi="仿宋" w:eastAsia="仿宋" w:cs="仿宋"/>
                      <w:spacing w:val="-3"/>
                      <w:sz w:val="18"/>
                      <w:szCs w:val="18"/>
                    </w:rPr>
                    <w:t>漏事故发生</w:t>
                  </w:r>
                </w:p>
                <w:p w14:paraId="6D68F903">
                  <w:pPr>
                    <w:spacing w:before="15" w:line="206" w:lineRule="auto"/>
                    <w:ind w:left="80"/>
                    <w:rPr>
                      <w:rFonts w:ascii="仿宋" w:hAnsi="仿宋" w:eastAsia="仿宋" w:cs="仿宋"/>
                      <w:sz w:val="18"/>
                      <w:szCs w:val="18"/>
                    </w:rPr>
                  </w:pPr>
                  <w:r>
                    <w:rPr>
                      <w:rFonts w:ascii="仿宋" w:hAnsi="仿宋" w:eastAsia="仿宋" w:cs="仿宋"/>
                      <w:spacing w:val="-3"/>
                      <w:sz w:val="18"/>
                      <w:szCs w:val="18"/>
                    </w:rPr>
                    <w:t>概率及影响</w:t>
                  </w:r>
                </w:p>
              </w:tc>
            </w:tr>
          </w:tbl>
          <w:p w14:paraId="106F3261">
            <w:pPr>
              <w:spacing w:before="31" w:line="232" w:lineRule="auto"/>
              <w:ind w:left="536"/>
              <w:rPr>
                <w:rFonts w:ascii="仿宋" w:hAnsi="仿宋" w:eastAsia="仿宋" w:cs="仿宋"/>
                <w:sz w:val="20"/>
                <w:szCs w:val="20"/>
              </w:rPr>
            </w:pPr>
            <w:r>
              <w:rPr>
                <w:rFonts w:ascii="仿宋" w:hAnsi="仿宋" w:eastAsia="仿宋" w:cs="仿宋"/>
                <w:spacing w:val="6"/>
                <w:sz w:val="20"/>
                <w:szCs w:val="20"/>
              </w:rPr>
              <w:t>（2）公众调查</w:t>
            </w:r>
          </w:p>
          <w:p w14:paraId="4B1381DE">
            <w:pPr>
              <w:spacing w:before="155" w:line="377" w:lineRule="auto"/>
              <w:ind w:left="111" w:right="103" w:firstLine="416"/>
              <w:rPr>
                <w:rFonts w:ascii="仿宋" w:hAnsi="仿宋" w:eastAsia="仿宋" w:cs="仿宋"/>
                <w:sz w:val="20"/>
                <w:szCs w:val="20"/>
              </w:rPr>
            </w:pPr>
            <w:r>
              <w:rPr>
                <w:rFonts w:ascii="仿宋" w:hAnsi="仿宋" w:eastAsia="仿宋" w:cs="仿宋"/>
                <w:spacing w:val="6"/>
                <w:sz w:val="20"/>
                <w:szCs w:val="20"/>
              </w:rPr>
              <w:t>2026</w:t>
            </w:r>
            <w:r>
              <w:rPr>
                <w:rFonts w:ascii="仿宋" w:hAnsi="仿宋" w:eastAsia="仿宋" w:cs="仿宋"/>
                <w:spacing w:val="-14"/>
                <w:sz w:val="20"/>
                <w:szCs w:val="20"/>
              </w:rPr>
              <w:t xml:space="preserve"> </w:t>
            </w:r>
            <w:r>
              <w:rPr>
                <w:rFonts w:ascii="仿宋" w:hAnsi="仿宋" w:eastAsia="仿宋" w:cs="仿宋"/>
                <w:spacing w:val="6"/>
                <w:sz w:val="20"/>
                <w:szCs w:val="20"/>
              </w:rPr>
              <w:t>年</w:t>
            </w:r>
            <w:r>
              <w:rPr>
                <w:rFonts w:ascii="仿宋" w:hAnsi="仿宋" w:eastAsia="仿宋" w:cs="仿宋"/>
                <w:spacing w:val="-36"/>
                <w:sz w:val="20"/>
                <w:szCs w:val="20"/>
              </w:rPr>
              <w:t xml:space="preserve"> </w:t>
            </w:r>
            <w:r>
              <w:rPr>
                <w:rFonts w:ascii="仿宋" w:hAnsi="仿宋" w:eastAsia="仿宋" w:cs="仿宋"/>
                <w:spacing w:val="6"/>
                <w:sz w:val="20"/>
                <w:szCs w:val="20"/>
              </w:rPr>
              <w:t>6</w:t>
            </w:r>
            <w:r>
              <w:rPr>
                <w:rFonts w:ascii="仿宋" w:hAnsi="仿宋" w:eastAsia="仿宋" w:cs="仿宋"/>
                <w:spacing w:val="-20"/>
                <w:sz w:val="20"/>
                <w:szCs w:val="20"/>
              </w:rPr>
              <w:t xml:space="preserve"> </w:t>
            </w:r>
            <w:r>
              <w:rPr>
                <w:rFonts w:ascii="仿宋" w:hAnsi="仿宋" w:eastAsia="仿宋" w:cs="仿宋"/>
                <w:spacing w:val="6"/>
                <w:sz w:val="20"/>
                <w:szCs w:val="20"/>
              </w:rPr>
              <w:t>月</w:t>
            </w:r>
            <w:r>
              <w:rPr>
                <w:rFonts w:ascii="仿宋" w:hAnsi="仿宋" w:eastAsia="仿宋" w:cs="仿宋"/>
                <w:spacing w:val="-36"/>
                <w:sz w:val="20"/>
                <w:szCs w:val="20"/>
              </w:rPr>
              <w:t xml:space="preserve"> </w:t>
            </w:r>
            <w:r>
              <w:rPr>
                <w:rFonts w:ascii="仿宋" w:hAnsi="仿宋" w:eastAsia="仿宋" w:cs="仿宋"/>
                <w:spacing w:val="6"/>
                <w:sz w:val="20"/>
                <w:szCs w:val="20"/>
              </w:rPr>
              <w:t>23 日，建设单位针对《准格尔旗 2025</w:t>
            </w:r>
            <w:r>
              <w:rPr>
                <w:rFonts w:ascii="仿宋" w:hAnsi="仿宋" w:eastAsia="仿宋" w:cs="仿宋"/>
                <w:spacing w:val="-28"/>
                <w:sz w:val="20"/>
                <w:szCs w:val="20"/>
              </w:rPr>
              <w:t xml:space="preserve"> </w:t>
            </w:r>
            <w:r>
              <w:rPr>
                <w:rFonts w:ascii="仿宋" w:hAnsi="仿宋" w:eastAsia="仿宋" w:cs="仿宋"/>
                <w:spacing w:val="6"/>
                <w:sz w:val="20"/>
                <w:szCs w:val="20"/>
              </w:rPr>
              <w:t>年沙圪堵镇、十二连城乡自</w:t>
            </w:r>
            <w:r>
              <w:rPr>
                <w:rFonts w:ascii="仿宋" w:hAnsi="仿宋" w:eastAsia="仿宋" w:cs="仿宋"/>
                <w:spacing w:val="8"/>
                <w:sz w:val="20"/>
                <w:szCs w:val="20"/>
              </w:rPr>
              <w:t>然村通硬化路工程》环境影响评价，在项目沿线涉及的</w:t>
            </w:r>
            <w:r>
              <w:rPr>
                <w:rFonts w:ascii="仿宋" w:hAnsi="仿宋" w:eastAsia="仿宋" w:cs="仿宋"/>
                <w:spacing w:val="-32"/>
                <w:sz w:val="20"/>
                <w:szCs w:val="20"/>
              </w:rPr>
              <w:t xml:space="preserve"> </w:t>
            </w:r>
            <w:r>
              <w:rPr>
                <w:rFonts w:ascii="仿宋" w:hAnsi="仿宋" w:eastAsia="仿宋" w:cs="仿宋"/>
                <w:spacing w:val="8"/>
                <w:sz w:val="20"/>
                <w:szCs w:val="20"/>
              </w:rPr>
              <w:t>7</w:t>
            </w:r>
            <w:r>
              <w:rPr>
                <w:rFonts w:ascii="仿宋" w:hAnsi="仿宋" w:eastAsia="仿宋" w:cs="仿宋"/>
                <w:spacing w:val="-32"/>
                <w:sz w:val="20"/>
                <w:szCs w:val="20"/>
              </w:rPr>
              <w:t xml:space="preserve"> </w:t>
            </w:r>
            <w:r>
              <w:rPr>
                <w:rFonts w:ascii="仿宋" w:hAnsi="仿宋" w:eastAsia="仿宋" w:cs="仿宋"/>
                <w:spacing w:val="8"/>
                <w:sz w:val="20"/>
                <w:szCs w:val="20"/>
              </w:rPr>
              <w:t>个行政</w:t>
            </w:r>
            <w:r>
              <w:rPr>
                <w:rFonts w:ascii="仿宋" w:hAnsi="仿宋" w:eastAsia="仿宋" w:cs="仿宋"/>
                <w:spacing w:val="7"/>
                <w:sz w:val="20"/>
                <w:szCs w:val="20"/>
              </w:rPr>
              <w:t>村通过现场张贴公告</w:t>
            </w:r>
            <w:r>
              <w:rPr>
                <w:rFonts w:ascii="仿宋" w:hAnsi="仿宋" w:eastAsia="仿宋" w:cs="仿宋"/>
                <w:spacing w:val="9"/>
                <w:sz w:val="20"/>
                <w:szCs w:val="20"/>
              </w:rPr>
              <w:t>形式，开展了公众参与信息公示工作。公示周期内，未收到沿</w:t>
            </w:r>
            <w:r>
              <w:rPr>
                <w:rFonts w:ascii="仿宋" w:hAnsi="仿宋" w:eastAsia="仿宋" w:cs="仿宋"/>
                <w:spacing w:val="8"/>
                <w:sz w:val="20"/>
                <w:szCs w:val="20"/>
              </w:rPr>
              <w:t>线村民提交的意见、建</w:t>
            </w:r>
            <w:r>
              <w:rPr>
                <w:rFonts w:ascii="仿宋" w:hAnsi="仿宋" w:eastAsia="仿宋" w:cs="仿宋"/>
                <w:spacing w:val="9"/>
                <w:sz w:val="20"/>
                <w:szCs w:val="20"/>
              </w:rPr>
              <w:t>议及相关反馈材料，充分表明区域群众对本项目实施持认可、</w:t>
            </w:r>
            <w:r>
              <w:rPr>
                <w:rFonts w:ascii="仿宋" w:hAnsi="仿宋" w:eastAsia="仿宋" w:cs="仿宋"/>
                <w:spacing w:val="8"/>
                <w:sz w:val="20"/>
                <w:szCs w:val="20"/>
              </w:rPr>
              <w:t>支持态度，本次现场张</w:t>
            </w:r>
            <w:r>
              <w:rPr>
                <w:rFonts w:ascii="仿宋" w:hAnsi="仿宋" w:eastAsia="仿宋" w:cs="仿宋"/>
                <w:spacing w:val="7"/>
                <w:sz w:val="20"/>
                <w:szCs w:val="20"/>
              </w:rPr>
              <w:t>贴公示影像资料详见附图 5。</w:t>
            </w:r>
          </w:p>
        </w:tc>
      </w:tr>
      <w:tr w14:paraId="0E28C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98" w:hRule="atLeast"/>
        </w:trPr>
        <w:tc>
          <w:tcPr>
            <w:tcW w:w="748" w:type="dxa"/>
            <w:tcBorders>
              <w:top w:val="single" w:color="000000" w:sz="2" w:space="0"/>
              <w:right w:val="single" w:color="000000" w:sz="2" w:space="0"/>
            </w:tcBorders>
            <w:vAlign w:val="top"/>
          </w:tcPr>
          <w:p w14:paraId="29155327">
            <w:pPr>
              <w:spacing w:line="252" w:lineRule="auto"/>
              <w:rPr>
                <w:rFonts w:ascii="Arial"/>
                <w:sz w:val="21"/>
              </w:rPr>
            </w:pPr>
          </w:p>
          <w:p w14:paraId="7A0D1608">
            <w:pPr>
              <w:spacing w:line="252" w:lineRule="auto"/>
              <w:rPr>
                <w:rFonts w:ascii="Arial"/>
                <w:sz w:val="21"/>
              </w:rPr>
            </w:pPr>
          </w:p>
          <w:p w14:paraId="74A10A14">
            <w:pPr>
              <w:spacing w:line="252" w:lineRule="auto"/>
              <w:rPr>
                <w:rFonts w:ascii="Arial"/>
                <w:sz w:val="21"/>
              </w:rPr>
            </w:pPr>
          </w:p>
          <w:p w14:paraId="0C43B292">
            <w:pPr>
              <w:spacing w:line="252" w:lineRule="auto"/>
              <w:rPr>
                <w:rFonts w:ascii="Arial"/>
                <w:sz w:val="21"/>
              </w:rPr>
            </w:pPr>
          </w:p>
          <w:p w14:paraId="0F31A203">
            <w:pPr>
              <w:spacing w:line="252" w:lineRule="auto"/>
              <w:rPr>
                <w:rFonts w:ascii="Arial"/>
                <w:sz w:val="21"/>
              </w:rPr>
            </w:pPr>
          </w:p>
          <w:p w14:paraId="6ADC675E">
            <w:pPr>
              <w:spacing w:line="252" w:lineRule="auto"/>
              <w:rPr>
                <w:rFonts w:ascii="Arial"/>
                <w:sz w:val="21"/>
              </w:rPr>
            </w:pPr>
          </w:p>
          <w:p w14:paraId="2C4D338E">
            <w:pPr>
              <w:spacing w:line="252" w:lineRule="auto"/>
              <w:rPr>
                <w:rFonts w:ascii="Arial"/>
                <w:sz w:val="21"/>
              </w:rPr>
            </w:pPr>
          </w:p>
          <w:p w14:paraId="0E444801">
            <w:pPr>
              <w:spacing w:line="252" w:lineRule="auto"/>
              <w:rPr>
                <w:rFonts w:ascii="Arial"/>
                <w:sz w:val="21"/>
              </w:rPr>
            </w:pPr>
          </w:p>
          <w:p w14:paraId="05BD000A">
            <w:pPr>
              <w:spacing w:line="253" w:lineRule="auto"/>
              <w:rPr>
                <w:rFonts w:ascii="Arial"/>
                <w:sz w:val="21"/>
              </w:rPr>
            </w:pPr>
          </w:p>
          <w:p w14:paraId="79BB32DE">
            <w:pPr>
              <w:spacing w:line="253" w:lineRule="auto"/>
              <w:rPr>
                <w:rFonts w:ascii="Arial"/>
                <w:sz w:val="21"/>
              </w:rPr>
            </w:pPr>
          </w:p>
          <w:p w14:paraId="7F24ACCF">
            <w:pPr>
              <w:spacing w:line="253" w:lineRule="auto"/>
              <w:rPr>
                <w:rFonts w:ascii="Arial"/>
                <w:sz w:val="21"/>
              </w:rPr>
            </w:pPr>
          </w:p>
          <w:p w14:paraId="02F8C3E5">
            <w:pPr>
              <w:spacing w:before="65" w:line="254" w:lineRule="auto"/>
              <w:ind w:left="168" w:right="165"/>
              <w:rPr>
                <w:rFonts w:ascii="仿宋" w:hAnsi="仿宋" w:eastAsia="仿宋" w:cs="仿宋"/>
                <w:sz w:val="20"/>
                <w:szCs w:val="20"/>
              </w:rPr>
            </w:pPr>
            <w:r>
              <w:rPr>
                <w:rFonts w:ascii="仿宋" w:hAnsi="仿宋" w:eastAsia="仿宋" w:cs="仿宋"/>
                <w:spacing w:val="2"/>
                <w:sz w:val="20"/>
                <w:szCs w:val="20"/>
              </w:rPr>
              <w:t>环保投资</w:t>
            </w:r>
          </w:p>
        </w:tc>
        <w:tc>
          <w:tcPr>
            <w:tcW w:w="7950" w:type="dxa"/>
            <w:tcBorders>
              <w:top w:val="single" w:color="000000" w:sz="2" w:space="0"/>
              <w:left w:val="single" w:color="000000" w:sz="2" w:space="0"/>
            </w:tcBorders>
            <w:vAlign w:val="top"/>
          </w:tcPr>
          <w:p w14:paraId="53C9ACB8">
            <w:pPr>
              <w:pStyle w:val="6"/>
              <w:spacing w:before="38" w:line="376" w:lineRule="auto"/>
              <w:ind w:left="122" w:right="103" w:firstLine="410"/>
              <w:rPr>
                <w:rFonts w:ascii="仿宋" w:hAnsi="仿宋" w:eastAsia="仿宋" w:cs="仿宋"/>
                <w:sz w:val="20"/>
                <w:szCs w:val="20"/>
              </w:rPr>
            </w:pPr>
            <w:r>
              <w:rPr>
                <w:rFonts w:ascii="仿宋" w:hAnsi="仿宋" w:eastAsia="仿宋" w:cs="仿宋"/>
                <w:spacing w:val="7"/>
                <w:sz w:val="20"/>
                <w:szCs w:val="20"/>
              </w:rPr>
              <w:t>本项目建设总投资</w:t>
            </w:r>
            <w:r>
              <w:rPr>
                <w:rFonts w:ascii="仿宋" w:hAnsi="仿宋" w:eastAsia="仿宋" w:cs="仿宋"/>
                <w:spacing w:val="-35"/>
                <w:sz w:val="20"/>
                <w:szCs w:val="20"/>
              </w:rPr>
              <w:t xml:space="preserve"> </w:t>
            </w:r>
            <w:r>
              <w:rPr>
                <w:rFonts w:ascii="仿宋" w:hAnsi="仿宋" w:eastAsia="仿宋" w:cs="仿宋"/>
                <w:spacing w:val="7"/>
                <w:sz w:val="20"/>
                <w:szCs w:val="20"/>
              </w:rPr>
              <w:t>2250.5331</w:t>
            </w:r>
            <w:r>
              <w:rPr>
                <w:rFonts w:ascii="仿宋" w:hAnsi="仿宋" w:eastAsia="仿宋" w:cs="仿宋"/>
                <w:spacing w:val="-28"/>
                <w:sz w:val="20"/>
                <w:szCs w:val="20"/>
              </w:rPr>
              <w:t xml:space="preserve"> </w:t>
            </w:r>
            <w:r>
              <w:rPr>
                <w:rFonts w:ascii="仿宋" w:hAnsi="仿宋" w:eastAsia="仿宋" w:cs="仿宋"/>
                <w:spacing w:val="7"/>
                <w:sz w:val="20"/>
                <w:szCs w:val="20"/>
              </w:rPr>
              <w:t>万元，其中环保投资为</w:t>
            </w:r>
            <w:r>
              <w:rPr>
                <w:rFonts w:ascii="仿宋" w:hAnsi="仿宋" w:eastAsia="仿宋" w:cs="仿宋"/>
                <w:spacing w:val="-38"/>
                <w:sz w:val="20"/>
                <w:szCs w:val="20"/>
              </w:rPr>
              <w:t xml:space="preserve"> </w:t>
            </w:r>
            <w:r>
              <w:rPr>
                <w:spacing w:val="7"/>
                <w:sz w:val="20"/>
                <w:szCs w:val="20"/>
              </w:rPr>
              <w:t>24</w:t>
            </w:r>
            <w:r>
              <w:rPr>
                <w:spacing w:val="19"/>
                <w:sz w:val="20"/>
                <w:szCs w:val="20"/>
              </w:rPr>
              <w:t xml:space="preserve"> </w:t>
            </w:r>
            <w:r>
              <w:rPr>
                <w:rFonts w:ascii="仿宋" w:hAnsi="仿宋" w:eastAsia="仿宋" w:cs="仿宋"/>
                <w:spacing w:val="7"/>
                <w:sz w:val="20"/>
                <w:szCs w:val="20"/>
              </w:rPr>
              <w:t>万元，</w:t>
            </w:r>
            <w:r>
              <w:rPr>
                <w:rFonts w:ascii="仿宋" w:hAnsi="仿宋" w:eastAsia="仿宋" w:cs="仿宋"/>
                <w:spacing w:val="-39"/>
                <w:sz w:val="20"/>
                <w:szCs w:val="20"/>
              </w:rPr>
              <w:t xml:space="preserve"> </w:t>
            </w:r>
            <w:r>
              <w:rPr>
                <w:rFonts w:ascii="仿宋" w:hAnsi="仿宋" w:eastAsia="仿宋" w:cs="仿宋"/>
                <w:spacing w:val="7"/>
                <w:sz w:val="20"/>
                <w:szCs w:val="20"/>
              </w:rPr>
              <w:t>占总投资比例为</w:t>
            </w:r>
            <w:r>
              <w:rPr>
                <w:spacing w:val="5"/>
                <w:sz w:val="20"/>
                <w:szCs w:val="20"/>
              </w:rPr>
              <w:t>1.07%</w:t>
            </w:r>
            <w:r>
              <w:rPr>
                <w:spacing w:val="-18"/>
                <w:sz w:val="20"/>
                <w:szCs w:val="20"/>
              </w:rPr>
              <w:t xml:space="preserve"> </w:t>
            </w:r>
            <w:r>
              <w:rPr>
                <w:rFonts w:ascii="仿宋" w:hAnsi="仿宋" w:eastAsia="仿宋" w:cs="仿宋"/>
                <w:spacing w:val="5"/>
                <w:sz w:val="20"/>
                <w:szCs w:val="20"/>
              </w:rPr>
              <w:t>，项目环境保护对策措施汇总见表</w:t>
            </w:r>
            <w:r>
              <w:rPr>
                <w:rFonts w:ascii="仿宋" w:hAnsi="仿宋" w:eastAsia="仿宋" w:cs="仿宋"/>
                <w:spacing w:val="-37"/>
                <w:sz w:val="20"/>
                <w:szCs w:val="20"/>
              </w:rPr>
              <w:t xml:space="preserve"> </w:t>
            </w:r>
            <w:r>
              <w:rPr>
                <w:spacing w:val="5"/>
                <w:sz w:val="20"/>
                <w:szCs w:val="20"/>
              </w:rPr>
              <w:t>5-4</w:t>
            </w:r>
            <w:r>
              <w:rPr>
                <w:rFonts w:ascii="仿宋" w:hAnsi="仿宋" w:eastAsia="仿宋" w:cs="仿宋"/>
                <w:spacing w:val="5"/>
                <w:sz w:val="20"/>
                <w:szCs w:val="20"/>
              </w:rPr>
              <w:t>。</w:t>
            </w:r>
          </w:p>
          <w:p w14:paraId="5FA3D932">
            <w:pPr>
              <w:pStyle w:val="6"/>
              <w:spacing w:before="2" w:line="222" w:lineRule="auto"/>
              <w:ind w:left="2237"/>
              <w:rPr>
                <w:rFonts w:ascii="仿宋" w:hAnsi="仿宋" w:eastAsia="仿宋" w:cs="仿宋"/>
                <w:sz w:val="20"/>
                <w:szCs w:val="20"/>
              </w:rPr>
            </w:pPr>
            <w:r>
              <w:rPr>
                <w:rFonts w:ascii="仿宋" w:hAnsi="仿宋" w:eastAsia="仿宋" w:cs="仿宋"/>
                <w:b/>
                <w:bCs/>
                <w:spacing w:val="4"/>
                <w:sz w:val="20"/>
                <w:szCs w:val="20"/>
              </w:rPr>
              <w:t>表</w:t>
            </w:r>
            <w:r>
              <w:rPr>
                <w:rFonts w:ascii="仿宋" w:hAnsi="仿宋" w:eastAsia="仿宋" w:cs="仿宋"/>
                <w:spacing w:val="-35"/>
                <w:sz w:val="20"/>
                <w:szCs w:val="20"/>
              </w:rPr>
              <w:t xml:space="preserve"> </w:t>
            </w:r>
            <w:r>
              <w:rPr>
                <w:b/>
                <w:bCs/>
                <w:spacing w:val="4"/>
                <w:sz w:val="20"/>
                <w:szCs w:val="20"/>
              </w:rPr>
              <w:t xml:space="preserve">5-4    </w:t>
            </w:r>
            <w:r>
              <w:rPr>
                <w:rFonts w:ascii="仿宋" w:hAnsi="仿宋" w:eastAsia="仿宋" w:cs="仿宋"/>
                <w:b/>
                <w:bCs/>
                <w:spacing w:val="4"/>
                <w:sz w:val="20"/>
                <w:szCs w:val="20"/>
              </w:rPr>
              <w:t>环保投资估算</w:t>
            </w:r>
            <w:r>
              <w:rPr>
                <w:rFonts w:ascii="仿宋" w:hAnsi="仿宋" w:eastAsia="仿宋" w:cs="仿宋"/>
                <w:spacing w:val="10"/>
                <w:sz w:val="20"/>
                <w:szCs w:val="20"/>
              </w:rPr>
              <w:t xml:space="preserve">    </w:t>
            </w:r>
            <w:r>
              <w:rPr>
                <w:rFonts w:ascii="仿宋" w:hAnsi="仿宋" w:eastAsia="仿宋" w:cs="仿宋"/>
                <w:b/>
                <w:bCs/>
                <w:spacing w:val="4"/>
                <w:sz w:val="20"/>
                <w:szCs w:val="20"/>
              </w:rPr>
              <w:t>单位：万元</w:t>
            </w:r>
          </w:p>
          <w:tbl>
            <w:tblPr>
              <w:tblStyle w:val="5"/>
              <w:tblW w:w="7738" w:type="dxa"/>
              <w:tblInd w:w="9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59"/>
              <w:gridCol w:w="1818"/>
              <w:gridCol w:w="4446"/>
              <w:gridCol w:w="915"/>
            </w:tblGrid>
            <w:tr w14:paraId="037884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2" w:hRule="atLeast"/>
              </w:trPr>
              <w:tc>
                <w:tcPr>
                  <w:tcW w:w="559" w:type="dxa"/>
                  <w:tcBorders>
                    <w:top w:val="single" w:color="000000" w:sz="10" w:space="0"/>
                    <w:left w:val="nil"/>
                  </w:tcBorders>
                  <w:vAlign w:val="top"/>
                </w:tcPr>
                <w:p w14:paraId="20E8057E">
                  <w:pPr>
                    <w:spacing w:before="33" w:line="204" w:lineRule="auto"/>
                    <w:ind w:left="109"/>
                    <w:rPr>
                      <w:rFonts w:ascii="仿宋" w:hAnsi="仿宋" w:eastAsia="仿宋" w:cs="仿宋"/>
                      <w:sz w:val="18"/>
                      <w:szCs w:val="18"/>
                    </w:rPr>
                  </w:pPr>
                  <w:r>
                    <w:rPr>
                      <w:rFonts w:ascii="仿宋" w:hAnsi="仿宋" w:eastAsia="仿宋" w:cs="仿宋"/>
                      <w:spacing w:val="-6"/>
                      <w:sz w:val="18"/>
                      <w:szCs w:val="18"/>
                    </w:rPr>
                    <w:t>序号</w:t>
                  </w:r>
                </w:p>
              </w:tc>
              <w:tc>
                <w:tcPr>
                  <w:tcW w:w="1818" w:type="dxa"/>
                  <w:tcBorders>
                    <w:top w:val="single" w:color="000000" w:sz="10" w:space="0"/>
                  </w:tcBorders>
                  <w:vAlign w:val="top"/>
                </w:tcPr>
                <w:p w14:paraId="5794ED3F">
                  <w:pPr>
                    <w:spacing w:before="33" w:line="204" w:lineRule="auto"/>
                    <w:ind w:left="557"/>
                    <w:rPr>
                      <w:rFonts w:ascii="仿宋" w:hAnsi="仿宋" w:eastAsia="仿宋" w:cs="仿宋"/>
                      <w:sz w:val="18"/>
                      <w:szCs w:val="18"/>
                    </w:rPr>
                  </w:pPr>
                  <w:r>
                    <w:rPr>
                      <w:rFonts w:ascii="仿宋" w:hAnsi="仿宋" w:eastAsia="仿宋" w:cs="仿宋"/>
                      <w:spacing w:val="-3"/>
                      <w:sz w:val="18"/>
                      <w:szCs w:val="18"/>
                    </w:rPr>
                    <w:t>投资项目</w:t>
                  </w:r>
                </w:p>
              </w:tc>
              <w:tc>
                <w:tcPr>
                  <w:tcW w:w="4446" w:type="dxa"/>
                  <w:tcBorders>
                    <w:top w:val="single" w:color="000000" w:sz="10" w:space="0"/>
                  </w:tcBorders>
                  <w:vAlign w:val="top"/>
                </w:tcPr>
                <w:p w14:paraId="20E35226">
                  <w:pPr>
                    <w:spacing w:before="33" w:line="204" w:lineRule="auto"/>
                    <w:ind w:left="1871"/>
                    <w:rPr>
                      <w:rFonts w:ascii="仿宋" w:hAnsi="仿宋" w:eastAsia="仿宋" w:cs="仿宋"/>
                      <w:sz w:val="18"/>
                      <w:szCs w:val="18"/>
                    </w:rPr>
                  </w:pPr>
                  <w:r>
                    <w:rPr>
                      <w:rFonts w:ascii="仿宋" w:hAnsi="仿宋" w:eastAsia="仿宋" w:cs="仿宋"/>
                      <w:spacing w:val="-3"/>
                      <w:sz w:val="18"/>
                      <w:szCs w:val="18"/>
                    </w:rPr>
                    <w:t>环保措施</w:t>
                  </w:r>
                </w:p>
              </w:tc>
              <w:tc>
                <w:tcPr>
                  <w:tcW w:w="915" w:type="dxa"/>
                  <w:tcBorders>
                    <w:top w:val="single" w:color="000000" w:sz="10" w:space="0"/>
                    <w:right w:val="nil"/>
                  </w:tcBorders>
                  <w:vAlign w:val="top"/>
                </w:tcPr>
                <w:p w14:paraId="6FF4D9EA">
                  <w:pPr>
                    <w:spacing w:before="33" w:line="204" w:lineRule="auto"/>
                    <w:ind w:left="108"/>
                    <w:rPr>
                      <w:rFonts w:ascii="仿宋" w:hAnsi="仿宋" w:eastAsia="仿宋" w:cs="仿宋"/>
                      <w:sz w:val="18"/>
                      <w:szCs w:val="18"/>
                    </w:rPr>
                  </w:pPr>
                  <w:r>
                    <w:rPr>
                      <w:rFonts w:ascii="仿宋" w:hAnsi="仿宋" w:eastAsia="仿宋" w:cs="仿宋"/>
                      <w:spacing w:val="-3"/>
                      <w:sz w:val="18"/>
                      <w:szCs w:val="18"/>
                    </w:rPr>
                    <w:t>投资金额</w:t>
                  </w:r>
                </w:p>
              </w:tc>
            </w:tr>
            <w:tr w14:paraId="4234C3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559" w:type="dxa"/>
                  <w:tcBorders>
                    <w:left w:val="nil"/>
                  </w:tcBorders>
                  <w:vAlign w:val="top"/>
                </w:tcPr>
                <w:p w14:paraId="65C1080A">
                  <w:pPr>
                    <w:pStyle w:val="6"/>
                    <w:spacing w:before="57" w:line="188" w:lineRule="auto"/>
                    <w:ind w:left="252"/>
                  </w:pPr>
                  <w:r>
                    <w:t>1</w:t>
                  </w:r>
                </w:p>
              </w:tc>
              <w:tc>
                <w:tcPr>
                  <w:tcW w:w="1818" w:type="dxa"/>
                  <w:vAlign w:val="top"/>
                </w:tcPr>
                <w:p w14:paraId="20A622B1">
                  <w:pPr>
                    <w:spacing w:before="29" w:line="203" w:lineRule="auto"/>
                    <w:ind w:left="108"/>
                    <w:rPr>
                      <w:rFonts w:ascii="仿宋" w:hAnsi="仿宋" w:eastAsia="仿宋" w:cs="仿宋"/>
                      <w:sz w:val="18"/>
                      <w:szCs w:val="18"/>
                    </w:rPr>
                  </w:pPr>
                  <w:r>
                    <w:rPr>
                      <w:rFonts w:ascii="仿宋" w:hAnsi="仿宋" w:eastAsia="仿宋" w:cs="仿宋"/>
                      <w:spacing w:val="-2"/>
                      <w:sz w:val="18"/>
                      <w:szCs w:val="18"/>
                    </w:rPr>
                    <w:t>施工期噪声治理措施</w:t>
                  </w:r>
                </w:p>
              </w:tc>
              <w:tc>
                <w:tcPr>
                  <w:tcW w:w="4446" w:type="dxa"/>
                  <w:vAlign w:val="top"/>
                </w:tcPr>
                <w:p w14:paraId="64B153D6">
                  <w:pPr>
                    <w:spacing w:before="29" w:line="203" w:lineRule="auto"/>
                    <w:ind w:left="1422"/>
                    <w:rPr>
                      <w:rFonts w:ascii="仿宋" w:hAnsi="仿宋" w:eastAsia="仿宋" w:cs="仿宋"/>
                      <w:sz w:val="18"/>
                      <w:szCs w:val="18"/>
                    </w:rPr>
                  </w:pPr>
                  <w:r>
                    <w:rPr>
                      <w:rFonts w:ascii="仿宋" w:hAnsi="仿宋" w:eastAsia="仿宋" w:cs="仿宋"/>
                      <w:spacing w:val="-2"/>
                      <w:sz w:val="18"/>
                      <w:szCs w:val="18"/>
                    </w:rPr>
                    <w:t>施工围挡、隔声挡板</w:t>
                  </w:r>
                </w:p>
              </w:tc>
              <w:tc>
                <w:tcPr>
                  <w:tcW w:w="915" w:type="dxa"/>
                  <w:tcBorders>
                    <w:right w:val="nil"/>
                  </w:tcBorders>
                  <w:vAlign w:val="top"/>
                </w:tcPr>
                <w:p w14:paraId="41CF738E">
                  <w:pPr>
                    <w:pStyle w:val="6"/>
                    <w:spacing w:before="60" w:line="185" w:lineRule="auto"/>
                    <w:ind w:left="420"/>
                  </w:pPr>
                  <w:r>
                    <w:t>5</w:t>
                  </w:r>
                </w:p>
              </w:tc>
            </w:tr>
            <w:tr w14:paraId="123038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559" w:type="dxa"/>
                  <w:tcBorders>
                    <w:left w:val="nil"/>
                  </w:tcBorders>
                  <w:vAlign w:val="top"/>
                </w:tcPr>
                <w:p w14:paraId="58FD4B39">
                  <w:pPr>
                    <w:pStyle w:val="6"/>
                    <w:spacing w:before="60" w:line="188" w:lineRule="auto"/>
                    <w:ind w:left="235"/>
                  </w:pPr>
                  <w:r>
                    <w:t>2</w:t>
                  </w:r>
                </w:p>
              </w:tc>
              <w:tc>
                <w:tcPr>
                  <w:tcW w:w="1818" w:type="dxa"/>
                  <w:vAlign w:val="top"/>
                </w:tcPr>
                <w:p w14:paraId="59E3C21B">
                  <w:pPr>
                    <w:spacing w:before="29" w:line="203" w:lineRule="auto"/>
                    <w:ind w:left="110"/>
                    <w:rPr>
                      <w:rFonts w:ascii="仿宋" w:hAnsi="仿宋" w:eastAsia="仿宋" w:cs="仿宋"/>
                      <w:sz w:val="18"/>
                      <w:szCs w:val="18"/>
                    </w:rPr>
                  </w:pPr>
                  <w:r>
                    <w:rPr>
                      <w:rFonts w:ascii="仿宋" w:hAnsi="仿宋" w:eastAsia="仿宋" w:cs="仿宋"/>
                      <w:spacing w:val="-2"/>
                      <w:sz w:val="18"/>
                      <w:szCs w:val="18"/>
                    </w:rPr>
                    <w:t>运营期噪声治理措施</w:t>
                  </w:r>
                </w:p>
              </w:tc>
              <w:tc>
                <w:tcPr>
                  <w:tcW w:w="4446" w:type="dxa"/>
                  <w:vAlign w:val="top"/>
                </w:tcPr>
                <w:p w14:paraId="62F562FD">
                  <w:pPr>
                    <w:spacing w:before="29" w:line="203" w:lineRule="auto"/>
                    <w:ind w:left="1428"/>
                    <w:rPr>
                      <w:rFonts w:ascii="仿宋" w:hAnsi="仿宋" w:eastAsia="仿宋" w:cs="仿宋"/>
                      <w:sz w:val="18"/>
                      <w:szCs w:val="18"/>
                    </w:rPr>
                  </w:pPr>
                  <w:r>
                    <w:rPr>
                      <w:rFonts w:ascii="仿宋" w:hAnsi="仿宋" w:eastAsia="仿宋" w:cs="仿宋"/>
                      <w:spacing w:val="-2"/>
                      <w:sz w:val="18"/>
                      <w:szCs w:val="18"/>
                    </w:rPr>
                    <w:t>禁止鸣笛、减速标志</w:t>
                  </w:r>
                </w:p>
              </w:tc>
              <w:tc>
                <w:tcPr>
                  <w:tcW w:w="915" w:type="dxa"/>
                  <w:tcBorders>
                    <w:right w:val="nil"/>
                  </w:tcBorders>
                  <w:vAlign w:val="top"/>
                </w:tcPr>
                <w:p w14:paraId="23D2DBCD">
                  <w:pPr>
                    <w:pStyle w:val="6"/>
                    <w:spacing w:before="60" w:line="188" w:lineRule="auto"/>
                    <w:ind w:left="419"/>
                  </w:pPr>
                  <w:r>
                    <w:t>3</w:t>
                  </w:r>
                </w:p>
              </w:tc>
            </w:tr>
            <w:tr w14:paraId="5D40D4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559" w:type="dxa"/>
                  <w:vMerge w:val="restart"/>
                  <w:tcBorders>
                    <w:left w:val="nil"/>
                    <w:bottom w:val="nil"/>
                  </w:tcBorders>
                  <w:vAlign w:val="top"/>
                </w:tcPr>
                <w:p w14:paraId="0C7AEEA0">
                  <w:pPr>
                    <w:pStyle w:val="6"/>
                    <w:spacing w:before="183" w:line="188" w:lineRule="auto"/>
                    <w:ind w:left="238"/>
                  </w:pPr>
                  <w:r>
                    <w:t>3</w:t>
                  </w:r>
                </w:p>
              </w:tc>
              <w:tc>
                <w:tcPr>
                  <w:tcW w:w="1818" w:type="dxa"/>
                  <w:vMerge w:val="restart"/>
                  <w:tcBorders>
                    <w:bottom w:val="nil"/>
                  </w:tcBorders>
                  <w:vAlign w:val="top"/>
                </w:tcPr>
                <w:p w14:paraId="781A3223">
                  <w:pPr>
                    <w:spacing w:before="152" w:line="222" w:lineRule="auto"/>
                    <w:ind w:left="17"/>
                    <w:rPr>
                      <w:rFonts w:ascii="仿宋" w:hAnsi="仿宋" w:eastAsia="仿宋" w:cs="仿宋"/>
                      <w:sz w:val="18"/>
                      <w:szCs w:val="18"/>
                    </w:rPr>
                  </w:pPr>
                  <w:r>
                    <w:rPr>
                      <w:rFonts w:ascii="仿宋" w:hAnsi="仿宋" w:eastAsia="仿宋" w:cs="仿宋"/>
                      <w:spacing w:val="-2"/>
                      <w:sz w:val="18"/>
                      <w:szCs w:val="18"/>
                    </w:rPr>
                    <w:t>施工期扬尘等治理措施</w:t>
                  </w:r>
                </w:p>
              </w:tc>
              <w:tc>
                <w:tcPr>
                  <w:tcW w:w="4446" w:type="dxa"/>
                  <w:vAlign w:val="top"/>
                </w:tcPr>
                <w:p w14:paraId="15F21A2A">
                  <w:pPr>
                    <w:spacing w:before="32" w:line="200" w:lineRule="auto"/>
                    <w:ind w:left="1871"/>
                    <w:rPr>
                      <w:rFonts w:ascii="仿宋" w:hAnsi="仿宋" w:eastAsia="仿宋" w:cs="仿宋"/>
                      <w:sz w:val="18"/>
                      <w:szCs w:val="18"/>
                    </w:rPr>
                  </w:pPr>
                  <w:r>
                    <w:rPr>
                      <w:rFonts w:ascii="仿宋" w:hAnsi="仿宋" w:eastAsia="仿宋" w:cs="仿宋"/>
                      <w:spacing w:val="-3"/>
                      <w:sz w:val="18"/>
                      <w:szCs w:val="18"/>
                    </w:rPr>
                    <w:t>洒水降尘</w:t>
                  </w:r>
                </w:p>
              </w:tc>
              <w:tc>
                <w:tcPr>
                  <w:tcW w:w="915" w:type="dxa"/>
                  <w:tcBorders>
                    <w:right w:val="nil"/>
                  </w:tcBorders>
                  <w:vAlign w:val="top"/>
                </w:tcPr>
                <w:p w14:paraId="25D4FF45">
                  <w:pPr>
                    <w:pStyle w:val="6"/>
                    <w:spacing w:before="60" w:line="188" w:lineRule="auto"/>
                    <w:ind w:left="419"/>
                  </w:pPr>
                  <w:r>
                    <w:t>3</w:t>
                  </w:r>
                </w:p>
              </w:tc>
            </w:tr>
            <w:tr w14:paraId="3DE7A2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559" w:type="dxa"/>
                  <w:vMerge w:val="continue"/>
                  <w:tcBorders>
                    <w:top w:val="nil"/>
                    <w:left w:val="nil"/>
                  </w:tcBorders>
                  <w:vAlign w:val="top"/>
                </w:tcPr>
                <w:p w14:paraId="60876702">
                  <w:pPr>
                    <w:rPr>
                      <w:rFonts w:ascii="Arial"/>
                      <w:sz w:val="21"/>
                    </w:rPr>
                  </w:pPr>
                </w:p>
              </w:tc>
              <w:tc>
                <w:tcPr>
                  <w:tcW w:w="1818" w:type="dxa"/>
                  <w:vMerge w:val="continue"/>
                  <w:tcBorders>
                    <w:top w:val="nil"/>
                  </w:tcBorders>
                  <w:vAlign w:val="top"/>
                </w:tcPr>
                <w:p w14:paraId="05887761">
                  <w:pPr>
                    <w:rPr>
                      <w:rFonts w:ascii="Arial"/>
                      <w:sz w:val="21"/>
                    </w:rPr>
                  </w:pPr>
                </w:p>
              </w:tc>
              <w:tc>
                <w:tcPr>
                  <w:tcW w:w="4446" w:type="dxa"/>
                  <w:vAlign w:val="top"/>
                </w:tcPr>
                <w:p w14:paraId="0324A8A1">
                  <w:pPr>
                    <w:spacing w:before="32" w:line="200" w:lineRule="auto"/>
                    <w:ind w:left="1242"/>
                    <w:rPr>
                      <w:rFonts w:ascii="仿宋" w:hAnsi="仿宋" w:eastAsia="仿宋" w:cs="仿宋"/>
                      <w:sz w:val="18"/>
                      <w:szCs w:val="18"/>
                    </w:rPr>
                  </w:pPr>
                  <w:r>
                    <w:rPr>
                      <w:rFonts w:ascii="仿宋" w:hAnsi="仿宋" w:eastAsia="仿宋" w:cs="仿宋"/>
                      <w:spacing w:val="-2"/>
                      <w:sz w:val="18"/>
                      <w:szCs w:val="18"/>
                    </w:rPr>
                    <w:t>材料运输及堆放时设篷盖</w:t>
                  </w:r>
                </w:p>
              </w:tc>
              <w:tc>
                <w:tcPr>
                  <w:tcW w:w="915" w:type="dxa"/>
                  <w:tcBorders>
                    <w:right w:val="nil"/>
                  </w:tcBorders>
                  <w:vAlign w:val="top"/>
                </w:tcPr>
                <w:p w14:paraId="66E6B62A">
                  <w:pPr>
                    <w:pStyle w:val="6"/>
                    <w:spacing w:before="63" w:line="188" w:lineRule="auto"/>
                    <w:ind w:left="432"/>
                  </w:pPr>
                  <w:r>
                    <w:t>1</w:t>
                  </w:r>
                </w:p>
              </w:tc>
            </w:tr>
            <w:tr w14:paraId="181B62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 w:hRule="atLeast"/>
              </w:trPr>
              <w:tc>
                <w:tcPr>
                  <w:tcW w:w="559" w:type="dxa"/>
                  <w:tcBorders>
                    <w:left w:val="nil"/>
                  </w:tcBorders>
                  <w:vAlign w:val="top"/>
                </w:tcPr>
                <w:p w14:paraId="6313F248">
                  <w:pPr>
                    <w:spacing w:line="243" w:lineRule="auto"/>
                    <w:rPr>
                      <w:rFonts w:ascii="Arial"/>
                      <w:sz w:val="21"/>
                    </w:rPr>
                  </w:pPr>
                </w:p>
                <w:p w14:paraId="1604C633">
                  <w:pPr>
                    <w:pStyle w:val="6"/>
                    <w:spacing w:before="52" w:line="188" w:lineRule="auto"/>
                    <w:ind w:left="234"/>
                  </w:pPr>
                  <w:r>
                    <w:t>4</w:t>
                  </w:r>
                </w:p>
              </w:tc>
              <w:tc>
                <w:tcPr>
                  <w:tcW w:w="1818" w:type="dxa"/>
                  <w:vAlign w:val="top"/>
                </w:tcPr>
                <w:p w14:paraId="18789190">
                  <w:pPr>
                    <w:spacing w:before="268" w:line="222" w:lineRule="auto"/>
                    <w:ind w:left="378"/>
                    <w:rPr>
                      <w:rFonts w:ascii="仿宋" w:hAnsi="仿宋" w:eastAsia="仿宋" w:cs="仿宋"/>
                      <w:sz w:val="18"/>
                      <w:szCs w:val="18"/>
                    </w:rPr>
                  </w:pPr>
                  <w:r>
                    <w:rPr>
                      <w:rFonts w:ascii="仿宋" w:hAnsi="仿宋" w:eastAsia="仿宋" w:cs="仿宋"/>
                      <w:spacing w:val="-3"/>
                      <w:sz w:val="18"/>
                      <w:szCs w:val="18"/>
                    </w:rPr>
                    <w:t>地表径流治理</w:t>
                  </w:r>
                </w:p>
              </w:tc>
              <w:tc>
                <w:tcPr>
                  <w:tcW w:w="4446" w:type="dxa"/>
                  <w:vAlign w:val="top"/>
                </w:tcPr>
                <w:p w14:paraId="00BF32AE">
                  <w:pPr>
                    <w:pStyle w:val="6"/>
                    <w:spacing w:before="35" w:line="222" w:lineRule="auto"/>
                    <w:ind w:left="57"/>
                    <w:rPr>
                      <w:rFonts w:ascii="仿宋" w:hAnsi="仿宋" w:eastAsia="仿宋" w:cs="仿宋"/>
                    </w:rPr>
                  </w:pPr>
                  <w:r>
                    <w:rPr>
                      <w:rFonts w:ascii="仿宋" w:hAnsi="仿宋" w:eastAsia="仿宋" w:cs="仿宋"/>
                      <w:spacing w:val="-2"/>
                    </w:rPr>
                    <w:t>挖方段设置</w:t>
                  </w:r>
                  <w:r>
                    <w:rPr>
                      <w:rFonts w:ascii="仿宋" w:hAnsi="仿宋" w:eastAsia="仿宋" w:cs="仿宋"/>
                      <w:spacing w:val="-33"/>
                    </w:rPr>
                    <w:t xml:space="preserve"> </w:t>
                  </w:r>
                  <w:r>
                    <w:rPr>
                      <w:spacing w:val="-2"/>
                    </w:rPr>
                    <w:t>7</w:t>
                  </w:r>
                  <w:r>
                    <w:rPr>
                      <w:spacing w:val="18"/>
                      <w:w w:val="101"/>
                    </w:rPr>
                    <w:t xml:space="preserve"> </w:t>
                  </w:r>
                  <w:r>
                    <w:rPr>
                      <w:rFonts w:ascii="仿宋" w:hAnsi="仿宋" w:eastAsia="仿宋" w:cs="仿宋"/>
                      <w:spacing w:val="-2"/>
                    </w:rPr>
                    <w:t>字型边沟，边沟采用</w:t>
                  </w:r>
                  <w:r>
                    <w:rPr>
                      <w:rFonts w:ascii="仿宋" w:hAnsi="仿宋" w:eastAsia="仿宋" w:cs="仿宋"/>
                      <w:spacing w:val="-38"/>
                    </w:rPr>
                    <w:t xml:space="preserve"> </w:t>
                  </w:r>
                  <w:r>
                    <w:rPr>
                      <w:spacing w:val="-2"/>
                    </w:rPr>
                    <w:t>C25</w:t>
                  </w:r>
                  <w:r>
                    <w:rPr>
                      <w:spacing w:val="12"/>
                    </w:rPr>
                    <w:t xml:space="preserve"> </w:t>
                  </w:r>
                  <w:r>
                    <w:rPr>
                      <w:rFonts w:ascii="仿宋" w:hAnsi="仿宋" w:eastAsia="仿宋" w:cs="仿宋"/>
                      <w:spacing w:val="-2"/>
                    </w:rPr>
                    <w:t>混凝土滑膜；未</w:t>
                  </w:r>
                </w:p>
                <w:p w14:paraId="05779F56">
                  <w:pPr>
                    <w:pStyle w:val="6"/>
                    <w:spacing w:before="15" w:line="221" w:lineRule="auto"/>
                    <w:ind w:left="16"/>
                    <w:rPr>
                      <w:rFonts w:ascii="仿宋" w:hAnsi="仿宋" w:eastAsia="仿宋" w:cs="仿宋"/>
                    </w:rPr>
                  </w:pPr>
                  <w:r>
                    <w:rPr>
                      <w:rFonts w:ascii="仿宋" w:hAnsi="仿宋" w:eastAsia="仿宋" w:cs="仿宋"/>
                      <w:spacing w:val="-5"/>
                    </w:rPr>
                    <w:t>筛分碎石垫层，边沟总宽</w:t>
                  </w:r>
                  <w:r>
                    <w:rPr>
                      <w:rFonts w:ascii="仿宋" w:hAnsi="仿宋" w:eastAsia="仿宋" w:cs="仿宋"/>
                      <w:spacing w:val="-15"/>
                    </w:rPr>
                    <w:t xml:space="preserve"> </w:t>
                  </w:r>
                  <w:r>
                    <w:rPr>
                      <w:spacing w:val="-5"/>
                    </w:rPr>
                    <w:t>1.</w:t>
                  </w:r>
                  <w:r>
                    <w:rPr>
                      <w:spacing w:val="-23"/>
                    </w:rPr>
                    <w:t xml:space="preserve"> </w:t>
                  </w:r>
                  <w:r>
                    <w:rPr>
                      <w:spacing w:val="-5"/>
                    </w:rPr>
                    <w:t>15m</w:t>
                  </w:r>
                  <w:r>
                    <w:rPr>
                      <w:rFonts w:ascii="仿宋" w:hAnsi="仿宋" w:eastAsia="仿宋" w:cs="仿宋"/>
                      <w:spacing w:val="-5"/>
                    </w:rPr>
                    <w:t>，排水沟采用</w:t>
                  </w:r>
                  <w:r>
                    <w:rPr>
                      <w:rFonts w:ascii="仿宋" w:hAnsi="仿宋" w:eastAsia="仿宋" w:cs="仿宋"/>
                      <w:spacing w:val="-38"/>
                    </w:rPr>
                    <w:t xml:space="preserve"> </w:t>
                  </w:r>
                  <w:r>
                    <w:rPr>
                      <w:spacing w:val="-5"/>
                    </w:rPr>
                    <w:t>C25</w:t>
                  </w:r>
                  <w:r>
                    <w:rPr>
                      <w:spacing w:val="11"/>
                    </w:rPr>
                    <w:t xml:space="preserve"> </w:t>
                  </w:r>
                  <w:r>
                    <w:rPr>
                      <w:rFonts w:ascii="仿宋" w:hAnsi="仿宋" w:eastAsia="仿宋" w:cs="仿宋"/>
                      <w:spacing w:val="-5"/>
                    </w:rPr>
                    <w:t>现浇混</w:t>
                  </w:r>
                </w:p>
                <w:p w14:paraId="620AABC5">
                  <w:pPr>
                    <w:spacing w:before="17" w:line="195" w:lineRule="auto"/>
                    <w:ind w:left="1421"/>
                    <w:rPr>
                      <w:rFonts w:ascii="仿宋" w:hAnsi="仿宋" w:eastAsia="仿宋" w:cs="仿宋"/>
                      <w:sz w:val="18"/>
                      <w:szCs w:val="18"/>
                    </w:rPr>
                  </w:pPr>
                  <w:r>
                    <w:rPr>
                      <w:rFonts w:ascii="仿宋" w:hAnsi="仿宋" w:eastAsia="仿宋" w:cs="仿宋"/>
                      <w:spacing w:val="-2"/>
                      <w:sz w:val="18"/>
                      <w:szCs w:val="18"/>
                    </w:rPr>
                    <w:t>凝土，矩形排水沟。</w:t>
                  </w:r>
                </w:p>
              </w:tc>
              <w:tc>
                <w:tcPr>
                  <w:tcW w:w="915" w:type="dxa"/>
                  <w:tcBorders>
                    <w:right w:val="nil"/>
                  </w:tcBorders>
                  <w:vAlign w:val="top"/>
                </w:tcPr>
                <w:p w14:paraId="21B8BDD9">
                  <w:pPr>
                    <w:spacing w:before="151"/>
                    <w:ind w:left="288" w:right="3" w:hanging="245"/>
                    <w:rPr>
                      <w:rFonts w:ascii="仿宋" w:hAnsi="仿宋" w:eastAsia="仿宋" w:cs="仿宋"/>
                      <w:sz w:val="18"/>
                      <w:szCs w:val="18"/>
                    </w:rPr>
                  </w:pPr>
                  <w:r>
                    <w:rPr>
                      <w:rFonts w:ascii="仿宋" w:hAnsi="仿宋" w:eastAsia="仿宋" w:cs="仿宋"/>
                      <w:spacing w:val="-8"/>
                      <w:sz w:val="18"/>
                      <w:szCs w:val="18"/>
                    </w:rPr>
                    <w:t>已列入工程</w:t>
                  </w:r>
                  <w:r>
                    <w:rPr>
                      <w:rFonts w:ascii="仿宋" w:hAnsi="仿宋" w:eastAsia="仿宋" w:cs="仿宋"/>
                      <w:spacing w:val="-6"/>
                      <w:sz w:val="18"/>
                      <w:szCs w:val="18"/>
                    </w:rPr>
                    <w:t>投资</w:t>
                  </w:r>
                </w:p>
              </w:tc>
            </w:tr>
            <w:tr w14:paraId="6C74D7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 w:hRule="atLeast"/>
              </w:trPr>
              <w:tc>
                <w:tcPr>
                  <w:tcW w:w="559" w:type="dxa"/>
                  <w:tcBorders>
                    <w:left w:val="nil"/>
                  </w:tcBorders>
                  <w:vAlign w:val="top"/>
                </w:tcPr>
                <w:p w14:paraId="4567449E">
                  <w:pPr>
                    <w:spacing w:line="250" w:lineRule="auto"/>
                    <w:rPr>
                      <w:rFonts w:ascii="Arial"/>
                      <w:sz w:val="21"/>
                    </w:rPr>
                  </w:pPr>
                </w:p>
                <w:p w14:paraId="17923A75">
                  <w:pPr>
                    <w:pStyle w:val="6"/>
                    <w:spacing w:before="52" w:line="185" w:lineRule="auto"/>
                    <w:ind w:left="240"/>
                  </w:pPr>
                  <w:r>
                    <w:t>5</w:t>
                  </w:r>
                </w:p>
              </w:tc>
              <w:tc>
                <w:tcPr>
                  <w:tcW w:w="1818" w:type="dxa"/>
                  <w:vAlign w:val="top"/>
                </w:tcPr>
                <w:p w14:paraId="742AAF17">
                  <w:pPr>
                    <w:spacing w:before="272" w:line="223" w:lineRule="auto"/>
                    <w:ind w:left="108"/>
                    <w:rPr>
                      <w:rFonts w:ascii="仿宋" w:hAnsi="仿宋" w:eastAsia="仿宋" w:cs="仿宋"/>
                      <w:sz w:val="18"/>
                      <w:szCs w:val="18"/>
                    </w:rPr>
                  </w:pPr>
                  <w:r>
                    <w:rPr>
                      <w:rFonts w:ascii="仿宋" w:hAnsi="仿宋" w:eastAsia="仿宋" w:cs="仿宋"/>
                      <w:spacing w:val="-2"/>
                      <w:sz w:val="18"/>
                      <w:szCs w:val="18"/>
                    </w:rPr>
                    <w:t>施工期固废处理措施</w:t>
                  </w:r>
                </w:p>
              </w:tc>
              <w:tc>
                <w:tcPr>
                  <w:tcW w:w="4446" w:type="dxa"/>
                  <w:vAlign w:val="top"/>
                </w:tcPr>
                <w:p w14:paraId="019B7328">
                  <w:pPr>
                    <w:spacing w:before="36" w:line="222" w:lineRule="auto"/>
                    <w:ind w:left="18"/>
                    <w:rPr>
                      <w:rFonts w:ascii="仿宋" w:hAnsi="仿宋" w:eastAsia="仿宋" w:cs="仿宋"/>
                      <w:sz w:val="18"/>
                      <w:szCs w:val="18"/>
                    </w:rPr>
                  </w:pPr>
                  <w:r>
                    <w:rPr>
                      <w:rFonts w:ascii="仿宋" w:hAnsi="仿宋" w:eastAsia="仿宋" w:cs="仿宋"/>
                      <w:spacing w:val="-4"/>
                      <w:sz w:val="18"/>
                      <w:szCs w:val="18"/>
                    </w:rPr>
                    <w:t>工程弃土合理调配土方，建筑垃圾收集后运至市政指定建</w:t>
                  </w:r>
                </w:p>
                <w:p w14:paraId="5A77F2B6">
                  <w:pPr>
                    <w:spacing w:before="18" w:line="222" w:lineRule="auto"/>
                    <w:ind w:left="16"/>
                    <w:rPr>
                      <w:rFonts w:ascii="仿宋" w:hAnsi="仿宋" w:eastAsia="仿宋" w:cs="仿宋"/>
                      <w:sz w:val="18"/>
                      <w:szCs w:val="18"/>
                    </w:rPr>
                  </w:pPr>
                  <w:r>
                    <w:rPr>
                      <w:rFonts w:ascii="仿宋" w:hAnsi="仿宋" w:eastAsia="仿宋" w:cs="仿宋"/>
                      <w:spacing w:val="-3"/>
                      <w:sz w:val="18"/>
                      <w:szCs w:val="18"/>
                    </w:rPr>
                    <w:t>筑垃圾排放点处置，生活垃圾按照当地村民生</w:t>
                  </w:r>
                  <w:r>
                    <w:rPr>
                      <w:rFonts w:ascii="仿宋" w:hAnsi="仿宋" w:eastAsia="仿宋" w:cs="仿宋"/>
                      <w:spacing w:val="-4"/>
                      <w:sz w:val="18"/>
                      <w:szCs w:val="18"/>
                    </w:rPr>
                    <w:t>活垃圾处理</w:t>
                  </w:r>
                </w:p>
                <w:p w14:paraId="3C4C40E6">
                  <w:pPr>
                    <w:spacing w:before="16" w:line="191" w:lineRule="auto"/>
                    <w:ind w:left="256"/>
                    <w:rPr>
                      <w:rFonts w:ascii="仿宋" w:hAnsi="仿宋" w:eastAsia="仿宋" w:cs="仿宋"/>
                      <w:sz w:val="18"/>
                      <w:szCs w:val="18"/>
                    </w:rPr>
                  </w:pPr>
                  <w:r>
                    <w:rPr>
                      <w:rFonts w:ascii="仿宋" w:hAnsi="仿宋" w:eastAsia="仿宋" w:cs="仿宋"/>
                      <w:spacing w:val="-1"/>
                      <w:sz w:val="18"/>
                      <w:szCs w:val="18"/>
                    </w:rPr>
                    <w:t>方式，集中收集后，交当地环卫部门的要求处理。</w:t>
                  </w:r>
                </w:p>
              </w:tc>
              <w:tc>
                <w:tcPr>
                  <w:tcW w:w="915" w:type="dxa"/>
                  <w:tcBorders>
                    <w:right w:val="nil"/>
                  </w:tcBorders>
                  <w:vAlign w:val="top"/>
                </w:tcPr>
                <w:p w14:paraId="323D3FB4">
                  <w:pPr>
                    <w:spacing w:line="248" w:lineRule="auto"/>
                    <w:rPr>
                      <w:rFonts w:ascii="Arial"/>
                      <w:sz w:val="21"/>
                    </w:rPr>
                  </w:pPr>
                </w:p>
                <w:p w14:paraId="5FDA0F56">
                  <w:pPr>
                    <w:pStyle w:val="6"/>
                    <w:spacing w:before="51" w:line="188" w:lineRule="auto"/>
                    <w:ind w:left="415"/>
                  </w:pPr>
                  <w:r>
                    <w:t>2</w:t>
                  </w:r>
                </w:p>
              </w:tc>
            </w:tr>
            <w:tr w14:paraId="174140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9" w:hRule="atLeast"/>
              </w:trPr>
              <w:tc>
                <w:tcPr>
                  <w:tcW w:w="559" w:type="dxa"/>
                  <w:tcBorders>
                    <w:left w:val="nil"/>
                  </w:tcBorders>
                  <w:vAlign w:val="top"/>
                </w:tcPr>
                <w:p w14:paraId="1EB566B4">
                  <w:pPr>
                    <w:pStyle w:val="6"/>
                    <w:spacing w:before="190" w:line="188" w:lineRule="auto"/>
                    <w:ind w:left="239"/>
                  </w:pPr>
                  <w:r>
                    <w:t>6</w:t>
                  </w:r>
                </w:p>
              </w:tc>
              <w:tc>
                <w:tcPr>
                  <w:tcW w:w="1818" w:type="dxa"/>
                  <w:vAlign w:val="top"/>
                </w:tcPr>
                <w:p w14:paraId="1C6A1D84">
                  <w:pPr>
                    <w:spacing w:before="43" w:line="221" w:lineRule="auto"/>
                    <w:jc w:val="right"/>
                    <w:rPr>
                      <w:rFonts w:ascii="仿宋" w:hAnsi="仿宋" w:eastAsia="仿宋" w:cs="仿宋"/>
                      <w:sz w:val="18"/>
                      <w:szCs w:val="18"/>
                    </w:rPr>
                  </w:pPr>
                  <w:r>
                    <w:rPr>
                      <w:rFonts w:ascii="仿宋" w:hAnsi="仿宋" w:eastAsia="仿宋" w:cs="仿宋"/>
                      <w:spacing w:val="-2"/>
                      <w:sz w:val="18"/>
                      <w:szCs w:val="18"/>
                    </w:rPr>
                    <w:t>路基边坡植物防护、绿</w:t>
                  </w:r>
                </w:p>
                <w:p w14:paraId="2389E9AC">
                  <w:pPr>
                    <w:spacing w:before="17" w:line="187" w:lineRule="auto"/>
                    <w:ind w:left="829"/>
                    <w:rPr>
                      <w:rFonts w:ascii="仿宋" w:hAnsi="仿宋" w:eastAsia="仿宋" w:cs="仿宋"/>
                      <w:sz w:val="18"/>
                      <w:szCs w:val="18"/>
                    </w:rPr>
                  </w:pPr>
                  <w:r>
                    <w:rPr>
                      <w:rFonts w:ascii="仿宋" w:hAnsi="仿宋" w:eastAsia="仿宋" w:cs="仿宋"/>
                      <w:sz w:val="18"/>
                      <w:szCs w:val="18"/>
                    </w:rPr>
                    <w:t>化</w:t>
                  </w:r>
                </w:p>
              </w:tc>
              <w:tc>
                <w:tcPr>
                  <w:tcW w:w="4446" w:type="dxa"/>
                  <w:vAlign w:val="top"/>
                </w:tcPr>
                <w:p w14:paraId="117005E2">
                  <w:pPr>
                    <w:spacing w:before="44" w:line="220" w:lineRule="auto"/>
                    <w:ind w:left="13"/>
                    <w:rPr>
                      <w:rFonts w:ascii="仿宋" w:hAnsi="仿宋" w:eastAsia="仿宋" w:cs="仿宋"/>
                      <w:sz w:val="18"/>
                      <w:szCs w:val="18"/>
                    </w:rPr>
                  </w:pPr>
                  <w:r>
                    <w:rPr>
                      <w:rFonts w:ascii="仿宋" w:hAnsi="仿宋" w:eastAsia="仿宋" w:cs="仿宋"/>
                      <w:spacing w:val="-3"/>
                      <w:sz w:val="18"/>
                      <w:szCs w:val="18"/>
                    </w:rPr>
                    <w:t>路基边坡植被恢复为混播针茅、紫花苜蓿、羊草、披</w:t>
                  </w:r>
                  <w:r>
                    <w:rPr>
                      <w:rFonts w:ascii="仿宋" w:hAnsi="仿宋" w:eastAsia="仿宋" w:cs="仿宋"/>
                      <w:spacing w:val="-4"/>
                      <w:sz w:val="18"/>
                      <w:szCs w:val="18"/>
                    </w:rPr>
                    <w:t>碱草</w:t>
                  </w:r>
                </w:p>
                <w:p w14:paraId="632400E4">
                  <w:pPr>
                    <w:spacing w:before="18" w:line="187" w:lineRule="auto"/>
                    <w:ind w:left="2149"/>
                    <w:rPr>
                      <w:rFonts w:ascii="仿宋" w:hAnsi="仿宋" w:eastAsia="仿宋" w:cs="仿宋"/>
                      <w:sz w:val="18"/>
                      <w:szCs w:val="18"/>
                    </w:rPr>
                  </w:pPr>
                  <w:r>
                    <w:rPr>
                      <w:rFonts w:ascii="仿宋" w:hAnsi="仿宋" w:eastAsia="仿宋" w:cs="仿宋"/>
                      <w:sz w:val="18"/>
                      <w:szCs w:val="18"/>
                    </w:rPr>
                    <w:t>等</w:t>
                  </w:r>
                </w:p>
              </w:tc>
              <w:tc>
                <w:tcPr>
                  <w:tcW w:w="915" w:type="dxa"/>
                  <w:tcBorders>
                    <w:right w:val="nil"/>
                  </w:tcBorders>
                  <w:vAlign w:val="top"/>
                </w:tcPr>
                <w:p w14:paraId="0D8AA990">
                  <w:pPr>
                    <w:spacing w:before="43" w:line="213" w:lineRule="auto"/>
                    <w:ind w:left="288" w:right="3" w:hanging="245"/>
                    <w:rPr>
                      <w:rFonts w:ascii="仿宋" w:hAnsi="仿宋" w:eastAsia="仿宋" w:cs="仿宋"/>
                      <w:sz w:val="18"/>
                      <w:szCs w:val="18"/>
                    </w:rPr>
                  </w:pPr>
                  <w:r>
                    <w:rPr>
                      <w:rFonts w:ascii="仿宋" w:hAnsi="仿宋" w:eastAsia="仿宋" w:cs="仿宋"/>
                      <w:spacing w:val="-8"/>
                      <w:sz w:val="18"/>
                      <w:szCs w:val="18"/>
                    </w:rPr>
                    <w:t>已列入工程</w:t>
                  </w:r>
                  <w:r>
                    <w:rPr>
                      <w:rFonts w:ascii="仿宋" w:hAnsi="仿宋" w:eastAsia="仿宋" w:cs="仿宋"/>
                      <w:spacing w:val="-6"/>
                      <w:sz w:val="18"/>
                      <w:szCs w:val="18"/>
                    </w:rPr>
                    <w:t>投资</w:t>
                  </w:r>
                </w:p>
              </w:tc>
            </w:tr>
            <w:tr w14:paraId="71241A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559" w:type="dxa"/>
                  <w:tcBorders>
                    <w:left w:val="nil"/>
                  </w:tcBorders>
                  <w:vAlign w:val="top"/>
                </w:tcPr>
                <w:p w14:paraId="42ED35BC">
                  <w:pPr>
                    <w:pStyle w:val="6"/>
                    <w:spacing w:before="78" w:line="173" w:lineRule="auto"/>
                    <w:ind w:left="238"/>
                  </w:pPr>
                  <w:r>
                    <w:t>7</w:t>
                  </w:r>
                </w:p>
              </w:tc>
              <w:tc>
                <w:tcPr>
                  <w:tcW w:w="1818" w:type="dxa"/>
                  <w:vAlign w:val="top"/>
                </w:tcPr>
                <w:p w14:paraId="1882FBC4">
                  <w:pPr>
                    <w:spacing w:before="44" w:line="188" w:lineRule="auto"/>
                    <w:ind w:left="557"/>
                    <w:rPr>
                      <w:rFonts w:ascii="仿宋" w:hAnsi="仿宋" w:eastAsia="仿宋" w:cs="仿宋"/>
                      <w:sz w:val="18"/>
                      <w:szCs w:val="18"/>
                    </w:rPr>
                  </w:pPr>
                  <w:r>
                    <w:rPr>
                      <w:rFonts w:ascii="仿宋" w:hAnsi="仿宋" w:eastAsia="仿宋" w:cs="仿宋"/>
                      <w:spacing w:val="-3"/>
                      <w:sz w:val="18"/>
                      <w:szCs w:val="18"/>
                    </w:rPr>
                    <w:t>植被恢复</w:t>
                  </w:r>
                </w:p>
              </w:tc>
              <w:tc>
                <w:tcPr>
                  <w:tcW w:w="4446" w:type="dxa"/>
                  <w:vAlign w:val="top"/>
                </w:tcPr>
                <w:p w14:paraId="5E342AFD">
                  <w:pPr>
                    <w:spacing w:before="44" w:line="188" w:lineRule="auto"/>
                    <w:ind w:left="794"/>
                    <w:rPr>
                      <w:rFonts w:ascii="仿宋" w:hAnsi="仿宋" w:eastAsia="仿宋" w:cs="仿宋"/>
                      <w:sz w:val="18"/>
                      <w:szCs w:val="18"/>
                    </w:rPr>
                  </w:pPr>
                  <w:r>
                    <w:rPr>
                      <w:rFonts w:ascii="仿宋" w:hAnsi="仿宋" w:eastAsia="仿宋" w:cs="仿宋"/>
                      <w:spacing w:val="-1"/>
                      <w:sz w:val="18"/>
                      <w:szCs w:val="18"/>
                    </w:rPr>
                    <w:t>及时补种本地物种，维持植被覆盖度</w:t>
                  </w:r>
                </w:p>
              </w:tc>
              <w:tc>
                <w:tcPr>
                  <w:tcW w:w="915" w:type="dxa"/>
                  <w:tcBorders>
                    <w:right w:val="nil"/>
                  </w:tcBorders>
                  <w:vAlign w:val="top"/>
                </w:tcPr>
                <w:p w14:paraId="194EF58F">
                  <w:pPr>
                    <w:pStyle w:val="6"/>
                    <w:spacing w:before="76" w:line="176" w:lineRule="auto"/>
                    <w:ind w:left="415"/>
                  </w:pPr>
                  <w:r>
                    <w:t>2</w:t>
                  </w:r>
                </w:p>
              </w:tc>
            </w:tr>
            <w:tr w14:paraId="4EEC15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559" w:type="dxa"/>
                  <w:tcBorders>
                    <w:left w:val="nil"/>
                  </w:tcBorders>
                  <w:vAlign w:val="top"/>
                </w:tcPr>
                <w:p w14:paraId="66628C56">
                  <w:pPr>
                    <w:pStyle w:val="6"/>
                    <w:spacing w:before="193" w:line="188" w:lineRule="auto"/>
                    <w:ind w:left="242"/>
                  </w:pPr>
                  <w:r>
                    <w:t>8</w:t>
                  </w:r>
                </w:p>
              </w:tc>
              <w:tc>
                <w:tcPr>
                  <w:tcW w:w="1818" w:type="dxa"/>
                  <w:vAlign w:val="top"/>
                </w:tcPr>
                <w:p w14:paraId="0E6804A8">
                  <w:pPr>
                    <w:spacing w:before="162" w:line="219" w:lineRule="auto"/>
                    <w:ind w:left="199"/>
                    <w:rPr>
                      <w:rFonts w:ascii="仿宋" w:hAnsi="仿宋" w:eastAsia="仿宋" w:cs="仿宋"/>
                      <w:sz w:val="18"/>
                      <w:szCs w:val="18"/>
                    </w:rPr>
                  </w:pPr>
                  <w:r>
                    <w:rPr>
                      <w:rFonts w:ascii="仿宋" w:hAnsi="仿宋" w:eastAsia="仿宋" w:cs="仿宋"/>
                      <w:spacing w:val="-2"/>
                      <w:sz w:val="18"/>
                      <w:szCs w:val="18"/>
                    </w:rPr>
                    <w:t>运输车辆事故风险</w:t>
                  </w:r>
                </w:p>
              </w:tc>
              <w:tc>
                <w:tcPr>
                  <w:tcW w:w="4446" w:type="dxa"/>
                  <w:vAlign w:val="top"/>
                </w:tcPr>
                <w:p w14:paraId="434A8B3B">
                  <w:pPr>
                    <w:spacing w:before="46" w:line="221" w:lineRule="auto"/>
                    <w:jc w:val="right"/>
                    <w:rPr>
                      <w:rFonts w:ascii="仿宋" w:hAnsi="仿宋" w:eastAsia="仿宋" w:cs="仿宋"/>
                      <w:sz w:val="18"/>
                      <w:szCs w:val="18"/>
                    </w:rPr>
                  </w:pPr>
                  <w:r>
                    <w:rPr>
                      <w:rFonts w:ascii="仿宋" w:hAnsi="仿宋" w:eastAsia="仿宋" w:cs="仿宋"/>
                      <w:spacing w:val="-3"/>
                      <w:sz w:val="18"/>
                      <w:szCs w:val="18"/>
                    </w:rPr>
                    <w:t>制定和执行紧急事故处理计划，设定必要的机构</w:t>
                  </w:r>
                  <w:r>
                    <w:rPr>
                      <w:rFonts w:ascii="仿宋" w:hAnsi="仿宋" w:eastAsia="仿宋" w:cs="仿宋"/>
                      <w:spacing w:val="-4"/>
                      <w:sz w:val="18"/>
                      <w:szCs w:val="18"/>
                    </w:rPr>
                    <w:t>监督、管</w:t>
                  </w:r>
                </w:p>
                <w:p w14:paraId="558F3ABC">
                  <w:pPr>
                    <w:spacing w:before="17" w:line="183" w:lineRule="auto"/>
                    <w:ind w:left="1513"/>
                    <w:rPr>
                      <w:rFonts w:ascii="仿宋" w:hAnsi="仿宋" w:eastAsia="仿宋" w:cs="仿宋"/>
                      <w:sz w:val="18"/>
                      <w:szCs w:val="18"/>
                    </w:rPr>
                  </w:pPr>
                  <w:r>
                    <w:rPr>
                      <w:rFonts w:ascii="仿宋" w:hAnsi="仿宋" w:eastAsia="仿宋" w:cs="仿宋"/>
                      <w:spacing w:val="-2"/>
                      <w:sz w:val="18"/>
                      <w:szCs w:val="18"/>
                    </w:rPr>
                    <w:t>理和处理紧急事故</w:t>
                  </w:r>
                </w:p>
              </w:tc>
              <w:tc>
                <w:tcPr>
                  <w:tcW w:w="915" w:type="dxa"/>
                  <w:tcBorders>
                    <w:right w:val="nil"/>
                  </w:tcBorders>
                  <w:vAlign w:val="top"/>
                </w:tcPr>
                <w:p w14:paraId="31FB98E9">
                  <w:pPr>
                    <w:pStyle w:val="6"/>
                    <w:spacing w:before="193" w:line="188" w:lineRule="auto"/>
                    <w:ind w:left="415"/>
                  </w:pPr>
                  <w:r>
                    <w:t>2</w:t>
                  </w:r>
                </w:p>
              </w:tc>
            </w:tr>
            <w:tr w14:paraId="35AC4E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559" w:type="dxa"/>
                  <w:tcBorders>
                    <w:left w:val="nil"/>
                  </w:tcBorders>
                  <w:vAlign w:val="top"/>
                </w:tcPr>
                <w:p w14:paraId="3C332623">
                  <w:pPr>
                    <w:pStyle w:val="6"/>
                    <w:spacing w:before="80" w:line="171" w:lineRule="auto"/>
                    <w:ind w:left="238"/>
                  </w:pPr>
                  <w:r>
                    <w:t>9</w:t>
                  </w:r>
                </w:p>
              </w:tc>
              <w:tc>
                <w:tcPr>
                  <w:tcW w:w="1818" w:type="dxa"/>
                  <w:vAlign w:val="top"/>
                </w:tcPr>
                <w:p w14:paraId="19972F01">
                  <w:pPr>
                    <w:spacing w:before="49" w:line="183" w:lineRule="auto"/>
                    <w:ind w:left="557"/>
                    <w:rPr>
                      <w:rFonts w:ascii="仿宋" w:hAnsi="仿宋" w:eastAsia="仿宋" w:cs="仿宋"/>
                      <w:sz w:val="18"/>
                      <w:szCs w:val="18"/>
                    </w:rPr>
                  </w:pPr>
                  <w:r>
                    <w:rPr>
                      <w:rFonts w:ascii="仿宋" w:hAnsi="仿宋" w:eastAsia="仿宋" w:cs="仿宋"/>
                      <w:spacing w:val="-3"/>
                      <w:sz w:val="18"/>
                      <w:szCs w:val="18"/>
                    </w:rPr>
                    <w:t>环境监测</w:t>
                  </w:r>
                </w:p>
              </w:tc>
              <w:tc>
                <w:tcPr>
                  <w:tcW w:w="4446" w:type="dxa"/>
                  <w:vAlign w:val="top"/>
                </w:tcPr>
                <w:p w14:paraId="203CDF6D">
                  <w:pPr>
                    <w:spacing w:before="49" w:line="183" w:lineRule="auto"/>
                    <w:ind w:left="1610"/>
                    <w:rPr>
                      <w:rFonts w:ascii="仿宋" w:hAnsi="仿宋" w:eastAsia="仿宋" w:cs="仿宋"/>
                      <w:sz w:val="18"/>
                      <w:szCs w:val="18"/>
                    </w:rPr>
                  </w:pPr>
                  <w:r>
                    <w:rPr>
                      <w:rFonts w:ascii="仿宋" w:hAnsi="仿宋" w:eastAsia="仿宋" w:cs="仿宋"/>
                      <w:spacing w:val="-3"/>
                      <w:sz w:val="18"/>
                      <w:szCs w:val="18"/>
                    </w:rPr>
                    <w:t>噪声、生态监测</w:t>
                  </w:r>
                </w:p>
              </w:tc>
              <w:tc>
                <w:tcPr>
                  <w:tcW w:w="915" w:type="dxa"/>
                  <w:tcBorders>
                    <w:right w:val="nil"/>
                  </w:tcBorders>
                  <w:vAlign w:val="top"/>
                </w:tcPr>
                <w:p w14:paraId="22A89E77">
                  <w:pPr>
                    <w:pStyle w:val="6"/>
                    <w:spacing w:before="80" w:line="171" w:lineRule="auto"/>
                    <w:ind w:left="419"/>
                  </w:pPr>
                  <w:r>
                    <w:t>6</w:t>
                  </w:r>
                </w:p>
              </w:tc>
            </w:tr>
            <w:tr w14:paraId="55EAFA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0" w:hRule="atLeast"/>
              </w:trPr>
              <w:tc>
                <w:tcPr>
                  <w:tcW w:w="6823" w:type="dxa"/>
                  <w:gridSpan w:val="3"/>
                  <w:tcBorders>
                    <w:left w:val="nil"/>
                    <w:bottom w:val="single" w:color="000000" w:sz="10" w:space="0"/>
                  </w:tcBorders>
                  <w:vAlign w:val="top"/>
                </w:tcPr>
                <w:p w14:paraId="57CEBFCC">
                  <w:pPr>
                    <w:spacing w:before="51" w:line="204" w:lineRule="auto"/>
                    <w:ind w:left="3246"/>
                    <w:rPr>
                      <w:rFonts w:ascii="仿宋" w:hAnsi="仿宋" w:eastAsia="仿宋" w:cs="仿宋"/>
                      <w:sz w:val="18"/>
                      <w:szCs w:val="18"/>
                    </w:rPr>
                  </w:pPr>
                  <w:r>
                    <w:rPr>
                      <w:rFonts w:ascii="仿宋" w:hAnsi="仿宋" w:eastAsia="仿宋" w:cs="仿宋"/>
                      <w:spacing w:val="-9"/>
                      <w:sz w:val="18"/>
                      <w:szCs w:val="18"/>
                    </w:rPr>
                    <w:t>合计</w:t>
                  </w:r>
                </w:p>
              </w:tc>
              <w:tc>
                <w:tcPr>
                  <w:tcW w:w="915" w:type="dxa"/>
                  <w:tcBorders>
                    <w:bottom w:val="single" w:color="000000" w:sz="10" w:space="0"/>
                    <w:right w:val="nil"/>
                  </w:tcBorders>
                  <w:vAlign w:val="top"/>
                </w:tcPr>
                <w:p w14:paraId="4F30687F">
                  <w:pPr>
                    <w:pStyle w:val="6"/>
                    <w:spacing w:before="79" w:line="188" w:lineRule="auto"/>
                    <w:ind w:left="372"/>
                  </w:pPr>
                  <w:r>
                    <w:rPr>
                      <w:spacing w:val="-2"/>
                    </w:rPr>
                    <w:t>24</w:t>
                  </w:r>
                </w:p>
              </w:tc>
            </w:tr>
          </w:tbl>
          <w:p w14:paraId="0DA341B8">
            <w:pPr>
              <w:rPr>
                <w:rFonts w:ascii="Arial"/>
                <w:sz w:val="21"/>
              </w:rPr>
            </w:pPr>
          </w:p>
        </w:tc>
      </w:tr>
    </w:tbl>
    <w:p w14:paraId="139002B9">
      <w:pPr>
        <w:pStyle w:val="2"/>
        <w:rPr>
          <w:sz w:val="21"/>
        </w:rPr>
      </w:pPr>
    </w:p>
    <w:p w14:paraId="2472BC29">
      <w:pPr>
        <w:rPr>
          <w:sz w:val="21"/>
          <w:szCs w:val="21"/>
        </w:rPr>
        <w:sectPr>
          <w:footerReference r:id="rId74" w:type="default"/>
          <w:pgSz w:w="11907" w:h="16840"/>
          <w:pgMar w:top="400" w:right="1597" w:bottom="1446" w:left="1596" w:header="0" w:footer="1284" w:gutter="0"/>
          <w:cols w:space="720" w:num="1"/>
        </w:sectPr>
      </w:pPr>
    </w:p>
    <w:p w14:paraId="5C57B302">
      <w:pPr>
        <w:pStyle w:val="2"/>
        <w:spacing w:line="245" w:lineRule="auto"/>
        <w:rPr>
          <w:sz w:val="21"/>
        </w:rPr>
      </w:pPr>
    </w:p>
    <w:p w14:paraId="5FA20E20">
      <w:pPr>
        <w:pStyle w:val="2"/>
        <w:spacing w:line="245" w:lineRule="auto"/>
        <w:rPr>
          <w:sz w:val="21"/>
        </w:rPr>
      </w:pPr>
    </w:p>
    <w:p w14:paraId="054C0129">
      <w:pPr>
        <w:pStyle w:val="2"/>
        <w:spacing w:line="245" w:lineRule="auto"/>
        <w:rPr>
          <w:sz w:val="21"/>
        </w:rPr>
      </w:pPr>
    </w:p>
    <w:p w14:paraId="34378AC1">
      <w:pPr>
        <w:pStyle w:val="2"/>
        <w:spacing w:line="246" w:lineRule="auto"/>
        <w:rPr>
          <w:sz w:val="21"/>
        </w:rPr>
      </w:pPr>
    </w:p>
    <w:p w14:paraId="20A22901">
      <w:pPr>
        <w:spacing w:before="98" w:line="221" w:lineRule="auto"/>
        <w:ind w:left="2336"/>
        <w:outlineLvl w:val="0"/>
        <w:rPr>
          <w:rFonts w:ascii="黑体" w:hAnsi="黑体" w:eastAsia="黑体" w:cs="黑体"/>
          <w:sz w:val="30"/>
          <w:szCs w:val="30"/>
        </w:rPr>
      </w:pPr>
      <w:r>
        <w:rPr>
          <w:rFonts w:ascii="黑体" w:hAnsi="黑体" w:eastAsia="黑体" w:cs="黑体"/>
          <w:spacing w:val="-2"/>
          <w:sz w:val="30"/>
          <w:szCs w:val="30"/>
        </w:rPr>
        <w:t>六、生态环境保护措施监督检查清单</w:t>
      </w:r>
    </w:p>
    <w:p w14:paraId="1C454DE1">
      <w:pPr>
        <w:spacing w:line="179" w:lineRule="exact"/>
      </w:pPr>
    </w:p>
    <w:tbl>
      <w:tblPr>
        <w:tblStyle w:val="5"/>
        <w:tblW w:w="8788"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67"/>
        <w:gridCol w:w="2560"/>
        <w:gridCol w:w="1642"/>
        <w:gridCol w:w="2185"/>
        <w:gridCol w:w="1234"/>
      </w:tblGrid>
      <w:tr w14:paraId="0E159E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57" w:hRule="atLeast"/>
        </w:trPr>
        <w:tc>
          <w:tcPr>
            <w:tcW w:w="1167" w:type="dxa"/>
            <w:vMerge w:val="restart"/>
            <w:tcBorders>
              <w:top w:val="single" w:color="000000" w:sz="6" w:space="0"/>
              <w:left w:val="single" w:color="000000" w:sz="6" w:space="0"/>
              <w:bottom w:val="nil"/>
              <w:tl2br w:val="single" w:color="000000" w:sz="4" w:space="0"/>
            </w:tcBorders>
            <w:vAlign w:val="top"/>
          </w:tcPr>
          <w:p w14:paraId="7BAC5D53">
            <w:pPr>
              <w:spacing w:before="107" w:line="231" w:lineRule="auto"/>
              <w:ind w:left="612"/>
              <w:outlineLvl w:val="0"/>
              <w:rPr>
                <w:rFonts w:ascii="仿宋" w:hAnsi="仿宋" w:eastAsia="仿宋" w:cs="仿宋"/>
                <w:sz w:val="20"/>
                <w:szCs w:val="20"/>
              </w:rPr>
            </w:pPr>
            <w:r>
              <w:rPr>
                <w:rFonts w:ascii="仿宋" w:hAnsi="仿宋" w:eastAsia="仿宋" w:cs="仿宋"/>
                <w:spacing w:val="-11"/>
                <w:sz w:val="20"/>
                <w:szCs w:val="20"/>
              </w:rPr>
              <w:t>内容</w:t>
            </w:r>
          </w:p>
          <w:p w14:paraId="5CF0CA9E">
            <w:pPr>
              <w:spacing w:before="92" w:line="234" w:lineRule="auto"/>
              <w:ind w:left="120"/>
              <w:outlineLvl w:val="0"/>
              <w:rPr>
                <w:rFonts w:ascii="仿宋" w:hAnsi="仿宋" w:eastAsia="仿宋" w:cs="仿宋"/>
                <w:sz w:val="20"/>
                <w:szCs w:val="20"/>
              </w:rPr>
            </w:pPr>
            <w:r>
              <w:rPr>
                <w:rFonts w:ascii="仿宋" w:hAnsi="仿宋" w:eastAsia="仿宋" w:cs="仿宋"/>
                <w:spacing w:val="-1"/>
                <w:sz w:val="20"/>
                <w:szCs w:val="20"/>
              </w:rPr>
              <w:t>要素</w:t>
            </w:r>
          </w:p>
        </w:tc>
        <w:tc>
          <w:tcPr>
            <w:tcW w:w="4202" w:type="dxa"/>
            <w:gridSpan w:val="2"/>
            <w:tcBorders>
              <w:top w:val="single" w:color="000000" w:sz="6" w:space="0"/>
            </w:tcBorders>
            <w:vAlign w:val="top"/>
          </w:tcPr>
          <w:p w14:paraId="0B19577F">
            <w:pPr>
              <w:spacing w:before="121" w:line="232" w:lineRule="auto"/>
              <w:ind w:left="1792"/>
              <w:outlineLvl w:val="0"/>
              <w:rPr>
                <w:rFonts w:ascii="仿宋" w:hAnsi="仿宋" w:eastAsia="仿宋" w:cs="仿宋"/>
                <w:sz w:val="20"/>
                <w:szCs w:val="20"/>
              </w:rPr>
            </w:pPr>
            <w:r>
              <w:rPr>
                <w:rFonts w:ascii="仿宋" w:hAnsi="仿宋" w:eastAsia="仿宋" w:cs="仿宋"/>
                <w:spacing w:val="5"/>
                <w:sz w:val="20"/>
                <w:szCs w:val="20"/>
              </w:rPr>
              <w:t>施工期</w:t>
            </w:r>
          </w:p>
        </w:tc>
        <w:tc>
          <w:tcPr>
            <w:tcW w:w="3419" w:type="dxa"/>
            <w:gridSpan w:val="2"/>
            <w:tcBorders>
              <w:top w:val="single" w:color="000000" w:sz="6" w:space="0"/>
              <w:right w:val="single" w:color="000000" w:sz="6" w:space="0"/>
            </w:tcBorders>
            <w:vAlign w:val="top"/>
          </w:tcPr>
          <w:p w14:paraId="3579ED6F">
            <w:pPr>
              <w:spacing w:before="121" w:line="232" w:lineRule="auto"/>
              <w:ind w:left="1406"/>
              <w:outlineLvl w:val="0"/>
              <w:rPr>
                <w:rFonts w:ascii="仿宋" w:hAnsi="仿宋" w:eastAsia="仿宋" w:cs="仿宋"/>
                <w:sz w:val="20"/>
                <w:szCs w:val="20"/>
              </w:rPr>
            </w:pPr>
            <w:r>
              <w:rPr>
                <w:rFonts w:ascii="仿宋" w:hAnsi="仿宋" w:eastAsia="仿宋" w:cs="仿宋"/>
                <w:spacing w:val="4"/>
                <w:sz w:val="20"/>
                <w:szCs w:val="20"/>
              </w:rPr>
              <w:t>运营期</w:t>
            </w:r>
          </w:p>
        </w:tc>
      </w:tr>
      <w:tr w14:paraId="2CF772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1167" w:type="dxa"/>
            <w:vMerge w:val="continue"/>
            <w:tcBorders>
              <w:top w:val="nil"/>
              <w:left w:val="single" w:color="000000" w:sz="6" w:space="0"/>
              <w:tl2br w:val="single" w:color="000000" w:sz="4" w:space="0"/>
            </w:tcBorders>
            <w:vAlign w:val="top"/>
          </w:tcPr>
          <w:p w14:paraId="0B96E209">
            <w:pPr>
              <w:rPr>
                <w:rFonts w:ascii="Arial"/>
                <w:sz w:val="21"/>
              </w:rPr>
            </w:pPr>
          </w:p>
        </w:tc>
        <w:tc>
          <w:tcPr>
            <w:tcW w:w="2560" w:type="dxa"/>
            <w:vAlign w:val="top"/>
          </w:tcPr>
          <w:p w14:paraId="71675C0E">
            <w:pPr>
              <w:spacing w:before="176" w:line="229" w:lineRule="auto"/>
              <w:ind w:left="658"/>
              <w:outlineLvl w:val="0"/>
              <w:rPr>
                <w:rFonts w:ascii="仿宋" w:hAnsi="仿宋" w:eastAsia="仿宋" w:cs="仿宋"/>
                <w:sz w:val="20"/>
                <w:szCs w:val="20"/>
              </w:rPr>
            </w:pPr>
            <w:r>
              <w:rPr>
                <w:rFonts w:ascii="仿宋" w:hAnsi="仿宋" w:eastAsia="仿宋" w:cs="仿宋"/>
                <w:spacing w:val="7"/>
                <w:sz w:val="20"/>
                <w:szCs w:val="20"/>
              </w:rPr>
              <w:t>环境保护措施</w:t>
            </w:r>
          </w:p>
        </w:tc>
        <w:tc>
          <w:tcPr>
            <w:tcW w:w="1642" w:type="dxa"/>
            <w:vAlign w:val="top"/>
          </w:tcPr>
          <w:p w14:paraId="0EC9370D">
            <w:pPr>
              <w:spacing w:before="176" w:line="231" w:lineRule="auto"/>
              <w:ind w:left="411"/>
              <w:outlineLvl w:val="0"/>
              <w:rPr>
                <w:rFonts w:ascii="仿宋" w:hAnsi="仿宋" w:eastAsia="仿宋" w:cs="仿宋"/>
                <w:sz w:val="20"/>
                <w:szCs w:val="20"/>
              </w:rPr>
            </w:pPr>
            <w:r>
              <w:rPr>
                <w:rFonts w:ascii="仿宋" w:hAnsi="仿宋" w:eastAsia="仿宋" w:cs="仿宋"/>
                <w:spacing w:val="6"/>
                <w:sz w:val="20"/>
                <w:szCs w:val="20"/>
              </w:rPr>
              <w:t>验收要求</w:t>
            </w:r>
          </w:p>
        </w:tc>
        <w:tc>
          <w:tcPr>
            <w:tcW w:w="2185" w:type="dxa"/>
            <w:vAlign w:val="top"/>
          </w:tcPr>
          <w:p w14:paraId="776C5806">
            <w:pPr>
              <w:spacing w:before="176" w:line="229" w:lineRule="auto"/>
              <w:ind w:left="476"/>
              <w:outlineLvl w:val="0"/>
              <w:rPr>
                <w:rFonts w:ascii="仿宋" w:hAnsi="仿宋" w:eastAsia="仿宋" w:cs="仿宋"/>
                <w:sz w:val="20"/>
                <w:szCs w:val="20"/>
              </w:rPr>
            </w:pPr>
            <w:r>
              <w:rPr>
                <w:rFonts w:ascii="仿宋" w:hAnsi="仿宋" w:eastAsia="仿宋" w:cs="仿宋"/>
                <w:spacing w:val="7"/>
                <w:sz w:val="20"/>
                <w:szCs w:val="20"/>
              </w:rPr>
              <w:t>环境保护措施</w:t>
            </w:r>
          </w:p>
        </w:tc>
        <w:tc>
          <w:tcPr>
            <w:tcW w:w="1234" w:type="dxa"/>
            <w:tcBorders>
              <w:right w:val="single" w:color="000000" w:sz="6" w:space="0"/>
            </w:tcBorders>
            <w:vAlign w:val="top"/>
          </w:tcPr>
          <w:p w14:paraId="2E122FEA">
            <w:pPr>
              <w:spacing w:before="176" w:line="231" w:lineRule="auto"/>
              <w:ind w:left="208"/>
              <w:outlineLvl w:val="0"/>
              <w:rPr>
                <w:rFonts w:ascii="仿宋" w:hAnsi="仿宋" w:eastAsia="仿宋" w:cs="仿宋"/>
                <w:sz w:val="20"/>
                <w:szCs w:val="20"/>
              </w:rPr>
            </w:pPr>
            <w:r>
              <w:rPr>
                <w:rFonts w:ascii="仿宋" w:hAnsi="仿宋" w:eastAsia="仿宋" w:cs="仿宋"/>
                <w:spacing w:val="6"/>
                <w:sz w:val="20"/>
                <w:szCs w:val="20"/>
              </w:rPr>
              <w:t>验收要求</w:t>
            </w:r>
          </w:p>
        </w:tc>
      </w:tr>
      <w:tr w14:paraId="0DBCB4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09" w:hRule="atLeast"/>
        </w:trPr>
        <w:tc>
          <w:tcPr>
            <w:tcW w:w="1167" w:type="dxa"/>
            <w:tcBorders>
              <w:left w:val="single" w:color="000000" w:sz="6" w:space="0"/>
            </w:tcBorders>
            <w:vAlign w:val="top"/>
          </w:tcPr>
          <w:p w14:paraId="10FA7104">
            <w:pPr>
              <w:spacing w:line="259" w:lineRule="auto"/>
              <w:rPr>
                <w:rFonts w:ascii="Arial"/>
                <w:sz w:val="21"/>
              </w:rPr>
            </w:pPr>
          </w:p>
          <w:p w14:paraId="54978216">
            <w:pPr>
              <w:spacing w:line="259" w:lineRule="auto"/>
              <w:rPr>
                <w:rFonts w:ascii="Arial"/>
                <w:sz w:val="21"/>
              </w:rPr>
            </w:pPr>
          </w:p>
          <w:p w14:paraId="71CB5282">
            <w:pPr>
              <w:spacing w:line="259" w:lineRule="auto"/>
              <w:rPr>
                <w:rFonts w:ascii="Arial"/>
                <w:sz w:val="21"/>
              </w:rPr>
            </w:pPr>
          </w:p>
          <w:p w14:paraId="73805328">
            <w:pPr>
              <w:spacing w:before="65" w:line="232" w:lineRule="auto"/>
              <w:ind w:left="182"/>
              <w:rPr>
                <w:rFonts w:ascii="仿宋" w:hAnsi="仿宋" w:eastAsia="仿宋" w:cs="仿宋"/>
                <w:sz w:val="20"/>
                <w:szCs w:val="20"/>
              </w:rPr>
            </w:pPr>
            <w:r>
              <w:rPr>
                <w:rFonts w:ascii="仿宋" w:hAnsi="仿宋" w:eastAsia="仿宋" w:cs="仿宋"/>
                <w:spacing w:val="2"/>
                <w:sz w:val="20"/>
                <w:szCs w:val="20"/>
              </w:rPr>
              <w:t>陆生生态</w:t>
            </w:r>
          </w:p>
        </w:tc>
        <w:tc>
          <w:tcPr>
            <w:tcW w:w="2560" w:type="dxa"/>
            <w:vAlign w:val="top"/>
          </w:tcPr>
          <w:p w14:paraId="22E38D77">
            <w:pPr>
              <w:spacing w:before="33" w:line="246" w:lineRule="auto"/>
              <w:ind w:left="112" w:right="107" w:firstLine="13"/>
              <w:jc w:val="both"/>
              <w:rPr>
                <w:rFonts w:ascii="仿宋" w:hAnsi="仿宋" w:eastAsia="仿宋" w:cs="仿宋"/>
                <w:sz w:val="20"/>
                <w:szCs w:val="20"/>
              </w:rPr>
            </w:pPr>
            <w:r>
              <w:rPr>
                <w:rFonts w:ascii="仿宋" w:hAnsi="仿宋" w:eastAsia="仿宋" w:cs="仿宋"/>
                <w:spacing w:val="10"/>
                <w:sz w:val="20"/>
                <w:szCs w:val="20"/>
              </w:rPr>
              <w:t>限制施工作业区范围，开</w:t>
            </w:r>
            <w:r>
              <w:rPr>
                <w:rFonts w:ascii="仿宋" w:hAnsi="仿宋" w:eastAsia="仿宋" w:cs="仿宋"/>
                <w:spacing w:val="11"/>
                <w:sz w:val="20"/>
                <w:szCs w:val="20"/>
              </w:rPr>
              <w:t>挖区表土在永久占地范围内单独妥善保存，施工结</w:t>
            </w:r>
            <w:r>
              <w:rPr>
                <w:rFonts w:ascii="仿宋" w:hAnsi="仿宋" w:eastAsia="仿宋" w:cs="仿宋"/>
                <w:spacing w:val="12"/>
                <w:sz w:val="20"/>
                <w:szCs w:val="20"/>
              </w:rPr>
              <w:t>束后，立即路基边坡进行恢复植被，选取当地草种为主，植被覆盖率不低于</w:t>
            </w:r>
            <w:r>
              <w:rPr>
                <w:rFonts w:ascii="仿宋" w:hAnsi="仿宋" w:eastAsia="仿宋" w:cs="仿宋"/>
                <w:spacing w:val="6"/>
                <w:sz w:val="20"/>
                <w:szCs w:val="20"/>
              </w:rPr>
              <w:t>利用前平均水平。</w:t>
            </w:r>
          </w:p>
        </w:tc>
        <w:tc>
          <w:tcPr>
            <w:tcW w:w="1642" w:type="dxa"/>
            <w:vAlign w:val="top"/>
          </w:tcPr>
          <w:p w14:paraId="251A8686">
            <w:pPr>
              <w:pStyle w:val="6"/>
              <w:spacing w:before="303" w:line="252" w:lineRule="auto"/>
              <w:ind w:left="116" w:right="80" w:firstLine="88"/>
              <w:jc w:val="both"/>
              <w:rPr>
                <w:rFonts w:ascii="仿宋" w:hAnsi="仿宋" w:eastAsia="仿宋" w:cs="仿宋"/>
                <w:sz w:val="20"/>
                <w:szCs w:val="20"/>
              </w:rPr>
            </w:pPr>
            <w:r>
              <w:rPr>
                <w:rFonts w:ascii="仿宋" w:hAnsi="仿宋" w:eastAsia="仿宋" w:cs="仿宋"/>
                <w:spacing w:val="6"/>
                <w:sz w:val="20"/>
                <w:szCs w:val="20"/>
              </w:rPr>
              <w:t>边坡恢复后植</w:t>
            </w:r>
            <w:r>
              <w:rPr>
                <w:rFonts w:ascii="仿宋" w:hAnsi="仿宋" w:eastAsia="仿宋" w:cs="仿宋"/>
                <w:spacing w:val="21"/>
                <w:sz w:val="20"/>
                <w:szCs w:val="20"/>
              </w:rPr>
              <w:t>被覆盖度不低于施工前平均</w:t>
            </w:r>
            <w:r>
              <w:rPr>
                <w:rFonts w:ascii="仿宋" w:hAnsi="仿宋" w:eastAsia="仿宋" w:cs="仿宋"/>
                <w:spacing w:val="2"/>
                <w:sz w:val="20"/>
                <w:szCs w:val="20"/>
              </w:rPr>
              <w:t>水平，植被成活</w:t>
            </w:r>
            <w:r>
              <w:rPr>
                <w:rFonts w:ascii="仿宋" w:hAnsi="仿宋" w:eastAsia="仿宋" w:cs="仿宋"/>
                <w:spacing w:val="1"/>
                <w:sz w:val="20"/>
                <w:szCs w:val="20"/>
              </w:rPr>
              <w:t>率不低于</w:t>
            </w:r>
            <w:r>
              <w:rPr>
                <w:rFonts w:ascii="仿宋" w:hAnsi="仿宋" w:eastAsia="仿宋" w:cs="仿宋"/>
                <w:spacing w:val="-36"/>
                <w:sz w:val="20"/>
                <w:szCs w:val="20"/>
              </w:rPr>
              <w:t xml:space="preserve"> </w:t>
            </w:r>
            <w:r>
              <w:rPr>
                <w:spacing w:val="1"/>
                <w:sz w:val="20"/>
                <w:szCs w:val="20"/>
              </w:rPr>
              <w:t>90%</w:t>
            </w:r>
            <w:r>
              <w:rPr>
                <w:rFonts w:ascii="仿宋" w:hAnsi="仿宋" w:eastAsia="仿宋" w:cs="仿宋"/>
                <w:spacing w:val="1"/>
                <w:sz w:val="20"/>
                <w:szCs w:val="20"/>
              </w:rPr>
              <w:t>。</w:t>
            </w:r>
          </w:p>
        </w:tc>
        <w:tc>
          <w:tcPr>
            <w:tcW w:w="2185" w:type="dxa"/>
            <w:vAlign w:val="top"/>
          </w:tcPr>
          <w:p w14:paraId="402CA218">
            <w:pPr>
              <w:spacing w:before="33" w:line="246" w:lineRule="auto"/>
              <w:ind w:left="121" w:right="99" w:firstLine="1"/>
              <w:rPr>
                <w:rFonts w:ascii="仿宋" w:hAnsi="仿宋" w:eastAsia="仿宋" w:cs="仿宋"/>
                <w:sz w:val="20"/>
                <w:szCs w:val="20"/>
              </w:rPr>
            </w:pPr>
            <w:r>
              <w:rPr>
                <w:rFonts w:ascii="仿宋" w:hAnsi="仿宋" w:eastAsia="仿宋" w:cs="仿宋"/>
                <w:spacing w:val="17"/>
                <w:sz w:val="20"/>
                <w:szCs w:val="20"/>
              </w:rPr>
              <w:t>运营期应设置路牌提</w:t>
            </w:r>
            <w:r>
              <w:rPr>
                <w:rFonts w:ascii="仿宋" w:hAnsi="仿宋" w:eastAsia="仿宋" w:cs="仿宋"/>
                <w:spacing w:val="13"/>
                <w:sz w:val="20"/>
                <w:szCs w:val="20"/>
              </w:rPr>
              <w:t>醒</w:t>
            </w:r>
            <w:r>
              <w:rPr>
                <w:rFonts w:ascii="仿宋" w:hAnsi="仿宋" w:eastAsia="仿宋" w:cs="仿宋"/>
                <w:spacing w:val="-59"/>
                <w:sz w:val="20"/>
                <w:szCs w:val="20"/>
              </w:rPr>
              <w:t xml:space="preserve"> </w:t>
            </w:r>
            <w:r>
              <w:rPr>
                <w:rFonts w:ascii="仿宋" w:hAnsi="仿宋" w:eastAsia="仿宋" w:cs="仿宋"/>
                <w:spacing w:val="13"/>
                <w:sz w:val="20"/>
                <w:szCs w:val="20"/>
              </w:rPr>
              <w:t>，避免人为破坏植被或生物活动空间</w:t>
            </w:r>
            <w:r>
              <w:rPr>
                <w:rFonts w:ascii="仿宋" w:hAnsi="仿宋" w:eastAsia="仿宋" w:cs="仿宋"/>
                <w:spacing w:val="-59"/>
                <w:sz w:val="20"/>
                <w:szCs w:val="20"/>
              </w:rPr>
              <w:t xml:space="preserve"> </w:t>
            </w:r>
            <w:r>
              <w:rPr>
                <w:rFonts w:ascii="仿宋" w:hAnsi="仿宋" w:eastAsia="仿宋" w:cs="仿宋"/>
                <w:spacing w:val="13"/>
                <w:sz w:val="20"/>
                <w:szCs w:val="20"/>
              </w:rPr>
              <w:t>。若植被因车辆碰撞</w:t>
            </w:r>
            <w:r>
              <w:rPr>
                <w:rFonts w:ascii="仿宋" w:hAnsi="仿宋" w:eastAsia="仿宋" w:cs="仿宋"/>
                <w:spacing w:val="-59"/>
                <w:sz w:val="20"/>
                <w:szCs w:val="20"/>
              </w:rPr>
              <w:t xml:space="preserve"> </w:t>
            </w:r>
            <w:r>
              <w:rPr>
                <w:rFonts w:ascii="仿宋" w:hAnsi="仿宋" w:eastAsia="仿宋" w:cs="仿宋"/>
                <w:spacing w:val="13"/>
                <w:sz w:val="20"/>
                <w:szCs w:val="20"/>
              </w:rPr>
              <w:t>、</w:t>
            </w:r>
            <w:r>
              <w:rPr>
                <w:rFonts w:ascii="仿宋" w:hAnsi="仿宋" w:eastAsia="仿宋" w:cs="仿宋"/>
                <w:spacing w:val="8"/>
                <w:sz w:val="20"/>
                <w:szCs w:val="20"/>
              </w:rPr>
              <w:t>人为踩踏受损</w:t>
            </w:r>
            <w:r>
              <w:rPr>
                <w:rFonts w:ascii="仿宋" w:hAnsi="仿宋" w:eastAsia="仿宋" w:cs="仿宋"/>
                <w:spacing w:val="-54"/>
                <w:sz w:val="20"/>
                <w:szCs w:val="20"/>
              </w:rPr>
              <w:t xml:space="preserve"> </w:t>
            </w:r>
            <w:r>
              <w:rPr>
                <w:rFonts w:ascii="仿宋" w:hAnsi="仿宋" w:eastAsia="仿宋" w:cs="仿宋"/>
                <w:spacing w:val="8"/>
                <w:sz w:val="20"/>
                <w:szCs w:val="20"/>
              </w:rPr>
              <w:t>，</w:t>
            </w:r>
            <w:r>
              <w:rPr>
                <w:rFonts w:ascii="仿宋" w:hAnsi="仿宋" w:eastAsia="仿宋" w:cs="仿宋"/>
                <w:spacing w:val="-60"/>
                <w:sz w:val="20"/>
                <w:szCs w:val="20"/>
              </w:rPr>
              <w:t xml:space="preserve"> </w:t>
            </w:r>
            <w:r>
              <w:rPr>
                <w:rFonts w:ascii="仿宋" w:hAnsi="仿宋" w:eastAsia="仿宋" w:cs="仿宋"/>
                <w:spacing w:val="8"/>
                <w:sz w:val="20"/>
                <w:szCs w:val="20"/>
              </w:rPr>
              <w:t>需及</w:t>
            </w:r>
            <w:r>
              <w:rPr>
                <w:rFonts w:ascii="仿宋" w:hAnsi="仿宋" w:eastAsia="仿宋" w:cs="仿宋"/>
                <w:spacing w:val="13"/>
                <w:sz w:val="20"/>
                <w:szCs w:val="20"/>
              </w:rPr>
              <w:t>时补种本地物种</w:t>
            </w:r>
            <w:r>
              <w:rPr>
                <w:rFonts w:ascii="仿宋" w:hAnsi="仿宋" w:eastAsia="仿宋" w:cs="仿宋"/>
                <w:spacing w:val="-59"/>
                <w:sz w:val="20"/>
                <w:szCs w:val="20"/>
              </w:rPr>
              <w:t xml:space="preserve"> </w:t>
            </w:r>
            <w:r>
              <w:rPr>
                <w:rFonts w:ascii="仿宋" w:hAnsi="仿宋" w:eastAsia="仿宋" w:cs="仿宋"/>
                <w:spacing w:val="13"/>
                <w:sz w:val="20"/>
                <w:szCs w:val="20"/>
              </w:rPr>
              <w:t>，维</w:t>
            </w:r>
            <w:r>
              <w:rPr>
                <w:rFonts w:ascii="仿宋" w:hAnsi="仿宋" w:eastAsia="仿宋" w:cs="仿宋"/>
                <w:spacing w:val="6"/>
                <w:sz w:val="20"/>
                <w:szCs w:val="20"/>
              </w:rPr>
              <w:t>持植被覆盖度。</w:t>
            </w:r>
          </w:p>
        </w:tc>
        <w:tc>
          <w:tcPr>
            <w:tcW w:w="1234" w:type="dxa"/>
            <w:tcBorders>
              <w:right w:val="single" w:color="000000" w:sz="6" w:space="0"/>
            </w:tcBorders>
            <w:vAlign w:val="top"/>
          </w:tcPr>
          <w:p w14:paraId="35501A1A">
            <w:pPr>
              <w:spacing w:before="30" w:line="229" w:lineRule="auto"/>
              <w:ind w:left="210"/>
              <w:rPr>
                <w:rFonts w:ascii="仿宋" w:hAnsi="仿宋" w:eastAsia="仿宋" w:cs="仿宋"/>
                <w:sz w:val="20"/>
                <w:szCs w:val="20"/>
              </w:rPr>
            </w:pPr>
            <w:r>
              <w:rPr>
                <w:rFonts w:ascii="仿宋" w:hAnsi="仿宋" w:eastAsia="仿宋" w:cs="仿宋"/>
                <w:spacing w:val="5"/>
                <w:sz w:val="20"/>
                <w:szCs w:val="20"/>
              </w:rPr>
              <w:t>恢复后植</w:t>
            </w:r>
          </w:p>
          <w:p w14:paraId="01193EA3">
            <w:pPr>
              <w:spacing w:before="25" w:line="232" w:lineRule="auto"/>
              <w:ind w:left="208"/>
              <w:rPr>
                <w:rFonts w:ascii="仿宋" w:hAnsi="仿宋" w:eastAsia="仿宋" w:cs="仿宋"/>
                <w:sz w:val="20"/>
                <w:szCs w:val="20"/>
              </w:rPr>
            </w:pPr>
            <w:r>
              <w:rPr>
                <w:rFonts w:ascii="仿宋" w:hAnsi="仿宋" w:eastAsia="仿宋" w:cs="仿宋"/>
                <w:spacing w:val="5"/>
                <w:sz w:val="20"/>
                <w:szCs w:val="20"/>
              </w:rPr>
              <w:t>被覆盖度</w:t>
            </w:r>
          </w:p>
          <w:p w14:paraId="13235AD0">
            <w:pPr>
              <w:spacing w:before="19" w:line="232" w:lineRule="auto"/>
              <w:ind w:left="213"/>
              <w:rPr>
                <w:rFonts w:ascii="仿宋" w:hAnsi="仿宋" w:eastAsia="仿宋" w:cs="仿宋"/>
                <w:sz w:val="20"/>
                <w:szCs w:val="20"/>
              </w:rPr>
            </w:pPr>
            <w:r>
              <w:rPr>
                <w:rFonts w:ascii="仿宋" w:hAnsi="仿宋" w:eastAsia="仿宋" w:cs="仿宋"/>
                <w:spacing w:val="5"/>
                <w:sz w:val="20"/>
                <w:szCs w:val="20"/>
              </w:rPr>
              <w:t>不低于施</w:t>
            </w:r>
          </w:p>
          <w:p w14:paraId="130F7978">
            <w:pPr>
              <w:pStyle w:val="6"/>
              <w:spacing w:before="23" w:line="242" w:lineRule="auto"/>
              <w:ind w:left="124" w:right="79" w:firstLine="89"/>
              <w:jc w:val="both"/>
              <w:rPr>
                <w:rFonts w:ascii="仿宋" w:hAnsi="仿宋" w:eastAsia="仿宋" w:cs="仿宋"/>
                <w:sz w:val="20"/>
                <w:szCs w:val="20"/>
              </w:rPr>
            </w:pPr>
            <w:r>
              <w:rPr>
                <w:rFonts w:ascii="仿宋" w:hAnsi="仿宋" w:eastAsia="仿宋" w:cs="仿宋"/>
                <w:spacing w:val="4"/>
                <w:sz w:val="20"/>
                <w:szCs w:val="20"/>
              </w:rPr>
              <w:t>工前平均</w:t>
            </w:r>
            <w:r>
              <w:rPr>
                <w:rFonts w:ascii="仿宋" w:hAnsi="仿宋" w:eastAsia="仿宋" w:cs="仿宋"/>
                <w:spacing w:val="-1"/>
                <w:sz w:val="20"/>
                <w:szCs w:val="20"/>
              </w:rPr>
              <w:t>水平，植被</w:t>
            </w:r>
            <w:r>
              <w:rPr>
                <w:rFonts w:ascii="仿宋" w:hAnsi="仿宋" w:eastAsia="仿宋" w:cs="仿宋"/>
                <w:spacing w:val="27"/>
                <w:sz w:val="20"/>
                <w:szCs w:val="20"/>
              </w:rPr>
              <w:t>成活率不</w:t>
            </w:r>
            <w:r>
              <w:rPr>
                <w:rFonts w:ascii="仿宋" w:hAnsi="仿宋" w:eastAsia="仿宋" w:cs="仿宋"/>
                <w:spacing w:val="-2"/>
                <w:sz w:val="20"/>
                <w:szCs w:val="20"/>
              </w:rPr>
              <w:t>低于</w:t>
            </w:r>
            <w:r>
              <w:rPr>
                <w:rFonts w:ascii="仿宋" w:hAnsi="仿宋" w:eastAsia="仿宋" w:cs="仿宋"/>
                <w:spacing w:val="-36"/>
                <w:sz w:val="20"/>
                <w:szCs w:val="20"/>
              </w:rPr>
              <w:t xml:space="preserve"> </w:t>
            </w:r>
            <w:r>
              <w:rPr>
                <w:spacing w:val="-2"/>
                <w:sz w:val="20"/>
                <w:szCs w:val="20"/>
              </w:rPr>
              <w:t>90%</w:t>
            </w:r>
            <w:r>
              <w:rPr>
                <w:rFonts w:ascii="仿宋" w:hAnsi="仿宋" w:eastAsia="仿宋" w:cs="仿宋"/>
                <w:spacing w:val="-2"/>
                <w:sz w:val="20"/>
                <w:szCs w:val="20"/>
              </w:rPr>
              <w:t>。</w:t>
            </w:r>
          </w:p>
        </w:tc>
      </w:tr>
      <w:tr w14:paraId="78120C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2" w:hRule="atLeast"/>
        </w:trPr>
        <w:tc>
          <w:tcPr>
            <w:tcW w:w="1167" w:type="dxa"/>
            <w:tcBorders>
              <w:left w:val="single" w:color="000000" w:sz="6" w:space="0"/>
            </w:tcBorders>
            <w:vAlign w:val="top"/>
          </w:tcPr>
          <w:p w14:paraId="2B4D1D53">
            <w:pPr>
              <w:spacing w:before="142" w:line="232" w:lineRule="auto"/>
              <w:ind w:left="166"/>
              <w:rPr>
                <w:rFonts w:ascii="仿宋" w:hAnsi="仿宋" w:eastAsia="仿宋" w:cs="仿宋"/>
                <w:sz w:val="20"/>
                <w:szCs w:val="20"/>
              </w:rPr>
            </w:pPr>
            <w:r>
              <w:rPr>
                <w:rFonts w:ascii="仿宋" w:hAnsi="仿宋" w:eastAsia="仿宋" w:cs="仿宋"/>
                <w:spacing w:val="6"/>
                <w:sz w:val="20"/>
                <w:szCs w:val="20"/>
              </w:rPr>
              <w:t>水生生态</w:t>
            </w:r>
          </w:p>
        </w:tc>
        <w:tc>
          <w:tcPr>
            <w:tcW w:w="2560" w:type="dxa"/>
            <w:vAlign w:val="top"/>
          </w:tcPr>
          <w:p w14:paraId="6B0951EA">
            <w:pPr>
              <w:pStyle w:val="6"/>
              <w:spacing w:before="267" w:line="96" w:lineRule="exact"/>
              <w:ind w:left="1212"/>
              <w:rPr>
                <w:sz w:val="20"/>
                <w:szCs w:val="20"/>
              </w:rPr>
            </w:pPr>
            <w:r>
              <w:rPr>
                <w:spacing w:val="-2"/>
                <w:position w:val="-2"/>
                <w:sz w:val="20"/>
                <w:szCs w:val="20"/>
              </w:rPr>
              <w:t>--</w:t>
            </w:r>
          </w:p>
        </w:tc>
        <w:tc>
          <w:tcPr>
            <w:tcW w:w="1642" w:type="dxa"/>
            <w:vAlign w:val="top"/>
          </w:tcPr>
          <w:p w14:paraId="19177C75">
            <w:pPr>
              <w:pStyle w:val="6"/>
              <w:spacing w:before="267" w:line="96" w:lineRule="exact"/>
              <w:ind w:left="757"/>
              <w:rPr>
                <w:sz w:val="20"/>
                <w:szCs w:val="20"/>
              </w:rPr>
            </w:pPr>
            <w:r>
              <w:rPr>
                <w:spacing w:val="-3"/>
                <w:position w:val="-2"/>
                <w:sz w:val="20"/>
                <w:szCs w:val="20"/>
              </w:rPr>
              <w:t>--</w:t>
            </w:r>
          </w:p>
        </w:tc>
        <w:tc>
          <w:tcPr>
            <w:tcW w:w="2185" w:type="dxa"/>
            <w:vAlign w:val="top"/>
          </w:tcPr>
          <w:p w14:paraId="243FB139">
            <w:pPr>
              <w:pStyle w:val="6"/>
              <w:spacing w:before="267" w:line="96" w:lineRule="exact"/>
              <w:ind w:left="1030"/>
              <w:rPr>
                <w:sz w:val="20"/>
                <w:szCs w:val="20"/>
              </w:rPr>
            </w:pPr>
            <w:r>
              <w:rPr>
                <w:spacing w:val="-2"/>
                <w:position w:val="-2"/>
                <w:sz w:val="20"/>
                <w:szCs w:val="20"/>
              </w:rPr>
              <w:t>--</w:t>
            </w:r>
          </w:p>
        </w:tc>
        <w:tc>
          <w:tcPr>
            <w:tcW w:w="1234" w:type="dxa"/>
            <w:tcBorders>
              <w:right w:val="single" w:color="000000" w:sz="6" w:space="0"/>
            </w:tcBorders>
            <w:vAlign w:val="top"/>
          </w:tcPr>
          <w:p w14:paraId="46C493EA">
            <w:pPr>
              <w:pStyle w:val="6"/>
              <w:spacing w:before="267" w:line="96" w:lineRule="exact"/>
              <w:ind w:left="554"/>
              <w:rPr>
                <w:sz w:val="20"/>
                <w:szCs w:val="20"/>
              </w:rPr>
            </w:pPr>
            <w:r>
              <w:rPr>
                <w:spacing w:val="-2"/>
                <w:position w:val="-2"/>
                <w:sz w:val="20"/>
                <w:szCs w:val="20"/>
              </w:rPr>
              <w:t>--</w:t>
            </w:r>
          </w:p>
        </w:tc>
      </w:tr>
      <w:tr w14:paraId="2AAC43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09" w:hRule="atLeast"/>
        </w:trPr>
        <w:tc>
          <w:tcPr>
            <w:tcW w:w="1167" w:type="dxa"/>
            <w:tcBorders>
              <w:left w:val="single" w:color="000000" w:sz="6" w:space="0"/>
            </w:tcBorders>
            <w:vAlign w:val="top"/>
          </w:tcPr>
          <w:p w14:paraId="1AFE60F6">
            <w:pPr>
              <w:spacing w:line="323" w:lineRule="auto"/>
              <w:rPr>
                <w:rFonts w:ascii="Arial"/>
                <w:sz w:val="21"/>
              </w:rPr>
            </w:pPr>
          </w:p>
          <w:p w14:paraId="40907F6B">
            <w:pPr>
              <w:spacing w:line="324" w:lineRule="auto"/>
              <w:rPr>
                <w:rFonts w:ascii="Arial"/>
                <w:sz w:val="21"/>
              </w:rPr>
            </w:pPr>
          </w:p>
          <w:p w14:paraId="1CB6C203">
            <w:pPr>
              <w:spacing w:before="65" w:line="251" w:lineRule="auto"/>
              <w:ind w:left="483" w:right="166" w:hanging="316"/>
              <w:rPr>
                <w:rFonts w:ascii="仿宋" w:hAnsi="仿宋" w:eastAsia="仿宋" w:cs="仿宋"/>
                <w:sz w:val="20"/>
                <w:szCs w:val="20"/>
              </w:rPr>
            </w:pPr>
            <w:r>
              <w:rPr>
                <w:rFonts w:ascii="仿宋" w:hAnsi="仿宋" w:eastAsia="仿宋" w:cs="仿宋"/>
                <w:spacing w:val="5"/>
                <w:sz w:val="20"/>
                <w:szCs w:val="20"/>
              </w:rPr>
              <w:t>地表水环</w:t>
            </w:r>
            <w:r>
              <w:rPr>
                <w:rFonts w:ascii="仿宋" w:hAnsi="仿宋" w:eastAsia="仿宋" w:cs="仿宋"/>
                <w:sz w:val="20"/>
                <w:szCs w:val="20"/>
              </w:rPr>
              <w:t>境</w:t>
            </w:r>
          </w:p>
        </w:tc>
        <w:tc>
          <w:tcPr>
            <w:tcW w:w="2560" w:type="dxa"/>
            <w:vAlign w:val="top"/>
          </w:tcPr>
          <w:p w14:paraId="0751075F">
            <w:pPr>
              <w:spacing w:before="33" w:line="246" w:lineRule="auto"/>
              <w:ind w:left="112" w:right="107"/>
              <w:jc w:val="both"/>
              <w:rPr>
                <w:rFonts w:ascii="仿宋" w:hAnsi="仿宋" w:eastAsia="仿宋" w:cs="仿宋"/>
                <w:sz w:val="20"/>
                <w:szCs w:val="20"/>
              </w:rPr>
            </w:pPr>
            <w:r>
              <w:rPr>
                <w:rFonts w:ascii="仿宋" w:hAnsi="仿宋" w:eastAsia="仿宋" w:cs="仿宋"/>
                <w:spacing w:val="12"/>
                <w:sz w:val="20"/>
                <w:szCs w:val="20"/>
              </w:rPr>
              <w:t>施工人员生活污水依托施工生活区租用的民房现有生活设施，项目区内不产生生活污水。本项目不自设预制场、拌合站，预制构件等材料均外购，不产</w:t>
            </w:r>
            <w:r>
              <w:rPr>
                <w:rFonts w:ascii="仿宋" w:hAnsi="仿宋" w:eastAsia="仿宋" w:cs="仿宋"/>
                <w:spacing w:val="5"/>
                <w:sz w:val="20"/>
                <w:szCs w:val="20"/>
              </w:rPr>
              <w:t>生施工废水。</w:t>
            </w:r>
          </w:p>
        </w:tc>
        <w:tc>
          <w:tcPr>
            <w:tcW w:w="1642" w:type="dxa"/>
            <w:vAlign w:val="top"/>
          </w:tcPr>
          <w:p w14:paraId="667BFAB7">
            <w:pPr>
              <w:spacing w:line="261" w:lineRule="auto"/>
              <w:rPr>
                <w:rFonts w:ascii="Arial"/>
                <w:sz w:val="21"/>
              </w:rPr>
            </w:pPr>
          </w:p>
          <w:p w14:paraId="09ED23A7">
            <w:pPr>
              <w:spacing w:line="261" w:lineRule="auto"/>
              <w:rPr>
                <w:rFonts w:ascii="Arial"/>
                <w:sz w:val="21"/>
              </w:rPr>
            </w:pPr>
          </w:p>
          <w:p w14:paraId="7DC70E09">
            <w:pPr>
              <w:spacing w:line="261" w:lineRule="auto"/>
              <w:rPr>
                <w:rFonts w:ascii="Arial"/>
                <w:sz w:val="21"/>
              </w:rPr>
            </w:pPr>
          </w:p>
          <w:p w14:paraId="286BD766">
            <w:pPr>
              <w:spacing w:before="65" w:line="231" w:lineRule="auto"/>
              <w:ind w:left="520"/>
              <w:rPr>
                <w:rFonts w:ascii="仿宋" w:hAnsi="仿宋" w:eastAsia="仿宋" w:cs="仿宋"/>
                <w:sz w:val="20"/>
                <w:szCs w:val="20"/>
              </w:rPr>
            </w:pPr>
            <w:r>
              <w:rPr>
                <w:rFonts w:ascii="仿宋" w:hAnsi="仿宋" w:eastAsia="仿宋" w:cs="仿宋"/>
                <w:spacing w:val="3"/>
                <w:sz w:val="20"/>
                <w:szCs w:val="20"/>
              </w:rPr>
              <w:t>不外排</w:t>
            </w:r>
          </w:p>
        </w:tc>
        <w:tc>
          <w:tcPr>
            <w:tcW w:w="2185" w:type="dxa"/>
            <w:vAlign w:val="top"/>
          </w:tcPr>
          <w:p w14:paraId="59B47418">
            <w:pPr>
              <w:rPr>
                <w:rFonts w:ascii="Arial"/>
                <w:sz w:val="21"/>
              </w:rPr>
            </w:pPr>
          </w:p>
          <w:p w14:paraId="43FC38FC">
            <w:pPr>
              <w:spacing w:before="65" w:line="252" w:lineRule="auto"/>
              <w:ind w:left="119" w:right="99" w:firstLine="3"/>
              <w:jc w:val="both"/>
              <w:rPr>
                <w:rFonts w:ascii="仿宋" w:hAnsi="仿宋" w:eastAsia="仿宋" w:cs="仿宋"/>
                <w:sz w:val="20"/>
                <w:szCs w:val="20"/>
              </w:rPr>
            </w:pPr>
            <w:r>
              <w:rPr>
                <w:rFonts w:ascii="仿宋" w:hAnsi="仿宋" w:eastAsia="仿宋" w:cs="仿宋"/>
                <w:spacing w:val="17"/>
                <w:sz w:val="20"/>
                <w:szCs w:val="20"/>
              </w:rPr>
              <w:t>运营期路面雨水径流</w:t>
            </w:r>
            <w:r>
              <w:rPr>
                <w:rFonts w:ascii="仿宋" w:hAnsi="仿宋" w:eastAsia="仿宋" w:cs="仿宋"/>
                <w:spacing w:val="5"/>
                <w:sz w:val="20"/>
                <w:szCs w:val="20"/>
              </w:rPr>
              <w:t>利用梯形边沟、 汇集</w:t>
            </w:r>
            <w:r>
              <w:rPr>
                <w:rFonts w:ascii="仿宋" w:hAnsi="仿宋" w:eastAsia="仿宋" w:cs="仿宋"/>
                <w:spacing w:val="9"/>
                <w:sz w:val="20"/>
                <w:szCs w:val="20"/>
              </w:rPr>
              <w:t>路</w:t>
            </w:r>
            <w:r>
              <w:rPr>
                <w:rFonts w:ascii="仿宋" w:hAnsi="仿宋" w:eastAsia="仿宋" w:cs="仿宋"/>
                <w:spacing w:val="-39"/>
                <w:sz w:val="20"/>
                <w:szCs w:val="20"/>
              </w:rPr>
              <w:t xml:space="preserve"> </w:t>
            </w:r>
            <w:r>
              <w:rPr>
                <w:rFonts w:ascii="仿宋" w:hAnsi="仿宋" w:eastAsia="仿宋" w:cs="仿宋"/>
                <w:spacing w:val="9"/>
                <w:sz w:val="20"/>
                <w:szCs w:val="20"/>
              </w:rPr>
              <w:t>面</w:t>
            </w:r>
            <w:r>
              <w:rPr>
                <w:rFonts w:ascii="仿宋" w:hAnsi="仿宋" w:eastAsia="仿宋" w:cs="仿宋"/>
                <w:spacing w:val="-44"/>
                <w:sz w:val="20"/>
                <w:szCs w:val="20"/>
              </w:rPr>
              <w:t xml:space="preserve"> </w:t>
            </w:r>
            <w:r>
              <w:rPr>
                <w:rFonts w:ascii="仿宋" w:hAnsi="仿宋" w:eastAsia="仿宋" w:cs="仿宋"/>
                <w:spacing w:val="9"/>
                <w:sz w:val="20"/>
                <w:szCs w:val="20"/>
              </w:rPr>
              <w:t>水</w:t>
            </w:r>
            <w:r>
              <w:rPr>
                <w:rFonts w:ascii="仿宋" w:hAnsi="仿宋" w:eastAsia="仿宋" w:cs="仿宋"/>
                <w:spacing w:val="-43"/>
                <w:sz w:val="20"/>
                <w:szCs w:val="20"/>
              </w:rPr>
              <w:t xml:space="preserve"> </w:t>
            </w:r>
            <w:r>
              <w:rPr>
                <w:rFonts w:ascii="仿宋" w:hAnsi="仿宋" w:eastAsia="仿宋" w:cs="仿宋"/>
                <w:spacing w:val="9"/>
                <w:sz w:val="20"/>
                <w:szCs w:val="20"/>
              </w:rPr>
              <w:t>和边</w:t>
            </w:r>
            <w:r>
              <w:rPr>
                <w:rFonts w:ascii="仿宋" w:hAnsi="仿宋" w:eastAsia="仿宋" w:cs="仿宋"/>
                <w:spacing w:val="-44"/>
                <w:sz w:val="20"/>
                <w:szCs w:val="20"/>
              </w:rPr>
              <w:t xml:space="preserve"> </w:t>
            </w:r>
            <w:r>
              <w:rPr>
                <w:rFonts w:ascii="仿宋" w:hAnsi="仿宋" w:eastAsia="仿宋" w:cs="仿宋"/>
                <w:spacing w:val="9"/>
                <w:sz w:val="20"/>
                <w:szCs w:val="20"/>
              </w:rPr>
              <w:t>坡</w:t>
            </w:r>
            <w:r>
              <w:rPr>
                <w:rFonts w:ascii="仿宋" w:hAnsi="仿宋" w:eastAsia="仿宋" w:cs="仿宋"/>
                <w:spacing w:val="-43"/>
                <w:sz w:val="20"/>
                <w:szCs w:val="20"/>
              </w:rPr>
              <w:t xml:space="preserve"> </w:t>
            </w:r>
            <w:r>
              <w:rPr>
                <w:rFonts w:ascii="仿宋" w:hAnsi="仿宋" w:eastAsia="仿宋" w:cs="仿宋"/>
                <w:spacing w:val="9"/>
                <w:sz w:val="20"/>
                <w:szCs w:val="20"/>
              </w:rPr>
              <w:t>坡面</w:t>
            </w:r>
            <w:r>
              <w:rPr>
                <w:rFonts w:ascii="仿宋" w:hAnsi="仿宋" w:eastAsia="仿宋" w:cs="仿宋"/>
                <w:spacing w:val="13"/>
                <w:sz w:val="20"/>
                <w:szCs w:val="20"/>
              </w:rPr>
              <w:t>水</w:t>
            </w:r>
            <w:r>
              <w:rPr>
                <w:rFonts w:ascii="仿宋" w:hAnsi="仿宋" w:eastAsia="仿宋" w:cs="仿宋"/>
                <w:spacing w:val="-58"/>
                <w:sz w:val="20"/>
                <w:szCs w:val="20"/>
              </w:rPr>
              <w:t xml:space="preserve"> </w:t>
            </w:r>
            <w:r>
              <w:rPr>
                <w:rFonts w:ascii="仿宋" w:hAnsi="仿宋" w:eastAsia="仿宋" w:cs="仿宋"/>
                <w:spacing w:val="13"/>
                <w:sz w:val="20"/>
                <w:szCs w:val="20"/>
              </w:rPr>
              <w:t>，并通过排水沟汇</w:t>
            </w:r>
            <w:r>
              <w:rPr>
                <w:rFonts w:ascii="仿宋" w:hAnsi="仿宋" w:eastAsia="仿宋" w:cs="仿宋"/>
                <w:spacing w:val="6"/>
                <w:sz w:val="20"/>
                <w:szCs w:val="20"/>
              </w:rPr>
              <w:t>入自然沟渠。</w:t>
            </w:r>
          </w:p>
        </w:tc>
        <w:tc>
          <w:tcPr>
            <w:tcW w:w="1234" w:type="dxa"/>
            <w:tcBorders>
              <w:right w:val="single" w:color="000000" w:sz="6" w:space="0"/>
            </w:tcBorders>
            <w:vAlign w:val="top"/>
          </w:tcPr>
          <w:p w14:paraId="48CF8BEB">
            <w:pPr>
              <w:spacing w:line="324" w:lineRule="auto"/>
              <w:rPr>
                <w:rFonts w:ascii="Arial"/>
                <w:sz w:val="21"/>
              </w:rPr>
            </w:pPr>
          </w:p>
          <w:p w14:paraId="69AB90A8">
            <w:pPr>
              <w:spacing w:line="324" w:lineRule="auto"/>
              <w:rPr>
                <w:rFonts w:ascii="Arial"/>
                <w:sz w:val="21"/>
              </w:rPr>
            </w:pPr>
          </w:p>
          <w:p w14:paraId="0B7DA499">
            <w:pPr>
              <w:spacing w:before="65" w:line="251" w:lineRule="auto"/>
              <w:ind w:left="127" w:right="102" w:hanging="3"/>
              <w:rPr>
                <w:rFonts w:ascii="仿宋" w:hAnsi="仿宋" w:eastAsia="仿宋" w:cs="仿宋"/>
                <w:sz w:val="20"/>
                <w:szCs w:val="20"/>
              </w:rPr>
            </w:pPr>
            <w:r>
              <w:rPr>
                <w:rFonts w:ascii="仿宋" w:hAnsi="仿宋" w:eastAsia="仿宋" w:cs="仿宋"/>
                <w:spacing w:val="-8"/>
                <w:sz w:val="20"/>
                <w:szCs w:val="20"/>
              </w:rPr>
              <w:t>按</w:t>
            </w:r>
            <w:r>
              <w:rPr>
                <w:rFonts w:ascii="仿宋" w:hAnsi="仿宋" w:eastAsia="仿宋" w:cs="仿宋"/>
                <w:spacing w:val="-23"/>
                <w:sz w:val="20"/>
                <w:szCs w:val="20"/>
              </w:rPr>
              <w:t xml:space="preserve"> </w:t>
            </w:r>
            <w:r>
              <w:rPr>
                <w:rFonts w:ascii="仿宋" w:hAnsi="仿宋" w:eastAsia="仿宋" w:cs="仿宋"/>
                <w:spacing w:val="-8"/>
                <w:sz w:val="20"/>
                <w:szCs w:val="20"/>
              </w:rPr>
              <w:t>要</w:t>
            </w:r>
            <w:r>
              <w:rPr>
                <w:rFonts w:ascii="仿宋" w:hAnsi="仿宋" w:eastAsia="仿宋" w:cs="仿宋"/>
                <w:spacing w:val="-23"/>
                <w:sz w:val="20"/>
                <w:szCs w:val="20"/>
              </w:rPr>
              <w:t xml:space="preserve"> </w:t>
            </w:r>
            <w:r>
              <w:rPr>
                <w:rFonts w:ascii="仿宋" w:hAnsi="仿宋" w:eastAsia="仿宋" w:cs="仿宋"/>
                <w:spacing w:val="-8"/>
                <w:sz w:val="20"/>
                <w:szCs w:val="20"/>
              </w:rPr>
              <w:t>求</w:t>
            </w:r>
            <w:r>
              <w:rPr>
                <w:rFonts w:ascii="仿宋" w:hAnsi="仿宋" w:eastAsia="仿宋" w:cs="仿宋"/>
                <w:spacing w:val="-27"/>
                <w:sz w:val="20"/>
                <w:szCs w:val="20"/>
              </w:rPr>
              <w:t xml:space="preserve"> </w:t>
            </w:r>
            <w:r>
              <w:rPr>
                <w:rFonts w:ascii="仿宋" w:hAnsi="仿宋" w:eastAsia="仿宋" w:cs="仿宋"/>
                <w:spacing w:val="-8"/>
                <w:sz w:val="20"/>
                <w:szCs w:val="20"/>
              </w:rPr>
              <w:t>建</w:t>
            </w:r>
            <w:r>
              <w:rPr>
                <w:rFonts w:ascii="仿宋" w:hAnsi="仿宋" w:eastAsia="仿宋" w:cs="仿宋"/>
                <w:sz w:val="20"/>
                <w:szCs w:val="20"/>
              </w:rPr>
              <w:t>成</w:t>
            </w:r>
          </w:p>
        </w:tc>
      </w:tr>
      <w:tr w14:paraId="187FDB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167" w:type="dxa"/>
            <w:tcBorders>
              <w:left w:val="single" w:color="000000" w:sz="6" w:space="0"/>
            </w:tcBorders>
            <w:vAlign w:val="top"/>
          </w:tcPr>
          <w:p w14:paraId="2DD5AF0E">
            <w:pPr>
              <w:spacing w:before="105" w:line="231" w:lineRule="auto"/>
              <w:ind w:left="167"/>
              <w:rPr>
                <w:rFonts w:ascii="仿宋" w:hAnsi="仿宋" w:eastAsia="仿宋" w:cs="仿宋"/>
                <w:sz w:val="20"/>
                <w:szCs w:val="20"/>
              </w:rPr>
            </w:pPr>
            <w:r>
              <w:rPr>
                <w:rFonts w:ascii="仿宋" w:hAnsi="仿宋" w:eastAsia="仿宋" w:cs="仿宋"/>
                <w:spacing w:val="5"/>
                <w:sz w:val="20"/>
                <w:szCs w:val="20"/>
              </w:rPr>
              <w:t>地下水及</w:t>
            </w:r>
          </w:p>
          <w:p w14:paraId="3D46A154">
            <w:pPr>
              <w:spacing w:before="20" w:line="231" w:lineRule="auto"/>
              <w:ind w:left="169"/>
              <w:rPr>
                <w:rFonts w:ascii="仿宋" w:hAnsi="仿宋" w:eastAsia="仿宋" w:cs="仿宋"/>
                <w:sz w:val="20"/>
                <w:szCs w:val="20"/>
              </w:rPr>
            </w:pPr>
            <w:r>
              <w:rPr>
                <w:rFonts w:ascii="仿宋" w:hAnsi="仿宋" w:eastAsia="仿宋" w:cs="仿宋"/>
                <w:spacing w:val="5"/>
                <w:sz w:val="20"/>
                <w:szCs w:val="20"/>
              </w:rPr>
              <w:t>土壤环境</w:t>
            </w:r>
          </w:p>
        </w:tc>
        <w:tc>
          <w:tcPr>
            <w:tcW w:w="2560" w:type="dxa"/>
            <w:vAlign w:val="top"/>
          </w:tcPr>
          <w:p w14:paraId="5EE64FD2">
            <w:pPr>
              <w:spacing w:line="307" w:lineRule="auto"/>
              <w:rPr>
                <w:rFonts w:ascii="Arial"/>
                <w:sz w:val="21"/>
              </w:rPr>
            </w:pPr>
          </w:p>
          <w:p w14:paraId="23017098">
            <w:pPr>
              <w:pStyle w:val="6"/>
              <w:spacing w:before="57" w:line="97" w:lineRule="exact"/>
              <w:ind w:left="1212"/>
              <w:rPr>
                <w:sz w:val="20"/>
                <w:szCs w:val="20"/>
              </w:rPr>
            </w:pPr>
            <w:r>
              <w:rPr>
                <w:spacing w:val="-2"/>
                <w:position w:val="-2"/>
                <w:sz w:val="20"/>
                <w:szCs w:val="20"/>
              </w:rPr>
              <w:t>--</w:t>
            </w:r>
          </w:p>
        </w:tc>
        <w:tc>
          <w:tcPr>
            <w:tcW w:w="1642" w:type="dxa"/>
            <w:vAlign w:val="top"/>
          </w:tcPr>
          <w:p w14:paraId="7F628D00">
            <w:pPr>
              <w:spacing w:line="307" w:lineRule="auto"/>
              <w:rPr>
                <w:rFonts w:ascii="Arial"/>
                <w:sz w:val="21"/>
              </w:rPr>
            </w:pPr>
          </w:p>
          <w:p w14:paraId="6B44E507">
            <w:pPr>
              <w:pStyle w:val="6"/>
              <w:spacing w:before="57" w:line="97" w:lineRule="exact"/>
              <w:ind w:left="757"/>
              <w:rPr>
                <w:sz w:val="20"/>
                <w:szCs w:val="20"/>
              </w:rPr>
            </w:pPr>
            <w:r>
              <w:rPr>
                <w:spacing w:val="-3"/>
                <w:position w:val="-2"/>
                <w:sz w:val="20"/>
                <w:szCs w:val="20"/>
              </w:rPr>
              <w:t>--</w:t>
            </w:r>
          </w:p>
        </w:tc>
        <w:tc>
          <w:tcPr>
            <w:tcW w:w="2185" w:type="dxa"/>
            <w:vAlign w:val="top"/>
          </w:tcPr>
          <w:p w14:paraId="2C79E1DD">
            <w:pPr>
              <w:spacing w:line="307" w:lineRule="auto"/>
              <w:rPr>
                <w:rFonts w:ascii="Arial"/>
                <w:sz w:val="21"/>
              </w:rPr>
            </w:pPr>
          </w:p>
          <w:p w14:paraId="06A9C2DC">
            <w:pPr>
              <w:pStyle w:val="6"/>
              <w:spacing w:before="57" w:line="97" w:lineRule="exact"/>
              <w:ind w:left="1030"/>
              <w:rPr>
                <w:sz w:val="20"/>
                <w:szCs w:val="20"/>
              </w:rPr>
            </w:pPr>
            <w:r>
              <w:rPr>
                <w:spacing w:val="-2"/>
                <w:position w:val="-2"/>
                <w:sz w:val="20"/>
                <w:szCs w:val="20"/>
              </w:rPr>
              <w:t>--</w:t>
            </w:r>
          </w:p>
        </w:tc>
        <w:tc>
          <w:tcPr>
            <w:tcW w:w="1234" w:type="dxa"/>
            <w:tcBorders>
              <w:right w:val="single" w:color="000000" w:sz="6" w:space="0"/>
            </w:tcBorders>
            <w:vAlign w:val="top"/>
          </w:tcPr>
          <w:p w14:paraId="244F4217">
            <w:pPr>
              <w:spacing w:line="307" w:lineRule="auto"/>
              <w:rPr>
                <w:rFonts w:ascii="Arial"/>
                <w:sz w:val="21"/>
              </w:rPr>
            </w:pPr>
          </w:p>
          <w:p w14:paraId="319E2138">
            <w:pPr>
              <w:pStyle w:val="6"/>
              <w:spacing w:before="57" w:line="97" w:lineRule="exact"/>
              <w:ind w:left="554"/>
              <w:rPr>
                <w:sz w:val="20"/>
                <w:szCs w:val="20"/>
              </w:rPr>
            </w:pPr>
            <w:r>
              <w:rPr>
                <w:spacing w:val="-2"/>
                <w:position w:val="-2"/>
                <w:sz w:val="20"/>
                <w:szCs w:val="20"/>
              </w:rPr>
              <w:t>--</w:t>
            </w:r>
          </w:p>
        </w:tc>
      </w:tr>
      <w:tr w14:paraId="265536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0" w:hRule="atLeast"/>
        </w:trPr>
        <w:tc>
          <w:tcPr>
            <w:tcW w:w="1167" w:type="dxa"/>
            <w:tcBorders>
              <w:left w:val="single" w:color="000000" w:sz="6" w:space="0"/>
            </w:tcBorders>
            <w:vAlign w:val="top"/>
          </w:tcPr>
          <w:p w14:paraId="7C52A011">
            <w:pPr>
              <w:spacing w:line="262" w:lineRule="auto"/>
              <w:rPr>
                <w:rFonts w:ascii="Arial"/>
                <w:sz w:val="21"/>
              </w:rPr>
            </w:pPr>
          </w:p>
          <w:p w14:paraId="61ADD99A">
            <w:pPr>
              <w:spacing w:line="262" w:lineRule="auto"/>
              <w:rPr>
                <w:rFonts w:ascii="Arial"/>
                <w:sz w:val="21"/>
              </w:rPr>
            </w:pPr>
          </w:p>
          <w:p w14:paraId="31570D1D">
            <w:pPr>
              <w:spacing w:line="262" w:lineRule="auto"/>
              <w:rPr>
                <w:rFonts w:ascii="Arial"/>
                <w:sz w:val="21"/>
              </w:rPr>
            </w:pPr>
          </w:p>
          <w:p w14:paraId="0D122D7A">
            <w:pPr>
              <w:spacing w:before="65" w:line="231" w:lineRule="auto"/>
              <w:ind w:left="271"/>
              <w:rPr>
                <w:rFonts w:ascii="仿宋" w:hAnsi="仿宋" w:eastAsia="仿宋" w:cs="仿宋"/>
                <w:sz w:val="20"/>
                <w:szCs w:val="20"/>
              </w:rPr>
            </w:pPr>
            <w:r>
              <w:rPr>
                <w:rFonts w:ascii="仿宋" w:hAnsi="仿宋" w:eastAsia="仿宋" w:cs="仿宋"/>
                <w:spacing w:val="5"/>
                <w:sz w:val="20"/>
                <w:szCs w:val="20"/>
              </w:rPr>
              <w:t>声环境</w:t>
            </w:r>
          </w:p>
        </w:tc>
        <w:tc>
          <w:tcPr>
            <w:tcW w:w="2560" w:type="dxa"/>
            <w:vAlign w:val="top"/>
          </w:tcPr>
          <w:p w14:paraId="4D15EE04">
            <w:pPr>
              <w:pStyle w:val="6"/>
              <w:spacing w:before="42" w:line="245" w:lineRule="auto"/>
              <w:ind w:left="111" w:right="107" w:firstLine="1"/>
              <w:rPr>
                <w:rFonts w:ascii="仿宋" w:hAnsi="仿宋" w:eastAsia="仿宋" w:cs="仿宋"/>
                <w:sz w:val="20"/>
                <w:szCs w:val="20"/>
              </w:rPr>
            </w:pPr>
            <w:r>
              <w:rPr>
                <w:rFonts w:ascii="仿宋" w:hAnsi="仿宋" w:eastAsia="仿宋" w:cs="仿宋"/>
                <w:spacing w:val="12"/>
                <w:sz w:val="20"/>
                <w:szCs w:val="20"/>
              </w:rPr>
              <w:t>施工过程采取施工围挡、使用低噪声设备、科学安排施工作业时间，临近敏</w:t>
            </w:r>
            <w:r>
              <w:rPr>
                <w:rFonts w:ascii="仿宋" w:hAnsi="仿宋" w:eastAsia="仿宋" w:cs="仿宋"/>
                <w:spacing w:val="7"/>
                <w:sz w:val="20"/>
                <w:szCs w:val="20"/>
              </w:rPr>
              <w:t>感</w:t>
            </w:r>
            <w:r>
              <w:rPr>
                <w:rFonts w:ascii="仿宋" w:hAnsi="仿宋" w:eastAsia="仿宋" w:cs="仿宋"/>
                <w:spacing w:val="-45"/>
                <w:sz w:val="20"/>
                <w:szCs w:val="20"/>
              </w:rPr>
              <w:t xml:space="preserve"> </w:t>
            </w:r>
            <w:r>
              <w:rPr>
                <w:rFonts w:ascii="仿宋" w:hAnsi="仿宋" w:eastAsia="仿宋" w:cs="仿宋"/>
                <w:spacing w:val="7"/>
                <w:sz w:val="20"/>
                <w:szCs w:val="20"/>
              </w:rPr>
              <w:t>目标段午间夜间禁止施</w:t>
            </w:r>
            <w:r>
              <w:rPr>
                <w:rFonts w:ascii="仿宋" w:hAnsi="仿宋" w:eastAsia="仿宋" w:cs="仿宋"/>
                <w:spacing w:val="6"/>
                <w:sz w:val="20"/>
                <w:szCs w:val="20"/>
              </w:rPr>
              <w:t>工等</w:t>
            </w:r>
            <w:r>
              <w:rPr>
                <w:rFonts w:ascii="仿宋" w:hAnsi="仿宋" w:eastAsia="仿宋" w:cs="仿宋"/>
                <w:spacing w:val="-48"/>
                <w:sz w:val="20"/>
                <w:szCs w:val="20"/>
              </w:rPr>
              <w:t xml:space="preserve"> </w:t>
            </w:r>
            <w:r>
              <w:rPr>
                <w:rFonts w:ascii="仿宋" w:hAnsi="仿宋" w:eastAsia="仿宋" w:cs="仿宋"/>
                <w:spacing w:val="6"/>
                <w:sz w:val="20"/>
                <w:szCs w:val="20"/>
              </w:rPr>
              <w:t>。对于</w:t>
            </w:r>
            <w:r>
              <w:rPr>
                <w:rFonts w:ascii="仿宋" w:hAnsi="仿宋" w:eastAsia="仿宋" w:cs="仿宋"/>
                <w:spacing w:val="-34"/>
                <w:sz w:val="20"/>
                <w:szCs w:val="20"/>
              </w:rPr>
              <w:t xml:space="preserve"> </w:t>
            </w:r>
            <w:r>
              <w:rPr>
                <w:spacing w:val="6"/>
                <w:sz w:val="20"/>
                <w:szCs w:val="20"/>
              </w:rPr>
              <w:t>200m</w:t>
            </w:r>
            <w:r>
              <w:rPr>
                <w:spacing w:val="39"/>
                <w:sz w:val="20"/>
                <w:szCs w:val="20"/>
              </w:rPr>
              <w:t xml:space="preserve"> </w:t>
            </w:r>
            <w:r>
              <w:rPr>
                <w:rFonts w:ascii="仿宋" w:hAnsi="仿宋" w:eastAsia="仿宋" w:cs="仿宋"/>
                <w:spacing w:val="6"/>
                <w:sz w:val="20"/>
                <w:szCs w:val="20"/>
              </w:rPr>
              <w:t>范围内</w:t>
            </w:r>
            <w:r>
              <w:rPr>
                <w:rFonts w:ascii="仿宋" w:hAnsi="仿宋" w:eastAsia="仿宋" w:cs="仿宋"/>
                <w:spacing w:val="12"/>
                <w:sz w:val="20"/>
                <w:szCs w:val="20"/>
              </w:rPr>
              <w:t>的噪声敏感目标，进一步</w:t>
            </w:r>
            <w:r>
              <w:rPr>
                <w:rFonts w:ascii="仿宋" w:hAnsi="仿宋" w:eastAsia="仿宋" w:cs="仿宋"/>
                <w:spacing w:val="6"/>
                <w:sz w:val="20"/>
                <w:szCs w:val="20"/>
              </w:rPr>
              <w:t>削弱噪声传入。</w:t>
            </w:r>
          </w:p>
        </w:tc>
        <w:tc>
          <w:tcPr>
            <w:tcW w:w="1642" w:type="dxa"/>
            <w:vAlign w:val="top"/>
          </w:tcPr>
          <w:p w14:paraId="53C9BBE2">
            <w:pPr>
              <w:spacing w:line="258" w:lineRule="auto"/>
              <w:rPr>
                <w:rFonts w:ascii="Arial"/>
                <w:sz w:val="21"/>
              </w:rPr>
            </w:pPr>
          </w:p>
          <w:p w14:paraId="2FD7E9B8">
            <w:pPr>
              <w:spacing w:before="65" w:line="251" w:lineRule="auto"/>
              <w:ind w:left="514" w:right="192" w:hanging="314"/>
              <w:rPr>
                <w:rFonts w:ascii="仿宋" w:hAnsi="仿宋" w:eastAsia="仿宋" w:cs="仿宋"/>
                <w:sz w:val="20"/>
                <w:szCs w:val="20"/>
              </w:rPr>
            </w:pPr>
            <w:r>
              <w:rPr>
                <w:rFonts w:ascii="仿宋" w:hAnsi="仿宋" w:eastAsia="仿宋" w:cs="仿宋"/>
                <w:spacing w:val="7"/>
                <w:sz w:val="20"/>
                <w:szCs w:val="20"/>
              </w:rPr>
              <w:t>《声环境质量</w:t>
            </w:r>
            <w:r>
              <w:rPr>
                <w:rFonts w:ascii="仿宋" w:hAnsi="仿宋" w:eastAsia="仿宋" w:cs="仿宋"/>
                <w:spacing w:val="1"/>
                <w:sz w:val="20"/>
                <w:szCs w:val="20"/>
              </w:rPr>
              <w:t>标准》</w:t>
            </w:r>
          </w:p>
          <w:p w14:paraId="1773C4FB">
            <w:pPr>
              <w:pStyle w:val="6"/>
              <w:spacing w:before="19" w:line="201" w:lineRule="auto"/>
              <w:ind w:left="154"/>
              <w:rPr>
                <w:sz w:val="20"/>
                <w:szCs w:val="20"/>
              </w:rPr>
            </w:pPr>
            <w:r>
              <w:rPr>
                <w:spacing w:val="5"/>
                <w:sz w:val="20"/>
                <w:szCs w:val="20"/>
              </w:rPr>
              <w:t>(</w:t>
            </w:r>
            <w:r>
              <w:rPr>
                <w:sz w:val="20"/>
                <w:szCs w:val="20"/>
              </w:rPr>
              <w:t>GB</w:t>
            </w:r>
            <w:r>
              <w:rPr>
                <w:spacing w:val="5"/>
                <w:sz w:val="20"/>
                <w:szCs w:val="20"/>
              </w:rPr>
              <w:t>3096-2008)</w:t>
            </w:r>
          </w:p>
          <w:p w14:paraId="5F09FA4F">
            <w:pPr>
              <w:pStyle w:val="6"/>
              <w:spacing w:before="32" w:line="231" w:lineRule="auto"/>
              <w:ind w:left="192"/>
              <w:rPr>
                <w:rFonts w:ascii="仿宋" w:hAnsi="仿宋" w:eastAsia="仿宋" w:cs="仿宋"/>
                <w:sz w:val="20"/>
                <w:szCs w:val="20"/>
              </w:rPr>
            </w:pPr>
            <w:r>
              <w:rPr>
                <w:spacing w:val="-2"/>
                <w:sz w:val="20"/>
                <w:szCs w:val="20"/>
              </w:rPr>
              <w:t>1</w:t>
            </w:r>
            <w:r>
              <w:rPr>
                <w:spacing w:val="19"/>
                <w:w w:val="101"/>
                <w:sz w:val="20"/>
                <w:szCs w:val="20"/>
              </w:rPr>
              <w:t xml:space="preserve"> </w:t>
            </w:r>
            <w:r>
              <w:rPr>
                <w:rFonts w:ascii="仿宋" w:hAnsi="仿宋" w:eastAsia="仿宋" w:cs="仿宋"/>
                <w:spacing w:val="-2"/>
                <w:sz w:val="20"/>
                <w:szCs w:val="20"/>
              </w:rPr>
              <w:t>类和</w:t>
            </w:r>
            <w:r>
              <w:rPr>
                <w:rFonts w:ascii="仿宋" w:hAnsi="仿宋" w:eastAsia="仿宋" w:cs="仿宋"/>
                <w:spacing w:val="-42"/>
                <w:sz w:val="20"/>
                <w:szCs w:val="20"/>
              </w:rPr>
              <w:t xml:space="preserve"> </w:t>
            </w:r>
            <w:r>
              <w:rPr>
                <w:spacing w:val="-2"/>
                <w:sz w:val="20"/>
                <w:szCs w:val="20"/>
              </w:rPr>
              <w:t>4a</w:t>
            </w:r>
            <w:r>
              <w:rPr>
                <w:spacing w:val="20"/>
                <w:w w:val="101"/>
                <w:sz w:val="20"/>
                <w:szCs w:val="20"/>
              </w:rPr>
              <w:t xml:space="preserve"> </w:t>
            </w:r>
            <w:r>
              <w:rPr>
                <w:rFonts w:ascii="仿宋" w:hAnsi="仿宋" w:eastAsia="仿宋" w:cs="仿宋"/>
                <w:spacing w:val="-2"/>
                <w:sz w:val="20"/>
                <w:szCs w:val="20"/>
              </w:rPr>
              <w:t>类标</w:t>
            </w:r>
          </w:p>
          <w:p w14:paraId="75D44E17">
            <w:pPr>
              <w:spacing w:before="20" w:line="231" w:lineRule="auto"/>
              <w:ind w:left="728"/>
              <w:rPr>
                <w:rFonts w:ascii="仿宋" w:hAnsi="仿宋" w:eastAsia="仿宋" w:cs="仿宋"/>
                <w:sz w:val="20"/>
                <w:szCs w:val="20"/>
              </w:rPr>
            </w:pPr>
            <w:r>
              <w:rPr>
                <w:rFonts w:ascii="仿宋" w:hAnsi="仿宋" w:eastAsia="仿宋" w:cs="仿宋"/>
                <w:sz w:val="20"/>
                <w:szCs w:val="20"/>
              </w:rPr>
              <w:t>准</w:t>
            </w:r>
          </w:p>
        </w:tc>
        <w:tc>
          <w:tcPr>
            <w:tcW w:w="2185" w:type="dxa"/>
            <w:vAlign w:val="top"/>
          </w:tcPr>
          <w:p w14:paraId="4F8D40E0">
            <w:pPr>
              <w:pStyle w:val="6"/>
              <w:spacing w:before="42" w:line="245" w:lineRule="auto"/>
              <w:ind w:left="119" w:right="99"/>
              <w:jc w:val="both"/>
              <w:rPr>
                <w:rFonts w:ascii="仿宋" w:hAnsi="仿宋" w:eastAsia="仿宋" w:cs="仿宋"/>
                <w:sz w:val="20"/>
                <w:szCs w:val="20"/>
              </w:rPr>
            </w:pPr>
            <w:r>
              <w:rPr>
                <w:rFonts w:ascii="仿宋" w:hAnsi="仿宋" w:eastAsia="仿宋" w:cs="仿宋"/>
                <w:spacing w:val="13"/>
                <w:sz w:val="20"/>
                <w:szCs w:val="20"/>
              </w:rPr>
              <w:t>路边设置限速标志</w:t>
            </w:r>
            <w:r>
              <w:rPr>
                <w:rFonts w:ascii="仿宋" w:hAnsi="仿宋" w:eastAsia="仿宋" w:cs="仿宋"/>
                <w:spacing w:val="-58"/>
                <w:sz w:val="20"/>
                <w:szCs w:val="20"/>
              </w:rPr>
              <w:t xml:space="preserve"> </w:t>
            </w:r>
            <w:r>
              <w:rPr>
                <w:rFonts w:ascii="仿宋" w:hAnsi="仿宋" w:eastAsia="仿宋" w:cs="仿宋"/>
                <w:spacing w:val="13"/>
                <w:sz w:val="20"/>
                <w:szCs w:val="20"/>
              </w:rPr>
              <w:t>，</w:t>
            </w:r>
            <w:r>
              <w:rPr>
                <w:rFonts w:ascii="仿宋" w:hAnsi="仿宋" w:eastAsia="仿宋" w:cs="仿宋"/>
                <w:spacing w:val="-2"/>
                <w:sz w:val="20"/>
                <w:szCs w:val="20"/>
              </w:rPr>
              <w:t>降</w:t>
            </w:r>
            <w:r>
              <w:rPr>
                <w:rFonts w:ascii="仿宋" w:hAnsi="仿宋" w:eastAsia="仿宋" w:cs="仿宋"/>
                <w:spacing w:val="-37"/>
                <w:sz w:val="20"/>
                <w:szCs w:val="20"/>
              </w:rPr>
              <w:t xml:space="preserve"> </w:t>
            </w:r>
            <w:r>
              <w:rPr>
                <w:rFonts w:ascii="仿宋" w:hAnsi="仿宋" w:eastAsia="仿宋" w:cs="仿宋"/>
                <w:spacing w:val="-2"/>
                <w:sz w:val="20"/>
                <w:szCs w:val="20"/>
              </w:rPr>
              <w:t>低交</w:t>
            </w:r>
            <w:r>
              <w:rPr>
                <w:rFonts w:ascii="仿宋" w:hAnsi="仿宋" w:eastAsia="仿宋" w:cs="仿宋"/>
                <w:spacing w:val="-39"/>
                <w:sz w:val="20"/>
                <w:szCs w:val="20"/>
              </w:rPr>
              <w:t xml:space="preserve"> </w:t>
            </w:r>
            <w:r>
              <w:rPr>
                <w:rFonts w:ascii="仿宋" w:hAnsi="仿宋" w:eastAsia="仿宋" w:cs="仿宋"/>
                <w:spacing w:val="-2"/>
                <w:sz w:val="20"/>
                <w:szCs w:val="20"/>
              </w:rPr>
              <w:t>通</w:t>
            </w:r>
            <w:r>
              <w:rPr>
                <w:rFonts w:ascii="仿宋" w:hAnsi="仿宋" w:eastAsia="仿宋" w:cs="仿宋"/>
                <w:spacing w:val="-34"/>
                <w:sz w:val="20"/>
                <w:szCs w:val="20"/>
              </w:rPr>
              <w:t xml:space="preserve"> </w:t>
            </w:r>
            <w:r>
              <w:rPr>
                <w:rFonts w:ascii="仿宋" w:hAnsi="仿宋" w:eastAsia="仿宋" w:cs="仿宋"/>
                <w:spacing w:val="-2"/>
                <w:sz w:val="20"/>
                <w:szCs w:val="20"/>
              </w:rPr>
              <w:t>噪</w:t>
            </w:r>
            <w:r>
              <w:rPr>
                <w:rFonts w:ascii="仿宋" w:hAnsi="仿宋" w:eastAsia="仿宋" w:cs="仿宋"/>
                <w:spacing w:val="-44"/>
                <w:sz w:val="20"/>
                <w:szCs w:val="20"/>
              </w:rPr>
              <w:t xml:space="preserve"> </w:t>
            </w:r>
            <w:r>
              <w:rPr>
                <w:rFonts w:ascii="仿宋" w:hAnsi="仿宋" w:eastAsia="仿宋" w:cs="仿宋"/>
                <w:spacing w:val="-2"/>
                <w:sz w:val="20"/>
                <w:szCs w:val="20"/>
              </w:rPr>
              <w:t>声</w:t>
            </w:r>
            <w:r>
              <w:rPr>
                <w:rFonts w:ascii="仿宋" w:hAnsi="仿宋" w:eastAsia="仿宋" w:cs="仿宋"/>
                <w:spacing w:val="-31"/>
                <w:sz w:val="20"/>
                <w:szCs w:val="20"/>
              </w:rPr>
              <w:t xml:space="preserve"> </w:t>
            </w:r>
            <w:r>
              <w:rPr>
                <w:rFonts w:ascii="仿宋" w:hAnsi="仿宋" w:eastAsia="仿宋" w:cs="仿宋"/>
                <w:spacing w:val="-2"/>
                <w:sz w:val="20"/>
                <w:szCs w:val="20"/>
              </w:rPr>
              <w:t>的</w:t>
            </w:r>
            <w:r>
              <w:rPr>
                <w:rFonts w:ascii="仿宋" w:hAnsi="仿宋" w:eastAsia="仿宋" w:cs="仿宋"/>
                <w:spacing w:val="-41"/>
                <w:sz w:val="20"/>
                <w:szCs w:val="20"/>
              </w:rPr>
              <w:t xml:space="preserve"> </w:t>
            </w:r>
            <w:r>
              <w:rPr>
                <w:rFonts w:ascii="仿宋" w:hAnsi="仿宋" w:eastAsia="仿宋" w:cs="仿宋"/>
                <w:spacing w:val="-2"/>
                <w:sz w:val="20"/>
                <w:szCs w:val="20"/>
              </w:rPr>
              <w:t>影</w:t>
            </w:r>
            <w:r>
              <w:rPr>
                <w:rFonts w:ascii="仿宋" w:hAnsi="仿宋" w:eastAsia="仿宋" w:cs="仿宋"/>
                <w:spacing w:val="-4"/>
                <w:sz w:val="20"/>
                <w:szCs w:val="20"/>
              </w:rPr>
              <w:t>响。对于</w:t>
            </w:r>
            <w:r>
              <w:rPr>
                <w:rFonts w:ascii="仿宋" w:hAnsi="仿宋" w:eastAsia="仿宋" w:cs="仿宋"/>
                <w:spacing w:val="-32"/>
                <w:sz w:val="20"/>
                <w:szCs w:val="20"/>
              </w:rPr>
              <w:t xml:space="preserve"> </w:t>
            </w:r>
            <w:r>
              <w:rPr>
                <w:spacing w:val="-4"/>
                <w:sz w:val="20"/>
                <w:szCs w:val="20"/>
              </w:rPr>
              <w:t>200m</w:t>
            </w:r>
            <w:r>
              <w:rPr>
                <w:spacing w:val="26"/>
                <w:w w:val="101"/>
                <w:sz w:val="20"/>
                <w:szCs w:val="20"/>
              </w:rPr>
              <w:t xml:space="preserve"> </w:t>
            </w:r>
            <w:r>
              <w:rPr>
                <w:rFonts w:ascii="仿宋" w:hAnsi="仿宋" w:eastAsia="仿宋" w:cs="仿宋"/>
                <w:spacing w:val="-4"/>
                <w:sz w:val="20"/>
                <w:szCs w:val="20"/>
              </w:rPr>
              <w:t>范围内</w:t>
            </w:r>
            <w:r>
              <w:rPr>
                <w:rFonts w:ascii="仿宋" w:hAnsi="仿宋" w:eastAsia="仿宋" w:cs="仿宋"/>
                <w:spacing w:val="13"/>
                <w:sz w:val="20"/>
                <w:szCs w:val="20"/>
              </w:rPr>
              <w:t>的噪声敏感目标</w:t>
            </w:r>
            <w:r>
              <w:rPr>
                <w:rFonts w:ascii="仿宋" w:hAnsi="仿宋" w:eastAsia="仿宋" w:cs="仿宋"/>
                <w:spacing w:val="-59"/>
                <w:sz w:val="20"/>
                <w:szCs w:val="20"/>
              </w:rPr>
              <w:t xml:space="preserve"> </w:t>
            </w:r>
            <w:r>
              <w:rPr>
                <w:rFonts w:ascii="仿宋" w:hAnsi="仿宋" w:eastAsia="仿宋" w:cs="仿宋"/>
                <w:spacing w:val="13"/>
                <w:sz w:val="20"/>
                <w:szCs w:val="20"/>
              </w:rPr>
              <w:t>，路</w:t>
            </w:r>
            <w:r>
              <w:rPr>
                <w:rFonts w:ascii="仿宋" w:hAnsi="仿宋" w:eastAsia="仿宋" w:cs="仿宋"/>
                <w:spacing w:val="17"/>
                <w:sz w:val="20"/>
                <w:szCs w:val="20"/>
              </w:rPr>
              <w:t>边设立夜间禁止鸣笛</w:t>
            </w:r>
            <w:r>
              <w:rPr>
                <w:rFonts w:ascii="仿宋" w:hAnsi="仿宋" w:eastAsia="仿宋" w:cs="仿宋"/>
                <w:spacing w:val="13"/>
                <w:sz w:val="20"/>
                <w:szCs w:val="20"/>
              </w:rPr>
              <w:t>标志</w:t>
            </w:r>
            <w:r>
              <w:rPr>
                <w:rFonts w:ascii="仿宋" w:hAnsi="仿宋" w:eastAsia="仿宋" w:cs="仿宋"/>
                <w:spacing w:val="-59"/>
                <w:sz w:val="20"/>
                <w:szCs w:val="20"/>
              </w:rPr>
              <w:t xml:space="preserve"> </w:t>
            </w:r>
            <w:r>
              <w:rPr>
                <w:rFonts w:ascii="仿宋" w:hAnsi="仿宋" w:eastAsia="仿宋" w:cs="仿宋"/>
                <w:spacing w:val="13"/>
                <w:sz w:val="20"/>
                <w:szCs w:val="20"/>
              </w:rPr>
              <w:t>，可有效削弱噪</w:t>
            </w:r>
            <w:r>
              <w:rPr>
                <w:rFonts w:ascii="仿宋" w:hAnsi="仿宋" w:eastAsia="仿宋" w:cs="仿宋"/>
                <w:spacing w:val="3"/>
                <w:sz w:val="20"/>
                <w:szCs w:val="20"/>
              </w:rPr>
              <w:t>声传入。</w:t>
            </w:r>
          </w:p>
        </w:tc>
        <w:tc>
          <w:tcPr>
            <w:tcW w:w="1234" w:type="dxa"/>
            <w:tcBorders>
              <w:right w:val="single" w:color="000000" w:sz="6" w:space="0"/>
            </w:tcBorders>
            <w:vAlign w:val="top"/>
          </w:tcPr>
          <w:p w14:paraId="47043178">
            <w:pPr>
              <w:spacing w:line="258" w:lineRule="auto"/>
              <w:rPr>
                <w:rFonts w:ascii="Arial"/>
                <w:sz w:val="21"/>
              </w:rPr>
            </w:pPr>
          </w:p>
          <w:p w14:paraId="72AEA95C">
            <w:pPr>
              <w:pStyle w:val="6"/>
              <w:spacing w:before="65" w:line="251" w:lineRule="auto"/>
              <w:ind w:left="114" w:right="76" w:firstLine="10"/>
              <w:jc w:val="both"/>
              <w:rPr>
                <w:rFonts w:ascii="仿宋" w:hAnsi="仿宋" w:eastAsia="仿宋" w:cs="仿宋"/>
                <w:sz w:val="20"/>
                <w:szCs w:val="20"/>
              </w:rPr>
            </w:pPr>
            <w:r>
              <w:rPr>
                <w:rFonts w:ascii="仿宋" w:hAnsi="仿宋" w:eastAsia="仿宋" w:cs="仿宋"/>
                <w:spacing w:val="-11"/>
                <w:sz w:val="20"/>
                <w:szCs w:val="20"/>
              </w:rPr>
              <w:t>《 声</w:t>
            </w:r>
            <w:r>
              <w:rPr>
                <w:rFonts w:ascii="仿宋" w:hAnsi="仿宋" w:eastAsia="仿宋" w:cs="仿宋"/>
                <w:spacing w:val="-26"/>
                <w:sz w:val="20"/>
                <w:szCs w:val="20"/>
              </w:rPr>
              <w:t xml:space="preserve"> </w:t>
            </w:r>
            <w:r>
              <w:rPr>
                <w:rFonts w:ascii="仿宋" w:hAnsi="仿宋" w:eastAsia="仿宋" w:cs="仿宋"/>
                <w:spacing w:val="-11"/>
                <w:sz w:val="20"/>
                <w:szCs w:val="20"/>
              </w:rPr>
              <w:t>环</w:t>
            </w:r>
            <w:r>
              <w:rPr>
                <w:rFonts w:ascii="仿宋" w:hAnsi="仿宋" w:eastAsia="仿宋" w:cs="仿宋"/>
                <w:spacing w:val="-23"/>
                <w:sz w:val="20"/>
                <w:szCs w:val="20"/>
              </w:rPr>
              <w:t xml:space="preserve"> </w:t>
            </w:r>
            <w:r>
              <w:rPr>
                <w:rFonts w:ascii="仿宋" w:hAnsi="仿宋" w:eastAsia="仿宋" w:cs="仿宋"/>
                <w:spacing w:val="-11"/>
                <w:sz w:val="20"/>
                <w:szCs w:val="20"/>
              </w:rPr>
              <w:t>境</w:t>
            </w:r>
            <w:r>
              <w:rPr>
                <w:rFonts w:ascii="仿宋" w:hAnsi="仿宋" w:eastAsia="仿宋" w:cs="仿宋"/>
                <w:spacing w:val="6"/>
                <w:sz w:val="20"/>
                <w:szCs w:val="20"/>
              </w:rPr>
              <w:t>质量标准》</w:t>
            </w:r>
            <w:r>
              <w:rPr>
                <w:rFonts w:ascii="仿宋" w:hAnsi="仿宋" w:eastAsia="仿宋" w:cs="仿宋"/>
                <w:spacing w:val="2"/>
                <w:sz w:val="20"/>
                <w:szCs w:val="20"/>
              </w:rPr>
              <w:t xml:space="preserve"> </w:t>
            </w:r>
            <w:r>
              <w:rPr>
                <w:spacing w:val="5"/>
                <w:sz w:val="20"/>
                <w:szCs w:val="20"/>
              </w:rPr>
              <w:t>(</w:t>
            </w:r>
            <w:r>
              <w:rPr>
                <w:sz w:val="20"/>
                <w:szCs w:val="20"/>
              </w:rPr>
              <w:t>GB</w:t>
            </w:r>
            <w:r>
              <w:rPr>
                <w:spacing w:val="5"/>
                <w:sz w:val="20"/>
                <w:szCs w:val="20"/>
              </w:rPr>
              <w:t>3096-2</w:t>
            </w:r>
            <w:r>
              <w:rPr>
                <w:spacing w:val="1"/>
                <w:sz w:val="20"/>
                <w:szCs w:val="20"/>
              </w:rPr>
              <w:t xml:space="preserve"> </w:t>
            </w:r>
            <w:r>
              <w:rPr>
                <w:spacing w:val="2"/>
                <w:sz w:val="20"/>
                <w:szCs w:val="20"/>
              </w:rPr>
              <w:t>008)1</w:t>
            </w:r>
            <w:r>
              <w:rPr>
                <w:spacing w:val="25"/>
                <w:sz w:val="20"/>
                <w:szCs w:val="20"/>
              </w:rPr>
              <w:t xml:space="preserve"> </w:t>
            </w:r>
            <w:r>
              <w:rPr>
                <w:rFonts w:ascii="仿宋" w:hAnsi="仿宋" w:eastAsia="仿宋" w:cs="仿宋"/>
                <w:spacing w:val="2"/>
                <w:sz w:val="20"/>
                <w:szCs w:val="20"/>
              </w:rPr>
              <w:t>类和</w:t>
            </w:r>
            <w:r>
              <w:rPr>
                <w:spacing w:val="3"/>
                <w:sz w:val="20"/>
                <w:szCs w:val="20"/>
              </w:rPr>
              <w:t>4a</w:t>
            </w:r>
            <w:r>
              <w:rPr>
                <w:spacing w:val="20"/>
                <w:sz w:val="20"/>
                <w:szCs w:val="20"/>
              </w:rPr>
              <w:t xml:space="preserve"> </w:t>
            </w:r>
            <w:r>
              <w:rPr>
                <w:rFonts w:ascii="仿宋" w:hAnsi="仿宋" w:eastAsia="仿宋" w:cs="仿宋"/>
                <w:spacing w:val="3"/>
                <w:sz w:val="20"/>
                <w:szCs w:val="20"/>
              </w:rPr>
              <w:t>类标准</w:t>
            </w:r>
          </w:p>
        </w:tc>
      </w:tr>
      <w:tr w14:paraId="27D328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trPr>
        <w:tc>
          <w:tcPr>
            <w:tcW w:w="1167" w:type="dxa"/>
            <w:tcBorders>
              <w:left w:val="single" w:color="000000" w:sz="6" w:space="0"/>
            </w:tcBorders>
            <w:vAlign w:val="top"/>
          </w:tcPr>
          <w:p w14:paraId="1671CECE">
            <w:pPr>
              <w:spacing w:before="80" w:line="232" w:lineRule="auto"/>
              <w:ind w:left="377"/>
              <w:rPr>
                <w:rFonts w:ascii="仿宋" w:hAnsi="仿宋" w:eastAsia="仿宋" w:cs="仿宋"/>
                <w:sz w:val="20"/>
                <w:szCs w:val="20"/>
              </w:rPr>
            </w:pPr>
            <w:r>
              <w:rPr>
                <w:rFonts w:ascii="仿宋" w:hAnsi="仿宋" w:eastAsia="仿宋" w:cs="仿宋"/>
                <w:spacing w:val="2"/>
                <w:sz w:val="20"/>
                <w:szCs w:val="20"/>
              </w:rPr>
              <w:t>振动</w:t>
            </w:r>
          </w:p>
        </w:tc>
        <w:tc>
          <w:tcPr>
            <w:tcW w:w="2560" w:type="dxa"/>
            <w:vAlign w:val="top"/>
          </w:tcPr>
          <w:p w14:paraId="0DDC7FF0">
            <w:pPr>
              <w:pStyle w:val="6"/>
              <w:spacing w:before="205" w:line="97" w:lineRule="exact"/>
              <w:ind w:left="1212"/>
              <w:rPr>
                <w:sz w:val="20"/>
                <w:szCs w:val="20"/>
              </w:rPr>
            </w:pPr>
            <w:r>
              <w:rPr>
                <w:spacing w:val="-2"/>
                <w:position w:val="-2"/>
                <w:sz w:val="20"/>
                <w:szCs w:val="20"/>
              </w:rPr>
              <w:t>--</w:t>
            </w:r>
          </w:p>
        </w:tc>
        <w:tc>
          <w:tcPr>
            <w:tcW w:w="1642" w:type="dxa"/>
            <w:vAlign w:val="top"/>
          </w:tcPr>
          <w:p w14:paraId="3E5184DE">
            <w:pPr>
              <w:pStyle w:val="6"/>
              <w:spacing w:before="205" w:line="97" w:lineRule="exact"/>
              <w:ind w:left="757"/>
              <w:rPr>
                <w:sz w:val="20"/>
                <w:szCs w:val="20"/>
              </w:rPr>
            </w:pPr>
            <w:r>
              <w:rPr>
                <w:spacing w:val="-3"/>
                <w:position w:val="-2"/>
                <w:sz w:val="20"/>
                <w:szCs w:val="20"/>
              </w:rPr>
              <w:t>--</w:t>
            </w:r>
          </w:p>
        </w:tc>
        <w:tc>
          <w:tcPr>
            <w:tcW w:w="2185" w:type="dxa"/>
            <w:vAlign w:val="top"/>
          </w:tcPr>
          <w:p w14:paraId="616D4923">
            <w:pPr>
              <w:pStyle w:val="6"/>
              <w:spacing w:before="205" w:line="97" w:lineRule="exact"/>
              <w:ind w:left="1030"/>
              <w:rPr>
                <w:sz w:val="20"/>
                <w:szCs w:val="20"/>
              </w:rPr>
            </w:pPr>
            <w:r>
              <w:rPr>
                <w:spacing w:val="-2"/>
                <w:position w:val="-2"/>
                <w:sz w:val="20"/>
                <w:szCs w:val="20"/>
              </w:rPr>
              <w:t>--</w:t>
            </w:r>
          </w:p>
        </w:tc>
        <w:tc>
          <w:tcPr>
            <w:tcW w:w="1234" w:type="dxa"/>
            <w:tcBorders>
              <w:right w:val="single" w:color="000000" w:sz="6" w:space="0"/>
            </w:tcBorders>
            <w:vAlign w:val="top"/>
          </w:tcPr>
          <w:p w14:paraId="4701A358">
            <w:pPr>
              <w:pStyle w:val="6"/>
              <w:spacing w:before="205" w:line="97" w:lineRule="exact"/>
              <w:ind w:left="554"/>
              <w:rPr>
                <w:sz w:val="20"/>
                <w:szCs w:val="20"/>
              </w:rPr>
            </w:pPr>
            <w:r>
              <w:rPr>
                <w:spacing w:val="-2"/>
                <w:position w:val="-2"/>
                <w:sz w:val="20"/>
                <w:szCs w:val="20"/>
              </w:rPr>
              <w:t>--</w:t>
            </w:r>
          </w:p>
        </w:tc>
      </w:tr>
      <w:tr w14:paraId="60F618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97" w:hRule="atLeast"/>
        </w:trPr>
        <w:tc>
          <w:tcPr>
            <w:tcW w:w="1167" w:type="dxa"/>
            <w:tcBorders>
              <w:left w:val="single" w:color="000000" w:sz="6" w:space="0"/>
            </w:tcBorders>
            <w:vAlign w:val="top"/>
          </w:tcPr>
          <w:p w14:paraId="2C8FD693">
            <w:pPr>
              <w:spacing w:line="265" w:lineRule="auto"/>
              <w:rPr>
                <w:rFonts w:ascii="Arial"/>
                <w:sz w:val="21"/>
              </w:rPr>
            </w:pPr>
          </w:p>
          <w:p w14:paraId="48E8B095">
            <w:pPr>
              <w:spacing w:line="265" w:lineRule="auto"/>
              <w:rPr>
                <w:rFonts w:ascii="Arial"/>
                <w:sz w:val="21"/>
              </w:rPr>
            </w:pPr>
          </w:p>
          <w:p w14:paraId="63B4A12B">
            <w:pPr>
              <w:spacing w:line="265" w:lineRule="auto"/>
              <w:rPr>
                <w:rFonts w:ascii="Arial"/>
                <w:sz w:val="21"/>
              </w:rPr>
            </w:pPr>
          </w:p>
          <w:p w14:paraId="10341AF4">
            <w:pPr>
              <w:spacing w:line="266" w:lineRule="auto"/>
              <w:rPr>
                <w:rFonts w:ascii="Arial"/>
                <w:sz w:val="21"/>
              </w:rPr>
            </w:pPr>
          </w:p>
          <w:p w14:paraId="029837DA">
            <w:pPr>
              <w:spacing w:line="266" w:lineRule="auto"/>
              <w:rPr>
                <w:rFonts w:ascii="Arial"/>
                <w:sz w:val="21"/>
              </w:rPr>
            </w:pPr>
          </w:p>
          <w:p w14:paraId="116D6413">
            <w:pPr>
              <w:spacing w:before="65" w:line="231" w:lineRule="auto"/>
              <w:ind w:left="169"/>
              <w:rPr>
                <w:rFonts w:ascii="仿宋" w:hAnsi="仿宋" w:eastAsia="仿宋" w:cs="仿宋"/>
                <w:sz w:val="20"/>
                <w:szCs w:val="20"/>
              </w:rPr>
            </w:pPr>
            <w:r>
              <w:rPr>
                <w:rFonts w:ascii="仿宋" w:hAnsi="仿宋" w:eastAsia="仿宋" w:cs="仿宋"/>
                <w:spacing w:val="5"/>
                <w:sz w:val="20"/>
                <w:szCs w:val="20"/>
              </w:rPr>
              <w:t>大气环境</w:t>
            </w:r>
          </w:p>
        </w:tc>
        <w:tc>
          <w:tcPr>
            <w:tcW w:w="2560" w:type="dxa"/>
            <w:vAlign w:val="top"/>
          </w:tcPr>
          <w:p w14:paraId="34DD625B">
            <w:pPr>
              <w:spacing w:before="39" w:line="250" w:lineRule="auto"/>
              <w:ind w:left="114" w:right="146" w:hanging="2"/>
              <w:rPr>
                <w:rFonts w:ascii="仿宋" w:hAnsi="仿宋" w:eastAsia="仿宋" w:cs="仿宋"/>
                <w:sz w:val="20"/>
                <w:szCs w:val="20"/>
              </w:rPr>
            </w:pPr>
            <w:r>
              <w:rPr>
                <w:rFonts w:ascii="仿宋" w:hAnsi="仿宋" w:eastAsia="仿宋" w:cs="仿宋"/>
                <w:spacing w:val="8"/>
                <w:sz w:val="20"/>
                <w:szCs w:val="20"/>
              </w:rPr>
              <w:t>加强施工管理，运输易起尘的材料应加盖苫布覆</w:t>
            </w:r>
          </w:p>
          <w:p w14:paraId="30E99A68">
            <w:pPr>
              <w:spacing w:before="7" w:line="246" w:lineRule="auto"/>
              <w:ind w:left="112" w:right="146" w:firstLine="6"/>
              <w:rPr>
                <w:rFonts w:ascii="仿宋" w:hAnsi="仿宋" w:eastAsia="仿宋" w:cs="仿宋"/>
                <w:sz w:val="20"/>
                <w:szCs w:val="20"/>
              </w:rPr>
            </w:pPr>
            <w:r>
              <w:rPr>
                <w:rFonts w:ascii="仿宋" w:hAnsi="仿宋" w:eastAsia="仿宋" w:cs="仿宋"/>
                <w:spacing w:val="8"/>
                <w:sz w:val="20"/>
                <w:szCs w:val="20"/>
              </w:rPr>
              <w:t>盖，保持施工运输道路的清洁，定期洒水降尘，避免在大风季节进行扬尘较大的施工工序。严禁尾气超标车辆上路，加强对道路的养护；禁止车况差、超载、装卸物品遮盖不严容易洒落的车辆上路，减</w:t>
            </w:r>
            <w:r>
              <w:rPr>
                <w:rFonts w:ascii="仿宋" w:hAnsi="仿宋" w:eastAsia="仿宋" w:cs="仿宋"/>
                <w:spacing w:val="7"/>
                <w:sz w:val="20"/>
                <w:szCs w:val="20"/>
              </w:rPr>
              <w:t>少车辆滞速怠速状态。</w:t>
            </w:r>
          </w:p>
        </w:tc>
        <w:tc>
          <w:tcPr>
            <w:tcW w:w="1642" w:type="dxa"/>
            <w:vAlign w:val="top"/>
          </w:tcPr>
          <w:p w14:paraId="29A8A15D">
            <w:pPr>
              <w:spacing w:line="243" w:lineRule="auto"/>
              <w:rPr>
                <w:rFonts w:ascii="Arial"/>
                <w:sz w:val="21"/>
              </w:rPr>
            </w:pPr>
          </w:p>
          <w:p w14:paraId="77F0FDE3">
            <w:pPr>
              <w:spacing w:line="243" w:lineRule="auto"/>
              <w:rPr>
                <w:rFonts w:ascii="Arial"/>
                <w:sz w:val="21"/>
              </w:rPr>
            </w:pPr>
          </w:p>
          <w:p w14:paraId="51EC64B9">
            <w:pPr>
              <w:spacing w:line="243" w:lineRule="auto"/>
              <w:rPr>
                <w:rFonts w:ascii="Arial"/>
                <w:sz w:val="21"/>
              </w:rPr>
            </w:pPr>
          </w:p>
          <w:p w14:paraId="5004B20D">
            <w:pPr>
              <w:spacing w:line="243" w:lineRule="auto"/>
              <w:rPr>
                <w:rFonts w:ascii="Arial"/>
                <w:sz w:val="21"/>
              </w:rPr>
            </w:pPr>
          </w:p>
          <w:p w14:paraId="672B32FD">
            <w:pPr>
              <w:spacing w:line="243" w:lineRule="auto"/>
              <w:rPr>
                <w:rFonts w:ascii="Arial"/>
                <w:sz w:val="21"/>
              </w:rPr>
            </w:pPr>
          </w:p>
          <w:p w14:paraId="0A4AFAA4">
            <w:pPr>
              <w:spacing w:line="243" w:lineRule="auto"/>
              <w:rPr>
                <w:rFonts w:ascii="Arial"/>
                <w:sz w:val="21"/>
              </w:rPr>
            </w:pPr>
          </w:p>
          <w:p w14:paraId="7C5DFB67">
            <w:pPr>
              <w:pStyle w:val="6"/>
              <w:spacing w:before="58" w:line="96" w:lineRule="exact"/>
              <w:ind w:left="757"/>
              <w:rPr>
                <w:sz w:val="20"/>
                <w:szCs w:val="20"/>
              </w:rPr>
            </w:pPr>
            <w:r>
              <w:rPr>
                <w:spacing w:val="-3"/>
                <w:position w:val="-2"/>
                <w:sz w:val="20"/>
                <w:szCs w:val="20"/>
              </w:rPr>
              <w:t>--</w:t>
            </w:r>
          </w:p>
        </w:tc>
        <w:tc>
          <w:tcPr>
            <w:tcW w:w="2185" w:type="dxa"/>
            <w:vAlign w:val="top"/>
          </w:tcPr>
          <w:p w14:paraId="5DBC2DFC">
            <w:pPr>
              <w:spacing w:line="323" w:lineRule="auto"/>
              <w:rPr>
                <w:rFonts w:ascii="Arial"/>
                <w:sz w:val="21"/>
              </w:rPr>
            </w:pPr>
          </w:p>
          <w:p w14:paraId="5DE7AAEB">
            <w:pPr>
              <w:spacing w:line="324" w:lineRule="auto"/>
              <w:rPr>
                <w:rFonts w:ascii="Arial"/>
                <w:sz w:val="21"/>
              </w:rPr>
            </w:pPr>
          </w:p>
          <w:p w14:paraId="3DB04E32">
            <w:pPr>
              <w:spacing w:before="65" w:line="252" w:lineRule="auto"/>
              <w:ind w:left="119" w:right="99" w:firstLine="6"/>
              <w:jc w:val="both"/>
              <w:rPr>
                <w:rFonts w:ascii="仿宋" w:hAnsi="仿宋" w:eastAsia="仿宋" w:cs="仿宋"/>
                <w:sz w:val="20"/>
                <w:szCs w:val="20"/>
              </w:rPr>
            </w:pPr>
            <w:r>
              <w:rPr>
                <w:rFonts w:ascii="仿宋" w:hAnsi="仿宋" w:eastAsia="仿宋" w:cs="仿宋"/>
                <w:spacing w:val="17"/>
                <w:sz w:val="20"/>
                <w:szCs w:val="20"/>
              </w:rPr>
              <w:t>车辆行驶造成的扬尘</w:t>
            </w:r>
            <w:r>
              <w:rPr>
                <w:rFonts w:ascii="仿宋" w:hAnsi="仿宋" w:eastAsia="仿宋" w:cs="仿宋"/>
                <w:spacing w:val="13"/>
                <w:sz w:val="20"/>
                <w:szCs w:val="20"/>
              </w:rPr>
              <w:t>及排放的汽车尾气</w:t>
            </w:r>
            <w:r>
              <w:rPr>
                <w:rFonts w:ascii="仿宋" w:hAnsi="仿宋" w:eastAsia="仿宋" w:cs="仿宋"/>
                <w:spacing w:val="-58"/>
                <w:sz w:val="20"/>
                <w:szCs w:val="20"/>
              </w:rPr>
              <w:t xml:space="preserve"> </w:t>
            </w:r>
            <w:r>
              <w:rPr>
                <w:rFonts w:ascii="仿宋" w:hAnsi="仿宋" w:eastAsia="仿宋" w:cs="仿宋"/>
                <w:spacing w:val="13"/>
                <w:sz w:val="20"/>
                <w:szCs w:val="20"/>
              </w:rPr>
              <w:t>，</w:t>
            </w:r>
            <w:r>
              <w:rPr>
                <w:rFonts w:ascii="仿宋" w:hAnsi="仿宋" w:eastAsia="仿宋" w:cs="仿宋"/>
                <w:spacing w:val="17"/>
                <w:sz w:val="20"/>
                <w:szCs w:val="20"/>
              </w:rPr>
              <w:t>通过采用水泥混凝土</w:t>
            </w:r>
            <w:r>
              <w:rPr>
                <w:rFonts w:ascii="仿宋" w:hAnsi="仿宋" w:eastAsia="仿宋" w:cs="仿宋"/>
                <w:spacing w:val="13"/>
                <w:sz w:val="20"/>
                <w:szCs w:val="20"/>
              </w:rPr>
              <w:t>路面</w:t>
            </w:r>
            <w:r>
              <w:rPr>
                <w:rFonts w:ascii="仿宋" w:hAnsi="仿宋" w:eastAsia="仿宋" w:cs="仿宋"/>
                <w:spacing w:val="-58"/>
                <w:sz w:val="20"/>
                <w:szCs w:val="20"/>
              </w:rPr>
              <w:t xml:space="preserve"> </w:t>
            </w:r>
            <w:r>
              <w:rPr>
                <w:rFonts w:ascii="仿宋" w:hAnsi="仿宋" w:eastAsia="仿宋" w:cs="仿宋"/>
                <w:spacing w:val="13"/>
                <w:sz w:val="20"/>
                <w:szCs w:val="20"/>
              </w:rPr>
              <w:t>、未筛分碎石路面进行有效压实等</w:t>
            </w:r>
            <w:r>
              <w:rPr>
                <w:rFonts w:ascii="仿宋" w:hAnsi="仿宋" w:eastAsia="仿宋" w:cs="仿宋"/>
                <w:spacing w:val="-58"/>
                <w:sz w:val="20"/>
                <w:szCs w:val="20"/>
              </w:rPr>
              <w:t xml:space="preserve"> </w:t>
            </w:r>
            <w:r>
              <w:rPr>
                <w:rFonts w:ascii="仿宋" w:hAnsi="仿宋" w:eastAsia="仿宋" w:cs="仿宋"/>
                <w:spacing w:val="13"/>
                <w:sz w:val="20"/>
                <w:szCs w:val="20"/>
              </w:rPr>
              <w:t>，</w:t>
            </w:r>
            <w:r>
              <w:rPr>
                <w:rFonts w:ascii="仿宋" w:hAnsi="仿宋" w:eastAsia="仿宋" w:cs="仿宋"/>
                <w:spacing w:val="6"/>
                <w:sz w:val="20"/>
                <w:szCs w:val="20"/>
              </w:rPr>
              <w:t>道路定期养护。</w:t>
            </w:r>
          </w:p>
        </w:tc>
        <w:tc>
          <w:tcPr>
            <w:tcW w:w="1234" w:type="dxa"/>
            <w:tcBorders>
              <w:right w:val="single" w:color="000000" w:sz="6" w:space="0"/>
            </w:tcBorders>
            <w:vAlign w:val="top"/>
          </w:tcPr>
          <w:p w14:paraId="6D31E543">
            <w:pPr>
              <w:spacing w:line="243" w:lineRule="auto"/>
              <w:rPr>
                <w:rFonts w:ascii="Arial"/>
                <w:sz w:val="21"/>
              </w:rPr>
            </w:pPr>
          </w:p>
          <w:p w14:paraId="1589D6C3">
            <w:pPr>
              <w:spacing w:line="243" w:lineRule="auto"/>
              <w:rPr>
                <w:rFonts w:ascii="Arial"/>
                <w:sz w:val="21"/>
              </w:rPr>
            </w:pPr>
          </w:p>
          <w:p w14:paraId="60A489BF">
            <w:pPr>
              <w:spacing w:line="243" w:lineRule="auto"/>
              <w:rPr>
                <w:rFonts w:ascii="Arial"/>
                <w:sz w:val="21"/>
              </w:rPr>
            </w:pPr>
          </w:p>
          <w:p w14:paraId="2481FA77">
            <w:pPr>
              <w:spacing w:line="243" w:lineRule="auto"/>
              <w:rPr>
                <w:rFonts w:ascii="Arial"/>
                <w:sz w:val="21"/>
              </w:rPr>
            </w:pPr>
          </w:p>
          <w:p w14:paraId="1DC3A57C">
            <w:pPr>
              <w:spacing w:line="243" w:lineRule="auto"/>
              <w:rPr>
                <w:rFonts w:ascii="Arial"/>
                <w:sz w:val="21"/>
              </w:rPr>
            </w:pPr>
          </w:p>
          <w:p w14:paraId="1ECB86A8">
            <w:pPr>
              <w:spacing w:line="243" w:lineRule="auto"/>
              <w:rPr>
                <w:rFonts w:ascii="Arial"/>
                <w:sz w:val="21"/>
              </w:rPr>
            </w:pPr>
          </w:p>
          <w:p w14:paraId="59D6DD48">
            <w:pPr>
              <w:pStyle w:val="6"/>
              <w:spacing w:before="58" w:line="96" w:lineRule="exact"/>
              <w:ind w:left="554"/>
              <w:rPr>
                <w:sz w:val="20"/>
                <w:szCs w:val="20"/>
              </w:rPr>
            </w:pPr>
            <w:r>
              <w:rPr>
                <w:spacing w:val="-2"/>
                <w:position w:val="-2"/>
                <w:sz w:val="20"/>
                <w:szCs w:val="20"/>
              </w:rPr>
              <w:t>--</w:t>
            </w:r>
          </w:p>
        </w:tc>
      </w:tr>
      <w:tr w14:paraId="48E439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3" w:hRule="atLeast"/>
        </w:trPr>
        <w:tc>
          <w:tcPr>
            <w:tcW w:w="1167" w:type="dxa"/>
            <w:tcBorders>
              <w:left w:val="single" w:color="000000" w:sz="6" w:space="0"/>
              <w:bottom w:val="single" w:color="000000" w:sz="6" w:space="0"/>
            </w:tcBorders>
            <w:vAlign w:val="top"/>
          </w:tcPr>
          <w:p w14:paraId="0886960D">
            <w:pPr>
              <w:spacing w:line="250" w:lineRule="auto"/>
              <w:rPr>
                <w:rFonts w:ascii="Arial"/>
                <w:sz w:val="21"/>
              </w:rPr>
            </w:pPr>
          </w:p>
          <w:p w14:paraId="72F62C72">
            <w:pPr>
              <w:spacing w:before="65" w:line="229" w:lineRule="auto"/>
              <w:ind w:left="188"/>
              <w:rPr>
                <w:rFonts w:ascii="仿宋" w:hAnsi="仿宋" w:eastAsia="仿宋" w:cs="仿宋"/>
                <w:sz w:val="20"/>
                <w:szCs w:val="20"/>
              </w:rPr>
            </w:pPr>
            <w:r>
              <w:rPr>
                <w:rFonts w:ascii="仿宋" w:hAnsi="仿宋" w:eastAsia="仿宋" w:cs="仿宋"/>
                <w:sz w:val="20"/>
                <w:szCs w:val="20"/>
              </w:rPr>
              <w:t>固体废物</w:t>
            </w:r>
          </w:p>
        </w:tc>
        <w:tc>
          <w:tcPr>
            <w:tcW w:w="2560" w:type="dxa"/>
            <w:tcBorders>
              <w:bottom w:val="single" w:color="000000" w:sz="6" w:space="0"/>
            </w:tcBorders>
            <w:vAlign w:val="top"/>
          </w:tcPr>
          <w:p w14:paraId="6B7A0E1D">
            <w:pPr>
              <w:spacing w:before="44" w:line="232" w:lineRule="auto"/>
              <w:ind w:right="15"/>
              <w:jc w:val="right"/>
              <w:rPr>
                <w:rFonts w:ascii="仿宋" w:hAnsi="仿宋" w:eastAsia="仿宋" w:cs="仿宋"/>
                <w:sz w:val="20"/>
                <w:szCs w:val="20"/>
              </w:rPr>
            </w:pPr>
            <w:r>
              <w:rPr>
                <w:rFonts w:ascii="仿宋" w:hAnsi="仿宋" w:eastAsia="仿宋" w:cs="仿宋"/>
                <w:spacing w:val="1"/>
                <w:sz w:val="20"/>
                <w:szCs w:val="20"/>
              </w:rPr>
              <w:t>工程弃土：合理调配土方，</w:t>
            </w:r>
          </w:p>
          <w:p w14:paraId="4F44F30A">
            <w:pPr>
              <w:spacing w:before="19" w:line="232" w:lineRule="auto"/>
              <w:ind w:left="663"/>
              <w:rPr>
                <w:rFonts w:ascii="仿宋" w:hAnsi="仿宋" w:eastAsia="仿宋" w:cs="仿宋"/>
                <w:sz w:val="20"/>
                <w:szCs w:val="20"/>
              </w:rPr>
            </w:pPr>
            <w:r>
              <w:rPr>
                <w:rFonts w:ascii="仿宋" w:hAnsi="仿宋" w:eastAsia="仿宋" w:cs="仿宋"/>
                <w:spacing w:val="5"/>
                <w:sz w:val="20"/>
                <w:szCs w:val="20"/>
              </w:rPr>
              <w:t>不产生弃土。</w:t>
            </w:r>
          </w:p>
          <w:p w14:paraId="394FA9E8">
            <w:pPr>
              <w:spacing w:before="20" w:line="217" w:lineRule="auto"/>
              <w:ind w:right="15"/>
              <w:jc w:val="right"/>
              <w:rPr>
                <w:rFonts w:ascii="仿宋" w:hAnsi="仿宋" w:eastAsia="仿宋" w:cs="仿宋"/>
                <w:sz w:val="20"/>
                <w:szCs w:val="20"/>
              </w:rPr>
            </w:pPr>
            <w:r>
              <w:rPr>
                <w:rFonts w:ascii="仿宋" w:hAnsi="仿宋" w:eastAsia="仿宋" w:cs="仿宋"/>
                <w:spacing w:val="2"/>
                <w:sz w:val="20"/>
                <w:szCs w:val="20"/>
              </w:rPr>
              <w:t>建筑垃圾：优先回收利用，</w:t>
            </w:r>
          </w:p>
        </w:tc>
        <w:tc>
          <w:tcPr>
            <w:tcW w:w="1642" w:type="dxa"/>
            <w:tcBorders>
              <w:bottom w:val="single" w:color="000000" w:sz="6" w:space="0"/>
            </w:tcBorders>
            <w:vAlign w:val="top"/>
          </w:tcPr>
          <w:p w14:paraId="5550256D">
            <w:pPr>
              <w:spacing w:before="179" w:line="256" w:lineRule="auto"/>
              <w:ind w:left="117" w:right="105" w:firstLine="21"/>
              <w:rPr>
                <w:rFonts w:ascii="仿宋" w:hAnsi="仿宋" w:eastAsia="仿宋" w:cs="仿宋"/>
                <w:sz w:val="20"/>
                <w:szCs w:val="20"/>
              </w:rPr>
            </w:pPr>
            <w:r>
              <w:rPr>
                <w:rFonts w:ascii="仿宋" w:hAnsi="仿宋" w:eastAsia="仿宋" w:cs="仿宋"/>
                <w:spacing w:val="-3"/>
                <w:sz w:val="20"/>
                <w:szCs w:val="20"/>
              </w:rPr>
              <w:t>固</w:t>
            </w:r>
            <w:r>
              <w:rPr>
                <w:rFonts w:ascii="仿宋" w:hAnsi="仿宋" w:eastAsia="仿宋" w:cs="仿宋"/>
                <w:spacing w:val="-47"/>
                <w:sz w:val="20"/>
                <w:szCs w:val="20"/>
              </w:rPr>
              <w:t xml:space="preserve"> </w:t>
            </w:r>
            <w:r>
              <w:rPr>
                <w:rFonts w:ascii="仿宋" w:hAnsi="仿宋" w:eastAsia="仿宋" w:cs="仿宋"/>
                <w:spacing w:val="-3"/>
                <w:sz w:val="20"/>
                <w:szCs w:val="20"/>
              </w:rPr>
              <w:t>废</w:t>
            </w:r>
            <w:r>
              <w:rPr>
                <w:rFonts w:ascii="仿宋" w:hAnsi="仿宋" w:eastAsia="仿宋" w:cs="仿宋"/>
                <w:spacing w:val="-52"/>
                <w:sz w:val="20"/>
                <w:szCs w:val="20"/>
              </w:rPr>
              <w:t xml:space="preserve"> </w:t>
            </w:r>
            <w:r>
              <w:rPr>
                <w:rFonts w:ascii="仿宋" w:hAnsi="仿宋" w:eastAsia="仿宋" w:cs="仿宋"/>
                <w:spacing w:val="-3"/>
                <w:sz w:val="20"/>
                <w:szCs w:val="20"/>
              </w:rPr>
              <w:t>得</w:t>
            </w:r>
            <w:r>
              <w:rPr>
                <w:rFonts w:ascii="仿宋" w:hAnsi="仿宋" w:eastAsia="仿宋" w:cs="仿宋"/>
                <w:spacing w:val="-44"/>
                <w:sz w:val="20"/>
                <w:szCs w:val="20"/>
              </w:rPr>
              <w:t xml:space="preserve"> </w:t>
            </w:r>
            <w:r>
              <w:rPr>
                <w:rFonts w:ascii="仿宋" w:hAnsi="仿宋" w:eastAsia="仿宋" w:cs="仿宋"/>
                <w:spacing w:val="-3"/>
                <w:sz w:val="20"/>
                <w:szCs w:val="20"/>
              </w:rPr>
              <w:t>到合</w:t>
            </w:r>
            <w:r>
              <w:rPr>
                <w:rFonts w:ascii="仿宋" w:hAnsi="仿宋" w:eastAsia="仿宋" w:cs="仿宋"/>
                <w:spacing w:val="-48"/>
                <w:sz w:val="20"/>
                <w:szCs w:val="20"/>
              </w:rPr>
              <w:t xml:space="preserve"> </w:t>
            </w:r>
            <w:r>
              <w:rPr>
                <w:rFonts w:ascii="仿宋" w:hAnsi="仿宋" w:eastAsia="仿宋" w:cs="仿宋"/>
                <w:spacing w:val="-3"/>
                <w:sz w:val="20"/>
                <w:szCs w:val="20"/>
              </w:rPr>
              <w:t>理</w:t>
            </w:r>
            <w:r>
              <w:rPr>
                <w:rFonts w:ascii="仿宋" w:hAnsi="仿宋" w:eastAsia="仿宋" w:cs="仿宋"/>
                <w:spacing w:val="1"/>
                <w:sz w:val="20"/>
                <w:szCs w:val="20"/>
              </w:rPr>
              <w:t>处置</w:t>
            </w:r>
          </w:p>
        </w:tc>
        <w:tc>
          <w:tcPr>
            <w:tcW w:w="2185" w:type="dxa"/>
            <w:tcBorders>
              <w:bottom w:val="single" w:color="000000" w:sz="6" w:space="0"/>
            </w:tcBorders>
            <w:vAlign w:val="top"/>
          </w:tcPr>
          <w:p w14:paraId="353FBE60">
            <w:pPr>
              <w:spacing w:line="380" w:lineRule="auto"/>
              <w:rPr>
                <w:rFonts w:ascii="Arial"/>
                <w:sz w:val="21"/>
              </w:rPr>
            </w:pPr>
          </w:p>
          <w:p w14:paraId="2042CB66">
            <w:pPr>
              <w:pStyle w:val="6"/>
              <w:spacing w:before="58" w:line="97" w:lineRule="exact"/>
              <w:ind w:left="1030"/>
              <w:rPr>
                <w:sz w:val="20"/>
                <w:szCs w:val="20"/>
              </w:rPr>
            </w:pPr>
            <w:r>
              <w:rPr>
                <w:spacing w:val="-2"/>
                <w:position w:val="-2"/>
                <w:sz w:val="20"/>
                <w:szCs w:val="20"/>
              </w:rPr>
              <w:t>--</w:t>
            </w:r>
          </w:p>
        </w:tc>
        <w:tc>
          <w:tcPr>
            <w:tcW w:w="1234" w:type="dxa"/>
            <w:tcBorders>
              <w:bottom w:val="single" w:color="000000" w:sz="6" w:space="0"/>
              <w:right w:val="single" w:color="000000" w:sz="6" w:space="0"/>
            </w:tcBorders>
            <w:vAlign w:val="top"/>
          </w:tcPr>
          <w:p w14:paraId="6B9A8FAC">
            <w:pPr>
              <w:spacing w:line="380" w:lineRule="auto"/>
              <w:rPr>
                <w:rFonts w:ascii="Arial"/>
                <w:sz w:val="21"/>
              </w:rPr>
            </w:pPr>
          </w:p>
          <w:p w14:paraId="6DF6E068">
            <w:pPr>
              <w:pStyle w:val="6"/>
              <w:spacing w:before="58" w:line="97" w:lineRule="exact"/>
              <w:ind w:left="554"/>
              <w:rPr>
                <w:sz w:val="20"/>
                <w:szCs w:val="20"/>
              </w:rPr>
            </w:pPr>
            <w:r>
              <w:rPr>
                <w:spacing w:val="-2"/>
                <w:position w:val="-2"/>
                <w:sz w:val="20"/>
                <w:szCs w:val="20"/>
              </w:rPr>
              <w:t>--</w:t>
            </w:r>
          </w:p>
        </w:tc>
      </w:tr>
    </w:tbl>
    <w:p w14:paraId="6C4AF96F">
      <w:pPr>
        <w:pStyle w:val="2"/>
        <w:rPr>
          <w:sz w:val="21"/>
        </w:rPr>
      </w:pPr>
    </w:p>
    <w:p w14:paraId="2CA17FEF">
      <w:pPr>
        <w:rPr>
          <w:sz w:val="21"/>
          <w:szCs w:val="21"/>
        </w:rPr>
        <w:sectPr>
          <w:footerReference r:id="rId75" w:type="default"/>
          <w:pgSz w:w="12240" w:h="15840"/>
          <w:pgMar w:top="400" w:right="1718" w:bottom="1089" w:left="1718" w:header="0" w:footer="927" w:gutter="0"/>
          <w:cols w:space="720" w:num="1"/>
        </w:sectPr>
      </w:pPr>
    </w:p>
    <w:p w14:paraId="6F003874">
      <w:pPr>
        <w:spacing w:before="19"/>
      </w:pPr>
    </w:p>
    <w:p w14:paraId="33BEBA21">
      <w:pPr>
        <w:spacing w:before="19"/>
      </w:pPr>
    </w:p>
    <w:p w14:paraId="214F6BCE">
      <w:pPr>
        <w:spacing w:before="18"/>
      </w:pPr>
    </w:p>
    <w:p w14:paraId="27E8329A">
      <w:pPr>
        <w:spacing w:before="18"/>
      </w:pPr>
    </w:p>
    <w:tbl>
      <w:tblPr>
        <w:tblStyle w:val="5"/>
        <w:tblW w:w="8788"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67"/>
        <w:gridCol w:w="2560"/>
        <w:gridCol w:w="1642"/>
        <w:gridCol w:w="2185"/>
        <w:gridCol w:w="1234"/>
      </w:tblGrid>
      <w:tr w14:paraId="0DB8BC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1167" w:type="dxa"/>
            <w:tcBorders>
              <w:top w:val="single" w:color="000000" w:sz="6" w:space="0"/>
              <w:left w:val="single" w:color="000000" w:sz="6" w:space="0"/>
            </w:tcBorders>
            <w:vAlign w:val="top"/>
          </w:tcPr>
          <w:p w14:paraId="34AEBD29">
            <w:pPr>
              <w:rPr>
                <w:rFonts w:ascii="Arial"/>
                <w:sz w:val="21"/>
              </w:rPr>
            </w:pPr>
          </w:p>
        </w:tc>
        <w:tc>
          <w:tcPr>
            <w:tcW w:w="2560" w:type="dxa"/>
            <w:tcBorders>
              <w:top w:val="single" w:color="000000" w:sz="6" w:space="0"/>
            </w:tcBorders>
            <w:vAlign w:val="top"/>
          </w:tcPr>
          <w:p w14:paraId="21116044">
            <w:pPr>
              <w:spacing w:before="25"/>
              <w:ind w:left="119" w:right="107" w:hanging="1"/>
              <w:jc w:val="both"/>
              <w:rPr>
                <w:rFonts w:ascii="仿宋" w:hAnsi="仿宋" w:eastAsia="仿宋" w:cs="仿宋"/>
                <w:sz w:val="20"/>
                <w:szCs w:val="20"/>
              </w:rPr>
            </w:pPr>
            <w:r>
              <w:rPr>
                <w:rFonts w:ascii="仿宋" w:hAnsi="仿宋" w:eastAsia="仿宋" w:cs="仿宋"/>
                <w:spacing w:val="11"/>
                <w:sz w:val="20"/>
                <w:szCs w:val="20"/>
              </w:rPr>
              <w:t>不能利用的统一收集后运至市政指定建筑垃圾排放</w:t>
            </w:r>
            <w:r>
              <w:rPr>
                <w:rFonts w:ascii="仿宋" w:hAnsi="仿宋" w:eastAsia="仿宋" w:cs="仿宋"/>
                <w:spacing w:val="2"/>
                <w:sz w:val="20"/>
                <w:szCs w:val="20"/>
              </w:rPr>
              <w:t>点处置。</w:t>
            </w:r>
          </w:p>
        </w:tc>
        <w:tc>
          <w:tcPr>
            <w:tcW w:w="1642" w:type="dxa"/>
            <w:tcBorders>
              <w:top w:val="single" w:color="000000" w:sz="6" w:space="0"/>
            </w:tcBorders>
            <w:vAlign w:val="top"/>
          </w:tcPr>
          <w:p w14:paraId="52ED5856">
            <w:pPr>
              <w:rPr>
                <w:rFonts w:ascii="Arial"/>
                <w:sz w:val="21"/>
              </w:rPr>
            </w:pPr>
          </w:p>
        </w:tc>
        <w:tc>
          <w:tcPr>
            <w:tcW w:w="2185" w:type="dxa"/>
            <w:tcBorders>
              <w:top w:val="single" w:color="000000" w:sz="6" w:space="0"/>
            </w:tcBorders>
            <w:vAlign w:val="top"/>
          </w:tcPr>
          <w:p w14:paraId="597D0689">
            <w:pPr>
              <w:rPr>
                <w:rFonts w:ascii="Arial"/>
                <w:sz w:val="21"/>
              </w:rPr>
            </w:pPr>
          </w:p>
        </w:tc>
        <w:tc>
          <w:tcPr>
            <w:tcW w:w="1234" w:type="dxa"/>
            <w:tcBorders>
              <w:top w:val="single" w:color="000000" w:sz="6" w:space="0"/>
              <w:right w:val="single" w:color="000000" w:sz="6" w:space="0"/>
            </w:tcBorders>
            <w:vAlign w:val="top"/>
          </w:tcPr>
          <w:p w14:paraId="0D85FD86">
            <w:pPr>
              <w:rPr>
                <w:rFonts w:ascii="Arial"/>
                <w:sz w:val="21"/>
              </w:rPr>
            </w:pPr>
          </w:p>
        </w:tc>
      </w:tr>
      <w:tr w14:paraId="0499CF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rPr>
        <w:tc>
          <w:tcPr>
            <w:tcW w:w="1167" w:type="dxa"/>
            <w:tcBorders>
              <w:left w:val="single" w:color="000000" w:sz="6" w:space="0"/>
            </w:tcBorders>
            <w:vAlign w:val="top"/>
          </w:tcPr>
          <w:p w14:paraId="3BCD8C6A">
            <w:pPr>
              <w:spacing w:before="103" w:line="231" w:lineRule="auto"/>
              <w:ind w:left="189"/>
              <w:rPr>
                <w:rFonts w:ascii="仿宋" w:hAnsi="仿宋" w:eastAsia="仿宋" w:cs="仿宋"/>
                <w:sz w:val="20"/>
                <w:szCs w:val="20"/>
              </w:rPr>
            </w:pPr>
            <w:r>
              <w:rPr>
                <w:rFonts w:ascii="仿宋" w:hAnsi="仿宋" w:eastAsia="仿宋" w:cs="仿宋"/>
                <w:sz w:val="20"/>
                <w:szCs w:val="20"/>
              </w:rPr>
              <w:t>电磁环境</w:t>
            </w:r>
          </w:p>
        </w:tc>
        <w:tc>
          <w:tcPr>
            <w:tcW w:w="2560" w:type="dxa"/>
            <w:vAlign w:val="top"/>
          </w:tcPr>
          <w:p w14:paraId="4035F91C">
            <w:pPr>
              <w:pStyle w:val="6"/>
              <w:spacing w:before="228" w:line="96" w:lineRule="exact"/>
              <w:ind w:left="1212"/>
              <w:rPr>
                <w:sz w:val="20"/>
                <w:szCs w:val="20"/>
              </w:rPr>
            </w:pPr>
            <w:r>
              <w:rPr>
                <w:spacing w:val="-2"/>
                <w:position w:val="-2"/>
                <w:sz w:val="20"/>
                <w:szCs w:val="20"/>
              </w:rPr>
              <w:t>--</w:t>
            </w:r>
          </w:p>
        </w:tc>
        <w:tc>
          <w:tcPr>
            <w:tcW w:w="1642" w:type="dxa"/>
            <w:vAlign w:val="top"/>
          </w:tcPr>
          <w:p w14:paraId="67BF560F">
            <w:pPr>
              <w:pStyle w:val="6"/>
              <w:spacing w:before="228" w:line="96" w:lineRule="exact"/>
              <w:ind w:left="757"/>
              <w:rPr>
                <w:sz w:val="20"/>
                <w:szCs w:val="20"/>
              </w:rPr>
            </w:pPr>
            <w:r>
              <w:rPr>
                <w:spacing w:val="-3"/>
                <w:position w:val="-2"/>
                <w:sz w:val="20"/>
                <w:szCs w:val="20"/>
              </w:rPr>
              <w:t>--</w:t>
            </w:r>
          </w:p>
        </w:tc>
        <w:tc>
          <w:tcPr>
            <w:tcW w:w="2185" w:type="dxa"/>
            <w:vAlign w:val="top"/>
          </w:tcPr>
          <w:p w14:paraId="5D62D270">
            <w:pPr>
              <w:pStyle w:val="6"/>
              <w:spacing w:before="228" w:line="96" w:lineRule="exact"/>
              <w:ind w:left="1030"/>
              <w:rPr>
                <w:sz w:val="20"/>
                <w:szCs w:val="20"/>
              </w:rPr>
            </w:pPr>
            <w:r>
              <w:rPr>
                <w:spacing w:val="-2"/>
                <w:position w:val="-2"/>
                <w:sz w:val="20"/>
                <w:szCs w:val="20"/>
              </w:rPr>
              <w:t>--</w:t>
            </w:r>
          </w:p>
        </w:tc>
        <w:tc>
          <w:tcPr>
            <w:tcW w:w="1234" w:type="dxa"/>
            <w:tcBorders>
              <w:right w:val="single" w:color="000000" w:sz="6" w:space="0"/>
            </w:tcBorders>
            <w:vAlign w:val="top"/>
          </w:tcPr>
          <w:p w14:paraId="30C14D6A">
            <w:pPr>
              <w:pStyle w:val="6"/>
              <w:spacing w:before="228" w:line="96" w:lineRule="exact"/>
              <w:ind w:left="554"/>
              <w:rPr>
                <w:sz w:val="20"/>
                <w:szCs w:val="20"/>
              </w:rPr>
            </w:pPr>
            <w:r>
              <w:rPr>
                <w:spacing w:val="-2"/>
                <w:position w:val="-2"/>
                <w:sz w:val="20"/>
                <w:szCs w:val="20"/>
              </w:rPr>
              <w:t>--</w:t>
            </w:r>
          </w:p>
        </w:tc>
      </w:tr>
      <w:tr w14:paraId="2C4B63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167" w:type="dxa"/>
            <w:tcBorders>
              <w:left w:val="single" w:color="000000" w:sz="6" w:space="0"/>
            </w:tcBorders>
            <w:vAlign w:val="top"/>
          </w:tcPr>
          <w:p w14:paraId="75014C8C">
            <w:pPr>
              <w:spacing w:before="168" w:line="231" w:lineRule="auto"/>
              <w:ind w:left="166"/>
              <w:rPr>
                <w:rFonts w:ascii="仿宋" w:hAnsi="仿宋" w:eastAsia="仿宋" w:cs="仿宋"/>
                <w:sz w:val="20"/>
                <w:szCs w:val="20"/>
              </w:rPr>
            </w:pPr>
            <w:r>
              <w:rPr>
                <w:rFonts w:ascii="仿宋" w:hAnsi="仿宋" w:eastAsia="仿宋" w:cs="仿宋"/>
                <w:spacing w:val="5"/>
                <w:sz w:val="20"/>
                <w:szCs w:val="20"/>
              </w:rPr>
              <w:t>环境风险</w:t>
            </w:r>
          </w:p>
        </w:tc>
        <w:tc>
          <w:tcPr>
            <w:tcW w:w="2560" w:type="dxa"/>
            <w:vAlign w:val="top"/>
          </w:tcPr>
          <w:p w14:paraId="54601261">
            <w:pPr>
              <w:pStyle w:val="6"/>
              <w:spacing w:before="292" w:line="97" w:lineRule="exact"/>
              <w:ind w:left="1212"/>
              <w:rPr>
                <w:sz w:val="20"/>
                <w:szCs w:val="20"/>
              </w:rPr>
            </w:pPr>
            <w:r>
              <w:rPr>
                <w:spacing w:val="-2"/>
                <w:position w:val="-2"/>
                <w:sz w:val="20"/>
                <w:szCs w:val="20"/>
              </w:rPr>
              <w:t>--</w:t>
            </w:r>
          </w:p>
        </w:tc>
        <w:tc>
          <w:tcPr>
            <w:tcW w:w="1642" w:type="dxa"/>
            <w:vAlign w:val="top"/>
          </w:tcPr>
          <w:p w14:paraId="07B67EFD">
            <w:pPr>
              <w:pStyle w:val="6"/>
              <w:spacing w:before="292" w:line="97" w:lineRule="exact"/>
              <w:ind w:left="757"/>
              <w:rPr>
                <w:sz w:val="20"/>
                <w:szCs w:val="20"/>
              </w:rPr>
            </w:pPr>
            <w:r>
              <w:rPr>
                <w:spacing w:val="-3"/>
                <w:position w:val="-2"/>
                <w:sz w:val="20"/>
                <w:szCs w:val="20"/>
              </w:rPr>
              <w:t>--</w:t>
            </w:r>
          </w:p>
        </w:tc>
        <w:tc>
          <w:tcPr>
            <w:tcW w:w="2185" w:type="dxa"/>
            <w:vAlign w:val="top"/>
          </w:tcPr>
          <w:p w14:paraId="7EBE33A7">
            <w:pPr>
              <w:spacing w:before="34" w:line="233" w:lineRule="auto"/>
              <w:ind w:left="801" w:right="142" w:hanging="639"/>
              <w:rPr>
                <w:rFonts w:ascii="仿宋" w:hAnsi="仿宋" w:eastAsia="仿宋" w:cs="仿宋"/>
                <w:sz w:val="20"/>
                <w:szCs w:val="20"/>
              </w:rPr>
            </w:pPr>
            <w:r>
              <w:rPr>
                <w:rFonts w:ascii="仿宋" w:hAnsi="仿宋" w:eastAsia="仿宋" w:cs="仿宋"/>
                <w:spacing w:val="8"/>
                <w:sz w:val="20"/>
                <w:szCs w:val="20"/>
              </w:rPr>
              <w:t>制定突发环境事件应</w:t>
            </w:r>
            <w:r>
              <w:rPr>
                <w:rFonts w:ascii="仿宋" w:hAnsi="仿宋" w:eastAsia="仿宋" w:cs="仿宋"/>
                <w:spacing w:val="1"/>
                <w:sz w:val="20"/>
                <w:szCs w:val="20"/>
              </w:rPr>
              <w:t>急预案</w:t>
            </w:r>
          </w:p>
        </w:tc>
        <w:tc>
          <w:tcPr>
            <w:tcW w:w="1234" w:type="dxa"/>
            <w:tcBorders>
              <w:right w:val="single" w:color="000000" w:sz="6" w:space="0"/>
            </w:tcBorders>
            <w:vAlign w:val="top"/>
          </w:tcPr>
          <w:p w14:paraId="07C098CC">
            <w:pPr>
              <w:pStyle w:val="6"/>
              <w:spacing w:before="292" w:line="97" w:lineRule="exact"/>
              <w:ind w:left="554"/>
              <w:rPr>
                <w:sz w:val="20"/>
                <w:szCs w:val="20"/>
              </w:rPr>
            </w:pPr>
            <w:r>
              <w:rPr>
                <w:spacing w:val="-2"/>
                <w:position w:val="-2"/>
                <w:sz w:val="20"/>
                <w:szCs w:val="20"/>
              </w:rPr>
              <w:t>--</w:t>
            </w:r>
          </w:p>
        </w:tc>
      </w:tr>
      <w:tr w14:paraId="6039EF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75" w:hRule="atLeast"/>
        </w:trPr>
        <w:tc>
          <w:tcPr>
            <w:tcW w:w="1167" w:type="dxa"/>
            <w:vMerge w:val="restart"/>
            <w:tcBorders>
              <w:left w:val="single" w:color="000000" w:sz="6" w:space="0"/>
              <w:bottom w:val="nil"/>
            </w:tcBorders>
            <w:vAlign w:val="top"/>
          </w:tcPr>
          <w:p w14:paraId="648DAA1B">
            <w:pPr>
              <w:spacing w:line="246" w:lineRule="auto"/>
              <w:rPr>
                <w:rFonts w:ascii="Arial"/>
                <w:sz w:val="21"/>
              </w:rPr>
            </w:pPr>
          </w:p>
          <w:p w14:paraId="0908AA53">
            <w:pPr>
              <w:spacing w:line="246" w:lineRule="auto"/>
              <w:rPr>
                <w:rFonts w:ascii="Arial"/>
                <w:sz w:val="21"/>
              </w:rPr>
            </w:pPr>
          </w:p>
          <w:p w14:paraId="2D186F6D">
            <w:pPr>
              <w:spacing w:line="246" w:lineRule="auto"/>
              <w:rPr>
                <w:rFonts w:ascii="Arial"/>
                <w:sz w:val="21"/>
              </w:rPr>
            </w:pPr>
          </w:p>
          <w:p w14:paraId="638B8E63">
            <w:pPr>
              <w:spacing w:line="247" w:lineRule="auto"/>
              <w:rPr>
                <w:rFonts w:ascii="Arial"/>
                <w:sz w:val="21"/>
              </w:rPr>
            </w:pPr>
          </w:p>
          <w:p w14:paraId="0B3A98FB">
            <w:pPr>
              <w:spacing w:line="247" w:lineRule="auto"/>
              <w:rPr>
                <w:rFonts w:ascii="Arial"/>
                <w:sz w:val="21"/>
              </w:rPr>
            </w:pPr>
          </w:p>
          <w:p w14:paraId="76E71E92">
            <w:pPr>
              <w:spacing w:line="247" w:lineRule="auto"/>
              <w:rPr>
                <w:rFonts w:ascii="Arial"/>
                <w:sz w:val="21"/>
              </w:rPr>
            </w:pPr>
          </w:p>
          <w:p w14:paraId="500DBA57">
            <w:pPr>
              <w:spacing w:before="65" w:line="231" w:lineRule="auto"/>
              <w:ind w:left="166"/>
              <w:rPr>
                <w:rFonts w:ascii="仿宋" w:hAnsi="仿宋" w:eastAsia="仿宋" w:cs="仿宋"/>
                <w:sz w:val="20"/>
                <w:szCs w:val="20"/>
              </w:rPr>
            </w:pPr>
            <w:r>
              <w:rPr>
                <w:rFonts w:ascii="仿宋" w:hAnsi="仿宋" w:eastAsia="仿宋" w:cs="仿宋"/>
                <w:spacing w:val="5"/>
                <w:sz w:val="20"/>
                <w:szCs w:val="20"/>
              </w:rPr>
              <w:t>环境监测</w:t>
            </w:r>
          </w:p>
        </w:tc>
        <w:tc>
          <w:tcPr>
            <w:tcW w:w="2560" w:type="dxa"/>
            <w:vAlign w:val="top"/>
          </w:tcPr>
          <w:p w14:paraId="4085949E">
            <w:pPr>
              <w:pStyle w:val="6"/>
              <w:spacing w:before="53" w:line="248" w:lineRule="auto"/>
              <w:ind w:left="113" w:right="36" w:firstLine="4"/>
              <w:jc w:val="both"/>
              <w:rPr>
                <w:rFonts w:ascii="仿宋" w:hAnsi="仿宋" w:eastAsia="仿宋" w:cs="仿宋"/>
                <w:sz w:val="20"/>
                <w:szCs w:val="20"/>
              </w:rPr>
            </w:pPr>
            <w:r>
              <w:rPr>
                <w:rFonts w:ascii="仿宋" w:hAnsi="仿宋" w:eastAsia="仿宋" w:cs="仿宋"/>
                <w:spacing w:val="2"/>
                <w:sz w:val="20"/>
                <w:szCs w:val="20"/>
              </w:rPr>
              <w:t>（</w:t>
            </w:r>
            <w:r>
              <w:rPr>
                <w:spacing w:val="2"/>
                <w:sz w:val="20"/>
                <w:szCs w:val="20"/>
              </w:rPr>
              <w:t>1</w:t>
            </w:r>
            <w:r>
              <w:rPr>
                <w:rFonts w:ascii="仿宋" w:hAnsi="仿宋" w:eastAsia="仿宋" w:cs="仿宋"/>
                <w:spacing w:val="2"/>
                <w:sz w:val="20"/>
                <w:szCs w:val="20"/>
              </w:rPr>
              <w:t>）份子地社新村、西圪</w:t>
            </w:r>
            <w:r>
              <w:rPr>
                <w:rFonts w:ascii="仿宋" w:hAnsi="仿宋" w:eastAsia="仿宋" w:cs="仿宋"/>
                <w:spacing w:val="10"/>
                <w:sz w:val="20"/>
                <w:szCs w:val="20"/>
              </w:rPr>
              <w:t>旦、张家圪旦、陈家梁等敏感点面向本工程一侧边</w:t>
            </w:r>
            <w:r>
              <w:rPr>
                <w:rFonts w:ascii="仿宋" w:hAnsi="仿宋" w:eastAsia="仿宋" w:cs="仿宋"/>
                <w:spacing w:val="2"/>
                <w:sz w:val="20"/>
                <w:szCs w:val="20"/>
              </w:rPr>
              <w:t>界开展施工期噪声监测。</w:t>
            </w:r>
            <w:r>
              <w:rPr>
                <w:spacing w:val="2"/>
                <w:sz w:val="20"/>
                <w:szCs w:val="20"/>
              </w:rPr>
              <w:t>1</w:t>
            </w:r>
            <w:r>
              <w:rPr>
                <w:rFonts w:ascii="仿宋" w:hAnsi="仿宋" w:eastAsia="仿宋" w:cs="仿宋"/>
                <w:spacing w:val="12"/>
                <w:sz w:val="20"/>
                <w:szCs w:val="20"/>
              </w:rPr>
              <w:t>次</w:t>
            </w:r>
            <w:r>
              <w:rPr>
                <w:spacing w:val="12"/>
                <w:sz w:val="20"/>
                <w:szCs w:val="20"/>
              </w:rPr>
              <w:t>/</w:t>
            </w:r>
            <w:r>
              <w:rPr>
                <w:rFonts w:ascii="仿宋" w:hAnsi="仿宋" w:eastAsia="仿宋" w:cs="仿宋"/>
                <w:spacing w:val="12"/>
                <w:sz w:val="20"/>
                <w:szCs w:val="20"/>
              </w:rPr>
              <w:t>季</w:t>
            </w:r>
            <w:r>
              <w:rPr>
                <w:spacing w:val="12"/>
                <w:sz w:val="20"/>
                <w:szCs w:val="20"/>
              </w:rPr>
              <w:t>•</w:t>
            </w:r>
            <w:r>
              <w:rPr>
                <w:rFonts w:ascii="仿宋" w:hAnsi="仿宋" w:eastAsia="仿宋" w:cs="仿宋"/>
                <w:spacing w:val="12"/>
                <w:sz w:val="20"/>
                <w:szCs w:val="20"/>
              </w:rPr>
              <w:t>处，必要时随机抽</w:t>
            </w:r>
            <w:r>
              <w:rPr>
                <w:rFonts w:ascii="仿宋" w:hAnsi="仿宋" w:eastAsia="仿宋" w:cs="仿宋"/>
                <w:spacing w:val="-2"/>
                <w:sz w:val="20"/>
                <w:szCs w:val="20"/>
              </w:rPr>
              <w:t>测，</w:t>
            </w:r>
            <w:r>
              <w:rPr>
                <w:spacing w:val="-2"/>
                <w:sz w:val="20"/>
                <w:szCs w:val="20"/>
              </w:rPr>
              <w:t>1</w:t>
            </w:r>
            <w:r>
              <w:rPr>
                <w:spacing w:val="23"/>
                <w:w w:val="101"/>
                <w:sz w:val="20"/>
                <w:szCs w:val="20"/>
              </w:rPr>
              <w:t xml:space="preserve"> </w:t>
            </w:r>
            <w:r>
              <w:rPr>
                <w:rFonts w:ascii="仿宋" w:hAnsi="仿宋" w:eastAsia="仿宋" w:cs="仿宋"/>
                <w:spacing w:val="-2"/>
                <w:sz w:val="20"/>
                <w:szCs w:val="20"/>
              </w:rPr>
              <w:t>天</w:t>
            </w:r>
            <w:r>
              <w:rPr>
                <w:spacing w:val="-2"/>
                <w:sz w:val="20"/>
                <w:szCs w:val="20"/>
              </w:rPr>
              <w:t>/</w:t>
            </w:r>
            <w:r>
              <w:rPr>
                <w:rFonts w:ascii="仿宋" w:hAnsi="仿宋" w:eastAsia="仿宋" w:cs="仿宋"/>
                <w:spacing w:val="-2"/>
                <w:sz w:val="20"/>
                <w:szCs w:val="20"/>
              </w:rPr>
              <w:t>次，昼夜各一次。</w:t>
            </w:r>
          </w:p>
        </w:tc>
        <w:tc>
          <w:tcPr>
            <w:tcW w:w="1642" w:type="dxa"/>
            <w:vAlign w:val="top"/>
          </w:tcPr>
          <w:p w14:paraId="710682DB">
            <w:pPr>
              <w:spacing w:line="288" w:lineRule="auto"/>
              <w:rPr>
                <w:rFonts w:ascii="Arial"/>
                <w:sz w:val="21"/>
              </w:rPr>
            </w:pPr>
          </w:p>
          <w:p w14:paraId="3ECAD763">
            <w:pPr>
              <w:spacing w:before="65" w:line="251" w:lineRule="auto"/>
              <w:ind w:left="200" w:right="192"/>
              <w:rPr>
                <w:rFonts w:ascii="仿宋" w:hAnsi="仿宋" w:eastAsia="仿宋" w:cs="仿宋"/>
                <w:sz w:val="20"/>
                <w:szCs w:val="20"/>
              </w:rPr>
            </w:pPr>
            <w:r>
              <w:rPr>
                <w:rFonts w:ascii="仿宋" w:hAnsi="仿宋" w:eastAsia="仿宋" w:cs="仿宋"/>
                <w:spacing w:val="7"/>
                <w:sz w:val="20"/>
                <w:szCs w:val="20"/>
              </w:rPr>
              <w:t>《建筑施工噪</w:t>
            </w:r>
            <w:r>
              <w:rPr>
                <w:rFonts w:ascii="仿宋" w:hAnsi="仿宋" w:eastAsia="仿宋" w:cs="仿宋"/>
                <w:spacing w:val="5"/>
                <w:sz w:val="20"/>
                <w:szCs w:val="20"/>
              </w:rPr>
              <w:t>声排放标准》</w:t>
            </w:r>
          </w:p>
          <w:p w14:paraId="2095819B">
            <w:pPr>
              <w:pStyle w:val="6"/>
              <w:spacing w:before="16" w:line="201" w:lineRule="auto"/>
              <w:ind w:left="137"/>
              <w:rPr>
                <w:sz w:val="20"/>
                <w:szCs w:val="20"/>
              </w:rPr>
            </w:pPr>
            <w:r>
              <w:rPr>
                <w:spacing w:val="5"/>
                <w:sz w:val="20"/>
                <w:szCs w:val="20"/>
              </w:rPr>
              <w:t>(</w:t>
            </w:r>
            <w:r>
              <w:rPr>
                <w:sz w:val="20"/>
                <w:szCs w:val="20"/>
              </w:rPr>
              <w:t>GB</w:t>
            </w:r>
            <w:r>
              <w:rPr>
                <w:spacing w:val="5"/>
                <w:sz w:val="20"/>
                <w:szCs w:val="20"/>
              </w:rPr>
              <w:t>12523-2025</w:t>
            </w:r>
          </w:p>
          <w:p w14:paraId="130A1E73">
            <w:pPr>
              <w:pStyle w:val="6"/>
              <w:spacing w:before="49" w:line="201" w:lineRule="auto"/>
              <w:ind w:left="786"/>
              <w:rPr>
                <w:sz w:val="20"/>
                <w:szCs w:val="20"/>
              </w:rPr>
            </w:pPr>
            <w:r>
              <w:rPr>
                <w:sz w:val="20"/>
                <w:szCs w:val="20"/>
              </w:rPr>
              <w:t>)</w:t>
            </w:r>
          </w:p>
        </w:tc>
        <w:tc>
          <w:tcPr>
            <w:tcW w:w="2185" w:type="dxa"/>
            <w:vMerge w:val="restart"/>
            <w:tcBorders>
              <w:bottom w:val="nil"/>
            </w:tcBorders>
            <w:vAlign w:val="top"/>
          </w:tcPr>
          <w:p w14:paraId="54ED12ED">
            <w:pPr>
              <w:spacing w:line="266" w:lineRule="auto"/>
              <w:rPr>
                <w:rFonts w:ascii="Arial"/>
                <w:sz w:val="21"/>
              </w:rPr>
            </w:pPr>
          </w:p>
          <w:p w14:paraId="612D2532">
            <w:pPr>
              <w:spacing w:line="266" w:lineRule="auto"/>
              <w:rPr>
                <w:rFonts w:ascii="Arial"/>
                <w:sz w:val="21"/>
              </w:rPr>
            </w:pPr>
          </w:p>
          <w:p w14:paraId="195FD7EA">
            <w:pPr>
              <w:spacing w:before="65" w:line="230" w:lineRule="auto"/>
              <w:ind w:left="162"/>
              <w:rPr>
                <w:rFonts w:ascii="仿宋" w:hAnsi="仿宋" w:eastAsia="仿宋" w:cs="仿宋"/>
                <w:sz w:val="20"/>
                <w:szCs w:val="20"/>
              </w:rPr>
            </w:pPr>
            <w:r>
              <w:rPr>
                <w:rFonts w:ascii="仿宋" w:hAnsi="仿宋" w:eastAsia="仿宋" w:cs="仿宋"/>
                <w:spacing w:val="8"/>
                <w:sz w:val="20"/>
                <w:szCs w:val="20"/>
              </w:rPr>
              <w:t>份子地社新村、西圪</w:t>
            </w:r>
          </w:p>
          <w:p w14:paraId="7B3DCE83">
            <w:pPr>
              <w:spacing w:before="23" w:line="232" w:lineRule="auto"/>
              <w:ind w:left="167"/>
              <w:rPr>
                <w:rFonts w:ascii="仿宋" w:hAnsi="仿宋" w:eastAsia="仿宋" w:cs="仿宋"/>
                <w:sz w:val="20"/>
                <w:szCs w:val="20"/>
              </w:rPr>
            </w:pPr>
            <w:r>
              <w:rPr>
                <w:rFonts w:ascii="仿宋" w:hAnsi="仿宋" w:eastAsia="仿宋" w:cs="仿宋"/>
                <w:spacing w:val="7"/>
                <w:sz w:val="20"/>
                <w:szCs w:val="20"/>
              </w:rPr>
              <w:t>旦、张家圪旦、陈家</w:t>
            </w:r>
          </w:p>
          <w:p w14:paraId="4740B356">
            <w:pPr>
              <w:spacing w:before="20" w:line="231" w:lineRule="auto"/>
              <w:ind w:left="164"/>
              <w:rPr>
                <w:rFonts w:ascii="仿宋" w:hAnsi="仿宋" w:eastAsia="仿宋" w:cs="仿宋"/>
                <w:sz w:val="20"/>
                <w:szCs w:val="20"/>
              </w:rPr>
            </w:pPr>
            <w:r>
              <w:rPr>
                <w:rFonts w:ascii="仿宋" w:hAnsi="仿宋" w:eastAsia="仿宋" w:cs="仿宋"/>
                <w:spacing w:val="8"/>
                <w:sz w:val="20"/>
                <w:szCs w:val="20"/>
              </w:rPr>
              <w:t>梁等敏感点面向本工</w:t>
            </w:r>
          </w:p>
          <w:p w14:paraId="141D621F">
            <w:pPr>
              <w:pStyle w:val="6"/>
              <w:spacing w:before="23" w:line="232" w:lineRule="auto"/>
              <w:ind w:left="190"/>
              <w:rPr>
                <w:sz w:val="20"/>
                <w:szCs w:val="20"/>
              </w:rPr>
            </w:pPr>
            <w:r>
              <w:rPr>
                <w:rFonts w:ascii="仿宋" w:hAnsi="仿宋" w:eastAsia="仿宋" w:cs="仿宋"/>
                <w:spacing w:val="6"/>
                <w:sz w:val="20"/>
                <w:szCs w:val="20"/>
              </w:rPr>
              <w:t>程一侧监测。近期</w:t>
            </w:r>
            <w:r>
              <w:rPr>
                <w:rFonts w:ascii="仿宋" w:hAnsi="仿宋" w:eastAsia="仿宋" w:cs="仿宋"/>
                <w:spacing w:val="-36"/>
                <w:sz w:val="20"/>
                <w:szCs w:val="20"/>
              </w:rPr>
              <w:t xml:space="preserve"> </w:t>
            </w:r>
            <w:r>
              <w:rPr>
                <w:spacing w:val="6"/>
                <w:sz w:val="20"/>
                <w:szCs w:val="20"/>
              </w:rPr>
              <w:t>2</w:t>
            </w:r>
          </w:p>
          <w:p w14:paraId="5C288DBF">
            <w:pPr>
              <w:pStyle w:val="6"/>
              <w:spacing w:before="20" w:line="231" w:lineRule="auto"/>
              <w:ind w:left="128"/>
              <w:rPr>
                <w:rFonts w:ascii="仿宋" w:hAnsi="仿宋" w:eastAsia="仿宋" w:cs="仿宋"/>
                <w:sz w:val="20"/>
                <w:szCs w:val="20"/>
              </w:rPr>
            </w:pPr>
            <w:r>
              <w:rPr>
                <w:rFonts w:ascii="仿宋" w:hAnsi="仿宋" w:eastAsia="仿宋" w:cs="仿宋"/>
                <w:spacing w:val="5"/>
                <w:sz w:val="20"/>
                <w:szCs w:val="20"/>
              </w:rPr>
              <w:t>次</w:t>
            </w:r>
            <w:r>
              <w:rPr>
                <w:spacing w:val="5"/>
                <w:sz w:val="20"/>
                <w:szCs w:val="20"/>
              </w:rPr>
              <w:t>/</w:t>
            </w:r>
            <w:r>
              <w:rPr>
                <w:rFonts w:ascii="仿宋" w:hAnsi="仿宋" w:eastAsia="仿宋" w:cs="仿宋"/>
                <w:spacing w:val="5"/>
                <w:sz w:val="20"/>
                <w:szCs w:val="20"/>
              </w:rPr>
              <w:t>年，</w:t>
            </w:r>
            <w:r>
              <w:rPr>
                <w:spacing w:val="5"/>
                <w:sz w:val="20"/>
                <w:szCs w:val="20"/>
              </w:rPr>
              <w:t>2</w:t>
            </w:r>
            <w:r>
              <w:rPr>
                <w:spacing w:val="22"/>
                <w:w w:val="101"/>
                <w:sz w:val="20"/>
                <w:szCs w:val="20"/>
              </w:rPr>
              <w:t xml:space="preserve"> </w:t>
            </w:r>
            <w:r>
              <w:rPr>
                <w:rFonts w:ascii="仿宋" w:hAnsi="仿宋" w:eastAsia="仿宋" w:cs="仿宋"/>
                <w:spacing w:val="5"/>
                <w:sz w:val="20"/>
                <w:szCs w:val="20"/>
              </w:rPr>
              <w:t>天</w:t>
            </w:r>
            <w:r>
              <w:rPr>
                <w:spacing w:val="5"/>
                <w:sz w:val="20"/>
                <w:szCs w:val="20"/>
              </w:rPr>
              <w:t>/</w:t>
            </w:r>
            <w:r>
              <w:rPr>
                <w:rFonts w:ascii="仿宋" w:hAnsi="仿宋" w:eastAsia="仿宋" w:cs="仿宋"/>
                <w:spacing w:val="5"/>
                <w:sz w:val="20"/>
                <w:szCs w:val="20"/>
              </w:rPr>
              <w:t>次，每天</w:t>
            </w:r>
          </w:p>
          <w:p w14:paraId="5171028A">
            <w:pPr>
              <w:pStyle w:val="6"/>
              <w:spacing w:before="20" w:line="231" w:lineRule="auto"/>
              <w:ind w:left="188"/>
              <w:rPr>
                <w:sz w:val="20"/>
                <w:szCs w:val="20"/>
              </w:rPr>
            </w:pPr>
            <w:r>
              <w:rPr>
                <w:rFonts w:ascii="仿宋" w:hAnsi="仿宋" w:eastAsia="仿宋" w:cs="仿宋"/>
                <w:spacing w:val="7"/>
                <w:sz w:val="20"/>
                <w:szCs w:val="20"/>
              </w:rPr>
              <w:t>昼间、夜间各监测</w:t>
            </w:r>
            <w:r>
              <w:rPr>
                <w:rFonts w:ascii="仿宋" w:hAnsi="仿宋" w:eastAsia="仿宋" w:cs="仿宋"/>
                <w:spacing w:val="-23"/>
                <w:sz w:val="20"/>
                <w:szCs w:val="20"/>
              </w:rPr>
              <w:t xml:space="preserve"> </w:t>
            </w:r>
            <w:r>
              <w:rPr>
                <w:spacing w:val="7"/>
                <w:sz w:val="20"/>
                <w:szCs w:val="20"/>
              </w:rPr>
              <w:t>1</w:t>
            </w:r>
          </w:p>
          <w:p w14:paraId="4E470983">
            <w:pPr>
              <w:spacing w:before="24" w:line="231" w:lineRule="auto"/>
              <w:ind w:left="162"/>
              <w:rPr>
                <w:rFonts w:ascii="仿宋" w:hAnsi="仿宋" w:eastAsia="仿宋" w:cs="仿宋"/>
                <w:sz w:val="20"/>
                <w:szCs w:val="20"/>
              </w:rPr>
            </w:pPr>
            <w:r>
              <w:rPr>
                <w:rFonts w:ascii="仿宋" w:hAnsi="仿宋" w:eastAsia="仿宋" w:cs="仿宋"/>
                <w:spacing w:val="2"/>
                <w:sz w:val="20"/>
                <w:szCs w:val="20"/>
              </w:rPr>
              <w:t>次；</w:t>
            </w:r>
            <w:r>
              <w:rPr>
                <w:rFonts w:ascii="仿宋" w:hAnsi="仿宋" w:eastAsia="仿宋" w:cs="仿宋"/>
                <w:spacing w:val="-47"/>
                <w:sz w:val="20"/>
                <w:szCs w:val="20"/>
              </w:rPr>
              <w:t xml:space="preserve"> </w:t>
            </w:r>
            <w:r>
              <w:rPr>
                <w:rFonts w:ascii="仿宋" w:hAnsi="仿宋" w:eastAsia="仿宋" w:cs="仿宋"/>
                <w:spacing w:val="2"/>
                <w:sz w:val="20"/>
                <w:szCs w:val="20"/>
              </w:rPr>
              <w:t>中远期可适当减</w:t>
            </w:r>
          </w:p>
          <w:p w14:paraId="1D7B71ED">
            <w:pPr>
              <w:spacing w:before="20" w:line="232" w:lineRule="auto"/>
              <w:ind w:left="476"/>
              <w:rPr>
                <w:rFonts w:ascii="仿宋" w:hAnsi="仿宋" w:eastAsia="仿宋" w:cs="仿宋"/>
                <w:sz w:val="20"/>
                <w:szCs w:val="20"/>
              </w:rPr>
            </w:pPr>
            <w:r>
              <w:rPr>
                <w:rFonts w:ascii="仿宋" w:hAnsi="仿宋" w:eastAsia="仿宋" w:cs="仿宋"/>
                <w:spacing w:val="5"/>
                <w:sz w:val="20"/>
                <w:szCs w:val="20"/>
              </w:rPr>
              <w:t>少监测频次。</w:t>
            </w:r>
          </w:p>
        </w:tc>
        <w:tc>
          <w:tcPr>
            <w:tcW w:w="1234" w:type="dxa"/>
            <w:vMerge w:val="restart"/>
            <w:tcBorders>
              <w:bottom w:val="nil"/>
              <w:right w:val="single" w:color="000000" w:sz="6" w:space="0"/>
            </w:tcBorders>
            <w:vAlign w:val="top"/>
          </w:tcPr>
          <w:p w14:paraId="1091BDAF">
            <w:pPr>
              <w:spacing w:line="318" w:lineRule="auto"/>
              <w:rPr>
                <w:rFonts w:ascii="Arial"/>
                <w:sz w:val="21"/>
              </w:rPr>
            </w:pPr>
          </w:p>
          <w:p w14:paraId="24185994">
            <w:pPr>
              <w:spacing w:line="318" w:lineRule="auto"/>
              <w:rPr>
                <w:rFonts w:ascii="Arial"/>
                <w:sz w:val="21"/>
              </w:rPr>
            </w:pPr>
          </w:p>
          <w:p w14:paraId="09C1A000">
            <w:pPr>
              <w:spacing w:line="318" w:lineRule="auto"/>
              <w:rPr>
                <w:rFonts w:ascii="Arial"/>
                <w:sz w:val="21"/>
              </w:rPr>
            </w:pPr>
          </w:p>
          <w:p w14:paraId="70F2A61F">
            <w:pPr>
              <w:spacing w:before="65" w:line="231" w:lineRule="auto"/>
              <w:ind w:left="208"/>
              <w:rPr>
                <w:rFonts w:ascii="仿宋" w:hAnsi="仿宋" w:eastAsia="仿宋" w:cs="仿宋"/>
                <w:sz w:val="20"/>
                <w:szCs w:val="20"/>
              </w:rPr>
            </w:pPr>
            <w:r>
              <w:rPr>
                <w:rFonts w:ascii="仿宋" w:hAnsi="仿宋" w:eastAsia="仿宋" w:cs="仿宋"/>
                <w:spacing w:val="6"/>
                <w:sz w:val="20"/>
                <w:szCs w:val="20"/>
              </w:rPr>
              <w:t>《声环境</w:t>
            </w:r>
          </w:p>
          <w:p w14:paraId="244C04D6">
            <w:pPr>
              <w:spacing w:before="20" w:line="231" w:lineRule="auto"/>
              <w:ind w:left="130"/>
              <w:rPr>
                <w:rFonts w:ascii="仿宋" w:hAnsi="仿宋" w:eastAsia="仿宋" w:cs="仿宋"/>
                <w:sz w:val="20"/>
                <w:szCs w:val="20"/>
              </w:rPr>
            </w:pPr>
            <w:r>
              <w:rPr>
                <w:rFonts w:ascii="仿宋" w:hAnsi="仿宋" w:eastAsia="仿宋" w:cs="仿宋"/>
                <w:spacing w:val="3"/>
                <w:sz w:val="20"/>
                <w:szCs w:val="20"/>
              </w:rPr>
              <w:t>质量标准》</w:t>
            </w:r>
          </w:p>
          <w:p w14:paraId="7446991A">
            <w:pPr>
              <w:pStyle w:val="6"/>
              <w:spacing w:before="38" w:line="201" w:lineRule="auto"/>
              <w:ind w:left="146"/>
              <w:rPr>
                <w:sz w:val="20"/>
                <w:szCs w:val="20"/>
              </w:rPr>
            </w:pPr>
            <w:r>
              <w:rPr>
                <w:spacing w:val="4"/>
                <w:sz w:val="20"/>
                <w:szCs w:val="20"/>
              </w:rPr>
              <w:t>(</w:t>
            </w:r>
            <w:r>
              <w:rPr>
                <w:sz w:val="20"/>
                <w:szCs w:val="20"/>
              </w:rPr>
              <w:t>GB</w:t>
            </w:r>
            <w:r>
              <w:rPr>
                <w:spacing w:val="4"/>
                <w:sz w:val="20"/>
                <w:szCs w:val="20"/>
              </w:rPr>
              <w:t>3096-2</w:t>
            </w:r>
          </w:p>
          <w:p w14:paraId="0AE7D52A">
            <w:pPr>
              <w:pStyle w:val="6"/>
              <w:spacing w:before="32" w:line="221" w:lineRule="auto"/>
              <w:ind w:left="142"/>
              <w:rPr>
                <w:rFonts w:ascii="仿宋" w:hAnsi="仿宋" w:eastAsia="仿宋" w:cs="仿宋"/>
                <w:sz w:val="20"/>
                <w:szCs w:val="20"/>
              </w:rPr>
            </w:pPr>
            <w:r>
              <w:rPr>
                <w:spacing w:val="2"/>
                <w:sz w:val="20"/>
                <w:szCs w:val="20"/>
              </w:rPr>
              <w:t>008)1</w:t>
            </w:r>
            <w:r>
              <w:rPr>
                <w:spacing w:val="21"/>
                <w:sz w:val="20"/>
                <w:szCs w:val="20"/>
              </w:rPr>
              <w:t xml:space="preserve"> </w:t>
            </w:r>
            <w:r>
              <w:rPr>
                <w:rFonts w:ascii="仿宋" w:hAnsi="仿宋" w:eastAsia="仿宋" w:cs="仿宋"/>
                <w:spacing w:val="2"/>
                <w:sz w:val="20"/>
                <w:szCs w:val="20"/>
              </w:rPr>
              <w:t>类标</w:t>
            </w:r>
          </w:p>
          <w:p w14:paraId="7DD6A2A0">
            <w:pPr>
              <w:spacing w:before="34" w:line="231" w:lineRule="auto"/>
              <w:ind w:left="317"/>
              <w:rPr>
                <w:rFonts w:ascii="仿宋" w:hAnsi="仿宋" w:eastAsia="仿宋" w:cs="仿宋"/>
                <w:sz w:val="20"/>
                <w:szCs w:val="20"/>
              </w:rPr>
            </w:pPr>
            <w:r>
              <w:rPr>
                <w:rFonts w:ascii="仿宋" w:hAnsi="仿宋" w:eastAsia="仿宋" w:cs="仿宋"/>
                <w:spacing w:val="4"/>
                <w:sz w:val="20"/>
                <w:szCs w:val="20"/>
              </w:rPr>
              <w:t>准限值</w:t>
            </w:r>
          </w:p>
        </w:tc>
      </w:tr>
      <w:tr w14:paraId="268153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7" w:hRule="atLeast"/>
        </w:trPr>
        <w:tc>
          <w:tcPr>
            <w:tcW w:w="1167" w:type="dxa"/>
            <w:vMerge w:val="continue"/>
            <w:tcBorders>
              <w:top w:val="nil"/>
              <w:left w:val="single" w:color="000000" w:sz="6" w:space="0"/>
            </w:tcBorders>
            <w:vAlign w:val="top"/>
          </w:tcPr>
          <w:p w14:paraId="2D8285F9">
            <w:pPr>
              <w:rPr>
                <w:rFonts w:ascii="Arial"/>
                <w:sz w:val="21"/>
              </w:rPr>
            </w:pPr>
          </w:p>
        </w:tc>
        <w:tc>
          <w:tcPr>
            <w:tcW w:w="2560" w:type="dxa"/>
            <w:vAlign w:val="top"/>
          </w:tcPr>
          <w:p w14:paraId="01AD0AAE">
            <w:pPr>
              <w:pStyle w:val="6"/>
              <w:spacing w:before="34" w:line="245" w:lineRule="auto"/>
              <w:ind w:left="113" w:right="107" w:firstLine="4"/>
              <w:jc w:val="both"/>
              <w:rPr>
                <w:rFonts w:ascii="仿宋" w:hAnsi="仿宋" w:eastAsia="仿宋" w:cs="仿宋"/>
                <w:sz w:val="20"/>
                <w:szCs w:val="20"/>
              </w:rPr>
            </w:pPr>
            <w:r>
              <w:rPr>
                <w:rFonts w:ascii="仿宋" w:hAnsi="仿宋" w:eastAsia="仿宋" w:cs="仿宋"/>
                <w:spacing w:val="2"/>
                <w:sz w:val="20"/>
                <w:szCs w:val="20"/>
              </w:rPr>
              <w:t>（</w:t>
            </w:r>
            <w:r>
              <w:rPr>
                <w:spacing w:val="2"/>
                <w:sz w:val="20"/>
                <w:szCs w:val="20"/>
              </w:rPr>
              <w:t>2</w:t>
            </w:r>
            <w:r>
              <w:rPr>
                <w:rFonts w:ascii="仿宋" w:hAnsi="仿宋" w:eastAsia="仿宋" w:cs="仿宋"/>
                <w:spacing w:val="2"/>
                <w:sz w:val="20"/>
                <w:szCs w:val="20"/>
              </w:rPr>
              <w:t>）施工期</w:t>
            </w:r>
            <w:r>
              <w:rPr>
                <w:rFonts w:ascii="仿宋" w:hAnsi="仿宋" w:eastAsia="仿宋" w:cs="仿宋"/>
                <w:spacing w:val="-45"/>
                <w:sz w:val="20"/>
                <w:szCs w:val="20"/>
              </w:rPr>
              <w:t xml:space="preserve"> </w:t>
            </w:r>
            <w:r>
              <w:rPr>
                <w:spacing w:val="2"/>
                <w:sz w:val="20"/>
                <w:szCs w:val="20"/>
              </w:rPr>
              <w:t>4-9</w:t>
            </w:r>
            <w:r>
              <w:rPr>
                <w:spacing w:val="28"/>
                <w:sz w:val="20"/>
                <w:szCs w:val="20"/>
              </w:rPr>
              <w:t xml:space="preserve"> </w:t>
            </w:r>
            <w:r>
              <w:rPr>
                <w:rFonts w:ascii="仿宋" w:hAnsi="仿宋" w:eastAsia="仿宋" w:cs="仿宋"/>
                <w:spacing w:val="2"/>
                <w:sz w:val="20"/>
                <w:szCs w:val="20"/>
              </w:rPr>
              <w:t>月，沿线</w:t>
            </w:r>
            <w:r>
              <w:rPr>
                <w:rFonts w:ascii="仿宋" w:hAnsi="仿宋" w:eastAsia="仿宋" w:cs="仿宋"/>
                <w:spacing w:val="12"/>
                <w:sz w:val="20"/>
                <w:szCs w:val="20"/>
              </w:rPr>
              <w:t>基本农田、公益林和基本草原分布区域通过现场巡查、样方调查、遥感无人机观测等方式开展生态监</w:t>
            </w:r>
            <w:r>
              <w:rPr>
                <w:rFonts w:ascii="仿宋" w:hAnsi="仿宋" w:eastAsia="仿宋" w:cs="仿宋"/>
                <w:spacing w:val="-3"/>
                <w:sz w:val="20"/>
                <w:szCs w:val="20"/>
              </w:rPr>
              <w:t>测。</w:t>
            </w:r>
          </w:p>
        </w:tc>
        <w:tc>
          <w:tcPr>
            <w:tcW w:w="1642" w:type="dxa"/>
            <w:vAlign w:val="top"/>
          </w:tcPr>
          <w:p w14:paraId="61C2EA1B">
            <w:pPr>
              <w:spacing w:line="374" w:lineRule="auto"/>
              <w:rPr>
                <w:rFonts w:ascii="Arial"/>
                <w:sz w:val="21"/>
              </w:rPr>
            </w:pPr>
          </w:p>
          <w:p w14:paraId="0B5C2856">
            <w:pPr>
              <w:spacing w:before="65" w:line="231" w:lineRule="auto"/>
              <w:ind w:left="236"/>
              <w:rPr>
                <w:rFonts w:ascii="仿宋" w:hAnsi="仿宋" w:eastAsia="仿宋" w:cs="仿宋"/>
                <w:sz w:val="20"/>
                <w:szCs w:val="20"/>
              </w:rPr>
            </w:pPr>
            <w:r>
              <w:rPr>
                <w:rFonts w:ascii="仿宋" w:hAnsi="仿宋" w:eastAsia="仿宋" w:cs="仿宋"/>
                <w:spacing w:val="1"/>
                <w:sz w:val="20"/>
                <w:szCs w:val="20"/>
              </w:rPr>
              <w:t>占地范围外植</w:t>
            </w:r>
          </w:p>
          <w:p w14:paraId="06022663">
            <w:pPr>
              <w:spacing w:before="23" w:line="231" w:lineRule="auto"/>
              <w:ind w:left="200"/>
              <w:rPr>
                <w:rFonts w:ascii="仿宋" w:hAnsi="仿宋" w:eastAsia="仿宋" w:cs="仿宋"/>
                <w:sz w:val="20"/>
                <w:szCs w:val="20"/>
              </w:rPr>
            </w:pPr>
            <w:r>
              <w:rPr>
                <w:rFonts w:ascii="仿宋" w:hAnsi="仿宋" w:eastAsia="仿宋" w:cs="仿宋"/>
                <w:spacing w:val="7"/>
                <w:sz w:val="20"/>
                <w:szCs w:val="20"/>
              </w:rPr>
              <w:t>被未造成明显</w:t>
            </w:r>
          </w:p>
          <w:p w14:paraId="73282F7E">
            <w:pPr>
              <w:spacing w:before="20" w:line="231" w:lineRule="auto"/>
              <w:ind w:left="424"/>
              <w:rPr>
                <w:rFonts w:ascii="仿宋" w:hAnsi="仿宋" w:eastAsia="仿宋" w:cs="仿宋"/>
                <w:sz w:val="20"/>
                <w:szCs w:val="20"/>
              </w:rPr>
            </w:pPr>
            <w:r>
              <w:rPr>
                <w:rFonts w:ascii="仿宋" w:hAnsi="仿宋" w:eastAsia="仿宋" w:cs="仿宋"/>
                <w:sz w:val="20"/>
                <w:szCs w:val="20"/>
              </w:rPr>
              <w:t>的破坏。</w:t>
            </w:r>
          </w:p>
        </w:tc>
        <w:tc>
          <w:tcPr>
            <w:tcW w:w="2185" w:type="dxa"/>
            <w:vMerge w:val="continue"/>
            <w:tcBorders>
              <w:top w:val="nil"/>
            </w:tcBorders>
            <w:vAlign w:val="top"/>
          </w:tcPr>
          <w:p w14:paraId="1F445A13">
            <w:pPr>
              <w:rPr>
                <w:rFonts w:ascii="Arial"/>
                <w:sz w:val="21"/>
              </w:rPr>
            </w:pPr>
          </w:p>
        </w:tc>
        <w:tc>
          <w:tcPr>
            <w:tcW w:w="1234" w:type="dxa"/>
            <w:vMerge w:val="continue"/>
            <w:tcBorders>
              <w:top w:val="nil"/>
              <w:right w:val="single" w:color="000000" w:sz="6" w:space="0"/>
            </w:tcBorders>
            <w:vAlign w:val="top"/>
          </w:tcPr>
          <w:p w14:paraId="04955070">
            <w:pPr>
              <w:rPr>
                <w:rFonts w:ascii="Arial"/>
                <w:sz w:val="21"/>
              </w:rPr>
            </w:pPr>
          </w:p>
        </w:tc>
      </w:tr>
      <w:tr w14:paraId="30980B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4" w:hRule="atLeast"/>
        </w:trPr>
        <w:tc>
          <w:tcPr>
            <w:tcW w:w="1167" w:type="dxa"/>
            <w:tcBorders>
              <w:left w:val="single" w:color="000000" w:sz="6" w:space="0"/>
              <w:bottom w:val="single" w:color="000000" w:sz="6" w:space="0"/>
            </w:tcBorders>
            <w:vAlign w:val="top"/>
          </w:tcPr>
          <w:p w14:paraId="1F6BB948">
            <w:pPr>
              <w:spacing w:line="245" w:lineRule="auto"/>
              <w:rPr>
                <w:rFonts w:ascii="Arial"/>
                <w:sz w:val="21"/>
              </w:rPr>
            </w:pPr>
          </w:p>
          <w:p w14:paraId="67C78839">
            <w:pPr>
              <w:spacing w:line="245" w:lineRule="auto"/>
              <w:rPr>
                <w:rFonts w:ascii="Arial"/>
                <w:sz w:val="21"/>
              </w:rPr>
            </w:pPr>
          </w:p>
          <w:p w14:paraId="7734D2E1">
            <w:pPr>
              <w:spacing w:line="245" w:lineRule="auto"/>
              <w:rPr>
                <w:rFonts w:ascii="Arial"/>
                <w:sz w:val="21"/>
              </w:rPr>
            </w:pPr>
          </w:p>
          <w:p w14:paraId="18B97056">
            <w:pPr>
              <w:spacing w:line="245" w:lineRule="auto"/>
              <w:rPr>
                <w:rFonts w:ascii="Arial"/>
                <w:sz w:val="21"/>
              </w:rPr>
            </w:pPr>
          </w:p>
          <w:p w14:paraId="5888B621">
            <w:pPr>
              <w:spacing w:line="245" w:lineRule="auto"/>
              <w:rPr>
                <w:rFonts w:ascii="Arial"/>
                <w:sz w:val="21"/>
              </w:rPr>
            </w:pPr>
          </w:p>
          <w:p w14:paraId="1AED8F30">
            <w:pPr>
              <w:spacing w:line="245" w:lineRule="auto"/>
              <w:rPr>
                <w:rFonts w:ascii="Arial"/>
                <w:sz w:val="21"/>
              </w:rPr>
            </w:pPr>
          </w:p>
          <w:p w14:paraId="699F03F6">
            <w:pPr>
              <w:spacing w:line="245" w:lineRule="auto"/>
              <w:rPr>
                <w:rFonts w:ascii="Arial"/>
                <w:sz w:val="21"/>
              </w:rPr>
            </w:pPr>
          </w:p>
          <w:p w14:paraId="5C9155D0">
            <w:pPr>
              <w:spacing w:line="245" w:lineRule="auto"/>
              <w:rPr>
                <w:rFonts w:ascii="Arial"/>
                <w:sz w:val="21"/>
              </w:rPr>
            </w:pPr>
          </w:p>
          <w:p w14:paraId="23289A1E">
            <w:pPr>
              <w:spacing w:line="245" w:lineRule="auto"/>
              <w:rPr>
                <w:rFonts w:ascii="Arial"/>
                <w:sz w:val="21"/>
              </w:rPr>
            </w:pPr>
          </w:p>
          <w:p w14:paraId="00F785AA">
            <w:pPr>
              <w:spacing w:line="246" w:lineRule="auto"/>
              <w:rPr>
                <w:rFonts w:ascii="Arial"/>
                <w:sz w:val="21"/>
              </w:rPr>
            </w:pPr>
          </w:p>
          <w:p w14:paraId="39D76BD1">
            <w:pPr>
              <w:spacing w:line="246" w:lineRule="auto"/>
              <w:rPr>
                <w:rFonts w:ascii="Arial"/>
                <w:sz w:val="21"/>
              </w:rPr>
            </w:pPr>
          </w:p>
          <w:p w14:paraId="3930E541">
            <w:pPr>
              <w:spacing w:line="246" w:lineRule="auto"/>
              <w:rPr>
                <w:rFonts w:ascii="Arial"/>
                <w:sz w:val="21"/>
              </w:rPr>
            </w:pPr>
          </w:p>
          <w:p w14:paraId="42B8F421">
            <w:pPr>
              <w:spacing w:before="65" w:line="230" w:lineRule="auto"/>
              <w:ind w:left="379"/>
              <w:outlineLvl w:val="0"/>
              <w:rPr>
                <w:rFonts w:ascii="仿宋" w:hAnsi="仿宋" w:eastAsia="仿宋" w:cs="仿宋"/>
                <w:sz w:val="20"/>
                <w:szCs w:val="20"/>
              </w:rPr>
            </w:pPr>
            <w:r>
              <w:rPr>
                <w:rFonts w:ascii="仿宋" w:hAnsi="仿宋" w:eastAsia="仿宋" w:cs="仿宋"/>
                <w:spacing w:val="1"/>
                <w:sz w:val="20"/>
                <w:szCs w:val="20"/>
              </w:rPr>
              <w:t>其他</w:t>
            </w:r>
          </w:p>
        </w:tc>
        <w:tc>
          <w:tcPr>
            <w:tcW w:w="2560" w:type="dxa"/>
            <w:tcBorders>
              <w:bottom w:val="single" w:color="000000" w:sz="6" w:space="0"/>
            </w:tcBorders>
            <w:vAlign w:val="top"/>
          </w:tcPr>
          <w:p w14:paraId="5D52342F">
            <w:pPr>
              <w:spacing w:line="256" w:lineRule="auto"/>
              <w:rPr>
                <w:rFonts w:ascii="Arial"/>
                <w:sz w:val="21"/>
              </w:rPr>
            </w:pPr>
          </w:p>
          <w:p w14:paraId="6070DC6B">
            <w:pPr>
              <w:spacing w:line="256" w:lineRule="auto"/>
              <w:rPr>
                <w:rFonts w:ascii="Arial"/>
                <w:sz w:val="21"/>
              </w:rPr>
            </w:pPr>
          </w:p>
          <w:p w14:paraId="498558B6">
            <w:pPr>
              <w:spacing w:line="256" w:lineRule="auto"/>
              <w:rPr>
                <w:rFonts w:ascii="Arial"/>
                <w:sz w:val="21"/>
              </w:rPr>
            </w:pPr>
          </w:p>
          <w:p w14:paraId="426B1146">
            <w:pPr>
              <w:spacing w:line="256" w:lineRule="auto"/>
              <w:rPr>
                <w:rFonts w:ascii="Arial"/>
                <w:sz w:val="21"/>
              </w:rPr>
            </w:pPr>
          </w:p>
          <w:p w14:paraId="5FA8212D">
            <w:pPr>
              <w:spacing w:line="256" w:lineRule="auto"/>
              <w:rPr>
                <w:rFonts w:ascii="Arial"/>
                <w:sz w:val="21"/>
              </w:rPr>
            </w:pPr>
          </w:p>
          <w:p w14:paraId="1C6A4AAA">
            <w:pPr>
              <w:spacing w:line="256" w:lineRule="auto"/>
              <w:rPr>
                <w:rFonts w:ascii="Arial"/>
                <w:sz w:val="21"/>
              </w:rPr>
            </w:pPr>
          </w:p>
          <w:p w14:paraId="72AE7B80">
            <w:pPr>
              <w:spacing w:line="256" w:lineRule="auto"/>
              <w:rPr>
                <w:rFonts w:ascii="Arial"/>
                <w:sz w:val="21"/>
              </w:rPr>
            </w:pPr>
          </w:p>
          <w:p w14:paraId="4A1EE4A5">
            <w:pPr>
              <w:spacing w:line="256" w:lineRule="auto"/>
              <w:rPr>
                <w:rFonts w:ascii="Arial"/>
                <w:sz w:val="21"/>
              </w:rPr>
            </w:pPr>
          </w:p>
          <w:p w14:paraId="7F64DB19">
            <w:pPr>
              <w:spacing w:line="256" w:lineRule="auto"/>
              <w:rPr>
                <w:rFonts w:ascii="Arial"/>
                <w:sz w:val="21"/>
              </w:rPr>
            </w:pPr>
          </w:p>
          <w:p w14:paraId="5FEC4ACE">
            <w:pPr>
              <w:spacing w:line="256" w:lineRule="auto"/>
              <w:rPr>
                <w:rFonts w:ascii="Arial"/>
                <w:sz w:val="21"/>
              </w:rPr>
            </w:pPr>
          </w:p>
          <w:p w14:paraId="06D9DF9B">
            <w:pPr>
              <w:spacing w:line="257" w:lineRule="auto"/>
              <w:rPr>
                <w:rFonts w:ascii="Arial"/>
                <w:sz w:val="21"/>
              </w:rPr>
            </w:pPr>
          </w:p>
          <w:p w14:paraId="799B91DD">
            <w:pPr>
              <w:spacing w:line="257" w:lineRule="auto"/>
              <w:rPr>
                <w:rFonts w:ascii="Arial"/>
                <w:sz w:val="21"/>
              </w:rPr>
            </w:pPr>
          </w:p>
          <w:p w14:paraId="2C86DF17">
            <w:pPr>
              <w:pStyle w:val="6"/>
              <w:spacing w:before="58" w:line="96" w:lineRule="exact"/>
              <w:ind w:left="1212"/>
              <w:rPr>
                <w:sz w:val="20"/>
                <w:szCs w:val="20"/>
              </w:rPr>
            </w:pPr>
            <w:r>
              <w:rPr>
                <w:spacing w:val="-2"/>
                <w:position w:val="-2"/>
                <w:sz w:val="20"/>
                <w:szCs w:val="20"/>
              </w:rPr>
              <w:t>--</w:t>
            </w:r>
          </w:p>
        </w:tc>
        <w:tc>
          <w:tcPr>
            <w:tcW w:w="1642" w:type="dxa"/>
            <w:tcBorders>
              <w:bottom w:val="single" w:color="000000" w:sz="6" w:space="0"/>
            </w:tcBorders>
            <w:vAlign w:val="top"/>
          </w:tcPr>
          <w:p w14:paraId="2EE0B328">
            <w:pPr>
              <w:spacing w:line="256" w:lineRule="auto"/>
              <w:rPr>
                <w:rFonts w:ascii="Arial"/>
                <w:sz w:val="21"/>
              </w:rPr>
            </w:pPr>
          </w:p>
          <w:p w14:paraId="624B1D2B">
            <w:pPr>
              <w:spacing w:line="256" w:lineRule="auto"/>
              <w:rPr>
                <w:rFonts w:ascii="Arial"/>
                <w:sz w:val="21"/>
              </w:rPr>
            </w:pPr>
          </w:p>
          <w:p w14:paraId="32E43D3F">
            <w:pPr>
              <w:spacing w:line="256" w:lineRule="auto"/>
              <w:rPr>
                <w:rFonts w:ascii="Arial"/>
                <w:sz w:val="21"/>
              </w:rPr>
            </w:pPr>
          </w:p>
          <w:p w14:paraId="3554B41E">
            <w:pPr>
              <w:spacing w:line="256" w:lineRule="auto"/>
              <w:rPr>
                <w:rFonts w:ascii="Arial"/>
                <w:sz w:val="21"/>
              </w:rPr>
            </w:pPr>
          </w:p>
          <w:p w14:paraId="524ABB64">
            <w:pPr>
              <w:spacing w:line="256" w:lineRule="auto"/>
              <w:rPr>
                <w:rFonts w:ascii="Arial"/>
                <w:sz w:val="21"/>
              </w:rPr>
            </w:pPr>
          </w:p>
          <w:p w14:paraId="33B246DC">
            <w:pPr>
              <w:spacing w:line="256" w:lineRule="auto"/>
              <w:rPr>
                <w:rFonts w:ascii="Arial"/>
                <w:sz w:val="21"/>
              </w:rPr>
            </w:pPr>
          </w:p>
          <w:p w14:paraId="1E9B98C1">
            <w:pPr>
              <w:spacing w:line="256" w:lineRule="auto"/>
              <w:rPr>
                <w:rFonts w:ascii="Arial"/>
                <w:sz w:val="21"/>
              </w:rPr>
            </w:pPr>
          </w:p>
          <w:p w14:paraId="32EB9867">
            <w:pPr>
              <w:spacing w:line="256" w:lineRule="auto"/>
              <w:rPr>
                <w:rFonts w:ascii="Arial"/>
                <w:sz w:val="21"/>
              </w:rPr>
            </w:pPr>
          </w:p>
          <w:p w14:paraId="71F528FF">
            <w:pPr>
              <w:spacing w:line="256" w:lineRule="auto"/>
              <w:rPr>
                <w:rFonts w:ascii="Arial"/>
                <w:sz w:val="21"/>
              </w:rPr>
            </w:pPr>
          </w:p>
          <w:p w14:paraId="7C61AB99">
            <w:pPr>
              <w:spacing w:line="256" w:lineRule="auto"/>
              <w:rPr>
                <w:rFonts w:ascii="Arial"/>
                <w:sz w:val="21"/>
              </w:rPr>
            </w:pPr>
          </w:p>
          <w:p w14:paraId="619C0EAE">
            <w:pPr>
              <w:spacing w:line="257" w:lineRule="auto"/>
              <w:rPr>
                <w:rFonts w:ascii="Arial"/>
                <w:sz w:val="21"/>
              </w:rPr>
            </w:pPr>
          </w:p>
          <w:p w14:paraId="4D8B231C">
            <w:pPr>
              <w:spacing w:line="257" w:lineRule="auto"/>
              <w:rPr>
                <w:rFonts w:ascii="Arial"/>
                <w:sz w:val="21"/>
              </w:rPr>
            </w:pPr>
          </w:p>
          <w:p w14:paraId="068BD5E4">
            <w:pPr>
              <w:pStyle w:val="6"/>
              <w:spacing w:before="58" w:line="96" w:lineRule="exact"/>
              <w:ind w:left="757"/>
              <w:rPr>
                <w:sz w:val="20"/>
                <w:szCs w:val="20"/>
              </w:rPr>
            </w:pPr>
            <w:r>
              <w:rPr>
                <w:spacing w:val="-3"/>
                <w:position w:val="-2"/>
                <w:sz w:val="20"/>
                <w:szCs w:val="20"/>
              </w:rPr>
              <w:t>--</w:t>
            </w:r>
          </w:p>
        </w:tc>
        <w:tc>
          <w:tcPr>
            <w:tcW w:w="2185" w:type="dxa"/>
            <w:tcBorders>
              <w:bottom w:val="single" w:color="000000" w:sz="6" w:space="0"/>
            </w:tcBorders>
            <w:vAlign w:val="top"/>
          </w:tcPr>
          <w:p w14:paraId="2C443A4F">
            <w:pPr>
              <w:spacing w:line="256" w:lineRule="auto"/>
              <w:rPr>
                <w:rFonts w:ascii="Arial"/>
                <w:sz w:val="21"/>
              </w:rPr>
            </w:pPr>
          </w:p>
          <w:p w14:paraId="1400DFB8">
            <w:pPr>
              <w:spacing w:line="256" w:lineRule="auto"/>
              <w:rPr>
                <w:rFonts w:ascii="Arial"/>
                <w:sz w:val="21"/>
              </w:rPr>
            </w:pPr>
          </w:p>
          <w:p w14:paraId="374F998A">
            <w:pPr>
              <w:spacing w:line="256" w:lineRule="auto"/>
              <w:rPr>
                <w:rFonts w:ascii="Arial"/>
                <w:sz w:val="21"/>
              </w:rPr>
            </w:pPr>
          </w:p>
          <w:p w14:paraId="6266F645">
            <w:pPr>
              <w:spacing w:line="256" w:lineRule="auto"/>
              <w:rPr>
                <w:rFonts w:ascii="Arial"/>
                <w:sz w:val="21"/>
              </w:rPr>
            </w:pPr>
          </w:p>
          <w:p w14:paraId="471F867E">
            <w:pPr>
              <w:spacing w:line="256" w:lineRule="auto"/>
              <w:rPr>
                <w:rFonts w:ascii="Arial"/>
                <w:sz w:val="21"/>
              </w:rPr>
            </w:pPr>
          </w:p>
          <w:p w14:paraId="5E92C41D">
            <w:pPr>
              <w:spacing w:line="256" w:lineRule="auto"/>
              <w:rPr>
                <w:rFonts w:ascii="Arial"/>
                <w:sz w:val="21"/>
              </w:rPr>
            </w:pPr>
          </w:p>
          <w:p w14:paraId="60E1069A">
            <w:pPr>
              <w:spacing w:line="256" w:lineRule="auto"/>
              <w:rPr>
                <w:rFonts w:ascii="Arial"/>
                <w:sz w:val="21"/>
              </w:rPr>
            </w:pPr>
          </w:p>
          <w:p w14:paraId="23E47AA0">
            <w:pPr>
              <w:spacing w:line="256" w:lineRule="auto"/>
              <w:rPr>
                <w:rFonts w:ascii="Arial"/>
                <w:sz w:val="21"/>
              </w:rPr>
            </w:pPr>
          </w:p>
          <w:p w14:paraId="535A1D12">
            <w:pPr>
              <w:spacing w:line="256" w:lineRule="auto"/>
              <w:rPr>
                <w:rFonts w:ascii="Arial"/>
                <w:sz w:val="21"/>
              </w:rPr>
            </w:pPr>
          </w:p>
          <w:p w14:paraId="0522CC0C">
            <w:pPr>
              <w:spacing w:line="256" w:lineRule="auto"/>
              <w:rPr>
                <w:rFonts w:ascii="Arial"/>
                <w:sz w:val="21"/>
              </w:rPr>
            </w:pPr>
          </w:p>
          <w:p w14:paraId="3D1F3E5A">
            <w:pPr>
              <w:spacing w:line="257" w:lineRule="auto"/>
              <w:rPr>
                <w:rFonts w:ascii="Arial"/>
                <w:sz w:val="21"/>
              </w:rPr>
            </w:pPr>
          </w:p>
          <w:p w14:paraId="1296C078">
            <w:pPr>
              <w:spacing w:line="257" w:lineRule="auto"/>
              <w:rPr>
                <w:rFonts w:ascii="Arial"/>
                <w:sz w:val="21"/>
              </w:rPr>
            </w:pPr>
          </w:p>
          <w:p w14:paraId="4E755C7D">
            <w:pPr>
              <w:pStyle w:val="6"/>
              <w:spacing w:before="58" w:line="96" w:lineRule="exact"/>
              <w:ind w:left="1030"/>
              <w:rPr>
                <w:sz w:val="20"/>
                <w:szCs w:val="20"/>
              </w:rPr>
            </w:pPr>
            <w:r>
              <w:rPr>
                <w:spacing w:val="-2"/>
                <w:position w:val="-2"/>
                <w:sz w:val="20"/>
                <w:szCs w:val="20"/>
              </w:rPr>
              <w:t>--</w:t>
            </w:r>
          </w:p>
        </w:tc>
        <w:tc>
          <w:tcPr>
            <w:tcW w:w="1234" w:type="dxa"/>
            <w:tcBorders>
              <w:bottom w:val="single" w:color="000000" w:sz="6" w:space="0"/>
              <w:right w:val="single" w:color="000000" w:sz="6" w:space="0"/>
            </w:tcBorders>
            <w:vAlign w:val="top"/>
          </w:tcPr>
          <w:p w14:paraId="0EF083B4">
            <w:pPr>
              <w:spacing w:line="256" w:lineRule="auto"/>
              <w:rPr>
                <w:rFonts w:ascii="Arial"/>
                <w:sz w:val="21"/>
              </w:rPr>
            </w:pPr>
          </w:p>
          <w:p w14:paraId="3D6CB82E">
            <w:pPr>
              <w:spacing w:line="256" w:lineRule="auto"/>
              <w:rPr>
                <w:rFonts w:ascii="Arial"/>
                <w:sz w:val="21"/>
              </w:rPr>
            </w:pPr>
          </w:p>
          <w:p w14:paraId="7C60C843">
            <w:pPr>
              <w:spacing w:line="256" w:lineRule="auto"/>
              <w:rPr>
                <w:rFonts w:ascii="Arial"/>
                <w:sz w:val="21"/>
              </w:rPr>
            </w:pPr>
          </w:p>
          <w:p w14:paraId="2C97F126">
            <w:pPr>
              <w:spacing w:line="256" w:lineRule="auto"/>
              <w:rPr>
                <w:rFonts w:ascii="Arial"/>
                <w:sz w:val="21"/>
              </w:rPr>
            </w:pPr>
          </w:p>
          <w:p w14:paraId="0E5A5EBB">
            <w:pPr>
              <w:spacing w:line="256" w:lineRule="auto"/>
              <w:rPr>
                <w:rFonts w:ascii="Arial"/>
                <w:sz w:val="21"/>
              </w:rPr>
            </w:pPr>
          </w:p>
          <w:p w14:paraId="7F10BB67">
            <w:pPr>
              <w:spacing w:line="256" w:lineRule="auto"/>
              <w:rPr>
                <w:rFonts w:ascii="Arial"/>
                <w:sz w:val="21"/>
              </w:rPr>
            </w:pPr>
          </w:p>
          <w:p w14:paraId="79EB02C7">
            <w:pPr>
              <w:spacing w:line="256" w:lineRule="auto"/>
              <w:rPr>
                <w:rFonts w:ascii="Arial"/>
                <w:sz w:val="21"/>
              </w:rPr>
            </w:pPr>
          </w:p>
          <w:p w14:paraId="5066F07A">
            <w:pPr>
              <w:spacing w:line="256" w:lineRule="auto"/>
              <w:rPr>
                <w:rFonts w:ascii="Arial"/>
                <w:sz w:val="21"/>
              </w:rPr>
            </w:pPr>
          </w:p>
          <w:p w14:paraId="5A6860C6">
            <w:pPr>
              <w:spacing w:line="256" w:lineRule="auto"/>
              <w:rPr>
                <w:rFonts w:ascii="Arial"/>
                <w:sz w:val="21"/>
              </w:rPr>
            </w:pPr>
          </w:p>
          <w:p w14:paraId="66FA0466">
            <w:pPr>
              <w:spacing w:line="256" w:lineRule="auto"/>
              <w:rPr>
                <w:rFonts w:ascii="Arial"/>
                <w:sz w:val="21"/>
              </w:rPr>
            </w:pPr>
          </w:p>
          <w:p w14:paraId="10947D1B">
            <w:pPr>
              <w:spacing w:line="257" w:lineRule="auto"/>
              <w:rPr>
                <w:rFonts w:ascii="Arial"/>
                <w:sz w:val="21"/>
              </w:rPr>
            </w:pPr>
          </w:p>
          <w:p w14:paraId="37660230">
            <w:pPr>
              <w:spacing w:line="257" w:lineRule="auto"/>
              <w:rPr>
                <w:rFonts w:ascii="Arial"/>
                <w:sz w:val="21"/>
              </w:rPr>
            </w:pPr>
          </w:p>
          <w:p w14:paraId="4822EA02">
            <w:pPr>
              <w:pStyle w:val="6"/>
              <w:spacing w:before="58" w:line="96" w:lineRule="exact"/>
              <w:ind w:left="554"/>
              <w:rPr>
                <w:sz w:val="20"/>
                <w:szCs w:val="20"/>
              </w:rPr>
            </w:pPr>
            <w:r>
              <w:rPr>
                <w:spacing w:val="-2"/>
                <w:position w:val="-2"/>
                <w:sz w:val="20"/>
                <w:szCs w:val="20"/>
              </w:rPr>
              <w:t>--</w:t>
            </w:r>
          </w:p>
        </w:tc>
      </w:tr>
    </w:tbl>
    <w:p w14:paraId="080A3077">
      <w:pPr>
        <w:pStyle w:val="2"/>
        <w:rPr>
          <w:sz w:val="21"/>
        </w:rPr>
      </w:pPr>
    </w:p>
    <w:p w14:paraId="557EE555">
      <w:pPr>
        <w:rPr>
          <w:sz w:val="21"/>
          <w:szCs w:val="21"/>
        </w:rPr>
        <w:sectPr>
          <w:footerReference r:id="rId76" w:type="default"/>
          <w:pgSz w:w="12240" w:h="15840"/>
          <w:pgMar w:top="400" w:right="1718" w:bottom="1089" w:left="1718" w:header="0" w:footer="927" w:gutter="0"/>
          <w:cols w:space="720" w:num="1"/>
        </w:sectPr>
      </w:pPr>
    </w:p>
    <w:p w14:paraId="3B77CC39">
      <w:pPr>
        <w:pStyle w:val="2"/>
        <w:spacing w:line="245" w:lineRule="auto"/>
        <w:rPr>
          <w:sz w:val="21"/>
        </w:rPr>
      </w:pPr>
    </w:p>
    <w:p w14:paraId="1F02EB50">
      <w:pPr>
        <w:pStyle w:val="2"/>
        <w:spacing w:line="245" w:lineRule="auto"/>
        <w:rPr>
          <w:sz w:val="21"/>
        </w:rPr>
      </w:pPr>
    </w:p>
    <w:p w14:paraId="6197A955">
      <w:pPr>
        <w:pStyle w:val="2"/>
        <w:spacing w:line="245" w:lineRule="auto"/>
        <w:rPr>
          <w:sz w:val="21"/>
        </w:rPr>
      </w:pPr>
    </w:p>
    <w:p w14:paraId="0635219E">
      <w:pPr>
        <w:pStyle w:val="2"/>
        <w:spacing w:line="246" w:lineRule="auto"/>
        <w:rPr>
          <w:sz w:val="21"/>
        </w:rPr>
      </w:pPr>
    </w:p>
    <w:p w14:paraId="48AF7C80">
      <w:pPr>
        <w:spacing w:before="98" w:line="226" w:lineRule="auto"/>
        <w:ind w:left="4135"/>
        <w:rPr>
          <w:rFonts w:ascii="黑体" w:hAnsi="黑体" w:eastAsia="黑体" w:cs="黑体"/>
          <w:sz w:val="30"/>
          <w:szCs w:val="30"/>
        </w:rPr>
      </w:pPr>
      <w:r>
        <w:rPr>
          <w:rFonts w:ascii="黑体" w:hAnsi="黑体" w:eastAsia="黑体" w:cs="黑体"/>
          <w:spacing w:val="-3"/>
          <w:sz w:val="30"/>
          <w:szCs w:val="30"/>
        </w:rPr>
        <w:t>七、结论</w:t>
      </w:r>
    </w:p>
    <w:p w14:paraId="14B870FD">
      <w:pPr>
        <w:spacing w:line="171" w:lineRule="exact"/>
      </w:pPr>
    </w:p>
    <w:tbl>
      <w:tblPr>
        <w:tblStyle w:val="5"/>
        <w:tblW w:w="8806" w:type="dxa"/>
        <w:tblInd w:w="7"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8806"/>
      </w:tblGrid>
      <w:tr w14:paraId="5E146AC6">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11970" w:hRule="atLeast"/>
        </w:trPr>
        <w:tc>
          <w:tcPr>
            <w:tcW w:w="8806" w:type="dxa"/>
            <w:vAlign w:val="top"/>
          </w:tcPr>
          <w:p w14:paraId="33BD01F6">
            <w:pPr>
              <w:spacing w:before="35" w:line="377" w:lineRule="auto"/>
              <w:ind w:left="16" w:right="5" w:firstLine="421"/>
              <w:jc w:val="both"/>
              <w:rPr>
                <w:rFonts w:ascii="仿宋" w:hAnsi="仿宋" w:eastAsia="仿宋" w:cs="仿宋"/>
                <w:sz w:val="20"/>
                <w:szCs w:val="20"/>
              </w:rPr>
            </w:pPr>
            <w:r>
              <w:rPr>
                <w:rFonts w:ascii="仿宋" w:hAnsi="仿宋" w:eastAsia="仿宋" w:cs="仿宋"/>
                <w:spacing w:val="9"/>
                <w:sz w:val="20"/>
                <w:szCs w:val="20"/>
              </w:rPr>
              <w:t>项目符合国家产业政策，选址合理，工程建设不存在重大的</w:t>
            </w:r>
            <w:r>
              <w:rPr>
                <w:rFonts w:ascii="仿宋" w:hAnsi="仿宋" w:eastAsia="仿宋" w:cs="仿宋"/>
                <w:spacing w:val="8"/>
                <w:sz w:val="20"/>
                <w:szCs w:val="20"/>
              </w:rPr>
              <w:t>资源环境制约因素。施工期及运</w:t>
            </w:r>
            <w:r>
              <w:rPr>
                <w:rFonts w:ascii="仿宋" w:hAnsi="仿宋" w:eastAsia="仿宋" w:cs="仿宋"/>
                <w:spacing w:val="9"/>
                <w:sz w:val="20"/>
                <w:szCs w:val="20"/>
              </w:rPr>
              <w:t>营期对环境空气、水环境、声环境及生态环境都会造成一定的不利</w:t>
            </w:r>
            <w:r>
              <w:rPr>
                <w:rFonts w:ascii="仿宋" w:hAnsi="仿宋" w:eastAsia="仿宋" w:cs="仿宋"/>
                <w:spacing w:val="8"/>
                <w:sz w:val="20"/>
                <w:szCs w:val="20"/>
              </w:rPr>
              <w:t>影响，但通过严格落实本报告表中提出的各项环保措施、加强环境管理，严格执行“三同时</w:t>
            </w:r>
            <w:r>
              <w:rPr>
                <w:rFonts w:ascii="仿宋" w:hAnsi="仿宋" w:eastAsia="仿宋" w:cs="仿宋"/>
                <w:spacing w:val="-69"/>
                <w:sz w:val="20"/>
                <w:szCs w:val="20"/>
              </w:rPr>
              <w:t xml:space="preserve"> </w:t>
            </w:r>
            <w:r>
              <w:rPr>
                <w:rFonts w:ascii="仿宋" w:hAnsi="仿宋" w:eastAsia="仿宋" w:cs="仿宋"/>
                <w:spacing w:val="8"/>
                <w:sz w:val="20"/>
                <w:szCs w:val="20"/>
              </w:rPr>
              <w:t>”制度，工程建设对环境的不利影</w:t>
            </w:r>
            <w:r>
              <w:rPr>
                <w:rFonts w:ascii="仿宋" w:hAnsi="仿宋" w:eastAsia="仿宋" w:cs="仿宋"/>
                <w:spacing w:val="9"/>
                <w:sz w:val="20"/>
                <w:szCs w:val="20"/>
              </w:rPr>
              <w:t>响将可以得到减轻或消除，各项污染物均能做到达标排放，环境影响可</w:t>
            </w:r>
            <w:r>
              <w:rPr>
                <w:rFonts w:ascii="仿宋" w:hAnsi="仿宋" w:eastAsia="仿宋" w:cs="仿宋"/>
                <w:spacing w:val="8"/>
                <w:sz w:val="20"/>
                <w:szCs w:val="20"/>
              </w:rPr>
              <w:t>接受，各项环境要素能满</w:t>
            </w:r>
            <w:r>
              <w:rPr>
                <w:rFonts w:ascii="仿宋" w:hAnsi="仿宋" w:eastAsia="仿宋" w:cs="仿宋"/>
                <w:spacing w:val="9"/>
                <w:sz w:val="20"/>
                <w:szCs w:val="20"/>
              </w:rPr>
              <w:t>足环境功能区划的要求，不会降低当地环境质量。因此，从环境保护的</w:t>
            </w:r>
            <w:r>
              <w:rPr>
                <w:rFonts w:ascii="仿宋" w:hAnsi="仿宋" w:eastAsia="仿宋" w:cs="仿宋"/>
                <w:spacing w:val="8"/>
                <w:sz w:val="20"/>
                <w:szCs w:val="20"/>
              </w:rPr>
              <w:t>角度来看，项目的建设是</w:t>
            </w:r>
            <w:r>
              <w:rPr>
                <w:rFonts w:ascii="仿宋" w:hAnsi="仿宋" w:eastAsia="仿宋" w:cs="仿宋"/>
                <w:spacing w:val="3"/>
                <w:sz w:val="20"/>
                <w:szCs w:val="20"/>
              </w:rPr>
              <w:t>可行的。</w:t>
            </w:r>
          </w:p>
        </w:tc>
      </w:tr>
    </w:tbl>
    <w:p w14:paraId="229FA31E">
      <w:pPr>
        <w:pStyle w:val="2"/>
        <w:rPr>
          <w:sz w:val="21"/>
        </w:rPr>
      </w:pPr>
    </w:p>
    <w:p w14:paraId="3CD10B26">
      <w:pPr>
        <w:rPr>
          <w:sz w:val="21"/>
          <w:szCs w:val="21"/>
        </w:rPr>
        <w:sectPr>
          <w:footerReference r:id="rId77" w:type="default"/>
          <w:pgSz w:w="12240" w:h="15840"/>
          <w:pgMar w:top="400" w:right="1709" w:bottom="1089" w:left="1709" w:header="0" w:footer="927" w:gutter="0"/>
          <w:cols w:space="720" w:num="1"/>
        </w:sectPr>
      </w:pPr>
    </w:p>
    <w:p w14:paraId="5D0F7601">
      <w:pPr>
        <w:pStyle w:val="2"/>
        <w:spacing w:line="244" w:lineRule="auto"/>
        <w:rPr>
          <w:sz w:val="21"/>
        </w:rPr>
      </w:pPr>
    </w:p>
    <w:p w14:paraId="584E4973">
      <w:pPr>
        <w:pStyle w:val="2"/>
        <w:spacing w:line="244" w:lineRule="auto"/>
        <w:rPr>
          <w:sz w:val="21"/>
        </w:rPr>
      </w:pPr>
    </w:p>
    <w:p w14:paraId="4EA36717">
      <w:pPr>
        <w:pStyle w:val="2"/>
        <w:spacing w:line="244" w:lineRule="auto"/>
        <w:rPr>
          <w:sz w:val="21"/>
        </w:rPr>
      </w:pPr>
    </w:p>
    <w:p w14:paraId="323F6C56">
      <w:pPr>
        <w:pStyle w:val="2"/>
        <w:spacing w:line="244" w:lineRule="auto"/>
        <w:rPr>
          <w:sz w:val="21"/>
        </w:rPr>
      </w:pPr>
    </w:p>
    <w:p w14:paraId="63775510">
      <w:pPr>
        <w:pStyle w:val="2"/>
        <w:spacing w:line="244" w:lineRule="auto"/>
        <w:rPr>
          <w:sz w:val="21"/>
        </w:rPr>
      </w:pPr>
    </w:p>
    <w:p w14:paraId="16441371">
      <w:pPr>
        <w:pStyle w:val="2"/>
        <w:spacing w:line="244" w:lineRule="auto"/>
        <w:rPr>
          <w:sz w:val="21"/>
        </w:rPr>
      </w:pPr>
    </w:p>
    <w:p w14:paraId="23C5C163">
      <w:pPr>
        <w:pStyle w:val="2"/>
        <w:spacing w:line="244" w:lineRule="auto"/>
        <w:rPr>
          <w:sz w:val="21"/>
        </w:rPr>
      </w:pPr>
    </w:p>
    <w:p w14:paraId="726F97EA">
      <w:pPr>
        <w:pStyle w:val="2"/>
        <w:spacing w:line="244" w:lineRule="auto"/>
        <w:rPr>
          <w:sz w:val="21"/>
        </w:rPr>
      </w:pPr>
    </w:p>
    <w:p w14:paraId="195C8D03">
      <w:pPr>
        <w:pStyle w:val="2"/>
        <w:spacing w:line="244" w:lineRule="auto"/>
        <w:rPr>
          <w:sz w:val="21"/>
        </w:rPr>
      </w:pPr>
    </w:p>
    <w:p w14:paraId="379F9359">
      <w:pPr>
        <w:pStyle w:val="2"/>
        <w:spacing w:line="244" w:lineRule="auto"/>
        <w:rPr>
          <w:sz w:val="21"/>
        </w:rPr>
      </w:pPr>
    </w:p>
    <w:p w14:paraId="0F6B90E1">
      <w:pPr>
        <w:pStyle w:val="2"/>
        <w:spacing w:line="245" w:lineRule="auto"/>
        <w:rPr>
          <w:sz w:val="21"/>
        </w:rPr>
      </w:pPr>
    </w:p>
    <w:p w14:paraId="712F1A48">
      <w:pPr>
        <w:pStyle w:val="2"/>
        <w:spacing w:line="245" w:lineRule="auto"/>
        <w:rPr>
          <w:sz w:val="21"/>
        </w:rPr>
      </w:pPr>
    </w:p>
    <w:p w14:paraId="12797407">
      <w:pPr>
        <w:pStyle w:val="2"/>
        <w:spacing w:line="245" w:lineRule="auto"/>
        <w:rPr>
          <w:sz w:val="21"/>
        </w:rPr>
      </w:pPr>
    </w:p>
    <w:p w14:paraId="1834DDC2">
      <w:pPr>
        <w:pStyle w:val="2"/>
        <w:spacing w:line="245" w:lineRule="auto"/>
        <w:rPr>
          <w:sz w:val="21"/>
        </w:rPr>
      </w:pPr>
    </w:p>
    <w:p w14:paraId="13A45AE1">
      <w:pPr>
        <w:pStyle w:val="2"/>
        <w:spacing w:line="245" w:lineRule="auto"/>
        <w:rPr>
          <w:sz w:val="21"/>
        </w:rPr>
      </w:pPr>
    </w:p>
    <w:p w14:paraId="7325C671">
      <w:pPr>
        <w:pStyle w:val="2"/>
        <w:spacing w:line="245" w:lineRule="auto"/>
        <w:rPr>
          <w:sz w:val="21"/>
        </w:rPr>
      </w:pPr>
    </w:p>
    <w:p w14:paraId="3E647A21">
      <w:pPr>
        <w:spacing w:before="230" w:line="221" w:lineRule="auto"/>
        <w:ind w:left="5255"/>
        <w:outlineLvl w:val="0"/>
        <w:rPr>
          <w:rFonts w:ascii="宋体" w:hAnsi="宋体" w:eastAsia="宋体" w:cs="宋体"/>
          <w:sz w:val="71"/>
          <w:szCs w:val="71"/>
        </w:rPr>
      </w:pPr>
      <w:r>
        <w:rPr>
          <w:rFonts w:ascii="宋体" w:hAnsi="宋体" w:eastAsia="宋体" w:cs="宋体"/>
          <w:b/>
          <w:bCs/>
          <w:spacing w:val="-39"/>
          <w:sz w:val="71"/>
          <w:szCs w:val="71"/>
        </w:rPr>
        <w:t>附图</w:t>
      </w:r>
    </w:p>
    <w:p w14:paraId="5FE754A5">
      <w:pPr>
        <w:spacing w:line="221" w:lineRule="auto"/>
        <w:rPr>
          <w:rFonts w:ascii="宋体" w:hAnsi="宋体" w:eastAsia="宋体" w:cs="宋体"/>
          <w:sz w:val="71"/>
          <w:szCs w:val="71"/>
        </w:rPr>
        <w:sectPr>
          <w:footerReference r:id="rId78" w:type="default"/>
          <w:pgSz w:w="16839" w:h="11906"/>
          <w:pgMar w:top="400" w:right="2525" w:bottom="400" w:left="2525" w:header="0" w:footer="0" w:gutter="0"/>
          <w:cols w:space="720" w:num="1"/>
        </w:sectPr>
      </w:pPr>
    </w:p>
    <w:p w14:paraId="624C3F87">
      <w:pPr>
        <w:pStyle w:val="2"/>
        <w:spacing w:line="254" w:lineRule="auto"/>
        <w:rPr>
          <w:sz w:val="21"/>
        </w:rPr>
      </w:pPr>
    </w:p>
    <w:p w14:paraId="0CC94D66">
      <w:pPr>
        <w:pStyle w:val="2"/>
        <w:spacing w:line="254" w:lineRule="auto"/>
        <w:rPr>
          <w:sz w:val="21"/>
        </w:rPr>
      </w:pPr>
    </w:p>
    <w:p w14:paraId="7661F4D0">
      <w:pPr>
        <w:pStyle w:val="2"/>
        <w:spacing w:line="254" w:lineRule="auto"/>
        <w:rPr>
          <w:sz w:val="21"/>
        </w:rPr>
      </w:pPr>
    </w:p>
    <w:p w14:paraId="60AE6198">
      <w:pPr>
        <w:pStyle w:val="2"/>
        <w:spacing w:line="255" w:lineRule="auto"/>
        <w:rPr>
          <w:sz w:val="21"/>
        </w:rPr>
      </w:pPr>
    </w:p>
    <w:p w14:paraId="674F696A">
      <w:pPr>
        <w:pStyle w:val="2"/>
        <w:spacing w:line="255" w:lineRule="auto"/>
        <w:rPr>
          <w:sz w:val="21"/>
        </w:rPr>
      </w:pPr>
    </w:p>
    <w:p w14:paraId="6F067BEF">
      <w:pPr>
        <w:spacing w:line="10248" w:lineRule="exact"/>
        <w:ind w:firstLine="14"/>
      </w:pPr>
      <w:r>
        <w:rPr>
          <w:position w:val="-204"/>
        </w:rPr>
        <w:drawing>
          <wp:inline distT="0" distB="0" distL="0" distR="0">
            <wp:extent cx="5269865" cy="6507480"/>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301"/>
                    <a:stretch>
                      <a:fillRect/>
                    </a:stretch>
                  </pic:blipFill>
                  <pic:spPr>
                    <a:xfrm>
                      <a:off x="0" y="0"/>
                      <a:ext cx="5269991" cy="6507480"/>
                    </a:xfrm>
                    <a:prstGeom prst="rect">
                      <a:avLst/>
                    </a:prstGeom>
                  </pic:spPr>
                </pic:pic>
              </a:graphicData>
            </a:graphic>
          </wp:inline>
        </w:drawing>
      </w:r>
    </w:p>
    <w:p w14:paraId="6735A0AA">
      <w:pPr>
        <w:spacing w:before="284" w:line="230" w:lineRule="auto"/>
        <w:ind w:left="2952"/>
        <w:rPr>
          <w:rFonts w:ascii="仿宋" w:hAnsi="仿宋" w:eastAsia="仿宋" w:cs="仿宋"/>
          <w:sz w:val="20"/>
          <w:szCs w:val="20"/>
        </w:rPr>
      </w:pPr>
      <w:r>
        <w:rPr>
          <w:rFonts w:ascii="仿宋" w:hAnsi="仿宋" w:eastAsia="仿宋" w:cs="仿宋"/>
          <w:b/>
          <w:bCs/>
          <w:spacing w:val="4"/>
          <w:sz w:val="20"/>
          <w:szCs w:val="20"/>
        </w:rPr>
        <w:t>附图</w:t>
      </w:r>
      <w:r>
        <w:rPr>
          <w:rFonts w:ascii="仿宋" w:hAnsi="仿宋" w:eastAsia="仿宋" w:cs="仿宋"/>
          <w:spacing w:val="-33"/>
          <w:sz w:val="20"/>
          <w:szCs w:val="20"/>
        </w:rPr>
        <w:t xml:space="preserve"> </w:t>
      </w:r>
      <w:r>
        <w:rPr>
          <w:rFonts w:ascii="Times New Roman" w:hAnsi="Times New Roman" w:eastAsia="Times New Roman" w:cs="Times New Roman"/>
          <w:b/>
          <w:bCs/>
          <w:spacing w:val="4"/>
          <w:sz w:val="20"/>
          <w:szCs w:val="20"/>
        </w:rPr>
        <w:t xml:space="preserve">1    </w:t>
      </w:r>
      <w:r>
        <w:rPr>
          <w:rFonts w:ascii="仿宋" w:hAnsi="仿宋" w:eastAsia="仿宋" w:cs="仿宋"/>
          <w:b/>
          <w:bCs/>
          <w:spacing w:val="4"/>
          <w:sz w:val="20"/>
          <w:szCs w:val="20"/>
        </w:rPr>
        <w:t>本项目地理位置图</w:t>
      </w:r>
    </w:p>
    <w:p w14:paraId="12BF336A">
      <w:pPr>
        <w:spacing w:line="230" w:lineRule="auto"/>
        <w:rPr>
          <w:rFonts w:ascii="仿宋" w:hAnsi="仿宋" w:eastAsia="仿宋" w:cs="仿宋"/>
          <w:sz w:val="20"/>
          <w:szCs w:val="20"/>
        </w:rPr>
        <w:sectPr>
          <w:footerReference r:id="rId79" w:type="default"/>
          <w:pgSz w:w="11906" w:h="16839"/>
          <w:pgMar w:top="400" w:right="1785" w:bottom="1516" w:left="1785" w:header="0" w:footer="1354" w:gutter="0"/>
          <w:cols w:space="720" w:num="1"/>
        </w:sectPr>
      </w:pPr>
    </w:p>
    <w:p w14:paraId="5FB73F14">
      <w:pPr>
        <w:pStyle w:val="2"/>
        <w:spacing w:line="278" w:lineRule="auto"/>
        <w:rPr>
          <w:sz w:val="21"/>
        </w:rPr>
      </w:pPr>
    </w:p>
    <w:p w14:paraId="5B66DD0F">
      <w:pPr>
        <w:pStyle w:val="2"/>
        <w:spacing w:line="278" w:lineRule="auto"/>
        <w:rPr>
          <w:sz w:val="21"/>
        </w:rPr>
      </w:pPr>
    </w:p>
    <w:p w14:paraId="5749195D">
      <w:pPr>
        <w:pStyle w:val="2"/>
        <w:spacing w:line="278" w:lineRule="auto"/>
        <w:rPr>
          <w:sz w:val="21"/>
        </w:rPr>
      </w:pPr>
    </w:p>
    <w:p w14:paraId="321E0CFD">
      <w:pPr>
        <w:pStyle w:val="2"/>
        <w:spacing w:line="278" w:lineRule="auto"/>
        <w:rPr>
          <w:sz w:val="21"/>
        </w:rPr>
      </w:pPr>
    </w:p>
    <w:p w14:paraId="450B80F3">
      <w:pPr>
        <w:pStyle w:val="2"/>
        <w:spacing w:line="279" w:lineRule="auto"/>
        <w:rPr>
          <w:sz w:val="21"/>
        </w:rPr>
      </w:pPr>
    </w:p>
    <w:p w14:paraId="481AF220">
      <w:pPr>
        <w:spacing w:line="6984" w:lineRule="exact"/>
      </w:pPr>
      <w:r>
        <w:rPr>
          <w:position w:val="-139"/>
        </w:rPr>
        <w:drawing>
          <wp:inline distT="0" distB="0" distL="0" distR="0">
            <wp:extent cx="8851265" cy="4434840"/>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302"/>
                    <a:stretch>
                      <a:fillRect/>
                    </a:stretch>
                  </pic:blipFill>
                  <pic:spPr>
                    <a:xfrm>
                      <a:off x="0" y="0"/>
                      <a:ext cx="8851392" cy="4434840"/>
                    </a:xfrm>
                    <a:prstGeom prst="rect">
                      <a:avLst/>
                    </a:prstGeom>
                  </pic:spPr>
                </pic:pic>
              </a:graphicData>
            </a:graphic>
          </wp:inline>
        </w:drawing>
      </w:r>
    </w:p>
    <w:p w14:paraId="14C4154F">
      <w:pPr>
        <w:spacing w:before="37" w:line="228" w:lineRule="auto"/>
        <w:ind w:left="3413"/>
        <w:rPr>
          <w:rFonts w:ascii="仿宋" w:hAnsi="仿宋" w:eastAsia="仿宋" w:cs="仿宋"/>
          <w:sz w:val="20"/>
          <w:szCs w:val="20"/>
        </w:rPr>
      </w:pPr>
      <w:r>
        <w:rPr>
          <w:rFonts w:ascii="仿宋" w:hAnsi="仿宋" w:eastAsia="仿宋" w:cs="仿宋"/>
          <w:b/>
          <w:bCs/>
          <w:spacing w:val="9"/>
          <w:sz w:val="20"/>
          <w:szCs w:val="20"/>
        </w:rPr>
        <w:t>附图</w:t>
      </w:r>
      <w:r>
        <w:rPr>
          <w:rFonts w:ascii="Times New Roman" w:hAnsi="Times New Roman" w:eastAsia="Times New Roman" w:cs="Times New Roman"/>
          <w:b/>
          <w:bCs/>
          <w:spacing w:val="9"/>
          <w:sz w:val="20"/>
          <w:szCs w:val="20"/>
        </w:rPr>
        <w:t>2</w:t>
      </w:r>
      <w:r>
        <w:rPr>
          <w:rFonts w:ascii="Times New Roman" w:hAnsi="Times New Roman" w:eastAsia="Times New Roman" w:cs="Times New Roman"/>
          <w:b/>
          <w:bCs/>
          <w:spacing w:val="16"/>
          <w:w w:val="101"/>
          <w:sz w:val="20"/>
          <w:szCs w:val="20"/>
        </w:rPr>
        <w:t xml:space="preserve"> </w:t>
      </w:r>
      <w:r>
        <w:rPr>
          <w:rFonts w:ascii="仿宋" w:hAnsi="仿宋" w:eastAsia="仿宋" w:cs="仿宋"/>
          <w:b/>
          <w:bCs/>
          <w:spacing w:val="9"/>
          <w:sz w:val="20"/>
          <w:szCs w:val="20"/>
        </w:rPr>
        <w:t>本项目所在生态环境分区管控单元类型图</w:t>
      </w:r>
      <w:r>
        <w:rPr>
          <w:rFonts w:ascii="仿宋" w:hAnsi="仿宋" w:eastAsia="仿宋" w:cs="仿宋"/>
          <w:b/>
          <w:bCs/>
          <w:spacing w:val="8"/>
          <w:sz w:val="20"/>
          <w:szCs w:val="20"/>
        </w:rPr>
        <w:t>（家圪堵至土敖包通村公路）</w:t>
      </w:r>
    </w:p>
    <w:p w14:paraId="4A7DB7E9">
      <w:pPr>
        <w:spacing w:line="228" w:lineRule="auto"/>
        <w:rPr>
          <w:rFonts w:ascii="仿宋" w:hAnsi="仿宋" w:eastAsia="仿宋" w:cs="仿宋"/>
          <w:sz w:val="20"/>
          <w:szCs w:val="20"/>
        </w:rPr>
        <w:sectPr>
          <w:footerReference r:id="rId80" w:type="default"/>
          <w:pgSz w:w="16839" w:h="11906"/>
          <w:pgMar w:top="400" w:right="1454" w:bottom="1516" w:left="1444" w:header="0" w:footer="1354" w:gutter="0"/>
          <w:cols w:space="720" w:num="1"/>
        </w:sectPr>
      </w:pPr>
    </w:p>
    <w:p w14:paraId="6B188266">
      <w:pPr>
        <w:pStyle w:val="2"/>
        <w:spacing w:line="278" w:lineRule="auto"/>
        <w:rPr>
          <w:sz w:val="21"/>
        </w:rPr>
      </w:pPr>
    </w:p>
    <w:p w14:paraId="2574940D">
      <w:pPr>
        <w:pStyle w:val="2"/>
        <w:spacing w:line="278" w:lineRule="auto"/>
        <w:rPr>
          <w:sz w:val="21"/>
        </w:rPr>
      </w:pPr>
    </w:p>
    <w:p w14:paraId="492850FA">
      <w:pPr>
        <w:pStyle w:val="2"/>
        <w:spacing w:line="278" w:lineRule="auto"/>
        <w:rPr>
          <w:sz w:val="21"/>
        </w:rPr>
      </w:pPr>
    </w:p>
    <w:p w14:paraId="2815848D">
      <w:pPr>
        <w:pStyle w:val="2"/>
        <w:spacing w:line="278" w:lineRule="auto"/>
        <w:rPr>
          <w:sz w:val="21"/>
        </w:rPr>
      </w:pPr>
    </w:p>
    <w:p w14:paraId="50B2199F">
      <w:pPr>
        <w:pStyle w:val="2"/>
        <w:spacing w:line="279" w:lineRule="auto"/>
        <w:rPr>
          <w:sz w:val="21"/>
        </w:rPr>
      </w:pPr>
    </w:p>
    <w:p w14:paraId="60E04A69">
      <w:pPr>
        <w:spacing w:line="6938" w:lineRule="exact"/>
      </w:pPr>
      <w:r>
        <w:rPr>
          <w:position w:val="-138"/>
        </w:rPr>
        <w:drawing>
          <wp:inline distT="0" distB="0" distL="0" distR="0">
            <wp:extent cx="8849360" cy="4405630"/>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303"/>
                    <a:stretch>
                      <a:fillRect/>
                    </a:stretch>
                  </pic:blipFill>
                  <pic:spPr>
                    <a:xfrm>
                      <a:off x="0" y="0"/>
                      <a:ext cx="8849867" cy="4405883"/>
                    </a:xfrm>
                    <a:prstGeom prst="rect">
                      <a:avLst/>
                    </a:prstGeom>
                  </pic:spPr>
                </pic:pic>
              </a:graphicData>
            </a:graphic>
          </wp:inline>
        </w:drawing>
      </w:r>
    </w:p>
    <w:p w14:paraId="1CB91F40">
      <w:pPr>
        <w:spacing w:before="294" w:line="228" w:lineRule="auto"/>
        <w:ind w:left="3728"/>
        <w:rPr>
          <w:rFonts w:ascii="仿宋" w:hAnsi="仿宋" w:eastAsia="仿宋" w:cs="仿宋"/>
          <w:sz w:val="20"/>
          <w:szCs w:val="20"/>
        </w:rPr>
      </w:pPr>
      <w:r>
        <w:rPr>
          <w:rFonts w:ascii="仿宋" w:hAnsi="仿宋" w:eastAsia="仿宋" w:cs="仿宋"/>
          <w:b/>
          <w:bCs/>
          <w:spacing w:val="9"/>
          <w:sz w:val="20"/>
          <w:szCs w:val="20"/>
        </w:rPr>
        <w:t>附图</w:t>
      </w:r>
      <w:r>
        <w:rPr>
          <w:rFonts w:ascii="Times New Roman" w:hAnsi="Times New Roman" w:eastAsia="Times New Roman" w:cs="Times New Roman"/>
          <w:b/>
          <w:bCs/>
          <w:spacing w:val="9"/>
          <w:sz w:val="20"/>
          <w:szCs w:val="20"/>
        </w:rPr>
        <w:t>2</w:t>
      </w:r>
      <w:r>
        <w:rPr>
          <w:rFonts w:ascii="Times New Roman" w:hAnsi="Times New Roman" w:eastAsia="Times New Roman" w:cs="Times New Roman"/>
          <w:b/>
          <w:bCs/>
          <w:spacing w:val="16"/>
          <w:w w:val="101"/>
          <w:sz w:val="20"/>
          <w:szCs w:val="20"/>
        </w:rPr>
        <w:t xml:space="preserve"> </w:t>
      </w:r>
      <w:r>
        <w:rPr>
          <w:rFonts w:ascii="仿宋" w:hAnsi="仿宋" w:eastAsia="仿宋" w:cs="仿宋"/>
          <w:b/>
          <w:bCs/>
          <w:spacing w:val="9"/>
          <w:sz w:val="20"/>
          <w:szCs w:val="20"/>
        </w:rPr>
        <w:t>本项目所在生态环境分区管控单元类型</w:t>
      </w:r>
      <w:r>
        <w:rPr>
          <w:rFonts w:ascii="仿宋" w:hAnsi="仿宋" w:eastAsia="仿宋" w:cs="仿宋"/>
          <w:b/>
          <w:bCs/>
          <w:spacing w:val="8"/>
          <w:sz w:val="20"/>
          <w:szCs w:val="20"/>
        </w:rPr>
        <w:t>图（双山梁村通社公路）</w:t>
      </w:r>
    </w:p>
    <w:p w14:paraId="18267DE9">
      <w:pPr>
        <w:spacing w:line="228" w:lineRule="auto"/>
        <w:rPr>
          <w:rFonts w:ascii="仿宋" w:hAnsi="仿宋" w:eastAsia="仿宋" w:cs="仿宋"/>
          <w:sz w:val="20"/>
          <w:szCs w:val="20"/>
        </w:rPr>
        <w:sectPr>
          <w:footerReference r:id="rId81" w:type="default"/>
          <w:pgSz w:w="16839" w:h="11906"/>
          <w:pgMar w:top="400" w:right="1456" w:bottom="1516" w:left="1444" w:header="0" w:footer="1354" w:gutter="0"/>
          <w:cols w:space="720" w:num="1"/>
        </w:sectPr>
      </w:pPr>
    </w:p>
    <w:p w14:paraId="5A63A142">
      <w:pPr>
        <w:pStyle w:val="2"/>
        <w:spacing w:line="278" w:lineRule="auto"/>
        <w:rPr>
          <w:sz w:val="21"/>
        </w:rPr>
      </w:pPr>
    </w:p>
    <w:p w14:paraId="70B03C01">
      <w:pPr>
        <w:pStyle w:val="2"/>
        <w:spacing w:line="278" w:lineRule="auto"/>
        <w:rPr>
          <w:sz w:val="21"/>
        </w:rPr>
      </w:pPr>
    </w:p>
    <w:p w14:paraId="72908A78">
      <w:pPr>
        <w:pStyle w:val="2"/>
        <w:spacing w:line="278" w:lineRule="auto"/>
        <w:rPr>
          <w:sz w:val="21"/>
        </w:rPr>
      </w:pPr>
    </w:p>
    <w:p w14:paraId="52A6AF90">
      <w:pPr>
        <w:pStyle w:val="2"/>
        <w:spacing w:line="278" w:lineRule="auto"/>
        <w:rPr>
          <w:sz w:val="21"/>
        </w:rPr>
      </w:pPr>
    </w:p>
    <w:p w14:paraId="4EB29D46">
      <w:pPr>
        <w:pStyle w:val="2"/>
        <w:spacing w:line="279" w:lineRule="auto"/>
        <w:rPr>
          <w:sz w:val="21"/>
        </w:rPr>
      </w:pPr>
    </w:p>
    <w:p w14:paraId="6F6A8EB0">
      <w:pPr>
        <w:spacing w:line="6907" w:lineRule="exact"/>
      </w:pPr>
      <w:r>
        <w:rPr>
          <w:position w:val="-138"/>
        </w:rPr>
        <w:drawing>
          <wp:inline distT="0" distB="0" distL="0" distR="0">
            <wp:extent cx="8854440" cy="4385945"/>
            <wp:effectExtent l="0" t="0" r="0" b="0"/>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304"/>
                    <a:stretch>
                      <a:fillRect/>
                    </a:stretch>
                  </pic:blipFill>
                  <pic:spPr>
                    <a:xfrm>
                      <a:off x="0" y="0"/>
                      <a:ext cx="8854440" cy="4386071"/>
                    </a:xfrm>
                    <a:prstGeom prst="rect">
                      <a:avLst/>
                    </a:prstGeom>
                  </pic:spPr>
                </pic:pic>
              </a:graphicData>
            </a:graphic>
          </wp:inline>
        </w:drawing>
      </w:r>
    </w:p>
    <w:p w14:paraId="45FBE627">
      <w:pPr>
        <w:pStyle w:val="2"/>
        <w:spacing w:line="263" w:lineRule="auto"/>
        <w:rPr>
          <w:sz w:val="21"/>
        </w:rPr>
      </w:pPr>
    </w:p>
    <w:p w14:paraId="33A70C6D">
      <w:pPr>
        <w:spacing w:before="65" w:line="228" w:lineRule="auto"/>
        <w:ind w:left="2885"/>
        <w:rPr>
          <w:rFonts w:ascii="仿宋" w:hAnsi="仿宋" w:eastAsia="仿宋" w:cs="仿宋"/>
          <w:sz w:val="20"/>
          <w:szCs w:val="20"/>
        </w:rPr>
      </w:pPr>
      <w:r>
        <w:rPr>
          <w:rFonts w:ascii="仿宋" w:hAnsi="仿宋" w:eastAsia="仿宋" w:cs="仿宋"/>
          <w:b/>
          <w:bCs/>
          <w:spacing w:val="7"/>
          <w:sz w:val="20"/>
          <w:szCs w:val="20"/>
        </w:rPr>
        <w:t>附图</w:t>
      </w:r>
      <w:r>
        <w:rPr>
          <w:rFonts w:ascii="仿宋" w:hAnsi="仿宋" w:eastAsia="仿宋" w:cs="仿宋"/>
          <w:spacing w:val="-37"/>
          <w:sz w:val="20"/>
          <w:szCs w:val="20"/>
        </w:rPr>
        <w:t xml:space="preserve"> </w:t>
      </w:r>
      <w:r>
        <w:rPr>
          <w:rFonts w:ascii="Times New Roman" w:hAnsi="Times New Roman" w:eastAsia="Times New Roman" w:cs="Times New Roman"/>
          <w:b/>
          <w:bCs/>
          <w:spacing w:val="7"/>
          <w:sz w:val="20"/>
          <w:szCs w:val="20"/>
        </w:rPr>
        <w:t>2</w:t>
      </w:r>
      <w:r>
        <w:rPr>
          <w:rFonts w:ascii="Times New Roman" w:hAnsi="Times New Roman" w:eastAsia="Times New Roman" w:cs="Times New Roman"/>
          <w:b/>
          <w:bCs/>
          <w:spacing w:val="19"/>
          <w:sz w:val="20"/>
          <w:szCs w:val="20"/>
        </w:rPr>
        <w:t xml:space="preserve"> </w:t>
      </w:r>
      <w:r>
        <w:rPr>
          <w:rFonts w:ascii="仿宋" w:hAnsi="仿宋" w:eastAsia="仿宋" w:cs="仿宋"/>
          <w:b/>
          <w:bCs/>
          <w:spacing w:val="7"/>
          <w:sz w:val="20"/>
          <w:szCs w:val="20"/>
        </w:rPr>
        <w:t>本项目所在生态环境分区管控单元类型图（四道敖包至淡家梁至杨家塔通村公路）</w:t>
      </w:r>
    </w:p>
    <w:p w14:paraId="67ECA6CB">
      <w:pPr>
        <w:spacing w:line="228" w:lineRule="auto"/>
        <w:rPr>
          <w:rFonts w:ascii="仿宋" w:hAnsi="仿宋" w:eastAsia="仿宋" w:cs="仿宋"/>
          <w:sz w:val="20"/>
          <w:szCs w:val="20"/>
        </w:rPr>
        <w:sectPr>
          <w:footerReference r:id="rId82" w:type="default"/>
          <w:pgSz w:w="16839" w:h="11906"/>
          <w:pgMar w:top="400" w:right="1449" w:bottom="1513" w:left="1444" w:header="0" w:footer="1354" w:gutter="0"/>
          <w:cols w:space="720" w:num="1"/>
        </w:sectPr>
      </w:pPr>
    </w:p>
    <w:p w14:paraId="70F99989">
      <w:pPr>
        <w:pStyle w:val="2"/>
        <w:spacing w:line="277" w:lineRule="auto"/>
        <w:rPr>
          <w:sz w:val="21"/>
        </w:rPr>
      </w:pPr>
    </w:p>
    <w:p w14:paraId="17B7D1CF">
      <w:pPr>
        <w:pStyle w:val="2"/>
        <w:spacing w:line="277" w:lineRule="auto"/>
        <w:rPr>
          <w:sz w:val="21"/>
        </w:rPr>
      </w:pPr>
    </w:p>
    <w:p w14:paraId="65875389">
      <w:pPr>
        <w:pStyle w:val="2"/>
        <w:spacing w:line="277" w:lineRule="auto"/>
        <w:rPr>
          <w:sz w:val="21"/>
        </w:rPr>
      </w:pPr>
    </w:p>
    <w:p w14:paraId="6825C878">
      <w:pPr>
        <w:pStyle w:val="2"/>
        <w:spacing w:line="278" w:lineRule="auto"/>
        <w:rPr>
          <w:sz w:val="21"/>
        </w:rPr>
      </w:pPr>
    </w:p>
    <w:p w14:paraId="1A05D68D">
      <w:pPr>
        <w:pStyle w:val="2"/>
        <w:spacing w:line="278" w:lineRule="auto"/>
        <w:rPr>
          <w:sz w:val="21"/>
        </w:rPr>
      </w:pPr>
    </w:p>
    <w:p w14:paraId="3F4DD1DF">
      <w:pPr>
        <w:pStyle w:val="2"/>
        <w:spacing w:line="278" w:lineRule="auto"/>
        <w:rPr>
          <w:sz w:val="21"/>
        </w:rPr>
      </w:pPr>
    </w:p>
    <w:p w14:paraId="278B088C">
      <w:pPr>
        <w:spacing w:line="6939" w:lineRule="exact"/>
      </w:pPr>
      <w:r>
        <w:rPr>
          <w:position w:val="-138"/>
        </w:rPr>
        <w:drawing>
          <wp:inline distT="0" distB="0" distL="0" distR="0">
            <wp:extent cx="8854440" cy="4405630"/>
            <wp:effectExtent l="0" t="0" r="0" b="0"/>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305"/>
                    <a:stretch>
                      <a:fillRect/>
                    </a:stretch>
                  </pic:blipFill>
                  <pic:spPr>
                    <a:xfrm>
                      <a:off x="0" y="0"/>
                      <a:ext cx="8854440" cy="4405883"/>
                    </a:xfrm>
                    <a:prstGeom prst="rect">
                      <a:avLst/>
                    </a:prstGeom>
                  </pic:spPr>
                </pic:pic>
              </a:graphicData>
            </a:graphic>
          </wp:inline>
        </w:drawing>
      </w:r>
    </w:p>
    <w:p w14:paraId="759DD00D">
      <w:pPr>
        <w:pStyle w:val="2"/>
        <w:spacing w:line="261" w:lineRule="auto"/>
        <w:rPr>
          <w:sz w:val="21"/>
        </w:rPr>
      </w:pPr>
    </w:p>
    <w:p w14:paraId="7A7C2B50">
      <w:pPr>
        <w:spacing w:before="65" w:line="228" w:lineRule="auto"/>
        <w:ind w:left="2991"/>
        <w:rPr>
          <w:rFonts w:ascii="仿宋" w:hAnsi="仿宋" w:eastAsia="仿宋" w:cs="仿宋"/>
          <w:sz w:val="20"/>
          <w:szCs w:val="20"/>
        </w:rPr>
      </w:pPr>
      <w:r>
        <w:rPr>
          <w:rFonts w:ascii="仿宋" w:hAnsi="仿宋" w:eastAsia="仿宋" w:cs="仿宋"/>
          <w:b/>
          <w:bCs/>
          <w:spacing w:val="9"/>
          <w:sz w:val="20"/>
          <w:szCs w:val="20"/>
        </w:rPr>
        <w:t>附图</w:t>
      </w:r>
      <w:r>
        <w:rPr>
          <w:rFonts w:ascii="Times New Roman" w:hAnsi="Times New Roman" w:eastAsia="Times New Roman" w:cs="Times New Roman"/>
          <w:b/>
          <w:bCs/>
          <w:spacing w:val="9"/>
          <w:sz w:val="20"/>
          <w:szCs w:val="20"/>
        </w:rPr>
        <w:t>2</w:t>
      </w:r>
      <w:r>
        <w:rPr>
          <w:rFonts w:ascii="Times New Roman" w:hAnsi="Times New Roman" w:eastAsia="Times New Roman" w:cs="Times New Roman"/>
          <w:b/>
          <w:bCs/>
          <w:spacing w:val="16"/>
          <w:sz w:val="20"/>
          <w:szCs w:val="20"/>
        </w:rPr>
        <w:t xml:space="preserve"> </w:t>
      </w:r>
      <w:r>
        <w:rPr>
          <w:rFonts w:ascii="仿宋" w:hAnsi="仿宋" w:eastAsia="仿宋" w:cs="仿宋"/>
          <w:b/>
          <w:bCs/>
          <w:spacing w:val="9"/>
          <w:sz w:val="20"/>
          <w:szCs w:val="20"/>
        </w:rPr>
        <w:t>本项目所在生态环境分区管控单元类型图（乌拉素村</w:t>
      </w:r>
      <w:r>
        <w:rPr>
          <w:rFonts w:ascii="仿宋" w:hAnsi="仿宋" w:eastAsia="仿宋" w:cs="仿宋"/>
          <w:b/>
          <w:bCs/>
          <w:spacing w:val="8"/>
          <w:sz w:val="20"/>
          <w:szCs w:val="20"/>
        </w:rPr>
        <w:t>二道壕大坝东至秦家塔社）</w:t>
      </w:r>
    </w:p>
    <w:p w14:paraId="0F749B35">
      <w:pPr>
        <w:spacing w:line="228" w:lineRule="auto"/>
        <w:rPr>
          <w:rFonts w:ascii="仿宋" w:hAnsi="仿宋" w:eastAsia="仿宋" w:cs="仿宋"/>
          <w:sz w:val="20"/>
          <w:szCs w:val="20"/>
        </w:rPr>
        <w:sectPr>
          <w:footerReference r:id="rId83" w:type="default"/>
          <w:pgSz w:w="16839" w:h="11906"/>
          <w:pgMar w:top="400" w:right="1449" w:bottom="1516" w:left="1444" w:header="0" w:footer="1354" w:gutter="0"/>
          <w:cols w:space="720" w:num="1"/>
        </w:sectPr>
      </w:pPr>
    </w:p>
    <w:p w14:paraId="3B81BA85">
      <w:pPr>
        <w:pStyle w:val="2"/>
        <w:spacing w:line="277" w:lineRule="auto"/>
        <w:rPr>
          <w:sz w:val="21"/>
        </w:rPr>
      </w:pPr>
    </w:p>
    <w:p w14:paraId="563FB2C4">
      <w:pPr>
        <w:pStyle w:val="2"/>
        <w:spacing w:line="277" w:lineRule="auto"/>
        <w:rPr>
          <w:sz w:val="21"/>
        </w:rPr>
      </w:pPr>
    </w:p>
    <w:p w14:paraId="48A71DA2">
      <w:pPr>
        <w:pStyle w:val="2"/>
        <w:spacing w:line="277" w:lineRule="auto"/>
        <w:rPr>
          <w:sz w:val="21"/>
        </w:rPr>
      </w:pPr>
    </w:p>
    <w:p w14:paraId="63061517">
      <w:pPr>
        <w:pStyle w:val="2"/>
        <w:spacing w:line="278" w:lineRule="auto"/>
        <w:rPr>
          <w:sz w:val="21"/>
        </w:rPr>
      </w:pPr>
    </w:p>
    <w:p w14:paraId="06BED5D6">
      <w:pPr>
        <w:pStyle w:val="2"/>
        <w:spacing w:line="278" w:lineRule="auto"/>
        <w:rPr>
          <w:sz w:val="21"/>
        </w:rPr>
      </w:pPr>
    </w:p>
    <w:p w14:paraId="3409E821">
      <w:pPr>
        <w:pStyle w:val="2"/>
        <w:spacing w:line="278" w:lineRule="auto"/>
        <w:rPr>
          <w:sz w:val="21"/>
        </w:rPr>
      </w:pPr>
    </w:p>
    <w:p w14:paraId="070B9BF4">
      <w:pPr>
        <w:spacing w:line="6924" w:lineRule="exact"/>
      </w:pPr>
      <w:r>
        <w:rPr>
          <w:position w:val="-138"/>
        </w:rPr>
        <w:drawing>
          <wp:inline distT="0" distB="0" distL="0" distR="0">
            <wp:extent cx="8858885" cy="4396740"/>
            <wp:effectExtent l="0" t="0" r="0" b="0"/>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306"/>
                    <a:stretch>
                      <a:fillRect/>
                    </a:stretch>
                  </pic:blipFill>
                  <pic:spPr>
                    <a:xfrm>
                      <a:off x="0" y="0"/>
                      <a:ext cx="8859011" cy="4396740"/>
                    </a:xfrm>
                    <a:prstGeom prst="rect">
                      <a:avLst/>
                    </a:prstGeom>
                  </pic:spPr>
                </pic:pic>
              </a:graphicData>
            </a:graphic>
          </wp:inline>
        </w:drawing>
      </w:r>
    </w:p>
    <w:p w14:paraId="708D4961">
      <w:pPr>
        <w:pStyle w:val="2"/>
        <w:spacing w:line="246" w:lineRule="auto"/>
        <w:rPr>
          <w:sz w:val="21"/>
        </w:rPr>
      </w:pPr>
    </w:p>
    <w:p w14:paraId="68C88953">
      <w:pPr>
        <w:spacing w:before="65" w:line="228" w:lineRule="auto"/>
        <w:ind w:left="3418"/>
        <w:rPr>
          <w:rFonts w:ascii="仿宋" w:hAnsi="仿宋" w:eastAsia="仿宋" w:cs="仿宋"/>
          <w:sz w:val="20"/>
          <w:szCs w:val="20"/>
        </w:rPr>
      </w:pPr>
      <w:r>
        <w:rPr>
          <w:rFonts w:ascii="仿宋" w:hAnsi="仿宋" w:eastAsia="仿宋" w:cs="仿宋"/>
          <w:b/>
          <w:bCs/>
          <w:spacing w:val="9"/>
          <w:sz w:val="20"/>
          <w:szCs w:val="20"/>
        </w:rPr>
        <w:t>附图</w:t>
      </w:r>
      <w:r>
        <w:rPr>
          <w:rFonts w:ascii="Times New Roman" w:hAnsi="Times New Roman" w:eastAsia="Times New Roman" w:cs="Times New Roman"/>
          <w:b/>
          <w:bCs/>
          <w:spacing w:val="9"/>
          <w:sz w:val="20"/>
          <w:szCs w:val="20"/>
        </w:rPr>
        <w:t>2</w:t>
      </w:r>
      <w:r>
        <w:rPr>
          <w:rFonts w:ascii="Times New Roman" w:hAnsi="Times New Roman" w:eastAsia="Times New Roman" w:cs="Times New Roman"/>
          <w:b/>
          <w:bCs/>
          <w:spacing w:val="16"/>
          <w:w w:val="101"/>
          <w:sz w:val="20"/>
          <w:szCs w:val="20"/>
        </w:rPr>
        <w:t xml:space="preserve"> </w:t>
      </w:r>
      <w:r>
        <w:rPr>
          <w:rFonts w:ascii="仿宋" w:hAnsi="仿宋" w:eastAsia="仿宋" w:cs="仿宋"/>
          <w:b/>
          <w:bCs/>
          <w:spacing w:val="9"/>
          <w:sz w:val="20"/>
          <w:szCs w:val="20"/>
        </w:rPr>
        <w:t>本项目所在生态环境分区管控单元类型图</w:t>
      </w:r>
      <w:r>
        <w:rPr>
          <w:rFonts w:ascii="仿宋" w:hAnsi="仿宋" w:eastAsia="仿宋" w:cs="仿宋"/>
          <w:b/>
          <w:bCs/>
          <w:spacing w:val="8"/>
          <w:sz w:val="20"/>
          <w:szCs w:val="20"/>
        </w:rPr>
        <w:t>（大棚区至杏仁露基地路段）</w:t>
      </w:r>
    </w:p>
    <w:p w14:paraId="56BEB3DC">
      <w:pPr>
        <w:spacing w:line="228" w:lineRule="auto"/>
        <w:rPr>
          <w:rFonts w:ascii="仿宋" w:hAnsi="仿宋" w:eastAsia="仿宋" w:cs="仿宋"/>
          <w:sz w:val="20"/>
          <w:szCs w:val="20"/>
        </w:rPr>
        <w:sectPr>
          <w:footerReference r:id="rId84" w:type="default"/>
          <w:pgSz w:w="16839" w:h="11906"/>
          <w:pgMar w:top="400" w:right="1446" w:bottom="1513" w:left="1440" w:header="0" w:footer="1354" w:gutter="0"/>
          <w:cols w:space="720" w:num="1"/>
        </w:sectPr>
      </w:pPr>
    </w:p>
    <w:p w14:paraId="68E533A0">
      <w:pPr>
        <w:pStyle w:val="2"/>
        <w:spacing w:line="277" w:lineRule="auto"/>
        <w:rPr>
          <w:sz w:val="21"/>
        </w:rPr>
      </w:pPr>
    </w:p>
    <w:p w14:paraId="3C639566">
      <w:pPr>
        <w:pStyle w:val="2"/>
        <w:spacing w:line="277" w:lineRule="auto"/>
        <w:rPr>
          <w:sz w:val="21"/>
        </w:rPr>
      </w:pPr>
    </w:p>
    <w:p w14:paraId="739CBF6A">
      <w:pPr>
        <w:pStyle w:val="2"/>
        <w:spacing w:line="277" w:lineRule="auto"/>
        <w:rPr>
          <w:sz w:val="21"/>
        </w:rPr>
      </w:pPr>
    </w:p>
    <w:p w14:paraId="2D54C450">
      <w:pPr>
        <w:pStyle w:val="2"/>
        <w:spacing w:line="278" w:lineRule="auto"/>
        <w:rPr>
          <w:sz w:val="21"/>
        </w:rPr>
      </w:pPr>
    </w:p>
    <w:p w14:paraId="7BDE0B37">
      <w:pPr>
        <w:pStyle w:val="2"/>
        <w:spacing w:line="278" w:lineRule="auto"/>
        <w:rPr>
          <w:sz w:val="21"/>
        </w:rPr>
      </w:pPr>
    </w:p>
    <w:p w14:paraId="660BC53E">
      <w:pPr>
        <w:pStyle w:val="2"/>
        <w:spacing w:line="278" w:lineRule="auto"/>
        <w:rPr>
          <w:sz w:val="21"/>
        </w:rPr>
      </w:pPr>
    </w:p>
    <w:p w14:paraId="600ABF42">
      <w:pPr>
        <w:spacing w:line="6917" w:lineRule="exact"/>
      </w:pPr>
      <w:r>
        <w:rPr>
          <w:position w:val="-138"/>
        </w:rPr>
        <w:drawing>
          <wp:inline distT="0" distB="0" distL="0" distR="0">
            <wp:extent cx="8849360" cy="4391660"/>
            <wp:effectExtent l="0" t="0" r="0" b="0"/>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307"/>
                    <a:stretch>
                      <a:fillRect/>
                    </a:stretch>
                  </pic:blipFill>
                  <pic:spPr>
                    <a:xfrm>
                      <a:off x="0" y="0"/>
                      <a:ext cx="8849867" cy="4392167"/>
                    </a:xfrm>
                    <a:prstGeom prst="rect">
                      <a:avLst/>
                    </a:prstGeom>
                  </pic:spPr>
                </pic:pic>
              </a:graphicData>
            </a:graphic>
          </wp:inline>
        </w:drawing>
      </w:r>
    </w:p>
    <w:p w14:paraId="74BC0CC9">
      <w:pPr>
        <w:spacing w:before="44" w:line="228" w:lineRule="auto"/>
        <w:ind w:left="3202"/>
        <w:rPr>
          <w:rFonts w:ascii="仿宋" w:hAnsi="仿宋" w:eastAsia="仿宋" w:cs="仿宋"/>
          <w:sz w:val="20"/>
          <w:szCs w:val="20"/>
        </w:rPr>
      </w:pPr>
      <w:r>
        <w:rPr>
          <w:rFonts w:ascii="仿宋" w:hAnsi="仿宋" w:eastAsia="仿宋" w:cs="仿宋"/>
          <w:b/>
          <w:bCs/>
          <w:spacing w:val="7"/>
          <w:sz w:val="20"/>
          <w:szCs w:val="20"/>
        </w:rPr>
        <w:t>附图</w:t>
      </w:r>
      <w:r>
        <w:rPr>
          <w:rFonts w:ascii="仿宋" w:hAnsi="仿宋" w:eastAsia="仿宋" w:cs="仿宋"/>
          <w:spacing w:val="-43"/>
          <w:sz w:val="20"/>
          <w:szCs w:val="20"/>
        </w:rPr>
        <w:t xml:space="preserve"> </w:t>
      </w:r>
      <w:r>
        <w:rPr>
          <w:rFonts w:ascii="Times New Roman" w:hAnsi="Times New Roman" w:eastAsia="Times New Roman" w:cs="Times New Roman"/>
          <w:b/>
          <w:bCs/>
          <w:spacing w:val="7"/>
          <w:sz w:val="20"/>
          <w:szCs w:val="20"/>
        </w:rPr>
        <w:t>2</w:t>
      </w:r>
      <w:r>
        <w:rPr>
          <w:rFonts w:ascii="Times New Roman" w:hAnsi="Times New Roman" w:eastAsia="Times New Roman" w:cs="Times New Roman"/>
          <w:b/>
          <w:bCs/>
          <w:spacing w:val="19"/>
          <w:sz w:val="20"/>
          <w:szCs w:val="20"/>
        </w:rPr>
        <w:t xml:space="preserve"> </w:t>
      </w:r>
      <w:r>
        <w:rPr>
          <w:rFonts w:ascii="仿宋" w:hAnsi="仿宋" w:eastAsia="仿宋" w:cs="仿宋"/>
          <w:b/>
          <w:bCs/>
          <w:spacing w:val="7"/>
          <w:sz w:val="20"/>
          <w:szCs w:val="20"/>
        </w:rPr>
        <w:t>本项目所在生态环境分区管控单元类型图（三道拐社坡底至北防洪堤路段）</w:t>
      </w:r>
    </w:p>
    <w:p w14:paraId="1E54B22A">
      <w:pPr>
        <w:spacing w:line="228" w:lineRule="auto"/>
        <w:rPr>
          <w:rFonts w:ascii="仿宋" w:hAnsi="仿宋" w:eastAsia="仿宋" w:cs="仿宋"/>
          <w:sz w:val="20"/>
          <w:szCs w:val="20"/>
        </w:rPr>
        <w:sectPr>
          <w:footerReference r:id="rId85" w:type="default"/>
          <w:pgSz w:w="16839" w:h="11906"/>
          <w:pgMar w:top="400" w:right="1456" w:bottom="1516" w:left="1444" w:header="0" w:footer="1354" w:gutter="0"/>
          <w:cols w:space="720" w:num="1"/>
        </w:sectPr>
      </w:pPr>
    </w:p>
    <w:p w14:paraId="3923CA44">
      <w:pPr>
        <w:pStyle w:val="2"/>
        <w:spacing w:line="277" w:lineRule="auto"/>
        <w:rPr>
          <w:sz w:val="21"/>
        </w:rPr>
      </w:pPr>
    </w:p>
    <w:p w14:paraId="4A69716C">
      <w:pPr>
        <w:pStyle w:val="2"/>
        <w:spacing w:line="277" w:lineRule="auto"/>
        <w:rPr>
          <w:sz w:val="21"/>
        </w:rPr>
      </w:pPr>
    </w:p>
    <w:p w14:paraId="44C85FDC">
      <w:pPr>
        <w:pStyle w:val="2"/>
        <w:spacing w:line="277" w:lineRule="auto"/>
        <w:rPr>
          <w:sz w:val="21"/>
        </w:rPr>
      </w:pPr>
    </w:p>
    <w:p w14:paraId="796F9214">
      <w:pPr>
        <w:pStyle w:val="2"/>
        <w:spacing w:line="278" w:lineRule="auto"/>
        <w:rPr>
          <w:sz w:val="21"/>
        </w:rPr>
      </w:pPr>
    </w:p>
    <w:p w14:paraId="146CADEF">
      <w:pPr>
        <w:pStyle w:val="2"/>
        <w:spacing w:line="278" w:lineRule="auto"/>
        <w:rPr>
          <w:sz w:val="21"/>
        </w:rPr>
      </w:pPr>
    </w:p>
    <w:p w14:paraId="46796E59">
      <w:pPr>
        <w:pStyle w:val="2"/>
        <w:spacing w:line="278" w:lineRule="auto"/>
        <w:rPr>
          <w:sz w:val="21"/>
        </w:rPr>
      </w:pPr>
    </w:p>
    <w:p w14:paraId="02E9757F">
      <w:pPr>
        <w:spacing w:line="6924" w:lineRule="exact"/>
      </w:pPr>
      <w:r>
        <w:rPr>
          <w:position w:val="-138"/>
        </w:rPr>
        <w:drawing>
          <wp:inline distT="0" distB="0" distL="0" distR="0">
            <wp:extent cx="8854440" cy="4396740"/>
            <wp:effectExtent l="0" t="0" r="0" b="0"/>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308"/>
                    <a:stretch>
                      <a:fillRect/>
                    </a:stretch>
                  </pic:blipFill>
                  <pic:spPr>
                    <a:xfrm>
                      <a:off x="0" y="0"/>
                      <a:ext cx="8854440" cy="4396740"/>
                    </a:xfrm>
                    <a:prstGeom prst="rect">
                      <a:avLst/>
                    </a:prstGeom>
                  </pic:spPr>
                </pic:pic>
              </a:graphicData>
            </a:graphic>
          </wp:inline>
        </w:drawing>
      </w:r>
    </w:p>
    <w:p w14:paraId="4AA436E0">
      <w:pPr>
        <w:pStyle w:val="2"/>
        <w:spacing w:line="246" w:lineRule="auto"/>
        <w:rPr>
          <w:sz w:val="21"/>
        </w:rPr>
      </w:pPr>
    </w:p>
    <w:p w14:paraId="13A5567B">
      <w:pPr>
        <w:spacing w:before="65" w:line="228" w:lineRule="auto"/>
        <w:ind w:left="3123"/>
        <w:rPr>
          <w:rFonts w:ascii="仿宋" w:hAnsi="仿宋" w:eastAsia="仿宋" w:cs="仿宋"/>
          <w:sz w:val="20"/>
          <w:szCs w:val="20"/>
        </w:rPr>
      </w:pPr>
      <w:r>
        <w:rPr>
          <w:rFonts w:ascii="仿宋" w:hAnsi="仿宋" w:eastAsia="仿宋" w:cs="仿宋"/>
          <w:b/>
          <w:bCs/>
          <w:spacing w:val="8"/>
          <w:sz w:val="20"/>
          <w:szCs w:val="20"/>
        </w:rPr>
        <w:t>附图</w:t>
      </w:r>
      <w:r>
        <w:rPr>
          <w:rFonts w:ascii="Times New Roman" w:hAnsi="Times New Roman" w:eastAsia="Times New Roman" w:cs="Times New Roman"/>
          <w:b/>
          <w:bCs/>
          <w:spacing w:val="8"/>
          <w:sz w:val="20"/>
          <w:szCs w:val="20"/>
        </w:rPr>
        <w:t>2</w:t>
      </w:r>
      <w:r>
        <w:rPr>
          <w:rFonts w:ascii="Times New Roman" w:hAnsi="Times New Roman" w:eastAsia="Times New Roman" w:cs="Times New Roman"/>
          <w:b/>
          <w:bCs/>
          <w:spacing w:val="22"/>
          <w:w w:val="101"/>
          <w:sz w:val="20"/>
          <w:szCs w:val="20"/>
        </w:rPr>
        <w:t xml:space="preserve"> </w:t>
      </w:r>
      <w:r>
        <w:rPr>
          <w:rFonts w:ascii="仿宋" w:hAnsi="仿宋" w:eastAsia="仿宋" w:cs="仿宋"/>
          <w:b/>
          <w:bCs/>
          <w:spacing w:val="8"/>
          <w:sz w:val="20"/>
          <w:szCs w:val="20"/>
        </w:rPr>
        <w:t>本项目所在生态环境分区管控单元类型图（脑包湾村自然村通硬化路路段</w:t>
      </w:r>
      <w:r>
        <w:rPr>
          <w:rFonts w:ascii="仿宋" w:hAnsi="仿宋" w:eastAsia="仿宋" w:cs="仿宋"/>
          <w:spacing w:val="-31"/>
          <w:sz w:val="20"/>
          <w:szCs w:val="20"/>
        </w:rPr>
        <w:t xml:space="preserve"> </w:t>
      </w:r>
      <w:r>
        <w:rPr>
          <w:rFonts w:ascii="Times New Roman" w:hAnsi="Times New Roman" w:eastAsia="Times New Roman" w:cs="Times New Roman"/>
          <w:b/>
          <w:bCs/>
          <w:spacing w:val="8"/>
          <w:sz w:val="20"/>
          <w:szCs w:val="20"/>
        </w:rPr>
        <w:t>1</w:t>
      </w:r>
      <w:r>
        <w:rPr>
          <w:rFonts w:ascii="仿宋" w:hAnsi="仿宋" w:eastAsia="仿宋" w:cs="仿宋"/>
          <w:b/>
          <w:bCs/>
          <w:spacing w:val="8"/>
          <w:sz w:val="20"/>
          <w:szCs w:val="20"/>
        </w:rPr>
        <w:t>）</w:t>
      </w:r>
    </w:p>
    <w:p w14:paraId="2B5140CE">
      <w:pPr>
        <w:spacing w:line="228" w:lineRule="auto"/>
        <w:rPr>
          <w:rFonts w:ascii="仿宋" w:hAnsi="仿宋" w:eastAsia="仿宋" w:cs="仿宋"/>
          <w:sz w:val="20"/>
          <w:szCs w:val="20"/>
        </w:rPr>
        <w:sectPr>
          <w:footerReference r:id="rId86" w:type="default"/>
          <w:pgSz w:w="16839" w:h="11906"/>
          <w:pgMar w:top="400" w:right="1449" w:bottom="1516" w:left="1444" w:header="0" w:footer="1354" w:gutter="0"/>
          <w:cols w:space="720" w:num="1"/>
        </w:sectPr>
      </w:pPr>
    </w:p>
    <w:p w14:paraId="1C7B255E">
      <w:pPr>
        <w:pStyle w:val="2"/>
        <w:spacing w:line="278" w:lineRule="auto"/>
        <w:rPr>
          <w:sz w:val="21"/>
        </w:rPr>
      </w:pPr>
    </w:p>
    <w:p w14:paraId="3BBA1D45">
      <w:pPr>
        <w:pStyle w:val="2"/>
        <w:spacing w:line="278" w:lineRule="auto"/>
        <w:rPr>
          <w:sz w:val="21"/>
        </w:rPr>
      </w:pPr>
    </w:p>
    <w:p w14:paraId="5A339445">
      <w:pPr>
        <w:pStyle w:val="2"/>
        <w:spacing w:line="278" w:lineRule="auto"/>
        <w:rPr>
          <w:sz w:val="21"/>
        </w:rPr>
      </w:pPr>
    </w:p>
    <w:p w14:paraId="53F0A662">
      <w:pPr>
        <w:pStyle w:val="2"/>
        <w:spacing w:line="278" w:lineRule="auto"/>
        <w:rPr>
          <w:sz w:val="21"/>
        </w:rPr>
      </w:pPr>
    </w:p>
    <w:p w14:paraId="4965130A">
      <w:pPr>
        <w:pStyle w:val="2"/>
        <w:spacing w:line="279" w:lineRule="auto"/>
        <w:rPr>
          <w:sz w:val="21"/>
        </w:rPr>
      </w:pPr>
    </w:p>
    <w:p w14:paraId="70BD05F2">
      <w:pPr>
        <w:spacing w:line="6926" w:lineRule="exact"/>
      </w:pPr>
      <w:r>
        <w:rPr>
          <w:position w:val="-138"/>
        </w:rPr>
        <w:drawing>
          <wp:inline distT="0" distB="0" distL="0" distR="0">
            <wp:extent cx="8860155" cy="4398010"/>
            <wp:effectExtent l="0" t="0" r="0" b="0"/>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309"/>
                    <a:stretch>
                      <a:fillRect/>
                    </a:stretch>
                  </pic:blipFill>
                  <pic:spPr>
                    <a:xfrm>
                      <a:off x="0" y="0"/>
                      <a:ext cx="8860535" cy="4398264"/>
                    </a:xfrm>
                    <a:prstGeom prst="rect">
                      <a:avLst/>
                    </a:prstGeom>
                  </pic:spPr>
                </pic:pic>
              </a:graphicData>
            </a:graphic>
          </wp:inline>
        </w:drawing>
      </w:r>
    </w:p>
    <w:p w14:paraId="21149716">
      <w:pPr>
        <w:pStyle w:val="2"/>
        <w:spacing w:line="244" w:lineRule="auto"/>
        <w:rPr>
          <w:sz w:val="21"/>
        </w:rPr>
      </w:pPr>
    </w:p>
    <w:p w14:paraId="6E6EE87B">
      <w:pPr>
        <w:spacing w:before="65" w:line="228" w:lineRule="auto"/>
        <w:ind w:left="3128"/>
        <w:rPr>
          <w:rFonts w:ascii="仿宋" w:hAnsi="仿宋" w:eastAsia="仿宋" w:cs="仿宋"/>
          <w:sz w:val="20"/>
          <w:szCs w:val="20"/>
        </w:rPr>
      </w:pPr>
      <w:r>
        <w:rPr>
          <w:rFonts w:ascii="仿宋" w:hAnsi="仿宋" w:eastAsia="仿宋" w:cs="仿宋"/>
          <w:b/>
          <w:bCs/>
          <w:spacing w:val="10"/>
          <w:sz w:val="20"/>
          <w:szCs w:val="20"/>
        </w:rPr>
        <w:t>附图</w:t>
      </w:r>
      <w:r>
        <w:rPr>
          <w:rFonts w:ascii="Times New Roman" w:hAnsi="Times New Roman" w:eastAsia="Times New Roman" w:cs="Times New Roman"/>
          <w:b/>
          <w:bCs/>
          <w:spacing w:val="10"/>
          <w:sz w:val="20"/>
          <w:szCs w:val="20"/>
        </w:rPr>
        <w:t xml:space="preserve">2 </w:t>
      </w:r>
      <w:r>
        <w:rPr>
          <w:rFonts w:ascii="仿宋" w:hAnsi="仿宋" w:eastAsia="仿宋" w:cs="仿宋"/>
          <w:b/>
          <w:bCs/>
          <w:spacing w:val="10"/>
          <w:sz w:val="20"/>
          <w:szCs w:val="20"/>
        </w:rPr>
        <w:t>本项目所在生态环境分区管控单元类型图（脑包湾村自然村通硬化路路段</w:t>
      </w:r>
      <w:r>
        <w:rPr>
          <w:rFonts w:ascii="Times New Roman" w:hAnsi="Times New Roman" w:eastAsia="Times New Roman" w:cs="Times New Roman"/>
          <w:b/>
          <w:bCs/>
          <w:spacing w:val="10"/>
          <w:sz w:val="20"/>
          <w:szCs w:val="20"/>
        </w:rPr>
        <w:t>2</w:t>
      </w:r>
      <w:r>
        <w:rPr>
          <w:rFonts w:ascii="仿宋" w:hAnsi="仿宋" w:eastAsia="仿宋" w:cs="仿宋"/>
          <w:b/>
          <w:bCs/>
          <w:spacing w:val="10"/>
          <w:sz w:val="20"/>
          <w:szCs w:val="20"/>
        </w:rPr>
        <w:t>）</w:t>
      </w:r>
    </w:p>
    <w:p w14:paraId="6621FDE3">
      <w:pPr>
        <w:spacing w:line="228" w:lineRule="auto"/>
        <w:rPr>
          <w:rFonts w:ascii="仿宋" w:hAnsi="仿宋" w:eastAsia="仿宋" w:cs="仿宋"/>
          <w:sz w:val="20"/>
          <w:szCs w:val="20"/>
        </w:rPr>
        <w:sectPr>
          <w:footerReference r:id="rId87" w:type="default"/>
          <w:pgSz w:w="16839" w:h="11906"/>
          <w:pgMar w:top="400" w:right="1444" w:bottom="1516" w:left="1440" w:header="0" w:footer="1354" w:gutter="0"/>
          <w:cols w:space="720" w:num="1"/>
        </w:sectPr>
      </w:pPr>
    </w:p>
    <w:p w14:paraId="268BB008">
      <w:pPr>
        <w:pStyle w:val="2"/>
        <w:spacing w:line="278" w:lineRule="auto"/>
        <w:rPr>
          <w:sz w:val="21"/>
        </w:rPr>
      </w:pPr>
    </w:p>
    <w:p w14:paraId="560F249B">
      <w:pPr>
        <w:pStyle w:val="2"/>
        <w:spacing w:line="278" w:lineRule="auto"/>
        <w:rPr>
          <w:sz w:val="21"/>
        </w:rPr>
      </w:pPr>
    </w:p>
    <w:p w14:paraId="61D710BD">
      <w:pPr>
        <w:pStyle w:val="2"/>
        <w:spacing w:line="278" w:lineRule="auto"/>
        <w:rPr>
          <w:sz w:val="21"/>
        </w:rPr>
      </w:pPr>
    </w:p>
    <w:p w14:paraId="1CDAFAB7">
      <w:pPr>
        <w:pStyle w:val="2"/>
        <w:spacing w:line="278" w:lineRule="auto"/>
        <w:rPr>
          <w:sz w:val="21"/>
        </w:rPr>
      </w:pPr>
    </w:p>
    <w:p w14:paraId="62EFCE0A">
      <w:pPr>
        <w:pStyle w:val="2"/>
        <w:spacing w:line="279" w:lineRule="auto"/>
        <w:rPr>
          <w:sz w:val="21"/>
        </w:rPr>
      </w:pPr>
    </w:p>
    <w:p w14:paraId="143D8099">
      <w:pPr>
        <w:spacing w:line="6818" w:lineRule="exact"/>
      </w:pPr>
      <w:r>
        <w:rPr>
          <w:position w:val="-136"/>
        </w:rPr>
        <w:drawing>
          <wp:inline distT="0" distB="0" distL="0" distR="0">
            <wp:extent cx="8849360" cy="4329430"/>
            <wp:effectExtent l="0" t="0" r="0" b="0"/>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310"/>
                    <a:stretch>
                      <a:fillRect/>
                    </a:stretch>
                  </pic:blipFill>
                  <pic:spPr>
                    <a:xfrm>
                      <a:off x="0" y="0"/>
                      <a:ext cx="8849867" cy="4329683"/>
                    </a:xfrm>
                    <a:prstGeom prst="rect">
                      <a:avLst/>
                    </a:prstGeom>
                  </pic:spPr>
                </pic:pic>
              </a:graphicData>
            </a:graphic>
          </wp:inline>
        </w:drawing>
      </w:r>
    </w:p>
    <w:p w14:paraId="505A0D8C">
      <w:pPr>
        <w:spacing w:before="51" w:line="228" w:lineRule="auto"/>
        <w:ind w:left="3097"/>
        <w:rPr>
          <w:rFonts w:ascii="仿宋" w:hAnsi="仿宋" w:eastAsia="仿宋" w:cs="仿宋"/>
          <w:sz w:val="20"/>
          <w:szCs w:val="20"/>
        </w:rPr>
      </w:pPr>
      <w:r>
        <w:rPr>
          <w:rFonts w:ascii="仿宋" w:hAnsi="仿宋" w:eastAsia="仿宋" w:cs="仿宋"/>
          <w:b/>
          <w:bCs/>
          <w:spacing w:val="7"/>
          <w:sz w:val="20"/>
          <w:szCs w:val="20"/>
        </w:rPr>
        <w:t>附图</w:t>
      </w:r>
      <w:r>
        <w:rPr>
          <w:rFonts w:ascii="仿宋" w:hAnsi="仿宋" w:eastAsia="仿宋" w:cs="仿宋"/>
          <w:spacing w:val="-41"/>
          <w:sz w:val="20"/>
          <w:szCs w:val="20"/>
        </w:rPr>
        <w:t xml:space="preserve"> </w:t>
      </w:r>
      <w:r>
        <w:rPr>
          <w:rFonts w:ascii="Times New Roman" w:hAnsi="Times New Roman" w:eastAsia="Times New Roman" w:cs="Times New Roman"/>
          <w:b/>
          <w:bCs/>
          <w:spacing w:val="7"/>
          <w:sz w:val="20"/>
          <w:szCs w:val="20"/>
        </w:rPr>
        <w:t>2</w:t>
      </w:r>
      <w:r>
        <w:rPr>
          <w:rFonts w:ascii="Times New Roman" w:hAnsi="Times New Roman" w:eastAsia="Times New Roman" w:cs="Times New Roman"/>
          <w:b/>
          <w:bCs/>
          <w:spacing w:val="19"/>
          <w:sz w:val="20"/>
          <w:szCs w:val="20"/>
        </w:rPr>
        <w:t xml:space="preserve"> </w:t>
      </w:r>
      <w:r>
        <w:rPr>
          <w:rFonts w:ascii="仿宋" w:hAnsi="仿宋" w:eastAsia="仿宋" w:cs="仿宋"/>
          <w:b/>
          <w:bCs/>
          <w:spacing w:val="7"/>
          <w:sz w:val="20"/>
          <w:szCs w:val="20"/>
        </w:rPr>
        <w:t>本项目所在生态环境分区管控单元类型图（份子地社新村至二道拐村委会段）</w:t>
      </w:r>
    </w:p>
    <w:p w14:paraId="1661D02D">
      <w:pPr>
        <w:spacing w:line="228" w:lineRule="auto"/>
        <w:rPr>
          <w:rFonts w:ascii="仿宋" w:hAnsi="仿宋" w:eastAsia="仿宋" w:cs="仿宋"/>
          <w:sz w:val="20"/>
          <w:szCs w:val="20"/>
        </w:rPr>
        <w:sectPr>
          <w:footerReference r:id="rId88" w:type="default"/>
          <w:pgSz w:w="16839" w:h="11906"/>
          <w:pgMar w:top="400" w:right="1456" w:bottom="1516" w:left="1444" w:header="0" w:footer="1354" w:gutter="0"/>
          <w:cols w:space="720" w:num="1"/>
        </w:sectPr>
      </w:pPr>
    </w:p>
    <w:p w14:paraId="69BCB07E">
      <w:pPr>
        <w:pStyle w:val="2"/>
        <w:spacing w:line="278" w:lineRule="auto"/>
        <w:rPr>
          <w:sz w:val="21"/>
        </w:rPr>
      </w:pPr>
    </w:p>
    <w:p w14:paraId="287024D2">
      <w:pPr>
        <w:pStyle w:val="2"/>
        <w:spacing w:line="278" w:lineRule="auto"/>
        <w:rPr>
          <w:sz w:val="21"/>
        </w:rPr>
      </w:pPr>
    </w:p>
    <w:p w14:paraId="7A382AD3">
      <w:pPr>
        <w:pStyle w:val="2"/>
        <w:spacing w:line="278" w:lineRule="auto"/>
        <w:rPr>
          <w:sz w:val="21"/>
        </w:rPr>
      </w:pPr>
    </w:p>
    <w:p w14:paraId="60764B81">
      <w:pPr>
        <w:pStyle w:val="2"/>
        <w:spacing w:line="278" w:lineRule="auto"/>
        <w:rPr>
          <w:sz w:val="21"/>
        </w:rPr>
      </w:pPr>
    </w:p>
    <w:p w14:paraId="6E07F465">
      <w:pPr>
        <w:pStyle w:val="2"/>
        <w:spacing w:line="279" w:lineRule="auto"/>
        <w:rPr>
          <w:sz w:val="21"/>
        </w:rPr>
      </w:pPr>
    </w:p>
    <w:p w14:paraId="7BC0ADC9">
      <w:pPr>
        <w:spacing w:line="6967" w:lineRule="exact"/>
      </w:pPr>
      <w:r>
        <w:rPr>
          <w:position w:val="-139"/>
        </w:rPr>
        <w:drawing>
          <wp:inline distT="0" distB="0" distL="0" distR="0">
            <wp:extent cx="8858885" cy="4424045"/>
            <wp:effectExtent l="0" t="0" r="0" b="0"/>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r:embed="rId311"/>
                    <a:stretch>
                      <a:fillRect/>
                    </a:stretch>
                  </pic:blipFill>
                  <pic:spPr>
                    <a:xfrm>
                      <a:off x="0" y="0"/>
                      <a:ext cx="8859011" cy="4424171"/>
                    </a:xfrm>
                    <a:prstGeom prst="rect">
                      <a:avLst/>
                    </a:prstGeom>
                  </pic:spPr>
                </pic:pic>
              </a:graphicData>
            </a:graphic>
          </wp:inline>
        </w:drawing>
      </w:r>
    </w:p>
    <w:p w14:paraId="25CFB7C0">
      <w:pPr>
        <w:spacing w:before="54" w:line="228" w:lineRule="auto"/>
        <w:ind w:left="2780"/>
        <w:rPr>
          <w:rFonts w:ascii="仿宋" w:hAnsi="仿宋" w:eastAsia="仿宋" w:cs="仿宋"/>
          <w:sz w:val="20"/>
          <w:szCs w:val="20"/>
        </w:rPr>
      </w:pPr>
      <w:r>
        <w:rPr>
          <w:rFonts w:ascii="仿宋" w:hAnsi="仿宋" w:eastAsia="仿宋" w:cs="仿宋"/>
          <w:b/>
          <w:bCs/>
          <w:spacing w:val="9"/>
          <w:sz w:val="20"/>
          <w:szCs w:val="20"/>
        </w:rPr>
        <w:t>附图</w:t>
      </w:r>
      <w:r>
        <w:rPr>
          <w:rFonts w:ascii="Times New Roman" w:hAnsi="Times New Roman" w:eastAsia="Times New Roman" w:cs="Times New Roman"/>
          <w:b/>
          <w:bCs/>
          <w:spacing w:val="9"/>
          <w:sz w:val="20"/>
          <w:szCs w:val="20"/>
        </w:rPr>
        <w:t>2</w:t>
      </w:r>
      <w:r>
        <w:rPr>
          <w:rFonts w:ascii="Times New Roman" w:hAnsi="Times New Roman" w:eastAsia="Times New Roman" w:cs="Times New Roman"/>
          <w:b/>
          <w:bCs/>
          <w:spacing w:val="16"/>
          <w:w w:val="101"/>
          <w:sz w:val="20"/>
          <w:szCs w:val="20"/>
        </w:rPr>
        <w:t xml:space="preserve"> </w:t>
      </w:r>
      <w:r>
        <w:rPr>
          <w:rFonts w:ascii="仿宋" w:hAnsi="仿宋" w:eastAsia="仿宋" w:cs="仿宋"/>
          <w:b/>
          <w:bCs/>
          <w:spacing w:val="9"/>
          <w:sz w:val="20"/>
          <w:szCs w:val="20"/>
        </w:rPr>
        <w:t>本项目所在生态环境分区管控单元类型图（沿黄巨合滩出</w:t>
      </w:r>
      <w:r>
        <w:rPr>
          <w:rFonts w:ascii="仿宋" w:hAnsi="仿宋" w:eastAsia="仿宋" w:cs="仿宋"/>
          <w:b/>
          <w:bCs/>
          <w:spacing w:val="8"/>
          <w:sz w:val="20"/>
          <w:szCs w:val="20"/>
        </w:rPr>
        <w:t>口东至天顺圪梁通村路段）</w:t>
      </w:r>
    </w:p>
    <w:p w14:paraId="50175E2E">
      <w:pPr>
        <w:spacing w:line="228" w:lineRule="auto"/>
        <w:rPr>
          <w:rFonts w:ascii="仿宋" w:hAnsi="仿宋" w:eastAsia="仿宋" w:cs="仿宋"/>
          <w:sz w:val="20"/>
          <w:szCs w:val="20"/>
        </w:rPr>
        <w:sectPr>
          <w:footerReference r:id="rId89" w:type="default"/>
          <w:pgSz w:w="16839" w:h="11906"/>
          <w:pgMar w:top="400" w:right="1442" w:bottom="1516" w:left="1444" w:header="0" w:footer="1354" w:gutter="0"/>
          <w:cols w:space="720" w:num="1"/>
        </w:sectPr>
      </w:pPr>
    </w:p>
    <w:p w14:paraId="104E6A6E">
      <w:pPr>
        <w:pStyle w:val="2"/>
        <w:spacing w:line="278" w:lineRule="auto"/>
        <w:rPr>
          <w:sz w:val="21"/>
        </w:rPr>
      </w:pPr>
    </w:p>
    <w:p w14:paraId="1F2A979F">
      <w:pPr>
        <w:pStyle w:val="2"/>
        <w:spacing w:line="278" w:lineRule="auto"/>
        <w:rPr>
          <w:sz w:val="21"/>
        </w:rPr>
      </w:pPr>
    </w:p>
    <w:p w14:paraId="7E60B132">
      <w:pPr>
        <w:pStyle w:val="2"/>
        <w:spacing w:line="278" w:lineRule="auto"/>
        <w:rPr>
          <w:sz w:val="21"/>
        </w:rPr>
      </w:pPr>
    </w:p>
    <w:p w14:paraId="42A226C8">
      <w:pPr>
        <w:pStyle w:val="2"/>
        <w:spacing w:line="278" w:lineRule="auto"/>
        <w:rPr>
          <w:sz w:val="21"/>
        </w:rPr>
      </w:pPr>
    </w:p>
    <w:p w14:paraId="420F4CEE">
      <w:pPr>
        <w:pStyle w:val="2"/>
        <w:spacing w:line="279" w:lineRule="auto"/>
        <w:rPr>
          <w:sz w:val="21"/>
        </w:rPr>
      </w:pPr>
    </w:p>
    <w:p w14:paraId="3BC85986">
      <w:pPr>
        <w:spacing w:line="7608" w:lineRule="exact"/>
        <w:ind w:firstLine="779"/>
      </w:pPr>
      <w:r>
        <w:rPr>
          <w:position w:val="-152"/>
        </w:rPr>
        <w:drawing>
          <wp:inline distT="0" distB="0" distL="0" distR="0">
            <wp:extent cx="6479540" cy="4830445"/>
            <wp:effectExtent l="0" t="0" r="0" b="0"/>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r:embed="rId312"/>
                    <a:stretch>
                      <a:fillRect/>
                    </a:stretch>
                  </pic:blipFill>
                  <pic:spPr>
                    <a:xfrm>
                      <a:off x="0" y="0"/>
                      <a:ext cx="6480047" cy="4831079"/>
                    </a:xfrm>
                    <a:prstGeom prst="rect">
                      <a:avLst/>
                    </a:prstGeom>
                  </pic:spPr>
                </pic:pic>
              </a:graphicData>
            </a:graphic>
          </wp:inline>
        </w:drawing>
      </w:r>
    </w:p>
    <w:p w14:paraId="132C0CF0">
      <w:pPr>
        <w:spacing w:before="284" w:line="228" w:lineRule="auto"/>
        <w:ind w:left="3201"/>
        <w:rPr>
          <w:rFonts w:ascii="仿宋" w:hAnsi="仿宋" w:eastAsia="仿宋" w:cs="仿宋"/>
          <w:sz w:val="20"/>
          <w:szCs w:val="20"/>
        </w:rPr>
      </w:pPr>
      <w:r>
        <w:rPr>
          <w:rFonts w:ascii="仿宋" w:hAnsi="仿宋" w:eastAsia="仿宋" w:cs="仿宋"/>
          <w:b/>
          <w:bCs/>
          <w:spacing w:val="7"/>
          <w:sz w:val="20"/>
          <w:szCs w:val="20"/>
        </w:rPr>
        <w:t>附图</w:t>
      </w:r>
      <w:r>
        <w:rPr>
          <w:rFonts w:ascii="仿宋" w:hAnsi="仿宋" w:eastAsia="仿宋" w:cs="仿宋"/>
          <w:spacing w:val="-41"/>
          <w:sz w:val="20"/>
          <w:szCs w:val="20"/>
        </w:rPr>
        <w:t xml:space="preserve"> </w:t>
      </w:r>
      <w:r>
        <w:rPr>
          <w:rFonts w:ascii="Times New Roman" w:hAnsi="Times New Roman" w:eastAsia="Times New Roman" w:cs="Times New Roman"/>
          <w:b/>
          <w:bCs/>
          <w:spacing w:val="7"/>
          <w:sz w:val="20"/>
          <w:szCs w:val="20"/>
        </w:rPr>
        <w:t xml:space="preserve">3    </w:t>
      </w:r>
      <w:r>
        <w:rPr>
          <w:rFonts w:ascii="仿宋" w:hAnsi="仿宋" w:eastAsia="仿宋" w:cs="仿宋"/>
          <w:b/>
          <w:bCs/>
          <w:spacing w:val="7"/>
          <w:sz w:val="20"/>
          <w:szCs w:val="20"/>
        </w:rPr>
        <w:t>本项目在鄂尔多斯市生态功</w:t>
      </w:r>
      <w:r>
        <w:rPr>
          <w:rFonts w:ascii="仿宋" w:hAnsi="仿宋" w:eastAsia="仿宋" w:cs="仿宋"/>
          <w:b/>
          <w:bCs/>
          <w:spacing w:val="6"/>
          <w:sz w:val="20"/>
          <w:szCs w:val="20"/>
        </w:rPr>
        <w:t>能区划图中功能区分布</w:t>
      </w:r>
    </w:p>
    <w:p w14:paraId="45AE412E">
      <w:pPr>
        <w:spacing w:line="228" w:lineRule="auto"/>
        <w:rPr>
          <w:rFonts w:ascii="仿宋" w:hAnsi="仿宋" w:eastAsia="仿宋" w:cs="仿宋"/>
          <w:sz w:val="20"/>
          <w:szCs w:val="20"/>
        </w:rPr>
        <w:sectPr>
          <w:footerReference r:id="rId90" w:type="default"/>
          <w:pgSz w:w="16839" w:h="11906"/>
          <w:pgMar w:top="400" w:right="2525" w:bottom="1516" w:left="2525" w:header="0" w:footer="1354" w:gutter="0"/>
          <w:cols w:space="720" w:num="1"/>
        </w:sectPr>
      </w:pPr>
    </w:p>
    <w:p w14:paraId="0F8602B1">
      <w:pPr>
        <w:spacing w:before="39"/>
      </w:pPr>
      <w:r>
        <w:drawing>
          <wp:anchor distT="0" distB="0" distL="0" distR="0" simplePos="0" relativeHeight="251668480" behindDoc="0" locked="0" layoutInCell="0" allowOverlap="1">
            <wp:simplePos x="0" y="0"/>
            <wp:positionH relativeFrom="page">
              <wp:posOffset>1069340</wp:posOffset>
            </wp:positionH>
            <wp:positionV relativeFrom="page">
              <wp:posOffset>1162685</wp:posOffset>
            </wp:positionV>
            <wp:extent cx="8545195" cy="4685030"/>
            <wp:effectExtent l="0" t="0" r="0" b="0"/>
            <wp:wrapNone/>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313"/>
                    <a:stretch>
                      <a:fillRect/>
                    </a:stretch>
                  </pic:blipFill>
                  <pic:spPr>
                    <a:xfrm>
                      <a:off x="0" y="0"/>
                      <a:ext cx="8545067" cy="4684776"/>
                    </a:xfrm>
                    <a:prstGeom prst="rect">
                      <a:avLst/>
                    </a:prstGeom>
                  </pic:spPr>
                </pic:pic>
              </a:graphicData>
            </a:graphic>
          </wp:anchor>
        </w:drawing>
      </w:r>
    </w:p>
    <w:p w14:paraId="31409736">
      <w:pPr>
        <w:spacing w:before="39"/>
      </w:pPr>
    </w:p>
    <w:p w14:paraId="2726AF77">
      <w:pPr>
        <w:spacing w:before="39"/>
      </w:pPr>
    </w:p>
    <w:p w14:paraId="2FF14FD6">
      <w:pPr>
        <w:spacing w:before="38"/>
      </w:pPr>
    </w:p>
    <w:p w14:paraId="7A56529A">
      <w:pPr>
        <w:spacing w:before="38"/>
      </w:pPr>
    </w:p>
    <w:tbl>
      <w:tblPr>
        <w:tblStyle w:val="5"/>
        <w:tblW w:w="13506" w:type="dxa"/>
        <w:tblInd w:w="5"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13506"/>
      </w:tblGrid>
      <w:tr w14:paraId="0D602DA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7417" w:hRule="atLeast"/>
        </w:trPr>
        <w:tc>
          <w:tcPr>
            <w:tcW w:w="13506" w:type="dxa"/>
            <w:vAlign w:val="top"/>
          </w:tcPr>
          <w:p w14:paraId="63CECEA3">
            <w:pPr>
              <w:rPr>
                <w:rFonts w:ascii="Arial"/>
                <w:sz w:val="21"/>
              </w:rPr>
            </w:pPr>
          </w:p>
        </w:tc>
      </w:tr>
    </w:tbl>
    <w:p w14:paraId="639CB72C">
      <w:pPr>
        <w:spacing w:before="31" w:line="231" w:lineRule="auto"/>
        <w:ind w:left="3599"/>
        <w:rPr>
          <w:rFonts w:ascii="仿宋" w:hAnsi="仿宋" w:eastAsia="仿宋" w:cs="仿宋"/>
          <w:sz w:val="20"/>
          <w:szCs w:val="20"/>
        </w:rPr>
      </w:pPr>
      <w:r>
        <w:rPr>
          <w:rFonts w:ascii="仿宋" w:hAnsi="仿宋" w:eastAsia="仿宋" w:cs="仿宋"/>
          <w:b/>
          <w:bCs/>
          <w:spacing w:val="7"/>
          <w:sz w:val="20"/>
          <w:szCs w:val="20"/>
        </w:rPr>
        <w:t>附图</w:t>
      </w:r>
      <w:r>
        <w:rPr>
          <w:rFonts w:ascii="仿宋" w:hAnsi="仿宋" w:eastAsia="仿宋" w:cs="仿宋"/>
          <w:spacing w:val="-42"/>
          <w:sz w:val="20"/>
          <w:szCs w:val="20"/>
        </w:rPr>
        <w:t xml:space="preserve"> </w:t>
      </w:r>
      <w:r>
        <w:rPr>
          <w:rFonts w:ascii="Times New Roman" w:hAnsi="Times New Roman" w:eastAsia="Times New Roman" w:cs="Times New Roman"/>
          <w:b/>
          <w:bCs/>
          <w:spacing w:val="7"/>
          <w:sz w:val="20"/>
          <w:szCs w:val="20"/>
        </w:rPr>
        <w:t xml:space="preserve">4      </w:t>
      </w:r>
      <w:r>
        <w:rPr>
          <w:rFonts w:ascii="仿宋" w:hAnsi="仿宋" w:eastAsia="仿宋" w:cs="仿宋"/>
          <w:b/>
          <w:bCs/>
          <w:spacing w:val="7"/>
          <w:sz w:val="20"/>
          <w:szCs w:val="20"/>
        </w:rPr>
        <w:t>本项目十二连城乡各路段线</w:t>
      </w:r>
      <w:r>
        <w:rPr>
          <w:rFonts w:ascii="仿宋" w:hAnsi="仿宋" w:eastAsia="仿宋" w:cs="仿宋"/>
          <w:b/>
          <w:bCs/>
          <w:spacing w:val="6"/>
          <w:sz w:val="20"/>
          <w:szCs w:val="20"/>
        </w:rPr>
        <w:t>路走向及噪声、生态评价范围图</w:t>
      </w:r>
    </w:p>
    <w:p w14:paraId="4881DF7A">
      <w:pPr>
        <w:spacing w:line="231" w:lineRule="auto"/>
        <w:rPr>
          <w:rFonts w:ascii="仿宋" w:hAnsi="仿宋" w:eastAsia="仿宋" w:cs="仿宋"/>
          <w:sz w:val="20"/>
          <w:szCs w:val="20"/>
        </w:rPr>
        <w:sectPr>
          <w:footerReference r:id="rId91" w:type="default"/>
          <w:pgSz w:w="16839" w:h="11906"/>
          <w:pgMar w:top="400" w:right="1666" w:bottom="1516" w:left="1654" w:header="0" w:footer="1354" w:gutter="0"/>
          <w:cols w:space="720" w:num="1"/>
        </w:sectPr>
      </w:pPr>
    </w:p>
    <w:p w14:paraId="09F5897D">
      <w:pPr>
        <w:spacing w:before="19"/>
      </w:pPr>
      <w:r>
        <w:drawing>
          <wp:anchor distT="0" distB="0" distL="0" distR="0" simplePos="0" relativeHeight="251669504" behindDoc="0" locked="0" layoutInCell="0" allowOverlap="1">
            <wp:simplePos x="0" y="0"/>
            <wp:positionH relativeFrom="page">
              <wp:posOffset>1162685</wp:posOffset>
            </wp:positionH>
            <wp:positionV relativeFrom="page">
              <wp:posOffset>934085</wp:posOffset>
            </wp:positionV>
            <wp:extent cx="5271770" cy="6503035"/>
            <wp:effectExtent l="0" t="0" r="0" b="0"/>
            <wp:wrapNone/>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r:embed="rId314"/>
                    <a:stretch>
                      <a:fillRect/>
                    </a:stretch>
                  </pic:blipFill>
                  <pic:spPr>
                    <a:xfrm>
                      <a:off x="0" y="0"/>
                      <a:ext cx="5271515" cy="6502907"/>
                    </a:xfrm>
                    <a:prstGeom prst="rect">
                      <a:avLst/>
                    </a:prstGeom>
                  </pic:spPr>
                </pic:pic>
              </a:graphicData>
            </a:graphic>
          </wp:anchor>
        </w:drawing>
      </w:r>
    </w:p>
    <w:p w14:paraId="44643CC4">
      <w:pPr>
        <w:spacing w:before="19"/>
      </w:pPr>
    </w:p>
    <w:p w14:paraId="09489683">
      <w:pPr>
        <w:spacing w:before="19"/>
      </w:pPr>
    </w:p>
    <w:p w14:paraId="467D2768">
      <w:pPr>
        <w:spacing w:before="18"/>
      </w:pPr>
    </w:p>
    <w:tbl>
      <w:tblPr>
        <w:tblStyle w:val="5"/>
        <w:tblW w:w="8351" w:type="dxa"/>
        <w:tblInd w:w="20"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8351"/>
      </w:tblGrid>
      <w:tr w14:paraId="1672178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0280" w:hRule="atLeast"/>
        </w:trPr>
        <w:tc>
          <w:tcPr>
            <w:tcW w:w="8351" w:type="dxa"/>
            <w:vAlign w:val="top"/>
          </w:tcPr>
          <w:p w14:paraId="5C68CC5B">
            <w:pPr>
              <w:rPr>
                <w:rFonts w:ascii="Arial"/>
                <w:sz w:val="21"/>
              </w:rPr>
            </w:pPr>
          </w:p>
        </w:tc>
      </w:tr>
    </w:tbl>
    <w:p w14:paraId="765A7133">
      <w:pPr>
        <w:spacing w:before="48" w:line="231" w:lineRule="auto"/>
        <w:ind w:left="1107"/>
        <w:rPr>
          <w:rFonts w:ascii="仿宋" w:hAnsi="仿宋" w:eastAsia="仿宋" w:cs="仿宋"/>
          <w:sz w:val="20"/>
          <w:szCs w:val="20"/>
        </w:rPr>
      </w:pPr>
      <w:r>
        <w:rPr>
          <w:rFonts w:ascii="仿宋" w:hAnsi="仿宋" w:eastAsia="仿宋" w:cs="仿宋"/>
          <w:b/>
          <w:bCs/>
          <w:spacing w:val="6"/>
          <w:sz w:val="20"/>
          <w:szCs w:val="20"/>
        </w:rPr>
        <w:t>附图</w:t>
      </w:r>
      <w:r>
        <w:rPr>
          <w:rFonts w:ascii="仿宋" w:hAnsi="仿宋" w:eastAsia="仿宋" w:cs="仿宋"/>
          <w:spacing w:val="-24"/>
          <w:sz w:val="20"/>
          <w:szCs w:val="20"/>
        </w:rPr>
        <w:t xml:space="preserve"> </w:t>
      </w:r>
      <w:r>
        <w:rPr>
          <w:rFonts w:ascii="Times New Roman" w:hAnsi="Times New Roman" w:eastAsia="Times New Roman" w:cs="Times New Roman"/>
          <w:b/>
          <w:bCs/>
          <w:spacing w:val="6"/>
          <w:sz w:val="20"/>
          <w:szCs w:val="20"/>
        </w:rPr>
        <w:t xml:space="preserve">5      </w:t>
      </w:r>
      <w:r>
        <w:rPr>
          <w:rFonts w:ascii="仿宋" w:hAnsi="仿宋" w:eastAsia="仿宋" w:cs="仿宋"/>
          <w:b/>
          <w:bCs/>
          <w:spacing w:val="6"/>
          <w:sz w:val="20"/>
          <w:szCs w:val="20"/>
        </w:rPr>
        <w:t>本项目沙圪堵镇各路段线路走向及噪声、生态评价范围图</w:t>
      </w:r>
    </w:p>
    <w:p w14:paraId="2AE15D6F">
      <w:pPr>
        <w:spacing w:line="231" w:lineRule="auto"/>
        <w:rPr>
          <w:rFonts w:ascii="仿宋" w:hAnsi="仿宋" w:eastAsia="仿宋" w:cs="仿宋"/>
          <w:sz w:val="20"/>
          <w:szCs w:val="20"/>
        </w:rPr>
        <w:sectPr>
          <w:footerReference r:id="rId92" w:type="default"/>
          <w:pgSz w:w="11906" w:h="16839"/>
          <w:pgMar w:top="400" w:right="1743" w:bottom="1516" w:left="1785" w:header="0" w:footer="1354" w:gutter="0"/>
          <w:cols w:space="720" w:num="1"/>
        </w:sectPr>
      </w:pPr>
    </w:p>
    <w:p w14:paraId="665312F4">
      <w:pPr>
        <w:spacing w:before="19"/>
      </w:pPr>
      <w:r>
        <w:drawing>
          <wp:anchor distT="0" distB="0" distL="0" distR="0" simplePos="0" relativeHeight="251670528" behindDoc="0" locked="0" layoutInCell="0" allowOverlap="1">
            <wp:simplePos x="0" y="0"/>
            <wp:positionH relativeFrom="page">
              <wp:posOffset>1162685</wp:posOffset>
            </wp:positionH>
            <wp:positionV relativeFrom="page">
              <wp:posOffset>934085</wp:posOffset>
            </wp:positionV>
            <wp:extent cx="5273040" cy="6033770"/>
            <wp:effectExtent l="0" t="0" r="0" b="0"/>
            <wp:wrapNone/>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r:embed="rId315"/>
                    <a:stretch>
                      <a:fillRect/>
                    </a:stretch>
                  </pic:blipFill>
                  <pic:spPr>
                    <a:xfrm>
                      <a:off x="0" y="0"/>
                      <a:ext cx="5273040" cy="6033515"/>
                    </a:xfrm>
                    <a:prstGeom prst="rect">
                      <a:avLst/>
                    </a:prstGeom>
                  </pic:spPr>
                </pic:pic>
              </a:graphicData>
            </a:graphic>
          </wp:anchor>
        </w:drawing>
      </w:r>
    </w:p>
    <w:p w14:paraId="50A94A42">
      <w:pPr>
        <w:spacing w:before="19"/>
      </w:pPr>
    </w:p>
    <w:p w14:paraId="3A6D1101">
      <w:pPr>
        <w:spacing w:before="19"/>
      </w:pPr>
    </w:p>
    <w:p w14:paraId="5298C10B">
      <w:pPr>
        <w:spacing w:before="18"/>
      </w:pPr>
    </w:p>
    <w:tbl>
      <w:tblPr>
        <w:tblStyle w:val="5"/>
        <w:tblW w:w="8354" w:type="dxa"/>
        <w:tblInd w:w="20"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8354"/>
      </w:tblGrid>
      <w:tr w14:paraId="39E5BED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9541" w:hRule="atLeast"/>
        </w:trPr>
        <w:tc>
          <w:tcPr>
            <w:tcW w:w="8354" w:type="dxa"/>
            <w:vAlign w:val="top"/>
          </w:tcPr>
          <w:p w14:paraId="4AC19D5E">
            <w:pPr>
              <w:rPr>
                <w:rFonts w:ascii="Arial"/>
                <w:sz w:val="21"/>
              </w:rPr>
            </w:pPr>
          </w:p>
        </w:tc>
      </w:tr>
    </w:tbl>
    <w:p w14:paraId="11481EAF">
      <w:pPr>
        <w:spacing w:before="38" w:line="229" w:lineRule="auto"/>
        <w:ind w:left="156"/>
        <w:rPr>
          <w:rFonts w:ascii="仿宋" w:hAnsi="仿宋" w:eastAsia="仿宋" w:cs="仿宋"/>
          <w:sz w:val="20"/>
          <w:szCs w:val="20"/>
        </w:rPr>
      </w:pPr>
      <w:r>
        <w:rPr>
          <w:rFonts w:ascii="仿宋" w:hAnsi="仿宋" w:eastAsia="仿宋" w:cs="仿宋"/>
          <w:b/>
          <w:bCs/>
          <w:spacing w:val="8"/>
          <w:sz w:val="20"/>
          <w:szCs w:val="20"/>
        </w:rPr>
        <w:t>附图</w:t>
      </w:r>
      <w:r>
        <w:rPr>
          <w:rFonts w:ascii="仿宋" w:hAnsi="仿宋" w:eastAsia="仿宋" w:cs="仿宋"/>
          <w:spacing w:val="-37"/>
          <w:sz w:val="20"/>
          <w:szCs w:val="20"/>
        </w:rPr>
        <w:t xml:space="preserve"> </w:t>
      </w:r>
      <w:r>
        <w:rPr>
          <w:rFonts w:ascii="Times New Roman" w:hAnsi="Times New Roman" w:eastAsia="Times New Roman" w:cs="Times New Roman"/>
          <w:b/>
          <w:bCs/>
          <w:spacing w:val="8"/>
          <w:sz w:val="20"/>
          <w:szCs w:val="20"/>
        </w:rPr>
        <w:t>6</w:t>
      </w:r>
      <w:r>
        <w:rPr>
          <w:rFonts w:ascii="仿宋" w:hAnsi="仿宋" w:eastAsia="仿宋" w:cs="仿宋"/>
          <w:b/>
          <w:bCs/>
          <w:spacing w:val="8"/>
          <w:sz w:val="20"/>
          <w:szCs w:val="20"/>
        </w:rPr>
        <w:t>（</w:t>
      </w:r>
      <w:r>
        <w:rPr>
          <w:rFonts w:ascii="Times New Roman" w:hAnsi="Times New Roman" w:eastAsia="Times New Roman" w:cs="Times New Roman"/>
          <w:b/>
          <w:bCs/>
          <w:spacing w:val="8"/>
          <w:sz w:val="20"/>
          <w:szCs w:val="20"/>
        </w:rPr>
        <w:t>1</w:t>
      </w:r>
      <w:r>
        <w:rPr>
          <w:rFonts w:ascii="仿宋" w:hAnsi="仿宋" w:eastAsia="仿宋" w:cs="仿宋"/>
          <w:b/>
          <w:bCs/>
          <w:spacing w:val="8"/>
          <w:sz w:val="20"/>
          <w:szCs w:val="20"/>
        </w:rPr>
        <w:t>）李家圪堵至土敖包通村公路及双山梁村通</w:t>
      </w:r>
      <w:r>
        <w:rPr>
          <w:rFonts w:ascii="仿宋" w:hAnsi="仿宋" w:eastAsia="仿宋" w:cs="仿宋"/>
          <w:b/>
          <w:bCs/>
          <w:spacing w:val="7"/>
          <w:sz w:val="20"/>
          <w:szCs w:val="20"/>
        </w:rPr>
        <w:t>社公路沿线声环境保护目标分布图</w:t>
      </w:r>
    </w:p>
    <w:p w14:paraId="358EA7B3">
      <w:pPr>
        <w:spacing w:line="229" w:lineRule="auto"/>
        <w:rPr>
          <w:rFonts w:ascii="仿宋" w:hAnsi="仿宋" w:eastAsia="仿宋" w:cs="仿宋"/>
          <w:sz w:val="20"/>
          <w:szCs w:val="20"/>
        </w:rPr>
        <w:sectPr>
          <w:footerReference r:id="rId93" w:type="default"/>
          <w:pgSz w:w="11906" w:h="16839"/>
          <w:pgMar w:top="400" w:right="1740" w:bottom="1516" w:left="1785" w:header="0" w:footer="1354" w:gutter="0"/>
          <w:cols w:space="720" w:num="1"/>
        </w:sectPr>
      </w:pPr>
    </w:p>
    <w:p w14:paraId="6E430B3B">
      <w:pPr>
        <w:spacing w:before="19"/>
      </w:pPr>
      <w:r>
        <w:drawing>
          <wp:anchor distT="0" distB="0" distL="0" distR="0" simplePos="0" relativeHeight="251671552" behindDoc="0" locked="0" layoutInCell="0" allowOverlap="1">
            <wp:simplePos x="0" y="0"/>
            <wp:positionH relativeFrom="page">
              <wp:posOffset>1162685</wp:posOffset>
            </wp:positionH>
            <wp:positionV relativeFrom="page">
              <wp:posOffset>934085</wp:posOffset>
            </wp:positionV>
            <wp:extent cx="5269865" cy="6442075"/>
            <wp:effectExtent l="0" t="0" r="0" b="0"/>
            <wp:wrapNone/>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r:embed="rId316"/>
                    <a:stretch>
                      <a:fillRect/>
                    </a:stretch>
                  </pic:blipFill>
                  <pic:spPr>
                    <a:xfrm>
                      <a:off x="0" y="0"/>
                      <a:ext cx="5269991" cy="6441948"/>
                    </a:xfrm>
                    <a:prstGeom prst="rect">
                      <a:avLst/>
                    </a:prstGeom>
                  </pic:spPr>
                </pic:pic>
              </a:graphicData>
            </a:graphic>
          </wp:anchor>
        </w:drawing>
      </w:r>
    </w:p>
    <w:p w14:paraId="55A74C50">
      <w:pPr>
        <w:spacing w:before="19"/>
      </w:pPr>
    </w:p>
    <w:p w14:paraId="1B25F0D1">
      <w:pPr>
        <w:spacing w:before="19"/>
      </w:pPr>
    </w:p>
    <w:p w14:paraId="54ED0ACF">
      <w:pPr>
        <w:spacing w:before="18"/>
      </w:pPr>
    </w:p>
    <w:tbl>
      <w:tblPr>
        <w:tblStyle w:val="5"/>
        <w:tblW w:w="8349" w:type="dxa"/>
        <w:tblInd w:w="20"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8349"/>
      </w:tblGrid>
      <w:tr w14:paraId="34CE55F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0184" w:hRule="atLeast"/>
        </w:trPr>
        <w:tc>
          <w:tcPr>
            <w:tcW w:w="8349" w:type="dxa"/>
            <w:vAlign w:val="top"/>
          </w:tcPr>
          <w:p w14:paraId="51ECD679">
            <w:pPr>
              <w:rPr>
                <w:rFonts w:ascii="Arial"/>
                <w:sz w:val="21"/>
              </w:rPr>
            </w:pPr>
          </w:p>
        </w:tc>
      </w:tr>
    </w:tbl>
    <w:p w14:paraId="098BBB85">
      <w:pPr>
        <w:spacing w:before="295" w:line="229" w:lineRule="auto"/>
        <w:ind w:left="624"/>
        <w:rPr>
          <w:rFonts w:ascii="仿宋" w:hAnsi="仿宋" w:eastAsia="仿宋" w:cs="仿宋"/>
          <w:sz w:val="20"/>
          <w:szCs w:val="20"/>
        </w:rPr>
      </w:pPr>
      <w:r>
        <w:rPr>
          <w:rFonts w:ascii="仿宋" w:hAnsi="仿宋" w:eastAsia="仿宋" w:cs="仿宋"/>
          <w:b/>
          <w:bCs/>
          <w:spacing w:val="6"/>
          <w:sz w:val="20"/>
          <w:szCs w:val="20"/>
        </w:rPr>
        <w:t>附图</w:t>
      </w:r>
      <w:r>
        <w:rPr>
          <w:rFonts w:ascii="仿宋" w:hAnsi="仿宋" w:eastAsia="仿宋" w:cs="仿宋"/>
          <w:spacing w:val="-38"/>
          <w:sz w:val="20"/>
          <w:szCs w:val="20"/>
        </w:rPr>
        <w:t xml:space="preserve"> </w:t>
      </w:r>
      <w:r>
        <w:rPr>
          <w:rFonts w:ascii="Times New Roman" w:hAnsi="Times New Roman" w:eastAsia="Times New Roman" w:cs="Times New Roman"/>
          <w:b/>
          <w:bCs/>
          <w:spacing w:val="6"/>
          <w:sz w:val="20"/>
          <w:szCs w:val="20"/>
        </w:rPr>
        <w:t>6</w:t>
      </w:r>
      <w:r>
        <w:rPr>
          <w:rFonts w:ascii="仿宋" w:hAnsi="仿宋" w:eastAsia="仿宋" w:cs="仿宋"/>
          <w:b/>
          <w:bCs/>
          <w:spacing w:val="6"/>
          <w:sz w:val="20"/>
          <w:szCs w:val="20"/>
        </w:rPr>
        <w:t>（</w:t>
      </w:r>
      <w:r>
        <w:rPr>
          <w:rFonts w:ascii="Times New Roman" w:hAnsi="Times New Roman" w:eastAsia="Times New Roman" w:cs="Times New Roman"/>
          <w:b/>
          <w:bCs/>
          <w:spacing w:val="6"/>
          <w:sz w:val="20"/>
          <w:szCs w:val="20"/>
        </w:rPr>
        <w:t>2</w:t>
      </w:r>
      <w:r>
        <w:rPr>
          <w:rFonts w:ascii="仿宋" w:hAnsi="仿宋" w:eastAsia="仿宋" w:cs="仿宋"/>
          <w:b/>
          <w:bCs/>
          <w:spacing w:val="6"/>
          <w:sz w:val="20"/>
          <w:szCs w:val="20"/>
        </w:rPr>
        <w:t>）</w:t>
      </w:r>
      <w:r>
        <w:rPr>
          <w:rFonts w:ascii="仿宋" w:hAnsi="仿宋" w:eastAsia="仿宋" w:cs="仿宋"/>
          <w:spacing w:val="68"/>
          <w:sz w:val="20"/>
          <w:szCs w:val="20"/>
        </w:rPr>
        <w:t xml:space="preserve"> </w:t>
      </w:r>
      <w:r>
        <w:rPr>
          <w:rFonts w:ascii="仿宋" w:hAnsi="仿宋" w:eastAsia="仿宋" w:cs="仿宋"/>
          <w:b/>
          <w:bCs/>
          <w:spacing w:val="6"/>
          <w:sz w:val="20"/>
          <w:szCs w:val="20"/>
        </w:rPr>
        <w:t>四道敖包至淡家梁至杨家塔通村公路沿线声环境保护目标分布图</w:t>
      </w:r>
    </w:p>
    <w:p w14:paraId="1A3BA08B">
      <w:pPr>
        <w:spacing w:line="229" w:lineRule="auto"/>
        <w:rPr>
          <w:rFonts w:ascii="仿宋" w:hAnsi="仿宋" w:eastAsia="仿宋" w:cs="仿宋"/>
          <w:sz w:val="20"/>
          <w:szCs w:val="20"/>
        </w:rPr>
        <w:sectPr>
          <w:footerReference r:id="rId94" w:type="default"/>
          <w:pgSz w:w="11906" w:h="16839"/>
          <w:pgMar w:top="400" w:right="1745" w:bottom="1516" w:left="1785" w:header="0" w:footer="1354" w:gutter="0"/>
          <w:cols w:space="720" w:num="1"/>
        </w:sectPr>
      </w:pPr>
    </w:p>
    <w:p w14:paraId="65971037">
      <w:pPr>
        <w:spacing w:before="39"/>
      </w:pPr>
      <w:r>
        <w:drawing>
          <wp:anchor distT="0" distB="0" distL="0" distR="0" simplePos="0" relativeHeight="251672576" behindDoc="0" locked="0" layoutInCell="0" allowOverlap="1">
            <wp:simplePos x="0" y="0"/>
            <wp:positionH relativeFrom="page">
              <wp:posOffset>1840865</wp:posOffset>
            </wp:positionH>
            <wp:positionV relativeFrom="page">
              <wp:posOffset>1162685</wp:posOffset>
            </wp:positionV>
            <wp:extent cx="6996430" cy="4677410"/>
            <wp:effectExtent l="0" t="0" r="0" b="0"/>
            <wp:wrapNone/>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r:embed="rId317"/>
                    <a:stretch>
                      <a:fillRect/>
                    </a:stretch>
                  </pic:blipFill>
                  <pic:spPr>
                    <a:xfrm>
                      <a:off x="0" y="0"/>
                      <a:ext cx="6996684" cy="4677155"/>
                    </a:xfrm>
                    <a:prstGeom prst="rect">
                      <a:avLst/>
                    </a:prstGeom>
                  </pic:spPr>
                </pic:pic>
              </a:graphicData>
            </a:graphic>
          </wp:anchor>
        </w:drawing>
      </w:r>
    </w:p>
    <w:p w14:paraId="51AC44D9">
      <w:pPr>
        <w:spacing w:before="39"/>
      </w:pPr>
    </w:p>
    <w:p w14:paraId="1551A5D4">
      <w:pPr>
        <w:spacing w:before="39"/>
      </w:pPr>
    </w:p>
    <w:p w14:paraId="46AB285B">
      <w:pPr>
        <w:spacing w:before="38"/>
      </w:pPr>
    </w:p>
    <w:p w14:paraId="150C32E0">
      <w:pPr>
        <w:spacing w:before="38"/>
      </w:pPr>
    </w:p>
    <w:tbl>
      <w:tblPr>
        <w:tblStyle w:val="5"/>
        <w:tblW w:w="11068" w:type="dxa"/>
        <w:tblInd w:w="348"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11068"/>
      </w:tblGrid>
      <w:tr w14:paraId="1747C2B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7405" w:hRule="atLeast"/>
        </w:trPr>
        <w:tc>
          <w:tcPr>
            <w:tcW w:w="11068" w:type="dxa"/>
            <w:vAlign w:val="top"/>
          </w:tcPr>
          <w:p w14:paraId="7B3E4BE4">
            <w:pPr>
              <w:rPr>
                <w:rFonts w:ascii="Arial"/>
                <w:sz w:val="21"/>
              </w:rPr>
            </w:pPr>
          </w:p>
        </w:tc>
      </w:tr>
    </w:tbl>
    <w:p w14:paraId="3D21906E">
      <w:pPr>
        <w:spacing w:before="43" w:line="229" w:lineRule="auto"/>
        <w:ind w:left="2465"/>
        <w:rPr>
          <w:rFonts w:ascii="仿宋" w:hAnsi="仿宋" w:eastAsia="仿宋" w:cs="仿宋"/>
          <w:sz w:val="20"/>
          <w:szCs w:val="20"/>
        </w:rPr>
      </w:pPr>
      <w:r>
        <w:rPr>
          <w:rFonts w:ascii="仿宋" w:hAnsi="仿宋" w:eastAsia="仿宋" w:cs="仿宋"/>
          <w:b/>
          <w:bCs/>
          <w:spacing w:val="6"/>
          <w:sz w:val="20"/>
          <w:szCs w:val="20"/>
        </w:rPr>
        <w:t>附图</w:t>
      </w:r>
      <w:r>
        <w:rPr>
          <w:rFonts w:ascii="仿宋" w:hAnsi="仿宋" w:eastAsia="仿宋" w:cs="仿宋"/>
          <w:spacing w:val="-30"/>
          <w:sz w:val="20"/>
          <w:szCs w:val="20"/>
        </w:rPr>
        <w:t xml:space="preserve"> </w:t>
      </w:r>
      <w:r>
        <w:rPr>
          <w:rFonts w:ascii="Times New Roman" w:hAnsi="Times New Roman" w:eastAsia="Times New Roman" w:cs="Times New Roman"/>
          <w:b/>
          <w:bCs/>
          <w:spacing w:val="6"/>
          <w:sz w:val="20"/>
          <w:szCs w:val="20"/>
        </w:rPr>
        <w:t>6</w:t>
      </w:r>
      <w:r>
        <w:rPr>
          <w:rFonts w:ascii="仿宋" w:hAnsi="仿宋" w:eastAsia="仿宋" w:cs="仿宋"/>
          <w:b/>
          <w:bCs/>
          <w:spacing w:val="6"/>
          <w:sz w:val="20"/>
          <w:szCs w:val="20"/>
        </w:rPr>
        <w:t>（</w:t>
      </w:r>
      <w:r>
        <w:rPr>
          <w:rFonts w:ascii="Times New Roman" w:hAnsi="Times New Roman" w:eastAsia="Times New Roman" w:cs="Times New Roman"/>
          <w:b/>
          <w:bCs/>
          <w:spacing w:val="6"/>
          <w:sz w:val="20"/>
          <w:szCs w:val="20"/>
        </w:rPr>
        <w:t>3</w:t>
      </w:r>
      <w:r>
        <w:rPr>
          <w:rFonts w:ascii="仿宋" w:hAnsi="仿宋" w:eastAsia="仿宋" w:cs="仿宋"/>
          <w:b/>
          <w:bCs/>
          <w:spacing w:val="6"/>
          <w:sz w:val="20"/>
          <w:szCs w:val="20"/>
        </w:rPr>
        <w:t>）</w:t>
      </w:r>
      <w:r>
        <w:rPr>
          <w:rFonts w:ascii="仿宋" w:hAnsi="仿宋" w:eastAsia="仿宋" w:cs="仿宋"/>
          <w:spacing w:val="43"/>
          <w:sz w:val="20"/>
          <w:szCs w:val="20"/>
        </w:rPr>
        <w:t xml:space="preserve"> </w:t>
      </w:r>
      <w:r>
        <w:rPr>
          <w:rFonts w:ascii="仿宋" w:hAnsi="仿宋" w:eastAsia="仿宋" w:cs="仿宋"/>
          <w:b/>
          <w:bCs/>
          <w:spacing w:val="6"/>
          <w:sz w:val="20"/>
          <w:szCs w:val="20"/>
        </w:rPr>
        <w:t>乌拉素村二道壕大坝东至秦家塔社沿线声环境保护目标分布图</w:t>
      </w:r>
    </w:p>
    <w:p w14:paraId="6A566D5F">
      <w:pPr>
        <w:spacing w:line="229" w:lineRule="auto"/>
        <w:rPr>
          <w:rFonts w:ascii="仿宋" w:hAnsi="仿宋" w:eastAsia="仿宋" w:cs="仿宋"/>
          <w:sz w:val="20"/>
          <w:szCs w:val="20"/>
        </w:rPr>
        <w:sectPr>
          <w:footerReference r:id="rId95" w:type="default"/>
          <w:pgSz w:w="16839" w:h="11906"/>
          <w:pgMar w:top="400" w:right="2525" w:bottom="1516" w:left="2525" w:header="0" w:footer="1354" w:gutter="0"/>
          <w:cols w:space="720" w:num="1"/>
        </w:sectPr>
      </w:pPr>
    </w:p>
    <w:p w14:paraId="1F5EC22E">
      <w:pPr>
        <w:spacing w:before="39"/>
      </w:pPr>
      <w:r>
        <w:drawing>
          <wp:anchor distT="0" distB="0" distL="0" distR="0" simplePos="0" relativeHeight="251673600" behindDoc="0" locked="0" layoutInCell="0" allowOverlap="1">
            <wp:simplePos x="0" y="0"/>
            <wp:positionH relativeFrom="page">
              <wp:posOffset>1354455</wp:posOffset>
            </wp:positionH>
            <wp:positionV relativeFrom="page">
              <wp:posOffset>1162685</wp:posOffset>
            </wp:positionV>
            <wp:extent cx="7966075" cy="4309745"/>
            <wp:effectExtent l="0" t="0" r="0" b="0"/>
            <wp:wrapNone/>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r:embed="rId318"/>
                    <a:stretch>
                      <a:fillRect/>
                    </a:stretch>
                  </pic:blipFill>
                  <pic:spPr>
                    <a:xfrm>
                      <a:off x="0" y="0"/>
                      <a:ext cx="7965947" cy="4309871"/>
                    </a:xfrm>
                    <a:prstGeom prst="rect">
                      <a:avLst/>
                    </a:prstGeom>
                  </pic:spPr>
                </pic:pic>
              </a:graphicData>
            </a:graphic>
          </wp:anchor>
        </w:drawing>
      </w:r>
    </w:p>
    <w:p w14:paraId="2A6DAF11">
      <w:pPr>
        <w:spacing w:before="39"/>
      </w:pPr>
    </w:p>
    <w:p w14:paraId="253AEF09">
      <w:pPr>
        <w:spacing w:before="39"/>
      </w:pPr>
    </w:p>
    <w:p w14:paraId="49DFEE5F">
      <w:pPr>
        <w:spacing w:before="38"/>
      </w:pPr>
    </w:p>
    <w:p w14:paraId="56DBB8F0">
      <w:pPr>
        <w:spacing w:before="38"/>
      </w:pPr>
    </w:p>
    <w:tbl>
      <w:tblPr>
        <w:tblStyle w:val="5"/>
        <w:tblW w:w="12594" w:type="dxa"/>
        <w:tblInd w:w="5"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12594"/>
      </w:tblGrid>
      <w:tr w14:paraId="53EEE3A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6827" w:hRule="atLeast"/>
        </w:trPr>
        <w:tc>
          <w:tcPr>
            <w:tcW w:w="12594" w:type="dxa"/>
            <w:vAlign w:val="top"/>
          </w:tcPr>
          <w:p w14:paraId="651EA87C">
            <w:pPr>
              <w:rPr>
                <w:rFonts w:ascii="Arial"/>
                <w:sz w:val="21"/>
              </w:rPr>
            </w:pPr>
          </w:p>
        </w:tc>
      </w:tr>
    </w:tbl>
    <w:p w14:paraId="086645BF">
      <w:pPr>
        <w:spacing w:before="52" w:line="229" w:lineRule="auto"/>
        <w:ind w:left="2992"/>
        <w:rPr>
          <w:rFonts w:ascii="仿宋" w:hAnsi="仿宋" w:eastAsia="仿宋" w:cs="仿宋"/>
          <w:sz w:val="20"/>
          <w:szCs w:val="20"/>
        </w:rPr>
      </w:pPr>
      <w:r>
        <w:rPr>
          <w:rFonts w:ascii="仿宋" w:hAnsi="仿宋" w:eastAsia="仿宋" w:cs="仿宋"/>
          <w:b/>
          <w:bCs/>
          <w:spacing w:val="6"/>
          <w:sz w:val="20"/>
          <w:szCs w:val="20"/>
        </w:rPr>
        <w:t>附图</w:t>
      </w:r>
      <w:r>
        <w:rPr>
          <w:rFonts w:ascii="仿宋" w:hAnsi="仿宋" w:eastAsia="仿宋" w:cs="仿宋"/>
          <w:spacing w:val="-22"/>
          <w:sz w:val="20"/>
          <w:szCs w:val="20"/>
        </w:rPr>
        <w:t xml:space="preserve"> </w:t>
      </w:r>
      <w:r>
        <w:rPr>
          <w:rFonts w:ascii="Times New Roman" w:hAnsi="Times New Roman" w:eastAsia="Times New Roman" w:cs="Times New Roman"/>
          <w:b/>
          <w:bCs/>
          <w:spacing w:val="6"/>
          <w:sz w:val="20"/>
          <w:szCs w:val="20"/>
        </w:rPr>
        <w:t>6</w:t>
      </w:r>
      <w:r>
        <w:rPr>
          <w:rFonts w:ascii="仿宋" w:hAnsi="仿宋" w:eastAsia="仿宋" w:cs="仿宋"/>
          <w:b/>
          <w:bCs/>
          <w:spacing w:val="6"/>
          <w:sz w:val="20"/>
          <w:szCs w:val="20"/>
        </w:rPr>
        <w:t>（</w:t>
      </w:r>
      <w:r>
        <w:rPr>
          <w:rFonts w:ascii="Times New Roman" w:hAnsi="Times New Roman" w:eastAsia="Times New Roman" w:cs="Times New Roman"/>
          <w:b/>
          <w:bCs/>
          <w:spacing w:val="6"/>
          <w:sz w:val="20"/>
          <w:szCs w:val="20"/>
        </w:rPr>
        <w:t>4</w:t>
      </w:r>
      <w:r>
        <w:rPr>
          <w:rFonts w:ascii="仿宋" w:hAnsi="仿宋" w:eastAsia="仿宋" w:cs="仿宋"/>
          <w:b/>
          <w:bCs/>
          <w:spacing w:val="6"/>
          <w:sz w:val="20"/>
          <w:szCs w:val="20"/>
        </w:rPr>
        <w:t>）</w:t>
      </w:r>
      <w:r>
        <w:rPr>
          <w:rFonts w:ascii="仿宋" w:hAnsi="仿宋" w:eastAsia="仿宋" w:cs="仿宋"/>
          <w:spacing w:val="32"/>
          <w:sz w:val="20"/>
          <w:szCs w:val="20"/>
        </w:rPr>
        <w:t xml:space="preserve"> </w:t>
      </w:r>
      <w:r>
        <w:rPr>
          <w:rFonts w:ascii="仿宋" w:hAnsi="仿宋" w:eastAsia="仿宋" w:cs="仿宋"/>
          <w:b/>
          <w:bCs/>
          <w:spacing w:val="6"/>
          <w:sz w:val="20"/>
          <w:szCs w:val="20"/>
        </w:rPr>
        <w:t>份子地社新村至二道拐村委会段沿线声环境保护目标分布图</w:t>
      </w:r>
    </w:p>
    <w:p w14:paraId="5F2D5679">
      <w:pPr>
        <w:spacing w:line="229" w:lineRule="auto"/>
        <w:rPr>
          <w:rFonts w:ascii="仿宋" w:hAnsi="仿宋" w:eastAsia="仿宋" w:cs="仿宋"/>
          <w:sz w:val="20"/>
          <w:szCs w:val="20"/>
        </w:rPr>
        <w:sectPr>
          <w:footerReference r:id="rId96" w:type="default"/>
          <w:pgSz w:w="16839" w:h="11906"/>
          <w:pgMar w:top="400" w:right="2129" w:bottom="1516" w:left="2103" w:header="0" w:footer="1354" w:gutter="0"/>
          <w:cols w:space="720" w:num="1"/>
        </w:sectPr>
      </w:pPr>
    </w:p>
    <w:p w14:paraId="61D47876">
      <w:pPr>
        <w:spacing w:before="39"/>
      </w:pPr>
      <w:r>
        <w:drawing>
          <wp:anchor distT="0" distB="0" distL="0" distR="0" simplePos="0" relativeHeight="251674624" behindDoc="0" locked="0" layoutInCell="0" allowOverlap="1">
            <wp:simplePos x="0" y="0"/>
            <wp:positionH relativeFrom="page">
              <wp:posOffset>1840865</wp:posOffset>
            </wp:positionH>
            <wp:positionV relativeFrom="page">
              <wp:posOffset>1162685</wp:posOffset>
            </wp:positionV>
            <wp:extent cx="6993890" cy="4398010"/>
            <wp:effectExtent l="0" t="0" r="0" b="0"/>
            <wp:wrapNone/>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r:embed="rId319"/>
                    <a:stretch>
                      <a:fillRect/>
                    </a:stretch>
                  </pic:blipFill>
                  <pic:spPr>
                    <a:xfrm>
                      <a:off x="0" y="0"/>
                      <a:ext cx="6993636" cy="4398264"/>
                    </a:xfrm>
                    <a:prstGeom prst="rect">
                      <a:avLst/>
                    </a:prstGeom>
                  </pic:spPr>
                </pic:pic>
              </a:graphicData>
            </a:graphic>
          </wp:anchor>
        </w:drawing>
      </w:r>
    </w:p>
    <w:p w14:paraId="23B37CBE">
      <w:pPr>
        <w:spacing w:before="39"/>
      </w:pPr>
    </w:p>
    <w:p w14:paraId="0A7B218F">
      <w:pPr>
        <w:spacing w:before="39"/>
      </w:pPr>
    </w:p>
    <w:p w14:paraId="2508A890">
      <w:pPr>
        <w:spacing w:before="38"/>
      </w:pPr>
    </w:p>
    <w:p w14:paraId="33749CB1">
      <w:pPr>
        <w:spacing w:before="38"/>
      </w:pPr>
    </w:p>
    <w:tbl>
      <w:tblPr>
        <w:tblStyle w:val="5"/>
        <w:tblW w:w="11063" w:type="dxa"/>
        <w:tblInd w:w="348"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11063"/>
      </w:tblGrid>
      <w:tr w14:paraId="0CDEAD58">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6966" w:hRule="atLeast"/>
        </w:trPr>
        <w:tc>
          <w:tcPr>
            <w:tcW w:w="11063" w:type="dxa"/>
            <w:vAlign w:val="top"/>
          </w:tcPr>
          <w:p w14:paraId="777A0342">
            <w:pPr>
              <w:rPr>
                <w:rFonts w:ascii="Arial"/>
                <w:sz w:val="21"/>
              </w:rPr>
            </w:pPr>
          </w:p>
        </w:tc>
      </w:tr>
    </w:tbl>
    <w:p w14:paraId="640D0E37">
      <w:pPr>
        <w:spacing w:before="33" w:line="229" w:lineRule="auto"/>
        <w:ind w:left="1620"/>
        <w:rPr>
          <w:rFonts w:ascii="仿宋" w:hAnsi="仿宋" w:eastAsia="仿宋" w:cs="仿宋"/>
          <w:sz w:val="20"/>
          <w:szCs w:val="20"/>
        </w:rPr>
      </w:pPr>
      <w:r>
        <w:rPr>
          <w:rFonts w:ascii="仿宋" w:hAnsi="仿宋" w:eastAsia="仿宋" w:cs="仿宋"/>
          <w:b/>
          <w:bCs/>
          <w:spacing w:val="7"/>
          <w:sz w:val="20"/>
          <w:szCs w:val="20"/>
        </w:rPr>
        <w:t>附图</w:t>
      </w:r>
      <w:r>
        <w:rPr>
          <w:rFonts w:ascii="仿宋" w:hAnsi="仿宋" w:eastAsia="仿宋" w:cs="仿宋"/>
          <w:spacing w:val="-37"/>
          <w:sz w:val="20"/>
          <w:szCs w:val="20"/>
        </w:rPr>
        <w:t xml:space="preserve"> </w:t>
      </w:r>
      <w:r>
        <w:rPr>
          <w:rFonts w:ascii="Times New Roman" w:hAnsi="Times New Roman" w:eastAsia="Times New Roman" w:cs="Times New Roman"/>
          <w:b/>
          <w:bCs/>
          <w:spacing w:val="7"/>
          <w:sz w:val="20"/>
          <w:szCs w:val="20"/>
        </w:rPr>
        <w:t>6</w:t>
      </w:r>
      <w:r>
        <w:rPr>
          <w:rFonts w:ascii="仿宋" w:hAnsi="仿宋" w:eastAsia="仿宋" w:cs="仿宋"/>
          <w:b/>
          <w:bCs/>
          <w:spacing w:val="7"/>
          <w:sz w:val="20"/>
          <w:szCs w:val="20"/>
        </w:rPr>
        <w:t>（</w:t>
      </w:r>
      <w:r>
        <w:rPr>
          <w:rFonts w:ascii="Times New Roman" w:hAnsi="Times New Roman" w:eastAsia="Times New Roman" w:cs="Times New Roman"/>
          <w:b/>
          <w:bCs/>
          <w:spacing w:val="7"/>
          <w:sz w:val="20"/>
          <w:szCs w:val="20"/>
        </w:rPr>
        <w:t>5</w:t>
      </w:r>
      <w:r>
        <w:rPr>
          <w:rFonts w:ascii="仿宋" w:hAnsi="仿宋" w:eastAsia="仿宋" w:cs="仿宋"/>
          <w:b/>
          <w:bCs/>
          <w:spacing w:val="7"/>
          <w:sz w:val="20"/>
          <w:szCs w:val="20"/>
        </w:rPr>
        <w:t>）</w:t>
      </w:r>
      <w:r>
        <w:rPr>
          <w:rFonts w:ascii="仿宋" w:hAnsi="仿宋" w:eastAsia="仿宋" w:cs="仿宋"/>
          <w:spacing w:val="36"/>
          <w:sz w:val="20"/>
          <w:szCs w:val="20"/>
        </w:rPr>
        <w:t xml:space="preserve"> </w:t>
      </w:r>
      <w:r>
        <w:rPr>
          <w:rFonts w:ascii="仿宋" w:hAnsi="仿宋" w:eastAsia="仿宋" w:cs="仿宋"/>
          <w:b/>
          <w:bCs/>
          <w:spacing w:val="7"/>
          <w:sz w:val="20"/>
          <w:szCs w:val="20"/>
        </w:rPr>
        <w:t>二道拐坡地至张家圪旦社及脑包湾村自然村通硬化路沿线声环境保护</w:t>
      </w:r>
      <w:r>
        <w:rPr>
          <w:rFonts w:ascii="仿宋" w:hAnsi="仿宋" w:eastAsia="仿宋" w:cs="仿宋"/>
          <w:b/>
          <w:bCs/>
          <w:spacing w:val="6"/>
          <w:sz w:val="20"/>
          <w:szCs w:val="20"/>
        </w:rPr>
        <w:t>目标分布图</w:t>
      </w:r>
    </w:p>
    <w:p w14:paraId="042C2047">
      <w:pPr>
        <w:spacing w:line="229" w:lineRule="auto"/>
        <w:rPr>
          <w:rFonts w:ascii="仿宋" w:hAnsi="仿宋" w:eastAsia="仿宋" w:cs="仿宋"/>
          <w:sz w:val="20"/>
          <w:szCs w:val="20"/>
        </w:rPr>
        <w:sectPr>
          <w:footerReference r:id="rId97" w:type="default"/>
          <w:pgSz w:w="16839" w:h="11906"/>
          <w:pgMar w:top="400" w:right="2525" w:bottom="1516" w:left="2525" w:header="0" w:footer="1354" w:gutter="0"/>
          <w:cols w:space="720" w:num="1"/>
        </w:sectPr>
      </w:pPr>
    </w:p>
    <w:p w14:paraId="5419E835">
      <w:pPr>
        <w:pStyle w:val="2"/>
        <w:spacing w:line="258" w:lineRule="auto"/>
        <w:rPr>
          <w:sz w:val="21"/>
        </w:rPr>
      </w:pPr>
    </w:p>
    <w:p w14:paraId="76D2CC64">
      <w:pPr>
        <w:pStyle w:val="2"/>
        <w:spacing w:line="258" w:lineRule="auto"/>
        <w:rPr>
          <w:sz w:val="21"/>
        </w:rPr>
      </w:pPr>
    </w:p>
    <w:p w14:paraId="35986F3C">
      <w:pPr>
        <w:pStyle w:val="2"/>
        <w:spacing w:line="258" w:lineRule="auto"/>
        <w:rPr>
          <w:sz w:val="21"/>
        </w:rPr>
      </w:pPr>
    </w:p>
    <w:p w14:paraId="68CF9D54">
      <w:pPr>
        <w:pStyle w:val="2"/>
        <w:spacing w:line="259" w:lineRule="auto"/>
        <w:rPr>
          <w:sz w:val="21"/>
        </w:rPr>
      </w:pPr>
    </w:p>
    <w:p w14:paraId="77E15A1A">
      <w:pPr>
        <w:spacing w:line="12280" w:lineRule="exact"/>
      </w:pPr>
      <w:r>
        <w:pict>
          <v:shape id="_x0000_s1107" o:spid="_x0000_s1107" style="position:absolute;left:0pt;margin-left:0.2pt;margin-top:614.25pt;height:0.5pt;width:426.6pt;z-index:251675648;mso-width-relative:page;mso-height-relative:page;" filled="f" stroked="t" coordsize="8532,10" path="m0,4l8531,4e">
            <v:fill on="f" focussize="0,0"/>
            <v:stroke weight="0.48pt" color="#000000" miterlimit="2" joinstyle="bevel"/>
            <v:imagedata o:title=""/>
            <o:lock v:ext="edit"/>
          </v:shape>
        </w:pict>
      </w:r>
      <w:r>
        <w:rPr>
          <w:position w:val="-245"/>
        </w:rPr>
        <w:drawing>
          <wp:inline distT="0" distB="0" distL="0" distR="0">
            <wp:extent cx="5417185" cy="7797800"/>
            <wp:effectExtent l="0" t="0" r="0" b="0"/>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r:embed="rId320"/>
                    <a:stretch>
                      <a:fillRect/>
                    </a:stretch>
                  </pic:blipFill>
                  <pic:spPr>
                    <a:xfrm>
                      <a:off x="0" y="0"/>
                      <a:ext cx="5417566" cy="7797800"/>
                    </a:xfrm>
                    <a:prstGeom prst="rect">
                      <a:avLst/>
                    </a:prstGeom>
                  </pic:spPr>
                </pic:pic>
              </a:graphicData>
            </a:graphic>
          </wp:inline>
        </w:drawing>
      </w:r>
    </w:p>
    <w:p w14:paraId="37C7F4E9">
      <w:pPr>
        <w:spacing w:before="40" w:line="231" w:lineRule="auto"/>
        <w:ind w:left="2996"/>
        <w:rPr>
          <w:rFonts w:ascii="仿宋" w:hAnsi="仿宋" w:eastAsia="仿宋" w:cs="仿宋"/>
          <w:sz w:val="20"/>
          <w:szCs w:val="20"/>
        </w:rPr>
      </w:pPr>
      <w:r>
        <w:rPr>
          <w:rFonts w:ascii="仿宋" w:hAnsi="仿宋" w:eastAsia="仿宋" w:cs="仿宋"/>
          <w:b/>
          <w:bCs/>
          <w:spacing w:val="3"/>
          <w:sz w:val="20"/>
          <w:szCs w:val="20"/>
        </w:rPr>
        <w:t>附图</w:t>
      </w:r>
      <w:r>
        <w:rPr>
          <w:rFonts w:ascii="仿宋" w:hAnsi="仿宋" w:eastAsia="仿宋" w:cs="仿宋"/>
          <w:spacing w:val="-30"/>
          <w:sz w:val="20"/>
          <w:szCs w:val="20"/>
        </w:rPr>
        <w:t xml:space="preserve"> </w:t>
      </w:r>
      <w:r>
        <w:rPr>
          <w:rFonts w:ascii="Times New Roman" w:hAnsi="Times New Roman" w:eastAsia="Times New Roman" w:cs="Times New Roman"/>
          <w:b/>
          <w:bCs/>
          <w:spacing w:val="3"/>
          <w:sz w:val="20"/>
          <w:szCs w:val="20"/>
        </w:rPr>
        <w:t>7</w:t>
      </w:r>
      <w:r>
        <w:rPr>
          <w:rFonts w:ascii="Times New Roman" w:hAnsi="Times New Roman" w:eastAsia="Times New Roman" w:cs="Times New Roman"/>
          <w:b/>
          <w:bCs/>
          <w:spacing w:val="5"/>
          <w:sz w:val="20"/>
          <w:szCs w:val="20"/>
        </w:rPr>
        <w:t xml:space="preserve">      </w:t>
      </w:r>
      <w:r>
        <w:rPr>
          <w:rFonts w:ascii="仿宋" w:hAnsi="仿宋" w:eastAsia="仿宋" w:cs="仿宋"/>
          <w:b/>
          <w:bCs/>
          <w:spacing w:val="3"/>
          <w:sz w:val="20"/>
          <w:szCs w:val="20"/>
        </w:rPr>
        <w:t>张贴公示情况照片</w:t>
      </w:r>
    </w:p>
    <w:p w14:paraId="26A5256C">
      <w:pPr>
        <w:spacing w:line="231" w:lineRule="auto"/>
        <w:rPr>
          <w:rFonts w:ascii="仿宋" w:hAnsi="仿宋" w:eastAsia="仿宋" w:cs="仿宋"/>
          <w:sz w:val="20"/>
          <w:szCs w:val="20"/>
        </w:rPr>
        <w:sectPr>
          <w:footerReference r:id="rId98" w:type="default"/>
          <w:pgSz w:w="11906" w:h="16839"/>
          <w:pgMar w:top="400" w:right="1687" w:bottom="1516" w:left="1687" w:header="0" w:footer="1354" w:gutter="0"/>
          <w:cols w:space="720" w:num="1"/>
        </w:sectPr>
      </w:pPr>
    </w:p>
    <w:p w14:paraId="648CD0AC">
      <w:pPr>
        <w:pStyle w:val="2"/>
        <w:spacing w:line="246" w:lineRule="auto"/>
        <w:rPr>
          <w:sz w:val="21"/>
        </w:rPr>
      </w:pPr>
    </w:p>
    <w:p w14:paraId="1E1BF2B9">
      <w:pPr>
        <w:pStyle w:val="2"/>
        <w:spacing w:line="246" w:lineRule="auto"/>
        <w:rPr>
          <w:sz w:val="21"/>
        </w:rPr>
      </w:pPr>
    </w:p>
    <w:p w14:paraId="65A88DDE">
      <w:pPr>
        <w:pStyle w:val="2"/>
        <w:spacing w:line="246" w:lineRule="auto"/>
        <w:rPr>
          <w:sz w:val="21"/>
        </w:rPr>
      </w:pPr>
    </w:p>
    <w:p w14:paraId="5E21944A">
      <w:pPr>
        <w:pStyle w:val="2"/>
        <w:spacing w:line="246" w:lineRule="auto"/>
        <w:rPr>
          <w:sz w:val="21"/>
        </w:rPr>
      </w:pPr>
    </w:p>
    <w:p w14:paraId="0E59FF75">
      <w:pPr>
        <w:pStyle w:val="2"/>
        <w:spacing w:line="246" w:lineRule="auto"/>
        <w:rPr>
          <w:sz w:val="21"/>
        </w:rPr>
      </w:pPr>
    </w:p>
    <w:p w14:paraId="06B0D783">
      <w:pPr>
        <w:pStyle w:val="2"/>
        <w:spacing w:line="246" w:lineRule="auto"/>
        <w:rPr>
          <w:sz w:val="21"/>
        </w:rPr>
      </w:pPr>
    </w:p>
    <w:p w14:paraId="52FB3F7E">
      <w:pPr>
        <w:pStyle w:val="2"/>
        <w:spacing w:line="246" w:lineRule="auto"/>
        <w:rPr>
          <w:sz w:val="21"/>
        </w:rPr>
      </w:pPr>
    </w:p>
    <w:p w14:paraId="30386619">
      <w:pPr>
        <w:pStyle w:val="2"/>
        <w:spacing w:line="246" w:lineRule="auto"/>
        <w:rPr>
          <w:sz w:val="21"/>
        </w:rPr>
      </w:pPr>
    </w:p>
    <w:p w14:paraId="7542E43E">
      <w:pPr>
        <w:pStyle w:val="2"/>
        <w:spacing w:line="246" w:lineRule="auto"/>
        <w:rPr>
          <w:sz w:val="21"/>
        </w:rPr>
      </w:pPr>
    </w:p>
    <w:p w14:paraId="7D00BDAD">
      <w:pPr>
        <w:pStyle w:val="2"/>
        <w:spacing w:line="246" w:lineRule="auto"/>
        <w:rPr>
          <w:sz w:val="21"/>
        </w:rPr>
      </w:pPr>
    </w:p>
    <w:p w14:paraId="2C5EF08A">
      <w:pPr>
        <w:pStyle w:val="2"/>
        <w:spacing w:line="246" w:lineRule="auto"/>
        <w:rPr>
          <w:sz w:val="21"/>
        </w:rPr>
      </w:pPr>
    </w:p>
    <w:p w14:paraId="332403A8">
      <w:pPr>
        <w:pStyle w:val="2"/>
        <w:spacing w:line="246" w:lineRule="auto"/>
        <w:rPr>
          <w:sz w:val="21"/>
        </w:rPr>
      </w:pPr>
    </w:p>
    <w:p w14:paraId="6C21019E">
      <w:pPr>
        <w:pStyle w:val="2"/>
        <w:spacing w:line="246" w:lineRule="auto"/>
        <w:rPr>
          <w:sz w:val="21"/>
        </w:rPr>
      </w:pPr>
    </w:p>
    <w:p w14:paraId="095A0D38">
      <w:pPr>
        <w:pStyle w:val="2"/>
        <w:spacing w:line="246" w:lineRule="auto"/>
        <w:rPr>
          <w:sz w:val="21"/>
        </w:rPr>
      </w:pPr>
    </w:p>
    <w:p w14:paraId="7519BFAB">
      <w:pPr>
        <w:pStyle w:val="2"/>
        <w:spacing w:line="246" w:lineRule="auto"/>
        <w:rPr>
          <w:sz w:val="21"/>
        </w:rPr>
      </w:pPr>
    </w:p>
    <w:p w14:paraId="7B0E56CE">
      <w:pPr>
        <w:pStyle w:val="2"/>
        <w:spacing w:line="246" w:lineRule="auto"/>
        <w:rPr>
          <w:sz w:val="21"/>
        </w:rPr>
      </w:pPr>
    </w:p>
    <w:p w14:paraId="7875365D">
      <w:pPr>
        <w:pStyle w:val="2"/>
        <w:spacing w:line="246" w:lineRule="auto"/>
        <w:rPr>
          <w:sz w:val="21"/>
        </w:rPr>
      </w:pPr>
    </w:p>
    <w:p w14:paraId="06B28789">
      <w:pPr>
        <w:pStyle w:val="2"/>
        <w:spacing w:line="246" w:lineRule="auto"/>
        <w:rPr>
          <w:sz w:val="21"/>
        </w:rPr>
      </w:pPr>
    </w:p>
    <w:p w14:paraId="66E34580">
      <w:pPr>
        <w:pStyle w:val="2"/>
        <w:spacing w:line="246" w:lineRule="auto"/>
        <w:rPr>
          <w:sz w:val="21"/>
        </w:rPr>
      </w:pPr>
    </w:p>
    <w:p w14:paraId="0FAC551E">
      <w:pPr>
        <w:pStyle w:val="2"/>
        <w:spacing w:line="246" w:lineRule="auto"/>
        <w:rPr>
          <w:sz w:val="21"/>
        </w:rPr>
      </w:pPr>
    </w:p>
    <w:p w14:paraId="3C42737E">
      <w:pPr>
        <w:pStyle w:val="2"/>
        <w:spacing w:line="247" w:lineRule="auto"/>
        <w:rPr>
          <w:sz w:val="21"/>
        </w:rPr>
      </w:pPr>
    </w:p>
    <w:p w14:paraId="61404488">
      <w:pPr>
        <w:pStyle w:val="2"/>
        <w:spacing w:line="247" w:lineRule="auto"/>
        <w:rPr>
          <w:sz w:val="21"/>
        </w:rPr>
      </w:pPr>
    </w:p>
    <w:p w14:paraId="3DE95725">
      <w:pPr>
        <w:pStyle w:val="2"/>
        <w:spacing w:line="247" w:lineRule="auto"/>
        <w:rPr>
          <w:sz w:val="21"/>
        </w:rPr>
      </w:pPr>
    </w:p>
    <w:p w14:paraId="2F5329F1">
      <w:pPr>
        <w:pStyle w:val="2"/>
        <w:spacing w:line="247" w:lineRule="auto"/>
        <w:rPr>
          <w:sz w:val="21"/>
        </w:rPr>
      </w:pPr>
    </w:p>
    <w:p w14:paraId="1F69EC10">
      <w:pPr>
        <w:pStyle w:val="2"/>
        <w:spacing w:line="247" w:lineRule="auto"/>
        <w:rPr>
          <w:sz w:val="21"/>
        </w:rPr>
      </w:pPr>
    </w:p>
    <w:p w14:paraId="60B2D231">
      <w:pPr>
        <w:pStyle w:val="2"/>
        <w:spacing w:line="247" w:lineRule="auto"/>
        <w:rPr>
          <w:sz w:val="21"/>
        </w:rPr>
      </w:pPr>
    </w:p>
    <w:p w14:paraId="3472EDA0">
      <w:pPr>
        <w:pStyle w:val="2"/>
        <w:spacing w:line="247" w:lineRule="auto"/>
        <w:rPr>
          <w:sz w:val="21"/>
        </w:rPr>
      </w:pPr>
    </w:p>
    <w:p w14:paraId="4845FABE">
      <w:pPr>
        <w:pStyle w:val="2"/>
        <w:spacing w:line="247" w:lineRule="auto"/>
        <w:rPr>
          <w:sz w:val="21"/>
        </w:rPr>
      </w:pPr>
    </w:p>
    <w:p w14:paraId="72C1391A">
      <w:pPr>
        <w:pStyle w:val="2"/>
        <w:spacing w:line="247" w:lineRule="auto"/>
        <w:rPr>
          <w:sz w:val="21"/>
        </w:rPr>
      </w:pPr>
    </w:p>
    <w:p w14:paraId="3462A374">
      <w:pPr>
        <w:pStyle w:val="2"/>
        <w:spacing w:line="247" w:lineRule="auto"/>
        <w:rPr>
          <w:sz w:val="21"/>
        </w:rPr>
      </w:pPr>
    </w:p>
    <w:p w14:paraId="1CF645BC">
      <w:pPr>
        <w:spacing w:before="230" w:line="221" w:lineRule="auto"/>
        <w:ind w:left="3527"/>
        <w:outlineLvl w:val="0"/>
        <w:rPr>
          <w:rFonts w:ascii="宋体" w:hAnsi="宋体" w:eastAsia="宋体" w:cs="宋体"/>
          <w:sz w:val="71"/>
          <w:szCs w:val="71"/>
        </w:rPr>
      </w:pPr>
      <w:r>
        <w:rPr>
          <w:rFonts w:ascii="宋体" w:hAnsi="宋体" w:eastAsia="宋体" w:cs="宋体"/>
          <w:b/>
          <w:bCs/>
          <w:spacing w:val="-39"/>
          <w:sz w:val="71"/>
          <w:szCs w:val="71"/>
        </w:rPr>
        <w:t>附件</w:t>
      </w:r>
    </w:p>
    <w:p w14:paraId="289A75EB">
      <w:pPr>
        <w:spacing w:line="221" w:lineRule="auto"/>
        <w:rPr>
          <w:rFonts w:ascii="宋体" w:hAnsi="宋体" w:eastAsia="宋体" w:cs="宋体"/>
          <w:sz w:val="71"/>
          <w:szCs w:val="71"/>
        </w:rPr>
        <w:sectPr>
          <w:footerReference r:id="rId99" w:type="default"/>
          <w:pgSz w:w="11906" w:h="16839"/>
          <w:pgMar w:top="400" w:right="1785" w:bottom="400" w:left="1785" w:header="0" w:footer="0" w:gutter="0"/>
          <w:cols w:space="720" w:num="1"/>
        </w:sectPr>
      </w:pPr>
    </w:p>
    <w:p w14:paraId="1B42F2B7">
      <w:pPr>
        <w:pStyle w:val="2"/>
        <w:spacing w:line="316" w:lineRule="auto"/>
        <w:rPr>
          <w:sz w:val="21"/>
        </w:rPr>
      </w:pPr>
    </w:p>
    <w:p w14:paraId="58C83AAA">
      <w:pPr>
        <w:pStyle w:val="2"/>
        <w:spacing w:line="316" w:lineRule="auto"/>
        <w:rPr>
          <w:sz w:val="21"/>
        </w:rPr>
      </w:pPr>
    </w:p>
    <w:p w14:paraId="6EC7C697">
      <w:pPr>
        <w:pStyle w:val="2"/>
        <w:spacing w:line="317" w:lineRule="auto"/>
        <w:rPr>
          <w:sz w:val="21"/>
        </w:rPr>
      </w:pPr>
    </w:p>
    <w:p w14:paraId="76A19B76">
      <w:pPr>
        <w:spacing w:before="176" w:line="220" w:lineRule="auto"/>
        <w:ind w:left="2255"/>
        <w:rPr>
          <w:rFonts w:ascii="宋体" w:hAnsi="宋体" w:eastAsia="宋体" w:cs="宋体"/>
          <w:sz w:val="54"/>
          <w:szCs w:val="54"/>
        </w:rPr>
      </w:pPr>
      <w:r>
        <w:rPr>
          <w:rFonts w:ascii="宋体" w:hAnsi="宋体" w:eastAsia="宋体" w:cs="宋体"/>
          <w:spacing w:val="-60"/>
          <w:w w:val="94"/>
          <w:sz w:val="54"/>
          <w:szCs w:val="54"/>
        </w:rPr>
        <w:t>附件1</w:t>
      </w:r>
    </w:p>
    <w:p w14:paraId="06270CE2">
      <w:pPr>
        <w:spacing w:line="220" w:lineRule="auto"/>
        <w:rPr>
          <w:rFonts w:ascii="宋体" w:hAnsi="宋体" w:eastAsia="宋体" w:cs="宋体"/>
          <w:sz w:val="54"/>
          <w:szCs w:val="54"/>
        </w:rPr>
        <w:sectPr>
          <w:headerReference r:id="rId100" w:type="default"/>
          <w:pgSz w:w="11905" w:h="16834"/>
          <w:pgMar w:top="400" w:right="0" w:bottom="400" w:left="0" w:header="0" w:footer="0" w:gutter="0"/>
          <w:cols w:space="720" w:num="1"/>
        </w:sectPr>
      </w:pPr>
    </w:p>
    <w:p w14:paraId="3B8BAA14">
      <w:pPr>
        <w:pStyle w:val="2"/>
        <w:spacing w:line="245" w:lineRule="auto"/>
        <w:rPr>
          <w:sz w:val="21"/>
        </w:rPr>
      </w:pPr>
    </w:p>
    <w:p w14:paraId="787D6BBB">
      <w:pPr>
        <w:pStyle w:val="2"/>
        <w:spacing w:line="246" w:lineRule="auto"/>
        <w:rPr>
          <w:sz w:val="21"/>
        </w:rPr>
      </w:pPr>
    </w:p>
    <w:p w14:paraId="0D2E97F7">
      <w:pPr>
        <w:pStyle w:val="2"/>
        <w:spacing w:line="246" w:lineRule="auto"/>
        <w:rPr>
          <w:sz w:val="21"/>
        </w:rPr>
      </w:pPr>
    </w:p>
    <w:p w14:paraId="79E3D39B">
      <w:pPr>
        <w:pStyle w:val="2"/>
        <w:spacing w:line="246" w:lineRule="auto"/>
        <w:rPr>
          <w:sz w:val="21"/>
        </w:rPr>
      </w:pPr>
    </w:p>
    <w:p w14:paraId="3D526C42">
      <w:pPr>
        <w:spacing w:before="91" w:line="212" w:lineRule="auto"/>
        <w:ind w:left="44"/>
        <w:rPr>
          <w:rFonts w:ascii="Times New Roman" w:hAnsi="Times New Roman" w:eastAsia="Times New Roman" w:cs="Times New Roman"/>
          <w:sz w:val="28"/>
          <w:szCs w:val="28"/>
        </w:rPr>
      </w:pPr>
      <w:r>
        <w:rPr>
          <w:rFonts w:ascii="仿宋" w:hAnsi="仿宋" w:eastAsia="仿宋" w:cs="仿宋"/>
          <w:b/>
          <w:bCs/>
          <w:spacing w:val="-12"/>
          <w:sz w:val="28"/>
          <w:szCs w:val="28"/>
        </w:rPr>
        <w:t>附件</w:t>
      </w:r>
      <w:r>
        <w:rPr>
          <w:rFonts w:ascii="仿宋" w:hAnsi="仿宋" w:eastAsia="仿宋" w:cs="仿宋"/>
          <w:spacing w:val="-64"/>
          <w:sz w:val="28"/>
          <w:szCs w:val="28"/>
        </w:rPr>
        <w:t xml:space="preserve"> </w:t>
      </w:r>
      <w:r>
        <w:rPr>
          <w:rFonts w:ascii="Times New Roman" w:hAnsi="Times New Roman" w:eastAsia="Times New Roman" w:cs="Times New Roman"/>
          <w:b/>
          <w:bCs/>
          <w:spacing w:val="-12"/>
          <w:sz w:val="28"/>
          <w:szCs w:val="28"/>
        </w:rPr>
        <w:t>2</w:t>
      </w:r>
    </w:p>
    <w:p w14:paraId="71AAA390">
      <w:pPr>
        <w:spacing w:line="11822" w:lineRule="exact"/>
        <w:ind w:firstLine="14"/>
      </w:pPr>
      <w:r>
        <w:rPr>
          <w:position w:val="-236"/>
        </w:rPr>
        <w:drawing>
          <wp:inline distT="0" distB="0" distL="0" distR="0">
            <wp:extent cx="5265420" cy="7515225"/>
            <wp:effectExtent l="0" t="0" r="5080" b="3175"/>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r:embed="rId321"/>
                    <a:stretch>
                      <a:fillRect/>
                    </a:stretch>
                  </pic:blipFill>
                  <pic:spPr>
                    <a:xfrm>
                      <a:off x="0" y="0"/>
                      <a:ext cx="5265420" cy="7515225"/>
                    </a:xfrm>
                    <a:prstGeom prst="rect">
                      <a:avLst/>
                    </a:prstGeom>
                  </pic:spPr>
                </pic:pic>
              </a:graphicData>
            </a:graphic>
          </wp:inline>
        </w:drawing>
      </w:r>
    </w:p>
    <w:p w14:paraId="440E728D">
      <w:pPr>
        <w:spacing w:line="11822" w:lineRule="exact"/>
        <w:sectPr>
          <w:headerReference r:id="rId101" w:type="default"/>
          <w:footerReference r:id="rId102" w:type="default"/>
          <w:pgSz w:w="11906" w:h="16839"/>
          <w:pgMar w:top="400" w:right="1785" w:bottom="1516" w:left="1785" w:header="0" w:footer="1354" w:gutter="0"/>
          <w:cols w:space="720" w:num="1"/>
        </w:sectPr>
      </w:pPr>
    </w:p>
    <w:p w14:paraId="4BA09A8E">
      <w:pPr>
        <w:pStyle w:val="2"/>
        <w:spacing w:line="258" w:lineRule="auto"/>
        <w:rPr>
          <w:sz w:val="21"/>
        </w:rPr>
      </w:pPr>
    </w:p>
    <w:p w14:paraId="55FF3249">
      <w:pPr>
        <w:pStyle w:val="2"/>
        <w:spacing w:line="258" w:lineRule="auto"/>
        <w:rPr>
          <w:sz w:val="21"/>
        </w:rPr>
      </w:pPr>
    </w:p>
    <w:p w14:paraId="696B26DE">
      <w:pPr>
        <w:pStyle w:val="2"/>
        <w:spacing w:line="258" w:lineRule="auto"/>
        <w:rPr>
          <w:sz w:val="21"/>
        </w:rPr>
      </w:pPr>
    </w:p>
    <w:p w14:paraId="532A5CF1">
      <w:pPr>
        <w:pStyle w:val="2"/>
        <w:spacing w:line="259" w:lineRule="auto"/>
        <w:rPr>
          <w:sz w:val="21"/>
        </w:rPr>
      </w:pPr>
    </w:p>
    <w:p w14:paraId="36283491">
      <w:pPr>
        <w:spacing w:line="11813" w:lineRule="exact"/>
        <w:ind w:firstLine="14"/>
      </w:pPr>
      <w:r>
        <w:rPr>
          <w:position w:val="-236"/>
        </w:rPr>
        <w:drawing>
          <wp:inline distT="0" distB="0" distL="0" distR="0">
            <wp:extent cx="5267325" cy="7500620"/>
            <wp:effectExtent l="0" t="0" r="3175" b="5080"/>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r:embed="rId322"/>
                    <a:stretch>
                      <a:fillRect/>
                    </a:stretch>
                  </pic:blipFill>
                  <pic:spPr>
                    <a:xfrm>
                      <a:off x="0" y="0"/>
                      <a:ext cx="5267325" cy="7501127"/>
                    </a:xfrm>
                    <a:prstGeom prst="rect">
                      <a:avLst/>
                    </a:prstGeom>
                  </pic:spPr>
                </pic:pic>
              </a:graphicData>
            </a:graphic>
          </wp:inline>
        </w:drawing>
      </w:r>
    </w:p>
    <w:p w14:paraId="506CFC97">
      <w:pPr>
        <w:spacing w:line="11813" w:lineRule="exact"/>
        <w:sectPr>
          <w:footerReference r:id="rId103" w:type="default"/>
          <w:pgSz w:w="11906" w:h="16839"/>
          <w:pgMar w:top="400" w:right="1785" w:bottom="1516" w:left="1785" w:header="0" w:footer="1354" w:gutter="0"/>
          <w:cols w:space="720" w:num="1"/>
        </w:sectPr>
      </w:pPr>
    </w:p>
    <w:p w14:paraId="038645AE">
      <w:pPr>
        <w:spacing w:line="11726" w:lineRule="exact"/>
        <w:ind w:firstLine="14"/>
      </w:pPr>
      <w:r>
        <w:rPr>
          <w:position w:val="-234"/>
        </w:rPr>
        <w:drawing>
          <wp:inline distT="0" distB="0" distL="0" distR="0">
            <wp:extent cx="5265420" cy="7458075"/>
            <wp:effectExtent l="0" t="0" r="5080" b="9525"/>
            <wp:docPr id="96" name="IM 96"/>
            <wp:cNvGraphicFramePr/>
            <a:graphic xmlns:a="http://schemas.openxmlformats.org/drawingml/2006/main">
              <a:graphicData uri="http://schemas.openxmlformats.org/drawingml/2006/picture">
                <pic:pic xmlns:pic="http://schemas.openxmlformats.org/drawingml/2006/picture">
                  <pic:nvPicPr>
                    <pic:cNvPr id="96" name="IM 96"/>
                    <pic:cNvPicPr/>
                  </pic:nvPicPr>
                  <pic:blipFill>
                    <a:blip r:embed="rId323"/>
                    <a:stretch>
                      <a:fillRect/>
                    </a:stretch>
                  </pic:blipFill>
                  <pic:spPr>
                    <a:xfrm>
                      <a:off x="0" y="0"/>
                      <a:ext cx="5265420" cy="7458075"/>
                    </a:xfrm>
                    <a:prstGeom prst="rect">
                      <a:avLst/>
                    </a:prstGeom>
                  </pic:spPr>
                </pic:pic>
              </a:graphicData>
            </a:graphic>
          </wp:inline>
        </w:drawing>
      </w:r>
    </w:p>
    <w:p w14:paraId="3236A14C">
      <w:pPr>
        <w:spacing w:line="11726" w:lineRule="exact"/>
        <w:sectPr>
          <w:headerReference r:id="rId104" w:type="default"/>
          <w:footerReference r:id="rId105" w:type="default"/>
          <w:pgSz w:w="11906" w:h="16839"/>
          <w:pgMar w:top="1802" w:right="1785" w:bottom="1516" w:left="1785" w:header="1408" w:footer="1354" w:gutter="0"/>
          <w:cols w:space="720" w:num="1"/>
        </w:sectPr>
      </w:pPr>
    </w:p>
    <w:p w14:paraId="09DAD1E6">
      <w:pPr>
        <w:pStyle w:val="2"/>
        <w:spacing w:line="258" w:lineRule="auto"/>
        <w:rPr>
          <w:sz w:val="21"/>
        </w:rPr>
      </w:pPr>
    </w:p>
    <w:p w14:paraId="109E63DF">
      <w:pPr>
        <w:pStyle w:val="2"/>
        <w:spacing w:line="258" w:lineRule="auto"/>
        <w:rPr>
          <w:sz w:val="21"/>
        </w:rPr>
      </w:pPr>
    </w:p>
    <w:p w14:paraId="216D1C99">
      <w:pPr>
        <w:pStyle w:val="2"/>
        <w:spacing w:line="258" w:lineRule="auto"/>
        <w:rPr>
          <w:sz w:val="21"/>
        </w:rPr>
      </w:pPr>
    </w:p>
    <w:p w14:paraId="12233E37">
      <w:pPr>
        <w:pStyle w:val="2"/>
        <w:spacing w:line="259" w:lineRule="auto"/>
        <w:rPr>
          <w:sz w:val="21"/>
        </w:rPr>
      </w:pPr>
    </w:p>
    <w:p w14:paraId="76F7CDD4">
      <w:pPr>
        <w:spacing w:line="11727" w:lineRule="exact"/>
        <w:ind w:firstLine="14"/>
      </w:pPr>
      <w:r>
        <w:rPr>
          <w:position w:val="-234"/>
        </w:rPr>
        <w:drawing>
          <wp:inline distT="0" distB="0" distL="0" distR="0">
            <wp:extent cx="5265420" cy="7446010"/>
            <wp:effectExtent l="0" t="0" r="0" b="0"/>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r:embed="rId324"/>
                    <a:stretch>
                      <a:fillRect/>
                    </a:stretch>
                  </pic:blipFill>
                  <pic:spPr>
                    <a:xfrm>
                      <a:off x="0" y="0"/>
                      <a:ext cx="5265420" cy="7446264"/>
                    </a:xfrm>
                    <a:prstGeom prst="rect">
                      <a:avLst/>
                    </a:prstGeom>
                  </pic:spPr>
                </pic:pic>
              </a:graphicData>
            </a:graphic>
          </wp:inline>
        </w:drawing>
      </w:r>
    </w:p>
    <w:p w14:paraId="01F7B41B">
      <w:pPr>
        <w:spacing w:line="11727" w:lineRule="exact"/>
        <w:sectPr>
          <w:headerReference r:id="rId106" w:type="default"/>
          <w:footerReference r:id="rId107" w:type="default"/>
          <w:pgSz w:w="11906" w:h="16839"/>
          <w:pgMar w:top="400" w:right="1785" w:bottom="1516" w:left="1785" w:header="0" w:footer="1354" w:gutter="0"/>
          <w:cols w:space="720" w:num="1"/>
        </w:sectPr>
      </w:pPr>
    </w:p>
    <w:p w14:paraId="3C2A67D1">
      <w:pPr>
        <w:pStyle w:val="2"/>
        <w:spacing w:line="258" w:lineRule="auto"/>
        <w:rPr>
          <w:sz w:val="21"/>
        </w:rPr>
      </w:pPr>
    </w:p>
    <w:p w14:paraId="0829AF36">
      <w:pPr>
        <w:pStyle w:val="2"/>
        <w:spacing w:line="258" w:lineRule="auto"/>
        <w:rPr>
          <w:sz w:val="21"/>
        </w:rPr>
      </w:pPr>
    </w:p>
    <w:p w14:paraId="5C094D89">
      <w:pPr>
        <w:pStyle w:val="2"/>
        <w:spacing w:line="258" w:lineRule="auto"/>
        <w:rPr>
          <w:sz w:val="21"/>
        </w:rPr>
      </w:pPr>
    </w:p>
    <w:p w14:paraId="34939AF7">
      <w:pPr>
        <w:pStyle w:val="2"/>
        <w:spacing w:line="259" w:lineRule="auto"/>
        <w:rPr>
          <w:sz w:val="21"/>
        </w:rPr>
      </w:pPr>
    </w:p>
    <w:p w14:paraId="0C34CBE6">
      <w:pPr>
        <w:spacing w:line="11727" w:lineRule="exact"/>
        <w:ind w:firstLine="14"/>
      </w:pPr>
      <w:r>
        <w:rPr>
          <w:position w:val="-234"/>
        </w:rPr>
        <w:drawing>
          <wp:inline distT="0" distB="0" distL="0" distR="0">
            <wp:extent cx="5265420" cy="7446010"/>
            <wp:effectExtent l="0" t="0" r="0" b="0"/>
            <wp:docPr id="100" name="IM 100"/>
            <wp:cNvGraphicFramePr/>
            <a:graphic xmlns:a="http://schemas.openxmlformats.org/drawingml/2006/main">
              <a:graphicData uri="http://schemas.openxmlformats.org/drawingml/2006/picture">
                <pic:pic xmlns:pic="http://schemas.openxmlformats.org/drawingml/2006/picture">
                  <pic:nvPicPr>
                    <pic:cNvPr id="100" name="IM 100"/>
                    <pic:cNvPicPr/>
                  </pic:nvPicPr>
                  <pic:blipFill>
                    <a:blip r:embed="rId325"/>
                    <a:stretch>
                      <a:fillRect/>
                    </a:stretch>
                  </pic:blipFill>
                  <pic:spPr>
                    <a:xfrm>
                      <a:off x="0" y="0"/>
                      <a:ext cx="5265420" cy="7446264"/>
                    </a:xfrm>
                    <a:prstGeom prst="rect">
                      <a:avLst/>
                    </a:prstGeom>
                  </pic:spPr>
                </pic:pic>
              </a:graphicData>
            </a:graphic>
          </wp:inline>
        </w:drawing>
      </w:r>
    </w:p>
    <w:p w14:paraId="00300B62">
      <w:pPr>
        <w:spacing w:line="11727" w:lineRule="exact"/>
        <w:sectPr>
          <w:footerReference r:id="rId108" w:type="default"/>
          <w:pgSz w:w="11906" w:h="16839"/>
          <w:pgMar w:top="400" w:right="1785" w:bottom="1513" w:left="1785" w:header="0" w:footer="1354" w:gutter="0"/>
          <w:cols w:space="720" w:num="1"/>
        </w:sectPr>
      </w:pPr>
    </w:p>
    <w:p w14:paraId="21E0B1F2">
      <w:pPr>
        <w:pStyle w:val="2"/>
        <w:spacing w:line="258" w:lineRule="auto"/>
        <w:rPr>
          <w:sz w:val="21"/>
        </w:rPr>
      </w:pPr>
    </w:p>
    <w:p w14:paraId="114C9AF7">
      <w:pPr>
        <w:pStyle w:val="2"/>
        <w:spacing w:line="258" w:lineRule="auto"/>
        <w:rPr>
          <w:sz w:val="21"/>
        </w:rPr>
      </w:pPr>
    </w:p>
    <w:p w14:paraId="4A84DFAD">
      <w:pPr>
        <w:pStyle w:val="2"/>
        <w:spacing w:line="258" w:lineRule="auto"/>
        <w:rPr>
          <w:sz w:val="21"/>
        </w:rPr>
      </w:pPr>
    </w:p>
    <w:p w14:paraId="4969C839">
      <w:pPr>
        <w:pStyle w:val="2"/>
        <w:spacing w:line="259" w:lineRule="auto"/>
        <w:rPr>
          <w:sz w:val="21"/>
        </w:rPr>
      </w:pPr>
    </w:p>
    <w:p w14:paraId="54E428E0">
      <w:pPr>
        <w:spacing w:line="11727" w:lineRule="exact"/>
        <w:ind w:firstLine="14"/>
      </w:pPr>
      <w:r>
        <w:rPr>
          <w:position w:val="-234"/>
        </w:rPr>
        <w:drawing>
          <wp:inline distT="0" distB="0" distL="0" distR="0">
            <wp:extent cx="5265420" cy="7458075"/>
            <wp:effectExtent l="0" t="0" r="5080" b="9525"/>
            <wp:docPr id="102" name="IM 102"/>
            <wp:cNvGraphicFramePr/>
            <a:graphic xmlns:a="http://schemas.openxmlformats.org/drawingml/2006/main">
              <a:graphicData uri="http://schemas.openxmlformats.org/drawingml/2006/picture">
                <pic:pic xmlns:pic="http://schemas.openxmlformats.org/drawingml/2006/picture">
                  <pic:nvPicPr>
                    <pic:cNvPr id="102" name="IM 102"/>
                    <pic:cNvPicPr/>
                  </pic:nvPicPr>
                  <pic:blipFill>
                    <a:blip r:embed="rId326"/>
                    <a:stretch>
                      <a:fillRect/>
                    </a:stretch>
                  </pic:blipFill>
                  <pic:spPr>
                    <a:xfrm>
                      <a:off x="0" y="0"/>
                      <a:ext cx="5265420" cy="7458075"/>
                    </a:xfrm>
                    <a:prstGeom prst="rect">
                      <a:avLst/>
                    </a:prstGeom>
                  </pic:spPr>
                </pic:pic>
              </a:graphicData>
            </a:graphic>
          </wp:inline>
        </w:drawing>
      </w:r>
    </w:p>
    <w:p w14:paraId="7132DBC2">
      <w:pPr>
        <w:spacing w:line="11727" w:lineRule="exact"/>
        <w:sectPr>
          <w:footerReference r:id="rId109" w:type="default"/>
          <w:pgSz w:w="11906" w:h="16839"/>
          <w:pgMar w:top="400" w:right="1785" w:bottom="1516" w:left="1785" w:header="0" w:footer="1354" w:gutter="0"/>
          <w:cols w:space="720" w:num="1"/>
        </w:sectPr>
      </w:pPr>
    </w:p>
    <w:p w14:paraId="24385DDD">
      <w:pPr>
        <w:pStyle w:val="2"/>
        <w:spacing w:line="245" w:lineRule="auto"/>
        <w:rPr>
          <w:sz w:val="21"/>
        </w:rPr>
      </w:pPr>
    </w:p>
    <w:p w14:paraId="39A251BB">
      <w:pPr>
        <w:pStyle w:val="2"/>
        <w:spacing w:line="246" w:lineRule="auto"/>
        <w:rPr>
          <w:sz w:val="21"/>
        </w:rPr>
      </w:pPr>
    </w:p>
    <w:p w14:paraId="2E0CA013">
      <w:pPr>
        <w:pStyle w:val="2"/>
        <w:spacing w:line="246" w:lineRule="auto"/>
        <w:rPr>
          <w:sz w:val="21"/>
        </w:rPr>
      </w:pPr>
    </w:p>
    <w:p w14:paraId="1FBA7F07">
      <w:pPr>
        <w:pStyle w:val="2"/>
        <w:spacing w:line="246" w:lineRule="auto"/>
        <w:rPr>
          <w:sz w:val="21"/>
        </w:rPr>
      </w:pPr>
    </w:p>
    <w:p w14:paraId="6AB39C12">
      <w:pPr>
        <w:spacing w:before="91" w:line="212" w:lineRule="auto"/>
        <w:ind w:left="44"/>
        <w:rPr>
          <w:rFonts w:ascii="Times New Roman" w:hAnsi="Times New Roman" w:eastAsia="Times New Roman" w:cs="Times New Roman"/>
          <w:sz w:val="28"/>
          <w:szCs w:val="28"/>
        </w:rPr>
      </w:pPr>
      <w:r>
        <w:rPr>
          <w:rFonts w:ascii="仿宋" w:hAnsi="仿宋" w:eastAsia="仿宋" w:cs="仿宋"/>
          <w:b/>
          <w:bCs/>
          <w:spacing w:val="-12"/>
          <w:sz w:val="28"/>
          <w:szCs w:val="28"/>
        </w:rPr>
        <w:t>附件</w:t>
      </w:r>
      <w:r>
        <w:rPr>
          <w:rFonts w:ascii="仿宋" w:hAnsi="仿宋" w:eastAsia="仿宋" w:cs="仿宋"/>
          <w:spacing w:val="-64"/>
          <w:sz w:val="28"/>
          <w:szCs w:val="28"/>
        </w:rPr>
        <w:t xml:space="preserve"> </w:t>
      </w:r>
      <w:r>
        <w:rPr>
          <w:rFonts w:ascii="Times New Roman" w:hAnsi="Times New Roman" w:eastAsia="Times New Roman" w:cs="Times New Roman"/>
          <w:b/>
          <w:bCs/>
          <w:spacing w:val="-12"/>
          <w:sz w:val="28"/>
          <w:szCs w:val="28"/>
        </w:rPr>
        <w:t>4</w:t>
      </w:r>
    </w:p>
    <w:p w14:paraId="3CB30193">
      <w:pPr>
        <w:spacing w:line="11724" w:lineRule="exact"/>
        <w:ind w:firstLine="14"/>
      </w:pPr>
      <w:r>
        <w:rPr>
          <w:position w:val="-234"/>
        </w:rPr>
        <w:drawing>
          <wp:inline distT="0" distB="0" distL="0" distR="0">
            <wp:extent cx="5265420" cy="7458075"/>
            <wp:effectExtent l="0" t="0" r="5080" b="9525"/>
            <wp:docPr id="104" name="IM 104"/>
            <wp:cNvGraphicFramePr/>
            <a:graphic xmlns:a="http://schemas.openxmlformats.org/drawingml/2006/main">
              <a:graphicData uri="http://schemas.openxmlformats.org/drawingml/2006/picture">
                <pic:pic xmlns:pic="http://schemas.openxmlformats.org/drawingml/2006/picture">
                  <pic:nvPicPr>
                    <pic:cNvPr id="104" name="IM 104"/>
                    <pic:cNvPicPr/>
                  </pic:nvPicPr>
                  <pic:blipFill>
                    <a:blip r:embed="rId327"/>
                    <a:stretch>
                      <a:fillRect/>
                    </a:stretch>
                  </pic:blipFill>
                  <pic:spPr>
                    <a:xfrm>
                      <a:off x="0" y="0"/>
                      <a:ext cx="5265420" cy="7458075"/>
                    </a:xfrm>
                    <a:prstGeom prst="rect">
                      <a:avLst/>
                    </a:prstGeom>
                  </pic:spPr>
                </pic:pic>
              </a:graphicData>
            </a:graphic>
          </wp:inline>
        </w:drawing>
      </w:r>
    </w:p>
    <w:p w14:paraId="3423E9D6">
      <w:pPr>
        <w:spacing w:line="11724" w:lineRule="exact"/>
        <w:sectPr>
          <w:footerReference r:id="rId110" w:type="default"/>
          <w:pgSz w:w="11906" w:h="16839"/>
          <w:pgMar w:top="400" w:right="1785" w:bottom="1513" w:left="1785" w:header="0" w:footer="1354" w:gutter="0"/>
          <w:cols w:space="720" w:num="1"/>
        </w:sectPr>
      </w:pPr>
    </w:p>
    <w:p w14:paraId="50298390">
      <w:pPr>
        <w:pStyle w:val="2"/>
        <w:spacing w:line="258" w:lineRule="auto"/>
        <w:rPr>
          <w:sz w:val="21"/>
        </w:rPr>
      </w:pPr>
    </w:p>
    <w:p w14:paraId="30D29512">
      <w:pPr>
        <w:pStyle w:val="2"/>
        <w:spacing w:line="258" w:lineRule="auto"/>
        <w:rPr>
          <w:sz w:val="21"/>
        </w:rPr>
      </w:pPr>
    </w:p>
    <w:p w14:paraId="444C03D3">
      <w:pPr>
        <w:pStyle w:val="2"/>
        <w:spacing w:line="258" w:lineRule="auto"/>
        <w:rPr>
          <w:sz w:val="21"/>
        </w:rPr>
      </w:pPr>
    </w:p>
    <w:p w14:paraId="402BC5AB">
      <w:pPr>
        <w:pStyle w:val="2"/>
        <w:spacing w:line="259" w:lineRule="auto"/>
        <w:rPr>
          <w:sz w:val="21"/>
        </w:rPr>
      </w:pPr>
    </w:p>
    <w:p w14:paraId="4FEE23A0">
      <w:pPr>
        <w:spacing w:line="11724" w:lineRule="exact"/>
        <w:ind w:firstLine="14"/>
      </w:pPr>
      <w:r>
        <w:rPr>
          <w:position w:val="-234"/>
        </w:rPr>
        <w:drawing>
          <wp:inline distT="0" distB="0" distL="0" distR="0">
            <wp:extent cx="5265420" cy="7458075"/>
            <wp:effectExtent l="0" t="0" r="5080" b="9525"/>
            <wp:docPr id="106" name="IM 106"/>
            <wp:cNvGraphicFramePr/>
            <a:graphic xmlns:a="http://schemas.openxmlformats.org/drawingml/2006/main">
              <a:graphicData uri="http://schemas.openxmlformats.org/drawingml/2006/picture">
                <pic:pic xmlns:pic="http://schemas.openxmlformats.org/drawingml/2006/picture">
                  <pic:nvPicPr>
                    <pic:cNvPr id="106" name="IM 106"/>
                    <pic:cNvPicPr/>
                  </pic:nvPicPr>
                  <pic:blipFill>
                    <a:blip r:embed="rId328"/>
                    <a:stretch>
                      <a:fillRect/>
                    </a:stretch>
                  </pic:blipFill>
                  <pic:spPr>
                    <a:xfrm>
                      <a:off x="0" y="0"/>
                      <a:ext cx="5265420" cy="7458075"/>
                    </a:xfrm>
                    <a:prstGeom prst="rect">
                      <a:avLst/>
                    </a:prstGeom>
                  </pic:spPr>
                </pic:pic>
              </a:graphicData>
            </a:graphic>
          </wp:inline>
        </w:drawing>
      </w:r>
    </w:p>
    <w:p w14:paraId="063BCD20">
      <w:pPr>
        <w:spacing w:line="11724" w:lineRule="exact"/>
        <w:sectPr>
          <w:footerReference r:id="rId111" w:type="default"/>
          <w:pgSz w:w="11906" w:h="16839"/>
          <w:pgMar w:top="400" w:right="1785" w:bottom="1516" w:left="1785" w:header="0" w:footer="1354" w:gutter="0"/>
          <w:cols w:space="720" w:num="1"/>
        </w:sectPr>
      </w:pPr>
    </w:p>
    <w:p w14:paraId="58B3748E">
      <w:pPr>
        <w:pStyle w:val="2"/>
        <w:spacing w:line="441" w:lineRule="auto"/>
        <w:rPr>
          <w:sz w:val="21"/>
        </w:rPr>
      </w:pPr>
    </w:p>
    <w:p w14:paraId="3B31BAF1">
      <w:pPr>
        <w:spacing w:line="11724" w:lineRule="exact"/>
        <w:ind w:firstLine="14"/>
      </w:pPr>
      <w:r>
        <w:rPr>
          <w:position w:val="-234"/>
        </w:rPr>
        <w:drawing>
          <wp:inline distT="0" distB="0" distL="0" distR="0">
            <wp:extent cx="5265420" cy="7458075"/>
            <wp:effectExtent l="0" t="0" r="5080" b="9525"/>
            <wp:docPr id="108" name="IM 108"/>
            <wp:cNvGraphicFramePr/>
            <a:graphic xmlns:a="http://schemas.openxmlformats.org/drawingml/2006/main">
              <a:graphicData uri="http://schemas.openxmlformats.org/drawingml/2006/picture">
                <pic:pic xmlns:pic="http://schemas.openxmlformats.org/drawingml/2006/picture">
                  <pic:nvPicPr>
                    <pic:cNvPr id="108" name="IM 108"/>
                    <pic:cNvPicPr/>
                  </pic:nvPicPr>
                  <pic:blipFill>
                    <a:blip r:embed="rId329"/>
                    <a:stretch>
                      <a:fillRect/>
                    </a:stretch>
                  </pic:blipFill>
                  <pic:spPr>
                    <a:xfrm>
                      <a:off x="0" y="0"/>
                      <a:ext cx="5265420" cy="7458075"/>
                    </a:xfrm>
                    <a:prstGeom prst="rect">
                      <a:avLst/>
                    </a:prstGeom>
                  </pic:spPr>
                </pic:pic>
              </a:graphicData>
            </a:graphic>
          </wp:inline>
        </w:drawing>
      </w:r>
    </w:p>
    <w:p w14:paraId="0EEC4E2B">
      <w:pPr>
        <w:spacing w:line="11724" w:lineRule="exact"/>
        <w:sectPr>
          <w:headerReference r:id="rId112" w:type="default"/>
          <w:footerReference r:id="rId113" w:type="default"/>
          <w:pgSz w:w="11906" w:h="16839"/>
          <w:pgMar w:top="1840" w:right="1785" w:bottom="1516" w:left="1785" w:header="1408" w:footer="1354" w:gutter="0"/>
          <w:cols w:space="720" w:num="1"/>
        </w:sectPr>
      </w:pPr>
    </w:p>
    <w:p w14:paraId="20322871">
      <w:pPr>
        <w:pStyle w:val="2"/>
        <w:spacing w:line="258" w:lineRule="auto"/>
        <w:rPr>
          <w:sz w:val="21"/>
        </w:rPr>
      </w:pPr>
    </w:p>
    <w:p w14:paraId="01BE9CA6">
      <w:pPr>
        <w:pStyle w:val="2"/>
        <w:spacing w:line="258" w:lineRule="auto"/>
        <w:rPr>
          <w:sz w:val="21"/>
        </w:rPr>
      </w:pPr>
    </w:p>
    <w:p w14:paraId="30609536">
      <w:pPr>
        <w:pStyle w:val="2"/>
        <w:spacing w:line="258" w:lineRule="auto"/>
        <w:rPr>
          <w:sz w:val="21"/>
        </w:rPr>
      </w:pPr>
    </w:p>
    <w:p w14:paraId="2D3E34D7">
      <w:pPr>
        <w:pStyle w:val="2"/>
        <w:spacing w:line="259" w:lineRule="auto"/>
        <w:rPr>
          <w:sz w:val="21"/>
        </w:rPr>
      </w:pPr>
    </w:p>
    <w:p w14:paraId="418D0D8C">
      <w:pPr>
        <w:spacing w:line="11724" w:lineRule="exact"/>
        <w:ind w:firstLine="14"/>
      </w:pPr>
      <w:r>
        <w:rPr>
          <w:position w:val="-234"/>
        </w:rPr>
        <w:drawing>
          <wp:inline distT="0" distB="0" distL="0" distR="0">
            <wp:extent cx="5265420" cy="7458075"/>
            <wp:effectExtent l="0" t="0" r="5080" b="9525"/>
            <wp:docPr id="110" name="IM 110"/>
            <wp:cNvGraphicFramePr/>
            <a:graphic xmlns:a="http://schemas.openxmlformats.org/drawingml/2006/main">
              <a:graphicData uri="http://schemas.openxmlformats.org/drawingml/2006/picture">
                <pic:pic xmlns:pic="http://schemas.openxmlformats.org/drawingml/2006/picture">
                  <pic:nvPicPr>
                    <pic:cNvPr id="110" name="IM 110"/>
                    <pic:cNvPicPr/>
                  </pic:nvPicPr>
                  <pic:blipFill>
                    <a:blip r:embed="rId330"/>
                    <a:stretch>
                      <a:fillRect/>
                    </a:stretch>
                  </pic:blipFill>
                  <pic:spPr>
                    <a:xfrm>
                      <a:off x="0" y="0"/>
                      <a:ext cx="5265420" cy="7458075"/>
                    </a:xfrm>
                    <a:prstGeom prst="rect">
                      <a:avLst/>
                    </a:prstGeom>
                  </pic:spPr>
                </pic:pic>
              </a:graphicData>
            </a:graphic>
          </wp:inline>
        </w:drawing>
      </w:r>
    </w:p>
    <w:p w14:paraId="6DC0C838">
      <w:pPr>
        <w:spacing w:line="11724" w:lineRule="exact"/>
        <w:sectPr>
          <w:headerReference r:id="rId114" w:type="default"/>
          <w:footerReference r:id="rId115" w:type="default"/>
          <w:pgSz w:w="11906" w:h="16839"/>
          <w:pgMar w:top="400" w:right="1785" w:bottom="1516" w:left="1785" w:header="0" w:footer="1354" w:gutter="0"/>
          <w:cols w:space="720" w:num="1"/>
        </w:sectPr>
      </w:pPr>
    </w:p>
    <w:p w14:paraId="06EE380F">
      <w:pPr>
        <w:spacing w:line="11724" w:lineRule="exact"/>
        <w:ind w:firstLine="14"/>
      </w:pPr>
      <w:r>
        <w:rPr>
          <w:position w:val="-234"/>
        </w:rPr>
        <w:drawing>
          <wp:inline distT="0" distB="0" distL="0" distR="0">
            <wp:extent cx="5265420" cy="7458075"/>
            <wp:effectExtent l="0" t="0" r="5080" b="9525"/>
            <wp:docPr id="112" name="IM 112"/>
            <wp:cNvGraphicFramePr/>
            <a:graphic xmlns:a="http://schemas.openxmlformats.org/drawingml/2006/main">
              <a:graphicData uri="http://schemas.openxmlformats.org/drawingml/2006/picture">
                <pic:pic xmlns:pic="http://schemas.openxmlformats.org/drawingml/2006/picture">
                  <pic:nvPicPr>
                    <pic:cNvPr id="112" name="IM 112"/>
                    <pic:cNvPicPr/>
                  </pic:nvPicPr>
                  <pic:blipFill>
                    <a:blip r:embed="rId331"/>
                    <a:stretch>
                      <a:fillRect/>
                    </a:stretch>
                  </pic:blipFill>
                  <pic:spPr>
                    <a:xfrm>
                      <a:off x="0" y="0"/>
                      <a:ext cx="5265420" cy="7458075"/>
                    </a:xfrm>
                    <a:prstGeom prst="rect">
                      <a:avLst/>
                    </a:prstGeom>
                  </pic:spPr>
                </pic:pic>
              </a:graphicData>
            </a:graphic>
          </wp:inline>
        </w:drawing>
      </w:r>
    </w:p>
    <w:p w14:paraId="486AA50A">
      <w:pPr>
        <w:spacing w:line="11724" w:lineRule="exact"/>
        <w:sectPr>
          <w:headerReference r:id="rId116" w:type="default"/>
          <w:footerReference r:id="rId117" w:type="default"/>
          <w:pgSz w:w="11906" w:h="16839"/>
          <w:pgMar w:top="1802" w:right="1785" w:bottom="1516" w:left="1785" w:header="1408" w:footer="1354" w:gutter="0"/>
          <w:cols w:space="720" w:num="1"/>
        </w:sectPr>
      </w:pPr>
    </w:p>
    <w:p w14:paraId="0F211330">
      <w:pPr>
        <w:pStyle w:val="2"/>
        <w:spacing w:line="258" w:lineRule="auto"/>
        <w:rPr>
          <w:sz w:val="21"/>
        </w:rPr>
      </w:pPr>
    </w:p>
    <w:p w14:paraId="3DE3BD33">
      <w:pPr>
        <w:pStyle w:val="2"/>
        <w:spacing w:line="258" w:lineRule="auto"/>
        <w:rPr>
          <w:sz w:val="21"/>
        </w:rPr>
      </w:pPr>
    </w:p>
    <w:p w14:paraId="03BB9439">
      <w:pPr>
        <w:pStyle w:val="2"/>
        <w:spacing w:line="258" w:lineRule="auto"/>
        <w:rPr>
          <w:sz w:val="21"/>
        </w:rPr>
      </w:pPr>
    </w:p>
    <w:p w14:paraId="14C79E68">
      <w:pPr>
        <w:pStyle w:val="2"/>
        <w:spacing w:line="259" w:lineRule="auto"/>
        <w:rPr>
          <w:sz w:val="21"/>
        </w:rPr>
      </w:pPr>
    </w:p>
    <w:p w14:paraId="08802401">
      <w:pPr>
        <w:spacing w:line="11724" w:lineRule="exact"/>
        <w:ind w:firstLine="14"/>
      </w:pPr>
      <w:r>
        <w:rPr>
          <w:position w:val="-234"/>
        </w:rPr>
        <w:drawing>
          <wp:inline distT="0" distB="0" distL="0" distR="0">
            <wp:extent cx="5265420" cy="7458075"/>
            <wp:effectExtent l="0" t="0" r="5080" b="9525"/>
            <wp:docPr id="114" name="IM 114"/>
            <wp:cNvGraphicFramePr/>
            <a:graphic xmlns:a="http://schemas.openxmlformats.org/drawingml/2006/main">
              <a:graphicData uri="http://schemas.openxmlformats.org/drawingml/2006/picture">
                <pic:pic xmlns:pic="http://schemas.openxmlformats.org/drawingml/2006/picture">
                  <pic:nvPicPr>
                    <pic:cNvPr id="114" name="IM 114"/>
                    <pic:cNvPicPr/>
                  </pic:nvPicPr>
                  <pic:blipFill>
                    <a:blip r:embed="rId332"/>
                    <a:stretch>
                      <a:fillRect/>
                    </a:stretch>
                  </pic:blipFill>
                  <pic:spPr>
                    <a:xfrm>
                      <a:off x="0" y="0"/>
                      <a:ext cx="5265420" cy="7458075"/>
                    </a:xfrm>
                    <a:prstGeom prst="rect">
                      <a:avLst/>
                    </a:prstGeom>
                  </pic:spPr>
                </pic:pic>
              </a:graphicData>
            </a:graphic>
          </wp:inline>
        </w:drawing>
      </w:r>
    </w:p>
    <w:p w14:paraId="67E472C0">
      <w:pPr>
        <w:spacing w:line="11724" w:lineRule="exact"/>
        <w:sectPr>
          <w:headerReference r:id="rId118" w:type="default"/>
          <w:footerReference r:id="rId119" w:type="default"/>
          <w:pgSz w:w="11906" w:h="16839"/>
          <w:pgMar w:top="400" w:right="1785" w:bottom="1516" w:left="1785" w:header="0" w:footer="1354" w:gutter="0"/>
          <w:cols w:space="720" w:num="1"/>
        </w:sectPr>
      </w:pPr>
    </w:p>
    <w:p w14:paraId="269617DB">
      <w:pPr>
        <w:spacing w:line="11724" w:lineRule="exact"/>
        <w:ind w:firstLine="14"/>
      </w:pPr>
      <w:r>
        <w:rPr>
          <w:position w:val="-234"/>
        </w:rPr>
        <w:drawing>
          <wp:inline distT="0" distB="0" distL="0" distR="0">
            <wp:extent cx="5265420" cy="7458075"/>
            <wp:effectExtent l="0" t="0" r="5080" b="9525"/>
            <wp:docPr id="116" name="IM 116"/>
            <wp:cNvGraphicFramePr/>
            <a:graphic xmlns:a="http://schemas.openxmlformats.org/drawingml/2006/main">
              <a:graphicData uri="http://schemas.openxmlformats.org/drawingml/2006/picture">
                <pic:pic xmlns:pic="http://schemas.openxmlformats.org/drawingml/2006/picture">
                  <pic:nvPicPr>
                    <pic:cNvPr id="116" name="IM 116"/>
                    <pic:cNvPicPr/>
                  </pic:nvPicPr>
                  <pic:blipFill>
                    <a:blip r:embed="rId333"/>
                    <a:stretch>
                      <a:fillRect/>
                    </a:stretch>
                  </pic:blipFill>
                  <pic:spPr>
                    <a:xfrm>
                      <a:off x="0" y="0"/>
                      <a:ext cx="5265420" cy="7458075"/>
                    </a:xfrm>
                    <a:prstGeom prst="rect">
                      <a:avLst/>
                    </a:prstGeom>
                  </pic:spPr>
                </pic:pic>
              </a:graphicData>
            </a:graphic>
          </wp:inline>
        </w:drawing>
      </w:r>
    </w:p>
    <w:p w14:paraId="5B18AE36">
      <w:pPr>
        <w:spacing w:line="11724" w:lineRule="exact"/>
        <w:sectPr>
          <w:headerReference r:id="rId120" w:type="default"/>
          <w:footerReference r:id="rId121" w:type="default"/>
          <w:pgSz w:w="11906" w:h="16839"/>
          <w:pgMar w:top="1802" w:right="1785" w:bottom="1516" w:left="1785" w:header="1408" w:footer="1354" w:gutter="0"/>
          <w:cols w:space="720" w:num="1"/>
        </w:sectPr>
      </w:pPr>
    </w:p>
    <w:p w14:paraId="26860C2C">
      <w:pPr>
        <w:spacing w:line="11707" w:lineRule="exact"/>
        <w:ind w:firstLine="14"/>
      </w:pPr>
      <w:r>
        <w:rPr>
          <w:position w:val="-234"/>
        </w:rPr>
        <w:drawing>
          <wp:inline distT="0" distB="0" distL="0" distR="0">
            <wp:extent cx="5262245" cy="7448550"/>
            <wp:effectExtent l="0" t="0" r="8255" b="6350"/>
            <wp:docPr id="118" name="IM 118"/>
            <wp:cNvGraphicFramePr/>
            <a:graphic xmlns:a="http://schemas.openxmlformats.org/drawingml/2006/main">
              <a:graphicData uri="http://schemas.openxmlformats.org/drawingml/2006/picture">
                <pic:pic xmlns:pic="http://schemas.openxmlformats.org/drawingml/2006/picture">
                  <pic:nvPicPr>
                    <pic:cNvPr id="118" name="IM 118"/>
                    <pic:cNvPicPr/>
                  </pic:nvPicPr>
                  <pic:blipFill>
                    <a:blip r:embed="rId334"/>
                    <a:stretch>
                      <a:fillRect/>
                    </a:stretch>
                  </pic:blipFill>
                  <pic:spPr>
                    <a:xfrm>
                      <a:off x="0" y="0"/>
                      <a:ext cx="5262371" cy="7448550"/>
                    </a:xfrm>
                    <a:prstGeom prst="rect">
                      <a:avLst/>
                    </a:prstGeom>
                  </pic:spPr>
                </pic:pic>
              </a:graphicData>
            </a:graphic>
          </wp:inline>
        </w:drawing>
      </w:r>
    </w:p>
    <w:p w14:paraId="76E9D4DF">
      <w:pPr>
        <w:spacing w:line="11707" w:lineRule="exact"/>
        <w:sectPr>
          <w:headerReference r:id="rId122" w:type="default"/>
          <w:footerReference r:id="rId123" w:type="default"/>
          <w:pgSz w:w="11906" w:h="16839"/>
          <w:pgMar w:top="1802" w:right="1785" w:bottom="1516" w:left="1785" w:header="1408" w:footer="1354" w:gutter="0"/>
          <w:cols w:space="720" w:num="1"/>
        </w:sectPr>
      </w:pPr>
    </w:p>
    <w:p w14:paraId="531121DB">
      <w:pPr>
        <w:pStyle w:val="2"/>
        <w:spacing w:line="258" w:lineRule="auto"/>
        <w:rPr>
          <w:sz w:val="21"/>
        </w:rPr>
      </w:pPr>
    </w:p>
    <w:p w14:paraId="6462C67E">
      <w:pPr>
        <w:pStyle w:val="2"/>
        <w:spacing w:line="258" w:lineRule="auto"/>
        <w:rPr>
          <w:sz w:val="21"/>
        </w:rPr>
      </w:pPr>
    </w:p>
    <w:p w14:paraId="7CB74B00">
      <w:pPr>
        <w:pStyle w:val="2"/>
        <w:spacing w:line="258" w:lineRule="auto"/>
        <w:rPr>
          <w:sz w:val="21"/>
        </w:rPr>
      </w:pPr>
    </w:p>
    <w:p w14:paraId="0F14DA23">
      <w:pPr>
        <w:pStyle w:val="2"/>
        <w:spacing w:line="259" w:lineRule="auto"/>
        <w:rPr>
          <w:sz w:val="21"/>
        </w:rPr>
      </w:pPr>
    </w:p>
    <w:p w14:paraId="12511C35">
      <w:pPr>
        <w:spacing w:line="11707" w:lineRule="exact"/>
        <w:ind w:firstLine="14"/>
      </w:pPr>
      <w:r>
        <w:rPr>
          <w:position w:val="-234"/>
        </w:rPr>
        <w:drawing>
          <wp:inline distT="0" distB="0" distL="0" distR="0">
            <wp:extent cx="5267325" cy="7433945"/>
            <wp:effectExtent l="0" t="0" r="3175" b="8255"/>
            <wp:docPr id="120" name="IM 120"/>
            <wp:cNvGraphicFramePr/>
            <a:graphic xmlns:a="http://schemas.openxmlformats.org/drawingml/2006/main">
              <a:graphicData uri="http://schemas.openxmlformats.org/drawingml/2006/picture">
                <pic:pic xmlns:pic="http://schemas.openxmlformats.org/drawingml/2006/picture">
                  <pic:nvPicPr>
                    <pic:cNvPr id="120" name="IM 120"/>
                    <pic:cNvPicPr/>
                  </pic:nvPicPr>
                  <pic:blipFill>
                    <a:blip r:embed="rId335"/>
                    <a:stretch>
                      <a:fillRect/>
                    </a:stretch>
                  </pic:blipFill>
                  <pic:spPr>
                    <a:xfrm>
                      <a:off x="0" y="0"/>
                      <a:ext cx="5267325" cy="7434071"/>
                    </a:xfrm>
                    <a:prstGeom prst="rect">
                      <a:avLst/>
                    </a:prstGeom>
                  </pic:spPr>
                </pic:pic>
              </a:graphicData>
            </a:graphic>
          </wp:inline>
        </w:drawing>
      </w:r>
    </w:p>
    <w:p w14:paraId="14983E9A">
      <w:pPr>
        <w:spacing w:line="11707" w:lineRule="exact"/>
        <w:sectPr>
          <w:headerReference r:id="rId124" w:type="default"/>
          <w:footerReference r:id="rId125" w:type="default"/>
          <w:pgSz w:w="11906" w:h="16839"/>
          <w:pgMar w:top="400" w:right="1785" w:bottom="1516" w:left="1785" w:header="0" w:footer="1354" w:gutter="0"/>
          <w:cols w:space="720" w:num="1"/>
        </w:sectPr>
      </w:pPr>
    </w:p>
    <w:p w14:paraId="1FF95A57">
      <w:pPr>
        <w:pStyle w:val="2"/>
        <w:spacing w:line="245" w:lineRule="auto"/>
        <w:rPr>
          <w:sz w:val="21"/>
        </w:rPr>
      </w:pPr>
    </w:p>
    <w:p w14:paraId="06F9BA52">
      <w:pPr>
        <w:pStyle w:val="2"/>
        <w:spacing w:line="246" w:lineRule="auto"/>
        <w:rPr>
          <w:sz w:val="21"/>
        </w:rPr>
      </w:pPr>
    </w:p>
    <w:p w14:paraId="17AD0731">
      <w:pPr>
        <w:pStyle w:val="2"/>
        <w:spacing w:line="246" w:lineRule="auto"/>
        <w:rPr>
          <w:sz w:val="21"/>
        </w:rPr>
      </w:pPr>
    </w:p>
    <w:p w14:paraId="670B9342">
      <w:pPr>
        <w:pStyle w:val="2"/>
        <w:spacing w:line="246" w:lineRule="auto"/>
        <w:rPr>
          <w:sz w:val="21"/>
        </w:rPr>
      </w:pPr>
    </w:p>
    <w:p w14:paraId="070831D6">
      <w:pPr>
        <w:spacing w:before="91" w:line="223" w:lineRule="auto"/>
        <w:ind w:left="44"/>
        <w:rPr>
          <w:rFonts w:ascii="仿宋" w:hAnsi="仿宋" w:eastAsia="仿宋" w:cs="仿宋"/>
          <w:sz w:val="28"/>
          <w:szCs w:val="28"/>
        </w:rPr>
      </w:pPr>
      <w:r>
        <w:rPr>
          <w:rFonts w:ascii="仿宋" w:hAnsi="仿宋" w:eastAsia="仿宋" w:cs="仿宋"/>
          <w:b/>
          <w:bCs/>
          <w:spacing w:val="-5"/>
          <w:sz w:val="28"/>
          <w:szCs w:val="28"/>
        </w:rPr>
        <w:t>附件</w:t>
      </w:r>
      <w:r>
        <w:rPr>
          <w:rFonts w:ascii="仿宋" w:hAnsi="仿宋" w:eastAsia="仿宋" w:cs="仿宋"/>
          <w:spacing w:val="-57"/>
          <w:sz w:val="28"/>
          <w:szCs w:val="28"/>
        </w:rPr>
        <w:t xml:space="preserve"> </w:t>
      </w:r>
      <w:r>
        <w:rPr>
          <w:rFonts w:ascii="Times New Roman" w:hAnsi="Times New Roman" w:eastAsia="Times New Roman" w:cs="Times New Roman"/>
          <w:b/>
          <w:bCs/>
          <w:spacing w:val="-5"/>
          <w:sz w:val="28"/>
          <w:szCs w:val="28"/>
        </w:rPr>
        <w:t xml:space="preserve">9 </w:t>
      </w:r>
      <w:r>
        <w:rPr>
          <w:rFonts w:ascii="仿宋" w:hAnsi="仿宋" w:eastAsia="仿宋" w:cs="仿宋"/>
          <w:b/>
          <w:bCs/>
          <w:spacing w:val="-5"/>
          <w:sz w:val="28"/>
          <w:szCs w:val="28"/>
        </w:rPr>
        <w:t>旗政府常务会议纪要</w:t>
      </w:r>
    </w:p>
    <w:p w14:paraId="66E28126">
      <w:pPr>
        <w:spacing w:before="226" w:line="10020" w:lineRule="exact"/>
        <w:ind w:firstLine="14"/>
      </w:pPr>
      <w:r>
        <w:rPr>
          <w:position w:val="-200"/>
        </w:rPr>
        <w:drawing>
          <wp:inline distT="0" distB="0" distL="0" distR="0">
            <wp:extent cx="5273040" cy="6372225"/>
            <wp:effectExtent l="0" t="0" r="10160" b="3175"/>
            <wp:docPr id="122" name="IM 122"/>
            <wp:cNvGraphicFramePr/>
            <a:graphic xmlns:a="http://schemas.openxmlformats.org/drawingml/2006/main">
              <a:graphicData uri="http://schemas.openxmlformats.org/drawingml/2006/picture">
                <pic:pic xmlns:pic="http://schemas.openxmlformats.org/drawingml/2006/picture">
                  <pic:nvPicPr>
                    <pic:cNvPr id="122" name="IM 122"/>
                    <pic:cNvPicPr/>
                  </pic:nvPicPr>
                  <pic:blipFill>
                    <a:blip r:embed="rId336"/>
                    <a:stretch>
                      <a:fillRect/>
                    </a:stretch>
                  </pic:blipFill>
                  <pic:spPr>
                    <a:xfrm>
                      <a:off x="0" y="0"/>
                      <a:ext cx="5273040" cy="6372225"/>
                    </a:xfrm>
                    <a:prstGeom prst="rect">
                      <a:avLst/>
                    </a:prstGeom>
                  </pic:spPr>
                </pic:pic>
              </a:graphicData>
            </a:graphic>
          </wp:inline>
        </w:drawing>
      </w:r>
    </w:p>
    <w:p w14:paraId="126FE9B3">
      <w:pPr>
        <w:spacing w:line="10020" w:lineRule="exact"/>
        <w:sectPr>
          <w:footerReference r:id="rId126" w:type="default"/>
          <w:pgSz w:w="11906" w:h="16839"/>
          <w:pgMar w:top="400" w:right="1785" w:bottom="1516" w:left="1785" w:header="0" w:footer="1354" w:gutter="0"/>
          <w:cols w:space="720" w:num="1"/>
        </w:sectPr>
      </w:pPr>
    </w:p>
    <w:p w14:paraId="7F51A3BE">
      <w:pPr>
        <w:pStyle w:val="2"/>
        <w:spacing w:line="249" w:lineRule="auto"/>
        <w:rPr>
          <w:sz w:val="21"/>
        </w:rPr>
      </w:pPr>
    </w:p>
    <w:p w14:paraId="76D57379">
      <w:pPr>
        <w:pStyle w:val="2"/>
        <w:spacing w:line="249" w:lineRule="auto"/>
        <w:rPr>
          <w:sz w:val="21"/>
        </w:rPr>
      </w:pPr>
    </w:p>
    <w:p w14:paraId="19329B06">
      <w:pPr>
        <w:pStyle w:val="2"/>
        <w:spacing w:line="249" w:lineRule="auto"/>
        <w:rPr>
          <w:sz w:val="21"/>
        </w:rPr>
      </w:pPr>
    </w:p>
    <w:p w14:paraId="2C3C54FA">
      <w:pPr>
        <w:pStyle w:val="2"/>
        <w:spacing w:line="249" w:lineRule="auto"/>
        <w:rPr>
          <w:sz w:val="21"/>
        </w:rPr>
      </w:pPr>
    </w:p>
    <w:p w14:paraId="7EB48706">
      <w:pPr>
        <w:pStyle w:val="2"/>
        <w:spacing w:line="249" w:lineRule="auto"/>
        <w:rPr>
          <w:sz w:val="21"/>
        </w:rPr>
      </w:pPr>
    </w:p>
    <w:p w14:paraId="22C13AC1">
      <w:pPr>
        <w:pStyle w:val="2"/>
        <w:spacing w:line="249" w:lineRule="auto"/>
        <w:rPr>
          <w:sz w:val="21"/>
        </w:rPr>
      </w:pPr>
    </w:p>
    <w:p w14:paraId="7F8D7EE3">
      <w:pPr>
        <w:pStyle w:val="2"/>
        <w:spacing w:line="249" w:lineRule="auto"/>
        <w:rPr>
          <w:sz w:val="21"/>
        </w:rPr>
      </w:pPr>
    </w:p>
    <w:p w14:paraId="6224523B">
      <w:pPr>
        <w:pStyle w:val="2"/>
        <w:spacing w:line="249" w:lineRule="auto"/>
        <w:rPr>
          <w:sz w:val="21"/>
        </w:rPr>
      </w:pPr>
    </w:p>
    <w:p w14:paraId="75E7AEC8">
      <w:pPr>
        <w:spacing w:line="10198" w:lineRule="exact"/>
        <w:ind w:firstLine="14"/>
      </w:pPr>
      <w:r>
        <w:rPr>
          <w:position w:val="-203"/>
        </w:rPr>
        <w:drawing>
          <wp:inline distT="0" distB="0" distL="0" distR="0">
            <wp:extent cx="5271135" cy="6475095"/>
            <wp:effectExtent l="0" t="0" r="0" b="0"/>
            <wp:docPr id="124" name="IM 124"/>
            <wp:cNvGraphicFramePr/>
            <a:graphic xmlns:a="http://schemas.openxmlformats.org/drawingml/2006/main">
              <a:graphicData uri="http://schemas.openxmlformats.org/drawingml/2006/picture">
                <pic:pic xmlns:pic="http://schemas.openxmlformats.org/drawingml/2006/picture">
                  <pic:nvPicPr>
                    <pic:cNvPr id="124" name="IM 124"/>
                    <pic:cNvPicPr/>
                  </pic:nvPicPr>
                  <pic:blipFill>
                    <a:blip r:embed="rId337"/>
                    <a:stretch>
                      <a:fillRect/>
                    </a:stretch>
                  </pic:blipFill>
                  <pic:spPr>
                    <a:xfrm>
                      <a:off x="0" y="0"/>
                      <a:ext cx="5271515" cy="6475475"/>
                    </a:xfrm>
                    <a:prstGeom prst="rect">
                      <a:avLst/>
                    </a:prstGeom>
                  </pic:spPr>
                </pic:pic>
              </a:graphicData>
            </a:graphic>
          </wp:inline>
        </w:drawing>
      </w:r>
    </w:p>
    <w:p w14:paraId="2FCC7B4C">
      <w:pPr>
        <w:spacing w:line="10198" w:lineRule="exact"/>
        <w:sectPr>
          <w:footerReference r:id="rId127" w:type="default"/>
          <w:pgSz w:w="11906" w:h="16839"/>
          <w:pgMar w:top="400" w:right="1785" w:bottom="1516" w:left="1785" w:header="0" w:footer="1354" w:gutter="0"/>
          <w:cols w:space="720" w:num="1"/>
        </w:sectPr>
      </w:pPr>
    </w:p>
    <w:p w14:paraId="4772FEBD">
      <w:pPr>
        <w:pStyle w:val="2"/>
        <w:spacing w:line="258" w:lineRule="auto"/>
        <w:rPr>
          <w:sz w:val="21"/>
        </w:rPr>
      </w:pPr>
    </w:p>
    <w:p w14:paraId="2369D1FD">
      <w:pPr>
        <w:pStyle w:val="2"/>
        <w:spacing w:line="258" w:lineRule="auto"/>
        <w:rPr>
          <w:sz w:val="21"/>
        </w:rPr>
      </w:pPr>
    </w:p>
    <w:p w14:paraId="7045B17D">
      <w:pPr>
        <w:pStyle w:val="2"/>
        <w:spacing w:line="258" w:lineRule="auto"/>
        <w:rPr>
          <w:sz w:val="21"/>
        </w:rPr>
      </w:pPr>
    </w:p>
    <w:p w14:paraId="46E1E0BA">
      <w:pPr>
        <w:pStyle w:val="2"/>
        <w:spacing w:line="259" w:lineRule="auto"/>
        <w:rPr>
          <w:sz w:val="21"/>
        </w:rPr>
      </w:pPr>
    </w:p>
    <w:p w14:paraId="0032293F">
      <w:pPr>
        <w:spacing w:line="9927" w:lineRule="exact"/>
        <w:ind w:firstLine="14"/>
      </w:pPr>
      <w:r>
        <w:rPr>
          <w:position w:val="-198"/>
        </w:rPr>
        <w:drawing>
          <wp:inline distT="0" distB="0" distL="0" distR="0">
            <wp:extent cx="5269865" cy="6303010"/>
            <wp:effectExtent l="0" t="0" r="0" b="0"/>
            <wp:docPr id="126" name="IM 126"/>
            <wp:cNvGraphicFramePr/>
            <a:graphic xmlns:a="http://schemas.openxmlformats.org/drawingml/2006/main">
              <a:graphicData uri="http://schemas.openxmlformats.org/drawingml/2006/picture">
                <pic:pic xmlns:pic="http://schemas.openxmlformats.org/drawingml/2006/picture">
                  <pic:nvPicPr>
                    <pic:cNvPr id="126" name="IM 126"/>
                    <pic:cNvPicPr/>
                  </pic:nvPicPr>
                  <pic:blipFill>
                    <a:blip r:embed="rId338"/>
                    <a:stretch>
                      <a:fillRect/>
                    </a:stretch>
                  </pic:blipFill>
                  <pic:spPr>
                    <a:xfrm>
                      <a:off x="0" y="0"/>
                      <a:ext cx="5269991" cy="6303263"/>
                    </a:xfrm>
                    <a:prstGeom prst="rect">
                      <a:avLst/>
                    </a:prstGeom>
                  </pic:spPr>
                </pic:pic>
              </a:graphicData>
            </a:graphic>
          </wp:inline>
        </w:drawing>
      </w:r>
    </w:p>
    <w:p w14:paraId="182EE555">
      <w:pPr>
        <w:spacing w:line="9927" w:lineRule="exact"/>
        <w:sectPr>
          <w:footerReference r:id="rId128" w:type="default"/>
          <w:pgSz w:w="11906" w:h="16839"/>
          <w:pgMar w:top="400" w:right="1785" w:bottom="1516" w:left="1785" w:header="0" w:footer="1354" w:gutter="0"/>
          <w:cols w:space="720" w:num="1"/>
        </w:sectPr>
      </w:pPr>
    </w:p>
    <w:p w14:paraId="3500817E">
      <w:pPr>
        <w:spacing w:before="197" w:line="223" w:lineRule="auto"/>
        <w:ind w:left="2314"/>
        <w:rPr>
          <w:rFonts w:ascii="宋体" w:hAnsi="宋体" w:eastAsia="宋体" w:cs="宋体"/>
          <w:sz w:val="42"/>
          <w:szCs w:val="42"/>
        </w:rPr>
      </w:pPr>
      <w:r>
        <w:rPr>
          <w:rFonts w:ascii="宋体" w:hAnsi="宋体" w:eastAsia="宋体" w:cs="宋体"/>
          <w:spacing w:val="-41"/>
          <w:sz w:val="42"/>
          <w:szCs w:val="42"/>
        </w:rPr>
        <w:t>附件10</w:t>
      </w:r>
    </w:p>
    <w:p w14:paraId="1647395F">
      <w:pPr>
        <w:spacing w:line="223" w:lineRule="auto"/>
        <w:rPr>
          <w:rFonts w:ascii="宋体" w:hAnsi="宋体" w:eastAsia="宋体" w:cs="宋体"/>
          <w:sz w:val="42"/>
          <w:szCs w:val="42"/>
        </w:rPr>
        <w:sectPr>
          <w:headerReference r:id="rId129" w:type="default"/>
          <w:footerReference r:id="rId130" w:type="default"/>
          <w:pgSz w:w="11900" w:h="16840"/>
          <w:pgMar w:top="400" w:right="15" w:bottom="400" w:left="13" w:header="0" w:footer="0" w:gutter="0"/>
          <w:cols w:space="720" w:num="1"/>
        </w:sectPr>
      </w:pPr>
    </w:p>
    <w:p w14:paraId="13904EDE">
      <w:pPr>
        <w:spacing w:line="16775" w:lineRule="exact"/>
      </w:pPr>
      <w:r>
        <w:rPr>
          <w:position w:val="-335"/>
        </w:rPr>
        <w:drawing>
          <wp:inline distT="0" distB="0" distL="0" distR="0">
            <wp:extent cx="7537450" cy="10652125"/>
            <wp:effectExtent l="0" t="0" r="0" b="0"/>
            <wp:docPr id="130" name="IM 130"/>
            <wp:cNvGraphicFramePr/>
            <a:graphic xmlns:a="http://schemas.openxmlformats.org/drawingml/2006/main">
              <a:graphicData uri="http://schemas.openxmlformats.org/drawingml/2006/picture">
                <pic:pic xmlns:pic="http://schemas.openxmlformats.org/drawingml/2006/picture">
                  <pic:nvPicPr>
                    <pic:cNvPr id="130" name="IM 130"/>
                    <pic:cNvPicPr/>
                  </pic:nvPicPr>
                  <pic:blipFill>
                    <a:blip r:embed="rId339"/>
                    <a:stretch>
                      <a:fillRect/>
                    </a:stretch>
                  </pic:blipFill>
                  <pic:spPr>
                    <a:xfrm>
                      <a:off x="0" y="0"/>
                      <a:ext cx="7537450" cy="10652759"/>
                    </a:xfrm>
                    <a:prstGeom prst="rect">
                      <a:avLst/>
                    </a:prstGeom>
                  </pic:spPr>
                </pic:pic>
              </a:graphicData>
            </a:graphic>
          </wp:inline>
        </w:drawing>
      </w:r>
    </w:p>
    <w:p w14:paraId="48F56896">
      <w:pPr>
        <w:spacing w:line="16775" w:lineRule="exact"/>
        <w:sectPr>
          <w:headerReference r:id="rId131" w:type="default"/>
          <w:pgSz w:w="11900" w:h="16840"/>
          <w:pgMar w:top="25" w:right="15" w:bottom="27" w:left="13" w:header="0" w:footer="0" w:gutter="0"/>
          <w:cols w:space="720" w:num="1"/>
        </w:sectPr>
      </w:pPr>
    </w:p>
    <w:p w14:paraId="157165EF">
      <w:pPr>
        <w:spacing w:line="16775" w:lineRule="exact"/>
      </w:pPr>
      <w:r>
        <w:rPr>
          <w:position w:val="-335"/>
        </w:rPr>
        <w:drawing>
          <wp:inline distT="0" distB="0" distL="0" distR="0">
            <wp:extent cx="7537450" cy="10652125"/>
            <wp:effectExtent l="0" t="0" r="0" b="0"/>
            <wp:docPr id="132" name="IM 132"/>
            <wp:cNvGraphicFramePr/>
            <a:graphic xmlns:a="http://schemas.openxmlformats.org/drawingml/2006/main">
              <a:graphicData uri="http://schemas.openxmlformats.org/drawingml/2006/picture">
                <pic:pic xmlns:pic="http://schemas.openxmlformats.org/drawingml/2006/picture">
                  <pic:nvPicPr>
                    <pic:cNvPr id="132" name="IM 132"/>
                    <pic:cNvPicPr/>
                  </pic:nvPicPr>
                  <pic:blipFill>
                    <a:blip r:embed="rId340"/>
                    <a:stretch>
                      <a:fillRect/>
                    </a:stretch>
                  </pic:blipFill>
                  <pic:spPr>
                    <a:xfrm>
                      <a:off x="0" y="0"/>
                      <a:ext cx="7537450" cy="10652759"/>
                    </a:xfrm>
                    <a:prstGeom prst="rect">
                      <a:avLst/>
                    </a:prstGeom>
                  </pic:spPr>
                </pic:pic>
              </a:graphicData>
            </a:graphic>
          </wp:inline>
        </w:drawing>
      </w:r>
    </w:p>
    <w:p w14:paraId="7D926355">
      <w:pPr>
        <w:spacing w:line="16775" w:lineRule="exact"/>
        <w:sectPr>
          <w:pgSz w:w="11900" w:h="16840"/>
          <w:pgMar w:top="25" w:right="15" w:bottom="27" w:left="13" w:header="0" w:footer="0" w:gutter="0"/>
          <w:cols w:space="720" w:num="1"/>
        </w:sectPr>
      </w:pPr>
    </w:p>
    <w:p w14:paraId="55F9B542">
      <w:pPr>
        <w:spacing w:line="16775" w:lineRule="exact"/>
      </w:pPr>
      <w:r>
        <w:rPr>
          <w:position w:val="-335"/>
        </w:rPr>
        <w:drawing>
          <wp:inline distT="0" distB="0" distL="0" distR="0">
            <wp:extent cx="7537450" cy="10652125"/>
            <wp:effectExtent l="0" t="0" r="0" b="0"/>
            <wp:docPr id="134" name="IM 134"/>
            <wp:cNvGraphicFramePr/>
            <a:graphic xmlns:a="http://schemas.openxmlformats.org/drawingml/2006/main">
              <a:graphicData uri="http://schemas.openxmlformats.org/drawingml/2006/picture">
                <pic:pic xmlns:pic="http://schemas.openxmlformats.org/drawingml/2006/picture">
                  <pic:nvPicPr>
                    <pic:cNvPr id="134" name="IM 134"/>
                    <pic:cNvPicPr/>
                  </pic:nvPicPr>
                  <pic:blipFill>
                    <a:blip r:embed="rId341"/>
                    <a:stretch>
                      <a:fillRect/>
                    </a:stretch>
                  </pic:blipFill>
                  <pic:spPr>
                    <a:xfrm>
                      <a:off x="0" y="0"/>
                      <a:ext cx="7537450" cy="10652759"/>
                    </a:xfrm>
                    <a:prstGeom prst="rect">
                      <a:avLst/>
                    </a:prstGeom>
                  </pic:spPr>
                </pic:pic>
              </a:graphicData>
            </a:graphic>
          </wp:inline>
        </w:drawing>
      </w:r>
    </w:p>
    <w:p w14:paraId="3C43ADAE">
      <w:pPr>
        <w:spacing w:line="16775" w:lineRule="exact"/>
        <w:sectPr>
          <w:pgSz w:w="11900" w:h="16840"/>
          <w:pgMar w:top="25" w:right="15" w:bottom="27" w:left="13" w:header="0" w:footer="0" w:gutter="0"/>
          <w:cols w:space="720" w:num="1"/>
        </w:sectPr>
      </w:pPr>
    </w:p>
    <w:p w14:paraId="49C48762">
      <w:pPr>
        <w:spacing w:line="16775" w:lineRule="exact"/>
      </w:pPr>
      <w:r>
        <w:rPr>
          <w:position w:val="-335"/>
        </w:rPr>
        <w:drawing>
          <wp:inline distT="0" distB="0" distL="0" distR="0">
            <wp:extent cx="7537450" cy="10652125"/>
            <wp:effectExtent l="0" t="0" r="0" b="0"/>
            <wp:docPr id="136" name="IM 136"/>
            <wp:cNvGraphicFramePr/>
            <a:graphic xmlns:a="http://schemas.openxmlformats.org/drawingml/2006/main">
              <a:graphicData uri="http://schemas.openxmlformats.org/drawingml/2006/picture">
                <pic:pic xmlns:pic="http://schemas.openxmlformats.org/drawingml/2006/picture">
                  <pic:nvPicPr>
                    <pic:cNvPr id="136" name="IM 136"/>
                    <pic:cNvPicPr/>
                  </pic:nvPicPr>
                  <pic:blipFill>
                    <a:blip r:embed="rId342"/>
                    <a:stretch>
                      <a:fillRect/>
                    </a:stretch>
                  </pic:blipFill>
                  <pic:spPr>
                    <a:xfrm>
                      <a:off x="0" y="0"/>
                      <a:ext cx="7537450" cy="10652759"/>
                    </a:xfrm>
                    <a:prstGeom prst="rect">
                      <a:avLst/>
                    </a:prstGeom>
                  </pic:spPr>
                </pic:pic>
              </a:graphicData>
            </a:graphic>
          </wp:inline>
        </w:drawing>
      </w:r>
    </w:p>
    <w:p w14:paraId="0C723BF9">
      <w:pPr>
        <w:spacing w:line="16775" w:lineRule="exact"/>
        <w:sectPr>
          <w:pgSz w:w="11900" w:h="16840"/>
          <w:pgMar w:top="25" w:right="15" w:bottom="27" w:left="13" w:header="0" w:footer="0" w:gutter="0"/>
          <w:cols w:space="720" w:num="1"/>
        </w:sectPr>
      </w:pPr>
    </w:p>
    <w:p w14:paraId="40BAB931">
      <w:pPr>
        <w:spacing w:line="16775" w:lineRule="exact"/>
      </w:pPr>
      <w:r>
        <w:rPr>
          <w:position w:val="-335"/>
        </w:rPr>
        <w:drawing>
          <wp:inline distT="0" distB="0" distL="0" distR="0">
            <wp:extent cx="7537450" cy="10652125"/>
            <wp:effectExtent l="0" t="0" r="0" b="0"/>
            <wp:docPr id="138" name="IM 138"/>
            <wp:cNvGraphicFramePr/>
            <a:graphic xmlns:a="http://schemas.openxmlformats.org/drawingml/2006/main">
              <a:graphicData uri="http://schemas.openxmlformats.org/drawingml/2006/picture">
                <pic:pic xmlns:pic="http://schemas.openxmlformats.org/drawingml/2006/picture">
                  <pic:nvPicPr>
                    <pic:cNvPr id="138" name="IM 138"/>
                    <pic:cNvPicPr/>
                  </pic:nvPicPr>
                  <pic:blipFill>
                    <a:blip r:embed="rId343"/>
                    <a:stretch>
                      <a:fillRect/>
                    </a:stretch>
                  </pic:blipFill>
                  <pic:spPr>
                    <a:xfrm>
                      <a:off x="0" y="0"/>
                      <a:ext cx="7537450" cy="10652759"/>
                    </a:xfrm>
                    <a:prstGeom prst="rect">
                      <a:avLst/>
                    </a:prstGeom>
                  </pic:spPr>
                </pic:pic>
              </a:graphicData>
            </a:graphic>
          </wp:inline>
        </w:drawing>
      </w:r>
    </w:p>
    <w:p w14:paraId="77F3A34F">
      <w:pPr>
        <w:spacing w:line="16775" w:lineRule="exact"/>
        <w:sectPr>
          <w:pgSz w:w="11900" w:h="16840"/>
          <w:pgMar w:top="25" w:right="15" w:bottom="27" w:left="13" w:header="0" w:footer="0" w:gutter="0"/>
          <w:cols w:space="720" w:num="1"/>
        </w:sectPr>
      </w:pPr>
    </w:p>
    <w:p w14:paraId="11F3EEFD">
      <w:pPr>
        <w:spacing w:line="16775" w:lineRule="exact"/>
      </w:pPr>
      <w:r>
        <w:rPr>
          <w:position w:val="-335"/>
        </w:rPr>
        <w:drawing>
          <wp:inline distT="0" distB="0" distL="0" distR="0">
            <wp:extent cx="7537450" cy="10652125"/>
            <wp:effectExtent l="0" t="0" r="0" b="0"/>
            <wp:docPr id="140" name="IM 140"/>
            <wp:cNvGraphicFramePr/>
            <a:graphic xmlns:a="http://schemas.openxmlformats.org/drawingml/2006/main">
              <a:graphicData uri="http://schemas.openxmlformats.org/drawingml/2006/picture">
                <pic:pic xmlns:pic="http://schemas.openxmlformats.org/drawingml/2006/picture">
                  <pic:nvPicPr>
                    <pic:cNvPr id="140" name="IM 140"/>
                    <pic:cNvPicPr/>
                  </pic:nvPicPr>
                  <pic:blipFill>
                    <a:blip r:embed="rId344"/>
                    <a:stretch>
                      <a:fillRect/>
                    </a:stretch>
                  </pic:blipFill>
                  <pic:spPr>
                    <a:xfrm>
                      <a:off x="0" y="0"/>
                      <a:ext cx="7537450" cy="10652759"/>
                    </a:xfrm>
                    <a:prstGeom prst="rect">
                      <a:avLst/>
                    </a:prstGeom>
                  </pic:spPr>
                </pic:pic>
              </a:graphicData>
            </a:graphic>
          </wp:inline>
        </w:drawing>
      </w:r>
    </w:p>
    <w:p w14:paraId="4C5B87CC">
      <w:pPr>
        <w:spacing w:line="16775" w:lineRule="exact"/>
        <w:sectPr>
          <w:pgSz w:w="11900" w:h="16840"/>
          <w:pgMar w:top="25" w:right="15" w:bottom="27" w:left="13" w:header="0" w:footer="0" w:gutter="0"/>
          <w:cols w:space="720" w:num="1"/>
        </w:sectPr>
      </w:pPr>
    </w:p>
    <w:p w14:paraId="1416F606">
      <w:pPr>
        <w:spacing w:line="16775" w:lineRule="exact"/>
      </w:pPr>
      <w:r>
        <w:rPr>
          <w:position w:val="-335"/>
        </w:rPr>
        <w:drawing>
          <wp:inline distT="0" distB="0" distL="0" distR="0">
            <wp:extent cx="7537450" cy="10652125"/>
            <wp:effectExtent l="0" t="0" r="0" b="0"/>
            <wp:docPr id="142" name="IM 142"/>
            <wp:cNvGraphicFramePr/>
            <a:graphic xmlns:a="http://schemas.openxmlformats.org/drawingml/2006/main">
              <a:graphicData uri="http://schemas.openxmlformats.org/drawingml/2006/picture">
                <pic:pic xmlns:pic="http://schemas.openxmlformats.org/drawingml/2006/picture">
                  <pic:nvPicPr>
                    <pic:cNvPr id="142" name="IM 142"/>
                    <pic:cNvPicPr/>
                  </pic:nvPicPr>
                  <pic:blipFill>
                    <a:blip r:embed="rId345"/>
                    <a:stretch>
                      <a:fillRect/>
                    </a:stretch>
                  </pic:blipFill>
                  <pic:spPr>
                    <a:xfrm>
                      <a:off x="0" y="0"/>
                      <a:ext cx="7537450" cy="10652759"/>
                    </a:xfrm>
                    <a:prstGeom prst="rect">
                      <a:avLst/>
                    </a:prstGeom>
                  </pic:spPr>
                </pic:pic>
              </a:graphicData>
            </a:graphic>
          </wp:inline>
        </w:drawing>
      </w:r>
    </w:p>
    <w:p w14:paraId="34DD9B44">
      <w:pPr>
        <w:spacing w:line="16775" w:lineRule="exact"/>
        <w:sectPr>
          <w:pgSz w:w="11900" w:h="16840"/>
          <w:pgMar w:top="25" w:right="15" w:bottom="27" w:left="13" w:header="0" w:footer="0" w:gutter="0"/>
          <w:cols w:space="720" w:num="1"/>
        </w:sectPr>
      </w:pPr>
    </w:p>
    <w:p w14:paraId="484F0371">
      <w:pPr>
        <w:spacing w:line="16775" w:lineRule="exact"/>
      </w:pPr>
      <w:r>
        <w:rPr>
          <w:position w:val="-335"/>
        </w:rPr>
        <w:drawing>
          <wp:inline distT="0" distB="0" distL="0" distR="0">
            <wp:extent cx="7537450" cy="10652125"/>
            <wp:effectExtent l="0" t="0" r="0" b="0"/>
            <wp:docPr id="144" name="IM 144"/>
            <wp:cNvGraphicFramePr/>
            <a:graphic xmlns:a="http://schemas.openxmlformats.org/drawingml/2006/main">
              <a:graphicData uri="http://schemas.openxmlformats.org/drawingml/2006/picture">
                <pic:pic xmlns:pic="http://schemas.openxmlformats.org/drawingml/2006/picture">
                  <pic:nvPicPr>
                    <pic:cNvPr id="144" name="IM 144"/>
                    <pic:cNvPicPr/>
                  </pic:nvPicPr>
                  <pic:blipFill>
                    <a:blip r:embed="rId346"/>
                    <a:stretch>
                      <a:fillRect/>
                    </a:stretch>
                  </pic:blipFill>
                  <pic:spPr>
                    <a:xfrm>
                      <a:off x="0" y="0"/>
                      <a:ext cx="7537450" cy="10652759"/>
                    </a:xfrm>
                    <a:prstGeom prst="rect">
                      <a:avLst/>
                    </a:prstGeom>
                  </pic:spPr>
                </pic:pic>
              </a:graphicData>
            </a:graphic>
          </wp:inline>
        </w:drawing>
      </w:r>
    </w:p>
    <w:p w14:paraId="6226D2B9">
      <w:pPr>
        <w:spacing w:line="16775" w:lineRule="exact"/>
        <w:sectPr>
          <w:pgSz w:w="11900" w:h="16840"/>
          <w:pgMar w:top="25" w:right="15" w:bottom="27" w:left="13" w:header="0" w:footer="0" w:gutter="0"/>
          <w:cols w:space="720" w:num="1"/>
        </w:sectPr>
      </w:pPr>
    </w:p>
    <w:p w14:paraId="7FF5B4DE">
      <w:pPr>
        <w:spacing w:line="16775" w:lineRule="exact"/>
      </w:pPr>
      <w:r>
        <w:rPr>
          <w:position w:val="-335"/>
        </w:rPr>
        <w:drawing>
          <wp:inline distT="0" distB="0" distL="0" distR="0">
            <wp:extent cx="7537450" cy="10652125"/>
            <wp:effectExtent l="0" t="0" r="0" b="0"/>
            <wp:docPr id="146" name="IM 146"/>
            <wp:cNvGraphicFramePr/>
            <a:graphic xmlns:a="http://schemas.openxmlformats.org/drawingml/2006/main">
              <a:graphicData uri="http://schemas.openxmlformats.org/drawingml/2006/picture">
                <pic:pic xmlns:pic="http://schemas.openxmlformats.org/drawingml/2006/picture">
                  <pic:nvPicPr>
                    <pic:cNvPr id="146" name="IM 146"/>
                    <pic:cNvPicPr/>
                  </pic:nvPicPr>
                  <pic:blipFill>
                    <a:blip r:embed="rId347"/>
                    <a:stretch>
                      <a:fillRect/>
                    </a:stretch>
                  </pic:blipFill>
                  <pic:spPr>
                    <a:xfrm>
                      <a:off x="0" y="0"/>
                      <a:ext cx="7537450" cy="10652759"/>
                    </a:xfrm>
                    <a:prstGeom prst="rect">
                      <a:avLst/>
                    </a:prstGeom>
                  </pic:spPr>
                </pic:pic>
              </a:graphicData>
            </a:graphic>
          </wp:inline>
        </w:drawing>
      </w:r>
    </w:p>
    <w:p w14:paraId="01A70510">
      <w:pPr>
        <w:spacing w:line="16775" w:lineRule="exact"/>
        <w:sectPr>
          <w:pgSz w:w="11900" w:h="16840"/>
          <w:pgMar w:top="25" w:right="15" w:bottom="27" w:left="13" w:header="0" w:footer="0" w:gutter="0"/>
          <w:cols w:space="720" w:num="1"/>
        </w:sectPr>
      </w:pPr>
    </w:p>
    <w:p w14:paraId="5100125F">
      <w:pPr>
        <w:spacing w:line="16775" w:lineRule="exact"/>
      </w:pPr>
      <w:r>
        <w:rPr>
          <w:position w:val="-335"/>
        </w:rPr>
        <w:drawing>
          <wp:inline distT="0" distB="0" distL="0" distR="0">
            <wp:extent cx="7537450" cy="10652125"/>
            <wp:effectExtent l="0" t="0" r="0" b="0"/>
            <wp:docPr id="148" name="IM 148"/>
            <wp:cNvGraphicFramePr/>
            <a:graphic xmlns:a="http://schemas.openxmlformats.org/drawingml/2006/main">
              <a:graphicData uri="http://schemas.openxmlformats.org/drawingml/2006/picture">
                <pic:pic xmlns:pic="http://schemas.openxmlformats.org/drawingml/2006/picture">
                  <pic:nvPicPr>
                    <pic:cNvPr id="148" name="IM 148"/>
                    <pic:cNvPicPr/>
                  </pic:nvPicPr>
                  <pic:blipFill>
                    <a:blip r:embed="rId348"/>
                    <a:stretch>
                      <a:fillRect/>
                    </a:stretch>
                  </pic:blipFill>
                  <pic:spPr>
                    <a:xfrm>
                      <a:off x="0" y="0"/>
                      <a:ext cx="7537450" cy="10652759"/>
                    </a:xfrm>
                    <a:prstGeom prst="rect">
                      <a:avLst/>
                    </a:prstGeom>
                  </pic:spPr>
                </pic:pic>
              </a:graphicData>
            </a:graphic>
          </wp:inline>
        </w:drawing>
      </w:r>
    </w:p>
    <w:p w14:paraId="2A4C17A2">
      <w:pPr>
        <w:spacing w:line="16775" w:lineRule="exact"/>
        <w:sectPr>
          <w:pgSz w:w="11900" w:h="16840"/>
          <w:pgMar w:top="25" w:right="15" w:bottom="27" w:left="13" w:header="0" w:footer="0" w:gutter="0"/>
          <w:cols w:space="720" w:num="1"/>
        </w:sectPr>
      </w:pPr>
    </w:p>
    <w:p w14:paraId="6F7C53AC">
      <w:pPr>
        <w:spacing w:line="16775" w:lineRule="exact"/>
      </w:pPr>
      <w:r>
        <w:rPr>
          <w:position w:val="-335"/>
        </w:rPr>
        <w:drawing>
          <wp:inline distT="0" distB="0" distL="0" distR="0">
            <wp:extent cx="7537450" cy="10652125"/>
            <wp:effectExtent l="0" t="0" r="0" b="0"/>
            <wp:docPr id="150" name="IM 150"/>
            <wp:cNvGraphicFramePr/>
            <a:graphic xmlns:a="http://schemas.openxmlformats.org/drawingml/2006/main">
              <a:graphicData uri="http://schemas.openxmlformats.org/drawingml/2006/picture">
                <pic:pic xmlns:pic="http://schemas.openxmlformats.org/drawingml/2006/picture">
                  <pic:nvPicPr>
                    <pic:cNvPr id="150" name="IM 150"/>
                    <pic:cNvPicPr/>
                  </pic:nvPicPr>
                  <pic:blipFill>
                    <a:blip r:embed="rId349"/>
                    <a:stretch>
                      <a:fillRect/>
                    </a:stretch>
                  </pic:blipFill>
                  <pic:spPr>
                    <a:xfrm>
                      <a:off x="0" y="0"/>
                      <a:ext cx="7537450" cy="10652759"/>
                    </a:xfrm>
                    <a:prstGeom prst="rect">
                      <a:avLst/>
                    </a:prstGeom>
                  </pic:spPr>
                </pic:pic>
              </a:graphicData>
            </a:graphic>
          </wp:inline>
        </w:drawing>
      </w:r>
    </w:p>
    <w:p w14:paraId="7709297C">
      <w:pPr>
        <w:spacing w:line="16775" w:lineRule="exact"/>
        <w:sectPr>
          <w:pgSz w:w="11900" w:h="16840"/>
          <w:pgMar w:top="25" w:right="15" w:bottom="27" w:left="13" w:header="0" w:footer="0" w:gutter="0"/>
          <w:cols w:space="720" w:num="1"/>
        </w:sectPr>
      </w:pPr>
    </w:p>
    <w:p w14:paraId="0213F8B8">
      <w:pPr>
        <w:spacing w:line="16775" w:lineRule="exact"/>
      </w:pPr>
      <w:r>
        <w:rPr>
          <w:position w:val="-335"/>
        </w:rPr>
        <w:drawing>
          <wp:inline distT="0" distB="0" distL="0" distR="0">
            <wp:extent cx="7537450" cy="10652125"/>
            <wp:effectExtent l="0" t="0" r="0" b="0"/>
            <wp:docPr id="152" name="IM 152"/>
            <wp:cNvGraphicFramePr/>
            <a:graphic xmlns:a="http://schemas.openxmlformats.org/drawingml/2006/main">
              <a:graphicData uri="http://schemas.openxmlformats.org/drawingml/2006/picture">
                <pic:pic xmlns:pic="http://schemas.openxmlformats.org/drawingml/2006/picture">
                  <pic:nvPicPr>
                    <pic:cNvPr id="152" name="IM 152"/>
                    <pic:cNvPicPr/>
                  </pic:nvPicPr>
                  <pic:blipFill>
                    <a:blip r:embed="rId350"/>
                    <a:stretch>
                      <a:fillRect/>
                    </a:stretch>
                  </pic:blipFill>
                  <pic:spPr>
                    <a:xfrm>
                      <a:off x="0" y="0"/>
                      <a:ext cx="7537450" cy="10652759"/>
                    </a:xfrm>
                    <a:prstGeom prst="rect">
                      <a:avLst/>
                    </a:prstGeom>
                  </pic:spPr>
                </pic:pic>
              </a:graphicData>
            </a:graphic>
          </wp:inline>
        </w:drawing>
      </w:r>
    </w:p>
    <w:p w14:paraId="3C49560E">
      <w:pPr>
        <w:spacing w:line="16775" w:lineRule="exact"/>
        <w:sectPr>
          <w:pgSz w:w="11900" w:h="16840"/>
          <w:pgMar w:top="25" w:right="15" w:bottom="27" w:left="13" w:header="0" w:footer="0" w:gutter="0"/>
          <w:cols w:space="720" w:num="1"/>
        </w:sectPr>
      </w:pPr>
    </w:p>
    <w:p w14:paraId="319231F4">
      <w:pPr>
        <w:spacing w:line="16775" w:lineRule="exact"/>
      </w:pPr>
      <w:r>
        <w:rPr>
          <w:position w:val="-335"/>
        </w:rPr>
        <w:drawing>
          <wp:inline distT="0" distB="0" distL="0" distR="0">
            <wp:extent cx="7537450" cy="10652125"/>
            <wp:effectExtent l="0" t="0" r="0" b="0"/>
            <wp:docPr id="154" name="IM 154"/>
            <wp:cNvGraphicFramePr/>
            <a:graphic xmlns:a="http://schemas.openxmlformats.org/drawingml/2006/main">
              <a:graphicData uri="http://schemas.openxmlformats.org/drawingml/2006/picture">
                <pic:pic xmlns:pic="http://schemas.openxmlformats.org/drawingml/2006/picture">
                  <pic:nvPicPr>
                    <pic:cNvPr id="154" name="IM 154"/>
                    <pic:cNvPicPr/>
                  </pic:nvPicPr>
                  <pic:blipFill>
                    <a:blip r:embed="rId351"/>
                    <a:stretch>
                      <a:fillRect/>
                    </a:stretch>
                  </pic:blipFill>
                  <pic:spPr>
                    <a:xfrm>
                      <a:off x="0" y="0"/>
                      <a:ext cx="7537450" cy="10652759"/>
                    </a:xfrm>
                    <a:prstGeom prst="rect">
                      <a:avLst/>
                    </a:prstGeom>
                  </pic:spPr>
                </pic:pic>
              </a:graphicData>
            </a:graphic>
          </wp:inline>
        </w:drawing>
      </w:r>
    </w:p>
    <w:p w14:paraId="56C2FF40">
      <w:pPr>
        <w:spacing w:line="16775" w:lineRule="exact"/>
        <w:sectPr>
          <w:pgSz w:w="11900" w:h="16840"/>
          <w:pgMar w:top="25" w:right="15" w:bottom="27" w:left="13" w:header="0" w:footer="0" w:gutter="0"/>
          <w:cols w:space="720" w:num="1"/>
        </w:sectPr>
      </w:pPr>
    </w:p>
    <w:p w14:paraId="35AF7912">
      <w:pPr>
        <w:spacing w:line="16775" w:lineRule="exact"/>
      </w:pPr>
      <w:r>
        <w:rPr>
          <w:position w:val="-335"/>
        </w:rPr>
        <w:drawing>
          <wp:inline distT="0" distB="0" distL="0" distR="0">
            <wp:extent cx="7537450" cy="10652125"/>
            <wp:effectExtent l="0" t="0" r="0" b="0"/>
            <wp:docPr id="156" name="IM 156"/>
            <wp:cNvGraphicFramePr/>
            <a:graphic xmlns:a="http://schemas.openxmlformats.org/drawingml/2006/main">
              <a:graphicData uri="http://schemas.openxmlformats.org/drawingml/2006/picture">
                <pic:pic xmlns:pic="http://schemas.openxmlformats.org/drawingml/2006/picture">
                  <pic:nvPicPr>
                    <pic:cNvPr id="156" name="IM 156"/>
                    <pic:cNvPicPr/>
                  </pic:nvPicPr>
                  <pic:blipFill>
                    <a:blip r:embed="rId352"/>
                    <a:stretch>
                      <a:fillRect/>
                    </a:stretch>
                  </pic:blipFill>
                  <pic:spPr>
                    <a:xfrm>
                      <a:off x="0" y="0"/>
                      <a:ext cx="7537450" cy="10652759"/>
                    </a:xfrm>
                    <a:prstGeom prst="rect">
                      <a:avLst/>
                    </a:prstGeom>
                  </pic:spPr>
                </pic:pic>
              </a:graphicData>
            </a:graphic>
          </wp:inline>
        </w:drawing>
      </w:r>
    </w:p>
    <w:p w14:paraId="6E8B7CA1">
      <w:pPr>
        <w:spacing w:line="16775" w:lineRule="exact"/>
        <w:sectPr>
          <w:pgSz w:w="11900" w:h="16840"/>
          <w:pgMar w:top="25" w:right="15" w:bottom="27" w:left="13" w:header="0" w:footer="0" w:gutter="0"/>
          <w:cols w:space="720" w:num="1"/>
        </w:sectPr>
      </w:pPr>
    </w:p>
    <w:p w14:paraId="72EF785D">
      <w:pPr>
        <w:spacing w:line="16775" w:lineRule="exact"/>
      </w:pPr>
      <w:r>
        <w:rPr>
          <w:position w:val="-335"/>
        </w:rPr>
        <w:drawing>
          <wp:inline distT="0" distB="0" distL="0" distR="0">
            <wp:extent cx="7537450" cy="10652125"/>
            <wp:effectExtent l="0" t="0" r="0" b="0"/>
            <wp:docPr id="158" name="IM 158"/>
            <wp:cNvGraphicFramePr/>
            <a:graphic xmlns:a="http://schemas.openxmlformats.org/drawingml/2006/main">
              <a:graphicData uri="http://schemas.openxmlformats.org/drawingml/2006/picture">
                <pic:pic xmlns:pic="http://schemas.openxmlformats.org/drawingml/2006/picture">
                  <pic:nvPicPr>
                    <pic:cNvPr id="158" name="IM 158"/>
                    <pic:cNvPicPr/>
                  </pic:nvPicPr>
                  <pic:blipFill>
                    <a:blip r:embed="rId353"/>
                    <a:stretch>
                      <a:fillRect/>
                    </a:stretch>
                  </pic:blipFill>
                  <pic:spPr>
                    <a:xfrm>
                      <a:off x="0" y="0"/>
                      <a:ext cx="7537450" cy="10652759"/>
                    </a:xfrm>
                    <a:prstGeom prst="rect">
                      <a:avLst/>
                    </a:prstGeom>
                  </pic:spPr>
                </pic:pic>
              </a:graphicData>
            </a:graphic>
          </wp:inline>
        </w:drawing>
      </w:r>
    </w:p>
    <w:p w14:paraId="10F8E986">
      <w:pPr>
        <w:spacing w:line="16775" w:lineRule="exact"/>
        <w:sectPr>
          <w:pgSz w:w="11900" w:h="16840"/>
          <w:pgMar w:top="25" w:right="15" w:bottom="27" w:left="13" w:header="0" w:footer="0" w:gutter="0"/>
          <w:cols w:space="720" w:num="1"/>
        </w:sectPr>
      </w:pPr>
    </w:p>
    <w:p w14:paraId="16EEB630">
      <w:pPr>
        <w:spacing w:line="16775" w:lineRule="exact"/>
      </w:pPr>
      <w:r>
        <w:rPr>
          <w:position w:val="-335"/>
        </w:rPr>
        <w:drawing>
          <wp:inline distT="0" distB="0" distL="0" distR="0">
            <wp:extent cx="7537450" cy="10652125"/>
            <wp:effectExtent l="0" t="0" r="0" b="0"/>
            <wp:docPr id="160" name="IM 160"/>
            <wp:cNvGraphicFramePr/>
            <a:graphic xmlns:a="http://schemas.openxmlformats.org/drawingml/2006/main">
              <a:graphicData uri="http://schemas.openxmlformats.org/drawingml/2006/picture">
                <pic:pic xmlns:pic="http://schemas.openxmlformats.org/drawingml/2006/picture">
                  <pic:nvPicPr>
                    <pic:cNvPr id="160" name="IM 160"/>
                    <pic:cNvPicPr/>
                  </pic:nvPicPr>
                  <pic:blipFill>
                    <a:blip r:embed="rId354"/>
                    <a:stretch>
                      <a:fillRect/>
                    </a:stretch>
                  </pic:blipFill>
                  <pic:spPr>
                    <a:xfrm>
                      <a:off x="0" y="0"/>
                      <a:ext cx="7537450" cy="10652759"/>
                    </a:xfrm>
                    <a:prstGeom prst="rect">
                      <a:avLst/>
                    </a:prstGeom>
                  </pic:spPr>
                </pic:pic>
              </a:graphicData>
            </a:graphic>
          </wp:inline>
        </w:drawing>
      </w:r>
    </w:p>
    <w:p w14:paraId="4D5EF49A">
      <w:pPr>
        <w:spacing w:line="16775" w:lineRule="exact"/>
        <w:sectPr>
          <w:pgSz w:w="11900" w:h="16840"/>
          <w:pgMar w:top="25" w:right="15" w:bottom="27" w:left="13" w:header="0" w:footer="0" w:gutter="0"/>
          <w:cols w:space="720" w:num="1"/>
        </w:sectPr>
      </w:pPr>
    </w:p>
    <w:p w14:paraId="6C7F4BAD">
      <w:pPr>
        <w:spacing w:line="16775" w:lineRule="exact"/>
      </w:pPr>
      <w:r>
        <w:rPr>
          <w:position w:val="-335"/>
        </w:rPr>
        <w:drawing>
          <wp:inline distT="0" distB="0" distL="0" distR="0">
            <wp:extent cx="7537450" cy="10652125"/>
            <wp:effectExtent l="0" t="0" r="0" b="0"/>
            <wp:docPr id="162" name="IM 162"/>
            <wp:cNvGraphicFramePr/>
            <a:graphic xmlns:a="http://schemas.openxmlformats.org/drawingml/2006/main">
              <a:graphicData uri="http://schemas.openxmlformats.org/drawingml/2006/picture">
                <pic:pic xmlns:pic="http://schemas.openxmlformats.org/drawingml/2006/picture">
                  <pic:nvPicPr>
                    <pic:cNvPr id="162" name="IM 162"/>
                    <pic:cNvPicPr/>
                  </pic:nvPicPr>
                  <pic:blipFill>
                    <a:blip r:embed="rId355"/>
                    <a:stretch>
                      <a:fillRect/>
                    </a:stretch>
                  </pic:blipFill>
                  <pic:spPr>
                    <a:xfrm>
                      <a:off x="0" y="0"/>
                      <a:ext cx="7537450" cy="10652759"/>
                    </a:xfrm>
                    <a:prstGeom prst="rect">
                      <a:avLst/>
                    </a:prstGeom>
                  </pic:spPr>
                </pic:pic>
              </a:graphicData>
            </a:graphic>
          </wp:inline>
        </w:drawing>
      </w:r>
    </w:p>
    <w:p w14:paraId="3298D475">
      <w:pPr>
        <w:spacing w:line="16775" w:lineRule="exact"/>
        <w:sectPr>
          <w:pgSz w:w="11900" w:h="16840"/>
          <w:pgMar w:top="25" w:right="15" w:bottom="27" w:left="13" w:header="0" w:footer="0" w:gutter="0"/>
          <w:cols w:space="720" w:num="1"/>
        </w:sectPr>
      </w:pPr>
    </w:p>
    <w:p w14:paraId="1BA5F214">
      <w:pPr>
        <w:spacing w:line="16828" w:lineRule="exact"/>
      </w:pPr>
      <w:r>
        <w:rPr>
          <w:position w:val="-336"/>
        </w:rPr>
        <w:drawing>
          <wp:inline distT="0" distB="0" distL="0" distR="0">
            <wp:extent cx="7561580" cy="10685780"/>
            <wp:effectExtent l="0" t="0" r="0" b="0"/>
            <wp:docPr id="164" name="IM 164"/>
            <wp:cNvGraphicFramePr/>
            <a:graphic xmlns:a="http://schemas.openxmlformats.org/drawingml/2006/main">
              <a:graphicData uri="http://schemas.openxmlformats.org/drawingml/2006/picture">
                <pic:pic xmlns:pic="http://schemas.openxmlformats.org/drawingml/2006/picture">
                  <pic:nvPicPr>
                    <pic:cNvPr id="164" name="IM 164"/>
                    <pic:cNvPicPr/>
                  </pic:nvPicPr>
                  <pic:blipFill>
                    <a:blip r:embed="rId356"/>
                    <a:stretch>
                      <a:fillRect/>
                    </a:stretch>
                  </pic:blipFill>
                  <pic:spPr>
                    <a:xfrm>
                      <a:off x="0" y="0"/>
                      <a:ext cx="7562088" cy="10685805"/>
                    </a:xfrm>
                    <a:prstGeom prst="rect">
                      <a:avLst/>
                    </a:prstGeom>
                  </pic:spPr>
                </pic:pic>
              </a:graphicData>
            </a:graphic>
          </wp:inline>
        </w:drawing>
      </w:r>
    </w:p>
    <w:p w14:paraId="2956A00E">
      <w:pPr>
        <w:spacing w:line="16828" w:lineRule="exact"/>
        <w:sectPr>
          <w:pgSz w:w="11909" w:h="16841"/>
          <w:pgMar w:top="1" w:right="0" w:bottom="1" w:left="0" w:header="0" w:footer="0" w:gutter="0"/>
          <w:cols w:space="720" w:num="1"/>
        </w:sectPr>
      </w:pPr>
    </w:p>
    <w:p w14:paraId="58F41936">
      <w:pPr>
        <w:pStyle w:val="2"/>
        <w:spacing w:line="245" w:lineRule="auto"/>
        <w:rPr>
          <w:sz w:val="21"/>
        </w:rPr>
      </w:pPr>
    </w:p>
    <w:p w14:paraId="0316EA29">
      <w:pPr>
        <w:pStyle w:val="2"/>
        <w:spacing w:line="246" w:lineRule="auto"/>
        <w:rPr>
          <w:sz w:val="21"/>
        </w:rPr>
      </w:pPr>
    </w:p>
    <w:p w14:paraId="0251A2AB">
      <w:pPr>
        <w:pStyle w:val="2"/>
        <w:spacing w:line="246" w:lineRule="auto"/>
        <w:rPr>
          <w:sz w:val="21"/>
        </w:rPr>
      </w:pPr>
    </w:p>
    <w:p w14:paraId="02A9C3AA">
      <w:pPr>
        <w:pStyle w:val="2"/>
        <w:spacing w:line="246" w:lineRule="auto"/>
        <w:rPr>
          <w:sz w:val="21"/>
        </w:rPr>
      </w:pPr>
    </w:p>
    <w:sdt>
      <w:sdtPr>
        <w:rPr>
          <w:rFonts w:ascii="宋体" w:hAnsi="宋体" w:eastAsia="宋体" w:cs="宋体"/>
          <w:sz w:val="28"/>
          <w:szCs w:val="28"/>
        </w:rPr>
        <w:id w:val="147464138"/>
        <w:docPartObj>
          <w:docPartGallery w:val="Table of Contents"/>
          <w:docPartUnique/>
        </w:docPartObj>
      </w:sdtPr>
      <w:sdtEndPr>
        <w:rPr>
          <w:rFonts w:ascii="Times New Roman" w:hAnsi="Times New Roman" w:eastAsia="Times New Roman" w:cs="Times New Roman"/>
          <w:sz w:val="24"/>
          <w:szCs w:val="24"/>
        </w:rPr>
      </w:sdtEndPr>
      <w:sdtContent>
        <w:p w14:paraId="09EA6F2F">
          <w:pPr>
            <w:spacing w:before="91" w:line="222" w:lineRule="auto"/>
            <w:ind w:left="3810"/>
            <w:rPr>
              <w:rFonts w:ascii="宋体" w:hAnsi="宋体" w:eastAsia="宋体" w:cs="宋体"/>
              <w:sz w:val="28"/>
              <w:szCs w:val="28"/>
            </w:rPr>
          </w:pPr>
          <w:r>
            <w:rPr>
              <w:rFonts w:ascii="宋体" w:hAnsi="宋体" w:eastAsia="宋体" w:cs="宋体"/>
              <w:b/>
              <w:bCs/>
              <w:spacing w:val="-35"/>
              <w:sz w:val="28"/>
              <w:szCs w:val="28"/>
            </w:rPr>
            <w:t>目</w:t>
          </w:r>
          <w:r>
            <w:rPr>
              <w:rFonts w:ascii="宋体" w:hAnsi="宋体" w:eastAsia="宋体" w:cs="宋体"/>
              <w:spacing w:val="6"/>
              <w:sz w:val="28"/>
              <w:szCs w:val="28"/>
            </w:rPr>
            <w:t xml:space="preserve">  </w:t>
          </w:r>
          <w:r>
            <w:rPr>
              <w:rFonts w:ascii="宋体" w:hAnsi="宋体" w:eastAsia="宋体" w:cs="宋体"/>
              <w:b/>
              <w:bCs/>
              <w:spacing w:val="-35"/>
              <w:sz w:val="28"/>
              <w:szCs w:val="28"/>
            </w:rPr>
            <w:t>录</w:t>
          </w:r>
        </w:p>
        <w:p w14:paraId="589558F1">
          <w:pPr>
            <w:tabs>
              <w:tab w:val="right" w:leader="dot" w:pos="8317"/>
            </w:tabs>
            <w:spacing w:before="261" w:line="190" w:lineRule="auto"/>
            <w:ind w:left="29"/>
            <w:rPr>
              <w:rFonts w:ascii="Times New Roman" w:hAnsi="Times New Roman" w:eastAsia="Times New Roman" w:cs="Times New Roman"/>
              <w:sz w:val="24"/>
              <w:szCs w:val="24"/>
            </w:rPr>
          </w:pPr>
          <w:r>
            <w:fldChar w:fldCharType="begin"/>
          </w:r>
          <w:r>
            <w:instrText xml:space="preserve"> HYPERLINK \l "bookmark3" </w:instrText>
          </w:r>
          <w:r>
            <w:fldChar w:fldCharType="separate"/>
          </w:r>
          <w:r>
            <w:rPr>
              <w:rFonts w:ascii="仿宋" w:hAnsi="仿宋" w:eastAsia="仿宋" w:cs="仿宋"/>
              <w:spacing w:val="-8"/>
              <w:sz w:val="24"/>
              <w:szCs w:val="24"/>
            </w:rPr>
            <w:t>概述</w:t>
          </w:r>
          <w:r>
            <w:rPr>
              <w:rFonts w:ascii="仿宋" w:hAnsi="仿宋" w:eastAsia="仿宋" w:cs="仿宋"/>
              <w:spacing w:val="-75"/>
              <w:sz w:val="24"/>
              <w:szCs w:val="24"/>
            </w:rPr>
            <w:t xml:space="preserve"> </w:t>
          </w:r>
          <w:r>
            <w:rPr>
              <w:rFonts w:ascii="仿宋" w:hAnsi="仿宋" w:eastAsia="仿宋" w:cs="仿宋"/>
              <w:sz w:val="24"/>
              <w:szCs w:val="24"/>
            </w:rPr>
            <w:tab/>
          </w:r>
          <w:r>
            <w:rPr>
              <w:rFonts w:ascii="仿宋" w:hAnsi="仿宋" w:eastAsia="仿宋" w:cs="仿宋"/>
              <w:spacing w:val="-37"/>
              <w:sz w:val="24"/>
              <w:szCs w:val="24"/>
            </w:rPr>
            <w:t xml:space="preserve"> </w:t>
          </w:r>
          <w:r>
            <w:rPr>
              <w:rFonts w:ascii="Times New Roman" w:hAnsi="Times New Roman" w:eastAsia="Times New Roman" w:cs="Times New Roman"/>
              <w:spacing w:val="-29"/>
              <w:sz w:val="24"/>
              <w:szCs w:val="24"/>
            </w:rPr>
            <w:t>1</w:t>
          </w:r>
          <w:r>
            <w:rPr>
              <w:rFonts w:ascii="Times New Roman" w:hAnsi="Times New Roman" w:eastAsia="Times New Roman" w:cs="Times New Roman"/>
              <w:spacing w:val="-29"/>
              <w:sz w:val="24"/>
              <w:szCs w:val="24"/>
            </w:rPr>
            <w:fldChar w:fldCharType="end"/>
          </w:r>
        </w:p>
        <w:p w14:paraId="3305B988">
          <w:pPr>
            <w:tabs>
              <w:tab w:val="right" w:leader="dot" w:pos="8317"/>
            </w:tabs>
            <w:spacing w:before="221" w:line="190" w:lineRule="auto"/>
            <w:ind w:left="40"/>
            <w:rPr>
              <w:rFonts w:ascii="Times New Roman" w:hAnsi="Times New Roman" w:eastAsia="Times New Roman" w:cs="Times New Roman"/>
              <w:sz w:val="24"/>
              <w:szCs w:val="24"/>
            </w:rPr>
          </w:pPr>
          <w:r>
            <w:fldChar w:fldCharType="begin"/>
          </w:r>
          <w:r>
            <w:instrText xml:space="preserve"> HYPERLINK \l "bookmark4" </w:instrText>
          </w:r>
          <w:r>
            <w:fldChar w:fldCharType="separate"/>
          </w:r>
          <w:r>
            <w:rPr>
              <w:rFonts w:ascii="仿宋" w:hAnsi="仿宋" w:eastAsia="仿宋" w:cs="仿宋"/>
              <w:spacing w:val="-18"/>
              <w:sz w:val="24"/>
              <w:szCs w:val="24"/>
            </w:rPr>
            <w:t>1</w:t>
          </w:r>
          <w:r>
            <w:rPr>
              <w:rFonts w:ascii="仿宋" w:hAnsi="仿宋" w:eastAsia="仿宋" w:cs="仿宋"/>
              <w:spacing w:val="26"/>
              <w:sz w:val="24"/>
              <w:szCs w:val="24"/>
            </w:rPr>
            <w:t xml:space="preserve"> </w:t>
          </w:r>
          <w:r>
            <w:rPr>
              <w:rFonts w:ascii="仿宋" w:hAnsi="仿宋" w:eastAsia="仿宋" w:cs="仿宋"/>
              <w:spacing w:val="-18"/>
              <w:sz w:val="24"/>
              <w:szCs w:val="24"/>
            </w:rPr>
            <w:t>总则</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60"/>
              <w:sz w:val="24"/>
              <w:szCs w:val="24"/>
            </w:rPr>
            <w:t xml:space="preserve"> </w:t>
          </w:r>
          <w:r>
            <w:rPr>
              <w:rFonts w:ascii="Times New Roman" w:hAnsi="Times New Roman" w:eastAsia="Times New Roman" w:cs="Times New Roman"/>
              <w:sz w:val="24"/>
              <w:szCs w:val="24"/>
            </w:rPr>
            <w:t>2</w:t>
          </w:r>
          <w:r>
            <w:rPr>
              <w:rFonts w:ascii="Times New Roman" w:hAnsi="Times New Roman" w:eastAsia="Times New Roman" w:cs="Times New Roman"/>
              <w:sz w:val="24"/>
              <w:szCs w:val="24"/>
            </w:rPr>
            <w:fldChar w:fldCharType="end"/>
          </w:r>
        </w:p>
        <w:p w14:paraId="27FD9A90">
          <w:pPr>
            <w:tabs>
              <w:tab w:val="right" w:leader="dot" w:pos="8317"/>
            </w:tabs>
            <w:spacing w:before="218" w:line="190" w:lineRule="auto"/>
            <w:ind w:left="460"/>
            <w:rPr>
              <w:rFonts w:ascii="Times New Roman" w:hAnsi="Times New Roman" w:eastAsia="Times New Roman" w:cs="Times New Roman"/>
              <w:sz w:val="24"/>
              <w:szCs w:val="24"/>
            </w:rPr>
          </w:pPr>
          <w:r>
            <w:fldChar w:fldCharType="begin"/>
          </w:r>
          <w:r>
            <w:instrText xml:space="preserve"> HYPERLINK \l "bookmark5" </w:instrText>
          </w:r>
          <w:r>
            <w:fldChar w:fldCharType="separate"/>
          </w:r>
          <w:r>
            <w:rPr>
              <w:rFonts w:ascii="仿宋" w:hAnsi="仿宋" w:eastAsia="仿宋" w:cs="仿宋"/>
              <w:spacing w:val="-7"/>
              <w:sz w:val="24"/>
              <w:szCs w:val="24"/>
            </w:rPr>
            <w:t>1.1</w:t>
          </w:r>
          <w:r>
            <w:rPr>
              <w:rFonts w:ascii="仿宋" w:hAnsi="仿宋" w:eastAsia="仿宋" w:cs="仿宋"/>
              <w:spacing w:val="21"/>
              <w:sz w:val="24"/>
              <w:szCs w:val="24"/>
            </w:rPr>
            <w:t xml:space="preserve"> </w:t>
          </w:r>
          <w:r>
            <w:rPr>
              <w:rFonts w:ascii="仿宋" w:hAnsi="仿宋" w:eastAsia="仿宋" w:cs="仿宋"/>
              <w:spacing w:val="-7"/>
              <w:sz w:val="24"/>
              <w:szCs w:val="24"/>
            </w:rPr>
            <w:t>编制依据</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60"/>
              <w:sz w:val="24"/>
              <w:szCs w:val="24"/>
            </w:rPr>
            <w:t xml:space="preserve"> </w:t>
          </w:r>
          <w:r>
            <w:rPr>
              <w:rFonts w:ascii="Times New Roman" w:hAnsi="Times New Roman" w:eastAsia="Times New Roman" w:cs="Times New Roman"/>
              <w:sz w:val="24"/>
              <w:szCs w:val="24"/>
            </w:rPr>
            <w:t>2</w:t>
          </w:r>
          <w:r>
            <w:rPr>
              <w:rFonts w:ascii="Times New Roman" w:hAnsi="Times New Roman" w:eastAsia="Times New Roman" w:cs="Times New Roman"/>
              <w:sz w:val="24"/>
              <w:szCs w:val="24"/>
            </w:rPr>
            <w:fldChar w:fldCharType="end"/>
          </w:r>
        </w:p>
        <w:p w14:paraId="13D7EB91">
          <w:pPr>
            <w:tabs>
              <w:tab w:val="right" w:leader="dot" w:pos="8317"/>
            </w:tabs>
            <w:spacing w:before="221" w:line="190" w:lineRule="auto"/>
            <w:ind w:left="880"/>
            <w:rPr>
              <w:rFonts w:ascii="Times New Roman" w:hAnsi="Times New Roman" w:eastAsia="Times New Roman" w:cs="Times New Roman"/>
              <w:sz w:val="24"/>
              <w:szCs w:val="24"/>
            </w:rPr>
          </w:pPr>
          <w:r>
            <w:fldChar w:fldCharType="begin"/>
          </w:r>
          <w:r>
            <w:instrText xml:space="preserve"> HYPERLINK \l "bookmark6" </w:instrText>
          </w:r>
          <w:r>
            <w:fldChar w:fldCharType="separate"/>
          </w:r>
          <w:r>
            <w:rPr>
              <w:rFonts w:ascii="仿宋" w:hAnsi="仿宋" w:eastAsia="仿宋" w:cs="仿宋"/>
              <w:spacing w:val="-4"/>
              <w:sz w:val="24"/>
              <w:szCs w:val="24"/>
            </w:rPr>
            <w:t>1.1.1</w:t>
          </w:r>
          <w:r>
            <w:rPr>
              <w:rFonts w:ascii="仿宋" w:hAnsi="仿宋" w:eastAsia="仿宋" w:cs="仿宋"/>
              <w:spacing w:val="-43"/>
              <w:sz w:val="24"/>
              <w:szCs w:val="24"/>
            </w:rPr>
            <w:t xml:space="preserve"> </w:t>
          </w:r>
          <w:r>
            <w:rPr>
              <w:rFonts w:ascii="仿宋" w:hAnsi="仿宋" w:eastAsia="仿宋" w:cs="仿宋"/>
              <w:spacing w:val="-4"/>
              <w:sz w:val="24"/>
              <w:szCs w:val="24"/>
            </w:rPr>
            <w:t>相关法律法规</w:t>
          </w:r>
          <w:r>
            <w:rPr>
              <w:rFonts w:ascii="仿宋" w:hAnsi="仿宋" w:eastAsia="仿宋" w:cs="仿宋"/>
              <w:spacing w:val="-75"/>
              <w:sz w:val="24"/>
              <w:szCs w:val="24"/>
            </w:rPr>
            <w:t xml:space="preserve"> </w:t>
          </w:r>
          <w:r>
            <w:rPr>
              <w:rFonts w:ascii="仿宋" w:hAnsi="仿宋" w:eastAsia="仿宋" w:cs="仿宋"/>
              <w:sz w:val="24"/>
              <w:szCs w:val="24"/>
            </w:rPr>
            <w:tab/>
          </w:r>
          <w:r>
            <w:rPr>
              <w:rFonts w:ascii="仿宋" w:hAnsi="仿宋" w:eastAsia="仿宋" w:cs="仿宋"/>
              <w:spacing w:val="-60"/>
              <w:sz w:val="24"/>
              <w:szCs w:val="24"/>
            </w:rPr>
            <w:t xml:space="preserve"> </w:t>
          </w:r>
          <w:r>
            <w:rPr>
              <w:rFonts w:ascii="Times New Roman" w:hAnsi="Times New Roman" w:eastAsia="Times New Roman" w:cs="Times New Roman"/>
              <w:sz w:val="24"/>
              <w:szCs w:val="24"/>
            </w:rPr>
            <w:t>2</w:t>
          </w:r>
          <w:r>
            <w:rPr>
              <w:rFonts w:ascii="Times New Roman" w:hAnsi="Times New Roman" w:eastAsia="Times New Roman" w:cs="Times New Roman"/>
              <w:sz w:val="24"/>
              <w:szCs w:val="24"/>
            </w:rPr>
            <w:fldChar w:fldCharType="end"/>
          </w:r>
        </w:p>
        <w:p w14:paraId="7D5DBEE1">
          <w:pPr>
            <w:tabs>
              <w:tab w:val="right" w:leader="dot" w:pos="8317"/>
            </w:tabs>
            <w:spacing w:before="218" w:line="189" w:lineRule="auto"/>
            <w:ind w:left="880"/>
            <w:rPr>
              <w:rFonts w:ascii="Times New Roman" w:hAnsi="Times New Roman" w:eastAsia="Times New Roman" w:cs="Times New Roman"/>
              <w:sz w:val="24"/>
              <w:szCs w:val="24"/>
            </w:rPr>
          </w:pPr>
          <w:r>
            <w:fldChar w:fldCharType="begin"/>
          </w:r>
          <w:r>
            <w:instrText xml:space="preserve"> HYPERLINK \l "bookmark7" </w:instrText>
          </w:r>
          <w:r>
            <w:fldChar w:fldCharType="separate"/>
          </w:r>
          <w:r>
            <w:rPr>
              <w:rFonts w:ascii="仿宋" w:hAnsi="仿宋" w:eastAsia="仿宋" w:cs="仿宋"/>
              <w:spacing w:val="-3"/>
              <w:sz w:val="24"/>
              <w:szCs w:val="24"/>
            </w:rPr>
            <w:t>1.1.2</w:t>
          </w:r>
          <w:r>
            <w:rPr>
              <w:rFonts w:ascii="仿宋" w:hAnsi="仿宋" w:eastAsia="仿宋" w:cs="仿宋"/>
              <w:spacing w:val="-37"/>
              <w:sz w:val="24"/>
              <w:szCs w:val="24"/>
            </w:rPr>
            <w:t xml:space="preserve"> </w:t>
          </w:r>
          <w:r>
            <w:rPr>
              <w:rFonts w:ascii="仿宋" w:hAnsi="仿宋" w:eastAsia="仿宋" w:cs="仿宋"/>
              <w:spacing w:val="-3"/>
              <w:sz w:val="24"/>
              <w:szCs w:val="24"/>
            </w:rPr>
            <w:t>相关导则、技术规范、标准</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60"/>
              <w:sz w:val="24"/>
              <w:szCs w:val="24"/>
            </w:rPr>
            <w:t xml:space="preserve"> </w:t>
          </w:r>
          <w:r>
            <w:rPr>
              <w:rFonts w:ascii="Times New Roman" w:hAnsi="Times New Roman" w:eastAsia="Times New Roman" w:cs="Times New Roman"/>
              <w:sz w:val="24"/>
              <w:szCs w:val="24"/>
            </w:rPr>
            <w:t>2</w:t>
          </w:r>
          <w:r>
            <w:rPr>
              <w:rFonts w:ascii="Times New Roman" w:hAnsi="Times New Roman" w:eastAsia="Times New Roman" w:cs="Times New Roman"/>
              <w:sz w:val="24"/>
              <w:szCs w:val="24"/>
            </w:rPr>
            <w:fldChar w:fldCharType="end"/>
          </w:r>
        </w:p>
        <w:p w14:paraId="5FCAD557">
          <w:pPr>
            <w:tabs>
              <w:tab w:val="right" w:leader="dot" w:pos="8317"/>
            </w:tabs>
            <w:spacing w:before="222" w:line="190" w:lineRule="auto"/>
            <w:ind w:left="880"/>
            <w:rPr>
              <w:rFonts w:ascii="Times New Roman" w:hAnsi="Times New Roman" w:eastAsia="Times New Roman" w:cs="Times New Roman"/>
              <w:sz w:val="24"/>
              <w:szCs w:val="24"/>
            </w:rPr>
          </w:pPr>
          <w:r>
            <w:fldChar w:fldCharType="begin"/>
          </w:r>
          <w:r>
            <w:instrText xml:space="preserve"> HYPERLINK \l "bookmark8" </w:instrText>
          </w:r>
          <w:r>
            <w:fldChar w:fldCharType="separate"/>
          </w:r>
          <w:r>
            <w:rPr>
              <w:rFonts w:ascii="仿宋" w:hAnsi="仿宋" w:eastAsia="仿宋" w:cs="仿宋"/>
              <w:spacing w:val="-4"/>
              <w:sz w:val="24"/>
              <w:szCs w:val="24"/>
            </w:rPr>
            <w:t>1.1.3</w:t>
          </w:r>
          <w:r>
            <w:rPr>
              <w:rFonts w:ascii="仿宋" w:hAnsi="仿宋" w:eastAsia="仿宋" w:cs="仿宋"/>
              <w:spacing w:val="-44"/>
              <w:sz w:val="24"/>
              <w:szCs w:val="24"/>
            </w:rPr>
            <w:t xml:space="preserve"> </w:t>
          </w:r>
          <w:r>
            <w:rPr>
              <w:rFonts w:ascii="仿宋" w:hAnsi="仿宋" w:eastAsia="仿宋" w:cs="仿宋"/>
              <w:spacing w:val="-4"/>
              <w:sz w:val="24"/>
              <w:szCs w:val="24"/>
            </w:rPr>
            <w:t>项目相关文件</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5"/>
              <w:sz w:val="24"/>
              <w:szCs w:val="24"/>
            </w:rPr>
            <w:t xml:space="preserve"> </w:t>
          </w:r>
          <w:r>
            <w:rPr>
              <w:rFonts w:ascii="Times New Roman" w:hAnsi="Times New Roman" w:eastAsia="Times New Roman" w:cs="Times New Roman"/>
              <w:sz w:val="24"/>
              <w:szCs w:val="24"/>
            </w:rPr>
            <w:t>3</w:t>
          </w:r>
          <w:r>
            <w:rPr>
              <w:rFonts w:ascii="Times New Roman" w:hAnsi="Times New Roman" w:eastAsia="Times New Roman" w:cs="Times New Roman"/>
              <w:sz w:val="24"/>
              <w:szCs w:val="24"/>
            </w:rPr>
            <w:fldChar w:fldCharType="end"/>
          </w:r>
        </w:p>
        <w:p w14:paraId="38C35F6F">
          <w:pPr>
            <w:tabs>
              <w:tab w:val="right" w:leader="dot" w:pos="8317"/>
            </w:tabs>
            <w:spacing w:before="219" w:line="190" w:lineRule="auto"/>
            <w:ind w:left="460"/>
            <w:rPr>
              <w:rFonts w:ascii="Times New Roman" w:hAnsi="Times New Roman" w:eastAsia="Times New Roman" w:cs="Times New Roman"/>
              <w:sz w:val="24"/>
              <w:szCs w:val="24"/>
            </w:rPr>
          </w:pPr>
          <w:r>
            <w:fldChar w:fldCharType="begin"/>
          </w:r>
          <w:r>
            <w:instrText xml:space="preserve"> HYPERLINK \l "bookmark9" </w:instrText>
          </w:r>
          <w:r>
            <w:fldChar w:fldCharType="separate"/>
          </w:r>
          <w:r>
            <w:rPr>
              <w:rFonts w:ascii="仿宋" w:hAnsi="仿宋" w:eastAsia="仿宋" w:cs="仿宋"/>
              <w:spacing w:val="-3"/>
              <w:sz w:val="24"/>
              <w:szCs w:val="24"/>
            </w:rPr>
            <w:t>1.2 评价目的与原则</w:t>
          </w:r>
          <w:r>
            <w:rPr>
              <w:rFonts w:ascii="仿宋" w:hAnsi="仿宋" w:eastAsia="仿宋" w:cs="仿宋"/>
              <w:spacing w:val="-69"/>
              <w:sz w:val="24"/>
              <w:szCs w:val="24"/>
            </w:rPr>
            <w:t xml:space="preserve"> </w:t>
          </w:r>
          <w:r>
            <w:rPr>
              <w:rFonts w:ascii="仿宋" w:hAnsi="仿宋" w:eastAsia="仿宋" w:cs="仿宋"/>
              <w:sz w:val="24"/>
              <w:szCs w:val="24"/>
            </w:rPr>
            <w:tab/>
          </w:r>
          <w:r>
            <w:rPr>
              <w:rFonts w:ascii="仿宋" w:hAnsi="仿宋" w:eastAsia="仿宋" w:cs="仿宋"/>
              <w:spacing w:val="-55"/>
              <w:sz w:val="24"/>
              <w:szCs w:val="24"/>
            </w:rPr>
            <w:t xml:space="preserve"> </w:t>
          </w:r>
          <w:r>
            <w:rPr>
              <w:rFonts w:ascii="Times New Roman" w:hAnsi="Times New Roman" w:eastAsia="Times New Roman" w:cs="Times New Roman"/>
              <w:sz w:val="24"/>
              <w:szCs w:val="24"/>
            </w:rPr>
            <w:t>3</w:t>
          </w:r>
          <w:r>
            <w:rPr>
              <w:rFonts w:ascii="Times New Roman" w:hAnsi="Times New Roman" w:eastAsia="Times New Roman" w:cs="Times New Roman"/>
              <w:sz w:val="24"/>
              <w:szCs w:val="24"/>
            </w:rPr>
            <w:fldChar w:fldCharType="end"/>
          </w:r>
        </w:p>
        <w:p w14:paraId="57140E2D">
          <w:pPr>
            <w:tabs>
              <w:tab w:val="right" w:leader="dot" w:pos="8317"/>
            </w:tabs>
            <w:spacing w:before="221" w:line="190" w:lineRule="auto"/>
            <w:ind w:left="880"/>
            <w:rPr>
              <w:rFonts w:ascii="Times New Roman" w:hAnsi="Times New Roman" w:eastAsia="Times New Roman" w:cs="Times New Roman"/>
              <w:sz w:val="24"/>
              <w:szCs w:val="24"/>
            </w:rPr>
          </w:pPr>
          <w:r>
            <w:fldChar w:fldCharType="begin"/>
          </w:r>
          <w:r>
            <w:instrText xml:space="preserve"> HYPERLINK \l "bookmark10" </w:instrText>
          </w:r>
          <w:r>
            <w:fldChar w:fldCharType="separate"/>
          </w:r>
          <w:r>
            <w:rPr>
              <w:rFonts w:ascii="仿宋" w:hAnsi="仿宋" w:eastAsia="仿宋" w:cs="仿宋"/>
              <w:spacing w:val="-5"/>
              <w:sz w:val="24"/>
              <w:szCs w:val="24"/>
            </w:rPr>
            <w:t>1.2.1</w:t>
          </w:r>
          <w:r>
            <w:rPr>
              <w:rFonts w:ascii="仿宋" w:hAnsi="仿宋" w:eastAsia="仿宋" w:cs="仿宋"/>
              <w:spacing w:val="-43"/>
              <w:sz w:val="24"/>
              <w:szCs w:val="24"/>
            </w:rPr>
            <w:t xml:space="preserve"> </w:t>
          </w:r>
          <w:r>
            <w:rPr>
              <w:rFonts w:ascii="仿宋" w:hAnsi="仿宋" w:eastAsia="仿宋" w:cs="仿宋"/>
              <w:spacing w:val="-5"/>
              <w:sz w:val="24"/>
              <w:szCs w:val="24"/>
            </w:rPr>
            <w:t>评价目的</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5"/>
              <w:sz w:val="24"/>
              <w:szCs w:val="24"/>
            </w:rPr>
            <w:t xml:space="preserve"> </w:t>
          </w:r>
          <w:r>
            <w:rPr>
              <w:rFonts w:ascii="Times New Roman" w:hAnsi="Times New Roman" w:eastAsia="Times New Roman" w:cs="Times New Roman"/>
              <w:sz w:val="24"/>
              <w:szCs w:val="24"/>
            </w:rPr>
            <w:t>3</w:t>
          </w:r>
          <w:r>
            <w:rPr>
              <w:rFonts w:ascii="Times New Roman" w:hAnsi="Times New Roman" w:eastAsia="Times New Roman" w:cs="Times New Roman"/>
              <w:sz w:val="24"/>
              <w:szCs w:val="24"/>
            </w:rPr>
            <w:fldChar w:fldCharType="end"/>
          </w:r>
        </w:p>
        <w:p w14:paraId="69D086C5">
          <w:pPr>
            <w:tabs>
              <w:tab w:val="right" w:leader="dot" w:pos="8317"/>
            </w:tabs>
            <w:spacing w:before="219" w:line="190" w:lineRule="auto"/>
            <w:ind w:left="880"/>
            <w:rPr>
              <w:rFonts w:ascii="Times New Roman" w:hAnsi="Times New Roman" w:eastAsia="Times New Roman" w:cs="Times New Roman"/>
              <w:sz w:val="24"/>
              <w:szCs w:val="24"/>
            </w:rPr>
          </w:pPr>
          <w:r>
            <w:fldChar w:fldCharType="begin"/>
          </w:r>
          <w:r>
            <w:instrText xml:space="preserve"> HYPERLINK \l "bookmark11" </w:instrText>
          </w:r>
          <w:r>
            <w:fldChar w:fldCharType="separate"/>
          </w:r>
          <w:r>
            <w:rPr>
              <w:rFonts w:ascii="仿宋" w:hAnsi="仿宋" w:eastAsia="仿宋" w:cs="仿宋"/>
              <w:spacing w:val="-5"/>
              <w:sz w:val="24"/>
              <w:szCs w:val="24"/>
            </w:rPr>
            <w:t>1.2.2</w:t>
          </w:r>
          <w:r>
            <w:rPr>
              <w:rFonts w:ascii="仿宋" w:hAnsi="仿宋" w:eastAsia="仿宋" w:cs="仿宋"/>
              <w:spacing w:val="-43"/>
              <w:sz w:val="24"/>
              <w:szCs w:val="24"/>
            </w:rPr>
            <w:t xml:space="preserve"> </w:t>
          </w:r>
          <w:r>
            <w:rPr>
              <w:rFonts w:ascii="仿宋" w:hAnsi="仿宋" w:eastAsia="仿宋" w:cs="仿宋"/>
              <w:spacing w:val="-5"/>
              <w:sz w:val="24"/>
              <w:szCs w:val="24"/>
            </w:rPr>
            <w:t>评价原则</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5"/>
              <w:sz w:val="24"/>
              <w:szCs w:val="24"/>
            </w:rPr>
            <w:t xml:space="preserve"> </w:t>
          </w:r>
          <w:r>
            <w:rPr>
              <w:rFonts w:ascii="Times New Roman" w:hAnsi="Times New Roman" w:eastAsia="Times New Roman" w:cs="Times New Roman"/>
              <w:sz w:val="24"/>
              <w:szCs w:val="24"/>
            </w:rPr>
            <w:t>3</w:t>
          </w:r>
          <w:r>
            <w:rPr>
              <w:rFonts w:ascii="Times New Roman" w:hAnsi="Times New Roman" w:eastAsia="Times New Roman" w:cs="Times New Roman"/>
              <w:sz w:val="24"/>
              <w:szCs w:val="24"/>
            </w:rPr>
            <w:fldChar w:fldCharType="end"/>
          </w:r>
        </w:p>
        <w:p w14:paraId="3EFF17EB">
          <w:pPr>
            <w:tabs>
              <w:tab w:val="right" w:leader="dot" w:pos="8317"/>
            </w:tabs>
            <w:spacing w:before="221" w:line="190" w:lineRule="auto"/>
            <w:ind w:left="460"/>
            <w:rPr>
              <w:rFonts w:ascii="Times New Roman" w:hAnsi="Times New Roman" w:eastAsia="Times New Roman" w:cs="Times New Roman"/>
              <w:sz w:val="24"/>
              <w:szCs w:val="24"/>
            </w:rPr>
          </w:pPr>
          <w:r>
            <w:fldChar w:fldCharType="begin"/>
          </w:r>
          <w:r>
            <w:instrText xml:space="preserve"> HYPERLINK \l "bookmark12" </w:instrText>
          </w:r>
          <w:r>
            <w:fldChar w:fldCharType="separate"/>
          </w:r>
          <w:r>
            <w:rPr>
              <w:rFonts w:ascii="仿宋" w:hAnsi="仿宋" w:eastAsia="仿宋" w:cs="仿宋"/>
              <w:spacing w:val="-2"/>
              <w:sz w:val="24"/>
              <w:szCs w:val="24"/>
            </w:rPr>
            <w:t>1.3 声环境功能区及评价标准</w:t>
          </w:r>
          <w:r>
            <w:rPr>
              <w:rFonts w:ascii="仿宋" w:hAnsi="仿宋" w:eastAsia="仿宋" w:cs="仿宋"/>
              <w:spacing w:val="-72"/>
              <w:sz w:val="24"/>
              <w:szCs w:val="24"/>
            </w:rPr>
            <w:t xml:space="preserve"> </w:t>
          </w:r>
          <w:r>
            <w:rPr>
              <w:rFonts w:ascii="仿宋" w:hAnsi="仿宋" w:eastAsia="仿宋" w:cs="仿宋"/>
              <w:sz w:val="24"/>
              <w:szCs w:val="24"/>
            </w:rPr>
            <w:tab/>
          </w:r>
          <w:r>
            <w:rPr>
              <w:rFonts w:ascii="仿宋" w:hAnsi="仿宋" w:eastAsia="仿宋" w:cs="仿宋"/>
              <w:spacing w:val="-61"/>
              <w:sz w:val="24"/>
              <w:szCs w:val="24"/>
            </w:rPr>
            <w:t xml:space="preserve"> </w:t>
          </w:r>
          <w:r>
            <w:rPr>
              <w:rFonts w:ascii="Times New Roman" w:hAnsi="Times New Roman" w:eastAsia="Times New Roman" w:cs="Times New Roman"/>
              <w:sz w:val="24"/>
              <w:szCs w:val="24"/>
            </w:rPr>
            <w:t>4</w:t>
          </w:r>
          <w:r>
            <w:rPr>
              <w:rFonts w:ascii="Times New Roman" w:hAnsi="Times New Roman" w:eastAsia="Times New Roman" w:cs="Times New Roman"/>
              <w:sz w:val="24"/>
              <w:szCs w:val="24"/>
            </w:rPr>
            <w:fldChar w:fldCharType="end"/>
          </w:r>
        </w:p>
        <w:p w14:paraId="2C6BA53A">
          <w:pPr>
            <w:tabs>
              <w:tab w:val="right" w:leader="dot" w:pos="8317"/>
            </w:tabs>
            <w:spacing w:before="218" w:line="190" w:lineRule="auto"/>
            <w:ind w:left="880"/>
            <w:rPr>
              <w:rFonts w:ascii="Times New Roman" w:hAnsi="Times New Roman" w:eastAsia="Times New Roman" w:cs="Times New Roman"/>
              <w:sz w:val="24"/>
              <w:szCs w:val="24"/>
            </w:rPr>
          </w:pPr>
          <w:r>
            <w:fldChar w:fldCharType="begin"/>
          </w:r>
          <w:r>
            <w:instrText xml:space="preserve"> HYPERLINK \l "bookmark13" </w:instrText>
          </w:r>
          <w:r>
            <w:fldChar w:fldCharType="separate"/>
          </w:r>
          <w:r>
            <w:rPr>
              <w:rFonts w:ascii="仿宋" w:hAnsi="仿宋" w:eastAsia="仿宋" w:cs="仿宋"/>
              <w:spacing w:val="-4"/>
              <w:sz w:val="24"/>
              <w:szCs w:val="24"/>
            </w:rPr>
            <w:t>1.3.1</w:t>
          </w:r>
          <w:r>
            <w:rPr>
              <w:rFonts w:ascii="仿宋" w:hAnsi="仿宋" w:eastAsia="仿宋" w:cs="仿宋"/>
              <w:spacing w:val="-44"/>
              <w:sz w:val="24"/>
              <w:szCs w:val="24"/>
            </w:rPr>
            <w:t xml:space="preserve"> </w:t>
          </w:r>
          <w:r>
            <w:rPr>
              <w:rFonts w:ascii="仿宋" w:hAnsi="仿宋" w:eastAsia="仿宋" w:cs="仿宋"/>
              <w:spacing w:val="-4"/>
              <w:sz w:val="24"/>
              <w:szCs w:val="24"/>
            </w:rPr>
            <w:t>声环境功能区</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61"/>
              <w:sz w:val="24"/>
              <w:szCs w:val="24"/>
            </w:rPr>
            <w:t xml:space="preserve"> </w:t>
          </w:r>
          <w:r>
            <w:rPr>
              <w:rFonts w:ascii="Times New Roman" w:hAnsi="Times New Roman" w:eastAsia="Times New Roman" w:cs="Times New Roman"/>
              <w:sz w:val="24"/>
              <w:szCs w:val="24"/>
            </w:rPr>
            <w:t>4</w:t>
          </w:r>
          <w:r>
            <w:rPr>
              <w:rFonts w:ascii="Times New Roman" w:hAnsi="Times New Roman" w:eastAsia="Times New Roman" w:cs="Times New Roman"/>
              <w:sz w:val="24"/>
              <w:szCs w:val="24"/>
            </w:rPr>
            <w:fldChar w:fldCharType="end"/>
          </w:r>
        </w:p>
        <w:p w14:paraId="0E36C5F1">
          <w:pPr>
            <w:tabs>
              <w:tab w:val="right" w:leader="dot" w:pos="8317"/>
            </w:tabs>
            <w:spacing w:before="221" w:line="190" w:lineRule="auto"/>
            <w:ind w:left="880"/>
            <w:rPr>
              <w:rFonts w:ascii="Times New Roman" w:hAnsi="Times New Roman" w:eastAsia="Times New Roman" w:cs="Times New Roman"/>
              <w:sz w:val="24"/>
              <w:szCs w:val="24"/>
            </w:rPr>
          </w:pPr>
          <w:r>
            <w:fldChar w:fldCharType="begin"/>
          </w:r>
          <w:r>
            <w:instrText xml:space="preserve"> HYPERLINK \l "bookmark14" </w:instrText>
          </w:r>
          <w:r>
            <w:fldChar w:fldCharType="separate"/>
          </w:r>
          <w:r>
            <w:rPr>
              <w:rFonts w:ascii="仿宋" w:hAnsi="仿宋" w:eastAsia="仿宋" w:cs="仿宋"/>
              <w:spacing w:val="-4"/>
              <w:sz w:val="24"/>
              <w:szCs w:val="24"/>
            </w:rPr>
            <w:t>1.3.1</w:t>
          </w:r>
          <w:r>
            <w:rPr>
              <w:rFonts w:ascii="仿宋" w:hAnsi="仿宋" w:eastAsia="仿宋" w:cs="仿宋"/>
              <w:spacing w:val="-40"/>
              <w:sz w:val="24"/>
              <w:szCs w:val="24"/>
            </w:rPr>
            <w:t xml:space="preserve"> </w:t>
          </w:r>
          <w:r>
            <w:rPr>
              <w:rFonts w:ascii="仿宋" w:hAnsi="仿宋" w:eastAsia="仿宋" w:cs="仿宋"/>
              <w:spacing w:val="-4"/>
              <w:sz w:val="24"/>
              <w:szCs w:val="24"/>
            </w:rPr>
            <w:t>声环境质量标准</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61"/>
              <w:sz w:val="24"/>
              <w:szCs w:val="24"/>
            </w:rPr>
            <w:t xml:space="preserve"> </w:t>
          </w:r>
          <w:r>
            <w:rPr>
              <w:rFonts w:ascii="Times New Roman" w:hAnsi="Times New Roman" w:eastAsia="Times New Roman" w:cs="Times New Roman"/>
              <w:sz w:val="24"/>
              <w:szCs w:val="24"/>
            </w:rPr>
            <w:t>4</w:t>
          </w:r>
          <w:r>
            <w:rPr>
              <w:rFonts w:ascii="Times New Roman" w:hAnsi="Times New Roman" w:eastAsia="Times New Roman" w:cs="Times New Roman"/>
              <w:sz w:val="24"/>
              <w:szCs w:val="24"/>
            </w:rPr>
            <w:fldChar w:fldCharType="end"/>
          </w:r>
        </w:p>
        <w:p w14:paraId="47341393">
          <w:pPr>
            <w:tabs>
              <w:tab w:val="right" w:leader="dot" w:pos="8317"/>
            </w:tabs>
            <w:spacing w:before="222" w:line="189" w:lineRule="auto"/>
            <w:ind w:left="880"/>
            <w:rPr>
              <w:rFonts w:ascii="Times New Roman" w:hAnsi="Times New Roman" w:eastAsia="Times New Roman" w:cs="Times New Roman"/>
              <w:sz w:val="24"/>
              <w:szCs w:val="24"/>
            </w:rPr>
          </w:pPr>
          <w:r>
            <w:fldChar w:fldCharType="begin"/>
          </w:r>
          <w:r>
            <w:instrText xml:space="preserve"> HYPERLINK \l "bookmark15" </w:instrText>
          </w:r>
          <w:r>
            <w:fldChar w:fldCharType="separate"/>
          </w:r>
          <w:r>
            <w:rPr>
              <w:rFonts w:ascii="仿宋" w:hAnsi="仿宋" w:eastAsia="仿宋" w:cs="仿宋"/>
              <w:spacing w:val="-5"/>
              <w:sz w:val="24"/>
              <w:szCs w:val="24"/>
            </w:rPr>
            <w:t>1.3.2</w:t>
          </w:r>
          <w:r>
            <w:rPr>
              <w:rFonts w:ascii="仿宋" w:hAnsi="仿宋" w:eastAsia="仿宋" w:cs="仿宋"/>
              <w:spacing w:val="-33"/>
              <w:sz w:val="24"/>
              <w:szCs w:val="24"/>
            </w:rPr>
            <w:t xml:space="preserve"> </w:t>
          </w:r>
          <w:r>
            <w:rPr>
              <w:rFonts w:ascii="仿宋" w:hAnsi="仿宋" w:eastAsia="仿宋" w:cs="仿宋"/>
              <w:spacing w:val="-5"/>
              <w:sz w:val="24"/>
              <w:szCs w:val="24"/>
            </w:rPr>
            <w:t>噪声排放标准</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61"/>
              <w:sz w:val="24"/>
              <w:szCs w:val="24"/>
            </w:rPr>
            <w:t xml:space="preserve"> </w:t>
          </w:r>
          <w:r>
            <w:rPr>
              <w:rFonts w:ascii="Times New Roman" w:hAnsi="Times New Roman" w:eastAsia="Times New Roman" w:cs="Times New Roman"/>
              <w:sz w:val="24"/>
              <w:szCs w:val="24"/>
            </w:rPr>
            <w:t>4</w:t>
          </w:r>
          <w:r>
            <w:rPr>
              <w:rFonts w:ascii="Times New Roman" w:hAnsi="Times New Roman" w:eastAsia="Times New Roman" w:cs="Times New Roman"/>
              <w:sz w:val="24"/>
              <w:szCs w:val="24"/>
            </w:rPr>
            <w:fldChar w:fldCharType="end"/>
          </w:r>
        </w:p>
        <w:p w14:paraId="61D201D1">
          <w:pPr>
            <w:tabs>
              <w:tab w:val="right" w:leader="dot" w:pos="8317"/>
            </w:tabs>
            <w:spacing w:before="219" w:line="190" w:lineRule="auto"/>
            <w:ind w:left="460"/>
            <w:rPr>
              <w:rFonts w:ascii="Times New Roman" w:hAnsi="Times New Roman" w:eastAsia="Times New Roman" w:cs="Times New Roman"/>
              <w:sz w:val="24"/>
              <w:szCs w:val="24"/>
            </w:rPr>
          </w:pPr>
          <w:r>
            <w:fldChar w:fldCharType="begin"/>
          </w:r>
          <w:r>
            <w:instrText xml:space="preserve"> HYPERLINK \l "bookmark16" </w:instrText>
          </w:r>
          <w:r>
            <w:fldChar w:fldCharType="separate"/>
          </w:r>
          <w:r>
            <w:rPr>
              <w:rFonts w:ascii="仿宋" w:hAnsi="仿宋" w:eastAsia="仿宋" w:cs="仿宋"/>
              <w:spacing w:val="-3"/>
              <w:sz w:val="24"/>
              <w:szCs w:val="24"/>
            </w:rPr>
            <w:t>1.4 评价时段与评价因子</w:t>
          </w:r>
          <w:r>
            <w:rPr>
              <w:rFonts w:ascii="仿宋" w:hAnsi="仿宋" w:eastAsia="仿宋" w:cs="仿宋"/>
              <w:spacing w:val="-63"/>
              <w:sz w:val="24"/>
              <w:szCs w:val="24"/>
            </w:rPr>
            <w:t xml:space="preserve"> </w:t>
          </w:r>
          <w:r>
            <w:rPr>
              <w:rFonts w:ascii="仿宋" w:hAnsi="仿宋" w:eastAsia="仿宋" w:cs="仿宋"/>
              <w:sz w:val="24"/>
              <w:szCs w:val="24"/>
            </w:rPr>
            <w:tab/>
          </w:r>
          <w:r>
            <w:rPr>
              <w:rFonts w:ascii="仿宋" w:hAnsi="仿宋" w:eastAsia="仿宋" w:cs="仿宋"/>
              <w:spacing w:val="-54"/>
              <w:sz w:val="24"/>
              <w:szCs w:val="24"/>
            </w:rPr>
            <w:t xml:space="preserve"> </w:t>
          </w:r>
          <w:r>
            <w:rPr>
              <w:rFonts w:ascii="Times New Roman" w:hAnsi="Times New Roman" w:eastAsia="Times New Roman" w:cs="Times New Roman"/>
              <w:sz w:val="24"/>
              <w:szCs w:val="24"/>
            </w:rPr>
            <w:t>5</w:t>
          </w:r>
          <w:r>
            <w:rPr>
              <w:rFonts w:ascii="Times New Roman" w:hAnsi="Times New Roman" w:eastAsia="Times New Roman" w:cs="Times New Roman"/>
              <w:sz w:val="24"/>
              <w:szCs w:val="24"/>
            </w:rPr>
            <w:fldChar w:fldCharType="end"/>
          </w:r>
        </w:p>
        <w:p w14:paraId="53291D93">
          <w:pPr>
            <w:tabs>
              <w:tab w:val="right" w:leader="dot" w:pos="8317"/>
            </w:tabs>
            <w:spacing w:before="219" w:line="190" w:lineRule="auto"/>
            <w:ind w:left="880"/>
            <w:rPr>
              <w:rFonts w:ascii="Times New Roman" w:hAnsi="Times New Roman" w:eastAsia="Times New Roman" w:cs="Times New Roman"/>
              <w:sz w:val="24"/>
              <w:szCs w:val="24"/>
            </w:rPr>
          </w:pPr>
          <w:r>
            <w:fldChar w:fldCharType="begin"/>
          </w:r>
          <w:r>
            <w:instrText xml:space="preserve"> HYPERLINK \l "bookmark17" </w:instrText>
          </w:r>
          <w:r>
            <w:fldChar w:fldCharType="separate"/>
          </w:r>
          <w:r>
            <w:rPr>
              <w:rFonts w:ascii="仿宋" w:hAnsi="仿宋" w:eastAsia="仿宋" w:cs="仿宋"/>
              <w:spacing w:val="-5"/>
              <w:sz w:val="24"/>
              <w:szCs w:val="24"/>
            </w:rPr>
            <w:t>1.4.1</w:t>
          </w:r>
          <w:r>
            <w:rPr>
              <w:rFonts w:ascii="仿宋" w:hAnsi="仿宋" w:eastAsia="仿宋" w:cs="仿宋"/>
              <w:spacing w:val="-43"/>
              <w:sz w:val="24"/>
              <w:szCs w:val="24"/>
            </w:rPr>
            <w:t xml:space="preserve"> </w:t>
          </w:r>
          <w:r>
            <w:rPr>
              <w:rFonts w:ascii="仿宋" w:hAnsi="仿宋" w:eastAsia="仿宋" w:cs="仿宋"/>
              <w:spacing w:val="-5"/>
              <w:sz w:val="24"/>
              <w:szCs w:val="24"/>
            </w:rPr>
            <w:t>评价时段</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4"/>
              <w:sz w:val="24"/>
              <w:szCs w:val="24"/>
            </w:rPr>
            <w:t xml:space="preserve"> </w:t>
          </w:r>
          <w:r>
            <w:rPr>
              <w:rFonts w:ascii="Times New Roman" w:hAnsi="Times New Roman" w:eastAsia="Times New Roman" w:cs="Times New Roman"/>
              <w:sz w:val="24"/>
              <w:szCs w:val="24"/>
            </w:rPr>
            <w:t>5</w:t>
          </w:r>
          <w:r>
            <w:rPr>
              <w:rFonts w:ascii="Times New Roman" w:hAnsi="Times New Roman" w:eastAsia="Times New Roman" w:cs="Times New Roman"/>
              <w:sz w:val="24"/>
              <w:szCs w:val="24"/>
            </w:rPr>
            <w:fldChar w:fldCharType="end"/>
          </w:r>
        </w:p>
        <w:p w14:paraId="46662EA2">
          <w:pPr>
            <w:tabs>
              <w:tab w:val="right" w:leader="dot" w:pos="8317"/>
            </w:tabs>
            <w:spacing w:before="221" w:line="190" w:lineRule="auto"/>
            <w:ind w:left="880"/>
            <w:rPr>
              <w:rFonts w:ascii="Times New Roman" w:hAnsi="Times New Roman" w:eastAsia="Times New Roman" w:cs="Times New Roman"/>
              <w:sz w:val="24"/>
              <w:szCs w:val="24"/>
            </w:rPr>
          </w:pPr>
          <w:r>
            <w:fldChar w:fldCharType="begin"/>
          </w:r>
          <w:r>
            <w:instrText xml:space="preserve"> HYPERLINK \l "bookmark18" </w:instrText>
          </w:r>
          <w:r>
            <w:fldChar w:fldCharType="separate"/>
          </w:r>
          <w:r>
            <w:rPr>
              <w:rFonts w:ascii="仿宋" w:hAnsi="仿宋" w:eastAsia="仿宋" w:cs="仿宋"/>
              <w:spacing w:val="-5"/>
              <w:sz w:val="24"/>
              <w:szCs w:val="24"/>
            </w:rPr>
            <w:t>1.4.2</w:t>
          </w:r>
          <w:r>
            <w:rPr>
              <w:rFonts w:ascii="仿宋" w:hAnsi="仿宋" w:eastAsia="仿宋" w:cs="仿宋"/>
              <w:spacing w:val="-43"/>
              <w:sz w:val="24"/>
              <w:szCs w:val="24"/>
            </w:rPr>
            <w:t xml:space="preserve"> </w:t>
          </w:r>
          <w:r>
            <w:rPr>
              <w:rFonts w:ascii="仿宋" w:hAnsi="仿宋" w:eastAsia="仿宋" w:cs="仿宋"/>
              <w:spacing w:val="-5"/>
              <w:sz w:val="24"/>
              <w:szCs w:val="24"/>
            </w:rPr>
            <w:t>评价因子</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4"/>
              <w:sz w:val="24"/>
              <w:szCs w:val="24"/>
            </w:rPr>
            <w:t xml:space="preserve"> </w:t>
          </w:r>
          <w:r>
            <w:rPr>
              <w:rFonts w:ascii="Times New Roman" w:hAnsi="Times New Roman" w:eastAsia="Times New Roman" w:cs="Times New Roman"/>
              <w:sz w:val="24"/>
              <w:szCs w:val="24"/>
            </w:rPr>
            <w:t>5</w:t>
          </w:r>
          <w:r>
            <w:rPr>
              <w:rFonts w:ascii="Times New Roman" w:hAnsi="Times New Roman" w:eastAsia="Times New Roman" w:cs="Times New Roman"/>
              <w:sz w:val="24"/>
              <w:szCs w:val="24"/>
            </w:rPr>
            <w:fldChar w:fldCharType="end"/>
          </w:r>
        </w:p>
        <w:p w14:paraId="14CCCE21">
          <w:pPr>
            <w:tabs>
              <w:tab w:val="right" w:leader="dot" w:pos="8317"/>
            </w:tabs>
            <w:spacing w:before="221" w:line="190" w:lineRule="auto"/>
            <w:ind w:left="460"/>
            <w:rPr>
              <w:rFonts w:ascii="Times New Roman" w:hAnsi="Times New Roman" w:eastAsia="Times New Roman" w:cs="Times New Roman"/>
              <w:sz w:val="24"/>
              <w:szCs w:val="24"/>
            </w:rPr>
          </w:pPr>
          <w:r>
            <w:fldChar w:fldCharType="begin"/>
          </w:r>
          <w:r>
            <w:instrText xml:space="preserve"> HYPERLINK \l "bookmark19" </w:instrText>
          </w:r>
          <w:r>
            <w:fldChar w:fldCharType="separate"/>
          </w:r>
          <w:r>
            <w:rPr>
              <w:rFonts w:ascii="仿宋" w:hAnsi="仿宋" w:eastAsia="仿宋" w:cs="仿宋"/>
              <w:spacing w:val="-3"/>
              <w:sz w:val="24"/>
              <w:szCs w:val="24"/>
            </w:rPr>
            <w:t>1.5 评价等级与评价范围</w:t>
          </w:r>
          <w:r>
            <w:rPr>
              <w:rFonts w:ascii="仿宋" w:hAnsi="仿宋" w:eastAsia="仿宋" w:cs="仿宋"/>
              <w:spacing w:val="-63"/>
              <w:sz w:val="24"/>
              <w:szCs w:val="24"/>
            </w:rPr>
            <w:t xml:space="preserve"> </w:t>
          </w:r>
          <w:r>
            <w:rPr>
              <w:rFonts w:ascii="仿宋" w:hAnsi="仿宋" w:eastAsia="仿宋" w:cs="仿宋"/>
              <w:sz w:val="24"/>
              <w:szCs w:val="24"/>
            </w:rPr>
            <w:tab/>
          </w:r>
          <w:r>
            <w:rPr>
              <w:rFonts w:ascii="仿宋" w:hAnsi="仿宋" w:eastAsia="仿宋" w:cs="仿宋"/>
              <w:spacing w:val="-54"/>
              <w:sz w:val="24"/>
              <w:szCs w:val="24"/>
            </w:rPr>
            <w:t xml:space="preserve"> </w:t>
          </w:r>
          <w:r>
            <w:rPr>
              <w:rFonts w:ascii="Times New Roman" w:hAnsi="Times New Roman" w:eastAsia="Times New Roman" w:cs="Times New Roman"/>
              <w:sz w:val="24"/>
              <w:szCs w:val="24"/>
            </w:rPr>
            <w:t>5</w:t>
          </w:r>
          <w:r>
            <w:rPr>
              <w:rFonts w:ascii="Times New Roman" w:hAnsi="Times New Roman" w:eastAsia="Times New Roman" w:cs="Times New Roman"/>
              <w:sz w:val="24"/>
              <w:szCs w:val="24"/>
            </w:rPr>
            <w:fldChar w:fldCharType="end"/>
          </w:r>
        </w:p>
        <w:p w14:paraId="787157CD">
          <w:pPr>
            <w:tabs>
              <w:tab w:val="right" w:leader="dot" w:pos="8317"/>
            </w:tabs>
            <w:spacing w:before="218" w:line="190" w:lineRule="auto"/>
            <w:ind w:left="880"/>
            <w:rPr>
              <w:rFonts w:ascii="Times New Roman" w:hAnsi="Times New Roman" w:eastAsia="Times New Roman" w:cs="Times New Roman"/>
              <w:sz w:val="24"/>
              <w:szCs w:val="24"/>
            </w:rPr>
          </w:pPr>
          <w:r>
            <w:fldChar w:fldCharType="begin"/>
          </w:r>
          <w:r>
            <w:instrText xml:space="preserve"> HYPERLINK \l "bookmark20" </w:instrText>
          </w:r>
          <w:r>
            <w:fldChar w:fldCharType="separate"/>
          </w:r>
          <w:r>
            <w:rPr>
              <w:rFonts w:ascii="仿宋" w:hAnsi="仿宋" w:eastAsia="仿宋" w:cs="仿宋"/>
              <w:spacing w:val="-5"/>
              <w:sz w:val="24"/>
              <w:szCs w:val="24"/>
            </w:rPr>
            <w:t>1.5.1</w:t>
          </w:r>
          <w:r>
            <w:rPr>
              <w:rFonts w:ascii="仿宋" w:hAnsi="仿宋" w:eastAsia="仿宋" w:cs="仿宋"/>
              <w:spacing w:val="-43"/>
              <w:sz w:val="24"/>
              <w:szCs w:val="24"/>
            </w:rPr>
            <w:t xml:space="preserve"> </w:t>
          </w:r>
          <w:r>
            <w:rPr>
              <w:rFonts w:ascii="仿宋" w:hAnsi="仿宋" w:eastAsia="仿宋" w:cs="仿宋"/>
              <w:spacing w:val="-5"/>
              <w:sz w:val="24"/>
              <w:szCs w:val="24"/>
            </w:rPr>
            <w:t>评价等级</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4"/>
              <w:sz w:val="24"/>
              <w:szCs w:val="24"/>
            </w:rPr>
            <w:t xml:space="preserve"> </w:t>
          </w:r>
          <w:r>
            <w:rPr>
              <w:rFonts w:ascii="Times New Roman" w:hAnsi="Times New Roman" w:eastAsia="Times New Roman" w:cs="Times New Roman"/>
              <w:sz w:val="24"/>
              <w:szCs w:val="24"/>
            </w:rPr>
            <w:t>5</w:t>
          </w:r>
          <w:r>
            <w:rPr>
              <w:rFonts w:ascii="Times New Roman" w:hAnsi="Times New Roman" w:eastAsia="Times New Roman" w:cs="Times New Roman"/>
              <w:sz w:val="24"/>
              <w:szCs w:val="24"/>
            </w:rPr>
            <w:fldChar w:fldCharType="end"/>
          </w:r>
        </w:p>
        <w:p w14:paraId="6A2BABF5">
          <w:pPr>
            <w:tabs>
              <w:tab w:val="right" w:leader="dot" w:pos="8317"/>
            </w:tabs>
            <w:spacing w:before="221" w:line="190" w:lineRule="auto"/>
            <w:ind w:left="880"/>
            <w:rPr>
              <w:rFonts w:ascii="Times New Roman" w:hAnsi="Times New Roman" w:eastAsia="Times New Roman" w:cs="Times New Roman"/>
              <w:sz w:val="24"/>
              <w:szCs w:val="24"/>
            </w:rPr>
          </w:pPr>
          <w:r>
            <w:fldChar w:fldCharType="begin"/>
          </w:r>
          <w:r>
            <w:instrText xml:space="preserve"> HYPERLINK \l "bookmark21" </w:instrText>
          </w:r>
          <w:r>
            <w:fldChar w:fldCharType="separate"/>
          </w:r>
          <w:r>
            <w:rPr>
              <w:rFonts w:ascii="仿宋" w:hAnsi="仿宋" w:eastAsia="仿宋" w:cs="仿宋"/>
              <w:spacing w:val="-5"/>
              <w:sz w:val="24"/>
              <w:szCs w:val="24"/>
            </w:rPr>
            <w:t>1.5.2</w:t>
          </w:r>
          <w:r>
            <w:rPr>
              <w:rFonts w:ascii="仿宋" w:hAnsi="仿宋" w:eastAsia="仿宋" w:cs="仿宋"/>
              <w:spacing w:val="-43"/>
              <w:sz w:val="24"/>
              <w:szCs w:val="24"/>
            </w:rPr>
            <w:t xml:space="preserve"> </w:t>
          </w:r>
          <w:r>
            <w:rPr>
              <w:rFonts w:ascii="仿宋" w:hAnsi="仿宋" w:eastAsia="仿宋" w:cs="仿宋"/>
              <w:spacing w:val="-5"/>
              <w:sz w:val="24"/>
              <w:szCs w:val="24"/>
            </w:rPr>
            <w:t>评价范围</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5"/>
              <w:sz w:val="24"/>
              <w:szCs w:val="24"/>
            </w:rPr>
            <w:t xml:space="preserve"> </w:t>
          </w:r>
          <w:r>
            <w:rPr>
              <w:rFonts w:ascii="Times New Roman" w:hAnsi="Times New Roman" w:eastAsia="Times New Roman" w:cs="Times New Roman"/>
              <w:sz w:val="24"/>
              <w:szCs w:val="24"/>
            </w:rPr>
            <w:t>6</w:t>
          </w:r>
          <w:r>
            <w:rPr>
              <w:rFonts w:ascii="Times New Roman" w:hAnsi="Times New Roman" w:eastAsia="Times New Roman" w:cs="Times New Roman"/>
              <w:sz w:val="24"/>
              <w:szCs w:val="24"/>
            </w:rPr>
            <w:fldChar w:fldCharType="end"/>
          </w:r>
        </w:p>
        <w:p w14:paraId="37C6FC16">
          <w:pPr>
            <w:tabs>
              <w:tab w:val="right" w:leader="dot" w:pos="8317"/>
            </w:tabs>
            <w:spacing w:before="219" w:line="190" w:lineRule="auto"/>
            <w:ind w:left="460"/>
            <w:rPr>
              <w:rFonts w:ascii="Times New Roman" w:hAnsi="Times New Roman" w:eastAsia="Times New Roman" w:cs="Times New Roman"/>
              <w:sz w:val="24"/>
              <w:szCs w:val="24"/>
            </w:rPr>
          </w:pPr>
          <w:r>
            <w:fldChar w:fldCharType="begin"/>
          </w:r>
          <w:r>
            <w:instrText xml:space="preserve"> HYPERLINK \l "bookmark22" </w:instrText>
          </w:r>
          <w:r>
            <w:fldChar w:fldCharType="separate"/>
          </w:r>
          <w:r>
            <w:rPr>
              <w:rFonts w:ascii="仿宋" w:hAnsi="仿宋" w:eastAsia="仿宋" w:cs="仿宋"/>
              <w:spacing w:val="-5"/>
              <w:sz w:val="24"/>
              <w:szCs w:val="24"/>
            </w:rPr>
            <w:t>1.6</w:t>
          </w:r>
          <w:r>
            <w:rPr>
              <w:rFonts w:ascii="仿宋" w:hAnsi="仿宋" w:eastAsia="仿宋" w:cs="仿宋"/>
              <w:spacing w:val="-28"/>
              <w:sz w:val="24"/>
              <w:szCs w:val="24"/>
            </w:rPr>
            <w:t xml:space="preserve"> </w:t>
          </w:r>
          <w:r>
            <w:rPr>
              <w:rFonts w:ascii="仿宋" w:hAnsi="仿宋" w:eastAsia="仿宋" w:cs="仿宋"/>
              <w:spacing w:val="-5"/>
              <w:sz w:val="24"/>
              <w:szCs w:val="24"/>
            </w:rPr>
            <w:t>主要声环境敏感目标</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5"/>
              <w:sz w:val="24"/>
              <w:szCs w:val="24"/>
            </w:rPr>
            <w:t xml:space="preserve"> </w:t>
          </w:r>
          <w:r>
            <w:rPr>
              <w:rFonts w:ascii="Times New Roman" w:hAnsi="Times New Roman" w:eastAsia="Times New Roman" w:cs="Times New Roman"/>
              <w:sz w:val="24"/>
              <w:szCs w:val="24"/>
            </w:rPr>
            <w:t>6</w:t>
          </w:r>
          <w:r>
            <w:rPr>
              <w:rFonts w:ascii="Times New Roman" w:hAnsi="Times New Roman" w:eastAsia="Times New Roman" w:cs="Times New Roman"/>
              <w:sz w:val="24"/>
              <w:szCs w:val="24"/>
            </w:rPr>
            <w:fldChar w:fldCharType="end"/>
          </w:r>
        </w:p>
        <w:p w14:paraId="28EFA0CF">
          <w:pPr>
            <w:tabs>
              <w:tab w:val="right" w:leader="dot" w:pos="8317"/>
            </w:tabs>
            <w:spacing w:before="221" w:line="189" w:lineRule="auto"/>
            <w:ind w:left="25"/>
            <w:rPr>
              <w:rFonts w:ascii="Times New Roman" w:hAnsi="Times New Roman" w:eastAsia="Times New Roman" w:cs="Times New Roman"/>
              <w:sz w:val="24"/>
              <w:szCs w:val="24"/>
            </w:rPr>
          </w:pPr>
          <w:r>
            <w:fldChar w:fldCharType="begin"/>
          </w:r>
          <w:r>
            <w:instrText xml:space="preserve"> HYPERLINK \l "bookmark23" </w:instrText>
          </w:r>
          <w:r>
            <w:fldChar w:fldCharType="separate"/>
          </w:r>
          <w:r>
            <w:rPr>
              <w:rFonts w:ascii="仿宋" w:hAnsi="仿宋" w:eastAsia="仿宋" w:cs="仿宋"/>
              <w:spacing w:val="-7"/>
              <w:sz w:val="24"/>
              <w:szCs w:val="24"/>
            </w:rPr>
            <w:t>2</w:t>
          </w:r>
          <w:r>
            <w:rPr>
              <w:rFonts w:ascii="仿宋" w:hAnsi="仿宋" w:eastAsia="仿宋" w:cs="仿宋"/>
              <w:spacing w:val="22"/>
              <w:sz w:val="24"/>
              <w:szCs w:val="24"/>
            </w:rPr>
            <w:t xml:space="preserve"> </w:t>
          </w:r>
          <w:r>
            <w:rPr>
              <w:rFonts w:ascii="仿宋" w:hAnsi="仿宋" w:eastAsia="仿宋" w:cs="仿宋"/>
              <w:spacing w:val="-7"/>
              <w:sz w:val="24"/>
              <w:szCs w:val="24"/>
            </w:rPr>
            <w:t>工程分析</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36"/>
              <w:sz w:val="24"/>
              <w:szCs w:val="24"/>
            </w:rPr>
            <w:t xml:space="preserve"> </w:t>
          </w:r>
          <w:r>
            <w:rPr>
              <w:rFonts w:ascii="Times New Roman" w:hAnsi="Times New Roman" w:eastAsia="Times New Roman" w:cs="Times New Roman"/>
              <w:spacing w:val="-15"/>
              <w:sz w:val="24"/>
              <w:szCs w:val="24"/>
            </w:rPr>
            <w:t>16</w:t>
          </w:r>
          <w:r>
            <w:rPr>
              <w:rFonts w:ascii="Times New Roman" w:hAnsi="Times New Roman" w:eastAsia="Times New Roman" w:cs="Times New Roman"/>
              <w:spacing w:val="-15"/>
              <w:sz w:val="24"/>
              <w:szCs w:val="24"/>
            </w:rPr>
            <w:fldChar w:fldCharType="end"/>
          </w:r>
        </w:p>
        <w:p w14:paraId="2329BBBA">
          <w:pPr>
            <w:tabs>
              <w:tab w:val="right" w:leader="dot" w:pos="8317"/>
            </w:tabs>
            <w:spacing w:before="220" w:line="190" w:lineRule="auto"/>
            <w:ind w:left="445"/>
            <w:rPr>
              <w:rFonts w:ascii="Times New Roman" w:hAnsi="Times New Roman" w:eastAsia="Times New Roman" w:cs="Times New Roman"/>
              <w:sz w:val="24"/>
              <w:szCs w:val="24"/>
            </w:rPr>
          </w:pPr>
          <w:r>
            <w:fldChar w:fldCharType="begin"/>
          </w:r>
          <w:r>
            <w:instrText xml:space="preserve"> HYPERLINK \l "bookmark24" </w:instrText>
          </w:r>
          <w:r>
            <w:fldChar w:fldCharType="separate"/>
          </w:r>
          <w:r>
            <w:rPr>
              <w:rFonts w:ascii="仿宋" w:hAnsi="仿宋" w:eastAsia="仿宋" w:cs="仿宋"/>
              <w:spacing w:val="-4"/>
              <w:sz w:val="24"/>
              <w:szCs w:val="24"/>
            </w:rPr>
            <w:t>2.1</w:t>
          </w:r>
          <w:r>
            <w:rPr>
              <w:rFonts w:ascii="仿宋" w:hAnsi="仿宋" w:eastAsia="仿宋" w:cs="仿宋"/>
              <w:spacing w:val="23"/>
              <w:sz w:val="24"/>
              <w:szCs w:val="24"/>
            </w:rPr>
            <w:t xml:space="preserve"> </w:t>
          </w:r>
          <w:r>
            <w:rPr>
              <w:rFonts w:ascii="仿宋" w:hAnsi="仿宋" w:eastAsia="仿宋" w:cs="仿宋"/>
              <w:spacing w:val="-4"/>
              <w:sz w:val="24"/>
              <w:szCs w:val="24"/>
            </w:rPr>
            <w:t>工程建设内容</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36"/>
              <w:sz w:val="24"/>
              <w:szCs w:val="24"/>
            </w:rPr>
            <w:t xml:space="preserve"> </w:t>
          </w:r>
          <w:r>
            <w:rPr>
              <w:rFonts w:ascii="Times New Roman" w:hAnsi="Times New Roman" w:eastAsia="Times New Roman" w:cs="Times New Roman"/>
              <w:spacing w:val="-15"/>
              <w:sz w:val="24"/>
              <w:szCs w:val="24"/>
            </w:rPr>
            <w:t>16</w:t>
          </w:r>
          <w:r>
            <w:rPr>
              <w:rFonts w:ascii="Times New Roman" w:hAnsi="Times New Roman" w:eastAsia="Times New Roman" w:cs="Times New Roman"/>
              <w:spacing w:val="-15"/>
              <w:sz w:val="24"/>
              <w:szCs w:val="24"/>
            </w:rPr>
            <w:fldChar w:fldCharType="end"/>
          </w:r>
        </w:p>
        <w:p w14:paraId="371E4262">
          <w:pPr>
            <w:tabs>
              <w:tab w:val="right" w:leader="dot" w:pos="8317"/>
            </w:tabs>
            <w:spacing w:before="221" w:line="190" w:lineRule="auto"/>
            <w:ind w:left="445"/>
            <w:rPr>
              <w:rFonts w:ascii="Times New Roman" w:hAnsi="Times New Roman" w:eastAsia="Times New Roman" w:cs="Times New Roman"/>
              <w:sz w:val="24"/>
              <w:szCs w:val="24"/>
            </w:rPr>
          </w:pPr>
          <w:r>
            <w:fldChar w:fldCharType="begin"/>
          </w:r>
          <w:r>
            <w:instrText xml:space="preserve"> HYPERLINK \l "bookmark25" </w:instrText>
          </w:r>
          <w:r>
            <w:fldChar w:fldCharType="separate"/>
          </w:r>
          <w:r>
            <w:rPr>
              <w:rFonts w:ascii="仿宋" w:hAnsi="仿宋" w:eastAsia="仿宋" w:cs="仿宋"/>
              <w:spacing w:val="-1"/>
              <w:sz w:val="24"/>
              <w:szCs w:val="24"/>
            </w:rPr>
            <w:t>2.2 施工期噪声源分析</w:t>
          </w:r>
          <w:r>
            <w:rPr>
              <w:rFonts w:ascii="仿宋" w:hAnsi="仿宋" w:eastAsia="仿宋" w:cs="仿宋"/>
              <w:spacing w:val="-75"/>
              <w:sz w:val="24"/>
              <w:szCs w:val="24"/>
            </w:rPr>
            <w:t xml:space="preserve"> </w:t>
          </w:r>
          <w:r>
            <w:rPr>
              <w:rFonts w:ascii="仿宋" w:hAnsi="仿宋" w:eastAsia="仿宋" w:cs="仿宋"/>
              <w:sz w:val="24"/>
              <w:szCs w:val="24"/>
            </w:rPr>
            <w:tab/>
          </w:r>
          <w:r>
            <w:rPr>
              <w:rFonts w:ascii="仿宋" w:hAnsi="仿宋" w:eastAsia="仿宋" w:cs="仿宋"/>
              <w:spacing w:val="-36"/>
              <w:sz w:val="24"/>
              <w:szCs w:val="24"/>
            </w:rPr>
            <w:t xml:space="preserve"> </w:t>
          </w:r>
          <w:r>
            <w:rPr>
              <w:rFonts w:ascii="Times New Roman" w:hAnsi="Times New Roman" w:eastAsia="Times New Roman" w:cs="Times New Roman"/>
              <w:spacing w:val="-15"/>
              <w:sz w:val="24"/>
              <w:szCs w:val="24"/>
            </w:rPr>
            <w:t>18</w:t>
          </w:r>
          <w:r>
            <w:rPr>
              <w:rFonts w:ascii="Times New Roman" w:hAnsi="Times New Roman" w:eastAsia="Times New Roman" w:cs="Times New Roman"/>
              <w:spacing w:val="-15"/>
              <w:sz w:val="24"/>
              <w:szCs w:val="24"/>
            </w:rPr>
            <w:fldChar w:fldCharType="end"/>
          </w:r>
        </w:p>
        <w:p w14:paraId="0D010420">
          <w:pPr>
            <w:tabs>
              <w:tab w:val="right" w:leader="dot" w:pos="8317"/>
            </w:tabs>
            <w:spacing w:before="218" w:line="190" w:lineRule="auto"/>
            <w:ind w:left="865"/>
            <w:rPr>
              <w:rFonts w:ascii="Times New Roman" w:hAnsi="Times New Roman" w:eastAsia="Times New Roman" w:cs="Times New Roman"/>
              <w:sz w:val="24"/>
              <w:szCs w:val="24"/>
            </w:rPr>
          </w:pPr>
          <w:r>
            <w:fldChar w:fldCharType="begin"/>
          </w:r>
          <w:r>
            <w:instrText xml:space="preserve"> HYPERLINK \l "bookmark26" </w:instrText>
          </w:r>
          <w:r>
            <w:fldChar w:fldCharType="separate"/>
          </w:r>
          <w:r>
            <w:rPr>
              <w:rFonts w:ascii="仿宋" w:hAnsi="仿宋" w:eastAsia="仿宋" w:cs="仿宋"/>
              <w:spacing w:val="-3"/>
              <w:sz w:val="24"/>
              <w:szCs w:val="24"/>
            </w:rPr>
            <w:t>2.2.1</w:t>
          </w:r>
          <w:r>
            <w:rPr>
              <w:rFonts w:ascii="仿宋" w:hAnsi="仿宋" w:eastAsia="仿宋" w:cs="仿宋"/>
              <w:spacing w:val="-28"/>
              <w:sz w:val="24"/>
              <w:szCs w:val="24"/>
            </w:rPr>
            <w:t xml:space="preserve"> </w:t>
          </w:r>
          <w:r>
            <w:rPr>
              <w:rFonts w:ascii="仿宋" w:hAnsi="仿宋" w:eastAsia="仿宋" w:cs="仿宋"/>
              <w:spacing w:val="-3"/>
              <w:sz w:val="24"/>
              <w:szCs w:val="24"/>
            </w:rPr>
            <w:t>噪声源类型及产生环节</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36"/>
              <w:sz w:val="24"/>
              <w:szCs w:val="24"/>
            </w:rPr>
            <w:t xml:space="preserve"> </w:t>
          </w:r>
          <w:r>
            <w:rPr>
              <w:rFonts w:ascii="Times New Roman" w:hAnsi="Times New Roman" w:eastAsia="Times New Roman" w:cs="Times New Roman"/>
              <w:spacing w:val="-15"/>
              <w:sz w:val="24"/>
              <w:szCs w:val="24"/>
            </w:rPr>
            <w:t>18</w:t>
          </w:r>
          <w:r>
            <w:rPr>
              <w:rFonts w:ascii="Times New Roman" w:hAnsi="Times New Roman" w:eastAsia="Times New Roman" w:cs="Times New Roman"/>
              <w:spacing w:val="-15"/>
              <w:sz w:val="24"/>
              <w:szCs w:val="24"/>
            </w:rPr>
            <w:fldChar w:fldCharType="end"/>
          </w:r>
        </w:p>
        <w:p w14:paraId="1A4F6A33">
          <w:pPr>
            <w:tabs>
              <w:tab w:val="right" w:leader="dot" w:pos="8317"/>
            </w:tabs>
            <w:spacing w:before="221" w:line="190" w:lineRule="auto"/>
            <w:ind w:left="865"/>
            <w:rPr>
              <w:rFonts w:ascii="Times New Roman" w:hAnsi="Times New Roman" w:eastAsia="Times New Roman" w:cs="Times New Roman"/>
              <w:sz w:val="24"/>
              <w:szCs w:val="24"/>
            </w:rPr>
          </w:pPr>
          <w:r>
            <w:fldChar w:fldCharType="begin"/>
          </w:r>
          <w:r>
            <w:instrText xml:space="preserve"> HYPERLINK \l "bookmark27" </w:instrText>
          </w:r>
          <w:r>
            <w:fldChar w:fldCharType="separate"/>
          </w:r>
          <w:r>
            <w:rPr>
              <w:rFonts w:ascii="仿宋" w:hAnsi="仿宋" w:eastAsia="仿宋" w:cs="仿宋"/>
              <w:spacing w:val="-3"/>
              <w:sz w:val="24"/>
              <w:szCs w:val="24"/>
            </w:rPr>
            <w:t>2.2.2</w:t>
          </w:r>
          <w:r>
            <w:rPr>
              <w:rFonts w:ascii="仿宋" w:hAnsi="仿宋" w:eastAsia="仿宋" w:cs="仿宋"/>
              <w:spacing w:val="-34"/>
              <w:sz w:val="24"/>
              <w:szCs w:val="24"/>
            </w:rPr>
            <w:t xml:space="preserve"> </w:t>
          </w:r>
          <w:r>
            <w:rPr>
              <w:rFonts w:ascii="仿宋" w:hAnsi="仿宋" w:eastAsia="仿宋" w:cs="仿宋"/>
              <w:spacing w:val="-3"/>
              <w:sz w:val="24"/>
              <w:szCs w:val="24"/>
            </w:rPr>
            <w:t>主要噪声源强参数</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36"/>
              <w:sz w:val="24"/>
              <w:szCs w:val="24"/>
            </w:rPr>
            <w:t xml:space="preserve"> </w:t>
          </w:r>
          <w:r>
            <w:rPr>
              <w:rFonts w:ascii="Times New Roman" w:hAnsi="Times New Roman" w:eastAsia="Times New Roman" w:cs="Times New Roman"/>
              <w:spacing w:val="-15"/>
              <w:sz w:val="24"/>
              <w:szCs w:val="24"/>
            </w:rPr>
            <w:t>19</w:t>
          </w:r>
          <w:r>
            <w:rPr>
              <w:rFonts w:ascii="Times New Roman" w:hAnsi="Times New Roman" w:eastAsia="Times New Roman" w:cs="Times New Roman"/>
              <w:spacing w:val="-15"/>
              <w:sz w:val="24"/>
              <w:szCs w:val="24"/>
            </w:rPr>
            <w:fldChar w:fldCharType="end"/>
          </w:r>
        </w:p>
        <w:p w14:paraId="20C6DA7F">
          <w:pPr>
            <w:tabs>
              <w:tab w:val="right" w:leader="dot" w:pos="8317"/>
            </w:tabs>
            <w:spacing w:before="219" w:line="190" w:lineRule="auto"/>
            <w:ind w:left="865"/>
            <w:rPr>
              <w:rFonts w:ascii="Times New Roman" w:hAnsi="Times New Roman" w:eastAsia="Times New Roman" w:cs="Times New Roman"/>
              <w:sz w:val="24"/>
              <w:szCs w:val="24"/>
            </w:rPr>
          </w:pPr>
          <w:r>
            <w:fldChar w:fldCharType="begin"/>
          </w:r>
          <w:r>
            <w:instrText xml:space="preserve"> HYPERLINK \l "bookmark28" </w:instrText>
          </w:r>
          <w:r>
            <w:fldChar w:fldCharType="separate"/>
          </w:r>
          <w:r>
            <w:rPr>
              <w:rFonts w:ascii="仿宋" w:hAnsi="仿宋" w:eastAsia="仿宋" w:cs="仿宋"/>
              <w:spacing w:val="-3"/>
              <w:sz w:val="24"/>
              <w:szCs w:val="24"/>
            </w:rPr>
            <w:t>2.2.3</w:t>
          </w:r>
          <w:r>
            <w:rPr>
              <w:rFonts w:ascii="仿宋" w:hAnsi="仿宋" w:eastAsia="仿宋" w:cs="仿宋"/>
              <w:spacing w:val="-34"/>
              <w:sz w:val="24"/>
              <w:szCs w:val="24"/>
            </w:rPr>
            <w:t xml:space="preserve"> </w:t>
          </w:r>
          <w:r>
            <w:rPr>
              <w:rFonts w:ascii="仿宋" w:hAnsi="仿宋" w:eastAsia="仿宋" w:cs="仿宋"/>
              <w:spacing w:val="-3"/>
              <w:sz w:val="24"/>
              <w:szCs w:val="24"/>
            </w:rPr>
            <w:t>噪声排放总体特征</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60"/>
              <w:sz w:val="24"/>
              <w:szCs w:val="24"/>
            </w:rPr>
            <w:t xml:space="preserve"> </w:t>
          </w:r>
          <w:r>
            <w:rPr>
              <w:rFonts w:ascii="Times New Roman" w:hAnsi="Times New Roman" w:eastAsia="Times New Roman" w:cs="Times New Roman"/>
              <w:spacing w:val="-3"/>
              <w:sz w:val="24"/>
              <w:szCs w:val="24"/>
            </w:rPr>
            <w:t>20</w:t>
          </w:r>
          <w:r>
            <w:rPr>
              <w:rFonts w:ascii="Times New Roman" w:hAnsi="Times New Roman" w:eastAsia="Times New Roman" w:cs="Times New Roman"/>
              <w:spacing w:val="-3"/>
              <w:sz w:val="24"/>
              <w:szCs w:val="24"/>
            </w:rPr>
            <w:fldChar w:fldCharType="end"/>
          </w:r>
        </w:p>
        <w:p w14:paraId="6733F404">
          <w:pPr>
            <w:tabs>
              <w:tab w:val="right" w:leader="dot" w:pos="8317"/>
            </w:tabs>
            <w:spacing w:before="221" w:line="190" w:lineRule="auto"/>
            <w:ind w:left="865"/>
            <w:rPr>
              <w:rFonts w:ascii="Times New Roman" w:hAnsi="Times New Roman" w:eastAsia="Times New Roman" w:cs="Times New Roman"/>
              <w:sz w:val="24"/>
              <w:szCs w:val="24"/>
            </w:rPr>
          </w:pPr>
          <w:r>
            <w:fldChar w:fldCharType="begin"/>
          </w:r>
          <w:r>
            <w:instrText xml:space="preserve"> HYPERLINK \l "bookmark29" </w:instrText>
          </w:r>
          <w:r>
            <w:fldChar w:fldCharType="separate"/>
          </w:r>
          <w:r>
            <w:rPr>
              <w:rFonts w:ascii="仿宋" w:hAnsi="仿宋" w:eastAsia="仿宋" w:cs="仿宋"/>
              <w:spacing w:val="-4"/>
              <w:sz w:val="24"/>
              <w:szCs w:val="24"/>
            </w:rPr>
            <w:t>2.2.4</w:t>
          </w:r>
          <w:r>
            <w:rPr>
              <w:rFonts w:ascii="仿宋" w:hAnsi="仿宋" w:eastAsia="仿宋" w:cs="仿宋"/>
              <w:spacing w:val="-45"/>
              <w:sz w:val="24"/>
              <w:szCs w:val="24"/>
            </w:rPr>
            <w:t xml:space="preserve"> </w:t>
          </w:r>
          <w:r>
            <w:rPr>
              <w:rFonts w:ascii="仿宋" w:hAnsi="仿宋" w:eastAsia="仿宋" w:cs="仿宋"/>
              <w:spacing w:val="-4"/>
              <w:sz w:val="24"/>
              <w:szCs w:val="24"/>
            </w:rPr>
            <w:t>小结</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60"/>
              <w:sz w:val="24"/>
              <w:szCs w:val="24"/>
            </w:rPr>
            <w:t xml:space="preserve"> </w:t>
          </w:r>
          <w:r>
            <w:rPr>
              <w:rFonts w:ascii="Times New Roman" w:hAnsi="Times New Roman" w:eastAsia="Times New Roman" w:cs="Times New Roman"/>
              <w:spacing w:val="-3"/>
              <w:sz w:val="24"/>
              <w:szCs w:val="24"/>
            </w:rPr>
            <w:t>20</w:t>
          </w:r>
          <w:r>
            <w:rPr>
              <w:rFonts w:ascii="Times New Roman" w:hAnsi="Times New Roman" w:eastAsia="Times New Roman" w:cs="Times New Roman"/>
              <w:spacing w:val="-3"/>
              <w:sz w:val="24"/>
              <w:szCs w:val="24"/>
            </w:rPr>
            <w:fldChar w:fldCharType="end"/>
          </w:r>
        </w:p>
        <w:p w14:paraId="55D2F371">
          <w:pPr>
            <w:tabs>
              <w:tab w:val="right" w:leader="dot" w:pos="8317"/>
            </w:tabs>
            <w:spacing w:before="221" w:line="222" w:lineRule="auto"/>
            <w:ind w:left="445"/>
            <w:rPr>
              <w:rFonts w:ascii="Times New Roman" w:hAnsi="Times New Roman" w:eastAsia="Times New Roman" w:cs="Times New Roman"/>
              <w:sz w:val="24"/>
              <w:szCs w:val="24"/>
            </w:rPr>
          </w:pPr>
          <w:r>
            <w:fldChar w:fldCharType="begin"/>
          </w:r>
          <w:r>
            <w:instrText xml:space="preserve"> HYPERLINK \l "bookmark30" </w:instrText>
          </w:r>
          <w:r>
            <w:fldChar w:fldCharType="separate"/>
          </w:r>
          <w:r>
            <w:rPr>
              <w:rFonts w:ascii="仿宋" w:hAnsi="仿宋" w:eastAsia="仿宋" w:cs="仿宋"/>
              <w:spacing w:val="-1"/>
              <w:sz w:val="24"/>
              <w:szCs w:val="24"/>
            </w:rPr>
            <w:t>2.3 运营期噪声源分析</w:t>
          </w:r>
          <w:r>
            <w:rPr>
              <w:rFonts w:ascii="仿宋" w:hAnsi="仿宋" w:eastAsia="仿宋" w:cs="仿宋"/>
              <w:spacing w:val="-75"/>
              <w:sz w:val="24"/>
              <w:szCs w:val="24"/>
            </w:rPr>
            <w:t xml:space="preserve"> </w:t>
          </w:r>
          <w:r>
            <w:rPr>
              <w:rFonts w:ascii="仿宋" w:hAnsi="仿宋" w:eastAsia="仿宋" w:cs="仿宋"/>
              <w:sz w:val="24"/>
              <w:szCs w:val="24"/>
            </w:rPr>
            <w:tab/>
          </w:r>
          <w:r>
            <w:rPr>
              <w:rFonts w:ascii="仿宋" w:hAnsi="仿宋" w:eastAsia="仿宋" w:cs="仿宋"/>
              <w:spacing w:val="-60"/>
              <w:sz w:val="24"/>
              <w:szCs w:val="24"/>
            </w:rPr>
            <w:t xml:space="preserve"> </w:t>
          </w:r>
          <w:r>
            <w:rPr>
              <w:rFonts w:ascii="Times New Roman" w:hAnsi="Times New Roman" w:eastAsia="Times New Roman" w:cs="Times New Roman"/>
              <w:spacing w:val="-3"/>
              <w:sz w:val="24"/>
              <w:szCs w:val="24"/>
            </w:rPr>
            <w:t>20</w:t>
          </w:r>
          <w:r>
            <w:rPr>
              <w:rFonts w:ascii="Times New Roman" w:hAnsi="Times New Roman" w:eastAsia="Times New Roman" w:cs="Times New Roman"/>
              <w:spacing w:val="-3"/>
              <w:sz w:val="24"/>
              <w:szCs w:val="24"/>
            </w:rPr>
            <w:fldChar w:fldCharType="end"/>
          </w:r>
        </w:p>
      </w:sdtContent>
    </w:sdt>
    <w:p w14:paraId="25DA4309">
      <w:pPr>
        <w:spacing w:line="222" w:lineRule="auto"/>
        <w:rPr>
          <w:rFonts w:ascii="Times New Roman" w:hAnsi="Times New Roman" w:eastAsia="Times New Roman" w:cs="Times New Roman"/>
          <w:sz w:val="24"/>
          <w:szCs w:val="24"/>
        </w:rPr>
        <w:sectPr>
          <w:pgSz w:w="11905" w:h="16840"/>
          <w:pgMar w:top="400" w:right="1785" w:bottom="400" w:left="1785" w:header="0" w:footer="0" w:gutter="0"/>
          <w:cols w:space="720" w:num="1"/>
        </w:sectPr>
      </w:pPr>
    </w:p>
    <w:p w14:paraId="021A91FF">
      <w:pPr>
        <w:pStyle w:val="2"/>
        <w:spacing w:line="247" w:lineRule="auto"/>
        <w:rPr>
          <w:sz w:val="21"/>
        </w:rPr>
      </w:pPr>
    </w:p>
    <w:p w14:paraId="5F8A9D03">
      <w:pPr>
        <w:pStyle w:val="2"/>
        <w:spacing w:line="247" w:lineRule="auto"/>
        <w:rPr>
          <w:sz w:val="21"/>
        </w:rPr>
      </w:pPr>
    </w:p>
    <w:p w14:paraId="48EC1700">
      <w:pPr>
        <w:pStyle w:val="2"/>
        <w:spacing w:line="248" w:lineRule="auto"/>
        <w:rPr>
          <w:sz w:val="21"/>
        </w:rPr>
      </w:pPr>
    </w:p>
    <w:p w14:paraId="0007A899">
      <w:pPr>
        <w:pStyle w:val="2"/>
        <w:spacing w:line="248" w:lineRule="auto"/>
        <w:rPr>
          <w:sz w:val="21"/>
        </w:rPr>
      </w:pPr>
    </w:p>
    <w:sdt>
      <w:sdtPr>
        <w:rPr>
          <w:rFonts w:ascii="仿宋" w:hAnsi="仿宋" w:eastAsia="仿宋" w:cs="仿宋"/>
          <w:sz w:val="24"/>
          <w:szCs w:val="24"/>
        </w:rPr>
        <w:id w:val="147473566"/>
        <w:docPartObj>
          <w:docPartGallery w:val="Table of Contents"/>
          <w:docPartUnique/>
        </w:docPartObj>
      </w:sdtPr>
      <w:sdtEndPr>
        <w:rPr>
          <w:rFonts w:ascii="Times New Roman" w:hAnsi="Times New Roman" w:eastAsia="Times New Roman" w:cs="Times New Roman"/>
          <w:sz w:val="24"/>
          <w:szCs w:val="24"/>
        </w:rPr>
      </w:sdtEndPr>
      <w:sdtContent>
        <w:p w14:paraId="57D3292D">
          <w:pPr>
            <w:tabs>
              <w:tab w:val="right" w:leader="dot" w:pos="8317"/>
            </w:tabs>
            <w:spacing w:before="78" w:line="189" w:lineRule="auto"/>
            <w:ind w:left="865"/>
            <w:rPr>
              <w:rFonts w:ascii="Times New Roman" w:hAnsi="Times New Roman" w:eastAsia="Times New Roman" w:cs="Times New Roman"/>
              <w:sz w:val="24"/>
              <w:szCs w:val="24"/>
            </w:rPr>
          </w:pPr>
          <w:r>
            <w:fldChar w:fldCharType="begin"/>
          </w:r>
          <w:r>
            <w:instrText xml:space="preserve"> HYPERLINK \l "bookmark31" </w:instrText>
          </w:r>
          <w:r>
            <w:fldChar w:fldCharType="separate"/>
          </w:r>
          <w:r>
            <w:rPr>
              <w:rFonts w:ascii="仿宋" w:hAnsi="仿宋" w:eastAsia="仿宋" w:cs="仿宋"/>
              <w:spacing w:val="-4"/>
              <w:sz w:val="24"/>
              <w:szCs w:val="24"/>
            </w:rPr>
            <w:t>2.3.1</w:t>
          </w:r>
          <w:r>
            <w:rPr>
              <w:rFonts w:ascii="仿宋" w:hAnsi="仿宋" w:eastAsia="仿宋" w:cs="仿宋"/>
              <w:spacing w:val="31"/>
              <w:sz w:val="24"/>
              <w:szCs w:val="24"/>
            </w:rPr>
            <w:t xml:space="preserve"> </w:t>
          </w:r>
          <w:r>
            <w:rPr>
              <w:rFonts w:ascii="仿宋" w:hAnsi="仿宋" w:eastAsia="仿宋" w:cs="仿宋"/>
              <w:spacing w:val="-4"/>
              <w:sz w:val="24"/>
              <w:szCs w:val="24"/>
            </w:rPr>
            <w:t>噪声源强特征</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60"/>
              <w:sz w:val="24"/>
              <w:szCs w:val="24"/>
            </w:rPr>
            <w:t xml:space="preserve"> </w:t>
          </w:r>
          <w:r>
            <w:rPr>
              <w:rFonts w:ascii="Times New Roman" w:hAnsi="Times New Roman" w:eastAsia="Times New Roman" w:cs="Times New Roman"/>
              <w:spacing w:val="-3"/>
              <w:sz w:val="24"/>
              <w:szCs w:val="24"/>
            </w:rPr>
            <w:t>21</w:t>
          </w:r>
          <w:r>
            <w:rPr>
              <w:rFonts w:ascii="Times New Roman" w:hAnsi="Times New Roman" w:eastAsia="Times New Roman" w:cs="Times New Roman"/>
              <w:spacing w:val="-3"/>
              <w:sz w:val="24"/>
              <w:szCs w:val="24"/>
            </w:rPr>
            <w:fldChar w:fldCharType="end"/>
          </w:r>
        </w:p>
        <w:p w14:paraId="5BE980F4">
          <w:pPr>
            <w:tabs>
              <w:tab w:val="right" w:leader="dot" w:pos="8317"/>
            </w:tabs>
            <w:spacing w:before="222" w:line="190" w:lineRule="auto"/>
            <w:ind w:left="865"/>
            <w:rPr>
              <w:rFonts w:ascii="Times New Roman" w:hAnsi="Times New Roman" w:eastAsia="Times New Roman" w:cs="Times New Roman"/>
              <w:sz w:val="24"/>
              <w:szCs w:val="24"/>
            </w:rPr>
          </w:pPr>
          <w:r>
            <w:fldChar w:fldCharType="begin"/>
          </w:r>
          <w:r>
            <w:instrText xml:space="preserve"> HYPERLINK \l "bookmark32" </w:instrText>
          </w:r>
          <w:r>
            <w:fldChar w:fldCharType="separate"/>
          </w:r>
          <w:r>
            <w:rPr>
              <w:rFonts w:ascii="仿宋" w:hAnsi="仿宋" w:eastAsia="仿宋" w:cs="仿宋"/>
              <w:spacing w:val="-5"/>
              <w:sz w:val="24"/>
              <w:szCs w:val="24"/>
            </w:rPr>
            <w:t>2.3.2</w:t>
          </w:r>
          <w:r>
            <w:rPr>
              <w:rFonts w:ascii="仿宋" w:hAnsi="仿宋" w:eastAsia="仿宋" w:cs="仿宋"/>
              <w:spacing w:val="32"/>
              <w:sz w:val="24"/>
              <w:szCs w:val="24"/>
            </w:rPr>
            <w:t xml:space="preserve"> </w:t>
          </w:r>
          <w:r>
            <w:rPr>
              <w:rFonts w:ascii="仿宋" w:hAnsi="仿宋" w:eastAsia="仿宋" w:cs="仿宋"/>
              <w:spacing w:val="-5"/>
              <w:sz w:val="24"/>
              <w:szCs w:val="24"/>
            </w:rPr>
            <w:t>噪声源强</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60"/>
              <w:sz w:val="24"/>
              <w:szCs w:val="24"/>
            </w:rPr>
            <w:t xml:space="preserve"> </w:t>
          </w:r>
          <w:r>
            <w:rPr>
              <w:rFonts w:ascii="Times New Roman" w:hAnsi="Times New Roman" w:eastAsia="Times New Roman" w:cs="Times New Roman"/>
              <w:spacing w:val="-3"/>
              <w:sz w:val="24"/>
              <w:szCs w:val="24"/>
            </w:rPr>
            <w:t>21</w:t>
          </w:r>
          <w:r>
            <w:rPr>
              <w:rFonts w:ascii="Times New Roman" w:hAnsi="Times New Roman" w:eastAsia="Times New Roman" w:cs="Times New Roman"/>
              <w:spacing w:val="-3"/>
              <w:sz w:val="24"/>
              <w:szCs w:val="24"/>
            </w:rPr>
            <w:fldChar w:fldCharType="end"/>
          </w:r>
        </w:p>
        <w:p w14:paraId="5C101DDF">
          <w:pPr>
            <w:tabs>
              <w:tab w:val="right" w:leader="dot" w:pos="8317"/>
            </w:tabs>
            <w:spacing w:before="218" w:line="190" w:lineRule="auto"/>
            <w:ind w:left="27"/>
            <w:rPr>
              <w:rFonts w:ascii="Times New Roman" w:hAnsi="Times New Roman" w:eastAsia="Times New Roman" w:cs="Times New Roman"/>
              <w:sz w:val="24"/>
              <w:szCs w:val="24"/>
            </w:rPr>
          </w:pPr>
          <w:r>
            <w:fldChar w:fldCharType="begin"/>
          </w:r>
          <w:r>
            <w:instrText xml:space="preserve"> HYPERLINK \l "bookmark33" </w:instrText>
          </w:r>
          <w:r>
            <w:fldChar w:fldCharType="separate"/>
          </w:r>
          <w:r>
            <w:rPr>
              <w:rFonts w:ascii="仿宋" w:hAnsi="仿宋" w:eastAsia="仿宋" w:cs="仿宋"/>
              <w:spacing w:val="-1"/>
              <w:sz w:val="24"/>
              <w:szCs w:val="24"/>
            </w:rPr>
            <w:t>3 声环境质量现状调查与评价</w:t>
          </w:r>
          <w:r>
            <w:rPr>
              <w:rFonts w:ascii="仿宋" w:hAnsi="仿宋" w:eastAsia="仿宋" w:cs="仿宋"/>
              <w:spacing w:val="-75"/>
              <w:sz w:val="24"/>
              <w:szCs w:val="24"/>
            </w:rPr>
            <w:t xml:space="preserve"> </w:t>
          </w:r>
          <w:r>
            <w:rPr>
              <w:rFonts w:ascii="仿宋" w:hAnsi="仿宋" w:eastAsia="仿宋" w:cs="仿宋"/>
              <w:sz w:val="24"/>
              <w:szCs w:val="24"/>
            </w:rPr>
            <w:tab/>
          </w:r>
          <w:r>
            <w:rPr>
              <w:rFonts w:ascii="仿宋" w:hAnsi="仿宋" w:eastAsia="仿宋" w:cs="仿宋"/>
              <w:spacing w:val="-60"/>
              <w:sz w:val="24"/>
              <w:szCs w:val="24"/>
            </w:rPr>
            <w:t xml:space="preserve"> </w:t>
          </w:r>
          <w:r>
            <w:rPr>
              <w:rFonts w:ascii="Times New Roman" w:hAnsi="Times New Roman" w:eastAsia="Times New Roman" w:cs="Times New Roman"/>
              <w:spacing w:val="-3"/>
              <w:sz w:val="24"/>
              <w:szCs w:val="24"/>
            </w:rPr>
            <w:t>24</w:t>
          </w:r>
          <w:r>
            <w:rPr>
              <w:rFonts w:ascii="Times New Roman" w:hAnsi="Times New Roman" w:eastAsia="Times New Roman" w:cs="Times New Roman"/>
              <w:spacing w:val="-3"/>
              <w:sz w:val="24"/>
              <w:szCs w:val="24"/>
            </w:rPr>
            <w:fldChar w:fldCharType="end"/>
          </w:r>
        </w:p>
        <w:p w14:paraId="12171F0B">
          <w:pPr>
            <w:tabs>
              <w:tab w:val="right" w:leader="dot" w:pos="8317"/>
            </w:tabs>
            <w:spacing w:before="221" w:line="190" w:lineRule="auto"/>
            <w:ind w:left="447"/>
            <w:rPr>
              <w:rFonts w:ascii="Times New Roman" w:hAnsi="Times New Roman" w:eastAsia="Times New Roman" w:cs="Times New Roman"/>
              <w:sz w:val="24"/>
              <w:szCs w:val="24"/>
            </w:rPr>
          </w:pPr>
          <w:r>
            <w:fldChar w:fldCharType="begin"/>
          </w:r>
          <w:r>
            <w:instrText xml:space="preserve"> HYPERLINK \l "bookmark34" </w:instrText>
          </w:r>
          <w:r>
            <w:fldChar w:fldCharType="separate"/>
          </w:r>
          <w:r>
            <w:rPr>
              <w:rFonts w:ascii="仿宋" w:hAnsi="仿宋" w:eastAsia="仿宋" w:cs="仿宋"/>
              <w:spacing w:val="-2"/>
              <w:sz w:val="24"/>
              <w:szCs w:val="24"/>
            </w:rPr>
            <w:t>3.1 声环境现状调查</w:t>
          </w:r>
          <w:r>
            <w:rPr>
              <w:rFonts w:ascii="仿宋" w:hAnsi="仿宋" w:eastAsia="仿宋" w:cs="仿宋"/>
              <w:spacing w:val="-67"/>
              <w:sz w:val="24"/>
              <w:szCs w:val="24"/>
            </w:rPr>
            <w:t xml:space="preserve"> </w:t>
          </w:r>
          <w:r>
            <w:rPr>
              <w:rFonts w:ascii="仿宋" w:hAnsi="仿宋" w:eastAsia="仿宋" w:cs="仿宋"/>
              <w:sz w:val="24"/>
              <w:szCs w:val="24"/>
            </w:rPr>
            <w:tab/>
          </w:r>
          <w:r>
            <w:rPr>
              <w:rFonts w:ascii="仿宋" w:hAnsi="仿宋" w:eastAsia="仿宋" w:cs="仿宋"/>
              <w:spacing w:val="-60"/>
              <w:sz w:val="24"/>
              <w:szCs w:val="24"/>
            </w:rPr>
            <w:t xml:space="preserve"> </w:t>
          </w:r>
          <w:r>
            <w:rPr>
              <w:rFonts w:ascii="Times New Roman" w:hAnsi="Times New Roman" w:eastAsia="Times New Roman" w:cs="Times New Roman"/>
              <w:spacing w:val="-3"/>
              <w:sz w:val="24"/>
              <w:szCs w:val="24"/>
            </w:rPr>
            <w:t>24</w:t>
          </w:r>
          <w:r>
            <w:rPr>
              <w:rFonts w:ascii="Times New Roman" w:hAnsi="Times New Roman" w:eastAsia="Times New Roman" w:cs="Times New Roman"/>
              <w:spacing w:val="-3"/>
              <w:sz w:val="24"/>
              <w:szCs w:val="24"/>
            </w:rPr>
            <w:fldChar w:fldCharType="end"/>
          </w:r>
        </w:p>
        <w:p w14:paraId="114AA0CB">
          <w:pPr>
            <w:tabs>
              <w:tab w:val="right" w:leader="dot" w:pos="8317"/>
            </w:tabs>
            <w:spacing w:before="218" w:line="190" w:lineRule="auto"/>
            <w:ind w:left="447"/>
            <w:rPr>
              <w:rFonts w:ascii="Times New Roman" w:hAnsi="Times New Roman" w:eastAsia="Times New Roman" w:cs="Times New Roman"/>
              <w:sz w:val="24"/>
              <w:szCs w:val="24"/>
            </w:rPr>
          </w:pPr>
          <w:r>
            <w:fldChar w:fldCharType="begin"/>
          </w:r>
          <w:r>
            <w:instrText xml:space="preserve"> HYPERLINK \l "bookmark35" </w:instrText>
          </w:r>
          <w:r>
            <w:fldChar w:fldCharType="separate"/>
          </w:r>
          <w:r>
            <w:rPr>
              <w:rFonts w:ascii="仿宋" w:hAnsi="仿宋" w:eastAsia="仿宋" w:cs="仿宋"/>
              <w:spacing w:val="-2"/>
              <w:sz w:val="24"/>
              <w:szCs w:val="24"/>
            </w:rPr>
            <w:t>3.2 声环境现状监测</w:t>
          </w:r>
          <w:r>
            <w:rPr>
              <w:rFonts w:ascii="仿宋" w:hAnsi="仿宋" w:eastAsia="仿宋" w:cs="仿宋"/>
              <w:spacing w:val="-67"/>
              <w:sz w:val="24"/>
              <w:szCs w:val="24"/>
            </w:rPr>
            <w:t xml:space="preserve"> </w:t>
          </w:r>
          <w:r>
            <w:rPr>
              <w:rFonts w:ascii="仿宋" w:hAnsi="仿宋" w:eastAsia="仿宋" w:cs="仿宋"/>
              <w:sz w:val="24"/>
              <w:szCs w:val="24"/>
            </w:rPr>
            <w:tab/>
          </w:r>
          <w:r>
            <w:rPr>
              <w:rFonts w:ascii="仿宋" w:hAnsi="仿宋" w:eastAsia="仿宋" w:cs="仿宋"/>
              <w:spacing w:val="-60"/>
              <w:sz w:val="24"/>
              <w:szCs w:val="24"/>
            </w:rPr>
            <w:t xml:space="preserve"> </w:t>
          </w:r>
          <w:r>
            <w:rPr>
              <w:rFonts w:ascii="Times New Roman" w:hAnsi="Times New Roman" w:eastAsia="Times New Roman" w:cs="Times New Roman"/>
              <w:spacing w:val="-3"/>
              <w:sz w:val="24"/>
              <w:szCs w:val="24"/>
            </w:rPr>
            <w:t>24</w:t>
          </w:r>
          <w:r>
            <w:rPr>
              <w:rFonts w:ascii="Times New Roman" w:hAnsi="Times New Roman" w:eastAsia="Times New Roman" w:cs="Times New Roman"/>
              <w:spacing w:val="-3"/>
              <w:sz w:val="24"/>
              <w:szCs w:val="24"/>
            </w:rPr>
            <w:fldChar w:fldCharType="end"/>
          </w:r>
        </w:p>
        <w:p w14:paraId="2BB9F540">
          <w:pPr>
            <w:tabs>
              <w:tab w:val="right" w:leader="dot" w:pos="8317"/>
            </w:tabs>
            <w:spacing w:before="221" w:line="190" w:lineRule="auto"/>
            <w:ind w:left="867"/>
            <w:rPr>
              <w:rFonts w:ascii="Times New Roman" w:hAnsi="Times New Roman" w:eastAsia="Times New Roman" w:cs="Times New Roman"/>
              <w:sz w:val="24"/>
              <w:szCs w:val="24"/>
            </w:rPr>
          </w:pPr>
          <w:r>
            <w:fldChar w:fldCharType="begin"/>
          </w:r>
          <w:r>
            <w:instrText xml:space="preserve"> HYPERLINK \l "bookmark36" </w:instrText>
          </w:r>
          <w:r>
            <w:fldChar w:fldCharType="separate"/>
          </w:r>
          <w:r>
            <w:rPr>
              <w:rFonts w:ascii="仿宋" w:hAnsi="仿宋" w:eastAsia="仿宋" w:cs="仿宋"/>
              <w:spacing w:val="-4"/>
              <w:sz w:val="24"/>
              <w:szCs w:val="24"/>
            </w:rPr>
            <w:t>3.2.1</w:t>
          </w:r>
          <w:r>
            <w:rPr>
              <w:rFonts w:ascii="仿宋" w:hAnsi="仿宋" w:eastAsia="仿宋" w:cs="仿宋"/>
              <w:spacing w:val="-38"/>
              <w:sz w:val="24"/>
              <w:szCs w:val="24"/>
            </w:rPr>
            <w:t xml:space="preserve"> </w:t>
          </w:r>
          <w:r>
            <w:rPr>
              <w:rFonts w:ascii="仿宋" w:hAnsi="仿宋" w:eastAsia="仿宋" w:cs="仿宋"/>
              <w:spacing w:val="-4"/>
              <w:sz w:val="24"/>
              <w:szCs w:val="24"/>
            </w:rPr>
            <w:t>监测方案</w:t>
          </w:r>
          <w:r>
            <w:rPr>
              <w:rFonts w:ascii="仿宋" w:hAnsi="仿宋" w:eastAsia="仿宋" w:cs="仿宋"/>
              <w:spacing w:val="-75"/>
              <w:sz w:val="24"/>
              <w:szCs w:val="24"/>
            </w:rPr>
            <w:t xml:space="preserve"> </w:t>
          </w:r>
          <w:r>
            <w:rPr>
              <w:rFonts w:ascii="仿宋" w:hAnsi="仿宋" w:eastAsia="仿宋" w:cs="仿宋"/>
              <w:sz w:val="24"/>
              <w:szCs w:val="24"/>
            </w:rPr>
            <w:tab/>
          </w:r>
          <w:r>
            <w:rPr>
              <w:rFonts w:ascii="仿宋" w:hAnsi="仿宋" w:eastAsia="仿宋" w:cs="仿宋"/>
              <w:spacing w:val="-60"/>
              <w:sz w:val="24"/>
              <w:szCs w:val="24"/>
            </w:rPr>
            <w:t xml:space="preserve"> </w:t>
          </w:r>
          <w:r>
            <w:rPr>
              <w:rFonts w:ascii="Times New Roman" w:hAnsi="Times New Roman" w:eastAsia="Times New Roman" w:cs="Times New Roman"/>
              <w:spacing w:val="-3"/>
              <w:sz w:val="24"/>
              <w:szCs w:val="24"/>
            </w:rPr>
            <w:t>25</w:t>
          </w:r>
          <w:r>
            <w:rPr>
              <w:rFonts w:ascii="Times New Roman" w:hAnsi="Times New Roman" w:eastAsia="Times New Roman" w:cs="Times New Roman"/>
              <w:spacing w:val="-3"/>
              <w:sz w:val="24"/>
              <w:szCs w:val="24"/>
            </w:rPr>
            <w:fldChar w:fldCharType="end"/>
          </w:r>
        </w:p>
        <w:p w14:paraId="67E6C5A9">
          <w:pPr>
            <w:tabs>
              <w:tab w:val="right" w:leader="dot" w:pos="8317"/>
            </w:tabs>
            <w:spacing w:before="218" w:line="190" w:lineRule="auto"/>
            <w:ind w:left="867"/>
            <w:rPr>
              <w:rFonts w:ascii="Times New Roman" w:hAnsi="Times New Roman" w:eastAsia="Times New Roman" w:cs="Times New Roman"/>
              <w:sz w:val="24"/>
              <w:szCs w:val="24"/>
            </w:rPr>
          </w:pPr>
          <w:r>
            <w:fldChar w:fldCharType="begin"/>
          </w:r>
          <w:r>
            <w:instrText xml:space="preserve"> HYPERLINK \l "bookmark37" </w:instrText>
          </w:r>
          <w:r>
            <w:fldChar w:fldCharType="separate"/>
          </w:r>
          <w:r>
            <w:rPr>
              <w:rFonts w:ascii="仿宋" w:hAnsi="仿宋" w:eastAsia="仿宋" w:cs="仿宋"/>
              <w:spacing w:val="-3"/>
              <w:sz w:val="24"/>
              <w:szCs w:val="24"/>
            </w:rPr>
            <w:t>3.2.2</w:t>
          </w:r>
          <w:r>
            <w:rPr>
              <w:rFonts w:ascii="仿宋" w:hAnsi="仿宋" w:eastAsia="仿宋" w:cs="仿宋"/>
              <w:spacing w:val="-33"/>
              <w:sz w:val="24"/>
              <w:szCs w:val="24"/>
            </w:rPr>
            <w:t xml:space="preserve"> </w:t>
          </w:r>
          <w:r>
            <w:rPr>
              <w:rFonts w:ascii="仿宋" w:hAnsi="仿宋" w:eastAsia="仿宋" w:cs="仿宋"/>
              <w:spacing w:val="-3"/>
              <w:sz w:val="24"/>
              <w:szCs w:val="24"/>
            </w:rPr>
            <w:t>监测项目及监测方法</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60"/>
              <w:sz w:val="24"/>
              <w:szCs w:val="24"/>
            </w:rPr>
            <w:t xml:space="preserve"> </w:t>
          </w:r>
          <w:r>
            <w:rPr>
              <w:rFonts w:ascii="Times New Roman" w:hAnsi="Times New Roman" w:eastAsia="Times New Roman" w:cs="Times New Roman"/>
              <w:spacing w:val="-3"/>
              <w:sz w:val="24"/>
              <w:szCs w:val="24"/>
            </w:rPr>
            <w:t>27</w:t>
          </w:r>
          <w:r>
            <w:rPr>
              <w:rFonts w:ascii="Times New Roman" w:hAnsi="Times New Roman" w:eastAsia="Times New Roman" w:cs="Times New Roman"/>
              <w:spacing w:val="-3"/>
              <w:sz w:val="24"/>
              <w:szCs w:val="24"/>
            </w:rPr>
            <w:fldChar w:fldCharType="end"/>
          </w:r>
        </w:p>
        <w:p w14:paraId="48BA513E">
          <w:pPr>
            <w:tabs>
              <w:tab w:val="right" w:leader="dot" w:pos="8317"/>
            </w:tabs>
            <w:spacing w:before="221" w:line="190" w:lineRule="auto"/>
            <w:ind w:left="867"/>
            <w:rPr>
              <w:rFonts w:ascii="Times New Roman" w:hAnsi="Times New Roman" w:eastAsia="Times New Roman" w:cs="Times New Roman"/>
              <w:sz w:val="24"/>
              <w:szCs w:val="24"/>
            </w:rPr>
          </w:pPr>
          <w:r>
            <w:fldChar w:fldCharType="begin"/>
          </w:r>
          <w:r>
            <w:instrText xml:space="preserve"> HYPERLINK \l "bookmark38" </w:instrText>
          </w:r>
          <w:r>
            <w:fldChar w:fldCharType="separate"/>
          </w:r>
          <w:r>
            <w:rPr>
              <w:rFonts w:ascii="仿宋" w:hAnsi="仿宋" w:eastAsia="仿宋" w:cs="仿宋"/>
              <w:spacing w:val="-4"/>
              <w:sz w:val="24"/>
              <w:szCs w:val="24"/>
            </w:rPr>
            <w:t>3.2.3</w:t>
          </w:r>
          <w:r>
            <w:rPr>
              <w:rFonts w:ascii="仿宋" w:hAnsi="仿宋" w:eastAsia="仿宋" w:cs="仿宋"/>
              <w:spacing w:val="-38"/>
              <w:sz w:val="24"/>
              <w:szCs w:val="24"/>
            </w:rPr>
            <w:t xml:space="preserve"> </w:t>
          </w:r>
          <w:r>
            <w:rPr>
              <w:rFonts w:ascii="仿宋" w:hAnsi="仿宋" w:eastAsia="仿宋" w:cs="仿宋"/>
              <w:spacing w:val="-4"/>
              <w:sz w:val="24"/>
              <w:szCs w:val="24"/>
            </w:rPr>
            <w:t>监测结果</w:t>
          </w:r>
          <w:r>
            <w:rPr>
              <w:rFonts w:ascii="仿宋" w:hAnsi="仿宋" w:eastAsia="仿宋" w:cs="仿宋"/>
              <w:spacing w:val="-75"/>
              <w:sz w:val="24"/>
              <w:szCs w:val="24"/>
            </w:rPr>
            <w:t xml:space="preserve"> </w:t>
          </w:r>
          <w:r>
            <w:rPr>
              <w:rFonts w:ascii="仿宋" w:hAnsi="仿宋" w:eastAsia="仿宋" w:cs="仿宋"/>
              <w:sz w:val="24"/>
              <w:szCs w:val="24"/>
            </w:rPr>
            <w:tab/>
          </w:r>
          <w:r>
            <w:rPr>
              <w:rFonts w:ascii="仿宋" w:hAnsi="仿宋" w:eastAsia="仿宋" w:cs="仿宋"/>
              <w:spacing w:val="-55"/>
              <w:sz w:val="24"/>
              <w:szCs w:val="24"/>
            </w:rPr>
            <w:t xml:space="preserve"> </w:t>
          </w:r>
          <w:r>
            <w:rPr>
              <w:rFonts w:ascii="Times New Roman" w:hAnsi="Times New Roman" w:eastAsia="Times New Roman" w:cs="Times New Roman"/>
              <w:spacing w:val="-5"/>
              <w:sz w:val="24"/>
              <w:szCs w:val="24"/>
            </w:rPr>
            <w:t>31</w:t>
          </w:r>
          <w:r>
            <w:rPr>
              <w:rFonts w:ascii="Times New Roman" w:hAnsi="Times New Roman" w:eastAsia="Times New Roman" w:cs="Times New Roman"/>
              <w:spacing w:val="-5"/>
              <w:sz w:val="24"/>
              <w:szCs w:val="24"/>
            </w:rPr>
            <w:fldChar w:fldCharType="end"/>
          </w:r>
        </w:p>
        <w:p w14:paraId="750343BF">
          <w:pPr>
            <w:tabs>
              <w:tab w:val="right" w:leader="dot" w:pos="8317"/>
            </w:tabs>
            <w:spacing w:before="221" w:line="189" w:lineRule="auto"/>
            <w:ind w:left="867"/>
            <w:rPr>
              <w:rFonts w:ascii="Times New Roman" w:hAnsi="Times New Roman" w:eastAsia="Times New Roman" w:cs="Times New Roman"/>
              <w:sz w:val="24"/>
              <w:szCs w:val="24"/>
            </w:rPr>
          </w:pPr>
          <w:r>
            <w:fldChar w:fldCharType="begin"/>
          </w:r>
          <w:r>
            <w:instrText xml:space="preserve"> HYPERLINK \l "bookmark39" </w:instrText>
          </w:r>
          <w:r>
            <w:fldChar w:fldCharType="separate"/>
          </w:r>
          <w:r>
            <w:rPr>
              <w:rFonts w:ascii="仿宋" w:hAnsi="仿宋" w:eastAsia="仿宋" w:cs="仿宋"/>
              <w:spacing w:val="-4"/>
              <w:sz w:val="24"/>
              <w:szCs w:val="24"/>
            </w:rPr>
            <w:t>3.2.4</w:t>
          </w:r>
          <w:r>
            <w:rPr>
              <w:rFonts w:ascii="仿宋" w:hAnsi="仿宋" w:eastAsia="仿宋" w:cs="仿宋"/>
              <w:spacing w:val="21"/>
              <w:sz w:val="24"/>
              <w:szCs w:val="24"/>
            </w:rPr>
            <w:t xml:space="preserve"> </w:t>
          </w:r>
          <w:r>
            <w:rPr>
              <w:rFonts w:ascii="仿宋" w:hAnsi="仿宋" w:eastAsia="仿宋" w:cs="仿宋"/>
              <w:spacing w:val="-4"/>
              <w:sz w:val="24"/>
              <w:szCs w:val="24"/>
            </w:rPr>
            <w:t>现状评价</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5"/>
              <w:sz w:val="24"/>
              <w:szCs w:val="24"/>
            </w:rPr>
            <w:t xml:space="preserve"> </w:t>
          </w:r>
          <w:r>
            <w:rPr>
              <w:rFonts w:ascii="Times New Roman" w:hAnsi="Times New Roman" w:eastAsia="Times New Roman" w:cs="Times New Roman"/>
              <w:spacing w:val="-5"/>
              <w:sz w:val="24"/>
              <w:szCs w:val="24"/>
            </w:rPr>
            <w:t>34</w:t>
          </w:r>
          <w:r>
            <w:rPr>
              <w:rFonts w:ascii="Times New Roman" w:hAnsi="Times New Roman" w:eastAsia="Times New Roman" w:cs="Times New Roman"/>
              <w:spacing w:val="-5"/>
              <w:sz w:val="24"/>
              <w:szCs w:val="24"/>
            </w:rPr>
            <w:fldChar w:fldCharType="end"/>
          </w:r>
        </w:p>
        <w:p w14:paraId="67F937E9">
          <w:pPr>
            <w:tabs>
              <w:tab w:val="right" w:leader="dot" w:pos="8317"/>
            </w:tabs>
            <w:spacing w:before="220" w:line="190" w:lineRule="auto"/>
            <w:ind w:left="21"/>
            <w:rPr>
              <w:rFonts w:ascii="Times New Roman" w:hAnsi="Times New Roman" w:eastAsia="Times New Roman" w:cs="Times New Roman"/>
              <w:sz w:val="24"/>
              <w:szCs w:val="24"/>
            </w:rPr>
          </w:pPr>
          <w:r>
            <w:fldChar w:fldCharType="begin"/>
          </w:r>
          <w:r>
            <w:instrText xml:space="preserve"> HYPERLINK \l "bookmark40" </w:instrText>
          </w:r>
          <w:r>
            <w:fldChar w:fldCharType="separate"/>
          </w:r>
          <w:r>
            <w:rPr>
              <w:rFonts w:ascii="仿宋" w:hAnsi="仿宋" w:eastAsia="仿宋" w:cs="仿宋"/>
              <w:spacing w:val="-1"/>
              <w:sz w:val="24"/>
              <w:szCs w:val="24"/>
            </w:rPr>
            <w:t>4 声环境影响预测与评价</w:t>
          </w:r>
          <w:r>
            <w:rPr>
              <w:rFonts w:ascii="仿宋" w:hAnsi="仿宋" w:eastAsia="仿宋" w:cs="仿宋"/>
              <w:spacing w:val="-71"/>
              <w:sz w:val="24"/>
              <w:szCs w:val="24"/>
            </w:rPr>
            <w:t xml:space="preserve"> </w:t>
          </w:r>
          <w:r>
            <w:rPr>
              <w:rFonts w:ascii="仿宋" w:hAnsi="仿宋" w:eastAsia="仿宋" w:cs="仿宋"/>
              <w:sz w:val="24"/>
              <w:szCs w:val="24"/>
            </w:rPr>
            <w:tab/>
          </w:r>
          <w:r>
            <w:rPr>
              <w:rFonts w:ascii="仿宋" w:hAnsi="仿宋" w:eastAsia="仿宋" w:cs="仿宋"/>
              <w:spacing w:val="-55"/>
              <w:sz w:val="24"/>
              <w:szCs w:val="24"/>
            </w:rPr>
            <w:t xml:space="preserve"> </w:t>
          </w:r>
          <w:r>
            <w:rPr>
              <w:rFonts w:ascii="Times New Roman" w:hAnsi="Times New Roman" w:eastAsia="Times New Roman" w:cs="Times New Roman"/>
              <w:spacing w:val="-5"/>
              <w:sz w:val="24"/>
              <w:szCs w:val="24"/>
            </w:rPr>
            <w:t>36</w:t>
          </w:r>
          <w:r>
            <w:rPr>
              <w:rFonts w:ascii="Times New Roman" w:hAnsi="Times New Roman" w:eastAsia="Times New Roman" w:cs="Times New Roman"/>
              <w:spacing w:val="-5"/>
              <w:sz w:val="24"/>
              <w:szCs w:val="24"/>
            </w:rPr>
            <w:fldChar w:fldCharType="end"/>
          </w:r>
        </w:p>
        <w:p w14:paraId="00723607">
          <w:pPr>
            <w:tabs>
              <w:tab w:val="right" w:leader="dot" w:pos="8317"/>
            </w:tabs>
            <w:spacing w:before="218" w:line="190" w:lineRule="auto"/>
            <w:ind w:left="441"/>
            <w:rPr>
              <w:rFonts w:ascii="Times New Roman" w:hAnsi="Times New Roman" w:eastAsia="Times New Roman" w:cs="Times New Roman"/>
              <w:sz w:val="24"/>
              <w:szCs w:val="24"/>
            </w:rPr>
          </w:pPr>
          <w:r>
            <w:fldChar w:fldCharType="begin"/>
          </w:r>
          <w:r>
            <w:instrText xml:space="preserve"> HYPERLINK \l "bookmark41" </w:instrText>
          </w:r>
          <w:r>
            <w:fldChar w:fldCharType="separate"/>
          </w:r>
          <w:r>
            <w:rPr>
              <w:rFonts w:ascii="仿宋" w:hAnsi="仿宋" w:eastAsia="仿宋" w:cs="仿宋"/>
              <w:spacing w:val="-1"/>
              <w:sz w:val="24"/>
              <w:szCs w:val="24"/>
            </w:rPr>
            <w:t>4.1 施工期噪声影响预测评价</w:t>
          </w:r>
          <w:r>
            <w:rPr>
              <w:rFonts w:ascii="仿宋" w:hAnsi="仿宋" w:eastAsia="仿宋" w:cs="仿宋"/>
              <w:spacing w:val="-68"/>
              <w:sz w:val="24"/>
              <w:szCs w:val="24"/>
            </w:rPr>
            <w:t xml:space="preserve"> </w:t>
          </w:r>
          <w:r>
            <w:rPr>
              <w:rFonts w:ascii="仿宋" w:hAnsi="仿宋" w:eastAsia="仿宋" w:cs="仿宋"/>
              <w:sz w:val="24"/>
              <w:szCs w:val="24"/>
            </w:rPr>
            <w:tab/>
          </w:r>
          <w:r>
            <w:rPr>
              <w:rFonts w:ascii="仿宋" w:hAnsi="仿宋" w:eastAsia="仿宋" w:cs="仿宋"/>
              <w:spacing w:val="-55"/>
              <w:sz w:val="24"/>
              <w:szCs w:val="24"/>
            </w:rPr>
            <w:t xml:space="preserve"> </w:t>
          </w:r>
          <w:r>
            <w:rPr>
              <w:rFonts w:ascii="Times New Roman" w:hAnsi="Times New Roman" w:eastAsia="Times New Roman" w:cs="Times New Roman"/>
              <w:spacing w:val="-5"/>
              <w:sz w:val="24"/>
              <w:szCs w:val="24"/>
            </w:rPr>
            <w:t>36</w:t>
          </w:r>
          <w:r>
            <w:rPr>
              <w:rFonts w:ascii="Times New Roman" w:hAnsi="Times New Roman" w:eastAsia="Times New Roman" w:cs="Times New Roman"/>
              <w:spacing w:val="-5"/>
              <w:sz w:val="24"/>
              <w:szCs w:val="24"/>
            </w:rPr>
            <w:fldChar w:fldCharType="end"/>
          </w:r>
        </w:p>
        <w:p w14:paraId="3A226D60">
          <w:pPr>
            <w:tabs>
              <w:tab w:val="right" w:leader="dot" w:pos="8317"/>
            </w:tabs>
            <w:spacing w:before="221" w:line="190" w:lineRule="auto"/>
            <w:ind w:left="861"/>
            <w:rPr>
              <w:rFonts w:ascii="Times New Roman" w:hAnsi="Times New Roman" w:eastAsia="Times New Roman" w:cs="Times New Roman"/>
              <w:sz w:val="24"/>
              <w:szCs w:val="24"/>
            </w:rPr>
          </w:pPr>
          <w:r>
            <w:fldChar w:fldCharType="begin"/>
          </w:r>
          <w:r>
            <w:instrText xml:space="preserve"> HYPERLINK \l "bookmark42" </w:instrText>
          </w:r>
          <w:r>
            <w:fldChar w:fldCharType="separate"/>
          </w:r>
          <w:r>
            <w:rPr>
              <w:rFonts w:ascii="仿宋" w:hAnsi="仿宋" w:eastAsia="仿宋" w:cs="仿宋"/>
              <w:spacing w:val="-2"/>
              <w:sz w:val="24"/>
              <w:szCs w:val="24"/>
            </w:rPr>
            <w:t>4.1.1</w:t>
          </w:r>
          <w:r>
            <w:rPr>
              <w:rFonts w:ascii="仿宋" w:hAnsi="仿宋" w:eastAsia="仿宋" w:cs="仿宋"/>
              <w:spacing w:val="-37"/>
              <w:sz w:val="24"/>
              <w:szCs w:val="24"/>
            </w:rPr>
            <w:t xml:space="preserve"> </w:t>
          </w:r>
          <w:r>
            <w:rPr>
              <w:rFonts w:ascii="仿宋" w:hAnsi="仿宋" w:eastAsia="仿宋" w:cs="仿宋"/>
              <w:spacing w:val="-2"/>
              <w:sz w:val="24"/>
              <w:szCs w:val="24"/>
            </w:rPr>
            <w:t>施工期噪声污染及其特点</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5"/>
              <w:sz w:val="24"/>
              <w:szCs w:val="24"/>
            </w:rPr>
            <w:t xml:space="preserve"> </w:t>
          </w:r>
          <w:r>
            <w:rPr>
              <w:rFonts w:ascii="Times New Roman" w:hAnsi="Times New Roman" w:eastAsia="Times New Roman" w:cs="Times New Roman"/>
              <w:spacing w:val="-5"/>
              <w:sz w:val="24"/>
              <w:szCs w:val="24"/>
            </w:rPr>
            <w:t>36</w:t>
          </w:r>
          <w:r>
            <w:rPr>
              <w:rFonts w:ascii="Times New Roman" w:hAnsi="Times New Roman" w:eastAsia="Times New Roman" w:cs="Times New Roman"/>
              <w:spacing w:val="-5"/>
              <w:sz w:val="24"/>
              <w:szCs w:val="24"/>
            </w:rPr>
            <w:fldChar w:fldCharType="end"/>
          </w:r>
        </w:p>
        <w:p w14:paraId="353A15ED">
          <w:pPr>
            <w:tabs>
              <w:tab w:val="right" w:leader="dot" w:pos="8317"/>
            </w:tabs>
            <w:spacing w:before="221" w:line="190" w:lineRule="auto"/>
            <w:ind w:left="861"/>
            <w:rPr>
              <w:rFonts w:ascii="Times New Roman" w:hAnsi="Times New Roman" w:eastAsia="Times New Roman" w:cs="Times New Roman"/>
              <w:sz w:val="24"/>
              <w:szCs w:val="24"/>
            </w:rPr>
          </w:pPr>
          <w:r>
            <w:fldChar w:fldCharType="begin"/>
          </w:r>
          <w:r>
            <w:instrText xml:space="preserve"> HYPERLINK \l "bookmark43" </w:instrText>
          </w:r>
          <w:r>
            <w:fldChar w:fldCharType="separate"/>
          </w:r>
          <w:r>
            <w:rPr>
              <w:rFonts w:ascii="仿宋" w:hAnsi="仿宋" w:eastAsia="仿宋" w:cs="仿宋"/>
              <w:spacing w:val="-2"/>
              <w:sz w:val="24"/>
              <w:szCs w:val="24"/>
            </w:rPr>
            <w:t>4.1.2</w:t>
          </w:r>
          <w:r>
            <w:rPr>
              <w:rFonts w:ascii="仿宋" w:hAnsi="仿宋" w:eastAsia="仿宋" w:cs="仿宋"/>
              <w:spacing w:val="-39"/>
              <w:sz w:val="24"/>
              <w:szCs w:val="24"/>
            </w:rPr>
            <w:t xml:space="preserve"> </w:t>
          </w:r>
          <w:r>
            <w:rPr>
              <w:rFonts w:ascii="仿宋" w:hAnsi="仿宋" w:eastAsia="仿宋" w:cs="仿宋"/>
              <w:spacing w:val="-2"/>
              <w:sz w:val="24"/>
              <w:szCs w:val="24"/>
            </w:rPr>
            <w:t>各施工阶段噪声源分析</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5"/>
              <w:sz w:val="24"/>
              <w:szCs w:val="24"/>
            </w:rPr>
            <w:t xml:space="preserve"> </w:t>
          </w:r>
          <w:r>
            <w:rPr>
              <w:rFonts w:ascii="Times New Roman" w:hAnsi="Times New Roman" w:eastAsia="Times New Roman" w:cs="Times New Roman"/>
              <w:spacing w:val="-5"/>
              <w:sz w:val="24"/>
              <w:szCs w:val="24"/>
            </w:rPr>
            <w:t>37</w:t>
          </w:r>
          <w:r>
            <w:rPr>
              <w:rFonts w:ascii="Times New Roman" w:hAnsi="Times New Roman" w:eastAsia="Times New Roman" w:cs="Times New Roman"/>
              <w:spacing w:val="-5"/>
              <w:sz w:val="24"/>
              <w:szCs w:val="24"/>
            </w:rPr>
            <w:fldChar w:fldCharType="end"/>
          </w:r>
        </w:p>
        <w:p w14:paraId="43152AC7">
          <w:pPr>
            <w:tabs>
              <w:tab w:val="right" w:leader="dot" w:pos="8317"/>
            </w:tabs>
            <w:spacing w:before="219" w:line="190" w:lineRule="auto"/>
            <w:ind w:left="861"/>
            <w:rPr>
              <w:rFonts w:ascii="Times New Roman" w:hAnsi="Times New Roman" w:eastAsia="Times New Roman" w:cs="Times New Roman"/>
              <w:sz w:val="24"/>
              <w:szCs w:val="24"/>
            </w:rPr>
          </w:pPr>
          <w:r>
            <w:fldChar w:fldCharType="begin"/>
          </w:r>
          <w:r>
            <w:instrText xml:space="preserve"> HYPERLINK \l "bookmark44" </w:instrText>
          </w:r>
          <w:r>
            <w:fldChar w:fldCharType="separate"/>
          </w:r>
          <w:r>
            <w:rPr>
              <w:rFonts w:ascii="仿宋" w:hAnsi="仿宋" w:eastAsia="仿宋" w:cs="仿宋"/>
              <w:spacing w:val="-2"/>
              <w:sz w:val="24"/>
              <w:szCs w:val="24"/>
            </w:rPr>
            <w:t>4.1.3</w:t>
          </w:r>
          <w:r>
            <w:rPr>
              <w:rFonts w:ascii="仿宋" w:hAnsi="仿宋" w:eastAsia="仿宋" w:cs="仿宋"/>
              <w:spacing w:val="-33"/>
              <w:sz w:val="24"/>
              <w:szCs w:val="24"/>
            </w:rPr>
            <w:t xml:space="preserve"> </w:t>
          </w:r>
          <w:r>
            <w:rPr>
              <w:rFonts w:ascii="仿宋" w:hAnsi="仿宋" w:eastAsia="仿宋" w:cs="仿宋"/>
              <w:spacing w:val="-2"/>
              <w:sz w:val="24"/>
              <w:szCs w:val="24"/>
            </w:rPr>
            <w:t>施工噪声预测方法与预测模式</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5"/>
              <w:sz w:val="24"/>
              <w:szCs w:val="24"/>
            </w:rPr>
            <w:t xml:space="preserve"> </w:t>
          </w:r>
          <w:r>
            <w:rPr>
              <w:rFonts w:ascii="Times New Roman" w:hAnsi="Times New Roman" w:eastAsia="Times New Roman" w:cs="Times New Roman"/>
              <w:spacing w:val="-5"/>
              <w:sz w:val="24"/>
              <w:szCs w:val="24"/>
            </w:rPr>
            <w:t>38</w:t>
          </w:r>
          <w:r>
            <w:rPr>
              <w:rFonts w:ascii="Times New Roman" w:hAnsi="Times New Roman" w:eastAsia="Times New Roman" w:cs="Times New Roman"/>
              <w:spacing w:val="-5"/>
              <w:sz w:val="24"/>
              <w:szCs w:val="24"/>
            </w:rPr>
            <w:fldChar w:fldCharType="end"/>
          </w:r>
        </w:p>
        <w:p w14:paraId="620ED027">
          <w:pPr>
            <w:tabs>
              <w:tab w:val="right" w:leader="dot" w:pos="8317"/>
            </w:tabs>
            <w:spacing w:before="221" w:line="190" w:lineRule="auto"/>
            <w:ind w:left="861"/>
            <w:rPr>
              <w:rFonts w:ascii="Times New Roman" w:hAnsi="Times New Roman" w:eastAsia="Times New Roman" w:cs="Times New Roman"/>
              <w:sz w:val="24"/>
              <w:szCs w:val="24"/>
            </w:rPr>
          </w:pPr>
          <w:r>
            <w:fldChar w:fldCharType="begin"/>
          </w:r>
          <w:r>
            <w:instrText xml:space="preserve"> HYPERLINK \l "bookmark45" </w:instrText>
          </w:r>
          <w:r>
            <w:fldChar w:fldCharType="separate"/>
          </w:r>
          <w:r>
            <w:rPr>
              <w:rFonts w:ascii="仿宋" w:hAnsi="仿宋" w:eastAsia="仿宋" w:cs="仿宋"/>
              <w:spacing w:val="-2"/>
              <w:sz w:val="24"/>
              <w:szCs w:val="24"/>
            </w:rPr>
            <w:t>4.1.4</w:t>
          </w:r>
          <w:r>
            <w:rPr>
              <w:rFonts w:ascii="仿宋" w:hAnsi="仿宋" w:eastAsia="仿宋" w:cs="仿宋"/>
              <w:spacing w:val="-33"/>
              <w:sz w:val="24"/>
              <w:szCs w:val="24"/>
            </w:rPr>
            <w:t xml:space="preserve"> </w:t>
          </w:r>
          <w:r>
            <w:rPr>
              <w:rFonts w:ascii="仿宋" w:hAnsi="仿宋" w:eastAsia="仿宋" w:cs="仿宋"/>
              <w:spacing w:val="-2"/>
              <w:sz w:val="24"/>
              <w:szCs w:val="24"/>
            </w:rPr>
            <w:t>施工噪声影响范围及影响分析</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5"/>
              <w:sz w:val="24"/>
              <w:szCs w:val="24"/>
            </w:rPr>
            <w:t xml:space="preserve"> </w:t>
          </w:r>
          <w:r>
            <w:rPr>
              <w:rFonts w:ascii="Times New Roman" w:hAnsi="Times New Roman" w:eastAsia="Times New Roman" w:cs="Times New Roman"/>
              <w:spacing w:val="-5"/>
              <w:sz w:val="24"/>
              <w:szCs w:val="24"/>
            </w:rPr>
            <w:t>39</w:t>
          </w:r>
          <w:r>
            <w:rPr>
              <w:rFonts w:ascii="Times New Roman" w:hAnsi="Times New Roman" w:eastAsia="Times New Roman" w:cs="Times New Roman"/>
              <w:spacing w:val="-5"/>
              <w:sz w:val="24"/>
              <w:szCs w:val="24"/>
            </w:rPr>
            <w:fldChar w:fldCharType="end"/>
          </w:r>
        </w:p>
        <w:p w14:paraId="7EA8F066">
          <w:pPr>
            <w:tabs>
              <w:tab w:val="right" w:leader="dot" w:pos="8317"/>
            </w:tabs>
            <w:spacing w:before="219" w:line="190" w:lineRule="auto"/>
            <w:ind w:left="861"/>
            <w:rPr>
              <w:rFonts w:ascii="Times New Roman" w:hAnsi="Times New Roman" w:eastAsia="Times New Roman" w:cs="Times New Roman"/>
              <w:sz w:val="24"/>
              <w:szCs w:val="24"/>
            </w:rPr>
          </w:pPr>
          <w:r>
            <w:fldChar w:fldCharType="begin"/>
          </w:r>
          <w:r>
            <w:instrText xml:space="preserve"> HYPERLINK \l "bookmark46" </w:instrText>
          </w:r>
          <w:r>
            <w:fldChar w:fldCharType="separate"/>
          </w:r>
          <w:r>
            <w:rPr>
              <w:rFonts w:ascii="仿宋" w:hAnsi="仿宋" w:eastAsia="仿宋" w:cs="仿宋"/>
              <w:spacing w:val="-4"/>
              <w:sz w:val="24"/>
              <w:szCs w:val="24"/>
            </w:rPr>
            <w:t>4.1.5</w:t>
          </w:r>
          <w:r>
            <w:rPr>
              <w:rFonts w:ascii="仿宋" w:hAnsi="仿宋" w:eastAsia="仿宋" w:cs="仿宋"/>
              <w:spacing w:val="-25"/>
              <w:sz w:val="24"/>
              <w:szCs w:val="24"/>
            </w:rPr>
            <w:t xml:space="preserve"> </w:t>
          </w:r>
          <w:r>
            <w:rPr>
              <w:rFonts w:ascii="仿宋" w:hAnsi="仿宋" w:eastAsia="仿宋" w:cs="仿宋"/>
              <w:spacing w:val="-4"/>
              <w:sz w:val="24"/>
              <w:szCs w:val="24"/>
            </w:rPr>
            <w:t>噪声影响小结</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61"/>
              <w:sz w:val="24"/>
              <w:szCs w:val="24"/>
            </w:rPr>
            <w:t xml:space="preserve"> </w:t>
          </w:r>
          <w:r>
            <w:rPr>
              <w:rFonts w:ascii="Times New Roman" w:hAnsi="Times New Roman" w:eastAsia="Times New Roman" w:cs="Times New Roman"/>
              <w:spacing w:val="-2"/>
              <w:sz w:val="24"/>
              <w:szCs w:val="24"/>
            </w:rPr>
            <w:t>42</w:t>
          </w:r>
          <w:r>
            <w:rPr>
              <w:rFonts w:ascii="Times New Roman" w:hAnsi="Times New Roman" w:eastAsia="Times New Roman" w:cs="Times New Roman"/>
              <w:spacing w:val="-2"/>
              <w:sz w:val="24"/>
              <w:szCs w:val="24"/>
            </w:rPr>
            <w:fldChar w:fldCharType="end"/>
          </w:r>
        </w:p>
        <w:p w14:paraId="5807FA1B">
          <w:pPr>
            <w:tabs>
              <w:tab w:val="right" w:leader="dot" w:pos="8317"/>
            </w:tabs>
            <w:spacing w:before="221" w:line="189" w:lineRule="auto"/>
            <w:ind w:left="441"/>
            <w:rPr>
              <w:rFonts w:ascii="Times New Roman" w:hAnsi="Times New Roman" w:eastAsia="Times New Roman" w:cs="Times New Roman"/>
              <w:sz w:val="24"/>
              <w:szCs w:val="24"/>
            </w:rPr>
          </w:pPr>
          <w:r>
            <w:fldChar w:fldCharType="begin"/>
          </w:r>
          <w:r>
            <w:instrText xml:space="preserve"> HYPERLINK \l "bookmark47" </w:instrText>
          </w:r>
          <w:r>
            <w:fldChar w:fldCharType="separate"/>
          </w:r>
          <w:r>
            <w:rPr>
              <w:rFonts w:ascii="仿宋" w:hAnsi="仿宋" w:eastAsia="仿宋" w:cs="仿宋"/>
              <w:spacing w:val="-1"/>
              <w:sz w:val="24"/>
              <w:szCs w:val="24"/>
            </w:rPr>
            <w:t>4.2 运营期噪声影响预测评价</w:t>
          </w:r>
          <w:r>
            <w:rPr>
              <w:rFonts w:ascii="仿宋" w:hAnsi="仿宋" w:eastAsia="仿宋" w:cs="仿宋"/>
              <w:spacing w:val="-68"/>
              <w:sz w:val="24"/>
              <w:szCs w:val="24"/>
            </w:rPr>
            <w:t xml:space="preserve"> </w:t>
          </w:r>
          <w:r>
            <w:rPr>
              <w:rFonts w:ascii="仿宋" w:hAnsi="仿宋" w:eastAsia="仿宋" w:cs="仿宋"/>
              <w:sz w:val="24"/>
              <w:szCs w:val="24"/>
            </w:rPr>
            <w:tab/>
          </w:r>
          <w:r>
            <w:rPr>
              <w:rFonts w:ascii="仿宋" w:hAnsi="仿宋" w:eastAsia="仿宋" w:cs="仿宋"/>
              <w:spacing w:val="-61"/>
              <w:sz w:val="24"/>
              <w:szCs w:val="24"/>
            </w:rPr>
            <w:t xml:space="preserve"> </w:t>
          </w:r>
          <w:r>
            <w:rPr>
              <w:rFonts w:ascii="Times New Roman" w:hAnsi="Times New Roman" w:eastAsia="Times New Roman" w:cs="Times New Roman"/>
              <w:spacing w:val="-2"/>
              <w:sz w:val="24"/>
              <w:szCs w:val="24"/>
            </w:rPr>
            <w:t>43</w:t>
          </w:r>
          <w:r>
            <w:rPr>
              <w:rFonts w:ascii="Times New Roman" w:hAnsi="Times New Roman" w:eastAsia="Times New Roman" w:cs="Times New Roman"/>
              <w:spacing w:val="-2"/>
              <w:sz w:val="24"/>
              <w:szCs w:val="24"/>
            </w:rPr>
            <w:fldChar w:fldCharType="end"/>
          </w:r>
        </w:p>
        <w:p w14:paraId="183ACD3A">
          <w:pPr>
            <w:tabs>
              <w:tab w:val="right" w:leader="dot" w:pos="8317"/>
            </w:tabs>
            <w:spacing w:before="219" w:line="190" w:lineRule="auto"/>
            <w:ind w:left="861"/>
            <w:rPr>
              <w:rFonts w:ascii="Times New Roman" w:hAnsi="Times New Roman" w:eastAsia="Times New Roman" w:cs="Times New Roman"/>
              <w:sz w:val="24"/>
              <w:szCs w:val="24"/>
            </w:rPr>
          </w:pPr>
          <w:r>
            <w:fldChar w:fldCharType="begin"/>
          </w:r>
          <w:r>
            <w:instrText xml:space="preserve"> HYPERLINK \l "bookmark48" </w:instrText>
          </w:r>
          <w:r>
            <w:fldChar w:fldCharType="separate"/>
          </w:r>
          <w:r>
            <w:rPr>
              <w:rFonts w:ascii="仿宋" w:hAnsi="仿宋" w:eastAsia="仿宋" w:cs="仿宋"/>
              <w:spacing w:val="-2"/>
              <w:sz w:val="24"/>
              <w:szCs w:val="24"/>
            </w:rPr>
            <w:t>4.2.1</w:t>
          </w:r>
          <w:r>
            <w:rPr>
              <w:rFonts w:ascii="仿宋" w:hAnsi="仿宋" w:eastAsia="仿宋" w:cs="仿宋"/>
              <w:spacing w:val="-39"/>
              <w:sz w:val="24"/>
              <w:szCs w:val="24"/>
            </w:rPr>
            <w:t xml:space="preserve"> </w:t>
          </w:r>
          <w:r>
            <w:rPr>
              <w:rFonts w:ascii="仿宋" w:hAnsi="仿宋" w:eastAsia="仿宋" w:cs="仿宋"/>
              <w:spacing w:val="-2"/>
              <w:sz w:val="24"/>
              <w:szCs w:val="24"/>
            </w:rPr>
            <w:t>公路交通噪声预测模式</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61"/>
              <w:sz w:val="24"/>
              <w:szCs w:val="24"/>
            </w:rPr>
            <w:t xml:space="preserve"> </w:t>
          </w:r>
          <w:r>
            <w:rPr>
              <w:rFonts w:ascii="Times New Roman" w:hAnsi="Times New Roman" w:eastAsia="Times New Roman" w:cs="Times New Roman"/>
              <w:spacing w:val="-2"/>
              <w:sz w:val="24"/>
              <w:szCs w:val="24"/>
            </w:rPr>
            <w:t>43</w:t>
          </w:r>
          <w:r>
            <w:rPr>
              <w:rFonts w:ascii="Times New Roman" w:hAnsi="Times New Roman" w:eastAsia="Times New Roman" w:cs="Times New Roman"/>
              <w:spacing w:val="-2"/>
              <w:sz w:val="24"/>
              <w:szCs w:val="24"/>
            </w:rPr>
            <w:fldChar w:fldCharType="end"/>
          </w:r>
        </w:p>
        <w:p w14:paraId="44716496">
          <w:pPr>
            <w:tabs>
              <w:tab w:val="right" w:leader="dot" w:pos="8317"/>
            </w:tabs>
            <w:spacing w:before="221" w:line="190" w:lineRule="auto"/>
            <w:ind w:left="861"/>
            <w:rPr>
              <w:rFonts w:ascii="Times New Roman" w:hAnsi="Times New Roman" w:eastAsia="Times New Roman" w:cs="Times New Roman"/>
              <w:sz w:val="24"/>
              <w:szCs w:val="24"/>
            </w:rPr>
          </w:pPr>
          <w:r>
            <w:fldChar w:fldCharType="begin"/>
          </w:r>
          <w:r>
            <w:instrText xml:space="preserve"> HYPERLINK \l "bookmark49" </w:instrText>
          </w:r>
          <w:r>
            <w:fldChar w:fldCharType="separate"/>
          </w:r>
          <w:r>
            <w:rPr>
              <w:rFonts w:ascii="仿宋" w:hAnsi="仿宋" w:eastAsia="仿宋" w:cs="仿宋"/>
              <w:spacing w:val="-4"/>
              <w:sz w:val="24"/>
              <w:szCs w:val="24"/>
            </w:rPr>
            <w:t>4.2.2</w:t>
          </w:r>
          <w:r>
            <w:rPr>
              <w:rFonts w:ascii="仿宋" w:hAnsi="仿宋" w:eastAsia="仿宋" w:cs="仿宋"/>
              <w:spacing w:val="-25"/>
              <w:sz w:val="24"/>
              <w:szCs w:val="24"/>
            </w:rPr>
            <w:t xml:space="preserve"> </w:t>
          </w:r>
          <w:r>
            <w:rPr>
              <w:rFonts w:ascii="仿宋" w:hAnsi="仿宋" w:eastAsia="仿宋" w:cs="仿宋"/>
              <w:spacing w:val="-4"/>
              <w:sz w:val="24"/>
              <w:szCs w:val="24"/>
            </w:rPr>
            <w:t>噪声预测评价</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61"/>
              <w:sz w:val="24"/>
              <w:szCs w:val="24"/>
            </w:rPr>
            <w:t xml:space="preserve"> </w:t>
          </w:r>
          <w:r>
            <w:rPr>
              <w:rFonts w:ascii="Times New Roman" w:hAnsi="Times New Roman" w:eastAsia="Times New Roman" w:cs="Times New Roman"/>
              <w:spacing w:val="-2"/>
              <w:sz w:val="24"/>
              <w:szCs w:val="24"/>
            </w:rPr>
            <w:t>49</w:t>
          </w:r>
          <w:r>
            <w:rPr>
              <w:rFonts w:ascii="Times New Roman" w:hAnsi="Times New Roman" w:eastAsia="Times New Roman" w:cs="Times New Roman"/>
              <w:spacing w:val="-2"/>
              <w:sz w:val="24"/>
              <w:szCs w:val="24"/>
            </w:rPr>
            <w:fldChar w:fldCharType="end"/>
          </w:r>
        </w:p>
        <w:p w14:paraId="75F69554">
          <w:pPr>
            <w:tabs>
              <w:tab w:val="right" w:leader="dot" w:pos="8317"/>
            </w:tabs>
            <w:spacing w:before="219" w:line="190" w:lineRule="auto"/>
            <w:ind w:left="27"/>
            <w:rPr>
              <w:rFonts w:ascii="Times New Roman" w:hAnsi="Times New Roman" w:eastAsia="Times New Roman" w:cs="Times New Roman"/>
              <w:sz w:val="24"/>
              <w:szCs w:val="24"/>
            </w:rPr>
          </w:pPr>
          <w:r>
            <w:fldChar w:fldCharType="begin"/>
          </w:r>
          <w:r>
            <w:instrText xml:space="preserve"> HYPERLINK \l "bookmark50" </w:instrText>
          </w:r>
          <w:r>
            <w:fldChar w:fldCharType="separate"/>
          </w:r>
          <w:r>
            <w:rPr>
              <w:rFonts w:ascii="仿宋" w:hAnsi="仿宋" w:eastAsia="仿宋" w:cs="仿宋"/>
              <w:spacing w:val="-1"/>
              <w:sz w:val="24"/>
              <w:szCs w:val="24"/>
            </w:rPr>
            <w:t>5 噪声污染防治措施与可行性分析</w:t>
          </w:r>
          <w:r>
            <w:rPr>
              <w:rFonts w:ascii="仿宋" w:hAnsi="仿宋" w:eastAsia="仿宋" w:cs="仿宋"/>
              <w:spacing w:val="-73"/>
              <w:sz w:val="24"/>
              <w:szCs w:val="24"/>
            </w:rPr>
            <w:t xml:space="preserve"> </w:t>
          </w:r>
          <w:r>
            <w:rPr>
              <w:rFonts w:ascii="仿宋" w:hAnsi="仿宋" w:eastAsia="仿宋" w:cs="仿宋"/>
              <w:sz w:val="24"/>
              <w:szCs w:val="24"/>
            </w:rPr>
            <w:tab/>
          </w:r>
          <w:r>
            <w:rPr>
              <w:rFonts w:ascii="仿宋" w:hAnsi="仿宋" w:eastAsia="仿宋" w:cs="仿宋"/>
              <w:spacing w:val="-54"/>
              <w:sz w:val="24"/>
              <w:szCs w:val="24"/>
            </w:rPr>
            <w:t xml:space="preserve"> </w:t>
          </w:r>
          <w:r>
            <w:rPr>
              <w:rFonts w:ascii="Times New Roman" w:hAnsi="Times New Roman" w:eastAsia="Times New Roman" w:cs="Times New Roman"/>
              <w:spacing w:val="-6"/>
              <w:sz w:val="24"/>
              <w:szCs w:val="24"/>
            </w:rPr>
            <w:t>53</w:t>
          </w:r>
          <w:r>
            <w:rPr>
              <w:rFonts w:ascii="Times New Roman" w:hAnsi="Times New Roman" w:eastAsia="Times New Roman" w:cs="Times New Roman"/>
              <w:spacing w:val="-6"/>
              <w:sz w:val="24"/>
              <w:szCs w:val="24"/>
            </w:rPr>
            <w:fldChar w:fldCharType="end"/>
          </w:r>
        </w:p>
        <w:p w14:paraId="2F236985">
          <w:pPr>
            <w:tabs>
              <w:tab w:val="right" w:leader="dot" w:pos="8317"/>
            </w:tabs>
            <w:spacing w:before="221" w:line="190" w:lineRule="auto"/>
            <w:ind w:left="447"/>
            <w:rPr>
              <w:rFonts w:ascii="Times New Roman" w:hAnsi="Times New Roman" w:eastAsia="Times New Roman" w:cs="Times New Roman"/>
              <w:sz w:val="24"/>
              <w:szCs w:val="24"/>
            </w:rPr>
          </w:pPr>
          <w:r>
            <w:fldChar w:fldCharType="begin"/>
          </w:r>
          <w:r>
            <w:instrText xml:space="preserve"> HYPERLINK \l "bookmark51" </w:instrText>
          </w:r>
          <w:r>
            <w:fldChar w:fldCharType="separate"/>
          </w:r>
          <w:r>
            <w:rPr>
              <w:rFonts w:ascii="仿宋" w:hAnsi="仿宋" w:eastAsia="仿宋" w:cs="仿宋"/>
              <w:spacing w:val="-1"/>
              <w:sz w:val="24"/>
              <w:szCs w:val="24"/>
            </w:rPr>
            <w:t>5.1 施工期噪声防治措施及可行性分析</w:t>
          </w:r>
          <w:r>
            <w:rPr>
              <w:rFonts w:ascii="仿宋" w:hAnsi="仿宋" w:eastAsia="仿宋" w:cs="仿宋"/>
              <w:spacing w:val="-70"/>
              <w:sz w:val="24"/>
              <w:szCs w:val="24"/>
            </w:rPr>
            <w:t xml:space="preserve"> </w:t>
          </w:r>
          <w:r>
            <w:rPr>
              <w:rFonts w:ascii="仿宋" w:hAnsi="仿宋" w:eastAsia="仿宋" w:cs="仿宋"/>
              <w:sz w:val="24"/>
              <w:szCs w:val="24"/>
            </w:rPr>
            <w:tab/>
          </w:r>
          <w:r>
            <w:rPr>
              <w:rFonts w:ascii="仿宋" w:hAnsi="仿宋" w:eastAsia="仿宋" w:cs="仿宋"/>
              <w:spacing w:val="-54"/>
              <w:sz w:val="24"/>
              <w:szCs w:val="24"/>
            </w:rPr>
            <w:t xml:space="preserve"> </w:t>
          </w:r>
          <w:r>
            <w:rPr>
              <w:rFonts w:ascii="Times New Roman" w:hAnsi="Times New Roman" w:eastAsia="Times New Roman" w:cs="Times New Roman"/>
              <w:spacing w:val="-6"/>
              <w:sz w:val="24"/>
              <w:szCs w:val="24"/>
            </w:rPr>
            <w:t>53</w:t>
          </w:r>
          <w:r>
            <w:rPr>
              <w:rFonts w:ascii="Times New Roman" w:hAnsi="Times New Roman" w:eastAsia="Times New Roman" w:cs="Times New Roman"/>
              <w:spacing w:val="-6"/>
              <w:sz w:val="24"/>
              <w:szCs w:val="24"/>
            </w:rPr>
            <w:fldChar w:fldCharType="end"/>
          </w:r>
        </w:p>
        <w:p w14:paraId="402901E1">
          <w:pPr>
            <w:tabs>
              <w:tab w:val="right" w:leader="dot" w:pos="8317"/>
            </w:tabs>
            <w:spacing w:before="219" w:line="190" w:lineRule="auto"/>
            <w:ind w:left="447"/>
            <w:rPr>
              <w:rFonts w:ascii="Times New Roman" w:hAnsi="Times New Roman" w:eastAsia="Times New Roman" w:cs="Times New Roman"/>
              <w:sz w:val="24"/>
              <w:szCs w:val="24"/>
            </w:rPr>
          </w:pPr>
          <w:r>
            <w:fldChar w:fldCharType="begin"/>
          </w:r>
          <w:r>
            <w:instrText xml:space="preserve"> HYPERLINK \l "bookmark52" </w:instrText>
          </w:r>
          <w:r>
            <w:fldChar w:fldCharType="separate"/>
          </w:r>
          <w:r>
            <w:rPr>
              <w:rFonts w:ascii="仿宋" w:hAnsi="仿宋" w:eastAsia="仿宋" w:cs="仿宋"/>
              <w:spacing w:val="-1"/>
              <w:sz w:val="24"/>
              <w:szCs w:val="24"/>
            </w:rPr>
            <w:t>5.2 运营期噪声防治措施及可行性分析</w:t>
          </w:r>
          <w:r>
            <w:rPr>
              <w:rFonts w:ascii="仿宋" w:hAnsi="仿宋" w:eastAsia="仿宋" w:cs="仿宋"/>
              <w:spacing w:val="-70"/>
              <w:sz w:val="24"/>
              <w:szCs w:val="24"/>
            </w:rPr>
            <w:t xml:space="preserve"> </w:t>
          </w:r>
          <w:r>
            <w:rPr>
              <w:rFonts w:ascii="仿宋" w:hAnsi="仿宋" w:eastAsia="仿宋" w:cs="仿宋"/>
              <w:sz w:val="24"/>
              <w:szCs w:val="24"/>
            </w:rPr>
            <w:tab/>
          </w:r>
          <w:r>
            <w:rPr>
              <w:rFonts w:ascii="仿宋" w:hAnsi="仿宋" w:eastAsia="仿宋" w:cs="仿宋"/>
              <w:spacing w:val="-54"/>
              <w:sz w:val="24"/>
              <w:szCs w:val="24"/>
            </w:rPr>
            <w:t xml:space="preserve"> </w:t>
          </w:r>
          <w:r>
            <w:rPr>
              <w:rFonts w:ascii="Times New Roman" w:hAnsi="Times New Roman" w:eastAsia="Times New Roman" w:cs="Times New Roman"/>
              <w:spacing w:val="-6"/>
              <w:sz w:val="24"/>
              <w:szCs w:val="24"/>
            </w:rPr>
            <w:t>54</w:t>
          </w:r>
          <w:r>
            <w:rPr>
              <w:rFonts w:ascii="Times New Roman" w:hAnsi="Times New Roman" w:eastAsia="Times New Roman" w:cs="Times New Roman"/>
              <w:spacing w:val="-6"/>
              <w:sz w:val="24"/>
              <w:szCs w:val="24"/>
            </w:rPr>
            <w:fldChar w:fldCharType="end"/>
          </w:r>
        </w:p>
        <w:p w14:paraId="43F3F91E">
          <w:pPr>
            <w:tabs>
              <w:tab w:val="right" w:leader="dot" w:pos="8317"/>
            </w:tabs>
            <w:spacing w:before="221" w:line="190" w:lineRule="auto"/>
            <w:ind w:left="867"/>
            <w:rPr>
              <w:rFonts w:ascii="Times New Roman" w:hAnsi="Times New Roman" w:eastAsia="Times New Roman" w:cs="Times New Roman"/>
              <w:sz w:val="24"/>
              <w:szCs w:val="24"/>
            </w:rPr>
          </w:pPr>
          <w:r>
            <w:fldChar w:fldCharType="begin"/>
          </w:r>
          <w:r>
            <w:instrText xml:space="preserve"> HYPERLINK \l "bookmark53" </w:instrText>
          </w:r>
          <w:r>
            <w:fldChar w:fldCharType="separate"/>
          </w:r>
          <w:r>
            <w:rPr>
              <w:rFonts w:ascii="仿宋" w:hAnsi="仿宋" w:eastAsia="仿宋" w:cs="仿宋"/>
              <w:spacing w:val="-4"/>
              <w:sz w:val="24"/>
              <w:szCs w:val="24"/>
            </w:rPr>
            <w:t>5.2.1</w:t>
          </w:r>
          <w:r>
            <w:rPr>
              <w:rFonts w:ascii="仿宋" w:hAnsi="仿宋" w:eastAsia="仿宋" w:cs="仿宋"/>
              <w:spacing w:val="-23"/>
              <w:sz w:val="24"/>
              <w:szCs w:val="24"/>
            </w:rPr>
            <w:t xml:space="preserve"> </w:t>
          </w:r>
          <w:r>
            <w:rPr>
              <w:rFonts w:ascii="仿宋" w:hAnsi="仿宋" w:eastAsia="仿宋" w:cs="仿宋"/>
              <w:spacing w:val="-4"/>
              <w:sz w:val="24"/>
              <w:szCs w:val="24"/>
            </w:rPr>
            <w:t>噪声防治措施体系</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4"/>
              <w:sz w:val="24"/>
              <w:szCs w:val="24"/>
            </w:rPr>
            <w:t xml:space="preserve"> </w:t>
          </w:r>
          <w:r>
            <w:rPr>
              <w:rFonts w:ascii="Times New Roman" w:hAnsi="Times New Roman" w:eastAsia="Times New Roman" w:cs="Times New Roman"/>
              <w:spacing w:val="-6"/>
              <w:sz w:val="24"/>
              <w:szCs w:val="24"/>
            </w:rPr>
            <w:t>54</w:t>
          </w:r>
          <w:r>
            <w:rPr>
              <w:rFonts w:ascii="Times New Roman" w:hAnsi="Times New Roman" w:eastAsia="Times New Roman" w:cs="Times New Roman"/>
              <w:spacing w:val="-6"/>
              <w:sz w:val="24"/>
              <w:szCs w:val="24"/>
            </w:rPr>
            <w:fldChar w:fldCharType="end"/>
          </w:r>
        </w:p>
        <w:p w14:paraId="74879A71">
          <w:pPr>
            <w:tabs>
              <w:tab w:val="right" w:leader="dot" w:pos="8317"/>
            </w:tabs>
            <w:spacing w:before="221" w:line="190" w:lineRule="auto"/>
            <w:ind w:left="867"/>
            <w:rPr>
              <w:rFonts w:ascii="Times New Roman" w:hAnsi="Times New Roman" w:eastAsia="Times New Roman" w:cs="Times New Roman"/>
              <w:sz w:val="24"/>
              <w:szCs w:val="24"/>
            </w:rPr>
          </w:pPr>
          <w:r>
            <w:fldChar w:fldCharType="begin"/>
          </w:r>
          <w:r>
            <w:instrText xml:space="preserve"> HYPERLINK \l "bookmark54" </w:instrText>
          </w:r>
          <w:r>
            <w:fldChar w:fldCharType="separate"/>
          </w:r>
          <w:r>
            <w:rPr>
              <w:rFonts w:ascii="仿宋" w:hAnsi="仿宋" w:eastAsia="仿宋" w:cs="仿宋"/>
              <w:spacing w:val="-4"/>
              <w:sz w:val="24"/>
              <w:szCs w:val="24"/>
            </w:rPr>
            <w:t>5.2.2</w:t>
          </w:r>
          <w:r>
            <w:rPr>
              <w:rFonts w:ascii="仿宋" w:hAnsi="仿宋" w:eastAsia="仿宋" w:cs="仿宋"/>
              <w:spacing w:val="41"/>
              <w:sz w:val="24"/>
              <w:szCs w:val="24"/>
            </w:rPr>
            <w:t xml:space="preserve"> </w:t>
          </w:r>
          <w:r>
            <w:rPr>
              <w:rFonts w:ascii="仿宋" w:hAnsi="仿宋" w:eastAsia="仿宋" w:cs="仿宋"/>
              <w:spacing w:val="-4"/>
              <w:sz w:val="24"/>
              <w:szCs w:val="24"/>
            </w:rPr>
            <w:t>防治措施可行性分析</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4"/>
              <w:sz w:val="24"/>
              <w:szCs w:val="24"/>
            </w:rPr>
            <w:t xml:space="preserve"> </w:t>
          </w:r>
          <w:r>
            <w:rPr>
              <w:rFonts w:ascii="Times New Roman" w:hAnsi="Times New Roman" w:eastAsia="Times New Roman" w:cs="Times New Roman"/>
              <w:spacing w:val="-6"/>
              <w:sz w:val="24"/>
              <w:szCs w:val="24"/>
            </w:rPr>
            <w:t>56</w:t>
          </w:r>
          <w:r>
            <w:rPr>
              <w:rFonts w:ascii="Times New Roman" w:hAnsi="Times New Roman" w:eastAsia="Times New Roman" w:cs="Times New Roman"/>
              <w:spacing w:val="-6"/>
              <w:sz w:val="24"/>
              <w:szCs w:val="24"/>
            </w:rPr>
            <w:fldChar w:fldCharType="end"/>
          </w:r>
        </w:p>
        <w:p w14:paraId="2B568147">
          <w:pPr>
            <w:tabs>
              <w:tab w:val="right" w:leader="dot" w:pos="8317"/>
            </w:tabs>
            <w:spacing w:before="219" w:line="189" w:lineRule="auto"/>
            <w:ind w:left="867"/>
            <w:rPr>
              <w:rFonts w:ascii="Times New Roman" w:hAnsi="Times New Roman" w:eastAsia="Times New Roman" w:cs="Times New Roman"/>
              <w:sz w:val="24"/>
              <w:szCs w:val="24"/>
            </w:rPr>
          </w:pPr>
          <w:r>
            <w:fldChar w:fldCharType="begin"/>
          </w:r>
          <w:r>
            <w:instrText xml:space="preserve"> HYPERLINK \l "bookmark55" </w:instrText>
          </w:r>
          <w:r>
            <w:fldChar w:fldCharType="separate"/>
          </w:r>
          <w:r>
            <w:rPr>
              <w:rFonts w:ascii="仿宋" w:hAnsi="仿宋" w:eastAsia="仿宋" w:cs="仿宋"/>
              <w:spacing w:val="-3"/>
              <w:sz w:val="24"/>
              <w:szCs w:val="24"/>
            </w:rPr>
            <w:t>5.2.3</w:t>
          </w:r>
          <w:r>
            <w:rPr>
              <w:rFonts w:ascii="仿宋" w:hAnsi="仿宋" w:eastAsia="仿宋" w:cs="仿宋"/>
              <w:spacing w:val="-42"/>
              <w:sz w:val="24"/>
              <w:szCs w:val="24"/>
            </w:rPr>
            <w:t xml:space="preserve"> </w:t>
          </w:r>
          <w:r>
            <w:rPr>
              <w:rFonts w:ascii="仿宋" w:hAnsi="仿宋" w:eastAsia="仿宋" w:cs="仿宋"/>
              <w:spacing w:val="-3"/>
              <w:sz w:val="24"/>
              <w:szCs w:val="24"/>
            </w:rPr>
            <w:t>综合评价结论</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4"/>
              <w:sz w:val="24"/>
              <w:szCs w:val="24"/>
            </w:rPr>
            <w:t xml:space="preserve"> </w:t>
          </w:r>
          <w:r>
            <w:rPr>
              <w:rFonts w:ascii="Times New Roman" w:hAnsi="Times New Roman" w:eastAsia="Times New Roman" w:cs="Times New Roman"/>
              <w:spacing w:val="-6"/>
              <w:sz w:val="24"/>
              <w:szCs w:val="24"/>
            </w:rPr>
            <w:t>56</w:t>
          </w:r>
          <w:r>
            <w:rPr>
              <w:rFonts w:ascii="Times New Roman" w:hAnsi="Times New Roman" w:eastAsia="Times New Roman" w:cs="Times New Roman"/>
              <w:spacing w:val="-6"/>
              <w:sz w:val="24"/>
              <w:szCs w:val="24"/>
            </w:rPr>
            <w:fldChar w:fldCharType="end"/>
          </w:r>
        </w:p>
        <w:p w14:paraId="493C802D">
          <w:pPr>
            <w:tabs>
              <w:tab w:val="right" w:leader="dot" w:pos="8317"/>
            </w:tabs>
            <w:spacing w:before="219" w:line="190" w:lineRule="auto"/>
            <w:ind w:left="24"/>
            <w:rPr>
              <w:rFonts w:ascii="Times New Roman" w:hAnsi="Times New Roman" w:eastAsia="Times New Roman" w:cs="Times New Roman"/>
              <w:sz w:val="24"/>
              <w:szCs w:val="24"/>
            </w:rPr>
          </w:pPr>
          <w:r>
            <w:fldChar w:fldCharType="begin"/>
          </w:r>
          <w:r>
            <w:instrText xml:space="preserve"> HYPERLINK \l "bookmark56" </w:instrText>
          </w:r>
          <w:r>
            <w:fldChar w:fldCharType="separate"/>
          </w:r>
          <w:r>
            <w:rPr>
              <w:rFonts w:ascii="仿宋" w:hAnsi="仿宋" w:eastAsia="仿宋" w:cs="仿宋"/>
              <w:spacing w:val="-4"/>
              <w:sz w:val="24"/>
              <w:szCs w:val="24"/>
            </w:rPr>
            <w:t>6</w:t>
          </w:r>
          <w:r>
            <w:rPr>
              <w:rFonts w:ascii="仿宋" w:hAnsi="仿宋" w:eastAsia="仿宋" w:cs="仿宋"/>
              <w:spacing w:val="36"/>
              <w:sz w:val="24"/>
              <w:szCs w:val="24"/>
            </w:rPr>
            <w:t xml:space="preserve"> </w:t>
          </w:r>
          <w:r>
            <w:rPr>
              <w:rFonts w:ascii="仿宋" w:hAnsi="仿宋" w:eastAsia="仿宋" w:cs="仿宋"/>
              <w:spacing w:val="-4"/>
              <w:sz w:val="24"/>
              <w:szCs w:val="24"/>
            </w:rPr>
            <w:t>噪声环境管理与监测计划</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4"/>
              <w:sz w:val="24"/>
              <w:szCs w:val="24"/>
            </w:rPr>
            <w:t xml:space="preserve"> </w:t>
          </w:r>
          <w:r>
            <w:rPr>
              <w:rFonts w:ascii="Times New Roman" w:hAnsi="Times New Roman" w:eastAsia="Times New Roman" w:cs="Times New Roman"/>
              <w:spacing w:val="-6"/>
              <w:sz w:val="24"/>
              <w:szCs w:val="24"/>
            </w:rPr>
            <w:t>57</w:t>
          </w:r>
          <w:r>
            <w:rPr>
              <w:rFonts w:ascii="Times New Roman" w:hAnsi="Times New Roman" w:eastAsia="Times New Roman" w:cs="Times New Roman"/>
              <w:spacing w:val="-6"/>
              <w:sz w:val="24"/>
              <w:szCs w:val="24"/>
            </w:rPr>
            <w:fldChar w:fldCharType="end"/>
          </w:r>
        </w:p>
        <w:p w14:paraId="226C04CA">
          <w:pPr>
            <w:tabs>
              <w:tab w:val="right" w:leader="dot" w:pos="8317"/>
            </w:tabs>
            <w:spacing w:before="221" w:line="190" w:lineRule="auto"/>
            <w:ind w:left="444"/>
            <w:rPr>
              <w:rFonts w:ascii="Times New Roman" w:hAnsi="Times New Roman" w:eastAsia="Times New Roman" w:cs="Times New Roman"/>
              <w:sz w:val="24"/>
              <w:szCs w:val="24"/>
            </w:rPr>
          </w:pPr>
          <w:r>
            <w:fldChar w:fldCharType="begin"/>
          </w:r>
          <w:r>
            <w:instrText xml:space="preserve"> HYPERLINK \l "bookmark57" </w:instrText>
          </w:r>
          <w:r>
            <w:fldChar w:fldCharType="separate"/>
          </w:r>
          <w:r>
            <w:rPr>
              <w:rFonts w:ascii="仿宋" w:hAnsi="仿宋" w:eastAsia="仿宋" w:cs="仿宋"/>
              <w:spacing w:val="-3"/>
              <w:sz w:val="24"/>
              <w:szCs w:val="24"/>
            </w:rPr>
            <w:t>6.1</w:t>
          </w:r>
          <w:r>
            <w:rPr>
              <w:rFonts w:ascii="仿宋" w:hAnsi="仿宋" w:eastAsia="仿宋" w:cs="仿宋"/>
              <w:spacing w:val="15"/>
              <w:sz w:val="24"/>
              <w:szCs w:val="24"/>
            </w:rPr>
            <w:t xml:space="preserve"> </w:t>
          </w:r>
          <w:r>
            <w:rPr>
              <w:rFonts w:ascii="仿宋" w:hAnsi="仿宋" w:eastAsia="仿宋" w:cs="仿宋"/>
              <w:spacing w:val="-3"/>
              <w:sz w:val="24"/>
              <w:szCs w:val="24"/>
            </w:rPr>
            <w:t>环境管理要求</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4"/>
              <w:sz w:val="24"/>
              <w:szCs w:val="24"/>
            </w:rPr>
            <w:t xml:space="preserve"> </w:t>
          </w:r>
          <w:r>
            <w:rPr>
              <w:rFonts w:ascii="Times New Roman" w:hAnsi="Times New Roman" w:eastAsia="Times New Roman" w:cs="Times New Roman"/>
              <w:spacing w:val="-6"/>
              <w:sz w:val="24"/>
              <w:szCs w:val="24"/>
            </w:rPr>
            <w:t>57</w:t>
          </w:r>
          <w:r>
            <w:rPr>
              <w:rFonts w:ascii="Times New Roman" w:hAnsi="Times New Roman" w:eastAsia="Times New Roman" w:cs="Times New Roman"/>
              <w:spacing w:val="-6"/>
              <w:sz w:val="24"/>
              <w:szCs w:val="24"/>
            </w:rPr>
            <w:fldChar w:fldCharType="end"/>
          </w:r>
        </w:p>
        <w:p w14:paraId="683325D1">
          <w:pPr>
            <w:tabs>
              <w:tab w:val="right" w:leader="dot" w:pos="8317"/>
            </w:tabs>
            <w:spacing w:before="219" w:line="190" w:lineRule="auto"/>
            <w:ind w:left="444"/>
            <w:rPr>
              <w:rFonts w:ascii="Times New Roman" w:hAnsi="Times New Roman" w:eastAsia="Times New Roman" w:cs="Times New Roman"/>
              <w:sz w:val="24"/>
              <w:szCs w:val="24"/>
            </w:rPr>
          </w:pPr>
          <w:r>
            <w:fldChar w:fldCharType="begin"/>
          </w:r>
          <w:r>
            <w:instrText xml:space="preserve"> HYPERLINK \l "bookmark58" </w:instrText>
          </w:r>
          <w:r>
            <w:fldChar w:fldCharType="separate"/>
          </w:r>
          <w:r>
            <w:rPr>
              <w:rFonts w:ascii="仿宋" w:hAnsi="仿宋" w:eastAsia="仿宋" w:cs="仿宋"/>
              <w:spacing w:val="-5"/>
              <w:sz w:val="24"/>
              <w:szCs w:val="24"/>
            </w:rPr>
            <w:t>6.2</w:t>
          </w:r>
          <w:r>
            <w:rPr>
              <w:rFonts w:ascii="仿宋" w:hAnsi="仿宋" w:eastAsia="仿宋" w:cs="仿宋"/>
              <w:spacing w:val="33"/>
              <w:sz w:val="24"/>
              <w:szCs w:val="24"/>
            </w:rPr>
            <w:t xml:space="preserve"> </w:t>
          </w:r>
          <w:r>
            <w:rPr>
              <w:rFonts w:ascii="仿宋" w:hAnsi="仿宋" w:eastAsia="仿宋" w:cs="仿宋"/>
              <w:spacing w:val="-5"/>
              <w:sz w:val="24"/>
              <w:szCs w:val="24"/>
            </w:rPr>
            <w:t>噪声监测计划</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4"/>
              <w:sz w:val="24"/>
              <w:szCs w:val="24"/>
            </w:rPr>
            <w:t xml:space="preserve"> </w:t>
          </w:r>
          <w:r>
            <w:rPr>
              <w:rFonts w:ascii="Times New Roman" w:hAnsi="Times New Roman" w:eastAsia="Times New Roman" w:cs="Times New Roman"/>
              <w:spacing w:val="-6"/>
              <w:sz w:val="24"/>
              <w:szCs w:val="24"/>
            </w:rPr>
            <w:t>58</w:t>
          </w:r>
          <w:r>
            <w:rPr>
              <w:rFonts w:ascii="Times New Roman" w:hAnsi="Times New Roman" w:eastAsia="Times New Roman" w:cs="Times New Roman"/>
              <w:spacing w:val="-6"/>
              <w:sz w:val="24"/>
              <w:szCs w:val="24"/>
            </w:rPr>
            <w:fldChar w:fldCharType="end"/>
          </w:r>
        </w:p>
        <w:p w14:paraId="6B17DCB2">
          <w:pPr>
            <w:tabs>
              <w:tab w:val="right" w:leader="dot" w:pos="8317"/>
            </w:tabs>
            <w:spacing w:before="222" w:line="222" w:lineRule="auto"/>
            <w:ind w:left="28"/>
            <w:rPr>
              <w:rFonts w:ascii="Times New Roman" w:hAnsi="Times New Roman" w:eastAsia="Times New Roman" w:cs="Times New Roman"/>
              <w:sz w:val="24"/>
              <w:szCs w:val="24"/>
            </w:rPr>
          </w:pPr>
          <w:r>
            <w:fldChar w:fldCharType="begin"/>
          </w:r>
          <w:r>
            <w:instrText xml:space="preserve"> HYPERLINK \l "bookmark59" </w:instrText>
          </w:r>
          <w:r>
            <w:fldChar w:fldCharType="separate"/>
          </w:r>
          <w:r>
            <w:rPr>
              <w:rFonts w:ascii="仿宋" w:hAnsi="仿宋" w:eastAsia="仿宋" w:cs="仿宋"/>
              <w:spacing w:val="-7"/>
              <w:sz w:val="24"/>
              <w:szCs w:val="24"/>
            </w:rPr>
            <w:t>7</w:t>
          </w:r>
          <w:r>
            <w:rPr>
              <w:rFonts w:ascii="仿宋" w:hAnsi="仿宋" w:eastAsia="仿宋" w:cs="仿宋"/>
              <w:spacing w:val="19"/>
              <w:sz w:val="24"/>
              <w:szCs w:val="24"/>
            </w:rPr>
            <w:t xml:space="preserve"> </w:t>
          </w:r>
          <w:r>
            <w:rPr>
              <w:rFonts w:ascii="仿宋" w:hAnsi="仿宋" w:eastAsia="仿宋" w:cs="仿宋"/>
              <w:spacing w:val="-7"/>
              <w:sz w:val="24"/>
              <w:szCs w:val="24"/>
            </w:rPr>
            <w:t>评价结论</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4"/>
              <w:sz w:val="24"/>
              <w:szCs w:val="24"/>
            </w:rPr>
            <w:t xml:space="preserve"> </w:t>
          </w:r>
          <w:r>
            <w:rPr>
              <w:rFonts w:ascii="Times New Roman" w:hAnsi="Times New Roman" w:eastAsia="Times New Roman" w:cs="Times New Roman"/>
              <w:spacing w:val="-6"/>
              <w:sz w:val="24"/>
              <w:szCs w:val="24"/>
            </w:rPr>
            <w:t>59</w:t>
          </w:r>
          <w:r>
            <w:rPr>
              <w:rFonts w:ascii="Times New Roman" w:hAnsi="Times New Roman" w:eastAsia="Times New Roman" w:cs="Times New Roman"/>
              <w:spacing w:val="-6"/>
              <w:sz w:val="24"/>
              <w:szCs w:val="24"/>
            </w:rPr>
            <w:fldChar w:fldCharType="end"/>
          </w:r>
        </w:p>
      </w:sdtContent>
    </w:sdt>
    <w:p w14:paraId="79E0926C">
      <w:pPr>
        <w:spacing w:line="222" w:lineRule="auto"/>
        <w:rPr>
          <w:rFonts w:ascii="Times New Roman" w:hAnsi="Times New Roman" w:eastAsia="Times New Roman" w:cs="Times New Roman"/>
          <w:sz w:val="24"/>
          <w:szCs w:val="24"/>
        </w:rPr>
        <w:sectPr>
          <w:pgSz w:w="11905" w:h="16840"/>
          <w:pgMar w:top="400" w:right="1785" w:bottom="400" w:left="1785" w:header="0" w:footer="0" w:gutter="0"/>
          <w:cols w:space="720" w:num="1"/>
        </w:sectPr>
      </w:pPr>
    </w:p>
    <w:p w14:paraId="6F0D463F">
      <w:pPr>
        <w:pStyle w:val="2"/>
        <w:rPr>
          <w:sz w:val="21"/>
        </w:rPr>
      </w:pPr>
    </w:p>
    <w:p w14:paraId="2C88EF99">
      <w:pPr>
        <w:rPr>
          <w:sz w:val="21"/>
          <w:szCs w:val="21"/>
        </w:rPr>
        <w:sectPr>
          <w:pgSz w:w="11905" w:h="16840"/>
          <w:pgMar w:top="0" w:right="0" w:bottom="0" w:left="0" w:header="0" w:footer="0" w:gutter="0"/>
          <w:cols w:space="720" w:num="1"/>
        </w:sectPr>
      </w:pPr>
    </w:p>
    <w:p w14:paraId="675C89E3">
      <w:pPr>
        <w:pStyle w:val="2"/>
        <w:spacing w:line="272" w:lineRule="auto"/>
        <w:rPr>
          <w:sz w:val="21"/>
        </w:rPr>
      </w:pPr>
    </w:p>
    <w:p w14:paraId="4EFDEF0D">
      <w:pPr>
        <w:pStyle w:val="2"/>
        <w:spacing w:line="272" w:lineRule="auto"/>
        <w:rPr>
          <w:sz w:val="21"/>
        </w:rPr>
      </w:pPr>
    </w:p>
    <w:p w14:paraId="7B1E1C26">
      <w:pPr>
        <w:pStyle w:val="2"/>
        <w:spacing w:line="273" w:lineRule="auto"/>
        <w:rPr>
          <w:sz w:val="21"/>
        </w:rPr>
      </w:pPr>
    </w:p>
    <w:p w14:paraId="72174860">
      <w:pPr>
        <w:pStyle w:val="2"/>
        <w:spacing w:line="273" w:lineRule="auto"/>
        <w:rPr>
          <w:sz w:val="21"/>
        </w:rPr>
      </w:pPr>
    </w:p>
    <w:p w14:paraId="3441EF8A">
      <w:pPr>
        <w:spacing w:before="114" w:line="228" w:lineRule="auto"/>
        <w:ind w:left="36"/>
        <w:outlineLvl w:val="0"/>
        <w:rPr>
          <w:rFonts w:ascii="仿宋" w:hAnsi="仿宋" w:eastAsia="仿宋" w:cs="仿宋"/>
          <w:sz w:val="35"/>
          <w:szCs w:val="35"/>
        </w:rPr>
      </w:pPr>
      <w:bookmarkStart w:id="0" w:name="bookmark3"/>
      <w:bookmarkEnd w:id="0"/>
      <w:r>
        <w:rPr>
          <w:rFonts w:ascii="仿宋" w:hAnsi="仿宋" w:eastAsia="仿宋" w:cs="仿宋"/>
          <w:b/>
          <w:bCs/>
          <w:spacing w:val="-4"/>
          <w:sz w:val="35"/>
          <w:szCs w:val="35"/>
        </w:rPr>
        <w:t>概述</w:t>
      </w:r>
    </w:p>
    <w:p w14:paraId="3A87AA69">
      <w:pPr>
        <w:pStyle w:val="2"/>
        <w:spacing w:line="434" w:lineRule="auto"/>
        <w:rPr>
          <w:sz w:val="21"/>
        </w:rPr>
      </w:pPr>
    </w:p>
    <w:p w14:paraId="603F424B">
      <w:pPr>
        <w:spacing w:before="78" w:line="359" w:lineRule="auto"/>
        <w:ind w:left="29" w:right="137" w:firstLine="481"/>
        <w:jc w:val="both"/>
        <w:rPr>
          <w:rFonts w:ascii="仿宋" w:hAnsi="仿宋" w:eastAsia="仿宋" w:cs="仿宋"/>
          <w:sz w:val="24"/>
          <w:szCs w:val="24"/>
        </w:rPr>
      </w:pPr>
      <w:r>
        <w:rPr>
          <w:rFonts w:ascii="仿宋" w:hAnsi="仿宋" w:eastAsia="仿宋" w:cs="仿宋"/>
          <w:spacing w:val="-4"/>
          <w:sz w:val="24"/>
          <w:szCs w:val="24"/>
        </w:rPr>
        <w:t>本项目为准格尔旗农村四级公路硬化建设工程，线路横跨沙圪堵镇与十二连</w:t>
      </w:r>
      <w:r>
        <w:rPr>
          <w:rFonts w:ascii="仿宋" w:hAnsi="仿宋" w:eastAsia="仿宋" w:cs="仿宋"/>
          <w:spacing w:val="-3"/>
          <w:sz w:val="24"/>
          <w:szCs w:val="24"/>
        </w:rPr>
        <w:t>城乡两个乡镇，涉及沙圪堵镇双山梁村、四道包村、乌拉素村</w:t>
      </w:r>
      <w:r>
        <w:rPr>
          <w:rFonts w:ascii="仿宋" w:hAnsi="仿宋" w:eastAsia="仿宋" w:cs="仿宋"/>
          <w:spacing w:val="-4"/>
          <w:sz w:val="24"/>
          <w:szCs w:val="24"/>
        </w:rPr>
        <w:t>及十二连城乡柴登</w:t>
      </w:r>
      <w:r>
        <w:rPr>
          <w:rFonts w:ascii="仿宋" w:hAnsi="仿宋" w:eastAsia="仿宋" w:cs="仿宋"/>
          <w:spacing w:val="-9"/>
          <w:sz w:val="24"/>
          <w:szCs w:val="24"/>
        </w:rPr>
        <w:t>村、二道拐村、脑包湾村、杨子华村，共计两镇七村。项目路线总全长</w:t>
      </w:r>
      <w:r>
        <w:rPr>
          <w:rFonts w:ascii="仿宋" w:hAnsi="仿宋" w:eastAsia="仿宋" w:cs="仿宋"/>
          <w:spacing w:val="-47"/>
          <w:sz w:val="24"/>
          <w:szCs w:val="24"/>
        </w:rPr>
        <w:t xml:space="preserve"> </w:t>
      </w:r>
      <w:r>
        <w:rPr>
          <w:rFonts w:ascii="仿宋" w:hAnsi="仿宋" w:eastAsia="仿宋" w:cs="仿宋"/>
          <w:spacing w:val="-9"/>
          <w:sz w:val="24"/>
          <w:szCs w:val="24"/>
        </w:rPr>
        <w:t>26.508km，</w:t>
      </w:r>
      <w:r>
        <w:rPr>
          <w:rFonts w:ascii="仿宋" w:hAnsi="仿宋" w:eastAsia="仿宋" w:cs="仿宋"/>
          <w:spacing w:val="6"/>
          <w:sz w:val="24"/>
          <w:szCs w:val="24"/>
        </w:rPr>
        <w:t>其中沙圪堵镇段路线总长</w:t>
      </w:r>
      <w:r>
        <w:rPr>
          <w:rFonts w:ascii="仿宋" w:hAnsi="仿宋" w:eastAsia="仿宋" w:cs="仿宋"/>
          <w:spacing w:val="-13"/>
          <w:sz w:val="24"/>
          <w:szCs w:val="24"/>
        </w:rPr>
        <w:t xml:space="preserve"> </w:t>
      </w:r>
      <w:r>
        <w:rPr>
          <w:rFonts w:ascii="仿宋" w:hAnsi="仿宋" w:eastAsia="仿宋" w:cs="仿宋"/>
          <w:spacing w:val="6"/>
          <w:sz w:val="24"/>
          <w:szCs w:val="24"/>
        </w:rPr>
        <w:t>11.366</w:t>
      </w:r>
      <w:r>
        <w:rPr>
          <w:rFonts w:ascii="仿宋" w:hAnsi="仿宋" w:eastAsia="仿宋" w:cs="仿宋"/>
          <w:sz w:val="24"/>
          <w:szCs w:val="24"/>
        </w:rPr>
        <w:t>km</w:t>
      </w:r>
      <w:r>
        <w:rPr>
          <w:rFonts w:ascii="仿宋" w:hAnsi="仿宋" w:eastAsia="仿宋" w:cs="仿宋"/>
          <w:spacing w:val="6"/>
          <w:sz w:val="24"/>
          <w:szCs w:val="24"/>
        </w:rPr>
        <w:t>，包含</w:t>
      </w:r>
      <w:r>
        <w:rPr>
          <w:rFonts w:ascii="仿宋" w:hAnsi="仿宋" w:eastAsia="仿宋" w:cs="仿宋"/>
          <w:spacing w:val="-40"/>
          <w:sz w:val="24"/>
          <w:szCs w:val="24"/>
        </w:rPr>
        <w:t xml:space="preserve"> </w:t>
      </w:r>
      <w:r>
        <w:rPr>
          <w:rFonts w:ascii="仿宋" w:hAnsi="仿宋" w:eastAsia="仿宋" w:cs="仿宋"/>
          <w:spacing w:val="6"/>
          <w:sz w:val="24"/>
          <w:szCs w:val="24"/>
        </w:rPr>
        <w:t>4</w:t>
      </w:r>
      <w:r>
        <w:rPr>
          <w:rFonts w:ascii="仿宋" w:hAnsi="仿宋" w:eastAsia="仿宋" w:cs="仿宋"/>
          <w:spacing w:val="-30"/>
          <w:sz w:val="24"/>
          <w:szCs w:val="24"/>
        </w:rPr>
        <w:t xml:space="preserve"> </w:t>
      </w:r>
      <w:r>
        <w:rPr>
          <w:rFonts w:ascii="仿宋" w:hAnsi="仿宋" w:eastAsia="仿宋" w:cs="仿宋"/>
          <w:spacing w:val="6"/>
          <w:sz w:val="24"/>
          <w:szCs w:val="24"/>
        </w:rPr>
        <w:t>条线路；十二连城乡段路线总长</w:t>
      </w:r>
      <w:r>
        <w:rPr>
          <w:rFonts w:ascii="仿宋" w:hAnsi="仿宋" w:eastAsia="仿宋" w:cs="仿宋"/>
          <w:spacing w:val="-2"/>
          <w:sz w:val="24"/>
          <w:szCs w:val="24"/>
        </w:rPr>
        <w:t>15.142km，包含6</w:t>
      </w:r>
      <w:r>
        <w:rPr>
          <w:rFonts w:ascii="仿宋" w:hAnsi="仿宋" w:eastAsia="仿宋" w:cs="仿宋"/>
          <w:spacing w:val="-35"/>
          <w:sz w:val="24"/>
          <w:szCs w:val="24"/>
        </w:rPr>
        <w:t xml:space="preserve"> </w:t>
      </w:r>
      <w:r>
        <w:rPr>
          <w:rFonts w:ascii="仿宋" w:hAnsi="仿宋" w:eastAsia="仿宋" w:cs="仿宋"/>
          <w:spacing w:val="-2"/>
          <w:sz w:val="24"/>
          <w:szCs w:val="24"/>
        </w:rPr>
        <w:t>条线路，全线为新建农村通村硬化公路。全线按四级公路标准</w:t>
      </w:r>
      <w:r>
        <w:rPr>
          <w:rFonts w:ascii="仿宋" w:hAnsi="仿宋" w:eastAsia="仿宋" w:cs="仿宋"/>
          <w:sz w:val="24"/>
          <w:szCs w:val="24"/>
        </w:rPr>
        <w:t>设计，统一采用</w:t>
      </w:r>
      <w:r>
        <w:rPr>
          <w:rFonts w:ascii="仿宋" w:hAnsi="仿宋" w:eastAsia="仿宋" w:cs="仿宋"/>
          <w:spacing w:val="-31"/>
          <w:sz w:val="24"/>
          <w:szCs w:val="24"/>
        </w:rPr>
        <w:t xml:space="preserve"> </w:t>
      </w:r>
      <w:r>
        <w:rPr>
          <w:rFonts w:ascii="仿宋" w:hAnsi="仿宋" w:eastAsia="仿宋" w:cs="仿宋"/>
          <w:sz w:val="24"/>
          <w:szCs w:val="24"/>
        </w:rPr>
        <w:t>15km/h</w:t>
      </w:r>
      <w:r>
        <w:rPr>
          <w:rFonts w:ascii="仿宋" w:hAnsi="仿宋" w:eastAsia="仿宋" w:cs="仿宋"/>
          <w:spacing w:val="-43"/>
          <w:sz w:val="24"/>
          <w:szCs w:val="24"/>
        </w:rPr>
        <w:t xml:space="preserve"> </w:t>
      </w:r>
      <w:r>
        <w:rPr>
          <w:rFonts w:ascii="仿宋" w:hAnsi="仿宋" w:eastAsia="仿宋" w:cs="仿宋"/>
          <w:sz w:val="24"/>
          <w:szCs w:val="24"/>
        </w:rPr>
        <w:t>设计车速，设计荷载等级为公路-II</w:t>
      </w:r>
      <w:r>
        <w:rPr>
          <w:rFonts w:ascii="仿宋" w:hAnsi="仿宋" w:eastAsia="仿宋" w:cs="仿宋"/>
          <w:spacing w:val="-39"/>
          <w:sz w:val="24"/>
          <w:szCs w:val="24"/>
        </w:rPr>
        <w:t xml:space="preserve"> </w:t>
      </w:r>
      <w:r>
        <w:rPr>
          <w:rFonts w:ascii="仿宋" w:hAnsi="仿宋" w:eastAsia="仿宋" w:cs="仿宋"/>
          <w:sz w:val="24"/>
          <w:szCs w:val="24"/>
        </w:rPr>
        <w:t>级。路面结构分段</w:t>
      </w:r>
      <w:r>
        <w:rPr>
          <w:rFonts w:ascii="仿宋" w:hAnsi="仿宋" w:eastAsia="仿宋" w:cs="仿宋"/>
          <w:spacing w:val="-1"/>
          <w:sz w:val="24"/>
          <w:szCs w:val="24"/>
        </w:rPr>
        <w:t>设置，其中除十二连城乡脑包湾村自然村通硬化路工程段路段三采用</w:t>
      </w:r>
      <w:r>
        <w:rPr>
          <w:rFonts w:ascii="仿宋" w:hAnsi="仿宋" w:eastAsia="仿宋" w:cs="仿宋"/>
          <w:spacing w:val="-31"/>
          <w:sz w:val="24"/>
          <w:szCs w:val="24"/>
        </w:rPr>
        <w:t xml:space="preserve"> </w:t>
      </w:r>
      <w:r>
        <w:rPr>
          <w:rFonts w:ascii="仿宋" w:hAnsi="仿宋" w:eastAsia="仿宋" w:cs="仿宋"/>
          <w:spacing w:val="-1"/>
          <w:sz w:val="24"/>
          <w:szCs w:val="24"/>
        </w:rPr>
        <w:t>1</w:t>
      </w:r>
      <w:r>
        <w:rPr>
          <w:rFonts w:ascii="仿宋" w:hAnsi="仿宋" w:eastAsia="仿宋" w:cs="仿宋"/>
          <w:spacing w:val="-2"/>
          <w:sz w:val="24"/>
          <w:szCs w:val="24"/>
        </w:rPr>
        <w:t>5cm</w:t>
      </w:r>
      <w:r>
        <w:rPr>
          <w:rFonts w:ascii="仿宋" w:hAnsi="仿宋" w:eastAsia="仿宋" w:cs="仿宋"/>
          <w:spacing w:val="-41"/>
          <w:sz w:val="24"/>
          <w:szCs w:val="24"/>
        </w:rPr>
        <w:t xml:space="preserve"> </w:t>
      </w:r>
      <w:r>
        <w:rPr>
          <w:rFonts w:ascii="仿宋" w:hAnsi="仿宋" w:eastAsia="仿宋" w:cs="仿宋"/>
          <w:spacing w:val="-2"/>
          <w:sz w:val="24"/>
          <w:szCs w:val="24"/>
        </w:rPr>
        <w:t>厚未</w:t>
      </w:r>
      <w:r>
        <w:rPr>
          <w:rFonts w:ascii="仿宋" w:hAnsi="仿宋" w:eastAsia="仿宋" w:cs="仿宋"/>
          <w:spacing w:val="-8"/>
          <w:sz w:val="24"/>
          <w:szCs w:val="24"/>
        </w:rPr>
        <w:t>筛分碎石路面，其余路段均采用水泥混凝土路面，整体为乡村小交通量通行公路，</w:t>
      </w:r>
      <w:r>
        <w:rPr>
          <w:rFonts w:ascii="仿宋" w:hAnsi="仿宋" w:eastAsia="仿宋" w:cs="仿宋"/>
          <w:spacing w:val="-1"/>
          <w:sz w:val="24"/>
          <w:szCs w:val="24"/>
        </w:rPr>
        <w:t>主要服务沿线村民日常出行、农业生产及村内短途交通运输。</w:t>
      </w:r>
    </w:p>
    <w:p w14:paraId="2E958F90">
      <w:pPr>
        <w:spacing w:before="1" w:line="359" w:lineRule="auto"/>
        <w:ind w:left="29" w:right="97" w:firstLine="480"/>
        <w:jc w:val="both"/>
        <w:rPr>
          <w:rFonts w:ascii="仿宋" w:hAnsi="仿宋" w:eastAsia="仿宋" w:cs="仿宋"/>
          <w:sz w:val="24"/>
          <w:szCs w:val="24"/>
        </w:rPr>
      </w:pPr>
      <w:r>
        <w:rPr>
          <w:rFonts w:ascii="仿宋" w:hAnsi="仿宋" w:eastAsia="仿宋" w:cs="仿宋"/>
          <w:spacing w:val="-3"/>
          <w:sz w:val="24"/>
          <w:szCs w:val="24"/>
        </w:rPr>
        <w:t>经现场踏勘核实，本项目线路沿线两侧分布</w:t>
      </w:r>
      <w:r>
        <w:rPr>
          <w:rFonts w:ascii="仿宋" w:hAnsi="仿宋" w:eastAsia="仿宋" w:cs="仿宋"/>
          <w:spacing w:val="-4"/>
          <w:sz w:val="24"/>
          <w:szCs w:val="24"/>
        </w:rPr>
        <w:t>有集中村庄及零散居民住户，区</w:t>
      </w:r>
      <w:r>
        <w:rPr>
          <w:rFonts w:ascii="仿宋" w:hAnsi="仿宋" w:eastAsia="仿宋" w:cs="仿宋"/>
          <w:spacing w:val="-2"/>
          <w:sz w:val="24"/>
          <w:szCs w:val="24"/>
        </w:rPr>
        <w:t>域以居住功能为主。对照《建设项目环境影响评价分</w:t>
      </w:r>
      <w:r>
        <w:rPr>
          <w:rFonts w:ascii="仿宋" w:hAnsi="仿宋" w:eastAsia="仿宋" w:cs="仿宋"/>
          <w:spacing w:val="-3"/>
          <w:sz w:val="24"/>
          <w:szCs w:val="24"/>
        </w:rPr>
        <w:t>类管理名录（2021</w:t>
      </w:r>
      <w:r>
        <w:rPr>
          <w:rFonts w:ascii="仿宋" w:hAnsi="仿宋" w:eastAsia="仿宋" w:cs="仿宋"/>
          <w:spacing w:val="-39"/>
          <w:sz w:val="24"/>
          <w:szCs w:val="24"/>
        </w:rPr>
        <w:t xml:space="preserve"> </w:t>
      </w:r>
      <w:r>
        <w:rPr>
          <w:rFonts w:ascii="仿宋" w:hAnsi="仿宋" w:eastAsia="仿宋" w:cs="仿宋"/>
          <w:spacing w:val="-3"/>
          <w:sz w:val="24"/>
          <w:szCs w:val="24"/>
        </w:rPr>
        <w:t>年版）》</w:t>
      </w:r>
      <w:r>
        <w:rPr>
          <w:rFonts w:ascii="仿宋" w:hAnsi="仿宋" w:eastAsia="仿宋" w:cs="仿宋"/>
          <w:spacing w:val="-5"/>
          <w:sz w:val="24"/>
          <w:szCs w:val="24"/>
        </w:rPr>
        <w:t>相关规定，本项目属于“五十二、交通运输业、管道运输业</w:t>
      </w:r>
      <w:r>
        <w:rPr>
          <w:rFonts w:ascii="仿宋" w:hAnsi="仿宋" w:eastAsia="仿宋" w:cs="仿宋"/>
          <w:spacing w:val="-74"/>
          <w:sz w:val="24"/>
          <w:szCs w:val="24"/>
        </w:rPr>
        <w:t xml:space="preserve"> </w:t>
      </w:r>
      <w:r>
        <w:rPr>
          <w:rFonts w:ascii="仿宋" w:hAnsi="仿宋" w:eastAsia="仿宋" w:cs="仿宋"/>
          <w:spacing w:val="-5"/>
          <w:sz w:val="24"/>
          <w:szCs w:val="24"/>
        </w:rPr>
        <w:t>”类别中“</w:t>
      </w:r>
      <w:r>
        <w:rPr>
          <w:rFonts w:ascii="仿宋" w:hAnsi="仿宋" w:eastAsia="仿宋" w:cs="仿宋"/>
          <w:spacing w:val="-94"/>
          <w:sz w:val="24"/>
          <w:szCs w:val="24"/>
        </w:rPr>
        <w:t xml:space="preserve"> </w:t>
      </w:r>
      <w:r>
        <w:rPr>
          <w:rFonts w:ascii="仿宋" w:hAnsi="仿宋" w:eastAsia="仿宋" w:cs="仿宋"/>
          <w:spacing w:val="-5"/>
          <w:sz w:val="24"/>
          <w:szCs w:val="24"/>
        </w:rPr>
        <w:t>130 等级</w:t>
      </w:r>
      <w:r>
        <w:rPr>
          <w:rFonts w:ascii="仿宋" w:hAnsi="仿宋" w:eastAsia="仿宋" w:cs="仿宋"/>
          <w:spacing w:val="-3"/>
          <w:sz w:val="24"/>
          <w:szCs w:val="24"/>
        </w:rPr>
        <w:t>公路（不含维护；不含生命救援、应急保通工程以及国防交通</w:t>
      </w:r>
      <w:r>
        <w:rPr>
          <w:rFonts w:ascii="仿宋" w:hAnsi="仿宋" w:eastAsia="仿宋" w:cs="仿宋"/>
          <w:spacing w:val="-4"/>
          <w:sz w:val="24"/>
          <w:szCs w:val="24"/>
        </w:rPr>
        <w:t>保障项目；不含改</w:t>
      </w:r>
      <w:r>
        <w:rPr>
          <w:rFonts w:ascii="仿宋" w:hAnsi="仿宋" w:eastAsia="仿宋" w:cs="仿宋"/>
          <w:spacing w:val="-10"/>
          <w:sz w:val="24"/>
          <w:szCs w:val="24"/>
        </w:rPr>
        <w:t>扩建四级公路）”范畴。项目为新建四级公路工程，不属于名录中豁免评价的“不</w:t>
      </w:r>
      <w:r>
        <w:rPr>
          <w:rFonts w:ascii="仿宋" w:hAnsi="仿宋" w:eastAsia="仿宋" w:cs="仿宋"/>
          <w:spacing w:val="-1"/>
          <w:sz w:val="24"/>
          <w:szCs w:val="24"/>
        </w:rPr>
        <w:t>涉及环境敏感区的三级、四级公路</w:t>
      </w:r>
      <w:r>
        <w:rPr>
          <w:rFonts w:ascii="仿宋" w:hAnsi="仿宋" w:eastAsia="仿宋" w:cs="仿宋"/>
          <w:spacing w:val="-88"/>
          <w:sz w:val="24"/>
          <w:szCs w:val="24"/>
        </w:rPr>
        <w:t xml:space="preserve"> </w:t>
      </w:r>
      <w:r>
        <w:rPr>
          <w:rFonts w:ascii="仿宋" w:hAnsi="仿宋" w:eastAsia="仿宋" w:cs="仿宋"/>
          <w:spacing w:val="-1"/>
          <w:sz w:val="24"/>
          <w:szCs w:val="24"/>
        </w:rPr>
        <w:t>”情形，因此</w:t>
      </w:r>
      <w:r>
        <w:rPr>
          <w:rFonts w:ascii="仿宋" w:hAnsi="仿宋" w:eastAsia="仿宋" w:cs="仿宋"/>
          <w:spacing w:val="-2"/>
          <w:sz w:val="24"/>
          <w:szCs w:val="24"/>
        </w:rPr>
        <w:t>本项目需编制环境影响报告表。</w:t>
      </w:r>
    </w:p>
    <w:p w14:paraId="3B2CD8F9">
      <w:pPr>
        <w:spacing w:before="1" w:line="359" w:lineRule="auto"/>
        <w:ind w:left="32" w:right="203" w:firstLine="478"/>
        <w:jc w:val="both"/>
        <w:rPr>
          <w:rFonts w:ascii="仿宋" w:hAnsi="仿宋" w:eastAsia="仿宋" w:cs="仿宋"/>
          <w:sz w:val="24"/>
          <w:szCs w:val="24"/>
        </w:rPr>
      </w:pPr>
      <w:r>
        <w:rPr>
          <w:rFonts w:ascii="仿宋" w:hAnsi="仿宋" w:eastAsia="仿宋" w:cs="仿宋"/>
          <w:spacing w:val="-2"/>
          <w:sz w:val="24"/>
          <w:szCs w:val="24"/>
        </w:rPr>
        <w:t>依据《建设项目环境影响报告表编制技术指南（生态影响类</w:t>
      </w:r>
      <w:r>
        <w:rPr>
          <w:rFonts w:ascii="仿宋" w:hAnsi="仿宋" w:eastAsia="仿宋" w:cs="仿宋"/>
          <w:spacing w:val="-26"/>
          <w:sz w:val="24"/>
          <w:szCs w:val="24"/>
        </w:rPr>
        <w:t>）（</w:t>
      </w:r>
      <w:r>
        <w:rPr>
          <w:rFonts w:ascii="仿宋" w:hAnsi="仿宋" w:eastAsia="仿宋" w:cs="仿宋"/>
          <w:spacing w:val="-2"/>
          <w:sz w:val="24"/>
          <w:szCs w:val="24"/>
        </w:rPr>
        <w:t>试行）》表1</w:t>
      </w:r>
      <w:r>
        <w:rPr>
          <w:rFonts w:ascii="仿宋" w:hAnsi="仿宋" w:eastAsia="仿宋" w:cs="仿宋"/>
          <w:spacing w:val="-41"/>
          <w:sz w:val="24"/>
          <w:szCs w:val="24"/>
        </w:rPr>
        <w:t xml:space="preserve"> </w:t>
      </w:r>
      <w:r>
        <w:rPr>
          <w:rFonts w:ascii="仿宋" w:hAnsi="仿宋" w:eastAsia="仿宋" w:cs="仿宋"/>
          <w:spacing w:val="-2"/>
          <w:sz w:val="24"/>
          <w:szCs w:val="24"/>
        </w:rPr>
        <w:t>专项评价设置原则相关要求，交通运输类项目若涉及环境敏感区，</w:t>
      </w:r>
      <w:r>
        <w:rPr>
          <w:rFonts w:ascii="仿宋" w:hAnsi="仿宋" w:eastAsia="仿宋" w:cs="仿宋"/>
          <w:spacing w:val="-3"/>
          <w:sz w:val="24"/>
          <w:szCs w:val="24"/>
        </w:rPr>
        <w:t>需开展对应专项评价。本项目线路沿线两侧分布有集中村落及零散</w:t>
      </w:r>
      <w:r>
        <w:rPr>
          <w:rFonts w:ascii="仿宋" w:hAnsi="仿宋" w:eastAsia="仿宋" w:cs="仿宋"/>
          <w:spacing w:val="-4"/>
          <w:sz w:val="24"/>
          <w:szCs w:val="24"/>
        </w:rPr>
        <w:t>居住住户，属于以居住为</w:t>
      </w:r>
      <w:r>
        <w:rPr>
          <w:rFonts w:ascii="仿宋" w:hAnsi="仿宋" w:eastAsia="仿宋" w:cs="仿宋"/>
          <w:spacing w:val="-3"/>
          <w:sz w:val="24"/>
          <w:szCs w:val="24"/>
        </w:rPr>
        <w:t>主要功能的环境敏感区域，项目施工期机械作业、物料</w:t>
      </w:r>
      <w:r>
        <w:rPr>
          <w:rFonts w:ascii="仿宋" w:hAnsi="仿宋" w:eastAsia="仿宋" w:cs="仿宋"/>
          <w:spacing w:val="-4"/>
          <w:sz w:val="24"/>
          <w:szCs w:val="24"/>
        </w:rPr>
        <w:t>运输及运营期车辆通行均</w:t>
      </w:r>
      <w:r>
        <w:rPr>
          <w:rFonts w:ascii="仿宋" w:hAnsi="仿宋" w:eastAsia="仿宋" w:cs="仿宋"/>
          <w:spacing w:val="-1"/>
          <w:sz w:val="24"/>
          <w:szCs w:val="24"/>
        </w:rPr>
        <w:t>会产生噪声影响，对沿线居民日常生活、居住环境造成干扰。</w:t>
      </w:r>
    </w:p>
    <w:p w14:paraId="51CFA761">
      <w:pPr>
        <w:spacing w:line="359" w:lineRule="auto"/>
        <w:ind w:left="30" w:firstLine="482"/>
        <w:jc w:val="both"/>
        <w:rPr>
          <w:rFonts w:ascii="仿宋" w:hAnsi="仿宋" w:eastAsia="仿宋" w:cs="仿宋"/>
          <w:sz w:val="24"/>
          <w:szCs w:val="24"/>
        </w:rPr>
      </w:pPr>
      <w:r>
        <w:rPr>
          <w:rFonts w:ascii="仿宋" w:hAnsi="仿宋" w:eastAsia="仿宋" w:cs="仿宋"/>
          <w:spacing w:val="-4"/>
          <w:sz w:val="24"/>
          <w:szCs w:val="24"/>
        </w:rPr>
        <w:t>综上，为全面、系统分析本项目施工期、运营期噪声污染特性及对沿线敏感</w:t>
      </w:r>
      <w:r>
        <w:rPr>
          <w:rFonts w:ascii="仿宋" w:hAnsi="仿宋" w:eastAsia="仿宋" w:cs="仿宋"/>
          <w:spacing w:val="-3"/>
          <w:sz w:val="24"/>
          <w:szCs w:val="24"/>
        </w:rPr>
        <w:t>目标的影响范围与程度，科学制定贴合乡村路段的噪声防控措</w:t>
      </w:r>
      <w:r>
        <w:rPr>
          <w:rFonts w:ascii="仿宋" w:hAnsi="仿宋" w:eastAsia="仿宋" w:cs="仿宋"/>
          <w:spacing w:val="-4"/>
          <w:sz w:val="24"/>
          <w:szCs w:val="24"/>
        </w:rPr>
        <w:t>施，有效降低项目建设及运营带来的声环境不利影响，本次环评需针对性开展专项声环</w:t>
      </w:r>
      <w:r>
        <w:rPr>
          <w:rFonts w:ascii="仿宋" w:hAnsi="仿宋" w:eastAsia="仿宋" w:cs="仿宋"/>
          <w:spacing w:val="-5"/>
          <w:sz w:val="24"/>
          <w:szCs w:val="24"/>
        </w:rPr>
        <w:t>境评价工作。</w:t>
      </w:r>
    </w:p>
    <w:p w14:paraId="409C0FDB">
      <w:pPr>
        <w:spacing w:line="359" w:lineRule="auto"/>
        <w:rPr>
          <w:rFonts w:ascii="仿宋" w:hAnsi="仿宋" w:eastAsia="仿宋" w:cs="仿宋"/>
          <w:sz w:val="24"/>
          <w:szCs w:val="24"/>
        </w:rPr>
        <w:sectPr>
          <w:footerReference r:id="rId132" w:type="default"/>
          <w:pgSz w:w="11905" w:h="16840"/>
          <w:pgMar w:top="400" w:right="1597" w:bottom="913" w:left="1785" w:header="0" w:footer="751" w:gutter="0"/>
          <w:cols w:space="720" w:num="1"/>
        </w:sectPr>
      </w:pPr>
    </w:p>
    <w:p w14:paraId="2AC524CB">
      <w:pPr>
        <w:pStyle w:val="2"/>
        <w:spacing w:line="272" w:lineRule="auto"/>
        <w:rPr>
          <w:sz w:val="21"/>
        </w:rPr>
      </w:pPr>
    </w:p>
    <w:p w14:paraId="3E1B038B">
      <w:pPr>
        <w:pStyle w:val="2"/>
        <w:spacing w:line="272" w:lineRule="auto"/>
        <w:rPr>
          <w:sz w:val="21"/>
        </w:rPr>
      </w:pPr>
    </w:p>
    <w:p w14:paraId="32EDB681">
      <w:pPr>
        <w:pStyle w:val="2"/>
        <w:spacing w:line="272" w:lineRule="auto"/>
        <w:rPr>
          <w:sz w:val="21"/>
        </w:rPr>
      </w:pPr>
    </w:p>
    <w:p w14:paraId="7F09D9E1">
      <w:pPr>
        <w:pStyle w:val="2"/>
        <w:spacing w:line="272" w:lineRule="auto"/>
        <w:rPr>
          <w:sz w:val="21"/>
        </w:rPr>
      </w:pPr>
    </w:p>
    <w:p w14:paraId="04AFD910">
      <w:pPr>
        <w:pStyle w:val="2"/>
        <w:spacing w:line="273" w:lineRule="auto"/>
        <w:rPr>
          <w:sz w:val="21"/>
        </w:rPr>
      </w:pPr>
    </w:p>
    <w:p w14:paraId="1E9D60F7">
      <w:pPr>
        <w:spacing w:before="113" w:line="229" w:lineRule="auto"/>
        <w:ind w:left="53"/>
        <w:outlineLvl w:val="0"/>
        <w:rPr>
          <w:rFonts w:ascii="仿宋" w:hAnsi="仿宋" w:eastAsia="仿宋" w:cs="仿宋"/>
          <w:sz w:val="35"/>
          <w:szCs w:val="35"/>
        </w:rPr>
      </w:pPr>
      <w:bookmarkStart w:id="1" w:name="bookmark5"/>
      <w:bookmarkEnd w:id="1"/>
      <w:bookmarkStart w:id="2" w:name="bookmark6"/>
      <w:bookmarkEnd w:id="2"/>
      <w:bookmarkStart w:id="3" w:name="bookmark4"/>
      <w:bookmarkEnd w:id="3"/>
      <w:r>
        <w:rPr>
          <w:rFonts w:ascii="仿宋" w:hAnsi="仿宋" w:eastAsia="仿宋" w:cs="仿宋"/>
          <w:b/>
          <w:bCs/>
          <w:spacing w:val="-21"/>
          <w:sz w:val="35"/>
          <w:szCs w:val="35"/>
        </w:rPr>
        <w:t>1</w:t>
      </w:r>
      <w:r>
        <w:rPr>
          <w:rFonts w:ascii="仿宋" w:hAnsi="仿宋" w:eastAsia="仿宋" w:cs="仿宋"/>
          <w:spacing w:val="46"/>
          <w:sz w:val="35"/>
          <w:szCs w:val="35"/>
        </w:rPr>
        <w:t xml:space="preserve"> </w:t>
      </w:r>
      <w:r>
        <w:rPr>
          <w:rFonts w:ascii="仿宋" w:hAnsi="仿宋" w:eastAsia="仿宋" w:cs="仿宋"/>
          <w:b/>
          <w:bCs/>
          <w:spacing w:val="-21"/>
          <w:sz w:val="35"/>
          <w:szCs w:val="35"/>
        </w:rPr>
        <w:t>总则</w:t>
      </w:r>
    </w:p>
    <w:p w14:paraId="2EDE7959">
      <w:pPr>
        <w:spacing w:before="313" w:line="227" w:lineRule="auto"/>
        <w:ind w:left="48"/>
        <w:outlineLvl w:val="1"/>
        <w:rPr>
          <w:rFonts w:ascii="仿宋" w:hAnsi="仿宋" w:eastAsia="仿宋" w:cs="仿宋"/>
          <w:sz w:val="31"/>
          <w:szCs w:val="31"/>
        </w:rPr>
      </w:pPr>
      <w:r>
        <w:rPr>
          <w:rFonts w:ascii="仿宋" w:hAnsi="仿宋" w:eastAsia="仿宋" w:cs="仿宋"/>
          <w:b/>
          <w:bCs/>
          <w:spacing w:val="-3"/>
          <w:sz w:val="31"/>
          <w:szCs w:val="31"/>
        </w:rPr>
        <w:t>1.1</w:t>
      </w:r>
      <w:r>
        <w:rPr>
          <w:rFonts w:ascii="仿宋" w:hAnsi="仿宋" w:eastAsia="仿宋" w:cs="仿宋"/>
          <w:spacing w:val="29"/>
          <w:sz w:val="31"/>
          <w:szCs w:val="31"/>
        </w:rPr>
        <w:t xml:space="preserve"> </w:t>
      </w:r>
      <w:r>
        <w:rPr>
          <w:rFonts w:ascii="仿宋" w:hAnsi="仿宋" w:eastAsia="仿宋" w:cs="仿宋"/>
          <w:b/>
          <w:bCs/>
          <w:spacing w:val="-3"/>
          <w:sz w:val="31"/>
          <w:szCs w:val="31"/>
        </w:rPr>
        <w:t>编制依据</w:t>
      </w:r>
    </w:p>
    <w:p w14:paraId="661379A0">
      <w:pPr>
        <w:pStyle w:val="2"/>
        <w:spacing w:line="321" w:lineRule="auto"/>
        <w:rPr>
          <w:sz w:val="21"/>
        </w:rPr>
      </w:pPr>
    </w:p>
    <w:p w14:paraId="5AA0EBF4">
      <w:pPr>
        <w:spacing w:before="91" w:line="222" w:lineRule="auto"/>
        <w:ind w:left="44"/>
        <w:outlineLvl w:val="2"/>
        <w:rPr>
          <w:rFonts w:ascii="仿宋" w:hAnsi="仿宋" w:eastAsia="仿宋" w:cs="仿宋"/>
          <w:sz w:val="28"/>
          <w:szCs w:val="28"/>
        </w:rPr>
      </w:pPr>
      <w:r>
        <w:rPr>
          <w:rFonts w:ascii="仿宋" w:hAnsi="仿宋" w:eastAsia="仿宋" w:cs="仿宋"/>
          <w:b/>
          <w:bCs/>
          <w:spacing w:val="-7"/>
          <w:sz w:val="28"/>
          <w:szCs w:val="28"/>
        </w:rPr>
        <w:t>1.1.1</w:t>
      </w:r>
      <w:r>
        <w:rPr>
          <w:rFonts w:ascii="仿宋" w:hAnsi="仿宋" w:eastAsia="仿宋" w:cs="仿宋"/>
          <w:spacing w:val="-45"/>
          <w:sz w:val="28"/>
          <w:szCs w:val="28"/>
        </w:rPr>
        <w:t xml:space="preserve"> </w:t>
      </w:r>
      <w:r>
        <w:rPr>
          <w:rFonts w:ascii="仿宋" w:hAnsi="仿宋" w:eastAsia="仿宋" w:cs="仿宋"/>
          <w:b/>
          <w:bCs/>
          <w:spacing w:val="-7"/>
          <w:sz w:val="28"/>
          <w:szCs w:val="28"/>
        </w:rPr>
        <w:t>相关法律法规</w:t>
      </w:r>
    </w:p>
    <w:p w14:paraId="3F8208A3">
      <w:pPr>
        <w:spacing w:before="308" w:line="221" w:lineRule="auto"/>
        <w:ind w:left="514"/>
        <w:rPr>
          <w:rFonts w:ascii="仿宋" w:hAnsi="仿宋" w:eastAsia="仿宋" w:cs="仿宋"/>
          <w:sz w:val="24"/>
          <w:szCs w:val="24"/>
        </w:rPr>
      </w:pPr>
      <w:r>
        <w:rPr>
          <w:rFonts w:ascii="仿宋" w:hAnsi="仿宋" w:eastAsia="仿宋" w:cs="仿宋"/>
          <w:spacing w:val="-7"/>
          <w:sz w:val="24"/>
          <w:szCs w:val="24"/>
        </w:rPr>
        <w:t>（1）《中华人民共和国生态环境法典》，</w:t>
      </w:r>
      <w:r>
        <w:rPr>
          <w:rFonts w:ascii="仿宋" w:hAnsi="仿宋" w:eastAsia="仿宋" w:cs="仿宋"/>
          <w:spacing w:val="-52"/>
          <w:sz w:val="24"/>
          <w:szCs w:val="24"/>
        </w:rPr>
        <w:t xml:space="preserve"> </w:t>
      </w:r>
      <w:r>
        <w:rPr>
          <w:rFonts w:ascii="仿宋" w:hAnsi="仿宋" w:eastAsia="仿宋" w:cs="仿宋"/>
          <w:spacing w:val="-7"/>
          <w:sz w:val="24"/>
          <w:szCs w:val="24"/>
        </w:rPr>
        <w:t>自</w:t>
      </w:r>
      <w:r>
        <w:rPr>
          <w:rFonts w:ascii="仿宋" w:hAnsi="仿宋" w:eastAsia="仿宋" w:cs="仿宋"/>
          <w:spacing w:val="-49"/>
          <w:sz w:val="24"/>
          <w:szCs w:val="24"/>
        </w:rPr>
        <w:t xml:space="preserve"> </w:t>
      </w:r>
      <w:r>
        <w:rPr>
          <w:rFonts w:ascii="仿宋" w:hAnsi="仿宋" w:eastAsia="仿宋" w:cs="仿宋"/>
          <w:spacing w:val="-7"/>
          <w:sz w:val="24"/>
          <w:szCs w:val="24"/>
        </w:rPr>
        <w:t>2026</w:t>
      </w:r>
      <w:r>
        <w:rPr>
          <w:rFonts w:ascii="仿宋" w:hAnsi="仿宋" w:eastAsia="仿宋" w:cs="仿宋"/>
          <w:spacing w:val="-39"/>
          <w:sz w:val="24"/>
          <w:szCs w:val="24"/>
        </w:rPr>
        <w:t xml:space="preserve"> </w:t>
      </w:r>
      <w:r>
        <w:rPr>
          <w:rFonts w:ascii="仿宋" w:hAnsi="仿宋" w:eastAsia="仿宋" w:cs="仿宋"/>
          <w:spacing w:val="-7"/>
          <w:sz w:val="24"/>
          <w:szCs w:val="24"/>
        </w:rPr>
        <w:t>年</w:t>
      </w:r>
      <w:r>
        <w:rPr>
          <w:rFonts w:ascii="仿宋" w:hAnsi="仿宋" w:eastAsia="仿宋" w:cs="仿宋"/>
          <w:spacing w:val="-51"/>
          <w:sz w:val="24"/>
          <w:szCs w:val="24"/>
        </w:rPr>
        <w:t xml:space="preserve"> </w:t>
      </w:r>
      <w:r>
        <w:rPr>
          <w:rFonts w:ascii="仿宋" w:hAnsi="仿宋" w:eastAsia="仿宋" w:cs="仿宋"/>
          <w:spacing w:val="-7"/>
          <w:sz w:val="24"/>
          <w:szCs w:val="24"/>
        </w:rPr>
        <w:t>8</w:t>
      </w:r>
      <w:r>
        <w:rPr>
          <w:rFonts w:ascii="仿宋" w:hAnsi="仿宋" w:eastAsia="仿宋" w:cs="仿宋"/>
          <w:spacing w:val="-32"/>
          <w:sz w:val="24"/>
          <w:szCs w:val="24"/>
        </w:rPr>
        <w:t xml:space="preserve"> </w:t>
      </w:r>
      <w:r>
        <w:rPr>
          <w:rFonts w:ascii="仿宋" w:hAnsi="仿宋" w:eastAsia="仿宋" w:cs="仿宋"/>
          <w:spacing w:val="-7"/>
          <w:sz w:val="24"/>
          <w:szCs w:val="24"/>
        </w:rPr>
        <w:t>月</w:t>
      </w:r>
      <w:r>
        <w:rPr>
          <w:rFonts w:ascii="仿宋" w:hAnsi="仿宋" w:eastAsia="仿宋" w:cs="仿宋"/>
          <w:spacing w:val="-34"/>
          <w:sz w:val="24"/>
          <w:szCs w:val="24"/>
        </w:rPr>
        <w:t xml:space="preserve"> </w:t>
      </w:r>
      <w:r>
        <w:rPr>
          <w:rFonts w:ascii="仿宋" w:hAnsi="仿宋" w:eastAsia="仿宋" w:cs="仿宋"/>
          <w:spacing w:val="-7"/>
          <w:sz w:val="24"/>
          <w:szCs w:val="24"/>
        </w:rPr>
        <w:t>15 日起施行；</w:t>
      </w:r>
    </w:p>
    <w:p w14:paraId="3932EDCD">
      <w:pPr>
        <w:spacing w:before="178" w:line="222" w:lineRule="auto"/>
        <w:ind w:left="514"/>
        <w:rPr>
          <w:rFonts w:ascii="仿宋" w:hAnsi="仿宋" w:eastAsia="仿宋" w:cs="仿宋"/>
          <w:sz w:val="24"/>
          <w:szCs w:val="24"/>
        </w:rPr>
      </w:pPr>
      <w:r>
        <w:rPr>
          <w:rFonts w:ascii="仿宋" w:hAnsi="仿宋" w:eastAsia="仿宋" w:cs="仿宋"/>
          <w:spacing w:val="-6"/>
          <w:sz w:val="24"/>
          <w:szCs w:val="24"/>
        </w:rPr>
        <w:t>（2）《中华人民共和国公路法》，2017</w:t>
      </w:r>
      <w:r>
        <w:rPr>
          <w:rFonts w:ascii="仿宋" w:hAnsi="仿宋" w:eastAsia="仿宋" w:cs="仿宋"/>
          <w:spacing w:val="-23"/>
          <w:sz w:val="24"/>
          <w:szCs w:val="24"/>
        </w:rPr>
        <w:t xml:space="preserve"> </w:t>
      </w:r>
      <w:r>
        <w:rPr>
          <w:rFonts w:ascii="仿宋" w:hAnsi="仿宋" w:eastAsia="仿宋" w:cs="仿宋"/>
          <w:spacing w:val="-6"/>
          <w:sz w:val="24"/>
          <w:szCs w:val="24"/>
        </w:rPr>
        <w:t>年</w:t>
      </w:r>
      <w:r>
        <w:rPr>
          <w:rFonts w:ascii="仿宋" w:hAnsi="仿宋" w:eastAsia="仿宋" w:cs="仿宋"/>
          <w:spacing w:val="-34"/>
          <w:sz w:val="24"/>
          <w:szCs w:val="24"/>
        </w:rPr>
        <w:t xml:space="preserve"> </w:t>
      </w:r>
      <w:r>
        <w:rPr>
          <w:rFonts w:ascii="仿宋" w:hAnsi="仿宋" w:eastAsia="仿宋" w:cs="仿宋"/>
          <w:spacing w:val="-6"/>
          <w:sz w:val="24"/>
          <w:szCs w:val="24"/>
        </w:rPr>
        <w:t>11</w:t>
      </w:r>
      <w:r>
        <w:rPr>
          <w:rFonts w:ascii="仿宋" w:hAnsi="仿宋" w:eastAsia="仿宋" w:cs="仿宋"/>
          <w:spacing w:val="-33"/>
          <w:sz w:val="24"/>
          <w:szCs w:val="24"/>
        </w:rPr>
        <w:t xml:space="preserve"> </w:t>
      </w:r>
      <w:r>
        <w:rPr>
          <w:rFonts w:ascii="仿宋" w:hAnsi="仿宋" w:eastAsia="仿宋" w:cs="仿宋"/>
          <w:spacing w:val="-6"/>
          <w:sz w:val="24"/>
          <w:szCs w:val="24"/>
        </w:rPr>
        <w:t>月</w:t>
      </w:r>
      <w:r>
        <w:rPr>
          <w:rFonts w:ascii="仿宋" w:hAnsi="仿宋" w:eastAsia="仿宋" w:cs="仿宋"/>
          <w:spacing w:val="-46"/>
          <w:sz w:val="24"/>
          <w:szCs w:val="24"/>
        </w:rPr>
        <w:t xml:space="preserve"> </w:t>
      </w:r>
      <w:r>
        <w:rPr>
          <w:rFonts w:ascii="仿宋" w:hAnsi="仿宋" w:eastAsia="仿宋" w:cs="仿宋"/>
          <w:spacing w:val="-6"/>
          <w:sz w:val="24"/>
          <w:szCs w:val="24"/>
        </w:rPr>
        <w:t>5 日起实施；</w:t>
      </w:r>
    </w:p>
    <w:p w14:paraId="6065DE75">
      <w:pPr>
        <w:spacing w:before="179" w:line="221" w:lineRule="auto"/>
        <w:ind w:left="514"/>
        <w:rPr>
          <w:rFonts w:ascii="仿宋" w:hAnsi="仿宋" w:eastAsia="仿宋" w:cs="仿宋"/>
          <w:sz w:val="24"/>
          <w:szCs w:val="24"/>
        </w:rPr>
      </w:pPr>
      <w:r>
        <w:rPr>
          <w:rFonts w:ascii="仿宋" w:hAnsi="仿宋" w:eastAsia="仿宋" w:cs="仿宋"/>
          <w:spacing w:val="-5"/>
          <w:sz w:val="24"/>
          <w:szCs w:val="24"/>
        </w:rPr>
        <w:t>（3）《中华人民共和国城乡规划法》，2015</w:t>
      </w:r>
      <w:r>
        <w:rPr>
          <w:rFonts w:ascii="仿宋" w:hAnsi="仿宋" w:eastAsia="仿宋" w:cs="仿宋"/>
          <w:spacing w:val="-28"/>
          <w:sz w:val="24"/>
          <w:szCs w:val="24"/>
        </w:rPr>
        <w:t xml:space="preserve"> </w:t>
      </w:r>
      <w:r>
        <w:rPr>
          <w:rFonts w:ascii="仿宋" w:hAnsi="仿宋" w:eastAsia="仿宋" w:cs="仿宋"/>
          <w:spacing w:val="-5"/>
          <w:sz w:val="24"/>
          <w:szCs w:val="24"/>
        </w:rPr>
        <w:t>年</w:t>
      </w:r>
      <w:r>
        <w:rPr>
          <w:rFonts w:ascii="仿宋" w:hAnsi="仿宋" w:eastAsia="仿宋" w:cs="仿宋"/>
          <w:spacing w:val="-53"/>
          <w:sz w:val="24"/>
          <w:szCs w:val="24"/>
        </w:rPr>
        <w:t xml:space="preserve"> </w:t>
      </w:r>
      <w:r>
        <w:rPr>
          <w:rFonts w:ascii="仿宋" w:hAnsi="仿宋" w:eastAsia="仿宋" w:cs="仿宋"/>
          <w:spacing w:val="-5"/>
          <w:sz w:val="24"/>
          <w:szCs w:val="24"/>
        </w:rPr>
        <w:t>4</w:t>
      </w:r>
      <w:r>
        <w:rPr>
          <w:rFonts w:ascii="仿宋" w:hAnsi="仿宋" w:eastAsia="仿宋" w:cs="仿宋"/>
          <w:spacing w:val="-33"/>
          <w:sz w:val="24"/>
          <w:szCs w:val="24"/>
        </w:rPr>
        <w:t xml:space="preserve"> </w:t>
      </w:r>
      <w:r>
        <w:rPr>
          <w:rFonts w:ascii="仿宋" w:hAnsi="仿宋" w:eastAsia="仿宋" w:cs="仿宋"/>
          <w:spacing w:val="-5"/>
          <w:sz w:val="24"/>
          <w:szCs w:val="24"/>
        </w:rPr>
        <w:t>月</w:t>
      </w:r>
      <w:r>
        <w:rPr>
          <w:rFonts w:ascii="仿宋" w:hAnsi="仿宋" w:eastAsia="仿宋" w:cs="仿宋"/>
          <w:spacing w:val="-48"/>
          <w:sz w:val="24"/>
          <w:szCs w:val="24"/>
        </w:rPr>
        <w:t xml:space="preserve"> </w:t>
      </w:r>
      <w:r>
        <w:rPr>
          <w:rFonts w:ascii="仿宋" w:hAnsi="仿宋" w:eastAsia="仿宋" w:cs="仿宋"/>
          <w:spacing w:val="-5"/>
          <w:sz w:val="24"/>
          <w:szCs w:val="24"/>
        </w:rPr>
        <w:t>24 日施行；</w:t>
      </w:r>
    </w:p>
    <w:p w14:paraId="0886E43B">
      <w:pPr>
        <w:spacing w:before="179" w:line="221" w:lineRule="auto"/>
        <w:ind w:left="514"/>
        <w:rPr>
          <w:rFonts w:ascii="仿宋" w:hAnsi="仿宋" w:eastAsia="仿宋" w:cs="仿宋"/>
          <w:sz w:val="24"/>
          <w:szCs w:val="24"/>
        </w:rPr>
      </w:pPr>
      <w:r>
        <w:rPr>
          <w:rFonts w:ascii="仿宋" w:hAnsi="仿宋" w:eastAsia="仿宋" w:cs="仿宋"/>
          <w:spacing w:val="-6"/>
          <w:sz w:val="24"/>
          <w:szCs w:val="24"/>
        </w:rPr>
        <w:t>（4）《建设项目环境保护管理条例》，2017</w:t>
      </w:r>
      <w:r>
        <w:rPr>
          <w:rFonts w:ascii="仿宋" w:hAnsi="仿宋" w:eastAsia="仿宋" w:cs="仿宋"/>
          <w:spacing w:val="-24"/>
          <w:sz w:val="24"/>
          <w:szCs w:val="24"/>
        </w:rPr>
        <w:t xml:space="preserve"> </w:t>
      </w:r>
      <w:r>
        <w:rPr>
          <w:rFonts w:ascii="仿宋" w:hAnsi="仿宋" w:eastAsia="仿宋" w:cs="仿宋"/>
          <w:spacing w:val="-6"/>
          <w:sz w:val="24"/>
          <w:szCs w:val="24"/>
        </w:rPr>
        <w:t>年</w:t>
      </w:r>
      <w:r>
        <w:rPr>
          <w:rFonts w:ascii="仿宋" w:hAnsi="仿宋" w:eastAsia="仿宋" w:cs="仿宋"/>
          <w:spacing w:val="-34"/>
          <w:sz w:val="24"/>
          <w:szCs w:val="24"/>
        </w:rPr>
        <w:t xml:space="preserve"> </w:t>
      </w:r>
      <w:r>
        <w:rPr>
          <w:rFonts w:ascii="仿宋" w:hAnsi="仿宋" w:eastAsia="仿宋" w:cs="仿宋"/>
          <w:spacing w:val="-6"/>
          <w:sz w:val="24"/>
          <w:szCs w:val="24"/>
        </w:rPr>
        <w:t>10</w:t>
      </w:r>
      <w:r>
        <w:rPr>
          <w:rFonts w:ascii="仿宋" w:hAnsi="仿宋" w:eastAsia="仿宋" w:cs="仿宋"/>
          <w:spacing w:val="-33"/>
          <w:sz w:val="24"/>
          <w:szCs w:val="24"/>
        </w:rPr>
        <w:t xml:space="preserve"> </w:t>
      </w:r>
      <w:r>
        <w:rPr>
          <w:rFonts w:ascii="仿宋" w:hAnsi="仿宋" w:eastAsia="仿宋" w:cs="仿宋"/>
          <w:spacing w:val="-6"/>
          <w:sz w:val="24"/>
          <w:szCs w:val="24"/>
        </w:rPr>
        <w:t>月</w:t>
      </w:r>
      <w:r>
        <w:rPr>
          <w:rFonts w:ascii="仿宋" w:hAnsi="仿宋" w:eastAsia="仿宋" w:cs="仿宋"/>
          <w:spacing w:val="-33"/>
          <w:sz w:val="24"/>
          <w:szCs w:val="24"/>
        </w:rPr>
        <w:t xml:space="preserve"> </w:t>
      </w:r>
      <w:r>
        <w:rPr>
          <w:rFonts w:ascii="仿宋" w:hAnsi="仿宋" w:eastAsia="仿宋" w:cs="仿宋"/>
          <w:spacing w:val="-6"/>
          <w:sz w:val="24"/>
          <w:szCs w:val="24"/>
        </w:rPr>
        <w:t>1 日起施行；</w:t>
      </w:r>
    </w:p>
    <w:p w14:paraId="0FE87D42">
      <w:pPr>
        <w:spacing w:before="181" w:line="359" w:lineRule="auto"/>
        <w:ind w:left="59" w:right="67" w:firstLine="454"/>
        <w:rPr>
          <w:rFonts w:ascii="仿宋" w:hAnsi="仿宋" w:eastAsia="仿宋" w:cs="仿宋"/>
          <w:sz w:val="24"/>
          <w:szCs w:val="24"/>
        </w:rPr>
      </w:pPr>
      <w:r>
        <w:rPr>
          <w:rFonts w:ascii="仿宋" w:hAnsi="仿宋" w:eastAsia="仿宋" w:cs="仿宋"/>
          <w:sz w:val="24"/>
          <w:szCs w:val="24"/>
        </w:rPr>
        <w:t>（5）《关于加强和规范声环境功能区划分管理工作的通知》，环办大气函</w:t>
      </w:r>
      <w:r>
        <w:rPr>
          <w:rFonts w:ascii="仿宋" w:hAnsi="仿宋" w:eastAsia="仿宋" w:cs="仿宋"/>
          <w:spacing w:val="-6"/>
          <w:sz w:val="24"/>
          <w:szCs w:val="24"/>
        </w:rPr>
        <w:t>[</w:t>
      </w:r>
      <w:r>
        <w:fldChar w:fldCharType="begin"/>
      </w:r>
      <w:r>
        <w:instrText xml:space="preserve"> HYPERLINK \l "bookmark60" </w:instrText>
      </w:r>
      <w:r>
        <w:fldChar w:fldCharType="separate"/>
      </w:r>
      <w:r>
        <w:rPr>
          <w:rFonts w:ascii="仿宋" w:hAnsi="仿宋" w:eastAsia="仿宋" w:cs="仿宋"/>
          <w:spacing w:val="-6"/>
          <w:sz w:val="24"/>
          <w:szCs w:val="24"/>
        </w:rPr>
        <w:t>2017</w:t>
      </w:r>
      <w:r>
        <w:rPr>
          <w:rFonts w:ascii="仿宋" w:hAnsi="仿宋" w:eastAsia="仿宋" w:cs="仿宋"/>
          <w:spacing w:val="-6"/>
          <w:sz w:val="24"/>
          <w:szCs w:val="24"/>
        </w:rPr>
        <w:fldChar w:fldCharType="end"/>
      </w:r>
      <w:r>
        <w:rPr>
          <w:rFonts w:ascii="仿宋" w:hAnsi="仿宋" w:eastAsia="仿宋" w:cs="仿宋"/>
          <w:spacing w:val="-6"/>
          <w:sz w:val="24"/>
          <w:szCs w:val="24"/>
        </w:rPr>
        <w:t>]1709</w:t>
      </w:r>
      <w:r>
        <w:rPr>
          <w:rFonts w:ascii="仿宋" w:hAnsi="仿宋" w:eastAsia="仿宋" w:cs="仿宋"/>
          <w:spacing w:val="-35"/>
          <w:sz w:val="24"/>
          <w:szCs w:val="24"/>
        </w:rPr>
        <w:t xml:space="preserve"> </w:t>
      </w:r>
      <w:r>
        <w:rPr>
          <w:rFonts w:ascii="仿宋" w:hAnsi="仿宋" w:eastAsia="仿宋" w:cs="仿宋"/>
          <w:spacing w:val="-6"/>
          <w:sz w:val="24"/>
          <w:szCs w:val="24"/>
        </w:rPr>
        <w:t>号；</w:t>
      </w:r>
    </w:p>
    <w:p w14:paraId="7C16D1AB">
      <w:pPr>
        <w:spacing w:line="359" w:lineRule="auto"/>
        <w:ind w:left="53" w:right="65" w:firstLine="461"/>
        <w:rPr>
          <w:rFonts w:ascii="仿宋" w:hAnsi="仿宋" w:eastAsia="仿宋" w:cs="仿宋"/>
          <w:sz w:val="24"/>
          <w:szCs w:val="24"/>
        </w:rPr>
      </w:pPr>
      <w:r>
        <w:rPr>
          <w:rFonts w:ascii="仿宋" w:hAnsi="仿宋" w:eastAsia="仿宋" w:cs="仿宋"/>
          <w:sz w:val="24"/>
          <w:szCs w:val="24"/>
        </w:rPr>
        <w:t>（6）《关于公路、铁路(含轻轨)等建设项目环境影响评价中环境噪声有关</w:t>
      </w:r>
      <w:r>
        <w:rPr>
          <w:rFonts w:ascii="仿宋" w:hAnsi="仿宋" w:eastAsia="仿宋" w:cs="仿宋"/>
          <w:spacing w:val="-6"/>
          <w:sz w:val="24"/>
          <w:szCs w:val="24"/>
        </w:rPr>
        <w:t>问题</w:t>
      </w:r>
      <w:r>
        <w:rPr>
          <w:rFonts w:ascii="仿宋" w:hAnsi="仿宋" w:eastAsia="仿宋" w:cs="仿宋"/>
          <w:spacing w:val="45"/>
          <w:sz w:val="24"/>
          <w:szCs w:val="24"/>
        </w:rPr>
        <w:t xml:space="preserve"> </w:t>
      </w:r>
      <w:r>
        <w:rPr>
          <w:rFonts w:ascii="仿宋" w:hAnsi="仿宋" w:eastAsia="仿宋" w:cs="仿宋"/>
          <w:spacing w:val="-6"/>
          <w:sz w:val="24"/>
          <w:szCs w:val="24"/>
        </w:rPr>
        <w:t>的通知》，国家环境保护总局，环发[</w:t>
      </w:r>
      <w:r>
        <w:fldChar w:fldCharType="begin"/>
      </w:r>
      <w:r>
        <w:instrText xml:space="preserve"> HYPERLINK \l "bookmark61" </w:instrText>
      </w:r>
      <w:r>
        <w:fldChar w:fldCharType="separate"/>
      </w:r>
      <w:r>
        <w:rPr>
          <w:rFonts w:ascii="仿宋" w:hAnsi="仿宋" w:eastAsia="仿宋" w:cs="仿宋"/>
          <w:spacing w:val="-6"/>
          <w:sz w:val="24"/>
          <w:szCs w:val="24"/>
        </w:rPr>
        <w:t>2003</w:t>
      </w:r>
      <w:r>
        <w:rPr>
          <w:rFonts w:ascii="仿宋" w:hAnsi="仿宋" w:eastAsia="仿宋" w:cs="仿宋"/>
          <w:spacing w:val="-6"/>
          <w:sz w:val="24"/>
          <w:szCs w:val="24"/>
        </w:rPr>
        <w:fldChar w:fldCharType="end"/>
      </w:r>
      <w:r>
        <w:rPr>
          <w:rFonts w:ascii="仿宋" w:hAnsi="仿宋" w:eastAsia="仿宋" w:cs="仿宋"/>
          <w:spacing w:val="-6"/>
          <w:sz w:val="24"/>
          <w:szCs w:val="24"/>
        </w:rPr>
        <w:t>]94</w:t>
      </w:r>
      <w:r>
        <w:rPr>
          <w:rFonts w:ascii="仿宋" w:hAnsi="仿宋" w:eastAsia="仿宋" w:cs="仿宋"/>
          <w:spacing w:val="-38"/>
          <w:sz w:val="24"/>
          <w:szCs w:val="24"/>
        </w:rPr>
        <w:t xml:space="preserve"> </w:t>
      </w:r>
      <w:r>
        <w:rPr>
          <w:rFonts w:ascii="仿宋" w:hAnsi="仿宋" w:eastAsia="仿宋" w:cs="仿宋"/>
          <w:spacing w:val="-6"/>
          <w:sz w:val="24"/>
          <w:szCs w:val="24"/>
        </w:rPr>
        <w:t>号，2003</w:t>
      </w:r>
      <w:r>
        <w:rPr>
          <w:rFonts w:ascii="仿宋" w:hAnsi="仿宋" w:eastAsia="仿宋" w:cs="仿宋"/>
          <w:spacing w:val="-39"/>
          <w:sz w:val="24"/>
          <w:szCs w:val="24"/>
        </w:rPr>
        <w:t xml:space="preserve"> </w:t>
      </w:r>
      <w:r>
        <w:rPr>
          <w:rFonts w:ascii="仿宋" w:hAnsi="仿宋" w:eastAsia="仿宋" w:cs="仿宋"/>
          <w:spacing w:val="-6"/>
          <w:sz w:val="24"/>
          <w:szCs w:val="24"/>
        </w:rPr>
        <w:t>年</w:t>
      </w:r>
      <w:r>
        <w:rPr>
          <w:rFonts w:ascii="仿宋" w:hAnsi="仿宋" w:eastAsia="仿宋" w:cs="仿宋"/>
          <w:spacing w:val="-47"/>
          <w:sz w:val="24"/>
          <w:szCs w:val="24"/>
        </w:rPr>
        <w:t xml:space="preserve"> </w:t>
      </w:r>
      <w:r>
        <w:rPr>
          <w:rFonts w:ascii="仿宋" w:hAnsi="仿宋" w:eastAsia="仿宋" w:cs="仿宋"/>
          <w:spacing w:val="-6"/>
          <w:sz w:val="24"/>
          <w:szCs w:val="24"/>
        </w:rPr>
        <w:t>5</w:t>
      </w:r>
      <w:r>
        <w:rPr>
          <w:rFonts w:ascii="仿宋" w:hAnsi="仿宋" w:eastAsia="仿宋" w:cs="仿宋"/>
          <w:spacing w:val="-33"/>
          <w:sz w:val="24"/>
          <w:szCs w:val="24"/>
        </w:rPr>
        <w:t xml:space="preserve"> </w:t>
      </w:r>
      <w:r>
        <w:rPr>
          <w:rFonts w:ascii="仿宋" w:hAnsi="仿宋" w:eastAsia="仿宋" w:cs="仿宋"/>
          <w:spacing w:val="-6"/>
          <w:sz w:val="24"/>
          <w:szCs w:val="24"/>
        </w:rPr>
        <w:t>月</w:t>
      </w:r>
      <w:r>
        <w:rPr>
          <w:rFonts w:ascii="仿宋" w:hAnsi="仿宋" w:eastAsia="仿宋" w:cs="仿宋"/>
          <w:spacing w:val="-49"/>
          <w:sz w:val="24"/>
          <w:szCs w:val="24"/>
        </w:rPr>
        <w:t xml:space="preserve"> </w:t>
      </w:r>
      <w:r>
        <w:rPr>
          <w:rFonts w:ascii="仿宋" w:hAnsi="仿宋" w:eastAsia="仿宋" w:cs="仿宋"/>
          <w:spacing w:val="-6"/>
          <w:sz w:val="24"/>
          <w:szCs w:val="24"/>
        </w:rPr>
        <w:t>27 日；</w:t>
      </w:r>
    </w:p>
    <w:p w14:paraId="21D3F435">
      <w:pPr>
        <w:spacing w:line="359" w:lineRule="auto"/>
        <w:ind w:left="34" w:firstLine="479"/>
        <w:rPr>
          <w:rFonts w:ascii="仿宋" w:hAnsi="仿宋" w:eastAsia="仿宋" w:cs="仿宋"/>
          <w:sz w:val="24"/>
          <w:szCs w:val="24"/>
        </w:rPr>
      </w:pPr>
      <w:r>
        <w:rPr>
          <w:rFonts w:ascii="仿宋" w:hAnsi="仿宋" w:eastAsia="仿宋" w:cs="仿宋"/>
          <w:spacing w:val="-5"/>
          <w:sz w:val="24"/>
          <w:szCs w:val="24"/>
        </w:rPr>
        <w:t>（7）《关于加强环境噪声污染防治工作改善城乡声环境质量的指导意见》，</w:t>
      </w:r>
      <w:r>
        <w:rPr>
          <w:rFonts w:ascii="仿宋" w:hAnsi="仿宋" w:eastAsia="仿宋" w:cs="仿宋"/>
          <w:sz w:val="24"/>
          <w:szCs w:val="24"/>
        </w:rPr>
        <w:t xml:space="preserve"> </w:t>
      </w:r>
      <w:r>
        <w:rPr>
          <w:rFonts w:ascii="仿宋" w:hAnsi="仿宋" w:eastAsia="仿宋" w:cs="仿宋"/>
          <w:spacing w:val="-4"/>
          <w:sz w:val="24"/>
          <w:szCs w:val="24"/>
        </w:rPr>
        <w:t>（环发[</w:t>
      </w:r>
      <w:r>
        <w:fldChar w:fldCharType="begin"/>
      </w:r>
      <w:r>
        <w:instrText xml:space="preserve"> HYPERLINK \l "bookmark62" </w:instrText>
      </w:r>
      <w:r>
        <w:fldChar w:fldCharType="separate"/>
      </w:r>
      <w:r>
        <w:rPr>
          <w:rFonts w:ascii="仿宋" w:hAnsi="仿宋" w:eastAsia="仿宋" w:cs="仿宋"/>
          <w:spacing w:val="-4"/>
          <w:sz w:val="24"/>
          <w:szCs w:val="24"/>
        </w:rPr>
        <w:t>2010</w:t>
      </w:r>
      <w:r>
        <w:rPr>
          <w:rFonts w:ascii="仿宋" w:hAnsi="仿宋" w:eastAsia="仿宋" w:cs="仿宋"/>
          <w:spacing w:val="-4"/>
          <w:sz w:val="24"/>
          <w:szCs w:val="24"/>
        </w:rPr>
        <w:fldChar w:fldCharType="end"/>
      </w:r>
      <w:r>
        <w:rPr>
          <w:rFonts w:ascii="仿宋" w:hAnsi="仿宋" w:eastAsia="仿宋" w:cs="仿宋"/>
          <w:spacing w:val="-4"/>
          <w:sz w:val="24"/>
          <w:szCs w:val="24"/>
        </w:rPr>
        <w:t>]144</w:t>
      </w:r>
      <w:r>
        <w:rPr>
          <w:rFonts w:ascii="仿宋" w:hAnsi="仿宋" w:eastAsia="仿宋" w:cs="仿宋"/>
          <w:spacing w:val="-26"/>
          <w:sz w:val="24"/>
          <w:szCs w:val="24"/>
        </w:rPr>
        <w:t xml:space="preserve"> </w:t>
      </w:r>
      <w:r>
        <w:rPr>
          <w:rFonts w:ascii="仿宋" w:hAnsi="仿宋" w:eastAsia="仿宋" w:cs="仿宋"/>
          <w:spacing w:val="-4"/>
          <w:sz w:val="24"/>
          <w:szCs w:val="24"/>
        </w:rPr>
        <w:t>号；</w:t>
      </w:r>
    </w:p>
    <w:p w14:paraId="0BEC4B83">
      <w:pPr>
        <w:spacing w:before="1" w:line="220" w:lineRule="auto"/>
        <w:ind w:left="514"/>
        <w:rPr>
          <w:rFonts w:ascii="仿宋" w:hAnsi="仿宋" w:eastAsia="仿宋" w:cs="仿宋"/>
          <w:sz w:val="24"/>
          <w:szCs w:val="24"/>
        </w:rPr>
      </w:pPr>
      <w:r>
        <w:rPr>
          <w:rFonts w:ascii="仿宋" w:hAnsi="仿宋" w:eastAsia="仿宋" w:cs="仿宋"/>
          <w:spacing w:val="-2"/>
          <w:sz w:val="24"/>
          <w:szCs w:val="24"/>
        </w:rPr>
        <w:t>（8）《“十四五”噪声污染防治行动计划》，环大</w:t>
      </w:r>
      <w:r>
        <w:rPr>
          <w:rFonts w:ascii="仿宋" w:hAnsi="仿宋" w:eastAsia="仿宋" w:cs="仿宋"/>
          <w:spacing w:val="-3"/>
          <w:sz w:val="24"/>
          <w:szCs w:val="24"/>
        </w:rPr>
        <w:t>气[</w:t>
      </w:r>
      <w:r>
        <w:fldChar w:fldCharType="begin"/>
      </w:r>
      <w:r>
        <w:instrText xml:space="preserve"> HYPERLINK \l "bookmark63" </w:instrText>
      </w:r>
      <w:r>
        <w:fldChar w:fldCharType="separate"/>
      </w:r>
      <w:r>
        <w:rPr>
          <w:rFonts w:ascii="仿宋" w:hAnsi="仿宋" w:eastAsia="仿宋" w:cs="仿宋"/>
          <w:spacing w:val="-3"/>
          <w:sz w:val="24"/>
          <w:szCs w:val="24"/>
        </w:rPr>
        <w:t>2023</w:t>
      </w:r>
      <w:r>
        <w:rPr>
          <w:rFonts w:ascii="仿宋" w:hAnsi="仿宋" w:eastAsia="仿宋" w:cs="仿宋"/>
          <w:spacing w:val="-3"/>
          <w:sz w:val="24"/>
          <w:szCs w:val="24"/>
        </w:rPr>
        <w:fldChar w:fldCharType="end"/>
      </w:r>
      <w:r>
        <w:rPr>
          <w:rFonts w:ascii="仿宋" w:hAnsi="仿宋" w:eastAsia="仿宋" w:cs="仿宋"/>
          <w:spacing w:val="-3"/>
          <w:sz w:val="24"/>
          <w:szCs w:val="24"/>
        </w:rPr>
        <w:t>]1</w:t>
      </w:r>
      <w:r>
        <w:rPr>
          <w:rFonts w:ascii="仿宋" w:hAnsi="仿宋" w:eastAsia="仿宋" w:cs="仿宋"/>
          <w:spacing w:val="-38"/>
          <w:sz w:val="24"/>
          <w:szCs w:val="24"/>
        </w:rPr>
        <w:t xml:space="preserve"> </w:t>
      </w:r>
      <w:r>
        <w:rPr>
          <w:rFonts w:ascii="仿宋" w:hAnsi="仿宋" w:eastAsia="仿宋" w:cs="仿宋"/>
          <w:spacing w:val="-3"/>
          <w:sz w:val="24"/>
          <w:szCs w:val="24"/>
        </w:rPr>
        <w:t>号。</w:t>
      </w:r>
    </w:p>
    <w:p w14:paraId="419833D0">
      <w:pPr>
        <w:pStyle w:val="2"/>
        <w:spacing w:line="379" w:lineRule="auto"/>
        <w:rPr>
          <w:sz w:val="21"/>
        </w:rPr>
      </w:pPr>
    </w:p>
    <w:p w14:paraId="7D9492D9">
      <w:pPr>
        <w:spacing w:before="91" w:line="222" w:lineRule="auto"/>
        <w:ind w:left="44"/>
        <w:outlineLvl w:val="2"/>
        <w:rPr>
          <w:rFonts w:ascii="仿宋" w:hAnsi="仿宋" w:eastAsia="仿宋" w:cs="仿宋"/>
          <w:sz w:val="28"/>
          <w:szCs w:val="28"/>
        </w:rPr>
      </w:pPr>
      <w:bookmarkStart w:id="4" w:name="bookmark7"/>
      <w:bookmarkEnd w:id="4"/>
      <w:r>
        <w:rPr>
          <w:rFonts w:ascii="仿宋" w:hAnsi="仿宋" w:eastAsia="仿宋" w:cs="仿宋"/>
          <w:b/>
          <w:bCs/>
          <w:spacing w:val="-5"/>
          <w:sz w:val="28"/>
          <w:szCs w:val="28"/>
        </w:rPr>
        <w:t>1.1.2</w:t>
      </w:r>
      <w:r>
        <w:rPr>
          <w:rFonts w:ascii="仿宋" w:hAnsi="仿宋" w:eastAsia="仿宋" w:cs="仿宋"/>
          <w:spacing w:val="-50"/>
          <w:sz w:val="28"/>
          <w:szCs w:val="28"/>
        </w:rPr>
        <w:t xml:space="preserve"> </w:t>
      </w:r>
      <w:r>
        <w:rPr>
          <w:rFonts w:ascii="仿宋" w:hAnsi="仿宋" w:eastAsia="仿宋" w:cs="仿宋"/>
          <w:b/>
          <w:bCs/>
          <w:spacing w:val="-5"/>
          <w:sz w:val="28"/>
          <w:szCs w:val="28"/>
        </w:rPr>
        <w:t>相关导则、技术规范、标准</w:t>
      </w:r>
    </w:p>
    <w:p w14:paraId="6D80350D">
      <w:pPr>
        <w:spacing w:before="308" w:line="222" w:lineRule="auto"/>
        <w:ind w:left="514"/>
        <w:rPr>
          <w:rFonts w:ascii="仿宋" w:hAnsi="仿宋" w:eastAsia="仿宋" w:cs="仿宋"/>
          <w:sz w:val="24"/>
          <w:szCs w:val="24"/>
        </w:rPr>
      </w:pPr>
      <w:r>
        <w:rPr>
          <w:rFonts w:ascii="仿宋" w:hAnsi="仿宋" w:eastAsia="仿宋" w:cs="仿宋"/>
          <w:spacing w:val="-1"/>
          <w:sz w:val="24"/>
          <w:szCs w:val="24"/>
        </w:rPr>
        <w:t>（1）《建设项目环境影响评价技术导则 总纲》（HJ2.1-2016</w:t>
      </w:r>
      <w:r>
        <w:rPr>
          <w:rFonts w:ascii="仿宋" w:hAnsi="仿宋" w:eastAsia="仿宋" w:cs="仿宋"/>
          <w:spacing w:val="5"/>
          <w:sz w:val="24"/>
          <w:szCs w:val="24"/>
        </w:rPr>
        <w:t>）；</w:t>
      </w:r>
    </w:p>
    <w:p w14:paraId="10A7B713">
      <w:pPr>
        <w:spacing w:before="177" w:line="222" w:lineRule="auto"/>
        <w:ind w:left="514"/>
        <w:rPr>
          <w:rFonts w:ascii="仿宋" w:hAnsi="仿宋" w:eastAsia="仿宋" w:cs="仿宋"/>
          <w:sz w:val="24"/>
          <w:szCs w:val="24"/>
        </w:rPr>
      </w:pPr>
      <w:r>
        <w:rPr>
          <w:rFonts w:ascii="仿宋" w:hAnsi="仿宋" w:eastAsia="仿宋" w:cs="仿宋"/>
          <w:spacing w:val="-1"/>
          <w:sz w:val="24"/>
          <w:szCs w:val="24"/>
        </w:rPr>
        <w:t>（2）《环境影响评价技术导则 声环境》（HJ2.4-2021</w:t>
      </w:r>
      <w:r>
        <w:rPr>
          <w:rFonts w:ascii="仿宋" w:hAnsi="仿宋" w:eastAsia="仿宋" w:cs="仿宋"/>
          <w:spacing w:val="4"/>
          <w:sz w:val="24"/>
          <w:szCs w:val="24"/>
        </w:rPr>
        <w:t>）；</w:t>
      </w:r>
    </w:p>
    <w:p w14:paraId="311961F3">
      <w:pPr>
        <w:spacing w:before="180" w:line="222" w:lineRule="auto"/>
        <w:ind w:left="514"/>
        <w:rPr>
          <w:rFonts w:ascii="仿宋" w:hAnsi="仿宋" w:eastAsia="仿宋" w:cs="仿宋"/>
          <w:sz w:val="24"/>
          <w:szCs w:val="24"/>
        </w:rPr>
      </w:pPr>
      <w:r>
        <w:rPr>
          <w:rFonts w:ascii="仿宋" w:hAnsi="仿宋" w:eastAsia="仿宋" w:cs="仿宋"/>
          <w:spacing w:val="-1"/>
          <w:sz w:val="24"/>
          <w:szCs w:val="24"/>
        </w:rPr>
        <w:t>（3）《公路建设项目环境影响评价规范》（JTGB03-2006</w:t>
      </w:r>
      <w:r>
        <w:rPr>
          <w:rFonts w:ascii="仿宋" w:hAnsi="仿宋" w:eastAsia="仿宋" w:cs="仿宋"/>
          <w:spacing w:val="4"/>
          <w:sz w:val="24"/>
          <w:szCs w:val="24"/>
        </w:rPr>
        <w:t>）；</w:t>
      </w:r>
    </w:p>
    <w:p w14:paraId="7CBE1E9E">
      <w:pPr>
        <w:spacing w:before="176" w:line="222" w:lineRule="auto"/>
        <w:ind w:left="514"/>
        <w:rPr>
          <w:rFonts w:ascii="仿宋" w:hAnsi="仿宋" w:eastAsia="仿宋" w:cs="仿宋"/>
          <w:sz w:val="24"/>
          <w:szCs w:val="24"/>
        </w:rPr>
      </w:pPr>
      <w:r>
        <w:rPr>
          <w:rFonts w:ascii="仿宋" w:hAnsi="仿宋" w:eastAsia="仿宋" w:cs="仿宋"/>
          <w:spacing w:val="-1"/>
          <w:sz w:val="24"/>
          <w:szCs w:val="24"/>
        </w:rPr>
        <w:t>（4）《声环境功能区划分技术规范》（GB/T15190-2014</w:t>
      </w:r>
      <w:r>
        <w:rPr>
          <w:rFonts w:ascii="仿宋" w:hAnsi="仿宋" w:eastAsia="仿宋" w:cs="仿宋"/>
          <w:spacing w:val="5"/>
          <w:sz w:val="24"/>
          <w:szCs w:val="24"/>
        </w:rPr>
        <w:t>）；</w:t>
      </w:r>
    </w:p>
    <w:p w14:paraId="6DD8B0AA">
      <w:pPr>
        <w:spacing w:before="180" w:line="221" w:lineRule="auto"/>
        <w:ind w:left="514"/>
        <w:rPr>
          <w:rFonts w:ascii="仿宋" w:hAnsi="仿宋" w:eastAsia="仿宋" w:cs="仿宋"/>
          <w:sz w:val="24"/>
          <w:szCs w:val="24"/>
        </w:rPr>
      </w:pPr>
      <w:r>
        <w:rPr>
          <w:rFonts w:ascii="仿宋" w:hAnsi="仿宋" w:eastAsia="仿宋" w:cs="仿宋"/>
          <w:spacing w:val="-1"/>
          <w:sz w:val="24"/>
          <w:szCs w:val="24"/>
        </w:rPr>
        <w:t>（5）《公路环境保护设计规范》（JTGB04-2010</w:t>
      </w:r>
      <w:r>
        <w:rPr>
          <w:rFonts w:ascii="仿宋" w:hAnsi="仿宋" w:eastAsia="仿宋" w:cs="仿宋"/>
          <w:spacing w:val="2"/>
          <w:sz w:val="24"/>
          <w:szCs w:val="24"/>
        </w:rPr>
        <w:t>）；</w:t>
      </w:r>
    </w:p>
    <w:p w14:paraId="6ECB5EAA">
      <w:pPr>
        <w:spacing w:before="181" w:line="222" w:lineRule="auto"/>
        <w:ind w:left="514"/>
        <w:rPr>
          <w:rFonts w:ascii="仿宋" w:hAnsi="仿宋" w:eastAsia="仿宋" w:cs="仿宋"/>
          <w:sz w:val="24"/>
          <w:szCs w:val="24"/>
        </w:rPr>
      </w:pPr>
      <w:r>
        <w:rPr>
          <w:rFonts w:ascii="仿宋" w:hAnsi="仿宋" w:eastAsia="仿宋" w:cs="仿宋"/>
          <w:spacing w:val="-1"/>
          <w:sz w:val="24"/>
          <w:szCs w:val="24"/>
        </w:rPr>
        <w:t>（6）《公路交通噪声防治措施分类及技术要求》（JT/T1198-2018</w:t>
      </w:r>
      <w:r>
        <w:rPr>
          <w:rFonts w:ascii="仿宋" w:hAnsi="仿宋" w:eastAsia="仿宋" w:cs="仿宋"/>
          <w:spacing w:val="7"/>
          <w:sz w:val="24"/>
          <w:szCs w:val="24"/>
        </w:rPr>
        <w:t>）；</w:t>
      </w:r>
    </w:p>
    <w:p w14:paraId="0B6F29DA">
      <w:pPr>
        <w:spacing w:before="177" w:line="222" w:lineRule="auto"/>
        <w:ind w:left="514"/>
        <w:rPr>
          <w:rFonts w:ascii="仿宋" w:hAnsi="仿宋" w:eastAsia="仿宋" w:cs="仿宋"/>
          <w:sz w:val="24"/>
          <w:szCs w:val="24"/>
        </w:rPr>
      </w:pPr>
      <w:r>
        <w:rPr>
          <w:rFonts w:ascii="仿宋" w:hAnsi="仿宋" w:eastAsia="仿宋" w:cs="仿宋"/>
          <w:spacing w:val="-2"/>
          <w:sz w:val="24"/>
          <w:szCs w:val="24"/>
        </w:rPr>
        <w:t>（7）《地面交通噪声污染防治技术政策》（环发[</w:t>
      </w:r>
      <w:r>
        <w:fldChar w:fldCharType="begin"/>
      </w:r>
      <w:r>
        <w:instrText xml:space="preserve"> HYPERLINK \l "bookmark64" </w:instrText>
      </w:r>
      <w:r>
        <w:fldChar w:fldCharType="separate"/>
      </w:r>
      <w:r>
        <w:rPr>
          <w:rFonts w:ascii="仿宋" w:hAnsi="仿宋" w:eastAsia="仿宋" w:cs="仿宋"/>
          <w:spacing w:val="-2"/>
          <w:sz w:val="24"/>
          <w:szCs w:val="24"/>
        </w:rPr>
        <w:t>2010</w:t>
      </w:r>
      <w:r>
        <w:rPr>
          <w:rFonts w:ascii="仿宋" w:hAnsi="仿宋" w:eastAsia="仿宋" w:cs="仿宋"/>
          <w:spacing w:val="-2"/>
          <w:sz w:val="24"/>
          <w:szCs w:val="24"/>
        </w:rPr>
        <w:fldChar w:fldCharType="end"/>
      </w:r>
      <w:r>
        <w:rPr>
          <w:rFonts w:ascii="仿宋" w:hAnsi="仿宋" w:eastAsia="仿宋" w:cs="仿宋"/>
          <w:spacing w:val="-2"/>
          <w:sz w:val="24"/>
          <w:szCs w:val="24"/>
        </w:rPr>
        <w:t>]7</w:t>
      </w:r>
      <w:r>
        <w:rPr>
          <w:rFonts w:ascii="仿宋" w:hAnsi="仿宋" w:eastAsia="仿宋" w:cs="仿宋"/>
          <w:spacing w:val="-38"/>
          <w:sz w:val="24"/>
          <w:szCs w:val="24"/>
        </w:rPr>
        <w:t xml:space="preserve"> </w:t>
      </w:r>
      <w:r>
        <w:rPr>
          <w:rFonts w:ascii="仿宋" w:hAnsi="仿宋" w:eastAsia="仿宋" w:cs="仿宋"/>
          <w:spacing w:val="-2"/>
          <w:sz w:val="24"/>
          <w:szCs w:val="24"/>
        </w:rPr>
        <w:t>号</w:t>
      </w:r>
      <w:r>
        <w:rPr>
          <w:rFonts w:ascii="仿宋" w:hAnsi="仿宋" w:eastAsia="仿宋" w:cs="仿宋"/>
          <w:spacing w:val="8"/>
          <w:sz w:val="24"/>
          <w:szCs w:val="24"/>
        </w:rPr>
        <w:t>）；</w:t>
      </w:r>
    </w:p>
    <w:p w14:paraId="715EFA9E">
      <w:pPr>
        <w:spacing w:before="177" w:line="222" w:lineRule="auto"/>
        <w:ind w:left="514"/>
        <w:rPr>
          <w:rFonts w:ascii="仿宋" w:hAnsi="仿宋" w:eastAsia="仿宋" w:cs="仿宋"/>
          <w:sz w:val="24"/>
          <w:szCs w:val="24"/>
        </w:rPr>
      </w:pPr>
      <w:r>
        <w:rPr>
          <w:rFonts w:ascii="仿宋" w:hAnsi="仿宋" w:eastAsia="仿宋" w:cs="仿宋"/>
          <w:spacing w:val="-1"/>
          <w:sz w:val="24"/>
          <w:szCs w:val="24"/>
        </w:rPr>
        <w:t>（8）《公路工程技术标准》（JTGB01-2014</w:t>
      </w:r>
      <w:r>
        <w:rPr>
          <w:rFonts w:ascii="仿宋" w:hAnsi="仿宋" w:eastAsia="仿宋" w:cs="仿宋"/>
          <w:spacing w:val="1"/>
          <w:sz w:val="24"/>
          <w:szCs w:val="24"/>
        </w:rPr>
        <w:t>）；</w:t>
      </w:r>
    </w:p>
    <w:p w14:paraId="59274751">
      <w:pPr>
        <w:spacing w:before="178" w:line="222" w:lineRule="auto"/>
        <w:ind w:left="514"/>
        <w:rPr>
          <w:rFonts w:ascii="仿宋" w:hAnsi="仿宋" w:eastAsia="仿宋" w:cs="仿宋"/>
          <w:sz w:val="24"/>
          <w:szCs w:val="24"/>
        </w:rPr>
      </w:pPr>
      <w:r>
        <w:rPr>
          <w:rFonts w:ascii="仿宋" w:hAnsi="仿宋" w:eastAsia="仿宋" w:cs="仿宋"/>
          <w:spacing w:val="-1"/>
          <w:sz w:val="24"/>
          <w:szCs w:val="24"/>
        </w:rPr>
        <w:t>（9）《声屏障声学设计和测量规范》（HJ/T90-2004</w:t>
      </w:r>
      <w:r>
        <w:rPr>
          <w:rFonts w:ascii="仿宋" w:hAnsi="仿宋" w:eastAsia="仿宋" w:cs="仿宋"/>
          <w:spacing w:val="3"/>
          <w:sz w:val="24"/>
          <w:szCs w:val="24"/>
        </w:rPr>
        <w:t>）；</w:t>
      </w:r>
    </w:p>
    <w:p w14:paraId="51F26F6F">
      <w:pPr>
        <w:spacing w:before="177" w:line="222" w:lineRule="auto"/>
        <w:ind w:left="514"/>
        <w:rPr>
          <w:rFonts w:ascii="仿宋" w:hAnsi="仿宋" w:eastAsia="仿宋" w:cs="仿宋"/>
          <w:sz w:val="24"/>
          <w:szCs w:val="24"/>
        </w:rPr>
      </w:pPr>
      <w:r>
        <w:rPr>
          <w:rFonts w:ascii="仿宋" w:hAnsi="仿宋" w:eastAsia="仿宋" w:cs="仿宋"/>
          <w:spacing w:val="-1"/>
          <w:sz w:val="24"/>
          <w:szCs w:val="24"/>
        </w:rPr>
        <w:t>（10）《环境噪声与振动控制工程技术导则》（HJ2034-2013</w:t>
      </w:r>
      <w:r>
        <w:rPr>
          <w:rFonts w:ascii="仿宋" w:hAnsi="仿宋" w:eastAsia="仿宋" w:cs="仿宋"/>
          <w:spacing w:val="5"/>
          <w:sz w:val="24"/>
          <w:szCs w:val="24"/>
        </w:rPr>
        <w:t>）；</w:t>
      </w:r>
    </w:p>
    <w:p w14:paraId="62646D48">
      <w:pPr>
        <w:spacing w:before="181" w:line="222" w:lineRule="auto"/>
        <w:ind w:left="514"/>
        <w:rPr>
          <w:rFonts w:ascii="仿宋" w:hAnsi="仿宋" w:eastAsia="仿宋" w:cs="仿宋"/>
          <w:sz w:val="24"/>
          <w:szCs w:val="24"/>
        </w:rPr>
      </w:pPr>
      <w:r>
        <w:rPr>
          <w:rFonts w:ascii="仿宋" w:hAnsi="仿宋" w:eastAsia="仿宋" w:cs="仿宋"/>
          <w:spacing w:val="-1"/>
          <w:sz w:val="24"/>
          <w:szCs w:val="24"/>
        </w:rPr>
        <w:t>（11）《环境影响评价技术导则 公路建设项目》（HJ1358-2024）。</w:t>
      </w:r>
    </w:p>
    <w:p w14:paraId="7611FEEE">
      <w:pPr>
        <w:spacing w:line="222" w:lineRule="auto"/>
        <w:rPr>
          <w:rFonts w:ascii="仿宋" w:hAnsi="仿宋" w:eastAsia="仿宋" w:cs="仿宋"/>
          <w:sz w:val="24"/>
          <w:szCs w:val="24"/>
        </w:rPr>
        <w:sectPr>
          <w:footerReference r:id="rId133" w:type="default"/>
          <w:pgSz w:w="11906" w:h="16839"/>
          <w:pgMar w:top="400" w:right="1734" w:bottom="1370" w:left="1785" w:header="0" w:footer="1207" w:gutter="0"/>
          <w:cols w:space="720" w:num="1"/>
        </w:sectPr>
      </w:pPr>
    </w:p>
    <w:p w14:paraId="337E4BD0">
      <w:pPr>
        <w:pStyle w:val="2"/>
        <w:spacing w:line="278" w:lineRule="auto"/>
        <w:rPr>
          <w:sz w:val="21"/>
        </w:rPr>
      </w:pPr>
    </w:p>
    <w:p w14:paraId="42C4F2D6">
      <w:pPr>
        <w:pStyle w:val="2"/>
        <w:spacing w:line="278" w:lineRule="auto"/>
        <w:rPr>
          <w:sz w:val="21"/>
        </w:rPr>
      </w:pPr>
    </w:p>
    <w:p w14:paraId="6D994313">
      <w:pPr>
        <w:pStyle w:val="2"/>
        <w:spacing w:line="279" w:lineRule="auto"/>
        <w:rPr>
          <w:sz w:val="21"/>
        </w:rPr>
      </w:pPr>
    </w:p>
    <w:p w14:paraId="7270CAFE">
      <w:pPr>
        <w:pStyle w:val="2"/>
        <w:spacing w:line="279" w:lineRule="auto"/>
        <w:rPr>
          <w:sz w:val="21"/>
        </w:rPr>
      </w:pPr>
    </w:p>
    <w:p w14:paraId="54F83321">
      <w:pPr>
        <w:spacing w:before="91" w:line="222" w:lineRule="auto"/>
        <w:ind w:left="44"/>
        <w:outlineLvl w:val="2"/>
        <w:rPr>
          <w:rFonts w:ascii="仿宋" w:hAnsi="仿宋" w:eastAsia="仿宋" w:cs="仿宋"/>
          <w:sz w:val="28"/>
          <w:szCs w:val="28"/>
        </w:rPr>
      </w:pPr>
      <w:bookmarkStart w:id="5" w:name="bookmark8"/>
      <w:bookmarkEnd w:id="5"/>
      <w:r>
        <w:rPr>
          <w:rFonts w:ascii="仿宋" w:hAnsi="仿宋" w:eastAsia="仿宋" w:cs="仿宋"/>
          <w:b/>
          <w:bCs/>
          <w:spacing w:val="-7"/>
          <w:sz w:val="28"/>
          <w:szCs w:val="28"/>
        </w:rPr>
        <w:t>1.1.3</w:t>
      </w:r>
      <w:r>
        <w:rPr>
          <w:rFonts w:ascii="仿宋" w:hAnsi="仿宋" w:eastAsia="仿宋" w:cs="仿宋"/>
          <w:spacing w:val="-45"/>
          <w:sz w:val="28"/>
          <w:szCs w:val="28"/>
        </w:rPr>
        <w:t xml:space="preserve"> </w:t>
      </w:r>
      <w:r>
        <w:rPr>
          <w:rFonts w:ascii="仿宋" w:hAnsi="仿宋" w:eastAsia="仿宋" w:cs="仿宋"/>
          <w:b/>
          <w:bCs/>
          <w:spacing w:val="-7"/>
          <w:sz w:val="28"/>
          <w:szCs w:val="28"/>
        </w:rPr>
        <w:t>项目相关文件</w:t>
      </w:r>
    </w:p>
    <w:p w14:paraId="0366A05A">
      <w:pPr>
        <w:spacing w:before="305" w:line="359" w:lineRule="auto"/>
        <w:ind w:left="29" w:right="38" w:firstLine="485"/>
        <w:rPr>
          <w:rFonts w:ascii="仿宋" w:hAnsi="仿宋" w:eastAsia="仿宋" w:cs="仿宋"/>
          <w:sz w:val="24"/>
          <w:szCs w:val="24"/>
        </w:rPr>
      </w:pPr>
      <w:r>
        <w:rPr>
          <w:rFonts w:ascii="仿宋" w:hAnsi="仿宋" w:eastAsia="仿宋" w:cs="仿宋"/>
          <w:spacing w:val="-2"/>
          <w:sz w:val="24"/>
          <w:szCs w:val="24"/>
        </w:rPr>
        <w:t>（1）《准格尔旗2025</w:t>
      </w:r>
      <w:r>
        <w:rPr>
          <w:rFonts w:ascii="仿宋" w:hAnsi="仿宋" w:eastAsia="仿宋" w:cs="仿宋"/>
          <w:spacing w:val="-39"/>
          <w:sz w:val="24"/>
          <w:szCs w:val="24"/>
        </w:rPr>
        <w:t xml:space="preserve"> </w:t>
      </w:r>
      <w:r>
        <w:rPr>
          <w:rFonts w:ascii="仿宋" w:hAnsi="仿宋" w:eastAsia="仿宋" w:cs="仿宋"/>
          <w:spacing w:val="-2"/>
          <w:sz w:val="24"/>
          <w:szCs w:val="24"/>
        </w:rPr>
        <w:t>年沙圪堵镇、十二连城乡自然村通硬</w:t>
      </w:r>
      <w:r>
        <w:rPr>
          <w:rFonts w:ascii="仿宋" w:hAnsi="仿宋" w:eastAsia="仿宋" w:cs="仿宋"/>
          <w:spacing w:val="-3"/>
          <w:sz w:val="24"/>
          <w:szCs w:val="24"/>
        </w:rPr>
        <w:t>化路工程可行性</w:t>
      </w:r>
      <w:r>
        <w:rPr>
          <w:rFonts w:ascii="仿宋" w:hAnsi="仿宋" w:eastAsia="仿宋" w:cs="仿宋"/>
          <w:spacing w:val="-2"/>
          <w:sz w:val="24"/>
          <w:szCs w:val="24"/>
        </w:rPr>
        <w:t>研究报告》（鄂尔多斯市中交交通规划设计有限公司，2025</w:t>
      </w:r>
      <w:r>
        <w:rPr>
          <w:rFonts w:ascii="仿宋" w:hAnsi="仿宋" w:eastAsia="仿宋" w:cs="仿宋"/>
          <w:spacing w:val="-40"/>
          <w:sz w:val="24"/>
          <w:szCs w:val="24"/>
        </w:rPr>
        <w:t xml:space="preserve"> </w:t>
      </w:r>
      <w:r>
        <w:rPr>
          <w:rFonts w:ascii="仿宋" w:hAnsi="仿宋" w:eastAsia="仿宋" w:cs="仿宋"/>
          <w:spacing w:val="-2"/>
          <w:sz w:val="24"/>
          <w:szCs w:val="24"/>
        </w:rPr>
        <w:t>年</w:t>
      </w:r>
      <w:r>
        <w:rPr>
          <w:rFonts w:ascii="仿宋" w:hAnsi="仿宋" w:eastAsia="仿宋" w:cs="仿宋"/>
          <w:spacing w:val="-34"/>
          <w:sz w:val="24"/>
          <w:szCs w:val="24"/>
        </w:rPr>
        <w:t xml:space="preserve"> </w:t>
      </w:r>
      <w:r>
        <w:rPr>
          <w:rFonts w:ascii="仿宋" w:hAnsi="仿宋" w:eastAsia="仿宋" w:cs="仿宋"/>
          <w:spacing w:val="-2"/>
          <w:sz w:val="24"/>
          <w:szCs w:val="24"/>
        </w:rPr>
        <w:t>11</w:t>
      </w:r>
      <w:r>
        <w:rPr>
          <w:rFonts w:ascii="仿宋" w:hAnsi="仿宋" w:eastAsia="仿宋" w:cs="仿宋"/>
          <w:spacing w:val="-33"/>
          <w:sz w:val="24"/>
          <w:szCs w:val="24"/>
        </w:rPr>
        <w:t xml:space="preserve"> </w:t>
      </w:r>
      <w:r>
        <w:rPr>
          <w:rFonts w:ascii="仿宋" w:hAnsi="仿宋" w:eastAsia="仿宋" w:cs="仿宋"/>
          <w:spacing w:val="-2"/>
          <w:sz w:val="24"/>
          <w:szCs w:val="24"/>
        </w:rPr>
        <w:t>月</w:t>
      </w:r>
      <w:r>
        <w:rPr>
          <w:rFonts w:ascii="仿宋" w:hAnsi="仿宋" w:eastAsia="仿宋" w:cs="仿宋"/>
          <w:spacing w:val="-13"/>
          <w:sz w:val="24"/>
          <w:szCs w:val="24"/>
        </w:rPr>
        <w:t>）；</w:t>
      </w:r>
    </w:p>
    <w:p w14:paraId="6DBE992D">
      <w:pPr>
        <w:spacing w:before="2" w:line="360" w:lineRule="auto"/>
        <w:ind w:left="29" w:right="38" w:firstLine="485"/>
        <w:rPr>
          <w:rFonts w:ascii="仿宋" w:hAnsi="仿宋" w:eastAsia="仿宋" w:cs="仿宋"/>
          <w:sz w:val="24"/>
          <w:szCs w:val="24"/>
        </w:rPr>
      </w:pPr>
      <w:r>
        <w:rPr>
          <w:rFonts w:ascii="仿宋" w:hAnsi="仿宋" w:eastAsia="仿宋" w:cs="仿宋"/>
          <w:spacing w:val="-2"/>
          <w:sz w:val="24"/>
          <w:szCs w:val="24"/>
        </w:rPr>
        <w:t>（2）《准格尔旗2025</w:t>
      </w:r>
      <w:r>
        <w:rPr>
          <w:rFonts w:ascii="仿宋" w:hAnsi="仿宋" w:eastAsia="仿宋" w:cs="仿宋"/>
          <w:spacing w:val="-39"/>
          <w:sz w:val="24"/>
          <w:szCs w:val="24"/>
        </w:rPr>
        <w:t xml:space="preserve"> </w:t>
      </w:r>
      <w:r>
        <w:rPr>
          <w:rFonts w:ascii="仿宋" w:hAnsi="仿宋" w:eastAsia="仿宋" w:cs="仿宋"/>
          <w:spacing w:val="-2"/>
          <w:sz w:val="24"/>
          <w:szCs w:val="24"/>
        </w:rPr>
        <w:t>年沙圪堵镇、十二连城乡自然村通硬</w:t>
      </w:r>
      <w:r>
        <w:rPr>
          <w:rFonts w:ascii="仿宋" w:hAnsi="仿宋" w:eastAsia="仿宋" w:cs="仿宋"/>
          <w:spacing w:val="-3"/>
          <w:sz w:val="24"/>
          <w:szCs w:val="24"/>
        </w:rPr>
        <w:t>化路工程可行性</w:t>
      </w:r>
      <w:r>
        <w:rPr>
          <w:rFonts w:ascii="仿宋" w:hAnsi="仿宋" w:eastAsia="仿宋" w:cs="仿宋"/>
          <w:spacing w:val="-2"/>
          <w:sz w:val="24"/>
          <w:szCs w:val="24"/>
        </w:rPr>
        <w:t>研究报告的批复》（准发改审批发[</w:t>
      </w:r>
      <w:r>
        <w:fldChar w:fldCharType="begin"/>
      </w:r>
      <w:r>
        <w:instrText xml:space="preserve"> HYPERLINK \l "bookmark65" </w:instrText>
      </w:r>
      <w:r>
        <w:fldChar w:fldCharType="separate"/>
      </w:r>
      <w:r>
        <w:rPr>
          <w:rFonts w:ascii="仿宋" w:hAnsi="仿宋" w:eastAsia="仿宋" w:cs="仿宋"/>
          <w:spacing w:val="-2"/>
          <w:sz w:val="24"/>
          <w:szCs w:val="24"/>
        </w:rPr>
        <w:t>2025</w:t>
      </w:r>
      <w:r>
        <w:rPr>
          <w:rFonts w:ascii="仿宋" w:hAnsi="仿宋" w:eastAsia="仿宋" w:cs="仿宋"/>
          <w:spacing w:val="-2"/>
          <w:sz w:val="24"/>
          <w:szCs w:val="24"/>
        </w:rPr>
        <w:fldChar w:fldCharType="end"/>
      </w:r>
      <w:r>
        <w:rPr>
          <w:rFonts w:ascii="仿宋" w:hAnsi="仿宋" w:eastAsia="仿宋" w:cs="仿宋"/>
          <w:spacing w:val="-2"/>
          <w:sz w:val="24"/>
          <w:szCs w:val="24"/>
        </w:rPr>
        <w:t>]207</w:t>
      </w:r>
      <w:r>
        <w:rPr>
          <w:rFonts w:ascii="仿宋" w:hAnsi="仿宋" w:eastAsia="仿宋" w:cs="仿宋"/>
          <w:spacing w:val="-23"/>
          <w:sz w:val="24"/>
          <w:szCs w:val="24"/>
        </w:rPr>
        <w:t xml:space="preserve"> </w:t>
      </w:r>
      <w:r>
        <w:rPr>
          <w:rFonts w:ascii="仿宋" w:hAnsi="仿宋" w:eastAsia="仿宋" w:cs="仿宋"/>
          <w:spacing w:val="-2"/>
          <w:sz w:val="24"/>
          <w:szCs w:val="24"/>
        </w:rPr>
        <w:t>号）。</w:t>
      </w:r>
    </w:p>
    <w:p w14:paraId="0AD103AD">
      <w:pPr>
        <w:spacing w:before="212" w:line="228" w:lineRule="auto"/>
        <w:ind w:left="48"/>
        <w:outlineLvl w:val="1"/>
        <w:rPr>
          <w:rFonts w:ascii="仿宋" w:hAnsi="仿宋" w:eastAsia="仿宋" w:cs="仿宋"/>
          <w:sz w:val="31"/>
          <w:szCs w:val="31"/>
        </w:rPr>
      </w:pPr>
      <w:bookmarkStart w:id="6" w:name="bookmark10"/>
      <w:bookmarkEnd w:id="6"/>
      <w:bookmarkStart w:id="7" w:name="bookmark9"/>
      <w:bookmarkEnd w:id="7"/>
      <w:r>
        <w:rPr>
          <w:rFonts w:ascii="仿宋" w:hAnsi="仿宋" w:eastAsia="仿宋" w:cs="仿宋"/>
          <w:b/>
          <w:bCs/>
          <w:spacing w:val="2"/>
          <w:sz w:val="31"/>
          <w:szCs w:val="31"/>
        </w:rPr>
        <w:t>1.2</w:t>
      </w:r>
      <w:r>
        <w:rPr>
          <w:rFonts w:ascii="仿宋" w:hAnsi="仿宋" w:eastAsia="仿宋" w:cs="仿宋"/>
          <w:spacing w:val="2"/>
          <w:sz w:val="31"/>
          <w:szCs w:val="31"/>
        </w:rPr>
        <w:t xml:space="preserve"> </w:t>
      </w:r>
      <w:r>
        <w:rPr>
          <w:rFonts w:ascii="仿宋" w:hAnsi="仿宋" w:eastAsia="仿宋" w:cs="仿宋"/>
          <w:b/>
          <w:bCs/>
          <w:spacing w:val="2"/>
          <w:sz w:val="31"/>
          <w:szCs w:val="31"/>
        </w:rPr>
        <w:t>评价目的与原则</w:t>
      </w:r>
    </w:p>
    <w:p w14:paraId="5D8D565F">
      <w:pPr>
        <w:pStyle w:val="2"/>
        <w:spacing w:line="322" w:lineRule="auto"/>
        <w:rPr>
          <w:sz w:val="21"/>
        </w:rPr>
      </w:pPr>
    </w:p>
    <w:p w14:paraId="47CF1B4D">
      <w:pPr>
        <w:spacing w:before="92" w:line="223" w:lineRule="auto"/>
        <w:ind w:left="44"/>
        <w:outlineLvl w:val="2"/>
        <w:rPr>
          <w:rFonts w:ascii="仿宋" w:hAnsi="仿宋" w:eastAsia="仿宋" w:cs="仿宋"/>
          <w:sz w:val="28"/>
          <w:szCs w:val="28"/>
        </w:rPr>
      </w:pPr>
      <w:r>
        <w:rPr>
          <w:rFonts w:ascii="仿宋" w:hAnsi="仿宋" w:eastAsia="仿宋" w:cs="仿宋"/>
          <w:b/>
          <w:bCs/>
          <w:spacing w:val="-8"/>
          <w:sz w:val="28"/>
          <w:szCs w:val="28"/>
        </w:rPr>
        <w:t>1.2.1</w:t>
      </w:r>
      <w:r>
        <w:rPr>
          <w:rFonts w:ascii="仿宋" w:hAnsi="仿宋" w:eastAsia="仿宋" w:cs="仿宋"/>
          <w:spacing w:val="-48"/>
          <w:sz w:val="28"/>
          <w:szCs w:val="28"/>
        </w:rPr>
        <w:t xml:space="preserve"> </w:t>
      </w:r>
      <w:r>
        <w:rPr>
          <w:rFonts w:ascii="仿宋" w:hAnsi="仿宋" w:eastAsia="仿宋" w:cs="仿宋"/>
          <w:b/>
          <w:bCs/>
          <w:spacing w:val="-8"/>
          <w:sz w:val="28"/>
          <w:szCs w:val="28"/>
        </w:rPr>
        <w:t>评价目的</w:t>
      </w:r>
    </w:p>
    <w:p w14:paraId="2131570B">
      <w:pPr>
        <w:spacing w:before="311" w:line="359" w:lineRule="auto"/>
        <w:ind w:left="29" w:firstLine="481"/>
        <w:jc w:val="both"/>
        <w:rPr>
          <w:rFonts w:ascii="仿宋" w:hAnsi="仿宋" w:eastAsia="仿宋" w:cs="仿宋"/>
          <w:sz w:val="24"/>
          <w:szCs w:val="24"/>
        </w:rPr>
      </w:pPr>
      <w:r>
        <w:rPr>
          <w:rFonts w:ascii="仿宋" w:hAnsi="仿宋" w:eastAsia="仿宋" w:cs="仿宋"/>
          <w:spacing w:val="-3"/>
          <w:sz w:val="24"/>
          <w:szCs w:val="24"/>
        </w:rPr>
        <w:t>本次噪声专项评价结合本项目乡村四级公路、</w:t>
      </w:r>
      <w:r>
        <w:rPr>
          <w:rFonts w:ascii="仿宋" w:hAnsi="仿宋" w:eastAsia="仿宋" w:cs="仿宋"/>
          <w:spacing w:val="-4"/>
          <w:sz w:val="24"/>
          <w:szCs w:val="24"/>
        </w:rPr>
        <w:t>低车速、小交通量、沿线紧邻</w:t>
      </w:r>
      <w:r>
        <w:rPr>
          <w:rFonts w:ascii="仿宋" w:hAnsi="仿宋" w:eastAsia="仿宋" w:cs="仿宋"/>
          <w:spacing w:val="-2"/>
          <w:sz w:val="24"/>
          <w:szCs w:val="24"/>
        </w:rPr>
        <w:t>村落住户的工程特点，通过现场调查、现状监测、源强分析、模式预测等手段，</w:t>
      </w:r>
      <w:r>
        <w:rPr>
          <w:rFonts w:ascii="仿宋" w:hAnsi="仿宋" w:eastAsia="仿宋" w:cs="仿宋"/>
          <w:spacing w:val="-3"/>
          <w:sz w:val="24"/>
          <w:szCs w:val="24"/>
        </w:rPr>
        <w:t>查明项目评价范围内声环境质量现状水平；识别施工期机械作业、运</w:t>
      </w:r>
      <w:r>
        <w:rPr>
          <w:rFonts w:ascii="仿宋" w:hAnsi="仿宋" w:eastAsia="仿宋" w:cs="仿宋"/>
          <w:spacing w:val="-4"/>
          <w:sz w:val="24"/>
          <w:szCs w:val="24"/>
        </w:rPr>
        <w:t>输通行及运</w:t>
      </w:r>
      <w:r>
        <w:rPr>
          <w:rFonts w:ascii="仿宋" w:hAnsi="仿宋" w:eastAsia="仿宋" w:cs="仿宋"/>
          <w:spacing w:val="-3"/>
          <w:sz w:val="24"/>
          <w:szCs w:val="24"/>
        </w:rPr>
        <w:t>营期交通噪声的污染特征，定量预测工程建设及运营对沿线村庄、零</w:t>
      </w:r>
      <w:r>
        <w:rPr>
          <w:rFonts w:ascii="仿宋" w:hAnsi="仿宋" w:eastAsia="仿宋" w:cs="仿宋"/>
          <w:spacing w:val="-4"/>
          <w:sz w:val="24"/>
          <w:szCs w:val="24"/>
        </w:rPr>
        <w:t>散居民等声</w:t>
      </w:r>
      <w:r>
        <w:rPr>
          <w:rFonts w:ascii="仿宋" w:hAnsi="仿宋" w:eastAsia="仿宋" w:cs="仿宋"/>
          <w:spacing w:val="-3"/>
          <w:sz w:val="24"/>
          <w:szCs w:val="24"/>
        </w:rPr>
        <w:t>环境敏感目标的影响程度与范围。通过科学分析论证，客观评价项目</w:t>
      </w:r>
      <w:r>
        <w:rPr>
          <w:rFonts w:ascii="仿宋" w:hAnsi="仿宋" w:eastAsia="仿宋" w:cs="仿宋"/>
          <w:spacing w:val="-4"/>
          <w:sz w:val="24"/>
          <w:szCs w:val="24"/>
        </w:rPr>
        <w:t>建设的声环</w:t>
      </w:r>
      <w:r>
        <w:rPr>
          <w:rFonts w:ascii="仿宋" w:hAnsi="仿宋" w:eastAsia="仿宋" w:cs="仿宋"/>
          <w:spacing w:val="-3"/>
          <w:sz w:val="24"/>
          <w:szCs w:val="24"/>
        </w:rPr>
        <w:t>境可行性，提出经济合理、技术可行、贴合乡村实际的噪声防治、管</w:t>
      </w:r>
      <w:r>
        <w:rPr>
          <w:rFonts w:ascii="仿宋" w:hAnsi="仿宋" w:eastAsia="仿宋" w:cs="仿宋"/>
          <w:spacing w:val="-4"/>
          <w:sz w:val="24"/>
          <w:szCs w:val="24"/>
        </w:rPr>
        <w:t>控及应急管</w:t>
      </w:r>
      <w:r>
        <w:rPr>
          <w:rFonts w:ascii="仿宋" w:hAnsi="仿宋" w:eastAsia="仿宋" w:cs="仿宋"/>
          <w:spacing w:val="-3"/>
          <w:sz w:val="24"/>
          <w:szCs w:val="24"/>
        </w:rPr>
        <w:t>理措施，最大限度减缓项目噪声对沿线居民生活、休憩的不利影响，</w:t>
      </w:r>
      <w:r>
        <w:rPr>
          <w:rFonts w:ascii="仿宋" w:hAnsi="仿宋" w:eastAsia="仿宋" w:cs="仿宋"/>
          <w:spacing w:val="-4"/>
          <w:sz w:val="24"/>
          <w:szCs w:val="24"/>
        </w:rPr>
        <w:t>为项目环保</w:t>
      </w:r>
      <w:r>
        <w:rPr>
          <w:rFonts w:ascii="仿宋" w:hAnsi="仿宋" w:eastAsia="仿宋" w:cs="仿宋"/>
          <w:spacing w:val="-1"/>
          <w:sz w:val="24"/>
          <w:szCs w:val="24"/>
        </w:rPr>
        <w:t>审批、工程设计优化、施工运营环境管理提供科学、可靠的技术依据。</w:t>
      </w:r>
    </w:p>
    <w:p w14:paraId="096C21C4">
      <w:pPr>
        <w:spacing w:before="287" w:line="223" w:lineRule="auto"/>
        <w:ind w:left="44"/>
        <w:outlineLvl w:val="2"/>
        <w:rPr>
          <w:rFonts w:ascii="仿宋" w:hAnsi="仿宋" w:eastAsia="仿宋" w:cs="仿宋"/>
          <w:sz w:val="28"/>
          <w:szCs w:val="28"/>
        </w:rPr>
      </w:pPr>
      <w:bookmarkStart w:id="8" w:name="bookmark11"/>
      <w:bookmarkEnd w:id="8"/>
      <w:r>
        <w:rPr>
          <w:rFonts w:ascii="仿宋" w:hAnsi="仿宋" w:eastAsia="仿宋" w:cs="仿宋"/>
          <w:b/>
          <w:bCs/>
          <w:spacing w:val="-8"/>
          <w:sz w:val="28"/>
          <w:szCs w:val="28"/>
        </w:rPr>
        <w:t>1.2.2</w:t>
      </w:r>
      <w:r>
        <w:rPr>
          <w:rFonts w:ascii="仿宋" w:hAnsi="仿宋" w:eastAsia="仿宋" w:cs="仿宋"/>
          <w:spacing w:val="-48"/>
          <w:sz w:val="28"/>
          <w:szCs w:val="28"/>
        </w:rPr>
        <w:t xml:space="preserve"> </w:t>
      </w:r>
      <w:r>
        <w:rPr>
          <w:rFonts w:ascii="仿宋" w:hAnsi="仿宋" w:eastAsia="仿宋" w:cs="仿宋"/>
          <w:b/>
          <w:bCs/>
          <w:spacing w:val="-8"/>
          <w:sz w:val="28"/>
          <w:szCs w:val="28"/>
        </w:rPr>
        <w:t>评价原则</w:t>
      </w:r>
    </w:p>
    <w:p w14:paraId="75E2999C">
      <w:pPr>
        <w:spacing w:before="304" w:line="360" w:lineRule="auto"/>
        <w:ind w:left="29" w:right="38" w:firstLine="485"/>
        <w:rPr>
          <w:rFonts w:ascii="仿宋" w:hAnsi="仿宋" w:eastAsia="仿宋" w:cs="仿宋"/>
          <w:sz w:val="24"/>
          <w:szCs w:val="24"/>
        </w:rPr>
      </w:pPr>
      <w:r>
        <w:rPr>
          <w:rFonts w:ascii="仿宋" w:hAnsi="仿宋" w:eastAsia="仿宋" w:cs="仿宋"/>
          <w:sz w:val="24"/>
          <w:szCs w:val="24"/>
        </w:rPr>
        <w:t>（1）依法合规评价原则：严格遵守国家及地方生态环境保护法律法规，严格依据《环境影响评价技术导则 声环境》《建设项目环境影响报告表编制技术</w:t>
      </w:r>
      <w:r>
        <w:rPr>
          <w:rFonts w:ascii="仿宋" w:hAnsi="仿宋" w:eastAsia="仿宋" w:cs="仿宋"/>
          <w:spacing w:val="-2"/>
          <w:sz w:val="24"/>
          <w:szCs w:val="24"/>
        </w:rPr>
        <w:t>指南（生态影响类</w:t>
      </w:r>
      <w:r>
        <w:rPr>
          <w:rFonts w:ascii="仿宋" w:hAnsi="仿宋" w:eastAsia="仿宋" w:cs="仿宋"/>
          <w:spacing w:val="-22"/>
          <w:sz w:val="24"/>
          <w:szCs w:val="24"/>
        </w:rPr>
        <w:t>）（</w:t>
      </w:r>
      <w:r>
        <w:rPr>
          <w:rFonts w:ascii="仿宋" w:hAnsi="仿宋" w:eastAsia="仿宋" w:cs="仿宋"/>
          <w:spacing w:val="-2"/>
          <w:sz w:val="24"/>
          <w:szCs w:val="24"/>
        </w:rPr>
        <w:t>试行）》等规范开展评价工作，评价方法、预测参数、标</w:t>
      </w:r>
      <w:r>
        <w:rPr>
          <w:rFonts w:ascii="仿宋" w:hAnsi="仿宋" w:eastAsia="仿宋" w:cs="仿宋"/>
          <w:spacing w:val="-1"/>
          <w:sz w:val="24"/>
          <w:szCs w:val="24"/>
        </w:rPr>
        <w:t>准适用、结论判定均严格合规，确保评价成果合法有效。</w:t>
      </w:r>
    </w:p>
    <w:p w14:paraId="622614B8">
      <w:pPr>
        <w:spacing w:before="4" w:line="358" w:lineRule="auto"/>
        <w:ind w:left="31" w:right="38" w:firstLine="483"/>
        <w:rPr>
          <w:rFonts w:ascii="仿宋" w:hAnsi="仿宋" w:eastAsia="仿宋" w:cs="仿宋"/>
          <w:sz w:val="24"/>
          <w:szCs w:val="24"/>
        </w:rPr>
      </w:pPr>
      <w:r>
        <w:rPr>
          <w:rFonts w:ascii="仿宋" w:hAnsi="仿宋" w:eastAsia="仿宋" w:cs="仿宋"/>
          <w:sz w:val="24"/>
          <w:szCs w:val="24"/>
        </w:rPr>
        <w:t>（2）客观真实公正原则：以现场踏勘情况、实测数据、工程资料为基础，</w:t>
      </w:r>
      <w:r>
        <w:rPr>
          <w:rFonts w:ascii="仿宋" w:hAnsi="仿宋" w:eastAsia="仿宋" w:cs="仿宋"/>
          <w:spacing w:val="-3"/>
          <w:sz w:val="24"/>
          <w:szCs w:val="24"/>
        </w:rPr>
        <w:t>如实反映区域声环境现状，客观分析施工期、运营期噪声污染</w:t>
      </w:r>
      <w:r>
        <w:rPr>
          <w:rFonts w:ascii="仿宋" w:hAnsi="仿宋" w:eastAsia="仿宋" w:cs="仿宋"/>
          <w:spacing w:val="-4"/>
          <w:sz w:val="24"/>
          <w:szCs w:val="24"/>
        </w:rPr>
        <w:t>影响，真实揭示存</w:t>
      </w:r>
      <w:r>
        <w:rPr>
          <w:rFonts w:ascii="仿宋" w:hAnsi="仿宋" w:eastAsia="仿宋" w:cs="仿宋"/>
          <w:spacing w:val="-3"/>
          <w:sz w:val="24"/>
          <w:szCs w:val="24"/>
        </w:rPr>
        <w:t>在的环境问题，不夸大、不回避环境影响，保证评价内容真实</w:t>
      </w:r>
      <w:r>
        <w:rPr>
          <w:rFonts w:ascii="仿宋" w:hAnsi="仿宋" w:eastAsia="仿宋" w:cs="仿宋"/>
          <w:spacing w:val="-4"/>
          <w:sz w:val="24"/>
          <w:szCs w:val="24"/>
        </w:rPr>
        <w:t>、数据准确、结论</w:t>
      </w:r>
      <w:r>
        <w:rPr>
          <w:rFonts w:ascii="仿宋" w:hAnsi="仿宋" w:eastAsia="仿宋" w:cs="仿宋"/>
          <w:spacing w:val="-6"/>
          <w:sz w:val="24"/>
          <w:szCs w:val="24"/>
        </w:rPr>
        <w:t>公正。</w:t>
      </w:r>
    </w:p>
    <w:p w14:paraId="1FABBABB">
      <w:pPr>
        <w:spacing w:before="2" w:line="359" w:lineRule="auto"/>
        <w:ind w:left="72" w:right="38" w:firstLine="442"/>
        <w:rPr>
          <w:rFonts w:ascii="仿宋" w:hAnsi="仿宋" w:eastAsia="仿宋" w:cs="仿宋"/>
          <w:sz w:val="24"/>
          <w:szCs w:val="24"/>
        </w:rPr>
      </w:pPr>
      <w:r>
        <w:rPr>
          <w:rFonts w:ascii="仿宋" w:hAnsi="仿宋" w:eastAsia="仿宋" w:cs="仿宋"/>
          <w:sz w:val="24"/>
          <w:szCs w:val="24"/>
        </w:rPr>
        <w:t>（3）突出重点、以人为本原则：以沿线村庄、零散居住住户等声环境敏感</w:t>
      </w:r>
      <w:r>
        <w:rPr>
          <w:rFonts w:ascii="仿宋" w:hAnsi="仿宋" w:eastAsia="仿宋" w:cs="仿宋"/>
          <w:spacing w:val="-4"/>
          <w:sz w:val="24"/>
          <w:szCs w:val="24"/>
        </w:rPr>
        <w:t>目标为评价重点，聚焦居民日常居住休憩环境，重</w:t>
      </w:r>
      <w:r>
        <w:rPr>
          <w:rFonts w:ascii="仿宋" w:hAnsi="仿宋" w:eastAsia="仿宋" w:cs="仿宋"/>
          <w:spacing w:val="-5"/>
          <w:sz w:val="24"/>
          <w:szCs w:val="24"/>
        </w:rPr>
        <w:t>点排查近距离路段噪声影响问</w:t>
      </w:r>
    </w:p>
    <w:p w14:paraId="644A3BDF">
      <w:pPr>
        <w:spacing w:line="359" w:lineRule="auto"/>
        <w:rPr>
          <w:rFonts w:ascii="仿宋" w:hAnsi="仿宋" w:eastAsia="仿宋" w:cs="仿宋"/>
          <w:sz w:val="24"/>
          <w:szCs w:val="24"/>
        </w:rPr>
        <w:sectPr>
          <w:footerReference r:id="rId134" w:type="default"/>
          <w:pgSz w:w="11906" w:h="16839"/>
          <w:pgMar w:top="400" w:right="1760" w:bottom="1370" w:left="1785" w:header="0" w:footer="1207" w:gutter="0"/>
          <w:cols w:space="720" w:num="1"/>
        </w:sectPr>
      </w:pPr>
    </w:p>
    <w:p w14:paraId="3847897F">
      <w:pPr>
        <w:pStyle w:val="2"/>
        <w:spacing w:line="247" w:lineRule="auto"/>
        <w:rPr>
          <w:sz w:val="21"/>
        </w:rPr>
      </w:pPr>
    </w:p>
    <w:p w14:paraId="755681BF">
      <w:pPr>
        <w:pStyle w:val="2"/>
        <w:spacing w:line="247" w:lineRule="auto"/>
        <w:rPr>
          <w:sz w:val="21"/>
        </w:rPr>
      </w:pPr>
    </w:p>
    <w:p w14:paraId="3C3554FE">
      <w:pPr>
        <w:pStyle w:val="2"/>
        <w:spacing w:line="248" w:lineRule="auto"/>
        <w:rPr>
          <w:sz w:val="21"/>
        </w:rPr>
      </w:pPr>
    </w:p>
    <w:p w14:paraId="68E291DB">
      <w:pPr>
        <w:pStyle w:val="2"/>
        <w:spacing w:line="248" w:lineRule="auto"/>
        <w:rPr>
          <w:sz w:val="21"/>
        </w:rPr>
      </w:pPr>
    </w:p>
    <w:p w14:paraId="30DE62D7">
      <w:pPr>
        <w:spacing w:before="78" w:line="221" w:lineRule="auto"/>
        <w:ind w:left="30"/>
        <w:rPr>
          <w:rFonts w:ascii="仿宋" w:hAnsi="仿宋" w:eastAsia="仿宋" w:cs="仿宋"/>
          <w:sz w:val="24"/>
          <w:szCs w:val="24"/>
        </w:rPr>
      </w:pPr>
      <w:r>
        <w:rPr>
          <w:rFonts w:ascii="仿宋" w:hAnsi="仿宋" w:eastAsia="仿宋" w:cs="仿宋"/>
          <w:spacing w:val="-2"/>
          <w:sz w:val="24"/>
          <w:szCs w:val="24"/>
        </w:rPr>
        <w:t>题，优先保障乡村人居声环境质量。</w:t>
      </w:r>
    </w:p>
    <w:p w14:paraId="73D89E8B">
      <w:pPr>
        <w:spacing w:before="179" w:line="359" w:lineRule="auto"/>
        <w:ind w:left="34" w:right="203" w:firstLine="480"/>
        <w:rPr>
          <w:rFonts w:ascii="仿宋" w:hAnsi="仿宋" w:eastAsia="仿宋" w:cs="仿宋"/>
          <w:sz w:val="24"/>
          <w:szCs w:val="24"/>
        </w:rPr>
      </w:pPr>
      <w:r>
        <w:rPr>
          <w:rFonts w:ascii="仿宋" w:hAnsi="仿宋" w:eastAsia="仿宋" w:cs="仿宋"/>
          <w:sz w:val="24"/>
          <w:szCs w:val="24"/>
        </w:rPr>
        <w:t>（4）全过程控制原则：统筹覆盖项目施工期临时噪声影响与运营期长期交</w:t>
      </w:r>
      <w:r>
        <w:rPr>
          <w:rFonts w:ascii="仿宋" w:hAnsi="仿宋" w:eastAsia="仿宋" w:cs="仿宋"/>
          <w:spacing w:val="-3"/>
          <w:sz w:val="24"/>
          <w:szCs w:val="24"/>
        </w:rPr>
        <w:t>通噪声影响，系统分析不同阶段的噪声污染特征，针对</w:t>
      </w:r>
      <w:r>
        <w:rPr>
          <w:rFonts w:ascii="仿宋" w:hAnsi="仿宋" w:eastAsia="仿宋" w:cs="仿宋"/>
          <w:spacing w:val="-4"/>
          <w:sz w:val="24"/>
          <w:szCs w:val="24"/>
        </w:rPr>
        <w:t>性提出全过程、全周期的</w:t>
      </w:r>
      <w:r>
        <w:rPr>
          <w:rFonts w:ascii="仿宋" w:hAnsi="仿宋" w:eastAsia="仿宋" w:cs="仿宋"/>
          <w:spacing w:val="-1"/>
          <w:sz w:val="24"/>
          <w:szCs w:val="24"/>
        </w:rPr>
        <w:t>噪声管控与治理措施，实现项目环境风险可控。</w:t>
      </w:r>
    </w:p>
    <w:p w14:paraId="166F0B77">
      <w:pPr>
        <w:spacing w:line="359" w:lineRule="auto"/>
        <w:ind w:left="33" w:right="203" w:firstLine="481"/>
        <w:rPr>
          <w:rFonts w:ascii="仿宋" w:hAnsi="仿宋" w:eastAsia="仿宋" w:cs="仿宋"/>
          <w:sz w:val="24"/>
          <w:szCs w:val="24"/>
        </w:rPr>
      </w:pPr>
      <w:r>
        <w:rPr>
          <w:rFonts w:ascii="仿宋" w:hAnsi="仿宋" w:eastAsia="仿宋" w:cs="仿宋"/>
          <w:sz w:val="24"/>
          <w:szCs w:val="24"/>
        </w:rPr>
        <w:t>（5）经济适用、因地制宜原则：结合本项目农村公路建设特点，坚持实用</w:t>
      </w:r>
      <w:r>
        <w:rPr>
          <w:rFonts w:ascii="仿宋" w:hAnsi="仿宋" w:eastAsia="仿宋" w:cs="仿宋"/>
          <w:spacing w:val="-3"/>
          <w:sz w:val="24"/>
          <w:szCs w:val="24"/>
        </w:rPr>
        <w:t>性与经济性统一，防治措施贴合乡村现场条件、简易可行</w:t>
      </w:r>
      <w:r>
        <w:rPr>
          <w:rFonts w:ascii="仿宋" w:hAnsi="仿宋" w:eastAsia="仿宋" w:cs="仿宋"/>
          <w:spacing w:val="-4"/>
          <w:sz w:val="24"/>
          <w:szCs w:val="24"/>
        </w:rPr>
        <w:t>、落地性强，杜绝过度</w:t>
      </w:r>
      <w:r>
        <w:rPr>
          <w:rFonts w:ascii="仿宋" w:hAnsi="仿宋" w:eastAsia="仿宋" w:cs="仿宋"/>
          <w:spacing w:val="-1"/>
          <w:sz w:val="24"/>
          <w:szCs w:val="24"/>
        </w:rPr>
        <w:t>治理，兼顾工程建设实际与生态环境保护要求。</w:t>
      </w:r>
    </w:p>
    <w:p w14:paraId="0ACDECBA">
      <w:pPr>
        <w:spacing w:before="219" w:line="227" w:lineRule="auto"/>
        <w:ind w:left="48"/>
        <w:outlineLvl w:val="1"/>
        <w:rPr>
          <w:rFonts w:ascii="仿宋" w:hAnsi="仿宋" w:eastAsia="仿宋" w:cs="仿宋"/>
          <w:sz w:val="31"/>
          <w:szCs w:val="31"/>
        </w:rPr>
      </w:pPr>
      <w:bookmarkStart w:id="9" w:name="bookmark13"/>
      <w:bookmarkEnd w:id="9"/>
      <w:bookmarkStart w:id="10" w:name="bookmark12"/>
      <w:bookmarkEnd w:id="10"/>
      <w:r>
        <w:rPr>
          <w:rFonts w:ascii="仿宋" w:hAnsi="仿宋" w:eastAsia="仿宋" w:cs="仿宋"/>
          <w:b/>
          <w:bCs/>
          <w:spacing w:val="4"/>
          <w:sz w:val="31"/>
          <w:szCs w:val="31"/>
        </w:rPr>
        <w:t>1.3</w:t>
      </w:r>
      <w:r>
        <w:rPr>
          <w:rFonts w:ascii="仿宋" w:hAnsi="仿宋" w:eastAsia="仿宋" w:cs="仿宋"/>
          <w:spacing w:val="4"/>
          <w:sz w:val="31"/>
          <w:szCs w:val="31"/>
        </w:rPr>
        <w:t xml:space="preserve"> </w:t>
      </w:r>
      <w:r>
        <w:rPr>
          <w:rFonts w:ascii="仿宋" w:hAnsi="仿宋" w:eastAsia="仿宋" w:cs="仿宋"/>
          <w:b/>
          <w:bCs/>
          <w:spacing w:val="4"/>
          <w:sz w:val="31"/>
          <w:szCs w:val="31"/>
        </w:rPr>
        <w:t>声环境功能区及评价标准</w:t>
      </w:r>
    </w:p>
    <w:p w14:paraId="2344E141">
      <w:pPr>
        <w:pStyle w:val="2"/>
        <w:spacing w:line="324" w:lineRule="auto"/>
        <w:rPr>
          <w:sz w:val="21"/>
        </w:rPr>
      </w:pPr>
    </w:p>
    <w:p w14:paraId="34695469">
      <w:pPr>
        <w:spacing w:before="91" w:line="222" w:lineRule="auto"/>
        <w:ind w:left="44"/>
        <w:outlineLvl w:val="2"/>
        <w:rPr>
          <w:rFonts w:ascii="仿宋" w:hAnsi="仿宋" w:eastAsia="仿宋" w:cs="仿宋"/>
          <w:sz w:val="28"/>
          <w:szCs w:val="28"/>
        </w:rPr>
      </w:pPr>
      <w:r>
        <w:rPr>
          <w:rFonts w:ascii="仿宋" w:hAnsi="仿宋" w:eastAsia="仿宋" w:cs="仿宋"/>
          <w:b/>
          <w:bCs/>
          <w:spacing w:val="-7"/>
          <w:sz w:val="28"/>
          <w:szCs w:val="28"/>
        </w:rPr>
        <w:t>1.3.1</w:t>
      </w:r>
      <w:r>
        <w:rPr>
          <w:rFonts w:ascii="仿宋" w:hAnsi="仿宋" w:eastAsia="仿宋" w:cs="仿宋"/>
          <w:spacing w:val="-45"/>
          <w:sz w:val="28"/>
          <w:szCs w:val="28"/>
        </w:rPr>
        <w:t xml:space="preserve"> </w:t>
      </w:r>
      <w:r>
        <w:rPr>
          <w:rFonts w:ascii="仿宋" w:hAnsi="仿宋" w:eastAsia="仿宋" w:cs="仿宋"/>
          <w:b/>
          <w:bCs/>
          <w:spacing w:val="-7"/>
          <w:sz w:val="28"/>
          <w:szCs w:val="28"/>
        </w:rPr>
        <w:t>声环境功能区</w:t>
      </w:r>
    </w:p>
    <w:p w14:paraId="489F98EF">
      <w:pPr>
        <w:spacing w:before="307" w:line="359" w:lineRule="auto"/>
        <w:ind w:left="32" w:right="203" w:firstLine="483"/>
        <w:rPr>
          <w:rFonts w:ascii="仿宋" w:hAnsi="仿宋" w:eastAsia="仿宋" w:cs="仿宋"/>
          <w:sz w:val="24"/>
          <w:szCs w:val="24"/>
        </w:rPr>
      </w:pPr>
      <w:r>
        <w:rPr>
          <w:rFonts w:ascii="仿宋" w:hAnsi="仿宋" w:eastAsia="仿宋" w:cs="仿宋"/>
          <w:spacing w:val="-2"/>
          <w:sz w:val="24"/>
          <w:szCs w:val="24"/>
        </w:rPr>
        <w:t>紧邻兴巴高速布设的路段涉及</w:t>
      </w:r>
      <w:r>
        <w:rPr>
          <w:rFonts w:ascii="仿宋" w:hAnsi="仿宋" w:eastAsia="仿宋" w:cs="仿宋"/>
          <w:spacing w:val="-53"/>
          <w:sz w:val="24"/>
          <w:szCs w:val="24"/>
        </w:rPr>
        <w:t xml:space="preserve"> </w:t>
      </w:r>
      <w:r>
        <w:rPr>
          <w:rFonts w:ascii="仿宋" w:hAnsi="仿宋" w:eastAsia="仿宋" w:cs="仿宋"/>
          <w:spacing w:val="-2"/>
          <w:sz w:val="24"/>
          <w:szCs w:val="24"/>
        </w:rPr>
        <w:t>4a</w:t>
      </w:r>
      <w:r>
        <w:rPr>
          <w:rFonts w:ascii="仿宋" w:hAnsi="仿宋" w:eastAsia="仿宋" w:cs="仿宋"/>
          <w:spacing w:val="-39"/>
          <w:sz w:val="24"/>
          <w:szCs w:val="24"/>
        </w:rPr>
        <w:t xml:space="preserve"> </w:t>
      </w:r>
      <w:r>
        <w:rPr>
          <w:rFonts w:ascii="仿宋" w:hAnsi="仿宋" w:eastAsia="仿宋" w:cs="仿宋"/>
          <w:spacing w:val="-2"/>
          <w:sz w:val="24"/>
          <w:szCs w:val="24"/>
        </w:rPr>
        <w:t>类声环境功能区；其他路段均</w:t>
      </w:r>
      <w:r>
        <w:rPr>
          <w:rFonts w:ascii="仿宋" w:hAnsi="仿宋" w:eastAsia="仿宋" w:cs="仿宋"/>
          <w:spacing w:val="-3"/>
          <w:sz w:val="24"/>
          <w:szCs w:val="24"/>
        </w:rPr>
        <w:t>为</w:t>
      </w:r>
      <w:r>
        <w:rPr>
          <w:rFonts w:ascii="仿宋" w:hAnsi="仿宋" w:eastAsia="仿宋" w:cs="仿宋"/>
          <w:spacing w:val="-33"/>
          <w:sz w:val="24"/>
          <w:szCs w:val="24"/>
        </w:rPr>
        <w:t xml:space="preserve"> </w:t>
      </w:r>
      <w:r>
        <w:rPr>
          <w:rFonts w:ascii="仿宋" w:hAnsi="仿宋" w:eastAsia="仿宋" w:cs="仿宋"/>
          <w:spacing w:val="-3"/>
          <w:sz w:val="24"/>
          <w:szCs w:val="24"/>
        </w:rPr>
        <w:t>1</w:t>
      </w:r>
      <w:r>
        <w:rPr>
          <w:rFonts w:ascii="仿宋" w:hAnsi="仿宋" w:eastAsia="仿宋" w:cs="仿宋"/>
          <w:spacing w:val="-42"/>
          <w:sz w:val="24"/>
          <w:szCs w:val="24"/>
        </w:rPr>
        <w:t xml:space="preserve"> </w:t>
      </w:r>
      <w:r>
        <w:rPr>
          <w:rFonts w:ascii="仿宋" w:hAnsi="仿宋" w:eastAsia="仿宋" w:cs="仿宋"/>
          <w:spacing w:val="-3"/>
          <w:sz w:val="24"/>
          <w:szCs w:val="24"/>
        </w:rPr>
        <w:t>类声环</w:t>
      </w:r>
      <w:r>
        <w:rPr>
          <w:rFonts w:ascii="仿宋" w:hAnsi="仿宋" w:eastAsia="仿宋" w:cs="仿宋"/>
          <w:spacing w:val="-4"/>
          <w:sz w:val="24"/>
          <w:szCs w:val="24"/>
        </w:rPr>
        <w:t>境功能区。</w:t>
      </w:r>
    </w:p>
    <w:p w14:paraId="30687A23">
      <w:pPr>
        <w:spacing w:before="292" w:line="223" w:lineRule="auto"/>
        <w:ind w:left="44"/>
        <w:outlineLvl w:val="2"/>
        <w:rPr>
          <w:rFonts w:ascii="仿宋" w:hAnsi="仿宋" w:eastAsia="仿宋" w:cs="仿宋"/>
          <w:sz w:val="28"/>
          <w:szCs w:val="28"/>
        </w:rPr>
      </w:pPr>
      <w:bookmarkStart w:id="11" w:name="bookmark14"/>
      <w:bookmarkEnd w:id="11"/>
      <w:r>
        <w:rPr>
          <w:rFonts w:ascii="仿宋" w:hAnsi="仿宋" w:eastAsia="仿宋" w:cs="仿宋"/>
          <w:b/>
          <w:bCs/>
          <w:spacing w:val="-6"/>
          <w:sz w:val="28"/>
          <w:szCs w:val="28"/>
        </w:rPr>
        <w:t>1.3.2</w:t>
      </w:r>
      <w:r>
        <w:rPr>
          <w:rFonts w:ascii="仿宋" w:hAnsi="仿宋" w:eastAsia="仿宋" w:cs="仿宋"/>
          <w:spacing w:val="-52"/>
          <w:sz w:val="28"/>
          <w:szCs w:val="28"/>
        </w:rPr>
        <w:t xml:space="preserve"> </w:t>
      </w:r>
      <w:r>
        <w:rPr>
          <w:rFonts w:ascii="仿宋" w:hAnsi="仿宋" w:eastAsia="仿宋" w:cs="仿宋"/>
          <w:b/>
          <w:bCs/>
          <w:spacing w:val="-6"/>
          <w:sz w:val="28"/>
          <w:szCs w:val="28"/>
        </w:rPr>
        <w:t>声环境质量标准</w:t>
      </w:r>
    </w:p>
    <w:p w14:paraId="1340CFAE">
      <w:pPr>
        <w:spacing w:before="307" w:line="359" w:lineRule="auto"/>
        <w:ind w:left="29" w:firstLine="480"/>
        <w:jc w:val="both"/>
        <w:rPr>
          <w:rFonts w:ascii="仿宋" w:hAnsi="仿宋" w:eastAsia="仿宋" w:cs="仿宋"/>
          <w:sz w:val="24"/>
          <w:szCs w:val="24"/>
        </w:rPr>
      </w:pPr>
      <w:r>
        <w:rPr>
          <w:rFonts w:ascii="仿宋" w:hAnsi="仿宋" w:eastAsia="仿宋" w:cs="仿宋"/>
          <w:spacing w:val="-3"/>
          <w:sz w:val="24"/>
          <w:szCs w:val="24"/>
        </w:rPr>
        <w:t>沿黄巨合滩出口东至天顺圪梁通村路沿兴巴高速</w:t>
      </w:r>
      <w:r>
        <w:rPr>
          <w:rFonts w:ascii="仿宋" w:hAnsi="仿宋" w:eastAsia="仿宋" w:cs="仿宋"/>
          <w:spacing w:val="-4"/>
          <w:sz w:val="24"/>
          <w:szCs w:val="24"/>
        </w:rPr>
        <w:t>北侧布设，全线处于兴巴高</w:t>
      </w:r>
      <w:r>
        <w:rPr>
          <w:rFonts w:ascii="仿宋" w:hAnsi="仿宋" w:eastAsia="仿宋" w:cs="仿宋"/>
          <w:spacing w:val="2"/>
          <w:sz w:val="24"/>
          <w:szCs w:val="24"/>
        </w:rPr>
        <w:t>速用地边界外侧</w:t>
      </w:r>
      <w:r>
        <w:rPr>
          <w:rFonts w:ascii="仿宋" w:hAnsi="仿宋" w:eastAsia="仿宋" w:cs="仿宋"/>
          <w:spacing w:val="-34"/>
          <w:sz w:val="24"/>
          <w:szCs w:val="24"/>
        </w:rPr>
        <w:t xml:space="preserve"> </w:t>
      </w:r>
      <w:r>
        <w:rPr>
          <w:rFonts w:ascii="仿宋" w:hAnsi="仿宋" w:eastAsia="仿宋" w:cs="仿宋"/>
          <w:spacing w:val="2"/>
          <w:sz w:val="24"/>
          <w:szCs w:val="24"/>
        </w:rPr>
        <w:t>50m</w:t>
      </w:r>
      <w:r>
        <w:rPr>
          <w:rFonts w:ascii="仿宋" w:hAnsi="仿宋" w:eastAsia="仿宋" w:cs="仿宋"/>
          <w:spacing w:val="-26"/>
          <w:sz w:val="24"/>
          <w:szCs w:val="24"/>
        </w:rPr>
        <w:t xml:space="preserve"> </w:t>
      </w:r>
      <w:r>
        <w:rPr>
          <w:rFonts w:ascii="仿宋" w:hAnsi="仿宋" w:eastAsia="仿宋" w:cs="仿宋"/>
          <w:spacing w:val="2"/>
          <w:sz w:val="24"/>
          <w:szCs w:val="24"/>
        </w:rPr>
        <w:t>范围内，拟建公路用地边线与兴巴高速用地边线最小间距</w:t>
      </w:r>
      <w:r>
        <w:rPr>
          <w:rFonts w:ascii="仿宋" w:hAnsi="仿宋" w:eastAsia="仿宋" w:cs="仿宋"/>
          <w:sz w:val="24"/>
          <w:szCs w:val="24"/>
        </w:rPr>
        <w:t xml:space="preserve"> </w:t>
      </w:r>
      <w:r>
        <w:rPr>
          <w:rFonts w:ascii="仿宋" w:hAnsi="仿宋" w:eastAsia="仿宋" w:cs="仿宋"/>
          <w:spacing w:val="-2"/>
          <w:sz w:val="24"/>
          <w:szCs w:val="24"/>
        </w:rPr>
        <w:t>12m。结合噪声区划要求：本段通村公路中心线两侧200m</w:t>
      </w:r>
      <w:r>
        <w:rPr>
          <w:rFonts w:ascii="仿宋" w:hAnsi="仿宋" w:eastAsia="仿宋" w:cs="仿宋"/>
          <w:spacing w:val="-34"/>
          <w:sz w:val="24"/>
          <w:szCs w:val="24"/>
        </w:rPr>
        <w:t xml:space="preserve"> </w:t>
      </w:r>
      <w:r>
        <w:rPr>
          <w:rFonts w:ascii="仿宋" w:hAnsi="仿宋" w:eastAsia="仿宋" w:cs="仿宋"/>
          <w:spacing w:val="-2"/>
          <w:sz w:val="24"/>
          <w:szCs w:val="24"/>
        </w:rPr>
        <w:t>评价范围内，对应兴巴</w:t>
      </w:r>
      <w:r>
        <w:rPr>
          <w:rFonts w:ascii="仿宋" w:hAnsi="仿宋" w:eastAsia="仿宋" w:cs="仿宋"/>
          <w:sz w:val="24"/>
          <w:szCs w:val="24"/>
        </w:rPr>
        <w:t>高速用地边界两侧50m</w:t>
      </w:r>
      <w:r>
        <w:rPr>
          <w:rFonts w:ascii="仿宋" w:hAnsi="仿宋" w:eastAsia="仿宋" w:cs="仿宋"/>
          <w:spacing w:val="-21"/>
          <w:sz w:val="24"/>
          <w:szCs w:val="24"/>
        </w:rPr>
        <w:t xml:space="preserve"> </w:t>
      </w:r>
      <w:r>
        <w:rPr>
          <w:rFonts w:ascii="仿宋" w:hAnsi="仿宋" w:eastAsia="仿宋" w:cs="仿宋"/>
          <w:sz w:val="24"/>
          <w:szCs w:val="24"/>
        </w:rPr>
        <w:t>区域执行</w:t>
      </w:r>
      <w:r>
        <w:rPr>
          <w:rFonts w:ascii="仿宋" w:hAnsi="仿宋" w:eastAsia="仿宋" w:cs="仿宋"/>
          <w:spacing w:val="-53"/>
          <w:sz w:val="24"/>
          <w:szCs w:val="24"/>
        </w:rPr>
        <w:t xml:space="preserve"> </w:t>
      </w:r>
      <w:r>
        <w:rPr>
          <w:rFonts w:ascii="仿宋" w:hAnsi="仿宋" w:eastAsia="仿宋" w:cs="仿宋"/>
          <w:sz w:val="24"/>
          <w:szCs w:val="24"/>
        </w:rPr>
        <w:t>4a</w:t>
      </w:r>
      <w:r>
        <w:rPr>
          <w:rFonts w:ascii="仿宋" w:hAnsi="仿宋" w:eastAsia="仿宋" w:cs="仿宋"/>
          <w:spacing w:val="-39"/>
          <w:sz w:val="24"/>
          <w:szCs w:val="24"/>
        </w:rPr>
        <w:t xml:space="preserve"> </w:t>
      </w:r>
      <w:r>
        <w:rPr>
          <w:rFonts w:ascii="仿宋" w:hAnsi="仿宋" w:eastAsia="仿宋" w:cs="仿宋"/>
          <w:sz w:val="24"/>
          <w:szCs w:val="24"/>
        </w:rPr>
        <w:t>类标准，超出高速边界50m 以外的剩余评价</w:t>
      </w:r>
      <w:r>
        <w:rPr>
          <w:rFonts w:ascii="仿宋" w:hAnsi="仿宋" w:eastAsia="仿宋" w:cs="仿宋"/>
          <w:spacing w:val="-4"/>
          <w:sz w:val="24"/>
          <w:szCs w:val="24"/>
        </w:rPr>
        <w:t>区域执行</w:t>
      </w:r>
      <w:r>
        <w:rPr>
          <w:rFonts w:ascii="仿宋" w:hAnsi="仿宋" w:eastAsia="仿宋" w:cs="仿宋"/>
          <w:spacing w:val="-34"/>
          <w:sz w:val="24"/>
          <w:szCs w:val="24"/>
        </w:rPr>
        <w:t xml:space="preserve"> </w:t>
      </w:r>
      <w:r>
        <w:rPr>
          <w:rFonts w:ascii="仿宋" w:hAnsi="仿宋" w:eastAsia="仿宋" w:cs="仿宋"/>
          <w:spacing w:val="-4"/>
          <w:sz w:val="24"/>
          <w:szCs w:val="24"/>
        </w:rPr>
        <w:t>1</w:t>
      </w:r>
      <w:r>
        <w:rPr>
          <w:rFonts w:ascii="仿宋" w:hAnsi="仿宋" w:eastAsia="仿宋" w:cs="仿宋"/>
          <w:spacing w:val="-41"/>
          <w:sz w:val="24"/>
          <w:szCs w:val="24"/>
        </w:rPr>
        <w:t xml:space="preserve"> </w:t>
      </w:r>
      <w:r>
        <w:rPr>
          <w:rFonts w:ascii="仿宋" w:hAnsi="仿宋" w:eastAsia="仿宋" w:cs="仿宋"/>
          <w:spacing w:val="-4"/>
          <w:sz w:val="24"/>
          <w:szCs w:val="24"/>
        </w:rPr>
        <w:t>类标准；其余线路紧邻村庄分布，</w:t>
      </w:r>
      <w:r>
        <w:rPr>
          <w:rFonts w:ascii="仿宋" w:hAnsi="仿宋" w:eastAsia="仿宋" w:cs="仿宋"/>
          <w:spacing w:val="-5"/>
          <w:sz w:val="24"/>
          <w:szCs w:val="24"/>
        </w:rPr>
        <w:t>沿线村庄工业生产活动偏少，因此该部分路段公路中心线两侧200m</w:t>
      </w:r>
      <w:r>
        <w:rPr>
          <w:rFonts w:ascii="仿宋" w:hAnsi="仿宋" w:eastAsia="仿宋" w:cs="仿宋"/>
          <w:spacing w:val="-50"/>
          <w:sz w:val="24"/>
          <w:szCs w:val="24"/>
        </w:rPr>
        <w:t xml:space="preserve"> </w:t>
      </w:r>
      <w:r>
        <w:rPr>
          <w:rFonts w:ascii="仿宋" w:hAnsi="仿宋" w:eastAsia="仿宋" w:cs="仿宋"/>
          <w:spacing w:val="-5"/>
          <w:sz w:val="24"/>
          <w:szCs w:val="24"/>
        </w:rPr>
        <w:t>评价范围整体执行</w:t>
      </w:r>
      <w:r>
        <w:rPr>
          <w:rFonts w:ascii="仿宋" w:hAnsi="仿宋" w:eastAsia="仿宋" w:cs="仿宋"/>
          <w:spacing w:val="-41"/>
          <w:sz w:val="24"/>
          <w:szCs w:val="24"/>
        </w:rPr>
        <w:t xml:space="preserve"> </w:t>
      </w:r>
      <w:r>
        <w:rPr>
          <w:rFonts w:ascii="仿宋" w:hAnsi="仿宋" w:eastAsia="仿宋" w:cs="仿宋"/>
          <w:spacing w:val="-5"/>
          <w:sz w:val="24"/>
          <w:szCs w:val="24"/>
        </w:rPr>
        <w:t>1</w:t>
      </w:r>
      <w:r>
        <w:rPr>
          <w:rFonts w:ascii="仿宋" w:hAnsi="仿宋" w:eastAsia="仿宋" w:cs="仿宋"/>
          <w:spacing w:val="-49"/>
          <w:sz w:val="24"/>
          <w:szCs w:val="24"/>
        </w:rPr>
        <w:t xml:space="preserve"> </w:t>
      </w:r>
      <w:r>
        <w:rPr>
          <w:rFonts w:ascii="仿宋" w:hAnsi="仿宋" w:eastAsia="仿宋" w:cs="仿宋"/>
          <w:spacing w:val="-5"/>
          <w:sz w:val="24"/>
          <w:szCs w:val="24"/>
        </w:rPr>
        <w:t>类环境标准。</w:t>
      </w:r>
      <w:r>
        <w:rPr>
          <w:rFonts w:ascii="仿宋" w:hAnsi="仿宋" w:eastAsia="仿宋" w:cs="仿宋"/>
          <w:spacing w:val="-6"/>
          <w:sz w:val="24"/>
          <w:szCs w:val="24"/>
        </w:rPr>
        <w:t>详见表</w:t>
      </w:r>
      <w:r>
        <w:rPr>
          <w:rFonts w:ascii="仿宋" w:hAnsi="仿宋" w:eastAsia="仿宋" w:cs="仿宋"/>
          <w:spacing w:val="-38"/>
          <w:sz w:val="24"/>
          <w:szCs w:val="24"/>
        </w:rPr>
        <w:t xml:space="preserve"> </w:t>
      </w:r>
      <w:r>
        <w:rPr>
          <w:rFonts w:ascii="仿宋" w:hAnsi="仿宋" w:eastAsia="仿宋" w:cs="仿宋"/>
          <w:spacing w:val="-6"/>
          <w:sz w:val="24"/>
          <w:szCs w:val="24"/>
        </w:rPr>
        <w:t>1.3-1。</w:t>
      </w:r>
    </w:p>
    <w:p w14:paraId="3AC73298">
      <w:pPr>
        <w:spacing w:line="221" w:lineRule="auto"/>
        <w:ind w:left="2043"/>
        <w:rPr>
          <w:rFonts w:ascii="仿宋" w:hAnsi="仿宋" w:eastAsia="仿宋" w:cs="仿宋"/>
          <w:sz w:val="24"/>
          <w:szCs w:val="24"/>
        </w:rPr>
      </w:pPr>
      <w:r>
        <w:rPr>
          <w:rFonts w:ascii="仿宋" w:hAnsi="仿宋" w:eastAsia="仿宋" w:cs="仿宋"/>
          <w:b/>
          <w:bCs/>
          <w:spacing w:val="-4"/>
          <w:sz w:val="24"/>
          <w:szCs w:val="24"/>
        </w:rPr>
        <w:t>表</w:t>
      </w:r>
      <w:r>
        <w:rPr>
          <w:rFonts w:ascii="仿宋" w:hAnsi="仿宋" w:eastAsia="仿宋" w:cs="仿宋"/>
          <w:spacing w:val="-34"/>
          <w:sz w:val="24"/>
          <w:szCs w:val="24"/>
        </w:rPr>
        <w:t xml:space="preserve"> </w:t>
      </w:r>
      <w:r>
        <w:rPr>
          <w:rFonts w:ascii="仿宋" w:hAnsi="仿宋" w:eastAsia="仿宋" w:cs="仿宋"/>
          <w:b/>
          <w:bCs/>
          <w:spacing w:val="-4"/>
          <w:sz w:val="24"/>
          <w:szCs w:val="24"/>
        </w:rPr>
        <w:t>1.3-1</w:t>
      </w:r>
      <w:r>
        <w:rPr>
          <w:rFonts w:ascii="仿宋" w:hAnsi="仿宋" w:eastAsia="仿宋" w:cs="仿宋"/>
          <w:spacing w:val="-4"/>
          <w:sz w:val="24"/>
          <w:szCs w:val="24"/>
        </w:rPr>
        <w:t xml:space="preserve">   </w:t>
      </w:r>
      <w:r>
        <w:rPr>
          <w:rFonts w:ascii="仿宋" w:hAnsi="仿宋" w:eastAsia="仿宋" w:cs="仿宋"/>
          <w:b/>
          <w:bCs/>
          <w:spacing w:val="-4"/>
          <w:sz w:val="24"/>
          <w:szCs w:val="24"/>
        </w:rPr>
        <w:t>声环境质量标准</w:t>
      </w:r>
      <w:r>
        <w:rPr>
          <w:rFonts w:ascii="仿宋" w:hAnsi="仿宋" w:eastAsia="仿宋" w:cs="仿宋"/>
          <w:spacing w:val="11"/>
          <w:sz w:val="24"/>
          <w:szCs w:val="24"/>
        </w:rPr>
        <w:t xml:space="preserve">  </w:t>
      </w:r>
      <w:r>
        <w:rPr>
          <w:rFonts w:ascii="仿宋" w:hAnsi="仿宋" w:eastAsia="仿宋" w:cs="仿宋"/>
          <w:b/>
          <w:bCs/>
          <w:spacing w:val="-4"/>
          <w:sz w:val="24"/>
          <w:szCs w:val="24"/>
        </w:rPr>
        <w:t>单位：d</w:t>
      </w:r>
      <w:r>
        <w:rPr>
          <w:rFonts w:ascii="仿宋" w:hAnsi="仿宋" w:eastAsia="仿宋" w:cs="仿宋"/>
          <w:b/>
          <w:bCs/>
          <w:spacing w:val="-5"/>
          <w:sz w:val="24"/>
          <w:szCs w:val="24"/>
        </w:rPr>
        <w:t>B（A）</w:t>
      </w:r>
    </w:p>
    <w:p w14:paraId="09AECF74">
      <w:pPr>
        <w:spacing w:line="144" w:lineRule="exact"/>
      </w:pPr>
    </w:p>
    <w:tbl>
      <w:tblPr>
        <w:tblStyle w:val="5"/>
        <w:tblW w:w="8305"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84"/>
        <w:gridCol w:w="615"/>
        <w:gridCol w:w="645"/>
        <w:gridCol w:w="2520"/>
        <w:gridCol w:w="3641"/>
      </w:tblGrid>
      <w:tr w14:paraId="33CFC7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884" w:type="dxa"/>
            <w:vMerge w:val="restart"/>
            <w:tcBorders>
              <w:top w:val="single" w:color="000000" w:sz="10" w:space="0"/>
              <w:left w:val="nil"/>
              <w:bottom w:val="nil"/>
            </w:tcBorders>
            <w:vAlign w:val="top"/>
          </w:tcPr>
          <w:p w14:paraId="2645EE65">
            <w:pPr>
              <w:spacing w:before="175" w:line="230" w:lineRule="auto"/>
              <w:ind w:left="32"/>
              <w:rPr>
                <w:rFonts w:ascii="仿宋" w:hAnsi="仿宋" w:eastAsia="仿宋" w:cs="仿宋"/>
                <w:sz w:val="20"/>
                <w:szCs w:val="20"/>
              </w:rPr>
            </w:pPr>
            <w:r>
              <w:rPr>
                <w:rFonts w:ascii="仿宋" w:hAnsi="仿宋" w:eastAsia="仿宋" w:cs="仿宋"/>
                <w:spacing w:val="6"/>
                <w:sz w:val="20"/>
                <w:szCs w:val="20"/>
              </w:rPr>
              <w:t>声功能区</w:t>
            </w:r>
          </w:p>
        </w:tc>
        <w:tc>
          <w:tcPr>
            <w:tcW w:w="1260" w:type="dxa"/>
            <w:gridSpan w:val="2"/>
            <w:tcBorders>
              <w:top w:val="single" w:color="000000" w:sz="10" w:space="0"/>
            </w:tcBorders>
            <w:vAlign w:val="top"/>
          </w:tcPr>
          <w:p w14:paraId="518F4E0C">
            <w:pPr>
              <w:spacing w:before="36" w:line="213" w:lineRule="auto"/>
              <w:ind w:left="221"/>
              <w:rPr>
                <w:rFonts w:ascii="仿宋" w:hAnsi="仿宋" w:eastAsia="仿宋" w:cs="仿宋"/>
                <w:sz w:val="20"/>
                <w:szCs w:val="20"/>
              </w:rPr>
            </w:pPr>
            <w:r>
              <w:rPr>
                <w:rFonts w:ascii="仿宋" w:hAnsi="仿宋" w:eastAsia="仿宋" w:cs="仿宋"/>
                <w:spacing w:val="6"/>
                <w:sz w:val="20"/>
                <w:szCs w:val="20"/>
              </w:rPr>
              <w:t>标准限值</w:t>
            </w:r>
          </w:p>
        </w:tc>
        <w:tc>
          <w:tcPr>
            <w:tcW w:w="2520" w:type="dxa"/>
            <w:vMerge w:val="restart"/>
            <w:tcBorders>
              <w:top w:val="single" w:color="000000" w:sz="10" w:space="0"/>
              <w:bottom w:val="nil"/>
            </w:tcBorders>
            <w:vAlign w:val="top"/>
          </w:tcPr>
          <w:p w14:paraId="13D2F861">
            <w:pPr>
              <w:spacing w:before="174" w:line="232" w:lineRule="auto"/>
              <w:ind w:left="849"/>
              <w:rPr>
                <w:rFonts w:ascii="仿宋" w:hAnsi="仿宋" w:eastAsia="仿宋" w:cs="仿宋"/>
                <w:sz w:val="20"/>
                <w:szCs w:val="20"/>
              </w:rPr>
            </w:pPr>
            <w:r>
              <w:rPr>
                <w:rFonts w:ascii="仿宋" w:hAnsi="仿宋" w:eastAsia="仿宋" w:cs="仿宋"/>
                <w:spacing w:val="6"/>
                <w:sz w:val="20"/>
                <w:szCs w:val="20"/>
              </w:rPr>
              <w:t>适用路段</w:t>
            </w:r>
          </w:p>
        </w:tc>
        <w:tc>
          <w:tcPr>
            <w:tcW w:w="3641" w:type="dxa"/>
            <w:vMerge w:val="restart"/>
            <w:tcBorders>
              <w:top w:val="single" w:color="000000" w:sz="10" w:space="0"/>
              <w:bottom w:val="nil"/>
              <w:right w:val="nil"/>
            </w:tcBorders>
            <w:vAlign w:val="top"/>
          </w:tcPr>
          <w:p w14:paraId="697B00A2">
            <w:pPr>
              <w:spacing w:before="175" w:line="232" w:lineRule="auto"/>
              <w:ind w:left="1413"/>
              <w:rPr>
                <w:rFonts w:ascii="仿宋" w:hAnsi="仿宋" w:eastAsia="仿宋" w:cs="仿宋"/>
                <w:sz w:val="20"/>
                <w:szCs w:val="20"/>
              </w:rPr>
            </w:pPr>
            <w:r>
              <w:rPr>
                <w:rFonts w:ascii="仿宋" w:hAnsi="仿宋" w:eastAsia="仿宋" w:cs="仿宋"/>
                <w:spacing w:val="6"/>
                <w:sz w:val="20"/>
                <w:szCs w:val="20"/>
              </w:rPr>
              <w:t>适用区域</w:t>
            </w:r>
          </w:p>
        </w:tc>
      </w:tr>
      <w:tr w14:paraId="5256A0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4" w:hRule="atLeast"/>
        </w:trPr>
        <w:tc>
          <w:tcPr>
            <w:tcW w:w="884" w:type="dxa"/>
            <w:vMerge w:val="continue"/>
            <w:tcBorders>
              <w:top w:val="nil"/>
              <w:left w:val="nil"/>
            </w:tcBorders>
            <w:vAlign w:val="top"/>
          </w:tcPr>
          <w:p w14:paraId="28BBDE0A">
            <w:pPr>
              <w:rPr>
                <w:rFonts w:ascii="Arial"/>
                <w:sz w:val="21"/>
              </w:rPr>
            </w:pPr>
          </w:p>
        </w:tc>
        <w:tc>
          <w:tcPr>
            <w:tcW w:w="615" w:type="dxa"/>
            <w:vAlign w:val="top"/>
          </w:tcPr>
          <w:p w14:paraId="1784BE93">
            <w:pPr>
              <w:spacing w:before="37" w:line="209" w:lineRule="auto"/>
              <w:ind w:left="108"/>
              <w:rPr>
                <w:rFonts w:ascii="仿宋" w:hAnsi="仿宋" w:eastAsia="仿宋" w:cs="仿宋"/>
                <w:sz w:val="20"/>
                <w:szCs w:val="20"/>
              </w:rPr>
            </w:pPr>
            <w:r>
              <w:rPr>
                <w:rFonts w:ascii="仿宋" w:hAnsi="仿宋" w:eastAsia="仿宋" w:cs="仿宋"/>
                <w:spacing w:val="2"/>
                <w:sz w:val="20"/>
                <w:szCs w:val="20"/>
              </w:rPr>
              <w:t>昼间</w:t>
            </w:r>
          </w:p>
        </w:tc>
        <w:tc>
          <w:tcPr>
            <w:tcW w:w="645" w:type="dxa"/>
            <w:vAlign w:val="top"/>
          </w:tcPr>
          <w:p w14:paraId="049C73BA">
            <w:pPr>
              <w:spacing w:before="37" w:line="209" w:lineRule="auto"/>
              <w:ind w:left="122"/>
              <w:rPr>
                <w:rFonts w:ascii="仿宋" w:hAnsi="仿宋" w:eastAsia="仿宋" w:cs="仿宋"/>
                <w:sz w:val="20"/>
                <w:szCs w:val="20"/>
              </w:rPr>
            </w:pPr>
            <w:r>
              <w:rPr>
                <w:rFonts w:ascii="仿宋" w:hAnsi="仿宋" w:eastAsia="仿宋" w:cs="仿宋"/>
                <w:spacing w:val="2"/>
                <w:sz w:val="20"/>
                <w:szCs w:val="20"/>
              </w:rPr>
              <w:t>夜间</w:t>
            </w:r>
          </w:p>
        </w:tc>
        <w:tc>
          <w:tcPr>
            <w:tcW w:w="2520" w:type="dxa"/>
            <w:vMerge w:val="continue"/>
            <w:tcBorders>
              <w:top w:val="nil"/>
            </w:tcBorders>
            <w:vAlign w:val="top"/>
          </w:tcPr>
          <w:p w14:paraId="65F9A958">
            <w:pPr>
              <w:rPr>
                <w:rFonts w:ascii="Arial"/>
                <w:sz w:val="21"/>
              </w:rPr>
            </w:pPr>
          </w:p>
        </w:tc>
        <w:tc>
          <w:tcPr>
            <w:tcW w:w="3641" w:type="dxa"/>
            <w:vMerge w:val="continue"/>
            <w:tcBorders>
              <w:top w:val="nil"/>
              <w:right w:val="nil"/>
            </w:tcBorders>
            <w:vAlign w:val="top"/>
          </w:tcPr>
          <w:p w14:paraId="448FCF17">
            <w:pPr>
              <w:rPr>
                <w:rFonts w:ascii="Arial"/>
                <w:sz w:val="21"/>
              </w:rPr>
            </w:pPr>
          </w:p>
        </w:tc>
      </w:tr>
      <w:tr w14:paraId="4BD43C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 w:hRule="atLeast"/>
        </w:trPr>
        <w:tc>
          <w:tcPr>
            <w:tcW w:w="884" w:type="dxa"/>
            <w:tcBorders>
              <w:left w:val="nil"/>
            </w:tcBorders>
            <w:vAlign w:val="top"/>
          </w:tcPr>
          <w:p w14:paraId="283EEC3A">
            <w:pPr>
              <w:spacing w:before="173" w:line="233" w:lineRule="auto"/>
              <w:ind w:left="210"/>
              <w:rPr>
                <w:rFonts w:ascii="仿宋" w:hAnsi="仿宋" w:eastAsia="仿宋" w:cs="仿宋"/>
                <w:sz w:val="20"/>
                <w:szCs w:val="20"/>
              </w:rPr>
            </w:pPr>
            <w:r>
              <w:rPr>
                <w:rFonts w:ascii="仿宋" w:hAnsi="仿宋" w:eastAsia="仿宋" w:cs="仿宋"/>
                <w:spacing w:val="1"/>
                <w:sz w:val="20"/>
                <w:szCs w:val="20"/>
              </w:rPr>
              <w:t>4a</w:t>
            </w:r>
            <w:r>
              <w:rPr>
                <w:rFonts w:ascii="仿宋" w:hAnsi="仿宋" w:eastAsia="仿宋" w:cs="仿宋"/>
                <w:spacing w:val="-33"/>
                <w:sz w:val="20"/>
                <w:szCs w:val="20"/>
              </w:rPr>
              <w:t xml:space="preserve"> </w:t>
            </w:r>
            <w:r>
              <w:rPr>
                <w:rFonts w:ascii="仿宋" w:hAnsi="仿宋" w:eastAsia="仿宋" w:cs="仿宋"/>
                <w:spacing w:val="1"/>
                <w:sz w:val="20"/>
                <w:szCs w:val="20"/>
              </w:rPr>
              <w:t>类</w:t>
            </w:r>
          </w:p>
        </w:tc>
        <w:tc>
          <w:tcPr>
            <w:tcW w:w="615" w:type="dxa"/>
            <w:vAlign w:val="top"/>
          </w:tcPr>
          <w:p w14:paraId="0E99E611">
            <w:pPr>
              <w:spacing w:before="173" w:line="270" w:lineRule="exact"/>
              <w:ind w:left="210"/>
              <w:rPr>
                <w:rFonts w:ascii="仿宋" w:hAnsi="仿宋" w:eastAsia="仿宋" w:cs="仿宋"/>
                <w:sz w:val="20"/>
                <w:szCs w:val="20"/>
              </w:rPr>
            </w:pPr>
            <w:r>
              <w:rPr>
                <w:rFonts w:ascii="仿宋" w:hAnsi="仿宋" w:eastAsia="仿宋" w:cs="仿宋"/>
                <w:spacing w:val="-2"/>
                <w:position w:val="1"/>
                <w:sz w:val="20"/>
                <w:szCs w:val="20"/>
              </w:rPr>
              <w:t>70</w:t>
            </w:r>
          </w:p>
        </w:tc>
        <w:tc>
          <w:tcPr>
            <w:tcW w:w="645" w:type="dxa"/>
            <w:vAlign w:val="top"/>
          </w:tcPr>
          <w:p w14:paraId="5726EE8A">
            <w:pPr>
              <w:spacing w:before="173" w:line="270" w:lineRule="exact"/>
              <w:ind w:left="226"/>
              <w:rPr>
                <w:rFonts w:ascii="仿宋" w:hAnsi="仿宋" w:eastAsia="仿宋" w:cs="仿宋"/>
                <w:sz w:val="20"/>
                <w:szCs w:val="20"/>
              </w:rPr>
            </w:pPr>
            <w:r>
              <w:rPr>
                <w:rFonts w:ascii="仿宋" w:hAnsi="仿宋" w:eastAsia="仿宋" w:cs="仿宋"/>
                <w:spacing w:val="-1"/>
                <w:position w:val="2"/>
                <w:sz w:val="20"/>
                <w:szCs w:val="20"/>
              </w:rPr>
              <w:t>55</w:t>
            </w:r>
          </w:p>
        </w:tc>
        <w:tc>
          <w:tcPr>
            <w:tcW w:w="2520" w:type="dxa"/>
            <w:vAlign w:val="top"/>
          </w:tcPr>
          <w:p w14:paraId="488B2CFD">
            <w:pPr>
              <w:spacing w:before="39" w:line="227" w:lineRule="auto"/>
              <w:ind w:left="750" w:right="103" w:hanging="634"/>
              <w:rPr>
                <w:rFonts w:ascii="仿宋" w:hAnsi="仿宋" w:eastAsia="仿宋" w:cs="仿宋"/>
                <w:sz w:val="20"/>
                <w:szCs w:val="20"/>
              </w:rPr>
            </w:pPr>
            <w:r>
              <w:rPr>
                <w:rFonts w:ascii="仿宋" w:hAnsi="仿宋" w:eastAsia="仿宋" w:cs="仿宋"/>
                <w:spacing w:val="8"/>
                <w:sz w:val="20"/>
                <w:szCs w:val="20"/>
              </w:rPr>
              <w:t>沿黄巨合滩出口东至天顺</w:t>
            </w:r>
            <w:r>
              <w:rPr>
                <w:rFonts w:ascii="仿宋" w:hAnsi="仿宋" w:eastAsia="仿宋" w:cs="仿宋"/>
                <w:spacing w:val="6"/>
                <w:sz w:val="20"/>
                <w:szCs w:val="20"/>
              </w:rPr>
              <w:t>圪梁通村路</w:t>
            </w:r>
          </w:p>
        </w:tc>
        <w:tc>
          <w:tcPr>
            <w:tcW w:w="3641" w:type="dxa"/>
            <w:tcBorders>
              <w:right w:val="nil"/>
            </w:tcBorders>
            <w:vAlign w:val="top"/>
          </w:tcPr>
          <w:p w14:paraId="47316744">
            <w:pPr>
              <w:spacing w:before="38" w:line="232" w:lineRule="auto"/>
              <w:ind w:left="50"/>
              <w:rPr>
                <w:rFonts w:ascii="仿宋" w:hAnsi="仿宋" w:eastAsia="仿宋" w:cs="仿宋"/>
                <w:sz w:val="20"/>
                <w:szCs w:val="20"/>
              </w:rPr>
            </w:pPr>
            <w:r>
              <w:rPr>
                <w:rFonts w:ascii="仿宋" w:hAnsi="仿宋" w:eastAsia="仿宋" w:cs="仿宋"/>
                <w:spacing w:val="5"/>
                <w:sz w:val="20"/>
                <w:szCs w:val="20"/>
              </w:rPr>
              <w:t>对应兴巴高速用地边界两侧</w:t>
            </w:r>
            <w:r>
              <w:rPr>
                <w:rFonts w:ascii="仿宋" w:hAnsi="仿宋" w:eastAsia="仿宋" w:cs="仿宋"/>
                <w:spacing w:val="-21"/>
                <w:sz w:val="20"/>
                <w:szCs w:val="20"/>
              </w:rPr>
              <w:t xml:space="preserve"> </w:t>
            </w:r>
            <w:r>
              <w:rPr>
                <w:rFonts w:ascii="仿宋" w:hAnsi="仿宋" w:eastAsia="仿宋" w:cs="仿宋"/>
                <w:spacing w:val="5"/>
                <w:sz w:val="20"/>
                <w:szCs w:val="20"/>
              </w:rPr>
              <w:t>50m</w:t>
            </w:r>
            <w:r>
              <w:rPr>
                <w:rFonts w:ascii="仿宋" w:hAnsi="仿宋" w:eastAsia="仿宋" w:cs="仿宋"/>
                <w:spacing w:val="-17"/>
                <w:sz w:val="20"/>
                <w:szCs w:val="20"/>
              </w:rPr>
              <w:t xml:space="preserve"> </w:t>
            </w:r>
            <w:r>
              <w:rPr>
                <w:rFonts w:ascii="仿宋" w:hAnsi="仿宋" w:eastAsia="仿宋" w:cs="仿宋"/>
                <w:spacing w:val="5"/>
                <w:sz w:val="20"/>
                <w:szCs w:val="20"/>
              </w:rPr>
              <w:t>区域执</w:t>
            </w:r>
          </w:p>
          <w:p w14:paraId="60097DF5">
            <w:pPr>
              <w:spacing w:before="20" w:line="204" w:lineRule="auto"/>
              <w:ind w:left="1257"/>
              <w:rPr>
                <w:rFonts w:ascii="仿宋" w:hAnsi="仿宋" w:eastAsia="仿宋" w:cs="仿宋"/>
                <w:sz w:val="20"/>
                <w:szCs w:val="20"/>
              </w:rPr>
            </w:pPr>
            <w:r>
              <w:rPr>
                <w:rFonts w:ascii="仿宋" w:hAnsi="仿宋" w:eastAsia="仿宋" w:cs="仿宋"/>
                <w:spacing w:val="1"/>
                <w:sz w:val="20"/>
                <w:szCs w:val="20"/>
              </w:rPr>
              <w:t>行</w:t>
            </w:r>
            <w:r>
              <w:rPr>
                <w:rFonts w:ascii="仿宋" w:hAnsi="仿宋" w:eastAsia="仿宋" w:cs="仿宋"/>
                <w:spacing w:val="-36"/>
                <w:sz w:val="20"/>
                <w:szCs w:val="20"/>
              </w:rPr>
              <w:t xml:space="preserve"> </w:t>
            </w:r>
            <w:r>
              <w:rPr>
                <w:rFonts w:ascii="仿宋" w:hAnsi="仿宋" w:eastAsia="仿宋" w:cs="仿宋"/>
                <w:spacing w:val="1"/>
                <w:sz w:val="20"/>
                <w:szCs w:val="20"/>
              </w:rPr>
              <w:t>4a</w:t>
            </w:r>
            <w:r>
              <w:rPr>
                <w:rFonts w:ascii="仿宋" w:hAnsi="仿宋" w:eastAsia="仿宋" w:cs="仿宋"/>
                <w:spacing w:val="-32"/>
                <w:sz w:val="20"/>
                <w:szCs w:val="20"/>
              </w:rPr>
              <w:t xml:space="preserve"> </w:t>
            </w:r>
            <w:r>
              <w:rPr>
                <w:rFonts w:ascii="仿宋" w:hAnsi="仿宋" w:eastAsia="仿宋" w:cs="仿宋"/>
                <w:spacing w:val="1"/>
                <w:sz w:val="20"/>
                <w:szCs w:val="20"/>
              </w:rPr>
              <w:t>类标准</w:t>
            </w:r>
          </w:p>
        </w:tc>
      </w:tr>
      <w:tr w14:paraId="7F7363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884" w:type="dxa"/>
            <w:tcBorders>
              <w:left w:val="nil"/>
              <w:bottom w:val="single" w:color="000000" w:sz="10" w:space="0"/>
            </w:tcBorders>
            <w:vAlign w:val="top"/>
          </w:tcPr>
          <w:p w14:paraId="2F33D377">
            <w:pPr>
              <w:spacing w:before="184" w:line="233" w:lineRule="auto"/>
              <w:ind w:left="277"/>
              <w:rPr>
                <w:rFonts w:ascii="仿宋" w:hAnsi="仿宋" w:eastAsia="仿宋" w:cs="仿宋"/>
                <w:sz w:val="20"/>
                <w:szCs w:val="20"/>
              </w:rPr>
            </w:pPr>
            <w:r>
              <w:rPr>
                <w:rFonts w:ascii="仿宋" w:hAnsi="仿宋" w:eastAsia="仿宋" w:cs="仿宋"/>
                <w:spacing w:val="-10"/>
                <w:sz w:val="20"/>
                <w:szCs w:val="20"/>
              </w:rPr>
              <w:t>1</w:t>
            </w:r>
            <w:r>
              <w:rPr>
                <w:rFonts w:ascii="仿宋" w:hAnsi="仿宋" w:eastAsia="仿宋" w:cs="仿宋"/>
                <w:spacing w:val="-30"/>
                <w:sz w:val="20"/>
                <w:szCs w:val="20"/>
              </w:rPr>
              <w:t xml:space="preserve"> </w:t>
            </w:r>
            <w:r>
              <w:rPr>
                <w:rFonts w:ascii="仿宋" w:hAnsi="仿宋" w:eastAsia="仿宋" w:cs="仿宋"/>
                <w:spacing w:val="-10"/>
                <w:sz w:val="20"/>
                <w:szCs w:val="20"/>
              </w:rPr>
              <w:t>类</w:t>
            </w:r>
          </w:p>
        </w:tc>
        <w:tc>
          <w:tcPr>
            <w:tcW w:w="615" w:type="dxa"/>
            <w:tcBorders>
              <w:bottom w:val="single" w:color="000000" w:sz="10" w:space="0"/>
            </w:tcBorders>
            <w:vAlign w:val="top"/>
          </w:tcPr>
          <w:p w14:paraId="2CE2FDCF">
            <w:pPr>
              <w:spacing w:before="184" w:line="270" w:lineRule="exact"/>
              <w:ind w:left="209"/>
              <w:rPr>
                <w:rFonts w:ascii="仿宋" w:hAnsi="仿宋" w:eastAsia="仿宋" w:cs="仿宋"/>
                <w:sz w:val="20"/>
                <w:szCs w:val="20"/>
              </w:rPr>
            </w:pPr>
            <w:r>
              <w:rPr>
                <w:rFonts w:ascii="仿宋" w:hAnsi="仿宋" w:eastAsia="仿宋" w:cs="仿宋"/>
                <w:spacing w:val="-1"/>
                <w:position w:val="2"/>
                <w:sz w:val="20"/>
                <w:szCs w:val="20"/>
              </w:rPr>
              <w:t>55</w:t>
            </w:r>
          </w:p>
        </w:tc>
        <w:tc>
          <w:tcPr>
            <w:tcW w:w="645" w:type="dxa"/>
            <w:tcBorders>
              <w:bottom w:val="single" w:color="000000" w:sz="10" w:space="0"/>
            </w:tcBorders>
            <w:vAlign w:val="top"/>
          </w:tcPr>
          <w:p w14:paraId="10199156">
            <w:pPr>
              <w:spacing w:before="184" w:line="270" w:lineRule="exact"/>
              <w:ind w:left="220"/>
              <w:rPr>
                <w:rFonts w:ascii="仿宋" w:hAnsi="仿宋" w:eastAsia="仿宋" w:cs="仿宋"/>
                <w:sz w:val="20"/>
                <w:szCs w:val="20"/>
              </w:rPr>
            </w:pPr>
            <w:r>
              <w:rPr>
                <w:rFonts w:ascii="仿宋" w:hAnsi="仿宋" w:eastAsia="仿宋" w:cs="仿宋"/>
                <w:spacing w:val="1"/>
                <w:position w:val="1"/>
                <w:sz w:val="20"/>
                <w:szCs w:val="20"/>
              </w:rPr>
              <w:t>45</w:t>
            </w:r>
          </w:p>
        </w:tc>
        <w:tc>
          <w:tcPr>
            <w:tcW w:w="2520" w:type="dxa"/>
            <w:tcBorders>
              <w:bottom w:val="single" w:color="000000" w:sz="10" w:space="0"/>
            </w:tcBorders>
            <w:vAlign w:val="top"/>
          </w:tcPr>
          <w:p w14:paraId="0222C76B">
            <w:pPr>
              <w:spacing w:before="183" w:line="232" w:lineRule="auto"/>
              <w:ind w:left="852"/>
              <w:rPr>
                <w:rFonts w:ascii="仿宋" w:hAnsi="仿宋" w:eastAsia="仿宋" w:cs="仿宋"/>
                <w:sz w:val="20"/>
                <w:szCs w:val="20"/>
              </w:rPr>
            </w:pPr>
            <w:r>
              <w:rPr>
                <w:rFonts w:ascii="仿宋" w:hAnsi="仿宋" w:eastAsia="仿宋" w:cs="仿宋"/>
                <w:spacing w:val="5"/>
                <w:sz w:val="20"/>
                <w:szCs w:val="20"/>
              </w:rPr>
              <w:t>其余路段</w:t>
            </w:r>
          </w:p>
        </w:tc>
        <w:tc>
          <w:tcPr>
            <w:tcW w:w="3641" w:type="dxa"/>
            <w:tcBorders>
              <w:bottom w:val="single" w:color="000000" w:sz="10" w:space="0"/>
              <w:right w:val="nil"/>
            </w:tcBorders>
            <w:vAlign w:val="top"/>
          </w:tcPr>
          <w:p w14:paraId="41B5A5BD">
            <w:pPr>
              <w:spacing w:before="47" w:line="229" w:lineRule="auto"/>
              <w:jc w:val="right"/>
              <w:rPr>
                <w:rFonts w:ascii="仿宋" w:hAnsi="仿宋" w:eastAsia="仿宋" w:cs="仿宋"/>
                <w:sz w:val="20"/>
                <w:szCs w:val="20"/>
              </w:rPr>
            </w:pPr>
            <w:r>
              <w:rPr>
                <w:rFonts w:ascii="仿宋" w:hAnsi="仿宋" w:eastAsia="仿宋" w:cs="仿宋"/>
                <w:spacing w:val="4"/>
                <w:sz w:val="20"/>
                <w:szCs w:val="20"/>
              </w:rPr>
              <w:t>除执行</w:t>
            </w:r>
            <w:r>
              <w:rPr>
                <w:rFonts w:ascii="仿宋" w:hAnsi="仿宋" w:eastAsia="仿宋" w:cs="仿宋"/>
                <w:spacing w:val="-29"/>
                <w:sz w:val="20"/>
                <w:szCs w:val="20"/>
              </w:rPr>
              <w:t xml:space="preserve"> </w:t>
            </w:r>
            <w:r>
              <w:rPr>
                <w:rFonts w:ascii="仿宋" w:hAnsi="仿宋" w:eastAsia="仿宋" w:cs="仿宋"/>
                <w:spacing w:val="4"/>
                <w:sz w:val="20"/>
                <w:szCs w:val="20"/>
              </w:rPr>
              <w:t>4a</w:t>
            </w:r>
            <w:r>
              <w:rPr>
                <w:rFonts w:ascii="仿宋" w:hAnsi="仿宋" w:eastAsia="仿宋" w:cs="仿宋"/>
                <w:spacing w:val="-32"/>
                <w:sz w:val="20"/>
                <w:szCs w:val="20"/>
              </w:rPr>
              <w:t xml:space="preserve"> </w:t>
            </w:r>
            <w:r>
              <w:rPr>
                <w:rFonts w:ascii="仿宋" w:hAnsi="仿宋" w:eastAsia="仿宋" w:cs="仿宋"/>
                <w:spacing w:val="4"/>
                <w:sz w:val="20"/>
                <w:szCs w:val="20"/>
              </w:rPr>
              <w:t>类以外的区域，剩余区域中心</w:t>
            </w:r>
          </w:p>
          <w:p w14:paraId="1FEAAD9D">
            <w:pPr>
              <w:spacing w:before="25" w:line="216" w:lineRule="auto"/>
              <w:ind w:left="948"/>
              <w:rPr>
                <w:rFonts w:ascii="仿宋" w:hAnsi="仿宋" w:eastAsia="仿宋" w:cs="仿宋"/>
                <w:sz w:val="20"/>
                <w:szCs w:val="20"/>
              </w:rPr>
            </w:pPr>
            <w:r>
              <w:rPr>
                <w:rFonts w:ascii="仿宋" w:hAnsi="仿宋" w:eastAsia="仿宋" w:cs="仿宋"/>
                <w:spacing w:val="2"/>
                <w:sz w:val="20"/>
                <w:szCs w:val="20"/>
              </w:rPr>
              <w:t>线两侧</w:t>
            </w:r>
            <w:r>
              <w:rPr>
                <w:rFonts w:ascii="仿宋" w:hAnsi="仿宋" w:eastAsia="仿宋" w:cs="仿宋"/>
                <w:spacing w:val="-35"/>
                <w:sz w:val="20"/>
                <w:szCs w:val="20"/>
              </w:rPr>
              <w:t xml:space="preserve"> </w:t>
            </w:r>
            <w:r>
              <w:rPr>
                <w:rFonts w:ascii="仿宋" w:hAnsi="仿宋" w:eastAsia="仿宋" w:cs="仿宋"/>
                <w:spacing w:val="2"/>
                <w:sz w:val="20"/>
                <w:szCs w:val="20"/>
              </w:rPr>
              <w:t>200m</w:t>
            </w:r>
            <w:r>
              <w:rPr>
                <w:rFonts w:ascii="仿宋" w:hAnsi="仿宋" w:eastAsia="仿宋" w:cs="仿宋"/>
                <w:spacing w:val="-24"/>
                <w:sz w:val="20"/>
                <w:szCs w:val="20"/>
              </w:rPr>
              <w:t xml:space="preserve"> </w:t>
            </w:r>
            <w:r>
              <w:rPr>
                <w:rFonts w:ascii="仿宋" w:hAnsi="仿宋" w:eastAsia="仿宋" w:cs="仿宋"/>
                <w:spacing w:val="2"/>
                <w:sz w:val="20"/>
                <w:szCs w:val="20"/>
              </w:rPr>
              <w:t>范围内</w:t>
            </w:r>
          </w:p>
        </w:tc>
      </w:tr>
    </w:tbl>
    <w:p w14:paraId="7B879FF6">
      <w:pPr>
        <w:spacing w:before="328" w:line="223" w:lineRule="auto"/>
        <w:ind w:left="44"/>
        <w:outlineLvl w:val="2"/>
        <w:rPr>
          <w:rFonts w:ascii="仿宋" w:hAnsi="仿宋" w:eastAsia="仿宋" w:cs="仿宋"/>
          <w:sz w:val="28"/>
          <w:szCs w:val="28"/>
        </w:rPr>
      </w:pPr>
      <w:bookmarkStart w:id="12" w:name="bookmark15"/>
      <w:bookmarkEnd w:id="12"/>
      <w:r>
        <w:rPr>
          <w:rFonts w:ascii="仿宋" w:hAnsi="仿宋" w:eastAsia="仿宋" w:cs="仿宋"/>
          <w:b/>
          <w:bCs/>
          <w:spacing w:val="-8"/>
          <w:sz w:val="28"/>
          <w:szCs w:val="28"/>
        </w:rPr>
        <w:t>1.3.3</w:t>
      </w:r>
      <w:r>
        <w:rPr>
          <w:rFonts w:ascii="仿宋" w:hAnsi="仿宋" w:eastAsia="仿宋" w:cs="仿宋"/>
          <w:spacing w:val="-34"/>
          <w:sz w:val="28"/>
          <w:szCs w:val="28"/>
        </w:rPr>
        <w:t xml:space="preserve"> </w:t>
      </w:r>
      <w:r>
        <w:rPr>
          <w:rFonts w:ascii="仿宋" w:hAnsi="仿宋" w:eastAsia="仿宋" w:cs="仿宋"/>
          <w:b/>
          <w:bCs/>
          <w:spacing w:val="-8"/>
          <w:sz w:val="28"/>
          <w:szCs w:val="28"/>
        </w:rPr>
        <w:t>噪声排放标准</w:t>
      </w:r>
    </w:p>
    <w:p w14:paraId="051910DA">
      <w:pPr>
        <w:spacing w:before="307" w:line="221" w:lineRule="auto"/>
        <w:ind w:left="509"/>
        <w:rPr>
          <w:rFonts w:ascii="仿宋" w:hAnsi="仿宋" w:eastAsia="仿宋" w:cs="仿宋"/>
          <w:sz w:val="24"/>
          <w:szCs w:val="24"/>
        </w:rPr>
      </w:pPr>
      <w:r>
        <w:rPr>
          <w:rFonts w:ascii="仿宋" w:hAnsi="仿宋" w:eastAsia="仿宋" w:cs="仿宋"/>
          <w:spacing w:val="-1"/>
          <w:sz w:val="24"/>
          <w:szCs w:val="24"/>
        </w:rPr>
        <w:t>施工期噪声执行《建筑施工噪声排放标准》（GB12523-2025）。</w:t>
      </w:r>
    </w:p>
    <w:p w14:paraId="1710CCC8">
      <w:pPr>
        <w:spacing w:before="179" w:line="222" w:lineRule="auto"/>
        <w:ind w:left="511"/>
        <w:rPr>
          <w:rFonts w:ascii="仿宋" w:hAnsi="仿宋" w:eastAsia="仿宋" w:cs="仿宋"/>
          <w:sz w:val="24"/>
          <w:szCs w:val="24"/>
        </w:rPr>
      </w:pPr>
      <w:r>
        <w:rPr>
          <w:rFonts w:ascii="仿宋" w:hAnsi="仿宋" w:eastAsia="仿宋" w:cs="仿宋"/>
          <w:sz w:val="24"/>
          <w:szCs w:val="24"/>
        </w:rPr>
        <w:t>运营期本项目道路中心线两侧</w:t>
      </w:r>
      <w:r>
        <w:rPr>
          <w:rFonts w:ascii="仿宋" w:hAnsi="仿宋" w:eastAsia="仿宋" w:cs="仿宋"/>
          <w:spacing w:val="-46"/>
          <w:sz w:val="24"/>
          <w:szCs w:val="24"/>
        </w:rPr>
        <w:t xml:space="preserve"> </w:t>
      </w:r>
      <w:r>
        <w:rPr>
          <w:rFonts w:ascii="仿宋" w:hAnsi="仿宋" w:eastAsia="仿宋" w:cs="仿宋"/>
          <w:sz w:val="24"/>
          <w:szCs w:val="24"/>
        </w:rPr>
        <w:t>200m</w:t>
      </w:r>
      <w:r>
        <w:rPr>
          <w:rFonts w:ascii="仿宋" w:hAnsi="仿宋" w:eastAsia="仿宋" w:cs="仿宋"/>
          <w:spacing w:val="-31"/>
          <w:sz w:val="24"/>
          <w:szCs w:val="24"/>
        </w:rPr>
        <w:t xml:space="preserve"> </w:t>
      </w:r>
      <w:r>
        <w:rPr>
          <w:rFonts w:ascii="仿宋" w:hAnsi="仿宋" w:eastAsia="仿宋" w:cs="仿宋"/>
          <w:sz w:val="24"/>
          <w:szCs w:val="24"/>
        </w:rPr>
        <w:t>范围与兴巴高速边界两侧</w:t>
      </w:r>
      <w:r>
        <w:rPr>
          <w:rFonts w:ascii="仿宋" w:hAnsi="仿宋" w:eastAsia="仿宋" w:cs="仿宋"/>
          <w:spacing w:val="-1"/>
          <w:sz w:val="24"/>
          <w:szCs w:val="24"/>
        </w:rPr>
        <w:t>50m</w:t>
      </w:r>
      <w:r>
        <w:rPr>
          <w:rFonts w:ascii="仿宋" w:hAnsi="仿宋" w:eastAsia="仿宋" w:cs="仿宋"/>
          <w:spacing w:val="-29"/>
          <w:sz w:val="24"/>
          <w:szCs w:val="24"/>
        </w:rPr>
        <w:t xml:space="preserve"> </w:t>
      </w:r>
      <w:r>
        <w:rPr>
          <w:rFonts w:ascii="仿宋" w:hAnsi="仿宋" w:eastAsia="仿宋" w:cs="仿宋"/>
          <w:spacing w:val="-1"/>
          <w:sz w:val="24"/>
          <w:szCs w:val="24"/>
        </w:rPr>
        <w:t>范围重叠</w:t>
      </w:r>
    </w:p>
    <w:p w14:paraId="3B80CAD8">
      <w:pPr>
        <w:spacing w:line="222" w:lineRule="auto"/>
        <w:rPr>
          <w:rFonts w:ascii="仿宋" w:hAnsi="仿宋" w:eastAsia="仿宋" w:cs="仿宋"/>
          <w:sz w:val="24"/>
          <w:szCs w:val="24"/>
        </w:rPr>
        <w:sectPr>
          <w:footerReference r:id="rId135" w:type="default"/>
          <w:pgSz w:w="11906" w:h="16839"/>
          <w:pgMar w:top="400" w:right="1596" w:bottom="1370" w:left="1785" w:header="0" w:footer="1207" w:gutter="0"/>
          <w:cols w:space="720" w:num="1"/>
        </w:sectPr>
      </w:pPr>
    </w:p>
    <w:p w14:paraId="454AE918">
      <w:pPr>
        <w:pStyle w:val="2"/>
        <w:spacing w:line="247" w:lineRule="auto"/>
        <w:rPr>
          <w:sz w:val="21"/>
        </w:rPr>
      </w:pPr>
    </w:p>
    <w:p w14:paraId="7344CD60">
      <w:pPr>
        <w:pStyle w:val="2"/>
        <w:spacing w:line="247" w:lineRule="auto"/>
        <w:rPr>
          <w:sz w:val="21"/>
        </w:rPr>
      </w:pPr>
    </w:p>
    <w:p w14:paraId="01420789">
      <w:pPr>
        <w:pStyle w:val="2"/>
        <w:spacing w:line="248" w:lineRule="auto"/>
        <w:rPr>
          <w:sz w:val="21"/>
        </w:rPr>
      </w:pPr>
    </w:p>
    <w:p w14:paraId="43BED56C">
      <w:pPr>
        <w:pStyle w:val="2"/>
        <w:spacing w:line="248" w:lineRule="auto"/>
        <w:rPr>
          <w:sz w:val="21"/>
        </w:rPr>
      </w:pPr>
    </w:p>
    <w:p w14:paraId="39971240">
      <w:pPr>
        <w:spacing w:before="78" w:line="359" w:lineRule="auto"/>
        <w:ind w:left="32" w:right="13" w:firstLine="17"/>
        <w:rPr>
          <w:rFonts w:ascii="仿宋" w:hAnsi="仿宋" w:eastAsia="仿宋" w:cs="仿宋"/>
          <w:sz w:val="24"/>
          <w:szCs w:val="24"/>
        </w:rPr>
      </w:pPr>
      <w:r>
        <w:rPr>
          <w:rFonts w:ascii="仿宋" w:hAnsi="仿宋" w:eastAsia="仿宋" w:cs="仿宋"/>
          <w:spacing w:val="-3"/>
          <w:sz w:val="24"/>
          <w:szCs w:val="24"/>
        </w:rPr>
        <w:t>区域执行《声环境质量标准》(GB3096-2008)中</w:t>
      </w:r>
      <w:r>
        <w:rPr>
          <w:rFonts w:ascii="仿宋" w:hAnsi="仿宋" w:eastAsia="仿宋" w:cs="仿宋"/>
          <w:spacing w:val="-50"/>
          <w:sz w:val="24"/>
          <w:szCs w:val="24"/>
        </w:rPr>
        <w:t xml:space="preserve"> </w:t>
      </w:r>
      <w:r>
        <w:rPr>
          <w:rFonts w:ascii="仿宋" w:hAnsi="仿宋" w:eastAsia="仿宋" w:cs="仿宋"/>
          <w:spacing w:val="-3"/>
          <w:sz w:val="24"/>
          <w:szCs w:val="24"/>
        </w:rPr>
        <w:t>4a</w:t>
      </w:r>
      <w:r>
        <w:rPr>
          <w:rFonts w:ascii="仿宋" w:hAnsi="仿宋" w:eastAsia="仿宋" w:cs="仿宋"/>
          <w:spacing w:val="-42"/>
          <w:sz w:val="24"/>
          <w:szCs w:val="24"/>
        </w:rPr>
        <w:t xml:space="preserve"> </w:t>
      </w:r>
      <w:r>
        <w:rPr>
          <w:rFonts w:ascii="仿宋" w:hAnsi="仿宋" w:eastAsia="仿宋" w:cs="仿宋"/>
          <w:spacing w:val="-3"/>
          <w:sz w:val="24"/>
          <w:szCs w:val="24"/>
        </w:rPr>
        <w:t>类标准，其他区域路段执行</w:t>
      </w:r>
      <w:r>
        <w:rPr>
          <w:rFonts w:ascii="仿宋" w:hAnsi="仿宋" w:eastAsia="仿宋" w:cs="仿宋"/>
          <w:spacing w:val="-34"/>
          <w:sz w:val="24"/>
          <w:szCs w:val="24"/>
        </w:rPr>
        <w:t xml:space="preserve"> </w:t>
      </w:r>
      <w:r>
        <w:rPr>
          <w:rFonts w:ascii="仿宋" w:hAnsi="仿宋" w:eastAsia="仿宋" w:cs="仿宋"/>
          <w:spacing w:val="-3"/>
          <w:sz w:val="24"/>
          <w:szCs w:val="24"/>
        </w:rPr>
        <w:t>1</w:t>
      </w:r>
      <w:r>
        <w:rPr>
          <w:rFonts w:ascii="仿宋" w:hAnsi="仿宋" w:eastAsia="仿宋" w:cs="仿宋"/>
          <w:spacing w:val="-4"/>
          <w:sz w:val="24"/>
          <w:szCs w:val="24"/>
        </w:rPr>
        <w:t>类标准。详见表</w:t>
      </w:r>
      <w:r>
        <w:rPr>
          <w:rFonts w:ascii="仿宋" w:hAnsi="仿宋" w:eastAsia="仿宋" w:cs="仿宋"/>
          <w:spacing w:val="-28"/>
          <w:sz w:val="24"/>
          <w:szCs w:val="24"/>
        </w:rPr>
        <w:t xml:space="preserve"> </w:t>
      </w:r>
      <w:r>
        <w:rPr>
          <w:rFonts w:ascii="仿宋" w:hAnsi="仿宋" w:eastAsia="仿宋" w:cs="仿宋"/>
          <w:spacing w:val="-4"/>
          <w:sz w:val="24"/>
          <w:szCs w:val="24"/>
        </w:rPr>
        <w:t>1.3-2。</w:t>
      </w:r>
    </w:p>
    <w:p w14:paraId="70110B58">
      <w:pPr>
        <w:spacing w:before="1" w:line="220" w:lineRule="auto"/>
        <w:ind w:left="1863"/>
        <w:rPr>
          <w:rFonts w:ascii="仿宋" w:hAnsi="仿宋" w:eastAsia="仿宋" w:cs="仿宋"/>
          <w:sz w:val="24"/>
          <w:szCs w:val="24"/>
        </w:rPr>
      </w:pPr>
      <w:r>
        <w:rPr>
          <w:rFonts w:ascii="仿宋" w:hAnsi="仿宋" w:eastAsia="仿宋" w:cs="仿宋"/>
          <w:b/>
          <w:bCs/>
          <w:spacing w:val="-4"/>
          <w:sz w:val="24"/>
          <w:szCs w:val="24"/>
        </w:rPr>
        <w:t>表</w:t>
      </w:r>
      <w:r>
        <w:rPr>
          <w:rFonts w:ascii="仿宋" w:hAnsi="仿宋" w:eastAsia="仿宋" w:cs="仿宋"/>
          <w:spacing w:val="-32"/>
          <w:sz w:val="24"/>
          <w:szCs w:val="24"/>
        </w:rPr>
        <w:t xml:space="preserve"> </w:t>
      </w:r>
      <w:r>
        <w:rPr>
          <w:rFonts w:ascii="仿宋" w:hAnsi="仿宋" w:eastAsia="仿宋" w:cs="仿宋"/>
          <w:b/>
          <w:bCs/>
          <w:spacing w:val="-4"/>
          <w:sz w:val="24"/>
          <w:szCs w:val="24"/>
        </w:rPr>
        <w:t>1.3-2</w:t>
      </w:r>
      <w:r>
        <w:rPr>
          <w:rFonts w:ascii="仿宋" w:hAnsi="仿宋" w:eastAsia="仿宋" w:cs="仿宋"/>
          <w:spacing w:val="-4"/>
          <w:sz w:val="24"/>
          <w:szCs w:val="24"/>
        </w:rPr>
        <w:t xml:space="preserve">   </w:t>
      </w:r>
      <w:r>
        <w:rPr>
          <w:rFonts w:ascii="仿宋" w:hAnsi="仿宋" w:eastAsia="仿宋" w:cs="仿宋"/>
          <w:b/>
          <w:bCs/>
          <w:spacing w:val="-4"/>
          <w:sz w:val="24"/>
          <w:szCs w:val="24"/>
        </w:rPr>
        <w:t>噪声排放标准一览表</w:t>
      </w:r>
      <w:r>
        <w:rPr>
          <w:rFonts w:ascii="仿宋" w:hAnsi="仿宋" w:eastAsia="仿宋" w:cs="仿宋"/>
          <w:spacing w:val="7"/>
          <w:sz w:val="24"/>
          <w:szCs w:val="24"/>
        </w:rPr>
        <w:t xml:space="preserve">   </w:t>
      </w:r>
      <w:r>
        <w:rPr>
          <w:rFonts w:ascii="仿宋" w:hAnsi="仿宋" w:eastAsia="仿宋" w:cs="仿宋"/>
          <w:b/>
          <w:bCs/>
          <w:spacing w:val="-4"/>
          <w:sz w:val="24"/>
          <w:szCs w:val="24"/>
        </w:rPr>
        <w:t>单位：dB(A)</w:t>
      </w:r>
    </w:p>
    <w:p w14:paraId="1AAC04CC">
      <w:pPr>
        <w:spacing w:line="145" w:lineRule="exact"/>
      </w:pPr>
    </w:p>
    <w:tbl>
      <w:tblPr>
        <w:tblStyle w:val="5"/>
        <w:tblW w:w="8304"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25"/>
        <w:gridCol w:w="493"/>
        <w:gridCol w:w="540"/>
        <w:gridCol w:w="615"/>
        <w:gridCol w:w="1364"/>
        <w:gridCol w:w="2100"/>
        <w:gridCol w:w="2667"/>
      </w:tblGrid>
      <w:tr w14:paraId="78E377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9" w:hRule="atLeast"/>
        </w:trPr>
        <w:tc>
          <w:tcPr>
            <w:tcW w:w="525" w:type="dxa"/>
            <w:vMerge w:val="restart"/>
            <w:tcBorders>
              <w:top w:val="single" w:color="000000" w:sz="10" w:space="0"/>
              <w:left w:val="nil"/>
              <w:bottom w:val="nil"/>
            </w:tcBorders>
            <w:vAlign w:val="top"/>
          </w:tcPr>
          <w:p w14:paraId="4AAA8261">
            <w:pPr>
              <w:spacing w:before="38" w:line="235" w:lineRule="auto"/>
              <w:ind w:left="171" w:right="54" w:hanging="92"/>
              <w:rPr>
                <w:rFonts w:ascii="仿宋" w:hAnsi="仿宋" w:eastAsia="仿宋" w:cs="仿宋"/>
                <w:sz w:val="20"/>
                <w:szCs w:val="20"/>
              </w:rPr>
            </w:pPr>
            <w:r>
              <w:rPr>
                <w:rFonts w:ascii="仿宋" w:hAnsi="仿宋" w:eastAsia="仿宋" w:cs="仿宋"/>
                <w:spacing w:val="-6"/>
                <w:sz w:val="20"/>
                <w:szCs w:val="20"/>
              </w:rPr>
              <w:t>时间</w:t>
            </w:r>
            <w:r>
              <w:rPr>
                <w:rFonts w:ascii="仿宋" w:hAnsi="仿宋" w:eastAsia="仿宋" w:cs="仿宋"/>
                <w:sz w:val="20"/>
                <w:szCs w:val="20"/>
              </w:rPr>
              <w:t>段</w:t>
            </w:r>
          </w:p>
        </w:tc>
        <w:tc>
          <w:tcPr>
            <w:tcW w:w="493" w:type="dxa"/>
            <w:vMerge w:val="restart"/>
            <w:tcBorders>
              <w:top w:val="single" w:color="000000" w:sz="10" w:space="0"/>
              <w:bottom w:val="nil"/>
            </w:tcBorders>
            <w:vAlign w:val="top"/>
          </w:tcPr>
          <w:p w14:paraId="4304BF75">
            <w:pPr>
              <w:spacing w:before="175" w:line="232" w:lineRule="auto"/>
              <w:ind w:left="50"/>
              <w:rPr>
                <w:rFonts w:ascii="仿宋" w:hAnsi="仿宋" w:eastAsia="仿宋" w:cs="仿宋"/>
                <w:sz w:val="20"/>
                <w:szCs w:val="20"/>
              </w:rPr>
            </w:pPr>
            <w:r>
              <w:rPr>
                <w:rFonts w:ascii="仿宋" w:hAnsi="仿宋" w:eastAsia="仿宋" w:cs="仿宋"/>
                <w:sz w:val="20"/>
                <w:szCs w:val="20"/>
              </w:rPr>
              <w:t>类别</w:t>
            </w:r>
          </w:p>
        </w:tc>
        <w:tc>
          <w:tcPr>
            <w:tcW w:w="1155" w:type="dxa"/>
            <w:gridSpan w:val="2"/>
            <w:tcBorders>
              <w:top w:val="single" w:color="000000" w:sz="10" w:space="0"/>
            </w:tcBorders>
            <w:vAlign w:val="top"/>
          </w:tcPr>
          <w:p w14:paraId="34221E5E">
            <w:pPr>
              <w:spacing w:before="35" w:line="216" w:lineRule="auto"/>
              <w:ind w:left="271"/>
              <w:rPr>
                <w:rFonts w:ascii="仿宋" w:hAnsi="仿宋" w:eastAsia="仿宋" w:cs="仿宋"/>
                <w:sz w:val="20"/>
                <w:szCs w:val="20"/>
              </w:rPr>
            </w:pPr>
            <w:r>
              <w:rPr>
                <w:rFonts w:ascii="仿宋" w:hAnsi="仿宋" w:eastAsia="仿宋" w:cs="仿宋"/>
                <w:spacing w:val="5"/>
                <w:sz w:val="20"/>
                <w:szCs w:val="20"/>
              </w:rPr>
              <w:t>标准值</w:t>
            </w:r>
          </w:p>
        </w:tc>
        <w:tc>
          <w:tcPr>
            <w:tcW w:w="1364" w:type="dxa"/>
            <w:vMerge w:val="restart"/>
            <w:tcBorders>
              <w:top w:val="single" w:color="000000" w:sz="10" w:space="0"/>
              <w:bottom w:val="nil"/>
            </w:tcBorders>
            <w:vAlign w:val="top"/>
          </w:tcPr>
          <w:p w14:paraId="245FCD2C">
            <w:pPr>
              <w:spacing w:before="175" w:line="232" w:lineRule="auto"/>
              <w:ind w:left="273"/>
              <w:rPr>
                <w:rFonts w:ascii="仿宋" w:hAnsi="仿宋" w:eastAsia="仿宋" w:cs="仿宋"/>
                <w:sz w:val="20"/>
                <w:szCs w:val="20"/>
              </w:rPr>
            </w:pPr>
            <w:r>
              <w:rPr>
                <w:rFonts w:ascii="仿宋" w:hAnsi="仿宋" w:eastAsia="仿宋" w:cs="仿宋"/>
                <w:spacing w:val="6"/>
                <w:sz w:val="20"/>
                <w:szCs w:val="20"/>
              </w:rPr>
              <w:t>适用范围</w:t>
            </w:r>
          </w:p>
        </w:tc>
        <w:tc>
          <w:tcPr>
            <w:tcW w:w="2100" w:type="dxa"/>
            <w:vMerge w:val="restart"/>
            <w:tcBorders>
              <w:top w:val="single" w:color="000000" w:sz="10" w:space="0"/>
              <w:bottom w:val="nil"/>
            </w:tcBorders>
            <w:vAlign w:val="top"/>
          </w:tcPr>
          <w:p w14:paraId="1468D774">
            <w:pPr>
              <w:spacing w:before="176" w:line="232" w:lineRule="auto"/>
              <w:ind w:left="642"/>
              <w:rPr>
                <w:rFonts w:ascii="仿宋" w:hAnsi="仿宋" w:eastAsia="仿宋" w:cs="仿宋"/>
                <w:sz w:val="20"/>
                <w:szCs w:val="20"/>
              </w:rPr>
            </w:pPr>
            <w:r>
              <w:rPr>
                <w:rFonts w:ascii="仿宋" w:hAnsi="仿宋" w:eastAsia="仿宋" w:cs="仿宋"/>
                <w:spacing w:val="6"/>
                <w:sz w:val="20"/>
                <w:szCs w:val="20"/>
              </w:rPr>
              <w:t>适用区域</w:t>
            </w:r>
          </w:p>
        </w:tc>
        <w:tc>
          <w:tcPr>
            <w:tcW w:w="2667" w:type="dxa"/>
            <w:vMerge w:val="restart"/>
            <w:tcBorders>
              <w:top w:val="single" w:color="000000" w:sz="10" w:space="0"/>
              <w:bottom w:val="nil"/>
              <w:right w:val="nil"/>
            </w:tcBorders>
            <w:vAlign w:val="top"/>
          </w:tcPr>
          <w:p w14:paraId="246C0226">
            <w:pPr>
              <w:spacing w:before="176" w:line="229" w:lineRule="auto"/>
              <w:ind w:left="613"/>
              <w:rPr>
                <w:rFonts w:ascii="仿宋" w:hAnsi="仿宋" w:eastAsia="仿宋" w:cs="仿宋"/>
                <w:sz w:val="20"/>
                <w:szCs w:val="20"/>
              </w:rPr>
            </w:pPr>
            <w:r>
              <w:rPr>
                <w:rFonts w:ascii="仿宋" w:hAnsi="仿宋" w:eastAsia="仿宋" w:cs="仿宋"/>
                <w:spacing w:val="7"/>
                <w:sz w:val="20"/>
                <w:szCs w:val="20"/>
              </w:rPr>
              <w:t>标准名称及类别</w:t>
            </w:r>
          </w:p>
        </w:tc>
      </w:tr>
      <w:tr w14:paraId="4E670E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74" w:hRule="atLeast"/>
        </w:trPr>
        <w:tc>
          <w:tcPr>
            <w:tcW w:w="525" w:type="dxa"/>
            <w:vMerge w:val="continue"/>
            <w:tcBorders>
              <w:top w:val="nil"/>
              <w:left w:val="nil"/>
            </w:tcBorders>
            <w:vAlign w:val="top"/>
          </w:tcPr>
          <w:p w14:paraId="37D69222">
            <w:pPr>
              <w:rPr>
                <w:rFonts w:ascii="Arial"/>
                <w:sz w:val="21"/>
              </w:rPr>
            </w:pPr>
          </w:p>
        </w:tc>
        <w:tc>
          <w:tcPr>
            <w:tcW w:w="493" w:type="dxa"/>
            <w:vMerge w:val="continue"/>
            <w:tcBorders>
              <w:top w:val="nil"/>
            </w:tcBorders>
            <w:vAlign w:val="top"/>
          </w:tcPr>
          <w:p w14:paraId="20FB9231">
            <w:pPr>
              <w:rPr>
                <w:rFonts w:ascii="Arial"/>
                <w:sz w:val="21"/>
              </w:rPr>
            </w:pPr>
          </w:p>
        </w:tc>
        <w:tc>
          <w:tcPr>
            <w:tcW w:w="540" w:type="dxa"/>
            <w:vAlign w:val="top"/>
          </w:tcPr>
          <w:p w14:paraId="77501FE3">
            <w:pPr>
              <w:spacing w:before="34" w:line="212" w:lineRule="auto"/>
              <w:ind w:left="70"/>
              <w:rPr>
                <w:rFonts w:ascii="仿宋" w:hAnsi="仿宋" w:eastAsia="仿宋" w:cs="仿宋"/>
                <w:sz w:val="20"/>
                <w:szCs w:val="20"/>
              </w:rPr>
            </w:pPr>
            <w:r>
              <w:rPr>
                <w:rFonts w:ascii="仿宋" w:hAnsi="仿宋" w:eastAsia="仿宋" w:cs="仿宋"/>
                <w:spacing w:val="2"/>
                <w:sz w:val="20"/>
                <w:szCs w:val="20"/>
              </w:rPr>
              <w:t>昼间</w:t>
            </w:r>
          </w:p>
        </w:tc>
        <w:tc>
          <w:tcPr>
            <w:tcW w:w="615" w:type="dxa"/>
            <w:vAlign w:val="top"/>
          </w:tcPr>
          <w:p w14:paraId="627186EC">
            <w:pPr>
              <w:spacing w:before="34" w:line="212" w:lineRule="auto"/>
              <w:ind w:left="109"/>
              <w:rPr>
                <w:rFonts w:ascii="仿宋" w:hAnsi="仿宋" w:eastAsia="仿宋" w:cs="仿宋"/>
                <w:sz w:val="20"/>
                <w:szCs w:val="20"/>
              </w:rPr>
            </w:pPr>
            <w:r>
              <w:rPr>
                <w:rFonts w:ascii="仿宋" w:hAnsi="仿宋" w:eastAsia="仿宋" w:cs="仿宋"/>
                <w:spacing w:val="2"/>
                <w:sz w:val="20"/>
                <w:szCs w:val="20"/>
              </w:rPr>
              <w:t>夜间</w:t>
            </w:r>
          </w:p>
        </w:tc>
        <w:tc>
          <w:tcPr>
            <w:tcW w:w="1364" w:type="dxa"/>
            <w:vMerge w:val="continue"/>
            <w:tcBorders>
              <w:top w:val="nil"/>
            </w:tcBorders>
            <w:vAlign w:val="top"/>
          </w:tcPr>
          <w:p w14:paraId="10442D83">
            <w:pPr>
              <w:rPr>
                <w:rFonts w:ascii="Arial"/>
                <w:sz w:val="21"/>
              </w:rPr>
            </w:pPr>
          </w:p>
        </w:tc>
        <w:tc>
          <w:tcPr>
            <w:tcW w:w="2100" w:type="dxa"/>
            <w:vMerge w:val="continue"/>
            <w:tcBorders>
              <w:top w:val="nil"/>
            </w:tcBorders>
            <w:vAlign w:val="top"/>
          </w:tcPr>
          <w:p w14:paraId="0A0CE2CF">
            <w:pPr>
              <w:rPr>
                <w:rFonts w:ascii="Arial"/>
                <w:sz w:val="21"/>
              </w:rPr>
            </w:pPr>
          </w:p>
        </w:tc>
        <w:tc>
          <w:tcPr>
            <w:tcW w:w="2667" w:type="dxa"/>
            <w:vMerge w:val="continue"/>
            <w:tcBorders>
              <w:top w:val="nil"/>
              <w:right w:val="nil"/>
            </w:tcBorders>
            <w:vAlign w:val="top"/>
          </w:tcPr>
          <w:p w14:paraId="5AC3F035">
            <w:pPr>
              <w:rPr>
                <w:rFonts w:ascii="Arial"/>
                <w:sz w:val="21"/>
              </w:rPr>
            </w:pPr>
          </w:p>
        </w:tc>
      </w:tr>
      <w:tr w14:paraId="790B4A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525" w:type="dxa"/>
            <w:tcBorders>
              <w:left w:val="nil"/>
            </w:tcBorders>
            <w:vAlign w:val="top"/>
          </w:tcPr>
          <w:p w14:paraId="650CE842">
            <w:pPr>
              <w:spacing w:before="38" w:line="229" w:lineRule="auto"/>
              <w:ind w:left="169" w:right="54" w:hanging="106"/>
              <w:rPr>
                <w:rFonts w:ascii="仿宋" w:hAnsi="仿宋" w:eastAsia="仿宋" w:cs="仿宋"/>
                <w:sz w:val="20"/>
                <w:szCs w:val="20"/>
              </w:rPr>
            </w:pPr>
            <w:r>
              <w:rPr>
                <w:rFonts w:ascii="仿宋" w:hAnsi="仿宋" w:eastAsia="仿宋" w:cs="仿宋"/>
                <w:spacing w:val="2"/>
                <w:sz w:val="20"/>
                <w:szCs w:val="20"/>
              </w:rPr>
              <w:t>施工</w:t>
            </w:r>
            <w:r>
              <w:rPr>
                <w:rFonts w:ascii="仿宋" w:hAnsi="仿宋" w:eastAsia="仿宋" w:cs="仿宋"/>
                <w:sz w:val="20"/>
                <w:szCs w:val="20"/>
              </w:rPr>
              <w:t>期</w:t>
            </w:r>
          </w:p>
        </w:tc>
        <w:tc>
          <w:tcPr>
            <w:tcW w:w="493" w:type="dxa"/>
            <w:vAlign w:val="top"/>
          </w:tcPr>
          <w:p w14:paraId="3B3DF05A">
            <w:pPr>
              <w:spacing w:before="172" w:line="234" w:lineRule="auto"/>
              <w:ind w:left="198"/>
              <w:rPr>
                <w:rFonts w:ascii="仿宋" w:hAnsi="仿宋" w:eastAsia="仿宋" w:cs="仿宋"/>
                <w:sz w:val="20"/>
                <w:szCs w:val="20"/>
              </w:rPr>
            </w:pPr>
            <w:r>
              <w:rPr>
                <w:rFonts w:ascii="仿宋" w:hAnsi="仿宋" w:eastAsia="仿宋" w:cs="仿宋"/>
                <w:sz w:val="20"/>
                <w:szCs w:val="20"/>
              </w:rPr>
              <w:t>/</w:t>
            </w:r>
          </w:p>
        </w:tc>
        <w:tc>
          <w:tcPr>
            <w:tcW w:w="540" w:type="dxa"/>
            <w:vAlign w:val="top"/>
          </w:tcPr>
          <w:p w14:paraId="5A2B1B0A">
            <w:pPr>
              <w:spacing w:before="172" w:line="270" w:lineRule="exact"/>
              <w:ind w:left="175"/>
              <w:rPr>
                <w:rFonts w:ascii="仿宋" w:hAnsi="仿宋" w:eastAsia="仿宋" w:cs="仿宋"/>
                <w:sz w:val="20"/>
                <w:szCs w:val="20"/>
              </w:rPr>
            </w:pPr>
            <w:r>
              <w:rPr>
                <w:rFonts w:ascii="仿宋" w:hAnsi="仿宋" w:eastAsia="仿宋" w:cs="仿宋"/>
                <w:spacing w:val="-2"/>
                <w:position w:val="1"/>
                <w:sz w:val="20"/>
                <w:szCs w:val="20"/>
              </w:rPr>
              <w:t>70</w:t>
            </w:r>
          </w:p>
        </w:tc>
        <w:tc>
          <w:tcPr>
            <w:tcW w:w="615" w:type="dxa"/>
            <w:vAlign w:val="top"/>
          </w:tcPr>
          <w:p w14:paraId="4D47D832">
            <w:pPr>
              <w:spacing w:before="172" w:line="270" w:lineRule="exact"/>
              <w:ind w:left="210"/>
              <w:rPr>
                <w:rFonts w:ascii="仿宋" w:hAnsi="仿宋" w:eastAsia="仿宋" w:cs="仿宋"/>
                <w:sz w:val="20"/>
                <w:szCs w:val="20"/>
              </w:rPr>
            </w:pPr>
            <w:r>
              <w:rPr>
                <w:rFonts w:ascii="仿宋" w:hAnsi="仿宋" w:eastAsia="仿宋" w:cs="仿宋"/>
                <w:spacing w:val="-1"/>
                <w:position w:val="2"/>
                <w:sz w:val="20"/>
                <w:szCs w:val="20"/>
              </w:rPr>
              <w:t>55</w:t>
            </w:r>
          </w:p>
        </w:tc>
        <w:tc>
          <w:tcPr>
            <w:tcW w:w="1364" w:type="dxa"/>
            <w:vAlign w:val="top"/>
          </w:tcPr>
          <w:p w14:paraId="15C1E43E">
            <w:pPr>
              <w:spacing w:before="172" w:line="231" w:lineRule="auto"/>
              <w:ind w:left="279"/>
              <w:rPr>
                <w:rFonts w:ascii="仿宋" w:hAnsi="仿宋" w:eastAsia="仿宋" w:cs="仿宋"/>
                <w:sz w:val="20"/>
                <w:szCs w:val="20"/>
              </w:rPr>
            </w:pPr>
            <w:r>
              <w:rPr>
                <w:rFonts w:ascii="仿宋" w:hAnsi="仿宋" w:eastAsia="仿宋" w:cs="仿宋"/>
                <w:spacing w:val="4"/>
                <w:sz w:val="20"/>
                <w:szCs w:val="20"/>
              </w:rPr>
              <w:t>全部范围</w:t>
            </w:r>
          </w:p>
        </w:tc>
        <w:tc>
          <w:tcPr>
            <w:tcW w:w="2100" w:type="dxa"/>
            <w:vAlign w:val="top"/>
          </w:tcPr>
          <w:p w14:paraId="6F9FBE83">
            <w:pPr>
              <w:spacing w:before="172" w:line="231" w:lineRule="auto"/>
              <w:ind w:left="648"/>
              <w:rPr>
                <w:rFonts w:ascii="仿宋" w:hAnsi="仿宋" w:eastAsia="仿宋" w:cs="仿宋"/>
                <w:sz w:val="20"/>
                <w:szCs w:val="20"/>
              </w:rPr>
            </w:pPr>
            <w:r>
              <w:rPr>
                <w:rFonts w:ascii="仿宋" w:hAnsi="仿宋" w:eastAsia="仿宋" w:cs="仿宋"/>
                <w:spacing w:val="4"/>
                <w:sz w:val="20"/>
                <w:szCs w:val="20"/>
              </w:rPr>
              <w:t>全部道路</w:t>
            </w:r>
          </w:p>
        </w:tc>
        <w:tc>
          <w:tcPr>
            <w:tcW w:w="2667" w:type="dxa"/>
            <w:tcBorders>
              <w:right w:val="nil"/>
            </w:tcBorders>
            <w:vAlign w:val="top"/>
          </w:tcPr>
          <w:p w14:paraId="203952CF">
            <w:pPr>
              <w:spacing w:before="37" w:line="231" w:lineRule="auto"/>
              <w:ind w:left="88"/>
              <w:rPr>
                <w:rFonts w:ascii="仿宋" w:hAnsi="仿宋" w:eastAsia="仿宋" w:cs="仿宋"/>
                <w:sz w:val="20"/>
                <w:szCs w:val="20"/>
              </w:rPr>
            </w:pPr>
            <w:r>
              <w:rPr>
                <w:rFonts w:ascii="仿宋" w:hAnsi="仿宋" w:eastAsia="仿宋" w:cs="仿宋"/>
                <w:spacing w:val="7"/>
                <w:sz w:val="20"/>
                <w:szCs w:val="20"/>
              </w:rPr>
              <w:t>《建筑施工噪声排放标准》</w:t>
            </w:r>
          </w:p>
          <w:p w14:paraId="458B77AD">
            <w:pPr>
              <w:spacing w:before="21" w:line="208" w:lineRule="auto"/>
              <w:ind w:left="513"/>
              <w:rPr>
                <w:rFonts w:ascii="仿宋" w:hAnsi="仿宋" w:eastAsia="仿宋" w:cs="仿宋"/>
                <w:sz w:val="20"/>
                <w:szCs w:val="20"/>
              </w:rPr>
            </w:pPr>
            <w:r>
              <w:rPr>
                <w:rFonts w:ascii="仿宋" w:hAnsi="仿宋" w:eastAsia="仿宋" w:cs="仿宋"/>
                <w:spacing w:val="4"/>
                <w:sz w:val="20"/>
                <w:szCs w:val="20"/>
              </w:rPr>
              <w:t>（</w:t>
            </w:r>
            <w:r>
              <w:rPr>
                <w:rFonts w:ascii="仿宋" w:hAnsi="仿宋" w:eastAsia="仿宋" w:cs="仿宋"/>
                <w:sz w:val="20"/>
                <w:szCs w:val="20"/>
              </w:rPr>
              <w:t>GB</w:t>
            </w:r>
            <w:r>
              <w:rPr>
                <w:rFonts w:ascii="仿宋" w:hAnsi="仿宋" w:eastAsia="仿宋" w:cs="仿宋"/>
                <w:spacing w:val="4"/>
                <w:sz w:val="20"/>
                <w:szCs w:val="20"/>
              </w:rPr>
              <w:t>12523-2025）</w:t>
            </w:r>
          </w:p>
        </w:tc>
      </w:tr>
      <w:tr w14:paraId="3C9DC8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525" w:type="dxa"/>
            <w:vMerge w:val="restart"/>
            <w:tcBorders>
              <w:left w:val="nil"/>
              <w:bottom w:val="nil"/>
            </w:tcBorders>
            <w:vAlign w:val="top"/>
          </w:tcPr>
          <w:p w14:paraId="492BC512">
            <w:pPr>
              <w:spacing w:line="261" w:lineRule="auto"/>
              <w:rPr>
                <w:rFonts w:ascii="Arial"/>
                <w:sz w:val="21"/>
              </w:rPr>
            </w:pPr>
          </w:p>
          <w:p w14:paraId="5A49DC87">
            <w:pPr>
              <w:spacing w:line="262" w:lineRule="auto"/>
              <w:rPr>
                <w:rFonts w:ascii="Arial"/>
                <w:sz w:val="21"/>
              </w:rPr>
            </w:pPr>
          </w:p>
          <w:p w14:paraId="312B4116">
            <w:pPr>
              <w:spacing w:before="65" w:line="251" w:lineRule="auto"/>
              <w:ind w:left="168" w:right="54" w:hanging="103"/>
              <w:rPr>
                <w:rFonts w:ascii="仿宋" w:hAnsi="仿宋" w:eastAsia="仿宋" w:cs="仿宋"/>
                <w:sz w:val="20"/>
                <w:szCs w:val="20"/>
              </w:rPr>
            </w:pPr>
            <w:r>
              <w:rPr>
                <w:rFonts w:ascii="仿宋" w:hAnsi="仿宋" w:eastAsia="仿宋" w:cs="仿宋"/>
                <w:spacing w:val="1"/>
                <w:sz w:val="20"/>
                <w:szCs w:val="20"/>
              </w:rPr>
              <w:t>运营</w:t>
            </w:r>
            <w:r>
              <w:rPr>
                <w:rFonts w:ascii="仿宋" w:hAnsi="仿宋" w:eastAsia="仿宋" w:cs="仿宋"/>
                <w:sz w:val="20"/>
                <w:szCs w:val="20"/>
              </w:rPr>
              <w:t>期</w:t>
            </w:r>
          </w:p>
        </w:tc>
        <w:tc>
          <w:tcPr>
            <w:tcW w:w="493" w:type="dxa"/>
            <w:vAlign w:val="top"/>
          </w:tcPr>
          <w:p w14:paraId="1C78DF48">
            <w:pPr>
              <w:spacing w:line="247" w:lineRule="auto"/>
              <w:rPr>
                <w:rFonts w:ascii="Arial"/>
                <w:sz w:val="21"/>
              </w:rPr>
            </w:pPr>
          </w:p>
          <w:p w14:paraId="780DA55C">
            <w:pPr>
              <w:spacing w:before="65" w:line="233" w:lineRule="auto"/>
              <w:ind w:left="40"/>
              <w:rPr>
                <w:rFonts w:ascii="仿宋" w:hAnsi="仿宋" w:eastAsia="仿宋" w:cs="仿宋"/>
                <w:sz w:val="20"/>
                <w:szCs w:val="20"/>
              </w:rPr>
            </w:pPr>
            <w:r>
              <w:rPr>
                <w:rFonts w:ascii="仿宋" w:hAnsi="仿宋" w:eastAsia="仿宋" w:cs="仿宋"/>
                <w:spacing w:val="3"/>
                <w:sz w:val="20"/>
                <w:szCs w:val="20"/>
              </w:rPr>
              <w:t>4a类</w:t>
            </w:r>
          </w:p>
        </w:tc>
        <w:tc>
          <w:tcPr>
            <w:tcW w:w="540" w:type="dxa"/>
            <w:vAlign w:val="top"/>
          </w:tcPr>
          <w:p w14:paraId="74A4F156">
            <w:pPr>
              <w:spacing w:line="247" w:lineRule="auto"/>
              <w:rPr>
                <w:rFonts w:ascii="Arial"/>
                <w:sz w:val="21"/>
              </w:rPr>
            </w:pPr>
          </w:p>
          <w:p w14:paraId="155544EF">
            <w:pPr>
              <w:spacing w:before="65" w:line="270" w:lineRule="exact"/>
              <w:ind w:left="175"/>
              <w:rPr>
                <w:rFonts w:ascii="仿宋" w:hAnsi="仿宋" w:eastAsia="仿宋" w:cs="仿宋"/>
                <w:sz w:val="20"/>
                <w:szCs w:val="20"/>
              </w:rPr>
            </w:pPr>
            <w:r>
              <w:rPr>
                <w:rFonts w:ascii="仿宋" w:hAnsi="仿宋" w:eastAsia="仿宋" w:cs="仿宋"/>
                <w:spacing w:val="-2"/>
                <w:position w:val="1"/>
                <w:sz w:val="20"/>
                <w:szCs w:val="20"/>
              </w:rPr>
              <w:t>70</w:t>
            </w:r>
          </w:p>
        </w:tc>
        <w:tc>
          <w:tcPr>
            <w:tcW w:w="615" w:type="dxa"/>
            <w:vAlign w:val="top"/>
          </w:tcPr>
          <w:p w14:paraId="44579BFE">
            <w:pPr>
              <w:spacing w:line="247" w:lineRule="auto"/>
              <w:rPr>
                <w:rFonts w:ascii="Arial"/>
                <w:sz w:val="21"/>
              </w:rPr>
            </w:pPr>
          </w:p>
          <w:p w14:paraId="1D775B11">
            <w:pPr>
              <w:spacing w:before="65" w:line="270" w:lineRule="exact"/>
              <w:ind w:left="210"/>
              <w:rPr>
                <w:rFonts w:ascii="仿宋" w:hAnsi="仿宋" w:eastAsia="仿宋" w:cs="仿宋"/>
                <w:sz w:val="20"/>
                <w:szCs w:val="20"/>
              </w:rPr>
            </w:pPr>
            <w:r>
              <w:rPr>
                <w:rFonts w:ascii="仿宋" w:hAnsi="仿宋" w:eastAsia="仿宋" w:cs="仿宋"/>
                <w:spacing w:val="-1"/>
                <w:position w:val="2"/>
                <w:sz w:val="20"/>
                <w:szCs w:val="20"/>
              </w:rPr>
              <w:t>55</w:t>
            </w:r>
          </w:p>
        </w:tc>
        <w:tc>
          <w:tcPr>
            <w:tcW w:w="1364" w:type="dxa"/>
            <w:vAlign w:val="top"/>
          </w:tcPr>
          <w:p w14:paraId="09A7FA30">
            <w:pPr>
              <w:spacing w:before="42" w:line="231" w:lineRule="auto"/>
              <w:ind w:left="63"/>
              <w:rPr>
                <w:rFonts w:ascii="仿宋" w:hAnsi="仿宋" w:eastAsia="仿宋" w:cs="仿宋"/>
                <w:sz w:val="20"/>
                <w:szCs w:val="20"/>
              </w:rPr>
            </w:pPr>
            <w:r>
              <w:rPr>
                <w:rFonts w:ascii="仿宋" w:hAnsi="仿宋" w:eastAsia="仿宋" w:cs="仿宋"/>
                <w:spacing w:val="7"/>
                <w:sz w:val="20"/>
                <w:szCs w:val="20"/>
              </w:rPr>
              <w:t>沿黄巨合滩出</w:t>
            </w:r>
          </w:p>
          <w:p w14:paraId="0358F879">
            <w:pPr>
              <w:spacing w:before="21" w:line="233" w:lineRule="auto"/>
              <w:ind w:left="100"/>
              <w:rPr>
                <w:rFonts w:ascii="仿宋" w:hAnsi="仿宋" w:eastAsia="仿宋" w:cs="仿宋"/>
                <w:sz w:val="20"/>
                <w:szCs w:val="20"/>
              </w:rPr>
            </w:pPr>
            <w:r>
              <w:rPr>
                <w:rFonts w:ascii="仿宋" w:hAnsi="仿宋" w:eastAsia="仿宋" w:cs="仿宋"/>
                <w:spacing w:val="1"/>
                <w:sz w:val="20"/>
                <w:szCs w:val="20"/>
              </w:rPr>
              <w:t>口东至天顺圪</w:t>
            </w:r>
          </w:p>
          <w:p w14:paraId="2D490F31">
            <w:pPr>
              <w:spacing w:before="21" w:line="201" w:lineRule="auto"/>
              <w:ind w:left="276"/>
              <w:rPr>
                <w:rFonts w:ascii="仿宋" w:hAnsi="仿宋" w:eastAsia="仿宋" w:cs="仿宋"/>
                <w:sz w:val="20"/>
                <w:szCs w:val="20"/>
              </w:rPr>
            </w:pPr>
            <w:r>
              <w:rPr>
                <w:rFonts w:ascii="仿宋" w:hAnsi="仿宋" w:eastAsia="仿宋" w:cs="仿宋"/>
                <w:spacing w:val="5"/>
                <w:sz w:val="20"/>
                <w:szCs w:val="20"/>
              </w:rPr>
              <w:t>梁通村路</w:t>
            </w:r>
          </w:p>
        </w:tc>
        <w:tc>
          <w:tcPr>
            <w:tcW w:w="2100" w:type="dxa"/>
            <w:vAlign w:val="top"/>
          </w:tcPr>
          <w:p w14:paraId="36295682">
            <w:pPr>
              <w:spacing w:before="42" w:line="232" w:lineRule="auto"/>
              <w:ind w:left="119"/>
              <w:rPr>
                <w:rFonts w:ascii="仿宋" w:hAnsi="仿宋" w:eastAsia="仿宋" w:cs="仿宋"/>
                <w:sz w:val="20"/>
                <w:szCs w:val="20"/>
              </w:rPr>
            </w:pPr>
            <w:r>
              <w:rPr>
                <w:rFonts w:ascii="仿宋" w:hAnsi="仿宋" w:eastAsia="仿宋" w:cs="仿宋"/>
                <w:spacing w:val="8"/>
                <w:sz w:val="20"/>
                <w:szCs w:val="20"/>
              </w:rPr>
              <w:t>对应兴巴高速用地边</w:t>
            </w:r>
          </w:p>
          <w:p w14:paraId="606BFD6D">
            <w:pPr>
              <w:spacing w:before="19" w:line="229" w:lineRule="auto"/>
              <w:ind w:left="16"/>
              <w:rPr>
                <w:rFonts w:ascii="仿宋" w:hAnsi="仿宋" w:eastAsia="仿宋" w:cs="仿宋"/>
                <w:sz w:val="20"/>
                <w:szCs w:val="20"/>
              </w:rPr>
            </w:pPr>
            <w:r>
              <w:rPr>
                <w:rFonts w:ascii="仿宋" w:hAnsi="仿宋" w:eastAsia="仿宋" w:cs="仿宋"/>
                <w:spacing w:val="5"/>
                <w:sz w:val="20"/>
                <w:szCs w:val="20"/>
              </w:rPr>
              <w:t>界两侧</w:t>
            </w:r>
            <w:r>
              <w:rPr>
                <w:rFonts w:ascii="仿宋" w:hAnsi="仿宋" w:eastAsia="仿宋" w:cs="仿宋"/>
                <w:spacing w:val="-50"/>
                <w:sz w:val="20"/>
                <w:szCs w:val="20"/>
              </w:rPr>
              <w:t xml:space="preserve"> </w:t>
            </w:r>
            <w:r>
              <w:rPr>
                <w:rFonts w:ascii="仿宋" w:hAnsi="仿宋" w:eastAsia="仿宋" w:cs="仿宋"/>
                <w:spacing w:val="5"/>
                <w:sz w:val="20"/>
                <w:szCs w:val="20"/>
              </w:rPr>
              <w:t>50m</w:t>
            </w:r>
            <w:r>
              <w:rPr>
                <w:rFonts w:ascii="仿宋" w:hAnsi="仿宋" w:eastAsia="仿宋" w:cs="仿宋"/>
                <w:spacing w:val="-36"/>
                <w:sz w:val="20"/>
                <w:szCs w:val="20"/>
              </w:rPr>
              <w:t xml:space="preserve"> </w:t>
            </w:r>
            <w:r>
              <w:rPr>
                <w:rFonts w:ascii="仿宋" w:hAnsi="仿宋" w:eastAsia="仿宋" w:cs="仿宋"/>
                <w:spacing w:val="5"/>
                <w:sz w:val="20"/>
                <w:szCs w:val="20"/>
              </w:rPr>
              <w:t>区域执行4a</w:t>
            </w:r>
          </w:p>
          <w:p w14:paraId="6BE565EB">
            <w:pPr>
              <w:spacing w:before="25" w:line="201" w:lineRule="auto"/>
              <w:ind w:left="748"/>
              <w:rPr>
                <w:rFonts w:ascii="仿宋" w:hAnsi="仿宋" w:eastAsia="仿宋" w:cs="仿宋"/>
                <w:sz w:val="20"/>
                <w:szCs w:val="20"/>
              </w:rPr>
            </w:pPr>
            <w:r>
              <w:rPr>
                <w:rFonts w:ascii="仿宋" w:hAnsi="仿宋" w:eastAsia="仿宋" w:cs="仿宋"/>
                <w:spacing w:val="4"/>
                <w:sz w:val="20"/>
                <w:szCs w:val="20"/>
              </w:rPr>
              <w:t>类标准</w:t>
            </w:r>
          </w:p>
        </w:tc>
        <w:tc>
          <w:tcPr>
            <w:tcW w:w="2667" w:type="dxa"/>
            <w:vMerge w:val="restart"/>
            <w:tcBorders>
              <w:bottom w:val="nil"/>
              <w:right w:val="nil"/>
            </w:tcBorders>
            <w:vAlign w:val="top"/>
          </w:tcPr>
          <w:p w14:paraId="490E6280">
            <w:pPr>
              <w:spacing w:line="262" w:lineRule="auto"/>
              <w:rPr>
                <w:rFonts w:ascii="Arial"/>
                <w:sz w:val="21"/>
              </w:rPr>
            </w:pPr>
          </w:p>
          <w:p w14:paraId="45279CFA">
            <w:pPr>
              <w:spacing w:line="262" w:lineRule="auto"/>
              <w:rPr>
                <w:rFonts w:ascii="Arial"/>
                <w:sz w:val="21"/>
              </w:rPr>
            </w:pPr>
          </w:p>
          <w:p w14:paraId="7E4E1FA0">
            <w:pPr>
              <w:spacing w:before="65" w:line="257" w:lineRule="auto"/>
              <w:ind w:left="562" w:right="398" w:hanging="160"/>
              <w:rPr>
                <w:rFonts w:ascii="仿宋" w:hAnsi="仿宋" w:eastAsia="仿宋" w:cs="仿宋"/>
                <w:sz w:val="20"/>
                <w:szCs w:val="20"/>
              </w:rPr>
            </w:pPr>
            <w:r>
              <w:rPr>
                <w:rFonts w:ascii="仿宋" w:hAnsi="仿宋" w:eastAsia="仿宋" w:cs="仿宋"/>
                <w:spacing w:val="6"/>
                <w:sz w:val="20"/>
                <w:szCs w:val="20"/>
              </w:rPr>
              <w:t>《声环境质量标准》</w:t>
            </w:r>
            <w:r>
              <w:rPr>
                <w:rFonts w:ascii="仿宋" w:hAnsi="仿宋" w:eastAsia="仿宋" w:cs="仿宋"/>
                <w:spacing w:val="7"/>
                <w:sz w:val="20"/>
                <w:szCs w:val="20"/>
              </w:rPr>
              <w:t xml:space="preserve"> </w:t>
            </w:r>
            <w:r>
              <w:rPr>
                <w:rFonts w:ascii="仿宋" w:hAnsi="仿宋" w:eastAsia="仿宋" w:cs="仿宋"/>
                <w:spacing w:val="4"/>
                <w:sz w:val="20"/>
                <w:szCs w:val="20"/>
              </w:rPr>
              <w:t>（</w:t>
            </w:r>
            <w:r>
              <w:rPr>
                <w:rFonts w:ascii="仿宋" w:hAnsi="仿宋" w:eastAsia="仿宋" w:cs="仿宋"/>
                <w:sz w:val="20"/>
                <w:szCs w:val="20"/>
              </w:rPr>
              <w:t>GB</w:t>
            </w:r>
            <w:r>
              <w:rPr>
                <w:rFonts w:ascii="仿宋" w:hAnsi="仿宋" w:eastAsia="仿宋" w:cs="仿宋"/>
                <w:spacing w:val="4"/>
                <w:sz w:val="20"/>
                <w:szCs w:val="20"/>
              </w:rPr>
              <w:t>3096-2008）</w:t>
            </w:r>
          </w:p>
        </w:tc>
      </w:tr>
      <w:tr w14:paraId="2A0BCF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8" w:hRule="atLeast"/>
        </w:trPr>
        <w:tc>
          <w:tcPr>
            <w:tcW w:w="525" w:type="dxa"/>
            <w:vMerge w:val="continue"/>
            <w:tcBorders>
              <w:top w:val="nil"/>
              <w:left w:val="nil"/>
              <w:bottom w:val="single" w:color="000000" w:sz="10" w:space="0"/>
            </w:tcBorders>
            <w:vAlign w:val="top"/>
          </w:tcPr>
          <w:p w14:paraId="600D0DEF">
            <w:pPr>
              <w:rPr>
                <w:rFonts w:ascii="Arial"/>
                <w:sz w:val="21"/>
              </w:rPr>
            </w:pPr>
          </w:p>
        </w:tc>
        <w:tc>
          <w:tcPr>
            <w:tcW w:w="493" w:type="dxa"/>
            <w:tcBorders>
              <w:bottom w:val="single" w:color="000000" w:sz="10" w:space="0"/>
            </w:tcBorders>
            <w:vAlign w:val="top"/>
          </w:tcPr>
          <w:p w14:paraId="4F0D0476">
            <w:pPr>
              <w:spacing w:line="255" w:lineRule="auto"/>
              <w:rPr>
                <w:rFonts w:ascii="Arial"/>
                <w:sz w:val="21"/>
              </w:rPr>
            </w:pPr>
          </w:p>
          <w:p w14:paraId="2EB972E7">
            <w:pPr>
              <w:spacing w:before="65" w:line="233" w:lineRule="auto"/>
              <w:ind w:left="109"/>
              <w:rPr>
                <w:rFonts w:ascii="仿宋" w:hAnsi="仿宋" w:eastAsia="仿宋" w:cs="仿宋"/>
                <w:sz w:val="20"/>
                <w:szCs w:val="20"/>
              </w:rPr>
            </w:pPr>
            <w:r>
              <w:rPr>
                <w:rFonts w:ascii="仿宋" w:hAnsi="仿宋" w:eastAsia="仿宋" w:cs="仿宋"/>
                <w:spacing w:val="-5"/>
                <w:sz w:val="20"/>
                <w:szCs w:val="20"/>
              </w:rPr>
              <w:t>1类</w:t>
            </w:r>
          </w:p>
        </w:tc>
        <w:tc>
          <w:tcPr>
            <w:tcW w:w="540" w:type="dxa"/>
            <w:tcBorders>
              <w:bottom w:val="single" w:color="000000" w:sz="10" w:space="0"/>
            </w:tcBorders>
            <w:vAlign w:val="top"/>
          </w:tcPr>
          <w:p w14:paraId="0A745229">
            <w:pPr>
              <w:spacing w:line="255" w:lineRule="auto"/>
              <w:rPr>
                <w:rFonts w:ascii="Arial"/>
                <w:sz w:val="21"/>
              </w:rPr>
            </w:pPr>
          </w:p>
          <w:p w14:paraId="46373298">
            <w:pPr>
              <w:spacing w:before="65" w:line="270" w:lineRule="exact"/>
              <w:ind w:left="174"/>
              <w:rPr>
                <w:rFonts w:ascii="仿宋" w:hAnsi="仿宋" w:eastAsia="仿宋" w:cs="仿宋"/>
                <w:sz w:val="20"/>
                <w:szCs w:val="20"/>
              </w:rPr>
            </w:pPr>
            <w:r>
              <w:rPr>
                <w:rFonts w:ascii="仿宋" w:hAnsi="仿宋" w:eastAsia="仿宋" w:cs="仿宋"/>
                <w:spacing w:val="-1"/>
                <w:position w:val="2"/>
                <w:sz w:val="20"/>
                <w:szCs w:val="20"/>
              </w:rPr>
              <w:t>55</w:t>
            </w:r>
          </w:p>
        </w:tc>
        <w:tc>
          <w:tcPr>
            <w:tcW w:w="615" w:type="dxa"/>
            <w:tcBorders>
              <w:bottom w:val="single" w:color="000000" w:sz="10" w:space="0"/>
            </w:tcBorders>
            <w:vAlign w:val="top"/>
          </w:tcPr>
          <w:p w14:paraId="22F6168D">
            <w:pPr>
              <w:spacing w:line="255" w:lineRule="auto"/>
              <w:rPr>
                <w:rFonts w:ascii="Arial"/>
                <w:sz w:val="21"/>
              </w:rPr>
            </w:pPr>
          </w:p>
          <w:p w14:paraId="7F07F02E">
            <w:pPr>
              <w:spacing w:before="65" w:line="270" w:lineRule="exact"/>
              <w:ind w:left="205"/>
              <w:rPr>
                <w:rFonts w:ascii="仿宋" w:hAnsi="仿宋" w:eastAsia="仿宋" w:cs="仿宋"/>
                <w:sz w:val="20"/>
                <w:szCs w:val="20"/>
              </w:rPr>
            </w:pPr>
            <w:r>
              <w:rPr>
                <w:rFonts w:ascii="仿宋" w:hAnsi="仿宋" w:eastAsia="仿宋" w:cs="仿宋"/>
                <w:spacing w:val="1"/>
                <w:position w:val="1"/>
                <w:sz w:val="20"/>
                <w:szCs w:val="20"/>
              </w:rPr>
              <w:t>45</w:t>
            </w:r>
          </w:p>
        </w:tc>
        <w:tc>
          <w:tcPr>
            <w:tcW w:w="1364" w:type="dxa"/>
            <w:tcBorders>
              <w:bottom w:val="single" w:color="000000" w:sz="10" w:space="0"/>
            </w:tcBorders>
            <w:vAlign w:val="top"/>
          </w:tcPr>
          <w:p w14:paraId="7B6891F2">
            <w:pPr>
              <w:spacing w:line="254" w:lineRule="auto"/>
              <w:rPr>
                <w:rFonts w:ascii="Arial"/>
                <w:sz w:val="21"/>
              </w:rPr>
            </w:pPr>
          </w:p>
          <w:p w14:paraId="2D56B1C7">
            <w:pPr>
              <w:spacing w:before="65" w:line="232" w:lineRule="auto"/>
              <w:ind w:left="275"/>
              <w:rPr>
                <w:rFonts w:ascii="仿宋" w:hAnsi="仿宋" w:eastAsia="仿宋" w:cs="仿宋"/>
                <w:sz w:val="20"/>
                <w:szCs w:val="20"/>
              </w:rPr>
            </w:pPr>
            <w:r>
              <w:rPr>
                <w:rFonts w:ascii="仿宋" w:hAnsi="仿宋" w:eastAsia="仿宋" w:cs="仿宋"/>
                <w:spacing w:val="5"/>
                <w:sz w:val="20"/>
                <w:szCs w:val="20"/>
              </w:rPr>
              <w:t>其余路段</w:t>
            </w:r>
          </w:p>
        </w:tc>
        <w:tc>
          <w:tcPr>
            <w:tcW w:w="2100" w:type="dxa"/>
            <w:tcBorders>
              <w:bottom w:val="single" w:color="000000" w:sz="10" w:space="0"/>
            </w:tcBorders>
            <w:vAlign w:val="top"/>
          </w:tcPr>
          <w:p w14:paraId="71ED4669">
            <w:pPr>
              <w:spacing w:before="50" w:line="229" w:lineRule="auto"/>
              <w:ind w:left="74"/>
              <w:rPr>
                <w:rFonts w:ascii="仿宋" w:hAnsi="仿宋" w:eastAsia="仿宋" w:cs="仿宋"/>
                <w:sz w:val="20"/>
                <w:szCs w:val="20"/>
              </w:rPr>
            </w:pPr>
            <w:r>
              <w:rPr>
                <w:rFonts w:ascii="仿宋" w:hAnsi="仿宋" w:eastAsia="仿宋" w:cs="仿宋"/>
                <w:spacing w:val="4"/>
                <w:sz w:val="20"/>
                <w:szCs w:val="20"/>
              </w:rPr>
              <w:t>除执行</w:t>
            </w:r>
            <w:r>
              <w:rPr>
                <w:rFonts w:ascii="仿宋" w:hAnsi="仿宋" w:eastAsia="仿宋" w:cs="仿宋"/>
                <w:spacing w:val="-41"/>
                <w:sz w:val="20"/>
                <w:szCs w:val="20"/>
              </w:rPr>
              <w:t xml:space="preserve"> </w:t>
            </w:r>
            <w:r>
              <w:rPr>
                <w:rFonts w:ascii="仿宋" w:hAnsi="仿宋" w:eastAsia="仿宋" w:cs="仿宋"/>
                <w:spacing w:val="4"/>
                <w:sz w:val="20"/>
                <w:szCs w:val="20"/>
              </w:rPr>
              <w:t>4a</w:t>
            </w:r>
            <w:r>
              <w:rPr>
                <w:rFonts w:ascii="仿宋" w:hAnsi="仿宋" w:eastAsia="仿宋" w:cs="仿宋"/>
                <w:spacing w:val="-30"/>
                <w:sz w:val="20"/>
                <w:szCs w:val="20"/>
              </w:rPr>
              <w:t xml:space="preserve"> </w:t>
            </w:r>
            <w:r>
              <w:rPr>
                <w:rFonts w:ascii="仿宋" w:hAnsi="仿宋" w:eastAsia="仿宋" w:cs="仿宋"/>
                <w:spacing w:val="4"/>
                <w:sz w:val="20"/>
                <w:szCs w:val="20"/>
              </w:rPr>
              <w:t>类以外的区</w:t>
            </w:r>
          </w:p>
          <w:p w14:paraId="4E00E31A">
            <w:pPr>
              <w:spacing w:before="22" w:line="231" w:lineRule="auto"/>
              <w:ind w:left="16"/>
              <w:rPr>
                <w:rFonts w:ascii="仿宋" w:hAnsi="仿宋" w:eastAsia="仿宋" w:cs="仿宋"/>
                <w:sz w:val="20"/>
                <w:szCs w:val="20"/>
              </w:rPr>
            </w:pPr>
            <w:r>
              <w:rPr>
                <w:rFonts w:ascii="仿宋" w:hAnsi="仿宋" w:eastAsia="仿宋" w:cs="仿宋"/>
                <w:spacing w:val="7"/>
                <w:sz w:val="20"/>
                <w:szCs w:val="20"/>
              </w:rPr>
              <w:t>域，剩余区域中心线两</w:t>
            </w:r>
          </w:p>
          <w:p w14:paraId="7CA6FE88">
            <w:pPr>
              <w:spacing w:before="21" w:line="217" w:lineRule="auto"/>
              <w:ind w:left="379"/>
              <w:rPr>
                <w:rFonts w:ascii="仿宋" w:hAnsi="仿宋" w:eastAsia="仿宋" w:cs="仿宋"/>
                <w:sz w:val="20"/>
                <w:szCs w:val="20"/>
              </w:rPr>
            </w:pPr>
            <w:r>
              <w:rPr>
                <w:rFonts w:ascii="仿宋" w:hAnsi="仿宋" w:eastAsia="仿宋" w:cs="仿宋"/>
                <w:spacing w:val="1"/>
                <w:sz w:val="20"/>
                <w:szCs w:val="20"/>
              </w:rPr>
              <w:t>侧</w:t>
            </w:r>
            <w:r>
              <w:rPr>
                <w:rFonts w:ascii="仿宋" w:hAnsi="仿宋" w:eastAsia="仿宋" w:cs="仿宋"/>
                <w:spacing w:val="-37"/>
                <w:sz w:val="20"/>
                <w:szCs w:val="20"/>
              </w:rPr>
              <w:t xml:space="preserve"> </w:t>
            </w:r>
            <w:r>
              <w:rPr>
                <w:rFonts w:ascii="仿宋" w:hAnsi="仿宋" w:eastAsia="仿宋" w:cs="仿宋"/>
                <w:spacing w:val="1"/>
                <w:sz w:val="20"/>
                <w:szCs w:val="20"/>
              </w:rPr>
              <w:t>200m</w:t>
            </w:r>
            <w:r>
              <w:rPr>
                <w:rFonts w:ascii="仿宋" w:hAnsi="仿宋" w:eastAsia="仿宋" w:cs="仿宋"/>
                <w:spacing w:val="-23"/>
                <w:sz w:val="20"/>
                <w:szCs w:val="20"/>
              </w:rPr>
              <w:t xml:space="preserve"> </w:t>
            </w:r>
            <w:r>
              <w:rPr>
                <w:rFonts w:ascii="仿宋" w:hAnsi="仿宋" w:eastAsia="仿宋" w:cs="仿宋"/>
                <w:spacing w:val="1"/>
                <w:sz w:val="20"/>
                <w:szCs w:val="20"/>
              </w:rPr>
              <w:t>范围内</w:t>
            </w:r>
          </w:p>
        </w:tc>
        <w:tc>
          <w:tcPr>
            <w:tcW w:w="2667" w:type="dxa"/>
            <w:vMerge w:val="continue"/>
            <w:tcBorders>
              <w:top w:val="nil"/>
              <w:bottom w:val="single" w:color="000000" w:sz="10" w:space="0"/>
              <w:right w:val="nil"/>
            </w:tcBorders>
            <w:vAlign w:val="top"/>
          </w:tcPr>
          <w:p w14:paraId="6640D667">
            <w:pPr>
              <w:rPr>
                <w:rFonts w:ascii="Arial"/>
                <w:sz w:val="21"/>
              </w:rPr>
            </w:pPr>
          </w:p>
        </w:tc>
      </w:tr>
    </w:tbl>
    <w:p w14:paraId="789C0E12">
      <w:pPr>
        <w:spacing w:before="255" w:line="228" w:lineRule="auto"/>
        <w:ind w:left="48"/>
        <w:outlineLvl w:val="1"/>
        <w:rPr>
          <w:rFonts w:ascii="仿宋" w:hAnsi="仿宋" w:eastAsia="仿宋" w:cs="仿宋"/>
          <w:sz w:val="31"/>
          <w:szCs w:val="31"/>
        </w:rPr>
      </w:pPr>
      <w:bookmarkStart w:id="13" w:name="bookmark16"/>
      <w:bookmarkEnd w:id="13"/>
      <w:bookmarkStart w:id="14" w:name="bookmark17"/>
      <w:bookmarkEnd w:id="14"/>
      <w:r>
        <w:rPr>
          <w:rFonts w:ascii="仿宋" w:hAnsi="仿宋" w:eastAsia="仿宋" w:cs="仿宋"/>
          <w:b/>
          <w:bCs/>
          <w:spacing w:val="3"/>
          <w:sz w:val="31"/>
          <w:szCs w:val="31"/>
        </w:rPr>
        <w:t>1.4</w:t>
      </w:r>
      <w:r>
        <w:rPr>
          <w:rFonts w:ascii="仿宋" w:hAnsi="仿宋" w:eastAsia="仿宋" w:cs="仿宋"/>
          <w:spacing w:val="3"/>
          <w:sz w:val="31"/>
          <w:szCs w:val="31"/>
        </w:rPr>
        <w:t xml:space="preserve"> </w:t>
      </w:r>
      <w:r>
        <w:rPr>
          <w:rFonts w:ascii="仿宋" w:hAnsi="仿宋" w:eastAsia="仿宋" w:cs="仿宋"/>
          <w:b/>
          <w:bCs/>
          <w:spacing w:val="3"/>
          <w:sz w:val="31"/>
          <w:szCs w:val="31"/>
        </w:rPr>
        <w:t>评价时段与评价因子</w:t>
      </w:r>
    </w:p>
    <w:p w14:paraId="05AC7D15">
      <w:pPr>
        <w:pStyle w:val="2"/>
        <w:spacing w:line="320" w:lineRule="auto"/>
        <w:rPr>
          <w:sz w:val="21"/>
        </w:rPr>
      </w:pPr>
    </w:p>
    <w:p w14:paraId="2BEE2EEB">
      <w:pPr>
        <w:spacing w:before="91" w:line="223" w:lineRule="auto"/>
        <w:ind w:left="44"/>
        <w:outlineLvl w:val="2"/>
        <w:rPr>
          <w:rFonts w:ascii="仿宋" w:hAnsi="仿宋" w:eastAsia="仿宋" w:cs="仿宋"/>
          <w:sz w:val="28"/>
          <w:szCs w:val="28"/>
        </w:rPr>
      </w:pPr>
      <w:r>
        <w:rPr>
          <w:rFonts w:ascii="仿宋" w:hAnsi="仿宋" w:eastAsia="仿宋" w:cs="仿宋"/>
          <w:b/>
          <w:bCs/>
          <w:spacing w:val="-8"/>
          <w:sz w:val="28"/>
          <w:szCs w:val="28"/>
        </w:rPr>
        <w:t>1.4.1</w:t>
      </w:r>
      <w:r>
        <w:rPr>
          <w:rFonts w:ascii="仿宋" w:hAnsi="仿宋" w:eastAsia="仿宋" w:cs="仿宋"/>
          <w:spacing w:val="-48"/>
          <w:sz w:val="28"/>
          <w:szCs w:val="28"/>
        </w:rPr>
        <w:t xml:space="preserve"> </w:t>
      </w:r>
      <w:r>
        <w:rPr>
          <w:rFonts w:ascii="仿宋" w:hAnsi="仿宋" w:eastAsia="仿宋" w:cs="仿宋"/>
          <w:b/>
          <w:bCs/>
          <w:spacing w:val="-8"/>
          <w:sz w:val="28"/>
          <w:szCs w:val="28"/>
        </w:rPr>
        <w:t>评价时段</w:t>
      </w:r>
    </w:p>
    <w:p w14:paraId="0E2A1D32">
      <w:pPr>
        <w:spacing w:before="307" w:line="359" w:lineRule="auto"/>
        <w:ind w:left="34" w:right="16" w:firstLine="474"/>
        <w:rPr>
          <w:rFonts w:ascii="仿宋" w:hAnsi="仿宋" w:eastAsia="仿宋" w:cs="仿宋"/>
          <w:sz w:val="24"/>
          <w:szCs w:val="24"/>
        </w:rPr>
      </w:pPr>
      <w:r>
        <w:rPr>
          <w:rFonts w:ascii="仿宋" w:hAnsi="仿宋" w:eastAsia="仿宋" w:cs="仿宋"/>
          <w:spacing w:val="-2"/>
          <w:sz w:val="24"/>
          <w:szCs w:val="24"/>
        </w:rPr>
        <w:t>施工期（全施工周期）、运营期（近期</w:t>
      </w:r>
      <w:r>
        <w:rPr>
          <w:rFonts w:ascii="仿宋" w:hAnsi="仿宋" w:eastAsia="仿宋" w:cs="仿宋"/>
          <w:spacing w:val="-46"/>
          <w:sz w:val="24"/>
          <w:szCs w:val="24"/>
        </w:rPr>
        <w:t xml:space="preserve"> </w:t>
      </w:r>
      <w:r>
        <w:rPr>
          <w:rFonts w:ascii="仿宋" w:hAnsi="仿宋" w:eastAsia="仿宋" w:cs="仿宋"/>
          <w:spacing w:val="-2"/>
          <w:sz w:val="24"/>
          <w:szCs w:val="24"/>
        </w:rPr>
        <w:t>2027</w:t>
      </w:r>
      <w:r>
        <w:rPr>
          <w:rFonts w:ascii="仿宋" w:hAnsi="仿宋" w:eastAsia="仿宋" w:cs="仿宋"/>
          <w:spacing w:val="-35"/>
          <w:sz w:val="24"/>
          <w:szCs w:val="24"/>
        </w:rPr>
        <w:t xml:space="preserve"> </w:t>
      </w:r>
      <w:r>
        <w:rPr>
          <w:rFonts w:ascii="仿宋" w:hAnsi="仿宋" w:eastAsia="仿宋" w:cs="仿宋"/>
          <w:spacing w:val="-2"/>
          <w:sz w:val="24"/>
          <w:szCs w:val="24"/>
        </w:rPr>
        <w:t>年、</w:t>
      </w:r>
      <w:r>
        <w:rPr>
          <w:rFonts w:ascii="仿宋" w:hAnsi="仿宋" w:eastAsia="仿宋" w:cs="仿宋"/>
          <w:spacing w:val="-68"/>
          <w:sz w:val="24"/>
          <w:szCs w:val="24"/>
        </w:rPr>
        <w:t xml:space="preserve"> </w:t>
      </w:r>
      <w:r>
        <w:rPr>
          <w:rFonts w:ascii="仿宋" w:hAnsi="仿宋" w:eastAsia="仿宋" w:cs="仿宋"/>
          <w:spacing w:val="-2"/>
          <w:sz w:val="24"/>
          <w:szCs w:val="24"/>
        </w:rPr>
        <w:t>中期</w:t>
      </w:r>
      <w:r>
        <w:rPr>
          <w:rFonts w:ascii="仿宋" w:hAnsi="仿宋" w:eastAsia="仿宋" w:cs="仿宋"/>
          <w:spacing w:val="-46"/>
          <w:sz w:val="24"/>
          <w:szCs w:val="24"/>
        </w:rPr>
        <w:t xml:space="preserve"> </w:t>
      </w:r>
      <w:r>
        <w:rPr>
          <w:rFonts w:ascii="仿宋" w:hAnsi="仿宋" w:eastAsia="仿宋" w:cs="仿宋"/>
          <w:spacing w:val="-2"/>
          <w:sz w:val="24"/>
          <w:szCs w:val="24"/>
        </w:rPr>
        <w:t>2031</w:t>
      </w:r>
      <w:r>
        <w:rPr>
          <w:rFonts w:ascii="仿宋" w:hAnsi="仿宋" w:eastAsia="仿宋" w:cs="仿宋"/>
          <w:spacing w:val="-37"/>
          <w:sz w:val="24"/>
          <w:szCs w:val="24"/>
        </w:rPr>
        <w:t xml:space="preserve"> </w:t>
      </w:r>
      <w:r>
        <w:rPr>
          <w:rFonts w:ascii="仿宋" w:hAnsi="仿宋" w:eastAsia="仿宋" w:cs="仿宋"/>
          <w:spacing w:val="-2"/>
          <w:sz w:val="24"/>
          <w:szCs w:val="24"/>
        </w:rPr>
        <w:t>年、远期</w:t>
      </w:r>
      <w:r>
        <w:rPr>
          <w:rFonts w:ascii="仿宋" w:hAnsi="仿宋" w:eastAsia="仿宋" w:cs="仿宋"/>
          <w:spacing w:val="-47"/>
          <w:sz w:val="24"/>
          <w:szCs w:val="24"/>
        </w:rPr>
        <w:t xml:space="preserve"> </w:t>
      </w:r>
      <w:r>
        <w:rPr>
          <w:rFonts w:ascii="仿宋" w:hAnsi="仿宋" w:eastAsia="仿宋" w:cs="仿宋"/>
          <w:spacing w:val="-2"/>
          <w:sz w:val="24"/>
          <w:szCs w:val="24"/>
        </w:rPr>
        <w:t>2036</w:t>
      </w:r>
      <w:r>
        <w:rPr>
          <w:rFonts w:ascii="仿宋" w:hAnsi="仿宋" w:eastAsia="仿宋" w:cs="仿宋"/>
          <w:spacing w:val="-5"/>
          <w:sz w:val="24"/>
          <w:szCs w:val="24"/>
        </w:rPr>
        <w:t>年</w:t>
      </w:r>
      <w:r>
        <w:rPr>
          <w:rFonts w:ascii="仿宋" w:hAnsi="仿宋" w:eastAsia="仿宋" w:cs="仿宋"/>
          <w:spacing w:val="21"/>
          <w:sz w:val="24"/>
          <w:szCs w:val="24"/>
        </w:rPr>
        <w:t>），</w:t>
      </w:r>
      <w:r>
        <w:rPr>
          <w:rFonts w:ascii="仿宋" w:hAnsi="仿宋" w:eastAsia="仿宋" w:cs="仿宋"/>
          <w:spacing w:val="-5"/>
          <w:sz w:val="24"/>
          <w:szCs w:val="24"/>
        </w:rPr>
        <w:t>区分昼间、夜间评价时段。</w:t>
      </w:r>
    </w:p>
    <w:p w14:paraId="17BDD4E8">
      <w:pPr>
        <w:spacing w:before="291" w:line="223" w:lineRule="auto"/>
        <w:ind w:left="44"/>
        <w:outlineLvl w:val="2"/>
        <w:rPr>
          <w:rFonts w:ascii="仿宋" w:hAnsi="仿宋" w:eastAsia="仿宋" w:cs="仿宋"/>
          <w:sz w:val="28"/>
          <w:szCs w:val="28"/>
        </w:rPr>
      </w:pPr>
      <w:bookmarkStart w:id="15" w:name="bookmark18"/>
      <w:bookmarkEnd w:id="15"/>
      <w:r>
        <w:rPr>
          <w:rFonts w:ascii="仿宋" w:hAnsi="仿宋" w:eastAsia="仿宋" w:cs="仿宋"/>
          <w:b/>
          <w:bCs/>
          <w:spacing w:val="-8"/>
          <w:sz w:val="28"/>
          <w:szCs w:val="28"/>
        </w:rPr>
        <w:t>1.4.2</w:t>
      </w:r>
      <w:r>
        <w:rPr>
          <w:rFonts w:ascii="仿宋" w:hAnsi="仿宋" w:eastAsia="仿宋" w:cs="仿宋"/>
          <w:spacing w:val="-48"/>
          <w:sz w:val="28"/>
          <w:szCs w:val="28"/>
        </w:rPr>
        <w:t xml:space="preserve"> </w:t>
      </w:r>
      <w:r>
        <w:rPr>
          <w:rFonts w:ascii="仿宋" w:hAnsi="仿宋" w:eastAsia="仿宋" w:cs="仿宋"/>
          <w:b/>
          <w:bCs/>
          <w:spacing w:val="-8"/>
          <w:sz w:val="28"/>
          <w:szCs w:val="28"/>
        </w:rPr>
        <w:t>评价因子</w:t>
      </w:r>
    </w:p>
    <w:p w14:paraId="400ADD1E">
      <w:pPr>
        <w:spacing w:before="307" w:line="222" w:lineRule="auto"/>
        <w:ind w:left="510"/>
        <w:rPr>
          <w:rFonts w:ascii="仿宋" w:hAnsi="仿宋" w:eastAsia="仿宋" w:cs="仿宋"/>
          <w:sz w:val="24"/>
          <w:szCs w:val="24"/>
        </w:rPr>
      </w:pPr>
      <w:r>
        <w:rPr>
          <w:rFonts w:ascii="仿宋" w:hAnsi="仿宋" w:eastAsia="仿宋" w:cs="仿宋"/>
          <w:spacing w:val="-1"/>
          <w:sz w:val="24"/>
          <w:szCs w:val="24"/>
        </w:rPr>
        <w:t>本次评价的主要内容和评价因子，具体见下表。</w:t>
      </w:r>
    </w:p>
    <w:p w14:paraId="38555257">
      <w:pPr>
        <w:spacing w:before="177" w:line="222" w:lineRule="auto"/>
        <w:ind w:left="2105"/>
        <w:rPr>
          <w:rFonts w:ascii="仿宋" w:hAnsi="仿宋" w:eastAsia="仿宋" w:cs="仿宋"/>
          <w:sz w:val="24"/>
          <w:szCs w:val="24"/>
        </w:rPr>
      </w:pPr>
      <w:r>
        <w:rPr>
          <w:rFonts w:ascii="仿宋" w:hAnsi="仿宋" w:eastAsia="仿宋" w:cs="仿宋"/>
          <w:b/>
          <w:bCs/>
          <w:spacing w:val="-4"/>
          <w:sz w:val="24"/>
          <w:szCs w:val="24"/>
        </w:rPr>
        <w:t>表</w:t>
      </w:r>
      <w:r>
        <w:rPr>
          <w:rFonts w:ascii="仿宋" w:hAnsi="仿宋" w:eastAsia="仿宋" w:cs="仿宋"/>
          <w:spacing w:val="-19"/>
          <w:sz w:val="24"/>
          <w:szCs w:val="24"/>
        </w:rPr>
        <w:t xml:space="preserve"> </w:t>
      </w:r>
      <w:r>
        <w:rPr>
          <w:rFonts w:ascii="仿宋" w:hAnsi="仿宋" w:eastAsia="仿宋" w:cs="仿宋"/>
          <w:b/>
          <w:bCs/>
          <w:spacing w:val="-4"/>
          <w:sz w:val="24"/>
          <w:szCs w:val="24"/>
        </w:rPr>
        <w:t>1.4-1</w:t>
      </w:r>
      <w:r>
        <w:rPr>
          <w:rFonts w:ascii="仿宋" w:hAnsi="仿宋" w:eastAsia="仿宋" w:cs="仿宋"/>
          <w:spacing w:val="-4"/>
          <w:sz w:val="24"/>
          <w:szCs w:val="24"/>
        </w:rPr>
        <w:t xml:space="preserve">   </w:t>
      </w:r>
      <w:r>
        <w:rPr>
          <w:rFonts w:ascii="仿宋" w:hAnsi="仿宋" w:eastAsia="仿宋" w:cs="仿宋"/>
          <w:b/>
          <w:bCs/>
          <w:spacing w:val="-4"/>
          <w:sz w:val="24"/>
          <w:szCs w:val="24"/>
        </w:rPr>
        <w:t>声环境影响评价评价因子一览表</w:t>
      </w:r>
    </w:p>
    <w:p w14:paraId="481D8570">
      <w:pPr>
        <w:spacing w:line="144" w:lineRule="exact"/>
      </w:pPr>
    </w:p>
    <w:tbl>
      <w:tblPr>
        <w:tblStyle w:val="5"/>
        <w:tblW w:w="8302" w:type="dxa"/>
        <w:tblInd w:w="1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11"/>
        <w:gridCol w:w="3432"/>
        <w:gridCol w:w="1940"/>
        <w:gridCol w:w="1819"/>
      </w:tblGrid>
      <w:tr w14:paraId="040B61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1111" w:type="dxa"/>
            <w:vMerge w:val="restart"/>
            <w:tcBorders>
              <w:top w:val="single" w:color="000000" w:sz="10" w:space="0"/>
              <w:left w:val="nil"/>
              <w:bottom w:val="nil"/>
            </w:tcBorders>
            <w:vAlign w:val="top"/>
          </w:tcPr>
          <w:p w14:paraId="5EFFF03F">
            <w:pPr>
              <w:spacing w:before="242" w:line="231" w:lineRule="auto"/>
              <w:ind w:left="147"/>
              <w:rPr>
                <w:rFonts w:ascii="仿宋" w:hAnsi="仿宋" w:eastAsia="仿宋" w:cs="仿宋"/>
                <w:sz w:val="20"/>
                <w:szCs w:val="20"/>
              </w:rPr>
            </w:pPr>
            <w:r>
              <w:rPr>
                <w:rFonts w:ascii="仿宋" w:hAnsi="仿宋" w:eastAsia="仿宋" w:cs="仿宋"/>
                <w:spacing w:val="5"/>
                <w:sz w:val="20"/>
                <w:szCs w:val="20"/>
              </w:rPr>
              <w:t>环境要素</w:t>
            </w:r>
          </w:p>
        </w:tc>
        <w:tc>
          <w:tcPr>
            <w:tcW w:w="3432" w:type="dxa"/>
            <w:vMerge w:val="restart"/>
            <w:tcBorders>
              <w:top w:val="single" w:color="000000" w:sz="10" w:space="0"/>
              <w:bottom w:val="nil"/>
            </w:tcBorders>
            <w:vAlign w:val="top"/>
          </w:tcPr>
          <w:p w14:paraId="4AE9377F">
            <w:pPr>
              <w:spacing w:before="242" w:line="231" w:lineRule="auto"/>
              <w:ind w:left="1307"/>
              <w:rPr>
                <w:rFonts w:ascii="仿宋" w:hAnsi="仿宋" w:eastAsia="仿宋" w:cs="仿宋"/>
                <w:sz w:val="20"/>
                <w:szCs w:val="20"/>
              </w:rPr>
            </w:pPr>
            <w:r>
              <w:rPr>
                <w:rFonts w:ascii="仿宋" w:hAnsi="仿宋" w:eastAsia="仿宋" w:cs="仿宋"/>
                <w:spacing w:val="5"/>
                <w:sz w:val="20"/>
                <w:szCs w:val="20"/>
              </w:rPr>
              <w:t>评价内容</w:t>
            </w:r>
          </w:p>
        </w:tc>
        <w:tc>
          <w:tcPr>
            <w:tcW w:w="3759" w:type="dxa"/>
            <w:gridSpan w:val="2"/>
            <w:tcBorders>
              <w:top w:val="single" w:color="000000" w:sz="10" w:space="0"/>
              <w:right w:val="nil"/>
            </w:tcBorders>
            <w:vAlign w:val="top"/>
          </w:tcPr>
          <w:p w14:paraId="22E68B47">
            <w:pPr>
              <w:spacing w:before="67" w:line="231" w:lineRule="auto"/>
              <w:ind w:left="1475"/>
              <w:rPr>
                <w:rFonts w:ascii="仿宋" w:hAnsi="仿宋" w:eastAsia="仿宋" w:cs="仿宋"/>
                <w:sz w:val="20"/>
                <w:szCs w:val="20"/>
              </w:rPr>
            </w:pPr>
            <w:r>
              <w:rPr>
                <w:rFonts w:ascii="仿宋" w:hAnsi="仿宋" w:eastAsia="仿宋" w:cs="仿宋"/>
                <w:spacing w:val="5"/>
                <w:sz w:val="20"/>
                <w:szCs w:val="20"/>
              </w:rPr>
              <w:t>评价因子</w:t>
            </w:r>
          </w:p>
        </w:tc>
      </w:tr>
      <w:tr w14:paraId="7E669D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37" w:hRule="atLeast"/>
        </w:trPr>
        <w:tc>
          <w:tcPr>
            <w:tcW w:w="1111" w:type="dxa"/>
            <w:vMerge w:val="continue"/>
            <w:tcBorders>
              <w:top w:val="nil"/>
              <w:left w:val="nil"/>
            </w:tcBorders>
            <w:vAlign w:val="top"/>
          </w:tcPr>
          <w:p w14:paraId="07FAF292">
            <w:pPr>
              <w:rPr>
                <w:rFonts w:ascii="Arial"/>
                <w:sz w:val="21"/>
              </w:rPr>
            </w:pPr>
          </w:p>
        </w:tc>
        <w:tc>
          <w:tcPr>
            <w:tcW w:w="3432" w:type="dxa"/>
            <w:vMerge w:val="continue"/>
            <w:tcBorders>
              <w:top w:val="nil"/>
            </w:tcBorders>
            <w:vAlign w:val="top"/>
          </w:tcPr>
          <w:p w14:paraId="3785D5A8">
            <w:pPr>
              <w:rPr>
                <w:rFonts w:ascii="Arial"/>
                <w:sz w:val="21"/>
              </w:rPr>
            </w:pPr>
          </w:p>
        </w:tc>
        <w:tc>
          <w:tcPr>
            <w:tcW w:w="1940" w:type="dxa"/>
            <w:vAlign w:val="top"/>
          </w:tcPr>
          <w:p w14:paraId="5C2410C2">
            <w:pPr>
              <w:spacing w:before="71" w:line="231" w:lineRule="auto"/>
              <w:ind w:left="350"/>
              <w:rPr>
                <w:rFonts w:ascii="仿宋" w:hAnsi="仿宋" w:eastAsia="仿宋" w:cs="仿宋"/>
                <w:sz w:val="20"/>
                <w:szCs w:val="20"/>
              </w:rPr>
            </w:pPr>
            <w:r>
              <w:rPr>
                <w:rFonts w:ascii="仿宋" w:hAnsi="仿宋" w:eastAsia="仿宋" w:cs="仿宋"/>
                <w:spacing w:val="7"/>
                <w:sz w:val="20"/>
                <w:szCs w:val="20"/>
              </w:rPr>
              <w:t>现状评价因子</w:t>
            </w:r>
          </w:p>
        </w:tc>
        <w:tc>
          <w:tcPr>
            <w:tcW w:w="1819" w:type="dxa"/>
            <w:tcBorders>
              <w:right w:val="nil"/>
            </w:tcBorders>
            <w:vAlign w:val="top"/>
          </w:tcPr>
          <w:p w14:paraId="3CF6EDFD">
            <w:pPr>
              <w:spacing w:before="71" w:line="231" w:lineRule="auto"/>
              <w:ind w:left="296"/>
              <w:rPr>
                <w:rFonts w:ascii="仿宋" w:hAnsi="仿宋" w:eastAsia="仿宋" w:cs="仿宋"/>
                <w:sz w:val="20"/>
                <w:szCs w:val="20"/>
              </w:rPr>
            </w:pPr>
            <w:r>
              <w:rPr>
                <w:rFonts w:ascii="仿宋" w:hAnsi="仿宋" w:eastAsia="仿宋" w:cs="仿宋"/>
                <w:spacing w:val="7"/>
                <w:sz w:val="20"/>
                <w:szCs w:val="20"/>
              </w:rPr>
              <w:t>预测评价因子</w:t>
            </w:r>
          </w:p>
        </w:tc>
      </w:tr>
      <w:tr w14:paraId="23AE86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1111" w:type="dxa"/>
            <w:tcBorders>
              <w:left w:val="nil"/>
              <w:bottom w:val="single" w:color="000000" w:sz="10" w:space="0"/>
            </w:tcBorders>
            <w:vAlign w:val="top"/>
          </w:tcPr>
          <w:p w14:paraId="07DC4960">
            <w:pPr>
              <w:spacing w:before="80" w:line="231" w:lineRule="auto"/>
              <w:ind w:left="252"/>
              <w:rPr>
                <w:rFonts w:ascii="仿宋" w:hAnsi="仿宋" w:eastAsia="仿宋" w:cs="仿宋"/>
                <w:sz w:val="20"/>
                <w:szCs w:val="20"/>
              </w:rPr>
            </w:pPr>
            <w:r>
              <w:rPr>
                <w:rFonts w:ascii="仿宋" w:hAnsi="仿宋" w:eastAsia="仿宋" w:cs="仿宋"/>
                <w:spacing w:val="5"/>
                <w:sz w:val="20"/>
                <w:szCs w:val="20"/>
              </w:rPr>
              <w:t>声环境</w:t>
            </w:r>
          </w:p>
        </w:tc>
        <w:tc>
          <w:tcPr>
            <w:tcW w:w="3432" w:type="dxa"/>
            <w:tcBorders>
              <w:bottom w:val="single" w:color="000000" w:sz="10" w:space="0"/>
            </w:tcBorders>
            <w:vAlign w:val="top"/>
          </w:tcPr>
          <w:p w14:paraId="3DE48478">
            <w:pPr>
              <w:spacing w:before="80" w:line="231" w:lineRule="auto"/>
              <w:ind w:left="362"/>
              <w:rPr>
                <w:rFonts w:ascii="仿宋" w:hAnsi="仿宋" w:eastAsia="仿宋" w:cs="仿宋"/>
                <w:sz w:val="20"/>
                <w:szCs w:val="20"/>
              </w:rPr>
            </w:pPr>
            <w:r>
              <w:rPr>
                <w:rFonts w:ascii="仿宋" w:hAnsi="仿宋" w:eastAsia="仿宋" w:cs="仿宋"/>
                <w:spacing w:val="8"/>
                <w:sz w:val="20"/>
                <w:szCs w:val="20"/>
              </w:rPr>
              <w:t>施工期噪声；运营期交通噪声</w:t>
            </w:r>
          </w:p>
        </w:tc>
        <w:tc>
          <w:tcPr>
            <w:tcW w:w="1940" w:type="dxa"/>
            <w:tcBorders>
              <w:bottom w:val="single" w:color="000000" w:sz="10" w:space="0"/>
            </w:tcBorders>
            <w:vAlign w:val="top"/>
          </w:tcPr>
          <w:p w14:paraId="6B334678">
            <w:pPr>
              <w:pStyle w:val="6"/>
              <w:spacing w:before="119" w:line="211" w:lineRule="auto"/>
              <w:ind w:left="795"/>
              <w:rPr>
                <w:sz w:val="13"/>
                <w:szCs w:val="13"/>
              </w:rPr>
            </w:pPr>
            <w:r>
              <w:rPr>
                <w:spacing w:val="2"/>
                <w:sz w:val="20"/>
                <w:szCs w:val="20"/>
              </w:rPr>
              <w:t>L</w:t>
            </w:r>
            <w:r>
              <w:rPr>
                <w:spacing w:val="2"/>
                <w:sz w:val="13"/>
                <w:szCs w:val="13"/>
              </w:rPr>
              <w:t>Aeq</w:t>
            </w:r>
          </w:p>
        </w:tc>
        <w:tc>
          <w:tcPr>
            <w:tcW w:w="1819" w:type="dxa"/>
            <w:tcBorders>
              <w:bottom w:val="single" w:color="000000" w:sz="10" w:space="0"/>
              <w:right w:val="nil"/>
            </w:tcBorders>
            <w:vAlign w:val="top"/>
          </w:tcPr>
          <w:p w14:paraId="47FAC7E9">
            <w:pPr>
              <w:pStyle w:val="6"/>
              <w:spacing w:before="119" w:line="211" w:lineRule="auto"/>
              <w:ind w:left="736"/>
              <w:rPr>
                <w:sz w:val="13"/>
                <w:szCs w:val="13"/>
              </w:rPr>
            </w:pPr>
            <w:r>
              <w:rPr>
                <w:spacing w:val="2"/>
                <w:sz w:val="20"/>
                <w:szCs w:val="20"/>
              </w:rPr>
              <w:t>L</w:t>
            </w:r>
            <w:r>
              <w:rPr>
                <w:spacing w:val="2"/>
                <w:sz w:val="13"/>
                <w:szCs w:val="13"/>
              </w:rPr>
              <w:t>Aeq</w:t>
            </w:r>
          </w:p>
        </w:tc>
      </w:tr>
    </w:tbl>
    <w:p w14:paraId="7B1366C5">
      <w:pPr>
        <w:spacing w:before="253" w:line="228" w:lineRule="auto"/>
        <w:ind w:left="48"/>
        <w:outlineLvl w:val="1"/>
        <w:rPr>
          <w:rFonts w:ascii="仿宋" w:hAnsi="仿宋" w:eastAsia="仿宋" w:cs="仿宋"/>
          <w:sz w:val="31"/>
          <w:szCs w:val="31"/>
        </w:rPr>
      </w:pPr>
      <w:bookmarkStart w:id="16" w:name="bookmark19"/>
      <w:bookmarkEnd w:id="16"/>
      <w:bookmarkStart w:id="17" w:name="bookmark20"/>
      <w:bookmarkEnd w:id="17"/>
      <w:r>
        <w:rPr>
          <w:rFonts w:ascii="仿宋" w:hAnsi="仿宋" w:eastAsia="仿宋" w:cs="仿宋"/>
          <w:b/>
          <w:bCs/>
          <w:spacing w:val="3"/>
          <w:sz w:val="31"/>
          <w:szCs w:val="31"/>
        </w:rPr>
        <w:t>1.5</w:t>
      </w:r>
      <w:r>
        <w:rPr>
          <w:rFonts w:ascii="仿宋" w:hAnsi="仿宋" w:eastAsia="仿宋" w:cs="仿宋"/>
          <w:spacing w:val="3"/>
          <w:sz w:val="31"/>
          <w:szCs w:val="31"/>
        </w:rPr>
        <w:t xml:space="preserve"> </w:t>
      </w:r>
      <w:r>
        <w:rPr>
          <w:rFonts w:ascii="仿宋" w:hAnsi="仿宋" w:eastAsia="仿宋" w:cs="仿宋"/>
          <w:b/>
          <w:bCs/>
          <w:spacing w:val="3"/>
          <w:sz w:val="31"/>
          <w:szCs w:val="31"/>
        </w:rPr>
        <w:t>评价等级与评价范围</w:t>
      </w:r>
    </w:p>
    <w:p w14:paraId="1FB191F8">
      <w:pPr>
        <w:pStyle w:val="2"/>
        <w:spacing w:line="322" w:lineRule="auto"/>
        <w:rPr>
          <w:sz w:val="21"/>
        </w:rPr>
      </w:pPr>
    </w:p>
    <w:p w14:paraId="3932451D">
      <w:pPr>
        <w:spacing w:before="92" w:line="223" w:lineRule="auto"/>
        <w:ind w:left="44"/>
        <w:outlineLvl w:val="2"/>
        <w:rPr>
          <w:rFonts w:ascii="仿宋" w:hAnsi="仿宋" w:eastAsia="仿宋" w:cs="仿宋"/>
          <w:sz w:val="28"/>
          <w:szCs w:val="28"/>
        </w:rPr>
      </w:pPr>
      <w:r>
        <w:rPr>
          <w:rFonts w:ascii="仿宋" w:hAnsi="仿宋" w:eastAsia="仿宋" w:cs="仿宋"/>
          <w:b/>
          <w:bCs/>
          <w:spacing w:val="-8"/>
          <w:sz w:val="28"/>
          <w:szCs w:val="28"/>
        </w:rPr>
        <w:t>1.5.1</w:t>
      </w:r>
      <w:r>
        <w:rPr>
          <w:rFonts w:ascii="仿宋" w:hAnsi="仿宋" w:eastAsia="仿宋" w:cs="仿宋"/>
          <w:spacing w:val="-48"/>
          <w:sz w:val="28"/>
          <w:szCs w:val="28"/>
        </w:rPr>
        <w:t xml:space="preserve"> </w:t>
      </w:r>
      <w:r>
        <w:rPr>
          <w:rFonts w:ascii="仿宋" w:hAnsi="仿宋" w:eastAsia="仿宋" w:cs="仿宋"/>
          <w:b/>
          <w:bCs/>
          <w:spacing w:val="-8"/>
          <w:sz w:val="28"/>
          <w:szCs w:val="28"/>
        </w:rPr>
        <w:t>评价等级</w:t>
      </w:r>
    </w:p>
    <w:p w14:paraId="449539E4">
      <w:pPr>
        <w:spacing w:before="307" w:line="359" w:lineRule="auto"/>
        <w:ind w:left="29" w:right="13" w:firstLine="481"/>
        <w:jc w:val="both"/>
        <w:rPr>
          <w:rFonts w:ascii="仿宋" w:hAnsi="仿宋" w:eastAsia="仿宋" w:cs="仿宋"/>
          <w:sz w:val="24"/>
          <w:szCs w:val="24"/>
        </w:rPr>
      </w:pPr>
      <w:r>
        <w:rPr>
          <w:rFonts w:ascii="仿宋" w:hAnsi="仿宋" w:eastAsia="仿宋" w:cs="仿宋"/>
          <w:spacing w:val="-3"/>
          <w:sz w:val="24"/>
          <w:szCs w:val="24"/>
        </w:rPr>
        <w:t>根据《环境影响评价技术导则声环境》（HJ2.4-2021）和参照《环境影响评价技术导则 公路建设项目》（HJ1358-2024）中的规定，根据建设项目所在区域的声环境功能区类别、建设项目建设前后所在区域的声环境质量变化</w:t>
      </w:r>
      <w:r>
        <w:rPr>
          <w:rFonts w:ascii="仿宋" w:hAnsi="仿宋" w:eastAsia="仿宋" w:cs="仿宋"/>
          <w:spacing w:val="-4"/>
          <w:sz w:val="24"/>
          <w:szCs w:val="24"/>
        </w:rPr>
        <w:t>程度和受建</w:t>
      </w:r>
      <w:r>
        <w:rPr>
          <w:rFonts w:ascii="仿宋" w:hAnsi="仿宋" w:eastAsia="仿宋" w:cs="仿宋"/>
          <w:spacing w:val="-1"/>
          <w:sz w:val="24"/>
          <w:szCs w:val="24"/>
        </w:rPr>
        <w:t>设项目影响人口的数量来划分声环境影响评价工作等级。</w:t>
      </w:r>
    </w:p>
    <w:p w14:paraId="50265AB8">
      <w:pPr>
        <w:spacing w:before="1" w:line="220" w:lineRule="auto"/>
        <w:ind w:right="13"/>
        <w:jc w:val="right"/>
        <w:rPr>
          <w:rFonts w:ascii="仿宋" w:hAnsi="仿宋" w:eastAsia="仿宋" w:cs="仿宋"/>
          <w:sz w:val="24"/>
          <w:szCs w:val="24"/>
        </w:rPr>
      </w:pPr>
      <w:r>
        <w:rPr>
          <w:rFonts w:ascii="仿宋" w:hAnsi="仿宋" w:eastAsia="仿宋" w:cs="仿宋"/>
          <w:spacing w:val="-3"/>
          <w:sz w:val="24"/>
          <w:szCs w:val="24"/>
        </w:rPr>
        <w:t>根据《声环境质量标准》（GB3096-2008</w:t>
      </w:r>
      <w:r>
        <w:rPr>
          <w:rFonts w:ascii="仿宋" w:hAnsi="仿宋" w:eastAsia="仿宋" w:cs="仿宋"/>
          <w:spacing w:val="2"/>
          <w:sz w:val="24"/>
          <w:szCs w:val="24"/>
        </w:rPr>
        <w:t>），</w:t>
      </w:r>
      <w:r>
        <w:rPr>
          <w:rFonts w:ascii="仿宋" w:hAnsi="仿宋" w:eastAsia="仿宋" w:cs="仿宋"/>
          <w:spacing w:val="-3"/>
          <w:sz w:val="24"/>
          <w:szCs w:val="24"/>
        </w:rPr>
        <w:t>本项目涉及</w:t>
      </w:r>
      <w:r>
        <w:rPr>
          <w:rFonts w:ascii="仿宋" w:hAnsi="仿宋" w:eastAsia="仿宋" w:cs="仿宋"/>
          <w:spacing w:val="-33"/>
          <w:sz w:val="24"/>
          <w:szCs w:val="24"/>
        </w:rPr>
        <w:t xml:space="preserve"> </w:t>
      </w:r>
      <w:r>
        <w:rPr>
          <w:rFonts w:ascii="仿宋" w:hAnsi="仿宋" w:eastAsia="仿宋" w:cs="仿宋"/>
          <w:spacing w:val="-4"/>
          <w:sz w:val="24"/>
          <w:szCs w:val="24"/>
        </w:rPr>
        <w:t>1</w:t>
      </w:r>
      <w:r>
        <w:rPr>
          <w:rFonts w:ascii="仿宋" w:hAnsi="仿宋" w:eastAsia="仿宋" w:cs="仿宋"/>
          <w:spacing w:val="-42"/>
          <w:sz w:val="24"/>
          <w:szCs w:val="24"/>
        </w:rPr>
        <w:t xml:space="preserve"> </w:t>
      </w:r>
      <w:r>
        <w:rPr>
          <w:rFonts w:ascii="仿宋" w:hAnsi="仿宋" w:eastAsia="仿宋" w:cs="仿宋"/>
          <w:spacing w:val="-4"/>
          <w:sz w:val="24"/>
          <w:szCs w:val="24"/>
        </w:rPr>
        <w:t>类、4a</w:t>
      </w:r>
      <w:r>
        <w:rPr>
          <w:rFonts w:ascii="仿宋" w:hAnsi="仿宋" w:eastAsia="仿宋" w:cs="仿宋"/>
          <w:spacing w:val="-41"/>
          <w:sz w:val="24"/>
          <w:szCs w:val="24"/>
        </w:rPr>
        <w:t xml:space="preserve"> </w:t>
      </w:r>
      <w:r>
        <w:rPr>
          <w:rFonts w:ascii="仿宋" w:hAnsi="仿宋" w:eastAsia="仿宋" w:cs="仿宋"/>
          <w:spacing w:val="-4"/>
          <w:sz w:val="24"/>
          <w:szCs w:val="24"/>
        </w:rPr>
        <w:t>类声环境</w:t>
      </w:r>
    </w:p>
    <w:p w14:paraId="69167E00">
      <w:pPr>
        <w:spacing w:line="220" w:lineRule="auto"/>
        <w:rPr>
          <w:rFonts w:ascii="仿宋" w:hAnsi="仿宋" w:eastAsia="仿宋" w:cs="仿宋"/>
          <w:sz w:val="24"/>
          <w:szCs w:val="24"/>
        </w:rPr>
        <w:sectPr>
          <w:footerReference r:id="rId136" w:type="default"/>
          <w:pgSz w:w="11906" w:h="16839"/>
          <w:pgMar w:top="400" w:right="1785" w:bottom="1367" w:left="1785" w:header="0" w:footer="1207" w:gutter="0"/>
          <w:cols w:space="720" w:num="1"/>
        </w:sectPr>
      </w:pPr>
    </w:p>
    <w:p w14:paraId="5C257059">
      <w:pPr>
        <w:pStyle w:val="2"/>
        <w:spacing w:line="247" w:lineRule="auto"/>
        <w:rPr>
          <w:sz w:val="21"/>
        </w:rPr>
      </w:pPr>
    </w:p>
    <w:p w14:paraId="18D74179">
      <w:pPr>
        <w:pStyle w:val="2"/>
        <w:spacing w:line="247" w:lineRule="auto"/>
        <w:rPr>
          <w:sz w:val="21"/>
        </w:rPr>
      </w:pPr>
    </w:p>
    <w:p w14:paraId="5AC7B491">
      <w:pPr>
        <w:pStyle w:val="2"/>
        <w:spacing w:line="248" w:lineRule="auto"/>
        <w:rPr>
          <w:sz w:val="21"/>
        </w:rPr>
      </w:pPr>
    </w:p>
    <w:p w14:paraId="7BCB4752">
      <w:pPr>
        <w:pStyle w:val="2"/>
        <w:spacing w:line="248" w:lineRule="auto"/>
        <w:rPr>
          <w:sz w:val="21"/>
        </w:rPr>
      </w:pPr>
    </w:p>
    <w:p w14:paraId="63B058B3">
      <w:pPr>
        <w:spacing w:before="78" w:line="359" w:lineRule="auto"/>
        <w:ind w:left="71" w:right="13" w:hanging="37"/>
        <w:rPr>
          <w:rFonts w:ascii="仿宋" w:hAnsi="仿宋" w:eastAsia="仿宋" w:cs="仿宋"/>
          <w:sz w:val="24"/>
          <w:szCs w:val="24"/>
        </w:rPr>
      </w:pPr>
      <w:r>
        <w:rPr>
          <w:rFonts w:ascii="仿宋" w:hAnsi="仿宋" w:eastAsia="仿宋" w:cs="仿宋"/>
          <w:sz w:val="24"/>
          <w:szCs w:val="24"/>
        </w:rPr>
        <w:t>功能区，受影响人口数量增量较少，噪声最大增量为4.42dB(A)，综合确定本项</w:t>
      </w:r>
      <w:r>
        <w:rPr>
          <w:rFonts w:ascii="仿宋" w:hAnsi="仿宋" w:eastAsia="仿宋" w:cs="仿宋"/>
          <w:spacing w:val="-3"/>
          <w:sz w:val="24"/>
          <w:szCs w:val="24"/>
        </w:rPr>
        <w:t>目声环境影响评价工作等级为二级。具体见下表。</w:t>
      </w:r>
    </w:p>
    <w:p w14:paraId="3C6525C5">
      <w:pPr>
        <w:spacing w:line="220" w:lineRule="auto"/>
        <w:ind w:left="2465"/>
        <w:rPr>
          <w:rFonts w:ascii="仿宋" w:hAnsi="仿宋" w:eastAsia="仿宋" w:cs="仿宋"/>
          <w:sz w:val="24"/>
          <w:szCs w:val="24"/>
        </w:rPr>
      </w:pPr>
      <w:r>
        <w:rPr>
          <w:rFonts w:ascii="仿宋" w:hAnsi="仿宋" w:eastAsia="仿宋" w:cs="仿宋"/>
          <w:b/>
          <w:bCs/>
          <w:spacing w:val="-4"/>
          <w:sz w:val="24"/>
          <w:szCs w:val="24"/>
        </w:rPr>
        <w:t>表</w:t>
      </w:r>
      <w:r>
        <w:rPr>
          <w:rFonts w:ascii="仿宋" w:hAnsi="仿宋" w:eastAsia="仿宋" w:cs="仿宋"/>
          <w:spacing w:val="-25"/>
          <w:sz w:val="24"/>
          <w:szCs w:val="24"/>
        </w:rPr>
        <w:t xml:space="preserve"> </w:t>
      </w:r>
      <w:r>
        <w:rPr>
          <w:rFonts w:ascii="仿宋" w:hAnsi="仿宋" w:eastAsia="仿宋" w:cs="仿宋"/>
          <w:b/>
          <w:bCs/>
          <w:spacing w:val="-4"/>
          <w:sz w:val="24"/>
          <w:szCs w:val="24"/>
        </w:rPr>
        <w:t>1.5-1</w:t>
      </w:r>
      <w:r>
        <w:rPr>
          <w:rFonts w:ascii="仿宋" w:hAnsi="仿宋" w:eastAsia="仿宋" w:cs="仿宋"/>
          <w:spacing w:val="-4"/>
          <w:sz w:val="24"/>
          <w:szCs w:val="24"/>
        </w:rPr>
        <w:t xml:space="preserve">   </w:t>
      </w:r>
      <w:r>
        <w:rPr>
          <w:rFonts w:ascii="仿宋" w:hAnsi="仿宋" w:eastAsia="仿宋" w:cs="仿宋"/>
          <w:b/>
          <w:bCs/>
          <w:spacing w:val="-4"/>
          <w:sz w:val="24"/>
          <w:szCs w:val="24"/>
        </w:rPr>
        <w:t>声环境评价工作级别确定</w:t>
      </w:r>
    </w:p>
    <w:p w14:paraId="027E1B2C">
      <w:pPr>
        <w:spacing w:line="146" w:lineRule="exact"/>
      </w:pPr>
    </w:p>
    <w:tbl>
      <w:tblPr>
        <w:tblStyle w:val="5"/>
        <w:tblW w:w="8304" w:type="dxa"/>
        <w:tblInd w:w="1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4"/>
        <w:gridCol w:w="1613"/>
        <w:gridCol w:w="2524"/>
        <w:gridCol w:w="1918"/>
        <w:gridCol w:w="1095"/>
      </w:tblGrid>
      <w:tr w14:paraId="2BFA73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1154" w:type="dxa"/>
            <w:vMerge w:val="restart"/>
            <w:tcBorders>
              <w:top w:val="single" w:color="000000" w:sz="10" w:space="0"/>
              <w:left w:val="nil"/>
              <w:bottom w:val="nil"/>
            </w:tcBorders>
            <w:vAlign w:val="top"/>
          </w:tcPr>
          <w:p w14:paraId="6FEB171B">
            <w:pPr>
              <w:spacing w:before="106" w:line="233" w:lineRule="auto"/>
              <w:ind w:left="380"/>
              <w:rPr>
                <w:rFonts w:ascii="仿宋" w:hAnsi="仿宋" w:eastAsia="仿宋" w:cs="仿宋"/>
                <w:sz w:val="20"/>
                <w:szCs w:val="20"/>
              </w:rPr>
            </w:pPr>
            <w:r>
              <w:rPr>
                <w:rFonts w:ascii="仿宋" w:hAnsi="仿宋" w:eastAsia="仿宋" w:cs="仿宋"/>
                <w:sz w:val="20"/>
                <w:szCs w:val="20"/>
              </w:rPr>
              <w:t>判定</w:t>
            </w:r>
          </w:p>
          <w:p w14:paraId="4A872ECE">
            <w:pPr>
              <w:spacing w:before="20" w:line="232" w:lineRule="auto"/>
              <w:ind w:left="378"/>
              <w:rPr>
                <w:rFonts w:ascii="仿宋" w:hAnsi="仿宋" w:eastAsia="仿宋" w:cs="仿宋"/>
                <w:sz w:val="20"/>
                <w:szCs w:val="20"/>
              </w:rPr>
            </w:pPr>
            <w:r>
              <w:rPr>
                <w:rFonts w:ascii="仿宋" w:hAnsi="仿宋" w:eastAsia="仿宋" w:cs="仿宋"/>
                <w:spacing w:val="1"/>
                <w:sz w:val="20"/>
                <w:szCs w:val="20"/>
              </w:rPr>
              <w:t>依据</w:t>
            </w:r>
          </w:p>
        </w:tc>
        <w:tc>
          <w:tcPr>
            <w:tcW w:w="1613" w:type="dxa"/>
            <w:tcBorders>
              <w:top w:val="single" w:color="000000" w:sz="10" w:space="0"/>
            </w:tcBorders>
            <w:vAlign w:val="top"/>
          </w:tcPr>
          <w:p w14:paraId="16D3C548">
            <w:pPr>
              <w:spacing w:before="68" w:line="230" w:lineRule="auto"/>
              <w:ind w:left="187"/>
              <w:rPr>
                <w:rFonts w:ascii="仿宋" w:hAnsi="仿宋" w:eastAsia="仿宋" w:cs="仿宋"/>
                <w:sz w:val="20"/>
                <w:szCs w:val="20"/>
              </w:rPr>
            </w:pPr>
            <w:r>
              <w:rPr>
                <w:rFonts w:ascii="仿宋" w:hAnsi="仿宋" w:eastAsia="仿宋" w:cs="仿宋"/>
                <w:spacing w:val="7"/>
                <w:sz w:val="20"/>
                <w:szCs w:val="20"/>
              </w:rPr>
              <w:t>声环境功能区</w:t>
            </w:r>
          </w:p>
        </w:tc>
        <w:tc>
          <w:tcPr>
            <w:tcW w:w="2524" w:type="dxa"/>
            <w:tcBorders>
              <w:top w:val="single" w:color="000000" w:sz="10" w:space="0"/>
            </w:tcBorders>
            <w:vAlign w:val="top"/>
          </w:tcPr>
          <w:p w14:paraId="177F0456">
            <w:pPr>
              <w:spacing w:before="68" w:line="231" w:lineRule="auto"/>
              <w:ind w:left="118"/>
              <w:rPr>
                <w:rFonts w:ascii="仿宋" w:hAnsi="仿宋" w:eastAsia="仿宋" w:cs="仿宋"/>
                <w:sz w:val="20"/>
                <w:szCs w:val="20"/>
              </w:rPr>
            </w:pPr>
            <w:r>
              <w:rPr>
                <w:rFonts w:ascii="仿宋" w:hAnsi="仿宋" w:eastAsia="仿宋" w:cs="仿宋"/>
                <w:spacing w:val="8"/>
                <w:sz w:val="20"/>
                <w:szCs w:val="20"/>
              </w:rPr>
              <w:t>环境敏感目标噪声级增量</w:t>
            </w:r>
          </w:p>
        </w:tc>
        <w:tc>
          <w:tcPr>
            <w:tcW w:w="1918" w:type="dxa"/>
            <w:tcBorders>
              <w:top w:val="single" w:color="000000" w:sz="10" w:space="0"/>
            </w:tcBorders>
            <w:vAlign w:val="top"/>
          </w:tcPr>
          <w:p w14:paraId="168D959B">
            <w:pPr>
              <w:spacing w:before="68" w:line="231" w:lineRule="auto"/>
              <w:ind w:left="133"/>
              <w:rPr>
                <w:rFonts w:ascii="仿宋" w:hAnsi="仿宋" w:eastAsia="仿宋" w:cs="仿宋"/>
                <w:sz w:val="20"/>
                <w:szCs w:val="20"/>
              </w:rPr>
            </w:pPr>
            <w:r>
              <w:rPr>
                <w:rFonts w:ascii="仿宋" w:hAnsi="仿宋" w:eastAsia="仿宋" w:cs="仿宋"/>
                <w:spacing w:val="7"/>
                <w:sz w:val="20"/>
                <w:szCs w:val="20"/>
              </w:rPr>
              <w:t>影响人口数量变化</w:t>
            </w:r>
          </w:p>
        </w:tc>
        <w:tc>
          <w:tcPr>
            <w:tcW w:w="1095" w:type="dxa"/>
            <w:tcBorders>
              <w:top w:val="single" w:color="000000" w:sz="10" w:space="0"/>
              <w:right w:val="nil"/>
            </w:tcBorders>
            <w:vAlign w:val="top"/>
          </w:tcPr>
          <w:p w14:paraId="2AD39131">
            <w:pPr>
              <w:spacing w:before="68" w:line="232" w:lineRule="auto"/>
              <w:ind w:left="359"/>
              <w:rPr>
                <w:rFonts w:ascii="仿宋" w:hAnsi="仿宋" w:eastAsia="仿宋" w:cs="仿宋"/>
                <w:sz w:val="20"/>
                <w:szCs w:val="20"/>
              </w:rPr>
            </w:pPr>
            <w:r>
              <w:rPr>
                <w:rFonts w:ascii="仿宋" w:hAnsi="仿宋" w:eastAsia="仿宋" w:cs="仿宋"/>
                <w:spacing w:val="-2"/>
                <w:sz w:val="20"/>
                <w:szCs w:val="20"/>
              </w:rPr>
              <w:t>等级</w:t>
            </w:r>
          </w:p>
        </w:tc>
      </w:tr>
      <w:tr w14:paraId="4ACA34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trPr>
        <w:tc>
          <w:tcPr>
            <w:tcW w:w="1154" w:type="dxa"/>
            <w:vMerge w:val="continue"/>
            <w:tcBorders>
              <w:top w:val="nil"/>
              <w:left w:val="nil"/>
            </w:tcBorders>
            <w:vAlign w:val="top"/>
          </w:tcPr>
          <w:p w14:paraId="3FB9A955">
            <w:pPr>
              <w:rPr>
                <w:rFonts w:ascii="Arial"/>
                <w:sz w:val="21"/>
              </w:rPr>
            </w:pPr>
          </w:p>
        </w:tc>
        <w:tc>
          <w:tcPr>
            <w:tcW w:w="1613" w:type="dxa"/>
            <w:vAlign w:val="top"/>
          </w:tcPr>
          <w:p w14:paraId="116D0360">
            <w:pPr>
              <w:spacing w:before="72" w:line="233" w:lineRule="auto"/>
              <w:ind w:left="353"/>
              <w:rPr>
                <w:rFonts w:ascii="仿宋" w:hAnsi="仿宋" w:eastAsia="仿宋" w:cs="仿宋"/>
                <w:sz w:val="20"/>
                <w:szCs w:val="20"/>
              </w:rPr>
            </w:pPr>
            <w:r>
              <w:rPr>
                <w:rFonts w:ascii="仿宋" w:hAnsi="仿宋" w:eastAsia="仿宋" w:cs="仿宋"/>
                <w:spacing w:val="3"/>
                <w:sz w:val="20"/>
                <w:szCs w:val="20"/>
              </w:rPr>
              <w:t>1类、4a类</w:t>
            </w:r>
          </w:p>
        </w:tc>
        <w:tc>
          <w:tcPr>
            <w:tcW w:w="2524" w:type="dxa"/>
            <w:vAlign w:val="top"/>
          </w:tcPr>
          <w:p w14:paraId="04467D4C">
            <w:pPr>
              <w:spacing w:before="72" w:line="235" w:lineRule="auto"/>
              <w:ind w:left="10"/>
              <w:rPr>
                <w:rFonts w:ascii="仿宋" w:hAnsi="仿宋" w:eastAsia="仿宋" w:cs="仿宋"/>
                <w:sz w:val="20"/>
                <w:szCs w:val="20"/>
              </w:rPr>
            </w:pPr>
            <w:r>
              <w:rPr>
                <w:rFonts w:ascii="仿宋" w:hAnsi="仿宋" w:eastAsia="仿宋" w:cs="仿宋"/>
                <w:spacing w:val="8"/>
                <w:sz w:val="20"/>
                <w:szCs w:val="20"/>
              </w:rPr>
              <w:t>3</w:t>
            </w:r>
            <w:r>
              <w:rPr>
                <w:rFonts w:ascii="仿宋" w:hAnsi="仿宋" w:eastAsia="仿宋" w:cs="仿宋"/>
                <w:sz w:val="20"/>
                <w:szCs w:val="20"/>
              </w:rPr>
              <w:t>dB</w:t>
            </w:r>
            <w:r>
              <w:rPr>
                <w:rFonts w:ascii="仿宋" w:hAnsi="仿宋" w:eastAsia="仿宋" w:cs="仿宋"/>
                <w:spacing w:val="8"/>
                <w:sz w:val="20"/>
                <w:szCs w:val="20"/>
              </w:rPr>
              <w:t>（A</w:t>
            </w:r>
            <w:r>
              <w:rPr>
                <w:rFonts w:ascii="仿宋" w:hAnsi="仿宋" w:eastAsia="仿宋" w:cs="仿宋"/>
                <w:sz w:val="20"/>
                <w:szCs w:val="20"/>
              </w:rPr>
              <w:t>）＜</w:t>
            </w:r>
            <w:r>
              <w:rPr>
                <w:rFonts w:ascii="仿宋" w:hAnsi="仿宋" w:eastAsia="仿宋" w:cs="仿宋"/>
                <w:spacing w:val="8"/>
                <w:sz w:val="20"/>
                <w:szCs w:val="20"/>
              </w:rPr>
              <w:t>4.42＜5</w:t>
            </w:r>
            <w:r>
              <w:rPr>
                <w:rFonts w:ascii="仿宋" w:hAnsi="仿宋" w:eastAsia="仿宋" w:cs="仿宋"/>
                <w:sz w:val="20"/>
                <w:szCs w:val="20"/>
              </w:rPr>
              <w:t>dB</w:t>
            </w:r>
            <w:r>
              <w:rPr>
                <w:rFonts w:ascii="仿宋" w:hAnsi="仿宋" w:eastAsia="仿宋" w:cs="仿宋"/>
                <w:spacing w:val="8"/>
                <w:sz w:val="20"/>
                <w:szCs w:val="20"/>
              </w:rPr>
              <w:t>（A）</w:t>
            </w:r>
          </w:p>
        </w:tc>
        <w:tc>
          <w:tcPr>
            <w:tcW w:w="1918" w:type="dxa"/>
            <w:vAlign w:val="top"/>
          </w:tcPr>
          <w:p w14:paraId="2FA61063">
            <w:pPr>
              <w:spacing w:before="72" w:line="231" w:lineRule="auto"/>
              <w:ind w:left="557"/>
              <w:rPr>
                <w:rFonts w:ascii="仿宋" w:hAnsi="仿宋" w:eastAsia="仿宋" w:cs="仿宋"/>
                <w:sz w:val="20"/>
                <w:szCs w:val="20"/>
              </w:rPr>
            </w:pPr>
            <w:r>
              <w:rPr>
                <w:rFonts w:ascii="仿宋" w:hAnsi="仿宋" w:eastAsia="仿宋" w:cs="仿宋"/>
                <w:spacing w:val="4"/>
                <w:sz w:val="20"/>
                <w:szCs w:val="20"/>
              </w:rPr>
              <w:t>变化不大</w:t>
            </w:r>
          </w:p>
        </w:tc>
        <w:tc>
          <w:tcPr>
            <w:tcW w:w="1095" w:type="dxa"/>
            <w:tcBorders>
              <w:right w:val="nil"/>
            </w:tcBorders>
            <w:vAlign w:val="top"/>
          </w:tcPr>
          <w:p w14:paraId="2F901845">
            <w:pPr>
              <w:spacing w:before="72" w:line="232" w:lineRule="auto"/>
              <w:ind w:left="358"/>
              <w:rPr>
                <w:rFonts w:ascii="仿宋" w:hAnsi="仿宋" w:eastAsia="仿宋" w:cs="仿宋"/>
                <w:sz w:val="20"/>
                <w:szCs w:val="20"/>
              </w:rPr>
            </w:pPr>
            <w:r>
              <w:rPr>
                <w:rFonts w:ascii="仿宋" w:hAnsi="仿宋" w:eastAsia="仿宋" w:cs="仿宋"/>
                <w:spacing w:val="2"/>
                <w:sz w:val="20"/>
                <w:szCs w:val="20"/>
              </w:rPr>
              <w:t>二级</w:t>
            </w:r>
          </w:p>
        </w:tc>
      </w:tr>
      <w:tr w14:paraId="37B451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1154" w:type="dxa"/>
            <w:tcBorders>
              <w:left w:val="nil"/>
              <w:bottom w:val="single" w:color="000000" w:sz="10" w:space="0"/>
            </w:tcBorders>
            <w:vAlign w:val="top"/>
          </w:tcPr>
          <w:p w14:paraId="1331FEC8">
            <w:pPr>
              <w:spacing w:before="80" w:line="231" w:lineRule="auto"/>
              <w:ind w:left="272"/>
              <w:rPr>
                <w:rFonts w:ascii="仿宋" w:hAnsi="仿宋" w:eastAsia="仿宋" w:cs="仿宋"/>
                <w:sz w:val="20"/>
                <w:szCs w:val="20"/>
              </w:rPr>
            </w:pPr>
            <w:r>
              <w:rPr>
                <w:rFonts w:ascii="仿宋" w:hAnsi="仿宋" w:eastAsia="仿宋" w:cs="仿宋"/>
                <w:spacing w:val="4"/>
                <w:sz w:val="20"/>
                <w:szCs w:val="20"/>
              </w:rPr>
              <w:t>本项目</w:t>
            </w:r>
          </w:p>
        </w:tc>
        <w:tc>
          <w:tcPr>
            <w:tcW w:w="7150" w:type="dxa"/>
            <w:gridSpan w:val="4"/>
            <w:tcBorders>
              <w:bottom w:val="single" w:color="000000" w:sz="10" w:space="0"/>
              <w:right w:val="nil"/>
            </w:tcBorders>
            <w:vAlign w:val="top"/>
          </w:tcPr>
          <w:p w14:paraId="545F21E3">
            <w:pPr>
              <w:spacing w:before="81" w:line="232" w:lineRule="auto"/>
              <w:ind w:left="3384"/>
              <w:rPr>
                <w:rFonts w:ascii="仿宋" w:hAnsi="仿宋" w:eastAsia="仿宋" w:cs="仿宋"/>
                <w:sz w:val="20"/>
                <w:szCs w:val="20"/>
              </w:rPr>
            </w:pPr>
            <w:r>
              <w:rPr>
                <w:rFonts w:ascii="仿宋" w:hAnsi="仿宋" w:eastAsia="仿宋" w:cs="仿宋"/>
                <w:spacing w:val="2"/>
                <w:sz w:val="20"/>
                <w:szCs w:val="20"/>
              </w:rPr>
              <w:t>二级</w:t>
            </w:r>
          </w:p>
        </w:tc>
      </w:tr>
    </w:tbl>
    <w:p w14:paraId="3364882C">
      <w:pPr>
        <w:spacing w:before="327" w:line="223" w:lineRule="auto"/>
        <w:ind w:left="44"/>
        <w:outlineLvl w:val="2"/>
        <w:rPr>
          <w:rFonts w:ascii="仿宋" w:hAnsi="仿宋" w:eastAsia="仿宋" w:cs="仿宋"/>
          <w:sz w:val="28"/>
          <w:szCs w:val="28"/>
        </w:rPr>
      </w:pPr>
      <w:bookmarkStart w:id="18" w:name="bookmark21"/>
      <w:bookmarkEnd w:id="18"/>
      <w:r>
        <w:rPr>
          <w:rFonts w:ascii="仿宋" w:hAnsi="仿宋" w:eastAsia="仿宋" w:cs="仿宋"/>
          <w:b/>
          <w:bCs/>
          <w:spacing w:val="-8"/>
          <w:sz w:val="28"/>
          <w:szCs w:val="28"/>
        </w:rPr>
        <w:t>1.5.2</w:t>
      </w:r>
      <w:r>
        <w:rPr>
          <w:rFonts w:ascii="仿宋" w:hAnsi="仿宋" w:eastAsia="仿宋" w:cs="仿宋"/>
          <w:spacing w:val="-48"/>
          <w:sz w:val="28"/>
          <w:szCs w:val="28"/>
        </w:rPr>
        <w:t xml:space="preserve"> </w:t>
      </w:r>
      <w:r>
        <w:rPr>
          <w:rFonts w:ascii="仿宋" w:hAnsi="仿宋" w:eastAsia="仿宋" w:cs="仿宋"/>
          <w:b/>
          <w:bCs/>
          <w:spacing w:val="-8"/>
          <w:sz w:val="28"/>
          <w:szCs w:val="28"/>
        </w:rPr>
        <w:t>评价范围</w:t>
      </w:r>
    </w:p>
    <w:p w14:paraId="655F9FB2">
      <w:pPr>
        <w:spacing w:before="305" w:line="361" w:lineRule="auto"/>
        <w:ind w:left="43" w:right="13" w:firstLine="467"/>
        <w:rPr>
          <w:rFonts w:ascii="仿宋" w:hAnsi="仿宋" w:eastAsia="仿宋" w:cs="仿宋"/>
          <w:sz w:val="24"/>
          <w:szCs w:val="24"/>
        </w:rPr>
      </w:pPr>
      <w:r>
        <w:rPr>
          <w:rFonts w:ascii="仿宋" w:hAnsi="仿宋" w:eastAsia="仿宋" w:cs="仿宋"/>
          <w:spacing w:val="-3"/>
          <w:sz w:val="24"/>
          <w:szCs w:val="24"/>
        </w:rPr>
        <w:t>评价范围：结合导则要求及通村公路线位特点，确定公路中心线</w:t>
      </w:r>
      <w:r>
        <w:rPr>
          <w:rFonts w:ascii="仿宋" w:hAnsi="仿宋" w:eastAsia="仿宋" w:cs="仿宋"/>
          <w:spacing w:val="-4"/>
          <w:sz w:val="24"/>
          <w:szCs w:val="24"/>
        </w:rPr>
        <w:t>两侧各200m</w:t>
      </w:r>
      <w:r>
        <w:rPr>
          <w:rFonts w:ascii="仿宋" w:hAnsi="仿宋" w:eastAsia="仿宋" w:cs="仿宋"/>
          <w:spacing w:val="-1"/>
          <w:sz w:val="24"/>
          <w:szCs w:val="24"/>
        </w:rPr>
        <w:t>范围为声环境评价范围，重点覆盖沿线集中村落、零散住户等敏感目标。</w:t>
      </w:r>
    </w:p>
    <w:p w14:paraId="48286EF8">
      <w:pPr>
        <w:spacing w:before="213" w:line="228" w:lineRule="auto"/>
        <w:ind w:left="48"/>
        <w:outlineLvl w:val="1"/>
        <w:rPr>
          <w:rFonts w:ascii="仿宋" w:hAnsi="仿宋" w:eastAsia="仿宋" w:cs="仿宋"/>
          <w:sz w:val="31"/>
          <w:szCs w:val="31"/>
        </w:rPr>
      </w:pPr>
      <w:bookmarkStart w:id="19" w:name="bookmark22"/>
      <w:bookmarkEnd w:id="19"/>
      <w:r>
        <w:rPr>
          <w:rFonts w:ascii="仿宋" w:hAnsi="仿宋" w:eastAsia="仿宋" w:cs="仿宋"/>
          <w:b/>
          <w:bCs/>
          <w:sz w:val="31"/>
          <w:szCs w:val="31"/>
        </w:rPr>
        <w:t>1.6</w:t>
      </w:r>
      <w:r>
        <w:rPr>
          <w:rFonts w:ascii="仿宋" w:hAnsi="仿宋" w:eastAsia="仿宋" w:cs="仿宋"/>
          <w:spacing w:val="-32"/>
          <w:sz w:val="31"/>
          <w:szCs w:val="31"/>
        </w:rPr>
        <w:t xml:space="preserve"> </w:t>
      </w:r>
      <w:r>
        <w:rPr>
          <w:rFonts w:ascii="仿宋" w:hAnsi="仿宋" w:eastAsia="仿宋" w:cs="仿宋"/>
          <w:b/>
          <w:bCs/>
          <w:sz w:val="31"/>
          <w:szCs w:val="31"/>
        </w:rPr>
        <w:t>主要声环境敏感目标</w:t>
      </w:r>
    </w:p>
    <w:p w14:paraId="61844B73">
      <w:pPr>
        <w:spacing w:before="225" w:line="359" w:lineRule="auto"/>
        <w:ind w:left="29" w:right="13" w:firstLine="484"/>
        <w:jc w:val="both"/>
        <w:rPr>
          <w:rFonts w:ascii="仿宋" w:hAnsi="仿宋" w:eastAsia="仿宋" w:cs="仿宋"/>
          <w:sz w:val="24"/>
          <w:szCs w:val="24"/>
        </w:rPr>
      </w:pPr>
      <w:r>
        <w:rPr>
          <w:rFonts w:ascii="仿宋" w:hAnsi="仿宋" w:eastAsia="仿宋" w:cs="仿宋"/>
          <w:spacing w:val="1"/>
          <w:sz w:val="24"/>
          <w:szCs w:val="24"/>
        </w:rPr>
        <w:t>本项目各段道路中心线两侧200m</w:t>
      </w:r>
      <w:r>
        <w:rPr>
          <w:rFonts w:ascii="仿宋" w:hAnsi="仿宋" w:eastAsia="仿宋" w:cs="仿宋"/>
          <w:spacing w:val="-28"/>
          <w:sz w:val="24"/>
          <w:szCs w:val="24"/>
        </w:rPr>
        <w:t xml:space="preserve"> </w:t>
      </w:r>
      <w:r>
        <w:rPr>
          <w:rFonts w:ascii="仿宋" w:hAnsi="仿宋" w:eastAsia="仿宋" w:cs="仿宋"/>
          <w:spacing w:val="1"/>
          <w:sz w:val="24"/>
          <w:szCs w:val="24"/>
        </w:rPr>
        <w:t>范围内分布的村庄建筑或散户居民住宅为</w:t>
      </w:r>
      <w:r>
        <w:rPr>
          <w:rFonts w:ascii="仿宋" w:hAnsi="仿宋" w:eastAsia="仿宋" w:cs="仿宋"/>
          <w:spacing w:val="-2"/>
          <w:sz w:val="24"/>
          <w:szCs w:val="24"/>
        </w:rPr>
        <w:t>声环境保护目标，建筑均为一层平房，环境保护目标分布情况见表</w:t>
      </w:r>
      <w:r>
        <w:rPr>
          <w:rFonts w:ascii="仿宋" w:hAnsi="仿宋" w:eastAsia="仿宋" w:cs="仿宋"/>
          <w:spacing w:val="-34"/>
          <w:sz w:val="24"/>
          <w:szCs w:val="24"/>
        </w:rPr>
        <w:t xml:space="preserve"> </w:t>
      </w:r>
      <w:r>
        <w:rPr>
          <w:rFonts w:ascii="仿宋" w:hAnsi="仿宋" w:eastAsia="仿宋" w:cs="仿宋"/>
          <w:spacing w:val="-2"/>
          <w:sz w:val="24"/>
          <w:szCs w:val="24"/>
        </w:rPr>
        <w:t>1.6-1，</w:t>
      </w:r>
      <w:r>
        <w:rPr>
          <w:rFonts w:ascii="仿宋" w:hAnsi="仿宋" w:eastAsia="仿宋" w:cs="仿宋"/>
          <w:spacing w:val="-3"/>
          <w:sz w:val="24"/>
          <w:szCs w:val="24"/>
        </w:rPr>
        <w:t>环境</w:t>
      </w:r>
      <w:r>
        <w:rPr>
          <w:rFonts w:ascii="仿宋" w:hAnsi="仿宋" w:eastAsia="仿宋" w:cs="仿宋"/>
          <w:spacing w:val="-4"/>
          <w:sz w:val="24"/>
          <w:szCs w:val="24"/>
        </w:rPr>
        <w:t>保护目标分布情况见图</w:t>
      </w:r>
      <w:r>
        <w:rPr>
          <w:rFonts w:ascii="仿宋" w:hAnsi="仿宋" w:eastAsia="仿宋" w:cs="仿宋"/>
          <w:spacing w:val="-34"/>
          <w:sz w:val="24"/>
          <w:szCs w:val="24"/>
        </w:rPr>
        <w:t xml:space="preserve"> </w:t>
      </w:r>
      <w:r>
        <w:rPr>
          <w:rFonts w:ascii="仿宋" w:hAnsi="仿宋" w:eastAsia="仿宋" w:cs="仿宋"/>
          <w:spacing w:val="-4"/>
          <w:sz w:val="24"/>
          <w:szCs w:val="24"/>
        </w:rPr>
        <w:t>1.6-1</w:t>
      </w:r>
      <w:r>
        <w:rPr>
          <w:rFonts w:ascii="仿宋" w:hAnsi="仿宋" w:eastAsia="仿宋" w:cs="仿宋"/>
          <w:spacing w:val="-37"/>
          <w:sz w:val="24"/>
          <w:szCs w:val="24"/>
        </w:rPr>
        <w:t xml:space="preserve"> </w:t>
      </w:r>
      <w:r>
        <w:rPr>
          <w:rFonts w:ascii="仿宋" w:hAnsi="仿宋" w:eastAsia="仿宋" w:cs="仿宋"/>
          <w:spacing w:val="-4"/>
          <w:sz w:val="24"/>
          <w:szCs w:val="24"/>
        </w:rPr>
        <w:t>至图</w:t>
      </w:r>
      <w:r>
        <w:rPr>
          <w:rFonts w:ascii="仿宋" w:hAnsi="仿宋" w:eastAsia="仿宋" w:cs="仿宋"/>
          <w:spacing w:val="-34"/>
          <w:sz w:val="24"/>
          <w:szCs w:val="24"/>
        </w:rPr>
        <w:t xml:space="preserve"> </w:t>
      </w:r>
      <w:r>
        <w:rPr>
          <w:rFonts w:ascii="仿宋" w:hAnsi="仿宋" w:eastAsia="仿宋" w:cs="仿宋"/>
          <w:spacing w:val="-4"/>
          <w:sz w:val="24"/>
          <w:szCs w:val="24"/>
        </w:rPr>
        <w:t>1.6-5。</w:t>
      </w:r>
    </w:p>
    <w:p w14:paraId="60A1BF5A">
      <w:pPr>
        <w:spacing w:line="359" w:lineRule="auto"/>
        <w:rPr>
          <w:rFonts w:ascii="仿宋" w:hAnsi="仿宋" w:eastAsia="仿宋" w:cs="仿宋"/>
          <w:sz w:val="24"/>
          <w:szCs w:val="24"/>
        </w:rPr>
        <w:sectPr>
          <w:footerReference r:id="rId137" w:type="default"/>
          <w:pgSz w:w="11906" w:h="16839"/>
          <w:pgMar w:top="400" w:right="1785" w:bottom="1370" w:left="1785" w:header="0" w:footer="1207" w:gutter="0"/>
          <w:cols w:space="720" w:num="1"/>
        </w:sectPr>
      </w:pPr>
    </w:p>
    <w:p w14:paraId="6B46E9D8">
      <w:pPr>
        <w:pStyle w:val="2"/>
        <w:spacing w:line="269" w:lineRule="auto"/>
        <w:rPr>
          <w:sz w:val="21"/>
        </w:rPr>
      </w:pPr>
    </w:p>
    <w:p w14:paraId="23259268">
      <w:pPr>
        <w:pStyle w:val="2"/>
        <w:spacing w:line="269" w:lineRule="auto"/>
        <w:rPr>
          <w:sz w:val="21"/>
        </w:rPr>
      </w:pPr>
    </w:p>
    <w:p w14:paraId="0D40D42C">
      <w:pPr>
        <w:pStyle w:val="2"/>
        <w:spacing w:line="270" w:lineRule="auto"/>
        <w:rPr>
          <w:sz w:val="21"/>
        </w:rPr>
      </w:pPr>
    </w:p>
    <w:p w14:paraId="32FA499A">
      <w:pPr>
        <w:pStyle w:val="2"/>
        <w:spacing w:line="270" w:lineRule="auto"/>
        <w:rPr>
          <w:sz w:val="21"/>
        </w:rPr>
      </w:pPr>
    </w:p>
    <w:p w14:paraId="4D16AB9B">
      <w:pPr>
        <w:pStyle w:val="2"/>
        <w:spacing w:line="270" w:lineRule="auto"/>
        <w:rPr>
          <w:sz w:val="21"/>
        </w:rPr>
      </w:pPr>
    </w:p>
    <w:p w14:paraId="7CB2FCA2">
      <w:pPr>
        <w:spacing w:before="78" w:line="221" w:lineRule="auto"/>
        <w:ind w:left="5279"/>
        <w:rPr>
          <w:rFonts w:ascii="仿宋" w:hAnsi="仿宋" w:eastAsia="仿宋" w:cs="仿宋"/>
          <w:sz w:val="24"/>
          <w:szCs w:val="24"/>
        </w:rPr>
      </w:pPr>
      <w:r>
        <w:rPr>
          <w:rFonts w:ascii="仿宋" w:hAnsi="仿宋" w:eastAsia="仿宋" w:cs="仿宋"/>
          <w:b/>
          <w:bCs/>
          <w:spacing w:val="-4"/>
          <w:sz w:val="24"/>
          <w:szCs w:val="24"/>
        </w:rPr>
        <w:t>表</w:t>
      </w:r>
      <w:r>
        <w:rPr>
          <w:rFonts w:ascii="仿宋" w:hAnsi="仿宋" w:eastAsia="仿宋" w:cs="仿宋"/>
          <w:spacing w:val="-19"/>
          <w:sz w:val="24"/>
          <w:szCs w:val="24"/>
        </w:rPr>
        <w:t xml:space="preserve"> </w:t>
      </w:r>
      <w:r>
        <w:rPr>
          <w:rFonts w:ascii="仿宋" w:hAnsi="仿宋" w:eastAsia="仿宋" w:cs="仿宋"/>
          <w:b/>
          <w:bCs/>
          <w:spacing w:val="-4"/>
          <w:sz w:val="24"/>
          <w:szCs w:val="24"/>
        </w:rPr>
        <w:t>1.6-1</w:t>
      </w:r>
      <w:r>
        <w:rPr>
          <w:rFonts w:ascii="仿宋" w:hAnsi="仿宋" w:eastAsia="仿宋" w:cs="仿宋"/>
          <w:spacing w:val="-4"/>
          <w:sz w:val="24"/>
          <w:szCs w:val="24"/>
        </w:rPr>
        <w:t xml:space="preserve">     </w:t>
      </w:r>
      <w:r>
        <w:rPr>
          <w:rFonts w:ascii="仿宋" w:hAnsi="仿宋" w:eastAsia="仿宋" w:cs="仿宋"/>
          <w:b/>
          <w:bCs/>
          <w:spacing w:val="-4"/>
          <w:sz w:val="24"/>
          <w:szCs w:val="24"/>
        </w:rPr>
        <w:t>本项目声环境保护目标</w:t>
      </w:r>
    </w:p>
    <w:p w14:paraId="09604264">
      <w:pPr>
        <w:spacing w:line="145" w:lineRule="exact"/>
      </w:pPr>
    </w:p>
    <w:tbl>
      <w:tblPr>
        <w:tblStyle w:val="5"/>
        <w:tblW w:w="1396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28"/>
        <w:gridCol w:w="720"/>
        <w:gridCol w:w="975"/>
        <w:gridCol w:w="1035"/>
        <w:gridCol w:w="630"/>
        <w:gridCol w:w="450"/>
        <w:gridCol w:w="940"/>
        <w:gridCol w:w="1307"/>
        <w:gridCol w:w="888"/>
        <w:gridCol w:w="1684"/>
        <w:gridCol w:w="762"/>
        <w:gridCol w:w="2129"/>
        <w:gridCol w:w="2112"/>
      </w:tblGrid>
      <w:tr w14:paraId="3ACFA5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3" w:hRule="atLeast"/>
        </w:trPr>
        <w:tc>
          <w:tcPr>
            <w:tcW w:w="328" w:type="dxa"/>
            <w:tcBorders>
              <w:top w:val="single" w:color="000000" w:sz="10" w:space="0"/>
              <w:left w:val="nil"/>
            </w:tcBorders>
            <w:textDirection w:val="tbRlV"/>
            <w:vAlign w:val="top"/>
          </w:tcPr>
          <w:p w14:paraId="7E0302A8">
            <w:pPr>
              <w:spacing w:before="74" w:line="202" w:lineRule="auto"/>
              <w:ind w:left="263"/>
              <w:rPr>
                <w:rFonts w:ascii="仿宋" w:hAnsi="仿宋" w:eastAsia="仿宋" w:cs="仿宋"/>
                <w:sz w:val="18"/>
                <w:szCs w:val="18"/>
              </w:rPr>
            </w:pPr>
            <w:r>
              <w:rPr>
                <w:rFonts w:ascii="仿宋" w:hAnsi="仿宋" w:eastAsia="仿宋" w:cs="仿宋"/>
                <w:spacing w:val="28"/>
                <w:sz w:val="18"/>
                <w:szCs w:val="18"/>
              </w:rPr>
              <w:t>序号</w:t>
            </w:r>
          </w:p>
        </w:tc>
        <w:tc>
          <w:tcPr>
            <w:tcW w:w="720" w:type="dxa"/>
            <w:tcBorders>
              <w:top w:val="single" w:color="000000" w:sz="10" w:space="0"/>
            </w:tcBorders>
            <w:vAlign w:val="top"/>
          </w:tcPr>
          <w:p w14:paraId="04612647">
            <w:pPr>
              <w:spacing w:before="146" w:line="222" w:lineRule="auto"/>
              <w:ind w:left="99"/>
              <w:rPr>
                <w:rFonts w:ascii="仿宋" w:hAnsi="仿宋" w:eastAsia="仿宋" w:cs="仿宋"/>
                <w:sz w:val="18"/>
                <w:szCs w:val="18"/>
              </w:rPr>
            </w:pPr>
            <w:r>
              <w:rPr>
                <w:rFonts w:ascii="仿宋" w:hAnsi="仿宋" w:eastAsia="仿宋" w:cs="仿宋"/>
                <w:spacing w:val="-4"/>
                <w:sz w:val="18"/>
                <w:szCs w:val="18"/>
              </w:rPr>
              <w:t>声环境</w:t>
            </w:r>
          </w:p>
          <w:p w14:paraId="393A5925">
            <w:pPr>
              <w:spacing w:before="15" w:line="221" w:lineRule="auto"/>
              <w:ind w:left="100"/>
              <w:rPr>
                <w:rFonts w:ascii="仿宋" w:hAnsi="仿宋" w:eastAsia="仿宋" w:cs="仿宋"/>
                <w:sz w:val="18"/>
                <w:szCs w:val="18"/>
              </w:rPr>
            </w:pPr>
            <w:r>
              <w:rPr>
                <w:rFonts w:ascii="仿宋" w:hAnsi="仿宋" w:eastAsia="仿宋" w:cs="仿宋"/>
                <w:spacing w:val="-5"/>
                <w:sz w:val="18"/>
                <w:szCs w:val="18"/>
              </w:rPr>
              <w:t>保护目</w:t>
            </w:r>
          </w:p>
          <w:p w14:paraId="6285B3A8">
            <w:pPr>
              <w:spacing w:before="19" w:line="221" w:lineRule="auto"/>
              <w:ind w:left="99"/>
              <w:rPr>
                <w:rFonts w:ascii="仿宋" w:hAnsi="仿宋" w:eastAsia="仿宋" w:cs="仿宋"/>
                <w:sz w:val="18"/>
                <w:szCs w:val="18"/>
              </w:rPr>
            </w:pPr>
            <w:r>
              <w:rPr>
                <w:rFonts w:ascii="仿宋" w:hAnsi="仿宋" w:eastAsia="仿宋" w:cs="仿宋"/>
                <w:spacing w:val="-4"/>
                <w:sz w:val="18"/>
                <w:szCs w:val="18"/>
              </w:rPr>
              <w:t>标名称</w:t>
            </w:r>
          </w:p>
        </w:tc>
        <w:tc>
          <w:tcPr>
            <w:tcW w:w="975" w:type="dxa"/>
            <w:tcBorders>
              <w:top w:val="single" w:color="000000" w:sz="10" w:space="0"/>
            </w:tcBorders>
            <w:vAlign w:val="top"/>
          </w:tcPr>
          <w:p w14:paraId="18B56932">
            <w:pPr>
              <w:spacing w:line="319" w:lineRule="auto"/>
              <w:rPr>
                <w:rFonts w:ascii="Arial"/>
                <w:sz w:val="21"/>
              </w:rPr>
            </w:pPr>
          </w:p>
          <w:p w14:paraId="7C6F36D2">
            <w:pPr>
              <w:spacing w:before="58" w:line="219" w:lineRule="auto"/>
              <w:ind w:left="136"/>
              <w:rPr>
                <w:rFonts w:ascii="仿宋" w:hAnsi="仿宋" w:eastAsia="仿宋" w:cs="仿宋"/>
                <w:sz w:val="18"/>
                <w:szCs w:val="18"/>
              </w:rPr>
            </w:pPr>
            <w:r>
              <w:rPr>
                <w:rFonts w:ascii="仿宋" w:hAnsi="仿宋" w:eastAsia="仿宋" w:cs="仿宋"/>
                <w:spacing w:val="-4"/>
                <w:sz w:val="18"/>
                <w:szCs w:val="18"/>
              </w:rPr>
              <w:t>所在路段</w:t>
            </w:r>
          </w:p>
        </w:tc>
        <w:tc>
          <w:tcPr>
            <w:tcW w:w="1035" w:type="dxa"/>
            <w:tcBorders>
              <w:top w:val="single" w:color="000000" w:sz="10" w:space="0"/>
            </w:tcBorders>
            <w:vAlign w:val="top"/>
          </w:tcPr>
          <w:p w14:paraId="4C9054AD">
            <w:pPr>
              <w:spacing w:line="318" w:lineRule="auto"/>
              <w:rPr>
                <w:rFonts w:ascii="Arial"/>
                <w:sz w:val="21"/>
              </w:rPr>
            </w:pPr>
          </w:p>
          <w:p w14:paraId="0FD192E3">
            <w:pPr>
              <w:spacing w:before="59" w:line="223" w:lineRule="auto"/>
              <w:ind w:left="166"/>
              <w:rPr>
                <w:rFonts w:ascii="仿宋" w:hAnsi="仿宋" w:eastAsia="仿宋" w:cs="仿宋"/>
                <w:sz w:val="18"/>
                <w:szCs w:val="18"/>
              </w:rPr>
            </w:pPr>
            <w:r>
              <w:rPr>
                <w:rFonts w:ascii="仿宋" w:hAnsi="仿宋" w:eastAsia="仿宋" w:cs="仿宋"/>
                <w:spacing w:val="-3"/>
                <w:sz w:val="18"/>
                <w:szCs w:val="18"/>
              </w:rPr>
              <w:t>桩号范围</w:t>
            </w:r>
          </w:p>
        </w:tc>
        <w:tc>
          <w:tcPr>
            <w:tcW w:w="630" w:type="dxa"/>
            <w:tcBorders>
              <w:top w:val="single" w:color="000000" w:sz="10" w:space="0"/>
            </w:tcBorders>
            <w:vAlign w:val="top"/>
          </w:tcPr>
          <w:p w14:paraId="1728DFA3">
            <w:pPr>
              <w:spacing w:before="264"/>
              <w:ind w:left="236" w:right="43" w:hanging="178"/>
              <w:rPr>
                <w:rFonts w:ascii="仿宋" w:hAnsi="仿宋" w:eastAsia="仿宋" w:cs="仿宋"/>
                <w:sz w:val="18"/>
                <w:szCs w:val="18"/>
              </w:rPr>
            </w:pPr>
            <w:r>
              <w:rPr>
                <w:rFonts w:ascii="仿宋" w:hAnsi="仿宋" w:eastAsia="仿宋" w:cs="仿宋"/>
                <w:spacing w:val="-6"/>
                <w:sz w:val="18"/>
                <w:szCs w:val="18"/>
              </w:rPr>
              <w:t>线路形</w:t>
            </w:r>
            <w:r>
              <w:rPr>
                <w:rFonts w:ascii="仿宋" w:hAnsi="仿宋" w:eastAsia="仿宋" w:cs="仿宋"/>
                <w:sz w:val="18"/>
                <w:szCs w:val="18"/>
              </w:rPr>
              <w:t>式</w:t>
            </w:r>
          </w:p>
        </w:tc>
        <w:tc>
          <w:tcPr>
            <w:tcW w:w="450" w:type="dxa"/>
            <w:tcBorders>
              <w:top w:val="single" w:color="000000" w:sz="10" w:space="0"/>
            </w:tcBorders>
            <w:vAlign w:val="top"/>
          </w:tcPr>
          <w:p w14:paraId="13975D1F">
            <w:pPr>
              <w:spacing w:line="318" w:lineRule="auto"/>
              <w:rPr>
                <w:rFonts w:ascii="Arial"/>
                <w:sz w:val="21"/>
              </w:rPr>
            </w:pPr>
          </w:p>
          <w:p w14:paraId="0A367738">
            <w:pPr>
              <w:spacing w:before="58" w:line="222" w:lineRule="auto"/>
              <w:ind w:left="58"/>
              <w:rPr>
                <w:rFonts w:ascii="仿宋" w:hAnsi="仿宋" w:eastAsia="仿宋" w:cs="仿宋"/>
                <w:sz w:val="18"/>
                <w:szCs w:val="18"/>
              </w:rPr>
            </w:pPr>
            <w:r>
              <w:rPr>
                <w:rFonts w:ascii="仿宋" w:hAnsi="仿宋" w:eastAsia="仿宋" w:cs="仿宋"/>
                <w:spacing w:val="-9"/>
                <w:sz w:val="18"/>
                <w:szCs w:val="18"/>
              </w:rPr>
              <w:t>方位</w:t>
            </w:r>
          </w:p>
        </w:tc>
        <w:tc>
          <w:tcPr>
            <w:tcW w:w="940" w:type="dxa"/>
            <w:tcBorders>
              <w:top w:val="single" w:color="000000" w:sz="10" w:space="0"/>
            </w:tcBorders>
            <w:vAlign w:val="top"/>
          </w:tcPr>
          <w:p w14:paraId="6C86EB99">
            <w:pPr>
              <w:spacing w:before="31" w:line="221" w:lineRule="auto"/>
              <w:ind w:left="28"/>
              <w:rPr>
                <w:rFonts w:ascii="仿宋" w:hAnsi="仿宋" w:eastAsia="仿宋" w:cs="仿宋"/>
                <w:sz w:val="18"/>
                <w:szCs w:val="18"/>
              </w:rPr>
            </w:pPr>
            <w:r>
              <w:rPr>
                <w:rFonts w:ascii="仿宋" w:hAnsi="仿宋" w:eastAsia="仿宋" w:cs="仿宋"/>
                <w:spacing w:val="-3"/>
                <w:sz w:val="18"/>
                <w:szCs w:val="18"/>
              </w:rPr>
              <w:t>声环境保护</w:t>
            </w:r>
          </w:p>
          <w:p w14:paraId="0D36A969">
            <w:pPr>
              <w:spacing w:before="17" w:line="222" w:lineRule="auto"/>
              <w:ind w:left="60"/>
              <w:rPr>
                <w:rFonts w:ascii="仿宋" w:hAnsi="仿宋" w:eastAsia="仿宋" w:cs="仿宋"/>
                <w:sz w:val="18"/>
                <w:szCs w:val="18"/>
              </w:rPr>
            </w:pPr>
            <w:r>
              <w:rPr>
                <w:rFonts w:ascii="仿宋" w:hAnsi="仿宋" w:eastAsia="仿宋" w:cs="仿宋"/>
                <w:spacing w:val="-9"/>
                <w:sz w:val="18"/>
                <w:szCs w:val="18"/>
              </w:rPr>
              <w:t>目标预测点</w:t>
            </w:r>
          </w:p>
          <w:p w14:paraId="40B98593">
            <w:pPr>
              <w:spacing w:before="16" w:line="223" w:lineRule="auto"/>
              <w:ind w:left="36"/>
              <w:rPr>
                <w:rFonts w:ascii="仿宋" w:hAnsi="仿宋" w:eastAsia="仿宋" w:cs="仿宋"/>
                <w:sz w:val="18"/>
                <w:szCs w:val="18"/>
              </w:rPr>
            </w:pPr>
            <w:r>
              <w:rPr>
                <w:rFonts w:ascii="仿宋" w:hAnsi="仿宋" w:eastAsia="仿宋" w:cs="仿宋"/>
                <w:spacing w:val="-4"/>
                <w:sz w:val="18"/>
                <w:szCs w:val="18"/>
              </w:rPr>
              <w:t>与路面高差</w:t>
            </w:r>
          </w:p>
          <w:p w14:paraId="063FBB10">
            <w:pPr>
              <w:spacing w:before="17" w:line="206" w:lineRule="auto"/>
              <w:ind w:left="369"/>
              <w:rPr>
                <w:rFonts w:ascii="仿宋" w:hAnsi="仿宋" w:eastAsia="仿宋" w:cs="仿宋"/>
                <w:sz w:val="18"/>
                <w:szCs w:val="18"/>
              </w:rPr>
            </w:pPr>
            <w:r>
              <w:rPr>
                <w:rFonts w:ascii="仿宋" w:hAnsi="仿宋" w:eastAsia="仿宋" w:cs="仿宋"/>
                <w:spacing w:val="-10"/>
                <w:w w:val="97"/>
                <w:sz w:val="18"/>
                <w:szCs w:val="18"/>
              </w:rPr>
              <w:t>(m)</w:t>
            </w:r>
          </w:p>
        </w:tc>
        <w:tc>
          <w:tcPr>
            <w:tcW w:w="1307" w:type="dxa"/>
            <w:tcBorders>
              <w:top w:val="single" w:color="000000" w:sz="10" w:space="0"/>
            </w:tcBorders>
            <w:vAlign w:val="top"/>
          </w:tcPr>
          <w:p w14:paraId="2813BD5C">
            <w:pPr>
              <w:spacing w:before="263"/>
              <w:ind w:left="18" w:firstLine="18"/>
              <w:rPr>
                <w:rFonts w:ascii="仿宋" w:hAnsi="仿宋" w:eastAsia="仿宋" w:cs="仿宋"/>
                <w:sz w:val="18"/>
                <w:szCs w:val="18"/>
              </w:rPr>
            </w:pPr>
            <w:r>
              <w:rPr>
                <w:rFonts w:ascii="仿宋" w:hAnsi="仿宋" w:eastAsia="仿宋" w:cs="仿宋"/>
                <w:spacing w:val="-12"/>
                <w:sz w:val="18"/>
                <w:szCs w:val="18"/>
              </w:rPr>
              <w:t>首排距道路边界</w:t>
            </w:r>
            <w:r>
              <w:rPr>
                <w:rFonts w:ascii="仿宋" w:hAnsi="仿宋" w:eastAsia="仿宋" w:cs="仿宋"/>
                <w:spacing w:val="-28"/>
                <w:sz w:val="18"/>
                <w:szCs w:val="18"/>
              </w:rPr>
              <w:t>（红线）距离（m）</w:t>
            </w:r>
          </w:p>
        </w:tc>
        <w:tc>
          <w:tcPr>
            <w:tcW w:w="888" w:type="dxa"/>
            <w:tcBorders>
              <w:top w:val="single" w:color="000000" w:sz="10" w:space="0"/>
            </w:tcBorders>
            <w:vAlign w:val="top"/>
          </w:tcPr>
          <w:p w14:paraId="0C8F46B1">
            <w:pPr>
              <w:spacing w:before="146" w:line="222" w:lineRule="auto"/>
              <w:ind w:left="92"/>
              <w:rPr>
                <w:rFonts w:ascii="仿宋" w:hAnsi="仿宋" w:eastAsia="仿宋" w:cs="仿宋"/>
                <w:sz w:val="18"/>
                <w:szCs w:val="18"/>
              </w:rPr>
            </w:pPr>
            <w:r>
              <w:rPr>
                <w:rFonts w:ascii="仿宋" w:hAnsi="仿宋" w:eastAsia="仿宋" w:cs="仿宋"/>
                <w:spacing w:val="-3"/>
                <w:sz w:val="18"/>
                <w:szCs w:val="18"/>
              </w:rPr>
              <w:t>距道路中</w:t>
            </w:r>
          </w:p>
          <w:p w14:paraId="6AA64C34">
            <w:pPr>
              <w:spacing w:before="16" w:line="249" w:lineRule="auto"/>
              <w:ind w:left="231" w:right="81" w:hanging="135"/>
              <w:rPr>
                <w:rFonts w:ascii="仿宋" w:hAnsi="仿宋" w:eastAsia="仿宋" w:cs="仿宋"/>
                <w:sz w:val="18"/>
                <w:szCs w:val="18"/>
              </w:rPr>
            </w:pPr>
            <w:r>
              <w:rPr>
                <w:rFonts w:ascii="仿宋" w:hAnsi="仿宋" w:eastAsia="仿宋" w:cs="仿宋"/>
                <w:spacing w:val="-4"/>
                <w:sz w:val="18"/>
                <w:szCs w:val="18"/>
              </w:rPr>
              <w:t>心线距离</w:t>
            </w:r>
            <w:r>
              <w:rPr>
                <w:rFonts w:ascii="仿宋" w:hAnsi="仿宋" w:eastAsia="仿宋" w:cs="仿宋"/>
                <w:spacing w:val="-6"/>
                <w:sz w:val="18"/>
                <w:szCs w:val="18"/>
              </w:rPr>
              <w:t>（m）</w:t>
            </w:r>
          </w:p>
        </w:tc>
        <w:tc>
          <w:tcPr>
            <w:tcW w:w="1684" w:type="dxa"/>
            <w:tcBorders>
              <w:top w:val="single" w:color="000000" w:sz="10" w:space="0"/>
            </w:tcBorders>
            <w:vAlign w:val="top"/>
          </w:tcPr>
          <w:p w14:paraId="018FD2EE">
            <w:pPr>
              <w:spacing w:line="318" w:lineRule="auto"/>
              <w:rPr>
                <w:rFonts w:ascii="Arial"/>
                <w:sz w:val="21"/>
              </w:rPr>
            </w:pPr>
          </w:p>
          <w:p w14:paraId="35A80BBD">
            <w:pPr>
              <w:spacing w:before="58" w:line="222" w:lineRule="auto"/>
              <w:ind w:left="131"/>
              <w:rPr>
                <w:rFonts w:ascii="仿宋" w:hAnsi="仿宋" w:eastAsia="仿宋" w:cs="仿宋"/>
                <w:sz w:val="18"/>
                <w:szCs w:val="18"/>
              </w:rPr>
            </w:pPr>
            <w:r>
              <w:rPr>
                <w:rFonts w:ascii="仿宋" w:hAnsi="仿宋" w:eastAsia="仿宋" w:cs="仿宋"/>
                <w:spacing w:val="-2"/>
                <w:sz w:val="18"/>
                <w:szCs w:val="18"/>
              </w:rPr>
              <w:t>声环境功能区类别</w:t>
            </w:r>
          </w:p>
        </w:tc>
        <w:tc>
          <w:tcPr>
            <w:tcW w:w="762" w:type="dxa"/>
            <w:tcBorders>
              <w:top w:val="single" w:color="000000" w:sz="10" w:space="0"/>
            </w:tcBorders>
            <w:vAlign w:val="top"/>
          </w:tcPr>
          <w:p w14:paraId="0BC36418">
            <w:pPr>
              <w:spacing w:before="146" w:line="222" w:lineRule="auto"/>
              <w:ind w:left="30"/>
              <w:rPr>
                <w:rFonts w:ascii="仿宋" w:hAnsi="仿宋" w:eastAsia="仿宋" w:cs="仿宋"/>
                <w:sz w:val="18"/>
                <w:szCs w:val="18"/>
              </w:rPr>
            </w:pPr>
            <w:r>
              <w:rPr>
                <w:rFonts w:ascii="仿宋" w:hAnsi="仿宋" w:eastAsia="仿宋" w:cs="仿宋"/>
                <w:spacing w:val="-4"/>
                <w:sz w:val="18"/>
                <w:szCs w:val="18"/>
              </w:rPr>
              <w:t>道路评价</w:t>
            </w:r>
          </w:p>
          <w:p w14:paraId="4B32B4E0">
            <w:pPr>
              <w:spacing w:before="15" w:line="243" w:lineRule="auto"/>
              <w:ind w:left="299" w:right="19" w:hanging="260"/>
              <w:rPr>
                <w:rFonts w:ascii="仿宋" w:hAnsi="仿宋" w:eastAsia="仿宋" w:cs="仿宋"/>
                <w:sz w:val="18"/>
                <w:szCs w:val="18"/>
              </w:rPr>
            </w:pPr>
            <w:r>
              <w:rPr>
                <w:rFonts w:ascii="仿宋" w:hAnsi="仿宋" w:eastAsia="仿宋" w:cs="仿宋"/>
                <w:spacing w:val="-6"/>
                <w:sz w:val="18"/>
                <w:szCs w:val="18"/>
              </w:rPr>
              <w:t>范围内人</w:t>
            </w:r>
            <w:r>
              <w:rPr>
                <w:rFonts w:ascii="仿宋" w:hAnsi="仿宋" w:eastAsia="仿宋" w:cs="仿宋"/>
                <w:sz w:val="18"/>
                <w:szCs w:val="18"/>
              </w:rPr>
              <w:t>数</w:t>
            </w:r>
          </w:p>
        </w:tc>
        <w:tc>
          <w:tcPr>
            <w:tcW w:w="2129" w:type="dxa"/>
            <w:tcBorders>
              <w:top w:val="single" w:color="000000" w:sz="10" w:space="0"/>
            </w:tcBorders>
            <w:vAlign w:val="top"/>
          </w:tcPr>
          <w:p w14:paraId="5CFA43B9">
            <w:pPr>
              <w:spacing w:before="31" w:line="221" w:lineRule="auto"/>
              <w:ind w:left="82"/>
              <w:rPr>
                <w:rFonts w:ascii="仿宋" w:hAnsi="仿宋" w:eastAsia="仿宋" w:cs="仿宋"/>
                <w:sz w:val="18"/>
                <w:szCs w:val="18"/>
              </w:rPr>
            </w:pPr>
            <w:r>
              <w:rPr>
                <w:rFonts w:ascii="仿宋" w:hAnsi="仿宋" w:eastAsia="仿宋" w:cs="仿宋"/>
                <w:spacing w:val="-2"/>
                <w:sz w:val="18"/>
                <w:szCs w:val="18"/>
              </w:rPr>
              <w:t>声环境保护目标情况说明</w:t>
            </w:r>
          </w:p>
          <w:p w14:paraId="6A958CA2">
            <w:pPr>
              <w:spacing w:before="17" w:line="221" w:lineRule="auto"/>
              <w:ind w:left="88"/>
              <w:rPr>
                <w:rFonts w:ascii="仿宋" w:hAnsi="仿宋" w:eastAsia="仿宋" w:cs="仿宋"/>
                <w:sz w:val="18"/>
                <w:szCs w:val="18"/>
              </w:rPr>
            </w:pPr>
            <w:r>
              <w:rPr>
                <w:rFonts w:ascii="仿宋" w:hAnsi="仿宋" w:eastAsia="仿宋" w:cs="仿宋"/>
                <w:spacing w:val="-2"/>
                <w:sz w:val="18"/>
                <w:szCs w:val="18"/>
              </w:rPr>
              <w:t>（介绍声环境保护目标建</w:t>
            </w:r>
          </w:p>
          <w:p w14:paraId="559B050A">
            <w:pPr>
              <w:spacing w:before="17" w:line="222" w:lineRule="auto"/>
              <w:ind w:left="15"/>
              <w:rPr>
                <w:rFonts w:ascii="仿宋" w:hAnsi="仿宋" w:eastAsia="仿宋" w:cs="仿宋"/>
                <w:sz w:val="18"/>
                <w:szCs w:val="18"/>
              </w:rPr>
            </w:pPr>
            <w:r>
              <w:rPr>
                <w:rFonts w:ascii="仿宋" w:hAnsi="仿宋" w:eastAsia="仿宋" w:cs="仿宋"/>
                <w:spacing w:val="-5"/>
                <w:sz w:val="18"/>
                <w:szCs w:val="18"/>
              </w:rPr>
              <w:t>筑结构、朝向、楼层、周围</w:t>
            </w:r>
          </w:p>
          <w:p w14:paraId="67FA3391">
            <w:pPr>
              <w:spacing w:before="18" w:line="206" w:lineRule="auto"/>
              <w:ind w:left="623"/>
              <w:rPr>
                <w:rFonts w:ascii="仿宋" w:hAnsi="仿宋" w:eastAsia="仿宋" w:cs="仿宋"/>
                <w:sz w:val="18"/>
                <w:szCs w:val="18"/>
              </w:rPr>
            </w:pPr>
            <w:r>
              <w:rPr>
                <w:rFonts w:ascii="仿宋" w:hAnsi="仿宋" w:eastAsia="仿宋" w:cs="仿宋"/>
                <w:spacing w:val="-3"/>
                <w:sz w:val="18"/>
                <w:szCs w:val="18"/>
              </w:rPr>
              <w:t>环境情况）</w:t>
            </w:r>
          </w:p>
        </w:tc>
        <w:tc>
          <w:tcPr>
            <w:tcW w:w="2112" w:type="dxa"/>
            <w:tcBorders>
              <w:top w:val="single" w:color="000000" w:sz="10" w:space="0"/>
              <w:right w:val="nil"/>
            </w:tcBorders>
            <w:vAlign w:val="top"/>
          </w:tcPr>
          <w:p w14:paraId="04E1B099">
            <w:pPr>
              <w:spacing w:line="318" w:lineRule="auto"/>
              <w:rPr>
                <w:rFonts w:ascii="Arial"/>
                <w:sz w:val="21"/>
              </w:rPr>
            </w:pPr>
          </w:p>
          <w:p w14:paraId="06EF1218">
            <w:pPr>
              <w:spacing w:before="59" w:line="221" w:lineRule="auto"/>
              <w:ind w:left="77"/>
              <w:rPr>
                <w:rFonts w:ascii="仿宋" w:hAnsi="仿宋" w:eastAsia="仿宋" w:cs="仿宋"/>
                <w:sz w:val="18"/>
                <w:szCs w:val="18"/>
              </w:rPr>
            </w:pPr>
            <w:r>
              <w:rPr>
                <w:rFonts w:ascii="仿宋" w:hAnsi="仿宋" w:eastAsia="仿宋" w:cs="仿宋"/>
                <w:spacing w:val="-1"/>
                <w:sz w:val="18"/>
                <w:szCs w:val="18"/>
              </w:rPr>
              <w:t>路线与保护目标位置关系</w:t>
            </w:r>
          </w:p>
        </w:tc>
      </w:tr>
    </w:tbl>
    <w:p w14:paraId="2CACA9BA">
      <w:pPr>
        <w:spacing w:before="78" w:line="223" w:lineRule="auto"/>
        <w:ind w:left="6632"/>
        <w:rPr>
          <w:rFonts w:ascii="仿宋" w:hAnsi="仿宋" w:eastAsia="仿宋" w:cs="仿宋"/>
          <w:sz w:val="18"/>
          <w:szCs w:val="18"/>
        </w:rPr>
      </w:pPr>
      <w:r>
        <w:rPr>
          <w:rFonts w:ascii="仿宋" w:hAnsi="仿宋" w:eastAsia="仿宋" w:cs="仿宋"/>
          <w:b/>
          <w:bCs/>
          <w:spacing w:val="-5"/>
          <w:sz w:val="18"/>
          <w:szCs w:val="18"/>
        </w:rPr>
        <w:t>沙圪堵镇</w:t>
      </w:r>
    </w:p>
    <w:p w14:paraId="33B22E0B">
      <w:pPr>
        <w:spacing w:line="44" w:lineRule="exact"/>
      </w:pPr>
    </w:p>
    <w:tbl>
      <w:tblPr>
        <w:tblStyle w:val="5"/>
        <w:tblW w:w="1396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28"/>
        <w:gridCol w:w="720"/>
        <w:gridCol w:w="975"/>
        <w:gridCol w:w="1035"/>
        <w:gridCol w:w="630"/>
        <w:gridCol w:w="450"/>
        <w:gridCol w:w="940"/>
        <w:gridCol w:w="1307"/>
        <w:gridCol w:w="888"/>
        <w:gridCol w:w="1684"/>
        <w:gridCol w:w="762"/>
        <w:gridCol w:w="2129"/>
        <w:gridCol w:w="2112"/>
      </w:tblGrid>
      <w:tr w14:paraId="402684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3" w:hRule="atLeast"/>
        </w:trPr>
        <w:tc>
          <w:tcPr>
            <w:tcW w:w="328" w:type="dxa"/>
            <w:tcBorders>
              <w:left w:val="nil"/>
            </w:tcBorders>
            <w:vAlign w:val="top"/>
          </w:tcPr>
          <w:p w14:paraId="6E2C6356">
            <w:pPr>
              <w:spacing w:line="323" w:lineRule="auto"/>
              <w:rPr>
                <w:rFonts w:ascii="Arial"/>
                <w:sz w:val="21"/>
              </w:rPr>
            </w:pPr>
          </w:p>
          <w:p w14:paraId="34B10817">
            <w:pPr>
              <w:spacing w:line="324" w:lineRule="auto"/>
              <w:rPr>
                <w:rFonts w:ascii="Arial"/>
                <w:sz w:val="21"/>
              </w:rPr>
            </w:pPr>
          </w:p>
          <w:p w14:paraId="43656C3A">
            <w:pPr>
              <w:spacing w:before="58" w:line="237" w:lineRule="exact"/>
              <w:ind w:left="135"/>
              <w:rPr>
                <w:rFonts w:ascii="仿宋" w:hAnsi="仿宋" w:eastAsia="仿宋" w:cs="仿宋"/>
                <w:sz w:val="18"/>
                <w:szCs w:val="18"/>
              </w:rPr>
            </w:pPr>
            <w:r>
              <w:rPr>
                <w:rFonts w:ascii="仿宋" w:hAnsi="仿宋" w:eastAsia="仿宋" w:cs="仿宋"/>
                <w:position w:val="1"/>
                <w:sz w:val="18"/>
                <w:szCs w:val="18"/>
              </w:rPr>
              <w:t>1</w:t>
            </w:r>
          </w:p>
        </w:tc>
        <w:tc>
          <w:tcPr>
            <w:tcW w:w="720" w:type="dxa"/>
            <w:vAlign w:val="top"/>
          </w:tcPr>
          <w:p w14:paraId="68D693CB">
            <w:pPr>
              <w:spacing w:line="265" w:lineRule="auto"/>
              <w:rPr>
                <w:rFonts w:ascii="Arial"/>
                <w:sz w:val="21"/>
              </w:rPr>
            </w:pPr>
          </w:p>
          <w:p w14:paraId="51F4AB1C">
            <w:pPr>
              <w:spacing w:line="265" w:lineRule="auto"/>
              <w:rPr>
                <w:rFonts w:ascii="Arial"/>
                <w:sz w:val="21"/>
              </w:rPr>
            </w:pPr>
          </w:p>
          <w:p w14:paraId="4285946F">
            <w:pPr>
              <w:spacing w:before="58"/>
              <w:ind w:left="187" w:right="42" w:hanging="133"/>
              <w:rPr>
                <w:rFonts w:ascii="仿宋" w:hAnsi="仿宋" w:eastAsia="仿宋" w:cs="仿宋"/>
                <w:sz w:val="18"/>
                <w:szCs w:val="18"/>
              </w:rPr>
            </w:pPr>
            <w:r>
              <w:rPr>
                <w:rFonts w:ascii="仿宋" w:hAnsi="仿宋" w:eastAsia="仿宋" w:cs="仿宋"/>
                <w:spacing w:val="-3"/>
                <w:sz w:val="18"/>
                <w:szCs w:val="18"/>
              </w:rPr>
              <w:t>庙圪梁-</w:t>
            </w:r>
            <w:r>
              <w:rPr>
                <w:rFonts w:ascii="仿宋" w:hAnsi="仿宋" w:eastAsia="仿宋" w:cs="仿宋"/>
                <w:spacing w:val="-6"/>
                <w:sz w:val="18"/>
                <w:szCs w:val="18"/>
              </w:rPr>
              <w:t>散户</w:t>
            </w:r>
          </w:p>
        </w:tc>
        <w:tc>
          <w:tcPr>
            <w:tcW w:w="975" w:type="dxa"/>
            <w:vMerge w:val="restart"/>
            <w:tcBorders>
              <w:bottom w:val="nil"/>
            </w:tcBorders>
            <w:vAlign w:val="top"/>
          </w:tcPr>
          <w:p w14:paraId="77DF125F">
            <w:pPr>
              <w:spacing w:line="244" w:lineRule="auto"/>
              <w:rPr>
                <w:rFonts w:ascii="Arial"/>
                <w:sz w:val="21"/>
              </w:rPr>
            </w:pPr>
          </w:p>
          <w:p w14:paraId="764C7D99">
            <w:pPr>
              <w:spacing w:line="245" w:lineRule="auto"/>
              <w:rPr>
                <w:rFonts w:ascii="Arial"/>
                <w:sz w:val="21"/>
              </w:rPr>
            </w:pPr>
          </w:p>
          <w:p w14:paraId="580AACE2">
            <w:pPr>
              <w:spacing w:line="245" w:lineRule="auto"/>
              <w:rPr>
                <w:rFonts w:ascii="Arial"/>
                <w:sz w:val="21"/>
              </w:rPr>
            </w:pPr>
          </w:p>
          <w:p w14:paraId="1E05B186">
            <w:pPr>
              <w:spacing w:line="245" w:lineRule="auto"/>
              <w:rPr>
                <w:rFonts w:ascii="Arial"/>
                <w:sz w:val="21"/>
              </w:rPr>
            </w:pPr>
          </w:p>
          <w:p w14:paraId="3ACFBF56">
            <w:pPr>
              <w:spacing w:line="245" w:lineRule="auto"/>
              <w:rPr>
                <w:rFonts w:ascii="Arial"/>
                <w:sz w:val="21"/>
              </w:rPr>
            </w:pPr>
          </w:p>
          <w:p w14:paraId="464E6B63">
            <w:pPr>
              <w:spacing w:before="59" w:line="223" w:lineRule="auto"/>
              <w:ind w:left="51"/>
              <w:rPr>
                <w:rFonts w:ascii="仿宋" w:hAnsi="仿宋" w:eastAsia="仿宋" w:cs="仿宋"/>
                <w:sz w:val="18"/>
                <w:szCs w:val="18"/>
              </w:rPr>
            </w:pPr>
            <w:r>
              <w:rPr>
                <w:rFonts w:ascii="仿宋" w:hAnsi="仿宋" w:eastAsia="仿宋" w:cs="仿宋"/>
                <w:spacing w:val="-4"/>
                <w:sz w:val="18"/>
                <w:szCs w:val="18"/>
              </w:rPr>
              <w:t>李家圪堵至</w:t>
            </w:r>
          </w:p>
          <w:p w14:paraId="64410C81">
            <w:pPr>
              <w:spacing w:before="14" w:line="222" w:lineRule="auto"/>
              <w:ind w:left="49"/>
              <w:rPr>
                <w:rFonts w:ascii="仿宋" w:hAnsi="仿宋" w:eastAsia="仿宋" w:cs="仿宋"/>
                <w:sz w:val="18"/>
                <w:szCs w:val="18"/>
              </w:rPr>
            </w:pPr>
            <w:r>
              <w:rPr>
                <w:rFonts w:ascii="仿宋" w:hAnsi="仿宋" w:eastAsia="仿宋" w:cs="仿宋"/>
                <w:spacing w:val="-3"/>
                <w:sz w:val="18"/>
                <w:szCs w:val="18"/>
              </w:rPr>
              <w:t>土敖包通村</w:t>
            </w:r>
          </w:p>
          <w:p w14:paraId="7B557889">
            <w:pPr>
              <w:spacing w:before="16" w:line="223" w:lineRule="auto"/>
              <w:ind w:left="319"/>
              <w:rPr>
                <w:rFonts w:ascii="仿宋" w:hAnsi="仿宋" w:eastAsia="仿宋" w:cs="仿宋"/>
                <w:sz w:val="18"/>
                <w:szCs w:val="18"/>
              </w:rPr>
            </w:pPr>
            <w:r>
              <w:rPr>
                <w:rFonts w:ascii="仿宋" w:hAnsi="仿宋" w:eastAsia="仿宋" w:cs="仿宋"/>
                <w:spacing w:val="-8"/>
                <w:sz w:val="18"/>
                <w:szCs w:val="18"/>
              </w:rPr>
              <w:t>公路</w:t>
            </w:r>
          </w:p>
        </w:tc>
        <w:tc>
          <w:tcPr>
            <w:tcW w:w="1035" w:type="dxa"/>
            <w:vAlign w:val="top"/>
          </w:tcPr>
          <w:p w14:paraId="544DE10E">
            <w:pPr>
              <w:spacing w:line="413" w:lineRule="auto"/>
              <w:rPr>
                <w:rFonts w:ascii="Arial"/>
                <w:sz w:val="21"/>
              </w:rPr>
            </w:pPr>
          </w:p>
          <w:p w14:paraId="729DC651">
            <w:pPr>
              <w:spacing w:before="58" w:line="239" w:lineRule="auto"/>
              <w:ind w:left="158"/>
              <w:rPr>
                <w:rFonts w:ascii="仿宋" w:hAnsi="仿宋" w:eastAsia="仿宋" w:cs="仿宋"/>
                <w:sz w:val="18"/>
                <w:szCs w:val="18"/>
              </w:rPr>
            </w:pPr>
            <w:r>
              <w:rPr>
                <w:rFonts w:ascii="仿宋" w:hAnsi="仿宋" w:eastAsia="仿宋" w:cs="仿宋"/>
                <w:spacing w:val="9"/>
                <w:sz w:val="18"/>
                <w:szCs w:val="18"/>
              </w:rPr>
              <w:t>K0+920~</w:t>
            </w:r>
          </w:p>
          <w:p w14:paraId="6C0AC2D9">
            <w:pPr>
              <w:spacing w:line="223" w:lineRule="auto"/>
              <w:ind w:left="23"/>
              <w:rPr>
                <w:rFonts w:ascii="仿宋" w:hAnsi="仿宋" w:eastAsia="仿宋" w:cs="仿宋"/>
                <w:sz w:val="18"/>
                <w:szCs w:val="18"/>
              </w:rPr>
            </w:pPr>
            <w:r>
              <w:rPr>
                <w:rFonts w:ascii="仿宋" w:hAnsi="仿宋" w:eastAsia="仿宋" w:cs="仿宋"/>
                <w:spacing w:val="-1"/>
                <w:sz w:val="18"/>
                <w:szCs w:val="18"/>
              </w:rPr>
              <w:t>K1+018(路段</w:t>
            </w:r>
          </w:p>
          <w:p w14:paraId="5B2C2FBB">
            <w:pPr>
              <w:spacing w:before="51" w:line="175" w:lineRule="auto"/>
              <w:ind w:left="441"/>
              <w:rPr>
                <w:rFonts w:ascii="仿宋" w:hAnsi="仿宋" w:eastAsia="仿宋" w:cs="仿宋"/>
                <w:sz w:val="18"/>
                <w:szCs w:val="18"/>
              </w:rPr>
            </w:pPr>
            <w:r>
              <w:rPr>
                <w:rFonts w:ascii="仿宋" w:hAnsi="仿宋" w:eastAsia="仿宋" w:cs="仿宋"/>
                <w:sz w:val="18"/>
                <w:szCs w:val="18"/>
              </w:rPr>
              <w:t>二</w:t>
            </w:r>
          </w:p>
        </w:tc>
        <w:tc>
          <w:tcPr>
            <w:tcW w:w="630" w:type="dxa"/>
            <w:vAlign w:val="top"/>
          </w:tcPr>
          <w:p w14:paraId="0D06AEC8">
            <w:pPr>
              <w:spacing w:line="323" w:lineRule="auto"/>
              <w:rPr>
                <w:rFonts w:ascii="Arial"/>
                <w:sz w:val="21"/>
              </w:rPr>
            </w:pPr>
          </w:p>
          <w:p w14:paraId="124CBE47">
            <w:pPr>
              <w:spacing w:line="324" w:lineRule="auto"/>
              <w:rPr>
                <w:rFonts w:ascii="Arial"/>
                <w:sz w:val="21"/>
              </w:rPr>
            </w:pPr>
          </w:p>
          <w:p w14:paraId="74D36F6D">
            <w:pPr>
              <w:spacing w:before="59" w:line="223" w:lineRule="auto"/>
              <w:ind w:left="143"/>
              <w:rPr>
                <w:rFonts w:ascii="仿宋" w:hAnsi="仿宋" w:eastAsia="仿宋" w:cs="仿宋"/>
                <w:sz w:val="18"/>
                <w:szCs w:val="18"/>
              </w:rPr>
            </w:pPr>
            <w:r>
              <w:rPr>
                <w:rFonts w:ascii="仿宋" w:hAnsi="仿宋" w:eastAsia="仿宋" w:cs="仿宋"/>
                <w:spacing w:val="-6"/>
                <w:sz w:val="18"/>
                <w:szCs w:val="18"/>
              </w:rPr>
              <w:t>路基</w:t>
            </w:r>
          </w:p>
        </w:tc>
        <w:tc>
          <w:tcPr>
            <w:tcW w:w="450" w:type="dxa"/>
            <w:vAlign w:val="top"/>
          </w:tcPr>
          <w:p w14:paraId="15CBF4DF">
            <w:pPr>
              <w:spacing w:line="323" w:lineRule="auto"/>
              <w:rPr>
                <w:rFonts w:ascii="Arial"/>
                <w:sz w:val="21"/>
              </w:rPr>
            </w:pPr>
          </w:p>
          <w:p w14:paraId="53820B7F">
            <w:pPr>
              <w:spacing w:line="324" w:lineRule="auto"/>
              <w:rPr>
                <w:rFonts w:ascii="Arial"/>
                <w:sz w:val="21"/>
              </w:rPr>
            </w:pPr>
          </w:p>
          <w:p w14:paraId="31B6FED7">
            <w:pPr>
              <w:spacing w:before="59" w:line="223" w:lineRule="auto"/>
              <w:ind w:left="53"/>
              <w:rPr>
                <w:rFonts w:ascii="仿宋" w:hAnsi="仿宋" w:eastAsia="仿宋" w:cs="仿宋"/>
                <w:sz w:val="18"/>
                <w:szCs w:val="18"/>
              </w:rPr>
            </w:pPr>
            <w:r>
              <w:rPr>
                <w:rFonts w:ascii="仿宋" w:hAnsi="仿宋" w:eastAsia="仿宋" w:cs="仿宋"/>
                <w:spacing w:val="-6"/>
                <w:sz w:val="18"/>
                <w:szCs w:val="18"/>
              </w:rPr>
              <w:t>路右</w:t>
            </w:r>
          </w:p>
        </w:tc>
        <w:tc>
          <w:tcPr>
            <w:tcW w:w="940" w:type="dxa"/>
            <w:vAlign w:val="top"/>
          </w:tcPr>
          <w:p w14:paraId="48EC5B90">
            <w:pPr>
              <w:spacing w:line="323" w:lineRule="auto"/>
              <w:rPr>
                <w:rFonts w:ascii="Arial"/>
                <w:sz w:val="21"/>
              </w:rPr>
            </w:pPr>
          </w:p>
          <w:p w14:paraId="03C2E1D2">
            <w:pPr>
              <w:spacing w:line="324" w:lineRule="auto"/>
              <w:rPr>
                <w:rFonts w:ascii="Arial"/>
                <w:sz w:val="21"/>
              </w:rPr>
            </w:pPr>
          </w:p>
          <w:p w14:paraId="4F157AE2">
            <w:pPr>
              <w:spacing w:before="59"/>
              <w:ind w:left="341"/>
              <w:rPr>
                <w:rFonts w:ascii="仿宋" w:hAnsi="仿宋" w:eastAsia="仿宋" w:cs="仿宋"/>
                <w:sz w:val="18"/>
                <w:szCs w:val="18"/>
              </w:rPr>
            </w:pPr>
            <w:r>
              <w:rPr>
                <w:rFonts w:ascii="仿宋" w:hAnsi="仿宋" w:eastAsia="仿宋" w:cs="仿宋"/>
                <w:spacing w:val="-3"/>
                <w:sz w:val="18"/>
                <w:szCs w:val="18"/>
              </w:rPr>
              <w:t>5.6</w:t>
            </w:r>
          </w:p>
        </w:tc>
        <w:tc>
          <w:tcPr>
            <w:tcW w:w="1307" w:type="dxa"/>
            <w:vAlign w:val="top"/>
          </w:tcPr>
          <w:p w14:paraId="077C8EFD">
            <w:pPr>
              <w:spacing w:line="323" w:lineRule="auto"/>
              <w:rPr>
                <w:rFonts w:ascii="Arial"/>
                <w:sz w:val="21"/>
              </w:rPr>
            </w:pPr>
          </w:p>
          <w:p w14:paraId="7557D8FB">
            <w:pPr>
              <w:spacing w:line="324" w:lineRule="auto"/>
              <w:rPr>
                <w:rFonts w:ascii="Arial"/>
                <w:sz w:val="21"/>
              </w:rPr>
            </w:pPr>
          </w:p>
          <w:p w14:paraId="68F8674B">
            <w:pPr>
              <w:spacing w:before="59"/>
              <w:ind w:left="434"/>
              <w:rPr>
                <w:rFonts w:ascii="仿宋" w:hAnsi="仿宋" w:eastAsia="仿宋" w:cs="仿宋"/>
                <w:sz w:val="18"/>
                <w:szCs w:val="18"/>
              </w:rPr>
            </w:pPr>
            <w:r>
              <w:rPr>
                <w:rFonts w:ascii="仿宋" w:hAnsi="仿宋" w:eastAsia="仿宋" w:cs="仿宋"/>
                <w:spacing w:val="-2"/>
                <w:sz w:val="18"/>
                <w:szCs w:val="18"/>
              </w:rPr>
              <w:t>28.75</w:t>
            </w:r>
          </w:p>
        </w:tc>
        <w:tc>
          <w:tcPr>
            <w:tcW w:w="888" w:type="dxa"/>
            <w:vAlign w:val="top"/>
          </w:tcPr>
          <w:p w14:paraId="1BE423E8">
            <w:pPr>
              <w:spacing w:line="323" w:lineRule="auto"/>
              <w:rPr>
                <w:rFonts w:ascii="Arial"/>
                <w:sz w:val="21"/>
              </w:rPr>
            </w:pPr>
          </w:p>
          <w:p w14:paraId="09E53A15">
            <w:pPr>
              <w:spacing w:line="324" w:lineRule="auto"/>
              <w:rPr>
                <w:rFonts w:ascii="Arial"/>
                <w:sz w:val="21"/>
              </w:rPr>
            </w:pPr>
          </w:p>
          <w:p w14:paraId="1F052F9A">
            <w:pPr>
              <w:spacing w:before="59" w:line="241" w:lineRule="auto"/>
              <w:ind w:left="360"/>
              <w:rPr>
                <w:rFonts w:ascii="仿宋" w:hAnsi="仿宋" w:eastAsia="仿宋" w:cs="仿宋"/>
                <w:sz w:val="18"/>
                <w:szCs w:val="18"/>
              </w:rPr>
            </w:pPr>
            <w:r>
              <w:rPr>
                <w:rFonts w:ascii="仿宋" w:hAnsi="仿宋" w:eastAsia="仿宋" w:cs="仿宋"/>
                <w:spacing w:val="-5"/>
                <w:sz w:val="18"/>
                <w:szCs w:val="18"/>
              </w:rPr>
              <w:t>31</w:t>
            </w:r>
          </w:p>
        </w:tc>
        <w:tc>
          <w:tcPr>
            <w:tcW w:w="1684" w:type="dxa"/>
            <w:vAlign w:val="top"/>
          </w:tcPr>
          <w:p w14:paraId="400CBE37">
            <w:pPr>
              <w:spacing w:line="323" w:lineRule="auto"/>
              <w:rPr>
                <w:rFonts w:ascii="Arial"/>
                <w:sz w:val="21"/>
              </w:rPr>
            </w:pPr>
          </w:p>
          <w:p w14:paraId="295B9CC8">
            <w:pPr>
              <w:spacing w:line="324" w:lineRule="auto"/>
              <w:rPr>
                <w:rFonts w:ascii="Arial"/>
                <w:sz w:val="21"/>
              </w:rPr>
            </w:pPr>
          </w:p>
          <w:p w14:paraId="5592B033">
            <w:pPr>
              <w:spacing w:before="59" w:line="224" w:lineRule="auto"/>
              <w:ind w:left="725"/>
              <w:rPr>
                <w:rFonts w:ascii="仿宋" w:hAnsi="仿宋" w:eastAsia="仿宋" w:cs="仿宋"/>
                <w:sz w:val="18"/>
                <w:szCs w:val="18"/>
              </w:rPr>
            </w:pPr>
            <w:r>
              <w:rPr>
                <w:rFonts w:ascii="仿宋" w:hAnsi="仿宋" w:eastAsia="仿宋" w:cs="仿宋"/>
                <w:spacing w:val="-10"/>
                <w:sz w:val="18"/>
                <w:szCs w:val="18"/>
              </w:rPr>
              <w:t>1类</w:t>
            </w:r>
          </w:p>
        </w:tc>
        <w:tc>
          <w:tcPr>
            <w:tcW w:w="762" w:type="dxa"/>
            <w:vAlign w:val="top"/>
          </w:tcPr>
          <w:p w14:paraId="70D634E8">
            <w:pPr>
              <w:spacing w:line="323" w:lineRule="auto"/>
              <w:rPr>
                <w:rFonts w:ascii="Arial"/>
                <w:sz w:val="21"/>
              </w:rPr>
            </w:pPr>
          </w:p>
          <w:p w14:paraId="7182E8A3">
            <w:pPr>
              <w:spacing w:line="324" w:lineRule="auto"/>
              <w:rPr>
                <w:rFonts w:ascii="Arial"/>
                <w:sz w:val="21"/>
              </w:rPr>
            </w:pPr>
          </w:p>
          <w:p w14:paraId="6D296AFE">
            <w:pPr>
              <w:spacing w:before="59" w:line="223" w:lineRule="auto"/>
              <w:ind w:left="71"/>
              <w:rPr>
                <w:rFonts w:ascii="仿宋" w:hAnsi="仿宋" w:eastAsia="仿宋" w:cs="仿宋"/>
                <w:sz w:val="18"/>
                <w:szCs w:val="18"/>
              </w:rPr>
            </w:pPr>
            <w:r>
              <w:rPr>
                <w:rFonts w:ascii="仿宋" w:hAnsi="仿宋" w:eastAsia="仿宋" w:cs="仿宋"/>
                <w:spacing w:val="-2"/>
                <w:sz w:val="18"/>
                <w:szCs w:val="18"/>
              </w:rPr>
              <w:t>2户/7人</w:t>
            </w:r>
          </w:p>
        </w:tc>
        <w:tc>
          <w:tcPr>
            <w:tcW w:w="2129" w:type="dxa"/>
            <w:vAlign w:val="top"/>
          </w:tcPr>
          <w:p w14:paraId="015A85D7">
            <w:pPr>
              <w:spacing w:line="413" w:lineRule="auto"/>
              <w:rPr>
                <w:rFonts w:ascii="Arial"/>
                <w:sz w:val="21"/>
              </w:rPr>
            </w:pPr>
          </w:p>
          <w:p w14:paraId="1CE25D9C">
            <w:pPr>
              <w:spacing w:before="59" w:line="223" w:lineRule="auto"/>
              <w:ind w:left="37"/>
              <w:rPr>
                <w:rFonts w:ascii="仿宋" w:hAnsi="仿宋" w:eastAsia="仿宋" w:cs="仿宋"/>
                <w:sz w:val="18"/>
                <w:szCs w:val="18"/>
              </w:rPr>
            </w:pPr>
            <w:r>
              <w:rPr>
                <w:rFonts w:ascii="仿宋" w:hAnsi="仿宋" w:eastAsia="仿宋" w:cs="仿宋"/>
                <w:spacing w:val="-1"/>
                <w:sz w:val="18"/>
                <w:szCs w:val="18"/>
              </w:rPr>
              <w:t>砖混，1层平房，侧向拟建</w:t>
            </w:r>
          </w:p>
          <w:p w14:paraId="15302773">
            <w:pPr>
              <w:spacing w:before="15" w:line="223" w:lineRule="auto"/>
              <w:ind w:left="14"/>
              <w:rPr>
                <w:rFonts w:ascii="仿宋" w:hAnsi="仿宋" w:eastAsia="仿宋" w:cs="仿宋"/>
                <w:sz w:val="18"/>
                <w:szCs w:val="18"/>
              </w:rPr>
            </w:pPr>
            <w:r>
              <w:rPr>
                <w:rFonts w:ascii="仿宋" w:hAnsi="仿宋" w:eastAsia="仿宋" w:cs="仿宋"/>
                <w:spacing w:val="-5"/>
                <w:sz w:val="18"/>
                <w:szCs w:val="18"/>
              </w:rPr>
              <w:t>道路，地面地势高于拟建道</w:t>
            </w:r>
          </w:p>
          <w:p w14:paraId="12EB66FC">
            <w:pPr>
              <w:spacing w:before="15" w:line="223" w:lineRule="auto"/>
              <w:ind w:left="890"/>
              <w:rPr>
                <w:rFonts w:ascii="仿宋" w:hAnsi="仿宋" w:eastAsia="仿宋" w:cs="仿宋"/>
                <w:sz w:val="18"/>
                <w:szCs w:val="18"/>
              </w:rPr>
            </w:pPr>
            <w:r>
              <w:rPr>
                <w:rFonts w:ascii="仿宋" w:hAnsi="仿宋" w:eastAsia="仿宋" w:cs="仿宋"/>
                <w:spacing w:val="-6"/>
                <w:sz w:val="18"/>
                <w:szCs w:val="18"/>
              </w:rPr>
              <w:t>路。</w:t>
            </w:r>
          </w:p>
        </w:tc>
        <w:tc>
          <w:tcPr>
            <w:tcW w:w="2112" w:type="dxa"/>
            <w:tcBorders>
              <w:right w:val="nil"/>
            </w:tcBorders>
            <w:vAlign w:val="top"/>
          </w:tcPr>
          <w:p w14:paraId="47052E32">
            <w:pPr>
              <w:spacing w:before="4" w:line="1565" w:lineRule="exact"/>
              <w:ind w:firstLine="66"/>
            </w:pPr>
            <w:r>
              <w:rPr>
                <w:position w:val="-31"/>
              </w:rPr>
              <w:drawing>
                <wp:inline distT="0" distB="0" distL="0" distR="0">
                  <wp:extent cx="1254125" cy="993140"/>
                  <wp:effectExtent l="0" t="0" r="0" b="0"/>
                  <wp:docPr id="166" name="IM 166"/>
                  <wp:cNvGraphicFramePr/>
                  <a:graphic xmlns:a="http://schemas.openxmlformats.org/drawingml/2006/main">
                    <a:graphicData uri="http://schemas.openxmlformats.org/drawingml/2006/picture">
                      <pic:pic xmlns:pic="http://schemas.openxmlformats.org/drawingml/2006/picture">
                        <pic:nvPicPr>
                          <pic:cNvPr id="166" name="IM 166"/>
                          <pic:cNvPicPr/>
                        </pic:nvPicPr>
                        <pic:blipFill>
                          <a:blip r:embed="rId292"/>
                          <a:stretch>
                            <a:fillRect/>
                          </a:stretch>
                        </pic:blipFill>
                        <pic:spPr>
                          <a:xfrm>
                            <a:off x="0" y="0"/>
                            <a:ext cx="1254252" cy="993647"/>
                          </a:xfrm>
                          <a:prstGeom prst="rect">
                            <a:avLst/>
                          </a:prstGeom>
                        </pic:spPr>
                      </pic:pic>
                    </a:graphicData>
                  </a:graphic>
                </wp:inline>
              </w:drawing>
            </w:r>
          </w:p>
        </w:tc>
      </w:tr>
      <w:tr w14:paraId="73CADD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8" w:hRule="atLeast"/>
        </w:trPr>
        <w:tc>
          <w:tcPr>
            <w:tcW w:w="328" w:type="dxa"/>
            <w:tcBorders>
              <w:left w:val="nil"/>
            </w:tcBorders>
            <w:vAlign w:val="top"/>
          </w:tcPr>
          <w:p w14:paraId="11F3CBA4">
            <w:pPr>
              <w:spacing w:line="332" w:lineRule="auto"/>
              <w:rPr>
                <w:rFonts w:ascii="Arial"/>
                <w:sz w:val="21"/>
              </w:rPr>
            </w:pPr>
          </w:p>
          <w:p w14:paraId="5EBF41ED">
            <w:pPr>
              <w:spacing w:line="332" w:lineRule="auto"/>
              <w:rPr>
                <w:rFonts w:ascii="Arial"/>
                <w:sz w:val="21"/>
              </w:rPr>
            </w:pPr>
          </w:p>
          <w:p w14:paraId="31B3FEA2">
            <w:pPr>
              <w:spacing w:before="59" w:line="236" w:lineRule="exact"/>
              <w:ind w:left="124"/>
              <w:rPr>
                <w:rFonts w:ascii="仿宋" w:hAnsi="仿宋" w:eastAsia="仿宋" w:cs="仿宋"/>
                <w:sz w:val="18"/>
                <w:szCs w:val="18"/>
              </w:rPr>
            </w:pPr>
            <w:r>
              <w:rPr>
                <w:rFonts w:ascii="仿宋" w:hAnsi="仿宋" w:eastAsia="仿宋" w:cs="仿宋"/>
                <w:position w:val="1"/>
                <w:sz w:val="18"/>
                <w:szCs w:val="18"/>
              </w:rPr>
              <w:t>2</w:t>
            </w:r>
          </w:p>
        </w:tc>
        <w:tc>
          <w:tcPr>
            <w:tcW w:w="720" w:type="dxa"/>
            <w:vAlign w:val="top"/>
          </w:tcPr>
          <w:p w14:paraId="536E6440">
            <w:pPr>
              <w:spacing w:line="273" w:lineRule="auto"/>
              <w:rPr>
                <w:rFonts w:ascii="Arial"/>
                <w:sz w:val="21"/>
              </w:rPr>
            </w:pPr>
          </w:p>
          <w:p w14:paraId="455B2EEF">
            <w:pPr>
              <w:spacing w:line="274" w:lineRule="auto"/>
              <w:rPr>
                <w:rFonts w:ascii="Arial"/>
                <w:sz w:val="21"/>
              </w:rPr>
            </w:pPr>
          </w:p>
          <w:p w14:paraId="77D41F29">
            <w:pPr>
              <w:spacing w:before="59" w:line="222" w:lineRule="auto"/>
              <w:ind w:left="56"/>
              <w:rPr>
                <w:rFonts w:ascii="仿宋" w:hAnsi="仿宋" w:eastAsia="仿宋" w:cs="仿宋"/>
                <w:sz w:val="18"/>
                <w:szCs w:val="18"/>
              </w:rPr>
            </w:pPr>
            <w:r>
              <w:rPr>
                <w:rFonts w:ascii="仿宋" w:hAnsi="仿宋" w:eastAsia="仿宋" w:cs="仿宋"/>
                <w:spacing w:val="-3"/>
                <w:sz w:val="18"/>
                <w:szCs w:val="18"/>
              </w:rPr>
              <w:t>崔家峁-</w:t>
            </w:r>
          </w:p>
          <w:p w14:paraId="54743D5A">
            <w:pPr>
              <w:spacing w:before="16" w:line="222" w:lineRule="auto"/>
              <w:ind w:left="188"/>
              <w:rPr>
                <w:rFonts w:ascii="仿宋" w:hAnsi="仿宋" w:eastAsia="仿宋" w:cs="仿宋"/>
                <w:sz w:val="18"/>
                <w:szCs w:val="18"/>
              </w:rPr>
            </w:pPr>
            <w:r>
              <w:rPr>
                <w:rFonts w:ascii="仿宋" w:hAnsi="仿宋" w:eastAsia="仿宋" w:cs="仿宋"/>
                <w:spacing w:val="-6"/>
                <w:sz w:val="18"/>
                <w:szCs w:val="18"/>
              </w:rPr>
              <w:t>散户</w:t>
            </w:r>
          </w:p>
        </w:tc>
        <w:tc>
          <w:tcPr>
            <w:tcW w:w="975" w:type="dxa"/>
            <w:vMerge w:val="continue"/>
            <w:tcBorders>
              <w:top w:val="nil"/>
            </w:tcBorders>
            <w:vAlign w:val="top"/>
          </w:tcPr>
          <w:p w14:paraId="643C9C96">
            <w:pPr>
              <w:rPr>
                <w:rFonts w:ascii="Arial"/>
                <w:sz w:val="21"/>
              </w:rPr>
            </w:pPr>
          </w:p>
        </w:tc>
        <w:tc>
          <w:tcPr>
            <w:tcW w:w="1035" w:type="dxa"/>
            <w:vAlign w:val="top"/>
          </w:tcPr>
          <w:p w14:paraId="6AD02C2B">
            <w:pPr>
              <w:spacing w:line="430" w:lineRule="auto"/>
              <w:rPr>
                <w:rFonts w:ascii="Arial"/>
                <w:sz w:val="21"/>
              </w:rPr>
            </w:pPr>
          </w:p>
          <w:p w14:paraId="5072532C">
            <w:pPr>
              <w:spacing w:before="59" w:line="239" w:lineRule="auto"/>
              <w:ind w:left="158"/>
              <w:rPr>
                <w:rFonts w:ascii="仿宋" w:hAnsi="仿宋" w:eastAsia="仿宋" w:cs="仿宋"/>
                <w:sz w:val="18"/>
                <w:szCs w:val="18"/>
              </w:rPr>
            </w:pPr>
            <w:r>
              <w:rPr>
                <w:rFonts w:ascii="仿宋" w:hAnsi="仿宋" w:eastAsia="仿宋" w:cs="仿宋"/>
                <w:spacing w:val="9"/>
                <w:sz w:val="18"/>
                <w:szCs w:val="18"/>
              </w:rPr>
              <w:t>K0+050~</w:t>
            </w:r>
          </w:p>
          <w:p w14:paraId="7D5FC5C8">
            <w:pPr>
              <w:spacing w:before="1" w:line="246" w:lineRule="auto"/>
              <w:ind w:left="437" w:right="20" w:hanging="414"/>
              <w:rPr>
                <w:rFonts w:ascii="仿宋" w:hAnsi="仿宋" w:eastAsia="仿宋" w:cs="仿宋"/>
                <w:sz w:val="18"/>
                <w:szCs w:val="18"/>
              </w:rPr>
            </w:pPr>
            <w:r>
              <w:rPr>
                <w:rFonts w:ascii="仿宋" w:hAnsi="仿宋" w:eastAsia="仿宋" w:cs="仿宋"/>
                <w:spacing w:val="-1"/>
                <w:sz w:val="18"/>
                <w:szCs w:val="18"/>
              </w:rPr>
              <w:t>K0+070(路段</w:t>
            </w:r>
            <w:r>
              <w:rPr>
                <w:rFonts w:ascii="仿宋" w:hAnsi="仿宋" w:eastAsia="仿宋" w:cs="仿宋"/>
                <w:sz w:val="18"/>
                <w:szCs w:val="18"/>
              </w:rPr>
              <w:t>五</w:t>
            </w:r>
          </w:p>
        </w:tc>
        <w:tc>
          <w:tcPr>
            <w:tcW w:w="630" w:type="dxa"/>
            <w:vAlign w:val="top"/>
          </w:tcPr>
          <w:p w14:paraId="015CB762">
            <w:pPr>
              <w:spacing w:line="332" w:lineRule="auto"/>
              <w:rPr>
                <w:rFonts w:ascii="Arial"/>
                <w:sz w:val="21"/>
              </w:rPr>
            </w:pPr>
          </w:p>
          <w:p w14:paraId="625E1A45">
            <w:pPr>
              <w:spacing w:line="332" w:lineRule="auto"/>
              <w:rPr>
                <w:rFonts w:ascii="Arial"/>
                <w:sz w:val="21"/>
              </w:rPr>
            </w:pPr>
          </w:p>
          <w:p w14:paraId="56B686EA">
            <w:pPr>
              <w:spacing w:before="59" w:line="223" w:lineRule="auto"/>
              <w:ind w:left="143"/>
              <w:rPr>
                <w:rFonts w:ascii="仿宋" w:hAnsi="仿宋" w:eastAsia="仿宋" w:cs="仿宋"/>
                <w:sz w:val="18"/>
                <w:szCs w:val="18"/>
              </w:rPr>
            </w:pPr>
            <w:r>
              <w:rPr>
                <w:rFonts w:ascii="仿宋" w:hAnsi="仿宋" w:eastAsia="仿宋" w:cs="仿宋"/>
                <w:spacing w:val="-6"/>
                <w:sz w:val="18"/>
                <w:szCs w:val="18"/>
              </w:rPr>
              <w:t>路基</w:t>
            </w:r>
          </w:p>
        </w:tc>
        <w:tc>
          <w:tcPr>
            <w:tcW w:w="450" w:type="dxa"/>
            <w:vAlign w:val="top"/>
          </w:tcPr>
          <w:p w14:paraId="496F93F0">
            <w:pPr>
              <w:spacing w:line="332" w:lineRule="auto"/>
              <w:rPr>
                <w:rFonts w:ascii="Arial"/>
                <w:sz w:val="21"/>
              </w:rPr>
            </w:pPr>
          </w:p>
          <w:p w14:paraId="0C83590E">
            <w:pPr>
              <w:spacing w:line="332" w:lineRule="auto"/>
              <w:rPr>
                <w:rFonts w:ascii="Arial"/>
                <w:sz w:val="21"/>
              </w:rPr>
            </w:pPr>
          </w:p>
          <w:p w14:paraId="1F96DB5A">
            <w:pPr>
              <w:spacing w:before="59" w:line="223" w:lineRule="auto"/>
              <w:ind w:left="53"/>
              <w:rPr>
                <w:rFonts w:ascii="仿宋" w:hAnsi="仿宋" w:eastAsia="仿宋" w:cs="仿宋"/>
                <w:sz w:val="18"/>
                <w:szCs w:val="18"/>
              </w:rPr>
            </w:pPr>
            <w:r>
              <w:rPr>
                <w:rFonts w:ascii="仿宋" w:hAnsi="仿宋" w:eastAsia="仿宋" w:cs="仿宋"/>
                <w:spacing w:val="-6"/>
                <w:sz w:val="18"/>
                <w:szCs w:val="18"/>
              </w:rPr>
              <w:t>路右</w:t>
            </w:r>
          </w:p>
        </w:tc>
        <w:tc>
          <w:tcPr>
            <w:tcW w:w="940" w:type="dxa"/>
            <w:vAlign w:val="top"/>
          </w:tcPr>
          <w:p w14:paraId="646B6CF2">
            <w:pPr>
              <w:spacing w:line="332" w:lineRule="auto"/>
              <w:rPr>
                <w:rFonts w:ascii="Arial"/>
                <w:sz w:val="21"/>
              </w:rPr>
            </w:pPr>
          </w:p>
          <w:p w14:paraId="4EDA9CFD">
            <w:pPr>
              <w:spacing w:line="332" w:lineRule="auto"/>
              <w:rPr>
                <w:rFonts w:ascii="Arial"/>
                <w:sz w:val="21"/>
              </w:rPr>
            </w:pPr>
          </w:p>
          <w:p w14:paraId="383B72EA">
            <w:pPr>
              <w:spacing w:before="59"/>
              <w:ind w:left="296"/>
              <w:rPr>
                <w:rFonts w:ascii="仿宋" w:hAnsi="仿宋" w:eastAsia="仿宋" w:cs="仿宋"/>
                <w:sz w:val="18"/>
                <w:szCs w:val="18"/>
              </w:rPr>
            </w:pPr>
            <w:r>
              <w:rPr>
                <w:rFonts w:ascii="仿宋" w:hAnsi="仿宋" w:eastAsia="仿宋" w:cs="仿宋"/>
                <w:spacing w:val="-2"/>
                <w:sz w:val="18"/>
                <w:szCs w:val="18"/>
              </w:rPr>
              <w:t>0.35</w:t>
            </w:r>
          </w:p>
        </w:tc>
        <w:tc>
          <w:tcPr>
            <w:tcW w:w="1307" w:type="dxa"/>
            <w:vAlign w:val="top"/>
          </w:tcPr>
          <w:p w14:paraId="1C962C8F">
            <w:pPr>
              <w:spacing w:line="332" w:lineRule="auto"/>
              <w:rPr>
                <w:rFonts w:ascii="Arial"/>
                <w:sz w:val="21"/>
              </w:rPr>
            </w:pPr>
          </w:p>
          <w:p w14:paraId="7A038728">
            <w:pPr>
              <w:spacing w:line="332" w:lineRule="auto"/>
              <w:rPr>
                <w:rFonts w:ascii="Arial"/>
                <w:sz w:val="21"/>
              </w:rPr>
            </w:pPr>
          </w:p>
          <w:p w14:paraId="4EC6600E">
            <w:pPr>
              <w:spacing w:before="59"/>
              <w:ind w:left="445"/>
              <w:rPr>
                <w:rFonts w:ascii="仿宋" w:hAnsi="仿宋" w:eastAsia="仿宋" w:cs="仿宋"/>
                <w:sz w:val="18"/>
                <w:szCs w:val="18"/>
              </w:rPr>
            </w:pPr>
            <w:r>
              <w:rPr>
                <w:rFonts w:ascii="仿宋" w:hAnsi="仿宋" w:eastAsia="仿宋" w:cs="仿宋"/>
                <w:spacing w:val="-4"/>
                <w:sz w:val="18"/>
                <w:szCs w:val="18"/>
              </w:rPr>
              <w:t>10.75</w:t>
            </w:r>
          </w:p>
        </w:tc>
        <w:tc>
          <w:tcPr>
            <w:tcW w:w="888" w:type="dxa"/>
            <w:vAlign w:val="top"/>
          </w:tcPr>
          <w:p w14:paraId="631E4390">
            <w:pPr>
              <w:spacing w:line="332" w:lineRule="auto"/>
              <w:rPr>
                <w:rFonts w:ascii="Arial"/>
                <w:sz w:val="21"/>
              </w:rPr>
            </w:pPr>
          </w:p>
          <w:p w14:paraId="3EFA9B8F">
            <w:pPr>
              <w:spacing w:line="332" w:lineRule="auto"/>
              <w:rPr>
                <w:rFonts w:ascii="Arial"/>
                <w:sz w:val="21"/>
              </w:rPr>
            </w:pPr>
          </w:p>
          <w:p w14:paraId="6D99F8FF">
            <w:pPr>
              <w:spacing w:before="59" w:line="241" w:lineRule="auto"/>
              <w:ind w:left="369"/>
              <w:rPr>
                <w:rFonts w:ascii="仿宋" w:hAnsi="仿宋" w:eastAsia="仿宋" w:cs="仿宋"/>
                <w:sz w:val="18"/>
                <w:szCs w:val="18"/>
              </w:rPr>
            </w:pPr>
            <w:r>
              <w:rPr>
                <w:rFonts w:ascii="仿宋" w:hAnsi="仿宋" w:eastAsia="仿宋" w:cs="仿宋"/>
                <w:spacing w:val="-10"/>
                <w:sz w:val="18"/>
                <w:szCs w:val="18"/>
              </w:rPr>
              <w:t>13</w:t>
            </w:r>
          </w:p>
        </w:tc>
        <w:tc>
          <w:tcPr>
            <w:tcW w:w="1684" w:type="dxa"/>
            <w:vAlign w:val="top"/>
          </w:tcPr>
          <w:p w14:paraId="7C32DEFD">
            <w:pPr>
              <w:spacing w:line="332" w:lineRule="auto"/>
              <w:rPr>
                <w:rFonts w:ascii="Arial"/>
                <w:sz w:val="21"/>
              </w:rPr>
            </w:pPr>
          </w:p>
          <w:p w14:paraId="580FD6E3">
            <w:pPr>
              <w:spacing w:line="333" w:lineRule="auto"/>
              <w:rPr>
                <w:rFonts w:ascii="Arial"/>
                <w:sz w:val="21"/>
              </w:rPr>
            </w:pPr>
          </w:p>
          <w:p w14:paraId="08693849">
            <w:pPr>
              <w:spacing w:before="58" w:line="224" w:lineRule="auto"/>
              <w:ind w:left="725"/>
              <w:rPr>
                <w:rFonts w:ascii="仿宋" w:hAnsi="仿宋" w:eastAsia="仿宋" w:cs="仿宋"/>
                <w:sz w:val="18"/>
                <w:szCs w:val="18"/>
              </w:rPr>
            </w:pPr>
            <w:r>
              <w:rPr>
                <w:rFonts w:ascii="仿宋" w:hAnsi="仿宋" w:eastAsia="仿宋" w:cs="仿宋"/>
                <w:spacing w:val="-10"/>
                <w:sz w:val="18"/>
                <w:szCs w:val="18"/>
              </w:rPr>
              <w:t>1类</w:t>
            </w:r>
          </w:p>
        </w:tc>
        <w:tc>
          <w:tcPr>
            <w:tcW w:w="762" w:type="dxa"/>
            <w:vAlign w:val="top"/>
          </w:tcPr>
          <w:p w14:paraId="207910EB">
            <w:pPr>
              <w:spacing w:line="332" w:lineRule="auto"/>
              <w:rPr>
                <w:rFonts w:ascii="Arial"/>
                <w:sz w:val="21"/>
              </w:rPr>
            </w:pPr>
          </w:p>
          <w:p w14:paraId="2A1ADD3A">
            <w:pPr>
              <w:spacing w:line="332" w:lineRule="auto"/>
              <w:rPr>
                <w:rFonts w:ascii="Arial"/>
                <w:sz w:val="21"/>
              </w:rPr>
            </w:pPr>
          </w:p>
          <w:p w14:paraId="26A2E815">
            <w:pPr>
              <w:spacing w:before="59" w:line="223" w:lineRule="auto"/>
              <w:ind w:left="82"/>
              <w:rPr>
                <w:rFonts w:ascii="仿宋" w:hAnsi="仿宋" w:eastAsia="仿宋" w:cs="仿宋"/>
                <w:sz w:val="18"/>
                <w:szCs w:val="18"/>
              </w:rPr>
            </w:pPr>
            <w:r>
              <w:rPr>
                <w:rFonts w:ascii="仿宋" w:hAnsi="仿宋" w:eastAsia="仿宋" w:cs="仿宋"/>
                <w:spacing w:val="-4"/>
                <w:sz w:val="18"/>
                <w:szCs w:val="18"/>
              </w:rPr>
              <w:t>1户/3人</w:t>
            </w:r>
          </w:p>
        </w:tc>
        <w:tc>
          <w:tcPr>
            <w:tcW w:w="2129" w:type="dxa"/>
            <w:vAlign w:val="top"/>
          </w:tcPr>
          <w:p w14:paraId="4B79D070">
            <w:pPr>
              <w:spacing w:line="430" w:lineRule="auto"/>
              <w:rPr>
                <w:rFonts w:ascii="Arial"/>
                <w:sz w:val="21"/>
              </w:rPr>
            </w:pPr>
          </w:p>
          <w:p w14:paraId="60C17424">
            <w:pPr>
              <w:spacing w:before="59" w:line="223" w:lineRule="auto"/>
              <w:ind w:left="37"/>
              <w:rPr>
                <w:rFonts w:ascii="仿宋" w:hAnsi="仿宋" w:eastAsia="仿宋" w:cs="仿宋"/>
                <w:sz w:val="18"/>
                <w:szCs w:val="18"/>
              </w:rPr>
            </w:pPr>
            <w:r>
              <w:rPr>
                <w:rFonts w:ascii="仿宋" w:hAnsi="仿宋" w:eastAsia="仿宋" w:cs="仿宋"/>
                <w:spacing w:val="-1"/>
                <w:sz w:val="18"/>
                <w:szCs w:val="18"/>
              </w:rPr>
              <w:t>砖混，1层平房，侧向拟建</w:t>
            </w:r>
          </w:p>
          <w:p w14:paraId="2B109BA0">
            <w:pPr>
              <w:spacing w:before="15" w:line="223" w:lineRule="auto"/>
              <w:ind w:left="14"/>
              <w:rPr>
                <w:rFonts w:ascii="仿宋" w:hAnsi="仿宋" w:eastAsia="仿宋" w:cs="仿宋"/>
                <w:sz w:val="18"/>
                <w:szCs w:val="18"/>
              </w:rPr>
            </w:pPr>
            <w:r>
              <w:rPr>
                <w:rFonts w:ascii="仿宋" w:hAnsi="仿宋" w:eastAsia="仿宋" w:cs="仿宋"/>
                <w:spacing w:val="-5"/>
                <w:sz w:val="18"/>
                <w:szCs w:val="18"/>
              </w:rPr>
              <w:t>道路，道路右侧地面地势高</w:t>
            </w:r>
          </w:p>
          <w:p w14:paraId="01AFA184">
            <w:pPr>
              <w:spacing w:before="15" w:line="223" w:lineRule="auto"/>
              <w:ind w:left="535"/>
              <w:rPr>
                <w:rFonts w:ascii="仿宋" w:hAnsi="仿宋" w:eastAsia="仿宋" w:cs="仿宋"/>
                <w:sz w:val="18"/>
                <w:szCs w:val="18"/>
              </w:rPr>
            </w:pPr>
            <w:r>
              <w:rPr>
                <w:rFonts w:ascii="仿宋" w:hAnsi="仿宋" w:eastAsia="仿宋" w:cs="仿宋"/>
                <w:spacing w:val="-3"/>
                <w:sz w:val="18"/>
                <w:szCs w:val="18"/>
              </w:rPr>
              <w:t>于拟建道路。</w:t>
            </w:r>
          </w:p>
        </w:tc>
        <w:tc>
          <w:tcPr>
            <w:tcW w:w="2112" w:type="dxa"/>
            <w:tcBorders>
              <w:right w:val="nil"/>
            </w:tcBorders>
            <w:vAlign w:val="top"/>
          </w:tcPr>
          <w:p w14:paraId="49879000">
            <w:pPr>
              <w:spacing w:before="7" w:line="1600" w:lineRule="exact"/>
              <w:ind w:firstLine="66"/>
            </w:pPr>
            <w:r>
              <w:rPr>
                <w:position w:val="-32"/>
              </w:rPr>
              <w:drawing>
                <wp:inline distT="0" distB="0" distL="0" distR="0">
                  <wp:extent cx="1244600" cy="1016000"/>
                  <wp:effectExtent l="0" t="0" r="0" b="0"/>
                  <wp:docPr id="168" name="IM 168"/>
                  <wp:cNvGraphicFramePr/>
                  <a:graphic xmlns:a="http://schemas.openxmlformats.org/drawingml/2006/main">
                    <a:graphicData uri="http://schemas.openxmlformats.org/drawingml/2006/picture">
                      <pic:pic xmlns:pic="http://schemas.openxmlformats.org/drawingml/2006/picture">
                        <pic:nvPicPr>
                          <pic:cNvPr id="168" name="IM 168"/>
                          <pic:cNvPicPr/>
                        </pic:nvPicPr>
                        <pic:blipFill>
                          <a:blip r:embed="rId293"/>
                          <a:stretch>
                            <a:fillRect/>
                          </a:stretch>
                        </pic:blipFill>
                        <pic:spPr>
                          <a:xfrm>
                            <a:off x="0" y="0"/>
                            <a:ext cx="1245107" cy="1016507"/>
                          </a:xfrm>
                          <a:prstGeom prst="rect">
                            <a:avLst/>
                          </a:prstGeom>
                        </pic:spPr>
                      </pic:pic>
                    </a:graphicData>
                  </a:graphic>
                </wp:inline>
              </w:drawing>
            </w:r>
          </w:p>
        </w:tc>
      </w:tr>
      <w:tr w14:paraId="0E1F60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39" w:hRule="atLeast"/>
        </w:trPr>
        <w:tc>
          <w:tcPr>
            <w:tcW w:w="328" w:type="dxa"/>
            <w:tcBorders>
              <w:left w:val="nil"/>
            </w:tcBorders>
            <w:vAlign w:val="top"/>
          </w:tcPr>
          <w:p w14:paraId="0C409200">
            <w:pPr>
              <w:spacing w:line="290" w:lineRule="auto"/>
              <w:rPr>
                <w:rFonts w:ascii="Arial"/>
                <w:sz w:val="21"/>
              </w:rPr>
            </w:pPr>
          </w:p>
          <w:p w14:paraId="3C1581A5">
            <w:pPr>
              <w:spacing w:line="290" w:lineRule="auto"/>
              <w:rPr>
                <w:rFonts w:ascii="Arial"/>
                <w:sz w:val="21"/>
              </w:rPr>
            </w:pPr>
          </w:p>
          <w:p w14:paraId="4D5EBBBC">
            <w:pPr>
              <w:spacing w:before="59" w:line="241" w:lineRule="auto"/>
              <w:ind w:left="126"/>
              <w:rPr>
                <w:rFonts w:ascii="仿宋" w:hAnsi="仿宋" w:eastAsia="仿宋" w:cs="仿宋"/>
                <w:sz w:val="18"/>
                <w:szCs w:val="18"/>
              </w:rPr>
            </w:pPr>
            <w:r>
              <w:rPr>
                <w:rFonts w:ascii="仿宋" w:hAnsi="仿宋" w:eastAsia="仿宋" w:cs="仿宋"/>
                <w:sz w:val="18"/>
                <w:szCs w:val="18"/>
              </w:rPr>
              <w:t>3</w:t>
            </w:r>
          </w:p>
        </w:tc>
        <w:tc>
          <w:tcPr>
            <w:tcW w:w="720" w:type="dxa"/>
            <w:vAlign w:val="top"/>
          </w:tcPr>
          <w:p w14:paraId="3C13E631">
            <w:pPr>
              <w:spacing w:line="465" w:lineRule="auto"/>
              <w:rPr>
                <w:rFonts w:ascii="Arial"/>
                <w:sz w:val="21"/>
              </w:rPr>
            </w:pPr>
          </w:p>
          <w:p w14:paraId="5115A1D4">
            <w:pPr>
              <w:spacing w:before="59"/>
              <w:ind w:left="187" w:right="42" w:hanging="126"/>
              <w:rPr>
                <w:rFonts w:ascii="仿宋" w:hAnsi="仿宋" w:eastAsia="仿宋" w:cs="仿宋"/>
                <w:sz w:val="18"/>
                <w:szCs w:val="18"/>
              </w:rPr>
            </w:pPr>
            <w:r>
              <w:rPr>
                <w:rFonts w:ascii="仿宋" w:hAnsi="仿宋" w:eastAsia="仿宋" w:cs="仿宋"/>
                <w:spacing w:val="-5"/>
                <w:sz w:val="18"/>
                <w:szCs w:val="18"/>
              </w:rPr>
              <w:t>瓦窑平-</w:t>
            </w:r>
            <w:r>
              <w:rPr>
                <w:rFonts w:ascii="仿宋" w:hAnsi="仿宋" w:eastAsia="仿宋" w:cs="仿宋"/>
                <w:spacing w:val="-6"/>
                <w:sz w:val="18"/>
                <w:szCs w:val="18"/>
              </w:rPr>
              <w:t>散户</w:t>
            </w:r>
          </w:p>
        </w:tc>
        <w:tc>
          <w:tcPr>
            <w:tcW w:w="975" w:type="dxa"/>
            <w:vAlign w:val="top"/>
          </w:tcPr>
          <w:p w14:paraId="416B3CFE">
            <w:pPr>
              <w:spacing w:line="466" w:lineRule="auto"/>
              <w:rPr>
                <w:rFonts w:ascii="Arial"/>
                <w:sz w:val="21"/>
              </w:rPr>
            </w:pPr>
          </w:p>
          <w:p w14:paraId="0F24E6B5">
            <w:pPr>
              <w:spacing w:before="58"/>
              <w:ind w:left="46" w:right="34"/>
              <w:rPr>
                <w:rFonts w:ascii="仿宋" w:hAnsi="仿宋" w:eastAsia="仿宋" w:cs="仿宋"/>
                <w:sz w:val="18"/>
                <w:szCs w:val="18"/>
              </w:rPr>
            </w:pPr>
            <w:r>
              <w:rPr>
                <w:rFonts w:ascii="仿宋" w:hAnsi="仿宋" w:eastAsia="仿宋" w:cs="仿宋"/>
                <w:spacing w:val="-3"/>
                <w:sz w:val="18"/>
                <w:szCs w:val="18"/>
              </w:rPr>
              <w:t>双山梁村通社公路工程</w:t>
            </w:r>
          </w:p>
        </w:tc>
        <w:tc>
          <w:tcPr>
            <w:tcW w:w="1035" w:type="dxa"/>
            <w:vAlign w:val="top"/>
          </w:tcPr>
          <w:p w14:paraId="76A0499C">
            <w:pPr>
              <w:spacing w:line="465" w:lineRule="auto"/>
              <w:rPr>
                <w:rFonts w:ascii="Arial"/>
                <w:sz w:val="21"/>
              </w:rPr>
            </w:pPr>
          </w:p>
          <w:p w14:paraId="3EEC3447">
            <w:pPr>
              <w:spacing w:before="59" w:line="239" w:lineRule="auto"/>
              <w:ind w:left="158"/>
              <w:rPr>
                <w:rFonts w:ascii="仿宋" w:hAnsi="仿宋" w:eastAsia="仿宋" w:cs="仿宋"/>
                <w:sz w:val="18"/>
                <w:szCs w:val="18"/>
              </w:rPr>
            </w:pPr>
            <w:r>
              <w:rPr>
                <w:rFonts w:ascii="仿宋" w:hAnsi="仿宋" w:eastAsia="仿宋" w:cs="仿宋"/>
                <w:spacing w:val="9"/>
                <w:sz w:val="18"/>
                <w:szCs w:val="18"/>
              </w:rPr>
              <w:t>K0+070~</w:t>
            </w:r>
          </w:p>
          <w:p w14:paraId="28FC47E4">
            <w:pPr>
              <w:spacing w:line="241" w:lineRule="auto"/>
              <w:ind w:left="247"/>
              <w:rPr>
                <w:rFonts w:ascii="仿宋" w:hAnsi="仿宋" w:eastAsia="仿宋" w:cs="仿宋"/>
                <w:sz w:val="18"/>
                <w:szCs w:val="18"/>
              </w:rPr>
            </w:pPr>
            <w:r>
              <w:rPr>
                <w:rFonts w:ascii="仿宋" w:hAnsi="仿宋" w:eastAsia="仿宋" w:cs="仿宋"/>
                <w:spacing w:val="-1"/>
                <w:sz w:val="18"/>
                <w:szCs w:val="18"/>
              </w:rPr>
              <w:t>K0+220</w:t>
            </w:r>
          </w:p>
        </w:tc>
        <w:tc>
          <w:tcPr>
            <w:tcW w:w="630" w:type="dxa"/>
            <w:vAlign w:val="top"/>
          </w:tcPr>
          <w:p w14:paraId="01DEA4D7">
            <w:pPr>
              <w:spacing w:line="290" w:lineRule="auto"/>
              <w:rPr>
                <w:rFonts w:ascii="Arial"/>
                <w:sz w:val="21"/>
              </w:rPr>
            </w:pPr>
          </w:p>
          <w:p w14:paraId="2B3B55A5">
            <w:pPr>
              <w:spacing w:line="290" w:lineRule="auto"/>
              <w:rPr>
                <w:rFonts w:ascii="Arial"/>
                <w:sz w:val="21"/>
              </w:rPr>
            </w:pPr>
          </w:p>
          <w:p w14:paraId="0E156419">
            <w:pPr>
              <w:spacing w:before="59" w:line="223" w:lineRule="auto"/>
              <w:ind w:left="143"/>
              <w:rPr>
                <w:rFonts w:ascii="仿宋" w:hAnsi="仿宋" w:eastAsia="仿宋" w:cs="仿宋"/>
                <w:sz w:val="18"/>
                <w:szCs w:val="18"/>
              </w:rPr>
            </w:pPr>
            <w:r>
              <w:rPr>
                <w:rFonts w:ascii="仿宋" w:hAnsi="仿宋" w:eastAsia="仿宋" w:cs="仿宋"/>
                <w:spacing w:val="-6"/>
                <w:sz w:val="18"/>
                <w:szCs w:val="18"/>
              </w:rPr>
              <w:t>路基</w:t>
            </w:r>
          </w:p>
        </w:tc>
        <w:tc>
          <w:tcPr>
            <w:tcW w:w="450" w:type="dxa"/>
            <w:vAlign w:val="top"/>
          </w:tcPr>
          <w:p w14:paraId="6AFE704D">
            <w:pPr>
              <w:spacing w:line="290" w:lineRule="auto"/>
              <w:rPr>
                <w:rFonts w:ascii="Arial"/>
                <w:sz w:val="21"/>
              </w:rPr>
            </w:pPr>
          </w:p>
          <w:p w14:paraId="1FD0FBC4">
            <w:pPr>
              <w:spacing w:line="290" w:lineRule="auto"/>
              <w:rPr>
                <w:rFonts w:ascii="Arial"/>
                <w:sz w:val="21"/>
              </w:rPr>
            </w:pPr>
          </w:p>
          <w:p w14:paraId="1BABCEE9">
            <w:pPr>
              <w:spacing w:before="59" w:line="223" w:lineRule="auto"/>
              <w:ind w:left="53"/>
              <w:rPr>
                <w:rFonts w:ascii="仿宋" w:hAnsi="仿宋" w:eastAsia="仿宋" w:cs="仿宋"/>
                <w:sz w:val="18"/>
                <w:szCs w:val="18"/>
              </w:rPr>
            </w:pPr>
            <w:r>
              <w:rPr>
                <w:rFonts w:ascii="仿宋" w:hAnsi="仿宋" w:eastAsia="仿宋" w:cs="仿宋"/>
                <w:spacing w:val="-6"/>
                <w:sz w:val="18"/>
                <w:szCs w:val="18"/>
              </w:rPr>
              <w:t>路右</w:t>
            </w:r>
          </w:p>
        </w:tc>
        <w:tc>
          <w:tcPr>
            <w:tcW w:w="940" w:type="dxa"/>
            <w:vAlign w:val="top"/>
          </w:tcPr>
          <w:p w14:paraId="25077020">
            <w:pPr>
              <w:spacing w:line="290" w:lineRule="auto"/>
              <w:rPr>
                <w:rFonts w:ascii="Arial"/>
                <w:sz w:val="21"/>
              </w:rPr>
            </w:pPr>
          </w:p>
          <w:p w14:paraId="3173D3D3">
            <w:pPr>
              <w:spacing w:line="290" w:lineRule="auto"/>
              <w:rPr>
                <w:rFonts w:ascii="Arial"/>
                <w:sz w:val="21"/>
              </w:rPr>
            </w:pPr>
          </w:p>
          <w:p w14:paraId="3E03EA7A">
            <w:pPr>
              <w:spacing w:before="59"/>
              <w:ind w:left="262"/>
              <w:rPr>
                <w:rFonts w:ascii="仿宋" w:hAnsi="仿宋" w:eastAsia="仿宋" w:cs="仿宋"/>
                <w:sz w:val="18"/>
                <w:szCs w:val="18"/>
              </w:rPr>
            </w:pPr>
            <w:r>
              <w:rPr>
                <w:rFonts w:ascii="仿宋" w:hAnsi="仿宋" w:eastAsia="仿宋" w:cs="仿宋"/>
                <w:spacing w:val="-4"/>
                <w:sz w:val="18"/>
                <w:szCs w:val="18"/>
              </w:rPr>
              <w:t>14.28</w:t>
            </w:r>
          </w:p>
        </w:tc>
        <w:tc>
          <w:tcPr>
            <w:tcW w:w="1307" w:type="dxa"/>
            <w:vAlign w:val="top"/>
          </w:tcPr>
          <w:p w14:paraId="71C5B37B">
            <w:pPr>
              <w:spacing w:line="290" w:lineRule="auto"/>
              <w:rPr>
                <w:rFonts w:ascii="Arial"/>
                <w:sz w:val="21"/>
              </w:rPr>
            </w:pPr>
          </w:p>
          <w:p w14:paraId="03A71337">
            <w:pPr>
              <w:spacing w:line="290" w:lineRule="auto"/>
              <w:rPr>
                <w:rFonts w:ascii="Arial"/>
                <w:sz w:val="21"/>
              </w:rPr>
            </w:pPr>
          </w:p>
          <w:p w14:paraId="54FA94EA">
            <w:pPr>
              <w:spacing w:before="59"/>
              <w:ind w:left="400"/>
              <w:rPr>
                <w:rFonts w:ascii="仿宋" w:hAnsi="仿宋" w:eastAsia="仿宋" w:cs="仿宋"/>
                <w:sz w:val="18"/>
                <w:szCs w:val="18"/>
              </w:rPr>
            </w:pPr>
            <w:r>
              <w:rPr>
                <w:rFonts w:ascii="仿宋" w:hAnsi="仿宋" w:eastAsia="仿宋" w:cs="仿宋"/>
                <w:spacing w:val="-4"/>
                <w:sz w:val="18"/>
                <w:szCs w:val="18"/>
              </w:rPr>
              <w:t>101.75</w:t>
            </w:r>
          </w:p>
        </w:tc>
        <w:tc>
          <w:tcPr>
            <w:tcW w:w="888" w:type="dxa"/>
            <w:vAlign w:val="top"/>
          </w:tcPr>
          <w:p w14:paraId="7BE3638C">
            <w:pPr>
              <w:spacing w:line="290" w:lineRule="auto"/>
              <w:rPr>
                <w:rFonts w:ascii="Arial"/>
                <w:sz w:val="21"/>
              </w:rPr>
            </w:pPr>
          </w:p>
          <w:p w14:paraId="6602E124">
            <w:pPr>
              <w:spacing w:line="290" w:lineRule="auto"/>
              <w:rPr>
                <w:rFonts w:ascii="Arial"/>
                <w:sz w:val="21"/>
              </w:rPr>
            </w:pPr>
          </w:p>
          <w:p w14:paraId="60F88F50">
            <w:pPr>
              <w:spacing w:before="59" w:line="241" w:lineRule="auto"/>
              <w:ind w:left="326"/>
              <w:rPr>
                <w:rFonts w:ascii="仿宋" w:hAnsi="仿宋" w:eastAsia="仿宋" w:cs="仿宋"/>
                <w:sz w:val="18"/>
                <w:szCs w:val="18"/>
              </w:rPr>
            </w:pPr>
            <w:r>
              <w:rPr>
                <w:rFonts w:ascii="仿宋" w:hAnsi="仿宋" w:eastAsia="仿宋" w:cs="仿宋"/>
                <w:spacing w:val="-7"/>
                <w:sz w:val="18"/>
                <w:szCs w:val="18"/>
              </w:rPr>
              <w:t>104</w:t>
            </w:r>
          </w:p>
        </w:tc>
        <w:tc>
          <w:tcPr>
            <w:tcW w:w="1684" w:type="dxa"/>
            <w:vAlign w:val="top"/>
          </w:tcPr>
          <w:p w14:paraId="54343CB2">
            <w:pPr>
              <w:spacing w:line="290" w:lineRule="auto"/>
              <w:rPr>
                <w:rFonts w:ascii="Arial"/>
                <w:sz w:val="21"/>
              </w:rPr>
            </w:pPr>
          </w:p>
          <w:p w14:paraId="2E199D2D">
            <w:pPr>
              <w:spacing w:line="290" w:lineRule="auto"/>
              <w:rPr>
                <w:rFonts w:ascii="Arial"/>
                <w:sz w:val="21"/>
              </w:rPr>
            </w:pPr>
          </w:p>
          <w:p w14:paraId="584038D9">
            <w:pPr>
              <w:spacing w:before="59" w:line="224" w:lineRule="auto"/>
              <w:ind w:left="725"/>
              <w:rPr>
                <w:rFonts w:ascii="仿宋" w:hAnsi="仿宋" w:eastAsia="仿宋" w:cs="仿宋"/>
                <w:sz w:val="18"/>
                <w:szCs w:val="18"/>
              </w:rPr>
            </w:pPr>
            <w:r>
              <w:rPr>
                <w:rFonts w:ascii="仿宋" w:hAnsi="仿宋" w:eastAsia="仿宋" w:cs="仿宋"/>
                <w:spacing w:val="-10"/>
                <w:sz w:val="18"/>
                <w:szCs w:val="18"/>
              </w:rPr>
              <w:t>1类</w:t>
            </w:r>
          </w:p>
        </w:tc>
        <w:tc>
          <w:tcPr>
            <w:tcW w:w="762" w:type="dxa"/>
            <w:vAlign w:val="top"/>
          </w:tcPr>
          <w:p w14:paraId="48862356">
            <w:pPr>
              <w:spacing w:line="290" w:lineRule="auto"/>
              <w:rPr>
                <w:rFonts w:ascii="Arial"/>
                <w:sz w:val="21"/>
              </w:rPr>
            </w:pPr>
          </w:p>
          <w:p w14:paraId="64F5960C">
            <w:pPr>
              <w:spacing w:line="290" w:lineRule="auto"/>
              <w:rPr>
                <w:rFonts w:ascii="Arial"/>
                <w:sz w:val="21"/>
              </w:rPr>
            </w:pPr>
          </w:p>
          <w:p w14:paraId="0B1C443B">
            <w:pPr>
              <w:spacing w:before="59" w:line="223" w:lineRule="auto"/>
              <w:ind w:left="71"/>
              <w:rPr>
                <w:rFonts w:ascii="仿宋" w:hAnsi="仿宋" w:eastAsia="仿宋" w:cs="仿宋"/>
                <w:sz w:val="18"/>
                <w:szCs w:val="18"/>
              </w:rPr>
            </w:pPr>
            <w:r>
              <w:rPr>
                <w:rFonts w:ascii="仿宋" w:hAnsi="仿宋" w:eastAsia="仿宋" w:cs="仿宋"/>
                <w:spacing w:val="-2"/>
                <w:sz w:val="18"/>
                <w:szCs w:val="18"/>
              </w:rPr>
              <w:t>2户/6人</w:t>
            </w:r>
          </w:p>
        </w:tc>
        <w:tc>
          <w:tcPr>
            <w:tcW w:w="2129" w:type="dxa"/>
            <w:vAlign w:val="top"/>
          </w:tcPr>
          <w:p w14:paraId="7B469C27">
            <w:pPr>
              <w:spacing w:line="349" w:lineRule="auto"/>
              <w:rPr>
                <w:rFonts w:ascii="Arial"/>
                <w:sz w:val="21"/>
              </w:rPr>
            </w:pPr>
          </w:p>
          <w:p w14:paraId="2523B5C9">
            <w:pPr>
              <w:spacing w:before="58" w:line="222" w:lineRule="auto"/>
              <w:ind w:left="13"/>
              <w:rPr>
                <w:rFonts w:ascii="仿宋" w:hAnsi="仿宋" w:eastAsia="仿宋" w:cs="仿宋"/>
                <w:sz w:val="18"/>
                <w:szCs w:val="18"/>
              </w:rPr>
            </w:pPr>
            <w:r>
              <w:rPr>
                <w:rFonts w:ascii="仿宋" w:hAnsi="仿宋" w:eastAsia="仿宋" w:cs="仿宋"/>
                <w:spacing w:val="-5"/>
                <w:sz w:val="18"/>
                <w:szCs w:val="18"/>
              </w:rPr>
              <w:t>砖混，1层平房，侧向/背向</w:t>
            </w:r>
          </w:p>
          <w:p w14:paraId="23E5D884">
            <w:pPr>
              <w:spacing w:before="16" w:line="223" w:lineRule="auto"/>
              <w:ind w:left="13"/>
              <w:rPr>
                <w:rFonts w:ascii="仿宋" w:hAnsi="仿宋" w:eastAsia="仿宋" w:cs="仿宋"/>
                <w:sz w:val="18"/>
                <w:szCs w:val="18"/>
              </w:rPr>
            </w:pPr>
            <w:r>
              <w:rPr>
                <w:rFonts w:ascii="仿宋" w:hAnsi="仿宋" w:eastAsia="仿宋" w:cs="仿宋"/>
                <w:spacing w:val="-5"/>
                <w:sz w:val="18"/>
                <w:szCs w:val="18"/>
              </w:rPr>
              <w:t>拟建道路，道路右侧地面地</w:t>
            </w:r>
          </w:p>
          <w:p w14:paraId="0BCB952B">
            <w:pPr>
              <w:spacing w:before="15" w:line="223" w:lineRule="auto"/>
              <w:ind w:left="357"/>
              <w:rPr>
                <w:rFonts w:ascii="仿宋" w:hAnsi="仿宋" w:eastAsia="仿宋" w:cs="仿宋"/>
                <w:sz w:val="18"/>
                <w:szCs w:val="18"/>
              </w:rPr>
            </w:pPr>
            <w:r>
              <w:rPr>
                <w:rFonts w:ascii="仿宋" w:hAnsi="仿宋" w:eastAsia="仿宋" w:cs="仿宋"/>
                <w:spacing w:val="-3"/>
                <w:sz w:val="18"/>
                <w:szCs w:val="18"/>
              </w:rPr>
              <w:t>势高于拟建道路。</w:t>
            </w:r>
          </w:p>
        </w:tc>
        <w:tc>
          <w:tcPr>
            <w:tcW w:w="2112" w:type="dxa"/>
            <w:tcBorders>
              <w:right w:val="nil"/>
            </w:tcBorders>
            <w:vAlign w:val="top"/>
          </w:tcPr>
          <w:p w14:paraId="1ADA0D53">
            <w:pPr>
              <w:spacing w:before="13" w:line="1415" w:lineRule="exact"/>
              <w:ind w:firstLine="49"/>
            </w:pPr>
            <w:r>
              <w:rPr>
                <w:position w:val="-28"/>
              </w:rPr>
              <w:drawing>
                <wp:inline distT="0" distB="0" distL="0" distR="0">
                  <wp:extent cx="1261745" cy="898525"/>
                  <wp:effectExtent l="0" t="0" r="0" b="0"/>
                  <wp:docPr id="170" name="IM 170"/>
                  <wp:cNvGraphicFramePr/>
                  <a:graphic xmlns:a="http://schemas.openxmlformats.org/drawingml/2006/main">
                    <a:graphicData uri="http://schemas.openxmlformats.org/drawingml/2006/picture">
                      <pic:pic xmlns:pic="http://schemas.openxmlformats.org/drawingml/2006/picture">
                        <pic:nvPicPr>
                          <pic:cNvPr id="170" name="IM 170"/>
                          <pic:cNvPicPr/>
                        </pic:nvPicPr>
                        <pic:blipFill>
                          <a:blip r:embed="rId294"/>
                          <a:stretch>
                            <a:fillRect/>
                          </a:stretch>
                        </pic:blipFill>
                        <pic:spPr>
                          <a:xfrm>
                            <a:off x="0" y="0"/>
                            <a:ext cx="1261871" cy="898651"/>
                          </a:xfrm>
                          <a:prstGeom prst="rect">
                            <a:avLst/>
                          </a:prstGeom>
                        </pic:spPr>
                      </pic:pic>
                    </a:graphicData>
                  </a:graphic>
                </wp:inline>
              </w:drawing>
            </w:r>
          </w:p>
        </w:tc>
      </w:tr>
      <w:tr w14:paraId="1523EC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1" w:hRule="atLeast"/>
        </w:trPr>
        <w:tc>
          <w:tcPr>
            <w:tcW w:w="328" w:type="dxa"/>
            <w:tcBorders>
              <w:left w:val="nil"/>
              <w:bottom w:val="single" w:color="000000" w:sz="10" w:space="0"/>
            </w:tcBorders>
            <w:vAlign w:val="top"/>
          </w:tcPr>
          <w:p w14:paraId="232C0788">
            <w:pPr>
              <w:spacing w:line="322" w:lineRule="auto"/>
              <w:rPr>
                <w:rFonts w:ascii="Arial"/>
                <w:sz w:val="21"/>
              </w:rPr>
            </w:pPr>
          </w:p>
          <w:p w14:paraId="3665CC2B">
            <w:pPr>
              <w:spacing w:line="323" w:lineRule="auto"/>
              <w:rPr>
                <w:rFonts w:ascii="Arial"/>
                <w:sz w:val="21"/>
              </w:rPr>
            </w:pPr>
          </w:p>
          <w:p w14:paraId="50F39040">
            <w:pPr>
              <w:spacing w:before="59" w:line="236" w:lineRule="exact"/>
              <w:ind w:left="121"/>
              <w:rPr>
                <w:rFonts w:ascii="仿宋" w:hAnsi="仿宋" w:eastAsia="仿宋" w:cs="仿宋"/>
                <w:sz w:val="18"/>
                <w:szCs w:val="18"/>
              </w:rPr>
            </w:pPr>
            <w:r>
              <w:rPr>
                <w:rFonts w:ascii="仿宋" w:hAnsi="仿宋" w:eastAsia="仿宋" w:cs="仿宋"/>
                <w:position w:val="1"/>
                <w:sz w:val="18"/>
                <w:szCs w:val="18"/>
              </w:rPr>
              <w:t>4</w:t>
            </w:r>
          </w:p>
        </w:tc>
        <w:tc>
          <w:tcPr>
            <w:tcW w:w="720" w:type="dxa"/>
            <w:tcBorders>
              <w:bottom w:val="single" w:color="000000" w:sz="10" w:space="0"/>
            </w:tcBorders>
            <w:vAlign w:val="top"/>
          </w:tcPr>
          <w:p w14:paraId="06474952">
            <w:pPr>
              <w:spacing w:line="265" w:lineRule="auto"/>
              <w:rPr>
                <w:rFonts w:ascii="Arial"/>
                <w:sz w:val="21"/>
              </w:rPr>
            </w:pPr>
          </w:p>
          <w:p w14:paraId="45FEF2C5">
            <w:pPr>
              <w:spacing w:line="265" w:lineRule="auto"/>
              <w:rPr>
                <w:rFonts w:ascii="Arial"/>
                <w:sz w:val="21"/>
              </w:rPr>
            </w:pPr>
          </w:p>
          <w:p w14:paraId="5236686B">
            <w:pPr>
              <w:spacing w:before="59"/>
              <w:ind w:left="141" w:right="86" w:hanging="41"/>
              <w:rPr>
                <w:rFonts w:ascii="仿宋" w:hAnsi="仿宋" w:eastAsia="仿宋" w:cs="仿宋"/>
                <w:sz w:val="18"/>
                <w:szCs w:val="18"/>
              </w:rPr>
            </w:pPr>
            <w:r>
              <w:rPr>
                <w:rFonts w:ascii="仿宋" w:hAnsi="仿宋" w:eastAsia="仿宋" w:cs="仿宋"/>
                <w:spacing w:val="-5"/>
                <w:sz w:val="18"/>
                <w:szCs w:val="18"/>
              </w:rPr>
              <w:t>刘家塔</w:t>
            </w:r>
            <w:r>
              <w:rPr>
                <w:rFonts w:ascii="仿宋" w:hAnsi="仿宋" w:eastAsia="仿宋" w:cs="仿宋"/>
                <w:spacing w:val="-4"/>
                <w:sz w:val="18"/>
                <w:szCs w:val="18"/>
              </w:rPr>
              <w:t>散户1</w:t>
            </w:r>
          </w:p>
        </w:tc>
        <w:tc>
          <w:tcPr>
            <w:tcW w:w="975" w:type="dxa"/>
            <w:tcBorders>
              <w:bottom w:val="single" w:color="000000" w:sz="10" w:space="0"/>
            </w:tcBorders>
            <w:vAlign w:val="top"/>
          </w:tcPr>
          <w:p w14:paraId="50C94AA0">
            <w:pPr>
              <w:spacing w:line="300" w:lineRule="auto"/>
              <w:rPr>
                <w:rFonts w:ascii="Arial"/>
                <w:sz w:val="21"/>
              </w:rPr>
            </w:pPr>
          </w:p>
          <w:p w14:paraId="133F4D4A">
            <w:pPr>
              <w:spacing w:before="58" w:line="224" w:lineRule="auto"/>
              <w:ind w:left="68"/>
              <w:rPr>
                <w:rFonts w:ascii="仿宋" w:hAnsi="仿宋" w:eastAsia="仿宋" w:cs="仿宋"/>
                <w:sz w:val="18"/>
                <w:szCs w:val="18"/>
              </w:rPr>
            </w:pPr>
            <w:r>
              <w:rPr>
                <w:rFonts w:ascii="仿宋" w:hAnsi="仿宋" w:eastAsia="仿宋" w:cs="仿宋"/>
                <w:spacing w:val="-7"/>
                <w:sz w:val="18"/>
                <w:szCs w:val="18"/>
              </w:rPr>
              <w:t>四道敖包至</w:t>
            </w:r>
          </w:p>
          <w:p w14:paraId="5BC6640D">
            <w:pPr>
              <w:spacing w:before="13" w:line="222" w:lineRule="auto"/>
              <w:ind w:left="50"/>
              <w:rPr>
                <w:rFonts w:ascii="仿宋" w:hAnsi="仿宋" w:eastAsia="仿宋" w:cs="仿宋"/>
                <w:sz w:val="18"/>
                <w:szCs w:val="18"/>
              </w:rPr>
            </w:pPr>
            <w:r>
              <w:rPr>
                <w:rFonts w:ascii="仿宋" w:hAnsi="仿宋" w:eastAsia="仿宋" w:cs="仿宋"/>
                <w:spacing w:val="-3"/>
                <w:sz w:val="18"/>
                <w:szCs w:val="18"/>
              </w:rPr>
              <w:t>淡家梁至杨</w:t>
            </w:r>
          </w:p>
          <w:p w14:paraId="344E5A64">
            <w:pPr>
              <w:spacing w:before="16" w:line="222" w:lineRule="auto"/>
              <w:ind w:left="49"/>
              <w:rPr>
                <w:rFonts w:ascii="仿宋" w:hAnsi="仿宋" w:eastAsia="仿宋" w:cs="仿宋"/>
                <w:sz w:val="18"/>
                <w:szCs w:val="18"/>
              </w:rPr>
            </w:pPr>
            <w:r>
              <w:rPr>
                <w:rFonts w:ascii="仿宋" w:hAnsi="仿宋" w:eastAsia="仿宋" w:cs="仿宋"/>
                <w:spacing w:val="-3"/>
                <w:sz w:val="18"/>
                <w:szCs w:val="18"/>
              </w:rPr>
              <w:t>家塔通村公</w:t>
            </w:r>
          </w:p>
          <w:p w14:paraId="2737360F">
            <w:pPr>
              <w:spacing w:before="16" w:line="223" w:lineRule="auto"/>
              <w:ind w:left="405"/>
              <w:rPr>
                <w:rFonts w:ascii="仿宋" w:hAnsi="仿宋" w:eastAsia="仿宋" w:cs="仿宋"/>
                <w:sz w:val="18"/>
                <w:szCs w:val="18"/>
              </w:rPr>
            </w:pPr>
            <w:r>
              <w:rPr>
                <w:rFonts w:ascii="仿宋" w:hAnsi="仿宋" w:eastAsia="仿宋" w:cs="仿宋"/>
                <w:sz w:val="18"/>
                <w:szCs w:val="18"/>
              </w:rPr>
              <w:t>路</w:t>
            </w:r>
          </w:p>
        </w:tc>
        <w:tc>
          <w:tcPr>
            <w:tcW w:w="1035" w:type="dxa"/>
            <w:tcBorders>
              <w:bottom w:val="single" w:color="000000" w:sz="10" w:space="0"/>
            </w:tcBorders>
            <w:vAlign w:val="top"/>
          </w:tcPr>
          <w:p w14:paraId="21D2F62C">
            <w:pPr>
              <w:spacing w:line="265" w:lineRule="auto"/>
              <w:rPr>
                <w:rFonts w:ascii="Arial"/>
                <w:sz w:val="21"/>
              </w:rPr>
            </w:pPr>
          </w:p>
          <w:p w14:paraId="3B113BD2">
            <w:pPr>
              <w:spacing w:line="265" w:lineRule="auto"/>
              <w:rPr>
                <w:rFonts w:ascii="Arial"/>
                <w:sz w:val="21"/>
              </w:rPr>
            </w:pPr>
          </w:p>
          <w:p w14:paraId="480A5826">
            <w:pPr>
              <w:spacing w:before="59" w:line="239" w:lineRule="auto"/>
              <w:ind w:left="158"/>
              <w:rPr>
                <w:rFonts w:ascii="仿宋" w:hAnsi="仿宋" w:eastAsia="仿宋" w:cs="仿宋"/>
                <w:sz w:val="18"/>
                <w:szCs w:val="18"/>
              </w:rPr>
            </w:pPr>
            <w:r>
              <w:rPr>
                <w:rFonts w:ascii="仿宋" w:hAnsi="仿宋" w:eastAsia="仿宋" w:cs="仿宋"/>
                <w:spacing w:val="9"/>
                <w:sz w:val="18"/>
                <w:szCs w:val="18"/>
              </w:rPr>
              <w:t>K0+190~</w:t>
            </w:r>
          </w:p>
          <w:p w14:paraId="7F0235AD">
            <w:pPr>
              <w:spacing w:line="241" w:lineRule="auto"/>
              <w:ind w:left="247"/>
              <w:rPr>
                <w:rFonts w:ascii="仿宋" w:hAnsi="仿宋" w:eastAsia="仿宋" w:cs="仿宋"/>
                <w:sz w:val="18"/>
                <w:szCs w:val="18"/>
              </w:rPr>
            </w:pPr>
            <w:r>
              <w:rPr>
                <w:rFonts w:ascii="仿宋" w:hAnsi="仿宋" w:eastAsia="仿宋" w:cs="仿宋"/>
                <w:spacing w:val="-1"/>
                <w:sz w:val="18"/>
                <w:szCs w:val="18"/>
              </w:rPr>
              <w:t>K0+250</w:t>
            </w:r>
          </w:p>
        </w:tc>
        <w:tc>
          <w:tcPr>
            <w:tcW w:w="630" w:type="dxa"/>
            <w:tcBorders>
              <w:bottom w:val="single" w:color="000000" w:sz="10" w:space="0"/>
            </w:tcBorders>
            <w:vAlign w:val="top"/>
          </w:tcPr>
          <w:p w14:paraId="6B126610">
            <w:pPr>
              <w:spacing w:line="322" w:lineRule="auto"/>
              <w:rPr>
                <w:rFonts w:ascii="Arial"/>
                <w:sz w:val="21"/>
              </w:rPr>
            </w:pPr>
          </w:p>
          <w:p w14:paraId="6DDD84E7">
            <w:pPr>
              <w:spacing w:line="323" w:lineRule="auto"/>
              <w:rPr>
                <w:rFonts w:ascii="Arial"/>
                <w:sz w:val="21"/>
              </w:rPr>
            </w:pPr>
          </w:p>
          <w:p w14:paraId="71067EE8">
            <w:pPr>
              <w:spacing w:before="59" w:line="223" w:lineRule="auto"/>
              <w:ind w:left="143"/>
              <w:rPr>
                <w:rFonts w:ascii="仿宋" w:hAnsi="仿宋" w:eastAsia="仿宋" w:cs="仿宋"/>
                <w:sz w:val="18"/>
                <w:szCs w:val="18"/>
              </w:rPr>
            </w:pPr>
            <w:r>
              <w:rPr>
                <w:rFonts w:ascii="仿宋" w:hAnsi="仿宋" w:eastAsia="仿宋" w:cs="仿宋"/>
                <w:spacing w:val="-6"/>
                <w:sz w:val="18"/>
                <w:szCs w:val="18"/>
              </w:rPr>
              <w:t>路基</w:t>
            </w:r>
          </w:p>
        </w:tc>
        <w:tc>
          <w:tcPr>
            <w:tcW w:w="450" w:type="dxa"/>
            <w:tcBorders>
              <w:bottom w:val="single" w:color="000000" w:sz="10" w:space="0"/>
            </w:tcBorders>
            <w:vAlign w:val="top"/>
          </w:tcPr>
          <w:p w14:paraId="1F0A8B54">
            <w:pPr>
              <w:spacing w:line="322" w:lineRule="auto"/>
              <w:rPr>
                <w:rFonts w:ascii="Arial"/>
                <w:sz w:val="21"/>
              </w:rPr>
            </w:pPr>
          </w:p>
          <w:p w14:paraId="23630028">
            <w:pPr>
              <w:spacing w:line="323" w:lineRule="auto"/>
              <w:rPr>
                <w:rFonts w:ascii="Arial"/>
                <w:sz w:val="21"/>
              </w:rPr>
            </w:pPr>
          </w:p>
          <w:p w14:paraId="214E1CD1">
            <w:pPr>
              <w:spacing w:before="59" w:line="223" w:lineRule="auto"/>
              <w:ind w:left="53"/>
              <w:rPr>
                <w:rFonts w:ascii="仿宋" w:hAnsi="仿宋" w:eastAsia="仿宋" w:cs="仿宋"/>
                <w:sz w:val="18"/>
                <w:szCs w:val="18"/>
              </w:rPr>
            </w:pPr>
            <w:r>
              <w:rPr>
                <w:rFonts w:ascii="仿宋" w:hAnsi="仿宋" w:eastAsia="仿宋" w:cs="仿宋"/>
                <w:spacing w:val="-6"/>
                <w:sz w:val="18"/>
                <w:szCs w:val="18"/>
              </w:rPr>
              <w:t>路右</w:t>
            </w:r>
          </w:p>
        </w:tc>
        <w:tc>
          <w:tcPr>
            <w:tcW w:w="940" w:type="dxa"/>
            <w:tcBorders>
              <w:bottom w:val="single" w:color="000000" w:sz="10" w:space="0"/>
            </w:tcBorders>
            <w:vAlign w:val="top"/>
          </w:tcPr>
          <w:p w14:paraId="303E03BB">
            <w:pPr>
              <w:spacing w:line="323" w:lineRule="auto"/>
              <w:rPr>
                <w:rFonts w:ascii="Arial"/>
                <w:sz w:val="21"/>
              </w:rPr>
            </w:pPr>
          </w:p>
          <w:p w14:paraId="451DAC21">
            <w:pPr>
              <w:spacing w:line="323" w:lineRule="auto"/>
              <w:rPr>
                <w:rFonts w:ascii="Arial"/>
                <w:sz w:val="21"/>
              </w:rPr>
            </w:pPr>
          </w:p>
          <w:p w14:paraId="17CA0A30">
            <w:pPr>
              <w:spacing w:before="58"/>
              <w:ind w:left="247"/>
              <w:rPr>
                <w:rFonts w:ascii="仿宋" w:hAnsi="仿宋" w:eastAsia="仿宋" w:cs="仿宋"/>
                <w:sz w:val="18"/>
                <w:szCs w:val="18"/>
              </w:rPr>
            </w:pPr>
            <w:r>
              <w:rPr>
                <w:rFonts w:ascii="仿宋" w:hAnsi="仿宋" w:eastAsia="仿宋" w:cs="仿宋"/>
                <w:spacing w:val="-1"/>
                <w:sz w:val="18"/>
                <w:szCs w:val="18"/>
              </w:rPr>
              <w:t>-9.82</w:t>
            </w:r>
          </w:p>
        </w:tc>
        <w:tc>
          <w:tcPr>
            <w:tcW w:w="1307" w:type="dxa"/>
            <w:tcBorders>
              <w:bottom w:val="single" w:color="000000" w:sz="10" w:space="0"/>
            </w:tcBorders>
            <w:vAlign w:val="top"/>
          </w:tcPr>
          <w:p w14:paraId="7E7AE0E4">
            <w:pPr>
              <w:spacing w:line="323" w:lineRule="auto"/>
              <w:rPr>
                <w:rFonts w:ascii="Arial"/>
                <w:sz w:val="21"/>
              </w:rPr>
            </w:pPr>
          </w:p>
          <w:p w14:paraId="60DBC9ED">
            <w:pPr>
              <w:spacing w:line="323" w:lineRule="auto"/>
              <w:rPr>
                <w:rFonts w:ascii="Arial"/>
                <w:sz w:val="21"/>
              </w:rPr>
            </w:pPr>
          </w:p>
          <w:p w14:paraId="156B8BFC">
            <w:pPr>
              <w:spacing w:before="58"/>
              <w:ind w:left="431"/>
              <w:rPr>
                <w:rFonts w:ascii="仿宋" w:hAnsi="仿宋" w:eastAsia="仿宋" w:cs="仿宋"/>
                <w:sz w:val="18"/>
                <w:szCs w:val="18"/>
              </w:rPr>
            </w:pPr>
            <w:r>
              <w:rPr>
                <w:rFonts w:ascii="仿宋" w:hAnsi="仿宋" w:eastAsia="仿宋" w:cs="仿宋"/>
                <w:spacing w:val="-1"/>
                <w:sz w:val="18"/>
                <w:szCs w:val="18"/>
              </w:rPr>
              <w:t>47.75</w:t>
            </w:r>
          </w:p>
        </w:tc>
        <w:tc>
          <w:tcPr>
            <w:tcW w:w="888" w:type="dxa"/>
            <w:tcBorders>
              <w:bottom w:val="single" w:color="000000" w:sz="10" w:space="0"/>
            </w:tcBorders>
            <w:vAlign w:val="top"/>
          </w:tcPr>
          <w:p w14:paraId="5B7079A7">
            <w:pPr>
              <w:spacing w:line="322" w:lineRule="auto"/>
              <w:rPr>
                <w:rFonts w:ascii="Arial"/>
                <w:sz w:val="21"/>
              </w:rPr>
            </w:pPr>
          </w:p>
          <w:p w14:paraId="2B49A7DF">
            <w:pPr>
              <w:spacing w:line="323" w:lineRule="auto"/>
              <w:rPr>
                <w:rFonts w:ascii="Arial"/>
                <w:sz w:val="21"/>
              </w:rPr>
            </w:pPr>
          </w:p>
          <w:p w14:paraId="0C3A5CE8">
            <w:pPr>
              <w:spacing w:before="59" w:line="241" w:lineRule="auto"/>
              <w:ind w:left="360"/>
              <w:rPr>
                <w:rFonts w:ascii="仿宋" w:hAnsi="仿宋" w:eastAsia="仿宋" w:cs="仿宋"/>
                <w:sz w:val="18"/>
                <w:szCs w:val="18"/>
              </w:rPr>
            </w:pPr>
            <w:r>
              <w:rPr>
                <w:rFonts w:ascii="仿宋" w:hAnsi="仿宋" w:eastAsia="仿宋" w:cs="仿宋"/>
                <w:spacing w:val="-5"/>
                <w:sz w:val="18"/>
                <w:szCs w:val="18"/>
              </w:rPr>
              <w:t>50</w:t>
            </w:r>
          </w:p>
        </w:tc>
        <w:tc>
          <w:tcPr>
            <w:tcW w:w="1684" w:type="dxa"/>
            <w:tcBorders>
              <w:bottom w:val="single" w:color="000000" w:sz="10" w:space="0"/>
            </w:tcBorders>
            <w:vAlign w:val="top"/>
          </w:tcPr>
          <w:p w14:paraId="1A67A6D4">
            <w:pPr>
              <w:spacing w:line="323" w:lineRule="auto"/>
              <w:rPr>
                <w:rFonts w:ascii="Arial"/>
                <w:sz w:val="21"/>
              </w:rPr>
            </w:pPr>
          </w:p>
          <w:p w14:paraId="67943543">
            <w:pPr>
              <w:spacing w:line="323" w:lineRule="auto"/>
              <w:rPr>
                <w:rFonts w:ascii="Arial"/>
                <w:sz w:val="21"/>
              </w:rPr>
            </w:pPr>
          </w:p>
          <w:p w14:paraId="0E172BFE">
            <w:pPr>
              <w:spacing w:before="58" w:line="224" w:lineRule="auto"/>
              <w:ind w:left="725"/>
              <w:rPr>
                <w:rFonts w:ascii="仿宋" w:hAnsi="仿宋" w:eastAsia="仿宋" w:cs="仿宋"/>
                <w:sz w:val="18"/>
                <w:szCs w:val="18"/>
              </w:rPr>
            </w:pPr>
            <w:r>
              <w:rPr>
                <w:rFonts w:ascii="仿宋" w:hAnsi="仿宋" w:eastAsia="仿宋" w:cs="仿宋"/>
                <w:spacing w:val="-10"/>
                <w:sz w:val="18"/>
                <w:szCs w:val="18"/>
              </w:rPr>
              <w:t>1类</w:t>
            </w:r>
          </w:p>
        </w:tc>
        <w:tc>
          <w:tcPr>
            <w:tcW w:w="762" w:type="dxa"/>
            <w:tcBorders>
              <w:bottom w:val="single" w:color="000000" w:sz="10" w:space="0"/>
            </w:tcBorders>
            <w:vAlign w:val="top"/>
          </w:tcPr>
          <w:p w14:paraId="4C472039">
            <w:pPr>
              <w:spacing w:line="322" w:lineRule="auto"/>
              <w:rPr>
                <w:rFonts w:ascii="Arial"/>
                <w:sz w:val="21"/>
              </w:rPr>
            </w:pPr>
          </w:p>
          <w:p w14:paraId="572798D1">
            <w:pPr>
              <w:spacing w:line="323" w:lineRule="auto"/>
              <w:rPr>
                <w:rFonts w:ascii="Arial"/>
                <w:sz w:val="21"/>
              </w:rPr>
            </w:pPr>
          </w:p>
          <w:p w14:paraId="229B0B81">
            <w:pPr>
              <w:spacing w:before="59" w:line="223" w:lineRule="auto"/>
              <w:ind w:left="71"/>
              <w:rPr>
                <w:rFonts w:ascii="仿宋" w:hAnsi="仿宋" w:eastAsia="仿宋" w:cs="仿宋"/>
                <w:sz w:val="18"/>
                <w:szCs w:val="18"/>
              </w:rPr>
            </w:pPr>
            <w:r>
              <w:rPr>
                <w:rFonts w:ascii="仿宋" w:hAnsi="仿宋" w:eastAsia="仿宋" w:cs="仿宋"/>
                <w:spacing w:val="-2"/>
                <w:sz w:val="18"/>
                <w:szCs w:val="18"/>
              </w:rPr>
              <w:t>2户/5人</w:t>
            </w:r>
          </w:p>
        </w:tc>
        <w:tc>
          <w:tcPr>
            <w:tcW w:w="2129" w:type="dxa"/>
            <w:tcBorders>
              <w:bottom w:val="single" w:color="000000" w:sz="10" w:space="0"/>
            </w:tcBorders>
            <w:vAlign w:val="top"/>
          </w:tcPr>
          <w:p w14:paraId="06FD2EEB">
            <w:pPr>
              <w:spacing w:line="265" w:lineRule="auto"/>
              <w:rPr>
                <w:rFonts w:ascii="Arial"/>
                <w:sz w:val="21"/>
              </w:rPr>
            </w:pPr>
          </w:p>
          <w:p w14:paraId="15500763">
            <w:pPr>
              <w:spacing w:line="266" w:lineRule="auto"/>
              <w:rPr>
                <w:rFonts w:ascii="Arial"/>
                <w:sz w:val="21"/>
              </w:rPr>
            </w:pPr>
          </w:p>
          <w:p w14:paraId="66B45CCB">
            <w:pPr>
              <w:spacing w:before="58"/>
              <w:ind w:left="14" w:firstLine="22"/>
              <w:rPr>
                <w:rFonts w:ascii="仿宋" w:hAnsi="仿宋" w:eastAsia="仿宋" w:cs="仿宋"/>
                <w:sz w:val="18"/>
                <w:szCs w:val="18"/>
              </w:rPr>
            </w:pPr>
            <w:r>
              <w:rPr>
                <w:rFonts w:ascii="仿宋" w:hAnsi="仿宋" w:eastAsia="仿宋" w:cs="仿宋"/>
                <w:spacing w:val="-2"/>
                <w:sz w:val="18"/>
                <w:szCs w:val="18"/>
              </w:rPr>
              <w:t>砖混，1层平房，背向拟建</w:t>
            </w:r>
            <w:r>
              <w:rPr>
                <w:rFonts w:ascii="仿宋" w:hAnsi="仿宋" w:eastAsia="仿宋" w:cs="仿宋"/>
                <w:spacing w:val="-5"/>
                <w:sz w:val="18"/>
                <w:szCs w:val="18"/>
              </w:rPr>
              <w:t>道路，地势低于拟建道路。</w:t>
            </w:r>
          </w:p>
        </w:tc>
        <w:tc>
          <w:tcPr>
            <w:tcW w:w="2112" w:type="dxa"/>
            <w:tcBorders>
              <w:bottom w:val="single" w:color="000000" w:sz="10" w:space="0"/>
              <w:right w:val="nil"/>
            </w:tcBorders>
            <w:vAlign w:val="top"/>
          </w:tcPr>
          <w:p w14:paraId="2EA2B614">
            <w:pPr>
              <w:spacing w:before="19" w:line="1552" w:lineRule="exact"/>
              <w:ind w:firstLine="66"/>
            </w:pPr>
            <w:r>
              <w:rPr>
                <w:position w:val="-31"/>
              </w:rPr>
              <w:drawing>
                <wp:inline distT="0" distB="0" distL="0" distR="0">
                  <wp:extent cx="1249680" cy="984885"/>
                  <wp:effectExtent l="0" t="0" r="0" b="0"/>
                  <wp:docPr id="172" name="IM 172"/>
                  <wp:cNvGraphicFramePr/>
                  <a:graphic xmlns:a="http://schemas.openxmlformats.org/drawingml/2006/main">
                    <a:graphicData uri="http://schemas.openxmlformats.org/drawingml/2006/picture">
                      <pic:pic xmlns:pic="http://schemas.openxmlformats.org/drawingml/2006/picture">
                        <pic:nvPicPr>
                          <pic:cNvPr id="172" name="IM 172"/>
                          <pic:cNvPicPr/>
                        </pic:nvPicPr>
                        <pic:blipFill>
                          <a:blip r:embed="rId295"/>
                          <a:stretch>
                            <a:fillRect/>
                          </a:stretch>
                        </pic:blipFill>
                        <pic:spPr>
                          <a:xfrm>
                            <a:off x="0" y="0"/>
                            <a:ext cx="1249680" cy="985265"/>
                          </a:xfrm>
                          <a:prstGeom prst="rect">
                            <a:avLst/>
                          </a:prstGeom>
                        </pic:spPr>
                      </pic:pic>
                    </a:graphicData>
                  </a:graphic>
                </wp:inline>
              </w:drawing>
            </w:r>
          </w:p>
        </w:tc>
      </w:tr>
    </w:tbl>
    <w:p w14:paraId="6C2D9400">
      <w:pPr>
        <w:pStyle w:val="2"/>
        <w:rPr>
          <w:sz w:val="21"/>
        </w:rPr>
      </w:pPr>
    </w:p>
    <w:p w14:paraId="0515F655">
      <w:pPr>
        <w:rPr>
          <w:sz w:val="21"/>
          <w:szCs w:val="21"/>
        </w:rPr>
        <w:sectPr>
          <w:footerReference r:id="rId138" w:type="default"/>
          <w:pgSz w:w="16839" w:h="11906"/>
          <w:pgMar w:top="400" w:right="1439" w:bottom="1367" w:left="1439" w:header="0" w:footer="1207" w:gutter="0"/>
          <w:cols w:space="720" w:num="1"/>
        </w:sectPr>
      </w:pPr>
    </w:p>
    <w:p w14:paraId="10527338">
      <w:pPr>
        <w:spacing w:before="39"/>
      </w:pPr>
    </w:p>
    <w:p w14:paraId="2364F1B8">
      <w:pPr>
        <w:spacing w:before="39"/>
      </w:pPr>
    </w:p>
    <w:p w14:paraId="050F9BB5">
      <w:pPr>
        <w:spacing w:before="38"/>
      </w:pPr>
    </w:p>
    <w:p w14:paraId="04F7D959">
      <w:pPr>
        <w:spacing w:before="38"/>
      </w:pPr>
    </w:p>
    <w:p w14:paraId="16B134D3">
      <w:pPr>
        <w:spacing w:before="38"/>
      </w:pPr>
    </w:p>
    <w:tbl>
      <w:tblPr>
        <w:tblStyle w:val="5"/>
        <w:tblW w:w="1396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28"/>
        <w:gridCol w:w="720"/>
        <w:gridCol w:w="975"/>
        <w:gridCol w:w="1035"/>
        <w:gridCol w:w="630"/>
        <w:gridCol w:w="450"/>
        <w:gridCol w:w="940"/>
        <w:gridCol w:w="1307"/>
        <w:gridCol w:w="888"/>
        <w:gridCol w:w="1684"/>
        <w:gridCol w:w="762"/>
        <w:gridCol w:w="2129"/>
        <w:gridCol w:w="2112"/>
      </w:tblGrid>
      <w:tr w14:paraId="07CE76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35" w:hRule="atLeast"/>
        </w:trPr>
        <w:tc>
          <w:tcPr>
            <w:tcW w:w="328" w:type="dxa"/>
            <w:tcBorders>
              <w:top w:val="single" w:color="000000" w:sz="10" w:space="0"/>
              <w:left w:val="nil"/>
            </w:tcBorders>
            <w:vAlign w:val="top"/>
          </w:tcPr>
          <w:p w14:paraId="65E03E4A">
            <w:pPr>
              <w:spacing w:line="309" w:lineRule="auto"/>
              <w:rPr>
                <w:rFonts w:ascii="Arial"/>
                <w:sz w:val="21"/>
              </w:rPr>
            </w:pPr>
          </w:p>
          <w:p w14:paraId="5B329D39">
            <w:pPr>
              <w:spacing w:line="309" w:lineRule="auto"/>
              <w:rPr>
                <w:rFonts w:ascii="Arial"/>
                <w:sz w:val="21"/>
              </w:rPr>
            </w:pPr>
          </w:p>
          <w:p w14:paraId="0490DBA0">
            <w:pPr>
              <w:spacing w:before="58" w:line="241" w:lineRule="auto"/>
              <w:ind w:left="126"/>
              <w:rPr>
                <w:rFonts w:ascii="仿宋" w:hAnsi="仿宋" w:eastAsia="仿宋" w:cs="仿宋"/>
                <w:sz w:val="18"/>
                <w:szCs w:val="18"/>
              </w:rPr>
            </w:pPr>
            <w:r>
              <w:rPr>
                <w:rFonts w:ascii="仿宋" w:hAnsi="仿宋" w:eastAsia="仿宋" w:cs="仿宋"/>
                <w:sz w:val="18"/>
                <w:szCs w:val="18"/>
              </w:rPr>
              <w:t>5</w:t>
            </w:r>
          </w:p>
        </w:tc>
        <w:tc>
          <w:tcPr>
            <w:tcW w:w="720" w:type="dxa"/>
            <w:tcBorders>
              <w:top w:val="single" w:color="000000" w:sz="10" w:space="0"/>
            </w:tcBorders>
            <w:vAlign w:val="top"/>
          </w:tcPr>
          <w:p w14:paraId="32FB3F16">
            <w:pPr>
              <w:spacing w:line="250" w:lineRule="auto"/>
              <w:rPr>
                <w:rFonts w:ascii="Arial"/>
                <w:sz w:val="21"/>
              </w:rPr>
            </w:pPr>
          </w:p>
          <w:p w14:paraId="0991A6A2">
            <w:pPr>
              <w:spacing w:line="250" w:lineRule="auto"/>
              <w:rPr>
                <w:rFonts w:ascii="Arial"/>
                <w:sz w:val="21"/>
              </w:rPr>
            </w:pPr>
          </w:p>
          <w:p w14:paraId="709416EE">
            <w:pPr>
              <w:spacing w:before="59"/>
              <w:ind w:left="141" w:right="86" w:hanging="41"/>
              <w:rPr>
                <w:rFonts w:ascii="仿宋" w:hAnsi="仿宋" w:eastAsia="仿宋" w:cs="仿宋"/>
                <w:sz w:val="18"/>
                <w:szCs w:val="18"/>
              </w:rPr>
            </w:pPr>
            <w:r>
              <w:rPr>
                <w:rFonts w:ascii="仿宋" w:hAnsi="仿宋" w:eastAsia="仿宋" w:cs="仿宋"/>
                <w:spacing w:val="-5"/>
                <w:sz w:val="18"/>
                <w:szCs w:val="18"/>
              </w:rPr>
              <w:t>刘家塔</w:t>
            </w:r>
            <w:r>
              <w:rPr>
                <w:rFonts w:ascii="仿宋" w:hAnsi="仿宋" w:eastAsia="仿宋" w:cs="仿宋"/>
                <w:spacing w:val="-4"/>
                <w:sz w:val="18"/>
                <w:szCs w:val="18"/>
              </w:rPr>
              <w:t>散户2</w:t>
            </w:r>
          </w:p>
        </w:tc>
        <w:tc>
          <w:tcPr>
            <w:tcW w:w="975" w:type="dxa"/>
            <w:vMerge w:val="restart"/>
            <w:tcBorders>
              <w:top w:val="single" w:color="000000" w:sz="10" w:space="0"/>
              <w:bottom w:val="nil"/>
            </w:tcBorders>
            <w:vAlign w:val="top"/>
          </w:tcPr>
          <w:p w14:paraId="05F89A63">
            <w:pPr>
              <w:rPr>
                <w:rFonts w:ascii="Arial"/>
                <w:sz w:val="21"/>
              </w:rPr>
            </w:pPr>
          </w:p>
        </w:tc>
        <w:tc>
          <w:tcPr>
            <w:tcW w:w="1035" w:type="dxa"/>
            <w:tcBorders>
              <w:top w:val="single" w:color="000000" w:sz="10" w:space="0"/>
            </w:tcBorders>
            <w:vAlign w:val="top"/>
          </w:tcPr>
          <w:p w14:paraId="4297C495">
            <w:pPr>
              <w:spacing w:line="250" w:lineRule="auto"/>
              <w:rPr>
                <w:rFonts w:ascii="Arial"/>
                <w:sz w:val="21"/>
              </w:rPr>
            </w:pPr>
          </w:p>
          <w:p w14:paraId="1D614832">
            <w:pPr>
              <w:spacing w:line="251" w:lineRule="auto"/>
              <w:rPr>
                <w:rFonts w:ascii="Arial"/>
                <w:sz w:val="21"/>
              </w:rPr>
            </w:pPr>
          </w:p>
          <w:p w14:paraId="172B46AA">
            <w:pPr>
              <w:spacing w:before="58" w:line="239" w:lineRule="auto"/>
              <w:ind w:left="158"/>
              <w:rPr>
                <w:rFonts w:ascii="仿宋" w:hAnsi="仿宋" w:eastAsia="仿宋" w:cs="仿宋"/>
                <w:sz w:val="18"/>
                <w:szCs w:val="18"/>
              </w:rPr>
            </w:pPr>
            <w:r>
              <w:rPr>
                <w:rFonts w:ascii="仿宋" w:hAnsi="仿宋" w:eastAsia="仿宋" w:cs="仿宋"/>
                <w:spacing w:val="9"/>
                <w:sz w:val="18"/>
                <w:szCs w:val="18"/>
              </w:rPr>
              <w:t>K0+730~</w:t>
            </w:r>
          </w:p>
          <w:p w14:paraId="36B16C6E">
            <w:pPr>
              <w:spacing w:line="241" w:lineRule="auto"/>
              <w:ind w:left="247"/>
              <w:rPr>
                <w:rFonts w:ascii="仿宋" w:hAnsi="仿宋" w:eastAsia="仿宋" w:cs="仿宋"/>
                <w:sz w:val="18"/>
                <w:szCs w:val="18"/>
              </w:rPr>
            </w:pPr>
            <w:r>
              <w:rPr>
                <w:rFonts w:ascii="仿宋" w:hAnsi="仿宋" w:eastAsia="仿宋" w:cs="仿宋"/>
                <w:spacing w:val="-1"/>
                <w:sz w:val="18"/>
                <w:szCs w:val="18"/>
              </w:rPr>
              <w:t>K0+790</w:t>
            </w:r>
          </w:p>
        </w:tc>
        <w:tc>
          <w:tcPr>
            <w:tcW w:w="630" w:type="dxa"/>
            <w:tcBorders>
              <w:top w:val="single" w:color="000000" w:sz="10" w:space="0"/>
            </w:tcBorders>
            <w:vAlign w:val="top"/>
          </w:tcPr>
          <w:p w14:paraId="5BB6E584">
            <w:pPr>
              <w:spacing w:line="309" w:lineRule="auto"/>
              <w:rPr>
                <w:rFonts w:ascii="Arial"/>
                <w:sz w:val="21"/>
              </w:rPr>
            </w:pPr>
          </w:p>
          <w:p w14:paraId="598AD58C">
            <w:pPr>
              <w:spacing w:line="309" w:lineRule="auto"/>
              <w:rPr>
                <w:rFonts w:ascii="Arial"/>
                <w:sz w:val="21"/>
              </w:rPr>
            </w:pPr>
          </w:p>
          <w:p w14:paraId="46A1AA86">
            <w:pPr>
              <w:spacing w:before="58" w:line="223" w:lineRule="auto"/>
              <w:ind w:left="143"/>
              <w:rPr>
                <w:rFonts w:ascii="仿宋" w:hAnsi="仿宋" w:eastAsia="仿宋" w:cs="仿宋"/>
                <w:sz w:val="18"/>
                <w:szCs w:val="18"/>
              </w:rPr>
            </w:pPr>
            <w:r>
              <w:rPr>
                <w:rFonts w:ascii="仿宋" w:hAnsi="仿宋" w:eastAsia="仿宋" w:cs="仿宋"/>
                <w:spacing w:val="-6"/>
                <w:sz w:val="18"/>
                <w:szCs w:val="18"/>
              </w:rPr>
              <w:t>路基</w:t>
            </w:r>
          </w:p>
        </w:tc>
        <w:tc>
          <w:tcPr>
            <w:tcW w:w="450" w:type="dxa"/>
            <w:tcBorders>
              <w:top w:val="single" w:color="000000" w:sz="10" w:space="0"/>
            </w:tcBorders>
            <w:vAlign w:val="top"/>
          </w:tcPr>
          <w:p w14:paraId="7507D7DF">
            <w:pPr>
              <w:spacing w:line="309" w:lineRule="auto"/>
              <w:rPr>
                <w:rFonts w:ascii="Arial"/>
                <w:sz w:val="21"/>
              </w:rPr>
            </w:pPr>
          </w:p>
          <w:p w14:paraId="79293C9A">
            <w:pPr>
              <w:spacing w:line="309" w:lineRule="auto"/>
              <w:rPr>
                <w:rFonts w:ascii="Arial"/>
                <w:sz w:val="21"/>
              </w:rPr>
            </w:pPr>
          </w:p>
          <w:p w14:paraId="70E1298B">
            <w:pPr>
              <w:spacing w:before="58" w:line="223" w:lineRule="auto"/>
              <w:ind w:left="53"/>
              <w:rPr>
                <w:rFonts w:ascii="仿宋" w:hAnsi="仿宋" w:eastAsia="仿宋" w:cs="仿宋"/>
                <w:sz w:val="18"/>
                <w:szCs w:val="18"/>
              </w:rPr>
            </w:pPr>
            <w:r>
              <w:rPr>
                <w:rFonts w:ascii="仿宋" w:hAnsi="仿宋" w:eastAsia="仿宋" w:cs="仿宋"/>
                <w:spacing w:val="-6"/>
                <w:sz w:val="18"/>
                <w:szCs w:val="18"/>
              </w:rPr>
              <w:t>路左</w:t>
            </w:r>
          </w:p>
        </w:tc>
        <w:tc>
          <w:tcPr>
            <w:tcW w:w="940" w:type="dxa"/>
            <w:tcBorders>
              <w:top w:val="single" w:color="000000" w:sz="10" w:space="0"/>
            </w:tcBorders>
            <w:vAlign w:val="top"/>
          </w:tcPr>
          <w:p w14:paraId="6ABC6288">
            <w:pPr>
              <w:spacing w:line="309" w:lineRule="auto"/>
              <w:rPr>
                <w:rFonts w:ascii="Arial"/>
                <w:sz w:val="21"/>
              </w:rPr>
            </w:pPr>
          </w:p>
          <w:p w14:paraId="138405AB">
            <w:pPr>
              <w:spacing w:line="309" w:lineRule="auto"/>
              <w:rPr>
                <w:rFonts w:ascii="Arial"/>
                <w:sz w:val="21"/>
              </w:rPr>
            </w:pPr>
          </w:p>
          <w:p w14:paraId="1F03CD89">
            <w:pPr>
              <w:spacing w:before="59"/>
              <w:ind w:left="298"/>
              <w:rPr>
                <w:rFonts w:ascii="仿宋" w:hAnsi="仿宋" w:eastAsia="仿宋" w:cs="仿宋"/>
                <w:sz w:val="18"/>
                <w:szCs w:val="18"/>
              </w:rPr>
            </w:pPr>
            <w:r>
              <w:rPr>
                <w:rFonts w:ascii="仿宋" w:hAnsi="仿宋" w:eastAsia="仿宋" w:cs="仿宋"/>
                <w:spacing w:val="-3"/>
                <w:sz w:val="18"/>
                <w:szCs w:val="18"/>
              </w:rPr>
              <w:t>3.47</w:t>
            </w:r>
          </w:p>
        </w:tc>
        <w:tc>
          <w:tcPr>
            <w:tcW w:w="1307" w:type="dxa"/>
            <w:tcBorders>
              <w:top w:val="single" w:color="000000" w:sz="10" w:space="0"/>
            </w:tcBorders>
            <w:vAlign w:val="top"/>
          </w:tcPr>
          <w:p w14:paraId="49D1A681">
            <w:pPr>
              <w:spacing w:line="309" w:lineRule="auto"/>
              <w:rPr>
                <w:rFonts w:ascii="Arial"/>
                <w:sz w:val="21"/>
              </w:rPr>
            </w:pPr>
          </w:p>
          <w:p w14:paraId="786356B6">
            <w:pPr>
              <w:spacing w:line="309" w:lineRule="auto"/>
              <w:rPr>
                <w:rFonts w:ascii="Arial"/>
                <w:sz w:val="21"/>
              </w:rPr>
            </w:pPr>
          </w:p>
          <w:p w14:paraId="4F01BD1B">
            <w:pPr>
              <w:spacing w:before="59"/>
              <w:ind w:left="445"/>
              <w:rPr>
                <w:rFonts w:ascii="仿宋" w:hAnsi="仿宋" w:eastAsia="仿宋" w:cs="仿宋"/>
                <w:sz w:val="18"/>
                <w:szCs w:val="18"/>
              </w:rPr>
            </w:pPr>
            <w:r>
              <w:rPr>
                <w:rFonts w:ascii="仿宋" w:hAnsi="仿宋" w:eastAsia="仿宋" w:cs="仿宋"/>
                <w:spacing w:val="-4"/>
                <w:sz w:val="18"/>
                <w:szCs w:val="18"/>
              </w:rPr>
              <w:t>10.75</w:t>
            </w:r>
          </w:p>
        </w:tc>
        <w:tc>
          <w:tcPr>
            <w:tcW w:w="888" w:type="dxa"/>
            <w:tcBorders>
              <w:top w:val="single" w:color="000000" w:sz="10" w:space="0"/>
            </w:tcBorders>
            <w:vAlign w:val="top"/>
          </w:tcPr>
          <w:p w14:paraId="2B4819B6">
            <w:pPr>
              <w:spacing w:line="309" w:lineRule="auto"/>
              <w:rPr>
                <w:rFonts w:ascii="Arial"/>
                <w:sz w:val="21"/>
              </w:rPr>
            </w:pPr>
          </w:p>
          <w:p w14:paraId="7EE52781">
            <w:pPr>
              <w:spacing w:line="309" w:lineRule="auto"/>
              <w:rPr>
                <w:rFonts w:ascii="Arial"/>
                <w:sz w:val="21"/>
              </w:rPr>
            </w:pPr>
          </w:p>
          <w:p w14:paraId="47078F01">
            <w:pPr>
              <w:spacing w:before="58" w:line="241" w:lineRule="auto"/>
              <w:ind w:left="369"/>
              <w:rPr>
                <w:rFonts w:ascii="仿宋" w:hAnsi="仿宋" w:eastAsia="仿宋" w:cs="仿宋"/>
                <w:sz w:val="18"/>
                <w:szCs w:val="18"/>
              </w:rPr>
            </w:pPr>
            <w:r>
              <w:rPr>
                <w:rFonts w:ascii="仿宋" w:hAnsi="仿宋" w:eastAsia="仿宋" w:cs="仿宋"/>
                <w:spacing w:val="-10"/>
                <w:sz w:val="18"/>
                <w:szCs w:val="18"/>
              </w:rPr>
              <w:t>13</w:t>
            </w:r>
          </w:p>
        </w:tc>
        <w:tc>
          <w:tcPr>
            <w:tcW w:w="1684" w:type="dxa"/>
            <w:tcBorders>
              <w:top w:val="single" w:color="000000" w:sz="10" w:space="0"/>
            </w:tcBorders>
            <w:vAlign w:val="top"/>
          </w:tcPr>
          <w:p w14:paraId="682FEF85">
            <w:pPr>
              <w:spacing w:line="309" w:lineRule="auto"/>
              <w:rPr>
                <w:rFonts w:ascii="Arial"/>
                <w:sz w:val="21"/>
              </w:rPr>
            </w:pPr>
          </w:p>
          <w:p w14:paraId="4FA38852">
            <w:pPr>
              <w:spacing w:line="309" w:lineRule="auto"/>
              <w:rPr>
                <w:rFonts w:ascii="Arial"/>
                <w:sz w:val="21"/>
              </w:rPr>
            </w:pPr>
          </w:p>
          <w:p w14:paraId="5F12B507">
            <w:pPr>
              <w:spacing w:before="59" w:line="224" w:lineRule="auto"/>
              <w:ind w:left="725"/>
              <w:rPr>
                <w:rFonts w:ascii="仿宋" w:hAnsi="仿宋" w:eastAsia="仿宋" w:cs="仿宋"/>
                <w:sz w:val="18"/>
                <w:szCs w:val="18"/>
              </w:rPr>
            </w:pPr>
            <w:r>
              <w:rPr>
                <w:rFonts w:ascii="仿宋" w:hAnsi="仿宋" w:eastAsia="仿宋" w:cs="仿宋"/>
                <w:spacing w:val="-10"/>
                <w:sz w:val="18"/>
                <w:szCs w:val="18"/>
              </w:rPr>
              <w:t>1类</w:t>
            </w:r>
          </w:p>
        </w:tc>
        <w:tc>
          <w:tcPr>
            <w:tcW w:w="762" w:type="dxa"/>
            <w:tcBorders>
              <w:top w:val="single" w:color="000000" w:sz="10" w:space="0"/>
            </w:tcBorders>
            <w:vAlign w:val="top"/>
          </w:tcPr>
          <w:p w14:paraId="558DE159">
            <w:pPr>
              <w:spacing w:line="309" w:lineRule="auto"/>
              <w:rPr>
                <w:rFonts w:ascii="Arial"/>
                <w:sz w:val="21"/>
              </w:rPr>
            </w:pPr>
          </w:p>
          <w:p w14:paraId="29596D16">
            <w:pPr>
              <w:spacing w:line="309" w:lineRule="auto"/>
              <w:rPr>
                <w:rFonts w:ascii="Arial"/>
                <w:sz w:val="21"/>
              </w:rPr>
            </w:pPr>
          </w:p>
          <w:p w14:paraId="6E0A02B5">
            <w:pPr>
              <w:spacing w:before="58" w:line="223" w:lineRule="auto"/>
              <w:ind w:left="82"/>
              <w:rPr>
                <w:rFonts w:ascii="仿宋" w:hAnsi="仿宋" w:eastAsia="仿宋" w:cs="仿宋"/>
                <w:sz w:val="18"/>
                <w:szCs w:val="18"/>
              </w:rPr>
            </w:pPr>
            <w:r>
              <w:rPr>
                <w:rFonts w:ascii="仿宋" w:hAnsi="仿宋" w:eastAsia="仿宋" w:cs="仿宋"/>
                <w:spacing w:val="-4"/>
                <w:sz w:val="18"/>
                <w:szCs w:val="18"/>
              </w:rPr>
              <w:t>1户/3人</w:t>
            </w:r>
          </w:p>
        </w:tc>
        <w:tc>
          <w:tcPr>
            <w:tcW w:w="2129" w:type="dxa"/>
            <w:tcBorders>
              <w:top w:val="single" w:color="000000" w:sz="10" w:space="0"/>
            </w:tcBorders>
            <w:vAlign w:val="top"/>
          </w:tcPr>
          <w:p w14:paraId="59853A72">
            <w:pPr>
              <w:spacing w:line="250" w:lineRule="auto"/>
              <w:rPr>
                <w:rFonts w:ascii="Arial"/>
                <w:sz w:val="21"/>
              </w:rPr>
            </w:pPr>
          </w:p>
          <w:p w14:paraId="456ABBEC">
            <w:pPr>
              <w:spacing w:line="251" w:lineRule="auto"/>
              <w:rPr>
                <w:rFonts w:ascii="Arial"/>
                <w:sz w:val="21"/>
              </w:rPr>
            </w:pPr>
          </w:p>
          <w:p w14:paraId="630F997C">
            <w:pPr>
              <w:spacing w:before="59"/>
              <w:ind w:left="14" w:firstLine="22"/>
              <w:rPr>
                <w:rFonts w:ascii="仿宋" w:hAnsi="仿宋" w:eastAsia="仿宋" w:cs="仿宋"/>
                <w:sz w:val="18"/>
                <w:szCs w:val="18"/>
              </w:rPr>
            </w:pPr>
            <w:r>
              <w:rPr>
                <w:rFonts w:ascii="仿宋" w:hAnsi="仿宋" w:eastAsia="仿宋" w:cs="仿宋"/>
                <w:spacing w:val="-2"/>
                <w:sz w:val="18"/>
                <w:szCs w:val="18"/>
              </w:rPr>
              <w:t>砖混，1层平房，侧向拟建</w:t>
            </w:r>
            <w:r>
              <w:rPr>
                <w:rFonts w:ascii="仿宋" w:hAnsi="仿宋" w:eastAsia="仿宋" w:cs="仿宋"/>
                <w:spacing w:val="-5"/>
                <w:sz w:val="18"/>
                <w:szCs w:val="18"/>
              </w:rPr>
              <w:t>道路，地势高于拟建道路。</w:t>
            </w:r>
          </w:p>
        </w:tc>
        <w:tc>
          <w:tcPr>
            <w:tcW w:w="2112" w:type="dxa"/>
            <w:tcBorders>
              <w:top w:val="single" w:color="000000" w:sz="10" w:space="0"/>
              <w:right w:val="nil"/>
            </w:tcBorders>
            <w:vAlign w:val="top"/>
          </w:tcPr>
          <w:p w14:paraId="14F0EC78">
            <w:pPr>
              <w:spacing w:before="6" w:line="1518" w:lineRule="exact"/>
              <w:ind w:firstLine="95"/>
            </w:pPr>
            <w:r>
              <w:rPr>
                <w:position w:val="-30"/>
              </w:rPr>
              <w:drawing>
                <wp:inline distT="0" distB="0" distL="0" distR="0">
                  <wp:extent cx="1211580" cy="963930"/>
                  <wp:effectExtent l="0" t="0" r="0" b="0"/>
                  <wp:docPr id="174" name="IM 174"/>
                  <wp:cNvGraphicFramePr/>
                  <a:graphic xmlns:a="http://schemas.openxmlformats.org/drawingml/2006/main">
                    <a:graphicData uri="http://schemas.openxmlformats.org/drawingml/2006/picture">
                      <pic:pic xmlns:pic="http://schemas.openxmlformats.org/drawingml/2006/picture">
                        <pic:nvPicPr>
                          <pic:cNvPr id="174" name="IM 174"/>
                          <pic:cNvPicPr/>
                        </pic:nvPicPr>
                        <pic:blipFill>
                          <a:blip r:embed="rId357"/>
                          <a:stretch>
                            <a:fillRect/>
                          </a:stretch>
                        </pic:blipFill>
                        <pic:spPr>
                          <a:xfrm>
                            <a:off x="0" y="0"/>
                            <a:ext cx="1211580" cy="964438"/>
                          </a:xfrm>
                          <a:prstGeom prst="rect">
                            <a:avLst/>
                          </a:prstGeom>
                        </pic:spPr>
                      </pic:pic>
                    </a:graphicData>
                  </a:graphic>
                </wp:inline>
              </w:drawing>
            </w:r>
          </w:p>
        </w:tc>
      </w:tr>
      <w:tr w14:paraId="6D099B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0" w:hRule="atLeast"/>
        </w:trPr>
        <w:tc>
          <w:tcPr>
            <w:tcW w:w="328" w:type="dxa"/>
            <w:vMerge w:val="restart"/>
            <w:tcBorders>
              <w:left w:val="nil"/>
              <w:bottom w:val="nil"/>
            </w:tcBorders>
            <w:vAlign w:val="top"/>
          </w:tcPr>
          <w:p w14:paraId="446D63C2">
            <w:pPr>
              <w:spacing w:line="316" w:lineRule="auto"/>
              <w:rPr>
                <w:rFonts w:ascii="Arial"/>
                <w:sz w:val="21"/>
              </w:rPr>
            </w:pPr>
          </w:p>
          <w:p w14:paraId="1A71EBCF">
            <w:pPr>
              <w:spacing w:line="317" w:lineRule="auto"/>
              <w:rPr>
                <w:rFonts w:ascii="Arial"/>
                <w:sz w:val="21"/>
              </w:rPr>
            </w:pPr>
          </w:p>
          <w:p w14:paraId="6F77F85A">
            <w:pPr>
              <w:spacing w:before="58" w:line="241" w:lineRule="auto"/>
              <w:ind w:left="123"/>
              <w:rPr>
                <w:rFonts w:ascii="仿宋" w:hAnsi="仿宋" w:eastAsia="仿宋" w:cs="仿宋"/>
                <w:sz w:val="18"/>
                <w:szCs w:val="18"/>
              </w:rPr>
            </w:pPr>
            <w:r>
              <w:rPr>
                <w:rFonts w:ascii="仿宋" w:hAnsi="仿宋" w:eastAsia="仿宋" w:cs="仿宋"/>
                <w:sz w:val="18"/>
                <w:szCs w:val="18"/>
              </w:rPr>
              <w:t>6</w:t>
            </w:r>
          </w:p>
        </w:tc>
        <w:tc>
          <w:tcPr>
            <w:tcW w:w="720" w:type="dxa"/>
            <w:vMerge w:val="restart"/>
            <w:tcBorders>
              <w:bottom w:val="nil"/>
            </w:tcBorders>
            <w:vAlign w:val="top"/>
          </w:tcPr>
          <w:p w14:paraId="3877847D">
            <w:pPr>
              <w:spacing w:line="316" w:lineRule="auto"/>
              <w:rPr>
                <w:rFonts w:ascii="Arial"/>
                <w:sz w:val="21"/>
              </w:rPr>
            </w:pPr>
          </w:p>
          <w:p w14:paraId="60DD2BB0">
            <w:pPr>
              <w:spacing w:line="317" w:lineRule="auto"/>
              <w:rPr>
                <w:rFonts w:ascii="Arial"/>
                <w:sz w:val="21"/>
              </w:rPr>
            </w:pPr>
          </w:p>
          <w:p w14:paraId="60ABC30A">
            <w:pPr>
              <w:spacing w:before="59" w:line="222" w:lineRule="auto"/>
              <w:ind w:left="109"/>
              <w:rPr>
                <w:rFonts w:ascii="仿宋" w:hAnsi="仿宋" w:eastAsia="仿宋" w:cs="仿宋"/>
                <w:sz w:val="18"/>
                <w:szCs w:val="18"/>
              </w:rPr>
            </w:pPr>
            <w:r>
              <w:rPr>
                <w:rFonts w:ascii="仿宋" w:hAnsi="仿宋" w:eastAsia="仿宋" w:cs="仿宋"/>
                <w:spacing w:val="-8"/>
                <w:sz w:val="18"/>
                <w:szCs w:val="18"/>
              </w:rPr>
              <w:t>陈家梁</w:t>
            </w:r>
          </w:p>
        </w:tc>
        <w:tc>
          <w:tcPr>
            <w:tcW w:w="975" w:type="dxa"/>
            <w:vMerge w:val="continue"/>
            <w:tcBorders>
              <w:top w:val="nil"/>
              <w:bottom w:val="nil"/>
            </w:tcBorders>
            <w:vAlign w:val="top"/>
          </w:tcPr>
          <w:p w14:paraId="05C50B1A">
            <w:pPr>
              <w:rPr>
                <w:rFonts w:ascii="Arial"/>
                <w:sz w:val="21"/>
              </w:rPr>
            </w:pPr>
          </w:p>
        </w:tc>
        <w:tc>
          <w:tcPr>
            <w:tcW w:w="1035" w:type="dxa"/>
            <w:vMerge w:val="restart"/>
            <w:tcBorders>
              <w:bottom w:val="nil"/>
            </w:tcBorders>
            <w:vAlign w:val="top"/>
          </w:tcPr>
          <w:p w14:paraId="3501ABA4">
            <w:pPr>
              <w:spacing w:line="258" w:lineRule="auto"/>
              <w:rPr>
                <w:rFonts w:ascii="Arial"/>
                <w:sz w:val="21"/>
              </w:rPr>
            </w:pPr>
          </w:p>
          <w:p w14:paraId="1F708444">
            <w:pPr>
              <w:spacing w:line="258" w:lineRule="auto"/>
              <w:rPr>
                <w:rFonts w:ascii="Arial"/>
                <w:sz w:val="21"/>
              </w:rPr>
            </w:pPr>
          </w:p>
          <w:p w14:paraId="2B2151D3">
            <w:pPr>
              <w:spacing w:before="58" w:line="239" w:lineRule="auto"/>
              <w:ind w:left="158"/>
              <w:rPr>
                <w:rFonts w:ascii="仿宋" w:hAnsi="仿宋" w:eastAsia="仿宋" w:cs="仿宋"/>
                <w:sz w:val="18"/>
                <w:szCs w:val="18"/>
              </w:rPr>
            </w:pPr>
            <w:r>
              <w:rPr>
                <w:rFonts w:ascii="仿宋" w:hAnsi="仿宋" w:eastAsia="仿宋" w:cs="仿宋"/>
                <w:spacing w:val="9"/>
                <w:sz w:val="18"/>
                <w:szCs w:val="18"/>
              </w:rPr>
              <w:t>K2+030~</w:t>
            </w:r>
          </w:p>
          <w:p w14:paraId="780A77B3">
            <w:pPr>
              <w:spacing w:line="241" w:lineRule="auto"/>
              <w:ind w:left="247"/>
              <w:rPr>
                <w:rFonts w:ascii="仿宋" w:hAnsi="仿宋" w:eastAsia="仿宋" w:cs="仿宋"/>
                <w:sz w:val="18"/>
                <w:szCs w:val="18"/>
              </w:rPr>
            </w:pPr>
            <w:r>
              <w:rPr>
                <w:rFonts w:ascii="仿宋" w:hAnsi="仿宋" w:eastAsia="仿宋" w:cs="仿宋"/>
                <w:spacing w:val="-1"/>
                <w:sz w:val="18"/>
                <w:szCs w:val="18"/>
              </w:rPr>
              <w:t>K2+140</w:t>
            </w:r>
          </w:p>
        </w:tc>
        <w:tc>
          <w:tcPr>
            <w:tcW w:w="630" w:type="dxa"/>
            <w:vMerge w:val="restart"/>
            <w:tcBorders>
              <w:bottom w:val="nil"/>
            </w:tcBorders>
            <w:vAlign w:val="top"/>
          </w:tcPr>
          <w:p w14:paraId="0DD748D1">
            <w:pPr>
              <w:spacing w:line="316" w:lineRule="auto"/>
              <w:rPr>
                <w:rFonts w:ascii="Arial"/>
                <w:sz w:val="21"/>
              </w:rPr>
            </w:pPr>
          </w:p>
          <w:p w14:paraId="6F7C8394">
            <w:pPr>
              <w:spacing w:line="317" w:lineRule="auto"/>
              <w:rPr>
                <w:rFonts w:ascii="Arial"/>
                <w:sz w:val="21"/>
              </w:rPr>
            </w:pPr>
          </w:p>
          <w:p w14:paraId="6DD0BF14">
            <w:pPr>
              <w:spacing w:before="58" w:line="223" w:lineRule="auto"/>
              <w:ind w:left="143"/>
              <w:rPr>
                <w:rFonts w:ascii="仿宋" w:hAnsi="仿宋" w:eastAsia="仿宋" w:cs="仿宋"/>
                <w:sz w:val="18"/>
                <w:szCs w:val="18"/>
              </w:rPr>
            </w:pPr>
            <w:r>
              <w:rPr>
                <w:rFonts w:ascii="仿宋" w:hAnsi="仿宋" w:eastAsia="仿宋" w:cs="仿宋"/>
                <w:spacing w:val="-6"/>
                <w:sz w:val="18"/>
                <w:szCs w:val="18"/>
              </w:rPr>
              <w:t>路基</w:t>
            </w:r>
          </w:p>
        </w:tc>
        <w:tc>
          <w:tcPr>
            <w:tcW w:w="450" w:type="dxa"/>
            <w:vAlign w:val="top"/>
          </w:tcPr>
          <w:p w14:paraId="5697F4BE">
            <w:pPr>
              <w:spacing w:before="299" w:line="223" w:lineRule="auto"/>
              <w:ind w:left="53"/>
              <w:rPr>
                <w:rFonts w:ascii="仿宋" w:hAnsi="仿宋" w:eastAsia="仿宋" w:cs="仿宋"/>
                <w:sz w:val="18"/>
                <w:szCs w:val="18"/>
              </w:rPr>
            </w:pPr>
            <w:r>
              <w:rPr>
                <w:rFonts w:ascii="仿宋" w:hAnsi="仿宋" w:eastAsia="仿宋" w:cs="仿宋"/>
                <w:spacing w:val="-6"/>
                <w:sz w:val="18"/>
                <w:szCs w:val="18"/>
              </w:rPr>
              <w:t>路左</w:t>
            </w:r>
          </w:p>
        </w:tc>
        <w:tc>
          <w:tcPr>
            <w:tcW w:w="940" w:type="dxa"/>
            <w:vAlign w:val="top"/>
          </w:tcPr>
          <w:p w14:paraId="4D351516">
            <w:pPr>
              <w:rPr>
                <w:rFonts w:ascii="Arial"/>
                <w:sz w:val="21"/>
              </w:rPr>
            </w:pPr>
          </w:p>
          <w:p w14:paraId="763B0277">
            <w:pPr>
              <w:spacing w:before="58"/>
              <w:ind w:left="247"/>
              <w:rPr>
                <w:rFonts w:ascii="仿宋" w:hAnsi="仿宋" w:eastAsia="仿宋" w:cs="仿宋"/>
                <w:sz w:val="18"/>
                <w:szCs w:val="18"/>
              </w:rPr>
            </w:pPr>
            <w:r>
              <w:rPr>
                <w:rFonts w:ascii="仿宋" w:hAnsi="仿宋" w:eastAsia="仿宋" w:cs="仿宋"/>
                <w:spacing w:val="-1"/>
                <w:sz w:val="18"/>
                <w:szCs w:val="18"/>
              </w:rPr>
              <w:t>-2.18</w:t>
            </w:r>
          </w:p>
        </w:tc>
        <w:tc>
          <w:tcPr>
            <w:tcW w:w="1307" w:type="dxa"/>
            <w:vAlign w:val="top"/>
          </w:tcPr>
          <w:p w14:paraId="519AAFD0">
            <w:pPr>
              <w:rPr>
                <w:rFonts w:ascii="Arial"/>
                <w:sz w:val="21"/>
              </w:rPr>
            </w:pPr>
          </w:p>
          <w:p w14:paraId="1A79E1F1">
            <w:pPr>
              <w:spacing w:before="58"/>
              <w:ind w:left="479"/>
              <w:rPr>
                <w:rFonts w:ascii="仿宋" w:hAnsi="仿宋" w:eastAsia="仿宋" w:cs="仿宋"/>
                <w:sz w:val="18"/>
                <w:szCs w:val="18"/>
              </w:rPr>
            </w:pPr>
            <w:r>
              <w:rPr>
                <w:rFonts w:ascii="仿宋" w:hAnsi="仿宋" w:eastAsia="仿宋" w:cs="仿宋"/>
                <w:spacing w:val="-3"/>
                <w:sz w:val="18"/>
                <w:szCs w:val="18"/>
              </w:rPr>
              <w:t>7.25</w:t>
            </w:r>
          </w:p>
        </w:tc>
        <w:tc>
          <w:tcPr>
            <w:tcW w:w="888" w:type="dxa"/>
            <w:vAlign w:val="top"/>
          </w:tcPr>
          <w:p w14:paraId="33A60959">
            <w:pPr>
              <w:rPr>
                <w:rFonts w:ascii="Arial"/>
                <w:sz w:val="21"/>
              </w:rPr>
            </w:pPr>
          </w:p>
          <w:p w14:paraId="6DE23AD8">
            <w:pPr>
              <w:spacing w:before="58"/>
              <w:ind w:left="314"/>
              <w:rPr>
                <w:rFonts w:ascii="仿宋" w:hAnsi="仿宋" w:eastAsia="仿宋" w:cs="仿宋"/>
                <w:sz w:val="18"/>
                <w:szCs w:val="18"/>
              </w:rPr>
            </w:pPr>
            <w:r>
              <w:rPr>
                <w:rFonts w:ascii="仿宋" w:hAnsi="仿宋" w:eastAsia="仿宋" w:cs="仿宋"/>
                <w:spacing w:val="-2"/>
                <w:sz w:val="18"/>
                <w:szCs w:val="18"/>
              </w:rPr>
              <w:t>9.5</w:t>
            </w:r>
          </w:p>
        </w:tc>
        <w:tc>
          <w:tcPr>
            <w:tcW w:w="1684" w:type="dxa"/>
            <w:vMerge w:val="restart"/>
            <w:tcBorders>
              <w:bottom w:val="nil"/>
            </w:tcBorders>
            <w:vAlign w:val="top"/>
          </w:tcPr>
          <w:p w14:paraId="3CD2AE82">
            <w:pPr>
              <w:spacing w:line="316" w:lineRule="auto"/>
              <w:rPr>
                <w:rFonts w:ascii="Arial"/>
                <w:sz w:val="21"/>
              </w:rPr>
            </w:pPr>
          </w:p>
          <w:p w14:paraId="73AF771E">
            <w:pPr>
              <w:spacing w:line="317" w:lineRule="auto"/>
              <w:rPr>
                <w:rFonts w:ascii="Arial"/>
                <w:sz w:val="21"/>
              </w:rPr>
            </w:pPr>
          </w:p>
          <w:p w14:paraId="7CEAC6C0">
            <w:pPr>
              <w:spacing w:before="59" w:line="224" w:lineRule="auto"/>
              <w:ind w:left="725"/>
              <w:rPr>
                <w:rFonts w:ascii="仿宋" w:hAnsi="仿宋" w:eastAsia="仿宋" w:cs="仿宋"/>
                <w:sz w:val="18"/>
                <w:szCs w:val="18"/>
              </w:rPr>
            </w:pPr>
            <w:r>
              <w:rPr>
                <w:rFonts w:ascii="仿宋" w:hAnsi="仿宋" w:eastAsia="仿宋" w:cs="仿宋"/>
                <w:spacing w:val="-10"/>
                <w:sz w:val="18"/>
                <w:szCs w:val="18"/>
              </w:rPr>
              <w:t>1类</w:t>
            </w:r>
          </w:p>
        </w:tc>
        <w:tc>
          <w:tcPr>
            <w:tcW w:w="762" w:type="dxa"/>
            <w:vAlign w:val="top"/>
          </w:tcPr>
          <w:p w14:paraId="0E46283E">
            <w:pPr>
              <w:spacing w:before="299" w:line="223" w:lineRule="auto"/>
              <w:ind w:left="71"/>
              <w:rPr>
                <w:rFonts w:ascii="仿宋" w:hAnsi="仿宋" w:eastAsia="仿宋" w:cs="仿宋"/>
                <w:sz w:val="18"/>
                <w:szCs w:val="18"/>
              </w:rPr>
            </w:pPr>
            <w:r>
              <w:rPr>
                <w:rFonts w:ascii="仿宋" w:hAnsi="仿宋" w:eastAsia="仿宋" w:cs="仿宋"/>
                <w:spacing w:val="-2"/>
                <w:sz w:val="18"/>
                <w:szCs w:val="18"/>
              </w:rPr>
              <w:t>2户/6人</w:t>
            </w:r>
          </w:p>
        </w:tc>
        <w:tc>
          <w:tcPr>
            <w:tcW w:w="2129" w:type="dxa"/>
            <w:vMerge w:val="restart"/>
            <w:tcBorders>
              <w:bottom w:val="nil"/>
            </w:tcBorders>
            <w:vAlign w:val="top"/>
          </w:tcPr>
          <w:p w14:paraId="2BE43DA0">
            <w:pPr>
              <w:spacing w:line="285" w:lineRule="auto"/>
              <w:rPr>
                <w:rFonts w:ascii="Arial"/>
                <w:sz w:val="21"/>
              </w:rPr>
            </w:pPr>
          </w:p>
          <w:p w14:paraId="00ED69BF">
            <w:pPr>
              <w:spacing w:before="58" w:line="223" w:lineRule="auto"/>
              <w:ind w:left="37"/>
              <w:rPr>
                <w:rFonts w:ascii="仿宋" w:hAnsi="仿宋" w:eastAsia="仿宋" w:cs="仿宋"/>
                <w:sz w:val="18"/>
                <w:szCs w:val="18"/>
              </w:rPr>
            </w:pPr>
            <w:r>
              <w:rPr>
                <w:rFonts w:ascii="仿宋" w:hAnsi="仿宋" w:eastAsia="仿宋" w:cs="仿宋"/>
                <w:spacing w:val="-1"/>
                <w:sz w:val="18"/>
                <w:szCs w:val="18"/>
              </w:rPr>
              <w:t>砖混，1层平房，侧向拟建</w:t>
            </w:r>
          </w:p>
          <w:p w14:paraId="092AA645">
            <w:pPr>
              <w:spacing w:before="15" w:line="223" w:lineRule="auto"/>
              <w:ind w:left="14"/>
              <w:rPr>
                <w:rFonts w:ascii="仿宋" w:hAnsi="仿宋" w:eastAsia="仿宋" w:cs="仿宋"/>
                <w:sz w:val="18"/>
                <w:szCs w:val="18"/>
              </w:rPr>
            </w:pPr>
            <w:r>
              <w:rPr>
                <w:rFonts w:ascii="仿宋" w:hAnsi="仿宋" w:eastAsia="仿宋" w:cs="仿宋"/>
                <w:spacing w:val="-5"/>
                <w:sz w:val="18"/>
                <w:szCs w:val="18"/>
              </w:rPr>
              <w:t>道路，道路右侧地面地势高</w:t>
            </w:r>
          </w:p>
          <w:p w14:paraId="662C7B43">
            <w:pPr>
              <w:spacing w:before="15" w:line="223" w:lineRule="auto"/>
              <w:ind w:right="2"/>
              <w:jc w:val="right"/>
              <w:rPr>
                <w:rFonts w:ascii="仿宋" w:hAnsi="仿宋" w:eastAsia="仿宋" w:cs="仿宋"/>
                <w:sz w:val="18"/>
                <w:szCs w:val="18"/>
              </w:rPr>
            </w:pPr>
            <w:r>
              <w:rPr>
                <w:rFonts w:ascii="仿宋" w:hAnsi="仿宋" w:eastAsia="仿宋" w:cs="仿宋"/>
                <w:spacing w:val="-5"/>
                <w:sz w:val="18"/>
                <w:szCs w:val="18"/>
              </w:rPr>
              <w:t>于拟建道路，左侧低于拟建</w:t>
            </w:r>
          </w:p>
          <w:p w14:paraId="678D5968">
            <w:pPr>
              <w:spacing w:before="17" w:line="223" w:lineRule="auto"/>
              <w:ind w:left="804"/>
              <w:rPr>
                <w:rFonts w:ascii="仿宋" w:hAnsi="仿宋" w:eastAsia="仿宋" w:cs="仿宋"/>
                <w:sz w:val="18"/>
                <w:szCs w:val="18"/>
              </w:rPr>
            </w:pPr>
            <w:r>
              <w:rPr>
                <w:rFonts w:ascii="仿宋" w:hAnsi="仿宋" w:eastAsia="仿宋" w:cs="仿宋"/>
                <w:spacing w:val="-5"/>
                <w:sz w:val="18"/>
                <w:szCs w:val="18"/>
              </w:rPr>
              <w:t>道路。</w:t>
            </w:r>
          </w:p>
        </w:tc>
        <w:tc>
          <w:tcPr>
            <w:tcW w:w="2112" w:type="dxa"/>
            <w:vMerge w:val="restart"/>
            <w:tcBorders>
              <w:bottom w:val="nil"/>
              <w:right w:val="nil"/>
            </w:tcBorders>
            <w:vAlign w:val="top"/>
          </w:tcPr>
          <w:p w14:paraId="1DB2350B">
            <w:pPr>
              <w:spacing w:before="4" w:line="1545" w:lineRule="exact"/>
              <w:ind w:firstLine="80"/>
            </w:pPr>
            <w:r>
              <w:rPr>
                <w:position w:val="-30"/>
              </w:rPr>
              <w:drawing>
                <wp:inline distT="0" distB="0" distL="0" distR="0">
                  <wp:extent cx="1234440" cy="980440"/>
                  <wp:effectExtent l="0" t="0" r="0" b="0"/>
                  <wp:docPr id="176" name="IM 176"/>
                  <wp:cNvGraphicFramePr/>
                  <a:graphic xmlns:a="http://schemas.openxmlformats.org/drawingml/2006/main">
                    <a:graphicData uri="http://schemas.openxmlformats.org/drawingml/2006/picture">
                      <pic:pic xmlns:pic="http://schemas.openxmlformats.org/drawingml/2006/picture">
                        <pic:nvPicPr>
                          <pic:cNvPr id="176" name="IM 176"/>
                          <pic:cNvPicPr/>
                        </pic:nvPicPr>
                        <pic:blipFill>
                          <a:blip r:embed="rId358"/>
                          <a:stretch>
                            <a:fillRect/>
                          </a:stretch>
                        </pic:blipFill>
                        <pic:spPr>
                          <a:xfrm>
                            <a:off x="0" y="0"/>
                            <a:ext cx="1234440" cy="980694"/>
                          </a:xfrm>
                          <a:prstGeom prst="rect">
                            <a:avLst/>
                          </a:prstGeom>
                        </pic:spPr>
                      </pic:pic>
                    </a:graphicData>
                  </a:graphic>
                </wp:inline>
              </w:drawing>
            </w:r>
          </w:p>
        </w:tc>
      </w:tr>
      <w:tr w14:paraId="12161D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trPr>
        <w:tc>
          <w:tcPr>
            <w:tcW w:w="328" w:type="dxa"/>
            <w:vMerge w:val="continue"/>
            <w:tcBorders>
              <w:top w:val="nil"/>
              <w:left w:val="nil"/>
            </w:tcBorders>
            <w:vAlign w:val="top"/>
          </w:tcPr>
          <w:p w14:paraId="580C523E">
            <w:pPr>
              <w:rPr>
                <w:rFonts w:ascii="Arial"/>
                <w:sz w:val="21"/>
              </w:rPr>
            </w:pPr>
          </w:p>
        </w:tc>
        <w:tc>
          <w:tcPr>
            <w:tcW w:w="720" w:type="dxa"/>
            <w:vMerge w:val="continue"/>
            <w:tcBorders>
              <w:top w:val="nil"/>
            </w:tcBorders>
            <w:vAlign w:val="top"/>
          </w:tcPr>
          <w:p w14:paraId="7771C704">
            <w:pPr>
              <w:rPr>
                <w:rFonts w:ascii="Arial"/>
                <w:sz w:val="21"/>
              </w:rPr>
            </w:pPr>
          </w:p>
        </w:tc>
        <w:tc>
          <w:tcPr>
            <w:tcW w:w="975" w:type="dxa"/>
            <w:vMerge w:val="continue"/>
            <w:tcBorders>
              <w:top w:val="nil"/>
              <w:bottom w:val="nil"/>
            </w:tcBorders>
            <w:vAlign w:val="top"/>
          </w:tcPr>
          <w:p w14:paraId="69F72E77">
            <w:pPr>
              <w:rPr>
                <w:rFonts w:ascii="Arial"/>
                <w:sz w:val="21"/>
              </w:rPr>
            </w:pPr>
          </w:p>
        </w:tc>
        <w:tc>
          <w:tcPr>
            <w:tcW w:w="1035" w:type="dxa"/>
            <w:vMerge w:val="continue"/>
            <w:tcBorders>
              <w:top w:val="nil"/>
            </w:tcBorders>
            <w:vAlign w:val="top"/>
          </w:tcPr>
          <w:p w14:paraId="51822F46">
            <w:pPr>
              <w:rPr>
                <w:rFonts w:ascii="Arial"/>
                <w:sz w:val="21"/>
              </w:rPr>
            </w:pPr>
          </w:p>
        </w:tc>
        <w:tc>
          <w:tcPr>
            <w:tcW w:w="630" w:type="dxa"/>
            <w:vMerge w:val="continue"/>
            <w:tcBorders>
              <w:top w:val="nil"/>
            </w:tcBorders>
            <w:vAlign w:val="top"/>
          </w:tcPr>
          <w:p w14:paraId="658A08A3">
            <w:pPr>
              <w:rPr>
                <w:rFonts w:ascii="Arial"/>
                <w:sz w:val="21"/>
              </w:rPr>
            </w:pPr>
          </w:p>
        </w:tc>
        <w:tc>
          <w:tcPr>
            <w:tcW w:w="450" w:type="dxa"/>
            <w:vAlign w:val="top"/>
          </w:tcPr>
          <w:p w14:paraId="5A8076C3">
            <w:pPr>
              <w:spacing w:line="249" w:lineRule="auto"/>
              <w:rPr>
                <w:rFonts w:ascii="Arial"/>
                <w:sz w:val="21"/>
              </w:rPr>
            </w:pPr>
          </w:p>
          <w:p w14:paraId="541F5FD3">
            <w:pPr>
              <w:spacing w:before="59" w:line="223" w:lineRule="auto"/>
              <w:ind w:left="53"/>
              <w:rPr>
                <w:rFonts w:ascii="仿宋" w:hAnsi="仿宋" w:eastAsia="仿宋" w:cs="仿宋"/>
                <w:sz w:val="18"/>
                <w:szCs w:val="18"/>
              </w:rPr>
            </w:pPr>
            <w:r>
              <w:rPr>
                <w:rFonts w:ascii="仿宋" w:hAnsi="仿宋" w:eastAsia="仿宋" w:cs="仿宋"/>
                <w:spacing w:val="-6"/>
                <w:sz w:val="18"/>
                <w:szCs w:val="18"/>
              </w:rPr>
              <w:t>路右</w:t>
            </w:r>
          </w:p>
        </w:tc>
        <w:tc>
          <w:tcPr>
            <w:tcW w:w="940" w:type="dxa"/>
            <w:vAlign w:val="top"/>
          </w:tcPr>
          <w:p w14:paraId="1BDCBAC0">
            <w:pPr>
              <w:spacing w:line="249" w:lineRule="auto"/>
              <w:rPr>
                <w:rFonts w:ascii="Arial"/>
                <w:sz w:val="21"/>
              </w:rPr>
            </w:pPr>
          </w:p>
          <w:p w14:paraId="725FC5A9">
            <w:pPr>
              <w:spacing w:before="59"/>
              <w:ind w:left="340"/>
              <w:rPr>
                <w:rFonts w:ascii="仿宋" w:hAnsi="仿宋" w:eastAsia="仿宋" w:cs="仿宋"/>
                <w:sz w:val="18"/>
                <w:szCs w:val="18"/>
              </w:rPr>
            </w:pPr>
            <w:r>
              <w:rPr>
                <w:rFonts w:ascii="仿宋" w:hAnsi="仿宋" w:eastAsia="仿宋" w:cs="仿宋"/>
                <w:spacing w:val="-3"/>
                <w:sz w:val="18"/>
                <w:szCs w:val="18"/>
              </w:rPr>
              <w:t>2.2</w:t>
            </w:r>
          </w:p>
        </w:tc>
        <w:tc>
          <w:tcPr>
            <w:tcW w:w="1307" w:type="dxa"/>
            <w:vAlign w:val="top"/>
          </w:tcPr>
          <w:p w14:paraId="2BE9187F">
            <w:pPr>
              <w:spacing w:line="249" w:lineRule="auto"/>
              <w:rPr>
                <w:rFonts w:ascii="Arial"/>
                <w:sz w:val="21"/>
              </w:rPr>
            </w:pPr>
          </w:p>
          <w:p w14:paraId="3A09A10C">
            <w:pPr>
              <w:spacing w:before="59"/>
              <w:ind w:left="431"/>
              <w:rPr>
                <w:rFonts w:ascii="仿宋" w:hAnsi="仿宋" w:eastAsia="仿宋" w:cs="仿宋"/>
                <w:sz w:val="18"/>
                <w:szCs w:val="18"/>
              </w:rPr>
            </w:pPr>
            <w:r>
              <w:rPr>
                <w:rFonts w:ascii="仿宋" w:hAnsi="仿宋" w:eastAsia="仿宋" w:cs="仿宋"/>
                <w:spacing w:val="-1"/>
                <w:sz w:val="18"/>
                <w:szCs w:val="18"/>
              </w:rPr>
              <w:t>40.75</w:t>
            </w:r>
          </w:p>
        </w:tc>
        <w:tc>
          <w:tcPr>
            <w:tcW w:w="888" w:type="dxa"/>
            <w:vAlign w:val="top"/>
          </w:tcPr>
          <w:p w14:paraId="471167C1">
            <w:pPr>
              <w:spacing w:line="249" w:lineRule="auto"/>
              <w:rPr>
                <w:rFonts w:ascii="Arial"/>
                <w:sz w:val="21"/>
              </w:rPr>
            </w:pPr>
          </w:p>
          <w:p w14:paraId="30A3BB6C">
            <w:pPr>
              <w:spacing w:before="59"/>
              <w:ind w:left="267"/>
              <w:rPr>
                <w:rFonts w:ascii="仿宋" w:hAnsi="仿宋" w:eastAsia="仿宋" w:cs="仿宋"/>
                <w:sz w:val="18"/>
                <w:szCs w:val="18"/>
              </w:rPr>
            </w:pPr>
            <w:r>
              <w:rPr>
                <w:rFonts w:ascii="仿宋" w:hAnsi="仿宋" w:eastAsia="仿宋" w:cs="仿宋"/>
                <w:spacing w:val="-2"/>
                <w:sz w:val="18"/>
                <w:szCs w:val="18"/>
              </w:rPr>
              <w:t>43.0</w:t>
            </w:r>
          </w:p>
        </w:tc>
        <w:tc>
          <w:tcPr>
            <w:tcW w:w="1684" w:type="dxa"/>
            <w:vMerge w:val="continue"/>
            <w:tcBorders>
              <w:top w:val="nil"/>
            </w:tcBorders>
            <w:vAlign w:val="top"/>
          </w:tcPr>
          <w:p w14:paraId="7ADD031F">
            <w:pPr>
              <w:rPr>
                <w:rFonts w:ascii="Arial"/>
                <w:sz w:val="21"/>
              </w:rPr>
            </w:pPr>
          </w:p>
        </w:tc>
        <w:tc>
          <w:tcPr>
            <w:tcW w:w="762" w:type="dxa"/>
            <w:vAlign w:val="top"/>
          </w:tcPr>
          <w:p w14:paraId="0C6DCD4E">
            <w:pPr>
              <w:spacing w:line="249" w:lineRule="auto"/>
              <w:rPr>
                <w:rFonts w:ascii="Arial"/>
                <w:sz w:val="21"/>
              </w:rPr>
            </w:pPr>
          </w:p>
          <w:p w14:paraId="5713F20A">
            <w:pPr>
              <w:spacing w:before="59" w:line="223" w:lineRule="auto"/>
              <w:ind w:left="27"/>
              <w:rPr>
                <w:rFonts w:ascii="仿宋" w:hAnsi="仿宋" w:eastAsia="仿宋" w:cs="仿宋"/>
                <w:sz w:val="18"/>
                <w:szCs w:val="18"/>
              </w:rPr>
            </w:pPr>
            <w:r>
              <w:rPr>
                <w:rFonts w:ascii="仿宋" w:hAnsi="仿宋" w:eastAsia="仿宋" w:cs="仿宋"/>
                <w:spacing w:val="-2"/>
                <w:sz w:val="18"/>
                <w:szCs w:val="18"/>
              </w:rPr>
              <w:t>3户/11人</w:t>
            </w:r>
          </w:p>
        </w:tc>
        <w:tc>
          <w:tcPr>
            <w:tcW w:w="2129" w:type="dxa"/>
            <w:vMerge w:val="continue"/>
            <w:tcBorders>
              <w:top w:val="nil"/>
            </w:tcBorders>
            <w:vAlign w:val="top"/>
          </w:tcPr>
          <w:p w14:paraId="5E314C21">
            <w:pPr>
              <w:rPr>
                <w:rFonts w:ascii="Arial"/>
                <w:sz w:val="21"/>
              </w:rPr>
            </w:pPr>
          </w:p>
        </w:tc>
        <w:tc>
          <w:tcPr>
            <w:tcW w:w="2112" w:type="dxa"/>
            <w:vMerge w:val="continue"/>
            <w:tcBorders>
              <w:top w:val="nil"/>
              <w:right w:val="nil"/>
            </w:tcBorders>
            <w:vAlign w:val="top"/>
          </w:tcPr>
          <w:p w14:paraId="7FE74123">
            <w:pPr>
              <w:rPr>
                <w:rFonts w:ascii="Arial"/>
                <w:sz w:val="21"/>
              </w:rPr>
            </w:pPr>
          </w:p>
        </w:tc>
      </w:tr>
      <w:tr w14:paraId="1E5201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50" w:hRule="atLeast"/>
        </w:trPr>
        <w:tc>
          <w:tcPr>
            <w:tcW w:w="328" w:type="dxa"/>
            <w:tcBorders>
              <w:left w:val="nil"/>
            </w:tcBorders>
            <w:vAlign w:val="top"/>
          </w:tcPr>
          <w:p w14:paraId="26C713B7">
            <w:pPr>
              <w:spacing w:line="342" w:lineRule="auto"/>
              <w:rPr>
                <w:rFonts w:ascii="Arial"/>
                <w:sz w:val="21"/>
              </w:rPr>
            </w:pPr>
          </w:p>
          <w:p w14:paraId="37A3ACFB">
            <w:pPr>
              <w:spacing w:line="342" w:lineRule="auto"/>
              <w:rPr>
                <w:rFonts w:ascii="Arial"/>
                <w:sz w:val="21"/>
              </w:rPr>
            </w:pPr>
          </w:p>
          <w:p w14:paraId="4025469D">
            <w:pPr>
              <w:spacing w:before="58" w:line="241" w:lineRule="auto"/>
              <w:ind w:left="126"/>
              <w:rPr>
                <w:rFonts w:ascii="仿宋" w:hAnsi="仿宋" w:eastAsia="仿宋" w:cs="仿宋"/>
                <w:sz w:val="18"/>
                <w:szCs w:val="18"/>
              </w:rPr>
            </w:pPr>
            <w:r>
              <w:rPr>
                <w:rFonts w:ascii="仿宋" w:hAnsi="仿宋" w:eastAsia="仿宋" w:cs="仿宋"/>
                <w:sz w:val="18"/>
                <w:szCs w:val="18"/>
              </w:rPr>
              <w:t>7</w:t>
            </w:r>
          </w:p>
        </w:tc>
        <w:tc>
          <w:tcPr>
            <w:tcW w:w="720" w:type="dxa"/>
            <w:vAlign w:val="top"/>
          </w:tcPr>
          <w:p w14:paraId="44FDF53A">
            <w:pPr>
              <w:spacing w:line="283" w:lineRule="auto"/>
              <w:rPr>
                <w:rFonts w:ascii="Arial"/>
                <w:sz w:val="21"/>
              </w:rPr>
            </w:pPr>
          </w:p>
          <w:p w14:paraId="4D331BFF">
            <w:pPr>
              <w:spacing w:line="283" w:lineRule="auto"/>
              <w:rPr>
                <w:rFonts w:ascii="Arial"/>
                <w:sz w:val="21"/>
              </w:rPr>
            </w:pPr>
          </w:p>
          <w:p w14:paraId="036B46A6">
            <w:pPr>
              <w:spacing w:before="59"/>
              <w:ind w:left="142" w:right="86" w:hanging="40"/>
              <w:rPr>
                <w:rFonts w:ascii="仿宋" w:hAnsi="仿宋" w:eastAsia="仿宋" w:cs="仿宋"/>
                <w:sz w:val="18"/>
                <w:szCs w:val="18"/>
              </w:rPr>
            </w:pPr>
            <w:r>
              <w:rPr>
                <w:rFonts w:ascii="仿宋" w:hAnsi="仿宋" w:eastAsia="仿宋" w:cs="仿宋"/>
                <w:spacing w:val="-5"/>
                <w:sz w:val="18"/>
                <w:szCs w:val="18"/>
              </w:rPr>
              <w:t>大圪梁</w:t>
            </w:r>
            <w:r>
              <w:rPr>
                <w:rFonts w:ascii="仿宋" w:hAnsi="仿宋" w:eastAsia="仿宋" w:cs="仿宋"/>
                <w:spacing w:val="-4"/>
                <w:sz w:val="18"/>
                <w:szCs w:val="18"/>
              </w:rPr>
              <w:t>散户1</w:t>
            </w:r>
          </w:p>
        </w:tc>
        <w:tc>
          <w:tcPr>
            <w:tcW w:w="975" w:type="dxa"/>
            <w:vMerge w:val="continue"/>
            <w:tcBorders>
              <w:top w:val="nil"/>
              <w:bottom w:val="nil"/>
            </w:tcBorders>
            <w:vAlign w:val="top"/>
          </w:tcPr>
          <w:p w14:paraId="78BA252B">
            <w:pPr>
              <w:rPr>
                <w:rFonts w:ascii="Arial"/>
                <w:sz w:val="21"/>
              </w:rPr>
            </w:pPr>
          </w:p>
        </w:tc>
        <w:tc>
          <w:tcPr>
            <w:tcW w:w="1035" w:type="dxa"/>
            <w:vAlign w:val="top"/>
          </w:tcPr>
          <w:p w14:paraId="359E2B76">
            <w:pPr>
              <w:spacing w:line="283" w:lineRule="auto"/>
              <w:rPr>
                <w:rFonts w:ascii="Arial"/>
                <w:sz w:val="21"/>
              </w:rPr>
            </w:pPr>
          </w:p>
          <w:p w14:paraId="7B499DEC">
            <w:pPr>
              <w:spacing w:line="284" w:lineRule="auto"/>
              <w:rPr>
                <w:rFonts w:ascii="Arial"/>
                <w:sz w:val="21"/>
              </w:rPr>
            </w:pPr>
          </w:p>
          <w:p w14:paraId="61288C00">
            <w:pPr>
              <w:spacing w:before="58" w:line="239" w:lineRule="auto"/>
              <w:ind w:left="158"/>
              <w:rPr>
                <w:rFonts w:ascii="仿宋" w:hAnsi="仿宋" w:eastAsia="仿宋" w:cs="仿宋"/>
                <w:sz w:val="18"/>
                <w:szCs w:val="18"/>
              </w:rPr>
            </w:pPr>
            <w:r>
              <w:rPr>
                <w:rFonts w:ascii="仿宋" w:hAnsi="仿宋" w:eastAsia="仿宋" w:cs="仿宋"/>
                <w:spacing w:val="9"/>
                <w:sz w:val="18"/>
                <w:szCs w:val="18"/>
              </w:rPr>
              <w:t>K3+360~</w:t>
            </w:r>
          </w:p>
          <w:p w14:paraId="2B162764">
            <w:pPr>
              <w:spacing w:line="241" w:lineRule="auto"/>
              <w:ind w:left="247"/>
              <w:rPr>
                <w:rFonts w:ascii="仿宋" w:hAnsi="仿宋" w:eastAsia="仿宋" w:cs="仿宋"/>
                <w:sz w:val="18"/>
                <w:szCs w:val="18"/>
              </w:rPr>
            </w:pPr>
            <w:r>
              <w:rPr>
                <w:rFonts w:ascii="仿宋" w:hAnsi="仿宋" w:eastAsia="仿宋" w:cs="仿宋"/>
                <w:spacing w:val="-1"/>
                <w:sz w:val="18"/>
                <w:szCs w:val="18"/>
              </w:rPr>
              <w:t>K3+690</w:t>
            </w:r>
          </w:p>
        </w:tc>
        <w:tc>
          <w:tcPr>
            <w:tcW w:w="630" w:type="dxa"/>
            <w:vAlign w:val="top"/>
          </w:tcPr>
          <w:p w14:paraId="3E179DA6">
            <w:pPr>
              <w:spacing w:line="342" w:lineRule="auto"/>
              <w:rPr>
                <w:rFonts w:ascii="Arial"/>
                <w:sz w:val="21"/>
              </w:rPr>
            </w:pPr>
          </w:p>
          <w:p w14:paraId="4FC73FC1">
            <w:pPr>
              <w:spacing w:line="342" w:lineRule="auto"/>
              <w:rPr>
                <w:rFonts w:ascii="Arial"/>
                <w:sz w:val="21"/>
              </w:rPr>
            </w:pPr>
          </w:p>
          <w:p w14:paraId="713180C8">
            <w:pPr>
              <w:spacing w:before="58" w:line="223" w:lineRule="auto"/>
              <w:ind w:left="143"/>
              <w:rPr>
                <w:rFonts w:ascii="仿宋" w:hAnsi="仿宋" w:eastAsia="仿宋" w:cs="仿宋"/>
                <w:sz w:val="18"/>
                <w:szCs w:val="18"/>
              </w:rPr>
            </w:pPr>
            <w:r>
              <w:rPr>
                <w:rFonts w:ascii="仿宋" w:hAnsi="仿宋" w:eastAsia="仿宋" w:cs="仿宋"/>
                <w:spacing w:val="-6"/>
                <w:sz w:val="18"/>
                <w:szCs w:val="18"/>
              </w:rPr>
              <w:t>路基</w:t>
            </w:r>
          </w:p>
        </w:tc>
        <w:tc>
          <w:tcPr>
            <w:tcW w:w="450" w:type="dxa"/>
            <w:vAlign w:val="top"/>
          </w:tcPr>
          <w:p w14:paraId="4A625871">
            <w:pPr>
              <w:spacing w:line="342" w:lineRule="auto"/>
              <w:rPr>
                <w:rFonts w:ascii="Arial"/>
                <w:sz w:val="21"/>
              </w:rPr>
            </w:pPr>
          </w:p>
          <w:p w14:paraId="6742D4A7">
            <w:pPr>
              <w:spacing w:line="342" w:lineRule="auto"/>
              <w:rPr>
                <w:rFonts w:ascii="Arial"/>
                <w:sz w:val="21"/>
              </w:rPr>
            </w:pPr>
          </w:p>
          <w:p w14:paraId="5499D3D6">
            <w:pPr>
              <w:spacing w:before="58" w:line="223" w:lineRule="auto"/>
              <w:ind w:left="53"/>
              <w:rPr>
                <w:rFonts w:ascii="仿宋" w:hAnsi="仿宋" w:eastAsia="仿宋" w:cs="仿宋"/>
                <w:sz w:val="18"/>
                <w:szCs w:val="18"/>
              </w:rPr>
            </w:pPr>
            <w:r>
              <w:rPr>
                <w:rFonts w:ascii="仿宋" w:hAnsi="仿宋" w:eastAsia="仿宋" w:cs="仿宋"/>
                <w:spacing w:val="-6"/>
                <w:sz w:val="18"/>
                <w:szCs w:val="18"/>
              </w:rPr>
              <w:t>路左</w:t>
            </w:r>
          </w:p>
        </w:tc>
        <w:tc>
          <w:tcPr>
            <w:tcW w:w="940" w:type="dxa"/>
            <w:vAlign w:val="top"/>
          </w:tcPr>
          <w:p w14:paraId="48E2AD2C">
            <w:pPr>
              <w:spacing w:line="342" w:lineRule="auto"/>
              <w:rPr>
                <w:rFonts w:ascii="Arial"/>
                <w:sz w:val="21"/>
              </w:rPr>
            </w:pPr>
          </w:p>
          <w:p w14:paraId="3A6B6FDE">
            <w:pPr>
              <w:spacing w:line="342" w:lineRule="auto"/>
              <w:rPr>
                <w:rFonts w:ascii="Arial"/>
                <w:sz w:val="21"/>
              </w:rPr>
            </w:pPr>
          </w:p>
          <w:p w14:paraId="07A59352">
            <w:pPr>
              <w:spacing w:before="59"/>
              <w:ind w:left="293"/>
              <w:rPr>
                <w:rFonts w:ascii="仿宋" w:hAnsi="仿宋" w:eastAsia="仿宋" w:cs="仿宋"/>
                <w:sz w:val="18"/>
                <w:szCs w:val="18"/>
              </w:rPr>
            </w:pPr>
            <w:r>
              <w:rPr>
                <w:rFonts w:ascii="仿宋" w:hAnsi="仿宋" w:eastAsia="仿宋" w:cs="仿宋"/>
                <w:spacing w:val="-1"/>
                <w:sz w:val="18"/>
                <w:szCs w:val="18"/>
              </w:rPr>
              <w:t>-8.1</w:t>
            </w:r>
          </w:p>
        </w:tc>
        <w:tc>
          <w:tcPr>
            <w:tcW w:w="1307" w:type="dxa"/>
            <w:vAlign w:val="top"/>
          </w:tcPr>
          <w:p w14:paraId="0C998501">
            <w:pPr>
              <w:spacing w:line="342" w:lineRule="auto"/>
              <w:rPr>
                <w:rFonts w:ascii="Arial"/>
                <w:sz w:val="21"/>
              </w:rPr>
            </w:pPr>
          </w:p>
          <w:p w14:paraId="5C6F3A0F">
            <w:pPr>
              <w:spacing w:line="342" w:lineRule="auto"/>
              <w:rPr>
                <w:rFonts w:ascii="Arial"/>
                <w:sz w:val="21"/>
              </w:rPr>
            </w:pPr>
          </w:p>
          <w:p w14:paraId="3EBAE4F4">
            <w:pPr>
              <w:spacing w:before="59"/>
              <w:ind w:left="436"/>
              <w:rPr>
                <w:rFonts w:ascii="仿宋" w:hAnsi="仿宋" w:eastAsia="仿宋" w:cs="仿宋"/>
                <w:sz w:val="18"/>
                <w:szCs w:val="18"/>
              </w:rPr>
            </w:pPr>
            <w:r>
              <w:rPr>
                <w:rFonts w:ascii="仿宋" w:hAnsi="仿宋" w:eastAsia="仿宋" w:cs="仿宋"/>
                <w:spacing w:val="-2"/>
                <w:sz w:val="18"/>
                <w:szCs w:val="18"/>
              </w:rPr>
              <w:t>39.75</w:t>
            </w:r>
          </w:p>
        </w:tc>
        <w:tc>
          <w:tcPr>
            <w:tcW w:w="888" w:type="dxa"/>
            <w:vAlign w:val="top"/>
          </w:tcPr>
          <w:p w14:paraId="712499F3">
            <w:pPr>
              <w:spacing w:line="342" w:lineRule="auto"/>
              <w:rPr>
                <w:rFonts w:ascii="Arial"/>
                <w:sz w:val="21"/>
              </w:rPr>
            </w:pPr>
          </w:p>
          <w:p w14:paraId="7641D2FE">
            <w:pPr>
              <w:spacing w:line="342" w:lineRule="auto"/>
              <w:rPr>
                <w:rFonts w:ascii="Arial"/>
                <w:sz w:val="21"/>
              </w:rPr>
            </w:pPr>
          </w:p>
          <w:p w14:paraId="070619DD">
            <w:pPr>
              <w:spacing w:before="58" w:line="237" w:lineRule="exact"/>
              <w:ind w:left="355"/>
              <w:rPr>
                <w:rFonts w:ascii="仿宋" w:hAnsi="仿宋" w:eastAsia="仿宋" w:cs="仿宋"/>
                <w:sz w:val="18"/>
                <w:szCs w:val="18"/>
              </w:rPr>
            </w:pPr>
            <w:r>
              <w:rPr>
                <w:rFonts w:ascii="仿宋" w:hAnsi="仿宋" w:eastAsia="仿宋" w:cs="仿宋"/>
                <w:spacing w:val="-3"/>
                <w:position w:val="1"/>
                <w:sz w:val="18"/>
                <w:szCs w:val="18"/>
              </w:rPr>
              <w:t>42</w:t>
            </w:r>
          </w:p>
        </w:tc>
        <w:tc>
          <w:tcPr>
            <w:tcW w:w="1684" w:type="dxa"/>
            <w:vAlign w:val="top"/>
          </w:tcPr>
          <w:p w14:paraId="2A6E011F">
            <w:pPr>
              <w:spacing w:line="342" w:lineRule="auto"/>
              <w:rPr>
                <w:rFonts w:ascii="Arial"/>
                <w:sz w:val="21"/>
              </w:rPr>
            </w:pPr>
          </w:p>
          <w:p w14:paraId="558C0DA5">
            <w:pPr>
              <w:spacing w:line="342" w:lineRule="auto"/>
              <w:rPr>
                <w:rFonts w:ascii="Arial"/>
                <w:sz w:val="21"/>
              </w:rPr>
            </w:pPr>
          </w:p>
          <w:p w14:paraId="7500D82E">
            <w:pPr>
              <w:spacing w:before="59" w:line="224" w:lineRule="auto"/>
              <w:ind w:left="725"/>
              <w:rPr>
                <w:rFonts w:ascii="仿宋" w:hAnsi="仿宋" w:eastAsia="仿宋" w:cs="仿宋"/>
                <w:sz w:val="18"/>
                <w:szCs w:val="18"/>
              </w:rPr>
            </w:pPr>
            <w:r>
              <w:rPr>
                <w:rFonts w:ascii="仿宋" w:hAnsi="仿宋" w:eastAsia="仿宋" w:cs="仿宋"/>
                <w:spacing w:val="-10"/>
                <w:sz w:val="18"/>
                <w:szCs w:val="18"/>
              </w:rPr>
              <w:t>1类</w:t>
            </w:r>
          </w:p>
        </w:tc>
        <w:tc>
          <w:tcPr>
            <w:tcW w:w="762" w:type="dxa"/>
            <w:vAlign w:val="top"/>
          </w:tcPr>
          <w:p w14:paraId="03C2B8B6">
            <w:pPr>
              <w:spacing w:line="342" w:lineRule="auto"/>
              <w:rPr>
                <w:rFonts w:ascii="Arial"/>
                <w:sz w:val="21"/>
              </w:rPr>
            </w:pPr>
          </w:p>
          <w:p w14:paraId="1C111534">
            <w:pPr>
              <w:spacing w:line="342" w:lineRule="auto"/>
              <w:rPr>
                <w:rFonts w:ascii="Arial"/>
                <w:sz w:val="21"/>
              </w:rPr>
            </w:pPr>
          </w:p>
          <w:p w14:paraId="4B683489">
            <w:pPr>
              <w:spacing w:before="58" w:line="223" w:lineRule="auto"/>
              <w:ind w:left="71"/>
              <w:rPr>
                <w:rFonts w:ascii="仿宋" w:hAnsi="仿宋" w:eastAsia="仿宋" w:cs="仿宋"/>
                <w:sz w:val="18"/>
                <w:szCs w:val="18"/>
              </w:rPr>
            </w:pPr>
            <w:r>
              <w:rPr>
                <w:rFonts w:ascii="仿宋" w:hAnsi="仿宋" w:eastAsia="仿宋" w:cs="仿宋"/>
                <w:spacing w:val="-2"/>
                <w:sz w:val="18"/>
                <w:szCs w:val="18"/>
              </w:rPr>
              <w:t>2户/5人</w:t>
            </w:r>
          </w:p>
        </w:tc>
        <w:tc>
          <w:tcPr>
            <w:tcW w:w="2129" w:type="dxa"/>
            <w:vAlign w:val="top"/>
          </w:tcPr>
          <w:p w14:paraId="10AFD520">
            <w:pPr>
              <w:spacing w:line="450" w:lineRule="auto"/>
              <w:rPr>
                <w:rFonts w:ascii="Arial"/>
                <w:sz w:val="21"/>
              </w:rPr>
            </w:pPr>
          </w:p>
          <w:p w14:paraId="40539317">
            <w:pPr>
              <w:spacing w:before="59" w:line="223" w:lineRule="auto"/>
              <w:ind w:left="37"/>
              <w:rPr>
                <w:rFonts w:ascii="仿宋" w:hAnsi="仿宋" w:eastAsia="仿宋" w:cs="仿宋"/>
                <w:sz w:val="18"/>
                <w:szCs w:val="18"/>
              </w:rPr>
            </w:pPr>
            <w:r>
              <w:rPr>
                <w:rFonts w:ascii="仿宋" w:hAnsi="仿宋" w:eastAsia="仿宋" w:cs="仿宋"/>
                <w:spacing w:val="-1"/>
                <w:sz w:val="18"/>
                <w:szCs w:val="18"/>
              </w:rPr>
              <w:t>砖混，1层平房，侧向拟建</w:t>
            </w:r>
          </w:p>
          <w:p w14:paraId="634D376E">
            <w:pPr>
              <w:spacing w:before="15" w:line="223" w:lineRule="auto"/>
              <w:ind w:left="14"/>
              <w:rPr>
                <w:rFonts w:ascii="仿宋" w:hAnsi="仿宋" w:eastAsia="仿宋" w:cs="仿宋"/>
                <w:sz w:val="18"/>
                <w:szCs w:val="18"/>
              </w:rPr>
            </w:pPr>
            <w:r>
              <w:rPr>
                <w:rFonts w:ascii="仿宋" w:hAnsi="仿宋" w:eastAsia="仿宋" w:cs="仿宋"/>
                <w:spacing w:val="-5"/>
                <w:sz w:val="18"/>
                <w:szCs w:val="18"/>
              </w:rPr>
              <w:t>道路，道路左侧地面地势低</w:t>
            </w:r>
          </w:p>
          <w:p w14:paraId="6E83AE2F">
            <w:pPr>
              <w:spacing w:before="15" w:line="223" w:lineRule="auto"/>
              <w:ind w:left="535"/>
              <w:rPr>
                <w:rFonts w:ascii="仿宋" w:hAnsi="仿宋" w:eastAsia="仿宋" w:cs="仿宋"/>
                <w:sz w:val="18"/>
                <w:szCs w:val="18"/>
              </w:rPr>
            </w:pPr>
            <w:r>
              <w:rPr>
                <w:rFonts w:ascii="仿宋" w:hAnsi="仿宋" w:eastAsia="仿宋" w:cs="仿宋"/>
                <w:spacing w:val="-3"/>
                <w:sz w:val="18"/>
                <w:szCs w:val="18"/>
              </w:rPr>
              <w:t>于拟建道路。</w:t>
            </w:r>
          </w:p>
        </w:tc>
        <w:tc>
          <w:tcPr>
            <w:tcW w:w="2112" w:type="dxa"/>
            <w:tcBorders>
              <w:right w:val="nil"/>
            </w:tcBorders>
            <w:vAlign w:val="top"/>
          </w:tcPr>
          <w:p w14:paraId="0FC1F708">
            <w:pPr>
              <w:spacing w:before="10" w:line="1622" w:lineRule="exact"/>
              <w:ind w:firstLine="66"/>
            </w:pPr>
            <w:r>
              <w:rPr>
                <w:position w:val="-32"/>
              </w:rPr>
              <w:drawing>
                <wp:inline distT="0" distB="0" distL="0" distR="0">
                  <wp:extent cx="1247775" cy="1029970"/>
                  <wp:effectExtent l="0" t="0" r="0" b="0"/>
                  <wp:docPr id="178" name="IM 178"/>
                  <wp:cNvGraphicFramePr/>
                  <a:graphic xmlns:a="http://schemas.openxmlformats.org/drawingml/2006/main">
                    <a:graphicData uri="http://schemas.openxmlformats.org/drawingml/2006/picture">
                      <pic:pic xmlns:pic="http://schemas.openxmlformats.org/drawingml/2006/picture">
                        <pic:nvPicPr>
                          <pic:cNvPr id="178" name="IM 178"/>
                          <pic:cNvPicPr/>
                        </pic:nvPicPr>
                        <pic:blipFill>
                          <a:blip r:embed="rId359"/>
                          <a:stretch>
                            <a:fillRect/>
                          </a:stretch>
                        </pic:blipFill>
                        <pic:spPr>
                          <a:xfrm>
                            <a:off x="0" y="0"/>
                            <a:ext cx="1248155" cy="1030223"/>
                          </a:xfrm>
                          <a:prstGeom prst="rect">
                            <a:avLst/>
                          </a:prstGeom>
                        </pic:spPr>
                      </pic:pic>
                    </a:graphicData>
                  </a:graphic>
                </wp:inline>
              </w:drawing>
            </w:r>
          </w:p>
        </w:tc>
      </w:tr>
      <w:tr w14:paraId="17E6B5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0" w:hRule="atLeast"/>
        </w:trPr>
        <w:tc>
          <w:tcPr>
            <w:tcW w:w="328" w:type="dxa"/>
            <w:tcBorders>
              <w:left w:val="nil"/>
            </w:tcBorders>
            <w:vAlign w:val="top"/>
          </w:tcPr>
          <w:p w14:paraId="35EB69A1">
            <w:pPr>
              <w:spacing w:line="299" w:lineRule="auto"/>
              <w:rPr>
                <w:rFonts w:ascii="Arial"/>
                <w:sz w:val="21"/>
              </w:rPr>
            </w:pPr>
          </w:p>
          <w:p w14:paraId="779E5E38">
            <w:pPr>
              <w:spacing w:line="300" w:lineRule="auto"/>
              <w:rPr>
                <w:rFonts w:ascii="Arial"/>
                <w:sz w:val="21"/>
              </w:rPr>
            </w:pPr>
          </w:p>
          <w:p w14:paraId="473E3EE3">
            <w:pPr>
              <w:spacing w:before="58" w:line="241" w:lineRule="auto"/>
              <w:ind w:left="123"/>
              <w:rPr>
                <w:rFonts w:ascii="仿宋" w:hAnsi="仿宋" w:eastAsia="仿宋" w:cs="仿宋"/>
                <w:sz w:val="18"/>
                <w:szCs w:val="18"/>
              </w:rPr>
            </w:pPr>
            <w:r>
              <w:rPr>
                <w:rFonts w:ascii="仿宋" w:hAnsi="仿宋" w:eastAsia="仿宋" w:cs="仿宋"/>
                <w:sz w:val="18"/>
                <w:szCs w:val="18"/>
              </w:rPr>
              <w:t>8</w:t>
            </w:r>
          </w:p>
        </w:tc>
        <w:tc>
          <w:tcPr>
            <w:tcW w:w="720" w:type="dxa"/>
            <w:vAlign w:val="top"/>
          </w:tcPr>
          <w:p w14:paraId="669BB819">
            <w:pPr>
              <w:spacing w:line="241" w:lineRule="auto"/>
              <w:rPr>
                <w:rFonts w:ascii="Arial"/>
                <w:sz w:val="21"/>
              </w:rPr>
            </w:pPr>
          </w:p>
          <w:p w14:paraId="492977E6">
            <w:pPr>
              <w:spacing w:line="241" w:lineRule="auto"/>
              <w:rPr>
                <w:rFonts w:ascii="Arial"/>
                <w:sz w:val="21"/>
              </w:rPr>
            </w:pPr>
          </w:p>
          <w:p w14:paraId="57CCFEBF">
            <w:pPr>
              <w:spacing w:before="58"/>
              <w:ind w:left="142" w:right="86" w:hanging="40"/>
              <w:rPr>
                <w:rFonts w:ascii="仿宋" w:hAnsi="仿宋" w:eastAsia="仿宋" w:cs="仿宋"/>
                <w:sz w:val="18"/>
                <w:szCs w:val="18"/>
              </w:rPr>
            </w:pPr>
            <w:r>
              <w:rPr>
                <w:rFonts w:ascii="仿宋" w:hAnsi="仿宋" w:eastAsia="仿宋" w:cs="仿宋"/>
                <w:spacing w:val="-5"/>
                <w:sz w:val="18"/>
                <w:szCs w:val="18"/>
              </w:rPr>
              <w:t>大圪梁</w:t>
            </w:r>
            <w:r>
              <w:rPr>
                <w:rFonts w:ascii="仿宋" w:hAnsi="仿宋" w:eastAsia="仿宋" w:cs="仿宋"/>
                <w:spacing w:val="-4"/>
                <w:sz w:val="18"/>
                <w:szCs w:val="18"/>
              </w:rPr>
              <w:t>散户2</w:t>
            </w:r>
          </w:p>
        </w:tc>
        <w:tc>
          <w:tcPr>
            <w:tcW w:w="975" w:type="dxa"/>
            <w:vMerge w:val="continue"/>
            <w:tcBorders>
              <w:top w:val="nil"/>
            </w:tcBorders>
            <w:vAlign w:val="top"/>
          </w:tcPr>
          <w:p w14:paraId="7D1F064C">
            <w:pPr>
              <w:rPr>
                <w:rFonts w:ascii="Arial"/>
                <w:sz w:val="21"/>
              </w:rPr>
            </w:pPr>
          </w:p>
        </w:tc>
        <w:tc>
          <w:tcPr>
            <w:tcW w:w="1035" w:type="dxa"/>
            <w:vAlign w:val="top"/>
          </w:tcPr>
          <w:p w14:paraId="0E560CEE">
            <w:pPr>
              <w:spacing w:line="299" w:lineRule="auto"/>
              <w:rPr>
                <w:rFonts w:ascii="Arial"/>
                <w:sz w:val="21"/>
              </w:rPr>
            </w:pPr>
          </w:p>
          <w:p w14:paraId="3E3D5E54">
            <w:pPr>
              <w:spacing w:line="300" w:lineRule="auto"/>
              <w:rPr>
                <w:rFonts w:ascii="Arial"/>
                <w:sz w:val="21"/>
              </w:rPr>
            </w:pPr>
          </w:p>
          <w:p w14:paraId="0897A889">
            <w:pPr>
              <w:spacing w:before="58" w:line="241" w:lineRule="auto"/>
              <w:ind w:left="247"/>
              <w:rPr>
                <w:rFonts w:ascii="仿宋" w:hAnsi="仿宋" w:eastAsia="仿宋" w:cs="仿宋"/>
                <w:sz w:val="18"/>
                <w:szCs w:val="18"/>
              </w:rPr>
            </w:pPr>
            <w:r>
              <w:rPr>
                <w:rFonts w:ascii="仿宋" w:hAnsi="仿宋" w:eastAsia="仿宋" w:cs="仿宋"/>
                <w:spacing w:val="-1"/>
                <w:sz w:val="18"/>
                <w:szCs w:val="18"/>
              </w:rPr>
              <w:t>K4+150</w:t>
            </w:r>
          </w:p>
        </w:tc>
        <w:tc>
          <w:tcPr>
            <w:tcW w:w="630" w:type="dxa"/>
            <w:vAlign w:val="top"/>
          </w:tcPr>
          <w:p w14:paraId="191E8325">
            <w:pPr>
              <w:spacing w:line="299" w:lineRule="auto"/>
              <w:rPr>
                <w:rFonts w:ascii="Arial"/>
                <w:sz w:val="21"/>
              </w:rPr>
            </w:pPr>
          </w:p>
          <w:p w14:paraId="4E292158">
            <w:pPr>
              <w:spacing w:line="300" w:lineRule="auto"/>
              <w:rPr>
                <w:rFonts w:ascii="Arial"/>
                <w:sz w:val="21"/>
              </w:rPr>
            </w:pPr>
          </w:p>
          <w:p w14:paraId="67ED6DAE">
            <w:pPr>
              <w:spacing w:before="58" w:line="223" w:lineRule="auto"/>
              <w:ind w:left="143"/>
              <w:rPr>
                <w:rFonts w:ascii="仿宋" w:hAnsi="仿宋" w:eastAsia="仿宋" w:cs="仿宋"/>
                <w:sz w:val="18"/>
                <w:szCs w:val="18"/>
              </w:rPr>
            </w:pPr>
            <w:r>
              <w:rPr>
                <w:rFonts w:ascii="仿宋" w:hAnsi="仿宋" w:eastAsia="仿宋" w:cs="仿宋"/>
                <w:spacing w:val="-6"/>
                <w:sz w:val="18"/>
                <w:szCs w:val="18"/>
              </w:rPr>
              <w:t>路基</w:t>
            </w:r>
          </w:p>
        </w:tc>
        <w:tc>
          <w:tcPr>
            <w:tcW w:w="450" w:type="dxa"/>
            <w:vAlign w:val="top"/>
          </w:tcPr>
          <w:p w14:paraId="77FB134D">
            <w:pPr>
              <w:spacing w:line="299" w:lineRule="auto"/>
              <w:rPr>
                <w:rFonts w:ascii="Arial"/>
                <w:sz w:val="21"/>
              </w:rPr>
            </w:pPr>
          </w:p>
          <w:p w14:paraId="6EC27B55">
            <w:pPr>
              <w:spacing w:line="300" w:lineRule="auto"/>
              <w:rPr>
                <w:rFonts w:ascii="Arial"/>
                <w:sz w:val="21"/>
              </w:rPr>
            </w:pPr>
          </w:p>
          <w:p w14:paraId="76AB2E07">
            <w:pPr>
              <w:spacing w:before="58" w:line="223" w:lineRule="auto"/>
              <w:ind w:left="53"/>
              <w:rPr>
                <w:rFonts w:ascii="仿宋" w:hAnsi="仿宋" w:eastAsia="仿宋" w:cs="仿宋"/>
                <w:sz w:val="18"/>
                <w:szCs w:val="18"/>
              </w:rPr>
            </w:pPr>
            <w:r>
              <w:rPr>
                <w:rFonts w:ascii="仿宋" w:hAnsi="仿宋" w:eastAsia="仿宋" w:cs="仿宋"/>
                <w:spacing w:val="-6"/>
                <w:sz w:val="18"/>
                <w:szCs w:val="18"/>
              </w:rPr>
              <w:t>路右</w:t>
            </w:r>
          </w:p>
        </w:tc>
        <w:tc>
          <w:tcPr>
            <w:tcW w:w="940" w:type="dxa"/>
            <w:vAlign w:val="top"/>
          </w:tcPr>
          <w:p w14:paraId="2127D41A">
            <w:pPr>
              <w:spacing w:line="299" w:lineRule="auto"/>
              <w:rPr>
                <w:rFonts w:ascii="Arial"/>
                <w:sz w:val="21"/>
              </w:rPr>
            </w:pPr>
          </w:p>
          <w:p w14:paraId="2C918B04">
            <w:pPr>
              <w:spacing w:line="300" w:lineRule="auto"/>
              <w:rPr>
                <w:rFonts w:ascii="Arial"/>
                <w:sz w:val="21"/>
              </w:rPr>
            </w:pPr>
          </w:p>
          <w:p w14:paraId="6FFC8A75">
            <w:pPr>
              <w:spacing w:before="59"/>
              <w:ind w:left="247"/>
              <w:rPr>
                <w:rFonts w:ascii="仿宋" w:hAnsi="仿宋" w:eastAsia="仿宋" w:cs="仿宋"/>
                <w:sz w:val="18"/>
                <w:szCs w:val="18"/>
              </w:rPr>
            </w:pPr>
            <w:r>
              <w:rPr>
                <w:rFonts w:ascii="仿宋" w:hAnsi="仿宋" w:eastAsia="仿宋" w:cs="仿宋"/>
                <w:spacing w:val="-1"/>
                <w:sz w:val="18"/>
                <w:szCs w:val="18"/>
              </w:rPr>
              <w:t>-4.14</w:t>
            </w:r>
          </w:p>
        </w:tc>
        <w:tc>
          <w:tcPr>
            <w:tcW w:w="1307" w:type="dxa"/>
            <w:vAlign w:val="top"/>
          </w:tcPr>
          <w:p w14:paraId="781D6656">
            <w:pPr>
              <w:spacing w:line="299" w:lineRule="auto"/>
              <w:rPr>
                <w:rFonts w:ascii="Arial"/>
                <w:sz w:val="21"/>
              </w:rPr>
            </w:pPr>
          </w:p>
          <w:p w14:paraId="1882D03F">
            <w:pPr>
              <w:spacing w:line="300" w:lineRule="auto"/>
              <w:rPr>
                <w:rFonts w:ascii="Arial"/>
                <w:sz w:val="21"/>
              </w:rPr>
            </w:pPr>
          </w:p>
          <w:p w14:paraId="0BC5E392">
            <w:pPr>
              <w:spacing w:before="59"/>
              <w:ind w:left="434"/>
              <w:rPr>
                <w:rFonts w:ascii="仿宋" w:hAnsi="仿宋" w:eastAsia="仿宋" w:cs="仿宋"/>
                <w:sz w:val="18"/>
                <w:szCs w:val="18"/>
              </w:rPr>
            </w:pPr>
            <w:r>
              <w:rPr>
                <w:rFonts w:ascii="仿宋" w:hAnsi="仿宋" w:eastAsia="仿宋" w:cs="仿宋"/>
                <w:spacing w:val="-2"/>
                <w:sz w:val="18"/>
                <w:szCs w:val="18"/>
              </w:rPr>
              <w:t>24.75</w:t>
            </w:r>
          </w:p>
        </w:tc>
        <w:tc>
          <w:tcPr>
            <w:tcW w:w="888" w:type="dxa"/>
            <w:vAlign w:val="top"/>
          </w:tcPr>
          <w:p w14:paraId="33BD06ED">
            <w:pPr>
              <w:spacing w:line="299" w:lineRule="auto"/>
              <w:rPr>
                <w:rFonts w:ascii="Arial"/>
                <w:sz w:val="21"/>
              </w:rPr>
            </w:pPr>
          </w:p>
          <w:p w14:paraId="16EA3A28">
            <w:pPr>
              <w:spacing w:line="300" w:lineRule="auto"/>
              <w:rPr>
                <w:rFonts w:ascii="Arial"/>
                <w:sz w:val="21"/>
              </w:rPr>
            </w:pPr>
          </w:p>
          <w:p w14:paraId="48CFB36D">
            <w:pPr>
              <w:spacing w:before="58" w:line="241" w:lineRule="auto"/>
              <w:ind w:left="358"/>
              <w:rPr>
                <w:rFonts w:ascii="仿宋" w:hAnsi="仿宋" w:eastAsia="仿宋" w:cs="仿宋"/>
                <w:sz w:val="18"/>
                <w:szCs w:val="18"/>
              </w:rPr>
            </w:pPr>
            <w:r>
              <w:rPr>
                <w:rFonts w:ascii="仿宋" w:hAnsi="仿宋" w:eastAsia="仿宋" w:cs="仿宋"/>
                <w:spacing w:val="-4"/>
                <w:sz w:val="18"/>
                <w:szCs w:val="18"/>
              </w:rPr>
              <w:t>27</w:t>
            </w:r>
          </w:p>
        </w:tc>
        <w:tc>
          <w:tcPr>
            <w:tcW w:w="1684" w:type="dxa"/>
            <w:vAlign w:val="top"/>
          </w:tcPr>
          <w:p w14:paraId="2355DED0">
            <w:pPr>
              <w:spacing w:line="299" w:lineRule="auto"/>
              <w:rPr>
                <w:rFonts w:ascii="Arial"/>
                <w:sz w:val="21"/>
              </w:rPr>
            </w:pPr>
          </w:p>
          <w:p w14:paraId="5E610761">
            <w:pPr>
              <w:spacing w:line="300" w:lineRule="auto"/>
              <w:rPr>
                <w:rFonts w:ascii="Arial"/>
                <w:sz w:val="21"/>
              </w:rPr>
            </w:pPr>
          </w:p>
          <w:p w14:paraId="7A277DCB">
            <w:pPr>
              <w:spacing w:before="59" w:line="224" w:lineRule="auto"/>
              <w:ind w:left="725"/>
              <w:rPr>
                <w:rFonts w:ascii="仿宋" w:hAnsi="仿宋" w:eastAsia="仿宋" w:cs="仿宋"/>
                <w:sz w:val="18"/>
                <w:szCs w:val="18"/>
              </w:rPr>
            </w:pPr>
            <w:r>
              <w:rPr>
                <w:rFonts w:ascii="仿宋" w:hAnsi="仿宋" w:eastAsia="仿宋" w:cs="仿宋"/>
                <w:spacing w:val="-10"/>
                <w:sz w:val="18"/>
                <w:szCs w:val="18"/>
              </w:rPr>
              <w:t>1类</w:t>
            </w:r>
          </w:p>
        </w:tc>
        <w:tc>
          <w:tcPr>
            <w:tcW w:w="762" w:type="dxa"/>
            <w:vAlign w:val="top"/>
          </w:tcPr>
          <w:p w14:paraId="33F773EB">
            <w:pPr>
              <w:spacing w:line="299" w:lineRule="auto"/>
              <w:rPr>
                <w:rFonts w:ascii="Arial"/>
                <w:sz w:val="21"/>
              </w:rPr>
            </w:pPr>
          </w:p>
          <w:p w14:paraId="37EEEA8B">
            <w:pPr>
              <w:spacing w:line="300" w:lineRule="auto"/>
              <w:rPr>
                <w:rFonts w:ascii="Arial"/>
                <w:sz w:val="21"/>
              </w:rPr>
            </w:pPr>
          </w:p>
          <w:p w14:paraId="50D3CCFC">
            <w:pPr>
              <w:spacing w:before="58" w:line="223" w:lineRule="auto"/>
              <w:ind w:left="82"/>
              <w:rPr>
                <w:rFonts w:ascii="仿宋" w:hAnsi="仿宋" w:eastAsia="仿宋" w:cs="仿宋"/>
                <w:sz w:val="18"/>
                <w:szCs w:val="18"/>
              </w:rPr>
            </w:pPr>
            <w:r>
              <w:rPr>
                <w:rFonts w:ascii="仿宋" w:hAnsi="仿宋" w:eastAsia="仿宋" w:cs="仿宋"/>
                <w:spacing w:val="-4"/>
                <w:sz w:val="18"/>
                <w:szCs w:val="18"/>
              </w:rPr>
              <w:t>1户/3人</w:t>
            </w:r>
          </w:p>
        </w:tc>
        <w:tc>
          <w:tcPr>
            <w:tcW w:w="2129" w:type="dxa"/>
            <w:vAlign w:val="top"/>
          </w:tcPr>
          <w:p w14:paraId="4BC7E2EC">
            <w:pPr>
              <w:spacing w:line="365" w:lineRule="auto"/>
              <w:rPr>
                <w:rFonts w:ascii="Arial"/>
                <w:sz w:val="21"/>
              </w:rPr>
            </w:pPr>
          </w:p>
          <w:p w14:paraId="07258CD0">
            <w:pPr>
              <w:spacing w:before="59" w:line="223" w:lineRule="auto"/>
              <w:ind w:left="37"/>
              <w:rPr>
                <w:rFonts w:ascii="仿宋" w:hAnsi="仿宋" w:eastAsia="仿宋" w:cs="仿宋"/>
                <w:sz w:val="18"/>
                <w:szCs w:val="18"/>
              </w:rPr>
            </w:pPr>
            <w:r>
              <w:rPr>
                <w:rFonts w:ascii="仿宋" w:hAnsi="仿宋" w:eastAsia="仿宋" w:cs="仿宋"/>
                <w:spacing w:val="-1"/>
                <w:sz w:val="18"/>
                <w:szCs w:val="18"/>
              </w:rPr>
              <w:t>砖混，1层平房，侧向拟建</w:t>
            </w:r>
          </w:p>
          <w:p w14:paraId="6FC73116">
            <w:pPr>
              <w:spacing w:before="15" w:line="223" w:lineRule="auto"/>
              <w:ind w:left="14"/>
              <w:rPr>
                <w:rFonts w:ascii="仿宋" w:hAnsi="仿宋" w:eastAsia="仿宋" w:cs="仿宋"/>
                <w:sz w:val="18"/>
                <w:szCs w:val="18"/>
              </w:rPr>
            </w:pPr>
            <w:r>
              <w:rPr>
                <w:rFonts w:ascii="仿宋" w:hAnsi="仿宋" w:eastAsia="仿宋" w:cs="仿宋"/>
                <w:spacing w:val="-5"/>
                <w:sz w:val="18"/>
                <w:szCs w:val="18"/>
              </w:rPr>
              <w:t>道路，道路右侧地面地势低</w:t>
            </w:r>
          </w:p>
          <w:p w14:paraId="2009FBA0">
            <w:pPr>
              <w:spacing w:before="17" w:line="223" w:lineRule="auto"/>
              <w:ind w:left="535"/>
              <w:rPr>
                <w:rFonts w:ascii="仿宋" w:hAnsi="仿宋" w:eastAsia="仿宋" w:cs="仿宋"/>
                <w:sz w:val="18"/>
                <w:szCs w:val="18"/>
              </w:rPr>
            </w:pPr>
            <w:r>
              <w:rPr>
                <w:rFonts w:ascii="仿宋" w:hAnsi="仿宋" w:eastAsia="仿宋" w:cs="仿宋"/>
                <w:spacing w:val="-3"/>
                <w:sz w:val="18"/>
                <w:szCs w:val="18"/>
              </w:rPr>
              <w:t>于拟建道路。</w:t>
            </w:r>
          </w:p>
        </w:tc>
        <w:tc>
          <w:tcPr>
            <w:tcW w:w="2112" w:type="dxa"/>
            <w:tcBorders>
              <w:right w:val="nil"/>
            </w:tcBorders>
            <w:vAlign w:val="top"/>
          </w:tcPr>
          <w:p w14:paraId="1F3D1ACC">
            <w:pPr>
              <w:spacing w:before="15" w:line="1445" w:lineRule="exact"/>
              <w:ind w:firstLine="66"/>
            </w:pPr>
            <w:r>
              <w:rPr>
                <w:position w:val="-28"/>
              </w:rPr>
              <w:drawing>
                <wp:inline distT="0" distB="0" distL="0" distR="0">
                  <wp:extent cx="1244600" cy="916940"/>
                  <wp:effectExtent l="0" t="0" r="0" b="0"/>
                  <wp:docPr id="180" name="IM 180"/>
                  <wp:cNvGraphicFramePr/>
                  <a:graphic xmlns:a="http://schemas.openxmlformats.org/drawingml/2006/main">
                    <a:graphicData uri="http://schemas.openxmlformats.org/drawingml/2006/picture">
                      <pic:pic xmlns:pic="http://schemas.openxmlformats.org/drawingml/2006/picture">
                        <pic:nvPicPr>
                          <pic:cNvPr id="180" name="IM 180"/>
                          <pic:cNvPicPr/>
                        </pic:nvPicPr>
                        <pic:blipFill>
                          <a:blip r:embed="rId360"/>
                          <a:stretch>
                            <a:fillRect/>
                          </a:stretch>
                        </pic:blipFill>
                        <pic:spPr>
                          <a:xfrm>
                            <a:off x="0" y="0"/>
                            <a:ext cx="1245107" cy="916940"/>
                          </a:xfrm>
                          <a:prstGeom prst="rect">
                            <a:avLst/>
                          </a:prstGeom>
                        </pic:spPr>
                      </pic:pic>
                    </a:graphicData>
                  </a:graphic>
                </wp:inline>
              </w:drawing>
            </w:r>
          </w:p>
        </w:tc>
      </w:tr>
      <w:tr w14:paraId="6D62A3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02" w:hRule="atLeast"/>
        </w:trPr>
        <w:tc>
          <w:tcPr>
            <w:tcW w:w="328" w:type="dxa"/>
            <w:tcBorders>
              <w:left w:val="nil"/>
              <w:bottom w:val="single" w:color="000000" w:sz="10" w:space="0"/>
            </w:tcBorders>
            <w:vAlign w:val="top"/>
          </w:tcPr>
          <w:p w14:paraId="5536AB07">
            <w:pPr>
              <w:spacing w:line="353" w:lineRule="auto"/>
              <w:rPr>
                <w:rFonts w:ascii="Arial"/>
                <w:sz w:val="21"/>
              </w:rPr>
            </w:pPr>
          </w:p>
          <w:p w14:paraId="6CB718ED">
            <w:pPr>
              <w:spacing w:line="354" w:lineRule="auto"/>
              <w:rPr>
                <w:rFonts w:ascii="Arial"/>
                <w:sz w:val="21"/>
              </w:rPr>
            </w:pPr>
          </w:p>
          <w:p w14:paraId="2E3C88DF">
            <w:pPr>
              <w:spacing w:before="59" w:line="241" w:lineRule="auto"/>
              <w:ind w:left="123"/>
              <w:rPr>
                <w:rFonts w:ascii="仿宋" w:hAnsi="仿宋" w:eastAsia="仿宋" w:cs="仿宋"/>
                <w:sz w:val="18"/>
                <w:szCs w:val="18"/>
              </w:rPr>
            </w:pPr>
            <w:r>
              <w:rPr>
                <w:rFonts w:ascii="仿宋" w:hAnsi="仿宋" w:eastAsia="仿宋" w:cs="仿宋"/>
                <w:sz w:val="18"/>
                <w:szCs w:val="18"/>
              </w:rPr>
              <w:t>9</w:t>
            </w:r>
          </w:p>
        </w:tc>
        <w:tc>
          <w:tcPr>
            <w:tcW w:w="720" w:type="dxa"/>
            <w:tcBorders>
              <w:bottom w:val="single" w:color="000000" w:sz="10" w:space="0"/>
            </w:tcBorders>
            <w:vAlign w:val="top"/>
          </w:tcPr>
          <w:p w14:paraId="182D7074">
            <w:pPr>
              <w:spacing w:line="296" w:lineRule="auto"/>
              <w:rPr>
                <w:rFonts w:ascii="Arial"/>
                <w:sz w:val="21"/>
              </w:rPr>
            </w:pPr>
          </w:p>
          <w:p w14:paraId="76FC5EA2">
            <w:pPr>
              <w:spacing w:line="296" w:lineRule="auto"/>
              <w:rPr>
                <w:rFonts w:ascii="Arial"/>
                <w:sz w:val="21"/>
              </w:rPr>
            </w:pPr>
          </w:p>
          <w:p w14:paraId="06D949B4">
            <w:pPr>
              <w:spacing w:before="59"/>
              <w:ind w:left="188" w:right="42" w:hanging="128"/>
              <w:rPr>
                <w:rFonts w:ascii="仿宋" w:hAnsi="仿宋" w:eastAsia="仿宋" w:cs="仿宋"/>
                <w:sz w:val="18"/>
                <w:szCs w:val="18"/>
              </w:rPr>
            </w:pPr>
            <w:r>
              <w:rPr>
                <w:rFonts w:ascii="仿宋" w:hAnsi="仿宋" w:eastAsia="仿宋" w:cs="仿宋"/>
                <w:spacing w:val="-5"/>
                <w:sz w:val="18"/>
                <w:szCs w:val="18"/>
              </w:rPr>
              <w:t>二道壕-</w:t>
            </w:r>
            <w:r>
              <w:rPr>
                <w:rFonts w:ascii="仿宋" w:hAnsi="仿宋" w:eastAsia="仿宋" w:cs="仿宋"/>
                <w:spacing w:val="-6"/>
                <w:sz w:val="18"/>
                <w:szCs w:val="18"/>
              </w:rPr>
              <w:t>散户</w:t>
            </w:r>
          </w:p>
        </w:tc>
        <w:tc>
          <w:tcPr>
            <w:tcW w:w="975" w:type="dxa"/>
            <w:tcBorders>
              <w:bottom w:val="single" w:color="000000" w:sz="10" w:space="0"/>
            </w:tcBorders>
            <w:vAlign w:val="top"/>
          </w:tcPr>
          <w:p w14:paraId="31784531">
            <w:pPr>
              <w:spacing w:line="477" w:lineRule="auto"/>
              <w:rPr>
                <w:rFonts w:ascii="Arial"/>
                <w:sz w:val="21"/>
              </w:rPr>
            </w:pPr>
          </w:p>
          <w:p w14:paraId="7C7F7A67">
            <w:pPr>
              <w:spacing w:before="59" w:line="239" w:lineRule="auto"/>
              <w:ind w:left="47" w:right="34" w:firstLine="8"/>
              <w:jc w:val="both"/>
              <w:rPr>
                <w:rFonts w:ascii="仿宋" w:hAnsi="仿宋" w:eastAsia="仿宋" w:cs="仿宋"/>
                <w:sz w:val="18"/>
                <w:szCs w:val="18"/>
              </w:rPr>
            </w:pPr>
            <w:r>
              <w:rPr>
                <w:rFonts w:ascii="仿宋" w:hAnsi="仿宋" w:eastAsia="仿宋" w:cs="仿宋"/>
                <w:spacing w:val="-5"/>
                <w:sz w:val="18"/>
                <w:szCs w:val="18"/>
              </w:rPr>
              <w:t>乌拉素村二</w:t>
            </w:r>
            <w:r>
              <w:rPr>
                <w:rFonts w:ascii="仿宋" w:hAnsi="仿宋" w:eastAsia="仿宋" w:cs="仿宋"/>
                <w:spacing w:val="-3"/>
                <w:sz w:val="18"/>
                <w:szCs w:val="18"/>
              </w:rPr>
              <w:t>道壕大坝东至秦家塔社</w:t>
            </w:r>
          </w:p>
        </w:tc>
        <w:tc>
          <w:tcPr>
            <w:tcW w:w="1035" w:type="dxa"/>
            <w:tcBorders>
              <w:bottom w:val="single" w:color="000000" w:sz="10" w:space="0"/>
            </w:tcBorders>
            <w:vAlign w:val="top"/>
          </w:tcPr>
          <w:p w14:paraId="62FE5B13">
            <w:pPr>
              <w:spacing w:line="296" w:lineRule="auto"/>
              <w:rPr>
                <w:rFonts w:ascii="Arial"/>
                <w:sz w:val="21"/>
              </w:rPr>
            </w:pPr>
          </w:p>
          <w:p w14:paraId="1C581590">
            <w:pPr>
              <w:spacing w:line="296" w:lineRule="auto"/>
              <w:rPr>
                <w:rFonts w:ascii="Arial"/>
                <w:sz w:val="21"/>
              </w:rPr>
            </w:pPr>
          </w:p>
          <w:p w14:paraId="611AB296">
            <w:pPr>
              <w:spacing w:before="59" w:line="239" w:lineRule="auto"/>
              <w:ind w:left="158"/>
              <w:rPr>
                <w:rFonts w:ascii="仿宋" w:hAnsi="仿宋" w:eastAsia="仿宋" w:cs="仿宋"/>
                <w:sz w:val="18"/>
                <w:szCs w:val="18"/>
              </w:rPr>
            </w:pPr>
            <w:r>
              <w:rPr>
                <w:rFonts w:ascii="仿宋" w:hAnsi="仿宋" w:eastAsia="仿宋" w:cs="仿宋"/>
                <w:spacing w:val="9"/>
                <w:sz w:val="18"/>
                <w:szCs w:val="18"/>
              </w:rPr>
              <w:t>K0+000~</w:t>
            </w:r>
          </w:p>
          <w:p w14:paraId="15640200">
            <w:pPr>
              <w:spacing w:line="241" w:lineRule="auto"/>
              <w:ind w:left="292"/>
              <w:rPr>
                <w:rFonts w:ascii="仿宋" w:hAnsi="仿宋" w:eastAsia="仿宋" w:cs="仿宋"/>
                <w:sz w:val="18"/>
                <w:szCs w:val="18"/>
              </w:rPr>
            </w:pPr>
            <w:r>
              <w:rPr>
                <w:rFonts w:ascii="仿宋" w:hAnsi="仿宋" w:eastAsia="仿宋" w:cs="仿宋"/>
                <w:spacing w:val="-1"/>
                <w:sz w:val="18"/>
                <w:szCs w:val="18"/>
              </w:rPr>
              <w:t>K0+70</w:t>
            </w:r>
          </w:p>
        </w:tc>
        <w:tc>
          <w:tcPr>
            <w:tcW w:w="630" w:type="dxa"/>
            <w:tcBorders>
              <w:bottom w:val="single" w:color="000000" w:sz="10" w:space="0"/>
            </w:tcBorders>
            <w:vAlign w:val="top"/>
          </w:tcPr>
          <w:p w14:paraId="1CF64A59">
            <w:pPr>
              <w:spacing w:line="353" w:lineRule="auto"/>
              <w:rPr>
                <w:rFonts w:ascii="Arial"/>
                <w:sz w:val="21"/>
              </w:rPr>
            </w:pPr>
          </w:p>
          <w:p w14:paraId="3C87EA30">
            <w:pPr>
              <w:spacing w:line="354" w:lineRule="auto"/>
              <w:rPr>
                <w:rFonts w:ascii="Arial"/>
                <w:sz w:val="21"/>
              </w:rPr>
            </w:pPr>
          </w:p>
          <w:p w14:paraId="04494460">
            <w:pPr>
              <w:spacing w:before="59" w:line="223" w:lineRule="auto"/>
              <w:ind w:left="143"/>
              <w:rPr>
                <w:rFonts w:ascii="仿宋" w:hAnsi="仿宋" w:eastAsia="仿宋" w:cs="仿宋"/>
                <w:sz w:val="18"/>
                <w:szCs w:val="18"/>
              </w:rPr>
            </w:pPr>
            <w:r>
              <w:rPr>
                <w:rFonts w:ascii="仿宋" w:hAnsi="仿宋" w:eastAsia="仿宋" w:cs="仿宋"/>
                <w:spacing w:val="-6"/>
                <w:sz w:val="18"/>
                <w:szCs w:val="18"/>
              </w:rPr>
              <w:t>路基</w:t>
            </w:r>
          </w:p>
        </w:tc>
        <w:tc>
          <w:tcPr>
            <w:tcW w:w="450" w:type="dxa"/>
            <w:tcBorders>
              <w:bottom w:val="single" w:color="000000" w:sz="10" w:space="0"/>
            </w:tcBorders>
            <w:vAlign w:val="top"/>
          </w:tcPr>
          <w:p w14:paraId="76E6B8F5">
            <w:pPr>
              <w:spacing w:line="353" w:lineRule="auto"/>
              <w:rPr>
                <w:rFonts w:ascii="Arial"/>
                <w:sz w:val="21"/>
              </w:rPr>
            </w:pPr>
          </w:p>
          <w:p w14:paraId="38C12DFD">
            <w:pPr>
              <w:spacing w:line="354" w:lineRule="auto"/>
              <w:rPr>
                <w:rFonts w:ascii="Arial"/>
                <w:sz w:val="21"/>
              </w:rPr>
            </w:pPr>
          </w:p>
          <w:p w14:paraId="52BA6138">
            <w:pPr>
              <w:spacing w:before="59" w:line="223" w:lineRule="auto"/>
              <w:ind w:left="53"/>
              <w:rPr>
                <w:rFonts w:ascii="仿宋" w:hAnsi="仿宋" w:eastAsia="仿宋" w:cs="仿宋"/>
                <w:sz w:val="18"/>
                <w:szCs w:val="18"/>
              </w:rPr>
            </w:pPr>
            <w:r>
              <w:rPr>
                <w:rFonts w:ascii="仿宋" w:hAnsi="仿宋" w:eastAsia="仿宋" w:cs="仿宋"/>
                <w:spacing w:val="-6"/>
                <w:sz w:val="18"/>
                <w:szCs w:val="18"/>
              </w:rPr>
              <w:t>路左</w:t>
            </w:r>
          </w:p>
        </w:tc>
        <w:tc>
          <w:tcPr>
            <w:tcW w:w="940" w:type="dxa"/>
            <w:tcBorders>
              <w:bottom w:val="single" w:color="000000" w:sz="10" w:space="0"/>
            </w:tcBorders>
            <w:vAlign w:val="top"/>
          </w:tcPr>
          <w:p w14:paraId="3A051BCC">
            <w:pPr>
              <w:spacing w:line="354" w:lineRule="auto"/>
              <w:rPr>
                <w:rFonts w:ascii="Arial"/>
                <w:sz w:val="21"/>
              </w:rPr>
            </w:pPr>
          </w:p>
          <w:p w14:paraId="293D147B">
            <w:pPr>
              <w:spacing w:line="354" w:lineRule="auto"/>
              <w:rPr>
                <w:rFonts w:ascii="Arial"/>
                <w:sz w:val="21"/>
              </w:rPr>
            </w:pPr>
          </w:p>
          <w:p w14:paraId="7FE628BD">
            <w:pPr>
              <w:spacing w:before="58"/>
              <w:ind w:left="247"/>
              <w:rPr>
                <w:rFonts w:ascii="仿宋" w:hAnsi="仿宋" w:eastAsia="仿宋" w:cs="仿宋"/>
                <w:sz w:val="18"/>
                <w:szCs w:val="18"/>
              </w:rPr>
            </w:pPr>
            <w:r>
              <w:rPr>
                <w:rFonts w:ascii="仿宋" w:hAnsi="仿宋" w:eastAsia="仿宋" w:cs="仿宋"/>
                <w:spacing w:val="-1"/>
                <w:sz w:val="18"/>
                <w:szCs w:val="18"/>
              </w:rPr>
              <w:t>-1.29</w:t>
            </w:r>
          </w:p>
        </w:tc>
        <w:tc>
          <w:tcPr>
            <w:tcW w:w="1307" w:type="dxa"/>
            <w:tcBorders>
              <w:bottom w:val="single" w:color="000000" w:sz="10" w:space="0"/>
            </w:tcBorders>
            <w:vAlign w:val="top"/>
          </w:tcPr>
          <w:p w14:paraId="7970476D">
            <w:pPr>
              <w:spacing w:line="354" w:lineRule="auto"/>
              <w:rPr>
                <w:rFonts w:ascii="Arial"/>
                <w:sz w:val="21"/>
              </w:rPr>
            </w:pPr>
          </w:p>
          <w:p w14:paraId="268681B4">
            <w:pPr>
              <w:spacing w:line="354" w:lineRule="auto"/>
              <w:rPr>
                <w:rFonts w:ascii="Arial"/>
                <w:sz w:val="21"/>
              </w:rPr>
            </w:pPr>
          </w:p>
          <w:p w14:paraId="5D33437C">
            <w:pPr>
              <w:spacing w:before="58"/>
              <w:ind w:left="435"/>
              <w:rPr>
                <w:rFonts w:ascii="仿宋" w:hAnsi="仿宋" w:eastAsia="仿宋" w:cs="仿宋"/>
                <w:sz w:val="18"/>
                <w:szCs w:val="18"/>
              </w:rPr>
            </w:pPr>
            <w:r>
              <w:rPr>
                <w:rFonts w:ascii="仿宋" w:hAnsi="仿宋" w:eastAsia="仿宋" w:cs="仿宋"/>
                <w:spacing w:val="-2"/>
                <w:sz w:val="18"/>
                <w:szCs w:val="18"/>
              </w:rPr>
              <w:t>57.75</w:t>
            </w:r>
          </w:p>
        </w:tc>
        <w:tc>
          <w:tcPr>
            <w:tcW w:w="888" w:type="dxa"/>
            <w:tcBorders>
              <w:bottom w:val="single" w:color="000000" w:sz="10" w:space="0"/>
            </w:tcBorders>
            <w:vAlign w:val="top"/>
          </w:tcPr>
          <w:p w14:paraId="74D26116">
            <w:pPr>
              <w:spacing w:line="353" w:lineRule="auto"/>
              <w:rPr>
                <w:rFonts w:ascii="Arial"/>
                <w:sz w:val="21"/>
              </w:rPr>
            </w:pPr>
          </w:p>
          <w:p w14:paraId="65E9C61E">
            <w:pPr>
              <w:spacing w:line="354" w:lineRule="auto"/>
              <w:rPr>
                <w:rFonts w:ascii="Arial"/>
                <w:sz w:val="21"/>
              </w:rPr>
            </w:pPr>
          </w:p>
          <w:p w14:paraId="61DBB8A8">
            <w:pPr>
              <w:spacing w:before="59" w:line="241" w:lineRule="auto"/>
              <w:ind w:left="358"/>
              <w:rPr>
                <w:rFonts w:ascii="仿宋" w:hAnsi="仿宋" w:eastAsia="仿宋" w:cs="仿宋"/>
                <w:sz w:val="18"/>
                <w:szCs w:val="18"/>
              </w:rPr>
            </w:pPr>
            <w:r>
              <w:rPr>
                <w:rFonts w:ascii="仿宋" w:hAnsi="仿宋" w:eastAsia="仿宋" w:cs="仿宋"/>
                <w:spacing w:val="-4"/>
                <w:sz w:val="18"/>
                <w:szCs w:val="18"/>
              </w:rPr>
              <w:t>60</w:t>
            </w:r>
          </w:p>
        </w:tc>
        <w:tc>
          <w:tcPr>
            <w:tcW w:w="1684" w:type="dxa"/>
            <w:tcBorders>
              <w:bottom w:val="single" w:color="000000" w:sz="10" w:space="0"/>
            </w:tcBorders>
            <w:vAlign w:val="top"/>
          </w:tcPr>
          <w:p w14:paraId="6BFD536C">
            <w:pPr>
              <w:spacing w:line="354" w:lineRule="auto"/>
              <w:rPr>
                <w:rFonts w:ascii="Arial"/>
                <w:sz w:val="21"/>
              </w:rPr>
            </w:pPr>
          </w:p>
          <w:p w14:paraId="328B3B29">
            <w:pPr>
              <w:spacing w:line="354" w:lineRule="auto"/>
              <w:rPr>
                <w:rFonts w:ascii="Arial"/>
                <w:sz w:val="21"/>
              </w:rPr>
            </w:pPr>
          </w:p>
          <w:p w14:paraId="3D8AE61E">
            <w:pPr>
              <w:spacing w:before="58" w:line="224" w:lineRule="auto"/>
              <w:ind w:left="725"/>
              <w:rPr>
                <w:rFonts w:ascii="仿宋" w:hAnsi="仿宋" w:eastAsia="仿宋" w:cs="仿宋"/>
                <w:sz w:val="18"/>
                <w:szCs w:val="18"/>
              </w:rPr>
            </w:pPr>
            <w:r>
              <w:rPr>
                <w:rFonts w:ascii="仿宋" w:hAnsi="仿宋" w:eastAsia="仿宋" w:cs="仿宋"/>
                <w:spacing w:val="-10"/>
                <w:sz w:val="18"/>
                <w:szCs w:val="18"/>
              </w:rPr>
              <w:t>1类</w:t>
            </w:r>
          </w:p>
        </w:tc>
        <w:tc>
          <w:tcPr>
            <w:tcW w:w="762" w:type="dxa"/>
            <w:tcBorders>
              <w:bottom w:val="single" w:color="000000" w:sz="10" w:space="0"/>
            </w:tcBorders>
            <w:vAlign w:val="top"/>
          </w:tcPr>
          <w:p w14:paraId="528B4D03">
            <w:pPr>
              <w:spacing w:line="353" w:lineRule="auto"/>
              <w:rPr>
                <w:rFonts w:ascii="Arial"/>
                <w:sz w:val="21"/>
              </w:rPr>
            </w:pPr>
          </w:p>
          <w:p w14:paraId="27D50D39">
            <w:pPr>
              <w:spacing w:line="354" w:lineRule="auto"/>
              <w:rPr>
                <w:rFonts w:ascii="Arial"/>
                <w:sz w:val="21"/>
              </w:rPr>
            </w:pPr>
          </w:p>
          <w:p w14:paraId="1B760E8E">
            <w:pPr>
              <w:spacing w:before="59" w:line="223" w:lineRule="auto"/>
              <w:ind w:left="71"/>
              <w:rPr>
                <w:rFonts w:ascii="仿宋" w:hAnsi="仿宋" w:eastAsia="仿宋" w:cs="仿宋"/>
                <w:sz w:val="18"/>
                <w:szCs w:val="18"/>
              </w:rPr>
            </w:pPr>
            <w:r>
              <w:rPr>
                <w:rFonts w:ascii="仿宋" w:hAnsi="仿宋" w:eastAsia="仿宋" w:cs="仿宋"/>
                <w:spacing w:val="-2"/>
                <w:sz w:val="18"/>
                <w:szCs w:val="18"/>
              </w:rPr>
              <w:t>2户/6人</w:t>
            </w:r>
          </w:p>
        </w:tc>
        <w:tc>
          <w:tcPr>
            <w:tcW w:w="2129" w:type="dxa"/>
            <w:tcBorders>
              <w:bottom w:val="single" w:color="000000" w:sz="10" w:space="0"/>
            </w:tcBorders>
            <w:vAlign w:val="top"/>
          </w:tcPr>
          <w:p w14:paraId="086CD1EE">
            <w:pPr>
              <w:spacing w:line="296" w:lineRule="auto"/>
              <w:rPr>
                <w:rFonts w:ascii="Arial"/>
                <w:sz w:val="21"/>
              </w:rPr>
            </w:pPr>
          </w:p>
          <w:p w14:paraId="49F7ECE9">
            <w:pPr>
              <w:spacing w:line="297" w:lineRule="auto"/>
              <w:rPr>
                <w:rFonts w:ascii="Arial"/>
                <w:sz w:val="21"/>
              </w:rPr>
            </w:pPr>
          </w:p>
          <w:p w14:paraId="2671FDC8">
            <w:pPr>
              <w:spacing w:before="58"/>
              <w:ind w:left="14" w:firstLine="22"/>
              <w:rPr>
                <w:rFonts w:ascii="仿宋" w:hAnsi="仿宋" w:eastAsia="仿宋" w:cs="仿宋"/>
                <w:sz w:val="18"/>
                <w:szCs w:val="18"/>
              </w:rPr>
            </w:pPr>
            <w:r>
              <w:rPr>
                <w:rFonts w:ascii="仿宋" w:hAnsi="仿宋" w:eastAsia="仿宋" w:cs="仿宋"/>
                <w:spacing w:val="-2"/>
                <w:sz w:val="18"/>
                <w:szCs w:val="18"/>
              </w:rPr>
              <w:t>砖混，1层平房，面向拟建</w:t>
            </w:r>
            <w:r>
              <w:rPr>
                <w:rFonts w:ascii="仿宋" w:hAnsi="仿宋" w:eastAsia="仿宋" w:cs="仿宋"/>
                <w:spacing w:val="-5"/>
                <w:sz w:val="18"/>
                <w:szCs w:val="18"/>
              </w:rPr>
              <w:t>道路，地势低于拟建道路。</w:t>
            </w:r>
          </w:p>
        </w:tc>
        <w:tc>
          <w:tcPr>
            <w:tcW w:w="2112" w:type="dxa"/>
            <w:tcBorders>
              <w:bottom w:val="single" w:color="000000" w:sz="10" w:space="0"/>
              <w:right w:val="nil"/>
            </w:tcBorders>
            <w:vAlign w:val="top"/>
          </w:tcPr>
          <w:p w14:paraId="512FFC22">
            <w:pPr>
              <w:spacing w:before="21" w:line="1671" w:lineRule="exact"/>
              <w:ind w:firstLine="80"/>
            </w:pPr>
            <w:r>
              <w:rPr>
                <w:position w:val="-33"/>
              </w:rPr>
              <w:drawing>
                <wp:inline distT="0" distB="0" distL="0" distR="0">
                  <wp:extent cx="1238885" cy="1060450"/>
                  <wp:effectExtent l="0" t="0" r="0" b="0"/>
                  <wp:docPr id="182" name="IM 182"/>
                  <wp:cNvGraphicFramePr/>
                  <a:graphic xmlns:a="http://schemas.openxmlformats.org/drawingml/2006/main">
                    <a:graphicData uri="http://schemas.openxmlformats.org/drawingml/2006/picture">
                      <pic:pic xmlns:pic="http://schemas.openxmlformats.org/drawingml/2006/picture">
                        <pic:nvPicPr>
                          <pic:cNvPr id="182" name="IM 182"/>
                          <pic:cNvPicPr/>
                        </pic:nvPicPr>
                        <pic:blipFill>
                          <a:blip r:embed="rId297"/>
                          <a:stretch>
                            <a:fillRect/>
                          </a:stretch>
                        </pic:blipFill>
                        <pic:spPr>
                          <a:xfrm>
                            <a:off x="0" y="0"/>
                            <a:ext cx="1239011" cy="1060577"/>
                          </a:xfrm>
                          <a:prstGeom prst="rect">
                            <a:avLst/>
                          </a:prstGeom>
                        </pic:spPr>
                      </pic:pic>
                    </a:graphicData>
                  </a:graphic>
                </wp:inline>
              </w:drawing>
            </w:r>
          </w:p>
        </w:tc>
      </w:tr>
    </w:tbl>
    <w:p w14:paraId="51B53CFC">
      <w:pPr>
        <w:pStyle w:val="2"/>
        <w:rPr>
          <w:sz w:val="21"/>
        </w:rPr>
      </w:pPr>
    </w:p>
    <w:p w14:paraId="664C71F5">
      <w:pPr>
        <w:rPr>
          <w:sz w:val="21"/>
          <w:szCs w:val="21"/>
        </w:rPr>
        <w:sectPr>
          <w:footerReference r:id="rId139" w:type="default"/>
          <w:pgSz w:w="16839" w:h="11906"/>
          <w:pgMar w:top="400" w:right="1439" w:bottom="1370" w:left="1439" w:header="0" w:footer="1207" w:gutter="0"/>
          <w:cols w:space="720" w:num="1"/>
        </w:sectPr>
      </w:pPr>
    </w:p>
    <w:p w14:paraId="120E8E65">
      <w:pPr>
        <w:spacing w:before="39"/>
      </w:pPr>
    </w:p>
    <w:p w14:paraId="2FB86299">
      <w:pPr>
        <w:spacing w:before="39"/>
      </w:pPr>
    </w:p>
    <w:p w14:paraId="479F0021">
      <w:pPr>
        <w:spacing w:before="38"/>
      </w:pPr>
    </w:p>
    <w:p w14:paraId="309301F5">
      <w:pPr>
        <w:spacing w:before="38"/>
      </w:pPr>
    </w:p>
    <w:p w14:paraId="03FAA0A6">
      <w:pPr>
        <w:spacing w:before="38"/>
      </w:pPr>
    </w:p>
    <w:tbl>
      <w:tblPr>
        <w:tblStyle w:val="5"/>
        <w:tblW w:w="1396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28"/>
        <w:gridCol w:w="720"/>
        <w:gridCol w:w="975"/>
        <w:gridCol w:w="1035"/>
        <w:gridCol w:w="630"/>
        <w:gridCol w:w="450"/>
        <w:gridCol w:w="940"/>
        <w:gridCol w:w="1307"/>
        <w:gridCol w:w="888"/>
        <w:gridCol w:w="1684"/>
        <w:gridCol w:w="762"/>
        <w:gridCol w:w="2129"/>
        <w:gridCol w:w="2112"/>
      </w:tblGrid>
      <w:tr w14:paraId="68C61B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49" w:hRule="atLeast"/>
        </w:trPr>
        <w:tc>
          <w:tcPr>
            <w:tcW w:w="328" w:type="dxa"/>
            <w:tcBorders>
              <w:top w:val="single" w:color="000000" w:sz="10" w:space="0"/>
              <w:left w:val="nil"/>
            </w:tcBorders>
            <w:vAlign w:val="top"/>
          </w:tcPr>
          <w:p w14:paraId="7C2E9C21">
            <w:pPr>
              <w:spacing w:line="241" w:lineRule="auto"/>
              <w:rPr>
                <w:rFonts w:ascii="Arial"/>
                <w:sz w:val="21"/>
              </w:rPr>
            </w:pPr>
          </w:p>
          <w:p w14:paraId="5E57688A">
            <w:pPr>
              <w:spacing w:line="241" w:lineRule="auto"/>
              <w:rPr>
                <w:rFonts w:ascii="Arial"/>
                <w:sz w:val="21"/>
              </w:rPr>
            </w:pPr>
          </w:p>
          <w:p w14:paraId="7079A2D0">
            <w:pPr>
              <w:spacing w:line="241" w:lineRule="auto"/>
              <w:rPr>
                <w:rFonts w:ascii="Arial"/>
                <w:sz w:val="21"/>
              </w:rPr>
            </w:pPr>
          </w:p>
          <w:p w14:paraId="45420D95">
            <w:pPr>
              <w:spacing w:before="58" w:line="241" w:lineRule="auto"/>
              <w:ind w:left="90"/>
              <w:rPr>
                <w:rFonts w:ascii="仿宋" w:hAnsi="仿宋" w:eastAsia="仿宋" w:cs="仿宋"/>
                <w:sz w:val="18"/>
                <w:szCs w:val="18"/>
              </w:rPr>
            </w:pPr>
            <w:r>
              <w:rPr>
                <w:rFonts w:ascii="仿宋" w:hAnsi="仿宋" w:eastAsia="仿宋" w:cs="仿宋"/>
                <w:spacing w:val="-10"/>
                <w:sz w:val="18"/>
                <w:szCs w:val="18"/>
              </w:rPr>
              <w:t>10</w:t>
            </w:r>
          </w:p>
        </w:tc>
        <w:tc>
          <w:tcPr>
            <w:tcW w:w="720" w:type="dxa"/>
            <w:tcBorders>
              <w:top w:val="single" w:color="000000" w:sz="10" w:space="0"/>
            </w:tcBorders>
            <w:vAlign w:val="top"/>
          </w:tcPr>
          <w:p w14:paraId="694FC45A">
            <w:pPr>
              <w:spacing w:line="302" w:lineRule="auto"/>
              <w:rPr>
                <w:rFonts w:ascii="Arial"/>
                <w:sz w:val="21"/>
              </w:rPr>
            </w:pPr>
          </w:p>
          <w:p w14:paraId="75BBCFB3">
            <w:pPr>
              <w:spacing w:line="303" w:lineRule="auto"/>
              <w:rPr>
                <w:rFonts w:ascii="Arial"/>
                <w:sz w:val="21"/>
              </w:rPr>
            </w:pPr>
          </w:p>
          <w:p w14:paraId="4725F39D">
            <w:pPr>
              <w:spacing w:before="59"/>
              <w:ind w:left="187" w:right="42" w:hanging="128"/>
              <w:rPr>
                <w:rFonts w:ascii="仿宋" w:hAnsi="仿宋" w:eastAsia="仿宋" w:cs="仿宋"/>
                <w:sz w:val="18"/>
                <w:szCs w:val="18"/>
              </w:rPr>
            </w:pPr>
            <w:r>
              <w:rPr>
                <w:rFonts w:ascii="仿宋" w:hAnsi="仿宋" w:eastAsia="仿宋" w:cs="仿宋"/>
                <w:spacing w:val="-5"/>
                <w:sz w:val="18"/>
                <w:szCs w:val="18"/>
              </w:rPr>
              <w:t>三道壕-</w:t>
            </w:r>
            <w:r>
              <w:rPr>
                <w:rFonts w:ascii="仿宋" w:hAnsi="仿宋" w:eastAsia="仿宋" w:cs="仿宋"/>
                <w:spacing w:val="-6"/>
                <w:sz w:val="18"/>
                <w:szCs w:val="18"/>
              </w:rPr>
              <w:t>散户</w:t>
            </w:r>
          </w:p>
        </w:tc>
        <w:tc>
          <w:tcPr>
            <w:tcW w:w="975" w:type="dxa"/>
            <w:tcBorders>
              <w:top w:val="single" w:color="000000" w:sz="10" w:space="0"/>
            </w:tcBorders>
            <w:vAlign w:val="top"/>
          </w:tcPr>
          <w:p w14:paraId="27D1C8C3">
            <w:pPr>
              <w:rPr>
                <w:rFonts w:ascii="Arial"/>
                <w:sz w:val="21"/>
              </w:rPr>
            </w:pPr>
          </w:p>
        </w:tc>
        <w:tc>
          <w:tcPr>
            <w:tcW w:w="1035" w:type="dxa"/>
            <w:tcBorders>
              <w:top w:val="single" w:color="000000" w:sz="10" w:space="0"/>
            </w:tcBorders>
            <w:vAlign w:val="top"/>
          </w:tcPr>
          <w:p w14:paraId="5EFDC120">
            <w:pPr>
              <w:spacing w:line="303" w:lineRule="auto"/>
              <w:rPr>
                <w:rFonts w:ascii="Arial"/>
                <w:sz w:val="21"/>
              </w:rPr>
            </w:pPr>
          </w:p>
          <w:p w14:paraId="53C9E72E">
            <w:pPr>
              <w:spacing w:line="303" w:lineRule="auto"/>
              <w:rPr>
                <w:rFonts w:ascii="Arial"/>
                <w:sz w:val="21"/>
              </w:rPr>
            </w:pPr>
          </w:p>
          <w:p w14:paraId="0F812680">
            <w:pPr>
              <w:spacing w:before="58" w:line="239" w:lineRule="auto"/>
              <w:ind w:left="158"/>
              <w:rPr>
                <w:rFonts w:ascii="仿宋" w:hAnsi="仿宋" w:eastAsia="仿宋" w:cs="仿宋"/>
                <w:sz w:val="18"/>
                <w:szCs w:val="18"/>
              </w:rPr>
            </w:pPr>
            <w:r>
              <w:rPr>
                <w:rFonts w:ascii="仿宋" w:hAnsi="仿宋" w:eastAsia="仿宋" w:cs="仿宋"/>
                <w:spacing w:val="9"/>
                <w:sz w:val="18"/>
                <w:szCs w:val="18"/>
              </w:rPr>
              <w:t>K0+270~</w:t>
            </w:r>
          </w:p>
          <w:p w14:paraId="797D3BC4">
            <w:pPr>
              <w:spacing w:line="241" w:lineRule="auto"/>
              <w:ind w:left="247"/>
              <w:rPr>
                <w:rFonts w:ascii="仿宋" w:hAnsi="仿宋" w:eastAsia="仿宋" w:cs="仿宋"/>
                <w:sz w:val="18"/>
                <w:szCs w:val="18"/>
              </w:rPr>
            </w:pPr>
            <w:r>
              <w:rPr>
                <w:rFonts w:ascii="仿宋" w:hAnsi="仿宋" w:eastAsia="仿宋" w:cs="仿宋"/>
                <w:spacing w:val="-1"/>
                <w:sz w:val="18"/>
                <w:szCs w:val="18"/>
              </w:rPr>
              <w:t>K0+370</w:t>
            </w:r>
          </w:p>
        </w:tc>
        <w:tc>
          <w:tcPr>
            <w:tcW w:w="630" w:type="dxa"/>
            <w:tcBorders>
              <w:top w:val="single" w:color="000000" w:sz="10" w:space="0"/>
            </w:tcBorders>
            <w:vAlign w:val="top"/>
          </w:tcPr>
          <w:p w14:paraId="73B0EE5A">
            <w:pPr>
              <w:spacing w:line="241" w:lineRule="auto"/>
              <w:rPr>
                <w:rFonts w:ascii="Arial"/>
                <w:sz w:val="21"/>
              </w:rPr>
            </w:pPr>
          </w:p>
          <w:p w14:paraId="5DD8F180">
            <w:pPr>
              <w:spacing w:line="241" w:lineRule="auto"/>
              <w:rPr>
                <w:rFonts w:ascii="Arial"/>
                <w:sz w:val="21"/>
              </w:rPr>
            </w:pPr>
          </w:p>
          <w:p w14:paraId="0A9C2C04">
            <w:pPr>
              <w:spacing w:line="241" w:lineRule="auto"/>
              <w:rPr>
                <w:rFonts w:ascii="Arial"/>
                <w:sz w:val="21"/>
              </w:rPr>
            </w:pPr>
          </w:p>
          <w:p w14:paraId="6E3B403A">
            <w:pPr>
              <w:spacing w:before="58" w:line="223" w:lineRule="auto"/>
              <w:ind w:left="143"/>
              <w:rPr>
                <w:rFonts w:ascii="仿宋" w:hAnsi="仿宋" w:eastAsia="仿宋" w:cs="仿宋"/>
                <w:sz w:val="18"/>
                <w:szCs w:val="18"/>
              </w:rPr>
            </w:pPr>
            <w:r>
              <w:rPr>
                <w:rFonts w:ascii="仿宋" w:hAnsi="仿宋" w:eastAsia="仿宋" w:cs="仿宋"/>
                <w:spacing w:val="-6"/>
                <w:sz w:val="18"/>
                <w:szCs w:val="18"/>
              </w:rPr>
              <w:t>路基</w:t>
            </w:r>
          </w:p>
        </w:tc>
        <w:tc>
          <w:tcPr>
            <w:tcW w:w="450" w:type="dxa"/>
            <w:tcBorders>
              <w:top w:val="single" w:color="000000" w:sz="10" w:space="0"/>
            </w:tcBorders>
            <w:vAlign w:val="top"/>
          </w:tcPr>
          <w:p w14:paraId="34713BB5">
            <w:pPr>
              <w:spacing w:line="241" w:lineRule="auto"/>
              <w:rPr>
                <w:rFonts w:ascii="Arial"/>
                <w:sz w:val="21"/>
              </w:rPr>
            </w:pPr>
          </w:p>
          <w:p w14:paraId="67369C66">
            <w:pPr>
              <w:spacing w:line="241" w:lineRule="auto"/>
              <w:rPr>
                <w:rFonts w:ascii="Arial"/>
                <w:sz w:val="21"/>
              </w:rPr>
            </w:pPr>
          </w:p>
          <w:p w14:paraId="001A80BC">
            <w:pPr>
              <w:spacing w:line="241" w:lineRule="auto"/>
              <w:rPr>
                <w:rFonts w:ascii="Arial"/>
                <w:sz w:val="21"/>
              </w:rPr>
            </w:pPr>
          </w:p>
          <w:p w14:paraId="17FB9D65">
            <w:pPr>
              <w:spacing w:before="58" w:line="223" w:lineRule="auto"/>
              <w:ind w:left="53"/>
              <w:rPr>
                <w:rFonts w:ascii="仿宋" w:hAnsi="仿宋" w:eastAsia="仿宋" w:cs="仿宋"/>
                <w:sz w:val="18"/>
                <w:szCs w:val="18"/>
              </w:rPr>
            </w:pPr>
            <w:r>
              <w:rPr>
                <w:rFonts w:ascii="仿宋" w:hAnsi="仿宋" w:eastAsia="仿宋" w:cs="仿宋"/>
                <w:spacing w:val="-6"/>
                <w:sz w:val="18"/>
                <w:szCs w:val="18"/>
              </w:rPr>
              <w:t>路右</w:t>
            </w:r>
          </w:p>
        </w:tc>
        <w:tc>
          <w:tcPr>
            <w:tcW w:w="940" w:type="dxa"/>
            <w:tcBorders>
              <w:top w:val="single" w:color="000000" w:sz="10" w:space="0"/>
            </w:tcBorders>
            <w:vAlign w:val="top"/>
          </w:tcPr>
          <w:p w14:paraId="045787F0">
            <w:pPr>
              <w:spacing w:line="241" w:lineRule="auto"/>
              <w:rPr>
                <w:rFonts w:ascii="Arial"/>
                <w:sz w:val="21"/>
              </w:rPr>
            </w:pPr>
          </w:p>
          <w:p w14:paraId="78A24645">
            <w:pPr>
              <w:spacing w:line="241" w:lineRule="auto"/>
              <w:rPr>
                <w:rFonts w:ascii="Arial"/>
                <w:sz w:val="21"/>
              </w:rPr>
            </w:pPr>
          </w:p>
          <w:p w14:paraId="550ACD13">
            <w:pPr>
              <w:spacing w:line="241" w:lineRule="auto"/>
              <w:rPr>
                <w:rFonts w:ascii="Arial"/>
                <w:sz w:val="21"/>
              </w:rPr>
            </w:pPr>
          </w:p>
          <w:p w14:paraId="71582ECB">
            <w:pPr>
              <w:spacing w:before="59"/>
              <w:ind w:left="247"/>
              <w:rPr>
                <w:rFonts w:ascii="仿宋" w:hAnsi="仿宋" w:eastAsia="仿宋" w:cs="仿宋"/>
                <w:sz w:val="18"/>
                <w:szCs w:val="18"/>
              </w:rPr>
            </w:pPr>
            <w:r>
              <w:rPr>
                <w:rFonts w:ascii="仿宋" w:hAnsi="仿宋" w:eastAsia="仿宋" w:cs="仿宋"/>
                <w:spacing w:val="-1"/>
                <w:sz w:val="18"/>
                <w:szCs w:val="18"/>
              </w:rPr>
              <w:t>-3.07</w:t>
            </w:r>
          </w:p>
        </w:tc>
        <w:tc>
          <w:tcPr>
            <w:tcW w:w="1307" w:type="dxa"/>
            <w:tcBorders>
              <w:top w:val="single" w:color="000000" w:sz="10" w:space="0"/>
            </w:tcBorders>
            <w:vAlign w:val="top"/>
          </w:tcPr>
          <w:p w14:paraId="0BC315E7">
            <w:pPr>
              <w:spacing w:line="241" w:lineRule="auto"/>
              <w:rPr>
                <w:rFonts w:ascii="Arial"/>
                <w:sz w:val="21"/>
              </w:rPr>
            </w:pPr>
          </w:p>
          <w:p w14:paraId="498EACE9">
            <w:pPr>
              <w:spacing w:line="241" w:lineRule="auto"/>
              <w:rPr>
                <w:rFonts w:ascii="Arial"/>
                <w:sz w:val="21"/>
              </w:rPr>
            </w:pPr>
          </w:p>
          <w:p w14:paraId="2D4C68D6">
            <w:pPr>
              <w:spacing w:line="241" w:lineRule="auto"/>
              <w:rPr>
                <w:rFonts w:ascii="Arial"/>
                <w:sz w:val="21"/>
              </w:rPr>
            </w:pPr>
          </w:p>
          <w:p w14:paraId="20AF09A1">
            <w:pPr>
              <w:spacing w:before="59"/>
              <w:ind w:left="434"/>
              <w:rPr>
                <w:rFonts w:ascii="仿宋" w:hAnsi="仿宋" w:eastAsia="仿宋" w:cs="仿宋"/>
                <w:sz w:val="18"/>
                <w:szCs w:val="18"/>
              </w:rPr>
            </w:pPr>
            <w:r>
              <w:rPr>
                <w:rFonts w:ascii="仿宋" w:hAnsi="仿宋" w:eastAsia="仿宋" w:cs="仿宋"/>
                <w:spacing w:val="-2"/>
                <w:sz w:val="18"/>
                <w:szCs w:val="18"/>
              </w:rPr>
              <w:t>20.75</w:t>
            </w:r>
          </w:p>
        </w:tc>
        <w:tc>
          <w:tcPr>
            <w:tcW w:w="888" w:type="dxa"/>
            <w:tcBorders>
              <w:top w:val="single" w:color="000000" w:sz="10" w:space="0"/>
            </w:tcBorders>
            <w:vAlign w:val="top"/>
          </w:tcPr>
          <w:p w14:paraId="0E0BFC8F">
            <w:pPr>
              <w:spacing w:line="241" w:lineRule="auto"/>
              <w:rPr>
                <w:rFonts w:ascii="Arial"/>
                <w:sz w:val="21"/>
              </w:rPr>
            </w:pPr>
          </w:p>
          <w:p w14:paraId="08911322">
            <w:pPr>
              <w:spacing w:line="241" w:lineRule="auto"/>
              <w:rPr>
                <w:rFonts w:ascii="Arial"/>
                <w:sz w:val="21"/>
              </w:rPr>
            </w:pPr>
          </w:p>
          <w:p w14:paraId="16D0BF9A">
            <w:pPr>
              <w:spacing w:line="241" w:lineRule="auto"/>
              <w:rPr>
                <w:rFonts w:ascii="Arial"/>
                <w:sz w:val="21"/>
              </w:rPr>
            </w:pPr>
          </w:p>
          <w:p w14:paraId="57073A32">
            <w:pPr>
              <w:spacing w:before="58" w:line="241" w:lineRule="auto"/>
              <w:ind w:left="358"/>
              <w:rPr>
                <w:rFonts w:ascii="仿宋" w:hAnsi="仿宋" w:eastAsia="仿宋" w:cs="仿宋"/>
                <w:sz w:val="18"/>
                <w:szCs w:val="18"/>
              </w:rPr>
            </w:pPr>
            <w:r>
              <w:rPr>
                <w:rFonts w:ascii="仿宋" w:hAnsi="仿宋" w:eastAsia="仿宋" w:cs="仿宋"/>
                <w:spacing w:val="-4"/>
                <w:sz w:val="18"/>
                <w:szCs w:val="18"/>
              </w:rPr>
              <w:t>23</w:t>
            </w:r>
          </w:p>
        </w:tc>
        <w:tc>
          <w:tcPr>
            <w:tcW w:w="1684" w:type="dxa"/>
            <w:tcBorders>
              <w:top w:val="single" w:color="000000" w:sz="10" w:space="0"/>
            </w:tcBorders>
            <w:vAlign w:val="top"/>
          </w:tcPr>
          <w:p w14:paraId="26B97CB6">
            <w:pPr>
              <w:spacing w:line="241" w:lineRule="auto"/>
              <w:rPr>
                <w:rFonts w:ascii="Arial"/>
                <w:sz w:val="21"/>
              </w:rPr>
            </w:pPr>
          </w:p>
          <w:p w14:paraId="01BDE2D9">
            <w:pPr>
              <w:spacing w:line="241" w:lineRule="auto"/>
              <w:rPr>
                <w:rFonts w:ascii="Arial"/>
                <w:sz w:val="21"/>
              </w:rPr>
            </w:pPr>
          </w:p>
          <w:p w14:paraId="31E8E920">
            <w:pPr>
              <w:spacing w:line="241" w:lineRule="auto"/>
              <w:rPr>
                <w:rFonts w:ascii="Arial"/>
                <w:sz w:val="21"/>
              </w:rPr>
            </w:pPr>
          </w:p>
          <w:p w14:paraId="1BF0A597">
            <w:pPr>
              <w:spacing w:before="59" w:line="224" w:lineRule="auto"/>
              <w:ind w:left="725"/>
              <w:rPr>
                <w:rFonts w:ascii="仿宋" w:hAnsi="仿宋" w:eastAsia="仿宋" w:cs="仿宋"/>
                <w:sz w:val="18"/>
                <w:szCs w:val="18"/>
              </w:rPr>
            </w:pPr>
            <w:r>
              <w:rPr>
                <w:rFonts w:ascii="仿宋" w:hAnsi="仿宋" w:eastAsia="仿宋" w:cs="仿宋"/>
                <w:spacing w:val="-10"/>
                <w:sz w:val="18"/>
                <w:szCs w:val="18"/>
              </w:rPr>
              <w:t>1类</w:t>
            </w:r>
          </w:p>
        </w:tc>
        <w:tc>
          <w:tcPr>
            <w:tcW w:w="762" w:type="dxa"/>
            <w:tcBorders>
              <w:top w:val="single" w:color="000000" w:sz="10" w:space="0"/>
            </w:tcBorders>
            <w:vAlign w:val="top"/>
          </w:tcPr>
          <w:p w14:paraId="1AFA8AD9">
            <w:pPr>
              <w:spacing w:line="241" w:lineRule="auto"/>
              <w:rPr>
                <w:rFonts w:ascii="Arial"/>
                <w:sz w:val="21"/>
              </w:rPr>
            </w:pPr>
          </w:p>
          <w:p w14:paraId="7359A1B7">
            <w:pPr>
              <w:spacing w:line="241" w:lineRule="auto"/>
              <w:rPr>
                <w:rFonts w:ascii="Arial"/>
                <w:sz w:val="21"/>
              </w:rPr>
            </w:pPr>
          </w:p>
          <w:p w14:paraId="3E89EAA0">
            <w:pPr>
              <w:spacing w:line="241" w:lineRule="auto"/>
              <w:rPr>
                <w:rFonts w:ascii="Arial"/>
                <w:sz w:val="21"/>
              </w:rPr>
            </w:pPr>
          </w:p>
          <w:p w14:paraId="507AB608">
            <w:pPr>
              <w:spacing w:before="58" w:line="223" w:lineRule="auto"/>
              <w:ind w:left="71"/>
              <w:rPr>
                <w:rFonts w:ascii="仿宋" w:hAnsi="仿宋" w:eastAsia="仿宋" w:cs="仿宋"/>
                <w:sz w:val="18"/>
                <w:szCs w:val="18"/>
              </w:rPr>
            </w:pPr>
            <w:r>
              <w:rPr>
                <w:rFonts w:ascii="仿宋" w:hAnsi="仿宋" w:eastAsia="仿宋" w:cs="仿宋"/>
                <w:spacing w:val="-2"/>
                <w:sz w:val="18"/>
                <w:szCs w:val="18"/>
              </w:rPr>
              <w:t>2户/5人</w:t>
            </w:r>
          </w:p>
        </w:tc>
        <w:tc>
          <w:tcPr>
            <w:tcW w:w="2129" w:type="dxa"/>
            <w:tcBorders>
              <w:top w:val="single" w:color="000000" w:sz="10" w:space="0"/>
            </w:tcBorders>
            <w:vAlign w:val="top"/>
          </w:tcPr>
          <w:p w14:paraId="50F736F9">
            <w:pPr>
              <w:spacing w:line="303" w:lineRule="auto"/>
              <w:rPr>
                <w:rFonts w:ascii="Arial"/>
                <w:sz w:val="21"/>
              </w:rPr>
            </w:pPr>
          </w:p>
          <w:p w14:paraId="343D58F0">
            <w:pPr>
              <w:spacing w:line="303" w:lineRule="auto"/>
              <w:rPr>
                <w:rFonts w:ascii="Arial"/>
                <w:sz w:val="21"/>
              </w:rPr>
            </w:pPr>
          </w:p>
          <w:p w14:paraId="6D2A08C1">
            <w:pPr>
              <w:spacing w:before="59"/>
              <w:ind w:left="14" w:firstLine="22"/>
              <w:rPr>
                <w:rFonts w:ascii="仿宋" w:hAnsi="仿宋" w:eastAsia="仿宋" w:cs="仿宋"/>
                <w:sz w:val="18"/>
                <w:szCs w:val="18"/>
              </w:rPr>
            </w:pPr>
            <w:r>
              <w:rPr>
                <w:rFonts w:ascii="仿宋" w:hAnsi="仿宋" w:eastAsia="仿宋" w:cs="仿宋"/>
                <w:spacing w:val="-2"/>
                <w:sz w:val="18"/>
                <w:szCs w:val="18"/>
              </w:rPr>
              <w:t>砖混，1层平房，面向拟建</w:t>
            </w:r>
            <w:r>
              <w:rPr>
                <w:rFonts w:ascii="仿宋" w:hAnsi="仿宋" w:eastAsia="仿宋" w:cs="仿宋"/>
                <w:spacing w:val="-5"/>
                <w:sz w:val="18"/>
                <w:szCs w:val="18"/>
              </w:rPr>
              <w:t>道路，地势低于拟建道路。</w:t>
            </w:r>
          </w:p>
        </w:tc>
        <w:tc>
          <w:tcPr>
            <w:tcW w:w="2112" w:type="dxa"/>
            <w:tcBorders>
              <w:top w:val="single" w:color="000000" w:sz="10" w:space="0"/>
              <w:right w:val="nil"/>
            </w:tcBorders>
            <w:vAlign w:val="top"/>
          </w:tcPr>
          <w:p w14:paraId="18F94DEA">
            <w:pPr>
              <w:spacing w:before="6" w:line="1725" w:lineRule="exact"/>
              <w:ind w:firstLine="66"/>
            </w:pPr>
            <w:r>
              <w:rPr>
                <w:position w:val="-34"/>
              </w:rPr>
              <w:drawing>
                <wp:inline distT="0" distB="0" distL="0" distR="0">
                  <wp:extent cx="1249680" cy="1095375"/>
                  <wp:effectExtent l="0" t="0" r="0" b="0"/>
                  <wp:docPr id="184" name="IM 184"/>
                  <wp:cNvGraphicFramePr/>
                  <a:graphic xmlns:a="http://schemas.openxmlformats.org/drawingml/2006/main">
                    <a:graphicData uri="http://schemas.openxmlformats.org/drawingml/2006/picture">
                      <pic:pic xmlns:pic="http://schemas.openxmlformats.org/drawingml/2006/picture">
                        <pic:nvPicPr>
                          <pic:cNvPr id="184" name="IM 184"/>
                          <pic:cNvPicPr/>
                        </pic:nvPicPr>
                        <pic:blipFill>
                          <a:blip r:embed="rId299"/>
                          <a:stretch>
                            <a:fillRect/>
                          </a:stretch>
                        </pic:blipFill>
                        <pic:spPr>
                          <a:xfrm>
                            <a:off x="0" y="0"/>
                            <a:ext cx="1249680" cy="1095755"/>
                          </a:xfrm>
                          <a:prstGeom prst="rect">
                            <a:avLst/>
                          </a:prstGeom>
                        </pic:spPr>
                      </pic:pic>
                    </a:graphicData>
                  </a:graphic>
                </wp:inline>
              </w:drawing>
            </w:r>
          </w:p>
        </w:tc>
      </w:tr>
    </w:tbl>
    <w:p w14:paraId="4224EDF4">
      <w:pPr>
        <w:spacing w:before="27" w:line="211" w:lineRule="auto"/>
        <w:ind w:left="6545"/>
        <w:rPr>
          <w:rFonts w:ascii="仿宋" w:hAnsi="仿宋" w:eastAsia="仿宋" w:cs="仿宋"/>
          <w:sz w:val="18"/>
          <w:szCs w:val="18"/>
        </w:rPr>
      </w:pPr>
      <w:r>
        <w:rPr>
          <w:rFonts w:ascii="仿宋" w:hAnsi="仿宋" w:eastAsia="仿宋" w:cs="仿宋"/>
          <w:b/>
          <w:bCs/>
          <w:spacing w:val="-5"/>
          <w:sz w:val="18"/>
          <w:szCs w:val="18"/>
        </w:rPr>
        <w:t>十二连城乡</w:t>
      </w:r>
    </w:p>
    <w:tbl>
      <w:tblPr>
        <w:tblStyle w:val="5"/>
        <w:tblW w:w="1396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28"/>
        <w:gridCol w:w="720"/>
        <w:gridCol w:w="975"/>
        <w:gridCol w:w="1035"/>
        <w:gridCol w:w="630"/>
        <w:gridCol w:w="450"/>
        <w:gridCol w:w="940"/>
        <w:gridCol w:w="1307"/>
        <w:gridCol w:w="888"/>
        <w:gridCol w:w="1684"/>
        <w:gridCol w:w="762"/>
        <w:gridCol w:w="2129"/>
        <w:gridCol w:w="2112"/>
      </w:tblGrid>
      <w:tr w14:paraId="07B9CD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1" w:hRule="atLeast"/>
        </w:trPr>
        <w:tc>
          <w:tcPr>
            <w:tcW w:w="328" w:type="dxa"/>
            <w:vMerge w:val="restart"/>
            <w:tcBorders>
              <w:left w:val="nil"/>
              <w:bottom w:val="nil"/>
            </w:tcBorders>
            <w:vAlign w:val="top"/>
          </w:tcPr>
          <w:p w14:paraId="4979F456">
            <w:pPr>
              <w:spacing w:line="255" w:lineRule="auto"/>
              <w:rPr>
                <w:rFonts w:ascii="Arial"/>
                <w:sz w:val="21"/>
              </w:rPr>
            </w:pPr>
          </w:p>
          <w:p w14:paraId="6E298CDD">
            <w:pPr>
              <w:spacing w:line="256" w:lineRule="auto"/>
              <w:rPr>
                <w:rFonts w:ascii="Arial"/>
                <w:sz w:val="21"/>
              </w:rPr>
            </w:pPr>
          </w:p>
          <w:p w14:paraId="25FBB46C">
            <w:pPr>
              <w:spacing w:line="256" w:lineRule="auto"/>
              <w:rPr>
                <w:rFonts w:ascii="Arial"/>
                <w:sz w:val="21"/>
              </w:rPr>
            </w:pPr>
          </w:p>
          <w:p w14:paraId="453AB70A">
            <w:pPr>
              <w:spacing w:before="59" w:line="236" w:lineRule="exact"/>
              <w:ind w:left="90"/>
              <w:rPr>
                <w:rFonts w:ascii="仿宋" w:hAnsi="仿宋" w:eastAsia="仿宋" w:cs="仿宋"/>
                <w:sz w:val="18"/>
                <w:szCs w:val="18"/>
              </w:rPr>
            </w:pPr>
            <w:r>
              <w:rPr>
                <w:rFonts w:ascii="仿宋" w:hAnsi="仿宋" w:eastAsia="仿宋" w:cs="仿宋"/>
                <w:spacing w:val="-10"/>
                <w:position w:val="1"/>
                <w:sz w:val="18"/>
                <w:szCs w:val="18"/>
              </w:rPr>
              <w:t>11</w:t>
            </w:r>
          </w:p>
        </w:tc>
        <w:tc>
          <w:tcPr>
            <w:tcW w:w="720" w:type="dxa"/>
            <w:vMerge w:val="restart"/>
            <w:tcBorders>
              <w:bottom w:val="nil"/>
            </w:tcBorders>
            <w:vAlign w:val="top"/>
          </w:tcPr>
          <w:p w14:paraId="2FC98125">
            <w:pPr>
              <w:spacing w:line="325" w:lineRule="auto"/>
              <w:rPr>
                <w:rFonts w:ascii="Arial"/>
                <w:sz w:val="21"/>
              </w:rPr>
            </w:pPr>
          </w:p>
          <w:p w14:paraId="6D28E960">
            <w:pPr>
              <w:spacing w:line="326" w:lineRule="auto"/>
              <w:rPr>
                <w:rFonts w:ascii="Arial"/>
                <w:sz w:val="21"/>
              </w:rPr>
            </w:pPr>
          </w:p>
          <w:p w14:paraId="535C795E">
            <w:pPr>
              <w:spacing w:before="58" w:line="239" w:lineRule="auto"/>
              <w:ind w:left="99" w:right="86"/>
              <w:rPr>
                <w:rFonts w:ascii="仿宋" w:hAnsi="仿宋" w:eastAsia="仿宋" w:cs="仿宋"/>
                <w:sz w:val="18"/>
                <w:szCs w:val="18"/>
              </w:rPr>
            </w:pPr>
            <w:r>
              <w:rPr>
                <w:rFonts w:ascii="仿宋" w:hAnsi="仿宋" w:eastAsia="仿宋" w:cs="仿宋"/>
                <w:spacing w:val="-4"/>
                <w:sz w:val="18"/>
                <w:szCs w:val="18"/>
              </w:rPr>
              <w:t>份子地社新村</w:t>
            </w:r>
          </w:p>
        </w:tc>
        <w:tc>
          <w:tcPr>
            <w:tcW w:w="975" w:type="dxa"/>
            <w:vMerge w:val="restart"/>
            <w:tcBorders>
              <w:bottom w:val="nil"/>
            </w:tcBorders>
            <w:vAlign w:val="top"/>
          </w:tcPr>
          <w:p w14:paraId="0456BD36">
            <w:pPr>
              <w:spacing w:line="267" w:lineRule="auto"/>
              <w:rPr>
                <w:rFonts w:ascii="Arial"/>
                <w:sz w:val="21"/>
              </w:rPr>
            </w:pPr>
          </w:p>
          <w:p w14:paraId="411A7D25">
            <w:pPr>
              <w:spacing w:line="267" w:lineRule="auto"/>
              <w:rPr>
                <w:rFonts w:ascii="Arial"/>
                <w:sz w:val="21"/>
              </w:rPr>
            </w:pPr>
          </w:p>
          <w:p w14:paraId="2F4690E7">
            <w:pPr>
              <w:spacing w:before="58" w:line="222" w:lineRule="auto"/>
              <w:ind w:left="47"/>
              <w:rPr>
                <w:rFonts w:ascii="仿宋" w:hAnsi="仿宋" w:eastAsia="仿宋" w:cs="仿宋"/>
                <w:sz w:val="18"/>
                <w:szCs w:val="18"/>
              </w:rPr>
            </w:pPr>
            <w:r>
              <w:rPr>
                <w:rFonts w:ascii="仿宋" w:hAnsi="仿宋" w:eastAsia="仿宋" w:cs="仿宋"/>
                <w:spacing w:val="-3"/>
                <w:sz w:val="18"/>
                <w:szCs w:val="18"/>
              </w:rPr>
              <w:t>份子地社新</w:t>
            </w:r>
          </w:p>
          <w:p w14:paraId="4E54A096">
            <w:pPr>
              <w:spacing w:before="15" w:line="222" w:lineRule="auto"/>
              <w:ind w:left="46"/>
              <w:rPr>
                <w:rFonts w:ascii="仿宋" w:hAnsi="仿宋" w:eastAsia="仿宋" w:cs="仿宋"/>
                <w:sz w:val="18"/>
                <w:szCs w:val="18"/>
              </w:rPr>
            </w:pPr>
            <w:r>
              <w:rPr>
                <w:rFonts w:ascii="仿宋" w:hAnsi="仿宋" w:eastAsia="仿宋" w:cs="仿宋"/>
                <w:spacing w:val="-3"/>
                <w:sz w:val="18"/>
                <w:szCs w:val="18"/>
              </w:rPr>
              <w:t>村至二道拐</w:t>
            </w:r>
          </w:p>
          <w:p w14:paraId="3F498ECD">
            <w:pPr>
              <w:spacing w:before="16" w:line="222" w:lineRule="auto"/>
              <w:ind w:left="226"/>
              <w:rPr>
                <w:rFonts w:ascii="仿宋" w:hAnsi="仿宋" w:eastAsia="仿宋" w:cs="仿宋"/>
                <w:sz w:val="18"/>
                <w:szCs w:val="18"/>
              </w:rPr>
            </w:pPr>
            <w:r>
              <w:rPr>
                <w:rFonts w:ascii="仿宋" w:hAnsi="仿宋" w:eastAsia="仿宋" w:cs="仿宋"/>
                <w:spacing w:val="-4"/>
                <w:sz w:val="18"/>
                <w:szCs w:val="18"/>
              </w:rPr>
              <w:t>村委会</w:t>
            </w:r>
          </w:p>
        </w:tc>
        <w:tc>
          <w:tcPr>
            <w:tcW w:w="1035" w:type="dxa"/>
            <w:vMerge w:val="restart"/>
            <w:tcBorders>
              <w:bottom w:val="nil"/>
            </w:tcBorders>
            <w:vAlign w:val="top"/>
          </w:tcPr>
          <w:p w14:paraId="1F3DC6C2">
            <w:pPr>
              <w:spacing w:line="325" w:lineRule="auto"/>
              <w:rPr>
                <w:rFonts w:ascii="Arial"/>
                <w:sz w:val="21"/>
              </w:rPr>
            </w:pPr>
          </w:p>
          <w:p w14:paraId="6E058733">
            <w:pPr>
              <w:spacing w:line="325" w:lineRule="auto"/>
              <w:rPr>
                <w:rFonts w:ascii="Arial"/>
                <w:sz w:val="21"/>
              </w:rPr>
            </w:pPr>
          </w:p>
          <w:p w14:paraId="3940BACC">
            <w:pPr>
              <w:spacing w:before="58" w:line="239" w:lineRule="auto"/>
              <w:ind w:left="158"/>
              <w:rPr>
                <w:rFonts w:ascii="仿宋" w:hAnsi="仿宋" w:eastAsia="仿宋" w:cs="仿宋"/>
                <w:sz w:val="18"/>
                <w:szCs w:val="18"/>
              </w:rPr>
            </w:pPr>
            <w:r>
              <w:rPr>
                <w:rFonts w:ascii="仿宋" w:hAnsi="仿宋" w:eastAsia="仿宋" w:cs="仿宋"/>
                <w:spacing w:val="9"/>
                <w:sz w:val="18"/>
                <w:szCs w:val="18"/>
              </w:rPr>
              <w:t>K0+890~</w:t>
            </w:r>
          </w:p>
          <w:p w14:paraId="5F2AFE47">
            <w:pPr>
              <w:spacing w:line="241" w:lineRule="auto"/>
              <w:ind w:left="247"/>
              <w:rPr>
                <w:rFonts w:ascii="仿宋" w:hAnsi="仿宋" w:eastAsia="仿宋" w:cs="仿宋"/>
                <w:sz w:val="18"/>
                <w:szCs w:val="18"/>
              </w:rPr>
            </w:pPr>
            <w:r>
              <w:rPr>
                <w:rFonts w:ascii="仿宋" w:hAnsi="仿宋" w:eastAsia="仿宋" w:cs="仿宋"/>
                <w:spacing w:val="-1"/>
                <w:sz w:val="18"/>
                <w:szCs w:val="18"/>
              </w:rPr>
              <w:t>K1+560</w:t>
            </w:r>
          </w:p>
        </w:tc>
        <w:tc>
          <w:tcPr>
            <w:tcW w:w="630" w:type="dxa"/>
            <w:vAlign w:val="top"/>
          </w:tcPr>
          <w:p w14:paraId="422AF4C5">
            <w:pPr>
              <w:spacing w:line="280" w:lineRule="auto"/>
              <w:rPr>
                <w:rFonts w:ascii="Arial"/>
                <w:sz w:val="21"/>
              </w:rPr>
            </w:pPr>
          </w:p>
          <w:p w14:paraId="565C9DA2">
            <w:pPr>
              <w:spacing w:before="59" w:line="223" w:lineRule="auto"/>
              <w:ind w:left="143"/>
              <w:rPr>
                <w:rFonts w:ascii="仿宋" w:hAnsi="仿宋" w:eastAsia="仿宋" w:cs="仿宋"/>
                <w:sz w:val="18"/>
                <w:szCs w:val="18"/>
              </w:rPr>
            </w:pPr>
            <w:r>
              <w:rPr>
                <w:rFonts w:ascii="仿宋" w:hAnsi="仿宋" w:eastAsia="仿宋" w:cs="仿宋"/>
                <w:spacing w:val="-6"/>
                <w:sz w:val="18"/>
                <w:szCs w:val="18"/>
              </w:rPr>
              <w:t>路基</w:t>
            </w:r>
          </w:p>
        </w:tc>
        <w:tc>
          <w:tcPr>
            <w:tcW w:w="450" w:type="dxa"/>
            <w:vAlign w:val="top"/>
          </w:tcPr>
          <w:p w14:paraId="778E893A">
            <w:pPr>
              <w:spacing w:line="280" w:lineRule="auto"/>
              <w:rPr>
                <w:rFonts w:ascii="Arial"/>
                <w:sz w:val="21"/>
              </w:rPr>
            </w:pPr>
          </w:p>
          <w:p w14:paraId="30028077">
            <w:pPr>
              <w:spacing w:before="59" w:line="223" w:lineRule="auto"/>
              <w:ind w:left="53"/>
              <w:rPr>
                <w:rFonts w:ascii="仿宋" w:hAnsi="仿宋" w:eastAsia="仿宋" w:cs="仿宋"/>
                <w:sz w:val="18"/>
                <w:szCs w:val="18"/>
              </w:rPr>
            </w:pPr>
            <w:r>
              <w:rPr>
                <w:rFonts w:ascii="仿宋" w:hAnsi="仿宋" w:eastAsia="仿宋" w:cs="仿宋"/>
                <w:spacing w:val="-6"/>
                <w:sz w:val="18"/>
                <w:szCs w:val="18"/>
              </w:rPr>
              <w:t>路左</w:t>
            </w:r>
          </w:p>
        </w:tc>
        <w:tc>
          <w:tcPr>
            <w:tcW w:w="940" w:type="dxa"/>
            <w:vAlign w:val="top"/>
          </w:tcPr>
          <w:p w14:paraId="7B1E252B">
            <w:pPr>
              <w:spacing w:line="281" w:lineRule="auto"/>
              <w:rPr>
                <w:rFonts w:ascii="Arial"/>
                <w:sz w:val="21"/>
              </w:rPr>
            </w:pPr>
          </w:p>
          <w:p w14:paraId="190089A2">
            <w:pPr>
              <w:spacing w:before="58" w:line="241" w:lineRule="auto"/>
              <w:ind w:left="430"/>
              <w:rPr>
                <w:rFonts w:ascii="仿宋" w:hAnsi="仿宋" w:eastAsia="仿宋" w:cs="仿宋"/>
                <w:sz w:val="18"/>
                <w:szCs w:val="18"/>
              </w:rPr>
            </w:pPr>
            <w:r>
              <w:rPr>
                <w:rFonts w:ascii="仿宋" w:hAnsi="仿宋" w:eastAsia="仿宋" w:cs="仿宋"/>
                <w:sz w:val="18"/>
                <w:szCs w:val="18"/>
              </w:rPr>
              <w:t>0</w:t>
            </w:r>
          </w:p>
        </w:tc>
        <w:tc>
          <w:tcPr>
            <w:tcW w:w="1307" w:type="dxa"/>
            <w:vAlign w:val="top"/>
          </w:tcPr>
          <w:p w14:paraId="6FC2640B">
            <w:pPr>
              <w:spacing w:line="281" w:lineRule="auto"/>
              <w:rPr>
                <w:rFonts w:ascii="Arial"/>
                <w:sz w:val="21"/>
              </w:rPr>
            </w:pPr>
          </w:p>
          <w:p w14:paraId="3537A8BF">
            <w:pPr>
              <w:spacing w:before="58"/>
              <w:ind w:left="477"/>
              <w:rPr>
                <w:rFonts w:ascii="仿宋" w:hAnsi="仿宋" w:eastAsia="仿宋" w:cs="仿宋"/>
                <w:sz w:val="18"/>
                <w:szCs w:val="18"/>
              </w:rPr>
            </w:pPr>
            <w:r>
              <w:rPr>
                <w:rFonts w:ascii="仿宋" w:hAnsi="仿宋" w:eastAsia="仿宋" w:cs="仿宋"/>
                <w:spacing w:val="-2"/>
                <w:sz w:val="18"/>
                <w:szCs w:val="18"/>
              </w:rPr>
              <w:t>2.75</w:t>
            </w:r>
          </w:p>
        </w:tc>
        <w:tc>
          <w:tcPr>
            <w:tcW w:w="888" w:type="dxa"/>
            <w:vAlign w:val="top"/>
          </w:tcPr>
          <w:p w14:paraId="062B7D00">
            <w:pPr>
              <w:spacing w:line="281" w:lineRule="auto"/>
              <w:rPr>
                <w:rFonts w:ascii="Arial"/>
                <w:sz w:val="21"/>
              </w:rPr>
            </w:pPr>
          </w:p>
          <w:p w14:paraId="0FD738A5">
            <w:pPr>
              <w:spacing w:before="58" w:line="241" w:lineRule="auto"/>
              <w:ind w:left="405"/>
              <w:rPr>
                <w:rFonts w:ascii="仿宋" w:hAnsi="仿宋" w:eastAsia="仿宋" w:cs="仿宋"/>
                <w:sz w:val="18"/>
                <w:szCs w:val="18"/>
              </w:rPr>
            </w:pPr>
            <w:r>
              <w:rPr>
                <w:rFonts w:ascii="仿宋" w:hAnsi="仿宋" w:eastAsia="仿宋" w:cs="仿宋"/>
                <w:sz w:val="18"/>
                <w:szCs w:val="18"/>
              </w:rPr>
              <w:t>5</w:t>
            </w:r>
          </w:p>
        </w:tc>
        <w:tc>
          <w:tcPr>
            <w:tcW w:w="1684" w:type="dxa"/>
            <w:vMerge w:val="restart"/>
            <w:tcBorders>
              <w:bottom w:val="nil"/>
            </w:tcBorders>
            <w:vAlign w:val="top"/>
          </w:tcPr>
          <w:p w14:paraId="279E741C">
            <w:pPr>
              <w:spacing w:line="256" w:lineRule="auto"/>
              <w:rPr>
                <w:rFonts w:ascii="Arial"/>
                <w:sz w:val="21"/>
              </w:rPr>
            </w:pPr>
          </w:p>
          <w:p w14:paraId="799378D8">
            <w:pPr>
              <w:spacing w:line="256" w:lineRule="auto"/>
              <w:rPr>
                <w:rFonts w:ascii="Arial"/>
                <w:sz w:val="21"/>
              </w:rPr>
            </w:pPr>
          </w:p>
          <w:p w14:paraId="7B3A6090">
            <w:pPr>
              <w:spacing w:line="256" w:lineRule="auto"/>
              <w:rPr>
                <w:rFonts w:ascii="Arial"/>
                <w:sz w:val="21"/>
              </w:rPr>
            </w:pPr>
          </w:p>
          <w:p w14:paraId="59C16F89">
            <w:pPr>
              <w:spacing w:before="58" w:line="224" w:lineRule="auto"/>
              <w:ind w:left="725"/>
              <w:rPr>
                <w:rFonts w:ascii="仿宋" w:hAnsi="仿宋" w:eastAsia="仿宋" w:cs="仿宋"/>
                <w:sz w:val="18"/>
                <w:szCs w:val="18"/>
              </w:rPr>
            </w:pPr>
            <w:r>
              <w:rPr>
                <w:rFonts w:ascii="仿宋" w:hAnsi="仿宋" w:eastAsia="仿宋" w:cs="仿宋"/>
                <w:spacing w:val="-10"/>
                <w:sz w:val="18"/>
                <w:szCs w:val="18"/>
              </w:rPr>
              <w:t>1类</w:t>
            </w:r>
          </w:p>
        </w:tc>
        <w:tc>
          <w:tcPr>
            <w:tcW w:w="762" w:type="dxa"/>
            <w:vAlign w:val="top"/>
          </w:tcPr>
          <w:p w14:paraId="6C2864B8">
            <w:pPr>
              <w:spacing w:line="280" w:lineRule="auto"/>
              <w:rPr>
                <w:rFonts w:ascii="Arial"/>
                <w:sz w:val="21"/>
              </w:rPr>
            </w:pPr>
          </w:p>
          <w:p w14:paraId="164FB1D9">
            <w:pPr>
              <w:spacing w:before="59" w:line="223" w:lineRule="auto"/>
              <w:ind w:left="25"/>
              <w:rPr>
                <w:rFonts w:ascii="仿宋" w:hAnsi="仿宋" w:eastAsia="仿宋" w:cs="仿宋"/>
                <w:sz w:val="18"/>
                <w:szCs w:val="18"/>
              </w:rPr>
            </w:pPr>
            <w:r>
              <w:rPr>
                <w:rFonts w:ascii="仿宋" w:hAnsi="仿宋" w:eastAsia="仿宋" w:cs="仿宋"/>
                <w:spacing w:val="-2"/>
                <w:sz w:val="18"/>
                <w:szCs w:val="18"/>
              </w:rPr>
              <w:t>6户/21人</w:t>
            </w:r>
          </w:p>
        </w:tc>
        <w:tc>
          <w:tcPr>
            <w:tcW w:w="2129" w:type="dxa"/>
            <w:vAlign w:val="top"/>
          </w:tcPr>
          <w:p w14:paraId="791C9BBF">
            <w:pPr>
              <w:spacing w:before="108" w:line="222" w:lineRule="auto"/>
              <w:ind w:left="37"/>
              <w:rPr>
                <w:rFonts w:ascii="仿宋" w:hAnsi="仿宋" w:eastAsia="仿宋" w:cs="仿宋"/>
                <w:sz w:val="18"/>
                <w:szCs w:val="18"/>
              </w:rPr>
            </w:pPr>
            <w:r>
              <w:rPr>
                <w:rFonts w:ascii="仿宋" w:hAnsi="仿宋" w:eastAsia="仿宋" w:cs="仿宋"/>
                <w:spacing w:val="-1"/>
                <w:sz w:val="18"/>
                <w:szCs w:val="18"/>
              </w:rPr>
              <w:t>砖混，1层平房，背向拟建</w:t>
            </w:r>
          </w:p>
          <w:p w14:paraId="707F5559">
            <w:pPr>
              <w:spacing w:before="16" w:line="223" w:lineRule="auto"/>
              <w:ind w:left="84"/>
              <w:rPr>
                <w:rFonts w:ascii="仿宋" w:hAnsi="仿宋" w:eastAsia="仿宋" w:cs="仿宋"/>
                <w:sz w:val="18"/>
                <w:szCs w:val="18"/>
              </w:rPr>
            </w:pPr>
            <w:r>
              <w:rPr>
                <w:rFonts w:ascii="仿宋" w:hAnsi="仿宋" w:eastAsia="仿宋" w:cs="仿宋"/>
                <w:spacing w:val="-2"/>
                <w:sz w:val="18"/>
                <w:szCs w:val="18"/>
              </w:rPr>
              <w:t>道路，地势与拟建道路等</w:t>
            </w:r>
          </w:p>
          <w:p w14:paraId="50FBE6FB">
            <w:pPr>
              <w:spacing w:before="18" w:line="224" w:lineRule="auto"/>
              <w:ind w:left="897"/>
              <w:rPr>
                <w:rFonts w:ascii="仿宋" w:hAnsi="仿宋" w:eastAsia="仿宋" w:cs="仿宋"/>
                <w:sz w:val="18"/>
                <w:szCs w:val="18"/>
              </w:rPr>
            </w:pPr>
            <w:r>
              <w:rPr>
                <w:rFonts w:ascii="仿宋" w:hAnsi="仿宋" w:eastAsia="仿宋" w:cs="仿宋"/>
                <w:spacing w:val="-9"/>
                <w:sz w:val="18"/>
                <w:szCs w:val="18"/>
              </w:rPr>
              <w:t>高。</w:t>
            </w:r>
          </w:p>
        </w:tc>
        <w:tc>
          <w:tcPr>
            <w:tcW w:w="2112" w:type="dxa"/>
            <w:vMerge w:val="restart"/>
            <w:tcBorders>
              <w:bottom w:val="nil"/>
              <w:right w:val="nil"/>
            </w:tcBorders>
            <w:vAlign w:val="top"/>
          </w:tcPr>
          <w:p w14:paraId="7DC6978D">
            <w:pPr>
              <w:spacing w:before="5" w:line="1815" w:lineRule="exact"/>
              <w:ind w:firstLine="66"/>
            </w:pPr>
            <w:r>
              <w:rPr>
                <w:position w:val="-36"/>
              </w:rPr>
              <w:drawing>
                <wp:inline distT="0" distB="0" distL="0" distR="0">
                  <wp:extent cx="1247775" cy="1152525"/>
                  <wp:effectExtent l="0" t="0" r="0" b="0"/>
                  <wp:docPr id="186" name="IM 186"/>
                  <wp:cNvGraphicFramePr/>
                  <a:graphic xmlns:a="http://schemas.openxmlformats.org/drawingml/2006/main">
                    <a:graphicData uri="http://schemas.openxmlformats.org/drawingml/2006/picture">
                      <pic:pic xmlns:pic="http://schemas.openxmlformats.org/drawingml/2006/picture">
                        <pic:nvPicPr>
                          <pic:cNvPr id="186" name="IM 186"/>
                          <pic:cNvPicPr/>
                        </pic:nvPicPr>
                        <pic:blipFill>
                          <a:blip r:embed="rId361"/>
                          <a:stretch>
                            <a:fillRect/>
                          </a:stretch>
                        </pic:blipFill>
                        <pic:spPr>
                          <a:xfrm>
                            <a:off x="0" y="0"/>
                            <a:ext cx="1248155" cy="1153032"/>
                          </a:xfrm>
                          <a:prstGeom prst="rect">
                            <a:avLst/>
                          </a:prstGeom>
                        </pic:spPr>
                      </pic:pic>
                    </a:graphicData>
                  </a:graphic>
                </wp:inline>
              </w:drawing>
            </w:r>
          </w:p>
        </w:tc>
      </w:tr>
      <w:tr w14:paraId="0E64DF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5" w:hRule="atLeast"/>
        </w:trPr>
        <w:tc>
          <w:tcPr>
            <w:tcW w:w="328" w:type="dxa"/>
            <w:vMerge w:val="continue"/>
            <w:tcBorders>
              <w:top w:val="nil"/>
              <w:left w:val="nil"/>
            </w:tcBorders>
            <w:vAlign w:val="top"/>
          </w:tcPr>
          <w:p w14:paraId="4298F139">
            <w:pPr>
              <w:rPr>
                <w:rFonts w:ascii="Arial"/>
                <w:sz w:val="21"/>
              </w:rPr>
            </w:pPr>
          </w:p>
        </w:tc>
        <w:tc>
          <w:tcPr>
            <w:tcW w:w="720" w:type="dxa"/>
            <w:vMerge w:val="continue"/>
            <w:tcBorders>
              <w:top w:val="nil"/>
            </w:tcBorders>
            <w:vAlign w:val="top"/>
          </w:tcPr>
          <w:p w14:paraId="0D9F820E">
            <w:pPr>
              <w:rPr>
                <w:rFonts w:ascii="Arial"/>
                <w:sz w:val="21"/>
              </w:rPr>
            </w:pPr>
          </w:p>
        </w:tc>
        <w:tc>
          <w:tcPr>
            <w:tcW w:w="975" w:type="dxa"/>
            <w:vMerge w:val="continue"/>
            <w:tcBorders>
              <w:top w:val="nil"/>
            </w:tcBorders>
            <w:vAlign w:val="top"/>
          </w:tcPr>
          <w:p w14:paraId="034AE7E4">
            <w:pPr>
              <w:rPr>
                <w:rFonts w:ascii="Arial"/>
                <w:sz w:val="21"/>
              </w:rPr>
            </w:pPr>
          </w:p>
        </w:tc>
        <w:tc>
          <w:tcPr>
            <w:tcW w:w="1035" w:type="dxa"/>
            <w:vMerge w:val="continue"/>
            <w:tcBorders>
              <w:top w:val="nil"/>
            </w:tcBorders>
            <w:vAlign w:val="top"/>
          </w:tcPr>
          <w:p w14:paraId="3563DA11">
            <w:pPr>
              <w:rPr>
                <w:rFonts w:ascii="Arial"/>
                <w:sz w:val="21"/>
              </w:rPr>
            </w:pPr>
          </w:p>
        </w:tc>
        <w:tc>
          <w:tcPr>
            <w:tcW w:w="630" w:type="dxa"/>
            <w:vAlign w:val="top"/>
          </w:tcPr>
          <w:p w14:paraId="3B5AF2FB">
            <w:pPr>
              <w:spacing w:line="336" w:lineRule="auto"/>
              <w:rPr>
                <w:rFonts w:ascii="Arial"/>
                <w:sz w:val="21"/>
              </w:rPr>
            </w:pPr>
          </w:p>
          <w:p w14:paraId="0D3605BF">
            <w:pPr>
              <w:spacing w:before="58" w:line="223" w:lineRule="auto"/>
              <w:ind w:left="143"/>
              <w:rPr>
                <w:rFonts w:ascii="仿宋" w:hAnsi="仿宋" w:eastAsia="仿宋" w:cs="仿宋"/>
                <w:sz w:val="18"/>
                <w:szCs w:val="18"/>
              </w:rPr>
            </w:pPr>
            <w:r>
              <w:rPr>
                <w:rFonts w:ascii="仿宋" w:hAnsi="仿宋" w:eastAsia="仿宋" w:cs="仿宋"/>
                <w:spacing w:val="-6"/>
                <w:sz w:val="18"/>
                <w:szCs w:val="18"/>
              </w:rPr>
              <w:t>路基</w:t>
            </w:r>
          </w:p>
        </w:tc>
        <w:tc>
          <w:tcPr>
            <w:tcW w:w="450" w:type="dxa"/>
            <w:vAlign w:val="top"/>
          </w:tcPr>
          <w:p w14:paraId="4B325118">
            <w:pPr>
              <w:spacing w:line="336" w:lineRule="auto"/>
              <w:rPr>
                <w:rFonts w:ascii="Arial"/>
                <w:sz w:val="21"/>
              </w:rPr>
            </w:pPr>
          </w:p>
          <w:p w14:paraId="2FAC2F0A">
            <w:pPr>
              <w:spacing w:before="58" w:line="223" w:lineRule="auto"/>
              <w:ind w:left="53"/>
              <w:rPr>
                <w:rFonts w:ascii="仿宋" w:hAnsi="仿宋" w:eastAsia="仿宋" w:cs="仿宋"/>
                <w:sz w:val="18"/>
                <w:szCs w:val="18"/>
              </w:rPr>
            </w:pPr>
            <w:r>
              <w:rPr>
                <w:rFonts w:ascii="仿宋" w:hAnsi="仿宋" w:eastAsia="仿宋" w:cs="仿宋"/>
                <w:spacing w:val="-6"/>
                <w:sz w:val="18"/>
                <w:szCs w:val="18"/>
              </w:rPr>
              <w:t>路右</w:t>
            </w:r>
          </w:p>
        </w:tc>
        <w:tc>
          <w:tcPr>
            <w:tcW w:w="940" w:type="dxa"/>
            <w:vAlign w:val="top"/>
          </w:tcPr>
          <w:p w14:paraId="3EC11462">
            <w:pPr>
              <w:spacing w:line="336" w:lineRule="auto"/>
              <w:rPr>
                <w:rFonts w:ascii="Arial"/>
                <w:sz w:val="21"/>
              </w:rPr>
            </w:pPr>
          </w:p>
          <w:p w14:paraId="4E860F0E">
            <w:pPr>
              <w:spacing w:before="58" w:line="241" w:lineRule="auto"/>
              <w:ind w:left="430"/>
              <w:rPr>
                <w:rFonts w:ascii="仿宋" w:hAnsi="仿宋" w:eastAsia="仿宋" w:cs="仿宋"/>
                <w:sz w:val="18"/>
                <w:szCs w:val="18"/>
              </w:rPr>
            </w:pPr>
            <w:r>
              <w:rPr>
                <w:rFonts w:ascii="仿宋" w:hAnsi="仿宋" w:eastAsia="仿宋" w:cs="仿宋"/>
                <w:sz w:val="18"/>
                <w:szCs w:val="18"/>
              </w:rPr>
              <w:t>0</w:t>
            </w:r>
          </w:p>
        </w:tc>
        <w:tc>
          <w:tcPr>
            <w:tcW w:w="1307" w:type="dxa"/>
            <w:vAlign w:val="top"/>
          </w:tcPr>
          <w:p w14:paraId="3ACB8684">
            <w:pPr>
              <w:spacing w:line="336" w:lineRule="auto"/>
              <w:rPr>
                <w:rFonts w:ascii="Arial"/>
                <w:sz w:val="21"/>
              </w:rPr>
            </w:pPr>
          </w:p>
          <w:p w14:paraId="0D9635B0">
            <w:pPr>
              <w:spacing w:before="59"/>
              <w:ind w:left="445"/>
              <w:rPr>
                <w:rFonts w:ascii="仿宋" w:hAnsi="仿宋" w:eastAsia="仿宋" w:cs="仿宋"/>
                <w:sz w:val="18"/>
                <w:szCs w:val="18"/>
              </w:rPr>
            </w:pPr>
            <w:r>
              <w:rPr>
                <w:rFonts w:ascii="仿宋" w:hAnsi="仿宋" w:eastAsia="仿宋" w:cs="仿宋"/>
                <w:spacing w:val="-4"/>
                <w:sz w:val="18"/>
                <w:szCs w:val="18"/>
              </w:rPr>
              <w:t>14.75</w:t>
            </w:r>
          </w:p>
        </w:tc>
        <w:tc>
          <w:tcPr>
            <w:tcW w:w="888" w:type="dxa"/>
            <w:vAlign w:val="top"/>
          </w:tcPr>
          <w:p w14:paraId="7036FA83">
            <w:pPr>
              <w:spacing w:line="336" w:lineRule="auto"/>
              <w:rPr>
                <w:rFonts w:ascii="Arial"/>
                <w:sz w:val="21"/>
              </w:rPr>
            </w:pPr>
          </w:p>
          <w:p w14:paraId="24AF4300">
            <w:pPr>
              <w:spacing w:before="58" w:line="241" w:lineRule="auto"/>
              <w:ind w:left="369"/>
              <w:rPr>
                <w:rFonts w:ascii="仿宋" w:hAnsi="仿宋" w:eastAsia="仿宋" w:cs="仿宋"/>
                <w:sz w:val="18"/>
                <w:szCs w:val="18"/>
              </w:rPr>
            </w:pPr>
            <w:r>
              <w:rPr>
                <w:rFonts w:ascii="仿宋" w:hAnsi="仿宋" w:eastAsia="仿宋" w:cs="仿宋"/>
                <w:spacing w:val="-10"/>
                <w:sz w:val="18"/>
                <w:szCs w:val="18"/>
              </w:rPr>
              <w:t>17</w:t>
            </w:r>
          </w:p>
        </w:tc>
        <w:tc>
          <w:tcPr>
            <w:tcW w:w="1684" w:type="dxa"/>
            <w:vMerge w:val="continue"/>
            <w:tcBorders>
              <w:top w:val="nil"/>
            </w:tcBorders>
            <w:vAlign w:val="top"/>
          </w:tcPr>
          <w:p w14:paraId="3158180B">
            <w:pPr>
              <w:rPr>
                <w:rFonts w:ascii="Arial"/>
                <w:sz w:val="21"/>
              </w:rPr>
            </w:pPr>
          </w:p>
        </w:tc>
        <w:tc>
          <w:tcPr>
            <w:tcW w:w="762" w:type="dxa"/>
            <w:vAlign w:val="top"/>
          </w:tcPr>
          <w:p w14:paraId="3AE4183F">
            <w:pPr>
              <w:spacing w:before="279" w:line="244" w:lineRule="auto"/>
              <w:ind w:left="302" w:right="63" w:hanging="220"/>
              <w:rPr>
                <w:rFonts w:ascii="仿宋" w:hAnsi="仿宋" w:eastAsia="仿宋" w:cs="仿宋"/>
                <w:sz w:val="18"/>
                <w:szCs w:val="18"/>
              </w:rPr>
            </w:pPr>
            <w:r>
              <w:rPr>
                <w:rFonts w:ascii="仿宋" w:hAnsi="仿宋" w:eastAsia="仿宋" w:cs="仿宋"/>
                <w:spacing w:val="-4"/>
                <w:sz w:val="18"/>
                <w:szCs w:val="18"/>
              </w:rPr>
              <w:t>16户/56</w:t>
            </w:r>
            <w:r>
              <w:rPr>
                <w:rFonts w:ascii="仿宋" w:hAnsi="仿宋" w:eastAsia="仿宋" w:cs="仿宋"/>
                <w:sz w:val="18"/>
                <w:szCs w:val="18"/>
              </w:rPr>
              <w:t>人</w:t>
            </w:r>
          </w:p>
        </w:tc>
        <w:tc>
          <w:tcPr>
            <w:tcW w:w="2129" w:type="dxa"/>
            <w:vAlign w:val="top"/>
          </w:tcPr>
          <w:p w14:paraId="19B00ABE">
            <w:pPr>
              <w:spacing w:before="164" w:line="223" w:lineRule="auto"/>
              <w:ind w:left="37"/>
              <w:rPr>
                <w:rFonts w:ascii="仿宋" w:hAnsi="仿宋" w:eastAsia="仿宋" w:cs="仿宋"/>
                <w:sz w:val="18"/>
                <w:szCs w:val="18"/>
              </w:rPr>
            </w:pPr>
            <w:r>
              <w:rPr>
                <w:rFonts w:ascii="仿宋" w:hAnsi="仿宋" w:eastAsia="仿宋" w:cs="仿宋"/>
                <w:spacing w:val="-1"/>
                <w:sz w:val="18"/>
                <w:szCs w:val="18"/>
              </w:rPr>
              <w:t>砖混，1层平房，面向拟建</w:t>
            </w:r>
          </w:p>
          <w:p w14:paraId="269FF43F">
            <w:pPr>
              <w:spacing w:before="15" w:line="223" w:lineRule="auto"/>
              <w:ind w:left="84"/>
              <w:rPr>
                <w:rFonts w:ascii="仿宋" w:hAnsi="仿宋" w:eastAsia="仿宋" w:cs="仿宋"/>
                <w:sz w:val="18"/>
                <w:szCs w:val="18"/>
              </w:rPr>
            </w:pPr>
            <w:r>
              <w:rPr>
                <w:rFonts w:ascii="仿宋" w:hAnsi="仿宋" w:eastAsia="仿宋" w:cs="仿宋"/>
                <w:spacing w:val="-2"/>
                <w:sz w:val="18"/>
                <w:szCs w:val="18"/>
              </w:rPr>
              <w:t>道路，地势与拟建道路等</w:t>
            </w:r>
          </w:p>
          <w:p w14:paraId="3C0A185B">
            <w:pPr>
              <w:spacing w:before="15" w:line="224" w:lineRule="auto"/>
              <w:ind w:left="897"/>
              <w:rPr>
                <w:rFonts w:ascii="仿宋" w:hAnsi="仿宋" w:eastAsia="仿宋" w:cs="仿宋"/>
                <w:sz w:val="18"/>
                <w:szCs w:val="18"/>
              </w:rPr>
            </w:pPr>
            <w:r>
              <w:rPr>
                <w:rFonts w:ascii="仿宋" w:hAnsi="仿宋" w:eastAsia="仿宋" w:cs="仿宋"/>
                <w:spacing w:val="-9"/>
                <w:sz w:val="18"/>
                <w:szCs w:val="18"/>
              </w:rPr>
              <w:t>高。</w:t>
            </w:r>
          </w:p>
        </w:tc>
        <w:tc>
          <w:tcPr>
            <w:tcW w:w="2112" w:type="dxa"/>
            <w:vMerge w:val="continue"/>
            <w:tcBorders>
              <w:top w:val="nil"/>
              <w:right w:val="nil"/>
            </w:tcBorders>
            <w:vAlign w:val="top"/>
          </w:tcPr>
          <w:p w14:paraId="21E834E6">
            <w:pPr>
              <w:rPr>
                <w:rFonts w:ascii="Arial"/>
                <w:sz w:val="21"/>
              </w:rPr>
            </w:pPr>
          </w:p>
        </w:tc>
      </w:tr>
      <w:tr w14:paraId="496BB9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37" w:hRule="atLeast"/>
        </w:trPr>
        <w:tc>
          <w:tcPr>
            <w:tcW w:w="328" w:type="dxa"/>
            <w:tcBorders>
              <w:left w:val="nil"/>
            </w:tcBorders>
            <w:vAlign w:val="top"/>
          </w:tcPr>
          <w:p w14:paraId="7C471B62">
            <w:pPr>
              <w:spacing w:line="242" w:lineRule="auto"/>
              <w:rPr>
                <w:rFonts w:ascii="Arial"/>
                <w:sz w:val="21"/>
              </w:rPr>
            </w:pPr>
          </w:p>
          <w:p w14:paraId="6CB8B1C7">
            <w:pPr>
              <w:spacing w:line="242" w:lineRule="auto"/>
              <w:rPr>
                <w:rFonts w:ascii="Arial"/>
                <w:sz w:val="21"/>
              </w:rPr>
            </w:pPr>
          </w:p>
          <w:p w14:paraId="61FE1091">
            <w:pPr>
              <w:spacing w:line="242" w:lineRule="auto"/>
              <w:rPr>
                <w:rFonts w:ascii="Arial"/>
                <w:sz w:val="21"/>
              </w:rPr>
            </w:pPr>
          </w:p>
          <w:p w14:paraId="6100EB16">
            <w:pPr>
              <w:spacing w:before="59" w:line="236" w:lineRule="exact"/>
              <w:ind w:left="90"/>
              <w:rPr>
                <w:rFonts w:ascii="仿宋" w:hAnsi="仿宋" w:eastAsia="仿宋" w:cs="仿宋"/>
                <w:sz w:val="18"/>
                <w:szCs w:val="18"/>
              </w:rPr>
            </w:pPr>
            <w:r>
              <w:rPr>
                <w:rFonts w:ascii="仿宋" w:hAnsi="仿宋" w:eastAsia="仿宋" w:cs="仿宋"/>
                <w:spacing w:val="-10"/>
                <w:position w:val="1"/>
                <w:sz w:val="18"/>
                <w:szCs w:val="18"/>
              </w:rPr>
              <w:t>12</w:t>
            </w:r>
          </w:p>
        </w:tc>
        <w:tc>
          <w:tcPr>
            <w:tcW w:w="720" w:type="dxa"/>
            <w:vAlign w:val="top"/>
          </w:tcPr>
          <w:p w14:paraId="00079C2A">
            <w:pPr>
              <w:spacing w:line="242" w:lineRule="auto"/>
              <w:rPr>
                <w:rFonts w:ascii="Arial"/>
                <w:sz w:val="21"/>
              </w:rPr>
            </w:pPr>
          </w:p>
          <w:p w14:paraId="305C1E3A">
            <w:pPr>
              <w:spacing w:line="242" w:lineRule="auto"/>
              <w:rPr>
                <w:rFonts w:ascii="Arial"/>
                <w:sz w:val="21"/>
              </w:rPr>
            </w:pPr>
          </w:p>
          <w:p w14:paraId="2F072A80">
            <w:pPr>
              <w:spacing w:line="243" w:lineRule="auto"/>
              <w:rPr>
                <w:rFonts w:ascii="Arial"/>
                <w:sz w:val="21"/>
              </w:rPr>
            </w:pPr>
          </w:p>
          <w:p w14:paraId="658316F7">
            <w:pPr>
              <w:spacing w:before="58" w:line="225" w:lineRule="auto"/>
              <w:ind w:left="102"/>
              <w:rPr>
                <w:rFonts w:ascii="仿宋" w:hAnsi="仿宋" w:eastAsia="仿宋" w:cs="仿宋"/>
                <w:sz w:val="18"/>
                <w:szCs w:val="18"/>
              </w:rPr>
            </w:pPr>
            <w:r>
              <w:rPr>
                <w:rFonts w:ascii="仿宋" w:hAnsi="仿宋" w:eastAsia="仿宋" w:cs="仿宋"/>
                <w:spacing w:val="-5"/>
                <w:sz w:val="18"/>
                <w:szCs w:val="18"/>
              </w:rPr>
              <w:t>西圪旦</w:t>
            </w:r>
          </w:p>
        </w:tc>
        <w:tc>
          <w:tcPr>
            <w:tcW w:w="975" w:type="dxa"/>
            <w:vMerge w:val="restart"/>
            <w:tcBorders>
              <w:bottom w:val="nil"/>
            </w:tcBorders>
            <w:vAlign w:val="top"/>
          </w:tcPr>
          <w:p w14:paraId="2F044B23">
            <w:pPr>
              <w:spacing w:line="248" w:lineRule="auto"/>
              <w:rPr>
                <w:rFonts w:ascii="Arial"/>
                <w:sz w:val="21"/>
              </w:rPr>
            </w:pPr>
          </w:p>
          <w:p w14:paraId="64C04454">
            <w:pPr>
              <w:spacing w:line="248" w:lineRule="auto"/>
              <w:rPr>
                <w:rFonts w:ascii="Arial"/>
                <w:sz w:val="21"/>
              </w:rPr>
            </w:pPr>
          </w:p>
          <w:p w14:paraId="0D3BD485">
            <w:pPr>
              <w:spacing w:line="249" w:lineRule="auto"/>
              <w:rPr>
                <w:rFonts w:ascii="Arial"/>
                <w:sz w:val="21"/>
              </w:rPr>
            </w:pPr>
          </w:p>
          <w:p w14:paraId="7ECB6E2E">
            <w:pPr>
              <w:spacing w:line="249" w:lineRule="auto"/>
              <w:rPr>
                <w:rFonts w:ascii="Arial"/>
                <w:sz w:val="21"/>
              </w:rPr>
            </w:pPr>
          </w:p>
          <w:p w14:paraId="675EA59E">
            <w:pPr>
              <w:spacing w:line="249" w:lineRule="auto"/>
              <w:rPr>
                <w:rFonts w:ascii="Arial"/>
                <w:sz w:val="21"/>
              </w:rPr>
            </w:pPr>
          </w:p>
          <w:p w14:paraId="2E69235C">
            <w:pPr>
              <w:spacing w:line="249" w:lineRule="auto"/>
              <w:rPr>
                <w:rFonts w:ascii="Arial"/>
                <w:sz w:val="21"/>
              </w:rPr>
            </w:pPr>
          </w:p>
          <w:p w14:paraId="1708CD82">
            <w:pPr>
              <w:spacing w:before="59" w:line="223" w:lineRule="auto"/>
              <w:ind w:left="52"/>
              <w:rPr>
                <w:rFonts w:ascii="仿宋" w:hAnsi="仿宋" w:eastAsia="仿宋" w:cs="仿宋"/>
                <w:sz w:val="18"/>
                <w:szCs w:val="18"/>
              </w:rPr>
            </w:pPr>
            <w:r>
              <w:rPr>
                <w:rFonts w:ascii="仿宋" w:hAnsi="仿宋" w:eastAsia="仿宋" w:cs="仿宋"/>
                <w:spacing w:val="-4"/>
                <w:sz w:val="18"/>
                <w:szCs w:val="18"/>
              </w:rPr>
              <w:t>二道拐坡地</w:t>
            </w:r>
          </w:p>
          <w:p w14:paraId="27464C4C">
            <w:pPr>
              <w:spacing w:before="15" w:line="223" w:lineRule="auto"/>
              <w:ind w:left="52"/>
              <w:rPr>
                <w:rFonts w:ascii="仿宋" w:hAnsi="仿宋" w:eastAsia="仿宋" w:cs="仿宋"/>
                <w:sz w:val="18"/>
                <w:szCs w:val="18"/>
              </w:rPr>
            </w:pPr>
            <w:r>
              <w:rPr>
                <w:rFonts w:ascii="仿宋" w:hAnsi="仿宋" w:eastAsia="仿宋" w:cs="仿宋"/>
                <w:spacing w:val="-4"/>
                <w:sz w:val="18"/>
                <w:szCs w:val="18"/>
              </w:rPr>
              <w:t>至张家圪旦</w:t>
            </w:r>
          </w:p>
          <w:p w14:paraId="1E5F147A">
            <w:pPr>
              <w:spacing w:before="15" w:line="223" w:lineRule="auto"/>
              <w:ind w:left="407"/>
              <w:rPr>
                <w:rFonts w:ascii="仿宋" w:hAnsi="仿宋" w:eastAsia="仿宋" w:cs="仿宋"/>
                <w:sz w:val="18"/>
                <w:szCs w:val="18"/>
              </w:rPr>
            </w:pPr>
            <w:r>
              <w:rPr>
                <w:rFonts w:ascii="仿宋" w:hAnsi="仿宋" w:eastAsia="仿宋" w:cs="仿宋"/>
                <w:sz w:val="18"/>
                <w:szCs w:val="18"/>
              </w:rPr>
              <w:t>社</w:t>
            </w:r>
          </w:p>
        </w:tc>
        <w:tc>
          <w:tcPr>
            <w:tcW w:w="1035" w:type="dxa"/>
            <w:vMerge w:val="restart"/>
            <w:tcBorders>
              <w:bottom w:val="nil"/>
            </w:tcBorders>
            <w:vAlign w:val="top"/>
          </w:tcPr>
          <w:p w14:paraId="746C5DFC">
            <w:pPr>
              <w:spacing w:line="268" w:lineRule="auto"/>
              <w:rPr>
                <w:rFonts w:ascii="Arial"/>
                <w:sz w:val="21"/>
              </w:rPr>
            </w:pPr>
          </w:p>
          <w:p w14:paraId="0039C927">
            <w:pPr>
              <w:spacing w:line="268" w:lineRule="auto"/>
              <w:rPr>
                <w:rFonts w:ascii="Arial"/>
                <w:sz w:val="21"/>
              </w:rPr>
            </w:pPr>
          </w:p>
          <w:p w14:paraId="77DE1B68">
            <w:pPr>
              <w:spacing w:line="268" w:lineRule="auto"/>
              <w:rPr>
                <w:rFonts w:ascii="Arial"/>
                <w:sz w:val="21"/>
              </w:rPr>
            </w:pPr>
          </w:p>
          <w:p w14:paraId="4A8A7409">
            <w:pPr>
              <w:spacing w:line="268" w:lineRule="auto"/>
              <w:rPr>
                <w:rFonts w:ascii="Arial"/>
                <w:sz w:val="21"/>
              </w:rPr>
            </w:pPr>
          </w:p>
          <w:p w14:paraId="7A1AF73B">
            <w:pPr>
              <w:spacing w:line="268" w:lineRule="auto"/>
              <w:rPr>
                <w:rFonts w:ascii="Arial"/>
                <w:sz w:val="21"/>
              </w:rPr>
            </w:pPr>
          </w:p>
          <w:p w14:paraId="2D208251">
            <w:pPr>
              <w:spacing w:line="269" w:lineRule="auto"/>
              <w:rPr>
                <w:rFonts w:ascii="Arial"/>
                <w:sz w:val="21"/>
              </w:rPr>
            </w:pPr>
          </w:p>
          <w:p w14:paraId="49BE4CA9">
            <w:pPr>
              <w:spacing w:before="58" w:line="239" w:lineRule="auto"/>
              <w:ind w:left="158"/>
              <w:rPr>
                <w:rFonts w:ascii="仿宋" w:hAnsi="仿宋" w:eastAsia="仿宋" w:cs="仿宋"/>
                <w:sz w:val="18"/>
                <w:szCs w:val="18"/>
              </w:rPr>
            </w:pPr>
            <w:r>
              <w:rPr>
                <w:rFonts w:ascii="仿宋" w:hAnsi="仿宋" w:eastAsia="仿宋" w:cs="仿宋"/>
                <w:spacing w:val="9"/>
                <w:sz w:val="18"/>
                <w:szCs w:val="18"/>
              </w:rPr>
              <w:t>K0+300~</w:t>
            </w:r>
          </w:p>
          <w:p w14:paraId="2BD8ABFF">
            <w:pPr>
              <w:spacing w:line="241" w:lineRule="auto"/>
              <w:ind w:left="247"/>
              <w:rPr>
                <w:rFonts w:ascii="仿宋" w:hAnsi="仿宋" w:eastAsia="仿宋" w:cs="仿宋"/>
                <w:sz w:val="18"/>
                <w:szCs w:val="18"/>
              </w:rPr>
            </w:pPr>
            <w:r>
              <w:rPr>
                <w:rFonts w:ascii="仿宋" w:hAnsi="仿宋" w:eastAsia="仿宋" w:cs="仿宋"/>
                <w:spacing w:val="-1"/>
                <w:sz w:val="18"/>
                <w:szCs w:val="18"/>
              </w:rPr>
              <w:t>K2+270</w:t>
            </w:r>
          </w:p>
        </w:tc>
        <w:tc>
          <w:tcPr>
            <w:tcW w:w="630" w:type="dxa"/>
            <w:vMerge w:val="restart"/>
            <w:tcBorders>
              <w:bottom w:val="nil"/>
            </w:tcBorders>
            <w:vAlign w:val="top"/>
          </w:tcPr>
          <w:p w14:paraId="3824EF41">
            <w:pPr>
              <w:spacing w:line="246" w:lineRule="auto"/>
              <w:rPr>
                <w:rFonts w:ascii="Arial"/>
                <w:sz w:val="21"/>
              </w:rPr>
            </w:pPr>
          </w:p>
          <w:p w14:paraId="26EDE9FD">
            <w:pPr>
              <w:spacing w:line="246" w:lineRule="auto"/>
              <w:rPr>
                <w:rFonts w:ascii="Arial"/>
                <w:sz w:val="21"/>
              </w:rPr>
            </w:pPr>
          </w:p>
          <w:p w14:paraId="24909D60">
            <w:pPr>
              <w:spacing w:line="246" w:lineRule="auto"/>
              <w:rPr>
                <w:rFonts w:ascii="Arial"/>
                <w:sz w:val="21"/>
              </w:rPr>
            </w:pPr>
          </w:p>
          <w:p w14:paraId="69023F78">
            <w:pPr>
              <w:spacing w:line="246" w:lineRule="auto"/>
              <w:rPr>
                <w:rFonts w:ascii="Arial"/>
                <w:sz w:val="21"/>
              </w:rPr>
            </w:pPr>
          </w:p>
          <w:p w14:paraId="6F378E6E">
            <w:pPr>
              <w:spacing w:line="246" w:lineRule="auto"/>
              <w:rPr>
                <w:rFonts w:ascii="Arial"/>
                <w:sz w:val="21"/>
              </w:rPr>
            </w:pPr>
          </w:p>
          <w:p w14:paraId="3561DDA6">
            <w:pPr>
              <w:spacing w:line="247" w:lineRule="auto"/>
              <w:rPr>
                <w:rFonts w:ascii="Arial"/>
                <w:sz w:val="21"/>
              </w:rPr>
            </w:pPr>
          </w:p>
          <w:p w14:paraId="4F5DF8F4">
            <w:pPr>
              <w:spacing w:line="247" w:lineRule="auto"/>
              <w:rPr>
                <w:rFonts w:ascii="Arial"/>
                <w:sz w:val="21"/>
              </w:rPr>
            </w:pPr>
          </w:p>
          <w:p w14:paraId="22CD1D19">
            <w:pPr>
              <w:spacing w:before="58" w:line="223" w:lineRule="auto"/>
              <w:ind w:left="143"/>
              <w:rPr>
                <w:rFonts w:ascii="仿宋" w:hAnsi="仿宋" w:eastAsia="仿宋" w:cs="仿宋"/>
                <w:sz w:val="18"/>
                <w:szCs w:val="18"/>
              </w:rPr>
            </w:pPr>
            <w:r>
              <w:rPr>
                <w:rFonts w:ascii="仿宋" w:hAnsi="仿宋" w:eastAsia="仿宋" w:cs="仿宋"/>
                <w:spacing w:val="-6"/>
                <w:sz w:val="18"/>
                <w:szCs w:val="18"/>
              </w:rPr>
              <w:t>路基</w:t>
            </w:r>
          </w:p>
        </w:tc>
        <w:tc>
          <w:tcPr>
            <w:tcW w:w="450" w:type="dxa"/>
            <w:vAlign w:val="top"/>
          </w:tcPr>
          <w:p w14:paraId="7D3C0A05">
            <w:pPr>
              <w:spacing w:line="242" w:lineRule="auto"/>
              <w:rPr>
                <w:rFonts w:ascii="Arial"/>
                <w:sz w:val="21"/>
              </w:rPr>
            </w:pPr>
          </w:p>
          <w:p w14:paraId="54585DAE">
            <w:pPr>
              <w:spacing w:line="242" w:lineRule="auto"/>
              <w:rPr>
                <w:rFonts w:ascii="Arial"/>
                <w:sz w:val="21"/>
              </w:rPr>
            </w:pPr>
          </w:p>
          <w:p w14:paraId="24BB7287">
            <w:pPr>
              <w:spacing w:line="243" w:lineRule="auto"/>
              <w:rPr>
                <w:rFonts w:ascii="Arial"/>
                <w:sz w:val="21"/>
              </w:rPr>
            </w:pPr>
          </w:p>
          <w:p w14:paraId="71196B31">
            <w:pPr>
              <w:spacing w:before="58" w:line="223" w:lineRule="auto"/>
              <w:ind w:left="53"/>
              <w:rPr>
                <w:rFonts w:ascii="仿宋" w:hAnsi="仿宋" w:eastAsia="仿宋" w:cs="仿宋"/>
                <w:sz w:val="18"/>
                <w:szCs w:val="18"/>
              </w:rPr>
            </w:pPr>
            <w:r>
              <w:rPr>
                <w:rFonts w:ascii="仿宋" w:hAnsi="仿宋" w:eastAsia="仿宋" w:cs="仿宋"/>
                <w:spacing w:val="-6"/>
                <w:sz w:val="18"/>
                <w:szCs w:val="18"/>
              </w:rPr>
              <w:t>路左</w:t>
            </w:r>
          </w:p>
        </w:tc>
        <w:tc>
          <w:tcPr>
            <w:tcW w:w="940" w:type="dxa"/>
            <w:vAlign w:val="top"/>
          </w:tcPr>
          <w:p w14:paraId="05FF76E1">
            <w:pPr>
              <w:spacing w:line="242" w:lineRule="auto"/>
              <w:rPr>
                <w:rFonts w:ascii="Arial"/>
                <w:sz w:val="21"/>
              </w:rPr>
            </w:pPr>
          </w:p>
          <w:p w14:paraId="4C263B7C">
            <w:pPr>
              <w:spacing w:line="242" w:lineRule="auto"/>
              <w:rPr>
                <w:rFonts w:ascii="Arial"/>
                <w:sz w:val="21"/>
              </w:rPr>
            </w:pPr>
          </w:p>
          <w:p w14:paraId="1DC498A5">
            <w:pPr>
              <w:spacing w:line="243" w:lineRule="auto"/>
              <w:rPr>
                <w:rFonts w:ascii="Arial"/>
                <w:sz w:val="21"/>
              </w:rPr>
            </w:pPr>
          </w:p>
          <w:p w14:paraId="61A1D10B">
            <w:pPr>
              <w:spacing w:before="58"/>
              <w:ind w:left="296"/>
              <w:rPr>
                <w:rFonts w:ascii="仿宋" w:hAnsi="仿宋" w:eastAsia="仿宋" w:cs="仿宋"/>
                <w:sz w:val="18"/>
                <w:szCs w:val="18"/>
              </w:rPr>
            </w:pPr>
            <w:r>
              <w:rPr>
                <w:rFonts w:ascii="仿宋" w:hAnsi="仿宋" w:eastAsia="仿宋" w:cs="仿宋"/>
                <w:spacing w:val="-2"/>
                <w:sz w:val="18"/>
                <w:szCs w:val="18"/>
              </w:rPr>
              <w:t>0.13</w:t>
            </w:r>
          </w:p>
        </w:tc>
        <w:tc>
          <w:tcPr>
            <w:tcW w:w="1307" w:type="dxa"/>
            <w:vAlign w:val="top"/>
          </w:tcPr>
          <w:p w14:paraId="47DF5011">
            <w:pPr>
              <w:spacing w:line="242" w:lineRule="auto"/>
              <w:rPr>
                <w:rFonts w:ascii="Arial"/>
                <w:sz w:val="21"/>
              </w:rPr>
            </w:pPr>
          </w:p>
          <w:p w14:paraId="109E93C7">
            <w:pPr>
              <w:spacing w:line="242" w:lineRule="auto"/>
              <w:rPr>
                <w:rFonts w:ascii="Arial"/>
                <w:sz w:val="21"/>
              </w:rPr>
            </w:pPr>
          </w:p>
          <w:p w14:paraId="18E1BEFA">
            <w:pPr>
              <w:spacing w:line="243" w:lineRule="auto"/>
              <w:rPr>
                <w:rFonts w:ascii="Arial"/>
                <w:sz w:val="21"/>
              </w:rPr>
            </w:pPr>
          </w:p>
          <w:p w14:paraId="79989AAD">
            <w:pPr>
              <w:spacing w:before="58"/>
              <w:ind w:left="479"/>
              <w:rPr>
                <w:rFonts w:ascii="仿宋" w:hAnsi="仿宋" w:eastAsia="仿宋" w:cs="仿宋"/>
                <w:sz w:val="18"/>
                <w:szCs w:val="18"/>
              </w:rPr>
            </w:pPr>
            <w:r>
              <w:rPr>
                <w:rFonts w:ascii="仿宋" w:hAnsi="仿宋" w:eastAsia="仿宋" w:cs="仿宋"/>
                <w:spacing w:val="-3"/>
                <w:sz w:val="18"/>
                <w:szCs w:val="18"/>
              </w:rPr>
              <w:t>5.75</w:t>
            </w:r>
          </w:p>
        </w:tc>
        <w:tc>
          <w:tcPr>
            <w:tcW w:w="888" w:type="dxa"/>
            <w:vAlign w:val="top"/>
          </w:tcPr>
          <w:p w14:paraId="3C76BF4F">
            <w:pPr>
              <w:spacing w:line="242" w:lineRule="auto"/>
              <w:rPr>
                <w:rFonts w:ascii="Arial"/>
                <w:sz w:val="21"/>
              </w:rPr>
            </w:pPr>
          </w:p>
          <w:p w14:paraId="7E2BD672">
            <w:pPr>
              <w:spacing w:line="242" w:lineRule="auto"/>
              <w:rPr>
                <w:rFonts w:ascii="Arial"/>
                <w:sz w:val="21"/>
              </w:rPr>
            </w:pPr>
          </w:p>
          <w:p w14:paraId="052094AB">
            <w:pPr>
              <w:spacing w:line="243" w:lineRule="auto"/>
              <w:rPr>
                <w:rFonts w:ascii="Arial"/>
                <w:sz w:val="21"/>
              </w:rPr>
            </w:pPr>
          </w:p>
          <w:p w14:paraId="6F1086C3">
            <w:pPr>
              <w:spacing w:before="58" w:line="241" w:lineRule="auto"/>
              <w:ind w:left="402"/>
              <w:rPr>
                <w:rFonts w:ascii="仿宋" w:hAnsi="仿宋" w:eastAsia="仿宋" w:cs="仿宋"/>
                <w:sz w:val="18"/>
                <w:szCs w:val="18"/>
              </w:rPr>
            </w:pPr>
            <w:r>
              <w:rPr>
                <w:rFonts w:ascii="仿宋" w:hAnsi="仿宋" w:eastAsia="仿宋" w:cs="仿宋"/>
                <w:sz w:val="18"/>
                <w:szCs w:val="18"/>
              </w:rPr>
              <w:t>8</w:t>
            </w:r>
          </w:p>
        </w:tc>
        <w:tc>
          <w:tcPr>
            <w:tcW w:w="1684" w:type="dxa"/>
            <w:vAlign w:val="top"/>
          </w:tcPr>
          <w:p w14:paraId="6F9F04DB">
            <w:pPr>
              <w:spacing w:line="280" w:lineRule="auto"/>
              <w:rPr>
                <w:rFonts w:ascii="Arial"/>
                <w:sz w:val="21"/>
              </w:rPr>
            </w:pPr>
          </w:p>
          <w:p w14:paraId="213F12B2">
            <w:pPr>
              <w:spacing w:line="280" w:lineRule="auto"/>
              <w:rPr>
                <w:rFonts w:ascii="Arial"/>
                <w:sz w:val="21"/>
              </w:rPr>
            </w:pPr>
          </w:p>
          <w:p w14:paraId="0F01E328">
            <w:pPr>
              <w:spacing w:line="281" w:lineRule="auto"/>
              <w:rPr>
                <w:rFonts w:ascii="Arial"/>
                <w:sz w:val="21"/>
              </w:rPr>
            </w:pPr>
          </w:p>
          <w:p w14:paraId="6B3E9360">
            <w:pPr>
              <w:spacing w:before="59" w:line="224" w:lineRule="auto"/>
              <w:ind w:left="725"/>
              <w:rPr>
                <w:rFonts w:ascii="仿宋" w:hAnsi="仿宋" w:eastAsia="仿宋" w:cs="仿宋"/>
                <w:sz w:val="18"/>
                <w:szCs w:val="18"/>
              </w:rPr>
            </w:pPr>
            <w:r>
              <w:rPr>
                <w:rFonts w:ascii="仿宋" w:hAnsi="仿宋" w:eastAsia="仿宋" w:cs="仿宋"/>
                <w:spacing w:val="-10"/>
                <w:sz w:val="18"/>
                <w:szCs w:val="18"/>
              </w:rPr>
              <w:t>1类</w:t>
            </w:r>
          </w:p>
        </w:tc>
        <w:tc>
          <w:tcPr>
            <w:tcW w:w="762" w:type="dxa"/>
            <w:vAlign w:val="top"/>
          </w:tcPr>
          <w:p w14:paraId="0E8F7A9D">
            <w:pPr>
              <w:spacing w:line="242" w:lineRule="auto"/>
              <w:rPr>
                <w:rFonts w:ascii="Arial"/>
                <w:sz w:val="21"/>
              </w:rPr>
            </w:pPr>
          </w:p>
          <w:p w14:paraId="7755508B">
            <w:pPr>
              <w:spacing w:line="242" w:lineRule="auto"/>
              <w:rPr>
                <w:rFonts w:ascii="Arial"/>
                <w:sz w:val="21"/>
              </w:rPr>
            </w:pPr>
          </w:p>
          <w:p w14:paraId="541A49F9">
            <w:pPr>
              <w:spacing w:line="243" w:lineRule="auto"/>
              <w:rPr>
                <w:rFonts w:ascii="Arial"/>
                <w:sz w:val="21"/>
              </w:rPr>
            </w:pPr>
          </w:p>
          <w:p w14:paraId="7CF47B5B">
            <w:pPr>
              <w:spacing w:before="58" w:line="223" w:lineRule="auto"/>
              <w:ind w:left="71"/>
              <w:rPr>
                <w:rFonts w:ascii="仿宋" w:hAnsi="仿宋" w:eastAsia="仿宋" w:cs="仿宋"/>
                <w:sz w:val="18"/>
                <w:szCs w:val="18"/>
              </w:rPr>
            </w:pPr>
            <w:r>
              <w:rPr>
                <w:rFonts w:ascii="仿宋" w:hAnsi="仿宋" w:eastAsia="仿宋" w:cs="仿宋"/>
                <w:spacing w:val="-2"/>
                <w:sz w:val="18"/>
                <w:szCs w:val="18"/>
              </w:rPr>
              <w:t>2户/5人</w:t>
            </w:r>
          </w:p>
        </w:tc>
        <w:tc>
          <w:tcPr>
            <w:tcW w:w="2129" w:type="dxa"/>
            <w:vAlign w:val="top"/>
          </w:tcPr>
          <w:p w14:paraId="28EE9529">
            <w:pPr>
              <w:spacing w:line="246" w:lineRule="auto"/>
              <w:rPr>
                <w:rFonts w:ascii="Arial"/>
                <w:sz w:val="21"/>
              </w:rPr>
            </w:pPr>
          </w:p>
          <w:p w14:paraId="5CED3A8A">
            <w:pPr>
              <w:spacing w:line="247" w:lineRule="auto"/>
              <w:rPr>
                <w:rFonts w:ascii="Arial"/>
                <w:sz w:val="21"/>
              </w:rPr>
            </w:pPr>
          </w:p>
          <w:p w14:paraId="6FC754E4">
            <w:pPr>
              <w:spacing w:before="58" w:line="223" w:lineRule="auto"/>
              <w:ind w:left="37"/>
              <w:rPr>
                <w:rFonts w:ascii="仿宋" w:hAnsi="仿宋" w:eastAsia="仿宋" w:cs="仿宋"/>
                <w:sz w:val="18"/>
                <w:szCs w:val="18"/>
              </w:rPr>
            </w:pPr>
            <w:r>
              <w:rPr>
                <w:rFonts w:ascii="仿宋" w:hAnsi="仿宋" w:eastAsia="仿宋" w:cs="仿宋"/>
                <w:spacing w:val="-1"/>
                <w:sz w:val="18"/>
                <w:szCs w:val="18"/>
              </w:rPr>
              <w:t>砖混，1层平房，侧向拟建</w:t>
            </w:r>
          </w:p>
          <w:p w14:paraId="7D3AA569">
            <w:pPr>
              <w:spacing w:before="15" w:line="222" w:lineRule="auto"/>
              <w:ind w:left="84"/>
              <w:rPr>
                <w:rFonts w:ascii="仿宋" w:hAnsi="仿宋" w:eastAsia="仿宋" w:cs="仿宋"/>
                <w:sz w:val="18"/>
                <w:szCs w:val="18"/>
              </w:rPr>
            </w:pPr>
            <w:r>
              <w:rPr>
                <w:rFonts w:ascii="仿宋" w:hAnsi="仿宋" w:eastAsia="仿宋" w:cs="仿宋"/>
                <w:spacing w:val="-2"/>
                <w:sz w:val="18"/>
                <w:szCs w:val="18"/>
              </w:rPr>
              <w:t>道路，地势略高于拟建道</w:t>
            </w:r>
          </w:p>
          <w:p w14:paraId="1DBED3DB">
            <w:pPr>
              <w:spacing w:before="16" w:line="223" w:lineRule="auto"/>
              <w:ind w:left="890"/>
              <w:rPr>
                <w:rFonts w:ascii="仿宋" w:hAnsi="仿宋" w:eastAsia="仿宋" w:cs="仿宋"/>
                <w:sz w:val="18"/>
                <w:szCs w:val="18"/>
              </w:rPr>
            </w:pPr>
            <w:r>
              <w:rPr>
                <w:rFonts w:ascii="仿宋" w:hAnsi="仿宋" w:eastAsia="仿宋" w:cs="仿宋"/>
                <w:spacing w:val="-6"/>
                <w:sz w:val="18"/>
                <w:szCs w:val="18"/>
              </w:rPr>
              <w:t>路。</w:t>
            </w:r>
          </w:p>
        </w:tc>
        <w:tc>
          <w:tcPr>
            <w:tcW w:w="2112" w:type="dxa"/>
            <w:tcBorders>
              <w:right w:val="nil"/>
            </w:tcBorders>
            <w:vAlign w:val="top"/>
          </w:tcPr>
          <w:p w14:paraId="7E308666">
            <w:pPr>
              <w:spacing w:before="10" w:line="1717" w:lineRule="exact"/>
              <w:ind w:firstLine="35"/>
            </w:pPr>
            <w:r>
              <w:rPr>
                <w:position w:val="-34"/>
              </w:rPr>
              <w:drawing>
                <wp:inline distT="0" distB="0" distL="0" distR="0">
                  <wp:extent cx="1278255" cy="1090295"/>
                  <wp:effectExtent l="0" t="0" r="0" b="0"/>
                  <wp:docPr id="188" name="IM 188"/>
                  <wp:cNvGraphicFramePr/>
                  <a:graphic xmlns:a="http://schemas.openxmlformats.org/drawingml/2006/main">
                    <a:graphicData uri="http://schemas.openxmlformats.org/drawingml/2006/picture">
                      <pic:pic xmlns:pic="http://schemas.openxmlformats.org/drawingml/2006/picture">
                        <pic:nvPicPr>
                          <pic:cNvPr id="188" name="IM 188"/>
                          <pic:cNvPicPr/>
                        </pic:nvPicPr>
                        <pic:blipFill>
                          <a:blip r:embed="rId362"/>
                          <a:stretch>
                            <a:fillRect/>
                          </a:stretch>
                        </pic:blipFill>
                        <pic:spPr>
                          <a:xfrm>
                            <a:off x="0" y="0"/>
                            <a:ext cx="1278635" cy="1090295"/>
                          </a:xfrm>
                          <a:prstGeom prst="rect">
                            <a:avLst/>
                          </a:prstGeom>
                        </pic:spPr>
                      </pic:pic>
                    </a:graphicData>
                  </a:graphic>
                </wp:inline>
              </w:drawing>
            </w:r>
          </w:p>
        </w:tc>
      </w:tr>
      <w:tr w14:paraId="14285E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9" w:hRule="atLeast"/>
        </w:trPr>
        <w:tc>
          <w:tcPr>
            <w:tcW w:w="328" w:type="dxa"/>
            <w:vMerge w:val="restart"/>
            <w:tcBorders>
              <w:left w:val="nil"/>
              <w:bottom w:val="nil"/>
            </w:tcBorders>
            <w:vAlign w:val="top"/>
          </w:tcPr>
          <w:p w14:paraId="28CAEB44">
            <w:pPr>
              <w:spacing w:line="287" w:lineRule="auto"/>
              <w:rPr>
                <w:rFonts w:ascii="Arial"/>
                <w:sz w:val="21"/>
              </w:rPr>
            </w:pPr>
          </w:p>
          <w:p w14:paraId="60D54F74">
            <w:pPr>
              <w:spacing w:line="288" w:lineRule="auto"/>
              <w:rPr>
                <w:rFonts w:ascii="Arial"/>
                <w:sz w:val="21"/>
              </w:rPr>
            </w:pPr>
          </w:p>
          <w:p w14:paraId="7D76B79E">
            <w:pPr>
              <w:spacing w:line="288" w:lineRule="auto"/>
              <w:rPr>
                <w:rFonts w:ascii="Arial"/>
                <w:sz w:val="21"/>
              </w:rPr>
            </w:pPr>
          </w:p>
          <w:p w14:paraId="0ECAA2DE">
            <w:pPr>
              <w:spacing w:before="58" w:line="241" w:lineRule="auto"/>
              <w:ind w:left="90"/>
              <w:rPr>
                <w:rFonts w:ascii="仿宋" w:hAnsi="仿宋" w:eastAsia="仿宋" w:cs="仿宋"/>
                <w:sz w:val="18"/>
                <w:szCs w:val="18"/>
              </w:rPr>
            </w:pPr>
            <w:r>
              <w:rPr>
                <w:rFonts w:ascii="仿宋" w:hAnsi="仿宋" w:eastAsia="仿宋" w:cs="仿宋"/>
                <w:spacing w:val="-10"/>
                <w:sz w:val="18"/>
                <w:szCs w:val="18"/>
              </w:rPr>
              <w:t>13</w:t>
            </w:r>
          </w:p>
        </w:tc>
        <w:tc>
          <w:tcPr>
            <w:tcW w:w="720" w:type="dxa"/>
            <w:vMerge w:val="restart"/>
            <w:tcBorders>
              <w:bottom w:val="nil"/>
            </w:tcBorders>
            <w:vAlign w:val="top"/>
          </w:tcPr>
          <w:p w14:paraId="278BB5D9">
            <w:pPr>
              <w:spacing w:line="248" w:lineRule="auto"/>
              <w:rPr>
                <w:rFonts w:ascii="Arial"/>
                <w:sz w:val="21"/>
              </w:rPr>
            </w:pPr>
          </w:p>
          <w:p w14:paraId="2714B6E4">
            <w:pPr>
              <w:spacing w:line="248" w:lineRule="auto"/>
              <w:rPr>
                <w:rFonts w:ascii="Arial"/>
                <w:sz w:val="21"/>
              </w:rPr>
            </w:pPr>
          </w:p>
          <w:p w14:paraId="565CAFED">
            <w:pPr>
              <w:spacing w:line="249" w:lineRule="auto"/>
              <w:rPr>
                <w:rFonts w:ascii="Arial"/>
                <w:sz w:val="21"/>
              </w:rPr>
            </w:pPr>
          </w:p>
          <w:p w14:paraId="30613500">
            <w:pPr>
              <w:spacing w:before="59" w:line="248" w:lineRule="auto"/>
              <w:ind w:left="284" w:right="86" w:hanging="182"/>
              <w:rPr>
                <w:rFonts w:ascii="仿宋" w:hAnsi="仿宋" w:eastAsia="仿宋" w:cs="仿宋"/>
                <w:sz w:val="18"/>
                <w:szCs w:val="18"/>
              </w:rPr>
            </w:pPr>
            <w:r>
              <w:rPr>
                <w:rFonts w:ascii="仿宋" w:hAnsi="仿宋" w:eastAsia="仿宋" w:cs="仿宋"/>
                <w:spacing w:val="-5"/>
                <w:sz w:val="18"/>
                <w:szCs w:val="18"/>
              </w:rPr>
              <w:t>张家圪</w:t>
            </w:r>
            <w:r>
              <w:rPr>
                <w:rFonts w:ascii="仿宋" w:hAnsi="仿宋" w:eastAsia="仿宋" w:cs="仿宋"/>
                <w:sz w:val="18"/>
                <w:szCs w:val="18"/>
              </w:rPr>
              <w:t>旦</w:t>
            </w:r>
          </w:p>
        </w:tc>
        <w:tc>
          <w:tcPr>
            <w:tcW w:w="975" w:type="dxa"/>
            <w:vMerge w:val="continue"/>
            <w:tcBorders>
              <w:top w:val="nil"/>
              <w:bottom w:val="nil"/>
            </w:tcBorders>
            <w:vAlign w:val="top"/>
          </w:tcPr>
          <w:p w14:paraId="626C97DB">
            <w:pPr>
              <w:rPr>
                <w:rFonts w:ascii="Arial"/>
                <w:sz w:val="21"/>
              </w:rPr>
            </w:pPr>
          </w:p>
        </w:tc>
        <w:tc>
          <w:tcPr>
            <w:tcW w:w="1035" w:type="dxa"/>
            <w:vMerge w:val="continue"/>
            <w:tcBorders>
              <w:top w:val="nil"/>
              <w:bottom w:val="nil"/>
            </w:tcBorders>
            <w:vAlign w:val="top"/>
          </w:tcPr>
          <w:p w14:paraId="380E8940">
            <w:pPr>
              <w:rPr>
                <w:rFonts w:ascii="Arial"/>
                <w:sz w:val="21"/>
              </w:rPr>
            </w:pPr>
          </w:p>
        </w:tc>
        <w:tc>
          <w:tcPr>
            <w:tcW w:w="630" w:type="dxa"/>
            <w:vMerge w:val="continue"/>
            <w:tcBorders>
              <w:top w:val="nil"/>
              <w:bottom w:val="nil"/>
            </w:tcBorders>
            <w:vAlign w:val="top"/>
          </w:tcPr>
          <w:p w14:paraId="3AD82A22">
            <w:pPr>
              <w:rPr>
                <w:rFonts w:ascii="Arial"/>
                <w:sz w:val="21"/>
              </w:rPr>
            </w:pPr>
          </w:p>
        </w:tc>
        <w:tc>
          <w:tcPr>
            <w:tcW w:w="450" w:type="dxa"/>
            <w:vAlign w:val="top"/>
          </w:tcPr>
          <w:p w14:paraId="6E78FCAA">
            <w:pPr>
              <w:spacing w:line="286" w:lineRule="auto"/>
              <w:rPr>
                <w:rFonts w:ascii="Arial"/>
                <w:sz w:val="21"/>
              </w:rPr>
            </w:pPr>
          </w:p>
          <w:p w14:paraId="070F0680">
            <w:pPr>
              <w:spacing w:before="58" w:line="223" w:lineRule="auto"/>
              <w:ind w:left="53"/>
              <w:rPr>
                <w:rFonts w:ascii="仿宋" w:hAnsi="仿宋" w:eastAsia="仿宋" w:cs="仿宋"/>
                <w:sz w:val="18"/>
                <w:szCs w:val="18"/>
              </w:rPr>
            </w:pPr>
            <w:r>
              <w:rPr>
                <w:rFonts w:ascii="仿宋" w:hAnsi="仿宋" w:eastAsia="仿宋" w:cs="仿宋"/>
                <w:spacing w:val="-6"/>
                <w:sz w:val="18"/>
                <w:szCs w:val="18"/>
              </w:rPr>
              <w:t>路右</w:t>
            </w:r>
          </w:p>
        </w:tc>
        <w:tc>
          <w:tcPr>
            <w:tcW w:w="940" w:type="dxa"/>
            <w:vAlign w:val="top"/>
          </w:tcPr>
          <w:p w14:paraId="01836891">
            <w:pPr>
              <w:spacing w:line="286" w:lineRule="auto"/>
              <w:rPr>
                <w:rFonts w:ascii="Arial"/>
                <w:sz w:val="21"/>
              </w:rPr>
            </w:pPr>
          </w:p>
          <w:p w14:paraId="696399DD">
            <w:pPr>
              <w:spacing w:before="58"/>
              <w:ind w:left="351"/>
              <w:rPr>
                <w:rFonts w:ascii="仿宋" w:hAnsi="仿宋" w:eastAsia="仿宋" w:cs="仿宋"/>
                <w:sz w:val="18"/>
                <w:szCs w:val="18"/>
              </w:rPr>
            </w:pPr>
            <w:r>
              <w:rPr>
                <w:rFonts w:ascii="仿宋" w:hAnsi="仿宋" w:eastAsia="仿宋" w:cs="仿宋"/>
                <w:spacing w:val="-7"/>
                <w:sz w:val="18"/>
                <w:szCs w:val="18"/>
              </w:rPr>
              <w:t>1.1</w:t>
            </w:r>
          </w:p>
        </w:tc>
        <w:tc>
          <w:tcPr>
            <w:tcW w:w="1307" w:type="dxa"/>
            <w:vAlign w:val="top"/>
          </w:tcPr>
          <w:p w14:paraId="177E2172">
            <w:pPr>
              <w:spacing w:line="286" w:lineRule="auto"/>
              <w:rPr>
                <w:rFonts w:ascii="Arial"/>
                <w:sz w:val="21"/>
              </w:rPr>
            </w:pPr>
          </w:p>
          <w:p w14:paraId="00EE3CF1">
            <w:pPr>
              <w:spacing w:before="58"/>
              <w:ind w:left="434"/>
              <w:rPr>
                <w:rFonts w:ascii="仿宋" w:hAnsi="仿宋" w:eastAsia="仿宋" w:cs="仿宋"/>
                <w:sz w:val="18"/>
                <w:szCs w:val="18"/>
              </w:rPr>
            </w:pPr>
            <w:r>
              <w:rPr>
                <w:rFonts w:ascii="仿宋" w:hAnsi="仿宋" w:eastAsia="仿宋" w:cs="仿宋"/>
                <w:spacing w:val="-2"/>
                <w:sz w:val="18"/>
                <w:szCs w:val="18"/>
              </w:rPr>
              <w:t>24.75</w:t>
            </w:r>
          </w:p>
        </w:tc>
        <w:tc>
          <w:tcPr>
            <w:tcW w:w="888" w:type="dxa"/>
            <w:vAlign w:val="top"/>
          </w:tcPr>
          <w:p w14:paraId="3B12275F">
            <w:pPr>
              <w:spacing w:line="286" w:lineRule="auto"/>
              <w:rPr>
                <w:rFonts w:ascii="Arial"/>
                <w:sz w:val="21"/>
              </w:rPr>
            </w:pPr>
          </w:p>
          <w:p w14:paraId="39ADA4AD">
            <w:pPr>
              <w:spacing w:before="58" w:line="241" w:lineRule="auto"/>
              <w:ind w:left="358"/>
              <w:rPr>
                <w:rFonts w:ascii="仿宋" w:hAnsi="仿宋" w:eastAsia="仿宋" w:cs="仿宋"/>
                <w:sz w:val="18"/>
                <w:szCs w:val="18"/>
              </w:rPr>
            </w:pPr>
            <w:r>
              <w:rPr>
                <w:rFonts w:ascii="仿宋" w:hAnsi="仿宋" w:eastAsia="仿宋" w:cs="仿宋"/>
                <w:spacing w:val="-4"/>
                <w:sz w:val="18"/>
                <w:szCs w:val="18"/>
              </w:rPr>
              <w:t>27</w:t>
            </w:r>
          </w:p>
        </w:tc>
        <w:tc>
          <w:tcPr>
            <w:tcW w:w="1684" w:type="dxa"/>
            <w:vMerge w:val="restart"/>
            <w:tcBorders>
              <w:bottom w:val="nil"/>
            </w:tcBorders>
            <w:vAlign w:val="top"/>
          </w:tcPr>
          <w:p w14:paraId="3ACFD4E0">
            <w:pPr>
              <w:spacing w:line="287" w:lineRule="auto"/>
              <w:rPr>
                <w:rFonts w:ascii="Arial"/>
                <w:sz w:val="21"/>
              </w:rPr>
            </w:pPr>
          </w:p>
          <w:p w14:paraId="481B5AC5">
            <w:pPr>
              <w:spacing w:line="288" w:lineRule="auto"/>
              <w:rPr>
                <w:rFonts w:ascii="Arial"/>
                <w:sz w:val="21"/>
              </w:rPr>
            </w:pPr>
          </w:p>
          <w:p w14:paraId="39F84BAE">
            <w:pPr>
              <w:spacing w:line="288" w:lineRule="auto"/>
              <w:rPr>
                <w:rFonts w:ascii="Arial"/>
                <w:sz w:val="21"/>
              </w:rPr>
            </w:pPr>
          </w:p>
          <w:p w14:paraId="517E76DA">
            <w:pPr>
              <w:spacing w:before="59" w:line="224" w:lineRule="auto"/>
              <w:ind w:left="725"/>
              <w:rPr>
                <w:rFonts w:ascii="仿宋" w:hAnsi="仿宋" w:eastAsia="仿宋" w:cs="仿宋"/>
                <w:sz w:val="18"/>
                <w:szCs w:val="18"/>
              </w:rPr>
            </w:pPr>
            <w:r>
              <w:rPr>
                <w:rFonts w:ascii="仿宋" w:hAnsi="仿宋" w:eastAsia="仿宋" w:cs="仿宋"/>
                <w:spacing w:val="-10"/>
                <w:sz w:val="18"/>
                <w:szCs w:val="18"/>
              </w:rPr>
              <w:t>1类</w:t>
            </w:r>
          </w:p>
        </w:tc>
        <w:tc>
          <w:tcPr>
            <w:tcW w:w="762" w:type="dxa"/>
            <w:vAlign w:val="top"/>
          </w:tcPr>
          <w:p w14:paraId="65AC1EA2">
            <w:pPr>
              <w:spacing w:line="286" w:lineRule="auto"/>
              <w:rPr>
                <w:rFonts w:ascii="Arial"/>
                <w:sz w:val="21"/>
              </w:rPr>
            </w:pPr>
          </w:p>
          <w:p w14:paraId="1FB3B635">
            <w:pPr>
              <w:spacing w:before="58" w:line="223" w:lineRule="auto"/>
              <w:ind w:left="27"/>
              <w:rPr>
                <w:rFonts w:ascii="仿宋" w:hAnsi="仿宋" w:eastAsia="仿宋" w:cs="仿宋"/>
                <w:sz w:val="18"/>
                <w:szCs w:val="18"/>
              </w:rPr>
            </w:pPr>
            <w:r>
              <w:rPr>
                <w:rFonts w:ascii="仿宋" w:hAnsi="仿宋" w:eastAsia="仿宋" w:cs="仿宋"/>
                <w:spacing w:val="-2"/>
                <w:sz w:val="18"/>
                <w:szCs w:val="18"/>
              </w:rPr>
              <w:t>5户/17人</w:t>
            </w:r>
          </w:p>
        </w:tc>
        <w:tc>
          <w:tcPr>
            <w:tcW w:w="2129" w:type="dxa"/>
            <w:vAlign w:val="top"/>
          </w:tcPr>
          <w:p w14:paraId="46B77E0F">
            <w:pPr>
              <w:spacing w:before="111" w:line="222" w:lineRule="auto"/>
              <w:ind w:left="37"/>
              <w:rPr>
                <w:rFonts w:ascii="仿宋" w:hAnsi="仿宋" w:eastAsia="仿宋" w:cs="仿宋"/>
                <w:sz w:val="18"/>
                <w:szCs w:val="18"/>
              </w:rPr>
            </w:pPr>
            <w:r>
              <w:rPr>
                <w:rFonts w:ascii="仿宋" w:hAnsi="仿宋" w:eastAsia="仿宋" w:cs="仿宋"/>
                <w:sz w:val="18"/>
                <w:szCs w:val="18"/>
              </w:rPr>
              <w:t>砖混，1层平房，侧向、背</w:t>
            </w:r>
          </w:p>
          <w:p w14:paraId="53C79899">
            <w:pPr>
              <w:spacing w:before="18" w:line="222" w:lineRule="auto"/>
              <w:ind w:right="2"/>
              <w:jc w:val="right"/>
              <w:rPr>
                <w:rFonts w:ascii="仿宋" w:hAnsi="仿宋" w:eastAsia="仿宋" w:cs="仿宋"/>
                <w:sz w:val="18"/>
                <w:szCs w:val="18"/>
              </w:rPr>
            </w:pPr>
            <w:r>
              <w:rPr>
                <w:rFonts w:ascii="仿宋" w:hAnsi="仿宋" w:eastAsia="仿宋" w:cs="仿宋"/>
                <w:spacing w:val="-7"/>
                <w:sz w:val="18"/>
                <w:szCs w:val="18"/>
              </w:rPr>
              <w:t>向拟建道路，地势略高于拟</w:t>
            </w:r>
          </w:p>
          <w:p w14:paraId="26101395">
            <w:pPr>
              <w:spacing w:before="16" w:line="223" w:lineRule="auto"/>
              <w:ind w:left="712"/>
              <w:rPr>
                <w:rFonts w:ascii="仿宋" w:hAnsi="仿宋" w:eastAsia="仿宋" w:cs="仿宋"/>
                <w:sz w:val="18"/>
                <w:szCs w:val="18"/>
              </w:rPr>
            </w:pPr>
            <w:r>
              <w:rPr>
                <w:rFonts w:ascii="仿宋" w:hAnsi="仿宋" w:eastAsia="仿宋" w:cs="仿宋"/>
                <w:spacing w:val="-3"/>
                <w:sz w:val="18"/>
                <w:szCs w:val="18"/>
              </w:rPr>
              <w:t>建道路。</w:t>
            </w:r>
          </w:p>
        </w:tc>
        <w:tc>
          <w:tcPr>
            <w:tcW w:w="2112" w:type="dxa"/>
            <w:vMerge w:val="restart"/>
            <w:tcBorders>
              <w:bottom w:val="nil"/>
              <w:right w:val="nil"/>
            </w:tcBorders>
            <w:vAlign w:val="top"/>
          </w:tcPr>
          <w:p w14:paraId="6C55A3EF">
            <w:pPr>
              <w:spacing w:before="27" w:line="1958" w:lineRule="exact"/>
              <w:ind w:firstLine="35"/>
            </w:pPr>
            <w:r>
              <w:rPr>
                <w:position w:val="-39"/>
              </w:rPr>
              <w:drawing>
                <wp:inline distT="0" distB="0" distL="0" distR="0">
                  <wp:extent cx="1276985" cy="1243330"/>
                  <wp:effectExtent l="0" t="0" r="0" b="0"/>
                  <wp:docPr id="190" name="IM 190"/>
                  <wp:cNvGraphicFramePr/>
                  <a:graphic xmlns:a="http://schemas.openxmlformats.org/drawingml/2006/main">
                    <a:graphicData uri="http://schemas.openxmlformats.org/drawingml/2006/picture">
                      <pic:pic xmlns:pic="http://schemas.openxmlformats.org/drawingml/2006/picture">
                        <pic:nvPicPr>
                          <pic:cNvPr id="190" name="IM 190"/>
                          <pic:cNvPicPr/>
                        </pic:nvPicPr>
                        <pic:blipFill>
                          <a:blip r:embed="rId363"/>
                          <a:stretch>
                            <a:fillRect/>
                          </a:stretch>
                        </pic:blipFill>
                        <pic:spPr>
                          <a:xfrm>
                            <a:off x="0" y="0"/>
                            <a:ext cx="1277111" cy="1243583"/>
                          </a:xfrm>
                          <a:prstGeom prst="rect">
                            <a:avLst/>
                          </a:prstGeom>
                        </pic:spPr>
                      </pic:pic>
                    </a:graphicData>
                  </a:graphic>
                </wp:inline>
              </w:drawing>
            </w:r>
          </w:p>
        </w:tc>
      </w:tr>
      <w:tr w14:paraId="7B75F1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4" w:hRule="atLeast"/>
        </w:trPr>
        <w:tc>
          <w:tcPr>
            <w:tcW w:w="328" w:type="dxa"/>
            <w:vMerge w:val="continue"/>
            <w:tcBorders>
              <w:top w:val="nil"/>
              <w:left w:val="nil"/>
              <w:bottom w:val="single" w:color="000000" w:sz="10" w:space="0"/>
            </w:tcBorders>
            <w:vAlign w:val="top"/>
          </w:tcPr>
          <w:p w14:paraId="5B6454AC">
            <w:pPr>
              <w:rPr>
                <w:rFonts w:ascii="Arial"/>
                <w:sz w:val="21"/>
              </w:rPr>
            </w:pPr>
          </w:p>
        </w:tc>
        <w:tc>
          <w:tcPr>
            <w:tcW w:w="720" w:type="dxa"/>
            <w:vMerge w:val="continue"/>
            <w:tcBorders>
              <w:top w:val="nil"/>
              <w:bottom w:val="single" w:color="000000" w:sz="10" w:space="0"/>
            </w:tcBorders>
            <w:vAlign w:val="top"/>
          </w:tcPr>
          <w:p w14:paraId="7F7E8E35">
            <w:pPr>
              <w:rPr>
                <w:rFonts w:ascii="Arial"/>
                <w:sz w:val="21"/>
              </w:rPr>
            </w:pPr>
          </w:p>
        </w:tc>
        <w:tc>
          <w:tcPr>
            <w:tcW w:w="975" w:type="dxa"/>
            <w:vMerge w:val="continue"/>
            <w:tcBorders>
              <w:top w:val="nil"/>
              <w:bottom w:val="single" w:color="000000" w:sz="10" w:space="0"/>
            </w:tcBorders>
            <w:vAlign w:val="top"/>
          </w:tcPr>
          <w:p w14:paraId="48AEDDDC">
            <w:pPr>
              <w:rPr>
                <w:rFonts w:ascii="Arial"/>
                <w:sz w:val="21"/>
              </w:rPr>
            </w:pPr>
          </w:p>
        </w:tc>
        <w:tc>
          <w:tcPr>
            <w:tcW w:w="1035" w:type="dxa"/>
            <w:vMerge w:val="continue"/>
            <w:tcBorders>
              <w:top w:val="nil"/>
              <w:bottom w:val="single" w:color="000000" w:sz="10" w:space="0"/>
            </w:tcBorders>
            <w:vAlign w:val="top"/>
          </w:tcPr>
          <w:p w14:paraId="6505E2C5">
            <w:pPr>
              <w:rPr>
                <w:rFonts w:ascii="Arial"/>
                <w:sz w:val="21"/>
              </w:rPr>
            </w:pPr>
          </w:p>
        </w:tc>
        <w:tc>
          <w:tcPr>
            <w:tcW w:w="630" w:type="dxa"/>
            <w:vMerge w:val="continue"/>
            <w:tcBorders>
              <w:top w:val="nil"/>
              <w:bottom w:val="single" w:color="000000" w:sz="10" w:space="0"/>
            </w:tcBorders>
            <w:vAlign w:val="top"/>
          </w:tcPr>
          <w:p w14:paraId="33487FE8">
            <w:pPr>
              <w:rPr>
                <w:rFonts w:ascii="Arial"/>
                <w:sz w:val="21"/>
              </w:rPr>
            </w:pPr>
          </w:p>
        </w:tc>
        <w:tc>
          <w:tcPr>
            <w:tcW w:w="450" w:type="dxa"/>
            <w:tcBorders>
              <w:bottom w:val="single" w:color="000000" w:sz="10" w:space="0"/>
            </w:tcBorders>
            <w:vAlign w:val="top"/>
          </w:tcPr>
          <w:p w14:paraId="48685536">
            <w:pPr>
              <w:spacing w:line="446" w:lineRule="auto"/>
              <w:rPr>
                <w:rFonts w:ascii="Arial"/>
                <w:sz w:val="21"/>
              </w:rPr>
            </w:pPr>
          </w:p>
          <w:p w14:paraId="149C9855">
            <w:pPr>
              <w:spacing w:before="59" w:line="223" w:lineRule="auto"/>
              <w:ind w:left="53"/>
              <w:rPr>
                <w:rFonts w:ascii="仿宋" w:hAnsi="仿宋" w:eastAsia="仿宋" w:cs="仿宋"/>
                <w:sz w:val="18"/>
                <w:szCs w:val="18"/>
              </w:rPr>
            </w:pPr>
            <w:r>
              <w:rPr>
                <w:rFonts w:ascii="仿宋" w:hAnsi="仿宋" w:eastAsia="仿宋" w:cs="仿宋"/>
                <w:spacing w:val="-6"/>
                <w:sz w:val="18"/>
                <w:szCs w:val="18"/>
              </w:rPr>
              <w:t>路左</w:t>
            </w:r>
          </w:p>
        </w:tc>
        <w:tc>
          <w:tcPr>
            <w:tcW w:w="940" w:type="dxa"/>
            <w:tcBorders>
              <w:bottom w:val="single" w:color="000000" w:sz="10" w:space="0"/>
            </w:tcBorders>
            <w:vAlign w:val="top"/>
          </w:tcPr>
          <w:p w14:paraId="2189A0F5">
            <w:pPr>
              <w:spacing w:line="447" w:lineRule="auto"/>
              <w:rPr>
                <w:rFonts w:ascii="Arial"/>
                <w:sz w:val="21"/>
              </w:rPr>
            </w:pPr>
          </w:p>
          <w:p w14:paraId="20BBF0D5">
            <w:pPr>
              <w:spacing w:before="58"/>
              <w:ind w:left="296"/>
              <w:rPr>
                <w:rFonts w:ascii="仿宋" w:hAnsi="仿宋" w:eastAsia="仿宋" w:cs="仿宋"/>
                <w:sz w:val="18"/>
                <w:szCs w:val="18"/>
              </w:rPr>
            </w:pPr>
            <w:r>
              <w:rPr>
                <w:rFonts w:ascii="仿宋" w:hAnsi="仿宋" w:eastAsia="仿宋" w:cs="仿宋"/>
                <w:spacing w:val="-2"/>
                <w:sz w:val="18"/>
                <w:szCs w:val="18"/>
              </w:rPr>
              <w:t>0.17</w:t>
            </w:r>
          </w:p>
        </w:tc>
        <w:tc>
          <w:tcPr>
            <w:tcW w:w="1307" w:type="dxa"/>
            <w:tcBorders>
              <w:bottom w:val="single" w:color="000000" w:sz="10" w:space="0"/>
            </w:tcBorders>
            <w:vAlign w:val="top"/>
          </w:tcPr>
          <w:p w14:paraId="21C818AA">
            <w:pPr>
              <w:spacing w:line="447" w:lineRule="auto"/>
              <w:rPr>
                <w:rFonts w:ascii="Arial"/>
                <w:sz w:val="21"/>
              </w:rPr>
            </w:pPr>
          </w:p>
          <w:p w14:paraId="0408E16D">
            <w:pPr>
              <w:spacing w:before="58"/>
              <w:ind w:left="434"/>
              <w:rPr>
                <w:rFonts w:ascii="仿宋" w:hAnsi="仿宋" w:eastAsia="仿宋" w:cs="仿宋"/>
                <w:sz w:val="18"/>
                <w:szCs w:val="18"/>
              </w:rPr>
            </w:pPr>
            <w:r>
              <w:rPr>
                <w:rFonts w:ascii="仿宋" w:hAnsi="仿宋" w:eastAsia="仿宋" w:cs="仿宋"/>
                <w:spacing w:val="-2"/>
                <w:sz w:val="18"/>
                <w:szCs w:val="18"/>
              </w:rPr>
              <w:t>24.75</w:t>
            </w:r>
          </w:p>
        </w:tc>
        <w:tc>
          <w:tcPr>
            <w:tcW w:w="888" w:type="dxa"/>
            <w:tcBorders>
              <w:bottom w:val="single" w:color="000000" w:sz="10" w:space="0"/>
            </w:tcBorders>
            <w:vAlign w:val="top"/>
          </w:tcPr>
          <w:p w14:paraId="260C737C">
            <w:pPr>
              <w:spacing w:line="446" w:lineRule="auto"/>
              <w:rPr>
                <w:rFonts w:ascii="Arial"/>
                <w:sz w:val="21"/>
              </w:rPr>
            </w:pPr>
          </w:p>
          <w:p w14:paraId="6C8D2A90">
            <w:pPr>
              <w:spacing w:before="59" w:line="241" w:lineRule="auto"/>
              <w:ind w:left="358"/>
              <w:rPr>
                <w:rFonts w:ascii="仿宋" w:hAnsi="仿宋" w:eastAsia="仿宋" w:cs="仿宋"/>
                <w:sz w:val="18"/>
                <w:szCs w:val="18"/>
              </w:rPr>
            </w:pPr>
            <w:r>
              <w:rPr>
                <w:rFonts w:ascii="仿宋" w:hAnsi="仿宋" w:eastAsia="仿宋" w:cs="仿宋"/>
                <w:spacing w:val="-4"/>
                <w:sz w:val="18"/>
                <w:szCs w:val="18"/>
              </w:rPr>
              <w:t>27</w:t>
            </w:r>
          </w:p>
        </w:tc>
        <w:tc>
          <w:tcPr>
            <w:tcW w:w="1684" w:type="dxa"/>
            <w:vMerge w:val="continue"/>
            <w:tcBorders>
              <w:top w:val="nil"/>
              <w:bottom w:val="single" w:color="000000" w:sz="10" w:space="0"/>
            </w:tcBorders>
            <w:vAlign w:val="top"/>
          </w:tcPr>
          <w:p w14:paraId="051E51E0">
            <w:pPr>
              <w:rPr>
                <w:rFonts w:ascii="Arial"/>
                <w:sz w:val="21"/>
              </w:rPr>
            </w:pPr>
          </w:p>
        </w:tc>
        <w:tc>
          <w:tcPr>
            <w:tcW w:w="762" w:type="dxa"/>
            <w:tcBorders>
              <w:bottom w:val="single" w:color="000000" w:sz="10" w:space="0"/>
            </w:tcBorders>
            <w:vAlign w:val="top"/>
          </w:tcPr>
          <w:p w14:paraId="533068C0">
            <w:pPr>
              <w:spacing w:line="446" w:lineRule="auto"/>
              <w:rPr>
                <w:rFonts w:ascii="Arial"/>
                <w:sz w:val="21"/>
              </w:rPr>
            </w:pPr>
          </w:p>
          <w:p w14:paraId="6E594AEF">
            <w:pPr>
              <w:spacing w:before="59" w:line="223" w:lineRule="auto"/>
              <w:ind w:left="72"/>
              <w:rPr>
                <w:rFonts w:ascii="仿宋" w:hAnsi="仿宋" w:eastAsia="仿宋" w:cs="仿宋"/>
                <w:sz w:val="18"/>
                <w:szCs w:val="18"/>
              </w:rPr>
            </w:pPr>
            <w:r>
              <w:rPr>
                <w:rFonts w:ascii="仿宋" w:hAnsi="仿宋" w:eastAsia="仿宋" w:cs="仿宋"/>
                <w:spacing w:val="-2"/>
                <w:sz w:val="18"/>
                <w:szCs w:val="18"/>
              </w:rPr>
              <w:t>3户/7人</w:t>
            </w:r>
          </w:p>
        </w:tc>
        <w:tc>
          <w:tcPr>
            <w:tcW w:w="2129" w:type="dxa"/>
            <w:tcBorders>
              <w:bottom w:val="single" w:color="000000" w:sz="10" w:space="0"/>
            </w:tcBorders>
            <w:vAlign w:val="top"/>
          </w:tcPr>
          <w:p w14:paraId="0E1BF810">
            <w:pPr>
              <w:spacing w:before="272" w:line="223" w:lineRule="auto"/>
              <w:ind w:left="37"/>
              <w:rPr>
                <w:rFonts w:ascii="仿宋" w:hAnsi="仿宋" w:eastAsia="仿宋" w:cs="仿宋"/>
                <w:sz w:val="18"/>
                <w:szCs w:val="18"/>
              </w:rPr>
            </w:pPr>
            <w:r>
              <w:rPr>
                <w:rFonts w:ascii="仿宋" w:hAnsi="仿宋" w:eastAsia="仿宋" w:cs="仿宋"/>
                <w:spacing w:val="-1"/>
                <w:sz w:val="18"/>
                <w:szCs w:val="18"/>
              </w:rPr>
              <w:t>砖混，1层平房，侧向拟建</w:t>
            </w:r>
          </w:p>
          <w:p w14:paraId="7AAC605E">
            <w:pPr>
              <w:spacing w:before="15" w:line="222" w:lineRule="auto"/>
              <w:ind w:left="84"/>
              <w:rPr>
                <w:rFonts w:ascii="仿宋" w:hAnsi="仿宋" w:eastAsia="仿宋" w:cs="仿宋"/>
                <w:sz w:val="18"/>
                <w:szCs w:val="18"/>
              </w:rPr>
            </w:pPr>
            <w:r>
              <w:rPr>
                <w:rFonts w:ascii="仿宋" w:hAnsi="仿宋" w:eastAsia="仿宋" w:cs="仿宋"/>
                <w:spacing w:val="-2"/>
                <w:sz w:val="18"/>
                <w:szCs w:val="18"/>
              </w:rPr>
              <w:t>道路，地势略高于拟建道</w:t>
            </w:r>
          </w:p>
          <w:p w14:paraId="4BF9BB32">
            <w:pPr>
              <w:spacing w:before="16" w:line="223" w:lineRule="auto"/>
              <w:ind w:left="890"/>
              <w:rPr>
                <w:rFonts w:ascii="仿宋" w:hAnsi="仿宋" w:eastAsia="仿宋" w:cs="仿宋"/>
                <w:sz w:val="18"/>
                <w:szCs w:val="18"/>
              </w:rPr>
            </w:pPr>
            <w:r>
              <w:rPr>
                <w:rFonts w:ascii="仿宋" w:hAnsi="仿宋" w:eastAsia="仿宋" w:cs="仿宋"/>
                <w:spacing w:val="-6"/>
                <w:sz w:val="18"/>
                <w:szCs w:val="18"/>
              </w:rPr>
              <w:t>路。</w:t>
            </w:r>
          </w:p>
        </w:tc>
        <w:tc>
          <w:tcPr>
            <w:tcW w:w="2112" w:type="dxa"/>
            <w:vMerge w:val="continue"/>
            <w:tcBorders>
              <w:top w:val="nil"/>
              <w:bottom w:val="single" w:color="000000" w:sz="10" w:space="0"/>
              <w:right w:val="nil"/>
            </w:tcBorders>
            <w:vAlign w:val="top"/>
          </w:tcPr>
          <w:p w14:paraId="38C32807">
            <w:pPr>
              <w:rPr>
                <w:rFonts w:ascii="Arial"/>
                <w:sz w:val="21"/>
              </w:rPr>
            </w:pPr>
          </w:p>
        </w:tc>
      </w:tr>
    </w:tbl>
    <w:p w14:paraId="5915B52E">
      <w:pPr>
        <w:pStyle w:val="2"/>
        <w:rPr>
          <w:sz w:val="21"/>
        </w:rPr>
      </w:pPr>
    </w:p>
    <w:p w14:paraId="46884B60">
      <w:pPr>
        <w:rPr>
          <w:sz w:val="21"/>
          <w:szCs w:val="21"/>
        </w:rPr>
        <w:sectPr>
          <w:footerReference r:id="rId140" w:type="default"/>
          <w:pgSz w:w="16839" w:h="11906"/>
          <w:pgMar w:top="400" w:right="1439" w:bottom="1370" w:left="1439" w:header="0" w:footer="1207" w:gutter="0"/>
          <w:cols w:space="720" w:num="1"/>
        </w:sectPr>
      </w:pPr>
    </w:p>
    <w:p w14:paraId="1113DA5A">
      <w:pPr>
        <w:spacing w:before="39"/>
      </w:pPr>
    </w:p>
    <w:p w14:paraId="4D421641">
      <w:pPr>
        <w:spacing w:before="39"/>
      </w:pPr>
    </w:p>
    <w:p w14:paraId="6E7D464E">
      <w:pPr>
        <w:spacing w:before="38"/>
      </w:pPr>
    </w:p>
    <w:p w14:paraId="6EEAAE96">
      <w:pPr>
        <w:spacing w:before="38"/>
      </w:pPr>
    </w:p>
    <w:p w14:paraId="739F655E">
      <w:pPr>
        <w:spacing w:before="38"/>
      </w:pPr>
    </w:p>
    <w:tbl>
      <w:tblPr>
        <w:tblStyle w:val="5"/>
        <w:tblW w:w="13960" w:type="dxa"/>
        <w:tblInd w:w="0"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328"/>
        <w:gridCol w:w="720"/>
        <w:gridCol w:w="975"/>
        <w:gridCol w:w="1035"/>
        <w:gridCol w:w="630"/>
        <w:gridCol w:w="450"/>
        <w:gridCol w:w="940"/>
        <w:gridCol w:w="1307"/>
        <w:gridCol w:w="888"/>
        <w:gridCol w:w="1684"/>
        <w:gridCol w:w="762"/>
        <w:gridCol w:w="2129"/>
        <w:gridCol w:w="2112"/>
      </w:tblGrid>
      <w:tr w14:paraId="3FF8E160">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808" w:hRule="atLeast"/>
        </w:trPr>
        <w:tc>
          <w:tcPr>
            <w:tcW w:w="328" w:type="dxa"/>
            <w:tcBorders>
              <w:left w:val="nil"/>
              <w:right w:val="single" w:color="000000" w:sz="2" w:space="0"/>
            </w:tcBorders>
            <w:vAlign w:val="top"/>
          </w:tcPr>
          <w:p w14:paraId="03AC4071">
            <w:pPr>
              <w:spacing w:line="250" w:lineRule="auto"/>
              <w:rPr>
                <w:rFonts w:ascii="Arial"/>
                <w:sz w:val="21"/>
              </w:rPr>
            </w:pPr>
          </w:p>
          <w:p w14:paraId="7CE39A7B">
            <w:pPr>
              <w:spacing w:line="250" w:lineRule="auto"/>
              <w:rPr>
                <w:rFonts w:ascii="Arial"/>
                <w:sz w:val="21"/>
              </w:rPr>
            </w:pPr>
          </w:p>
          <w:p w14:paraId="310A7C16">
            <w:pPr>
              <w:spacing w:line="251" w:lineRule="auto"/>
              <w:rPr>
                <w:rFonts w:ascii="Arial"/>
                <w:sz w:val="21"/>
              </w:rPr>
            </w:pPr>
          </w:p>
          <w:p w14:paraId="18545725">
            <w:pPr>
              <w:spacing w:before="59" w:line="236" w:lineRule="exact"/>
              <w:ind w:left="90"/>
              <w:rPr>
                <w:rFonts w:ascii="仿宋" w:hAnsi="仿宋" w:eastAsia="仿宋" w:cs="仿宋"/>
                <w:sz w:val="18"/>
                <w:szCs w:val="18"/>
              </w:rPr>
            </w:pPr>
            <w:r>
              <w:rPr>
                <w:rFonts w:ascii="仿宋" w:hAnsi="仿宋" w:eastAsia="仿宋" w:cs="仿宋"/>
                <w:spacing w:val="-10"/>
                <w:position w:val="1"/>
                <w:sz w:val="18"/>
                <w:szCs w:val="18"/>
              </w:rPr>
              <w:t>14</w:t>
            </w:r>
          </w:p>
        </w:tc>
        <w:tc>
          <w:tcPr>
            <w:tcW w:w="720" w:type="dxa"/>
            <w:tcBorders>
              <w:left w:val="single" w:color="000000" w:sz="2" w:space="0"/>
              <w:right w:val="single" w:color="000000" w:sz="2" w:space="0"/>
            </w:tcBorders>
            <w:vAlign w:val="top"/>
          </w:tcPr>
          <w:p w14:paraId="22F47882">
            <w:pPr>
              <w:spacing w:line="250" w:lineRule="auto"/>
              <w:rPr>
                <w:rFonts w:ascii="Arial"/>
                <w:sz w:val="21"/>
              </w:rPr>
            </w:pPr>
          </w:p>
          <w:p w14:paraId="78F5EAB7">
            <w:pPr>
              <w:spacing w:line="251" w:lineRule="auto"/>
              <w:rPr>
                <w:rFonts w:ascii="Arial"/>
                <w:sz w:val="21"/>
              </w:rPr>
            </w:pPr>
          </w:p>
          <w:p w14:paraId="647CE348">
            <w:pPr>
              <w:spacing w:line="251" w:lineRule="auto"/>
              <w:rPr>
                <w:rFonts w:ascii="Arial"/>
                <w:sz w:val="21"/>
              </w:rPr>
            </w:pPr>
          </w:p>
          <w:p w14:paraId="26DA541E">
            <w:pPr>
              <w:spacing w:before="58" w:line="222" w:lineRule="auto"/>
              <w:ind w:left="99"/>
              <w:rPr>
                <w:rFonts w:ascii="仿宋" w:hAnsi="仿宋" w:eastAsia="仿宋" w:cs="仿宋"/>
                <w:sz w:val="18"/>
                <w:szCs w:val="18"/>
              </w:rPr>
            </w:pPr>
            <w:r>
              <w:rPr>
                <w:rFonts w:ascii="仿宋" w:hAnsi="仿宋" w:eastAsia="仿宋" w:cs="仿宋"/>
                <w:spacing w:val="-4"/>
                <w:sz w:val="18"/>
                <w:szCs w:val="18"/>
              </w:rPr>
              <w:t>神官湾</w:t>
            </w:r>
          </w:p>
        </w:tc>
        <w:tc>
          <w:tcPr>
            <w:tcW w:w="975" w:type="dxa"/>
            <w:tcBorders>
              <w:left w:val="single" w:color="000000" w:sz="2" w:space="0"/>
              <w:right w:val="single" w:color="000000" w:sz="2" w:space="0"/>
            </w:tcBorders>
            <w:vAlign w:val="top"/>
          </w:tcPr>
          <w:p w14:paraId="41A087E5">
            <w:pPr>
              <w:spacing w:line="260" w:lineRule="auto"/>
              <w:rPr>
                <w:rFonts w:ascii="Arial"/>
                <w:sz w:val="21"/>
              </w:rPr>
            </w:pPr>
          </w:p>
          <w:p w14:paraId="43AFE24F">
            <w:pPr>
              <w:spacing w:line="260" w:lineRule="auto"/>
              <w:rPr>
                <w:rFonts w:ascii="Arial"/>
                <w:sz w:val="21"/>
              </w:rPr>
            </w:pPr>
          </w:p>
          <w:p w14:paraId="60455A82">
            <w:pPr>
              <w:spacing w:before="58" w:line="222" w:lineRule="auto"/>
              <w:ind w:left="47"/>
              <w:rPr>
                <w:rFonts w:ascii="仿宋" w:hAnsi="仿宋" w:eastAsia="仿宋" w:cs="仿宋"/>
                <w:sz w:val="18"/>
                <w:szCs w:val="18"/>
              </w:rPr>
            </w:pPr>
            <w:r>
              <w:rPr>
                <w:rFonts w:ascii="仿宋" w:hAnsi="仿宋" w:eastAsia="仿宋" w:cs="仿宋"/>
                <w:spacing w:val="-3"/>
                <w:sz w:val="18"/>
                <w:szCs w:val="18"/>
              </w:rPr>
              <w:t>脑包湾村自</w:t>
            </w:r>
          </w:p>
          <w:p w14:paraId="6098CB40">
            <w:pPr>
              <w:spacing w:before="16" w:line="222" w:lineRule="auto"/>
              <w:ind w:left="52"/>
              <w:rPr>
                <w:rFonts w:ascii="仿宋" w:hAnsi="仿宋" w:eastAsia="仿宋" w:cs="仿宋"/>
                <w:sz w:val="18"/>
                <w:szCs w:val="18"/>
              </w:rPr>
            </w:pPr>
            <w:r>
              <w:rPr>
                <w:rFonts w:ascii="仿宋" w:hAnsi="仿宋" w:eastAsia="仿宋" w:cs="仿宋"/>
                <w:spacing w:val="-4"/>
                <w:sz w:val="18"/>
                <w:szCs w:val="18"/>
              </w:rPr>
              <w:t>然村通硬化</w:t>
            </w:r>
          </w:p>
          <w:p w14:paraId="622A59FB">
            <w:pPr>
              <w:spacing w:before="16" w:line="223" w:lineRule="auto"/>
              <w:ind w:left="405"/>
              <w:rPr>
                <w:rFonts w:ascii="仿宋" w:hAnsi="仿宋" w:eastAsia="仿宋" w:cs="仿宋"/>
                <w:sz w:val="18"/>
                <w:szCs w:val="18"/>
              </w:rPr>
            </w:pPr>
            <w:r>
              <w:rPr>
                <w:rFonts w:ascii="仿宋" w:hAnsi="仿宋" w:eastAsia="仿宋" w:cs="仿宋"/>
                <w:sz w:val="18"/>
                <w:szCs w:val="18"/>
              </w:rPr>
              <w:t>路</w:t>
            </w:r>
          </w:p>
        </w:tc>
        <w:tc>
          <w:tcPr>
            <w:tcW w:w="1035" w:type="dxa"/>
            <w:tcBorders>
              <w:left w:val="single" w:color="000000" w:sz="2" w:space="0"/>
              <w:right w:val="single" w:color="000000" w:sz="2" w:space="0"/>
            </w:tcBorders>
            <w:vAlign w:val="top"/>
          </w:tcPr>
          <w:p w14:paraId="42E491AF">
            <w:pPr>
              <w:spacing w:line="317" w:lineRule="auto"/>
              <w:rPr>
                <w:rFonts w:ascii="Arial"/>
                <w:sz w:val="21"/>
              </w:rPr>
            </w:pPr>
          </w:p>
          <w:p w14:paraId="6016F0A3">
            <w:pPr>
              <w:spacing w:line="317" w:lineRule="auto"/>
              <w:rPr>
                <w:rFonts w:ascii="Arial"/>
                <w:sz w:val="21"/>
              </w:rPr>
            </w:pPr>
          </w:p>
          <w:p w14:paraId="4C165D5E">
            <w:pPr>
              <w:spacing w:before="59" w:line="239" w:lineRule="auto"/>
              <w:ind w:left="158"/>
              <w:rPr>
                <w:rFonts w:ascii="仿宋" w:hAnsi="仿宋" w:eastAsia="仿宋" w:cs="仿宋"/>
                <w:sz w:val="18"/>
                <w:szCs w:val="18"/>
              </w:rPr>
            </w:pPr>
            <w:r>
              <w:rPr>
                <w:rFonts w:ascii="仿宋" w:hAnsi="仿宋" w:eastAsia="仿宋" w:cs="仿宋"/>
                <w:spacing w:val="9"/>
                <w:sz w:val="18"/>
                <w:szCs w:val="18"/>
              </w:rPr>
              <w:t>K1+110~</w:t>
            </w:r>
          </w:p>
          <w:p w14:paraId="65C7D5A9">
            <w:pPr>
              <w:spacing w:line="241" w:lineRule="auto"/>
              <w:ind w:left="247"/>
              <w:rPr>
                <w:rFonts w:ascii="仿宋" w:hAnsi="仿宋" w:eastAsia="仿宋" w:cs="仿宋"/>
                <w:sz w:val="18"/>
                <w:szCs w:val="18"/>
              </w:rPr>
            </w:pPr>
            <w:r>
              <w:rPr>
                <w:rFonts w:ascii="仿宋" w:hAnsi="仿宋" w:eastAsia="仿宋" w:cs="仿宋"/>
                <w:spacing w:val="-1"/>
                <w:sz w:val="18"/>
                <w:szCs w:val="18"/>
              </w:rPr>
              <w:t>K1+236</w:t>
            </w:r>
          </w:p>
        </w:tc>
        <w:tc>
          <w:tcPr>
            <w:tcW w:w="630" w:type="dxa"/>
            <w:tcBorders>
              <w:left w:val="single" w:color="000000" w:sz="2" w:space="0"/>
              <w:right w:val="single" w:color="000000" w:sz="2" w:space="0"/>
            </w:tcBorders>
            <w:vAlign w:val="top"/>
          </w:tcPr>
          <w:p w14:paraId="7EA85B82">
            <w:pPr>
              <w:spacing w:line="250" w:lineRule="auto"/>
              <w:rPr>
                <w:rFonts w:ascii="Arial"/>
                <w:sz w:val="21"/>
              </w:rPr>
            </w:pPr>
          </w:p>
          <w:p w14:paraId="56D56E1A">
            <w:pPr>
              <w:spacing w:line="250" w:lineRule="auto"/>
              <w:rPr>
                <w:rFonts w:ascii="Arial"/>
                <w:sz w:val="21"/>
              </w:rPr>
            </w:pPr>
          </w:p>
          <w:p w14:paraId="49A51ED1">
            <w:pPr>
              <w:spacing w:line="251" w:lineRule="auto"/>
              <w:rPr>
                <w:rFonts w:ascii="Arial"/>
                <w:sz w:val="21"/>
              </w:rPr>
            </w:pPr>
          </w:p>
          <w:p w14:paraId="4BC83B8E">
            <w:pPr>
              <w:spacing w:before="59" w:line="223" w:lineRule="auto"/>
              <w:ind w:left="143"/>
              <w:rPr>
                <w:rFonts w:ascii="仿宋" w:hAnsi="仿宋" w:eastAsia="仿宋" w:cs="仿宋"/>
                <w:sz w:val="18"/>
                <w:szCs w:val="18"/>
              </w:rPr>
            </w:pPr>
            <w:r>
              <w:rPr>
                <w:rFonts w:ascii="仿宋" w:hAnsi="仿宋" w:eastAsia="仿宋" w:cs="仿宋"/>
                <w:spacing w:val="-6"/>
                <w:sz w:val="18"/>
                <w:szCs w:val="18"/>
              </w:rPr>
              <w:t>路基</w:t>
            </w:r>
          </w:p>
        </w:tc>
        <w:tc>
          <w:tcPr>
            <w:tcW w:w="450" w:type="dxa"/>
            <w:tcBorders>
              <w:left w:val="single" w:color="000000" w:sz="2" w:space="0"/>
              <w:right w:val="single" w:color="000000" w:sz="2" w:space="0"/>
            </w:tcBorders>
            <w:vAlign w:val="top"/>
          </w:tcPr>
          <w:p w14:paraId="3D0420DC">
            <w:pPr>
              <w:spacing w:line="250" w:lineRule="auto"/>
              <w:rPr>
                <w:rFonts w:ascii="Arial"/>
                <w:sz w:val="21"/>
              </w:rPr>
            </w:pPr>
          </w:p>
          <w:p w14:paraId="28DB1C58">
            <w:pPr>
              <w:spacing w:line="250" w:lineRule="auto"/>
              <w:rPr>
                <w:rFonts w:ascii="Arial"/>
                <w:sz w:val="21"/>
              </w:rPr>
            </w:pPr>
          </w:p>
          <w:p w14:paraId="4818EA99">
            <w:pPr>
              <w:spacing w:line="251" w:lineRule="auto"/>
              <w:rPr>
                <w:rFonts w:ascii="Arial"/>
                <w:sz w:val="21"/>
              </w:rPr>
            </w:pPr>
          </w:p>
          <w:p w14:paraId="4A37F921">
            <w:pPr>
              <w:spacing w:before="59" w:line="223" w:lineRule="auto"/>
              <w:ind w:left="53"/>
              <w:rPr>
                <w:rFonts w:ascii="仿宋" w:hAnsi="仿宋" w:eastAsia="仿宋" w:cs="仿宋"/>
                <w:sz w:val="18"/>
                <w:szCs w:val="18"/>
              </w:rPr>
            </w:pPr>
            <w:r>
              <w:rPr>
                <w:rFonts w:ascii="仿宋" w:hAnsi="仿宋" w:eastAsia="仿宋" w:cs="仿宋"/>
                <w:spacing w:val="-6"/>
                <w:sz w:val="18"/>
                <w:szCs w:val="18"/>
              </w:rPr>
              <w:t>路左</w:t>
            </w:r>
          </w:p>
        </w:tc>
        <w:tc>
          <w:tcPr>
            <w:tcW w:w="940" w:type="dxa"/>
            <w:tcBorders>
              <w:left w:val="single" w:color="000000" w:sz="2" w:space="0"/>
              <w:right w:val="single" w:color="000000" w:sz="2" w:space="0"/>
            </w:tcBorders>
            <w:vAlign w:val="top"/>
          </w:tcPr>
          <w:p w14:paraId="7248688E">
            <w:pPr>
              <w:spacing w:line="250" w:lineRule="auto"/>
              <w:rPr>
                <w:rFonts w:ascii="Arial"/>
                <w:sz w:val="21"/>
              </w:rPr>
            </w:pPr>
          </w:p>
          <w:p w14:paraId="59B356B1">
            <w:pPr>
              <w:spacing w:line="251" w:lineRule="auto"/>
              <w:rPr>
                <w:rFonts w:ascii="Arial"/>
                <w:sz w:val="21"/>
              </w:rPr>
            </w:pPr>
          </w:p>
          <w:p w14:paraId="0A098BD5">
            <w:pPr>
              <w:spacing w:line="251" w:lineRule="auto"/>
              <w:rPr>
                <w:rFonts w:ascii="Arial"/>
                <w:sz w:val="21"/>
              </w:rPr>
            </w:pPr>
          </w:p>
          <w:p w14:paraId="077B4177">
            <w:pPr>
              <w:spacing w:before="58"/>
              <w:ind w:left="298"/>
              <w:rPr>
                <w:rFonts w:ascii="仿宋" w:hAnsi="仿宋" w:eastAsia="仿宋" w:cs="仿宋"/>
                <w:sz w:val="18"/>
                <w:szCs w:val="18"/>
              </w:rPr>
            </w:pPr>
            <w:r>
              <w:rPr>
                <w:rFonts w:ascii="仿宋" w:hAnsi="仿宋" w:eastAsia="仿宋" w:cs="仿宋"/>
                <w:spacing w:val="-3"/>
                <w:sz w:val="18"/>
                <w:szCs w:val="18"/>
              </w:rPr>
              <w:t>5.18</w:t>
            </w:r>
          </w:p>
        </w:tc>
        <w:tc>
          <w:tcPr>
            <w:tcW w:w="1307" w:type="dxa"/>
            <w:tcBorders>
              <w:left w:val="single" w:color="000000" w:sz="2" w:space="0"/>
              <w:right w:val="single" w:color="000000" w:sz="2" w:space="0"/>
            </w:tcBorders>
            <w:vAlign w:val="top"/>
          </w:tcPr>
          <w:p w14:paraId="32583DFA">
            <w:pPr>
              <w:spacing w:line="250" w:lineRule="auto"/>
              <w:rPr>
                <w:rFonts w:ascii="Arial"/>
                <w:sz w:val="21"/>
              </w:rPr>
            </w:pPr>
          </w:p>
          <w:p w14:paraId="74FC7B0E">
            <w:pPr>
              <w:spacing w:line="251" w:lineRule="auto"/>
              <w:rPr>
                <w:rFonts w:ascii="Arial"/>
                <w:sz w:val="21"/>
              </w:rPr>
            </w:pPr>
          </w:p>
          <w:p w14:paraId="12396BFC">
            <w:pPr>
              <w:spacing w:line="251" w:lineRule="auto"/>
              <w:rPr>
                <w:rFonts w:ascii="Arial"/>
                <w:sz w:val="21"/>
              </w:rPr>
            </w:pPr>
          </w:p>
          <w:p w14:paraId="4613B69E">
            <w:pPr>
              <w:spacing w:before="58"/>
              <w:ind w:left="445"/>
              <w:rPr>
                <w:rFonts w:ascii="仿宋" w:hAnsi="仿宋" w:eastAsia="仿宋" w:cs="仿宋"/>
                <w:sz w:val="18"/>
                <w:szCs w:val="18"/>
              </w:rPr>
            </w:pPr>
            <w:r>
              <w:rPr>
                <w:rFonts w:ascii="仿宋" w:hAnsi="仿宋" w:eastAsia="仿宋" w:cs="仿宋"/>
                <w:spacing w:val="-4"/>
                <w:sz w:val="18"/>
                <w:szCs w:val="18"/>
              </w:rPr>
              <w:t>12.75</w:t>
            </w:r>
          </w:p>
        </w:tc>
        <w:tc>
          <w:tcPr>
            <w:tcW w:w="888" w:type="dxa"/>
            <w:tcBorders>
              <w:left w:val="single" w:color="000000" w:sz="2" w:space="0"/>
              <w:right w:val="single" w:color="000000" w:sz="2" w:space="0"/>
            </w:tcBorders>
            <w:vAlign w:val="top"/>
          </w:tcPr>
          <w:p w14:paraId="2E45DC72">
            <w:pPr>
              <w:spacing w:line="250" w:lineRule="auto"/>
              <w:rPr>
                <w:rFonts w:ascii="Arial"/>
                <w:sz w:val="21"/>
              </w:rPr>
            </w:pPr>
          </w:p>
          <w:p w14:paraId="7C3E4B6E">
            <w:pPr>
              <w:spacing w:line="250" w:lineRule="auto"/>
              <w:rPr>
                <w:rFonts w:ascii="Arial"/>
                <w:sz w:val="21"/>
              </w:rPr>
            </w:pPr>
          </w:p>
          <w:p w14:paraId="2B1FBE35">
            <w:pPr>
              <w:spacing w:line="251" w:lineRule="auto"/>
              <w:rPr>
                <w:rFonts w:ascii="Arial"/>
                <w:sz w:val="21"/>
              </w:rPr>
            </w:pPr>
          </w:p>
          <w:p w14:paraId="0877C91F">
            <w:pPr>
              <w:spacing w:before="59" w:line="241" w:lineRule="auto"/>
              <w:ind w:left="369"/>
              <w:rPr>
                <w:rFonts w:ascii="仿宋" w:hAnsi="仿宋" w:eastAsia="仿宋" w:cs="仿宋"/>
                <w:sz w:val="18"/>
                <w:szCs w:val="18"/>
              </w:rPr>
            </w:pPr>
            <w:r>
              <w:rPr>
                <w:rFonts w:ascii="仿宋" w:hAnsi="仿宋" w:eastAsia="仿宋" w:cs="仿宋"/>
                <w:spacing w:val="-10"/>
                <w:sz w:val="18"/>
                <w:szCs w:val="18"/>
              </w:rPr>
              <w:t>15</w:t>
            </w:r>
          </w:p>
        </w:tc>
        <w:tc>
          <w:tcPr>
            <w:tcW w:w="1684" w:type="dxa"/>
            <w:tcBorders>
              <w:left w:val="single" w:color="000000" w:sz="2" w:space="0"/>
              <w:right w:val="single" w:color="000000" w:sz="2" w:space="0"/>
            </w:tcBorders>
            <w:vAlign w:val="top"/>
          </w:tcPr>
          <w:p w14:paraId="6DCEC9EF">
            <w:pPr>
              <w:spacing w:line="250" w:lineRule="auto"/>
              <w:rPr>
                <w:rFonts w:ascii="Arial"/>
                <w:sz w:val="21"/>
              </w:rPr>
            </w:pPr>
          </w:p>
          <w:p w14:paraId="03347D39">
            <w:pPr>
              <w:spacing w:line="251" w:lineRule="auto"/>
              <w:rPr>
                <w:rFonts w:ascii="Arial"/>
                <w:sz w:val="21"/>
              </w:rPr>
            </w:pPr>
          </w:p>
          <w:p w14:paraId="0F44C09B">
            <w:pPr>
              <w:spacing w:line="251" w:lineRule="auto"/>
              <w:rPr>
                <w:rFonts w:ascii="Arial"/>
                <w:sz w:val="21"/>
              </w:rPr>
            </w:pPr>
          </w:p>
          <w:p w14:paraId="71C9E7E4">
            <w:pPr>
              <w:spacing w:before="58" w:line="224" w:lineRule="auto"/>
              <w:ind w:left="725"/>
              <w:rPr>
                <w:rFonts w:ascii="仿宋" w:hAnsi="仿宋" w:eastAsia="仿宋" w:cs="仿宋"/>
                <w:sz w:val="18"/>
                <w:szCs w:val="18"/>
              </w:rPr>
            </w:pPr>
            <w:r>
              <w:rPr>
                <w:rFonts w:ascii="仿宋" w:hAnsi="仿宋" w:eastAsia="仿宋" w:cs="仿宋"/>
                <w:spacing w:val="-10"/>
                <w:sz w:val="18"/>
                <w:szCs w:val="18"/>
              </w:rPr>
              <w:t>1类</w:t>
            </w:r>
          </w:p>
        </w:tc>
        <w:tc>
          <w:tcPr>
            <w:tcW w:w="762" w:type="dxa"/>
            <w:tcBorders>
              <w:left w:val="single" w:color="000000" w:sz="2" w:space="0"/>
              <w:right w:val="single" w:color="000000" w:sz="2" w:space="0"/>
            </w:tcBorders>
            <w:vAlign w:val="top"/>
          </w:tcPr>
          <w:p w14:paraId="66F7AD96">
            <w:pPr>
              <w:spacing w:line="250" w:lineRule="auto"/>
              <w:rPr>
                <w:rFonts w:ascii="Arial"/>
                <w:sz w:val="21"/>
              </w:rPr>
            </w:pPr>
          </w:p>
          <w:p w14:paraId="6253C4F9">
            <w:pPr>
              <w:spacing w:line="250" w:lineRule="auto"/>
              <w:rPr>
                <w:rFonts w:ascii="Arial"/>
                <w:sz w:val="21"/>
              </w:rPr>
            </w:pPr>
          </w:p>
          <w:p w14:paraId="2D227F93">
            <w:pPr>
              <w:spacing w:line="251" w:lineRule="auto"/>
              <w:rPr>
                <w:rFonts w:ascii="Arial"/>
                <w:sz w:val="21"/>
              </w:rPr>
            </w:pPr>
          </w:p>
          <w:p w14:paraId="5D4CBABF">
            <w:pPr>
              <w:spacing w:before="59" w:line="223" w:lineRule="auto"/>
              <w:ind w:left="24"/>
              <w:rPr>
                <w:rFonts w:ascii="仿宋" w:hAnsi="仿宋" w:eastAsia="仿宋" w:cs="仿宋"/>
                <w:sz w:val="18"/>
                <w:szCs w:val="18"/>
              </w:rPr>
            </w:pPr>
            <w:r>
              <w:rPr>
                <w:rFonts w:ascii="仿宋" w:hAnsi="仿宋" w:eastAsia="仿宋" w:cs="仿宋"/>
                <w:spacing w:val="-1"/>
                <w:sz w:val="18"/>
                <w:szCs w:val="18"/>
              </w:rPr>
              <w:t>9户/25人</w:t>
            </w:r>
          </w:p>
        </w:tc>
        <w:tc>
          <w:tcPr>
            <w:tcW w:w="2129" w:type="dxa"/>
            <w:tcBorders>
              <w:left w:val="single" w:color="000000" w:sz="2" w:space="0"/>
              <w:right w:val="single" w:color="000000" w:sz="2" w:space="0"/>
            </w:tcBorders>
            <w:vAlign w:val="top"/>
          </w:tcPr>
          <w:p w14:paraId="03B7D3DE">
            <w:pPr>
              <w:spacing w:line="260" w:lineRule="auto"/>
              <w:rPr>
                <w:rFonts w:ascii="Arial"/>
                <w:sz w:val="21"/>
              </w:rPr>
            </w:pPr>
          </w:p>
          <w:p w14:paraId="03057383">
            <w:pPr>
              <w:spacing w:line="260" w:lineRule="auto"/>
              <w:rPr>
                <w:rFonts w:ascii="Arial"/>
                <w:sz w:val="21"/>
              </w:rPr>
            </w:pPr>
          </w:p>
          <w:p w14:paraId="3F748404">
            <w:pPr>
              <w:spacing w:before="59" w:line="222" w:lineRule="auto"/>
              <w:ind w:left="37"/>
              <w:rPr>
                <w:rFonts w:ascii="仿宋" w:hAnsi="仿宋" w:eastAsia="仿宋" w:cs="仿宋"/>
                <w:sz w:val="18"/>
                <w:szCs w:val="18"/>
              </w:rPr>
            </w:pPr>
            <w:r>
              <w:rPr>
                <w:rFonts w:ascii="仿宋" w:hAnsi="仿宋" w:eastAsia="仿宋" w:cs="仿宋"/>
                <w:spacing w:val="-1"/>
                <w:sz w:val="18"/>
                <w:szCs w:val="18"/>
              </w:rPr>
              <w:t>砖混，1层平房，背向拟建</w:t>
            </w:r>
          </w:p>
          <w:p w14:paraId="533111A0">
            <w:pPr>
              <w:spacing w:before="16" w:line="223" w:lineRule="auto"/>
              <w:ind w:left="14"/>
              <w:rPr>
                <w:rFonts w:ascii="仿宋" w:hAnsi="仿宋" w:eastAsia="仿宋" w:cs="仿宋"/>
                <w:sz w:val="18"/>
                <w:szCs w:val="18"/>
              </w:rPr>
            </w:pPr>
            <w:r>
              <w:rPr>
                <w:rFonts w:ascii="仿宋" w:hAnsi="仿宋" w:eastAsia="仿宋" w:cs="仿宋"/>
                <w:spacing w:val="-5"/>
                <w:sz w:val="18"/>
                <w:szCs w:val="18"/>
              </w:rPr>
              <w:t>道路，道路左侧地面地势高</w:t>
            </w:r>
          </w:p>
          <w:p w14:paraId="3DA0E4EB">
            <w:pPr>
              <w:spacing w:before="15" w:line="223" w:lineRule="auto"/>
              <w:ind w:left="535"/>
              <w:rPr>
                <w:rFonts w:ascii="仿宋" w:hAnsi="仿宋" w:eastAsia="仿宋" w:cs="仿宋"/>
                <w:sz w:val="18"/>
                <w:szCs w:val="18"/>
              </w:rPr>
            </w:pPr>
            <w:r>
              <w:rPr>
                <w:rFonts w:ascii="仿宋" w:hAnsi="仿宋" w:eastAsia="仿宋" w:cs="仿宋"/>
                <w:spacing w:val="-3"/>
                <w:sz w:val="18"/>
                <w:szCs w:val="18"/>
              </w:rPr>
              <w:t>于拟建道路。</w:t>
            </w:r>
          </w:p>
        </w:tc>
        <w:tc>
          <w:tcPr>
            <w:tcW w:w="2112" w:type="dxa"/>
            <w:tcBorders>
              <w:left w:val="single" w:color="000000" w:sz="2" w:space="0"/>
              <w:right w:val="nil"/>
            </w:tcBorders>
            <w:vAlign w:val="top"/>
          </w:tcPr>
          <w:p w14:paraId="01D22FB5">
            <w:pPr>
              <w:spacing w:before="6" w:line="1791" w:lineRule="exact"/>
              <w:ind w:firstLine="35"/>
            </w:pPr>
            <w:r>
              <w:rPr>
                <w:position w:val="-35"/>
              </w:rPr>
              <w:drawing>
                <wp:inline distT="0" distB="0" distL="0" distR="0">
                  <wp:extent cx="1278255" cy="1137285"/>
                  <wp:effectExtent l="0" t="0" r="0" b="0"/>
                  <wp:docPr id="192" name="IM 192"/>
                  <wp:cNvGraphicFramePr/>
                  <a:graphic xmlns:a="http://schemas.openxmlformats.org/drawingml/2006/main">
                    <a:graphicData uri="http://schemas.openxmlformats.org/drawingml/2006/picture">
                      <pic:pic xmlns:pic="http://schemas.openxmlformats.org/drawingml/2006/picture">
                        <pic:nvPicPr>
                          <pic:cNvPr id="192" name="IM 192"/>
                          <pic:cNvPicPr/>
                        </pic:nvPicPr>
                        <pic:blipFill>
                          <a:blip r:embed="rId364"/>
                          <a:stretch>
                            <a:fillRect/>
                          </a:stretch>
                        </pic:blipFill>
                        <pic:spPr>
                          <a:xfrm>
                            <a:off x="0" y="0"/>
                            <a:ext cx="1278635" cy="1137792"/>
                          </a:xfrm>
                          <a:prstGeom prst="rect">
                            <a:avLst/>
                          </a:prstGeom>
                        </pic:spPr>
                      </pic:pic>
                    </a:graphicData>
                  </a:graphic>
                </wp:inline>
              </w:drawing>
            </w:r>
          </w:p>
        </w:tc>
      </w:tr>
    </w:tbl>
    <w:p w14:paraId="6EBEEA0E">
      <w:pPr>
        <w:pStyle w:val="2"/>
        <w:rPr>
          <w:sz w:val="21"/>
        </w:rPr>
      </w:pPr>
    </w:p>
    <w:p w14:paraId="708AD228">
      <w:pPr>
        <w:rPr>
          <w:sz w:val="21"/>
          <w:szCs w:val="21"/>
        </w:rPr>
        <w:sectPr>
          <w:footerReference r:id="rId141" w:type="default"/>
          <w:pgSz w:w="16839" w:h="11906"/>
          <w:pgMar w:top="400" w:right="1439" w:bottom="1370" w:left="1439" w:header="0" w:footer="1207" w:gutter="0"/>
          <w:cols w:space="720" w:num="1"/>
        </w:sectPr>
      </w:pPr>
    </w:p>
    <w:p w14:paraId="57253B6D">
      <w:pPr>
        <w:spacing w:before="19"/>
      </w:pPr>
      <w:r>
        <w:drawing>
          <wp:anchor distT="0" distB="0" distL="0" distR="0" simplePos="0" relativeHeight="251676672" behindDoc="0" locked="0" layoutInCell="0" allowOverlap="1">
            <wp:simplePos x="0" y="0"/>
            <wp:positionH relativeFrom="page">
              <wp:posOffset>1162685</wp:posOffset>
            </wp:positionH>
            <wp:positionV relativeFrom="page">
              <wp:posOffset>934085</wp:posOffset>
            </wp:positionV>
            <wp:extent cx="5273040" cy="6033770"/>
            <wp:effectExtent l="0" t="0" r="0" b="0"/>
            <wp:wrapNone/>
            <wp:docPr id="194" name="IM 194"/>
            <wp:cNvGraphicFramePr/>
            <a:graphic xmlns:a="http://schemas.openxmlformats.org/drawingml/2006/main">
              <a:graphicData uri="http://schemas.openxmlformats.org/drawingml/2006/picture">
                <pic:pic xmlns:pic="http://schemas.openxmlformats.org/drawingml/2006/picture">
                  <pic:nvPicPr>
                    <pic:cNvPr id="194" name="IM 194"/>
                    <pic:cNvPicPr/>
                  </pic:nvPicPr>
                  <pic:blipFill>
                    <a:blip r:embed="rId315"/>
                    <a:stretch>
                      <a:fillRect/>
                    </a:stretch>
                  </pic:blipFill>
                  <pic:spPr>
                    <a:xfrm>
                      <a:off x="0" y="0"/>
                      <a:ext cx="5273040" cy="6033515"/>
                    </a:xfrm>
                    <a:prstGeom prst="rect">
                      <a:avLst/>
                    </a:prstGeom>
                  </pic:spPr>
                </pic:pic>
              </a:graphicData>
            </a:graphic>
          </wp:anchor>
        </w:drawing>
      </w:r>
    </w:p>
    <w:p w14:paraId="3E1D0A69">
      <w:pPr>
        <w:spacing w:before="19"/>
      </w:pPr>
    </w:p>
    <w:p w14:paraId="51711800">
      <w:pPr>
        <w:spacing w:before="19"/>
      </w:pPr>
    </w:p>
    <w:p w14:paraId="35C27D10">
      <w:pPr>
        <w:spacing w:before="18"/>
      </w:pPr>
    </w:p>
    <w:tbl>
      <w:tblPr>
        <w:tblStyle w:val="5"/>
        <w:tblW w:w="8354" w:type="dxa"/>
        <w:tblInd w:w="20"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8354"/>
      </w:tblGrid>
      <w:tr w14:paraId="56CBC76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9541" w:hRule="atLeast"/>
        </w:trPr>
        <w:tc>
          <w:tcPr>
            <w:tcW w:w="8354" w:type="dxa"/>
            <w:vAlign w:val="top"/>
          </w:tcPr>
          <w:p w14:paraId="67EF027D">
            <w:pPr>
              <w:rPr>
                <w:rFonts w:ascii="Arial"/>
                <w:sz w:val="21"/>
              </w:rPr>
            </w:pPr>
          </w:p>
        </w:tc>
      </w:tr>
    </w:tbl>
    <w:p w14:paraId="1D1ADB8B">
      <w:pPr>
        <w:spacing w:before="38" w:line="229" w:lineRule="auto"/>
        <w:ind w:left="134"/>
        <w:rPr>
          <w:rFonts w:ascii="仿宋" w:hAnsi="仿宋" w:eastAsia="仿宋" w:cs="仿宋"/>
          <w:sz w:val="20"/>
          <w:szCs w:val="20"/>
        </w:rPr>
      </w:pPr>
      <w:r>
        <w:rPr>
          <w:rFonts w:ascii="仿宋" w:hAnsi="仿宋" w:eastAsia="仿宋" w:cs="仿宋"/>
          <w:b/>
          <w:bCs/>
          <w:spacing w:val="6"/>
          <w:sz w:val="20"/>
          <w:szCs w:val="20"/>
        </w:rPr>
        <w:t>图</w:t>
      </w:r>
      <w:r>
        <w:rPr>
          <w:rFonts w:ascii="仿宋" w:hAnsi="仿宋" w:eastAsia="仿宋" w:cs="仿宋"/>
          <w:spacing w:val="-15"/>
          <w:sz w:val="20"/>
          <w:szCs w:val="20"/>
        </w:rPr>
        <w:t xml:space="preserve"> </w:t>
      </w:r>
      <w:r>
        <w:rPr>
          <w:rFonts w:ascii="Times New Roman" w:hAnsi="Times New Roman" w:eastAsia="Times New Roman" w:cs="Times New Roman"/>
          <w:b/>
          <w:bCs/>
          <w:spacing w:val="6"/>
          <w:sz w:val="20"/>
          <w:szCs w:val="20"/>
        </w:rPr>
        <w:t>1.6-1</w:t>
      </w:r>
      <w:r>
        <w:rPr>
          <w:rFonts w:ascii="Times New Roman" w:hAnsi="Times New Roman" w:eastAsia="Times New Roman" w:cs="Times New Roman"/>
          <w:b/>
          <w:bCs/>
          <w:spacing w:val="20"/>
          <w:sz w:val="20"/>
          <w:szCs w:val="20"/>
        </w:rPr>
        <w:t xml:space="preserve"> </w:t>
      </w:r>
      <w:r>
        <w:rPr>
          <w:rFonts w:ascii="仿宋" w:hAnsi="仿宋" w:eastAsia="仿宋" w:cs="仿宋"/>
          <w:b/>
          <w:bCs/>
          <w:spacing w:val="6"/>
          <w:sz w:val="20"/>
          <w:szCs w:val="20"/>
        </w:rPr>
        <w:t>李家圪堵至土敖包通村公路及双山梁村通社公路工程沿线声环境保护目标分布图</w:t>
      </w:r>
    </w:p>
    <w:p w14:paraId="3C62082C">
      <w:pPr>
        <w:spacing w:line="229" w:lineRule="auto"/>
        <w:rPr>
          <w:rFonts w:ascii="仿宋" w:hAnsi="仿宋" w:eastAsia="仿宋" w:cs="仿宋"/>
          <w:sz w:val="20"/>
          <w:szCs w:val="20"/>
        </w:rPr>
        <w:sectPr>
          <w:footerReference r:id="rId142" w:type="default"/>
          <w:pgSz w:w="11906" w:h="16839"/>
          <w:pgMar w:top="400" w:right="1740" w:bottom="1511" w:left="1785" w:header="0" w:footer="1349" w:gutter="0"/>
          <w:cols w:space="720" w:num="1"/>
        </w:sectPr>
      </w:pPr>
    </w:p>
    <w:p w14:paraId="421D0928">
      <w:pPr>
        <w:spacing w:before="19"/>
      </w:pPr>
      <w:r>
        <w:drawing>
          <wp:anchor distT="0" distB="0" distL="0" distR="0" simplePos="0" relativeHeight="251677696" behindDoc="0" locked="0" layoutInCell="0" allowOverlap="1">
            <wp:simplePos x="0" y="0"/>
            <wp:positionH relativeFrom="page">
              <wp:posOffset>1162685</wp:posOffset>
            </wp:positionH>
            <wp:positionV relativeFrom="page">
              <wp:posOffset>934085</wp:posOffset>
            </wp:positionV>
            <wp:extent cx="5269865" cy="6442075"/>
            <wp:effectExtent l="0" t="0" r="0" b="0"/>
            <wp:wrapNone/>
            <wp:docPr id="196" name="IM 196"/>
            <wp:cNvGraphicFramePr/>
            <a:graphic xmlns:a="http://schemas.openxmlformats.org/drawingml/2006/main">
              <a:graphicData uri="http://schemas.openxmlformats.org/drawingml/2006/picture">
                <pic:pic xmlns:pic="http://schemas.openxmlformats.org/drawingml/2006/picture">
                  <pic:nvPicPr>
                    <pic:cNvPr id="196" name="IM 196"/>
                    <pic:cNvPicPr/>
                  </pic:nvPicPr>
                  <pic:blipFill>
                    <a:blip r:embed="rId316"/>
                    <a:stretch>
                      <a:fillRect/>
                    </a:stretch>
                  </pic:blipFill>
                  <pic:spPr>
                    <a:xfrm>
                      <a:off x="0" y="0"/>
                      <a:ext cx="5269991" cy="6441948"/>
                    </a:xfrm>
                    <a:prstGeom prst="rect">
                      <a:avLst/>
                    </a:prstGeom>
                  </pic:spPr>
                </pic:pic>
              </a:graphicData>
            </a:graphic>
          </wp:anchor>
        </w:drawing>
      </w:r>
    </w:p>
    <w:p w14:paraId="4D221892">
      <w:pPr>
        <w:spacing w:before="19"/>
      </w:pPr>
    </w:p>
    <w:p w14:paraId="39F085CE">
      <w:pPr>
        <w:spacing w:before="19"/>
      </w:pPr>
    </w:p>
    <w:p w14:paraId="5F9A6BF5">
      <w:pPr>
        <w:spacing w:before="18"/>
      </w:pPr>
    </w:p>
    <w:tbl>
      <w:tblPr>
        <w:tblStyle w:val="5"/>
        <w:tblW w:w="8349" w:type="dxa"/>
        <w:tblInd w:w="20"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8349"/>
      </w:tblGrid>
      <w:tr w14:paraId="4C75A8B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0184" w:hRule="atLeast"/>
        </w:trPr>
        <w:tc>
          <w:tcPr>
            <w:tcW w:w="8349" w:type="dxa"/>
            <w:vAlign w:val="top"/>
          </w:tcPr>
          <w:p w14:paraId="142A61F2">
            <w:pPr>
              <w:rPr>
                <w:rFonts w:ascii="Arial"/>
                <w:sz w:val="21"/>
              </w:rPr>
            </w:pPr>
          </w:p>
        </w:tc>
      </w:tr>
    </w:tbl>
    <w:p w14:paraId="6CD69171">
      <w:pPr>
        <w:spacing w:before="295" w:line="229" w:lineRule="auto"/>
        <w:ind w:left="840"/>
        <w:rPr>
          <w:rFonts w:ascii="仿宋" w:hAnsi="仿宋" w:eastAsia="仿宋" w:cs="仿宋"/>
          <w:sz w:val="20"/>
          <w:szCs w:val="20"/>
        </w:rPr>
      </w:pPr>
      <w:r>
        <w:rPr>
          <w:rFonts w:ascii="仿宋" w:hAnsi="仿宋" w:eastAsia="仿宋" w:cs="仿宋"/>
          <w:b/>
          <w:bCs/>
          <w:spacing w:val="5"/>
          <w:sz w:val="20"/>
          <w:szCs w:val="20"/>
        </w:rPr>
        <w:t>图</w:t>
      </w:r>
      <w:r>
        <w:rPr>
          <w:rFonts w:ascii="仿宋" w:hAnsi="仿宋" w:eastAsia="仿宋" w:cs="仿宋"/>
          <w:spacing w:val="-28"/>
          <w:sz w:val="20"/>
          <w:szCs w:val="20"/>
        </w:rPr>
        <w:t xml:space="preserve"> </w:t>
      </w:r>
      <w:r>
        <w:rPr>
          <w:rFonts w:ascii="Times New Roman" w:hAnsi="Times New Roman" w:eastAsia="Times New Roman" w:cs="Times New Roman"/>
          <w:b/>
          <w:bCs/>
          <w:spacing w:val="5"/>
          <w:sz w:val="20"/>
          <w:szCs w:val="20"/>
        </w:rPr>
        <w:t xml:space="preserve">1.6-2   </w:t>
      </w:r>
      <w:r>
        <w:rPr>
          <w:rFonts w:ascii="仿宋" w:hAnsi="仿宋" w:eastAsia="仿宋" w:cs="仿宋"/>
          <w:b/>
          <w:bCs/>
          <w:spacing w:val="5"/>
          <w:sz w:val="20"/>
          <w:szCs w:val="20"/>
        </w:rPr>
        <w:t>四道敖包至淡家梁至杨家塔通村公路沿线声环境保护目标分布图</w:t>
      </w:r>
    </w:p>
    <w:p w14:paraId="02D9BA7C">
      <w:pPr>
        <w:spacing w:line="229" w:lineRule="auto"/>
        <w:rPr>
          <w:rFonts w:ascii="仿宋" w:hAnsi="仿宋" w:eastAsia="仿宋" w:cs="仿宋"/>
          <w:sz w:val="20"/>
          <w:szCs w:val="20"/>
        </w:rPr>
        <w:sectPr>
          <w:footerReference r:id="rId143" w:type="default"/>
          <w:pgSz w:w="11906" w:h="16839"/>
          <w:pgMar w:top="400" w:right="1745" w:bottom="1511" w:left="1785" w:header="0" w:footer="1349" w:gutter="0"/>
          <w:cols w:space="720" w:num="1"/>
        </w:sectPr>
      </w:pPr>
    </w:p>
    <w:p w14:paraId="4B0200F0">
      <w:pPr>
        <w:spacing w:before="39"/>
      </w:pPr>
      <w:r>
        <w:drawing>
          <wp:anchor distT="0" distB="0" distL="0" distR="0" simplePos="0" relativeHeight="251678720" behindDoc="0" locked="0" layoutInCell="0" allowOverlap="1">
            <wp:simplePos x="0" y="0"/>
            <wp:positionH relativeFrom="page">
              <wp:posOffset>1592580</wp:posOffset>
            </wp:positionH>
            <wp:positionV relativeFrom="page">
              <wp:posOffset>1162685</wp:posOffset>
            </wp:positionV>
            <wp:extent cx="7494905" cy="5009515"/>
            <wp:effectExtent l="0" t="0" r="0" b="0"/>
            <wp:wrapNone/>
            <wp:docPr id="198" name="IM 198"/>
            <wp:cNvGraphicFramePr/>
            <a:graphic xmlns:a="http://schemas.openxmlformats.org/drawingml/2006/main">
              <a:graphicData uri="http://schemas.openxmlformats.org/drawingml/2006/picture">
                <pic:pic xmlns:pic="http://schemas.openxmlformats.org/drawingml/2006/picture">
                  <pic:nvPicPr>
                    <pic:cNvPr id="198" name="IM 198"/>
                    <pic:cNvPicPr/>
                  </pic:nvPicPr>
                  <pic:blipFill>
                    <a:blip r:embed="rId365"/>
                    <a:stretch>
                      <a:fillRect/>
                    </a:stretch>
                  </pic:blipFill>
                  <pic:spPr>
                    <a:xfrm>
                      <a:off x="0" y="0"/>
                      <a:ext cx="7495031" cy="5009388"/>
                    </a:xfrm>
                    <a:prstGeom prst="rect">
                      <a:avLst/>
                    </a:prstGeom>
                  </pic:spPr>
                </pic:pic>
              </a:graphicData>
            </a:graphic>
          </wp:anchor>
        </w:drawing>
      </w:r>
    </w:p>
    <w:p w14:paraId="4AE10F98">
      <w:pPr>
        <w:spacing w:before="39"/>
      </w:pPr>
    </w:p>
    <w:p w14:paraId="6180756D">
      <w:pPr>
        <w:spacing w:before="39"/>
      </w:pPr>
    </w:p>
    <w:p w14:paraId="49B8CC7D">
      <w:pPr>
        <w:spacing w:before="38"/>
      </w:pPr>
    </w:p>
    <w:p w14:paraId="3B673D73">
      <w:pPr>
        <w:spacing w:before="38"/>
      </w:pPr>
    </w:p>
    <w:tbl>
      <w:tblPr>
        <w:tblStyle w:val="5"/>
        <w:tblW w:w="11853" w:type="dxa"/>
        <w:tblInd w:w="5"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11853"/>
      </w:tblGrid>
      <w:tr w14:paraId="424A612C">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7928" w:hRule="atLeast"/>
        </w:trPr>
        <w:tc>
          <w:tcPr>
            <w:tcW w:w="11853" w:type="dxa"/>
            <w:vAlign w:val="top"/>
          </w:tcPr>
          <w:p w14:paraId="3069BEB1">
            <w:pPr>
              <w:rPr>
                <w:rFonts w:ascii="Arial"/>
                <w:sz w:val="21"/>
              </w:rPr>
            </w:pPr>
          </w:p>
        </w:tc>
      </w:tr>
    </w:tbl>
    <w:p w14:paraId="1FF59CDB">
      <w:pPr>
        <w:spacing w:before="31" w:line="229" w:lineRule="auto"/>
        <w:ind w:left="2517"/>
        <w:rPr>
          <w:rFonts w:ascii="仿宋" w:hAnsi="仿宋" w:eastAsia="仿宋" w:cs="仿宋"/>
          <w:sz w:val="20"/>
          <w:szCs w:val="20"/>
        </w:rPr>
      </w:pPr>
      <w:r>
        <w:rPr>
          <w:rFonts w:ascii="仿宋" w:hAnsi="仿宋" w:eastAsia="仿宋" w:cs="仿宋"/>
          <w:b/>
          <w:bCs/>
          <w:spacing w:val="6"/>
          <w:sz w:val="20"/>
          <w:szCs w:val="20"/>
        </w:rPr>
        <w:t>图</w:t>
      </w:r>
      <w:r>
        <w:rPr>
          <w:rFonts w:ascii="仿宋" w:hAnsi="仿宋" w:eastAsia="仿宋" w:cs="仿宋"/>
          <w:spacing w:val="-34"/>
          <w:sz w:val="20"/>
          <w:szCs w:val="20"/>
        </w:rPr>
        <w:t xml:space="preserve"> </w:t>
      </w:r>
      <w:r>
        <w:rPr>
          <w:rFonts w:ascii="Times New Roman" w:hAnsi="Times New Roman" w:eastAsia="Times New Roman" w:cs="Times New Roman"/>
          <w:b/>
          <w:bCs/>
          <w:spacing w:val="6"/>
          <w:sz w:val="20"/>
          <w:szCs w:val="20"/>
        </w:rPr>
        <w:t xml:space="preserve">1.6-3          </w:t>
      </w:r>
      <w:r>
        <w:rPr>
          <w:rFonts w:ascii="仿宋" w:hAnsi="仿宋" w:eastAsia="仿宋" w:cs="仿宋"/>
          <w:b/>
          <w:bCs/>
          <w:spacing w:val="6"/>
          <w:sz w:val="20"/>
          <w:szCs w:val="20"/>
        </w:rPr>
        <w:t>乌拉素村二道</w:t>
      </w:r>
      <w:r>
        <w:rPr>
          <w:rFonts w:ascii="仿宋" w:hAnsi="仿宋" w:eastAsia="仿宋" w:cs="仿宋"/>
          <w:b/>
          <w:bCs/>
          <w:spacing w:val="5"/>
          <w:sz w:val="20"/>
          <w:szCs w:val="20"/>
        </w:rPr>
        <w:t>壕大坝东至秦家塔社沿线声环境保护目标分布图</w:t>
      </w:r>
    </w:p>
    <w:p w14:paraId="35BDB195">
      <w:pPr>
        <w:spacing w:line="229" w:lineRule="auto"/>
        <w:rPr>
          <w:rFonts w:ascii="仿宋" w:hAnsi="仿宋" w:eastAsia="仿宋" w:cs="仿宋"/>
          <w:sz w:val="20"/>
          <w:szCs w:val="20"/>
        </w:rPr>
        <w:sectPr>
          <w:footerReference r:id="rId144" w:type="default"/>
          <w:pgSz w:w="16839" w:h="11906"/>
          <w:pgMar w:top="400" w:right="2496" w:bottom="1511" w:left="2478" w:header="0" w:footer="1349" w:gutter="0"/>
          <w:cols w:space="720" w:num="1"/>
        </w:sectPr>
      </w:pPr>
    </w:p>
    <w:p w14:paraId="2F2529E4">
      <w:pPr>
        <w:pStyle w:val="2"/>
        <w:spacing w:line="278" w:lineRule="auto"/>
        <w:rPr>
          <w:sz w:val="21"/>
        </w:rPr>
      </w:pPr>
    </w:p>
    <w:p w14:paraId="1941C121">
      <w:pPr>
        <w:pStyle w:val="2"/>
        <w:spacing w:line="278" w:lineRule="auto"/>
        <w:rPr>
          <w:sz w:val="21"/>
        </w:rPr>
      </w:pPr>
    </w:p>
    <w:p w14:paraId="3388C54E">
      <w:pPr>
        <w:pStyle w:val="2"/>
        <w:spacing w:line="278" w:lineRule="auto"/>
        <w:rPr>
          <w:sz w:val="21"/>
        </w:rPr>
      </w:pPr>
    </w:p>
    <w:p w14:paraId="6D8D52F3">
      <w:pPr>
        <w:pStyle w:val="2"/>
        <w:spacing w:line="279" w:lineRule="auto"/>
        <w:rPr>
          <w:sz w:val="21"/>
        </w:rPr>
      </w:pPr>
    </w:p>
    <w:p w14:paraId="2196E065">
      <w:pPr>
        <w:pStyle w:val="2"/>
        <w:spacing w:line="279" w:lineRule="auto"/>
        <w:rPr>
          <w:sz w:val="21"/>
        </w:rPr>
      </w:pPr>
    </w:p>
    <w:p w14:paraId="088818C8">
      <w:pPr>
        <w:spacing w:line="7188" w:lineRule="exact"/>
      </w:pPr>
      <w:r>
        <w:rPr>
          <w:position w:val="-143"/>
        </w:rPr>
        <w:drawing>
          <wp:inline distT="0" distB="0" distL="0" distR="0">
            <wp:extent cx="8406130" cy="4563745"/>
            <wp:effectExtent l="0" t="0" r="0" b="0"/>
            <wp:docPr id="200" name="IM 200"/>
            <wp:cNvGraphicFramePr/>
            <a:graphic xmlns:a="http://schemas.openxmlformats.org/drawingml/2006/main">
              <a:graphicData uri="http://schemas.openxmlformats.org/drawingml/2006/picture">
                <pic:pic xmlns:pic="http://schemas.openxmlformats.org/drawingml/2006/picture">
                  <pic:nvPicPr>
                    <pic:cNvPr id="200" name="IM 200"/>
                    <pic:cNvPicPr/>
                  </pic:nvPicPr>
                  <pic:blipFill>
                    <a:blip r:embed="rId366"/>
                    <a:stretch>
                      <a:fillRect/>
                    </a:stretch>
                  </pic:blipFill>
                  <pic:spPr>
                    <a:xfrm>
                      <a:off x="0" y="0"/>
                      <a:ext cx="8406383" cy="4564379"/>
                    </a:xfrm>
                    <a:prstGeom prst="rect">
                      <a:avLst/>
                    </a:prstGeom>
                  </pic:spPr>
                </pic:pic>
              </a:graphicData>
            </a:graphic>
          </wp:inline>
        </w:drawing>
      </w:r>
    </w:p>
    <w:p w14:paraId="720E56BF">
      <w:pPr>
        <w:spacing w:before="283" w:line="229" w:lineRule="auto"/>
        <w:ind w:left="3309"/>
        <w:rPr>
          <w:rFonts w:ascii="仿宋" w:hAnsi="仿宋" w:eastAsia="仿宋" w:cs="仿宋"/>
          <w:sz w:val="20"/>
          <w:szCs w:val="20"/>
        </w:rPr>
      </w:pPr>
      <w:r>
        <w:rPr>
          <w:rFonts w:ascii="仿宋" w:hAnsi="仿宋" w:eastAsia="仿宋" w:cs="仿宋"/>
          <w:b/>
          <w:bCs/>
          <w:spacing w:val="5"/>
          <w:sz w:val="20"/>
          <w:szCs w:val="20"/>
        </w:rPr>
        <w:t>图</w:t>
      </w:r>
      <w:r>
        <w:rPr>
          <w:rFonts w:ascii="仿宋" w:hAnsi="仿宋" w:eastAsia="仿宋" w:cs="仿宋"/>
          <w:spacing w:val="-13"/>
          <w:sz w:val="20"/>
          <w:szCs w:val="20"/>
        </w:rPr>
        <w:t xml:space="preserve"> </w:t>
      </w:r>
      <w:r>
        <w:rPr>
          <w:rFonts w:ascii="Times New Roman" w:hAnsi="Times New Roman" w:eastAsia="Times New Roman" w:cs="Times New Roman"/>
          <w:b/>
          <w:bCs/>
          <w:spacing w:val="5"/>
          <w:sz w:val="20"/>
          <w:szCs w:val="20"/>
        </w:rPr>
        <w:t xml:space="preserve">1.6-4          </w:t>
      </w:r>
      <w:r>
        <w:rPr>
          <w:rFonts w:ascii="仿宋" w:hAnsi="仿宋" w:eastAsia="仿宋" w:cs="仿宋"/>
          <w:b/>
          <w:bCs/>
          <w:spacing w:val="5"/>
          <w:sz w:val="20"/>
          <w:szCs w:val="20"/>
        </w:rPr>
        <w:t>份子地社新村至二道拐村委会段沿线声环境保护目标分布图</w:t>
      </w:r>
    </w:p>
    <w:p w14:paraId="7F7E7B93">
      <w:pPr>
        <w:spacing w:line="229" w:lineRule="auto"/>
        <w:rPr>
          <w:rFonts w:ascii="仿宋" w:hAnsi="仿宋" w:eastAsia="仿宋" w:cs="仿宋"/>
          <w:sz w:val="20"/>
          <w:szCs w:val="20"/>
        </w:rPr>
        <w:sectPr>
          <w:headerReference r:id="rId145" w:type="default"/>
          <w:footerReference r:id="rId146" w:type="default"/>
          <w:pgSz w:w="16839" w:h="11906"/>
          <w:pgMar w:top="400" w:right="1810" w:bottom="1511" w:left="1789" w:header="0" w:footer="1349" w:gutter="0"/>
          <w:cols w:space="720" w:num="1"/>
        </w:sectPr>
      </w:pPr>
    </w:p>
    <w:p w14:paraId="6345073C">
      <w:pPr>
        <w:pStyle w:val="2"/>
        <w:spacing w:line="278" w:lineRule="auto"/>
        <w:rPr>
          <w:sz w:val="21"/>
        </w:rPr>
      </w:pPr>
    </w:p>
    <w:p w14:paraId="1E50A164">
      <w:pPr>
        <w:pStyle w:val="2"/>
        <w:spacing w:line="278" w:lineRule="auto"/>
        <w:rPr>
          <w:sz w:val="21"/>
        </w:rPr>
      </w:pPr>
    </w:p>
    <w:p w14:paraId="6E0CC170">
      <w:pPr>
        <w:pStyle w:val="2"/>
        <w:spacing w:line="278" w:lineRule="auto"/>
        <w:rPr>
          <w:sz w:val="21"/>
        </w:rPr>
      </w:pPr>
    </w:p>
    <w:p w14:paraId="3C7DE07A">
      <w:pPr>
        <w:pStyle w:val="2"/>
        <w:spacing w:line="279" w:lineRule="auto"/>
        <w:rPr>
          <w:sz w:val="21"/>
        </w:rPr>
      </w:pPr>
    </w:p>
    <w:p w14:paraId="448C45FD">
      <w:pPr>
        <w:pStyle w:val="2"/>
        <w:spacing w:line="279" w:lineRule="auto"/>
        <w:rPr>
          <w:sz w:val="21"/>
        </w:rPr>
      </w:pPr>
    </w:p>
    <w:p w14:paraId="326BF899">
      <w:pPr>
        <w:spacing w:line="7577" w:lineRule="exact"/>
      </w:pPr>
      <w:r>
        <w:rPr>
          <w:position w:val="-151"/>
        </w:rPr>
        <w:drawing>
          <wp:inline distT="0" distB="0" distL="0" distR="0">
            <wp:extent cx="7627620" cy="4810760"/>
            <wp:effectExtent l="0" t="0" r="0" b="0"/>
            <wp:docPr id="202" name="IM 202"/>
            <wp:cNvGraphicFramePr/>
            <a:graphic xmlns:a="http://schemas.openxmlformats.org/drawingml/2006/main">
              <a:graphicData uri="http://schemas.openxmlformats.org/drawingml/2006/picture">
                <pic:pic xmlns:pic="http://schemas.openxmlformats.org/drawingml/2006/picture">
                  <pic:nvPicPr>
                    <pic:cNvPr id="202" name="IM 202"/>
                    <pic:cNvPicPr/>
                  </pic:nvPicPr>
                  <pic:blipFill>
                    <a:blip r:embed="rId367"/>
                    <a:stretch>
                      <a:fillRect/>
                    </a:stretch>
                  </pic:blipFill>
                  <pic:spPr>
                    <a:xfrm>
                      <a:off x="0" y="0"/>
                      <a:ext cx="7627620" cy="4811267"/>
                    </a:xfrm>
                    <a:prstGeom prst="rect">
                      <a:avLst/>
                    </a:prstGeom>
                  </pic:spPr>
                </pic:pic>
              </a:graphicData>
            </a:graphic>
          </wp:inline>
        </w:drawing>
      </w:r>
    </w:p>
    <w:p w14:paraId="06E6175D">
      <w:pPr>
        <w:spacing w:before="283" w:line="229" w:lineRule="auto"/>
        <w:ind w:left="1485"/>
        <w:rPr>
          <w:rFonts w:ascii="仿宋" w:hAnsi="仿宋" w:eastAsia="仿宋" w:cs="仿宋"/>
          <w:sz w:val="20"/>
          <w:szCs w:val="20"/>
        </w:rPr>
      </w:pPr>
      <w:r>
        <w:rPr>
          <w:rFonts w:ascii="仿宋" w:hAnsi="仿宋" w:eastAsia="仿宋" w:cs="仿宋"/>
          <w:b/>
          <w:bCs/>
          <w:spacing w:val="6"/>
          <w:sz w:val="20"/>
          <w:szCs w:val="20"/>
        </w:rPr>
        <w:t>图</w:t>
      </w:r>
      <w:r>
        <w:rPr>
          <w:rFonts w:ascii="仿宋" w:hAnsi="仿宋" w:eastAsia="仿宋" w:cs="仿宋"/>
          <w:spacing w:val="-34"/>
          <w:sz w:val="20"/>
          <w:szCs w:val="20"/>
        </w:rPr>
        <w:t xml:space="preserve"> </w:t>
      </w:r>
      <w:r>
        <w:rPr>
          <w:rFonts w:ascii="Times New Roman" w:hAnsi="Times New Roman" w:eastAsia="Times New Roman" w:cs="Times New Roman"/>
          <w:b/>
          <w:bCs/>
          <w:spacing w:val="6"/>
          <w:sz w:val="20"/>
          <w:szCs w:val="20"/>
        </w:rPr>
        <w:t xml:space="preserve">1.6-5                    </w:t>
      </w:r>
      <w:r>
        <w:rPr>
          <w:rFonts w:ascii="仿宋" w:hAnsi="仿宋" w:eastAsia="仿宋" w:cs="仿宋"/>
          <w:b/>
          <w:bCs/>
          <w:spacing w:val="5"/>
          <w:sz w:val="20"/>
          <w:szCs w:val="20"/>
        </w:rPr>
        <w:t>二道拐坡地至张家圪旦社及脑包湾村自然村通硬化路沿线声环境保护目标分布图</w:t>
      </w:r>
    </w:p>
    <w:p w14:paraId="4EEBEE8A">
      <w:pPr>
        <w:spacing w:line="229" w:lineRule="auto"/>
        <w:rPr>
          <w:rFonts w:ascii="仿宋" w:hAnsi="仿宋" w:eastAsia="仿宋" w:cs="仿宋"/>
          <w:sz w:val="20"/>
          <w:szCs w:val="20"/>
        </w:rPr>
        <w:sectPr>
          <w:headerReference r:id="rId147" w:type="default"/>
          <w:footerReference r:id="rId148" w:type="default"/>
          <w:pgSz w:w="16839" w:h="11906"/>
          <w:pgMar w:top="400" w:right="2422" w:bottom="1511" w:left="2403" w:header="0" w:footer="1349" w:gutter="0"/>
          <w:cols w:space="720" w:num="1"/>
        </w:sectPr>
      </w:pPr>
    </w:p>
    <w:p w14:paraId="7FC9E9D4">
      <w:pPr>
        <w:pStyle w:val="2"/>
        <w:spacing w:line="272" w:lineRule="auto"/>
        <w:rPr>
          <w:sz w:val="21"/>
        </w:rPr>
      </w:pPr>
    </w:p>
    <w:p w14:paraId="1A607BFD">
      <w:pPr>
        <w:pStyle w:val="2"/>
        <w:spacing w:line="272" w:lineRule="auto"/>
        <w:rPr>
          <w:sz w:val="21"/>
        </w:rPr>
      </w:pPr>
    </w:p>
    <w:p w14:paraId="1D006AF4">
      <w:pPr>
        <w:pStyle w:val="2"/>
        <w:spacing w:line="272" w:lineRule="auto"/>
        <w:rPr>
          <w:sz w:val="21"/>
        </w:rPr>
      </w:pPr>
    </w:p>
    <w:p w14:paraId="7D7198B0">
      <w:pPr>
        <w:pStyle w:val="2"/>
        <w:spacing w:line="272" w:lineRule="auto"/>
        <w:rPr>
          <w:sz w:val="21"/>
        </w:rPr>
      </w:pPr>
    </w:p>
    <w:p w14:paraId="187AD204">
      <w:pPr>
        <w:pStyle w:val="2"/>
        <w:spacing w:line="272" w:lineRule="auto"/>
        <w:rPr>
          <w:sz w:val="21"/>
        </w:rPr>
      </w:pPr>
    </w:p>
    <w:p w14:paraId="1CDE829B">
      <w:pPr>
        <w:spacing w:before="114" w:line="227" w:lineRule="auto"/>
        <w:ind w:left="31"/>
        <w:outlineLvl w:val="0"/>
        <w:rPr>
          <w:rFonts w:ascii="仿宋" w:hAnsi="仿宋" w:eastAsia="仿宋" w:cs="仿宋"/>
          <w:sz w:val="35"/>
          <w:szCs w:val="35"/>
        </w:rPr>
      </w:pPr>
      <w:bookmarkStart w:id="20" w:name="bookmark23"/>
      <w:bookmarkEnd w:id="20"/>
      <w:bookmarkStart w:id="21" w:name="bookmark24"/>
      <w:bookmarkEnd w:id="21"/>
      <w:r>
        <w:rPr>
          <w:rFonts w:ascii="仿宋" w:hAnsi="仿宋" w:eastAsia="仿宋" w:cs="仿宋"/>
          <w:b/>
          <w:bCs/>
          <w:spacing w:val="-4"/>
          <w:sz w:val="35"/>
          <w:szCs w:val="35"/>
        </w:rPr>
        <w:t>2</w:t>
      </w:r>
      <w:r>
        <w:rPr>
          <w:rFonts w:ascii="仿宋" w:hAnsi="仿宋" w:eastAsia="仿宋" w:cs="仿宋"/>
          <w:spacing w:val="40"/>
          <w:sz w:val="35"/>
          <w:szCs w:val="35"/>
        </w:rPr>
        <w:t xml:space="preserve"> </w:t>
      </w:r>
      <w:r>
        <w:rPr>
          <w:rFonts w:ascii="仿宋" w:hAnsi="仿宋" w:eastAsia="仿宋" w:cs="仿宋"/>
          <w:b/>
          <w:bCs/>
          <w:spacing w:val="-4"/>
          <w:sz w:val="35"/>
          <w:szCs w:val="35"/>
        </w:rPr>
        <w:t>工程分析</w:t>
      </w:r>
    </w:p>
    <w:p w14:paraId="29B1D2B5">
      <w:pPr>
        <w:spacing w:before="317" w:line="228" w:lineRule="auto"/>
        <w:ind w:left="29"/>
        <w:outlineLvl w:val="1"/>
        <w:rPr>
          <w:rFonts w:ascii="仿宋" w:hAnsi="仿宋" w:eastAsia="仿宋" w:cs="仿宋"/>
          <w:sz w:val="31"/>
          <w:szCs w:val="31"/>
        </w:rPr>
      </w:pPr>
      <w:r>
        <w:rPr>
          <w:rFonts w:ascii="仿宋" w:hAnsi="仿宋" w:eastAsia="仿宋" w:cs="仿宋"/>
          <w:b/>
          <w:bCs/>
          <w:spacing w:val="1"/>
          <w:sz w:val="31"/>
          <w:szCs w:val="31"/>
        </w:rPr>
        <w:t>2.1</w:t>
      </w:r>
      <w:r>
        <w:rPr>
          <w:rFonts w:ascii="仿宋" w:hAnsi="仿宋" w:eastAsia="仿宋" w:cs="仿宋"/>
          <w:spacing w:val="33"/>
          <w:sz w:val="31"/>
          <w:szCs w:val="31"/>
        </w:rPr>
        <w:t xml:space="preserve"> </w:t>
      </w:r>
      <w:r>
        <w:rPr>
          <w:rFonts w:ascii="仿宋" w:hAnsi="仿宋" w:eastAsia="仿宋" w:cs="仿宋"/>
          <w:b/>
          <w:bCs/>
          <w:spacing w:val="1"/>
          <w:sz w:val="31"/>
          <w:szCs w:val="31"/>
        </w:rPr>
        <w:t>工程建设内容</w:t>
      </w:r>
    </w:p>
    <w:p w14:paraId="3345FACD">
      <w:pPr>
        <w:spacing w:before="302" w:line="360" w:lineRule="auto"/>
        <w:ind w:left="29" w:firstLine="481"/>
        <w:jc w:val="both"/>
        <w:rPr>
          <w:rFonts w:ascii="Times New Roman" w:hAnsi="Times New Roman" w:eastAsia="Times New Roman" w:cs="Times New Roman"/>
          <w:sz w:val="24"/>
          <w:szCs w:val="24"/>
        </w:rPr>
      </w:pPr>
      <w:r>
        <w:rPr>
          <w:rFonts w:ascii="仿宋" w:hAnsi="仿宋" w:eastAsia="仿宋" w:cs="仿宋"/>
          <w:spacing w:val="-3"/>
          <w:sz w:val="24"/>
          <w:szCs w:val="24"/>
        </w:rPr>
        <w:t>本项目位于准格尔旗沙圪堵镇双山梁村、四道</w:t>
      </w:r>
      <w:r>
        <w:rPr>
          <w:rFonts w:ascii="仿宋" w:hAnsi="仿宋" w:eastAsia="仿宋" w:cs="仿宋"/>
          <w:spacing w:val="-4"/>
          <w:sz w:val="24"/>
          <w:szCs w:val="24"/>
        </w:rPr>
        <w:t>包村、乌拉素村和十二连城乡</w:t>
      </w:r>
      <w:r>
        <w:rPr>
          <w:rFonts w:ascii="仿宋" w:hAnsi="仿宋" w:eastAsia="仿宋" w:cs="仿宋"/>
          <w:sz w:val="24"/>
          <w:szCs w:val="24"/>
        </w:rPr>
        <w:t>柴登村、二道拐村、脑包湾村、杨子华村共两镇七村，路线全长</w:t>
      </w:r>
      <w:r>
        <w:rPr>
          <w:rFonts w:ascii="仿宋" w:hAnsi="仿宋" w:eastAsia="仿宋" w:cs="仿宋"/>
          <w:spacing w:val="-35"/>
          <w:sz w:val="24"/>
          <w:szCs w:val="24"/>
        </w:rPr>
        <w:t xml:space="preserve"> </w:t>
      </w:r>
      <w:r>
        <w:rPr>
          <w:rFonts w:ascii="Times New Roman" w:hAnsi="Times New Roman" w:eastAsia="Times New Roman" w:cs="Times New Roman"/>
          <w:sz w:val="24"/>
          <w:szCs w:val="24"/>
        </w:rPr>
        <w:t>26.508km</w:t>
      </w:r>
      <w:r>
        <w:rPr>
          <w:rFonts w:ascii="Times New Roman" w:hAnsi="Times New Roman" w:eastAsia="Times New Roman" w:cs="Times New Roman"/>
          <w:spacing w:val="-22"/>
          <w:sz w:val="24"/>
          <w:szCs w:val="24"/>
        </w:rPr>
        <w:t xml:space="preserve"> </w:t>
      </w:r>
      <w:r>
        <w:rPr>
          <w:rFonts w:ascii="仿宋" w:hAnsi="仿宋" w:eastAsia="仿宋" w:cs="仿宋"/>
          <w:sz w:val="24"/>
          <w:szCs w:val="24"/>
        </w:rPr>
        <w:t>，其</w:t>
      </w:r>
      <w:r>
        <w:rPr>
          <w:rFonts w:ascii="仿宋" w:hAnsi="仿宋" w:eastAsia="仿宋" w:cs="仿宋"/>
          <w:spacing w:val="-11"/>
          <w:sz w:val="24"/>
          <w:szCs w:val="24"/>
        </w:rPr>
        <w:t>中：沙圪堵镇路线全长</w:t>
      </w:r>
      <w:r>
        <w:rPr>
          <w:rFonts w:ascii="仿宋" w:hAnsi="仿宋" w:eastAsia="仿宋" w:cs="仿宋"/>
          <w:spacing w:val="-58"/>
          <w:sz w:val="24"/>
          <w:szCs w:val="24"/>
        </w:rPr>
        <w:t xml:space="preserve"> </w:t>
      </w:r>
      <w:r>
        <w:rPr>
          <w:rFonts w:ascii="Times New Roman" w:hAnsi="Times New Roman" w:eastAsia="Times New Roman" w:cs="Times New Roman"/>
          <w:spacing w:val="-11"/>
          <w:sz w:val="24"/>
          <w:szCs w:val="24"/>
        </w:rPr>
        <w:t>11.366km</w:t>
      </w:r>
      <w:r>
        <w:rPr>
          <w:rFonts w:ascii="仿宋" w:hAnsi="仿宋" w:eastAsia="仿宋" w:cs="仿宋"/>
          <w:spacing w:val="-11"/>
          <w:sz w:val="24"/>
          <w:szCs w:val="24"/>
        </w:rPr>
        <w:t>，共分为</w:t>
      </w:r>
      <w:r>
        <w:rPr>
          <w:rFonts w:ascii="Times New Roman" w:hAnsi="Times New Roman" w:eastAsia="Times New Roman" w:cs="Times New Roman"/>
          <w:spacing w:val="-11"/>
          <w:sz w:val="24"/>
          <w:szCs w:val="24"/>
        </w:rPr>
        <w:t xml:space="preserve">4 </w:t>
      </w:r>
      <w:r>
        <w:rPr>
          <w:rFonts w:ascii="仿宋" w:hAnsi="仿宋" w:eastAsia="仿宋" w:cs="仿宋"/>
          <w:spacing w:val="-11"/>
          <w:sz w:val="24"/>
          <w:szCs w:val="24"/>
        </w:rPr>
        <w:t>条线路；十二连城乡路线全长</w:t>
      </w:r>
      <w:r>
        <w:rPr>
          <w:rFonts w:ascii="仿宋" w:hAnsi="仿宋" w:eastAsia="仿宋" w:cs="仿宋"/>
          <w:spacing w:val="-58"/>
          <w:sz w:val="24"/>
          <w:szCs w:val="24"/>
        </w:rPr>
        <w:t xml:space="preserve"> </w:t>
      </w:r>
      <w:r>
        <w:rPr>
          <w:rFonts w:ascii="Times New Roman" w:hAnsi="Times New Roman" w:eastAsia="Times New Roman" w:cs="Times New Roman"/>
          <w:spacing w:val="-11"/>
          <w:sz w:val="24"/>
          <w:szCs w:val="24"/>
        </w:rPr>
        <w:t>15.</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11"/>
          <w:sz w:val="24"/>
          <w:szCs w:val="24"/>
        </w:rPr>
        <w:t>14</w:t>
      </w:r>
      <w:r>
        <w:rPr>
          <w:rFonts w:ascii="Times New Roman" w:hAnsi="Times New Roman" w:eastAsia="Times New Roman" w:cs="Times New Roman"/>
          <w:spacing w:val="-12"/>
          <w:sz w:val="24"/>
          <w:szCs w:val="24"/>
        </w:rPr>
        <w:t>2km</w:t>
      </w:r>
      <w:r>
        <w:rPr>
          <w:rFonts w:ascii="仿宋" w:hAnsi="仿宋" w:eastAsia="仿宋" w:cs="仿宋"/>
          <w:spacing w:val="-12"/>
          <w:sz w:val="24"/>
          <w:szCs w:val="24"/>
        </w:rPr>
        <w:t>，</w:t>
      </w:r>
      <w:r>
        <w:rPr>
          <w:rFonts w:ascii="仿宋" w:hAnsi="仿宋" w:eastAsia="仿宋" w:cs="仿宋"/>
          <w:sz w:val="24"/>
          <w:szCs w:val="24"/>
        </w:rPr>
        <w:t>共分为</w:t>
      </w:r>
      <w:r>
        <w:rPr>
          <w:rFonts w:ascii="仿宋" w:hAnsi="仿宋" w:eastAsia="仿宋" w:cs="仿宋"/>
          <w:spacing w:val="-36"/>
          <w:sz w:val="24"/>
          <w:szCs w:val="24"/>
        </w:rPr>
        <w:t xml:space="preserve"> </w:t>
      </w:r>
      <w:r>
        <w:rPr>
          <w:rFonts w:ascii="Times New Roman" w:hAnsi="Times New Roman" w:eastAsia="Times New Roman" w:cs="Times New Roman"/>
          <w:sz w:val="24"/>
          <w:szCs w:val="24"/>
        </w:rPr>
        <w:t>6</w:t>
      </w:r>
      <w:r>
        <w:rPr>
          <w:rFonts w:ascii="Times New Roman" w:hAnsi="Times New Roman" w:eastAsia="Times New Roman" w:cs="Times New Roman"/>
          <w:spacing w:val="21"/>
          <w:sz w:val="24"/>
          <w:szCs w:val="24"/>
        </w:rPr>
        <w:t xml:space="preserve"> </w:t>
      </w:r>
      <w:r>
        <w:rPr>
          <w:rFonts w:ascii="仿宋" w:hAnsi="仿宋" w:eastAsia="仿宋" w:cs="仿宋"/>
          <w:sz w:val="24"/>
          <w:szCs w:val="24"/>
        </w:rPr>
        <w:t>条线路。均按四级公路标准建设，设计荷载等级均为公路</w:t>
      </w:r>
      <w:r>
        <w:rPr>
          <w:rFonts w:ascii="Times New Roman" w:hAnsi="Times New Roman" w:eastAsia="Times New Roman" w:cs="Times New Roman"/>
          <w:sz w:val="24"/>
          <w:szCs w:val="24"/>
        </w:rPr>
        <w:t>-II</w:t>
      </w:r>
      <w:r>
        <w:rPr>
          <w:rFonts w:ascii="Times New Roman" w:hAnsi="Times New Roman" w:eastAsia="Times New Roman" w:cs="Times New Roman"/>
          <w:spacing w:val="25"/>
          <w:sz w:val="24"/>
          <w:szCs w:val="24"/>
        </w:rPr>
        <w:t xml:space="preserve"> </w:t>
      </w:r>
      <w:r>
        <w:rPr>
          <w:rFonts w:ascii="仿宋" w:hAnsi="仿宋" w:eastAsia="仿宋" w:cs="仿宋"/>
          <w:sz w:val="24"/>
          <w:szCs w:val="24"/>
        </w:rPr>
        <w:t>级，全线设计速度均为</w:t>
      </w:r>
      <w:r>
        <w:rPr>
          <w:rFonts w:ascii="仿宋" w:hAnsi="仿宋" w:eastAsia="仿宋" w:cs="仿宋"/>
          <w:spacing w:val="-30"/>
          <w:sz w:val="24"/>
          <w:szCs w:val="24"/>
        </w:rPr>
        <w:t xml:space="preserve"> </w:t>
      </w:r>
      <w:r>
        <w:rPr>
          <w:rFonts w:ascii="Times New Roman" w:hAnsi="Times New Roman" w:eastAsia="Times New Roman" w:cs="Times New Roman"/>
          <w:sz w:val="24"/>
          <w:szCs w:val="24"/>
        </w:rPr>
        <w:t>15km/h</w:t>
      </w:r>
      <w:r>
        <w:rPr>
          <w:rFonts w:ascii="Times New Roman" w:hAnsi="Times New Roman" w:eastAsia="Times New Roman" w:cs="Times New Roman"/>
          <w:spacing w:val="-27"/>
          <w:sz w:val="24"/>
          <w:szCs w:val="24"/>
        </w:rPr>
        <w:t xml:space="preserve"> </w:t>
      </w:r>
      <w:r>
        <w:rPr>
          <w:rFonts w:ascii="仿宋" w:hAnsi="仿宋" w:eastAsia="仿宋" w:cs="仿宋"/>
          <w:sz w:val="24"/>
          <w:szCs w:val="24"/>
        </w:rPr>
        <w:t>，除准格尔旗十二连城乡脑包湾村自然村</w:t>
      </w:r>
      <w:r>
        <w:rPr>
          <w:rFonts w:ascii="仿宋" w:hAnsi="仿宋" w:eastAsia="仿宋" w:cs="仿宋"/>
          <w:spacing w:val="-1"/>
          <w:sz w:val="24"/>
          <w:szCs w:val="24"/>
        </w:rPr>
        <w:t>通硬化路工程段采用未筛分碎石路面，其余段均采用水泥混凝土路面。项目具体路线走向如下</w:t>
      </w:r>
      <w:r>
        <w:rPr>
          <w:rFonts w:ascii="Times New Roman" w:hAnsi="Times New Roman" w:eastAsia="Times New Roman" w:cs="Times New Roman"/>
          <w:spacing w:val="-1"/>
          <w:sz w:val="24"/>
          <w:szCs w:val="24"/>
        </w:rPr>
        <w:t>:</w:t>
      </w:r>
    </w:p>
    <w:p w14:paraId="67D9A147">
      <w:pPr>
        <w:spacing w:line="221" w:lineRule="auto"/>
        <w:ind w:left="514"/>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1</w:t>
      </w:r>
      <w:r>
        <w:rPr>
          <w:rFonts w:ascii="仿宋" w:hAnsi="仿宋" w:eastAsia="仿宋" w:cs="仿宋"/>
          <w:spacing w:val="-2"/>
          <w:sz w:val="24"/>
          <w:szCs w:val="24"/>
        </w:rPr>
        <w:t>）李家圪堵至土敖包通村公路</w:t>
      </w:r>
    </w:p>
    <w:p w14:paraId="6184B35F">
      <w:pPr>
        <w:spacing w:before="98" w:line="360" w:lineRule="auto"/>
        <w:ind w:left="22" w:right="185" w:firstLine="492"/>
        <w:rPr>
          <w:rFonts w:ascii="仿宋" w:hAnsi="仿宋" w:eastAsia="仿宋" w:cs="仿宋"/>
          <w:sz w:val="24"/>
          <w:szCs w:val="24"/>
        </w:rPr>
      </w:pPr>
      <w:r>
        <w:rPr>
          <w:rFonts w:ascii="仿宋" w:hAnsi="仿宋" w:eastAsia="仿宋" w:cs="仿宋"/>
          <w:spacing w:val="-2"/>
          <w:sz w:val="24"/>
          <w:szCs w:val="24"/>
        </w:rPr>
        <w:t>李家圪堵至土敖包通村公路共分为</w:t>
      </w:r>
      <w:r>
        <w:rPr>
          <w:rFonts w:ascii="Times New Roman" w:hAnsi="Times New Roman" w:eastAsia="Times New Roman" w:cs="Times New Roman"/>
          <w:spacing w:val="-2"/>
          <w:sz w:val="24"/>
          <w:szCs w:val="24"/>
        </w:rPr>
        <w:t>7</w:t>
      </w:r>
      <w:r>
        <w:rPr>
          <w:rFonts w:ascii="Times New Roman" w:hAnsi="Times New Roman" w:eastAsia="Times New Roman" w:cs="Times New Roman"/>
          <w:spacing w:val="16"/>
          <w:w w:val="101"/>
          <w:sz w:val="24"/>
          <w:szCs w:val="24"/>
        </w:rPr>
        <w:t xml:space="preserve"> </w:t>
      </w:r>
      <w:r>
        <w:rPr>
          <w:rFonts w:ascii="仿宋" w:hAnsi="仿宋" w:eastAsia="仿宋" w:cs="仿宋"/>
          <w:spacing w:val="-2"/>
          <w:sz w:val="24"/>
          <w:szCs w:val="24"/>
        </w:rPr>
        <w:t>个路段，每条路段起终</w:t>
      </w:r>
      <w:r>
        <w:rPr>
          <w:rFonts w:ascii="仿宋" w:hAnsi="仿宋" w:eastAsia="仿宋" w:cs="仿宋"/>
          <w:spacing w:val="-3"/>
          <w:sz w:val="24"/>
          <w:szCs w:val="24"/>
        </w:rPr>
        <w:t>点均顺接现有水泥道路。根据现场调查，现状道路为水泥混凝土与土路结合的道路，本次设计主</w:t>
      </w:r>
      <w:r>
        <w:rPr>
          <w:rFonts w:ascii="仿宋" w:hAnsi="仿宋" w:eastAsia="仿宋" w:cs="仿宋"/>
          <w:spacing w:val="-2"/>
          <w:sz w:val="24"/>
          <w:szCs w:val="24"/>
        </w:rPr>
        <w:t>要为现状土路硬化。</w:t>
      </w:r>
      <w:r>
        <w:rPr>
          <w:rFonts w:ascii="Times New Roman" w:hAnsi="Times New Roman" w:eastAsia="Times New Roman" w:cs="Times New Roman"/>
          <w:spacing w:val="-2"/>
          <w:sz w:val="24"/>
          <w:szCs w:val="24"/>
        </w:rPr>
        <w:t>7</w:t>
      </w:r>
      <w:r>
        <w:rPr>
          <w:rFonts w:ascii="Times New Roman" w:hAnsi="Times New Roman" w:eastAsia="Times New Roman" w:cs="Times New Roman"/>
          <w:spacing w:val="17"/>
          <w:sz w:val="24"/>
          <w:szCs w:val="24"/>
        </w:rPr>
        <w:t xml:space="preserve"> </w:t>
      </w:r>
      <w:r>
        <w:rPr>
          <w:rFonts w:ascii="仿宋" w:hAnsi="仿宋" w:eastAsia="仿宋" w:cs="仿宋"/>
          <w:spacing w:val="-2"/>
          <w:sz w:val="24"/>
          <w:szCs w:val="24"/>
        </w:rPr>
        <w:t>个路段里程分别为：路段一路线长</w:t>
      </w:r>
      <w:r>
        <w:rPr>
          <w:rFonts w:ascii="仿宋" w:hAnsi="仿宋" w:eastAsia="仿宋" w:cs="仿宋"/>
          <w:spacing w:val="-52"/>
          <w:sz w:val="24"/>
          <w:szCs w:val="24"/>
        </w:rPr>
        <w:t xml:space="preserve"> </w:t>
      </w:r>
      <w:r>
        <w:rPr>
          <w:rFonts w:ascii="Times New Roman" w:hAnsi="Times New Roman" w:eastAsia="Times New Roman" w:cs="Times New Roman"/>
          <w:spacing w:val="-2"/>
          <w:sz w:val="24"/>
          <w:szCs w:val="24"/>
        </w:rPr>
        <w:t>0.</w:t>
      </w:r>
      <w:r>
        <w:rPr>
          <w:rFonts w:ascii="Times New Roman" w:hAnsi="Times New Roman" w:eastAsia="Times New Roman" w:cs="Times New Roman"/>
          <w:spacing w:val="-31"/>
          <w:sz w:val="24"/>
          <w:szCs w:val="24"/>
        </w:rPr>
        <w:t xml:space="preserve"> </w:t>
      </w:r>
      <w:r>
        <w:rPr>
          <w:rFonts w:ascii="Times New Roman" w:hAnsi="Times New Roman" w:eastAsia="Times New Roman" w:cs="Times New Roman"/>
          <w:spacing w:val="-2"/>
          <w:sz w:val="24"/>
          <w:szCs w:val="24"/>
        </w:rPr>
        <w:t>175km</w:t>
      </w:r>
      <w:r>
        <w:rPr>
          <w:rFonts w:ascii="Times New Roman" w:hAnsi="Times New Roman" w:eastAsia="Times New Roman" w:cs="Times New Roman"/>
          <w:spacing w:val="-27"/>
          <w:sz w:val="24"/>
          <w:szCs w:val="24"/>
        </w:rPr>
        <w:t xml:space="preserve"> </w:t>
      </w:r>
      <w:r>
        <w:rPr>
          <w:rFonts w:ascii="仿宋" w:hAnsi="仿宋" w:eastAsia="仿宋" w:cs="仿宋"/>
          <w:spacing w:val="-2"/>
          <w:sz w:val="24"/>
          <w:szCs w:val="24"/>
        </w:rPr>
        <w:t>，路</w:t>
      </w:r>
      <w:r>
        <w:rPr>
          <w:rFonts w:ascii="仿宋" w:hAnsi="仿宋" w:eastAsia="仿宋" w:cs="仿宋"/>
          <w:spacing w:val="-3"/>
          <w:sz w:val="24"/>
          <w:szCs w:val="24"/>
        </w:rPr>
        <w:t>段二路线</w:t>
      </w:r>
      <w:r>
        <w:rPr>
          <w:rFonts w:ascii="仿宋" w:hAnsi="仿宋" w:eastAsia="仿宋" w:cs="仿宋"/>
          <w:spacing w:val="-4"/>
          <w:sz w:val="24"/>
          <w:szCs w:val="24"/>
        </w:rPr>
        <w:t>长</w:t>
      </w:r>
      <w:r>
        <w:rPr>
          <w:rFonts w:ascii="仿宋" w:hAnsi="仿宋" w:eastAsia="仿宋" w:cs="仿宋"/>
          <w:spacing w:val="-22"/>
          <w:sz w:val="24"/>
          <w:szCs w:val="24"/>
        </w:rPr>
        <w:t xml:space="preserve"> </w:t>
      </w:r>
      <w:r>
        <w:rPr>
          <w:rFonts w:ascii="Times New Roman" w:hAnsi="Times New Roman" w:eastAsia="Times New Roman" w:cs="Times New Roman"/>
          <w:spacing w:val="-4"/>
          <w:sz w:val="24"/>
          <w:szCs w:val="24"/>
        </w:rPr>
        <w:t>1.018539km</w:t>
      </w:r>
      <w:r>
        <w:rPr>
          <w:rFonts w:ascii="Times New Roman" w:hAnsi="Times New Roman" w:eastAsia="Times New Roman" w:cs="Times New Roman"/>
          <w:spacing w:val="-29"/>
          <w:sz w:val="24"/>
          <w:szCs w:val="24"/>
        </w:rPr>
        <w:t xml:space="preserve"> </w:t>
      </w:r>
      <w:r>
        <w:rPr>
          <w:rFonts w:ascii="仿宋" w:hAnsi="仿宋" w:eastAsia="仿宋" w:cs="仿宋"/>
          <w:spacing w:val="-4"/>
          <w:sz w:val="24"/>
          <w:szCs w:val="24"/>
        </w:rPr>
        <w:t>，路段三路线长</w:t>
      </w:r>
      <w:r>
        <w:rPr>
          <w:rFonts w:ascii="仿宋" w:hAnsi="仿宋" w:eastAsia="仿宋" w:cs="仿宋"/>
          <w:spacing w:val="-51"/>
          <w:sz w:val="24"/>
          <w:szCs w:val="24"/>
        </w:rPr>
        <w:t xml:space="preserve"> </w:t>
      </w:r>
      <w:r>
        <w:rPr>
          <w:rFonts w:ascii="Times New Roman" w:hAnsi="Times New Roman" w:eastAsia="Times New Roman" w:cs="Times New Roman"/>
          <w:spacing w:val="-4"/>
          <w:sz w:val="24"/>
          <w:szCs w:val="24"/>
        </w:rPr>
        <w:t>0.596km</w:t>
      </w:r>
      <w:r>
        <w:rPr>
          <w:rFonts w:ascii="仿宋" w:hAnsi="仿宋" w:eastAsia="仿宋" w:cs="仿宋"/>
          <w:spacing w:val="-4"/>
          <w:sz w:val="24"/>
          <w:szCs w:val="24"/>
        </w:rPr>
        <w:t>，路段四路线长</w:t>
      </w:r>
      <w:r>
        <w:rPr>
          <w:rFonts w:ascii="仿宋" w:hAnsi="仿宋" w:eastAsia="仿宋" w:cs="仿宋"/>
          <w:spacing w:val="-51"/>
          <w:sz w:val="24"/>
          <w:szCs w:val="24"/>
        </w:rPr>
        <w:t xml:space="preserve"> </w:t>
      </w:r>
      <w:r>
        <w:rPr>
          <w:rFonts w:ascii="Times New Roman" w:hAnsi="Times New Roman" w:eastAsia="Times New Roman" w:cs="Times New Roman"/>
          <w:spacing w:val="-4"/>
          <w:sz w:val="24"/>
          <w:szCs w:val="24"/>
        </w:rPr>
        <w:t>0.399km</w:t>
      </w:r>
      <w:r>
        <w:rPr>
          <w:rFonts w:ascii="Times New Roman" w:hAnsi="Times New Roman" w:eastAsia="Times New Roman" w:cs="Times New Roman"/>
          <w:spacing w:val="-27"/>
          <w:sz w:val="24"/>
          <w:szCs w:val="24"/>
        </w:rPr>
        <w:t xml:space="preserve"> </w:t>
      </w:r>
      <w:r>
        <w:rPr>
          <w:rFonts w:ascii="仿宋" w:hAnsi="仿宋" w:eastAsia="仿宋" w:cs="仿宋"/>
          <w:spacing w:val="-4"/>
          <w:sz w:val="24"/>
          <w:szCs w:val="24"/>
        </w:rPr>
        <w:t>，路段五路线长</w:t>
      </w:r>
      <w:r>
        <w:rPr>
          <w:rFonts w:ascii="Times New Roman" w:hAnsi="Times New Roman" w:eastAsia="Times New Roman" w:cs="Times New Roman"/>
          <w:spacing w:val="-2"/>
          <w:sz w:val="24"/>
          <w:szCs w:val="24"/>
        </w:rPr>
        <w:t>0.419km</w:t>
      </w:r>
      <w:r>
        <w:rPr>
          <w:rFonts w:ascii="Times New Roman" w:hAnsi="Times New Roman" w:eastAsia="Times New Roman" w:cs="Times New Roman"/>
          <w:spacing w:val="-29"/>
          <w:sz w:val="24"/>
          <w:szCs w:val="24"/>
        </w:rPr>
        <w:t xml:space="preserve"> </w:t>
      </w:r>
      <w:r>
        <w:rPr>
          <w:rFonts w:ascii="仿宋" w:hAnsi="仿宋" w:eastAsia="仿宋" w:cs="仿宋"/>
          <w:spacing w:val="-2"/>
          <w:sz w:val="24"/>
          <w:szCs w:val="24"/>
        </w:rPr>
        <w:t>，路段六路线长</w:t>
      </w:r>
      <w:r>
        <w:rPr>
          <w:rFonts w:ascii="仿宋" w:hAnsi="仿宋" w:eastAsia="仿宋" w:cs="仿宋"/>
          <w:spacing w:val="-51"/>
          <w:sz w:val="24"/>
          <w:szCs w:val="24"/>
        </w:rPr>
        <w:t xml:space="preserve"> </w:t>
      </w:r>
      <w:r>
        <w:rPr>
          <w:rFonts w:ascii="Times New Roman" w:hAnsi="Times New Roman" w:eastAsia="Times New Roman" w:cs="Times New Roman"/>
          <w:spacing w:val="-2"/>
          <w:sz w:val="24"/>
          <w:szCs w:val="24"/>
        </w:rPr>
        <w:t>0.907641k</w:t>
      </w:r>
      <w:r>
        <w:rPr>
          <w:rFonts w:ascii="Times New Roman" w:hAnsi="Times New Roman" w:eastAsia="Times New Roman" w:cs="Times New Roman"/>
          <w:spacing w:val="-3"/>
          <w:sz w:val="24"/>
          <w:szCs w:val="24"/>
        </w:rPr>
        <w:t>m</w:t>
      </w:r>
      <w:r>
        <w:rPr>
          <w:rFonts w:ascii="Times New Roman" w:hAnsi="Times New Roman" w:eastAsia="Times New Roman" w:cs="Times New Roman"/>
          <w:spacing w:val="-26"/>
          <w:sz w:val="24"/>
          <w:szCs w:val="24"/>
        </w:rPr>
        <w:t xml:space="preserve"> </w:t>
      </w:r>
      <w:r>
        <w:rPr>
          <w:rFonts w:ascii="仿宋" w:hAnsi="仿宋" w:eastAsia="仿宋" w:cs="仿宋"/>
          <w:spacing w:val="-3"/>
          <w:sz w:val="24"/>
          <w:szCs w:val="24"/>
        </w:rPr>
        <w:t>，路段七路线长</w:t>
      </w:r>
      <w:r>
        <w:rPr>
          <w:rFonts w:ascii="仿宋" w:hAnsi="仿宋" w:eastAsia="仿宋" w:cs="仿宋"/>
          <w:spacing w:val="-52"/>
          <w:sz w:val="24"/>
          <w:szCs w:val="24"/>
        </w:rPr>
        <w:t xml:space="preserve"> </w:t>
      </w:r>
      <w:r>
        <w:rPr>
          <w:rFonts w:ascii="Times New Roman" w:hAnsi="Times New Roman" w:eastAsia="Times New Roman" w:cs="Times New Roman"/>
          <w:spacing w:val="-3"/>
          <w:sz w:val="24"/>
          <w:szCs w:val="24"/>
        </w:rPr>
        <w:t>0.534km</w:t>
      </w:r>
      <w:r>
        <w:rPr>
          <w:rFonts w:ascii="仿宋" w:hAnsi="仿宋" w:eastAsia="仿宋" w:cs="仿宋"/>
          <w:spacing w:val="-3"/>
          <w:sz w:val="24"/>
          <w:szCs w:val="24"/>
        </w:rPr>
        <w:t>。</w:t>
      </w:r>
    </w:p>
    <w:p w14:paraId="35CC0FAA">
      <w:pPr>
        <w:spacing w:before="74" w:line="222" w:lineRule="auto"/>
        <w:ind w:left="514"/>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2</w:t>
      </w:r>
      <w:r>
        <w:rPr>
          <w:rFonts w:ascii="仿宋" w:hAnsi="仿宋" w:eastAsia="仿宋" w:cs="仿宋"/>
          <w:spacing w:val="-2"/>
          <w:sz w:val="24"/>
          <w:szCs w:val="24"/>
        </w:rPr>
        <w:t>）双山梁村通社公路工程</w:t>
      </w:r>
    </w:p>
    <w:p w14:paraId="0B143773">
      <w:pPr>
        <w:spacing w:before="99" w:line="351" w:lineRule="auto"/>
        <w:ind w:left="18" w:right="187" w:firstLine="490"/>
        <w:rPr>
          <w:rFonts w:ascii="仿宋" w:hAnsi="仿宋" w:eastAsia="仿宋" w:cs="仿宋"/>
          <w:sz w:val="24"/>
          <w:szCs w:val="24"/>
        </w:rPr>
      </w:pPr>
      <w:r>
        <w:rPr>
          <w:rFonts w:ascii="仿宋" w:hAnsi="仿宋" w:eastAsia="仿宋" w:cs="仿宋"/>
          <w:spacing w:val="-1"/>
          <w:sz w:val="24"/>
          <w:szCs w:val="24"/>
        </w:rPr>
        <w:t>路线起点顺接现有水泥路，起点桩号</w:t>
      </w:r>
      <w:r>
        <w:rPr>
          <w:rFonts w:ascii="仿宋" w:hAnsi="仿宋" w:eastAsia="仿宋" w:cs="仿宋"/>
          <w:spacing w:val="-56"/>
          <w:sz w:val="24"/>
          <w:szCs w:val="24"/>
        </w:rPr>
        <w:t xml:space="preserve"> </w:t>
      </w:r>
      <w:r>
        <w:rPr>
          <w:rFonts w:ascii="Times New Roman" w:hAnsi="Times New Roman" w:eastAsia="Times New Roman" w:cs="Times New Roman"/>
          <w:spacing w:val="-1"/>
          <w:sz w:val="24"/>
          <w:szCs w:val="24"/>
        </w:rPr>
        <w:t>K0+000</w:t>
      </w:r>
      <w:r>
        <w:rPr>
          <w:rFonts w:ascii="Times New Roman" w:hAnsi="Times New Roman" w:eastAsia="Times New Roman" w:cs="Times New Roman"/>
          <w:spacing w:val="-27"/>
          <w:sz w:val="24"/>
          <w:szCs w:val="24"/>
        </w:rPr>
        <w:t xml:space="preserve"> </w:t>
      </w:r>
      <w:r>
        <w:rPr>
          <w:rFonts w:ascii="仿宋" w:hAnsi="仿宋" w:eastAsia="仿宋" w:cs="仿宋"/>
          <w:spacing w:val="-1"/>
          <w:sz w:val="24"/>
          <w:szCs w:val="24"/>
        </w:rPr>
        <w:t>，由北向南沿现有土路布</w:t>
      </w:r>
      <w:r>
        <w:rPr>
          <w:rFonts w:ascii="仿宋" w:hAnsi="仿宋" w:eastAsia="仿宋" w:cs="仿宋"/>
          <w:spacing w:val="-2"/>
          <w:sz w:val="24"/>
          <w:szCs w:val="24"/>
        </w:rPr>
        <w:t>线，</w:t>
      </w:r>
      <w:r>
        <w:rPr>
          <w:rFonts w:ascii="仿宋" w:hAnsi="仿宋" w:eastAsia="仿宋" w:cs="仿宋"/>
          <w:spacing w:val="14"/>
          <w:sz w:val="24"/>
          <w:szCs w:val="24"/>
        </w:rPr>
        <w:t>全线路基状况良好</w:t>
      </w:r>
      <w:r>
        <w:rPr>
          <w:rFonts w:ascii="仿宋" w:hAnsi="仿宋" w:eastAsia="仿宋" w:cs="仿宋"/>
          <w:spacing w:val="-57"/>
          <w:sz w:val="24"/>
          <w:szCs w:val="24"/>
        </w:rPr>
        <w:t xml:space="preserve"> </w:t>
      </w:r>
      <w:r>
        <w:rPr>
          <w:rFonts w:ascii="仿宋" w:hAnsi="仿宋" w:eastAsia="仿宋" w:cs="仿宋"/>
          <w:spacing w:val="14"/>
          <w:sz w:val="24"/>
          <w:szCs w:val="24"/>
        </w:rPr>
        <w:t>，无特殊路基</w:t>
      </w:r>
      <w:r>
        <w:rPr>
          <w:rFonts w:ascii="仿宋" w:hAnsi="仿宋" w:eastAsia="仿宋" w:cs="仿宋"/>
          <w:spacing w:val="-65"/>
          <w:sz w:val="24"/>
          <w:szCs w:val="24"/>
        </w:rPr>
        <w:t xml:space="preserve"> </w:t>
      </w:r>
      <w:r>
        <w:rPr>
          <w:rFonts w:ascii="仿宋" w:hAnsi="仿宋" w:eastAsia="仿宋" w:cs="仿宋"/>
          <w:spacing w:val="14"/>
          <w:sz w:val="24"/>
          <w:szCs w:val="24"/>
        </w:rPr>
        <w:t>。终点与现有水泥路丁字交叉</w:t>
      </w:r>
      <w:r>
        <w:rPr>
          <w:rFonts w:ascii="仿宋" w:hAnsi="仿宋" w:eastAsia="仿宋" w:cs="仿宋"/>
          <w:spacing w:val="-68"/>
          <w:sz w:val="24"/>
          <w:szCs w:val="24"/>
        </w:rPr>
        <w:t xml:space="preserve"> </w:t>
      </w:r>
      <w:r>
        <w:rPr>
          <w:rFonts w:ascii="仿宋" w:hAnsi="仿宋" w:eastAsia="仿宋" w:cs="仿宋"/>
          <w:spacing w:val="14"/>
          <w:sz w:val="24"/>
          <w:szCs w:val="24"/>
        </w:rPr>
        <w:t>，终点桩号</w:t>
      </w:r>
      <w:r>
        <w:rPr>
          <w:rFonts w:ascii="Times New Roman" w:hAnsi="Times New Roman" w:eastAsia="Times New Roman" w:cs="Times New Roman"/>
          <w:spacing w:val="-1"/>
          <w:sz w:val="24"/>
          <w:szCs w:val="24"/>
        </w:rPr>
        <w:t>K0+337.869</w:t>
      </w:r>
      <w:r>
        <w:rPr>
          <w:rFonts w:ascii="仿宋" w:hAnsi="仿宋" w:eastAsia="仿宋" w:cs="仿宋"/>
          <w:spacing w:val="-1"/>
          <w:sz w:val="24"/>
          <w:szCs w:val="24"/>
        </w:rPr>
        <w:t>。</w:t>
      </w:r>
    </w:p>
    <w:p w14:paraId="045F78B8">
      <w:pPr>
        <w:spacing w:before="113" w:line="222" w:lineRule="auto"/>
        <w:ind w:left="514"/>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3</w:t>
      </w:r>
      <w:r>
        <w:rPr>
          <w:rFonts w:ascii="仿宋" w:hAnsi="仿宋" w:eastAsia="仿宋" w:cs="仿宋"/>
          <w:spacing w:val="-2"/>
          <w:sz w:val="24"/>
          <w:szCs w:val="24"/>
        </w:rPr>
        <w:t>）四道敖包至淡家梁至杨家塔通村公路</w:t>
      </w:r>
    </w:p>
    <w:p w14:paraId="07C08596">
      <w:pPr>
        <w:spacing w:before="99" w:line="351" w:lineRule="auto"/>
        <w:ind w:left="18" w:right="185" w:firstLine="490"/>
        <w:rPr>
          <w:rFonts w:ascii="仿宋" w:hAnsi="仿宋" w:eastAsia="仿宋" w:cs="仿宋"/>
          <w:sz w:val="24"/>
          <w:szCs w:val="24"/>
        </w:rPr>
      </w:pPr>
      <w:r>
        <w:rPr>
          <w:rFonts w:ascii="仿宋" w:hAnsi="仿宋" w:eastAsia="仿宋" w:cs="仿宋"/>
          <w:spacing w:val="-1"/>
          <w:sz w:val="24"/>
          <w:szCs w:val="24"/>
        </w:rPr>
        <w:t>路线起点与现有水泥路丁字交叉，起点桩号</w:t>
      </w:r>
      <w:r>
        <w:rPr>
          <w:rFonts w:ascii="仿宋" w:hAnsi="仿宋" w:eastAsia="仿宋" w:cs="仿宋"/>
          <w:spacing w:val="-53"/>
          <w:sz w:val="24"/>
          <w:szCs w:val="24"/>
        </w:rPr>
        <w:t xml:space="preserve"> </w:t>
      </w:r>
      <w:r>
        <w:rPr>
          <w:rFonts w:ascii="Times New Roman" w:hAnsi="Times New Roman" w:eastAsia="Times New Roman" w:cs="Times New Roman"/>
          <w:spacing w:val="-1"/>
          <w:sz w:val="24"/>
          <w:szCs w:val="24"/>
        </w:rPr>
        <w:t>K0+000</w:t>
      </w:r>
      <w:r>
        <w:rPr>
          <w:rFonts w:ascii="Times New Roman" w:hAnsi="Times New Roman" w:eastAsia="Times New Roman" w:cs="Times New Roman"/>
          <w:spacing w:val="-27"/>
          <w:sz w:val="24"/>
          <w:szCs w:val="24"/>
        </w:rPr>
        <w:t xml:space="preserve"> </w:t>
      </w:r>
      <w:r>
        <w:rPr>
          <w:rFonts w:ascii="仿宋" w:hAnsi="仿宋" w:eastAsia="仿宋" w:cs="仿宋"/>
          <w:spacing w:val="-1"/>
          <w:sz w:val="24"/>
          <w:szCs w:val="24"/>
        </w:rPr>
        <w:t>，由南向北</w:t>
      </w:r>
      <w:r>
        <w:rPr>
          <w:rFonts w:ascii="仿宋" w:hAnsi="仿宋" w:eastAsia="仿宋" w:cs="仿宋"/>
          <w:spacing w:val="-2"/>
          <w:sz w:val="24"/>
          <w:szCs w:val="24"/>
        </w:rPr>
        <w:t>沿现有土路</w:t>
      </w:r>
      <w:r>
        <w:rPr>
          <w:rFonts w:ascii="仿宋" w:hAnsi="仿宋" w:eastAsia="仿宋" w:cs="仿宋"/>
          <w:spacing w:val="-3"/>
          <w:sz w:val="24"/>
          <w:szCs w:val="24"/>
        </w:rPr>
        <w:t>布线，全线路基状况良好，无特殊路基。终点与现有水泥路丁字交叉，终点桩号</w:t>
      </w:r>
      <w:r>
        <w:rPr>
          <w:rFonts w:ascii="Times New Roman" w:hAnsi="Times New Roman" w:eastAsia="Times New Roman" w:cs="Times New Roman"/>
          <w:spacing w:val="-1"/>
          <w:sz w:val="24"/>
          <w:szCs w:val="24"/>
        </w:rPr>
        <w:t>K4+249.702</w:t>
      </w:r>
      <w:r>
        <w:rPr>
          <w:rFonts w:ascii="仿宋" w:hAnsi="仿宋" w:eastAsia="仿宋" w:cs="仿宋"/>
          <w:spacing w:val="-1"/>
          <w:sz w:val="24"/>
          <w:szCs w:val="24"/>
        </w:rPr>
        <w:t>。</w:t>
      </w:r>
    </w:p>
    <w:p w14:paraId="4A133B8A">
      <w:pPr>
        <w:spacing w:before="110" w:line="222" w:lineRule="auto"/>
        <w:ind w:left="514"/>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4</w:t>
      </w:r>
      <w:r>
        <w:rPr>
          <w:rFonts w:ascii="仿宋" w:hAnsi="仿宋" w:eastAsia="仿宋" w:cs="仿宋"/>
          <w:spacing w:val="-2"/>
          <w:sz w:val="24"/>
          <w:szCs w:val="24"/>
        </w:rPr>
        <w:t>）乌拉素村二道壕大坝东至秦家塔社</w:t>
      </w:r>
    </w:p>
    <w:p w14:paraId="187463A6">
      <w:pPr>
        <w:spacing w:before="100" w:line="360" w:lineRule="auto"/>
        <w:ind w:left="29" w:right="185" w:firstLine="479"/>
        <w:rPr>
          <w:rFonts w:ascii="仿宋" w:hAnsi="仿宋" w:eastAsia="仿宋" w:cs="仿宋"/>
          <w:sz w:val="24"/>
          <w:szCs w:val="24"/>
        </w:rPr>
      </w:pPr>
      <w:r>
        <w:rPr>
          <w:rFonts w:ascii="仿宋" w:hAnsi="仿宋" w:eastAsia="仿宋" w:cs="仿宋"/>
          <w:spacing w:val="-1"/>
          <w:sz w:val="24"/>
          <w:szCs w:val="24"/>
        </w:rPr>
        <w:t>路线起点与现有土路丁字交叉，起点桩号</w:t>
      </w:r>
      <w:r>
        <w:rPr>
          <w:rFonts w:ascii="仿宋" w:hAnsi="仿宋" w:eastAsia="仿宋" w:cs="仿宋"/>
          <w:spacing w:val="-56"/>
          <w:sz w:val="24"/>
          <w:szCs w:val="24"/>
        </w:rPr>
        <w:t xml:space="preserve"> </w:t>
      </w:r>
      <w:r>
        <w:rPr>
          <w:rFonts w:ascii="Times New Roman" w:hAnsi="Times New Roman" w:eastAsia="Times New Roman" w:cs="Times New Roman"/>
          <w:spacing w:val="-1"/>
          <w:sz w:val="24"/>
          <w:szCs w:val="24"/>
        </w:rPr>
        <w:t>K0+000</w:t>
      </w:r>
      <w:r>
        <w:rPr>
          <w:rFonts w:ascii="Times New Roman" w:hAnsi="Times New Roman" w:eastAsia="Times New Roman" w:cs="Times New Roman"/>
          <w:spacing w:val="-24"/>
          <w:sz w:val="24"/>
          <w:szCs w:val="24"/>
        </w:rPr>
        <w:t xml:space="preserve"> </w:t>
      </w:r>
      <w:r>
        <w:rPr>
          <w:rFonts w:ascii="仿宋" w:hAnsi="仿宋" w:eastAsia="仿宋" w:cs="仿宋"/>
          <w:spacing w:val="-1"/>
          <w:sz w:val="24"/>
          <w:szCs w:val="24"/>
        </w:rPr>
        <w:t>，由西向东沿</w:t>
      </w:r>
      <w:r>
        <w:rPr>
          <w:rFonts w:ascii="仿宋" w:hAnsi="仿宋" w:eastAsia="仿宋" w:cs="仿宋"/>
          <w:spacing w:val="-2"/>
          <w:sz w:val="24"/>
          <w:szCs w:val="24"/>
        </w:rPr>
        <w:t>现有土路布</w:t>
      </w:r>
      <w:r>
        <w:rPr>
          <w:rFonts w:ascii="仿宋" w:hAnsi="仿宋" w:eastAsia="仿宋" w:cs="仿宋"/>
          <w:spacing w:val="-3"/>
          <w:sz w:val="24"/>
          <w:szCs w:val="24"/>
        </w:rPr>
        <w:t>线，全线路基状况良好，无特殊路基，沿线存在基本农田，已进行避</w:t>
      </w:r>
      <w:r>
        <w:rPr>
          <w:rFonts w:ascii="仿宋" w:hAnsi="仿宋" w:eastAsia="仿宋" w:cs="仿宋"/>
          <w:spacing w:val="-4"/>
          <w:sz w:val="24"/>
          <w:szCs w:val="24"/>
        </w:rPr>
        <w:t>让。终点与</w:t>
      </w:r>
      <w:r>
        <w:rPr>
          <w:rFonts w:ascii="仿宋" w:hAnsi="仿宋" w:eastAsia="仿宋" w:cs="仿宋"/>
          <w:spacing w:val="-1"/>
          <w:sz w:val="24"/>
          <w:szCs w:val="24"/>
        </w:rPr>
        <w:t>现有水泥路丁字交叉，终点桩号</w:t>
      </w:r>
      <w:r>
        <w:rPr>
          <w:rFonts w:ascii="仿宋" w:hAnsi="仿宋" w:eastAsia="仿宋" w:cs="仿宋"/>
          <w:spacing w:val="-56"/>
          <w:sz w:val="24"/>
          <w:szCs w:val="24"/>
        </w:rPr>
        <w:t xml:space="preserve"> </w:t>
      </w:r>
      <w:r>
        <w:rPr>
          <w:rFonts w:ascii="Times New Roman" w:hAnsi="Times New Roman" w:eastAsia="Times New Roman" w:cs="Times New Roman"/>
          <w:spacing w:val="-1"/>
          <w:sz w:val="24"/>
          <w:szCs w:val="24"/>
        </w:rPr>
        <w:t>K2+729</w:t>
      </w:r>
      <w:r>
        <w:rPr>
          <w:rFonts w:ascii="仿宋" w:hAnsi="仿宋" w:eastAsia="仿宋" w:cs="仿宋"/>
          <w:spacing w:val="-1"/>
          <w:sz w:val="24"/>
          <w:szCs w:val="24"/>
        </w:rPr>
        <w:t>。</w:t>
      </w:r>
    </w:p>
    <w:p w14:paraId="366F8CB4">
      <w:pPr>
        <w:spacing w:before="78" w:line="222" w:lineRule="auto"/>
        <w:ind w:left="514"/>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5</w:t>
      </w:r>
      <w:r>
        <w:rPr>
          <w:rFonts w:ascii="仿宋" w:hAnsi="仿宋" w:eastAsia="仿宋" w:cs="仿宋"/>
          <w:spacing w:val="-2"/>
          <w:sz w:val="24"/>
          <w:szCs w:val="24"/>
        </w:rPr>
        <w:t>）大棚区至杏仁露基地</w:t>
      </w:r>
    </w:p>
    <w:p w14:paraId="7459F3DC">
      <w:pPr>
        <w:spacing w:line="222" w:lineRule="auto"/>
        <w:rPr>
          <w:rFonts w:ascii="仿宋" w:hAnsi="仿宋" w:eastAsia="仿宋" w:cs="仿宋"/>
          <w:sz w:val="24"/>
          <w:szCs w:val="24"/>
        </w:rPr>
        <w:sectPr>
          <w:headerReference r:id="rId149" w:type="default"/>
          <w:footerReference r:id="rId150" w:type="default"/>
          <w:pgSz w:w="11906" w:h="16839"/>
          <w:pgMar w:top="400" w:right="1614" w:bottom="1370" w:left="1785" w:header="0" w:footer="1207" w:gutter="0"/>
          <w:cols w:space="720" w:num="1"/>
        </w:sectPr>
      </w:pPr>
    </w:p>
    <w:p w14:paraId="2CCFA88E">
      <w:pPr>
        <w:pStyle w:val="2"/>
        <w:spacing w:line="247" w:lineRule="auto"/>
        <w:rPr>
          <w:sz w:val="21"/>
        </w:rPr>
      </w:pPr>
    </w:p>
    <w:p w14:paraId="2E1166AF">
      <w:pPr>
        <w:pStyle w:val="2"/>
        <w:spacing w:line="247" w:lineRule="auto"/>
        <w:rPr>
          <w:sz w:val="21"/>
        </w:rPr>
      </w:pPr>
    </w:p>
    <w:p w14:paraId="4C73B1DF">
      <w:pPr>
        <w:pStyle w:val="2"/>
        <w:spacing w:line="247" w:lineRule="auto"/>
        <w:rPr>
          <w:sz w:val="21"/>
        </w:rPr>
      </w:pPr>
    </w:p>
    <w:p w14:paraId="5DEBB0DF">
      <w:pPr>
        <w:pStyle w:val="2"/>
        <w:spacing w:line="248" w:lineRule="auto"/>
        <w:rPr>
          <w:sz w:val="21"/>
        </w:rPr>
      </w:pPr>
    </w:p>
    <w:p w14:paraId="19E429FF">
      <w:pPr>
        <w:spacing w:before="78" w:line="361" w:lineRule="auto"/>
        <w:ind w:left="35" w:right="122" w:firstLine="472"/>
        <w:rPr>
          <w:rFonts w:ascii="仿宋" w:hAnsi="仿宋" w:eastAsia="仿宋" w:cs="仿宋"/>
          <w:sz w:val="24"/>
          <w:szCs w:val="24"/>
        </w:rPr>
      </w:pPr>
      <w:r>
        <w:rPr>
          <w:rFonts w:ascii="仿宋" w:hAnsi="仿宋" w:eastAsia="仿宋" w:cs="仿宋"/>
          <w:spacing w:val="-3"/>
          <w:sz w:val="24"/>
          <w:szCs w:val="24"/>
        </w:rPr>
        <w:t>路线起点顺接现有水泥路，起点桩号</w:t>
      </w:r>
      <w:r>
        <w:rPr>
          <w:rFonts w:ascii="仿宋" w:hAnsi="仿宋" w:eastAsia="仿宋" w:cs="仿宋"/>
          <w:spacing w:val="-43"/>
          <w:sz w:val="24"/>
          <w:szCs w:val="24"/>
        </w:rPr>
        <w:t xml:space="preserve"> </w:t>
      </w:r>
      <w:r>
        <w:rPr>
          <w:rFonts w:ascii="Times New Roman" w:hAnsi="Times New Roman" w:eastAsia="Times New Roman" w:cs="Times New Roman"/>
          <w:spacing w:val="-3"/>
          <w:sz w:val="24"/>
          <w:szCs w:val="24"/>
        </w:rPr>
        <w:t>K0+000</w:t>
      </w:r>
      <w:r>
        <w:rPr>
          <w:rFonts w:ascii="Times New Roman" w:hAnsi="Times New Roman" w:eastAsia="Times New Roman" w:cs="Times New Roman"/>
          <w:spacing w:val="-27"/>
          <w:sz w:val="24"/>
          <w:szCs w:val="24"/>
        </w:rPr>
        <w:t xml:space="preserve"> </w:t>
      </w:r>
      <w:r>
        <w:rPr>
          <w:rFonts w:ascii="仿宋" w:hAnsi="仿宋" w:eastAsia="仿宋" w:cs="仿宋"/>
          <w:spacing w:val="-3"/>
          <w:sz w:val="24"/>
          <w:szCs w:val="24"/>
        </w:rPr>
        <w:t>，由南向北沿现有土路布线，</w:t>
      </w:r>
      <w:r>
        <w:rPr>
          <w:rFonts w:ascii="仿宋" w:hAnsi="仿宋" w:eastAsia="仿宋" w:cs="仿宋"/>
          <w:spacing w:val="-1"/>
          <w:sz w:val="24"/>
          <w:szCs w:val="24"/>
        </w:rPr>
        <w:t>全线路基状况良好，无特殊路基。终点顺接现有土路，终点桩号</w:t>
      </w:r>
      <w:r>
        <w:rPr>
          <w:rFonts w:ascii="仿宋" w:hAnsi="仿宋" w:eastAsia="仿宋" w:cs="仿宋"/>
          <w:spacing w:val="-50"/>
          <w:sz w:val="24"/>
          <w:szCs w:val="24"/>
        </w:rPr>
        <w:t xml:space="preserve"> </w:t>
      </w:r>
      <w:r>
        <w:rPr>
          <w:rFonts w:ascii="Times New Roman" w:hAnsi="Times New Roman" w:eastAsia="Times New Roman" w:cs="Times New Roman"/>
          <w:spacing w:val="-1"/>
          <w:sz w:val="24"/>
          <w:szCs w:val="24"/>
        </w:rPr>
        <w:t>K1+603</w:t>
      </w:r>
      <w:r>
        <w:rPr>
          <w:rFonts w:ascii="仿宋" w:hAnsi="仿宋" w:eastAsia="仿宋" w:cs="仿宋"/>
          <w:spacing w:val="-1"/>
          <w:sz w:val="24"/>
          <w:szCs w:val="24"/>
        </w:rPr>
        <w:t>。</w:t>
      </w:r>
    </w:p>
    <w:p w14:paraId="607D485E">
      <w:pPr>
        <w:spacing w:before="75" w:line="222" w:lineRule="auto"/>
        <w:ind w:left="514"/>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6</w:t>
      </w:r>
      <w:r>
        <w:rPr>
          <w:rFonts w:ascii="仿宋" w:hAnsi="仿宋" w:eastAsia="仿宋" w:cs="仿宋"/>
          <w:spacing w:val="-2"/>
          <w:sz w:val="24"/>
          <w:szCs w:val="24"/>
        </w:rPr>
        <w:t>）三道拐社坡底至北防洪堤</w:t>
      </w:r>
    </w:p>
    <w:p w14:paraId="34A3B5CC">
      <w:pPr>
        <w:spacing w:before="98" w:line="351" w:lineRule="auto"/>
        <w:ind w:left="18" w:right="67" w:firstLine="490"/>
        <w:rPr>
          <w:rFonts w:ascii="仿宋" w:hAnsi="仿宋" w:eastAsia="仿宋" w:cs="仿宋"/>
          <w:sz w:val="24"/>
          <w:szCs w:val="24"/>
        </w:rPr>
      </w:pPr>
      <w:r>
        <w:rPr>
          <w:rFonts w:ascii="仿宋" w:hAnsi="仿宋" w:eastAsia="仿宋" w:cs="仿宋"/>
          <w:spacing w:val="-1"/>
          <w:sz w:val="24"/>
          <w:szCs w:val="24"/>
        </w:rPr>
        <w:t>路线起点顺接现有水泥路，起点桩号</w:t>
      </w:r>
      <w:r>
        <w:rPr>
          <w:rFonts w:ascii="仿宋" w:hAnsi="仿宋" w:eastAsia="仿宋" w:cs="仿宋"/>
          <w:spacing w:val="-56"/>
          <w:sz w:val="24"/>
          <w:szCs w:val="24"/>
        </w:rPr>
        <w:t xml:space="preserve"> </w:t>
      </w:r>
      <w:r>
        <w:rPr>
          <w:rFonts w:ascii="Times New Roman" w:hAnsi="Times New Roman" w:eastAsia="Times New Roman" w:cs="Times New Roman"/>
          <w:spacing w:val="-1"/>
          <w:sz w:val="24"/>
          <w:szCs w:val="24"/>
        </w:rPr>
        <w:t>K0+000</w:t>
      </w:r>
      <w:r>
        <w:rPr>
          <w:rFonts w:ascii="Times New Roman" w:hAnsi="Times New Roman" w:eastAsia="Times New Roman" w:cs="Times New Roman"/>
          <w:spacing w:val="-27"/>
          <w:sz w:val="24"/>
          <w:szCs w:val="24"/>
        </w:rPr>
        <w:t xml:space="preserve"> </w:t>
      </w:r>
      <w:r>
        <w:rPr>
          <w:rFonts w:ascii="仿宋" w:hAnsi="仿宋" w:eastAsia="仿宋" w:cs="仿宋"/>
          <w:spacing w:val="-1"/>
          <w:sz w:val="24"/>
          <w:szCs w:val="24"/>
        </w:rPr>
        <w:t>，由南向北沿现有土路布</w:t>
      </w:r>
      <w:r>
        <w:rPr>
          <w:rFonts w:ascii="仿宋" w:hAnsi="仿宋" w:eastAsia="仿宋" w:cs="仿宋"/>
          <w:spacing w:val="-2"/>
          <w:sz w:val="24"/>
          <w:szCs w:val="24"/>
        </w:rPr>
        <w:t>线，</w:t>
      </w:r>
      <w:r>
        <w:rPr>
          <w:rFonts w:ascii="仿宋" w:hAnsi="仿宋" w:eastAsia="仿宋" w:cs="仿宋"/>
          <w:spacing w:val="14"/>
          <w:sz w:val="24"/>
          <w:szCs w:val="24"/>
        </w:rPr>
        <w:t>全线路基状况良好</w:t>
      </w:r>
      <w:r>
        <w:rPr>
          <w:rFonts w:ascii="仿宋" w:hAnsi="仿宋" w:eastAsia="仿宋" w:cs="仿宋"/>
          <w:spacing w:val="-57"/>
          <w:sz w:val="24"/>
          <w:szCs w:val="24"/>
        </w:rPr>
        <w:t xml:space="preserve"> </w:t>
      </w:r>
      <w:r>
        <w:rPr>
          <w:rFonts w:ascii="仿宋" w:hAnsi="仿宋" w:eastAsia="仿宋" w:cs="仿宋"/>
          <w:spacing w:val="14"/>
          <w:sz w:val="24"/>
          <w:szCs w:val="24"/>
        </w:rPr>
        <w:t>，无特殊路基</w:t>
      </w:r>
      <w:r>
        <w:rPr>
          <w:rFonts w:ascii="仿宋" w:hAnsi="仿宋" w:eastAsia="仿宋" w:cs="仿宋"/>
          <w:spacing w:val="-65"/>
          <w:sz w:val="24"/>
          <w:szCs w:val="24"/>
        </w:rPr>
        <w:t xml:space="preserve"> </w:t>
      </w:r>
      <w:r>
        <w:rPr>
          <w:rFonts w:ascii="仿宋" w:hAnsi="仿宋" w:eastAsia="仿宋" w:cs="仿宋"/>
          <w:spacing w:val="14"/>
          <w:sz w:val="24"/>
          <w:szCs w:val="24"/>
        </w:rPr>
        <w:t>。终点与现有沥青路丁字交叉</w:t>
      </w:r>
      <w:r>
        <w:rPr>
          <w:rFonts w:ascii="仿宋" w:hAnsi="仿宋" w:eastAsia="仿宋" w:cs="仿宋"/>
          <w:spacing w:val="-68"/>
          <w:sz w:val="24"/>
          <w:szCs w:val="24"/>
        </w:rPr>
        <w:t xml:space="preserve"> </w:t>
      </w:r>
      <w:r>
        <w:rPr>
          <w:rFonts w:ascii="仿宋" w:hAnsi="仿宋" w:eastAsia="仿宋" w:cs="仿宋"/>
          <w:spacing w:val="14"/>
          <w:sz w:val="24"/>
          <w:szCs w:val="24"/>
        </w:rPr>
        <w:t>，终点桩号</w:t>
      </w:r>
      <w:r>
        <w:rPr>
          <w:rFonts w:ascii="Times New Roman" w:hAnsi="Times New Roman" w:eastAsia="Times New Roman" w:cs="Times New Roman"/>
          <w:spacing w:val="-1"/>
          <w:sz w:val="24"/>
          <w:szCs w:val="24"/>
        </w:rPr>
        <w:t>K1+456.665</w:t>
      </w:r>
      <w:r>
        <w:rPr>
          <w:rFonts w:ascii="仿宋" w:hAnsi="仿宋" w:eastAsia="仿宋" w:cs="仿宋"/>
          <w:spacing w:val="-1"/>
          <w:sz w:val="24"/>
          <w:szCs w:val="24"/>
        </w:rPr>
        <w:t>。</w:t>
      </w:r>
    </w:p>
    <w:p w14:paraId="3400DB36">
      <w:pPr>
        <w:spacing w:before="113" w:line="223" w:lineRule="auto"/>
        <w:ind w:left="514"/>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7</w:t>
      </w:r>
      <w:r>
        <w:rPr>
          <w:rFonts w:ascii="仿宋" w:hAnsi="仿宋" w:eastAsia="仿宋" w:cs="仿宋"/>
          <w:spacing w:val="-2"/>
          <w:sz w:val="24"/>
          <w:szCs w:val="24"/>
        </w:rPr>
        <w:t>）二道拐坡底至张家圪旦社</w:t>
      </w:r>
    </w:p>
    <w:p w14:paraId="6738FE6E">
      <w:pPr>
        <w:spacing w:before="97" w:line="360" w:lineRule="auto"/>
        <w:ind w:left="30" w:right="65" w:firstLine="477"/>
        <w:rPr>
          <w:rFonts w:ascii="仿宋" w:hAnsi="仿宋" w:eastAsia="仿宋" w:cs="仿宋"/>
          <w:sz w:val="24"/>
          <w:szCs w:val="24"/>
        </w:rPr>
      </w:pPr>
      <w:r>
        <w:rPr>
          <w:rFonts w:ascii="仿宋" w:hAnsi="仿宋" w:eastAsia="仿宋" w:cs="仿宋"/>
          <w:spacing w:val="-1"/>
          <w:sz w:val="24"/>
          <w:szCs w:val="24"/>
        </w:rPr>
        <w:t>路线起点与现有水泥路丁字交叉，起点桩号</w:t>
      </w:r>
      <w:r>
        <w:rPr>
          <w:rFonts w:ascii="仿宋" w:hAnsi="仿宋" w:eastAsia="仿宋" w:cs="仿宋"/>
          <w:spacing w:val="-53"/>
          <w:sz w:val="24"/>
          <w:szCs w:val="24"/>
        </w:rPr>
        <w:t xml:space="preserve"> </w:t>
      </w:r>
      <w:r>
        <w:rPr>
          <w:rFonts w:ascii="Times New Roman" w:hAnsi="Times New Roman" w:eastAsia="Times New Roman" w:cs="Times New Roman"/>
          <w:spacing w:val="-1"/>
          <w:sz w:val="24"/>
          <w:szCs w:val="24"/>
        </w:rPr>
        <w:t>K0+000</w:t>
      </w:r>
      <w:r>
        <w:rPr>
          <w:rFonts w:ascii="Times New Roman" w:hAnsi="Times New Roman" w:eastAsia="Times New Roman" w:cs="Times New Roman"/>
          <w:spacing w:val="-27"/>
          <w:sz w:val="24"/>
          <w:szCs w:val="24"/>
        </w:rPr>
        <w:t xml:space="preserve"> </w:t>
      </w:r>
      <w:r>
        <w:rPr>
          <w:rFonts w:ascii="仿宋" w:hAnsi="仿宋" w:eastAsia="仿宋" w:cs="仿宋"/>
          <w:spacing w:val="-1"/>
          <w:sz w:val="24"/>
          <w:szCs w:val="24"/>
        </w:rPr>
        <w:t>，由西向东</w:t>
      </w:r>
      <w:r>
        <w:rPr>
          <w:rFonts w:ascii="仿宋" w:hAnsi="仿宋" w:eastAsia="仿宋" w:cs="仿宋"/>
          <w:spacing w:val="-2"/>
          <w:sz w:val="24"/>
          <w:szCs w:val="24"/>
        </w:rPr>
        <w:t>沿现有土路</w:t>
      </w:r>
      <w:r>
        <w:rPr>
          <w:rFonts w:ascii="仿宋" w:hAnsi="仿宋" w:eastAsia="仿宋" w:cs="仿宋"/>
          <w:spacing w:val="-3"/>
          <w:sz w:val="24"/>
          <w:szCs w:val="24"/>
        </w:rPr>
        <w:t>布线，全线路基状况良好，无特殊路基，沿线存在基本农田，已</w:t>
      </w:r>
      <w:r>
        <w:rPr>
          <w:rFonts w:ascii="仿宋" w:hAnsi="仿宋" w:eastAsia="仿宋" w:cs="仿宋"/>
          <w:spacing w:val="-4"/>
          <w:sz w:val="24"/>
          <w:szCs w:val="24"/>
        </w:rPr>
        <w:t>进行避让。终点</w:t>
      </w:r>
      <w:r>
        <w:rPr>
          <w:rFonts w:ascii="仿宋" w:hAnsi="仿宋" w:eastAsia="仿宋" w:cs="仿宋"/>
          <w:spacing w:val="-1"/>
          <w:sz w:val="24"/>
          <w:szCs w:val="24"/>
        </w:rPr>
        <w:t>顺接现有土路，终点桩号</w:t>
      </w:r>
      <w:r>
        <w:rPr>
          <w:rFonts w:ascii="仿宋" w:hAnsi="仿宋" w:eastAsia="仿宋" w:cs="仿宋"/>
          <w:spacing w:val="-56"/>
          <w:sz w:val="24"/>
          <w:szCs w:val="24"/>
        </w:rPr>
        <w:t xml:space="preserve"> </w:t>
      </w:r>
      <w:r>
        <w:rPr>
          <w:rFonts w:ascii="Times New Roman" w:hAnsi="Times New Roman" w:eastAsia="Times New Roman" w:cs="Times New Roman"/>
          <w:spacing w:val="-1"/>
          <w:sz w:val="24"/>
          <w:szCs w:val="24"/>
        </w:rPr>
        <w:t>K1+593.10</w:t>
      </w:r>
      <w:r>
        <w:rPr>
          <w:rFonts w:ascii="Times New Roman" w:hAnsi="Times New Roman" w:eastAsia="Times New Roman" w:cs="Times New Roman"/>
          <w:spacing w:val="-2"/>
          <w:sz w:val="24"/>
          <w:szCs w:val="24"/>
        </w:rPr>
        <w:t>3</w:t>
      </w:r>
      <w:r>
        <w:rPr>
          <w:rFonts w:ascii="仿宋" w:hAnsi="仿宋" w:eastAsia="仿宋" w:cs="仿宋"/>
          <w:spacing w:val="-2"/>
          <w:sz w:val="24"/>
          <w:szCs w:val="24"/>
        </w:rPr>
        <w:t>。</w:t>
      </w:r>
    </w:p>
    <w:p w14:paraId="2446A267">
      <w:pPr>
        <w:spacing w:before="78" w:line="222" w:lineRule="auto"/>
        <w:ind w:left="514"/>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8</w:t>
      </w:r>
      <w:r>
        <w:rPr>
          <w:rFonts w:ascii="仿宋" w:hAnsi="仿宋" w:eastAsia="仿宋" w:cs="仿宋"/>
          <w:spacing w:val="-2"/>
          <w:sz w:val="24"/>
          <w:szCs w:val="24"/>
        </w:rPr>
        <w:t>）脑包湾村自然村通硬化路</w:t>
      </w:r>
    </w:p>
    <w:p w14:paraId="40E71195">
      <w:pPr>
        <w:spacing w:before="101" w:line="351" w:lineRule="auto"/>
        <w:ind w:left="18" w:right="65" w:firstLine="490"/>
        <w:rPr>
          <w:rFonts w:ascii="仿宋" w:hAnsi="仿宋" w:eastAsia="仿宋" w:cs="仿宋"/>
          <w:sz w:val="24"/>
          <w:szCs w:val="24"/>
        </w:rPr>
      </w:pPr>
      <w:r>
        <w:rPr>
          <w:rFonts w:ascii="仿宋" w:hAnsi="仿宋" w:eastAsia="仿宋" w:cs="仿宋"/>
          <w:spacing w:val="-1"/>
          <w:sz w:val="24"/>
          <w:szCs w:val="24"/>
        </w:rPr>
        <w:t>路段一起点与现有水泥路丁字交叉，起点桩号</w:t>
      </w:r>
      <w:r>
        <w:rPr>
          <w:rFonts w:ascii="仿宋" w:hAnsi="仿宋" w:eastAsia="仿宋" w:cs="仿宋"/>
          <w:spacing w:val="-56"/>
          <w:sz w:val="24"/>
          <w:szCs w:val="24"/>
        </w:rPr>
        <w:t xml:space="preserve"> </w:t>
      </w:r>
      <w:r>
        <w:rPr>
          <w:rFonts w:ascii="Times New Roman" w:hAnsi="Times New Roman" w:eastAsia="Times New Roman" w:cs="Times New Roman"/>
          <w:spacing w:val="-1"/>
          <w:sz w:val="24"/>
          <w:szCs w:val="24"/>
        </w:rPr>
        <w:t>K0+000</w:t>
      </w:r>
      <w:r>
        <w:rPr>
          <w:rFonts w:ascii="Times New Roman" w:hAnsi="Times New Roman" w:eastAsia="Times New Roman" w:cs="Times New Roman"/>
          <w:spacing w:val="-27"/>
          <w:sz w:val="24"/>
          <w:szCs w:val="24"/>
        </w:rPr>
        <w:t xml:space="preserve"> </w:t>
      </w:r>
      <w:r>
        <w:rPr>
          <w:rFonts w:ascii="仿宋" w:hAnsi="仿宋" w:eastAsia="仿宋" w:cs="仿宋"/>
          <w:spacing w:val="-1"/>
          <w:sz w:val="24"/>
          <w:szCs w:val="24"/>
        </w:rPr>
        <w:t>，沿现有土路布线，</w:t>
      </w:r>
      <w:r>
        <w:rPr>
          <w:rFonts w:ascii="仿宋" w:hAnsi="仿宋" w:eastAsia="仿宋" w:cs="仿宋"/>
          <w:sz w:val="24"/>
          <w:szCs w:val="24"/>
        </w:rPr>
        <w:t xml:space="preserve"> </w:t>
      </w:r>
      <w:r>
        <w:rPr>
          <w:rFonts w:ascii="Times New Roman" w:hAnsi="Times New Roman" w:eastAsia="Times New Roman" w:cs="Times New Roman"/>
          <w:spacing w:val="-3"/>
          <w:sz w:val="24"/>
          <w:szCs w:val="24"/>
        </w:rPr>
        <w:t>K1+966-K1+977</w:t>
      </w:r>
      <w:r>
        <w:rPr>
          <w:rFonts w:ascii="Times New Roman" w:hAnsi="Times New Roman" w:eastAsia="Times New Roman" w:cs="Times New Roman"/>
          <w:spacing w:val="18"/>
          <w:sz w:val="24"/>
          <w:szCs w:val="24"/>
        </w:rPr>
        <w:t xml:space="preserve"> </w:t>
      </w:r>
      <w:r>
        <w:rPr>
          <w:rFonts w:ascii="仿宋" w:hAnsi="仿宋" w:eastAsia="仿宋" w:cs="仿宋"/>
          <w:spacing w:val="-3"/>
          <w:sz w:val="24"/>
          <w:szCs w:val="24"/>
        </w:rPr>
        <w:t>段因降雨造成水毁，对路床</w:t>
      </w:r>
      <w:r>
        <w:rPr>
          <w:rFonts w:ascii="仿宋" w:hAnsi="仿宋" w:eastAsia="仿宋" w:cs="仿宋"/>
          <w:spacing w:val="-45"/>
          <w:sz w:val="24"/>
          <w:szCs w:val="24"/>
        </w:rPr>
        <w:t xml:space="preserve"> </w:t>
      </w:r>
      <w:r>
        <w:rPr>
          <w:rFonts w:ascii="Times New Roman" w:hAnsi="Times New Roman" w:eastAsia="Times New Roman" w:cs="Times New Roman"/>
          <w:spacing w:val="-3"/>
          <w:sz w:val="24"/>
          <w:szCs w:val="24"/>
        </w:rPr>
        <w:t>80cm</w:t>
      </w:r>
      <w:r>
        <w:rPr>
          <w:rFonts w:ascii="Times New Roman" w:hAnsi="Times New Roman" w:eastAsia="Times New Roman" w:cs="Times New Roman"/>
          <w:spacing w:val="29"/>
          <w:w w:val="101"/>
          <w:sz w:val="24"/>
          <w:szCs w:val="24"/>
        </w:rPr>
        <w:t xml:space="preserve"> </w:t>
      </w:r>
      <w:r>
        <w:rPr>
          <w:rFonts w:ascii="仿宋" w:hAnsi="仿宋" w:eastAsia="仿宋" w:cs="仿宋"/>
          <w:spacing w:val="-3"/>
          <w:sz w:val="24"/>
          <w:szCs w:val="24"/>
        </w:rPr>
        <w:t>范围内进行换填</w:t>
      </w:r>
      <w:r>
        <w:rPr>
          <w:rFonts w:ascii="仿宋" w:hAnsi="仿宋" w:eastAsia="仿宋" w:cs="仿宋"/>
          <w:spacing w:val="-4"/>
          <w:sz w:val="24"/>
          <w:szCs w:val="24"/>
        </w:rPr>
        <w:t>处理，其余段</w:t>
      </w:r>
      <w:r>
        <w:rPr>
          <w:rFonts w:ascii="仿宋" w:hAnsi="仿宋" w:eastAsia="仿宋" w:cs="仿宋"/>
          <w:spacing w:val="-3"/>
          <w:sz w:val="24"/>
          <w:szCs w:val="24"/>
        </w:rPr>
        <w:t>落路基状况良好，沿线存在基本农田，已进行避让。终点顺接路段三，终点桩号</w:t>
      </w:r>
      <w:r>
        <w:rPr>
          <w:rFonts w:ascii="Times New Roman" w:hAnsi="Times New Roman" w:eastAsia="Times New Roman" w:cs="Times New Roman"/>
          <w:spacing w:val="-1"/>
          <w:sz w:val="24"/>
          <w:szCs w:val="24"/>
        </w:rPr>
        <w:t>K2+110</w:t>
      </w:r>
      <w:r>
        <w:rPr>
          <w:rFonts w:ascii="仿宋" w:hAnsi="仿宋" w:eastAsia="仿宋" w:cs="仿宋"/>
          <w:spacing w:val="-1"/>
          <w:sz w:val="24"/>
          <w:szCs w:val="24"/>
        </w:rPr>
        <w:t>。</w:t>
      </w:r>
    </w:p>
    <w:p w14:paraId="08D29660">
      <w:pPr>
        <w:spacing w:before="42" w:line="360" w:lineRule="auto"/>
        <w:ind w:left="29" w:firstLine="478"/>
        <w:jc w:val="both"/>
        <w:rPr>
          <w:rFonts w:ascii="仿宋" w:hAnsi="仿宋" w:eastAsia="仿宋" w:cs="仿宋"/>
          <w:sz w:val="24"/>
          <w:szCs w:val="24"/>
        </w:rPr>
      </w:pPr>
      <w:r>
        <w:rPr>
          <w:rFonts w:ascii="仿宋" w:hAnsi="仿宋" w:eastAsia="仿宋" w:cs="仿宋"/>
          <w:spacing w:val="-2"/>
          <w:sz w:val="24"/>
          <w:szCs w:val="24"/>
        </w:rPr>
        <w:t>路段二起点接路段一</w:t>
      </w:r>
      <w:r>
        <w:rPr>
          <w:rFonts w:ascii="仿宋" w:hAnsi="仿宋" w:eastAsia="仿宋" w:cs="仿宋"/>
          <w:spacing w:val="-56"/>
          <w:sz w:val="24"/>
          <w:szCs w:val="24"/>
        </w:rPr>
        <w:t xml:space="preserve"> </w:t>
      </w:r>
      <w:r>
        <w:rPr>
          <w:rFonts w:ascii="Times New Roman" w:hAnsi="Times New Roman" w:eastAsia="Times New Roman" w:cs="Times New Roman"/>
          <w:spacing w:val="-2"/>
          <w:sz w:val="24"/>
          <w:szCs w:val="24"/>
        </w:rPr>
        <w:t>K1+067</w:t>
      </w:r>
      <w:r>
        <w:rPr>
          <w:rFonts w:ascii="Times New Roman" w:hAnsi="Times New Roman" w:eastAsia="Times New Roman" w:cs="Times New Roman"/>
          <w:spacing w:val="17"/>
          <w:sz w:val="24"/>
          <w:szCs w:val="24"/>
        </w:rPr>
        <w:t xml:space="preserve"> </w:t>
      </w:r>
      <w:r>
        <w:rPr>
          <w:rFonts w:ascii="仿宋" w:hAnsi="仿宋" w:eastAsia="仿宋" w:cs="仿宋"/>
          <w:spacing w:val="-2"/>
          <w:sz w:val="24"/>
          <w:szCs w:val="24"/>
        </w:rPr>
        <w:t>处，形成丁字交叉，沿现</w:t>
      </w:r>
      <w:r>
        <w:rPr>
          <w:rFonts w:ascii="仿宋" w:hAnsi="仿宋" w:eastAsia="仿宋" w:cs="仿宋"/>
          <w:spacing w:val="-3"/>
          <w:sz w:val="24"/>
          <w:szCs w:val="24"/>
        </w:rPr>
        <w:t>有土路布线，全线路</w:t>
      </w:r>
      <w:r>
        <w:rPr>
          <w:rFonts w:ascii="仿宋" w:hAnsi="仿宋" w:eastAsia="仿宋" w:cs="仿宋"/>
          <w:spacing w:val="-8"/>
          <w:sz w:val="24"/>
          <w:szCs w:val="24"/>
        </w:rPr>
        <w:t>基状况良好，无特殊路基，沿线存在基本农田，已进行避让。终点顺接现有土路，</w:t>
      </w:r>
      <w:r>
        <w:rPr>
          <w:rFonts w:ascii="仿宋" w:hAnsi="仿宋" w:eastAsia="仿宋" w:cs="仿宋"/>
          <w:spacing w:val="-2"/>
          <w:sz w:val="24"/>
          <w:szCs w:val="24"/>
        </w:rPr>
        <w:t>终点桩号</w:t>
      </w:r>
      <w:r>
        <w:rPr>
          <w:rFonts w:ascii="仿宋" w:hAnsi="仿宋" w:eastAsia="仿宋" w:cs="仿宋"/>
          <w:spacing w:val="-56"/>
          <w:sz w:val="24"/>
          <w:szCs w:val="24"/>
        </w:rPr>
        <w:t xml:space="preserve"> </w:t>
      </w:r>
      <w:r>
        <w:rPr>
          <w:rFonts w:ascii="Times New Roman" w:hAnsi="Times New Roman" w:eastAsia="Times New Roman" w:cs="Times New Roman"/>
          <w:spacing w:val="-2"/>
          <w:sz w:val="24"/>
          <w:szCs w:val="24"/>
        </w:rPr>
        <w:t>K1+236</w:t>
      </w:r>
      <w:r>
        <w:rPr>
          <w:rFonts w:ascii="仿宋" w:hAnsi="仿宋" w:eastAsia="仿宋" w:cs="仿宋"/>
          <w:spacing w:val="-2"/>
          <w:sz w:val="24"/>
          <w:szCs w:val="24"/>
        </w:rPr>
        <w:t>。</w:t>
      </w:r>
    </w:p>
    <w:p w14:paraId="562D9C4F">
      <w:pPr>
        <w:spacing w:before="74" w:line="360" w:lineRule="auto"/>
        <w:ind w:left="43" w:firstLine="465"/>
        <w:jc w:val="both"/>
        <w:rPr>
          <w:rFonts w:ascii="仿宋" w:hAnsi="仿宋" w:eastAsia="仿宋" w:cs="仿宋"/>
          <w:sz w:val="24"/>
          <w:szCs w:val="24"/>
        </w:rPr>
      </w:pPr>
      <w:r>
        <w:rPr>
          <w:rFonts w:ascii="仿宋" w:hAnsi="仿宋" w:eastAsia="仿宋" w:cs="仿宋"/>
          <w:spacing w:val="-8"/>
          <w:sz w:val="24"/>
          <w:szCs w:val="24"/>
        </w:rPr>
        <w:t>路段三起点顺接路段一，沿现有土路布线，全线路</w:t>
      </w:r>
      <w:r>
        <w:rPr>
          <w:rFonts w:ascii="仿宋" w:hAnsi="仿宋" w:eastAsia="仿宋" w:cs="仿宋"/>
          <w:spacing w:val="-9"/>
          <w:sz w:val="24"/>
          <w:szCs w:val="24"/>
        </w:rPr>
        <w:t>基状况良好，无特殊路基，</w:t>
      </w:r>
      <w:r>
        <w:rPr>
          <w:rFonts w:ascii="仿宋" w:hAnsi="仿宋" w:eastAsia="仿宋" w:cs="仿宋"/>
          <w:spacing w:val="-4"/>
          <w:sz w:val="24"/>
          <w:szCs w:val="24"/>
        </w:rPr>
        <w:t>因路段三走廊带范围穿越基本农田，本次设计路面结构采用未筛分碎石路面。终</w:t>
      </w:r>
      <w:r>
        <w:rPr>
          <w:rFonts w:ascii="仿宋" w:hAnsi="仿宋" w:eastAsia="仿宋" w:cs="仿宋"/>
          <w:spacing w:val="-2"/>
          <w:sz w:val="24"/>
          <w:szCs w:val="24"/>
        </w:rPr>
        <w:t>点与现有沥青路丁字交叉，终点桩号</w:t>
      </w:r>
      <w:r>
        <w:rPr>
          <w:rFonts w:ascii="仿宋" w:hAnsi="仿宋" w:eastAsia="仿宋" w:cs="仿宋"/>
          <w:spacing w:val="-46"/>
          <w:sz w:val="24"/>
          <w:szCs w:val="24"/>
        </w:rPr>
        <w:t xml:space="preserve"> </w:t>
      </w:r>
      <w:r>
        <w:rPr>
          <w:rFonts w:ascii="Times New Roman" w:hAnsi="Times New Roman" w:eastAsia="Times New Roman" w:cs="Times New Roman"/>
          <w:spacing w:val="-2"/>
          <w:sz w:val="24"/>
          <w:szCs w:val="24"/>
        </w:rPr>
        <w:t>K1+158</w:t>
      </w:r>
      <w:r>
        <w:rPr>
          <w:rFonts w:ascii="仿宋" w:hAnsi="仿宋" w:eastAsia="仿宋" w:cs="仿宋"/>
          <w:spacing w:val="-2"/>
          <w:sz w:val="24"/>
          <w:szCs w:val="24"/>
        </w:rPr>
        <w:t>。</w:t>
      </w:r>
    </w:p>
    <w:p w14:paraId="68CD6D32">
      <w:pPr>
        <w:spacing w:before="1" w:line="221" w:lineRule="auto"/>
        <w:ind w:left="514"/>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9</w:t>
      </w:r>
      <w:r>
        <w:rPr>
          <w:rFonts w:ascii="仿宋" w:hAnsi="仿宋" w:eastAsia="仿宋" w:cs="仿宋"/>
          <w:spacing w:val="-2"/>
          <w:sz w:val="24"/>
          <w:szCs w:val="24"/>
        </w:rPr>
        <w:t>）份子地社新村至二道拐村委会</w:t>
      </w:r>
    </w:p>
    <w:p w14:paraId="73274415">
      <w:pPr>
        <w:spacing w:before="99" w:line="360" w:lineRule="auto"/>
        <w:ind w:left="30" w:right="65" w:firstLine="477"/>
        <w:rPr>
          <w:rFonts w:ascii="仿宋" w:hAnsi="仿宋" w:eastAsia="仿宋" w:cs="仿宋"/>
          <w:sz w:val="24"/>
          <w:szCs w:val="24"/>
        </w:rPr>
      </w:pPr>
      <w:r>
        <w:rPr>
          <w:rFonts w:ascii="仿宋" w:hAnsi="仿宋" w:eastAsia="仿宋" w:cs="仿宋"/>
          <w:spacing w:val="-1"/>
          <w:sz w:val="24"/>
          <w:szCs w:val="24"/>
        </w:rPr>
        <w:t>路线起点与现有水泥路丁字交叉，起点桩号</w:t>
      </w:r>
      <w:r>
        <w:rPr>
          <w:rFonts w:ascii="仿宋" w:hAnsi="仿宋" w:eastAsia="仿宋" w:cs="仿宋"/>
          <w:spacing w:val="-53"/>
          <w:sz w:val="24"/>
          <w:szCs w:val="24"/>
        </w:rPr>
        <w:t xml:space="preserve"> </w:t>
      </w:r>
      <w:r>
        <w:rPr>
          <w:rFonts w:ascii="Times New Roman" w:hAnsi="Times New Roman" w:eastAsia="Times New Roman" w:cs="Times New Roman"/>
          <w:spacing w:val="-1"/>
          <w:sz w:val="24"/>
          <w:szCs w:val="24"/>
        </w:rPr>
        <w:t>K0+000</w:t>
      </w:r>
      <w:r>
        <w:rPr>
          <w:rFonts w:ascii="Times New Roman" w:hAnsi="Times New Roman" w:eastAsia="Times New Roman" w:cs="Times New Roman"/>
          <w:spacing w:val="-27"/>
          <w:sz w:val="24"/>
          <w:szCs w:val="24"/>
        </w:rPr>
        <w:t xml:space="preserve"> </w:t>
      </w:r>
      <w:r>
        <w:rPr>
          <w:rFonts w:ascii="仿宋" w:hAnsi="仿宋" w:eastAsia="仿宋" w:cs="仿宋"/>
          <w:spacing w:val="-1"/>
          <w:sz w:val="24"/>
          <w:szCs w:val="24"/>
        </w:rPr>
        <w:t>，由西向东</w:t>
      </w:r>
      <w:r>
        <w:rPr>
          <w:rFonts w:ascii="仿宋" w:hAnsi="仿宋" w:eastAsia="仿宋" w:cs="仿宋"/>
          <w:spacing w:val="-2"/>
          <w:sz w:val="24"/>
          <w:szCs w:val="24"/>
        </w:rPr>
        <w:t>沿现有土路</w:t>
      </w:r>
      <w:r>
        <w:rPr>
          <w:rFonts w:ascii="仿宋" w:hAnsi="仿宋" w:eastAsia="仿宋" w:cs="仿宋"/>
          <w:spacing w:val="-3"/>
          <w:sz w:val="24"/>
          <w:szCs w:val="24"/>
        </w:rPr>
        <w:t>布线，全线路基状况良好，无特殊路基，沿线存在基本农田，已</w:t>
      </w:r>
      <w:r>
        <w:rPr>
          <w:rFonts w:ascii="仿宋" w:hAnsi="仿宋" w:eastAsia="仿宋" w:cs="仿宋"/>
          <w:spacing w:val="-4"/>
          <w:sz w:val="24"/>
          <w:szCs w:val="24"/>
        </w:rPr>
        <w:t>进行避让。终点</w:t>
      </w:r>
      <w:r>
        <w:rPr>
          <w:rFonts w:ascii="仿宋" w:hAnsi="仿宋" w:eastAsia="仿宋" w:cs="仿宋"/>
          <w:spacing w:val="-1"/>
          <w:sz w:val="24"/>
          <w:szCs w:val="24"/>
        </w:rPr>
        <w:t>顺接现有土路，终点桩号</w:t>
      </w:r>
      <w:r>
        <w:rPr>
          <w:rFonts w:ascii="仿宋" w:hAnsi="仿宋" w:eastAsia="仿宋" w:cs="仿宋"/>
          <w:spacing w:val="-56"/>
          <w:sz w:val="24"/>
          <w:szCs w:val="24"/>
        </w:rPr>
        <w:t xml:space="preserve"> </w:t>
      </w:r>
      <w:r>
        <w:rPr>
          <w:rFonts w:ascii="Times New Roman" w:hAnsi="Times New Roman" w:eastAsia="Times New Roman" w:cs="Times New Roman"/>
          <w:spacing w:val="-1"/>
          <w:sz w:val="24"/>
          <w:szCs w:val="24"/>
        </w:rPr>
        <w:t>K1+593.10</w:t>
      </w:r>
      <w:r>
        <w:rPr>
          <w:rFonts w:ascii="Times New Roman" w:hAnsi="Times New Roman" w:eastAsia="Times New Roman" w:cs="Times New Roman"/>
          <w:spacing w:val="-2"/>
          <w:sz w:val="24"/>
          <w:szCs w:val="24"/>
        </w:rPr>
        <w:t>3</w:t>
      </w:r>
      <w:r>
        <w:rPr>
          <w:rFonts w:ascii="仿宋" w:hAnsi="仿宋" w:eastAsia="仿宋" w:cs="仿宋"/>
          <w:spacing w:val="-2"/>
          <w:sz w:val="24"/>
          <w:szCs w:val="24"/>
        </w:rPr>
        <w:t>。</w:t>
      </w:r>
    </w:p>
    <w:p w14:paraId="200B6DEB">
      <w:pPr>
        <w:spacing w:before="78" w:line="222" w:lineRule="auto"/>
        <w:ind w:left="514"/>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10</w:t>
      </w:r>
      <w:r>
        <w:rPr>
          <w:rFonts w:ascii="仿宋" w:hAnsi="仿宋" w:eastAsia="仿宋" w:cs="仿宋"/>
          <w:spacing w:val="-2"/>
          <w:sz w:val="24"/>
          <w:szCs w:val="24"/>
        </w:rPr>
        <w:t>）沿黄巨合滩出口东至天顺圪梁通村路</w:t>
      </w:r>
    </w:p>
    <w:p w14:paraId="7C7984AC">
      <w:pPr>
        <w:spacing w:before="99" w:line="351" w:lineRule="auto"/>
        <w:ind w:left="18" w:right="67" w:firstLine="490"/>
        <w:rPr>
          <w:rFonts w:ascii="仿宋" w:hAnsi="仿宋" w:eastAsia="仿宋" w:cs="仿宋"/>
          <w:sz w:val="24"/>
          <w:szCs w:val="24"/>
        </w:rPr>
      </w:pPr>
      <w:r>
        <w:rPr>
          <w:rFonts w:ascii="仿宋" w:hAnsi="仿宋" w:eastAsia="仿宋" w:cs="仿宋"/>
          <w:spacing w:val="-1"/>
          <w:sz w:val="24"/>
          <w:szCs w:val="24"/>
        </w:rPr>
        <w:t>路线起点顺接现有水泥路，起点桩号</w:t>
      </w:r>
      <w:r>
        <w:rPr>
          <w:rFonts w:ascii="仿宋" w:hAnsi="仿宋" w:eastAsia="仿宋" w:cs="仿宋"/>
          <w:spacing w:val="-56"/>
          <w:sz w:val="24"/>
          <w:szCs w:val="24"/>
        </w:rPr>
        <w:t xml:space="preserve"> </w:t>
      </w:r>
      <w:r>
        <w:rPr>
          <w:rFonts w:ascii="Times New Roman" w:hAnsi="Times New Roman" w:eastAsia="Times New Roman" w:cs="Times New Roman"/>
          <w:spacing w:val="-1"/>
          <w:sz w:val="24"/>
          <w:szCs w:val="24"/>
        </w:rPr>
        <w:t>K0+000</w:t>
      </w:r>
      <w:r>
        <w:rPr>
          <w:rFonts w:ascii="Times New Roman" w:hAnsi="Times New Roman" w:eastAsia="Times New Roman" w:cs="Times New Roman"/>
          <w:spacing w:val="-27"/>
          <w:sz w:val="24"/>
          <w:szCs w:val="24"/>
        </w:rPr>
        <w:t xml:space="preserve"> </w:t>
      </w:r>
      <w:r>
        <w:rPr>
          <w:rFonts w:ascii="仿宋" w:hAnsi="仿宋" w:eastAsia="仿宋" w:cs="仿宋"/>
          <w:spacing w:val="-1"/>
          <w:sz w:val="24"/>
          <w:szCs w:val="24"/>
        </w:rPr>
        <w:t>，由南向北沿现有土路布</w:t>
      </w:r>
      <w:r>
        <w:rPr>
          <w:rFonts w:ascii="仿宋" w:hAnsi="仿宋" w:eastAsia="仿宋" w:cs="仿宋"/>
          <w:spacing w:val="-2"/>
          <w:sz w:val="24"/>
          <w:szCs w:val="24"/>
        </w:rPr>
        <w:t>线，</w:t>
      </w:r>
      <w:r>
        <w:rPr>
          <w:rFonts w:ascii="仿宋" w:hAnsi="仿宋" w:eastAsia="仿宋" w:cs="仿宋"/>
          <w:spacing w:val="14"/>
          <w:sz w:val="24"/>
          <w:szCs w:val="24"/>
        </w:rPr>
        <w:t>全线路基状况良好</w:t>
      </w:r>
      <w:r>
        <w:rPr>
          <w:rFonts w:ascii="仿宋" w:hAnsi="仿宋" w:eastAsia="仿宋" w:cs="仿宋"/>
          <w:spacing w:val="-57"/>
          <w:sz w:val="24"/>
          <w:szCs w:val="24"/>
        </w:rPr>
        <w:t xml:space="preserve"> </w:t>
      </w:r>
      <w:r>
        <w:rPr>
          <w:rFonts w:ascii="仿宋" w:hAnsi="仿宋" w:eastAsia="仿宋" w:cs="仿宋"/>
          <w:spacing w:val="14"/>
          <w:sz w:val="24"/>
          <w:szCs w:val="24"/>
        </w:rPr>
        <w:t>，无特殊路基</w:t>
      </w:r>
      <w:r>
        <w:rPr>
          <w:rFonts w:ascii="仿宋" w:hAnsi="仿宋" w:eastAsia="仿宋" w:cs="仿宋"/>
          <w:spacing w:val="-65"/>
          <w:sz w:val="24"/>
          <w:szCs w:val="24"/>
        </w:rPr>
        <w:t xml:space="preserve"> </w:t>
      </w:r>
      <w:r>
        <w:rPr>
          <w:rFonts w:ascii="仿宋" w:hAnsi="仿宋" w:eastAsia="仿宋" w:cs="仿宋"/>
          <w:spacing w:val="14"/>
          <w:sz w:val="24"/>
          <w:szCs w:val="24"/>
        </w:rPr>
        <w:t>。终点与现有沥青路丁字交叉</w:t>
      </w:r>
      <w:r>
        <w:rPr>
          <w:rFonts w:ascii="仿宋" w:hAnsi="仿宋" w:eastAsia="仿宋" w:cs="仿宋"/>
          <w:spacing w:val="-68"/>
          <w:sz w:val="24"/>
          <w:szCs w:val="24"/>
        </w:rPr>
        <w:t xml:space="preserve"> </w:t>
      </w:r>
      <w:r>
        <w:rPr>
          <w:rFonts w:ascii="仿宋" w:hAnsi="仿宋" w:eastAsia="仿宋" w:cs="仿宋"/>
          <w:spacing w:val="14"/>
          <w:sz w:val="24"/>
          <w:szCs w:val="24"/>
        </w:rPr>
        <w:t>，终点桩号</w:t>
      </w:r>
      <w:r>
        <w:rPr>
          <w:rFonts w:ascii="Times New Roman" w:hAnsi="Times New Roman" w:eastAsia="Times New Roman" w:cs="Times New Roman"/>
          <w:spacing w:val="-1"/>
          <w:sz w:val="24"/>
          <w:szCs w:val="24"/>
        </w:rPr>
        <w:t>K1+456.665</w:t>
      </w:r>
      <w:r>
        <w:rPr>
          <w:rFonts w:ascii="仿宋" w:hAnsi="仿宋" w:eastAsia="仿宋" w:cs="仿宋"/>
          <w:spacing w:val="-1"/>
          <w:sz w:val="24"/>
          <w:szCs w:val="24"/>
        </w:rPr>
        <w:t>。</w:t>
      </w:r>
    </w:p>
    <w:p w14:paraId="489E25F9">
      <w:pPr>
        <w:spacing w:before="31" w:line="221" w:lineRule="auto"/>
        <w:ind w:left="510"/>
        <w:rPr>
          <w:rFonts w:ascii="仿宋" w:hAnsi="仿宋" w:eastAsia="仿宋" w:cs="仿宋"/>
          <w:sz w:val="24"/>
          <w:szCs w:val="24"/>
        </w:rPr>
      </w:pPr>
      <w:r>
        <w:rPr>
          <w:rFonts w:ascii="仿宋" w:hAnsi="仿宋" w:eastAsia="仿宋" w:cs="仿宋"/>
          <w:spacing w:val="-4"/>
          <w:sz w:val="24"/>
          <w:szCs w:val="24"/>
        </w:rPr>
        <w:t>各路段技术指标详见表</w:t>
      </w:r>
      <w:r>
        <w:rPr>
          <w:rFonts w:ascii="仿宋" w:hAnsi="仿宋" w:eastAsia="仿宋" w:cs="仿宋"/>
          <w:spacing w:val="-42"/>
          <w:sz w:val="24"/>
          <w:szCs w:val="24"/>
        </w:rPr>
        <w:t xml:space="preserve"> </w:t>
      </w:r>
      <w:r>
        <w:rPr>
          <w:rFonts w:ascii="Times New Roman" w:hAnsi="Times New Roman" w:eastAsia="Times New Roman" w:cs="Times New Roman"/>
          <w:spacing w:val="-4"/>
          <w:sz w:val="24"/>
          <w:szCs w:val="24"/>
        </w:rPr>
        <w:t>2.1-</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4"/>
          <w:sz w:val="24"/>
          <w:szCs w:val="24"/>
        </w:rPr>
        <w:t>1</w:t>
      </w:r>
      <w:r>
        <w:rPr>
          <w:rFonts w:ascii="仿宋" w:hAnsi="仿宋" w:eastAsia="仿宋" w:cs="仿宋"/>
          <w:spacing w:val="-4"/>
          <w:sz w:val="24"/>
          <w:szCs w:val="24"/>
        </w:rPr>
        <w:t>。</w:t>
      </w:r>
    </w:p>
    <w:p w14:paraId="740CC7DA">
      <w:pPr>
        <w:spacing w:line="221" w:lineRule="auto"/>
        <w:rPr>
          <w:rFonts w:ascii="仿宋" w:hAnsi="仿宋" w:eastAsia="仿宋" w:cs="仿宋"/>
          <w:sz w:val="24"/>
          <w:szCs w:val="24"/>
        </w:rPr>
        <w:sectPr>
          <w:footerReference r:id="rId151" w:type="default"/>
          <w:pgSz w:w="11906" w:h="16839"/>
          <w:pgMar w:top="400" w:right="1734" w:bottom="1370" w:left="1785" w:header="0" w:footer="1207" w:gutter="0"/>
          <w:cols w:space="720" w:num="1"/>
        </w:sectPr>
      </w:pPr>
    </w:p>
    <w:p w14:paraId="4F787EC5">
      <w:pPr>
        <w:pStyle w:val="2"/>
        <w:spacing w:line="247" w:lineRule="auto"/>
        <w:rPr>
          <w:sz w:val="21"/>
        </w:rPr>
      </w:pPr>
    </w:p>
    <w:p w14:paraId="1C5A1331">
      <w:pPr>
        <w:pStyle w:val="2"/>
        <w:spacing w:line="248" w:lineRule="auto"/>
        <w:rPr>
          <w:sz w:val="21"/>
        </w:rPr>
      </w:pPr>
    </w:p>
    <w:p w14:paraId="32EAADDF">
      <w:pPr>
        <w:pStyle w:val="2"/>
        <w:spacing w:line="248" w:lineRule="auto"/>
        <w:rPr>
          <w:sz w:val="21"/>
        </w:rPr>
      </w:pPr>
    </w:p>
    <w:p w14:paraId="7F44C553">
      <w:pPr>
        <w:pStyle w:val="2"/>
        <w:spacing w:line="248" w:lineRule="auto"/>
        <w:rPr>
          <w:sz w:val="21"/>
        </w:rPr>
      </w:pPr>
    </w:p>
    <w:p w14:paraId="5A02D893">
      <w:pPr>
        <w:spacing w:before="78" w:line="222" w:lineRule="auto"/>
        <w:ind w:left="2707"/>
        <w:rPr>
          <w:rFonts w:ascii="仿宋" w:hAnsi="仿宋" w:eastAsia="仿宋" w:cs="仿宋"/>
          <w:sz w:val="24"/>
          <w:szCs w:val="24"/>
        </w:rPr>
      </w:pPr>
      <w:r>
        <w:rPr>
          <w:rFonts w:ascii="仿宋" w:hAnsi="仿宋" w:eastAsia="仿宋" w:cs="仿宋"/>
          <w:b/>
          <w:bCs/>
          <w:spacing w:val="-3"/>
          <w:sz w:val="24"/>
          <w:szCs w:val="24"/>
        </w:rPr>
        <w:t>表</w:t>
      </w:r>
      <w:r>
        <w:rPr>
          <w:rFonts w:ascii="仿宋" w:hAnsi="仿宋" w:eastAsia="仿宋" w:cs="仿宋"/>
          <w:spacing w:val="-43"/>
          <w:sz w:val="24"/>
          <w:szCs w:val="24"/>
        </w:rPr>
        <w:t xml:space="preserve"> </w:t>
      </w:r>
      <w:r>
        <w:rPr>
          <w:rFonts w:ascii="仿宋" w:hAnsi="仿宋" w:eastAsia="仿宋" w:cs="仿宋"/>
          <w:b/>
          <w:bCs/>
          <w:spacing w:val="-3"/>
          <w:sz w:val="24"/>
          <w:szCs w:val="24"/>
        </w:rPr>
        <w:t>2.1-1</w:t>
      </w:r>
      <w:r>
        <w:rPr>
          <w:rFonts w:ascii="仿宋" w:hAnsi="仿宋" w:eastAsia="仿宋" w:cs="仿宋"/>
          <w:spacing w:val="-3"/>
          <w:sz w:val="24"/>
          <w:szCs w:val="24"/>
        </w:rPr>
        <w:t xml:space="preserve">     </w:t>
      </w:r>
      <w:r>
        <w:rPr>
          <w:rFonts w:ascii="仿宋" w:hAnsi="仿宋" w:eastAsia="仿宋" w:cs="仿宋"/>
          <w:b/>
          <w:bCs/>
          <w:spacing w:val="-3"/>
          <w:sz w:val="24"/>
          <w:szCs w:val="24"/>
        </w:rPr>
        <w:t>各路段技术指标表</w:t>
      </w:r>
    </w:p>
    <w:p w14:paraId="65D2718F">
      <w:pPr>
        <w:spacing w:line="143" w:lineRule="exact"/>
      </w:pPr>
    </w:p>
    <w:tbl>
      <w:tblPr>
        <w:tblStyle w:val="5"/>
        <w:tblW w:w="8305"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47"/>
        <w:gridCol w:w="757"/>
        <w:gridCol w:w="3355"/>
        <w:gridCol w:w="1513"/>
        <w:gridCol w:w="1145"/>
        <w:gridCol w:w="1188"/>
      </w:tblGrid>
      <w:tr w14:paraId="20864D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347" w:type="dxa"/>
            <w:tcBorders>
              <w:top w:val="single" w:color="000000" w:sz="10" w:space="0"/>
              <w:left w:val="nil"/>
            </w:tcBorders>
            <w:textDirection w:val="tbRlV"/>
            <w:vAlign w:val="top"/>
          </w:tcPr>
          <w:p w14:paraId="1D285A2A">
            <w:pPr>
              <w:spacing w:before="63" w:line="209" w:lineRule="auto"/>
              <w:ind w:left="366"/>
              <w:rPr>
                <w:rFonts w:ascii="仿宋" w:hAnsi="仿宋" w:eastAsia="仿宋" w:cs="仿宋"/>
                <w:sz w:val="20"/>
                <w:szCs w:val="20"/>
              </w:rPr>
            </w:pPr>
            <w:r>
              <w:rPr>
                <w:rFonts w:ascii="仿宋" w:hAnsi="仿宋" w:eastAsia="仿宋" w:cs="仿宋"/>
                <w:spacing w:val="13"/>
                <w:sz w:val="20"/>
                <w:szCs w:val="20"/>
              </w:rPr>
              <w:t>序</w:t>
            </w:r>
            <w:r>
              <w:rPr>
                <w:rFonts w:ascii="仿宋" w:hAnsi="仿宋" w:eastAsia="仿宋" w:cs="仿宋"/>
                <w:spacing w:val="-2"/>
                <w:sz w:val="20"/>
                <w:szCs w:val="20"/>
              </w:rPr>
              <w:t xml:space="preserve"> </w:t>
            </w:r>
            <w:r>
              <w:rPr>
                <w:rFonts w:ascii="仿宋" w:hAnsi="仿宋" w:eastAsia="仿宋" w:cs="仿宋"/>
                <w:spacing w:val="13"/>
                <w:sz w:val="20"/>
                <w:szCs w:val="20"/>
              </w:rPr>
              <w:t>号</w:t>
            </w:r>
          </w:p>
        </w:tc>
        <w:tc>
          <w:tcPr>
            <w:tcW w:w="757" w:type="dxa"/>
            <w:tcBorders>
              <w:top w:val="single" w:color="000000" w:sz="10" w:space="0"/>
            </w:tcBorders>
            <w:vAlign w:val="top"/>
          </w:tcPr>
          <w:p w14:paraId="0EB241D5">
            <w:pPr>
              <w:spacing w:line="298" w:lineRule="auto"/>
              <w:rPr>
                <w:rFonts w:ascii="Arial"/>
                <w:sz w:val="21"/>
              </w:rPr>
            </w:pPr>
          </w:p>
          <w:p w14:paraId="319454C6">
            <w:pPr>
              <w:spacing w:before="65" w:line="261" w:lineRule="auto"/>
              <w:ind w:left="287" w:right="66" w:hanging="200"/>
              <w:rPr>
                <w:rFonts w:ascii="仿宋" w:hAnsi="仿宋" w:eastAsia="仿宋" w:cs="仿宋"/>
                <w:sz w:val="20"/>
                <w:szCs w:val="20"/>
              </w:rPr>
            </w:pPr>
            <w:r>
              <w:rPr>
                <w:rFonts w:ascii="仿宋" w:hAnsi="仿宋" w:eastAsia="仿宋" w:cs="仿宋"/>
                <w:spacing w:val="-1"/>
                <w:sz w:val="20"/>
                <w:szCs w:val="20"/>
              </w:rPr>
              <w:t>所属乡</w:t>
            </w:r>
            <w:r>
              <w:rPr>
                <w:rFonts w:ascii="仿宋" w:hAnsi="仿宋" w:eastAsia="仿宋" w:cs="仿宋"/>
                <w:sz w:val="20"/>
                <w:szCs w:val="20"/>
              </w:rPr>
              <w:t>镇</w:t>
            </w:r>
          </w:p>
        </w:tc>
        <w:tc>
          <w:tcPr>
            <w:tcW w:w="3355" w:type="dxa"/>
            <w:tcBorders>
              <w:top w:val="single" w:color="000000" w:sz="10" w:space="0"/>
            </w:tcBorders>
            <w:vAlign w:val="top"/>
          </w:tcPr>
          <w:p w14:paraId="3782780D">
            <w:pPr>
              <w:spacing w:line="454" w:lineRule="auto"/>
              <w:rPr>
                <w:rFonts w:ascii="Arial"/>
                <w:sz w:val="21"/>
              </w:rPr>
            </w:pPr>
          </w:p>
          <w:p w14:paraId="59333F00">
            <w:pPr>
              <w:spacing w:before="65" w:line="229" w:lineRule="auto"/>
              <w:ind w:left="1284"/>
              <w:rPr>
                <w:rFonts w:ascii="仿宋" w:hAnsi="仿宋" w:eastAsia="仿宋" w:cs="仿宋"/>
                <w:sz w:val="20"/>
                <w:szCs w:val="20"/>
              </w:rPr>
            </w:pPr>
            <w:r>
              <w:rPr>
                <w:rFonts w:ascii="仿宋" w:hAnsi="仿宋" w:eastAsia="仿宋" w:cs="仿宋"/>
                <w:spacing w:val="-1"/>
                <w:sz w:val="20"/>
                <w:szCs w:val="20"/>
              </w:rPr>
              <w:t>项目名称</w:t>
            </w:r>
          </w:p>
        </w:tc>
        <w:tc>
          <w:tcPr>
            <w:tcW w:w="1513" w:type="dxa"/>
            <w:tcBorders>
              <w:top w:val="single" w:color="000000" w:sz="10" w:space="0"/>
            </w:tcBorders>
            <w:vAlign w:val="top"/>
          </w:tcPr>
          <w:p w14:paraId="494C7279">
            <w:pPr>
              <w:pStyle w:val="6"/>
              <w:spacing w:before="209" w:line="232" w:lineRule="auto"/>
              <w:ind w:left="120"/>
              <w:rPr>
                <w:rFonts w:ascii="仿宋" w:hAnsi="仿宋" w:eastAsia="仿宋" w:cs="仿宋"/>
                <w:sz w:val="20"/>
                <w:szCs w:val="20"/>
              </w:rPr>
            </w:pPr>
            <w:r>
              <w:rPr>
                <w:rFonts w:ascii="仿宋" w:hAnsi="仿宋" w:eastAsia="仿宋" w:cs="仿宋"/>
                <w:spacing w:val="3"/>
                <w:sz w:val="20"/>
                <w:szCs w:val="20"/>
              </w:rPr>
              <w:t>路基</w:t>
            </w:r>
            <w:r>
              <w:rPr>
                <w:spacing w:val="3"/>
                <w:sz w:val="20"/>
                <w:szCs w:val="20"/>
              </w:rPr>
              <w:t>/</w:t>
            </w:r>
            <w:r>
              <w:rPr>
                <w:rFonts w:ascii="仿宋" w:hAnsi="仿宋" w:eastAsia="仿宋" w:cs="仿宋"/>
                <w:spacing w:val="3"/>
                <w:sz w:val="20"/>
                <w:szCs w:val="20"/>
              </w:rPr>
              <w:t>路面宽度</w:t>
            </w:r>
          </w:p>
          <w:p w14:paraId="3B7D3576">
            <w:pPr>
              <w:pStyle w:val="6"/>
              <w:spacing w:before="61" w:line="265" w:lineRule="exact"/>
              <w:ind w:left="493"/>
              <w:rPr>
                <w:rFonts w:ascii="仿宋" w:hAnsi="仿宋" w:eastAsia="仿宋" w:cs="仿宋"/>
                <w:sz w:val="20"/>
                <w:szCs w:val="20"/>
              </w:rPr>
            </w:pPr>
            <w:r>
              <w:rPr>
                <w:rFonts w:ascii="仿宋" w:hAnsi="仿宋" w:eastAsia="仿宋" w:cs="仿宋"/>
                <w:spacing w:val="-5"/>
                <w:position w:val="1"/>
                <w:sz w:val="20"/>
                <w:szCs w:val="20"/>
              </w:rPr>
              <w:t>（</w:t>
            </w:r>
            <w:r>
              <w:rPr>
                <w:spacing w:val="-5"/>
                <w:position w:val="1"/>
                <w:sz w:val="20"/>
                <w:szCs w:val="20"/>
              </w:rPr>
              <w:t>m</w:t>
            </w:r>
            <w:r>
              <w:rPr>
                <w:rFonts w:ascii="仿宋" w:hAnsi="仿宋" w:eastAsia="仿宋" w:cs="仿宋"/>
                <w:spacing w:val="-5"/>
                <w:position w:val="1"/>
                <w:sz w:val="20"/>
                <w:szCs w:val="20"/>
              </w:rPr>
              <w:t>）</w:t>
            </w:r>
          </w:p>
        </w:tc>
        <w:tc>
          <w:tcPr>
            <w:tcW w:w="1145" w:type="dxa"/>
            <w:tcBorders>
              <w:top w:val="single" w:color="000000" w:sz="10" w:space="0"/>
            </w:tcBorders>
            <w:vAlign w:val="top"/>
          </w:tcPr>
          <w:p w14:paraId="57539A77">
            <w:pPr>
              <w:spacing w:line="453" w:lineRule="auto"/>
              <w:rPr>
                <w:rFonts w:ascii="Arial"/>
                <w:sz w:val="21"/>
              </w:rPr>
            </w:pPr>
          </w:p>
          <w:p w14:paraId="2122C02D">
            <w:pPr>
              <w:spacing w:before="65" w:line="232" w:lineRule="auto"/>
              <w:ind w:left="179"/>
              <w:rPr>
                <w:rFonts w:ascii="仿宋" w:hAnsi="仿宋" w:eastAsia="仿宋" w:cs="仿宋"/>
                <w:sz w:val="20"/>
                <w:szCs w:val="20"/>
              </w:rPr>
            </w:pPr>
            <w:r>
              <w:rPr>
                <w:rFonts w:ascii="仿宋" w:hAnsi="仿宋" w:eastAsia="仿宋" w:cs="仿宋"/>
                <w:sz w:val="20"/>
                <w:szCs w:val="20"/>
              </w:rPr>
              <w:t>路面类型</w:t>
            </w:r>
          </w:p>
        </w:tc>
        <w:tc>
          <w:tcPr>
            <w:tcW w:w="1188" w:type="dxa"/>
            <w:tcBorders>
              <w:top w:val="single" w:color="000000" w:sz="10" w:space="0"/>
              <w:right w:val="nil"/>
            </w:tcBorders>
            <w:vAlign w:val="top"/>
          </w:tcPr>
          <w:p w14:paraId="6E855525">
            <w:pPr>
              <w:pStyle w:val="6"/>
              <w:spacing w:before="210" w:line="308" w:lineRule="auto"/>
              <w:ind w:left="404" w:right="180" w:hanging="196"/>
              <w:rPr>
                <w:sz w:val="20"/>
                <w:szCs w:val="20"/>
              </w:rPr>
            </w:pPr>
            <w:r>
              <w:rPr>
                <w:rFonts w:ascii="仿宋" w:hAnsi="仿宋" w:eastAsia="仿宋" w:cs="仿宋"/>
                <w:spacing w:val="-2"/>
                <w:sz w:val="20"/>
                <w:szCs w:val="20"/>
              </w:rPr>
              <w:t>实测里程</w:t>
            </w:r>
            <w:r>
              <w:rPr>
                <w:spacing w:val="-1"/>
                <w:sz w:val="20"/>
                <w:szCs w:val="20"/>
              </w:rPr>
              <w:t>(km)</w:t>
            </w:r>
          </w:p>
        </w:tc>
      </w:tr>
      <w:tr w14:paraId="5B6BF6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347" w:type="dxa"/>
            <w:tcBorders>
              <w:left w:val="nil"/>
            </w:tcBorders>
            <w:vAlign w:val="top"/>
          </w:tcPr>
          <w:p w14:paraId="6E7F9948">
            <w:pPr>
              <w:pStyle w:val="6"/>
              <w:spacing w:before="92" w:line="195" w:lineRule="auto"/>
              <w:ind w:left="146"/>
              <w:rPr>
                <w:sz w:val="20"/>
                <w:szCs w:val="20"/>
              </w:rPr>
            </w:pPr>
            <w:r>
              <w:rPr>
                <w:sz w:val="20"/>
                <w:szCs w:val="20"/>
              </w:rPr>
              <w:t>1</w:t>
            </w:r>
          </w:p>
        </w:tc>
        <w:tc>
          <w:tcPr>
            <w:tcW w:w="757" w:type="dxa"/>
            <w:vMerge w:val="restart"/>
            <w:tcBorders>
              <w:bottom w:val="nil"/>
            </w:tcBorders>
            <w:vAlign w:val="top"/>
          </w:tcPr>
          <w:p w14:paraId="25952641">
            <w:pPr>
              <w:spacing w:line="314" w:lineRule="auto"/>
              <w:rPr>
                <w:rFonts w:ascii="Arial"/>
                <w:sz w:val="21"/>
              </w:rPr>
            </w:pPr>
          </w:p>
          <w:p w14:paraId="381B835C">
            <w:pPr>
              <w:spacing w:before="65" w:line="289" w:lineRule="auto"/>
              <w:ind w:left="289" w:right="69" w:hanging="190"/>
              <w:rPr>
                <w:rFonts w:ascii="仿宋" w:hAnsi="仿宋" w:eastAsia="仿宋" w:cs="仿宋"/>
                <w:sz w:val="20"/>
                <w:szCs w:val="20"/>
              </w:rPr>
            </w:pPr>
            <w:r>
              <w:rPr>
                <w:rFonts w:ascii="仿宋" w:hAnsi="仿宋" w:eastAsia="仿宋" w:cs="仿宋"/>
                <w:spacing w:val="-6"/>
                <w:sz w:val="20"/>
                <w:szCs w:val="20"/>
              </w:rPr>
              <w:t>沙圪堵</w:t>
            </w:r>
            <w:r>
              <w:rPr>
                <w:rFonts w:ascii="仿宋" w:hAnsi="仿宋" w:eastAsia="仿宋" w:cs="仿宋"/>
                <w:sz w:val="20"/>
                <w:szCs w:val="20"/>
              </w:rPr>
              <w:t>镇</w:t>
            </w:r>
          </w:p>
        </w:tc>
        <w:tc>
          <w:tcPr>
            <w:tcW w:w="3355" w:type="dxa"/>
            <w:vAlign w:val="top"/>
          </w:tcPr>
          <w:p w14:paraId="04A7B774">
            <w:pPr>
              <w:spacing w:before="55" w:line="230" w:lineRule="auto"/>
              <w:ind w:left="81"/>
              <w:rPr>
                <w:rFonts w:ascii="仿宋" w:hAnsi="仿宋" w:eastAsia="仿宋" w:cs="仿宋"/>
                <w:sz w:val="20"/>
                <w:szCs w:val="20"/>
              </w:rPr>
            </w:pPr>
            <w:r>
              <w:rPr>
                <w:rFonts w:ascii="仿宋" w:hAnsi="仿宋" w:eastAsia="仿宋" w:cs="仿宋"/>
                <w:spacing w:val="1"/>
                <w:sz w:val="20"/>
                <w:szCs w:val="20"/>
              </w:rPr>
              <w:t>四道敖包至淡家梁至杨家塔通村公路</w:t>
            </w:r>
          </w:p>
        </w:tc>
        <w:tc>
          <w:tcPr>
            <w:tcW w:w="1513" w:type="dxa"/>
            <w:vAlign w:val="top"/>
          </w:tcPr>
          <w:p w14:paraId="611C18EB">
            <w:pPr>
              <w:pStyle w:val="6"/>
              <w:spacing w:before="88" w:line="199" w:lineRule="auto"/>
              <w:ind w:left="473"/>
              <w:rPr>
                <w:sz w:val="20"/>
                <w:szCs w:val="20"/>
              </w:rPr>
            </w:pPr>
            <w:r>
              <w:rPr>
                <w:spacing w:val="1"/>
                <w:sz w:val="20"/>
                <w:szCs w:val="20"/>
              </w:rPr>
              <w:t>4.5/3.5</w:t>
            </w:r>
          </w:p>
        </w:tc>
        <w:tc>
          <w:tcPr>
            <w:tcW w:w="1145" w:type="dxa"/>
            <w:vAlign w:val="top"/>
          </w:tcPr>
          <w:p w14:paraId="6D156758">
            <w:pPr>
              <w:spacing w:before="55" w:line="230" w:lineRule="auto"/>
              <w:ind w:left="389"/>
              <w:rPr>
                <w:rFonts w:ascii="仿宋" w:hAnsi="仿宋" w:eastAsia="仿宋" w:cs="仿宋"/>
                <w:sz w:val="20"/>
                <w:szCs w:val="20"/>
              </w:rPr>
            </w:pPr>
            <w:r>
              <w:rPr>
                <w:rFonts w:ascii="仿宋" w:hAnsi="仿宋" w:eastAsia="仿宋" w:cs="仿宋"/>
                <w:spacing w:val="-3"/>
                <w:sz w:val="20"/>
                <w:szCs w:val="20"/>
              </w:rPr>
              <w:t>水泥</w:t>
            </w:r>
          </w:p>
        </w:tc>
        <w:tc>
          <w:tcPr>
            <w:tcW w:w="1188" w:type="dxa"/>
            <w:tcBorders>
              <w:right w:val="nil"/>
            </w:tcBorders>
            <w:vAlign w:val="top"/>
          </w:tcPr>
          <w:p w14:paraId="7ECBC24F">
            <w:pPr>
              <w:pStyle w:val="6"/>
              <w:spacing w:before="92" w:line="195" w:lineRule="auto"/>
              <w:ind w:left="211"/>
              <w:rPr>
                <w:sz w:val="20"/>
                <w:szCs w:val="20"/>
              </w:rPr>
            </w:pPr>
            <w:r>
              <w:rPr>
                <w:spacing w:val="2"/>
                <w:sz w:val="20"/>
                <w:szCs w:val="20"/>
              </w:rPr>
              <w:t>4.249702</w:t>
            </w:r>
          </w:p>
        </w:tc>
      </w:tr>
      <w:tr w14:paraId="0A1B79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347" w:type="dxa"/>
            <w:tcBorders>
              <w:left w:val="nil"/>
            </w:tcBorders>
            <w:vAlign w:val="top"/>
          </w:tcPr>
          <w:p w14:paraId="5FE234B2">
            <w:pPr>
              <w:pStyle w:val="6"/>
              <w:spacing w:before="93" w:line="195" w:lineRule="auto"/>
              <w:ind w:left="126"/>
              <w:rPr>
                <w:sz w:val="20"/>
                <w:szCs w:val="20"/>
              </w:rPr>
            </w:pPr>
            <w:r>
              <w:rPr>
                <w:sz w:val="20"/>
                <w:szCs w:val="20"/>
              </w:rPr>
              <w:t>2</w:t>
            </w:r>
          </w:p>
        </w:tc>
        <w:tc>
          <w:tcPr>
            <w:tcW w:w="757" w:type="dxa"/>
            <w:vMerge w:val="continue"/>
            <w:tcBorders>
              <w:top w:val="nil"/>
              <w:bottom w:val="nil"/>
            </w:tcBorders>
            <w:vAlign w:val="top"/>
          </w:tcPr>
          <w:p w14:paraId="5B792170">
            <w:pPr>
              <w:rPr>
                <w:rFonts w:ascii="Arial"/>
                <w:sz w:val="21"/>
              </w:rPr>
            </w:pPr>
          </w:p>
        </w:tc>
        <w:tc>
          <w:tcPr>
            <w:tcW w:w="3355" w:type="dxa"/>
            <w:vAlign w:val="top"/>
          </w:tcPr>
          <w:p w14:paraId="77C41D39">
            <w:pPr>
              <w:spacing w:before="58" w:line="228" w:lineRule="auto"/>
              <w:ind w:left="465"/>
              <w:rPr>
                <w:rFonts w:ascii="仿宋" w:hAnsi="仿宋" w:eastAsia="仿宋" w:cs="仿宋"/>
                <w:sz w:val="20"/>
                <w:szCs w:val="20"/>
              </w:rPr>
            </w:pPr>
            <w:r>
              <w:rPr>
                <w:rFonts w:ascii="仿宋" w:hAnsi="仿宋" w:eastAsia="仿宋" w:cs="仿宋"/>
                <w:spacing w:val="3"/>
                <w:sz w:val="20"/>
                <w:szCs w:val="20"/>
              </w:rPr>
              <w:t>李家圪堵至土敖包通村公路</w:t>
            </w:r>
          </w:p>
        </w:tc>
        <w:tc>
          <w:tcPr>
            <w:tcW w:w="1513" w:type="dxa"/>
            <w:vAlign w:val="top"/>
          </w:tcPr>
          <w:p w14:paraId="7D00671D">
            <w:pPr>
              <w:pStyle w:val="6"/>
              <w:spacing w:before="89" w:line="199" w:lineRule="auto"/>
              <w:ind w:left="473"/>
              <w:rPr>
                <w:sz w:val="20"/>
                <w:szCs w:val="20"/>
              </w:rPr>
            </w:pPr>
            <w:r>
              <w:rPr>
                <w:spacing w:val="1"/>
                <w:sz w:val="20"/>
                <w:szCs w:val="20"/>
              </w:rPr>
              <w:t>4.5/3.5</w:t>
            </w:r>
          </w:p>
        </w:tc>
        <w:tc>
          <w:tcPr>
            <w:tcW w:w="1145" w:type="dxa"/>
            <w:vAlign w:val="top"/>
          </w:tcPr>
          <w:p w14:paraId="301F26CE">
            <w:pPr>
              <w:spacing w:before="58" w:line="228" w:lineRule="auto"/>
              <w:ind w:left="389"/>
              <w:rPr>
                <w:rFonts w:ascii="仿宋" w:hAnsi="仿宋" w:eastAsia="仿宋" w:cs="仿宋"/>
                <w:sz w:val="20"/>
                <w:szCs w:val="20"/>
              </w:rPr>
            </w:pPr>
            <w:r>
              <w:rPr>
                <w:rFonts w:ascii="仿宋" w:hAnsi="仿宋" w:eastAsia="仿宋" w:cs="仿宋"/>
                <w:spacing w:val="-3"/>
                <w:sz w:val="20"/>
                <w:szCs w:val="20"/>
              </w:rPr>
              <w:t>水泥</w:t>
            </w:r>
          </w:p>
        </w:tc>
        <w:tc>
          <w:tcPr>
            <w:tcW w:w="1188" w:type="dxa"/>
            <w:tcBorders>
              <w:right w:val="nil"/>
            </w:tcBorders>
            <w:vAlign w:val="top"/>
          </w:tcPr>
          <w:p w14:paraId="272006D3">
            <w:pPr>
              <w:pStyle w:val="6"/>
              <w:spacing w:before="93" w:line="195" w:lineRule="auto"/>
              <w:ind w:left="211"/>
              <w:rPr>
                <w:sz w:val="20"/>
                <w:szCs w:val="20"/>
              </w:rPr>
            </w:pPr>
            <w:r>
              <w:rPr>
                <w:spacing w:val="2"/>
                <w:sz w:val="20"/>
                <w:szCs w:val="20"/>
              </w:rPr>
              <w:t>4.049180</w:t>
            </w:r>
          </w:p>
        </w:tc>
      </w:tr>
      <w:tr w14:paraId="63621C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47" w:type="dxa"/>
            <w:tcBorders>
              <w:left w:val="nil"/>
            </w:tcBorders>
            <w:vAlign w:val="top"/>
          </w:tcPr>
          <w:p w14:paraId="35CB87ED">
            <w:pPr>
              <w:pStyle w:val="6"/>
              <w:spacing w:before="95" w:line="195" w:lineRule="auto"/>
              <w:ind w:left="130"/>
              <w:rPr>
                <w:sz w:val="20"/>
                <w:szCs w:val="20"/>
              </w:rPr>
            </w:pPr>
            <w:r>
              <w:rPr>
                <w:sz w:val="20"/>
                <w:szCs w:val="20"/>
              </w:rPr>
              <w:t>3</w:t>
            </w:r>
          </w:p>
        </w:tc>
        <w:tc>
          <w:tcPr>
            <w:tcW w:w="757" w:type="dxa"/>
            <w:vMerge w:val="continue"/>
            <w:tcBorders>
              <w:top w:val="nil"/>
              <w:bottom w:val="nil"/>
            </w:tcBorders>
            <w:vAlign w:val="top"/>
          </w:tcPr>
          <w:p w14:paraId="65C4B05E">
            <w:pPr>
              <w:rPr>
                <w:rFonts w:ascii="Arial"/>
                <w:sz w:val="21"/>
              </w:rPr>
            </w:pPr>
          </w:p>
        </w:tc>
        <w:tc>
          <w:tcPr>
            <w:tcW w:w="3355" w:type="dxa"/>
            <w:vAlign w:val="top"/>
          </w:tcPr>
          <w:p w14:paraId="5BCF46DF">
            <w:pPr>
              <w:spacing w:before="58" w:line="228" w:lineRule="auto"/>
              <w:ind w:left="170"/>
              <w:rPr>
                <w:rFonts w:ascii="仿宋" w:hAnsi="仿宋" w:eastAsia="仿宋" w:cs="仿宋"/>
                <w:sz w:val="20"/>
                <w:szCs w:val="20"/>
              </w:rPr>
            </w:pPr>
            <w:r>
              <w:rPr>
                <w:rFonts w:ascii="仿宋" w:hAnsi="仿宋" w:eastAsia="仿宋" w:cs="仿宋"/>
                <w:spacing w:val="2"/>
                <w:sz w:val="20"/>
                <w:szCs w:val="20"/>
              </w:rPr>
              <w:t>乌拉素村二道壕大坝东至秦家塔社</w:t>
            </w:r>
          </w:p>
        </w:tc>
        <w:tc>
          <w:tcPr>
            <w:tcW w:w="1513" w:type="dxa"/>
            <w:vAlign w:val="top"/>
          </w:tcPr>
          <w:p w14:paraId="79B1963B">
            <w:pPr>
              <w:pStyle w:val="6"/>
              <w:spacing w:before="91" w:line="199" w:lineRule="auto"/>
              <w:ind w:left="473"/>
              <w:rPr>
                <w:sz w:val="20"/>
                <w:szCs w:val="20"/>
              </w:rPr>
            </w:pPr>
            <w:r>
              <w:rPr>
                <w:spacing w:val="1"/>
                <w:sz w:val="20"/>
                <w:szCs w:val="20"/>
              </w:rPr>
              <w:t>4.5/3.5</w:t>
            </w:r>
          </w:p>
        </w:tc>
        <w:tc>
          <w:tcPr>
            <w:tcW w:w="1145" w:type="dxa"/>
            <w:vAlign w:val="top"/>
          </w:tcPr>
          <w:p w14:paraId="5D0FC0BD">
            <w:pPr>
              <w:spacing w:before="58" w:line="228" w:lineRule="auto"/>
              <w:ind w:left="389"/>
              <w:rPr>
                <w:rFonts w:ascii="仿宋" w:hAnsi="仿宋" w:eastAsia="仿宋" w:cs="仿宋"/>
                <w:sz w:val="20"/>
                <w:szCs w:val="20"/>
              </w:rPr>
            </w:pPr>
            <w:r>
              <w:rPr>
                <w:rFonts w:ascii="仿宋" w:hAnsi="仿宋" w:eastAsia="仿宋" w:cs="仿宋"/>
                <w:spacing w:val="-3"/>
                <w:sz w:val="20"/>
                <w:szCs w:val="20"/>
              </w:rPr>
              <w:t>水泥</w:t>
            </w:r>
          </w:p>
        </w:tc>
        <w:tc>
          <w:tcPr>
            <w:tcW w:w="1188" w:type="dxa"/>
            <w:tcBorders>
              <w:right w:val="nil"/>
            </w:tcBorders>
            <w:vAlign w:val="top"/>
          </w:tcPr>
          <w:p w14:paraId="5AD3DE76">
            <w:pPr>
              <w:pStyle w:val="6"/>
              <w:spacing w:before="95" w:line="195" w:lineRule="auto"/>
              <w:ind w:left="368"/>
              <w:rPr>
                <w:sz w:val="20"/>
                <w:szCs w:val="20"/>
              </w:rPr>
            </w:pPr>
            <w:r>
              <w:rPr>
                <w:spacing w:val="2"/>
                <w:sz w:val="20"/>
                <w:szCs w:val="20"/>
              </w:rPr>
              <w:t>2.729</w:t>
            </w:r>
          </w:p>
        </w:tc>
      </w:tr>
      <w:tr w14:paraId="6EE9BC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47" w:type="dxa"/>
            <w:tcBorders>
              <w:left w:val="nil"/>
            </w:tcBorders>
            <w:vAlign w:val="top"/>
          </w:tcPr>
          <w:p w14:paraId="2D9CC587">
            <w:pPr>
              <w:pStyle w:val="6"/>
              <w:spacing w:before="95" w:line="195" w:lineRule="auto"/>
              <w:ind w:left="125"/>
              <w:rPr>
                <w:sz w:val="20"/>
                <w:szCs w:val="20"/>
              </w:rPr>
            </w:pPr>
            <w:r>
              <w:rPr>
                <w:spacing w:val="1"/>
                <w:sz w:val="20"/>
                <w:szCs w:val="20"/>
              </w:rPr>
              <w:t>4</w:t>
            </w:r>
          </w:p>
        </w:tc>
        <w:tc>
          <w:tcPr>
            <w:tcW w:w="757" w:type="dxa"/>
            <w:vMerge w:val="continue"/>
            <w:tcBorders>
              <w:top w:val="nil"/>
            </w:tcBorders>
            <w:vAlign w:val="top"/>
          </w:tcPr>
          <w:p w14:paraId="78EDAFE9">
            <w:pPr>
              <w:rPr>
                <w:rFonts w:ascii="Arial"/>
                <w:sz w:val="21"/>
              </w:rPr>
            </w:pPr>
          </w:p>
        </w:tc>
        <w:tc>
          <w:tcPr>
            <w:tcW w:w="3355" w:type="dxa"/>
            <w:vAlign w:val="top"/>
          </w:tcPr>
          <w:p w14:paraId="1DAF45A1">
            <w:pPr>
              <w:spacing w:before="60" w:line="227" w:lineRule="auto"/>
              <w:ind w:left="665"/>
              <w:rPr>
                <w:rFonts w:ascii="仿宋" w:hAnsi="仿宋" w:eastAsia="仿宋" w:cs="仿宋"/>
                <w:sz w:val="20"/>
                <w:szCs w:val="20"/>
              </w:rPr>
            </w:pPr>
            <w:r>
              <w:rPr>
                <w:rFonts w:ascii="仿宋" w:hAnsi="仿宋" w:eastAsia="仿宋" w:cs="仿宋"/>
                <w:spacing w:val="4"/>
                <w:sz w:val="20"/>
                <w:szCs w:val="20"/>
              </w:rPr>
              <w:t>双山梁村通社公路工程</w:t>
            </w:r>
          </w:p>
        </w:tc>
        <w:tc>
          <w:tcPr>
            <w:tcW w:w="1513" w:type="dxa"/>
            <w:vAlign w:val="top"/>
          </w:tcPr>
          <w:p w14:paraId="4775A5F1">
            <w:pPr>
              <w:pStyle w:val="6"/>
              <w:spacing w:before="92" w:line="199" w:lineRule="auto"/>
              <w:ind w:left="473"/>
              <w:rPr>
                <w:sz w:val="20"/>
                <w:szCs w:val="20"/>
              </w:rPr>
            </w:pPr>
            <w:r>
              <w:rPr>
                <w:spacing w:val="1"/>
                <w:sz w:val="20"/>
                <w:szCs w:val="20"/>
              </w:rPr>
              <w:t>4.5/3.5</w:t>
            </w:r>
          </w:p>
        </w:tc>
        <w:tc>
          <w:tcPr>
            <w:tcW w:w="1145" w:type="dxa"/>
            <w:vAlign w:val="top"/>
          </w:tcPr>
          <w:p w14:paraId="3E19F573">
            <w:pPr>
              <w:spacing w:before="60" w:line="227" w:lineRule="auto"/>
              <w:ind w:left="389"/>
              <w:rPr>
                <w:rFonts w:ascii="仿宋" w:hAnsi="仿宋" w:eastAsia="仿宋" w:cs="仿宋"/>
                <w:sz w:val="20"/>
                <w:szCs w:val="20"/>
              </w:rPr>
            </w:pPr>
            <w:r>
              <w:rPr>
                <w:rFonts w:ascii="仿宋" w:hAnsi="仿宋" w:eastAsia="仿宋" w:cs="仿宋"/>
                <w:spacing w:val="-3"/>
                <w:sz w:val="20"/>
                <w:szCs w:val="20"/>
              </w:rPr>
              <w:t>水泥</w:t>
            </w:r>
          </w:p>
        </w:tc>
        <w:tc>
          <w:tcPr>
            <w:tcW w:w="1188" w:type="dxa"/>
            <w:tcBorders>
              <w:right w:val="nil"/>
            </w:tcBorders>
            <w:vAlign w:val="top"/>
          </w:tcPr>
          <w:p w14:paraId="37DB00C2">
            <w:pPr>
              <w:pStyle w:val="6"/>
              <w:spacing w:before="95" w:line="195" w:lineRule="auto"/>
              <w:ind w:left="215"/>
              <w:rPr>
                <w:sz w:val="20"/>
                <w:szCs w:val="20"/>
              </w:rPr>
            </w:pPr>
            <w:r>
              <w:rPr>
                <w:spacing w:val="2"/>
                <w:sz w:val="20"/>
                <w:szCs w:val="20"/>
              </w:rPr>
              <w:t>0.337869</w:t>
            </w:r>
          </w:p>
        </w:tc>
      </w:tr>
      <w:tr w14:paraId="05452E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4459" w:type="dxa"/>
            <w:gridSpan w:val="3"/>
            <w:tcBorders>
              <w:left w:val="nil"/>
            </w:tcBorders>
            <w:vAlign w:val="top"/>
          </w:tcPr>
          <w:p w14:paraId="4BDC4E89">
            <w:pPr>
              <w:spacing w:before="60" w:line="226" w:lineRule="auto"/>
              <w:ind w:left="1637"/>
              <w:rPr>
                <w:rFonts w:ascii="仿宋" w:hAnsi="仿宋" w:eastAsia="仿宋" w:cs="仿宋"/>
                <w:sz w:val="20"/>
                <w:szCs w:val="20"/>
              </w:rPr>
            </w:pPr>
            <w:r>
              <w:rPr>
                <w:rFonts w:ascii="仿宋" w:hAnsi="仿宋" w:eastAsia="仿宋" w:cs="仿宋"/>
                <w:sz w:val="20"/>
                <w:szCs w:val="20"/>
              </w:rPr>
              <w:t>沙圪堵镇小计</w:t>
            </w:r>
          </w:p>
        </w:tc>
        <w:tc>
          <w:tcPr>
            <w:tcW w:w="1513" w:type="dxa"/>
            <w:vAlign w:val="top"/>
          </w:tcPr>
          <w:p w14:paraId="6BF74707">
            <w:pPr>
              <w:rPr>
                <w:rFonts w:ascii="Arial"/>
                <w:sz w:val="21"/>
              </w:rPr>
            </w:pPr>
          </w:p>
        </w:tc>
        <w:tc>
          <w:tcPr>
            <w:tcW w:w="1145" w:type="dxa"/>
            <w:vAlign w:val="top"/>
          </w:tcPr>
          <w:p w14:paraId="1AF80705">
            <w:pPr>
              <w:rPr>
                <w:rFonts w:ascii="Arial"/>
                <w:sz w:val="21"/>
              </w:rPr>
            </w:pPr>
          </w:p>
        </w:tc>
        <w:tc>
          <w:tcPr>
            <w:tcW w:w="1188" w:type="dxa"/>
            <w:tcBorders>
              <w:right w:val="nil"/>
            </w:tcBorders>
            <w:vAlign w:val="top"/>
          </w:tcPr>
          <w:p w14:paraId="7447670D">
            <w:pPr>
              <w:pStyle w:val="6"/>
              <w:spacing w:before="96" w:line="195" w:lineRule="auto"/>
              <w:ind w:left="186"/>
              <w:rPr>
                <w:sz w:val="20"/>
                <w:szCs w:val="20"/>
              </w:rPr>
            </w:pPr>
            <w:r>
              <w:rPr>
                <w:spacing w:val="-1"/>
                <w:sz w:val="20"/>
                <w:szCs w:val="20"/>
              </w:rPr>
              <w:t>11.365751</w:t>
            </w:r>
          </w:p>
        </w:tc>
      </w:tr>
      <w:tr w14:paraId="0022BE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347" w:type="dxa"/>
            <w:tcBorders>
              <w:left w:val="nil"/>
            </w:tcBorders>
            <w:vAlign w:val="top"/>
          </w:tcPr>
          <w:p w14:paraId="4A2805A7">
            <w:pPr>
              <w:pStyle w:val="6"/>
              <w:spacing w:before="98" w:line="195" w:lineRule="auto"/>
              <w:ind w:left="125"/>
              <w:rPr>
                <w:sz w:val="20"/>
                <w:szCs w:val="20"/>
              </w:rPr>
            </w:pPr>
            <w:r>
              <w:rPr>
                <w:spacing w:val="1"/>
                <w:sz w:val="20"/>
                <w:szCs w:val="20"/>
              </w:rPr>
              <w:t>4</w:t>
            </w:r>
          </w:p>
        </w:tc>
        <w:tc>
          <w:tcPr>
            <w:tcW w:w="757" w:type="dxa"/>
            <w:vMerge w:val="restart"/>
            <w:tcBorders>
              <w:bottom w:val="nil"/>
            </w:tcBorders>
            <w:vAlign w:val="top"/>
          </w:tcPr>
          <w:p w14:paraId="3B42CF0D">
            <w:pPr>
              <w:spacing w:line="266" w:lineRule="auto"/>
              <w:rPr>
                <w:rFonts w:ascii="Arial"/>
                <w:sz w:val="21"/>
              </w:rPr>
            </w:pPr>
          </w:p>
          <w:p w14:paraId="0FCC19F0">
            <w:pPr>
              <w:spacing w:line="266" w:lineRule="auto"/>
              <w:rPr>
                <w:rFonts w:ascii="Arial"/>
                <w:sz w:val="21"/>
              </w:rPr>
            </w:pPr>
          </w:p>
          <w:p w14:paraId="2B3F6DBC">
            <w:pPr>
              <w:spacing w:line="267" w:lineRule="auto"/>
              <w:rPr>
                <w:rFonts w:ascii="Arial"/>
                <w:sz w:val="21"/>
              </w:rPr>
            </w:pPr>
          </w:p>
          <w:p w14:paraId="0AA30701">
            <w:pPr>
              <w:spacing w:before="65" w:line="289" w:lineRule="auto"/>
              <w:ind w:left="203" w:right="74" w:hanging="94"/>
              <w:rPr>
                <w:rFonts w:ascii="仿宋" w:hAnsi="仿宋" w:eastAsia="仿宋" w:cs="仿宋"/>
                <w:sz w:val="20"/>
                <w:szCs w:val="20"/>
              </w:rPr>
            </w:pPr>
            <w:r>
              <w:rPr>
                <w:rFonts w:ascii="仿宋" w:hAnsi="仿宋" w:eastAsia="仿宋" w:cs="仿宋"/>
                <w:spacing w:val="-11"/>
                <w:sz w:val="20"/>
                <w:szCs w:val="20"/>
              </w:rPr>
              <w:t>十二连</w:t>
            </w:r>
            <w:r>
              <w:rPr>
                <w:rFonts w:ascii="仿宋" w:hAnsi="仿宋" w:eastAsia="仿宋" w:cs="仿宋"/>
                <w:spacing w:val="-5"/>
                <w:sz w:val="20"/>
                <w:szCs w:val="20"/>
              </w:rPr>
              <w:t>城乡</w:t>
            </w:r>
          </w:p>
        </w:tc>
        <w:tc>
          <w:tcPr>
            <w:tcW w:w="3355" w:type="dxa"/>
            <w:vAlign w:val="top"/>
          </w:tcPr>
          <w:p w14:paraId="7C258213">
            <w:pPr>
              <w:spacing w:before="62" w:line="224" w:lineRule="auto"/>
              <w:ind w:left="356"/>
              <w:rPr>
                <w:rFonts w:ascii="仿宋" w:hAnsi="仿宋" w:eastAsia="仿宋" w:cs="仿宋"/>
                <w:sz w:val="20"/>
                <w:szCs w:val="20"/>
              </w:rPr>
            </w:pPr>
            <w:r>
              <w:rPr>
                <w:rFonts w:ascii="仿宋" w:hAnsi="仿宋" w:eastAsia="仿宋" w:cs="仿宋"/>
                <w:spacing w:val="4"/>
                <w:sz w:val="20"/>
                <w:szCs w:val="20"/>
              </w:rPr>
              <w:t>份子地社新村至二道拐村委会</w:t>
            </w:r>
          </w:p>
        </w:tc>
        <w:tc>
          <w:tcPr>
            <w:tcW w:w="1513" w:type="dxa"/>
            <w:vAlign w:val="top"/>
          </w:tcPr>
          <w:p w14:paraId="61DD6EA1">
            <w:pPr>
              <w:pStyle w:val="6"/>
              <w:spacing w:before="94" w:line="199" w:lineRule="auto"/>
              <w:ind w:left="473"/>
              <w:rPr>
                <w:sz w:val="20"/>
                <w:szCs w:val="20"/>
              </w:rPr>
            </w:pPr>
            <w:r>
              <w:rPr>
                <w:spacing w:val="1"/>
                <w:sz w:val="20"/>
                <w:szCs w:val="20"/>
              </w:rPr>
              <w:t>4.5/3.5</w:t>
            </w:r>
          </w:p>
        </w:tc>
        <w:tc>
          <w:tcPr>
            <w:tcW w:w="1145" w:type="dxa"/>
            <w:vAlign w:val="top"/>
          </w:tcPr>
          <w:p w14:paraId="1C5493ED">
            <w:pPr>
              <w:spacing w:before="62" w:line="224" w:lineRule="auto"/>
              <w:ind w:left="389"/>
              <w:rPr>
                <w:rFonts w:ascii="仿宋" w:hAnsi="仿宋" w:eastAsia="仿宋" w:cs="仿宋"/>
                <w:sz w:val="20"/>
                <w:szCs w:val="20"/>
              </w:rPr>
            </w:pPr>
            <w:r>
              <w:rPr>
                <w:rFonts w:ascii="仿宋" w:hAnsi="仿宋" w:eastAsia="仿宋" w:cs="仿宋"/>
                <w:spacing w:val="-3"/>
                <w:sz w:val="20"/>
                <w:szCs w:val="20"/>
              </w:rPr>
              <w:t>水泥</w:t>
            </w:r>
          </w:p>
        </w:tc>
        <w:tc>
          <w:tcPr>
            <w:tcW w:w="1188" w:type="dxa"/>
            <w:tcBorders>
              <w:right w:val="nil"/>
            </w:tcBorders>
            <w:vAlign w:val="top"/>
          </w:tcPr>
          <w:p w14:paraId="18F54C1B">
            <w:pPr>
              <w:pStyle w:val="6"/>
              <w:spacing w:before="98" w:line="195" w:lineRule="auto"/>
              <w:ind w:left="232"/>
              <w:rPr>
                <w:sz w:val="20"/>
                <w:szCs w:val="20"/>
              </w:rPr>
            </w:pPr>
            <w:r>
              <w:rPr>
                <w:spacing w:val="-1"/>
                <w:sz w:val="20"/>
                <w:szCs w:val="20"/>
              </w:rPr>
              <w:t>1.593103</w:t>
            </w:r>
          </w:p>
        </w:tc>
      </w:tr>
      <w:tr w14:paraId="5E4F3C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347" w:type="dxa"/>
            <w:tcBorders>
              <w:left w:val="nil"/>
            </w:tcBorders>
            <w:vAlign w:val="top"/>
          </w:tcPr>
          <w:p w14:paraId="01119828">
            <w:pPr>
              <w:pStyle w:val="6"/>
              <w:spacing w:before="105" w:line="192" w:lineRule="auto"/>
              <w:ind w:left="132"/>
              <w:rPr>
                <w:sz w:val="20"/>
                <w:szCs w:val="20"/>
              </w:rPr>
            </w:pPr>
            <w:r>
              <w:rPr>
                <w:sz w:val="20"/>
                <w:szCs w:val="20"/>
              </w:rPr>
              <w:t>5</w:t>
            </w:r>
          </w:p>
        </w:tc>
        <w:tc>
          <w:tcPr>
            <w:tcW w:w="757" w:type="dxa"/>
            <w:vMerge w:val="continue"/>
            <w:tcBorders>
              <w:top w:val="nil"/>
              <w:bottom w:val="nil"/>
            </w:tcBorders>
            <w:vAlign w:val="top"/>
          </w:tcPr>
          <w:p w14:paraId="69748324">
            <w:pPr>
              <w:rPr>
                <w:rFonts w:ascii="Arial"/>
                <w:sz w:val="21"/>
              </w:rPr>
            </w:pPr>
          </w:p>
        </w:tc>
        <w:tc>
          <w:tcPr>
            <w:tcW w:w="3355" w:type="dxa"/>
            <w:vAlign w:val="top"/>
          </w:tcPr>
          <w:p w14:paraId="31D735F5">
            <w:pPr>
              <w:spacing w:before="66" w:line="220" w:lineRule="auto"/>
              <w:ind w:left="569"/>
              <w:rPr>
                <w:rFonts w:ascii="仿宋" w:hAnsi="仿宋" w:eastAsia="仿宋" w:cs="仿宋"/>
                <w:sz w:val="20"/>
                <w:szCs w:val="20"/>
              </w:rPr>
            </w:pPr>
            <w:r>
              <w:rPr>
                <w:rFonts w:ascii="仿宋" w:hAnsi="仿宋" w:eastAsia="仿宋" w:cs="仿宋"/>
                <w:spacing w:val="3"/>
                <w:sz w:val="20"/>
                <w:szCs w:val="20"/>
              </w:rPr>
              <w:t>二道拐坡底至张家圪旦社</w:t>
            </w:r>
          </w:p>
        </w:tc>
        <w:tc>
          <w:tcPr>
            <w:tcW w:w="1513" w:type="dxa"/>
            <w:vAlign w:val="top"/>
          </w:tcPr>
          <w:p w14:paraId="40FE0995">
            <w:pPr>
              <w:pStyle w:val="6"/>
              <w:spacing w:before="98" w:line="199" w:lineRule="auto"/>
              <w:ind w:left="473"/>
              <w:rPr>
                <w:sz w:val="20"/>
                <w:szCs w:val="20"/>
              </w:rPr>
            </w:pPr>
            <w:r>
              <w:rPr>
                <w:spacing w:val="1"/>
                <w:sz w:val="20"/>
                <w:szCs w:val="20"/>
              </w:rPr>
              <w:t>4.5/3.5</w:t>
            </w:r>
          </w:p>
        </w:tc>
        <w:tc>
          <w:tcPr>
            <w:tcW w:w="1145" w:type="dxa"/>
            <w:vAlign w:val="top"/>
          </w:tcPr>
          <w:p w14:paraId="20F720B6">
            <w:pPr>
              <w:spacing w:before="66" w:line="220" w:lineRule="auto"/>
              <w:ind w:left="389"/>
              <w:rPr>
                <w:rFonts w:ascii="仿宋" w:hAnsi="仿宋" w:eastAsia="仿宋" w:cs="仿宋"/>
                <w:sz w:val="20"/>
                <w:szCs w:val="20"/>
              </w:rPr>
            </w:pPr>
            <w:r>
              <w:rPr>
                <w:rFonts w:ascii="仿宋" w:hAnsi="仿宋" w:eastAsia="仿宋" w:cs="仿宋"/>
                <w:spacing w:val="-3"/>
                <w:sz w:val="20"/>
                <w:szCs w:val="20"/>
              </w:rPr>
              <w:t>水泥</w:t>
            </w:r>
          </w:p>
        </w:tc>
        <w:tc>
          <w:tcPr>
            <w:tcW w:w="1188" w:type="dxa"/>
            <w:tcBorders>
              <w:right w:val="nil"/>
            </w:tcBorders>
            <w:vAlign w:val="top"/>
          </w:tcPr>
          <w:p w14:paraId="4909D73F">
            <w:pPr>
              <w:pStyle w:val="6"/>
              <w:spacing w:before="102" w:line="195" w:lineRule="auto"/>
              <w:ind w:left="212"/>
              <w:rPr>
                <w:sz w:val="20"/>
                <w:szCs w:val="20"/>
              </w:rPr>
            </w:pPr>
            <w:r>
              <w:rPr>
                <w:spacing w:val="2"/>
                <w:sz w:val="20"/>
                <w:szCs w:val="20"/>
              </w:rPr>
              <w:t>2.446201</w:t>
            </w:r>
          </w:p>
        </w:tc>
      </w:tr>
      <w:tr w14:paraId="5C34D8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47" w:type="dxa"/>
            <w:tcBorders>
              <w:left w:val="nil"/>
            </w:tcBorders>
            <w:vAlign w:val="top"/>
          </w:tcPr>
          <w:p w14:paraId="3E84BF37">
            <w:pPr>
              <w:pStyle w:val="6"/>
              <w:spacing w:before="103" w:line="195" w:lineRule="auto"/>
              <w:ind w:left="131"/>
              <w:rPr>
                <w:sz w:val="20"/>
                <w:szCs w:val="20"/>
              </w:rPr>
            </w:pPr>
            <w:r>
              <w:rPr>
                <w:sz w:val="20"/>
                <w:szCs w:val="20"/>
              </w:rPr>
              <w:t>6</w:t>
            </w:r>
          </w:p>
        </w:tc>
        <w:tc>
          <w:tcPr>
            <w:tcW w:w="757" w:type="dxa"/>
            <w:vMerge w:val="continue"/>
            <w:tcBorders>
              <w:top w:val="nil"/>
              <w:bottom w:val="nil"/>
            </w:tcBorders>
            <w:vAlign w:val="top"/>
          </w:tcPr>
          <w:p w14:paraId="3567008D">
            <w:pPr>
              <w:rPr>
                <w:rFonts w:ascii="Arial"/>
                <w:sz w:val="21"/>
              </w:rPr>
            </w:pPr>
          </w:p>
        </w:tc>
        <w:tc>
          <w:tcPr>
            <w:tcW w:w="3355" w:type="dxa"/>
            <w:vAlign w:val="top"/>
          </w:tcPr>
          <w:p w14:paraId="655FDAED">
            <w:pPr>
              <w:spacing w:before="67" w:line="220" w:lineRule="auto"/>
              <w:ind w:left="569"/>
              <w:rPr>
                <w:rFonts w:ascii="仿宋" w:hAnsi="仿宋" w:eastAsia="仿宋" w:cs="仿宋"/>
                <w:sz w:val="20"/>
                <w:szCs w:val="20"/>
              </w:rPr>
            </w:pPr>
            <w:r>
              <w:rPr>
                <w:rFonts w:ascii="仿宋" w:hAnsi="仿宋" w:eastAsia="仿宋" w:cs="仿宋"/>
                <w:spacing w:val="3"/>
                <w:sz w:val="20"/>
                <w:szCs w:val="20"/>
              </w:rPr>
              <w:t>三道拐社坡底至北防洪堤</w:t>
            </w:r>
          </w:p>
        </w:tc>
        <w:tc>
          <w:tcPr>
            <w:tcW w:w="1513" w:type="dxa"/>
            <w:vAlign w:val="top"/>
          </w:tcPr>
          <w:p w14:paraId="4FCC8F5B">
            <w:pPr>
              <w:pStyle w:val="6"/>
              <w:spacing w:before="99" w:line="199" w:lineRule="auto"/>
              <w:ind w:left="473"/>
              <w:rPr>
                <w:sz w:val="20"/>
                <w:szCs w:val="20"/>
              </w:rPr>
            </w:pPr>
            <w:r>
              <w:rPr>
                <w:spacing w:val="1"/>
                <w:sz w:val="20"/>
                <w:szCs w:val="20"/>
              </w:rPr>
              <w:t>4.5/3.5</w:t>
            </w:r>
          </w:p>
        </w:tc>
        <w:tc>
          <w:tcPr>
            <w:tcW w:w="1145" w:type="dxa"/>
            <w:vAlign w:val="top"/>
          </w:tcPr>
          <w:p w14:paraId="0F251120">
            <w:pPr>
              <w:spacing w:before="67" w:line="220" w:lineRule="auto"/>
              <w:ind w:left="389"/>
              <w:rPr>
                <w:rFonts w:ascii="仿宋" w:hAnsi="仿宋" w:eastAsia="仿宋" w:cs="仿宋"/>
                <w:sz w:val="20"/>
                <w:szCs w:val="20"/>
              </w:rPr>
            </w:pPr>
            <w:r>
              <w:rPr>
                <w:rFonts w:ascii="仿宋" w:hAnsi="仿宋" w:eastAsia="仿宋" w:cs="仿宋"/>
                <w:spacing w:val="-3"/>
                <w:sz w:val="20"/>
                <w:szCs w:val="20"/>
              </w:rPr>
              <w:t>水泥</w:t>
            </w:r>
          </w:p>
        </w:tc>
        <w:tc>
          <w:tcPr>
            <w:tcW w:w="1188" w:type="dxa"/>
            <w:tcBorders>
              <w:right w:val="nil"/>
            </w:tcBorders>
            <w:vAlign w:val="top"/>
          </w:tcPr>
          <w:p w14:paraId="2E7226DD">
            <w:pPr>
              <w:pStyle w:val="6"/>
              <w:spacing w:before="103" w:line="195" w:lineRule="auto"/>
              <w:ind w:left="232"/>
              <w:rPr>
                <w:sz w:val="20"/>
                <w:szCs w:val="20"/>
              </w:rPr>
            </w:pPr>
            <w:r>
              <w:rPr>
                <w:spacing w:val="-1"/>
                <w:sz w:val="20"/>
                <w:szCs w:val="20"/>
              </w:rPr>
              <w:t>1.456665</w:t>
            </w:r>
          </w:p>
        </w:tc>
      </w:tr>
      <w:tr w14:paraId="660246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47" w:type="dxa"/>
            <w:tcBorders>
              <w:left w:val="nil"/>
            </w:tcBorders>
            <w:vAlign w:val="top"/>
          </w:tcPr>
          <w:p w14:paraId="58BAEAFF">
            <w:pPr>
              <w:pStyle w:val="6"/>
              <w:spacing w:before="107" w:line="192" w:lineRule="auto"/>
              <w:ind w:left="130"/>
              <w:rPr>
                <w:sz w:val="20"/>
                <w:szCs w:val="20"/>
              </w:rPr>
            </w:pPr>
            <w:r>
              <w:rPr>
                <w:sz w:val="20"/>
                <w:szCs w:val="20"/>
              </w:rPr>
              <w:t>7</w:t>
            </w:r>
          </w:p>
        </w:tc>
        <w:tc>
          <w:tcPr>
            <w:tcW w:w="757" w:type="dxa"/>
            <w:vMerge w:val="continue"/>
            <w:tcBorders>
              <w:top w:val="nil"/>
              <w:bottom w:val="nil"/>
            </w:tcBorders>
            <w:vAlign w:val="top"/>
          </w:tcPr>
          <w:p w14:paraId="343F9478">
            <w:pPr>
              <w:rPr>
                <w:rFonts w:ascii="Arial"/>
                <w:sz w:val="21"/>
              </w:rPr>
            </w:pPr>
          </w:p>
        </w:tc>
        <w:tc>
          <w:tcPr>
            <w:tcW w:w="3355" w:type="dxa"/>
            <w:vAlign w:val="top"/>
          </w:tcPr>
          <w:p w14:paraId="7FD30526">
            <w:pPr>
              <w:spacing w:before="68" w:line="219" w:lineRule="auto"/>
              <w:ind w:left="40"/>
              <w:rPr>
                <w:rFonts w:ascii="仿宋" w:hAnsi="仿宋" w:eastAsia="仿宋" w:cs="仿宋"/>
                <w:sz w:val="20"/>
                <w:szCs w:val="20"/>
              </w:rPr>
            </w:pPr>
            <w:r>
              <w:rPr>
                <w:rFonts w:ascii="仿宋" w:hAnsi="仿宋" w:eastAsia="仿宋" w:cs="仿宋"/>
                <w:spacing w:val="5"/>
                <w:sz w:val="20"/>
                <w:szCs w:val="20"/>
              </w:rPr>
              <w:t>沿黄巨合滩出口东至天顺圪梁通村路</w:t>
            </w:r>
          </w:p>
        </w:tc>
        <w:tc>
          <w:tcPr>
            <w:tcW w:w="1513" w:type="dxa"/>
            <w:vAlign w:val="top"/>
          </w:tcPr>
          <w:p w14:paraId="61842270">
            <w:pPr>
              <w:pStyle w:val="6"/>
              <w:spacing w:before="100" w:line="199" w:lineRule="auto"/>
              <w:ind w:left="473"/>
              <w:rPr>
                <w:sz w:val="20"/>
                <w:szCs w:val="20"/>
              </w:rPr>
            </w:pPr>
            <w:r>
              <w:rPr>
                <w:spacing w:val="1"/>
                <w:sz w:val="20"/>
                <w:szCs w:val="20"/>
              </w:rPr>
              <w:t>4.5/3.5</w:t>
            </w:r>
          </w:p>
        </w:tc>
        <w:tc>
          <w:tcPr>
            <w:tcW w:w="1145" w:type="dxa"/>
            <w:vAlign w:val="top"/>
          </w:tcPr>
          <w:p w14:paraId="2E2AF47F">
            <w:pPr>
              <w:spacing w:before="68" w:line="219" w:lineRule="auto"/>
              <w:ind w:left="389"/>
              <w:rPr>
                <w:rFonts w:ascii="仿宋" w:hAnsi="仿宋" w:eastAsia="仿宋" w:cs="仿宋"/>
                <w:sz w:val="20"/>
                <w:szCs w:val="20"/>
              </w:rPr>
            </w:pPr>
            <w:r>
              <w:rPr>
                <w:rFonts w:ascii="仿宋" w:hAnsi="仿宋" w:eastAsia="仿宋" w:cs="仿宋"/>
                <w:spacing w:val="-3"/>
                <w:sz w:val="20"/>
                <w:szCs w:val="20"/>
              </w:rPr>
              <w:t>水泥</w:t>
            </w:r>
          </w:p>
        </w:tc>
        <w:tc>
          <w:tcPr>
            <w:tcW w:w="1188" w:type="dxa"/>
            <w:tcBorders>
              <w:right w:val="nil"/>
            </w:tcBorders>
            <w:vAlign w:val="top"/>
          </w:tcPr>
          <w:p w14:paraId="05346B50">
            <w:pPr>
              <w:pStyle w:val="6"/>
              <w:spacing w:before="104" w:line="195" w:lineRule="auto"/>
              <w:ind w:left="372"/>
              <w:rPr>
                <w:sz w:val="20"/>
                <w:szCs w:val="20"/>
              </w:rPr>
            </w:pPr>
            <w:r>
              <w:rPr>
                <w:spacing w:val="1"/>
                <w:sz w:val="20"/>
                <w:szCs w:val="20"/>
              </w:rPr>
              <w:t>3.539</w:t>
            </w:r>
          </w:p>
        </w:tc>
      </w:tr>
      <w:tr w14:paraId="631FCF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47" w:type="dxa"/>
            <w:tcBorders>
              <w:left w:val="nil"/>
            </w:tcBorders>
            <w:vAlign w:val="top"/>
          </w:tcPr>
          <w:p w14:paraId="565C6463">
            <w:pPr>
              <w:pStyle w:val="6"/>
              <w:spacing w:before="104" w:line="195" w:lineRule="auto"/>
              <w:ind w:left="135"/>
              <w:rPr>
                <w:sz w:val="20"/>
                <w:szCs w:val="20"/>
              </w:rPr>
            </w:pPr>
            <w:r>
              <w:rPr>
                <w:sz w:val="20"/>
                <w:szCs w:val="20"/>
              </w:rPr>
              <w:t>8</w:t>
            </w:r>
          </w:p>
        </w:tc>
        <w:tc>
          <w:tcPr>
            <w:tcW w:w="757" w:type="dxa"/>
            <w:vMerge w:val="continue"/>
            <w:tcBorders>
              <w:top w:val="nil"/>
              <w:bottom w:val="nil"/>
            </w:tcBorders>
            <w:vAlign w:val="top"/>
          </w:tcPr>
          <w:p w14:paraId="246D29C6">
            <w:pPr>
              <w:rPr>
                <w:rFonts w:ascii="Arial"/>
                <w:sz w:val="21"/>
              </w:rPr>
            </w:pPr>
          </w:p>
        </w:tc>
        <w:tc>
          <w:tcPr>
            <w:tcW w:w="3355" w:type="dxa"/>
            <w:vAlign w:val="top"/>
          </w:tcPr>
          <w:p w14:paraId="0F02A417">
            <w:pPr>
              <w:spacing w:before="68" w:line="219" w:lineRule="auto"/>
              <w:ind w:left="772"/>
              <w:rPr>
                <w:rFonts w:ascii="仿宋" w:hAnsi="仿宋" w:eastAsia="仿宋" w:cs="仿宋"/>
                <w:sz w:val="20"/>
                <w:szCs w:val="20"/>
              </w:rPr>
            </w:pPr>
            <w:r>
              <w:rPr>
                <w:rFonts w:ascii="仿宋" w:hAnsi="仿宋" w:eastAsia="仿宋" w:cs="仿宋"/>
                <w:spacing w:val="2"/>
                <w:sz w:val="20"/>
                <w:szCs w:val="20"/>
              </w:rPr>
              <w:t>大棚区至杏仁露基地</w:t>
            </w:r>
          </w:p>
        </w:tc>
        <w:tc>
          <w:tcPr>
            <w:tcW w:w="1513" w:type="dxa"/>
            <w:vAlign w:val="top"/>
          </w:tcPr>
          <w:p w14:paraId="6003EDE3">
            <w:pPr>
              <w:pStyle w:val="6"/>
              <w:spacing w:before="101" w:line="199" w:lineRule="auto"/>
              <w:ind w:left="473"/>
              <w:rPr>
                <w:sz w:val="20"/>
                <w:szCs w:val="20"/>
              </w:rPr>
            </w:pPr>
            <w:r>
              <w:rPr>
                <w:spacing w:val="1"/>
                <w:sz w:val="20"/>
                <w:szCs w:val="20"/>
              </w:rPr>
              <w:t>4.5/3.5</w:t>
            </w:r>
          </w:p>
        </w:tc>
        <w:tc>
          <w:tcPr>
            <w:tcW w:w="1145" w:type="dxa"/>
            <w:vAlign w:val="top"/>
          </w:tcPr>
          <w:p w14:paraId="25D3905B">
            <w:pPr>
              <w:spacing w:before="68" w:line="219" w:lineRule="auto"/>
              <w:ind w:left="389"/>
              <w:rPr>
                <w:rFonts w:ascii="仿宋" w:hAnsi="仿宋" w:eastAsia="仿宋" w:cs="仿宋"/>
                <w:sz w:val="20"/>
                <w:szCs w:val="20"/>
              </w:rPr>
            </w:pPr>
            <w:r>
              <w:rPr>
                <w:rFonts w:ascii="仿宋" w:hAnsi="仿宋" w:eastAsia="仿宋" w:cs="仿宋"/>
                <w:spacing w:val="-3"/>
                <w:sz w:val="20"/>
                <w:szCs w:val="20"/>
              </w:rPr>
              <w:t>水泥</w:t>
            </w:r>
          </w:p>
        </w:tc>
        <w:tc>
          <w:tcPr>
            <w:tcW w:w="1188" w:type="dxa"/>
            <w:tcBorders>
              <w:right w:val="nil"/>
            </w:tcBorders>
            <w:vAlign w:val="top"/>
          </w:tcPr>
          <w:p w14:paraId="178A02CF">
            <w:pPr>
              <w:pStyle w:val="6"/>
              <w:spacing w:before="104" w:line="195" w:lineRule="auto"/>
              <w:ind w:left="388"/>
              <w:rPr>
                <w:sz w:val="20"/>
                <w:szCs w:val="20"/>
              </w:rPr>
            </w:pPr>
            <w:r>
              <w:rPr>
                <w:spacing w:val="-2"/>
                <w:sz w:val="20"/>
                <w:szCs w:val="20"/>
              </w:rPr>
              <w:t>1.603</w:t>
            </w:r>
          </w:p>
        </w:tc>
      </w:tr>
      <w:tr w14:paraId="6372CA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347" w:type="dxa"/>
            <w:tcBorders>
              <w:left w:val="nil"/>
            </w:tcBorders>
            <w:vAlign w:val="top"/>
          </w:tcPr>
          <w:p w14:paraId="5ACA92FB">
            <w:pPr>
              <w:pStyle w:val="6"/>
              <w:spacing w:before="261" w:line="195" w:lineRule="auto"/>
              <w:ind w:left="130"/>
              <w:rPr>
                <w:sz w:val="20"/>
                <w:szCs w:val="20"/>
              </w:rPr>
            </w:pPr>
            <w:r>
              <w:rPr>
                <w:sz w:val="20"/>
                <w:szCs w:val="20"/>
              </w:rPr>
              <w:t>9</w:t>
            </w:r>
          </w:p>
        </w:tc>
        <w:tc>
          <w:tcPr>
            <w:tcW w:w="757" w:type="dxa"/>
            <w:vMerge w:val="continue"/>
            <w:tcBorders>
              <w:top w:val="nil"/>
            </w:tcBorders>
            <w:vAlign w:val="top"/>
          </w:tcPr>
          <w:p w14:paraId="68A7591C">
            <w:pPr>
              <w:rPr>
                <w:rFonts w:ascii="Arial"/>
                <w:sz w:val="21"/>
              </w:rPr>
            </w:pPr>
          </w:p>
        </w:tc>
        <w:tc>
          <w:tcPr>
            <w:tcW w:w="3355" w:type="dxa"/>
            <w:vAlign w:val="top"/>
          </w:tcPr>
          <w:p w14:paraId="3543DD73">
            <w:pPr>
              <w:spacing w:before="69" w:line="230" w:lineRule="auto"/>
              <w:ind w:left="42"/>
              <w:rPr>
                <w:rFonts w:ascii="仿宋" w:hAnsi="仿宋" w:eastAsia="仿宋" w:cs="仿宋"/>
                <w:sz w:val="20"/>
                <w:szCs w:val="20"/>
              </w:rPr>
            </w:pPr>
            <w:r>
              <w:rPr>
                <w:rFonts w:ascii="仿宋" w:hAnsi="仿宋" w:eastAsia="仿宋" w:cs="仿宋"/>
                <w:spacing w:val="5"/>
                <w:sz w:val="20"/>
                <w:szCs w:val="20"/>
              </w:rPr>
              <w:t>准格尔旗十二连城乡脑包湾村自然村</w:t>
            </w:r>
          </w:p>
          <w:p w14:paraId="6F3A8F42">
            <w:pPr>
              <w:spacing w:before="63" w:line="216" w:lineRule="auto"/>
              <w:ind w:left="1083"/>
              <w:rPr>
                <w:rFonts w:ascii="仿宋" w:hAnsi="仿宋" w:eastAsia="仿宋" w:cs="仿宋"/>
                <w:sz w:val="20"/>
                <w:szCs w:val="20"/>
              </w:rPr>
            </w:pPr>
            <w:r>
              <w:rPr>
                <w:rFonts w:ascii="仿宋" w:hAnsi="仿宋" w:eastAsia="仿宋" w:cs="仿宋"/>
                <w:spacing w:val="1"/>
                <w:sz w:val="20"/>
                <w:szCs w:val="20"/>
              </w:rPr>
              <w:t>通硬化路工程</w:t>
            </w:r>
          </w:p>
        </w:tc>
        <w:tc>
          <w:tcPr>
            <w:tcW w:w="1513" w:type="dxa"/>
            <w:vAlign w:val="top"/>
          </w:tcPr>
          <w:p w14:paraId="7AA9ED6A">
            <w:pPr>
              <w:pStyle w:val="6"/>
              <w:spacing w:before="257" w:line="199" w:lineRule="auto"/>
              <w:ind w:left="473"/>
              <w:rPr>
                <w:sz w:val="20"/>
                <w:szCs w:val="20"/>
              </w:rPr>
            </w:pPr>
            <w:r>
              <w:rPr>
                <w:spacing w:val="1"/>
                <w:sz w:val="20"/>
                <w:szCs w:val="20"/>
              </w:rPr>
              <w:t>4.5/3.5</w:t>
            </w:r>
          </w:p>
        </w:tc>
        <w:tc>
          <w:tcPr>
            <w:tcW w:w="1145" w:type="dxa"/>
            <w:vAlign w:val="top"/>
          </w:tcPr>
          <w:p w14:paraId="63C129E7">
            <w:pPr>
              <w:pStyle w:val="6"/>
              <w:spacing w:before="69" w:line="252" w:lineRule="auto"/>
              <w:ind w:left="387" w:right="22" w:hanging="346"/>
              <w:rPr>
                <w:rFonts w:ascii="仿宋" w:hAnsi="仿宋" w:eastAsia="仿宋" w:cs="仿宋"/>
                <w:sz w:val="20"/>
                <w:szCs w:val="20"/>
              </w:rPr>
            </w:pPr>
            <w:r>
              <w:rPr>
                <w:rFonts w:ascii="仿宋" w:hAnsi="仿宋" w:eastAsia="仿宋" w:cs="仿宋"/>
                <w:spacing w:val="3"/>
                <w:sz w:val="20"/>
                <w:szCs w:val="20"/>
              </w:rPr>
              <w:t>水泥</w:t>
            </w:r>
            <w:r>
              <w:rPr>
                <w:spacing w:val="3"/>
                <w:sz w:val="20"/>
                <w:szCs w:val="20"/>
              </w:rPr>
              <w:t>/</w:t>
            </w:r>
            <w:r>
              <w:rPr>
                <w:rFonts w:ascii="仿宋" w:hAnsi="仿宋" w:eastAsia="仿宋" w:cs="仿宋"/>
                <w:spacing w:val="3"/>
                <w:sz w:val="20"/>
                <w:szCs w:val="20"/>
              </w:rPr>
              <w:t>未筛分</w:t>
            </w:r>
            <w:r>
              <w:rPr>
                <w:rFonts w:ascii="仿宋" w:hAnsi="仿宋" w:eastAsia="仿宋" w:cs="仿宋"/>
                <w:spacing w:val="-3"/>
                <w:sz w:val="20"/>
                <w:szCs w:val="20"/>
              </w:rPr>
              <w:t>碎石</w:t>
            </w:r>
          </w:p>
        </w:tc>
        <w:tc>
          <w:tcPr>
            <w:tcW w:w="1188" w:type="dxa"/>
            <w:tcBorders>
              <w:right w:val="nil"/>
            </w:tcBorders>
            <w:vAlign w:val="top"/>
          </w:tcPr>
          <w:p w14:paraId="766482D6">
            <w:pPr>
              <w:pStyle w:val="6"/>
              <w:spacing w:before="261" w:line="195" w:lineRule="auto"/>
              <w:ind w:left="367"/>
              <w:rPr>
                <w:sz w:val="20"/>
                <w:szCs w:val="20"/>
              </w:rPr>
            </w:pPr>
            <w:r>
              <w:rPr>
                <w:spacing w:val="2"/>
                <w:sz w:val="20"/>
                <w:szCs w:val="20"/>
              </w:rPr>
              <w:t>4.504</w:t>
            </w:r>
          </w:p>
        </w:tc>
      </w:tr>
      <w:tr w14:paraId="1A00A4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4459" w:type="dxa"/>
            <w:gridSpan w:val="3"/>
            <w:tcBorders>
              <w:left w:val="nil"/>
            </w:tcBorders>
            <w:vAlign w:val="top"/>
          </w:tcPr>
          <w:p w14:paraId="666C904B">
            <w:pPr>
              <w:spacing w:before="71" w:line="216" w:lineRule="auto"/>
              <w:ind w:left="1538"/>
              <w:rPr>
                <w:rFonts w:ascii="仿宋" w:hAnsi="仿宋" w:eastAsia="仿宋" w:cs="仿宋"/>
                <w:sz w:val="20"/>
                <w:szCs w:val="20"/>
              </w:rPr>
            </w:pPr>
            <w:r>
              <w:rPr>
                <w:rFonts w:ascii="仿宋" w:hAnsi="仿宋" w:eastAsia="仿宋" w:cs="仿宋"/>
                <w:sz w:val="20"/>
                <w:szCs w:val="20"/>
              </w:rPr>
              <w:t>十二连城乡小计</w:t>
            </w:r>
          </w:p>
        </w:tc>
        <w:tc>
          <w:tcPr>
            <w:tcW w:w="1513" w:type="dxa"/>
            <w:vAlign w:val="top"/>
          </w:tcPr>
          <w:p w14:paraId="7C2C423F">
            <w:pPr>
              <w:rPr>
                <w:rFonts w:ascii="Arial"/>
                <w:sz w:val="21"/>
              </w:rPr>
            </w:pPr>
          </w:p>
        </w:tc>
        <w:tc>
          <w:tcPr>
            <w:tcW w:w="1145" w:type="dxa"/>
            <w:vAlign w:val="top"/>
          </w:tcPr>
          <w:p w14:paraId="0E2C1088">
            <w:pPr>
              <w:rPr>
                <w:rFonts w:ascii="Arial"/>
                <w:sz w:val="21"/>
              </w:rPr>
            </w:pPr>
          </w:p>
        </w:tc>
        <w:tc>
          <w:tcPr>
            <w:tcW w:w="1188" w:type="dxa"/>
            <w:tcBorders>
              <w:right w:val="nil"/>
            </w:tcBorders>
            <w:vAlign w:val="top"/>
          </w:tcPr>
          <w:p w14:paraId="40E4FF86">
            <w:pPr>
              <w:pStyle w:val="6"/>
              <w:spacing w:before="108" w:line="195" w:lineRule="auto"/>
              <w:ind w:left="181"/>
              <w:rPr>
                <w:sz w:val="20"/>
                <w:szCs w:val="20"/>
              </w:rPr>
            </w:pPr>
            <w:r>
              <w:rPr>
                <w:sz w:val="20"/>
                <w:szCs w:val="20"/>
              </w:rPr>
              <w:t>15.141969</w:t>
            </w:r>
          </w:p>
        </w:tc>
      </w:tr>
      <w:tr w14:paraId="270F4F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4459" w:type="dxa"/>
            <w:gridSpan w:val="3"/>
            <w:tcBorders>
              <w:left w:val="nil"/>
              <w:bottom w:val="single" w:color="000000" w:sz="10" w:space="0"/>
            </w:tcBorders>
            <w:vAlign w:val="top"/>
          </w:tcPr>
          <w:p w14:paraId="46BD28F4">
            <w:pPr>
              <w:spacing w:before="75" w:line="231" w:lineRule="auto"/>
              <w:ind w:left="2047"/>
              <w:rPr>
                <w:rFonts w:ascii="仿宋" w:hAnsi="仿宋" w:eastAsia="仿宋" w:cs="仿宋"/>
                <w:sz w:val="20"/>
                <w:szCs w:val="20"/>
              </w:rPr>
            </w:pPr>
            <w:r>
              <w:rPr>
                <w:rFonts w:ascii="仿宋" w:hAnsi="仿宋" w:eastAsia="仿宋" w:cs="仿宋"/>
                <w:spacing w:val="-6"/>
                <w:sz w:val="20"/>
                <w:szCs w:val="20"/>
              </w:rPr>
              <w:t>合计</w:t>
            </w:r>
          </w:p>
        </w:tc>
        <w:tc>
          <w:tcPr>
            <w:tcW w:w="1513" w:type="dxa"/>
            <w:tcBorders>
              <w:bottom w:val="single" w:color="000000" w:sz="10" w:space="0"/>
            </w:tcBorders>
            <w:vAlign w:val="top"/>
          </w:tcPr>
          <w:p w14:paraId="2C680AFF">
            <w:pPr>
              <w:rPr>
                <w:rFonts w:ascii="Arial"/>
                <w:sz w:val="21"/>
              </w:rPr>
            </w:pPr>
          </w:p>
        </w:tc>
        <w:tc>
          <w:tcPr>
            <w:tcW w:w="1145" w:type="dxa"/>
            <w:tcBorders>
              <w:bottom w:val="single" w:color="000000" w:sz="10" w:space="0"/>
            </w:tcBorders>
            <w:vAlign w:val="top"/>
          </w:tcPr>
          <w:p w14:paraId="62CA2C30">
            <w:pPr>
              <w:rPr>
                <w:rFonts w:ascii="Arial"/>
                <w:sz w:val="21"/>
              </w:rPr>
            </w:pPr>
          </w:p>
        </w:tc>
        <w:tc>
          <w:tcPr>
            <w:tcW w:w="1188" w:type="dxa"/>
            <w:tcBorders>
              <w:bottom w:val="single" w:color="000000" w:sz="10" w:space="0"/>
              <w:right w:val="nil"/>
            </w:tcBorders>
            <w:vAlign w:val="top"/>
          </w:tcPr>
          <w:p w14:paraId="1DFFBD11">
            <w:pPr>
              <w:pStyle w:val="6"/>
              <w:spacing w:before="111" w:line="195" w:lineRule="auto"/>
              <w:ind w:left="212"/>
              <w:rPr>
                <w:sz w:val="20"/>
                <w:szCs w:val="20"/>
              </w:rPr>
            </w:pPr>
            <w:r>
              <w:rPr>
                <w:spacing w:val="2"/>
                <w:sz w:val="20"/>
                <w:szCs w:val="20"/>
              </w:rPr>
              <w:t>26.50772</w:t>
            </w:r>
          </w:p>
        </w:tc>
      </w:tr>
    </w:tbl>
    <w:p w14:paraId="6928C9B2">
      <w:pPr>
        <w:spacing w:before="254" w:line="227" w:lineRule="auto"/>
        <w:ind w:left="29"/>
        <w:outlineLvl w:val="1"/>
        <w:rPr>
          <w:rFonts w:ascii="仿宋" w:hAnsi="仿宋" w:eastAsia="仿宋" w:cs="仿宋"/>
          <w:sz w:val="31"/>
          <w:szCs w:val="31"/>
        </w:rPr>
      </w:pPr>
      <w:bookmarkStart w:id="22" w:name="bookmark25"/>
      <w:bookmarkEnd w:id="22"/>
      <w:r>
        <w:rPr>
          <w:rFonts w:ascii="仿宋" w:hAnsi="仿宋" w:eastAsia="仿宋" w:cs="仿宋"/>
          <w:b/>
          <w:bCs/>
          <w:spacing w:val="5"/>
          <w:sz w:val="31"/>
          <w:szCs w:val="31"/>
        </w:rPr>
        <w:t>2.2</w:t>
      </w:r>
      <w:r>
        <w:rPr>
          <w:rFonts w:ascii="仿宋" w:hAnsi="仿宋" w:eastAsia="仿宋" w:cs="仿宋"/>
          <w:spacing w:val="5"/>
          <w:sz w:val="31"/>
          <w:szCs w:val="31"/>
        </w:rPr>
        <w:t xml:space="preserve"> </w:t>
      </w:r>
      <w:r>
        <w:rPr>
          <w:rFonts w:ascii="仿宋" w:hAnsi="仿宋" w:eastAsia="仿宋" w:cs="仿宋"/>
          <w:b/>
          <w:bCs/>
          <w:spacing w:val="5"/>
          <w:sz w:val="31"/>
          <w:szCs w:val="31"/>
        </w:rPr>
        <w:t>施工期噪声源分析</w:t>
      </w:r>
    </w:p>
    <w:p w14:paraId="0A6E9BE7">
      <w:pPr>
        <w:spacing w:before="225" w:line="359" w:lineRule="auto"/>
        <w:ind w:left="28" w:firstLine="482"/>
        <w:jc w:val="both"/>
        <w:rPr>
          <w:rFonts w:ascii="仿宋" w:hAnsi="仿宋" w:eastAsia="仿宋" w:cs="仿宋"/>
          <w:sz w:val="24"/>
          <w:szCs w:val="24"/>
        </w:rPr>
      </w:pPr>
      <w:r>
        <w:rPr>
          <w:rFonts w:ascii="仿宋" w:hAnsi="仿宋" w:eastAsia="仿宋" w:cs="仿宋"/>
          <w:spacing w:val="-8"/>
          <w:sz w:val="24"/>
          <w:szCs w:val="24"/>
        </w:rPr>
        <w:t>本项目为四级通村公路建设工程，工程规模较小、线路沿村庄现有土路布设、</w:t>
      </w:r>
      <w:r>
        <w:rPr>
          <w:rFonts w:ascii="仿宋" w:hAnsi="仿宋" w:eastAsia="仿宋" w:cs="仿宋"/>
          <w:spacing w:val="-3"/>
          <w:sz w:val="24"/>
          <w:szCs w:val="24"/>
        </w:rPr>
        <w:t>施工工艺简单，无大型集中拌合场站及大型成套施工设备，施工噪声主</w:t>
      </w:r>
      <w:r>
        <w:rPr>
          <w:rFonts w:ascii="仿宋" w:hAnsi="仿宋" w:eastAsia="仿宋" w:cs="仿宋"/>
          <w:spacing w:val="-4"/>
          <w:sz w:val="24"/>
          <w:szCs w:val="24"/>
        </w:rPr>
        <w:t>要来源于</w:t>
      </w:r>
      <w:r>
        <w:rPr>
          <w:rFonts w:ascii="仿宋" w:hAnsi="仿宋" w:eastAsia="仿宋" w:cs="仿宋"/>
          <w:spacing w:val="-7"/>
          <w:sz w:val="24"/>
          <w:szCs w:val="24"/>
        </w:rPr>
        <w:t>路基土石方、路面施工、构造物施工、物料运输及</w:t>
      </w:r>
      <w:r>
        <w:rPr>
          <w:rFonts w:ascii="仿宋" w:hAnsi="仿宋" w:eastAsia="仿宋" w:cs="仿宋"/>
          <w:spacing w:val="-8"/>
          <w:sz w:val="24"/>
          <w:szCs w:val="24"/>
        </w:rPr>
        <w:t>临时施工配套设施等作业环节。</w:t>
      </w:r>
      <w:r>
        <w:rPr>
          <w:rFonts w:ascii="仿宋" w:hAnsi="仿宋" w:eastAsia="仿宋" w:cs="仿宋"/>
          <w:spacing w:val="-3"/>
          <w:sz w:val="24"/>
          <w:szCs w:val="24"/>
        </w:rPr>
        <w:t>施工噪声均为间歇性、暂时性污染，随施工进程动态变化，施工</w:t>
      </w:r>
      <w:r>
        <w:rPr>
          <w:rFonts w:ascii="仿宋" w:hAnsi="仿宋" w:eastAsia="仿宋" w:cs="仿宋"/>
          <w:spacing w:val="-4"/>
          <w:sz w:val="24"/>
          <w:szCs w:val="24"/>
        </w:rPr>
        <w:t>结束后噪声影响</w:t>
      </w:r>
      <w:r>
        <w:rPr>
          <w:rFonts w:ascii="仿宋" w:hAnsi="仿宋" w:eastAsia="仿宋" w:cs="仿宋"/>
          <w:spacing w:val="-3"/>
          <w:sz w:val="24"/>
          <w:szCs w:val="24"/>
        </w:rPr>
        <w:t>随即消失。结合项目施工特点，对施工期噪声源类型、排放特征、源强</w:t>
      </w:r>
      <w:r>
        <w:rPr>
          <w:rFonts w:ascii="仿宋" w:hAnsi="仿宋" w:eastAsia="仿宋" w:cs="仿宋"/>
          <w:spacing w:val="-4"/>
          <w:sz w:val="24"/>
          <w:szCs w:val="24"/>
        </w:rPr>
        <w:t>参数及影</w:t>
      </w:r>
      <w:r>
        <w:rPr>
          <w:rFonts w:ascii="仿宋" w:hAnsi="仿宋" w:eastAsia="仿宋" w:cs="仿宋"/>
          <w:spacing w:val="-2"/>
          <w:sz w:val="24"/>
          <w:szCs w:val="24"/>
        </w:rPr>
        <w:t>响特性进行系统分析。</w:t>
      </w:r>
    </w:p>
    <w:p w14:paraId="11123791">
      <w:pPr>
        <w:spacing w:before="292" w:line="222" w:lineRule="auto"/>
        <w:ind w:left="27"/>
        <w:outlineLvl w:val="2"/>
        <w:rPr>
          <w:rFonts w:ascii="仿宋" w:hAnsi="仿宋" w:eastAsia="仿宋" w:cs="仿宋"/>
          <w:sz w:val="28"/>
          <w:szCs w:val="28"/>
        </w:rPr>
      </w:pPr>
      <w:bookmarkStart w:id="23" w:name="bookmark26"/>
      <w:bookmarkEnd w:id="23"/>
      <w:r>
        <w:rPr>
          <w:rFonts w:ascii="仿宋" w:hAnsi="仿宋" w:eastAsia="仿宋" w:cs="仿宋"/>
          <w:b/>
          <w:bCs/>
          <w:spacing w:val="-5"/>
          <w:sz w:val="28"/>
          <w:szCs w:val="28"/>
        </w:rPr>
        <w:t>2.2.1</w:t>
      </w:r>
      <w:r>
        <w:rPr>
          <w:rFonts w:ascii="仿宋" w:hAnsi="仿宋" w:eastAsia="仿宋" w:cs="仿宋"/>
          <w:spacing w:val="-38"/>
          <w:sz w:val="28"/>
          <w:szCs w:val="28"/>
        </w:rPr>
        <w:t xml:space="preserve"> </w:t>
      </w:r>
      <w:r>
        <w:rPr>
          <w:rFonts w:ascii="仿宋" w:hAnsi="仿宋" w:eastAsia="仿宋" w:cs="仿宋"/>
          <w:b/>
          <w:bCs/>
          <w:spacing w:val="-5"/>
          <w:sz w:val="28"/>
          <w:szCs w:val="28"/>
        </w:rPr>
        <w:t>噪声源类型及产生环节</w:t>
      </w:r>
    </w:p>
    <w:p w14:paraId="15D5E61B">
      <w:pPr>
        <w:spacing w:before="308" w:line="358" w:lineRule="auto"/>
        <w:ind w:left="30" w:right="17" w:firstLine="479"/>
        <w:rPr>
          <w:rFonts w:ascii="仿宋" w:hAnsi="仿宋" w:eastAsia="仿宋" w:cs="仿宋"/>
          <w:sz w:val="24"/>
          <w:szCs w:val="24"/>
        </w:rPr>
      </w:pPr>
      <w:r>
        <w:rPr>
          <w:rFonts w:ascii="仿宋" w:hAnsi="仿宋" w:eastAsia="仿宋" w:cs="仿宋"/>
          <w:spacing w:val="-8"/>
          <w:sz w:val="24"/>
          <w:szCs w:val="24"/>
        </w:rPr>
        <w:t>根据工程施工工序，项目施工期噪声主要分</w:t>
      </w:r>
      <w:r>
        <w:rPr>
          <w:rFonts w:ascii="仿宋" w:hAnsi="仿宋" w:eastAsia="仿宋" w:cs="仿宋"/>
          <w:spacing w:val="-9"/>
          <w:sz w:val="24"/>
          <w:szCs w:val="24"/>
        </w:rPr>
        <w:t>为机械作业噪声、物料运输噪声，</w:t>
      </w:r>
      <w:r>
        <w:rPr>
          <w:rFonts w:ascii="仿宋" w:hAnsi="仿宋" w:eastAsia="仿宋" w:cs="仿宋"/>
          <w:spacing w:val="-2"/>
          <w:sz w:val="24"/>
          <w:szCs w:val="24"/>
        </w:rPr>
        <w:t>各工序噪声源具体情况如下：</w:t>
      </w:r>
    </w:p>
    <w:p w14:paraId="5C5A296E">
      <w:pPr>
        <w:spacing w:before="1" w:line="222" w:lineRule="auto"/>
        <w:ind w:left="514"/>
        <w:rPr>
          <w:rFonts w:ascii="仿宋" w:hAnsi="仿宋" w:eastAsia="仿宋" w:cs="仿宋"/>
          <w:sz w:val="24"/>
          <w:szCs w:val="24"/>
        </w:rPr>
      </w:pPr>
      <w:r>
        <w:rPr>
          <w:rFonts w:ascii="仿宋" w:hAnsi="仿宋" w:eastAsia="仿宋" w:cs="仿宋"/>
          <w:spacing w:val="-2"/>
          <w:sz w:val="24"/>
          <w:szCs w:val="24"/>
        </w:rPr>
        <w:t>（1）路基工程施工噪声</w:t>
      </w:r>
    </w:p>
    <w:p w14:paraId="22297E34">
      <w:pPr>
        <w:spacing w:before="178" w:line="360" w:lineRule="auto"/>
        <w:ind w:left="29" w:right="32" w:firstLine="479"/>
        <w:rPr>
          <w:rFonts w:ascii="仿宋" w:hAnsi="仿宋" w:eastAsia="仿宋" w:cs="仿宋"/>
          <w:sz w:val="24"/>
          <w:szCs w:val="24"/>
        </w:rPr>
      </w:pPr>
      <w:r>
        <w:rPr>
          <w:rFonts w:ascii="仿宋" w:hAnsi="仿宋" w:eastAsia="仿宋" w:cs="仿宋"/>
          <w:spacing w:val="-2"/>
          <w:sz w:val="24"/>
          <w:szCs w:val="24"/>
        </w:rPr>
        <w:t>路基施工为项目噪声影响最突出的阶段，主要包括路基开挖、填筑、平整、</w:t>
      </w:r>
      <w:r>
        <w:rPr>
          <w:rFonts w:ascii="仿宋" w:hAnsi="仿宋" w:eastAsia="仿宋" w:cs="仿宋"/>
          <w:spacing w:val="-3"/>
          <w:sz w:val="24"/>
          <w:szCs w:val="24"/>
        </w:rPr>
        <w:t>碾压等工序，核心噪声设备为挖掘机、推土机、自卸汽车、振动压路</w:t>
      </w:r>
      <w:r>
        <w:rPr>
          <w:rFonts w:ascii="仿宋" w:hAnsi="仿宋" w:eastAsia="仿宋" w:cs="仿宋"/>
          <w:spacing w:val="-4"/>
          <w:sz w:val="24"/>
          <w:szCs w:val="24"/>
        </w:rPr>
        <w:t>机等工程机</w:t>
      </w:r>
      <w:r>
        <w:rPr>
          <w:rFonts w:ascii="仿宋" w:hAnsi="仿宋" w:eastAsia="仿宋" w:cs="仿宋"/>
          <w:spacing w:val="-3"/>
          <w:sz w:val="24"/>
          <w:szCs w:val="24"/>
        </w:rPr>
        <w:t>械。其中开挖、清表作业为间断性高噪声作业，碾压作业为连续性往</w:t>
      </w:r>
      <w:r>
        <w:rPr>
          <w:rFonts w:ascii="仿宋" w:hAnsi="仿宋" w:eastAsia="仿宋" w:cs="仿宋"/>
          <w:spacing w:val="-4"/>
          <w:sz w:val="24"/>
          <w:szCs w:val="24"/>
        </w:rPr>
        <w:t>返作业，作</w:t>
      </w:r>
      <w:r>
        <w:rPr>
          <w:rFonts w:ascii="仿宋" w:hAnsi="仿宋" w:eastAsia="仿宋" w:cs="仿宋"/>
          <w:spacing w:val="-2"/>
          <w:sz w:val="24"/>
          <w:szCs w:val="24"/>
        </w:rPr>
        <w:t>业噪声持续时间长、覆盖范围广。</w:t>
      </w:r>
    </w:p>
    <w:p w14:paraId="05269138">
      <w:pPr>
        <w:spacing w:line="360" w:lineRule="auto"/>
        <w:rPr>
          <w:rFonts w:ascii="仿宋" w:hAnsi="仿宋" w:eastAsia="仿宋" w:cs="仿宋"/>
          <w:sz w:val="24"/>
          <w:szCs w:val="24"/>
        </w:rPr>
        <w:sectPr>
          <w:footerReference r:id="rId152" w:type="default"/>
          <w:pgSz w:w="11906" w:h="16839"/>
          <w:pgMar w:top="400" w:right="1716" w:bottom="1370" w:left="1785" w:header="0" w:footer="1207" w:gutter="0"/>
          <w:cols w:space="720" w:num="1"/>
        </w:sectPr>
      </w:pPr>
    </w:p>
    <w:p w14:paraId="5E8DAA78">
      <w:pPr>
        <w:pStyle w:val="2"/>
        <w:spacing w:line="247" w:lineRule="auto"/>
        <w:rPr>
          <w:sz w:val="21"/>
        </w:rPr>
      </w:pPr>
    </w:p>
    <w:p w14:paraId="302F5DAD">
      <w:pPr>
        <w:pStyle w:val="2"/>
        <w:spacing w:line="248" w:lineRule="auto"/>
        <w:rPr>
          <w:sz w:val="21"/>
        </w:rPr>
      </w:pPr>
    </w:p>
    <w:p w14:paraId="4D1405B9">
      <w:pPr>
        <w:pStyle w:val="2"/>
        <w:spacing w:line="248" w:lineRule="auto"/>
        <w:rPr>
          <w:sz w:val="21"/>
        </w:rPr>
      </w:pPr>
    </w:p>
    <w:p w14:paraId="7A8F9611">
      <w:pPr>
        <w:pStyle w:val="2"/>
        <w:spacing w:line="248" w:lineRule="auto"/>
        <w:rPr>
          <w:sz w:val="21"/>
        </w:rPr>
      </w:pPr>
    </w:p>
    <w:p w14:paraId="0EEE5222">
      <w:pPr>
        <w:spacing w:before="78" w:line="222" w:lineRule="auto"/>
        <w:ind w:left="619"/>
        <w:rPr>
          <w:rFonts w:ascii="仿宋" w:hAnsi="仿宋" w:eastAsia="仿宋" w:cs="仿宋"/>
          <w:sz w:val="24"/>
          <w:szCs w:val="24"/>
        </w:rPr>
      </w:pPr>
      <w:r>
        <w:rPr>
          <w:rFonts w:ascii="仿宋" w:hAnsi="仿宋" w:eastAsia="仿宋" w:cs="仿宋"/>
          <w:spacing w:val="-2"/>
          <w:sz w:val="24"/>
          <w:szCs w:val="24"/>
        </w:rPr>
        <w:t>（2）路面工程施工噪声</w:t>
      </w:r>
    </w:p>
    <w:p w14:paraId="1DD917E1">
      <w:pPr>
        <w:spacing w:before="176" w:line="359" w:lineRule="auto"/>
        <w:ind w:left="133" w:right="117" w:firstLine="479"/>
        <w:rPr>
          <w:rFonts w:ascii="仿宋" w:hAnsi="仿宋" w:eastAsia="仿宋" w:cs="仿宋"/>
          <w:sz w:val="24"/>
          <w:szCs w:val="24"/>
        </w:rPr>
      </w:pPr>
      <w:r>
        <w:rPr>
          <w:rFonts w:ascii="仿宋" w:hAnsi="仿宋" w:eastAsia="仿宋" w:cs="仿宋"/>
          <w:spacing w:val="-3"/>
          <w:sz w:val="24"/>
          <w:szCs w:val="24"/>
        </w:rPr>
        <w:t>路面施工阶段噪声源相对集中，主要为基层、面层铺</w:t>
      </w:r>
      <w:r>
        <w:rPr>
          <w:rFonts w:ascii="仿宋" w:hAnsi="仿宋" w:eastAsia="仿宋" w:cs="仿宋"/>
          <w:spacing w:val="-4"/>
          <w:sz w:val="24"/>
          <w:szCs w:val="24"/>
        </w:rPr>
        <w:t>设及路面修整作业。施</w:t>
      </w:r>
      <w:r>
        <w:rPr>
          <w:rFonts w:ascii="仿宋" w:hAnsi="仿宋" w:eastAsia="仿宋" w:cs="仿宋"/>
          <w:spacing w:val="-3"/>
          <w:sz w:val="24"/>
          <w:szCs w:val="24"/>
        </w:rPr>
        <w:t>工设备包含商砼搅拌车、三辊轴摊铺机、小型振动压路机、路面切割机</w:t>
      </w:r>
      <w:r>
        <w:rPr>
          <w:rFonts w:ascii="仿宋" w:hAnsi="仿宋" w:eastAsia="仿宋" w:cs="仿宋"/>
          <w:spacing w:val="-4"/>
          <w:sz w:val="24"/>
          <w:szCs w:val="24"/>
        </w:rPr>
        <w:t>等。其中</w:t>
      </w:r>
      <w:r>
        <w:rPr>
          <w:rFonts w:ascii="仿宋" w:hAnsi="仿宋" w:eastAsia="仿宋" w:cs="仿宋"/>
          <w:spacing w:val="-3"/>
          <w:sz w:val="24"/>
          <w:szCs w:val="24"/>
        </w:rPr>
        <w:t>路面切缝、板材切割作业产生高频尖锐噪声，瞬时噪声强度大，是路面</w:t>
      </w:r>
      <w:r>
        <w:rPr>
          <w:rFonts w:ascii="仿宋" w:hAnsi="仿宋" w:eastAsia="仿宋" w:cs="仿宋"/>
          <w:spacing w:val="-4"/>
          <w:sz w:val="24"/>
          <w:szCs w:val="24"/>
        </w:rPr>
        <w:t>施工阶段</w:t>
      </w:r>
      <w:r>
        <w:rPr>
          <w:rFonts w:ascii="仿宋" w:hAnsi="仿宋" w:eastAsia="仿宋" w:cs="仿宋"/>
          <w:spacing w:val="-3"/>
          <w:sz w:val="24"/>
          <w:szCs w:val="24"/>
        </w:rPr>
        <w:t>主要扰民噪声源；摊铺、碾压设备运行噪声为中低频连续噪声，衰减速</w:t>
      </w:r>
      <w:r>
        <w:rPr>
          <w:rFonts w:ascii="仿宋" w:hAnsi="仿宋" w:eastAsia="仿宋" w:cs="仿宋"/>
          <w:spacing w:val="-4"/>
          <w:sz w:val="24"/>
          <w:szCs w:val="24"/>
        </w:rPr>
        <w:t>度慢，对</w:t>
      </w:r>
      <w:r>
        <w:rPr>
          <w:rFonts w:ascii="仿宋" w:hAnsi="仿宋" w:eastAsia="仿宋" w:cs="仿宋"/>
          <w:spacing w:val="-3"/>
          <w:sz w:val="24"/>
          <w:szCs w:val="24"/>
        </w:rPr>
        <w:t>沿线村庄居民影响持续时间较长。本项目无固定式大型拌合站，仅采用</w:t>
      </w:r>
      <w:r>
        <w:rPr>
          <w:rFonts w:ascii="仿宋" w:hAnsi="仿宋" w:eastAsia="仿宋" w:cs="仿宋"/>
          <w:spacing w:val="-4"/>
          <w:sz w:val="24"/>
          <w:szCs w:val="24"/>
        </w:rPr>
        <w:t>商砼搅拌</w:t>
      </w:r>
      <w:r>
        <w:rPr>
          <w:rFonts w:ascii="仿宋" w:hAnsi="仿宋" w:eastAsia="仿宋" w:cs="仿宋"/>
          <w:spacing w:val="-2"/>
          <w:sz w:val="24"/>
          <w:szCs w:val="24"/>
        </w:rPr>
        <w:t>车设备，噪声影响范围有限。</w:t>
      </w:r>
    </w:p>
    <w:p w14:paraId="0C4BBC69">
      <w:pPr>
        <w:spacing w:before="2" w:line="221" w:lineRule="auto"/>
        <w:ind w:left="619"/>
        <w:rPr>
          <w:rFonts w:ascii="仿宋" w:hAnsi="仿宋" w:eastAsia="仿宋" w:cs="仿宋"/>
          <w:sz w:val="24"/>
          <w:szCs w:val="24"/>
        </w:rPr>
      </w:pPr>
      <w:r>
        <w:rPr>
          <w:rFonts w:ascii="仿宋" w:hAnsi="仿宋" w:eastAsia="仿宋" w:cs="仿宋"/>
          <w:spacing w:val="-2"/>
          <w:sz w:val="24"/>
          <w:szCs w:val="24"/>
        </w:rPr>
        <w:t>（3）小型构造物施工噪声</w:t>
      </w:r>
    </w:p>
    <w:p w14:paraId="3C31E91A">
      <w:pPr>
        <w:spacing w:before="181" w:line="359" w:lineRule="auto"/>
        <w:ind w:left="134" w:right="52" w:firstLine="481"/>
        <w:rPr>
          <w:rFonts w:ascii="仿宋" w:hAnsi="仿宋" w:eastAsia="仿宋" w:cs="仿宋"/>
          <w:sz w:val="24"/>
          <w:szCs w:val="24"/>
        </w:rPr>
      </w:pPr>
      <w:r>
        <w:rPr>
          <w:rFonts w:ascii="仿宋" w:hAnsi="仿宋" w:eastAsia="仿宋" w:cs="仿宋"/>
          <w:spacing w:val="-1"/>
          <w:sz w:val="24"/>
          <w:szCs w:val="24"/>
        </w:rPr>
        <w:t>项目涵洞、边沟、排水沟、挡土墙等小型构</w:t>
      </w:r>
      <w:r>
        <w:rPr>
          <w:rFonts w:ascii="仿宋" w:hAnsi="仿宋" w:eastAsia="仿宋" w:cs="仿宋"/>
          <w:spacing w:val="-2"/>
          <w:sz w:val="24"/>
          <w:szCs w:val="24"/>
        </w:rPr>
        <w:t>造物施工点位分散、作业量小，</w:t>
      </w:r>
      <w:r>
        <w:rPr>
          <w:rFonts w:ascii="仿宋" w:hAnsi="仿宋" w:eastAsia="仿宋" w:cs="仿宋"/>
          <w:spacing w:val="-1"/>
          <w:sz w:val="24"/>
          <w:szCs w:val="24"/>
        </w:rPr>
        <w:t>噪声呈零散、间歇性排放特征。主要噪声设备为混凝土振</w:t>
      </w:r>
      <w:r>
        <w:rPr>
          <w:rFonts w:ascii="仿宋" w:hAnsi="仿宋" w:eastAsia="仿宋" w:cs="仿宋"/>
          <w:spacing w:val="-2"/>
          <w:sz w:val="24"/>
          <w:szCs w:val="24"/>
        </w:rPr>
        <w:t>捣棒、小型切割机等，</w:t>
      </w:r>
      <w:r>
        <w:rPr>
          <w:rFonts w:ascii="仿宋" w:hAnsi="仿宋" w:eastAsia="仿宋" w:cs="仿宋"/>
          <w:spacing w:val="-8"/>
          <w:sz w:val="24"/>
          <w:szCs w:val="24"/>
        </w:rPr>
        <w:t>设备单机噪声强度中等，单点位作业时间短，整体噪声影响范围小、叠加效应弱，</w:t>
      </w:r>
      <w:r>
        <w:rPr>
          <w:rFonts w:ascii="仿宋" w:hAnsi="仿宋" w:eastAsia="仿宋" w:cs="仿宋"/>
          <w:spacing w:val="-1"/>
          <w:sz w:val="24"/>
          <w:szCs w:val="24"/>
        </w:rPr>
        <w:t>仅对施工点位周边局部区域产生短时影响。</w:t>
      </w:r>
    </w:p>
    <w:p w14:paraId="623B7342">
      <w:pPr>
        <w:spacing w:line="222" w:lineRule="auto"/>
        <w:ind w:left="619"/>
        <w:rPr>
          <w:rFonts w:ascii="仿宋" w:hAnsi="仿宋" w:eastAsia="仿宋" w:cs="仿宋"/>
          <w:sz w:val="24"/>
          <w:szCs w:val="24"/>
        </w:rPr>
      </w:pPr>
      <w:r>
        <w:rPr>
          <w:rFonts w:ascii="仿宋" w:hAnsi="仿宋" w:eastAsia="仿宋" w:cs="仿宋"/>
          <w:spacing w:val="-2"/>
          <w:sz w:val="24"/>
          <w:szCs w:val="24"/>
        </w:rPr>
        <w:t>（4）施工运输交通噪声</w:t>
      </w:r>
    </w:p>
    <w:p w14:paraId="59E1A994">
      <w:pPr>
        <w:spacing w:before="177" w:line="359" w:lineRule="auto"/>
        <w:ind w:left="134" w:right="67" w:firstLine="480"/>
        <w:rPr>
          <w:rFonts w:ascii="仿宋" w:hAnsi="仿宋" w:eastAsia="仿宋" w:cs="仿宋"/>
          <w:sz w:val="24"/>
          <w:szCs w:val="24"/>
        </w:rPr>
      </w:pPr>
      <w:r>
        <w:rPr>
          <w:rFonts w:ascii="仿宋" w:hAnsi="仿宋" w:eastAsia="仿宋" w:cs="仿宋"/>
          <w:spacing w:val="-3"/>
          <w:sz w:val="24"/>
          <w:szCs w:val="24"/>
        </w:rPr>
        <w:t>施工期间砂石、水泥、土石方、建筑垃圾等物料运</w:t>
      </w:r>
      <w:r>
        <w:rPr>
          <w:rFonts w:ascii="仿宋" w:hAnsi="仿宋" w:eastAsia="仿宋" w:cs="仿宋"/>
          <w:spacing w:val="-4"/>
          <w:sz w:val="24"/>
          <w:szCs w:val="24"/>
        </w:rPr>
        <w:t>输主要依托现状乡村道路</w:t>
      </w:r>
      <w:r>
        <w:rPr>
          <w:rFonts w:ascii="仿宋" w:hAnsi="仿宋" w:eastAsia="仿宋" w:cs="仿宋"/>
          <w:spacing w:val="-2"/>
          <w:sz w:val="24"/>
          <w:szCs w:val="24"/>
        </w:rPr>
        <w:t>（施工临时便道位于本项目占地范围内</w:t>
      </w:r>
      <w:r>
        <w:rPr>
          <w:rFonts w:ascii="仿宋" w:hAnsi="仿宋" w:eastAsia="仿宋" w:cs="仿宋"/>
          <w:spacing w:val="9"/>
          <w:sz w:val="24"/>
          <w:szCs w:val="24"/>
        </w:rPr>
        <w:t>），</w:t>
      </w:r>
      <w:r>
        <w:rPr>
          <w:rFonts w:ascii="仿宋" w:hAnsi="仿宋" w:eastAsia="仿宋" w:cs="仿宋"/>
          <w:spacing w:val="-2"/>
          <w:sz w:val="24"/>
          <w:szCs w:val="24"/>
        </w:rPr>
        <w:t>运输车辆</w:t>
      </w:r>
      <w:r>
        <w:rPr>
          <w:rFonts w:ascii="仿宋" w:hAnsi="仿宋" w:eastAsia="仿宋" w:cs="仿宋"/>
          <w:spacing w:val="-3"/>
          <w:sz w:val="24"/>
          <w:szCs w:val="24"/>
        </w:rPr>
        <w:t>往来频繁。车辆怠速启停、爬坡、刹车、临时鸣笛是沿线村庄敏感点的主要噪声来源。相较于施</w:t>
      </w:r>
      <w:r>
        <w:rPr>
          <w:rFonts w:ascii="仿宋" w:hAnsi="仿宋" w:eastAsia="仿宋" w:cs="仿宋"/>
          <w:spacing w:val="-4"/>
          <w:sz w:val="24"/>
          <w:szCs w:val="24"/>
        </w:rPr>
        <w:t>工机械固定</w:t>
      </w:r>
      <w:r>
        <w:rPr>
          <w:rFonts w:ascii="仿宋" w:hAnsi="仿宋" w:eastAsia="仿宋" w:cs="仿宋"/>
          <w:spacing w:val="-3"/>
          <w:sz w:val="24"/>
          <w:szCs w:val="24"/>
        </w:rPr>
        <w:t>点位噪声，运输噪声呈线状流动特征，覆盖全线施工路段及沿线通行</w:t>
      </w:r>
      <w:r>
        <w:rPr>
          <w:rFonts w:ascii="仿宋" w:hAnsi="仿宋" w:eastAsia="仿宋" w:cs="仿宋"/>
          <w:spacing w:val="-4"/>
          <w:sz w:val="24"/>
          <w:szCs w:val="24"/>
        </w:rPr>
        <w:t>便道，扰民随机性强。</w:t>
      </w:r>
    </w:p>
    <w:p w14:paraId="67B15069">
      <w:pPr>
        <w:spacing w:before="292" w:line="223" w:lineRule="auto"/>
        <w:ind w:left="132"/>
        <w:outlineLvl w:val="2"/>
        <w:rPr>
          <w:rFonts w:ascii="仿宋" w:hAnsi="仿宋" w:eastAsia="仿宋" w:cs="仿宋"/>
          <w:sz w:val="28"/>
          <w:szCs w:val="28"/>
        </w:rPr>
      </w:pPr>
      <w:bookmarkStart w:id="24" w:name="bookmark27"/>
      <w:bookmarkEnd w:id="24"/>
      <w:r>
        <w:rPr>
          <w:rFonts w:ascii="仿宋" w:hAnsi="仿宋" w:eastAsia="仿宋" w:cs="仿宋"/>
          <w:b/>
          <w:bCs/>
          <w:spacing w:val="-5"/>
          <w:sz w:val="28"/>
          <w:szCs w:val="28"/>
        </w:rPr>
        <w:t>2.2.2</w:t>
      </w:r>
      <w:r>
        <w:rPr>
          <w:rFonts w:ascii="仿宋" w:hAnsi="仿宋" w:eastAsia="仿宋" w:cs="仿宋"/>
          <w:spacing w:val="-44"/>
          <w:sz w:val="28"/>
          <w:szCs w:val="28"/>
        </w:rPr>
        <w:t xml:space="preserve"> </w:t>
      </w:r>
      <w:r>
        <w:rPr>
          <w:rFonts w:ascii="仿宋" w:hAnsi="仿宋" w:eastAsia="仿宋" w:cs="仿宋"/>
          <w:b/>
          <w:bCs/>
          <w:spacing w:val="-5"/>
          <w:sz w:val="28"/>
          <w:szCs w:val="28"/>
        </w:rPr>
        <w:t>主要噪声源强参数</w:t>
      </w:r>
    </w:p>
    <w:p w14:paraId="72686E5D">
      <w:pPr>
        <w:spacing w:before="271" w:line="355" w:lineRule="auto"/>
        <w:ind w:left="137" w:right="117" w:firstLine="480"/>
        <w:jc w:val="both"/>
        <w:rPr>
          <w:rFonts w:ascii="仿宋" w:hAnsi="仿宋" w:eastAsia="仿宋" w:cs="仿宋"/>
          <w:sz w:val="24"/>
          <w:szCs w:val="24"/>
        </w:rPr>
      </w:pPr>
      <w:r>
        <w:rPr>
          <w:rFonts w:ascii="仿宋" w:hAnsi="仿宋" w:eastAsia="仿宋" w:cs="仿宋"/>
          <w:spacing w:val="-1"/>
          <w:sz w:val="24"/>
          <w:szCs w:val="24"/>
        </w:rPr>
        <w:t>参照《环境影响评价技术导则 公路建设项</w:t>
      </w:r>
      <w:r>
        <w:rPr>
          <w:rFonts w:ascii="仿宋" w:hAnsi="仿宋" w:eastAsia="仿宋" w:cs="仿宋"/>
          <w:spacing w:val="-2"/>
          <w:sz w:val="24"/>
          <w:szCs w:val="24"/>
        </w:rPr>
        <w:t>目》</w:t>
      </w:r>
      <w:r>
        <w:fldChar w:fldCharType="begin"/>
      </w:r>
      <w:r>
        <w:instrText xml:space="preserve"> HYPERLINK "https://www.mee.gov.cn/ywgz/fgbz/bz/bzwb/other/pjjsdz/202406/W020240607549192973426.pdf" </w:instrText>
      </w:r>
      <w:r>
        <w:fldChar w:fldCharType="separate"/>
      </w:r>
      <w:r>
        <w:rPr>
          <w:rFonts w:ascii="仿宋" w:hAnsi="仿宋" w:eastAsia="仿宋" w:cs="仿宋"/>
          <w:spacing w:val="-2"/>
          <w:sz w:val="24"/>
          <w:szCs w:val="24"/>
        </w:rPr>
        <w:t>（HJ 1358—2024）</w:t>
      </w:r>
      <w:r>
        <w:rPr>
          <w:rFonts w:ascii="仿宋" w:hAnsi="仿宋" w:eastAsia="仿宋" w:cs="仿宋"/>
          <w:spacing w:val="-2"/>
          <w:sz w:val="24"/>
          <w:szCs w:val="24"/>
        </w:rPr>
        <w:fldChar w:fldCharType="end"/>
      </w:r>
      <w:r>
        <w:rPr>
          <w:rFonts w:ascii="仿宋" w:hAnsi="仿宋" w:eastAsia="仿宋" w:cs="仿宋"/>
          <w:spacing w:val="-2"/>
          <w:sz w:val="24"/>
          <w:szCs w:val="24"/>
        </w:rPr>
        <w:t>附录</w:t>
      </w:r>
      <w:r>
        <w:rPr>
          <w:rFonts w:ascii="仿宋" w:hAnsi="仿宋" w:eastAsia="仿宋" w:cs="仿宋"/>
          <w:spacing w:val="-56"/>
          <w:sz w:val="24"/>
          <w:szCs w:val="24"/>
        </w:rPr>
        <w:t xml:space="preserve"> </w:t>
      </w:r>
      <w:r>
        <w:rPr>
          <w:rFonts w:ascii="仿宋" w:hAnsi="仿宋" w:eastAsia="仿宋" w:cs="仿宋"/>
          <w:spacing w:val="-2"/>
          <w:sz w:val="24"/>
          <w:szCs w:val="24"/>
        </w:rPr>
        <w:t>D，</w:t>
      </w:r>
      <w:r>
        <w:rPr>
          <w:rFonts w:ascii="仿宋" w:hAnsi="仿宋" w:eastAsia="仿宋" w:cs="仿宋"/>
          <w:spacing w:val="-3"/>
          <w:sz w:val="24"/>
          <w:szCs w:val="24"/>
        </w:rPr>
        <w:t>且考虑本项目为四级道路，施工机械以中小型机械为主，故</w:t>
      </w:r>
      <w:r>
        <w:rPr>
          <w:rFonts w:ascii="仿宋" w:hAnsi="仿宋" w:eastAsia="仿宋" w:cs="仿宋"/>
          <w:spacing w:val="-4"/>
          <w:sz w:val="24"/>
          <w:szCs w:val="24"/>
        </w:rPr>
        <w:t>本项目主要施工设备</w:t>
      </w:r>
      <w:r>
        <w:rPr>
          <w:rFonts w:ascii="仿宋" w:hAnsi="仿宋" w:eastAsia="仿宋" w:cs="仿宋"/>
          <w:sz w:val="24"/>
          <w:szCs w:val="24"/>
        </w:rPr>
        <w:t>噪声源强（距声源5m</w:t>
      </w:r>
      <w:r>
        <w:rPr>
          <w:rFonts w:ascii="仿宋" w:hAnsi="仿宋" w:eastAsia="仿宋" w:cs="仿宋"/>
          <w:spacing w:val="-41"/>
          <w:sz w:val="24"/>
          <w:szCs w:val="24"/>
        </w:rPr>
        <w:t xml:space="preserve"> </w:t>
      </w:r>
      <w:r>
        <w:rPr>
          <w:rFonts w:ascii="仿宋" w:hAnsi="仿宋" w:eastAsia="仿宋" w:cs="仿宋"/>
          <w:sz w:val="24"/>
          <w:szCs w:val="24"/>
        </w:rPr>
        <w:t>处）按附录</w:t>
      </w:r>
      <w:r>
        <w:rPr>
          <w:rFonts w:ascii="仿宋" w:hAnsi="仿宋" w:eastAsia="仿宋" w:cs="仿宋"/>
          <w:spacing w:val="-56"/>
          <w:sz w:val="24"/>
          <w:szCs w:val="24"/>
        </w:rPr>
        <w:t xml:space="preserve"> </w:t>
      </w:r>
      <w:r>
        <w:rPr>
          <w:rFonts w:ascii="仿宋" w:hAnsi="仿宋" w:eastAsia="仿宋" w:cs="仿宋"/>
          <w:sz w:val="24"/>
          <w:szCs w:val="24"/>
        </w:rPr>
        <w:t>D</w:t>
      </w:r>
      <w:r>
        <w:rPr>
          <w:rFonts w:ascii="仿宋" w:hAnsi="仿宋" w:eastAsia="仿宋" w:cs="仿宋"/>
          <w:spacing w:val="-43"/>
          <w:sz w:val="24"/>
          <w:szCs w:val="24"/>
        </w:rPr>
        <w:t xml:space="preserve"> </w:t>
      </w:r>
      <w:r>
        <w:rPr>
          <w:rFonts w:ascii="仿宋" w:hAnsi="仿宋" w:eastAsia="仿宋" w:cs="仿宋"/>
          <w:sz w:val="24"/>
          <w:szCs w:val="24"/>
        </w:rPr>
        <w:t>取中间值，具体参数如下表所示。</w:t>
      </w:r>
    </w:p>
    <w:p w14:paraId="3C4FEF87">
      <w:pPr>
        <w:spacing w:before="51" w:line="219" w:lineRule="auto"/>
        <w:ind w:left="2450"/>
        <w:rPr>
          <w:rFonts w:ascii="仿宋" w:hAnsi="仿宋" w:eastAsia="仿宋" w:cs="仿宋"/>
          <w:sz w:val="24"/>
          <w:szCs w:val="24"/>
        </w:rPr>
      </w:pPr>
      <w:r>
        <w:rPr>
          <w:rFonts w:ascii="仿宋" w:hAnsi="仿宋" w:eastAsia="仿宋" w:cs="仿宋"/>
          <w:b/>
          <w:bCs/>
          <w:spacing w:val="-3"/>
          <w:sz w:val="24"/>
          <w:szCs w:val="24"/>
        </w:rPr>
        <w:t>表</w:t>
      </w:r>
      <w:r>
        <w:rPr>
          <w:rFonts w:ascii="仿宋" w:hAnsi="仿宋" w:eastAsia="仿宋" w:cs="仿宋"/>
          <w:spacing w:val="-45"/>
          <w:sz w:val="24"/>
          <w:szCs w:val="24"/>
        </w:rPr>
        <w:t xml:space="preserve"> </w:t>
      </w:r>
      <w:r>
        <w:rPr>
          <w:rFonts w:ascii="仿宋" w:hAnsi="仿宋" w:eastAsia="仿宋" w:cs="仿宋"/>
          <w:b/>
          <w:bCs/>
          <w:spacing w:val="-3"/>
          <w:sz w:val="24"/>
          <w:szCs w:val="24"/>
        </w:rPr>
        <w:t>2.2-1</w:t>
      </w:r>
      <w:r>
        <w:rPr>
          <w:rFonts w:ascii="仿宋" w:hAnsi="仿宋" w:eastAsia="仿宋" w:cs="仿宋"/>
          <w:spacing w:val="-3"/>
          <w:sz w:val="24"/>
          <w:szCs w:val="24"/>
        </w:rPr>
        <w:t xml:space="preserve">   </w:t>
      </w:r>
      <w:r>
        <w:rPr>
          <w:rFonts w:ascii="仿宋" w:hAnsi="仿宋" w:eastAsia="仿宋" w:cs="仿宋"/>
          <w:b/>
          <w:bCs/>
          <w:spacing w:val="-3"/>
          <w:sz w:val="24"/>
          <w:szCs w:val="24"/>
        </w:rPr>
        <w:t>主要施工机械和车辆噪声级</w:t>
      </w:r>
    </w:p>
    <w:p w14:paraId="646452B6">
      <w:pPr>
        <w:spacing w:line="147" w:lineRule="exact"/>
      </w:pPr>
    </w:p>
    <w:tbl>
      <w:tblPr>
        <w:tblStyle w:val="5"/>
        <w:tblW w:w="8543"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8"/>
        <w:gridCol w:w="1882"/>
        <w:gridCol w:w="1857"/>
        <w:gridCol w:w="1915"/>
        <w:gridCol w:w="2151"/>
      </w:tblGrid>
      <w:tr w14:paraId="5863EE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738" w:type="dxa"/>
            <w:tcBorders>
              <w:top w:val="single" w:color="000000" w:sz="10" w:space="0"/>
              <w:left w:val="nil"/>
            </w:tcBorders>
            <w:vAlign w:val="top"/>
          </w:tcPr>
          <w:p w14:paraId="4499F715">
            <w:pPr>
              <w:spacing w:before="116" w:line="231" w:lineRule="auto"/>
              <w:ind w:left="173"/>
              <w:rPr>
                <w:rFonts w:ascii="仿宋" w:hAnsi="仿宋" w:eastAsia="仿宋" w:cs="仿宋"/>
                <w:sz w:val="20"/>
                <w:szCs w:val="20"/>
              </w:rPr>
            </w:pPr>
            <w:r>
              <w:rPr>
                <w:rFonts w:ascii="仿宋" w:hAnsi="仿宋" w:eastAsia="仿宋" w:cs="仿宋"/>
                <w:spacing w:val="2"/>
                <w:sz w:val="20"/>
                <w:szCs w:val="20"/>
              </w:rPr>
              <w:t>序号</w:t>
            </w:r>
          </w:p>
        </w:tc>
        <w:tc>
          <w:tcPr>
            <w:tcW w:w="1882" w:type="dxa"/>
            <w:tcBorders>
              <w:top w:val="single" w:color="000000" w:sz="10" w:space="0"/>
            </w:tcBorders>
            <w:vAlign w:val="top"/>
          </w:tcPr>
          <w:p w14:paraId="5BBE4E69">
            <w:pPr>
              <w:spacing w:before="117" w:line="229" w:lineRule="auto"/>
              <w:ind w:left="320"/>
              <w:rPr>
                <w:rFonts w:ascii="仿宋" w:hAnsi="仿宋" w:eastAsia="仿宋" w:cs="仿宋"/>
                <w:sz w:val="20"/>
                <w:szCs w:val="20"/>
              </w:rPr>
            </w:pPr>
            <w:r>
              <w:rPr>
                <w:rFonts w:ascii="仿宋" w:hAnsi="仿宋" w:eastAsia="仿宋" w:cs="仿宋"/>
                <w:spacing w:val="7"/>
                <w:sz w:val="20"/>
                <w:szCs w:val="20"/>
              </w:rPr>
              <w:t>施工设备名称</w:t>
            </w:r>
          </w:p>
        </w:tc>
        <w:tc>
          <w:tcPr>
            <w:tcW w:w="1857" w:type="dxa"/>
            <w:tcBorders>
              <w:top w:val="single" w:color="000000" w:sz="10" w:space="0"/>
            </w:tcBorders>
            <w:vAlign w:val="top"/>
          </w:tcPr>
          <w:p w14:paraId="6705FF1E">
            <w:pPr>
              <w:spacing w:before="116" w:line="231" w:lineRule="auto"/>
              <w:ind w:left="238"/>
              <w:rPr>
                <w:rFonts w:ascii="仿宋" w:hAnsi="仿宋" w:eastAsia="仿宋" w:cs="仿宋"/>
                <w:sz w:val="20"/>
                <w:szCs w:val="20"/>
              </w:rPr>
            </w:pPr>
            <w:r>
              <w:rPr>
                <w:rFonts w:ascii="仿宋" w:hAnsi="仿宋" w:eastAsia="仿宋" w:cs="仿宋"/>
                <w:spacing w:val="3"/>
                <w:sz w:val="20"/>
                <w:szCs w:val="20"/>
              </w:rPr>
              <w:t>噪声源强</w:t>
            </w:r>
            <w:r>
              <w:rPr>
                <w:rFonts w:ascii="仿宋" w:hAnsi="仿宋" w:eastAsia="仿宋" w:cs="仿宋"/>
                <w:spacing w:val="-28"/>
                <w:sz w:val="20"/>
                <w:szCs w:val="20"/>
              </w:rPr>
              <w:t xml:space="preserve"> </w:t>
            </w:r>
            <w:r>
              <w:rPr>
                <w:rFonts w:ascii="仿宋" w:hAnsi="仿宋" w:eastAsia="仿宋" w:cs="仿宋"/>
                <w:sz w:val="20"/>
                <w:szCs w:val="20"/>
              </w:rPr>
              <w:t>dB</w:t>
            </w:r>
            <w:r>
              <w:rPr>
                <w:rFonts w:ascii="仿宋" w:hAnsi="仿宋" w:eastAsia="仿宋" w:cs="仿宋"/>
                <w:spacing w:val="3"/>
                <w:sz w:val="20"/>
                <w:szCs w:val="20"/>
              </w:rPr>
              <w:t>(A)</w:t>
            </w:r>
          </w:p>
        </w:tc>
        <w:tc>
          <w:tcPr>
            <w:tcW w:w="1915" w:type="dxa"/>
            <w:tcBorders>
              <w:top w:val="single" w:color="000000" w:sz="10" w:space="0"/>
            </w:tcBorders>
            <w:vAlign w:val="top"/>
          </w:tcPr>
          <w:p w14:paraId="117E4136">
            <w:pPr>
              <w:spacing w:before="116" w:line="229" w:lineRule="auto"/>
              <w:ind w:left="552"/>
              <w:rPr>
                <w:rFonts w:ascii="仿宋" w:hAnsi="仿宋" w:eastAsia="仿宋" w:cs="仿宋"/>
                <w:sz w:val="20"/>
                <w:szCs w:val="20"/>
              </w:rPr>
            </w:pPr>
            <w:r>
              <w:rPr>
                <w:rFonts w:ascii="仿宋" w:hAnsi="仿宋" w:eastAsia="仿宋" w:cs="仿宋"/>
                <w:spacing w:val="5"/>
                <w:sz w:val="20"/>
                <w:szCs w:val="20"/>
              </w:rPr>
              <w:t>作业工况</w:t>
            </w:r>
          </w:p>
        </w:tc>
        <w:tc>
          <w:tcPr>
            <w:tcW w:w="2151" w:type="dxa"/>
            <w:tcBorders>
              <w:top w:val="single" w:color="000000" w:sz="10" w:space="0"/>
              <w:right w:val="nil"/>
            </w:tcBorders>
            <w:vAlign w:val="top"/>
          </w:tcPr>
          <w:p w14:paraId="1F447466">
            <w:pPr>
              <w:spacing w:before="116" w:line="231" w:lineRule="auto"/>
              <w:ind w:left="668"/>
              <w:rPr>
                <w:rFonts w:ascii="仿宋" w:hAnsi="仿宋" w:eastAsia="仿宋" w:cs="仿宋"/>
                <w:sz w:val="20"/>
                <w:szCs w:val="20"/>
              </w:rPr>
            </w:pPr>
            <w:r>
              <w:rPr>
                <w:rFonts w:ascii="仿宋" w:hAnsi="仿宋" w:eastAsia="仿宋" w:cs="仿宋"/>
                <w:spacing w:val="5"/>
                <w:sz w:val="20"/>
                <w:szCs w:val="20"/>
              </w:rPr>
              <w:t>产噪工序</w:t>
            </w:r>
          </w:p>
        </w:tc>
      </w:tr>
      <w:tr w14:paraId="71EE11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738" w:type="dxa"/>
            <w:tcBorders>
              <w:left w:val="nil"/>
            </w:tcBorders>
            <w:vAlign w:val="top"/>
          </w:tcPr>
          <w:p w14:paraId="008ECC6A">
            <w:pPr>
              <w:spacing w:before="117" w:line="272" w:lineRule="exact"/>
              <w:ind w:left="338"/>
              <w:rPr>
                <w:rFonts w:ascii="仿宋" w:hAnsi="仿宋" w:eastAsia="仿宋" w:cs="仿宋"/>
                <w:sz w:val="20"/>
                <w:szCs w:val="20"/>
              </w:rPr>
            </w:pPr>
            <w:r>
              <w:rPr>
                <w:rFonts w:ascii="仿宋" w:hAnsi="仿宋" w:eastAsia="仿宋" w:cs="仿宋"/>
                <w:position w:val="1"/>
                <w:sz w:val="20"/>
                <w:szCs w:val="20"/>
              </w:rPr>
              <w:t>1</w:t>
            </w:r>
          </w:p>
        </w:tc>
        <w:tc>
          <w:tcPr>
            <w:tcW w:w="1882" w:type="dxa"/>
            <w:vAlign w:val="top"/>
          </w:tcPr>
          <w:p w14:paraId="3626ABDF">
            <w:pPr>
              <w:spacing w:before="117" w:line="231" w:lineRule="auto"/>
              <w:ind w:left="427"/>
              <w:rPr>
                <w:rFonts w:ascii="仿宋" w:hAnsi="仿宋" w:eastAsia="仿宋" w:cs="仿宋"/>
                <w:sz w:val="20"/>
                <w:szCs w:val="20"/>
              </w:rPr>
            </w:pPr>
            <w:r>
              <w:rPr>
                <w:rFonts w:ascii="仿宋" w:hAnsi="仿宋" w:eastAsia="仿宋" w:cs="仿宋"/>
                <w:spacing w:val="6"/>
                <w:sz w:val="20"/>
                <w:szCs w:val="20"/>
              </w:rPr>
              <w:t>液压挖掘机</w:t>
            </w:r>
          </w:p>
        </w:tc>
        <w:tc>
          <w:tcPr>
            <w:tcW w:w="1857" w:type="dxa"/>
            <w:vAlign w:val="top"/>
          </w:tcPr>
          <w:p w14:paraId="4CE74FA7">
            <w:pPr>
              <w:spacing w:before="117" w:line="270" w:lineRule="exact"/>
              <w:ind w:left="828"/>
              <w:rPr>
                <w:rFonts w:ascii="仿宋" w:hAnsi="仿宋" w:eastAsia="仿宋" w:cs="仿宋"/>
                <w:sz w:val="20"/>
                <w:szCs w:val="20"/>
              </w:rPr>
            </w:pPr>
            <w:r>
              <w:rPr>
                <w:rFonts w:ascii="仿宋" w:hAnsi="仿宋" w:eastAsia="仿宋" w:cs="仿宋"/>
                <w:position w:val="1"/>
                <w:sz w:val="20"/>
                <w:szCs w:val="20"/>
              </w:rPr>
              <w:t>86</w:t>
            </w:r>
          </w:p>
        </w:tc>
        <w:tc>
          <w:tcPr>
            <w:tcW w:w="1915" w:type="dxa"/>
            <w:vAlign w:val="top"/>
          </w:tcPr>
          <w:p w14:paraId="32354CE8">
            <w:pPr>
              <w:spacing w:before="117" w:line="229" w:lineRule="auto"/>
              <w:ind w:left="568"/>
              <w:rPr>
                <w:rFonts w:ascii="仿宋" w:hAnsi="仿宋" w:eastAsia="仿宋" w:cs="仿宋"/>
                <w:sz w:val="20"/>
                <w:szCs w:val="20"/>
              </w:rPr>
            </w:pPr>
            <w:r>
              <w:rPr>
                <w:rFonts w:ascii="仿宋" w:hAnsi="仿宋" w:eastAsia="仿宋" w:cs="仿宋"/>
                <w:spacing w:val="1"/>
                <w:sz w:val="20"/>
                <w:szCs w:val="20"/>
              </w:rPr>
              <w:t>间断作业</w:t>
            </w:r>
          </w:p>
        </w:tc>
        <w:tc>
          <w:tcPr>
            <w:tcW w:w="2151" w:type="dxa"/>
            <w:tcBorders>
              <w:right w:val="nil"/>
            </w:tcBorders>
            <w:vAlign w:val="top"/>
          </w:tcPr>
          <w:p w14:paraId="6295CDDB">
            <w:pPr>
              <w:spacing w:before="117" w:line="231" w:lineRule="auto"/>
              <w:ind w:left="348"/>
              <w:rPr>
                <w:rFonts w:ascii="仿宋" w:hAnsi="仿宋" w:eastAsia="仿宋" w:cs="仿宋"/>
                <w:sz w:val="20"/>
                <w:szCs w:val="20"/>
              </w:rPr>
            </w:pPr>
            <w:r>
              <w:rPr>
                <w:rFonts w:ascii="仿宋" w:hAnsi="仿宋" w:eastAsia="仿宋" w:cs="仿宋"/>
                <w:spacing w:val="8"/>
                <w:sz w:val="20"/>
                <w:szCs w:val="20"/>
              </w:rPr>
              <w:t>路基开挖、清表</w:t>
            </w:r>
          </w:p>
        </w:tc>
      </w:tr>
      <w:tr w14:paraId="7B3E9B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738" w:type="dxa"/>
            <w:tcBorders>
              <w:left w:val="nil"/>
            </w:tcBorders>
            <w:vAlign w:val="top"/>
          </w:tcPr>
          <w:p w14:paraId="7FD354AF">
            <w:pPr>
              <w:spacing w:before="119" w:line="272" w:lineRule="exact"/>
              <w:ind w:left="325"/>
              <w:rPr>
                <w:rFonts w:ascii="仿宋" w:hAnsi="仿宋" w:eastAsia="仿宋" w:cs="仿宋"/>
                <w:sz w:val="20"/>
                <w:szCs w:val="20"/>
              </w:rPr>
            </w:pPr>
            <w:r>
              <w:rPr>
                <w:rFonts w:ascii="仿宋" w:hAnsi="仿宋" w:eastAsia="仿宋" w:cs="仿宋"/>
                <w:position w:val="1"/>
                <w:sz w:val="20"/>
                <w:szCs w:val="20"/>
              </w:rPr>
              <w:t>2</w:t>
            </w:r>
          </w:p>
        </w:tc>
        <w:tc>
          <w:tcPr>
            <w:tcW w:w="1882" w:type="dxa"/>
            <w:vAlign w:val="top"/>
          </w:tcPr>
          <w:p w14:paraId="4A52E682">
            <w:pPr>
              <w:spacing w:before="119" w:line="231" w:lineRule="auto"/>
              <w:ind w:left="639"/>
              <w:rPr>
                <w:rFonts w:ascii="仿宋" w:hAnsi="仿宋" w:eastAsia="仿宋" w:cs="仿宋"/>
                <w:sz w:val="20"/>
                <w:szCs w:val="20"/>
              </w:rPr>
            </w:pPr>
            <w:r>
              <w:rPr>
                <w:rFonts w:ascii="仿宋" w:hAnsi="仿宋" w:eastAsia="仿宋" w:cs="仿宋"/>
                <w:spacing w:val="4"/>
                <w:sz w:val="20"/>
                <w:szCs w:val="20"/>
              </w:rPr>
              <w:t>推土机</w:t>
            </w:r>
          </w:p>
        </w:tc>
        <w:tc>
          <w:tcPr>
            <w:tcW w:w="1857" w:type="dxa"/>
            <w:vAlign w:val="top"/>
          </w:tcPr>
          <w:p w14:paraId="0477F85C">
            <w:pPr>
              <w:spacing w:before="119" w:line="271" w:lineRule="exact"/>
              <w:ind w:left="828"/>
              <w:rPr>
                <w:rFonts w:ascii="仿宋" w:hAnsi="仿宋" w:eastAsia="仿宋" w:cs="仿宋"/>
                <w:sz w:val="20"/>
                <w:szCs w:val="20"/>
              </w:rPr>
            </w:pPr>
            <w:r>
              <w:rPr>
                <w:rFonts w:ascii="仿宋" w:hAnsi="仿宋" w:eastAsia="仿宋" w:cs="仿宋"/>
                <w:position w:val="1"/>
                <w:sz w:val="20"/>
                <w:szCs w:val="20"/>
              </w:rPr>
              <w:t>85</w:t>
            </w:r>
          </w:p>
        </w:tc>
        <w:tc>
          <w:tcPr>
            <w:tcW w:w="1915" w:type="dxa"/>
            <w:vAlign w:val="top"/>
          </w:tcPr>
          <w:p w14:paraId="2BA55AF5">
            <w:pPr>
              <w:spacing w:before="119" w:line="229" w:lineRule="auto"/>
              <w:ind w:left="550"/>
              <w:rPr>
                <w:rFonts w:ascii="仿宋" w:hAnsi="仿宋" w:eastAsia="仿宋" w:cs="仿宋"/>
                <w:sz w:val="20"/>
                <w:szCs w:val="20"/>
              </w:rPr>
            </w:pPr>
            <w:r>
              <w:rPr>
                <w:rFonts w:ascii="仿宋" w:hAnsi="仿宋" w:eastAsia="仿宋" w:cs="仿宋"/>
                <w:spacing w:val="5"/>
                <w:sz w:val="20"/>
                <w:szCs w:val="20"/>
              </w:rPr>
              <w:t>连续作业</w:t>
            </w:r>
          </w:p>
        </w:tc>
        <w:tc>
          <w:tcPr>
            <w:tcW w:w="2151" w:type="dxa"/>
            <w:tcBorders>
              <w:right w:val="nil"/>
            </w:tcBorders>
            <w:vAlign w:val="top"/>
          </w:tcPr>
          <w:p w14:paraId="4AD475A5">
            <w:pPr>
              <w:spacing w:before="119" w:line="231" w:lineRule="auto"/>
              <w:ind w:left="348"/>
              <w:rPr>
                <w:rFonts w:ascii="仿宋" w:hAnsi="仿宋" w:eastAsia="仿宋" w:cs="仿宋"/>
                <w:sz w:val="20"/>
                <w:szCs w:val="20"/>
              </w:rPr>
            </w:pPr>
            <w:r>
              <w:rPr>
                <w:rFonts w:ascii="仿宋" w:hAnsi="仿宋" w:eastAsia="仿宋" w:cs="仿宋"/>
                <w:spacing w:val="8"/>
                <w:sz w:val="20"/>
                <w:szCs w:val="20"/>
              </w:rPr>
              <w:t>路基推平、填筑</w:t>
            </w:r>
          </w:p>
        </w:tc>
      </w:tr>
      <w:tr w14:paraId="317ED2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738" w:type="dxa"/>
            <w:tcBorders>
              <w:left w:val="nil"/>
            </w:tcBorders>
            <w:vAlign w:val="top"/>
          </w:tcPr>
          <w:p w14:paraId="75B6D218">
            <w:pPr>
              <w:spacing w:before="124" w:line="269" w:lineRule="exact"/>
              <w:ind w:left="327"/>
              <w:rPr>
                <w:rFonts w:ascii="仿宋" w:hAnsi="仿宋" w:eastAsia="仿宋" w:cs="仿宋"/>
                <w:sz w:val="20"/>
                <w:szCs w:val="20"/>
              </w:rPr>
            </w:pPr>
            <w:r>
              <w:rPr>
                <w:rFonts w:ascii="仿宋" w:hAnsi="仿宋" w:eastAsia="仿宋" w:cs="仿宋"/>
                <w:position w:val="1"/>
                <w:sz w:val="20"/>
                <w:szCs w:val="20"/>
              </w:rPr>
              <w:t>3</w:t>
            </w:r>
          </w:p>
        </w:tc>
        <w:tc>
          <w:tcPr>
            <w:tcW w:w="1882" w:type="dxa"/>
            <w:vAlign w:val="top"/>
          </w:tcPr>
          <w:p w14:paraId="5F7E7B7E">
            <w:pPr>
              <w:spacing w:before="124" w:line="231" w:lineRule="auto"/>
              <w:ind w:left="426"/>
              <w:rPr>
                <w:rFonts w:ascii="仿宋" w:hAnsi="仿宋" w:eastAsia="仿宋" w:cs="仿宋"/>
                <w:sz w:val="20"/>
                <w:szCs w:val="20"/>
              </w:rPr>
            </w:pPr>
            <w:r>
              <w:rPr>
                <w:rFonts w:ascii="仿宋" w:hAnsi="仿宋" w:eastAsia="仿宋" w:cs="仿宋"/>
                <w:spacing w:val="7"/>
                <w:sz w:val="20"/>
                <w:szCs w:val="20"/>
              </w:rPr>
              <w:t>振动压路机</w:t>
            </w:r>
          </w:p>
        </w:tc>
        <w:tc>
          <w:tcPr>
            <w:tcW w:w="1857" w:type="dxa"/>
            <w:vAlign w:val="top"/>
          </w:tcPr>
          <w:p w14:paraId="67087DED">
            <w:pPr>
              <w:spacing w:before="124" w:line="269" w:lineRule="exact"/>
              <w:ind w:left="828"/>
              <w:rPr>
                <w:rFonts w:ascii="仿宋" w:hAnsi="仿宋" w:eastAsia="仿宋" w:cs="仿宋"/>
                <w:sz w:val="20"/>
                <w:szCs w:val="20"/>
              </w:rPr>
            </w:pPr>
            <w:r>
              <w:rPr>
                <w:rFonts w:ascii="仿宋" w:hAnsi="仿宋" w:eastAsia="仿宋" w:cs="仿宋"/>
                <w:position w:val="1"/>
                <w:sz w:val="20"/>
                <w:szCs w:val="20"/>
              </w:rPr>
              <w:t>85</w:t>
            </w:r>
          </w:p>
        </w:tc>
        <w:tc>
          <w:tcPr>
            <w:tcW w:w="1915" w:type="dxa"/>
            <w:vAlign w:val="top"/>
          </w:tcPr>
          <w:p w14:paraId="26DF7549">
            <w:pPr>
              <w:spacing w:before="124" w:line="229" w:lineRule="auto"/>
              <w:ind w:left="340"/>
              <w:rPr>
                <w:rFonts w:ascii="仿宋" w:hAnsi="仿宋" w:eastAsia="仿宋" w:cs="仿宋"/>
                <w:sz w:val="20"/>
                <w:szCs w:val="20"/>
              </w:rPr>
            </w:pPr>
            <w:r>
              <w:rPr>
                <w:rFonts w:ascii="仿宋" w:hAnsi="仿宋" w:eastAsia="仿宋" w:cs="仿宋"/>
                <w:spacing w:val="6"/>
                <w:sz w:val="20"/>
                <w:szCs w:val="20"/>
              </w:rPr>
              <w:t>往返连续作业</w:t>
            </w:r>
          </w:p>
        </w:tc>
        <w:tc>
          <w:tcPr>
            <w:tcW w:w="2151" w:type="dxa"/>
            <w:tcBorders>
              <w:right w:val="nil"/>
            </w:tcBorders>
            <w:vAlign w:val="top"/>
          </w:tcPr>
          <w:p w14:paraId="3903BADD">
            <w:pPr>
              <w:spacing w:before="124" w:line="232" w:lineRule="auto"/>
              <w:ind w:left="348"/>
              <w:rPr>
                <w:rFonts w:ascii="仿宋" w:hAnsi="仿宋" w:eastAsia="仿宋" w:cs="仿宋"/>
                <w:sz w:val="20"/>
                <w:szCs w:val="20"/>
              </w:rPr>
            </w:pPr>
            <w:r>
              <w:rPr>
                <w:rFonts w:ascii="仿宋" w:hAnsi="仿宋" w:eastAsia="仿宋" w:cs="仿宋"/>
                <w:spacing w:val="8"/>
                <w:sz w:val="20"/>
                <w:szCs w:val="20"/>
              </w:rPr>
              <w:t>路基、路面碾压</w:t>
            </w:r>
          </w:p>
        </w:tc>
      </w:tr>
      <w:tr w14:paraId="16194F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738" w:type="dxa"/>
            <w:tcBorders>
              <w:left w:val="nil"/>
            </w:tcBorders>
            <w:vAlign w:val="top"/>
          </w:tcPr>
          <w:p w14:paraId="15C6A8D5">
            <w:pPr>
              <w:spacing w:before="129" w:line="264" w:lineRule="exact"/>
              <w:ind w:left="322"/>
              <w:rPr>
                <w:rFonts w:ascii="仿宋" w:hAnsi="仿宋" w:eastAsia="仿宋" w:cs="仿宋"/>
                <w:sz w:val="20"/>
                <w:szCs w:val="20"/>
              </w:rPr>
            </w:pPr>
            <w:r>
              <w:rPr>
                <w:rFonts w:ascii="仿宋" w:hAnsi="仿宋" w:eastAsia="仿宋" w:cs="仿宋"/>
                <w:position w:val="1"/>
                <w:sz w:val="20"/>
                <w:szCs w:val="20"/>
              </w:rPr>
              <w:t>4</w:t>
            </w:r>
          </w:p>
        </w:tc>
        <w:tc>
          <w:tcPr>
            <w:tcW w:w="1882" w:type="dxa"/>
            <w:vAlign w:val="top"/>
          </w:tcPr>
          <w:p w14:paraId="5355F169">
            <w:pPr>
              <w:spacing w:before="129" w:line="228" w:lineRule="auto"/>
              <w:ind w:left="466"/>
              <w:rPr>
                <w:rFonts w:ascii="仿宋" w:hAnsi="仿宋" w:eastAsia="仿宋" w:cs="仿宋"/>
                <w:sz w:val="20"/>
                <w:szCs w:val="20"/>
              </w:rPr>
            </w:pPr>
            <w:r>
              <w:rPr>
                <w:rFonts w:ascii="仿宋" w:hAnsi="仿宋" w:eastAsia="仿宋" w:cs="仿宋"/>
                <w:spacing w:val="-1"/>
                <w:sz w:val="20"/>
                <w:szCs w:val="20"/>
              </w:rPr>
              <w:t>自卸运输车</w:t>
            </w:r>
          </w:p>
        </w:tc>
        <w:tc>
          <w:tcPr>
            <w:tcW w:w="1857" w:type="dxa"/>
            <w:vAlign w:val="top"/>
          </w:tcPr>
          <w:p w14:paraId="13C28113">
            <w:pPr>
              <w:spacing w:before="129" w:line="264" w:lineRule="exact"/>
              <w:ind w:left="828"/>
              <w:rPr>
                <w:rFonts w:ascii="仿宋" w:hAnsi="仿宋" w:eastAsia="仿宋" w:cs="仿宋"/>
                <w:sz w:val="20"/>
                <w:szCs w:val="20"/>
              </w:rPr>
            </w:pPr>
            <w:r>
              <w:rPr>
                <w:rFonts w:ascii="仿宋" w:hAnsi="仿宋" w:eastAsia="仿宋" w:cs="仿宋"/>
                <w:position w:val="1"/>
                <w:sz w:val="20"/>
                <w:szCs w:val="20"/>
              </w:rPr>
              <w:t>92</w:t>
            </w:r>
          </w:p>
        </w:tc>
        <w:tc>
          <w:tcPr>
            <w:tcW w:w="1915" w:type="dxa"/>
            <w:vAlign w:val="top"/>
          </w:tcPr>
          <w:p w14:paraId="60D1F602">
            <w:pPr>
              <w:spacing w:before="129" w:line="229" w:lineRule="auto"/>
              <w:ind w:left="235"/>
              <w:rPr>
                <w:rFonts w:ascii="仿宋" w:hAnsi="仿宋" w:eastAsia="仿宋" w:cs="仿宋"/>
                <w:sz w:val="20"/>
                <w:szCs w:val="20"/>
              </w:rPr>
            </w:pPr>
            <w:r>
              <w:rPr>
                <w:rFonts w:ascii="仿宋" w:hAnsi="仿宋" w:eastAsia="仿宋" w:cs="仿宋"/>
                <w:spacing w:val="7"/>
                <w:sz w:val="20"/>
                <w:szCs w:val="20"/>
              </w:rPr>
              <w:t>启停、爬坡行驶</w:t>
            </w:r>
          </w:p>
        </w:tc>
        <w:tc>
          <w:tcPr>
            <w:tcW w:w="2151" w:type="dxa"/>
            <w:tcBorders>
              <w:right w:val="nil"/>
            </w:tcBorders>
            <w:vAlign w:val="top"/>
          </w:tcPr>
          <w:p w14:paraId="5FAC2740">
            <w:pPr>
              <w:spacing w:before="129" w:line="229" w:lineRule="auto"/>
              <w:ind w:left="247"/>
              <w:rPr>
                <w:rFonts w:ascii="仿宋" w:hAnsi="仿宋" w:eastAsia="仿宋" w:cs="仿宋"/>
                <w:sz w:val="20"/>
                <w:szCs w:val="20"/>
              </w:rPr>
            </w:pPr>
            <w:r>
              <w:rPr>
                <w:rFonts w:ascii="仿宋" w:hAnsi="仿宋" w:eastAsia="仿宋" w:cs="仿宋"/>
                <w:spacing w:val="7"/>
                <w:sz w:val="20"/>
                <w:szCs w:val="20"/>
              </w:rPr>
              <w:t>物料、土石方运输</w:t>
            </w:r>
          </w:p>
        </w:tc>
      </w:tr>
      <w:tr w14:paraId="73194C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738" w:type="dxa"/>
            <w:tcBorders>
              <w:left w:val="nil"/>
              <w:bottom w:val="single" w:color="000000" w:sz="10" w:space="0"/>
            </w:tcBorders>
            <w:vAlign w:val="top"/>
          </w:tcPr>
          <w:p w14:paraId="4EC91191">
            <w:pPr>
              <w:spacing w:before="131" w:line="271" w:lineRule="exact"/>
              <w:ind w:left="327"/>
              <w:rPr>
                <w:rFonts w:ascii="仿宋" w:hAnsi="仿宋" w:eastAsia="仿宋" w:cs="仿宋"/>
                <w:sz w:val="20"/>
                <w:szCs w:val="20"/>
              </w:rPr>
            </w:pPr>
            <w:r>
              <w:rPr>
                <w:rFonts w:ascii="仿宋" w:hAnsi="仿宋" w:eastAsia="仿宋" w:cs="仿宋"/>
                <w:position w:val="2"/>
                <w:sz w:val="20"/>
                <w:szCs w:val="20"/>
              </w:rPr>
              <w:t>5</w:t>
            </w:r>
          </w:p>
        </w:tc>
        <w:tc>
          <w:tcPr>
            <w:tcW w:w="1882" w:type="dxa"/>
            <w:tcBorders>
              <w:bottom w:val="single" w:color="000000" w:sz="10" w:space="0"/>
            </w:tcBorders>
            <w:vAlign w:val="top"/>
          </w:tcPr>
          <w:p w14:paraId="6452C8DE">
            <w:pPr>
              <w:spacing w:before="131" w:line="231" w:lineRule="auto"/>
              <w:ind w:left="425"/>
              <w:rPr>
                <w:rFonts w:ascii="仿宋" w:hAnsi="仿宋" w:eastAsia="仿宋" w:cs="仿宋"/>
                <w:sz w:val="20"/>
                <w:szCs w:val="20"/>
              </w:rPr>
            </w:pPr>
            <w:r>
              <w:rPr>
                <w:rFonts w:ascii="仿宋" w:hAnsi="仿宋" w:eastAsia="仿宋" w:cs="仿宋"/>
                <w:spacing w:val="7"/>
                <w:sz w:val="20"/>
                <w:szCs w:val="20"/>
              </w:rPr>
              <w:t>路面切割机</w:t>
            </w:r>
          </w:p>
        </w:tc>
        <w:tc>
          <w:tcPr>
            <w:tcW w:w="1857" w:type="dxa"/>
            <w:tcBorders>
              <w:bottom w:val="single" w:color="000000" w:sz="10" w:space="0"/>
            </w:tcBorders>
            <w:vAlign w:val="top"/>
          </w:tcPr>
          <w:p w14:paraId="53FCE7A1">
            <w:pPr>
              <w:spacing w:before="131" w:line="271" w:lineRule="exact"/>
              <w:ind w:left="828"/>
              <w:rPr>
                <w:rFonts w:ascii="仿宋" w:hAnsi="仿宋" w:eastAsia="仿宋" w:cs="仿宋"/>
                <w:sz w:val="20"/>
                <w:szCs w:val="20"/>
              </w:rPr>
            </w:pPr>
            <w:r>
              <w:rPr>
                <w:rFonts w:ascii="仿宋" w:hAnsi="仿宋" w:eastAsia="仿宋" w:cs="仿宋"/>
                <w:position w:val="1"/>
                <w:sz w:val="20"/>
                <w:szCs w:val="20"/>
              </w:rPr>
              <w:t>88</w:t>
            </w:r>
          </w:p>
        </w:tc>
        <w:tc>
          <w:tcPr>
            <w:tcW w:w="1915" w:type="dxa"/>
            <w:tcBorders>
              <w:bottom w:val="single" w:color="000000" w:sz="10" w:space="0"/>
            </w:tcBorders>
            <w:vAlign w:val="top"/>
          </w:tcPr>
          <w:p w14:paraId="1733C4DA">
            <w:pPr>
              <w:spacing w:before="131" w:line="229" w:lineRule="auto"/>
              <w:ind w:left="340"/>
              <w:rPr>
                <w:rFonts w:ascii="仿宋" w:hAnsi="仿宋" w:eastAsia="仿宋" w:cs="仿宋"/>
                <w:sz w:val="20"/>
                <w:szCs w:val="20"/>
              </w:rPr>
            </w:pPr>
            <w:r>
              <w:rPr>
                <w:rFonts w:ascii="仿宋" w:hAnsi="仿宋" w:eastAsia="仿宋" w:cs="仿宋"/>
                <w:spacing w:val="6"/>
                <w:sz w:val="20"/>
                <w:szCs w:val="20"/>
              </w:rPr>
              <w:t>短时单点作业</w:t>
            </w:r>
          </w:p>
        </w:tc>
        <w:tc>
          <w:tcPr>
            <w:tcW w:w="2151" w:type="dxa"/>
            <w:tcBorders>
              <w:bottom w:val="single" w:color="000000" w:sz="10" w:space="0"/>
              <w:right w:val="nil"/>
            </w:tcBorders>
            <w:vAlign w:val="top"/>
          </w:tcPr>
          <w:p w14:paraId="07B3C909">
            <w:pPr>
              <w:spacing w:before="131" w:line="231" w:lineRule="auto"/>
              <w:ind w:left="348"/>
              <w:rPr>
                <w:rFonts w:ascii="仿宋" w:hAnsi="仿宋" w:eastAsia="仿宋" w:cs="仿宋"/>
                <w:sz w:val="20"/>
                <w:szCs w:val="20"/>
              </w:rPr>
            </w:pPr>
            <w:r>
              <w:rPr>
                <w:rFonts w:ascii="仿宋" w:hAnsi="仿宋" w:eastAsia="仿宋" w:cs="仿宋"/>
                <w:spacing w:val="8"/>
                <w:sz w:val="20"/>
                <w:szCs w:val="20"/>
              </w:rPr>
              <w:t>路面切缝、修整</w:t>
            </w:r>
          </w:p>
        </w:tc>
      </w:tr>
    </w:tbl>
    <w:p w14:paraId="7BC7951A">
      <w:pPr>
        <w:pStyle w:val="2"/>
        <w:rPr>
          <w:sz w:val="21"/>
        </w:rPr>
      </w:pPr>
    </w:p>
    <w:p w14:paraId="56D007A8">
      <w:pPr>
        <w:rPr>
          <w:sz w:val="21"/>
          <w:szCs w:val="21"/>
        </w:rPr>
        <w:sectPr>
          <w:footerReference r:id="rId153" w:type="default"/>
          <w:pgSz w:w="11906" w:h="16839"/>
          <w:pgMar w:top="400" w:right="1681" w:bottom="1370" w:left="1681" w:header="0" w:footer="1207" w:gutter="0"/>
          <w:cols w:space="720" w:num="1"/>
        </w:sectPr>
      </w:pPr>
    </w:p>
    <w:p w14:paraId="2CB8E01E">
      <w:pPr>
        <w:spacing w:before="19"/>
      </w:pPr>
    </w:p>
    <w:p w14:paraId="4503D135">
      <w:pPr>
        <w:spacing w:before="19"/>
      </w:pPr>
    </w:p>
    <w:p w14:paraId="04FAD985">
      <w:pPr>
        <w:spacing w:before="18"/>
      </w:pPr>
    </w:p>
    <w:p w14:paraId="6952B5DD">
      <w:pPr>
        <w:spacing w:before="18"/>
      </w:pPr>
    </w:p>
    <w:tbl>
      <w:tblPr>
        <w:tblStyle w:val="5"/>
        <w:tblW w:w="8543"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8"/>
        <w:gridCol w:w="1882"/>
        <w:gridCol w:w="1857"/>
        <w:gridCol w:w="1915"/>
        <w:gridCol w:w="2151"/>
      </w:tblGrid>
      <w:tr w14:paraId="57CBF6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738" w:type="dxa"/>
            <w:tcBorders>
              <w:top w:val="single" w:color="000000" w:sz="10" w:space="0"/>
              <w:left w:val="nil"/>
            </w:tcBorders>
            <w:vAlign w:val="top"/>
          </w:tcPr>
          <w:p w14:paraId="50D60D36">
            <w:pPr>
              <w:spacing w:before="115" w:line="271" w:lineRule="exact"/>
              <w:ind w:left="324"/>
              <w:rPr>
                <w:rFonts w:ascii="仿宋" w:hAnsi="仿宋" w:eastAsia="仿宋" w:cs="仿宋"/>
                <w:sz w:val="20"/>
                <w:szCs w:val="20"/>
              </w:rPr>
            </w:pPr>
            <w:r>
              <w:rPr>
                <w:rFonts w:ascii="仿宋" w:hAnsi="仿宋" w:eastAsia="仿宋" w:cs="仿宋"/>
                <w:position w:val="1"/>
                <w:sz w:val="20"/>
                <w:szCs w:val="20"/>
              </w:rPr>
              <w:t>6</w:t>
            </w:r>
          </w:p>
        </w:tc>
        <w:tc>
          <w:tcPr>
            <w:tcW w:w="1882" w:type="dxa"/>
            <w:tcBorders>
              <w:top w:val="single" w:color="000000" w:sz="10" w:space="0"/>
            </w:tcBorders>
            <w:vAlign w:val="top"/>
          </w:tcPr>
          <w:p w14:paraId="78CF3AFE">
            <w:pPr>
              <w:spacing w:before="115" w:line="228" w:lineRule="auto"/>
              <w:ind w:left="434"/>
              <w:rPr>
                <w:rFonts w:ascii="仿宋" w:hAnsi="仿宋" w:eastAsia="仿宋" w:cs="仿宋"/>
                <w:sz w:val="20"/>
                <w:szCs w:val="20"/>
              </w:rPr>
            </w:pPr>
            <w:r>
              <w:rPr>
                <w:rFonts w:ascii="仿宋" w:hAnsi="仿宋" w:eastAsia="仿宋" w:cs="仿宋"/>
                <w:spacing w:val="5"/>
                <w:sz w:val="20"/>
                <w:szCs w:val="20"/>
              </w:rPr>
              <w:t>商砼搅拌车</w:t>
            </w:r>
          </w:p>
        </w:tc>
        <w:tc>
          <w:tcPr>
            <w:tcW w:w="1857" w:type="dxa"/>
            <w:tcBorders>
              <w:top w:val="single" w:color="000000" w:sz="10" w:space="0"/>
            </w:tcBorders>
            <w:vAlign w:val="top"/>
          </w:tcPr>
          <w:p w14:paraId="5EBF8152">
            <w:pPr>
              <w:spacing w:before="115" w:line="271" w:lineRule="exact"/>
              <w:ind w:left="828"/>
              <w:rPr>
                <w:rFonts w:ascii="仿宋" w:hAnsi="仿宋" w:eastAsia="仿宋" w:cs="仿宋"/>
                <w:sz w:val="20"/>
                <w:szCs w:val="20"/>
              </w:rPr>
            </w:pPr>
            <w:r>
              <w:rPr>
                <w:rFonts w:ascii="仿宋" w:hAnsi="仿宋" w:eastAsia="仿宋" w:cs="仿宋"/>
                <w:position w:val="1"/>
                <w:sz w:val="20"/>
                <w:szCs w:val="20"/>
              </w:rPr>
              <w:t>87</w:t>
            </w:r>
          </w:p>
        </w:tc>
        <w:tc>
          <w:tcPr>
            <w:tcW w:w="1915" w:type="dxa"/>
            <w:tcBorders>
              <w:top w:val="single" w:color="000000" w:sz="10" w:space="0"/>
            </w:tcBorders>
            <w:vAlign w:val="top"/>
          </w:tcPr>
          <w:p w14:paraId="336C6726">
            <w:pPr>
              <w:spacing w:before="115" w:line="229" w:lineRule="auto"/>
              <w:ind w:left="568"/>
              <w:rPr>
                <w:rFonts w:ascii="仿宋" w:hAnsi="仿宋" w:eastAsia="仿宋" w:cs="仿宋"/>
                <w:sz w:val="20"/>
                <w:szCs w:val="20"/>
              </w:rPr>
            </w:pPr>
            <w:r>
              <w:rPr>
                <w:rFonts w:ascii="仿宋" w:hAnsi="仿宋" w:eastAsia="仿宋" w:cs="仿宋"/>
                <w:spacing w:val="1"/>
                <w:sz w:val="20"/>
                <w:szCs w:val="20"/>
              </w:rPr>
              <w:t>间断作业</w:t>
            </w:r>
          </w:p>
        </w:tc>
        <w:tc>
          <w:tcPr>
            <w:tcW w:w="2151" w:type="dxa"/>
            <w:tcBorders>
              <w:top w:val="single" w:color="000000" w:sz="10" w:space="0"/>
              <w:right w:val="nil"/>
            </w:tcBorders>
            <w:vAlign w:val="top"/>
          </w:tcPr>
          <w:p w14:paraId="7F3602A2">
            <w:pPr>
              <w:spacing w:before="116" w:line="229" w:lineRule="auto"/>
              <w:ind w:left="560"/>
              <w:rPr>
                <w:rFonts w:ascii="仿宋" w:hAnsi="仿宋" w:eastAsia="仿宋" w:cs="仿宋"/>
                <w:sz w:val="20"/>
                <w:szCs w:val="20"/>
              </w:rPr>
            </w:pPr>
            <w:r>
              <w:rPr>
                <w:rFonts w:ascii="仿宋" w:hAnsi="仿宋" w:eastAsia="仿宋" w:cs="仿宋"/>
                <w:spacing w:val="7"/>
                <w:sz w:val="20"/>
                <w:szCs w:val="20"/>
              </w:rPr>
              <w:t>构造物砌筑</w:t>
            </w:r>
          </w:p>
        </w:tc>
      </w:tr>
      <w:tr w14:paraId="0C3C38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9" w:hRule="atLeast"/>
        </w:trPr>
        <w:tc>
          <w:tcPr>
            <w:tcW w:w="738" w:type="dxa"/>
            <w:tcBorders>
              <w:left w:val="nil"/>
            </w:tcBorders>
            <w:vAlign w:val="top"/>
          </w:tcPr>
          <w:p w14:paraId="0A7C32C1">
            <w:pPr>
              <w:spacing w:before="120" w:line="269" w:lineRule="exact"/>
              <w:ind w:left="328"/>
              <w:rPr>
                <w:rFonts w:ascii="仿宋" w:hAnsi="仿宋" w:eastAsia="仿宋" w:cs="仿宋"/>
                <w:sz w:val="20"/>
                <w:szCs w:val="20"/>
              </w:rPr>
            </w:pPr>
            <w:r>
              <w:rPr>
                <w:rFonts w:ascii="仿宋" w:hAnsi="仿宋" w:eastAsia="仿宋" w:cs="仿宋"/>
                <w:position w:val="1"/>
                <w:sz w:val="20"/>
                <w:szCs w:val="20"/>
              </w:rPr>
              <w:t>7</w:t>
            </w:r>
          </w:p>
        </w:tc>
        <w:tc>
          <w:tcPr>
            <w:tcW w:w="1882" w:type="dxa"/>
            <w:vAlign w:val="top"/>
          </w:tcPr>
          <w:p w14:paraId="7EC29B9D">
            <w:pPr>
              <w:spacing w:before="105" w:line="218" w:lineRule="auto"/>
              <w:ind w:left="241"/>
              <w:rPr>
                <w:rFonts w:ascii="仿宋" w:hAnsi="仿宋" w:eastAsia="仿宋" w:cs="仿宋"/>
                <w:sz w:val="24"/>
                <w:szCs w:val="24"/>
              </w:rPr>
            </w:pPr>
            <w:r>
              <w:rPr>
                <w:rFonts w:ascii="仿宋" w:hAnsi="仿宋" w:eastAsia="仿宋" w:cs="仿宋"/>
                <w:spacing w:val="-4"/>
                <w:sz w:val="24"/>
                <w:szCs w:val="24"/>
              </w:rPr>
              <w:t>三辊轴摊铺机</w:t>
            </w:r>
          </w:p>
        </w:tc>
        <w:tc>
          <w:tcPr>
            <w:tcW w:w="1857" w:type="dxa"/>
            <w:vAlign w:val="top"/>
          </w:tcPr>
          <w:p w14:paraId="5C663A11">
            <w:pPr>
              <w:spacing w:before="120" w:line="269" w:lineRule="exact"/>
              <w:ind w:left="828"/>
              <w:rPr>
                <w:rFonts w:ascii="仿宋" w:hAnsi="仿宋" w:eastAsia="仿宋" w:cs="仿宋"/>
                <w:sz w:val="20"/>
                <w:szCs w:val="20"/>
              </w:rPr>
            </w:pPr>
            <w:r>
              <w:rPr>
                <w:rFonts w:ascii="仿宋" w:hAnsi="仿宋" w:eastAsia="仿宋" w:cs="仿宋"/>
                <w:position w:val="1"/>
                <w:sz w:val="20"/>
                <w:szCs w:val="20"/>
              </w:rPr>
              <w:t>87</w:t>
            </w:r>
          </w:p>
        </w:tc>
        <w:tc>
          <w:tcPr>
            <w:tcW w:w="1915" w:type="dxa"/>
            <w:vAlign w:val="top"/>
          </w:tcPr>
          <w:p w14:paraId="139316A2">
            <w:pPr>
              <w:spacing w:before="120" w:line="229" w:lineRule="auto"/>
              <w:ind w:left="568"/>
              <w:rPr>
                <w:rFonts w:ascii="仿宋" w:hAnsi="仿宋" w:eastAsia="仿宋" w:cs="仿宋"/>
                <w:sz w:val="20"/>
                <w:szCs w:val="20"/>
              </w:rPr>
            </w:pPr>
            <w:r>
              <w:rPr>
                <w:rFonts w:ascii="仿宋" w:hAnsi="仿宋" w:eastAsia="仿宋" w:cs="仿宋"/>
                <w:spacing w:val="1"/>
                <w:sz w:val="20"/>
                <w:szCs w:val="20"/>
              </w:rPr>
              <w:t>间断作业</w:t>
            </w:r>
          </w:p>
        </w:tc>
        <w:tc>
          <w:tcPr>
            <w:tcW w:w="2151" w:type="dxa"/>
            <w:tcBorders>
              <w:right w:val="nil"/>
            </w:tcBorders>
            <w:vAlign w:val="top"/>
          </w:tcPr>
          <w:p w14:paraId="575BC889">
            <w:pPr>
              <w:spacing w:before="119" w:line="232" w:lineRule="auto"/>
              <w:ind w:left="665"/>
              <w:rPr>
                <w:rFonts w:ascii="仿宋" w:hAnsi="仿宋" w:eastAsia="仿宋" w:cs="仿宋"/>
                <w:sz w:val="20"/>
                <w:szCs w:val="20"/>
              </w:rPr>
            </w:pPr>
            <w:r>
              <w:rPr>
                <w:rFonts w:ascii="仿宋" w:hAnsi="仿宋" w:eastAsia="仿宋" w:cs="仿宋"/>
                <w:spacing w:val="6"/>
                <w:sz w:val="20"/>
                <w:szCs w:val="20"/>
              </w:rPr>
              <w:t>路面摊铺</w:t>
            </w:r>
          </w:p>
        </w:tc>
      </w:tr>
      <w:tr w14:paraId="1ECC13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738" w:type="dxa"/>
            <w:tcBorders>
              <w:left w:val="nil"/>
              <w:bottom w:val="single" w:color="000000" w:sz="10" w:space="0"/>
            </w:tcBorders>
            <w:vAlign w:val="top"/>
          </w:tcPr>
          <w:p w14:paraId="493BE166">
            <w:pPr>
              <w:spacing w:before="129" w:line="270" w:lineRule="exact"/>
              <w:ind w:left="323"/>
              <w:rPr>
                <w:rFonts w:ascii="仿宋" w:hAnsi="仿宋" w:eastAsia="仿宋" w:cs="仿宋"/>
                <w:sz w:val="20"/>
                <w:szCs w:val="20"/>
              </w:rPr>
            </w:pPr>
            <w:r>
              <w:rPr>
                <w:rFonts w:ascii="仿宋" w:hAnsi="仿宋" w:eastAsia="仿宋" w:cs="仿宋"/>
                <w:position w:val="1"/>
                <w:sz w:val="20"/>
                <w:szCs w:val="20"/>
              </w:rPr>
              <w:t>8</w:t>
            </w:r>
          </w:p>
        </w:tc>
        <w:tc>
          <w:tcPr>
            <w:tcW w:w="1882" w:type="dxa"/>
            <w:tcBorders>
              <w:bottom w:val="single" w:color="000000" w:sz="10" w:space="0"/>
            </w:tcBorders>
            <w:vAlign w:val="top"/>
          </w:tcPr>
          <w:p w14:paraId="1D08A0B0">
            <w:pPr>
              <w:spacing w:before="128" w:line="229" w:lineRule="auto"/>
              <w:ind w:left="324"/>
              <w:rPr>
                <w:rFonts w:ascii="仿宋" w:hAnsi="仿宋" w:eastAsia="仿宋" w:cs="仿宋"/>
                <w:sz w:val="20"/>
                <w:szCs w:val="20"/>
              </w:rPr>
            </w:pPr>
            <w:r>
              <w:rPr>
                <w:rFonts w:ascii="仿宋" w:hAnsi="仿宋" w:eastAsia="仿宋" w:cs="仿宋"/>
                <w:spacing w:val="6"/>
                <w:sz w:val="20"/>
                <w:szCs w:val="20"/>
              </w:rPr>
              <w:t>混凝土振捣棒</w:t>
            </w:r>
          </w:p>
        </w:tc>
        <w:tc>
          <w:tcPr>
            <w:tcW w:w="1857" w:type="dxa"/>
            <w:tcBorders>
              <w:bottom w:val="single" w:color="000000" w:sz="10" w:space="0"/>
            </w:tcBorders>
            <w:vAlign w:val="top"/>
          </w:tcPr>
          <w:p w14:paraId="4FA48CCA">
            <w:pPr>
              <w:spacing w:before="129" w:line="270" w:lineRule="exact"/>
              <w:ind w:left="828"/>
              <w:rPr>
                <w:rFonts w:ascii="仿宋" w:hAnsi="仿宋" w:eastAsia="仿宋" w:cs="仿宋"/>
                <w:sz w:val="20"/>
                <w:szCs w:val="20"/>
              </w:rPr>
            </w:pPr>
            <w:r>
              <w:rPr>
                <w:rFonts w:ascii="仿宋" w:hAnsi="仿宋" w:eastAsia="仿宋" w:cs="仿宋"/>
                <w:position w:val="1"/>
                <w:sz w:val="20"/>
                <w:szCs w:val="20"/>
              </w:rPr>
              <w:t>84</w:t>
            </w:r>
          </w:p>
        </w:tc>
        <w:tc>
          <w:tcPr>
            <w:tcW w:w="1915" w:type="dxa"/>
            <w:tcBorders>
              <w:bottom w:val="single" w:color="000000" w:sz="10" w:space="0"/>
            </w:tcBorders>
            <w:vAlign w:val="top"/>
          </w:tcPr>
          <w:p w14:paraId="05A43A10">
            <w:pPr>
              <w:spacing w:before="128" w:line="229" w:lineRule="auto"/>
              <w:ind w:left="340"/>
              <w:rPr>
                <w:rFonts w:ascii="仿宋" w:hAnsi="仿宋" w:eastAsia="仿宋" w:cs="仿宋"/>
                <w:sz w:val="20"/>
                <w:szCs w:val="20"/>
              </w:rPr>
            </w:pPr>
            <w:r>
              <w:rPr>
                <w:rFonts w:ascii="仿宋" w:hAnsi="仿宋" w:eastAsia="仿宋" w:cs="仿宋"/>
                <w:spacing w:val="6"/>
                <w:sz w:val="20"/>
                <w:szCs w:val="20"/>
              </w:rPr>
              <w:t>短时间断作业</w:t>
            </w:r>
          </w:p>
        </w:tc>
        <w:tc>
          <w:tcPr>
            <w:tcW w:w="2151" w:type="dxa"/>
            <w:tcBorders>
              <w:bottom w:val="single" w:color="000000" w:sz="10" w:space="0"/>
              <w:right w:val="nil"/>
            </w:tcBorders>
            <w:vAlign w:val="top"/>
          </w:tcPr>
          <w:p w14:paraId="4DA01BA5">
            <w:pPr>
              <w:spacing w:before="129" w:line="229" w:lineRule="auto"/>
              <w:ind w:left="246"/>
              <w:rPr>
                <w:rFonts w:ascii="仿宋" w:hAnsi="仿宋" w:eastAsia="仿宋" w:cs="仿宋"/>
                <w:sz w:val="20"/>
                <w:szCs w:val="20"/>
              </w:rPr>
            </w:pPr>
            <w:r>
              <w:rPr>
                <w:rFonts w:ascii="仿宋" w:hAnsi="仿宋" w:eastAsia="仿宋" w:cs="仿宋"/>
                <w:spacing w:val="8"/>
                <w:sz w:val="20"/>
                <w:szCs w:val="20"/>
              </w:rPr>
              <w:t>构造物混凝土浇筑</w:t>
            </w:r>
          </w:p>
        </w:tc>
      </w:tr>
    </w:tbl>
    <w:p w14:paraId="0F8B57D7">
      <w:pPr>
        <w:spacing w:before="327" w:line="223" w:lineRule="auto"/>
        <w:ind w:left="132"/>
        <w:outlineLvl w:val="2"/>
        <w:rPr>
          <w:rFonts w:ascii="仿宋" w:hAnsi="仿宋" w:eastAsia="仿宋" w:cs="仿宋"/>
          <w:sz w:val="28"/>
          <w:szCs w:val="28"/>
        </w:rPr>
      </w:pPr>
      <w:bookmarkStart w:id="25" w:name="bookmark28"/>
      <w:bookmarkEnd w:id="25"/>
      <w:r>
        <w:rPr>
          <w:rFonts w:ascii="仿宋" w:hAnsi="仿宋" w:eastAsia="仿宋" w:cs="仿宋"/>
          <w:b/>
          <w:bCs/>
          <w:spacing w:val="-6"/>
          <w:sz w:val="28"/>
          <w:szCs w:val="28"/>
        </w:rPr>
        <w:t>2.2.3</w:t>
      </w:r>
      <w:r>
        <w:rPr>
          <w:rFonts w:ascii="仿宋" w:hAnsi="仿宋" w:eastAsia="仿宋" w:cs="仿宋"/>
          <w:spacing w:val="-31"/>
          <w:sz w:val="28"/>
          <w:szCs w:val="28"/>
        </w:rPr>
        <w:t xml:space="preserve"> </w:t>
      </w:r>
      <w:r>
        <w:rPr>
          <w:rFonts w:ascii="仿宋" w:hAnsi="仿宋" w:eastAsia="仿宋" w:cs="仿宋"/>
          <w:b/>
          <w:bCs/>
          <w:spacing w:val="-6"/>
          <w:sz w:val="28"/>
          <w:szCs w:val="28"/>
        </w:rPr>
        <w:t>噪声排放总体特征</w:t>
      </w:r>
    </w:p>
    <w:p w14:paraId="52BED465">
      <w:pPr>
        <w:spacing w:before="306" w:line="220" w:lineRule="auto"/>
        <w:ind w:left="619"/>
        <w:rPr>
          <w:rFonts w:ascii="仿宋" w:hAnsi="仿宋" w:eastAsia="仿宋" w:cs="仿宋"/>
          <w:sz w:val="24"/>
          <w:szCs w:val="24"/>
        </w:rPr>
      </w:pPr>
      <w:r>
        <w:rPr>
          <w:rFonts w:ascii="仿宋" w:hAnsi="仿宋" w:eastAsia="仿宋" w:cs="仿宋"/>
          <w:spacing w:val="-3"/>
          <w:sz w:val="24"/>
          <w:szCs w:val="24"/>
        </w:rPr>
        <w:t>（1）时间分布特征</w:t>
      </w:r>
    </w:p>
    <w:p w14:paraId="1EFFE019">
      <w:pPr>
        <w:spacing w:before="181" w:line="359" w:lineRule="auto"/>
        <w:ind w:left="134" w:right="117" w:firstLine="481"/>
        <w:rPr>
          <w:rFonts w:ascii="仿宋" w:hAnsi="仿宋" w:eastAsia="仿宋" w:cs="仿宋"/>
          <w:sz w:val="24"/>
          <w:szCs w:val="24"/>
        </w:rPr>
      </w:pPr>
      <w:r>
        <w:rPr>
          <w:rFonts w:ascii="仿宋" w:hAnsi="仿宋" w:eastAsia="仿宋" w:cs="仿宋"/>
          <w:spacing w:val="-2"/>
          <w:sz w:val="24"/>
          <w:szCs w:val="24"/>
        </w:rPr>
        <w:t>项目施工严格遵循昼间施工原则，全线禁止夜间</w:t>
      </w:r>
      <w:r>
        <w:rPr>
          <w:rFonts w:ascii="仿宋" w:hAnsi="仿宋" w:eastAsia="仿宋" w:cs="仿宋"/>
          <w:spacing w:val="-31"/>
          <w:sz w:val="24"/>
          <w:szCs w:val="24"/>
        </w:rPr>
        <w:t xml:space="preserve"> </w:t>
      </w:r>
      <w:r>
        <w:rPr>
          <w:rFonts w:ascii="仿宋" w:hAnsi="仿宋" w:eastAsia="仿宋" w:cs="仿宋"/>
          <w:spacing w:val="-2"/>
          <w:sz w:val="24"/>
          <w:szCs w:val="24"/>
        </w:rPr>
        <w:t>22:00</w:t>
      </w:r>
      <w:r>
        <w:rPr>
          <w:rFonts w:ascii="仿宋" w:hAnsi="仿宋" w:eastAsia="仿宋" w:cs="仿宋"/>
          <w:spacing w:val="-37"/>
          <w:sz w:val="24"/>
          <w:szCs w:val="24"/>
        </w:rPr>
        <w:t xml:space="preserve"> </w:t>
      </w:r>
      <w:r>
        <w:rPr>
          <w:rFonts w:ascii="仿宋" w:hAnsi="仿宋" w:eastAsia="仿宋" w:cs="仿宋"/>
          <w:spacing w:val="-2"/>
          <w:sz w:val="24"/>
          <w:szCs w:val="24"/>
        </w:rPr>
        <w:t>至次日</w:t>
      </w:r>
      <w:r>
        <w:rPr>
          <w:rFonts w:ascii="仿宋" w:hAnsi="仿宋" w:eastAsia="仿宋" w:cs="仿宋"/>
          <w:spacing w:val="-47"/>
          <w:sz w:val="24"/>
          <w:szCs w:val="24"/>
        </w:rPr>
        <w:t xml:space="preserve"> </w:t>
      </w:r>
      <w:r>
        <w:rPr>
          <w:rFonts w:ascii="仿宋" w:hAnsi="仿宋" w:eastAsia="仿宋" w:cs="仿宋"/>
          <w:spacing w:val="-2"/>
          <w:sz w:val="24"/>
          <w:szCs w:val="24"/>
        </w:rPr>
        <w:t>6:00</w:t>
      </w:r>
      <w:r>
        <w:rPr>
          <w:rFonts w:ascii="仿宋" w:hAnsi="仿宋" w:eastAsia="仿宋" w:cs="仿宋"/>
          <w:spacing w:val="-45"/>
          <w:sz w:val="24"/>
          <w:szCs w:val="24"/>
        </w:rPr>
        <w:t xml:space="preserve"> </w:t>
      </w:r>
      <w:r>
        <w:rPr>
          <w:rFonts w:ascii="仿宋" w:hAnsi="仿宋" w:eastAsia="仿宋" w:cs="仿宋"/>
          <w:spacing w:val="-2"/>
          <w:sz w:val="24"/>
          <w:szCs w:val="24"/>
        </w:rPr>
        <w:t>施工，</w:t>
      </w:r>
      <w:r>
        <w:rPr>
          <w:rFonts w:ascii="仿宋" w:hAnsi="仿宋" w:eastAsia="仿宋" w:cs="仿宋"/>
          <w:spacing w:val="4"/>
          <w:sz w:val="24"/>
          <w:szCs w:val="24"/>
        </w:rPr>
        <w:t>无持续性夜间噪声影响</w:t>
      </w:r>
      <w:r>
        <w:rPr>
          <w:rFonts w:ascii="仿宋" w:hAnsi="仿宋" w:eastAsia="仿宋" w:cs="仿宋"/>
          <w:spacing w:val="-70"/>
          <w:sz w:val="24"/>
          <w:szCs w:val="24"/>
        </w:rPr>
        <w:t xml:space="preserve"> </w:t>
      </w:r>
      <w:r>
        <w:rPr>
          <w:rFonts w:ascii="仿宋" w:hAnsi="仿宋" w:eastAsia="仿宋" w:cs="仿宋"/>
          <w:spacing w:val="4"/>
          <w:sz w:val="24"/>
          <w:szCs w:val="24"/>
        </w:rPr>
        <w:t>，其中临近噪声敏感</w:t>
      </w:r>
      <w:r>
        <w:rPr>
          <w:rFonts w:ascii="仿宋" w:hAnsi="仿宋" w:eastAsia="仿宋" w:cs="仿宋"/>
          <w:spacing w:val="-43"/>
          <w:sz w:val="24"/>
          <w:szCs w:val="24"/>
        </w:rPr>
        <w:t xml:space="preserve"> </w:t>
      </w:r>
      <w:r>
        <w:rPr>
          <w:rFonts w:ascii="仿宋" w:hAnsi="仿宋" w:eastAsia="仿宋" w:cs="仿宋"/>
          <w:spacing w:val="4"/>
          <w:sz w:val="24"/>
          <w:szCs w:val="24"/>
        </w:rPr>
        <w:t>目标段 18</w:t>
      </w:r>
      <w:r>
        <w:rPr>
          <w:rFonts w:ascii="仿宋" w:hAnsi="仿宋" w:eastAsia="仿宋" w:cs="仿宋"/>
          <w:spacing w:val="3"/>
          <w:sz w:val="24"/>
          <w:szCs w:val="24"/>
        </w:rPr>
        <w:t>:00-次</w:t>
      </w:r>
      <w:r>
        <w:rPr>
          <w:rFonts w:ascii="仿宋" w:hAnsi="仿宋" w:eastAsia="仿宋" w:cs="仿宋"/>
          <w:spacing w:val="-34"/>
          <w:sz w:val="24"/>
          <w:szCs w:val="24"/>
        </w:rPr>
        <w:t xml:space="preserve"> </w:t>
      </w:r>
      <w:r>
        <w:rPr>
          <w:rFonts w:ascii="仿宋" w:hAnsi="仿宋" w:eastAsia="仿宋" w:cs="仿宋"/>
          <w:spacing w:val="3"/>
          <w:sz w:val="24"/>
          <w:szCs w:val="24"/>
        </w:rPr>
        <w:t>日</w:t>
      </w:r>
      <w:r>
        <w:rPr>
          <w:rFonts w:ascii="仿宋" w:hAnsi="仿宋" w:eastAsia="仿宋" w:cs="仿宋"/>
          <w:spacing w:val="-34"/>
          <w:sz w:val="24"/>
          <w:szCs w:val="24"/>
        </w:rPr>
        <w:t xml:space="preserve"> </w:t>
      </w:r>
      <w:r>
        <w:rPr>
          <w:rFonts w:ascii="仿宋" w:hAnsi="仿宋" w:eastAsia="仿宋" w:cs="仿宋"/>
          <w:spacing w:val="3"/>
          <w:sz w:val="24"/>
          <w:szCs w:val="24"/>
        </w:rPr>
        <w:t>8:00</w:t>
      </w:r>
      <w:r>
        <w:rPr>
          <w:rFonts w:ascii="仿宋" w:hAnsi="仿宋" w:eastAsia="仿宋" w:cs="仿宋"/>
          <w:spacing w:val="-71"/>
          <w:sz w:val="24"/>
          <w:szCs w:val="24"/>
        </w:rPr>
        <w:t xml:space="preserve"> </w:t>
      </w:r>
      <w:r>
        <w:rPr>
          <w:rFonts w:ascii="仿宋" w:hAnsi="仿宋" w:eastAsia="仿宋" w:cs="仿宋"/>
          <w:spacing w:val="3"/>
          <w:sz w:val="24"/>
          <w:szCs w:val="24"/>
        </w:rPr>
        <w:t>，午间</w:t>
      </w:r>
      <w:r>
        <w:rPr>
          <w:rFonts w:ascii="仿宋" w:hAnsi="仿宋" w:eastAsia="仿宋" w:cs="仿宋"/>
          <w:spacing w:val="-2"/>
          <w:sz w:val="24"/>
          <w:szCs w:val="24"/>
        </w:rPr>
        <w:t>12:00-14:00</w:t>
      </w:r>
      <w:r>
        <w:rPr>
          <w:rFonts w:ascii="仿宋" w:hAnsi="仿宋" w:eastAsia="仿宋" w:cs="仿宋"/>
          <w:spacing w:val="-30"/>
          <w:sz w:val="24"/>
          <w:szCs w:val="24"/>
        </w:rPr>
        <w:t xml:space="preserve"> </w:t>
      </w:r>
      <w:r>
        <w:rPr>
          <w:rFonts w:ascii="仿宋" w:hAnsi="仿宋" w:eastAsia="仿宋" w:cs="仿宋"/>
          <w:spacing w:val="-2"/>
          <w:sz w:val="24"/>
          <w:szCs w:val="24"/>
        </w:rPr>
        <w:t>禁止施工。噪声排放与施工工序高度同步，路基土石方施工阶段噪</w:t>
      </w:r>
      <w:r>
        <w:rPr>
          <w:rFonts w:ascii="仿宋" w:hAnsi="仿宋" w:eastAsia="仿宋" w:cs="仿宋"/>
          <w:spacing w:val="-3"/>
          <w:sz w:val="24"/>
          <w:szCs w:val="24"/>
        </w:rPr>
        <w:t>声强度最大、持续时间最长；路面施工阶段噪声次之；构造物及附属</w:t>
      </w:r>
      <w:r>
        <w:rPr>
          <w:rFonts w:ascii="仿宋" w:hAnsi="仿宋" w:eastAsia="仿宋" w:cs="仿宋"/>
          <w:spacing w:val="-4"/>
          <w:sz w:val="24"/>
          <w:szCs w:val="24"/>
        </w:rPr>
        <w:t>工程施工噪</w:t>
      </w:r>
      <w:r>
        <w:rPr>
          <w:rFonts w:ascii="仿宋" w:hAnsi="仿宋" w:eastAsia="仿宋" w:cs="仿宋"/>
          <w:spacing w:val="-1"/>
          <w:sz w:val="24"/>
          <w:szCs w:val="24"/>
        </w:rPr>
        <w:t>声零散、强度低。整体噪声影响具有阶段性、暂时性特征。</w:t>
      </w:r>
    </w:p>
    <w:p w14:paraId="69BED724">
      <w:pPr>
        <w:spacing w:line="220" w:lineRule="auto"/>
        <w:ind w:left="619"/>
        <w:rPr>
          <w:rFonts w:ascii="仿宋" w:hAnsi="仿宋" w:eastAsia="仿宋" w:cs="仿宋"/>
          <w:sz w:val="24"/>
          <w:szCs w:val="24"/>
        </w:rPr>
      </w:pPr>
      <w:r>
        <w:rPr>
          <w:rFonts w:ascii="仿宋" w:hAnsi="仿宋" w:eastAsia="仿宋" w:cs="仿宋"/>
          <w:spacing w:val="-3"/>
          <w:sz w:val="24"/>
          <w:szCs w:val="24"/>
        </w:rPr>
        <w:t>（2）空间分布特征</w:t>
      </w:r>
    </w:p>
    <w:p w14:paraId="6830BD1B">
      <w:pPr>
        <w:spacing w:before="181" w:line="359" w:lineRule="auto"/>
        <w:ind w:left="136" w:right="117" w:firstLine="479"/>
        <w:rPr>
          <w:rFonts w:ascii="仿宋" w:hAnsi="仿宋" w:eastAsia="仿宋" w:cs="仿宋"/>
          <w:sz w:val="24"/>
          <w:szCs w:val="24"/>
        </w:rPr>
      </w:pPr>
      <w:r>
        <w:rPr>
          <w:rFonts w:ascii="仿宋" w:hAnsi="仿宋" w:eastAsia="仿宋" w:cs="仿宋"/>
          <w:spacing w:val="-3"/>
          <w:sz w:val="24"/>
          <w:szCs w:val="24"/>
        </w:rPr>
        <w:t>本项目为线性工程，施工噪声以移动式线状噪</w:t>
      </w:r>
      <w:r>
        <w:rPr>
          <w:rFonts w:ascii="仿宋" w:hAnsi="仿宋" w:eastAsia="仿宋" w:cs="仿宋"/>
          <w:spacing w:val="-4"/>
          <w:sz w:val="24"/>
          <w:szCs w:val="24"/>
        </w:rPr>
        <w:t>声源为主，随施工段落逐段推</w:t>
      </w:r>
      <w:r>
        <w:rPr>
          <w:rFonts w:ascii="仿宋" w:hAnsi="仿宋" w:eastAsia="仿宋" w:cs="仿宋"/>
          <w:spacing w:val="-3"/>
          <w:sz w:val="24"/>
          <w:szCs w:val="24"/>
        </w:rPr>
        <w:t>进，噪声影响点位沿线路动态迁移。项目线路紧邻沿线村落民</w:t>
      </w:r>
      <w:r>
        <w:rPr>
          <w:rFonts w:ascii="仿宋" w:hAnsi="仿宋" w:eastAsia="仿宋" w:cs="仿宋"/>
          <w:spacing w:val="-4"/>
          <w:sz w:val="24"/>
          <w:szCs w:val="24"/>
        </w:rPr>
        <w:t>居、耕地，无大面</w:t>
      </w:r>
      <w:r>
        <w:rPr>
          <w:rFonts w:ascii="仿宋" w:hAnsi="仿宋" w:eastAsia="仿宋" w:cs="仿宋"/>
          <w:spacing w:val="-1"/>
          <w:sz w:val="24"/>
          <w:szCs w:val="24"/>
        </w:rPr>
        <w:t>积防护距离，噪声直接作用于道路两侧敏感目标，近距离扰民风险较高。</w:t>
      </w:r>
    </w:p>
    <w:p w14:paraId="06A50F7E">
      <w:pPr>
        <w:spacing w:before="291" w:line="224" w:lineRule="auto"/>
        <w:ind w:left="132"/>
        <w:outlineLvl w:val="2"/>
        <w:rPr>
          <w:rFonts w:ascii="仿宋" w:hAnsi="仿宋" w:eastAsia="仿宋" w:cs="仿宋"/>
          <w:sz w:val="28"/>
          <w:szCs w:val="28"/>
        </w:rPr>
      </w:pPr>
      <w:bookmarkStart w:id="26" w:name="bookmark29"/>
      <w:bookmarkEnd w:id="26"/>
      <w:r>
        <w:rPr>
          <w:rFonts w:ascii="仿宋" w:hAnsi="仿宋" w:eastAsia="仿宋" w:cs="仿宋"/>
          <w:b/>
          <w:bCs/>
          <w:spacing w:val="-7"/>
          <w:sz w:val="28"/>
          <w:szCs w:val="28"/>
        </w:rPr>
        <w:t>2.2.4</w:t>
      </w:r>
      <w:r>
        <w:rPr>
          <w:rFonts w:ascii="仿宋" w:hAnsi="仿宋" w:eastAsia="仿宋" w:cs="仿宋"/>
          <w:spacing w:val="-49"/>
          <w:sz w:val="28"/>
          <w:szCs w:val="28"/>
        </w:rPr>
        <w:t xml:space="preserve"> </w:t>
      </w:r>
      <w:r>
        <w:rPr>
          <w:rFonts w:ascii="仿宋" w:hAnsi="仿宋" w:eastAsia="仿宋" w:cs="仿宋"/>
          <w:b/>
          <w:bCs/>
          <w:spacing w:val="-7"/>
          <w:sz w:val="28"/>
          <w:szCs w:val="28"/>
        </w:rPr>
        <w:t>小结</w:t>
      </w:r>
    </w:p>
    <w:p w14:paraId="0F399BC3">
      <w:pPr>
        <w:spacing w:before="301" w:line="360" w:lineRule="auto"/>
        <w:ind w:left="135" w:right="117" w:firstLine="479"/>
        <w:jc w:val="both"/>
        <w:rPr>
          <w:rFonts w:ascii="仿宋" w:hAnsi="仿宋" w:eastAsia="仿宋" w:cs="仿宋"/>
          <w:sz w:val="24"/>
          <w:szCs w:val="24"/>
        </w:rPr>
      </w:pPr>
      <w:r>
        <w:rPr>
          <w:rFonts w:ascii="仿宋" w:hAnsi="仿宋" w:eastAsia="仿宋" w:cs="仿宋"/>
          <w:spacing w:val="-3"/>
          <w:sz w:val="24"/>
          <w:szCs w:val="24"/>
        </w:rPr>
        <w:t>本四级通村公路工程施工期噪声源以中小型施</w:t>
      </w:r>
      <w:r>
        <w:rPr>
          <w:rFonts w:ascii="仿宋" w:hAnsi="仿宋" w:eastAsia="仿宋" w:cs="仿宋"/>
          <w:spacing w:val="-4"/>
          <w:sz w:val="24"/>
          <w:szCs w:val="24"/>
        </w:rPr>
        <w:t>工机械和运输车辆为主，无高</w:t>
      </w:r>
      <w:r>
        <w:rPr>
          <w:rFonts w:ascii="仿宋" w:hAnsi="仿宋" w:eastAsia="仿宋" w:cs="仿宋"/>
          <w:spacing w:val="-3"/>
          <w:sz w:val="24"/>
          <w:szCs w:val="24"/>
        </w:rPr>
        <w:t>噪声大型固定设备，噪声排放具有阶段性、间歇性、移动式的特</w:t>
      </w:r>
      <w:r>
        <w:rPr>
          <w:rFonts w:ascii="仿宋" w:hAnsi="仿宋" w:eastAsia="仿宋" w:cs="仿宋"/>
          <w:spacing w:val="-4"/>
          <w:sz w:val="24"/>
          <w:szCs w:val="24"/>
        </w:rPr>
        <w:t>点。噪声影响主</w:t>
      </w:r>
      <w:r>
        <w:rPr>
          <w:rFonts w:ascii="仿宋" w:hAnsi="仿宋" w:eastAsia="仿宋" w:cs="仿宋"/>
          <w:spacing w:val="-3"/>
          <w:sz w:val="24"/>
          <w:szCs w:val="24"/>
        </w:rPr>
        <w:t>要集中在路基、路面施工阶段，主要影响对象为道路沿线近距离</w:t>
      </w:r>
      <w:r>
        <w:rPr>
          <w:rFonts w:ascii="仿宋" w:hAnsi="仿宋" w:eastAsia="仿宋" w:cs="仿宋"/>
          <w:spacing w:val="-4"/>
          <w:sz w:val="24"/>
          <w:szCs w:val="24"/>
        </w:rPr>
        <w:t>村庄居民。施工</w:t>
      </w:r>
      <w:r>
        <w:rPr>
          <w:rFonts w:ascii="仿宋" w:hAnsi="仿宋" w:eastAsia="仿宋" w:cs="仿宋"/>
          <w:spacing w:val="-3"/>
          <w:sz w:val="24"/>
          <w:szCs w:val="24"/>
        </w:rPr>
        <w:t>噪声为暂时性可逆污染，施工结束后影响完全消除，通过合理安</w:t>
      </w:r>
      <w:r>
        <w:rPr>
          <w:rFonts w:ascii="仿宋" w:hAnsi="仿宋" w:eastAsia="仿宋" w:cs="仿宋"/>
          <w:spacing w:val="-4"/>
          <w:sz w:val="24"/>
          <w:szCs w:val="24"/>
        </w:rPr>
        <w:t>排施工时序、严</w:t>
      </w:r>
      <w:r>
        <w:rPr>
          <w:rFonts w:ascii="仿宋" w:hAnsi="仿宋" w:eastAsia="仿宋" w:cs="仿宋"/>
          <w:spacing w:val="-1"/>
          <w:sz w:val="24"/>
          <w:szCs w:val="24"/>
        </w:rPr>
        <w:t>控作业时段、落实降噪措施后，可有效降低对沿线敏感目标的不利影响。</w:t>
      </w:r>
    </w:p>
    <w:p w14:paraId="394C40ED">
      <w:pPr>
        <w:spacing w:before="217" w:line="227" w:lineRule="auto"/>
        <w:ind w:left="133"/>
        <w:outlineLvl w:val="1"/>
        <w:rPr>
          <w:rFonts w:ascii="仿宋" w:hAnsi="仿宋" w:eastAsia="仿宋" w:cs="仿宋"/>
          <w:sz w:val="31"/>
          <w:szCs w:val="31"/>
        </w:rPr>
      </w:pPr>
      <w:bookmarkStart w:id="27" w:name="bookmark30"/>
      <w:bookmarkEnd w:id="27"/>
      <w:r>
        <w:rPr>
          <w:rFonts w:ascii="仿宋" w:hAnsi="仿宋" w:eastAsia="仿宋" w:cs="仿宋"/>
          <w:b/>
          <w:bCs/>
          <w:spacing w:val="5"/>
          <w:sz w:val="31"/>
          <w:szCs w:val="31"/>
        </w:rPr>
        <w:t>2.3</w:t>
      </w:r>
      <w:r>
        <w:rPr>
          <w:rFonts w:ascii="仿宋" w:hAnsi="仿宋" w:eastAsia="仿宋" w:cs="仿宋"/>
          <w:spacing w:val="5"/>
          <w:sz w:val="31"/>
          <w:szCs w:val="31"/>
        </w:rPr>
        <w:t xml:space="preserve"> </w:t>
      </w:r>
      <w:r>
        <w:rPr>
          <w:rFonts w:ascii="仿宋" w:hAnsi="仿宋" w:eastAsia="仿宋" w:cs="仿宋"/>
          <w:b/>
          <w:bCs/>
          <w:spacing w:val="5"/>
          <w:sz w:val="31"/>
          <w:szCs w:val="31"/>
        </w:rPr>
        <w:t>运营期噪声源分析</w:t>
      </w:r>
    </w:p>
    <w:p w14:paraId="16F8F854">
      <w:pPr>
        <w:spacing w:before="226" w:line="359" w:lineRule="auto"/>
        <w:ind w:left="134" w:right="117" w:firstLine="481"/>
        <w:jc w:val="both"/>
        <w:rPr>
          <w:rFonts w:ascii="仿宋" w:hAnsi="仿宋" w:eastAsia="仿宋" w:cs="仿宋"/>
          <w:sz w:val="24"/>
          <w:szCs w:val="24"/>
        </w:rPr>
      </w:pPr>
      <w:r>
        <w:rPr>
          <w:rFonts w:ascii="仿宋" w:hAnsi="仿宋" w:eastAsia="仿宋" w:cs="仿宋"/>
          <w:spacing w:val="-3"/>
          <w:sz w:val="24"/>
          <w:szCs w:val="24"/>
        </w:rPr>
        <w:t>运营期噪声污染主要来源于道路通行的各类</w:t>
      </w:r>
      <w:r>
        <w:rPr>
          <w:rFonts w:ascii="仿宋" w:hAnsi="仿宋" w:eastAsia="仿宋" w:cs="仿宋"/>
          <w:spacing w:val="-4"/>
          <w:sz w:val="24"/>
          <w:szCs w:val="24"/>
        </w:rPr>
        <w:t>机动车辆产生的交通噪声，属于</w:t>
      </w:r>
      <w:r>
        <w:rPr>
          <w:rFonts w:ascii="仿宋" w:hAnsi="仿宋" w:eastAsia="仿宋" w:cs="仿宋"/>
          <w:spacing w:val="-3"/>
          <w:sz w:val="24"/>
          <w:szCs w:val="24"/>
        </w:rPr>
        <w:t>线性、持续性环境噪声。相较于施工期噪声，运营期噪声具有长期</w:t>
      </w:r>
      <w:r>
        <w:rPr>
          <w:rFonts w:ascii="仿宋" w:hAnsi="仿宋" w:eastAsia="仿宋" w:cs="仿宋"/>
          <w:spacing w:val="-4"/>
          <w:sz w:val="24"/>
          <w:szCs w:val="24"/>
        </w:rPr>
        <w:t>持续性、排放</w:t>
      </w:r>
      <w:r>
        <w:rPr>
          <w:rFonts w:ascii="仿宋" w:hAnsi="仿宋" w:eastAsia="仿宋" w:cs="仿宋"/>
          <w:spacing w:val="-3"/>
          <w:sz w:val="24"/>
          <w:szCs w:val="24"/>
        </w:rPr>
        <w:t>稳定、影响周期久的特点，是项目主要的永久性环境噪声影响源。</w:t>
      </w:r>
      <w:r>
        <w:rPr>
          <w:rFonts w:ascii="仿宋" w:hAnsi="仿宋" w:eastAsia="仿宋" w:cs="仿宋"/>
          <w:spacing w:val="-4"/>
          <w:sz w:val="24"/>
          <w:szCs w:val="24"/>
        </w:rPr>
        <w:t>结合四级公路</w:t>
      </w:r>
      <w:r>
        <w:rPr>
          <w:rFonts w:ascii="仿宋" w:hAnsi="仿宋" w:eastAsia="仿宋" w:cs="仿宋"/>
          <w:spacing w:val="-3"/>
          <w:sz w:val="24"/>
          <w:szCs w:val="24"/>
        </w:rPr>
        <w:t>通行特征，对运营期噪声源类型、源强参数、排放特征及敏感目标</w:t>
      </w:r>
      <w:r>
        <w:rPr>
          <w:rFonts w:ascii="仿宋" w:hAnsi="仿宋" w:eastAsia="仿宋" w:cs="仿宋"/>
          <w:spacing w:val="-4"/>
          <w:sz w:val="24"/>
          <w:szCs w:val="24"/>
        </w:rPr>
        <w:t>影响规律开展系统分析。</w:t>
      </w:r>
    </w:p>
    <w:p w14:paraId="784B2B56">
      <w:pPr>
        <w:spacing w:line="359" w:lineRule="auto"/>
        <w:rPr>
          <w:rFonts w:ascii="仿宋" w:hAnsi="仿宋" w:eastAsia="仿宋" w:cs="仿宋"/>
          <w:sz w:val="24"/>
          <w:szCs w:val="24"/>
        </w:rPr>
        <w:sectPr>
          <w:footerReference r:id="rId154" w:type="default"/>
          <w:pgSz w:w="11906" w:h="16839"/>
          <w:pgMar w:top="400" w:right="1681" w:bottom="1370" w:left="1681" w:header="0" w:footer="1207" w:gutter="0"/>
          <w:cols w:space="720" w:num="1"/>
        </w:sectPr>
      </w:pPr>
    </w:p>
    <w:p w14:paraId="614482A0">
      <w:pPr>
        <w:pStyle w:val="2"/>
        <w:spacing w:line="278" w:lineRule="auto"/>
        <w:rPr>
          <w:sz w:val="21"/>
        </w:rPr>
      </w:pPr>
    </w:p>
    <w:p w14:paraId="095D936B">
      <w:pPr>
        <w:pStyle w:val="2"/>
        <w:spacing w:line="278" w:lineRule="auto"/>
        <w:rPr>
          <w:sz w:val="21"/>
        </w:rPr>
      </w:pPr>
    </w:p>
    <w:p w14:paraId="33C06189">
      <w:pPr>
        <w:pStyle w:val="2"/>
        <w:spacing w:line="279" w:lineRule="auto"/>
        <w:rPr>
          <w:sz w:val="21"/>
        </w:rPr>
      </w:pPr>
    </w:p>
    <w:p w14:paraId="35A9E458">
      <w:pPr>
        <w:pStyle w:val="2"/>
        <w:spacing w:line="279" w:lineRule="auto"/>
        <w:rPr>
          <w:sz w:val="21"/>
        </w:rPr>
      </w:pPr>
    </w:p>
    <w:p w14:paraId="156FA1EC">
      <w:pPr>
        <w:spacing w:before="91" w:line="223" w:lineRule="auto"/>
        <w:ind w:left="28"/>
        <w:outlineLvl w:val="2"/>
        <w:rPr>
          <w:rFonts w:ascii="仿宋" w:hAnsi="仿宋" w:eastAsia="仿宋" w:cs="仿宋"/>
          <w:sz w:val="28"/>
          <w:szCs w:val="28"/>
        </w:rPr>
      </w:pPr>
      <w:bookmarkStart w:id="28" w:name="bookmark31"/>
      <w:bookmarkEnd w:id="28"/>
      <w:r>
        <w:rPr>
          <w:rFonts w:ascii="仿宋" w:hAnsi="仿宋" w:eastAsia="仿宋" w:cs="仿宋"/>
          <w:b/>
          <w:bCs/>
          <w:spacing w:val="-6"/>
          <w:sz w:val="28"/>
          <w:szCs w:val="28"/>
        </w:rPr>
        <w:t>2.3.1</w:t>
      </w:r>
      <w:r>
        <w:rPr>
          <w:rFonts w:ascii="仿宋" w:hAnsi="仿宋" w:eastAsia="仿宋" w:cs="仿宋"/>
          <w:spacing w:val="31"/>
          <w:sz w:val="28"/>
          <w:szCs w:val="28"/>
        </w:rPr>
        <w:t xml:space="preserve"> </w:t>
      </w:r>
      <w:r>
        <w:rPr>
          <w:rFonts w:ascii="仿宋" w:hAnsi="仿宋" w:eastAsia="仿宋" w:cs="仿宋"/>
          <w:b/>
          <w:bCs/>
          <w:spacing w:val="-6"/>
          <w:sz w:val="28"/>
          <w:szCs w:val="28"/>
        </w:rPr>
        <w:t>噪声源强特征</w:t>
      </w:r>
    </w:p>
    <w:p w14:paraId="23DB01E4">
      <w:pPr>
        <w:spacing w:before="304" w:line="359" w:lineRule="auto"/>
        <w:ind w:left="30" w:right="50" w:firstLine="481"/>
        <w:jc w:val="both"/>
        <w:rPr>
          <w:rFonts w:ascii="仿宋" w:hAnsi="仿宋" w:eastAsia="仿宋" w:cs="仿宋"/>
          <w:sz w:val="24"/>
          <w:szCs w:val="24"/>
        </w:rPr>
      </w:pPr>
      <w:r>
        <w:rPr>
          <w:rFonts w:ascii="仿宋" w:hAnsi="仿宋" w:eastAsia="仿宋" w:cs="仿宋"/>
          <w:spacing w:val="-3"/>
          <w:sz w:val="24"/>
          <w:szCs w:val="24"/>
        </w:rPr>
        <w:t>项目运营期无站场设备、加工设备等固定噪声</w:t>
      </w:r>
      <w:r>
        <w:rPr>
          <w:rFonts w:ascii="仿宋" w:hAnsi="仿宋" w:eastAsia="仿宋" w:cs="仿宋"/>
          <w:spacing w:val="-4"/>
          <w:sz w:val="24"/>
          <w:szCs w:val="24"/>
        </w:rPr>
        <w:t>源，噪声全部来自道路交通流</w:t>
      </w:r>
      <w:r>
        <w:rPr>
          <w:rFonts w:ascii="仿宋" w:hAnsi="仿宋" w:eastAsia="仿宋" w:cs="仿宋"/>
          <w:spacing w:val="-3"/>
          <w:sz w:val="24"/>
          <w:szCs w:val="24"/>
        </w:rPr>
        <w:t>动声源，主要为通行车辆在行驶过程中产生的综合噪声，产生机理包</w:t>
      </w:r>
      <w:r>
        <w:rPr>
          <w:rFonts w:ascii="仿宋" w:hAnsi="仿宋" w:eastAsia="仿宋" w:cs="仿宋"/>
          <w:spacing w:val="-4"/>
          <w:sz w:val="24"/>
          <w:szCs w:val="24"/>
        </w:rPr>
        <w:t>含轮胎与路</w:t>
      </w:r>
      <w:r>
        <w:rPr>
          <w:rFonts w:ascii="仿宋" w:hAnsi="仿宋" w:eastAsia="仿宋" w:cs="仿宋"/>
          <w:spacing w:val="-3"/>
          <w:sz w:val="24"/>
          <w:szCs w:val="24"/>
        </w:rPr>
        <w:t>面摩擦噪声、车辆发动机运转噪声、车体空气动力噪声、车辆制动及</w:t>
      </w:r>
      <w:r>
        <w:rPr>
          <w:rFonts w:ascii="仿宋" w:hAnsi="仿宋" w:eastAsia="仿宋" w:cs="仿宋"/>
          <w:spacing w:val="-4"/>
          <w:sz w:val="24"/>
          <w:szCs w:val="24"/>
        </w:rPr>
        <w:t>颠簸振动噪</w:t>
      </w:r>
      <w:r>
        <w:rPr>
          <w:rFonts w:ascii="仿宋" w:hAnsi="仿宋" w:eastAsia="仿宋" w:cs="仿宋"/>
          <w:spacing w:val="-3"/>
          <w:sz w:val="24"/>
          <w:szCs w:val="24"/>
        </w:rPr>
        <w:t>声四类。结合通村公路通行特点，道路通行以小型私家车、低速农用</w:t>
      </w:r>
      <w:r>
        <w:rPr>
          <w:rFonts w:ascii="仿宋" w:hAnsi="仿宋" w:eastAsia="仿宋" w:cs="仿宋"/>
          <w:spacing w:val="-4"/>
          <w:sz w:val="24"/>
          <w:szCs w:val="24"/>
        </w:rPr>
        <w:t>三轮车、摩</w:t>
      </w:r>
      <w:r>
        <w:rPr>
          <w:rFonts w:ascii="仿宋" w:hAnsi="仿宋" w:eastAsia="仿宋" w:cs="仿宋"/>
          <w:spacing w:val="-3"/>
          <w:sz w:val="24"/>
          <w:szCs w:val="24"/>
        </w:rPr>
        <w:t>托车、轻型货运车、小型面包车为主，无大型重载货车、重型客车通</w:t>
      </w:r>
      <w:r>
        <w:rPr>
          <w:rFonts w:ascii="仿宋" w:hAnsi="仿宋" w:eastAsia="仿宋" w:cs="仿宋"/>
          <w:spacing w:val="-4"/>
          <w:sz w:val="24"/>
          <w:szCs w:val="24"/>
        </w:rPr>
        <w:t>行，声源整</w:t>
      </w:r>
      <w:r>
        <w:rPr>
          <w:rFonts w:ascii="仿宋" w:hAnsi="仿宋" w:eastAsia="仿宋" w:cs="仿宋"/>
          <w:spacing w:val="-2"/>
          <w:sz w:val="24"/>
          <w:szCs w:val="24"/>
        </w:rPr>
        <w:t>体噪声强度偏低。</w:t>
      </w:r>
    </w:p>
    <w:p w14:paraId="66D2BAAE">
      <w:pPr>
        <w:spacing w:line="359" w:lineRule="auto"/>
        <w:ind w:left="30" w:firstLine="531"/>
        <w:jc w:val="both"/>
        <w:rPr>
          <w:rFonts w:ascii="仿宋" w:hAnsi="仿宋" w:eastAsia="仿宋" w:cs="仿宋"/>
          <w:sz w:val="24"/>
          <w:szCs w:val="24"/>
        </w:rPr>
      </w:pPr>
      <w:r>
        <w:rPr>
          <w:rFonts w:ascii="仿宋" w:hAnsi="仿宋" w:eastAsia="仿宋" w:cs="仿宋"/>
          <w:spacing w:val="-3"/>
          <w:sz w:val="24"/>
          <w:szCs w:val="24"/>
        </w:rPr>
        <w:t>日常平稳行驶工况下，轮胎路面摩擦噪声为主要</w:t>
      </w:r>
      <w:r>
        <w:rPr>
          <w:rFonts w:ascii="仿宋" w:hAnsi="仿宋" w:eastAsia="仿宋" w:cs="仿宋"/>
          <w:spacing w:val="-4"/>
          <w:sz w:val="24"/>
          <w:szCs w:val="24"/>
        </w:rPr>
        <w:t>贡献源；车辆起步、爬坡、</w:t>
      </w:r>
      <w:r>
        <w:rPr>
          <w:rFonts w:ascii="仿宋" w:hAnsi="仿宋" w:eastAsia="仿宋" w:cs="仿宋"/>
          <w:spacing w:val="-3"/>
          <w:sz w:val="24"/>
          <w:szCs w:val="24"/>
        </w:rPr>
        <w:t>加速、刹车工况下，发动机运转噪声与制动噪声显著提升；因本项目</w:t>
      </w:r>
      <w:r>
        <w:rPr>
          <w:rFonts w:ascii="仿宋" w:hAnsi="仿宋" w:eastAsia="仿宋" w:cs="仿宋"/>
          <w:spacing w:val="-4"/>
          <w:sz w:val="24"/>
          <w:szCs w:val="24"/>
        </w:rPr>
        <w:t>为乡村低等</w:t>
      </w:r>
      <w:r>
        <w:rPr>
          <w:rFonts w:ascii="仿宋" w:hAnsi="仿宋" w:eastAsia="仿宋" w:cs="仿宋"/>
          <w:spacing w:val="-3"/>
          <w:sz w:val="24"/>
          <w:szCs w:val="24"/>
        </w:rPr>
        <w:t>级公路，车速普遍偏低，空气动力噪声贡献极小，可忽略不计。同时</w:t>
      </w:r>
      <w:r>
        <w:rPr>
          <w:rFonts w:ascii="仿宋" w:hAnsi="仿宋" w:eastAsia="仿宋" w:cs="仿宋"/>
          <w:spacing w:val="-4"/>
          <w:sz w:val="24"/>
          <w:szCs w:val="24"/>
        </w:rPr>
        <w:t>，部分路段</w:t>
      </w:r>
      <w:r>
        <w:rPr>
          <w:rFonts w:ascii="仿宋" w:hAnsi="仿宋" w:eastAsia="仿宋" w:cs="仿宋"/>
          <w:spacing w:val="-1"/>
          <w:sz w:val="24"/>
          <w:szCs w:val="24"/>
        </w:rPr>
        <w:t>弯道、坡道较多，车辆减速、变速频繁，局部路段噪声波动相对明显。</w:t>
      </w:r>
    </w:p>
    <w:p w14:paraId="4DEE39F7">
      <w:pPr>
        <w:spacing w:before="293" w:line="223" w:lineRule="auto"/>
        <w:ind w:left="28"/>
        <w:outlineLvl w:val="2"/>
        <w:rPr>
          <w:rFonts w:ascii="仿宋" w:hAnsi="仿宋" w:eastAsia="仿宋" w:cs="仿宋"/>
          <w:sz w:val="28"/>
          <w:szCs w:val="28"/>
        </w:rPr>
      </w:pPr>
      <w:bookmarkStart w:id="29" w:name="bookmark32"/>
      <w:bookmarkEnd w:id="29"/>
      <w:r>
        <w:rPr>
          <w:rFonts w:ascii="仿宋" w:hAnsi="仿宋" w:eastAsia="仿宋" w:cs="仿宋"/>
          <w:b/>
          <w:bCs/>
          <w:spacing w:val="-7"/>
          <w:sz w:val="28"/>
          <w:szCs w:val="28"/>
        </w:rPr>
        <w:t>2.3.2</w:t>
      </w:r>
      <w:r>
        <w:rPr>
          <w:rFonts w:ascii="仿宋" w:hAnsi="仿宋" w:eastAsia="仿宋" w:cs="仿宋"/>
          <w:spacing w:val="30"/>
          <w:sz w:val="28"/>
          <w:szCs w:val="28"/>
        </w:rPr>
        <w:t xml:space="preserve"> </w:t>
      </w:r>
      <w:r>
        <w:rPr>
          <w:rFonts w:ascii="仿宋" w:hAnsi="仿宋" w:eastAsia="仿宋" w:cs="仿宋"/>
          <w:b/>
          <w:bCs/>
          <w:spacing w:val="-7"/>
          <w:sz w:val="28"/>
          <w:szCs w:val="28"/>
        </w:rPr>
        <w:t>噪声源强</w:t>
      </w:r>
    </w:p>
    <w:p w14:paraId="78705260">
      <w:pPr>
        <w:spacing w:before="304" w:line="224" w:lineRule="auto"/>
        <w:ind w:left="26"/>
        <w:rPr>
          <w:rFonts w:ascii="仿宋" w:hAnsi="仿宋" w:eastAsia="仿宋" w:cs="仿宋"/>
          <w:sz w:val="24"/>
          <w:szCs w:val="24"/>
        </w:rPr>
      </w:pPr>
      <w:r>
        <w:rPr>
          <w:rFonts w:ascii="仿宋" w:hAnsi="仿宋" w:eastAsia="仿宋" w:cs="仿宋"/>
          <w:b/>
          <w:bCs/>
          <w:spacing w:val="-5"/>
          <w:sz w:val="24"/>
          <w:szCs w:val="24"/>
        </w:rPr>
        <w:t>2.3.2.1</w:t>
      </w:r>
      <w:r>
        <w:rPr>
          <w:rFonts w:ascii="仿宋" w:hAnsi="仿宋" w:eastAsia="仿宋" w:cs="仿宋"/>
          <w:spacing w:val="-41"/>
          <w:sz w:val="24"/>
          <w:szCs w:val="24"/>
        </w:rPr>
        <w:t xml:space="preserve"> </w:t>
      </w:r>
      <w:r>
        <w:rPr>
          <w:rFonts w:ascii="仿宋" w:hAnsi="仿宋" w:eastAsia="仿宋" w:cs="仿宋"/>
          <w:b/>
          <w:bCs/>
          <w:spacing w:val="-5"/>
          <w:sz w:val="24"/>
          <w:szCs w:val="24"/>
        </w:rPr>
        <w:t>交通量</w:t>
      </w:r>
    </w:p>
    <w:p w14:paraId="11F9A6A0">
      <w:pPr>
        <w:spacing w:before="177" w:line="223" w:lineRule="auto"/>
        <w:ind w:left="515"/>
        <w:rPr>
          <w:rFonts w:ascii="仿宋" w:hAnsi="仿宋" w:eastAsia="仿宋" w:cs="仿宋"/>
          <w:sz w:val="24"/>
          <w:szCs w:val="24"/>
        </w:rPr>
      </w:pPr>
      <w:r>
        <w:rPr>
          <w:rFonts w:ascii="仿宋" w:hAnsi="仿宋" w:eastAsia="仿宋" w:cs="仿宋"/>
          <w:spacing w:val="-3"/>
          <w:sz w:val="24"/>
          <w:szCs w:val="24"/>
        </w:rPr>
        <w:t>（1）交通量预测</w:t>
      </w:r>
    </w:p>
    <w:p w14:paraId="34154BDD">
      <w:pPr>
        <w:spacing w:before="176" w:line="359" w:lineRule="auto"/>
        <w:ind w:left="32" w:right="50" w:firstLine="479"/>
        <w:rPr>
          <w:rFonts w:ascii="仿宋" w:hAnsi="仿宋" w:eastAsia="仿宋" w:cs="仿宋"/>
          <w:sz w:val="24"/>
          <w:szCs w:val="24"/>
        </w:rPr>
      </w:pPr>
      <w:r>
        <w:rPr>
          <w:rFonts w:ascii="仿宋" w:hAnsi="仿宋" w:eastAsia="仿宋" w:cs="仿宋"/>
          <w:sz w:val="24"/>
          <w:szCs w:val="24"/>
        </w:rPr>
        <w:t>根据项目可行性研究报告，按照《公路工程技术标准》（JTG</w:t>
      </w:r>
      <w:r>
        <w:rPr>
          <w:rFonts w:ascii="仿宋" w:hAnsi="仿宋" w:eastAsia="仿宋" w:cs="仿宋"/>
          <w:spacing w:val="-1"/>
          <w:sz w:val="24"/>
          <w:szCs w:val="24"/>
        </w:rPr>
        <w:t xml:space="preserve"> B01－2014）</w:t>
      </w:r>
      <w:r>
        <w:rPr>
          <w:rFonts w:ascii="仿宋" w:hAnsi="仿宋" w:eastAsia="仿宋" w:cs="仿宋"/>
          <w:spacing w:val="-4"/>
          <w:sz w:val="24"/>
          <w:szCs w:val="24"/>
        </w:rPr>
        <w:t>的规定，本项目四级公路预测年限为通车后第</w:t>
      </w:r>
      <w:r>
        <w:rPr>
          <w:rFonts w:ascii="仿宋" w:hAnsi="仿宋" w:eastAsia="仿宋" w:cs="仿宋"/>
          <w:spacing w:val="-19"/>
          <w:sz w:val="24"/>
          <w:szCs w:val="24"/>
        </w:rPr>
        <w:t xml:space="preserve"> </w:t>
      </w:r>
      <w:r>
        <w:rPr>
          <w:rFonts w:ascii="仿宋" w:hAnsi="仿宋" w:eastAsia="仿宋" w:cs="仿宋"/>
          <w:spacing w:val="-4"/>
          <w:sz w:val="24"/>
          <w:szCs w:val="24"/>
        </w:rPr>
        <w:t>1</w:t>
      </w:r>
      <w:r>
        <w:rPr>
          <w:rFonts w:ascii="仿宋" w:hAnsi="仿宋" w:eastAsia="仿宋" w:cs="仿宋"/>
          <w:spacing w:val="-37"/>
          <w:sz w:val="24"/>
          <w:szCs w:val="24"/>
        </w:rPr>
        <w:t xml:space="preserve"> </w:t>
      </w:r>
      <w:r>
        <w:rPr>
          <w:rFonts w:ascii="仿宋" w:hAnsi="仿宋" w:eastAsia="仿宋" w:cs="仿宋"/>
          <w:spacing w:val="-4"/>
          <w:sz w:val="24"/>
          <w:szCs w:val="24"/>
        </w:rPr>
        <w:t>年、第</w:t>
      </w:r>
      <w:r>
        <w:rPr>
          <w:rFonts w:ascii="仿宋" w:hAnsi="仿宋" w:eastAsia="仿宋" w:cs="仿宋"/>
          <w:spacing w:val="-49"/>
          <w:sz w:val="24"/>
          <w:szCs w:val="24"/>
        </w:rPr>
        <w:t xml:space="preserve"> </w:t>
      </w:r>
      <w:r>
        <w:rPr>
          <w:rFonts w:ascii="仿宋" w:hAnsi="仿宋" w:eastAsia="仿宋" w:cs="仿宋"/>
          <w:spacing w:val="-4"/>
          <w:sz w:val="24"/>
          <w:szCs w:val="24"/>
        </w:rPr>
        <w:t>5</w:t>
      </w:r>
      <w:r>
        <w:rPr>
          <w:rFonts w:ascii="仿宋" w:hAnsi="仿宋" w:eastAsia="仿宋" w:cs="仿宋"/>
          <w:spacing w:val="-37"/>
          <w:sz w:val="24"/>
          <w:szCs w:val="24"/>
        </w:rPr>
        <w:t xml:space="preserve"> </w:t>
      </w:r>
      <w:r>
        <w:rPr>
          <w:rFonts w:ascii="仿宋" w:hAnsi="仿宋" w:eastAsia="仿宋" w:cs="仿宋"/>
          <w:spacing w:val="-4"/>
          <w:sz w:val="24"/>
          <w:szCs w:val="24"/>
        </w:rPr>
        <w:t>年和第</w:t>
      </w:r>
      <w:r>
        <w:rPr>
          <w:rFonts w:ascii="仿宋" w:hAnsi="仿宋" w:eastAsia="仿宋" w:cs="仿宋"/>
          <w:spacing w:val="-34"/>
          <w:sz w:val="24"/>
          <w:szCs w:val="24"/>
        </w:rPr>
        <w:t xml:space="preserve"> </w:t>
      </w:r>
      <w:r>
        <w:rPr>
          <w:rFonts w:ascii="仿宋" w:hAnsi="仿宋" w:eastAsia="仿宋" w:cs="仿宋"/>
          <w:spacing w:val="-4"/>
          <w:sz w:val="24"/>
          <w:szCs w:val="24"/>
        </w:rPr>
        <w:t>10</w:t>
      </w:r>
      <w:r>
        <w:rPr>
          <w:rFonts w:ascii="仿宋" w:hAnsi="仿宋" w:eastAsia="仿宋" w:cs="仿宋"/>
          <w:spacing w:val="-39"/>
          <w:sz w:val="24"/>
          <w:szCs w:val="24"/>
        </w:rPr>
        <w:t xml:space="preserve"> </w:t>
      </w:r>
      <w:r>
        <w:rPr>
          <w:rFonts w:ascii="仿宋" w:hAnsi="仿宋" w:eastAsia="仿宋" w:cs="仿宋"/>
          <w:spacing w:val="-4"/>
          <w:sz w:val="24"/>
          <w:szCs w:val="24"/>
        </w:rPr>
        <w:t>年，即交通</w:t>
      </w:r>
      <w:r>
        <w:rPr>
          <w:rFonts w:ascii="仿宋" w:hAnsi="仿宋" w:eastAsia="仿宋" w:cs="仿宋"/>
          <w:spacing w:val="-5"/>
          <w:sz w:val="24"/>
          <w:szCs w:val="24"/>
        </w:rPr>
        <w:t>预测的特征年确定为</w:t>
      </w:r>
      <w:r>
        <w:rPr>
          <w:rFonts w:ascii="仿宋" w:hAnsi="仿宋" w:eastAsia="仿宋" w:cs="仿宋"/>
          <w:spacing w:val="-35"/>
          <w:sz w:val="24"/>
          <w:szCs w:val="24"/>
        </w:rPr>
        <w:t xml:space="preserve"> </w:t>
      </w:r>
      <w:r>
        <w:rPr>
          <w:rFonts w:ascii="仿宋" w:hAnsi="仿宋" w:eastAsia="仿宋" w:cs="仿宋"/>
          <w:spacing w:val="-5"/>
          <w:sz w:val="24"/>
          <w:szCs w:val="24"/>
        </w:rPr>
        <w:t>2027</w:t>
      </w:r>
      <w:r>
        <w:rPr>
          <w:rFonts w:ascii="仿宋" w:hAnsi="仿宋" w:eastAsia="仿宋" w:cs="仿宋"/>
          <w:spacing w:val="-39"/>
          <w:sz w:val="24"/>
          <w:szCs w:val="24"/>
        </w:rPr>
        <w:t xml:space="preserve"> </w:t>
      </w:r>
      <w:r>
        <w:rPr>
          <w:rFonts w:ascii="仿宋" w:hAnsi="仿宋" w:eastAsia="仿宋" w:cs="仿宋"/>
          <w:spacing w:val="-5"/>
          <w:sz w:val="24"/>
          <w:szCs w:val="24"/>
        </w:rPr>
        <w:t>年、2031</w:t>
      </w:r>
      <w:r>
        <w:rPr>
          <w:rFonts w:ascii="仿宋" w:hAnsi="仿宋" w:eastAsia="仿宋" w:cs="仿宋"/>
          <w:spacing w:val="-40"/>
          <w:sz w:val="24"/>
          <w:szCs w:val="24"/>
        </w:rPr>
        <w:t xml:space="preserve"> </w:t>
      </w:r>
      <w:r>
        <w:rPr>
          <w:rFonts w:ascii="仿宋" w:hAnsi="仿宋" w:eastAsia="仿宋" w:cs="仿宋"/>
          <w:spacing w:val="-5"/>
          <w:sz w:val="24"/>
          <w:szCs w:val="24"/>
        </w:rPr>
        <w:t>年、2036</w:t>
      </w:r>
      <w:r>
        <w:rPr>
          <w:rFonts w:ascii="仿宋" w:hAnsi="仿宋" w:eastAsia="仿宋" w:cs="仿宋"/>
          <w:spacing w:val="-39"/>
          <w:sz w:val="24"/>
          <w:szCs w:val="24"/>
        </w:rPr>
        <w:t xml:space="preserve"> </w:t>
      </w:r>
      <w:r>
        <w:rPr>
          <w:rFonts w:ascii="仿宋" w:hAnsi="仿宋" w:eastAsia="仿宋" w:cs="仿宋"/>
          <w:spacing w:val="-5"/>
          <w:sz w:val="24"/>
          <w:szCs w:val="24"/>
        </w:rPr>
        <w:t>年。项目建成后特征年预测交通量</w:t>
      </w:r>
      <w:r>
        <w:rPr>
          <w:rFonts w:ascii="仿宋" w:hAnsi="仿宋" w:eastAsia="仿宋" w:cs="仿宋"/>
          <w:spacing w:val="-2"/>
          <w:sz w:val="24"/>
          <w:szCs w:val="24"/>
        </w:rPr>
        <w:t>情况见表</w:t>
      </w:r>
      <w:r>
        <w:rPr>
          <w:rFonts w:ascii="仿宋" w:hAnsi="仿宋" w:eastAsia="仿宋" w:cs="仿宋"/>
          <w:spacing w:val="-39"/>
          <w:sz w:val="24"/>
          <w:szCs w:val="24"/>
        </w:rPr>
        <w:t xml:space="preserve"> </w:t>
      </w:r>
      <w:r>
        <w:rPr>
          <w:rFonts w:ascii="仿宋" w:hAnsi="仿宋" w:eastAsia="仿宋" w:cs="仿宋"/>
          <w:spacing w:val="-2"/>
          <w:sz w:val="24"/>
          <w:szCs w:val="24"/>
        </w:rPr>
        <w:t>2.3-1，特征年车型比例见下表</w:t>
      </w:r>
      <w:r>
        <w:rPr>
          <w:rFonts w:ascii="仿宋" w:hAnsi="仿宋" w:eastAsia="仿宋" w:cs="仿宋"/>
          <w:spacing w:val="-48"/>
          <w:sz w:val="24"/>
          <w:szCs w:val="24"/>
        </w:rPr>
        <w:t xml:space="preserve"> </w:t>
      </w:r>
      <w:r>
        <w:rPr>
          <w:rFonts w:ascii="仿宋" w:hAnsi="仿宋" w:eastAsia="仿宋" w:cs="仿宋"/>
          <w:spacing w:val="-2"/>
          <w:sz w:val="24"/>
          <w:szCs w:val="24"/>
        </w:rPr>
        <w:t>2.3-2。</w:t>
      </w:r>
    </w:p>
    <w:p w14:paraId="7C4E535C">
      <w:pPr>
        <w:spacing w:before="2" w:line="216" w:lineRule="auto"/>
        <w:ind w:left="1441"/>
        <w:rPr>
          <w:rFonts w:ascii="仿宋" w:hAnsi="仿宋" w:eastAsia="仿宋" w:cs="仿宋"/>
          <w:sz w:val="24"/>
          <w:szCs w:val="24"/>
        </w:rPr>
      </w:pPr>
      <w:r>
        <w:rPr>
          <w:rFonts w:ascii="仿宋" w:hAnsi="仿宋" w:eastAsia="仿宋" w:cs="仿宋"/>
          <w:b/>
          <w:bCs/>
          <w:spacing w:val="-2"/>
          <w:sz w:val="24"/>
          <w:szCs w:val="24"/>
        </w:rPr>
        <w:t>表</w:t>
      </w:r>
      <w:r>
        <w:rPr>
          <w:rFonts w:ascii="仿宋" w:hAnsi="仿宋" w:eastAsia="仿宋" w:cs="仿宋"/>
          <w:spacing w:val="-49"/>
          <w:sz w:val="24"/>
          <w:szCs w:val="24"/>
        </w:rPr>
        <w:t xml:space="preserve"> </w:t>
      </w:r>
      <w:r>
        <w:rPr>
          <w:rFonts w:ascii="仿宋" w:hAnsi="仿宋" w:eastAsia="仿宋" w:cs="仿宋"/>
          <w:b/>
          <w:bCs/>
          <w:spacing w:val="-2"/>
          <w:sz w:val="24"/>
          <w:szCs w:val="24"/>
        </w:rPr>
        <w:t>2.3-1</w:t>
      </w:r>
      <w:r>
        <w:rPr>
          <w:rFonts w:ascii="仿宋" w:hAnsi="仿宋" w:eastAsia="仿宋" w:cs="仿宋"/>
          <w:spacing w:val="-2"/>
          <w:sz w:val="24"/>
          <w:szCs w:val="24"/>
        </w:rPr>
        <w:t xml:space="preserve">  </w:t>
      </w:r>
      <w:r>
        <w:rPr>
          <w:rFonts w:ascii="仿宋" w:hAnsi="仿宋" w:eastAsia="仿宋" w:cs="仿宋"/>
          <w:b/>
          <w:bCs/>
          <w:spacing w:val="-2"/>
          <w:sz w:val="24"/>
          <w:szCs w:val="24"/>
        </w:rPr>
        <w:t>各特征年交通量预测结果</w:t>
      </w:r>
      <w:r>
        <w:rPr>
          <w:rFonts w:ascii="仿宋" w:hAnsi="仿宋" w:eastAsia="仿宋" w:cs="仿宋"/>
          <w:spacing w:val="-2"/>
          <w:sz w:val="24"/>
          <w:szCs w:val="24"/>
        </w:rPr>
        <w:t xml:space="preserve">   </w:t>
      </w:r>
      <w:r>
        <w:rPr>
          <w:rFonts w:ascii="仿宋" w:hAnsi="仿宋" w:eastAsia="仿宋" w:cs="仿宋"/>
          <w:b/>
          <w:bCs/>
          <w:spacing w:val="-2"/>
          <w:sz w:val="24"/>
          <w:szCs w:val="24"/>
        </w:rPr>
        <w:t>单</w:t>
      </w:r>
      <w:r>
        <w:rPr>
          <w:rFonts w:ascii="仿宋" w:hAnsi="仿宋" w:eastAsia="仿宋" w:cs="仿宋"/>
          <w:b/>
          <w:bCs/>
          <w:spacing w:val="-3"/>
          <w:sz w:val="24"/>
          <w:szCs w:val="24"/>
        </w:rPr>
        <w:t>位：pcu/d</w:t>
      </w:r>
    </w:p>
    <w:p w14:paraId="26293721">
      <w:pPr>
        <w:spacing w:line="151" w:lineRule="exact"/>
      </w:pPr>
    </w:p>
    <w:tbl>
      <w:tblPr>
        <w:tblStyle w:val="5"/>
        <w:tblW w:w="8304" w:type="dxa"/>
        <w:tblInd w:w="1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978"/>
        <w:gridCol w:w="1445"/>
        <w:gridCol w:w="1445"/>
        <w:gridCol w:w="1436"/>
      </w:tblGrid>
      <w:tr w14:paraId="2F05DE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9" w:hRule="atLeast"/>
        </w:trPr>
        <w:tc>
          <w:tcPr>
            <w:tcW w:w="3978" w:type="dxa"/>
            <w:tcBorders>
              <w:top w:val="single" w:color="000000" w:sz="10" w:space="0"/>
              <w:left w:val="nil"/>
            </w:tcBorders>
            <w:vAlign w:val="top"/>
          </w:tcPr>
          <w:p w14:paraId="3396894B">
            <w:pPr>
              <w:spacing w:before="35" w:line="206" w:lineRule="auto"/>
              <w:ind w:left="1783"/>
              <w:rPr>
                <w:rFonts w:ascii="仿宋" w:hAnsi="仿宋" w:eastAsia="仿宋" w:cs="仿宋"/>
                <w:sz w:val="20"/>
                <w:szCs w:val="20"/>
              </w:rPr>
            </w:pPr>
            <w:r>
              <w:rPr>
                <w:rFonts w:ascii="仿宋" w:hAnsi="仿宋" w:eastAsia="仿宋" w:cs="仿宋"/>
                <w:spacing w:val="5"/>
                <w:sz w:val="20"/>
                <w:szCs w:val="20"/>
              </w:rPr>
              <w:t>特征年</w:t>
            </w:r>
          </w:p>
        </w:tc>
        <w:tc>
          <w:tcPr>
            <w:tcW w:w="1445" w:type="dxa"/>
            <w:tcBorders>
              <w:top w:val="single" w:color="000000" w:sz="10" w:space="0"/>
            </w:tcBorders>
            <w:vAlign w:val="top"/>
          </w:tcPr>
          <w:p w14:paraId="584FF91A">
            <w:pPr>
              <w:spacing w:before="35" w:line="206" w:lineRule="auto"/>
              <w:ind w:left="389"/>
              <w:rPr>
                <w:rFonts w:ascii="仿宋" w:hAnsi="仿宋" w:eastAsia="仿宋" w:cs="仿宋"/>
                <w:sz w:val="20"/>
                <w:szCs w:val="20"/>
              </w:rPr>
            </w:pPr>
            <w:r>
              <w:rPr>
                <w:rFonts w:ascii="仿宋" w:hAnsi="仿宋" w:eastAsia="仿宋" w:cs="仿宋"/>
                <w:spacing w:val="1"/>
                <w:sz w:val="20"/>
                <w:szCs w:val="20"/>
              </w:rPr>
              <w:t>2027</w:t>
            </w:r>
            <w:r>
              <w:rPr>
                <w:rFonts w:ascii="仿宋" w:hAnsi="仿宋" w:eastAsia="仿宋" w:cs="仿宋"/>
                <w:spacing w:val="-28"/>
                <w:sz w:val="20"/>
                <w:szCs w:val="20"/>
              </w:rPr>
              <w:t xml:space="preserve"> </w:t>
            </w:r>
            <w:r>
              <w:rPr>
                <w:rFonts w:ascii="仿宋" w:hAnsi="仿宋" w:eastAsia="仿宋" w:cs="仿宋"/>
                <w:spacing w:val="1"/>
                <w:sz w:val="20"/>
                <w:szCs w:val="20"/>
              </w:rPr>
              <w:t>年</w:t>
            </w:r>
          </w:p>
        </w:tc>
        <w:tc>
          <w:tcPr>
            <w:tcW w:w="1445" w:type="dxa"/>
            <w:tcBorders>
              <w:top w:val="single" w:color="000000" w:sz="10" w:space="0"/>
            </w:tcBorders>
            <w:vAlign w:val="top"/>
          </w:tcPr>
          <w:p w14:paraId="5046872C">
            <w:pPr>
              <w:spacing w:before="35" w:line="206" w:lineRule="auto"/>
              <w:ind w:left="388"/>
              <w:rPr>
                <w:rFonts w:ascii="仿宋" w:hAnsi="仿宋" w:eastAsia="仿宋" w:cs="仿宋"/>
                <w:sz w:val="20"/>
                <w:szCs w:val="20"/>
              </w:rPr>
            </w:pPr>
            <w:r>
              <w:rPr>
                <w:rFonts w:ascii="仿宋" w:hAnsi="仿宋" w:eastAsia="仿宋" w:cs="仿宋"/>
                <w:spacing w:val="1"/>
                <w:sz w:val="20"/>
                <w:szCs w:val="20"/>
              </w:rPr>
              <w:t>2031</w:t>
            </w:r>
            <w:r>
              <w:rPr>
                <w:rFonts w:ascii="仿宋" w:hAnsi="仿宋" w:eastAsia="仿宋" w:cs="仿宋"/>
                <w:spacing w:val="-28"/>
                <w:sz w:val="20"/>
                <w:szCs w:val="20"/>
              </w:rPr>
              <w:t xml:space="preserve"> </w:t>
            </w:r>
            <w:r>
              <w:rPr>
                <w:rFonts w:ascii="仿宋" w:hAnsi="仿宋" w:eastAsia="仿宋" w:cs="仿宋"/>
                <w:spacing w:val="1"/>
                <w:sz w:val="20"/>
                <w:szCs w:val="20"/>
              </w:rPr>
              <w:t>年</w:t>
            </w:r>
          </w:p>
        </w:tc>
        <w:tc>
          <w:tcPr>
            <w:tcW w:w="1436" w:type="dxa"/>
            <w:tcBorders>
              <w:top w:val="single" w:color="000000" w:sz="10" w:space="0"/>
              <w:right w:val="nil"/>
            </w:tcBorders>
            <w:vAlign w:val="top"/>
          </w:tcPr>
          <w:p w14:paraId="6FE587F5">
            <w:pPr>
              <w:spacing w:before="35" w:line="206" w:lineRule="auto"/>
              <w:ind w:left="386"/>
              <w:rPr>
                <w:rFonts w:ascii="仿宋" w:hAnsi="仿宋" w:eastAsia="仿宋" w:cs="仿宋"/>
                <w:sz w:val="20"/>
                <w:szCs w:val="20"/>
              </w:rPr>
            </w:pPr>
            <w:r>
              <w:rPr>
                <w:rFonts w:ascii="仿宋" w:hAnsi="仿宋" w:eastAsia="仿宋" w:cs="仿宋"/>
                <w:spacing w:val="2"/>
                <w:sz w:val="20"/>
                <w:szCs w:val="20"/>
              </w:rPr>
              <w:t>2036</w:t>
            </w:r>
            <w:r>
              <w:rPr>
                <w:rFonts w:ascii="仿宋" w:hAnsi="仿宋" w:eastAsia="仿宋" w:cs="仿宋"/>
                <w:spacing w:val="-31"/>
                <w:sz w:val="20"/>
                <w:szCs w:val="20"/>
              </w:rPr>
              <w:t xml:space="preserve"> </w:t>
            </w:r>
            <w:r>
              <w:rPr>
                <w:rFonts w:ascii="仿宋" w:hAnsi="仿宋" w:eastAsia="仿宋" w:cs="仿宋"/>
                <w:spacing w:val="2"/>
                <w:sz w:val="20"/>
                <w:szCs w:val="20"/>
              </w:rPr>
              <w:t>年</w:t>
            </w:r>
          </w:p>
        </w:tc>
      </w:tr>
      <w:tr w14:paraId="4C702B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9" w:hRule="atLeast"/>
        </w:trPr>
        <w:tc>
          <w:tcPr>
            <w:tcW w:w="3978" w:type="dxa"/>
            <w:tcBorders>
              <w:left w:val="nil"/>
              <w:bottom w:val="single" w:color="000000" w:sz="10" w:space="0"/>
            </w:tcBorders>
            <w:vAlign w:val="top"/>
          </w:tcPr>
          <w:p w14:paraId="0DA7CEA0">
            <w:pPr>
              <w:spacing w:before="45" w:line="216" w:lineRule="auto"/>
              <w:ind w:left="1789"/>
              <w:rPr>
                <w:rFonts w:ascii="仿宋" w:hAnsi="仿宋" w:eastAsia="仿宋" w:cs="仿宋"/>
                <w:sz w:val="20"/>
                <w:szCs w:val="20"/>
              </w:rPr>
            </w:pPr>
            <w:r>
              <w:rPr>
                <w:rFonts w:ascii="仿宋" w:hAnsi="仿宋" w:eastAsia="仿宋" w:cs="仿宋"/>
                <w:spacing w:val="3"/>
                <w:sz w:val="20"/>
                <w:szCs w:val="20"/>
              </w:rPr>
              <w:t>交通量</w:t>
            </w:r>
          </w:p>
        </w:tc>
        <w:tc>
          <w:tcPr>
            <w:tcW w:w="1445" w:type="dxa"/>
            <w:tcBorders>
              <w:bottom w:val="single" w:color="000000" w:sz="10" w:space="0"/>
            </w:tcBorders>
            <w:vAlign w:val="top"/>
          </w:tcPr>
          <w:p w14:paraId="71AEFE4E">
            <w:pPr>
              <w:spacing w:before="45" w:line="216" w:lineRule="auto"/>
              <w:ind w:left="571"/>
              <w:rPr>
                <w:rFonts w:ascii="仿宋" w:hAnsi="仿宋" w:eastAsia="仿宋" w:cs="仿宋"/>
                <w:sz w:val="20"/>
                <w:szCs w:val="20"/>
              </w:rPr>
            </w:pPr>
            <w:r>
              <w:rPr>
                <w:rFonts w:ascii="仿宋" w:hAnsi="仿宋" w:eastAsia="仿宋" w:cs="仿宋"/>
                <w:spacing w:val="1"/>
                <w:sz w:val="20"/>
                <w:szCs w:val="20"/>
              </w:rPr>
              <w:t>213</w:t>
            </w:r>
          </w:p>
        </w:tc>
        <w:tc>
          <w:tcPr>
            <w:tcW w:w="1445" w:type="dxa"/>
            <w:tcBorders>
              <w:bottom w:val="single" w:color="000000" w:sz="10" w:space="0"/>
            </w:tcBorders>
            <w:vAlign w:val="top"/>
          </w:tcPr>
          <w:p w14:paraId="6A45BD98">
            <w:pPr>
              <w:spacing w:before="45" w:line="216" w:lineRule="auto"/>
              <w:ind w:left="571"/>
              <w:rPr>
                <w:rFonts w:ascii="仿宋" w:hAnsi="仿宋" w:eastAsia="仿宋" w:cs="仿宋"/>
                <w:sz w:val="20"/>
                <w:szCs w:val="20"/>
              </w:rPr>
            </w:pPr>
            <w:r>
              <w:rPr>
                <w:rFonts w:ascii="仿宋" w:hAnsi="仿宋" w:eastAsia="仿宋" w:cs="仿宋"/>
                <w:spacing w:val="1"/>
                <w:sz w:val="20"/>
                <w:szCs w:val="20"/>
              </w:rPr>
              <w:t>268</w:t>
            </w:r>
          </w:p>
        </w:tc>
        <w:tc>
          <w:tcPr>
            <w:tcW w:w="1436" w:type="dxa"/>
            <w:tcBorders>
              <w:bottom w:val="single" w:color="000000" w:sz="10" w:space="0"/>
              <w:right w:val="nil"/>
            </w:tcBorders>
            <w:vAlign w:val="top"/>
          </w:tcPr>
          <w:p w14:paraId="25F266B4">
            <w:pPr>
              <w:spacing w:before="45" w:line="216" w:lineRule="auto"/>
              <w:ind w:left="572"/>
              <w:rPr>
                <w:rFonts w:ascii="仿宋" w:hAnsi="仿宋" w:eastAsia="仿宋" w:cs="仿宋"/>
                <w:sz w:val="20"/>
                <w:szCs w:val="20"/>
              </w:rPr>
            </w:pPr>
            <w:r>
              <w:rPr>
                <w:rFonts w:ascii="仿宋" w:hAnsi="仿宋" w:eastAsia="仿宋" w:cs="仿宋"/>
                <w:spacing w:val="1"/>
                <w:sz w:val="20"/>
                <w:szCs w:val="20"/>
              </w:rPr>
              <w:t>306</w:t>
            </w:r>
          </w:p>
        </w:tc>
      </w:tr>
    </w:tbl>
    <w:p w14:paraId="4C0A547E">
      <w:pPr>
        <w:spacing w:before="191" w:line="219" w:lineRule="auto"/>
        <w:ind w:left="2768"/>
        <w:rPr>
          <w:rFonts w:ascii="仿宋" w:hAnsi="仿宋" w:eastAsia="仿宋" w:cs="仿宋"/>
          <w:sz w:val="24"/>
          <w:szCs w:val="24"/>
        </w:rPr>
      </w:pPr>
      <w:r>
        <w:rPr>
          <w:rFonts w:ascii="仿宋" w:hAnsi="仿宋" w:eastAsia="仿宋" w:cs="仿宋"/>
          <w:b/>
          <w:bCs/>
          <w:spacing w:val="-4"/>
          <w:sz w:val="24"/>
          <w:szCs w:val="24"/>
        </w:rPr>
        <w:t>表</w:t>
      </w:r>
      <w:r>
        <w:rPr>
          <w:rFonts w:ascii="仿宋" w:hAnsi="仿宋" w:eastAsia="仿宋" w:cs="仿宋"/>
          <w:spacing w:val="-42"/>
          <w:sz w:val="24"/>
          <w:szCs w:val="24"/>
        </w:rPr>
        <w:t xml:space="preserve"> </w:t>
      </w:r>
      <w:r>
        <w:rPr>
          <w:rFonts w:ascii="仿宋" w:hAnsi="仿宋" w:eastAsia="仿宋" w:cs="仿宋"/>
          <w:b/>
          <w:bCs/>
          <w:spacing w:val="-4"/>
          <w:sz w:val="24"/>
          <w:szCs w:val="24"/>
        </w:rPr>
        <w:t>2.3-2</w:t>
      </w:r>
      <w:r>
        <w:rPr>
          <w:rFonts w:ascii="仿宋" w:hAnsi="仿宋" w:eastAsia="仿宋" w:cs="仿宋"/>
          <w:spacing w:val="-4"/>
          <w:sz w:val="24"/>
          <w:szCs w:val="24"/>
        </w:rPr>
        <w:t xml:space="preserve">  </w:t>
      </w:r>
      <w:r>
        <w:rPr>
          <w:rFonts w:ascii="仿宋" w:hAnsi="仿宋" w:eastAsia="仿宋" w:cs="仿宋"/>
          <w:b/>
          <w:bCs/>
          <w:spacing w:val="-4"/>
          <w:sz w:val="24"/>
          <w:szCs w:val="24"/>
        </w:rPr>
        <w:t>特征年车型比例</w:t>
      </w:r>
    </w:p>
    <w:p w14:paraId="30573AF7">
      <w:pPr>
        <w:spacing w:line="147" w:lineRule="exact"/>
      </w:pPr>
    </w:p>
    <w:tbl>
      <w:tblPr>
        <w:tblStyle w:val="5"/>
        <w:tblW w:w="8329"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44"/>
        <w:gridCol w:w="1085"/>
        <w:gridCol w:w="984"/>
        <w:gridCol w:w="832"/>
        <w:gridCol w:w="832"/>
        <w:gridCol w:w="984"/>
        <w:gridCol w:w="832"/>
        <w:gridCol w:w="1136"/>
      </w:tblGrid>
      <w:tr w14:paraId="38456E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4" w:hRule="atLeast"/>
        </w:trPr>
        <w:tc>
          <w:tcPr>
            <w:tcW w:w="1644" w:type="dxa"/>
            <w:tcBorders>
              <w:top w:val="single" w:color="000000" w:sz="10" w:space="0"/>
              <w:left w:val="nil"/>
            </w:tcBorders>
            <w:vAlign w:val="top"/>
          </w:tcPr>
          <w:p w14:paraId="3C39D6B4">
            <w:pPr>
              <w:spacing w:before="71" w:line="264" w:lineRule="auto"/>
              <w:ind w:left="32" w:right="159" w:firstLine="1049"/>
              <w:rPr>
                <w:rFonts w:ascii="仿宋" w:hAnsi="仿宋" w:eastAsia="仿宋" w:cs="仿宋"/>
                <w:sz w:val="20"/>
                <w:szCs w:val="20"/>
              </w:rPr>
            </w:pPr>
            <w:r>
              <w:rPr>
                <w:rFonts w:ascii="仿宋" w:hAnsi="仿宋" w:eastAsia="仿宋" w:cs="仿宋"/>
                <w:spacing w:val="-1"/>
                <w:sz w:val="20"/>
                <w:szCs w:val="20"/>
              </w:rPr>
              <w:t>车型年份</w:t>
            </w:r>
          </w:p>
        </w:tc>
        <w:tc>
          <w:tcPr>
            <w:tcW w:w="1085" w:type="dxa"/>
            <w:tcBorders>
              <w:top w:val="single" w:color="000000" w:sz="10" w:space="0"/>
            </w:tcBorders>
            <w:vAlign w:val="top"/>
          </w:tcPr>
          <w:p w14:paraId="24481470">
            <w:pPr>
              <w:spacing w:before="227" w:line="232" w:lineRule="auto"/>
              <w:ind w:left="343"/>
              <w:rPr>
                <w:rFonts w:ascii="仿宋" w:hAnsi="仿宋" w:eastAsia="仿宋" w:cs="仿宋"/>
                <w:sz w:val="20"/>
                <w:szCs w:val="20"/>
              </w:rPr>
            </w:pPr>
            <w:r>
              <w:rPr>
                <w:rFonts w:ascii="仿宋" w:hAnsi="仿宋" w:eastAsia="仿宋" w:cs="仿宋"/>
                <w:spacing w:val="2"/>
                <w:sz w:val="20"/>
                <w:szCs w:val="20"/>
              </w:rPr>
              <w:t>小货</w:t>
            </w:r>
          </w:p>
        </w:tc>
        <w:tc>
          <w:tcPr>
            <w:tcW w:w="984" w:type="dxa"/>
            <w:tcBorders>
              <w:top w:val="single" w:color="000000" w:sz="10" w:space="0"/>
            </w:tcBorders>
            <w:vAlign w:val="top"/>
          </w:tcPr>
          <w:p w14:paraId="7B1037A7">
            <w:pPr>
              <w:spacing w:before="227" w:line="231" w:lineRule="auto"/>
              <w:ind w:left="319"/>
              <w:rPr>
                <w:rFonts w:ascii="仿宋" w:hAnsi="仿宋" w:eastAsia="仿宋" w:cs="仿宋"/>
                <w:sz w:val="20"/>
                <w:szCs w:val="20"/>
              </w:rPr>
            </w:pPr>
            <w:r>
              <w:rPr>
                <w:rFonts w:ascii="仿宋" w:hAnsi="仿宋" w:eastAsia="仿宋" w:cs="仿宋"/>
                <w:spacing w:val="-12"/>
                <w:sz w:val="20"/>
                <w:szCs w:val="20"/>
              </w:rPr>
              <w:t>中货</w:t>
            </w:r>
          </w:p>
        </w:tc>
        <w:tc>
          <w:tcPr>
            <w:tcW w:w="832" w:type="dxa"/>
            <w:tcBorders>
              <w:top w:val="single" w:color="000000" w:sz="10" w:space="0"/>
            </w:tcBorders>
            <w:vAlign w:val="top"/>
          </w:tcPr>
          <w:p w14:paraId="5AB6C367">
            <w:pPr>
              <w:spacing w:before="227" w:line="232" w:lineRule="auto"/>
              <w:ind w:left="220"/>
              <w:rPr>
                <w:rFonts w:ascii="仿宋" w:hAnsi="仿宋" w:eastAsia="仿宋" w:cs="仿宋"/>
                <w:sz w:val="20"/>
                <w:szCs w:val="20"/>
              </w:rPr>
            </w:pPr>
            <w:r>
              <w:rPr>
                <w:rFonts w:ascii="仿宋" w:hAnsi="仿宋" w:eastAsia="仿宋" w:cs="仿宋"/>
                <w:sz w:val="20"/>
                <w:szCs w:val="20"/>
              </w:rPr>
              <w:t>大货</w:t>
            </w:r>
          </w:p>
        </w:tc>
        <w:tc>
          <w:tcPr>
            <w:tcW w:w="832" w:type="dxa"/>
            <w:tcBorders>
              <w:top w:val="single" w:color="000000" w:sz="10" w:space="0"/>
            </w:tcBorders>
            <w:vAlign w:val="top"/>
          </w:tcPr>
          <w:p w14:paraId="55585AAA">
            <w:pPr>
              <w:spacing w:before="226" w:line="234" w:lineRule="auto"/>
              <w:ind w:left="215"/>
              <w:rPr>
                <w:rFonts w:ascii="仿宋" w:hAnsi="仿宋" w:eastAsia="仿宋" w:cs="仿宋"/>
                <w:sz w:val="20"/>
                <w:szCs w:val="20"/>
              </w:rPr>
            </w:pPr>
            <w:r>
              <w:rPr>
                <w:rFonts w:ascii="仿宋" w:hAnsi="仿宋" w:eastAsia="仿宋" w:cs="仿宋"/>
                <w:spacing w:val="2"/>
                <w:sz w:val="20"/>
                <w:szCs w:val="20"/>
              </w:rPr>
              <w:t>拖挂</w:t>
            </w:r>
          </w:p>
        </w:tc>
        <w:tc>
          <w:tcPr>
            <w:tcW w:w="984" w:type="dxa"/>
            <w:tcBorders>
              <w:top w:val="single" w:color="000000" w:sz="10" w:space="0"/>
            </w:tcBorders>
            <w:vAlign w:val="top"/>
          </w:tcPr>
          <w:p w14:paraId="20A11776">
            <w:pPr>
              <w:spacing w:before="226" w:line="232" w:lineRule="auto"/>
              <w:ind w:left="294"/>
              <w:rPr>
                <w:rFonts w:ascii="仿宋" w:hAnsi="仿宋" w:eastAsia="仿宋" w:cs="仿宋"/>
                <w:sz w:val="20"/>
                <w:szCs w:val="20"/>
              </w:rPr>
            </w:pPr>
            <w:r>
              <w:rPr>
                <w:rFonts w:ascii="仿宋" w:hAnsi="仿宋" w:eastAsia="仿宋" w:cs="仿宋"/>
                <w:spacing w:val="2"/>
                <w:sz w:val="20"/>
                <w:szCs w:val="20"/>
              </w:rPr>
              <w:t>小客</w:t>
            </w:r>
          </w:p>
        </w:tc>
        <w:tc>
          <w:tcPr>
            <w:tcW w:w="832" w:type="dxa"/>
            <w:tcBorders>
              <w:top w:val="single" w:color="000000" w:sz="10" w:space="0"/>
            </w:tcBorders>
            <w:vAlign w:val="top"/>
          </w:tcPr>
          <w:p w14:paraId="189ED959">
            <w:pPr>
              <w:spacing w:before="226" w:line="232" w:lineRule="auto"/>
              <w:ind w:left="219"/>
              <w:rPr>
                <w:rFonts w:ascii="仿宋" w:hAnsi="仿宋" w:eastAsia="仿宋" w:cs="仿宋"/>
                <w:sz w:val="20"/>
                <w:szCs w:val="20"/>
              </w:rPr>
            </w:pPr>
            <w:r>
              <w:rPr>
                <w:rFonts w:ascii="仿宋" w:hAnsi="仿宋" w:eastAsia="仿宋" w:cs="仿宋"/>
                <w:sz w:val="20"/>
                <w:szCs w:val="20"/>
              </w:rPr>
              <w:t>大客</w:t>
            </w:r>
          </w:p>
        </w:tc>
        <w:tc>
          <w:tcPr>
            <w:tcW w:w="1136" w:type="dxa"/>
            <w:tcBorders>
              <w:top w:val="single" w:color="000000" w:sz="10" w:space="0"/>
              <w:right w:val="nil"/>
            </w:tcBorders>
            <w:vAlign w:val="top"/>
          </w:tcPr>
          <w:p w14:paraId="43929629">
            <w:pPr>
              <w:spacing w:before="227" w:line="231" w:lineRule="auto"/>
              <w:ind w:left="375"/>
              <w:rPr>
                <w:rFonts w:ascii="仿宋" w:hAnsi="仿宋" w:eastAsia="仿宋" w:cs="仿宋"/>
                <w:sz w:val="20"/>
                <w:szCs w:val="20"/>
              </w:rPr>
            </w:pPr>
            <w:r>
              <w:rPr>
                <w:rFonts w:ascii="仿宋" w:hAnsi="仿宋" w:eastAsia="仿宋" w:cs="仿宋"/>
                <w:spacing w:val="-1"/>
                <w:sz w:val="20"/>
                <w:szCs w:val="20"/>
              </w:rPr>
              <w:t>合计</w:t>
            </w:r>
          </w:p>
        </w:tc>
      </w:tr>
      <w:tr w14:paraId="5DB2C9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trPr>
        <w:tc>
          <w:tcPr>
            <w:tcW w:w="1644" w:type="dxa"/>
            <w:tcBorders>
              <w:left w:val="nil"/>
            </w:tcBorders>
            <w:vAlign w:val="top"/>
          </w:tcPr>
          <w:p w14:paraId="02F675A9">
            <w:pPr>
              <w:spacing w:before="77" w:line="235" w:lineRule="auto"/>
              <w:ind w:left="622"/>
              <w:rPr>
                <w:rFonts w:ascii="仿宋" w:hAnsi="仿宋" w:eastAsia="仿宋" w:cs="仿宋"/>
                <w:sz w:val="20"/>
                <w:szCs w:val="20"/>
              </w:rPr>
            </w:pPr>
            <w:r>
              <w:rPr>
                <w:rFonts w:ascii="仿宋" w:hAnsi="仿宋" w:eastAsia="仿宋" w:cs="仿宋"/>
                <w:spacing w:val="2"/>
                <w:sz w:val="20"/>
                <w:szCs w:val="20"/>
              </w:rPr>
              <w:t>2027</w:t>
            </w:r>
          </w:p>
        </w:tc>
        <w:tc>
          <w:tcPr>
            <w:tcW w:w="1085" w:type="dxa"/>
            <w:vAlign w:val="top"/>
          </w:tcPr>
          <w:p w14:paraId="71BA2F15">
            <w:pPr>
              <w:spacing w:before="77" w:line="235" w:lineRule="auto"/>
              <w:ind w:left="246"/>
              <w:rPr>
                <w:rFonts w:ascii="仿宋" w:hAnsi="仿宋" w:eastAsia="仿宋" w:cs="仿宋"/>
                <w:sz w:val="20"/>
                <w:szCs w:val="20"/>
              </w:rPr>
            </w:pPr>
            <w:r>
              <w:rPr>
                <w:rFonts w:ascii="仿宋" w:hAnsi="仿宋" w:eastAsia="仿宋" w:cs="仿宋"/>
                <w:spacing w:val="1"/>
                <w:sz w:val="20"/>
                <w:szCs w:val="20"/>
              </w:rPr>
              <w:t>18.18%</w:t>
            </w:r>
          </w:p>
        </w:tc>
        <w:tc>
          <w:tcPr>
            <w:tcW w:w="984" w:type="dxa"/>
            <w:vAlign w:val="top"/>
          </w:tcPr>
          <w:p w14:paraId="56E7F2E0">
            <w:pPr>
              <w:spacing w:before="77" w:line="235" w:lineRule="auto"/>
              <w:ind w:left="198"/>
              <w:rPr>
                <w:rFonts w:ascii="仿宋" w:hAnsi="仿宋" w:eastAsia="仿宋" w:cs="仿宋"/>
                <w:sz w:val="20"/>
                <w:szCs w:val="20"/>
              </w:rPr>
            </w:pPr>
            <w:r>
              <w:rPr>
                <w:rFonts w:ascii="仿宋" w:hAnsi="仿宋" w:eastAsia="仿宋" w:cs="仿宋"/>
                <w:spacing w:val="1"/>
                <w:sz w:val="20"/>
                <w:szCs w:val="20"/>
              </w:rPr>
              <w:t>11.69%</w:t>
            </w:r>
          </w:p>
        </w:tc>
        <w:tc>
          <w:tcPr>
            <w:tcW w:w="832" w:type="dxa"/>
            <w:vAlign w:val="top"/>
          </w:tcPr>
          <w:p w14:paraId="7C30AFC9">
            <w:pPr>
              <w:spacing w:before="77" w:line="235" w:lineRule="auto"/>
              <w:ind w:left="160"/>
              <w:rPr>
                <w:rFonts w:ascii="仿宋" w:hAnsi="仿宋" w:eastAsia="仿宋" w:cs="仿宋"/>
                <w:sz w:val="20"/>
                <w:szCs w:val="20"/>
              </w:rPr>
            </w:pPr>
            <w:r>
              <w:rPr>
                <w:rFonts w:ascii="仿宋" w:hAnsi="仿宋" w:eastAsia="仿宋" w:cs="仿宋"/>
                <w:spacing w:val="3"/>
                <w:sz w:val="20"/>
                <w:szCs w:val="20"/>
              </w:rPr>
              <w:t>0.00%</w:t>
            </w:r>
          </w:p>
        </w:tc>
        <w:tc>
          <w:tcPr>
            <w:tcW w:w="832" w:type="dxa"/>
            <w:vAlign w:val="top"/>
          </w:tcPr>
          <w:p w14:paraId="431B009B">
            <w:pPr>
              <w:spacing w:before="77" w:line="235" w:lineRule="auto"/>
              <w:ind w:left="158"/>
              <w:rPr>
                <w:rFonts w:ascii="仿宋" w:hAnsi="仿宋" w:eastAsia="仿宋" w:cs="仿宋"/>
                <w:sz w:val="20"/>
                <w:szCs w:val="20"/>
              </w:rPr>
            </w:pPr>
            <w:r>
              <w:rPr>
                <w:rFonts w:ascii="仿宋" w:hAnsi="仿宋" w:eastAsia="仿宋" w:cs="仿宋"/>
                <w:spacing w:val="3"/>
                <w:sz w:val="20"/>
                <w:szCs w:val="20"/>
              </w:rPr>
              <w:t>0.00%</w:t>
            </w:r>
          </w:p>
        </w:tc>
        <w:tc>
          <w:tcPr>
            <w:tcW w:w="984" w:type="dxa"/>
            <w:vAlign w:val="top"/>
          </w:tcPr>
          <w:p w14:paraId="2B852BF4">
            <w:pPr>
              <w:spacing w:before="77" w:line="235" w:lineRule="auto"/>
              <w:ind w:left="187"/>
              <w:rPr>
                <w:rFonts w:ascii="仿宋" w:hAnsi="仿宋" w:eastAsia="仿宋" w:cs="仿宋"/>
                <w:sz w:val="20"/>
                <w:szCs w:val="20"/>
              </w:rPr>
            </w:pPr>
            <w:r>
              <w:rPr>
                <w:rFonts w:ascii="仿宋" w:hAnsi="仿宋" w:eastAsia="仿宋" w:cs="仿宋"/>
                <w:spacing w:val="2"/>
                <w:sz w:val="20"/>
                <w:szCs w:val="20"/>
              </w:rPr>
              <w:t>70.13%</w:t>
            </w:r>
          </w:p>
        </w:tc>
        <w:tc>
          <w:tcPr>
            <w:tcW w:w="832" w:type="dxa"/>
            <w:vAlign w:val="top"/>
          </w:tcPr>
          <w:p w14:paraId="3670F0E4">
            <w:pPr>
              <w:spacing w:before="77" w:line="235" w:lineRule="auto"/>
              <w:ind w:left="159"/>
              <w:rPr>
                <w:rFonts w:ascii="仿宋" w:hAnsi="仿宋" w:eastAsia="仿宋" w:cs="仿宋"/>
                <w:sz w:val="20"/>
                <w:szCs w:val="20"/>
              </w:rPr>
            </w:pPr>
            <w:r>
              <w:rPr>
                <w:rFonts w:ascii="仿宋" w:hAnsi="仿宋" w:eastAsia="仿宋" w:cs="仿宋"/>
                <w:spacing w:val="3"/>
                <w:sz w:val="20"/>
                <w:szCs w:val="20"/>
              </w:rPr>
              <w:t>0.00%</w:t>
            </w:r>
          </w:p>
        </w:tc>
        <w:tc>
          <w:tcPr>
            <w:tcW w:w="1136" w:type="dxa"/>
            <w:tcBorders>
              <w:right w:val="nil"/>
            </w:tcBorders>
            <w:vAlign w:val="top"/>
          </w:tcPr>
          <w:p w14:paraId="007693E3">
            <w:pPr>
              <w:spacing w:before="77" w:line="235" w:lineRule="auto"/>
              <w:ind w:left="219"/>
              <w:rPr>
                <w:rFonts w:ascii="仿宋" w:hAnsi="仿宋" w:eastAsia="仿宋" w:cs="仿宋"/>
                <w:sz w:val="20"/>
                <w:szCs w:val="20"/>
              </w:rPr>
            </w:pPr>
            <w:r>
              <w:rPr>
                <w:rFonts w:ascii="仿宋" w:hAnsi="仿宋" w:eastAsia="仿宋" w:cs="仿宋"/>
                <w:spacing w:val="1"/>
                <w:sz w:val="20"/>
                <w:szCs w:val="20"/>
              </w:rPr>
              <w:t>100.00%</w:t>
            </w:r>
          </w:p>
        </w:tc>
      </w:tr>
      <w:tr w14:paraId="505CF3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trPr>
        <w:tc>
          <w:tcPr>
            <w:tcW w:w="1644" w:type="dxa"/>
            <w:tcBorders>
              <w:left w:val="nil"/>
            </w:tcBorders>
            <w:vAlign w:val="top"/>
          </w:tcPr>
          <w:p w14:paraId="4B01FD64">
            <w:pPr>
              <w:spacing w:before="80" w:line="232" w:lineRule="auto"/>
              <w:ind w:left="622"/>
              <w:rPr>
                <w:rFonts w:ascii="仿宋" w:hAnsi="仿宋" w:eastAsia="仿宋" w:cs="仿宋"/>
                <w:sz w:val="20"/>
                <w:szCs w:val="20"/>
              </w:rPr>
            </w:pPr>
            <w:r>
              <w:rPr>
                <w:rFonts w:ascii="仿宋" w:hAnsi="仿宋" w:eastAsia="仿宋" w:cs="仿宋"/>
                <w:spacing w:val="2"/>
                <w:sz w:val="20"/>
                <w:szCs w:val="20"/>
              </w:rPr>
              <w:t>2031</w:t>
            </w:r>
          </w:p>
        </w:tc>
        <w:tc>
          <w:tcPr>
            <w:tcW w:w="1085" w:type="dxa"/>
            <w:vAlign w:val="top"/>
          </w:tcPr>
          <w:p w14:paraId="4B741B9A">
            <w:pPr>
              <w:spacing w:before="80" w:line="232" w:lineRule="auto"/>
              <w:ind w:left="246"/>
              <w:rPr>
                <w:rFonts w:ascii="仿宋" w:hAnsi="仿宋" w:eastAsia="仿宋" w:cs="仿宋"/>
                <w:sz w:val="20"/>
                <w:szCs w:val="20"/>
              </w:rPr>
            </w:pPr>
            <w:r>
              <w:rPr>
                <w:rFonts w:ascii="仿宋" w:hAnsi="仿宋" w:eastAsia="仿宋" w:cs="仿宋"/>
                <w:spacing w:val="1"/>
                <w:sz w:val="20"/>
                <w:szCs w:val="20"/>
              </w:rPr>
              <w:t>18.68%</w:t>
            </w:r>
          </w:p>
        </w:tc>
        <w:tc>
          <w:tcPr>
            <w:tcW w:w="984" w:type="dxa"/>
            <w:vAlign w:val="top"/>
          </w:tcPr>
          <w:p w14:paraId="1369846C">
            <w:pPr>
              <w:spacing w:before="80" w:line="232" w:lineRule="auto"/>
              <w:ind w:left="198"/>
              <w:rPr>
                <w:rFonts w:ascii="仿宋" w:hAnsi="仿宋" w:eastAsia="仿宋" w:cs="仿宋"/>
                <w:sz w:val="20"/>
                <w:szCs w:val="20"/>
              </w:rPr>
            </w:pPr>
            <w:r>
              <w:rPr>
                <w:rFonts w:ascii="仿宋" w:hAnsi="仿宋" w:eastAsia="仿宋" w:cs="仿宋"/>
                <w:spacing w:val="1"/>
                <w:sz w:val="20"/>
                <w:szCs w:val="20"/>
              </w:rPr>
              <w:t>11.99%</w:t>
            </w:r>
          </w:p>
        </w:tc>
        <w:tc>
          <w:tcPr>
            <w:tcW w:w="832" w:type="dxa"/>
            <w:vAlign w:val="top"/>
          </w:tcPr>
          <w:p w14:paraId="0D65D242">
            <w:pPr>
              <w:spacing w:before="80" w:line="232" w:lineRule="auto"/>
              <w:ind w:left="160"/>
              <w:rPr>
                <w:rFonts w:ascii="仿宋" w:hAnsi="仿宋" w:eastAsia="仿宋" w:cs="仿宋"/>
                <w:sz w:val="20"/>
                <w:szCs w:val="20"/>
              </w:rPr>
            </w:pPr>
            <w:r>
              <w:rPr>
                <w:rFonts w:ascii="仿宋" w:hAnsi="仿宋" w:eastAsia="仿宋" w:cs="仿宋"/>
                <w:spacing w:val="3"/>
                <w:sz w:val="20"/>
                <w:szCs w:val="20"/>
              </w:rPr>
              <w:t>0.00%</w:t>
            </w:r>
          </w:p>
        </w:tc>
        <w:tc>
          <w:tcPr>
            <w:tcW w:w="832" w:type="dxa"/>
            <w:vAlign w:val="top"/>
          </w:tcPr>
          <w:p w14:paraId="43005A02">
            <w:pPr>
              <w:spacing w:before="80" w:line="232" w:lineRule="auto"/>
              <w:ind w:left="158"/>
              <w:rPr>
                <w:rFonts w:ascii="仿宋" w:hAnsi="仿宋" w:eastAsia="仿宋" w:cs="仿宋"/>
                <w:sz w:val="20"/>
                <w:szCs w:val="20"/>
              </w:rPr>
            </w:pPr>
            <w:r>
              <w:rPr>
                <w:rFonts w:ascii="仿宋" w:hAnsi="仿宋" w:eastAsia="仿宋" w:cs="仿宋"/>
                <w:spacing w:val="3"/>
                <w:sz w:val="20"/>
                <w:szCs w:val="20"/>
              </w:rPr>
              <w:t>0.00%</w:t>
            </w:r>
          </w:p>
        </w:tc>
        <w:tc>
          <w:tcPr>
            <w:tcW w:w="984" w:type="dxa"/>
            <w:vAlign w:val="top"/>
          </w:tcPr>
          <w:p w14:paraId="7BF6E309">
            <w:pPr>
              <w:spacing w:before="80" w:line="232" w:lineRule="auto"/>
              <w:ind w:left="183"/>
              <w:rPr>
                <w:rFonts w:ascii="仿宋" w:hAnsi="仿宋" w:eastAsia="仿宋" w:cs="仿宋"/>
                <w:sz w:val="20"/>
                <w:szCs w:val="20"/>
              </w:rPr>
            </w:pPr>
            <w:r>
              <w:rPr>
                <w:rFonts w:ascii="仿宋" w:hAnsi="仿宋" w:eastAsia="仿宋" w:cs="仿宋"/>
                <w:spacing w:val="3"/>
                <w:sz w:val="20"/>
                <w:szCs w:val="20"/>
              </w:rPr>
              <w:t>69.33%</w:t>
            </w:r>
          </w:p>
        </w:tc>
        <w:tc>
          <w:tcPr>
            <w:tcW w:w="832" w:type="dxa"/>
            <w:vAlign w:val="top"/>
          </w:tcPr>
          <w:p w14:paraId="1681FA16">
            <w:pPr>
              <w:spacing w:before="80" w:line="232" w:lineRule="auto"/>
              <w:ind w:left="159"/>
              <w:rPr>
                <w:rFonts w:ascii="仿宋" w:hAnsi="仿宋" w:eastAsia="仿宋" w:cs="仿宋"/>
                <w:sz w:val="20"/>
                <w:szCs w:val="20"/>
              </w:rPr>
            </w:pPr>
            <w:r>
              <w:rPr>
                <w:rFonts w:ascii="仿宋" w:hAnsi="仿宋" w:eastAsia="仿宋" w:cs="仿宋"/>
                <w:spacing w:val="3"/>
                <w:sz w:val="20"/>
                <w:szCs w:val="20"/>
              </w:rPr>
              <w:t>0.00%</w:t>
            </w:r>
          </w:p>
        </w:tc>
        <w:tc>
          <w:tcPr>
            <w:tcW w:w="1136" w:type="dxa"/>
            <w:tcBorders>
              <w:right w:val="nil"/>
            </w:tcBorders>
            <w:vAlign w:val="top"/>
          </w:tcPr>
          <w:p w14:paraId="01AEC3F5">
            <w:pPr>
              <w:spacing w:before="80" w:line="232" w:lineRule="auto"/>
              <w:ind w:left="219"/>
              <w:rPr>
                <w:rFonts w:ascii="仿宋" w:hAnsi="仿宋" w:eastAsia="仿宋" w:cs="仿宋"/>
                <w:sz w:val="20"/>
                <w:szCs w:val="20"/>
              </w:rPr>
            </w:pPr>
            <w:r>
              <w:rPr>
                <w:rFonts w:ascii="仿宋" w:hAnsi="仿宋" w:eastAsia="仿宋" w:cs="仿宋"/>
                <w:spacing w:val="1"/>
                <w:sz w:val="20"/>
                <w:szCs w:val="20"/>
              </w:rPr>
              <w:t>100.00%</w:t>
            </w:r>
          </w:p>
        </w:tc>
      </w:tr>
      <w:tr w14:paraId="6696AC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1644" w:type="dxa"/>
            <w:tcBorders>
              <w:left w:val="nil"/>
              <w:bottom w:val="single" w:color="000000" w:sz="10" w:space="0"/>
            </w:tcBorders>
            <w:vAlign w:val="top"/>
          </w:tcPr>
          <w:p w14:paraId="1EDFBC19">
            <w:pPr>
              <w:spacing w:before="86" w:line="268" w:lineRule="exact"/>
              <w:ind w:left="622"/>
              <w:rPr>
                <w:rFonts w:ascii="仿宋" w:hAnsi="仿宋" w:eastAsia="仿宋" w:cs="仿宋"/>
                <w:sz w:val="20"/>
                <w:szCs w:val="20"/>
              </w:rPr>
            </w:pPr>
            <w:r>
              <w:rPr>
                <w:rFonts w:ascii="仿宋" w:hAnsi="仿宋" w:eastAsia="仿宋" w:cs="仿宋"/>
                <w:spacing w:val="2"/>
                <w:position w:val="1"/>
                <w:sz w:val="20"/>
                <w:szCs w:val="20"/>
              </w:rPr>
              <w:t>2036</w:t>
            </w:r>
          </w:p>
        </w:tc>
        <w:tc>
          <w:tcPr>
            <w:tcW w:w="1085" w:type="dxa"/>
            <w:tcBorders>
              <w:bottom w:val="single" w:color="000000" w:sz="10" w:space="0"/>
            </w:tcBorders>
            <w:vAlign w:val="top"/>
          </w:tcPr>
          <w:p w14:paraId="2B34E963">
            <w:pPr>
              <w:spacing w:before="86" w:line="268" w:lineRule="exact"/>
              <w:ind w:left="246"/>
              <w:rPr>
                <w:rFonts w:ascii="仿宋" w:hAnsi="仿宋" w:eastAsia="仿宋" w:cs="仿宋"/>
                <w:sz w:val="20"/>
                <w:szCs w:val="20"/>
              </w:rPr>
            </w:pPr>
            <w:r>
              <w:rPr>
                <w:rFonts w:ascii="仿宋" w:hAnsi="仿宋" w:eastAsia="仿宋" w:cs="仿宋"/>
                <w:spacing w:val="1"/>
                <w:position w:val="1"/>
                <w:sz w:val="20"/>
                <w:szCs w:val="20"/>
              </w:rPr>
              <w:t>19.13%</w:t>
            </w:r>
          </w:p>
        </w:tc>
        <w:tc>
          <w:tcPr>
            <w:tcW w:w="984" w:type="dxa"/>
            <w:tcBorders>
              <w:bottom w:val="single" w:color="000000" w:sz="10" w:space="0"/>
            </w:tcBorders>
            <w:vAlign w:val="top"/>
          </w:tcPr>
          <w:p w14:paraId="0978488E">
            <w:pPr>
              <w:spacing w:before="86" w:line="268" w:lineRule="exact"/>
              <w:ind w:left="198"/>
              <w:rPr>
                <w:rFonts w:ascii="仿宋" w:hAnsi="仿宋" w:eastAsia="仿宋" w:cs="仿宋"/>
                <w:sz w:val="20"/>
                <w:szCs w:val="20"/>
              </w:rPr>
            </w:pPr>
            <w:r>
              <w:rPr>
                <w:rFonts w:ascii="仿宋" w:hAnsi="仿宋" w:eastAsia="仿宋" w:cs="仿宋"/>
                <w:spacing w:val="1"/>
                <w:position w:val="1"/>
                <w:sz w:val="20"/>
                <w:szCs w:val="20"/>
              </w:rPr>
              <w:t>11.59%</w:t>
            </w:r>
          </w:p>
        </w:tc>
        <w:tc>
          <w:tcPr>
            <w:tcW w:w="832" w:type="dxa"/>
            <w:tcBorders>
              <w:bottom w:val="single" w:color="000000" w:sz="10" w:space="0"/>
            </w:tcBorders>
            <w:vAlign w:val="top"/>
          </w:tcPr>
          <w:p w14:paraId="1C493BF7">
            <w:pPr>
              <w:spacing w:before="86" w:line="268" w:lineRule="exact"/>
              <w:ind w:left="160"/>
              <w:rPr>
                <w:rFonts w:ascii="仿宋" w:hAnsi="仿宋" w:eastAsia="仿宋" w:cs="仿宋"/>
                <w:sz w:val="20"/>
                <w:szCs w:val="20"/>
              </w:rPr>
            </w:pPr>
            <w:r>
              <w:rPr>
                <w:rFonts w:ascii="仿宋" w:hAnsi="仿宋" w:eastAsia="仿宋" w:cs="仿宋"/>
                <w:spacing w:val="3"/>
                <w:position w:val="1"/>
                <w:sz w:val="20"/>
                <w:szCs w:val="20"/>
              </w:rPr>
              <w:t>0.00%</w:t>
            </w:r>
          </w:p>
        </w:tc>
        <w:tc>
          <w:tcPr>
            <w:tcW w:w="832" w:type="dxa"/>
            <w:tcBorders>
              <w:bottom w:val="single" w:color="000000" w:sz="10" w:space="0"/>
            </w:tcBorders>
            <w:vAlign w:val="top"/>
          </w:tcPr>
          <w:p w14:paraId="4376F43D">
            <w:pPr>
              <w:spacing w:before="86" w:line="268" w:lineRule="exact"/>
              <w:ind w:left="158"/>
              <w:rPr>
                <w:rFonts w:ascii="仿宋" w:hAnsi="仿宋" w:eastAsia="仿宋" w:cs="仿宋"/>
                <w:sz w:val="20"/>
                <w:szCs w:val="20"/>
              </w:rPr>
            </w:pPr>
            <w:r>
              <w:rPr>
                <w:rFonts w:ascii="仿宋" w:hAnsi="仿宋" w:eastAsia="仿宋" w:cs="仿宋"/>
                <w:spacing w:val="3"/>
                <w:position w:val="1"/>
                <w:sz w:val="20"/>
                <w:szCs w:val="20"/>
              </w:rPr>
              <w:t>0.00%</w:t>
            </w:r>
          </w:p>
        </w:tc>
        <w:tc>
          <w:tcPr>
            <w:tcW w:w="984" w:type="dxa"/>
            <w:tcBorders>
              <w:bottom w:val="single" w:color="000000" w:sz="10" w:space="0"/>
            </w:tcBorders>
            <w:vAlign w:val="top"/>
          </w:tcPr>
          <w:p w14:paraId="52221D17">
            <w:pPr>
              <w:spacing w:before="86" w:line="268" w:lineRule="exact"/>
              <w:ind w:left="183"/>
              <w:rPr>
                <w:rFonts w:ascii="仿宋" w:hAnsi="仿宋" w:eastAsia="仿宋" w:cs="仿宋"/>
                <w:sz w:val="20"/>
                <w:szCs w:val="20"/>
              </w:rPr>
            </w:pPr>
            <w:r>
              <w:rPr>
                <w:rFonts w:ascii="仿宋" w:hAnsi="仿宋" w:eastAsia="仿宋" w:cs="仿宋"/>
                <w:spacing w:val="3"/>
                <w:position w:val="1"/>
                <w:sz w:val="20"/>
                <w:szCs w:val="20"/>
              </w:rPr>
              <w:t>69.28%</w:t>
            </w:r>
          </w:p>
        </w:tc>
        <w:tc>
          <w:tcPr>
            <w:tcW w:w="832" w:type="dxa"/>
            <w:tcBorders>
              <w:bottom w:val="single" w:color="000000" w:sz="10" w:space="0"/>
            </w:tcBorders>
            <w:vAlign w:val="top"/>
          </w:tcPr>
          <w:p w14:paraId="7B5FC37E">
            <w:pPr>
              <w:spacing w:before="86" w:line="268" w:lineRule="exact"/>
              <w:ind w:left="159"/>
              <w:rPr>
                <w:rFonts w:ascii="仿宋" w:hAnsi="仿宋" w:eastAsia="仿宋" w:cs="仿宋"/>
                <w:sz w:val="20"/>
                <w:szCs w:val="20"/>
              </w:rPr>
            </w:pPr>
            <w:r>
              <w:rPr>
                <w:rFonts w:ascii="仿宋" w:hAnsi="仿宋" w:eastAsia="仿宋" w:cs="仿宋"/>
                <w:spacing w:val="3"/>
                <w:position w:val="1"/>
                <w:sz w:val="20"/>
                <w:szCs w:val="20"/>
              </w:rPr>
              <w:t>0.00%</w:t>
            </w:r>
          </w:p>
        </w:tc>
        <w:tc>
          <w:tcPr>
            <w:tcW w:w="1136" w:type="dxa"/>
            <w:tcBorders>
              <w:bottom w:val="single" w:color="000000" w:sz="10" w:space="0"/>
              <w:right w:val="nil"/>
            </w:tcBorders>
            <w:vAlign w:val="top"/>
          </w:tcPr>
          <w:p w14:paraId="62B5D574">
            <w:pPr>
              <w:spacing w:before="86" w:line="268" w:lineRule="exact"/>
              <w:ind w:left="219"/>
              <w:rPr>
                <w:rFonts w:ascii="仿宋" w:hAnsi="仿宋" w:eastAsia="仿宋" w:cs="仿宋"/>
                <w:sz w:val="20"/>
                <w:szCs w:val="20"/>
              </w:rPr>
            </w:pPr>
            <w:r>
              <w:rPr>
                <w:rFonts w:ascii="仿宋" w:hAnsi="仿宋" w:eastAsia="仿宋" w:cs="仿宋"/>
                <w:spacing w:val="1"/>
                <w:position w:val="1"/>
                <w:sz w:val="20"/>
                <w:szCs w:val="20"/>
              </w:rPr>
              <w:t>100.00%</w:t>
            </w:r>
          </w:p>
        </w:tc>
      </w:tr>
    </w:tbl>
    <w:p w14:paraId="1EA04EDA">
      <w:pPr>
        <w:pStyle w:val="2"/>
        <w:rPr>
          <w:sz w:val="21"/>
        </w:rPr>
      </w:pPr>
    </w:p>
    <w:p w14:paraId="20293959">
      <w:pPr>
        <w:rPr>
          <w:sz w:val="21"/>
          <w:szCs w:val="21"/>
        </w:rPr>
        <w:sectPr>
          <w:footerReference r:id="rId155" w:type="default"/>
          <w:pgSz w:w="11906" w:h="16839"/>
          <w:pgMar w:top="400" w:right="1749" w:bottom="1370" w:left="1785" w:header="0" w:footer="1207" w:gutter="0"/>
          <w:cols w:space="720" w:num="1"/>
        </w:sectPr>
      </w:pPr>
    </w:p>
    <w:p w14:paraId="0CBC5400">
      <w:pPr>
        <w:pStyle w:val="2"/>
        <w:spacing w:line="247" w:lineRule="auto"/>
        <w:rPr>
          <w:sz w:val="21"/>
        </w:rPr>
      </w:pPr>
    </w:p>
    <w:p w14:paraId="6B2D917B">
      <w:pPr>
        <w:pStyle w:val="2"/>
        <w:spacing w:line="248" w:lineRule="auto"/>
        <w:rPr>
          <w:sz w:val="21"/>
        </w:rPr>
      </w:pPr>
    </w:p>
    <w:p w14:paraId="2B365E86">
      <w:pPr>
        <w:pStyle w:val="2"/>
        <w:spacing w:line="248" w:lineRule="auto"/>
        <w:rPr>
          <w:sz w:val="21"/>
        </w:rPr>
      </w:pPr>
    </w:p>
    <w:p w14:paraId="2AACE4C5">
      <w:pPr>
        <w:pStyle w:val="2"/>
        <w:spacing w:line="248" w:lineRule="auto"/>
        <w:rPr>
          <w:sz w:val="21"/>
        </w:rPr>
      </w:pPr>
    </w:p>
    <w:p w14:paraId="088F61FC">
      <w:pPr>
        <w:spacing w:before="78" w:line="219" w:lineRule="auto"/>
        <w:ind w:left="1443"/>
        <w:rPr>
          <w:rFonts w:ascii="仿宋" w:hAnsi="仿宋" w:eastAsia="仿宋" w:cs="仿宋"/>
          <w:sz w:val="24"/>
          <w:szCs w:val="24"/>
        </w:rPr>
      </w:pPr>
      <w:r>
        <w:rPr>
          <w:rFonts w:ascii="仿宋" w:hAnsi="仿宋" w:eastAsia="仿宋" w:cs="仿宋"/>
          <w:b/>
          <w:bCs/>
          <w:spacing w:val="-3"/>
          <w:sz w:val="24"/>
          <w:szCs w:val="24"/>
        </w:rPr>
        <w:t>表</w:t>
      </w:r>
      <w:r>
        <w:rPr>
          <w:rFonts w:ascii="仿宋" w:hAnsi="仿宋" w:eastAsia="仿宋" w:cs="仿宋"/>
          <w:spacing w:val="-35"/>
          <w:sz w:val="24"/>
          <w:szCs w:val="24"/>
        </w:rPr>
        <w:t xml:space="preserve"> </w:t>
      </w:r>
      <w:r>
        <w:rPr>
          <w:rFonts w:ascii="仿宋" w:hAnsi="仿宋" w:eastAsia="仿宋" w:cs="仿宋"/>
          <w:b/>
          <w:bCs/>
          <w:spacing w:val="-3"/>
          <w:sz w:val="24"/>
          <w:szCs w:val="24"/>
        </w:rPr>
        <w:t>2.3-3</w:t>
      </w:r>
      <w:r>
        <w:rPr>
          <w:rFonts w:ascii="仿宋" w:hAnsi="仿宋" w:eastAsia="仿宋" w:cs="仿宋"/>
          <w:spacing w:val="-3"/>
          <w:sz w:val="24"/>
          <w:szCs w:val="24"/>
        </w:rPr>
        <w:t xml:space="preserve">    </w:t>
      </w:r>
      <w:r>
        <w:rPr>
          <w:rFonts w:ascii="仿宋" w:hAnsi="仿宋" w:eastAsia="仿宋" w:cs="仿宋"/>
          <w:b/>
          <w:bCs/>
          <w:spacing w:val="-3"/>
          <w:sz w:val="24"/>
          <w:szCs w:val="24"/>
        </w:rPr>
        <w:t>公路交通情况调查车型划分及折算系数</w:t>
      </w:r>
    </w:p>
    <w:p w14:paraId="789C8790">
      <w:pPr>
        <w:spacing w:line="146" w:lineRule="exact"/>
      </w:pPr>
    </w:p>
    <w:tbl>
      <w:tblPr>
        <w:tblStyle w:val="5"/>
        <w:tblW w:w="8303" w:type="dxa"/>
        <w:tblInd w:w="1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25"/>
        <w:gridCol w:w="1134"/>
        <w:gridCol w:w="1331"/>
        <w:gridCol w:w="1364"/>
        <w:gridCol w:w="4049"/>
      </w:tblGrid>
      <w:tr w14:paraId="374139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6" w:hRule="atLeast"/>
        </w:trPr>
        <w:tc>
          <w:tcPr>
            <w:tcW w:w="425" w:type="dxa"/>
            <w:tcBorders>
              <w:top w:val="single" w:color="000000" w:sz="10" w:space="0"/>
              <w:left w:val="nil"/>
            </w:tcBorders>
            <w:vAlign w:val="top"/>
          </w:tcPr>
          <w:p w14:paraId="3A7593B5">
            <w:pPr>
              <w:spacing w:before="68" w:line="228" w:lineRule="auto"/>
              <w:ind w:left="17"/>
              <w:rPr>
                <w:rFonts w:ascii="仿宋" w:hAnsi="仿宋" w:eastAsia="仿宋" w:cs="仿宋"/>
                <w:sz w:val="20"/>
                <w:szCs w:val="20"/>
              </w:rPr>
            </w:pPr>
            <w:r>
              <w:rPr>
                <w:rFonts w:ascii="仿宋" w:hAnsi="仿宋" w:eastAsia="仿宋" w:cs="仿宋"/>
                <w:spacing w:val="-1"/>
                <w:sz w:val="20"/>
                <w:szCs w:val="20"/>
              </w:rPr>
              <w:t>车型</w:t>
            </w:r>
          </w:p>
        </w:tc>
        <w:tc>
          <w:tcPr>
            <w:tcW w:w="1134" w:type="dxa"/>
            <w:tcBorders>
              <w:top w:val="single" w:color="000000" w:sz="10" w:space="0"/>
            </w:tcBorders>
            <w:vAlign w:val="top"/>
          </w:tcPr>
          <w:p w14:paraId="0470B6BB">
            <w:pPr>
              <w:spacing w:before="68" w:line="232" w:lineRule="auto"/>
              <w:ind w:left="162"/>
              <w:rPr>
                <w:rFonts w:ascii="仿宋" w:hAnsi="仿宋" w:eastAsia="仿宋" w:cs="仿宋"/>
                <w:sz w:val="20"/>
                <w:szCs w:val="20"/>
              </w:rPr>
            </w:pPr>
            <w:r>
              <w:rPr>
                <w:rFonts w:ascii="仿宋" w:hAnsi="仿宋" w:eastAsia="仿宋" w:cs="仿宋"/>
                <w:spacing w:val="5"/>
                <w:sz w:val="20"/>
                <w:szCs w:val="20"/>
              </w:rPr>
              <w:t>一级分类</w:t>
            </w:r>
          </w:p>
        </w:tc>
        <w:tc>
          <w:tcPr>
            <w:tcW w:w="1331" w:type="dxa"/>
            <w:tcBorders>
              <w:top w:val="single" w:color="000000" w:sz="10" w:space="0"/>
            </w:tcBorders>
            <w:vAlign w:val="top"/>
          </w:tcPr>
          <w:p w14:paraId="091F6303">
            <w:pPr>
              <w:spacing w:before="68" w:line="232" w:lineRule="auto"/>
              <w:ind w:left="262"/>
              <w:rPr>
                <w:rFonts w:ascii="仿宋" w:hAnsi="仿宋" w:eastAsia="仿宋" w:cs="仿宋"/>
                <w:sz w:val="20"/>
                <w:szCs w:val="20"/>
              </w:rPr>
            </w:pPr>
            <w:r>
              <w:rPr>
                <w:rFonts w:ascii="仿宋" w:hAnsi="仿宋" w:eastAsia="仿宋" w:cs="仿宋"/>
                <w:spacing w:val="4"/>
                <w:sz w:val="20"/>
                <w:szCs w:val="20"/>
              </w:rPr>
              <w:t>二级分类</w:t>
            </w:r>
          </w:p>
        </w:tc>
        <w:tc>
          <w:tcPr>
            <w:tcW w:w="1364" w:type="dxa"/>
            <w:tcBorders>
              <w:top w:val="single" w:color="000000" w:sz="10" w:space="0"/>
            </w:tcBorders>
            <w:vAlign w:val="top"/>
          </w:tcPr>
          <w:p w14:paraId="21298D4D">
            <w:pPr>
              <w:spacing w:before="68" w:line="228" w:lineRule="auto"/>
              <w:ind w:left="67"/>
              <w:rPr>
                <w:rFonts w:ascii="仿宋" w:hAnsi="仿宋" w:eastAsia="仿宋" w:cs="仿宋"/>
                <w:sz w:val="20"/>
                <w:szCs w:val="20"/>
              </w:rPr>
            </w:pPr>
            <w:r>
              <w:rPr>
                <w:rFonts w:ascii="仿宋" w:hAnsi="仿宋" w:eastAsia="仿宋" w:cs="仿宋"/>
                <w:spacing w:val="6"/>
                <w:sz w:val="20"/>
                <w:szCs w:val="20"/>
              </w:rPr>
              <w:t>车辆折算系数</w:t>
            </w:r>
          </w:p>
        </w:tc>
        <w:tc>
          <w:tcPr>
            <w:tcW w:w="4049" w:type="dxa"/>
            <w:tcBorders>
              <w:top w:val="single" w:color="000000" w:sz="10" w:space="0"/>
              <w:right w:val="nil"/>
            </w:tcBorders>
            <w:vAlign w:val="top"/>
          </w:tcPr>
          <w:p w14:paraId="405A5E47">
            <w:pPr>
              <w:spacing w:before="69" w:line="229" w:lineRule="auto"/>
              <w:ind w:left="1407"/>
              <w:rPr>
                <w:rFonts w:ascii="仿宋" w:hAnsi="仿宋" w:eastAsia="仿宋" w:cs="仿宋"/>
                <w:sz w:val="20"/>
                <w:szCs w:val="20"/>
              </w:rPr>
            </w:pPr>
            <w:r>
              <w:rPr>
                <w:rFonts w:ascii="仿宋" w:hAnsi="仿宋" w:eastAsia="仿宋" w:cs="仿宋"/>
                <w:spacing w:val="7"/>
                <w:sz w:val="20"/>
                <w:szCs w:val="20"/>
              </w:rPr>
              <w:t>额定荷载参数</w:t>
            </w:r>
          </w:p>
        </w:tc>
      </w:tr>
      <w:tr w14:paraId="484244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trPr>
        <w:tc>
          <w:tcPr>
            <w:tcW w:w="425" w:type="dxa"/>
            <w:vMerge w:val="restart"/>
            <w:tcBorders>
              <w:left w:val="nil"/>
              <w:bottom w:val="nil"/>
            </w:tcBorders>
            <w:vAlign w:val="top"/>
          </w:tcPr>
          <w:p w14:paraId="76B92DD2">
            <w:pPr>
              <w:spacing w:before="242" w:line="234" w:lineRule="auto"/>
              <w:ind w:left="118"/>
              <w:rPr>
                <w:rFonts w:ascii="仿宋" w:hAnsi="仿宋" w:eastAsia="仿宋" w:cs="仿宋"/>
                <w:sz w:val="20"/>
                <w:szCs w:val="20"/>
              </w:rPr>
            </w:pPr>
            <w:r>
              <w:rPr>
                <w:rFonts w:ascii="仿宋" w:hAnsi="仿宋" w:eastAsia="仿宋" w:cs="仿宋"/>
                <w:sz w:val="20"/>
                <w:szCs w:val="20"/>
              </w:rPr>
              <w:t>小</w:t>
            </w:r>
          </w:p>
        </w:tc>
        <w:tc>
          <w:tcPr>
            <w:tcW w:w="1134" w:type="dxa"/>
            <w:vMerge w:val="restart"/>
            <w:tcBorders>
              <w:bottom w:val="nil"/>
            </w:tcBorders>
            <w:vAlign w:val="top"/>
          </w:tcPr>
          <w:p w14:paraId="467BFB98">
            <w:pPr>
              <w:spacing w:before="243" w:line="228" w:lineRule="auto"/>
              <w:ind w:left="262"/>
              <w:rPr>
                <w:rFonts w:ascii="仿宋" w:hAnsi="仿宋" w:eastAsia="仿宋" w:cs="仿宋"/>
                <w:sz w:val="20"/>
                <w:szCs w:val="20"/>
              </w:rPr>
            </w:pPr>
            <w:r>
              <w:rPr>
                <w:rFonts w:ascii="仿宋" w:hAnsi="仿宋" w:eastAsia="仿宋" w:cs="仿宋"/>
                <w:spacing w:val="5"/>
                <w:sz w:val="20"/>
                <w:szCs w:val="20"/>
              </w:rPr>
              <w:t>小客车</w:t>
            </w:r>
          </w:p>
        </w:tc>
        <w:tc>
          <w:tcPr>
            <w:tcW w:w="1331" w:type="dxa"/>
            <w:vAlign w:val="top"/>
          </w:tcPr>
          <w:p w14:paraId="5054804F">
            <w:pPr>
              <w:spacing w:before="67" w:line="228" w:lineRule="auto"/>
              <w:ind w:left="283"/>
              <w:rPr>
                <w:rFonts w:ascii="仿宋" w:hAnsi="仿宋" w:eastAsia="仿宋" w:cs="仿宋"/>
                <w:sz w:val="20"/>
                <w:szCs w:val="20"/>
              </w:rPr>
            </w:pPr>
            <w:r>
              <w:rPr>
                <w:rFonts w:ascii="仿宋" w:hAnsi="仿宋" w:eastAsia="仿宋" w:cs="仿宋"/>
                <w:spacing w:val="-1"/>
                <w:sz w:val="20"/>
                <w:szCs w:val="20"/>
              </w:rPr>
              <w:t>中小客车</w:t>
            </w:r>
          </w:p>
        </w:tc>
        <w:tc>
          <w:tcPr>
            <w:tcW w:w="1364" w:type="dxa"/>
            <w:vMerge w:val="restart"/>
            <w:tcBorders>
              <w:bottom w:val="nil"/>
            </w:tcBorders>
            <w:vAlign w:val="top"/>
          </w:tcPr>
          <w:p w14:paraId="0B6CE3A9">
            <w:pPr>
              <w:spacing w:before="243" w:line="269" w:lineRule="exact"/>
              <w:ind w:left="544"/>
              <w:rPr>
                <w:rFonts w:ascii="仿宋" w:hAnsi="仿宋" w:eastAsia="仿宋" w:cs="仿宋"/>
                <w:sz w:val="20"/>
                <w:szCs w:val="20"/>
              </w:rPr>
            </w:pPr>
            <w:r>
              <w:rPr>
                <w:rFonts w:ascii="仿宋" w:hAnsi="仿宋" w:eastAsia="仿宋" w:cs="仿宋"/>
                <w:spacing w:val="-3"/>
                <w:position w:val="1"/>
                <w:sz w:val="20"/>
                <w:szCs w:val="20"/>
              </w:rPr>
              <w:t>1.0</w:t>
            </w:r>
          </w:p>
        </w:tc>
        <w:tc>
          <w:tcPr>
            <w:tcW w:w="4049" w:type="dxa"/>
            <w:vMerge w:val="restart"/>
            <w:tcBorders>
              <w:bottom w:val="nil"/>
              <w:right w:val="nil"/>
            </w:tcBorders>
            <w:vAlign w:val="top"/>
          </w:tcPr>
          <w:p w14:paraId="7E2A9BE4">
            <w:pPr>
              <w:spacing w:before="243" w:line="228" w:lineRule="auto"/>
              <w:ind w:left="203"/>
              <w:rPr>
                <w:rFonts w:ascii="仿宋" w:hAnsi="仿宋" w:eastAsia="仿宋" w:cs="仿宋"/>
                <w:sz w:val="20"/>
                <w:szCs w:val="20"/>
              </w:rPr>
            </w:pPr>
            <w:r>
              <w:rPr>
                <w:rFonts w:ascii="仿宋" w:hAnsi="仿宋" w:eastAsia="仿宋" w:cs="仿宋"/>
                <w:spacing w:val="5"/>
                <w:sz w:val="20"/>
                <w:szCs w:val="20"/>
              </w:rPr>
              <w:t>座位≤19</w:t>
            </w:r>
            <w:r>
              <w:rPr>
                <w:rFonts w:ascii="仿宋" w:hAnsi="仿宋" w:eastAsia="仿宋" w:cs="仿宋"/>
                <w:spacing w:val="-18"/>
                <w:sz w:val="20"/>
                <w:szCs w:val="20"/>
              </w:rPr>
              <w:t xml:space="preserve"> </w:t>
            </w:r>
            <w:r>
              <w:rPr>
                <w:rFonts w:ascii="仿宋" w:hAnsi="仿宋" w:eastAsia="仿宋" w:cs="仿宋"/>
                <w:spacing w:val="5"/>
                <w:sz w:val="20"/>
                <w:szCs w:val="20"/>
              </w:rPr>
              <w:t>座的客车和载质量≤2t</w:t>
            </w:r>
            <w:r>
              <w:rPr>
                <w:rFonts w:ascii="仿宋" w:hAnsi="仿宋" w:eastAsia="仿宋" w:cs="仿宋"/>
                <w:spacing w:val="-23"/>
                <w:sz w:val="20"/>
                <w:szCs w:val="20"/>
              </w:rPr>
              <w:t xml:space="preserve"> </w:t>
            </w:r>
            <w:r>
              <w:rPr>
                <w:rFonts w:ascii="仿宋" w:hAnsi="仿宋" w:eastAsia="仿宋" w:cs="仿宋"/>
                <w:spacing w:val="5"/>
                <w:sz w:val="20"/>
                <w:szCs w:val="20"/>
              </w:rPr>
              <w:t>的货车</w:t>
            </w:r>
          </w:p>
        </w:tc>
      </w:tr>
      <w:tr w14:paraId="6A3080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trPr>
        <w:tc>
          <w:tcPr>
            <w:tcW w:w="425" w:type="dxa"/>
            <w:vMerge w:val="continue"/>
            <w:tcBorders>
              <w:top w:val="nil"/>
              <w:left w:val="nil"/>
            </w:tcBorders>
            <w:vAlign w:val="top"/>
          </w:tcPr>
          <w:p w14:paraId="40454974">
            <w:pPr>
              <w:rPr>
                <w:rFonts w:ascii="Arial"/>
                <w:sz w:val="21"/>
              </w:rPr>
            </w:pPr>
          </w:p>
        </w:tc>
        <w:tc>
          <w:tcPr>
            <w:tcW w:w="1134" w:type="dxa"/>
            <w:vMerge w:val="continue"/>
            <w:tcBorders>
              <w:top w:val="nil"/>
            </w:tcBorders>
            <w:vAlign w:val="top"/>
          </w:tcPr>
          <w:p w14:paraId="05763410">
            <w:pPr>
              <w:rPr>
                <w:rFonts w:ascii="Arial"/>
                <w:sz w:val="21"/>
              </w:rPr>
            </w:pPr>
          </w:p>
        </w:tc>
        <w:tc>
          <w:tcPr>
            <w:tcW w:w="1331" w:type="dxa"/>
            <w:vAlign w:val="top"/>
          </w:tcPr>
          <w:p w14:paraId="1C07C0D6">
            <w:pPr>
              <w:spacing w:before="71" w:line="228" w:lineRule="auto"/>
              <w:ind w:left="256"/>
              <w:rPr>
                <w:rFonts w:ascii="仿宋" w:hAnsi="仿宋" w:eastAsia="仿宋" w:cs="仿宋"/>
                <w:sz w:val="20"/>
                <w:szCs w:val="20"/>
              </w:rPr>
            </w:pPr>
            <w:r>
              <w:rPr>
                <w:rFonts w:ascii="仿宋" w:hAnsi="仿宋" w:eastAsia="仿宋" w:cs="仿宋"/>
                <w:spacing w:val="5"/>
                <w:sz w:val="20"/>
                <w:szCs w:val="20"/>
              </w:rPr>
              <w:t>小型货车</w:t>
            </w:r>
          </w:p>
        </w:tc>
        <w:tc>
          <w:tcPr>
            <w:tcW w:w="1364" w:type="dxa"/>
            <w:vMerge w:val="continue"/>
            <w:tcBorders>
              <w:top w:val="nil"/>
            </w:tcBorders>
            <w:vAlign w:val="top"/>
          </w:tcPr>
          <w:p w14:paraId="48CC5FC1">
            <w:pPr>
              <w:rPr>
                <w:rFonts w:ascii="Arial"/>
                <w:sz w:val="21"/>
              </w:rPr>
            </w:pPr>
          </w:p>
        </w:tc>
        <w:tc>
          <w:tcPr>
            <w:tcW w:w="4049" w:type="dxa"/>
            <w:vMerge w:val="continue"/>
            <w:tcBorders>
              <w:top w:val="nil"/>
              <w:right w:val="nil"/>
            </w:tcBorders>
            <w:vAlign w:val="top"/>
          </w:tcPr>
          <w:p w14:paraId="10078930">
            <w:pPr>
              <w:rPr>
                <w:rFonts w:ascii="Arial"/>
                <w:sz w:val="21"/>
              </w:rPr>
            </w:pPr>
          </w:p>
        </w:tc>
      </w:tr>
      <w:tr w14:paraId="5BE4F2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trPr>
        <w:tc>
          <w:tcPr>
            <w:tcW w:w="425" w:type="dxa"/>
            <w:vMerge w:val="restart"/>
            <w:tcBorders>
              <w:left w:val="nil"/>
              <w:bottom w:val="nil"/>
            </w:tcBorders>
            <w:vAlign w:val="top"/>
          </w:tcPr>
          <w:p w14:paraId="43A18969">
            <w:pPr>
              <w:spacing w:before="247" w:line="231" w:lineRule="auto"/>
              <w:ind w:left="145"/>
              <w:rPr>
                <w:rFonts w:ascii="仿宋" w:hAnsi="仿宋" w:eastAsia="仿宋" w:cs="仿宋"/>
                <w:sz w:val="20"/>
                <w:szCs w:val="20"/>
              </w:rPr>
            </w:pPr>
            <w:r>
              <w:rPr>
                <w:rFonts w:ascii="仿宋" w:hAnsi="仿宋" w:eastAsia="仿宋" w:cs="仿宋"/>
                <w:sz w:val="20"/>
                <w:szCs w:val="20"/>
              </w:rPr>
              <w:t>中</w:t>
            </w:r>
          </w:p>
        </w:tc>
        <w:tc>
          <w:tcPr>
            <w:tcW w:w="1134" w:type="dxa"/>
            <w:vMerge w:val="restart"/>
            <w:tcBorders>
              <w:bottom w:val="nil"/>
            </w:tcBorders>
            <w:vAlign w:val="top"/>
          </w:tcPr>
          <w:p w14:paraId="46E0BA48">
            <w:pPr>
              <w:spacing w:before="247" w:line="228" w:lineRule="auto"/>
              <w:ind w:left="289"/>
              <w:rPr>
                <w:rFonts w:ascii="仿宋" w:hAnsi="仿宋" w:eastAsia="仿宋" w:cs="仿宋"/>
                <w:sz w:val="20"/>
                <w:szCs w:val="20"/>
              </w:rPr>
            </w:pPr>
            <w:r>
              <w:rPr>
                <w:rFonts w:ascii="仿宋" w:hAnsi="仿宋" w:eastAsia="仿宋" w:cs="仿宋"/>
                <w:spacing w:val="-4"/>
                <w:sz w:val="20"/>
                <w:szCs w:val="20"/>
              </w:rPr>
              <w:t>中型车</w:t>
            </w:r>
          </w:p>
        </w:tc>
        <w:tc>
          <w:tcPr>
            <w:tcW w:w="1331" w:type="dxa"/>
            <w:vAlign w:val="top"/>
          </w:tcPr>
          <w:p w14:paraId="006B134B">
            <w:pPr>
              <w:spacing w:before="72" w:line="228" w:lineRule="auto"/>
              <w:ind w:left="364"/>
              <w:rPr>
                <w:rFonts w:ascii="仿宋" w:hAnsi="仿宋" w:eastAsia="仿宋" w:cs="仿宋"/>
                <w:sz w:val="20"/>
                <w:szCs w:val="20"/>
              </w:rPr>
            </w:pPr>
            <w:r>
              <w:rPr>
                <w:rFonts w:ascii="仿宋" w:hAnsi="仿宋" w:eastAsia="仿宋" w:cs="仿宋"/>
                <w:spacing w:val="4"/>
                <w:sz w:val="20"/>
                <w:szCs w:val="20"/>
              </w:rPr>
              <w:t>大客车</w:t>
            </w:r>
          </w:p>
        </w:tc>
        <w:tc>
          <w:tcPr>
            <w:tcW w:w="1364" w:type="dxa"/>
            <w:vMerge w:val="restart"/>
            <w:tcBorders>
              <w:bottom w:val="nil"/>
            </w:tcBorders>
            <w:vAlign w:val="top"/>
          </w:tcPr>
          <w:p w14:paraId="1BAABCE2">
            <w:pPr>
              <w:spacing w:before="247" w:line="270" w:lineRule="exact"/>
              <w:ind w:left="544"/>
              <w:rPr>
                <w:rFonts w:ascii="仿宋" w:hAnsi="仿宋" w:eastAsia="仿宋" w:cs="仿宋"/>
                <w:sz w:val="20"/>
                <w:szCs w:val="20"/>
              </w:rPr>
            </w:pPr>
            <w:r>
              <w:rPr>
                <w:rFonts w:ascii="仿宋" w:hAnsi="仿宋" w:eastAsia="仿宋" w:cs="仿宋"/>
                <w:spacing w:val="-3"/>
                <w:position w:val="1"/>
                <w:sz w:val="20"/>
                <w:szCs w:val="20"/>
              </w:rPr>
              <w:t>1.5</w:t>
            </w:r>
          </w:p>
        </w:tc>
        <w:tc>
          <w:tcPr>
            <w:tcW w:w="4049" w:type="dxa"/>
            <w:vMerge w:val="restart"/>
            <w:tcBorders>
              <w:bottom w:val="nil"/>
              <w:right w:val="nil"/>
            </w:tcBorders>
            <w:vAlign w:val="top"/>
          </w:tcPr>
          <w:p w14:paraId="58ABBAC5">
            <w:pPr>
              <w:spacing w:before="247" w:line="228" w:lineRule="auto"/>
              <w:ind w:right="2"/>
              <w:jc w:val="right"/>
              <w:rPr>
                <w:rFonts w:ascii="仿宋" w:hAnsi="仿宋" w:eastAsia="仿宋" w:cs="仿宋"/>
                <w:sz w:val="20"/>
                <w:szCs w:val="20"/>
              </w:rPr>
            </w:pPr>
            <w:r>
              <w:rPr>
                <w:rFonts w:ascii="仿宋" w:hAnsi="仿宋" w:eastAsia="仿宋" w:cs="仿宋"/>
                <w:spacing w:val="8"/>
                <w:sz w:val="20"/>
                <w:szCs w:val="20"/>
              </w:rPr>
              <w:t>座位＞19</w:t>
            </w:r>
            <w:r>
              <w:rPr>
                <w:rFonts w:ascii="仿宋" w:hAnsi="仿宋" w:eastAsia="仿宋" w:cs="仿宋"/>
                <w:spacing w:val="-30"/>
                <w:sz w:val="20"/>
                <w:szCs w:val="20"/>
              </w:rPr>
              <w:t xml:space="preserve"> </w:t>
            </w:r>
            <w:r>
              <w:rPr>
                <w:rFonts w:ascii="仿宋" w:hAnsi="仿宋" w:eastAsia="仿宋" w:cs="仿宋"/>
                <w:spacing w:val="8"/>
                <w:sz w:val="20"/>
                <w:szCs w:val="20"/>
              </w:rPr>
              <w:t>座的客车和2t&lt;载质量≤7t</w:t>
            </w:r>
            <w:r>
              <w:rPr>
                <w:rFonts w:ascii="仿宋" w:hAnsi="仿宋" w:eastAsia="仿宋" w:cs="仿宋"/>
                <w:spacing w:val="-20"/>
                <w:sz w:val="20"/>
                <w:szCs w:val="20"/>
              </w:rPr>
              <w:t xml:space="preserve"> </w:t>
            </w:r>
            <w:r>
              <w:rPr>
                <w:rFonts w:ascii="仿宋" w:hAnsi="仿宋" w:eastAsia="仿宋" w:cs="仿宋"/>
                <w:spacing w:val="8"/>
                <w:sz w:val="20"/>
                <w:szCs w:val="20"/>
              </w:rPr>
              <w:t>的</w:t>
            </w:r>
            <w:r>
              <w:rPr>
                <w:rFonts w:ascii="仿宋" w:hAnsi="仿宋" w:eastAsia="仿宋" w:cs="仿宋"/>
                <w:spacing w:val="7"/>
                <w:sz w:val="20"/>
                <w:szCs w:val="20"/>
              </w:rPr>
              <w:t>货车</w:t>
            </w:r>
          </w:p>
        </w:tc>
      </w:tr>
      <w:tr w14:paraId="6630AA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trPr>
        <w:tc>
          <w:tcPr>
            <w:tcW w:w="425" w:type="dxa"/>
            <w:vMerge w:val="continue"/>
            <w:tcBorders>
              <w:top w:val="nil"/>
              <w:left w:val="nil"/>
            </w:tcBorders>
            <w:vAlign w:val="top"/>
          </w:tcPr>
          <w:p w14:paraId="3776EC6C">
            <w:pPr>
              <w:rPr>
                <w:rFonts w:ascii="Arial"/>
                <w:sz w:val="21"/>
              </w:rPr>
            </w:pPr>
          </w:p>
        </w:tc>
        <w:tc>
          <w:tcPr>
            <w:tcW w:w="1134" w:type="dxa"/>
            <w:vMerge w:val="continue"/>
            <w:tcBorders>
              <w:top w:val="nil"/>
            </w:tcBorders>
            <w:vAlign w:val="top"/>
          </w:tcPr>
          <w:p w14:paraId="2B69D8B0">
            <w:pPr>
              <w:rPr>
                <w:rFonts w:ascii="Arial"/>
                <w:sz w:val="21"/>
              </w:rPr>
            </w:pPr>
          </w:p>
        </w:tc>
        <w:tc>
          <w:tcPr>
            <w:tcW w:w="1331" w:type="dxa"/>
            <w:vAlign w:val="top"/>
          </w:tcPr>
          <w:p w14:paraId="59E28B61">
            <w:pPr>
              <w:spacing w:before="75" w:line="228" w:lineRule="auto"/>
              <w:ind w:left="283"/>
              <w:rPr>
                <w:rFonts w:ascii="仿宋" w:hAnsi="仿宋" w:eastAsia="仿宋" w:cs="仿宋"/>
                <w:sz w:val="20"/>
                <w:szCs w:val="20"/>
              </w:rPr>
            </w:pPr>
            <w:r>
              <w:rPr>
                <w:rFonts w:ascii="仿宋" w:hAnsi="仿宋" w:eastAsia="仿宋" w:cs="仿宋"/>
                <w:spacing w:val="-1"/>
                <w:sz w:val="20"/>
                <w:szCs w:val="20"/>
              </w:rPr>
              <w:t>中型货车</w:t>
            </w:r>
          </w:p>
        </w:tc>
        <w:tc>
          <w:tcPr>
            <w:tcW w:w="1364" w:type="dxa"/>
            <w:vMerge w:val="continue"/>
            <w:tcBorders>
              <w:top w:val="nil"/>
            </w:tcBorders>
            <w:vAlign w:val="top"/>
          </w:tcPr>
          <w:p w14:paraId="19DD2C1D">
            <w:pPr>
              <w:rPr>
                <w:rFonts w:ascii="Arial"/>
                <w:sz w:val="21"/>
              </w:rPr>
            </w:pPr>
          </w:p>
        </w:tc>
        <w:tc>
          <w:tcPr>
            <w:tcW w:w="4049" w:type="dxa"/>
            <w:vMerge w:val="continue"/>
            <w:tcBorders>
              <w:top w:val="nil"/>
              <w:right w:val="nil"/>
            </w:tcBorders>
            <w:vAlign w:val="top"/>
          </w:tcPr>
          <w:p w14:paraId="1DDBC58F">
            <w:pPr>
              <w:rPr>
                <w:rFonts w:ascii="Arial"/>
                <w:sz w:val="21"/>
              </w:rPr>
            </w:pPr>
          </w:p>
        </w:tc>
      </w:tr>
      <w:tr w14:paraId="5E8C60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trPr>
        <w:tc>
          <w:tcPr>
            <w:tcW w:w="425" w:type="dxa"/>
            <w:vMerge w:val="restart"/>
            <w:tcBorders>
              <w:left w:val="nil"/>
              <w:bottom w:val="nil"/>
            </w:tcBorders>
            <w:vAlign w:val="top"/>
          </w:tcPr>
          <w:p w14:paraId="59B9E2A2">
            <w:pPr>
              <w:spacing w:line="362" w:lineRule="auto"/>
              <w:rPr>
                <w:rFonts w:ascii="Arial"/>
                <w:sz w:val="21"/>
              </w:rPr>
            </w:pPr>
          </w:p>
          <w:p w14:paraId="4ADDA8BD">
            <w:pPr>
              <w:spacing w:before="65" w:line="232" w:lineRule="auto"/>
              <w:ind w:left="120"/>
              <w:rPr>
                <w:rFonts w:ascii="仿宋" w:hAnsi="仿宋" w:eastAsia="仿宋" w:cs="仿宋"/>
                <w:sz w:val="20"/>
                <w:szCs w:val="20"/>
              </w:rPr>
            </w:pPr>
            <w:r>
              <w:rPr>
                <w:rFonts w:ascii="仿宋" w:hAnsi="仿宋" w:eastAsia="仿宋" w:cs="仿宋"/>
                <w:sz w:val="20"/>
                <w:szCs w:val="20"/>
              </w:rPr>
              <w:t>大</w:t>
            </w:r>
          </w:p>
        </w:tc>
        <w:tc>
          <w:tcPr>
            <w:tcW w:w="1134" w:type="dxa"/>
            <w:vAlign w:val="top"/>
          </w:tcPr>
          <w:p w14:paraId="43AFB519">
            <w:pPr>
              <w:spacing w:before="79" w:line="228" w:lineRule="auto"/>
              <w:ind w:left="264"/>
              <w:rPr>
                <w:rFonts w:ascii="仿宋" w:hAnsi="仿宋" w:eastAsia="仿宋" w:cs="仿宋"/>
                <w:sz w:val="20"/>
                <w:szCs w:val="20"/>
              </w:rPr>
            </w:pPr>
            <w:r>
              <w:rPr>
                <w:rFonts w:ascii="仿宋" w:hAnsi="仿宋" w:eastAsia="仿宋" w:cs="仿宋"/>
                <w:spacing w:val="4"/>
                <w:sz w:val="20"/>
                <w:szCs w:val="20"/>
              </w:rPr>
              <w:t>大型车</w:t>
            </w:r>
          </w:p>
        </w:tc>
        <w:tc>
          <w:tcPr>
            <w:tcW w:w="1331" w:type="dxa"/>
            <w:vAlign w:val="top"/>
          </w:tcPr>
          <w:p w14:paraId="39E23323">
            <w:pPr>
              <w:spacing w:before="79" w:line="228" w:lineRule="auto"/>
              <w:ind w:left="258"/>
              <w:rPr>
                <w:rFonts w:ascii="仿宋" w:hAnsi="仿宋" w:eastAsia="仿宋" w:cs="仿宋"/>
                <w:sz w:val="20"/>
                <w:szCs w:val="20"/>
              </w:rPr>
            </w:pPr>
            <w:r>
              <w:rPr>
                <w:rFonts w:ascii="仿宋" w:hAnsi="仿宋" w:eastAsia="仿宋" w:cs="仿宋"/>
                <w:spacing w:val="5"/>
                <w:sz w:val="20"/>
                <w:szCs w:val="20"/>
              </w:rPr>
              <w:t>大型货车</w:t>
            </w:r>
          </w:p>
        </w:tc>
        <w:tc>
          <w:tcPr>
            <w:tcW w:w="1364" w:type="dxa"/>
            <w:vAlign w:val="top"/>
          </w:tcPr>
          <w:p w14:paraId="4D9F6B61">
            <w:pPr>
              <w:spacing w:before="79" w:line="233" w:lineRule="auto"/>
              <w:ind w:left="531"/>
              <w:rPr>
                <w:rFonts w:ascii="仿宋" w:hAnsi="仿宋" w:eastAsia="仿宋" w:cs="仿宋"/>
                <w:sz w:val="20"/>
                <w:szCs w:val="20"/>
              </w:rPr>
            </w:pPr>
            <w:r>
              <w:rPr>
                <w:rFonts w:ascii="仿宋" w:hAnsi="仿宋" w:eastAsia="仿宋" w:cs="仿宋"/>
                <w:spacing w:val="1"/>
                <w:sz w:val="20"/>
                <w:szCs w:val="20"/>
              </w:rPr>
              <w:t>2.5</w:t>
            </w:r>
          </w:p>
        </w:tc>
        <w:tc>
          <w:tcPr>
            <w:tcW w:w="4049" w:type="dxa"/>
            <w:tcBorders>
              <w:right w:val="nil"/>
            </w:tcBorders>
            <w:vAlign w:val="top"/>
          </w:tcPr>
          <w:p w14:paraId="0BE25A0F">
            <w:pPr>
              <w:spacing w:before="79" w:line="228" w:lineRule="auto"/>
              <w:ind w:left="960"/>
              <w:rPr>
                <w:rFonts w:ascii="仿宋" w:hAnsi="仿宋" w:eastAsia="仿宋" w:cs="仿宋"/>
                <w:sz w:val="20"/>
                <w:szCs w:val="20"/>
              </w:rPr>
            </w:pPr>
            <w:r>
              <w:rPr>
                <w:rFonts w:ascii="仿宋" w:hAnsi="仿宋" w:eastAsia="仿宋" w:cs="仿宋"/>
                <w:spacing w:val="4"/>
                <w:sz w:val="20"/>
                <w:szCs w:val="20"/>
              </w:rPr>
              <w:t>7t&lt;载质量≤20t</w:t>
            </w:r>
            <w:r>
              <w:rPr>
                <w:rFonts w:ascii="仿宋" w:hAnsi="仿宋" w:eastAsia="仿宋" w:cs="仿宋"/>
                <w:spacing w:val="-15"/>
                <w:sz w:val="20"/>
                <w:szCs w:val="20"/>
              </w:rPr>
              <w:t xml:space="preserve"> </w:t>
            </w:r>
            <w:r>
              <w:rPr>
                <w:rFonts w:ascii="仿宋" w:hAnsi="仿宋" w:eastAsia="仿宋" w:cs="仿宋"/>
                <w:spacing w:val="4"/>
                <w:sz w:val="20"/>
                <w:szCs w:val="20"/>
              </w:rPr>
              <w:t>的货车</w:t>
            </w:r>
          </w:p>
        </w:tc>
      </w:tr>
      <w:tr w14:paraId="4E0DEB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trPr>
        <w:tc>
          <w:tcPr>
            <w:tcW w:w="425" w:type="dxa"/>
            <w:vMerge w:val="continue"/>
            <w:tcBorders>
              <w:top w:val="nil"/>
              <w:left w:val="nil"/>
              <w:bottom w:val="nil"/>
            </w:tcBorders>
            <w:vAlign w:val="top"/>
          </w:tcPr>
          <w:p w14:paraId="3E4C70E7">
            <w:pPr>
              <w:rPr>
                <w:rFonts w:ascii="Arial"/>
                <w:sz w:val="21"/>
              </w:rPr>
            </w:pPr>
          </w:p>
        </w:tc>
        <w:tc>
          <w:tcPr>
            <w:tcW w:w="1134" w:type="dxa"/>
            <w:vMerge w:val="restart"/>
            <w:tcBorders>
              <w:bottom w:val="nil"/>
            </w:tcBorders>
            <w:vAlign w:val="top"/>
          </w:tcPr>
          <w:p w14:paraId="5FBC7CF8">
            <w:pPr>
              <w:spacing w:before="257" w:line="228" w:lineRule="auto"/>
              <w:ind w:left="162"/>
              <w:rPr>
                <w:rFonts w:ascii="仿宋" w:hAnsi="仿宋" w:eastAsia="仿宋" w:cs="仿宋"/>
                <w:sz w:val="20"/>
                <w:szCs w:val="20"/>
              </w:rPr>
            </w:pPr>
            <w:r>
              <w:rPr>
                <w:rFonts w:ascii="仿宋" w:hAnsi="仿宋" w:eastAsia="仿宋" w:cs="仿宋"/>
                <w:spacing w:val="5"/>
                <w:sz w:val="20"/>
                <w:szCs w:val="20"/>
              </w:rPr>
              <w:t>汽车列车</w:t>
            </w:r>
          </w:p>
        </w:tc>
        <w:tc>
          <w:tcPr>
            <w:tcW w:w="1331" w:type="dxa"/>
            <w:vAlign w:val="top"/>
          </w:tcPr>
          <w:p w14:paraId="2CD79F2A">
            <w:pPr>
              <w:spacing w:before="82" w:line="228" w:lineRule="auto"/>
              <w:ind w:left="149"/>
              <w:rPr>
                <w:rFonts w:ascii="仿宋" w:hAnsi="仿宋" w:eastAsia="仿宋" w:cs="仿宋"/>
                <w:sz w:val="20"/>
                <w:szCs w:val="20"/>
              </w:rPr>
            </w:pPr>
            <w:r>
              <w:rPr>
                <w:rFonts w:ascii="仿宋" w:hAnsi="仿宋" w:eastAsia="仿宋" w:cs="仿宋"/>
                <w:spacing w:val="7"/>
                <w:sz w:val="20"/>
                <w:szCs w:val="20"/>
              </w:rPr>
              <w:t>特大型货车</w:t>
            </w:r>
          </w:p>
        </w:tc>
        <w:tc>
          <w:tcPr>
            <w:tcW w:w="1364" w:type="dxa"/>
            <w:vMerge w:val="restart"/>
            <w:tcBorders>
              <w:bottom w:val="nil"/>
            </w:tcBorders>
            <w:vAlign w:val="top"/>
          </w:tcPr>
          <w:p w14:paraId="6BBA5E39">
            <w:pPr>
              <w:spacing w:before="257" w:line="270" w:lineRule="exact"/>
              <w:ind w:left="528"/>
              <w:rPr>
                <w:rFonts w:ascii="仿宋" w:hAnsi="仿宋" w:eastAsia="仿宋" w:cs="仿宋"/>
                <w:sz w:val="20"/>
                <w:szCs w:val="20"/>
              </w:rPr>
            </w:pPr>
            <w:r>
              <w:rPr>
                <w:rFonts w:ascii="仿宋" w:hAnsi="仿宋" w:eastAsia="仿宋" w:cs="仿宋"/>
                <w:spacing w:val="3"/>
                <w:position w:val="1"/>
                <w:sz w:val="20"/>
                <w:szCs w:val="20"/>
              </w:rPr>
              <w:t>4.0</w:t>
            </w:r>
          </w:p>
        </w:tc>
        <w:tc>
          <w:tcPr>
            <w:tcW w:w="4049" w:type="dxa"/>
            <w:vMerge w:val="restart"/>
            <w:tcBorders>
              <w:bottom w:val="nil"/>
              <w:right w:val="nil"/>
            </w:tcBorders>
            <w:vAlign w:val="top"/>
          </w:tcPr>
          <w:p w14:paraId="203EB548">
            <w:pPr>
              <w:spacing w:before="257" w:line="231" w:lineRule="auto"/>
              <w:ind w:left="1381"/>
              <w:rPr>
                <w:rFonts w:ascii="仿宋" w:hAnsi="仿宋" w:eastAsia="仿宋" w:cs="仿宋"/>
                <w:sz w:val="20"/>
                <w:szCs w:val="20"/>
              </w:rPr>
            </w:pPr>
            <w:r>
              <w:rPr>
                <w:rFonts w:ascii="仿宋" w:hAnsi="仿宋" w:eastAsia="仿宋" w:cs="仿宋"/>
                <w:spacing w:val="5"/>
                <w:sz w:val="20"/>
                <w:szCs w:val="20"/>
              </w:rPr>
              <w:t>载质量＞20</w:t>
            </w:r>
            <w:r>
              <w:rPr>
                <w:rFonts w:ascii="仿宋" w:hAnsi="仿宋" w:eastAsia="仿宋" w:cs="仿宋"/>
                <w:spacing w:val="-28"/>
                <w:sz w:val="20"/>
                <w:szCs w:val="20"/>
              </w:rPr>
              <w:t xml:space="preserve"> </w:t>
            </w:r>
            <w:r>
              <w:rPr>
                <w:rFonts w:ascii="仿宋" w:hAnsi="仿宋" w:eastAsia="仿宋" w:cs="仿宋"/>
                <w:spacing w:val="5"/>
                <w:sz w:val="20"/>
                <w:szCs w:val="20"/>
              </w:rPr>
              <w:t>吨</w:t>
            </w:r>
          </w:p>
        </w:tc>
      </w:tr>
      <w:tr w14:paraId="2C0C07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425" w:type="dxa"/>
            <w:vMerge w:val="continue"/>
            <w:tcBorders>
              <w:top w:val="nil"/>
              <w:left w:val="nil"/>
              <w:bottom w:val="single" w:color="000000" w:sz="10" w:space="0"/>
            </w:tcBorders>
            <w:vAlign w:val="top"/>
          </w:tcPr>
          <w:p w14:paraId="1263A9E1">
            <w:pPr>
              <w:rPr>
                <w:rFonts w:ascii="Arial"/>
                <w:sz w:val="21"/>
              </w:rPr>
            </w:pPr>
          </w:p>
        </w:tc>
        <w:tc>
          <w:tcPr>
            <w:tcW w:w="1134" w:type="dxa"/>
            <w:vMerge w:val="continue"/>
            <w:tcBorders>
              <w:top w:val="nil"/>
              <w:bottom w:val="single" w:color="000000" w:sz="10" w:space="0"/>
            </w:tcBorders>
            <w:vAlign w:val="top"/>
          </w:tcPr>
          <w:p w14:paraId="7A0BAFC3">
            <w:pPr>
              <w:rPr>
                <w:rFonts w:ascii="Arial"/>
                <w:sz w:val="21"/>
              </w:rPr>
            </w:pPr>
          </w:p>
        </w:tc>
        <w:tc>
          <w:tcPr>
            <w:tcW w:w="1331" w:type="dxa"/>
            <w:tcBorders>
              <w:bottom w:val="single" w:color="000000" w:sz="10" w:space="0"/>
            </w:tcBorders>
            <w:vAlign w:val="top"/>
          </w:tcPr>
          <w:p w14:paraId="38EB048C">
            <w:pPr>
              <w:spacing w:before="85" w:line="228" w:lineRule="auto"/>
              <w:ind w:left="256"/>
              <w:rPr>
                <w:rFonts w:ascii="仿宋" w:hAnsi="仿宋" w:eastAsia="仿宋" w:cs="仿宋"/>
                <w:sz w:val="20"/>
                <w:szCs w:val="20"/>
              </w:rPr>
            </w:pPr>
            <w:r>
              <w:rPr>
                <w:rFonts w:ascii="仿宋" w:hAnsi="仿宋" w:eastAsia="仿宋" w:cs="仿宋"/>
                <w:spacing w:val="5"/>
                <w:sz w:val="20"/>
                <w:szCs w:val="20"/>
              </w:rPr>
              <w:t>集装箱车</w:t>
            </w:r>
          </w:p>
        </w:tc>
        <w:tc>
          <w:tcPr>
            <w:tcW w:w="1364" w:type="dxa"/>
            <w:vMerge w:val="continue"/>
            <w:tcBorders>
              <w:top w:val="nil"/>
              <w:bottom w:val="single" w:color="000000" w:sz="10" w:space="0"/>
            </w:tcBorders>
            <w:vAlign w:val="top"/>
          </w:tcPr>
          <w:p w14:paraId="0EAA3B5B">
            <w:pPr>
              <w:rPr>
                <w:rFonts w:ascii="Arial"/>
                <w:sz w:val="21"/>
              </w:rPr>
            </w:pPr>
          </w:p>
        </w:tc>
        <w:tc>
          <w:tcPr>
            <w:tcW w:w="4049" w:type="dxa"/>
            <w:vMerge w:val="continue"/>
            <w:tcBorders>
              <w:top w:val="nil"/>
              <w:bottom w:val="single" w:color="000000" w:sz="10" w:space="0"/>
              <w:right w:val="nil"/>
            </w:tcBorders>
            <w:vAlign w:val="top"/>
          </w:tcPr>
          <w:p w14:paraId="5239C5B3">
            <w:pPr>
              <w:rPr>
                <w:rFonts w:ascii="Arial"/>
                <w:sz w:val="21"/>
              </w:rPr>
            </w:pPr>
          </w:p>
        </w:tc>
      </w:tr>
    </w:tbl>
    <w:p w14:paraId="7180ADB4">
      <w:pPr>
        <w:spacing w:before="35" w:line="224" w:lineRule="auto"/>
        <w:ind w:left="514"/>
        <w:rPr>
          <w:rFonts w:ascii="仿宋" w:hAnsi="仿宋" w:eastAsia="仿宋" w:cs="仿宋"/>
          <w:sz w:val="24"/>
          <w:szCs w:val="24"/>
        </w:rPr>
      </w:pPr>
      <w:r>
        <w:rPr>
          <w:rFonts w:ascii="仿宋" w:hAnsi="仿宋" w:eastAsia="仿宋" w:cs="仿宋"/>
          <w:spacing w:val="-3"/>
          <w:sz w:val="24"/>
          <w:szCs w:val="24"/>
        </w:rPr>
        <w:t>（2）绝对交通量</w:t>
      </w:r>
    </w:p>
    <w:p w14:paraId="1ABCF8A9">
      <w:pPr>
        <w:spacing w:before="176" w:line="359" w:lineRule="auto"/>
        <w:ind w:left="31" w:right="13" w:firstLine="478"/>
        <w:rPr>
          <w:rFonts w:ascii="仿宋" w:hAnsi="仿宋" w:eastAsia="仿宋" w:cs="仿宋"/>
          <w:sz w:val="24"/>
          <w:szCs w:val="24"/>
        </w:rPr>
      </w:pPr>
      <w:r>
        <w:rPr>
          <w:rFonts w:ascii="仿宋" w:hAnsi="仿宋" w:eastAsia="仿宋" w:cs="仿宋"/>
          <w:spacing w:val="-5"/>
          <w:sz w:val="24"/>
          <w:szCs w:val="24"/>
        </w:rPr>
        <w:t>按照表</w:t>
      </w:r>
      <w:r>
        <w:rPr>
          <w:rFonts w:ascii="仿宋" w:hAnsi="仿宋" w:eastAsia="仿宋" w:cs="仿宋"/>
          <w:spacing w:val="-34"/>
          <w:sz w:val="24"/>
          <w:szCs w:val="24"/>
        </w:rPr>
        <w:t xml:space="preserve"> </w:t>
      </w:r>
      <w:r>
        <w:rPr>
          <w:rFonts w:ascii="仿宋" w:hAnsi="仿宋" w:eastAsia="仿宋" w:cs="仿宋"/>
          <w:spacing w:val="-5"/>
          <w:sz w:val="24"/>
          <w:szCs w:val="24"/>
        </w:rPr>
        <w:t>2.3-2</w:t>
      </w:r>
      <w:r>
        <w:rPr>
          <w:rFonts w:ascii="仿宋" w:hAnsi="仿宋" w:eastAsia="仿宋" w:cs="仿宋"/>
          <w:spacing w:val="-38"/>
          <w:sz w:val="24"/>
          <w:szCs w:val="24"/>
        </w:rPr>
        <w:t xml:space="preserve"> </w:t>
      </w:r>
      <w:r>
        <w:rPr>
          <w:rFonts w:ascii="仿宋" w:hAnsi="仿宋" w:eastAsia="仿宋" w:cs="仿宋"/>
          <w:spacing w:val="-5"/>
          <w:sz w:val="24"/>
          <w:szCs w:val="24"/>
        </w:rPr>
        <w:t>车型比×表</w:t>
      </w:r>
      <w:r>
        <w:rPr>
          <w:rFonts w:ascii="仿宋" w:hAnsi="仿宋" w:eastAsia="仿宋" w:cs="仿宋"/>
          <w:spacing w:val="-49"/>
          <w:sz w:val="24"/>
          <w:szCs w:val="24"/>
        </w:rPr>
        <w:t xml:space="preserve"> </w:t>
      </w:r>
      <w:r>
        <w:rPr>
          <w:rFonts w:ascii="仿宋" w:hAnsi="仿宋" w:eastAsia="仿宋" w:cs="仿宋"/>
          <w:spacing w:val="-5"/>
          <w:sz w:val="24"/>
          <w:szCs w:val="24"/>
        </w:rPr>
        <w:t>2.3-3</w:t>
      </w:r>
      <w:r>
        <w:rPr>
          <w:rFonts w:ascii="仿宋" w:hAnsi="仿宋" w:eastAsia="仿宋" w:cs="仿宋"/>
          <w:spacing w:val="-45"/>
          <w:sz w:val="24"/>
          <w:szCs w:val="24"/>
        </w:rPr>
        <w:t xml:space="preserve"> </w:t>
      </w:r>
      <w:r>
        <w:rPr>
          <w:rFonts w:ascii="仿宋" w:hAnsi="仿宋" w:eastAsia="仿宋" w:cs="仿宋"/>
          <w:spacing w:val="-5"/>
          <w:sz w:val="24"/>
          <w:szCs w:val="24"/>
        </w:rPr>
        <w:t>折算系数，核算出不同类型车的总权重，结</w:t>
      </w:r>
      <w:r>
        <w:rPr>
          <w:rFonts w:ascii="仿宋" w:hAnsi="仿宋" w:eastAsia="仿宋" w:cs="仿宋"/>
          <w:sz w:val="24"/>
          <w:szCs w:val="24"/>
        </w:rPr>
        <w:t>果详见表2.3-4。然后用车型比÷总权重×相对交通量，求出绝对交通量，计算</w:t>
      </w:r>
      <w:r>
        <w:rPr>
          <w:rFonts w:ascii="仿宋" w:hAnsi="仿宋" w:eastAsia="仿宋" w:cs="仿宋"/>
          <w:spacing w:val="-1"/>
          <w:sz w:val="24"/>
          <w:szCs w:val="24"/>
        </w:rPr>
        <w:t>结果见表</w:t>
      </w:r>
      <w:r>
        <w:rPr>
          <w:rFonts w:ascii="仿宋" w:hAnsi="仿宋" w:eastAsia="仿宋" w:cs="仿宋"/>
          <w:spacing w:val="-49"/>
          <w:sz w:val="24"/>
          <w:szCs w:val="24"/>
        </w:rPr>
        <w:t xml:space="preserve"> </w:t>
      </w:r>
      <w:r>
        <w:rPr>
          <w:rFonts w:ascii="仿宋" w:hAnsi="仿宋" w:eastAsia="仿宋" w:cs="仿宋"/>
          <w:spacing w:val="-1"/>
          <w:sz w:val="24"/>
          <w:szCs w:val="24"/>
        </w:rPr>
        <w:t>2.3-5，汇总得出路段绝对交通量，计算结果</w:t>
      </w:r>
      <w:r>
        <w:rPr>
          <w:rFonts w:ascii="仿宋" w:hAnsi="仿宋" w:eastAsia="仿宋" w:cs="仿宋"/>
          <w:spacing w:val="-2"/>
          <w:sz w:val="24"/>
          <w:szCs w:val="24"/>
        </w:rPr>
        <w:t>见表</w:t>
      </w:r>
      <w:r>
        <w:rPr>
          <w:rFonts w:ascii="仿宋" w:hAnsi="仿宋" w:eastAsia="仿宋" w:cs="仿宋"/>
          <w:spacing w:val="-48"/>
          <w:sz w:val="24"/>
          <w:szCs w:val="24"/>
        </w:rPr>
        <w:t xml:space="preserve"> </w:t>
      </w:r>
      <w:r>
        <w:rPr>
          <w:rFonts w:ascii="仿宋" w:hAnsi="仿宋" w:eastAsia="仿宋" w:cs="仿宋"/>
          <w:spacing w:val="-2"/>
          <w:sz w:val="24"/>
          <w:szCs w:val="24"/>
        </w:rPr>
        <w:t>2.3-6。</w:t>
      </w:r>
    </w:p>
    <w:p w14:paraId="6CE82689">
      <w:pPr>
        <w:spacing w:line="219" w:lineRule="auto"/>
        <w:ind w:left="2527"/>
        <w:rPr>
          <w:rFonts w:ascii="仿宋" w:hAnsi="仿宋" w:eastAsia="仿宋" w:cs="仿宋"/>
          <w:sz w:val="24"/>
          <w:szCs w:val="24"/>
        </w:rPr>
      </w:pPr>
      <w:r>
        <w:rPr>
          <w:rFonts w:ascii="仿宋" w:hAnsi="仿宋" w:eastAsia="仿宋" w:cs="仿宋"/>
          <w:b/>
          <w:bCs/>
          <w:spacing w:val="-3"/>
          <w:sz w:val="24"/>
          <w:szCs w:val="24"/>
        </w:rPr>
        <w:t>表</w:t>
      </w:r>
      <w:r>
        <w:rPr>
          <w:rFonts w:ascii="仿宋" w:hAnsi="仿宋" w:eastAsia="仿宋" w:cs="仿宋"/>
          <w:spacing w:val="-49"/>
          <w:sz w:val="24"/>
          <w:szCs w:val="24"/>
        </w:rPr>
        <w:t xml:space="preserve"> </w:t>
      </w:r>
      <w:r>
        <w:rPr>
          <w:rFonts w:ascii="仿宋" w:hAnsi="仿宋" w:eastAsia="仿宋" w:cs="仿宋"/>
          <w:b/>
          <w:bCs/>
          <w:spacing w:val="-3"/>
          <w:sz w:val="24"/>
          <w:szCs w:val="24"/>
        </w:rPr>
        <w:t>2.3-4</w:t>
      </w:r>
      <w:r>
        <w:rPr>
          <w:rFonts w:ascii="仿宋" w:hAnsi="仿宋" w:eastAsia="仿宋" w:cs="仿宋"/>
          <w:spacing w:val="-3"/>
          <w:sz w:val="24"/>
          <w:szCs w:val="24"/>
        </w:rPr>
        <w:t xml:space="preserve">    </w:t>
      </w:r>
      <w:r>
        <w:rPr>
          <w:rFonts w:ascii="仿宋" w:hAnsi="仿宋" w:eastAsia="仿宋" w:cs="仿宋"/>
          <w:b/>
          <w:bCs/>
          <w:spacing w:val="-3"/>
          <w:sz w:val="24"/>
          <w:szCs w:val="24"/>
        </w:rPr>
        <w:t>不同车型的总权重</w:t>
      </w:r>
    </w:p>
    <w:p w14:paraId="38E33E5D">
      <w:pPr>
        <w:spacing w:line="147" w:lineRule="exact"/>
      </w:pPr>
    </w:p>
    <w:tbl>
      <w:tblPr>
        <w:tblStyle w:val="5"/>
        <w:tblW w:w="8303" w:type="dxa"/>
        <w:tblInd w:w="1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56"/>
        <w:gridCol w:w="1761"/>
        <w:gridCol w:w="1761"/>
        <w:gridCol w:w="1763"/>
        <w:gridCol w:w="1762"/>
      </w:tblGrid>
      <w:tr w14:paraId="104BC7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1256" w:type="dxa"/>
            <w:tcBorders>
              <w:top w:val="single" w:color="000000" w:sz="10" w:space="0"/>
              <w:left w:val="nil"/>
            </w:tcBorders>
            <w:vAlign w:val="top"/>
          </w:tcPr>
          <w:p w14:paraId="27AB234C">
            <w:pPr>
              <w:spacing w:before="68" w:line="231" w:lineRule="auto"/>
              <w:ind w:left="324"/>
              <w:rPr>
                <w:rFonts w:ascii="仿宋" w:hAnsi="仿宋" w:eastAsia="仿宋" w:cs="仿宋"/>
                <w:sz w:val="20"/>
                <w:szCs w:val="20"/>
              </w:rPr>
            </w:pPr>
            <w:r>
              <w:rPr>
                <w:rFonts w:ascii="仿宋" w:hAnsi="仿宋" w:eastAsia="仿宋" w:cs="仿宋"/>
                <w:spacing w:val="5"/>
                <w:sz w:val="20"/>
                <w:szCs w:val="20"/>
              </w:rPr>
              <w:t>特征年</w:t>
            </w:r>
          </w:p>
        </w:tc>
        <w:tc>
          <w:tcPr>
            <w:tcW w:w="1761" w:type="dxa"/>
            <w:tcBorders>
              <w:top w:val="single" w:color="000000" w:sz="10" w:space="0"/>
            </w:tcBorders>
            <w:vAlign w:val="top"/>
          </w:tcPr>
          <w:p w14:paraId="6C3FD72A">
            <w:pPr>
              <w:spacing w:before="68" w:line="228" w:lineRule="auto"/>
              <w:ind w:left="575"/>
              <w:rPr>
                <w:rFonts w:ascii="仿宋" w:hAnsi="仿宋" w:eastAsia="仿宋" w:cs="仿宋"/>
                <w:sz w:val="20"/>
                <w:szCs w:val="20"/>
              </w:rPr>
            </w:pPr>
            <w:r>
              <w:rPr>
                <w:rFonts w:ascii="仿宋" w:hAnsi="仿宋" w:eastAsia="仿宋" w:cs="仿宋"/>
                <w:spacing w:val="5"/>
                <w:sz w:val="20"/>
                <w:szCs w:val="20"/>
              </w:rPr>
              <w:t>小型车</w:t>
            </w:r>
          </w:p>
        </w:tc>
        <w:tc>
          <w:tcPr>
            <w:tcW w:w="1761" w:type="dxa"/>
            <w:tcBorders>
              <w:top w:val="single" w:color="000000" w:sz="10" w:space="0"/>
            </w:tcBorders>
            <w:vAlign w:val="top"/>
          </w:tcPr>
          <w:p w14:paraId="100FC0F0">
            <w:pPr>
              <w:spacing w:before="68" w:line="228" w:lineRule="auto"/>
              <w:ind w:left="603"/>
              <w:rPr>
                <w:rFonts w:ascii="仿宋" w:hAnsi="仿宋" w:eastAsia="仿宋" w:cs="仿宋"/>
                <w:sz w:val="20"/>
                <w:szCs w:val="20"/>
              </w:rPr>
            </w:pPr>
            <w:r>
              <w:rPr>
                <w:rFonts w:ascii="仿宋" w:hAnsi="仿宋" w:eastAsia="仿宋" w:cs="仿宋"/>
                <w:spacing w:val="-4"/>
                <w:sz w:val="20"/>
                <w:szCs w:val="20"/>
              </w:rPr>
              <w:t>中型车</w:t>
            </w:r>
          </w:p>
        </w:tc>
        <w:tc>
          <w:tcPr>
            <w:tcW w:w="1763" w:type="dxa"/>
            <w:tcBorders>
              <w:top w:val="single" w:color="000000" w:sz="10" w:space="0"/>
            </w:tcBorders>
            <w:vAlign w:val="top"/>
          </w:tcPr>
          <w:p w14:paraId="583845F7">
            <w:pPr>
              <w:spacing w:before="68" w:line="228" w:lineRule="auto"/>
              <w:ind w:left="579"/>
              <w:rPr>
                <w:rFonts w:ascii="仿宋" w:hAnsi="仿宋" w:eastAsia="仿宋" w:cs="仿宋"/>
                <w:sz w:val="20"/>
                <w:szCs w:val="20"/>
              </w:rPr>
            </w:pPr>
            <w:r>
              <w:rPr>
                <w:rFonts w:ascii="仿宋" w:hAnsi="仿宋" w:eastAsia="仿宋" w:cs="仿宋"/>
                <w:spacing w:val="4"/>
                <w:sz w:val="20"/>
                <w:szCs w:val="20"/>
              </w:rPr>
              <w:t>大型车</w:t>
            </w:r>
          </w:p>
        </w:tc>
        <w:tc>
          <w:tcPr>
            <w:tcW w:w="1762" w:type="dxa"/>
            <w:tcBorders>
              <w:top w:val="single" w:color="000000" w:sz="10" w:space="0"/>
              <w:right w:val="nil"/>
            </w:tcBorders>
            <w:vAlign w:val="top"/>
          </w:tcPr>
          <w:p w14:paraId="78422783">
            <w:pPr>
              <w:spacing w:before="68" w:line="231" w:lineRule="auto"/>
              <w:ind w:left="689"/>
              <w:rPr>
                <w:rFonts w:ascii="仿宋" w:hAnsi="仿宋" w:eastAsia="仿宋" w:cs="仿宋"/>
                <w:sz w:val="20"/>
                <w:szCs w:val="20"/>
              </w:rPr>
            </w:pPr>
            <w:r>
              <w:rPr>
                <w:rFonts w:ascii="仿宋" w:hAnsi="仿宋" w:eastAsia="仿宋" w:cs="仿宋"/>
                <w:spacing w:val="-1"/>
                <w:sz w:val="20"/>
                <w:szCs w:val="20"/>
              </w:rPr>
              <w:t>合计</w:t>
            </w:r>
          </w:p>
        </w:tc>
      </w:tr>
      <w:tr w14:paraId="508F80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1256" w:type="dxa"/>
            <w:tcBorders>
              <w:left w:val="nil"/>
            </w:tcBorders>
            <w:vAlign w:val="top"/>
          </w:tcPr>
          <w:p w14:paraId="4ABEC07C">
            <w:pPr>
              <w:spacing w:before="71" w:line="238" w:lineRule="auto"/>
              <w:ind w:left="424"/>
              <w:rPr>
                <w:rFonts w:ascii="仿宋" w:hAnsi="仿宋" w:eastAsia="仿宋" w:cs="仿宋"/>
                <w:sz w:val="20"/>
                <w:szCs w:val="20"/>
              </w:rPr>
            </w:pPr>
            <w:r>
              <w:rPr>
                <w:rFonts w:ascii="仿宋" w:hAnsi="仿宋" w:eastAsia="仿宋" w:cs="仿宋"/>
                <w:spacing w:val="2"/>
                <w:sz w:val="20"/>
                <w:szCs w:val="20"/>
              </w:rPr>
              <w:t>2027</w:t>
            </w:r>
          </w:p>
        </w:tc>
        <w:tc>
          <w:tcPr>
            <w:tcW w:w="1761" w:type="dxa"/>
            <w:vAlign w:val="top"/>
          </w:tcPr>
          <w:p w14:paraId="755DEFDE">
            <w:pPr>
              <w:spacing w:before="73" w:line="236" w:lineRule="auto"/>
              <w:ind w:left="570"/>
              <w:rPr>
                <w:rFonts w:ascii="仿宋" w:hAnsi="仿宋" w:eastAsia="仿宋" w:cs="仿宋"/>
                <w:sz w:val="20"/>
                <w:szCs w:val="20"/>
              </w:rPr>
            </w:pPr>
            <w:r>
              <w:rPr>
                <w:rFonts w:ascii="仿宋" w:hAnsi="仿宋" w:eastAsia="仿宋" w:cs="仿宋"/>
                <w:spacing w:val="3"/>
                <w:sz w:val="20"/>
                <w:szCs w:val="20"/>
              </w:rPr>
              <w:t>88.31%</w:t>
            </w:r>
          </w:p>
        </w:tc>
        <w:tc>
          <w:tcPr>
            <w:tcW w:w="1761" w:type="dxa"/>
            <w:vAlign w:val="top"/>
          </w:tcPr>
          <w:p w14:paraId="6CD2249B">
            <w:pPr>
              <w:spacing w:before="73" w:line="236" w:lineRule="auto"/>
              <w:ind w:left="585"/>
              <w:rPr>
                <w:rFonts w:ascii="仿宋" w:hAnsi="仿宋" w:eastAsia="仿宋" w:cs="仿宋"/>
                <w:sz w:val="20"/>
                <w:szCs w:val="20"/>
              </w:rPr>
            </w:pPr>
            <w:r>
              <w:rPr>
                <w:rFonts w:ascii="仿宋" w:hAnsi="仿宋" w:eastAsia="仿宋" w:cs="仿宋"/>
                <w:spacing w:val="1"/>
                <w:sz w:val="20"/>
                <w:szCs w:val="20"/>
              </w:rPr>
              <w:t>17.54%</w:t>
            </w:r>
          </w:p>
        </w:tc>
        <w:tc>
          <w:tcPr>
            <w:tcW w:w="1763" w:type="dxa"/>
            <w:vAlign w:val="top"/>
          </w:tcPr>
          <w:p w14:paraId="2D89A21D">
            <w:pPr>
              <w:spacing w:before="73" w:line="236" w:lineRule="auto"/>
              <w:ind w:left="625"/>
              <w:rPr>
                <w:rFonts w:ascii="仿宋" w:hAnsi="仿宋" w:eastAsia="仿宋" w:cs="仿宋"/>
                <w:sz w:val="20"/>
                <w:szCs w:val="20"/>
              </w:rPr>
            </w:pPr>
            <w:r>
              <w:rPr>
                <w:rFonts w:ascii="仿宋" w:hAnsi="仿宋" w:eastAsia="仿宋" w:cs="仿宋"/>
                <w:spacing w:val="3"/>
                <w:sz w:val="20"/>
                <w:szCs w:val="20"/>
              </w:rPr>
              <w:t>0.00%</w:t>
            </w:r>
          </w:p>
        </w:tc>
        <w:tc>
          <w:tcPr>
            <w:tcW w:w="1762" w:type="dxa"/>
            <w:tcBorders>
              <w:right w:val="nil"/>
            </w:tcBorders>
            <w:vAlign w:val="top"/>
          </w:tcPr>
          <w:p w14:paraId="6C991773">
            <w:pPr>
              <w:spacing w:before="73" w:line="236" w:lineRule="auto"/>
              <w:ind w:left="536"/>
              <w:rPr>
                <w:rFonts w:ascii="仿宋" w:hAnsi="仿宋" w:eastAsia="仿宋" w:cs="仿宋"/>
                <w:sz w:val="20"/>
                <w:szCs w:val="20"/>
              </w:rPr>
            </w:pPr>
            <w:r>
              <w:rPr>
                <w:rFonts w:ascii="仿宋" w:hAnsi="仿宋" w:eastAsia="仿宋" w:cs="仿宋"/>
                <w:spacing w:val="1"/>
                <w:sz w:val="20"/>
                <w:szCs w:val="20"/>
              </w:rPr>
              <w:t>105.85%</w:t>
            </w:r>
          </w:p>
        </w:tc>
      </w:tr>
      <w:tr w14:paraId="62C2E6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1256" w:type="dxa"/>
            <w:tcBorders>
              <w:left w:val="nil"/>
            </w:tcBorders>
            <w:vAlign w:val="top"/>
          </w:tcPr>
          <w:p w14:paraId="284B3362">
            <w:pPr>
              <w:spacing w:before="77" w:line="232" w:lineRule="auto"/>
              <w:ind w:left="424"/>
              <w:rPr>
                <w:rFonts w:ascii="仿宋" w:hAnsi="仿宋" w:eastAsia="仿宋" w:cs="仿宋"/>
                <w:sz w:val="20"/>
                <w:szCs w:val="20"/>
              </w:rPr>
            </w:pPr>
            <w:r>
              <w:rPr>
                <w:rFonts w:ascii="仿宋" w:hAnsi="仿宋" w:eastAsia="仿宋" w:cs="仿宋"/>
                <w:spacing w:val="2"/>
                <w:sz w:val="20"/>
                <w:szCs w:val="20"/>
              </w:rPr>
              <w:t>2031</w:t>
            </w:r>
          </w:p>
        </w:tc>
        <w:tc>
          <w:tcPr>
            <w:tcW w:w="1761" w:type="dxa"/>
            <w:vAlign w:val="top"/>
          </w:tcPr>
          <w:p w14:paraId="159C4665">
            <w:pPr>
              <w:spacing w:before="77" w:line="232" w:lineRule="auto"/>
              <w:ind w:left="570"/>
              <w:rPr>
                <w:rFonts w:ascii="仿宋" w:hAnsi="仿宋" w:eastAsia="仿宋" w:cs="仿宋"/>
                <w:sz w:val="20"/>
                <w:szCs w:val="20"/>
              </w:rPr>
            </w:pPr>
            <w:r>
              <w:rPr>
                <w:rFonts w:ascii="仿宋" w:hAnsi="仿宋" w:eastAsia="仿宋" w:cs="仿宋"/>
                <w:spacing w:val="3"/>
                <w:sz w:val="20"/>
                <w:szCs w:val="20"/>
              </w:rPr>
              <w:t>88.01%</w:t>
            </w:r>
          </w:p>
        </w:tc>
        <w:tc>
          <w:tcPr>
            <w:tcW w:w="1761" w:type="dxa"/>
            <w:vAlign w:val="top"/>
          </w:tcPr>
          <w:p w14:paraId="281FEA88">
            <w:pPr>
              <w:spacing w:before="77" w:line="232" w:lineRule="auto"/>
              <w:ind w:left="585"/>
              <w:rPr>
                <w:rFonts w:ascii="仿宋" w:hAnsi="仿宋" w:eastAsia="仿宋" w:cs="仿宋"/>
                <w:sz w:val="20"/>
                <w:szCs w:val="20"/>
              </w:rPr>
            </w:pPr>
            <w:r>
              <w:rPr>
                <w:rFonts w:ascii="仿宋" w:hAnsi="仿宋" w:eastAsia="仿宋" w:cs="仿宋"/>
                <w:spacing w:val="1"/>
                <w:sz w:val="20"/>
                <w:szCs w:val="20"/>
              </w:rPr>
              <w:t>17.99%</w:t>
            </w:r>
          </w:p>
        </w:tc>
        <w:tc>
          <w:tcPr>
            <w:tcW w:w="1763" w:type="dxa"/>
            <w:vAlign w:val="top"/>
          </w:tcPr>
          <w:p w14:paraId="599EF5A4">
            <w:pPr>
              <w:spacing w:before="77" w:line="232" w:lineRule="auto"/>
              <w:ind w:left="625"/>
              <w:rPr>
                <w:rFonts w:ascii="仿宋" w:hAnsi="仿宋" w:eastAsia="仿宋" w:cs="仿宋"/>
                <w:sz w:val="20"/>
                <w:szCs w:val="20"/>
              </w:rPr>
            </w:pPr>
            <w:r>
              <w:rPr>
                <w:rFonts w:ascii="仿宋" w:hAnsi="仿宋" w:eastAsia="仿宋" w:cs="仿宋"/>
                <w:spacing w:val="3"/>
                <w:sz w:val="20"/>
                <w:szCs w:val="20"/>
              </w:rPr>
              <w:t>0.00%</w:t>
            </w:r>
          </w:p>
        </w:tc>
        <w:tc>
          <w:tcPr>
            <w:tcW w:w="1762" w:type="dxa"/>
            <w:tcBorders>
              <w:right w:val="nil"/>
            </w:tcBorders>
            <w:vAlign w:val="top"/>
          </w:tcPr>
          <w:p w14:paraId="05C61FFF">
            <w:pPr>
              <w:spacing w:before="77" w:line="232" w:lineRule="auto"/>
              <w:ind w:left="536"/>
              <w:rPr>
                <w:rFonts w:ascii="仿宋" w:hAnsi="仿宋" w:eastAsia="仿宋" w:cs="仿宋"/>
                <w:sz w:val="20"/>
                <w:szCs w:val="20"/>
              </w:rPr>
            </w:pPr>
            <w:r>
              <w:rPr>
                <w:rFonts w:ascii="仿宋" w:hAnsi="仿宋" w:eastAsia="仿宋" w:cs="仿宋"/>
                <w:spacing w:val="1"/>
                <w:sz w:val="20"/>
                <w:szCs w:val="20"/>
              </w:rPr>
              <w:t>106.00%</w:t>
            </w:r>
          </w:p>
        </w:tc>
      </w:tr>
      <w:tr w14:paraId="126DC6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1256" w:type="dxa"/>
            <w:tcBorders>
              <w:left w:val="nil"/>
              <w:bottom w:val="single" w:color="000000" w:sz="10" w:space="0"/>
            </w:tcBorders>
            <w:vAlign w:val="top"/>
          </w:tcPr>
          <w:p w14:paraId="0B4E229A">
            <w:pPr>
              <w:spacing w:before="83" w:line="269" w:lineRule="exact"/>
              <w:ind w:left="424"/>
              <w:rPr>
                <w:rFonts w:ascii="仿宋" w:hAnsi="仿宋" w:eastAsia="仿宋" w:cs="仿宋"/>
                <w:sz w:val="20"/>
                <w:szCs w:val="20"/>
              </w:rPr>
            </w:pPr>
            <w:r>
              <w:rPr>
                <w:rFonts w:ascii="仿宋" w:hAnsi="仿宋" w:eastAsia="仿宋" w:cs="仿宋"/>
                <w:spacing w:val="2"/>
                <w:position w:val="1"/>
                <w:sz w:val="20"/>
                <w:szCs w:val="20"/>
              </w:rPr>
              <w:t>2036</w:t>
            </w:r>
          </w:p>
        </w:tc>
        <w:tc>
          <w:tcPr>
            <w:tcW w:w="1761" w:type="dxa"/>
            <w:tcBorders>
              <w:bottom w:val="single" w:color="000000" w:sz="10" w:space="0"/>
            </w:tcBorders>
            <w:vAlign w:val="top"/>
          </w:tcPr>
          <w:p w14:paraId="59733F98">
            <w:pPr>
              <w:spacing w:before="83" w:line="269" w:lineRule="exact"/>
              <w:ind w:left="570"/>
              <w:rPr>
                <w:rFonts w:ascii="仿宋" w:hAnsi="仿宋" w:eastAsia="仿宋" w:cs="仿宋"/>
                <w:sz w:val="20"/>
                <w:szCs w:val="20"/>
              </w:rPr>
            </w:pPr>
            <w:r>
              <w:rPr>
                <w:rFonts w:ascii="仿宋" w:hAnsi="仿宋" w:eastAsia="仿宋" w:cs="仿宋"/>
                <w:spacing w:val="3"/>
                <w:position w:val="1"/>
                <w:sz w:val="20"/>
                <w:szCs w:val="20"/>
              </w:rPr>
              <w:t>88.41%</w:t>
            </w:r>
          </w:p>
        </w:tc>
        <w:tc>
          <w:tcPr>
            <w:tcW w:w="1761" w:type="dxa"/>
            <w:tcBorders>
              <w:bottom w:val="single" w:color="000000" w:sz="10" w:space="0"/>
            </w:tcBorders>
            <w:vAlign w:val="top"/>
          </w:tcPr>
          <w:p w14:paraId="0FB6C120">
            <w:pPr>
              <w:spacing w:before="83" w:line="269" w:lineRule="exact"/>
              <w:ind w:left="585"/>
              <w:rPr>
                <w:rFonts w:ascii="仿宋" w:hAnsi="仿宋" w:eastAsia="仿宋" w:cs="仿宋"/>
                <w:sz w:val="20"/>
                <w:szCs w:val="20"/>
              </w:rPr>
            </w:pPr>
            <w:r>
              <w:rPr>
                <w:rFonts w:ascii="仿宋" w:hAnsi="仿宋" w:eastAsia="仿宋" w:cs="仿宋"/>
                <w:spacing w:val="1"/>
                <w:position w:val="1"/>
                <w:sz w:val="20"/>
                <w:szCs w:val="20"/>
              </w:rPr>
              <w:t>17.39%</w:t>
            </w:r>
          </w:p>
        </w:tc>
        <w:tc>
          <w:tcPr>
            <w:tcW w:w="1763" w:type="dxa"/>
            <w:tcBorders>
              <w:bottom w:val="single" w:color="000000" w:sz="10" w:space="0"/>
            </w:tcBorders>
            <w:vAlign w:val="top"/>
          </w:tcPr>
          <w:p w14:paraId="6E913FDA">
            <w:pPr>
              <w:spacing w:before="83" w:line="269" w:lineRule="exact"/>
              <w:ind w:left="625"/>
              <w:rPr>
                <w:rFonts w:ascii="仿宋" w:hAnsi="仿宋" w:eastAsia="仿宋" w:cs="仿宋"/>
                <w:sz w:val="20"/>
                <w:szCs w:val="20"/>
              </w:rPr>
            </w:pPr>
            <w:r>
              <w:rPr>
                <w:rFonts w:ascii="仿宋" w:hAnsi="仿宋" w:eastAsia="仿宋" w:cs="仿宋"/>
                <w:spacing w:val="3"/>
                <w:position w:val="1"/>
                <w:sz w:val="20"/>
                <w:szCs w:val="20"/>
              </w:rPr>
              <w:t>0.00%</w:t>
            </w:r>
          </w:p>
        </w:tc>
        <w:tc>
          <w:tcPr>
            <w:tcW w:w="1762" w:type="dxa"/>
            <w:tcBorders>
              <w:bottom w:val="single" w:color="000000" w:sz="10" w:space="0"/>
              <w:right w:val="nil"/>
            </w:tcBorders>
            <w:vAlign w:val="top"/>
          </w:tcPr>
          <w:p w14:paraId="61911F94">
            <w:pPr>
              <w:spacing w:before="83" w:line="269" w:lineRule="exact"/>
              <w:ind w:left="536"/>
              <w:rPr>
                <w:rFonts w:ascii="仿宋" w:hAnsi="仿宋" w:eastAsia="仿宋" w:cs="仿宋"/>
                <w:sz w:val="20"/>
                <w:szCs w:val="20"/>
              </w:rPr>
            </w:pPr>
            <w:r>
              <w:rPr>
                <w:rFonts w:ascii="仿宋" w:hAnsi="仿宋" w:eastAsia="仿宋" w:cs="仿宋"/>
                <w:spacing w:val="1"/>
                <w:position w:val="1"/>
                <w:sz w:val="20"/>
                <w:szCs w:val="20"/>
              </w:rPr>
              <w:t>105.80%</w:t>
            </w:r>
          </w:p>
        </w:tc>
      </w:tr>
    </w:tbl>
    <w:p w14:paraId="63BD1F13">
      <w:pPr>
        <w:spacing w:before="192" w:line="221" w:lineRule="auto"/>
        <w:ind w:left="1623"/>
        <w:rPr>
          <w:rFonts w:ascii="仿宋" w:hAnsi="仿宋" w:eastAsia="仿宋" w:cs="仿宋"/>
          <w:sz w:val="24"/>
          <w:szCs w:val="24"/>
        </w:rPr>
      </w:pPr>
      <w:r>
        <w:rPr>
          <w:rFonts w:ascii="仿宋" w:hAnsi="仿宋" w:eastAsia="仿宋" w:cs="仿宋"/>
          <w:b/>
          <w:bCs/>
          <w:spacing w:val="-3"/>
          <w:sz w:val="24"/>
          <w:szCs w:val="24"/>
        </w:rPr>
        <w:t>表</w:t>
      </w:r>
      <w:r>
        <w:rPr>
          <w:rFonts w:ascii="仿宋" w:hAnsi="仿宋" w:eastAsia="仿宋" w:cs="仿宋"/>
          <w:spacing w:val="-48"/>
          <w:sz w:val="24"/>
          <w:szCs w:val="24"/>
        </w:rPr>
        <w:t xml:space="preserve"> </w:t>
      </w:r>
      <w:r>
        <w:rPr>
          <w:rFonts w:ascii="仿宋" w:hAnsi="仿宋" w:eastAsia="仿宋" w:cs="仿宋"/>
          <w:b/>
          <w:bCs/>
          <w:spacing w:val="-3"/>
          <w:sz w:val="24"/>
          <w:szCs w:val="24"/>
        </w:rPr>
        <w:t>2.3-5</w:t>
      </w:r>
      <w:r>
        <w:rPr>
          <w:rFonts w:ascii="仿宋" w:hAnsi="仿宋" w:eastAsia="仿宋" w:cs="仿宋"/>
          <w:spacing w:val="-3"/>
          <w:sz w:val="24"/>
          <w:szCs w:val="24"/>
        </w:rPr>
        <w:t xml:space="preserve">    </w:t>
      </w:r>
      <w:r>
        <w:rPr>
          <w:rFonts w:ascii="仿宋" w:hAnsi="仿宋" w:eastAsia="仿宋" w:cs="仿宋"/>
          <w:b/>
          <w:bCs/>
          <w:spacing w:val="-3"/>
          <w:sz w:val="24"/>
          <w:szCs w:val="24"/>
        </w:rPr>
        <w:t>绝对交通量计算结果表</w:t>
      </w:r>
      <w:r>
        <w:rPr>
          <w:rFonts w:ascii="仿宋" w:hAnsi="仿宋" w:eastAsia="仿宋" w:cs="仿宋"/>
          <w:spacing w:val="20"/>
          <w:sz w:val="24"/>
          <w:szCs w:val="24"/>
        </w:rPr>
        <w:t xml:space="preserve"> </w:t>
      </w:r>
      <w:r>
        <w:rPr>
          <w:rFonts w:ascii="仿宋" w:hAnsi="仿宋" w:eastAsia="仿宋" w:cs="仿宋"/>
          <w:b/>
          <w:bCs/>
          <w:spacing w:val="-3"/>
          <w:sz w:val="24"/>
          <w:szCs w:val="24"/>
        </w:rPr>
        <w:t>单</w:t>
      </w:r>
      <w:r>
        <w:rPr>
          <w:rFonts w:ascii="仿宋" w:hAnsi="仿宋" w:eastAsia="仿宋" w:cs="仿宋"/>
          <w:b/>
          <w:bCs/>
          <w:spacing w:val="-4"/>
          <w:sz w:val="24"/>
          <w:szCs w:val="24"/>
        </w:rPr>
        <w:t>位：辆/d</w:t>
      </w:r>
    </w:p>
    <w:p w14:paraId="3EFE0AEE">
      <w:pPr>
        <w:spacing w:line="145" w:lineRule="exact"/>
      </w:pPr>
    </w:p>
    <w:tbl>
      <w:tblPr>
        <w:tblStyle w:val="5"/>
        <w:tblW w:w="8305"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83"/>
        <w:gridCol w:w="1753"/>
        <w:gridCol w:w="1753"/>
        <w:gridCol w:w="1753"/>
        <w:gridCol w:w="1563"/>
      </w:tblGrid>
      <w:tr w14:paraId="2EF8BD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1483" w:type="dxa"/>
            <w:tcBorders>
              <w:top w:val="single" w:color="000000" w:sz="10" w:space="0"/>
              <w:left w:val="nil"/>
            </w:tcBorders>
            <w:vAlign w:val="top"/>
          </w:tcPr>
          <w:p w14:paraId="0E4EE6F8">
            <w:pPr>
              <w:spacing w:before="69" w:line="231" w:lineRule="auto"/>
              <w:ind w:left="437"/>
              <w:rPr>
                <w:rFonts w:ascii="仿宋" w:hAnsi="仿宋" w:eastAsia="仿宋" w:cs="仿宋"/>
                <w:sz w:val="20"/>
                <w:szCs w:val="20"/>
              </w:rPr>
            </w:pPr>
            <w:r>
              <w:rPr>
                <w:rFonts w:ascii="仿宋" w:hAnsi="仿宋" w:eastAsia="仿宋" w:cs="仿宋"/>
                <w:spacing w:val="5"/>
                <w:sz w:val="20"/>
                <w:szCs w:val="20"/>
              </w:rPr>
              <w:t>特征年</w:t>
            </w:r>
          </w:p>
        </w:tc>
        <w:tc>
          <w:tcPr>
            <w:tcW w:w="1753" w:type="dxa"/>
            <w:tcBorders>
              <w:top w:val="single" w:color="000000" w:sz="10" w:space="0"/>
            </w:tcBorders>
            <w:vAlign w:val="top"/>
          </w:tcPr>
          <w:p w14:paraId="6312AEDE">
            <w:pPr>
              <w:spacing w:before="69" w:line="228" w:lineRule="auto"/>
              <w:ind w:left="573"/>
              <w:rPr>
                <w:rFonts w:ascii="仿宋" w:hAnsi="仿宋" w:eastAsia="仿宋" w:cs="仿宋"/>
                <w:sz w:val="20"/>
                <w:szCs w:val="20"/>
              </w:rPr>
            </w:pPr>
            <w:r>
              <w:rPr>
                <w:rFonts w:ascii="仿宋" w:hAnsi="仿宋" w:eastAsia="仿宋" w:cs="仿宋"/>
                <w:spacing w:val="5"/>
                <w:sz w:val="20"/>
                <w:szCs w:val="20"/>
              </w:rPr>
              <w:t>小型车</w:t>
            </w:r>
          </w:p>
        </w:tc>
        <w:tc>
          <w:tcPr>
            <w:tcW w:w="1753" w:type="dxa"/>
            <w:tcBorders>
              <w:top w:val="single" w:color="000000" w:sz="10" w:space="0"/>
            </w:tcBorders>
            <w:vAlign w:val="top"/>
          </w:tcPr>
          <w:p w14:paraId="4B70922C">
            <w:pPr>
              <w:spacing w:before="69" w:line="228" w:lineRule="auto"/>
              <w:ind w:left="599"/>
              <w:rPr>
                <w:rFonts w:ascii="仿宋" w:hAnsi="仿宋" w:eastAsia="仿宋" w:cs="仿宋"/>
                <w:sz w:val="20"/>
                <w:szCs w:val="20"/>
              </w:rPr>
            </w:pPr>
            <w:r>
              <w:rPr>
                <w:rFonts w:ascii="仿宋" w:hAnsi="仿宋" w:eastAsia="仿宋" w:cs="仿宋"/>
                <w:spacing w:val="-4"/>
                <w:sz w:val="20"/>
                <w:szCs w:val="20"/>
              </w:rPr>
              <w:t>中型车</w:t>
            </w:r>
          </w:p>
        </w:tc>
        <w:tc>
          <w:tcPr>
            <w:tcW w:w="1753" w:type="dxa"/>
            <w:tcBorders>
              <w:top w:val="single" w:color="000000" w:sz="10" w:space="0"/>
            </w:tcBorders>
            <w:vAlign w:val="top"/>
          </w:tcPr>
          <w:p w14:paraId="5BEA7118">
            <w:pPr>
              <w:spacing w:before="69" w:line="228" w:lineRule="auto"/>
              <w:ind w:left="575"/>
              <w:rPr>
                <w:rFonts w:ascii="仿宋" w:hAnsi="仿宋" w:eastAsia="仿宋" w:cs="仿宋"/>
                <w:sz w:val="20"/>
                <w:szCs w:val="20"/>
              </w:rPr>
            </w:pPr>
            <w:r>
              <w:rPr>
                <w:rFonts w:ascii="仿宋" w:hAnsi="仿宋" w:eastAsia="仿宋" w:cs="仿宋"/>
                <w:spacing w:val="4"/>
                <w:sz w:val="20"/>
                <w:szCs w:val="20"/>
              </w:rPr>
              <w:t>大型车</w:t>
            </w:r>
          </w:p>
        </w:tc>
        <w:tc>
          <w:tcPr>
            <w:tcW w:w="1563" w:type="dxa"/>
            <w:tcBorders>
              <w:top w:val="single" w:color="000000" w:sz="10" w:space="0"/>
              <w:right w:val="nil"/>
            </w:tcBorders>
            <w:vAlign w:val="top"/>
          </w:tcPr>
          <w:p w14:paraId="32C127FF">
            <w:pPr>
              <w:spacing w:before="69" w:line="231" w:lineRule="auto"/>
              <w:ind w:left="592"/>
              <w:rPr>
                <w:rFonts w:ascii="仿宋" w:hAnsi="仿宋" w:eastAsia="仿宋" w:cs="仿宋"/>
                <w:sz w:val="20"/>
                <w:szCs w:val="20"/>
              </w:rPr>
            </w:pPr>
            <w:r>
              <w:rPr>
                <w:rFonts w:ascii="仿宋" w:hAnsi="仿宋" w:eastAsia="仿宋" w:cs="仿宋"/>
                <w:spacing w:val="-1"/>
                <w:sz w:val="20"/>
                <w:szCs w:val="20"/>
              </w:rPr>
              <w:t>合计</w:t>
            </w:r>
          </w:p>
        </w:tc>
      </w:tr>
      <w:tr w14:paraId="72C616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1483" w:type="dxa"/>
            <w:tcBorders>
              <w:left w:val="nil"/>
            </w:tcBorders>
            <w:vAlign w:val="top"/>
          </w:tcPr>
          <w:p w14:paraId="7A1818DB">
            <w:pPr>
              <w:spacing w:before="71" w:line="238" w:lineRule="auto"/>
              <w:ind w:left="537"/>
              <w:rPr>
                <w:rFonts w:ascii="仿宋" w:hAnsi="仿宋" w:eastAsia="仿宋" w:cs="仿宋"/>
                <w:sz w:val="20"/>
                <w:szCs w:val="20"/>
              </w:rPr>
            </w:pPr>
            <w:r>
              <w:rPr>
                <w:rFonts w:ascii="仿宋" w:hAnsi="仿宋" w:eastAsia="仿宋" w:cs="仿宋"/>
                <w:spacing w:val="2"/>
                <w:sz w:val="20"/>
                <w:szCs w:val="20"/>
              </w:rPr>
              <w:t>2027</w:t>
            </w:r>
          </w:p>
        </w:tc>
        <w:tc>
          <w:tcPr>
            <w:tcW w:w="1753" w:type="dxa"/>
            <w:vAlign w:val="top"/>
          </w:tcPr>
          <w:p w14:paraId="4A0E2F06">
            <w:pPr>
              <w:spacing w:before="71" w:line="238" w:lineRule="auto"/>
              <w:ind w:left="740"/>
              <w:rPr>
                <w:rFonts w:ascii="仿宋" w:hAnsi="仿宋" w:eastAsia="仿宋" w:cs="仿宋"/>
                <w:sz w:val="20"/>
                <w:szCs w:val="20"/>
              </w:rPr>
            </w:pPr>
            <w:r>
              <w:rPr>
                <w:rFonts w:ascii="仿宋" w:hAnsi="仿宋" w:eastAsia="仿宋" w:cs="仿宋"/>
                <w:spacing w:val="-3"/>
                <w:sz w:val="20"/>
                <w:szCs w:val="20"/>
              </w:rPr>
              <w:t>178</w:t>
            </w:r>
          </w:p>
        </w:tc>
        <w:tc>
          <w:tcPr>
            <w:tcW w:w="1753" w:type="dxa"/>
            <w:vAlign w:val="top"/>
          </w:tcPr>
          <w:p w14:paraId="6DF63FAE">
            <w:pPr>
              <w:spacing w:before="71" w:line="238" w:lineRule="auto"/>
              <w:ind w:left="779"/>
              <w:rPr>
                <w:rFonts w:ascii="仿宋" w:hAnsi="仿宋" w:eastAsia="仿宋" w:cs="仿宋"/>
                <w:sz w:val="20"/>
                <w:szCs w:val="20"/>
              </w:rPr>
            </w:pPr>
            <w:r>
              <w:rPr>
                <w:rFonts w:ascii="仿宋" w:hAnsi="仿宋" w:eastAsia="仿宋" w:cs="仿宋"/>
                <w:sz w:val="20"/>
                <w:szCs w:val="20"/>
              </w:rPr>
              <w:t>24</w:t>
            </w:r>
          </w:p>
        </w:tc>
        <w:tc>
          <w:tcPr>
            <w:tcW w:w="1753" w:type="dxa"/>
            <w:vAlign w:val="top"/>
          </w:tcPr>
          <w:p w14:paraId="53BFBEFF">
            <w:pPr>
              <w:spacing w:before="71" w:line="238" w:lineRule="auto"/>
              <w:ind w:left="830"/>
              <w:rPr>
                <w:rFonts w:ascii="仿宋" w:hAnsi="仿宋" w:eastAsia="仿宋" w:cs="仿宋"/>
                <w:sz w:val="20"/>
                <w:szCs w:val="20"/>
              </w:rPr>
            </w:pPr>
            <w:r>
              <w:rPr>
                <w:rFonts w:ascii="仿宋" w:hAnsi="仿宋" w:eastAsia="仿宋" w:cs="仿宋"/>
                <w:sz w:val="20"/>
                <w:szCs w:val="20"/>
              </w:rPr>
              <w:t>0</w:t>
            </w:r>
          </w:p>
        </w:tc>
        <w:tc>
          <w:tcPr>
            <w:tcW w:w="1563" w:type="dxa"/>
            <w:tcBorders>
              <w:right w:val="nil"/>
            </w:tcBorders>
            <w:vAlign w:val="top"/>
          </w:tcPr>
          <w:p w14:paraId="0DB0C410">
            <w:pPr>
              <w:spacing w:before="71" w:line="238" w:lineRule="auto"/>
              <w:ind w:left="633"/>
              <w:rPr>
                <w:rFonts w:ascii="仿宋" w:hAnsi="仿宋" w:eastAsia="仿宋" w:cs="仿宋"/>
                <w:sz w:val="20"/>
                <w:szCs w:val="20"/>
              </w:rPr>
            </w:pPr>
            <w:r>
              <w:rPr>
                <w:rFonts w:ascii="仿宋" w:hAnsi="仿宋" w:eastAsia="仿宋" w:cs="仿宋"/>
                <w:spacing w:val="1"/>
                <w:sz w:val="20"/>
                <w:szCs w:val="20"/>
              </w:rPr>
              <w:t>201</w:t>
            </w:r>
          </w:p>
        </w:tc>
      </w:tr>
      <w:tr w14:paraId="1D6FA9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1483" w:type="dxa"/>
            <w:tcBorders>
              <w:left w:val="nil"/>
            </w:tcBorders>
            <w:vAlign w:val="top"/>
          </w:tcPr>
          <w:p w14:paraId="1E506C16">
            <w:pPr>
              <w:spacing w:before="77" w:line="232" w:lineRule="auto"/>
              <w:ind w:left="537"/>
              <w:rPr>
                <w:rFonts w:ascii="仿宋" w:hAnsi="仿宋" w:eastAsia="仿宋" w:cs="仿宋"/>
                <w:sz w:val="20"/>
                <w:szCs w:val="20"/>
              </w:rPr>
            </w:pPr>
            <w:r>
              <w:rPr>
                <w:rFonts w:ascii="仿宋" w:hAnsi="仿宋" w:eastAsia="仿宋" w:cs="仿宋"/>
                <w:spacing w:val="2"/>
                <w:sz w:val="20"/>
                <w:szCs w:val="20"/>
              </w:rPr>
              <w:t>2031</w:t>
            </w:r>
          </w:p>
        </w:tc>
        <w:tc>
          <w:tcPr>
            <w:tcW w:w="1753" w:type="dxa"/>
            <w:vAlign w:val="top"/>
          </w:tcPr>
          <w:p w14:paraId="1C5C52B5">
            <w:pPr>
              <w:spacing w:before="77" w:line="232" w:lineRule="auto"/>
              <w:ind w:left="727"/>
              <w:rPr>
                <w:rFonts w:ascii="仿宋" w:hAnsi="仿宋" w:eastAsia="仿宋" w:cs="仿宋"/>
                <w:sz w:val="20"/>
                <w:szCs w:val="20"/>
              </w:rPr>
            </w:pPr>
            <w:r>
              <w:rPr>
                <w:rFonts w:ascii="仿宋" w:hAnsi="仿宋" w:eastAsia="仿宋" w:cs="仿宋"/>
                <w:spacing w:val="1"/>
                <w:sz w:val="20"/>
                <w:szCs w:val="20"/>
              </w:rPr>
              <w:t>223</w:t>
            </w:r>
          </w:p>
        </w:tc>
        <w:tc>
          <w:tcPr>
            <w:tcW w:w="1753" w:type="dxa"/>
            <w:vAlign w:val="top"/>
          </w:tcPr>
          <w:p w14:paraId="2172E7BC">
            <w:pPr>
              <w:spacing w:before="77" w:line="232" w:lineRule="auto"/>
              <w:ind w:left="781"/>
              <w:rPr>
                <w:rFonts w:ascii="仿宋" w:hAnsi="仿宋" w:eastAsia="仿宋" w:cs="仿宋"/>
                <w:sz w:val="20"/>
                <w:szCs w:val="20"/>
              </w:rPr>
            </w:pPr>
            <w:r>
              <w:rPr>
                <w:rFonts w:ascii="仿宋" w:hAnsi="仿宋" w:eastAsia="仿宋" w:cs="仿宋"/>
                <w:spacing w:val="-1"/>
                <w:sz w:val="20"/>
                <w:szCs w:val="20"/>
              </w:rPr>
              <w:t>30</w:t>
            </w:r>
          </w:p>
        </w:tc>
        <w:tc>
          <w:tcPr>
            <w:tcW w:w="1753" w:type="dxa"/>
            <w:vAlign w:val="top"/>
          </w:tcPr>
          <w:p w14:paraId="1EE6B65D">
            <w:pPr>
              <w:spacing w:before="77" w:line="232" w:lineRule="auto"/>
              <w:ind w:left="830"/>
              <w:rPr>
                <w:rFonts w:ascii="仿宋" w:hAnsi="仿宋" w:eastAsia="仿宋" w:cs="仿宋"/>
                <w:sz w:val="20"/>
                <w:szCs w:val="20"/>
              </w:rPr>
            </w:pPr>
            <w:r>
              <w:rPr>
                <w:rFonts w:ascii="仿宋" w:hAnsi="仿宋" w:eastAsia="仿宋" w:cs="仿宋"/>
                <w:sz w:val="20"/>
                <w:szCs w:val="20"/>
              </w:rPr>
              <w:t>0</w:t>
            </w:r>
          </w:p>
        </w:tc>
        <w:tc>
          <w:tcPr>
            <w:tcW w:w="1563" w:type="dxa"/>
            <w:tcBorders>
              <w:right w:val="nil"/>
            </w:tcBorders>
            <w:vAlign w:val="top"/>
          </w:tcPr>
          <w:p w14:paraId="43805E78">
            <w:pPr>
              <w:spacing w:before="77" w:line="232" w:lineRule="auto"/>
              <w:ind w:left="633"/>
              <w:rPr>
                <w:rFonts w:ascii="仿宋" w:hAnsi="仿宋" w:eastAsia="仿宋" w:cs="仿宋"/>
                <w:sz w:val="20"/>
                <w:szCs w:val="20"/>
              </w:rPr>
            </w:pPr>
            <w:r>
              <w:rPr>
                <w:rFonts w:ascii="仿宋" w:hAnsi="仿宋" w:eastAsia="仿宋" w:cs="仿宋"/>
                <w:spacing w:val="1"/>
                <w:sz w:val="20"/>
                <w:szCs w:val="20"/>
              </w:rPr>
              <w:t>253</w:t>
            </w:r>
          </w:p>
        </w:tc>
      </w:tr>
      <w:tr w14:paraId="461234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1483" w:type="dxa"/>
            <w:tcBorders>
              <w:left w:val="nil"/>
              <w:bottom w:val="single" w:color="000000" w:sz="10" w:space="0"/>
            </w:tcBorders>
            <w:vAlign w:val="top"/>
          </w:tcPr>
          <w:p w14:paraId="41300270">
            <w:pPr>
              <w:spacing w:before="84" w:line="268" w:lineRule="exact"/>
              <w:ind w:left="537"/>
              <w:rPr>
                <w:rFonts w:ascii="仿宋" w:hAnsi="仿宋" w:eastAsia="仿宋" w:cs="仿宋"/>
                <w:sz w:val="20"/>
                <w:szCs w:val="20"/>
              </w:rPr>
            </w:pPr>
            <w:r>
              <w:rPr>
                <w:rFonts w:ascii="仿宋" w:hAnsi="仿宋" w:eastAsia="仿宋" w:cs="仿宋"/>
                <w:spacing w:val="2"/>
                <w:position w:val="1"/>
                <w:sz w:val="20"/>
                <w:szCs w:val="20"/>
              </w:rPr>
              <w:t>2036</w:t>
            </w:r>
          </w:p>
        </w:tc>
        <w:tc>
          <w:tcPr>
            <w:tcW w:w="1753" w:type="dxa"/>
            <w:tcBorders>
              <w:bottom w:val="single" w:color="000000" w:sz="10" w:space="0"/>
            </w:tcBorders>
            <w:vAlign w:val="top"/>
          </w:tcPr>
          <w:p w14:paraId="0A073E80">
            <w:pPr>
              <w:spacing w:before="84" w:line="268" w:lineRule="exact"/>
              <w:ind w:left="727"/>
              <w:rPr>
                <w:rFonts w:ascii="仿宋" w:hAnsi="仿宋" w:eastAsia="仿宋" w:cs="仿宋"/>
                <w:sz w:val="20"/>
                <w:szCs w:val="20"/>
              </w:rPr>
            </w:pPr>
            <w:r>
              <w:rPr>
                <w:rFonts w:ascii="仿宋" w:hAnsi="仿宋" w:eastAsia="仿宋" w:cs="仿宋"/>
                <w:spacing w:val="1"/>
                <w:position w:val="1"/>
                <w:sz w:val="20"/>
                <w:szCs w:val="20"/>
              </w:rPr>
              <w:t>256</w:t>
            </w:r>
          </w:p>
        </w:tc>
        <w:tc>
          <w:tcPr>
            <w:tcW w:w="1753" w:type="dxa"/>
            <w:tcBorders>
              <w:bottom w:val="single" w:color="000000" w:sz="10" w:space="0"/>
            </w:tcBorders>
            <w:vAlign w:val="top"/>
          </w:tcPr>
          <w:p w14:paraId="1C24A47C">
            <w:pPr>
              <w:spacing w:before="84" w:line="268" w:lineRule="exact"/>
              <w:ind w:left="781"/>
              <w:rPr>
                <w:rFonts w:ascii="仿宋" w:hAnsi="仿宋" w:eastAsia="仿宋" w:cs="仿宋"/>
                <w:sz w:val="20"/>
                <w:szCs w:val="20"/>
              </w:rPr>
            </w:pPr>
            <w:r>
              <w:rPr>
                <w:rFonts w:ascii="仿宋" w:hAnsi="仿宋" w:eastAsia="仿宋" w:cs="仿宋"/>
                <w:spacing w:val="-1"/>
                <w:position w:val="1"/>
                <w:sz w:val="20"/>
                <w:szCs w:val="20"/>
              </w:rPr>
              <w:t>34</w:t>
            </w:r>
          </w:p>
        </w:tc>
        <w:tc>
          <w:tcPr>
            <w:tcW w:w="1753" w:type="dxa"/>
            <w:tcBorders>
              <w:bottom w:val="single" w:color="000000" w:sz="10" w:space="0"/>
            </w:tcBorders>
            <w:vAlign w:val="top"/>
          </w:tcPr>
          <w:p w14:paraId="6905A065">
            <w:pPr>
              <w:spacing w:before="84" w:line="268" w:lineRule="exact"/>
              <w:ind w:left="830"/>
              <w:rPr>
                <w:rFonts w:ascii="仿宋" w:hAnsi="仿宋" w:eastAsia="仿宋" w:cs="仿宋"/>
                <w:sz w:val="20"/>
                <w:szCs w:val="20"/>
              </w:rPr>
            </w:pPr>
            <w:r>
              <w:rPr>
                <w:rFonts w:ascii="仿宋" w:hAnsi="仿宋" w:eastAsia="仿宋" w:cs="仿宋"/>
                <w:position w:val="1"/>
                <w:sz w:val="20"/>
                <w:szCs w:val="20"/>
              </w:rPr>
              <w:t>0</w:t>
            </w:r>
          </w:p>
        </w:tc>
        <w:tc>
          <w:tcPr>
            <w:tcW w:w="1563" w:type="dxa"/>
            <w:tcBorders>
              <w:bottom w:val="single" w:color="000000" w:sz="10" w:space="0"/>
              <w:right w:val="nil"/>
            </w:tcBorders>
            <w:vAlign w:val="top"/>
          </w:tcPr>
          <w:p w14:paraId="38AB7B2C">
            <w:pPr>
              <w:spacing w:before="84" w:line="268" w:lineRule="exact"/>
              <w:ind w:left="633"/>
              <w:rPr>
                <w:rFonts w:ascii="仿宋" w:hAnsi="仿宋" w:eastAsia="仿宋" w:cs="仿宋"/>
                <w:sz w:val="20"/>
                <w:szCs w:val="20"/>
              </w:rPr>
            </w:pPr>
            <w:r>
              <w:rPr>
                <w:rFonts w:ascii="仿宋" w:hAnsi="仿宋" w:eastAsia="仿宋" w:cs="仿宋"/>
                <w:spacing w:val="1"/>
                <w:position w:val="1"/>
                <w:sz w:val="20"/>
                <w:szCs w:val="20"/>
              </w:rPr>
              <w:t>289</w:t>
            </w:r>
          </w:p>
        </w:tc>
      </w:tr>
    </w:tbl>
    <w:p w14:paraId="7D6A9CCE">
      <w:pPr>
        <w:spacing w:before="38" w:line="358" w:lineRule="auto"/>
        <w:ind w:left="41" w:right="13" w:firstLine="469"/>
        <w:rPr>
          <w:rFonts w:ascii="仿宋" w:hAnsi="仿宋" w:eastAsia="仿宋" w:cs="仿宋"/>
          <w:sz w:val="24"/>
          <w:szCs w:val="24"/>
        </w:rPr>
      </w:pPr>
      <w:r>
        <w:rPr>
          <w:rFonts w:ascii="仿宋" w:hAnsi="仿宋" w:eastAsia="仿宋" w:cs="仿宋"/>
          <w:spacing w:val="-3"/>
          <w:sz w:val="24"/>
          <w:szCs w:val="24"/>
        </w:rPr>
        <w:t>根据各特征年交通量预测结果，车型比例（大、中、</w:t>
      </w:r>
      <w:r>
        <w:rPr>
          <w:rFonts w:ascii="仿宋" w:hAnsi="仿宋" w:eastAsia="仿宋" w:cs="仿宋"/>
          <w:spacing w:val="-4"/>
          <w:sz w:val="24"/>
          <w:szCs w:val="24"/>
        </w:rPr>
        <w:t>小车型比例</w:t>
      </w:r>
      <w:r>
        <w:rPr>
          <w:rFonts w:ascii="仿宋" w:hAnsi="仿宋" w:eastAsia="仿宋" w:cs="仿宋"/>
          <w:spacing w:val="-6"/>
          <w:sz w:val="24"/>
          <w:szCs w:val="24"/>
        </w:rPr>
        <w:t>），</w:t>
      </w:r>
      <w:r>
        <w:rPr>
          <w:rFonts w:ascii="仿宋" w:hAnsi="仿宋" w:eastAsia="仿宋" w:cs="仿宋"/>
          <w:spacing w:val="-4"/>
          <w:sz w:val="24"/>
          <w:szCs w:val="24"/>
        </w:rPr>
        <w:t>结合车</w:t>
      </w:r>
      <w:r>
        <w:rPr>
          <w:rFonts w:ascii="仿宋" w:hAnsi="仿宋" w:eastAsia="仿宋" w:cs="仿宋"/>
          <w:spacing w:val="-1"/>
          <w:sz w:val="24"/>
          <w:szCs w:val="24"/>
        </w:rPr>
        <w:t>型折算系数，计算得到本项目特征年绝对交通量结果见下</w:t>
      </w:r>
      <w:r>
        <w:rPr>
          <w:rFonts w:ascii="仿宋" w:hAnsi="仿宋" w:eastAsia="仿宋" w:cs="仿宋"/>
          <w:spacing w:val="-2"/>
          <w:sz w:val="24"/>
          <w:szCs w:val="24"/>
        </w:rPr>
        <w:t>表。</w:t>
      </w:r>
    </w:p>
    <w:p w14:paraId="1E932960">
      <w:pPr>
        <w:spacing w:before="2" w:line="221" w:lineRule="auto"/>
        <w:ind w:left="1743"/>
        <w:rPr>
          <w:rFonts w:ascii="仿宋" w:hAnsi="仿宋" w:eastAsia="仿宋" w:cs="仿宋"/>
          <w:sz w:val="24"/>
          <w:szCs w:val="24"/>
        </w:rPr>
      </w:pPr>
      <w:r>
        <w:rPr>
          <w:rFonts w:ascii="仿宋" w:hAnsi="仿宋" w:eastAsia="仿宋" w:cs="仿宋"/>
          <w:b/>
          <w:bCs/>
          <w:spacing w:val="-4"/>
          <w:sz w:val="24"/>
          <w:szCs w:val="24"/>
        </w:rPr>
        <w:t>表</w:t>
      </w:r>
      <w:r>
        <w:rPr>
          <w:rFonts w:ascii="仿宋" w:hAnsi="仿宋" w:eastAsia="仿宋" w:cs="仿宋"/>
          <w:spacing w:val="-33"/>
          <w:sz w:val="24"/>
          <w:szCs w:val="24"/>
        </w:rPr>
        <w:t xml:space="preserve"> </w:t>
      </w:r>
      <w:r>
        <w:rPr>
          <w:rFonts w:ascii="仿宋" w:hAnsi="仿宋" w:eastAsia="仿宋" w:cs="仿宋"/>
          <w:b/>
          <w:bCs/>
          <w:spacing w:val="-4"/>
          <w:sz w:val="24"/>
          <w:szCs w:val="24"/>
        </w:rPr>
        <w:t>2.3-6</w:t>
      </w:r>
      <w:r>
        <w:rPr>
          <w:rFonts w:ascii="仿宋" w:hAnsi="仿宋" w:eastAsia="仿宋" w:cs="仿宋"/>
          <w:spacing w:val="-4"/>
          <w:sz w:val="24"/>
          <w:szCs w:val="24"/>
        </w:rPr>
        <w:t xml:space="preserve">    </w:t>
      </w:r>
      <w:r>
        <w:rPr>
          <w:rFonts w:ascii="仿宋" w:hAnsi="仿宋" w:eastAsia="仿宋" w:cs="仿宋"/>
          <w:b/>
          <w:bCs/>
          <w:spacing w:val="-4"/>
          <w:sz w:val="24"/>
          <w:szCs w:val="24"/>
        </w:rPr>
        <w:t>特征年绝对交通量</w:t>
      </w:r>
      <w:r>
        <w:rPr>
          <w:rFonts w:ascii="仿宋" w:hAnsi="仿宋" w:eastAsia="仿宋" w:cs="仿宋"/>
          <w:spacing w:val="7"/>
          <w:sz w:val="24"/>
          <w:szCs w:val="24"/>
        </w:rPr>
        <w:t xml:space="preserve">   </w:t>
      </w:r>
      <w:r>
        <w:rPr>
          <w:rFonts w:ascii="仿宋" w:hAnsi="仿宋" w:eastAsia="仿宋" w:cs="仿宋"/>
          <w:b/>
          <w:bCs/>
          <w:spacing w:val="-4"/>
          <w:sz w:val="24"/>
          <w:szCs w:val="24"/>
        </w:rPr>
        <w:t>单位：辆/d</w:t>
      </w:r>
    </w:p>
    <w:p w14:paraId="13150B7D">
      <w:pPr>
        <w:spacing w:line="144" w:lineRule="exact"/>
      </w:pPr>
    </w:p>
    <w:tbl>
      <w:tblPr>
        <w:tblStyle w:val="5"/>
        <w:tblW w:w="8303" w:type="dxa"/>
        <w:tblInd w:w="1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33"/>
        <w:gridCol w:w="2297"/>
        <w:gridCol w:w="2055"/>
        <w:gridCol w:w="1918"/>
      </w:tblGrid>
      <w:tr w14:paraId="446198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trPr>
        <w:tc>
          <w:tcPr>
            <w:tcW w:w="2033" w:type="dxa"/>
            <w:tcBorders>
              <w:top w:val="single" w:color="000000" w:sz="10" w:space="0"/>
              <w:left w:val="nil"/>
            </w:tcBorders>
            <w:vAlign w:val="top"/>
          </w:tcPr>
          <w:p w14:paraId="648CB8AD">
            <w:pPr>
              <w:spacing w:before="69" w:line="231" w:lineRule="auto"/>
              <w:ind w:left="820"/>
              <w:rPr>
                <w:rFonts w:ascii="仿宋" w:hAnsi="仿宋" w:eastAsia="仿宋" w:cs="仿宋"/>
                <w:sz w:val="20"/>
                <w:szCs w:val="20"/>
              </w:rPr>
            </w:pPr>
            <w:r>
              <w:rPr>
                <w:rFonts w:ascii="仿宋" w:hAnsi="仿宋" w:eastAsia="仿宋" w:cs="仿宋"/>
                <w:spacing w:val="-1"/>
                <w:sz w:val="20"/>
                <w:szCs w:val="20"/>
              </w:rPr>
              <w:t>年份</w:t>
            </w:r>
          </w:p>
        </w:tc>
        <w:tc>
          <w:tcPr>
            <w:tcW w:w="2297" w:type="dxa"/>
            <w:tcBorders>
              <w:top w:val="single" w:color="000000" w:sz="10" w:space="0"/>
            </w:tcBorders>
            <w:vAlign w:val="top"/>
          </w:tcPr>
          <w:p w14:paraId="0D618C7D">
            <w:pPr>
              <w:spacing w:before="69" w:line="231" w:lineRule="auto"/>
              <w:ind w:left="814"/>
              <w:rPr>
                <w:rFonts w:ascii="仿宋" w:hAnsi="仿宋" w:eastAsia="仿宋" w:cs="仿宋"/>
                <w:sz w:val="20"/>
                <w:szCs w:val="20"/>
              </w:rPr>
            </w:pPr>
            <w:r>
              <w:rPr>
                <w:rFonts w:ascii="仿宋" w:hAnsi="仿宋" w:eastAsia="仿宋" w:cs="仿宋"/>
                <w:spacing w:val="1"/>
                <w:sz w:val="20"/>
                <w:szCs w:val="20"/>
              </w:rPr>
              <w:t>2027</w:t>
            </w:r>
            <w:r>
              <w:rPr>
                <w:rFonts w:ascii="仿宋" w:hAnsi="仿宋" w:eastAsia="仿宋" w:cs="仿宋"/>
                <w:spacing w:val="-28"/>
                <w:sz w:val="20"/>
                <w:szCs w:val="20"/>
              </w:rPr>
              <w:t xml:space="preserve"> </w:t>
            </w:r>
            <w:r>
              <w:rPr>
                <w:rFonts w:ascii="仿宋" w:hAnsi="仿宋" w:eastAsia="仿宋" w:cs="仿宋"/>
                <w:spacing w:val="1"/>
                <w:sz w:val="20"/>
                <w:szCs w:val="20"/>
              </w:rPr>
              <w:t>年</w:t>
            </w:r>
          </w:p>
        </w:tc>
        <w:tc>
          <w:tcPr>
            <w:tcW w:w="2055" w:type="dxa"/>
            <w:tcBorders>
              <w:top w:val="single" w:color="000000" w:sz="10" w:space="0"/>
            </w:tcBorders>
            <w:vAlign w:val="top"/>
          </w:tcPr>
          <w:p w14:paraId="58AD7CC7">
            <w:pPr>
              <w:spacing w:before="69" w:line="231" w:lineRule="auto"/>
              <w:ind w:left="692"/>
              <w:rPr>
                <w:rFonts w:ascii="仿宋" w:hAnsi="仿宋" w:eastAsia="仿宋" w:cs="仿宋"/>
                <w:sz w:val="20"/>
                <w:szCs w:val="20"/>
              </w:rPr>
            </w:pPr>
            <w:r>
              <w:rPr>
                <w:rFonts w:ascii="仿宋" w:hAnsi="仿宋" w:eastAsia="仿宋" w:cs="仿宋"/>
                <w:spacing w:val="2"/>
                <w:sz w:val="20"/>
                <w:szCs w:val="20"/>
              </w:rPr>
              <w:t>2031</w:t>
            </w:r>
            <w:r>
              <w:rPr>
                <w:rFonts w:ascii="仿宋" w:hAnsi="仿宋" w:eastAsia="仿宋" w:cs="仿宋"/>
                <w:spacing w:val="-31"/>
                <w:sz w:val="20"/>
                <w:szCs w:val="20"/>
              </w:rPr>
              <w:t xml:space="preserve"> </w:t>
            </w:r>
            <w:r>
              <w:rPr>
                <w:rFonts w:ascii="仿宋" w:hAnsi="仿宋" w:eastAsia="仿宋" w:cs="仿宋"/>
                <w:spacing w:val="2"/>
                <w:sz w:val="20"/>
                <w:szCs w:val="20"/>
              </w:rPr>
              <w:t>年</w:t>
            </w:r>
          </w:p>
        </w:tc>
        <w:tc>
          <w:tcPr>
            <w:tcW w:w="1918" w:type="dxa"/>
            <w:tcBorders>
              <w:top w:val="single" w:color="000000" w:sz="10" w:space="0"/>
              <w:right w:val="nil"/>
            </w:tcBorders>
            <w:vAlign w:val="top"/>
          </w:tcPr>
          <w:p w14:paraId="1F194B9E">
            <w:pPr>
              <w:spacing w:before="69" w:line="231" w:lineRule="auto"/>
              <w:ind w:left="626"/>
              <w:rPr>
                <w:rFonts w:ascii="仿宋" w:hAnsi="仿宋" w:eastAsia="仿宋" w:cs="仿宋"/>
                <w:sz w:val="20"/>
                <w:szCs w:val="20"/>
              </w:rPr>
            </w:pPr>
            <w:r>
              <w:rPr>
                <w:rFonts w:ascii="仿宋" w:hAnsi="仿宋" w:eastAsia="仿宋" w:cs="仿宋"/>
                <w:spacing w:val="1"/>
                <w:sz w:val="20"/>
                <w:szCs w:val="20"/>
              </w:rPr>
              <w:t>2036</w:t>
            </w:r>
            <w:r>
              <w:rPr>
                <w:rFonts w:ascii="仿宋" w:hAnsi="仿宋" w:eastAsia="仿宋" w:cs="仿宋"/>
                <w:spacing w:val="-26"/>
                <w:sz w:val="20"/>
                <w:szCs w:val="20"/>
              </w:rPr>
              <w:t xml:space="preserve"> </w:t>
            </w:r>
            <w:r>
              <w:rPr>
                <w:rFonts w:ascii="仿宋" w:hAnsi="仿宋" w:eastAsia="仿宋" w:cs="仿宋"/>
                <w:spacing w:val="1"/>
                <w:sz w:val="20"/>
                <w:szCs w:val="20"/>
              </w:rPr>
              <w:t>年</w:t>
            </w:r>
          </w:p>
        </w:tc>
      </w:tr>
      <w:tr w14:paraId="69025C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6" w:hRule="atLeast"/>
        </w:trPr>
        <w:tc>
          <w:tcPr>
            <w:tcW w:w="2033" w:type="dxa"/>
            <w:tcBorders>
              <w:left w:val="nil"/>
              <w:bottom w:val="single" w:color="000000" w:sz="10" w:space="0"/>
            </w:tcBorders>
            <w:vAlign w:val="top"/>
          </w:tcPr>
          <w:p w14:paraId="3E83CFFF">
            <w:pPr>
              <w:spacing w:before="74" w:line="232" w:lineRule="auto"/>
              <w:ind w:left="504"/>
              <w:rPr>
                <w:rFonts w:ascii="仿宋" w:hAnsi="仿宋" w:eastAsia="仿宋" w:cs="仿宋"/>
                <w:sz w:val="20"/>
                <w:szCs w:val="20"/>
              </w:rPr>
            </w:pPr>
            <w:r>
              <w:rPr>
                <w:rFonts w:ascii="仿宋" w:hAnsi="仿宋" w:eastAsia="仿宋" w:cs="仿宋"/>
                <w:spacing w:val="6"/>
                <w:sz w:val="20"/>
                <w:szCs w:val="20"/>
              </w:rPr>
              <w:t>预测交通量</w:t>
            </w:r>
          </w:p>
        </w:tc>
        <w:tc>
          <w:tcPr>
            <w:tcW w:w="2297" w:type="dxa"/>
            <w:tcBorders>
              <w:bottom w:val="single" w:color="000000" w:sz="10" w:space="0"/>
            </w:tcBorders>
            <w:vAlign w:val="top"/>
          </w:tcPr>
          <w:p w14:paraId="40C96C83">
            <w:pPr>
              <w:spacing w:before="77" w:line="269" w:lineRule="exact"/>
              <w:ind w:left="997"/>
              <w:rPr>
                <w:rFonts w:ascii="仿宋" w:hAnsi="仿宋" w:eastAsia="仿宋" w:cs="仿宋"/>
                <w:sz w:val="20"/>
                <w:szCs w:val="20"/>
              </w:rPr>
            </w:pPr>
            <w:r>
              <w:rPr>
                <w:rFonts w:ascii="仿宋" w:hAnsi="仿宋" w:eastAsia="仿宋" w:cs="仿宋"/>
                <w:spacing w:val="1"/>
                <w:position w:val="1"/>
                <w:sz w:val="20"/>
                <w:szCs w:val="20"/>
              </w:rPr>
              <w:t>201</w:t>
            </w:r>
          </w:p>
        </w:tc>
        <w:tc>
          <w:tcPr>
            <w:tcW w:w="2055" w:type="dxa"/>
            <w:tcBorders>
              <w:bottom w:val="single" w:color="000000" w:sz="10" w:space="0"/>
            </w:tcBorders>
            <w:vAlign w:val="top"/>
          </w:tcPr>
          <w:p w14:paraId="0BB83DEE">
            <w:pPr>
              <w:spacing w:before="77" w:line="269" w:lineRule="exact"/>
              <w:ind w:left="877"/>
              <w:rPr>
                <w:rFonts w:ascii="仿宋" w:hAnsi="仿宋" w:eastAsia="仿宋" w:cs="仿宋"/>
                <w:sz w:val="20"/>
                <w:szCs w:val="20"/>
              </w:rPr>
            </w:pPr>
            <w:r>
              <w:rPr>
                <w:rFonts w:ascii="仿宋" w:hAnsi="仿宋" w:eastAsia="仿宋" w:cs="仿宋"/>
                <w:spacing w:val="1"/>
                <w:position w:val="1"/>
                <w:sz w:val="20"/>
                <w:szCs w:val="20"/>
              </w:rPr>
              <w:t>253</w:t>
            </w:r>
          </w:p>
        </w:tc>
        <w:tc>
          <w:tcPr>
            <w:tcW w:w="1918" w:type="dxa"/>
            <w:tcBorders>
              <w:bottom w:val="single" w:color="000000" w:sz="10" w:space="0"/>
              <w:right w:val="nil"/>
            </w:tcBorders>
            <w:vAlign w:val="top"/>
          </w:tcPr>
          <w:p w14:paraId="3E3ACA14">
            <w:pPr>
              <w:spacing w:before="77" w:line="269" w:lineRule="exact"/>
              <w:ind w:left="811"/>
              <w:rPr>
                <w:rFonts w:ascii="仿宋" w:hAnsi="仿宋" w:eastAsia="仿宋" w:cs="仿宋"/>
                <w:sz w:val="20"/>
                <w:szCs w:val="20"/>
              </w:rPr>
            </w:pPr>
            <w:r>
              <w:rPr>
                <w:rFonts w:ascii="仿宋" w:hAnsi="仿宋" w:eastAsia="仿宋" w:cs="仿宋"/>
                <w:spacing w:val="1"/>
                <w:position w:val="1"/>
                <w:sz w:val="20"/>
                <w:szCs w:val="20"/>
              </w:rPr>
              <w:t>289</w:t>
            </w:r>
          </w:p>
        </w:tc>
      </w:tr>
    </w:tbl>
    <w:p w14:paraId="69A4A3F8">
      <w:pPr>
        <w:spacing w:before="37" w:line="223" w:lineRule="auto"/>
        <w:ind w:left="514"/>
        <w:rPr>
          <w:rFonts w:ascii="仿宋" w:hAnsi="仿宋" w:eastAsia="仿宋" w:cs="仿宋"/>
          <w:sz w:val="24"/>
          <w:szCs w:val="24"/>
        </w:rPr>
      </w:pPr>
      <w:r>
        <w:rPr>
          <w:rFonts w:ascii="仿宋" w:hAnsi="仿宋" w:eastAsia="仿宋" w:cs="仿宋"/>
          <w:spacing w:val="-3"/>
          <w:sz w:val="24"/>
          <w:szCs w:val="24"/>
        </w:rPr>
        <w:t>（</w:t>
      </w:r>
      <w:r>
        <w:rPr>
          <w:rFonts w:ascii="Times New Roman" w:hAnsi="Times New Roman" w:eastAsia="Times New Roman" w:cs="Times New Roman"/>
          <w:spacing w:val="-3"/>
          <w:sz w:val="24"/>
          <w:szCs w:val="24"/>
        </w:rPr>
        <w:t>3</w:t>
      </w:r>
      <w:r>
        <w:rPr>
          <w:rFonts w:ascii="仿宋" w:hAnsi="仿宋" w:eastAsia="仿宋" w:cs="仿宋"/>
          <w:spacing w:val="-3"/>
          <w:sz w:val="24"/>
          <w:szCs w:val="24"/>
        </w:rPr>
        <w:t>）小时交通量</w:t>
      </w:r>
    </w:p>
    <w:p w14:paraId="0166ADCE">
      <w:pPr>
        <w:spacing w:before="174" w:line="360" w:lineRule="auto"/>
        <w:ind w:left="33" w:right="13" w:firstLine="480"/>
        <w:rPr>
          <w:rFonts w:ascii="仿宋" w:hAnsi="仿宋" w:eastAsia="仿宋" w:cs="仿宋"/>
          <w:sz w:val="24"/>
          <w:szCs w:val="24"/>
        </w:rPr>
      </w:pPr>
      <w:r>
        <w:rPr>
          <w:rFonts w:ascii="仿宋" w:hAnsi="仿宋" w:eastAsia="仿宋" w:cs="仿宋"/>
          <w:spacing w:val="2"/>
          <w:sz w:val="24"/>
          <w:szCs w:val="24"/>
        </w:rPr>
        <w:t>结合车型分类及本项目车流昼夜比例（大、</w:t>
      </w:r>
      <w:r>
        <w:rPr>
          <w:rFonts w:ascii="仿宋" w:hAnsi="仿宋" w:eastAsia="仿宋" w:cs="仿宋"/>
          <w:spacing w:val="-65"/>
          <w:sz w:val="24"/>
          <w:szCs w:val="24"/>
        </w:rPr>
        <w:t xml:space="preserve"> </w:t>
      </w:r>
      <w:r>
        <w:rPr>
          <w:rFonts w:ascii="仿宋" w:hAnsi="仿宋" w:eastAsia="仿宋" w:cs="仿宋"/>
          <w:spacing w:val="2"/>
          <w:sz w:val="24"/>
          <w:szCs w:val="24"/>
        </w:rPr>
        <w:t>中、小型车比例</w:t>
      </w:r>
      <w:r>
        <w:rPr>
          <w:rFonts w:ascii="仿宋" w:hAnsi="仿宋" w:eastAsia="仿宋" w:cs="仿宋"/>
          <w:spacing w:val="17"/>
          <w:sz w:val="24"/>
          <w:szCs w:val="24"/>
        </w:rPr>
        <w:t>），</w:t>
      </w:r>
      <w:r>
        <w:rPr>
          <w:rFonts w:ascii="仿宋" w:hAnsi="仿宋" w:eastAsia="仿宋" w:cs="仿宋"/>
          <w:spacing w:val="2"/>
          <w:sz w:val="24"/>
          <w:szCs w:val="24"/>
        </w:rPr>
        <w:t>昼间</w:t>
      </w:r>
      <w:r>
        <w:rPr>
          <w:rFonts w:ascii="仿宋" w:hAnsi="仿宋" w:eastAsia="仿宋" w:cs="仿宋"/>
          <w:spacing w:val="-27"/>
          <w:sz w:val="24"/>
          <w:szCs w:val="24"/>
        </w:rPr>
        <w:t xml:space="preserve"> </w:t>
      </w:r>
      <w:r>
        <w:rPr>
          <w:rFonts w:ascii="Times New Roman" w:hAnsi="Times New Roman" w:eastAsia="Times New Roman" w:cs="Times New Roman"/>
          <w:spacing w:val="2"/>
          <w:sz w:val="24"/>
          <w:szCs w:val="24"/>
        </w:rPr>
        <w:t>1</w:t>
      </w:r>
      <w:r>
        <w:rPr>
          <w:rFonts w:ascii="Times New Roman" w:hAnsi="Times New Roman" w:eastAsia="Times New Roman" w:cs="Times New Roman"/>
          <w:spacing w:val="1"/>
          <w:sz w:val="24"/>
          <w:szCs w:val="24"/>
        </w:rPr>
        <w:t>6h</w:t>
      </w:r>
      <w:r>
        <w:rPr>
          <w:rFonts w:ascii="Times New Roman" w:hAnsi="Times New Roman" w:eastAsia="Times New Roman" w:cs="Times New Roman"/>
          <w:sz w:val="24"/>
          <w:szCs w:val="24"/>
        </w:rPr>
        <w:t xml:space="preserve"> </w:t>
      </w:r>
      <w:r>
        <w:rPr>
          <w:rFonts w:ascii="仿宋" w:hAnsi="仿宋" w:eastAsia="仿宋" w:cs="仿宋"/>
          <w:spacing w:val="-3"/>
          <w:sz w:val="24"/>
          <w:szCs w:val="24"/>
        </w:rPr>
        <w:t>（</w:t>
      </w:r>
      <w:r>
        <w:rPr>
          <w:rFonts w:ascii="Times New Roman" w:hAnsi="Times New Roman" w:eastAsia="Times New Roman" w:cs="Times New Roman"/>
          <w:spacing w:val="-3"/>
          <w:sz w:val="24"/>
          <w:szCs w:val="24"/>
        </w:rPr>
        <w:t>6:00~22:00</w:t>
      </w:r>
      <w:r>
        <w:rPr>
          <w:rFonts w:ascii="仿宋" w:hAnsi="仿宋" w:eastAsia="仿宋" w:cs="仿宋"/>
          <w:spacing w:val="3"/>
          <w:sz w:val="24"/>
          <w:szCs w:val="24"/>
        </w:rPr>
        <w:t>），</w:t>
      </w:r>
      <w:r>
        <w:rPr>
          <w:rFonts w:ascii="仿宋" w:hAnsi="仿宋" w:eastAsia="仿宋" w:cs="仿宋"/>
          <w:spacing w:val="-3"/>
          <w:sz w:val="24"/>
          <w:szCs w:val="24"/>
        </w:rPr>
        <w:t>夜间</w:t>
      </w:r>
      <w:r>
        <w:rPr>
          <w:rFonts w:ascii="仿宋" w:hAnsi="仿宋" w:eastAsia="仿宋" w:cs="仿宋"/>
          <w:spacing w:val="-42"/>
          <w:sz w:val="24"/>
          <w:szCs w:val="24"/>
        </w:rPr>
        <w:t xml:space="preserve"> </w:t>
      </w:r>
      <w:r>
        <w:rPr>
          <w:rFonts w:ascii="Times New Roman" w:hAnsi="Times New Roman" w:eastAsia="Times New Roman" w:cs="Times New Roman"/>
          <w:spacing w:val="-3"/>
          <w:sz w:val="24"/>
          <w:szCs w:val="24"/>
        </w:rPr>
        <w:t>8h</w:t>
      </w:r>
      <w:r>
        <w:rPr>
          <w:rFonts w:ascii="仿宋" w:hAnsi="仿宋" w:eastAsia="仿宋" w:cs="仿宋"/>
          <w:spacing w:val="-3"/>
          <w:sz w:val="24"/>
          <w:szCs w:val="24"/>
        </w:rPr>
        <w:t>（</w:t>
      </w:r>
      <w:r>
        <w:rPr>
          <w:rFonts w:ascii="Times New Roman" w:hAnsi="Times New Roman" w:eastAsia="Times New Roman" w:cs="Times New Roman"/>
          <w:spacing w:val="-3"/>
          <w:sz w:val="24"/>
          <w:szCs w:val="24"/>
        </w:rPr>
        <w:t>22:0</w:t>
      </w:r>
      <w:r>
        <w:rPr>
          <w:rFonts w:ascii="Times New Roman" w:hAnsi="Times New Roman" w:eastAsia="Times New Roman" w:cs="Times New Roman"/>
          <w:spacing w:val="-4"/>
          <w:sz w:val="24"/>
          <w:szCs w:val="24"/>
        </w:rPr>
        <w:t>0~</w:t>
      </w:r>
      <w:r>
        <w:rPr>
          <w:rFonts w:ascii="仿宋" w:hAnsi="仿宋" w:eastAsia="仿宋" w:cs="仿宋"/>
          <w:spacing w:val="-4"/>
          <w:sz w:val="24"/>
          <w:szCs w:val="24"/>
        </w:rPr>
        <w:t>次</w:t>
      </w:r>
      <w:r>
        <w:rPr>
          <w:rFonts w:ascii="仿宋" w:hAnsi="仿宋" w:eastAsia="仿宋" w:cs="仿宋"/>
          <w:spacing w:val="-54"/>
          <w:sz w:val="24"/>
          <w:szCs w:val="24"/>
        </w:rPr>
        <w:t xml:space="preserve"> </w:t>
      </w:r>
      <w:r>
        <w:rPr>
          <w:rFonts w:ascii="仿宋" w:hAnsi="仿宋" w:eastAsia="仿宋" w:cs="仿宋"/>
          <w:spacing w:val="-4"/>
          <w:sz w:val="24"/>
          <w:szCs w:val="24"/>
        </w:rPr>
        <w:t>日</w:t>
      </w:r>
      <w:r>
        <w:rPr>
          <w:rFonts w:ascii="仿宋" w:hAnsi="仿宋" w:eastAsia="仿宋" w:cs="仿宋"/>
          <w:spacing w:val="-49"/>
          <w:sz w:val="24"/>
          <w:szCs w:val="24"/>
        </w:rPr>
        <w:t xml:space="preserve"> </w:t>
      </w:r>
      <w:r>
        <w:rPr>
          <w:rFonts w:ascii="Times New Roman" w:hAnsi="Times New Roman" w:eastAsia="Times New Roman" w:cs="Times New Roman"/>
          <w:spacing w:val="-4"/>
          <w:sz w:val="24"/>
          <w:szCs w:val="24"/>
        </w:rPr>
        <w:t>6:00</w:t>
      </w:r>
      <w:r>
        <w:rPr>
          <w:rFonts w:ascii="仿宋" w:hAnsi="仿宋" w:eastAsia="仿宋" w:cs="仿宋"/>
          <w:spacing w:val="3"/>
          <w:sz w:val="24"/>
          <w:szCs w:val="24"/>
        </w:rPr>
        <w:t>），</w:t>
      </w:r>
      <w:r>
        <w:rPr>
          <w:rFonts w:ascii="仿宋" w:hAnsi="仿宋" w:eastAsia="仿宋" w:cs="仿宋"/>
          <w:spacing w:val="-4"/>
          <w:sz w:val="24"/>
          <w:szCs w:val="24"/>
        </w:rPr>
        <w:t>计算得到本项目特征年各车型小</w:t>
      </w:r>
      <w:r>
        <w:rPr>
          <w:rFonts w:ascii="仿宋" w:hAnsi="仿宋" w:eastAsia="仿宋" w:cs="仿宋"/>
          <w:sz w:val="24"/>
          <w:szCs w:val="24"/>
        </w:rPr>
        <w:t>时交通量见表</w:t>
      </w:r>
      <w:r>
        <w:rPr>
          <w:rFonts w:ascii="仿宋" w:hAnsi="仿宋" w:eastAsia="仿宋" w:cs="仿宋"/>
          <w:spacing w:val="-48"/>
          <w:sz w:val="24"/>
          <w:szCs w:val="24"/>
        </w:rPr>
        <w:t xml:space="preserve"> </w:t>
      </w:r>
      <w:r>
        <w:rPr>
          <w:rFonts w:ascii="Times New Roman" w:hAnsi="Times New Roman" w:eastAsia="Times New Roman" w:cs="Times New Roman"/>
          <w:sz w:val="24"/>
          <w:szCs w:val="24"/>
        </w:rPr>
        <w:t>3.2-7</w:t>
      </w:r>
      <w:r>
        <w:rPr>
          <w:rFonts w:ascii="Times New Roman" w:hAnsi="Times New Roman" w:eastAsia="Times New Roman" w:cs="Times New Roman"/>
          <w:spacing w:val="-23"/>
          <w:sz w:val="24"/>
          <w:szCs w:val="24"/>
        </w:rPr>
        <w:t xml:space="preserve"> </w:t>
      </w:r>
      <w:r>
        <w:rPr>
          <w:rFonts w:ascii="仿宋" w:hAnsi="仿宋" w:eastAsia="仿宋" w:cs="仿宋"/>
          <w:sz w:val="24"/>
          <w:szCs w:val="24"/>
        </w:rPr>
        <w:t>。根据项目特点，本项目交通量主要集中在昼</w:t>
      </w:r>
      <w:r>
        <w:rPr>
          <w:rFonts w:ascii="仿宋" w:hAnsi="仿宋" w:eastAsia="仿宋" w:cs="仿宋"/>
          <w:spacing w:val="-1"/>
          <w:sz w:val="24"/>
          <w:szCs w:val="24"/>
        </w:rPr>
        <w:t>间，夜间交通</w:t>
      </w:r>
      <w:r>
        <w:rPr>
          <w:rFonts w:ascii="仿宋" w:hAnsi="仿宋" w:eastAsia="仿宋" w:cs="仿宋"/>
          <w:spacing w:val="-3"/>
          <w:sz w:val="24"/>
          <w:szCs w:val="24"/>
        </w:rPr>
        <w:t>量较少，昼间系数取</w:t>
      </w:r>
      <w:r>
        <w:rPr>
          <w:rFonts w:ascii="仿宋" w:hAnsi="仿宋" w:eastAsia="仿宋" w:cs="仿宋"/>
          <w:spacing w:val="-42"/>
          <w:sz w:val="24"/>
          <w:szCs w:val="24"/>
        </w:rPr>
        <w:t xml:space="preserve"> </w:t>
      </w:r>
      <w:r>
        <w:rPr>
          <w:rFonts w:ascii="Times New Roman" w:hAnsi="Times New Roman" w:eastAsia="Times New Roman" w:cs="Times New Roman"/>
          <w:spacing w:val="-3"/>
          <w:sz w:val="24"/>
          <w:szCs w:val="24"/>
        </w:rPr>
        <w:t>0.8</w:t>
      </w:r>
      <w:r>
        <w:rPr>
          <w:rFonts w:ascii="仿宋" w:hAnsi="仿宋" w:eastAsia="仿宋" w:cs="仿宋"/>
          <w:spacing w:val="-3"/>
          <w:sz w:val="24"/>
          <w:szCs w:val="24"/>
        </w:rPr>
        <w:t>。</w:t>
      </w:r>
    </w:p>
    <w:p w14:paraId="429B6D50">
      <w:pPr>
        <w:spacing w:line="360" w:lineRule="auto"/>
        <w:rPr>
          <w:rFonts w:ascii="仿宋" w:hAnsi="仿宋" w:eastAsia="仿宋" w:cs="仿宋"/>
          <w:sz w:val="24"/>
          <w:szCs w:val="24"/>
        </w:rPr>
        <w:sectPr>
          <w:footerReference r:id="rId156" w:type="default"/>
          <w:pgSz w:w="11906" w:h="16839"/>
          <w:pgMar w:top="400" w:right="1785" w:bottom="1370" w:left="1785" w:header="0" w:footer="1207" w:gutter="0"/>
          <w:cols w:space="720" w:num="1"/>
        </w:sectPr>
      </w:pPr>
    </w:p>
    <w:p w14:paraId="27DDA50D">
      <w:pPr>
        <w:pStyle w:val="2"/>
        <w:spacing w:line="247" w:lineRule="auto"/>
        <w:rPr>
          <w:sz w:val="21"/>
        </w:rPr>
      </w:pPr>
    </w:p>
    <w:p w14:paraId="248B99D5">
      <w:pPr>
        <w:pStyle w:val="2"/>
        <w:spacing w:line="247" w:lineRule="auto"/>
        <w:rPr>
          <w:sz w:val="21"/>
        </w:rPr>
      </w:pPr>
    </w:p>
    <w:p w14:paraId="1878DA69">
      <w:pPr>
        <w:pStyle w:val="2"/>
        <w:spacing w:line="248" w:lineRule="auto"/>
        <w:rPr>
          <w:sz w:val="21"/>
        </w:rPr>
      </w:pPr>
    </w:p>
    <w:p w14:paraId="2496EA60">
      <w:pPr>
        <w:pStyle w:val="2"/>
        <w:spacing w:line="248" w:lineRule="auto"/>
        <w:rPr>
          <w:sz w:val="21"/>
        </w:rPr>
      </w:pPr>
    </w:p>
    <w:p w14:paraId="369D78DB">
      <w:pPr>
        <w:spacing w:before="78" w:line="221" w:lineRule="auto"/>
        <w:ind w:left="1200"/>
        <w:rPr>
          <w:rFonts w:ascii="仿宋" w:hAnsi="仿宋" w:eastAsia="仿宋" w:cs="仿宋"/>
          <w:sz w:val="24"/>
          <w:szCs w:val="24"/>
        </w:rPr>
      </w:pPr>
      <w:r>
        <w:rPr>
          <w:rFonts w:ascii="仿宋" w:hAnsi="仿宋" w:eastAsia="仿宋" w:cs="仿宋"/>
          <w:b/>
          <w:bCs/>
          <w:spacing w:val="-2"/>
          <w:sz w:val="24"/>
          <w:szCs w:val="24"/>
        </w:rPr>
        <w:t>表</w:t>
      </w:r>
      <w:r>
        <w:rPr>
          <w:rFonts w:ascii="仿宋" w:hAnsi="仿宋" w:eastAsia="仿宋" w:cs="仿宋"/>
          <w:spacing w:val="-48"/>
          <w:sz w:val="24"/>
          <w:szCs w:val="24"/>
        </w:rPr>
        <w:t xml:space="preserve"> </w:t>
      </w:r>
      <w:r>
        <w:rPr>
          <w:rFonts w:ascii="仿宋" w:hAnsi="仿宋" w:eastAsia="仿宋" w:cs="仿宋"/>
          <w:b/>
          <w:bCs/>
          <w:spacing w:val="-2"/>
          <w:sz w:val="24"/>
          <w:szCs w:val="24"/>
        </w:rPr>
        <w:t>2.3-7</w:t>
      </w:r>
      <w:r>
        <w:rPr>
          <w:rFonts w:ascii="仿宋" w:hAnsi="仿宋" w:eastAsia="仿宋" w:cs="仿宋"/>
          <w:spacing w:val="-2"/>
          <w:sz w:val="24"/>
          <w:szCs w:val="24"/>
        </w:rPr>
        <w:t xml:space="preserve">  </w:t>
      </w:r>
      <w:r>
        <w:rPr>
          <w:rFonts w:ascii="仿宋" w:hAnsi="仿宋" w:eastAsia="仿宋" w:cs="仿宋"/>
          <w:b/>
          <w:bCs/>
          <w:spacing w:val="-2"/>
          <w:sz w:val="24"/>
          <w:szCs w:val="24"/>
        </w:rPr>
        <w:t>运营期各特征年小时交通量</w:t>
      </w:r>
      <w:r>
        <w:rPr>
          <w:rFonts w:ascii="仿宋" w:hAnsi="仿宋" w:eastAsia="仿宋" w:cs="仿宋"/>
          <w:spacing w:val="-3"/>
          <w:sz w:val="24"/>
          <w:szCs w:val="24"/>
        </w:rPr>
        <w:t xml:space="preserve">   </w:t>
      </w:r>
      <w:r>
        <w:rPr>
          <w:rFonts w:ascii="仿宋" w:hAnsi="仿宋" w:eastAsia="仿宋" w:cs="仿宋"/>
          <w:b/>
          <w:bCs/>
          <w:spacing w:val="-3"/>
          <w:sz w:val="24"/>
          <w:szCs w:val="24"/>
        </w:rPr>
        <w:t>单位：辆/小时</w:t>
      </w:r>
    </w:p>
    <w:p w14:paraId="5F05BFBA">
      <w:pPr>
        <w:spacing w:line="145" w:lineRule="exact"/>
      </w:pPr>
    </w:p>
    <w:tbl>
      <w:tblPr>
        <w:tblStyle w:val="5"/>
        <w:tblW w:w="8303" w:type="dxa"/>
        <w:tblInd w:w="1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05"/>
        <w:gridCol w:w="907"/>
        <w:gridCol w:w="923"/>
        <w:gridCol w:w="834"/>
        <w:gridCol w:w="870"/>
        <w:gridCol w:w="850"/>
        <w:gridCol w:w="854"/>
        <w:gridCol w:w="906"/>
        <w:gridCol w:w="854"/>
      </w:tblGrid>
      <w:tr w14:paraId="2E8531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8" w:hRule="atLeast"/>
        </w:trPr>
        <w:tc>
          <w:tcPr>
            <w:tcW w:w="1305" w:type="dxa"/>
            <w:vMerge w:val="restart"/>
            <w:tcBorders>
              <w:top w:val="single" w:color="000000" w:sz="10" w:space="0"/>
              <w:left w:val="nil"/>
              <w:bottom w:val="nil"/>
            </w:tcBorders>
            <w:vAlign w:val="top"/>
          </w:tcPr>
          <w:p w14:paraId="0A3EA137">
            <w:pPr>
              <w:spacing w:before="243" w:line="232" w:lineRule="auto"/>
              <w:ind w:left="469"/>
              <w:rPr>
                <w:rFonts w:ascii="仿宋" w:hAnsi="仿宋" w:eastAsia="仿宋" w:cs="仿宋"/>
                <w:sz w:val="20"/>
                <w:szCs w:val="20"/>
              </w:rPr>
            </w:pPr>
            <w:r>
              <w:rPr>
                <w:rFonts w:ascii="仿宋" w:hAnsi="仿宋" w:eastAsia="仿宋" w:cs="仿宋"/>
                <w:spacing w:val="-6"/>
                <w:sz w:val="20"/>
                <w:szCs w:val="20"/>
              </w:rPr>
              <w:t>时段</w:t>
            </w:r>
          </w:p>
        </w:tc>
        <w:tc>
          <w:tcPr>
            <w:tcW w:w="1830" w:type="dxa"/>
            <w:gridSpan w:val="2"/>
            <w:tcBorders>
              <w:top w:val="single" w:color="000000" w:sz="10" w:space="0"/>
            </w:tcBorders>
            <w:vAlign w:val="top"/>
          </w:tcPr>
          <w:p w14:paraId="332A264F">
            <w:pPr>
              <w:spacing w:before="68" w:line="228" w:lineRule="auto"/>
              <w:ind w:left="610"/>
              <w:rPr>
                <w:rFonts w:ascii="仿宋" w:hAnsi="仿宋" w:eastAsia="仿宋" w:cs="仿宋"/>
                <w:sz w:val="20"/>
                <w:szCs w:val="20"/>
              </w:rPr>
            </w:pPr>
            <w:r>
              <w:rPr>
                <w:rFonts w:ascii="仿宋" w:hAnsi="仿宋" w:eastAsia="仿宋" w:cs="仿宋"/>
                <w:spacing w:val="5"/>
                <w:sz w:val="20"/>
                <w:szCs w:val="20"/>
              </w:rPr>
              <w:t>小型车</w:t>
            </w:r>
          </w:p>
        </w:tc>
        <w:tc>
          <w:tcPr>
            <w:tcW w:w="1704" w:type="dxa"/>
            <w:gridSpan w:val="2"/>
            <w:tcBorders>
              <w:top w:val="single" w:color="000000" w:sz="10" w:space="0"/>
            </w:tcBorders>
            <w:vAlign w:val="top"/>
          </w:tcPr>
          <w:p w14:paraId="7E47E8C8">
            <w:pPr>
              <w:spacing w:before="68" w:line="228" w:lineRule="auto"/>
              <w:ind w:left="574"/>
              <w:rPr>
                <w:rFonts w:ascii="仿宋" w:hAnsi="仿宋" w:eastAsia="仿宋" w:cs="仿宋"/>
                <w:sz w:val="20"/>
                <w:szCs w:val="20"/>
              </w:rPr>
            </w:pPr>
            <w:r>
              <w:rPr>
                <w:rFonts w:ascii="仿宋" w:hAnsi="仿宋" w:eastAsia="仿宋" w:cs="仿宋"/>
                <w:spacing w:val="-4"/>
                <w:sz w:val="20"/>
                <w:szCs w:val="20"/>
              </w:rPr>
              <w:t>中型车</w:t>
            </w:r>
          </w:p>
        </w:tc>
        <w:tc>
          <w:tcPr>
            <w:tcW w:w="1704" w:type="dxa"/>
            <w:gridSpan w:val="2"/>
            <w:tcBorders>
              <w:top w:val="single" w:color="000000" w:sz="10" w:space="0"/>
            </w:tcBorders>
            <w:vAlign w:val="top"/>
          </w:tcPr>
          <w:p w14:paraId="159C00DB">
            <w:pPr>
              <w:spacing w:before="68" w:line="228" w:lineRule="auto"/>
              <w:ind w:left="549"/>
              <w:rPr>
                <w:rFonts w:ascii="仿宋" w:hAnsi="仿宋" w:eastAsia="仿宋" w:cs="仿宋"/>
                <w:sz w:val="20"/>
                <w:szCs w:val="20"/>
              </w:rPr>
            </w:pPr>
            <w:r>
              <w:rPr>
                <w:rFonts w:ascii="仿宋" w:hAnsi="仿宋" w:eastAsia="仿宋" w:cs="仿宋"/>
                <w:spacing w:val="4"/>
                <w:sz w:val="20"/>
                <w:szCs w:val="20"/>
              </w:rPr>
              <w:t>大型车</w:t>
            </w:r>
          </w:p>
        </w:tc>
        <w:tc>
          <w:tcPr>
            <w:tcW w:w="1760" w:type="dxa"/>
            <w:gridSpan w:val="2"/>
            <w:tcBorders>
              <w:top w:val="single" w:color="000000" w:sz="10" w:space="0"/>
              <w:right w:val="nil"/>
            </w:tcBorders>
            <w:vAlign w:val="top"/>
          </w:tcPr>
          <w:p w14:paraId="6DDC746D">
            <w:pPr>
              <w:spacing w:before="68" w:line="231" w:lineRule="auto"/>
              <w:ind w:left="689"/>
              <w:rPr>
                <w:rFonts w:ascii="仿宋" w:hAnsi="仿宋" w:eastAsia="仿宋" w:cs="仿宋"/>
                <w:sz w:val="20"/>
                <w:szCs w:val="20"/>
              </w:rPr>
            </w:pPr>
            <w:r>
              <w:rPr>
                <w:rFonts w:ascii="仿宋" w:hAnsi="仿宋" w:eastAsia="仿宋" w:cs="仿宋"/>
                <w:spacing w:val="-1"/>
                <w:sz w:val="20"/>
                <w:szCs w:val="20"/>
              </w:rPr>
              <w:t>合计</w:t>
            </w:r>
          </w:p>
        </w:tc>
      </w:tr>
      <w:tr w14:paraId="6E50FC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305" w:type="dxa"/>
            <w:vMerge w:val="continue"/>
            <w:tcBorders>
              <w:top w:val="nil"/>
              <w:left w:val="nil"/>
            </w:tcBorders>
            <w:vAlign w:val="top"/>
          </w:tcPr>
          <w:p w14:paraId="1D0D82AC">
            <w:pPr>
              <w:rPr>
                <w:rFonts w:ascii="Arial"/>
                <w:sz w:val="21"/>
              </w:rPr>
            </w:pPr>
          </w:p>
        </w:tc>
        <w:tc>
          <w:tcPr>
            <w:tcW w:w="907" w:type="dxa"/>
            <w:vAlign w:val="top"/>
          </w:tcPr>
          <w:p w14:paraId="1863D939">
            <w:pPr>
              <w:spacing w:before="65" w:line="232" w:lineRule="auto"/>
              <w:ind w:left="253"/>
              <w:rPr>
                <w:rFonts w:ascii="仿宋" w:hAnsi="仿宋" w:eastAsia="仿宋" w:cs="仿宋"/>
                <w:sz w:val="20"/>
                <w:szCs w:val="20"/>
              </w:rPr>
            </w:pPr>
            <w:r>
              <w:rPr>
                <w:rFonts w:ascii="仿宋" w:hAnsi="仿宋" w:eastAsia="仿宋" w:cs="仿宋"/>
                <w:spacing w:val="2"/>
                <w:sz w:val="20"/>
                <w:szCs w:val="20"/>
              </w:rPr>
              <w:t>昼间</w:t>
            </w:r>
          </w:p>
        </w:tc>
        <w:tc>
          <w:tcPr>
            <w:tcW w:w="923" w:type="dxa"/>
            <w:vAlign w:val="top"/>
          </w:tcPr>
          <w:p w14:paraId="5529D910">
            <w:pPr>
              <w:spacing w:before="65" w:line="231" w:lineRule="auto"/>
              <w:ind w:left="263"/>
              <w:rPr>
                <w:rFonts w:ascii="仿宋" w:hAnsi="仿宋" w:eastAsia="仿宋" w:cs="仿宋"/>
                <w:sz w:val="20"/>
                <w:szCs w:val="20"/>
              </w:rPr>
            </w:pPr>
            <w:r>
              <w:rPr>
                <w:rFonts w:ascii="仿宋" w:hAnsi="仿宋" w:eastAsia="仿宋" w:cs="仿宋"/>
                <w:spacing w:val="2"/>
                <w:sz w:val="20"/>
                <w:szCs w:val="20"/>
              </w:rPr>
              <w:t>夜间</w:t>
            </w:r>
          </w:p>
        </w:tc>
        <w:tc>
          <w:tcPr>
            <w:tcW w:w="834" w:type="dxa"/>
            <w:vAlign w:val="top"/>
          </w:tcPr>
          <w:p w14:paraId="5D795D9A">
            <w:pPr>
              <w:spacing w:before="65" w:line="232" w:lineRule="auto"/>
              <w:ind w:left="218"/>
              <w:rPr>
                <w:rFonts w:ascii="仿宋" w:hAnsi="仿宋" w:eastAsia="仿宋" w:cs="仿宋"/>
                <w:sz w:val="20"/>
                <w:szCs w:val="20"/>
              </w:rPr>
            </w:pPr>
            <w:r>
              <w:rPr>
                <w:rFonts w:ascii="仿宋" w:hAnsi="仿宋" w:eastAsia="仿宋" w:cs="仿宋"/>
                <w:spacing w:val="2"/>
                <w:sz w:val="20"/>
                <w:szCs w:val="20"/>
              </w:rPr>
              <w:t>昼间</w:t>
            </w:r>
          </w:p>
        </w:tc>
        <w:tc>
          <w:tcPr>
            <w:tcW w:w="870" w:type="dxa"/>
            <w:vAlign w:val="top"/>
          </w:tcPr>
          <w:p w14:paraId="51B5189B">
            <w:pPr>
              <w:spacing w:before="65" w:line="231" w:lineRule="auto"/>
              <w:ind w:left="236"/>
              <w:rPr>
                <w:rFonts w:ascii="仿宋" w:hAnsi="仿宋" w:eastAsia="仿宋" w:cs="仿宋"/>
                <w:sz w:val="20"/>
                <w:szCs w:val="20"/>
              </w:rPr>
            </w:pPr>
            <w:r>
              <w:rPr>
                <w:rFonts w:ascii="仿宋" w:hAnsi="仿宋" w:eastAsia="仿宋" w:cs="仿宋"/>
                <w:spacing w:val="2"/>
                <w:sz w:val="20"/>
                <w:szCs w:val="20"/>
              </w:rPr>
              <w:t>夜间</w:t>
            </w:r>
          </w:p>
        </w:tc>
        <w:tc>
          <w:tcPr>
            <w:tcW w:w="850" w:type="dxa"/>
            <w:vAlign w:val="top"/>
          </w:tcPr>
          <w:p w14:paraId="0F67FD78">
            <w:pPr>
              <w:spacing w:before="65" w:line="232" w:lineRule="auto"/>
              <w:ind w:left="225"/>
              <w:rPr>
                <w:rFonts w:ascii="仿宋" w:hAnsi="仿宋" w:eastAsia="仿宋" w:cs="仿宋"/>
                <w:sz w:val="20"/>
                <w:szCs w:val="20"/>
              </w:rPr>
            </w:pPr>
            <w:r>
              <w:rPr>
                <w:rFonts w:ascii="仿宋" w:hAnsi="仿宋" w:eastAsia="仿宋" w:cs="仿宋"/>
                <w:spacing w:val="2"/>
                <w:sz w:val="20"/>
                <w:szCs w:val="20"/>
              </w:rPr>
              <w:t>昼间</w:t>
            </w:r>
          </w:p>
        </w:tc>
        <w:tc>
          <w:tcPr>
            <w:tcW w:w="854" w:type="dxa"/>
            <w:vAlign w:val="top"/>
          </w:tcPr>
          <w:p w14:paraId="108341DD">
            <w:pPr>
              <w:spacing w:before="65" w:line="231" w:lineRule="auto"/>
              <w:ind w:left="227"/>
              <w:rPr>
                <w:rFonts w:ascii="仿宋" w:hAnsi="仿宋" w:eastAsia="仿宋" w:cs="仿宋"/>
                <w:sz w:val="20"/>
                <w:szCs w:val="20"/>
              </w:rPr>
            </w:pPr>
            <w:r>
              <w:rPr>
                <w:rFonts w:ascii="仿宋" w:hAnsi="仿宋" w:eastAsia="仿宋" w:cs="仿宋"/>
                <w:spacing w:val="2"/>
                <w:sz w:val="20"/>
                <w:szCs w:val="20"/>
              </w:rPr>
              <w:t>夜间</w:t>
            </w:r>
          </w:p>
        </w:tc>
        <w:tc>
          <w:tcPr>
            <w:tcW w:w="906" w:type="dxa"/>
            <w:vAlign w:val="top"/>
          </w:tcPr>
          <w:p w14:paraId="1CA9E9D0">
            <w:pPr>
              <w:spacing w:before="65" w:line="232" w:lineRule="auto"/>
              <w:ind w:left="254"/>
              <w:rPr>
                <w:rFonts w:ascii="仿宋" w:hAnsi="仿宋" w:eastAsia="仿宋" w:cs="仿宋"/>
                <w:sz w:val="20"/>
                <w:szCs w:val="20"/>
              </w:rPr>
            </w:pPr>
            <w:r>
              <w:rPr>
                <w:rFonts w:ascii="仿宋" w:hAnsi="仿宋" w:eastAsia="仿宋" w:cs="仿宋"/>
                <w:spacing w:val="2"/>
                <w:sz w:val="20"/>
                <w:szCs w:val="20"/>
              </w:rPr>
              <w:t>昼间</w:t>
            </w:r>
          </w:p>
        </w:tc>
        <w:tc>
          <w:tcPr>
            <w:tcW w:w="854" w:type="dxa"/>
            <w:tcBorders>
              <w:right w:val="nil"/>
            </w:tcBorders>
            <w:vAlign w:val="top"/>
          </w:tcPr>
          <w:p w14:paraId="7389524E">
            <w:pPr>
              <w:spacing w:before="65" w:line="231" w:lineRule="auto"/>
              <w:ind w:left="231"/>
              <w:rPr>
                <w:rFonts w:ascii="仿宋" w:hAnsi="仿宋" w:eastAsia="仿宋" w:cs="仿宋"/>
                <w:sz w:val="20"/>
                <w:szCs w:val="20"/>
              </w:rPr>
            </w:pPr>
            <w:r>
              <w:rPr>
                <w:rFonts w:ascii="仿宋" w:hAnsi="仿宋" w:eastAsia="仿宋" w:cs="仿宋"/>
                <w:spacing w:val="2"/>
                <w:sz w:val="20"/>
                <w:szCs w:val="20"/>
              </w:rPr>
              <w:t>夜间</w:t>
            </w:r>
          </w:p>
        </w:tc>
      </w:tr>
      <w:tr w14:paraId="06DB27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305" w:type="dxa"/>
            <w:tcBorders>
              <w:left w:val="nil"/>
            </w:tcBorders>
            <w:vAlign w:val="top"/>
          </w:tcPr>
          <w:p w14:paraId="0BE81C18">
            <w:pPr>
              <w:spacing w:before="67" w:line="231" w:lineRule="auto"/>
              <w:ind w:left="318"/>
              <w:rPr>
                <w:rFonts w:ascii="仿宋" w:hAnsi="仿宋" w:eastAsia="仿宋" w:cs="仿宋"/>
                <w:sz w:val="20"/>
                <w:szCs w:val="20"/>
              </w:rPr>
            </w:pPr>
            <w:r>
              <w:rPr>
                <w:rFonts w:ascii="仿宋" w:hAnsi="仿宋" w:eastAsia="仿宋" w:cs="仿宋"/>
                <w:spacing w:val="1"/>
                <w:sz w:val="20"/>
                <w:szCs w:val="20"/>
              </w:rPr>
              <w:t>2027</w:t>
            </w:r>
            <w:r>
              <w:rPr>
                <w:rFonts w:ascii="仿宋" w:hAnsi="仿宋" w:eastAsia="仿宋" w:cs="仿宋"/>
                <w:spacing w:val="-28"/>
                <w:sz w:val="20"/>
                <w:szCs w:val="20"/>
              </w:rPr>
              <w:t xml:space="preserve"> </w:t>
            </w:r>
            <w:r>
              <w:rPr>
                <w:rFonts w:ascii="仿宋" w:hAnsi="仿宋" w:eastAsia="仿宋" w:cs="仿宋"/>
                <w:spacing w:val="1"/>
                <w:sz w:val="20"/>
                <w:szCs w:val="20"/>
              </w:rPr>
              <w:t>年</w:t>
            </w:r>
          </w:p>
        </w:tc>
        <w:tc>
          <w:tcPr>
            <w:tcW w:w="907" w:type="dxa"/>
            <w:vAlign w:val="top"/>
          </w:tcPr>
          <w:p w14:paraId="34EC0785">
            <w:pPr>
              <w:spacing w:before="67" w:line="267" w:lineRule="exact"/>
              <w:ind w:left="406"/>
              <w:rPr>
                <w:rFonts w:ascii="仿宋" w:hAnsi="仿宋" w:eastAsia="仿宋" w:cs="仿宋"/>
                <w:sz w:val="20"/>
                <w:szCs w:val="20"/>
              </w:rPr>
            </w:pPr>
            <w:r>
              <w:rPr>
                <w:rFonts w:ascii="仿宋" w:hAnsi="仿宋" w:eastAsia="仿宋" w:cs="仿宋"/>
                <w:position w:val="1"/>
                <w:sz w:val="20"/>
                <w:szCs w:val="20"/>
              </w:rPr>
              <w:t>9</w:t>
            </w:r>
          </w:p>
        </w:tc>
        <w:tc>
          <w:tcPr>
            <w:tcW w:w="923" w:type="dxa"/>
            <w:vAlign w:val="top"/>
          </w:tcPr>
          <w:p w14:paraId="3A0D311C">
            <w:pPr>
              <w:spacing w:before="67" w:line="267" w:lineRule="exact"/>
              <w:ind w:left="411"/>
              <w:rPr>
                <w:rFonts w:ascii="仿宋" w:hAnsi="仿宋" w:eastAsia="仿宋" w:cs="仿宋"/>
                <w:sz w:val="20"/>
                <w:szCs w:val="20"/>
              </w:rPr>
            </w:pPr>
            <w:r>
              <w:rPr>
                <w:rFonts w:ascii="仿宋" w:hAnsi="仿宋" w:eastAsia="仿宋" w:cs="仿宋"/>
                <w:position w:val="1"/>
                <w:sz w:val="20"/>
                <w:szCs w:val="20"/>
              </w:rPr>
              <w:t>4</w:t>
            </w:r>
          </w:p>
        </w:tc>
        <w:tc>
          <w:tcPr>
            <w:tcW w:w="834" w:type="dxa"/>
            <w:vAlign w:val="top"/>
          </w:tcPr>
          <w:p w14:paraId="535315D0">
            <w:pPr>
              <w:spacing w:before="67" w:line="267" w:lineRule="exact"/>
              <w:ind w:left="383"/>
              <w:rPr>
                <w:rFonts w:ascii="仿宋" w:hAnsi="仿宋" w:eastAsia="仿宋" w:cs="仿宋"/>
                <w:sz w:val="20"/>
                <w:szCs w:val="20"/>
              </w:rPr>
            </w:pPr>
            <w:r>
              <w:rPr>
                <w:rFonts w:ascii="仿宋" w:hAnsi="仿宋" w:eastAsia="仿宋" w:cs="仿宋"/>
                <w:position w:val="1"/>
                <w:sz w:val="20"/>
                <w:szCs w:val="20"/>
              </w:rPr>
              <w:t>1</w:t>
            </w:r>
          </w:p>
        </w:tc>
        <w:tc>
          <w:tcPr>
            <w:tcW w:w="870" w:type="dxa"/>
            <w:vAlign w:val="top"/>
          </w:tcPr>
          <w:p w14:paraId="78379F0E">
            <w:pPr>
              <w:spacing w:before="67" w:line="267" w:lineRule="exact"/>
              <w:ind w:left="401"/>
              <w:rPr>
                <w:rFonts w:ascii="仿宋" w:hAnsi="仿宋" w:eastAsia="仿宋" w:cs="仿宋"/>
                <w:sz w:val="20"/>
                <w:szCs w:val="20"/>
              </w:rPr>
            </w:pPr>
            <w:r>
              <w:rPr>
                <w:rFonts w:ascii="仿宋" w:hAnsi="仿宋" w:eastAsia="仿宋" w:cs="仿宋"/>
                <w:position w:val="1"/>
                <w:sz w:val="20"/>
                <w:szCs w:val="20"/>
              </w:rPr>
              <w:t>1</w:t>
            </w:r>
          </w:p>
        </w:tc>
        <w:tc>
          <w:tcPr>
            <w:tcW w:w="850" w:type="dxa"/>
            <w:vAlign w:val="top"/>
          </w:tcPr>
          <w:p w14:paraId="4662BFDF">
            <w:pPr>
              <w:spacing w:before="67" w:line="267" w:lineRule="exact"/>
              <w:ind w:left="379"/>
              <w:rPr>
                <w:rFonts w:ascii="仿宋" w:hAnsi="仿宋" w:eastAsia="仿宋" w:cs="仿宋"/>
                <w:sz w:val="20"/>
                <w:szCs w:val="20"/>
              </w:rPr>
            </w:pPr>
            <w:r>
              <w:rPr>
                <w:rFonts w:ascii="仿宋" w:hAnsi="仿宋" w:eastAsia="仿宋" w:cs="仿宋"/>
                <w:position w:val="1"/>
                <w:sz w:val="20"/>
                <w:szCs w:val="20"/>
              </w:rPr>
              <w:t>0</w:t>
            </w:r>
          </w:p>
        </w:tc>
        <w:tc>
          <w:tcPr>
            <w:tcW w:w="854" w:type="dxa"/>
            <w:vAlign w:val="top"/>
          </w:tcPr>
          <w:p w14:paraId="46DBDC80">
            <w:pPr>
              <w:spacing w:before="67" w:line="267" w:lineRule="exact"/>
              <w:ind w:left="381"/>
              <w:rPr>
                <w:rFonts w:ascii="仿宋" w:hAnsi="仿宋" w:eastAsia="仿宋" w:cs="仿宋"/>
                <w:sz w:val="20"/>
                <w:szCs w:val="20"/>
              </w:rPr>
            </w:pPr>
            <w:r>
              <w:rPr>
                <w:rFonts w:ascii="仿宋" w:hAnsi="仿宋" w:eastAsia="仿宋" w:cs="仿宋"/>
                <w:position w:val="1"/>
                <w:sz w:val="20"/>
                <w:szCs w:val="20"/>
              </w:rPr>
              <w:t>0</w:t>
            </w:r>
          </w:p>
        </w:tc>
        <w:tc>
          <w:tcPr>
            <w:tcW w:w="906" w:type="dxa"/>
            <w:vAlign w:val="top"/>
          </w:tcPr>
          <w:p w14:paraId="78634413">
            <w:pPr>
              <w:spacing w:before="67" w:line="267" w:lineRule="exact"/>
              <w:ind w:left="369"/>
              <w:rPr>
                <w:rFonts w:ascii="仿宋" w:hAnsi="仿宋" w:eastAsia="仿宋" w:cs="仿宋"/>
                <w:sz w:val="20"/>
                <w:szCs w:val="20"/>
              </w:rPr>
            </w:pPr>
            <w:r>
              <w:rPr>
                <w:rFonts w:ascii="仿宋" w:hAnsi="仿宋" w:eastAsia="仿宋" w:cs="仿宋"/>
                <w:spacing w:val="-7"/>
                <w:position w:val="1"/>
                <w:sz w:val="20"/>
                <w:szCs w:val="20"/>
              </w:rPr>
              <w:t>10</w:t>
            </w:r>
          </w:p>
        </w:tc>
        <w:tc>
          <w:tcPr>
            <w:tcW w:w="854" w:type="dxa"/>
            <w:tcBorders>
              <w:right w:val="nil"/>
            </w:tcBorders>
            <w:vAlign w:val="top"/>
          </w:tcPr>
          <w:p w14:paraId="6794195E">
            <w:pPr>
              <w:spacing w:before="67" w:line="267" w:lineRule="exact"/>
              <w:ind w:left="387"/>
              <w:rPr>
                <w:rFonts w:ascii="仿宋" w:hAnsi="仿宋" w:eastAsia="仿宋" w:cs="仿宋"/>
                <w:sz w:val="20"/>
                <w:szCs w:val="20"/>
              </w:rPr>
            </w:pPr>
            <w:r>
              <w:rPr>
                <w:rFonts w:ascii="仿宋" w:hAnsi="仿宋" w:eastAsia="仿宋" w:cs="仿宋"/>
                <w:position w:val="1"/>
                <w:sz w:val="20"/>
                <w:szCs w:val="20"/>
              </w:rPr>
              <w:t>5</w:t>
            </w:r>
          </w:p>
        </w:tc>
      </w:tr>
      <w:tr w14:paraId="45449B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305" w:type="dxa"/>
            <w:tcBorders>
              <w:left w:val="nil"/>
            </w:tcBorders>
            <w:vAlign w:val="top"/>
          </w:tcPr>
          <w:p w14:paraId="0468A3F2">
            <w:pPr>
              <w:spacing w:before="66" w:line="231" w:lineRule="auto"/>
              <w:ind w:left="318"/>
              <w:rPr>
                <w:rFonts w:ascii="仿宋" w:hAnsi="仿宋" w:eastAsia="仿宋" w:cs="仿宋"/>
                <w:sz w:val="20"/>
                <w:szCs w:val="20"/>
              </w:rPr>
            </w:pPr>
            <w:r>
              <w:rPr>
                <w:rFonts w:ascii="仿宋" w:hAnsi="仿宋" w:eastAsia="仿宋" w:cs="仿宋"/>
                <w:spacing w:val="1"/>
                <w:sz w:val="20"/>
                <w:szCs w:val="20"/>
              </w:rPr>
              <w:t>2031</w:t>
            </w:r>
            <w:r>
              <w:rPr>
                <w:rFonts w:ascii="仿宋" w:hAnsi="仿宋" w:eastAsia="仿宋" w:cs="仿宋"/>
                <w:spacing w:val="-28"/>
                <w:sz w:val="20"/>
                <w:szCs w:val="20"/>
              </w:rPr>
              <w:t xml:space="preserve"> </w:t>
            </w:r>
            <w:r>
              <w:rPr>
                <w:rFonts w:ascii="仿宋" w:hAnsi="仿宋" w:eastAsia="仿宋" w:cs="仿宋"/>
                <w:spacing w:val="1"/>
                <w:sz w:val="20"/>
                <w:szCs w:val="20"/>
              </w:rPr>
              <w:t>年</w:t>
            </w:r>
          </w:p>
        </w:tc>
        <w:tc>
          <w:tcPr>
            <w:tcW w:w="907" w:type="dxa"/>
            <w:vAlign w:val="top"/>
          </w:tcPr>
          <w:p w14:paraId="4BB5241F">
            <w:pPr>
              <w:spacing w:before="68" w:line="266" w:lineRule="exact"/>
              <w:ind w:left="367"/>
              <w:rPr>
                <w:rFonts w:ascii="仿宋" w:hAnsi="仿宋" w:eastAsia="仿宋" w:cs="仿宋"/>
                <w:sz w:val="20"/>
                <w:szCs w:val="20"/>
              </w:rPr>
            </w:pPr>
            <w:r>
              <w:rPr>
                <w:rFonts w:ascii="仿宋" w:hAnsi="仿宋" w:eastAsia="仿宋" w:cs="仿宋"/>
                <w:spacing w:val="-7"/>
                <w:position w:val="1"/>
                <w:sz w:val="20"/>
                <w:szCs w:val="20"/>
              </w:rPr>
              <w:t>11</w:t>
            </w:r>
          </w:p>
        </w:tc>
        <w:tc>
          <w:tcPr>
            <w:tcW w:w="923" w:type="dxa"/>
            <w:vAlign w:val="top"/>
          </w:tcPr>
          <w:p w14:paraId="39EC6858">
            <w:pPr>
              <w:spacing w:before="68" w:line="266" w:lineRule="exact"/>
              <w:ind w:left="414"/>
              <w:rPr>
                <w:rFonts w:ascii="仿宋" w:hAnsi="仿宋" w:eastAsia="仿宋" w:cs="仿宋"/>
                <w:sz w:val="20"/>
                <w:szCs w:val="20"/>
              </w:rPr>
            </w:pPr>
            <w:r>
              <w:rPr>
                <w:rFonts w:ascii="仿宋" w:hAnsi="仿宋" w:eastAsia="仿宋" w:cs="仿宋"/>
                <w:position w:val="1"/>
                <w:sz w:val="20"/>
                <w:szCs w:val="20"/>
              </w:rPr>
              <w:t>6</w:t>
            </w:r>
          </w:p>
        </w:tc>
        <w:tc>
          <w:tcPr>
            <w:tcW w:w="834" w:type="dxa"/>
            <w:vAlign w:val="top"/>
          </w:tcPr>
          <w:p w14:paraId="53F6AAE1">
            <w:pPr>
              <w:spacing w:before="68" w:line="266" w:lineRule="exact"/>
              <w:ind w:left="370"/>
              <w:rPr>
                <w:rFonts w:ascii="仿宋" w:hAnsi="仿宋" w:eastAsia="仿宋" w:cs="仿宋"/>
                <w:sz w:val="20"/>
                <w:szCs w:val="20"/>
              </w:rPr>
            </w:pPr>
            <w:r>
              <w:rPr>
                <w:rFonts w:ascii="仿宋" w:hAnsi="仿宋" w:eastAsia="仿宋" w:cs="仿宋"/>
                <w:position w:val="1"/>
                <w:sz w:val="20"/>
                <w:szCs w:val="20"/>
              </w:rPr>
              <w:t>2</w:t>
            </w:r>
          </w:p>
        </w:tc>
        <w:tc>
          <w:tcPr>
            <w:tcW w:w="870" w:type="dxa"/>
            <w:vAlign w:val="top"/>
          </w:tcPr>
          <w:p w14:paraId="13E5B1A5">
            <w:pPr>
              <w:spacing w:before="68" w:line="266" w:lineRule="exact"/>
              <w:ind w:left="401"/>
              <w:rPr>
                <w:rFonts w:ascii="仿宋" w:hAnsi="仿宋" w:eastAsia="仿宋" w:cs="仿宋"/>
                <w:sz w:val="20"/>
                <w:szCs w:val="20"/>
              </w:rPr>
            </w:pPr>
            <w:r>
              <w:rPr>
                <w:rFonts w:ascii="仿宋" w:hAnsi="仿宋" w:eastAsia="仿宋" w:cs="仿宋"/>
                <w:position w:val="1"/>
                <w:sz w:val="20"/>
                <w:szCs w:val="20"/>
              </w:rPr>
              <w:t>1</w:t>
            </w:r>
          </w:p>
        </w:tc>
        <w:tc>
          <w:tcPr>
            <w:tcW w:w="850" w:type="dxa"/>
            <w:vAlign w:val="top"/>
          </w:tcPr>
          <w:p w14:paraId="3CE57DF8">
            <w:pPr>
              <w:spacing w:before="68" w:line="266" w:lineRule="exact"/>
              <w:ind w:left="379"/>
              <w:rPr>
                <w:rFonts w:ascii="仿宋" w:hAnsi="仿宋" w:eastAsia="仿宋" w:cs="仿宋"/>
                <w:sz w:val="20"/>
                <w:szCs w:val="20"/>
              </w:rPr>
            </w:pPr>
            <w:r>
              <w:rPr>
                <w:rFonts w:ascii="仿宋" w:hAnsi="仿宋" w:eastAsia="仿宋" w:cs="仿宋"/>
                <w:position w:val="1"/>
                <w:sz w:val="20"/>
                <w:szCs w:val="20"/>
              </w:rPr>
              <w:t>0</w:t>
            </w:r>
          </w:p>
        </w:tc>
        <w:tc>
          <w:tcPr>
            <w:tcW w:w="854" w:type="dxa"/>
            <w:vAlign w:val="top"/>
          </w:tcPr>
          <w:p w14:paraId="3E35BE6E">
            <w:pPr>
              <w:spacing w:before="68" w:line="266" w:lineRule="exact"/>
              <w:ind w:left="381"/>
              <w:rPr>
                <w:rFonts w:ascii="仿宋" w:hAnsi="仿宋" w:eastAsia="仿宋" w:cs="仿宋"/>
                <w:sz w:val="20"/>
                <w:szCs w:val="20"/>
              </w:rPr>
            </w:pPr>
            <w:r>
              <w:rPr>
                <w:rFonts w:ascii="仿宋" w:hAnsi="仿宋" w:eastAsia="仿宋" w:cs="仿宋"/>
                <w:position w:val="1"/>
                <w:sz w:val="20"/>
                <w:szCs w:val="20"/>
              </w:rPr>
              <w:t>0</w:t>
            </w:r>
          </w:p>
        </w:tc>
        <w:tc>
          <w:tcPr>
            <w:tcW w:w="906" w:type="dxa"/>
            <w:vAlign w:val="top"/>
          </w:tcPr>
          <w:p w14:paraId="53CA46BE">
            <w:pPr>
              <w:spacing w:before="68" w:line="266" w:lineRule="exact"/>
              <w:ind w:left="369"/>
              <w:rPr>
                <w:rFonts w:ascii="仿宋" w:hAnsi="仿宋" w:eastAsia="仿宋" w:cs="仿宋"/>
                <w:sz w:val="20"/>
                <w:szCs w:val="20"/>
              </w:rPr>
            </w:pPr>
            <w:r>
              <w:rPr>
                <w:rFonts w:ascii="仿宋" w:hAnsi="仿宋" w:eastAsia="仿宋" w:cs="仿宋"/>
                <w:spacing w:val="-7"/>
                <w:position w:val="1"/>
                <w:sz w:val="20"/>
                <w:szCs w:val="20"/>
              </w:rPr>
              <w:t>13</w:t>
            </w:r>
          </w:p>
        </w:tc>
        <w:tc>
          <w:tcPr>
            <w:tcW w:w="854" w:type="dxa"/>
            <w:tcBorders>
              <w:right w:val="nil"/>
            </w:tcBorders>
            <w:vAlign w:val="top"/>
          </w:tcPr>
          <w:p w14:paraId="6F8BCEF3">
            <w:pPr>
              <w:spacing w:before="68" w:line="266" w:lineRule="exact"/>
              <w:ind w:left="388"/>
              <w:rPr>
                <w:rFonts w:ascii="仿宋" w:hAnsi="仿宋" w:eastAsia="仿宋" w:cs="仿宋"/>
                <w:sz w:val="20"/>
                <w:szCs w:val="20"/>
              </w:rPr>
            </w:pPr>
            <w:r>
              <w:rPr>
                <w:rFonts w:ascii="仿宋" w:hAnsi="仿宋" w:eastAsia="仿宋" w:cs="仿宋"/>
                <w:position w:val="1"/>
                <w:sz w:val="20"/>
                <w:szCs w:val="20"/>
              </w:rPr>
              <w:t>7</w:t>
            </w:r>
          </w:p>
        </w:tc>
      </w:tr>
      <w:tr w14:paraId="35B834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305" w:type="dxa"/>
            <w:tcBorders>
              <w:left w:val="nil"/>
            </w:tcBorders>
            <w:vAlign w:val="top"/>
          </w:tcPr>
          <w:p w14:paraId="7F1A729A">
            <w:pPr>
              <w:spacing w:before="67" w:line="231" w:lineRule="auto"/>
              <w:ind w:left="318"/>
              <w:rPr>
                <w:rFonts w:ascii="仿宋" w:hAnsi="仿宋" w:eastAsia="仿宋" w:cs="仿宋"/>
                <w:sz w:val="20"/>
                <w:szCs w:val="20"/>
              </w:rPr>
            </w:pPr>
            <w:r>
              <w:rPr>
                <w:rFonts w:ascii="仿宋" w:hAnsi="仿宋" w:eastAsia="仿宋" w:cs="仿宋"/>
                <w:spacing w:val="1"/>
                <w:sz w:val="20"/>
                <w:szCs w:val="20"/>
              </w:rPr>
              <w:t>2036</w:t>
            </w:r>
            <w:r>
              <w:rPr>
                <w:rFonts w:ascii="仿宋" w:hAnsi="仿宋" w:eastAsia="仿宋" w:cs="仿宋"/>
                <w:spacing w:val="-28"/>
                <w:sz w:val="20"/>
                <w:szCs w:val="20"/>
              </w:rPr>
              <w:t xml:space="preserve"> </w:t>
            </w:r>
            <w:r>
              <w:rPr>
                <w:rFonts w:ascii="仿宋" w:hAnsi="仿宋" w:eastAsia="仿宋" w:cs="仿宋"/>
                <w:spacing w:val="1"/>
                <w:sz w:val="20"/>
                <w:szCs w:val="20"/>
              </w:rPr>
              <w:t>年</w:t>
            </w:r>
          </w:p>
        </w:tc>
        <w:tc>
          <w:tcPr>
            <w:tcW w:w="907" w:type="dxa"/>
            <w:vAlign w:val="top"/>
          </w:tcPr>
          <w:p w14:paraId="61CD0D23">
            <w:pPr>
              <w:spacing w:before="70" w:line="269" w:lineRule="exact"/>
              <w:ind w:left="367"/>
              <w:rPr>
                <w:rFonts w:ascii="仿宋" w:hAnsi="仿宋" w:eastAsia="仿宋" w:cs="仿宋"/>
                <w:sz w:val="20"/>
                <w:szCs w:val="20"/>
              </w:rPr>
            </w:pPr>
            <w:r>
              <w:rPr>
                <w:rFonts w:ascii="仿宋" w:hAnsi="仿宋" w:eastAsia="仿宋" w:cs="仿宋"/>
                <w:spacing w:val="-7"/>
                <w:position w:val="1"/>
                <w:sz w:val="20"/>
                <w:szCs w:val="20"/>
              </w:rPr>
              <w:t>13</w:t>
            </w:r>
          </w:p>
        </w:tc>
        <w:tc>
          <w:tcPr>
            <w:tcW w:w="923" w:type="dxa"/>
            <w:vAlign w:val="top"/>
          </w:tcPr>
          <w:p w14:paraId="290E93FD">
            <w:pPr>
              <w:spacing w:before="70" w:line="269" w:lineRule="exact"/>
              <w:ind w:left="414"/>
              <w:rPr>
                <w:rFonts w:ascii="仿宋" w:hAnsi="仿宋" w:eastAsia="仿宋" w:cs="仿宋"/>
                <w:sz w:val="20"/>
                <w:szCs w:val="20"/>
              </w:rPr>
            </w:pPr>
            <w:r>
              <w:rPr>
                <w:rFonts w:ascii="仿宋" w:hAnsi="仿宋" w:eastAsia="仿宋" w:cs="仿宋"/>
                <w:position w:val="1"/>
                <w:sz w:val="20"/>
                <w:szCs w:val="20"/>
              </w:rPr>
              <w:t>6</w:t>
            </w:r>
          </w:p>
        </w:tc>
        <w:tc>
          <w:tcPr>
            <w:tcW w:w="834" w:type="dxa"/>
            <w:vAlign w:val="top"/>
          </w:tcPr>
          <w:p w14:paraId="6C89569E">
            <w:pPr>
              <w:spacing w:before="70" w:line="269" w:lineRule="exact"/>
              <w:ind w:left="370"/>
              <w:rPr>
                <w:rFonts w:ascii="仿宋" w:hAnsi="仿宋" w:eastAsia="仿宋" w:cs="仿宋"/>
                <w:sz w:val="20"/>
                <w:szCs w:val="20"/>
              </w:rPr>
            </w:pPr>
            <w:r>
              <w:rPr>
                <w:rFonts w:ascii="仿宋" w:hAnsi="仿宋" w:eastAsia="仿宋" w:cs="仿宋"/>
                <w:position w:val="1"/>
                <w:sz w:val="20"/>
                <w:szCs w:val="20"/>
              </w:rPr>
              <w:t>2</w:t>
            </w:r>
          </w:p>
        </w:tc>
        <w:tc>
          <w:tcPr>
            <w:tcW w:w="870" w:type="dxa"/>
            <w:vAlign w:val="top"/>
          </w:tcPr>
          <w:p w14:paraId="0DBF9F5B">
            <w:pPr>
              <w:spacing w:before="70" w:line="269" w:lineRule="exact"/>
              <w:ind w:left="401"/>
              <w:rPr>
                <w:rFonts w:ascii="仿宋" w:hAnsi="仿宋" w:eastAsia="仿宋" w:cs="仿宋"/>
                <w:sz w:val="20"/>
                <w:szCs w:val="20"/>
              </w:rPr>
            </w:pPr>
            <w:r>
              <w:rPr>
                <w:rFonts w:ascii="仿宋" w:hAnsi="仿宋" w:eastAsia="仿宋" w:cs="仿宋"/>
                <w:position w:val="1"/>
                <w:sz w:val="20"/>
                <w:szCs w:val="20"/>
              </w:rPr>
              <w:t>1</w:t>
            </w:r>
          </w:p>
        </w:tc>
        <w:tc>
          <w:tcPr>
            <w:tcW w:w="850" w:type="dxa"/>
            <w:vAlign w:val="top"/>
          </w:tcPr>
          <w:p w14:paraId="35002EE9">
            <w:pPr>
              <w:spacing w:before="70" w:line="269" w:lineRule="exact"/>
              <w:ind w:left="379"/>
              <w:rPr>
                <w:rFonts w:ascii="仿宋" w:hAnsi="仿宋" w:eastAsia="仿宋" w:cs="仿宋"/>
                <w:sz w:val="20"/>
                <w:szCs w:val="20"/>
              </w:rPr>
            </w:pPr>
            <w:r>
              <w:rPr>
                <w:rFonts w:ascii="仿宋" w:hAnsi="仿宋" w:eastAsia="仿宋" w:cs="仿宋"/>
                <w:position w:val="1"/>
                <w:sz w:val="20"/>
                <w:szCs w:val="20"/>
              </w:rPr>
              <w:t>0</w:t>
            </w:r>
          </w:p>
        </w:tc>
        <w:tc>
          <w:tcPr>
            <w:tcW w:w="854" w:type="dxa"/>
            <w:vAlign w:val="top"/>
          </w:tcPr>
          <w:p w14:paraId="0C696B07">
            <w:pPr>
              <w:spacing w:before="70" w:line="269" w:lineRule="exact"/>
              <w:ind w:left="381"/>
              <w:rPr>
                <w:rFonts w:ascii="仿宋" w:hAnsi="仿宋" w:eastAsia="仿宋" w:cs="仿宋"/>
                <w:sz w:val="20"/>
                <w:szCs w:val="20"/>
              </w:rPr>
            </w:pPr>
            <w:r>
              <w:rPr>
                <w:rFonts w:ascii="仿宋" w:hAnsi="仿宋" w:eastAsia="仿宋" w:cs="仿宋"/>
                <w:position w:val="1"/>
                <w:sz w:val="20"/>
                <w:szCs w:val="20"/>
              </w:rPr>
              <w:t>0</w:t>
            </w:r>
          </w:p>
        </w:tc>
        <w:tc>
          <w:tcPr>
            <w:tcW w:w="906" w:type="dxa"/>
            <w:vAlign w:val="top"/>
          </w:tcPr>
          <w:p w14:paraId="0AF144D1">
            <w:pPr>
              <w:spacing w:before="70" w:line="269" w:lineRule="exact"/>
              <w:ind w:left="369"/>
              <w:rPr>
                <w:rFonts w:ascii="仿宋" w:hAnsi="仿宋" w:eastAsia="仿宋" w:cs="仿宋"/>
                <w:sz w:val="20"/>
                <w:szCs w:val="20"/>
              </w:rPr>
            </w:pPr>
            <w:r>
              <w:rPr>
                <w:rFonts w:ascii="仿宋" w:hAnsi="仿宋" w:eastAsia="仿宋" w:cs="仿宋"/>
                <w:spacing w:val="-7"/>
                <w:position w:val="1"/>
                <w:sz w:val="20"/>
                <w:szCs w:val="20"/>
              </w:rPr>
              <w:t>15</w:t>
            </w:r>
          </w:p>
        </w:tc>
        <w:tc>
          <w:tcPr>
            <w:tcW w:w="854" w:type="dxa"/>
            <w:tcBorders>
              <w:right w:val="nil"/>
            </w:tcBorders>
            <w:vAlign w:val="top"/>
          </w:tcPr>
          <w:p w14:paraId="13E858D2">
            <w:pPr>
              <w:spacing w:before="70" w:line="269" w:lineRule="exact"/>
              <w:ind w:left="388"/>
              <w:rPr>
                <w:rFonts w:ascii="仿宋" w:hAnsi="仿宋" w:eastAsia="仿宋" w:cs="仿宋"/>
                <w:sz w:val="20"/>
                <w:szCs w:val="20"/>
              </w:rPr>
            </w:pPr>
            <w:r>
              <w:rPr>
                <w:rFonts w:ascii="仿宋" w:hAnsi="仿宋" w:eastAsia="仿宋" w:cs="仿宋"/>
                <w:position w:val="1"/>
                <w:sz w:val="20"/>
                <w:szCs w:val="20"/>
              </w:rPr>
              <w:t>7</w:t>
            </w:r>
          </w:p>
        </w:tc>
      </w:tr>
    </w:tbl>
    <w:p w14:paraId="5A7D9F96">
      <w:pPr>
        <w:spacing w:before="63" w:line="231" w:lineRule="auto"/>
        <w:ind w:left="2032"/>
        <w:rPr>
          <w:rFonts w:ascii="仿宋" w:hAnsi="仿宋" w:eastAsia="仿宋" w:cs="仿宋"/>
          <w:sz w:val="20"/>
          <w:szCs w:val="20"/>
        </w:rPr>
      </w:pPr>
      <w:r>
        <w:rPr>
          <w:rFonts w:ascii="仿宋" w:hAnsi="仿宋" w:eastAsia="仿宋" w:cs="仿宋"/>
          <w:spacing w:val="4"/>
          <w:sz w:val="20"/>
          <w:szCs w:val="20"/>
        </w:rPr>
        <w:t>注：昼夜比为</w:t>
      </w:r>
      <w:r>
        <w:rPr>
          <w:rFonts w:ascii="仿宋" w:hAnsi="仿宋" w:eastAsia="仿宋" w:cs="仿宋"/>
          <w:spacing w:val="-24"/>
          <w:sz w:val="20"/>
          <w:szCs w:val="20"/>
        </w:rPr>
        <w:t xml:space="preserve"> </w:t>
      </w:r>
      <w:r>
        <w:rPr>
          <w:rFonts w:ascii="仿宋" w:hAnsi="仿宋" w:eastAsia="仿宋" w:cs="仿宋"/>
          <w:spacing w:val="4"/>
          <w:sz w:val="20"/>
          <w:szCs w:val="20"/>
        </w:rPr>
        <w:t>0.8:0.2；昼间</w:t>
      </w:r>
      <w:r>
        <w:rPr>
          <w:rFonts w:ascii="仿宋" w:hAnsi="仿宋" w:eastAsia="仿宋" w:cs="仿宋"/>
          <w:spacing w:val="-22"/>
          <w:sz w:val="20"/>
          <w:szCs w:val="20"/>
        </w:rPr>
        <w:t xml:space="preserve"> </w:t>
      </w:r>
      <w:r>
        <w:rPr>
          <w:rFonts w:ascii="仿宋" w:hAnsi="仿宋" w:eastAsia="仿宋" w:cs="仿宋"/>
          <w:spacing w:val="4"/>
          <w:sz w:val="20"/>
          <w:szCs w:val="20"/>
        </w:rPr>
        <w:t>16h，夜间</w:t>
      </w:r>
      <w:r>
        <w:rPr>
          <w:rFonts w:ascii="仿宋" w:hAnsi="仿宋" w:eastAsia="仿宋" w:cs="仿宋"/>
          <w:spacing w:val="-39"/>
          <w:sz w:val="20"/>
          <w:szCs w:val="20"/>
        </w:rPr>
        <w:t xml:space="preserve"> </w:t>
      </w:r>
      <w:r>
        <w:rPr>
          <w:rFonts w:ascii="仿宋" w:hAnsi="仿宋" w:eastAsia="仿宋" w:cs="仿宋"/>
          <w:spacing w:val="4"/>
          <w:sz w:val="20"/>
          <w:szCs w:val="20"/>
        </w:rPr>
        <w:t>8</w:t>
      </w:r>
      <w:r>
        <w:rPr>
          <w:rFonts w:ascii="仿宋" w:hAnsi="仿宋" w:eastAsia="仿宋" w:cs="仿宋"/>
          <w:spacing w:val="-33"/>
          <w:sz w:val="20"/>
          <w:szCs w:val="20"/>
        </w:rPr>
        <w:t xml:space="preserve"> </w:t>
      </w:r>
      <w:r>
        <w:rPr>
          <w:rFonts w:ascii="仿宋" w:hAnsi="仿宋" w:eastAsia="仿宋" w:cs="仿宋"/>
          <w:spacing w:val="4"/>
          <w:sz w:val="20"/>
          <w:szCs w:val="20"/>
        </w:rPr>
        <w:t>小时</w:t>
      </w:r>
    </w:p>
    <w:p w14:paraId="2C1D4F15">
      <w:pPr>
        <w:spacing w:before="26" w:line="29" w:lineRule="exact"/>
        <w:ind w:firstLine="15"/>
      </w:pPr>
      <w:r>
        <w:pict>
          <v:shape id="_x0000_s1108" o:spid="_x0000_s1108" style="height:1.45pt;width:415.25pt;" filled="f" stroked="t" coordsize="8305,29" path="m0,14l8304,14e">
            <v:fill on="f" focussize="0,0"/>
            <v:stroke weight="1.44pt" color="#000000" miterlimit="2" joinstyle="bevel"/>
            <v:imagedata o:title=""/>
            <o:lock v:ext="edit"/>
            <w10:wrap type="none"/>
            <w10:anchorlock/>
          </v:shape>
        </w:pict>
      </w:r>
    </w:p>
    <w:p w14:paraId="0FD1DE85">
      <w:pPr>
        <w:spacing w:before="35" w:line="219" w:lineRule="auto"/>
        <w:ind w:left="25"/>
        <w:rPr>
          <w:rFonts w:ascii="仿宋" w:hAnsi="仿宋" w:eastAsia="仿宋" w:cs="仿宋"/>
          <w:sz w:val="24"/>
          <w:szCs w:val="24"/>
        </w:rPr>
      </w:pPr>
      <w:r>
        <w:rPr>
          <w:rFonts w:ascii="仿宋" w:hAnsi="仿宋" w:eastAsia="仿宋" w:cs="仿宋"/>
          <w:b/>
          <w:bCs/>
          <w:spacing w:val="-4"/>
          <w:sz w:val="24"/>
          <w:szCs w:val="24"/>
        </w:rPr>
        <w:t>2.3.2.2</w:t>
      </w:r>
      <w:r>
        <w:rPr>
          <w:rFonts w:ascii="仿宋" w:hAnsi="仿宋" w:eastAsia="仿宋" w:cs="仿宋"/>
          <w:spacing w:val="-25"/>
          <w:sz w:val="24"/>
          <w:szCs w:val="24"/>
        </w:rPr>
        <w:t xml:space="preserve"> </w:t>
      </w:r>
      <w:r>
        <w:rPr>
          <w:rFonts w:ascii="仿宋" w:hAnsi="仿宋" w:eastAsia="仿宋" w:cs="仿宋"/>
          <w:b/>
          <w:bCs/>
          <w:spacing w:val="-4"/>
          <w:sz w:val="24"/>
          <w:szCs w:val="24"/>
        </w:rPr>
        <w:t>交通噪声单车排放源强计算公式</w:t>
      </w:r>
    </w:p>
    <w:p w14:paraId="1456E930">
      <w:pPr>
        <w:spacing w:before="260" w:line="360" w:lineRule="auto"/>
        <w:ind w:left="32" w:firstLine="478"/>
        <w:jc w:val="both"/>
        <w:rPr>
          <w:rFonts w:ascii="仿宋" w:hAnsi="仿宋" w:eastAsia="仿宋" w:cs="仿宋"/>
          <w:sz w:val="24"/>
          <w:szCs w:val="24"/>
        </w:rPr>
      </w:pPr>
      <w:r>
        <w:rPr>
          <w:rFonts w:ascii="仿宋" w:hAnsi="仿宋" w:eastAsia="仿宋" w:cs="仿宋"/>
          <w:spacing w:val="-3"/>
          <w:sz w:val="24"/>
          <w:szCs w:val="24"/>
        </w:rPr>
        <w:t>本项目设计车速为</w:t>
      </w:r>
      <w:r>
        <w:rPr>
          <w:rFonts w:ascii="仿宋" w:hAnsi="仿宋" w:eastAsia="仿宋" w:cs="仿宋"/>
          <w:spacing w:val="-32"/>
          <w:sz w:val="24"/>
          <w:szCs w:val="24"/>
        </w:rPr>
        <w:t xml:space="preserve"> </w:t>
      </w:r>
      <w:r>
        <w:rPr>
          <w:rFonts w:ascii="Times New Roman" w:hAnsi="Times New Roman" w:eastAsia="Times New Roman" w:cs="Times New Roman"/>
          <w:spacing w:val="-3"/>
          <w:sz w:val="24"/>
          <w:szCs w:val="24"/>
        </w:rPr>
        <w:t>15km/h</w:t>
      </w:r>
      <w:r>
        <w:rPr>
          <w:rFonts w:ascii="Times New Roman" w:hAnsi="Times New Roman" w:eastAsia="Times New Roman" w:cs="Times New Roman"/>
          <w:spacing w:val="-29"/>
          <w:sz w:val="24"/>
          <w:szCs w:val="24"/>
        </w:rPr>
        <w:t xml:space="preserve"> </w:t>
      </w:r>
      <w:r>
        <w:rPr>
          <w:rFonts w:ascii="仿宋" w:hAnsi="仿宋" w:eastAsia="仿宋" w:cs="仿宋"/>
          <w:spacing w:val="-3"/>
          <w:sz w:val="24"/>
          <w:szCs w:val="24"/>
        </w:rPr>
        <w:t>，设计速度较</w:t>
      </w:r>
      <w:r>
        <w:rPr>
          <w:rFonts w:ascii="仿宋" w:hAnsi="仿宋" w:eastAsia="仿宋" w:cs="仿宋"/>
          <w:spacing w:val="-4"/>
          <w:sz w:val="24"/>
          <w:szCs w:val="24"/>
        </w:rPr>
        <w:t>低，《环境影响评价技术导则 声环境》（</w:t>
      </w:r>
      <w:r>
        <w:rPr>
          <w:rFonts w:ascii="Times New Roman" w:hAnsi="Times New Roman" w:eastAsia="Times New Roman" w:cs="Times New Roman"/>
          <w:spacing w:val="-4"/>
          <w:sz w:val="24"/>
          <w:szCs w:val="24"/>
        </w:rPr>
        <w:t>HJ2.4-2021</w:t>
      </w:r>
      <w:r>
        <w:rPr>
          <w:rFonts w:ascii="仿宋" w:hAnsi="仿宋" w:eastAsia="仿宋" w:cs="仿宋"/>
          <w:spacing w:val="-4"/>
          <w:sz w:val="24"/>
          <w:szCs w:val="24"/>
        </w:rPr>
        <w:t>）与《环境影响评价技术导则 公路建设项目》（</w:t>
      </w:r>
      <w:r>
        <w:rPr>
          <w:rFonts w:ascii="Times New Roman" w:hAnsi="Times New Roman" w:eastAsia="Times New Roman" w:cs="Times New Roman"/>
          <w:spacing w:val="-4"/>
          <w:sz w:val="24"/>
          <w:szCs w:val="24"/>
        </w:rPr>
        <w:t>HJ1358-2024</w:t>
      </w:r>
      <w:r>
        <w:rPr>
          <w:rFonts w:ascii="仿宋" w:hAnsi="仿宋" w:eastAsia="仿宋" w:cs="仿宋"/>
          <w:spacing w:val="-4"/>
          <w:sz w:val="24"/>
          <w:szCs w:val="24"/>
        </w:rPr>
        <w:t>）</w:t>
      </w:r>
      <w:r>
        <w:rPr>
          <w:rFonts w:ascii="仿宋" w:hAnsi="仿宋" w:eastAsia="仿宋" w:cs="仿宋"/>
          <w:spacing w:val="-2"/>
          <w:sz w:val="24"/>
          <w:szCs w:val="24"/>
        </w:rPr>
        <w:t>中的推荐的预测模型不适用于设计车速低于</w:t>
      </w:r>
      <w:r>
        <w:rPr>
          <w:rFonts w:ascii="仿宋" w:hAnsi="仿宋" w:eastAsia="仿宋" w:cs="仿宋"/>
          <w:spacing w:val="-47"/>
          <w:sz w:val="24"/>
          <w:szCs w:val="24"/>
        </w:rPr>
        <w:t xml:space="preserve"> </w:t>
      </w:r>
      <w:r>
        <w:rPr>
          <w:rFonts w:ascii="Times New Roman" w:hAnsi="Times New Roman" w:eastAsia="Times New Roman" w:cs="Times New Roman"/>
          <w:spacing w:val="-2"/>
          <w:sz w:val="24"/>
          <w:szCs w:val="24"/>
        </w:rPr>
        <w:t>48km/h</w:t>
      </w:r>
      <w:r>
        <w:rPr>
          <w:rFonts w:ascii="Times New Roman" w:hAnsi="Times New Roman" w:eastAsia="Times New Roman" w:cs="Times New Roman"/>
          <w:spacing w:val="27"/>
          <w:w w:val="101"/>
          <w:sz w:val="24"/>
          <w:szCs w:val="24"/>
        </w:rPr>
        <w:t xml:space="preserve"> </w:t>
      </w:r>
      <w:r>
        <w:rPr>
          <w:rFonts w:ascii="仿宋" w:hAnsi="仿宋" w:eastAsia="仿宋" w:cs="仿宋"/>
          <w:spacing w:val="-2"/>
          <w:sz w:val="24"/>
          <w:szCs w:val="24"/>
        </w:rPr>
        <w:t>的公路项目。</w:t>
      </w:r>
    </w:p>
    <w:p w14:paraId="465A96CC">
      <w:pPr>
        <w:spacing w:before="3" w:line="351" w:lineRule="auto"/>
        <w:ind w:left="29" w:right="96" w:firstLine="480"/>
        <w:jc w:val="both"/>
        <w:rPr>
          <w:rFonts w:ascii="仿宋" w:hAnsi="仿宋" w:eastAsia="仿宋" w:cs="仿宋"/>
          <w:sz w:val="24"/>
          <w:szCs w:val="24"/>
        </w:rPr>
      </w:pPr>
      <w:r>
        <w:rPr>
          <w:rFonts w:ascii="仿宋" w:hAnsi="仿宋" w:eastAsia="仿宋" w:cs="仿宋"/>
          <w:spacing w:val="-3"/>
          <w:sz w:val="24"/>
          <w:szCs w:val="24"/>
        </w:rPr>
        <w:t>本项目采用卓春晖源强模式（来源于文献《公</w:t>
      </w:r>
      <w:r>
        <w:rPr>
          <w:rFonts w:ascii="仿宋" w:hAnsi="仿宋" w:eastAsia="仿宋" w:cs="仿宋"/>
          <w:spacing w:val="-4"/>
          <w:sz w:val="24"/>
          <w:szCs w:val="24"/>
        </w:rPr>
        <w:t>路项目环评中低时速单车噪声</w:t>
      </w:r>
      <w:r>
        <w:rPr>
          <w:rFonts w:ascii="仿宋" w:hAnsi="仿宋" w:eastAsia="仿宋" w:cs="仿宋"/>
          <w:spacing w:val="-2"/>
          <w:sz w:val="24"/>
          <w:szCs w:val="24"/>
        </w:rPr>
        <w:t>源强研究》（环境科学与管理，第</w:t>
      </w:r>
      <w:r>
        <w:rPr>
          <w:rFonts w:ascii="仿宋" w:hAnsi="仿宋" w:eastAsia="仿宋" w:cs="仿宋"/>
          <w:spacing w:val="-47"/>
          <w:sz w:val="24"/>
          <w:szCs w:val="24"/>
        </w:rPr>
        <w:t xml:space="preserve"> </w:t>
      </w:r>
      <w:r>
        <w:rPr>
          <w:rFonts w:ascii="Times New Roman" w:hAnsi="Times New Roman" w:eastAsia="Times New Roman" w:cs="Times New Roman"/>
          <w:spacing w:val="-2"/>
          <w:sz w:val="24"/>
          <w:szCs w:val="24"/>
        </w:rPr>
        <w:t>39</w:t>
      </w:r>
      <w:r>
        <w:rPr>
          <w:rFonts w:ascii="Times New Roman" w:hAnsi="Times New Roman" w:eastAsia="Times New Roman" w:cs="Times New Roman"/>
          <w:spacing w:val="18"/>
          <w:sz w:val="24"/>
          <w:szCs w:val="24"/>
        </w:rPr>
        <w:t xml:space="preserve"> </w:t>
      </w:r>
      <w:r>
        <w:rPr>
          <w:rFonts w:ascii="仿宋" w:hAnsi="仿宋" w:eastAsia="仿宋" w:cs="仿宋"/>
          <w:spacing w:val="-2"/>
          <w:sz w:val="24"/>
          <w:szCs w:val="24"/>
        </w:rPr>
        <w:t>卷第</w:t>
      </w:r>
      <w:r>
        <w:rPr>
          <w:rFonts w:ascii="仿宋" w:hAnsi="仿宋" w:eastAsia="仿宋" w:cs="仿宋"/>
          <w:spacing w:val="-50"/>
          <w:sz w:val="24"/>
          <w:szCs w:val="24"/>
        </w:rPr>
        <w:t xml:space="preserve"> </w:t>
      </w:r>
      <w:r>
        <w:rPr>
          <w:rFonts w:ascii="Times New Roman" w:hAnsi="Times New Roman" w:eastAsia="Times New Roman" w:cs="Times New Roman"/>
          <w:spacing w:val="-2"/>
          <w:sz w:val="24"/>
          <w:szCs w:val="24"/>
        </w:rPr>
        <w:t>6</w:t>
      </w:r>
      <w:r>
        <w:rPr>
          <w:rFonts w:ascii="Times New Roman" w:hAnsi="Times New Roman" w:eastAsia="Times New Roman" w:cs="Times New Roman"/>
          <w:spacing w:val="18"/>
          <w:w w:val="101"/>
          <w:sz w:val="24"/>
          <w:szCs w:val="24"/>
        </w:rPr>
        <w:t xml:space="preserve"> </w:t>
      </w:r>
      <w:r>
        <w:rPr>
          <w:rFonts w:ascii="仿宋" w:hAnsi="仿宋" w:eastAsia="仿宋" w:cs="仿宋"/>
          <w:spacing w:val="-2"/>
          <w:sz w:val="24"/>
          <w:szCs w:val="24"/>
        </w:rPr>
        <w:t>期，</w:t>
      </w:r>
      <w:r>
        <w:rPr>
          <w:rFonts w:ascii="Times New Roman" w:hAnsi="Times New Roman" w:eastAsia="Times New Roman" w:cs="Times New Roman"/>
          <w:spacing w:val="-2"/>
          <w:sz w:val="24"/>
          <w:szCs w:val="24"/>
        </w:rPr>
        <w:t>201</w:t>
      </w:r>
      <w:r>
        <w:rPr>
          <w:rFonts w:ascii="Times New Roman" w:hAnsi="Times New Roman" w:eastAsia="Times New Roman" w:cs="Times New Roman"/>
          <w:spacing w:val="-3"/>
          <w:sz w:val="24"/>
          <w:szCs w:val="24"/>
        </w:rPr>
        <w:t>4</w:t>
      </w:r>
      <w:r>
        <w:rPr>
          <w:rFonts w:ascii="Times New Roman" w:hAnsi="Times New Roman" w:eastAsia="Times New Roman" w:cs="Times New Roman"/>
          <w:spacing w:val="23"/>
          <w:sz w:val="24"/>
          <w:szCs w:val="24"/>
        </w:rPr>
        <w:t xml:space="preserve"> </w:t>
      </w:r>
      <w:r>
        <w:rPr>
          <w:rFonts w:ascii="仿宋" w:hAnsi="仿宋" w:eastAsia="仿宋" w:cs="仿宋"/>
          <w:spacing w:val="-3"/>
          <w:sz w:val="24"/>
          <w:szCs w:val="24"/>
        </w:rPr>
        <w:t>年</w:t>
      </w:r>
      <w:r>
        <w:rPr>
          <w:rFonts w:ascii="仿宋" w:hAnsi="仿宋" w:eastAsia="仿宋" w:cs="仿宋"/>
          <w:spacing w:val="-47"/>
          <w:sz w:val="24"/>
          <w:szCs w:val="24"/>
        </w:rPr>
        <w:t xml:space="preserve"> </w:t>
      </w:r>
      <w:r>
        <w:rPr>
          <w:rFonts w:ascii="Times New Roman" w:hAnsi="Times New Roman" w:eastAsia="Times New Roman" w:cs="Times New Roman"/>
          <w:spacing w:val="-3"/>
          <w:sz w:val="24"/>
          <w:szCs w:val="24"/>
        </w:rPr>
        <w:t>6</w:t>
      </w:r>
      <w:r>
        <w:rPr>
          <w:rFonts w:ascii="Times New Roman" w:hAnsi="Times New Roman" w:eastAsia="Times New Roman" w:cs="Times New Roman"/>
          <w:spacing w:val="27"/>
          <w:sz w:val="24"/>
          <w:szCs w:val="24"/>
        </w:rPr>
        <w:t xml:space="preserve"> </w:t>
      </w:r>
      <w:r>
        <w:rPr>
          <w:rFonts w:ascii="仿宋" w:hAnsi="仿宋" w:eastAsia="仿宋" w:cs="仿宋"/>
          <w:spacing w:val="-3"/>
          <w:sz w:val="24"/>
          <w:szCs w:val="24"/>
        </w:rPr>
        <w:t>月，</w:t>
      </w:r>
      <w:r>
        <w:rPr>
          <w:rFonts w:ascii="Times New Roman" w:hAnsi="Times New Roman" w:eastAsia="Times New Roman" w:cs="Times New Roman"/>
          <w:spacing w:val="-3"/>
          <w:sz w:val="24"/>
          <w:szCs w:val="24"/>
        </w:rPr>
        <w:t>P144~P147</w:t>
      </w:r>
      <w:r>
        <w:rPr>
          <w:rFonts w:ascii="仿宋" w:hAnsi="仿宋" w:eastAsia="仿宋" w:cs="仿宋"/>
          <w:spacing w:val="1"/>
          <w:sz w:val="24"/>
          <w:szCs w:val="24"/>
        </w:rPr>
        <w:t>），该源强模式适用于设计车速在</w:t>
      </w:r>
      <w:r>
        <w:rPr>
          <w:rFonts w:ascii="仿宋" w:hAnsi="仿宋" w:eastAsia="仿宋" w:cs="仿宋"/>
          <w:spacing w:val="-27"/>
          <w:sz w:val="24"/>
          <w:szCs w:val="24"/>
        </w:rPr>
        <w:t xml:space="preserve"> </w:t>
      </w:r>
      <w:r>
        <w:rPr>
          <w:rFonts w:ascii="Times New Roman" w:hAnsi="Times New Roman" w:eastAsia="Times New Roman" w:cs="Times New Roman"/>
          <w:spacing w:val="1"/>
          <w:sz w:val="24"/>
          <w:szCs w:val="24"/>
        </w:rPr>
        <w:t>15</w:t>
      </w:r>
      <w:r>
        <w:rPr>
          <w:rFonts w:ascii="Times New Roman" w:hAnsi="Times New Roman" w:eastAsia="Times New Roman" w:cs="Times New Roman"/>
          <w:sz w:val="24"/>
          <w:szCs w:val="24"/>
        </w:rPr>
        <w:t>km</w:t>
      </w:r>
      <w:r>
        <w:rPr>
          <w:rFonts w:ascii="Times New Roman" w:hAnsi="Times New Roman" w:eastAsia="Times New Roman" w:cs="Times New Roman"/>
          <w:spacing w:val="1"/>
          <w:sz w:val="24"/>
          <w:szCs w:val="24"/>
        </w:rPr>
        <w:t>/h~48</w:t>
      </w:r>
      <w:r>
        <w:rPr>
          <w:rFonts w:ascii="Times New Roman" w:hAnsi="Times New Roman" w:eastAsia="Times New Roman" w:cs="Times New Roman"/>
          <w:sz w:val="24"/>
          <w:szCs w:val="24"/>
        </w:rPr>
        <w:t>km</w:t>
      </w:r>
      <w:r>
        <w:rPr>
          <w:rFonts w:ascii="Times New Roman" w:hAnsi="Times New Roman" w:eastAsia="Times New Roman" w:cs="Times New Roman"/>
          <w:spacing w:val="1"/>
          <w:sz w:val="24"/>
          <w:szCs w:val="24"/>
        </w:rPr>
        <w:t>/h</w:t>
      </w:r>
      <w:r>
        <w:rPr>
          <w:rFonts w:ascii="Times New Roman" w:hAnsi="Times New Roman" w:eastAsia="Times New Roman" w:cs="Times New Roman"/>
          <w:spacing w:val="23"/>
          <w:w w:val="101"/>
          <w:sz w:val="24"/>
          <w:szCs w:val="24"/>
        </w:rPr>
        <w:t xml:space="preserve"> </w:t>
      </w:r>
      <w:r>
        <w:rPr>
          <w:rFonts w:ascii="仿宋" w:hAnsi="仿宋" w:eastAsia="仿宋" w:cs="仿宋"/>
          <w:spacing w:val="1"/>
          <w:sz w:val="24"/>
          <w:szCs w:val="24"/>
        </w:rPr>
        <w:t>之间的中低时速单车噪声源强计</w:t>
      </w:r>
      <w:r>
        <w:rPr>
          <w:rFonts w:ascii="仿宋" w:hAnsi="仿宋" w:eastAsia="仿宋" w:cs="仿宋"/>
          <w:spacing w:val="-2"/>
          <w:sz w:val="24"/>
          <w:szCs w:val="24"/>
        </w:rPr>
        <w:t>算。估算模式如下：</w:t>
      </w:r>
    </w:p>
    <w:p w14:paraId="459D614F">
      <w:pPr>
        <w:spacing w:line="323" w:lineRule="exact"/>
        <w:ind w:left="509"/>
        <w:rPr>
          <w:rFonts w:ascii="仿宋" w:hAnsi="仿宋" w:eastAsia="仿宋" w:cs="仿宋"/>
          <w:sz w:val="24"/>
          <w:szCs w:val="24"/>
        </w:rPr>
      </w:pPr>
      <w:r>
        <w:rPr>
          <w:rFonts w:ascii="仿宋" w:hAnsi="仿宋" w:eastAsia="仿宋" w:cs="仿宋"/>
          <w:position w:val="2"/>
          <w:sz w:val="24"/>
          <w:szCs w:val="24"/>
        </w:rPr>
        <w:t xml:space="preserve">小型车：  </w:t>
      </w:r>
      <w:r>
        <w:rPr>
          <w:rFonts w:ascii="Times New Roman" w:hAnsi="Times New Roman" w:eastAsia="Times New Roman" w:cs="Times New Roman"/>
          <w:position w:val="2"/>
          <w:sz w:val="24"/>
          <w:szCs w:val="24"/>
        </w:rPr>
        <w:t>L</w:t>
      </w:r>
      <w:r>
        <w:rPr>
          <w:rFonts w:ascii="Times New Roman" w:hAnsi="Times New Roman" w:eastAsia="Times New Roman" w:cs="Times New Roman"/>
          <w:position w:val="1"/>
          <w:sz w:val="15"/>
          <w:szCs w:val="15"/>
        </w:rPr>
        <w:t>oS</w:t>
      </w:r>
      <w:r>
        <w:rPr>
          <w:rFonts w:ascii="Times New Roman" w:hAnsi="Times New Roman" w:eastAsia="Times New Roman" w:cs="Times New Roman"/>
          <w:position w:val="2"/>
          <w:sz w:val="24"/>
          <w:szCs w:val="24"/>
        </w:rPr>
        <w:t xml:space="preserve">=21.5lgV+34.96  </w:t>
      </w:r>
      <w:r>
        <w:rPr>
          <w:rFonts w:ascii="仿宋" w:hAnsi="仿宋" w:eastAsia="仿宋" w:cs="仿宋"/>
          <w:position w:val="2"/>
          <w:sz w:val="24"/>
          <w:szCs w:val="24"/>
        </w:rPr>
        <w:t>（适用范围：</w:t>
      </w:r>
      <w:r>
        <w:rPr>
          <w:rFonts w:ascii="Times New Roman" w:hAnsi="Times New Roman" w:eastAsia="Times New Roman" w:cs="Times New Roman"/>
          <w:position w:val="2"/>
          <w:sz w:val="24"/>
          <w:szCs w:val="24"/>
        </w:rPr>
        <w:t>15km</w:t>
      </w:r>
      <w:r>
        <w:rPr>
          <w:rFonts w:ascii="Times New Roman" w:hAnsi="Times New Roman" w:eastAsia="Times New Roman" w:cs="Times New Roman"/>
          <w:spacing w:val="-1"/>
          <w:position w:val="2"/>
          <w:sz w:val="24"/>
          <w:szCs w:val="24"/>
        </w:rPr>
        <w:t>/h~63km/h</w:t>
      </w:r>
      <w:r>
        <w:rPr>
          <w:rFonts w:ascii="仿宋" w:hAnsi="仿宋" w:eastAsia="仿宋" w:cs="仿宋"/>
          <w:spacing w:val="-1"/>
          <w:position w:val="2"/>
          <w:sz w:val="24"/>
          <w:szCs w:val="24"/>
        </w:rPr>
        <w:t>）</w:t>
      </w:r>
    </w:p>
    <w:p w14:paraId="50F3D26E">
      <w:pPr>
        <w:spacing w:before="145" w:line="323" w:lineRule="exact"/>
        <w:ind w:left="540"/>
        <w:rPr>
          <w:rFonts w:ascii="仿宋" w:hAnsi="仿宋" w:eastAsia="仿宋" w:cs="仿宋"/>
          <w:sz w:val="24"/>
          <w:szCs w:val="24"/>
        </w:rPr>
      </w:pPr>
      <w:r>
        <w:rPr>
          <w:rFonts w:ascii="仿宋" w:hAnsi="仿宋" w:eastAsia="仿宋" w:cs="仿宋"/>
          <w:spacing w:val="-1"/>
          <w:position w:val="2"/>
          <w:sz w:val="24"/>
          <w:szCs w:val="24"/>
        </w:rPr>
        <w:t xml:space="preserve">中型车：  </w:t>
      </w:r>
      <w:r>
        <w:rPr>
          <w:rFonts w:ascii="Times New Roman" w:hAnsi="Times New Roman" w:eastAsia="Times New Roman" w:cs="Times New Roman"/>
          <w:spacing w:val="-1"/>
          <w:position w:val="2"/>
          <w:sz w:val="24"/>
          <w:szCs w:val="24"/>
        </w:rPr>
        <w:t>L</w:t>
      </w:r>
      <w:r>
        <w:rPr>
          <w:rFonts w:ascii="Times New Roman" w:hAnsi="Times New Roman" w:eastAsia="Times New Roman" w:cs="Times New Roman"/>
          <w:spacing w:val="-1"/>
          <w:position w:val="1"/>
          <w:sz w:val="15"/>
          <w:szCs w:val="15"/>
        </w:rPr>
        <w:t>oM</w:t>
      </w:r>
      <w:r>
        <w:rPr>
          <w:rFonts w:ascii="Times New Roman" w:hAnsi="Times New Roman" w:eastAsia="Times New Roman" w:cs="Times New Roman"/>
          <w:spacing w:val="-1"/>
          <w:position w:val="2"/>
          <w:sz w:val="24"/>
          <w:szCs w:val="24"/>
        </w:rPr>
        <w:t>=</w:t>
      </w:r>
      <w:r>
        <w:rPr>
          <w:rFonts w:ascii="Times New Roman" w:hAnsi="Times New Roman" w:eastAsia="Times New Roman" w:cs="Times New Roman"/>
          <w:spacing w:val="-33"/>
          <w:position w:val="2"/>
          <w:sz w:val="24"/>
          <w:szCs w:val="24"/>
        </w:rPr>
        <w:t xml:space="preserve"> </w:t>
      </w:r>
      <w:r>
        <w:rPr>
          <w:rFonts w:ascii="Times New Roman" w:hAnsi="Times New Roman" w:eastAsia="Times New Roman" w:cs="Times New Roman"/>
          <w:spacing w:val="-1"/>
          <w:position w:val="2"/>
          <w:sz w:val="24"/>
          <w:szCs w:val="24"/>
        </w:rPr>
        <w:t>10.4lgV+59.2</w:t>
      </w:r>
      <w:r>
        <w:rPr>
          <w:rFonts w:ascii="Times New Roman" w:hAnsi="Times New Roman" w:eastAsia="Times New Roman" w:cs="Times New Roman"/>
          <w:spacing w:val="-2"/>
          <w:position w:val="2"/>
          <w:sz w:val="24"/>
          <w:szCs w:val="24"/>
        </w:rPr>
        <w:t xml:space="preserve">9  </w:t>
      </w:r>
      <w:r>
        <w:rPr>
          <w:rFonts w:ascii="仿宋" w:hAnsi="仿宋" w:eastAsia="仿宋" w:cs="仿宋"/>
          <w:spacing w:val="-2"/>
          <w:position w:val="2"/>
          <w:sz w:val="24"/>
          <w:szCs w:val="24"/>
        </w:rPr>
        <w:t>（适用范围：</w:t>
      </w:r>
      <w:r>
        <w:rPr>
          <w:rFonts w:ascii="Times New Roman" w:hAnsi="Times New Roman" w:eastAsia="Times New Roman" w:cs="Times New Roman"/>
          <w:spacing w:val="-2"/>
          <w:position w:val="2"/>
          <w:sz w:val="24"/>
          <w:szCs w:val="24"/>
        </w:rPr>
        <w:t>15km/h~53km/h</w:t>
      </w:r>
      <w:r>
        <w:rPr>
          <w:rFonts w:ascii="仿宋" w:hAnsi="仿宋" w:eastAsia="仿宋" w:cs="仿宋"/>
          <w:spacing w:val="-2"/>
          <w:position w:val="2"/>
          <w:sz w:val="24"/>
          <w:szCs w:val="24"/>
        </w:rPr>
        <w:t>）</w:t>
      </w:r>
    </w:p>
    <w:p w14:paraId="5165ADC2">
      <w:pPr>
        <w:spacing w:before="145" w:line="323" w:lineRule="exact"/>
        <w:ind w:left="512"/>
        <w:rPr>
          <w:rFonts w:ascii="仿宋" w:hAnsi="仿宋" w:eastAsia="仿宋" w:cs="仿宋"/>
          <w:sz w:val="24"/>
          <w:szCs w:val="24"/>
        </w:rPr>
      </w:pPr>
      <w:r>
        <w:rPr>
          <w:rFonts w:ascii="仿宋" w:hAnsi="仿宋" w:eastAsia="仿宋" w:cs="仿宋"/>
          <w:spacing w:val="-1"/>
          <w:position w:val="2"/>
          <w:sz w:val="24"/>
          <w:szCs w:val="24"/>
        </w:rPr>
        <w:t xml:space="preserve">大型车：  </w:t>
      </w:r>
      <w:r>
        <w:rPr>
          <w:rFonts w:ascii="Times New Roman" w:hAnsi="Times New Roman" w:eastAsia="Times New Roman" w:cs="Times New Roman"/>
          <w:spacing w:val="-1"/>
          <w:position w:val="2"/>
          <w:sz w:val="24"/>
          <w:szCs w:val="24"/>
        </w:rPr>
        <w:t>L</w:t>
      </w:r>
      <w:r>
        <w:rPr>
          <w:rFonts w:ascii="Times New Roman" w:hAnsi="Times New Roman" w:eastAsia="Times New Roman" w:cs="Times New Roman"/>
          <w:spacing w:val="-1"/>
          <w:position w:val="1"/>
          <w:sz w:val="15"/>
          <w:szCs w:val="15"/>
        </w:rPr>
        <w:t>oL</w:t>
      </w:r>
      <w:r>
        <w:rPr>
          <w:rFonts w:ascii="Times New Roman" w:hAnsi="Times New Roman" w:eastAsia="Times New Roman" w:cs="Times New Roman"/>
          <w:spacing w:val="-1"/>
          <w:position w:val="2"/>
          <w:sz w:val="24"/>
          <w:szCs w:val="24"/>
        </w:rPr>
        <w:t>=</w:t>
      </w:r>
      <w:r>
        <w:rPr>
          <w:rFonts w:ascii="Times New Roman" w:hAnsi="Times New Roman" w:eastAsia="Times New Roman" w:cs="Times New Roman"/>
          <w:spacing w:val="-29"/>
          <w:position w:val="2"/>
          <w:sz w:val="24"/>
          <w:szCs w:val="24"/>
        </w:rPr>
        <w:t xml:space="preserve"> </w:t>
      </w:r>
      <w:r>
        <w:rPr>
          <w:rFonts w:ascii="Times New Roman" w:hAnsi="Times New Roman" w:eastAsia="Times New Roman" w:cs="Times New Roman"/>
          <w:spacing w:val="-1"/>
          <w:position w:val="2"/>
          <w:sz w:val="24"/>
          <w:szCs w:val="24"/>
        </w:rPr>
        <w:t xml:space="preserve">14.5lgV+61.14  </w:t>
      </w:r>
      <w:r>
        <w:rPr>
          <w:rFonts w:ascii="仿宋" w:hAnsi="仿宋" w:eastAsia="仿宋" w:cs="仿宋"/>
          <w:spacing w:val="-1"/>
          <w:position w:val="2"/>
          <w:sz w:val="24"/>
          <w:szCs w:val="24"/>
        </w:rPr>
        <w:t>（适用范围：</w:t>
      </w:r>
      <w:r>
        <w:rPr>
          <w:rFonts w:ascii="Times New Roman" w:hAnsi="Times New Roman" w:eastAsia="Times New Roman" w:cs="Times New Roman"/>
          <w:spacing w:val="-1"/>
          <w:position w:val="2"/>
          <w:sz w:val="24"/>
          <w:szCs w:val="24"/>
        </w:rPr>
        <w:t>15km/h~48km/h</w:t>
      </w:r>
      <w:r>
        <w:rPr>
          <w:rFonts w:ascii="仿宋" w:hAnsi="仿宋" w:eastAsia="仿宋" w:cs="仿宋"/>
          <w:spacing w:val="-1"/>
          <w:position w:val="2"/>
          <w:sz w:val="24"/>
          <w:szCs w:val="24"/>
        </w:rPr>
        <w:t>）</w:t>
      </w:r>
    </w:p>
    <w:p w14:paraId="5D6F1913">
      <w:pPr>
        <w:spacing w:before="145" w:line="323" w:lineRule="exact"/>
        <w:ind w:left="515"/>
        <w:rPr>
          <w:rFonts w:ascii="仿宋" w:hAnsi="仿宋" w:eastAsia="仿宋" w:cs="仿宋"/>
          <w:sz w:val="24"/>
          <w:szCs w:val="24"/>
        </w:rPr>
      </w:pPr>
      <w:r>
        <w:rPr>
          <w:rFonts w:ascii="仿宋" w:hAnsi="仿宋" w:eastAsia="仿宋" w:cs="仿宋"/>
          <w:spacing w:val="-4"/>
          <w:position w:val="1"/>
          <w:sz w:val="24"/>
          <w:szCs w:val="24"/>
        </w:rPr>
        <w:t>式中：右下角注</w:t>
      </w:r>
      <w:r>
        <w:rPr>
          <w:rFonts w:ascii="仿宋" w:hAnsi="仿宋" w:eastAsia="仿宋" w:cs="仿宋"/>
          <w:spacing w:val="-45"/>
          <w:position w:val="1"/>
          <w:sz w:val="24"/>
          <w:szCs w:val="24"/>
        </w:rPr>
        <w:t xml:space="preserve"> </w:t>
      </w:r>
      <w:r>
        <w:rPr>
          <w:rFonts w:ascii="Times New Roman" w:hAnsi="Times New Roman" w:eastAsia="Times New Roman" w:cs="Times New Roman"/>
          <w:spacing w:val="-4"/>
          <w:position w:val="1"/>
          <w:sz w:val="24"/>
          <w:szCs w:val="24"/>
        </w:rPr>
        <w:t>S</w:t>
      </w:r>
      <w:r>
        <w:rPr>
          <w:rFonts w:ascii="Times New Roman" w:hAnsi="Times New Roman" w:eastAsia="Times New Roman" w:cs="Times New Roman"/>
          <w:spacing w:val="-28"/>
          <w:position w:val="1"/>
          <w:sz w:val="24"/>
          <w:szCs w:val="24"/>
        </w:rPr>
        <w:t xml:space="preserve"> </w:t>
      </w:r>
      <w:r>
        <w:rPr>
          <w:rFonts w:ascii="仿宋" w:hAnsi="仿宋" w:eastAsia="仿宋" w:cs="仿宋"/>
          <w:spacing w:val="-4"/>
          <w:position w:val="1"/>
          <w:sz w:val="24"/>
          <w:szCs w:val="24"/>
        </w:rPr>
        <w:t>、</w:t>
      </w:r>
      <w:r>
        <w:rPr>
          <w:rFonts w:ascii="Times New Roman" w:hAnsi="Times New Roman" w:eastAsia="Times New Roman" w:cs="Times New Roman"/>
          <w:spacing w:val="-4"/>
          <w:position w:val="1"/>
          <w:sz w:val="24"/>
          <w:szCs w:val="24"/>
        </w:rPr>
        <w:t>M</w:t>
      </w:r>
      <w:r>
        <w:rPr>
          <w:rFonts w:ascii="Times New Roman" w:hAnsi="Times New Roman" w:eastAsia="Times New Roman" w:cs="Times New Roman"/>
          <w:spacing w:val="-26"/>
          <w:position w:val="1"/>
          <w:sz w:val="24"/>
          <w:szCs w:val="24"/>
        </w:rPr>
        <w:t xml:space="preserve"> </w:t>
      </w:r>
      <w:r>
        <w:rPr>
          <w:rFonts w:ascii="仿宋" w:hAnsi="仿宋" w:eastAsia="仿宋" w:cs="仿宋"/>
          <w:spacing w:val="-4"/>
          <w:position w:val="1"/>
          <w:sz w:val="24"/>
          <w:szCs w:val="24"/>
        </w:rPr>
        <w:t>、</w:t>
      </w:r>
      <w:r>
        <w:rPr>
          <w:rFonts w:ascii="Times New Roman" w:hAnsi="Times New Roman" w:eastAsia="Times New Roman" w:cs="Times New Roman"/>
          <w:spacing w:val="-4"/>
          <w:position w:val="1"/>
          <w:sz w:val="24"/>
          <w:szCs w:val="24"/>
        </w:rPr>
        <w:t>L──</w:t>
      </w:r>
      <w:r>
        <w:rPr>
          <w:rFonts w:ascii="仿宋" w:hAnsi="仿宋" w:eastAsia="仿宋" w:cs="仿宋"/>
          <w:spacing w:val="-4"/>
          <w:position w:val="1"/>
          <w:sz w:val="24"/>
          <w:szCs w:val="24"/>
        </w:rPr>
        <w:t>分别表示小、中、大型车；</w:t>
      </w:r>
    </w:p>
    <w:p w14:paraId="38CCA21F">
      <w:pPr>
        <w:spacing w:before="145" w:line="323" w:lineRule="exact"/>
        <w:ind w:left="1216"/>
        <w:rPr>
          <w:rFonts w:ascii="仿宋" w:hAnsi="仿宋" w:eastAsia="仿宋" w:cs="仿宋"/>
          <w:sz w:val="24"/>
          <w:szCs w:val="24"/>
        </w:rPr>
      </w:pPr>
      <w:r>
        <w:rPr>
          <w:rFonts w:ascii="Times New Roman" w:hAnsi="Times New Roman" w:eastAsia="Times New Roman" w:cs="Times New Roman"/>
          <w:spacing w:val="-1"/>
          <w:position w:val="1"/>
          <w:sz w:val="24"/>
          <w:szCs w:val="24"/>
        </w:rPr>
        <w:t>V──</w:t>
      </w:r>
      <w:r>
        <w:rPr>
          <w:rFonts w:ascii="仿宋" w:hAnsi="仿宋" w:eastAsia="仿宋" w:cs="仿宋"/>
          <w:spacing w:val="-1"/>
          <w:position w:val="1"/>
          <w:sz w:val="24"/>
          <w:szCs w:val="24"/>
        </w:rPr>
        <w:t>该车型车辆的平均行驶速度，按设计平均速度</w:t>
      </w:r>
      <w:r>
        <w:rPr>
          <w:rFonts w:ascii="仿宋" w:hAnsi="仿宋" w:eastAsia="仿宋" w:cs="仿宋"/>
          <w:spacing w:val="-32"/>
          <w:position w:val="1"/>
          <w:sz w:val="24"/>
          <w:szCs w:val="24"/>
        </w:rPr>
        <w:t xml:space="preserve"> </w:t>
      </w:r>
      <w:r>
        <w:rPr>
          <w:rFonts w:ascii="Times New Roman" w:hAnsi="Times New Roman" w:eastAsia="Times New Roman" w:cs="Times New Roman"/>
          <w:spacing w:val="-1"/>
          <w:position w:val="1"/>
          <w:sz w:val="24"/>
          <w:szCs w:val="24"/>
        </w:rPr>
        <w:t xml:space="preserve">15km/h </w:t>
      </w:r>
      <w:r>
        <w:rPr>
          <w:rFonts w:ascii="仿宋" w:hAnsi="仿宋" w:eastAsia="仿宋" w:cs="仿宋"/>
          <w:spacing w:val="-1"/>
          <w:position w:val="1"/>
          <w:sz w:val="24"/>
          <w:szCs w:val="24"/>
        </w:rPr>
        <w:t>计算。</w:t>
      </w:r>
    </w:p>
    <w:p w14:paraId="72C53D1A">
      <w:pPr>
        <w:spacing w:before="112" w:line="222" w:lineRule="auto"/>
        <w:ind w:left="25"/>
        <w:rPr>
          <w:rFonts w:ascii="仿宋" w:hAnsi="仿宋" w:eastAsia="仿宋" w:cs="仿宋"/>
          <w:sz w:val="24"/>
          <w:szCs w:val="24"/>
        </w:rPr>
      </w:pPr>
      <w:r>
        <w:rPr>
          <w:rFonts w:ascii="仿宋" w:hAnsi="仿宋" w:eastAsia="仿宋" w:cs="仿宋"/>
          <w:b/>
          <w:bCs/>
          <w:spacing w:val="-4"/>
          <w:sz w:val="24"/>
          <w:szCs w:val="24"/>
        </w:rPr>
        <w:t>2.3.2.3</w:t>
      </w:r>
      <w:r>
        <w:rPr>
          <w:rFonts w:ascii="仿宋" w:hAnsi="仿宋" w:eastAsia="仿宋" w:cs="仿宋"/>
          <w:spacing w:val="-37"/>
          <w:sz w:val="24"/>
          <w:szCs w:val="24"/>
        </w:rPr>
        <w:t xml:space="preserve"> </w:t>
      </w:r>
      <w:r>
        <w:rPr>
          <w:rFonts w:ascii="仿宋" w:hAnsi="仿宋" w:eastAsia="仿宋" w:cs="仿宋"/>
          <w:b/>
          <w:bCs/>
          <w:spacing w:val="-4"/>
          <w:sz w:val="24"/>
          <w:szCs w:val="24"/>
        </w:rPr>
        <w:t>本项目交通噪声源强</w:t>
      </w:r>
    </w:p>
    <w:p w14:paraId="3A607CDC">
      <w:pPr>
        <w:spacing w:before="179" w:line="359" w:lineRule="auto"/>
        <w:ind w:left="31" w:right="96" w:firstLine="479"/>
        <w:rPr>
          <w:rFonts w:ascii="仿宋" w:hAnsi="仿宋" w:eastAsia="仿宋" w:cs="仿宋"/>
          <w:sz w:val="24"/>
          <w:szCs w:val="24"/>
        </w:rPr>
      </w:pPr>
      <w:r>
        <w:rPr>
          <w:rFonts w:ascii="仿宋" w:hAnsi="仿宋" w:eastAsia="仿宋" w:cs="仿宋"/>
          <w:spacing w:val="-3"/>
          <w:sz w:val="24"/>
          <w:szCs w:val="24"/>
        </w:rPr>
        <w:t>根据以上交通量、平均车速和单车排放源强计</w:t>
      </w:r>
      <w:r>
        <w:rPr>
          <w:rFonts w:ascii="仿宋" w:hAnsi="仿宋" w:eastAsia="仿宋" w:cs="仿宋"/>
          <w:spacing w:val="-4"/>
          <w:sz w:val="24"/>
          <w:szCs w:val="24"/>
        </w:rPr>
        <w:t>算公式，本项目交通噪声源强见表</w:t>
      </w:r>
      <w:r>
        <w:rPr>
          <w:rFonts w:ascii="仿宋" w:hAnsi="仿宋" w:eastAsia="仿宋" w:cs="仿宋"/>
          <w:spacing w:val="-47"/>
          <w:sz w:val="24"/>
          <w:szCs w:val="24"/>
        </w:rPr>
        <w:t xml:space="preserve"> </w:t>
      </w:r>
      <w:r>
        <w:rPr>
          <w:rFonts w:ascii="仿宋" w:hAnsi="仿宋" w:eastAsia="仿宋" w:cs="仿宋"/>
          <w:spacing w:val="-4"/>
          <w:sz w:val="24"/>
          <w:szCs w:val="24"/>
        </w:rPr>
        <w:t>2.3-8。</w:t>
      </w:r>
    </w:p>
    <w:p w14:paraId="4569BF19">
      <w:pPr>
        <w:spacing w:before="1" w:line="211" w:lineRule="auto"/>
        <w:ind w:left="2360"/>
        <w:rPr>
          <w:rFonts w:ascii="宋体" w:hAnsi="宋体" w:eastAsia="宋体" w:cs="宋体"/>
          <w:sz w:val="24"/>
          <w:szCs w:val="24"/>
        </w:rPr>
      </w:pPr>
      <w:r>
        <w:rPr>
          <w:rFonts w:ascii="宋体" w:hAnsi="宋体" w:eastAsia="宋体" w:cs="宋体"/>
          <w:b/>
          <w:bCs/>
          <w:spacing w:val="-1"/>
          <w:sz w:val="24"/>
          <w:szCs w:val="24"/>
        </w:rPr>
        <w:t>表</w:t>
      </w:r>
      <w:r>
        <w:rPr>
          <w:rFonts w:ascii="Times New Roman" w:hAnsi="Times New Roman" w:eastAsia="Times New Roman" w:cs="Times New Roman"/>
          <w:b/>
          <w:bCs/>
          <w:spacing w:val="-1"/>
          <w:sz w:val="24"/>
          <w:szCs w:val="24"/>
        </w:rPr>
        <w:t xml:space="preserve">2.3-8            </w:t>
      </w:r>
      <w:r>
        <w:rPr>
          <w:rFonts w:ascii="宋体" w:hAnsi="宋体" w:eastAsia="宋体" w:cs="宋体"/>
          <w:b/>
          <w:bCs/>
          <w:spacing w:val="-1"/>
          <w:sz w:val="24"/>
          <w:szCs w:val="24"/>
        </w:rPr>
        <w:t>项目声源数据一</w:t>
      </w:r>
      <w:r>
        <w:rPr>
          <w:rFonts w:ascii="宋体" w:hAnsi="宋体" w:eastAsia="宋体" w:cs="宋体"/>
          <w:b/>
          <w:bCs/>
          <w:spacing w:val="-2"/>
          <w:sz w:val="24"/>
          <w:szCs w:val="24"/>
        </w:rPr>
        <w:t>览表</w:t>
      </w:r>
    </w:p>
    <w:tbl>
      <w:tblPr>
        <w:tblStyle w:val="5"/>
        <w:tblW w:w="8240" w:type="dxa"/>
        <w:tblInd w:w="4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89"/>
        <w:gridCol w:w="381"/>
        <w:gridCol w:w="384"/>
        <w:gridCol w:w="275"/>
        <w:gridCol w:w="331"/>
        <w:gridCol w:w="333"/>
        <w:gridCol w:w="367"/>
        <w:gridCol w:w="401"/>
        <w:gridCol w:w="417"/>
        <w:gridCol w:w="402"/>
        <w:gridCol w:w="406"/>
        <w:gridCol w:w="402"/>
        <w:gridCol w:w="406"/>
        <w:gridCol w:w="402"/>
        <w:gridCol w:w="420"/>
        <w:gridCol w:w="420"/>
        <w:gridCol w:w="422"/>
        <w:gridCol w:w="420"/>
        <w:gridCol w:w="422"/>
        <w:gridCol w:w="422"/>
        <w:gridCol w:w="418"/>
      </w:tblGrid>
      <w:tr w14:paraId="608386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trPr>
        <w:tc>
          <w:tcPr>
            <w:tcW w:w="389" w:type="dxa"/>
            <w:tcBorders>
              <w:top w:val="single" w:color="000000" w:sz="10" w:space="0"/>
              <w:left w:val="nil"/>
              <w:bottom w:val="nil"/>
            </w:tcBorders>
            <w:vAlign w:val="top"/>
          </w:tcPr>
          <w:p w14:paraId="773514F0">
            <w:pPr>
              <w:rPr>
                <w:rFonts w:ascii="Arial"/>
                <w:sz w:val="21"/>
              </w:rPr>
            </w:pPr>
          </w:p>
        </w:tc>
        <w:tc>
          <w:tcPr>
            <w:tcW w:w="2889" w:type="dxa"/>
            <w:gridSpan w:val="8"/>
            <w:tcBorders>
              <w:top w:val="single" w:color="000000" w:sz="10" w:space="0"/>
            </w:tcBorders>
            <w:vAlign w:val="top"/>
          </w:tcPr>
          <w:p w14:paraId="7C3177DE">
            <w:pPr>
              <w:pStyle w:val="6"/>
              <w:spacing w:before="69" w:line="228" w:lineRule="auto"/>
              <w:ind w:left="718"/>
              <w:rPr>
                <w:rFonts w:ascii="仿宋" w:hAnsi="仿宋" w:eastAsia="仿宋" w:cs="仿宋"/>
                <w:sz w:val="20"/>
                <w:szCs w:val="20"/>
              </w:rPr>
            </w:pPr>
            <w:r>
              <w:rPr>
                <w:rFonts w:ascii="仿宋" w:hAnsi="仿宋" w:eastAsia="仿宋" w:cs="仿宋"/>
                <w:spacing w:val="4"/>
                <w:sz w:val="20"/>
                <w:szCs w:val="20"/>
              </w:rPr>
              <w:t>车流量</w:t>
            </w:r>
            <w:r>
              <w:rPr>
                <w:spacing w:val="4"/>
                <w:sz w:val="20"/>
                <w:szCs w:val="20"/>
              </w:rPr>
              <w:t>/</w:t>
            </w:r>
            <w:r>
              <w:rPr>
                <w:rFonts w:ascii="仿宋" w:hAnsi="仿宋" w:eastAsia="仿宋" w:cs="仿宋"/>
                <w:spacing w:val="4"/>
                <w:sz w:val="20"/>
                <w:szCs w:val="20"/>
              </w:rPr>
              <w:t>（辆</w:t>
            </w:r>
            <w:r>
              <w:rPr>
                <w:spacing w:val="4"/>
                <w:sz w:val="20"/>
                <w:szCs w:val="20"/>
              </w:rPr>
              <w:t>/h</w:t>
            </w:r>
            <w:r>
              <w:rPr>
                <w:rFonts w:ascii="仿宋" w:hAnsi="仿宋" w:eastAsia="仿宋" w:cs="仿宋"/>
                <w:spacing w:val="4"/>
                <w:sz w:val="20"/>
                <w:szCs w:val="20"/>
              </w:rPr>
              <w:t>）</w:t>
            </w:r>
          </w:p>
        </w:tc>
        <w:tc>
          <w:tcPr>
            <w:tcW w:w="2438" w:type="dxa"/>
            <w:gridSpan w:val="6"/>
            <w:tcBorders>
              <w:top w:val="single" w:color="000000" w:sz="10" w:space="0"/>
            </w:tcBorders>
            <w:vAlign w:val="top"/>
          </w:tcPr>
          <w:p w14:paraId="201EC618">
            <w:pPr>
              <w:pStyle w:val="6"/>
              <w:spacing w:before="69" w:line="228" w:lineRule="auto"/>
              <w:ind w:left="570"/>
              <w:rPr>
                <w:rFonts w:ascii="仿宋" w:hAnsi="仿宋" w:eastAsia="仿宋" w:cs="仿宋"/>
                <w:sz w:val="20"/>
                <w:szCs w:val="20"/>
              </w:rPr>
            </w:pPr>
            <w:r>
              <w:rPr>
                <w:rFonts w:ascii="仿宋" w:hAnsi="仿宋" w:eastAsia="仿宋" w:cs="仿宋"/>
                <w:spacing w:val="4"/>
                <w:sz w:val="20"/>
                <w:szCs w:val="20"/>
              </w:rPr>
              <w:t>车速</w:t>
            </w:r>
            <w:r>
              <w:rPr>
                <w:spacing w:val="4"/>
                <w:sz w:val="20"/>
                <w:szCs w:val="20"/>
              </w:rPr>
              <w:t>/</w:t>
            </w:r>
            <w:r>
              <w:rPr>
                <w:rFonts w:ascii="仿宋" w:hAnsi="仿宋" w:eastAsia="仿宋" w:cs="仿宋"/>
                <w:spacing w:val="4"/>
                <w:sz w:val="20"/>
                <w:szCs w:val="20"/>
              </w:rPr>
              <w:t>（</w:t>
            </w:r>
            <w:r>
              <w:rPr>
                <w:sz w:val="20"/>
                <w:szCs w:val="20"/>
              </w:rPr>
              <w:t>km</w:t>
            </w:r>
            <w:r>
              <w:rPr>
                <w:spacing w:val="4"/>
                <w:sz w:val="20"/>
                <w:szCs w:val="20"/>
              </w:rPr>
              <w:t>/h</w:t>
            </w:r>
            <w:r>
              <w:rPr>
                <w:rFonts w:ascii="仿宋" w:hAnsi="仿宋" w:eastAsia="仿宋" w:cs="仿宋"/>
                <w:spacing w:val="4"/>
                <w:sz w:val="20"/>
                <w:szCs w:val="20"/>
              </w:rPr>
              <w:t>）</w:t>
            </w:r>
          </w:p>
        </w:tc>
        <w:tc>
          <w:tcPr>
            <w:tcW w:w="2524" w:type="dxa"/>
            <w:gridSpan w:val="6"/>
            <w:tcBorders>
              <w:top w:val="single" w:color="000000" w:sz="10" w:space="0"/>
              <w:right w:val="nil"/>
            </w:tcBorders>
            <w:vAlign w:val="top"/>
          </w:tcPr>
          <w:p w14:paraId="493784CC">
            <w:pPr>
              <w:pStyle w:val="6"/>
              <w:spacing w:before="69" w:line="235" w:lineRule="auto"/>
              <w:ind w:left="917"/>
              <w:rPr>
                <w:sz w:val="20"/>
                <w:szCs w:val="20"/>
              </w:rPr>
            </w:pPr>
            <w:r>
              <w:rPr>
                <w:rFonts w:ascii="仿宋" w:hAnsi="仿宋" w:eastAsia="仿宋" w:cs="仿宋"/>
                <w:spacing w:val="5"/>
                <w:sz w:val="20"/>
                <w:szCs w:val="20"/>
              </w:rPr>
              <w:t>源强</w:t>
            </w:r>
            <w:r>
              <w:rPr>
                <w:spacing w:val="5"/>
                <w:sz w:val="20"/>
                <w:szCs w:val="20"/>
              </w:rPr>
              <w:t>/</w:t>
            </w:r>
            <w:r>
              <w:rPr>
                <w:sz w:val="20"/>
                <w:szCs w:val="20"/>
              </w:rPr>
              <w:t>dB</w:t>
            </w:r>
          </w:p>
        </w:tc>
      </w:tr>
      <w:tr w14:paraId="5FF750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389" w:type="dxa"/>
            <w:tcBorders>
              <w:top w:val="nil"/>
              <w:left w:val="nil"/>
              <w:bottom w:val="nil"/>
            </w:tcBorders>
            <w:textDirection w:val="tbRlV"/>
            <w:vAlign w:val="top"/>
          </w:tcPr>
          <w:p w14:paraId="5C41B767">
            <w:pPr>
              <w:spacing w:before="89" w:line="210" w:lineRule="auto"/>
              <w:jc w:val="right"/>
              <w:rPr>
                <w:rFonts w:ascii="仿宋" w:hAnsi="仿宋" w:eastAsia="仿宋" w:cs="仿宋"/>
                <w:sz w:val="20"/>
                <w:szCs w:val="20"/>
              </w:rPr>
            </w:pPr>
            <w:r>
              <w:rPr>
                <w:rFonts w:ascii="仿宋" w:hAnsi="仿宋" w:eastAsia="仿宋" w:cs="仿宋"/>
                <w:spacing w:val="5"/>
                <w:sz w:val="20"/>
                <w:szCs w:val="20"/>
              </w:rPr>
              <w:t>时期</w:t>
            </w:r>
          </w:p>
        </w:tc>
        <w:tc>
          <w:tcPr>
            <w:tcW w:w="765" w:type="dxa"/>
            <w:gridSpan w:val="2"/>
            <w:vAlign w:val="top"/>
          </w:tcPr>
          <w:p w14:paraId="4D0D76E5">
            <w:pPr>
              <w:spacing w:before="168" w:line="228" w:lineRule="auto"/>
              <w:ind w:left="77"/>
              <w:rPr>
                <w:rFonts w:ascii="仿宋" w:hAnsi="仿宋" w:eastAsia="仿宋" w:cs="仿宋"/>
                <w:sz w:val="20"/>
                <w:szCs w:val="20"/>
              </w:rPr>
            </w:pPr>
            <w:r>
              <w:rPr>
                <w:rFonts w:ascii="仿宋" w:hAnsi="仿宋" w:eastAsia="仿宋" w:cs="仿宋"/>
                <w:spacing w:val="5"/>
                <w:sz w:val="20"/>
                <w:szCs w:val="20"/>
              </w:rPr>
              <w:t>小型车</w:t>
            </w:r>
          </w:p>
        </w:tc>
        <w:tc>
          <w:tcPr>
            <w:tcW w:w="606" w:type="dxa"/>
            <w:gridSpan w:val="2"/>
            <w:vAlign w:val="top"/>
          </w:tcPr>
          <w:p w14:paraId="40C50C22">
            <w:pPr>
              <w:spacing w:before="34" w:line="231" w:lineRule="auto"/>
              <w:ind w:left="214" w:right="92" w:hanging="83"/>
              <w:rPr>
                <w:rFonts w:ascii="仿宋" w:hAnsi="仿宋" w:eastAsia="仿宋" w:cs="仿宋"/>
                <w:sz w:val="20"/>
                <w:szCs w:val="20"/>
              </w:rPr>
            </w:pPr>
            <w:r>
              <w:rPr>
                <w:rFonts w:ascii="仿宋" w:hAnsi="仿宋" w:eastAsia="仿宋" w:cs="仿宋"/>
                <w:spacing w:val="-12"/>
                <w:sz w:val="20"/>
                <w:szCs w:val="20"/>
              </w:rPr>
              <w:t>中型</w:t>
            </w:r>
            <w:r>
              <w:rPr>
                <w:rFonts w:ascii="仿宋" w:hAnsi="仿宋" w:eastAsia="仿宋" w:cs="仿宋"/>
                <w:sz w:val="20"/>
                <w:szCs w:val="20"/>
              </w:rPr>
              <w:t>车</w:t>
            </w:r>
          </w:p>
        </w:tc>
        <w:tc>
          <w:tcPr>
            <w:tcW w:w="700" w:type="dxa"/>
            <w:gridSpan w:val="2"/>
            <w:vAlign w:val="top"/>
          </w:tcPr>
          <w:p w14:paraId="1E61EA40">
            <w:pPr>
              <w:spacing w:before="168" w:line="228" w:lineRule="auto"/>
              <w:ind w:left="48"/>
              <w:rPr>
                <w:rFonts w:ascii="仿宋" w:hAnsi="仿宋" w:eastAsia="仿宋" w:cs="仿宋"/>
                <w:sz w:val="20"/>
                <w:szCs w:val="20"/>
              </w:rPr>
            </w:pPr>
            <w:r>
              <w:rPr>
                <w:rFonts w:ascii="仿宋" w:hAnsi="仿宋" w:eastAsia="仿宋" w:cs="仿宋"/>
                <w:spacing w:val="4"/>
                <w:sz w:val="20"/>
                <w:szCs w:val="20"/>
              </w:rPr>
              <w:t>大型车</w:t>
            </w:r>
          </w:p>
        </w:tc>
        <w:tc>
          <w:tcPr>
            <w:tcW w:w="818" w:type="dxa"/>
            <w:gridSpan w:val="2"/>
            <w:vAlign w:val="top"/>
          </w:tcPr>
          <w:p w14:paraId="210E918D">
            <w:pPr>
              <w:spacing w:before="168" w:line="231" w:lineRule="auto"/>
              <w:ind w:left="215"/>
              <w:rPr>
                <w:rFonts w:ascii="仿宋" w:hAnsi="仿宋" w:eastAsia="仿宋" w:cs="仿宋"/>
                <w:sz w:val="20"/>
                <w:szCs w:val="20"/>
              </w:rPr>
            </w:pPr>
            <w:r>
              <w:rPr>
                <w:rFonts w:ascii="仿宋" w:hAnsi="仿宋" w:eastAsia="仿宋" w:cs="仿宋"/>
                <w:spacing w:val="-1"/>
                <w:sz w:val="20"/>
                <w:szCs w:val="20"/>
              </w:rPr>
              <w:t>合计</w:t>
            </w:r>
          </w:p>
        </w:tc>
        <w:tc>
          <w:tcPr>
            <w:tcW w:w="808" w:type="dxa"/>
            <w:gridSpan w:val="2"/>
            <w:vAlign w:val="top"/>
          </w:tcPr>
          <w:p w14:paraId="0FB91D24">
            <w:pPr>
              <w:spacing w:before="168" w:line="228" w:lineRule="auto"/>
              <w:ind w:left="99"/>
              <w:rPr>
                <w:rFonts w:ascii="仿宋" w:hAnsi="仿宋" w:eastAsia="仿宋" w:cs="仿宋"/>
                <w:sz w:val="20"/>
                <w:szCs w:val="20"/>
              </w:rPr>
            </w:pPr>
            <w:r>
              <w:rPr>
                <w:rFonts w:ascii="仿宋" w:hAnsi="仿宋" w:eastAsia="仿宋" w:cs="仿宋"/>
                <w:spacing w:val="5"/>
                <w:sz w:val="20"/>
                <w:szCs w:val="20"/>
              </w:rPr>
              <w:t>小型车</w:t>
            </w:r>
          </w:p>
        </w:tc>
        <w:tc>
          <w:tcPr>
            <w:tcW w:w="808" w:type="dxa"/>
            <w:gridSpan w:val="2"/>
            <w:vAlign w:val="top"/>
          </w:tcPr>
          <w:p w14:paraId="14F6E4A7">
            <w:pPr>
              <w:spacing w:before="168" w:line="228" w:lineRule="auto"/>
              <w:ind w:left="127"/>
              <w:rPr>
                <w:rFonts w:ascii="仿宋" w:hAnsi="仿宋" w:eastAsia="仿宋" w:cs="仿宋"/>
                <w:sz w:val="20"/>
                <w:szCs w:val="20"/>
              </w:rPr>
            </w:pPr>
            <w:r>
              <w:rPr>
                <w:rFonts w:ascii="仿宋" w:hAnsi="仿宋" w:eastAsia="仿宋" w:cs="仿宋"/>
                <w:spacing w:val="-4"/>
                <w:sz w:val="20"/>
                <w:szCs w:val="20"/>
              </w:rPr>
              <w:t>中型车</w:t>
            </w:r>
          </w:p>
        </w:tc>
        <w:tc>
          <w:tcPr>
            <w:tcW w:w="822" w:type="dxa"/>
            <w:gridSpan w:val="2"/>
            <w:vAlign w:val="top"/>
          </w:tcPr>
          <w:p w14:paraId="27C11F98">
            <w:pPr>
              <w:spacing w:before="168" w:line="228" w:lineRule="auto"/>
              <w:ind w:left="108"/>
              <w:rPr>
                <w:rFonts w:ascii="仿宋" w:hAnsi="仿宋" w:eastAsia="仿宋" w:cs="仿宋"/>
                <w:sz w:val="20"/>
                <w:szCs w:val="20"/>
              </w:rPr>
            </w:pPr>
            <w:r>
              <w:rPr>
                <w:rFonts w:ascii="仿宋" w:hAnsi="仿宋" w:eastAsia="仿宋" w:cs="仿宋"/>
                <w:spacing w:val="4"/>
                <w:sz w:val="20"/>
                <w:szCs w:val="20"/>
              </w:rPr>
              <w:t>大型车</w:t>
            </w:r>
          </w:p>
        </w:tc>
        <w:tc>
          <w:tcPr>
            <w:tcW w:w="842" w:type="dxa"/>
            <w:gridSpan w:val="2"/>
            <w:vAlign w:val="top"/>
          </w:tcPr>
          <w:p w14:paraId="52EB68D1">
            <w:pPr>
              <w:spacing w:before="168" w:line="228" w:lineRule="auto"/>
              <w:ind w:left="116"/>
              <w:rPr>
                <w:rFonts w:ascii="仿宋" w:hAnsi="仿宋" w:eastAsia="仿宋" w:cs="仿宋"/>
                <w:sz w:val="20"/>
                <w:szCs w:val="20"/>
              </w:rPr>
            </w:pPr>
            <w:r>
              <w:rPr>
                <w:rFonts w:ascii="仿宋" w:hAnsi="仿宋" w:eastAsia="仿宋" w:cs="仿宋"/>
                <w:spacing w:val="5"/>
                <w:sz w:val="20"/>
                <w:szCs w:val="20"/>
              </w:rPr>
              <w:t>小型车</w:t>
            </w:r>
          </w:p>
        </w:tc>
        <w:tc>
          <w:tcPr>
            <w:tcW w:w="842" w:type="dxa"/>
            <w:gridSpan w:val="2"/>
            <w:vAlign w:val="top"/>
          </w:tcPr>
          <w:p w14:paraId="2E8186F0">
            <w:pPr>
              <w:spacing w:before="168" w:line="228" w:lineRule="auto"/>
              <w:ind w:left="144"/>
              <w:rPr>
                <w:rFonts w:ascii="仿宋" w:hAnsi="仿宋" w:eastAsia="仿宋" w:cs="仿宋"/>
                <w:sz w:val="20"/>
                <w:szCs w:val="20"/>
              </w:rPr>
            </w:pPr>
            <w:r>
              <w:rPr>
                <w:rFonts w:ascii="仿宋" w:hAnsi="仿宋" w:eastAsia="仿宋" w:cs="仿宋"/>
                <w:spacing w:val="-4"/>
                <w:sz w:val="20"/>
                <w:szCs w:val="20"/>
              </w:rPr>
              <w:t>中型车</w:t>
            </w:r>
          </w:p>
        </w:tc>
        <w:tc>
          <w:tcPr>
            <w:tcW w:w="840" w:type="dxa"/>
            <w:gridSpan w:val="2"/>
            <w:tcBorders>
              <w:right w:val="nil"/>
            </w:tcBorders>
            <w:vAlign w:val="top"/>
          </w:tcPr>
          <w:p w14:paraId="26479BDD">
            <w:pPr>
              <w:spacing w:before="168" w:line="228" w:lineRule="auto"/>
              <w:ind w:left="122"/>
              <w:rPr>
                <w:rFonts w:ascii="仿宋" w:hAnsi="仿宋" w:eastAsia="仿宋" w:cs="仿宋"/>
                <w:sz w:val="20"/>
                <w:szCs w:val="20"/>
              </w:rPr>
            </w:pPr>
            <w:r>
              <w:rPr>
                <w:rFonts w:ascii="仿宋" w:hAnsi="仿宋" w:eastAsia="仿宋" w:cs="仿宋"/>
                <w:spacing w:val="4"/>
                <w:sz w:val="20"/>
                <w:szCs w:val="20"/>
              </w:rPr>
              <w:t>大型车</w:t>
            </w:r>
          </w:p>
        </w:tc>
      </w:tr>
      <w:tr w14:paraId="18FE96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389" w:type="dxa"/>
            <w:tcBorders>
              <w:top w:val="nil"/>
              <w:left w:val="nil"/>
            </w:tcBorders>
            <w:vAlign w:val="top"/>
          </w:tcPr>
          <w:p w14:paraId="66B0507E">
            <w:pPr>
              <w:rPr>
                <w:rFonts w:ascii="Arial"/>
                <w:sz w:val="21"/>
              </w:rPr>
            </w:pPr>
          </w:p>
        </w:tc>
        <w:tc>
          <w:tcPr>
            <w:tcW w:w="381" w:type="dxa"/>
            <w:textDirection w:val="tbRlV"/>
            <w:vAlign w:val="top"/>
          </w:tcPr>
          <w:p w14:paraId="30C61BDD">
            <w:pPr>
              <w:spacing w:before="83" w:line="210" w:lineRule="auto"/>
              <w:ind w:left="38"/>
              <w:rPr>
                <w:rFonts w:ascii="仿宋" w:hAnsi="仿宋" w:eastAsia="仿宋" w:cs="仿宋"/>
                <w:sz w:val="20"/>
                <w:szCs w:val="20"/>
              </w:rPr>
            </w:pPr>
            <w:r>
              <w:rPr>
                <w:rFonts w:ascii="仿宋" w:hAnsi="仿宋" w:eastAsia="仿宋" w:cs="仿宋"/>
                <w:spacing w:val="13"/>
                <w:sz w:val="20"/>
                <w:szCs w:val="20"/>
              </w:rPr>
              <w:t>昼</w:t>
            </w:r>
            <w:r>
              <w:rPr>
                <w:rFonts w:ascii="仿宋" w:hAnsi="仿宋" w:eastAsia="仿宋" w:cs="仿宋"/>
                <w:spacing w:val="-43"/>
                <w:sz w:val="20"/>
                <w:szCs w:val="20"/>
              </w:rPr>
              <w:t xml:space="preserve"> </w:t>
            </w:r>
            <w:r>
              <w:rPr>
                <w:rFonts w:ascii="仿宋" w:hAnsi="仿宋" w:eastAsia="仿宋" w:cs="仿宋"/>
                <w:spacing w:val="13"/>
                <w:sz w:val="20"/>
                <w:szCs w:val="20"/>
              </w:rPr>
              <w:t>间</w:t>
            </w:r>
          </w:p>
        </w:tc>
        <w:tc>
          <w:tcPr>
            <w:tcW w:w="384" w:type="dxa"/>
            <w:textDirection w:val="tbRlV"/>
            <w:vAlign w:val="top"/>
          </w:tcPr>
          <w:p w14:paraId="647F5A2C">
            <w:pPr>
              <w:spacing w:before="86" w:line="209" w:lineRule="auto"/>
              <w:ind w:left="38"/>
              <w:rPr>
                <w:rFonts w:ascii="仿宋" w:hAnsi="仿宋" w:eastAsia="仿宋" w:cs="仿宋"/>
                <w:sz w:val="20"/>
                <w:szCs w:val="20"/>
              </w:rPr>
            </w:pPr>
            <w:r>
              <w:rPr>
                <w:rFonts w:ascii="仿宋" w:hAnsi="仿宋" w:eastAsia="仿宋" w:cs="仿宋"/>
                <w:spacing w:val="13"/>
                <w:sz w:val="20"/>
                <w:szCs w:val="20"/>
              </w:rPr>
              <w:t>夜</w:t>
            </w:r>
            <w:r>
              <w:rPr>
                <w:rFonts w:ascii="仿宋" w:hAnsi="仿宋" w:eastAsia="仿宋" w:cs="仿宋"/>
                <w:spacing w:val="-43"/>
                <w:sz w:val="20"/>
                <w:szCs w:val="20"/>
              </w:rPr>
              <w:t xml:space="preserve"> </w:t>
            </w:r>
            <w:r>
              <w:rPr>
                <w:rFonts w:ascii="仿宋" w:hAnsi="仿宋" w:eastAsia="仿宋" w:cs="仿宋"/>
                <w:spacing w:val="13"/>
                <w:sz w:val="20"/>
                <w:szCs w:val="20"/>
              </w:rPr>
              <w:t>间</w:t>
            </w:r>
          </w:p>
        </w:tc>
        <w:tc>
          <w:tcPr>
            <w:tcW w:w="275" w:type="dxa"/>
            <w:textDirection w:val="tbRlV"/>
            <w:vAlign w:val="top"/>
          </w:tcPr>
          <w:p w14:paraId="0BDF6F68">
            <w:pPr>
              <w:spacing w:before="32" w:line="210" w:lineRule="auto"/>
              <w:ind w:left="38"/>
              <w:rPr>
                <w:rFonts w:ascii="仿宋" w:hAnsi="仿宋" w:eastAsia="仿宋" w:cs="仿宋"/>
                <w:sz w:val="20"/>
                <w:szCs w:val="20"/>
              </w:rPr>
            </w:pPr>
            <w:r>
              <w:rPr>
                <w:rFonts w:ascii="仿宋" w:hAnsi="仿宋" w:eastAsia="仿宋" w:cs="仿宋"/>
                <w:spacing w:val="13"/>
                <w:sz w:val="20"/>
                <w:szCs w:val="20"/>
              </w:rPr>
              <w:t>昼</w:t>
            </w:r>
            <w:r>
              <w:rPr>
                <w:rFonts w:ascii="仿宋" w:hAnsi="仿宋" w:eastAsia="仿宋" w:cs="仿宋"/>
                <w:spacing w:val="-43"/>
                <w:sz w:val="20"/>
                <w:szCs w:val="20"/>
              </w:rPr>
              <w:t xml:space="preserve"> </w:t>
            </w:r>
            <w:r>
              <w:rPr>
                <w:rFonts w:ascii="仿宋" w:hAnsi="仿宋" w:eastAsia="仿宋" w:cs="仿宋"/>
                <w:spacing w:val="13"/>
                <w:sz w:val="20"/>
                <w:szCs w:val="20"/>
              </w:rPr>
              <w:t>间</w:t>
            </w:r>
          </w:p>
        </w:tc>
        <w:tc>
          <w:tcPr>
            <w:tcW w:w="331" w:type="dxa"/>
            <w:textDirection w:val="tbRlV"/>
            <w:vAlign w:val="top"/>
          </w:tcPr>
          <w:p w14:paraId="1BCF034E">
            <w:pPr>
              <w:spacing w:before="59" w:line="209" w:lineRule="auto"/>
              <w:ind w:left="38"/>
              <w:rPr>
                <w:rFonts w:ascii="仿宋" w:hAnsi="仿宋" w:eastAsia="仿宋" w:cs="仿宋"/>
                <w:sz w:val="20"/>
                <w:szCs w:val="20"/>
              </w:rPr>
            </w:pPr>
            <w:r>
              <w:rPr>
                <w:rFonts w:ascii="仿宋" w:hAnsi="仿宋" w:eastAsia="仿宋" w:cs="仿宋"/>
                <w:spacing w:val="13"/>
                <w:sz w:val="20"/>
                <w:szCs w:val="20"/>
              </w:rPr>
              <w:t>夜</w:t>
            </w:r>
            <w:r>
              <w:rPr>
                <w:rFonts w:ascii="仿宋" w:hAnsi="仿宋" w:eastAsia="仿宋" w:cs="仿宋"/>
                <w:spacing w:val="-43"/>
                <w:sz w:val="20"/>
                <w:szCs w:val="20"/>
              </w:rPr>
              <w:t xml:space="preserve"> </w:t>
            </w:r>
            <w:r>
              <w:rPr>
                <w:rFonts w:ascii="仿宋" w:hAnsi="仿宋" w:eastAsia="仿宋" w:cs="仿宋"/>
                <w:spacing w:val="13"/>
                <w:sz w:val="20"/>
                <w:szCs w:val="20"/>
              </w:rPr>
              <w:t>间</w:t>
            </w:r>
          </w:p>
        </w:tc>
        <w:tc>
          <w:tcPr>
            <w:tcW w:w="333" w:type="dxa"/>
            <w:textDirection w:val="tbRlV"/>
            <w:vAlign w:val="top"/>
          </w:tcPr>
          <w:p w14:paraId="5684D648">
            <w:pPr>
              <w:spacing w:before="60" w:line="210" w:lineRule="auto"/>
              <w:ind w:left="38"/>
              <w:rPr>
                <w:rFonts w:ascii="仿宋" w:hAnsi="仿宋" w:eastAsia="仿宋" w:cs="仿宋"/>
                <w:sz w:val="20"/>
                <w:szCs w:val="20"/>
              </w:rPr>
            </w:pPr>
            <w:r>
              <w:rPr>
                <w:rFonts w:ascii="仿宋" w:hAnsi="仿宋" w:eastAsia="仿宋" w:cs="仿宋"/>
                <w:spacing w:val="13"/>
                <w:sz w:val="20"/>
                <w:szCs w:val="20"/>
              </w:rPr>
              <w:t>昼</w:t>
            </w:r>
            <w:r>
              <w:rPr>
                <w:rFonts w:ascii="仿宋" w:hAnsi="仿宋" w:eastAsia="仿宋" w:cs="仿宋"/>
                <w:spacing w:val="-43"/>
                <w:sz w:val="20"/>
                <w:szCs w:val="20"/>
              </w:rPr>
              <w:t xml:space="preserve"> </w:t>
            </w:r>
            <w:r>
              <w:rPr>
                <w:rFonts w:ascii="仿宋" w:hAnsi="仿宋" w:eastAsia="仿宋" w:cs="仿宋"/>
                <w:spacing w:val="13"/>
                <w:sz w:val="20"/>
                <w:szCs w:val="20"/>
              </w:rPr>
              <w:t>间</w:t>
            </w:r>
          </w:p>
        </w:tc>
        <w:tc>
          <w:tcPr>
            <w:tcW w:w="367" w:type="dxa"/>
            <w:textDirection w:val="tbRlV"/>
            <w:vAlign w:val="top"/>
          </w:tcPr>
          <w:p w14:paraId="7ED79525">
            <w:pPr>
              <w:spacing w:before="77" w:line="209" w:lineRule="auto"/>
              <w:ind w:left="38"/>
              <w:rPr>
                <w:rFonts w:ascii="仿宋" w:hAnsi="仿宋" w:eastAsia="仿宋" w:cs="仿宋"/>
                <w:sz w:val="20"/>
                <w:szCs w:val="20"/>
              </w:rPr>
            </w:pPr>
            <w:r>
              <w:rPr>
                <w:rFonts w:ascii="仿宋" w:hAnsi="仿宋" w:eastAsia="仿宋" w:cs="仿宋"/>
                <w:spacing w:val="13"/>
                <w:sz w:val="20"/>
                <w:szCs w:val="20"/>
              </w:rPr>
              <w:t>夜</w:t>
            </w:r>
            <w:r>
              <w:rPr>
                <w:rFonts w:ascii="仿宋" w:hAnsi="仿宋" w:eastAsia="仿宋" w:cs="仿宋"/>
                <w:spacing w:val="-43"/>
                <w:sz w:val="20"/>
                <w:szCs w:val="20"/>
              </w:rPr>
              <w:t xml:space="preserve"> </w:t>
            </w:r>
            <w:r>
              <w:rPr>
                <w:rFonts w:ascii="仿宋" w:hAnsi="仿宋" w:eastAsia="仿宋" w:cs="仿宋"/>
                <w:spacing w:val="13"/>
                <w:sz w:val="20"/>
                <w:szCs w:val="20"/>
              </w:rPr>
              <w:t>间</w:t>
            </w:r>
          </w:p>
        </w:tc>
        <w:tc>
          <w:tcPr>
            <w:tcW w:w="401" w:type="dxa"/>
            <w:textDirection w:val="tbRlV"/>
            <w:vAlign w:val="top"/>
          </w:tcPr>
          <w:p w14:paraId="08793643">
            <w:pPr>
              <w:spacing w:before="94" w:line="210" w:lineRule="auto"/>
              <w:ind w:left="38"/>
              <w:rPr>
                <w:rFonts w:ascii="仿宋" w:hAnsi="仿宋" w:eastAsia="仿宋" w:cs="仿宋"/>
                <w:sz w:val="20"/>
                <w:szCs w:val="20"/>
              </w:rPr>
            </w:pPr>
            <w:r>
              <w:rPr>
                <w:rFonts w:ascii="仿宋" w:hAnsi="仿宋" w:eastAsia="仿宋" w:cs="仿宋"/>
                <w:spacing w:val="13"/>
                <w:sz w:val="20"/>
                <w:szCs w:val="20"/>
              </w:rPr>
              <w:t>昼</w:t>
            </w:r>
            <w:r>
              <w:rPr>
                <w:rFonts w:ascii="仿宋" w:hAnsi="仿宋" w:eastAsia="仿宋" w:cs="仿宋"/>
                <w:spacing w:val="-43"/>
                <w:sz w:val="20"/>
                <w:szCs w:val="20"/>
              </w:rPr>
              <w:t xml:space="preserve"> </w:t>
            </w:r>
            <w:r>
              <w:rPr>
                <w:rFonts w:ascii="仿宋" w:hAnsi="仿宋" w:eastAsia="仿宋" w:cs="仿宋"/>
                <w:spacing w:val="13"/>
                <w:sz w:val="20"/>
                <w:szCs w:val="20"/>
              </w:rPr>
              <w:t>间</w:t>
            </w:r>
          </w:p>
        </w:tc>
        <w:tc>
          <w:tcPr>
            <w:tcW w:w="417" w:type="dxa"/>
            <w:textDirection w:val="tbRlV"/>
            <w:vAlign w:val="top"/>
          </w:tcPr>
          <w:p w14:paraId="2DE9B79C">
            <w:pPr>
              <w:spacing w:before="103" w:line="209" w:lineRule="auto"/>
              <w:ind w:left="38"/>
              <w:rPr>
                <w:rFonts w:ascii="仿宋" w:hAnsi="仿宋" w:eastAsia="仿宋" w:cs="仿宋"/>
                <w:sz w:val="20"/>
                <w:szCs w:val="20"/>
              </w:rPr>
            </w:pPr>
            <w:r>
              <w:rPr>
                <w:rFonts w:ascii="仿宋" w:hAnsi="仿宋" w:eastAsia="仿宋" w:cs="仿宋"/>
                <w:spacing w:val="13"/>
                <w:sz w:val="20"/>
                <w:szCs w:val="20"/>
              </w:rPr>
              <w:t>夜</w:t>
            </w:r>
            <w:r>
              <w:rPr>
                <w:rFonts w:ascii="仿宋" w:hAnsi="仿宋" w:eastAsia="仿宋" w:cs="仿宋"/>
                <w:spacing w:val="-43"/>
                <w:sz w:val="20"/>
                <w:szCs w:val="20"/>
              </w:rPr>
              <w:t xml:space="preserve"> </w:t>
            </w:r>
            <w:r>
              <w:rPr>
                <w:rFonts w:ascii="仿宋" w:hAnsi="仿宋" w:eastAsia="仿宋" w:cs="仿宋"/>
                <w:spacing w:val="13"/>
                <w:sz w:val="20"/>
                <w:szCs w:val="20"/>
              </w:rPr>
              <w:t>间</w:t>
            </w:r>
          </w:p>
        </w:tc>
        <w:tc>
          <w:tcPr>
            <w:tcW w:w="402" w:type="dxa"/>
            <w:textDirection w:val="tbRlV"/>
            <w:vAlign w:val="top"/>
          </w:tcPr>
          <w:p w14:paraId="45FC14C8">
            <w:pPr>
              <w:spacing w:before="94" w:line="210" w:lineRule="auto"/>
              <w:ind w:left="38"/>
              <w:rPr>
                <w:rFonts w:ascii="仿宋" w:hAnsi="仿宋" w:eastAsia="仿宋" w:cs="仿宋"/>
                <w:sz w:val="20"/>
                <w:szCs w:val="20"/>
              </w:rPr>
            </w:pPr>
            <w:r>
              <w:rPr>
                <w:rFonts w:ascii="仿宋" w:hAnsi="仿宋" w:eastAsia="仿宋" w:cs="仿宋"/>
                <w:spacing w:val="13"/>
                <w:sz w:val="20"/>
                <w:szCs w:val="20"/>
              </w:rPr>
              <w:t>昼</w:t>
            </w:r>
            <w:r>
              <w:rPr>
                <w:rFonts w:ascii="仿宋" w:hAnsi="仿宋" w:eastAsia="仿宋" w:cs="仿宋"/>
                <w:spacing w:val="-43"/>
                <w:sz w:val="20"/>
                <w:szCs w:val="20"/>
              </w:rPr>
              <w:t xml:space="preserve"> </w:t>
            </w:r>
            <w:r>
              <w:rPr>
                <w:rFonts w:ascii="仿宋" w:hAnsi="仿宋" w:eastAsia="仿宋" w:cs="仿宋"/>
                <w:spacing w:val="13"/>
                <w:sz w:val="20"/>
                <w:szCs w:val="20"/>
              </w:rPr>
              <w:t>间</w:t>
            </w:r>
          </w:p>
        </w:tc>
        <w:tc>
          <w:tcPr>
            <w:tcW w:w="406" w:type="dxa"/>
            <w:textDirection w:val="tbRlV"/>
            <w:vAlign w:val="top"/>
          </w:tcPr>
          <w:p w14:paraId="52B43E4E">
            <w:pPr>
              <w:spacing w:before="97" w:line="209" w:lineRule="auto"/>
              <w:ind w:left="38"/>
              <w:rPr>
                <w:rFonts w:ascii="仿宋" w:hAnsi="仿宋" w:eastAsia="仿宋" w:cs="仿宋"/>
                <w:sz w:val="20"/>
                <w:szCs w:val="20"/>
              </w:rPr>
            </w:pPr>
            <w:r>
              <w:rPr>
                <w:rFonts w:ascii="仿宋" w:hAnsi="仿宋" w:eastAsia="仿宋" w:cs="仿宋"/>
                <w:spacing w:val="13"/>
                <w:sz w:val="20"/>
                <w:szCs w:val="20"/>
              </w:rPr>
              <w:t>夜</w:t>
            </w:r>
            <w:r>
              <w:rPr>
                <w:rFonts w:ascii="仿宋" w:hAnsi="仿宋" w:eastAsia="仿宋" w:cs="仿宋"/>
                <w:spacing w:val="-43"/>
                <w:sz w:val="20"/>
                <w:szCs w:val="20"/>
              </w:rPr>
              <w:t xml:space="preserve"> </w:t>
            </w:r>
            <w:r>
              <w:rPr>
                <w:rFonts w:ascii="仿宋" w:hAnsi="仿宋" w:eastAsia="仿宋" w:cs="仿宋"/>
                <w:spacing w:val="13"/>
                <w:sz w:val="20"/>
                <w:szCs w:val="20"/>
              </w:rPr>
              <w:t>间</w:t>
            </w:r>
          </w:p>
        </w:tc>
        <w:tc>
          <w:tcPr>
            <w:tcW w:w="402" w:type="dxa"/>
            <w:textDirection w:val="tbRlV"/>
            <w:vAlign w:val="top"/>
          </w:tcPr>
          <w:p w14:paraId="1141013E">
            <w:pPr>
              <w:spacing w:before="93" w:line="210" w:lineRule="auto"/>
              <w:ind w:left="38"/>
              <w:rPr>
                <w:rFonts w:ascii="仿宋" w:hAnsi="仿宋" w:eastAsia="仿宋" w:cs="仿宋"/>
                <w:sz w:val="20"/>
                <w:szCs w:val="20"/>
              </w:rPr>
            </w:pPr>
            <w:r>
              <w:rPr>
                <w:rFonts w:ascii="仿宋" w:hAnsi="仿宋" w:eastAsia="仿宋" w:cs="仿宋"/>
                <w:spacing w:val="13"/>
                <w:sz w:val="20"/>
                <w:szCs w:val="20"/>
              </w:rPr>
              <w:t>昼</w:t>
            </w:r>
            <w:r>
              <w:rPr>
                <w:rFonts w:ascii="仿宋" w:hAnsi="仿宋" w:eastAsia="仿宋" w:cs="仿宋"/>
                <w:spacing w:val="-43"/>
                <w:sz w:val="20"/>
                <w:szCs w:val="20"/>
              </w:rPr>
              <w:t xml:space="preserve"> </w:t>
            </w:r>
            <w:r>
              <w:rPr>
                <w:rFonts w:ascii="仿宋" w:hAnsi="仿宋" w:eastAsia="仿宋" w:cs="仿宋"/>
                <w:spacing w:val="13"/>
                <w:sz w:val="20"/>
                <w:szCs w:val="20"/>
              </w:rPr>
              <w:t>间</w:t>
            </w:r>
          </w:p>
        </w:tc>
        <w:tc>
          <w:tcPr>
            <w:tcW w:w="406" w:type="dxa"/>
            <w:textDirection w:val="tbRlV"/>
            <w:vAlign w:val="top"/>
          </w:tcPr>
          <w:p w14:paraId="1A071733">
            <w:pPr>
              <w:spacing w:before="97" w:line="209" w:lineRule="auto"/>
              <w:ind w:left="38"/>
              <w:rPr>
                <w:rFonts w:ascii="仿宋" w:hAnsi="仿宋" w:eastAsia="仿宋" w:cs="仿宋"/>
                <w:sz w:val="20"/>
                <w:szCs w:val="20"/>
              </w:rPr>
            </w:pPr>
            <w:r>
              <w:rPr>
                <w:rFonts w:ascii="仿宋" w:hAnsi="仿宋" w:eastAsia="仿宋" w:cs="仿宋"/>
                <w:spacing w:val="13"/>
                <w:sz w:val="20"/>
                <w:szCs w:val="20"/>
              </w:rPr>
              <w:t>夜</w:t>
            </w:r>
            <w:r>
              <w:rPr>
                <w:rFonts w:ascii="仿宋" w:hAnsi="仿宋" w:eastAsia="仿宋" w:cs="仿宋"/>
                <w:spacing w:val="-43"/>
                <w:sz w:val="20"/>
                <w:szCs w:val="20"/>
              </w:rPr>
              <w:t xml:space="preserve"> </w:t>
            </w:r>
            <w:r>
              <w:rPr>
                <w:rFonts w:ascii="仿宋" w:hAnsi="仿宋" w:eastAsia="仿宋" w:cs="仿宋"/>
                <w:spacing w:val="13"/>
                <w:sz w:val="20"/>
                <w:szCs w:val="20"/>
              </w:rPr>
              <w:t>间</w:t>
            </w:r>
          </w:p>
        </w:tc>
        <w:tc>
          <w:tcPr>
            <w:tcW w:w="402" w:type="dxa"/>
            <w:textDirection w:val="tbRlV"/>
            <w:vAlign w:val="top"/>
          </w:tcPr>
          <w:p w14:paraId="79F6D29D">
            <w:pPr>
              <w:spacing w:before="95" w:line="210" w:lineRule="auto"/>
              <w:ind w:left="38"/>
              <w:rPr>
                <w:rFonts w:ascii="仿宋" w:hAnsi="仿宋" w:eastAsia="仿宋" w:cs="仿宋"/>
                <w:sz w:val="20"/>
                <w:szCs w:val="20"/>
              </w:rPr>
            </w:pPr>
            <w:r>
              <w:rPr>
                <w:rFonts w:ascii="仿宋" w:hAnsi="仿宋" w:eastAsia="仿宋" w:cs="仿宋"/>
                <w:spacing w:val="13"/>
                <w:sz w:val="20"/>
                <w:szCs w:val="20"/>
              </w:rPr>
              <w:t>昼</w:t>
            </w:r>
            <w:r>
              <w:rPr>
                <w:rFonts w:ascii="仿宋" w:hAnsi="仿宋" w:eastAsia="仿宋" w:cs="仿宋"/>
                <w:spacing w:val="-43"/>
                <w:sz w:val="20"/>
                <w:szCs w:val="20"/>
              </w:rPr>
              <w:t xml:space="preserve"> </w:t>
            </w:r>
            <w:r>
              <w:rPr>
                <w:rFonts w:ascii="仿宋" w:hAnsi="仿宋" w:eastAsia="仿宋" w:cs="仿宋"/>
                <w:spacing w:val="13"/>
                <w:sz w:val="20"/>
                <w:szCs w:val="20"/>
              </w:rPr>
              <w:t>间</w:t>
            </w:r>
          </w:p>
        </w:tc>
        <w:tc>
          <w:tcPr>
            <w:tcW w:w="420" w:type="dxa"/>
            <w:textDirection w:val="tbRlV"/>
            <w:vAlign w:val="top"/>
          </w:tcPr>
          <w:p w14:paraId="7F0AB78F">
            <w:pPr>
              <w:spacing w:before="103" w:line="209" w:lineRule="auto"/>
              <w:ind w:left="38"/>
              <w:rPr>
                <w:rFonts w:ascii="仿宋" w:hAnsi="仿宋" w:eastAsia="仿宋" w:cs="仿宋"/>
                <w:sz w:val="20"/>
                <w:szCs w:val="20"/>
              </w:rPr>
            </w:pPr>
            <w:r>
              <w:rPr>
                <w:rFonts w:ascii="仿宋" w:hAnsi="仿宋" w:eastAsia="仿宋" w:cs="仿宋"/>
                <w:spacing w:val="13"/>
                <w:sz w:val="20"/>
                <w:szCs w:val="20"/>
              </w:rPr>
              <w:t>夜</w:t>
            </w:r>
            <w:r>
              <w:rPr>
                <w:rFonts w:ascii="仿宋" w:hAnsi="仿宋" w:eastAsia="仿宋" w:cs="仿宋"/>
                <w:spacing w:val="-43"/>
                <w:sz w:val="20"/>
                <w:szCs w:val="20"/>
              </w:rPr>
              <w:t xml:space="preserve"> </w:t>
            </w:r>
            <w:r>
              <w:rPr>
                <w:rFonts w:ascii="仿宋" w:hAnsi="仿宋" w:eastAsia="仿宋" w:cs="仿宋"/>
                <w:spacing w:val="13"/>
                <w:sz w:val="20"/>
                <w:szCs w:val="20"/>
              </w:rPr>
              <w:t>间</w:t>
            </w:r>
          </w:p>
        </w:tc>
        <w:tc>
          <w:tcPr>
            <w:tcW w:w="420" w:type="dxa"/>
            <w:textDirection w:val="tbRlV"/>
            <w:vAlign w:val="top"/>
          </w:tcPr>
          <w:p w14:paraId="189448A0">
            <w:pPr>
              <w:spacing w:before="102" w:line="210" w:lineRule="auto"/>
              <w:ind w:left="38"/>
              <w:rPr>
                <w:rFonts w:ascii="仿宋" w:hAnsi="仿宋" w:eastAsia="仿宋" w:cs="仿宋"/>
                <w:sz w:val="20"/>
                <w:szCs w:val="20"/>
              </w:rPr>
            </w:pPr>
            <w:r>
              <w:rPr>
                <w:rFonts w:ascii="仿宋" w:hAnsi="仿宋" w:eastAsia="仿宋" w:cs="仿宋"/>
                <w:spacing w:val="13"/>
                <w:sz w:val="20"/>
                <w:szCs w:val="20"/>
              </w:rPr>
              <w:t>昼</w:t>
            </w:r>
            <w:r>
              <w:rPr>
                <w:rFonts w:ascii="仿宋" w:hAnsi="仿宋" w:eastAsia="仿宋" w:cs="仿宋"/>
                <w:spacing w:val="-43"/>
                <w:sz w:val="20"/>
                <w:szCs w:val="20"/>
              </w:rPr>
              <w:t xml:space="preserve"> </w:t>
            </w:r>
            <w:r>
              <w:rPr>
                <w:rFonts w:ascii="仿宋" w:hAnsi="仿宋" w:eastAsia="仿宋" w:cs="仿宋"/>
                <w:spacing w:val="13"/>
                <w:sz w:val="20"/>
                <w:szCs w:val="20"/>
              </w:rPr>
              <w:t>间</w:t>
            </w:r>
          </w:p>
        </w:tc>
        <w:tc>
          <w:tcPr>
            <w:tcW w:w="422" w:type="dxa"/>
            <w:textDirection w:val="tbRlV"/>
            <w:vAlign w:val="top"/>
          </w:tcPr>
          <w:p w14:paraId="37C861B2">
            <w:pPr>
              <w:spacing w:before="105" w:line="209" w:lineRule="auto"/>
              <w:ind w:left="38"/>
              <w:rPr>
                <w:rFonts w:ascii="仿宋" w:hAnsi="仿宋" w:eastAsia="仿宋" w:cs="仿宋"/>
                <w:sz w:val="20"/>
                <w:szCs w:val="20"/>
              </w:rPr>
            </w:pPr>
            <w:r>
              <w:rPr>
                <w:rFonts w:ascii="仿宋" w:hAnsi="仿宋" w:eastAsia="仿宋" w:cs="仿宋"/>
                <w:spacing w:val="13"/>
                <w:sz w:val="20"/>
                <w:szCs w:val="20"/>
              </w:rPr>
              <w:t>夜</w:t>
            </w:r>
            <w:r>
              <w:rPr>
                <w:rFonts w:ascii="仿宋" w:hAnsi="仿宋" w:eastAsia="仿宋" w:cs="仿宋"/>
                <w:spacing w:val="-43"/>
                <w:sz w:val="20"/>
                <w:szCs w:val="20"/>
              </w:rPr>
              <w:t xml:space="preserve"> </w:t>
            </w:r>
            <w:r>
              <w:rPr>
                <w:rFonts w:ascii="仿宋" w:hAnsi="仿宋" w:eastAsia="仿宋" w:cs="仿宋"/>
                <w:spacing w:val="13"/>
                <w:sz w:val="20"/>
                <w:szCs w:val="20"/>
              </w:rPr>
              <w:t>间</w:t>
            </w:r>
          </w:p>
        </w:tc>
        <w:tc>
          <w:tcPr>
            <w:tcW w:w="420" w:type="dxa"/>
            <w:textDirection w:val="tbRlV"/>
            <w:vAlign w:val="top"/>
          </w:tcPr>
          <w:p w14:paraId="4D5C5EF0">
            <w:pPr>
              <w:spacing w:before="102" w:line="210" w:lineRule="auto"/>
              <w:ind w:left="38"/>
              <w:rPr>
                <w:rFonts w:ascii="仿宋" w:hAnsi="仿宋" w:eastAsia="仿宋" w:cs="仿宋"/>
                <w:sz w:val="20"/>
                <w:szCs w:val="20"/>
              </w:rPr>
            </w:pPr>
            <w:r>
              <w:rPr>
                <w:rFonts w:ascii="仿宋" w:hAnsi="仿宋" w:eastAsia="仿宋" w:cs="仿宋"/>
                <w:spacing w:val="13"/>
                <w:sz w:val="20"/>
                <w:szCs w:val="20"/>
              </w:rPr>
              <w:t>昼</w:t>
            </w:r>
            <w:r>
              <w:rPr>
                <w:rFonts w:ascii="仿宋" w:hAnsi="仿宋" w:eastAsia="仿宋" w:cs="仿宋"/>
                <w:spacing w:val="-43"/>
                <w:sz w:val="20"/>
                <w:szCs w:val="20"/>
              </w:rPr>
              <w:t xml:space="preserve"> </w:t>
            </w:r>
            <w:r>
              <w:rPr>
                <w:rFonts w:ascii="仿宋" w:hAnsi="仿宋" w:eastAsia="仿宋" w:cs="仿宋"/>
                <w:spacing w:val="13"/>
                <w:sz w:val="20"/>
                <w:szCs w:val="20"/>
              </w:rPr>
              <w:t>间</w:t>
            </w:r>
          </w:p>
        </w:tc>
        <w:tc>
          <w:tcPr>
            <w:tcW w:w="422" w:type="dxa"/>
            <w:textDirection w:val="tbRlV"/>
            <w:vAlign w:val="top"/>
          </w:tcPr>
          <w:p w14:paraId="3001742E">
            <w:pPr>
              <w:spacing w:before="104" w:line="209" w:lineRule="auto"/>
              <w:ind w:left="38"/>
              <w:rPr>
                <w:rFonts w:ascii="仿宋" w:hAnsi="仿宋" w:eastAsia="仿宋" w:cs="仿宋"/>
                <w:sz w:val="20"/>
                <w:szCs w:val="20"/>
              </w:rPr>
            </w:pPr>
            <w:r>
              <w:rPr>
                <w:rFonts w:ascii="仿宋" w:hAnsi="仿宋" w:eastAsia="仿宋" w:cs="仿宋"/>
                <w:spacing w:val="13"/>
                <w:sz w:val="20"/>
                <w:szCs w:val="20"/>
              </w:rPr>
              <w:t>夜</w:t>
            </w:r>
            <w:r>
              <w:rPr>
                <w:rFonts w:ascii="仿宋" w:hAnsi="仿宋" w:eastAsia="仿宋" w:cs="仿宋"/>
                <w:spacing w:val="-43"/>
                <w:sz w:val="20"/>
                <w:szCs w:val="20"/>
              </w:rPr>
              <w:t xml:space="preserve"> </w:t>
            </w:r>
            <w:r>
              <w:rPr>
                <w:rFonts w:ascii="仿宋" w:hAnsi="仿宋" w:eastAsia="仿宋" w:cs="仿宋"/>
                <w:spacing w:val="13"/>
                <w:sz w:val="20"/>
                <w:szCs w:val="20"/>
              </w:rPr>
              <w:t>间</w:t>
            </w:r>
          </w:p>
        </w:tc>
        <w:tc>
          <w:tcPr>
            <w:tcW w:w="422" w:type="dxa"/>
            <w:textDirection w:val="tbRlV"/>
            <w:vAlign w:val="top"/>
          </w:tcPr>
          <w:p w14:paraId="11313F69">
            <w:pPr>
              <w:spacing w:before="103" w:line="210" w:lineRule="auto"/>
              <w:ind w:left="38"/>
              <w:rPr>
                <w:rFonts w:ascii="仿宋" w:hAnsi="仿宋" w:eastAsia="仿宋" w:cs="仿宋"/>
                <w:sz w:val="20"/>
                <w:szCs w:val="20"/>
              </w:rPr>
            </w:pPr>
            <w:r>
              <w:rPr>
                <w:rFonts w:ascii="仿宋" w:hAnsi="仿宋" w:eastAsia="仿宋" w:cs="仿宋"/>
                <w:spacing w:val="13"/>
                <w:sz w:val="20"/>
                <w:szCs w:val="20"/>
              </w:rPr>
              <w:t>昼</w:t>
            </w:r>
            <w:r>
              <w:rPr>
                <w:rFonts w:ascii="仿宋" w:hAnsi="仿宋" w:eastAsia="仿宋" w:cs="仿宋"/>
                <w:spacing w:val="-43"/>
                <w:sz w:val="20"/>
                <w:szCs w:val="20"/>
              </w:rPr>
              <w:t xml:space="preserve"> </w:t>
            </w:r>
            <w:r>
              <w:rPr>
                <w:rFonts w:ascii="仿宋" w:hAnsi="仿宋" w:eastAsia="仿宋" w:cs="仿宋"/>
                <w:spacing w:val="13"/>
                <w:sz w:val="20"/>
                <w:szCs w:val="20"/>
              </w:rPr>
              <w:t>间</w:t>
            </w:r>
          </w:p>
        </w:tc>
        <w:tc>
          <w:tcPr>
            <w:tcW w:w="418" w:type="dxa"/>
            <w:tcBorders>
              <w:right w:val="nil"/>
            </w:tcBorders>
            <w:textDirection w:val="tbRlV"/>
            <w:vAlign w:val="top"/>
          </w:tcPr>
          <w:p w14:paraId="615BA054">
            <w:pPr>
              <w:spacing w:before="102" w:line="209" w:lineRule="auto"/>
              <w:ind w:left="38"/>
              <w:rPr>
                <w:rFonts w:ascii="仿宋" w:hAnsi="仿宋" w:eastAsia="仿宋" w:cs="仿宋"/>
                <w:sz w:val="20"/>
                <w:szCs w:val="20"/>
              </w:rPr>
            </w:pPr>
            <w:r>
              <w:rPr>
                <w:rFonts w:ascii="仿宋" w:hAnsi="仿宋" w:eastAsia="仿宋" w:cs="仿宋"/>
                <w:spacing w:val="13"/>
                <w:sz w:val="20"/>
                <w:szCs w:val="20"/>
              </w:rPr>
              <w:t>夜</w:t>
            </w:r>
            <w:r>
              <w:rPr>
                <w:rFonts w:ascii="仿宋" w:hAnsi="仿宋" w:eastAsia="仿宋" w:cs="仿宋"/>
                <w:spacing w:val="-43"/>
                <w:sz w:val="20"/>
                <w:szCs w:val="20"/>
              </w:rPr>
              <w:t xml:space="preserve"> </w:t>
            </w:r>
            <w:r>
              <w:rPr>
                <w:rFonts w:ascii="仿宋" w:hAnsi="仿宋" w:eastAsia="仿宋" w:cs="仿宋"/>
                <w:spacing w:val="13"/>
                <w:sz w:val="20"/>
                <w:szCs w:val="20"/>
              </w:rPr>
              <w:t>间</w:t>
            </w:r>
          </w:p>
        </w:tc>
      </w:tr>
      <w:tr w14:paraId="2E6755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389" w:type="dxa"/>
            <w:tcBorders>
              <w:left w:val="nil"/>
            </w:tcBorders>
            <w:textDirection w:val="tbRlV"/>
            <w:vAlign w:val="top"/>
          </w:tcPr>
          <w:p w14:paraId="094DF507">
            <w:pPr>
              <w:spacing w:before="89" w:line="210" w:lineRule="auto"/>
              <w:ind w:left="42"/>
              <w:rPr>
                <w:rFonts w:ascii="仿宋" w:hAnsi="仿宋" w:eastAsia="仿宋" w:cs="仿宋"/>
                <w:sz w:val="20"/>
                <w:szCs w:val="20"/>
              </w:rPr>
            </w:pPr>
            <w:r>
              <w:rPr>
                <w:rFonts w:ascii="仿宋" w:hAnsi="仿宋" w:eastAsia="仿宋" w:cs="仿宋"/>
                <w:spacing w:val="13"/>
                <w:sz w:val="20"/>
                <w:szCs w:val="20"/>
              </w:rPr>
              <w:t>近</w:t>
            </w:r>
            <w:r>
              <w:rPr>
                <w:rFonts w:ascii="仿宋" w:hAnsi="仿宋" w:eastAsia="仿宋" w:cs="仿宋"/>
                <w:spacing w:val="-40"/>
                <w:sz w:val="20"/>
                <w:szCs w:val="20"/>
              </w:rPr>
              <w:t xml:space="preserve"> </w:t>
            </w:r>
            <w:r>
              <w:rPr>
                <w:rFonts w:ascii="仿宋" w:hAnsi="仿宋" w:eastAsia="仿宋" w:cs="仿宋"/>
                <w:spacing w:val="13"/>
                <w:sz w:val="20"/>
                <w:szCs w:val="20"/>
              </w:rPr>
              <w:t>期</w:t>
            </w:r>
          </w:p>
        </w:tc>
        <w:tc>
          <w:tcPr>
            <w:tcW w:w="381" w:type="dxa"/>
            <w:vAlign w:val="top"/>
          </w:tcPr>
          <w:p w14:paraId="17F78963">
            <w:pPr>
              <w:pStyle w:val="6"/>
              <w:spacing w:before="215" w:line="195" w:lineRule="auto"/>
              <w:ind w:left="144"/>
              <w:rPr>
                <w:sz w:val="20"/>
                <w:szCs w:val="20"/>
              </w:rPr>
            </w:pPr>
            <w:r>
              <w:rPr>
                <w:sz w:val="20"/>
                <w:szCs w:val="20"/>
              </w:rPr>
              <w:t>9</w:t>
            </w:r>
          </w:p>
        </w:tc>
        <w:tc>
          <w:tcPr>
            <w:tcW w:w="384" w:type="dxa"/>
            <w:vAlign w:val="top"/>
          </w:tcPr>
          <w:p w14:paraId="524A0F1F">
            <w:pPr>
              <w:pStyle w:val="6"/>
              <w:spacing w:before="215" w:line="195" w:lineRule="auto"/>
              <w:ind w:left="139"/>
              <w:rPr>
                <w:sz w:val="20"/>
                <w:szCs w:val="20"/>
              </w:rPr>
            </w:pPr>
            <w:r>
              <w:rPr>
                <w:spacing w:val="1"/>
                <w:sz w:val="20"/>
                <w:szCs w:val="20"/>
              </w:rPr>
              <w:t>4</w:t>
            </w:r>
          </w:p>
        </w:tc>
        <w:tc>
          <w:tcPr>
            <w:tcW w:w="275" w:type="dxa"/>
            <w:vAlign w:val="top"/>
          </w:tcPr>
          <w:p w14:paraId="1141BA2E">
            <w:pPr>
              <w:pStyle w:val="6"/>
              <w:spacing w:before="215" w:line="195" w:lineRule="auto"/>
              <w:ind w:left="107"/>
              <w:rPr>
                <w:sz w:val="20"/>
                <w:szCs w:val="20"/>
              </w:rPr>
            </w:pPr>
            <w:r>
              <w:rPr>
                <w:sz w:val="20"/>
                <w:szCs w:val="20"/>
              </w:rPr>
              <w:t>1</w:t>
            </w:r>
          </w:p>
        </w:tc>
        <w:tc>
          <w:tcPr>
            <w:tcW w:w="331" w:type="dxa"/>
            <w:vAlign w:val="top"/>
          </w:tcPr>
          <w:p w14:paraId="1C005A60">
            <w:pPr>
              <w:pStyle w:val="6"/>
              <w:spacing w:before="215" w:line="195" w:lineRule="auto"/>
              <w:ind w:left="135"/>
              <w:rPr>
                <w:sz w:val="20"/>
                <w:szCs w:val="20"/>
              </w:rPr>
            </w:pPr>
            <w:r>
              <w:rPr>
                <w:sz w:val="20"/>
                <w:szCs w:val="20"/>
              </w:rPr>
              <w:t>1</w:t>
            </w:r>
          </w:p>
        </w:tc>
        <w:tc>
          <w:tcPr>
            <w:tcW w:w="333" w:type="dxa"/>
            <w:vAlign w:val="top"/>
          </w:tcPr>
          <w:p w14:paraId="67C871CE">
            <w:pPr>
              <w:pStyle w:val="6"/>
              <w:spacing w:before="215" w:line="195" w:lineRule="auto"/>
              <w:ind w:left="118"/>
              <w:rPr>
                <w:sz w:val="20"/>
                <w:szCs w:val="20"/>
              </w:rPr>
            </w:pPr>
            <w:r>
              <w:rPr>
                <w:sz w:val="20"/>
                <w:szCs w:val="20"/>
              </w:rPr>
              <w:t>0</w:t>
            </w:r>
          </w:p>
        </w:tc>
        <w:tc>
          <w:tcPr>
            <w:tcW w:w="367" w:type="dxa"/>
            <w:vAlign w:val="top"/>
          </w:tcPr>
          <w:p w14:paraId="09929999">
            <w:pPr>
              <w:pStyle w:val="6"/>
              <w:spacing w:before="215" w:line="195" w:lineRule="auto"/>
              <w:ind w:left="136"/>
              <w:rPr>
                <w:sz w:val="20"/>
                <w:szCs w:val="20"/>
              </w:rPr>
            </w:pPr>
            <w:r>
              <w:rPr>
                <w:sz w:val="20"/>
                <w:szCs w:val="20"/>
              </w:rPr>
              <w:t>0</w:t>
            </w:r>
          </w:p>
        </w:tc>
        <w:tc>
          <w:tcPr>
            <w:tcW w:w="401" w:type="dxa"/>
            <w:vAlign w:val="top"/>
          </w:tcPr>
          <w:p w14:paraId="1D7DC6FA">
            <w:pPr>
              <w:pStyle w:val="6"/>
              <w:spacing w:before="215" w:line="195" w:lineRule="auto"/>
              <w:ind w:left="117"/>
              <w:rPr>
                <w:sz w:val="20"/>
                <w:szCs w:val="20"/>
              </w:rPr>
            </w:pPr>
            <w:r>
              <w:rPr>
                <w:spacing w:val="-8"/>
                <w:sz w:val="20"/>
                <w:szCs w:val="20"/>
              </w:rPr>
              <w:t>10</w:t>
            </w:r>
          </w:p>
        </w:tc>
        <w:tc>
          <w:tcPr>
            <w:tcW w:w="417" w:type="dxa"/>
            <w:vAlign w:val="top"/>
          </w:tcPr>
          <w:p w14:paraId="21118D02">
            <w:pPr>
              <w:pStyle w:val="6"/>
              <w:spacing w:before="218" w:line="192" w:lineRule="auto"/>
              <w:ind w:left="162"/>
              <w:rPr>
                <w:sz w:val="20"/>
                <w:szCs w:val="20"/>
              </w:rPr>
            </w:pPr>
            <w:r>
              <w:rPr>
                <w:sz w:val="20"/>
                <w:szCs w:val="20"/>
              </w:rPr>
              <w:t>5</w:t>
            </w:r>
          </w:p>
        </w:tc>
        <w:tc>
          <w:tcPr>
            <w:tcW w:w="402" w:type="dxa"/>
            <w:vAlign w:val="top"/>
          </w:tcPr>
          <w:p w14:paraId="235741EA">
            <w:pPr>
              <w:pStyle w:val="6"/>
              <w:spacing w:before="215" w:line="195" w:lineRule="auto"/>
              <w:ind w:left="117"/>
              <w:rPr>
                <w:sz w:val="20"/>
                <w:szCs w:val="20"/>
              </w:rPr>
            </w:pPr>
            <w:r>
              <w:rPr>
                <w:spacing w:val="-8"/>
                <w:sz w:val="20"/>
                <w:szCs w:val="20"/>
              </w:rPr>
              <w:t>15</w:t>
            </w:r>
          </w:p>
        </w:tc>
        <w:tc>
          <w:tcPr>
            <w:tcW w:w="406" w:type="dxa"/>
            <w:vAlign w:val="top"/>
          </w:tcPr>
          <w:p w14:paraId="051FD905">
            <w:pPr>
              <w:pStyle w:val="6"/>
              <w:spacing w:before="215" w:line="195" w:lineRule="auto"/>
              <w:ind w:left="118"/>
              <w:rPr>
                <w:sz w:val="20"/>
                <w:szCs w:val="20"/>
              </w:rPr>
            </w:pPr>
            <w:r>
              <w:rPr>
                <w:spacing w:val="-8"/>
                <w:sz w:val="20"/>
                <w:szCs w:val="20"/>
              </w:rPr>
              <w:t>15</w:t>
            </w:r>
          </w:p>
        </w:tc>
        <w:tc>
          <w:tcPr>
            <w:tcW w:w="402" w:type="dxa"/>
            <w:vAlign w:val="top"/>
          </w:tcPr>
          <w:p w14:paraId="0D4F1B83">
            <w:pPr>
              <w:pStyle w:val="6"/>
              <w:spacing w:before="215" w:line="195" w:lineRule="auto"/>
              <w:ind w:left="118"/>
              <w:rPr>
                <w:sz w:val="20"/>
                <w:szCs w:val="20"/>
              </w:rPr>
            </w:pPr>
            <w:r>
              <w:rPr>
                <w:spacing w:val="-8"/>
                <w:sz w:val="20"/>
                <w:szCs w:val="20"/>
              </w:rPr>
              <w:t>15</w:t>
            </w:r>
          </w:p>
        </w:tc>
        <w:tc>
          <w:tcPr>
            <w:tcW w:w="406" w:type="dxa"/>
            <w:vAlign w:val="top"/>
          </w:tcPr>
          <w:p w14:paraId="11A26CAC">
            <w:pPr>
              <w:pStyle w:val="6"/>
              <w:spacing w:before="215" w:line="195" w:lineRule="auto"/>
              <w:ind w:left="119"/>
              <w:rPr>
                <w:sz w:val="20"/>
                <w:szCs w:val="20"/>
              </w:rPr>
            </w:pPr>
            <w:r>
              <w:rPr>
                <w:spacing w:val="-8"/>
                <w:sz w:val="20"/>
                <w:szCs w:val="20"/>
              </w:rPr>
              <w:t>15</w:t>
            </w:r>
          </w:p>
        </w:tc>
        <w:tc>
          <w:tcPr>
            <w:tcW w:w="402" w:type="dxa"/>
            <w:vAlign w:val="top"/>
          </w:tcPr>
          <w:p w14:paraId="61A62C36">
            <w:pPr>
              <w:pStyle w:val="6"/>
              <w:spacing w:before="215" w:line="195" w:lineRule="auto"/>
              <w:ind w:left="116"/>
              <w:rPr>
                <w:sz w:val="20"/>
                <w:szCs w:val="20"/>
              </w:rPr>
            </w:pPr>
            <w:r>
              <w:rPr>
                <w:spacing w:val="-8"/>
                <w:sz w:val="20"/>
                <w:szCs w:val="20"/>
              </w:rPr>
              <w:t>15</w:t>
            </w:r>
          </w:p>
        </w:tc>
        <w:tc>
          <w:tcPr>
            <w:tcW w:w="420" w:type="dxa"/>
            <w:vAlign w:val="top"/>
          </w:tcPr>
          <w:p w14:paraId="70A99EED">
            <w:pPr>
              <w:pStyle w:val="6"/>
              <w:spacing w:before="215" w:line="195" w:lineRule="auto"/>
              <w:ind w:left="127"/>
              <w:rPr>
                <w:sz w:val="20"/>
                <w:szCs w:val="20"/>
              </w:rPr>
            </w:pPr>
            <w:r>
              <w:rPr>
                <w:spacing w:val="-8"/>
                <w:sz w:val="20"/>
                <w:szCs w:val="20"/>
              </w:rPr>
              <w:t>15</w:t>
            </w:r>
          </w:p>
        </w:tc>
        <w:tc>
          <w:tcPr>
            <w:tcW w:w="420" w:type="dxa"/>
            <w:vAlign w:val="top"/>
          </w:tcPr>
          <w:p w14:paraId="0EFEA02A">
            <w:pPr>
              <w:pStyle w:val="6"/>
              <w:spacing w:before="93" w:line="195" w:lineRule="auto"/>
              <w:ind w:left="32"/>
              <w:rPr>
                <w:sz w:val="20"/>
                <w:szCs w:val="20"/>
              </w:rPr>
            </w:pPr>
            <w:r>
              <w:rPr>
                <w:spacing w:val="2"/>
                <w:sz w:val="20"/>
                <w:szCs w:val="20"/>
              </w:rPr>
              <w:t>60.2</w:t>
            </w:r>
          </w:p>
          <w:p w14:paraId="47AB7F39">
            <w:pPr>
              <w:pStyle w:val="6"/>
              <w:spacing w:before="58" w:line="192" w:lineRule="auto"/>
              <w:ind w:left="163"/>
              <w:rPr>
                <w:sz w:val="20"/>
                <w:szCs w:val="20"/>
              </w:rPr>
            </w:pPr>
            <w:r>
              <w:rPr>
                <w:sz w:val="20"/>
                <w:szCs w:val="20"/>
              </w:rPr>
              <w:t>5</w:t>
            </w:r>
          </w:p>
        </w:tc>
        <w:tc>
          <w:tcPr>
            <w:tcW w:w="422" w:type="dxa"/>
            <w:vAlign w:val="top"/>
          </w:tcPr>
          <w:p w14:paraId="141B90A6">
            <w:pPr>
              <w:pStyle w:val="6"/>
              <w:spacing w:before="93" w:line="195" w:lineRule="auto"/>
              <w:ind w:left="32"/>
              <w:rPr>
                <w:sz w:val="20"/>
                <w:szCs w:val="20"/>
              </w:rPr>
            </w:pPr>
            <w:r>
              <w:rPr>
                <w:spacing w:val="2"/>
                <w:sz w:val="20"/>
                <w:szCs w:val="20"/>
              </w:rPr>
              <w:t>60.2</w:t>
            </w:r>
          </w:p>
          <w:p w14:paraId="263B0CCC">
            <w:pPr>
              <w:pStyle w:val="6"/>
              <w:spacing w:before="58" w:line="192" w:lineRule="auto"/>
              <w:ind w:left="165"/>
              <w:rPr>
                <w:sz w:val="20"/>
                <w:szCs w:val="20"/>
              </w:rPr>
            </w:pPr>
            <w:r>
              <w:rPr>
                <w:sz w:val="20"/>
                <w:szCs w:val="20"/>
              </w:rPr>
              <w:t>5</w:t>
            </w:r>
          </w:p>
        </w:tc>
        <w:tc>
          <w:tcPr>
            <w:tcW w:w="420" w:type="dxa"/>
            <w:vAlign w:val="top"/>
          </w:tcPr>
          <w:p w14:paraId="12235CA6">
            <w:pPr>
              <w:pStyle w:val="6"/>
              <w:spacing w:before="93" w:line="195" w:lineRule="auto"/>
              <w:ind w:left="32"/>
              <w:rPr>
                <w:sz w:val="20"/>
                <w:szCs w:val="20"/>
              </w:rPr>
            </w:pPr>
            <w:r>
              <w:rPr>
                <w:spacing w:val="2"/>
                <w:sz w:val="20"/>
                <w:szCs w:val="20"/>
              </w:rPr>
              <w:t>71.5</w:t>
            </w:r>
          </w:p>
          <w:p w14:paraId="4BA96A4D">
            <w:pPr>
              <w:pStyle w:val="6"/>
              <w:spacing w:before="55" w:line="195" w:lineRule="auto"/>
              <w:ind w:left="158"/>
              <w:rPr>
                <w:sz w:val="20"/>
                <w:szCs w:val="20"/>
              </w:rPr>
            </w:pPr>
            <w:r>
              <w:rPr>
                <w:sz w:val="20"/>
                <w:szCs w:val="20"/>
              </w:rPr>
              <w:t>2</w:t>
            </w:r>
          </w:p>
        </w:tc>
        <w:tc>
          <w:tcPr>
            <w:tcW w:w="422" w:type="dxa"/>
            <w:vAlign w:val="top"/>
          </w:tcPr>
          <w:p w14:paraId="0539FF09">
            <w:pPr>
              <w:pStyle w:val="6"/>
              <w:spacing w:before="93" w:line="195" w:lineRule="auto"/>
              <w:ind w:left="32"/>
              <w:rPr>
                <w:sz w:val="20"/>
                <w:szCs w:val="20"/>
              </w:rPr>
            </w:pPr>
            <w:r>
              <w:rPr>
                <w:spacing w:val="2"/>
                <w:sz w:val="20"/>
                <w:szCs w:val="20"/>
              </w:rPr>
              <w:t>71.5</w:t>
            </w:r>
          </w:p>
          <w:p w14:paraId="6DCAEFDF">
            <w:pPr>
              <w:pStyle w:val="6"/>
              <w:spacing w:before="55" w:line="195" w:lineRule="auto"/>
              <w:ind w:left="160"/>
              <w:rPr>
                <w:sz w:val="20"/>
                <w:szCs w:val="20"/>
              </w:rPr>
            </w:pPr>
            <w:r>
              <w:rPr>
                <w:sz w:val="20"/>
                <w:szCs w:val="20"/>
              </w:rPr>
              <w:t>2</w:t>
            </w:r>
          </w:p>
        </w:tc>
        <w:tc>
          <w:tcPr>
            <w:tcW w:w="422" w:type="dxa"/>
            <w:vAlign w:val="top"/>
          </w:tcPr>
          <w:p w14:paraId="60D6E1FD">
            <w:pPr>
              <w:pStyle w:val="6"/>
              <w:spacing w:before="211" w:line="199" w:lineRule="auto"/>
              <w:ind w:left="178"/>
              <w:rPr>
                <w:sz w:val="20"/>
                <w:szCs w:val="20"/>
              </w:rPr>
            </w:pPr>
            <w:r>
              <w:rPr>
                <w:spacing w:val="2"/>
                <w:sz w:val="20"/>
                <w:szCs w:val="20"/>
              </w:rPr>
              <w:t>/</w:t>
            </w:r>
          </w:p>
        </w:tc>
        <w:tc>
          <w:tcPr>
            <w:tcW w:w="418" w:type="dxa"/>
            <w:tcBorders>
              <w:right w:val="nil"/>
            </w:tcBorders>
            <w:vAlign w:val="top"/>
          </w:tcPr>
          <w:p w14:paraId="35167DC0">
            <w:pPr>
              <w:pStyle w:val="6"/>
              <w:spacing w:before="211" w:line="199" w:lineRule="auto"/>
              <w:ind w:left="181"/>
              <w:rPr>
                <w:sz w:val="20"/>
                <w:szCs w:val="20"/>
              </w:rPr>
            </w:pPr>
            <w:r>
              <w:rPr>
                <w:spacing w:val="2"/>
                <w:sz w:val="20"/>
                <w:szCs w:val="20"/>
              </w:rPr>
              <w:t>/</w:t>
            </w:r>
          </w:p>
        </w:tc>
      </w:tr>
      <w:tr w14:paraId="3BAE11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389" w:type="dxa"/>
            <w:tcBorders>
              <w:left w:val="nil"/>
            </w:tcBorders>
            <w:textDirection w:val="tbRlV"/>
            <w:vAlign w:val="top"/>
          </w:tcPr>
          <w:p w14:paraId="7985FCA7">
            <w:pPr>
              <w:spacing w:before="89" w:line="209" w:lineRule="auto"/>
              <w:ind w:left="47"/>
              <w:rPr>
                <w:rFonts w:ascii="仿宋" w:hAnsi="仿宋" w:eastAsia="仿宋" w:cs="仿宋"/>
                <w:sz w:val="20"/>
                <w:szCs w:val="20"/>
              </w:rPr>
            </w:pPr>
            <w:r>
              <w:rPr>
                <w:rFonts w:ascii="仿宋" w:hAnsi="仿宋" w:eastAsia="仿宋" w:cs="仿宋"/>
                <w:spacing w:val="13"/>
                <w:sz w:val="20"/>
                <w:szCs w:val="20"/>
              </w:rPr>
              <w:t>中</w:t>
            </w:r>
            <w:r>
              <w:rPr>
                <w:rFonts w:ascii="仿宋" w:hAnsi="仿宋" w:eastAsia="仿宋" w:cs="仿宋"/>
                <w:spacing w:val="-42"/>
                <w:sz w:val="20"/>
                <w:szCs w:val="20"/>
              </w:rPr>
              <w:t xml:space="preserve"> </w:t>
            </w:r>
            <w:r>
              <w:rPr>
                <w:rFonts w:ascii="仿宋" w:hAnsi="仿宋" w:eastAsia="仿宋" w:cs="仿宋"/>
                <w:spacing w:val="13"/>
                <w:sz w:val="20"/>
                <w:szCs w:val="20"/>
              </w:rPr>
              <w:t>期</w:t>
            </w:r>
          </w:p>
        </w:tc>
        <w:tc>
          <w:tcPr>
            <w:tcW w:w="381" w:type="dxa"/>
            <w:vAlign w:val="top"/>
          </w:tcPr>
          <w:p w14:paraId="423BCDD1">
            <w:pPr>
              <w:pStyle w:val="6"/>
              <w:spacing w:before="220" w:line="195" w:lineRule="auto"/>
              <w:ind w:left="107"/>
              <w:rPr>
                <w:sz w:val="20"/>
                <w:szCs w:val="20"/>
              </w:rPr>
            </w:pPr>
            <w:r>
              <w:rPr>
                <w:spacing w:val="-8"/>
                <w:sz w:val="20"/>
                <w:szCs w:val="20"/>
              </w:rPr>
              <w:t>11</w:t>
            </w:r>
          </w:p>
        </w:tc>
        <w:tc>
          <w:tcPr>
            <w:tcW w:w="384" w:type="dxa"/>
            <w:vAlign w:val="top"/>
          </w:tcPr>
          <w:p w14:paraId="52CDB4DF">
            <w:pPr>
              <w:pStyle w:val="6"/>
              <w:spacing w:before="219" w:line="195" w:lineRule="auto"/>
              <w:ind w:left="145"/>
              <w:rPr>
                <w:sz w:val="20"/>
                <w:szCs w:val="20"/>
              </w:rPr>
            </w:pPr>
            <w:r>
              <w:rPr>
                <w:sz w:val="20"/>
                <w:szCs w:val="20"/>
              </w:rPr>
              <w:t>6</w:t>
            </w:r>
          </w:p>
        </w:tc>
        <w:tc>
          <w:tcPr>
            <w:tcW w:w="275" w:type="dxa"/>
            <w:vAlign w:val="top"/>
          </w:tcPr>
          <w:p w14:paraId="231A7784">
            <w:pPr>
              <w:pStyle w:val="6"/>
              <w:spacing w:before="220" w:line="195" w:lineRule="auto"/>
              <w:ind w:left="87"/>
              <w:rPr>
                <w:sz w:val="20"/>
                <w:szCs w:val="20"/>
              </w:rPr>
            </w:pPr>
            <w:r>
              <w:rPr>
                <w:sz w:val="20"/>
                <w:szCs w:val="20"/>
              </w:rPr>
              <w:t>2</w:t>
            </w:r>
          </w:p>
        </w:tc>
        <w:tc>
          <w:tcPr>
            <w:tcW w:w="331" w:type="dxa"/>
            <w:vAlign w:val="top"/>
          </w:tcPr>
          <w:p w14:paraId="6AF188F1">
            <w:pPr>
              <w:pStyle w:val="6"/>
              <w:spacing w:before="220" w:line="195" w:lineRule="auto"/>
              <w:ind w:left="135"/>
              <w:rPr>
                <w:sz w:val="20"/>
                <w:szCs w:val="20"/>
              </w:rPr>
            </w:pPr>
            <w:r>
              <w:rPr>
                <w:sz w:val="20"/>
                <w:szCs w:val="20"/>
              </w:rPr>
              <w:t>1</w:t>
            </w:r>
          </w:p>
        </w:tc>
        <w:tc>
          <w:tcPr>
            <w:tcW w:w="333" w:type="dxa"/>
            <w:vAlign w:val="top"/>
          </w:tcPr>
          <w:p w14:paraId="40C42392">
            <w:pPr>
              <w:pStyle w:val="6"/>
              <w:spacing w:before="219" w:line="195" w:lineRule="auto"/>
              <w:ind w:left="118"/>
              <w:rPr>
                <w:sz w:val="20"/>
                <w:szCs w:val="20"/>
              </w:rPr>
            </w:pPr>
            <w:r>
              <w:rPr>
                <w:sz w:val="20"/>
                <w:szCs w:val="20"/>
              </w:rPr>
              <w:t>0</w:t>
            </w:r>
          </w:p>
        </w:tc>
        <w:tc>
          <w:tcPr>
            <w:tcW w:w="367" w:type="dxa"/>
            <w:vAlign w:val="top"/>
          </w:tcPr>
          <w:p w14:paraId="16DC1062">
            <w:pPr>
              <w:pStyle w:val="6"/>
              <w:spacing w:before="219" w:line="195" w:lineRule="auto"/>
              <w:ind w:left="136"/>
              <w:rPr>
                <w:sz w:val="20"/>
                <w:szCs w:val="20"/>
              </w:rPr>
            </w:pPr>
            <w:r>
              <w:rPr>
                <w:sz w:val="20"/>
                <w:szCs w:val="20"/>
              </w:rPr>
              <w:t>0</w:t>
            </w:r>
          </w:p>
        </w:tc>
        <w:tc>
          <w:tcPr>
            <w:tcW w:w="401" w:type="dxa"/>
            <w:vAlign w:val="top"/>
          </w:tcPr>
          <w:p w14:paraId="0CEEED39">
            <w:pPr>
              <w:pStyle w:val="6"/>
              <w:spacing w:before="219" w:line="195" w:lineRule="auto"/>
              <w:ind w:left="117"/>
              <w:rPr>
                <w:sz w:val="20"/>
                <w:szCs w:val="20"/>
              </w:rPr>
            </w:pPr>
            <w:r>
              <w:rPr>
                <w:spacing w:val="-8"/>
                <w:sz w:val="20"/>
                <w:szCs w:val="20"/>
              </w:rPr>
              <w:t>13</w:t>
            </w:r>
          </w:p>
        </w:tc>
        <w:tc>
          <w:tcPr>
            <w:tcW w:w="417" w:type="dxa"/>
            <w:vAlign w:val="top"/>
          </w:tcPr>
          <w:p w14:paraId="05B7851D">
            <w:pPr>
              <w:pStyle w:val="6"/>
              <w:spacing w:before="222" w:line="192" w:lineRule="auto"/>
              <w:ind w:left="160"/>
              <w:rPr>
                <w:sz w:val="20"/>
                <w:szCs w:val="20"/>
              </w:rPr>
            </w:pPr>
            <w:r>
              <w:rPr>
                <w:sz w:val="20"/>
                <w:szCs w:val="20"/>
              </w:rPr>
              <w:t>7</w:t>
            </w:r>
          </w:p>
        </w:tc>
        <w:tc>
          <w:tcPr>
            <w:tcW w:w="402" w:type="dxa"/>
            <w:vAlign w:val="top"/>
          </w:tcPr>
          <w:p w14:paraId="062BF55A">
            <w:pPr>
              <w:pStyle w:val="6"/>
              <w:spacing w:before="219" w:line="195" w:lineRule="auto"/>
              <w:ind w:left="117"/>
              <w:rPr>
                <w:sz w:val="20"/>
                <w:szCs w:val="20"/>
              </w:rPr>
            </w:pPr>
            <w:r>
              <w:rPr>
                <w:spacing w:val="-8"/>
                <w:sz w:val="20"/>
                <w:szCs w:val="20"/>
              </w:rPr>
              <w:t>15</w:t>
            </w:r>
          </w:p>
        </w:tc>
        <w:tc>
          <w:tcPr>
            <w:tcW w:w="406" w:type="dxa"/>
            <w:vAlign w:val="top"/>
          </w:tcPr>
          <w:p w14:paraId="26A68533">
            <w:pPr>
              <w:pStyle w:val="6"/>
              <w:spacing w:before="219" w:line="195" w:lineRule="auto"/>
              <w:ind w:left="118"/>
              <w:rPr>
                <w:sz w:val="20"/>
                <w:szCs w:val="20"/>
              </w:rPr>
            </w:pPr>
            <w:r>
              <w:rPr>
                <w:spacing w:val="-8"/>
                <w:sz w:val="20"/>
                <w:szCs w:val="20"/>
              </w:rPr>
              <w:t>15</w:t>
            </w:r>
          </w:p>
        </w:tc>
        <w:tc>
          <w:tcPr>
            <w:tcW w:w="402" w:type="dxa"/>
            <w:vAlign w:val="top"/>
          </w:tcPr>
          <w:p w14:paraId="7D11E923">
            <w:pPr>
              <w:pStyle w:val="6"/>
              <w:spacing w:before="219" w:line="195" w:lineRule="auto"/>
              <w:ind w:left="118"/>
              <w:rPr>
                <w:sz w:val="20"/>
                <w:szCs w:val="20"/>
              </w:rPr>
            </w:pPr>
            <w:r>
              <w:rPr>
                <w:spacing w:val="-8"/>
                <w:sz w:val="20"/>
                <w:szCs w:val="20"/>
              </w:rPr>
              <w:t>15</w:t>
            </w:r>
          </w:p>
        </w:tc>
        <w:tc>
          <w:tcPr>
            <w:tcW w:w="406" w:type="dxa"/>
            <w:vAlign w:val="top"/>
          </w:tcPr>
          <w:p w14:paraId="392C6222">
            <w:pPr>
              <w:pStyle w:val="6"/>
              <w:spacing w:before="219" w:line="195" w:lineRule="auto"/>
              <w:ind w:left="119"/>
              <w:rPr>
                <w:sz w:val="20"/>
                <w:szCs w:val="20"/>
              </w:rPr>
            </w:pPr>
            <w:r>
              <w:rPr>
                <w:spacing w:val="-8"/>
                <w:sz w:val="20"/>
                <w:szCs w:val="20"/>
              </w:rPr>
              <w:t>15</w:t>
            </w:r>
          </w:p>
        </w:tc>
        <w:tc>
          <w:tcPr>
            <w:tcW w:w="402" w:type="dxa"/>
            <w:vAlign w:val="top"/>
          </w:tcPr>
          <w:p w14:paraId="10F2A380">
            <w:pPr>
              <w:pStyle w:val="6"/>
              <w:spacing w:before="219" w:line="195" w:lineRule="auto"/>
              <w:ind w:left="116"/>
              <w:rPr>
                <w:sz w:val="20"/>
                <w:szCs w:val="20"/>
              </w:rPr>
            </w:pPr>
            <w:r>
              <w:rPr>
                <w:spacing w:val="-8"/>
                <w:sz w:val="20"/>
                <w:szCs w:val="20"/>
              </w:rPr>
              <w:t>15</w:t>
            </w:r>
          </w:p>
        </w:tc>
        <w:tc>
          <w:tcPr>
            <w:tcW w:w="420" w:type="dxa"/>
            <w:vAlign w:val="top"/>
          </w:tcPr>
          <w:p w14:paraId="01DF182F">
            <w:pPr>
              <w:pStyle w:val="6"/>
              <w:spacing w:before="219" w:line="195" w:lineRule="auto"/>
              <w:ind w:left="127"/>
              <w:rPr>
                <w:sz w:val="20"/>
                <w:szCs w:val="20"/>
              </w:rPr>
            </w:pPr>
            <w:r>
              <w:rPr>
                <w:spacing w:val="-8"/>
                <w:sz w:val="20"/>
                <w:szCs w:val="20"/>
              </w:rPr>
              <w:t>15</w:t>
            </w:r>
          </w:p>
        </w:tc>
        <w:tc>
          <w:tcPr>
            <w:tcW w:w="420" w:type="dxa"/>
            <w:vAlign w:val="top"/>
          </w:tcPr>
          <w:p w14:paraId="5F68114F">
            <w:pPr>
              <w:pStyle w:val="6"/>
              <w:spacing w:before="97" w:line="195" w:lineRule="auto"/>
              <w:ind w:left="32"/>
              <w:rPr>
                <w:sz w:val="20"/>
                <w:szCs w:val="20"/>
              </w:rPr>
            </w:pPr>
            <w:r>
              <w:rPr>
                <w:spacing w:val="2"/>
                <w:sz w:val="20"/>
                <w:szCs w:val="20"/>
              </w:rPr>
              <w:t>60.2</w:t>
            </w:r>
          </w:p>
          <w:p w14:paraId="72EDA8EB">
            <w:pPr>
              <w:pStyle w:val="6"/>
              <w:spacing w:before="58" w:line="192" w:lineRule="auto"/>
              <w:ind w:left="163"/>
              <w:rPr>
                <w:sz w:val="20"/>
                <w:szCs w:val="20"/>
              </w:rPr>
            </w:pPr>
            <w:r>
              <w:rPr>
                <w:sz w:val="20"/>
                <w:szCs w:val="20"/>
              </w:rPr>
              <w:t>5</w:t>
            </w:r>
          </w:p>
        </w:tc>
        <w:tc>
          <w:tcPr>
            <w:tcW w:w="422" w:type="dxa"/>
            <w:vAlign w:val="top"/>
          </w:tcPr>
          <w:p w14:paraId="027C22C8">
            <w:pPr>
              <w:pStyle w:val="6"/>
              <w:spacing w:before="97" w:line="195" w:lineRule="auto"/>
              <w:ind w:left="32"/>
              <w:rPr>
                <w:sz w:val="20"/>
                <w:szCs w:val="20"/>
              </w:rPr>
            </w:pPr>
            <w:r>
              <w:rPr>
                <w:spacing w:val="2"/>
                <w:sz w:val="20"/>
                <w:szCs w:val="20"/>
              </w:rPr>
              <w:t>60.2</w:t>
            </w:r>
          </w:p>
          <w:p w14:paraId="7A6AFCD1">
            <w:pPr>
              <w:pStyle w:val="6"/>
              <w:spacing w:before="58" w:line="192" w:lineRule="auto"/>
              <w:ind w:left="165"/>
              <w:rPr>
                <w:sz w:val="20"/>
                <w:szCs w:val="20"/>
              </w:rPr>
            </w:pPr>
            <w:r>
              <w:rPr>
                <w:sz w:val="20"/>
                <w:szCs w:val="20"/>
              </w:rPr>
              <w:t>5</w:t>
            </w:r>
          </w:p>
        </w:tc>
        <w:tc>
          <w:tcPr>
            <w:tcW w:w="420" w:type="dxa"/>
            <w:vAlign w:val="top"/>
          </w:tcPr>
          <w:p w14:paraId="733C9D23">
            <w:pPr>
              <w:pStyle w:val="6"/>
              <w:spacing w:before="97" w:line="195" w:lineRule="auto"/>
              <w:ind w:left="32"/>
              <w:rPr>
                <w:sz w:val="20"/>
                <w:szCs w:val="20"/>
              </w:rPr>
            </w:pPr>
            <w:r>
              <w:rPr>
                <w:spacing w:val="2"/>
                <w:sz w:val="20"/>
                <w:szCs w:val="20"/>
              </w:rPr>
              <w:t>71.5</w:t>
            </w:r>
          </w:p>
          <w:p w14:paraId="41E6340C">
            <w:pPr>
              <w:pStyle w:val="6"/>
              <w:spacing w:before="55" w:line="195" w:lineRule="auto"/>
              <w:ind w:left="158"/>
              <w:rPr>
                <w:sz w:val="20"/>
                <w:szCs w:val="20"/>
              </w:rPr>
            </w:pPr>
            <w:r>
              <w:rPr>
                <w:sz w:val="20"/>
                <w:szCs w:val="20"/>
              </w:rPr>
              <w:t>2</w:t>
            </w:r>
          </w:p>
        </w:tc>
        <w:tc>
          <w:tcPr>
            <w:tcW w:w="422" w:type="dxa"/>
            <w:vAlign w:val="top"/>
          </w:tcPr>
          <w:p w14:paraId="79AED784">
            <w:pPr>
              <w:pStyle w:val="6"/>
              <w:spacing w:before="97" w:line="195" w:lineRule="auto"/>
              <w:ind w:left="32"/>
              <w:rPr>
                <w:sz w:val="20"/>
                <w:szCs w:val="20"/>
              </w:rPr>
            </w:pPr>
            <w:r>
              <w:rPr>
                <w:spacing w:val="2"/>
                <w:sz w:val="20"/>
                <w:szCs w:val="20"/>
              </w:rPr>
              <w:t>71.5</w:t>
            </w:r>
          </w:p>
          <w:p w14:paraId="1F647069">
            <w:pPr>
              <w:pStyle w:val="6"/>
              <w:spacing w:before="55" w:line="195" w:lineRule="auto"/>
              <w:ind w:left="160"/>
              <w:rPr>
                <w:sz w:val="20"/>
                <w:szCs w:val="20"/>
              </w:rPr>
            </w:pPr>
            <w:r>
              <w:rPr>
                <w:sz w:val="20"/>
                <w:szCs w:val="20"/>
              </w:rPr>
              <w:t>2</w:t>
            </w:r>
          </w:p>
        </w:tc>
        <w:tc>
          <w:tcPr>
            <w:tcW w:w="422" w:type="dxa"/>
            <w:vAlign w:val="top"/>
          </w:tcPr>
          <w:p w14:paraId="1FADB34C">
            <w:pPr>
              <w:pStyle w:val="6"/>
              <w:spacing w:before="216" w:line="199" w:lineRule="auto"/>
              <w:ind w:left="178"/>
              <w:rPr>
                <w:sz w:val="20"/>
                <w:szCs w:val="20"/>
              </w:rPr>
            </w:pPr>
            <w:r>
              <w:rPr>
                <w:spacing w:val="2"/>
                <w:sz w:val="20"/>
                <w:szCs w:val="20"/>
              </w:rPr>
              <w:t>/</w:t>
            </w:r>
          </w:p>
        </w:tc>
        <w:tc>
          <w:tcPr>
            <w:tcW w:w="418" w:type="dxa"/>
            <w:tcBorders>
              <w:right w:val="nil"/>
            </w:tcBorders>
            <w:vAlign w:val="top"/>
          </w:tcPr>
          <w:p w14:paraId="4AA24FFE">
            <w:pPr>
              <w:pStyle w:val="6"/>
              <w:spacing w:before="216" w:line="199" w:lineRule="auto"/>
              <w:ind w:left="181"/>
              <w:rPr>
                <w:sz w:val="20"/>
                <w:szCs w:val="20"/>
              </w:rPr>
            </w:pPr>
            <w:r>
              <w:rPr>
                <w:spacing w:val="2"/>
                <w:sz w:val="20"/>
                <w:szCs w:val="20"/>
              </w:rPr>
              <w:t>/</w:t>
            </w:r>
          </w:p>
        </w:tc>
      </w:tr>
      <w:tr w14:paraId="722F0D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389" w:type="dxa"/>
            <w:tcBorders>
              <w:left w:val="nil"/>
              <w:bottom w:val="single" w:color="000000" w:sz="10" w:space="0"/>
            </w:tcBorders>
            <w:textDirection w:val="tbRlV"/>
            <w:vAlign w:val="top"/>
          </w:tcPr>
          <w:p w14:paraId="44D1CF82">
            <w:pPr>
              <w:spacing w:before="89" w:line="210" w:lineRule="auto"/>
              <w:ind w:left="51"/>
              <w:rPr>
                <w:rFonts w:ascii="仿宋" w:hAnsi="仿宋" w:eastAsia="仿宋" w:cs="仿宋"/>
                <w:sz w:val="20"/>
                <w:szCs w:val="20"/>
              </w:rPr>
            </w:pPr>
            <w:r>
              <w:rPr>
                <w:rFonts w:ascii="仿宋" w:hAnsi="仿宋" w:eastAsia="仿宋" w:cs="仿宋"/>
                <w:spacing w:val="13"/>
                <w:sz w:val="20"/>
                <w:szCs w:val="20"/>
              </w:rPr>
              <w:t>远</w:t>
            </w:r>
            <w:r>
              <w:rPr>
                <w:rFonts w:ascii="仿宋" w:hAnsi="仿宋" w:eastAsia="仿宋" w:cs="仿宋"/>
                <w:spacing w:val="-40"/>
                <w:sz w:val="20"/>
                <w:szCs w:val="20"/>
              </w:rPr>
              <w:t xml:space="preserve"> </w:t>
            </w:r>
            <w:r>
              <w:rPr>
                <w:rFonts w:ascii="仿宋" w:hAnsi="仿宋" w:eastAsia="仿宋" w:cs="仿宋"/>
                <w:spacing w:val="13"/>
                <w:sz w:val="20"/>
                <w:szCs w:val="20"/>
              </w:rPr>
              <w:t>期</w:t>
            </w:r>
          </w:p>
        </w:tc>
        <w:tc>
          <w:tcPr>
            <w:tcW w:w="381" w:type="dxa"/>
            <w:tcBorders>
              <w:bottom w:val="single" w:color="000000" w:sz="10" w:space="0"/>
            </w:tcBorders>
            <w:vAlign w:val="top"/>
          </w:tcPr>
          <w:p w14:paraId="0A3A779F">
            <w:pPr>
              <w:pStyle w:val="6"/>
              <w:spacing w:before="224" w:line="195" w:lineRule="auto"/>
              <w:ind w:left="107"/>
              <w:rPr>
                <w:sz w:val="20"/>
                <w:szCs w:val="20"/>
              </w:rPr>
            </w:pPr>
            <w:r>
              <w:rPr>
                <w:spacing w:val="-8"/>
                <w:sz w:val="20"/>
                <w:szCs w:val="20"/>
              </w:rPr>
              <w:t>13</w:t>
            </w:r>
          </w:p>
        </w:tc>
        <w:tc>
          <w:tcPr>
            <w:tcW w:w="384" w:type="dxa"/>
            <w:tcBorders>
              <w:bottom w:val="single" w:color="000000" w:sz="10" w:space="0"/>
            </w:tcBorders>
            <w:vAlign w:val="top"/>
          </w:tcPr>
          <w:p w14:paraId="5136EC09">
            <w:pPr>
              <w:pStyle w:val="6"/>
              <w:spacing w:before="224" w:line="195" w:lineRule="auto"/>
              <w:ind w:left="145"/>
              <w:rPr>
                <w:sz w:val="20"/>
                <w:szCs w:val="20"/>
              </w:rPr>
            </w:pPr>
            <w:r>
              <w:rPr>
                <w:sz w:val="20"/>
                <w:szCs w:val="20"/>
              </w:rPr>
              <w:t>6</w:t>
            </w:r>
          </w:p>
        </w:tc>
        <w:tc>
          <w:tcPr>
            <w:tcW w:w="275" w:type="dxa"/>
            <w:tcBorders>
              <w:bottom w:val="single" w:color="000000" w:sz="10" w:space="0"/>
            </w:tcBorders>
            <w:vAlign w:val="top"/>
          </w:tcPr>
          <w:p w14:paraId="7230C7B6">
            <w:pPr>
              <w:pStyle w:val="6"/>
              <w:spacing w:before="224" w:line="195" w:lineRule="auto"/>
              <w:ind w:left="87"/>
              <w:rPr>
                <w:sz w:val="20"/>
                <w:szCs w:val="20"/>
              </w:rPr>
            </w:pPr>
            <w:r>
              <w:rPr>
                <w:sz w:val="20"/>
                <w:szCs w:val="20"/>
              </w:rPr>
              <w:t>2</w:t>
            </w:r>
          </w:p>
        </w:tc>
        <w:tc>
          <w:tcPr>
            <w:tcW w:w="331" w:type="dxa"/>
            <w:tcBorders>
              <w:bottom w:val="single" w:color="000000" w:sz="10" w:space="0"/>
            </w:tcBorders>
            <w:vAlign w:val="top"/>
          </w:tcPr>
          <w:p w14:paraId="6EBE3C3C">
            <w:pPr>
              <w:pStyle w:val="6"/>
              <w:spacing w:before="224" w:line="195" w:lineRule="auto"/>
              <w:ind w:left="135"/>
              <w:rPr>
                <w:sz w:val="20"/>
                <w:szCs w:val="20"/>
              </w:rPr>
            </w:pPr>
            <w:r>
              <w:rPr>
                <w:sz w:val="20"/>
                <w:szCs w:val="20"/>
              </w:rPr>
              <w:t>1</w:t>
            </w:r>
          </w:p>
        </w:tc>
        <w:tc>
          <w:tcPr>
            <w:tcW w:w="333" w:type="dxa"/>
            <w:tcBorders>
              <w:bottom w:val="single" w:color="000000" w:sz="10" w:space="0"/>
            </w:tcBorders>
            <w:vAlign w:val="top"/>
          </w:tcPr>
          <w:p w14:paraId="43CD33FF">
            <w:pPr>
              <w:pStyle w:val="6"/>
              <w:spacing w:before="224" w:line="195" w:lineRule="auto"/>
              <w:ind w:left="118"/>
              <w:rPr>
                <w:sz w:val="20"/>
                <w:szCs w:val="20"/>
              </w:rPr>
            </w:pPr>
            <w:r>
              <w:rPr>
                <w:sz w:val="20"/>
                <w:szCs w:val="20"/>
              </w:rPr>
              <w:t>0</w:t>
            </w:r>
          </w:p>
        </w:tc>
        <w:tc>
          <w:tcPr>
            <w:tcW w:w="367" w:type="dxa"/>
            <w:tcBorders>
              <w:bottom w:val="single" w:color="000000" w:sz="10" w:space="0"/>
            </w:tcBorders>
            <w:vAlign w:val="top"/>
          </w:tcPr>
          <w:p w14:paraId="79FCF831">
            <w:pPr>
              <w:pStyle w:val="6"/>
              <w:spacing w:before="224" w:line="195" w:lineRule="auto"/>
              <w:ind w:left="136"/>
              <w:rPr>
                <w:sz w:val="20"/>
                <w:szCs w:val="20"/>
              </w:rPr>
            </w:pPr>
            <w:r>
              <w:rPr>
                <w:sz w:val="20"/>
                <w:szCs w:val="20"/>
              </w:rPr>
              <w:t>0</w:t>
            </w:r>
          </w:p>
        </w:tc>
        <w:tc>
          <w:tcPr>
            <w:tcW w:w="401" w:type="dxa"/>
            <w:tcBorders>
              <w:bottom w:val="single" w:color="000000" w:sz="10" w:space="0"/>
            </w:tcBorders>
            <w:vAlign w:val="top"/>
          </w:tcPr>
          <w:p w14:paraId="1D49D00D">
            <w:pPr>
              <w:pStyle w:val="6"/>
              <w:spacing w:before="224" w:line="195" w:lineRule="auto"/>
              <w:ind w:left="117"/>
              <w:rPr>
                <w:sz w:val="20"/>
                <w:szCs w:val="20"/>
              </w:rPr>
            </w:pPr>
            <w:r>
              <w:rPr>
                <w:spacing w:val="-8"/>
                <w:sz w:val="20"/>
                <w:szCs w:val="20"/>
              </w:rPr>
              <w:t>15</w:t>
            </w:r>
          </w:p>
        </w:tc>
        <w:tc>
          <w:tcPr>
            <w:tcW w:w="417" w:type="dxa"/>
            <w:tcBorders>
              <w:bottom w:val="single" w:color="000000" w:sz="10" w:space="0"/>
            </w:tcBorders>
            <w:vAlign w:val="top"/>
          </w:tcPr>
          <w:p w14:paraId="4D9BD5BF">
            <w:pPr>
              <w:pStyle w:val="6"/>
              <w:spacing w:before="227" w:line="192" w:lineRule="auto"/>
              <w:ind w:left="160"/>
              <w:rPr>
                <w:sz w:val="20"/>
                <w:szCs w:val="20"/>
              </w:rPr>
            </w:pPr>
            <w:r>
              <w:rPr>
                <w:sz w:val="20"/>
                <w:szCs w:val="20"/>
              </w:rPr>
              <w:t>7</w:t>
            </w:r>
          </w:p>
        </w:tc>
        <w:tc>
          <w:tcPr>
            <w:tcW w:w="402" w:type="dxa"/>
            <w:tcBorders>
              <w:bottom w:val="single" w:color="000000" w:sz="10" w:space="0"/>
            </w:tcBorders>
            <w:vAlign w:val="top"/>
          </w:tcPr>
          <w:p w14:paraId="6CD80782">
            <w:pPr>
              <w:pStyle w:val="6"/>
              <w:spacing w:before="224" w:line="195" w:lineRule="auto"/>
              <w:ind w:left="117"/>
              <w:rPr>
                <w:sz w:val="20"/>
                <w:szCs w:val="20"/>
              </w:rPr>
            </w:pPr>
            <w:r>
              <w:rPr>
                <w:spacing w:val="-8"/>
                <w:sz w:val="20"/>
                <w:szCs w:val="20"/>
              </w:rPr>
              <w:t>15</w:t>
            </w:r>
          </w:p>
        </w:tc>
        <w:tc>
          <w:tcPr>
            <w:tcW w:w="406" w:type="dxa"/>
            <w:tcBorders>
              <w:bottom w:val="single" w:color="000000" w:sz="10" w:space="0"/>
            </w:tcBorders>
            <w:vAlign w:val="top"/>
          </w:tcPr>
          <w:p w14:paraId="5BBAC427">
            <w:pPr>
              <w:pStyle w:val="6"/>
              <w:spacing w:before="224" w:line="195" w:lineRule="auto"/>
              <w:ind w:left="118"/>
              <w:rPr>
                <w:sz w:val="20"/>
                <w:szCs w:val="20"/>
              </w:rPr>
            </w:pPr>
            <w:r>
              <w:rPr>
                <w:spacing w:val="-8"/>
                <w:sz w:val="20"/>
                <w:szCs w:val="20"/>
              </w:rPr>
              <w:t>15</w:t>
            </w:r>
          </w:p>
        </w:tc>
        <w:tc>
          <w:tcPr>
            <w:tcW w:w="402" w:type="dxa"/>
            <w:tcBorders>
              <w:bottom w:val="single" w:color="000000" w:sz="10" w:space="0"/>
            </w:tcBorders>
            <w:vAlign w:val="top"/>
          </w:tcPr>
          <w:p w14:paraId="5436076A">
            <w:pPr>
              <w:pStyle w:val="6"/>
              <w:spacing w:before="224" w:line="195" w:lineRule="auto"/>
              <w:ind w:left="118"/>
              <w:rPr>
                <w:sz w:val="20"/>
                <w:szCs w:val="20"/>
              </w:rPr>
            </w:pPr>
            <w:r>
              <w:rPr>
                <w:spacing w:val="-8"/>
                <w:sz w:val="20"/>
                <w:szCs w:val="20"/>
              </w:rPr>
              <w:t>15</w:t>
            </w:r>
          </w:p>
        </w:tc>
        <w:tc>
          <w:tcPr>
            <w:tcW w:w="406" w:type="dxa"/>
            <w:tcBorders>
              <w:bottom w:val="single" w:color="000000" w:sz="10" w:space="0"/>
            </w:tcBorders>
            <w:vAlign w:val="top"/>
          </w:tcPr>
          <w:p w14:paraId="319F5213">
            <w:pPr>
              <w:pStyle w:val="6"/>
              <w:spacing w:before="224" w:line="195" w:lineRule="auto"/>
              <w:ind w:left="119"/>
              <w:rPr>
                <w:sz w:val="20"/>
                <w:szCs w:val="20"/>
              </w:rPr>
            </w:pPr>
            <w:r>
              <w:rPr>
                <w:spacing w:val="-8"/>
                <w:sz w:val="20"/>
                <w:szCs w:val="20"/>
              </w:rPr>
              <w:t>15</w:t>
            </w:r>
          </w:p>
        </w:tc>
        <w:tc>
          <w:tcPr>
            <w:tcW w:w="402" w:type="dxa"/>
            <w:tcBorders>
              <w:bottom w:val="single" w:color="000000" w:sz="10" w:space="0"/>
            </w:tcBorders>
            <w:vAlign w:val="top"/>
          </w:tcPr>
          <w:p w14:paraId="6AF85FD1">
            <w:pPr>
              <w:pStyle w:val="6"/>
              <w:spacing w:before="224" w:line="195" w:lineRule="auto"/>
              <w:ind w:left="116"/>
              <w:rPr>
                <w:sz w:val="20"/>
                <w:szCs w:val="20"/>
              </w:rPr>
            </w:pPr>
            <w:r>
              <w:rPr>
                <w:spacing w:val="-8"/>
                <w:sz w:val="20"/>
                <w:szCs w:val="20"/>
              </w:rPr>
              <w:t>15</w:t>
            </w:r>
          </w:p>
        </w:tc>
        <w:tc>
          <w:tcPr>
            <w:tcW w:w="420" w:type="dxa"/>
            <w:tcBorders>
              <w:bottom w:val="single" w:color="000000" w:sz="10" w:space="0"/>
            </w:tcBorders>
            <w:vAlign w:val="top"/>
          </w:tcPr>
          <w:p w14:paraId="2E168D12">
            <w:pPr>
              <w:pStyle w:val="6"/>
              <w:spacing w:before="224" w:line="195" w:lineRule="auto"/>
              <w:ind w:left="127"/>
              <w:rPr>
                <w:sz w:val="20"/>
                <w:szCs w:val="20"/>
              </w:rPr>
            </w:pPr>
            <w:r>
              <w:rPr>
                <w:spacing w:val="-8"/>
                <w:sz w:val="20"/>
                <w:szCs w:val="20"/>
              </w:rPr>
              <w:t>15</w:t>
            </w:r>
          </w:p>
        </w:tc>
        <w:tc>
          <w:tcPr>
            <w:tcW w:w="420" w:type="dxa"/>
            <w:tcBorders>
              <w:bottom w:val="single" w:color="000000" w:sz="10" w:space="0"/>
            </w:tcBorders>
            <w:vAlign w:val="top"/>
          </w:tcPr>
          <w:p w14:paraId="0DE42AD4">
            <w:pPr>
              <w:pStyle w:val="6"/>
              <w:spacing w:before="104" w:line="195" w:lineRule="auto"/>
              <w:ind w:left="32"/>
              <w:rPr>
                <w:sz w:val="20"/>
                <w:szCs w:val="20"/>
              </w:rPr>
            </w:pPr>
            <w:r>
              <w:rPr>
                <w:spacing w:val="2"/>
                <w:sz w:val="20"/>
                <w:szCs w:val="20"/>
              </w:rPr>
              <w:t>60.2</w:t>
            </w:r>
          </w:p>
          <w:p w14:paraId="22C89F72">
            <w:pPr>
              <w:pStyle w:val="6"/>
              <w:spacing w:before="55" w:line="192" w:lineRule="auto"/>
              <w:ind w:left="163"/>
              <w:rPr>
                <w:sz w:val="20"/>
                <w:szCs w:val="20"/>
              </w:rPr>
            </w:pPr>
            <w:r>
              <w:rPr>
                <w:sz w:val="20"/>
                <w:szCs w:val="20"/>
              </w:rPr>
              <w:t>5</w:t>
            </w:r>
          </w:p>
        </w:tc>
        <w:tc>
          <w:tcPr>
            <w:tcW w:w="422" w:type="dxa"/>
            <w:tcBorders>
              <w:bottom w:val="single" w:color="000000" w:sz="10" w:space="0"/>
            </w:tcBorders>
            <w:vAlign w:val="top"/>
          </w:tcPr>
          <w:p w14:paraId="19646BF8">
            <w:pPr>
              <w:pStyle w:val="6"/>
              <w:spacing w:before="104" w:line="195" w:lineRule="auto"/>
              <w:ind w:left="32"/>
              <w:rPr>
                <w:sz w:val="20"/>
                <w:szCs w:val="20"/>
              </w:rPr>
            </w:pPr>
            <w:r>
              <w:rPr>
                <w:spacing w:val="2"/>
                <w:sz w:val="20"/>
                <w:szCs w:val="20"/>
              </w:rPr>
              <w:t>60.2</w:t>
            </w:r>
          </w:p>
          <w:p w14:paraId="49A80A53">
            <w:pPr>
              <w:pStyle w:val="6"/>
              <w:spacing w:before="55" w:line="192" w:lineRule="auto"/>
              <w:ind w:left="165"/>
              <w:rPr>
                <w:sz w:val="20"/>
                <w:szCs w:val="20"/>
              </w:rPr>
            </w:pPr>
            <w:r>
              <w:rPr>
                <w:sz w:val="20"/>
                <w:szCs w:val="20"/>
              </w:rPr>
              <w:t>5</w:t>
            </w:r>
          </w:p>
        </w:tc>
        <w:tc>
          <w:tcPr>
            <w:tcW w:w="420" w:type="dxa"/>
            <w:tcBorders>
              <w:bottom w:val="single" w:color="000000" w:sz="10" w:space="0"/>
            </w:tcBorders>
            <w:vAlign w:val="top"/>
          </w:tcPr>
          <w:p w14:paraId="24225B0F">
            <w:pPr>
              <w:pStyle w:val="6"/>
              <w:spacing w:before="104" w:line="195" w:lineRule="auto"/>
              <w:ind w:left="32"/>
              <w:rPr>
                <w:sz w:val="20"/>
                <w:szCs w:val="20"/>
              </w:rPr>
            </w:pPr>
            <w:r>
              <w:rPr>
                <w:spacing w:val="2"/>
                <w:sz w:val="20"/>
                <w:szCs w:val="20"/>
              </w:rPr>
              <w:t>71.5</w:t>
            </w:r>
          </w:p>
          <w:p w14:paraId="58F3305E">
            <w:pPr>
              <w:pStyle w:val="6"/>
              <w:spacing w:before="53" w:line="195" w:lineRule="auto"/>
              <w:ind w:left="158"/>
              <w:rPr>
                <w:sz w:val="20"/>
                <w:szCs w:val="20"/>
              </w:rPr>
            </w:pPr>
            <w:r>
              <w:rPr>
                <w:sz w:val="20"/>
                <w:szCs w:val="20"/>
              </w:rPr>
              <w:t>2</w:t>
            </w:r>
          </w:p>
        </w:tc>
        <w:tc>
          <w:tcPr>
            <w:tcW w:w="422" w:type="dxa"/>
            <w:tcBorders>
              <w:bottom w:val="single" w:color="000000" w:sz="10" w:space="0"/>
            </w:tcBorders>
            <w:vAlign w:val="top"/>
          </w:tcPr>
          <w:p w14:paraId="5E2223A1">
            <w:pPr>
              <w:pStyle w:val="6"/>
              <w:spacing w:before="104" w:line="195" w:lineRule="auto"/>
              <w:ind w:left="32"/>
              <w:rPr>
                <w:sz w:val="20"/>
                <w:szCs w:val="20"/>
              </w:rPr>
            </w:pPr>
            <w:r>
              <w:rPr>
                <w:spacing w:val="2"/>
                <w:sz w:val="20"/>
                <w:szCs w:val="20"/>
              </w:rPr>
              <w:t>71.5</w:t>
            </w:r>
          </w:p>
          <w:p w14:paraId="245C6820">
            <w:pPr>
              <w:pStyle w:val="6"/>
              <w:spacing w:before="53" w:line="195" w:lineRule="auto"/>
              <w:ind w:left="160"/>
              <w:rPr>
                <w:sz w:val="20"/>
                <w:szCs w:val="20"/>
              </w:rPr>
            </w:pPr>
            <w:r>
              <w:rPr>
                <w:sz w:val="20"/>
                <w:szCs w:val="20"/>
              </w:rPr>
              <w:t>2</w:t>
            </w:r>
          </w:p>
        </w:tc>
        <w:tc>
          <w:tcPr>
            <w:tcW w:w="422" w:type="dxa"/>
            <w:tcBorders>
              <w:bottom w:val="single" w:color="000000" w:sz="10" w:space="0"/>
            </w:tcBorders>
            <w:vAlign w:val="top"/>
          </w:tcPr>
          <w:p w14:paraId="1A7F1B49">
            <w:pPr>
              <w:pStyle w:val="6"/>
              <w:spacing w:before="220" w:line="199" w:lineRule="auto"/>
              <w:ind w:left="178"/>
              <w:rPr>
                <w:sz w:val="20"/>
                <w:szCs w:val="20"/>
              </w:rPr>
            </w:pPr>
            <w:r>
              <w:rPr>
                <w:spacing w:val="2"/>
                <w:sz w:val="20"/>
                <w:szCs w:val="20"/>
              </w:rPr>
              <w:t>/</w:t>
            </w:r>
          </w:p>
        </w:tc>
        <w:tc>
          <w:tcPr>
            <w:tcW w:w="418" w:type="dxa"/>
            <w:tcBorders>
              <w:bottom w:val="single" w:color="000000" w:sz="10" w:space="0"/>
              <w:right w:val="nil"/>
            </w:tcBorders>
            <w:vAlign w:val="top"/>
          </w:tcPr>
          <w:p w14:paraId="290A26E1">
            <w:pPr>
              <w:pStyle w:val="6"/>
              <w:spacing w:before="220" w:line="199" w:lineRule="auto"/>
              <w:ind w:left="181"/>
              <w:rPr>
                <w:sz w:val="20"/>
                <w:szCs w:val="20"/>
              </w:rPr>
            </w:pPr>
            <w:r>
              <w:rPr>
                <w:spacing w:val="2"/>
                <w:sz w:val="20"/>
                <w:szCs w:val="20"/>
              </w:rPr>
              <w:t>/</w:t>
            </w:r>
          </w:p>
        </w:tc>
      </w:tr>
    </w:tbl>
    <w:p w14:paraId="2A91FF82">
      <w:pPr>
        <w:pStyle w:val="2"/>
        <w:rPr>
          <w:sz w:val="21"/>
        </w:rPr>
      </w:pPr>
    </w:p>
    <w:p w14:paraId="06C84324">
      <w:pPr>
        <w:rPr>
          <w:sz w:val="21"/>
          <w:szCs w:val="21"/>
        </w:rPr>
        <w:sectPr>
          <w:footerReference r:id="rId157" w:type="default"/>
          <w:pgSz w:w="11906" w:h="16839"/>
          <w:pgMar w:top="400" w:right="1702" w:bottom="1370" w:left="1785" w:header="0" w:footer="1207" w:gutter="0"/>
          <w:cols w:space="720" w:num="1"/>
        </w:sectPr>
      </w:pPr>
    </w:p>
    <w:p w14:paraId="6C8B8876">
      <w:pPr>
        <w:pStyle w:val="2"/>
        <w:spacing w:line="262" w:lineRule="auto"/>
        <w:rPr>
          <w:sz w:val="21"/>
        </w:rPr>
      </w:pPr>
    </w:p>
    <w:p w14:paraId="602DF107">
      <w:pPr>
        <w:pStyle w:val="2"/>
        <w:spacing w:line="262" w:lineRule="auto"/>
        <w:rPr>
          <w:sz w:val="21"/>
        </w:rPr>
      </w:pPr>
    </w:p>
    <w:p w14:paraId="2922A091">
      <w:pPr>
        <w:pStyle w:val="2"/>
        <w:spacing w:line="263" w:lineRule="auto"/>
        <w:rPr>
          <w:sz w:val="21"/>
        </w:rPr>
      </w:pPr>
    </w:p>
    <w:p w14:paraId="650C1057">
      <w:pPr>
        <w:pStyle w:val="2"/>
        <w:spacing w:line="263" w:lineRule="auto"/>
        <w:rPr>
          <w:sz w:val="21"/>
        </w:rPr>
      </w:pPr>
    </w:p>
    <w:p w14:paraId="62F8D84C">
      <w:pPr>
        <w:spacing w:before="113" w:line="228" w:lineRule="auto"/>
        <w:ind w:left="33"/>
        <w:outlineLvl w:val="0"/>
        <w:rPr>
          <w:rFonts w:ascii="仿宋" w:hAnsi="仿宋" w:eastAsia="仿宋" w:cs="仿宋"/>
          <w:sz w:val="35"/>
          <w:szCs w:val="35"/>
        </w:rPr>
      </w:pPr>
      <w:bookmarkStart w:id="30" w:name="bookmark34"/>
      <w:bookmarkEnd w:id="30"/>
      <w:bookmarkStart w:id="31" w:name="bookmark33"/>
      <w:bookmarkEnd w:id="31"/>
      <w:r>
        <w:rPr>
          <w:rFonts w:ascii="仿宋" w:hAnsi="仿宋" w:eastAsia="仿宋" w:cs="仿宋"/>
          <w:b/>
          <w:bCs/>
          <w:spacing w:val="5"/>
          <w:sz w:val="35"/>
          <w:szCs w:val="35"/>
        </w:rPr>
        <w:t>3</w:t>
      </w:r>
      <w:r>
        <w:rPr>
          <w:rFonts w:ascii="仿宋" w:hAnsi="仿宋" w:eastAsia="仿宋" w:cs="仿宋"/>
          <w:spacing w:val="5"/>
          <w:sz w:val="35"/>
          <w:szCs w:val="35"/>
        </w:rPr>
        <w:t xml:space="preserve"> </w:t>
      </w:r>
      <w:r>
        <w:rPr>
          <w:rFonts w:ascii="仿宋" w:hAnsi="仿宋" w:eastAsia="仿宋" w:cs="仿宋"/>
          <w:b/>
          <w:bCs/>
          <w:spacing w:val="5"/>
          <w:sz w:val="35"/>
          <w:szCs w:val="35"/>
        </w:rPr>
        <w:t>声环境质量现状调查与评价</w:t>
      </w:r>
    </w:p>
    <w:p w14:paraId="269BE86E">
      <w:pPr>
        <w:spacing w:before="315" w:line="228" w:lineRule="auto"/>
        <w:ind w:left="31"/>
        <w:outlineLvl w:val="1"/>
        <w:rPr>
          <w:rFonts w:ascii="仿宋" w:hAnsi="仿宋" w:eastAsia="仿宋" w:cs="仿宋"/>
          <w:sz w:val="31"/>
          <w:szCs w:val="31"/>
        </w:rPr>
      </w:pPr>
      <w:r>
        <w:rPr>
          <w:rFonts w:ascii="仿宋" w:hAnsi="仿宋" w:eastAsia="仿宋" w:cs="仿宋"/>
          <w:b/>
          <w:bCs/>
          <w:spacing w:val="4"/>
          <w:sz w:val="31"/>
          <w:szCs w:val="31"/>
        </w:rPr>
        <w:t>3.1</w:t>
      </w:r>
      <w:r>
        <w:rPr>
          <w:rFonts w:ascii="仿宋" w:hAnsi="仿宋" w:eastAsia="仿宋" w:cs="仿宋"/>
          <w:spacing w:val="4"/>
          <w:sz w:val="31"/>
          <w:szCs w:val="31"/>
        </w:rPr>
        <w:t xml:space="preserve"> </w:t>
      </w:r>
      <w:r>
        <w:rPr>
          <w:rFonts w:ascii="仿宋" w:hAnsi="仿宋" w:eastAsia="仿宋" w:cs="仿宋"/>
          <w:b/>
          <w:bCs/>
          <w:spacing w:val="4"/>
          <w:sz w:val="31"/>
          <w:szCs w:val="31"/>
        </w:rPr>
        <w:t>声环境现状调查</w:t>
      </w:r>
    </w:p>
    <w:p w14:paraId="22E0461E">
      <w:pPr>
        <w:spacing w:before="223" w:line="222" w:lineRule="auto"/>
        <w:ind w:left="514"/>
        <w:rPr>
          <w:rFonts w:ascii="仿宋" w:hAnsi="仿宋" w:eastAsia="仿宋" w:cs="仿宋"/>
          <w:sz w:val="24"/>
          <w:szCs w:val="24"/>
        </w:rPr>
      </w:pPr>
      <w:r>
        <w:rPr>
          <w:rFonts w:ascii="仿宋" w:hAnsi="仿宋" w:eastAsia="仿宋" w:cs="仿宋"/>
          <w:spacing w:val="-2"/>
          <w:sz w:val="24"/>
          <w:szCs w:val="24"/>
        </w:rPr>
        <w:t>（1）沿线主要噪声污染源</w:t>
      </w:r>
    </w:p>
    <w:p w14:paraId="0A2E0D23">
      <w:pPr>
        <w:spacing w:before="177" w:line="352" w:lineRule="auto"/>
        <w:ind w:left="29" w:right="51" w:firstLine="480"/>
        <w:rPr>
          <w:rFonts w:ascii="仿宋" w:hAnsi="仿宋" w:eastAsia="仿宋" w:cs="仿宋"/>
          <w:sz w:val="24"/>
          <w:szCs w:val="24"/>
        </w:rPr>
      </w:pPr>
      <w:r>
        <w:rPr>
          <w:rFonts w:ascii="仿宋" w:hAnsi="仿宋" w:eastAsia="仿宋" w:cs="仿宋"/>
          <w:spacing w:val="-3"/>
          <w:sz w:val="24"/>
          <w:szCs w:val="24"/>
        </w:rPr>
        <w:t>本项目位于准格尔旗沙圪堵镇双山梁村、四道</w:t>
      </w:r>
      <w:r>
        <w:rPr>
          <w:rFonts w:ascii="仿宋" w:hAnsi="仿宋" w:eastAsia="仿宋" w:cs="仿宋"/>
          <w:spacing w:val="-4"/>
          <w:sz w:val="24"/>
          <w:szCs w:val="24"/>
        </w:rPr>
        <w:t>包村、乌拉素村和十二连城乡</w:t>
      </w:r>
      <w:r>
        <w:rPr>
          <w:rFonts w:ascii="仿宋" w:hAnsi="仿宋" w:eastAsia="仿宋" w:cs="仿宋"/>
          <w:spacing w:val="-3"/>
          <w:sz w:val="24"/>
          <w:szCs w:val="24"/>
        </w:rPr>
        <w:t>柴登村、二道拐村、脑包湾村、杨子华村共两镇七村，道路沿线声</w:t>
      </w:r>
      <w:r>
        <w:rPr>
          <w:rFonts w:ascii="仿宋" w:hAnsi="仿宋" w:eastAsia="仿宋" w:cs="仿宋"/>
          <w:spacing w:val="-4"/>
          <w:sz w:val="24"/>
          <w:szCs w:val="24"/>
        </w:rPr>
        <w:t>源主要为农村</w:t>
      </w:r>
      <w:r>
        <w:rPr>
          <w:rFonts w:ascii="仿宋" w:hAnsi="仿宋" w:eastAsia="仿宋" w:cs="仿宋"/>
          <w:spacing w:val="-3"/>
          <w:sz w:val="24"/>
          <w:szCs w:val="24"/>
        </w:rPr>
        <w:t>社会生活噪声和现有交通噪声。其中沿黄公路和兴巴高速为项目所</w:t>
      </w:r>
      <w:r>
        <w:rPr>
          <w:rFonts w:ascii="仿宋" w:hAnsi="仿宋" w:eastAsia="仿宋" w:cs="仿宋"/>
          <w:spacing w:val="-4"/>
          <w:sz w:val="24"/>
          <w:szCs w:val="24"/>
        </w:rPr>
        <w:t>在区域主要交</w:t>
      </w:r>
      <w:r>
        <w:rPr>
          <w:rFonts w:ascii="仿宋" w:hAnsi="仿宋" w:eastAsia="仿宋" w:cs="仿宋"/>
          <w:spacing w:val="1"/>
          <w:sz w:val="24"/>
          <w:szCs w:val="24"/>
        </w:rPr>
        <w:t>通噪声源，分布在十二连城乡所属路段。具体分布情况见图3.1-1。</w:t>
      </w:r>
    </w:p>
    <w:p w14:paraId="0AD68627">
      <w:pPr>
        <w:spacing w:line="6336" w:lineRule="exact"/>
        <w:ind w:firstLine="15"/>
      </w:pPr>
      <w:r>
        <w:rPr>
          <w:position w:val="-126"/>
        </w:rPr>
        <w:drawing>
          <wp:inline distT="0" distB="0" distL="0" distR="0">
            <wp:extent cx="5306060" cy="4022725"/>
            <wp:effectExtent l="0" t="0" r="0" b="0"/>
            <wp:docPr id="204" name="IM 204"/>
            <wp:cNvGraphicFramePr/>
            <a:graphic xmlns:a="http://schemas.openxmlformats.org/drawingml/2006/main">
              <a:graphicData uri="http://schemas.openxmlformats.org/drawingml/2006/picture">
                <pic:pic xmlns:pic="http://schemas.openxmlformats.org/drawingml/2006/picture">
                  <pic:nvPicPr>
                    <pic:cNvPr id="204" name="IM 204"/>
                    <pic:cNvPicPr/>
                  </pic:nvPicPr>
                  <pic:blipFill>
                    <a:blip r:embed="rId368"/>
                    <a:stretch>
                      <a:fillRect/>
                    </a:stretch>
                  </pic:blipFill>
                  <pic:spPr>
                    <a:xfrm>
                      <a:off x="0" y="0"/>
                      <a:ext cx="5306567" cy="4023359"/>
                    </a:xfrm>
                    <a:prstGeom prst="rect">
                      <a:avLst/>
                    </a:prstGeom>
                  </pic:spPr>
                </pic:pic>
              </a:graphicData>
            </a:graphic>
          </wp:inline>
        </w:drawing>
      </w:r>
    </w:p>
    <w:p w14:paraId="321EF836">
      <w:pPr>
        <w:spacing w:before="216" w:line="220" w:lineRule="auto"/>
        <w:ind w:left="1102"/>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46"/>
          <w:sz w:val="24"/>
          <w:szCs w:val="24"/>
        </w:rPr>
        <w:t xml:space="preserve"> </w:t>
      </w:r>
      <w:r>
        <w:rPr>
          <w:rFonts w:ascii="仿宋" w:hAnsi="仿宋" w:eastAsia="仿宋" w:cs="仿宋"/>
          <w:b/>
          <w:bCs/>
          <w:spacing w:val="-3"/>
          <w:sz w:val="24"/>
          <w:szCs w:val="24"/>
        </w:rPr>
        <w:t>3.1-1</w:t>
      </w:r>
      <w:r>
        <w:rPr>
          <w:rFonts w:ascii="仿宋" w:hAnsi="仿宋" w:eastAsia="仿宋" w:cs="仿宋"/>
          <w:spacing w:val="-3"/>
          <w:sz w:val="24"/>
          <w:szCs w:val="24"/>
        </w:rPr>
        <w:t xml:space="preserve">    </w:t>
      </w:r>
      <w:r>
        <w:rPr>
          <w:rFonts w:ascii="仿宋" w:hAnsi="仿宋" w:eastAsia="仿宋" w:cs="仿宋"/>
          <w:b/>
          <w:bCs/>
          <w:spacing w:val="-3"/>
          <w:sz w:val="24"/>
          <w:szCs w:val="24"/>
        </w:rPr>
        <w:t>本项目噪声评价范围内现有交通</w:t>
      </w:r>
      <w:r>
        <w:rPr>
          <w:rFonts w:ascii="仿宋" w:hAnsi="仿宋" w:eastAsia="仿宋" w:cs="仿宋"/>
          <w:b/>
          <w:bCs/>
          <w:spacing w:val="-4"/>
          <w:sz w:val="24"/>
          <w:szCs w:val="24"/>
        </w:rPr>
        <w:t>噪声源分布图</w:t>
      </w:r>
    </w:p>
    <w:p w14:paraId="45188515">
      <w:pPr>
        <w:spacing w:before="180" w:line="222" w:lineRule="auto"/>
        <w:ind w:left="514"/>
        <w:rPr>
          <w:rFonts w:ascii="仿宋" w:hAnsi="仿宋" w:eastAsia="仿宋" w:cs="仿宋"/>
          <w:sz w:val="24"/>
          <w:szCs w:val="24"/>
        </w:rPr>
      </w:pPr>
      <w:r>
        <w:rPr>
          <w:rFonts w:ascii="仿宋" w:hAnsi="仿宋" w:eastAsia="仿宋" w:cs="仿宋"/>
          <w:spacing w:val="-2"/>
          <w:sz w:val="24"/>
          <w:szCs w:val="24"/>
        </w:rPr>
        <w:t>（2）声环境敏感点调查</w:t>
      </w:r>
    </w:p>
    <w:p w14:paraId="50797B1D">
      <w:pPr>
        <w:spacing w:before="180" w:line="359" w:lineRule="auto"/>
        <w:ind w:left="32" w:right="51" w:firstLine="477"/>
        <w:rPr>
          <w:rFonts w:ascii="仿宋" w:hAnsi="仿宋" w:eastAsia="仿宋" w:cs="仿宋"/>
          <w:sz w:val="24"/>
          <w:szCs w:val="24"/>
        </w:rPr>
      </w:pPr>
      <w:r>
        <w:rPr>
          <w:rFonts w:ascii="仿宋" w:hAnsi="仿宋" w:eastAsia="仿宋" w:cs="仿宋"/>
          <w:spacing w:val="4"/>
          <w:sz w:val="24"/>
          <w:szCs w:val="24"/>
        </w:rPr>
        <w:t>经调查，本项目沿线评价范围内声环境敏感点包括散户居民点和村社，共</w:t>
      </w:r>
      <w:r>
        <w:rPr>
          <w:rFonts w:ascii="仿宋" w:hAnsi="仿宋" w:eastAsia="仿宋" w:cs="仿宋"/>
          <w:spacing w:val="-7"/>
          <w:sz w:val="24"/>
          <w:szCs w:val="24"/>
        </w:rPr>
        <w:t>14</w:t>
      </w:r>
      <w:r>
        <w:rPr>
          <w:rFonts w:ascii="仿宋" w:hAnsi="仿宋" w:eastAsia="仿宋" w:cs="仿宋"/>
          <w:spacing w:val="-42"/>
          <w:sz w:val="24"/>
          <w:szCs w:val="24"/>
        </w:rPr>
        <w:t xml:space="preserve"> </w:t>
      </w:r>
      <w:r>
        <w:rPr>
          <w:rFonts w:ascii="仿宋" w:hAnsi="仿宋" w:eastAsia="仿宋" w:cs="仿宋"/>
          <w:spacing w:val="-7"/>
          <w:sz w:val="24"/>
          <w:szCs w:val="24"/>
        </w:rPr>
        <w:t>处，其中散户居民点</w:t>
      </w:r>
      <w:r>
        <w:rPr>
          <w:rFonts w:ascii="仿宋" w:hAnsi="仿宋" w:eastAsia="仿宋" w:cs="仿宋"/>
          <w:spacing w:val="-51"/>
          <w:sz w:val="24"/>
          <w:szCs w:val="24"/>
        </w:rPr>
        <w:t xml:space="preserve"> </w:t>
      </w:r>
      <w:r>
        <w:rPr>
          <w:rFonts w:ascii="仿宋" w:hAnsi="仿宋" w:eastAsia="仿宋" w:cs="仿宋"/>
          <w:spacing w:val="-7"/>
          <w:sz w:val="24"/>
          <w:szCs w:val="24"/>
        </w:rPr>
        <w:t>9</w:t>
      </w:r>
      <w:r>
        <w:rPr>
          <w:rFonts w:ascii="仿宋" w:hAnsi="仿宋" w:eastAsia="仿宋" w:cs="仿宋"/>
          <w:spacing w:val="-43"/>
          <w:sz w:val="24"/>
          <w:szCs w:val="24"/>
        </w:rPr>
        <w:t xml:space="preserve"> </w:t>
      </w:r>
      <w:r>
        <w:rPr>
          <w:rFonts w:ascii="仿宋" w:hAnsi="仿宋" w:eastAsia="仿宋" w:cs="仿宋"/>
          <w:spacing w:val="-7"/>
          <w:sz w:val="24"/>
          <w:szCs w:val="24"/>
        </w:rPr>
        <w:t>处，共</w:t>
      </w:r>
      <w:r>
        <w:rPr>
          <w:rFonts w:ascii="仿宋" w:hAnsi="仿宋" w:eastAsia="仿宋" w:cs="仿宋"/>
          <w:spacing w:val="-34"/>
          <w:sz w:val="24"/>
          <w:szCs w:val="24"/>
        </w:rPr>
        <w:t xml:space="preserve"> </w:t>
      </w:r>
      <w:r>
        <w:rPr>
          <w:rFonts w:ascii="仿宋" w:hAnsi="仿宋" w:eastAsia="仿宋" w:cs="仿宋"/>
          <w:spacing w:val="-7"/>
          <w:sz w:val="24"/>
          <w:szCs w:val="24"/>
        </w:rPr>
        <w:t>15</w:t>
      </w:r>
      <w:r>
        <w:rPr>
          <w:rFonts w:ascii="仿宋" w:hAnsi="仿宋" w:eastAsia="仿宋" w:cs="仿宋"/>
          <w:spacing w:val="-44"/>
          <w:sz w:val="24"/>
          <w:szCs w:val="24"/>
        </w:rPr>
        <w:t xml:space="preserve"> </w:t>
      </w:r>
      <w:r>
        <w:rPr>
          <w:rFonts w:ascii="仿宋" w:hAnsi="仿宋" w:eastAsia="仿宋" w:cs="仿宋"/>
          <w:spacing w:val="-7"/>
          <w:sz w:val="24"/>
          <w:szCs w:val="24"/>
        </w:rPr>
        <w:t>户</w:t>
      </w:r>
      <w:r>
        <w:rPr>
          <w:rFonts w:ascii="仿宋" w:hAnsi="仿宋" w:eastAsia="仿宋" w:cs="仿宋"/>
          <w:spacing w:val="-53"/>
          <w:sz w:val="24"/>
          <w:szCs w:val="24"/>
        </w:rPr>
        <w:t xml:space="preserve"> </w:t>
      </w:r>
      <w:r>
        <w:rPr>
          <w:rFonts w:ascii="仿宋" w:hAnsi="仿宋" w:eastAsia="仿宋" w:cs="仿宋"/>
          <w:spacing w:val="-7"/>
          <w:sz w:val="24"/>
          <w:szCs w:val="24"/>
        </w:rPr>
        <w:t>43</w:t>
      </w:r>
      <w:r>
        <w:rPr>
          <w:rFonts w:ascii="仿宋" w:hAnsi="仿宋" w:eastAsia="仿宋" w:cs="仿宋"/>
          <w:spacing w:val="-40"/>
          <w:sz w:val="24"/>
          <w:szCs w:val="24"/>
        </w:rPr>
        <w:t xml:space="preserve"> </w:t>
      </w:r>
      <w:r>
        <w:rPr>
          <w:rFonts w:ascii="仿宋" w:hAnsi="仿宋" w:eastAsia="仿宋" w:cs="仿宋"/>
          <w:spacing w:val="-7"/>
          <w:sz w:val="24"/>
          <w:szCs w:val="24"/>
        </w:rPr>
        <w:t>人；村社</w:t>
      </w:r>
      <w:r>
        <w:rPr>
          <w:rFonts w:ascii="仿宋" w:hAnsi="仿宋" w:eastAsia="仿宋" w:cs="仿宋"/>
          <w:spacing w:val="-47"/>
          <w:sz w:val="24"/>
          <w:szCs w:val="24"/>
        </w:rPr>
        <w:t xml:space="preserve"> </w:t>
      </w:r>
      <w:r>
        <w:rPr>
          <w:rFonts w:ascii="仿宋" w:hAnsi="仿宋" w:eastAsia="仿宋" w:cs="仿宋"/>
          <w:spacing w:val="-7"/>
          <w:sz w:val="24"/>
          <w:szCs w:val="24"/>
        </w:rPr>
        <w:t>5</w:t>
      </w:r>
      <w:r>
        <w:rPr>
          <w:rFonts w:ascii="仿宋" w:hAnsi="仿宋" w:eastAsia="仿宋" w:cs="仿宋"/>
          <w:spacing w:val="-43"/>
          <w:sz w:val="24"/>
          <w:szCs w:val="24"/>
        </w:rPr>
        <w:t xml:space="preserve"> </w:t>
      </w:r>
      <w:r>
        <w:rPr>
          <w:rFonts w:ascii="仿宋" w:hAnsi="仿宋" w:eastAsia="仿宋" w:cs="仿宋"/>
          <w:spacing w:val="-7"/>
          <w:sz w:val="24"/>
          <w:szCs w:val="24"/>
        </w:rPr>
        <w:t>处，共</w:t>
      </w:r>
      <w:r>
        <w:rPr>
          <w:rFonts w:ascii="仿宋" w:hAnsi="仿宋" w:eastAsia="仿宋" w:cs="仿宋"/>
          <w:spacing w:val="-53"/>
          <w:sz w:val="24"/>
          <w:szCs w:val="24"/>
        </w:rPr>
        <w:t xml:space="preserve"> </w:t>
      </w:r>
      <w:r>
        <w:rPr>
          <w:rFonts w:ascii="仿宋" w:hAnsi="仿宋" w:eastAsia="仿宋" w:cs="仿宋"/>
          <w:spacing w:val="-7"/>
          <w:sz w:val="24"/>
          <w:szCs w:val="24"/>
        </w:rPr>
        <w:t>46</w:t>
      </w:r>
      <w:r>
        <w:rPr>
          <w:rFonts w:ascii="仿宋" w:hAnsi="仿宋" w:eastAsia="仿宋" w:cs="仿宋"/>
          <w:spacing w:val="-44"/>
          <w:sz w:val="24"/>
          <w:szCs w:val="24"/>
        </w:rPr>
        <w:t xml:space="preserve"> </w:t>
      </w:r>
      <w:r>
        <w:rPr>
          <w:rFonts w:ascii="仿宋" w:hAnsi="仿宋" w:eastAsia="仿宋" w:cs="仿宋"/>
          <w:spacing w:val="-7"/>
          <w:sz w:val="24"/>
          <w:szCs w:val="24"/>
        </w:rPr>
        <w:t>户</w:t>
      </w:r>
      <w:r>
        <w:rPr>
          <w:rFonts w:ascii="仿宋" w:hAnsi="仿宋" w:eastAsia="仿宋" w:cs="仿宋"/>
          <w:spacing w:val="-34"/>
          <w:sz w:val="24"/>
          <w:szCs w:val="24"/>
        </w:rPr>
        <w:t xml:space="preserve"> </w:t>
      </w:r>
      <w:r>
        <w:rPr>
          <w:rFonts w:ascii="仿宋" w:hAnsi="仿宋" w:eastAsia="仿宋" w:cs="仿宋"/>
          <w:spacing w:val="-7"/>
          <w:sz w:val="24"/>
          <w:szCs w:val="24"/>
        </w:rPr>
        <w:t>148</w:t>
      </w:r>
      <w:r>
        <w:rPr>
          <w:rFonts w:ascii="仿宋" w:hAnsi="仿宋" w:eastAsia="仿宋" w:cs="仿宋"/>
          <w:spacing w:val="-40"/>
          <w:sz w:val="24"/>
          <w:szCs w:val="24"/>
        </w:rPr>
        <w:t xml:space="preserve"> </w:t>
      </w:r>
      <w:r>
        <w:rPr>
          <w:rFonts w:ascii="仿宋" w:hAnsi="仿宋" w:eastAsia="仿宋" w:cs="仿宋"/>
          <w:spacing w:val="-7"/>
          <w:sz w:val="24"/>
          <w:szCs w:val="24"/>
        </w:rPr>
        <w:t>人。声环</w:t>
      </w:r>
      <w:r>
        <w:rPr>
          <w:rFonts w:ascii="仿宋" w:hAnsi="仿宋" w:eastAsia="仿宋" w:cs="仿宋"/>
          <w:spacing w:val="-3"/>
          <w:sz w:val="24"/>
          <w:szCs w:val="24"/>
        </w:rPr>
        <w:t>境敏感点情况详见表</w:t>
      </w:r>
      <w:r>
        <w:rPr>
          <w:rFonts w:ascii="仿宋" w:hAnsi="仿宋" w:eastAsia="仿宋" w:cs="仿宋"/>
          <w:spacing w:val="-34"/>
          <w:sz w:val="24"/>
          <w:szCs w:val="24"/>
        </w:rPr>
        <w:t xml:space="preserve"> </w:t>
      </w:r>
      <w:r>
        <w:rPr>
          <w:rFonts w:ascii="仿宋" w:hAnsi="仿宋" w:eastAsia="仿宋" w:cs="仿宋"/>
          <w:spacing w:val="-3"/>
          <w:sz w:val="24"/>
          <w:szCs w:val="24"/>
        </w:rPr>
        <w:t>1.6-1。</w:t>
      </w:r>
    </w:p>
    <w:p w14:paraId="748294D5">
      <w:pPr>
        <w:spacing w:before="218" w:line="228" w:lineRule="auto"/>
        <w:ind w:left="31"/>
        <w:outlineLvl w:val="1"/>
        <w:rPr>
          <w:rFonts w:ascii="仿宋" w:hAnsi="仿宋" w:eastAsia="仿宋" w:cs="仿宋"/>
          <w:sz w:val="31"/>
          <w:szCs w:val="31"/>
        </w:rPr>
      </w:pPr>
      <w:bookmarkStart w:id="32" w:name="bookmark35"/>
      <w:bookmarkEnd w:id="32"/>
      <w:r>
        <w:rPr>
          <w:rFonts w:ascii="仿宋" w:hAnsi="仿宋" w:eastAsia="仿宋" w:cs="仿宋"/>
          <w:b/>
          <w:bCs/>
          <w:spacing w:val="4"/>
          <w:sz w:val="31"/>
          <w:szCs w:val="31"/>
        </w:rPr>
        <w:t>3.2</w:t>
      </w:r>
      <w:r>
        <w:rPr>
          <w:rFonts w:ascii="仿宋" w:hAnsi="仿宋" w:eastAsia="仿宋" w:cs="仿宋"/>
          <w:spacing w:val="4"/>
          <w:sz w:val="31"/>
          <w:szCs w:val="31"/>
        </w:rPr>
        <w:t xml:space="preserve"> </w:t>
      </w:r>
      <w:r>
        <w:rPr>
          <w:rFonts w:ascii="仿宋" w:hAnsi="仿宋" w:eastAsia="仿宋" w:cs="仿宋"/>
          <w:b/>
          <w:bCs/>
          <w:spacing w:val="4"/>
          <w:sz w:val="31"/>
          <w:szCs w:val="31"/>
        </w:rPr>
        <w:t>声环境现状监测</w:t>
      </w:r>
    </w:p>
    <w:p w14:paraId="78307421">
      <w:pPr>
        <w:spacing w:before="224" w:line="219" w:lineRule="auto"/>
        <w:ind w:left="518"/>
        <w:rPr>
          <w:rFonts w:ascii="仿宋" w:hAnsi="仿宋" w:eastAsia="仿宋" w:cs="仿宋"/>
          <w:sz w:val="24"/>
          <w:szCs w:val="24"/>
        </w:rPr>
      </w:pPr>
      <w:r>
        <w:rPr>
          <w:rFonts w:ascii="仿宋" w:hAnsi="仿宋" w:eastAsia="仿宋" w:cs="仿宋"/>
          <w:spacing w:val="-4"/>
          <w:sz w:val="24"/>
          <w:szCs w:val="24"/>
        </w:rPr>
        <w:t>为评价本项目所在地的声环境质量现状，本次在拟建公路沿线设置现状监测</w:t>
      </w:r>
    </w:p>
    <w:p w14:paraId="5DBB90FA">
      <w:pPr>
        <w:spacing w:line="219" w:lineRule="auto"/>
        <w:rPr>
          <w:rFonts w:ascii="仿宋" w:hAnsi="仿宋" w:eastAsia="仿宋" w:cs="仿宋"/>
          <w:sz w:val="24"/>
          <w:szCs w:val="24"/>
        </w:rPr>
        <w:sectPr>
          <w:footerReference r:id="rId158" w:type="default"/>
          <w:pgSz w:w="11906" w:h="16839"/>
          <w:pgMar w:top="400" w:right="1747" w:bottom="1370" w:left="1785" w:header="0" w:footer="1207" w:gutter="0"/>
          <w:cols w:space="720" w:num="1"/>
        </w:sectPr>
      </w:pPr>
    </w:p>
    <w:p w14:paraId="7D8248E6">
      <w:pPr>
        <w:pStyle w:val="2"/>
        <w:spacing w:line="247" w:lineRule="auto"/>
        <w:rPr>
          <w:sz w:val="21"/>
        </w:rPr>
      </w:pPr>
    </w:p>
    <w:p w14:paraId="55A72C59">
      <w:pPr>
        <w:pStyle w:val="2"/>
        <w:spacing w:line="248" w:lineRule="auto"/>
        <w:rPr>
          <w:sz w:val="21"/>
        </w:rPr>
      </w:pPr>
    </w:p>
    <w:p w14:paraId="78272554">
      <w:pPr>
        <w:pStyle w:val="2"/>
        <w:spacing w:line="248" w:lineRule="auto"/>
        <w:rPr>
          <w:sz w:val="21"/>
        </w:rPr>
      </w:pPr>
    </w:p>
    <w:p w14:paraId="7F820532">
      <w:pPr>
        <w:pStyle w:val="2"/>
        <w:spacing w:line="248" w:lineRule="auto"/>
        <w:rPr>
          <w:sz w:val="21"/>
        </w:rPr>
      </w:pPr>
    </w:p>
    <w:p w14:paraId="44849436">
      <w:pPr>
        <w:spacing w:before="78" w:line="360" w:lineRule="auto"/>
        <w:ind w:left="174" w:right="107" w:hanging="37"/>
        <w:rPr>
          <w:rFonts w:ascii="仿宋" w:hAnsi="仿宋" w:eastAsia="仿宋" w:cs="仿宋"/>
          <w:sz w:val="24"/>
          <w:szCs w:val="24"/>
        </w:rPr>
      </w:pPr>
      <w:r>
        <w:rPr>
          <w:rFonts w:ascii="仿宋" w:hAnsi="仿宋" w:eastAsia="仿宋" w:cs="仿宋"/>
          <w:spacing w:val="-4"/>
          <w:sz w:val="24"/>
          <w:szCs w:val="24"/>
        </w:rPr>
        <w:t>点位，委托内蒙古华予环境检测有限公司于</w:t>
      </w:r>
      <w:r>
        <w:rPr>
          <w:rFonts w:ascii="仿宋" w:hAnsi="仿宋" w:eastAsia="仿宋" w:cs="仿宋"/>
          <w:spacing w:val="-50"/>
          <w:sz w:val="24"/>
          <w:szCs w:val="24"/>
        </w:rPr>
        <w:t xml:space="preserve"> </w:t>
      </w:r>
      <w:r>
        <w:rPr>
          <w:rFonts w:ascii="Times New Roman" w:hAnsi="Times New Roman" w:eastAsia="Times New Roman" w:cs="Times New Roman"/>
          <w:spacing w:val="-4"/>
          <w:sz w:val="24"/>
          <w:szCs w:val="24"/>
        </w:rPr>
        <w:t>2026</w:t>
      </w:r>
      <w:r>
        <w:rPr>
          <w:rFonts w:ascii="Times New Roman" w:hAnsi="Times New Roman" w:eastAsia="Times New Roman" w:cs="Times New Roman"/>
          <w:spacing w:val="26"/>
          <w:sz w:val="24"/>
          <w:szCs w:val="24"/>
        </w:rPr>
        <w:t xml:space="preserve"> </w:t>
      </w:r>
      <w:r>
        <w:rPr>
          <w:rFonts w:ascii="仿宋" w:hAnsi="仿宋" w:eastAsia="仿宋" w:cs="仿宋"/>
          <w:spacing w:val="-4"/>
          <w:sz w:val="24"/>
          <w:szCs w:val="24"/>
        </w:rPr>
        <w:t>年</w:t>
      </w:r>
      <w:r>
        <w:rPr>
          <w:rFonts w:ascii="仿宋" w:hAnsi="仿宋" w:eastAsia="仿宋" w:cs="仿宋"/>
          <w:spacing w:val="-45"/>
          <w:sz w:val="24"/>
          <w:szCs w:val="24"/>
        </w:rPr>
        <w:t xml:space="preserve"> </w:t>
      </w:r>
      <w:r>
        <w:rPr>
          <w:rFonts w:ascii="Times New Roman" w:hAnsi="Times New Roman" w:eastAsia="Times New Roman" w:cs="Times New Roman"/>
          <w:spacing w:val="-4"/>
          <w:sz w:val="24"/>
          <w:szCs w:val="24"/>
        </w:rPr>
        <w:t>6</w:t>
      </w:r>
      <w:r>
        <w:rPr>
          <w:rFonts w:ascii="Times New Roman" w:hAnsi="Times New Roman" w:eastAsia="Times New Roman" w:cs="Times New Roman"/>
          <w:spacing w:val="32"/>
          <w:sz w:val="24"/>
          <w:szCs w:val="24"/>
        </w:rPr>
        <w:t xml:space="preserve"> </w:t>
      </w:r>
      <w:r>
        <w:rPr>
          <w:rFonts w:ascii="仿宋" w:hAnsi="仿宋" w:eastAsia="仿宋" w:cs="仿宋"/>
          <w:spacing w:val="-4"/>
          <w:sz w:val="24"/>
          <w:szCs w:val="24"/>
        </w:rPr>
        <w:t>月</w:t>
      </w:r>
      <w:r>
        <w:rPr>
          <w:rFonts w:ascii="仿宋" w:hAnsi="仿宋" w:eastAsia="仿宋" w:cs="仿宋"/>
          <w:spacing w:val="-27"/>
          <w:sz w:val="24"/>
          <w:szCs w:val="24"/>
        </w:rPr>
        <w:t xml:space="preserve"> </w:t>
      </w:r>
      <w:r>
        <w:rPr>
          <w:rFonts w:ascii="Times New Roman" w:hAnsi="Times New Roman" w:eastAsia="Times New Roman" w:cs="Times New Roman"/>
          <w:spacing w:val="-4"/>
          <w:sz w:val="24"/>
          <w:szCs w:val="24"/>
        </w:rPr>
        <w:t xml:space="preserve">12  </w:t>
      </w:r>
      <w:r>
        <w:rPr>
          <w:rFonts w:ascii="仿宋" w:hAnsi="仿宋" w:eastAsia="仿宋" w:cs="仿宋"/>
          <w:spacing w:val="-5"/>
          <w:sz w:val="24"/>
          <w:szCs w:val="24"/>
        </w:rPr>
        <w:t>日</w:t>
      </w:r>
      <w:r>
        <w:rPr>
          <w:rFonts w:ascii="Times New Roman" w:hAnsi="Times New Roman" w:eastAsia="Times New Roman" w:cs="Times New Roman"/>
          <w:spacing w:val="-5"/>
          <w:sz w:val="24"/>
          <w:szCs w:val="24"/>
        </w:rPr>
        <w:t>~2026</w:t>
      </w:r>
      <w:r>
        <w:rPr>
          <w:rFonts w:ascii="Times New Roman" w:hAnsi="Times New Roman" w:eastAsia="Times New Roman" w:cs="Times New Roman"/>
          <w:spacing w:val="25"/>
          <w:sz w:val="24"/>
          <w:szCs w:val="24"/>
        </w:rPr>
        <w:t xml:space="preserve"> </w:t>
      </w:r>
      <w:r>
        <w:rPr>
          <w:rFonts w:ascii="仿宋" w:hAnsi="仿宋" w:eastAsia="仿宋" w:cs="仿宋"/>
          <w:spacing w:val="-5"/>
          <w:sz w:val="24"/>
          <w:szCs w:val="24"/>
        </w:rPr>
        <w:t>年</w:t>
      </w:r>
      <w:r>
        <w:rPr>
          <w:rFonts w:ascii="仿宋" w:hAnsi="仿宋" w:eastAsia="仿宋" w:cs="仿宋"/>
          <w:spacing w:val="-45"/>
          <w:sz w:val="24"/>
          <w:szCs w:val="24"/>
        </w:rPr>
        <w:t xml:space="preserve"> </w:t>
      </w:r>
      <w:r>
        <w:rPr>
          <w:rFonts w:ascii="Times New Roman" w:hAnsi="Times New Roman" w:eastAsia="Times New Roman" w:cs="Times New Roman"/>
          <w:spacing w:val="-5"/>
          <w:sz w:val="24"/>
          <w:szCs w:val="24"/>
        </w:rPr>
        <w:t>6</w:t>
      </w:r>
      <w:r>
        <w:rPr>
          <w:rFonts w:ascii="Times New Roman" w:hAnsi="Times New Roman" w:eastAsia="Times New Roman" w:cs="Times New Roman"/>
          <w:spacing w:val="32"/>
          <w:w w:val="101"/>
          <w:sz w:val="24"/>
          <w:szCs w:val="24"/>
        </w:rPr>
        <w:t xml:space="preserve"> </w:t>
      </w:r>
      <w:r>
        <w:rPr>
          <w:rFonts w:ascii="仿宋" w:hAnsi="仿宋" w:eastAsia="仿宋" w:cs="仿宋"/>
          <w:spacing w:val="-5"/>
          <w:sz w:val="24"/>
          <w:szCs w:val="24"/>
        </w:rPr>
        <w:t>月</w:t>
      </w:r>
      <w:r>
        <w:rPr>
          <w:rFonts w:ascii="仿宋" w:hAnsi="仿宋" w:eastAsia="仿宋" w:cs="仿宋"/>
          <w:spacing w:val="-30"/>
          <w:sz w:val="24"/>
          <w:szCs w:val="24"/>
        </w:rPr>
        <w:t xml:space="preserve"> </w:t>
      </w:r>
      <w:r>
        <w:rPr>
          <w:rFonts w:ascii="Times New Roman" w:hAnsi="Times New Roman" w:eastAsia="Times New Roman" w:cs="Times New Roman"/>
          <w:spacing w:val="-5"/>
          <w:sz w:val="24"/>
          <w:szCs w:val="24"/>
        </w:rPr>
        <w:t>14</w:t>
      </w:r>
      <w:r>
        <w:rPr>
          <w:rFonts w:ascii="仿宋" w:hAnsi="仿宋" w:eastAsia="仿宋" w:cs="仿宋"/>
          <w:spacing w:val="-6"/>
          <w:sz w:val="24"/>
          <w:szCs w:val="24"/>
        </w:rPr>
        <w:t>日进行环境噪声现状监测。</w:t>
      </w:r>
    </w:p>
    <w:p w14:paraId="2981E780">
      <w:pPr>
        <w:spacing w:before="287" w:line="224" w:lineRule="auto"/>
        <w:ind w:left="123"/>
        <w:outlineLvl w:val="2"/>
        <w:rPr>
          <w:rFonts w:ascii="仿宋" w:hAnsi="仿宋" w:eastAsia="仿宋" w:cs="仿宋"/>
          <w:sz w:val="28"/>
          <w:szCs w:val="28"/>
        </w:rPr>
      </w:pPr>
      <w:bookmarkStart w:id="33" w:name="bookmark36"/>
      <w:bookmarkEnd w:id="33"/>
      <w:r>
        <w:rPr>
          <w:rFonts w:ascii="仿宋" w:hAnsi="仿宋" w:eastAsia="仿宋" w:cs="仿宋"/>
          <w:b/>
          <w:bCs/>
          <w:spacing w:val="-7"/>
          <w:sz w:val="28"/>
          <w:szCs w:val="28"/>
        </w:rPr>
        <w:t>3.2.1</w:t>
      </w:r>
      <w:r>
        <w:rPr>
          <w:rFonts w:ascii="仿宋" w:hAnsi="仿宋" w:eastAsia="仿宋" w:cs="仿宋"/>
          <w:spacing w:val="-42"/>
          <w:sz w:val="28"/>
          <w:szCs w:val="28"/>
        </w:rPr>
        <w:t xml:space="preserve"> </w:t>
      </w:r>
      <w:r>
        <w:rPr>
          <w:rFonts w:ascii="仿宋" w:hAnsi="仿宋" w:eastAsia="仿宋" w:cs="仿宋"/>
          <w:b/>
          <w:bCs/>
          <w:spacing w:val="-7"/>
          <w:sz w:val="28"/>
          <w:szCs w:val="28"/>
        </w:rPr>
        <w:t>监测方案</w:t>
      </w:r>
    </w:p>
    <w:p w14:paraId="418F6517">
      <w:pPr>
        <w:spacing w:before="305" w:line="220" w:lineRule="auto"/>
        <w:ind w:left="608"/>
        <w:rPr>
          <w:rFonts w:ascii="仿宋" w:hAnsi="仿宋" w:eastAsia="仿宋" w:cs="仿宋"/>
          <w:sz w:val="24"/>
          <w:szCs w:val="24"/>
        </w:rPr>
      </w:pPr>
      <w:r>
        <w:rPr>
          <w:rFonts w:ascii="仿宋" w:hAnsi="仿宋" w:eastAsia="仿宋" w:cs="仿宋"/>
          <w:spacing w:val="-3"/>
          <w:sz w:val="24"/>
          <w:szCs w:val="24"/>
        </w:rPr>
        <w:t>（</w:t>
      </w:r>
      <w:r>
        <w:rPr>
          <w:rFonts w:ascii="Times New Roman" w:hAnsi="Times New Roman" w:eastAsia="Times New Roman" w:cs="Times New Roman"/>
          <w:spacing w:val="-3"/>
          <w:sz w:val="24"/>
          <w:szCs w:val="24"/>
        </w:rPr>
        <w:t>1</w:t>
      </w:r>
      <w:r>
        <w:rPr>
          <w:rFonts w:ascii="仿宋" w:hAnsi="仿宋" w:eastAsia="仿宋" w:cs="仿宋"/>
          <w:spacing w:val="-3"/>
          <w:sz w:val="24"/>
          <w:szCs w:val="24"/>
        </w:rPr>
        <w:t>）布点原则</w:t>
      </w:r>
    </w:p>
    <w:p w14:paraId="62E5AB66">
      <w:pPr>
        <w:spacing w:before="182" w:line="359" w:lineRule="auto"/>
        <w:ind w:left="123" w:right="104" w:firstLine="481"/>
        <w:rPr>
          <w:rFonts w:ascii="仿宋" w:hAnsi="仿宋" w:eastAsia="仿宋" w:cs="仿宋"/>
          <w:sz w:val="24"/>
          <w:szCs w:val="24"/>
        </w:rPr>
      </w:pPr>
      <w:r>
        <w:rPr>
          <w:rFonts w:ascii="仿宋" w:hAnsi="仿宋" w:eastAsia="仿宋" w:cs="仿宋"/>
          <w:spacing w:val="-7"/>
          <w:sz w:val="24"/>
          <w:szCs w:val="24"/>
        </w:rPr>
        <w:t>本次声环境现状监测布点依据《环境影响评价技</w:t>
      </w:r>
      <w:r>
        <w:rPr>
          <w:rFonts w:ascii="仿宋" w:hAnsi="仿宋" w:eastAsia="仿宋" w:cs="仿宋"/>
          <w:spacing w:val="-8"/>
          <w:sz w:val="24"/>
          <w:szCs w:val="24"/>
        </w:rPr>
        <w:t>术导则 公路建设项目》（</w:t>
      </w:r>
      <w:r>
        <w:rPr>
          <w:rFonts w:ascii="Times New Roman" w:hAnsi="Times New Roman" w:eastAsia="Times New Roman" w:cs="Times New Roman"/>
          <w:spacing w:val="-8"/>
          <w:sz w:val="24"/>
          <w:szCs w:val="24"/>
        </w:rPr>
        <w:t>HJ</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1358-2024</w:t>
      </w:r>
      <w:r>
        <w:rPr>
          <w:rFonts w:ascii="仿宋" w:hAnsi="仿宋" w:eastAsia="仿宋" w:cs="仿宋"/>
          <w:spacing w:val="1"/>
          <w:sz w:val="24"/>
          <w:szCs w:val="24"/>
        </w:rPr>
        <w:t>）、《声环境质量标准》（</w:t>
      </w:r>
      <w:r>
        <w:rPr>
          <w:rFonts w:ascii="Times New Roman" w:hAnsi="Times New Roman" w:eastAsia="Times New Roman" w:cs="Times New Roman"/>
          <w:sz w:val="24"/>
          <w:szCs w:val="24"/>
        </w:rPr>
        <w:t>GB</w:t>
      </w:r>
      <w:r>
        <w:rPr>
          <w:rFonts w:ascii="Times New Roman" w:hAnsi="Times New Roman" w:eastAsia="Times New Roman" w:cs="Times New Roman"/>
          <w:spacing w:val="1"/>
          <w:sz w:val="24"/>
          <w:szCs w:val="24"/>
        </w:rPr>
        <w:t xml:space="preserve"> 3096-2008</w:t>
      </w:r>
      <w:r>
        <w:rPr>
          <w:rFonts w:ascii="仿宋" w:hAnsi="仿宋" w:eastAsia="仿宋" w:cs="仿宋"/>
          <w:spacing w:val="1"/>
          <w:sz w:val="24"/>
          <w:szCs w:val="24"/>
        </w:rPr>
        <w:t>）及《环境影响评价技术导则 声环境》（</w:t>
      </w:r>
      <w:r>
        <w:rPr>
          <w:rFonts w:ascii="Times New Roman" w:hAnsi="Times New Roman" w:eastAsia="Times New Roman" w:cs="Times New Roman"/>
          <w:sz w:val="24"/>
          <w:szCs w:val="24"/>
        </w:rPr>
        <w:t>HJ</w:t>
      </w:r>
      <w:r>
        <w:rPr>
          <w:rFonts w:ascii="Times New Roman" w:hAnsi="Times New Roman" w:eastAsia="Times New Roman" w:cs="Times New Roman"/>
          <w:spacing w:val="1"/>
          <w:sz w:val="24"/>
          <w:szCs w:val="24"/>
        </w:rPr>
        <w:t xml:space="preserve"> 2.4-2021</w:t>
      </w:r>
      <w:r>
        <w:rPr>
          <w:rFonts w:ascii="仿宋" w:hAnsi="仿宋" w:eastAsia="仿宋" w:cs="仿宋"/>
          <w:spacing w:val="1"/>
          <w:sz w:val="24"/>
          <w:szCs w:val="24"/>
        </w:rPr>
        <w:t>）执行，结合本</w:t>
      </w:r>
      <w:r>
        <w:rPr>
          <w:rFonts w:ascii="仿宋" w:hAnsi="仿宋" w:eastAsia="仿宋" w:cs="仿宋"/>
          <w:sz w:val="24"/>
          <w:szCs w:val="24"/>
        </w:rPr>
        <w:t>项目四级公路车流量小、车速低、沿</w:t>
      </w:r>
      <w:r>
        <w:rPr>
          <w:rFonts w:ascii="仿宋" w:hAnsi="仿宋" w:eastAsia="仿宋" w:cs="仿宋"/>
          <w:spacing w:val="-3"/>
          <w:sz w:val="24"/>
          <w:szCs w:val="24"/>
        </w:rPr>
        <w:t>线以农村居民点为主的特点开展布点；监测坚持敏感保护目标优先布</w:t>
      </w:r>
      <w:r>
        <w:rPr>
          <w:rFonts w:ascii="仿宋" w:hAnsi="仿宋" w:eastAsia="仿宋" w:cs="仿宋"/>
          <w:spacing w:val="-4"/>
          <w:sz w:val="24"/>
          <w:szCs w:val="24"/>
        </w:rPr>
        <w:t>设，测点与</w:t>
      </w:r>
      <w:r>
        <w:rPr>
          <w:rFonts w:ascii="仿宋" w:hAnsi="仿宋" w:eastAsia="仿宋" w:cs="仿宋"/>
          <w:spacing w:val="-3"/>
          <w:sz w:val="24"/>
          <w:szCs w:val="24"/>
        </w:rPr>
        <w:t>噪声预测点位一一对应，同步设置背景对照点位，监测点位远离各类</w:t>
      </w:r>
      <w:r>
        <w:rPr>
          <w:rFonts w:ascii="仿宋" w:hAnsi="仿宋" w:eastAsia="仿宋" w:cs="仿宋"/>
          <w:spacing w:val="-4"/>
          <w:sz w:val="24"/>
          <w:szCs w:val="24"/>
        </w:rPr>
        <w:t>固定噪声源</w:t>
      </w:r>
      <w:r>
        <w:rPr>
          <w:rFonts w:ascii="仿宋" w:hAnsi="仿宋" w:eastAsia="仿宋" w:cs="仿宋"/>
          <w:spacing w:val="-3"/>
          <w:sz w:val="24"/>
          <w:szCs w:val="24"/>
        </w:rPr>
        <w:t>及声反射障碍物，结合线路分段均衡布点并依据乡村道路实际工况适</w:t>
      </w:r>
      <w:r>
        <w:rPr>
          <w:rFonts w:ascii="仿宋" w:hAnsi="仿宋" w:eastAsia="仿宋" w:cs="仿宋"/>
          <w:spacing w:val="-4"/>
          <w:sz w:val="24"/>
          <w:szCs w:val="24"/>
        </w:rPr>
        <w:t>当简化断面</w:t>
      </w:r>
      <w:r>
        <w:rPr>
          <w:rFonts w:ascii="仿宋" w:hAnsi="仿宋" w:eastAsia="仿宋" w:cs="仿宋"/>
          <w:spacing w:val="-5"/>
          <w:sz w:val="24"/>
          <w:szCs w:val="24"/>
        </w:rPr>
        <w:t>测点；敏感点测点设于民居窗外</w:t>
      </w:r>
      <w:r>
        <w:rPr>
          <w:rFonts w:ascii="仿宋" w:hAnsi="仿宋" w:eastAsia="仿宋" w:cs="仿宋"/>
          <w:spacing w:val="-32"/>
          <w:sz w:val="24"/>
          <w:szCs w:val="24"/>
        </w:rPr>
        <w:t xml:space="preserve"> </w:t>
      </w:r>
      <w:r>
        <w:rPr>
          <w:rFonts w:ascii="Times New Roman" w:hAnsi="Times New Roman" w:eastAsia="Times New Roman" w:cs="Times New Roman"/>
          <w:spacing w:val="-5"/>
          <w:sz w:val="24"/>
          <w:szCs w:val="24"/>
        </w:rPr>
        <w:t>1m</w:t>
      </w:r>
      <w:r>
        <w:rPr>
          <w:rFonts w:ascii="Times New Roman" w:hAnsi="Times New Roman" w:eastAsia="Times New Roman" w:cs="Times New Roman"/>
          <w:spacing w:val="-26"/>
          <w:sz w:val="24"/>
          <w:szCs w:val="24"/>
        </w:rPr>
        <w:t xml:space="preserve"> </w:t>
      </w:r>
      <w:r>
        <w:rPr>
          <w:rFonts w:ascii="仿宋" w:hAnsi="仿宋" w:eastAsia="仿宋" w:cs="仿宋"/>
          <w:spacing w:val="-5"/>
          <w:sz w:val="24"/>
          <w:szCs w:val="24"/>
        </w:rPr>
        <w:t>、离地</w:t>
      </w:r>
      <w:r>
        <w:rPr>
          <w:rFonts w:ascii="仿宋" w:hAnsi="仿宋" w:eastAsia="仿宋" w:cs="仿宋"/>
          <w:spacing w:val="-32"/>
          <w:sz w:val="24"/>
          <w:szCs w:val="24"/>
        </w:rPr>
        <w:t xml:space="preserve"> </w:t>
      </w:r>
      <w:r>
        <w:rPr>
          <w:rFonts w:ascii="Times New Roman" w:hAnsi="Times New Roman" w:eastAsia="Times New Roman" w:cs="Times New Roman"/>
          <w:spacing w:val="-5"/>
          <w:sz w:val="24"/>
          <w:szCs w:val="24"/>
        </w:rPr>
        <w:t>1.2</w:t>
      </w:r>
      <w:r>
        <w:rPr>
          <w:rFonts w:ascii="Times New Roman" w:hAnsi="Times New Roman" w:eastAsia="Times New Roman" w:cs="Times New Roman"/>
          <w:spacing w:val="-6"/>
          <w:sz w:val="24"/>
          <w:szCs w:val="24"/>
        </w:rPr>
        <w:t>~</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6"/>
          <w:sz w:val="24"/>
          <w:szCs w:val="24"/>
        </w:rPr>
        <w:t>1.5m</w:t>
      </w:r>
      <w:r>
        <w:rPr>
          <w:rFonts w:ascii="Times New Roman" w:hAnsi="Times New Roman" w:eastAsia="Times New Roman" w:cs="Times New Roman"/>
          <w:spacing w:val="21"/>
          <w:sz w:val="24"/>
          <w:szCs w:val="24"/>
        </w:rPr>
        <w:t xml:space="preserve"> </w:t>
      </w:r>
      <w:r>
        <w:rPr>
          <w:rFonts w:ascii="仿宋" w:hAnsi="仿宋" w:eastAsia="仿宋" w:cs="仿宋"/>
          <w:spacing w:val="-6"/>
          <w:sz w:val="24"/>
          <w:szCs w:val="24"/>
        </w:rPr>
        <w:t>人耳高度处，空旷路段按规</w:t>
      </w:r>
      <w:r>
        <w:rPr>
          <w:rFonts w:ascii="仿宋" w:hAnsi="仿宋" w:eastAsia="仿宋" w:cs="仿宋"/>
          <w:spacing w:val="-2"/>
          <w:sz w:val="24"/>
          <w:szCs w:val="24"/>
        </w:rPr>
        <w:t>范布设噪声衰减断面，监测避开大风、降雨及短时突发噪声，各点位连续监测</w:t>
      </w:r>
      <w:r>
        <w:rPr>
          <w:rFonts w:ascii="仿宋" w:hAnsi="仿宋" w:eastAsia="仿宋" w:cs="仿宋"/>
          <w:spacing w:val="-40"/>
          <w:sz w:val="24"/>
          <w:szCs w:val="24"/>
        </w:rPr>
        <w:t xml:space="preserve"> </w:t>
      </w:r>
      <w:r>
        <w:rPr>
          <w:rFonts w:ascii="Times New Roman" w:hAnsi="Times New Roman" w:eastAsia="Times New Roman" w:cs="Times New Roman"/>
          <w:spacing w:val="-2"/>
          <w:sz w:val="24"/>
          <w:szCs w:val="24"/>
        </w:rPr>
        <w:t>2</w:t>
      </w:r>
      <w:r>
        <w:rPr>
          <w:rFonts w:ascii="仿宋" w:hAnsi="仿宋" w:eastAsia="仿宋" w:cs="仿宋"/>
          <w:spacing w:val="-3"/>
          <w:sz w:val="24"/>
          <w:szCs w:val="24"/>
        </w:rPr>
        <w:t>天，昼夜分别监测不少于</w:t>
      </w:r>
      <w:r>
        <w:rPr>
          <w:rFonts w:ascii="仿宋" w:hAnsi="仿宋" w:eastAsia="仿宋" w:cs="仿宋"/>
          <w:spacing w:val="-46"/>
          <w:sz w:val="24"/>
          <w:szCs w:val="24"/>
        </w:rPr>
        <w:t xml:space="preserve"> </w:t>
      </w:r>
      <w:r>
        <w:rPr>
          <w:rFonts w:ascii="Times New Roman" w:hAnsi="Times New Roman" w:eastAsia="Times New Roman" w:cs="Times New Roman"/>
          <w:spacing w:val="-3"/>
          <w:sz w:val="24"/>
          <w:szCs w:val="24"/>
        </w:rPr>
        <w:t>20min</w:t>
      </w:r>
      <w:r>
        <w:rPr>
          <w:rFonts w:ascii="Times New Roman" w:hAnsi="Times New Roman" w:eastAsia="Times New Roman" w:cs="Times New Roman"/>
          <w:spacing w:val="-27"/>
          <w:sz w:val="24"/>
          <w:szCs w:val="24"/>
        </w:rPr>
        <w:t xml:space="preserve"> </w:t>
      </w:r>
      <w:r>
        <w:rPr>
          <w:rFonts w:ascii="仿宋" w:hAnsi="仿宋" w:eastAsia="仿宋" w:cs="仿宋"/>
          <w:spacing w:val="-3"/>
          <w:sz w:val="24"/>
          <w:szCs w:val="24"/>
        </w:rPr>
        <w:t>，全程同步记录交通流量及现场工况，确保监测</w:t>
      </w:r>
      <w:r>
        <w:rPr>
          <w:rFonts w:ascii="仿宋" w:hAnsi="仿宋" w:eastAsia="仿宋" w:cs="仿宋"/>
          <w:spacing w:val="-2"/>
          <w:sz w:val="24"/>
          <w:szCs w:val="24"/>
        </w:rPr>
        <w:t>数据真实、客观、具有代表性。</w:t>
      </w:r>
    </w:p>
    <w:p w14:paraId="0B86F523">
      <w:pPr>
        <w:spacing w:line="220" w:lineRule="auto"/>
        <w:ind w:left="608"/>
        <w:rPr>
          <w:rFonts w:ascii="仿宋" w:hAnsi="仿宋" w:eastAsia="仿宋" w:cs="仿宋"/>
          <w:sz w:val="24"/>
          <w:szCs w:val="24"/>
        </w:rPr>
      </w:pPr>
      <w:r>
        <w:rPr>
          <w:rFonts w:ascii="仿宋" w:hAnsi="仿宋" w:eastAsia="仿宋" w:cs="仿宋"/>
          <w:spacing w:val="-3"/>
          <w:sz w:val="24"/>
          <w:szCs w:val="24"/>
        </w:rPr>
        <w:t>（</w:t>
      </w:r>
      <w:r>
        <w:rPr>
          <w:rFonts w:ascii="Times New Roman" w:hAnsi="Times New Roman" w:eastAsia="Times New Roman" w:cs="Times New Roman"/>
          <w:spacing w:val="-3"/>
          <w:sz w:val="24"/>
          <w:szCs w:val="24"/>
        </w:rPr>
        <w:t>2</w:t>
      </w:r>
      <w:r>
        <w:rPr>
          <w:rFonts w:ascii="仿宋" w:hAnsi="仿宋" w:eastAsia="仿宋" w:cs="仿宋"/>
          <w:spacing w:val="-3"/>
          <w:sz w:val="24"/>
          <w:szCs w:val="24"/>
        </w:rPr>
        <w:t>）点位布设</w:t>
      </w:r>
    </w:p>
    <w:p w14:paraId="40DFE9DE">
      <w:pPr>
        <w:spacing w:before="182" w:line="220" w:lineRule="auto"/>
        <w:ind w:left="604"/>
        <w:rPr>
          <w:rFonts w:ascii="仿宋" w:hAnsi="仿宋" w:eastAsia="仿宋" w:cs="仿宋"/>
          <w:sz w:val="24"/>
          <w:szCs w:val="24"/>
        </w:rPr>
      </w:pPr>
      <w:r>
        <w:rPr>
          <w:rFonts w:ascii="仿宋" w:hAnsi="仿宋" w:eastAsia="仿宋" w:cs="仿宋"/>
          <w:spacing w:val="-4"/>
          <w:sz w:val="24"/>
          <w:szCs w:val="24"/>
        </w:rPr>
        <w:t>本项目声环境现状监测布点方案见表</w:t>
      </w:r>
      <w:r>
        <w:rPr>
          <w:rFonts w:ascii="仿宋" w:hAnsi="仿宋" w:eastAsia="仿宋" w:cs="仿宋"/>
          <w:spacing w:val="-44"/>
          <w:sz w:val="24"/>
          <w:szCs w:val="24"/>
        </w:rPr>
        <w:t xml:space="preserve"> </w:t>
      </w:r>
      <w:r>
        <w:rPr>
          <w:rFonts w:ascii="Times New Roman" w:hAnsi="Times New Roman" w:eastAsia="Times New Roman" w:cs="Times New Roman"/>
          <w:spacing w:val="-4"/>
          <w:sz w:val="24"/>
          <w:szCs w:val="24"/>
        </w:rPr>
        <w:t>3.2-</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4"/>
          <w:sz w:val="24"/>
          <w:szCs w:val="24"/>
        </w:rPr>
        <w:t>1</w:t>
      </w:r>
      <w:r>
        <w:rPr>
          <w:rFonts w:ascii="Times New Roman" w:hAnsi="Times New Roman" w:eastAsia="Times New Roman" w:cs="Times New Roman"/>
          <w:spacing w:val="16"/>
          <w:sz w:val="24"/>
          <w:szCs w:val="24"/>
        </w:rPr>
        <w:t xml:space="preserve"> </w:t>
      </w:r>
      <w:r>
        <w:rPr>
          <w:rFonts w:ascii="仿宋" w:hAnsi="仿宋" w:eastAsia="仿宋" w:cs="仿宋"/>
          <w:spacing w:val="-4"/>
          <w:sz w:val="24"/>
          <w:szCs w:val="24"/>
        </w:rPr>
        <w:t>和图</w:t>
      </w:r>
      <w:r>
        <w:rPr>
          <w:rFonts w:ascii="仿宋" w:hAnsi="仿宋" w:eastAsia="仿宋" w:cs="仿宋"/>
          <w:spacing w:val="-50"/>
          <w:sz w:val="24"/>
          <w:szCs w:val="24"/>
        </w:rPr>
        <w:t xml:space="preserve"> </w:t>
      </w:r>
      <w:r>
        <w:rPr>
          <w:rFonts w:ascii="Times New Roman" w:hAnsi="Times New Roman" w:eastAsia="Times New Roman" w:cs="Times New Roman"/>
          <w:spacing w:val="-4"/>
          <w:sz w:val="24"/>
          <w:szCs w:val="24"/>
        </w:rPr>
        <w:t>3.2-</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4"/>
          <w:sz w:val="24"/>
          <w:szCs w:val="24"/>
        </w:rPr>
        <w:t>1</w:t>
      </w:r>
      <w:r>
        <w:rPr>
          <w:rFonts w:ascii="仿宋" w:hAnsi="仿宋" w:eastAsia="仿宋" w:cs="仿宋"/>
          <w:spacing w:val="-4"/>
          <w:sz w:val="24"/>
          <w:szCs w:val="24"/>
        </w:rPr>
        <w:t>。</w:t>
      </w:r>
    </w:p>
    <w:p w14:paraId="7908499C">
      <w:pPr>
        <w:spacing w:before="180" w:line="220" w:lineRule="auto"/>
        <w:ind w:left="1416"/>
        <w:rPr>
          <w:rFonts w:ascii="仿宋" w:hAnsi="仿宋" w:eastAsia="仿宋" w:cs="仿宋"/>
          <w:sz w:val="24"/>
          <w:szCs w:val="24"/>
        </w:rPr>
      </w:pPr>
      <w:r>
        <w:rPr>
          <w:rFonts w:ascii="仿宋" w:hAnsi="仿宋" w:eastAsia="仿宋" w:cs="仿宋"/>
          <w:b/>
          <w:bCs/>
          <w:spacing w:val="-3"/>
          <w:sz w:val="24"/>
          <w:szCs w:val="24"/>
        </w:rPr>
        <w:t>表</w:t>
      </w:r>
      <w:r>
        <w:rPr>
          <w:rFonts w:ascii="仿宋" w:hAnsi="仿宋" w:eastAsia="仿宋" w:cs="仿宋"/>
          <w:spacing w:val="-32"/>
          <w:sz w:val="24"/>
          <w:szCs w:val="24"/>
        </w:rPr>
        <w:t xml:space="preserve"> </w:t>
      </w:r>
      <w:r>
        <w:rPr>
          <w:rFonts w:ascii="仿宋" w:hAnsi="仿宋" w:eastAsia="仿宋" w:cs="仿宋"/>
          <w:b/>
          <w:bCs/>
          <w:spacing w:val="-3"/>
          <w:sz w:val="24"/>
          <w:szCs w:val="24"/>
        </w:rPr>
        <w:t>3.2-1</w:t>
      </w:r>
      <w:r>
        <w:rPr>
          <w:rFonts w:ascii="仿宋" w:hAnsi="仿宋" w:eastAsia="仿宋" w:cs="仿宋"/>
          <w:spacing w:val="-3"/>
          <w:sz w:val="24"/>
          <w:szCs w:val="24"/>
        </w:rPr>
        <w:t xml:space="preserve">    </w:t>
      </w:r>
      <w:r>
        <w:rPr>
          <w:rFonts w:ascii="仿宋" w:hAnsi="仿宋" w:eastAsia="仿宋" w:cs="仿宋"/>
          <w:b/>
          <w:bCs/>
          <w:spacing w:val="-3"/>
          <w:sz w:val="24"/>
          <w:szCs w:val="24"/>
        </w:rPr>
        <w:t>声环境质量现状监测点位布置情况一览表</w:t>
      </w:r>
    </w:p>
    <w:p w14:paraId="53116DE9">
      <w:pPr>
        <w:spacing w:line="146" w:lineRule="exact"/>
      </w:pPr>
    </w:p>
    <w:tbl>
      <w:tblPr>
        <w:tblStyle w:val="5"/>
        <w:tblW w:w="851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54"/>
        <w:gridCol w:w="608"/>
        <w:gridCol w:w="993"/>
        <w:gridCol w:w="968"/>
        <w:gridCol w:w="1159"/>
        <w:gridCol w:w="1843"/>
        <w:gridCol w:w="1293"/>
      </w:tblGrid>
      <w:tr w14:paraId="548D4C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654" w:type="dxa"/>
            <w:tcBorders>
              <w:top w:val="single" w:color="000000" w:sz="10" w:space="0"/>
              <w:left w:val="nil"/>
            </w:tcBorders>
            <w:vAlign w:val="top"/>
          </w:tcPr>
          <w:p w14:paraId="43545355">
            <w:pPr>
              <w:spacing w:before="212" w:line="228" w:lineRule="auto"/>
              <w:ind w:left="626"/>
              <w:rPr>
                <w:rFonts w:ascii="宋体" w:hAnsi="宋体" w:eastAsia="宋体" w:cs="宋体"/>
                <w:sz w:val="20"/>
                <w:szCs w:val="20"/>
              </w:rPr>
            </w:pPr>
            <w:r>
              <w:rPr>
                <w:rFonts w:ascii="宋体" w:hAnsi="宋体" w:eastAsia="宋体" w:cs="宋体"/>
                <w:spacing w:val="3"/>
                <w:sz w:val="20"/>
                <w:szCs w:val="20"/>
              </w:rPr>
              <w:t>路段</w:t>
            </w:r>
          </w:p>
        </w:tc>
        <w:tc>
          <w:tcPr>
            <w:tcW w:w="608" w:type="dxa"/>
            <w:tcBorders>
              <w:top w:val="single" w:color="000000" w:sz="10" w:space="0"/>
            </w:tcBorders>
            <w:textDirection w:val="tbRlV"/>
            <w:vAlign w:val="top"/>
          </w:tcPr>
          <w:p w14:paraId="14A30D38">
            <w:pPr>
              <w:spacing w:before="197" w:line="217" w:lineRule="auto"/>
              <w:ind w:left="56"/>
              <w:rPr>
                <w:rFonts w:ascii="宋体" w:hAnsi="宋体" w:eastAsia="宋体" w:cs="宋体"/>
                <w:sz w:val="20"/>
                <w:szCs w:val="20"/>
              </w:rPr>
            </w:pPr>
            <w:r>
              <w:rPr>
                <w:rFonts w:ascii="宋体" w:hAnsi="宋体" w:eastAsia="宋体" w:cs="宋体"/>
                <w:spacing w:val="6"/>
                <w:sz w:val="20"/>
                <w:szCs w:val="20"/>
              </w:rPr>
              <w:t>方 位</w:t>
            </w:r>
          </w:p>
        </w:tc>
        <w:tc>
          <w:tcPr>
            <w:tcW w:w="993" w:type="dxa"/>
            <w:tcBorders>
              <w:top w:val="single" w:color="000000" w:sz="10" w:space="0"/>
            </w:tcBorders>
            <w:vAlign w:val="top"/>
          </w:tcPr>
          <w:p w14:paraId="5517C93C">
            <w:pPr>
              <w:spacing w:before="212" w:line="228" w:lineRule="auto"/>
              <w:ind w:left="292"/>
              <w:rPr>
                <w:rFonts w:ascii="宋体" w:hAnsi="宋体" w:eastAsia="宋体" w:cs="宋体"/>
                <w:sz w:val="20"/>
                <w:szCs w:val="20"/>
              </w:rPr>
            </w:pPr>
            <w:r>
              <w:rPr>
                <w:rFonts w:ascii="宋体" w:hAnsi="宋体" w:eastAsia="宋体" w:cs="宋体"/>
                <w:spacing w:val="4"/>
                <w:sz w:val="20"/>
                <w:szCs w:val="20"/>
              </w:rPr>
              <w:t>桩号</w:t>
            </w:r>
          </w:p>
        </w:tc>
        <w:tc>
          <w:tcPr>
            <w:tcW w:w="968" w:type="dxa"/>
            <w:tcBorders>
              <w:top w:val="single" w:color="000000" w:sz="10" w:space="0"/>
            </w:tcBorders>
            <w:vAlign w:val="top"/>
          </w:tcPr>
          <w:p w14:paraId="7C496306">
            <w:pPr>
              <w:spacing w:before="57" w:line="261" w:lineRule="auto"/>
              <w:ind w:left="280" w:right="166" w:hanging="106"/>
              <w:rPr>
                <w:rFonts w:ascii="宋体" w:hAnsi="宋体" w:eastAsia="宋体" w:cs="宋体"/>
                <w:sz w:val="20"/>
                <w:szCs w:val="20"/>
              </w:rPr>
            </w:pPr>
            <w:r>
              <w:rPr>
                <w:rFonts w:ascii="宋体" w:hAnsi="宋体" w:eastAsia="宋体" w:cs="宋体"/>
                <w:spacing w:val="7"/>
                <w:sz w:val="20"/>
                <w:szCs w:val="20"/>
              </w:rPr>
              <w:t>距中心</w:t>
            </w:r>
            <w:r>
              <w:rPr>
                <w:rFonts w:ascii="宋体" w:hAnsi="宋体" w:eastAsia="宋体" w:cs="宋体"/>
                <w:spacing w:val="3"/>
                <w:sz w:val="20"/>
                <w:szCs w:val="20"/>
              </w:rPr>
              <w:t>线离</w:t>
            </w:r>
          </w:p>
        </w:tc>
        <w:tc>
          <w:tcPr>
            <w:tcW w:w="1159" w:type="dxa"/>
            <w:tcBorders>
              <w:top w:val="single" w:color="000000" w:sz="10" w:space="0"/>
            </w:tcBorders>
            <w:vAlign w:val="top"/>
          </w:tcPr>
          <w:p w14:paraId="23C99E0F">
            <w:pPr>
              <w:spacing w:before="212" w:line="229" w:lineRule="auto"/>
              <w:ind w:left="175"/>
              <w:rPr>
                <w:rFonts w:ascii="宋体" w:hAnsi="宋体" w:eastAsia="宋体" w:cs="宋体"/>
                <w:sz w:val="20"/>
                <w:szCs w:val="20"/>
              </w:rPr>
            </w:pPr>
            <w:r>
              <w:rPr>
                <w:rFonts w:ascii="宋体" w:hAnsi="宋体" w:eastAsia="宋体" w:cs="宋体"/>
                <w:spacing w:val="4"/>
                <w:sz w:val="20"/>
                <w:szCs w:val="20"/>
              </w:rPr>
              <w:t>点位名称</w:t>
            </w:r>
          </w:p>
        </w:tc>
        <w:tc>
          <w:tcPr>
            <w:tcW w:w="1843" w:type="dxa"/>
            <w:tcBorders>
              <w:top w:val="single" w:color="000000" w:sz="10" w:space="0"/>
            </w:tcBorders>
            <w:vAlign w:val="top"/>
          </w:tcPr>
          <w:p w14:paraId="69ACC886">
            <w:pPr>
              <w:spacing w:before="212" w:line="228" w:lineRule="auto"/>
              <w:ind w:left="403"/>
              <w:rPr>
                <w:rFonts w:ascii="宋体" w:hAnsi="宋体" w:eastAsia="宋体" w:cs="宋体"/>
                <w:sz w:val="20"/>
                <w:szCs w:val="20"/>
              </w:rPr>
            </w:pPr>
            <w:r>
              <w:rPr>
                <w:rFonts w:ascii="宋体" w:hAnsi="宋体" w:eastAsia="宋体" w:cs="宋体"/>
                <w:spacing w:val="7"/>
                <w:sz w:val="20"/>
                <w:szCs w:val="20"/>
              </w:rPr>
              <w:t>敏感点坐标</w:t>
            </w:r>
          </w:p>
        </w:tc>
        <w:tc>
          <w:tcPr>
            <w:tcW w:w="1293" w:type="dxa"/>
            <w:tcBorders>
              <w:top w:val="single" w:color="000000" w:sz="10" w:space="0"/>
              <w:right w:val="nil"/>
            </w:tcBorders>
            <w:vAlign w:val="top"/>
          </w:tcPr>
          <w:p w14:paraId="12967181">
            <w:pPr>
              <w:spacing w:before="212" w:line="229" w:lineRule="auto"/>
              <w:ind w:left="443"/>
              <w:rPr>
                <w:rFonts w:ascii="宋体" w:hAnsi="宋体" w:eastAsia="宋体" w:cs="宋体"/>
                <w:sz w:val="20"/>
                <w:szCs w:val="20"/>
              </w:rPr>
            </w:pPr>
            <w:r>
              <w:rPr>
                <w:rFonts w:ascii="宋体" w:hAnsi="宋体" w:eastAsia="宋体" w:cs="宋体"/>
                <w:spacing w:val="3"/>
                <w:sz w:val="20"/>
                <w:szCs w:val="20"/>
              </w:rPr>
              <w:t>备注</w:t>
            </w:r>
          </w:p>
        </w:tc>
      </w:tr>
    </w:tbl>
    <w:p w14:paraId="4B792760">
      <w:pPr>
        <w:spacing w:before="51" w:line="228" w:lineRule="auto"/>
        <w:ind w:left="3847"/>
        <w:rPr>
          <w:rFonts w:ascii="宋体" w:hAnsi="宋体" w:eastAsia="宋体" w:cs="宋体"/>
          <w:sz w:val="20"/>
          <w:szCs w:val="20"/>
        </w:rPr>
      </w:pPr>
      <w:r>
        <w:rPr>
          <w:rFonts w:ascii="宋体" w:hAnsi="宋体" w:eastAsia="宋体" w:cs="宋体"/>
          <w:b/>
          <w:bCs/>
          <w:spacing w:val="6"/>
          <w:sz w:val="20"/>
          <w:szCs w:val="20"/>
        </w:rPr>
        <w:t>沙圪堵镇</w:t>
      </w:r>
    </w:p>
    <w:p w14:paraId="7507C30F">
      <w:pPr>
        <w:spacing w:line="14" w:lineRule="exact"/>
      </w:pPr>
    </w:p>
    <w:tbl>
      <w:tblPr>
        <w:tblStyle w:val="5"/>
        <w:tblW w:w="851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3"/>
        <w:gridCol w:w="911"/>
        <w:gridCol w:w="608"/>
        <w:gridCol w:w="993"/>
        <w:gridCol w:w="968"/>
        <w:gridCol w:w="1159"/>
        <w:gridCol w:w="1843"/>
        <w:gridCol w:w="1293"/>
      </w:tblGrid>
      <w:tr w14:paraId="121EC9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743" w:type="dxa"/>
            <w:vMerge w:val="restart"/>
            <w:tcBorders>
              <w:left w:val="nil"/>
              <w:bottom w:val="nil"/>
            </w:tcBorders>
            <w:vAlign w:val="top"/>
          </w:tcPr>
          <w:p w14:paraId="6132CE2E">
            <w:pPr>
              <w:spacing w:line="253" w:lineRule="auto"/>
              <w:rPr>
                <w:rFonts w:ascii="Arial"/>
                <w:sz w:val="21"/>
              </w:rPr>
            </w:pPr>
          </w:p>
          <w:p w14:paraId="60055676">
            <w:pPr>
              <w:spacing w:line="253" w:lineRule="auto"/>
              <w:rPr>
                <w:rFonts w:ascii="Arial"/>
                <w:sz w:val="21"/>
              </w:rPr>
            </w:pPr>
          </w:p>
          <w:p w14:paraId="246151BC">
            <w:pPr>
              <w:spacing w:line="253" w:lineRule="auto"/>
              <w:rPr>
                <w:rFonts w:ascii="Arial"/>
                <w:sz w:val="21"/>
              </w:rPr>
            </w:pPr>
          </w:p>
          <w:p w14:paraId="1B2EF364">
            <w:pPr>
              <w:spacing w:line="253" w:lineRule="auto"/>
              <w:rPr>
                <w:rFonts w:ascii="Arial"/>
                <w:sz w:val="21"/>
              </w:rPr>
            </w:pPr>
          </w:p>
          <w:p w14:paraId="2DAC29A4">
            <w:pPr>
              <w:spacing w:before="65" w:line="289" w:lineRule="auto"/>
              <w:ind w:left="168" w:right="161"/>
              <w:jc w:val="both"/>
              <w:rPr>
                <w:rFonts w:ascii="宋体" w:hAnsi="宋体" w:eastAsia="宋体" w:cs="宋体"/>
                <w:sz w:val="20"/>
                <w:szCs w:val="20"/>
              </w:rPr>
            </w:pPr>
            <w:r>
              <w:rPr>
                <w:rFonts w:ascii="宋体" w:hAnsi="宋体" w:eastAsia="宋体" w:cs="宋体"/>
                <w:spacing w:val="4"/>
                <w:sz w:val="20"/>
                <w:szCs w:val="20"/>
              </w:rPr>
              <w:t>双山梁村（李家圪堵至土敖</w:t>
            </w:r>
            <w:r>
              <w:rPr>
                <w:rFonts w:ascii="宋体" w:hAnsi="宋体" w:eastAsia="宋体" w:cs="宋体"/>
                <w:sz w:val="20"/>
                <w:szCs w:val="20"/>
              </w:rPr>
              <w:t>包）</w:t>
            </w:r>
          </w:p>
        </w:tc>
        <w:tc>
          <w:tcPr>
            <w:tcW w:w="911" w:type="dxa"/>
            <w:vAlign w:val="top"/>
          </w:tcPr>
          <w:p w14:paraId="5575CE32">
            <w:pPr>
              <w:spacing w:before="55" w:line="228" w:lineRule="auto"/>
              <w:ind w:left="147"/>
              <w:rPr>
                <w:rFonts w:ascii="宋体" w:hAnsi="宋体" w:eastAsia="宋体" w:cs="宋体"/>
                <w:sz w:val="20"/>
                <w:szCs w:val="20"/>
              </w:rPr>
            </w:pPr>
            <w:r>
              <w:rPr>
                <w:rFonts w:ascii="宋体" w:hAnsi="宋体" w:eastAsia="宋体" w:cs="宋体"/>
                <w:spacing w:val="7"/>
                <w:sz w:val="20"/>
                <w:szCs w:val="20"/>
              </w:rPr>
              <w:t>路段一</w:t>
            </w:r>
          </w:p>
        </w:tc>
        <w:tc>
          <w:tcPr>
            <w:tcW w:w="608" w:type="dxa"/>
            <w:vAlign w:val="top"/>
          </w:tcPr>
          <w:p w14:paraId="6602D249">
            <w:pPr>
              <w:pStyle w:val="6"/>
              <w:spacing w:before="88" w:line="199" w:lineRule="auto"/>
              <w:ind w:left="273"/>
              <w:rPr>
                <w:sz w:val="20"/>
                <w:szCs w:val="20"/>
              </w:rPr>
            </w:pPr>
            <w:r>
              <w:rPr>
                <w:spacing w:val="2"/>
                <w:sz w:val="20"/>
                <w:szCs w:val="20"/>
              </w:rPr>
              <w:t>/</w:t>
            </w:r>
          </w:p>
        </w:tc>
        <w:tc>
          <w:tcPr>
            <w:tcW w:w="993" w:type="dxa"/>
            <w:vAlign w:val="top"/>
          </w:tcPr>
          <w:p w14:paraId="63F97E36">
            <w:pPr>
              <w:pStyle w:val="6"/>
              <w:spacing w:before="88" w:line="199" w:lineRule="auto"/>
              <w:ind w:left="464"/>
              <w:rPr>
                <w:sz w:val="20"/>
                <w:szCs w:val="20"/>
              </w:rPr>
            </w:pPr>
            <w:r>
              <w:rPr>
                <w:spacing w:val="2"/>
                <w:sz w:val="20"/>
                <w:szCs w:val="20"/>
              </w:rPr>
              <w:t>/</w:t>
            </w:r>
          </w:p>
        </w:tc>
        <w:tc>
          <w:tcPr>
            <w:tcW w:w="968" w:type="dxa"/>
            <w:vAlign w:val="top"/>
          </w:tcPr>
          <w:p w14:paraId="0F5E8980">
            <w:pPr>
              <w:pStyle w:val="6"/>
              <w:spacing w:before="88" w:line="199" w:lineRule="auto"/>
              <w:ind w:left="453"/>
              <w:rPr>
                <w:sz w:val="20"/>
                <w:szCs w:val="20"/>
              </w:rPr>
            </w:pPr>
            <w:r>
              <w:rPr>
                <w:spacing w:val="2"/>
                <w:sz w:val="20"/>
                <w:szCs w:val="20"/>
              </w:rPr>
              <w:t>/</w:t>
            </w:r>
          </w:p>
        </w:tc>
        <w:tc>
          <w:tcPr>
            <w:tcW w:w="1159" w:type="dxa"/>
            <w:vAlign w:val="top"/>
          </w:tcPr>
          <w:p w14:paraId="763E65E3">
            <w:pPr>
              <w:pStyle w:val="6"/>
              <w:spacing w:before="88" w:line="199" w:lineRule="auto"/>
              <w:ind w:left="548"/>
              <w:rPr>
                <w:sz w:val="20"/>
                <w:szCs w:val="20"/>
              </w:rPr>
            </w:pPr>
            <w:r>
              <w:rPr>
                <w:spacing w:val="2"/>
                <w:sz w:val="20"/>
                <w:szCs w:val="20"/>
              </w:rPr>
              <w:t>/</w:t>
            </w:r>
          </w:p>
        </w:tc>
        <w:tc>
          <w:tcPr>
            <w:tcW w:w="1843" w:type="dxa"/>
            <w:vAlign w:val="top"/>
          </w:tcPr>
          <w:p w14:paraId="09972C9A">
            <w:pPr>
              <w:pStyle w:val="6"/>
              <w:spacing w:before="88" w:line="199" w:lineRule="auto"/>
              <w:ind w:left="891"/>
              <w:rPr>
                <w:sz w:val="20"/>
                <w:szCs w:val="20"/>
              </w:rPr>
            </w:pPr>
            <w:r>
              <w:rPr>
                <w:spacing w:val="2"/>
                <w:sz w:val="20"/>
                <w:szCs w:val="20"/>
              </w:rPr>
              <w:t>/</w:t>
            </w:r>
          </w:p>
        </w:tc>
        <w:tc>
          <w:tcPr>
            <w:tcW w:w="1293" w:type="dxa"/>
            <w:tcBorders>
              <w:right w:val="nil"/>
            </w:tcBorders>
            <w:vAlign w:val="top"/>
          </w:tcPr>
          <w:p w14:paraId="664AEDC4">
            <w:pPr>
              <w:pStyle w:val="6"/>
              <w:spacing w:before="88" w:line="199" w:lineRule="auto"/>
              <w:ind w:left="615"/>
              <w:rPr>
                <w:sz w:val="20"/>
                <w:szCs w:val="20"/>
              </w:rPr>
            </w:pPr>
            <w:r>
              <w:rPr>
                <w:spacing w:val="2"/>
                <w:sz w:val="20"/>
                <w:szCs w:val="20"/>
              </w:rPr>
              <w:t>/</w:t>
            </w:r>
          </w:p>
        </w:tc>
      </w:tr>
      <w:tr w14:paraId="7B06CA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743" w:type="dxa"/>
            <w:vMerge w:val="continue"/>
            <w:tcBorders>
              <w:top w:val="nil"/>
              <w:left w:val="nil"/>
              <w:bottom w:val="nil"/>
            </w:tcBorders>
            <w:vAlign w:val="top"/>
          </w:tcPr>
          <w:p w14:paraId="3DD26051">
            <w:pPr>
              <w:rPr>
                <w:rFonts w:ascii="Arial"/>
                <w:sz w:val="21"/>
              </w:rPr>
            </w:pPr>
          </w:p>
        </w:tc>
        <w:tc>
          <w:tcPr>
            <w:tcW w:w="911" w:type="dxa"/>
            <w:vAlign w:val="top"/>
          </w:tcPr>
          <w:p w14:paraId="1C59839F">
            <w:pPr>
              <w:spacing w:before="52" w:line="228" w:lineRule="auto"/>
              <w:ind w:left="147"/>
              <w:rPr>
                <w:rFonts w:ascii="宋体" w:hAnsi="宋体" w:eastAsia="宋体" w:cs="宋体"/>
                <w:sz w:val="20"/>
                <w:szCs w:val="20"/>
              </w:rPr>
            </w:pPr>
            <w:r>
              <w:rPr>
                <w:rFonts w:ascii="宋体" w:hAnsi="宋体" w:eastAsia="宋体" w:cs="宋体"/>
                <w:spacing w:val="6"/>
                <w:sz w:val="20"/>
                <w:szCs w:val="20"/>
              </w:rPr>
              <w:t>路段二</w:t>
            </w:r>
          </w:p>
        </w:tc>
        <w:tc>
          <w:tcPr>
            <w:tcW w:w="608" w:type="dxa"/>
            <w:vAlign w:val="top"/>
          </w:tcPr>
          <w:p w14:paraId="698CEB81">
            <w:pPr>
              <w:pStyle w:val="6"/>
              <w:spacing w:before="84" w:line="199" w:lineRule="auto"/>
              <w:ind w:left="273"/>
              <w:rPr>
                <w:sz w:val="20"/>
                <w:szCs w:val="20"/>
              </w:rPr>
            </w:pPr>
            <w:r>
              <w:rPr>
                <w:spacing w:val="2"/>
                <w:sz w:val="20"/>
                <w:szCs w:val="20"/>
              </w:rPr>
              <w:t>/</w:t>
            </w:r>
          </w:p>
        </w:tc>
        <w:tc>
          <w:tcPr>
            <w:tcW w:w="993" w:type="dxa"/>
            <w:vAlign w:val="top"/>
          </w:tcPr>
          <w:p w14:paraId="23D08333">
            <w:pPr>
              <w:pStyle w:val="6"/>
              <w:spacing w:before="84" w:line="199" w:lineRule="auto"/>
              <w:ind w:left="464"/>
              <w:rPr>
                <w:sz w:val="20"/>
                <w:szCs w:val="20"/>
              </w:rPr>
            </w:pPr>
            <w:r>
              <w:rPr>
                <w:spacing w:val="2"/>
                <w:sz w:val="20"/>
                <w:szCs w:val="20"/>
              </w:rPr>
              <w:t>/</w:t>
            </w:r>
          </w:p>
        </w:tc>
        <w:tc>
          <w:tcPr>
            <w:tcW w:w="968" w:type="dxa"/>
            <w:vAlign w:val="top"/>
          </w:tcPr>
          <w:p w14:paraId="7213CE22">
            <w:pPr>
              <w:pStyle w:val="6"/>
              <w:spacing w:before="84" w:line="199" w:lineRule="auto"/>
              <w:ind w:left="453"/>
              <w:rPr>
                <w:sz w:val="20"/>
                <w:szCs w:val="20"/>
              </w:rPr>
            </w:pPr>
            <w:r>
              <w:rPr>
                <w:spacing w:val="2"/>
                <w:sz w:val="20"/>
                <w:szCs w:val="20"/>
              </w:rPr>
              <w:t>/</w:t>
            </w:r>
          </w:p>
        </w:tc>
        <w:tc>
          <w:tcPr>
            <w:tcW w:w="1159" w:type="dxa"/>
            <w:vAlign w:val="top"/>
          </w:tcPr>
          <w:p w14:paraId="711B3BCB">
            <w:pPr>
              <w:pStyle w:val="6"/>
              <w:spacing w:before="84" w:line="199" w:lineRule="auto"/>
              <w:ind w:left="548"/>
              <w:rPr>
                <w:sz w:val="20"/>
                <w:szCs w:val="20"/>
              </w:rPr>
            </w:pPr>
            <w:r>
              <w:rPr>
                <w:spacing w:val="2"/>
                <w:sz w:val="20"/>
                <w:szCs w:val="20"/>
              </w:rPr>
              <w:t>/</w:t>
            </w:r>
          </w:p>
        </w:tc>
        <w:tc>
          <w:tcPr>
            <w:tcW w:w="1843" w:type="dxa"/>
            <w:vAlign w:val="top"/>
          </w:tcPr>
          <w:p w14:paraId="7769485E">
            <w:pPr>
              <w:pStyle w:val="6"/>
              <w:spacing w:before="84" w:line="199" w:lineRule="auto"/>
              <w:ind w:left="891"/>
              <w:rPr>
                <w:sz w:val="20"/>
                <w:szCs w:val="20"/>
              </w:rPr>
            </w:pPr>
            <w:r>
              <w:rPr>
                <w:spacing w:val="2"/>
                <w:sz w:val="20"/>
                <w:szCs w:val="20"/>
              </w:rPr>
              <w:t>/</w:t>
            </w:r>
          </w:p>
        </w:tc>
        <w:tc>
          <w:tcPr>
            <w:tcW w:w="1293" w:type="dxa"/>
            <w:tcBorders>
              <w:right w:val="nil"/>
            </w:tcBorders>
            <w:vAlign w:val="top"/>
          </w:tcPr>
          <w:p w14:paraId="28736D86">
            <w:pPr>
              <w:rPr>
                <w:rFonts w:ascii="Arial"/>
                <w:sz w:val="21"/>
              </w:rPr>
            </w:pPr>
          </w:p>
        </w:tc>
      </w:tr>
      <w:tr w14:paraId="6116CA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743" w:type="dxa"/>
            <w:vMerge w:val="continue"/>
            <w:tcBorders>
              <w:top w:val="nil"/>
              <w:left w:val="nil"/>
              <w:bottom w:val="nil"/>
            </w:tcBorders>
            <w:vAlign w:val="top"/>
          </w:tcPr>
          <w:p w14:paraId="73852797">
            <w:pPr>
              <w:rPr>
                <w:rFonts w:ascii="Arial"/>
                <w:sz w:val="21"/>
              </w:rPr>
            </w:pPr>
          </w:p>
        </w:tc>
        <w:tc>
          <w:tcPr>
            <w:tcW w:w="911" w:type="dxa"/>
            <w:vAlign w:val="top"/>
          </w:tcPr>
          <w:p w14:paraId="6BC018AC">
            <w:pPr>
              <w:spacing w:before="209" w:line="228" w:lineRule="auto"/>
              <w:ind w:left="147"/>
              <w:rPr>
                <w:rFonts w:ascii="宋体" w:hAnsi="宋体" w:eastAsia="宋体" w:cs="宋体"/>
                <w:sz w:val="20"/>
                <w:szCs w:val="20"/>
              </w:rPr>
            </w:pPr>
            <w:r>
              <w:rPr>
                <w:rFonts w:ascii="宋体" w:hAnsi="宋体" w:eastAsia="宋体" w:cs="宋体"/>
                <w:spacing w:val="6"/>
                <w:sz w:val="20"/>
                <w:szCs w:val="20"/>
              </w:rPr>
              <w:t>路段三</w:t>
            </w:r>
          </w:p>
        </w:tc>
        <w:tc>
          <w:tcPr>
            <w:tcW w:w="608" w:type="dxa"/>
            <w:textDirection w:val="tbRlV"/>
            <w:vAlign w:val="top"/>
          </w:tcPr>
          <w:p w14:paraId="303F8F45">
            <w:pPr>
              <w:spacing w:before="197" w:line="217" w:lineRule="auto"/>
              <w:ind w:left="54"/>
              <w:rPr>
                <w:rFonts w:ascii="宋体" w:hAnsi="宋体" w:eastAsia="宋体" w:cs="宋体"/>
                <w:sz w:val="20"/>
                <w:szCs w:val="20"/>
              </w:rPr>
            </w:pPr>
            <w:r>
              <w:rPr>
                <w:rFonts w:ascii="宋体" w:hAnsi="宋体" w:eastAsia="宋体" w:cs="宋体"/>
                <w:spacing w:val="6"/>
                <w:sz w:val="20"/>
                <w:szCs w:val="20"/>
              </w:rPr>
              <w:t>右 侧</w:t>
            </w:r>
          </w:p>
        </w:tc>
        <w:tc>
          <w:tcPr>
            <w:tcW w:w="993" w:type="dxa"/>
            <w:vAlign w:val="top"/>
          </w:tcPr>
          <w:p w14:paraId="4127823D">
            <w:pPr>
              <w:pStyle w:val="6"/>
              <w:spacing w:before="246" w:line="195" w:lineRule="auto"/>
              <w:ind w:left="151"/>
              <w:rPr>
                <w:sz w:val="20"/>
                <w:szCs w:val="20"/>
              </w:rPr>
            </w:pPr>
            <w:r>
              <w:rPr>
                <w:spacing w:val="4"/>
                <w:sz w:val="20"/>
                <w:szCs w:val="20"/>
              </w:rPr>
              <w:t>K0+970</w:t>
            </w:r>
          </w:p>
        </w:tc>
        <w:tc>
          <w:tcPr>
            <w:tcW w:w="968" w:type="dxa"/>
            <w:vAlign w:val="top"/>
          </w:tcPr>
          <w:p w14:paraId="7125C48F">
            <w:pPr>
              <w:pStyle w:val="6"/>
              <w:spacing w:before="246" w:line="195" w:lineRule="auto"/>
              <w:ind w:left="384"/>
              <w:rPr>
                <w:sz w:val="20"/>
                <w:szCs w:val="20"/>
              </w:rPr>
            </w:pPr>
            <w:r>
              <w:rPr>
                <w:sz w:val="20"/>
                <w:szCs w:val="20"/>
              </w:rPr>
              <w:t>31</w:t>
            </w:r>
          </w:p>
        </w:tc>
        <w:tc>
          <w:tcPr>
            <w:tcW w:w="1159" w:type="dxa"/>
            <w:vAlign w:val="top"/>
          </w:tcPr>
          <w:p w14:paraId="10C865A6">
            <w:pPr>
              <w:pStyle w:val="6"/>
              <w:spacing w:before="53" w:line="259" w:lineRule="auto"/>
              <w:ind w:left="480" w:right="125" w:hanging="352"/>
              <w:rPr>
                <w:rFonts w:ascii="宋体" w:hAnsi="宋体" w:eastAsia="宋体" w:cs="宋体"/>
                <w:sz w:val="20"/>
                <w:szCs w:val="20"/>
              </w:rPr>
            </w:pPr>
            <w:r>
              <w:rPr>
                <w:rFonts w:ascii="宋体" w:hAnsi="宋体" w:eastAsia="宋体" w:cs="宋体"/>
                <w:spacing w:val="6"/>
                <w:sz w:val="20"/>
                <w:szCs w:val="20"/>
              </w:rPr>
              <w:t>庙圪梁</w:t>
            </w:r>
            <w:r>
              <w:rPr>
                <w:spacing w:val="6"/>
                <w:sz w:val="20"/>
                <w:szCs w:val="20"/>
              </w:rPr>
              <w:t>-</w:t>
            </w:r>
            <w:r>
              <w:rPr>
                <w:rFonts w:ascii="宋体" w:hAnsi="宋体" w:eastAsia="宋体" w:cs="宋体"/>
                <w:spacing w:val="6"/>
                <w:sz w:val="20"/>
                <w:szCs w:val="20"/>
              </w:rPr>
              <w:t>散</w:t>
            </w:r>
            <w:r>
              <w:rPr>
                <w:rFonts w:ascii="宋体" w:hAnsi="宋体" w:eastAsia="宋体" w:cs="宋体"/>
                <w:sz w:val="20"/>
                <w:szCs w:val="20"/>
              </w:rPr>
              <w:t>户</w:t>
            </w:r>
          </w:p>
        </w:tc>
        <w:tc>
          <w:tcPr>
            <w:tcW w:w="1843" w:type="dxa"/>
            <w:vAlign w:val="top"/>
          </w:tcPr>
          <w:p w14:paraId="32F7412C">
            <w:pPr>
              <w:pStyle w:val="6"/>
              <w:spacing w:before="90" w:line="195" w:lineRule="auto"/>
              <w:ind w:left="291"/>
              <w:rPr>
                <w:sz w:val="20"/>
                <w:szCs w:val="20"/>
              </w:rPr>
            </w:pPr>
            <w:r>
              <w:rPr>
                <w:spacing w:val="2"/>
                <w:sz w:val="20"/>
                <w:szCs w:val="20"/>
              </w:rPr>
              <w:t>110.877168000</w:t>
            </w:r>
          </w:p>
          <w:p w14:paraId="572A814D">
            <w:pPr>
              <w:pStyle w:val="6"/>
              <w:spacing w:before="125" w:line="195" w:lineRule="auto"/>
              <w:ind w:left="324"/>
              <w:rPr>
                <w:sz w:val="20"/>
                <w:szCs w:val="20"/>
              </w:rPr>
            </w:pPr>
            <w:r>
              <w:rPr>
                <w:spacing w:val="4"/>
                <w:sz w:val="20"/>
                <w:szCs w:val="20"/>
              </w:rPr>
              <w:t>39.568716312</w:t>
            </w:r>
          </w:p>
        </w:tc>
        <w:tc>
          <w:tcPr>
            <w:tcW w:w="1293" w:type="dxa"/>
            <w:tcBorders>
              <w:right w:val="nil"/>
            </w:tcBorders>
            <w:vAlign w:val="top"/>
          </w:tcPr>
          <w:p w14:paraId="76C2EE2B">
            <w:pPr>
              <w:pStyle w:val="6"/>
              <w:spacing w:before="242" w:line="199" w:lineRule="auto"/>
              <w:ind w:left="615"/>
              <w:rPr>
                <w:sz w:val="20"/>
                <w:szCs w:val="20"/>
              </w:rPr>
            </w:pPr>
            <w:r>
              <w:rPr>
                <w:spacing w:val="2"/>
                <w:sz w:val="20"/>
                <w:szCs w:val="20"/>
              </w:rPr>
              <w:t>/</w:t>
            </w:r>
          </w:p>
        </w:tc>
      </w:tr>
      <w:tr w14:paraId="3C8136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743" w:type="dxa"/>
            <w:vMerge w:val="continue"/>
            <w:tcBorders>
              <w:top w:val="nil"/>
              <w:left w:val="nil"/>
              <w:bottom w:val="nil"/>
            </w:tcBorders>
            <w:vAlign w:val="top"/>
          </w:tcPr>
          <w:p w14:paraId="7787FD72">
            <w:pPr>
              <w:rPr>
                <w:rFonts w:ascii="Arial"/>
                <w:sz w:val="21"/>
              </w:rPr>
            </w:pPr>
          </w:p>
        </w:tc>
        <w:tc>
          <w:tcPr>
            <w:tcW w:w="911" w:type="dxa"/>
            <w:vAlign w:val="top"/>
          </w:tcPr>
          <w:p w14:paraId="4123EDC2">
            <w:pPr>
              <w:spacing w:before="60" w:line="226" w:lineRule="auto"/>
              <w:ind w:left="147"/>
              <w:rPr>
                <w:rFonts w:ascii="宋体" w:hAnsi="宋体" w:eastAsia="宋体" w:cs="宋体"/>
                <w:sz w:val="20"/>
                <w:szCs w:val="20"/>
              </w:rPr>
            </w:pPr>
            <w:r>
              <w:rPr>
                <w:rFonts w:ascii="宋体" w:hAnsi="宋体" w:eastAsia="宋体" w:cs="宋体"/>
                <w:spacing w:val="6"/>
                <w:sz w:val="20"/>
                <w:szCs w:val="20"/>
              </w:rPr>
              <w:t>路段四</w:t>
            </w:r>
          </w:p>
        </w:tc>
        <w:tc>
          <w:tcPr>
            <w:tcW w:w="608" w:type="dxa"/>
            <w:vAlign w:val="top"/>
          </w:tcPr>
          <w:p w14:paraId="0A09C331">
            <w:pPr>
              <w:pStyle w:val="6"/>
              <w:spacing w:before="92" w:line="199" w:lineRule="auto"/>
              <w:ind w:left="273"/>
              <w:rPr>
                <w:sz w:val="20"/>
                <w:szCs w:val="20"/>
              </w:rPr>
            </w:pPr>
            <w:r>
              <w:rPr>
                <w:spacing w:val="2"/>
                <w:sz w:val="20"/>
                <w:szCs w:val="20"/>
              </w:rPr>
              <w:t>/</w:t>
            </w:r>
          </w:p>
        </w:tc>
        <w:tc>
          <w:tcPr>
            <w:tcW w:w="993" w:type="dxa"/>
            <w:vAlign w:val="top"/>
          </w:tcPr>
          <w:p w14:paraId="27159238">
            <w:pPr>
              <w:pStyle w:val="6"/>
              <w:spacing w:before="92" w:line="199" w:lineRule="auto"/>
              <w:ind w:left="464"/>
              <w:rPr>
                <w:sz w:val="20"/>
                <w:szCs w:val="20"/>
              </w:rPr>
            </w:pPr>
            <w:r>
              <w:rPr>
                <w:spacing w:val="2"/>
                <w:sz w:val="20"/>
                <w:szCs w:val="20"/>
              </w:rPr>
              <w:t>/</w:t>
            </w:r>
          </w:p>
        </w:tc>
        <w:tc>
          <w:tcPr>
            <w:tcW w:w="968" w:type="dxa"/>
            <w:vAlign w:val="top"/>
          </w:tcPr>
          <w:p w14:paraId="3B75D9FB">
            <w:pPr>
              <w:pStyle w:val="6"/>
              <w:spacing w:before="92" w:line="199" w:lineRule="auto"/>
              <w:ind w:left="453"/>
              <w:rPr>
                <w:sz w:val="20"/>
                <w:szCs w:val="20"/>
              </w:rPr>
            </w:pPr>
            <w:r>
              <w:rPr>
                <w:spacing w:val="2"/>
                <w:sz w:val="20"/>
                <w:szCs w:val="20"/>
              </w:rPr>
              <w:t>/</w:t>
            </w:r>
          </w:p>
        </w:tc>
        <w:tc>
          <w:tcPr>
            <w:tcW w:w="1159" w:type="dxa"/>
            <w:vAlign w:val="top"/>
          </w:tcPr>
          <w:p w14:paraId="5F7064A8">
            <w:pPr>
              <w:pStyle w:val="6"/>
              <w:spacing w:before="92" w:line="199" w:lineRule="auto"/>
              <w:ind w:left="548"/>
              <w:rPr>
                <w:sz w:val="20"/>
                <w:szCs w:val="20"/>
              </w:rPr>
            </w:pPr>
            <w:r>
              <w:rPr>
                <w:spacing w:val="2"/>
                <w:sz w:val="20"/>
                <w:szCs w:val="20"/>
              </w:rPr>
              <w:t>/</w:t>
            </w:r>
          </w:p>
        </w:tc>
        <w:tc>
          <w:tcPr>
            <w:tcW w:w="1843" w:type="dxa"/>
            <w:vAlign w:val="top"/>
          </w:tcPr>
          <w:p w14:paraId="3829E207">
            <w:pPr>
              <w:pStyle w:val="6"/>
              <w:spacing w:before="92" w:line="199" w:lineRule="auto"/>
              <w:ind w:left="891"/>
              <w:rPr>
                <w:sz w:val="20"/>
                <w:szCs w:val="20"/>
              </w:rPr>
            </w:pPr>
            <w:r>
              <w:rPr>
                <w:spacing w:val="2"/>
                <w:sz w:val="20"/>
                <w:szCs w:val="20"/>
              </w:rPr>
              <w:t>/</w:t>
            </w:r>
          </w:p>
        </w:tc>
        <w:tc>
          <w:tcPr>
            <w:tcW w:w="1293" w:type="dxa"/>
            <w:tcBorders>
              <w:right w:val="nil"/>
            </w:tcBorders>
            <w:vAlign w:val="top"/>
          </w:tcPr>
          <w:p w14:paraId="7A1EBF01">
            <w:pPr>
              <w:pStyle w:val="6"/>
              <w:spacing w:before="92" w:line="199" w:lineRule="auto"/>
              <w:ind w:left="615"/>
              <w:rPr>
                <w:sz w:val="20"/>
                <w:szCs w:val="20"/>
              </w:rPr>
            </w:pPr>
            <w:r>
              <w:rPr>
                <w:spacing w:val="2"/>
                <w:sz w:val="20"/>
                <w:szCs w:val="20"/>
              </w:rPr>
              <w:t>/</w:t>
            </w:r>
          </w:p>
        </w:tc>
      </w:tr>
      <w:tr w14:paraId="7D50DD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743" w:type="dxa"/>
            <w:vMerge w:val="continue"/>
            <w:tcBorders>
              <w:top w:val="nil"/>
              <w:left w:val="nil"/>
              <w:bottom w:val="nil"/>
            </w:tcBorders>
            <w:vAlign w:val="top"/>
          </w:tcPr>
          <w:p w14:paraId="2FB8B3F1">
            <w:pPr>
              <w:rPr>
                <w:rFonts w:ascii="Arial"/>
                <w:sz w:val="21"/>
              </w:rPr>
            </w:pPr>
          </w:p>
        </w:tc>
        <w:tc>
          <w:tcPr>
            <w:tcW w:w="911" w:type="dxa"/>
            <w:vAlign w:val="top"/>
          </w:tcPr>
          <w:p w14:paraId="500B57C1">
            <w:pPr>
              <w:spacing w:before="62" w:line="224" w:lineRule="auto"/>
              <w:ind w:left="147"/>
              <w:rPr>
                <w:rFonts w:ascii="宋体" w:hAnsi="宋体" w:eastAsia="宋体" w:cs="宋体"/>
                <w:sz w:val="20"/>
                <w:szCs w:val="20"/>
              </w:rPr>
            </w:pPr>
            <w:r>
              <w:rPr>
                <w:rFonts w:ascii="宋体" w:hAnsi="宋体" w:eastAsia="宋体" w:cs="宋体"/>
                <w:spacing w:val="6"/>
                <w:sz w:val="20"/>
                <w:szCs w:val="20"/>
              </w:rPr>
              <w:t>路段五</w:t>
            </w:r>
          </w:p>
        </w:tc>
        <w:tc>
          <w:tcPr>
            <w:tcW w:w="608" w:type="dxa"/>
            <w:vAlign w:val="top"/>
          </w:tcPr>
          <w:p w14:paraId="4B4A33DD">
            <w:pPr>
              <w:pStyle w:val="6"/>
              <w:spacing w:before="93" w:line="199" w:lineRule="auto"/>
              <w:ind w:left="273"/>
              <w:rPr>
                <w:sz w:val="20"/>
                <w:szCs w:val="20"/>
              </w:rPr>
            </w:pPr>
            <w:r>
              <w:rPr>
                <w:spacing w:val="2"/>
                <w:sz w:val="20"/>
                <w:szCs w:val="20"/>
              </w:rPr>
              <w:t>/</w:t>
            </w:r>
          </w:p>
        </w:tc>
        <w:tc>
          <w:tcPr>
            <w:tcW w:w="993" w:type="dxa"/>
            <w:vAlign w:val="top"/>
          </w:tcPr>
          <w:p w14:paraId="35A1B8F4">
            <w:pPr>
              <w:pStyle w:val="6"/>
              <w:spacing w:before="93" w:line="199" w:lineRule="auto"/>
              <w:ind w:left="464"/>
              <w:rPr>
                <w:sz w:val="20"/>
                <w:szCs w:val="20"/>
              </w:rPr>
            </w:pPr>
            <w:r>
              <w:rPr>
                <w:spacing w:val="2"/>
                <w:sz w:val="20"/>
                <w:szCs w:val="20"/>
              </w:rPr>
              <w:t>/</w:t>
            </w:r>
          </w:p>
        </w:tc>
        <w:tc>
          <w:tcPr>
            <w:tcW w:w="968" w:type="dxa"/>
            <w:vAlign w:val="top"/>
          </w:tcPr>
          <w:p w14:paraId="7877BA0B">
            <w:pPr>
              <w:pStyle w:val="6"/>
              <w:spacing w:before="93" w:line="199" w:lineRule="auto"/>
              <w:ind w:left="453"/>
              <w:rPr>
                <w:sz w:val="20"/>
                <w:szCs w:val="20"/>
              </w:rPr>
            </w:pPr>
            <w:r>
              <w:rPr>
                <w:spacing w:val="2"/>
                <w:sz w:val="20"/>
                <w:szCs w:val="20"/>
              </w:rPr>
              <w:t>/</w:t>
            </w:r>
          </w:p>
        </w:tc>
        <w:tc>
          <w:tcPr>
            <w:tcW w:w="1159" w:type="dxa"/>
            <w:vAlign w:val="top"/>
          </w:tcPr>
          <w:p w14:paraId="0F457AB5">
            <w:pPr>
              <w:pStyle w:val="6"/>
              <w:spacing w:before="93" w:line="199" w:lineRule="auto"/>
              <w:ind w:left="548"/>
              <w:rPr>
                <w:sz w:val="20"/>
                <w:szCs w:val="20"/>
              </w:rPr>
            </w:pPr>
            <w:r>
              <w:rPr>
                <w:spacing w:val="2"/>
                <w:sz w:val="20"/>
                <w:szCs w:val="20"/>
              </w:rPr>
              <w:t>/</w:t>
            </w:r>
          </w:p>
        </w:tc>
        <w:tc>
          <w:tcPr>
            <w:tcW w:w="1843" w:type="dxa"/>
            <w:vAlign w:val="top"/>
          </w:tcPr>
          <w:p w14:paraId="6B0890E9">
            <w:pPr>
              <w:pStyle w:val="6"/>
              <w:spacing w:before="93" w:line="199" w:lineRule="auto"/>
              <w:ind w:left="891"/>
              <w:rPr>
                <w:sz w:val="20"/>
                <w:szCs w:val="20"/>
              </w:rPr>
            </w:pPr>
            <w:r>
              <w:rPr>
                <w:spacing w:val="2"/>
                <w:sz w:val="20"/>
                <w:szCs w:val="20"/>
              </w:rPr>
              <w:t>/</w:t>
            </w:r>
          </w:p>
        </w:tc>
        <w:tc>
          <w:tcPr>
            <w:tcW w:w="1293" w:type="dxa"/>
            <w:tcBorders>
              <w:right w:val="nil"/>
            </w:tcBorders>
            <w:vAlign w:val="top"/>
          </w:tcPr>
          <w:p w14:paraId="4B22679C">
            <w:pPr>
              <w:pStyle w:val="6"/>
              <w:spacing w:before="93" w:line="199" w:lineRule="auto"/>
              <w:ind w:left="615"/>
              <w:rPr>
                <w:sz w:val="20"/>
                <w:szCs w:val="20"/>
              </w:rPr>
            </w:pPr>
            <w:r>
              <w:rPr>
                <w:spacing w:val="2"/>
                <w:sz w:val="20"/>
                <w:szCs w:val="20"/>
              </w:rPr>
              <w:t>/</w:t>
            </w:r>
          </w:p>
        </w:tc>
      </w:tr>
      <w:tr w14:paraId="1B731F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743" w:type="dxa"/>
            <w:vMerge w:val="continue"/>
            <w:tcBorders>
              <w:top w:val="nil"/>
              <w:left w:val="nil"/>
              <w:bottom w:val="nil"/>
            </w:tcBorders>
            <w:vAlign w:val="top"/>
          </w:tcPr>
          <w:p w14:paraId="6367A942">
            <w:pPr>
              <w:rPr>
                <w:rFonts w:ascii="Arial"/>
                <w:sz w:val="21"/>
              </w:rPr>
            </w:pPr>
          </w:p>
        </w:tc>
        <w:tc>
          <w:tcPr>
            <w:tcW w:w="911" w:type="dxa"/>
            <w:vAlign w:val="top"/>
          </w:tcPr>
          <w:p w14:paraId="13FF315F">
            <w:pPr>
              <w:spacing w:before="219" w:line="228" w:lineRule="auto"/>
              <w:ind w:left="147"/>
              <w:rPr>
                <w:rFonts w:ascii="宋体" w:hAnsi="宋体" w:eastAsia="宋体" w:cs="宋体"/>
                <w:sz w:val="20"/>
                <w:szCs w:val="20"/>
              </w:rPr>
            </w:pPr>
            <w:r>
              <w:rPr>
                <w:rFonts w:ascii="宋体" w:hAnsi="宋体" w:eastAsia="宋体" w:cs="宋体"/>
                <w:spacing w:val="6"/>
                <w:sz w:val="20"/>
                <w:szCs w:val="20"/>
              </w:rPr>
              <w:t>路段六</w:t>
            </w:r>
          </w:p>
        </w:tc>
        <w:tc>
          <w:tcPr>
            <w:tcW w:w="608" w:type="dxa"/>
            <w:textDirection w:val="tbRlV"/>
            <w:vAlign w:val="top"/>
          </w:tcPr>
          <w:p w14:paraId="24F8ACD5">
            <w:pPr>
              <w:spacing w:before="197" w:line="217" w:lineRule="auto"/>
              <w:ind w:left="63"/>
              <w:rPr>
                <w:rFonts w:ascii="宋体" w:hAnsi="宋体" w:eastAsia="宋体" w:cs="宋体"/>
                <w:sz w:val="20"/>
                <w:szCs w:val="20"/>
              </w:rPr>
            </w:pPr>
            <w:r>
              <w:rPr>
                <w:rFonts w:ascii="宋体" w:hAnsi="宋体" w:eastAsia="宋体" w:cs="宋体"/>
                <w:spacing w:val="6"/>
                <w:sz w:val="20"/>
                <w:szCs w:val="20"/>
              </w:rPr>
              <w:t>右 侧</w:t>
            </w:r>
          </w:p>
        </w:tc>
        <w:tc>
          <w:tcPr>
            <w:tcW w:w="993" w:type="dxa"/>
            <w:vAlign w:val="top"/>
          </w:tcPr>
          <w:p w14:paraId="56E30089">
            <w:pPr>
              <w:pStyle w:val="6"/>
              <w:spacing w:before="255" w:line="195" w:lineRule="auto"/>
              <w:ind w:left="151"/>
              <w:rPr>
                <w:sz w:val="20"/>
                <w:szCs w:val="20"/>
              </w:rPr>
            </w:pPr>
            <w:r>
              <w:rPr>
                <w:spacing w:val="4"/>
                <w:sz w:val="20"/>
                <w:szCs w:val="20"/>
              </w:rPr>
              <w:t>K0+055</w:t>
            </w:r>
          </w:p>
        </w:tc>
        <w:tc>
          <w:tcPr>
            <w:tcW w:w="968" w:type="dxa"/>
            <w:vAlign w:val="top"/>
          </w:tcPr>
          <w:p w14:paraId="2F3FEE82">
            <w:pPr>
              <w:pStyle w:val="6"/>
              <w:spacing w:before="255" w:line="195" w:lineRule="auto"/>
              <w:ind w:left="400"/>
              <w:rPr>
                <w:sz w:val="20"/>
                <w:szCs w:val="20"/>
              </w:rPr>
            </w:pPr>
            <w:r>
              <w:rPr>
                <w:spacing w:val="-8"/>
                <w:sz w:val="20"/>
                <w:szCs w:val="20"/>
              </w:rPr>
              <w:t>13</w:t>
            </w:r>
          </w:p>
        </w:tc>
        <w:tc>
          <w:tcPr>
            <w:tcW w:w="1159" w:type="dxa"/>
            <w:vAlign w:val="top"/>
          </w:tcPr>
          <w:p w14:paraId="6912231C">
            <w:pPr>
              <w:pStyle w:val="6"/>
              <w:spacing w:before="62" w:line="255" w:lineRule="auto"/>
              <w:ind w:left="479" w:right="125" w:hanging="349"/>
              <w:rPr>
                <w:rFonts w:ascii="宋体" w:hAnsi="宋体" w:eastAsia="宋体" w:cs="宋体"/>
                <w:sz w:val="20"/>
                <w:szCs w:val="20"/>
              </w:rPr>
            </w:pPr>
            <w:r>
              <w:rPr>
                <w:rFonts w:ascii="宋体" w:hAnsi="宋体" w:eastAsia="宋体" w:cs="宋体"/>
                <w:spacing w:val="6"/>
                <w:sz w:val="20"/>
                <w:szCs w:val="20"/>
              </w:rPr>
              <w:t>崔家峁</w:t>
            </w:r>
            <w:r>
              <w:rPr>
                <w:spacing w:val="6"/>
                <w:sz w:val="20"/>
                <w:szCs w:val="20"/>
              </w:rPr>
              <w:t>-</w:t>
            </w:r>
            <w:r>
              <w:rPr>
                <w:rFonts w:ascii="宋体" w:hAnsi="宋体" w:eastAsia="宋体" w:cs="宋体"/>
                <w:spacing w:val="6"/>
                <w:sz w:val="20"/>
                <w:szCs w:val="20"/>
              </w:rPr>
              <w:t>散</w:t>
            </w:r>
            <w:r>
              <w:rPr>
                <w:rFonts w:ascii="宋体" w:hAnsi="宋体" w:eastAsia="宋体" w:cs="宋体"/>
                <w:sz w:val="20"/>
                <w:szCs w:val="20"/>
              </w:rPr>
              <w:t>户</w:t>
            </w:r>
          </w:p>
        </w:tc>
        <w:tc>
          <w:tcPr>
            <w:tcW w:w="1843" w:type="dxa"/>
            <w:vAlign w:val="top"/>
          </w:tcPr>
          <w:p w14:paraId="2AFB3B5F">
            <w:pPr>
              <w:pStyle w:val="6"/>
              <w:spacing w:before="99" w:line="195" w:lineRule="auto"/>
              <w:ind w:left="291"/>
              <w:rPr>
                <w:sz w:val="20"/>
                <w:szCs w:val="20"/>
              </w:rPr>
            </w:pPr>
            <w:r>
              <w:rPr>
                <w:spacing w:val="2"/>
                <w:sz w:val="20"/>
                <w:szCs w:val="20"/>
              </w:rPr>
              <w:t>110.876124621</w:t>
            </w:r>
          </w:p>
          <w:p w14:paraId="6BBA1053">
            <w:pPr>
              <w:pStyle w:val="6"/>
              <w:spacing w:before="125" w:line="195" w:lineRule="auto"/>
              <w:ind w:left="324"/>
              <w:rPr>
                <w:sz w:val="20"/>
                <w:szCs w:val="20"/>
              </w:rPr>
            </w:pPr>
            <w:r>
              <w:rPr>
                <w:spacing w:val="4"/>
                <w:sz w:val="20"/>
                <w:szCs w:val="20"/>
              </w:rPr>
              <w:t>39.547643537</w:t>
            </w:r>
          </w:p>
        </w:tc>
        <w:tc>
          <w:tcPr>
            <w:tcW w:w="1293" w:type="dxa"/>
            <w:tcBorders>
              <w:right w:val="nil"/>
            </w:tcBorders>
            <w:vAlign w:val="top"/>
          </w:tcPr>
          <w:p w14:paraId="4F8C21BF">
            <w:pPr>
              <w:pStyle w:val="6"/>
              <w:spacing w:before="251" w:line="199" w:lineRule="auto"/>
              <w:ind w:left="615"/>
              <w:rPr>
                <w:sz w:val="20"/>
                <w:szCs w:val="20"/>
              </w:rPr>
            </w:pPr>
            <w:r>
              <w:rPr>
                <w:spacing w:val="2"/>
                <w:sz w:val="20"/>
                <w:szCs w:val="20"/>
              </w:rPr>
              <w:t>/</w:t>
            </w:r>
          </w:p>
        </w:tc>
      </w:tr>
      <w:tr w14:paraId="3235C5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743" w:type="dxa"/>
            <w:vMerge w:val="continue"/>
            <w:tcBorders>
              <w:top w:val="nil"/>
              <w:left w:val="nil"/>
              <w:bottom w:val="nil"/>
            </w:tcBorders>
            <w:vAlign w:val="top"/>
          </w:tcPr>
          <w:p w14:paraId="5E3E4831">
            <w:pPr>
              <w:rPr>
                <w:rFonts w:ascii="Arial"/>
                <w:sz w:val="21"/>
              </w:rPr>
            </w:pPr>
          </w:p>
        </w:tc>
        <w:tc>
          <w:tcPr>
            <w:tcW w:w="911" w:type="dxa"/>
            <w:vAlign w:val="top"/>
          </w:tcPr>
          <w:p w14:paraId="0AAC9DC0">
            <w:pPr>
              <w:spacing w:before="90" w:line="228" w:lineRule="auto"/>
              <w:ind w:left="147"/>
              <w:rPr>
                <w:rFonts w:ascii="宋体" w:hAnsi="宋体" w:eastAsia="宋体" w:cs="宋体"/>
                <w:sz w:val="20"/>
                <w:szCs w:val="20"/>
              </w:rPr>
            </w:pPr>
            <w:r>
              <w:rPr>
                <w:rFonts w:ascii="宋体" w:hAnsi="宋体" w:eastAsia="宋体" w:cs="宋体"/>
                <w:spacing w:val="6"/>
                <w:sz w:val="20"/>
                <w:szCs w:val="20"/>
              </w:rPr>
              <w:t>路段七</w:t>
            </w:r>
          </w:p>
        </w:tc>
        <w:tc>
          <w:tcPr>
            <w:tcW w:w="608" w:type="dxa"/>
            <w:vAlign w:val="top"/>
          </w:tcPr>
          <w:p w14:paraId="004FEAA4">
            <w:pPr>
              <w:pStyle w:val="6"/>
              <w:spacing w:before="123" w:line="199" w:lineRule="auto"/>
              <w:ind w:left="273"/>
              <w:rPr>
                <w:sz w:val="20"/>
                <w:szCs w:val="20"/>
              </w:rPr>
            </w:pPr>
            <w:r>
              <w:rPr>
                <w:spacing w:val="2"/>
                <w:sz w:val="20"/>
                <w:szCs w:val="20"/>
              </w:rPr>
              <w:t>/</w:t>
            </w:r>
          </w:p>
        </w:tc>
        <w:tc>
          <w:tcPr>
            <w:tcW w:w="993" w:type="dxa"/>
            <w:vAlign w:val="top"/>
          </w:tcPr>
          <w:p w14:paraId="0D6069F6">
            <w:pPr>
              <w:pStyle w:val="6"/>
              <w:spacing w:before="123" w:line="199" w:lineRule="auto"/>
              <w:ind w:left="464"/>
              <w:rPr>
                <w:sz w:val="20"/>
                <w:szCs w:val="20"/>
              </w:rPr>
            </w:pPr>
            <w:r>
              <w:rPr>
                <w:spacing w:val="2"/>
                <w:sz w:val="20"/>
                <w:szCs w:val="20"/>
              </w:rPr>
              <w:t>/</w:t>
            </w:r>
          </w:p>
        </w:tc>
        <w:tc>
          <w:tcPr>
            <w:tcW w:w="968" w:type="dxa"/>
            <w:vAlign w:val="top"/>
          </w:tcPr>
          <w:p w14:paraId="2EF88534">
            <w:pPr>
              <w:pStyle w:val="6"/>
              <w:spacing w:before="123" w:line="199" w:lineRule="auto"/>
              <w:ind w:left="453"/>
              <w:rPr>
                <w:sz w:val="20"/>
                <w:szCs w:val="20"/>
              </w:rPr>
            </w:pPr>
            <w:r>
              <w:rPr>
                <w:spacing w:val="2"/>
                <w:sz w:val="20"/>
                <w:szCs w:val="20"/>
              </w:rPr>
              <w:t>/</w:t>
            </w:r>
          </w:p>
        </w:tc>
        <w:tc>
          <w:tcPr>
            <w:tcW w:w="1159" w:type="dxa"/>
            <w:vAlign w:val="top"/>
          </w:tcPr>
          <w:p w14:paraId="17BF5F91">
            <w:pPr>
              <w:pStyle w:val="6"/>
              <w:spacing w:before="123" w:line="199" w:lineRule="auto"/>
              <w:ind w:left="548"/>
              <w:rPr>
                <w:sz w:val="20"/>
                <w:szCs w:val="20"/>
              </w:rPr>
            </w:pPr>
            <w:r>
              <w:rPr>
                <w:spacing w:val="2"/>
                <w:sz w:val="20"/>
                <w:szCs w:val="20"/>
              </w:rPr>
              <w:t>/</w:t>
            </w:r>
          </w:p>
        </w:tc>
        <w:tc>
          <w:tcPr>
            <w:tcW w:w="1843" w:type="dxa"/>
            <w:vAlign w:val="top"/>
          </w:tcPr>
          <w:p w14:paraId="63EE93BB">
            <w:pPr>
              <w:pStyle w:val="6"/>
              <w:spacing w:before="123" w:line="199" w:lineRule="auto"/>
              <w:ind w:left="891"/>
              <w:rPr>
                <w:sz w:val="20"/>
                <w:szCs w:val="20"/>
              </w:rPr>
            </w:pPr>
            <w:r>
              <w:rPr>
                <w:spacing w:val="2"/>
                <w:sz w:val="20"/>
                <w:szCs w:val="20"/>
              </w:rPr>
              <w:t>/</w:t>
            </w:r>
          </w:p>
        </w:tc>
        <w:tc>
          <w:tcPr>
            <w:tcW w:w="1293" w:type="dxa"/>
            <w:tcBorders>
              <w:right w:val="nil"/>
            </w:tcBorders>
            <w:vAlign w:val="top"/>
          </w:tcPr>
          <w:p w14:paraId="4A56ED52">
            <w:pPr>
              <w:pStyle w:val="6"/>
              <w:spacing w:before="123" w:line="199" w:lineRule="auto"/>
              <w:ind w:left="615"/>
              <w:rPr>
                <w:sz w:val="20"/>
                <w:szCs w:val="20"/>
              </w:rPr>
            </w:pPr>
            <w:r>
              <w:rPr>
                <w:spacing w:val="2"/>
                <w:sz w:val="20"/>
                <w:szCs w:val="20"/>
              </w:rPr>
              <w:t>/</w:t>
            </w:r>
          </w:p>
        </w:tc>
      </w:tr>
      <w:tr w14:paraId="52CBF6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743" w:type="dxa"/>
            <w:vMerge w:val="continue"/>
            <w:tcBorders>
              <w:top w:val="nil"/>
              <w:left w:val="nil"/>
              <w:bottom w:val="nil"/>
            </w:tcBorders>
            <w:vAlign w:val="top"/>
          </w:tcPr>
          <w:p w14:paraId="4EE498F2">
            <w:pPr>
              <w:rPr>
                <w:rFonts w:ascii="Arial"/>
                <w:sz w:val="21"/>
              </w:rPr>
            </w:pPr>
          </w:p>
        </w:tc>
        <w:tc>
          <w:tcPr>
            <w:tcW w:w="911" w:type="dxa"/>
            <w:vAlign w:val="top"/>
          </w:tcPr>
          <w:p w14:paraId="225CDFC9">
            <w:pPr>
              <w:spacing w:before="93" w:line="228" w:lineRule="auto"/>
              <w:ind w:left="147"/>
              <w:rPr>
                <w:rFonts w:ascii="宋体" w:hAnsi="宋体" w:eastAsia="宋体" w:cs="宋体"/>
                <w:sz w:val="20"/>
                <w:szCs w:val="20"/>
              </w:rPr>
            </w:pPr>
            <w:r>
              <w:rPr>
                <w:rFonts w:ascii="宋体" w:hAnsi="宋体" w:eastAsia="宋体" w:cs="宋体"/>
                <w:spacing w:val="6"/>
                <w:sz w:val="20"/>
                <w:szCs w:val="20"/>
              </w:rPr>
              <w:t>路段八</w:t>
            </w:r>
          </w:p>
        </w:tc>
        <w:tc>
          <w:tcPr>
            <w:tcW w:w="608" w:type="dxa"/>
            <w:vAlign w:val="top"/>
          </w:tcPr>
          <w:p w14:paraId="4267060B">
            <w:pPr>
              <w:pStyle w:val="6"/>
              <w:spacing w:before="126" w:line="199" w:lineRule="auto"/>
              <w:ind w:left="273"/>
              <w:rPr>
                <w:sz w:val="20"/>
                <w:szCs w:val="20"/>
              </w:rPr>
            </w:pPr>
            <w:r>
              <w:rPr>
                <w:spacing w:val="2"/>
                <w:sz w:val="20"/>
                <w:szCs w:val="20"/>
              </w:rPr>
              <w:t>/</w:t>
            </w:r>
          </w:p>
        </w:tc>
        <w:tc>
          <w:tcPr>
            <w:tcW w:w="993" w:type="dxa"/>
            <w:vAlign w:val="top"/>
          </w:tcPr>
          <w:p w14:paraId="5F2DAEF2">
            <w:pPr>
              <w:pStyle w:val="6"/>
              <w:spacing w:before="126" w:line="199" w:lineRule="auto"/>
              <w:ind w:left="464"/>
              <w:rPr>
                <w:sz w:val="20"/>
                <w:szCs w:val="20"/>
              </w:rPr>
            </w:pPr>
            <w:r>
              <w:rPr>
                <w:spacing w:val="2"/>
                <w:sz w:val="20"/>
                <w:szCs w:val="20"/>
              </w:rPr>
              <w:t>/</w:t>
            </w:r>
          </w:p>
        </w:tc>
        <w:tc>
          <w:tcPr>
            <w:tcW w:w="968" w:type="dxa"/>
            <w:vAlign w:val="top"/>
          </w:tcPr>
          <w:p w14:paraId="0D347307">
            <w:pPr>
              <w:pStyle w:val="6"/>
              <w:spacing w:before="126" w:line="199" w:lineRule="auto"/>
              <w:ind w:left="453"/>
              <w:rPr>
                <w:sz w:val="20"/>
                <w:szCs w:val="20"/>
              </w:rPr>
            </w:pPr>
            <w:r>
              <w:rPr>
                <w:spacing w:val="2"/>
                <w:sz w:val="20"/>
                <w:szCs w:val="20"/>
              </w:rPr>
              <w:t>/</w:t>
            </w:r>
          </w:p>
        </w:tc>
        <w:tc>
          <w:tcPr>
            <w:tcW w:w="1159" w:type="dxa"/>
            <w:vAlign w:val="top"/>
          </w:tcPr>
          <w:p w14:paraId="7CF90F90">
            <w:pPr>
              <w:pStyle w:val="6"/>
              <w:spacing w:before="126" w:line="199" w:lineRule="auto"/>
              <w:ind w:left="548"/>
              <w:rPr>
                <w:sz w:val="20"/>
                <w:szCs w:val="20"/>
              </w:rPr>
            </w:pPr>
            <w:r>
              <w:rPr>
                <w:spacing w:val="2"/>
                <w:sz w:val="20"/>
                <w:szCs w:val="20"/>
              </w:rPr>
              <w:t>/</w:t>
            </w:r>
          </w:p>
        </w:tc>
        <w:tc>
          <w:tcPr>
            <w:tcW w:w="1843" w:type="dxa"/>
            <w:vAlign w:val="top"/>
          </w:tcPr>
          <w:p w14:paraId="1A85E063">
            <w:pPr>
              <w:pStyle w:val="6"/>
              <w:spacing w:before="126" w:line="199" w:lineRule="auto"/>
              <w:ind w:left="891"/>
              <w:rPr>
                <w:sz w:val="20"/>
                <w:szCs w:val="20"/>
              </w:rPr>
            </w:pPr>
            <w:r>
              <w:rPr>
                <w:spacing w:val="2"/>
                <w:sz w:val="20"/>
                <w:szCs w:val="20"/>
              </w:rPr>
              <w:t>/</w:t>
            </w:r>
          </w:p>
        </w:tc>
        <w:tc>
          <w:tcPr>
            <w:tcW w:w="1293" w:type="dxa"/>
            <w:tcBorders>
              <w:right w:val="nil"/>
            </w:tcBorders>
            <w:vAlign w:val="top"/>
          </w:tcPr>
          <w:p w14:paraId="4CA371EB">
            <w:pPr>
              <w:rPr>
                <w:rFonts w:ascii="Arial"/>
                <w:sz w:val="21"/>
              </w:rPr>
            </w:pPr>
          </w:p>
        </w:tc>
      </w:tr>
      <w:tr w14:paraId="4EB064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7" w:hRule="atLeast"/>
        </w:trPr>
        <w:tc>
          <w:tcPr>
            <w:tcW w:w="743" w:type="dxa"/>
            <w:vMerge w:val="continue"/>
            <w:tcBorders>
              <w:top w:val="nil"/>
              <w:left w:val="nil"/>
              <w:bottom w:val="single" w:color="000000" w:sz="10" w:space="0"/>
            </w:tcBorders>
            <w:vAlign w:val="top"/>
          </w:tcPr>
          <w:p w14:paraId="525139A2">
            <w:pPr>
              <w:rPr>
                <w:rFonts w:ascii="Arial"/>
                <w:sz w:val="21"/>
              </w:rPr>
            </w:pPr>
          </w:p>
        </w:tc>
        <w:tc>
          <w:tcPr>
            <w:tcW w:w="911" w:type="dxa"/>
            <w:tcBorders>
              <w:bottom w:val="single" w:color="000000" w:sz="10" w:space="0"/>
            </w:tcBorders>
            <w:vAlign w:val="top"/>
          </w:tcPr>
          <w:p w14:paraId="11FD2AAB">
            <w:pPr>
              <w:spacing w:before="70" w:line="228" w:lineRule="auto"/>
              <w:ind w:left="145"/>
              <w:rPr>
                <w:rFonts w:ascii="宋体" w:hAnsi="宋体" w:eastAsia="宋体" w:cs="宋体"/>
                <w:sz w:val="20"/>
                <w:szCs w:val="20"/>
              </w:rPr>
            </w:pPr>
            <w:r>
              <w:rPr>
                <w:rFonts w:ascii="宋体" w:hAnsi="宋体" w:eastAsia="宋体" w:cs="宋体"/>
                <w:spacing w:val="6"/>
                <w:sz w:val="20"/>
                <w:szCs w:val="20"/>
              </w:rPr>
              <w:t>双山梁</w:t>
            </w:r>
          </w:p>
          <w:p w14:paraId="31280A90">
            <w:pPr>
              <w:spacing w:before="66" w:line="260" w:lineRule="auto"/>
              <w:ind w:left="355" w:right="139" w:hanging="210"/>
              <w:rPr>
                <w:rFonts w:ascii="宋体" w:hAnsi="宋体" w:eastAsia="宋体" w:cs="宋体"/>
                <w:sz w:val="20"/>
                <w:szCs w:val="20"/>
              </w:rPr>
            </w:pPr>
            <w:r>
              <w:rPr>
                <w:rFonts w:ascii="宋体" w:hAnsi="宋体" w:eastAsia="宋体" w:cs="宋体"/>
                <w:spacing w:val="6"/>
                <w:sz w:val="20"/>
                <w:szCs w:val="20"/>
              </w:rPr>
              <w:t>通舍公</w:t>
            </w:r>
            <w:r>
              <w:rPr>
                <w:rFonts w:ascii="宋体" w:hAnsi="宋体" w:eastAsia="宋体" w:cs="宋体"/>
                <w:sz w:val="20"/>
                <w:szCs w:val="20"/>
              </w:rPr>
              <w:t>路</w:t>
            </w:r>
          </w:p>
        </w:tc>
        <w:tc>
          <w:tcPr>
            <w:tcW w:w="608" w:type="dxa"/>
            <w:tcBorders>
              <w:bottom w:val="single" w:color="000000" w:sz="10" w:space="0"/>
            </w:tcBorders>
            <w:textDirection w:val="tbRlV"/>
            <w:vAlign w:val="top"/>
          </w:tcPr>
          <w:p w14:paraId="4FB80EF8">
            <w:pPr>
              <w:spacing w:before="197" w:line="217" w:lineRule="auto"/>
              <w:ind w:left="226"/>
              <w:rPr>
                <w:rFonts w:ascii="宋体" w:hAnsi="宋体" w:eastAsia="宋体" w:cs="宋体"/>
                <w:sz w:val="20"/>
                <w:szCs w:val="20"/>
              </w:rPr>
            </w:pPr>
            <w:r>
              <w:rPr>
                <w:rFonts w:ascii="宋体" w:hAnsi="宋体" w:eastAsia="宋体" w:cs="宋体"/>
                <w:spacing w:val="6"/>
                <w:sz w:val="20"/>
                <w:szCs w:val="20"/>
              </w:rPr>
              <w:t>右 侧</w:t>
            </w:r>
          </w:p>
        </w:tc>
        <w:tc>
          <w:tcPr>
            <w:tcW w:w="993" w:type="dxa"/>
            <w:tcBorders>
              <w:bottom w:val="single" w:color="000000" w:sz="10" w:space="0"/>
            </w:tcBorders>
            <w:vAlign w:val="top"/>
          </w:tcPr>
          <w:p w14:paraId="20FA7D1E">
            <w:pPr>
              <w:spacing w:line="358" w:lineRule="auto"/>
              <w:rPr>
                <w:rFonts w:ascii="Arial"/>
                <w:sz w:val="21"/>
              </w:rPr>
            </w:pPr>
          </w:p>
          <w:p w14:paraId="78A655A3">
            <w:pPr>
              <w:pStyle w:val="6"/>
              <w:spacing w:before="58" w:line="195" w:lineRule="auto"/>
              <w:ind w:left="151"/>
              <w:rPr>
                <w:sz w:val="20"/>
                <w:szCs w:val="20"/>
              </w:rPr>
            </w:pPr>
            <w:r>
              <w:rPr>
                <w:spacing w:val="4"/>
                <w:sz w:val="20"/>
                <w:szCs w:val="20"/>
              </w:rPr>
              <w:t>K0+160</w:t>
            </w:r>
          </w:p>
        </w:tc>
        <w:tc>
          <w:tcPr>
            <w:tcW w:w="968" w:type="dxa"/>
            <w:tcBorders>
              <w:bottom w:val="single" w:color="000000" w:sz="10" w:space="0"/>
            </w:tcBorders>
            <w:vAlign w:val="top"/>
          </w:tcPr>
          <w:p w14:paraId="0E03E09A">
            <w:pPr>
              <w:spacing w:line="358" w:lineRule="auto"/>
              <w:rPr>
                <w:rFonts w:ascii="Arial"/>
                <w:sz w:val="21"/>
              </w:rPr>
            </w:pPr>
          </w:p>
          <w:p w14:paraId="2E65A046">
            <w:pPr>
              <w:pStyle w:val="6"/>
              <w:spacing w:before="58" w:line="195" w:lineRule="auto"/>
              <w:ind w:left="347"/>
              <w:rPr>
                <w:sz w:val="20"/>
                <w:szCs w:val="20"/>
              </w:rPr>
            </w:pPr>
            <w:r>
              <w:rPr>
                <w:spacing w:val="-3"/>
                <w:sz w:val="20"/>
                <w:szCs w:val="20"/>
              </w:rPr>
              <w:t>104</w:t>
            </w:r>
          </w:p>
        </w:tc>
        <w:tc>
          <w:tcPr>
            <w:tcW w:w="1159" w:type="dxa"/>
            <w:tcBorders>
              <w:bottom w:val="single" w:color="000000" w:sz="10" w:space="0"/>
            </w:tcBorders>
            <w:vAlign w:val="top"/>
          </w:tcPr>
          <w:p w14:paraId="6090888B">
            <w:pPr>
              <w:pStyle w:val="6"/>
              <w:spacing w:before="226" w:line="290" w:lineRule="auto"/>
              <w:ind w:left="479" w:right="125" w:hanging="343"/>
              <w:rPr>
                <w:rFonts w:ascii="宋体" w:hAnsi="宋体" w:eastAsia="宋体" w:cs="宋体"/>
                <w:sz w:val="20"/>
                <w:szCs w:val="20"/>
              </w:rPr>
            </w:pPr>
            <w:r>
              <w:rPr>
                <w:rFonts w:ascii="宋体" w:hAnsi="宋体" w:eastAsia="宋体" w:cs="宋体"/>
                <w:spacing w:val="5"/>
                <w:sz w:val="20"/>
                <w:szCs w:val="20"/>
              </w:rPr>
              <w:t>瓦窑平</w:t>
            </w:r>
            <w:r>
              <w:rPr>
                <w:spacing w:val="5"/>
                <w:sz w:val="20"/>
                <w:szCs w:val="20"/>
              </w:rPr>
              <w:t>-</w:t>
            </w:r>
            <w:r>
              <w:rPr>
                <w:rFonts w:ascii="宋体" w:hAnsi="宋体" w:eastAsia="宋体" w:cs="宋体"/>
                <w:spacing w:val="5"/>
                <w:sz w:val="20"/>
                <w:szCs w:val="20"/>
              </w:rPr>
              <w:t>散</w:t>
            </w:r>
            <w:r>
              <w:rPr>
                <w:rFonts w:ascii="宋体" w:hAnsi="宋体" w:eastAsia="宋体" w:cs="宋体"/>
                <w:sz w:val="20"/>
                <w:szCs w:val="20"/>
              </w:rPr>
              <w:t>户</w:t>
            </w:r>
          </w:p>
        </w:tc>
        <w:tc>
          <w:tcPr>
            <w:tcW w:w="1843" w:type="dxa"/>
            <w:tcBorders>
              <w:bottom w:val="single" w:color="000000" w:sz="10" w:space="0"/>
            </w:tcBorders>
            <w:vAlign w:val="top"/>
          </w:tcPr>
          <w:p w14:paraId="65E0CAFB">
            <w:pPr>
              <w:pStyle w:val="6"/>
              <w:spacing w:before="262" w:line="195" w:lineRule="auto"/>
              <w:ind w:left="291"/>
              <w:rPr>
                <w:sz w:val="20"/>
                <w:szCs w:val="20"/>
              </w:rPr>
            </w:pPr>
            <w:r>
              <w:rPr>
                <w:spacing w:val="2"/>
                <w:sz w:val="20"/>
                <w:szCs w:val="20"/>
              </w:rPr>
              <w:t>110.857520819</w:t>
            </w:r>
          </w:p>
          <w:p w14:paraId="3CF2FA70">
            <w:pPr>
              <w:pStyle w:val="6"/>
              <w:spacing w:before="125" w:line="195" w:lineRule="auto"/>
              <w:ind w:left="324"/>
              <w:rPr>
                <w:sz w:val="20"/>
                <w:szCs w:val="20"/>
              </w:rPr>
            </w:pPr>
            <w:r>
              <w:rPr>
                <w:spacing w:val="4"/>
                <w:sz w:val="20"/>
                <w:szCs w:val="20"/>
              </w:rPr>
              <w:t>39.513957674</w:t>
            </w:r>
          </w:p>
        </w:tc>
        <w:tc>
          <w:tcPr>
            <w:tcW w:w="1293" w:type="dxa"/>
            <w:tcBorders>
              <w:bottom w:val="single" w:color="000000" w:sz="10" w:space="0"/>
              <w:right w:val="nil"/>
            </w:tcBorders>
            <w:vAlign w:val="top"/>
          </w:tcPr>
          <w:p w14:paraId="642AD66D">
            <w:pPr>
              <w:rPr>
                <w:rFonts w:ascii="Arial"/>
                <w:sz w:val="21"/>
              </w:rPr>
            </w:pPr>
          </w:p>
        </w:tc>
      </w:tr>
    </w:tbl>
    <w:p w14:paraId="66832BB1">
      <w:pPr>
        <w:pStyle w:val="2"/>
        <w:rPr>
          <w:sz w:val="21"/>
        </w:rPr>
      </w:pPr>
    </w:p>
    <w:p w14:paraId="798FEA5A">
      <w:pPr>
        <w:rPr>
          <w:sz w:val="21"/>
          <w:szCs w:val="21"/>
        </w:rPr>
        <w:sectPr>
          <w:footerReference r:id="rId159" w:type="default"/>
          <w:pgSz w:w="11906" w:h="16839"/>
          <w:pgMar w:top="400" w:right="1695" w:bottom="1370" w:left="1691" w:header="0" w:footer="1207" w:gutter="0"/>
          <w:cols w:space="720" w:num="1"/>
        </w:sectPr>
      </w:pPr>
    </w:p>
    <w:p w14:paraId="385FDDE2">
      <w:pPr>
        <w:spacing w:before="19"/>
      </w:pPr>
    </w:p>
    <w:p w14:paraId="7FC24BBE">
      <w:pPr>
        <w:spacing w:before="19"/>
      </w:pPr>
    </w:p>
    <w:p w14:paraId="61DAEDD7">
      <w:pPr>
        <w:spacing w:before="18"/>
      </w:pPr>
    </w:p>
    <w:p w14:paraId="28B46A88">
      <w:pPr>
        <w:spacing w:before="18"/>
      </w:pPr>
    </w:p>
    <w:tbl>
      <w:tblPr>
        <w:tblStyle w:val="5"/>
        <w:tblW w:w="851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54"/>
        <w:gridCol w:w="608"/>
        <w:gridCol w:w="993"/>
        <w:gridCol w:w="968"/>
        <w:gridCol w:w="1159"/>
        <w:gridCol w:w="1843"/>
        <w:gridCol w:w="1293"/>
      </w:tblGrid>
      <w:tr w14:paraId="66C983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1654" w:type="dxa"/>
            <w:vMerge w:val="restart"/>
            <w:tcBorders>
              <w:top w:val="single" w:color="000000" w:sz="10" w:space="0"/>
              <w:left w:val="nil"/>
              <w:bottom w:val="nil"/>
            </w:tcBorders>
            <w:vAlign w:val="top"/>
          </w:tcPr>
          <w:p w14:paraId="71D80DE3">
            <w:pPr>
              <w:spacing w:line="274" w:lineRule="auto"/>
              <w:rPr>
                <w:rFonts w:ascii="Arial"/>
                <w:sz w:val="21"/>
              </w:rPr>
            </w:pPr>
          </w:p>
          <w:p w14:paraId="3F944B77">
            <w:pPr>
              <w:spacing w:line="274" w:lineRule="auto"/>
              <w:rPr>
                <w:rFonts w:ascii="Arial"/>
                <w:sz w:val="21"/>
              </w:rPr>
            </w:pPr>
          </w:p>
          <w:p w14:paraId="57E7EC43">
            <w:pPr>
              <w:spacing w:line="274" w:lineRule="auto"/>
              <w:rPr>
                <w:rFonts w:ascii="Arial"/>
                <w:sz w:val="21"/>
              </w:rPr>
            </w:pPr>
          </w:p>
          <w:p w14:paraId="56980BF5">
            <w:pPr>
              <w:spacing w:line="275" w:lineRule="auto"/>
              <w:rPr>
                <w:rFonts w:ascii="Arial"/>
                <w:sz w:val="21"/>
              </w:rPr>
            </w:pPr>
          </w:p>
          <w:p w14:paraId="0AB4F18D">
            <w:pPr>
              <w:spacing w:before="65" w:line="288" w:lineRule="auto"/>
              <w:ind w:left="204" w:right="108" w:hanging="69"/>
              <w:rPr>
                <w:rFonts w:ascii="宋体" w:hAnsi="宋体" w:eastAsia="宋体" w:cs="宋体"/>
                <w:sz w:val="20"/>
                <w:szCs w:val="20"/>
              </w:rPr>
            </w:pPr>
            <w:r>
              <w:rPr>
                <w:rFonts w:ascii="宋体" w:hAnsi="宋体" w:eastAsia="宋体" w:cs="宋体"/>
                <w:spacing w:val="1"/>
                <w:sz w:val="20"/>
                <w:szCs w:val="20"/>
              </w:rPr>
              <w:t>四道包村（四道</w:t>
            </w:r>
            <w:r>
              <w:rPr>
                <w:rFonts w:ascii="宋体" w:hAnsi="宋体" w:eastAsia="宋体" w:cs="宋体"/>
                <w:spacing w:val="8"/>
                <w:sz w:val="20"/>
                <w:szCs w:val="20"/>
              </w:rPr>
              <w:t>包至淡家梁至</w:t>
            </w:r>
          </w:p>
          <w:p w14:paraId="00B37FF5">
            <w:pPr>
              <w:spacing w:line="227" w:lineRule="auto"/>
              <w:ind w:left="417"/>
              <w:rPr>
                <w:rFonts w:ascii="宋体" w:hAnsi="宋体" w:eastAsia="宋体" w:cs="宋体"/>
                <w:sz w:val="20"/>
                <w:szCs w:val="20"/>
              </w:rPr>
            </w:pPr>
            <w:r>
              <w:rPr>
                <w:rFonts w:ascii="宋体" w:hAnsi="宋体" w:eastAsia="宋体" w:cs="宋体"/>
                <w:spacing w:val="4"/>
                <w:sz w:val="20"/>
                <w:szCs w:val="20"/>
              </w:rPr>
              <w:t>杨家塔）</w:t>
            </w:r>
          </w:p>
        </w:tc>
        <w:tc>
          <w:tcPr>
            <w:tcW w:w="608" w:type="dxa"/>
            <w:tcBorders>
              <w:top w:val="single" w:color="000000" w:sz="10" w:space="0"/>
            </w:tcBorders>
            <w:textDirection w:val="tbRlV"/>
            <w:vAlign w:val="top"/>
          </w:tcPr>
          <w:p w14:paraId="4D27345A">
            <w:pPr>
              <w:spacing w:before="197" w:line="217" w:lineRule="auto"/>
              <w:ind w:left="55"/>
              <w:rPr>
                <w:rFonts w:ascii="宋体" w:hAnsi="宋体" w:eastAsia="宋体" w:cs="宋体"/>
                <w:sz w:val="20"/>
                <w:szCs w:val="20"/>
              </w:rPr>
            </w:pPr>
            <w:r>
              <w:rPr>
                <w:rFonts w:ascii="宋体" w:hAnsi="宋体" w:eastAsia="宋体" w:cs="宋体"/>
                <w:spacing w:val="6"/>
                <w:sz w:val="20"/>
                <w:szCs w:val="20"/>
              </w:rPr>
              <w:t>右 侧</w:t>
            </w:r>
          </w:p>
        </w:tc>
        <w:tc>
          <w:tcPr>
            <w:tcW w:w="993" w:type="dxa"/>
            <w:tcBorders>
              <w:top w:val="single" w:color="000000" w:sz="10" w:space="0"/>
            </w:tcBorders>
            <w:vAlign w:val="top"/>
          </w:tcPr>
          <w:p w14:paraId="0C8EF541">
            <w:pPr>
              <w:pStyle w:val="6"/>
              <w:spacing w:before="247" w:line="195" w:lineRule="auto"/>
              <w:ind w:left="151"/>
              <w:rPr>
                <w:sz w:val="20"/>
                <w:szCs w:val="20"/>
              </w:rPr>
            </w:pPr>
            <w:r>
              <w:rPr>
                <w:spacing w:val="4"/>
                <w:sz w:val="20"/>
                <w:szCs w:val="20"/>
              </w:rPr>
              <w:t>K0+200</w:t>
            </w:r>
          </w:p>
        </w:tc>
        <w:tc>
          <w:tcPr>
            <w:tcW w:w="968" w:type="dxa"/>
            <w:tcBorders>
              <w:top w:val="single" w:color="000000" w:sz="10" w:space="0"/>
            </w:tcBorders>
            <w:vAlign w:val="top"/>
          </w:tcPr>
          <w:p w14:paraId="1DDA611F">
            <w:pPr>
              <w:pStyle w:val="6"/>
              <w:spacing w:before="247" w:line="195" w:lineRule="auto"/>
              <w:ind w:left="386"/>
              <w:rPr>
                <w:sz w:val="20"/>
                <w:szCs w:val="20"/>
              </w:rPr>
            </w:pPr>
            <w:r>
              <w:rPr>
                <w:sz w:val="20"/>
                <w:szCs w:val="20"/>
              </w:rPr>
              <w:t>50</w:t>
            </w:r>
          </w:p>
        </w:tc>
        <w:tc>
          <w:tcPr>
            <w:tcW w:w="1159" w:type="dxa"/>
            <w:tcBorders>
              <w:top w:val="single" w:color="000000" w:sz="10" w:space="0"/>
            </w:tcBorders>
            <w:vAlign w:val="top"/>
          </w:tcPr>
          <w:p w14:paraId="4F742A7D">
            <w:pPr>
              <w:pStyle w:val="6"/>
              <w:spacing w:before="56" w:line="261" w:lineRule="auto"/>
              <w:ind w:left="400" w:right="159" w:hanging="236"/>
              <w:rPr>
                <w:sz w:val="20"/>
                <w:szCs w:val="20"/>
              </w:rPr>
            </w:pPr>
            <w:r>
              <w:rPr>
                <w:rFonts w:ascii="宋体" w:hAnsi="宋体" w:eastAsia="宋体" w:cs="宋体"/>
                <w:spacing w:val="7"/>
                <w:sz w:val="20"/>
                <w:szCs w:val="20"/>
              </w:rPr>
              <w:t>刘家塔散</w:t>
            </w:r>
            <w:r>
              <w:rPr>
                <w:rFonts w:ascii="宋体" w:hAnsi="宋体" w:eastAsia="宋体" w:cs="宋体"/>
                <w:sz w:val="20"/>
                <w:szCs w:val="20"/>
              </w:rPr>
              <w:t>户</w:t>
            </w:r>
            <w:r>
              <w:rPr>
                <w:rFonts w:ascii="宋体" w:hAnsi="宋体" w:eastAsia="宋体" w:cs="宋体"/>
                <w:spacing w:val="-23"/>
                <w:sz w:val="20"/>
                <w:szCs w:val="20"/>
              </w:rPr>
              <w:t xml:space="preserve"> </w:t>
            </w:r>
            <w:r>
              <w:rPr>
                <w:sz w:val="20"/>
                <w:szCs w:val="20"/>
              </w:rPr>
              <w:t>1</w:t>
            </w:r>
          </w:p>
        </w:tc>
        <w:tc>
          <w:tcPr>
            <w:tcW w:w="1843" w:type="dxa"/>
            <w:tcBorders>
              <w:top w:val="single" w:color="000000" w:sz="10" w:space="0"/>
            </w:tcBorders>
            <w:vAlign w:val="top"/>
          </w:tcPr>
          <w:p w14:paraId="370B8BCB">
            <w:pPr>
              <w:pStyle w:val="6"/>
              <w:spacing w:before="91" w:line="195" w:lineRule="auto"/>
              <w:ind w:left="291"/>
              <w:rPr>
                <w:sz w:val="20"/>
                <w:szCs w:val="20"/>
              </w:rPr>
            </w:pPr>
            <w:r>
              <w:rPr>
                <w:spacing w:val="2"/>
                <w:sz w:val="20"/>
                <w:szCs w:val="20"/>
              </w:rPr>
              <w:t>110.722888679</w:t>
            </w:r>
          </w:p>
          <w:p w14:paraId="592386EF">
            <w:pPr>
              <w:pStyle w:val="6"/>
              <w:spacing w:before="125" w:line="195" w:lineRule="auto"/>
              <w:ind w:left="324"/>
              <w:rPr>
                <w:sz w:val="20"/>
                <w:szCs w:val="20"/>
              </w:rPr>
            </w:pPr>
            <w:r>
              <w:rPr>
                <w:spacing w:val="4"/>
                <w:sz w:val="20"/>
                <w:szCs w:val="20"/>
              </w:rPr>
              <w:t>39.508046085</w:t>
            </w:r>
          </w:p>
        </w:tc>
        <w:tc>
          <w:tcPr>
            <w:tcW w:w="1293" w:type="dxa"/>
            <w:tcBorders>
              <w:top w:val="single" w:color="000000" w:sz="10" w:space="0"/>
              <w:right w:val="nil"/>
            </w:tcBorders>
            <w:vAlign w:val="top"/>
          </w:tcPr>
          <w:p w14:paraId="7A63E42A">
            <w:pPr>
              <w:spacing w:before="55" w:line="228" w:lineRule="auto"/>
              <w:ind w:left="131"/>
              <w:rPr>
                <w:rFonts w:ascii="宋体" w:hAnsi="宋体" w:eastAsia="宋体" w:cs="宋体"/>
                <w:sz w:val="20"/>
                <w:szCs w:val="20"/>
              </w:rPr>
            </w:pPr>
            <w:r>
              <w:rPr>
                <w:rFonts w:ascii="宋体" w:hAnsi="宋体" w:eastAsia="宋体" w:cs="宋体"/>
                <w:spacing w:val="7"/>
                <w:sz w:val="20"/>
                <w:szCs w:val="20"/>
              </w:rPr>
              <w:t>受现有道路</w:t>
            </w:r>
          </w:p>
          <w:p w14:paraId="3D296110">
            <w:pPr>
              <w:spacing w:before="65" w:line="228" w:lineRule="auto"/>
              <w:ind w:left="136"/>
              <w:rPr>
                <w:rFonts w:ascii="宋体" w:hAnsi="宋体" w:eastAsia="宋体" w:cs="宋体"/>
                <w:sz w:val="20"/>
                <w:szCs w:val="20"/>
              </w:rPr>
            </w:pPr>
            <w:r>
              <w:rPr>
                <w:rFonts w:ascii="宋体" w:hAnsi="宋体" w:eastAsia="宋体" w:cs="宋体"/>
                <w:spacing w:val="6"/>
                <w:sz w:val="20"/>
                <w:szCs w:val="20"/>
              </w:rPr>
              <w:t>噪声源影响</w:t>
            </w:r>
          </w:p>
        </w:tc>
      </w:tr>
      <w:tr w14:paraId="0EF636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654" w:type="dxa"/>
            <w:vMerge w:val="continue"/>
            <w:tcBorders>
              <w:top w:val="nil"/>
              <w:left w:val="nil"/>
              <w:bottom w:val="nil"/>
            </w:tcBorders>
            <w:vAlign w:val="top"/>
          </w:tcPr>
          <w:p w14:paraId="6E34F2F9">
            <w:pPr>
              <w:rPr>
                <w:rFonts w:ascii="Arial"/>
                <w:sz w:val="21"/>
              </w:rPr>
            </w:pPr>
          </w:p>
        </w:tc>
        <w:tc>
          <w:tcPr>
            <w:tcW w:w="608" w:type="dxa"/>
            <w:textDirection w:val="tbRlV"/>
            <w:vAlign w:val="top"/>
          </w:tcPr>
          <w:p w14:paraId="403DC5B1">
            <w:pPr>
              <w:spacing w:before="197" w:line="217" w:lineRule="auto"/>
              <w:ind w:left="52"/>
              <w:rPr>
                <w:rFonts w:ascii="宋体" w:hAnsi="宋体" w:eastAsia="宋体" w:cs="宋体"/>
                <w:sz w:val="20"/>
                <w:szCs w:val="20"/>
              </w:rPr>
            </w:pPr>
            <w:r>
              <w:rPr>
                <w:rFonts w:ascii="宋体" w:hAnsi="宋体" w:eastAsia="宋体" w:cs="宋体"/>
                <w:spacing w:val="6"/>
                <w:sz w:val="20"/>
                <w:szCs w:val="20"/>
              </w:rPr>
              <w:t>左 侧</w:t>
            </w:r>
          </w:p>
        </w:tc>
        <w:tc>
          <w:tcPr>
            <w:tcW w:w="993" w:type="dxa"/>
            <w:vAlign w:val="top"/>
          </w:tcPr>
          <w:p w14:paraId="1A17F6AC">
            <w:pPr>
              <w:pStyle w:val="6"/>
              <w:spacing w:before="244" w:line="195" w:lineRule="auto"/>
              <w:ind w:left="151"/>
              <w:rPr>
                <w:sz w:val="20"/>
                <w:szCs w:val="20"/>
              </w:rPr>
            </w:pPr>
            <w:r>
              <w:rPr>
                <w:spacing w:val="4"/>
                <w:sz w:val="20"/>
                <w:szCs w:val="20"/>
              </w:rPr>
              <w:t>K0+730</w:t>
            </w:r>
          </w:p>
        </w:tc>
        <w:tc>
          <w:tcPr>
            <w:tcW w:w="968" w:type="dxa"/>
            <w:vAlign w:val="top"/>
          </w:tcPr>
          <w:p w14:paraId="6CA3C095">
            <w:pPr>
              <w:pStyle w:val="6"/>
              <w:spacing w:before="244" w:line="195" w:lineRule="auto"/>
              <w:ind w:left="400"/>
              <w:rPr>
                <w:sz w:val="20"/>
                <w:szCs w:val="20"/>
              </w:rPr>
            </w:pPr>
            <w:r>
              <w:rPr>
                <w:spacing w:val="-8"/>
                <w:sz w:val="20"/>
                <w:szCs w:val="20"/>
              </w:rPr>
              <w:t>13</w:t>
            </w:r>
          </w:p>
        </w:tc>
        <w:tc>
          <w:tcPr>
            <w:tcW w:w="1159" w:type="dxa"/>
            <w:vAlign w:val="top"/>
          </w:tcPr>
          <w:p w14:paraId="414B1B79">
            <w:pPr>
              <w:pStyle w:val="6"/>
              <w:spacing w:before="52" w:line="261" w:lineRule="auto"/>
              <w:ind w:left="400" w:right="159" w:hanging="236"/>
              <w:rPr>
                <w:sz w:val="20"/>
                <w:szCs w:val="20"/>
              </w:rPr>
            </w:pPr>
            <w:r>
              <w:rPr>
                <w:rFonts w:ascii="宋体" w:hAnsi="宋体" w:eastAsia="宋体" w:cs="宋体"/>
                <w:spacing w:val="7"/>
                <w:sz w:val="20"/>
                <w:szCs w:val="20"/>
              </w:rPr>
              <w:t>刘家塔散</w:t>
            </w:r>
            <w:r>
              <w:rPr>
                <w:rFonts w:ascii="宋体" w:hAnsi="宋体" w:eastAsia="宋体" w:cs="宋体"/>
                <w:sz w:val="20"/>
                <w:szCs w:val="20"/>
              </w:rPr>
              <w:t>户</w:t>
            </w:r>
            <w:r>
              <w:rPr>
                <w:rFonts w:ascii="宋体" w:hAnsi="宋体" w:eastAsia="宋体" w:cs="宋体"/>
                <w:spacing w:val="-44"/>
                <w:sz w:val="20"/>
                <w:szCs w:val="20"/>
              </w:rPr>
              <w:t xml:space="preserve"> </w:t>
            </w:r>
            <w:r>
              <w:rPr>
                <w:sz w:val="20"/>
                <w:szCs w:val="20"/>
              </w:rPr>
              <w:t>2</w:t>
            </w:r>
          </w:p>
        </w:tc>
        <w:tc>
          <w:tcPr>
            <w:tcW w:w="1843" w:type="dxa"/>
            <w:vAlign w:val="top"/>
          </w:tcPr>
          <w:p w14:paraId="71CF9432">
            <w:pPr>
              <w:pStyle w:val="6"/>
              <w:spacing w:before="88" w:line="195" w:lineRule="auto"/>
              <w:ind w:left="291"/>
              <w:rPr>
                <w:sz w:val="20"/>
                <w:szCs w:val="20"/>
              </w:rPr>
            </w:pPr>
            <w:r>
              <w:rPr>
                <w:spacing w:val="2"/>
                <w:sz w:val="20"/>
                <w:szCs w:val="20"/>
              </w:rPr>
              <w:t>110.726704121</w:t>
            </w:r>
          </w:p>
          <w:p w14:paraId="32ED5675">
            <w:pPr>
              <w:pStyle w:val="6"/>
              <w:spacing w:before="125" w:line="195" w:lineRule="auto"/>
              <w:ind w:left="328"/>
              <w:rPr>
                <w:sz w:val="20"/>
                <w:szCs w:val="20"/>
              </w:rPr>
            </w:pPr>
            <w:r>
              <w:rPr>
                <w:spacing w:val="3"/>
                <w:sz w:val="20"/>
                <w:szCs w:val="20"/>
              </w:rPr>
              <w:t>39.511817271</w:t>
            </w:r>
          </w:p>
        </w:tc>
        <w:tc>
          <w:tcPr>
            <w:tcW w:w="1293" w:type="dxa"/>
            <w:tcBorders>
              <w:right w:val="nil"/>
            </w:tcBorders>
            <w:vAlign w:val="top"/>
          </w:tcPr>
          <w:p w14:paraId="622A8C9F">
            <w:pPr>
              <w:pStyle w:val="6"/>
              <w:spacing w:before="240" w:line="199" w:lineRule="auto"/>
              <w:ind w:left="615"/>
              <w:rPr>
                <w:sz w:val="20"/>
                <w:szCs w:val="20"/>
              </w:rPr>
            </w:pPr>
            <w:r>
              <w:rPr>
                <w:spacing w:val="2"/>
                <w:sz w:val="20"/>
                <w:szCs w:val="20"/>
              </w:rPr>
              <w:t>/</w:t>
            </w:r>
          </w:p>
        </w:tc>
      </w:tr>
      <w:tr w14:paraId="5E403C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1654" w:type="dxa"/>
            <w:vMerge w:val="continue"/>
            <w:tcBorders>
              <w:top w:val="nil"/>
              <w:left w:val="nil"/>
              <w:bottom w:val="nil"/>
            </w:tcBorders>
            <w:vAlign w:val="top"/>
          </w:tcPr>
          <w:p w14:paraId="36FC3776">
            <w:pPr>
              <w:rPr>
                <w:rFonts w:ascii="Arial"/>
                <w:sz w:val="21"/>
              </w:rPr>
            </w:pPr>
          </w:p>
        </w:tc>
        <w:tc>
          <w:tcPr>
            <w:tcW w:w="608" w:type="dxa"/>
            <w:textDirection w:val="tbRlV"/>
            <w:vAlign w:val="top"/>
          </w:tcPr>
          <w:p w14:paraId="36B46B76">
            <w:pPr>
              <w:spacing w:before="197" w:line="217" w:lineRule="auto"/>
              <w:ind w:left="55"/>
              <w:rPr>
                <w:rFonts w:ascii="宋体" w:hAnsi="宋体" w:eastAsia="宋体" w:cs="宋体"/>
                <w:sz w:val="20"/>
                <w:szCs w:val="20"/>
              </w:rPr>
            </w:pPr>
            <w:r>
              <w:rPr>
                <w:rFonts w:ascii="宋体" w:hAnsi="宋体" w:eastAsia="宋体" w:cs="宋体"/>
                <w:spacing w:val="6"/>
                <w:sz w:val="20"/>
                <w:szCs w:val="20"/>
              </w:rPr>
              <w:t>左 侧</w:t>
            </w:r>
          </w:p>
        </w:tc>
        <w:tc>
          <w:tcPr>
            <w:tcW w:w="993" w:type="dxa"/>
            <w:vAlign w:val="top"/>
          </w:tcPr>
          <w:p w14:paraId="1FB6A40C">
            <w:pPr>
              <w:pStyle w:val="6"/>
              <w:spacing w:before="247" w:line="195" w:lineRule="auto"/>
              <w:ind w:left="155"/>
              <w:rPr>
                <w:sz w:val="20"/>
                <w:szCs w:val="20"/>
              </w:rPr>
            </w:pPr>
            <w:r>
              <w:rPr>
                <w:spacing w:val="3"/>
                <w:sz w:val="20"/>
                <w:szCs w:val="20"/>
              </w:rPr>
              <w:t>K2+110</w:t>
            </w:r>
          </w:p>
        </w:tc>
        <w:tc>
          <w:tcPr>
            <w:tcW w:w="968" w:type="dxa"/>
            <w:vAlign w:val="top"/>
          </w:tcPr>
          <w:p w14:paraId="60E845F7">
            <w:pPr>
              <w:pStyle w:val="6"/>
              <w:spacing w:before="247" w:line="195" w:lineRule="auto"/>
              <w:ind w:left="358"/>
              <w:rPr>
                <w:sz w:val="20"/>
                <w:szCs w:val="20"/>
              </w:rPr>
            </w:pPr>
            <w:r>
              <w:rPr>
                <w:spacing w:val="1"/>
                <w:sz w:val="20"/>
                <w:szCs w:val="20"/>
              </w:rPr>
              <w:t>9.5</w:t>
            </w:r>
          </w:p>
        </w:tc>
        <w:tc>
          <w:tcPr>
            <w:tcW w:w="1159" w:type="dxa"/>
            <w:vAlign w:val="top"/>
          </w:tcPr>
          <w:p w14:paraId="3C993BBE">
            <w:pPr>
              <w:spacing w:before="211" w:line="227" w:lineRule="auto"/>
              <w:ind w:left="282"/>
              <w:rPr>
                <w:rFonts w:ascii="宋体" w:hAnsi="宋体" w:eastAsia="宋体" w:cs="宋体"/>
                <w:sz w:val="20"/>
                <w:szCs w:val="20"/>
              </w:rPr>
            </w:pPr>
            <w:r>
              <w:rPr>
                <w:rFonts w:ascii="宋体" w:hAnsi="宋体" w:eastAsia="宋体" w:cs="宋体"/>
                <w:spacing w:val="3"/>
                <w:sz w:val="20"/>
                <w:szCs w:val="20"/>
              </w:rPr>
              <w:t>陈家梁</w:t>
            </w:r>
          </w:p>
        </w:tc>
        <w:tc>
          <w:tcPr>
            <w:tcW w:w="1843" w:type="dxa"/>
            <w:vAlign w:val="top"/>
          </w:tcPr>
          <w:p w14:paraId="30584F49">
            <w:pPr>
              <w:pStyle w:val="6"/>
              <w:spacing w:before="91" w:line="195" w:lineRule="auto"/>
              <w:ind w:left="291"/>
              <w:rPr>
                <w:sz w:val="20"/>
                <w:szCs w:val="20"/>
              </w:rPr>
            </w:pPr>
            <w:r>
              <w:rPr>
                <w:spacing w:val="2"/>
                <w:sz w:val="20"/>
                <w:szCs w:val="20"/>
              </w:rPr>
              <w:t>110.727762252</w:t>
            </w:r>
          </w:p>
          <w:p w14:paraId="0E4388C7">
            <w:pPr>
              <w:pStyle w:val="6"/>
              <w:spacing w:before="125" w:line="195" w:lineRule="auto"/>
              <w:ind w:left="324"/>
              <w:rPr>
                <w:sz w:val="20"/>
                <w:szCs w:val="20"/>
              </w:rPr>
            </w:pPr>
            <w:r>
              <w:rPr>
                <w:spacing w:val="4"/>
                <w:sz w:val="20"/>
                <w:szCs w:val="20"/>
              </w:rPr>
              <w:t>39.521624768</w:t>
            </w:r>
          </w:p>
        </w:tc>
        <w:tc>
          <w:tcPr>
            <w:tcW w:w="1293" w:type="dxa"/>
            <w:tcBorders>
              <w:right w:val="nil"/>
            </w:tcBorders>
            <w:vAlign w:val="top"/>
          </w:tcPr>
          <w:p w14:paraId="58D87FF4">
            <w:pPr>
              <w:rPr>
                <w:rFonts w:ascii="Arial"/>
                <w:sz w:val="21"/>
              </w:rPr>
            </w:pPr>
          </w:p>
        </w:tc>
      </w:tr>
      <w:tr w14:paraId="50ABE5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654" w:type="dxa"/>
            <w:vMerge w:val="continue"/>
            <w:tcBorders>
              <w:top w:val="nil"/>
              <w:left w:val="nil"/>
              <w:bottom w:val="nil"/>
            </w:tcBorders>
            <w:vAlign w:val="top"/>
          </w:tcPr>
          <w:p w14:paraId="6422A81F">
            <w:pPr>
              <w:rPr>
                <w:rFonts w:ascii="Arial"/>
                <w:sz w:val="21"/>
              </w:rPr>
            </w:pPr>
          </w:p>
        </w:tc>
        <w:tc>
          <w:tcPr>
            <w:tcW w:w="608" w:type="dxa"/>
            <w:textDirection w:val="tbRlV"/>
            <w:vAlign w:val="top"/>
          </w:tcPr>
          <w:p w14:paraId="20F01C82">
            <w:pPr>
              <w:spacing w:before="197" w:line="217" w:lineRule="auto"/>
              <w:ind w:left="56"/>
              <w:rPr>
                <w:rFonts w:ascii="宋体" w:hAnsi="宋体" w:eastAsia="宋体" w:cs="宋体"/>
                <w:sz w:val="20"/>
                <w:szCs w:val="20"/>
              </w:rPr>
            </w:pPr>
            <w:r>
              <w:rPr>
                <w:rFonts w:ascii="宋体" w:hAnsi="宋体" w:eastAsia="宋体" w:cs="宋体"/>
                <w:spacing w:val="6"/>
                <w:sz w:val="20"/>
                <w:szCs w:val="20"/>
              </w:rPr>
              <w:t>左 侧</w:t>
            </w:r>
          </w:p>
        </w:tc>
        <w:tc>
          <w:tcPr>
            <w:tcW w:w="993" w:type="dxa"/>
            <w:vAlign w:val="top"/>
          </w:tcPr>
          <w:p w14:paraId="249F6401">
            <w:pPr>
              <w:pStyle w:val="6"/>
              <w:spacing w:before="248" w:line="195" w:lineRule="auto"/>
              <w:ind w:left="151"/>
              <w:rPr>
                <w:sz w:val="20"/>
                <w:szCs w:val="20"/>
              </w:rPr>
            </w:pPr>
            <w:r>
              <w:rPr>
                <w:spacing w:val="4"/>
                <w:sz w:val="20"/>
                <w:szCs w:val="20"/>
              </w:rPr>
              <w:t>K3+670</w:t>
            </w:r>
          </w:p>
        </w:tc>
        <w:tc>
          <w:tcPr>
            <w:tcW w:w="968" w:type="dxa"/>
            <w:vAlign w:val="top"/>
          </w:tcPr>
          <w:p w14:paraId="0EAF3049">
            <w:pPr>
              <w:pStyle w:val="6"/>
              <w:spacing w:before="248" w:line="195" w:lineRule="auto"/>
              <w:ind w:left="379"/>
              <w:rPr>
                <w:sz w:val="20"/>
                <w:szCs w:val="20"/>
              </w:rPr>
            </w:pPr>
            <w:r>
              <w:rPr>
                <w:spacing w:val="3"/>
                <w:sz w:val="20"/>
                <w:szCs w:val="20"/>
              </w:rPr>
              <w:t>42</w:t>
            </w:r>
          </w:p>
        </w:tc>
        <w:tc>
          <w:tcPr>
            <w:tcW w:w="1159" w:type="dxa"/>
            <w:vAlign w:val="top"/>
          </w:tcPr>
          <w:p w14:paraId="4DBF5731">
            <w:pPr>
              <w:pStyle w:val="6"/>
              <w:spacing w:before="56" w:line="259" w:lineRule="auto"/>
              <w:ind w:left="400" w:right="159" w:hanging="233"/>
              <w:rPr>
                <w:sz w:val="20"/>
                <w:szCs w:val="20"/>
              </w:rPr>
            </w:pPr>
            <w:r>
              <w:rPr>
                <w:rFonts w:ascii="宋体" w:hAnsi="宋体" w:eastAsia="宋体" w:cs="宋体"/>
                <w:spacing w:val="6"/>
                <w:sz w:val="20"/>
                <w:szCs w:val="20"/>
              </w:rPr>
              <w:t>大圪梁散</w:t>
            </w:r>
            <w:r>
              <w:rPr>
                <w:rFonts w:ascii="宋体" w:hAnsi="宋体" w:eastAsia="宋体" w:cs="宋体"/>
                <w:sz w:val="20"/>
                <w:szCs w:val="20"/>
              </w:rPr>
              <w:t>户</w:t>
            </w:r>
            <w:r>
              <w:rPr>
                <w:rFonts w:ascii="宋体" w:hAnsi="宋体" w:eastAsia="宋体" w:cs="宋体"/>
                <w:spacing w:val="-23"/>
                <w:sz w:val="20"/>
                <w:szCs w:val="20"/>
              </w:rPr>
              <w:t xml:space="preserve"> </w:t>
            </w:r>
            <w:r>
              <w:rPr>
                <w:sz w:val="20"/>
                <w:szCs w:val="20"/>
              </w:rPr>
              <w:t>1</w:t>
            </w:r>
          </w:p>
        </w:tc>
        <w:tc>
          <w:tcPr>
            <w:tcW w:w="1843" w:type="dxa"/>
            <w:vAlign w:val="top"/>
          </w:tcPr>
          <w:p w14:paraId="09C29097">
            <w:pPr>
              <w:pStyle w:val="6"/>
              <w:spacing w:before="92" w:line="195" w:lineRule="auto"/>
              <w:ind w:left="291"/>
              <w:rPr>
                <w:sz w:val="20"/>
                <w:szCs w:val="20"/>
              </w:rPr>
            </w:pPr>
            <w:r>
              <w:rPr>
                <w:spacing w:val="2"/>
                <w:sz w:val="20"/>
                <w:szCs w:val="20"/>
              </w:rPr>
              <w:t>110.733402938</w:t>
            </w:r>
          </w:p>
          <w:p w14:paraId="700ECE45">
            <w:pPr>
              <w:pStyle w:val="6"/>
              <w:spacing w:before="125" w:line="195" w:lineRule="auto"/>
              <w:ind w:left="324"/>
              <w:rPr>
                <w:sz w:val="20"/>
                <w:szCs w:val="20"/>
              </w:rPr>
            </w:pPr>
            <w:r>
              <w:rPr>
                <w:spacing w:val="4"/>
                <w:sz w:val="20"/>
                <w:szCs w:val="20"/>
              </w:rPr>
              <w:t>39.532285208</w:t>
            </w:r>
          </w:p>
        </w:tc>
        <w:tc>
          <w:tcPr>
            <w:tcW w:w="1293" w:type="dxa"/>
            <w:tcBorders>
              <w:right w:val="nil"/>
            </w:tcBorders>
            <w:vAlign w:val="top"/>
          </w:tcPr>
          <w:p w14:paraId="56EF3992">
            <w:pPr>
              <w:pStyle w:val="6"/>
              <w:spacing w:before="244" w:line="199" w:lineRule="auto"/>
              <w:ind w:left="615"/>
              <w:rPr>
                <w:sz w:val="20"/>
                <w:szCs w:val="20"/>
              </w:rPr>
            </w:pPr>
            <w:r>
              <w:rPr>
                <w:spacing w:val="2"/>
                <w:sz w:val="20"/>
                <w:szCs w:val="20"/>
              </w:rPr>
              <w:t>/</w:t>
            </w:r>
          </w:p>
        </w:tc>
      </w:tr>
      <w:tr w14:paraId="1FD6BB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654" w:type="dxa"/>
            <w:vMerge w:val="continue"/>
            <w:tcBorders>
              <w:top w:val="nil"/>
              <w:left w:val="nil"/>
            </w:tcBorders>
            <w:vAlign w:val="top"/>
          </w:tcPr>
          <w:p w14:paraId="10784C67">
            <w:pPr>
              <w:rPr>
                <w:rFonts w:ascii="Arial"/>
                <w:sz w:val="21"/>
              </w:rPr>
            </w:pPr>
          </w:p>
        </w:tc>
        <w:tc>
          <w:tcPr>
            <w:tcW w:w="608" w:type="dxa"/>
            <w:textDirection w:val="tbRlV"/>
            <w:vAlign w:val="top"/>
          </w:tcPr>
          <w:p w14:paraId="63344D48">
            <w:pPr>
              <w:spacing w:before="197" w:line="217" w:lineRule="auto"/>
              <w:ind w:left="57"/>
              <w:rPr>
                <w:rFonts w:ascii="宋体" w:hAnsi="宋体" w:eastAsia="宋体" w:cs="宋体"/>
                <w:sz w:val="20"/>
                <w:szCs w:val="20"/>
              </w:rPr>
            </w:pPr>
            <w:r>
              <w:rPr>
                <w:rFonts w:ascii="宋体" w:hAnsi="宋体" w:eastAsia="宋体" w:cs="宋体"/>
                <w:spacing w:val="6"/>
                <w:sz w:val="20"/>
                <w:szCs w:val="20"/>
              </w:rPr>
              <w:t>右 侧</w:t>
            </w:r>
          </w:p>
        </w:tc>
        <w:tc>
          <w:tcPr>
            <w:tcW w:w="993" w:type="dxa"/>
            <w:vAlign w:val="top"/>
          </w:tcPr>
          <w:p w14:paraId="2A960315">
            <w:pPr>
              <w:pStyle w:val="6"/>
              <w:spacing w:before="249" w:line="195" w:lineRule="auto"/>
              <w:ind w:left="151"/>
              <w:rPr>
                <w:sz w:val="20"/>
                <w:szCs w:val="20"/>
              </w:rPr>
            </w:pPr>
            <w:r>
              <w:rPr>
                <w:spacing w:val="4"/>
                <w:sz w:val="20"/>
                <w:szCs w:val="20"/>
              </w:rPr>
              <w:t>K4+640</w:t>
            </w:r>
          </w:p>
        </w:tc>
        <w:tc>
          <w:tcPr>
            <w:tcW w:w="968" w:type="dxa"/>
            <w:vAlign w:val="top"/>
          </w:tcPr>
          <w:p w14:paraId="33D48170">
            <w:pPr>
              <w:pStyle w:val="6"/>
              <w:spacing w:before="249" w:line="195" w:lineRule="auto"/>
              <w:ind w:left="380"/>
              <w:rPr>
                <w:sz w:val="20"/>
                <w:szCs w:val="20"/>
              </w:rPr>
            </w:pPr>
            <w:r>
              <w:rPr>
                <w:spacing w:val="2"/>
                <w:sz w:val="20"/>
                <w:szCs w:val="20"/>
              </w:rPr>
              <w:t>27</w:t>
            </w:r>
          </w:p>
        </w:tc>
        <w:tc>
          <w:tcPr>
            <w:tcW w:w="1159" w:type="dxa"/>
            <w:vAlign w:val="top"/>
          </w:tcPr>
          <w:p w14:paraId="7B8808AA">
            <w:pPr>
              <w:pStyle w:val="6"/>
              <w:spacing w:before="56" w:line="259" w:lineRule="auto"/>
              <w:ind w:left="400" w:right="159" w:hanging="233"/>
              <w:rPr>
                <w:sz w:val="20"/>
                <w:szCs w:val="20"/>
              </w:rPr>
            </w:pPr>
            <w:r>
              <w:rPr>
                <w:rFonts w:ascii="宋体" w:hAnsi="宋体" w:eastAsia="宋体" w:cs="宋体"/>
                <w:spacing w:val="6"/>
                <w:sz w:val="20"/>
                <w:szCs w:val="20"/>
              </w:rPr>
              <w:t>大圪梁散</w:t>
            </w:r>
            <w:r>
              <w:rPr>
                <w:rFonts w:ascii="宋体" w:hAnsi="宋体" w:eastAsia="宋体" w:cs="宋体"/>
                <w:sz w:val="20"/>
                <w:szCs w:val="20"/>
              </w:rPr>
              <w:t>户</w:t>
            </w:r>
            <w:r>
              <w:rPr>
                <w:rFonts w:ascii="宋体" w:hAnsi="宋体" w:eastAsia="宋体" w:cs="宋体"/>
                <w:spacing w:val="-44"/>
                <w:sz w:val="20"/>
                <w:szCs w:val="20"/>
              </w:rPr>
              <w:t xml:space="preserve"> </w:t>
            </w:r>
            <w:r>
              <w:rPr>
                <w:sz w:val="20"/>
                <w:szCs w:val="20"/>
              </w:rPr>
              <w:t>2</w:t>
            </w:r>
          </w:p>
        </w:tc>
        <w:tc>
          <w:tcPr>
            <w:tcW w:w="1843" w:type="dxa"/>
            <w:vAlign w:val="top"/>
          </w:tcPr>
          <w:p w14:paraId="5E77C737">
            <w:pPr>
              <w:pStyle w:val="6"/>
              <w:spacing w:before="93" w:line="195" w:lineRule="auto"/>
              <w:ind w:left="291"/>
              <w:rPr>
                <w:sz w:val="20"/>
                <w:szCs w:val="20"/>
              </w:rPr>
            </w:pPr>
            <w:r>
              <w:rPr>
                <w:spacing w:val="2"/>
                <w:sz w:val="20"/>
                <w:szCs w:val="20"/>
              </w:rPr>
              <w:t>110.736466021</w:t>
            </w:r>
          </w:p>
          <w:p w14:paraId="045D4252">
            <w:pPr>
              <w:pStyle w:val="6"/>
              <w:spacing w:before="125" w:line="195" w:lineRule="auto"/>
              <w:ind w:left="324"/>
              <w:rPr>
                <w:sz w:val="20"/>
                <w:szCs w:val="20"/>
              </w:rPr>
            </w:pPr>
            <w:r>
              <w:rPr>
                <w:spacing w:val="4"/>
                <w:sz w:val="20"/>
                <w:szCs w:val="20"/>
              </w:rPr>
              <w:t>39.535587007</w:t>
            </w:r>
          </w:p>
        </w:tc>
        <w:tc>
          <w:tcPr>
            <w:tcW w:w="1293" w:type="dxa"/>
            <w:tcBorders>
              <w:right w:val="nil"/>
            </w:tcBorders>
            <w:vAlign w:val="top"/>
          </w:tcPr>
          <w:p w14:paraId="1C320158">
            <w:pPr>
              <w:spacing w:before="56" w:line="259" w:lineRule="auto"/>
              <w:ind w:left="441" w:right="122" w:hanging="310"/>
              <w:rPr>
                <w:rFonts w:ascii="宋体" w:hAnsi="宋体" w:eastAsia="宋体" w:cs="宋体"/>
                <w:sz w:val="20"/>
                <w:szCs w:val="20"/>
              </w:rPr>
            </w:pPr>
            <w:r>
              <w:rPr>
                <w:rFonts w:ascii="宋体" w:hAnsi="宋体" w:eastAsia="宋体" w:cs="宋体"/>
                <w:spacing w:val="7"/>
                <w:sz w:val="20"/>
                <w:szCs w:val="20"/>
              </w:rPr>
              <w:t>受既有道路</w:t>
            </w:r>
            <w:r>
              <w:rPr>
                <w:rFonts w:ascii="宋体" w:hAnsi="宋体" w:eastAsia="宋体" w:cs="宋体"/>
                <w:spacing w:val="4"/>
                <w:sz w:val="20"/>
                <w:szCs w:val="20"/>
              </w:rPr>
              <w:t>影响</w:t>
            </w:r>
          </w:p>
        </w:tc>
      </w:tr>
      <w:tr w14:paraId="700ABD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654" w:type="dxa"/>
            <w:vMerge w:val="restart"/>
            <w:tcBorders>
              <w:left w:val="nil"/>
              <w:bottom w:val="nil"/>
            </w:tcBorders>
            <w:vAlign w:val="top"/>
          </w:tcPr>
          <w:p w14:paraId="70A8E7B6">
            <w:pPr>
              <w:spacing w:before="218" w:line="227" w:lineRule="auto"/>
              <w:ind w:left="206"/>
              <w:rPr>
                <w:rFonts w:ascii="宋体" w:hAnsi="宋体" w:eastAsia="宋体" w:cs="宋体"/>
                <w:sz w:val="20"/>
                <w:szCs w:val="20"/>
              </w:rPr>
            </w:pPr>
            <w:r>
              <w:rPr>
                <w:rFonts w:ascii="宋体" w:hAnsi="宋体" w:eastAsia="宋体" w:cs="宋体"/>
                <w:spacing w:val="7"/>
                <w:sz w:val="20"/>
                <w:szCs w:val="20"/>
              </w:rPr>
              <w:t>乌拉素村二道</w:t>
            </w:r>
          </w:p>
          <w:p w14:paraId="45A7222D">
            <w:pPr>
              <w:spacing w:before="65" w:line="228" w:lineRule="auto"/>
              <w:ind w:left="204"/>
              <w:rPr>
                <w:rFonts w:ascii="宋体" w:hAnsi="宋体" w:eastAsia="宋体" w:cs="宋体"/>
                <w:sz w:val="20"/>
                <w:szCs w:val="20"/>
              </w:rPr>
            </w:pPr>
            <w:r>
              <w:rPr>
                <w:rFonts w:ascii="宋体" w:hAnsi="宋体" w:eastAsia="宋体" w:cs="宋体"/>
                <w:spacing w:val="8"/>
                <w:sz w:val="20"/>
                <w:szCs w:val="20"/>
              </w:rPr>
              <w:t>壕大坝东至秦</w:t>
            </w:r>
          </w:p>
          <w:p w14:paraId="23D7050B">
            <w:pPr>
              <w:spacing w:before="65" w:line="228" w:lineRule="auto"/>
              <w:ind w:left="520"/>
              <w:rPr>
                <w:rFonts w:ascii="宋体" w:hAnsi="宋体" w:eastAsia="宋体" w:cs="宋体"/>
                <w:sz w:val="20"/>
                <w:szCs w:val="20"/>
              </w:rPr>
            </w:pPr>
            <w:r>
              <w:rPr>
                <w:rFonts w:ascii="宋体" w:hAnsi="宋体" w:eastAsia="宋体" w:cs="宋体"/>
                <w:spacing w:val="6"/>
                <w:sz w:val="20"/>
                <w:szCs w:val="20"/>
              </w:rPr>
              <w:t>家塔社</w:t>
            </w:r>
          </w:p>
        </w:tc>
        <w:tc>
          <w:tcPr>
            <w:tcW w:w="608" w:type="dxa"/>
            <w:textDirection w:val="tbRlV"/>
            <w:vAlign w:val="top"/>
          </w:tcPr>
          <w:p w14:paraId="0A35804C">
            <w:pPr>
              <w:spacing w:before="197" w:line="217" w:lineRule="auto"/>
              <w:ind w:left="58"/>
              <w:rPr>
                <w:rFonts w:ascii="宋体" w:hAnsi="宋体" w:eastAsia="宋体" w:cs="宋体"/>
                <w:sz w:val="20"/>
                <w:szCs w:val="20"/>
              </w:rPr>
            </w:pPr>
            <w:r>
              <w:rPr>
                <w:rFonts w:ascii="宋体" w:hAnsi="宋体" w:eastAsia="宋体" w:cs="宋体"/>
                <w:spacing w:val="6"/>
                <w:sz w:val="20"/>
                <w:szCs w:val="20"/>
              </w:rPr>
              <w:t>左 侧</w:t>
            </w:r>
          </w:p>
        </w:tc>
        <w:tc>
          <w:tcPr>
            <w:tcW w:w="993" w:type="dxa"/>
            <w:vAlign w:val="top"/>
          </w:tcPr>
          <w:p w14:paraId="7B295DEE">
            <w:pPr>
              <w:pStyle w:val="6"/>
              <w:spacing w:before="249" w:line="195" w:lineRule="auto"/>
              <w:ind w:left="151"/>
              <w:rPr>
                <w:sz w:val="20"/>
                <w:szCs w:val="20"/>
              </w:rPr>
            </w:pPr>
            <w:r>
              <w:rPr>
                <w:spacing w:val="4"/>
                <w:sz w:val="20"/>
                <w:szCs w:val="20"/>
              </w:rPr>
              <w:t>K0+010</w:t>
            </w:r>
          </w:p>
        </w:tc>
        <w:tc>
          <w:tcPr>
            <w:tcW w:w="968" w:type="dxa"/>
            <w:vAlign w:val="top"/>
          </w:tcPr>
          <w:p w14:paraId="11DD22FA">
            <w:pPr>
              <w:pStyle w:val="6"/>
              <w:spacing w:before="249" w:line="195" w:lineRule="auto"/>
              <w:ind w:left="385"/>
              <w:rPr>
                <w:sz w:val="20"/>
                <w:szCs w:val="20"/>
              </w:rPr>
            </w:pPr>
            <w:r>
              <w:rPr>
                <w:sz w:val="20"/>
                <w:szCs w:val="20"/>
              </w:rPr>
              <w:t>60</w:t>
            </w:r>
          </w:p>
        </w:tc>
        <w:tc>
          <w:tcPr>
            <w:tcW w:w="1159" w:type="dxa"/>
            <w:vAlign w:val="top"/>
          </w:tcPr>
          <w:p w14:paraId="0816BC64">
            <w:pPr>
              <w:pStyle w:val="6"/>
              <w:spacing w:before="59" w:line="258" w:lineRule="auto"/>
              <w:ind w:left="479" w:right="125" w:hanging="347"/>
              <w:rPr>
                <w:rFonts w:ascii="宋体" w:hAnsi="宋体" w:eastAsia="宋体" w:cs="宋体"/>
                <w:sz w:val="20"/>
                <w:szCs w:val="20"/>
              </w:rPr>
            </w:pPr>
            <w:r>
              <w:rPr>
                <w:rFonts w:ascii="宋体" w:hAnsi="宋体" w:eastAsia="宋体" w:cs="宋体"/>
                <w:spacing w:val="5"/>
                <w:sz w:val="20"/>
                <w:szCs w:val="20"/>
              </w:rPr>
              <w:t>二道壕</w:t>
            </w:r>
            <w:r>
              <w:rPr>
                <w:spacing w:val="5"/>
                <w:sz w:val="20"/>
                <w:szCs w:val="20"/>
              </w:rPr>
              <w:t>-</w:t>
            </w:r>
            <w:r>
              <w:rPr>
                <w:rFonts w:ascii="宋体" w:hAnsi="宋体" w:eastAsia="宋体" w:cs="宋体"/>
                <w:spacing w:val="5"/>
                <w:sz w:val="20"/>
                <w:szCs w:val="20"/>
              </w:rPr>
              <w:t>散</w:t>
            </w:r>
            <w:r>
              <w:rPr>
                <w:rFonts w:ascii="宋体" w:hAnsi="宋体" w:eastAsia="宋体" w:cs="宋体"/>
                <w:sz w:val="20"/>
                <w:szCs w:val="20"/>
              </w:rPr>
              <w:t>户</w:t>
            </w:r>
          </w:p>
        </w:tc>
        <w:tc>
          <w:tcPr>
            <w:tcW w:w="1843" w:type="dxa"/>
            <w:vAlign w:val="top"/>
          </w:tcPr>
          <w:p w14:paraId="315DA02C">
            <w:pPr>
              <w:pStyle w:val="6"/>
              <w:spacing w:before="93" w:line="195" w:lineRule="auto"/>
              <w:ind w:left="291"/>
              <w:rPr>
                <w:sz w:val="20"/>
                <w:szCs w:val="20"/>
              </w:rPr>
            </w:pPr>
            <w:r>
              <w:rPr>
                <w:spacing w:val="2"/>
                <w:sz w:val="20"/>
                <w:szCs w:val="20"/>
              </w:rPr>
              <w:t>110.792433325</w:t>
            </w:r>
          </w:p>
          <w:p w14:paraId="61DCE93C">
            <w:pPr>
              <w:pStyle w:val="6"/>
              <w:spacing w:before="125" w:line="195" w:lineRule="auto"/>
              <w:ind w:left="324"/>
              <w:rPr>
                <w:sz w:val="20"/>
                <w:szCs w:val="20"/>
              </w:rPr>
            </w:pPr>
            <w:r>
              <w:rPr>
                <w:spacing w:val="4"/>
                <w:sz w:val="20"/>
                <w:szCs w:val="20"/>
              </w:rPr>
              <w:t>39.854648377</w:t>
            </w:r>
          </w:p>
        </w:tc>
        <w:tc>
          <w:tcPr>
            <w:tcW w:w="1293" w:type="dxa"/>
            <w:tcBorders>
              <w:right w:val="nil"/>
            </w:tcBorders>
            <w:vAlign w:val="top"/>
          </w:tcPr>
          <w:p w14:paraId="2094EA2C">
            <w:pPr>
              <w:spacing w:before="59" w:line="258" w:lineRule="auto"/>
              <w:ind w:left="441" w:right="122" w:hanging="310"/>
              <w:rPr>
                <w:rFonts w:ascii="宋体" w:hAnsi="宋体" w:eastAsia="宋体" w:cs="宋体"/>
                <w:sz w:val="20"/>
                <w:szCs w:val="20"/>
              </w:rPr>
            </w:pPr>
            <w:r>
              <w:rPr>
                <w:rFonts w:ascii="宋体" w:hAnsi="宋体" w:eastAsia="宋体" w:cs="宋体"/>
                <w:spacing w:val="7"/>
                <w:sz w:val="20"/>
                <w:szCs w:val="20"/>
              </w:rPr>
              <w:t>受既有道路</w:t>
            </w:r>
            <w:r>
              <w:rPr>
                <w:rFonts w:ascii="宋体" w:hAnsi="宋体" w:eastAsia="宋体" w:cs="宋体"/>
                <w:spacing w:val="4"/>
                <w:sz w:val="20"/>
                <w:szCs w:val="20"/>
              </w:rPr>
              <w:t>影响</w:t>
            </w:r>
          </w:p>
        </w:tc>
      </w:tr>
      <w:tr w14:paraId="10B3AE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654" w:type="dxa"/>
            <w:vMerge w:val="continue"/>
            <w:tcBorders>
              <w:top w:val="nil"/>
              <w:left w:val="nil"/>
            </w:tcBorders>
            <w:vAlign w:val="top"/>
          </w:tcPr>
          <w:p w14:paraId="35488C44">
            <w:pPr>
              <w:rPr>
                <w:rFonts w:ascii="Arial"/>
                <w:sz w:val="21"/>
              </w:rPr>
            </w:pPr>
          </w:p>
        </w:tc>
        <w:tc>
          <w:tcPr>
            <w:tcW w:w="608" w:type="dxa"/>
            <w:textDirection w:val="tbRlV"/>
            <w:vAlign w:val="top"/>
          </w:tcPr>
          <w:p w14:paraId="735A2919">
            <w:pPr>
              <w:spacing w:before="197" w:line="217" w:lineRule="auto"/>
              <w:ind w:left="58"/>
              <w:rPr>
                <w:rFonts w:ascii="宋体" w:hAnsi="宋体" w:eastAsia="宋体" w:cs="宋体"/>
                <w:sz w:val="20"/>
                <w:szCs w:val="20"/>
              </w:rPr>
            </w:pPr>
            <w:r>
              <w:rPr>
                <w:rFonts w:ascii="宋体" w:hAnsi="宋体" w:eastAsia="宋体" w:cs="宋体"/>
                <w:spacing w:val="6"/>
                <w:sz w:val="20"/>
                <w:szCs w:val="20"/>
              </w:rPr>
              <w:t>右 侧</w:t>
            </w:r>
          </w:p>
        </w:tc>
        <w:tc>
          <w:tcPr>
            <w:tcW w:w="993" w:type="dxa"/>
            <w:vAlign w:val="top"/>
          </w:tcPr>
          <w:p w14:paraId="47D901EE">
            <w:pPr>
              <w:pStyle w:val="6"/>
              <w:spacing w:before="250" w:line="195" w:lineRule="auto"/>
              <w:ind w:left="151"/>
              <w:rPr>
                <w:sz w:val="20"/>
                <w:szCs w:val="20"/>
              </w:rPr>
            </w:pPr>
            <w:r>
              <w:rPr>
                <w:spacing w:val="4"/>
                <w:sz w:val="20"/>
                <w:szCs w:val="20"/>
              </w:rPr>
              <w:t>K1+360</w:t>
            </w:r>
          </w:p>
        </w:tc>
        <w:tc>
          <w:tcPr>
            <w:tcW w:w="968" w:type="dxa"/>
            <w:vAlign w:val="top"/>
          </w:tcPr>
          <w:p w14:paraId="3CC20978">
            <w:pPr>
              <w:pStyle w:val="6"/>
              <w:spacing w:before="250" w:line="195" w:lineRule="auto"/>
              <w:ind w:left="380"/>
              <w:rPr>
                <w:sz w:val="20"/>
                <w:szCs w:val="20"/>
              </w:rPr>
            </w:pPr>
            <w:r>
              <w:rPr>
                <w:spacing w:val="2"/>
                <w:sz w:val="20"/>
                <w:szCs w:val="20"/>
              </w:rPr>
              <w:t>23</w:t>
            </w:r>
          </w:p>
        </w:tc>
        <w:tc>
          <w:tcPr>
            <w:tcW w:w="1159" w:type="dxa"/>
            <w:vAlign w:val="top"/>
          </w:tcPr>
          <w:p w14:paraId="2A844E37">
            <w:pPr>
              <w:pStyle w:val="6"/>
              <w:spacing w:before="59" w:line="258" w:lineRule="auto"/>
              <w:ind w:left="480" w:right="125" w:hanging="351"/>
              <w:rPr>
                <w:rFonts w:ascii="宋体" w:hAnsi="宋体" w:eastAsia="宋体" w:cs="宋体"/>
                <w:sz w:val="20"/>
                <w:szCs w:val="20"/>
              </w:rPr>
            </w:pPr>
            <w:r>
              <w:rPr>
                <w:rFonts w:ascii="宋体" w:hAnsi="宋体" w:eastAsia="宋体" w:cs="宋体"/>
                <w:spacing w:val="6"/>
                <w:sz w:val="20"/>
                <w:szCs w:val="20"/>
              </w:rPr>
              <w:t>三道壕</w:t>
            </w:r>
            <w:r>
              <w:rPr>
                <w:spacing w:val="6"/>
                <w:sz w:val="20"/>
                <w:szCs w:val="20"/>
              </w:rPr>
              <w:t>-</w:t>
            </w:r>
            <w:r>
              <w:rPr>
                <w:rFonts w:ascii="宋体" w:hAnsi="宋体" w:eastAsia="宋体" w:cs="宋体"/>
                <w:spacing w:val="6"/>
                <w:sz w:val="20"/>
                <w:szCs w:val="20"/>
              </w:rPr>
              <w:t>散</w:t>
            </w:r>
            <w:r>
              <w:rPr>
                <w:rFonts w:ascii="宋体" w:hAnsi="宋体" w:eastAsia="宋体" w:cs="宋体"/>
                <w:sz w:val="20"/>
                <w:szCs w:val="20"/>
              </w:rPr>
              <w:t>户</w:t>
            </w:r>
          </w:p>
        </w:tc>
        <w:tc>
          <w:tcPr>
            <w:tcW w:w="1843" w:type="dxa"/>
            <w:vAlign w:val="top"/>
          </w:tcPr>
          <w:p w14:paraId="41DA1033">
            <w:pPr>
              <w:pStyle w:val="6"/>
              <w:spacing w:before="94" w:line="195" w:lineRule="auto"/>
              <w:ind w:left="291"/>
              <w:rPr>
                <w:sz w:val="20"/>
                <w:szCs w:val="20"/>
              </w:rPr>
            </w:pPr>
            <w:r>
              <w:rPr>
                <w:spacing w:val="2"/>
                <w:sz w:val="20"/>
                <w:szCs w:val="20"/>
              </w:rPr>
              <w:t>110.804165307</w:t>
            </w:r>
          </w:p>
          <w:p w14:paraId="427E8E5E">
            <w:pPr>
              <w:pStyle w:val="6"/>
              <w:spacing w:before="125" w:line="195" w:lineRule="auto"/>
              <w:ind w:left="324"/>
              <w:rPr>
                <w:sz w:val="20"/>
                <w:szCs w:val="20"/>
              </w:rPr>
            </w:pPr>
            <w:r>
              <w:rPr>
                <w:spacing w:val="4"/>
                <w:sz w:val="20"/>
                <w:szCs w:val="20"/>
              </w:rPr>
              <w:t>39.847288396</w:t>
            </w:r>
          </w:p>
        </w:tc>
        <w:tc>
          <w:tcPr>
            <w:tcW w:w="1293" w:type="dxa"/>
            <w:tcBorders>
              <w:right w:val="nil"/>
            </w:tcBorders>
            <w:vAlign w:val="top"/>
          </w:tcPr>
          <w:p w14:paraId="5234E864">
            <w:pPr>
              <w:pStyle w:val="6"/>
              <w:spacing w:before="246" w:line="199" w:lineRule="auto"/>
              <w:ind w:left="615"/>
              <w:rPr>
                <w:sz w:val="20"/>
                <w:szCs w:val="20"/>
              </w:rPr>
            </w:pPr>
            <w:r>
              <w:rPr>
                <w:spacing w:val="2"/>
                <w:sz w:val="20"/>
                <w:szCs w:val="20"/>
              </w:rPr>
              <w:t>/</w:t>
            </w:r>
          </w:p>
        </w:tc>
      </w:tr>
      <w:tr w14:paraId="045462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225" w:type="dxa"/>
            <w:gridSpan w:val="6"/>
            <w:tcBorders>
              <w:left w:val="nil"/>
            </w:tcBorders>
            <w:vAlign w:val="top"/>
          </w:tcPr>
          <w:p w14:paraId="4BE4B9E2">
            <w:pPr>
              <w:spacing w:before="58" w:line="228" w:lineRule="auto"/>
              <w:ind w:left="3200"/>
              <w:rPr>
                <w:rFonts w:ascii="宋体" w:hAnsi="宋体" w:eastAsia="宋体" w:cs="宋体"/>
                <w:sz w:val="20"/>
                <w:szCs w:val="20"/>
              </w:rPr>
            </w:pPr>
            <w:r>
              <w:rPr>
                <w:rFonts w:ascii="宋体" w:hAnsi="宋体" w:eastAsia="宋体" w:cs="宋体"/>
                <w:b/>
                <w:bCs/>
                <w:spacing w:val="6"/>
                <w:sz w:val="20"/>
                <w:szCs w:val="20"/>
              </w:rPr>
              <w:t>十二连城</w:t>
            </w:r>
          </w:p>
        </w:tc>
        <w:tc>
          <w:tcPr>
            <w:tcW w:w="1293" w:type="dxa"/>
            <w:tcBorders>
              <w:right w:val="nil"/>
            </w:tcBorders>
            <w:vAlign w:val="top"/>
          </w:tcPr>
          <w:p w14:paraId="2639AA2A">
            <w:pPr>
              <w:rPr>
                <w:rFonts w:ascii="Arial"/>
                <w:sz w:val="21"/>
              </w:rPr>
            </w:pPr>
          </w:p>
        </w:tc>
      </w:tr>
      <w:tr w14:paraId="2CF2BE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654" w:type="dxa"/>
            <w:vMerge w:val="restart"/>
            <w:tcBorders>
              <w:left w:val="nil"/>
              <w:bottom w:val="nil"/>
            </w:tcBorders>
            <w:vAlign w:val="top"/>
          </w:tcPr>
          <w:p w14:paraId="0EABE90B">
            <w:pPr>
              <w:spacing w:line="262" w:lineRule="auto"/>
              <w:rPr>
                <w:rFonts w:ascii="Arial"/>
                <w:sz w:val="21"/>
              </w:rPr>
            </w:pPr>
          </w:p>
          <w:p w14:paraId="0421EF17">
            <w:pPr>
              <w:spacing w:line="262" w:lineRule="auto"/>
              <w:rPr>
                <w:rFonts w:ascii="Arial"/>
                <w:sz w:val="21"/>
              </w:rPr>
            </w:pPr>
          </w:p>
          <w:p w14:paraId="45C5F3E6">
            <w:pPr>
              <w:spacing w:line="262" w:lineRule="auto"/>
              <w:rPr>
                <w:rFonts w:ascii="Arial"/>
                <w:sz w:val="21"/>
              </w:rPr>
            </w:pPr>
          </w:p>
          <w:p w14:paraId="3E21A998">
            <w:pPr>
              <w:spacing w:before="65" w:line="227" w:lineRule="auto"/>
              <w:ind w:left="204"/>
              <w:rPr>
                <w:rFonts w:ascii="宋体" w:hAnsi="宋体" w:eastAsia="宋体" w:cs="宋体"/>
                <w:sz w:val="20"/>
                <w:szCs w:val="20"/>
              </w:rPr>
            </w:pPr>
            <w:r>
              <w:rPr>
                <w:rFonts w:ascii="宋体" w:hAnsi="宋体" w:eastAsia="宋体" w:cs="宋体"/>
                <w:spacing w:val="8"/>
                <w:sz w:val="20"/>
                <w:szCs w:val="20"/>
              </w:rPr>
              <w:t>份子地社新村</w:t>
            </w:r>
          </w:p>
          <w:p w14:paraId="59850C24">
            <w:pPr>
              <w:spacing w:before="66" w:line="227" w:lineRule="auto"/>
              <w:ind w:left="206"/>
              <w:rPr>
                <w:rFonts w:ascii="宋体" w:hAnsi="宋体" w:eastAsia="宋体" w:cs="宋体"/>
                <w:sz w:val="20"/>
                <w:szCs w:val="20"/>
              </w:rPr>
            </w:pPr>
            <w:r>
              <w:rPr>
                <w:rFonts w:ascii="宋体" w:hAnsi="宋体" w:eastAsia="宋体" w:cs="宋体"/>
                <w:spacing w:val="7"/>
                <w:sz w:val="20"/>
                <w:szCs w:val="20"/>
              </w:rPr>
              <w:t>至二道拐村委</w:t>
            </w:r>
          </w:p>
          <w:p w14:paraId="591E5756">
            <w:pPr>
              <w:spacing w:before="66" w:line="227" w:lineRule="auto"/>
              <w:ind w:left="729"/>
              <w:rPr>
                <w:rFonts w:ascii="宋体" w:hAnsi="宋体" w:eastAsia="宋体" w:cs="宋体"/>
                <w:sz w:val="20"/>
                <w:szCs w:val="20"/>
              </w:rPr>
            </w:pPr>
            <w:r>
              <w:rPr>
                <w:rFonts w:ascii="宋体" w:hAnsi="宋体" w:eastAsia="宋体" w:cs="宋体"/>
                <w:spacing w:val="1"/>
                <w:sz w:val="20"/>
                <w:szCs w:val="20"/>
              </w:rPr>
              <w:t>会</w:t>
            </w:r>
          </w:p>
        </w:tc>
        <w:tc>
          <w:tcPr>
            <w:tcW w:w="608" w:type="dxa"/>
            <w:textDirection w:val="tbRlV"/>
            <w:vAlign w:val="top"/>
          </w:tcPr>
          <w:p w14:paraId="487060F5">
            <w:pPr>
              <w:spacing w:before="197" w:line="217" w:lineRule="auto"/>
              <w:ind w:left="62"/>
              <w:rPr>
                <w:rFonts w:ascii="宋体" w:hAnsi="宋体" w:eastAsia="宋体" w:cs="宋体"/>
                <w:sz w:val="20"/>
                <w:szCs w:val="20"/>
              </w:rPr>
            </w:pPr>
            <w:r>
              <w:rPr>
                <w:rFonts w:ascii="宋体" w:hAnsi="宋体" w:eastAsia="宋体" w:cs="宋体"/>
                <w:spacing w:val="6"/>
                <w:sz w:val="20"/>
                <w:szCs w:val="20"/>
              </w:rPr>
              <w:t>左 侧</w:t>
            </w:r>
          </w:p>
        </w:tc>
        <w:tc>
          <w:tcPr>
            <w:tcW w:w="993" w:type="dxa"/>
            <w:vAlign w:val="top"/>
          </w:tcPr>
          <w:p w14:paraId="3B8DDCB5">
            <w:pPr>
              <w:pStyle w:val="6"/>
              <w:spacing w:before="254" w:line="195" w:lineRule="auto"/>
              <w:ind w:left="151"/>
              <w:rPr>
                <w:sz w:val="20"/>
                <w:szCs w:val="20"/>
              </w:rPr>
            </w:pPr>
            <w:r>
              <w:rPr>
                <w:spacing w:val="4"/>
                <w:sz w:val="20"/>
                <w:szCs w:val="20"/>
              </w:rPr>
              <w:t>K0+935</w:t>
            </w:r>
          </w:p>
        </w:tc>
        <w:tc>
          <w:tcPr>
            <w:tcW w:w="968" w:type="dxa"/>
            <w:vAlign w:val="top"/>
          </w:tcPr>
          <w:p w14:paraId="3900DC8A">
            <w:pPr>
              <w:pStyle w:val="6"/>
              <w:spacing w:before="257" w:line="192" w:lineRule="auto"/>
              <w:ind w:left="438"/>
              <w:rPr>
                <w:sz w:val="20"/>
                <w:szCs w:val="20"/>
              </w:rPr>
            </w:pPr>
            <w:r>
              <w:rPr>
                <w:sz w:val="20"/>
                <w:szCs w:val="20"/>
              </w:rPr>
              <w:t>5</w:t>
            </w:r>
          </w:p>
        </w:tc>
        <w:tc>
          <w:tcPr>
            <w:tcW w:w="1159" w:type="dxa"/>
            <w:vAlign w:val="top"/>
          </w:tcPr>
          <w:p w14:paraId="4E4E85DD">
            <w:pPr>
              <w:spacing w:before="61" w:line="228" w:lineRule="auto"/>
              <w:ind w:left="165"/>
              <w:rPr>
                <w:rFonts w:ascii="宋体" w:hAnsi="宋体" w:eastAsia="宋体" w:cs="宋体"/>
                <w:sz w:val="20"/>
                <w:szCs w:val="20"/>
              </w:rPr>
            </w:pPr>
            <w:r>
              <w:rPr>
                <w:rFonts w:ascii="宋体" w:hAnsi="宋体" w:eastAsia="宋体" w:cs="宋体"/>
                <w:spacing w:val="7"/>
                <w:sz w:val="20"/>
                <w:szCs w:val="20"/>
              </w:rPr>
              <w:t>份子地新</w:t>
            </w:r>
          </w:p>
          <w:p w14:paraId="093E4D0C">
            <w:pPr>
              <w:pStyle w:val="6"/>
              <w:spacing w:before="65" w:line="225" w:lineRule="auto"/>
              <w:ind w:left="192"/>
              <w:rPr>
                <w:sz w:val="20"/>
                <w:szCs w:val="20"/>
              </w:rPr>
            </w:pPr>
            <w:r>
              <w:rPr>
                <w:rFonts w:ascii="宋体" w:hAnsi="宋体" w:eastAsia="宋体" w:cs="宋体"/>
                <w:spacing w:val="4"/>
                <w:sz w:val="20"/>
                <w:szCs w:val="20"/>
              </w:rPr>
              <w:t>村住户</w:t>
            </w:r>
            <w:r>
              <w:rPr>
                <w:rFonts w:ascii="宋体" w:hAnsi="宋体" w:eastAsia="宋体" w:cs="宋体"/>
                <w:spacing w:val="-20"/>
                <w:sz w:val="20"/>
                <w:szCs w:val="20"/>
              </w:rPr>
              <w:t xml:space="preserve"> </w:t>
            </w:r>
            <w:r>
              <w:rPr>
                <w:spacing w:val="4"/>
                <w:sz w:val="20"/>
                <w:szCs w:val="20"/>
              </w:rPr>
              <w:t>1</w:t>
            </w:r>
          </w:p>
        </w:tc>
        <w:tc>
          <w:tcPr>
            <w:tcW w:w="1843" w:type="dxa"/>
            <w:vAlign w:val="top"/>
          </w:tcPr>
          <w:p w14:paraId="2E6BAF46">
            <w:pPr>
              <w:pStyle w:val="6"/>
              <w:spacing w:before="98" w:line="195" w:lineRule="auto"/>
              <w:ind w:left="291"/>
              <w:rPr>
                <w:sz w:val="20"/>
                <w:szCs w:val="20"/>
              </w:rPr>
            </w:pPr>
            <w:r>
              <w:rPr>
                <w:spacing w:val="2"/>
                <w:sz w:val="20"/>
                <w:szCs w:val="20"/>
              </w:rPr>
              <w:t>110.996261093</w:t>
            </w:r>
          </w:p>
          <w:p w14:paraId="61D2B952">
            <w:pPr>
              <w:pStyle w:val="6"/>
              <w:spacing w:before="125" w:line="195" w:lineRule="auto"/>
              <w:ind w:left="318"/>
              <w:rPr>
                <w:sz w:val="20"/>
                <w:szCs w:val="20"/>
              </w:rPr>
            </w:pPr>
            <w:r>
              <w:rPr>
                <w:spacing w:val="4"/>
                <w:sz w:val="20"/>
                <w:szCs w:val="20"/>
              </w:rPr>
              <w:t>40.237160994</w:t>
            </w:r>
          </w:p>
        </w:tc>
        <w:tc>
          <w:tcPr>
            <w:tcW w:w="1293" w:type="dxa"/>
            <w:tcBorders>
              <w:right w:val="nil"/>
            </w:tcBorders>
            <w:vAlign w:val="top"/>
          </w:tcPr>
          <w:p w14:paraId="4ACF54D0">
            <w:pPr>
              <w:pStyle w:val="6"/>
              <w:spacing w:before="250" w:line="199" w:lineRule="auto"/>
              <w:ind w:left="615"/>
              <w:rPr>
                <w:sz w:val="20"/>
                <w:szCs w:val="20"/>
              </w:rPr>
            </w:pPr>
            <w:r>
              <w:rPr>
                <w:spacing w:val="2"/>
                <w:sz w:val="20"/>
                <w:szCs w:val="20"/>
              </w:rPr>
              <w:t>/</w:t>
            </w:r>
          </w:p>
        </w:tc>
      </w:tr>
      <w:tr w14:paraId="78FA92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654" w:type="dxa"/>
            <w:vMerge w:val="continue"/>
            <w:tcBorders>
              <w:top w:val="nil"/>
              <w:left w:val="nil"/>
              <w:bottom w:val="nil"/>
            </w:tcBorders>
            <w:vAlign w:val="top"/>
          </w:tcPr>
          <w:p w14:paraId="69525779">
            <w:pPr>
              <w:rPr>
                <w:rFonts w:ascii="Arial"/>
                <w:sz w:val="21"/>
              </w:rPr>
            </w:pPr>
          </w:p>
        </w:tc>
        <w:tc>
          <w:tcPr>
            <w:tcW w:w="608" w:type="dxa"/>
            <w:textDirection w:val="tbRlV"/>
            <w:vAlign w:val="top"/>
          </w:tcPr>
          <w:p w14:paraId="3997F5B4">
            <w:pPr>
              <w:spacing w:before="197" w:line="217" w:lineRule="auto"/>
              <w:ind w:left="62"/>
              <w:rPr>
                <w:rFonts w:ascii="宋体" w:hAnsi="宋体" w:eastAsia="宋体" w:cs="宋体"/>
                <w:sz w:val="20"/>
                <w:szCs w:val="20"/>
              </w:rPr>
            </w:pPr>
            <w:r>
              <w:rPr>
                <w:rFonts w:ascii="宋体" w:hAnsi="宋体" w:eastAsia="宋体" w:cs="宋体"/>
                <w:spacing w:val="6"/>
                <w:sz w:val="20"/>
                <w:szCs w:val="20"/>
              </w:rPr>
              <w:t>左 侧</w:t>
            </w:r>
          </w:p>
        </w:tc>
        <w:tc>
          <w:tcPr>
            <w:tcW w:w="993" w:type="dxa"/>
            <w:vAlign w:val="top"/>
          </w:tcPr>
          <w:p w14:paraId="45890739">
            <w:pPr>
              <w:pStyle w:val="6"/>
              <w:spacing w:before="254" w:line="195" w:lineRule="auto"/>
              <w:ind w:left="151"/>
              <w:rPr>
                <w:sz w:val="20"/>
                <w:szCs w:val="20"/>
              </w:rPr>
            </w:pPr>
            <w:r>
              <w:rPr>
                <w:spacing w:val="4"/>
                <w:sz w:val="20"/>
                <w:szCs w:val="20"/>
              </w:rPr>
              <w:t>K1+310</w:t>
            </w:r>
          </w:p>
        </w:tc>
        <w:tc>
          <w:tcPr>
            <w:tcW w:w="968" w:type="dxa"/>
            <w:vAlign w:val="top"/>
          </w:tcPr>
          <w:p w14:paraId="6153FFAE">
            <w:pPr>
              <w:pStyle w:val="6"/>
              <w:spacing w:before="254" w:line="195" w:lineRule="auto"/>
              <w:ind w:left="400"/>
              <w:rPr>
                <w:sz w:val="20"/>
                <w:szCs w:val="20"/>
              </w:rPr>
            </w:pPr>
            <w:r>
              <w:rPr>
                <w:spacing w:val="-8"/>
                <w:sz w:val="20"/>
                <w:szCs w:val="20"/>
              </w:rPr>
              <w:t>18</w:t>
            </w:r>
          </w:p>
        </w:tc>
        <w:tc>
          <w:tcPr>
            <w:tcW w:w="1159" w:type="dxa"/>
            <w:vAlign w:val="top"/>
          </w:tcPr>
          <w:p w14:paraId="478E17F8">
            <w:pPr>
              <w:spacing w:before="62" w:line="228" w:lineRule="auto"/>
              <w:ind w:left="165"/>
              <w:rPr>
                <w:rFonts w:ascii="宋体" w:hAnsi="宋体" w:eastAsia="宋体" w:cs="宋体"/>
                <w:sz w:val="20"/>
                <w:szCs w:val="20"/>
              </w:rPr>
            </w:pPr>
            <w:r>
              <w:rPr>
                <w:rFonts w:ascii="宋体" w:hAnsi="宋体" w:eastAsia="宋体" w:cs="宋体"/>
                <w:spacing w:val="7"/>
                <w:sz w:val="20"/>
                <w:szCs w:val="20"/>
              </w:rPr>
              <w:t>份子地新</w:t>
            </w:r>
          </w:p>
          <w:p w14:paraId="4D959832">
            <w:pPr>
              <w:pStyle w:val="6"/>
              <w:spacing w:before="65" w:line="224" w:lineRule="auto"/>
              <w:ind w:left="192"/>
              <w:rPr>
                <w:sz w:val="20"/>
                <w:szCs w:val="20"/>
              </w:rPr>
            </w:pPr>
            <w:r>
              <w:rPr>
                <w:rFonts w:ascii="宋体" w:hAnsi="宋体" w:eastAsia="宋体" w:cs="宋体"/>
                <w:spacing w:val="5"/>
                <w:sz w:val="20"/>
                <w:szCs w:val="20"/>
              </w:rPr>
              <w:t>村住户</w:t>
            </w:r>
            <w:r>
              <w:rPr>
                <w:rFonts w:ascii="宋体" w:hAnsi="宋体" w:eastAsia="宋体" w:cs="宋体"/>
                <w:spacing w:val="-43"/>
                <w:sz w:val="20"/>
                <w:szCs w:val="20"/>
              </w:rPr>
              <w:t xml:space="preserve"> </w:t>
            </w:r>
            <w:r>
              <w:rPr>
                <w:spacing w:val="5"/>
                <w:sz w:val="20"/>
                <w:szCs w:val="20"/>
              </w:rPr>
              <w:t>2</w:t>
            </w:r>
          </w:p>
        </w:tc>
        <w:tc>
          <w:tcPr>
            <w:tcW w:w="1843" w:type="dxa"/>
            <w:vAlign w:val="top"/>
          </w:tcPr>
          <w:p w14:paraId="0F45B756">
            <w:pPr>
              <w:spacing w:before="103" w:line="253" w:lineRule="auto"/>
              <w:ind w:left="273" w:right="255"/>
              <w:rPr>
                <w:rFonts w:ascii="Calibri" w:hAnsi="Calibri" w:eastAsia="Calibri" w:cs="Calibri"/>
                <w:sz w:val="20"/>
                <w:szCs w:val="20"/>
              </w:rPr>
            </w:pPr>
            <w:r>
              <w:rPr>
                <w:rFonts w:ascii="Calibri" w:hAnsi="Calibri" w:eastAsia="Calibri" w:cs="Calibri"/>
                <w:spacing w:val="3"/>
                <w:sz w:val="20"/>
                <w:szCs w:val="20"/>
              </w:rPr>
              <w:t>111.000352956</w:t>
            </w:r>
            <w:r>
              <w:rPr>
                <w:rFonts w:ascii="Calibri" w:hAnsi="Calibri" w:eastAsia="Calibri" w:cs="Calibri"/>
                <w:spacing w:val="2"/>
                <w:sz w:val="20"/>
                <w:szCs w:val="20"/>
              </w:rPr>
              <w:t xml:space="preserve"> </w:t>
            </w:r>
            <w:r>
              <w:rPr>
                <w:rFonts w:ascii="Calibri" w:hAnsi="Calibri" w:eastAsia="Calibri" w:cs="Calibri"/>
                <w:spacing w:val="3"/>
                <w:sz w:val="20"/>
                <w:szCs w:val="20"/>
              </w:rPr>
              <w:t>111.000352956</w:t>
            </w:r>
          </w:p>
        </w:tc>
        <w:tc>
          <w:tcPr>
            <w:tcW w:w="1293" w:type="dxa"/>
            <w:tcBorders>
              <w:right w:val="nil"/>
            </w:tcBorders>
            <w:vAlign w:val="top"/>
          </w:tcPr>
          <w:p w14:paraId="6A619133">
            <w:pPr>
              <w:rPr>
                <w:rFonts w:ascii="Arial"/>
                <w:sz w:val="21"/>
              </w:rPr>
            </w:pPr>
          </w:p>
        </w:tc>
      </w:tr>
      <w:tr w14:paraId="3C631B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654" w:type="dxa"/>
            <w:vMerge w:val="continue"/>
            <w:tcBorders>
              <w:top w:val="nil"/>
              <w:left w:val="nil"/>
              <w:bottom w:val="nil"/>
            </w:tcBorders>
            <w:vAlign w:val="top"/>
          </w:tcPr>
          <w:p w14:paraId="4E5667AC">
            <w:pPr>
              <w:rPr>
                <w:rFonts w:ascii="Arial"/>
                <w:sz w:val="21"/>
              </w:rPr>
            </w:pPr>
          </w:p>
        </w:tc>
        <w:tc>
          <w:tcPr>
            <w:tcW w:w="608" w:type="dxa"/>
            <w:textDirection w:val="tbRlV"/>
            <w:vAlign w:val="top"/>
          </w:tcPr>
          <w:p w14:paraId="2C57A43B">
            <w:pPr>
              <w:spacing w:before="197" w:line="217" w:lineRule="auto"/>
              <w:ind w:left="63"/>
              <w:rPr>
                <w:rFonts w:ascii="宋体" w:hAnsi="宋体" w:eastAsia="宋体" w:cs="宋体"/>
                <w:sz w:val="20"/>
                <w:szCs w:val="20"/>
              </w:rPr>
            </w:pPr>
            <w:r>
              <w:rPr>
                <w:rFonts w:ascii="宋体" w:hAnsi="宋体" w:eastAsia="宋体" w:cs="宋体"/>
                <w:spacing w:val="6"/>
                <w:sz w:val="20"/>
                <w:szCs w:val="20"/>
              </w:rPr>
              <w:t>左 侧</w:t>
            </w:r>
          </w:p>
        </w:tc>
        <w:tc>
          <w:tcPr>
            <w:tcW w:w="993" w:type="dxa"/>
            <w:vAlign w:val="top"/>
          </w:tcPr>
          <w:p w14:paraId="274A783F">
            <w:pPr>
              <w:pStyle w:val="6"/>
              <w:spacing w:before="255" w:line="195" w:lineRule="auto"/>
              <w:ind w:left="151"/>
              <w:rPr>
                <w:sz w:val="20"/>
                <w:szCs w:val="20"/>
              </w:rPr>
            </w:pPr>
            <w:r>
              <w:rPr>
                <w:spacing w:val="4"/>
                <w:sz w:val="20"/>
                <w:szCs w:val="20"/>
              </w:rPr>
              <w:t>K1+550</w:t>
            </w:r>
          </w:p>
        </w:tc>
        <w:tc>
          <w:tcPr>
            <w:tcW w:w="968" w:type="dxa"/>
            <w:vAlign w:val="top"/>
          </w:tcPr>
          <w:p w14:paraId="46309300">
            <w:pPr>
              <w:pStyle w:val="6"/>
              <w:spacing w:before="255" w:line="195" w:lineRule="auto"/>
              <w:ind w:left="380"/>
              <w:rPr>
                <w:sz w:val="20"/>
                <w:szCs w:val="20"/>
              </w:rPr>
            </w:pPr>
            <w:r>
              <w:rPr>
                <w:spacing w:val="2"/>
                <w:sz w:val="20"/>
                <w:szCs w:val="20"/>
              </w:rPr>
              <w:t>23</w:t>
            </w:r>
          </w:p>
        </w:tc>
        <w:tc>
          <w:tcPr>
            <w:tcW w:w="1159" w:type="dxa"/>
            <w:vAlign w:val="top"/>
          </w:tcPr>
          <w:p w14:paraId="0565A912">
            <w:pPr>
              <w:spacing w:before="63" w:line="228" w:lineRule="auto"/>
              <w:ind w:left="165"/>
              <w:rPr>
                <w:rFonts w:ascii="宋体" w:hAnsi="宋体" w:eastAsia="宋体" w:cs="宋体"/>
                <w:sz w:val="20"/>
                <w:szCs w:val="20"/>
              </w:rPr>
            </w:pPr>
            <w:r>
              <w:rPr>
                <w:rFonts w:ascii="宋体" w:hAnsi="宋体" w:eastAsia="宋体" w:cs="宋体"/>
                <w:spacing w:val="7"/>
                <w:sz w:val="20"/>
                <w:szCs w:val="20"/>
              </w:rPr>
              <w:t>份子地新</w:t>
            </w:r>
          </w:p>
          <w:p w14:paraId="32BF57F4">
            <w:pPr>
              <w:pStyle w:val="6"/>
              <w:spacing w:before="65" w:line="224" w:lineRule="auto"/>
              <w:ind w:left="192"/>
              <w:rPr>
                <w:sz w:val="20"/>
                <w:szCs w:val="20"/>
              </w:rPr>
            </w:pPr>
            <w:r>
              <w:rPr>
                <w:rFonts w:ascii="宋体" w:hAnsi="宋体" w:eastAsia="宋体" w:cs="宋体"/>
                <w:spacing w:val="4"/>
                <w:sz w:val="20"/>
                <w:szCs w:val="20"/>
              </w:rPr>
              <w:t>村住户</w:t>
            </w:r>
            <w:r>
              <w:rPr>
                <w:rFonts w:ascii="宋体" w:hAnsi="宋体" w:eastAsia="宋体" w:cs="宋体"/>
                <w:spacing w:val="-36"/>
                <w:sz w:val="20"/>
                <w:szCs w:val="20"/>
              </w:rPr>
              <w:t xml:space="preserve"> </w:t>
            </w:r>
            <w:r>
              <w:rPr>
                <w:spacing w:val="4"/>
                <w:sz w:val="20"/>
                <w:szCs w:val="20"/>
              </w:rPr>
              <w:t>3</w:t>
            </w:r>
          </w:p>
        </w:tc>
        <w:tc>
          <w:tcPr>
            <w:tcW w:w="1843" w:type="dxa"/>
            <w:vAlign w:val="top"/>
          </w:tcPr>
          <w:p w14:paraId="7DB9383E">
            <w:pPr>
              <w:pStyle w:val="6"/>
              <w:spacing w:before="99" w:line="195" w:lineRule="auto"/>
              <w:ind w:left="294"/>
              <w:rPr>
                <w:sz w:val="20"/>
                <w:szCs w:val="20"/>
              </w:rPr>
            </w:pPr>
            <w:r>
              <w:rPr>
                <w:spacing w:val="1"/>
                <w:sz w:val="20"/>
                <w:szCs w:val="20"/>
              </w:rPr>
              <w:t>111.003157053</w:t>
            </w:r>
          </w:p>
          <w:p w14:paraId="08A0C2E6">
            <w:pPr>
              <w:pStyle w:val="6"/>
              <w:spacing w:before="125" w:line="195" w:lineRule="auto"/>
              <w:ind w:left="323"/>
              <w:rPr>
                <w:sz w:val="20"/>
                <w:szCs w:val="20"/>
              </w:rPr>
            </w:pPr>
            <w:r>
              <w:rPr>
                <w:spacing w:val="3"/>
                <w:sz w:val="20"/>
                <w:szCs w:val="20"/>
              </w:rPr>
              <w:t>40.237529112</w:t>
            </w:r>
          </w:p>
        </w:tc>
        <w:tc>
          <w:tcPr>
            <w:tcW w:w="1293" w:type="dxa"/>
            <w:tcBorders>
              <w:right w:val="nil"/>
            </w:tcBorders>
            <w:vAlign w:val="top"/>
          </w:tcPr>
          <w:p w14:paraId="19DD0797">
            <w:pPr>
              <w:spacing w:before="63" w:line="256" w:lineRule="auto"/>
              <w:ind w:left="231" w:right="122" w:hanging="84"/>
              <w:rPr>
                <w:rFonts w:ascii="宋体" w:hAnsi="宋体" w:eastAsia="宋体" w:cs="宋体"/>
                <w:sz w:val="20"/>
                <w:szCs w:val="20"/>
              </w:rPr>
            </w:pPr>
            <w:r>
              <w:rPr>
                <w:rFonts w:ascii="宋体" w:hAnsi="宋体" w:eastAsia="宋体" w:cs="宋体"/>
                <w:spacing w:val="4"/>
                <w:sz w:val="20"/>
                <w:szCs w:val="20"/>
              </w:rPr>
              <w:t>同时受现有</w:t>
            </w:r>
            <w:r>
              <w:rPr>
                <w:rFonts w:ascii="宋体" w:hAnsi="宋体" w:eastAsia="宋体" w:cs="宋体"/>
                <w:spacing w:val="7"/>
                <w:sz w:val="20"/>
                <w:szCs w:val="20"/>
              </w:rPr>
              <w:t>道路影响</w:t>
            </w:r>
          </w:p>
        </w:tc>
      </w:tr>
      <w:tr w14:paraId="2BCE86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654" w:type="dxa"/>
            <w:vMerge w:val="continue"/>
            <w:tcBorders>
              <w:top w:val="nil"/>
              <w:left w:val="nil"/>
            </w:tcBorders>
            <w:vAlign w:val="top"/>
          </w:tcPr>
          <w:p w14:paraId="57C87B27">
            <w:pPr>
              <w:rPr>
                <w:rFonts w:ascii="Arial"/>
                <w:sz w:val="21"/>
              </w:rPr>
            </w:pPr>
          </w:p>
        </w:tc>
        <w:tc>
          <w:tcPr>
            <w:tcW w:w="608" w:type="dxa"/>
            <w:textDirection w:val="tbRlV"/>
            <w:vAlign w:val="top"/>
          </w:tcPr>
          <w:p w14:paraId="5C63B472">
            <w:pPr>
              <w:spacing w:before="197" w:line="217" w:lineRule="auto"/>
              <w:ind w:left="64"/>
              <w:rPr>
                <w:rFonts w:ascii="宋体" w:hAnsi="宋体" w:eastAsia="宋体" w:cs="宋体"/>
                <w:sz w:val="20"/>
                <w:szCs w:val="20"/>
              </w:rPr>
            </w:pPr>
            <w:r>
              <w:rPr>
                <w:rFonts w:ascii="宋体" w:hAnsi="宋体" w:eastAsia="宋体" w:cs="宋体"/>
                <w:spacing w:val="6"/>
                <w:sz w:val="20"/>
                <w:szCs w:val="20"/>
              </w:rPr>
              <w:t>左 侧</w:t>
            </w:r>
          </w:p>
        </w:tc>
        <w:tc>
          <w:tcPr>
            <w:tcW w:w="993" w:type="dxa"/>
            <w:vAlign w:val="top"/>
          </w:tcPr>
          <w:p w14:paraId="3564786C">
            <w:pPr>
              <w:pStyle w:val="6"/>
              <w:spacing w:before="255" w:line="195" w:lineRule="auto"/>
              <w:ind w:left="151"/>
              <w:rPr>
                <w:sz w:val="20"/>
                <w:szCs w:val="20"/>
              </w:rPr>
            </w:pPr>
            <w:r>
              <w:rPr>
                <w:spacing w:val="4"/>
                <w:sz w:val="20"/>
                <w:szCs w:val="20"/>
              </w:rPr>
              <w:t>K1+350</w:t>
            </w:r>
          </w:p>
        </w:tc>
        <w:tc>
          <w:tcPr>
            <w:tcW w:w="968" w:type="dxa"/>
            <w:vAlign w:val="top"/>
          </w:tcPr>
          <w:p w14:paraId="5B9AA7A4">
            <w:pPr>
              <w:pStyle w:val="6"/>
              <w:spacing w:before="255" w:line="195" w:lineRule="auto"/>
              <w:ind w:left="327"/>
              <w:rPr>
                <w:sz w:val="20"/>
                <w:szCs w:val="20"/>
              </w:rPr>
            </w:pPr>
            <w:r>
              <w:rPr>
                <w:spacing w:val="3"/>
                <w:sz w:val="20"/>
                <w:szCs w:val="20"/>
              </w:rPr>
              <w:t>200</w:t>
            </w:r>
          </w:p>
        </w:tc>
        <w:tc>
          <w:tcPr>
            <w:tcW w:w="1159" w:type="dxa"/>
            <w:vAlign w:val="top"/>
          </w:tcPr>
          <w:p w14:paraId="132BBFE7">
            <w:pPr>
              <w:pStyle w:val="6"/>
              <w:spacing w:before="219" w:line="228" w:lineRule="auto"/>
              <w:ind w:left="194"/>
              <w:rPr>
                <w:sz w:val="20"/>
                <w:szCs w:val="20"/>
              </w:rPr>
            </w:pPr>
            <w:r>
              <w:rPr>
                <w:rFonts w:ascii="宋体" w:hAnsi="宋体" w:eastAsia="宋体" w:cs="宋体"/>
                <w:spacing w:val="4"/>
                <w:sz w:val="20"/>
                <w:szCs w:val="20"/>
              </w:rPr>
              <w:t>背景点</w:t>
            </w:r>
            <w:r>
              <w:rPr>
                <w:rFonts w:ascii="宋体" w:hAnsi="宋体" w:eastAsia="宋体" w:cs="宋体"/>
                <w:spacing w:val="-23"/>
                <w:sz w:val="20"/>
                <w:szCs w:val="20"/>
              </w:rPr>
              <w:t xml:space="preserve"> </w:t>
            </w:r>
            <w:r>
              <w:rPr>
                <w:spacing w:val="4"/>
                <w:sz w:val="20"/>
                <w:szCs w:val="20"/>
              </w:rPr>
              <w:t>1</w:t>
            </w:r>
          </w:p>
        </w:tc>
        <w:tc>
          <w:tcPr>
            <w:tcW w:w="1843" w:type="dxa"/>
            <w:vAlign w:val="top"/>
          </w:tcPr>
          <w:p w14:paraId="2B62F37C">
            <w:pPr>
              <w:pStyle w:val="6"/>
              <w:spacing w:before="99" w:line="195" w:lineRule="auto"/>
              <w:ind w:left="294"/>
              <w:rPr>
                <w:sz w:val="20"/>
                <w:szCs w:val="20"/>
              </w:rPr>
            </w:pPr>
            <w:r>
              <w:rPr>
                <w:spacing w:val="1"/>
                <w:sz w:val="20"/>
                <w:szCs w:val="20"/>
              </w:rPr>
              <w:t>111.000846329</w:t>
            </w:r>
          </w:p>
          <w:p w14:paraId="013104B0">
            <w:pPr>
              <w:pStyle w:val="6"/>
              <w:spacing w:before="125" w:line="195" w:lineRule="auto"/>
              <w:ind w:left="318"/>
              <w:rPr>
                <w:sz w:val="20"/>
                <w:szCs w:val="20"/>
              </w:rPr>
            </w:pPr>
            <w:r>
              <w:rPr>
                <w:spacing w:val="4"/>
                <w:sz w:val="20"/>
                <w:szCs w:val="20"/>
              </w:rPr>
              <w:t>40.239368317</w:t>
            </w:r>
          </w:p>
        </w:tc>
        <w:tc>
          <w:tcPr>
            <w:tcW w:w="1293" w:type="dxa"/>
            <w:tcBorders>
              <w:right w:val="nil"/>
            </w:tcBorders>
            <w:vAlign w:val="top"/>
          </w:tcPr>
          <w:p w14:paraId="4E7AEF20">
            <w:pPr>
              <w:rPr>
                <w:rFonts w:ascii="Arial"/>
                <w:sz w:val="21"/>
              </w:rPr>
            </w:pPr>
          </w:p>
        </w:tc>
      </w:tr>
      <w:tr w14:paraId="2DBEDA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654" w:type="dxa"/>
            <w:vMerge w:val="restart"/>
            <w:tcBorders>
              <w:left w:val="nil"/>
              <w:bottom w:val="nil"/>
            </w:tcBorders>
            <w:vAlign w:val="top"/>
          </w:tcPr>
          <w:p w14:paraId="173B62FB">
            <w:pPr>
              <w:spacing w:line="262" w:lineRule="auto"/>
              <w:rPr>
                <w:rFonts w:ascii="Arial"/>
                <w:sz w:val="21"/>
              </w:rPr>
            </w:pPr>
          </w:p>
          <w:p w14:paraId="54B592C4">
            <w:pPr>
              <w:spacing w:line="263" w:lineRule="auto"/>
              <w:rPr>
                <w:rFonts w:ascii="Arial"/>
                <w:sz w:val="21"/>
              </w:rPr>
            </w:pPr>
          </w:p>
          <w:p w14:paraId="3487E7E1">
            <w:pPr>
              <w:spacing w:line="263" w:lineRule="auto"/>
              <w:rPr>
                <w:rFonts w:ascii="Arial"/>
                <w:sz w:val="21"/>
              </w:rPr>
            </w:pPr>
          </w:p>
          <w:p w14:paraId="0F1D7796">
            <w:pPr>
              <w:spacing w:line="263" w:lineRule="auto"/>
              <w:rPr>
                <w:rFonts w:ascii="Arial"/>
                <w:sz w:val="21"/>
              </w:rPr>
            </w:pPr>
          </w:p>
          <w:p w14:paraId="5F660426">
            <w:pPr>
              <w:spacing w:line="263" w:lineRule="auto"/>
              <w:rPr>
                <w:rFonts w:ascii="Arial"/>
                <w:sz w:val="21"/>
              </w:rPr>
            </w:pPr>
          </w:p>
          <w:p w14:paraId="7BAE5385">
            <w:pPr>
              <w:spacing w:line="263" w:lineRule="auto"/>
              <w:rPr>
                <w:rFonts w:ascii="Arial"/>
                <w:sz w:val="21"/>
              </w:rPr>
            </w:pPr>
          </w:p>
          <w:p w14:paraId="2CEBAFCD">
            <w:pPr>
              <w:spacing w:before="65" w:line="289" w:lineRule="auto"/>
              <w:ind w:left="315" w:right="196" w:hanging="107"/>
              <w:rPr>
                <w:rFonts w:ascii="宋体" w:hAnsi="宋体" w:eastAsia="宋体" w:cs="宋体"/>
                <w:sz w:val="20"/>
                <w:szCs w:val="20"/>
              </w:rPr>
            </w:pPr>
            <w:r>
              <w:rPr>
                <w:rFonts w:ascii="宋体" w:hAnsi="宋体" w:eastAsia="宋体" w:cs="宋体"/>
                <w:spacing w:val="7"/>
                <w:sz w:val="20"/>
                <w:szCs w:val="20"/>
              </w:rPr>
              <w:t>二道拐坡地至张家圪旦社</w:t>
            </w:r>
          </w:p>
        </w:tc>
        <w:tc>
          <w:tcPr>
            <w:tcW w:w="608" w:type="dxa"/>
            <w:textDirection w:val="tbRlV"/>
            <w:vAlign w:val="top"/>
          </w:tcPr>
          <w:p w14:paraId="1B8C41BB">
            <w:pPr>
              <w:spacing w:before="197" w:line="217" w:lineRule="auto"/>
              <w:ind w:left="64"/>
              <w:rPr>
                <w:rFonts w:ascii="宋体" w:hAnsi="宋体" w:eastAsia="宋体" w:cs="宋体"/>
                <w:sz w:val="20"/>
                <w:szCs w:val="20"/>
              </w:rPr>
            </w:pPr>
            <w:r>
              <w:rPr>
                <w:rFonts w:ascii="宋体" w:hAnsi="宋体" w:eastAsia="宋体" w:cs="宋体"/>
                <w:spacing w:val="6"/>
                <w:sz w:val="20"/>
                <w:szCs w:val="20"/>
              </w:rPr>
              <w:t>左 侧</w:t>
            </w:r>
          </w:p>
        </w:tc>
        <w:tc>
          <w:tcPr>
            <w:tcW w:w="993" w:type="dxa"/>
            <w:vAlign w:val="top"/>
          </w:tcPr>
          <w:p w14:paraId="7740B59D">
            <w:pPr>
              <w:pStyle w:val="6"/>
              <w:spacing w:before="256" w:line="195" w:lineRule="auto"/>
              <w:ind w:left="151"/>
              <w:rPr>
                <w:sz w:val="20"/>
                <w:szCs w:val="20"/>
              </w:rPr>
            </w:pPr>
            <w:r>
              <w:rPr>
                <w:spacing w:val="4"/>
                <w:sz w:val="20"/>
                <w:szCs w:val="20"/>
              </w:rPr>
              <w:t>K0+890</w:t>
            </w:r>
          </w:p>
        </w:tc>
        <w:tc>
          <w:tcPr>
            <w:tcW w:w="968" w:type="dxa"/>
            <w:vAlign w:val="top"/>
          </w:tcPr>
          <w:p w14:paraId="64352F92">
            <w:pPr>
              <w:pStyle w:val="6"/>
              <w:spacing w:before="256" w:line="195" w:lineRule="auto"/>
              <w:ind w:left="441"/>
              <w:rPr>
                <w:sz w:val="20"/>
                <w:szCs w:val="20"/>
              </w:rPr>
            </w:pPr>
            <w:r>
              <w:rPr>
                <w:sz w:val="20"/>
                <w:szCs w:val="20"/>
              </w:rPr>
              <w:t>8</w:t>
            </w:r>
          </w:p>
        </w:tc>
        <w:tc>
          <w:tcPr>
            <w:tcW w:w="1159" w:type="dxa"/>
            <w:vAlign w:val="top"/>
          </w:tcPr>
          <w:p w14:paraId="1AFFB01F">
            <w:pPr>
              <w:pStyle w:val="6"/>
              <w:spacing w:before="220" w:line="231" w:lineRule="auto"/>
              <w:ind w:left="196"/>
              <w:rPr>
                <w:sz w:val="20"/>
                <w:szCs w:val="20"/>
              </w:rPr>
            </w:pPr>
            <w:r>
              <w:rPr>
                <w:rFonts w:ascii="宋体" w:hAnsi="宋体" w:eastAsia="宋体" w:cs="宋体"/>
                <w:spacing w:val="3"/>
                <w:sz w:val="20"/>
                <w:szCs w:val="20"/>
              </w:rPr>
              <w:t>西圪旦</w:t>
            </w:r>
            <w:r>
              <w:rPr>
                <w:rFonts w:ascii="宋体" w:hAnsi="宋体" w:eastAsia="宋体" w:cs="宋体"/>
                <w:spacing w:val="-21"/>
                <w:sz w:val="20"/>
                <w:szCs w:val="20"/>
              </w:rPr>
              <w:t xml:space="preserve"> </w:t>
            </w:r>
            <w:r>
              <w:rPr>
                <w:spacing w:val="3"/>
                <w:sz w:val="20"/>
                <w:szCs w:val="20"/>
              </w:rPr>
              <w:t>1</w:t>
            </w:r>
          </w:p>
        </w:tc>
        <w:tc>
          <w:tcPr>
            <w:tcW w:w="1843" w:type="dxa"/>
            <w:vAlign w:val="top"/>
          </w:tcPr>
          <w:p w14:paraId="622CC5B0">
            <w:pPr>
              <w:pStyle w:val="6"/>
              <w:spacing w:before="100" w:line="195" w:lineRule="auto"/>
              <w:ind w:left="294"/>
              <w:rPr>
                <w:sz w:val="20"/>
                <w:szCs w:val="20"/>
              </w:rPr>
            </w:pPr>
            <w:r>
              <w:rPr>
                <w:spacing w:val="1"/>
                <w:sz w:val="20"/>
                <w:szCs w:val="20"/>
              </w:rPr>
              <w:t>111.005172733</w:t>
            </w:r>
          </w:p>
          <w:p w14:paraId="1C09C482">
            <w:pPr>
              <w:pStyle w:val="6"/>
              <w:spacing w:before="125" w:line="195" w:lineRule="auto"/>
              <w:ind w:left="318"/>
              <w:rPr>
                <w:sz w:val="20"/>
                <w:szCs w:val="20"/>
              </w:rPr>
            </w:pPr>
            <w:r>
              <w:rPr>
                <w:spacing w:val="4"/>
                <w:sz w:val="20"/>
                <w:szCs w:val="20"/>
              </w:rPr>
              <w:t>40.262027647</w:t>
            </w:r>
          </w:p>
        </w:tc>
        <w:tc>
          <w:tcPr>
            <w:tcW w:w="1293" w:type="dxa"/>
            <w:tcBorders>
              <w:right w:val="nil"/>
            </w:tcBorders>
            <w:vAlign w:val="top"/>
          </w:tcPr>
          <w:p w14:paraId="67220198">
            <w:pPr>
              <w:pStyle w:val="6"/>
              <w:spacing w:before="252" w:line="199" w:lineRule="auto"/>
              <w:ind w:left="615"/>
              <w:rPr>
                <w:sz w:val="20"/>
                <w:szCs w:val="20"/>
              </w:rPr>
            </w:pPr>
            <w:r>
              <w:rPr>
                <w:spacing w:val="2"/>
                <w:sz w:val="20"/>
                <w:szCs w:val="20"/>
              </w:rPr>
              <w:t>/</w:t>
            </w:r>
          </w:p>
        </w:tc>
      </w:tr>
      <w:tr w14:paraId="286D43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654" w:type="dxa"/>
            <w:vMerge w:val="continue"/>
            <w:tcBorders>
              <w:top w:val="nil"/>
              <w:left w:val="nil"/>
              <w:bottom w:val="nil"/>
            </w:tcBorders>
            <w:vAlign w:val="top"/>
          </w:tcPr>
          <w:p w14:paraId="1FDEC6E6">
            <w:pPr>
              <w:rPr>
                <w:rFonts w:ascii="Arial"/>
                <w:sz w:val="21"/>
              </w:rPr>
            </w:pPr>
          </w:p>
        </w:tc>
        <w:tc>
          <w:tcPr>
            <w:tcW w:w="608" w:type="dxa"/>
            <w:textDirection w:val="tbRlV"/>
            <w:vAlign w:val="top"/>
          </w:tcPr>
          <w:p w14:paraId="4DADA336">
            <w:pPr>
              <w:spacing w:before="197" w:line="217" w:lineRule="auto"/>
              <w:ind w:left="65"/>
              <w:rPr>
                <w:rFonts w:ascii="宋体" w:hAnsi="宋体" w:eastAsia="宋体" w:cs="宋体"/>
                <w:sz w:val="20"/>
                <w:szCs w:val="20"/>
              </w:rPr>
            </w:pPr>
            <w:r>
              <w:rPr>
                <w:rFonts w:ascii="宋体" w:hAnsi="宋体" w:eastAsia="宋体" w:cs="宋体"/>
                <w:spacing w:val="6"/>
                <w:sz w:val="20"/>
                <w:szCs w:val="20"/>
              </w:rPr>
              <w:t>左 侧</w:t>
            </w:r>
          </w:p>
        </w:tc>
        <w:tc>
          <w:tcPr>
            <w:tcW w:w="993" w:type="dxa"/>
            <w:vAlign w:val="top"/>
          </w:tcPr>
          <w:p w14:paraId="59386AFA">
            <w:pPr>
              <w:pStyle w:val="6"/>
              <w:spacing w:before="257" w:line="195" w:lineRule="auto"/>
              <w:ind w:left="151"/>
              <w:rPr>
                <w:sz w:val="20"/>
                <w:szCs w:val="20"/>
              </w:rPr>
            </w:pPr>
            <w:r>
              <w:rPr>
                <w:spacing w:val="4"/>
                <w:sz w:val="20"/>
                <w:szCs w:val="20"/>
              </w:rPr>
              <w:t>K0+960</w:t>
            </w:r>
          </w:p>
        </w:tc>
        <w:tc>
          <w:tcPr>
            <w:tcW w:w="968" w:type="dxa"/>
            <w:vAlign w:val="top"/>
          </w:tcPr>
          <w:p w14:paraId="5B7BD196">
            <w:pPr>
              <w:pStyle w:val="6"/>
              <w:spacing w:before="257" w:line="195" w:lineRule="auto"/>
              <w:ind w:left="385"/>
              <w:rPr>
                <w:sz w:val="20"/>
                <w:szCs w:val="20"/>
              </w:rPr>
            </w:pPr>
            <w:r>
              <w:rPr>
                <w:sz w:val="20"/>
                <w:szCs w:val="20"/>
              </w:rPr>
              <w:t>62</w:t>
            </w:r>
          </w:p>
        </w:tc>
        <w:tc>
          <w:tcPr>
            <w:tcW w:w="1159" w:type="dxa"/>
            <w:vAlign w:val="top"/>
          </w:tcPr>
          <w:p w14:paraId="73DCD6F3">
            <w:pPr>
              <w:pStyle w:val="6"/>
              <w:spacing w:before="221" w:line="231" w:lineRule="auto"/>
              <w:ind w:left="196"/>
              <w:rPr>
                <w:sz w:val="20"/>
                <w:szCs w:val="20"/>
              </w:rPr>
            </w:pPr>
            <w:r>
              <w:rPr>
                <w:rFonts w:ascii="宋体" w:hAnsi="宋体" w:eastAsia="宋体" w:cs="宋体"/>
                <w:spacing w:val="3"/>
                <w:sz w:val="20"/>
                <w:szCs w:val="20"/>
              </w:rPr>
              <w:t>西圪旦</w:t>
            </w:r>
            <w:r>
              <w:rPr>
                <w:rFonts w:ascii="宋体" w:hAnsi="宋体" w:eastAsia="宋体" w:cs="宋体"/>
                <w:spacing w:val="-41"/>
                <w:sz w:val="20"/>
                <w:szCs w:val="20"/>
              </w:rPr>
              <w:t xml:space="preserve"> </w:t>
            </w:r>
            <w:r>
              <w:rPr>
                <w:spacing w:val="3"/>
                <w:sz w:val="20"/>
                <w:szCs w:val="20"/>
              </w:rPr>
              <w:t>2</w:t>
            </w:r>
          </w:p>
        </w:tc>
        <w:tc>
          <w:tcPr>
            <w:tcW w:w="1843" w:type="dxa"/>
            <w:vAlign w:val="top"/>
          </w:tcPr>
          <w:p w14:paraId="24DFD142">
            <w:pPr>
              <w:pStyle w:val="6"/>
              <w:spacing w:before="101" w:line="195" w:lineRule="auto"/>
              <w:ind w:left="294"/>
              <w:rPr>
                <w:sz w:val="20"/>
                <w:szCs w:val="20"/>
              </w:rPr>
            </w:pPr>
            <w:r>
              <w:rPr>
                <w:spacing w:val="1"/>
                <w:sz w:val="20"/>
                <w:szCs w:val="20"/>
              </w:rPr>
              <w:t>111.004298333</w:t>
            </w:r>
          </w:p>
          <w:p w14:paraId="2241B6AB">
            <w:pPr>
              <w:pStyle w:val="6"/>
              <w:spacing w:before="125" w:line="195" w:lineRule="auto"/>
              <w:ind w:left="318"/>
              <w:rPr>
                <w:sz w:val="20"/>
                <w:szCs w:val="20"/>
              </w:rPr>
            </w:pPr>
            <w:r>
              <w:rPr>
                <w:spacing w:val="4"/>
                <w:sz w:val="20"/>
                <w:szCs w:val="20"/>
              </w:rPr>
              <w:t>40.262580275</w:t>
            </w:r>
          </w:p>
        </w:tc>
        <w:tc>
          <w:tcPr>
            <w:tcW w:w="1293" w:type="dxa"/>
            <w:tcBorders>
              <w:right w:val="nil"/>
            </w:tcBorders>
            <w:vAlign w:val="top"/>
          </w:tcPr>
          <w:p w14:paraId="4A753ADE">
            <w:pPr>
              <w:spacing w:before="65" w:line="255" w:lineRule="auto"/>
              <w:ind w:left="441" w:right="122" w:hanging="310"/>
              <w:rPr>
                <w:rFonts w:ascii="宋体" w:hAnsi="宋体" w:eastAsia="宋体" w:cs="宋体"/>
                <w:sz w:val="20"/>
                <w:szCs w:val="20"/>
              </w:rPr>
            </w:pPr>
            <w:r>
              <w:rPr>
                <w:rFonts w:ascii="宋体" w:hAnsi="宋体" w:eastAsia="宋体" w:cs="宋体"/>
                <w:spacing w:val="7"/>
                <w:sz w:val="20"/>
                <w:szCs w:val="20"/>
              </w:rPr>
              <w:t>受现有公路</w:t>
            </w:r>
            <w:r>
              <w:rPr>
                <w:rFonts w:ascii="宋体" w:hAnsi="宋体" w:eastAsia="宋体" w:cs="宋体"/>
                <w:spacing w:val="4"/>
                <w:sz w:val="20"/>
                <w:szCs w:val="20"/>
              </w:rPr>
              <w:t>影响</w:t>
            </w:r>
          </w:p>
        </w:tc>
      </w:tr>
      <w:tr w14:paraId="63FD75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654" w:type="dxa"/>
            <w:vMerge w:val="continue"/>
            <w:tcBorders>
              <w:top w:val="nil"/>
              <w:left w:val="nil"/>
              <w:bottom w:val="nil"/>
            </w:tcBorders>
            <w:vAlign w:val="top"/>
          </w:tcPr>
          <w:p w14:paraId="41289C0B">
            <w:pPr>
              <w:rPr>
                <w:rFonts w:ascii="Arial"/>
                <w:sz w:val="21"/>
              </w:rPr>
            </w:pPr>
          </w:p>
        </w:tc>
        <w:tc>
          <w:tcPr>
            <w:tcW w:w="608" w:type="dxa"/>
            <w:textDirection w:val="tbRlV"/>
            <w:vAlign w:val="top"/>
          </w:tcPr>
          <w:p w14:paraId="260DEC91">
            <w:pPr>
              <w:spacing w:before="197" w:line="217" w:lineRule="auto"/>
              <w:ind w:left="68"/>
              <w:rPr>
                <w:rFonts w:ascii="宋体" w:hAnsi="宋体" w:eastAsia="宋体" w:cs="宋体"/>
                <w:sz w:val="20"/>
                <w:szCs w:val="20"/>
              </w:rPr>
            </w:pPr>
            <w:r>
              <w:rPr>
                <w:rFonts w:ascii="宋体" w:hAnsi="宋体" w:eastAsia="宋体" w:cs="宋体"/>
                <w:spacing w:val="6"/>
                <w:sz w:val="20"/>
                <w:szCs w:val="20"/>
              </w:rPr>
              <w:t>右 侧</w:t>
            </w:r>
          </w:p>
        </w:tc>
        <w:tc>
          <w:tcPr>
            <w:tcW w:w="993" w:type="dxa"/>
            <w:vAlign w:val="top"/>
          </w:tcPr>
          <w:p w14:paraId="5716E491">
            <w:pPr>
              <w:pStyle w:val="6"/>
              <w:spacing w:before="260" w:line="195" w:lineRule="auto"/>
              <w:ind w:left="151"/>
              <w:rPr>
                <w:sz w:val="20"/>
                <w:szCs w:val="20"/>
              </w:rPr>
            </w:pPr>
            <w:r>
              <w:rPr>
                <w:spacing w:val="4"/>
                <w:sz w:val="20"/>
                <w:szCs w:val="20"/>
              </w:rPr>
              <w:t>K2+130</w:t>
            </w:r>
          </w:p>
        </w:tc>
        <w:tc>
          <w:tcPr>
            <w:tcW w:w="968" w:type="dxa"/>
            <w:vAlign w:val="top"/>
          </w:tcPr>
          <w:p w14:paraId="6522270F">
            <w:pPr>
              <w:pStyle w:val="6"/>
              <w:spacing w:before="260" w:line="195" w:lineRule="auto"/>
              <w:ind w:left="380"/>
              <w:rPr>
                <w:sz w:val="20"/>
                <w:szCs w:val="20"/>
              </w:rPr>
            </w:pPr>
            <w:r>
              <w:rPr>
                <w:spacing w:val="2"/>
                <w:sz w:val="20"/>
                <w:szCs w:val="20"/>
              </w:rPr>
              <w:t>27</w:t>
            </w:r>
          </w:p>
        </w:tc>
        <w:tc>
          <w:tcPr>
            <w:tcW w:w="1159" w:type="dxa"/>
            <w:vAlign w:val="top"/>
          </w:tcPr>
          <w:p w14:paraId="2F642B80">
            <w:pPr>
              <w:pStyle w:val="6"/>
              <w:spacing w:before="68" w:line="269" w:lineRule="auto"/>
              <w:ind w:left="548" w:right="159" w:hanging="378"/>
              <w:rPr>
                <w:sz w:val="20"/>
                <w:szCs w:val="20"/>
              </w:rPr>
            </w:pPr>
            <w:r>
              <w:rPr>
                <w:rFonts w:ascii="宋体" w:hAnsi="宋体" w:eastAsia="宋体" w:cs="宋体"/>
                <w:spacing w:val="6"/>
                <w:sz w:val="20"/>
                <w:szCs w:val="20"/>
              </w:rPr>
              <w:t>张家圪旦</w:t>
            </w:r>
            <w:r>
              <w:rPr>
                <w:sz w:val="20"/>
                <w:szCs w:val="20"/>
              </w:rPr>
              <w:t>1</w:t>
            </w:r>
          </w:p>
        </w:tc>
        <w:tc>
          <w:tcPr>
            <w:tcW w:w="1843" w:type="dxa"/>
            <w:vAlign w:val="top"/>
          </w:tcPr>
          <w:p w14:paraId="58FACBBA">
            <w:pPr>
              <w:pStyle w:val="6"/>
              <w:spacing w:before="104" w:line="195" w:lineRule="auto"/>
              <w:ind w:left="294"/>
              <w:rPr>
                <w:sz w:val="20"/>
                <w:szCs w:val="20"/>
              </w:rPr>
            </w:pPr>
            <w:r>
              <w:rPr>
                <w:spacing w:val="1"/>
                <w:sz w:val="20"/>
                <w:szCs w:val="20"/>
              </w:rPr>
              <w:t>111.013196561</w:t>
            </w:r>
          </w:p>
          <w:p w14:paraId="5E40C428">
            <w:pPr>
              <w:pStyle w:val="6"/>
              <w:spacing w:before="125" w:line="195" w:lineRule="auto"/>
              <w:ind w:left="318"/>
              <w:rPr>
                <w:sz w:val="20"/>
                <w:szCs w:val="20"/>
              </w:rPr>
            </w:pPr>
            <w:r>
              <w:rPr>
                <w:spacing w:val="4"/>
                <w:sz w:val="20"/>
                <w:szCs w:val="20"/>
              </w:rPr>
              <w:t>40.268224891</w:t>
            </w:r>
          </w:p>
        </w:tc>
        <w:tc>
          <w:tcPr>
            <w:tcW w:w="1293" w:type="dxa"/>
            <w:tcBorders>
              <w:right w:val="nil"/>
            </w:tcBorders>
            <w:vAlign w:val="top"/>
          </w:tcPr>
          <w:p w14:paraId="0F2A3CEF">
            <w:pPr>
              <w:spacing w:before="224" w:line="228" w:lineRule="auto"/>
              <w:ind w:left="131"/>
              <w:rPr>
                <w:rFonts w:ascii="宋体" w:hAnsi="宋体" w:eastAsia="宋体" w:cs="宋体"/>
                <w:sz w:val="20"/>
                <w:szCs w:val="20"/>
              </w:rPr>
            </w:pPr>
            <w:r>
              <w:rPr>
                <w:rFonts w:ascii="宋体" w:hAnsi="宋体" w:eastAsia="宋体" w:cs="宋体"/>
                <w:spacing w:val="7"/>
                <w:sz w:val="20"/>
                <w:szCs w:val="20"/>
              </w:rPr>
              <w:t>受现有影响</w:t>
            </w:r>
          </w:p>
        </w:tc>
      </w:tr>
      <w:tr w14:paraId="723730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654" w:type="dxa"/>
            <w:vMerge w:val="continue"/>
            <w:tcBorders>
              <w:top w:val="nil"/>
              <w:left w:val="nil"/>
              <w:bottom w:val="nil"/>
            </w:tcBorders>
            <w:vAlign w:val="top"/>
          </w:tcPr>
          <w:p w14:paraId="18298FDA">
            <w:pPr>
              <w:rPr>
                <w:rFonts w:ascii="Arial"/>
                <w:sz w:val="21"/>
              </w:rPr>
            </w:pPr>
          </w:p>
        </w:tc>
        <w:tc>
          <w:tcPr>
            <w:tcW w:w="608" w:type="dxa"/>
            <w:textDirection w:val="tbRlV"/>
            <w:vAlign w:val="top"/>
          </w:tcPr>
          <w:p w14:paraId="3B60522E">
            <w:pPr>
              <w:spacing w:before="197" w:line="217" w:lineRule="auto"/>
              <w:ind w:left="68"/>
              <w:rPr>
                <w:rFonts w:ascii="宋体" w:hAnsi="宋体" w:eastAsia="宋体" w:cs="宋体"/>
                <w:sz w:val="20"/>
                <w:szCs w:val="20"/>
              </w:rPr>
            </w:pPr>
            <w:r>
              <w:rPr>
                <w:rFonts w:ascii="宋体" w:hAnsi="宋体" w:eastAsia="宋体" w:cs="宋体"/>
                <w:spacing w:val="6"/>
                <w:sz w:val="20"/>
                <w:szCs w:val="20"/>
              </w:rPr>
              <w:t>左 侧</w:t>
            </w:r>
          </w:p>
        </w:tc>
        <w:tc>
          <w:tcPr>
            <w:tcW w:w="993" w:type="dxa"/>
            <w:vAlign w:val="top"/>
          </w:tcPr>
          <w:p w14:paraId="43840713">
            <w:pPr>
              <w:pStyle w:val="6"/>
              <w:spacing w:before="260" w:line="195" w:lineRule="auto"/>
              <w:ind w:left="151"/>
              <w:rPr>
                <w:sz w:val="20"/>
                <w:szCs w:val="20"/>
              </w:rPr>
            </w:pPr>
            <w:r>
              <w:rPr>
                <w:spacing w:val="4"/>
                <w:sz w:val="20"/>
                <w:szCs w:val="20"/>
              </w:rPr>
              <w:t>K2+255</w:t>
            </w:r>
          </w:p>
        </w:tc>
        <w:tc>
          <w:tcPr>
            <w:tcW w:w="968" w:type="dxa"/>
            <w:vAlign w:val="top"/>
          </w:tcPr>
          <w:p w14:paraId="6593759A">
            <w:pPr>
              <w:pStyle w:val="6"/>
              <w:spacing w:before="260" w:line="195" w:lineRule="auto"/>
              <w:ind w:left="380"/>
              <w:rPr>
                <w:sz w:val="20"/>
                <w:szCs w:val="20"/>
              </w:rPr>
            </w:pPr>
            <w:r>
              <w:rPr>
                <w:spacing w:val="2"/>
                <w:sz w:val="20"/>
                <w:szCs w:val="20"/>
              </w:rPr>
              <w:t>27</w:t>
            </w:r>
          </w:p>
        </w:tc>
        <w:tc>
          <w:tcPr>
            <w:tcW w:w="1159" w:type="dxa"/>
            <w:vAlign w:val="top"/>
          </w:tcPr>
          <w:p w14:paraId="3242C955">
            <w:pPr>
              <w:pStyle w:val="6"/>
              <w:spacing w:before="68" w:line="269" w:lineRule="auto"/>
              <w:ind w:left="528" w:right="159" w:hanging="358"/>
              <w:rPr>
                <w:sz w:val="20"/>
                <w:szCs w:val="20"/>
              </w:rPr>
            </w:pPr>
            <w:r>
              <w:rPr>
                <w:rFonts w:ascii="宋体" w:hAnsi="宋体" w:eastAsia="宋体" w:cs="宋体"/>
                <w:spacing w:val="6"/>
                <w:sz w:val="20"/>
                <w:szCs w:val="20"/>
              </w:rPr>
              <w:t>张家圪旦</w:t>
            </w:r>
            <w:r>
              <w:rPr>
                <w:sz w:val="20"/>
                <w:szCs w:val="20"/>
              </w:rPr>
              <w:t>2</w:t>
            </w:r>
          </w:p>
        </w:tc>
        <w:tc>
          <w:tcPr>
            <w:tcW w:w="1843" w:type="dxa"/>
            <w:vAlign w:val="top"/>
          </w:tcPr>
          <w:p w14:paraId="28B362C7">
            <w:pPr>
              <w:pStyle w:val="6"/>
              <w:spacing w:before="104" w:line="195" w:lineRule="auto"/>
              <w:ind w:left="294"/>
              <w:rPr>
                <w:sz w:val="20"/>
                <w:szCs w:val="20"/>
              </w:rPr>
            </w:pPr>
            <w:r>
              <w:rPr>
                <w:spacing w:val="1"/>
                <w:sz w:val="20"/>
                <w:szCs w:val="20"/>
              </w:rPr>
              <w:t>111.013014171</w:t>
            </w:r>
          </w:p>
          <w:p w14:paraId="1C62924F">
            <w:pPr>
              <w:pStyle w:val="6"/>
              <w:spacing w:before="125" w:line="195" w:lineRule="auto"/>
              <w:ind w:left="318"/>
              <w:rPr>
                <w:sz w:val="20"/>
                <w:szCs w:val="20"/>
              </w:rPr>
            </w:pPr>
            <w:r>
              <w:rPr>
                <w:spacing w:val="4"/>
                <w:sz w:val="20"/>
                <w:szCs w:val="20"/>
              </w:rPr>
              <w:t>40.269403713</w:t>
            </w:r>
          </w:p>
        </w:tc>
        <w:tc>
          <w:tcPr>
            <w:tcW w:w="1293" w:type="dxa"/>
            <w:tcBorders>
              <w:right w:val="nil"/>
            </w:tcBorders>
            <w:vAlign w:val="top"/>
          </w:tcPr>
          <w:p w14:paraId="67ACFC86">
            <w:pPr>
              <w:spacing w:before="69" w:line="253" w:lineRule="auto"/>
              <w:ind w:left="441" w:right="122" w:hanging="310"/>
              <w:rPr>
                <w:rFonts w:ascii="宋体" w:hAnsi="宋体" w:eastAsia="宋体" w:cs="宋体"/>
                <w:sz w:val="20"/>
                <w:szCs w:val="20"/>
              </w:rPr>
            </w:pPr>
            <w:r>
              <w:rPr>
                <w:rFonts w:ascii="宋体" w:hAnsi="宋体" w:eastAsia="宋体" w:cs="宋体"/>
                <w:spacing w:val="7"/>
                <w:sz w:val="20"/>
                <w:szCs w:val="20"/>
              </w:rPr>
              <w:t>受现有公路</w:t>
            </w:r>
            <w:r>
              <w:rPr>
                <w:rFonts w:ascii="宋体" w:hAnsi="宋体" w:eastAsia="宋体" w:cs="宋体"/>
                <w:spacing w:val="4"/>
                <w:sz w:val="20"/>
                <w:szCs w:val="20"/>
              </w:rPr>
              <w:t>影响</w:t>
            </w:r>
          </w:p>
        </w:tc>
      </w:tr>
      <w:tr w14:paraId="73ADDE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654" w:type="dxa"/>
            <w:vMerge w:val="continue"/>
            <w:tcBorders>
              <w:top w:val="nil"/>
              <w:left w:val="nil"/>
              <w:bottom w:val="nil"/>
            </w:tcBorders>
            <w:vAlign w:val="top"/>
          </w:tcPr>
          <w:p w14:paraId="7B89C63B">
            <w:pPr>
              <w:rPr>
                <w:rFonts w:ascii="Arial"/>
                <w:sz w:val="21"/>
              </w:rPr>
            </w:pPr>
          </w:p>
        </w:tc>
        <w:tc>
          <w:tcPr>
            <w:tcW w:w="608" w:type="dxa"/>
            <w:textDirection w:val="tbRlV"/>
            <w:vAlign w:val="top"/>
          </w:tcPr>
          <w:p w14:paraId="17FA9525">
            <w:pPr>
              <w:spacing w:before="197" w:line="217" w:lineRule="auto"/>
              <w:ind w:left="69"/>
              <w:rPr>
                <w:rFonts w:ascii="宋体" w:hAnsi="宋体" w:eastAsia="宋体" w:cs="宋体"/>
                <w:sz w:val="20"/>
                <w:szCs w:val="20"/>
              </w:rPr>
            </w:pPr>
            <w:r>
              <w:rPr>
                <w:rFonts w:ascii="宋体" w:hAnsi="宋体" w:eastAsia="宋体" w:cs="宋体"/>
                <w:spacing w:val="6"/>
                <w:sz w:val="20"/>
                <w:szCs w:val="20"/>
              </w:rPr>
              <w:t>左 侧</w:t>
            </w:r>
          </w:p>
        </w:tc>
        <w:tc>
          <w:tcPr>
            <w:tcW w:w="993" w:type="dxa"/>
            <w:vAlign w:val="top"/>
          </w:tcPr>
          <w:p w14:paraId="4B82B634">
            <w:pPr>
              <w:pStyle w:val="6"/>
              <w:spacing w:before="261" w:line="195" w:lineRule="auto"/>
              <w:ind w:left="151"/>
              <w:rPr>
                <w:sz w:val="20"/>
                <w:szCs w:val="20"/>
              </w:rPr>
            </w:pPr>
            <w:r>
              <w:rPr>
                <w:spacing w:val="4"/>
                <w:sz w:val="20"/>
                <w:szCs w:val="20"/>
              </w:rPr>
              <w:t>K2+255</w:t>
            </w:r>
          </w:p>
        </w:tc>
        <w:tc>
          <w:tcPr>
            <w:tcW w:w="968" w:type="dxa"/>
            <w:vAlign w:val="top"/>
          </w:tcPr>
          <w:p w14:paraId="11361F12">
            <w:pPr>
              <w:pStyle w:val="6"/>
              <w:spacing w:before="261" w:line="195" w:lineRule="auto"/>
              <w:ind w:left="347"/>
              <w:rPr>
                <w:sz w:val="20"/>
                <w:szCs w:val="20"/>
              </w:rPr>
            </w:pPr>
            <w:r>
              <w:rPr>
                <w:spacing w:val="-3"/>
                <w:sz w:val="20"/>
                <w:szCs w:val="20"/>
              </w:rPr>
              <w:t>104</w:t>
            </w:r>
          </w:p>
        </w:tc>
        <w:tc>
          <w:tcPr>
            <w:tcW w:w="1159" w:type="dxa"/>
            <w:vAlign w:val="top"/>
          </w:tcPr>
          <w:p w14:paraId="27E9A528">
            <w:pPr>
              <w:pStyle w:val="6"/>
              <w:spacing w:before="68" w:line="269" w:lineRule="auto"/>
              <w:ind w:left="532" w:right="159" w:hanging="362"/>
              <w:rPr>
                <w:sz w:val="20"/>
                <w:szCs w:val="20"/>
              </w:rPr>
            </w:pPr>
            <w:r>
              <w:rPr>
                <w:rFonts w:ascii="宋体" w:hAnsi="宋体" w:eastAsia="宋体" w:cs="宋体"/>
                <w:spacing w:val="6"/>
                <w:sz w:val="20"/>
                <w:szCs w:val="20"/>
              </w:rPr>
              <w:t>张家圪旦</w:t>
            </w:r>
            <w:r>
              <w:rPr>
                <w:sz w:val="20"/>
                <w:szCs w:val="20"/>
              </w:rPr>
              <w:t>3</w:t>
            </w:r>
          </w:p>
        </w:tc>
        <w:tc>
          <w:tcPr>
            <w:tcW w:w="1843" w:type="dxa"/>
            <w:vAlign w:val="top"/>
          </w:tcPr>
          <w:p w14:paraId="701EEB42">
            <w:pPr>
              <w:pStyle w:val="6"/>
              <w:spacing w:before="105" w:line="195" w:lineRule="auto"/>
              <w:ind w:left="294"/>
              <w:rPr>
                <w:sz w:val="20"/>
                <w:szCs w:val="20"/>
              </w:rPr>
            </w:pPr>
            <w:r>
              <w:rPr>
                <w:spacing w:val="1"/>
                <w:sz w:val="20"/>
                <w:szCs w:val="20"/>
              </w:rPr>
              <w:t>111.012224260</w:t>
            </w:r>
          </w:p>
          <w:p w14:paraId="15D255EC">
            <w:pPr>
              <w:pStyle w:val="6"/>
              <w:spacing w:before="125" w:line="195" w:lineRule="auto"/>
              <w:ind w:left="318"/>
              <w:rPr>
                <w:sz w:val="20"/>
                <w:szCs w:val="20"/>
              </w:rPr>
            </w:pPr>
            <w:r>
              <w:rPr>
                <w:spacing w:val="4"/>
                <w:sz w:val="20"/>
                <w:szCs w:val="20"/>
              </w:rPr>
              <w:t>40.269438978</w:t>
            </w:r>
          </w:p>
        </w:tc>
        <w:tc>
          <w:tcPr>
            <w:tcW w:w="1293" w:type="dxa"/>
            <w:tcBorders>
              <w:right w:val="nil"/>
            </w:tcBorders>
            <w:vAlign w:val="top"/>
          </w:tcPr>
          <w:p w14:paraId="17969742">
            <w:pPr>
              <w:spacing w:before="69" w:line="253" w:lineRule="auto"/>
              <w:ind w:left="441" w:right="122" w:hanging="310"/>
              <w:rPr>
                <w:rFonts w:ascii="宋体" w:hAnsi="宋体" w:eastAsia="宋体" w:cs="宋体"/>
                <w:sz w:val="20"/>
                <w:szCs w:val="20"/>
              </w:rPr>
            </w:pPr>
            <w:r>
              <w:rPr>
                <w:rFonts w:ascii="宋体" w:hAnsi="宋体" w:eastAsia="宋体" w:cs="宋体"/>
                <w:spacing w:val="7"/>
                <w:sz w:val="20"/>
                <w:szCs w:val="20"/>
              </w:rPr>
              <w:t>受现有公路</w:t>
            </w:r>
            <w:r>
              <w:rPr>
                <w:rFonts w:ascii="宋体" w:hAnsi="宋体" w:eastAsia="宋体" w:cs="宋体"/>
                <w:spacing w:val="4"/>
                <w:sz w:val="20"/>
                <w:szCs w:val="20"/>
              </w:rPr>
              <w:t>影响</w:t>
            </w:r>
          </w:p>
        </w:tc>
      </w:tr>
      <w:tr w14:paraId="339F80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654" w:type="dxa"/>
            <w:vMerge w:val="continue"/>
            <w:tcBorders>
              <w:top w:val="nil"/>
              <w:left w:val="nil"/>
            </w:tcBorders>
            <w:vAlign w:val="top"/>
          </w:tcPr>
          <w:p w14:paraId="46532527">
            <w:pPr>
              <w:rPr>
                <w:rFonts w:ascii="Arial"/>
                <w:sz w:val="21"/>
              </w:rPr>
            </w:pPr>
          </w:p>
        </w:tc>
        <w:tc>
          <w:tcPr>
            <w:tcW w:w="608" w:type="dxa"/>
            <w:textDirection w:val="tbRlV"/>
            <w:vAlign w:val="top"/>
          </w:tcPr>
          <w:p w14:paraId="43600B87">
            <w:pPr>
              <w:spacing w:before="197" w:line="217" w:lineRule="auto"/>
              <w:ind w:left="70"/>
              <w:rPr>
                <w:rFonts w:ascii="宋体" w:hAnsi="宋体" w:eastAsia="宋体" w:cs="宋体"/>
                <w:sz w:val="20"/>
                <w:szCs w:val="20"/>
              </w:rPr>
            </w:pPr>
            <w:r>
              <w:rPr>
                <w:rFonts w:ascii="宋体" w:hAnsi="宋体" w:eastAsia="宋体" w:cs="宋体"/>
                <w:spacing w:val="6"/>
                <w:sz w:val="20"/>
                <w:szCs w:val="20"/>
              </w:rPr>
              <w:t>右 侧</w:t>
            </w:r>
          </w:p>
        </w:tc>
        <w:tc>
          <w:tcPr>
            <w:tcW w:w="993" w:type="dxa"/>
            <w:vAlign w:val="top"/>
          </w:tcPr>
          <w:p w14:paraId="619F7FD9">
            <w:pPr>
              <w:pStyle w:val="6"/>
              <w:spacing w:before="261" w:line="195" w:lineRule="auto"/>
              <w:ind w:left="151"/>
              <w:rPr>
                <w:sz w:val="20"/>
                <w:szCs w:val="20"/>
              </w:rPr>
            </w:pPr>
            <w:r>
              <w:rPr>
                <w:spacing w:val="4"/>
                <w:sz w:val="20"/>
                <w:szCs w:val="20"/>
              </w:rPr>
              <w:t>K1+255</w:t>
            </w:r>
          </w:p>
        </w:tc>
        <w:tc>
          <w:tcPr>
            <w:tcW w:w="968" w:type="dxa"/>
            <w:vAlign w:val="top"/>
          </w:tcPr>
          <w:p w14:paraId="4D05C51D">
            <w:pPr>
              <w:pStyle w:val="6"/>
              <w:spacing w:before="261" w:line="195" w:lineRule="auto"/>
              <w:ind w:left="327"/>
              <w:rPr>
                <w:sz w:val="20"/>
                <w:szCs w:val="20"/>
              </w:rPr>
            </w:pPr>
            <w:r>
              <w:rPr>
                <w:spacing w:val="3"/>
                <w:sz w:val="20"/>
                <w:szCs w:val="20"/>
              </w:rPr>
              <w:t>200</w:t>
            </w:r>
          </w:p>
        </w:tc>
        <w:tc>
          <w:tcPr>
            <w:tcW w:w="1159" w:type="dxa"/>
            <w:vAlign w:val="top"/>
          </w:tcPr>
          <w:p w14:paraId="1E568576">
            <w:pPr>
              <w:pStyle w:val="6"/>
              <w:spacing w:before="225" w:line="228" w:lineRule="auto"/>
              <w:ind w:left="194"/>
              <w:rPr>
                <w:sz w:val="20"/>
                <w:szCs w:val="20"/>
              </w:rPr>
            </w:pPr>
            <w:r>
              <w:rPr>
                <w:rFonts w:ascii="宋体" w:hAnsi="宋体" w:eastAsia="宋体" w:cs="宋体"/>
                <w:spacing w:val="4"/>
                <w:sz w:val="20"/>
                <w:szCs w:val="20"/>
              </w:rPr>
              <w:t>背景点</w:t>
            </w:r>
            <w:r>
              <w:rPr>
                <w:rFonts w:ascii="宋体" w:hAnsi="宋体" w:eastAsia="宋体" w:cs="宋体"/>
                <w:spacing w:val="-43"/>
                <w:sz w:val="20"/>
                <w:szCs w:val="20"/>
              </w:rPr>
              <w:t xml:space="preserve"> </w:t>
            </w:r>
            <w:r>
              <w:rPr>
                <w:spacing w:val="4"/>
                <w:sz w:val="20"/>
                <w:szCs w:val="20"/>
              </w:rPr>
              <w:t>2</w:t>
            </w:r>
          </w:p>
        </w:tc>
        <w:tc>
          <w:tcPr>
            <w:tcW w:w="1843" w:type="dxa"/>
            <w:vAlign w:val="top"/>
          </w:tcPr>
          <w:p w14:paraId="37E8CE20">
            <w:pPr>
              <w:pStyle w:val="6"/>
              <w:spacing w:before="105" w:line="195" w:lineRule="auto"/>
              <w:ind w:left="294"/>
              <w:rPr>
                <w:sz w:val="20"/>
                <w:szCs w:val="20"/>
              </w:rPr>
            </w:pPr>
            <w:r>
              <w:rPr>
                <w:spacing w:val="1"/>
                <w:sz w:val="20"/>
                <w:szCs w:val="20"/>
              </w:rPr>
              <w:t>111.015744659</w:t>
            </w:r>
          </w:p>
          <w:p w14:paraId="66B13C7E">
            <w:pPr>
              <w:pStyle w:val="6"/>
              <w:spacing w:before="125" w:line="195" w:lineRule="auto"/>
              <w:ind w:left="318"/>
              <w:rPr>
                <w:sz w:val="20"/>
                <w:szCs w:val="20"/>
              </w:rPr>
            </w:pPr>
            <w:r>
              <w:rPr>
                <w:spacing w:val="4"/>
                <w:sz w:val="20"/>
                <w:szCs w:val="20"/>
              </w:rPr>
              <w:t>40.269036356</w:t>
            </w:r>
          </w:p>
        </w:tc>
        <w:tc>
          <w:tcPr>
            <w:tcW w:w="1293" w:type="dxa"/>
            <w:tcBorders>
              <w:right w:val="nil"/>
            </w:tcBorders>
            <w:vAlign w:val="top"/>
          </w:tcPr>
          <w:p w14:paraId="59B369C9">
            <w:pPr>
              <w:spacing w:before="225" w:line="228" w:lineRule="auto"/>
              <w:ind w:left="341"/>
              <w:rPr>
                <w:rFonts w:ascii="宋体" w:hAnsi="宋体" w:eastAsia="宋体" w:cs="宋体"/>
                <w:sz w:val="20"/>
                <w:szCs w:val="20"/>
              </w:rPr>
            </w:pPr>
            <w:r>
              <w:rPr>
                <w:rFonts w:ascii="宋体" w:hAnsi="宋体" w:eastAsia="宋体" w:cs="宋体"/>
                <w:spacing w:val="5"/>
                <w:sz w:val="20"/>
                <w:szCs w:val="20"/>
              </w:rPr>
              <w:t>背景点</w:t>
            </w:r>
          </w:p>
        </w:tc>
      </w:tr>
      <w:tr w14:paraId="3CB79D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3" w:hRule="atLeast"/>
        </w:trPr>
        <w:tc>
          <w:tcPr>
            <w:tcW w:w="3255" w:type="dxa"/>
            <w:gridSpan w:val="3"/>
            <w:tcBorders>
              <w:left w:val="nil"/>
            </w:tcBorders>
            <w:vAlign w:val="top"/>
          </w:tcPr>
          <w:p w14:paraId="4B077B4D">
            <w:pPr>
              <w:spacing w:line="260" w:lineRule="auto"/>
              <w:rPr>
                <w:rFonts w:ascii="Arial"/>
                <w:sz w:val="21"/>
              </w:rPr>
            </w:pPr>
          </w:p>
          <w:p w14:paraId="126D7E71">
            <w:pPr>
              <w:spacing w:line="260" w:lineRule="auto"/>
              <w:rPr>
                <w:rFonts w:ascii="Arial"/>
                <w:sz w:val="21"/>
              </w:rPr>
            </w:pPr>
          </w:p>
          <w:p w14:paraId="3575116C">
            <w:pPr>
              <w:spacing w:line="260" w:lineRule="auto"/>
              <w:rPr>
                <w:rFonts w:ascii="Arial"/>
                <w:sz w:val="21"/>
              </w:rPr>
            </w:pPr>
          </w:p>
          <w:p w14:paraId="2B07BB88">
            <w:pPr>
              <w:spacing w:before="65" w:line="228" w:lineRule="auto"/>
              <w:ind w:left="796"/>
              <w:rPr>
                <w:rFonts w:ascii="宋体" w:hAnsi="宋体" w:eastAsia="宋体" w:cs="宋体"/>
                <w:sz w:val="20"/>
                <w:szCs w:val="20"/>
              </w:rPr>
            </w:pPr>
            <w:r>
              <w:rPr>
                <w:rFonts w:ascii="宋体" w:hAnsi="宋体" w:eastAsia="宋体" w:cs="宋体"/>
                <w:spacing w:val="8"/>
                <w:sz w:val="20"/>
                <w:szCs w:val="20"/>
              </w:rPr>
              <w:t>沿黄公路衰减断面</w:t>
            </w:r>
          </w:p>
        </w:tc>
        <w:tc>
          <w:tcPr>
            <w:tcW w:w="968" w:type="dxa"/>
            <w:vAlign w:val="top"/>
          </w:tcPr>
          <w:p w14:paraId="2EB61C8C">
            <w:pPr>
              <w:spacing w:line="273" w:lineRule="auto"/>
              <w:rPr>
                <w:rFonts w:ascii="Arial"/>
                <w:sz w:val="21"/>
              </w:rPr>
            </w:pPr>
          </w:p>
          <w:p w14:paraId="4F84AA12">
            <w:pPr>
              <w:spacing w:line="273" w:lineRule="auto"/>
              <w:rPr>
                <w:rFonts w:ascii="Arial"/>
                <w:sz w:val="21"/>
              </w:rPr>
            </w:pPr>
          </w:p>
          <w:p w14:paraId="36BD3744">
            <w:pPr>
              <w:spacing w:line="274" w:lineRule="auto"/>
              <w:rPr>
                <w:rFonts w:ascii="Arial"/>
                <w:sz w:val="21"/>
              </w:rPr>
            </w:pPr>
          </w:p>
          <w:p w14:paraId="080E8617">
            <w:pPr>
              <w:pStyle w:val="6"/>
              <w:spacing w:before="57" w:line="199" w:lineRule="auto"/>
              <w:ind w:left="453"/>
              <w:rPr>
                <w:sz w:val="20"/>
                <w:szCs w:val="20"/>
              </w:rPr>
            </w:pPr>
            <w:r>
              <w:rPr>
                <w:spacing w:val="2"/>
                <w:sz w:val="20"/>
                <w:szCs w:val="20"/>
              </w:rPr>
              <w:t>/</w:t>
            </w:r>
          </w:p>
        </w:tc>
        <w:tc>
          <w:tcPr>
            <w:tcW w:w="1159" w:type="dxa"/>
            <w:vAlign w:val="top"/>
          </w:tcPr>
          <w:p w14:paraId="56F652D0">
            <w:pPr>
              <w:pStyle w:val="6"/>
              <w:spacing w:before="70" w:line="286" w:lineRule="auto"/>
              <w:ind w:left="137" w:right="125" w:firstLine="28"/>
              <w:rPr>
                <w:rFonts w:ascii="宋体" w:hAnsi="宋体" w:eastAsia="宋体" w:cs="宋体"/>
                <w:sz w:val="20"/>
                <w:szCs w:val="20"/>
              </w:rPr>
            </w:pPr>
            <w:r>
              <w:rPr>
                <w:rFonts w:ascii="宋体" w:hAnsi="宋体" w:eastAsia="宋体" w:cs="宋体"/>
                <w:spacing w:val="7"/>
                <w:sz w:val="20"/>
                <w:szCs w:val="20"/>
              </w:rPr>
              <w:t>沿黄公路</w:t>
            </w:r>
            <w:r>
              <w:rPr>
                <w:rFonts w:ascii="宋体" w:hAnsi="宋体" w:eastAsia="宋体" w:cs="宋体"/>
                <w:spacing w:val="4"/>
                <w:sz w:val="20"/>
                <w:szCs w:val="20"/>
              </w:rPr>
              <w:t>断面</w:t>
            </w:r>
            <w:r>
              <w:rPr>
                <w:spacing w:val="4"/>
                <w:sz w:val="20"/>
                <w:szCs w:val="20"/>
              </w:rPr>
              <w:t>(</w:t>
            </w:r>
            <w:r>
              <w:rPr>
                <w:rFonts w:ascii="宋体" w:hAnsi="宋体" w:eastAsia="宋体" w:cs="宋体"/>
                <w:spacing w:val="4"/>
                <w:sz w:val="20"/>
                <w:szCs w:val="20"/>
              </w:rPr>
              <w:t>中心</w:t>
            </w:r>
          </w:p>
          <w:p w14:paraId="48396990">
            <w:pPr>
              <w:pStyle w:val="6"/>
              <w:spacing w:before="4" w:line="228" w:lineRule="auto"/>
              <w:ind w:left="141"/>
              <w:rPr>
                <w:rFonts w:ascii="宋体" w:hAnsi="宋体" w:eastAsia="宋体" w:cs="宋体"/>
                <w:sz w:val="20"/>
                <w:szCs w:val="20"/>
              </w:rPr>
            </w:pPr>
            <w:r>
              <w:rPr>
                <w:rFonts w:ascii="宋体" w:hAnsi="宋体" w:eastAsia="宋体" w:cs="宋体"/>
                <w:spacing w:val="2"/>
                <w:sz w:val="20"/>
                <w:szCs w:val="20"/>
              </w:rPr>
              <w:t>线外</w:t>
            </w:r>
            <w:r>
              <w:rPr>
                <w:rFonts w:ascii="宋体" w:hAnsi="宋体" w:eastAsia="宋体" w:cs="宋体"/>
                <w:spacing w:val="-39"/>
                <w:sz w:val="20"/>
                <w:szCs w:val="20"/>
              </w:rPr>
              <w:t xml:space="preserve"> </w:t>
            </w:r>
            <w:r>
              <w:rPr>
                <w:spacing w:val="2"/>
                <w:sz w:val="20"/>
                <w:szCs w:val="20"/>
              </w:rPr>
              <w:t>20</w:t>
            </w:r>
            <w:r>
              <w:rPr>
                <w:rFonts w:ascii="宋体" w:hAnsi="宋体" w:eastAsia="宋体" w:cs="宋体"/>
                <w:spacing w:val="2"/>
                <w:sz w:val="20"/>
                <w:szCs w:val="20"/>
              </w:rPr>
              <w:t>、</w:t>
            </w:r>
          </w:p>
          <w:p w14:paraId="58A69D9A">
            <w:pPr>
              <w:pStyle w:val="6"/>
              <w:spacing w:before="100" w:line="186" w:lineRule="auto"/>
              <w:ind w:left="160"/>
              <w:rPr>
                <w:rFonts w:ascii="宋体" w:hAnsi="宋体" w:eastAsia="宋体" w:cs="宋体"/>
                <w:sz w:val="20"/>
                <w:szCs w:val="20"/>
              </w:rPr>
            </w:pPr>
            <w:r>
              <w:rPr>
                <w:sz w:val="20"/>
                <w:szCs w:val="20"/>
              </w:rPr>
              <w:t>40</w:t>
            </w:r>
            <w:r>
              <w:rPr>
                <w:spacing w:val="-25"/>
                <w:sz w:val="20"/>
                <w:szCs w:val="20"/>
              </w:rPr>
              <w:t xml:space="preserve"> </w:t>
            </w:r>
            <w:r>
              <w:rPr>
                <w:rFonts w:ascii="宋体" w:hAnsi="宋体" w:eastAsia="宋体" w:cs="宋体"/>
                <w:sz w:val="20"/>
                <w:szCs w:val="20"/>
              </w:rPr>
              <w:t>、</w:t>
            </w:r>
            <w:r>
              <w:rPr>
                <w:sz w:val="20"/>
                <w:szCs w:val="20"/>
              </w:rPr>
              <w:t>60</w:t>
            </w:r>
            <w:r>
              <w:rPr>
                <w:rFonts w:ascii="宋体" w:hAnsi="宋体" w:eastAsia="宋体" w:cs="宋体"/>
                <w:sz w:val="20"/>
                <w:szCs w:val="20"/>
              </w:rPr>
              <w:t>、</w:t>
            </w:r>
          </w:p>
          <w:p w14:paraId="723FFA81">
            <w:pPr>
              <w:pStyle w:val="6"/>
              <w:spacing w:before="109" w:line="235" w:lineRule="auto"/>
              <w:ind w:left="377" w:right="150" w:hanging="258"/>
              <w:rPr>
                <w:rFonts w:ascii="宋体" w:hAnsi="宋体" w:eastAsia="宋体" w:cs="宋体"/>
                <w:sz w:val="20"/>
                <w:szCs w:val="20"/>
              </w:rPr>
            </w:pPr>
            <w:r>
              <w:rPr>
                <w:sz w:val="20"/>
                <w:szCs w:val="20"/>
              </w:rPr>
              <w:t>80</w:t>
            </w:r>
            <w:r>
              <w:rPr>
                <w:spacing w:val="-23"/>
                <w:sz w:val="20"/>
                <w:szCs w:val="20"/>
              </w:rPr>
              <w:t xml:space="preserve"> </w:t>
            </w:r>
            <w:r>
              <w:rPr>
                <w:rFonts w:ascii="宋体" w:hAnsi="宋体" w:eastAsia="宋体" w:cs="宋体"/>
                <w:sz w:val="20"/>
                <w:szCs w:val="20"/>
              </w:rPr>
              <w:t>、</w:t>
            </w:r>
            <w:r>
              <w:rPr>
                <w:sz w:val="20"/>
                <w:szCs w:val="20"/>
              </w:rPr>
              <w:t>120m</w:t>
            </w:r>
            <w:r>
              <w:rPr>
                <w:rFonts w:ascii="宋体" w:hAnsi="宋体" w:eastAsia="宋体" w:cs="宋体"/>
                <w:spacing w:val="-2"/>
                <w:sz w:val="20"/>
                <w:szCs w:val="20"/>
              </w:rPr>
              <w:t>处）</w:t>
            </w:r>
          </w:p>
        </w:tc>
        <w:tc>
          <w:tcPr>
            <w:tcW w:w="1843" w:type="dxa"/>
            <w:vAlign w:val="top"/>
          </w:tcPr>
          <w:p w14:paraId="49F08E5B">
            <w:pPr>
              <w:spacing w:line="334" w:lineRule="auto"/>
              <w:rPr>
                <w:rFonts w:ascii="Arial"/>
                <w:sz w:val="21"/>
              </w:rPr>
            </w:pPr>
          </w:p>
          <w:p w14:paraId="437E3739">
            <w:pPr>
              <w:spacing w:line="334" w:lineRule="auto"/>
              <w:rPr>
                <w:rFonts w:ascii="Arial"/>
                <w:sz w:val="21"/>
              </w:rPr>
            </w:pPr>
          </w:p>
          <w:p w14:paraId="420AA895">
            <w:pPr>
              <w:pStyle w:val="6"/>
              <w:spacing w:before="58" w:line="195" w:lineRule="auto"/>
              <w:ind w:left="294"/>
              <w:rPr>
                <w:sz w:val="20"/>
                <w:szCs w:val="20"/>
              </w:rPr>
            </w:pPr>
            <w:r>
              <w:rPr>
                <w:spacing w:val="1"/>
                <w:sz w:val="20"/>
                <w:szCs w:val="20"/>
              </w:rPr>
              <w:t>111.008098437</w:t>
            </w:r>
          </w:p>
          <w:p w14:paraId="4A4385F9">
            <w:pPr>
              <w:pStyle w:val="6"/>
              <w:spacing w:before="125" w:line="195" w:lineRule="auto"/>
              <w:ind w:left="318"/>
              <w:rPr>
                <w:sz w:val="20"/>
                <w:szCs w:val="20"/>
              </w:rPr>
            </w:pPr>
            <w:r>
              <w:rPr>
                <w:spacing w:val="4"/>
                <w:sz w:val="20"/>
                <w:szCs w:val="20"/>
              </w:rPr>
              <w:t>40.267374094</w:t>
            </w:r>
          </w:p>
        </w:tc>
        <w:tc>
          <w:tcPr>
            <w:tcW w:w="1293" w:type="dxa"/>
            <w:tcBorders>
              <w:right w:val="nil"/>
            </w:tcBorders>
            <w:vAlign w:val="top"/>
          </w:tcPr>
          <w:p w14:paraId="1806AAEA">
            <w:pPr>
              <w:spacing w:line="260" w:lineRule="auto"/>
              <w:rPr>
                <w:rFonts w:ascii="Arial"/>
                <w:sz w:val="21"/>
              </w:rPr>
            </w:pPr>
          </w:p>
          <w:p w14:paraId="228D89FE">
            <w:pPr>
              <w:spacing w:line="260" w:lineRule="auto"/>
              <w:rPr>
                <w:rFonts w:ascii="Arial"/>
                <w:sz w:val="21"/>
              </w:rPr>
            </w:pPr>
          </w:p>
          <w:p w14:paraId="149C4F5A">
            <w:pPr>
              <w:spacing w:line="260" w:lineRule="auto"/>
              <w:rPr>
                <w:rFonts w:ascii="Arial"/>
                <w:sz w:val="21"/>
              </w:rPr>
            </w:pPr>
          </w:p>
          <w:p w14:paraId="46C8CEDA">
            <w:pPr>
              <w:spacing w:before="65" w:line="228" w:lineRule="auto"/>
              <w:ind w:left="244"/>
              <w:rPr>
                <w:rFonts w:ascii="宋体" w:hAnsi="宋体" w:eastAsia="宋体" w:cs="宋体"/>
                <w:sz w:val="20"/>
                <w:szCs w:val="20"/>
              </w:rPr>
            </w:pPr>
            <w:r>
              <w:rPr>
                <w:rFonts w:ascii="宋体" w:hAnsi="宋体" w:eastAsia="宋体" w:cs="宋体"/>
                <w:spacing w:val="4"/>
                <w:sz w:val="20"/>
                <w:szCs w:val="20"/>
              </w:rPr>
              <w:t>既有公路</w:t>
            </w:r>
          </w:p>
        </w:tc>
      </w:tr>
      <w:tr w14:paraId="06FEE0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9" w:hRule="atLeast"/>
        </w:trPr>
        <w:tc>
          <w:tcPr>
            <w:tcW w:w="1654" w:type="dxa"/>
            <w:tcBorders>
              <w:left w:val="nil"/>
              <w:bottom w:val="single" w:color="000000" w:sz="10" w:space="0"/>
            </w:tcBorders>
            <w:vAlign w:val="top"/>
          </w:tcPr>
          <w:p w14:paraId="22282E8B">
            <w:pPr>
              <w:spacing w:before="73" w:line="261" w:lineRule="auto"/>
              <w:ind w:left="311" w:right="196" w:hanging="107"/>
              <w:rPr>
                <w:rFonts w:ascii="宋体" w:hAnsi="宋体" w:eastAsia="宋体" w:cs="宋体"/>
                <w:sz w:val="20"/>
                <w:szCs w:val="20"/>
              </w:rPr>
            </w:pPr>
            <w:r>
              <w:rPr>
                <w:rFonts w:ascii="宋体" w:hAnsi="宋体" w:eastAsia="宋体" w:cs="宋体"/>
                <w:spacing w:val="8"/>
                <w:sz w:val="20"/>
                <w:szCs w:val="20"/>
              </w:rPr>
              <w:t>三道拐社坡地</w:t>
            </w:r>
            <w:r>
              <w:rPr>
                <w:rFonts w:ascii="宋体" w:hAnsi="宋体" w:eastAsia="宋体" w:cs="宋体"/>
                <w:spacing w:val="7"/>
                <w:sz w:val="20"/>
                <w:szCs w:val="20"/>
              </w:rPr>
              <w:t>至北防洪堤</w:t>
            </w:r>
          </w:p>
        </w:tc>
        <w:tc>
          <w:tcPr>
            <w:tcW w:w="608" w:type="dxa"/>
            <w:tcBorders>
              <w:bottom w:val="single" w:color="000000" w:sz="10" w:space="0"/>
            </w:tcBorders>
            <w:vAlign w:val="top"/>
          </w:tcPr>
          <w:p w14:paraId="500DC04C">
            <w:pPr>
              <w:pStyle w:val="6"/>
              <w:spacing w:before="262" w:line="199" w:lineRule="auto"/>
              <w:ind w:left="273"/>
              <w:rPr>
                <w:sz w:val="20"/>
                <w:szCs w:val="20"/>
              </w:rPr>
            </w:pPr>
            <w:r>
              <w:rPr>
                <w:spacing w:val="2"/>
                <w:sz w:val="20"/>
                <w:szCs w:val="20"/>
              </w:rPr>
              <w:t>/</w:t>
            </w:r>
          </w:p>
        </w:tc>
        <w:tc>
          <w:tcPr>
            <w:tcW w:w="993" w:type="dxa"/>
            <w:tcBorders>
              <w:bottom w:val="single" w:color="000000" w:sz="10" w:space="0"/>
            </w:tcBorders>
            <w:vAlign w:val="top"/>
          </w:tcPr>
          <w:p w14:paraId="205F3E08">
            <w:pPr>
              <w:pStyle w:val="6"/>
              <w:spacing w:before="262" w:line="199" w:lineRule="auto"/>
              <w:ind w:left="464"/>
              <w:rPr>
                <w:sz w:val="20"/>
                <w:szCs w:val="20"/>
              </w:rPr>
            </w:pPr>
            <w:r>
              <w:rPr>
                <w:spacing w:val="2"/>
                <w:sz w:val="20"/>
                <w:szCs w:val="20"/>
              </w:rPr>
              <w:t>/</w:t>
            </w:r>
          </w:p>
        </w:tc>
        <w:tc>
          <w:tcPr>
            <w:tcW w:w="968" w:type="dxa"/>
            <w:tcBorders>
              <w:bottom w:val="single" w:color="000000" w:sz="10" w:space="0"/>
            </w:tcBorders>
            <w:vAlign w:val="top"/>
          </w:tcPr>
          <w:p w14:paraId="723ED47F">
            <w:pPr>
              <w:pStyle w:val="6"/>
              <w:spacing w:before="262" w:line="199" w:lineRule="auto"/>
              <w:ind w:left="453"/>
              <w:rPr>
                <w:sz w:val="20"/>
                <w:szCs w:val="20"/>
              </w:rPr>
            </w:pPr>
            <w:r>
              <w:rPr>
                <w:spacing w:val="2"/>
                <w:sz w:val="20"/>
                <w:szCs w:val="20"/>
              </w:rPr>
              <w:t>/</w:t>
            </w:r>
          </w:p>
        </w:tc>
        <w:tc>
          <w:tcPr>
            <w:tcW w:w="1159" w:type="dxa"/>
            <w:tcBorders>
              <w:bottom w:val="single" w:color="000000" w:sz="10" w:space="0"/>
            </w:tcBorders>
            <w:vAlign w:val="top"/>
          </w:tcPr>
          <w:p w14:paraId="0543FDBD">
            <w:pPr>
              <w:pStyle w:val="6"/>
              <w:spacing w:before="262" w:line="199" w:lineRule="auto"/>
              <w:ind w:left="548"/>
              <w:rPr>
                <w:sz w:val="20"/>
                <w:szCs w:val="20"/>
              </w:rPr>
            </w:pPr>
            <w:r>
              <w:rPr>
                <w:spacing w:val="2"/>
                <w:sz w:val="20"/>
                <w:szCs w:val="20"/>
              </w:rPr>
              <w:t>/</w:t>
            </w:r>
          </w:p>
        </w:tc>
        <w:tc>
          <w:tcPr>
            <w:tcW w:w="1843" w:type="dxa"/>
            <w:tcBorders>
              <w:bottom w:val="single" w:color="000000" w:sz="10" w:space="0"/>
            </w:tcBorders>
            <w:vAlign w:val="top"/>
          </w:tcPr>
          <w:p w14:paraId="7D6C0F4C">
            <w:pPr>
              <w:pStyle w:val="6"/>
              <w:spacing w:before="262" w:line="199" w:lineRule="auto"/>
              <w:ind w:left="891"/>
              <w:rPr>
                <w:sz w:val="20"/>
                <w:szCs w:val="20"/>
              </w:rPr>
            </w:pPr>
            <w:r>
              <w:rPr>
                <w:spacing w:val="2"/>
                <w:sz w:val="20"/>
                <w:szCs w:val="20"/>
              </w:rPr>
              <w:t>/</w:t>
            </w:r>
          </w:p>
        </w:tc>
        <w:tc>
          <w:tcPr>
            <w:tcW w:w="1293" w:type="dxa"/>
            <w:tcBorders>
              <w:bottom w:val="single" w:color="000000" w:sz="10" w:space="0"/>
              <w:right w:val="nil"/>
            </w:tcBorders>
            <w:vAlign w:val="top"/>
          </w:tcPr>
          <w:p w14:paraId="6EC153BE">
            <w:pPr>
              <w:pStyle w:val="6"/>
              <w:spacing w:before="262" w:line="199" w:lineRule="auto"/>
              <w:ind w:left="615"/>
              <w:rPr>
                <w:sz w:val="20"/>
                <w:szCs w:val="20"/>
              </w:rPr>
            </w:pPr>
            <w:r>
              <w:rPr>
                <w:spacing w:val="2"/>
                <w:sz w:val="20"/>
                <w:szCs w:val="20"/>
              </w:rPr>
              <w:t>/</w:t>
            </w:r>
          </w:p>
        </w:tc>
      </w:tr>
    </w:tbl>
    <w:p w14:paraId="3AAE7213">
      <w:pPr>
        <w:pStyle w:val="2"/>
        <w:rPr>
          <w:sz w:val="21"/>
        </w:rPr>
      </w:pPr>
    </w:p>
    <w:p w14:paraId="7B66A6C3">
      <w:pPr>
        <w:rPr>
          <w:sz w:val="21"/>
          <w:szCs w:val="21"/>
        </w:rPr>
        <w:sectPr>
          <w:footerReference r:id="rId160" w:type="default"/>
          <w:pgSz w:w="11906" w:h="16839"/>
          <w:pgMar w:top="400" w:right="1695" w:bottom="1370" w:left="1691" w:header="0" w:footer="1207" w:gutter="0"/>
          <w:cols w:space="720" w:num="1"/>
        </w:sectPr>
      </w:pPr>
    </w:p>
    <w:p w14:paraId="0E3E29C0">
      <w:pPr>
        <w:spacing w:before="19"/>
      </w:pPr>
    </w:p>
    <w:p w14:paraId="595EA998">
      <w:pPr>
        <w:spacing w:before="19"/>
      </w:pPr>
    </w:p>
    <w:p w14:paraId="4B7CFF3C">
      <w:pPr>
        <w:spacing w:before="18"/>
      </w:pPr>
    </w:p>
    <w:p w14:paraId="620D4097">
      <w:pPr>
        <w:spacing w:before="18"/>
      </w:pPr>
    </w:p>
    <w:tbl>
      <w:tblPr>
        <w:tblStyle w:val="5"/>
        <w:tblW w:w="851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2"/>
        <w:gridCol w:w="862"/>
        <w:gridCol w:w="608"/>
        <w:gridCol w:w="993"/>
        <w:gridCol w:w="968"/>
        <w:gridCol w:w="1159"/>
        <w:gridCol w:w="1843"/>
        <w:gridCol w:w="1293"/>
      </w:tblGrid>
      <w:tr w14:paraId="3F94E1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trPr>
        <w:tc>
          <w:tcPr>
            <w:tcW w:w="792" w:type="dxa"/>
            <w:vMerge w:val="restart"/>
            <w:tcBorders>
              <w:top w:val="single" w:color="000000" w:sz="10" w:space="0"/>
              <w:left w:val="nil"/>
              <w:bottom w:val="nil"/>
            </w:tcBorders>
            <w:vAlign w:val="top"/>
          </w:tcPr>
          <w:p w14:paraId="65025D77">
            <w:pPr>
              <w:spacing w:line="465" w:lineRule="auto"/>
              <w:rPr>
                <w:rFonts w:ascii="Arial"/>
                <w:sz w:val="21"/>
              </w:rPr>
            </w:pPr>
          </w:p>
          <w:p w14:paraId="4E0B090E">
            <w:pPr>
              <w:spacing w:before="65" w:line="289" w:lineRule="auto"/>
              <w:ind w:left="192" w:right="186"/>
              <w:rPr>
                <w:rFonts w:ascii="宋体" w:hAnsi="宋体" w:eastAsia="宋体" w:cs="宋体"/>
                <w:sz w:val="20"/>
                <w:szCs w:val="20"/>
              </w:rPr>
            </w:pPr>
            <w:r>
              <w:rPr>
                <w:rFonts w:ascii="宋体" w:hAnsi="宋体" w:eastAsia="宋体" w:cs="宋体"/>
                <w:spacing w:val="5"/>
                <w:sz w:val="20"/>
                <w:szCs w:val="20"/>
              </w:rPr>
              <w:t>脑包</w:t>
            </w:r>
            <w:r>
              <w:rPr>
                <w:rFonts w:ascii="宋体" w:hAnsi="宋体" w:eastAsia="宋体" w:cs="宋体"/>
                <w:spacing w:val="4"/>
                <w:sz w:val="20"/>
                <w:szCs w:val="20"/>
              </w:rPr>
              <w:t>湾村</w:t>
            </w:r>
          </w:p>
        </w:tc>
        <w:tc>
          <w:tcPr>
            <w:tcW w:w="862" w:type="dxa"/>
            <w:tcBorders>
              <w:top w:val="single" w:color="000000" w:sz="10" w:space="0"/>
            </w:tcBorders>
            <w:vAlign w:val="top"/>
          </w:tcPr>
          <w:p w14:paraId="7E505D05">
            <w:pPr>
              <w:spacing w:before="211" w:line="228" w:lineRule="auto"/>
              <w:ind w:left="122"/>
              <w:rPr>
                <w:rFonts w:ascii="宋体" w:hAnsi="宋体" w:eastAsia="宋体" w:cs="宋体"/>
                <w:sz w:val="20"/>
                <w:szCs w:val="20"/>
              </w:rPr>
            </w:pPr>
            <w:r>
              <w:rPr>
                <w:rFonts w:ascii="宋体" w:hAnsi="宋体" w:eastAsia="宋体" w:cs="宋体"/>
                <w:spacing w:val="7"/>
                <w:sz w:val="20"/>
                <w:szCs w:val="20"/>
              </w:rPr>
              <w:t>路段一</w:t>
            </w:r>
          </w:p>
        </w:tc>
        <w:tc>
          <w:tcPr>
            <w:tcW w:w="608" w:type="dxa"/>
            <w:tcBorders>
              <w:top w:val="single" w:color="000000" w:sz="10" w:space="0"/>
            </w:tcBorders>
            <w:textDirection w:val="tbRlV"/>
            <w:vAlign w:val="top"/>
          </w:tcPr>
          <w:p w14:paraId="583E4BF0">
            <w:pPr>
              <w:spacing w:before="197" w:line="217" w:lineRule="auto"/>
              <w:ind w:left="55"/>
              <w:rPr>
                <w:rFonts w:ascii="宋体" w:hAnsi="宋体" w:eastAsia="宋体" w:cs="宋体"/>
                <w:sz w:val="20"/>
                <w:szCs w:val="20"/>
              </w:rPr>
            </w:pPr>
            <w:r>
              <w:rPr>
                <w:rFonts w:ascii="宋体" w:hAnsi="宋体" w:eastAsia="宋体" w:cs="宋体"/>
                <w:spacing w:val="6"/>
                <w:sz w:val="20"/>
                <w:szCs w:val="20"/>
              </w:rPr>
              <w:t>左 侧</w:t>
            </w:r>
          </w:p>
        </w:tc>
        <w:tc>
          <w:tcPr>
            <w:tcW w:w="993" w:type="dxa"/>
            <w:tcBorders>
              <w:top w:val="single" w:color="000000" w:sz="10" w:space="0"/>
            </w:tcBorders>
            <w:vAlign w:val="top"/>
          </w:tcPr>
          <w:p w14:paraId="12D3C45B">
            <w:pPr>
              <w:pStyle w:val="6"/>
              <w:spacing w:before="247" w:line="195" w:lineRule="auto"/>
              <w:ind w:left="151"/>
              <w:rPr>
                <w:sz w:val="20"/>
                <w:szCs w:val="20"/>
              </w:rPr>
            </w:pPr>
            <w:r>
              <w:rPr>
                <w:spacing w:val="4"/>
                <w:sz w:val="20"/>
                <w:szCs w:val="20"/>
              </w:rPr>
              <w:t>K0+760</w:t>
            </w:r>
          </w:p>
        </w:tc>
        <w:tc>
          <w:tcPr>
            <w:tcW w:w="968" w:type="dxa"/>
            <w:tcBorders>
              <w:top w:val="single" w:color="000000" w:sz="10" w:space="0"/>
            </w:tcBorders>
            <w:vAlign w:val="top"/>
          </w:tcPr>
          <w:p w14:paraId="71A4D0E3">
            <w:pPr>
              <w:pStyle w:val="6"/>
              <w:spacing w:before="247" w:line="195" w:lineRule="auto"/>
              <w:ind w:left="327"/>
              <w:rPr>
                <w:sz w:val="20"/>
                <w:szCs w:val="20"/>
              </w:rPr>
            </w:pPr>
            <w:r>
              <w:rPr>
                <w:spacing w:val="3"/>
                <w:sz w:val="20"/>
                <w:szCs w:val="20"/>
              </w:rPr>
              <w:t>200</w:t>
            </w:r>
          </w:p>
        </w:tc>
        <w:tc>
          <w:tcPr>
            <w:tcW w:w="1159" w:type="dxa"/>
            <w:tcBorders>
              <w:top w:val="single" w:color="000000" w:sz="10" w:space="0"/>
            </w:tcBorders>
            <w:vAlign w:val="top"/>
          </w:tcPr>
          <w:p w14:paraId="62A4B5B4">
            <w:pPr>
              <w:spacing w:before="211" w:line="228" w:lineRule="auto"/>
              <w:ind w:left="372"/>
              <w:rPr>
                <w:rFonts w:ascii="宋体" w:hAnsi="宋体" w:eastAsia="宋体" w:cs="宋体"/>
                <w:sz w:val="20"/>
                <w:szCs w:val="20"/>
              </w:rPr>
            </w:pPr>
            <w:r>
              <w:rPr>
                <w:rFonts w:ascii="宋体" w:hAnsi="宋体" w:eastAsia="宋体" w:cs="宋体"/>
                <w:spacing w:val="5"/>
                <w:sz w:val="20"/>
                <w:szCs w:val="20"/>
              </w:rPr>
              <w:t>散户</w:t>
            </w:r>
          </w:p>
        </w:tc>
        <w:tc>
          <w:tcPr>
            <w:tcW w:w="1843" w:type="dxa"/>
            <w:tcBorders>
              <w:top w:val="single" w:color="000000" w:sz="10" w:space="0"/>
            </w:tcBorders>
            <w:vAlign w:val="top"/>
          </w:tcPr>
          <w:p w14:paraId="06E7CD60">
            <w:pPr>
              <w:pStyle w:val="6"/>
              <w:spacing w:before="91" w:line="195" w:lineRule="auto"/>
              <w:ind w:left="294"/>
              <w:rPr>
                <w:sz w:val="20"/>
                <w:szCs w:val="20"/>
              </w:rPr>
            </w:pPr>
            <w:r>
              <w:rPr>
                <w:spacing w:val="1"/>
                <w:sz w:val="20"/>
                <w:szCs w:val="20"/>
              </w:rPr>
              <w:t>111.023878459</w:t>
            </w:r>
          </w:p>
          <w:p w14:paraId="6A75C9A1">
            <w:pPr>
              <w:pStyle w:val="6"/>
              <w:spacing w:before="125" w:line="195" w:lineRule="auto"/>
              <w:ind w:left="318"/>
              <w:rPr>
                <w:sz w:val="20"/>
                <w:szCs w:val="20"/>
              </w:rPr>
            </w:pPr>
            <w:r>
              <w:rPr>
                <w:spacing w:val="4"/>
                <w:sz w:val="20"/>
                <w:szCs w:val="20"/>
              </w:rPr>
              <w:t>40.253974315</w:t>
            </w:r>
          </w:p>
        </w:tc>
        <w:tc>
          <w:tcPr>
            <w:tcW w:w="1293" w:type="dxa"/>
            <w:tcBorders>
              <w:top w:val="single" w:color="000000" w:sz="10" w:space="0"/>
              <w:right w:val="nil"/>
            </w:tcBorders>
            <w:vAlign w:val="top"/>
          </w:tcPr>
          <w:p w14:paraId="43714D3D">
            <w:pPr>
              <w:spacing w:before="211" w:line="228" w:lineRule="auto"/>
              <w:ind w:left="341"/>
              <w:rPr>
                <w:rFonts w:ascii="宋体" w:hAnsi="宋体" w:eastAsia="宋体" w:cs="宋体"/>
                <w:sz w:val="20"/>
                <w:szCs w:val="20"/>
              </w:rPr>
            </w:pPr>
            <w:r>
              <w:rPr>
                <w:rFonts w:ascii="宋体" w:hAnsi="宋体" w:eastAsia="宋体" w:cs="宋体"/>
                <w:spacing w:val="5"/>
                <w:sz w:val="20"/>
                <w:szCs w:val="20"/>
              </w:rPr>
              <w:t>背景点</w:t>
            </w:r>
          </w:p>
        </w:tc>
      </w:tr>
      <w:tr w14:paraId="7B6761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792" w:type="dxa"/>
            <w:vMerge w:val="continue"/>
            <w:tcBorders>
              <w:top w:val="nil"/>
              <w:left w:val="nil"/>
              <w:bottom w:val="nil"/>
            </w:tcBorders>
            <w:vAlign w:val="top"/>
          </w:tcPr>
          <w:p w14:paraId="7AB5B5CD">
            <w:pPr>
              <w:rPr>
                <w:rFonts w:ascii="Arial"/>
                <w:sz w:val="21"/>
              </w:rPr>
            </w:pPr>
          </w:p>
        </w:tc>
        <w:tc>
          <w:tcPr>
            <w:tcW w:w="862" w:type="dxa"/>
            <w:vAlign w:val="top"/>
          </w:tcPr>
          <w:p w14:paraId="73E5637E">
            <w:pPr>
              <w:spacing w:before="209" w:line="228" w:lineRule="auto"/>
              <w:ind w:left="122"/>
              <w:rPr>
                <w:rFonts w:ascii="宋体" w:hAnsi="宋体" w:eastAsia="宋体" w:cs="宋体"/>
                <w:sz w:val="20"/>
                <w:szCs w:val="20"/>
              </w:rPr>
            </w:pPr>
            <w:r>
              <w:rPr>
                <w:rFonts w:ascii="宋体" w:hAnsi="宋体" w:eastAsia="宋体" w:cs="宋体"/>
                <w:spacing w:val="6"/>
                <w:sz w:val="20"/>
                <w:szCs w:val="20"/>
              </w:rPr>
              <w:t>路段二</w:t>
            </w:r>
          </w:p>
        </w:tc>
        <w:tc>
          <w:tcPr>
            <w:tcW w:w="608" w:type="dxa"/>
            <w:textDirection w:val="tbRlV"/>
            <w:vAlign w:val="top"/>
          </w:tcPr>
          <w:p w14:paraId="793DC87D">
            <w:pPr>
              <w:spacing w:before="197" w:line="217" w:lineRule="auto"/>
              <w:ind w:left="54"/>
              <w:rPr>
                <w:rFonts w:ascii="宋体" w:hAnsi="宋体" w:eastAsia="宋体" w:cs="宋体"/>
                <w:sz w:val="20"/>
                <w:szCs w:val="20"/>
              </w:rPr>
            </w:pPr>
            <w:r>
              <w:rPr>
                <w:rFonts w:ascii="宋体" w:hAnsi="宋体" w:eastAsia="宋体" w:cs="宋体"/>
                <w:spacing w:val="6"/>
                <w:sz w:val="20"/>
                <w:szCs w:val="20"/>
              </w:rPr>
              <w:t>左 侧</w:t>
            </w:r>
          </w:p>
        </w:tc>
        <w:tc>
          <w:tcPr>
            <w:tcW w:w="993" w:type="dxa"/>
            <w:vAlign w:val="top"/>
          </w:tcPr>
          <w:p w14:paraId="2B07EBA3">
            <w:pPr>
              <w:pStyle w:val="6"/>
              <w:spacing w:before="246" w:line="195" w:lineRule="auto"/>
              <w:ind w:left="151"/>
              <w:rPr>
                <w:sz w:val="20"/>
                <w:szCs w:val="20"/>
              </w:rPr>
            </w:pPr>
            <w:r>
              <w:rPr>
                <w:spacing w:val="4"/>
                <w:sz w:val="20"/>
                <w:szCs w:val="20"/>
              </w:rPr>
              <w:t>K1+236</w:t>
            </w:r>
          </w:p>
        </w:tc>
        <w:tc>
          <w:tcPr>
            <w:tcW w:w="968" w:type="dxa"/>
            <w:vAlign w:val="top"/>
          </w:tcPr>
          <w:p w14:paraId="28D3F73A">
            <w:pPr>
              <w:pStyle w:val="6"/>
              <w:spacing w:before="246" w:line="195" w:lineRule="auto"/>
              <w:ind w:left="400"/>
              <w:rPr>
                <w:sz w:val="20"/>
                <w:szCs w:val="20"/>
              </w:rPr>
            </w:pPr>
            <w:r>
              <w:rPr>
                <w:spacing w:val="-8"/>
                <w:sz w:val="20"/>
                <w:szCs w:val="20"/>
              </w:rPr>
              <w:t>15</w:t>
            </w:r>
          </w:p>
        </w:tc>
        <w:tc>
          <w:tcPr>
            <w:tcW w:w="1159" w:type="dxa"/>
            <w:vAlign w:val="top"/>
          </w:tcPr>
          <w:p w14:paraId="307F053F">
            <w:pPr>
              <w:spacing w:before="209" w:line="228" w:lineRule="auto"/>
              <w:ind w:left="270"/>
              <w:rPr>
                <w:rFonts w:ascii="宋体" w:hAnsi="宋体" w:eastAsia="宋体" w:cs="宋体"/>
                <w:sz w:val="20"/>
                <w:szCs w:val="20"/>
              </w:rPr>
            </w:pPr>
            <w:r>
              <w:rPr>
                <w:rFonts w:ascii="宋体" w:hAnsi="宋体" w:eastAsia="宋体" w:cs="宋体"/>
                <w:spacing w:val="6"/>
                <w:sz w:val="20"/>
                <w:szCs w:val="20"/>
              </w:rPr>
              <w:t>神官湾</w:t>
            </w:r>
          </w:p>
        </w:tc>
        <w:tc>
          <w:tcPr>
            <w:tcW w:w="1843" w:type="dxa"/>
            <w:vAlign w:val="top"/>
          </w:tcPr>
          <w:p w14:paraId="458FDE67">
            <w:pPr>
              <w:pStyle w:val="6"/>
              <w:spacing w:before="90" w:line="195" w:lineRule="auto"/>
              <w:ind w:left="294"/>
              <w:rPr>
                <w:sz w:val="20"/>
                <w:szCs w:val="20"/>
              </w:rPr>
            </w:pPr>
            <w:r>
              <w:rPr>
                <w:spacing w:val="1"/>
                <w:sz w:val="20"/>
                <w:szCs w:val="20"/>
              </w:rPr>
              <w:t>111.012729857</w:t>
            </w:r>
          </w:p>
          <w:p w14:paraId="1BC0A7A8">
            <w:pPr>
              <w:pStyle w:val="6"/>
              <w:spacing w:before="125" w:line="195" w:lineRule="auto"/>
              <w:ind w:left="318"/>
              <w:rPr>
                <w:sz w:val="20"/>
                <w:szCs w:val="20"/>
              </w:rPr>
            </w:pPr>
            <w:r>
              <w:rPr>
                <w:spacing w:val="4"/>
                <w:sz w:val="20"/>
                <w:szCs w:val="20"/>
              </w:rPr>
              <w:t>40.252937641</w:t>
            </w:r>
          </w:p>
        </w:tc>
        <w:tc>
          <w:tcPr>
            <w:tcW w:w="1293" w:type="dxa"/>
            <w:tcBorders>
              <w:right w:val="nil"/>
            </w:tcBorders>
            <w:vAlign w:val="top"/>
          </w:tcPr>
          <w:p w14:paraId="21EBD083">
            <w:pPr>
              <w:spacing w:before="53" w:line="259" w:lineRule="auto"/>
              <w:ind w:left="441" w:right="122" w:hanging="310"/>
              <w:rPr>
                <w:rFonts w:ascii="宋体" w:hAnsi="宋体" w:eastAsia="宋体" w:cs="宋体"/>
                <w:sz w:val="20"/>
                <w:szCs w:val="20"/>
              </w:rPr>
            </w:pPr>
            <w:r>
              <w:rPr>
                <w:rFonts w:ascii="宋体" w:hAnsi="宋体" w:eastAsia="宋体" w:cs="宋体"/>
                <w:spacing w:val="7"/>
                <w:sz w:val="20"/>
                <w:szCs w:val="20"/>
              </w:rPr>
              <w:t>受现有公路</w:t>
            </w:r>
            <w:r>
              <w:rPr>
                <w:rFonts w:ascii="宋体" w:hAnsi="宋体" w:eastAsia="宋体" w:cs="宋体"/>
                <w:spacing w:val="4"/>
                <w:sz w:val="20"/>
                <w:szCs w:val="20"/>
              </w:rPr>
              <w:t>影响</w:t>
            </w:r>
          </w:p>
        </w:tc>
      </w:tr>
      <w:tr w14:paraId="23B73C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792" w:type="dxa"/>
            <w:vMerge w:val="continue"/>
            <w:tcBorders>
              <w:top w:val="nil"/>
              <w:left w:val="nil"/>
            </w:tcBorders>
            <w:vAlign w:val="top"/>
          </w:tcPr>
          <w:p w14:paraId="75D0FF86">
            <w:pPr>
              <w:rPr>
                <w:rFonts w:ascii="Arial"/>
                <w:sz w:val="21"/>
              </w:rPr>
            </w:pPr>
          </w:p>
        </w:tc>
        <w:tc>
          <w:tcPr>
            <w:tcW w:w="862" w:type="dxa"/>
            <w:vAlign w:val="top"/>
          </w:tcPr>
          <w:p w14:paraId="7B8DA33F">
            <w:pPr>
              <w:spacing w:before="60" w:line="226" w:lineRule="auto"/>
              <w:ind w:left="122"/>
              <w:rPr>
                <w:rFonts w:ascii="宋体" w:hAnsi="宋体" w:eastAsia="宋体" w:cs="宋体"/>
                <w:sz w:val="20"/>
                <w:szCs w:val="20"/>
              </w:rPr>
            </w:pPr>
            <w:r>
              <w:rPr>
                <w:rFonts w:ascii="宋体" w:hAnsi="宋体" w:eastAsia="宋体" w:cs="宋体"/>
                <w:spacing w:val="6"/>
                <w:sz w:val="20"/>
                <w:szCs w:val="20"/>
              </w:rPr>
              <w:t>路段三</w:t>
            </w:r>
          </w:p>
        </w:tc>
        <w:tc>
          <w:tcPr>
            <w:tcW w:w="608" w:type="dxa"/>
            <w:vAlign w:val="top"/>
          </w:tcPr>
          <w:p w14:paraId="2C602DF8">
            <w:pPr>
              <w:pStyle w:val="6"/>
              <w:spacing w:before="92" w:line="199" w:lineRule="auto"/>
              <w:ind w:left="273"/>
              <w:rPr>
                <w:sz w:val="20"/>
                <w:szCs w:val="20"/>
              </w:rPr>
            </w:pPr>
            <w:r>
              <w:rPr>
                <w:spacing w:val="2"/>
                <w:sz w:val="20"/>
                <w:szCs w:val="20"/>
              </w:rPr>
              <w:t>/</w:t>
            </w:r>
          </w:p>
        </w:tc>
        <w:tc>
          <w:tcPr>
            <w:tcW w:w="993" w:type="dxa"/>
            <w:vAlign w:val="top"/>
          </w:tcPr>
          <w:p w14:paraId="6DB7FD3D">
            <w:pPr>
              <w:pStyle w:val="6"/>
              <w:spacing w:before="92" w:line="199" w:lineRule="auto"/>
              <w:ind w:left="464"/>
              <w:rPr>
                <w:sz w:val="20"/>
                <w:szCs w:val="20"/>
              </w:rPr>
            </w:pPr>
            <w:r>
              <w:rPr>
                <w:spacing w:val="2"/>
                <w:sz w:val="20"/>
                <w:szCs w:val="20"/>
              </w:rPr>
              <w:t>/</w:t>
            </w:r>
          </w:p>
        </w:tc>
        <w:tc>
          <w:tcPr>
            <w:tcW w:w="968" w:type="dxa"/>
            <w:vAlign w:val="top"/>
          </w:tcPr>
          <w:p w14:paraId="2F383A80">
            <w:pPr>
              <w:pStyle w:val="6"/>
              <w:spacing w:before="92" w:line="199" w:lineRule="auto"/>
              <w:ind w:left="453"/>
              <w:rPr>
                <w:sz w:val="20"/>
                <w:szCs w:val="20"/>
              </w:rPr>
            </w:pPr>
            <w:r>
              <w:rPr>
                <w:spacing w:val="2"/>
                <w:sz w:val="20"/>
                <w:szCs w:val="20"/>
              </w:rPr>
              <w:t>/</w:t>
            </w:r>
          </w:p>
        </w:tc>
        <w:tc>
          <w:tcPr>
            <w:tcW w:w="1159" w:type="dxa"/>
            <w:vAlign w:val="top"/>
          </w:tcPr>
          <w:p w14:paraId="6BB9C519">
            <w:pPr>
              <w:pStyle w:val="6"/>
              <w:spacing w:before="92" w:line="199" w:lineRule="auto"/>
              <w:ind w:left="548"/>
              <w:rPr>
                <w:sz w:val="20"/>
                <w:szCs w:val="20"/>
              </w:rPr>
            </w:pPr>
            <w:r>
              <w:rPr>
                <w:spacing w:val="2"/>
                <w:sz w:val="20"/>
                <w:szCs w:val="20"/>
              </w:rPr>
              <w:t>/</w:t>
            </w:r>
          </w:p>
        </w:tc>
        <w:tc>
          <w:tcPr>
            <w:tcW w:w="1843" w:type="dxa"/>
            <w:vAlign w:val="top"/>
          </w:tcPr>
          <w:p w14:paraId="656F51F0">
            <w:pPr>
              <w:pStyle w:val="6"/>
              <w:spacing w:before="92" w:line="199" w:lineRule="auto"/>
              <w:ind w:left="891"/>
              <w:rPr>
                <w:sz w:val="20"/>
                <w:szCs w:val="20"/>
              </w:rPr>
            </w:pPr>
            <w:r>
              <w:rPr>
                <w:spacing w:val="2"/>
                <w:sz w:val="20"/>
                <w:szCs w:val="20"/>
              </w:rPr>
              <w:t>/</w:t>
            </w:r>
          </w:p>
        </w:tc>
        <w:tc>
          <w:tcPr>
            <w:tcW w:w="1293" w:type="dxa"/>
            <w:tcBorders>
              <w:right w:val="nil"/>
            </w:tcBorders>
            <w:vAlign w:val="top"/>
          </w:tcPr>
          <w:p w14:paraId="22687A8C">
            <w:pPr>
              <w:pStyle w:val="6"/>
              <w:spacing w:before="92" w:line="199" w:lineRule="auto"/>
              <w:ind w:left="615"/>
              <w:rPr>
                <w:sz w:val="20"/>
                <w:szCs w:val="20"/>
              </w:rPr>
            </w:pPr>
            <w:r>
              <w:rPr>
                <w:spacing w:val="2"/>
                <w:sz w:val="20"/>
                <w:szCs w:val="20"/>
              </w:rPr>
              <w:t>/</w:t>
            </w:r>
          </w:p>
        </w:tc>
      </w:tr>
      <w:tr w14:paraId="092CDC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1654" w:type="dxa"/>
            <w:gridSpan w:val="2"/>
            <w:tcBorders>
              <w:left w:val="nil"/>
            </w:tcBorders>
            <w:vAlign w:val="top"/>
          </w:tcPr>
          <w:p w14:paraId="594B5796">
            <w:pPr>
              <w:spacing w:before="217" w:line="227" w:lineRule="auto"/>
              <w:ind w:left="417"/>
              <w:rPr>
                <w:rFonts w:ascii="宋体" w:hAnsi="宋体" w:eastAsia="宋体" w:cs="宋体"/>
                <w:sz w:val="20"/>
                <w:szCs w:val="20"/>
              </w:rPr>
            </w:pPr>
            <w:r>
              <w:rPr>
                <w:rFonts w:ascii="宋体" w:hAnsi="宋体" w:eastAsia="宋体" w:cs="宋体"/>
                <w:spacing w:val="6"/>
                <w:sz w:val="20"/>
                <w:szCs w:val="20"/>
              </w:rPr>
              <w:t>杨子华村</w:t>
            </w:r>
          </w:p>
        </w:tc>
        <w:tc>
          <w:tcPr>
            <w:tcW w:w="608" w:type="dxa"/>
            <w:textDirection w:val="tbRlV"/>
            <w:vAlign w:val="top"/>
          </w:tcPr>
          <w:p w14:paraId="379550B7">
            <w:pPr>
              <w:spacing w:before="197" w:line="217" w:lineRule="auto"/>
              <w:ind w:left="61"/>
              <w:rPr>
                <w:rFonts w:ascii="宋体" w:hAnsi="宋体" w:eastAsia="宋体" w:cs="宋体"/>
                <w:sz w:val="20"/>
                <w:szCs w:val="20"/>
              </w:rPr>
            </w:pPr>
            <w:r>
              <w:rPr>
                <w:rFonts w:ascii="宋体" w:hAnsi="宋体" w:eastAsia="宋体" w:cs="宋体"/>
                <w:spacing w:val="6"/>
                <w:sz w:val="20"/>
                <w:szCs w:val="20"/>
              </w:rPr>
              <w:t>左 侧</w:t>
            </w:r>
          </w:p>
        </w:tc>
        <w:tc>
          <w:tcPr>
            <w:tcW w:w="993" w:type="dxa"/>
            <w:vAlign w:val="top"/>
          </w:tcPr>
          <w:p w14:paraId="284866B6">
            <w:pPr>
              <w:pStyle w:val="6"/>
              <w:spacing w:before="253" w:line="195" w:lineRule="auto"/>
              <w:ind w:left="151"/>
              <w:rPr>
                <w:sz w:val="20"/>
                <w:szCs w:val="20"/>
              </w:rPr>
            </w:pPr>
            <w:r>
              <w:rPr>
                <w:spacing w:val="4"/>
                <w:sz w:val="20"/>
                <w:szCs w:val="20"/>
              </w:rPr>
              <w:t>K1+085</w:t>
            </w:r>
          </w:p>
        </w:tc>
        <w:tc>
          <w:tcPr>
            <w:tcW w:w="968" w:type="dxa"/>
            <w:vAlign w:val="top"/>
          </w:tcPr>
          <w:p w14:paraId="0D8EFAF7">
            <w:pPr>
              <w:pStyle w:val="6"/>
              <w:spacing w:before="253" w:line="195" w:lineRule="auto"/>
              <w:ind w:left="379"/>
              <w:rPr>
                <w:sz w:val="20"/>
                <w:szCs w:val="20"/>
              </w:rPr>
            </w:pPr>
            <w:r>
              <w:rPr>
                <w:spacing w:val="3"/>
                <w:sz w:val="20"/>
                <w:szCs w:val="20"/>
              </w:rPr>
              <w:t>40</w:t>
            </w:r>
          </w:p>
        </w:tc>
        <w:tc>
          <w:tcPr>
            <w:tcW w:w="1159" w:type="dxa"/>
            <w:vAlign w:val="top"/>
          </w:tcPr>
          <w:p w14:paraId="09F790B7">
            <w:pPr>
              <w:pStyle w:val="6"/>
              <w:spacing w:before="61" w:line="227" w:lineRule="auto"/>
              <w:ind w:left="130"/>
              <w:rPr>
                <w:sz w:val="20"/>
                <w:szCs w:val="20"/>
              </w:rPr>
            </w:pPr>
            <w:r>
              <w:rPr>
                <w:rFonts w:ascii="宋体" w:hAnsi="宋体" w:eastAsia="宋体" w:cs="宋体"/>
                <w:spacing w:val="7"/>
                <w:sz w:val="20"/>
                <w:szCs w:val="20"/>
              </w:rPr>
              <w:t>杨子华村</w:t>
            </w:r>
            <w:r>
              <w:rPr>
                <w:spacing w:val="7"/>
                <w:sz w:val="20"/>
                <w:szCs w:val="20"/>
              </w:rPr>
              <w:t>-</w:t>
            </w:r>
          </w:p>
          <w:p w14:paraId="46B02B73">
            <w:pPr>
              <w:spacing w:before="65" w:line="223" w:lineRule="auto"/>
              <w:ind w:left="372"/>
              <w:rPr>
                <w:rFonts w:ascii="宋体" w:hAnsi="宋体" w:eastAsia="宋体" w:cs="宋体"/>
                <w:sz w:val="20"/>
                <w:szCs w:val="20"/>
              </w:rPr>
            </w:pPr>
            <w:r>
              <w:rPr>
                <w:rFonts w:ascii="宋体" w:hAnsi="宋体" w:eastAsia="宋体" w:cs="宋体"/>
                <w:spacing w:val="5"/>
                <w:sz w:val="20"/>
                <w:szCs w:val="20"/>
              </w:rPr>
              <w:t>散户</w:t>
            </w:r>
          </w:p>
        </w:tc>
        <w:tc>
          <w:tcPr>
            <w:tcW w:w="1843" w:type="dxa"/>
            <w:vAlign w:val="top"/>
          </w:tcPr>
          <w:p w14:paraId="2C1B3126">
            <w:pPr>
              <w:pStyle w:val="6"/>
              <w:spacing w:before="97" w:line="195" w:lineRule="auto"/>
              <w:ind w:left="291"/>
              <w:rPr>
                <w:sz w:val="20"/>
                <w:szCs w:val="20"/>
              </w:rPr>
            </w:pPr>
            <w:r>
              <w:rPr>
                <w:spacing w:val="2"/>
                <w:sz w:val="20"/>
                <w:szCs w:val="20"/>
              </w:rPr>
              <w:t>110.759490433</w:t>
            </w:r>
          </w:p>
          <w:p w14:paraId="15DBB36E">
            <w:pPr>
              <w:pStyle w:val="6"/>
              <w:spacing w:before="125" w:line="195" w:lineRule="auto"/>
              <w:ind w:left="318"/>
              <w:rPr>
                <w:sz w:val="20"/>
                <w:szCs w:val="20"/>
              </w:rPr>
            </w:pPr>
            <w:r>
              <w:rPr>
                <w:spacing w:val="4"/>
                <w:sz w:val="20"/>
                <w:szCs w:val="20"/>
              </w:rPr>
              <w:t>40.230016873</w:t>
            </w:r>
          </w:p>
        </w:tc>
        <w:tc>
          <w:tcPr>
            <w:tcW w:w="1293" w:type="dxa"/>
            <w:tcBorders>
              <w:right w:val="nil"/>
            </w:tcBorders>
            <w:vAlign w:val="top"/>
          </w:tcPr>
          <w:p w14:paraId="3B2949DD">
            <w:pPr>
              <w:pStyle w:val="6"/>
              <w:spacing w:before="249" w:line="199" w:lineRule="auto"/>
              <w:ind w:left="615"/>
              <w:rPr>
                <w:sz w:val="20"/>
                <w:szCs w:val="20"/>
              </w:rPr>
            </w:pPr>
            <w:r>
              <w:rPr>
                <w:spacing w:val="2"/>
                <w:sz w:val="20"/>
                <w:szCs w:val="20"/>
              </w:rPr>
              <w:t>/</w:t>
            </w:r>
          </w:p>
        </w:tc>
      </w:tr>
      <w:tr w14:paraId="29DE4B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89" w:hRule="atLeast"/>
        </w:trPr>
        <w:tc>
          <w:tcPr>
            <w:tcW w:w="1654" w:type="dxa"/>
            <w:gridSpan w:val="2"/>
            <w:tcBorders>
              <w:left w:val="nil"/>
              <w:bottom w:val="single" w:color="000000" w:sz="10" w:space="0"/>
            </w:tcBorders>
            <w:vAlign w:val="top"/>
          </w:tcPr>
          <w:p w14:paraId="2AE6D0C7">
            <w:pPr>
              <w:spacing w:line="310" w:lineRule="auto"/>
              <w:rPr>
                <w:rFonts w:ascii="Arial"/>
                <w:sz w:val="21"/>
              </w:rPr>
            </w:pPr>
          </w:p>
          <w:p w14:paraId="084F6C0B">
            <w:pPr>
              <w:spacing w:line="310" w:lineRule="auto"/>
              <w:rPr>
                <w:rFonts w:ascii="Arial"/>
                <w:sz w:val="21"/>
              </w:rPr>
            </w:pPr>
          </w:p>
          <w:p w14:paraId="43F09D5B">
            <w:pPr>
              <w:spacing w:before="65" w:line="227" w:lineRule="auto"/>
              <w:ind w:left="116"/>
              <w:rPr>
                <w:rFonts w:ascii="宋体" w:hAnsi="宋体" w:eastAsia="宋体" w:cs="宋体"/>
                <w:sz w:val="20"/>
                <w:szCs w:val="20"/>
              </w:rPr>
            </w:pPr>
            <w:r>
              <w:rPr>
                <w:rFonts w:ascii="宋体" w:hAnsi="宋体" w:eastAsia="宋体" w:cs="宋体"/>
                <w:spacing w:val="3"/>
                <w:sz w:val="20"/>
                <w:szCs w:val="20"/>
              </w:rPr>
              <w:t>柴登村段（兴巴</w:t>
            </w:r>
          </w:p>
          <w:p w14:paraId="1F444B24">
            <w:pPr>
              <w:spacing w:before="65" w:line="228" w:lineRule="auto"/>
              <w:ind w:left="316"/>
              <w:rPr>
                <w:rFonts w:ascii="宋体" w:hAnsi="宋体" w:eastAsia="宋体" w:cs="宋体"/>
                <w:sz w:val="20"/>
                <w:szCs w:val="20"/>
              </w:rPr>
            </w:pPr>
            <w:r>
              <w:rPr>
                <w:rFonts w:ascii="宋体" w:hAnsi="宋体" w:eastAsia="宋体" w:cs="宋体"/>
                <w:spacing w:val="4"/>
                <w:sz w:val="20"/>
                <w:szCs w:val="20"/>
              </w:rPr>
              <w:t>高速断面）</w:t>
            </w:r>
          </w:p>
        </w:tc>
        <w:tc>
          <w:tcPr>
            <w:tcW w:w="608" w:type="dxa"/>
            <w:tcBorders>
              <w:bottom w:val="single" w:color="000000" w:sz="10" w:space="0"/>
            </w:tcBorders>
            <w:vAlign w:val="top"/>
          </w:tcPr>
          <w:p w14:paraId="644B3898">
            <w:pPr>
              <w:spacing w:line="271" w:lineRule="auto"/>
              <w:rPr>
                <w:rFonts w:ascii="Arial"/>
                <w:sz w:val="21"/>
              </w:rPr>
            </w:pPr>
          </w:p>
          <w:p w14:paraId="2C2829B9">
            <w:pPr>
              <w:spacing w:line="272" w:lineRule="auto"/>
              <w:rPr>
                <w:rFonts w:ascii="Arial"/>
                <w:sz w:val="21"/>
              </w:rPr>
            </w:pPr>
          </w:p>
          <w:p w14:paraId="054ED3A6">
            <w:pPr>
              <w:spacing w:line="272" w:lineRule="auto"/>
              <w:rPr>
                <w:rFonts w:ascii="Arial"/>
                <w:sz w:val="21"/>
              </w:rPr>
            </w:pPr>
          </w:p>
          <w:p w14:paraId="3B80BD32">
            <w:pPr>
              <w:pStyle w:val="6"/>
              <w:spacing w:before="57" w:line="199" w:lineRule="auto"/>
              <w:ind w:left="273"/>
              <w:rPr>
                <w:sz w:val="20"/>
                <w:szCs w:val="20"/>
              </w:rPr>
            </w:pPr>
            <w:r>
              <w:rPr>
                <w:spacing w:val="2"/>
                <w:sz w:val="20"/>
                <w:szCs w:val="20"/>
              </w:rPr>
              <w:t>/</w:t>
            </w:r>
          </w:p>
        </w:tc>
        <w:tc>
          <w:tcPr>
            <w:tcW w:w="993" w:type="dxa"/>
            <w:tcBorders>
              <w:bottom w:val="single" w:color="000000" w:sz="10" w:space="0"/>
            </w:tcBorders>
            <w:vAlign w:val="top"/>
          </w:tcPr>
          <w:p w14:paraId="7BE1F6A2">
            <w:pPr>
              <w:spacing w:line="272" w:lineRule="auto"/>
              <w:rPr>
                <w:rFonts w:ascii="Arial"/>
                <w:sz w:val="21"/>
              </w:rPr>
            </w:pPr>
          </w:p>
          <w:p w14:paraId="0639480F">
            <w:pPr>
              <w:spacing w:line="273" w:lineRule="auto"/>
              <w:rPr>
                <w:rFonts w:ascii="Arial"/>
                <w:sz w:val="21"/>
              </w:rPr>
            </w:pPr>
          </w:p>
          <w:p w14:paraId="4A2C97F3">
            <w:pPr>
              <w:spacing w:line="273" w:lineRule="auto"/>
              <w:rPr>
                <w:rFonts w:ascii="Arial"/>
                <w:sz w:val="21"/>
              </w:rPr>
            </w:pPr>
          </w:p>
          <w:p w14:paraId="3D6B8BC6">
            <w:pPr>
              <w:pStyle w:val="6"/>
              <w:spacing w:before="58" w:line="195" w:lineRule="auto"/>
              <w:ind w:left="369"/>
              <w:rPr>
                <w:sz w:val="20"/>
                <w:szCs w:val="20"/>
              </w:rPr>
            </w:pPr>
            <w:r>
              <w:rPr>
                <w:spacing w:val="3"/>
                <w:sz w:val="20"/>
                <w:szCs w:val="20"/>
              </w:rPr>
              <w:t>K2</w:t>
            </w:r>
          </w:p>
        </w:tc>
        <w:tc>
          <w:tcPr>
            <w:tcW w:w="968" w:type="dxa"/>
            <w:tcBorders>
              <w:bottom w:val="single" w:color="000000" w:sz="10" w:space="0"/>
            </w:tcBorders>
            <w:vAlign w:val="top"/>
          </w:tcPr>
          <w:p w14:paraId="65325FAE">
            <w:pPr>
              <w:spacing w:line="271" w:lineRule="auto"/>
              <w:rPr>
                <w:rFonts w:ascii="Arial"/>
                <w:sz w:val="21"/>
              </w:rPr>
            </w:pPr>
          </w:p>
          <w:p w14:paraId="52E06F36">
            <w:pPr>
              <w:spacing w:line="272" w:lineRule="auto"/>
              <w:rPr>
                <w:rFonts w:ascii="Arial"/>
                <w:sz w:val="21"/>
              </w:rPr>
            </w:pPr>
          </w:p>
          <w:p w14:paraId="6EFA4803">
            <w:pPr>
              <w:spacing w:line="272" w:lineRule="auto"/>
              <w:rPr>
                <w:rFonts w:ascii="Arial"/>
                <w:sz w:val="21"/>
              </w:rPr>
            </w:pPr>
          </w:p>
          <w:p w14:paraId="6140E114">
            <w:pPr>
              <w:pStyle w:val="6"/>
              <w:spacing w:before="57" w:line="199" w:lineRule="auto"/>
              <w:ind w:left="453"/>
              <w:rPr>
                <w:sz w:val="20"/>
                <w:szCs w:val="20"/>
              </w:rPr>
            </w:pPr>
            <w:r>
              <w:rPr>
                <w:spacing w:val="2"/>
                <w:sz w:val="20"/>
                <w:szCs w:val="20"/>
              </w:rPr>
              <w:t>/</w:t>
            </w:r>
          </w:p>
        </w:tc>
        <w:tc>
          <w:tcPr>
            <w:tcW w:w="1159" w:type="dxa"/>
            <w:tcBorders>
              <w:bottom w:val="single" w:color="000000" w:sz="10" w:space="0"/>
            </w:tcBorders>
            <w:vAlign w:val="top"/>
          </w:tcPr>
          <w:p w14:paraId="3BA13279">
            <w:pPr>
              <w:pStyle w:val="6"/>
              <w:spacing w:before="65" w:line="286" w:lineRule="auto"/>
              <w:ind w:left="137" w:right="125" w:firstLine="32"/>
              <w:rPr>
                <w:rFonts w:ascii="宋体" w:hAnsi="宋体" w:eastAsia="宋体" w:cs="宋体"/>
                <w:sz w:val="20"/>
                <w:szCs w:val="20"/>
              </w:rPr>
            </w:pPr>
            <w:r>
              <w:rPr>
                <w:rFonts w:ascii="宋体" w:hAnsi="宋体" w:eastAsia="宋体" w:cs="宋体"/>
                <w:spacing w:val="6"/>
                <w:sz w:val="20"/>
                <w:szCs w:val="20"/>
              </w:rPr>
              <w:t>兴巴高速</w:t>
            </w:r>
            <w:r>
              <w:rPr>
                <w:rFonts w:ascii="宋体" w:hAnsi="宋体" w:eastAsia="宋体" w:cs="宋体"/>
                <w:spacing w:val="4"/>
                <w:sz w:val="20"/>
                <w:szCs w:val="20"/>
              </w:rPr>
              <w:t>断面</w:t>
            </w:r>
            <w:r>
              <w:rPr>
                <w:spacing w:val="4"/>
                <w:sz w:val="20"/>
                <w:szCs w:val="20"/>
              </w:rPr>
              <w:t>(</w:t>
            </w:r>
            <w:r>
              <w:rPr>
                <w:rFonts w:ascii="宋体" w:hAnsi="宋体" w:eastAsia="宋体" w:cs="宋体"/>
                <w:spacing w:val="4"/>
                <w:sz w:val="20"/>
                <w:szCs w:val="20"/>
              </w:rPr>
              <w:t>中心</w:t>
            </w:r>
          </w:p>
          <w:p w14:paraId="12D83BCE">
            <w:pPr>
              <w:pStyle w:val="6"/>
              <w:spacing w:before="4" w:line="228" w:lineRule="auto"/>
              <w:ind w:left="141"/>
              <w:rPr>
                <w:rFonts w:ascii="宋体" w:hAnsi="宋体" w:eastAsia="宋体" w:cs="宋体"/>
                <w:sz w:val="20"/>
                <w:szCs w:val="20"/>
              </w:rPr>
            </w:pPr>
            <w:r>
              <w:rPr>
                <w:rFonts w:ascii="宋体" w:hAnsi="宋体" w:eastAsia="宋体" w:cs="宋体"/>
                <w:spacing w:val="2"/>
                <w:sz w:val="20"/>
                <w:szCs w:val="20"/>
              </w:rPr>
              <w:t>线外</w:t>
            </w:r>
            <w:r>
              <w:rPr>
                <w:rFonts w:ascii="宋体" w:hAnsi="宋体" w:eastAsia="宋体" w:cs="宋体"/>
                <w:spacing w:val="-39"/>
                <w:sz w:val="20"/>
                <w:szCs w:val="20"/>
              </w:rPr>
              <w:t xml:space="preserve"> </w:t>
            </w:r>
            <w:r>
              <w:rPr>
                <w:spacing w:val="2"/>
                <w:sz w:val="20"/>
                <w:szCs w:val="20"/>
              </w:rPr>
              <w:t>20</w:t>
            </w:r>
            <w:r>
              <w:rPr>
                <w:rFonts w:ascii="宋体" w:hAnsi="宋体" w:eastAsia="宋体" w:cs="宋体"/>
                <w:spacing w:val="2"/>
                <w:sz w:val="20"/>
                <w:szCs w:val="20"/>
              </w:rPr>
              <w:t>、</w:t>
            </w:r>
          </w:p>
          <w:p w14:paraId="6B709008">
            <w:pPr>
              <w:pStyle w:val="6"/>
              <w:spacing w:before="100" w:line="186" w:lineRule="auto"/>
              <w:ind w:left="160"/>
              <w:rPr>
                <w:rFonts w:ascii="宋体" w:hAnsi="宋体" w:eastAsia="宋体" w:cs="宋体"/>
                <w:sz w:val="20"/>
                <w:szCs w:val="20"/>
              </w:rPr>
            </w:pPr>
            <w:r>
              <w:rPr>
                <w:sz w:val="20"/>
                <w:szCs w:val="20"/>
              </w:rPr>
              <w:t>40</w:t>
            </w:r>
            <w:r>
              <w:rPr>
                <w:spacing w:val="-25"/>
                <w:sz w:val="20"/>
                <w:szCs w:val="20"/>
              </w:rPr>
              <w:t xml:space="preserve"> </w:t>
            </w:r>
            <w:r>
              <w:rPr>
                <w:rFonts w:ascii="宋体" w:hAnsi="宋体" w:eastAsia="宋体" w:cs="宋体"/>
                <w:sz w:val="20"/>
                <w:szCs w:val="20"/>
              </w:rPr>
              <w:t>、</w:t>
            </w:r>
            <w:r>
              <w:rPr>
                <w:sz w:val="20"/>
                <w:szCs w:val="20"/>
              </w:rPr>
              <w:t>60</w:t>
            </w:r>
            <w:r>
              <w:rPr>
                <w:rFonts w:ascii="宋体" w:hAnsi="宋体" w:eastAsia="宋体" w:cs="宋体"/>
                <w:sz w:val="20"/>
                <w:szCs w:val="20"/>
              </w:rPr>
              <w:t>、</w:t>
            </w:r>
          </w:p>
          <w:p w14:paraId="2709B632">
            <w:pPr>
              <w:pStyle w:val="6"/>
              <w:spacing w:before="111" w:line="244" w:lineRule="auto"/>
              <w:ind w:left="377" w:right="150" w:hanging="258"/>
              <w:rPr>
                <w:rFonts w:ascii="宋体" w:hAnsi="宋体" w:eastAsia="宋体" w:cs="宋体"/>
                <w:sz w:val="20"/>
                <w:szCs w:val="20"/>
              </w:rPr>
            </w:pPr>
            <w:r>
              <w:rPr>
                <w:sz w:val="20"/>
                <w:szCs w:val="20"/>
              </w:rPr>
              <w:t>80</w:t>
            </w:r>
            <w:r>
              <w:rPr>
                <w:spacing w:val="-23"/>
                <w:sz w:val="20"/>
                <w:szCs w:val="20"/>
              </w:rPr>
              <w:t xml:space="preserve"> </w:t>
            </w:r>
            <w:r>
              <w:rPr>
                <w:rFonts w:ascii="宋体" w:hAnsi="宋体" w:eastAsia="宋体" w:cs="宋体"/>
                <w:sz w:val="20"/>
                <w:szCs w:val="20"/>
              </w:rPr>
              <w:t>、</w:t>
            </w:r>
            <w:r>
              <w:rPr>
                <w:sz w:val="20"/>
                <w:szCs w:val="20"/>
              </w:rPr>
              <w:t>120m</w:t>
            </w:r>
            <w:r>
              <w:rPr>
                <w:rFonts w:ascii="宋体" w:hAnsi="宋体" w:eastAsia="宋体" w:cs="宋体"/>
                <w:spacing w:val="-2"/>
                <w:sz w:val="20"/>
                <w:szCs w:val="20"/>
              </w:rPr>
              <w:t>处）</w:t>
            </w:r>
          </w:p>
        </w:tc>
        <w:tc>
          <w:tcPr>
            <w:tcW w:w="1843" w:type="dxa"/>
            <w:tcBorders>
              <w:bottom w:val="single" w:color="000000" w:sz="10" w:space="0"/>
            </w:tcBorders>
            <w:vAlign w:val="top"/>
          </w:tcPr>
          <w:p w14:paraId="6A3280A5">
            <w:pPr>
              <w:spacing w:line="331" w:lineRule="auto"/>
              <w:rPr>
                <w:rFonts w:ascii="Arial"/>
                <w:sz w:val="21"/>
              </w:rPr>
            </w:pPr>
          </w:p>
          <w:p w14:paraId="3757F596">
            <w:pPr>
              <w:spacing w:line="332" w:lineRule="auto"/>
              <w:rPr>
                <w:rFonts w:ascii="Arial"/>
                <w:sz w:val="21"/>
              </w:rPr>
            </w:pPr>
          </w:p>
          <w:p w14:paraId="58DFD888">
            <w:pPr>
              <w:pStyle w:val="6"/>
              <w:spacing w:before="58" w:line="195" w:lineRule="auto"/>
              <w:ind w:left="294"/>
              <w:rPr>
                <w:sz w:val="20"/>
                <w:szCs w:val="20"/>
              </w:rPr>
            </w:pPr>
            <w:r>
              <w:rPr>
                <w:spacing w:val="1"/>
                <w:sz w:val="20"/>
                <w:szCs w:val="20"/>
              </w:rPr>
              <w:t>111.106475181</w:t>
            </w:r>
          </w:p>
          <w:p w14:paraId="7F752F5E">
            <w:pPr>
              <w:pStyle w:val="6"/>
              <w:spacing w:before="125" w:line="195" w:lineRule="auto"/>
              <w:ind w:left="318"/>
              <w:rPr>
                <w:sz w:val="20"/>
                <w:szCs w:val="20"/>
              </w:rPr>
            </w:pPr>
            <w:r>
              <w:rPr>
                <w:spacing w:val="4"/>
                <w:sz w:val="20"/>
                <w:szCs w:val="20"/>
              </w:rPr>
              <w:t>40.202407016</w:t>
            </w:r>
          </w:p>
        </w:tc>
        <w:tc>
          <w:tcPr>
            <w:tcW w:w="1293" w:type="dxa"/>
            <w:tcBorders>
              <w:bottom w:val="single" w:color="000000" w:sz="10" w:space="0"/>
              <w:right w:val="nil"/>
            </w:tcBorders>
            <w:vAlign w:val="top"/>
          </w:tcPr>
          <w:p w14:paraId="49B74615">
            <w:pPr>
              <w:spacing w:line="310" w:lineRule="auto"/>
              <w:rPr>
                <w:rFonts w:ascii="Arial"/>
                <w:sz w:val="21"/>
              </w:rPr>
            </w:pPr>
          </w:p>
          <w:p w14:paraId="571C11A5">
            <w:pPr>
              <w:spacing w:line="311" w:lineRule="auto"/>
              <w:rPr>
                <w:rFonts w:ascii="Arial"/>
                <w:sz w:val="21"/>
              </w:rPr>
            </w:pPr>
          </w:p>
          <w:p w14:paraId="1B01452B">
            <w:pPr>
              <w:spacing w:before="65" w:line="289" w:lineRule="auto"/>
              <w:ind w:left="548" w:right="122" w:hanging="409"/>
              <w:rPr>
                <w:rFonts w:ascii="宋体" w:hAnsi="宋体" w:eastAsia="宋体" w:cs="宋体"/>
                <w:sz w:val="20"/>
                <w:szCs w:val="20"/>
              </w:rPr>
            </w:pPr>
            <w:r>
              <w:rPr>
                <w:rFonts w:ascii="宋体" w:hAnsi="宋体" w:eastAsia="宋体" w:cs="宋体"/>
                <w:spacing w:val="5"/>
                <w:sz w:val="20"/>
                <w:szCs w:val="20"/>
              </w:rPr>
              <w:t>既有高速公</w:t>
            </w:r>
            <w:r>
              <w:rPr>
                <w:rFonts w:ascii="宋体" w:hAnsi="宋体" w:eastAsia="宋体" w:cs="宋体"/>
                <w:sz w:val="20"/>
                <w:szCs w:val="20"/>
              </w:rPr>
              <w:t>路</w:t>
            </w:r>
          </w:p>
        </w:tc>
      </w:tr>
    </w:tbl>
    <w:p w14:paraId="4918E728">
      <w:pPr>
        <w:spacing w:before="327" w:line="224" w:lineRule="auto"/>
        <w:ind w:left="123"/>
        <w:outlineLvl w:val="2"/>
        <w:rPr>
          <w:rFonts w:ascii="仿宋" w:hAnsi="仿宋" w:eastAsia="仿宋" w:cs="仿宋"/>
          <w:sz w:val="28"/>
          <w:szCs w:val="28"/>
        </w:rPr>
      </w:pPr>
      <w:bookmarkStart w:id="34" w:name="bookmark37"/>
      <w:bookmarkEnd w:id="34"/>
      <w:r>
        <w:rPr>
          <w:rFonts w:ascii="仿宋" w:hAnsi="仿宋" w:eastAsia="仿宋" w:cs="仿宋"/>
          <w:b/>
          <w:bCs/>
          <w:spacing w:val="-5"/>
          <w:sz w:val="28"/>
          <w:szCs w:val="28"/>
        </w:rPr>
        <w:t>3.2.2</w:t>
      </w:r>
      <w:r>
        <w:rPr>
          <w:rFonts w:ascii="仿宋" w:hAnsi="仿宋" w:eastAsia="仿宋" w:cs="仿宋"/>
          <w:spacing w:val="-43"/>
          <w:sz w:val="28"/>
          <w:szCs w:val="28"/>
        </w:rPr>
        <w:t xml:space="preserve"> </w:t>
      </w:r>
      <w:r>
        <w:rPr>
          <w:rFonts w:ascii="仿宋" w:hAnsi="仿宋" w:eastAsia="仿宋" w:cs="仿宋"/>
          <w:b/>
          <w:bCs/>
          <w:spacing w:val="-5"/>
          <w:sz w:val="28"/>
          <w:szCs w:val="28"/>
        </w:rPr>
        <w:t>监测项目及监测方法</w:t>
      </w:r>
    </w:p>
    <w:p w14:paraId="2E28CD7D">
      <w:pPr>
        <w:spacing w:before="305" w:line="212" w:lineRule="auto"/>
        <w:ind w:left="608"/>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1</w:t>
      </w:r>
      <w:r>
        <w:rPr>
          <w:rFonts w:ascii="仿宋" w:hAnsi="仿宋" w:eastAsia="仿宋" w:cs="仿宋"/>
          <w:spacing w:val="-2"/>
          <w:sz w:val="24"/>
          <w:szCs w:val="24"/>
        </w:rPr>
        <w:t>）监测项目：等效连续</w:t>
      </w:r>
      <w:r>
        <w:rPr>
          <w:rFonts w:ascii="仿宋" w:hAnsi="仿宋" w:eastAsia="仿宋" w:cs="仿宋"/>
          <w:spacing w:val="-59"/>
          <w:sz w:val="24"/>
          <w:szCs w:val="24"/>
        </w:rPr>
        <w:t xml:space="preserve"> </w:t>
      </w:r>
      <w:r>
        <w:rPr>
          <w:rFonts w:ascii="Times New Roman" w:hAnsi="Times New Roman" w:eastAsia="Times New Roman" w:cs="Times New Roman"/>
          <w:spacing w:val="-2"/>
          <w:sz w:val="24"/>
          <w:szCs w:val="24"/>
        </w:rPr>
        <w:t>A</w:t>
      </w:r>
      <w:r>
        <w:rPr>
          <w:rFonts w:ascii="Times New Roman" w:hAnsi="Times New Roman" w:eastAsia="Times New Roman" w:cs="Times New Roman"/>
          <w:spacing w:val="15"/>
          <w:sz w:val="24"/>
          <w:szCs w:val="24"/>
        </w:rPr>
        <w:t xml:space="preserve"> </w:t>
      </w:r>
      <w:r>
        <w:rPr>
          <w:rFonts w:ascii="仿宋" w:hAnsi="仿宋" w:eastAsia="仿宋" w:cs="仿宋"/>
          <w:spacing w:val="-2"/>
          <w:sz w:val="24"/>
          <w:szCs w:val="24"/>
        </w:rPr>
        <w:t>声级（</w:t>
      </w:r>
      <w:r>
        <w:rPr>
          <w:rFonts w:ascii="Times New Roman" w:hAnsi="Times New Roman" w:eastAsia="Times New Roman" w:cs="Times New Roman"/>
          <w:spacing w:val="-2"/>
          <w:sz w:val="24"/>
          <w:szCs w:val="24"/>
        </w:rPr>
        <w:t>Leq</w:t>
      </w:r>
      <w:r>
        <w:rPr>
          <w:rFonts w:ascii="仿宋" w:hAnsi="仿宋" w:eastAsia="仿宋" w:cs="仿宋"/>
          <w:spacing w:val="-2"/>
          <w:sz w:val="24"/>
          <w:szCs w:val="24"/>
        </w:rPr>
        <w:t>）</w:t>
      </w:r>
    </w:p>
    <w:p w14:paraId="3BE0D039">
      <w:pPr>
        <w:spacing w:before="190" w:line="359" w:lineRule="auto"/>
        <w:ind w:left="121" w:right="107" w:firstLine="487"/>
        <w:rPr>
          <w:rFonts w:ascii="仿宋" w:hAnsi="仿宋" w:eastAsia="仿宋" w:cs="仿宋"/>
          <w:sz w:val="24"/>
          <w:szCs w:val="24"/>
        </w:rPr>
      </w:pPr>
      <w:r>
        <w:rPr>
          <w:rFonts w:ascii="仿宋" w:hAnsi="仿宋" w:eastAsia="仿宋" w:cs="仿宋"/>
          <w:sz w:val="24"/>
          <w:szCs w:val="24"/>
        </w:rPr>
        <w:t>（</w:t>
      </w:r>
      <w:r>
        <w:rPr>
          <w:rFonts w:ascii="Times New Roman" w:hAnsi="Times New Roman" w:eastAsia="Times New Roman" w:cs="Times New Roman"/>
          <w:sz w:val="24"/>
          <w:szCs w:val="24"/>
        </w:rPr>
        <w:t>2</w:t>
      </w:r>
      <w:r>
        <w:rPr>
          <w:rFonts w:ascii="仿宋" w:hAnsi="仿宋" w:eastAsia="仿宋" w:cs="仿宋"/>
          <w:sz w:val="24"/>
          <w:szCs w:val="24"/>
        </w:rPr>
        <w:t>）监测频次及要求：各敏感点每天昼夜各一次，取代表性时段监测；现</w:t>
      </w:r>
      <w:r>
        <w:rPr>
          <w:rFonts w:ascii="仿宋" w:hAnsi="仿宋" w:eastAsia="仿宋" w:cs="仿宋"/>
          <w:spacing w:val="-3"/>
          <w:sz w:val="24"/>
          <w:szCs w:val="24"/>
        </w:rPr>
        <w:t>有道路断面监测每天昼、夜各监测</w:t>
      </w:r>
      <w:r>
        <w:rPr>
          <w:rFonts w:ascii="仿宋" w:hAnsi="仿宋" w:eastAsia="仿宋" w:cs="仿宋"/>
          <w:spacing w:val="-32"/>
          <w:sz w:val="24"/>
          <w:szCs w:val="24"/>
        </w:rPr>
        <w:t xml:space="preserve"> </w:t>
      </w:r>
      <w:r>
        <w:rPr>
          <w:rFonts w:ascii="Times New Roman" w:hAnsi="Times New Roman" w:eastAsia="Times New Roman" w:cs="Times New Roman"/>
          <w:spacing w:val="-3"/>
          <w:sz w:val="24"/>
          <w:szCs w:val="24"/>
        </w:rPr>
        <w:t>1</w:t>
      </w:r>
      <w:r>
        <w:rPr>
          <w:rFonts w:ascii="Times New Roman" w:hAnsi="Times New Roman" w:eastAsia="Times New Roman" w:cs="Times New Roman"/>
          <w:spacing w:val="15"/>
          <w:w w:val="101"/>
          <w:sz w:val="24"/>
          <w:szCs w:val="24"/>
        </w:rPr>
        <w:t xml:space="preserve"> </w:t>
      </w:r>
      <w:r>
        <w:rPr>
          <w:rFonts w:ascii="仿宋" w:hAnsi="仿宋" w:eastAsia="仿宋" w:cs="仿宋"/>
          <w:spacing w:val="-3"/>
          <w:sz w:val="24"/>
          <w:szCs w:val="24"/>
        </w:rPr>
        <w:t>次，每次监测</w:t>
      </w:r>
      <w:r>
        <w:rPr>
          <w:rFonts w:ascii="仿宋" w:hAnsi="仿宋" w:eastAsia="仿宋" w:cs="仿宋"/>
          <w:spacing w:val="-55"/>
          <w:sz w:val="24"/>
          <w:szCs w:val="24"/>
        </w:rPr>
        <w:t xml:space="preserve"> </w:t>
      </w:r>
      <w:r>
        <w:rPr>
          <w:rFonts w:ascii="Times New Roman" w:hAnsi="Times New Roman" w:eastAsia="Times New Roman" w:cs="Times New Roman"/>
          <w:spacing w:val="-3"/>
          <w:sz w:val="24"/>
          <w:szCs w:val="24"/>
        </w:rPr>
        <w:t>20</w:t>
      </w:r>
      <w:r>
        <w:rPr>
          <w:rFonts w:ascii="Times New Roman" w:hAnsi="Times New Roman" w:eastAsia="Times New Roman" w:cs="Times New Roman"/>
          <w:spacing w:val="18"/>
          <w:w w:val="101"/>
          <w:sz w:val="24"/>
          <w:szCs w:val="24"/>
        </w:rPr>
        <w:t xml:space="preserve"> </w:t>
      </w:r>
      <w:r>
        <w:rPr>
          <w:rFonts w:ascii="仿宋" w:hAnsi="仿宋" w:eastAsia="仿宋" w:cs="仿宋"/>
          <w:spacing w:val="-3"/>
          <w:sz w:val="24"/>
          <w:szCs w:val="24"/>
        </w:rPr>
        <w:t>分钟。</w:t>
      </w:r>
    </w:p>
    <w:p w14:paraId="355B43EB">
      <w:pPr>
        <w:spacing w:before="2" w:line="359" w:lineRule="auto"/>
        <w:ind w:left="123" w:right="104" w:firstLine="481"/>
        <w:rPr>
          <w:rFonts w:ascii="仿宋" w:hAnsi="仿宋" w:eastAsia="仿宋" w:cs="仿宋"/>
          <w:sz w:val="24"/>
          <w:szCs w:val="24"/>
        </w:rPr>
      </w:pPr>
      <w:r>
        <w:rPr>
          <w:rFonts w:ascii="仿宋" w:hAnsi="仿宋" w:eastAsia="仿宋" w:cs="仿宋"/>
          <w:spacing w:val="-3"/>
          <w:sz w:val="24"/>
          <w:szCs w:val="24"/>
        </w:rPr>
        <w:t>采样同步进行风向、风速、气温、气压等气</w:t>
      </w:r>
      <w:r>
        <w:rPr>
          <w:rFonts w:ascii="仿宋" w:hAnsi="仿宋" w:eastAsia="仿宋" w:cs="仿宋"/>
          <w:spacing w:val="-4"/>
          <w:sz w:val="24"/>
          <w:szCs w:val="24"/>
        </w:rPr>
        <w:t>象要素的观测与记录，并记录车</w:t>
      </w:r>
      <w:r>
        <w:rPr>
          <w:rFonts w:ascii="仿宋" w:hAnsi="仿宋" w:eastAsia="仿宋" w:cs="仿宋"/>
          <w:spacing w:val="-6"/>
          <w:sz w:val="24"/>
          <w:szCs w:val="24"/>
        </w:rPr>
        <w:t>流量。</w:t>
      </w:r>
    </w:p>
    <w:p w14:paraId="0C816C5C">
      <w:pPr>
        <w:spacing w:before="1" w:line="358" w:lineRule="auto"/>
        <w:ind w:left="125" w:right="104" w:firstLine="483"/>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3</w:t>
      </w:r>
      <w:r>
        <w:rPr>
          <w:rFonts w:ascii="仿宋" w:hAnsi="仿宋" w:eastAsia="仿宋" w:cs="仿宋"/>
          <w:spacing w:val="2"/>
          <w:sz w:val="24"/>
          <w:szCs w:val="24"/>
        </w:rPr>
        <w:t>）监测方法：按《声环境质量标准》（</w:t>
      </w:r>
      <w:r>
        <w:rPr>
          <w:rFonts w:ascii="Times New Roman" w:hAnsi="Times New Roman" w:eastAsia="Times New Roman" w:cs="Times New Roman"/>
          <w:sz w:val="24"/>
          <w:szCs w:val="24"/>
        </w:rPr>
        <w:t>GB</w:t>
      </w:r>
      <w:r>
        <w:rPr>
          <w:rFonts w:ascii="Times New Roman" w:hAnsi="Times New Roman" w:eastAsia="Times New Roman" w:cs="Times New Roman"/>
          <w:spacing w:val="2"/>
          <w:sz w:val="24"/>
          <w:szCs w:val="24"/>
        </w:rPr>
        <w:t>3096-2008</w:t>
      </w:r>
      <w:r>
        <w:rPr>
          <w:rFonts w:ascii="仿宋" w:hAnsi="仿宋" w:eastAsia="仿宋" w:cs="仿宋"/>
          <w:spacing w:val="2"/>
          <w:sz w:val="24"/>
          <w:szCs w:val="24"/>
        </w:rPr>
        <w:t>）规定的测量方法</w:t>
      </w:r>
      <w:r>
        <w:rPr>
          <w:rFonts w:ascii="仿宋" w:hAnsi="仿宋" w:eastAsia="仿宋" w:cs="仿宋"/>
          <w:spacing w:val="-4"/>
          <w:sz w:val="24"/>
          <w:szCs w:val="24"/>
        </w:rPr>
        <w:t>进行测量。</w:t>
      </w:r>
    </w:p>
    <w:p w14:paraId="2B012042">
      <w:pPr>
        <w:spacing w:before="2" w:line="222" w:lineRule="auto"/>
        <w:ind w:left="608"/>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4</w:t>
      </w:r>
      <w:r>
        <w:rPr>
          <w:rFonts w:ascii="仿宋" w:hAnsi="仿宋" w:eastAsia="仿宋" w:cs="仿宋"/>
          <w:spacing w:val="-2"/>
          <w:sz w:val="24"/>
          <w:szCs w:val="24"/>
        </w:rPr>
        <w:t>）监测仪器：监测仪器见表</w:t>
      </w:r>
      <w:r>
        <w:rPr>
          <w:rFonts w:ascii="仿宋" w:hAnsi="仿宋" w:eastAsia="仿宋" w:cs="仿宋"/>
          <w:spacing w:val="-43"/>
          <w:sz w:val="24"/>
          <w:szCs w:val="24"/>
        </w:rPr>
        <w:t xml:space="preserve"> </w:t>
      </w:r>
      <w:r>
        <w:rPr>
          <w:rFonts w:ascii="Times New Roman" w:hAnsi="Times New Roman" w:eastAsia="Times New Roman" w:cs="Times New Roman"/>
          <w:spacing w:val="-2"/>
          <w:sz w:val="24"/>
          <w:szCs w:val="24"/>
        </w:rPr>
        <w:t>3.2-2</w:t>
      </w:r>
      <w:r>
        <w:rPr>
          <w:rFonts w:ascii="仿宋" w:hAnsi="仿宋" w:eastAsia="仿宋" w:cs="仿宋"/>
          <w:spacing w:val="-2"/>
          <w:sz w:val="24"/>
          <w:szCs w:val="24"/>
        </w:rPr>
        <w:t>。</w:t>
      </w:r>
    </w:p>
    <w:p w14:paraId="33DDBD8D">
      <w:pPr>
        <w:spacing w:line="222" w:lineRule="auto"/>
        <w:rPr>
          <w:rFonts w:ascii="仿宋" w:hAnsi="仿宋" w:eastAsia="仿宋" w:cs="仿宋"/>
          <w:sz w:val="24"/>
          <w:szCs w:val="24"/>
        </w:rPr>
        <w:sectPr>
          <w:footerReference r:id="rId161" w:type="default"/>
          <w:pgSz w:w="11906" w:h="16839"/>
          <w:pgMar w:top="400" w:right="1695" w:bottom="1370" w:left="1691" w:header="0" w:footer="1207" w:gutter="0"/>
          <w:cols w:space="720" w:num="1"/>
        </w:sectPr>
      </w:pPr>
    </w:p>
    <w:p w14:paraId="1729DE14">
      <w:pPr>
        <w:spacing w:before="19"/>
      </w:pPr>
    </w:p>
    <w:p w14:paraId="1ECF8569">
      <w:pPr>
        <w:spacing w:before="19"/>
      </w:pPr>
    </w:p>
    <w:p w14:paraId="3F22F795">
      <w:pPr>
        <w:spacing w:before="18"/>
      </w:pPr>
    </w:p>
    <w:p w14:paraId="6CBC2175">
      <w:pPr>
        <w:spacing w:before="18"/>
      </w:pPr>
    </w:p>
    <w:tbl>
      <w:tblPr>
        <w:tblStyle w:val="5"/>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147"/>
        <w:gridCol w:w="4379"/>
      </w:tblGrid>
      <w:tr w14:paraId="351F53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9" w:hRule="atLeast"/>
        </w:trPr>
        <w:tc>
          <w:tcPr>
            <w:tcW w:w="4147" w:type="dxa"/>
            <w:vAlign w:val="top"/>
          </w:tcPr>
          <w:p w14:paraId="719505EF">
            <w:pPr>
              <w:spacing w:before="100" w:line="6355" w:lineRule="exact"/>
              <w:ind w:firstLine="107"/>
            </w:pPr>
            <w:r>
              <w:rPr>
                <w:position w:val="-127"/>
              </w:rPr>
              <w:drawing>
                <wp:inline distT="0" distB="0" distL="0" distR="0">
                  <wp:extent cx="2561590" cy="4035425"/>
                  <wp:effectExtent l="0" t="0" r="0" b="0"/>
                  <wp:docPr id="206" name="IM 206"/>
                  <wp:cNvGraphicFramePr/>
                  <a:graphic xmlns:a="http://schemas.openxmlformats.org/drawingml/2006/main">
                    <a:graphicData uri="http://schemas.openxmlformats.org/drawingml/2006/picture">
                      <pic:pic xmlns:pic="http://schemas.openxmlformats.org/drawingml/2006/picture">
                        <pic:nvPicPr>
                          <pic:cNvPr id="206" name="IM 206"/>
                          <pic:cNvPicPr/>
                        </pic:nvPicPr>
                        <pic:blipFill>
                          <a:blip r:embed="rId369"/>
                          <a:stretch>
                            <a:fillRect/>
                          </a:stretch>
                        </pic:blipFill>
                        <pic:spPr>
                          <a:xfrm>
                            <a:off x="0" y="0"/>
                            <a:ext cx="2561717" cy="4035552"/>
                          </a:xfrm>
                          <a:prstGeom prst="rect">
                            <a:avLst/>
                          </a:prstGeom>
                        </pic:spPr>
                      </pic:pic>
                    </a:graphicData>
                  </a:graphic>
                </wp:inline>
              </w:drawing>
            </w:r>
          </w:p>
        </w:tc>
        <w:tc>
          <w:tcPr>
            <w:tcW w:w="4379" w:type="dxa"/>
            <w:vAlign w:val="top"/>
          </w:tcPr>
          <w:p w14:paraId="57281DBF">
            <w:pPr>
              <w:spacing w:line="245" w:lineRule="auto"/>
              <w:rPr>
                <w:rFonts w:ascii="Arial"/>
                <w:sz w:val="21"/>
              </w:rPr>
            </w:pPr>
          </w:p>
          <w:p w14:paraId="1D151079">
            <w:pPr>
              <w:spacing w:line="245" w:lineRule="auto"/>
              <w:rPr>
                <w:rFonts w:ascii="Arial"/>
                <w:sz w:val="21"/>
              </w:rPr>
            </w:pPr>
          </w:p>
          <w:p w14:paraId="7217F910">
            <w:pPr>
              <w:spacing w:line="245" w:lineRule="auto"/>
              <w:rPr>
                <w:rFonts w:ascii="Arial"/>
                <w:sz w:val="21"/>
              </w:rPr>
            </w:pPr>
          </w:p>
          <w:p w14:paraId="4596EBBF">
            <w:pPr>
              <w:spacing w:line="245" w:lineRule="auto"/>
              <w:rPr>
                <w:rFonts w:ascii="Arial"/>
                <w:sz w:val="21"/>
              </w:rPr>
            </w:pPr>
          </w:p>
          <w:p w14:paraId="3E1DE754">
            <w:pPr>
              <w:spacing w:line="4572" w:lineRule="exact"/>
            </w:pPr>
            <w:r>
              <w:rPr>
                <w:position w:val="-91"/>
              </w:rPr>
              <w:drawing>
                <wp:inline distT="0" distB="0" distL="0" distR="0">
                  <wp:extent cx="2713990" cy="2903220"/>
                  <wp:effectExtent l="0" t="0" r="0" b="0"/>
                  <wp:docPr id="208" name="IM 208"/>
                  <wp:cNvGraphicFramePr/>
                  <a:graphic xmlns:a="http://schemas.openxmlformats.org/drawingml/2006/main">
                    <a:graphicData uri="http://schemas.openxmlformats.org/drawingml/2006/picture">
                      <pic:pic xmlns:pic="http://schemas.openxmlformats.org/drawingml/2006/picture">
                        <pic:nvPicPr>
                          <pic:cNvPr id="208" name="IM 208"/>
                          <pic:cNvPicPr/>
                        </pic:nvPicPr>
                        <pic:blipFill>
                          <a:blip r:embed="rId370"/>
                          <a:stretch>
                            <a:fillRect/>
                          </a:stretch>
                        </pic:blipFill>
                        <pic:spPr>
                          <a:xfrm>
                            <a:off x="0" y="0"/>
                            <a:ext cx="2714243" cy="2903220"/>
                          </a:xfrm>
                          <a:prstGeom prst="rect">
                            <a:avLst/>
                          </a:prstGeom>
                        </pic:spPr>
                      </pic:pic>
                    </a:graphicData>
                  </a:graphic>
                </wp:inline>
              </w:drawing>
            </w:r>
          </w:p>
        </w:tc>
      </w:tr>
      <w:tr w14:paraId="48CE43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147" w:type="dxa"/>
            <w:vAlign w:val="top"/>
          </w:tcPr>
          <w:p w14:paraId="7DF8923E">
            <w:pPr>
              <w:spacing w:before="69" w:line="219" w:lineRule="auto"/>
              <w:ind w:left="910"/>
              <w:rPr>
                <w:rFonts w:ascii="宋体" w:hAnsi="宋体" w:eastAsia="宋体" w:cs="宋体"/>
                <w:sz w:val="18"/>
                <w:szCs w:val="18"/>
              </w:rPr>
            </w:pPr>
            <w:r>
              <w:rPr>
                <w:rFonts w:ascii="宋体" w:hAnsi="宋体" w:eastAsia="宋体" w:cs="宋体"/>
                <w:spacing w:val="-1"/>
                <w:sz w:val="18"/>
                <w:szCs w:val="18"/>
              </w:rPr>
              <w:t>李家圪堵至土敖包（路段三）</w:t>
            </w:r>
          </w:p>
        </w:tc>
        <w:tc>
          <w:tcPr>
            <w:tcW w:w="4379" w:type="dxa"/>
            <w:vAlign w:val="top"/>
          </w:tcPr>
          <w:p w14:paraId="59A8CB72">
            <w:pPr>
              <w:spacing w:before="69" w:line="219" w:lineRule="auto"/>
              <w:ind w:left="1023"/>
              <w:rPr>
                <w:rFonts w:ascii="宋体" w:hAnsi="宋体" w:eastAsia="宋体" w:cs="宋体"/>
                <w:sz w:val="18"/>
                <w:szCs w:val="18"/>
              </w:rPr>
            </w:pPr>
            <w:r>
              <w:rPr>
                <w:rFonts w:ascii="宋体" w:hAnsi="宋体" w:eastAsia="宋体" w:cs="宋体"/>
                <w:spacing w:val="-1"/>
                <w:sz w:val="18"/>
                <w:szCs w:val="18"/>
              </w:rPr>
              <w:t>李家圪堵至土敖包（路段六）</w:t>
            </w:r>
          </w:p>
        </w:tc>
      </w:tr>
      <w:tr w14:paraId="274D3E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4" w:hRule="atLeast"/>
        </w:trPr>
        <w:tc>
          <w:tcPr>
            <w:tcW w:w="4147" w:type="dxa"/>
            <w:vAlign w:val="top"/>
          </w:tcPr>
          <w:p w14:paraId="436FD28C">
            <w:pPr>
              <w:spacing w:before="124" w:line="5980" w:lineRule="exact"/>
              <w:ind w:firstLine="107"/>
            </w:pPr>
            <w:r>
              <w:rPr>
                <w:position w:val="-119"/>
              </w:rPr>
              <w:drawing>
                <wp:inline distT="0" distB="0" distL="0" distR="0">
                  <wp:extent cx="2561590" cy="3797300"/>
                  <wp:effectExtent l="0" t="0" r="0" b="0"/>
                  <wp:docPr id="210" name="IM 210"/>
                  <wp:cNvGraphicFramePr/>
                  <a:graphic xmlns:a="http://schemas.openxmlformats.org/drawingml/2006/main">
                    <a:graphicData uri="http://schemas.openxmlformats.org/drawingml/2006/picture">
                      <pic:pic xmlns:pic="http://schemas.openxmlformats.org/drawingml/2006/picture">
                        <pic:nvPicPr>
                          <pic:cNvPr id="210" name="IM 210"/>
                          <pic:cNvPicPr/>
                        </pic:nvPicPr>
                        <pic:blipFill>
                          <a:blip r:embed="rId371"/>
                          <a:stretch>
                            <a:fillRect/>
                          </a:stretch>
                        </pic:blipFill>
                        <pic:spPr>
                          <a:xfrm>
                            <a:off x="0" y="0"/>
                            <a:ext cx="2561717" cy="3797808"/>
                          </a:xfrm>
                          <a:prstGeom prst="rect">
                            <a:avLst/>
                          </a:prstGeom>
                        </pic:spPr>
                      </pic:pic>
                    </a:graphicData>
                  </a:graphic>
                </wp:inline>
              </w:drawing>
            </w:r>
          </w:p>
        </w:tc>
        <w:tc>
          <w:tcPr>
            <w:tcW w:w="4379" w:type="dxa"/>
            <w:vAlign w:val="top"/>
          </w:tcPr>
          <w:p w14:paraId="566D9FEA">
            <w:pPr>
              <w:spacing w:before="54" w:line="6447" w:lineRule="exact"/>
              <w:ind w:firstLine="131"/>
            </w:pPr>
            <w:r>
              <w:rPr>
                <w:position w:val="-128"/>
              </w:rPr>
              <w:drawing>
                <wp:inline distT="0" distB="0" distL="0" distR="0">
                  <wp:extent cx="2593340" cy="4093210"/>
                  <wp:effectExtent l="0" t="0" r="0" b="0"/>
                  <wp:docPr id="212" name="IM 212"/>
                  <wp:cNvGraphicFramePr/>
                  <a:graphic xmlns:a="http://schemas.openxmlformats.org/drawingml/2006/main">
                    <a:graphicData uri="http://schemas.openxmlformats.org/drawingml/2006/picture">
                      <pic:pic xmlns:pic="http://schemas.openxmlformats.org/drawingml/2006/picture">
                        <pic:nvPicPr>
                          <pic:cNvPr id="212" name="IM 212"/>
                          <pic:cNvPicPr/>
                        </pic:nvPicPr>
                        <pic:blipFill>
                          <a:blip r:embed="rId372"/>
                          <a:stretch>
                            <a:fillRect/>
                          </a:stretch>
                        </pic:blipFill>
                        <pic:spPr>
                          <a:xfrm>
                            <a:off x="0" y="0"/>
                            <a:ext cx="2593847" cy="4093464"/>
                          </a:xfrm>
                          <a:prstGeom prst="rect">
                            <a:avLst/>
                          </a:prstGeom>
                        </pic:spPr>
                      </pic:pic>
                    </a:graphicData>
                  </a:graphic>
                </wp:inline>
              </w:drawing>
            </w:r>
          </w:p>
        </w:tc>
      </w:tr>
      <w:tr w14:paraId="2EF63B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4147" w:type="dxa"/>
            <w:vAlign w:val="top"/>
          </w:tcPr>
          <w:p w14:paraId="67C79B74">
            <w:pPr>
              <w:spacing w:before="71" w:line="219" w:lineRule="auto"/>
              <w:ind w:left="1537"/>
              <w:rPr>
                <w:rFonts w:ascii="宋体" w:hAnsi="宋体" w:eastAsia="宋体" w:cs="宋体"/>
                <w:sz w:val="18"/>
                <w:szCs w:val="18"/>
              </w:rPr>
            </w:pPr>
            <w:r>
              <w:rPr>
                <w:rFonts w:ascii="宋体" w:hAnsi="宋体" w:eastAsia="宋体" w:cs="宋体"/>
                <w:spacing w:val="-2"/>
                <w:sz w:val="18"/>
                <w:szCs w:val="18"/>
              </w:rPr>
              <w:t>双山梁村路段</w:t>
            </w:r>
          </w:p>
        </w:tc>
        <w:tc>
          <w:tcPr>
            <w:tcW w:w="4379" w:type="dxa"/>
            <w:vAlign w:val="top"/>
          </w:tcPr>
          <w:p w14:paraId="0026973D">
            <w:pPr>
              <w:spacing w:before="71" w:line="219" w:lineRule="auto"/>
              <w:ind w:left="1219"/>
              <w:rPr>
                <w:rFonts w:ascii="宋体" w:hAnsi="宋体" w:eastAsia="宋体" w:cs="宋体"/>
                <w:sz w:val="18"/>
                <w:szCs w:val="18"/>
              </w:rPr>
            </w:pPr>
            <w:r>
              <w:rPr>
                <w:rFonts w:ascii="宋体" w:hAnsi="宋体" w:eastAsia="宋体" w:cs="宋体"/>
                <w:spacing w:val="-3"/>
                <w:sz w:val="18"/>
                <w:szCs w:val="18"/>
              </w:rPr>
              <w:t>四道包至淡家梁至刘家塔</w:t>
            </w:r>
          </w:p>
        </w:tc>
      </w:tr>
    </w:tbl>
    <w:p w14:paraId="08EA76F2">
      <w:pPr>
        <w:pStyle w:val="2"/>
        <w:rPr>
          <w:sz w:val="21"/>
        </w:rPr>
      </w:pPr>
    </w:p>
    <w:p w14:paraId="003DAAE6">
      <w:pPr>
        <w:rPr>
          <w:sz w:val="21"/>
          <w:szCs w:val="21"/>
        </w:rPr>
        <w:sectPr>
          <w:footerReference r:id="rId162" w:type="default"/>
          <w:pgSz w:w="11906" w:h="16839"/>
          <w:pgMar w:top="400" w:right="1687" w:bottom="1370" w:left="1687" w:header="0" w:footer="1207" w:gutter="0"/>
          <w:cols w:space="720" w:num="1"/>
        </w:sectPr>
      </w:pPr>
    </w:p>
    <w:p w14:paraId="090DD3AC">
      <w:pPr>
        <w:spacing w:before="19"/>
      </w:pPr>
    </w:p>
    <w:p w14:paraId="74D9652C">
      <w:pPr>
        <w:spacing w:before="19"/>
      </w:pPr>
    </w:p>
    <w:p w14:paraId="51A7F719">
      <w:pPr>
        <w:spacing w:before="18"/>
      </w:pPr>
    </w:p>
    <w:p w14:paraId="1CB44AD5">
      <w:pPr>
        <w:spacing w:before="18"/>
      </w:pPr>
    </w:p>
    <w:tbl>
      <w:tblPr>
        <w:tblStyle w:val="5"/>
        <w:tblW w:w="8526" w:type="dxa"/>
        <w:tblInd w:w="2" w:type="dxa"/>
        <w:tblBorders>
          <w:top w:val="none" w:color="auto" w:sz="0"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526"/>
      </w:tblGrid>
      <w:tr w14:paraId="675526C0">
        <w:tblPrEx>
          <w:tblBorders>
            <w:top w:val="none" w:color="auto" w:sz="0"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9402" w:hRule="atLeast"/>
        </w:trPr>
        <w:tc>
          <w:tcPr>
            <w:tcW w:w="8526" w:type="dxa"/>
            <w:vAlign w:val="top"/>
          </w:tcPr>
          <w:p w14:paraId="5DE4A0C7">
            <w:pPr>
              <w:spacing w:line="4699" w:lineRule="exact"/>
            </w:pPr>
            <w:r>
              <w:rPr>
                <w:position w:val="-93"/>
              </w:rPr>
              <w:drawing>
                <wp:inline distT="0" distB="0" distL="0" distR="0">
                  <wp:extent cx="5410200" cy="2983865"/>
                  <wp:effectExtent l="0" t="0" r="0" b="0"/>
                  <wp:docPr id="214" name="IM 214"/>
                  <wp:cNvGraphicFramePr/>
                  <a:graphic xmlns:a="http://schemas.openxmlformats.org/drawingml/2006/main">
                    <a:graphicData uri="http://schemas.openxmlformats.org/drawingml/2006/picture">
                      <pic:pic xmlns:pic="http://schemas.openxmlformats.org/drawingml/2006/picture">
                        <pic:nvPicPr>
                          <pic:cNvPr id="214" name="IM 214"/>
                          <pic:cNvPicPr/>
                        </pic:nvPicPr>
                        <pic:blipFill>
                          <a:blip r:embed="rId373"/>
                          <a:stretch>
                            <a:fillRect/>
                          </a:stretch>
                        </pic:blipFill>
                        <pic:spPr>
                          <a:xfrm>
                            <a:off x="0" y="0"/>
                            <a:ext cx="5410834" cy="2984245"/>
                          </a:xfrm>
                          <a:prstGeom prst="rect">
                            <a:avLst/>
                          </a:prstGeom>
                        </pic:spPr>
                      </pic:pic>
                    </a:graphicData>
                  </a:graphic>
                </wp:inline>
              </w:drawing>
            </w:r>
          </w:p>
          <w:p w14:paraId="200CE124">
            <w:pPr>
              <w:spacing w:before="66" w:line="219" w:lineRule="auto"/>
              <w:ind w:left="2919"/>
              <w:rPr>
                <w:rFonts w:ascii="宋体" w:hAnsi="宋体" w:eastAsia="宋体" w:cs="宋体"/>
                <w:sz w:val="18"/>
                <w:szCs w:val="18"/>
              </w:rPr>
            </w:pPr>
            <w:r>
              <w:rPr>
                <w:rFonts w:ascii="宋体" w:hAnsi="宋体" w:eastAsia="宋体" w:cs="宋体"/>
                <w:spacing w:val="-1"/>
                <w:sz w:val="18"/>
                <w:szCs w:val="18"/>
              </w:rPr>
              <w:t>乌拉素村二道壕大坝东至秦家塔社</w:t>
            </w:r>
          </w:p>
          <w:p w14:paraId="1DF652B1">
            <w:pPr>
              <w:spacing w:before="32" w:line="4076" w:lineRule="exact"/>
            </w:pPr>
            <w:r>
              <w:rPr>
                <w:position w:val="-81"/>
              </w:rPr>
              <w:drawing>
                <wp:inline distT="0" distB="0" distL="0" distR="0">
                  <wp:extent cx="5410200" cy="2587625"/>
                  <wp:effectExtent l="0" t="0" r="0" b="0"/>
                  <wp:docPr id="216" name="IM 216"/>
                  <wp:cNvGraphicFramePr/>
                  <a:graphic xmlns:a="http://schemas.openxmlformats.org/drawingml/2006/main">
                    <a:graphicData uri="http://schemas.openxmlformats.org/drawingml/2006/picture">
                      <pic:pic xmlns:pic="http://schemas.openxmlformats.org/drawingml/2006/picture">
                        <pic:nvPicPr>
                          <pic:cNvPr id="216" name="IM 216"/>
                          <pic:cNvPicPr/>
                        </pic:nvPicPr>
                        <pic:blipFill>
                          <a:blip r:embed="rId374"/>
                          <a:stretch>
                            <a:fillRect/>
                          </a:stretch>
                        </pic:blipFill>
                        <pic:spPr>
                          <a:xfrm>
                            <a:off x="0" y="0"/>
                            <a:ext cx="5410834" cy="2588005"/>
                          </a:xfrm>
                          <a:prstGeom prst="rect">
                            <a:avLst/>
                          </a:prstGeom>
                        </pic:spPr>
                      </pic:pic>
                    </a:graphicData>
                  </a:graphic>
                </wp:inline>
              </w:drawing>
            </w:r>
          </w:p>
          <w:p w14:paraId="2546E05D">
            <w:pPr>
              <w:spacing w:before="65" w:line="219" w:lineRule="auto"/>
              <w:ind w:left="3097"/>
              <w:rPr>
                <w:rFonts w:ascii="宋体" w:hAnsi="宋体" w:eastAsia="宋体" w:cs="宋体"/>
                <w:sz w:val="18"/>
                <w:szCs w:val="18"/>
              </w:rPr>
            </w:pPr>
            <w:r>
              <w:rPr>
                <w:rFonts w:ascii="宋体" w:hAnsi="宋体" w:eastAsia="宋体" w:cs="宋体"/>
                <w:spacing w:val="-1"/>
                <w:sz w:val="18"/>
                <w:szCs w:val="18"/>
              </w:rPr>
              <w:t>份子地社新村至二道拐村委会</w:t>
            </w:r>
          </w:p>
        </w:tc>
      </w:tr>
    </w:tbl>
    <w:p w14:paraId="189FFFE1">
      <w:pPr>
        <w:pStyle w:val="2"/>
        <w:rPr>
          <w:sz w:val="21"/>
        </w:rPr>
      </w:pPr>
    </w:p>
    <w:p w14:paraId="7B422B26">
      <w:pPr>
        <w:rPr>
          <w:sz w:val="21"/>
          <w:szCs w:val="21"/>
        </w:rPr>
        <w:sectPr>
          <w:footerReference r:id="rId163" w:type="default"/>
          <w:pgSz w:w="11906" w:h="16839"/>
          <w:pgMar w:top="400" w:right="1687" w:bottom="1370" w:left="1687" w:header="0" w:footer="1207" w:gutter="0"/>
          <w:cols w:space="720" w:num="1"/>
        </w:sectPr>
      </w:pPr>
    </w:p>
    <w:p w14:paraId="08898829">
      <w:pPr>
        <w:pStyle w:val="2"/>
        <w:spacing w:line="258" w:lineRule="auto"/>
        <w:rPr>
          <w:sz w:val="21"/>
        </w:rPr>
      </w:pPr>
    </w:p>
    <w:p w14:paraId="03F55B1A">
      <w:pPr>
        <w:pStyle w:val="2"/>
        <w:spacing w:line="258" w:lineRule="auto"/>
        <w:rPr>
          <w:sz w:val="21"/>
        </w:rPr>
      </w:pPr>
    </w:p>
    <w:p w14:paraId="7EC25F05">
      <w:pPr>
        <w:pStyle w:val="2"/>
        <w:spacing w:line="258" w:lineRule="auto"/>
        <w:rPr>
          <w:sz w:val="21"/>
        </w:rPr>
      </w:pPr>
    </w:p>
    <w:p w14:paraId="1282C335">
      <w:pPr>
        <w:pStyle w:val="2"/>
        <w:spacing w:line="259" w:lineRule="auto"/>
        <w:rPr>
          <w:sz w:val="21"/>
        </w:rPr>
      </w:pPr>
    </w:p>
    <w:p w14:paraId="22CDBDEF">
      <w:pPr>
        <w:pStyle w:val="2"/>
        <w:spacing w:line="13486" w:lineRule="exact"/>
      </w:pPr>
      <w:r>
        <w:rPr>
          <w:position w:val="-269"/>
        </w:rPr>
        <w:pict>
          <v:group id="_x0000_s1109" o:spid="_x0000_s1109" o:spt="203" style="height:674.3pt;width:426.6pt;" coordsize="8532,13485">
            <o:lock v:ext="edit"/>
            <v:shape id="_x0000_s1110" o:spid="_x0000_s1110" o:spt="75" type="#_x0000_t75" style="position:absolute;left:0;top:0;height:13485;width:8532;" filled="f" stroked="f" coordsize="21600,21600">
              <v:path/>
              <v:fill on="f" focussize="0,0"/>
              <v:stroke on="f"/>
              <v:imagedata r:id="rId375" o:title=""/>
              <o:lock v:ext="edit" aspectratio="t"/>
            </v:shape>
            <v:shape id="_x0000_s1111" o:spid="_x0000_s1111" o:spt="202" type="#_x0000_t202" style="position:absolute;left:3082;top:9445;height:3986;width:2356;" filled="f" stroked="f" coordsize="21600,21600">
              <v:path/>
              <v:fill on="f" focussize="0,0"/>
              <v:stroke on="f"/>
              <v:imagedata o:title=""/>
              <o:lock v:ext="edit" aspectratio="f"/>
              <v:textbox inset="0mm,0mm,0mm,0mm">
                <w:txbxContent>
                  <w:p w14:paraId="63F9C92D">
                    <w:pPr>
                      <w:spacing w:before="19" w:line="219" w:lineRule="auto"/>
                      <w:ind w:left="830"/>
                      <w:rPr>
                        <w:rFonts w:ascii="宋体" w:hAnsi="宋体" w:eastAsia="宋体" w:cs="宋体"/>
                        <w:sz w:val="18"/>
                        <w:szCs w:val="18"/>
                      </w:rPr>
                    </w:pPr>
                    <w:r>
                      <w:rPr>
                        <w:rFonts w:ascii="宋体" w:hAnsi="宋体" w:eastAsia="宋体" w:cs="宋体"/>
                        <w:spacing w:val="-3"/>
                        <w:sz w:val="18"/>
                        <w:szCs w:val="18"/>
                      </w:rPr>
                      <w:t>杨子华村</w:t>
                    </w:r>
                  </w:p>
                  <w:p w14:paraId="772DC2BB">
                    <w:pPr>
                      <w:spacing w:line="248" w:lineRule="auto"/>
                      <w:rPr>
                        <w:rFonts w:ascii="Arial"/>
                        <w:sz w:val="21"/>
                      </w:rPr>
                    </w:pPr>
                  </w:p>
                  <w:p w14:paraId="5F651DB8">
                    <w:pPr>
                      <w:spacing w:line="248" w:lineRule="auto"/>
                      <w:rPr>
                        <w:rFonts w:ascii="Arial"/>
                        <w:sz w:val="21"/>
                      </w:rPr>
                    </w:pPr>
                  </w:p>
                  <w:p w14:paraId="0A375730">
                    <w:pPr>
                      <w:spacing w:line="248" w:lineRule="auto"/>
                      <w:rPr>
                        <w:rFonts w:ascii="Arial"/>
                        <w:sz w:val="21"/>
                      </w:rPr>
                    </w:pPr>
                  </w:p>
                  <w:p w14:paraId="07A1F7AD">
                    <w:pPr>
                      <w:spacing w:line="248" w:lineRule="auto"/>
                      <w:rPr>
                        <w:rFonts w:ascii="Arial"/>
                        <w:sz w:val="21"/>
                      </w:rPr>
                    </w:pPr>
                  </w:p>
                  <w:p w14:paraId="0DC188EC">
                    <w:pPr>
                      <w:spacing w:line="248" w:lineRule="auto"/>
                      <w:rPr>
                        <w:rFonts w:ascii="Arial"/>
                        <w:sz w:val="21"/>
                      </w:rPr>
                    </w:pPr>
                  </w:p>
                  <w:p w14:paraId="367ED5A7">
                    <w:pPr>
                      <w:spacing w:line="248" w:lineRule="auto"/>
                      <w:rPr>
                        <w:rFonts w:ascii="Arial"/>
                        <w:sz w:val="21"/>
                      </w:rPr>
                    </w:pPr>
                  </w:p>
                  <w:p w14:paraId="4611717A">
                    <w:pPr>
                      <w:spacing w:line="248" w:lineRule="auto"/>
                      <w:rPr>
                        <w:rFonts w:ascii="Arial"/>
                        <w:sz w:val="21"/>
                      </w:rPr>
                    </w:pPr>
                  </w:p>
                  <w:p w14:paraId="51F4C25F">
                    <w:pPr>
                      <w:spacing w:line="248" w:lineRule="auto"/>
                      <w:rPr>
                        <w:rFonts w:ascii="Arial"/>
                        <w:sz w:val="21"/>
                      </w:rPr>
                    </w:pPr>
                  </w:p>
                  <w:p w14:paraId="14D50409">
                    <w:pPr>
                      <w:spacing w:line="248" w:lineRule="auto"/>
                      <w:rPr>
                        <w:rFonts w:ascii="Arial"/>
                        <w:sz w:val="21"/>
                      </w:rPr>
                    </w:pPr>
                  </w:p>
                  <w:p w14:paraId="1E5E7653">
                    <w:pPr>
                      <w:spacing w:line="248" w:lineRule="auto"/>
                      <w:rPr>
                        <w:rFonts w:ascii="Arial"/>
                        <w:sz w:val="21"/>
                      </w:rPr>
                    </w:pPr>
                  </w:p>
                  <w:p w14:paraId="510C4F9B">
                    <w:pPr>
                      <w:spacing w:line="248" w:lineRule="auto"/>
                      <w:rPr>
                        <w:rFonts w:ascii="Arial"/>
                        <w:sz w:val="21"/>
                      </w:rPr>
                    </w:pPr>
                  </w:p>
                  <w:p w14:paraId="38DC8E99">
                    <w:pPr>
                      <w:spacing w:line="248" w:lineRule="auto"/>
                      <w:rPr>
                        <w:rFonts w:ascii="Arial"/>
                        <w:sz w:val="21"/>
                      </w:rPr>
                    </w:pPr>
                  </w:p>
                  <w:p w14:paraId="0E44A8A4">
                    <w:pPr>
                      <w:spacing w:line="248" w:lineRule="auto"/>
                      <w:rPr>
                        <w:rFonts w:ascii="Arial"/>
                        <w:sz w:val="21"/>
                      </w:rPr>
                    </w:pPr>
                  </w:p>
                  <w:p w14:paraId="640A2AF5">
                    <w:pPr>
                      <w:spacing w:line="248" w:lineRule="auto"/>
                      <w:rPr>
                        <w:rFonts w:ascii="Arial"/>
                        <w:sz w:val="21"/>
                      </w:rPr>
                    </w:pPr>
                  </w:p>
                  <w:p w14:paraId="14042011">
                    <w:pPr>
                      <w:spacing w:before="59" w:line="219" w:lineRule="auto"/>
                      <w:ind w:right="3"/>
                      <w:jc w:val="right"/>
                      <w:rPr>
                        <w:rFonts w:ascii="宋体" w:hAnsi="宋体" w:eastAsia="宋体" w:cs="宋体"/>
                        <w:sz w:val="18"/>
                        <w:szCs w:val="18"/>
                      </w:rPr>
                    </w:pPr>
                    <w:r>
                      <w:rPr>
                        <w:rFonts w:ascii="宋体" w:hAnsi="宋体" w:eastAsia="宋体" w:cs="宋体"/>
                        <w:spacing w:val="-1"/>
                        <w:sz w:val="18"/>
                        <w:szCs w:val="18"/>
                      </w:rPr>
                      <w:t>柴登段（兴巴高速衰减断面）</w:t>
                    </w:r>
                  </w:p>
                </w:txbxContent>
              </v:textbox>
            </v:shape>
            <v:shape id="_x0000_s1112" o:spid="_x0000_s1112" o:spt="202" type="#_x0000_t202" style="position:absolute;left:1077;top:5370;height:220;width:5642;" filled="f" stroked="f" coordsize="21600,21600">
              <v:path/>
              <v:fill on="f" focussize="0,0"/>
              <v:stroke on="f"/>
              <v:imagedata o:title=""/>
              <o:lock v:ext="edit" aspectratio="f"/>
              <v:textbox inset="0mm,0mm,0mm,0mm">
                <w:txbxContent>
                  <w:p w14:paraId="2A859770">
                    <w:pPr>
                      <w:spacing w:before="19" w:line="219" w:lineRule="auto"/>
                      <w:ind w:left="20"/>
                      <w:rPr>
                        <w:rFonts w:ascii="宋体" w:hAnsi="宋体" w:eastAsia="宋体" w:cs="宋体"/>
                        <w:sz w:val="18"/>
                        <w:szCs w:val="18"/>
                      </w:rPr>
                    </w:pPr>
                    <w:r>
                      <w:rPr>
                        <w:rFonts w:ascii="宋体" w:hAnsi="宋体" w:eastAsia="宋体" w:cs="宋体"/>
                        <w:spacing w:val="-2"/>
                        <w:sz w:val="18"/>
                        <w:szCs w:val="18"/>
                      </w:rPr>
                      <w:t>二道拐坡地至张家圪旦社</w:t>
                    </w:r>
                    <w:r>
                      <w:rPr>
                        <w:rFonts w:ascii="宋体" w:hAnsi="宋体" w:eastAsia="宋体" w:cs="宋体"/>
                        <w:spacing w:val="1"/>
                        <w:sz w:val="18"/>
                        <w:szCs w:val="18"/>
                      </w:rPr>
                      <w:t xml:space="preserve">                                </w:t>
                    </w:r>
                    <w:r>
                      <w:rPr>
                        <w:rFonts w:ascii="宋体" w:hAnsi="宋体" w:eastAsia="宋体" w:cs="宋体"/>
                        <w:spacing w:val="-2"/>
                        <w:sz w:val="18"/>
                        <w:szCs w:val="18"/>
                      </w:rPr>
                      <w:t>脑包湾村</w:t>
                    </w:r>
                  </w:p>
                </w:txbxContent>
              </v:textbox>
            </v:shape>
            <w10:wrap type="none"/>
            <w10:anchorlock/>
          </v:group>
        </w:pict>
      </w:r>
    </w:p>
    <w:p w14:paraId="2D1CE22E">
      <w:pPr>
        <w:spacing w:before="37" w:line="220" w:lineRule="auto"/>
        <w:ind w:left="2616"/>
        <w:rPr>
          <w:rFonts w:ascii="仿宋" w:hAnsi="仿宋" w:eastAsia="仿宋" w:cs="仿宋"/>
          <w:sz w:val="24"/>
          <w:szCs w:val="24"/>
        </w:rPr>
      </w:pPr>
      <w:r>
        <w:rPr>
          <w:rFonts w:ascii="仿宋" w:hAnsi="仿宋" w:eastAsia="仿宋" w:cs="仿宋"/>
          <w:b/>
          <w:bCs/>
          <w:spacing w:val="-6"/>
          <w:sz w:val="24"/>
          <w:szCs w:val="24"/>
        </w:rPr>
        <w:t>图</w:t>
      </w:r>
      <w:r>
        <w:rPr>
          <w:rFonts w:ascii="仿宋" w:hAnsi="仿宋" w:eastAsia="仿宋" w:cs="仿宋"/>
          <w:spacing w:val="-46"/>
          <w:sz w:val="24"/>
          <w:szCs w:val="24"/>
        </w:rPr>
        <w:t xml:space="preserve"> </w:t>
      </w:r>
      <w:r>
        <w:rPr>
          <w:rFonts w:ascii="仿宋" w:hAnsi="仿宋" w:eastAsia="仿宋" w:cs="仿宋"/>
          <w:b/>
          <w:bCs/>
          <w:spacing w:val="-6"/>
          <w:sz w:val="24"/>
          <w:szCs w:val="24"/>
        </w:rPr>
        <w:t>3.2-1</w:t>
      </w:r>
      <w:r>
        <w:rPr>
          <w:rFonts w:ascii="仿宋" w:hAnsi="仿宋" w:eastAsia="仿宋" w:cs="仿宋"/>
          <w:spacing w:val="-45"/>
          <w:sz w:val="24"/>
          <w:szCs w:val="24"/>
        </w:rPr>
        <w:t xml:space="preserve"> </w:t>
      </w:r>
      <w:r>
        <w:rPr>
          <w:rFonts w:ascii="仿宋" w:hAnsi="仿宋" w:eastAsia="仿宋" w:cs="仿宋"/>
          <w:b/>
          <w:bCs/>
          <w:spacing w:val="-6"/>
          <w:sz w:val="24"/>
          <w:szCs w:val="24"/>
        </w:rPr>
        <w:t>声环境现状监测布点图</w:t>
      </w:r>
    </w:p>
    <w:p w14:paraId="483FFDEE">
      <w:pPr>
        <w:spacing w:line="220" w:lineRule="auto"/>
        <w:rPr>
          <w:rFonts w:ascii="仿宋" w:hAnsi="仿宋" w:eastAsia="仿宋" w:cs="仿宋"/>
          <w:sz w:val="24"/>
          <w:szCs w:val="24"/>
        </w:rPr>
        <w:sectPr>
          <w:footerReference r:id="rId164" w:type="default"/>
          <w:pgSz w:w="11906" w:h="16839"/>
          <w:pgMar w:top="400" w:right="1687" w:bottom="1370" w:left="1687" w:header="0" w:footer="1207" w:gutter="0"/>
          <w:cols w:space="720" w:num="1"/>
        </w:sectPr>
      </w:pPr>
    </w:p>
    <w:p w14:paraId="35B30E8F">
      <w:pPr>
        <w:pStyle w:val="2"/>
        <w:spacing w:line="247" w:lineRule="auto"/>
        <w:rPr>
          <w:sz w:val="21"/>
        </w:rPr>
      </w:pPr>
    </w:p>
    <w:p w14:paraId="5A6DDE8B">
      <w:pPr>
        <w:pStyle w:val="2"/>
        <w:spacing w:line="248" w:lineRule="auto"/>
        <w:rPr>
          <w:sz w:val="21"/>
        </w:rPr>
      </w:pPr>
    </w:p>
    <w:p w14:paraId="78651A57">
      <w:pPr>
        <w:pStyle w:val="2"/>
        <w:spacing w:line="248" w:lineRule="auto"/>
        <w:rPr>
          <w:sz w:val="21"/>
        </w:rPr>
      </w:pPr>
    </w:p>
    <w:p w14:paraId="54B14DD2">
      <w:pPr>
        <w:pStyle w:val="2"/>
        <w:spacing w:line="248" w:lineRule="auto"/>
        <w:rPr>
          <w:sz w:val="21"/>
        </w:rPr>
      </w:pPr>
    </w:p>
    <w:p w14:paraId="3DD72BB8">
      <w:pPr>
        <w:spacing w:before="78" w:line="222" w:lineRule="auto"/>
        <w:ind w:left="2501"/>
        <w:rPr>
          <w:rFonts w:ascii="仿宋" w:hAnsi="仿宋" w:eastAsia="仿宋" w:cs="仿宋"/>
          <w:sz w:val="24"/>
          <w:szCs w:val="24"/>
        </w:rPr>
      </w:pPr>
      <w:r>
        <w:rPr>
          <w:rFonts w:ascii="仿宋" w:hAnsi="仿宋" w:eastAsia="仿宋" w:cs="仿宋"/>
          <w:b/>
          <w:bCs/>
          <w:spacing w:val="-3"/>
          <w:sz w:val="24"/>
          <w:szCs w:val="24"/>
        </w:rPr>
        <w:t>表</w:t>
      </w:r>
      <w:r>
        <w:rPr>
          <w:rFonts w:ascii="仿宋" w:hAnsi="仿宋" w:eastAsia="仿宋" w:cs="仿宋"/>
          <w:spacing w:val="-47"/>
          <w:sz w:val="24"/>
          <w:szCs w:val="24"/>
        </w:rPr>
        <w:t xml:space="preserve"> </w:t>
      </w:r>
      <w:r>
        <w:rPr>
          <w:rFonts w:ascii="仿宋" w:hAnsi="仿宋" w:eastAsia="仿宋" w:cs="仿宋"/>
          <w:b/>
          <w:bCs/>
          <w:spacing w:val="-3"/>
          <w:sz w:val="24"/>
          <w:szCs w:val="24"/>
        </w:rPr>
        <w:t>3.2-2</w:t>
      </w:r>
      <w:r>
        <w:rPr>
          <w:rFonts w:ascii="仿宋" w:hAnsi="仿宋" w:eastAsia="仿宋" w:cs="仿宋"/>
          <w:spacing w:val="-3"/>
          <w:sz w:val="24"/>
          <w:szCs w:val="24"/>
        </w:rPr>
        <w:t xml:space="preserve">    </w:t>
      </w:r>
      <w:r>
        <w:rPr>
          <w:rFonts w:ascii="仿宋" w:hAnsi="仿宋" w:eastAsia="仿宋" w:cs="仿宋"/>
          <w:b/>
          <w:bCs/>
          <w:spacing w:val="-3"/>
          <w:sz w:val="24"/>
          <w:szCs w:val="24"/>
        </w:rPr>
        <w:t>监测仪器概况一览表</w:t>
      </w:r>
    </w:p>
    <w:p w14:paraId="349021F8">
      <w:pPr>
        <w:spacing w:line="143" w:lineRule="exact"/>
      </w:pPr>
    </w:p>
    <w:tbl>
      <w:tblPr>
        <w:tblStyle w:val="5"/>
        <w:tblW w:w="8519"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002"/>
        <w:gridCol w:w="4517"/>
      </w:tblGrid>
      <w:tr w14:paraId="127C60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4002" w:type="dxa"/>
            <w:tcBorders>
              <w:top w:val="single" w:color="000000" w:sz="10" w:space="0"/>
              <w:left w:val="nil"/>
            </w:tcBorders>
            <w:vAlign w:val="top"/>
          </w:tcPr>
          <w:p w14:paraId="781FCA67">
            <w:pPr>
              <w:spacing w:before="54" w:line="229" w:lineRule="auto"/>
              <w:ind w:left="1596"/>
              <w:rPr>
                <w:rFonts w:ascii="仿宋" w:hAnsi="仿宋" w:eastAsia="仿宋" w:cs="仿宋"/>
                <w:sz w:val="20"/>
                <w:szCs w:val="20"/>
              </w:rPr>
            </w:pPr>
            <w:r>
              <w:rPr>
                <w:rFonts w:ascii="仿宋" w:hAnsi="仿宋" w:eastAsia="仿宋" w:cs="仿宋"/>
                <w:spacing w:val="5"/>
                <w:sz w:val="20"/>
                <w:szCs w:val="20"/>
              </w:rPr>
              <w:t>仪器名称</w:t>
            </w:r>
          </w:p>
        </w:tc>
        <w:tc>
          <w:tcPr>
            <w:tcW w:w="4517" w:type="dxa"/>
            <w:tcBorders>
              <w:top w:val="single" w:color="000000" w:sz="10" w:space="0"/>
              <w:right w:val="nil"/>
            </w:tcBorders>
            <w:vAlign w:val="top"/>
          </w:tcPr>
          <w:p w14:paraId="101B6E1E">
            <w:pPr>
              <w:spacing w:before="53" w:line="229" w:lineRule="auto"/>
              <w:ind w:left="1440"/>
              <w:rPr>
                <w:rFonts w:ascii="仿宋" w:hAnsi="仿宋" w:eastAsia="仿宋" w:cs="仿宋"/>
                <w:sz w:val="20"/>
                <w:szCs w:val="20"/>
              </w:rPr>
            </w:pPr>
            <w:r>
              <w:rPr>
                <w:rFonts w:ascii="仿宋" w:hAnsi="仿宋" w:eastAsia="仿宋" w:cs="仿宋"/>
                <w:spacing w:val="6"/>
                <w:sz w:val="20"/>
                <w:szCs w:val="20"/>
              </w:rPr>
              <w:t>型号及唯一性编号</w:t>
            </w:r>
          </w:p>
        </w:tc>
      </w:tr>
      <w:tr w14:paraId="186AE6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4002" w:type="dxa"/>
            <w:tcBorders>
              <w:left w:val="nil"/>
            </w:tcBorders>
            <w:vAlign w:val="top"/>
          </w:tcPr>
          <w:p w14:paraId="47EFD5F1">
            <w:pPr>
              <w:spacing w:before="53" w:line="231" w:lineRule="auto"/>
              <w:ind w:left="1176"/>
              <w:rPr>
                <w:rFonts w:ascii="仿宋" w:hAnsi="仿宋" w:eastAsia="仿宋" w:cs="仿宋"/>
                <w:sz w:val="20"/>
                <w:szCs w:val="20"/>
              </w:rPr>
            </w:pPr>
            <w:r>
              <w:rPr>
                <w:rFonts w:ascii="仿宋" w:hAnsi="仿宋" w:eastAsia="仿宋" w:cs="仿宋"/>
                <w:spacing w:val="7"/>
                <w:sz w:val="20"/>
                <w:szCs w:val="20"/>
              </w:rPr>
              <w:t>便携式风向风速仪</w:t>
            </w:r>
          </w:p>
        </w:tc>
        <w:tc>
          <w:tcPr>
            <w:tcW w:w="4517" w:type="dxa"/>
            <w:tcBorders>
              <w:right w:val="nil"/>
            </w:tcBorders>
            <w:vAlign w:val="top"/>
          </w:tcPr>
          <w:p w14:paraId="3D259AEF">
            <w:pPr>
              <w:pStyle w:val="6"/>
              <w:spacing w:before="88" w:line="197" w:lineRule="auto"/>
              <w:ind w:left="1422"/>
              <w:rPr>
                <w:sz w:val="20"/>
                <w:szCs w:val="20"/>
              </w:rPr>
            </w:pPr>
            <w:r>
              <w:rPr>
                <w:sz w:val="20"/>
                <w:szCs w:val="20"/>
              </w:rPr>
              <w:t>WJ</w:t>
            </w:r>
            <w:r>
              <w:rPr>
                <w:spacing w:val="8"/>
                <w:sz w:val="20"/>
                <w:szCs w:val="20"/>
              </w:rPr>
              <w:t xml:space="preserve">-8 </w:t>
            </w:r>
            <w:r>
              <w:rPr>
                <w:sz w:val="20"/>
                <w:szCs w:val="20"/>
              </w:rPr>
              <w:t>HYYQ</w:t>
            </w:r>
            <w:r>
              <w:rPr>
                <w:spacing w:val="8"/>
                <w:sz w:val="20"/>
                <w:szCs w:val="20"/>
              </w:rPr>
              <w:t>-20-20</w:t>
            </w:r>
          </w:p>
        </w:tc>
      </w:tr>
      <w:tr w14:paraId="4ACA53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4002" w:type="dxa"/>
            <w:tcBorders>
              <w:left w:val="nil"/>
            </w:tcBorders>
            <w:vAlign w:val="top"/>
          </w:tcPr>
          <w:p w14:paraId="18FD1DD0">
            <w:pPr>
              <w:pStyle w:val="6"/>
              <w:spacing w:before="54" w:line="231" w:lineRule="auto"/>
              <w:ind w:left="1012"/>
              <w:rPr>
                <w:rFonts w:ascii="仿宋" w:hAnsi="仿宋" w:eastAsia="仿宋" w:cs="仿宋"/>
                <w:sz w:val="20"/>
                <w:szCs w:val="20"/>
              </w:rPr>
            </w:pPr>
            <w:r>
              <w:rPr>
                <w:rFonts w:ascii="仿宋" w:hAnsi="仿宋" w:eastAsia="仿宋" w:cs="仿宋"/>
                <w:spacing w:val="7"/>
                <w:sz w:val="20"/>
                <w:szCs w:val="20"/>
              </w:rPr>
              <w:t>温度</w:t>
            </w:r>
            <w:r>
              <w:rPr>
                <w:spacing w:val="7"/>
                <w:sz w:val="20"/>
                <w:szCs w:val="20"/>
              </w:rPr>
              <w:t>/</w:t>
            </w:r>
            <w:r>
              <w:rPr>
                <w:rFonts w:ascii="仿宋" w:hAnsi="仿宋" w:eastAsia="仿宋" w:cs="仿宋"/>
                <w:spacing w:val="7"/>
                <w:sz w:val="20"/>
                <w:szCs w:val="20"/>
              </w:rPr>
              <w:t>湿度</w:t>
            </w:r>
            <w:r>
              <w:rPr>
                <w:spacing w:val="7"/>
                <w:sz w:val="20"/>
                <w:szCs w:val="20"/>
              </w:rPr>
              <w:t>/</w:t>
            </w:r>
            <w:r>
              <w:rPr>
                <w:rFonts w:ascii="仿宋" w:hAnsi="仿宋" w:eastAsia="仿宋" w:cs="仿宋"/>
                <w:spacing w:val="7"/>
                <w:sz w:val="20"/>
                <w:szCs w:val="20"/>
              </w:rPr>
              <w:t>大气压力计</w:t>
            </w:r>
          </w:p>
        </w:tc>
        <w:tc>
          <w:tcPr>
            <w:tcW w:w="4517" w:type="dxa"/>
            <w:tcBorders>
              <w:right w:val="nil"/>
            </w:tcBorders>
            <w:vAlign w:val="top"/>
          </w:tcPr>
          <w:p w14:paraId="31392F44">
            <w:pPr>
              <w:pStyle w:val="6"/>
              <w:spacing w:before="90" w:line="197" w:lineRule="auto"/>
              <w:ind w:left="1226"/>
              <w:rPr>
                <w:sz w:val="20"/>
                <w:szCs w:val="20"/>
              </w:rPr>
            </w:pPr>
            <w:r>
              <w:rPr>
                <w:sz w:val="20"/>
                <w:szCs w:val="20"/>
              </w:rPr>
              <w:t>TES</w:t>
            </w:r>
            <w:r>
              <w:rPr>
                <w:spacing w:val="4"/>
                <w:sz w:val="20"/>
                <w:szCs w:val="20"/>
              </w:rPr>
              <w:t>-</w:t>
            </w:r>
            <w:r>
              <w:rPr>
                <w:spacing w:val="-16"/>
                <w:sz w:val="20"/>
                <w:szCs w:val="20"/>
              </w:rPr>
              <w:t xml:space="preserve"> </w:t>
            </w:r>
            <w:r>
              <w:rPr>
                <w:spacing w:val="4"/>
                <w:sz w:val="20"/>
                <w:szCs w:val="20"/>
              </w:rPr>
              <w:t xml:space="preserve">1160 </w:t>
            </w:r>
            <w:r>
              <w:rPr>
                <w:sz w:val="20"/>
                <w:szCs w:val="20"/>
              </w:rPr>
              <w:t>HYYQ</w:t>
            </w:r>
            <w:r>
              <w:rPr>
                <w:spacing w:val="4"/>
                <w:sz w:val="20"/>
                <w:szCs w:val="20"/>
              </w:rPr>
              <w:t>-20-22</w:t>
            </w:r>
          </w:p>
        </w:tc>
      </w:tr>
      <w:tr w14:paraId="3E0FDC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4002" w:type="dxa"/>
            <w:tcBorders>
              <w:left w:val="nil"/>
            </w:tcBorders>
            <w:vAlign w:val="top"/>
          </w:tcPr>
          <w:p w14:paraId="73C220FB">
            <w:pPr>
              <w:spacing w:before="56" w:line="229" w:lineRule="auto"/>
              <w:ind w:left="1396"/>
              <w:rPr>
                <w:rFonts w:ascii="仿宋" w:hAnsi="仿宋" w:eastAsia="仿宋" w:cs="仿宋"/>
                <w:sz w:val="20"/>
                <w:szCs w:val="20"/>
              </w:rPr>
            </w:pPr>
            <w:r>
              <w:rPr>
                <w:rFonts w:ascii="仿宋" w:hAnsi="仿宋" w:eastAsia="仿宋" w:cs="仿宋"/>
                <w:spacing w:val="5"/>
                <w:sz w:val="20"/>
                <w:szCs w:val="20"/>
              </w:rPr>
              <w:t>多功能声级计</w:t>
            </w:r>
          </w:p>
        </w:tc>
        <w:tc>
          <w:tcPr>
            <w:tcW w:w="4517" w:type="dxa"/>
            <w:tcBorders>
              <w:right w:val="nil"/>
            </w:tcBorders>
            <w:vAlign w:val="top"/>
          </w:tcPr>
          <w:p w14:paraId="0D8E6625">
            <w:pPr>
              <w:pStyle w:val="6"/>
              <w:spacing w:before="92" w:line="197" w:lineRule="auto"/>
              <w:ind w:left="1207"/>
              <w:rPr>
                <w:sz w:val="20"/>
                <w:szCs w:val="20"/>
              </w:rPr>
            </w:pPr>
            <w:r>
              <w:rPr>
                <w:sz w:val="20"/>
                <w:szCs w:val="20"/>
              </w:rPr>
              <w:t>AWA</w:t>
            </w:r>
            <w:r>
              <w:rPr>
                <w:spacing w:val="5"/>
                <w:sz w:val="20"/>
                <w:szCs w:val="20"/>
              </w:rPr>
              <w:t xml:space="preserve">5688 </w:t>
            </w:r>
            <w:r>
              <w:rPr>
                <w:sz w:val="20"/>
                <w:szCs w:val="20"/>
              </w:rPr>
              <w:t>HYYQ</w:t>
            </w:r>
            <w:r>
              <w:rPr>
                <w:spacing w:val="5"/>
                <w:sz w:val="20"/>
                <w:szCs w:val="20"/>
              </w:rPr>
              <w:t>-25-04</w:t>
            </w:r>
          </w:p>
        </w:tc>
      </w:tr>
      <w:tr w14:paraId="133775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4002" w:type="dxa"/>
            <w:tcBorders>
              <w:left w:val="nil"/>
            </w:tcBorders>
            <w:vAlign w:val="top"/>
          </w:tcPr>
          <w:p w14:paraId="282B70B1">
            <w:pPr>
              <w:spacing w:before="58" w:line="228" w:lineRule="auto"/>
              <w:ind w:left="1396"/>
              <w:rPr>
                <w:rFonts w:ascii="仿宋" w:hAnsi="仿宋" w:eastAsia="仿宋" w:cs="仿宋"/>
                <w:sz w:val="20"/>
                <w:szCs w:val="20"/>
              </w:rPr>
            </w:pPr>
            <w:r>
              <w:rPr>
                <w:rFonts w:ascii="仿宋" w:hAnsi="仿宋" w:eastAsia="仿宋" w:cs="仿宋"/>
                <w:spacing w:val="5"/>
                <w:sz w:val="20"/>
                <w:szCs w:val="20"/>
              </w:rPr>
              <w:t>多功能声级计</w:t>
            </w:r>
          </w:p>
        </w:tc>
        <w:tc>
          <w:tcPr>
            <w:tcW w:w="4517" w:type="dxa"/>
            <w:tcBorders>
              <w:right w:val="nil"/>
            </w:tcBorders>
            <w:vAlign w:val="top"/>
          </w:tcPr>
          <w:p w14:paraId="5F048123">
            <w:pPr>
              <w:pStyle w:val="6"/>
              <w:spacing w:before="93" w:line="197" w:lineRule="auto"/>
              <w:ind w:left="1207"/>
              <w:rPr>
                <w:sz w:val="20"/>
                <w:szCs w:val="20"/>
              </w:rPr>
            </w:pPr>
            <w:r>
              <w:rPr>
                <w:sz w:val="20"/>
                <w:szCs w:val="20"/>
              </w:rPr>
              <w:t>AWA</w:t>
            </w:r>
            <w:r>
              <w:rPr>
                <w:spacing w:val="3"/>
                <w:sz w:val="20"/>
                <w:szCs w:val="20"/>
              </w:rPr>
              <w:t xml:space="preserve">5688 </w:t>
            </w:r>
            <w:r>
              <w:rPr>
                <w:sz w:val="20"/>
                <w:szCs w:val="20"/>
              </w:rPr>
              <w:t>HYYQ</w:t>
            </w:r>
            <w:r>
              <w:rPr>
                <w:spacing w:val="3"/>
                <w:sz w:val="20"/>
                <w:szCs w:val="20"/>
              </w:rPr>
              <w:t>-20-</w:t>
            </w:r>
            <w:r>
              <w:rPr>
                <w:spacing w:val="-26"/>
                <w:sz w:val="20"/>
                <w:szCs w:val="20"/>
              </w:rPr>
              <w:t xml:space="preserve"> </w:t>
            </w:r>
            <w:r>
              <w:rPr>
                <w:spacing w:val="3"/>
                <w:sz w:val="20"/>
                <w:szCs w:val="20"/>
              </w:rPr>
              <w:t>17</w:t>
            </w:r>
          </w:p>
        </w:tc>
      </w:tr>
      <w:tr w14:paraId="2D9452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4002" w:type="dxa"/>
            <w:tcBorders>
              <w:left w:val="nil"/>
            </w:tcBorders>
            <w:vAlign w:val="top"/>
          </w:tcPr>
          <w:p w14:paraId="631F1C58">
            <w:pPr>
              <w:spacing w:before="60" w:line="226" w:lineRule="auto"/>
              <w:ind w:left="1396"/>
              <w:rPr>
                <w:rFonts w:ascii="仿宋" w:hAnsi="仿宋" w:eastAsia="仿宋" w:cs="仿宋"/>
                <w:sz w:val="20"/>
                <w:szCs w:val="20"/>
              </w:rPr>
            </w:pPr>
            <w:r>
              <w:rPr>
                <w:rFonts w:ascii="仿宋" w:hAnsi="仿宋" w:eastAsia="仿宋" w:cs="仿宋"/>
                <w:spacing w:val="5"/>
                <w:sz w:val="20"/>
                <w:szCs w:val="20"/>
              </w:rPr>
              <w:t>多功能声级计</w:t>
            </w:r>
          </w:p>
        </w:tc>
        <w:tc>
          <w:tcPr>
            <w:tcW w:w="4517" w:type="dxa"/>
            <w:tcBorders>
              <w:right w:val="nil"/>
            </w:tcBorders>
            <w:vAlign w:val="top"/>
          </w:tcPr>
          <w:p w14:paraId="74AE288E">
            <w:pPr>
              <w:pStyle w:val="6"/>
              <w:spacing w:before="95" w:line="197" w:lineRule="auto"/>
              <w:ind w:left="1207"/>
              <w:rPr>
                <w:sz w:val="20"/>
                <w:szCs w:val="20"/>
              </w:rPr>
            </w:pPr>
            <w:r>
              <w:rPr>
                <w:sz w:val="20"/>
                <w:szCs w:val="20"/>
              </w:rPr>
              <w:t>AWA</w:t>
            </w:r>
            <w:r>
              <w:rPr>
                <w:spacing w:val="3"/>
                <w:sz w:val="20"/>
                <w:szCs w:val="20"/>
              </w:rPr>
              <w:t xml:space="preserve">5688 </w:t>
            </w:r>
            <w:r>
              <w:rPr>
                <w:sz w:val="20"/>
                <w:szCs w:val="20"/>
              </w:rPr>
              <w:t>HYYQ</w:t>
            </w:r>
            <w:r>
              <w:rPr>
                <w:spacing w:val="3"/>
                <w:sz w:val="20"/>
                <w:szCs w:val="20"/>
              </w:rPr>
              <w:t>-20-</w:t>
            </w:r>
            <w:r>
              <w:rPr>
                <w:spacing w:val="-26"/>
                <w:sz w:val="20"/>
                <w:szCs w:val="20"/>
              </w:rPr>
              <w:t xml:space="preserve"> </w:t>
            </w:r>
            <w:r>
              <w:rPr>
                <w:spacing w:val="3"/>
                <w:sz w:val="20"/>
                <w:szCs w:val="20"/>
              </w:rPr>
              <w:t>18</w:t>
            </w:r>
          </w:p>
        </w:tc>
      </w:tr>
      <w:tr w14:paraId="7029AE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4002" w:type="dxa"/>
            <w:tcBorders>
              <w:left w:val="nil"/>
            </w:tcBorders>
            <w:vAlign w:val="top"/>
          </w:tcPr>
          <w:p w14:paraId="7EE8DFB4">
            <w:pPr>
              <w:spacing w:before="61" w:line="225" w:lineRule="auto"/>
              <w:ind w:left="1396"/>
              <w:rPr>
                <w:rFonts w:ascii="仿宋" w:hAnsi="仿宋" w:eastAsia="仿宋" w:cs="仿宋"/>
                <w:sz w:val="20"/>
                <w:szCs w:val="20"/>
              </w:rPr>
            </w:pPr>
            <w:r>
              <w:rPr>
                <w:rFonts w:ascii="仿宋" w:hAnsi="仿宋" w:eastAsia="仿宋" w:cs="仿宋"/>
                <w:spacing w:val="5"/>
                <w:sz w:val="20"/>
                <w:szCs w:val="20"/>
              </w:rPr>
              <w:t>多功能声级计</w:t>
            </w:r>
          </w:p>
        </w:tc>
        <w:tc>
          <w:tcPr>
            <w:tcW w:w="4517" w:type="dxa"/>
            <w:tcBorders>
              <w:right w:val="nil"/>
            </w:tcBorders>
            <w:vAlign w:val="top"/>
          </w:tcPr>
          <w:p w14:paraId="3D147865">
            <w:pPr>
              <w:pStyle w:val="6"/>
              <w:spacing w:before="96" w:line="197" w:lineRule="auto"/>
              <w:ind w:left="1207"/>
              <w:rPr>
                <w:sz w:val="20"/>
                <w:szCs w:val="20"/>
              </w:rPr>
            </w:pPr>
            <w:r>
              <w:rPr>
                <w:sz w:val="20"/>
                <w:szCs w:val="20"/>
              </w:rPr>
              <w:t>AWA</w:t>
            </w:r>
            <w:r>
              <w:rPr>
                <w:spacing w:val="5"/>
                <w:sz w:val="20"/>
                <w:szCs w:val="20"/>
              </w:rPr>
              <w:t xml:space="preserve">5688 </w:t>
            </w:r>
            <w:r>
              <w:rPr>
                <w:sz w:val="20"/>
                <w:szCs w:val="20"/>
              </w:rPr>
              <w:t>HYYQ</w:t>
            </w:r>
            <w:r>
              <w:rPr>
                <w:spacing w:val="5"/>
                <w:sz w:val="20"/>
                <w:szCs w:val="20"/>
              </w:rPr>
              <w:t>-24-07</w:t>
            </w:r>
          </w:p>
        </w:tc>
      </w:tr>
      <w:tr w14:paraId="6ECB9D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4002" w:type="dxa"/>
            <w:tcBorders>
              <w:left w:val="nil"/>
            </w:tcBorders>
            <w:vAlign w:val="top"/>
          </w:tcPr>
          <w:p w14:paraId="28627529">
            <w:pPr>
              <w:spacing w:before="65" w:line="221" w:lineRule="auto"/>
              <w:ind w:left="1396"/>
              <w:rPr>
                <w:rFonts w:ascii="仿宋" w:hAnsi="仿宋" w:eastAsia="仿宋" w:cs="仿宋"/>
                <w:sz w:val="20"/>
                <w:szCs w:val="20"/>
              </w:rPr>
            </w:pPr>
            <w:r>
              <w:rPr>
                <w:rFonts w:ascii="仿宋" w:hAnsi="仿宋" w:eastAsia="仿宋" w:cs="仿宋"/>
                <w:spacing w:val="5"/>
                <w:sz w:val="20"/>
                <w:szCs w:val="20"/>
              </w:rPr>
              <w:t>多功能声级计</w:t>
            </w:r>
          </w:p>
        </w:tc>
        <w:tc>
          <w:tcPr>
            <w:tcW w:w="4517" w:type="dxa"/>
            <w:tcBorders>
              <w:right w:val="nil"/>
            </w:tcBorders>
            <w:vAlign w:val="top"/>
          </w:tcPr>
          <w:p w14:paraId="63A22FEE">
            <w:pPr>
              <w:pStyle w:val="6"/>
              <w:spacing w:before="100" w:line="197" w:lineRule="auto"/>
              <w:ind w:left="1207"/>
              <w:rPr>
                <w:sz w:val="20"/>
                <w:szCs w:val="20"/>
              </w:rPr>
            </w:pPr>
            <w:r>
              <w:rPr>
                <w:sz w:val="20"/>
                <w:szCs w:val="20"/>
              </w:rPr>
              <w:t>AWA</w:t>
            </w:r>
            <w:r>
              <w:rPr>
                <w:spacing w:val="5"/>
                <w:sz w:val="20"/>
                <w:szCs w:val="20"/>
              </w:rPr>
              <w:t xml:space="preserve">5688 </w:t>
            </w:r>
            <w:r>
              <w:rPr>
                <w:sz w:val="20"/>
                <w:szCs w:val="20"/>
              </w:rPr>
              <w:t>HYYQ</w:t>
            </w:r>
            <w:r>
              <w:rPr>
                <w:spacing w:val="5"/>
                <w:sz w:val="20"/>
                <w:szCs w:val="20"/>
              </w:rPr>
              <w:t>-25-05</w:t>
            </w:r>
          </w:p>
        </w:tc>
      </w:tr>
      <w:tr w14:paraId="180BD1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4002" w:type="dxa"/>
            <w:tcBorders>
              <w:left w:val="nil"/>
            </w:tcBorders>
            <w:vAlign w:val="top"/>
          </w:tcPr>
          <w:p w14:paraId="4DB70B43">
            <w:pPr>
              <w:spacing w:before="66" w:line="220" w:lineRule="auto"/>
              <w:ind w:left="1594"/>
              <w:rPr>
                <w:rFonts w:ascii="仿宋" w:hAnsi="仿宋" w:eastAsia="仿宋" w:cs="仿宋"/>
                <w:sz w:val="20"/>
                <w:szCs w:val="20"/>
              </w:rPr>
            </w:pPr>
            <w:r>
              <w:rPr>
                <w:rFonts w:ascii="仿宋" w:hAnsi="仿宋" w:eastAsia="仿宋" w:cs="仿宋"/>
                <w:spacing w:val="6"/>
                <w:sz w:val="20"/>
                <w:szCs w:val="20"/>
              </w:rPr>
              <w:t>声校准器</w:t>
            </w:r>
          </w:p>
        </w:tc>
        <w:tc>
          <w:tcPr>
            <w:tcW w:w="4517" w:type="dxa"/>
            <w:tcBorders>
              <w:right w:val="nil"/>
            </w:tcBorders>
            <w:vAlign w:val="top"/>
          </w:tcPr>
          <w:p w14:paraId="67087681">
            <w:pPr>
              <w:pStyle w:val="6"/>
              <w:spacing w:before="102" w:line="197" w:lineRule="auto"/>
              <w:ind w:left="1137"/>
              <w:rPr>
                <w:sz w:val="20"/>
                <w:szCs w:val="20"/>
              </w:rPr>
            </w:pPr>
            <w:r>
              <w:rPr>
                <w:sz w:val="20"/>
                <w:szCs w:val="20"/>
              </w:rPr>
              <w:t>AWA</w:t>
            </w:r>
            <w:r>
              <w:rPr>
                <w:spacing w:val="2"/>
                <w:sz w:val="20"/>
                <w:szCs w:val="20"/>
              </w:rPr>
              <w:t>6022</w:t>
            </w:r>
            <w:r>
              <w:rPr>
                <w:sz w:val="20"/>
                <w:szCs w:val="20"/>
              </w:rPr>
              <w:t>A</w:t>
            </w:r>
            <w:r>
              <w:rPr>
                <w:spacing w:val="2"/>
                <w:sz w:val="20"/>
                <w:szCs w:val="20"/>
              </w:rPr>
              <w:t xml:space="preserve"> </w:t>
            </w:r>
            <w:r>
              <w:rPr>
                <w:sz w:val="20"/>
                <w:szCs w:val="20"/>
              </w:rPr>
              <w:t>HYYQ</w:t>
            </w:r>
            <w:r>
              <w:rPr>
                <w:spacing w:val="2"/>
                <w:sz w:val="20"/>
                <w:szCs w:val="20"/>
              </w:rPr>
              <w:t>-20-</w:t>
            </w:r>
            <w:r>
              <w:rPr>
                <w:spacing w:val="-18"/>
                <w:sz w:val="20"/>
                <w:szCs w:val="20"/>
              </w:rPr>
              <w:t xml:space="preserve"> </w:t>
            </w:r>
            <w:r>
              <w:rPr>
                <w:spacing w:val="2"/>
                <w:sz w:val="20"/>
                <w:szCs w:val="20"/>
              </w:rPr>
              <w:t>15</w:t>
            </w:r>
          </w:p>
        </w:tc>
      </w:tr>
      <w:tr w14:paraId="1CE8F7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4002" w:type="dxa"/>
            <w:tcBorders>
              <w:left w:val="nil"/>
            </w:tcBorders>
            <w:vAlign w:val="top"/>
          </w:tcPr>
          <w:p w14:paraId="44C3F47C">
            <w:pPr>
              <w:spacing w:before="68" w:line="218" w:lineRule="auto"/>
              <w:ind w:left="1594"/>
              <w:rPr>
                <w:rFonts w:ascii="仿宋" w:hAnsi="仿宋" w:eastAsia="仿宋" w:cs="仿宋"/>
                <w:sz w:val="20"/>
                <w:szCs w:val="20"/>
              </w:rPr>
            </w:pPr>
            <w:r>
              <w:rPr>
                <w:rFonts w:ascii="仿宋" w:hAnsi="仿宋" w:eastAsia="仿宋" w:cs="仿宋"/>
                <w:spacing w:val="6"/>
                <w:sz w:val="20"/>
                <w:szCs w:val="20"/>
              </w:rPr>
              <w:t>声校准器</w:t>
            </w:r>
          </w:p>
        </w:tc>
        <w:tc>
          <w:tcPr>
            <w:tcW w:w="4517" w:type="dxa"/>
            <w:tcBorders>
              <w:right w:val="nil"/>
            </w:tcBorders>
            <w:vAlign w:val="top"/>
          </w:tcPr>
          <w:p w14:paraId="5CDA2584">
            <w:pPr>
              <w:pStyle w:val="6"/>
              <w:spacing w:before="104" w:line="197" w:lineRule="auto"/>
              <w:ind w:left="1137"/>
              <w:rPr>
                <w:sz w:val="20"/>
                <w:szCs w:val="20"/>
              </w:rPr>
            </w:pPr>
            <w:r>
              <w:rPr>
                <w:sz w:val="20"/>
                <w:szCs w:val="20"/>
              </w:rPr>
              <w:t>AWA</w:t>
            </w:r>
            <w:r>
              <w:rPr>
                <w:spacing w:val="2"/>
                <w:sz w:val="20"/>
                <w:szCs w:val="20"/>
              </w:rPr>
              <w:t>6022</w:t>
            </w:r>
            <w:r>
              <w:rPr>
                <w:sz w:val="20"/>
                <w:szCs w:val="20"/>
              </w:rPr>
              <w:t>A</w:t>
            </w:r>
            <w:r>
              <w:rPr>
                <w:spacing w:val="2"/>
                <w:sz w:val="20"/>
                <w:szCs w:val="20"/>
              </w:rPr>
              <w:t xml:space="preserve"> </w:t>
            </w:r>
            <w:r>
              <w:rPr>
                <w:sz w:val="20"/>
                <w:szCs w:val="20"/>
              </w:rPr>
              <w:t>HYYQ</w:t>
            </w:r>
            <w:r>
              <w:rPr>
                <w:spacing w:val="2"/>
                <w:sz w:val="20"/>
                <w:szCs w:val="20"/>
              </w:rPr>
              <w:t>-20-</w:t>
            </w:r>
            <w:r>
              <w:rPr>
                <w:spacing w:val="-18"/>
                <w:sz w:val="20"/>
                <w:szCs w:val="20"/>
              </w:rPr>
              <w:t xml:space="preserve"> </w:t>
            </w:r>
            <w:r>
              <w:rPr>
                <w:spacing w:val="2"/>
                <w:sz w:val="20"/>
                <w:szCs w:val="20"/>
              </w:rPr>
              <w:t>16</w:t>
            </w:r>
          </w:p>
        </w:tc>
      </w:tr>
      <w:tr w14:paraId="73B69F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4002" w:type="dxa"/>
            <w:tcBorders>
              <w:left w:val="nil"/>
            </w:tcBorders>
            <w:vAlign w:val="top"/>
          </w:tcPr>
          <w:p w14:paraId="4217BD32">
            <w:pPr>
              <w:spacing w:before="69" w:line="217" w:lineRule="auto"/>
              <w:ind w:left="1594"/>
              <w:rPr>
                <w:rFonts w:ascii="仿宋" w:hAnsi="仿宋" w:eastAsia="仿宋" w:cs="仿宋"/>
                <w:sz w:val="20"/>
                <w:szCs w:val="20"/>
              </w:rPr>
            </w:pPr>
            <w:r>
              <w:rPr>
                <w:rFonts w:ascii="仿宋" w:hAnsi="仿宋" w:eastAsia="仿宋" w:cs="仿宋"/>
                <w:spacing w:val="6"/>
                <w:sz w:val="20"/>
                <w:szCs w:val="20"/>
              </w:rPr>
              <w:t>声校准器</w:t>
            </w:r>
          </w:p>
        </w:tc>
        <w:tc>
          <w:tcPr>
            <w:tcW w:w="4517" w:type="dxa"/>
            <w:tcBorders>
              <w:right w:val="nil"/>
            </w:tcBorders>
            <w:vAlign w:val="top"/>
          </w:tcPr>
          <w:p w14:paraId="3C834675">
            <w:pPr>
              <w:pStyle w:val="6"/>
              <w:spacing w:before="105" w:line="197" w:lineRule="auto"/>
              <w:ind w:left="1137"/>
              <w:rPr>
                <w:sz w:val="20"/>
                <w:szCs w:val="20"/>
              </w:rPr>
            </w:pPr>
            <w:r>
              <w:rPr>
                <w:sz w:val="20"/>
                <w:szCs w:val="20"/>
              </w:rPr>
              <w:t>AWA</w:t>
            </w:r>
            <w:r>
              <w:rPr>
                <w:spacing w:val="5"/>
                <w:sz w:val="20"/>
                <w:szCs w:val="20"/>
              </w:rPr>
              <w:t>6022</w:t>
            </w:r>
            <w:r>
              <w:rPr>
                <w:sz w:val="20"/>
                <w:szCs w:val="20"/>
              </w:rPr>
              <w:t>A</w:t>
            </w:r>
            <w:r>
              <w:rPr>
                <w:spacing w:val="5"/>
                <w:sz w:val="20"/>
                <w:szCs w:val="20"/>
              </w:rPr>
              <w:t xml:space="preserve"> </w:t>
            </w:r>
            <w:r>
              <w:rPr>
                <w:sz w:val="20"/>
                <w:szCs w:val="20"/>
              </w:rPr>
              <w:t>HYYQ</w:t>
            </w:r>
            <w:r>
              <w:rPr>
                <w:spacing w:val="5"/>
                <w:sz w:val="20"/>
                <w:szCs w:val="20"/>
              </w:rPr>
              <w:t>-25-01</w:t>
            </w:r>
          </w:p>
        </w:tc>
      </w:tr>
      <w:tr w14:paraId="48B669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4002" w:type="dxa"/>
            <w:tcBorders>
              <w:left w:val="nil"/>
            </w:tcBorders>
            <w:vAlign w:val="top"/>
          </w:tcPr>
          <w:p w14:paraId="5ADD8A7A">
            <w:pPr>
              <w:spacing w:before="72" w:line="215" w:lineRule="auto"/>
              <w:ind w:left="1594"/>
              <w:rPr>
                <w:rFonts w:ascii="仿宋" w:hAnsi="仿宋" w:eastAsia="仿宋" w:cs="仿宋"/>
                <w:sz w:val="20"/>
                <w:szCs w:val="20"/>
              </w:rPr>
            </w:pPr>
            <w:r>
              <w:rPr>
                <w:rFonts w:ascii="仿宋" w:hAnsi="仿宋" w:eastAsia="仿宋" w:cs="仿宋"/>
                <w:spacing w:val="6"/>
                <w:sz w:val="20"/>
                <w:szCs w:val="20"/>
              </w:rPr>
              <w:t>声校准器</w:t>
            </w:r>
          </w:p>
        </w:tc>
        <w:tc>
          <w:tcPr>
            <w:tcW w:w="4517" w:type="dxa"/>
            <w:tcBorders>
              <w:right w:val="nil"/>
            </w:tcBorders>
            <w:vAlign w:val="top"/>
          </w:tcPr>
          <w:p w14:paraId="1170E5BA">
            <w:pPr>
              <w:pStyle w:val="6"/>
              <w:spacing w:before="107" w:line="197" w:lineRule="auto"/>
              <w:ind w:left="1137"/>
              <w:rPr>
                <w:sz w:val="20"/>
                <w:szCs w:val="20"/>
              </w:rPr>
            </w:pPr>
            <w:r>
              <w:rPr>
                <w:sz w:val="20"/>
                <w:szCs w:val="20"/>
              </w:rPr>
              <w:t>AWA</w:t>
            </w:r>
            <w:r>
              <w:rPr>
                <w:spacing w:val="5"/>
                <w:sz w:val="20"/>
                <w:szCs w:val="20"/>
              </w:rPr>
              <w:t>6022</w:t>
            </w:r>
            <w:r>
              <w:rPr>
                <w:sz w:val="20"/>
                <w:szCs w:val="20"/>
              </w:rPr>
              <w:t>A</w:t>
            </w:r>
            <w:r>
              <w:rPr>
                <w:spacing w:val="5"/>
                <w:sz w:val="20"/>
                <w:szCs w:val="20"/>
              </w:rPr>
              <w:t xml:space="preserve"> </w:t>
            </w:r>
            <w:r>
              <w:rPr>
                <w:sz w:val="20"/>
                <w:szCs w:val="20"/>
              </w:rPr>
              <w:t>HYYQ</w:t>
            </w:r>
            <w:r>
              <w:rPr>
                <w:spacing w:val="5"/>
                <w:sz w:val="20"/>
                <w:szCs w:val="20"/>
              </w:rPr>
              <w:t>-25-02</w:t>
            </w:r>
          </w:p>
        </w:tc>
      </w:tr>
      <w:tr w14:paraId="7251EA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4002" w:type="dxa"/>
            <w:tcBorders>
              <w:left w:val="nil"/>
              <w:bottom w:val="single" w:color="000000" w:sz="10" w:space="0"/>
            </w:tcBorders>
            <w:vAlign w:val="top"/>
          </w:tcPr>
          <w:p w14:paraId="6415DBA4">
            <w:pPr>
              <w:spacing w:before="73" w:line="230" w:lineRule="auto"/>
              <w:ind w:left="1594"/>
              <w:rPr>
                <w:rFonts w:ascii="仿宋" w:hAnsi="仿宋" w:eastAsia="仿宋" w:cs="仿宋"/>
                <w:sz w:val="20"/>
                <w:szCs w:val="20"/>
              </w:rPr>
            </w:pPr>
            <w:r>
              <w:rPr>
                <w:rFonts w:ascii="仿宋" w:hAnsi="仿宋" w:eastAsia="仿宋" w:cs="仿宋"/>
                <w:spacing w:val="6"/>
                <w:sz w:val="20"/>
                <w:szCs w:val="20"/>
              </w:rPr>
              <w:t>声校准器</w:t>
            </w:r>
          </w:p>
        </w:tc>
        <w:tc>
          <w:tcPr>
            <w:tcW w:w="4517" w:type="dxa"/>
            <w:tcBorders>
              <w:bottom w:val="single" w:color="000000" w:sz="10" w:space="0"/>
              <w:right w:val="nil"/>
            </w:tcBorders>
            <w:vAlign w:val="top"/>
          </w:tcPr>
          <w:p w14:paraId="33B765A4">
            <w:pPr>
              <w:pStyle w:val="6"/>
              <w:spacing w:before="108" w:line="197" w:lineRule="auto"/>
              <w:ind w:left="1138"/>
              <w:rPr>
                <w:sz w:val="20"/>
                <w:szCs w:val="20"/>
              </w:rPr>
            </w:pPr>
            <w:r>
              <w:rPr>
                <w:sz w:val="20"/>
                <w:szCs w:val="20"/>
              </w:rPr>
              <w:t>AWA</w:t>
            </w:r>
            <w:r>
              <w:rPr>
                <w:spacing w:val="5"/>
                <w:sz w:val="20"/>
                <w:szCs w:val="20"/>
              </w:rPr>
              <w:t>6022</w:t>
            </w:r>
            <w:r>
              <w:rPr>
                <w:sz w:val="20"/>
                <w:szCs w:val="20"/>
              </w:rPr>
              <w:t>A</w:t>
            </w:r>
            <w:r>
              <w:rPr>
                <w:spacing w:val="5"/>
                <w:sz w:val="20"/>
                <w:szCs w:val="20"/>
              </w:rPr>
              <w:t xml:space="preserve"> </w:t>
            </w:r>
            <w:r>
              <w:rPr>
                <w:sz w:val="20"/>
                <w:szCs w:val="20"/>
              </w:rPr>
              <w:t>HYYQ</w:t>
            </w:r>
            <w:r>
              <w:rPr>
                <w:spacing w:val="5"/>
                <w:sz w:val="20"/>
                <w:szCs w:val="20"/>
              </w:rPr>
              <w:t>-25-03</w:t>
            </w:r>
          </w:p>
        </w:tc>
      </w:tr>
    </w:tbl>
    <w:p w14:paraId="25DEC865">
      <w:pPr>
        <w:spacing w:before="328" w:line="223" w:lineRule="auto"/>
        <w:ind w:left="123"/>
        <w:outlineLvl w:val="2"/>
        <w:rPr>
          <w:rFonts w:ascii="仿宋" w:hAnsi="仿宋" w:eastAsia="仿宋" w:cs="仿宋"/>
          <w:sz w:val="28"/>
          <w:szCs w:val="28"/>
        </w:rPr>
      </w:pPr>
      <w:bookmarkStart w:id="35" w:name="bookmark38"/>
      <w:bookmarkEnd w:id="35"/>
      <w:r>
        <w:rPr>
          <w:rFonts w:ascii="仿宋" w:hAnsi="仿宋" w:eastAsia="仿宋" w:cs="仿宋"/>
          <w:b/>
          <w:bCs/>
          <w:spacing w:val="-7"/>
          <w:sz w:val="28"/>
          <w:szCs w:val="28"/>
        </w:rPr>
        <w:t>3.2.3</w:t>
      </w:r>
      <w:r>
        <w:rPr>
          <w:rFonts w:ascii="仿宋" w:hAnsi="仿宋" w:eastAsia="仿宋" w:cs="仿宋"/>
          <w:spacing w:val="-42"/>
          <w:sz w:val="28"/>
          <w:szCs w:val="28"/>
        </w:rPr>
        <w:t xml:space="preserve"> </w:t>
      </w:r>
      <w:r>
        <w:rPr>
          <w:rFonts w:ascii="仿宋" w:hAnsi="仿宋" w:eastAsia="仿宋" w:cs="仿宋"/>
          <w:b/>
          <w:bCs/>
          <w:spacing w:val="-7"/>
          <w:sz w:val="28"/>
          <w:szCs w:val="28"/>
        </w:rPr>
        <w:t>监测结果</w:t>
      </w:r>
    </w:p>
    <w:p w14:paraId="5D1A159F">
      <w:pPr>
        <w:spacing w:before="306" w:line="221" w:lineRule="auto"/>
        <w:jc w:val="right"/>
        <w:rPr>
          <w:rFonts w:ascii="仿宋" w:hAnsi="仿宋" w:eastAsia="仿宋" w:cs="仿宋"/>
          <w:sz w:val="24"/>
          <w:szCs w:val="24"/>
        </w:rPr>
      </w:pPr>
      <w:r>
        <w:rPr>
          <w:rFonts w:ascii="仿宋" w:hAnsi="仿宋" w:eastAsia="仿宋" w:cs="仿宋"/>
          <w:spacing w:val="-2"/>
          <w:sz w:val="24"/>
          <w:szCs w:val="24"/>
        </w:rPr>
        <w:t>敏感点监测结果见表</w:t>
      </w:r>
      <w:r>
        <w:rPr>
          <w:rFonts w:ascii="Times New Roman" w:hAnsi="Times New Roman" w:eastAsia="Times New Roman" w:cs="Times New Roman"/>
          <w:spacing w:val="-2"/>
          <w:sz w:val="24"/>
          <w:szCs w:val="24"/>
        </w:rPr>
        <w:t>3.2-3</w:t>
      </w:r>
      <w:r>
        <w:rPr>
          <w:rFonts w:ascii="Times New Roman" w:hAnsi="Times New Roman" w:eastAsia="Times New Roman" w:cs="Times New Roman"/>
          <w:spacing w:val="-13"/>
          <w:sz w:val="24"/>
          <w:szCs w:val="24"/>
        </w:rPr>
        <w:t xml:space="preserve"> </w:t>
      </w:r>
      <w:r>
        <w:rPr>
          <w:rFonts w:ascii="仿宋" w:hAnsi="仿宋" w:eastAsia="仿宋" w:cs="仿宋"/>
          <w:spacing w:val="-2"/>
          <w:sz w:val="24"/>
          <w:szCs w:val="24"/>
        </w:rPr>
        <w:t>和表</w:t>
      </w:r>
      <w:r>
        <w:rPr>
          <w:rFonts w:ascii="Times New Roman" w:hAnsi="Times New Roman" w:eastAsia="Times New Roman" w:cs="Times New Roman"/>
          <w:spacing w:val="-2"/>
          <w:sz w:val="24"/>
          <w:szCs w:val="24"/>
        </w:rPr>
        <w:t>3.2-4</w:t>
      </w:r>
      <w:r>
        <w:rPr>
          <w:rFonts w:ascii="仿宋" w:hAnsi="仿宋" w:eastAsia="仿宋" w:cs="仿宋"/>
          <w:spacing w:val="-2"/>
          <w:sz w:val="24"/>
          <w:szCs w:val="24"/>
        </w:rPr>
        <w:t>；衰减断面监测结果见表</w:t>
      </w:r>
      <w:r>
        <w:rPr>
          <w:rFonts w:ascii="Times New Roman" w:hAnsi="Times New Roman" w:eastAsia="Times New Roman" w:cs="Times New Roman"/>
          <w:spacing w:val="-2"/>
          <w:sz w:val="24"/>
          <w:szCs w:val="24"/>
        </w:rPr>
        <w:t xml:space="preserve">3.2-5 </w:t>
      </w:r>
      <w:r>
        <w:rPr>
          <w:rFonts w:ascii="仿宋" w:hAnsi="仿宋" w:eastAsia="仿宋" w:cs="仿宋"/>
          <w:spacing w:val="-2"/>
          <w:sz w:val="24"/>
          <w:szCs w:val="24"/>
        </w:rPr>
        <w:t>和表</w:t>
      </w:r>
      <w:r>
        <w:rPr>
          <w:rFonts w:ascii="Times New Roman" w:hAnsi="Times New Roman" w:eastAsia="Times New Roman" w:cs="Times New Roman"/>
          <w:spacing w:val="-2"/>
          <w:sz w:val="24"/>
          <w:szCs w:val="24"/>
        </w:rPr>
        <w:t>3</w:t>
      </w:r>
      <w:r>
        <w:rPr>
          <w:rFonts w:ascii="Times New Roman" w:hAnsi="Times New Roman" w:eastAsia="Times New Roman" w:cs="Times New Roman"/>
          <w:spacing w:val="-3"/>
          <w:sz w:val="24"/>
          <w:szCs w:val="24"/>
        </w:rPr>
        <w:t>.2-6</w:t>
      </w:r>
      <w:r>
        <w:rPr>
          <w:rFonts w:ascii="仿宋" w:hAnsi="仿宋" w:eastAsia="仿宋" w:cs="仿宋"/>
          <w:spacing w:val="-3"/>
          <w:sz w:val="24"/>
          <w:szCs w:val="24"/>
        </w:rPr>
        <w:t>。</w:t>
      </w:r>
    </w:p>
    <w:p w14:paraId="469AC67C">
      <w:pPr>
        <w:spacing w:before="178" w:line="220" w:lineRule="auto"/>
        <w:ind w:left="1354"/>
        <w:rPr>
          <w:rFonts w:ascii="仿宋" w:hAnsi="仿宋" w:eastAsia="仿宋" w:cs="仿宋"/>
          <w:sz w:val="24"/>
          <w:szCs w:val="24"/>
        </w:rPr>
      </w:pPr>
      <w:r>
        <w:rPr>
          <w:rFonts w:ascii="仿宋" w:hAnsi="仿宋" w:eastAsia="仿宋" w:cs="仿宋"/>
          <w:b/>
          <w:bCs/>
          <w:spacing w:val="-5"/>
          <w:sz w:val="24"/>
          <w:szCs w:val="24"/>
        </w:rPr>
        <w:t>表</w:t>
      </w:r>
      <w:r>
        <w:rPr>
          <w:rFonts w:ascii="仿宋" w:hAnsi="仿宋" w:eastAsia="仿宋" w:cs="仿宋"/>
          <w:spacing w:val="-35"/>
          <w:sz w:val="24"/>
          <w:szCs w:val="24"/>
        </w:rPr>
        <w:t xml:space="preserve"> </w:t>
      </w:r>
      <w:r>
        <w:rPr>
          <w:rFonts w:ascii="仿宋" w:hAnsi="仿宋" w:eastAsia="仿宋" w:cs="仿宋"/>
          <w:b/>
          <w:bCs/>
          <w:spacing w:val="-5"/>
          <w:sz w:val="24"/>
          <w:szCs w:val="24"/>
        </w:rPr>
        <w:t>3.2-3</w:t>
      </w:r>
      <w:r>
        <w:rPr>
          <w:rFonts w:ascii="仿宋" w:hAnsi="仿宋" w:eastAsia="仿宋" w:cs="仿宋"/>
          <w:spacing w:val="-5"/>
          <w:sz w:val="24"/>
          <w:szCs w:val="24"/>
        </w:rPr>
        <w:t xml:space="preserve">    </w:t>
      </w:r>
      <w:r>
        <w:rPr>
          <w:rFonts w:ascii="仿宋" w:hAnsi="仿宋" w:eastAsia="仿宋" w:cs="仿宋"/>
          <w:b/>
          <w:bCs/>
          <w:spacing w:val="-5"/>
          <w:sz w:val="24"/>
          <w:szCs w:val="24"/>
        </w:rPr>
        <w:t>敏感目标噪声检测结果</w:t>
      </w:r>
      <w:r>
        <w:rPr>
          <w:rFonts w:ascii="仿宋" w:hAnsi="仿宋" w:eastAsia="仿宋" w:cs="仿宋"/>
          <w:spacing w:val="5"/>
          <w:sz w:val="24"/>
          <w:szCs w:val="24"/>
        </w:rPr>
        <w:t xml:space="preserve">    </w:t>
      </w:r>
      <w:r>
        <w:rPr>
          <w:rFonts w:ascii="仿宋" w:hAnsi="仿宋" w:eastAsia="仿宋" w:cs="仿宋"/>
          <w:b/>
          <w:bCs/>
          <w:spacing w:val="-5"/>
          <w:sz w:val="24"/>
          <w:szCs w:val="24"/>
        </w:rPr>
        <w:t>单位:</w:t>
      </w:r>
      <w:r>
        <w:rPr>
          <w:rFonts w:ascii="仿宋" w:hAnsi="仿宋" w:eastAsia="仿宋" w:cs="仿宋"/>
          <w:spacing w:val="49"/>
          <w:sz w:val="24"/>
          <w:szCs w:val="24"/>
        </w:rPr>
        <w:t xml:space="preserve"> </w:t>
      </w:r>
      <w:r>
        <w:rPr>
          <w:rFonts w:ascii="仿宋" w:hAnsi="仿宋" w:eastAsia="仿宋" w:cs="仿宋"/>
          <w:b/>
          <w:bCs/>
          <w:spacing w:val="-5"/>
          <w:sz w:val="24"/>
          <w:szCs w:val="24"/>
        </w:rPr>
        <w:t>[dB(A)]</w:t>
      </w:r>
    </w:p>
    <w:p w14:paraId="3B258989">
      <w:pPr>
        <w:spacing w:line="146" w:lineRule="exact"/>
      </w:pPr>
    </w:p>
    <w:tbl>
      <w:tblPr>
        <w:tblStyle w:val="5"/>
        <w:tblW w:w="8519" w:type="dxa"/>
        <w:tblInd w:w="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637"/>
        <w:gridCol w:w="1476"/>
        <w:gridCol w:w="1208"/>
        <w:gridCol w:w="2015"/>
        <w:gridCol w:w="1183"/>
      </w:tblGrid>
      <w:tr w14:paraId="1F59D9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2637" w:type="dxa"/>
            <w:tcBorders>
              <w:top w:val="single" w:color="000000" w:sz="10" w:space="0"/>
              <w:left w:val="nil"/>
            </w:tcBorders>
            <w:vAlign w:val="top"/>
          </w:tcPr>
          <w:p w14:paraId="1B7D94E9">
            <w:pPr>
              <w:spacing w:before="55" w:line="229" w:lineRule="auto"/>
              <w:ind w:left="914"/>
              <w:rPr>
                <w:rFonts w:ascii="仿宋" w:hAnsi="仿宋" w:eastAsia="仿宋" w:cs="仿宋"/>
                <w:sz w:val="20"/>
                <w:szCs w:val="20"/>
              </w:rPr>
            </w:pPr>
            <w:r>
              <w:rPr>
                <w:rFonts w:ascii="仿宋" w:hAnsi="仿宋" w:eastAsia="仿宋" w:cs="仿宋"/>
                <w:spacing w:val="5"/>
                <w:sz w:val="20"/>
                <w:szCs w:val="20"/>
              </w:rPr>
              <w:t>检测位置</w:t>
            </w:r>
          </w:p>
        </w:tc>
        <w:tc>
          <w:tcPr>
            <w:tcW w:w="1476" w:type="dxa"/>
            <w:tcBorders>
              <w:top w:val="single" w:color="000000" w:sz="10" w:space="0"/>
            </w:tcBorders>
            <w:vAlign w:val="top"/>
          </w:tcPr>
          <w:p w14:paraId="0324DC9F">
            <w:pPr>
              <w:spacing w:before="55" w:line="229" w:lineRule="auto"/>
              <w:ind w:left="331"/>
              <w:rPr>
                <w:rFonts w:ascii="仿宋" w:hAnsi="仿宋" w:eastAsia="仿宋" w:cs="仿宋"/>
                <w:sz w:val="20"/>
                <w:szCs w:val="20"/>
              </w:rPr>
            </w:pPr>
            <w:r>
              <w:rPr>
                <w:rFonts w:ascii="仿宋" w:hAnsi="仿宋" w:eastAsia="仿宋" w:cs="仿宋"/>
                <w:spacing w:val="5"/>
                <w:sz w:val="20"/>
                <w:szCs w:val="20"/>
              </w:rPr>
              <w:t>检测时间</w:t>
            </w:r>
          </w:p>
        </w:tc>
        <w:tc>
          <w:tcPr>
            <w:tcW w:w="1208" w:type="dxa"/>
            <w:tcBorders>
              <w:top w:val="single" w:color="000000" w:sz="10" w:space="0"/>
            </w:tcBorders>
            <w:vAlign w:val="top"/>
          </w:tcPr>
          <w:p w14:paraId="4EFF15FE">
            <w:pPr>
              <w:spacing w:before="56" w:line="231" w:lineRule="auto"/>
              <w:ind w:left="195"/>
              <w:rPr>
                <w:rFonts w:ascii="仿宋" w:hAnsi="仿宋" w:eastAsia="仿宋" w:cs="仿宋"/>
                <w:sz w:val="20"/>
                <w:szCs w:val="20"/>
              </w:rPr>
            </w:pPr>
            <w:r>
              <w:rPr>
                <w:rFonts w:ascii="仿宋" w:hAnsi="仿宋" w:eastAsia="仿宋" w:cs="仿宋"/>
                <w:spacing w:val="5"/>
                <w:sz w:val="20"/>
                <w:szCs w:val="20"/>
              </w:rPr>
              <w:t>测定结果</w:t>
            </w:r>
          </w:p>
        </w:tc>
        <w:tc>
          <w:tcPr>
            <w:tcW w:w="2015" w:type="dxa"/>
            <w:tcBorders>
              <w:top w:val="single" w:color="000000" w:sz="10" w:space="0"/>
            </w:tcBorders>
            <w:vAlign w:val="top"/>
          </w:tcPr>
          <w:p w14:paraId="0445DBD7">
            <w:pPr>
              <w:spacing w:before="55" w:line="229" w:lineRule="auto"/>
              <w:ind w:left="599"/>
              <w:rPr>
                <w:rFonts w:ascii="仿宋" w:hAnsi="仿宋" w:eastAsia="仿宋" w:cs="仿宋"/>
                <w:sz w:val="20"/>
                <w:szCs w:val="20"/>
              </w:rPr>
            </w:pPr>
            <w:r>
              <w:rPr>
                <w:rFonts w:ascii="仿宋" w:hAnsi="仿宋" w:eastAsia="仿宋" w:cs="仿宋"/>
                <w:spacing w:val="5"/>
                <w:sz w:val="20"/>
                <w:szCs w:val="20"/>
              </w:rPr>
              <w:t>检测时间</w:t>
            </w:r>
          </w:p>
        </w:tc>
        <w:tc>
          <w:tcPr>
            <w:tcW w:w="1183" w:type="dxa"/>
            <w:tcBorders>
              <w:top w:val="single" w:color="000000" w:sz="10" w:space="0"/>
              <w:right w:val="nil"/>
            </w:tcBorders>
            <w:vAlign w:val="top"/>
          </w:tcPr>
          <w:p w14:paraId="3453F90E">
            <w:pPr>
              <w:spacing w:before="56" w:line="231" w:lineRule="auto"/>
              <w:ind w:left="181"/>
              <w:rPr>
                <w:rFonts w:ascii="仿宋" w:hAnsi="仿宋" w:eastAsia="仿宋" w:cs="仿宋"/>
                <w:sz w:val="20"/>
                <w:szCs w:val="20"/>
              </w:rPr>
            </w:pPr>
            <w:r>
              <w:rPr>
                <w:rFonts w:ascii="仿宋" w:hAnsi="仿宋" w:eastAsia="仿宋" w:cs="仿宋"/>
                <w:spacing w:val="5"/>
                <w:sz w:val="20"/>
                <w:szCs w:val="20"/>
              </w:rPr>
              <w:t>测定结果</w:t>
            </w:r>
          </w:p>
        </w:tc>
      </w:tr>
      <w:tr w14:paraId="0107EA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637" w:type="dxa"/>
            <w:tcBorders>
              <w:left w:val="nil"/>
            </w:tcBorders>
            <w:vAlign w:val="top"/>
          </w:tcPr>
          <w:p w14:paraId="2DE3642E">
            <w:pPr>
              <w:pStyle w:val="6"/>
              <w:spacing w:before="52" w:line="231" w:lineRule="auto"/>
              <w:ind w:left="771"/>
              <w:rPr>
                <w:rFonts w:ascii="仿宋" w:hAnsi="仿宋" w:eastAsia="仿宋" w:cs="仿宋"/>
                <w:sz w:val="20"/>
                <w:szCs w:val="20"/>
              </w:rPr>
            </w:pPr>
            <w:r>
              <w:rPr>
                <w:rFonts w:ascii="仿宋" w:hAnsi="仿宋" w:eastAsia="仿宋" w:cs="仿宋"/>
                <w:spacing w:val="5"/>
                <w:sz w:val="20"/>
                <w:szCs w:val="20"/>
              </w:rPr>
              <w:t>庙圪梁</w:t>
            </w:r>
            <w:r>
              <w:rPr>
                <w:spacing w:val="5"/>
                <w:sz w:val="20"/>
                <w:szCs w:val="20"/>
              </w:rPr>
              <w:t>-</w:t>
            </w:r>
            <w:r>
              <w:rPr>
                <w:rFonts w:ascii="仿宋" w:hAnsi="仿宋" w:eastAsia="仿宋" w:cs="仿宋"/>
                <w:spacing w:val="5"/>
                <w:sz w:val="20"/>
                <w:szCs w:val="20"/>
              </w:rPr>
              <w:t>散户</w:t>
            </w:r>
          </w:p>
        </w:tc>
        <w:tc>
          <w:tcPr>
            <w:tcW w:w="1476" w:type="dxa"/>
            <w:vMerge w:val="restart"/>
            <w:tcBorders>
              <w:bottom w:val="nil"/>
            </w:tcBorders>
            <w:vAlign w:val="top"/>
          </w:tcPr>
          <w:p w14:paraId="53F6A93E">
            <w:pPr>
              <w:spacing w:line="263" w:lineRule="auto"/>
              <w:rPr>
                <w:rFonts w:ascii="Arial"/>
                <w:sz w:val="21"/>
              </w:rPr>
            </w:pPr>
          </w:p>
          <w:p w14:paraId="66BB0C92">
            <w:pPr>
              <w:spacing w:line="263" w:lineRule="auto"/>
              <w:rPr>
                <w:rFonts w:ascii="Arial"/>
                <w:sz w:val="21"/>
              </w:rPr>
            </w:pPr>
          </w:p>
          <w:p w14:paraId="49CC5697">
            <w:pPr>
              <w:spacing w:line="263" w:lineRule="auto"/>
              <w:rPr>
                <w:rFonts w:ascii="Arial"/>
                <w:sz w:val="21"/>
              </w:rPr>
            </w:pPr>
          </w:p>
          <w:p w14:paraId="7CE8C90B">
            <w:pPr>
              <w:spacing w:line="263" w:lineRule="auto"/>
              <w:rPr>
                <w:rFonts w:ascii="Arial"/>
                <w:sz w:val="21"/>
              </w:rPr>
            </w:pPr>
          </w:p>
          <w:p w14:paraId="562582CB">
            <w:pPr>
              <w:spacing w:line="264" w:lineRule="auto"/>
              <w:rPr>
                <w:rFonts w:ascii="Arial"/>
                <w:sz w:val="21"/>
              </w:rPr>
            </w:pPr>
          </w:p>
          <w:p w14:paraId="613C5F80">
            <w:pPr>
              <w:pStyle w:val="6"/>
              <w:spacing w:before="58" w:line="195" w:lineRule="auto"/>
              <w:ind w:left="244"/>
              <w:rPr>
                <w:sz w:val="20"/>
                <w:szCs w:val="20"/>
              </w:rPr>
            </w:pPr>
            <w:r>
              <w:rPr>
                <w:sz w:val="20"/>
                <w:szCs w:val="20"/>
              </w:rPr>
              <w:t>10:00-</w:t>
            </w:r>
            <w:r>
              <w:rPr>
                <w:spacing w:val="-28"/>
                <w:sz w:val="20"/>
                <w:szCs w:val="20"/>
              </w:rPr>
              <w:t xml:space="preserve"> </w:t>
            </w:r>
            <w:r>
              <w:rPr>
                <w:sz w:val="20"/>
                <w:szCs w:val="20"/>
              </w:rPr>
              <w:t>15:50</w:t>
            </w:r>
          </w:p>
          <w:p w14:paraId="5C3F9AE2">
            <w:pPr>
              <w:pStyle w:val="6"/>
              <w:spacing w:before="89" w:line="265" w:lineRule="exact"/>
              <w:ind w:left="123"/>
              <w:rPr>
                <w:rFonts w:ascii="仿宋" w:hAnsi="仿宋" w:eastAsia="仿宋" w:cs="仿宋"/>
                <w:sz w:val="20"/>
                <w:szCs w:val="20"/>
              </w:rPr>
            </w:pPr>
            <w:r>
              <w:rPr>
                <w:rFonts w:ascii="仿宋" w:hAnsi="仿宋" w:eastAsia="仿宋" w:cs="仿宋"/>
                <w:position w:val="1"/>
                <w:sz w:val="20"/>
                <w:szCs w:val="20"/>
              </w:rPr>
              <w:t>（</w:t>
            </w:r>
            <w:r>
              <w:rPr>
                <w:position w:val="1"/>
                <w:sz w:val="20"/>
                <w:szCs w:val="20"/>
              </w:rPr>
              <w:t>2026.6.</w:t>
            </w:r>
            <w:r>
              <w:rPr>
                <w:spacing w:val="-20"/>
                <w:position w:val="1"/>
                <w:sz w:val="20"/>
                <w:szCs w:val="20"/>
              </w:rPr>
              <w:t xml:space="preserve"> </w:t>
            </w:r>
            <w:r>
              <w:rPr>
                <w:position w:val="1"/>
                <w:sz w:val="20"/>
                <w:szCs w:val="20"/>
              </w:rPr>
              <w:t>12</w:t>
            </w:r>
            <w:r>
              <w:rPr>
                <w:rFonts w:ascii="仿宋" w:hAnsi="仿宋" w:eastAsia="仿宋" w:cs="仿宋"/>
                <w:position w:val="1"/>
                <w:sz w:val="20"/>
                <w:szCs w:val="20"/>
              </w:rPr>
              <w:t>）</w:t>
            </w:r>
          </w:p>
        </w:tc>
        <w:tc>
          <w:tcPr>
            <w:tcW w:w="1208" w:type="dxa"/>
            <w:vAlign w:val="top"/>
          </w:tcPr>
          <w:p w14:paraId="69C84F8E">
            <w:pPr>
              <w:pStyle w:val="6"/>
              <w:spacing w:before="88" w:line="195" w:lineRule="auto"/>
              <w:ind w:left="506"/>
              <w:rPr>
                <w:sz w:val="20"/>
                <w:szCs w:val="20"/>
              </w:rPr>
            </w:pPr>
            <w:r>
              <w:rPr>
                <w:sz w:val="20"/>
                <w:szCs w:val="20"/>
              </w:rPr>
              <w:t>50</w:t>
            </w:r>
          </w:p>
        </w:tc>
        <w:tc>
          <w:tcPr>
            <w:tcW w:w="2015" w:type="dxa"/>
            <w:vMerge w:val="restart"/>
            <w:tcBorders>
              <w:bottom w:val="nil"/>
            </w:tcBorders>
            <w:vAlign w:val="top"/>
          </w:tcPr>
          <w:p w14:paraId="0288010D">
            <w:pPr>
              <w:spacing w:line="263" w:lineRule="auto"/>
              <w:rPr>
                <w:rFonts w:ascii="Arial"/>
                <w:sz w:val="21"/>
              </w:rPr>
            </w:pPr>
          </w:p>
          <w:p w14:paraId="34CD4987">
            <w:pPr>
              <w:spacing w:line="263" w:lineRule="auto"/>
              <w:rPr>
                <w:rFonts w:ascii="Arial"/>
                <w:sz w:val="21"/>
              </w:rPr>
            </w:pPr>
          </w:p>
          <w:p w14:paraId="61ACCCB5">
            <w:pPr>
              <w:spacing w:line="263" w:lineRule="auto"/>
              <w:rPr>
                <w:rFonts w:ascii="Arial"/>
                <w:sz w:val="21"/>
              </w:rPr>
            </w:pPr>
          </w:p>
          <w:p w14:paraId="79A466EE">
            <w:pPr>
              <w:spacing w:line="263" w:lineRule="auto"/>
              <w:rPr>
                <w:rFonts w:ascii="Arial"/>
                <w:sz w:val="21"/>
              </w:rPr>
            </w:pPr>
          </w:p>
          <w:p w14:paraId="7A04A401">
            <w:pPr>
              <w:spacing w:line="264" w:lineRule="auto"/>
              <w:rPr>
                <w:rFonts w:ascii="Arial"/>
                <w:sz w:val="21"/>
              </w:rPr>
            </w:pPr>
          </w:p>
          <w:p w14:paraId="026B5E89">
            <w:pPr>
              <w:pStyle w:val="6"/>
              <w:spacing w:before="58" w:line="195" w:lineRule="auto"/>
              <w:ind w:left="495"/>
              <w:rPr>
                <w:sz w:val="20"/>
                <w:szCs w:val="20"/>
              </w:rPr>
            </w:pPr>
            <w:r>
              <w:rPr>
                <w:spacing w:val="3"/>
                <w:sz w:val="20"/>
                <w:szCs w:val="20"/>
              </w:rPr>
              <w:t>22:00-03:51</w:t>
            </w:r>
          </w:p>
          <w:p w14:paraId="167A984C">
            <w:pPr>
              <w:pStyle w:val="6"/>
              <w:spacing w:before="89" w:line="265" w:lineRule="exact"/>
              <w:ind w:left="175"/>
              <w:rPr>
                <w:rFonts w:ascii="仿宋" w:hAnsi="仿宋" w:eastAsia="仿宋" w:cs="仿宋"/>
                <w:sz w:val="20"/>
                <w:szCs w:val="20"/>
              </w:rPr>
            </w:pPr>
            <w:r>
              <w:rPr>
                <w:rFonts w:ascii="仿宋" w:hAnsi="仿宋" w:eastAsia="仿宋" w:cs="仿宋"/>
                <w:position w:val="1"/>
                <w:sz w:val="20"/>
                <w:szCs w:val="20"/>
              </w:rPr>
              <w:t>（</w:t>
            </w:r>
            <w:r>
              <w:rPr>
                <w:position w:val="1"/>
                <w:sz w:val="20"/>
                <w:szCs w:val="20"/>
              </w:rPr>
              <w:t>2026.6.</w:t>
            </w:r>
            <w:r>
              <w:rPr>
                <w:spacing w:val="-25"/>
                <w:position w:val="1"/>
                <w:sz w:val="20"/>
                <w:szCs w:val="20"/>
              </w:rPr>
              <w:t xml:space="preserve"> </w:t>
            </w:r>
            <w:r>
              <w:rPr>
                <w:position w:val="1"/>
                <w:sz w:val="20"/>
                <w:szCs w:val="20"/>
              </w:rPr>
              <w:t>12-6.</w:t>
            </w:r>
            <w:r>
              <w:rPr>
                <w:spacing w:val="-25"/>
                <w:position w:val="1"/>
                <w:sz w:val="20"/>
                <w:szCs w:val="20"/>
              </w:rPr>
              <w:t xml:space="preserve"> </w:t>
            </w:r>
            <w:r>
              <w:rPr>
                <w:position w:val="1"/>
                <w:sz w:val="20"/>
                <w:szCs w:val="20"/>
              </w:rPr>
              <w:t>13</w:t>
            </w:r>
            <w:r>
              <w:rPr>
                <w:rFonts w:ascii="仿宋" w:hAnsi="仿宋" w:eastAsia="仿宋" w:cs="仿宋"/>
                <w:position w:val="1"/>
                <w:sz w:val="20"/>
                <w:szCs w:val="20"/>
              </w:rPr>
              <w:t>）</w:t>
            </w:r>
          </w:p>
        </w:tc>
        <w:tc>
          <w:tcPr>
            <w:tcW w:w="1183" w:type="dxa"/>
            <w:tcBorders>
              <w:right w:val="nil"/>
            </w:tcBorders>
            <w:vAlign w:val="top"/>
          </w:tcPr>
          <w:p w14:paraId="0178343C">
            <w:pPr>
              <w:pStyle w:val="6"/>
              <w:spacing w:before="88" w:line="195" w:lineRule="auto"/>
              <w:ind w:left="487"/>
              <w:rPr>
                <w:sz w:val="20"/>
                <w:szCs w:val="20"/>
              </w:rPr>
            </w:pPr>
            <w:r>
              <w:rPr>
                <w:spacing w:val="3"/>
                <w:sz w:val="20"/>
                <w:szCs w:val="20"/>
              </w:rPr>
              <w:t>40</w:t>
            </w:r>
          </w:p>
        </w:tc>
      </w:tr>
      <w:tr w14:paraId="7BC98A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637" w:type="dxa"/>
            <w:tcBorders>
              <w:left w:val="nil"/>
            </w:tcBorders>
            <w:vAlign w:val="top"/>
          </w:tcPr>
          <w:p w14:paraId="02EEE065">
            <w:pPr>
              <w:pStyle w:val="6"/>
              <w:spacing w:before="53" w:line="231" w:lineRule="auto"/>
              <w:ind w:left="773"/>
              <w:rPr>
                <w:rFonts w:ascii="仿宋" w:hAnsi="仿宋" w:eastAsia="仿宋" w:cs="仿宋"/>
                <w:sz w:val="20"/>
                <w:szCs w:val="20"/>
              </w:rPr>
            </w:pPr>
            <w:r>
              <w:rPr>
                <w:rFonts w:ascii="仿宋" w:hAnsi="仿宋" w:eastAsia="仿宋" w:cs="仿宋"/>
                <w:spacing w:val="5"/>
                <w:sz w:val="20"/>
                <w:szCs w:val="20"/>
              </w:rPr>
              <w:t>崔家峁</w:t>
            </w:r>
            <w:r>
              <w:rPr>
                <w:spacing w:val="5"/>
                <w:sz w:val="20"/>
                <w:szCs w:val="20"/>
              </w:rPr>
              <w:t>-</w:t>
            </w:r>
            <w:r>
              <w:rPr>
                <w:rFonts w:ascii="仿宋" w:hAnsi="仿宋" w:eastAsia="仿宋" w:cs="仿宋"/>
                <w:spacing w:val="5"/>
                <w:sz w:val="20"/>
                <w:szCs w:val="20"/>
              </w:rPr>
              <w:t>散户</w:t>
            </w:r>
          </w:p>
        </w:tc>
        <w:tc>
          <w:tcPr>
            <w:tcW w:w="1476" w:type="dxa"/>
            <w:vMerge w:val="continue"/>
            <w:tcBorders>
              <w:top w:val="nil"/>
              <w:bottom w:val="nil"/>
            </w:tcBorders>
            <w:vAlign w:val="top"/>
          </w:tcPr>
          <w:p w14:paraId="1A1E80AD">
            <w:pPr>
              <w:rPr>
                <w:rFonts w:ascii="Arial"/>
                <w:sz w:val="21"/>
              </w:rPr>
            </w:pPr>
          </w:p>
        </w:tc>
        <w:tc>
          <w:tcPr>
            <w:tcW w:w="1208" w:type="dxa"/>
            <w:vAlign w:val="top"/>
          </w:tcPr>
          <w:p w14:paraId="6C3DCF3E">
            <w:pPr>
              <w:pStyle w:val="6"/>
              <w:spacing w:before="89" w:line="195" w:lineRule="auto"/>
              <w:ind w:left="506"/>
              <w:rPr>
                <w:sz w:val="20"/>
                <w:szCs w:val="20"/>
              </w:rPr>
            </w:pPr>
            <w:r>
              <w:rPr>
                <w:sz w:val="20"/>
                <w:szCs w:val="20"/>
              </w:rPr>
              <w:t>53</w:t>
            </w:r>
          </w:p>
        </w:tc>
        <w:tc>
          <w:tcPr>
            <w:tcW w:w="2015" w:type="dxa"/>
            <w:vMerge w:val="continue"/>
            <w:tcBorders>
              <w:top w:val="nil"/>
              <w:bottom w:val="nil"/>
            </w:tcBorders>
            <w:vAlign w:val="top"/>
          </w:tcPr>
          <w:p w14:paraId="5AC0F0F6">
            <w:pPr>
              <w:rPr>
                <w:rFonts w:ascii="Arial"/>
                <w:sz w:val="21"/>
              </w:rPr>
            </w:pPr>
          </w:p>
        </w:tc>
        <w:tc>
          <w:tcPr>
            <w:tcW w:w="1183" w:type="dxa"/>
            <w:tcBorders>
              <w:right w:val="nil"/>
            </w:tcBorders>
            <w:vAlign w:val="top"/>
          </w:tcPr>
          <w:p w14:paraId="21884174">
            <w:pPr>
              <w:pStyle w:val="6"/>
              <w:spacing w:before="89" w:line="195" w:lineRule="auto"/>
              <w:ind w:left="487"/>
              <w:rPr>
                <w:sz w:val="20"/>
                <w:szCs w:val="20"/>
              </w:rPr>
            </w:pPr>
            <w:r>
              <w:rPr>
                <w:spacing w:val="3"/>
                <w:sz w:val="20"/>
                <w:szCs w:val="20"/>
              </w:rPr>
              <w:t>43</w:t>
            </w:r>
          </w:p>
        </w:tc>
      </w:tr>
      <w:tr w14:paraId="538514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637" w:type="dxa"/>
            <w:tcBorders>
              <w:left w:val="nil"/>
            </w:tcBorders>
            <w:vAlign w:val="top"/>
          </w:tcPr>
          <w:p w14:paraId="16A25A4B">
            <w:pPr>
              <w:pStyle w:val="6"/>
              <w:spacing w:before="53" w:line="231" w:lineRule="auto"/>
              <w:ind w:left="779"/>
              <w:rPr>
                <w:rFonts w:ascii="仿宋" w:hAnsi="仿宋" w:eastAsia="仿宋" w:cs="仿宋"/>
                <w:sz w:val="20"/>
                <w:szCs w:val="20"/>
              </w:rPr>
            </w:pPr>
            <w:r>
              <w:rPr>
                <w:rFonts w:ascii="仿宋" w:hAnsi="仿宋" w:eastAsia="仿宋" w:cs="仿宋"/>
                <w:spacing w:val="4"/>
                <w:sz w:val="20"/>
                <w:szCs w:val="20"/>
              </w:rPr>
              <w:t>瓦窑平</w:t>
            </w:r>
            <w:r>
              <w:rPr>
                <w:spacing w:val="4"/>
                <w:sz w:val="20"/>
                <w:szCs w:val="20"/>
              </w:rPr>
              <w:t>-</w:t>
            </w:r>
            <w:r>
              <w:rPr>
                <w:rFonts w:ascii="仿宋" w:hAnsi="仿宋" w:eastAsia="仿宋" w:cs="仿宋"/>
                <w:spacing w:val="4"/>
                <w:sz w:val="20"/>
                <w:szCs w:val="20"/>
              </w:rPr>
              <w:t>散户</w:t>
            </w:r>
          </w:p>
        </w:tc>
        <w:tc>
          <w:tcPr>
            <w:tcW w:w="1476" w:type="dxa"/>
            <w:vMerge w:val="continue"/>
            <w:tcBorders>
              <w:top w:val="nil"/>
              <w:bottom w:val="nil"/>
            </w:tcBorders>
            <w:vAlign w:val="top"/>
          </w:tcPr>
          <w:p w14:paraId="5D141E1F">
            <w:pPr>
              <w:rPr>
                <w:rFonts w:ascii="Arial"/>
                <w:sz w:val="21"/>
              </w:rPr>
            </w:pPr>
          </w:p>
        </w:tc>
        <w:tc>
          <w:tcPr>
            <w:tcW w:w="1208" w:type="dxa"/>
            <w:vAlign w:val="top"/>
          </w:tcPr>
          <w:p w14:paraId="7A0B6AAD">
            <w:pPr>
              <w:pStyle w:val="6"/>
              <w:spacing w:before="89" w:line="195" w:lineRule="auto"/>
              <w:ind w:left="506"/>
              <w:rPr>
                <w:sz w:val="20"/>
                <w:szCs w:val="20"/>
              </w:rPr>
            </w:pPr>
            <w:r>
              <w:rPr>
                <w:sz w:val="20"/>
                <w:szCs w:val="20"/>
              </w:rPr>
              <w:t>52</w:t>
            </w:r>
          </w:p>
        </w:tc>
        <w:tc>
          <w:tcPr>
            <w:tcW w:w="2015" w:type="dxa"/>
            <w:vMerge w:val="continue"/>
            <w:tcBorders>
              <w:top w:val="nil"/>
              <w:bottom w:val="nil"/>
            </w:tcBorders>
            <w:vAlign w:val="top"/>
          </w:tcPr>
          <w:p w14:paraId="6AC9D8DD">
            <w:pPr>
              <w:rPr>
                <w:rFonts w:ascii="Arial"/>
                <w:sz w:val="21"/>
              </w:rPr>
            </w:pPr>
          </w:p>
        </w:tc>
        <w:tc>
          <w:tcPr>
            <w:tcW w:w="1183" w:type="dxa"/>
            <w:tcBorders>
              <w:right w:val="nil"/>
            </w:tcBorders>
            <w:vAlign w:val="top"/>
          </w:tcPr>
          <w:p w14:paraId="355382A5">
            <w:pPr>
              <w:pStyle w:val="6"/>
              <w:spacing w:before="90" w:line="195" w:lineRule="auto"/>
              <w:ind w:left="487"/>
              <w:rPr>
                <w:sz w:val="20"/>
                <w:szCs w:val="20"/>
              </w:rPr>
            </w:pPr>
            <w:r>
              <w:rPr>
                <w:spacing w:val="3"/>
                <w:sz w:val="20"/>
                <w:szCs w:val="20"/>
              </w:rPr>
              <w:t>44</w:t>
            </w:r>
          </w:p>
        </w:tc>
      </w:tr>
      <w:tr w14:paraId="5309B1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2637" w:type="dxa"/>
            <w:tcBorders>
              <w:left w:val="nil"/>
            </w:tcBorders>
            <w:vAlign w:val="top"/>
          </w:tcPr>
          <w:p w14:paraId="6B3CCEE6">
            <w:pPr>
              <w:pStyle w:val="6"/>
              <w:spacing w:before="54" w:line="231" w:lineRule="auto"/>
              <w:ind w:left="728"/>
              <w:rPr>
                <w:sz w:val="20"/>
                <w:szCs w:val="20"/>
              </w:rPr>
            </w:pPr>
            <w:r>
              <w:rPr>
                <w:rFonts w:ascii="仿宋" w:hAnsi="仿宋" w:eastAsia="仿宋" w:cs="仿宋"/>
                <w:spacing w:val="5"/>
                <w:sz w:val="20"/>
                <w:szCs w:val="20"/>
              </w:rPr>
              <w:t>刘家塔散户</w:t>
            </w:r>
            <w:r>
              <w:rPr>
                <w:rFonts w:ascii="仿宋" w:hAnsi="仿宋" w:eastAsia="仿宋" w:cs="仿宋"/>
                <w:spacing w:val="-20"/>
                <w:sz w:val="20"/>
                <w:szCs w:val="20"/>
              </w:rPr>
              <w:t xml:space="preserve"> </w:t>
            </w:r>
            <w:r>
              <w:rPr>
                <w:spacing w:val="5"/>
                <w:sz w:val="20"/>
                <w:szCs w:val="20"/>
              </w:rPr>
              <w:t>1</w:t>
            </w:r>
          </w:p>
        </w:tc>
        <w:tc>
          <w:tcPr>
            <w:tcW w:w="1476" w:type="dxa"/>
            <w:vMerge w:val="continue"/>
            <w:tcBorders>
              <w:top w:val="nil"/>
              <w:bottom w:val="nil"/>
            </w:tcBorders>
            <w:vAlign w:val="top"/>
          </w:tcPr>
          <w:p w14:paraId="16CFC103">
            <w:pPr>
              <w:rPr>
                <w:rFonts w:ascii="Arial"/>
                <w:sz w:val="21"/>
              </w:rPr>
            </w:pPr>
          </w:p>
        </w:tc>
        <w:tc>
          <w:tcPr>
            <w:tcW w:w="1208" w:type="dxa"/>
            <w:vAlign w:val="top"/>
          </w:tcPr>
          <w:p w14:paraId="51478203">
            <w:pPr>
              <w:pStyle w:val="6"/>
              <w:spacing w:before="90" w:line="195" w:lineRule="auto"/>
              <w:ind w:left="506"/>
              <w:rPr>
                <w:sz w:val="20"/>
                <w:szCs w:val="20"/>
              </w:rPr>
            </w:pPr>
            <w:r>
              <w:rPr>
                <w:sz w:val="20"/>
                <w:szCs w:val="20"/>
              </w:rPr>
              <w:t>51</w:t>
            </w:r>
          </w:p>
        </w:tc>
        <w:tc>
          <w:tcPr>
            <w:tcW w:w="2015" w:type="dxa"/>
            <w:vMerge w:val="continue"/>
            <w:tcBorders>
              <w:top w:val="nil"/>
              <w:bottom w:val="nil"/>
            </w:tcBorders>
            <w:vAlign w:val="top"/>
          </w:tcPr>
          <w:p w14:paraId="4EBA50D9">
            <w:pPr>
              <w:rPr>
                <w:rFonts w:ascii="Arial"/>
                <w:sz w:val="21"/>
              </w:rPr>
            </w:pPr>
          </w:p>
        </w:tc>
        <w:tc>
          <w:tcPr>
            <w:tcW w:w="1183" w:type="dxa"/>
            <w:tcBorders>
              <w:right w:val="nil"/>
            </w:tcBorders>
            <w:vAlign w:val="top"/>
          </w:tcPr>
          <w:p w14:paraId="0EA0DDC3">
            <w:pPr>
              <w:pStyle w:val="6"/>
              <w:spacing w:before="90" w:line="195" w:lineRule="auto"/>
              <w:ind w:left="487"/>
              <w:rPr>
                <w:sz w:val="20"/>
                <w:szCs w:val="20"/>
              </w:rPr>
            </w:pPr>
            <w:r>
              <w:rPr>
                <w:spacing w:val="3"/>
                <w:sz w:val="20"/>
                <w:szCs w:val="20"/>
              </w:rPr>
              <w:t>42</w:t>
            </w:r>
          </w:p>
        </w:tc>
      </w:tr>
      <w:tr w14:paraId="2063D8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637" w:type="dxa"/>
            <w:tcBorders>
              <w:left w:val="nil"/>
            </w:tcBorders>
            <w:vAlign w:val="top"/>
          </w:tcPr>
          <w:p w14:paraId="463FCEAD">
            <w:pPr>
              <w:pStyle w:val="6"/>
              <w:spacing w:before="56" w:line="230" w:lineRule="auto"/>
              <w:ind w:left="728"/>
              <w:rPr>
                <w:sz w:val="20"/>
                <w:szCs w:val="20"/>
              </w:rPr>
            </w:pPr>
            <w:r>
              <w:rPr>
                <w:rFonts w:ascii="仿宋" w:hAnsi="仿宋" w:eastAsia="仿宋" w:cs="仿宋"/>
                <w:spacing w:val="5"/>
                <w:sz w:val="20"/>
                <w:szCs w:val="20"/>
              </w:rPr>
              <w:t>刘家塔散户</w:t>
            </w:r>
            <w:r>
              <w:rPr>
                <w:rFonts w:ascii="仿宋" w:hAnsi="仿宋" w:eastAsia="仿宋" w:cs="仿宋"/>
                <w:spacing w:val="-40"/>
                <w:sz w:val="20"/>
                <w:szCs w:val="20"/>
              </w:rPr>
              <w:t xml:space="preserve"> </w:t>
            </w:r>
            <w:r>
              <w:rPr>
                <w:spacing w:val="5"/>
                <w:sz w:val="20"/>
                <w:szCs w:val="20"/>
              </w:rPr>
              <w:t>2</w:t>
            </w:r>
          </w:p>
        </w:tc>
        <w:tc>
          <w:tcPr>
            <w:tcW w:w="1476" w:type="dxa"/>
            <w:vMerge w:val="continue"/>
            <w:tcBorders>
              <w:top w:val="nil"/>
              <w:bottom w:val="nil"/>
            </w:tcBorders>
            <w:vAlign w:val="top"/>
          </w:tcPr>
          <w:p w14:paraId="70B3F36F">
            <w:pPr>
              <w:rPr>
                <w:rFonts w:ascii="Arial"/>
                <w:sz w:val="21"/>
              </w:rPr>
            </w:pPr>
          </w:p>
        </w:tc>
        <w:tc>
          <w:tcPr>
            <w:tcW w:w="1208" w:type="dxa"/>
            <w:vAlign w:val="top"/>
          </w:tcPr>
          <w:p w14:paraId="04155017">
            <w:pPr>
              <w:pStyle w:val="6"/>
              <w:spacing w:before="92" w:line="195" w:lineRule="auto"/>
              <w:ind w:left="506"/>
              <w:rPr>
                <w:sz w:val="20"/>
                <w:szCs w:val="20"/>
              </w:rPr>
            </w:pPr>
            <w:r>
              <w:rPr>
                <w:sz w:val="20"/>
                <w:szCs w:val="20"/>
              </w:rPr>
              <w:t>51</w:t>
            </w:r>
          </w:p>
        </w:tc>
        <w:tc>
          <w:tcPr>
            <w:tcW w:w="2015" w:type="dxa"/>
            <w:vMerge w:val="continue"/>
            <w:tcBorders>
              <w:top w:val="nil"/>
              <w:bottom w:val="nil"/>
            </w:tcBorders>
            <w:vAlign w:val="top"/>
          </w:tcPr>
          <w:p w14:paraId="58786EB4">
            <w:pPr>
              <w:rPr>
                <w:rFonts w:ascii="Arial"/>
                <w:sz w:val="21"/>
              </w:rPr>
            </w:pPr>
          </w:p>
        </w:tc>
        <w:tc>
          <w:tcPr>
            <w:tcW w:w="1183" w:type="dxa"/>
            <w:tcBorders>
              <w:right w:val="nil"/>
            </w:tcBorders>
            <w:vAlign w:val="top"/>
          </w:tcPr>
          <w:p w14:paraId="2FABD6F5">
            <w:pPr>
              <w:pStyle w:val="6"/>
              <w:spacing w:before="92" w:line="195" w:lineRule="auto"/>
              <w:ind w:left="487"/>
              <w:rPr>
                <w:sz w:val="20"/>
                <w:szCs w:val="20"/>
              </w:rPr>
            </w:pPr>
            <w:r>
              <w:rPr>
                <w:spacing w:val="3"/>
                <w:sz w:val="20"/>
                <w:szCs w:val="20"/>
              </w:rPr>
              <w:t>41</w:t>
            </w:r>
          </w:p>
        </w:tc>
      </w:tr>
      <w:tr w14:paraId="45CA62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637" w:type="dxa"/>
            <w:tcBorders>
              <w:left w:val="nil"/>
            </w:tcBorders>
            <w:vAlign w:val="top"/>
          </w:tcPr>
          <w:p w14:paraId="3A6EADD6">
            <w:pPr>
              <w:spacing w:before="58" w:line="228" w:lineRule="auto"/>
              <w:ind w:left="1027"/>
              <w:rPr>
                <w:rFonts w:ascii="仿宋" w:hAnsi="仿宋" w:eastAsia="仿宋" w:cs="仿宋"/>
                <w:sz w:val="20"/>
                <w:szCs w:val="20"/>
              </w:rPr>
            </w:pPr>
            <w:r>
              <w:rPr>
                <w:rFonts w:ascii="仿宋" w:hAnsi="仿宋" w:eastAsia="仿宋" w:cs="仿宋"/>
                <w:spacing w:val="1"/>
                <w:sz w:val="20"/>
                <w:szCs w:val="20"/>
              </w:rPr>
              <w:t>陈家梁</w:t>
            </w:r>
          </w:p>
        </w:tc>
        <w:tc>
          <w:tcPr>
            <w:tcW w:w="1476" w:type="dxa"/>
            <w:vMerge w:val="continue"/>
            <w:tcBorders>
              <w:top w:val="nil"/>
              <w:bottom w:val="nil"/>
            </w:tcBorders>
            <w:vAlign w:val="top"/>
          </w:tcPr>
          <w:p w14:paraId="1D2ABD69">
            <w:pPr>
              <w:rPr>
                <w:rFonts w:ascii="Arial"/>
                <w:sz w:val="21"/>
              </w:rPr>
            </w:pPr>
          </w:p>
        </w:tc>
        <w:tc>
          <w:tcPr>
            <w:tcW w:w="1208" w:type="dxa"/>
            <w:vAlign w:val="top"/>
          </w:tcPr>
          <w:p w14:paraId="1B4B6B96">
            <w:pPr>
              <w:pStyle w:val="6"/>
              <w:spacing w:before="95" w:line="195" w:lineRule="auto"/>
              <w:ind w:left="506"/>
              <w:rPr>
                <w:sz w:val="20"/>
                <w:szCs w:val="20"/>
              </w:rPr>
            </w:pPr>
            <w:r>
              <w:rPr>
                <w:sz w:val="20"/>
                <w:szCs w:val="20"/>
              </w:rPr>
              <w:t>52</w:t>
            </w:r>
          </w:p>
        </w:tc>
        <w:tc>
          <w:tcPr>
            <w:tcW w:w="2015" w:type="dxa"/>
            <w:vMerge w:val="continue"/>
            <w:tcBorders>
              <w:top w:val="nil"/>
              <w:bottom w:val="nil"/>
            </w:tcBorders>
            <w:vAlign w:val="top"/>
          </w:tcPr>
          <w:p w14:paraId="2BD31B9D">
            <w:pPr>
              <w:rPr>
                <w:rFonts w:ascii="Arial"/>
                <w:sz w:val="21"/>
              </w:rPr>
            </w:pPr>
          </w:p>
        </w:tc>
        <w:tc>
          <w:tcPr>
            <w:tcW w:w="1183" w:type="dxa"/>
            <w:tcBorders>
              <w:right w:val="nil"/>
            </w:tcBorders>
            <w:vAlign w:val="top"/>
          </w:tcPr>
          <w:p w14:paraId="6D9425C9">
            <w:pPr>
              <w:pStyle w:val="6"/>
              <w:spacing w:before="95" w:line="195" w:lineRule="auto"/>
              <w:ind w:left="487"/>
              <w:rPr>
                <w:sz w:val="20"/>
                <w:szCs w:val="20"/>
              </w:rPr>
            </w:pPr>
            <w:r>
              <w:rPr>
                <w:spacing w:val="3"/>
                <w:sz w:val="20"/>
                <w:szCs w:val="20"/>
              </w:rPr>
              <w:t>40</w:t>
            </w:r>
          </w:p>
        </w:tc>
      </w:tr>
      <w:tr w14:paraId="3FE1D9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2637" w:type="dxa"/>
            <w:tcBorders>
              <w:left w:val="nil"/>
            </w:tcBorders>
            <w:vAlign w:val="top"/>
          </w:tcPr>
          <w:p w14:paraId="0D83C667">
            <w:pPr>
              <w:pStyle w:val="6"/>
              <w:spacing w:before="60" w:line="226" w:lineRule="auto"/>
              <w:ind w:left="730"/>
              <w:rPr>
                <w:sz w:val="20"/>
                <w:szCs w:val="20"/>
              </w:rPr>
            </w:pPr>
            <w:r>
              <w:rPr>
                <w:rFonts w:ascii="仿宋" w:hAnsi="仿宋" w:eastAsia="仿宋" w:cs="仿宋"/>
                <w:spacing w:val="5"/>
                <w:sz w:val="20"/>
                <w:szCs w:val="20"/>
              </w:rPr>
              <w:t>大圪梁散户</w:t>
            </w:r>
            <w:r>
              <w:rPr>
                <w:rFonts w:ascii="仿宋" w:hAnsi="仿宋" w:eastAsia="仿宋" w:cs="仿宋"/>
                <w:spacing w:val="-22"/>
                <w:sz w:val="20"/>
                <w:szCs w:val="20"/>
              </w:rPr>
              <w:t xml:space="preserve"> </w:t>
            </w:r>
            <w:r>
              <w:rPr>
                <w:spacing w:val="5"/>
                <w:sz w:val="20"/>
                <w:szCs w:val="20"/>
              </w:rPr>
              <w:t>1</w:t>
            </w:r>
          </w:p>
        </w:tc>
        <w:tc>
          <w:tcPr>
            <w:tcW w:w="1476" w:type="dxa"/>
            <w:vMerge w:val="continue"/>
            <w:tcBorders>
              <w:top w:val="nil"/>
              <w:bottom w:val="nil"/>
            </w:tcBorders>
            <w:vAlign w:val="top"/>
          </w:tcPr>
          <w:p w14:paraId="67288ECB">
            <w:pPr>
              <w:rPr>
                <w:rFonts w:ascii="Arial"/>
                <w:sz w:val="21"/>
              </w:rPr>
            </w:pPr>
          </w:p>
        </w:tc>
        <w:tc>
          <w:tcPr>
            <w:tcW w:w="1208" w:type="dxa"/>
            <w:vAlign w:val="top"/>
          </w:tcPr>
          <w:p w14:paraId="404D13E4">
            <w:pPr>
              <w:pStyle w:val="6"/>
              <w:spacing w:before="95" w:line="195" w:lineRule="auto"/>
              <w:ind w:left="506"/>
              <w:rPr>
                <w:sz w:val="20"/>
                <w:szCs w:val="20"/>
              </w:rPr>
            </w:pPr>
            <w:r>
              <w:rPr>
                <w:sz w:val="20"/>
                <w:szCs w:val="20"/>
              </w:rPr>
              <w:t>52</w:t>
            </w:r>
          </w:p>
        </w:tc>
        <w:tc>
          <w:tcPr>
            <w:tcW w:w="2015" w:type="dxa"/>
            <w:vMerge w:val="continue"/>
            <w:tcBorders>
              <w:top w:val="nil"/>
              <w:bottom w:val="nil"/>
            </w:tcBorders>
            <w:vAlign w:val="top"/>
          </w:tcPr>
          <w:p w14:paraId="24D32A85">
            <w:pPr>
              <w:rPr>
                <w:rFonts w:ascii="Arial"/>
                <w:sz w:val="21"/>
              </w:rPr>
            </w:pPr>
          </w:p>
        </w:tc>
        <w:tc>
          <w:tcPr>
            <w:tcW w:w="1183" w:type="dxa"/>
            <w:tcBorders>
              <w:right w:val="nil"/>
            </w:tcBorders>
            <w:vAlign w:val="top"/>
          </w:tcPr>
          <w:p w14:paraId="22319F3C">
            <w:pPr>
              <w:pStyle w:val="6"/>
              <w:spacing w:before="95" w:line="195" w:lineRule="auto"/>
              <w:ind w:left="487"/>
              <w:rPr>
                <w:sz w:val="20"/>
                <w:szCs w:val="20"/>
              </w:rPr>
            </w:pPr>
            <w:r>
              <w:rPr>
                <w:spacing w:val="3"/>
                <w:sz w:val="20"/>
                <w:szCs w:val="20"/>
              </w:rPr>
              <w:t>43</w:t>
            </w:r>
          </w:p>
        </w:tc>
      </w:tr>
      <w:tr w14:paraId="474C6D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637" w:type="dxa"/>
            <w:tcBorders>
              <w:left w:val="nil"/>
            </w:tcBorders>
            <w:vAlign w:val="top"/>
          </w:tcPr>
          <w:p w14:paraId="5EF9073C">
            <w:pPr>
              <w:pStyle w:val="6"/>
              <w:spacing w:before="61" w:line="226" w:lineRule="auto"/>
              <w:ind w:left="204"/>
              <w:rPr>
                <w:rFonts w:ascii="仿宋" w:hAnsi="仿宋" w:eastAsia="仿宋" w:cs="仿宋"/>
                <w:sz w:val="20"/>
                <w:szCs w:val="20"/>
              </w:rPr>
            </w:pPr>
            <w:r>
              <w:rPr>
                <w:rFonts w:ascii="仿宋" w:hAnsi="仿宋" w:eastAsia="仿宋" w:cs="仿宋"/>
                <w:spacing w:val="6"/>
                <w:sz w:val="20"/>
                <w:szCs w:val="20"/>
              </w:rPr>
              <w:t>大圪梁散户</w:t>
            </w:r>
            <w:r>
              <w:rPr>
                <w:rFonts w:ascii="仿宋" w:hAnsi="仿宋" w:eastAsia="仿宋" w:cs="仿宋"/>
                <w:spacing w:val="-39"/>
                <w:sz w:val="20"/>
                <w:szCs w:val="20"/>
              </w:rPr>
              <w:t xml:space="preserve"> </w:t>
            </w:r>
            <w:r>
              <w:rPr>
                <w:spacing w:val="6"/>
                <w:sz w:val="20"/>
                <w:szCs w:val="20"/>
              </w:rPr>
              <w:t>2</w:t>
            </w:r>
            <w:r>
              <w:rPr>
                <w:rFonts w:ascii="仿宋" w:hAnsi="仿宋" w:eastAsia="仿宋" w:cs="仿宋"/>
                <w:spacing w:val="6"/>
                <w:sz w:val="20"/>
                <w:szCs w:val="20"/>
              </w:rPr>
              <w:t>（背景点）</w:t>
            </w:r>
          </w:p>
        </w:tc>
        <w:tc>
          <w:tcPr>
            <w:tcW w:w="1476" w:type="dxa"/>
            <w:vMerge w:val="continue"/>
            <w:tcBorders>
              <w:top w:val="nil"/>
              <w:bottom w:val="nil"/>
            </w:tcBorders>
            <w:vAlign w:val="top"/>
          </w:tcPr>
          <w:p w14:paraId="73DFCF39">
            <w:pPr>
              <w:rPr>
                <w:rFonts w:ascii="Arial"/>
                <w:sz w:val="21"/>
              </w:rPr>
            </w:pPr>
          </w:p>
        </w:tc>
        <w:tc>
          <w:tcPr>
            <w:tcW w:w="1208" w:type="dxa"/>
            <w:vAlign w:val="top"/>
          </w:tcPr>
          <w:p w14:paraId="6D795910">
            <w:pPr>
              <w:pStyle w:val="6"/>
              <w:spacing w:before="97" w:line="195" w:lineRule="auto"/>
              <w:ind w:left="499"/>
              <w:rPr>
                <w:sz w:val="20"/>
                <w:szCs w:val="20"/>
              </w:rPr>
            </w:pPr>
            <w:r>
              <w:rPr>
                <w:spacing w:val="3"/>
                <w:sz w:val="20"/>
                <w:szCs w:val="20"/>
              </w:rPr>
              <w:t>41</w:t>
            </w:r>
          </w:p>
        </w:tc>
        <w:tc>
          <w:tcPr>
            <w:tcW w:w="2015" w:type="dxa"/>
            <w:vMerge w:val="continue"/>
            <w:tcBorders>
              <w:top w:val="nil"/>
              <w:bottom w:val="nil"/>
            </w:tcBorders>
            <w:vAlign w:val="top"/>
          </w:tcPr>
          <w:p w14:paraId="03FA1B6C">
            <w:pPr>
              <w:rPr>
                <w:rFonts w:ascii="Arial"/>
                <w:sz w:val="21"/>
              </w:rPr>
            </w:pPr>
          </w:p>
        </w:tc>
        <w:tc>
          <w:tcPr>
            <w:tcW w:w="1183" w:type="dxa"/>
            <w:tcBorders>
              <w:right w:val="nil"/>
            </w:tcBorders>
            <w:vAlign w:val="top"/>
          </w:tcPr>
          <w:p w14:paraId="4D946716">
            <w:pPr>
              <w:pStyle w:val="6"/>
              <w:spacing w:before="97" w:line="195" w:lineRule="auto"/>
              <w:ind w:left="493"/>
              <w:rPr>
                <w:sz w:val="20"/>
                <w:szCs w:val="20"/>
              </w:rPr>
            </w:pPr>
            <w:r>
              <w:rPr>
                <w:sz w:val="20"/>
                <w:szCs w:val="20"/>
              </w:rPr>
              <w:t>38</w:t>
            </w:r>
          </w:p>
        </w:tc>
      </w:tr>
      <w:tr w14:paraId="224053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637" w:type="dxa"/>
            <w:tcBorders>
              <w:left w:val="nil"/>
            </w:tcBorders>
            <w:vAlign w:val="top"/>
          </w:tcPr>
          <w:p w14:paraId="6BBFA87E">
            <w:pPr>
              <w:pStyle w:val="6"/>
              <w:spacing w:before="62" w:line="225" w:lineRule="auto"/>
              <w:ind w:left="777"/>
              <w:rPr>
                <w:rFonts w:ascii="仿宋" w:hAnsi="仿宋" w:eastAsia="仿宋" w:cs="仿宋"/>
                <w:sz w:val="20"/>
                <w:szCs w:val="20"/>
              </w:rPr>
            </w:pPr>
            <w:r>
              <w:rPr>
                <w:rFonts w:ascii="仿宋" w:hAnsi="仿宋" w:eastAsia="仿宋" w:cs="仿宋"/>
                <w:spacing w:val="4"/>
                <w:sz w:val="20"/>
                <w:szCs w:val="20"/>
              </w:rPr>
              <w:t>二道壕</w:t>
            </w:r>
            <w:r>
              <w:rPr>
                <w:spacing w:val="4"/>
                <w:sz w:val="20"/>
                <w:szCs w:val="20"/>
              </w:rPr>
              <w:t>-</w:t>
            </w:r>
            <w:r>
              <w:rPr>
                <w:rFonts w:ascii="仿宋" w:hAnsi="仿宋" w:eastAsia="仿宋" w:cs="仿宋"/>
                <w:spacing w:val="4"/>
                <w:sz w:val="20"/>
                <w:szCs w:val="20"/>
              </w:rPr>
              <w:t>散户</w:t>
            </w:r>
          </w:p>
        </w:tc>
        <w:tc>
          <w:tcPr>
            <w:tcW w:w="1476" w:type="dxa"/>
            <w:vMerge w:val="continue"/>
            <w:tcBorders>
              <w:top w:val="nil"/>
              <w:bottom w:val="nil"/>
            </w:tcBorders>
            <w:vAlign w:val="top"/>
          </w:tcPr>
          <w:p w14:paraId="6FC3697D">
            <w:pPr>
              <w:rPr>
                <w:rFonts w:ascii="Arial"/>
                <w:sz w:val="21"/>
              </w:rPr>
            </w:pPr>
          </w:p>
        </w:tc>
        <w:tc>
          <w:tcPr>
            <w:tcW w:w="1208" w:type="dxa"/>
            <w:vAlign w:val="top"/>
          </w:tcPr>
          <w:p w14:paraId="78E0D6C2">
            <w:pPr>
              <w:pStyle w:val="6"/>
              <w:spacing w:before="97" w:line="195" w:lineRule="auto"/>
              <w:ind w:left="506"/>
              <w:rPr>
                <w:sz w:val="20"/>
                <w:szCs w:val="20"/>
              </w:rPr>
            </w:pPr>
            <w:r>
              <w:rPr>
                <w:sz w:val="20"/>
                <w:szCs w:val="20"/>
              </w:rPr>
              <w:t>52</w:t>
            </w:r>
          </w:p>
        </w:tc>
        <w:tc>
          <w:tcPr>
            <w:tcW w:w="2015" w:type="dxa"/>
            <w:vMerge w:val="continue"/>
            <w:tcBorders>
              <w:top w:val="nil"/>
              <w:bottom w:val="nil"/>
            </w:tcBorders>
            <w:vAlign w:val="top"/>
          </w:tcPr>
          <w:p w14:paraId="34634D64">
            <w:pPr>
              <w:rPr>
                <w:rFonts w:ascii="Arial"/>
                <w:sz w:val="21"/>
              </w:rPr>
            </w:pPr>
          </w:p>
        </w:tc>
        <w:tc>
          <w:tcPr>
            <w:tcW w:w="1183" w:type="dxa"/>
            <w:tcBorders>
              <w:right w:val="nil"/>
            </w:tcBorders>
            <w:vAlign w:val="top"/>
          </w:tcPr>
          <w:p w14:paraId="44A39C71">
            <w:pPr>
              <w:pStyle w:val="6"/>
              <w:spacing w:before="98" w:line="195" w:lineRule="auto"/>
              <w:ind w:left="493"/>
              <w:rPr>
                <w:sz w:val="20"/>
                <w:szCs w:val="20"/>
              </w:rPr>
            </w:pPr>
            <w:r>
              <w:rPr>
                <w:sz w:val="20"/>
                <w:szCs w:val="20"/>
              </w:rPr>
              <w:t>37</w:t>
            </w:r>
          </w:p>
        </w:tc>
      </w:tr>
      <w:tr w14:paraId="1743D2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637" w:type="dxa"/>
            <w:tcBorders>
              <w:left w:val="nil"/>
            </w:tcBorders>
            <w:vAlign w:val="top"/>
          </w:tcPr>
          <w:p w14:paraId="2CD4F532">
            <w:pPr>
              <w:pStyle w:val="6"/>
              <w:spacing w:before="62" w:line="225" w:lineRule="auto"/>
              <w:ind w:left="777"/>
              <w:rPr>
                <w:rFonts w:ascii="仿宋" w:hAnsi="仿宋" w:eastAsia="仿宋" w:cs="仿宋"/>
                <w:sz w:val="20"/>
                <w:szCs w:val="20"/>
              </w:rPr>
            </w:pPr>
            <w:r>
              <w:rPr>
                <w:rFonts w:ascii="仿宋" w:hAnsi="仿宋" w:eastAsia="仿宋" w:cs="仿宋"/>
                <w:spacing w:val="4"/>
                <w:sz w:val="20"/>
                <w:szCs w:val="20"/>
              </w:rPr>
              <w:t>三道壕</w:t>
            </w:r>
            <w:r>
              <w:rPr>
                <w:spacing w:val="4"/>
                <w:sz w:val="20"/>
                <w:szCs w:val="20"/>
              </w:rPr>
              <w:t>-</w:t>
            </w:r>
            <w:r>
              <w:rPr>
                <w:rFonts w:ascii="仿宋" w:hAnsi="仿宋" w:eastAsia="仿宋" w:cs="仿宋"/>
                <w:spacing w:val="4"/>
                <w:sz w:val="20"/>
                <w:szCs w:val="20"/>
              </w:rPr>
              <w:t>散户</w:t>
            </w:r>
          </w:p>
        </w:tc>
        <w:tc>
          <w:tcPr>
            <w:tcW w:w="1476" w:type="dxa"/>
            <w:vMerge w:val="continue"/>
            <w:tcBorders>
              <w:top w:val="nil"/>
            </w:tcBorders>
            <w:vAlign w:val="top"/>
          </w:tcPr>
          <w:p w14:paraId="33E80ECB">
            <w:pPr>
              <w:rPr>
                <w:rFonts w:ascii="Arial"/>
                <w:sz w:val="21"/>
              </w:rPr>
            </w:pPr>
          </w:p>
        </w:tc>
        <w:tc>
          <w:tcPr>
            <w:tcW w:w="1208" w:type="dxa"/>
            <w:vAlign w:val="top"/>
          </w:tcPr>
          <w:p w14:paraId="4E5D4664">
            <w:pPr>
              <w:pStyle w:val="6"/>
              <w:spacing w:before="98" w:line="195" w:lineRule="auto"/>
              <w:ind w:left="506"/>
              <w:rPr>
                <w:sz w:val="20"/>
                <w:szCs w:val="20"/>
              </w:rPr>
            </w:pPr>
            <w:r>
              <w:rPr>
                <w:sz w:val="20"/>
                <w:szCs w:val="20"/>
              </w:rPr>
              <w:t>50</w:t>
            </w:r>
          </w:p>
        </w:tc>
        <w:tc>
          <w:tcPr>
            <w:tcW w:w="2015" w:type="dxa"/>
            <w:vMerge w:val="continue"/>
            <w:tcBorders>
              <w:top w:val="nil"/>
            </w:tcBorders>
            <w:vAlign w:val="top"/>
          </w:tcPr>
          <w:p w14:paraId="45760569">
            <w:pPr>
              <w:rPr>
                <w:rFonts w:ascii="Arial"/>
                <w:sz w:val="21"/>
              </w:rPr>
            </w:pPr>
          </w:p>
        </w:tc>
        <w:tc>
          <w:tcPr>
            <w:tcW w:w="1183" w:type="dxa"/>
            <w:tcBorders>
              <w:right w:val="nil"/>
            </w:tcBorders>
            <w:vAlign w:val="top"/>
          </w:tcPr>
          <w:p w14:paraId="585130CC">
            <w:pPr>
              <w:pStyle w:val="6"/>
              <w:spacing w:before="98" w:line="195" w:lineRule="auto"/>
              <w:ind w:left="493"/>
              <w:rPr>
                <w:sz w:val="20"/>
                <w:szCs w:val="20"/>
              </w:rPr>
            </w:pPr>
            <w:r>
              <w:rPr>
                <w:sz w:val="20"/>
                <w:szCs w:val="20"/>
              </w:rPr>
              <w:t>39</w:t>
            </w:r>
          </w:p>
        </w:tc>
      </w:tr>
      <w:tr w14:paraId="654628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637" w:type="dxa"/>
            <w:tcBorders>
              <w:left w:val="nil"/>
            </w:tcBorders>
            <w:vAlign w:val="top"/>
          </w:tcPr>
          <w:p w14:paraId="66D42EEE">
            <w:pPr>
              <w:pStyle w:val="6"/>
              <w:spacing w:before="63" w:line="224" w:lineRule="auto"/>
              <w:ind w:left="516"/>
              <w:rPr>
                <w:sz w:val="20"/>
                <w:szCs w:val="20"/>
              </w:rPr>
            </w:pPr>
            <w:r>
              <w:rPr>
                <w:rFonts w:ascii="仿宋" w:hAnsi="仿宋" w:eastAsia="仿宋" w:cs="仿宋"/>
                <w:spacing w:val="6"/>
                <w:sz w:val="20"/>
                <w:szCs w:val="20"/>
              </w:rPr>
              <w:t>份子地新村住户</w:t>
            </w:r>
            <w:r>
              <w:rPr>
                <w:rFonts w:ascii="仿宋" w:hAnsi="仿宋" w:eastAsia="仿宋" w:cs="仿宋"/>
                <w:spacing w:val="-15"/>
                <w:sz w:val="20"/>
                <w:szCs w:val="20"/>
              </w:rPr>
              <w:t xml:space="preserve"> </w:t>
            </w:r>
            <w:r>
              <w:rPr>
                <w:spacing w:val="6"/>
                <w:sz w:val="20"/>
                <w:szCs w:val="20"/>
              </w:rPr>
              <w:t>1</w:t>
            </w:r>
          </w:p>
        </w:tc>
        <w:tc>
          <w:tcPr>
            <w:tcW w:w="1476" w:type="dxa"/>
            <w:vMerge w:val="restart"/>
            <w:tcBorders>
              <w:bottom w:val="nil"/>
            </w:tcBorders>
            <w:vAlign w:val="top"/>
          </w:tcPr>
          <w:p w14:paraId="59CC6D56">
            <w:pPr>
              <w:spacing w:line="247" w:lineRule="auto"/>
              <w:rPr>
                <w:rFonts w:ascii="Arial"/>
                <w:sz w:val="21"/>
              </w:rPr>
            </w:pPr>
          </w:p>
          <w:p w14:paraId="2FDB5099">
            <w:pPr>
              <w:spacing w:line="247" w:lineRule="auto"/>
              <w:rPr>
                <w:rFonts w:ascii="Arial"/>
                <w:sz w:val="21"/>
              </w:rPr>
            </w:pPr>
          </w:p>
          <w:p w14:paraId="5A72CBF0">
            <w:pPr>
              <w:spacing w:line="248" w:lineRule="auto"/>
              <w:rPr>
                <w:rFonts w:ascii="Arial"/>
                <w:sz w:val="21"/>
              </w:rPr>
            </w:pPr>
          </w:p>
          <w:p w14:paraId="25BE6A80">
            <w:pPr>
              <w:spacing w:line="248" w:lineRule="auto"/>
              <w:rPr>
                <w:rFonts w:ascii="Arial"/>
                <w:sz w:val="21"/>
              </w:rPr>
            </w:pPr>
          </w:p>
          <w:p w14:paraId="31F48B6B">
            <w:pPr>
              <w:spacing w:line="248" w:lineRule="auto"/>
              <w:rPr>
                <w:rFonts w:ascii="Arial"/>
                <w:sz w:val="21"/>
              </w:rPr>
            </w:pPr>
          </w:p>
          <w:p w14:paraId="694EB34A">
            <w:pPr>
              <w:spacing w:line="248" w:lineRule="auto"/>
              <w:rPr>
                <w:rFonts w:ascii="Arial"/>
                <w:sz w:val="21"/>
              </w:rPr>
            </w:pPr>
          </w:p>
          <w:p w14:paraId="7F297B25">
            <w:pPr>
              <w:pStyle w:val="6"/>
              <w:spacing w:before="58" w:line="195" w:lineRule="auto"/>
              <w:ind w:left="244"/>
              <w:rPr>
                <w:sz w:val="20"/>
                <w:szCs w:val="20"/>
              </w:rPr>
            </w:pPr>
            <w:r>
              <w:rPr>
                <w:sz w:val="20"/>
                <w:szCs w:val="20"/>
              </w:rPr>
              <w:t>10:01-</w:t>
            </w:r>
            <w:r>
              <w:rPr>
                <w:spacing w:val="-28"/>
                <w:sz w:val="20"/>
                <w:szCs w:val="20"/>
              </w:rPr>
              <w:t xml:space="preserve"> </w:t>
            </w:r>
            <w:r>
              <w:rPr>
                <w:sz w:val="20"/>
                <w:szCs w:val="20"/>
              </w:rPr>
              <w:t>16:15</w:t>
            </w:r>
          </w:p>
          <w:p w14:paraId="1F32F39F">
            <w:pPr>
              <w:pStyle w:val="6"/>
              <w:spacing w:before="89" w:line="265" w:lineRule="exact"/>
              <w:ind w:left="123"/>
              <w:rPr>
                <w:rFonts w:ascii="仿宋" w:hAnsi="仿宋" w:eastAsia="仿宋" w:cs="仿宋"/>
                <w:sz w:val="20"/>
                <w:szCs w:val="20"/>
              </w:rPr>
            </w:pPr>
            <w:r>
              <w:rPr>
                <w:rFonts w:ascii="仿宋" w:hAnsi="仿宋" w:eastAsia="仿宋" w:cs="仿宋"/>
                <w:position w:val="1"/>
                <w:sz w:val="20"/>
                <w:szCs w:val="20"/>
              </w:rPr>
              <w:t>（</w:t>
            </w:r>
            <w:r>
              <w:rPr>
                <w:position w:val="1"/>
                <w:sz w:val="20"/>
                <w:szCs w:val="20"/>
              </w:rPr>
              <w:t>2026.6.</w:t>
            </w:r>
            <w:r>
              <w:rPr>
                <w:spacing w:val="-20"/>
                <w:position w:val="1"/>
                <w:sz w:val="20"/>
                <w:szCs w:val="20"/>
              </w:rPr>
              <w:t xml:space="preserve"> </w:t>
            </w:r>
            <w:r>
              <w:rPr>
                <w:position w:val="1"/>
                <w:sz w:val="20"/>
                <w:szCs w:val="20"/>
              </w:rPr>
              <w:t>12</w:t>
            </w:r>
            <w:r>
              <w:rPr>
                <w:rFonts w:ascii="仿宋" w:hAnsi="仿宋" w:eastAsia="仿宋" w:cs="仿宋"/>
                <w:position w:val="1"/>
                <w:sz w:val="20"/>
                <w:szCs w:val="20"/>
              </w:rPr>
              <w:t>）</w:t>
            </w:r>
          </w:p>
        </w:tc>
        <w:tc>
          <w:tcPr>
            <w:tcW w:w="1208" w:type="dxa"/>
            <w:vAlign w:val="top"/>
          </w:tcPr>
          <w:p w14:paraId="2CA638C2">
            <w:pPr>
              <w:pStyle w:val="6"/>
              <w:spacing w:before="99" w:line="195" w:lineRule="auto"/>
              <w:ind w:left="506"/>
              <w:rPr>
                <w:sz w:val="20"/>
                <w:szCs w:val="20"/>
              </w:rPr>
            </w:pPr>
            <w:r>
              <w:rPr>
                <w:sz w:val="20"/>
                <w:szCs w:val="20"/>
              </w:rPr>
              <w:t>52</w:t>
            </w:r>
          </w:p>
        </w:tc>
        <w:tc>
          <w:tcPr>
            <w:tcW w:w="2015" w:type="dxa"/>
            <w:vMerge w:val="restart"/>
            <w:tcBorders>
              <w:bottom w:val="nil"/>
            </w:tcBorders>
            <w:vAlign w:val="top"/>
          </w:tcPr>
          <w:p w14:paraId="7A535873">
            <w:pPr>
              <w:spacing w:line="247" w:lineRule="auto"/>
              <w:rPr>
                <w:rFonts w:ascii="Arial"/>
                <w:sz w:val="21"/>
              </w:rPr>
            </w:pPr>
          </w:p>
          <w:p w14:paraId="50E539CB">
            <w:pPr>
              <w:spacing w:line="247" w:lineRule="auto"/>
              <w:rPr>
                <w:rFonts w:ascii="Arial"/>
                <w:sz w:val="21"/>
              </w:rPr>
            </w:pPr>
          </w:p>
          <w:p w14:paraId="5A22A418">
            <w:pPr>
              <w:spacing w:line="248" w:lineRule="auto"/>
              <w:rPr>
                <w:rFonts w:ascii="Arial"/>
                <w:sz w:val="21"/>
              </w:rPr>
            </w:pPr>
          </w:p>
          <w:p w14:paraId="43232B2B">
            <w:pPr>
              <w:spacing w:line="248" w:lineRule="auto"/>
              <w:rPr>
                <w:rFonts w:ascii="Arial"/>
                <w:sz w:val="21"/>
              </w:rPr>
            </w:pPr>
          </w:p>
          <w:p w14:paraId="2AF7196F">
            <w:pPr>
              <w:spacing w:line="248" w:lineRule="auto"/>
              <w:rPr>
                <w:rFonts w:ascii="Arial"/>
                <w:sz w:val="21"/>
              </w:rPr>
            </w:pPr>
          </w:p>
          <w:p w14:paraId="653FF74E">
            <w:pPr>
              <w:spacing w:line="248" w:lineRule="auto"/>
              <w:rPr>
                <w:rFonts w:ascii="Arial"/>
                <w:sz w:val="21"/>
              </w:rPr>
            </w:pPr>
          </w:p>
          <w:p w14:paraId="7EE37DB9">
            <w:pPr>
              <w:pStyle w:val="6"/>
              <w:spacing w:before="58" w:line="195" w:lineRule="auto"/>
              <w:ind w:left="495"/>
              <w:rPr>
                <w:sz w:val="20"/>
                <w:szCs w:val="20"/>
              </w:rPr>
            </w:pPr>
            <w:r>
              <w:rPr>
                <w:spacing w:val="3"/>
                <w:sz w:val="20"/>
                <w:szCs w:val="20"/>
              </w:rPr>
              <w:t>22:00-04:14</w:t>
            </w:r>
          </w:p>
          <w:p w14:paraId="306B3255">
            <w:pPr>
              <w:pStyle w:val="6"/>
              <w:spacing w:before="89" w:line="265" w:lineRule="exact"/>
              <w:ind w:left="175"/>
              <w:rPr>
                <w:rFonts w:ascii="仿宋" w:hAnsi="仿宋" w:eastAsia="仿宋" w:cs="仿宋"/>
                <w:sz w:val="20"/>
                <w:szCs w:val="20"/>
              </w:rPr>
            </w:pPr>
            <w:r>
              <w:rPr>
                <w:rFonts w:ascii="仿宋" w:hAnsi="仿宋" w:eastAsia="仿宋" w:cs="仿宋"/>
                <w:position w:val="1"/>
                <w:sz w:val="20"/>
                <w:szCs w:val="20"/>
              </w:rPr>
              <w:t>（</w:t>
            </w:r>
            <w:r>
              <w:rPr>
                <w:position w:val="1"/>
                <w:sz w:val="20"/>
                <w:szCs w:val="20"/>
              </w:rPr>
              <w:t>2026.6.</w:t>
            </w:r>
            <w:r>
              <w:rPr>
                <w:spacing w:val="-25"/>
                <w:position w:val="1"/>
                <w:sz w:val="20"/>
                <w:szCs w:val="20"/>
              </w:rPr>
              <w:t xml:space="preserve"> </w:t>
            </w:r>
            <w:r>
              <w:rPr>
                <w:position w:val="1"/>
                <w:sz w:val="20"/>
                <w:szCs w:val="20"/>
              </w:rPr>
              <w:t>12-6.</w:t>
            </w:r>
            <w:r>
              <w:rPr>
                <w:spacing w:val="-25"/>
                <w:position w:val="1"/>
                <w:sz w:val="20"/>
                <w:szCs w:val="20"/>
              </w:rPr>
              <w:t xml:space="preserve"> </w:t>
            </w:r>
            <w:r>
              <w:rPr>
                <w:position w:val="1"/>
                <w:sz w:val="20"/>
                <w:szCs w:val="20"/>
              </w:rPr>
              <w:t>13</w:t>
            </w:r>
            <w:r>
              <w:rPr>
                <w:rFonts w:ascii="仿宋" w:hAnsi="仿宋" w:eastAsia="仿宋" w:cs="仿宋"/>
                <w:position w:val="1"/>
                <w:sz w:val="20"/>
                <w:szCs w:val="20"/>
              </w:rPr>
              <w:t>）</w:t>
            </w:r>
          </w:p>
        </w:tc>
        <w:tc>
          <w:tcPr>
            <w:tcW w:w="1183" w:type="dxa"/>
            <w:tcBorders>
              <w:right w:val="nil"/>
            </w:tcBorders>
            <w:vAlign w:val="top"/>
          </w:tcPr>
          <w:p w14:paraId="7B4F68F2">
            <w:pPr>
              <w:pStyle w:val="6"/>
              <w:spacing w:before="99" w:line="195" w:lineRule="auto"/>
              <w:ind w:left="487"/>
              <w:rPr>
                <w:sz w:val="20"/>
                <w:szCs w:val="20"/>
              </w:rPr>
            </w:pPr>
            <w:r>
              <w:rPr>
                <w:spacing w:val="3"/>
                <w:sz w:val="20"/>
                <w:szCs w:val="20"/>
              </w:rPr>
              <w:t>41</w:t>
            </w:r>
          </w:p>
        </w:tc>
      </w:tr>
      <w:tr w14:paraId="3C2D35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637" w:type="dxa"/>
            <w:tcBorders>
              <w:left w:val="nil"/>
            </w:tcBorders>
            <w:vAlign w:val="top"/>
          </w:tcPr>
          <w:p w14:paraId="70C27691">
            <w:pPr>
              <w:pStyle w:val="6"/>
              <w:spacing w:before="66" w:line="221" w:lineRule="auto"/>
              <w:ind w:left="516"/>
              <w:rPr>
                <w:sz w:val="20"/>
                <w:szCs w:val="20"/>
              </w:rPr>
            </w:pPr>
            <w:r>
              <w:rPr>
                <w:rFonts w:ascii="仿宋" w:hAnsi="仿宋" w:eastAsia="仿宋" w:cs="仿宋"/>
                <w:spacing w:val="6"/>
                <w:sz w:val="20"/>
                <w:szCs w:val="20"/>
              </w:rPr>
              <w:t>份子地新村住户</w:t>
            </w:r>
            <w:r>
              <w:rPr>
                <w:rFonts w:ascii="仿宋" w:hAnsi="仿宋" w:eastAsia="仿宋" w:cs="仿宋"/>
                <w:spacing w:val="-35"/>
                <w:sz w:val="20"/>
                <w:szCs w:val="20"/>
              </w:rPr>
              <w:t xml:space="preserve"> </w:t>
            </w:r>
            <w:r>
              <w:rPr>
                <w:spacing w:val="6"/>
                <w:sz w:val="20"/>
                <w:szCs w:val="20"/>
              </w:rPr>
              <w:t>2</w:t>
            </w:r>
          </w:p>
        </w:tc>
        <w:tc>
          <w:tcPr>
            <w:tcW w:w="1476" w:type="dxa"/>
            <w:vMerge w:val="continue"/>
            <w:tcBorders>
              <w:top w:val="nil"/>
              <w:bottom w:val="nil"/>
            </w:tcBorders>
            <w:vAlign w:val="top"/>
          </w:tcPr>
          <w:p w14:paraId="3128915C">
            <w:pPr>
              <w:rPr>
                <w:rFonts w:ascii="Arial"/>
                <w:sz w:val="21"/>
              </w:rPr>
            </w:pPr>
          </w:p>
        </w:tc>
        <w:tc>
          <w:tcPr>
            <w:tcW w:w="1208" w:type="dxa"/>
            <w:vAlign w:val="top"/>
          </w:tcPr>
          <w:p w14:paraId="6FB1A460">
            <w:pPr>
              <w:pStyle w:val="6"/>
              <w:spacing w:before="102" w:line="195" w:lineRule="auto"/>
              <w:ind w:left="506"/>
              <w:rPr>
                <w:sz w:val="20"/>
                <w:szCs w:val="20"/>
              </w:rPr>
            </w:pPr>
            <w:r>
              <w:rPr>
                <w:sz w:val="20"/>
                <w:szCs w:val="20"/>
              </w:rPr>
              <w:t>51</w:t>
            </w:r>
          </w:p>
        </w:tc>
        <w:tc>
          <w:tcPr>
            <w:tcW w:w="2015" w:type="dxa"/>
            <w:vMerge w:val="continue"/>
            <w:tcBorders>
              <w:top w:val="nil"/>
              <w:bottom w:val="nil"/>
            </w:tcBorders>
            <w:vAlign w:val="top"/>
          </w:tcPr>
          <w:p w14:paraId="5F07B3B4">
            <w:pPr>
              <w:rPr>
                <w:rFonts w:ascii="Arial"/>
                <w:sz w:val="21"/>
              </w:rPr>
            </w:pPr>
          </w:p>
        </w:tc>
        <w:tc>
          <w:tcPr>
            <w:tcW w:w="1183" w:type="dxa"/>
            <w:tcBorders>
              <w:right w:val="nil"/>
            </w:tcBorders>
            <w:vAlign w:val="top"/>
          </w:tcPr>
          <w:p w14:paraId="6788EC14">
            <w:pPr>
              <w:pStyle w:val="6"/>
              <w:spacing w:before="102" w:line="195" w:lineRule="auto"/>
              <w:ind w:left="487"/>
              <w:rPr>
                <w:sz w:val="20"/>
                <w:szCs w:val="20"/>
              </w:rPr>
            </w:pPr>
            <w:r>
              <w:rPr>
                <w:spacing w:val="3"/>
                <w:sz w:val="20"/>
                <w:szCs w:val="20"/>
              </w:rPr>
              <w:t>40</w:t>
            </w:r>
          </w:p>
        </w:tc>
      </w:tr>
      <w:tr w14:paraId="5EF463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637" w:type="dxa"/>
            <w:tcBorders>
              <w:left w:val="nil"/>
            </w:tcBorders>
            <w:vAlign w:val="top"/>
          </w:tcPr>
          <w:p w14:paraId="3C064BF0">
            <w:pPr>
              <w:pStyle w:val="6"/>
              <w:spacing w:before="66" w:line="221" w:lineRule="auto"/>
              <w:ind w:left="516"/>
              <w:rPr>
                <w:sz w:val="20"/>
                <w:szCs w:val="20"/>
              </w:rPr>
            </w:pPr>
            <w:r>
              <w:rPr>
                <w:rFonts w:ascii="仿宋" w:hAnsi="仿宋" w:eastAsia="仿宋" w:cs="仿宋"/>
                <w:spacing w:val="6"/>
                <w:sz w:val="20"/>
                <w:szCs w:val="20"/>
              </w:rPr>
              <w:t>份子地新村住户</w:t>
            </w:r>
            <w:r>
              <w:rPr>
                <w:rFonts w:ascii="仿宋" w:hAnsi="仿宋" w:eastAsia="仿宋" w:cs="仿宋"/>
                <w:spacing w:val="-31"/>
                <w:sz w:val="20"/>
                <w:szCs w:val="20"/>
              </w:rPr>
              <w:t xml:space="preserve"> </w:t>
            </w:r>
            <w:r>
              <w:rPr>
                <w:spacing w:val="6"/>
                <w:sz w:val="20"/>
                <w:szCs w:val="20"/>
              </w:rPr>
              <w:t>3</w:t>
            </w:r>
          </w:p>
        </w:tc>
        <w:tc>
          <w:tcPr>
            <w:tcW w:w="1476" w:type="dxa"/>
            <w:vMerge w:val="continue"/>
            <w:tcBorders>
              <w:top w:val="nil"/>
              <w:bottom w:val="nil"/>
            </w:tcBorders>
            <w:vAlign w:val="top"/>
          </w:tcPr>
          <w:p w14:paraId="5761E8F8">
            <w:pPr>
              <w:rPr>
                <w:rFonts w:ascii="Arial"/>
                <w:sz w:val="21"/>
              </w:rPr>
            </w:pPr>
          </w:p>
        </w:tc>
        <w:tc>
          <w:tcPr>
            <w:tcW w:w="1208" w:type="dxa"/>
            <w:vAlign w:val="top"/>
          </w:tcPr>
          <w:p w14:paraId="3638EF7A">
            <w:pPr>
              <w:pStyle w:val="6"/>
              <w:spacing w:before="102" w:line="195" w:lineRule="auto"/>
              <w:ind w:left="506"/>
              <w:rPr>
                <w:sz w:val="20"/>
                <w:szCs w:val="20"/>
              </w:rPr>
            </w:pPr>
            <w:r>
              <w:rPr>
                <w:sz w:val="20"/>
                <w:szCs w:val="20"/>
              </w:rPr>
              <w:t>50</w:t>
            </w:r>
          </w:p>
        </w:tc>
        <w:tc>
          <w:tcPr>
            <w:tcW w:w="2015" w:type="dxa"/>
            <w:vMerge w:val="continue"/>
            <w:tcBorders>
              <w:top w:val="nil"/>
              <w:bottom w:val="nil"/>
            </w:tcBorders>
            <w:vAlign w:val="top"/>
          </w:tcPr>
          <w:p w14:paraId="3F8807E8">
            <w:pPr>
              <w:rPr>
                <w:rFonts w:ascii="Arial"/>
                <w:sz w:val="21"/>
              </w:rPr>
            </w:pPr>
          </w:p>
        </w:tc>
        <w:tc>
          <w:tcPr>
            <w:tcW w:w="1183" w:type="dxa"/>
            <w:tcBorders>
              <w:right w:val="nil"/>
            </w:tcBorders>
            <w:vAlign w:val="top"/>
          </w:tcPr>
          <w:p w14:paraId="53CB1406">
            <w:pPr>
              <w:pStyle w:val="6"/>
              <w:spacing w:before="102" w:line="195" w:lineRule="auto"/>
              <w:ind w:left="487"/>
              <w:rPr>
                <w:sz w:val="20"/>
                <w:szCs w:val="20"/>
              </w:rPr>
            </w:pPr>
            <w:r>
              <w:rPr>
                <w:spacing w:val="3"/>
                <w:sz w:val="20"/>
                <w:szCs w:val="20"/>
              </w:rPr>
              <w:t>42</w:t>
            </w:r>
          </w:p>
        </w:tc>
      </w:tr>
      <w:tr w14:paraId="521FE9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637" w:type="dxa"/>
            <w:tcBorders>
              <w:left w:val="nil"/>
            </w:tcBorders>
            <w:vAlign w:val="top"/>
          </w:tcPr>
          <w:p w14:paraId="4AB3DFC6">
            <w:pPr>
              <w:pStyle w:val="6"/>
              <w:spacing w:before="67" w:line="220" w:lineRule="auto"/>
              <w:ind w:left="945"/>
              <w:rPr>
                <w:sz w:val="20"/>
                <w:szCs w:val="20"/>
              </w:rPr>
            </w:pPr>
            <w:r>
              <w:rPr>
                <w:rFonts w:ascii="仿宋" w:hAnsi="仿宋" w:eastAsia="仿宋" w:cs="仿宋"/>
                <w:spacing w:val="1"/>
                <w:sz w:val="20"/>
                <w:szCs w:val="20"/>
              </w:rPr>
              <w:t>背景点</w:t>
            </w:r>
            <w:r>
              <w:rPr>
                <w:rFonts w:ascii="仿宋" w:hAnsi="仿宋" w:eastAsia="仿宋" w:cs="仿宋"/>
                <w:spacing w:val="-20"/>
                <w:sz w:val="20"/>
                <w:szCs w:val="20"/>
              </w:rPr>
              <w:t xml:space="preserve"> </w:t>
            </w:r>
            <w:r>
              <w:rPr>
                <w:spacing w:val="1"/>
                <w:sz w:val="20"/>
                <w:szCs w:val="20"/>
              </w:rPr>
              <w:t>1</w:t>
            </w:r>
          </w:p>
        </w:tc>
        <w:tc>
          <w:tcPr>
            <w:tcW w:w="1476" w:type="dxa"/>
            <w:vMerge w:val="continue"/>
            <w:tcBorders>
              <w:top w:val="nil"/>
              <w:bottom w:val="nil"/>
            </w:tcBorders>
            <w:vAlign w:val="top"/>
          </w:tcPr>
          <w:p w14:paraId="6813E761">
            <w:pPr>
              <w:rPr>
                <w:rFonts w:ascii="Arial"/>
                <w:sz w:val="21"/>
              </w:rPr>
            </w:pPr>
          </w:p>
        </w:tc>
        <w:tc>
          <w:tcPr>
            <w:tcW w:w="1208" w:type="dxa"/>
            <w:vAlign w:val="top"/>
          </w:tcPr>
          <w:p w14:paraId="6DA93270">
            <w:pPr>
              <w:pStyle w:val="6"/>
              <w:spacing w:before="103" w:line="195" w:lineRule="auto"/>
              <w:ind w:left="499"/>
              <w:rPr>
                <w:sz w:val="20"/>
                <w:szCs w:val="20"/>
              </w:rPr>
            </w:pPr>
            <w:r>
              <w:rPr>
                <w:spacing w:val="3"/>
                <w:sz w:val="20"/>
                <w:szCs w:val="20"/>
              </w:rPr>
              <w:t>45</w:t>
            </w:r>
          </w:p>
        </w:tc>
        <w:tc>
          <w:tcPr>
            <w:tcW w:w="2015" w:type="dxa"/>
            <w:vMerge w:val="continue"/>
            <w:tcBorders>
              <w:top w:val="nil"/>
              <w:bottom w:val="nil"/>
            </w:tcBorders>
            <w:vAlign w:val="top"/>
          </w:tcPr>
          <w:p w14:paraId="43A1A279">
            <w:pPr>
              <w:rPr>
                <w:rFonts w:ascii="Arial"/>
                <w:sz w:val="21"/>
              </w:rPr>
            </w:pPr>
          </w:p>
        </w:tc>
        <w:tc>
          <w:tcPr>
            <w:tcW w:w="1183" w:type="dxa"/>
            <w:tcBorders>
              <w:right w:val="nil"/>
            </w:tcBorders>
            <w:vAlign w:val="top"/>
          </w:tcPr>
          <w:p w14:paraId="016A0B55">
            <w:pPr>
              <w:pStyle w:val="6"/>
              <w:spacing w:before="103" w:line="195" w:lineRule="auto"/>
              <w:ind w:left="493"/>
              <w:rPr>
                <w:sz w:val="20"/>
                <w:szCs w:val="20"/>
              </w:rPr>
            </w:pPr>
            <w:r>
              <w:rPr>
                <w:sz w:val="20"/>
                <w:szCs w:val="20"/>
              </w:rPr>
              <w:t>36</w:t>
            </w:r>
          </w:p>
        </w:tc>
      </w:tr>
      <w:tr w14:paraId="2D798C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637" w:type="dxa"/>
            <w:tcBorders>
              <w:left w:val="nil"/>
            </w:tcBorders>
            <w:vAlign w:val="top"/>
          </w:tcPr>
          <w:p w14:paraId="707595E2">
            <w:pPr>
              <w:pStyle w:val="6"/>
              <w:spacing w:before="67" w:line="220" w:lineRule="auto"/>
              <w:ind w:left="939"/>
              <w:rPr>
                <w:sz w:val="20"/>
                <w:szCs w:val="20"/>
              </w:rPr>
            </w:pPr>
            <w:r>
              <w:rPr>
                <w:rFonts w:ascii="仿宋" w:hAnsi="仿宋" w:eastAsia="仿宋" w:cs="仿宋"/>
                <w:spacing w:val="3"/>
                <w:sz w:val="20"/>
                <w:szCs w:val="20"/>
              </w:rPr>
              <w:t>西圪旦</w:t>
            </w:r>
            <w:r>
              <w:rPr>
                <w:rFonts w:ascii="仿宋" w:hAnsi="仿宋" w:eastAsia="仿宋" w:cs="仿宋"/>
                <w:spacing w:val="-21"/>
                <w:sz w:val="20"/>
                <w:szCs w:val="20"/>
              </w:rPr>
              <w:t xml:space="preserve"> </w:t>
            </w:r>
            <w:r>
              <w:rPr>
                <w:spacing w:val="3"/>
                <w:sz w:val="20"/>
                <w:szCs w:val="20"/>
              </w:rPr>
              <w:t>1</w:t>
            </w:r>
          </w:p>
        </w:tc>
        <w:tc>
          <w:tcPr>
            <w:tcW w:w="1476" w:type="dxa"/>
            <w:vMerge w:val="continue"/>
            <w:tcBorders>
              <w:top w:val="nil"/>
              <w:bottom w:val="nil"/>
            </w:tcBorders>
            <w:vAlign w:val="top"/>
          </w:tcPr>
          <w:p w14:paraId="4A3739AF">
            <w:pPr>
              <w:rPr>
                <w:rFonts w:ascii="Arial"/>
                <w:sz w:val="21"/>
              </w:rPr>
            </w:pPr>
          </w:p>
        </w:tc>
        <w:tc>
          <w:tcPr>
            <w:tcW w:w="1208" w:type="dxa"/>
            <w:vAlign w:val="top"/>
          </w:tcPr>
          <w:p w14:paraId="2BDA2E9C">
            <w:pPr>
              <w:pStyle w:val="6"/>
              <w:spacing w:before="104" w:line="195" w:lineRule="auto"/>
              <w:ind w:left="499"/>
              <w:rPr>
                <w:sz w:val="20"/>
                <w:szCs w:val="20"/>
              </w:rPr>
            </w:pPr>
            <w:r>
              <w:rPr>
                <w:spacing w:val="3"/>
                <w:sz w:val="20"/>
                <w:szCs w:val="20"/>
              </w:rPr>
              <w:t>49</w:t>
            </w:r>
          </w:p>
        </w:tc>
        <w:tc>
          <w:tcPr>
            <w:tcW w:w="2015" w:type="dxa"/>
            <w:vMerge w:val="continue"/>
            <w:tcBorders>
              <w:top w:val="nil"/>
              <w:bottom w:val="nil"/>
            </w:tcBorders>
            <w:vAlign w:val="top"/>
          </w:tcPr>
          <w:p w14:paraId="122D1B45">
            <w:pPr>
              <w:rPr>
                <w:rFonts w:ascii="Arial"/>
                <w:sz w:val="21"/>
              </w:rPr>
            </w:pPr>
          </w:p>
        </w:tc>
        <w:tc>
          <w:tcPr>
            <w:tcW w:w="1183" w:type="dxa"/>
            <w:tcBorders>
              <w:right w:val="nil"/>
            </w:tcBorders>
            <w:vAlign w:val="top"/>
          </w:tcPr>
          <w:p w14:paraId="157E345A">
            <w:pPr>
              <w:pStyle w:val="6"/>
              <w:spacing w:before="103" w:line="195" w:lineRule="auto"/>
              <w:ind w:left="487"/>
              <w:rPr>
                <w:sz w:val="20"/>
                <w:szCs w:val="20"/>
              </w:rPr>
            </w:pPr>
            <w:r>
              <w:rPr>
                <w:spacing w:val="3"/>
                <w:sz w:val="20"/>
                <w:szCs w:val="20"/>
              </w:rPr>
              <w:t>40</w:t>
            </w:r>
          </w:p>
        </w:tc>
      </w:tr>
      <w:tr w14:paraId="6B3E97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637" w:type="dxa"/>
            <w:tcBorders>
              <w:left w:val="nil"/>
            </w:tcBorders>
            <w:vAlign w:val="top"/>
          </w:tcPr>
          <w:p w14:paraId="22930370">
            <w:pPr>
              <w:pStyle w:val="6"/>
              <w:spacing w:before="68" w:line="219" w:lineRule="auto"/>
              <w:ind w:left="939"/>
              <w:rPr>
                <w:sz w:val="20"/>
                <w:szCs w:val="20"/>
              </w:rPr>
            </w:pPr>
            <w:r>
              <w:rPr>
                <w:rFonts w:ascii="仿宋" w:hAnsi="仿宋" w:eastAsia="仿宋" w:cs="仿宋"/>
                <w:spacing w:val="3"/>
                <w:sz w:val="20"/>
                <w:szCs w:val="20"/>
              </w:rPr>
              <w:t>西圪旦</w:t>
            </w:r>
            <w:r>
              <w:rPr>
                <w:rFonts w:ascii="仿宋" w:hAnsi="仿宋" w:eastAsia="仿宋" w:cs="仿宋"/>
                <w:spacing w:val="-41"/>
                <w:sz w:val="20"/>
                <w:szCs w:val="20"/>
              </w:rPr>
              <w:t xml:space="preserve"> </w:t>
            </w:r>
            <w:r>
              <w:rPr>
                <w:spacing w:val="3"/>
                <w:sz w:val="20"/>
                <w:szCs w:val="20"/>
              </w:rPr>
              <w:t>2</w:t>
            </w:r>
          </w:p>
        </w:tc>
        <w:tc>
          <w:tcPr>
            <w:tcW w:w="1476" w:type="dxa"/>
            <w:vMerge w:val="continue"/>
            <w:tcBorders>
              <w:top w:val="nil"/>
              <w:bottom w:val="nil"/>
            </w:tcBorders>
            <w:vAlign w:val="top"/>
          </w:tcPr>
          <w:p w14:paraId="5DE50624">
            <w:pPr>
              <w:rPr>
                <w:rFonts w:ascii="Arial"/>
                <w:sz w:val="21"/>
              </w:rPr>
            </w:pPr>
          </w:p>
        </w:tc>
        <w:tc>
          <w:tcPr>
            <w:tcW w:w="1208" w:type="dxa"/>
            <w:vAlign w:val="top"/>
          </w:tcPr>
          <w:p w14:paraId="1E17C7CC">
            <w:pPr>
              <w:pStyle w:val="6"/>
              <w:spacing w:before="104" w:line="195" w:lineRule="auto"/>
              <w:ind w:left="499"/>
              <w:rPr>
                <w:sz w:val="20"/>
                <w:szCs w:val="20"/>
              </w:rPr>
            </w:pPr>
            <w:r>
              <w:rPr>
                <w:spacing w:val="3"/>
                <w:sz w:val="20"/>
                <w:szCs w:val="20"/>
              </w:rPr>
              <w:t>48</w:t>
            </w:r>
          </w:p>
        </w:tc>
        <w:tc>
          <w:tcPr>
            <w:tcW w:w="2015" w:type="dxa"/>
            <w:vMerge w:val="continue"/>
            <w:tcBorders>
              <w:top w:val="nil"/>
              <w:bottom w:val="nil"/>
            </w:tcBorders>
            <w:vAlign w:val="top"/>
          </w:tcPr>
          <w:p w14:paraId="788DA21D">
            <w:pPr>
              <w:rPr>
                <w:rFonts w:ascii="Arial"/>
                <w:sz w:val="21"/>
              </w:rPr>
            </w:pPr>
          </w:p>
        </w:tc>
        <w:tc>
          <w:tcPr>
            <w:tcW w:w="1183" w:type="dxa"/>
            <w:tcBorders>
              <w:right w:val="nil"/>
            </w:tcBorders>
            <w:vAlign w:val="top"/>
          </w:tcPr>
          <w:p w14:paraId="6312881F">
            <w:pPr>
              <w:pStyle w:val="6"/>
              <w:spacing w:before="104" w:line="195" w:lineRule="auto"/>
              <w:ind w:left="487"/>
              <w:rPr>
                <w:sz w:val="20"/>
                <w:szCs w:val="20"/>
              </w:rPr>
            </w:pPr>
            <w:r>
              <w:rPr>
                <w:spacing w:val="3"/>
                <w:sz w:val="20"/>
                <w:szCs w:val="20"/>
              </w:rPr>
              <w:t>42</w:t>
            </w:r>
          </w:p>
        </w:tc>
      </w:tr>
      <w:tr w14:paraId="4F5729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637" w:type="dxa"/>
            <w:tcBorders>
              <w:left w:val="nil"/>
            </w:tcBorders>
            <w:vAlign w:val="top"/>
          </w:tcPr>
          <w:p w14:paraId="718F7D64">
            <w:pPr>
              <w:pStyle w:val="6"/>
              <w:spacing w:before="69" w:line="218" w:lineRule="auto"/>
              <w:ind w:left="836"/>
              <w:rPr>
                <w:sz w:val="20"/>
                <w:szCs w:val="20"/>
              </w:rPr>
            </w:pPr>
            <w:r>
              <w:rPr>
                <w:rFonts w:ascii="仿宋" w:hAnsi="仿宋" w:eastAsia="仿宋" w:cs="仿宋"/>
                <w:spacing w:val="4"/>
                <w:sz w:val="20"/>
                <w:szCs w:val="20"/>
              </w:rPr>
              <w:t>张家圪旦</w:t>
            </w:r>
            <w:r>
              <w:rPr>
                <w:rFonts w:ascii="仿宋" w:hAnsi="仿宋" w:eastAsia="仿宋" w:cs="仿宋"/>
                <w:spacing w:val="-23"/>
                <w:sz w:val="20"/>
                <w:szCs w:val="20"/>
              </w:rPr>
              <w:t xml:space="preserve"> </w:t>
            </w:r>
            <w:r>
              <w:rPr>
                <w:spacing w:val="4"/>
                <w:sz w:val="20"/>
                <w:szCs w:val="20"/>
              </w:rPr>
              <w:t>1</w:t>
            </w:r>
          </w:p>
        </w:tc>
        <w:tc>
          <w:tcPr>
            <w:tcW w:w="1476" w:type="dxa"/>
            <w:vMerge w:val="continue"/>
            <w:tcBorders>
              <w:top w:val="nil"/>
              <w:bottom w:val="nil"/>
            </w:tcBorders>
            <w:vAlign w:val="top"/>
          </w:tcPr>
          <w:p w14:paraId="5414DFCB">
            <w:pPr>
              <w:rPr>
                <w:rFonts w:ascii="Arial"/>
                <w:sz w:val="21"/>
              </w:rPr>
            </w:pPr>
          </w:p>
        </w:tc>
        <w:tc>
          <w:tcPr>
            <w:tcW w:w="1208" w:type="dxa"/>
            <w:vAlign w:val="top"/>
          </w:tcPr>
          <w:p w14:paraId="363749A7">
            <w:pPr>
              <w:pStyle w:val="6"/>
              <w:spacing w:before="105" w:line="195" w:lineRule="auto"/>
              <w:ind w:left="499"/>
              <w:rPr>
                <w:sz w:val="20"/>
                <w:szCs w:val="20"/>
              </w:rPr>
            </w:pPr>
            <w:r>
              <w:rPr>
                <w:spacing w:val="3"/>
                <w:sz w:val="20"/>
                <w:szCs w:val="20"/>
              </w:rPr>
              <w:t>47</w:t>
            </w:r>
          </w:p>
        </w:tc>
        <w:tc>
          <w:tcPr>
            <w:tcW w:w="2015" w:type="dxa"/>
            <w:vMerge w:val="continue"/>
            <w:tcBorders>
              <w:top w:val="nil"/>
              <w:bottom w:val="nil"/>
            </w:tcBorders>
            <w:vAlign w:val="top"/>
          </w:tcPr>
          <w:p w14:paraId="2893233B">
            <w:pPr>
              <w:rPr>
                <w:rFonts w:ascii="Arial"/>
                <w:sz w:val="21"/>
              </w:rPr>
            </w:pPr>
          </w:p>
        </w:tc>
        <w:tc>
          <w:tcPr>
            <w:tcW w:w="1183" w:type="dxa"/>
            <w:tcBorders>
              <w:right w:val="nil"/>
            </w:tcBorders>
            <w:vAlign w:val="top"/>
          </w:tcPr>
          <w:p w14:paraId="01FA239B">
            <w:pPr>
              <w:pStyle w:val="6"/>
              <w:spacing w:before="105" w:line="195" w:lineRule="auto"/>
              <w:ind w:left="487"/>
              <w:rPr>
                <w:sz w:val="20"/>
                <w:szCs w:val="20"/>
              </w:rPr>
            </w:pPr>
            <w:r>
              <w:rPr>
                <w:spacing w:val="3"/>
                <w:sz w:val="20"/>
                <w:szCs w:val="20"/>
              </w:rPr>
              <w:t>41</w:t>
            </w:r>
          </w:p>
        </w:tc>
      </w:tr>
      <w:tr w14:paraId="7CBC91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637" w:type="dxa"/>
            <w:tcBorders>
              <w:left w:val="nil"/>
            </w:tcBorders>
            <w:vAlign w:val="top"/>
          </w:tcPr>
          <w:p w14:paraId="22761C12">
            <w:pPr>
              <w:pStyle w:val="6"/>
              <w:spacing w:before="72" w:line="216" w:lineRule="auto"/>
              <w:ind w:left="836"/>
              <w:rPr>
                <w:sz w:val="20"/>
                <w:szCs w:val="20"/>
              </w:rPr>
            </w:pPr>
            <w:r>
              <w:rPr>
                <w:rFonts w:ascii="仿宋" w:hAnsi="仿宋" w:eastAsia="仿宋" w:cs="仿宋"/>
                <w:spacing w:val="4"/>
                <w:sz w:val="20"/>
                <w:szCs w:val="20"/>
              </w:rPr>
              <w:t>张家圪旦</w:t>
            </w:r>
            <w:r>
              <w:rPr>
                <w:rFonts w:ascii="仿宋" w:hAnsi="仿宋" w:eastAsia="仿宋" w:cs="仿宋"/>
                <w:spacing w:val="-43"/>
                <w:sz w:val="20"/>
                <w:szCs w:val="20"/>
              </w:rPr>
              <w:t xml:space="preserve"> </w:t>
            </w:r>
            <w:r>
              <w:rPr>
                <w:spacing w:val="4"/>
                <w:sz w:val="20"/>
                <w:szCs w:val="20"/>
              </w:rPr>
              <w:t>2</w:t>
            </w:r>
          </w:p>
        </w:tc>
        <w:tc>
          <w:tcPr>
            <w:tcW w:w="1476" w:type="dxa"/>
            <w:vMerge w:val="continue"/>
            <w:tcBorders>
              <w:top w:val="nil"/>
              <w:bottom w:val="nil"/>
            </w:tcBorders>
            <w:vAlign w:val="top"/>
          </w:tcPr>
          <w:p w14:paraId="7409E850">
            <w:pPr>
              <w:rPr>
                <w:rFonts w:ascii="Arial"/>
                <w:sz w:val="21"/>
              </w:rPr>
            </w:pPr>
          </w:p>
        </w:tc>
        <w:tc>
          <w:tcPr>
            <w:tcW w:w="1208" w:type="dxa"/>
            <w:vAlign w:val="top"/>
          </w:tcPr>
          <w:p w14:paraId="564D7843">
            <w:pPr>
              <w:pStyle w:val="6"/>
              <w:spacing w:before="108" w:line="195" w:lineRule="auto"/>
              <w:ind w:left="506"/>
              <w:rPr>
                <w:sz w:val="20"/>
                <w:szCs w:val="20"/>
              </w:rPr>
            </w:pPr>
            <w:r>
              <w:rPr>
                <w:sz w:val="20"/>
                <w:szCs w:val="20"/>
              </w:rPr>
              <w:t>51</w:t>
            </w:r>
          </w:p>
        </w:tc>
        <w:tc>
          <w:tcPr>
            <w:tcW w:w="2015" w:type="dxa"/>
            <w:vMerge w:val="continue"/>
            <w:tcBorders>
              <w:top w:val="nil"/>
              <w:bottom w:val="nil"/>
            </w:tcBorders>
            <w:vAlign w:val="top"/>
          </w:tcPr>
          <w:p w14:paraId="44AF19A9">
            <w:pPr>
              <w:rPr>
                <w:rFonts w:ascii="Arial"/>
                <w:sz w:val="21"/>
              </w:rPr>
            </w:pPr>
          </w:p>
        </w:tc>
        <w:tc>
          <w:tcPr>
            <w:tcW w:w="1183" w:type="dxa"/>
            <w:tcBorders>
              <w:right w:val="nil"/>
            </w:tcBorders>
            <w:vAlign w:val="top"/>
          </w:tcPr>
          <w:p w14:paraId="35688D21">
            <w:pPr>
              <w:pStyle w:val="6"/>
              <w:spacing w:before="108" w:line="195" w:lineRule="auto"/>
              <w:ind w:left="487"/>
              <w:rPr>
                <w:sz w:val="20"/>
                <w:szCs w:val="20"/>
              </w:rPr>
            </w:pPr>
            <w:r>
              <w:rPr>
                <w:spacing w:val="3"/>
                <w:sz w:val="20"/>
                <w:szCs w:val="20"/>
              </w:rPr>
              <w:t>43</w:t>
            </w:r>
          </w:p>
        </w:tc>
      </w:tr>
      <w:tr w14:paraId="3144B2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637" w:type="dxa"/>
            <w:tcBorders>
              <w:left w:val="nil"/>
            </w:tcBorders>
            <w:vAlign w:val="top"/>
          </w:tcPr>
          <w:p w14:paraId="349073CE">
            <w:pPr>
              <w:pStyle w:val="6"/>
              <w:spacing w:before="73" w:line="215" w:lineRule="auto"/>
              <w:ind w:left="836"/>
              <w:rPr>
                <w:sz w:val="20"/>
                <w:szCs w:val="20"/>
              </w:rPr>
            </w:pPr>
            <w:r>
              <w:rPr>
                <w:rFonts w:ascii="仿宋" w:hAnsi="仿宋" w:eastAsia="仿宋" w:cs="仿宋"/>
                <w:spacing w:val="4"/>
                <w:sz w:val="20"/>
                <w:szCs w:val="20"/>
              </w:rPr>
              <w:t>张家圪旦</w:t>
            </w:r>
            <w:r>
              <w:rPr>
                <w:rFonts w:ascii="仿宋" w:hAnsi="仿宋" w:eastAsia="仿宋" w:cs="仿宋"/>
                <w:spacing w:val="-39"/>
                <w:sz w:val="20"/>
                <w:szCs w:val="20"/>
              </w:rPr>
              <w:t xml:space="preserve"> </w:t>
            </w:r>
            <w:r>
              <w:rPr>
                <w:spacing w:val="4"/>
                <w:sz w:val="20"/>
                <w:szCs w:val="20"/>
              </w:rPr>
              <w:t>3</w:t>
            </w:r>
          </w:p>
        </w:tc>
        <w:tc>
          <w:tcPr>
            <w:tcW w:w="1476" w:type="dxa"/>
            <w:vMerge w:val="continue"/>
            <w:tcBorders>
              <w:top w:val="nil"/>
              <w:bottom w:val="nil"/>
            </w:tcBorders>
            <w:vAlign w:val="top"/>
          </w:tcPr>
          <w:p w14:paraId="51205EE8">
            <w:pPr>
              <w:rPr>
                <w:rFonts w:ascii="Arial"/>
                <w:sz w:val="21"/>
              </w:rPr>
            </w:pPr>
          </w:p>
        </w:tc>
        <w:tc>
          <w:tcPr>
            <w:tcW w:w="1208" w:type="dxa"/>
            <w:vAlign w:val="top"/>
          </w:tcPr>
          <w:p w14:paraId="6E81B122">
            <w:pPr>
              <w:pStyle w:val="6"/>
              <w:spacing w:before="108" w:line="195" w:lineRule="auto"/>
              <w:ind w:left="506"/>
              <w:rPr>
                <w:sz w:val="20"/>
                <w:szCs w:val="20"/>
              </w:rPr>
            </w:pPr>
            <w:r>
              <w:rPr>
                <w:sz w:val="20"/>
                <w:szCs w:val="20"/>
              </w:rPr>
              <w:t>53</w:t>
            </w:r>
          </w:p>
        </w:tc>
        <w:tc>
          <w:tcPr>
            <w:tcW w:w="2015" w:type="dxa"/>
            <w:vMerge w:val="continue"/>
            <w:tcBorders>
              <w:top w:val="nil"/>
              <w:bottom w:val="nil"/>
            </w:tcBorders>
            <w:vAlign w:val="top"/>
          </w:tcPr>
          <w:p w14:paraId="45B9152D">
            <w:pPr>
              <w:rPr>
                <w:rFonts w:ascii="Arial"/>
                <w:sz w:val="21"/>
              </w:rPr>
            </w:pPr>
          </w:p>
        </w:tc>
        <w:tc>
          <w:tcPr>
            <w:tcW w:w="1183" w:type="dxa"/>
            <w:tcBorders>
              <w:right w:val="nil"/>
            </w:tcBorders>
            <w:vAlign w:val="top"/>
          </w:tcPr>
          <w:p w14:paraId="3CD6AA23">
            <w:pPr>
              <w:pStyle w:val="6"/>
              <w:spacing w:before="108" w:line="195" w:lineRule="auto"/>
              <w:ind w:left="487"/>
              <w:rPr>
                <w:sz w:val="20"/>
                <w:szCs w:val="20"/>
              </w:rPr>
            </w:pPr>
            <w:r>
              <w:rPr>
                <w:spacing w:val="3"/>
                <w:sz w:val="20"/>
                <w:szCs w:val="20"/>
              </w:rPr>
              <w:t>42</w:t>
            </w:r>
          </w:p>
        </w:tc>
      </w:tr>
      <w:tr w14:paraId="066D52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637" w:type="dxa"/>
            <w:tcBorders>
              <w:left w:val="nil"/>
            </w:tcBorders>
            <w:vAlign w:val="top"/>
          </w:tcPr>
          <w:p w14:paraId="2F96A2C3">
            <w:pPr>
              <w:pStyle w:val="6"/>
              <w:spacing w:before="73" w:line="215" w:lineRule="auto"/>
              <w:ind w:left="945"/>
              <w:rPr>
                <w:sz w:val="20"/>
                <w:szCs w:val="20"/>
              </w:rPr>
            </w:pPr>
            <w:r>
              <w:rPr>
                <w:rFonts w:ascii="仿宋" w:hAnsi="仿宋" w:eastAsia="仿宋" w:cs="仿宋"/>
                <w:spacing w:val="1"/>
                <w:sz w:val="20"/>
                <w:szCs w:val="20"/>
              </w:rPr>
              <w:t>背景点</w:t>
            </w:r>
            <w:r>
              <w:rPr>
                <w:rFonts w:ascii="仿宋" w:hAnsi="仿宋" w:eastAsia="仿宋" w:cs="仿宋"/>
                <w:spacing w:val="-40"/>
                <w:sz w:val="20"/>
                <w:szCs w:val="20"/>
              </w:rPr>
              <w:t xml:space="preserve"> </w:t>
            </w:r>
            <w:r>
              <w:rPr>
                <w:spacing w:val="1"/>
                <w:sz w:val="20"/>
                <w:szCs w:val="20"/>
              </w:rPr>
              <w:t>2</w:t>
            </w:r>
          </w:p>
        </w:tc>
        <w:tc>
          <w:tcPr>
            <w:tcW w:w="1476" w:type="dxa"/>
            <w:vMerge w:val="continue"/>
            <w:tcBorders>
              <w:top w:val="nil"/>
              <w:bottom w:val="nil"/>
            </w:tcBorders>
            <w:vAlign w:val="top"/>
          </w:tcPr>
          <w:p w14:paraId="3EDB5922">
            <w:pPr>
              <w:rPr>
                <w:rFonts w:ascii="Arial"/>
                <w:sz w:val="21"/>
              </w:rPr>
            </w:pPr>
          </w:p>
        </w:tc>
        <w:tc>
          <w:tcPr>
            <w:tcW w:w="1208" w:type="dxa"/>
            <w:vAlign w:val="top"/>
          </w:tcPr>
          <w:p w14:paraId="3BB1D531">
            <w:pPr>
              <w:pStyle w:val="6"/>
              <w:spacing w:before="109" w:line="195" w:lineRule="auto"/>
              <w:ind w:left="499"/>
              <w:rPr>
                <w:sz w:val="20"/>
                <w:szCs w:val="20"/>
              </w:rPr>
            </w:pPr>
            <w:r>
              <w:rPr>
                <w:spacing w:val="3"/>
                <w:sz w:val="20"/>
                <w:szCs w:val="20"/>
              </w:rPr>
              <w:t>46</w:t>
            </w:r>
          </w:p>
        </w:tc>
        <w:tc>
          <w:tcPr>
            <w:tcW w:w="2015" w:type="dxa"/>
            <w:vMerge w:val="continue"/>
            <w:tcBorders>
              <w:top w:val="nil"/>
              <w:bottom w:val="nil"/>
            </w:tcBorders>
            <w:vAlign w:val="top"/>
          </w:tcPr>
          <w:p w14:paraId="218A2441">
            <w:pPr>
              <w:rPr>
                <w:rFonts w:ascii="Arial"/>
                <w:sz w:val="21"/>
              </w:rPr>
            </w:pPr>
          </w:p>
        </w:tc>
        <w:tc>
          <w:tcPr>
            <w:tcW w:w="1183" w:type="dxa"/>
            <w:tcBorders>
              <w:right w:val="nil"/>
            </w:tcBorders>
            <w:vAlign w:val="top"/>
          </w:tcPr>
          <w:p w14:paraId="7BD3736C">
            <w:pPr>
              <w:pStyle w:val="6"/>
              <w:spacing w:before="109" w:line="195" w:lineRule="auto"/>
              <w:ind w:left="493"/>
              <w:rPr>
                <w:sz w:val="20"/>
                <w:szCs w:val="20"/>
              </w:rPr>
            </w:pPr>
            <w:r>
              <w:rPr>
                <w:sz w:val="20"/>
                <w:szCs w:val="20"/>
              </w:rPr>
              <w:t>36</w:t>
            </w:r>
          </w:p>
        </w:tc>
      </w:tr>
      <w:tr w14:paraId="625100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trPr>
        <w:tc>
          <w:tcPr>
            <w:tcW w:w="2637" w:type="dxa"/>
            <w:tcBorders>
              <w:left w:val="nil"/>
              <w:bottom w:val="single" w:color="000000" w:sz="10" w:space="0"/>
            </w:tcBorders>
            <w:vAlign w:val="top"/>
          </w:tcPr>
          <w:p w14:paraId="41CE8F13">
            <w:pPr>
              <w:spacing w:before="73" w:line="231" w:lineRule="auto"/>
              <w:ind w:left="1121"/>
              <w:rPr>
                <w:rFonts w:ascii="仿宋" w:hAnsi="仿宋" w:eastAsia="仿宋" w:cs="仿宋"/>
                <w:sz w:val="20"/>
                <w:szCs w:val="20"/>
              </w:rPr>
            </w:pPr>
            <w:r>
              <w:rPr>
                <w:rFonts w:ascii="仿宋" w:hAnsi="仿宋" w:eastAsia="仿宋" w:cs="仿宋"/>
                <w:spacing w:val="2"/>
                <w:sz w:val="20"/>
                <w:szCs w:val="20"/>
              </w:rPr>
              <w:t>散户</w:t>
            </w:r>
          </w:p>
        </w:tc>
        <w:tc>
          <w:tcPr>
            <w:tcW w:w="1476" w:type="dxa"/>
            <w:vMerge w:val="continue"/>
            <w:tcBorders>
              <w:top w:val="nil"/>
              <w:bottom w:val="single" w:color="000000" w:sz="10" w:space="0"/>
            </w:tcBorders>
            <w:vAlign w:val="top"/>
          </w:tcPr>
          <w:p w14:paraId="6A24E6C4">
            <w:pPr>
              <w:rPr>
                <w:rFonts w:ascii="Arial"/>
                <w:sz w:val="21"/>
              </w:rPr>
            </w:pPr>
          </w:p>
        </w:tc>
        <w:tc>
          <w:tcPr>
            <w:tcW w:w="1208" w:type="dxa"/>
            <w:tcBorders>
              <w:bottom w:val="single" w:color="000000" w:sz="10" w:space="0"/>
            </w:tcBorders>
            <w:vAlign w:val="top"/>
          </w:tcPr>
          <w:p w14:paraId="3284534F">
            <w:pPr>
              <w:pStyle w:val="6"/>
              <w:spacing w:before="109" w:line="195" w:lineRule="auto"/>
              <w:ind w:left="506"/>
              <w:rPr>
                <w:sz w:val="20"/>
                <w:szCs w:val="20"/>
              </w:rPr>
            </w:pPr>
            <w:r>
              <w:rPr>
                <w:sz w:val="20"/>
                <w:szCs w:val="20"/>
              </w:rPr>
              <w:t>51</w:t>
            </w:r>
          </w:p>
        </w:tc>
        <w:tc>
          <w:tcPr>
            <w:tcW w:w="2015" w:type="dxa"/>
            <w:vMerge w:val="continue"/>
            <w:tcBorders>
              <w:top w:val="nil"/>
              <w:bottom w:val="single" w:color="000000" w:sz="10" w:space="0"/>
            </w:tcBorders>
            <w:vAlign w:val="top"/>
          </w:tcPr>
          <w:p w14:paraId="6DB4DD6D">
            <w:pPr>
              <w:rPr>
                <w:rFonts w:ascii="Arial"/>
                <w:sz w:val="21"/>
              </w:rPr>
            </w:pPr>
          </w:p>
        </w:tc>
        <w:tc>
          <w:tcPr>
            <w:tcW w:w="1183" w:type="dxa"/>
            <w:tcBorders>
              <w:bottom w:val="single" w:color="000000" w:sz="10" w:space="0"/>
              <w:right w:val="nil"/>
            </w:tcBorders>
            <w:vAlign w:val="top"/>
          </w:tcPr>
          <w:p w14:paraId="6FAA7E70">
            <w:pPr>
              <w:pStyle w:val="6"/>
              <w:spacing w:before="109" w:line="195" w:lineRule="auto"/>
              <w:ind w:left="487"/>
              <w:rPr>
                <w:sz w:val="20"/>
                <w:szCs w:val="20"/>
              </w:rPr>
            </w:pPr>
            <w:r>
              <w:rPr>
                <w:spacing w:val="3"/>
                <w:sz w:val="20"/>
                <w:szCs w:val="20"/>
              </w:rPr>
              <w:t>40</w:t>
            </w:r>
          </w:p>
        </w:tc>
      </w:tr>
    </w:tbl>
    <w:p w14:paraId="4D2CCA29">
      <w:pPr>
        <w:pStyle w:val="2"/>
        <w:rPr>
          <w:sz w:val="21"/>
        </w:rPr>
      </w:pPr>
    </w:p>
    <w:p w14:paraId="6CA4532D">
      <w:pPr>
        <w:rPr>
          <w:sz w:val="21"/>
          <w:szCs w:val="21"/>
        </w:rPr>
        <w:sectPr>
          <w:footerReference r:id="rId165" w:type="default"/>
          <w:pgSz w:w="11906" w:h="16839"/>
          <w:pgMar w:top="400" w:right="1598" w:bottom="1370" w:left="1691" w:header="0" w:footer="1207" w:gutter="0"/>
          <w:cols w:space="720" w:num="1"/>
        </w:sectPr>
      </w:pPr>
    </w:p>
    <w:p w14:paraId="494ABC01">
      <w:pPr>
        <w:spacing w:before="19"/>
      </w:pPr>
    </w:p>
    <w:p w14:paraId="07FF4CDF">
      <w:pPr>
        <w:spacing w:before="19"/>
      </w:pPr>
    </w:p>
    <w:p w14:paraId="31A3D871">
      <w:pPr>
        <w:spacing w:before="18"/>
      </w:pPr>
    </w:p>
    <w:p w14:paraId="60091723">
      <w:pPr>
        <w:spacing w:before="18"/>
      </w:pPr>
    </w:p>
    <w:tbl>
      <w:tblPr>
        <w:tblStyle w:val="5"/>
        <w:tblW w:w="8519"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637"/>
        <w:gridCol w:w="1476"/>
        <w:gridCol w:w="1208"/>
        <w:gridCol w:w="2015"/>
        <w:gridCol w:w="1183"/>
      </w:tblGrid>
      <w:tr w14:paraId="502E5A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2637" w:type="dxa"/>
            <w:tcBorders>
              <w:top w:val="single" w:color="000000" w:sz="10" w:space="0"/>
              <w:left w:val="nil"/>
            </w:tcBorders>
            <w:vAlign w:val="top"/>
          </w:tcPr>
          <w:p w14:paraId="29923CE0">
            <w:pPr>
              <w:spacing w:before="55" w:line="231" w:lineRule="auto"/>
              <w:ind w:left="1015"/>
              <w:rPr>
                <w:rFonts w:ascii="仿宋" w:hAnsi="仿宋" w:eastAsia="仿宋" w:cs="仿宋"/>
                <w:sz w:val="20"/>
                <w:szCs w:val="20"/>
              </w:rPr>
            </w:pPr>
            <w:r>
              <w:rPr>
                <w:rFonts w:ascii="仿宋" w:hAnsi="仿宋" w:eastAsia="仿宋" w:cs="仿宋"/>
                <w:spacing w:val="5"/>
                <w:sz w:val="20"/>
                <w:szCs w:val="20"/>
              </w:rPr>
              <w:t>神官湾</w:t>
            </w:r>
          </w:p>
        </w:tc>
        <w:tc>
          <w:tcPr>
            <w:tcW w:w="1476" w:type="dxa"/>
            <w:tcBorders>
              <w:top w:val="single" w:color="000000" w:sz="10" w:space="0"/>
              <w:bottom w:val="nil"/>
            </w:tcBorders>
            <w:vAlign w:val="top"/>
          </w:tcPr>
          <w:p w14:paraId="4E5B8CE9">
            <w:pPr>
              <w:rPr>
                <w:rFonts w:ascii="Arial"/>
                <w:sz w:val="21"/>
              </w:rPr>
            </w:pPr>
          </w:p>
        </w:tc>
        <w:tc>
          <w:tcPr>
            <w:tcW w:w="1208" w:type="dxa"/>
            <w:tcBorders>
              <w:top w:val="single" w:color="000000" w:sz="10" w:space="0"/>
            </w:tcBorders>
            <w:vAlign w:val="top"/>
          </w:tcPr>
          <w:p w14:paraId="7018E42A">
            <w:pPr>
              <w:pStyle w:val="6"/>
              <w:spacing w:before="91" w:line="195" w:lineRule="auto"/>
              <w:ind w:left="506"/>
              <w:rPr>
                <w:sz w:val="20"/>
                <w:szCs w:val="20"/>
              </w:rPr>
            </w:pPr>
            <w:r>
              <w:rPr>
                <w:sz w:val="20"/>
                <w:szCs w:val="20"/>
              </w:rPr>
              <w:t>50</w:t>
            </w:r>
          </w:p>
        </w:tc>
        <w:tc>
          <w:tcPr>
            <w:tcW w:w="2015" w:type="dxa"/>
            <w:tcBorders>
              <w:top w:val="single" w:color="000000" w:sz="10" w:space="0"/>
              <w:bottom w:val="nil"/>
            </w:tcBorders>
            <w:vAlign w:val="top"/>
          </w:tcPr>
          <w:p w14:paraId="580F01B3">
            <w:pPr>
              <w:rPr>
                <w:rFonts w:ascii="Arial"/>
                <w:sz w:val="21"/>
              </w:rPr>
            </w:pPr>
          </w:p>
        </w:tc>
        <w:tc>
          <w:tcPr>
            <w:tcW w:w="1183" w:type="dxa"/>
            <w:tcBorders>
              <w:top w:val="single" w:color="000000" w:sz="10" w:space="0"/>
              <w:right w:val="nil"/>
            </w:tcBorders>
            <w:vAlign w:val="top"/>
          </w:tcPr>
          <w:p w14:paraId="47E5BD54">
            <w:pPr>
              <w:pStyle w:val="6"/>
              <w:spacing w:before="91" w:line="195" w:lineRule="auto"/>
              <w:ind w:left="493"/>
              <w:rPr>
                <w:sz w:val="20"/>
                <w:szCs w:val="20"/>
              </w:rPr>
            </w:pPr>
            <w:r>
              <w:rPr>
                <w:sz w:val="20"/>
                <w:szCs w:val="20"/>
              </w:rPr>
              <w:t>39</w:t>
            </w:r>
          </w:p>
        </w:tc>
      </w:tr>
      <w:tr w14:paraId="5EB414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2637" w:type="dxa"/>
            <w:tcBorders>
              <w:left w:val="nil"/>
            </w:tcBorders>
            <w:vAlign w:val="top"/>
          </w:tcPr>
          <w:p w14:paraId="4451E42C">
            <w:pPr>
              <w:pStyle w:val="6"/>
              <w:spacing w:before="53" w:line="230" w:lineRule="auto"/>
              <w:ind w:left="667"/>
              <w:rPr>
                <w:rFonts w:ascii="仿宋" w:hAnsi="仿宋" w:eastAsia="仿宋" w:cs="仿宋"/>
                <w:sz w:val="20"/>
                <w:szCs w:val="20"/>
              </w:rPr>
            </w:pPr>
            <w:r>
              <w:rPr>
                <w:rFonts w:ascii="仿宋" w:hAnsi="仿宋" w:eastAsia="仿宋" w:cs="仿宋"/>
                <w:spacing w:val="6"/>
                <w:sz w:val="20"/>
                <w:szCs w:val="20"/>
              </w:rPr>
              <w:t>杨子华村</w:t>
            </w:r>
            <w:r>
              <w:rPr>
                <w:spacing w:val="6"/>
                <w:sz w:val="20"/>
                <w:szCs w:val="20"/>
              </w:rPr>
              <w:t>-</w:t>
            </w:r>
            <w:r>
              <w:rPr>
                <w:rFonts w:ascii="仿宋" w:hAnsi="仿宋" w:eastAsia="仿宋" w:cs="仿宋"/>
                <w:spacing w:val="6"/>
                <w:sz w:val="20"/>
                <w:szCs w:val="20"/>
              </w:rPr>
              <w:t>散户</w:t>
            </w:r>
          </w:p>
        </w:tc>
        <w:tc>
          <w:tcPr>
            <w:tcW w:w="1476" w:type="dxa"/>
            <w:tcBorders>
              <w:top w:val="nil"/>
            </w:tcBorders>
            <w:vAlign w:val="top"/>
          </w:tcPr>
          <w:p w14:paraId="24F5639A">
            <w:pPr>
              <w:rPr>
                <w:rFonts w:ascii="Arial"/>
                <w:sz w:val="21"/>
              </w:rPr>
            </w:pPr>
          </w:p>
        </w:tc>
        <w:tc>
          <w:tcPr>
            <w:tcW w:w="1208" w:type="dxa"/>
            <w:vAlign w:val="top"/>
          </w:tcPr>
          <w:p w14:paraId="73CECAB5">
            <w:pPr>
              <w:pStyle w:val="6"/>
              <w:spacing w:before="89" w:line="195" w:lineRule="auto"/>
              <w:ind w:left="506"/>
              <w:rPr>
                <w:sz w:val="20"/>
                <w:szCs w:val="20"/>
              </w:rPr>
            </w:pPr>
            <w:r>
              <w:rPr>
                <w:sz w:val="20"/>
                <w:szCs w:val="20"/>
              </w:rPr>
              <w:t>52</w:t>
            </w:r>
          </w:p>
        </w:tc>
        <w:tc>
          <w:tcPr>
            <w:tcW w:w="2015" w:type="dxa"/>
            <w:tcBorders>
              <w:top w:val="nil"/>
            </w:tcBorders>
            <w:vAlign w:val="top"/>
          </w:tcPr>
          <w:p w14:paraId="7AEAEF57">
            <w:pPr>
              <w:rPr>
                <w:rFonts w:ascii="Arial"/>
                <w:sz w:val="21"/>
              </w:rPr>
            </w:pPr>
          </w:p>
        </w:tc>
        <w:tc>
          <w:tcPr>
            <w:tcW w:w="1183" w:type="dxa"/>
            <w:tcBorders>
              <w:right w:val="nil"/>
            </w:tcBorders>
            <w:vAlign w:val="top"/>
          </w:tcPr>
          <w:p w14:paraId="2A121BBD">
            <w:pPr>
              <w:pStyle w:val="6"/>
              <w:spacing w:before="89" w:line="195" w:lineRule="auto"/>
              <w:ind w:left="493"/>
              <w:rPr>
                <w:sz w:val="20"/>
                <w:szCs w:val="20"/>
              </w:rPr>
            </w:pPr>
            <w:r>
              <w:rPr>
                <w:sz w:val="20"/>
                <w:szCs w:val="20"/>
              </w:rPr>
              <w:t>37</w:t>
            </w:r>
          </w:p>
        </w:tc>
      </w:tr>
    </w:tbl>
    <w:p w14:paraId="275A6F28">
      <w:pPr>
        <w:tabs>
          <w:tab w:val="left" w:pos="121"/>
        </w:tabs>
        <w:spacing w:before="52" w:line="221" w:lineRule="auto"/>
        <w:rPr>
          <w:rFonts w:ascii="仿宋" w:hAnsi="仿宋" w:eastAsia="仿宋" w:cs="仿宋"/>
          <w:sz w:val="20"/>
          <w:szCs w:val="20"/>
        </w:rPr>
      </w:pPr>
      <w:r>
        <w:rPr>
          <w:rFonts w:ascii="仿宋" w:hAnsi="仿宋" w:eastAsia="仿宋" w:cs="仿宋"/>
          <w:sz w:val="20"/>
          <w:szCs w:val="20"/>
          <w:u w:val="single" w:color="auto"/>
        </w:rPr>
        <w:tab/>
      </w:r>
      <w:r>
        <w:rPr>
          <w:rFonts w:ascii="仿宋" w:hAnsi="仿宋" w:eastAsia="仿宋" w:cs="仿宋"/>
          <w:spacing w:val="5"/>
          <w:sz w:val="20"/>
          <w:szCs w:val="20"/>
          <w:u w:val="single" w:color="auto"/>
        </w:rPr>
        <w:t>备注：参照《声环境质量标准》</w:t>
      </w:r>
      <w:r>
        <w:rPr>
          <w:rFonts w:ascii="Times New Roman" w:hAnsi="Times New Roman" w:eastAsia="Times New Roman" w:cs="Times New Roman"/>
          <w:spacing w:val="5"/>
          <w:sz w:val="20"/>
          <w:szCs w:val="20"/>
          <w:u w:val="single" w:color="auto"/>
        </w:rPr>
        <w:t>(</w:t>
      </w:r>
      <w:r>
        <w:rPr>
          <w:rFonts w:ascii="Times New Roman" w:hAnsi="Times New Roman" w:eastAsia="Times New Roman" w:cs="Times New Roman"/>
          <w:sz w:val="20"/>
          <w:szCs w:val="20"/>
          <w:u w:val="single" w:color="auto"/>
        </w:rPr>
        <w:t>GB</w:t>
      </w:r>
      <w:r>
        <w:rPr>
          <w:rFonts w:ascii="Times New Roman" w:hAnsi="Times New Roman" w:eastAsia="Times New Roman" w:cs="Times New Roman"/>
          <w:spacing w:val="5"/>
          <w:sz w:val="20"/>
          <w:szCs w:val="20"/>
          <w:u w:val="single" w:color="auto"/>
        </w:rPr>
        <w:t xml:space="preserve"> 3096-2008)</w:t>
      </w:r>
      <w:r>
        <w:rPr>
          <w:rFonts w:ascii="仿宋" w:hAnsi="仿宋" w:eastAsia="仿宋" w:cs="仿宋"/>
          <w:spacing w:val="5"/>
          <w:sz w:val="20"/>
          <w:szCs w:val="20"/>
          <w:u w:val="single" w:color="auto"/>
        </w:rPr>
        <w:t>表</w:t>
      </w:r>
      <w:r>
        <w:rPr>
          <w:rFonts w:ascii="仿宋" w:hAnsi="仿宋" w:eastAsia="仿宋" w:cs="仿宋"/>
          <w:spacing w:val="-23"/>
          <w:sz w:val="20"/>
          <w:szCs w:val="20"/>
          <w:u w:val="single" w:color="auto"/>
        </w:rPr>
        <w:t xml:space="preserve"> </w:t>
      </w:r>
      <w:r>
        <w:rPr>
          <w:rFonts w:ascii="Times New Roman" w:hAnsi="Times New Roman" w:eastAsia="Times New Roman" w:cs="Times New Roman"/>
          <w:spacing w:val="5"/>
          <w:sz w:val="20"/>
          <w:szCs w:val="20"/>
          <w:u w:val="single" w:color="auto"/>
        </w:rPr>
        <w:t xml:space="preserve">1  </w:t>
      </w:r>
      <w:r>
        <w:rPr>
          <w:rFonts w:ascii="仿宋" w:hAnsi="仿宋" w:eastAsia="仿宋" w:cs="仿宋"/>
          <w:spacing w:val="5"/>
          <w:sz w:val="20"/>
          <w:szCs w:val="20"/>
          <w:u w:val="single" w:color="auto"/>
        </w:rPr>
        <w:t>中环境噪声限值</w:t>
      </w:r>
      <w:r>
        <w:rPr>
          <w:rFonts w:ascii="仿宋" w:hAnsi="仿宋" w:eastAsia="仿宋" w:cs="仿宋"/>
          <w:spacing w:val="-23"/>
          <w:sz w:val="20"/>
          <w:szCs w:val="20"/>
          <w:u w:val="single" w:color="auto"/>
        </w:rPr>
        <w:t xml:space="preserve"> </w:t>
      </w:r>
      <w:r>
        <w:rPr>
          <w:rFonts w:ascii="Times New Roman" w:hAnsi="Times New Roman" w:eastAsia="Times New Roman" w:cs="Times New Roman"/>
          <w:spacing w:val="5"/>
          <w:sz w:val="20"/>
          <w:szCs w:val="20"/>
          <w:u w:val="single" w:color="auto"/>
        </w:rPr>
        <w:t>1</w:t>
      </w:r>
      <w:r>
        <w:rPr>
          <w:rFonts w:ascii="Times New Roman" w:hAnsi="Times New Roman" w:eastAsia="Times New Roman" w:cs="Times New Roman"/>
          <w:spacing w:val="20"/>
          <w:w w:val="101"/>
          <w:sz w:val="20"/>
          <w:szCs w:val="20"/>
          <w:u w:val="single" w:color="auto"/>
        </w:rPr>
        <w:t xml:space="preserve"> </w:t>
      </w:r>
      <w:r>
        <w:rPr>
          <w:rFonts w:ascii="仿宋" w:hAnsi="仿宋" w:eastAsia="仿宋" w:cs="仿宋"/>
          <w:spacing w:val="5"/>
          <w:sz w:val="20"/>
          <w:szCs w:val="20"/>
          <w:u w:val="single" w:color="auto"/>
        </w:rPr>
        <w:t>类标准限</w:t>
      </w:r>
      <w:r>
        <w:rPr>
          <w:rFonts w:ascii="仿宋" w:hAnsi="仿宋" w:eastAsia="仿宋" w:cs="仿宋"/>
          <w:spacing w:val="4"/>
          <w:sz w:val="20"/>
          <w:szCs w:val="20"/>
          <w:u w:val="single" w:color="auto"/>
        </w:rPr>
        <w:t>值。</w:t>
      </w:r>
      <w:r>
        <w:rPr>
          <w:rFonts w:ascii="仿宋" w:hAnsi="仿宋" w:eastAsia="仿宋" w:cs="仿宋"/>
          <w:sz w:val="20"/>
          <w:szCs w:val="20"/>
          <w:u w:val="single" w:color="auto"/>
        </w:rPr>
        <w:t xml:space="preserve">        </w:t>
      </w:r>
    </w:p>
    <w:p w14:paraId="74E78CF8">
      <w:pPr>
        <w:spacing w:before="86" w:line="220" w:lineRule="auto"/>
        <w:ind w:left="1413"/>
        <w:rPr>
          <w:rFonts w:ascii="仿宋" w:hAnsi="仿宋" w:eastAsia="仿宋" w:cs="仿宋"/>
          <w:sz w:val="24"/>
          <w:szCs w:val="24"/>
        </w:rPr>
      </w:pPr>
      <w:r>
        <w:rPr>
          <w:rFonts w:ascii="仿宋" w:hAnsi="仿宋" w:eastAsia="仿宋" w:cs="仿宋"/>
          <w:b/>
          <w:bCs/>
          <w:spacing w:val="-5"/>
          <w:sz w:val="24"/>
          <w:szCs w:val="24"/>
        </w:rPr>
        <w:t>表</w:t>
      </w:r>
      <w:r>
        <w:rPr>
          <w:rFonts w:ascii="仿宋" w:hAnsi="仿宋" w:eastAsia="仿宋" w:cs="仿宋"/>
          <w:spacing w:val="-42"/>
          <w:sz w:val="24"/>
          <w:szCs w:val="24"/>
        </w:rPr>
        <w:t xml:space="preserve"> </w:t>
      </w:r>
      <w:r>
        <w:rPr>
          <w:rFonts w:ascii="仿宋" w:hAnsi="仿宋" w:eastAsia="仿宋" w:cs="仿宋"/>
          <w:b/>
          <w:bCs/>
          <w:spacing w:val="-5"/>
          <w:sz w:val="24"/>
          <w:szCs w:val="24"/>
        </w:rPr>
        <w:t>3.2-4</w:t>
      </w:r>
      <w:r>
        <w:rPr>
          <w:rFonts w:ascii="仿宋" w:hAnsi="仿宋" w:eastAsia="仿宋" w:cs="仿宋"/>
          <w:spacing w:val="-5"/>
          <w:sz w:val="24"/>
          <w:szCs w:val="24"/>
        </w:rPr>
        <w:t xml:space="preserve">   </w:t>
      </w:r>
      <w:r>
        <w:rPr>
          <w:rFonts w:ascii="仿宋" w:hAnsi="仿宋" w:eastAsia="仿宋" w:cs="仿宋"/>
          <w:b/>
          <w:bCs/>
          <w:spacing w:val="-5"/>
          <w:sz w:val="24"/>
          <w:szCs w:val="24"/>
        </w:rPr>
        <w:t>敏感目标噪声检测结果</w:t>
      </w:r>
      <w:r>
        <w:rPr>
          <w:rFonts w:ascii="仿宋" w:hAnsi="仿宋" w:eastAsia="仿宋" w:cs="仿宋"/>
          <w:spacing w:val="5"/>
          <w:sz w:val="24"/>
          <w:szCs w:val="24"/>
        </w:rPr>
        <w:t xml:space="preserve">    </w:t>
      </w:r>
      <w:r>
        <w:rPr>
          <w:rFonts w:ascii="仿宋" w:hAnsi="仿宋" w:eastAsia="仿宋" w:cs="仿宋"/>
          <w:b/>
          <w:bCs/>
          <w:spacing w:val="-5"/>
          <w:sz w:val="24"/>
          <w:szCs w:val="24"/>
        </w:rPr>
        <w:t>单位:</w:t>
      </w:r>
      <w:r>
        <w:rPr>
          <w:rFonts w:ascii="仿宋" w:hAnsi="仿宋" w:eastAsia="仿宋" w:cs="仿宋"/>
          <w:spacing w:val="51"/>
          <w:sz w:val="24"/>
          <w:szCs w:val="24"/>
        </w:rPr>
        <w:t xml:space="preserve"> </w:t>
      </w:r>
      <w:r>
        <w:rPr>
          <w:rFonts w:ascii="仿宋" w:hAnsi="仿宋" w:eastAsia="仿宋" w:cs="仿宋"/>
          <w:b/>
          <w:bCs/>
          <w:spacing w:val="-5"/>
          <w:sz w:val="24"/>
          <w:szCs w:val="24"/>
        </w:rPr>
        <w:t>[dB(A)]</w:t>
      </w:r>
    </w:p>
    <w:p w14:paraId="2FC0509A">
      <w:pPr>
        <w:spacing w:line="144" w:lineRule="exact"/>
      </w:pPr>
    </w:p>
    <w:tbl>
      <w:tblPr>
        <w:tblStyle w:val="5"/>
        <w:tblW w:w="8519"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630"/>
        <w:gridCol w:w="1481"/>
        <w:gridCol w:w="1211"/>
        <w:gridCol w:w="2026"/>
        <w:gridCol w:w="1171"/>
      </w:tblGrid>
      <w:tr w14:paraId="4DD2D0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2630" w:type="dxa"/>
            <w:tcBorders>
              <w:top w:val="single" w:color="000000" w:sz="10" w:space="0"/>
              <w:left w:val="nil"/>
            </w:tcBorders>
            <w:vAlign w:val="top"/>
          </w:tcPr>
          <w:p w14:paraId="35C49EBD">
            <w:pPr>
              <w:spacing w:before="55" w:line="229" w:lineRule="auto"/>
              <w:ind w:left="909"/>
              <w:rPr>
                <w:rFonts w:ascii="仿宋" w:hAnsi="仿宋" w:eastAsia="仿宋" w:cs="仿宋"/>
                <w:sz w:val="20"/>
                <w:szCs w:val="20"/>
              </w:rPr>
            </w:pPr>
            <w:r>
              <w:rPr>
                <w:rFonts w:ascii="仿宋" w:hAnsi="仿宋" w:eastAsia="仿宋" w:cs="仿宋"/>
                <w:spacing w:val="5"/>
                <w:sz w:val="20"/>
                <w:szCs w:val="20"/>
              </w:rPr>
              <w:t>检测位置</w:t>
            </w:r>
          </w:p>
        </w:tc>
        <w:tc>
          <w:tcPr>
            <w:tcW w:w="1481" w:type="dxa"/>
            <w:tcBorders>
              <w:top w:val="single" w:color="000000" w:sz="10" w:space="0"/>
            </w:tcBorders>
            <w:vAlign w:val="top"/>
          </w:tcPr>
          <w:p w14:paraId="0FFDFE1F">
            <w:pPr>
              <w:spacing w:before="55" w:line="229" w:lineRule="auto"/>
              <w:ind w:left="333"/>
              <w:rPr>
                <w:rFonts w:ascii="仿宋" w:hAnsi="仿宋" w:eastAsia="仿宋" w:cs="仿宋"/>
                <w:sz w:val="20"/>
                <w:szCs w:val="20"/>
              </w:rPr>
            </w:pPr>
            <w:r>
              <w:rPr>
                <w:rFonts w:ascii="仿宋" w:hAnsi="仿宋" w:eastAsia="仿宋" w:cs="仿宋"/>
                <w:spacing w:val="5"/>
                <w:sz w:val="20"/>
                <w:szCs w:val="20"/>
              </w:rPr>
              <w:t>检测时间</w:t>
            </w:r>
          </w:p>
        </w:tc>
        <w:tc>
          <w:tcPr>
            <w:tcW w:w="1211" w:type="dxa"/>
            <w:tcBorders>
              <w:top w:val="single" w:color="000000" w:sz="10" w:space="0"/>
            </w:tcBorders>
            <w:vAlign w:val="top"/>
          </w:tcPr>
          <w:p w14:paraId="0DE1ACDE">
            <w:pPr>
              <w:spacing w:before="55" w:line="231" w:lineRule="auto"/>
              <w:ind w:left="195"/>
              <w:rPr>
                <w:rFonts w:ascii="仿宋" w:hAnsi="仿宋" w:eastAsia="仿宋" w:cs="仿宋"/>
                <w:sz w:val="20"/>
                <w:szCs w:val="20"/>
              </w:rPr>
            </w:pPr>
            <w:r>
              <w:rPr>
                <w:rFonts w:ascii="仿宋" w:hAnsi="仿宋" w:eastAsia="仿宋" w:cs="仿宋"/>
                <w:spacing w:val="5"/>
                <w:sz w:val="20"/>
                <w:szCs w:val="20"/>
              </w:rPr>
              <w:t>测定结果</w:t>
            </w:r>
          </w:p>
        </w:tc>
        <w:tc>
          <w:tcPr>
            <w:tcW w:w="2026" w:type="dxa"/>
            <w:tcBorders>
              <w:top w:val="single" w:color="000000" w:sz="10" w:space="0"/>
            </w:tcBorders>
            <w:vAlign w:val="top"/>
          </w:tcPr>
          <w:p w14:paraId="4228527B">
            <w:pPr>
              <w:spacing w:before="55" w:line="229" w:lineRule="auto"/>
              <w:ind w:left="605"/>
              <w:rPr>
                <w:rFonts w:ascii="仿宋" w:hAnsi="仿宋" w:eastAsia="仿宋" w:cs="仿宋"/>
                <w:sz w:val="20"/>
                <w:szCs w:val="20"/>
              </w:rPr>
            </w:pPr>
            <w:r>
              <w:rPr>
                <w:rFonts w:ascii="仿宋" w:hAnsi="仿宋" w:eastAsia="仿宋" w:cs="仿宋"/>
                <w:spacing w:val="5"/>
                <w:sz w:val="20"/>
                <w:szCs w:val="20"/>
              </w:rPr>
              <w:t>检测时间</w:t>
            </w:r>
          </w:p>
        </w:tc>
        <w:tc>
          <w:tcPr>
            <w:tcW w:w="1171" w:type="dxa"/>
            <w:tcBorders>
              <w:top w:val="single" w:color="000000" w:sz="10" w:space="0"/>
              <w:right w:val="nil"/>
            </w:tcBorders>
            <w:vAlign w:val="top"/>
          </w:tcPr>
          <w:p w14:paraId="6EBF6E3D">
            <w:pPr>
              <w:spacing w:before="55" w:line="231" w:lineRule="auto"/>
              <w:ind w:left="176"/>
              <w:rPr>
                <w:rFonts w:ascii="仿宋" w:hAnsi="仿宋" w:eastAsia="仿宋" w:cs="仿宋"/>
                <w:sz w:val="20"/>
                <w:szCs w:val="20"/>
              </w:rPr>
            </w:pPr>
            <w:r>
              <w:rPr>
                <w:rFonts w:ascii="仿宋" w:hAnsi="仿宋" w:eastAsia="仿宋" w:cs="仿宋"/>
                <w:spacing w:val="5"/>
                <w:sz w:val="20"/>
                <w:szCs w:val="20"/>
              </w:rPr>
              <w:t>测定结果</w:t>
            </w:r>
          </w:p>
        </w:tc>
      </w:tr>
      <w:tr w14:paraId="3D6B85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630" w:type="dxa"/>
            <w:tcBorders>
              <w:left w:val="nil"/>
            </w:tcBorders>
            <w:vAlign w:val="top"/>
          </w:tcPr>
          <w:p w14:paraId="65D368EA">
            <w:pPr>
              <w:pStyle w:val="6"/>
              <w:spacing w:before="51" w:line="231" w:lineRule="auto"/>
              <w:ind w:left="768"/>
              <w:rPr>
                <w:rFonts w:ascii="仿宋" w:hAnsi="仿宋" w:eastAsia="仿宋" w:cs="仿宋"/>
                <w:sz w:val="20"/>
                <w:szCs w:val="20"/>
              </w:rPr>
            </w:pPr>
            <w:r>
              <w:rPr>
                <w:rFonts w:ascii="仿宋" w:hAnsi="仿宋" w:eastAsia="仿宋" w:cs="仿宋"/>
                <w:spacing w:val="5"/>
                <w:sz w:val="20"/>
                <w:szCs w:val="20"/>
              </w:rPr>
              <w:t>庙圪梁</w:t>
            </w:r>
            <w:r>
              <w:rPr>
                <w:spacing w:val="5"/>
                <w:sz w:val="20"/>
                <w:szCs w:val="20"/>
              </w:rPr>
              <w:t>-</w:t>
            </w:r>
            <w:r>
              <w:rPr>
                <w:rFonts w:ascii="仿宋" w:hAnsi="仿宋" w:eastAsia="仿宋" w:cs="仿宋"/>
                <w:spacing w:val="5"/>
                <w:sz w:val="20"/>
                <w:szCs w:val="20"/>
              </w:rPr>
              <w:t>散户</w:t>
            </w:r>
          </w:p>
        </w:tc>
        <w:tc>
          <w:tcPr>
            <w:tcW w:w="1481" w:type="dxa"/>
            <w:vMerge w:val="restart"/>
            <w:tcBorders>
              <w:bottom w:val="nil"/>
            </w:tcBorders>
            <w:vAlign w:val="top"/>
          </w:tcPr>
          <w:p w14:paraId="6D40FD0E">
            <w:pPr>
              <w:spacing w:line="263" w:lineRule="auto"/>
              <w:rPr>
                <w:rFonts w:ascii="Arial"/>
                <w:sz w:val="21"/>
              </w:rPr>
            </w:pPr>
          </w:p>
          <w:p w14:paraId="3621B4B1">
            <w:pPr>
              <w:spacing w:line="263" w:lineRule="auto"/>
              <w:rPr>
                <w:rFonts w:ascii="Arial"/>
                <w:sz w:val="21"/>
              </w:rPr>
            </w:pPr>
          </w:p>
          <w:p w14:paraId="6D4A3D3A">
            <w:pPr>
              <w:spacing w:line="263" w:lineRule="auto"/>
              <w:rPr>
                <w:rFonts w:ascii="Arial"/>
                <w:sz w:val="21"/>
              </w:rPr>
            </w:pPr>
          </w:p>
          <w:p w14:paraId="34E4C0C9">
            <w:pPr>
              <w:spacing w:line="263" w:lineRule="auto"/>
              <w:rPr>
                <w:rFonts w:ascii="Arial"/>
                <w:sz w:val="21"/>
              </w:rPr>
            </w:pPr>
          </w:p>
          <w:p w14:paraId="2C89CB35">
            <w:pPr>
              <w:spacing w:line="263" w:lineRule="auto"/>
              <w:rPr>
                <w:rFonts w:ascii="Arial"/>
                <w:sz w:val="21"/>
              </w:rPr>
            </w:pPr>
          </w:p>
          <w:p w14:paraId="4EC9A42C">
            <w:pPr>
              <w:pStyle w:val="6"/>
              <w:spacing w:before="57" w:line="195" w:lineRule="auto"/>
              <w:ind w:left="232"/>
              <w:rPr>
                <w:sz w:val="20"/>
                <w:szCs w:val="20"/>
              </w:rPr>
            </w:pPr>
            <w:r>
              <w:rPr>
                <w:spacing w:val="1"/>
                <w:sz w:val="20"/>
                <w:szCs w:val="20"/>
              </w:rPr>
              <w:t>09:01-</w:t>
            </w:r>
            <w:r>
              <w:rPr>
                <w:spacing w:val="-22"/>
                <w:sz w:val="20"/>
                <w:szCs w:val="20"/>
              </w:rPr>
              <w:t xml:space="preserve"> </w:t>
            </w:r>
            <w:r>
              <w:rPr>
                <w:spacing w:val="1"/>
                <w:sz w:val="20"/>
                <w:szCs w:val="20"/>
              </w:rPr>
              <w:t>14:51</w:t>
            </w:r>
          </w:p>
          <w:p w14:paraId="7558B6F5">
            <w:pPr>
              <w:pStyle w:val="6"/>
              <w:spacing w:before="89" w:line="265" w:lineRule="exact"/>
              <w:ind w:left="125"/>
              <w:rPr>
                <w:rFonts w:ascii="仿宋" w:hAnsi="仿宋" w:eastAsia="仿宋" w:cs="仿宋"/>
                <w:sz w:val="20"/>
                <w:szCs w:val="20"/>
              </w:rPr>
            </w:pPr>
            <w:r>
              <w:rPr>
                <w:rFonts w:ascii="仿宋" w:hAnsi="仿宋" w:eastAsia="仿宋" w:cs="仿宋"/>
                <w:position w:val="1"/>
                <w:sz w:val="20"/>
                <w:szCs w:val="20"/>
              </w:rPr>
              <w:t>（</w:t>
            </w:r>
            <w:r>
              <w:rPr>
                <w:position w:val="1"/>
                <w:sz w:val="20"/>
                <w:szCs w:val="20"/>
              </w:rPr>
              <w:t>2026.6.</w:t>
            </w:r>
            <w:r>
              <w:rPr>
                <w:spacing w:val="-20"/>
                <w:position w:val="1"/>
                <w:sz w:val="20"/>
                <w:szCs w:val="20"/>
              </w:rPr>
              <w:t xml:space="preserve"> </w:t>
            </w:r>
            <w:r>
              <w:rPr>
                <w:position w:val="1"/>
                <w:sz w:val="20"/>
                <w:szCs w:val="20"/>
              </w:rPr>
              <w:t>13</w:t>
            </w:r>
            <w:r>
              <w:rPr>
                <w:rFonts w:ascii="仿宋" w:hAnsi="仿宋" w:eastAsia="仿宋" w:cs="仿宋"/>
                <w:position w:val="1"/>
                <w:sz w:val="20"/>
                <w:szCs w:val="20"/>
              </w:rPr>
              <w:t>）</w:t>
            </w:r>
          </w:p>
        </w:tc>
        <w:tc>
          <w:tcPr>
            <w:tcW w:w="1211" w:type="dxa"/>
            <w:vAlign w:val="top"/>
          </w:tcPr>
          <w:p w14:paraId="04E20115">
            <w:pPr>
              <w:pStyle w:val="6"/>
              <w:spacing w:before="87" w:line="195" w:lineRule="auto"/>
              <w:ind w:left="508"/>
              <w:rPr>
                <w:sz w:val="20"/>
                <w:szCs w:val="20"/>
              </w:rPr>
            </w:pPr>
            <w:r>
              <w:rPr>
                <w:sz w:val="20"/>
                <w:szCs w:val="20"/>
              </w:rPr>
              <w:t>51</w:t>
            </w:r>
          </w:p>
        </w:tc>
        <w:tc>
          <w:tcPr>
            <w:tcW w:w="2026" w:type="dxa"/>
            <w:vMerge w:val="restart"/>
            <w:tcBorders>
              <w:bottom w:val="nil"/>
            </w:tcBorders>
            <w:vAlign w:val="top"/>
          </w:tcPr>
          <w:p w14:paraId="55015278">
            <w:pPr>
              <w:spacing w:line="263" w:lineRule="auto"/>
              <w:rPr>
                <w:rFonts w:ascii="Arial"/>
                <w:sz w:val="21"/>
              </w:rPr>
            </w:pPr>
          </w:p>
          <w:p w14:paraId="3DECBE85">
            <w:pPr>
              <w:spacing w:line="263" w:lineRule="auto"/>
              <w:rPr>
                <w:rFonts w:ascii="Arial"/>
                <w:sz w:val="21"/>
              </w:rPr>
            </w:pPr>
          </w:p>
          <w:p w14:paraId="24CAB1C4">
            <w:pPr>
              <w:spacing w:line="263" w:lineRule="auto"/>
              <w:rPr>
                <w:rFonts w:ascii="Arial"/>
                <w:sz w:val="21"/>
              </w:rPr>
            </w:pPr>
          </w:p>
          <w:p w14:paraId="4148454E">
            <w:pPr>
              <w:spacing w:line="263" w:lineRule="auto"/>
              <w:rPr>
                <w:rFonts w:ascii="Arial"/>
                <w:sz w:val="21"/>
              </w:rPr>
            </w:pPr>
          </w:p>
          <w:p w14:paraId="1748E10B">
            <w:pPr>
              <w:spacing w:line="263" w:lineRule="auto"/>
              <w:rPr>
                <w:rFonts w:ascii="Arial"/>
                <w:sz w:val="21"/>
              </w:rPr>
            </w:pPr>
          </w:p>
          <w:p w14:paraId="1717C743">
            <w:pPr>
              <w:pStyle w:val="6"/>
              <w:spacing w:before="57" w:line="195" w:lineRule="auto"/>
              <w:ind w:left="501"/>
              <w:rPr>
                <w:sz w:val="20"/>
                <w:szCs w:val="20"/>
              </w:rPr>
            </w:pPr>
            <w:r>
              <w:rPr>
                <w:spacing w:val="3"/>
                <w:sz w:val="20"/>
                <w:szCs w:val="20"/>
              </w:rPr>
              <w:t>22:01-03:53</w:t>
            </w:r>
          </w:p>
          <w:p w14:paraId="05846C28">
            <w:pPr>
              <w:pStyle w:val="6"/>
              <w:spacing w:before="89" w:line="265" w:lineRule="exact"/>
              <w:ind w:left="179"/>
              <w:rPr>
                <w:rFonts w:ascii="仿宋" w:hAnsi="仿宋" w:eastAsia="仿宋" w:cs="仿宋"/>
                <w:sz w:val="20"/>
                <w:szCs w:val="20"/>
              </w:rPr>
            </w:pPr>
            <w:r>
              <w:rPr>
                <w:rFonts w:ascii="仿宋" w:hAnsi="仿宋" w:eastAsia="仿宋" w:cs="仿宋"/>
                <w:spacing w:val="1"/>
                <w:position w:val="1"/>
                <w:sz w:val="20"/>
                <w:szCs w:val="20"/>
              </w:rPr>
              <w:t>（</w:t>
            </w:r>
            <w:r>
              <w:rPr>
                <w:spacing w:val="1"/>
                <w:position w:val="1"/>
                <w:sz w:val="20"/>
                <w:szCs w:val="20"/>
              </w:rPr>
              <w:t>2026.6.13-6.</w:t>
            </w:r>
            <w:r>
              <w:rPr>
                <w:spacing w:val="-16"/>
                <w:position w:val="1"/>
                <w:sz w:val="20"/>
                <w:szCs w:val="20"/>
              </w:rPr>
              <w:t xml:space="preserve"> </w:t>
            </w:r>
            <w:r>
              <w:rPr>
                <w:spacing w:val="1"/>
                <w:position w:val="1"/>
                <w:sz w:val="20"/>
                <w:szCs w:val="20"/>
              </w:rPr>
              <w:t>14</w:t>
            </w:r>
            <w:r>
              <w:rPr>
                <w:rFonts w:ascii="仿宋" w:hAnsi="仿宋" w:eastAsia="仿宋" w:cs="仿宋"/>
                <w:spacing w:val="1"/>
                <w:position w:val="1"/>
                <w:sz w:val="20"/>
                <w:szCs w:val="20"/>
              </w:rPr>
              <w:t>）</w:t>
            </w:r>
          </w:p>
        </w:tc>
        <w:tc>
          <w:tcPr>
            <w:tcW w:w="1171" w:type="dxa"/>
            <w:tcBorders>
              <w:right w:val="nil"/>
            </w:tcBorders>
            <w:vAlign w:val="top"/>
          </w:tcPr>
          <w:p w14:paraId="7920F4B1">
            <w:pPr>
              <w:pStyle w:val="6"/>
              <w:spacing w:before="87" w:line="195" w:lineRule="auto"/>
              <w:ind w:left="480"/>
              <w:rPr>
                <w:sz w:val="20"/>
                <w:szCs w:val="20"/>
              </w:rPr>
            </w:pPr>
            <w:r>
              <w:rPr>
                <w:spacing w:val="3"/>
                <w:sz w:val="20"/>
                <w:szCs w:val="20"/>
              </w:rPr>
              <w:t>41</w:t>
            </w:r>
          </w:p>
        </w:tc>
      </w:tr>
      <w:tr w14:paraId="52CD16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630" w:type="dxa"/>
            <w:tcBorders>
              <w:left w:val="nil"/>
            </w:tcBorders>
            <w:vAlign w:val="top"/>
          </w:tcPr>
          <w:p w14:paraId="74E855C3">
            <w:pPr>
              <w:pStyle w:val="6"/>
              <w:spacing w:before="51" w:line="231" w:lineRule="auto"/>
              <w:ind w:left="771"/>
              <w:rPr>
                <w:rFonts w:ascii="仿宋" w:hAnsi="仿宋" w:eastAsia="仿宋" w:cs="仿宋"/>
                <w:sz w:val="20"/>
                <w:szCs w:val="20"/>
              </w:rPr>
            </w:pPr>
            <w:r>
              <w:rPr>
                <w:rFonts w:ascii="仿宋" w:hAnsi="仿宋" w:eastAsia="仿宋" w:cs="仿宋"/>
                <w:spacing w:val="5"/>
                <w:sz w:val="20"/>
                <w:szCs w:val="20"/>
              </w:rPr>
              <w:t>崔家峁</w:t>
            </w:r>
            <w:r>
              <w:rPr>
                <w:spacing w:val="5"/>
                <w:sz w:val="20"/>
                <w:szCs w:val="20"/>
              </w:rPr>
              <w:t>-</w:t>
            </w:r>
            <w:r>
              <w:rPr>
                <w:rFonts w:ascii="仿宋" w:hAnsi="仿宋" w:eastAsia="仿宋" w:cs="仿宋"/>
                <w:spacing w:val="5"/>
                <w:sz w:val="20"/>
                <w:szCs w:val="20"/>
              </w:rPr>
              <w:t>散户</w:t>
            </w:r>
          </w:p>
        </w:tc>
        <w:tc>
          <w:tcPr>
            <w:tcW w:w="1481" w:type="dxa"/>
            <w:vMerge w:val="continue"/>
            <w:tcBorders>
              <w:top w:val="nil"/>
              <w:bottom w:val="nil"/>
            </w:tcBorders>
            <w:vAlign w:val="top"/>
          </w:tcPr>
          <w:p w14:paraId="5620DB5D">
            <w:pPr>
              <w:rPr>
                <w:rFonts w:ascii="Arial"/>
                <w:sz w:val="21"/>
              </w:rPr>
            </w:pPr>
          </w:p>
        </w:tc>
        <w:tc>
          <w:tcPr>
            <w:tcW w:w="1211" w:type="dxa"/>
            <w:vAlign w:val="top"/>
          </w:tcPr>
          <w:p w14:paraId="4B2E3E19">
            <w:pPr>
              <w:pStyle w:val="6"/>
              <w:spacing w:before="87" w:line="195" w:lineRule="auto"/>
              <w:ind w:left="508"/>
              <w:rPr>
                <w:sz w:val="20"/>
                <w:szCs w:val="20"/>
              </w:rPr>
            </w:pPr>
            <w:r>
              <w:rPr>
                <w:sz w:val="20"/>
                <w:szCs w:val="20"/>
              </w:rPr>
              <w:t>53</w:t>
            </w:r>
          </w:p>
        </w:tc>
        <w:tc>
          <w:tcPr>
            <w:tcW w:w="2026" w:type="dxa"/>
            <w:vMerge w:val="continue"/>
            <w:tcBorders>
              <w:top w:val="nil"/>
              <w:bottom w:val="nil"/>
            </w:tcBorders>
            <w:vAlign w:val="top"/>
          </w:tcPr>
          <w:p w14:paraId="19473902">
            <w:pPr>
              <w:rPr>
                <w:rFonts w:ascii="Arial"/>
                <w:sz w:val="21"/>
              </w:rPr>
            </w:pPr>
          </w:p>
        </w:tc>
        <w:tc>
          <w:tcPr>
            <w:tcW w:w="1171" w:type="dxa"/>
            <w:tcBorders>
              <w:right w:val="nil"/>
            </w:tcBorders>
            <w:vAlign w:val="top"/>
          </w:tcPr>
          <w:p w14:paraId="0CDB8F8F">
            <w:pPr>
              <w:pStyle w:val="6"/>
              <w:spacing w:before="88" w:line="195" w:lineRule="auto"/>
              <w:ind w:left="480"/>
              <w:rPr>
                <w:sz w:val="20"/>
                <w:szCs w:val="20"/>
              </w:rPr>
            </w:pPr>
            <w:r>
              <w:rPr>
                <w:spacing w:val="3"/>
                <w:sz w:val="20"/>
                <w:szCs w:val="20"/>
              </w:rPr>
              <w:t>42</w:t>
            </w:r>
          </w:p>
        </w:tc>
      </w:tr>
      <w:tr w14:paraId="0BE772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630" w:type="dxa"/>
            <w:tcBorders>
              <w:left w:val="nil"/>
            </w:tcBorders>
            <w:vAlign w:val="top"/>
          </w:tcPr>
          <w:p w14:paraId="76AA1D0E">
            <w:pPr>
              <w:pStyle w:val="6"/>
              <w:spacing w:before="51" w:line="231" w:lineRule="auto"/>
              <w:ind w:left="776"/>
              <w:rPr>
                <w:rFonts w:ascii="仿宋" w:hAnsi="仿宋" w:eastAsia="仿宋" w:cs="仿宋"/>
                <w:sz w:val="20"/>
                <w:szCs w:val="20"/>
              </w:rPr>
            </w:pPr>
            <w:r>
              <w:rPr>
                <w:rFonts w:ascii="仿宋" w:hAnsi="仿宋" w:eastAsia="仿宋" w:cs="仿宋"/>
                <w:spacing w:val="4"/>
                <w:sz w:val="20"/>
                <w:szCs w:val="20"/>
              </w:rPr>
              <w:t>瓦窑平</w:t>
            </w:r>
            <w:r>
              <w:rPr>
                <w:spacing w:val="4"/>
                <w:sz w:val="20"/>
                <w:szCs w:val="20"/>
              </w:rPr>
              <w:t>-</w:t>
            </w:r>
            <w:r>
              <w:rPr>
                <w:rFonts w:ascii="仿宋" w:hAnsi="仿宋" w:eastAsia="仿宋" w:cs="仿宋"/>
                <w:spacing w:val="4"/>
                <w:sz w:val="20"/>
                <w:szCs w:val="20"/>
              </w:rPr>
              <w:t>散户</w:t>
            </w:r>
          </w:p>
        </w:tc>
        <w:tc>
          <w:tcPr>
            <w:tcW w:w="1481" w:type="dxa"/>
            <w:vMerge w:val="continue"/>
            <w:tcBorders>
              <w:top w:val="nil"/>
              <w:bottom w:val="nil"/>
            </w:tcBorders>
            <w:vAlign w:val="top"/>
          </w:tcPr>
          <w:p w14:paraId="4A225012">
            <w:pPr>
              <w:rPr>
                <w:rFonts w:ascii="Arial"/>
                <w:sz w:val="21"/>
              </w:rPr>
            </w:pPr>
          </w:p>
        </w:tc>
        <w:tc>
          <w:tcPr>
            <w:tcW w:w="1211" w:type="dxa"/>
            <w:vAlign w:val="top"/>
          </w:tcPr>
          <w:p w14:paraId="4590A9D2">
            <w:pPr>
              <w:pStyle w:val="6"/>
              <w:spacing w:before="87" w:line="195" w:lineRule="auto"/>
              <w:ind w:left="508"/>
              <w:rPr>
                <w:sz w:val="20"/>
                <w:szCs w:val="20"/>
              </w:rPr>
            </w:pPr>
            <w:r>
              <w:rPr>
                <w:sz w:val="20"/>
                <w:szCs w:val="20"/>
              </w:rPr>
              <w:t>52</w:t>
            </w:r>
          </w:p>
        </w:tc>
        <w:tc>
          <w:tcPr>
            <w:tcW w:w="2026" w:type="dxa"/>
            <w:vMerge w:val="continue"/>
            <w:tcBorders>
              <w:top w:val="nil"/>
              <w:bottom w:val="nil"/>
            </w:tcBorders>
            <w:vAlign w:val="top"/>
          </w:tcPr>
          <w:p w14:paraId="6B0F3FED">
            <w:pPr>
              <w:rPr>
                <w:rFonts w:ascii="Arial"/>
                <w:sz w:val="21"/>
              </w:rPr>
            </w:pPr>
          </w:p>
        </w:tc>
        <w:tc>
          <w:tcPr>
            <w:tcW w:w="1171" w:type="dxa"/>
            <w:tcBorders>
              <w:right w:val="nil"/>
            </w:tcBorders>
            <w:vAlign w:val="top"/>
          </w:tcPr>
          <w:p w14:paraId="636921E7">
            <w:pPr>
              <w:pStyle w:val="6"/>
              <w:spacing w:before="87" w:line="195" w:lineRule="auto"/>
              <w:ind w:left="480"/>
              <w:rPr>
                <w:sz w:val="20"/>
                <w:szCs w:val="20"/>
              </w:rPr>
            </w:pPr>
            <w:r>
              <w:rPr>
                <w:spacing w:val="3"/>
                <w:sz w:val="20"/>
                <w:szCs w:val="20"/>
              </w:rPr>
              <w:t>40</w:t>
            </w:r>
          </w:p>
        </w:tc>
      </w:tr>
      <w:tr w14:paraId="1776D6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630" w:type="dxa"/>
            <w:tcBorders>
              <w:left w:val="nil"/>
            </w:tcBorders>
            <w:vAlign w:val="top"/>
          </w:tcPr>
          <w:p w14:paraId="298F0DAF">
            <w:pPr>
              <w:pStyle w:val="6"/>
              <w:spacing w:before="51" w:line="231" w:lineRule="auto"/>
              <w:ind w:left="726"/>
              <w:rPr>
                <w:sz w:val="20"/>
                <w:szCs w:val="20"/>
              </w:rPr>
            </w:pPr>
            <w:r>
              <w:rPr>
                <w:rFonts w:ascii="仿宋" w:hAnsi="仿宋" w:eastAsia="仿宋" w:cs="仿宋"/>
                <w:spacing w:val="5"/>
                <w:sz w:val="20"/>
                <w:szCs w:val="20"/>
              </w:rPr>
              <w:t>刘家塔散户</w:t>
            </w:r>
            <w:r>
              <w:rPr>
                <w:rFonts w:ascii="仿宋" w:hAnsi="仿宋" w:eastAsia="仿宋" w:cs="仿宋"/>
                <w:spacing w:val="-20"/>
                <w:sz w:val="20"/>
                <w:szCs w:val="20"/>
              </w:rPr>
              <w:t xml:space="preserve"> </w:t>
            </w:r>
            <w:r>
              <w:rPr>
                <w:spacing w:val="5"/>
                <w:sz w:val="20"/>
                <w:szCs w:val="20"/>
              </w:rPr>
              <w:t>1</w:t>
            </w:r>
          </w:p>
        </w:tc>
        <w:tc>
          <w:tcPr>
            <w:tcW w:w="1481" w:type="dxa"/>
            <w:vMerge w:val="continue"/>
            <w:tcBorders>
              <w:top w:val="nil"/>
              <w:bottom w:val="nil"/>
            </w:tcBorders>
            <w:vAlign w:val="top"/>
          </w:tcPr>
          <w:p w14:paraId="1C915556">
            <w:pPr>
              <w:rPr>
                <w:rFonts w:ascii="Arial"/>
                <w:sz w:val="21"/>
              </w:rPr>
            </w:pPr>
          </w:p>
        </w:tc>
        <w:tc>
          <w:tcPr>
            <w:tcW w:w="1211" w:type="dxa"/>
            <w:vAlign w:val="top"/>
          </w:tcPr>
          <w:p w14:paraId="61320357">
            <w:pPr>
              <w:pStyle w:val="6"/>
              <w:spacing w:before="87" w:line="195" w:lineRule="auto"/>
              <w:ind w:left="508"/>
              <w:rPr>
                <w:sz w:val="20"/>
                <w:szCs w:val="20"/>
              </w:rPr>
            </w:pPr>
            <w:r>
              <w:rPr>
                <w:sz w:val="20"/>
                <w:szCs w:val="20"/>
              </w:rPr>
              <w:t>50</w:t>
            </w:r>
          </w:p>
        </w:tc>
        <w:tc>
          <w:tcPr>
            <w:tcW w:w="2026" w:type="dxa"/>
            <w:vMerge w:val="continue"/>
            <w:tcBorders>
              <w:top w:val="nil"/>
              <w:bottom w:val="nil"/>
            </w:tcBorders>
            <w:vAlign w:val="top"/>
          </w:tcPr>
          <w:p w14:paraId="1DA2010C">
            <w:pPr>
              <w:rPr>
                <w:rFonts w:ascii="Arial"/>
                <w:sz w:val="21"/>
              </w:rPr>
            </w:pPr>
          </w:p>
        </w:tc>
        <w:tc>
          <w:tcPr>
            <w:tcW w:w="1171" w:type="dxa"/>
            <w:tcBorders>
              <w:right w:val="nil"/>
            </w:tcBorders>
            <w:vAlign w:val="top"/>
          </w:tcPr>
          <w:p w14:paraId="1FE32D69">
            <w:pPr>
              <w:pStyle w:val="6"/>
              <w:spacing w:before="87" w:line="195" w:lineRule="auto"/>
              <w:ind w:left="480"/>
              <w:rPr>
                <w:sz w:val="20"/>
                <w:szCs w:val="20"/>
              </w:rPr>
            </w:pPr>
            <w:r>
              <w:rPr>
                <w:spacing w:val="3"/>
                <w:sz w:val="20"/>
                <w:szCs w:val="20"/>
              </w:rPr>
              <w:t>43</w:t>
            </w:r>
          </w:p>
        </w:tc>
      </w:tr>
      <w:tr w14:paraId="40DEF9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630" w:type="dxa"/>
            <w:tcBorders>
              <w:left w:val="nil"/>
            </w:tcBorders>
            <w:vAlign w:val="top"/>
          </w:tcPr>
          <w:p w14:paraId="14FAAD46">
            <w:pPr>
              <w:pStyle w:val="6"/>
              <w:spacing w:before="54" w:line="231" w:lineRule="auto"/>
              <w:ind w:left="726"/>
              <w:rPr>
                <w:sz w:val="20"/>
                <w:szCs w:val="20"/>
              </w:rPr>
            </w:pPr>
            <w:r>
              <w:rPr>
                <w:rFonts w:ascii="仿宋" w:hAnsi="仿宋" w:eastAsia="仿宋" w:cs="仿宋"/>
                <w:spacing w:val="5"/>
                <w:sz w:val="20"/>
                <w:szCs w:val="20"/>
              </w:rPr>
              <w:t>刘家塔散户</w:t>
            </w:r>
            <w:r>
              <w:rPr>
                <w:rFonts w:ascii="仿宋" w:hAnsi="仿宋" w:eastAsia="仿宋" w:cs="仿宋"/>
                <w:spacing w:val="-40"/>
                <w:sz w:val="20"/>
                <w:szCs w:val="20"/>
              </w:rPr>
              <w:t xml:space="preserve"> </w:t>
            </w:r>
            <w:r>
              <w:rPr>
                <w:spacing w:val="5"/>
                <w:sz w:val="20"/>
                <w:szCs w:val="20"/>
              </w:rPr>
              <w:t>2</w:t>
            </w:r>
          </w:p>
        </w:tc>
        <w:tc>
          <w:tcPr>
            <w:tcW w:w="1481" w:type="dxa"/>
            <w:vMerge w:val="continue"/>
            <w:tcBorders>
              <w:top w:val="nil"/>
              <w:bottom w:val="nil"/>
            </w:tcBorders>
            <w:vAlign w:val="top"/>
          </w:tcPr>
          <w:p w14:paraId="5B126010">
            <w:pPr>
              <w:rPr>
                <w:rFonts w:ascii="Arial"/>
                <w:sz w:val="21"/>
              </w:rPr>
            </w:pPr>
          </w:p>
        </w:tc>
        <w:tc>
          <w:tcPr>
            <w:tcW w:w="1211" w:type="dxa"/>
            <w:vAlign w:val="top"/>
          </w:tcPr>
          <w:p w14:paraId="05FA41F5">
            <w:pPr>
              <w:pStyle w:val="6"/>
              <w:spacing w:before="90" w:line="195" w:lineRule="auto"/>
              <w:ind w:left="501"/>
              <w:rPr>
                <w:sz w:val="20"/>
                <w:szCs w:val="20"/>
              </w:rPr>
            </w:pPr>
            <w:r>
              <w:rPr>
                <w:spacing w:val="3"/>
                <w:sz w:val="20"/>
                <w:szCs w:val="20"/>
              </w:rPr>
              <w:t>49</w:t>
            </w:r>
          </w:p>
        </w:tc>
        <w:tc>
          <w:tcPr>
            <w:tcW w:w="2026" w:type="dxa"/>
            <w:vMerge w:val="continue"/>
            <w:tcBorders>
              <w:top w:val="nil"/>
              <w:bottom w:val="nil"/>
            </w:tcBorders>
            <w:vAlign w:val="top"/>
          </w:tcPr>
          <w:p w14:paraId="05E4CD41">
            <w:pPr>
              <w:rPr>
                <w:rFonts w:ascii="Arial"/>
                <w:sz w:val="21"/>
              </w:rPr>
            </w:pPr>
          </w:p>
        </w:tc>
        <w:tc>
          <w:tcPr>
            <w:tcW w:w="1171" w:type="dxa"/>
            <w:tcBorders>
              <w:right w:val="nil"/>
            </w:tcBorders>
            <w:vAlign w:val="top"/>
          </w:tcPr>
          <w:p w14:paraId="7057041C">
            <w:pPr>
              <w:pStyle w:val="6"/>
              <w:spacing w:before="90" w:line="195" w:lineRule="auto"/>
              <w:ind w:left="485"/>
              <w:rPr>
                <w:sz w:val="20"/>
                <w:szCs w:val="20"/>
              </w:rPr>
            </w:pPr>
            <w:r>
              <w:rPr>
                <w:sz w:val="20"/>
                <w:szCs w:val="20"/>
              </w:rPr>
              <w:t>38</w:t>
            </w:r>
          </w:p>
        </w:tc>
      </w:tr>
      <w:tr w14:paraId="0BBF58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630" w:type="dxa"/>
            <w:tcBorders>
              <w:left w:val="nil"/>
            </w:tcBorders>
            <w:vAlign w:val="top"/>
          </w:tcPr>
          <w:p w14:paraId="26EBCFCC">
            <w:pPr>
              <w:spacing w:before="54" w:line="231" w:lineRule="auto"/>
              <w:ind w:left="1025"/>
              <w:rPr>
                <w:rFonts w:ascii="仿宋" w:hAnsi="仿宋" w:eastAsia="仿宋" w:cs="仿宋"/>
                <w:sz w:val="20"/>
                <w:szCs w:val="20"/>
              </w:rPr>
            </w:pPr>
            <w:r>
              <w:rPr>
                <w:rFonts w:ascii="仿宋" w:hAnsi="仿宋" w:eastAsia="仿宋" w:cs="仿宋"/>
                <w:spacing w:val="1"/>
                <w:sz w:val="20"/>
                <w:szCs w:val="20"/>
              </w:rPr>
              <w:t>陈家梁</w:t>
            </w:r>
          </w:p>
        </w:tc>
        <w:tc>
          <w:tcPr>
            <w:tcW w:w="1481" w:type="dxa"/>
            <w:vMerge w:val="continue"/>
            <w:tcBorders>
              <w:top w:val="nil"/>
              <w:bottom w:val="nil"/>
            </w:tcBorders>
            <w:vAlign w:val="top"/>
          </w:tcPr>
          <w:p w14:paraId="6B3AC607">
            <w:pPr>
              <w:rPr>
                <w:rFonts w:ascii="Arial"/>
                <w:sz w:val="21"/>
              </w:rPr>
            </w:pPr>
          </w:p>
        </w:tc>
        <w:tc>
          <w:tcPr>
            <w:tcW w:w="1211" w:type="dxa"/>
            <w:vAlign w:val="top"/>
          </w:tcPr>
          <w:p w14:paraId="4C22B539">
            <w:pPr>
              <w:pStyle w:val="6"/>
              <w:spacing w:before="90" w:line="195" w:lineRule="auto"/>
              <w:ind w:left="508"/>
              <w:rPr>
                <w:sz w:val="20"/>
                <w:szCs w:val="20"/>
              </w:rPr>
            </w:pPr>
            <w:r>
              <w:rPr>
                <w:sz w:val="20"/>
                <w:szCs w:val="20"/>
              </w:rPr>
              <w:t>51</w:t>
            </w:r>
          </w:p>
        </w:tc>
        <w:tc>
          <w:tcPr>
            <w:tcW w:w="2026" w:type="dxa"/>
            <w:vMerge w:val="continue"/>
            <w:tcBorders>
              <w:top w:val="nil"/>
              <w:bottom w:val="nil"/>
            </w:tcBorders>
            <w:vAlign w:val="top"/>
          </w:tcPr>
          <w:p w14:paraId="65AEF709">
            <w:pPr>
              <w:rPr>
                <w:rFonts w:ascii="Arial"/>
                <w:sz w:val="21"/>
              </w:rPr>
            </w:pPr>
          </w:p>
        </w:tc>
        <w:tc>
          <w:tcPr>
            <w:tcW w:w="1171" w:type="dxa"/>
            <w:tcBorders>
              <w:right w:val="nil"/>
            </w:tcBorders>
            <w:vAlign w:val="top"/>
          </w:tcPr>
          <w:p w14:paraId="367AA801">
            <w:pPr>
              <w:pStyle w:val="6"/>
              <w:spacing w:before="90" w:line="195" w:lineRule="auto"/>
              <w:ind w:left="485"/>
              <w:rPr>
                <w:sz w:val="20"/>
                <w:szCs w:val="20"/>
              </w:rPr>
            </w:pPr>
            <w:r>
              <w:rPr>
                <w:sz w:val="20"/>
                <w:szCs w:val="20"/>
              </w:rPr>
              <w:t>39</w:t>
            </w:r>
          </w:p>
        </w:tc>
      </w:tr>
      <w:tr w14:paraId="45C920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630" w:type="dxa"/>
            <w:tcBorders>
              <w:left w:val="nil"/>
            </w:tcBorders>
            <w:vAlign w:val="top"/>
          </w:tcPr>
          <w:p w14:paraId="43294442">
            <w:pPr>
              <w:pStyle w:val="6"/>
              <w:spacing w:before="55" w:line="231" w:lineRule="auto"/>
              <w:ind w:left="728"/>
              <w:rPr>
                <w:sz w:val="20"/>
                <w:szCs w:val="20"/>
              </w:rPr>
            </w:pPr>
            <w:r>
              <w:rPr>
                <w:rFonts w:ascii="仿宋" w:hAnsi="仿宋" w:eastAsia="仿宋" w:cs="仿宋"/>
                <w:spacing w:val="5"/>
                <w:sz w:val="20"/>
                <w:szCs w:val="20"/>
              </w:rPr>
              <w:t>大圪梁散户</w:t>
            </w:r>
            <w:r>
              <w:rPr>
                <w:rFonts w:ascii="仿宋" w:hAnsi="仿宋" w:eastAsia="仿宋" w:cs="仿宋"/>
                <w:spacing w:val="-22"/>
                <w:sz w:val="20"/>
                <w:szCs w:val="20"/>
              </w:rPr>
              <w:t xml:space="preserve"> </w:t>
            </w:r>
            <w:r>
              <w:rPr>
                <w:spacing w:val="5"/>
                <w:sz w:val="20"/>
                <w:szCs w:val="20"/>
              </w:rPr>
              <w:t>1</w:t>
            </w:r>
          </w:p>
        </w:tc>
        <w:tc>
          <w:tcPr>
            <w:tcW w:w="1481" w:type="dxa"/>
            <w:vMerge w:val="continue"/>
            <w:tcBorders>
              <w:top w:val="nil"/>
              <w:bottom w:val="nil"/>
            </w:tcBorders>
            <w:vAlign w:val="top"/>
          </w:tcPr>
          <w:p w14:paraId="16B071DB">
            <w:pPr>
              <w:rPr>
                <w:rFonts w:ascii="Arial"/>
                <w:sz w:val="21"/>
              </w:rPr>
            </w:pPr>
          </w:p>
        </w:tc>
        <w:tc>
          <w:tcPr>
            <w:tcW w:w="1211" w:type="dxa"/>
            <w:vAlign w:val="top"/>
          </w:tcPr>
          <w:p w14:paraId="12589210">
            <w:pPr>
              <w:pStyle w:val="6"/>
              <w:spacing w:before="91" w:line="195" w:lineRule="auto"/>
              <w:ind w:left="508"/>
              <w:rPr>
                <w:sz w:val="20"/>
                <w:szCs w:val="20"/>
              </w:rPr>
            </w:pPr>
            <w:r>
              <w:rPr>
                <w:sz w:val="20"/>
                <w:szCs w:val="20"/>
              </w:rPr>
              <w:t>52</w:t>
            </w:r>
          </w:p>
        </w:tc>
        <w:tc>
          <w:tcPr>
            <w:tcW w:w="2026" w:type="dxa"/>
            <w:vMerge w:val="continue"/>
            <w:tcBorders>
              <w:top w:val="nil"/>
              <w:bottom w:val="nil"/>
            </w:tcBorders>
            <w:vAlign w:val="top"/>
          </w:tcPr>
          <w:p w14:paraId="5F990C4F">
            <w:pPr>
              <w:rPr>
                <w:rFonts w:ascii="Arial"/>
                <w:sz w:val="21"/>
              </w:rPr>
            </w:pPr>
          </w:p>
        </w:tc>
        <w:tc>
          <w:tcPr>
            <w:tcW w:w="1171" w:type="dxa"/>
            <w:tcBorders>
              <w:right w:val="nil"/>
            </w:tcBorders>
            <w:vAlign w:val="top"/>
          </w:tcPr>
          <w:p w14:paraId="5941F577">
            <w:pPr>
              <w:pStyle w:val="6"/>
              <w:spacing w:before="91" w:line="195" w:lineRule="auto"/>
              <w:ind w:left="480"/>
              <w:rPr>
                <w:sz w:val="20"/>
                <w:szCs w:val="20"/>
              </w:rPr>
            </w:pPr>
            <w:r>
              <w:rPr>
                <w:spacing w:val="3"/>
                <w:sz w:val="20"/>
                <w:szCs w:val="20"/>
              </w:rPr>
              <w:t>42</w:t>
            </w:r>
          </w:p>
        </w:tc>
      </w:tr>
      <w:tr w14:paraId="404169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630" w:type="dxa"/>
            <w:tcBorders>
              <w:left w:val="nil"/>
            </w:tcBorders>
            <w:vAlign w:val="top"/>
          </w:tcPr>
          <w:p w14:paraId="43AF7020">
            <w:pPr>
              <w:pStyle w:val="6"/>
              <w:spacing w:before="54" w:line="231" w:lineRule="auto"/>
              <w:ind w:left="202"/>
              <w:rPr>
                <w:rFonts w:ascii="仿宋" w:hAnsi="仿宋" w:eastAsia="仿宋" w:cs="仿宋"/>
                <w:sz w:val="20"/>
                <w:szCs w:val="20"/>
              </w:rPr>
            </w:pPr>
            <w:r>
              <w:rPr>
                <w:rFonts w:ascii="仿宋" w:hAnsi="仿宋" w:eastAsia="仿宋" w:cs="仿宋"/>
                <w:spacing w:val="6"/>
                <w:sz w:val="20"/>
                <w:szCs w:val="20"/>
              </w:rPr>
              <w:t>大圪梁散户</w:t>
            </w:r>
            <w:r>
              <w:rPr>
                <w:rFonts w:ascii="仿宋" w:hAnsi="仿宋" w:eastAsia="仿宋" w:cs="仿宋"/>
                <w:spacing w:val="-39"/>
                <w:sz w:val="20"/>
                <w:szCs w:val="20"/>
              </w:rPr>
              <w:t xml:space="preserve"> </w:t>
            </w:r>
            <w:r>
              <w:rPr>
                <w:spacing w:val="6"/>
                <w:sz w:val="20"/>
                <w:szCs w:val="20"/>
              </w:rPr>
              <w:t>2</w:t>
            </w:r>
            <w:r>
              <w:rPr>
                <w:rFonts w:ascii="仿宋" w:hAnsi="仿宋" w:eastAsia="仿宋" w:cs="仿宋"/>
                <w:spacing w:val="6"/>
                <w:sz w:val="20"/>
                <w:szCs w:val="20"/>
              </w:rPr>
              <w:t>（背景点）</w:t>
            </w:r>
          </w:p>
        </w:tc>
        <w:tc>
          <w:tcPr>
            <w:tcW w:w="1481" w:type="dxa"/>
            <w:vMerge w:val="continue"/>
            <w:tcBorders>
              <w:top w:val="nil"/>
              <w:bottom w:val="nil"/>
            </w:tcBorders>
            <w:vAlign w:val="top"/>
          </w:tcPr>
          <w:p w14:paraId="2112C9F7">
            <w:pPr>
              <w:rPr>
                <w:rFonts w:ascii="Arial"/>
                <w:sz w:val="21"/>
              </w:rPr>
            </w:pPr>
          </w:p>
        </w:tc>
        <w:tc>
          <w:tcPr>
            <w:tcW w:w="1211" w:type="dxa"/>
            <w:vAlign w:val="top"/>
          </w:tcPr>
          <w:p w14:paraId="55E85281">
            <w:pPr>
              <w:pStyle w:val="6"/>
              <w:spacing w:before="90" w:line="195" w:lineRule="auto"/>
              <w:ind w:left="501"/>
              <w:rPr>
                <w:sz w:val="20"/>
                <w:szCs w:val="20"/>
              </w:rPr>
            </w:pPr>
            <w:r>
              <w:rPr>
                <w:spacing w:val="3"/>
                <w:sz w:val="20"/>
                <w:szCs w:val="20"/>
              </w:rPr>
              <w:t>45</w:t>
            </w:r>
          </w:p>
        </w:tc>
        <w:tc>
          <w:tcPr>
            <w:tcW w:w="2026" w:type="dxa"/>
            <w:vMerge w:val="continue"/>
            <w:tcBorders>
              <w:top w:val="nil"/>
              <w:bottom w:val="nil"/>
            </w:tcBorders>
            <w:vAlign w:val="top"/>
          </w:tcPr>
          <w:p w14:paraId="4A9D9EE4">
            <w:pPr>
              <w:rPr>
                <w:rFonts w:ascii="Arial"/>
                <w:sz w:val="21"/>
              </w:rPr>
            </w:pPr>
          </w:p>
        </w:tc>
        <w:tc>
          <w:tcPr>
            <w:tcW w:w="1171" w:type="dxa"/>
            <w:tcBorders>
              <w:right w:val="nil"/>
            </w:tcBorders>
            <w:vAlign w:val="top"/>
          </w:tcPr>
          <w:p w14:paraId="7B961E69">
            <w:pPr>
              <w:pStyle w:val="6"/>
              <w:spacing w:before="90" w:line="195" w:lineRule="auto"/>
              <w:ind w:left="480"/>
              <w:rPr>
                <w:sz w:val="20"/>
                <w:szCs w:val="20"/>
              </w:rPr>
            </w:pPr>
            <w:r>
              <w:rPr>
                <w:spacing w:val="3"/>
                <w:sz w:val="20"/>
                <w:szCs w:val="20"/>
              </w:rPr>
              <w:t>40</w:t>
            </w:r>
          </w:p>
        </w:tc>
      </w:tr>
      <w:tr w14:paraId="574B23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630" w:type="dxa"/>
            <w:tcBorders>
              <w:left w:val="nil"/>
            </w:tcBorders>
            <w:vAlign w:val="top"/>
          </w:tcPr>
          <w:p w14:paraId="6F55A86A">
            <w:pPr>
              <w:pStyle w:val="6"/>
              <w:spacing w:before="54" w:line="231" w:lineRule="auto"/>
              <w:ind w:left="775"/>
              <w:rPr>
                <w:rFonts w:ascii="仿宋" w:hAnsi="仿宋" w:eastAsia="仿宋" w:cs="仿宋"/>
                <w:sz w:val="20"/>
                <w:szCs w:val="20"/>
              </w:rPr>
            </w:pPr>
            <w:r>
              <w:rPr>
                <w:rFonts w:ascii="仿宋" w:hAnsi="仿宋" w:eastAsia="仿宋" w:cs="仿宋"/>
                <w:spacing w:val="4"/>
                <w:sz w:val="20"/>
                <w:szCs w:val="20"/>
              </w:rPr>
              <w:t>二道壕</w:t>
            </w:r>
            <w:r>
              <w:rPr>
                <w:spacing w:val="4"/>
                <w:sz w:val="20"/>
                <w:szCs w:val="20"/>
              </w:rPr>
              <w:t>-</w:t>
            </w:r>
            <w:r>
              <w:rPr>
                <w:rFonts w:ascii="仿宋" w:hAnsi="仿宋" w:eastAsia="仿宋" w:cs="仿宋"/>
                <w:spacing w:val="4"/>
                <w:sz w:val="20"/>
                <w:szCs w:val="20"/>
              </w:rPr>
              <w:t>散户</w:t>
            </w:r>
          </w:p>
        </w:tc>
        <w:tc>
          <w:tcPr>
            <w:tcW w:w="1481" w:type="dxa"/>
            <w:vMerge w:val="continue"/>
            <w:tcBorders>
              <w:top w:val="nil"/>
              <w:bottom w:val="nil"/>
            </w:tcBorders>
            <w:vAlign w:val="top"/>
          </w:tcPr>
          <w:p w14:paraId="4EF140C1">
            <w:pPr>
              <w:rPr>
                <w:rFonts w:ascii="Arial"/>
                <w:sz w:val="21"/>
              </w:rPr>
            </w:pPr>
          </w:p>
        </w:tc>
        <w:tc>
          <w:tcPr>
            <w:tcW w:w="1211" w:type="dxa"/>
            <w:vAlign w:val="top"/>
          </w:tcPr>
          <w:p w14:paraId="7C7DA0BE">
            <w:pPr>
              <w:pStyle w:val="6"/>
              <w:spacing w:before="90" w:line="195" w:lineRule="auto"/>
              <w:ind w:left="508"/>
              <w:rPr>
                <w:sz w:val="20"/>
                <w:szCs w:val="20"/>
              </w:rPr>
            </w:pPr>
            <w:r>
              <w:rPr>
                <w:sz w:val="20"/>
                <w:szCs w:val="20"/>
              </w:rPr>
              <w:t>53</w:t>
            </w:r>
          </w:p>
        </w:tc>
        <w:tc>
          <w:tcPr>
            <w:tcW w:w="2026" w:type="dxa"/>
            <w:vMerge w:val="continue"/>
            <w:tcBorders>
              <w:top w:val="nil"/>
              <w:bottom w:val="nil"/>
            </w:tcBorders>
            <w:vAlign w:val="top"/>
          </w:tcPr>
          <w:p w14:paraId="49325E5E">
            <w:pPr>
              <w:rPr>
                <w:rFonts w:ascii="Arial"/>
                <w:sz w:val="21"/>
              </w:rPr>
            </w:pPr>
          </w:p>
        </w:tc>
        <w:tc>
          <w:tcPr>
            <w:tcW w:w="1171" w:type="dxa"/>
            <w:tcBorders>
              <w:right w:val="nil"/>
            </w:tcBorders>
            <w:vAlign w:val="top"/>
          </w:tcPr>
          <w:p w14:paraId="6B46AEE7">
            <w:pPr>
              <w:pStyle w:val="6"/>
              <w:spacing w:before="90" w:line="195" w:lineRule="auto"/>
              <w:ind w:left="485"/>
              <w:rPr>
                <w:sz w:val="20"/>
                <w:szCs w:val="20"/>
              </w:rPr>
            </w:pPr>
            <w:r>
              <w:rPr>
                <w:sz w:val="20"/>
                <w:szCs w:val="20"/>
              </w:rPr>
              <w:t>39</w:t>
            </w:r>
          </w:p>
        </w:tc>
      </w:tr>
      <w:tr w14:paraId="2A6A8D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630" w:type="dxa"/>
            <w:tcBorders>
              <w:left w:val="nil"/>
            </w:tcBorders>
            <w:vAlign w:val="top"/>
          </w:tcPr>
          <w:p w14:paraId="4427F1DA">
            <w:pPr>
              <w:pStyle w:val="6"/>
              <w:spacing w:before="54" w:line="231" w:lineRule="auto"/>
              <w:ind w:left="774"/>
              <w:rPr>
                <w:rFonts w:ascii="仿宋" w:hAnsi="仿宋" w:eastAsia="仿宋" w:cs="仿宋"/>
                <w:sz w:val="20"/>
                <w:szCs w:val="20"/>
              </w:rPr>
            </w:pPr>
            <w:r>
              <w:rPr>
                <w:rFonts w:ascii="仿宋" w:hAnsi="仿宋" w:eastAsia="仿宋" w:cs="仿宋"/>
                <w:spacing w:val="4"/>
                <w:sz w:val="20"/>
                <w:szCs w:val="20"/>
              </w:rPr>
              <w:t>三道壕</w:t>
            </w:r>
            <w:r>
              <w:rPr>
                <w:spacing w:val="4"/>
                <w:sz w:val="20"/>
                <w:szCs w:val="20"/>
              </w:rPr>
              <w:t>-</w:t>
            </w:r>
            <w:r>
              <w:rPr>
                <w:rFonts w:ascii="仿宋" w:hAnsi="仿宋" w:eastAsia="仿宋" w:cs="仿宋"/>
                <w:spacing w:val="4"/>
                <w:sz w:val="20"/>
                <w:szCs w:val="20"/>
              </w:rPr>
              <w:t>散户</w:t>
            </w:r>
          </w:p>
        </w:tc>
        <w:tc>
          <w:tcPr>
            <w:tcW w:w="1481" w:type="dxa"/>
            <w:vMerge w:val="continue"/>
            <w:tcBorders>
              <w:top w:val="nil"/>
            </w:tcBorders>
            <w:vAlign w:val="top"/>
          </w:tcPr>
          <w:p w14:paraId="6880EA47">
            <w:pPr>
              <w:rPr>
                <w:rFonts w:ascii="Arial"/>
                <w:sz w:val="21"/>
              </w:rPr>
            </w:pPr>
          </w:p>
        </w:tc>
        <w:tc>
          <w:tcPr>
            <w:tcW w:w="1211" w:type="dxa"/>
            <w:vAlign w:val="top"/>
          </w:tcPr>
          <w:p w14:paraId="688BF090">
            <w:pPr>
              <w:pStyle w:val="6"/>
              <w:spacing w:before="90" w:line="195" w:lineRule="auto"/>
              <w:ind w:left="508"/>
              <w:rPr>
                <w:sz w:val="20"/>
                <w:szCs w:val="20"/>
              </w:rPr>
            </w:pPr>
            <w:r>
              <w:rPr>
                <w:sz w:val="20"/>
                <w:szCs w:val="20"/>
              </w:rPr>
              <w:t>51</w:t>
            </w:r>
          </w:p>
        </w:tc>
        <w:tc>
          <w:tcPr>
            <w:tcW w:w="2026" w:type="dxa"/>
            <w:vMerge w:val="continue"/>
            <w:tcBorders>
              <w:top w:val="nil"/>
            </w:tcBorders>
            <w:vAlign w:val="top"/>
          </w:tcPr>
          <w:p w14:paraId="6AFCC82A">
            <w:pPr>
              <w:rPr>
                <w:rFonts w:ascii="Arial"/>
                <w:sz w:val="21"/>
              </w:rPr>
            </w:pPr>
          </w:p>
        </w:tc>
        <w:tc>
          <w:tcPr>
            <w:tcW w:w="1171" w:type="dxa"/>
            <w:tcBorders>
              <w:right w:val="nil"/>
            </w:tcBorders>
            <w:vAlign w:val="top"/>
          </w:tcPr>
          <w:p w14:paraId="4D385811">
            <w:pPr>
              <w:pStyle w:val="6"/>
              <w:spacing w:before="90" w:line="195" w:lineRule="auto"/>
              <w:ind w:left="480"/>
              <w:rPr>
                <w:sz w:val="20"/>
                <w:szCs w:val="20"/>
              </w:rPr>
            </w:pPr>
            <w:r>
              <w:rPr>
                <w:spacing w:val="3"/>
                <w:sz w:val="20"/>
                <w:szCs w:val="20"/>
              </w:rPr>
              <w:t>43</w:t>
            </w:r>
          </w:p>
        </w:tc>
      </w:tr>
      <w:tr w14:paraId="3E13A4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630" w:type="dxa"/>
            <w:tcBorders>
              <w:left w:val="nil"/>
            </w:tcBorders>
            <w:vAlign w:val="top"/>
          </w:tcPr>
          <w:p w14:paraId="4B43CA8B">
            <w:pPr>
              <w:pStyle w:val="6"/>
              <w:spacing w:before="56" w:line="230" w:lineRule="auto"/>
              <w:ind w:left="514"/>
              <w:rPr>
                <w:sz w:val="20"/>
                <w:szCs w:val="20"/>
              </w:rPr>
            </w:pPr>
            <w:r>
              <w:rPr>
                <w:rFonts w:ascii="仿宋" w:hAnsi="仿宋" w:eastAsia="仿宋" w:cs="仿宋"/>
                <w:spacing w:val="6"/>
                <w:sz w:val="20"/>
                <w:szCs w:val="20"/>
              </w:rPr>
              <w:t>份子地新村住户</w:t>
            </w:r>
            <w:r>
              <w:rPr>
                <w:rFonts w:ascii="仿宋" w:hAnsi="仿宋" w:eastAsia="仿宋" w:cs="仿宋"/>
                <w:spacing w:val="-17"/>
                <w:sz w:val="20"/>
                <w:szCs w:val="20"/>
              </w:rPr>
              <w:t xml:space="preserve"> </w:t>
            </w:r>
            <w:r>
              <w:rPr>
                <w:spacing w:val="6"/>
                <w:sz w:val="20"/>
                <w:szCs w:val="20"/>
              </w:rPr>
              <w:t>1</w:t>
            </w:r>
          </w:p>
        </w:tc>
        <w:tc>
          <w:tcPr>
            <w:tcW w:w="1481" w:type="dxa"/>
            <w:vMerge w:val="restart"/>
            <w:tcBorders>
              <w:bottom w:val="nil"/>
            </w:tcBorders>
            <w:vAlign w:val="top"/>
          </w:tcPr>
          <w:p w14:paraId="349B1961">
            <w:pPr>
              <w:spacing w:line="257" w:lineRule="auto"/>
              <w:rPr>
                <w:rFonts w:ascii="Arial"/>
                <w:sz w:val="21"/>
              </w:rPr>
            </w:pPr>
          </w:p>
          <w:p w14:paraId="7A429821">
            <w:pPr>
              <w:spacing w:line="257" w:lineRule="auto"/>
              <w:rPr>
                <w:rFonts w:ascii="Arial"/>
                <w:sz w:val="21"/>
              </w:rPr>
            </w:pPr>
          </w:p>
          <w:p w14:paraId="5CDA09EC">
            <w:pPr>
              <w:spacing w:line="257" w:lineRule="auto"/>
              <w:rPr>
                <w:rFonts w:ascii="Arial"/>
                <w:sz w:val="21"/>
              </w:rPr>
            </w:pPr>
          </w:p>
          <w:p w14:paraId="42D3FDF4">
            <w:pPr>
              <w:spacing w:line="257" w:lineRule="auto"/>
              <w:rPr>
                <w:rFonts w:ascii="Arial"/>
                <w:sz w:val="21"/>
              </w:rPr>
            </w:pPr>
          </w:p>
          <w:p w14:paraId="25A0A42E">
            <w:pPr>
              <w:spacing w:line="257" w:lineRule="auto"/>
              <w:rPr>
                <w:rFonts w:ascii="Arial"/>
                <w:sz w:val="21"/>
              </w:rPr>
            </w:pPr>
          </w:p>
          <w:p w14:paraId="60A256F4">
            <w:pPr>
              <w:spacing w:line="257" w:lineRule="auto"/>
              <w:rPr>
                <w:rFonts w:ascii="Arial"/>
                <w:sz w:val="21"/>
              </w:rPr>
            </w:pPr>
          </w:p>
          <w:p w14:paraId="67C9B945">
            <w:pPr>
              <w:spacing w:line="257" w:lineRule="auto"/>
              <w:rPr>
                <w:rFonts w:ascii="Arial"/>
                <w:sz w:val="21"/>
              </w:rPr>
            </w:pPr>
          </w:p>
          <w:p w14:paraId="1AF5B19B">
            <w:pPr>
              <w:pStyle w:val="6"/>
              <w:spacing w:before="58" w:line="195" w:lineRule="auto"/>
              <w:ind w:left="232"/>
              <w:rPr>
                <w:sz w:val="20"/>
                <w:szCs w:val="20"/>
              </w:rPr>
            </w:pPr>
            <w:r>
              <w:rPr>
                <w:spacing w:val="1"/>
                <w:sz w:val="20"/>
                <w:szCs w:val="20"/>
              </w:rPr>
              <w:t>09:01-</w:t>
            </w:r>
            <w:r>
              <w:rPr>
                <w:spacing w:val="-22"/>
                <w:sz w:val="20"/>
                <w:szCs w:val="20"/>
              </w:rPr>
              <w:t xml:space="preserve"> </w:t>
            </w:r>
            <w:r>
              <w:rPr>
                <w:spacing w:val="1"/>
                <w:sz w:val="20"/>
                <w:szCs w:val="20"/>
              </w:rPr>
              <w:t>15:17</w:t>
            </w:r>
          </w:p>
          <w:p w14:paraId="7991FD7C">
            <w:pPr>
              <w:pStyle w:val="6"/>
              <w:spacing w:before="89" w:line="265" w:lineRule="exact"/>
              <w:ind w:left="125"/>
              <w:rPr>
                <w:rFonts w:ascii="仿宋" w:hAnsi="仿宋" w:eastAsia="仿宋" w:cs="仿宋"/>
                <w:sz w:val="20"/>
                <w:szCs w:val="20"/>
              </w:rPr>
            </w:pPr>
            <w:r>
              <w:rPr>
                <w:rFonts w:ascii="仿宋" w:hAnsi="仿宋" w:eastAsia="仿宋" w:cs="仿宋"/>
                <w:position w:val="1"/>
                <w:sz w:val="20"/>
                <w:szCs w:val="20"/>
              </w:rPr>
              <w:t>（</w:t>
            </w:r>
            <w:r>
              <w:rPr>
                <w:position w:val="1"/>
                <w:sz w:val="20"/>
                <w:szCs w:val="20"/>
              </w:rPr>
              <w:t>2026.6.</w:t>
            </w:r>
            <w:r>
              <w:rPr>
                <w:spacing w:val="-20"/>
                <w:position w:val="1"/>
                <w:sz w:val="20"/>
                <w:szCs w:val="20"/>
              </w:rPr>
              <w:t xml:space="preserve"> </w:t>
            </w:r>
            <w:r>
              <w:rPr>
                <w:position w:val="1"/>
                <w:sz w:val="20"/>
                <w:szCs w:val="20"/>
              </w:rPr>
              <w:t>13</w:t>
            </w:r>
            <w:r>
              <w:rPr>
                <w:rFonts w:ascii="仿宋" w:hAnsi="仿宋" w:eastAsia="仿宋" w:cs="仿宋"/>
                <w:position w:val="1"/>
                <w:sz w:val="20"/>
                <w:szCs w:val="20"/>
              </w:rPr>
              <w:t>）</w:t>
            </w:r>
          </w:p>
        </w:tc>
        <w:tc>
          <w:tcPr>
            <w:tcW w:w="1211" w:type="dxa"/>
            <w:vAlign w:val="top"/>
          </w:tcPr>
          <w:p w14:paraId="5F1947C0">
            <w:pPr>
              <w:pStyle w:val="6"/>
              <w:spacing w:before="92" w:line="195" w:lineRule="auto"/>
              <w:ind w:left="508"/>
              <w:rPr>
                <w:sz w:val="20"/>
                <w:szCs w:val="20"/>
              </w:rPr>
            </w:pPr>
            <w:r>
              <w:rPr>
                <w:sz w:val="20"/>
                <w:szCs w:val="20"/>
              </w:rPr>
              <w:t>53</w:t>
            </w:r>
          </w:p>
        </w:tc>
        <w:tc>
          <w:tcPr>
            <w:tcW w:w="2026" w:type="dxa"/>
            <w:vMerge w:val="restart"/>
            <w:tcBorders>
              <w:bottom w:val="nil"/>
            </w:tcBorders>
            <w:vAlign w:val="top"/>
          </w:tcPr>
          <w:p w14:paraId="30527976">
            <w:pPr>
              <w:spacing w:line="257" w:lineRule="auto"/>
              <w:rPr>
                <w:rFonts w:ascii="Arial"/>
                <w:sz w:val="21"/>
              </w:rPr>
            </w:pPr>
          </w:p>
          <w:p w14:paraId="11BD1E91">
            <w:pPr>
              <w:spacing w:line="257" w:lineRule="auto"/>
              <w:rPr>
                <w:rFonts w:ascii="Arial"/>
                <w:sz w:val="21"/>
              </w:rPr>
            </w:pPr>
          </w:p>
          <w:p w14:paraId="16F7F7BC">
            <w:pPr>
              <w:spacing w:line="257" w:lineRule="auto"/>
              <w:rPr>
                <w:rFonts w:ascii="Arial"/>
                <w:sz w:val="21"/>
              </w:rPr>
            </w:pPr>
          </w:p>
          <w:p w14:paraId="1D55F56C">
            <w:pPr>
              <w:spacing w:line="257" w:lineRule="auto"/>
              <w:rPr>
                <w:rFonts w:ascii="Arial"/>
                <w:sz w:val="21"/>
              </w:rPr>
            </w:pPr>
          </w:p>
          <w:p w14:paraId="4C5691A5">
            <w:pPr>
              <w:spacing w:line="257" w:lineRule="auto"/>
              <w:rPr>
                <w:rFonts w:ascii="Arial"/>
                <w:sz w:val="21"/>
              </w:rPr>
            </w:pPr>
          </w:p>
          <w:p w14:paraId="132AE0F0">
            <w:pPr>
              <w:spacing w:line="257" w:lineRule="auto"/>
              <w:rPr>
                <w:rFonts w:ascii="Arial"/>
                <w:sz w:val="21"/>
              </w:rPr>
            </w:pPr>
          </w:p>
          <w:p w14:paraId="465A2E08">
            <w:pPr>
              <w:spacing w:line="257" w:lineRule="auto"/>
              <w:rPr>
                <w:rFonts w:ascii="Arial"/>
                <w:sz w:val="21"/>
              </w:rPr>
            </w:pPr>
          </w:p>
          <w:p w14:paraId="42F804E1">
            <w:pPr>
              <w:pStyle w:val="6"/>
              <w:spacing w:before="58" w:line="195" w:lineRule="auto"/>
              <w:ind w:left="501"/>
              <w:rPr>
                <w:sz w:val="20"/>
                <w:szCs w:val="20"/>
              </w:rPr>
            </w:pPr>
            <w:r>
              <w:rPr>
                <w:spacing w:val="3"/>
                <w:sz w:val="20"/>
                <w:szCs w:val="20"/>
              </w:rPr>
              <w:t>22:00-04:16</w:t>
            </w:r>
          </w:p>
          <w:p w14:paraId="115E86EF">
            <w:pPr>
              <w:pStyle w:val="6"/>
              <w:spacing w:before="89" w:line="265" w:lineRule="exact"/>
              <w:ind w:left="179"/>
              <w:rPr>
                <w:rFonts w:ascii="仿宋" w:hAnsi="仿宋" w:eastAsia="仿宋" w:cs="仿宋"/>
                <w:sz w:val="20"/>
                <w:szCs w:val="20"/>
              </w:rPr>
            </w:pPr>
            <w:r>
              <w:rPr>
                <w:rFonts w:ascii="仿宋" w:hAnsi="仿宋" w:eastAsia="仿宋" w:cs="仿宋"/>
                <w:spacing w:val="1"/>
                <w:position w:val="1"/>
                <w:sz w:val="20"/>
                <w:szCs w:val="20"/>
              </w:rPr>
              <w:t>（</w:t>
            </w:r>
            <w:r>
              <w:rPr>
                <w:spacing w:val="1"/>
                <w:position w:val="1"/>
                <w:sz w:val="20"/>
                <w:szCs w:val="20"/>
              </w:rPr>
              <w:t>2026.6.13-6.</w:t>
            </w:r>
            <w:r>
              <w:rPr>
                <w:spacing w:val="-16"/>
                <w:position w:val="1"/>
                <w:sz w:val="20"/>
                <w:szCs w:val="20"/>
              </w:rPr>
              <w:t xml:space="preserve"> </w:t>
            </w:r>
            <w:r>
              <w:rPr>
                <w:spacing w:val="1"/>
                <w:position w:val="1"/>
                <w:sz w:val="20"/>
                <w:szCs w:val="20"/>
              </w:rPr>
              <w:t>14</w:t>
            </w:r>
            <w:r>
              <w:rPr>
                <w:rFonts w:ascii="仿宋" w:hAnsi="仿宋" w:eastAsia="仿宋" w:cs="仿宋"/>
                <w:spacing w:val="1"/>
                <w:position w:val="1"/>
                <w:sz w:val="20"/>
                <w:szCs w:val="20"/>
              </w:rPr>
              <w:t>）</w:t>
            </w:r>
          </w:p>
        </w:tc>
        <w:tc>
          <w:tcPr>
            <w:tcW w:w="1171" w:type="dxa"/>
            <w:tcBorders>
              <w:right w:val="nil"/>
            </w:tcBorders>
            <w:vAlign w:val="top"/>
          </w:tcPr>
          <w:p w14:paraId="7153CA0B">
            <w:pPr>
              <w:pStyle w:val="6"/>
              <w:spacing w:before="92" w:line="195" w:lineRule="auto"/>
              <w:ind w:left="480"/>
              <w:rPr>
                <w:sz w:val="20"/>
                <w:szCs w:val="20"/>
              </w:rPr>
            </w:pPr>
            <w:r>
              <w:rPr>
                <w:spacing w:val="3"/>
                <w:sz w:val="20"/>
                <w:szCs w:val="20"/>
              </w:rPr>
              <w:t>42</w:t>
            </w:r>
          </w:p>
        </w:tc>
      </w:tr>
      <w:tr w14:paraId="141B1C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630" w:type="dxa"/>
            <w:tcBorders>
              <w:left w:val="nil"/>
            </w:tcBorders>
            <w:vAlign w:val="top"/>
          </w:tcPr>
          <w:p w14:paraId="372F2278">
            <w:pPr>
              <w:pStyle w:val="6"/>
              <w:spacing w:before="55" w:line="230" w:lineRule="auto"/>
              <w:ind w:left="514"/>
              <w:rPr>
                <w:sz w:val="20"/>
                <w:szCs w:val="20"/>
              </w:rPr>
            </w:pPr>
            <w:r>
              <w:rPr>
                <w:rFonts w:ascii="仿宋" w:hAnsi="仿宋" w:eastAsia="仿宋" w:cs="仿宋"/>
                <w:spacing w:val="6"/>
                <w:sz w:val="20"/>
                <w:szCs w:val="20"/>
              </w:rPr>
              <w:t>份子地新村住户</w:t>
            </w:r>
            <w:r>
              <w:rPr>
                <w:rFonts w:ascii="仿宋" w:hAnsi="仿宋" w:eastAsia="仿宋" w:cs="仿宋"/>
                <w:spacing w:val="-37"/>
                <w:sz w:val="20"/>
                <w:szCs w:val="20"/>
              </w:rPr>
              <w:t xml:space="preserve"> </w:t>
            </w:r>
            <w:r>
              <w:rPr>
                <w:spacing w:val="6"/>
                <w:sz w:val="20"/>
                <w:szCs w:val="20"/>
              </w:rPr>
              <w:t>2</w:t>
            </w:r>
          </w:p>
        </w:tc>
        <w:tc>
          <w:tcPr>
            <w:tcW w:w="1481" w:type="dxa"/>
            <w:vMerge w:val="continue"/>
            <w:tcBorders>
              <w:top w:val="nil"/>
              <w:bottom w:val="nil"/>
            </w:tcBorders>
            <w:vAlign w:val="top"/>
          </w:tcPr>
          <w:p w14:paraId="3C62EF04">
            <w:pPr>
              <w:rPr>
                <w:rFonts w:ascii="Arial"/>
                <w:sz w:val="21"/>
              </w:rPr>
            </w:pPr>
          </w:p>
        </w:tc>
        <w:tc>
          <w:tcPr>
            <w:tcW w:w="1211" w:type="dxa"/>
            <w:vAlign w:val="top"/>
          </w:tcPr>
          <w:p w14:paraId="29D079F2">
            <w:pPr>
              <w:pStyle w:val="6"/>
              <w:spacing w:before="91" w:line="195" w:lineRule="auto"/>
              <w:ind w:left="508"/>
              <w:rPr>
                <w:sz w:val="20"/>
                <w:szCs w:val="20"/>
              </w:rPr>
            </w:pPr>
            <w:r>
              <w:rPr>
                <w:sz w:val="20"/>
                <w:szCs w:val="20"/>
              </w:rPr>
              <w:t>51</w:t>
            </w:r>
          </w:p>
        </w:tc>
        <w:tc>
          <w:tcPr>
            <w:tcW w:w="2026" w:type="dxa"/>
            <w:vMerge w:val="continue"/>
            <w:tcBorders>
              <w:top w:val="nil"/>
              <w:bottom w:val="nil"/>
            </w:tcBorders>
            <w:vAlign w:val="top"/>
          </w:tcPr>
          <w:p w14:paraId="013EB8C3">
            <w:pPr>
              <w:rPr>
                <w:rFonts w:ascii="Arial"/>
                <w:sz w:val="21"/>
              </w:rPr>
            </w:pPr>
          </w:p>
        </w:tc>
        <w:tc>
          <w:tcPr>
            <w:tcW w:w="1171" w:type="dxa"/>
            <w:tcBorders>
              <w:right w:val="nil"/>
            </w:tcBorders>
            <w:vAlign w:val="top"/>
          </w:tcPr>
          <w:p w14:paraId="5424741C">
            <w:pPr>
              <w:pStyle w:val="6"/>
              <w:spacing w:before="91" w:line="195" w:lineRule="auto"/>
              <w:ind w:left="480"/>
              <w:rPr>
                <w:sz w:val="20"/>
                <w:szCs w:val="20"/>
              </w:rPr>
            </w:pPr>
            <w:r>
              <w:rPr>
                <w:spacing w:val="3"/>
                <w:sz w:val="20"/>
                <w:szCs w:val="20"/>
              </w:rPr>
              <w:t>41</w:t>
            </w:r>
          </w:p>
        </w:tc>
      </w:tr>
      <w:tr w14:paraId="0B47AC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630" w:type="dxa"/>
            <w:tcBorders>
              <w:left w:val="nil"/>
            </w:tcBorders>
            <w:vAlign w:val="top"/>
          </w:tcPr>
          <w:p w14:paraId="58C9CC3E">
            <w:pPr>
              <w:pStyle w:val="6"/>
              <w:spacing w:before="55" w:line="230" w:lineRule="auto"/>
              <w:ind w:left="514"/>
              <w:rPr>
                <w:sz w:val="20"/>
                <w:szCs w:val="20"/>
              </w:rPr>
            </w:pPr>
            <w:r>
              <w:rPr>
                <w:rFonts w:ascii="仿宋" w:hAnsi="仿宋" w:eastAsia="仿宋" w:cs="仿宋"/>
                <w:spacing w:val="6"/>
                <w:sz w:val="20"/>
                <w:szCs w:val="20"/>
              </w:rPr>
              <w:t>份子地新村住户</w:t>
            </w:r>
            <w:r>
              <w:rPr>
                <w:rFonts w:ascii="仿宋" w:hAnsi="仿宋" w:eastAsia="仿宋" w:cs="仿宋"/>
                <w:spacing w:val="-33"/>
                <w:sz w:val="20"/>
                <w:szCs w:val="20"/>
              </w:rPr>
              <w:t xml:space="preserve"> </w:t>
            </w:r>
            <w:r>
              <w:rPr>
                <w:spacing w:val="6"/>
                <w:sz w:val="20"/>
                <w:szCs w:val="20"/>
              </w:rPr>
              <w:t>3</w:t>
            </w:r>
          </w:p>
        </w:tc>
        <w:tc>
          <w:tcPr>
            <w:tcW w:w="1481" w:type="dxa"/>
            <w:vMerge w:val="continue"/>
            <w:tcBorders>
              <w:top w:val="nil"/>
              <w:bottom w:val="nil"/>
            </w:tcBorders>
            <w:vAlign w:val="top"/>
          </w:tcPr>
          <w:p w14:paraId="7BE202EB">
            <w:pPr>
              <w:rPr>
                <w:rFonts w:ascii="Arial"/>
                <w:sz w:val="21"/>
              </w:rPr>
            </w:pPr>
          </w:p>
        </w:tc>
        <w:tc>
          <w:tcPr>
            <w:tcW w:w="1211" w:type="dxa"/>
            <w:vAlign w:val="top"/>
          </w:tcPr>
          <w:p w14:paraId="3E6DDC79">
            <w:pPr>
              <w:pStyle w:val="6"/>
              <w:spacing w:before="91" w:line="195" w:lineRule="auto"/>
              <w:ind w:left="508"/>
              <w:rPr>
                <w:sz w:val="20"/>
                <w:szCs w:val="20"/>
              </w:rPr>
            </w:pPr>
            <w:r>
              <w:rPr>
                <w:sz w:val="20"/>
                <w:szCs w:val="20"/>
              </w:rPr>
              <w:t>52</w:t>
            </w:r>
          </w:p>
        </w:tc>
        <w:tc>
          <w:tcPr>
            <w:tcW w:w="2026" w:type="dxa"/>
            <w:vMerge w:val="continue"/>
            <w:tcBorders>
              <w:top w:val="nil"/>
              <w:bottom w:val="nil"/>
            </w:tcBorders>
            <w:vAlign w:val="top"/>
          </w:tcPr>
          <w:p w14:paraId="1BB56A40">
            <w:pPr>
              <w:rPr>
                <w:rFonts w:ascii="Arial"/>
                <w:sz w:val="21"/>
              </w:rPr>
            </w:pPr>
          </w:p>
        </w:tc>
        <w:tc>
          <w:tcPr>
            <w:tcW w:w="1171" w:type="dxa"/>
            <w:tcBorders>
              <w:right w:val="nil"/>
            </w:tcBorders>
            <w:vAlign w:val="top"/>
          </w:tcPr>
          <w:p w14:paraId="3E7353DF">
            <w:pPr>
              <w:pStyle w:val="6"/>
              <w:spacing w:before="91" w:line="195" w:lineRule="auto"/>
              <w:ind w:left="480"/>
              <w:rPr>
                <w:sz w:val="20"/>
                <w:szCs w:val="20"/>
              </w:rPr>
            </w:pPr>
            <w:r>
              <w:rPr>
                <w:spacing w:val="3"/>
                <w:sz w:val="20"/>
                <w:szCs w:val="20"/>
              </w:rPr>
              <w:t>40</w:t>
            </w:r>
          </w:p>
        </w:tc>
      </w:tr>
      <w:tr w14:paraId="1B5147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630" w:type="dxa"/>
            <w:tcBorders>
              <w:left w:val="nil"/>
            </w:tcBorders>
            <w:vAlign w:val="top"/>
          </w:tcPr>
          <w:p w14:paraId="66393CDB">
            <w:pPr>
              <w:pStyle w:val="6"/>
              <w:spacing w:before="54" w:line="231" w:lineRule="auto"/>
              <w:ind w:left="943"/>
              <w:rPr>
                <w:sz w:val="20"/>
                <w:szCs w:val="20"/>
              </w:rPr>
            </w:pPr>
            <w:r>
              <w:rPr>
                <w:rFonts w:ascii="仿宋" w:hAnsi="仿宋" w:eastAsia="仿宋" w:cs="仿宋"/>
                <w:spacing w:val="1"/>
                <w:sz w:val="20"/>
                <w:szCs w:val="20"/>
              </w:rPr>
              <w:t>背景点</w:t>
            </w:r>
            <w:r>
              <w:rPr>
                <w:rFonts w:ascii="仿宋" w:hAnsi="仿宋" w:eastAsia="仿宋" w:cs="仿宋"/>
                <w:spacing w:val="-22"/>
                <w:sz w:val="20"/>
                <w:szCs w:val="20"/>
              </w:rPr>
              <w:t xml:space="preserve"> </w:t>
            </w:r>
            <w:r>
              <w:rPr>
                <w:spacing w:val="1"/>
                <w:sz w:val="20"/>
                <w:szCs w:val="20"/>
              </w:rPr>
              <w:t>1</w:t>
            </w:r>
          </w:p>
        </w:tc>
        <w:tc>
          <w:tcPr>
            <w:tcW w:w="1481" w:type="dxa"/>
            <w:vMerge w:val="continue"/>
            <w:tcBorders>
              <w:top w:val="nil"/>
              <w:bottom w:val="nil"/>
            </w:tcBorders>
            <w:vAlign w:val="top"/>
          </w:tcPr>
          <w:p w14:paraId="1627837C">
            <w:pPr>
              <w:rPr>
                <w:rFonts w:ascii="Arial"/>
                <w:sz w:val="21"/>
              </w:rPr>
            </w:pPr>
          </w:p>
        </w:tc>
        <w:tc>
          <w:tcPr>
            <w:tcW w:w="1211" w:type="dxa"/>
            <w:vAlign w:val="top"/>
          </w:tcPr>
          <w:p w14:paraId="652CFF4F">
            <w:pPr>
              <w:pStyle w:val="6"/>
              <w:spacing w:before="90" w:line="195" w:lineRule="auto"/>
              <w:ind w:left="501"/>
              <w:rPr>
                <w:sz w:val="20"/>
                <w:szCs w:val="20"/>
              </w:rPr>
            </w:pPr>
            <w:r>
              <w:rPr>
                <w:spacing w:val="3"/>
                <w:sz w:val="20"/>
                <w:szCs w:val="20"/>
              </w:rPr>
              <w:t>47</w:t>
            </w:r>
          </w:p>
        </w:tc>
        <w:tc>
          <w:tcPr>
            <w:tcW w:w="2026" w:type="dxa"/>
            <w:vMerge w:val="continue"/>
            <w:tcBorders>
              <w:top w:val="nil"/>
              <w:bottom w:val="nil"/>
            </w:tcBorders>
            <w:vAlign w:val="top"/>
          </w:tcPr>
          <w:p w14:paraId="3F97BDBA">
            <w:pPr>
              <w:rPr>
                <w:rFonts w:ascii="Arial"/>
                <w:sz w:val="21"/>
              </w:rPr>
            </w:pPr>
          </w:p>
        </w:tc>
        <w:tc>
          <w:tcPr>
            <w:tcW w:w="1171" w:type="dxa"/>
            <w:tcBorders>
              <w:right w:val="nil"/>
            </w:tcBorders>
            <w:vAlign w:val="top"/>
          </w:tcPr>
          <w:p w14:paraId="1530E979">
            <w:pPr>
              <w:pStyle w:val="6"/>
              <w:spacing w:before="90" w:line="195" w:lineRule="auto"/>
              <w:ind w:left="485"/>
              <w:rPr>
                <w:sz w:val="20"/>
                <w:szCs w:val="20"/>
              </w:rPr>
            </w:pPr>
            <w:r>
              <w:rPr>
                <w:sz w:val="20"/>
                <w:szCs w:val="20"/>
              </w:rPr>
              <w:t>36</w:t>
            </w:r>
          </w:p>
        </w:tc>
      </w:tr>
      <w:tr w14:paraId="4CE407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630" w:type="dxa"/>
            <w:tcBorders>
              <w:left w:val="nil"/>
            </w:tcBorders>
            <w:vAlign w:val="top"/>
          </w:tcPr>
          <w:p w14:paraId="2D754306">
            <w:pPr>
              <w:pStyle w:val="6"/>
              <w:spacing w:before="54" w:line="233" w:lineRule="auto"/>
              <w:ind w:left="937"/>
              <w:rPr>
                <w:sz w:val="20"/>
                <w:szCs w:val="20"/>
              </w:rPr>
            </w:pPr>
            <w:r>
              <w:rPr>
                <w:rFonts w:ascii="仿宋" w:hAnsi="仿宋" w:eastAsia="仿宋" w:cs="仿宋"/>
                <w:spacing w:val="3"/>
                <w:sz w:val="20"/>
                <w:szCs w:val="20"/>
              </w:rPr>
              <w:t>西圪旦</w:t>
            </w:r>
            <w:r>
              <w:rPr>
                <w:rFonts w:ascii="仿宋" w:hAnsi="仿宋" w:eastAsia="仿宋" w:cs="仿宋"/>
                <w:spacing w:val="-23"/>
                <w:sz w:val="20"/>
                <w:szCs w:val="20"/>
              </w:rPr>
              <w:t xml:space="preserve"> </w:t>
            </w:r>
            <w:r>
              <w:rPr>
                <w:spacing w:val="3"/>
                <w:sz w:val="20"/>
                <w:szCs w:val="20"/>
              </w:rPr>
              <w:t>1</w:t>
            </w:r>
          </w:p>
        </w:tc>
        <w:tc>
          <w:tcPr>
            <w:tcW w:w="1481" w:type="dxa"/>
            <w:vMerge w:val="continue"/>
            <w:tcBorders>
              <w:top w:val="nil"/>
              <w:bottom w:val="nil"/>
            </w:tcBorders>
            <w:vAlign w:val="top"/>
          </w:tcPr>
          <w:p w14:paraId="1357A768">
            <w:pPr>
              <w:rPr>
                <w:rFonts w:ascii="Arial"/>
                <w:sz w:val="21"/>
              </w:rPr>
            </w:pPr>
          </w:p>
        </w:tc>
        <w:tc>
          <w:tcPr>
            <w:tcW w:w="1211" w:type="dxa"/>
            <w:vAlign w:val="top"/>
          </w:tcPr>
          <w:p w14:paraId="2600963B">
            <w:pPr>
              <w:pStyle w:val="6"/>
              <w:spacing w:before="90" w:line="195" w:lineRule="auto"/>
              <w:ind w:left="501"/>
              <w:rPr>
                <w:sz w:val="20"/>
                <w:szCs w:val="20"/>
              </w:rPr>
            </w:pPr>
            <w:r>
              <w:rPr>
                <w:spacing w:val="3"/>
                <w:sz w:val="20"/>
                <w:szCs w:val="20"/>
              </w:rPr>
              <w:t>49</w:t>
            </w:r>
          </w:p>
        </w:tc>
        <w:tc>
          <w:tcPr>
            <w:tcW w:w="2026" w:type="dxa"/>
            <w:vMerge w:val="continue"/>
            <w:tcBorders>
              <w:top w:val="nil"/>
              <w:bottom w:val="nil"/>
            </w:tcBorders>
            <w:vAlign w:val="top"/>
          </w:tcPr>
          <w:p w14:paraId="11EBA908">
            <w:pPr>
              <w:rPr>
                <w:rFonts w:ascii="Arial"/>
                <w:sz w:val="21"/>
              </w:rPr>
            </w:pPr>
          </w:p>
        </w:tc>
        <w:tc>
          <w:tcPr>
            <w:tcW w:w="1171" w:type="dxa"/>
            <w:tcBorders>
              <w:right w:val="nil"/>
            </w:tcBorders>
            <w:vAlign w:val="top"/>
          </w:tcPr>
          <w:p w14:paraId="750019F4">
            <w:pPr>
              <w:pStyle w:val="6"/>
              <w:spacing w:before="90" w:line="195" w:lineRule="auto"/>
              <w:ind w:left="485"/>
              <w:rPr>
                <w:sz w:val="20"/>
                <w:szCs w:val="20"/>
              </w:rPr>
            </w:pPr>
            <w:r>
              <w:rPr>
                <w:sz w:val="20"/>
                <w:szCs w:val="20"/>
              </w:rPr>
              <w:t>37</w:t>
            </w:r>
          </w:p>
        </w:tc>
      </w:tr>
      <w:tr w14:paraId="1E668A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630" w:type="dxa"/>
            <w:tcBorders>
              <w:left w:val="nil"/>
            </w:tcBorders>
            <w:vAlign w:val="top"/>
          </w:tcPr>
          <w:p w14:paraId="3292A17C">
            <w:pPr>
              <w:pStyle w:val="6"/>
              <w:spacing w:before="54" w:line="233" w:lineRule="auto"/>
              <w:ind w:left="937"/>
              <w:rPr>
                <w:sz w:val="20"/>
                <w:szCs w:val="20"/>
              </w:rPr>
            </w:pPr>
            <w:r>
              <w:rPr>
                <w:rFonts w:ascii="仿宋" w:hAnsi="仿宋" w:eastAsia="仿宋" w:cs="仿宋"/>
                <w:spacing w:val="3"/>
                <w:sz w:val="20"/>
                <w:szCs w:val="20"/>
              </w:rPr>
              <w:t>西圪旦</w:t>
            </w:r>
            <w:r>
              <w:rPr>
                <w:rFonts w:ascii="仿宋" w:hAnsi="仿宋" w:eastAsia="仿宋" w:cs="仿宋"/>
                <w:spacing w:val="-44"/>
                <w:sz w:val="20"/>
                <w:szCs w:val="20"/>
              </w:rPr>
              <w:t xml:space="preserve"> </w:t>
            </w:r>
            <w:r>
              <w:rPr>
                <w:spacing w:val="3"/>
                <w:sz w:val="20"/>
                <w:szCs w:val="20"/>
              </w:rPr>
              <w:t>2</w:t>
            </w:r>
          </w:p>
        </w:tc>
        <w:tc>
          <w:tcPr>
            <w:tcW w:w="1481" w:type="dxa"/>
            <w:vMerge w:val="continue"/>
            <w:tcBorders>
              <w:top w:val="nil"/>
              <w:bottom w:val="nil"/>
            </w:tcBorders>
            <w:vAlign w:val="top"/>
          </w:tcPr>
          <w:p w14:paraId="27BD2136">
            <w:pPr>
              <w:rPr>
                <w:rFonts w:ascii="Arial"/>
                <w:sz w:val="21"/>
              </w:rPr>
            </w:pPr>
          </w:p>
        </w:tc>
        <w:tc>
          <w:tcPr>
            <w:tcW w:w="1211" w:type="dxa"/>
            <w:vAlign w:val="top"/>
          </w:tcPr>
          <w:p w14:paraId="22CBA88D">
            <w:pPr>
              <w:pStyle w:val="6"/>
              <w:spacing w:before="90" w:line="195" w:lineRule="auto"/>
              <w:ind w:left="508"/>
              <w:rPr>
                <w:sz w:val="20"/>
                <w:szCs w:val="20"/>
              </w:rPr>
            </w:pPr>
            <w:r>
              <w:rPr>
                <w:sz w:val="20"/>
                <w:szCs w:val="20"/>
              </w:rPr>
              <w:t>52</w:t>
            </w:r>
          </w:p>
        </w:tc>
        <w:tc>
          <w:tcPr>
            <w:tcW w:w="2026" w:type="dxa"/>
            <w:vMerge w:val="continue"/>
            <w:tcBorders>
              <w:top w:val="nil"/>
              <w:bottom w:val="nil"/>
            </w:tcBorders>
            <w:vAlign w:val="top"/>
          </w:tcPr>
          <w:p w14:paraId="68C946D9">
            <w:pPr>
              <w:rPr>
                <w:rFonts w:ascii="Arial"/>
                <w:sz w:val="21"/>
              </w:rPr>
            </w:pPr>
          </w:p>
        </w:tc>
        <w:tc>
          <w:tcPr>
            <w:tcW w:w="1171" w:type="dxa"/>
            <w:tcBorders>
              <w:right w:val="nil"/>
            </w:tcBorders>
            <w:vAlign w:val="top"/>
          </w:tcPr>
          <w:p w14:paraId="158415F7">
            <w:pPr>
              <w:pStyle w:val="6"/>
              <w:spacing w:before="90" w:line="195" w:lineRule="auto"/>
              <w:ind w:left="486"/>
              <w:rPr>
                <w:sz w:val="20"/>
                <w:szCs w:val="20"/>
              </w:rPr>
            </w:pPr>
            <w:r>
              <w:rPr>
                <w:sz w:val="20"/>
                <w:szCs w:val="20"/>
              </w:rPr>
              <w:t>38</w:t>
            </w:r>
          </w:p>
        </w:tc>
      </w:tr>
      <w:tr w14:paraId="74F115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630" w:type="dxa"/>
            <w:tcBorders>
              <w:left w:val="nil"/>
            </w:tcBorders>
            <w:vAlign w:val="top"/>
          </w:tcPr>
          <w:p w14:paraId="6998A465">
            <w:pPr>
              <w:pStyle w:val="6"/>
              <w:spacing w:before="56" w:line="231" w:lineRule="auto"/>
              <w:ind w:left="831"/>
              <w:rPr>
                <w:sz w:val="20"/>
                <w:szCs w:val="20"/>
              </w:rPr>
            </w:pPr>
            <w:r>
              <w:rPr>
                <w:rFonts w:ascii="仿宋" w:hAnsi="仿宋" w:eastAsia="仿宋" w:cs="仿宋"/>
                <w:spacing w:val="4"/>
                <w:sz w:val="20"/>
                <w:szCs w:val="20"/>
              </w:rPr>
              <w:t>张家圪旦</w:t>
            </w:r>
            <w:r>
              <w:rPr>
                <w:rFonts w:ascii="仿宋" w:hAnsi="仿宋" w:eastAsia="仿宋" w:cs="仿宋"/>
                <w:spacing w:val="-21"/>
                <w:sz w:val="20"/>
                <w:szCs w:val="20"/>
              </w:rPr>
              <w:t xml:space="preserve"> </w:t>
            </w:r>
            <w:r>
              <w:rPr>
                <w:spacing w:val="4"/>
                <w:sz w:val="20"/>
                <w:szCs w:val="20"/>
              </w:rPr>
              <w:t>1</w:t>
            </w:r>
          </w:p>
        </w:tc>
        <w:tc>
          <w:tcPr>
            <w:tcW w:w="1481" w:type="dxa"/>
            <w:vMerge w:val="continue"/>
            <w:tcBorders>
              <w:top w:val="nil"/>
              <w:bottom w:val="nil"/>
            </w:tcBorders>
            <w:vAlign w:val="top"/>
          </w:tcPr>
          <w:p w14:paraId="2DAE58EA">
            <w:pPr>
              <w:rPr>
                <w:rFonts w:ascii="Arial"/>
                <w:sz w:val="21"/>
              </w:rPr>
            </w:pPr>
          </w:p>
        </w:tc>
        <w:tc>
          <w:tcPr>
            <w:tcW w:w="1211" w:type="dxa"/>
            <w:vAlign w:val="top"/>
          </w:tcPr>
          <w:p w14:paraId="0ACE007E">
            <w:pPr>
              <w:pStyle w:val="6"/>
              <w:spacing w:before="92" w:line="195" w:lineRule="auto"/>
              <w:ind w:left="508"/>
              <w:rPr>
                <w:sz w:val="20"/>
                <w:szCs w:val="20"/>
              </w:rPr>
            </w:pPr>
            <w:r>
              <w:rPr>
                <w:sz w:val="20"/>
                <w:szCs w:val="20"/>
              </w:rPr>
              <w:t>51</w:t>
            </w:r>
          </w:p>
        </w:tc>
        <w:tc>
          <w:tcPr>
            <w:tcW w:w="2026" w:type="dxa"/>
            <w:vMerge w:val="continue"/>
            <w:tcBorders>
              <w:top w:val="nil"/>
              <w:bottom w:val="nil"/>
            </w:tcBorders>
            <w:vAlign w:val="top"/>
          </w:tcPr>
          <w:p w14:paraId="0798F911">
            <w:pPr>
              <w:rPr>
                <w:rFonts w:ascii="Arial"/>
                <w:sz w:val="21"/>
              </w:rPr>
            </w:pPr>
          </w:p>
        </w:tc>
        <w:tc>
          <w:tcPr>
            <w:tcW w:w="1171" w:type="dxa"/>
            <w:tcBorders>
              <w:right w:val="nil"/>
            </w:tcBorders>
            <w:vAlign w:val="top"/>
          </w:tcPr>
          <w:p w14:paraId="0AD0C593">
            <w:pPr>
              <w:pStyle w:val="6"/>
              <w:spacing w:before="92" w:line="195" w:lineRule="auto"/>
              <w:ind w:left="480"/>
              <w:rPr>
                <w:sz w:val="20"/>
                <w:szCs w:val="20"/>
              </w:rPr>
            </w:pPr>
            <w:r>
              <w:rPr>
                <w:spacing w:val="3"/>
                <w:sz w:val="20"/>
                <w:szCs w:val="20"/>
              </w:rPr>
              <w:t>42</w:t>
            </w:r>
          </w:p>
        </w:tc>
      </w:tr>
      <w:tr w14:paraId="2001DD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630" w:type="dxa"/>
            <w:tcBorders>
              <w:left w:val="nil"/>
            </w:tcBorders>
            <w:vAlign w:val="top"/>
          </w:tcPr>
          <w:p w14:paraId="18D9796C">
            <w:pPr>
              <w:pStyle w:val="6"/>
              <w:spacing w:before="55" w:line="232" w:lineRule="auto"/>
              <w:ind w:left="831"/>
              <w:rPr>
                <w:sz w:val="20"/>
                <w:szCs w:val="20"/>
              </w:rPr>
            </w:pPr>
            <w:r>
              <w:rPr>
                <w:rFonts w:ascii="仿宋" w:hAnsi="仿宋" w:eastAsia="仿宋" w:cs="仿宋"/>
                <w:spacing w:val="4"/>
                <w:sz w:val="20"/>
                <w:szCs w:val="20"/>
              </w:rPr>
              <w:t>张家圪旦</w:t>
            </w:r>
            <w:r>
              <w:rPr>
                <w:rFonts w:ascii="仿宋" w:hAnsi="仿宋" w:eastAsia="仿宋" w:cs="仿宋"/>
                <w:spacing w:val="-41"/>
                <w:sz w:val="20"/>
                <w:szCs w:val="20"/>
              </w:rPr>
              <w:t xml:space="preserve"> </w:t>
            </w:r>
            <w:r>
              <w:rPr>
                <w:spacing w:val="4"/>
                <w:sz w:val="20"/>
                <w:szCs w:val="20"/>
              </w:rPr>
              <w:t>2</w:t>
            </w:r>
          </w:p>
        </w:tc>
        <w:tc>
          <w:tcPr>
            <w:tcW w:w="1481" w:type="dxa"/>
            <w:vMerge w:val="continue"/>
            <w:tcBorders>
              <w:top w:val="nil"/>
              <w:bottom w:val="nil"/>
            </w:tcBorders>
            <w:vAlign w:val="top"/>
          </w:tcPr>
          <w:p w14:paraId="701F95CF">
            <w:pPr>
              <w:rPr>
                <w:rFonts w:ascii="Arial"/>
                <w:sz w:val="21"/>
              </w:rPr>
            </w:pPr>
          </w:p>
        </w:tc>
        <w:tc>
          <w:tcPr>
            <w:tcW w:w="1211" w:type="dxa"/>
            <w:vAlign w:val="top"/>
          </w:tcPr>
          <w:p w14:paraId="4C9C5FEF">
            <w:pPr>
              <w:pStyle w:val="6"/>
              <w:spacing w:before="91" w:line="195" w:lineRule="auto"/>
              <w:ind w:left="508"/>
              <w:rPr>
                <w:sz w:val="20"/>
                <w:szCs w:val="20"/>
              </w:rPr>
            </w:pPr>
            <w:r>
              <w:rPr>
                <w:sz w:val="20"/>
                <w:szCs w:val="20"/>
              </w:rPr>
              <w:t>52</w:t>
            </w:r>
          </w:p>
        </w:tc>
        <w:tc>
          <w:tcPr>
            <w:tcW w:w="2026" w:type="dxa"/>
            <w:vMerge w:val="continue"/>
            <w:tcBorders>
              <w:top w:val="nil"/>
              <w:bottom w:val="nil"/>
            </w:tcBorders>
            <w:vAlign w:val="top"/>
          </w:tcPr>
          <w:p w14:paraId="3F37CF40">
            <w:pPr>
              <w:rPr>
                <w:rFonts w:ascii="Arial"/>
                <w:sz w:val="21"/>
              </w:rPr>
            </w:pPr>
          </w:p>
        </w:tc>
        <w:tc>
          <w:tcPr>
            <w:tcW w:w="1171" w:type="dxa"/>
            <w:tcBorders>
              <w:right w:val="nil"/>
            </w:tcBorders>
            <w:vAlign w:val="top"/>
          </w:tcPr>
          <w:p w14:paraId="1C609E39">
            <w:pPr>
              <w:pStyle w:val="6"/>
              <w:spacing w:before="91" w:line="195" w:lineRule="auto"/>
              <w:ind w:left="480"/>
              <w:rPr>
                <w:sz w:val="20"/>
                <w:szCs w:val="20"/>
              </w:rPr>
            </w:pPr>
            <w:r>
              <w:rPr>
                <w:spacing w:val="3"/>
                <w:sz w:val="20"/>
                <w:szCs w:val="20"/>
              </w:rPr>
              <w:t>43</w:t>
            </w:r>
          </w:p>
        </w:tc>
      </w:tr>
      <w:tr w14:paraId="066715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630" w:type="dxa"/>
            <w:tcBorders>
              <w:left w:val="nil"/>
            </w:tcBorders>
            <w:vAlign w:val="top"/>
          </w:tcPr>
          <w:p w14:paraId="0A33A2DB">
            <w:pPr>
              <w:pStyle w:val="6"/>
              <w:spacing w:before="54" w:line="232" w:lineRule="auto"/>
              <w:ind w:left="831"/>
              <w:rPr>
                <w:sz w:val="20"/>
                <w:szCs w:val="20"/>
              </w:rPr>
            </w:pPr>
            <w:r>
              <w:rPr>
                <w:rFonts w:ascii="仿宋" w:hAnsi="仿宋" w:eastAsia="仿宋" w:cs="仿宋"/>
                <w:spacing w:val="4"/>
                <w:sz w:val="20"/>
                <w:szCs w:val="20"/>
              </w:rPr>
              <w:t>张家圪旦</w:t>
            </w:r>
            <w:r>
              <w:rPr>
                <w:rFonts w:ascii="仿宋" w:hAnsi="仿宋" w:eastAsia="仿宋" w:cs="仿宋"/>
                <w:spacing w:val="-36"/>
                <w:sz w:val="20"/>
                <w:szCs w:val="20"/>
              </w:rPr>
              <w:t xml:space="preserve"> </w:t>
            </w:r>
            <w:r>
              <w:rPr>
                <w:spacing w:val="4"/>
                <w:sz w:val="20"/>
                <w:szCs w:val="20"/>
              </w:rPr>
              <w:t>3</w:t>
            </w:r>
          </w:p>
        </w:tc>
        <w:tc>
          <w:tcPr>
            <w:tcW w:w="1481" w:type="dxa"/>
            <w:vMerge w:val="continue"/>
            <w:tcBorders>
              <w:top w:val="nil"/>
              <w:bottom w:val="nil"/>
            </w:tcBorders>
            <w:vAlign w:val="top"/>
          </w:tcPr>
          <w:p w14:paraId="4782C583">
            <w:pPr>
              <w:rPr>
                <w:rFonts w:ascii="Arial"/>
                <w:sz w:val="21"/>
              </w:rPr>
            </w:pPr>
          </w:p>
        </w:tc>
        <w:tc>
          <w:tcPr>
            <w:tcW w:w="1211" w:type="dxa"/>
            <w:vAlign w:val="top"/>
          </w:tcPr>
          <w:p w14:paraId="2E8A7ED0">
            <w:pPr>
              <w:pStyle w:val="6"/>
              <w:spacing w:before="91" w:line="195" w:lineRule="auto"/>
              <w:ind w:left="508"/>
              <w:rPr>
                <w:sz w:val="20"/>
                <w:szCs w:val="20"/>
              </w:rPr>
            </w:pPr>
            <w:r>
              <w:rPr>
                <w:sz w:val="20"/>
                <w:szCs w:val="20"/>
              </w:rPr>
              <w:t>51</w:t>
            </w:r>
          </w:p>
        </w:tc>
        <w:tc>
          <w:tcPr>
            <w:tcW w:w="2026" w:type="dxa"/>
            <w:vMerge w:val="continue"/>
            <w:tcBorders>
              <w:top w:val="nil"/>
              <w:bottom w:val="nil"/>
            </w:tcBorders>
            <w:vAlign w:val="top"/>
          </w:tcPr>
          <w:p w14:paraId="2F3ED4C2">
            <w:pPr>
              <w:rPr>
                <w:rFonts w:ascii="Arial"/>
                <w:sz w:val="21"/>
              </w:rPr>
            </w:pPr>
          </w:p>
        </w:tc>
        <w:tc>
          <w:tcPr>
            <w:tcW w:w="1171" w:type="dxa"/>
            <w:tcBorders>
              <w:right w:val="nil"/>
            </w:tcBorders>
            <w:vAlign w:val="top"/>
          </w:tcPr>
          <w:p w14:paraId="4D877D61">
            <w:pPr>
              <w:pStyle w:val="6"/>
              <w:spacing w:before="91" w:line="195" w:lineRule="auto"/>
              <w:ind w:left="480"/>
              <w:rPr>
                <w:sz w:val="20"/>
                <w:szCs w:val="20"/>
              </w:rPr>
            </w:pPr>
            <w:r>
              <w:rPr>
                <w:spacing w:val="3"/>
                <w:sz w:val="20"/>
                <w:szCs w:val="20"/>
              </w:rPr>
              <w:t>42</w:t>
            </w:r>
          </w:p>
        </w:tc>
      </w:tr>
      <w:tr w14:paraId="0DC2FA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630" w:type="dxa"/>
            <w:tcBorders>
              <w:left w:val="nil"/>
            </w:tcBorders>
            <w:vAlign w:val="top"/>
          </w:tcPr>
          <w:p w14:paraId="30514B0D">
            <w:pPr>
              <w:pStyle w:val="6"/>
              <w:spacing w:before="54" w:line="231" w:lineRule="auto"/>
              <w:ind w:left="943"/>
              <w:rPr>
                <w:sz w:val="20"/>
                <w:szCs w:val="20"/>
              </w:rPr>
            </w:pPr>
            <w:r>
              <w:rPr>
                <w:rFonts w:ascii="仿宋" w:hAnsi="仿宋" w:eastAsia="仿宋" w:cs="仿宋"/>
                <w:spacing w:val="1"/>
                <w:sz w:val="20"/>
                <w:szCs w:val="20"/>
              </w:rPr>
              <w:t>背景点</w:t>
            </w:r>
            <w:r>
              <w:rPr>
                <w:rFonts w:ascii="仿宋" w:hAnsi="仿宋" w:eastAsia="仿宋" w:cs="仿宋"/>
                <w:spacing w:val="-42"/>
                <w:sz w:val="20"/>
                <w:szCs w:val="20"/>
              </w:rPr>
              <w:t xml:space="preserve"> </w:t>
            </w:r>
            <w:r>
              <w:rPr>
                <w:spacing w:val="1"/>
                <w:sz w:val="20"/>
                <w:szCs w:val="20"/>
              </w:rPr>
              <w:t>2</w:t>
            </w:r>
          </w:p>
        </w:tc>
        <w:tc>
          <w:tcPr>
            <w:tcW w:w="1481" w:type="dxa"/>
            <w:vMerge w:val="continue"/>
            <w:tcBorders>
              <w:top w:val="nil"/>
              <w:bottom w:val="nil"/>
            </w:tcBorders>
            <w:vAlign w:val="top"/>
          </w:tcPr>
          <w:p w14:paraId="35050AC8">
            <w:pPr>
              <w:rPr>
                <w:rFonts w:ascii="Arial"/>
                <w:sz w:val="21"/>
              </w:rPr>
            </w:pPr>
          </w:p>
        </w:tc>
        <w:tc>
          <w:tcPr>
            <w:tcW w:w="1211" w:type="dxa"/>
            <w:vAlign w:val="top"/>
          </w:tcPr>
          <w:p w14:paraId="2E8B8327">
            <w:pPr>
              <w:pStyle w:val="6"/>
              <w:spacing w:before="90" w:line="195" w:lineRule="auto"/>
              <w:ind w:left="501"/>
              <w:rPr>
                <w:sz w:val="20"/>
                <w:szCs w:val="20"/>
              </w:rPr>
            </w:pPr>
            <w:r>
              <w:rPr>
                <w:spacing w:val="3"/>
                <w:sz w:val="20"/>
                <w:szCs w:val="20"/>
              </w:rPr>
              <w:t>46</w:t>
            </w:r>
          </w:p>
        </w:tc>
        <w:tc>
          <w:tcPr>
            <w:tcW w:w="2026" w:type="dxa"/>
            <w:vMerge w:val="continue"/>
            <w:tcBorders>
              <w:top w:val="nil"/>
              <w:bottom w:val="nil"/>
            </w:tcBorders>
            <w:vAlign w:val="top"/>
          </w:tcPr>
          <w:p w14:paraId="36224E6C">
            <w:pPr>
              <w:rPr>
                <w:rFonts w:ascii="Arial"/>
                <w:sz w:val="21"/>
              </w:rPr>
            </w:pPr>
          </w:p>
        </w:tc>
        <w:tc>
          <w:tcPr>
            <w:tcW w:w="1171" w:type="dxa"/>
            <w:tcBorders>
              <w:right w:val="nil"/>
            </w:tcBorders>
            <w:vAlign w:val="top"/>
          </w:tcPr>
          <w:p w14:paraId="05D022A7">
            <w:pPr>
              <w:pStyle w:val="6"/>
              <w:spacing w:before="90" w:line="195" w:lineRule="auto"/>
              <w:ind w:left="486"/>
              <w:rPr>
                <w:sz w:val="20"/>
                <w:szCs w:val="20"/>
              </w:rPr>
            </w:pPr>
            <w:r>
              <w:rPr>
                <w:sz w:val="20"/>
                <w:szCs w:val="20"/>
              </w:rPr>
              <w:t>36</w:t>
            </w:r>
          </w:p>
        </w:tc>
      </w:tr>
      <w:tr w14:paraId="24903C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630" w:type="dxa"/>
            <w:tcBorders>
              <w:left w:val="nil"/>
            </w:tcBorders>
            <w:vAlign w:val="top"/>
          </w:tcPr>
          <w:p w14:paraId="47DFFB54">
            <w:pPr>
              <w:spacing w:before="54" w:line="231" w:lineRule="auto"/>
              <w:ind w:left="1118"/>
              <w:rPr>
                <w:rFonts w:ascii="仿宋" w:hAnsi="仿宋" w:eastAsia="仿宋" w:cs="仿宋"/>
                <w:sz w:val="20"/>
                <w:szCs w:val="20"/>
              </w:rPr>
            </w:pPr>
            <w:r>
              <w:rPr>
                <w:rFonts w:ascii="仿宋" w:hAnsi="仿宋" w:eastAsia="仿宋" w:cs="仿宋"/>
                <w:spacing w:val="2"/>
                <w:sz w:val="20"/>
                <w:szCs w:val="20"/>
              </w:rPr>
              <w:t>散户</w:t>
            </w:r>
          </w:p>
        </w:tc>
        <w:tc>
          <w:tcPr>
            <w:tcW w:w="1481" w:type="dxa"/>
            <w:vMerge w:val="continue"/>
            <w:tcBorders>
              <w:top w:val="nil"/>
              <w:bottom w:val="nil"/>
            </w:tcBorders>
            <w:vAlign w:val="top"/>
          </w:tcPr>
          <w:p w14:paraId="1B185B9F">
            <w:pPr>
              <w:rPr>
                <w:rFonts w:ascii="Arial"/>
                <w:sz w:val="21"/>
              </w:rPr>
            </w:pPr>
          </w:p>
        </w:tc>
        <w:tc>
          <w:tcPr>
            <w:tcW w:w="1211" w:type="dxa"/>
            <w:vAlign w:val="top"/>
          </w:tcPr>
          <w:p w14:paraId="5AD4A4CF">
            <w:pPr>
              <w:pStyle w:val="6"/>
              <w:spacing w:before="90" w:line="195" w:lineRule="auto"/>
              <w:ind w:left="508"/>
              <w:rPr>
                <w:sz w:val="20"/>
                <w:szCs w:val="20"/>
              </w:rPr>
            </w:pPr>
            <w:r>
              <w:rPr>
                <w:sz w:val="20"/>
                <w:szCs w:val="20"/>
              </w:rPr>
              <w:t>52</w:t>
            </w:r>
          </w:p>
        </w:tc>
        <w:tc>
          <w:tcPr>
            <w:tcW w:w="2026" w:type="dxa"/>
            <w:vMerge w:val="continue"/>
            <w:tcBorders>
              <w:top w:val="nil"/>
              <w:bottom w:val="nil"/>
            </w:tcBorders>
            <w:vAlign w:val="top"/>
          </w:tcPr>
          <w:p w14:paraId="5B0A32BF">
            <w:pPr>
              <w:rPr>
                <w:rFonts w:ascii="Arial"/>
                <w:sz w:val="21"/>
              </w:rPr>
            </w:pPr>
          </w:p>
        </w:tc>
        <w:tc>
          <w:tcPr>
            <w:tcW w:w="1171" w:type="dxa"/>
            <w:tcBorders>
              <w:right w:val="nil"/>
            </w:tcBorders>
            <w:vAlign w:val="top"/>
          </w:tcPr>
          <w:p w14:paraId="64B0DDE3">
            <w:pPr>
              <w:pStyle w:val="6"/>
              <w:spacing w:before="90" w:line="195" w:lineRule="auto"/>
              <w:ind w:left="480"/>
              <w:rPr>
                <w:sz w:val="20"/>
                <w:szCs w:val="20"/>
              </w:rPr>
            </w:pPr>
            <w:r>
              <w:rPr>
                <w:spacing w:val="3"/>
                <w:sz w:val="20"/>
                <w:szCs w:val="20"/>
              </w:rPr>
              <w:t>40</w:t>
            </w:r>
          </w:p>
        </w:tc>
      </w:tr>
      <w:tr w14:paraId="703D11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630" w:type="dxa"/>
            <w:tcBorders>
              <w:left w:val="nil"/>
            </w:tcBorders>
            <w:vAlign w:val="top"/>
          </w:tcPr>
          <w:p w14:paraId="18190258">
            <w:pPr>
              <w:spacing w:before="54" w:line="231" w:lineRule="auto"/>
              <w:ind w:left="1013"/>
              <w:rPr>
                <w:rFonts w:ascii="仿宋" w:hAnsi="仿宋" w:eastAsia="仿宋" w:cs="仿宋"/>
                <w:sz w:val="20"/>
                <w:szCs w:val="20"/>
              </w:rPr>
            </w:pPr>
            <w:r>
              <w:rPr>
                <w:rFonts w:ascii="仿宋" w:hAnsi="仿宋" w:eastAsia="仿宋" w:cs="仿宋"/>
                <w:spacing w:val="5"/>
                <w:sz w:val="20"/>
                <w:szCs w:val="20"/>
              </w:rPr>
              <w:t>神官湾</w:t>
            </w:r>
          </w:p>
        </w:tc>
        <w:tc>
          <w:tcPr>
            <w:tcW w:w="1481" w:type="dxa"/>
            <w:vMerge w:val="continue"/>
            <w:tcBorders>
              <w:top w:val="nil"/>
              <w:bottom w:val="nil"/>
            </w:tcBorders>
            <w:vAlign w:val="top"/>
          </w:tcPr>
          <w:p w14:paraId="6FD835D0">
            <w:pPr>
              <w:rPr>
                <w:rFonts w:ascii="Arial"/>
                <w:sz w:val="21"/>
              </w:rPr>
            </w:pPr>
          </w:p>
        </w:tc>
        <w:tc>
          <w:tcPr>
            <w:tcW w:w="1211" w:type="dxa"/>
            <w:vAlign w:val="top"/>
          </w:tcPr>
          <w:p w14:paraId="0242B5F3">
            <w:pPr>
              <w:pStyle w:val="6"/>
              <w:spacing w:before="90" w:line="195" w:lineRule="auto"/>
              <w:ind w:left="508"/>
              <w:rPr>
                <w:sz w:val="20"/>
                <w:szCs w:val="20"/>
              </w:rPr>
            </w:pPr>
            <w:r>
              <w:rPr>
                <w:sz w:val="20"/>
                <w:szCs w:val="20"/>
              </w:rPr>
              <w:t>51</w:t>
            </w:r>
          </w:p>
        </w:tc>
        <w:tc>
          <w:tcPr>
            <w:tcW w:w="2026" w:type="dxa"/>
            <w:vMerge w:val="continue"/>
            <w:tcBorders>
              <w:top w:val="nil"/>
              <w:bottom w:val="nil"/>
            </w:tcBorders>
            <w:vAlign w:val="top"/>
          </w:tcPr>
          <w:p w14:paraId="2F0EC9B9">
            <w:pPr>
              <w:rPr>
                <w:rFonts w:ascii="Arial"/>
                <w:sz w:val="21"/>
              </w:rPr>
            </w:pPr>
          </w:p>
        </w:tc>
        <w:tc>
          <w:tcPr>
            <w:tcW w:w="1171" w:type="dxa"/>
            <w:tcBorders>
              <w:right w:val="nil"/>
            </w:tcBorders>
            <w:vAlign w:val="top"/>
          </w:tcPr>
          <w:p w14:paraId="223359F8">
            <w:pPr>
              <w:pStyle w:val="6"/>
              <w:spacing w:before="90" w:line="195" w:lineRule="auto"/>
              <w:ind w:left="486"/>
              <w:rPr>
                <w:sz w:val="20"/>
                <w:szCs w:val="20"/>
              </w:rPr>
            </w:pPr>
            <w:r>
              <w:rPr>
                <w:sz w:val="20"/>
                <w:szCs w:val="20"/>
              </w:rPr>
              <w:t>39</w:t>
            </w:r>
          </w:p>
        </w:tc>
      </w:tr>
      <w:tr w14:paraId="02755E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2630" w:type="dxa"/>
            <w:tcBorders>
              <w:left w:val="nil"/>
            </w:tcBorders>
            <w:vAlign w:val="top"/>
          </w:tcPr>
          <w:p w14:paraId="0599E6FD">
            <w:pPr>
              <w:pStyle w:val="6"/>
              <w:spacing w:before="56" w:line="230" w:lineRule="auto"/>
              <w:ind w:left="665"/>
              <w:rPr>
                <w:rFonts w:ascii="仿宋" w:hAnsi="仿宋" w:eastAsia="仿宋" w:cs="仿宋"/>
                <w:sz w:val="20"/>
                <w:szCs w:val="20"/>
              </w:rPr>
            </w:pPr>
            <w:r>
              <w:rPr>
                <w:rFonts w:ascii="仿宋" w:hAnsi="仿宋" w:eastAsia="仿宋" w:cs="仿宋"/>
                <w:spacing w:val="6"/>
                <w:sz w:val="20"/>
                <w:szCs w:val="20"/>
              </w:rPr>
              <w:t>杨子华村</w:t>
            </w:r>
            <w:r>
              <w:rPr>
                <w:spacing w:val="6"/>
                <w:sz w:val="20"/>
                <w:szCs w:val="20"/>
              </w:rPr>
              <w:t>-</w:t>
            </w:r>
            <w:r>
              <w:rPr>
                <w:rFonts w:ascii="仿宋" w:hAnsi="仿宋" w:eastAsia="仿宋" w:cs="仿宋"/>
                <w:spacing w:val="6"/>
                <w:sz w:val="20"/>
                <w:szCs w:val="20"/>
              </w:rPr>
              <w:t>散户</w:t>
            </w:r>
          </w:p>
        </w:tc>
        <w:tc>
          <w:tcPr>
            <w:tcW w:w="1481" w:type="dxa"/>
            <w:vMerge w:val="continue"/>
            <w:tcBorders>
              <w:top w:val="nil"/>
            </w:tcBorders>
            <w:vAlign w:val="top"/>
          </w:tcPr>
          <w:p w14:paraId="0ABA00D0">
            <w:pPr>
              <w:rPr>
                <w:rFonts w:ascii="Arial"/>
                <w:sz w:val="21"/>
              </w:rPr>
            </w:pPr>
          </w:p>
        </w:tc>
        <w:tc>
          <w:tcPr>
            <w:tcW w:w="1211" w:type="dxa"/>
            <w:vAlign w:val="top"/>
          </w:tcPr>
          <w:p w14:paraId="6F0C454F">
            <w:pPr>
              <w:pStyle w:val="6"/>
              <w:spacing w:before="92" w:line="195" w:lineRule="auto"/>
              <w:ind w:left="508"/>
              <w:rPr>
                <w:sz w:val="20"/>
                <w:szCs w:val="20"/>
              </w:rPr>
            </w:pPr>
            <w:r>
              <w:rPr>
                <w:sz w:val="20"/>
                <w:szCs w:val="20"/>
              </w:rPr>
              <w:t>52</w:t>
            </w:r>
          </w:p>
        </w:tc>
        <w:tc>
          <w:tcPr>
            <w:tcW w:w="2026" w:type="dxa"/>
            <w:vMerge w:val="continue"/>
            <w:tcBorders>
              <w:top w:val="nil"/>
            </w:tcBorders>
            <w:vAlign w:val="top"/>
          </w:tcPr>
          <w:p w14:paraId="64DDBE67">
            <w:pPr>
              <w:rPr>
                <w:rFonts w:ascii="Arial"/>
                <w:sz w:val="21"/>
              </w:rPr>
            </w:pPr>
          </w:p>
        </w:tc>
        <w:tc>
          <w:tcPr>
            <w:tcW w:w="1171" w:type="dxa"/>
            <w:tcBorders>
              <w:right w:val="nil"/>
            </w:tcBorders>
            <w:vAlign w:val="top"/>
          </w:tcPr>
          <w:p w14:paraId="0B62C514">
            <w:pPr>
              <w:pStyle w:val="6"/>
              <w:spacing w:before="92" w:line="195" w:lineRule="auto"/>
              <w:ind w:left="480"/>
              <w:rPr>
                <w:sz w:val="20"/>
                <w:szCs w:val="20"/>
              </w:rPr>
            </w:pPr>
            <w:r>
              <w:rPr>
                <w:spacing w:val="3"/>
                <w:sz w:val="20"/>
                <w:szCs w:val="20"/>
              </w:rPr>
              <w:t>41</w:t>
            </w:r>
          </w:p>
        </w:tc>
      </w:tr>
    </w:tbl>
    <w:p w14:paraId="788F8E56">
      <w:pPr>
        <w:tabs>
          <w:tab w:val="left" w:pos="121"/>
        </w:tabs>
        <w:spacing w:before="51" w:line="221" w:lineRule="auto"/>
        <w:rPr>
          <w:rFonts w:ascii="仿宋" w:hAnsi="仿宋" w:eastAsia="仿宋" w:cs="仿宋"/>
          <w:sz w:val="20"/>
          <w:szCs w:val="20"/>
        </w:rPr>
      </w:pPr>
      <w:r>
        <w:rPr>
          <w:rFonts w:ascii="仿宋" w:hAnsi="仿宋" w:eastAsia="仿宋" w:cs="仿宋"/>
          <w:sz w:val="20"/>
          <w:szCs w:val="20"/>
          <w:u w:val="single" w:color="auto"/>
        </w:rPr>
        <w:tab/>
      </w:r>
      <w:r>
        <w:rPr>
          <w:rFonts w:ascii="仿宋" w:hAnsi="仿宋" w:eastAsia="仿宋" w:cs="仿宋"/>
          <w:spacing w:val="5"/>
          <w:sz w:val="20"/>
          <w:szCs w:val="20"/>
          <w:u w:val="single" w:color="auto"/>
        </w:rPr>
        <w:t>备注：参照《声环境质量标准》</w:t>
      </w:r>
      <w:r>
        <w:rPr>
          <w:rFonts w:ascii="Times New Roman" w:hAnsi="Times New Roman" w:eastAsia="Times New Roman" w:cs="Times New Roman"/>
          <w:spacing w:val="5"/>
          <w:sz w:val="20"/>
          <w:szCs w:val="20"/>
          <w:u w:val="single" w:color="auto"/>
        </w:rPr>
        <w:t>(</w:t>
      </w:r>
      <w:r>
        <w:rPr>
          <w:rFonts w:ascii="Times New Roman" w:hAnsi="Times New Roman" w:eastAsia="Times New Roman" w:cs="Times New Roman"/>
          <w:sz w:val="20"/>
          <w:szCs w:val="20"/>
          <w:u w:val="single" w:color="auto"/>
        </w:rPr>
        <w:t>GB</w:t>
      </w:r>
      <w:r>
        <w:rPr>
          <w:rFonts w:ascii="Times New Roman" w:hAnsi="Times New Roman" w:eastAsia="Times New Roman" w:cs="Times New Roman"/>
          <w:spacing w:val="5"/>
          <w:sz w:val="20"/>
          <w:szCs w:val="20"/>
          <w:u w:val="single" w:color="auto"/>
        </w:rPr>
        <w:t xml:space="preserve"> 3096-2008)</w:t>
      </w:r>
      <w:r>
        <w:rPr>
          <w:rFonts w:ascii="仿宋" w:hAnsi="仿宋" w:eastAsia="仿宋" w:cs="仿宋"/>
          <w:spacing w:val="5"/>
          <w:sz w:val="20"/>
          <w:szCs w:val="20"/>
          <w:u w:val="single" w:color="auto"/>
        </w:rPr>
        <w:t>表</w:t>
      </w:r>
      <w:r>
        <w:rPr>
          <w:rFonts w:ascii="仿宋" w:hAnsi="仿宋" w:eastAsia="仿宋" w:cs="仿宋"/>
          <w:spacing w:val="-23"/>
          <w:sz w:val="20"/>
          <w:szCs w:val="20"/>
          <w:u w:val="single" w:color="auto"/>
        </w:rPr>
        <w:t xml:space="preserve"> </w:t>
      </w:r>
      <w:r>
        <w:rPr>
          <w:rFonts w:ascii="Times New Roman" w:hAnsi="Times New Roman" w:eastAsia="Times New Roman" w:cs="Times New Roman"/>
          <w:spacing w:val="5"/>
          <w:sz w:val="20"/>
          <w:szCs w:val="20"/>
          <w:u w:val="single" w:color="auto"/>
        </w:rPr>
        <w:t xml:space="preserve">1  </w:t>
      </w:r>
      <w:r>
        <w:rPr>
          <w:rFonts w:ascii="仿宋" w:hAnsi="仿宋" w:eastAsia="仿宋" w:cs="仿宋"/>
          <w:spacing w:val="5"/>
          <w:sz w:val="20"/>
          <w:szCs w:val="20"/>
          <w:u w:val="single" w:color="auto"/>
        </w:rPr>
        <w:t>中环境噪声限值</w:t>
      </w:r>
      <w:r>
        <w:rPr>
          <w:rFonts w:ascii="仿宋" w:hAnsi="仿宋" w:eastAsia="仿宋" w:cs="仿宋"/>
          <w:spacing w:val="-23"/>
          <w:sz w:val="20"/>
          <w:szCs w:val="20"/>
          <w:u w:val="single" w:color="auto"/>
        </w:rPr>
        <w:t xml:space="preserve"> </w:t>
      </w:r>
      <w:r>
        <w:rPr>
          <w:rFonts w:ascii="Times New Roman" w:hAnsi="Times New Roman" w:eastAsia="Times New Roman" w:cs="Times New Roman"/>
          <w:spacing w:val="5"/>
          <w:sz w:val="20"/>
          <w:szCs w:val="20"/>
          <w:u w:val="single" w:color="auto"/>
        </w:rPr>
        <w:t>1</w:t>
      </w:r>
      <w:r>
        <w:rPr>
          <w:rFonts w:ascii="Times New Roman" w:hAnsi="Times New Roman" w:eastAsia="Times New Roman" w:cs="Times New Roman"/>
          <w:spacing w:val="20"/>
          <w:w w:val="101"/>
          <w:sz w:val="20"/>
          <w:szCs w:val="20"/>
          <w:u w:val="single" w:color="auto"/>
        </w:rPr>
        <w:t xml:space="preserve"> </w:t>
      </w:r>
      <w:r>
        <w:rPr>
          <w:rFonts w:ascii="仿宋" w:hAnsi="仿宋" w:eastAsia="仿宋" w:cs="仿宋"/>
          <w:spacing w:val="5"/>
          <w:sz w:val="20"/>
          <w:szCs w:val="20"/>
          <w:u w:val="single" w:color="auto"/>
        </w:rPr>
        <w:t>类标准限</w:t>
      </w:r>
      <w:r>
        <w:rPr>
          <w:rFonts w:ascii="仿宋" w:hAnsi="仿宋" w:eastAsia="仿宋" w:cs="仿宋"/>
          <w:spacing w:val="4"/>
          <w:sz w:val="20"/>
          <w:szCs w:val="20"/>
          <w:u w:val="single" w:color="auto"/>
        </w:rPr>
        <w:t>值。</w:t>
      </w:r>
      <w:r>
        <w:rPr>
          <w:rFonts w:ascii="仿宋" w:hAnsi="仿宋" w:eastAsia="仿宋" w:cs="仿宋"/>
          <w:sz w:val="20"/>
          <w:szCs w:val="20"/>
          <w:u w:val="single" w:color="auto"/>
        </w:rPr>
        <w:t xml:space="preserve">        </w:t>
      </w:r>
    </w:p>
    <w:p w14:paraId="30CFE7A0">
      <w:pPr>
        <w:spacing w:before="87" w:line="220" w:lineRule="auto"/>
        <w:ind w:left="1142"/>
        <w:rPr>
          <w:rFonts w:ascii="仿宋" w:hAnsi="仿宋" w:eastAsia="仿宋" w:cs="仿宋"/>
          <w:sz w:val="24"/>
          <w:szCs w:val="24"/>
        </w:rPr>
      </w:pPr>
      <w:r>
        <w:rPr>
          <w:rFonts w:ascii="仿宋" w:hAnsi="仿宋" w:eastAsia="仿宋" w:cs="仿宋"/>
          <w:b/>
          <w:bCs/>
          <w:spacing w:val="-4"/>
          <w:sz w:val="24"/>
          <w:szCs w:val="24"/>
        </w:rPr>
        <w:t>表</w:t>
      </w:r>
      <w:r>
        <w:rPr>
          <w:rFonts w:ascii="仿宋" w:hAnsi="仿宋" w:eastAsia="仿宋" w:cs="仿宋"/>
          <w:spacing w:val="-47"/>
          <w:sz w:val="24"/>
          <w:szCs w:val="24"/>
        </w:rPr>
        <w:t xml:space="preserve"> </w:t>
      </w:r>
      <w:r>
        <w:rPr>
          <w:rFonts w:ascii="仿宋" w:hAnsi="仿宋" w:eastAsia="仿宋" w:cs="仿宋"/>
          <w:b/>
          <w:bCs/>
          <w:spacing w:val="-4"/>
          <w:sz w:val="24"/>
          <w:szCs w:val="24"/>
        </w:rPr>
        <w:t>3.2-5</w:t>
      </w:r>
      <w:r>
        <w:rPr>
          <w:rFonts w:ascii="仿宋" w:hAnsi="仿宋" w:eastAsia="仿宋" w:cs="仿宋"/>
          <w:spacing w:val="-45"/>
          <w:sz w:val="24"/>
          <w:szCs w:val="24"/>
        </w:rPr>
        <w:t xml:space="preserve"> </w:t>
      </w:r>
      <w:r>
        <w:rPr>
          <w:rFonts w:ascii="仿宋" w:hAnsi="仿宋" w:eastAsia="仿宋" w:cs="仿宋"/>
          <w:b/>
          <w:bCs/>
          <w:spacing w:val="-4"/>
          <w:sz w:val="24"/>
          <w:szCs w:val="24"/>
        </w:rPr>
        <w:t>现有道路衰减断面噪声检测结果</w:t>
      </w:r>
      <w:r>
        <w:rPr>
          <w:rFonts w:ascii="仿宋" w:hAnsi="仿宋" w:eastAsia="仿宋" w:cs="仿宋"/>
          <w:spacing w:val="-4"/>
          <w:sz w:val="24"/>
          <w:szCs w:val="24"/>
        </w:rPr>
        <w:t xml:space="preserve">   </w:t>
      </w:r>
      <w:r>
        <w:rPr>
          <w:rFonts w:ascii="仿宋" w:hAnsi="仿宋" w:eastAsia="仿宋" w:cs="仿宋"/>
          <w:b/>
          <w:bCs/>
          <w:spacing w:val="-4"/>
          <w:sz w:val="24"/>
          <w:szCs w:val="24"/>
        </w:rPr>
        <w:t>单位</w:t>
      </w:r>
      <w:r>
        <w:rPr>
          <w:rFonts w:ascii="仿宋" w:hAnsi="仿宋" w:eastAsia="仿宋" w:cs="仿宋"/>
          <w:b/>
          <w:bCs/>
          <w:spacing w:val="-5"/>
          <w:sz w:val="24"/>
          <w:szCs w:val="24"/>
        </w:rPr>
        <w:t>:</w:t>
      </w:r>
      <w:r>
        <w:rPr>
          <w:rFonts w:ascii="仿宋" w:hAnsi="仿宋" w:eastAsia="仿宋" w:cs="仿宋"/>
          <w:spacing w:val="48"/>
          <w:sz w:val="24"/>
          <w:szCs w:val="24"/>
        </w:rPr>
        <w:t xml:space="preserve"> </w:t>
      </w:r>
      <w:r>
        <w:rPr>
          <w:rFonts w:ascii="仿宋" w:hAnsi="仿宋" w:eastAsia="仿宋" w:cs="仿宋"/>
          <w:b/>
          <w:bCs/>
          <w:spacing w:val="-5"/>
          <w:sz w:val="24"/>
          <w:szCs w:val="24"/>
        </w:rPr>
        <w:t>[dB(A)]</w:t>
      </w:r>
    </w:p>
    <w:p w14:paraId="28DB3480">
      <w:pPr>
        <w:spacing w:line="173" w:lineRule="exact"/>
      </w:pPr>
    </w:p>
    <w:tbl>
      <w:tblPr>
        <w:tblStyle w:val="5"/>
        <w:tblW w:w="851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480"/>
        <w:gridCol w:w="1243"/>
        <w:gridCol w:w="1094"/>
        <w:gridCol w:w="942"/>
        <w:gridCol w:w="910"/>
        <w:gridCol w:w="849"/>
      </w:tblGrid>
      <w:tr w14:paraId="312D19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3480" w:type="dxa"/>
            <w:vMerge w:val="restart"/>
            <w:tcBorders>
              <w:top w:val="single" w:color="000000" w:sz="10" w:space="0"/>
              <w:left w:val="nil"/>
              <w:bottom w:val="nil"/>
            </w:tcBorders>
            <w:vAlign w:val="top"/>
          </w:tcPr>
          <w:p w14:paraId="6FA6B6F4">
            <w:pPr>
              <w:spacing w:before="216" w:line="229" w:lineRule="auto"/>
              <w:ind w:left="1334"/>
              <w:rPr>
                <w:rFonts w:ascii="仿宋" w:hAnsi="仿宋" w:eastAsia="仿宋" w:cs="仿宋"/>
                <w:sz w:val="20"/>
                <w:szCs w:val="20"/>
              </w:rPr>
            </w:pPr>
            <w:r>
              <w:rPr>
                <w:rFonts w:ascii="仿宋" w:hAnsi="仿宋" w:eastAsia="仿宋" w:cs="仿宋"/>
                <w:spacing w:val="5"/>
                <w:sz w:val="20"/>
                <w:szCs w:val="20"/>
              </w:rPr>
              <w:t>检测位置</w:t>
            </w:r>
          </w:p>
        </w:tc>
        <w:tc>
          <w:tcPr>
            <w:tcW w:w="2337" w:type="dxa"/>
            <w:gridSpan w:val="2"/>
            <w:tcBorders>
              <w:top w:val="single" w:color="000000" w:sz="10" w:space="0"/>
            </w:tcBorders>
            <w:vAlign w:val="top"/>
          </w:tcPr>
          <w:p w14:paraId="048999E3">
            <w:pPr>
              <w:pStyle w:val="6"/>
              <w:spacing w:before="55" w:line="232" w:lineRule="auto"/>
              <w:ind w:left="444"/>
              <w:rPr>
                <w:sz w:val="20"/>
                <w:szCs w:val="20"/>
              </w:rPr>
            </w:pPr>
            <w:r>
              <w:rPr>
                <w:rFonts w:ascii="仿宋" w:hAnsi="仿宋" w:eastAsia="仿宋" w:cs="仿宋"/>
                <w:spacing w:val="2"/>
                <w:sz w:val="20"/>
                <w:szCs w:val="20"/>
              </w:rPr>
              <w:t>昼间：</w:t>
            </w:r>
            <w:r>
              <w:rPr>
                <w:spacing w:val="2"/>
                <w:sz w:val="20"/>
                <w:szCs w:val="20"/>
              </w:rPr>
              <w:t>2026.6.</w:t>
            </w:r>
            <w:r>
              <w:rPr>
                <w:spacing w:val="-19"/>
                <w:sz w:val="20"/>
                <w:szCs w:val="20"/>
              </w:rPr>
              <w:t xml:space="preserve"> </w:t>
            </w:r>
            <w:r>
              <w:rPr>
                <w:spacing w:val="2"/>
                <w:sz w:val="20"/>
                <w:szCs w:val="20"/>
              </w:rPr>
              <w:t>12</w:t>
            </w:r>
          </w:p>
        </w:tc>
        <w:tc>
          <w:tcPr>
            <w:tcW w:w="2701" w:type="dxa"/>
            <w:gridSpan w:val="3"/>
            <w:tcBorders>
              <w:top w:val="single" w:color="000000" w:sz="10" w:space="0"/>
              <w:right w:val="nil"/>
            </w:tcBorders>
            <w:vAlign w:val="top"/>
          </w:tcPr>
          <w:p w14:paraId="75A9544A">
            <w:pPr>
              <w:spacing w:before="56" w:line="228" w:lineRule="auto"/>
              <w:ind w:left="841"/>
              <w:rPr>
                <w:rFonts w:ascii="仿宋" w:hAnsi="仿宋" w:eastAsia="仿宋" w:cs="仿宋"/>
                <w:sz w:val="20"/>
                <w:szCs w:val="20"/>
              </w:rPr>
            </w:pPr>
            <w:r>
              <w:rPr>
                <w:rFonts w:ascii="仿宋" w:hAnsi="仿宋" w:eastAsia="仿宋" w:cs="仿宋"/>
                <w:spacing w:val="6"/>
                <w:sz w:val="20"/>
                <w:szCs w:val="20"/>
              </w:rPr>
              <w:t>车流量统计</w:t>
            </w:r>
          </w:p>
        </w:tc>
      </w:tr>
      <w:tr w14:paraId="1BC923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3480" w:type="dxa"/>
            <w:vMerge w:val="continue"/>
            <w:tcBorders>
              <w:top w:val="nil"/>
              <w:left w:val="nil"/>
            </w:tcBorders>
            <w:vAlign w:val="top"/>
          </w:tcPr>
          <w:p w14:paraId="64C7744E">
            <w:pPr>
              <w:rPr>
                <w:rFonts w:ascii="Arial"/>
                <w:sz w:val="21"/>
              </w:rPr>
            </w:pPr>
          </w:p>
        </w:tc>
        <w:tc>
          <w:tcPr>
            <w:tcW w:w="1243" w:type="dxa"/>
            <w:vAlign w:val="top"/>
          </w:tcPr>
          <w:p w14:paraId="25ECC02F">
            <w:pPr>
              <w:spacing w:before="53" w:line="229" w:lineRule="auto"/>
              <w:ind w:left="213"/>
              <w:rPr>
                <w:rFonts w:ascii="仿宋" w:hAnsi="仿宋" w:eastAsia="仿宋" w:cs="仿宋"/>
                <w:sz w:val="20"/>
                <w:szCs w:val="20"/>
              </w:rPr>
            </w:pPr>
            <w:r>
              <w:rPr>
                <w:rFonts w:ascii="仿宋" w:hAnsi="仿宋" w:eastAsia="仿宋" w:cs="仿宋"/>
                <w:spacing w:val="5"/>
                <w:sz w:val="20"/>
                <w:szCs w:val="20"/>
              </w:rPr>
              <w:t>检测时间</w:t>
            </w:r>
          </w:p>
        </w:tc>
        <w:tc>
          <w:tcPr>
            <w:tcW w:w="1094" w:type="dxa"/>
            <w:vAlign w:val="top"/>
          </w:tcPr>
          <w:p w14:paraId="71CF183E">
            <w:pPr>
              <w:spacing w:before="53" w:line="231" w:lineRule="auto"/>
              <w:ind w:left="137"/>
              <w:rPr>
                <w:rFonts w:ascii="仿宋" w:hAnsi="仿宋" w:eastAsia="仿宋" w:cs="仿宋"/>
                <w:sz w:val="20"/>
                <w:szCs w:val="20"/>
              </w:rPr>
            </w:pPr>
            <w:r>
              <w:rPr>
                <w:rFonts w:ascii="仿宋" w:hAnsi="仿宋" w:eastAsia="仿宋" w:cs="仿宋"/>
                <w:spacing w:val="5"/>
                <w:sz w:val="20"/>
                <w:szCs w:val="20"/>
              </w:rPr>
              <w:t>测定结果</w:t>
            </w:r>
          </w:p>
        </w:tc>
        <w:tc>
          <w:tcPr>
            <w:tcW w:w="942" w:type="dxa"/>
            <w:vAlign w:val="top"/>
          </w:tcPr>
          <w:p w14:paraId="433BCF0D">
            <w:pPr>
              <w:spacing w:before="53" w:line="228" w:lineRule="auto"/>
              <w:ind w:left="169"/>
              <w:rPr>
                <w:rFonts w:ascii="仿宋" w:hAnsi="仿宋" w:eastAsia="仿宋" w:cs="仿宋"/>
                <w:sz w:val="20"/>
                <w:szCs w:val="20"/>
              </w:rPr>
            </w:pPr>
            <w:r>
              <w:rPr>
                <w:rFonts w:ascii="仿宋" w:hAnsi="仿宋" w:eastAsia="仿宋" w:cs="仿宋"/>
                <w:spacing w:val="4"/>
                <w:sz w:val="20"/>
                <w:szCs w:val="20"/>
              </w:rPr>
              <w:t>大型车</w:t>
            </w:r>
          </w:p>
        </w:tc>
        <w:tc>
          <w:tcPr>
            <w:tcW w:w="910" w:type="dxa"/>
            <w:vAlign w:val="top"/>
          </w:tcPr>
          <w:p w14:paraId="0AE8424E">
            <w:pPr>
              <w:spacing w:before="53" w:line="228" w:lineRule="auto"/>
              <w:ind w:left="178"/>
              <w:rPr>
                <w:rFonts w:ascii="仿宋" w:hAnsi="仿宋" w:eastAsia="仿宋" w:cs="仿宋"/>
                <w:sz w:val="20"/>
                <w:szCs w:val="20"/>
              </w:rPr>
            </w:pPr>
            <w:r>
              <w:rPr>
                <w:rFonts w:ascii="仿宋" w:hAnsi="仿宋" w:eastAsia="仿宋" w:cs="仿宋"/>
                <w:spacing w:val="-4"/>
                <w:sz w:val="20"/>
                <w:szCs w:val="20"/>
              </w:rPr>
              <w:t>中型车</w:t>
            </w:r>
          </w:p>
        </w:tc>
        <w:tc>
          <w:tcPr>
            <w:tcW w:w="849" w:type="dxa"/>
            <w:tcBorders>
              <w:right w:val="nil"/>
            </w:tcBorders>
            <w:vAlign w:val="top"/>
          </w:tcPr>
          <w:p w14:paraId="7529C740">
            <w:pPr>
              <w:spacing w:before="53" w:line="228" w:lineRule="auto"/>
              <w:ind w:left="122"/>
              <w:rPr>
                <w:rFonts w:ascii="仿宋" w:hAnsi="仿宋" w:eastAsia="仿宋" w:cs="仿宋"/>
                <w:sz w:val="20"/>
                <w:szCs w:val="20"/>
              </w:rPr>
            </w:pPr>
            <w:r>
              <w:rPr>
                <w:rFonts w:ascii="仿宋" w:hAnsi="仿宋" w:eastAsia="仿宋" w:cs="仿宋"/>
                <w:spacing w:val="5"/>
                <w:sz w:val="20"/>
                <w:szCs w:val="20"/>
              </w:rPr>
              <w:t>小型车</w:t>
            </w:r>
          </w:p>
        </w:tc>
      </w:tr>
      <w:tr w14:paraId="4E9AA6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3480" w:type="dxa"/>
            <w:tcBorders>
              <w:left w:val="nil"/>
            </w:tcBorders>
            <w:vAlign w:val="top"/>
          </w:tcPr>
          <w:p w14:paraId="06759B74">
            <w:pPr>
              <w:pStyle w:val="6"/>
              <w:spacing w:before="55" w:line="221" w:lineRule="auto"/>
              <w:ind w:left="219"/>
              <w:rPr>
                <w:rFonts w:ascii="仿宋" w:hAnsi="仿宋" w:eastAsia="仿宋" w:cs="仿宋"/>
                <w:sz w:val="20"/>
                <w:szCs w:val="20"/>
              </w:rPr>
            </w:pPr>
            <w:r>
              <w:rPr>
                <w:rFonts w:ascii="仿宋" w:hAnsi="仿宋" w:eastAsia="仿宋" w:cs="仿宋"/>
                <w:spacing w:val="5"/>
                <w:sz w:val="20"/>
                <w:szCs w:val="20"/>
              </w:rPr>
              <w:t>沿黄公路断面</w:t>
            </w:r>
            <w:r>
              <w:rPr>
                <w:spacing w:val="5"/>
                <w:sz w:val="20"/>
                <w:szCs w:val="20"/>
              </w:rPr>
              <w:t>(</w:t>
            </w:r>
            <w:r>
              <w:rPr>
                <w:rFonts w:ascii="仿宋" w:hAnsi="仿宋" w:eastAsia="仿宋" w:cs="仿宋"/>
                <w:spacing w:val="5"/>
                <w:sz w:val="20"/>
                <w:szCs w:val="20"/>
              </w:rPr>
              <w:t>中心线外</w:t>
            </w:r>
            <w:r>
              <w:rPr>
                <w:rFonts w:ascii="仿宋" w:hAnsi="仿宋" w:eastAsia="仿宋" w:cs="仿宋"/>
                <w:spacing w:val="-27"/>
                <w:sz w:val="20"/>
                <w:szCs w:val="20"/>
              </w:rPr>
              <w:t xml:space="preserve"> </w:t>
            </w:r>
            <w:r>
              <w:rPr>
                <w:spacing w:val="5"/>
                <w:sz w:val="20"/>
                <w:szCs w:val="20"/>
              </w:rPr>
              <w:t>20m</w:t>
            </w:r>
            <w:r>
              <w:rPr>
                <w:spacing w:val="18"/>
                <w:w w:val="101"/>
                <w:sz w:val="20"/>
                <w:szCs w:val="20"/>
              </w:rPr>
              <w:t xml:space="preserve"> </w:t>
            </w:r>
            <w:r>
              <w:rPr>
                <w:rFonts w:ascii="仿宋" w:hAnsi="仿宋" w:eastAsia="仿宋" w:cs="仿宋"/>
                <w:spacing w:val="5"/>
                <w:sz w:val="20"/>
                <w:szCs w:val="20"/>
              </w:rPr>
              <w:t>处）</w:t>
            </w:r>
          </w:p>
        </w:tc>
        <w:tc>
          <w:tcPr>
            <w:tcW w:w="1243" w:type="dxa"/>
            <w:vMerge w:val="restart"/>
            <w:tcBorders>
              <w:bottom w:val="nil"/>
            </w:tcBorders>
            <w:vAlign w:val="top"/>
          </w:tcPr>
          <w:p w14:paraId="7E3D1D4C">
            <w:pPr>
              <w:spacing w:line="337" w:lineRule="auto"/>
              <w:rPr>
                <w:rFonts w:ascii="Arial"/>
                <w:sz w:val="21"/>
              </w:rPr>
            </w:pPr>
          </w:p>
          <w:p w14:paraId="26BF1AE1">
            <w:pPr>
              <w:spacing w:line="338" w:lineRule="auto"/>
              <w:rPr>
                <w:rFonts w:ascii="Arial"/>
                <w:sz w:val="21"/>
              </w:rPr>
            </w:pPr>
          </w:p>
          <w:p w14:paraId="216CA6D8">
            <w:pPr>
              <w:pStyle w:val="6"/>
              <w:spacing w:before="57" w:line="195" w:lineRule="auto"/>
              <w:ind w:left="128"/>
              <w:rPr>
                <w:sz w:val="20"/>
                <w:szCs w:val="20"/>
              </w:rPr>
            </w:pPr>
            <w:r>
              <w:rPr>
                <w:sz w:val="20"/>
                <w:szCs w:val="20"/>
              </w:rPr>
              <w:t>17:52-</w:t>
            </w:r>
            <w:r>
              <w:rPr>
                <w:spacing w:val="-28"/>
                <w:sz w:val="20"/>
                <w:szCs w:val="20"/>
              </w:rPr>
              <w:t xml:space="preserve"> </w:t>
            </w:r>
            <w:r>
              <w:rPr>
                <w:sz w:val="20"/>
                <w:szCs w:val="20"/>
              </w:rPr>
              <w:t>18:12</w:t>
            </w:r>
          </w:p>
        </w:tc>
        <w:tc>
          <w:tcPr>
            <w:tcW w:w="1094" w:type="dxa"/>
            <w:vAlign w:val="top"/>
          </w:tcPr>
          <w:p w14:paraId="2F893507">
            <w:pPr>
              <w:pStyle w:val="6"/>
              <w:spacing w:before="91" w:line="195" w:lineRule="auto"/>
              <w:ind w:left="448"/>
              <w:rPr>
                <w:sz w:val="20"/>
                <w:szCs w:val="20"/>
              </w:rPr>
            </w:pPr>
            <w:r>
              <w:rPr>
                <w:sz w:val="20"/>
                <w:szCs w:val="20"/>
              </w:rPr>
              <w:t>54</w:t>
            </w:r>
          </w:p>
        </w:tc>
        <w:tc>
          <w:tcPr>
            <w:tcW w:w="942" w:type="dxa"/>
            <w:vMerge w:val="restart"/>
            <w:tcBorders>
              <w:bottom w:val="nil"/>
            </w:tcBorders>
            <w:vAlign w:val="top"/>
          </w:tcPr>
          <w:p w14:paraId="69E9FB87">
            <w:pPr>
              <w:spacing w:line="337" w:lineRule="auto"/>
              <w:rPr>
                <w:rFonts w:ascii="Arial"/>
                <w:sz w:val="21"/>
              </w:rPr>
            </w:pPr>
          </w:p>
          <w:p w14:paraId="2F8BC8AB">
            <w:pPr>
              <w:spacing w:line="338" w:lineRule="auto"/>
              <w:rPr>
                <w:rFonts w:ascii="Arial"/>
                <w:sz w:val="21"/>
              </w:rPr>
            </w:pPr>
          </w:p>
          <w:p w14:paraId="4AD0E8C3">
            <w:pPr>
              <w:pStyle w:val="6"/>
              <w:spacing w:before="57" w:line="195" w:lineRule="auto"/>
              <w:ind w:left="422"/>
              <w:rPr>
                <w:sz w:val="20"/>
                <w:szCs w:val="20"/>
              </w:rPr>
            </w:pPr>
            <w:r>
              <w:rPr>
                <w:sz w:val="20"/>
                <w:szCs w:val="20"/>
              </w:rPr>
              <w:t>0</w:t>
            </w:r>
          </w:p>
        </w:tc>
        <w:tc>
          <w:tcPr>
            <w:tcW w:w="910" w:type="dxa"/>
            <w:vMerge w:val="restart"/>
            <w:tcBorders>
              <w:bottom w:val="nil"/>
            </w:tcBorders>
            <w:vAlign w:val="top"/>
          </w:tcPr>
          <w:p w14:paraId="3E1C853C">
            <w:pPr>
              <w:spacing w:line="337" w:lineRule="auto"/>
              <w:rPr>
                <w:rFonts w:ascii="Arial"/>
                <w:sz w:val="21"/>
              </w:rPr>
            </w:pPr>
          </w:p>
          <w:p w14:paraId="04A82231">
            <w:pPr>
              <w:spacing w:line="338" w:lineRule="auto"/>
              <w:rPr>
                <w:rFonts w:ascii="Arial"/>
                <w:sz w:val="21"/>
              </w:rPr>
            </w:pPr>
          </w:p>
          <w:p w14:paraId="13462A72">
            <w:pPr>
              <w:pStyle w:val="6"/>
              <w:spacing w:before="57" w:line="195" w:lineRule="auto"/>
              <w:ind w:left="425"/>
              <w:rPr>
                <w:sz w:val="20"/>
                <w:szCs w:val="20"/>
              </w:rPr>
            </w:pPr>
            <w:r>
              <w:rPr>
                <w:sz w:val="20"/>
                <w:szCs w:val="20"/>
              </w:rPr>
              <w:t>1</w:t>
            </w:r>
          </w:p>
        </w:tc>
        <w:tc>
          <w:tcPr>
            <w:tcW w:w="849" w:type="dxa"/>
            <w:vMerge w:val="restart"/>
            <w:tcBorders>
              <w:bottom w:val="nil"/>
              <w:right w:val="nil"/>
            </w:tcBorders>
            <w:vAlign w:val="top"/>
          </w:tcPr>
          <w:p w14:paraId="493B882A">
            <w:pPr>
              <w:spacing w:line="337" w:lineRule="auto"/>
              <w:rPr>
                <w:rFonts w:ascii="Arial"/>
                <w:sz w:val="21"/>
              </w:rPr>
            </w:pPr>
          </w:p>
          <w:p w14:paraId="73682B17">
            <w:pPr>
              <w:spacing w:line="338" w:lineRule="auto"/>
              <w:rPr>
                <w:rFonts w:ascii="Arial"/>
                <w:sz w:val="21"/>
              </w:rPr>
            </w:pPr>
          </w:p>
          <w:p w14:paraId="19244E68">
            <w:pPr>
              <w:pStyle w:val="6"/>
              <w:spacing w:before="57" w:line="195" w:lineRule="auto"/>
              <w:ind w:left="374"/>
              <w:rPr>
                <w:sz w:val="20"/>
                <w:szCs w:val="20"/>
              </w:rPr>
            </w:pPr>
            <w:r>
              <w:rPr>
                <w:sz w:val="20"/>
                <w:szCs w:val="20"/>
              </w:rPr>
              <w:t>2</w:t>
            </w:r>
          </w:p>
        </w:tc>
      </w:tr>
      <w:tr w14:paraId="753343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3480" w:type="dxa"/>
            <w:tcBorders>
              <w:left w:val="nil"/>
            </w:tcBorders>
            <w:vAlign w:val="top"/>
          </w:tcPr>
          <w:p w14:paraId="721B357A">
            <w:pPr>
              <w:pStyle w:val="6"/>
              <w:spacing w:before="60" w:line="221" w:lineRule="auto"/>
              <w:ind w:left="219"/>
              <w:rPr>
                <w:rFonts w:ascii="仿宋" w:hAnsi="仿宋" w:eastAsia="仿宋" w:cs="仿宋"/>
                <w:sz w:val="20"/>
                <w:szCs w:val="20"/>
              </w:rPr>
            </w:pPr>
            <w:r>
              <w:rPr>
                <w:rFonts w:ascii="仿宋" w:hAnsi="仿宋" w:eastAsia="仿宋" w:cs="仿宋"/>
                <w:spacing w:val="6"/>
                <w:sz w:val="20"/>
                <w:szCs w:val="20"/>
              </w:rPr>
              <w:t>沿黄公路断面</w:t>
            </w:r>
            <w:r>
              <w:rPr>
                <w:spacing w:val="6"/>
                <w:sz w:val="20"/>
                <w:szCs w:val="20"/>
              </w:rPr>
              <w:t>(</w:t>
            </w:r>
            <w:r>
              <w:rPr>
                <w:rFonts w:ascii="仿宋" w:hAnsi="仿宋" w:eastAsia="仿宋" w:cs="仿宋"/>
                <w:spacing w:val="6"/>
                <w:sz w:val="20"/>
                <w:szCs w:val="20"/>
              </w:rPr>
              <w:t>中心线外</w:t>
            </w:r>
            <w:r>
              <w:rPr>
                <w:rFonts w:ascii="仿宋" w:hAnsi="仿宋" w:eastAsia="仿宋" w:cs="仿宋"/>
                <w:spacing w:val="-42"/>
                <w:sz w:val="20"/>
                <w:szCs w:val="20"/>
              </w:rPr>
              <w:t xml:space="preserve"> </w:t>
            </w:r>
            <w:r>
              <w:rPr>
                <w:spacing w:val="6"/>
                <w:sz w:val="20"/>
                <w:szCs w:val="20"/>
              </w:rPr>
              <w:t>40m</w:t>
            </w:r>
            <w:r>
              <w:rPr>
                <w:spacing w:val="18"/>
                <w:sz w:val="20"/>
                <w:szCs w:val="20"/>
              </w:rPr>
              <w:t xml:space="preserve"> </w:t>
            </w:r>
            <w:r>
              <w:rPr>
                <w:rFonts w:ascii="仿宋" w:hAnsi="仿宋" w:eastAsia="仿宋" w:cs="仿宋"/>
                <w:spacing w:val="6"/>
                <w:sz w:val="20"/>
                <w:szCs w:val="20"/>
              </w:rPr>
              <w:t>处）</w:t>
            </w:r>
          </w:p>
        </w:tc>
        <w:tc>
          <w:tcPr>
            <w:tcW w:w="1243" w:type="dxa"/>
            <w:vMerge w:val="continue"/>
            <w:tcBorders>
              <w:top w:val="nil"/>
              <w:bottom w:val="nil"/>
            </w:tcBorders>
            <w:vAlign w:val="top"/>
          </w:tcPr>
          <w:p w14:paraId="65D1BD5C">
            <w:pPr>
              <w:rPr>
                <w:rFonts w:ascii="Arial"/>
                <w:sz w:val="21"/>
              </w:rPr>
            </w:pPr>
          </w:p>
        </w:tc>
        <w:tc>
          <w:tcPr>
            <w:tcW w:w="1094" w:type="dxa"/>
            <w:vAlign w:val="top"/>
          </w:tcPr>
          <w:p w14:paraId="09E5E96C">
            <w:pPr>
              <w:pStyle w:val="6"/>
              <w:spacing w:before="96" w:line="195" w:lineRule="auto"/>
              <w:ind w:left="448"/>
              <w:rPr>
                <w:sz w:val="20"/>
                <w:szCs w:val="20"/>
              </w:rPr>
            </w:pPr>
            <w:r>
              <w:rPr>
                <w:sz w:val="20"/>
                <w:szCs w:val="20"/>
              </w:rPr>
              <w:t>52</w:t>
            </w:r>
          </w:p>
        </w:tc>
        <w:tc>
          <w:tcPr>
            <w:tcW w:w="942" w:type="dxa"/>
            <w:vMerge w:val="continue"/>
            <w:tcBorders>
              <w:top w:val="nil"/>
              <w:bottom w:val="nil"/>
            </w:tcBorders>
            <w:vAlign w:val="top"/>
          </w:tcPr>
          <w:p w14:paraId="4EA5F2DA">
            <w:pPr>
              <w:rPr>
                <w:rFonts w:ascii="Arial"/>
                <w:sz w:val="21"/>
              </w:rPr>
            </w:pPr>
          </w:p>
        </w:tc>
        <w:tc>
          <w:tcPr>
            <w:tcW w:w="910" w:type="dxa"/>
            <w:vMerge w:val="continue"/>
            <w:tcBorders>
              <w:top w:val="nil"/>
              <w:bottom w:val="nil"/>
            </w:tcBorders>
            <w:vAlign w:val="top"/>
          </w:tcPr>
          <w:p w14:paraId="5AC69F07">
            <w:pPr>
              <w:rPr>
                <w:rFonts w:ascii="Arial"/>
                <w:sz w:val="21"/>
              </w:rPr>
            </w:pPr>
          </w:p>
        </w:tc>
        <w:tc>
          <w:tcPr>
            <w:tcW w:w="849" w:type="dxa"/>
            <w:vMerge w:val="continue"/>
            <w:tcBorders>
              <w:top w:val="nil"/>
              <w:bottom w:val="nil"/>
              <w:right w:val="nil"/>
            </w:tcBorders>
            <w:vAlign w:val="top"/>
          </w:tcPr>
          <w:p w14:paraId="22630BCC">
            <w:pPr>
              <w:rPr>
                <w:rFonts w:ascii="Arial"/>
                <w:sz w:val="21"/>
              </w:rPr>
            </w:pPr>
          </w:p>
        </w:tc>
      </w:tr>
      <w:tr w14:paraId="636998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3480" w:type="dxa"/>
            <w:tcBorders>
              <w:left w:val="nil"/>
            </w:tcBorders>
            <w:vAlign w:val="top"/>
          </w:tcPr>
          <w:p w14:paraId="2ECE0303">
            <w:pPr>
              <w:pStyle w:val="6"/>
              <w:spacing w:before="62" w:line="221" w:lineRule="auto"/>
              <w:ind w:left="219"/>
              <w:rPr>
                <w:rFonts w:ascii="仿宋" w:hAnsi="仿宋" w:eastAsia="仿宋" w:cs="仿宋"/>
                <w:sz w:val="20"/>
                <w:szCs w:val="20"/>
              </w:rPr>
            </w:pPr>
            <w:r>
              <w:rPr>
                <w:rFonts w:ascii="仿宋" w:hAnsi="仿宋" w:eastAsia="仿宋" w:cs="仿宋"/>
                <w:spacing w:val="5"/>
                <w:sz w:val="20"/>
                <w:szCs w:val="20"/>
              </w:rPr>
              <w:t>沿黄公路断面</w:t>
            </w:r>
            <w:r>
              <w:rPr>
                <w:spacing w:val="5"/>
                <w:sz w:val="20"/>
                <w:szCs w:val="20"/>
              </w:rPr>
              <w:t>(</w:t>
            </w:r>
            <w:r>
              <w:rPr>
                <w:rFonts w:ascii="仿宋" w:hAnsi="仿宋" w:eastAsia="仿宋" w:cs="仿宋"/>
                <w:spacing w:val="5"/>
                <w:sz w:val="20"/>
                <w:szCs w:val="20"/>
              </w:rPr>
              <w:t>中心线外</w:t>
            </w:r>
            <w:r>
              <w:rPr>
                <w:rFonts w:ascii="仿宋" w:hAnsi="仿宋" w:eastAsia="仿宋" w:cs="仿宋"/>
                <w:spacing w:val="-27"/>
                <w:sz w:val="20"/>
                <w:szCs w:val="20"/>
              </w:rPr>
              <w:t xml:space="preserve"> </w:t>
            </w:r>
            <w:r>
              <w:rPr>
                <w:spacing w:val="5"/>
                <w:sz w:val="20"/>
                <w:szCs w:val="20"/>
              </w:rPr>
              <w:t>60m</w:t>
            </w:r>
            <w:r>
              <w:rPr>
                <w:spacing w:val="18"/>
                <w:w w:val="101"/>
                <w:sz w:val="20"/>
                <w:szCs w:val="20"/>
              </w:rPr>
              <w:t xml:space="preserve"> </w:t>
            </w:r>
            <w:r>
              <w:rPr>
                <w:rFonts w:ascii="仿宋" w:hAnsi="仿宋" w:eastAsia="仿宋" w:cs="仿宋"/>
                <w:spacing w:val="5"/>
                <w:sz w:val="20"/>
                <w:szCs w:val="20"/>
              </w:rPr>
              <w:t>处）</w:t>
            </w:r>
          </w:p>
        </w:tc>
        <w:tc>
          <w:tcPr>
            <w:tcW w:w="1243" w:type="dxa"/>
            <w:vMerge w:val="continue"/>
            <w:tcBorders>
              <w:top w:val="nil"/>
              <w:bottom w:val="nil"/>
            </w:tcBorders>
            <w:vAlign w:val="top"/>
          </w:tcPr>
          <w:p w14:paraId="07694ACB">
            <w:pPr>
              <w:rPr>
                <w:rFonts w:ascii="Arial"/>
                <w:sz w:val="21"/>
              </w:rPr>
            </w:pPr>
          </w:p>
        </w:tc>
        <w:tc>
          <w:tcPr>
            <w:tcW w:w="1094" w:type="dxa"/>
            <w:vAlign w:val="top"/>
          </w:tcPr>
          <w:p w14:paraId="70CFD1C2">
            <w:pPr>
              <w:pStyle w:val="6"/>
              <w:spacing w:before="97" w:line="195" w:lineRule="auto"/>
              <w:ind w:left="448"/>
              <w:rPr>
                <w:sz w:val="20"/>
                <w:szCs w:val="20"/>
              </w:rPr>
            </w:pPr>
            <w:r>
              <w:rPr>
                <w:sz w:val="20"/>
                <w:szCs w:val="20"/>
              </w:rPr>
              <w:t>50</w:t>
            </w:r>
          </w:p>
        </w:tc>
        <w:tc>
          <w:tcPr>
            <w:tcW w:w="942" w:type="dxa"/>
            <w:vMerge w:val="continue"/>
            <w:tcBorders>
              <w:top w:val="nil"/>
              <w:bottom w:val="nil"/>
            </w:tcBorders>
            <w:vAlign w:val="top"/>
          </w:tcPr>
          <w:p w14:paraId="35230BCF">
            <w:pPr>
              <w:rPr>
                <w:rFonts w:ascii="Arial"/>
                <w:sz w:val="21"/>
              </w:rPr>
            </w:pPr>
          </w:p>
        </w:tc>
        <w:tc>
          <w:tcPr>
            <w:tcW w:w="910" w:type="dxa"/>
            <w:vMerge w:val="continue"/>
            <w:tcBorders>
              <w:top w:val="nil"/>
              <w:bottom w:val="nil"/>
            </w:tcBorders>
            <w:vAlign w:val="top"/>
          </w:tcPr>
          <w:p w14:paraId="6983FFA6">
            <w:pPr>
              <w:rPr>
                <w:rFonts w:ascii="Arial"/>
                <w:sz w:val="21"/>
              </w:rPr>
            </w:pPr>
          </w:p>
        </w:tc>
        <w:tc>
          <w:tcPr>
            <w:tcW w:w="849" w:type="dxa"/>
            <w:vMerge w:val="continue"/>
            <w:tcBorders>
              <w:top w:val="nil"/>
              <w:bottom w:val="nil"/>
              <w:right w:val="nil"/>
            </w:tcBorders>
            <w:vAlign w:val="top"/>
          </w:tcPr>
          <w:p w14:paraId="5CFB13AF">
            <w:pPr>
              <w:rPr>
                <w:rFonts w:ascii="Arial"/>
                <w:sz w:val="21"/>
              </w:rPr>
            </w:pPr>
          </w:p>
        </w:tc>
      </w:tr>
      <w:tr w14:paraId="05BACA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3480" w:type="dxa"/>
            <w:tcBorders>
              <w:left w:val="nil"/>
            </w:tcBorders>
            <w:vAlign w:val="top"/>
          </w:tcPr>
          <w:p w14:paraId="4F80C096">
            <w:pPr>
              <w:pStyle w:val="6"/>
              <w:spacing w:before="64" w:line="221" w:lineRule="auto"/>
              <w:ind w:left="219"/>
              <w:rPr>
                <w:rFonts w:ascii="仿宋" w:hAnsi="仿宋" w:eastAsia="仿宋" w:cs="仿宋"/>
                <w:sz w:val="20"/>
                <w:szCs w:val="20"/>
              </w:rPr>
            </w:pPr>
            <w:r>
              <w:rPr>
                <w:rFonts w:ascii="仿宋" w:hAnsi="仿宋" w:eastAsia="仿宋" w:cs="仿宋"/>
                <w:spacing w:val="5"/>
                <w:sz w:val="20"/>
                <w:szCs w:val="20"/>
              </w:rPr>
              <w:t>沿黄公路断面</w:t>
            </w:r>
            <w:r>
              <w:rPr>
                <w:spacing w:val="5"/>
                <w:sz w:val="20"/>
                <w:szCs w:val="20"/>
              </w:rPr>
              <w:t>(</w:t>
            </w:r>
            <w:r>
              <w:rPr>
                <w:rFonts w:ascii="仿宋" w:hAnsi="仿宋" w:eastAsia="仿宋" w:cs="仿宋"/>
                <w:spacing w:val="5"/>
                <w:sz w:val="20"/>
                <w:szCs w:val="20"/>
              </w:rPr>
              <w:t>中心线外</w:t>
            </w:r>
            <w:r>
              <w:rPr>
                <w:rFonts w:ascii="仿宋" w:hAnsi="仿宋" w:eastAsia="仿宋" w:cs="仿宋"/>
                <w:spacing w:val="-27"/>
                <w:sz w:val="20"/>
                <w:szCs w:val="20"/>
              </w:rPr>
              <w:t xml:space="preserve"> </w:t>
            </w:r>
            <w:r>
              <w:rPr>
                <w:spacing w:val="5"/>
                <w:sz w:val="20"/>
                <w:szCs w:val="20"/>
              </w:rPr>
              <w:t>80m</w:t>
            </w:r>
            <w:r>
              <w:rPr>
                <w:spacing w:val="18"/>
                <w:w w:val="101"/>
                <w:sz w:val="20"/>
                <w:szCs w:val="20"/>
              </w:rPr>
              <w:t xml:space="preserve"> </w:t>
            </w:r>
            <w:r>
              <w:rPr>
                <w:rFonts w:ascii="仿宋" w:hAnsi="仿宋" w:eastAsia="仿宋" w:cs="仿宋"/>
                <w:spacing w:val="5"/>
                <w:sz w:val="20"/>
                <w:szCs w:val="20"/>
              </w:rPr>
              <w:t>处）</w:t>
            </w:r>
          </w:p>
        </w:tc>
        <w:tc>
          <w:tcPr>
            <w:tcW w:w="1243" w:type="dxa"/>
            <w:vMerge w:val="continue"/>
            <w:tcBorders>
              <w:top w:val="nil"/>
              <w:bottom w:val="nil"/>
            </w:tcBorders>
            <w:vAlign w:val="top"/>
          </w:tcPr>
          <w:p w14:paraId="44BF3C8E">
            <w:pPr>
              <w:rPr>
                <w:rFonts w:ascii="Arial"/>
                <w:sz w:val="21"/>
              </w:rPr>
            </w:pPr>
          </w:p>
        </w:tc>
        <w:tc>
          <w:tcPr>
            <w:tcW w:w="1094" w:type="dxa"/>
            <w:vAlign w:val="top"/>
          </w:tcPr>
          <w:p w14:paraId="25850419">
            <w:pPr>
              <w:pStyle w:val="6"/>
              <w:spacing w:before="100" w:line="195" w:lineRule="auto"/>
              <w:ind w:left="441"/>
              <w:rPr>
                <w:sz w:val="20"/>
                <w:szCs w:val="20"/>
              </w:rPr>
            </w:pPr>
            <w:r>
              <w:rPr>
                <w:spacing w:val="3"/>
                <w:sz w:val="20"/>
                <w:szCs w:val="20"/>
              </w:rPr>
              <w:t>49</w:t>
            </w:r>
          </w:p>
        </w:tc>
        <w:tc>
          <w:tcPr>
            <w:tcW w:w="942" w:type="dxa"/>
            <w:vMerge w:val="continue"/>
            <w:tcBorders>
              <w:top w:val="nil"/>
              <w:bottom w:val="nil"/>
            </w:tcBorders>
            <w:vAlign w:val="top"/>
          </w:tcPr>
          <w:p w14:paraId="4B8DBD30">
            <w:pPr>
              <w:rPr>
                <w:rFonts w:ascii="Arial"/>
                <w:sz w:val="21"/>
              </w:rPr>
            </w:pPr>
          </w:p>
        </w:tc>
        <w:tc>
          <w:tcPr>
            <w:tcW w:w="910" w:type="dxa"/>
            <w:vMerge w:val="continue"/>
            <w:tcBorders>
              <w:top w:val="nil"/>
              <w:bottom w:val="nil"/>
            </w:tcBorders>
            <w:vAlign w:val="top"/>
          </w:tcPr>
          <w:p w14:paraId="06D49009">
            <w:pPr>
              <w:rPr>
                <w:rFonts w:ascii="Arial"/>
                <w:sz w:val="21"/>
              </w:rPr>
            </w:pPr>
          </w:p>
        </w:tc>
        <w:tc>
          <w:tcPr>
            <w:tcW w:w="849" w:type="dxa"/>
            <w:vMerge w:val="continue"/>
            <w:tcBorders>
              <w:top w:val="nil"/>
              <w:bottom w:val="nil"/>
              <w:right w:val="nil"/>
            </w:tcBorders>
            <w:vAlign w:val="top"/>
          </w:tcPr>
          <w:p w14:paraId="441F746F">
            <w:pPr>
              <w:rPr>
                <w:rFonts w:ascii="Arial"/>
                <w:sz w:val="21"/>
              </w:rPr>
            </w:pPr>
          </w:p>
        </w:tc>
      </w:tr>
      <w:tr w14:paraId="10E20A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3480" w:type="dxa"/>
            <w:tcBorders>
              <w:left w:val="nil"/>
            </w:tcBorders>
            <w:vAlign w:val="top"/>
          </w:tcPr>
          <w:p w14:paraId="328441B3">
            <w:pPr>
              <w:pStyle w:val="6"/>
              <w:spacing w:before="66" w:line="220" w:lineRule="auto"/>
              <w:ind w:left="166"/>
              <w:rPr>
                <w:rFonts w:ascii="仿宋" w:hAnsi="仿宋" w:eastAsia="仿宋" w:cs="仿宋"/>
                <w:sz w:val="20"/>
                <w:szCs w:val="20"/>
              </w:rPr>
            </w:pPr>
            <w:r>
              <w:rPr>
                <w:rFonts w:ascii="仿宋" w:hAnsi="仿宋" w:eastAsia="仿宋" w:cs="仿宋"/>
                <w:spacing w:val="4"/>
                <w:sz w:val="20"/>
                <w:szCs w:val="20"/>
              </w:rPr>
              <w:t>沿黄公路断面</w:t>
            </w:r>
            <w:r>
              <w:rPr>
                <w:spacing w:val="4"/>
                <w:sz w:val="20"/>
                <w:szCs w:val="20"/>
              </w:rPr>
              <w:t>(</w:t>
            </w:r>
            <w:r>
              <w:rPr>
                <w:rFonts w:ascii="仿宋" w:hAnsi="仿宋" w:eastAsia="仿宋" w:cs="仿宋"/>
                <w:spacing w:val="4"/>
                <w:sz w:val="20"/>
                <w:szCs w:val="20"/>
              </w:rPr>
              <w:t>中心线外</w:t>
            </w:r>
            <w:r>
              <w:rPr>
                <w:rFonts w:ascii="仿宋" w:hAnsi="仿宋" w:eastAsia="仿宋" w:cs="仿宋"/>
                <w:spacing w:val="-10"/>
                <w:sz w:val="20"/>
                <w:szCs w:val="20"/>
              </w:rPr>
              <w:t xml:space="preserve"> </w:t>
            </w:r>
            <w:r>
              <w:rPr>
                <w:spacing w:val="4"/>
                <w:sz w:val="20"/>
                <w:szCs w:val="20"/>
              </w:rPr>
              <w:t>120m</w:t>
            </w:r>
            <w:r>
              <w:rPr>
                <w:spacing w:val="16"/>
                <w:w w:val="101"/>
                <w:sz w:val="20"/>
                <w:szCs w:val="20"/>
              </w:rPr>
              <w:t xml:space="preserve"> </w:t>
            </w:r>
            <w:r>
              <w:rPr>
                <w:rFonts w:ascii="仿宋" w:hAnsi="仿宋" w:eastAsia="仿宋" w:cs="仿宋"/>
                <w:spacing w:val="4"/>
                <w:sz w:val="20"/>
                <w:szCs w:val="20"/>
              </w:rPr>
              <w:t>处）</w:t>
            </w:r>
          </w:p>
        </w:tc>
        <w:tc>
          <w:tcPr>
            <w:tcW w:w="1243" w:type="dxa"/>
            <w:vMerge w:val="continue"/>
            <w:tcBorders>
              <w:top w:val="nil"/>
            </w:tcBorders>
            <w:vAlign w:val="top"/>
          </w:tcPr>
          <w:p w14:paraId="69462290">
            <w:pPr>
              <w:rPr>
                <w:rFonts w:ascii="Arial"/>
                <w:sz w:val="21"/>
              </w:rPr>
            </w:pPr>
          </w:p>
        </w:tc>
        <w:tc>
          <w:tcPr>
            <w:tcW w:w="1094" w:type="dxa"/>
            <w:vAlign w:val="top"/>
          </w:tcPr>
          <w:p w14:paraId="62699359">
            <w:pPr>
              <w:pStyle w:val="6"/>
              <w:spacing w:before="102" w:line="195" w:lineRule="auto"/>
              <w:ind w:left="441"/>
              <w:rPr>
                <w:sz w:val="20"/>
                <w:szCs w:val="20"/>
              </w:rPr>
            </w:pPr>
            <w:r>
              <w:rPr>
                <w:spacing w:val="3"/>
                <w:sz w:val="20"/>
                <w:szCs w:val="20"/>
              </w:rPr>
              <w:t>46</w:t>
            </w:r>
          </w:p>
        </w:tc>
        <w:tc>
          <w:tcPr>
            <w:tcW w:w="942" w:type="dxa"/>
            <w:vMerge w:val="continue"/>
            <w:tcBorders>
              <w:top w:val="nil"/>
            </w:tcBorders>
            <w:vAlign w:val="top"/>
          </w:tcPr>
          <w:p w14:paraId="29EBFA9C">
            <w:pPr>
              <w:rPr>
                <w:rFonts w:ascii="Arial"/>
                <w:sz w:val="21"/>
              </w:rPr>
            </w:pPr>
          </w:p>
        </w:tc>
        <w:tc>
          <w:tcPr>
            <w:tcW w:w="910" w:type="dxa"/>
            <w:vMerge w:val="continue"/>
            <w:tcBorders>
              <w:top w:val="nil"/>
            </w:tcBorders>
            <w:vAlign w:val="top"/>
          </w:tcPr>
          <w:p w14:paraId="53657B0F">
            <w:pPr>
              <w:rPr>
                <w:rFonts w:ascii="Arial"/>
                <w:sz w:val="21"/>
              </w:rPr>
            </w:pPr>
          </w:p>
        </w:tc>
        <w:tc>
          <w:tcPr>
            <w:tcW w:w="849" w:type="dxa"/>
            <w:vMerge w:val="continue"/>
            <w:tcBorders>
              <w:top w:val="nil"/>
              <w:right w:val="nil"/>
            </w:tcBorders>
            <w:vAlign w:val="top"/>
          </w:tcPr>
          <w:p w14:paraId="0E4FF00C">
            <w:pPr>
              <w:rPr>
                <w:rFonts w:ascii="Arial"/>
                <w:sz w:val="21"/>
              </w:rPr>
            </w:pPr>
          </w:p>
        </w:tc>
      </w:tr>
      <w:tr w14:paraId="2AE169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3480" w:type="dxa"/>
            <w:vMerge w:val="restart"/>
            <w:tcBorders>
              <w:left w:val="nil"/>
              <w:bottom w:val="nil"/>
            </w:tcBorders>
            <w:vAlign w:val="top"/>
          </w:tcPr>
          <w:p w14:paraId="1F7011F5">
            <w:pPr>
              <w:spacing w:before="228" w:line="229" w:lineRule="auto"/>
              <w:ind w:left="1334"/>
              <w:rPr>
                <w:rFonts w:ascii="仿宋" w:hAnsi="仿宋" w:eastAsia="仿宋" w:cs="仿宋"/>
                <w:sz w:val="20"/>
                <w:szCs w:val="20"/>
              </w:rPr>
            </w:pPr>
            <w:r>
              <w:rPr>
                <w:rFonts w:ascii="仿宋" w:hAnsi="仿宋" w:eastAsia="仿宋" w:cs="仿宋"/>
                <w:spacing w:val="5"/>
                <w:sz w:val="20"/>
                <w:szCs w:val="20"/>
              </w:rPr>
              <w:t>检测位置</w:t>
            </w:r>
          </w:p>
        </w:tc>
        <w:tc>
          <w:tcPr>
            <w:tcW w:w="2337" w:type="dxa"/>
            <w:gridSpan w:val="2"/>
            <w:vAlign w:val="top"/>
          </w:tcPr>
          <w:p w14:paraId="11946EF0">
            <w:pPr>
              <w:pStyle w:val="6"/>
              <w:spacing w:before="67" w:line="219" w:lineRule="auto"/>
              <w:ind w:left="444"/>
              <w:rPr>
                <w:sz w:val="20"/>
                <w:szCs w:val="20"/>
              </w:rPr>
            </w:pPr>
            <w:r>
              <w:rPr>
                <w:rFonts w:ascii="仿宋" w:hAnsi="仿宋" w:eastAsia="仿宋" w:cs="仿宋"/>
                <w:spacing w:val="4"/>
                <w:sz w:val="20"/>
                <w:szCs w:val="20"/>
              </w:rPr>
              <w:t>夜间：</w:t>
            </w:r>
            <w:r>
              <w:rPr>
                <w:spacing w:val="4"/>
                <w:sz w:val="20"/>
                <w:szCs w:val="20"/>
              </w:rPr>
              <w:t>2026.6.13</w:t>
            </w:r>
          </w:p>
        </w:tc>
        <w:tc>
          <w:tcPr>
            <w:tcW w:w="2701" w:type="dxa"/>
            <w:gridSpan w:val="3"/>
            <w:tcBorders>
              <w:right w:val="nil"/>
            </w:tcBorders>
            <w:vAlign w:val="top"/>
          </w:tcPr>
          <w:p w14:paraId="3C47408C">
            <w:pPr>
              <w:spacing w:before="67" w:line="219" w:lineRule="auto"/>
              <w:ind w:left="841"/>
              <w:rPr>
                <w:rFonts w:ascii="仿宋" w:hAnsi="仿宋" w:eastAsia="仿宋" w:cs="仿宋"/>
                <w:sz w:val="20"/>
                <w:szCs w:val="20"/>
              </w:rPr>
            </w:pPr>
            <w:r>
              <w:rPr>
                <w:rFonts w:ascii="仿宋" w:hAnsi="仿宋" w:eastAsia="仿宋" w:cs="仿宋"/>
                <w:spacing w:val="6"/>
                <w:sz w:val="20"/>
                <w:szCs w:val="20"/>
              </w:rPr>
              <w:t>车流量统计</w:t>
            </w:r>
          </w:p>
        </w:tc>
      </w:tr>
      <w:tr w14:paraId="0465F0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3480" w:type="dxa"/>
            <w:vMerge w:val="continue"/>
            <w:tcBorders>
              <w:top w:val="nil"/>
              <w:left w:val="nil"/>
            </w:tcBorders>
            <w:vAlign w:val="top"/>
          </w:tcPr>
          <w:p w14:paraId="28A4C98E">
            <w:pPr>
              <w:rPr>
                <w:rFonts w:ascii="Arial"/>
                <w:sz w:val="21"/>
              </w:rPr>
            </w:pPr>
          </w:p>
        </w:tc>
        <w:tc>
          <w:tcPr>
            <w:tcW w:w="1243" w:type="dxa"/>
            <w:vAlign w:val="top"/>
          </w:tcPr>
          <w:p w14:paraId="17DAB547">
            <w:pPr>
              <w:spacing w:before="69" w:line="217" w:lineRule="auto"/>
              <w:ind w:left="213"/>
              <w:rPr>
                <w:rFonts w:ascii="仿宋" w:hAnsi="仿宋" w:eastAsia="仿宋" w:cs="仿宋"/>
                <w:sz w:val="20"/>
                <w:szCs w:val="20"/>
              </w:rPr>
            </w:pPr>
            <w:r>
              <w:rPr>
                <w:rFonts w:ascii="仿宋" w:hAnsi="仿宋" w:eastAsia="仿宋" w:cs="仿宋"/>
                <w:spacing w:val="5"/>
                <w:sz w:val="20"/>
                <w:szCs w:val="20"/>
              </w:rPr>
              <w:t>检测时间</w:t>
            </w:r>
          </w:p>
        </w:tc>
        <w:tc>
          <w:tcPr>
            <w:tcW w:w="1094" w:type="dxa"/>
            <w:vAlign w:val="top"/>
          </w:tcPr>
          <w:p w14:paraId="58C8B101">
            <w:pPr>
              <w:spacing w:before="69" w:line="217" w:lineRule="auto"/>
              <w:ind w:left="137"/>
              <w:rPr>
                <w:rFonts w:ascii="仿宋" w:hAnsi="仿宋" w:eastAsia="仿宋" w:cs="仿宋"/>
                <w:sz w:val="20"/>
                <w:szCs w:val="20"/>
              </w:rPr>
            </w:pPr>
            <w:r>
              <w:rPr>
                <w:rFonts w:ascii="仿宋" w:hAnsi="仿宋" w:eastAsia="仿宋" w:cs="仿宋"/>
                <w:spacing w:val="5"/>
                <w:sz w:val="20"/>
                <w:szCs w:val="20"/>
              </w:rPr>
              <w:t>测定结果</w:t>
            </w:r>
          </w:p>
        </w:tc>
        <w:tc>
          <w:tcPr>
            <w:tcW w:w="942" w:type="dxa"/>
            <w:vAlign w:val="top"/>
          </w:tcPr>
          <w:p w14:paraId="6184B6E5">
            <w:pPr>
              <w:spacing w:before="69" w:line="217" w:lineRule="auto"/>
              <w:ind w:left="169"/>
              <w:rPr>
                <w:rFonts w:ascii="仿宋" w:hAnsi="仿宋" w:eastAsia="仿宋" w:cs="仿宋"/>
                <w:sz w:val="20"/>
                <w:szCs w:val="20"/>
              </w:rPr>
            </w:pPr>
            <w:r>
              <w:rPr>
                <w:rFonts w:ascii="仿宋" w:hAnsi="仿宋" w:eastAsia="仿宋" w:cs="仿宋"/>
                <w:spacing w:val="4"/>
                <w:sz w:val="20"/>
                <w:szCs w:val="20"/>
              </w:rPr>
              <w:t>大型车</w:t>
            </w:r>
          </w:p>
        </w:tc>
        <w:tc>
          <w:tcPr>
            <w:tcW w:w="910" w:type="dxa"/>
            <w:vAlign w:val="top"/>
          </w:tcPr>
          <w:p w14:paraId="41C90153">
            <w:pPr>
              <w:spacing w:before="69" w:line="217" w:lineRule="auto"/>
              <w:ind w:left="178"/>
              <w:rPr>
                <w:rFonts w:ascii="仿宋" w:hAnsi="仿宋" w:eastAsia="仿宋" w:cs="仿宋"/>
                <w:sz w:val="20"/>
                <w:szCs w:val="20"/>
              </w:rPr>
            </w:pPr>
            <w:r>
              <w:rPr>
                <w:rFonts w:ascii="仿宋" w:hAnsi="仿宋" w:eastAsia="仿宋" w:cs="仿宋"/>
                <w:spacing w:val="-4"/>
                <w:sz w:val="20"/>
                <w:szCs w:val="20"/>
              </w:rPr>
              <w:t>中型车</w:t>
            </w:r>
          </w:p>
        </w:tc>
        <w:tc>
          <w:tcPr>
            <w:tcW w:w="849" w:type="dxa"/>
            <w:tcBorders>
              <w:right w:val="nil"/>
            </w:tcBorders>
            <w:vAlign w:val="top"/>
          </w:tcPr>
          <w:p w14:paraId="17E2F6C2">
            <w:pPr>
              <w:spacing w:before="69" w:line="217" w:lineRule="auto"/>
              <w:ind w:left="122"/>
              <w:rPr>
                <w:rFonts w:ascii="仿宋" w:hAnsi="仿宋" w:eastAsia="仿宋" w:cs="仿宋"/>
                <w:sz w:val="20"/>
                <w:szCs w:val="20"/>
              </w:rPr>
            </w:pPr>
            <w:r>
              <w:rPr>
                <w:rFonts w:ascii="仿宋" w:hAnsi="仿宋" w:eastAsia="仿宋" w:cs="仿宋"/>
                <w:spacing w:val="5"/>
                <w:sz w:val="20"/>
                <w:szCs w:val="20"/>
              </w:rPr>
              <w:t>小型车</w:t>
            </w:r>
          </w:p>
        </w:tc>
      </w:tr>
      <w:tr w14:paraId="074649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3480" w:type="dxa"/>
            <w:tcBorders>
              <w:left w:val="nil"/>
            </w:tcBorders>
            <w:vAlign w:val="top"/>
          </w:tcPr>
          <w:p w14:paraId="0DF932E5">
            <w:pPr>
              <w:pStyle w:val="6"/>
              <w:spacing w:before="73" w:line="214" w:lineRule="auto"/>
              <w:ind w:left="219"/>
              <w:rPr>
                <w:rFonts w:ascii="仿宋" w:hAnsi="仿宋" w:eastAsia="仿宋" w:cs="仿宋"/>
                <w:sz w:val="20"/>
                <w:szCs w:val="20"/>
              </w:rPr>
            </w:pPr>
            <w:r>
              <w:rPr>
                <w:rFonts w:ascii="仿宋" w:hAnsi="仿宋" w:eastAsia="仿宋" w:cs="仿宋"/>
                <w:spacing w:val="5"/>
                <w:sz w:val="20"/>
                <w:szCs w:val="20"/>
              </w:rPr>
              <w:t>沿黄公路断面</w:t>
            </w:r>
            <w:r>
              <w:rPr>
                <w:spacing w:val="5"/>
                <w:sz w:val="20"/>
                <w:szCs w:val="20"/>
              </w:rPr>
              <w:t>(</w:t>
            </w:r>
            <w:r>
              <w:rPr>
                <w:rFonts w:ascii="仿宋" w:hAnsi="仿宋" w:eastAsia="仿宋" w:cs="仿宋"/>
                <w:spacing w:val="5"/>
                <w:sz w:val="20"/>
                <w:szCs w:val="20"/>
              </w:rPr>
              <w:t>中心线外</w:t>
            </w:r>
            <w:r>
              <w:rPr>
                <w:rFonts w:ascii="仿宋" w:hAnsi="仿宋" w:eastAsia="仿宋" w:cs="仿宋"/>
                <w:spacing w:val="-27"/>
                <w:sz w:val="20"/>
                <w:szCs w:val="20"/>
              </w:rPr>
              <w:t xml:space="preserve"> </w:t>
            </w:r>
            <w:r>
              <w:rPr>
                <w:spacing w:val="5"/>
                <w:sz w:val="20"/>
                <w:szCs w:val="20"/>
              </w:rPr>
              <w:t>20m</w:t>
            </w:r>
            <w:r>
              <w:rPr>
                <w:spacing w:val="18"/>
                <w:w w:val="101"/>
                <w:sz w:val="20"/>
                <w:szCs w:val="20"/>
              </w:rPr>
              <w:t xml:space="preserve"> </w:t>
            </w:r>
            <w:r>
              <w:rPr>
                <w:rFonts w:ascii="仿宋" w:hAnsi="仿宋" w:eastAsia="仿宋" w:cs="仿宋"/>
                <w:spacing w:val="5"/>
                <w:sz w:val="20"/>
                <w:szCs w:val="20"/>
              </w:rPr>
              <w:t>处）</w:t>
            </w:r>
          </w:p>
        </w:tc>
        <w:tc>
          <w:tcPr>
            <w:tcW w:w="1243" w:type="dxa"/>
            <w:vMerge w:val="restart"/>
            <w:tcBorders>
              <w:bottom w:val="nil"/>
            </w:tcBorders>
            <w:vAlign w:val="top"/>
          </w:tcPr>
          <w:p w14:paraId="1FB8DDB2">
            <w:pPr>
              <w:pStyle w:val="6"/>
              <w:spacing w:before="270" w:line="195" w:lineRule="auto"/>
              <w:ind w:left="112"/>
              <w:rPr>
                <w:sz w:val="20"/>
                <w:szCs w:val="20"/>
              </w:rPr>
            </w:pPr>
            <w:r>
              <w:rPr>
                <w:spacing w:val="3"/>
                <w:sz w:val="20"/>
                <w:szCs w:val="20"/>
              </w:rPr>
              <w:t>05:34-05:54</w:t>
            </w:r>
          </w:p>
        </w:tc>
        <w:tc>
          <w:tcPr>
            <w:tcW w:w="1094" w:type="dxa"/>
            <w:vAlign w:val="top"/>
          </w:tcPr>
          <w:p w14:paraId="6AFDA657">
            <w:pPr>
              <w:pStyle w:val="6"/>
              <w:spacing w:before="109" w:line="195" w:lineRule="auto"/>
              <w:ind w:left="441"/>
              <w:rPr>
                <w:sz w:val="20"/>
                <w:szCs w:val="20"/>
              </w:rPr>
            </w:pPr>
            <w:r>
              <w:rPr>
                <w:spacing w:val="3"/>
                <w:sz w:val="20"/>
                <w:szCs w:val="20"/>
              </w:rPr>
              <w:t>44</w:t>
            </w:r>
          </w:p>
        </w:tc>
        <w:tc>
          <w:tcPr>
            <w:tcW w:w="942" w:type="dxa"/>
            <w:vMerge w:val="restart"/>
            <w:tcBorders>
              <w:bottom w:val="nil"/>
            </w:tcBorders>
            <w:vAlign w:val="top"/>
          </w:tcPr>
          <w:p w14:paraId="74496199">
            <w:pPr>
              <w:pStyle w:val="6"/>
              <w:spacing w:before="270" w:line="195" w:lineRule="auto"/>
              <w:ind w:left="422"/>
              <w:rPr>
                <w:sz w:val="20"/>
                <w:szCs w:val="20"/>
              </w:rPr>
            </w:pPr>
            <w:r>
              <w:rPr>
                <w:sz w:val="20"/>
                <w:szCs w:val="20"/>
              </w:rPr>
              <w:t>0</w:t>
            </w:r>
          </w:p>
        </w:tc>
        <w:tc>
          <w:tcPr>
            <w:tcW w:w="910" w:type="dxa"/>
            <w:vMerge w:val="restart"/>
            <w:tcBorders>
              <w:bottom w:val="nil"/>
            </w:tcBorders>
            <w:vAlign w:val="top"/>
          </w:tcPr>
          <w:p w14:paraId="200B6150">
            <w:pPr>
              <w:pStyle w:val="6"/>
              <w:spacing w:before="270" w:line="195" w:lineRule="auto"/>
              <w:ind w:left="409"/>
              <w:rPr>
                <w:sz w:val="20"/>
                <w:szCs w:val="20"/>
              </w:rPr>
            </w:pPr>
            <w:r>
              <w:rPr>
                <w:sz w:val="20"/>
                <w:szCs w:val="20"/>
              </w:rPr>
              <w:t>0</w:t>
            </w:r>
          </w:p>
        </w:tc>
        <w:tc>
          <w:tcPr>
            <w:tcW w:w="849" w:type="dxa"/>
            <w:vMerge w:val="restart"/>
            <w:tcBorders>
              <w:bottom w:val="nil"/>
              <w:right w:val="nil"/>
            </w:tcBorders>
            <w:vAlign w:val="top"/>
          </w:tcPr>
          <w:p w14:paraId="101BA8F8">
            <w:pPr>
              <w:pStyle w:val="6"/>
              <w:spacing w:before="270" w:line="195" w:lineRule="auto"/>
              <w:ind w:left="394"/>
              <w:rPr>
                <w:sz w:val="20"/>
                <w:szCs w:val="20"/>
              </w:rPr>
            </w:pPr>
            <w:r>
              <w:rPr>
                <w:sz w:val="20"/>
                <w:szCs w:val="20"/>
              </w:rPr>
              <w:t>1</w:t>
            </w:r>
          </w:p>
        </w:tc>
      </w:tr>
      <w:tr w14:paraId="424A7B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3480" w:type="dxa"/>
            <w:tcBorders>
              <w:left w:val="nil"/>
              <w:bottom w:val="single" w:color="000000" w:sz="10" w:space="0"/>
            </w:tcBorders>
            <w:vAlign w:val="top"/>
          </w:tcPr>
          <w:p w14:paraId="02256C1D">
            <w:pPr>
              <w:pStyle w:val="6"/>
              <w:spacing w:before="75" w:line="221" w:lineRule="auto"/>
              <w:ind w:left="219"/>
              <w:rPr>
                <w:rFonts w:ascii="仿宋" w:hAnsi="仿宋" w:eastAsia="仿宋" w:cs="仿宋"/>
                <w:sz w:val="20"/>
                <w:szCs w:val="20"/>
              </w:rPr>
            </w:pPr>
            <w:r>
              <w:rPr>
                <w:rFonts w:ascii="仿宋" w:hAnsi="仿宋" w:eastAsia="仿宋" w:cs="仿宋"/>
                <w:spacing w:val="6"/>
                <w:sz w:val="20"/>
                <w:szCs w:val="20"/>
              </w:rPr>
              <w:t>沿黄公路断面</w:t>
            </w:r>
            <w:r>
              <w:rPr>
                <w:spacing w:val="6"/>
                <w:sz w:val="20"/>
                <w:szCs w:val="20"/>
              </w:rPr>
              <w:t>(</w:t>
            </w:r>
            <w:r>
              <w:rPr>
                <w:rFonts w:ascii="仿宋" w:hAnsi="仿宋" w:eastAsia="仿宋" w:cs="仿宋"/>
                <w:spacing w:val="6"/>
                <w:sz w:val="20"/>
                <w:szCs w:val="20"/>
              </w:rPr>
              <w:t>中心线外</w:t>
            </w:r>
            <w:r>
              <w:rPr>
                <w:rFonts w:ascii="仿宋" w:hAnsi="仿宋" w:eastAsia="仿宋" w:cs="仿宋"/>
                <w:spacing w:val="-42"/>
                <w:sz w:val="20"/>
                <w:szCs w:val="20"/>
              </w:rPr>
              <w:t xml:space="preserve"> </w:t>
            </w:r>
            <w:r>
              <w:rPr>
                <w:spacing w:val="6"/>
                <w:sz w:val="20"/>
                <w:szCs w:val="20"/>
              </w:rPr>
              <w:t>40m</w:t>
            </w:r>
            <w:r>
              <w:rPr>
                <w:spacing w:val="18"/>
                <w:sz w:val="20"/>
                <w:szCs w:val="20"/>
              </w:rPr>
              <w:t xml:space="preserve"> </w:t>
            </w:r>
            <w:r>
              <w:rPr>
                <w:rFonts w:ascii="仿宋" w:hAnsi="仿宋" w:eastAsia="仿宋" w:cs="仿宋"/>
                <w:spacing w:val="6"/>
                <w:sz w:val="20"/>
                <w:szCs w:val="20"/>
              </w:rPr>
              <w:t>处）</w:t>
            </w:r>
          </w:p>
        </w:tc>
        <w:tc>
          <w:tcPr>
            <w:tcW w:w="1243" w:type="dxa"/>
            <w:vMerge w:val="continue"/>
            <w:tcBorders>
              <w:top w:val="nil"/>
              <w:bottom w:val="single" w:color="000000" w:sz="10" w:space="0"/>
            </w:tcBorders>
            <w:vAlign w:val="top"/>
          </w:tcPr>
          <w:p w14:paraId="0F01379E">
            <w:pPr>
              <w:rPr>
                <w:rFonts w:ascii="Arial"/>
                <w:sz w:val="21"/>
              </w:rPr>
            </w:pPr>
          </w:p>
        </w:tc>
        <w:tc>
          <w:tcPr>
            <w:tcW w:w="1094" w:type="dxa"/>
            <w:tcBorders>
              <w:bottom w:val="single" w:color="000000" w:sz="10" w:space="0"/>
            </w:tcBorders>
            <w:vAlign w:val="top"/>
          </w:tcPr>
          <w:p w14:paraId="1828970E">
            <w:pPr>
              <w:pStyle w:val="6"/>
              <w:spacing w:before="111" w:line="195" w:lineRule="auto"/>
              <w:ind w:left="441"/>
              <w:rPr>
                <w:sz w:val="20"/>
                <w:szCs w:val="20"/>
              </w:rPr>
            </w:pPr>
            <w:r>
              <w:rPr>
                <w:spacing w:val="3"/>
                <w:sz w:val="20"/>
                <w:szCs w:val="20"/>
              </w:rPr>
              <w:t>42</w:t>
            </w:r>
          </w:p>
        </w:tc>
        <w:tc>
          <w:tcPr>
            <w:tcW w:w="942" w:type="dxa"/>
            <w:vMerge w:val="continue"/>
            <w:tcBorders>
              <w:top w:val="nil"/>
              <w:bottom w:val="single" w:color="000000" w:sz="10" w:space="0"/>
            </w:tcBorders>
            <w:vAlign w:val="top"/>
          </w:tcPr>
          <w:p w14:paraId="60E55C35">
            <w:pPr>
              <w:rPr>
                <w:rFonts w:ascii="Arial"/>
                <w:sz w:val="21"/>
              </w:rPr>
            </w:pPr>
          </w:p>
        </w:tc>
        <w:tc>
          <w:tcPr>
            <w:tcW w:w="910" w:type="dxa"/>
            <w:vMerge w:val="continue"/>
            <w:tcBorders>
              <w:top w:val="nil"/>
              <w:bottom w:val="single" w:color="000000" w:sz="10" w:space="0"/>
            </w:tcBorders>
            <w:vAlign w:val="top"/>
          </w:tcPr>
          <w:p w14:paraId="7B015C4C">
            <w:pPr>
              <w:rPr>
                <w:rFonts w:ascii="Arial"/>
                <w:sz w:val="21"/>
              </w:rPr>
            </w:pPr>
          </w:p>
        </w:tc>
        <w:tc>
          <w:tcPr>
            <w:tcW w:w="849" w:type="dxa"/>
            <w:vMerge w:val="continue"/>
            <w:tcBorders>
              <w:top w:val="nil"/>
              <w:bottom w:val="single" w:color="000000" w:sz="10" w:space="0"/>
              <w:right w:val="nil"/>
            </w:tcBorders>
            <w:vAlign w:val="top"/>
          </w:tcPr>
          <w:p w14:paraId="368747C1">
            <w:pPr>
              <w:rPr>
                <w:rFonts w:ascii="Arial"/>
                <w:sz w:val="21"/>
              </w:rPr>
            </w:pPr>
          </w:p>
        </w:tc>
      </w:tr>
    </w:tbl>
    <w:p w14:paraId="47EBE221">
      <w:pPr>
        <w:pStyle w:val="2"/>
        <w:rPr>
          <w:sz w:val="21"/>
        </w:rPr>
      </w:pPr>
    </w:p>
    <w:p w14:paraId="0846BA74">
      <w:pPr>
        <w:rPr>
          <w:sz w:val="21"/>
          <w:szCs w:val="21"/>
        </w:rPr>
        <w:sectPr>
          <w:footerReference r:id="rId166" w:type="default"/>
          <w:pgSz w:w="11906" w:h="16839"/>
          <w:pgMar w:top="400" w:right="1693" w:bottom="1370" w:left="1693" w:header="0" w:footer="1207" w:gutter="0"/>
          <w:cols w:space="720" w:num="1"/>
        </w:sectPr>
      </w:pPr>
    </w:p>
    <w:p w14:paraId="4A0221A4">
      <w:pPr>
        <w:spacing w:before="19"/>
      </w:pPr>
    </w:p>
    <w:p w14:paraId="202D3C71">
      <w:pPr>
        <w:spacing w:before="19"/>
      </w:pPr>
    </w:p>
    <w:p w14:paraId="1C77AD07">
      <w:pPr>
        <w:spacing w:before="18"/>
      </w:pPr>
    </w:p>
    <w:p w14:paraId="31B914FB">
      <w:pPr>
        <w:spacing w:before="18"/>
      </w:pPr>
    </w:p>
    <w:tbl>
      <w:tblPr>
        <w:tblStyle w:val="5"/>
        <w:tblW w:w="851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480"/>
        <w:gridCol w:w="1243"/>
        <w:gridCol w:w="1094"/>
        <w:gridCol w:w="942"/>
        <w:gridCol w:w="910"/>
        <w:gridCol w:w="849"/>
      </w:tblGrid>
      <w:tr w14:paraId="322160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3480" w:type="dxa"/>
            <w:tcBorders>
              <w:top w:val="single" w:color="000000" w:sz="10" w:space="0"/>
              <w:left w:val="nil"/>
            </w:tcBorders>
            <w:vAlign w:val="top"/>
          </w:tcPr>
          <w:p w14:paraId="69381849">
            <w:pPr>
              <w:pStyle w:val="6"/>
              <w:spacing w:before="55" w:line="221" w:lineRule="auto"/>
              <w:ind w:left="219"/>
              <w:rPr>
                <w:rFonts w:ascii="仿宋" w:hAnsi="仿宋" w:eastAsia="仿宋" w:cs="仿宋"/>
                <w:sz w:val="20"/>
                <w:szCs w:val="20"/>
              </w:rPr>
            </w:pPr>
            <w:r>
              <w:rPr>
                <w:rFonts w:ascii="仿宋" w:hAnsi="仿宋" w:eastAsia="仿宋" w:cs="仿宋"/>
                <w:spacing w:val="5"/>
                <w:sz w:val="20"/>
                <w:szCs w:val="20"/>
              </w:rPr>
              <w:t>沿黄公路断面</w:t>
            </w:r>
            <w:r>
              <w:rPr>
                <w:spacing w:val="5"/>
                <w:sz w:val="20"/>
                <w:szCs w:val="20"/>
              </w:rPr>
              <w:t>(</w:t>
            </w:r>
            <w:r>
              <w:rPr>
                <w:rFonts w:ascii="仿宋" w:hAnsi="仿宋" w:eastAsia="仿宋" w:cs="仿宋"/>
                <w:spacing w:val="5"/>
                <w:sz w:val="20"/>
                <w:szCs w:val="20"/>
              </w:rPr>
              <w:t>中心线外</w:t>
            </w:r>
            <w:r>
              <w:rPr>
                <w:rFonts w:ascii="仿宋" w:hAnsi="仿宋" w:eastAsia="仿宋" w:cs="仿宋"/>
                <w:spacing w:val="-27"/>
                <w:sz w:val="20"/>
                <w:szCs w:val="20"/>
              </w:rPr>
              <w:t xml:space="preserve"> </w:t>
            </w:r>
            <w:r>
              <w:rPr>
                <w:spacing w:val="5"/>
                <w:sz w:val="20"/>
                <w:szCs w:val="20"/>
              </w:rPr>
              <w:t>60m</w:t>
            </w:r>
            <w:r>
              <w:rPr>
                <w:spacing w:val="18"/>
                <w:w w:val="101"/>
                <w:sz w:val="20"/>
                <w:szCs w:val="20"/>
              </w:rPr>
              <w:t xml:space="preserve"> </w:t>
            </w:r>
            <w:r>
              <w:rPr>
                <w:rFonts w:ascii="仿宋" w:hAnsi="仿宋" w:eastAsia="仿宋" w:cs="仿宋"/>
                <w:spacing w:val="5"/>
                <w:sz w:val="20"/>
                <w:szCs w:val="20"/>
              </w:rPr>
              <w:t>处）</w:t>
            </w:r>
          </w:p>
        </w:tc>
        <w:tc>
          <w:tcPr>
            <w:tcW w:w="1243" w:type="dxa"/>
            <w:vMerge w:val="restart"/>
            <w:tcBorders>
              <w:top w:val="single" w:color="000000" w:sz="10" w:space="0"/>
              <w:bottom w:val="nil"/>
            </w:tcBorders>
            <w:vAlign w:val="top"/>
          </w:tcPr>
          <w:p w14:paraId="5DD3010D">
            <w:pPr>
              <w:rPr>
                <w:rFonts w:ascii="Arial"/>
                <w:sz w:val="21"/>
              </w:rPr>
            </w:pPr>
          </w:p>
        </w:tc>
        <w:tc>
          <w:tcPr>
            <w:tcW w:w="1094" w:type="dxa"/>
            <w:tcBorders>
              <w:top w:val="single" w:color="000000" w:sz="10" w:space="0"/>
            </w:tcBorders>
            <w:vAlign w:val="top"/>
          </w:tcPr>
          <w:p w14:paraId="324BF64A">
            <w:pPr>
              <w:pStyle w:val="6"/>
              <w:spacing w:before="91" w:line="195" w:lineRule="auto"/>
              <w:ind w:left="446"/>
              <w:rPr>
                <w:sz w:val="20"/>
                <w:szCs w:val="20"/>
              </w:rPr>
            </w:pPr>
            <w:r>
              <w:rPr>
                <w:sz w:val="20"/>
                <w:szCs w:val="20"/>
              </w:rPr>
              <w:t>39</w:t>
            </w:r>
          </w:p>
        </w:tc>
        <w:tc>
          <w:tcPr>
            <w:tcW w:w="942" w:type="dxa"/>
            <w:vMerge w:val="restart"/>
            <w:tcBorders>
              <w:top w:val="single" w:color="000000" w:sz="10" w:space="0"/>
              <w:bottom w:val="nil"/>
            </w:tcBorders>
            <w:vAlign w:val="top"/>
          </w:tcPr>
          <w:p w14:paraId="1E858091">
            <w:pPr>
              <w:rPr>
                <w:rFonts w:ascii="Arial"/>
                <w:sz w:val="21"/>
              </w:rPr>
            </w:pPr>
          </w:p>
        </w:tc>
        <w:tc>
          <w:tcPr>
            <w:tcW w:w="910" w:type="dxa"/>
            <w:vMerge w:val="restart"/>
            <w:tcBorders>
              <w:top w:val="single" w:color="000000" w:sz="10" w:space="0"/>
              <w:bottom w:val="nil"/>
            </w:tcBorders>
            <w:vAlign w:val="top"/>
          </w:tcPr>
          <w:p w14:paraId="209A20F4">
            <w:pPr>
              <w:rPr>
                <w:rFonts w:ascii="Arial"/>
                <w:sz w:val="21"/>
              </w:rPr>
            </w:pPr>
          </w:p>
        </w:tc>
        <w:tc>
          <w:tcPr>
            <w:tcW w:w="849" w:type="dxa"/>
            <w:vMerge w:val="restart"/>
            <w:tcBorders>
              <w:top w:val="single" w:color="000000" w:sz="10" w:space="0"/>
              <w:bottom w:val="nil"/>
              <w:right w:val="nil"/>
            </w:tcBorders>
            <w:vAlign w:val="top"/>
          </w:tcPr>
          <w:p w14:paraId="0F28091D">
            <w:pPr>
              <w:rPr>
                <w:rFonts w:ascii="Arial"/>
                <w:sz w:val="21"/>
              </w:rPr>
            </w:pPr>
          </w:p>
        </w:tc>
      </w:tr>
      <w:tr w14:paraId="2E6A9E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480" w:type="dxa"/>
            <w:tcBorders>
              <w:left w:val="nil"/>
            </w:tcBorders>
            <w:vAlign w:val="top"/>
          </w:tcPr>
          <w:p w14:paraId="10F06ACB">
            <w:pPr>
              <w:pStyle w:val="6"/>
              <w:spacing w:before="52" w:line="221" w:lineRule="auto"/>
              <w:ind w:left="219"/>
              <w:rPr>
                <w:rFonts w:ascii="仿宋" w:hAnsi="仿宋" w:eastAsia="仿宋" w:cs="仿宋"/>
                <w:sz w:val="20"/>
                <w:szCs w:val="20"/>
              </w:rPr>
            </w:pPr>
            <w:r>
              <w:rPr>
                <w:rFonts w:ascii="仿宋" w:hAnsi="仿宋" w:eastAsia="仿宋" w:cs="仿宋"/>
                <w:spacing w:val="5"/>
                <w:sz w:val="20"/>
                <w:szCs w:val="20"/>
              </w:rPr>
              <w:t>沿黄公路断面</w:t>
            </w:r>
            <w:r>
              <w:rPr>
                <w:spacing w:val="5"/>
                <w:sz w:val="20"/>
                <w:szCs w:val="20"/>
              </w:rPr>
              <w:t>(</w:t>
            </w:r>
            <w:r>
              <w:rPr>
                <w:rFonts w:ascii="仿宋" w:hAnsi="仿宋" w:eastAsia="仿宋" w:cs="仿宋"/>
                <w:spacing w:val="5"/>
                <w:sz w:val="20"/>
                <w:szCs w:val="20"/>
              </w:rPr>
              <w:t>中心线外</w:t>
            </w:r>
            <w:r>
              <w:rPr>
                <w:rFonts w:ascii="仿宋" w:hAnsi="仿宋" w:eastAsia="仿宋" w:cs="仿宋"/>
                <w:spacing w:val="-27"/>
                <w:sz w:val="20"/>
                <w:szCs w:val="20"/>
              </w:rPr>
              <w:t xml:space="preserve"> </w:t>
            </w:r>
            <w:r>
              <w:rPr>
                <w:spacing w:val="5"/>
                <w:sz w:val="20"/>
                <w:szCs w:val="20"/>
              </w:rPr>
              <w:t>80m</w:t>
            </w:r>
            <w:r>
              <w:rPr>
                <w:spacing w:val="18"/>
                <w:w w:val="101"/>
                <w:sz w:val="20"/>
                <w:szCs w:val="20"/>
              </w:rPr>
              <w:t xml:space="preserve"> </w:t>
            </w:r>
            <w:r>
              <w:rPr>
                <w:rFonts w:ascii="仿宋" w:hAnsi="仿宋" w:eastAsia="仿宋" w:cs="仿宋"/>
                <w:spacing w:val="5"/>
                <w:sz w:val="20"/>
                <w:szCs w:val="20"/>
              </w:rPr>
              <w:t>处）</w:t>
            </w:r>
          </w:p>
        </w:tc>
        <w:tc>
          <w:tcPr>
            <w:tcW w:w="1243" w:type="dxa"/>
            <w:vMerge w:val="continue"/>
            <w:tcBorders>
              <w:top w:val="nil"/>
              <w:bottom w:val="nil"/>
            </w:tcBorders>
            <w:vAlign w:val="top"/>
          </w:tcPr>
          <w:p w14:paraId="229D768E">
            <w:pPr>
              <w:rPr>
                <w:rFonts w:ascii="Arial"/>
                <w:sz w:val="21"/>
              </w:rPr>
            </w:pPr>
          </w:p>
        </w:tc>
        <w:tc>
          <w:tcPr>
            <w:tcW w:w="1094" w:type="dxa"/>
            <w:vAlign w:val="top"/>
          </w:tcPr>
          <w:p w14:paraId="0D584727">
            <w:pPr>
              <w:pStyle w:val="6"/>
              <w:spacing w:before="88" w:line="195" w:lineRule="auto"/>
              <w:ind w:left="446"/>
              <w:rPr>
                <w:sz w:val="20"/>
                <w:szCs w:val="20"/>
              </w:rPr>
            </w:pPr>
            <w:r>
              <w:rPr>
                <w:sz w:val="20"/>
                <w:szCs w:val="20"/>
              </w:rPr>
              <w:t>38</w:t>
            </w:r>
          </w:p>
        </w:tc>
        <w:tc>
          <w:tcPr>
            <w:tcW w:w="942" w:type="dxa"/>
            <w:vMerge w:val="continue"/>
            <w:tcBorders>
              <w:top w:val="nil"/>
              <w:bottom w:val="nil"/>
            </w:tcBorders>
            <w:vAlign w:val="top"/>
          </w:tcPr>
          <w:p w14:paraId="123B6BF7">
            <w:pPr>
              <w:rPr>
                <w:rFonts w:ascii="Arial"/>
                <w:sz w:val="21"/>
              </w:rPr>
            </w:pPr>
          </w:p>
        </w:tc>
        <w:tc>
          <w:tcPr>
            <w:tcW w:w="910" w:type="dxa"/>
            <w:vMerge w:val="continue"/>
            <w:tcBorders>
              <w:top w:val="nil"/>
              <w:bottom w:val="nil"/>
            </w:tcBorders>
            <w:vAlign w:val="top"/>
          </w:tcPr>
          <w:p w14:paraId="600EB44D">
            <w:pPr>
              <w:rPr>
                <w:rFonts w:ascii="Arial"/>
                <w:sz w:val="21"/>
              </w:rPr>
            </w:pPr>
          </w:p>
        </w:tc>
        <w:tc>
          <w:tcPr>
            <w:tcW w:w="849" w:type="dxa"/>
            <w:vMerge w:val="continue"/>
            <w:tcBorders>
              <w:top w:val="nil"/>
              <w:bottom w:val="nil"/>
              <w:right w:val="nil"/>
            </w:tcBorders>
            <w:vAlign w:val="top"/>
          </w:tcPr>
          <w:p w14:paraId="0E7244BB">
            <w:pPr>
              <w:rPr>
                <w:rFonts w:ascii="Arial"/>
                <w:sz w:val="21"/>
              </w:rPr>
            </w:pPr>
          </w:p>
        </w:tc>
      </w:tr>
      <w:tr w14:paraId="3B06A4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480" w:type="dxa"/>
            <w:tcBorders>
              <w:left w:val="nil"/>
            </w:tcBorders>
            <w:vAlign w:val="top"/>
          </w:tcPr>
          <w:p w14:paraId="3F9E05EC">
            <w:pPr>
              <w:pStyle w:val="6"/>
              <w:spacing w:before="55" w:line="221" w:lineRule="auto"/>
              <w:ind w:left="166"/>
              <w:rPr>
                <w:rFonts w:ascii="仿宋" w:hAnsi="仿宋" w:eastAsia="仿宋" w:cs="仿宋"/>
                <w:sz w:val="20"/>
                <w:szCs w:val="20"/>
              </w:rPr>
            </w:pPr>
            <w:r>
              <w:rPr>
                <w:rFonts w:ascii="仿宋" w:hAnsi="仿宋" w:eastAsia="仿宋" w:cs="仿宋"/>
                <w:spacing w:val="4"/>
                <w:sz w:val="20"/>
                <w:szCs w:val="20"/>
              </w:rPr>
              <w:t>沿黄公路断面</w:t>
            </w:r>
            <w:r>
              <w:rPr>
                <w:spacing w:val="4"/>
                <w:sz w:val="20"/>
                <w:szCs w:val="20"/>
              </w:rPr>
              <w:t>(</w:t>
            </w:r>
            <w:r>
              <w:rPr>
                <w:rFonts w:ascii="仿宋" w:hAnsi="仿宋" w:eastAsia="仿宋" w:cs="仿宋"/>
                <w:spacing w:val="4"/>
                <w:sz w:val="20"/>
                <w:szCs w:val="20"/>
              </w:rPr>
              <w:t>中心线外</w:t>
            </w:r>
            <w:r>
              <w:rPr>
                <w:rFonts w:ascii="仿宋" w:hAnsi="仿宋" w:eastAsia="仿宋" w:cs="仿宋"/>
                <w:spacing w:val="-10"/>
                <w:sz w:val="20"/>
                <w:szCs w:val="20"/>
              </w:rPr>
              <w:t xml:space="preserve"> </w:t>
            </w:r>
            <w:r>
              <w:rPr>
                <w:spacing w:val="4"/>
                <w:sz w:val="20"/>
                <w:szCs w:val="20"/>
              </w:rPr>
              <w:t>120m</w:t>
            </w:r>
            <w:r>
              <w:rPr>
                <w:spacing w:val="16"/>
                <w:w w:val="101"/>
                <w:sz w:val="20"/>
                <w:szCs w:val="20"/>
              </w:rPr>
              <w:t xml:space="preserve"> </w:t>
            </w:r>
            <w:r>
              <w:rPr>
                <w:rFonts w:ascii="仿宋" w:hAnsi="仿宋" w:eastAsia="仿宋" w:cs="仿宋"/>
                <w:spacing w:val="4"/>
                <w:sz w:val="20"/>
                <w:szCs w:val="20"/>
              </w:rPr>
              <w:t>处）</w:t>
            </w:r>
          </w:p>
        </w:tc>
        <w:tc>
          <w:tcPr>
            <w:tcW w:w="1243" w:type="dxa"/>
            <w:vMerge w:val="continue"/>
            <w:tcBorders>
              <w:top w:val="nil"/>
            </w:tcBorders>
            <w:vAlign w:val="top"/>
          </w:tcPr>
          <w:p w14:paraId="65970606">
            <w:pPr>
              <w:rPr>
                <w:rFonts w:ascii="Arial"/>
                <w:sz w:val="21"/>
              </w:rPr>
            </w:pPr>
          </w:p>
        </w:tc>
        <w:tc>
          <w:tcPr>
            <w:tcW w:w="1094" w:type="dxa"/>
            <w:vAlign w:val="top"/>
          </w:tcPr>
          <w:p w14:paraId="69B3FB4D">
            <w:pPr>
              <w:pStyle w:val="6"/>
              <w:spacing w:before="91" w:line="195" w:lineRule="auto"/>
              <w:ind w:left="446"/>
              <w:rPr>
                <w:sz w:val="20"/>
                <w:szCs w:val="20"/>
              </w:rPr>
            </w:pPr>
            <w:r>
              <w:rPr>
                <w:sz w:val="20"/>
                <w:szCs w:val="20"/>
              </w:rPr>
              <w:t>36</w:t>
            </w:r>
          </w:p>
        </w:tc>
        <w:tc>
          <w:tcPr>
            <w:tcW w:w="942" w:type="dxa"/>
            <w:vMerge w:val="continue"/>
            <w:tcBorders>
              <w:top w:val="nil"/>
            </w:tcBorders>
            <w:vAlign w:val="top"/>
          </w:tcPr>
          <w:p w14:paraId="5E4846E0">
            <w:pPr>
              <w:rPr>
                <w:rFonts w:ascii="Arial"/>
                <w:sz w:val="21"/>
              </w:rPr>
            </w:pPr>
          </w:p>
        </w:tc>
        <w:tc>
          <w:tcPr>
            <w:tcW w:w="910" w:type="dxa"/>
            <w:vMerge w:val="continue"/>
            <w:tcBorders>
              <w:top w:val="nil"/>
            </w:tcBorders>
            <w:vAlign w:val="top"/>
          </w:tcPr>
          <w:p w14:paraId="36E7568F">
            <w:pPr>
              <w:rPr>
                <w:rFonts w:ascii="Arial"/>
                <w:sz w:val="21"/>
              </w:rPr>
            </w:pPr>
          </w:p>
        </w:tc>
        <w:tc>
          <w:tcPr>
            <w:tcW w:w="849" w:type="dxa"/>
            <w:vMerge w:val="continue"/>
            <w:tcBorders>
              <w:top w:val="nil"/>
              <w:right w:val="nil"/>
            </w:tcBorders>
            <w:vAlign w:val="top"/>
          </w:tcPr>
          <w:p w14:paraId="63B2F676">
            <w:pPr>
              <w:rPr>
                <w:rFonts w:ascii="Arial"/>
                <w:sz w:val="21"/>
              </w:rPr>
            </w:pPr>
          </w:p>
        </w:tc>
      </w:tr>
      <w:tr w14:paraId="06296B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3480" w:type="dxa"/>
            <w:vMerge w:val="restart"/>
            <w:tcBorders>
              <w:left w:val="nil"/>
              <w:bottom w:val="nil"/>
            </w:tcBorders>
            <w:vAlign w:val="top"/>
          </w:tcPr>
          <w:p w14:paraId="12CDA4FE">
            <w:pPr>
              <w:spacing w:before="60" w:line="229" w:lineRule="auto"/>
              <w:ind w:left="1334"/>
              <w:rPr>
                <w:rFonts w:ascii="仿宋" w:hAnsi="仿宋" w:eastAsia="仿宋" w:cs="仿宋"/>
                <w:sz w:val="20"/>
                <w:szCs w:val="20"/>
              </w:rPr>
            </w:pPr>
            <w:r>
              <w:rPr>
                <w:rFonts w:ascii="仿宋" w:hAnsi="仿宋" w:eastAsia="仿宋" w:cs="仿宋"/>
                <w:spacing w:val="5"/>
                <w:sz w:val="20"/>
                <w:szCs w:val="20"/>
              </w:rPr>
              <w:t>检测位置</w:t>
            </w:r>
          </w:p>
        </w:tc>
        <w:tc>
          <w:tcPr>
            <w:tcW w:w="2337" w:type="dxa"/>
            <w:gridSpan w:val="2"/>
            <w:vAlign w:val="top"/>
          </w:tcPr>
          <w:p w14:paraId="1A0182DD">
            <w:pPr>
              <w:pStyle w:val="6"/>
              <w:spacing w:before="55" w:line="230" w:lineRule="auto"/>
              <w:ind w:left="444"/>
              <w:rPr>
                <w:sz w:val="20"/>
                <w:szCs w:val="20"/>
              </w:rPr>
            </w:pPr>
            <w:r>
              <w:rPr>
                <w:rFonts w:ascii="仿宋" w:hAnsi="仿宋" w:eastAsia="仿宋" w:cs="仿宋"/>
                <w:spacing w:val="4"/>
                <w:sz w:val="20"/>
                <w:szCs w:val="20"/>
              </w:rPr>
              <w:t>昼间：</w:t>
            </w:r>
            <w:r>
              <w:rPr>
                <w:spacing w:val="4"/>
                <w:sz w:val="20"/>
                <w:szCs w:val="20"/>
              </w:rPr>
              <w:t>2026.6.13</w:t>
            </w:r>
          </w:p>
        </w:tc>
        <w:tc>
          <w:tcPr>
            <w:tcW w:w="2701" w:type="dxa"/>
            <w:gridSpan w:val="3"/>
            <w:tcBorders>
              <w:right w:val="nil"/>
            </w:tcBorders>
            <w:vAlign w:val="top"/>
          </w:tcPr>
          <w:p w14:paraId="21CF9CB2">
            <w:pPr>
              <w:spacing w:before="55" w:line="228" w:lineRule="auto"/>
              <w:ind w:left="841"/>
              <w:rPr>
                <w:rFonts w:ascii="仿宋" w:hAnsi="仿宋" w:eastAsia="仿宋" w:cs="仿宋"/>
                <w:sz w:val="20"/>
                <w:szCs w:val="20"/>
              </w:rPr>
            </w:pPr>
            <w:r>
              <w:rPr>
                <w:rFonts w:ascii="仿宋" w:hAnsi="仿宋" w:eastAsia="仿宋" w:cs="仿宋"/>
                <w:spacing w:val="6"/>
                <w:sz w:val="20"/>
                <w:szCs w:val="20"/>
              </w:rPr>
              <w:t>车流量统计</w:t>
            </w:r>
          </w:p>
        </w:tc>
      </w:tr>
      <w:tr w14:paraId="063B6C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3480" w:type="dxa"/>
            <w:vMerge w:val="continue"/>
            <w:tcBorders>
              <w:top w:val="nil"/>
              <w:left w:val="nil"/>
            </w:tcBorders>
            <w:vAlign w:val="top"/>
          </w:tcPr>
          <w:p w14:paraId="57DC396C">
            <w:pPr>
              <w:rPr>
                <w:rFonts w:ascii="Arial"/>
                <w:sz w:val="21"/>
              </w:rPr>
            </w:pPr>
          </w:p>
        </w:tc>
        <w:tc>
          <w:tcPr>
            <w:tcW w:w="1243" w:type="dxa"/>
            <w:vAlign w:val="top"/>
          </w:tcPr>
          <w:p w14:paraId="26A72C41">
            <w:pPr>
              <w:spacing w:before="58" w:line="228" w:lineRule="auto"/>
              <w:ind w:left="213"/>
              <w:rPr>
                <w:rFonts w:ascii="仿宋" w:hAnsi="仿宋" w:eastAsia="仿宋" w:cs="仿宋"/>
                <w:sz w:val="20"/>
                <w:szCs w:val="20"/>
              </w:rPr>
            </w:pPr>
            <w:r>
              <w:rPr>
                <w:rFonts w:ascii="仿宋" w:hAnsi="仿宋" w:eastAsia="仿宋" w:cs="仿宋"/>
                <w:spacing w:val="5"/>
                <w:sz w:val="20"/>
                <w:szCs w:val="20"/>
              </w:rPr>
              <w:t>检测时间</w:t>
            </w:r>
          </w:p>
        </w:tc>
        <w:tc>
          <w:tcPr>
            <w:tcW w:w="1094" w:type="dxa"/>
            <w:vAlign w:val="top"/>
          </w:tcPr>
          <w:p w14:paraId="3A2063F5">
            <w:pPr>
              <w:spacing w:before="58" w:line="228" w:lineRule="auto"/>
              <w:ind w:left="137"/>
              <w:rPr>
                <w:rFonts w:ascii="仿宋" w:hAnsi="仿宋" w:eastAsia="仿宋" w:cs="仿宋"/>
                <w:sz w:val="20"/>
                <w:szCs w:val="20"/>
              </w:rPr>
            </w:pPr>
            <w:r>
              <w:rPr>
                <w:rFonts w:ascii="仿宋" w:hAnsi="仿宋" w:eastAsia="仿宋" w:cs="仿宋"/>
                <w:spacing w:val="5"/>
                <w:sz w:val="20"/>
                <w:szCs w:val="20"/>
              </w:rPr>
              <w:t>测定结果</w:t>
            </w:r>
          </w:p>
        </w:tc>
        <w:tc>
          <w:tcPr>
            <w:tcW w:w="942" w:type="dxa"/>
            <w:vAlign w:val="top"/>
          </w:tcPr>
          <w:p w14:paraId="5DBFF55A">
            <w:pPr>
              <w:spacing w:before="57" w:line="228" w:lineRule="auto"/>
              <w:ind w:left="169"/>
              <w:rPr>
                <w:rFonts w:ascii="仿宋" w:hAnsi="仿宋" w:eastAsia="仿宋" w:cs="仿宋"/>
                <w:sz w:val="20"/>
                <w:szCs w:val="20"/>
              </w:rPr>
            </w:pPr>
            <w:r>
              <w:rPr>
                <w:rFonts w:ascii="仿宋" w:hAnsi="仿宋" w:eastAsia="仿宋" w:cs="仿宋"/>
                <w:spacing w:val="4"/>
                <w:sz w:val="20"/>
                <w:szCs w:val="20"/>
              </w:rPr>
              <w:t>大型车</w:t>
            </w:r>
          </w:p>
        </w:tc>
        <w:tc>
          <w:tcPr>
            <w:tcW w:w="910" w:type="dxa"/>
            <w:vAlign w:val="top"/>
          </w:tcPr>
          <w:p w14:paraId="4F960E4D">
            <w:pPr>
              <w:spacing w:before="57" w:line="228" w:lineRule="auto"/>
              <w:ind w:left="178"/>
              <w:rPr>
                <w:rFonts w:ascii="仿宋" w:hAnsi="仿宋" w:eastAsia="仿宋" w:cs="仿宋"/>
                <w:sz w:val="20"/>
                <w:szCs w:val="20"/>
              </w:rPr>
            </w:pPr>
            <w:r>
              <w:rPr>
                <w:rFonts w:ascii="仿宋" w:hAnsi="仿宋" w:eastAsia="仿宋" w:cs="仿宋"/>
                <w:spacing w:val="-4"/>
                <w:sz w:val="20"/>
                <w:szCs w:val="20"/>
              </w:rPr>
              <w:t>中型车</w:t>
            </w:r>
          </w:p>
        </w:tc>
        <w:tc>
          <w:tcPr>
            <w:tcW w:w="849" w:type="dxa"/>
            <w:tcBorders>
              <w:right w:val="nil"/>
            </w:tcBorders>
            <w:vAlign w:val="top"/>
          </w:tcPr>
          <w:p w14:paraId="14855033">
            <w:pPr>
              <w:spacing w:before="57" w:line="228" w:lineRule="auto"/>
              <w:ind w:left="122"/>
              <w:rPr>
                <w:rFonts w:ascii="仿宋" w:hAnsi="仿宋" w:eastAsia="仿宋" w:cs="仿宋"/>
                <w:sz w:val="20"/>
                <w:szCs w:val="20"/>
              </w:rPr>
            </w:pPr>
            <w:r>
              <w:rPr>
                <w:rFonts w:ascii="仿宋" w:hAnsi="仿宋" w:eastAsia="仿宋" w:cs="仿宋"/>
                <w:spacing w:val="5"/>
                <w:sz w:val="20"/>
                <w:szCs w:val="20"/>
              </w:rPr>
              <w:t>小型车</w:t>
            </w:r>
          </w:p>
        </w:tc>
      </w:tr>
      <w:tr w14:paraId="263B04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3480" w:type="dxa"/>
            <w:tcBorders>
              <w:left w:val="nil"/>
            </w:tcBorders>
            <w:vAlign w:val="top"/>
          </w:tcPr>
          <w:p w14:paraId="1A700279">
            <w:pPr>
              <w:pStyle w:val="6"/>
              <w:spacing w:before="59" w:line="221" w:lineRule="auto"/>
              <w:ind w:left="219"/>
              <w:rPr>
                <w:rFonts w:ascii="仿宋" w:hAnsi="仿宋" w:eastAsia="仿宋" w:cs="仿宋"/>
                <w:sz w:val="20"/>
                <w:szCs w:val="20"/>
              </w:rPr>
            </w:pPr>
            <w:r>
              <w:rPr>
                <w:rFonts w:ascii="仿宋" w:hAnsi="仿宋" w:eastAsia="仿宋" w:cs="仿宋"/>
                <w:spacing w:val="5"/>
                <w:sz w:val="20"/>
                <w:szCs w:val="20"/>
              </w:rPr>
              <w:t>沿黄公路断面</w:t>
            </w:r>
            <w:r>
              <w:rPr>
                <w:spacing w:val="5"/>
                <w:sz w:val="20"/>
                <w:szCs w:val="20"/>
              </w:rPr>
              <w:t>(</w:t>
            </w:r>
            <w:r>
              <w:rPr>
                <w:rFonts w:ascii="仿宋" w:hAnsi="仿宋" w:eastAsia="仿宋" w:cs="仿宋"/>
                <w:spacing w:val="5"/>
                <w:sz w:val="20"/>
                <w:szCs w:val="20"/>
              </w:rPr>
              <w:t>中心线外</w:t>
            </w:r>
            <w:r>
              <w:rPr>
                <w:rFonts w:ascii="仿宋" w:hAnsi="仿宋" w:eastAsia="仿宋" w:cs="仿宋"/>
                <w:spacing w:val="-27"/>
                <w:sz w:val="20"/>
                <w:szCs w:val="20"/>
              </w:rPr>
              <w:t xml:space="preserve"> </w:t>
            </w:r>
            <w:r>
              <w:rPr>
                <w:spacing w:val="5"/>
                <w:sz w:val="20"/>
                <w:szCs w:val="20"/>
              </w:rPr>
              <w:t>20m</w:t>
            </w:r>
            <w:r>
              <w:rPr>
                <w:spacing w:val="18"/>
                <w:w w:val="101"/>
                <w:sz w:val="20"/>
                <w:szCs w:val="20"/>
              </w:rPr>
              <w:t xml:space="preserve"> </w:t>
            </w:r>
            <w:r>
              <w:rPr>
                <w:rFonts w:ascii="仿宋" w:hAnsi="仿宋" w:eastAsia="仿宋" w:cs="仿宋"/>
                <w:spacing w:val="5"/>
                <w:sz w:val="20"/>
                <w:szCs w:val="20"/>
              </w:rPr>
              <w:t>处）</w:t>
            </w:r>
          </w:p>
        </w:tc>
        <w:tc>
          <w:tcPr>
            <w:tcW w:w="1243" w:type="dxa"/>
            <w:vMerge w:val="restart"/>
            <w:tcBorders>
              <w:bottom w:val="nil"/>
            </w:tcBorders>
            <w:vAlign w:val="top"/>
          </w:tcPr>
          <w:p w14:paraId="4689547A">
            <w:pPr>
              <w:spacing w:line="338" w:lineRule="auto"/>
              <w:rPr>
                <w:rFonts w:ascii="Arial"/>
                <w:sz w:val="21"/>
              </w:rPr>
            </w:pPr>
          </w:p>
          <w:p w14:paraId="1BBC7DCF">
            <w:pPr>
              <w:spacing w:line="338" w:lineRule="auto"/>
              <w:rPr>
                <w:rFonts w:ascii="Arial"/>
                <w:sz w:val="21"/>
              </w:rPr>
            </w:pPr>
          </w:p>
          <w:p w14:paraId="3D1C3000">
            <w:pPr>
              <w:pStyle w:val="6"/>
              <w:spacing w:before="58" w:line="195" w:lineRule="auto"/>
              <w:ind w:left="128"/>
              <w:rPr>
                <w:sz w:val="20"/>
                <w:szCs w:val="20"/>
              </w:rPr>
            </w:pPr>
            <w:r>
              <w:rPr>
                <w:sz w:val="20"/>
                <w:szCs w:val="20"/>
              </w:rPr>
              <w:t>16:55-</w:t>
            </w:r>
            <w:r>
              <w:rPr>
                <w:spacing w:val="-28"/>
                <w:sz w:val="20"/>
                <w:szCs w:val="20"/>
              </w:rPr>
              <w:t xml:space="preserve"> </w:t>
            </w:r>
            <w:r>
              <w:rPr>
                <w:sz w:val="20"/>
                <w:szCs w:val="20"/>
              </w:rPr>
              <w:t>17:15</w:t>
            </w:r>
          </w:p>
        </w:tc>
        <w:tc>
          <w:tcPr>
            <w:tcW w:w="1094" w:type="dxa"/>
            <w:vAlign w:val="top"/>
          </w:tcPr>
          <w:p w14:paraId="4E58D68A">
            <w:pPr>
              <w:pStyle w:val="6"/>
              <w:spacing w:before="94" w:line="195" w:lineRule="auto"/>
              <w:ind w:left="448"/>
              <w:rPr>
                <w:sz w:val="20"/>
                <w:szCs w:val="20"/>
              </w:rPr>
            </w:pPr>
            <w:r>
              <w:rPr>
                <w:sz w:val="20"/>
                <w:szCs w:val="20"/>
              </w:rPr>
              <w:t>54</w:t>
            </w:r>
          </w:p>
        </w:tc>
        <w:tc>
          <w:tcPr>
            <w:tcW w:w="942" w:type="dxa"/>
            <w:vMerge w:val="restart"/>
            <w:tcBorders>
              <w:bottom w:val="nil"/>
            </w:tcBorders>
            <w:vAlign w:val="top"/>
          </w:tcPr>
          <w:p w14:paraId="4191BBDA">
            <w:pPr>
              <w:spacing w:line="339" w:lineRule="auto"/>
              <w:rPr>
                <w:rFonts w:ascii="Arial"/>
                <w:sz w:val="21"/>
              </w:rPr>
            </w:pPr>
          </w:p>
          <w:p w14:paraId="6FC0FBC2">
            <w:pPr>
              <w:spacing w:line="339" w:lineRule="auto"/>
              <w:rPr>
                <w:rFonts w:ascii="Arial"/>
                <w:sz w:val="21"/>
              </w:rPr>
            </w:pPr>
          </w:p>
          <w:p w14:paraId="0AFB7439">
            <w:pPr>
              <w:pStyle w:val="6"/>
              <w:spacing w:before="58" w:line="195" w:lineRule="auto"/>
              <w:ind w:left="422"/>
              <w:rPr>
                <w:sz w:val="20"/>
                <w:szCs w:val="20"/>
              </w:rPr>
            </w:pPr>
            <w:r>
              <w:rPr>
                <w:sz w:val="20"/>
                <w:szCs w:val="20"/>
              </w:rPr>
              <w:t>0</w:t>
            </w:r>
          </w:p>
        </w:tc>
        <w:tc>
          <w:tcPr>
            <w:tcW w:w="910" w:type="dxa"/>
            <w:vMerge w:val="restart"/>
            <w:tcBorders>
              <w:bottom w:val="nil"/>
            </w:tcBorders>
            <w:vAlign w:val="top"/>
          </w:tcPr>
          <w:p w14:paraId="1D217E12">
            <w:pPr>
              <w:spacing w:line="339" w:lineRule="auto"/>
              <w:rPr>
                <w:rFonts w:ascii="Arial"/>
                <w:sz w:val="21"/>
              </w:rPr>
            </w:pPr>
          </w:p>
          <w:p w14:paraId="2417F69F">
            <w:pPr>
              <w:spacing w:line="339" w:lineRule="auto"/>
              <w:rPr>
                <w:rFonts w:ascii="Arial"/>
                <w:sz w:val="21"/>
              </w:rPr>
            </w:pPr>
          </w:p>
          <w:p w14:paraId="431DEF70">
            <w:pPr>
              <w:pStyle w:val="6"/>
              <w:spacing w:before="58" w:line="195" w:lineRule="auto"/>
              <w:ind w:left="425"/>
              <w:rPr>
                <w:sz w:val="20"/>
                <w:szCs w:val="20"/>
              </w:rPr>
            </w:pPr>
            <w:r>
              <w:rPr>
                <w:sz w:val="20"/>
                <w:szCs w:val="20"/>
              </w:rPr>
              <w:t>1</w:t>
            </w:r>
          </w:p>
        </w:tc>
        <w:tc>
          <w:tcPr>
            <w:tcW w:w="849" w:type="dxa"/>
            <w:vMerge w:val="restart"/>
            <w:tcBorders>
              <w:bottom w:val="nil"/>
              <w:right w:val="nil"/>
            </w:tcBorders>
            <w:vAlign w:val="top"/>
          </w:tcPr>
          <w:p w14:paraId="0A6B0D4A">
            <w:pPr>
              <w:spacing w:line="339" w:lineRule="auto"/>
              <w:rPr>
                <w:rFonts w:ascii="Arial"/>
                <w:sz w:val="21"/>
              </w:rPr>
            </w:pPr>
          </w:p>
          <w:p w14:paraId="08887008">
            <w:pPr>
              <w:spacing w:line="339" w:lineRule="auto"/>
              <w:rPr>
                <w:rFonts w:ascii="Arial"/>
                <w:sz w:val="21"/>
              </w:rPr>
            </w:pPr>
          </w:p>
          <w:p w14:paraId="30CD55A4">
            <w:pPr>
              <w:pStyle w:val="6"/>
              <w:spacing w:before="58" w:line="195" w:lineRule="auto"/>
              <w:ind w:left="374"/>
              <w:rPr>
                <w:sz w:val="20"/>
                <w:szCs w:val="20"/>
              </w:rPr>
            </w:pPr>
            <w:r>
              <w:rPr>
                <w:sz w:val="20"/>
                <w:szCs w:val="20"/>
              </w:rPr>
              <w:t>2</w:t>
            </w:r>
          </w:p>
        </w:tc>
      </w:tr>
      <w:tr w14:paraId="12397A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3480" w:type="dxa"/>
            <w:tcBorders>
              <w:left w:val="nil"/>
            </w:tcBorders>
            <w:vAlign w:val="top"/>
          </w:tcPr>
          <w:p w14:paraId="1C3C3214">
            <w:pPr>
              <w:pStyle w:val="6"/>
              <w:spacing w:before="60" w:line="221" w:lineRule="auto"/>
              <w:ind w:left="219"/>
              <w:rPr>
                <w:rFonts w:ascii="仿宋" w:hAnsi="仿宋" w:eastAsia="仿宋" w:cs="仿宋"/>
                <w:sz w:val="20"/>
                <w:szCs w:val="20"/>
              </w:rPr>
            </w:pPr>
            <w:r>
              <w:rPr>
                <w:rFonts w:ascii="仿宋" w:hAnsi="仿宋" w:eastAsia="仿宋" w:cs="仿宋"/>
                <w:spacing w:val="6"/>
                <w:sz w:val="20"/>
                <w:szCs w:val="20"/>
              </w:rPr>
              <w:t>沿黄公路断面</w:t>
            </w:r>
            <w:r>
              <w:rPr>
                <w:spacing w:val="6"/>
                <w:sz w:val="20"/>
                <w:szCs w:val="20"/>
              </w:rPr>
              <w:t>(</w:t>
            </w:r>
            <w:r>
              <w:rPr>
                <w:rFonts w:ascii="仿宋" w:hAnsi="仿宋" w:eastAsia="仿宋" w:cs="仿宋"/>
                <w:spacing w:val="6"/>
                <w:sz w:val="20"/>
                <w:szCs w:val="20"/>
              </w:rPr>
              <w:t>中心线外</w:t>
            </w:r>
            <w:r>
              <w:rPr>
                <w:rFonts w:ascii="仿宋" w:hAnsi="仿宋" w:eastAsia="仿宋" w:cs="仿宋"/>
                <w:spacing w:val="-42"/>
                <w:sz w:val="20"/>
                <w:szCs w:val="20"/>
              </w:rPr>
              <w:t xml:space="preserve"> </w:t>
            </w:r>
            <w:r>
              <w:rPr>
                <w:spacing w:val="6"/>
                <w:sz w:val="20"/>
                <w:szCs w:val="20"/>
              </w:rPr>
              <w:t>40m</w:t>
            </w:r>
            <w:r>
              <w:rPr>
                <w:spacing w:val="18"/>
                <w:sz w:val="20"/>
                <w:szCs w:val="20"/>
              </w:rPr>
              <w:t xml:space="preserve"> </w:t>
            </w:r>
            <w:r>
              <w:rPr>
                <w:rFonts w:ascii="仿宋" w:hAnsi="仿宋" w:eastAsia="仿宋" w:cs="仿宋"/>
                <w:spacing w:val="6"/>
                <w:sz w:val="20"/>
                <w:szCs w:val="20"/>
              </w:rPr>
              <w:t>处）</w:t>
            </w:r>
          </w:p>
        </w:tc>
        <w:tc>
          <w:tcPr>
            <w:tcW w:w="1243" w:type="dxa"/>
            <w:vMerge w:val="continue"/>
            <w:tcBorders>
              <w:top w:val="nil"/>
              <w:bottom w:val="nil"/>
            </w:tcBorders>
            <w:vAlign w:val="top"/>
          </w:tcPr>
          <w:p w14:paraId="39A16B0B">
            <w:pPr>
              <w:rPr>
                <w:rFonts w:ascii="Arial"/>
                <w:sz w:val="21"/>
              </w:rPr>
            </w:pPr>
          </w:p>
        </w:tc>
        <w:tc>
          <w:tcPr>
            <w:tcW w:w="1094" w:type="dxa"/>
            <w:vAlign w:val="top"/>
          </w:tcPr>
          <w:p w14:paraId="3F51BE42">
            <w:pPr>
              <w:pStyle w:val="6"/>
              <w:spacing w:before="96" w:line="195" w:lineRule="auto"/>
              <w:ind w:left="448"/>
              <w:rPr>
                <w:sz w:val="20"/>
                <w:szCs w:val="20"/>
              </w:rPr>
            </w:pPr>
            <w:r>
              <w:rPr>
                <w:sz w:val="20"/>
                <w:szCs w:val="20"/>
              </w:rPr>
              <w:t>52</w:t>
            </w:r>
          </w:p>
        </w:tc>
        <w:tc>
          <w:tcPr>
            <w:tcW w:w="942" w:type="dxa"/>
            <w:vMerge w:val="continue"/>
            <w:tcBorders>
              <w:top w:val="nil"/>
              <w:bottom w:val="nil"/>
            </w:tcBorders>
            <w:vAlign w:val="top"/>
          </w:tcPr>
          <w:p w14:paraId="7808C71B">
            <w:pPr>
              <w:rPr>
                <w:rFonts w:ascii="Arial"/>
                <w:sz w:val="21"/>
              </w:rPr>
            </w:pPr>
          </w:p>
        </w:tc>
        <w:tc>
          <w:tcPr>
            <w:tcW w:w="910" w:type="dxa"/>
            <w:vMerge w:val="continue"/>
            <w:tcBorders>
              <w:top w:val="nil"/>
              <w:bottom w:val="nil"/>
            </w:tcBorders>
            <w:vAlign w:val="top"/>
          </w:tcPr>
          <w:p w14:paraId="6FD30F3D">
            <w:pPr>
              <w:rPr>
                <w:rFonts w:ascii="Arial"/>
                <w:sz w:val="21"/>
              </w:rPr>
            </w:pPr>
          </w:p>
        </w:tc>
        <w:tc>
          <w:tcPr>
            <w:tcW w:w="849" w:type="dxa"/>
            <w:vMerge w:val="continue"/>
            <w:tcBorders>
              <w:top w:val="nil"/>
              <w:bottom w:val="nil"/>
              <w:right w:val="nil"/>
            </w:tcBorders>
            <w:vAlign w:val="top"/>
          </w:tcPr>
          <w:p w14:paraId="6355746E">
            <w:pPr>
              <w:rPr>
                <w:rFonts w:ascii="Arial"/>
                <w:sz w:val="21"/>
              </w:rPr>
            </w:pPr>
          </w:p>
        </w:tc>
      </w:tr>
      <w:tr w14:paraId="67FCAA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480" w:type="dxa"/>
            <w:tcBorders>
              <w:left w:val="nil"/>
            </w:tcBorders>
            <w:vAlign w:val="top"/>
          </w:tcPr>
          <w:p w14:paraId="53327F04">
            <w:pPr>
              <w:pStyle w:val="6"/>
              <w:spacing w:before="62" w:line="221" w:lineRule="auto"/>
              <w:ind w:left="219"/>
              <w:rPr>
                <w:rFonts w:ascii="仿宋" w:hAnsi="仿宋" w:eastAsia="仿宋" w:cs="仿宋"/>
                <w:sz w:val="20"/>
                <w:szCs w:val="20"/>
              </w:rPr>
            </w:pPr>
            <w:r>
              <w:rPr>
                <w:rFonts w:ascii="仿宋" w:hAnsi="仿宋" w:eastAsia="仿宋" w:cs="仿宋"/>
                <w:spacing w:val="5"/>
                <w:sz w:val="20"/>
                <w:szCs w:val="20"/>
              </w:rPr>
              <w:t>沿黄公路断面</w:t>
            </w:r>
            <w:r>
              <w:rPr>
                <w:spacing w:val="5"/>
                <w:sz w:val="20"/>
                <w:szCs w:val="20"/>
              </w:rPr>
              <w:t>(</w:t>
            </w:r>
            <w:r>
              <w:rPr>
                <w:rFonts w:ascii="仿宋" w:hAnsi="仿宋" w:eastAsia="仿宋" w:cs="仿宋"/>
                <w:spacing w:val="5"/>
                <w:sz w:val="20"/>
                <w:szCs w:val="20"/>
              </w:rPr>
              <w:t>中心线外</w:t>
            </w:r>
            <w:r>
              <w:rPr>
                <w:rFonts w:ascii="仿宋" w:hAnsi="仿宋" w:eastAsia="仿宋" w:cs="仿宋"/>
                <w:spacing w:val="-27"/>
                <w:sz w:val="20"/>
                <w:szCs w:val="20"/>
              </w:rPr>
              <w:t xml:space="preserve"> </w:t>
            </w:r>
            <w:r>
              <w:rPr>
                <w:spacing w:val="5"/>
                <w:sz w:val="20"/>
                <w:szCs w:val="20"/>
              </w:rPr>
              <w:t>60m</w:t>
            </w:r>
            <w:r>
              <w:rPr>
                <w:spacing w:val="18"/>
                <w:w w:val="101"/>
                <w:sz w:val="20"/>
                <w:szCs w:val="20"/>
              </w:rPr>
              <w:t xml:space="preserve"> </w:t>
            </w:r>
            <w:r>
              <w:rPr>
                <w:rFonts w:ascii="仿宋" w:hAnsi="仿宋" w:eastAsia="仿宋" w:cs="仿宋"/>
                <w:spacing w:val="5"/>
                <w:sz w:val="20"/>
                <w:szCs w:val="20"/>
              </w:rPr>
              <w:t>处）</w:t>
            </w:r>
          </w:p>
        </w:tc>
        <w:tc>
          <w:tcPr>
            <w:tcW w:w="1243" w:type="dxa"/>
            <w:vMerge w:val="continue"/>
            <w:tcBorders>
              <w:top w:val="nil"/>
              <w:bottom w:val="nil"/>
            </w:tcBorders>
            <w:vAlign w:val="top"/>
          </w:tcPr>
          <w:p w14:paraId="09ABA696">
            <w:pPr>
              <w:rPr>
                <w:rFonts w:ascii="Arial"/>
                <w:sz w:val="21"/>
              </w:rPr>
            </w:pPr>
          </w:p>
        </w:tc>
        <w:tc>
          <w:tcPr>
            <w:tcW w:w="1094" w:type="dxa"/>
            <w:vAlign w:val="top"/>
          </w:tcPr>
          <w:p w14:paraId="38F6EE38">
            <w:pPr>
              <w:pStyle w:val="6"/>
              <w:spacing w:before="98" w:line="195" w:lineRule="auto"/>
              <w:ind w:left="448"/>
              <w:rPr>
                <w:sz w:val="20"/>
                <w:szCs w:val="20"/>
              </w:rPr>
            </w:pPr>
            <w:r>
              <w:rPr>
                <w:sz w:val="20"/>
                <w:szCs w:val="20"/>
              </w:rPr>
              <w:t>50</w:t>
            </w:r>
          </w:p>
        </w:tc>
        <w:tc>
          <w:tcPr>
            <w:tcW w:w="942" w:type="dxa"/>
            <w:vMerge w:val="continue"/>
            <w:tcBorders>
              <w:top w:val="nil"/>
              <w:bottom w:val="nil"/>
            </w:tcBorders>
            <w:vAlign w:val="top"/>
          </w:tcPr>
          <w:p w14:paraId="12922B40">
            <w:pPr>
              <w:rPr>
                <w:rFonts w:ascii="Arial"/>
                <w:sz w:val="21"/>
              </w:rPr>
            </w:pPr>
          </w:p>
        </w:tc>
        <w:tc>
          <w:tcPr>
            <w:tcW w:w="910" w:type="dxa"/>
            <w:vMerge w:val="continue"/>
            <w:tcBorders>
              <w:top w:val="nil"/>
              <w:bottom w:val="nil"/>
            </w:tcBorders>
            <w:vAlign w:val="top"/>
          </w:tcPr>
          <w:p w14:paraId="3C013C39">
            <w:pPr>
              <w:rPr>
                <w:rFonts w:ascii="Arial"/>
                <w:sz w:val="21"/>
              </w:rPr>
            </w:pPr>
          </w:p>
        </w:tc>
        <w:tc>
          <w:tcPr>
            <w:tcW w:w="849" w:type="dxa"/>
            <w:vMerge w:val="continue"/>
            <w:tcBorders>
              <w:top w:val="nil"/>
              <w:bottom w:val="nil"/>
              <w:right w:val="nil"/>
            </w:tcBorders>
            <w:vAlign w:val="top"/>
          </w:tcPr>
          <w:p w14:paraId="06262239">
            <w:pPr>
              <w:rPr>
                <w:rFonts w:ascii="Arial"/>
                <w:sz w:val="21"/>
              </w:rPr>
            </w:pPr>
          </w:p>
        </w:tc>
      </w:tr>
      <w:tr w14:paraId="73B7D6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3480" w:type="dxa"/>
            <w:tcBorders>
              <w:left w:val="nil"/>
            </w:tcBorders>
            <w:vAlign w:val="top"/>
          </w:tcPr>
          <w:p w14:paraId="25899B57">
            <w:pPr>
              <w:pStyle w:val="6"/>
              <w:spacing w:before="65" w:line="221" w:lineRule="auto"/>
              <w:ind w:left="219"/>
              <w:rPr>
                <w:rFonts w:ascii="仿宋" w:hAnsi="仿宋" w:eastAsia="仿宋" w:cs="仿宋"/>
                <w:sz w:val="20"/>
                <w:szCs w:val="20"/>
              </w:rPr>
            </w:pPr>
            <w:r>
              <w:rPr>
                <w:rFonts w:ascii="仿宋" w:hAnsi="仿宋" w:eastAsia="仿宋" w:cs="仿宋"/>
                <w:spacing w:val="5"/>
                <w:sz w:val="20"/>
                <w:szCs w:val="20"/>
              </w:rPr>
              <w:t>沿黄公路断面</w:t>
            </w:r>
            <w:r>
              <w:rPr>
                <w:spacing w:val="5"/>
                <w:sz w:val="20"/>
                <w:szCs w:val="20"/>
              </w:rPr>
              <w:t>(</w:t>
            </w:r>
            <w:r>
              <w:rPr>
                <w:rFonts w:ascii="仿宋" w:hAnsi="仿宋" w:eastAsia="仿宋" w:cs="仿宋"/>
                <w:spacing w:val="5"/>
                <w:sz w:val="20"/>
                <w:szCs w:val="20"/>
              </w:rPr>
              <w:t>中心线外</w:t>
            </w:r>
            <w:r>
              <w:rPr>
                <w:rFonts w:ascii="仿宋" w:hAnsi="仿宋" w:eastAsia="仿宋" w:cs="仿宋"/>
                <w:spacing w:val="-27"/>
                <w:sz w:val="20"/>
                <w:szCs w:val="20"/>
              </w:rPr>
              <w:t xml:space="preserve"> </w:t>
            </w:r>
            <w:r>
              <w:rPr>
                <w:spacing w:val="5"/>
                <w:sz w:val="20"/>
                <w:szCs w:val="20"/>
              </w:rPr>
              <w:t>80m</w:t>
            </w:r>
            <w:r>
              <w:rPr>
                <w:spacing w:val="18"/>
                <w:w w:val="101"/>
                <w:sz w:val="20"/>
                <w:szCs w:val="20"/>
              </w:rPr>
              <w:t xml:space="preserve"> </w:t>
            </w:r>
            <w:r>
              <w:rPr>
                <w:rFonts w:ascii="仿宋" w:hAnsi="仿宋" w:eastAsia="仿宋" w:cs="仿宋"/>
                <w:spacing w:val="5"/>
                <w:sz w:val="20"/>
                <w:szCs w:val="20"/>
              </w:rPr>
              <w:t>处）</w:t>
            </w:r>
          </w:p>
        </w:tc>
        <w:tc>
          <w:tcPr>
            <w:tcW w:w="1243" w:type="dxa"/>
            <w:vMerge w:val="continue"/>
            <w:tcBorders>
              <w:top w:val="nil"/>
              <w:bottom w:val="nil"/>
            </w:tcBorders>
            <w:vAlign w:val="top"/>
          </w:tcPr>
          <w:p w14:paraId="0F4A386D">
            <w:pPr>
              <w:rPr>
                <w:rFonts w:ascii="Arial"/>
                <w:sz w:val="21"/>
              </w:rPr>
            </w:pPr>
          </w:p>
        </w:tc>
        <w:tc>
          <w:tcPr>
            <w:tcW w:w="1094" w:type="dxa"/>
            <w:vAlign w:val="top"/>
          </w:tcPr>
          <w:p w14:paraId="76F08869">
            <w:pPr>
              <w:pStyle w:val="6"/>
              <w:spacing w:before="101" w:line="195" w:lineRule="auto"/>
              <w:ind w:left="441"/>
              <w:rPr>
                <w:sz w:val="20"/>
                <w:szCs w:val="20"/>
              </w:rPr>
            </w:pPr>
            <w:r>
              <w:rPr>
                <w:spacing w:val="3"/>
                <w:sz w:val="20"/>
                <w:szCs w:val="20"/>
              </w:rPr>
              <w:t>48</w:t>
            </w:r>
          </w:p>
        </w:tc>
        <w:tc>
          <w:tcPr>
            <w:tcW w:w="942" w:type="dxa"/>
            <w:vMerge w:val="continue"/>
            <w:tcBorders>
              <w:top w:val="nil"/>
              <w:bottom w:val="nil"/>
            </w:tcBorders>
            <w:vAlign w:val="top"/>
          </w:tcPr>
          <w:p w14:paraId="5C38A9D5">
            <w:pPr>
              <w:rPr>
                <w:rFonts w:ascii="Arial"/>
                <w:sz w:val="21"/>
              </w:rPr>
            </w:pPr>
          </w:p>
        </w:tc>
        <w:tc>
          <w:tcPr>
            <w:tcW w:w="910" w:type="dxa"/>
            <w:vMerge w:val="continue"/>
            <w:tcBorders>
              <w:top w:val="nil"/>
              <w:bottom w:val="nil"/>
            </w:tcBorders>
            <w:vAlign w:val="top"/>
          </w:tcPr>
          <w:p w14:paraId="27D3417D">
            <w:pPr>
              <w:rPr>
                <w:rFonts w:ascii="Arial"/>
                <w:sz w:val="21"/>
              </w:rPr>
            </w:pPr>
          </w:p>
        </w:tc>
        <w:tc>
          <w:tcPr>
            <w:tcW w:w="849" w:type="dxa"/>
            <w:vMerge w:val="continue"/>
            <w:tcBorders>
              <w:top w:val="nil"/>
              <w:bottom w:val="nil"/>
              <w:right w:val="nil"/>
            </w:tcBorders>
            <w:vAlign w:val="top"/>
          </w:tcPr>
          <w:p w14:paraId="03461FA9">
            <w:pPr>
              <w:rPr>
                <w:rFonts w:ascii="Arial"/>
                <w:sz w:val="21"/>
              </w:rPr>
            </w:pPr>
          </w:p>
        </w:tc>
      </w:tr>
      <w:tr w14:paraId="502F01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3480" w:type="dxa"/>
            <w:tcBorders>
              <w:left w:val="nil"/>
            </w:tcBorders>
            <w:vAlign w:val="top"/>
          </w:tcPr>
          <w:p w14:paraId="1C0EE075">
            <w:pPr>
              <w:pStyle w:val="6"/>
              <w:spacing w:before="66" w:line="220" w:lineRule="auto"/>
              <w:ind w:left="166"/>
              <w:rPr>
                <w:rFonts w:ascii="仿宋" w:hAnsi="仿宋" w:eastAsia="仿宋" w:cs="仿宋"/>
                <w:sz w:val="20"/>
                <w:szCs w:val="20"/>
              </w:rPr>
            </w:pPr>
            <w:r>
              <w:rPr>
                <w:rFonts w:ascii="仿宋" w:hAnsi="仿宋" w:eastAsia="仿宋" w:cs="仿宋"/>
                <w:spacing w:val="4"/>
                <w:sz w:val="20"/>
                <w:szCs w:val="20"/>
              </w:rPr>
              <w:t>沿黄公路断面</w:t>
            </w:r>
            <w:r>
              <w:rPr>
                <w:spacing w:val="4"/>
                <w:sz w:val="20"/>
                <w:szCs w:val="20"/>
              </w:rPr>
              <w:t>(</w:t>
            </w:r>
            <w:r>
              <w:rPr>
                <w:rFonts w:ascii="仿宋" w:hAnsi="仿宋" w:eastAsia="仿宋" w:cs="仿宋"/>
                <w:spacing w:val="4"/>
                <w:sz w:val="20"/>
                <w:szCs w:val="20"/>
              </w:rPr>
              <w:t>中心线外</w:t>
            </w:r>
            <w:r>
              <w:rPr>
                <w:rFonts w:ascii="仿宋" w:hAnsi="仿宋" w:eastAsia="仿宋" w:cs="仿宋"/>
                <w:spacing w:val="-10"/>
                <w:sz w:val="20"/>
                <w:szCs w:val="20"/>
              </w:rPr>
              <w:t xml:space="preserve"> </w:t>
            </w:r>
            <w:r>
              <w:rPr>
                <w:spacing w:val="4"/>
                <w:sz w:val="20"/>
                <w:szCs w:val="20"/>
              </w:rPr>
              <w:t>120m</w:t>
            </w:r>
            <w:r>
              <w:rPr>
                <w:spacing w:val="16"/>
                <w:w w:val="101"/>
                <w:sz w:val="20"/>
                <w:szCs w:val="20"/>
              </w:rPr>
              <w:t xml:space="preserve"> </w:t>
            </w:r>
            <w:r>
              <w:rPr>
                <w:rFonts w:ascii="仿宋" w:hAnsi="仿宋" w:eastAsia="仿宋" w:cs="仿宋"/>
                <w:spacing w:val="4"/>
                <w:sz w:val="20"/>
                <w:szCs w:val="20"/>
              </w:rPr>
              <w:t>处）</w:t>
            </w:r>
          </w:p>
        </w:tc>
        <w:tc>
          <w:tcPr>
            <w:tcW w:w="1243" w:type="dxa"/>
            <w:vMerge w:val="continue"/>
            <w:tcBorders>
              <w:top w:val="nil"/>
            </w:tcBorders>
            <w:vAlign w:val="top"/>
          </w:tcPr>
          <w:p w14:paraId="29ECF39F">
            <w:pPr>
              <w:rPr>
                <w:rFonts w:ascii="Arial"/>
                <w:sz w:val="21"/>
              </w:rPr>
            </w:pPr>
          </w:p>
        </w:tc>
        <w:tc>
          <w:tcPr>
            <w:tcW w:w="1094" w:type="dxa"/>
            <w:vAlign w:val="top"/>
          </w:tcPr>
          <w:p w14:paraId="56225CAD">
            <w:pPr>
              <w:pStyle w:val="6"/>
              <w:spacing w:before="102" w:line="195" w:lineRule="auto"/>
              <w:ind w:left="441"/>
              <w:rPr>
                <w:sz w:val="20"/>
                <w:szCs w:val="20"/>
              </w:rPr>
            </w:pPr>
            <w:r>
              <w:rPr>
                <w:spacing w:val="3"/>
                <w:sz w:val="20"/>
                <w:szCs w:val="20"/>
              </w:rPr>
              <w:t>46</w:t>
            </w:r>
          </w:p>
        </w:tc>
        <w:tc>
          <w:tcPr>
            <w:tcW w:w="942" w:type="dxa"/>
            <w:vMerge w:val="continue"/>
            <w:tcBorders>
              <w:top w:val="nil"/>
            </w:tcBorders>
            <w:vAlign w:val="top"/>
          </w:tcPr>
          <w:p w14:paraId="49EF9E91">
            <w:pPr>
              <w:rPr>
                <w:rFonts w:ascii="Arial"/>
                <w:sz w:val="21"/>
              </w:rPr>
            </w:pPr>
          </w:p>
        </w:tc>
        <w:tc>
          <w:tcPr>
            <w:tcW w:w="910" w:type="dxa"/>
            <w:vMerge w:val="continue"/>
            <w:tcBorders>
              <w:top w:val="nil"/>
            </w:tcBorders>
            <w:vAlign w:val="top"/>
          </w:tcPr>
          <w:p w14:paraId="0883DAE5">
            <w:pPr>
              <w:rPr>
                <w:rFonts w:ascii="Arial"/>
                <w:sz w:val="21"/>
              </w:rPr>
            </w:pPr>
          </w:p>
        </w:tc>
        <w:tc>
          <w:tcPr>
            <w:tcW w:w="849" w:type="dxa"/>
            <w:vMerge w:val="continue"/>
            <w:tcBorders>
              <w:top w:val="nil"/>
              <w:right w:val="nil"/>
            </w:tcBorders>
            <w:vAlign w:val="top"/>
          </w:tcPr>
          <w:p w14:paraId="7EDBEC27">
            <w:pPr>
              <w:rPr>
                <w:rFonts w:ascii="Arial"/>
                <w:sz w:val="21"/>
              </w:rPr>
            </w:pPr>
          </w:p>
        </w:tc>
      </w:tr>
      <w:tr w14:paraId="694565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3480" w:type="dxa"/>
            <w:vMerge w:val="restart"/>
            <w:tcBorders>
              <w:left w:val="nil"/>
              <w:bottom w:val="nil"/>
            </w:tcBorders>
            <w:vAlign w:val="top"/>
          </w:tcPr>
          <w:p w14:paraId="2B4648C6">
            <w:pPr>
              <w:spacing w:before="228" w:line="229" w:lineRule="auto"/>
              <w:ind w:left="1334"/>
              <w:rPr>
                <w:rFonts w:ascii="仿宋" w:hAnsi="仿宋" w:eastAsia="仿宋" w:cs="仿宋"/>
                <w:sz w:val="20"/>
                <w:szCs w:val="20"/>
              </w:rPr>
            </w:pPr>
            <w:r>
              <w:rPr>
                <w:rFonts w:ascii="仿宋" w:hAnsi="仿宋" w:eastAsia="仿宋" w:cs="仿宋"/>
                <w:spacing w:val="5"/>
                <w:sz w:val="20"/>
                <w:szCs w:val="20"/>
              </w:rPr>
              <w:t>检测位置</w:t>
            </w:r>
          </w:p>
        </w:tc>
        <w:tc>
          <w:tcPr>
            <w:tcW w:w="2337" w:type="dxa"/>
            <w:gridSpan w:val="2"/>
            <w:vAlign w:val="top"/>
          </w:tcPr>
          <w:p w14:paraId="5650E7DC">
            <w:pPr>
              <w:pStyle w:val="6"/>
              <w:spacing w:before="68" w:line="218" w:lineRule="auto"/>
              <w:ind w:left="444"/>
              <w:rPr>
                <w:sz w:val="20"/>
                <w:szCs w:val="20"/>
              </w:rPr>
            </w:pPr>
            <w:r>
              <w:rPr>
                <w:rFonts w:ascii="仿宋" w:hAnsi="仿宋" w:eastAsia="仿宋" w:cs="仿宋"/>
                <w:spacing w:val="2"/>
                <w:sz w:val="20"/>
                <w:szCs w:val="20"/>
              </w:rPr>
              <w:t>夜间：</w:t>
            </w:r>
            <w:r>
              <w:rPr>
                <w:spacing w:val="2"/>
                <w:sz w:val="20"/>
                <w:szCs w:val="20"/>
              </w:rPr>
              <w:t>2026.6.</w:t>
            </w:r>
            <w:r>
              <w:rPr>
                <w:spacing w:val="-19"/>
                <w:sz w:val="20"/>
                <w:szCs w:val="20"/>
              </w:rPr>
              <w:t xml:space="preserve"> </w:t>
            </w:r>
            <w:r>
              <w:rPr>
                <w:spacing w:val="2"/>
                <w:sz w:val="20"/>
                <w:szCs w:val="20"/>
              </w:rPr>
              <w:t>14</w:t>
            </w:r>
          </w:p>
        </w:tc>
        <w:tc>
          <w:tcPr>
            <w:tcW w:w="2701" w:type="dxa"/>
            <w:gridSpan w:val="3"/>
            <w:tcBorders>
              <w:right w:val="nil"/>
            </w:tcBorders>
            <w:vAlign w:val="top"/>
          </w:tcPr>
          <w:p w14:paraId="0C45F1DC">
            <w:pPr>
              <w:spacing w:before="68" w:line="218" w:lineRule="auto"/>
              <w:ind w:left="841"/>
              <w:rPr>
                <w:rFonts w:ascii="仿宋" w:hAnsi="仿宋" w:eastAsia="仿宋" w:cs="仿宋"/>
                <w:sz w:val="20"/>
                <w:szCs w:val="20"/>
              </w:rPr>
            </w:pPr>
            <w:r>
              <w:rPr>
                <w:rFonts w:ascii="仿宋" w:hAnsi="仿宋" w:eastAsia="仿宋" w:cs="仿宋"/>
                <w:spacing w:val="6"/>
                <w:sz w:val="20"/>
                <w:szCs w:val="20"/>
              </w:rPr>
              <w:t>车流量统计</w:t>
            </w:r>
          </w:p>
        </w:tc>
      </w:tr>
      <w:tr w14:paraId="2B663D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480" w:type="dxa"/>
            <w:vMerge w:val="continue"/>
            <w:tcBorders>
              <w:top w:val="nil"/>
              <w:left w:val="nil"/>
            </w:tcBorders>
            <w:vAlign w:val="top"/>
          </w:tcPr>
          <w:p w14:paraId="7FF8EB5C">
            <w:pPr>
              <w:rPr>
                <w:rFonts w:ascii="Arial"/>
                <w:sz w:val="21"/>
              </w:rPr>
            </w:pPr>
          </w:p>
        </w:tc>
        <w:tc>
          <w:tcPr>
            <w:tcW w:w="1243" w:type="dxa"/>
            <w:vAlign w:val="top"/>
          </w:tcPr>
          <w:p w14:paraId="0A50495D">
            <w:pPr>
              <w:spacing w:before="69" w:line="218" w:lineRule="auto"/>
              <w:ind w:left="213"/>
              <w:rPr>
                <w:rFonts w:ascii="仿宋" w:hAnsi="仿宋" w:eastAsia="仿宋" w:cs="仿宋"/>
                <w:sz w:val="20"/>
                <w:szCs w:val="20"/>
              </w:rPr>
            </w:pPr>
            <w:r>
              <w:rPr>
                <w:rFonts w:ascii="仿宋" w:hAnsi="仿宋" w:eastAsia="仿宋" w:cs="仿宋"/>
                <w:spacing w:val="5"/>
                <w:sz w:val="20"/>
                <w:szCs w:val="20"/>
              </w:rPr>
              <w:t>检测时间</w:t>
            </w:r>
          </w:p>
        </w:tc>
        <w:tc>
          <w:tcPr>
            <w:tcW w:w="1094" w:type="dxa"/>
            <w:vAlign w:val="top"/>
          </w:tcPr>
          <w:p w14:paraId="0308FA92">
            <w:pPr>
              <w:spacing w:before="69" w:line="218" w:lineRule="auto"/>
              <w:ind w:left="137"/>
              <w:rPr>
                <w:rFonts w:ascii="仿宋" w:hAnsi="仿宋" w:eastAsia="仿宋" w:cs="仿宋"/>
                <w:sz w:val="20"/>
                <w:szCs w:val="20"/>
              </w:rPr>
            </w:pPr>
            <w:r>
              <w:rPr>
                <w:rFonts w:ascii="仿宋" w:hAnsi="仿宋" w:eastAsia="仿宋" w:cs="仿宋"/>
                <w:spacing w:val="5"/>
                <w:sz w:val="20"/>
                <w:szCs w:val="20"/>
              </w:rPr>
              <w:t>测定结果</w:t>
            </w:r>
          </w:p>
        </w:tc>
        <w:tc>
          <w:tcPr>
            <w:tcW w:w="942" w:type="dxa"/>
            <w:vAlign w:val="top"/>
          </w:tcPr>
          <w:p w14:paraId="2EBD4AE5">
            <w:pPr>
              <w:spacing w:before="69" w:line="218" w:lineRule="auto"/>
              <w:ind w:left="169"/>
              <w:rPr>
                <w:rFonts w:ascii="仿宋" w:hAnsi="仿宋" w:eastAsia="仿宋" w:cs="仿宋"/>
                <w:sz w:val="20"/>
                <w:szCs w:val="20"/>
              </w:rPr>
            </w:pPr>
            <w:r>
              <w:rPr>
                <w:rFonts w:ascii="仿宋" w:hAnsi="仿宋" w:eastAsia="仿宋" w:cs="仿宋"/>
                <w:spacing w:val="4"/>
                <w:sz w:val="20"/>
                <w:szCs w:val="20"/>
              </w:rPr>
              <w:t>大型车</w:t>
            </w:r>
          </w:p>
        </w:tc>
        <w:tc>
          <w:tcPr>
            <w:tcW w:w="910" w:type="dxa"/>
            <w:vAlign w:val="top"/>
          </w:tcPr>
          <w:p w14:paraId="66306B76">
            <w:pPr>
              <w:spacing w:before="69" w:line="218" w:lineRule="auto"/>
              <w:ind w:left="178"/>
              <w:rPr>
                <w:rFonts w:ascii="仿宋" w:hAnsi="仿宋" w:eastAsia="仿宋" w:cs="仿宋"/>
                <w:sz w:val="20"/>
                <w:szCs w:val="20"/>
              </w:rPr>
            </w:pPr>
            <w:r>
              <w:rPr>
                <w:rFonts w:ascii="仿宋" w:hAnsi="仿宋" w:eastAsia="仿宋" w:cs="仿宋"/>
                <w:spacing w:val="-4"/>
                <w:sz w:val="20"/>
                <w:szCs w:val="20"/>
              </w:rPr>
              <w:t>中型车</w:t>
            </w:r>
          </w:p>
        </w:tc>
        <w:tc>
          <w:tcPr>
            <w:tcW w:w="849" w:type="dxa"/>
            <w:tcBorders>
              <w:right w:val="nil"/>
            </w:tcBorders>
            <w:vAlign w:val="top"/>
          </w:tcPr>
          <w:p w14:paraId="06EC5B04">
            <w:pPr>
              <w:spacing w:before="69" w:line="218" w:lineRule="auto"/>
              <w:ind w:left="122"/>
              <w:rPr>
                <w:rFonts w:ascii="仿宋" w:hAnsi="仿宋" w:eastAsia="仿宋" w:cs="仿宋"/>
                <w:sz w:val="20"/>
                <w:szCs w:val="20"/>
              </w:rPr>
            </w:pPr>
            <w:r>
              <w:rPr>
                <w:rFonts w:ascii="仿宋" w:hAnsi="仿宋" w:eastAsia="仿宋" w:cs="仿宋"/>
                <w:spacing w:val="5"/>
                <w:sz w:val="20"/>
                <w:szCs w:val="20"/>
              </w:rPr>
              <w:t>小型车</w:t>
            </w:r>
          </w:p>
        </w:tc>
      </w:tr>
      <w:tr w14:paraId="793AA4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480" w:type="dxa"/>
            <w:tcBorders>
              <w:left w:val="nil"/>
            </w:tcBorders>
            <w:vAlign w:val="top"/>
          </w:tcPr>
          <w:p w14:paraId="46B05F5A">
            <w:pPr>
              <w:pStyle w:val="6"/>
              <w:spacing w:before="70" w:line="217" w:lineRule="auto"/>
              <w:ind w:left="219"/>
              <w:rPr>
                <w:rFonts w:ascii="仿宋" w:hAnsi="仿宋" w:eastAsia="仿宋" w:cs="仿宋"/>
                <w:sz w:val="20"/>
                <w:szCs w:val="20"/>
              </w:rPr>
            </w:pPr>
            <w:r>
              <w:rPr>
                <w:rFonts w:ascii="仿宋" w:hAnsi="仿宋" w:eastAsia="仿宋" w:cs="仿宋"/>
                <w:spacing w:val="5"/>
                <w:sz w:val="20"/>
                <w:szCs w:val="20"/>
              </w:rPr>
              <w:t>沿黄公路断面</w:t>
            </w:r>
            <w:r>
              <w:rPr>
                <w:spacing w:val="5"/>
                <w:sz w:val="20"/>
                <w:szCs w:val="20"/>
              </w:rPr>
              <w:t>(</w:t>
            </w:r>
            <w:r>
              <w:rPr>
                <w:rFonts w:ascii="仿宋" w:hAnsi="仿宋" w:eastAsia="仿宋" w:cs="仿宋"/>
                <w:spacing w:val="5"/>
                <w:sz w:val="20"/>
                <w:szCs w:val="20"/>
              </w:rPr>
              <w:t>中心线外</w:t>
            </w:r>
            <w:r>
              <w:rPr>
                <w:rFonts w:ascii="仿宋" w:hAnsi="仿宋" w:eastAsia="仿宋" w:cs="仿宋"/>
                <w:spacing w:val="-27"/>
                <w:sz w:val="20"/>
                <w:szCs w:val="20"/>
              </w:rPr>
              <w:t xml:space="preserve"> </w:t>
            </w:r>
            <w:r>
              <w:rPr>
                <w:spacing w:val="5"/>
                <w:sz w:val="20"/>
                <w:szCs w:val="20"/>
              </w:rPr>
              <w:t>20m</w:t>
            </w:r>
            <w:r>
              <w:rPr>
                <w:spacing w:val="18"/>
                <w:w w:val="101"/>
                <w:sz w:val="20"/>
                <w:szCs w:val="20"/>
              </w:rPr>
              <w:t xml:space="preserve"> </w:t>
            </w:r>
            <w:r>
              <w:rPr>
                <w:rFonts w:ascii="仿宋" w:hAnsi="仿宋" w:eastAsia="仿宋" w:cs="仿宋"/>
                <w:spacing w:val="5"/>
                <w:sz w:val="20"/>
                <w:szCs w:val="20"/>
              </w:rPr>
              <w:t>处）</w:t>
            </w:r>
          </w:p>
        </w:tc>
        <w:tc>
          <w:tcPr>
            <w:tcW w:w="1243" w:type="dxa"/>
            <w:vMerge w:val="restart"/>
            <w:tcBorders>
              <w:bottom w:val="nil"/>
            </w:tcBorders>
            <w:vAlign w:val="top"/>
          </w:tcPr>
          <w:p w14:paraId="46E0A9C0">
            <w:pPr>
              <w:spacing w:line="345" w:lineRule="auto"/>
              <w:rPr>
                <w:rFonts w:ascii="Arial"/>
                <w:sz w:val="21"/>
              </w:rPr>
            </w:pPr>
          </w:p>
          <w:p w14:paraId="20C9D5A0">
            <w:pPr>
              <w:spacing w:line="345" w:lineRule="auto"/>
              <w:rPr>
                <w:rFonts w:ascii="Arial"/>
                <w:sz w:val="21"/>
              </w:rPr>
            </w:pPr>
          </w:p>
          <w:p w14:paraId="4012ADEC">
            <w:pPr>
              <w:pStyle w:val="6"/>
              <w:spacing w:before="57" w:line="195" w:lineRule="auto"/>
              <w:ind w:left="112"/>
              <w:rPr>
                <w:sz w:val="20"/>
                <w:szCs w:val="20"/>
              </w:rPr>
            </w:pPr>
            <w:r>
              <w:rPr>
                <w:spacing w:val="3"/>
                <w:sz w:val="20"/>
                <w:szCs w:val="20"/>
              </w:rPr>
              <w:t>04:39-04:59</w:t>
            </w:r>
          </w:p>
        </w:tc>
        <w:tc>
          <w:tcPr>
            <w:tcW w:w="1094" w:type="dxa"/>
            <w:vAlign w:val="top"/>
          </w:tcPr>
          <w:p w14:paraId="6EE543F7">
            <w:pPr>
              <w:pStyle w:val="6"/>
              <w:spacing w:before="106" w:line="195" w:lineRule="auto"/>
              <w:ind w:left="441"/>
              <w:rPr>
                <w:sz w:val="20"/>
                <w:szCs w:val="20"/>
              </w:rPr>
            </w:pPr>
            <w:r>
              <w:rPr>
                <w:spacing w:val="3"/>
                <w:sz w:val="20"/>
                <w:szCs w:val="20"/>
              </w:rPr>
              <w:t>43</w:t>
            </w:r>
          </w:p>
        </w:tc>
        <w:tc>
          <w:tcPr>
            <w:tcW w:w="942" w:type="dxa"/>
            <w:vMerge w:val="restart"/>
            <w:tcBorders>
              <w:bottom w:val="nil"/>
            </w:tcBorders>
            <w:vAlign w:val="top"/>
          </w:tcPr>
          <w:p w14:paraId="56EDA8BC">
            <w:pPr>
              <w:spacing w:line="345" w:lineRule="auto"/>
              <w:rPr>
                <w:rFonts w:ascii="Arial"/>
                <w:sz w:val="21"/>
              </w:rPr>
            </w:pPr>
          </w:p>
          <w:p w14:paraId="03E1129E">
            <w:pPr>
              <w:spacing w:line="345" w:lineRule="auto"/>
              <w:rPr>
                <w:rFonts w:ascii="Arial"/>
                <w:sz w:val="21"/>
              </w:rPr>
            </w:pPr>
          </w:p>
          <w:p w14:paraId="4C0AE8E9">
            <w:pPr>
              <w:pStyle w:val="6"/>
              <w:spacing w:before="57" w:line="195" w:lineRule="auto"/>
              <w:ind w:left="422"/>
              <w:rPr>
                <w:sz w:val="20"/>
                <w:szCs w:val="20"/>
              </w:rPr>
            </w:pPr>
            <w:r>
              <w:rPr>
                <w:sz w:val="20"/>
                <w:szCs w:val="20"/>
              </w:rPr>
              <w:t>0</w:t>
            </w:r>
          </w:p>
        </w:tc>
        <w:tc>
          <w:tcPr>
            <w:tcW w:w="910" w:type="dxa"/>
            <w:vMerge w:val="restart"/>
            <w:tcBorders>
              <w:bottom w:val="nil"/>
            </w:tcBorders>
            <w:vAlign w:val="top"/>
          </w:tcPr>
          <w:p w14:paraId="79B58B9D">
            <w:pPr>
              <w:spacing w:line="345" w:lineRule="auto"/>
              <w:rPr>
                <w:rFonts w:ascii="Arial"/>
                <w:sz w:val="21"/>
              </w:rPr>
            </w:pPr>
          </w:p>
          <w:p w14:paraId="7DC5C9A4">
            <w:pPr>
              <w:spacing w:line="345" w:lineRule="auto"/>
              <w:rPr>
                <w:rFonts w:ascii="Arial"/>
                <w:sz w:val="21"/>
              </w:rPr>
            </w:pPr>
          </w:p>
          <w:p w14:paraId="6E22C634">
            <w:pPr>
              <w:pStyle w:val="6"/>
              <w:spacing w:before="57" w:line="195" w:lineRule="auto"/>
              <w:ind w:left="425"/>
              <w:rPr>
                <w:sz w:val="20"/>
                <w:szCs w:val="20"/>
              </w:rPr>
            </w:pPr>
            <w:r>
              <w:rPr>
                <w:sz w:val="20"/>
                <w:szCs w:val="20"/>
              </w:rPr>
              <w:t>1</w:t>
            </w:r>
          </w:p>
        </w:tc>
        <w:tc>
          <w:tcPr>
            <w:tcW w:w="849" w:type="dxa"/>
            <w:vMerge w:val="restart"/>
            <w:tcBorders>
              <w:bottom w:val="nil"/>
              <w:right w:val="nil"/>
            </w:tcBorders>
            <w:vAlign w:val="top"/>
          </w:tcPr>
          <w:p w14:paraId="13EB455C">
            <w:pPr>
              <w:spacing w:line="345" w:lineRule="auto"/>
              <w:rPr>
                <w:rFonts w:ascii="Arial"/>
                <w:sz w:val="21"/>
              </w:rPr>
            </w:pPr>
          </w:p>
          <w:p w14:paraId="139F7FF4">
            <w:pPr>
              <w:spacing w:line="345" w:lineRule="auto"/>
              <w:rPr>
                <w:rFonts w:ascii="Arial"/>
                <w:sz w:val="21"/>
              </w:rPr>
            </w:pPr>
          </w:p>
          <w:p w14:paraId="0B91BF55">
            <w:pPr>
              <w:pStyle w:val="6"/>
              <w:spacing w:before="57" w:line="195" w:lineRule="auto"/>
              <w:ind w:left="394"/>
              <w:rPr>
                <w:sz w:val="20"/>
                <w:szCs w:val="20"/>
              </w:rPr>
            </w:pPr>
            <w:r>
              <w:rPr>
                <w:sz w:val="20"/>
                <w:szCs w:val="20"/>
              </w:rPr>
              <w:t>1</w:t>
            </w:r>
          </w:p>
        </w:tc>
      </w:tr>
      <w:tr w14:paraId="14C995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480" w:type="dxa"/>
            <w:tcBorders>
              <w:left w:val="nil"/>
            </w:tcBorders>
            <w:vAlign w:val="top"/>
          </w:tcPr>
          <w:p w14:paraId="5EE1C39D">
            <w:pPr>
              <w:pStyle w:val="6"/>
              <w:spacing w:before="70" w:line="217" w:lineRule="auto"/>
              <w:ind w:left="219"/>
              <w:rPr>
                <w:rFonts w:ascii="仿宋" w:hAnsi="仿宋" w:eastAsia="仿宋" w:cs="仿宋"/>
                <w:sz w:val="20"/>
                <w:szCs w:val="20"/>
              </w:rPr>
            </w:pPr>
            <w:r>
              <w:rPr>
                <w:rFonts w:ascii="仿宋" w:hAnsi="仿宋" w:eastAsia="仿宋" w:cs="仿宋"/>
                <w:spacing w:val="6"/>
                <w:sz w:val="20"/>
                <w:szCs w:val="20"/>
              </w:rPr>
              <w:t>沿黄公路断面</w:t>
            </w:r>
            <w:r>
              <w:rPr>
                <w:spacing w:val="6"/>
                <w:sz w:val="20"/>
                <w:szCs w:val="20"/>
              </w:rPr>
              <w:t>(</w:t>
            </w:r>
            <w:r>
              <w:rPr>
                <w:rFonts w:ascii="仿宋" w:hAnsi="仿宋" w:eastAsia="仿宋" w:cs="仿宋"/>
                <w:spacing w:val="6"/>
                <w:sz w:val="20"/>
                <w:szCs w:val="20"/>
              </w:rPr>
              <w:t>中心线外</w:t>
            </w:r>
            <w:r>
              <w:rPr>
                <w:rFonts w:ascii="仿宋" w:hAnsi="仿宋" w:eastAsia="仿宋" w:cs="仿宋"/>
                <w:spacing w:val="-42"/>
                <w:sz w:val="20"/>
                <w:szCs w:val="20"/>
              </w:rPr>
              <w:t xml:space="preserve"> </w:t>
            </w:r>
            <w:r>
              <w:rPr>
                <w:spacing w:val="6"/>
                <w:sz w:val="20"/>
                <w:szCs w:val="20"/>
              </w:rPr>
              <w:t>40m</w:t>
            </w:r>
            <w:r>
              <w:rPr>
                <w:spacing w:val="18"/>
                <w:sz w:val="20"/>
                <w:szCs w:val="20"/>
              </w:rPr>
              <w:t xml:space="preserve"> </w:t>
            </w:r>
            <w:r>
              <w:rPr>
                <w:rFonts w:ascii="仿宋" w:hAnsi="仿宋" w:eastAsia="仿宋" w:cs="仿宋"/>
                <w:spacing w:val="6"/>
                <w:sz w:val="20"/>
                <w:szCs w:val="20"/>
              </w:rPr>
              <w:t>处）</w:t>
            </w:r>
          </w:p>
        </w:tc>
        <w:tc>
          <w:tcPr>
            <w:tcW w:w="1243" w:type="dxa"/>
            <w:vMerge w:val="continue"/>
            <w:tcBorders>
              <w:top w:val="nil"/>
              <w:bottom w:val="nil"/>
            </w:tcBorders>
            <w:vAlign w:val="top"/>
          </w:tcPr>
          <w:p w14:paraId="7C2AC1F8">
            <w:pPr>
              <w:rPr>
                <w:rFonts w:ascii="Arial"/>
                <w:sz w:val="21"/>
              </w:rPr>
            </w:pPr>
          </w:p>
        </w:tc>
        <w:tc>
          <w:tcPr>
            <w:tcW w:w="1094" w:type="dxa"/>
            <w:vAlign w:val="top"/>
          </w:tcPr>
          <w:p w14:paraId="206D181D">
            <w:pPr>
              <w:pStyle w:val="6"/>
              <w:spacing w:before="107" w:line="195" w:lineRule="auto"/>
              <w:ind w:left="441"/>
              <w:rPr>
                <w:sz w:val="20"/>
                <w:szCs w:val="20"/>
              </w:rPr>
            </w:pPr>
            <w:r>
              <w:rPr>
                <w:spacing w:val="3"/>
                <w:sz w:val="20"/>
                <w:szCs w:val="20"/>
              </w:rPr>
              <w:t>42</w:t>
            </w:r>
          </w:p>
        </w:tc>
        <w:tc>
          <w:tcPr>
            <w:tcW w:w="942" w:type="dxa"/>
            <w:vMerge w:val="continue"/>
            <w:tcBorders>
              <w:top w:val="nil"/>
              <w:bottom w:val="nil"/>
            </w:tcBorders>
            <w:vAlign w:val="top"/>
          </w:tcPr>
          <w:p w14:paraId="5C49CAEE">
            <w:pPr>
              <w:rPr>
                <w:rFonts w:ascii="Arial"/>
                <w:sz w:val="21"/>
              </w:rPr>
            </w:pPr>
          </w:p>
        </w:tc>
        <w:tc>
          <w:tcPr>
            <w:tcW w:w="910" w:type="dxa"/>
            <w:vMerge w:val="continue"/>
            <w:tcBorders>
              <w:top w:val="nil"/>
              <w:bottom w:val="nil"/>
            </w:tcBorders>
            <w:vAlign w:val="top"/>
          </w:tcPr>
          <w:p w14:paraId="163A43FC">
            <w:pPr>
              <w:rPr>
                <w:rFonts w:ascii="Arial"/>
                <w:sz w:val="21"/>
              </w:rPr>
            </w:pPr>
          </w:p>
        </w:tc>
        <w:tc>
          <w:tcPr>
            <w:tcW w:w="849" w:type="dxa"/>
            <w:vMerge w:val="continue"/>
            <w:tcBorders>
              <w:top w:val="nil"/>
              <w:bottom w:val="nil"/>
              <w:right w:val="nil"/>
            </w:tcBorders>
            <w:vAlign w:val="top"/>
          </w:tcPr>
          <w:p w14:paraId="499EF422">
            <w:pPr>
              <w:rPr>
                <w:rFonts w:ascii="Arial"/>
                <w:sz w:val="21"/>
              </w:rPr>
            </w:pPr>
          </w:p>
        </w:tc>
      </w:tr>
      <w:tr w14:paraId="2CE8A3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480" w:type="dxa"/>
            <w:tcBorders>
              <w:left w:val="nil"/>
            </w:tcBorders>
            <w:vAlign w:val="top"/>
          </w:tcPr>
          <w:p w14:paraId="48A95BC2">
            <w:pPr>
              <w:pStyle w:val="6"/>
              <w:spacing w:before="74" w:line="214" w:lineRule="auto"/>
              <w:ind w:left="219"/>
              <w:rPr>
                <w:rFonts w:ascii="仿宋" w:hAnsi="仿宋" w:eastAsia="仿宋" w:cs="仿宋"/>
                <w:sz w:val="20"/>
                <w:szCs w:val="20"/>
              </w:rPr>
            </w:pPr>
            <w:r>
              <w:rPr>
                <w:rFonts w:ascii="仿宋" w:hAnsi="仿宋" w:eastAsia="仿宋" w:cs="仿宋"/>
                <w:spacing w:val="5"/>
                <w:sz w:val="20"/>
                <w:szCs w:val="20"/>
              </w:rPr>
              <w:t>沿黄公路断面</w:t>
            </w:r>
            <w:r>
              <w:rPr>
                <w:spacing w:val="5"/>
                <w:sz w:val="20"/>
                <w:szCs w:val="20"/>
              </w:rPr>
              <w:t>(</w:t>
            </w:r>
            <w:r>
              <w:rPr>
                <w:rFonts w:ascii="仿宋" w:hAnsi="仿宋" w:eastAsia="仿宋" w:cs="仿宋"/>
                <w:spacing w:val="5"/>
                <w:sz w:val="20"/>
                <w:szCs w:val="20"/>
              </w:rPr>
              <w:t>中心线外</w:t>
            </w:r>
            <w:r>
              <w:rPr>
                <w:rFonts w:ascii="仿宋" w:hAnsi="仿宋" w:eastAsia="仿宋" w:cs="仿宋"/>
                <w:spacing w:val="-27"/>
                <w:sz w:val="20"/>
                <w:szCs w:val="20"/>
              </w:rPr>
              <w:t xml:space="preserve"> </w:t>
            </w:r>
            <w:r>
              <w:rPr>
                <w:spacing w:val="5"/>
                <w:sz w:val="20"/>
                <w:szCs w:val="20"/>
              </w:rPr>
              <w:t>60m</w:t>
            </w:r>
            <w:r>
              <w:rPr>
                <w:spacing w:val="18"/>
                <w:w w:val="101"/>
                <w:sz w:val="20"/>
                <w:szCs w:val="20"/>
              </w:rPr>
              <w:t xml:space="preserve"> </w:t>
            </w:r>
            <w:r>
              <w:rPr>
                <w:rFonts w:ascii="仿宋" w:hAnsi="仿宋" w:eastAsia="仿宋" w:cs="仿宋"/>
                <w:spacing w:val="5"/>
                <w:sz w:val="20"/>
                <w:szCs w:val="20"/>
              </w:rPr>
              <w:t>处）</w:t>
            </w:r>
          </w:p>
        </w:tc>
        <w:tc>
          <w:tcPr>
            <w:tcW w:w="1243" w:type="dxa"/>
            <w:vMerge w:val="continue"/>
            <w:tcBorders>
              <w:top w:val="nil"/>
              <w:bottom w:val="nil"/>
            </w:tcBorders>
            <w:vAlign w:val="top"/>
          </w:tcPr>
          <w:p w14:paraId="0B3F9FA5">
            <w:pPr>
              <w:rPr>
                <w:rFonts w:ascii="Arial"/>
                <w:sz w:val="21"/>
              </w:rPr>
            </w:pPr>
          </w:p>
        </w:tc>
        <w:tc>
          <w:tcPr>
            <w:tcW w:w="1094" w:type="dxa"/>
            <w:vAlign w:val="top"/>
          </w:tcPr>
          <w:p w14:paraId="20BC54F6">
            <w:pPr>
              <w:pStyle w:val="6"/>
              <w:spacing w:before="110" w:line="195" w:lineRule="auto"/>
              <w:ind w:left="441"/>
              <w:rPr>
                <w:sz w:val="20"/>
                <w:szCs w:val="20"/>
              </w:rPr>
            </w:pPr>
            <w:r>
              <w:rPr>
                <w:spacing w:val="3"/>
                <w:sz w:val="20"/>
                <w:szCs w:val="20"/>
              </w:rPr>
              <w:t>40</w:t>
            </w:r>
          </w:p>
        </w:tc>
        <w:tc>
          <w:tcPr>
            <w:tcW w:w="942" w:type="dxa"/>
            <w:vMerge w:val="continue"/>
            <w:tcBorders>
              <w:top w:val="nil"/>
              <w:bottom w:val="nil"/>
            </w:tcBorders>
            <w:vAlign w:val="top"/>
          </w:tcPr>
          <w:p w14:paraId="155815D6">
            <w:pPr>
              <w:rPr>
                <w:rFonts w:ascii="Arial"/>
                <w:sz w:val="21"/>
              </w:rPr>
            </w:pPr>
          </w:p>
        </w:tc>
        <w:tc>
          <w:tcPr>
            <w:tcW w:w="910" w:type="dxa"/>
            <w:vMerge w:val="continue"/>
            <w:tcBorders>
              <w:top w:val="nil"/>
              <w:bottom w:val="nil"/>
            </w:tcBorders>
            <w:vAlign w:val="top"/>
          </w:tcPr>
          <w:p w14:paraId="389C33EC">
            <w:pPr>
              <w:rPr>
                <w:rFonts w:ascii="Arial"/>
                <w:sz w:val="21"/>
              </w:rPr>
            </w:pPr>
          </w:p>
        </w:tc>
        <w:tc>
          <w:tcPr>
            <w:tcW w:w="849" w:type="dxa"/>
            <w:vMerge w:val="continue"/>
            <w:tcBorders>
              <w:top w:val="nil"/>
              <w:bottom w:val="nil"/>
              <w:right w:val="nil"/>
            </w:tcBorders>
            <w:vAlign w:val="top"/>
          </w:tcPr>
          <w:p w14:paraId="11B10B11">
            <w:pPr>
              <w:rPr>
                <w:rFonts w:ascii="Arial"/>
                <w:sz w:val="21"/>
              </w:rPr>
            </w:pPr>
          </w:p>
        </w:tc>
      </w:tr>
      <w:tr w14:paraId="3271EF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480" w:type="dxa"/>
            <w:tcBorders>
              <w:left w:val="nil"/>
            </w:tcBorders>
            <w:vAlign w:val="top"/>
          </w:tcPr>
          <w:p w14:paraId="52F9750B">
            <w:pPr>
              <w:pStyle w:val="6"/>
              <w:spacing w:before="75" w:line="213" w:lineRule="auto"/>
              <w:ind w:left="219"/>
              <w:rPr>
                <w:rFonts w:ascii="仿宋" w:hAnsi="仿宋" w:eastAsia="仿宋" w:cs="仿宋"/>
                <w:sz w:val="20"/>
                <w:szCs w:val="20"/>
              </w:rPr>
            </w:pPr>
            <w:r>
              <w:rPr>
                <w:rFonts w:ascii="仿宋" w:hAnsi="仿宋" w:eastAsia="仿宋" w:cs="仿宋"/>
                <w:spacing w:val="5"/>
                <w:sz w:val="20"/>
                <w:szCs w:val="20"/>
              </w:rPr>
              <w:t>沿黄公路断面</w:t>
            </w:r>
            <w:r>
              <w:rPr>
                <w:spacing w:val="5"/>
                <w:sz w:val="20"/>
                <w:szCs w:val="20"/>
              </w:rPr>
              <w:t>(</w:t>
            </w:r>
            <w:r>
              <w:rPr>
                <w:rFonts w:ascii="仿宋" w:hAnsi="仿宋" w:eastAsia="仿宋" w:cs="仿宋"/>
                <w:spacing w:val="5"/>
                <w:sz w:val="20"/>
                <w:szCs w:val="20"/>
              </w:rPr>
              <w:t>中心线外</w:t>
            </w:r>
            <w:r>
              <w:rPr>
                <w:rFonts w:ascii="仿宋" w:hAnsi="仿宋" w:eastAsia="仿宋" w:cs="仿宋"/>
                <w:spacing w:val="-27"/>
                <w:sz w:val="20"/>
                <w:szCs w:val="20"/>
              </w:rPr>
              <w:t xml:space="preserve"> </w:t>
            </w:r>
            <w:r>
              <w:rPr>
                <w:spacing w:val="5"/>
                <w:sz w:val="20"/>
                <w:szCs w:val="20"/>
              </w:rPr>
              <w:t>80m</w:t>
            </w:r>
            <w:r>
              <w:rPr>
                <w:spacing w:val="18"/>
                <w:w w:val="101"/>
                <w:sz w:val="20"/>
                <w:szCs w:val="20"/>
              </w:rPr>
              <w:t xml:space="preserve"> </w:t>
            </w:r>
            <w:r>
              <w:rPr>
                <w:rFonts w:ascii="仿宋" w:hAnsi="仿宋" w:eastAsia="仿宋" w:cs="仿宋"/>
                <w:spacing w:val="5"/>
                <w:sz w:val="20"/>
                <w:szCs w:val="20"/>
              </w:rPr>
              <w:t>处）</w:t>
            </w:r>
          </w:p>
        </w:tc>
        <w:tc>
          <w:tcPr>
            <w:tcW w:w="1243" w:type="dxa"/>
            <w:vMerge w:val="continue"/>
            <w:tcBorders>
              <w:top w:val="nil"/>
              <w:bottom w:val="nil"/>
            </w:tcBorders>
            <w:vAlign w:val="top"/>
          </w:tcPr>
          <w:p w14:paraId="10CB7F94">
            <w:pPr>
              <w:rPr>
                <w:rFonts w:ascii="Arial"/>
                <w:sz w:val="21"/>
              </w:rPr>
            </w:pPr>
          </w:p>
        </w:tc>
        <w:tc>
          <w:tcPr>
            <w:tcW w:w="1094" w:type="dxa"/>
            <w:vAlign w:val="top"/>
          </w:tcPr>
          <w:p w14:paraId="1EF4E2F3">
            <w:pPr>
              <w:pStyle w:val="6"/>
              <w:spacing w:before="110" w:line="195" w:lineRule="auto"/>
              <w:ind w:left="446"/>
              <w:rPr>
                <w:sz w:val="20"/>
                <w:szCs w:val="20"/>
              </w:rPr>
            </w:pPr>
            <w:r>
              <w:rPr>
                <w:sz w:val="20"/>
                <w:szCs w:val="20"/>
              </w:rPr>
              <w:t>37</w:t>
            </w:r>
          </w:p>
        </w:tc>
        <w:tc>
          <w:tcPr>
            <w:tcW w:w="942" w:type="dxa"/>
            <w:vMerge w:val="continue"/>
            <w:tcBorders>
              <w:top w:val="nil"/>
              <w:bottom w:val="nil"/>
            </w:tcBorders>
            <w:vAlign w:val="top"/>
          </w:tcPr>
          <w:p w14:paraId="3F7ED165">
            <w:pPr>
              <w:rPr>
                <w:rFonts w:ascii="Arial"/>
                <w:sz w:val="21"/>
              </w:rPr>
            </w:pPr>
          </w:p>
        </w:tc>
        <w:tc>
          <w:tcPr>
            <w:tcW w:w="910" w:type="dxa"/>
            <w:vMerge w:val="continue"/>
            <w:tcBorders>
              <w:top w:val="nil"/>
              <w:bottom w:val="nil"/>
            </w:tcBorders>
            <w:vAlign w:val="top"/>
          </w:tcPr>
          <w:p w14:paraId="7925F0BA">
            <w:pPr>
              <w:rPr>
                <w:rFonts w:ascii="Arial"/>
                <w:sz w:val="21"/>
              </w:rPr>
            </w:pPr>
          </w:p>
        </w:tc>
        <w:tc>
          <w:tcPr>
            <w:tcW w:w="849" w:type="dxa"/>
            <w:vMerge w:val="continue"/>
            <w:tcBorders>
              <w:top w:val="nil"/>
              <w:bottom w:val="nil"/>
              <w:right w:val="nil"/>
            </w:tcBorders>
            <w:vAlign w:val="top"/>
          </w:tcPr>
          <w:p w14:paraId="691949D7">
            <w:pPr>
              <w:rPr>
                <w:rFonts w:ascii="Arial"/>
                <w:sz w:val="21"/>
              </w:rPr>
            </w:pPr>
          </w:p>
        </w:tc>
      </w:tr>
      <w:tr w14:paraId="1D2FE7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3480" w:type="dxa"/>
            <w:tcBorders>
              <w:left w:val="nil"/>
              <w:bottom w:val="single" w:color="000000" w:sz="10" w:space="0"/>
            </w:tcBorders>
            <w:vAlign w:val="top"/>
          </w:tcPr>
          <w:p w14:paraId="0372EBD3">
            <w:pPr>
              <w:pStyle w:val="6"/>
              <w:spacing w:before="75" w:line="221" w:lineRule="auto"/>
              <w:ind w:left="166"/>
              <w:rPr>
                <w:rFonts w:ascii="仿宋" w:hAnsi="仿宋" w:eastAsia="仿宋" w:cs="仿宋"/>
                <w:sz w:val="20"/>
                <w:szCs w:val="20"/>
              </w:rPr>
            </w:pPr>
            <w:r>
              <w:rPr>
                <w:rFonts w:ascii="仿宋" w:hAnsi="仿宋" w:eastAsia="仿宋" w:cs="仿宋"/>
                <w:spacing w:val="4"/>
                <w:sz w:val="20"/>
                <w:szCs w:val="20"/>
              </w:rPr>
              <w:t>沿黄公路断面</w:t>
            </w:r>
            <w:r>
              <w:rPr>
                <w:spacing w:val="4"/>
                <w:sz w:val="20"/>
                <w:szCs w:val="20"/>
              </w:rPr>
              <w:t>(</w:t>
            </w:r>
            <w:r>
              <w:rPr>
                <w:rFonts w:ascii="仿宋" w:hAnsi="仿宋" w:eastAsia="仿宋" w:cs="仿宋"/>
                <w:spacing w:val="4"/>
                <w:sz w:val="20"/>
                <w:szCs w:val="20"/>
              </w:rPr>
              <w:t>中心线外</w:t>
            </w:r>
            <w:r>
              <w:rPr>
                <w:rFonts w:ascii="仿宋" w:hAnsi="仿宋" w:eastAsia="仿宋" w:cs="仿宋"/>
                <w:spacing w:val="-10"/>
                <w:sz w:val="20"/>
                <w:szCs w:val="20"/>
              </w:rPr>
              <w:t xml:space="preserve"> </w:t>
            </w:r>
            <w:r>
              <w:rPr>
                <w:spacing w:val="4"/>
                <w:sz w:val="20"/>
                <w:szCs w:val="20"/>
              </w:rPr>
              <w:t>120m</w:t>
            </w:r>
            <w:r>
              <w:rPr>
                <w:spacing w:val="16"/>
                <w:w w:val="101"/>
                <w:sz w:val="20"/>
                <w:szCs w:val="20"/>
              </w:rPr>
              <w:t xml:space="preserve"> </w:t>
            </w:r>
            <w:r>
              <w:rPr>
                <w:rFonts w:ascii="仿宋" w:hAnsi="仿宋" w:eastAsia="仿宋" w:cs="仿宋"/>
                <w:spacing w:val="4"/>
                <w:sz w:val="20"/>
                <w:szCs w:val="20"/>
              </w:rPr>
              <w:t>处）</w:t>
            </w:r>
          </w:p>
        </w:tc>
        <w:tc>
          <w:tcPr>
            <w:tcW w:w="1243" w:type="dxa"/>
            <w:vMerge w:val="continue"/>
            <w:tcBorders>
              <w:top w:val="nil"/>
              <w:bottom w:val="single" w:color="000000" w:sz="10" w:space="0"/>
            </w:tcBorders>
            <w:vAlign w:val="top"/>
          </w:tcPr>
          <w:p w14:paraId="430D48C1">
            <w:pPr>
              <w:rPr>
                <w:rFonts w:ascii="Arial"/>
                <w:sz w:val="21"/>
              </w:rPr>
            </w:pPr>
          </w:p>
        </w:tc>
        <w:tc>
          <w:tcPr>
            <w:tcW w:w="1094" w:type="dxa"/>
            <w:tcBorders>
              <w:bottom w:val="single" w:color="000000" w:sz="10" w:space="0"/>
            </w:tcBorders>
            <w:vAlign w:val="top"/>
          </w:tcPr>
          <w:p w14:paraId="01C93FE9">
            <w:pPr>
              <w:pStyle w:val="6"/>
              <w:spacing w:before="111" w:line="195" w:lineRule="auto"/>
              <w:ind w:left="446"/>
              <w:rPr>
                <w:sz w:val="20"/>
                <w:szCs w:val="20"/>
              </w:rPr>
            </w:pPr>
            <w:r>
              <w:rPr>
                <w:sz w:val="20"/>
                <w:szCs w:val="20"/>
              </w:rPr>
              <w:t>36</w:t>
            </w:r>
          </w:p>
        </w:tc>
        <w:tc>
          <w:tcPr>
            <w:tcW w:w="942" w:type="dxa"/>
            <w:vMerge w:val="continue"/>
            <w:tcBorders>
              <w:top w:val="nil"/>
              <w:bottom w:val="single" w:color="000000" w:sz="10" w:space="0"/>
            </w:tcBorders>
            <w:vAlign w:val="top"/>
          </w:tcPr>
          <w:p w14:paraId="3F4BC3F4">
            <w:pPr>
              <w:rPr>
                <w:rFonts w:ascii="Arial"/>
                <w:sz w:val="21"/>
              </w:rPr>
            </w:pPr>
          </w:p>
        </w:tc>
        <w:tc>
          <w:tcPr>
            <w:tcW w:w="910" w:type="dxa"/>
            <w:vMerge w:val="continue"/>
            <w:tcBorders>
              <w:top w:val="nil"/>
              <w:bottom w:val="single" w:color="000000" w:sz="10" w:space="0"/>
            </w:tcBorders>
            <w:vAlign w:val="top"/>
          </w:tcPr>
          <w:p w14:paraId="0B99871A">
            <w:pPr>
              <w:rPr>
                <w:rFonts w:ascii="Arial"/>
                <w:sz w:val="21"/>
              </w:rPr>
            </w:pPr>
          </w:p>
        </w:tc>
        <w:tc>
          <w:tcPr>
            <w:tcW w:w="849" w:type="dxa"/>
            <w:vMerge w:val="continue"/>
            <w:tcBorders>
              <w:top w:val="nil"/>
              <w:bottom w:val="single" w:color="000000" w:sz="10" w:space="0"/>
              <w:right w:val="nil"/>
            </w:tcBorders>
            <w:vAlign w:val="top"/>
          </w:tcPr>
          <w:p w14:paraId="0DFFC597">
            <w:pPr>
              <w:rPr>
                <w:rFonts w:ascii="Arial"/>
                <w:sz w:val="21"/>
              </w:rPr>
            </w:pPr>
          </w:p>
        </w:tc>
      </w:tr>
    </w:tbl>
    <w:p w14:paraId="60169178">
      <w:pPr>
        <w:pStyle w:val="2"/>
        <w:spacing w:line="295" w:lineRule="auto"/>
        <w:rPr>
          <w:sz w:val="21"/>
        </w:rPr>
      </w:pPr>
    </w:p>
    <w:p w14:paraId="051F939E">
      <w:pPr>
        <w:pStyle w:val="2"/>
        <w:spacing w:line="296" w:lineRule="auto"/>
        <w:rPr>
          <w:sz w:val="21"/>
        </w:rPr>
      </w:pPr>
    </w:p>
    <w:p w14:paraId="1F4DEF24">
      <w:pPr>
        <w:pStyle w:val="2"/>
        <w:spacing w:line="296" w:lineRule="auto"/>
        <w:rPr>
          <w:sz w:val="21"/>
        </w:rPr>
      </w:pPr>
    </w:p>
    <w:p w14:paraId="4801277D">
      <w:pPr>
        <w:spacing w:before="78" w:line="220" w:lineRule="auto"/>
        <w:ind w:left="1022"/>
        <w:rPr>
          <w:rFonts w:ascii="仿宋" w:hAnsi="仿宋" w:eastAsia="仿宋" w:cs="仿宋"/>
          <w:sz w:val="24"/>
          <w:szCs w:val="24"/>
        </w:rPr>
      </w:pPr>
      <w:r>
        <w:rPr>
          <w:rFonts w:ascii="仿宋" w:hAnsi="仿宋" w:eastAsia="仿宋" w:cs="仿宋"/>
          <w:b/>
          <w:bCs/>
          <w:spacing w:val="-4"/>
          <w:sz w:val="24"/>
          <w:szCs w:val="24"/>
        </w:rPr>
        <w:t>表</w:t>
      </w:r>
      <w:r>
        <w:rPr>
          <w:rFonts w:ascii="仿宋" w:hAnsi="仿宋" w:eastAsia="仿宋" w:cs="仿宋"/>
          <w:spacing w:val="-47"/>
          <w:sz w:val="24"/>
          <w:szCs w:val="24"/>
        </w:rPr>
        <w:t xml:space="preserve"> </w:t>
      </w:r>
      <w:r>
        <w:rPr>
          <w:rFonts w:ascii="仿宋" w:hAnsi="仿宋" w:eastAsia="仿宋" w:cs="仿宋"/>
          <w:b/>
          <w:bCs/>
          <w:spacing w:val="-4"/>
          <w:sz w:val="24"/>
          <w:szCs w:val="24"/>
        </w:rPr>
        <w:t>3.2-6</w:t>
      </w:r>
      <w:r>
        <w:rPr>
          <w:rFonts w:ascii="仿宋" w:hAnsi="仿宋" w:eastAsia="仿宋" w:cs="仿宋"/>
          <w:spacing w:val="-45"/>
          <w:sz w:val="24"/>
          <w:szCs w:val="24"/>
        </w:rPr>
        <w:t xml:space="preserve"> </w:t>
      </w:r>
      <w:r>
        <w:rPr>
          <w:rFonts w:ascii="仿宋" w:hAnsi="仿宋" w:eastAsia="仿宋" w:cs="仿宋"/>
          <w:b/>
          <w:bCs/>
          <w:spacing w:val="-4"/>
          <w:sz w:val="24"/>
          <w:szCs w:val="24"/>
        </w:rPr>
        <w:t>现有道路衰减断面噪声检测结果</w:t>
      </w:r>
      <w:r>
        <w:rPr>
          <w:rFonts w:ascii="仿宋" w:hAnsi="仿宋" w:eastAsia="仿宋" w:cs="仿宋"/>
          <w:spacing w:val="-4"/>
          <w:sz w:val="24"/>
          <w:szCs w:val="24"/>
        </w:rPr>
        <w:t xml:space="preserve">     </w:t>
      </w:r>
      <w:r>
        <w:rPr>
          <w:rFonts w:ascii="仿宋" w:hAnsi="仿宋" w:eastAsia="仿宋" w:cs="仿宋"/>
          <w:b/>
          <w:bCs/>
          <w:spacing w:val="-4"/>
          <w:sz w:val="24"/>
          <w:szCs w:val="24"/>
        </w:rPr>
        <w:t>单位:</w:t>
      </w:r>
      <w:r>
        <w:rPr>
          <w:rFonts w:ascii="仿宋" w:hAnsi="仿宋" w:eastAsia="仿宋" w:cs="仿宋"/>
          <w:spacing w:val="48"/>
          <w:sz w:val="24"/>
          <w:szCs w:val="24"/>
        </w:rPr>
        <w:t xml:space="preserve"> </w:t>
      </w:r>
      <w:r>
        <w:rPr>
          <w:rFonts w:ascii="仿宋" w:hAnsi="仿宋" w:eastAsia="仿宋" w:cs="仿宋"/>
          <w:b/>
          <w:bCs/>
          <w:spacing w:val="-4"/>
          <w:sz w:val="24"/>
          <w:szCs w:val="24"/>
        </w:rPr>
        <w:t>[dB(A)]</w:t>
      </w:r>
    </w:p>
    <w:p w14:paraId="0BD59614">
      <w:pPr>
        <w:spacing w:line="173" w:lineRule="exact"/>
      </w:pPr>
    </w:p>
    <w:tbl>
      <w:tblPr>
        <w:tblStyle w:val="5"/>
        <w:tblW w:w="8519"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495"/>
        <w:gridCol w:w="1243"/>
        <w:gridCol w:w="1093"/>
        <w:gridCol w:w="942"/>
        <w:gridCol w:w="911"/>
        <w:gridCol w:w="835"/>
      </w:tblGrid>
      <w:tr w14:paraId="647888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3495" w:type="dxa"/>
            <w:vMerge w:val="restart"/>
            <w:tcBorders>
              <w:top w:val="single" w:color="000000" w:sz="10" w:space="0"/>
              <w:left w:val="nil"/>
              <w:bottom w:val="nil"/>
            </w:tcBorders>
            <w:vAlign w:val="top"/>
          </w:tcPr>
          <w:p w14:paraId="1A16DA68">
            <w:pPr>
              <w:spacing w:line="305" w:lineRule="auto"/>
              <w:rPr>
                <w:rFonts w:ascii="Arial"/>
                <w:sz w:val="21"/>
              </w:rPr>
            </w:pPr>
          </w:p>
          <w:p w14:paraId="63932D37">
            <w:pPr>
              <w:spacing w:before="65" w:line="229" w:lineRule="auto"/>
              <w:ind w:left="1341"/>
              <w:rPr>
                <w:rFonts w:ascii="仿宋" w:hAnsi="仿宋" w:eastAsia="仿宋" w:cs="仿宋"/>
                <w:sz w:val="20"/>
                <w:szCs w:val="20"/>
              </w:rPr>
            </w:pPr>
            <w:r>
              <w:rPr>
                <w:rFonts w:ascii="仿宋" w:hAnsi="仿宋" w:eastAsia="仿宋" w:cs="仿宋"/>
                <w:spacing w:val="5"/>
                <w:sz w:val="20"/>
                <w:szCs w:val="20"/>
              </w:rPr>
              <w:t>检测位置</w:t>
            </w:r>
          </w:p>
        </w:tc>
        <w:tc>
          <w:tcPr>
            <w:tcW w:w="2336" w:type="dxa"/>
            <w:gridSpan w:val="2"/>
            <w:tcBorders>
              <w:top w:val="single" w:color="000000" w:sz="10" w:space="0"/>
            </w:tcBorders>
            <w:vAlign w:val="top"/>
          </w:tcPr>
          <w:p w14:paraId="3BA95E59">
            <w:pPr>
              <w:pStyle w:val="6"/>
              <w:spacing w:before="54" w:line="232" w:lineRule="auto"/>
              <w:ind w:left="444"/>
              <w:rPr>
                <w:sz w:val="20"/>
                <w:szCs w:val="20"/>
              </w:rPr>
            </w:pPr>
            <w:r>
              <w:rPr>
                <w:rFonts w:ascii="仿宋" w:hAnsi="仿宋" w:eastAsia="仿宋" w:cs="仿宋"/>
                <w:spacing w:val="2"/>
                <w:sz w:val="20"/>
                <w:szCs w:val="20"/>
              </w:rPr>
              <w:t>昼间：</w:t>
            </w:r>
            <w:r>
              <w:rPr>
                <w:spacing w:val="2"/>
                <w:sz w:val="20"/>
                <w:szCs w:val="20"/>
              </w:rPr>
              <w:t>2026.6.</w:t>
            </w:r>
            <w:r>
              <w:rPr>
                <w:spacing w:val="-19"/>
                <w:sz w:val="20"/>
                <w:szCs w:val="20"/>
              </w:rPr>
              <w:t xml:space="preserve"> </w:t>
            </w:r>
            <w:r>
              <w:rPr>
                <w:spacing w:val="2"/>
                <w:sz w:val="20"/>
                <w:szCs w:val="20"/>
              </w:rPr>
              <w:t>12</w:t>
            </w:r>
          </w:p>
        </w:tc>
        <w:tc>
          <w:tcPr>
            <w:tcW w:w="2688" w:type="dxa"/>
            <w:gridSpan w:val="3"/>
            <w:tcBorders>
              <w:top w:val="single" w:color="000000" w:sz="10" w:space="0"/>
              <w:right w:val="nil"/>
            </w:tcBorders>
            <w:vAlign w:val="top"/>
          </w:tcPr>
          <w:p w14:paraId="1EEB3A5D">
            <w:pPr>
              <w:spacing w:before="55" w:line="228" w:lineRule="auto"/>
              <w:ind w:left="834"/>
              <w:rPr>
                <w:rFonts w:ascii="仿宋" w:hAnsi="仿宋" w:eastAsia="仿宋" w:cs="仿宋"/>
                <w:sz w:val="20"/>
                <w:szCs w:val="20"/>
              </w:rPr>
            </w:pPr>
            <w:r>
              <w:rPr>
                <w:rFonts w:ascii="仿宋" w:hAnsi="仿宋" w:eastAsia="仿宋" w:cs="仿宋"/>
                <w:spacing w:val="6"/>
                <w:sz w:val="20"/>
                <w:szCs w:val="20"/>
              </w:rPr>
              <w:t>车流量统计</w:t>
            </w:r>
          </w:p>
        </w:tc>
      </w:tr>
      <w:tr w14:paraId="22F010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3495" w:type="dxa"/>
            <w:vMerge w:val="continue"/>
            <w:tcBorders>
              <w:top w:val="nil"/>
              <w:left w:val="nil"/>
            </w:tcBorders>
            <w:vAlign w:val="top"/>
          </w:tcPr>
          <w:p w14:paraId="1B44C855">
            <w:pPr>
              <w:rPr>
                <w:rFonts w:ascii="Arial"/>
                <w:sz w:val="21"/>
              </w:rPr>
            </w:pPr>
          </w:p>
        </w:tc>
        <w:tc>
          <w:tcPr>
            <w:tcW w:w="1243" w:type="dxa"/>
            <w:vAlign w:val="top"/>
          </w:tcPr>
          <w:p w14:paraId="222EA77C">
            <w:pPr>
              <w:spacing w:before="210" w:line="229" w:lineRule="auto"/>
              <w:ind w:left="212"/>
              <w:rPr>
                <w:rFonts w:ascii="仿宋" w:hAnsi="仿宋" w:eastAsia="仿宋" w:cs="仿宋"/>
                <w:sz w:val="20"/>
                <w:szCs w:val="20"/>
              </w:rPr>
            </w:pPr>
            <w:r>
              <w:rPr>
                <w:rFonts w:ascii="仿宋" w:hAnsi="仿宋" w:eastAsia="仿宋" w:cs="仿宋"/>
                <w:spacing w:val="5"/>
                <w:sz w:val="20"/>
                <w:szCs w:val="20"/>
              </w:rPr>
              <w:t>检测时间</w:t>
            </w:r>
          </w:p>
        </w:tc>
        <w:tc>
          <w:tcPr>
            <w:tcW w:w="1093" w:type="dxa"/>
            <w:vAlign w:val="top"/>
          </w:tcPr>
          <w:p w14:paraId="33827ED2">
            <w:pPr>
              <w:spacing w:before="210" w:line="231" w:lineRule="auto"/>
              <w:ind w:left="137"/>
              <w:rPr>
                <w:rFonts w:ascii="仿宋" w:hAnsi="仿宋" w:eastAsia="仿宋" w:cs="仿宋"/>
                <w:sz w:val="20"/>
                <w:szCs w:val="20"/>
              </w:rPr>
            </w:pPr>
            <w:r>
              <w:rPr>
                <w:rFonts w:ascii="仿宋" w:hAnsi="仿宋" w:eastAsia="仿宋" w:cs="仿宋"/>
                <w:spacing w:val="5"/>
                <w:sz w:val="20"/>
                <w:szCs w:val="20"/>
              </w:rPr>
              <w:t>测定结果</w:t>
            </w:r>
          </w:p>
        </w:tc>
        <w:tc>
          <w:tcPr>
            <w:tcW w:w="942" w:type="dxa"/>
            <w:vAlign w:val="top"/>
          </w:tcPr>
          <w:p w14:paraId="32FEB411">
            <w:pPr>
              <w:spacing w:before="210" w:line="228" w:lineRule="auto"/>
              <w:ind w:left="169"/>
              <w:rPr>
                <w:rFonts w:ascii="仿宋" w:hAnsi="仿宋" w:eastAsia="仿宋" w:cs="仿宋"/>
                <w:sz w:val="20"/>
                <w:szCs w:val="20"/>
              </w:rPr>
            </w:pPr>
            <w:r>
              <w:rPr>
                <w:rFonts w:ascii="仿宋" w:hAnsi="仿宋" w:eastAsia="仿宋" w:cs="仿宋"/>
                <w:spacing w:val="4"/>
                <w:sz w:val="20"/>
                <w:szCs w:val="20"/>
              </w:rPr>
              <w:t>大型车</w:t>
            </w:r>
          </w:p>
        </w:tc>
        <w:tc>
          <w:tcPr>
            <w:tcW w:w="911" w:type="dxa"/>
            <w:vAlign w:val="top"/>
          </w:tcPr>
          <w:p w14:paraId="7EEF05D1">
            <w:pPr>
              <w:spacing w:before="210" w:line="228" w:lineRule="auto"/>
              <w:ind w:left="178"/>
              <w:rPr>
                <w:rFonts w:ascii="仿宋" w:hAnsi="仿宋" w:eastAsia="仿宋" w:cs="仿宋"/>
                <w:sz w:val="20"/>
                <w:szCs w:val="20"/>
              </w:rPr>
            </w:pPr>
            <w:r>
              <w:rPr>
                <w:rFonts w:ascii="仿宋" w:hAnsi="仿宋" w:eastAsia="仿宋" w:cs="仿宋"/>
                <w:spacing w:val="-4"/>
                <w:sz w:val="20"/>
                <w:szCs w:val="20"/>
              </w:rPr>
              <w:t>中型车</w:t>
            </w:r>
          </w:p>
        </w:tc>
        <w:tc>
          <w:tcPr>
            <w:tcW w:w="835" w:type="dxa"/>
            <w:tcBorders>
              <w:right w:val="nil"/>
            </w:tcBorders>
            <w:vAlign w:val="top"/>
          </w:tcPr>
          <w:p w14:paraId="2CA0BA6C">
            <w:pPr>
              <w:spacing w:before="54" w:line="259" w:lineRule="auto"/>
              <w:ind w:left="327" w:right="211" w:hanging="110"/>
              <w:rPr>
                <w:rFonts w:ascii="仿宋" w:hAnsi="仿宋" w:eastAsia="仿宋" w:cs="仿宋"/>
                <w:sz w:val="20"/>
                <w:szCs w:val="20"/>
              </w:rPr>
            </w:pPr>
            <w:r>
              <w:rPr>
                <w:rFonts w:ascii="仿宋" w:hAnsi="仿宋" w:eastAsia="仿宋" w:cs="仿宋"/>
                <w:spacing w:val="2"/>
                <w:sz w:val="20"/>
                <w:szCs w:val="20"/>
              </w:rPr>
              <w:t>小型</w:t>
            </w:r>
            <w:r>
              <w:rPr>
                <w:rFonts w:ascii="仿宋" w:hAnsi="仿宋" w:eastAsia="仿宋" w:cs="仿宋"/>
                <w:sz w:val="20"/>
                <w:szCs w:val="20"/>
              </w:rPr>
              <w:t>车</w:t>
            </w:r>
          </w:p>
        </w:tc>
      </w:tr>
      <w:tr w14:paraId="3A8E56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495" w:type="dxa"/>
            <w:tcBorders>
              <w:left w:val="nil"/>
            </w:tcBorders>
            <w:vAlign w:val="top"/>
          </w:tcPr>
          <w:p w14:paraId="5316570A">
            <w:pPr>
              <w:pStyle w:val="6"/>
              <w:spacing w:before="57" w:line="221" w:lineRule="auto"/>
              <w:ind w:left="231"/>
              <w:rPr>
                <w:rFonts w:ascii="仿宋" w:hAnsi="仿宋" w:eastAsia="仿宋" w:cs="仿宋"/>
                <w:sz w:val="20"/>
                <w:szCs w:val="20"/>
              </w:rPr>
            </w:pPr>
            <w:r>
              <w:rPr>
                <w:rFonts w:ascii="仿宋" w:hAnsi="仿宋" w:eastAsia="仿宋" w:cs="仿宋"/>
                <w:spacing w:val="5"/>
                <w:sz w:val="20"/>
                <w:szCs w:val="20"/>
              </w:rPr>
              <w:t>兴巴高速断面</w:t>
            </w:r>
            <w:r>
              <w:rPr>
                <w:spacing w:val="5"/>
                <w:sz w:val="20"/>
                <w:szCs w:val="20"/>
              </w:rPr>
              <w:t>(</w:t>
            </w:r>
            <w:r>
              <w:rPr>
                <w:rFonts w:ascii="仿宋" w:hAnsi="仿宋" w:eastAsia="仿宋" w:cs="仿宋"/>
                <w:spacing w:val="5"/>
                <w:sz w:val="20"/>
                <w:szCs w:val="20"/>
              </w:rPr>
              <w:t>中心线外</w:t>
            </w:r>
            <w:r>
              <w:rPr>
                <w:rFonts w:ascii="仿宋" w:hAnsi="仿宋" w:eastAsia="仿宋" w:cs="仿宋"/>
                <w:spacing w:val="-32"/>
                <w:sz w:val="20"/>
                <w:szCs w:val="20"/>
              </w:rPr>
              <w:t xml:space="preserve"> </w:t>
            </w:r>
            <w:r>
              <w:rPr>
                <w:spacing w:val="5"/>
                <w:sz w:val="20"/>
                <w:szCs w:val="20"/>
              </w:rPr>
              <w:t>20m</w:t>
            </w:r>
            <w:r>
              <w:rPr>
                <w:spacing w:val="16"/>
                <w:sz w:val="20"/>
                <w:szCs w:val="20"/>
              </w:rPr>
              <w:t xml:space="preserve"> </w:t>
            </w:r>
            <w:r>
              <w:rPr>
                <w:rFonts w:ascii="仿宋" w:hAnsi="仿宋" w:eastAsia="仿宋" w:cs="仿宋"/>
                <w:spacing w:val="5"/>
                <w:sz w:val="20"/>
                <w:szCs w:val="20"/>
              </w:rPr>
              <w:t>处）</w:t>
            </w:r>
          </w:p>
        </w:tc>
        <w:tc>
          <w:tcPr>
            <w:tcW w:w="1243" w:type="dxa"/>
            <w:vMerge w:val="restart"/>
            <w:tcBorders>
              <w:bottom w:val="nil"/>
            </w:tcBorders>
            <w:vAlign w:val="top"/>
          </w:tcPr>
          <w:p w14:paraId="0B1153E1">
            <w:pPr>
              <w:spacing w:line="337" w:lineRule="auto"/>
              <w:rPr>
                <w:rFonts w:ascii="Arial"/>
                <w:sz w:val="21"/>
              </w:rPr>
            </w:pPr>
          </w:p>
          <w:p w14:paraId="44E1C965">
            <w:pPr>
              <w:spacing w:line="337" w:lineRule="auto"/>
              <w:rPr>
                <w:rFonts w:ascii="Arial"/>
                <w:sz w:val="21"/>
              </w:rPr>
            </w:pPr>
          </w:p>
          <w:p w14:paraId="37A3C02D">
            <w:pPr>
              <w:pStyle w:val="6"/>
              <w:spacing w:before="58" w:line="195" w:lineRule="auto"/>
              <w:ind w:left="130"/>
              <w:rPr>
                <w:sz w:val="20"/>
                <w:szCs w:val="20"/>
              </w:rPr>
            </w:pPr>
            <w:r>
              <w:rPr>
                <w:spacing w:val="-1"/>
                <w:sz w:val="20"/>
                <w:szCs w:val="20"/>
              </w:rPr>
              <w:t>16:55-</w:t>
            </w:r>
            <w:r>
              <w:rPr>
                <w:spacing w:val="-17"/>
                <w:sz w:val="20"/>
                <w:szCs w:val="20"/>
              </w:rPr>
              <w:t xml:space="preserve"> </w:t>
            </w:r>
            <w:r>
              <w:rPr>
                <w:spacing w:val="-1"/>
                <w:sz w:val="20"/>
                <w:szCs w:val="20"/>
              </w:rPr>
              <w:t>17:15</w:t>
            </w:r>
          </w:p>
        </w:tc>
        <w:tc>
          <w:tcPr>
            <w:tcW w:w="1093" w:type="dxa"/>
            <w:vAlign w:val="top"/>
          </w:tcPr>
          <w:p w14:paraId="669A2181">
            <w:pPr>
              <w:pStyle w:val="6"/>
              <w:spacing w:before="92" w:line="195" w:lineRule="auto"/>
              <w:ind w:left="447"/>
              <w:rPr>
                <w:sz w:val="20"/>
                <w:szCs w:val="20"/>
              </w:rPr>
            </w:pPr>
            <w:r>
              <w:rPr>
                <w:sz w:val="20"/>
                <w:szCs w:val="20"/>
              </w:rPr>
              <w:t>54</w:t>
            </w:r>
          </w:p>
        </w:tc>
        <w:tc>
          <w:tcPr>
            <w:tcW w:w="942" w:type="dxa"/>
            <w:vMerge w:val="restart"/>
            <w:tcBorders>
              <w:bottom w:val="nil"/>
            </w:tcBorders>
            <w:vAlign w:val="top"/>
          </w:tcPr>
          <w:p w14:paraId="579B00BB">
            <w:pPr>
              <w:spacing w:line="337" w:lineRule="auto"/>
              <w:rPr>
                <w:rFonts w:ascii="Arial"/>
                <w:sz w:val="21"/>
              </w:rPr>
            </w:pPr>
          </w:p>
          <w:p w14:paraId="0E31C493">
            <w:pPr>
              <w:spacing w:line="337" w:lineRule="auto"/>
              <w:rPr>
                <w:rFonts w:ascii="Arial"/>
                <w:sz w:val="21"/>
              </w:rPr>
            </w:pPr>
          </w:p>
          <w:p w14:paraId="55448448">
            <w:pPr>
              <w:pStyle w:val="6"/>
              <w:spacing w:before="58" w:line="195" w:lineRule="auto"/>
              <w:ind w:left="422"/>
              <w:rPr>
                <w:sz w:val="20"/>
                <w:szCs w:val="20"/>
              </w:rPr>
            </w:pPr>
            <w:r>
              <w:rPr>
                <w:sz w:val="20"/>
                <w:szCs w:val="20"/>
              </w:rPr>
              <w:t>0</w:t>
            </w:r>
          </w:p>
        </w:tc>
        <w:tc>
          <w:tcPr>
            <w:tcW w:w="911" w:type="dxa"/>
            <w:vMerge w:val="restart"/>
            <w:tcBorders>
              <w:bottom w:val="nil"/>
            </w:tcBorders>
            <w:vAlign w:val="top"/>
          </w:tcPr>
          <w:p w14:paraId="7C45C3A3">
            <w:pPr>
              <w:spacing w:line="337" w:lineRule="auto"/>
              <w:rPr>
                <w:rFonts w:ascii="Arial"/>
                <w:sz w:val="21"/>
              </w:rPr>
            </w:pPr>
          </w:p>
          <w:p w14:paraId="10FA51AD">
            <w:pPr>
              <w:spacing w:line="337" w:lineRule="auto"/>
              <w:rPr>
                <w:rFonts w:ascii="Arial"/>
                <w:sz w:val="21"/>
              </w:rPr>
            </w:pPr>
          </w:p>
          <w:p w14:paraId="330D67AA">
            <w:pPr>
              <w:pStyle w:val="6"/>
              <w:spacing w:before="58" w:line="195" w:lineRule="auto"/>
              <w:ind w:left="403"/>
              <w:rPr>
                <w:sz w:val="20"/>
                <w:szCs w:val="20"/>
              </w:rPr>
            </w:pPr>
            <w:r>
              <w:rPr>
                <w:sz w:val="20"/>
                <w:szCs w:val="20"/>
              </w:rPr>
              <w:t>2</w:t>
            </w:r>
          </w:p>
        </w:tc>
        <w:tc>
          <w:tcPr>
            <w:tcW w:w="835" w:type="dxa"/>
            <w:vMerge w:val="restart"/>
            <w:tcBorders>
              <w:bottom w:val="nil"/>
              <w:right w:val="nil"/>
            </w:tcBorders>
            <w:vAlign w:val="top"/>
          </w:tcPr>
          <w:p w14:paraId="303425B2">
            <w:pPr>
              <w:spacing w:line="337" w:lineRule="auto"/>
              <w:rPr>
                <w:rFonts w:ascii="Arial"/>
                <w:sz w:val="21"/>
              </w:rPr>
            </w:pPr>
          </w:p>
          <w:p w14:paraId="6E9E5736">
            <w:pPr>
              <w:spacing w:line="337" w:lineRule="auto"/>
              <w:rPr>
                <w:rFonts w:ascii="Arial"/>
                <w:sz w:val="21"/>
              </w:rPr>
            </w:pPr>
          </w:p>
          <w:p w14:paraId="0364F47F">
            <w:pPr>
              <w:pStyle w:val="6"/>
              <w:spacing w:before="58" w:line="195" w:lineRule="auto"/>
              <w:ind w:left="366"/>
              <w:rPr>
                <w:sz w:val="20"/>
                <w:szCs w:val="20"/>
              </w:rPr>
            </w:pPr>
            <w:r>
              <w:rPr>
                <w:sz w:val="20"/>
                <w:szCs w:val="20"/>
              </w:rPr>
              <w:t>2</w:t>
            </w:r>
          </w:p>
        </w:tc>
      </w:tr>
      <w:tr w14:paraId="2765F2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495" w:type="dxa"/>
            <w:tcBorders>
              <w:left w:val="nil"/>
            </w:tcBorders>
            <w:vAlign w:val="top"/>
          </w:tcPr>
          <w:p w14:paraId="751B9C35">
            <w:pPr>
              <w:pStyle w:val="6"/>
              <w:spacing w:before="57" w:line="221" w:lineRule="auto"/>
              <w:ind w:left="231"/>
              <w:rPr>
                <w:rFonts w:ascii="仿宋" w:hAnsi="仿宋" w:eastAsia="仿宋" w:cs="仿宋"/>
                <w:sz w:val="20"/>
                <w:szCs w:val="20"/>
              </w:rPr>
            </w:pPr>
            <w:r>
              <w:rPr>
                <w:rFonts w:ascii="仿宋" w:hAnsi="仿宋" w:eastAsia="仿宋" w:cs="仿宋"/>
                <w:spacing w:val="5"/>
                <w:sz w:val="20"/>
                <w:szCs w:val="20"/>
              </w:rPr>
              <w:t>兴巴高速断面</w:t>
            </w:r>
            <w:r>
              <w:rPr>
                <w:spacing w:val="5"/>
                <w:sz w:val="20"/>
                <w:szCs w:val="20"/>
              </w:rPr>
              <w:t>(</w:t>
            </w:r>
            <w:r>
              <w:rPr>
                <w:rFonts w:ascii="仿宋" w:hAnsi="仿宋" w:eastAsia="仿宋" w:cs="仿宋"/>
                <w:spacing w:val="5"/>
                <w:sz w:val="20"/>
                <w:szCs w:val="20"/>
              </w:rPr>
              <w:t>中心线外</w:t>
            </w:r>
            <w:r>
              <w:rPr>
                <w:rFonts w:ascii="仿宋" w:hAnsi="仿宋" w:eastAsia="仿宋" w:cs="仿宋"/>
                <w:spacing w:val="-32"/>
                <w:sz w:val="20"/>
                <w:szCs w:val="20"/>
              </w:rPr>
              <w:t xml:space="preserve"> </w:t>
            </w:r>
            <w:r>
              <w:rPr>
                <w:spacing w:val="5"/>
                <w:sz w:val="20"/>
                <w:szCs w:val="20"/>
              </w:rPr>
              <w:t>40m</w:t>
            </w:r>
            <w:r>
              <w:rPr>
                <w:spacing w:val="16"/>
                <w:sz w:val="20"/>
                <w:szCs w:val="20"/>
              </w:rPr>
              <w:t xml:space="preserve"> </w:t>
            </w:r>
            <w:r>
              <w:rPr>
                <w:rFonts w:ascii="仿宋" w:hAnsi="仿宋" w:eastAsia="仿宋" w:cs="仿宋"/>
                <w:spacing w:val="5"/>
                <w:sz w:val="20"/>
                <w:szCs w:val="20"/>
              </w:rPr>
              <w:t>处）</w:t>
            </w:r>
          </w:p>
        </w:tc>
        <w:tc>
          <w:tcPr>
            <w:tcW w:w="1243" w:type="dxa"/>
            <w:vMerge w:val="continue"/>
            <w:tcBorders>
              <w:top w:val="nil"/>
              <w:bottom w:val="nil"/>
            </w:tcBorders>
            <w:vAlign w:val="top"/>
          </w:tcPr>
          <w:p w14:paraId="232138CD">
            <w:pPr>
              <w:rPr>
                <w:rFonts w:ascii="Arial"/>
                <w:sz w:val="21"/>
              </w:rPr>
            </w:pPr>
          </w:p>
        </w:tc>
        <w:tc>
          <w:tcPr>
            <w:tcW w:w="1093" w:type="dxa"/>
            <w:vAlign w:val="top"/>
          </w:tcPr>
          <w:p w14:paraId="68F26BC4">
            <w:pPr>
              <w:pStyle w:val="6"/>
              <w:spacing w:before="93" w:line="195" w:lineRule="auto"/>
              <w:ind w:left="447"/>
              <w:rPr>
                <w:sz w:val="20"/>
                <w:szCs w:val="20"/>
              </w:rPr>
            </w:pPr>
            <w:r>
              <w:rPr>
                <w:sz w:val="20"/>
                <w:szCs w:val="20"/>
              </w:rPr>
              <w:t>52</w:t>
            </w:r>
          </w:p>
        </w:tc>
        <w:tc>
          <w:tcPr>
            <w:tcW w:w="942" w:type="dxa"/>
            <w:vMerge w:val="continue"/>
            <w:tcBorders>
              <w:top w:val="nil"/>
              <w:bottom w:val="nil"/>
            </w:tcBorders>
            <w:vAlign w:val="top"/>
          </w:tcPr>
          <w:p w14:paraId="6F53F833">
            <w:pPr>
              <w:rPr>
                <w:rFonts w:ascii="Arial"/>
                <w:sz w:val="21"/>
              </w:rPr>
            </w:pPr>
          </w:p>
        </w:tc>
        <w:tc>
          <w:tcPr>
            <w:tcW w:w="911" w:type="dxa"/>
            <w:vMerge w:val="continue"/>
            <w:tcBorders>
              <w:top w:val="nil"/>
              <w:bottom w:val="nil"/>
            </w:tcBorders>
            <w:vAlign w:val="top"/>
          </w:tcPr>
          <w:p w14:paraId="7667A3CC">
            <w:pPr>
              <w:rPr>
                <w:rFonts w:ascii="Arial"/>
                <w:sz w:val="21"/>
              </w:rPr>
            </w:pPr>
          </w:p>
        </w:tc>
        <w:tc>
          <w:tcPr>
            <w:tcW w:w="835" w:type="dxa"/>
            <w:vMerge w:val="continue"/>
            <w:tcBorders>
              <w:top w:val="nil"/>
              <w:bottom w:val="nil"/>
              <w:right w:val="nil"/>
            </w:tcBorders>
            <w:vAlign w:val="top"/>
          </w:tcPr>
          <w:p w14:paraId="744A8332">
            <w:pPr>
              <w:rPr>
                <w:rFonts w:ascii="Arial"/>
                <w:sz w:val="21"/>
              </w:rPr>
            </w:pPr>
          </w:p>
        </w:tc>
      </w:tr>
      <w:tr w14:paraId="6C0689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495" w:type="dxa"/>
            <w:tcBorders>
              <w:left w:val="nil"/>
            </w:tcBorders>
            <w:vAlign w:val="top"/>
          </w:tcPr>
          <w:p w14:paraId="4AF4B2DE">
            <w:pPr>
              <w:pStyle w:val="6"/>
              <w:spacing w:before="58" w:line="221" w:lineRule="auto"/>
              <w:ind w:left="231"/>
              <w:rPr>
                <w:rFonts w:ascii="仿宋" w:hAnsi="仿宋" w:eastAsia="仿宋" w:cs="仿宋"/>
                <w:sz w:val="20"/>
                <w:szCs w:val="20"/>
              </w:rPr>
            </w:pPr>
            <w:r>
              <w:rPr>
                <w:rFonts w:ascii="仿宋" w:hAnsi="仿宋" w:eastAsia="仿宋" w:cs="仿宋"/>
                <w:spacing w:val="5"/>
                <w:sz w:val="20"/>
                <w:szCs w:val="20"/>
              </w:rPr>
              <w:t>兴巴高速断面</w:t>
            </w:r>
            <w:r>
              <w:rPr>
                <w:spacing w:val="5"/>
                <w:sz w:val="20"/>
                <w:szCs w:val="20"/>
              </w:rPr>
              <w:t>(</w:t>
            </w:r>
            <w:r>
              <w:rPr>
                <w:rFonts w:ascii="仿宋" w:hAnsi="仿宋" w:eastAsia="仿宋" w:cs="仿宋"/>
                <w:spacing w:val="5"/>
                <w:sz w:val="20"/>
                <w:szCs w:val="20"/>
              </w:rPr>
              <w:t>中心线外</w:t>
            </w:r>
            <w:r>
              <w:rPr>
                <w:rFonts w:ascii="仿宋" w:hAnsi="仿宋" w:eastAsia="仿宋" w:cs="仿宋"/>
                <w:spacing w:val="-32"/>
                <w:sz w:val="20"/>
                <w:szCs w:val="20"/>
              </w:rPr>
              <w:t xml:space="preserve"> </w:t>
            </w:r>
            <w:r>
              <w:rPr>
                <w:spacing w:val="5"/>
                <w:sz w:val="20"/>
                <w:szCs w:val="20"/>
              </w:rPr>
              <w:t>60m</w:t>
            </w:r>
            <w:r>
              <w:rPr>
                <w:spacing w:val="16"/>
                <w:sz w:val="20"/>
                <w:szCs w:val="20"/>
              </w:rPr>
              <w:t xml:space="preserve"> </w:t>
            </w:r>
            <w:r>
              <w:rPr>
                <w:rFonts w:ascii="仿宋" w:hAnsi="仿宋" w:eastAsia="仿宋" w:cs="仿宋"/>
                <w:spacing w:val="5"/>
                <w:sz w:val="20"/>
                <w:szCs w:val="20"/>
              </w:rPr>
              <w:t>处）</w:t>
            </w:r>
          </w:p>
        </w:tc>
        <w:tc>
          <w:tcPr>
            <w:tcW w:w="1243" w:type="dxa"/>
            <w:vMerge w:val="continue"/>
            <w:tcBorders>
              <w:top w:val="nil"/>
              <w:bottom w:val="nil"/>
            </w:tcBorders>
            <w:vAlign w:val="top"/>
          </w:tcPr>
          <w:p w14:paraId="63F23E5C">
            <w:pPr>
              <w:rPr>
                <w:rFonts w:ascii="Arial"/>
                <w:sz w:val="21"/>
              </w:rPr>
            </w:pPr>
          </w:p>
        </w:tc>
        <w:tc>
          <w:tcPr>
            <w:tcW w:w="1093" w:type="dxa"/>
            <w:vAlign w:val="top"/>
          </w:tcPr>
          <w:p w14:paraId="628D31D6">
            <w:pPr>
              <w:pStyle w:val="6"/>
              <w:spacing w:before="94" w:line="195" w:lineRule="auto"/>
              <w:ind w:left="441"/>
              <w:rPr>
                <w:sz w:val="20"/>
                <w:szCs w:val="20"/>
              </w:rPr>
            </w:pPr>
            <w:r>
              <w:rPr>
                <w:spacing w:val="3"/>
                <w:sz w:val="20"/>
                <w:szCs w:val="20"/>
              </w:rPr>
              <w:t>49</w:t>
            </w:r>
          </w:p>
        </w:tc>
        <w:tc>
          <w:tcPr>
            <w:tcW w:w="942" w:type="dxa"/>
            <w:vMerge w:val="continue"/>
            <w:tcBorders>
              <w:top w:val="nil"/>
              <w:bottom w:val="nil"/>
            </w:tcBorders>
            <w:vAlign w:val="top"/>
          </w:tcPr>
          <w:p w14:paraId="1E256DD5">
            <w:pPr>
              <w:rPr>
                <w:rFonts w:ascii="Arial"/>
                <w:sz w:val="21"/>
              </w:rPr>
            </w:pPr>
          </w:p>
        </w:tc>
        <w:tc>
          <w:tcPr>
            <w:tcW w:w="911" w:type="dxa"/>
            <w:vMerge w:val="continue"/>
            <w:tcBorders>
              <w:top w:val="nil"/>
              <w:bottom w:val="nil"/>
            </w:tcBorders>
            <w:vAlign w:val="top"/>
          </w:tcPr>
          <w:p w14:paraId="5716A6ED">
            <w:pPr>
              <w:rPr>
                <w:rFonts w:ascii="Arial"/>
                <w:sz w:val="21"/>
              </w:rPr>
            </w:pPr>
          </w:p>
        </w:tc>
        <w:tc>
          <w:tcPr>
            <w:tcW w:w="835" w:type="dxa"/>
            <w:vMerge w:val="continue"/>
            <w:tcBorders>
              <w:top w:val="nil"/>
              <w:bottom w:val="nil"/>
              <w:right w:val="nil"/>
            </w:tcBorders>
            <w:vAlign w:val="top"/>
          </w:tcPr>
          <w:p w14:paraId="2BC5EEF7">
            <w:pPr>
              <w:rPr>
                <w:rFonts w:ascii="Arial"/>
                <w:sz w:val="21"/>
              </w:rPr>
            </w:pPr>
          </w:p>
        </w:tc>
      </w:tr>
      <w:tr w14:paraId="6A7B0A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495" w:type="dxa"/>
            <w:tcBorders>
              <w:left w:val="nil"/>
            </w:tcBorders>
            <w:vAlign w:val="top"/>
          </w:tcPr>
          <w:p w14:paraId="473D9B50">
            <w:pPr>
              <w:pStyle w:val="6"/>
              <w:spacing w:before="58" w:line="221" w:lineRule="auto"/>
              <w:ind w:left="231"/>
              <w:rPr>
                <w:rFonts w:ascii="仿宋" w:hAnsi="仿宋" w:eastAsia="仿宋" w:cs="仿宋"/>
                <w:sz w:val="20"/>
                <w:szCs w:val="20"/>
              </w:rPr>
            </w:pPr>
            <w:r>
              <w:rPr>
                <w:rFonts w:ascii="仿宋" w:hAnsi="仿宋" w:eastAsia="仿宋" w:cs="仿宋"/>
                <w:spacing w:val="5"/>
                <w:sz w:val="20"/>
                <w:szCs w:val="20"/>
              </w:rPr>
              <w:t>兴巴高速断面</w:t>
            </w:r>
            <w:r>
              <w:rPr>
                <w:spacing w:val="5"/>
                <w:sz w:val="20"/>
                <w:szCs w:val="20"/>
              </w:rPr>
              <w:t>(</w:t>
            </w:r>
            <w:r>
              <w:rPr>
                <w:rFonts w:ascii="仿宋" w:hAnsi="仿宋" w:eastAsia="仿宋" w:cs="仿宋"/>
                <w:spacing w:val="5"/>
                <w:sz w:val="20"/>
                <w:szCs w:val="20"/>
              </w:rPr>
              <w:t>中心线外</w:t>
            </w:r>
            <w:r>
              <w:rPr>
                <w:rFonts w:ascii="仿宋" w:hAnsi="仿宋" w:eastAsia="仿宋" w:cs="仿宋"/>
                <w:spacing w:val="-32"/>
                <w:sz w:val="20"/>
                <w:szCs w:val="20"/>
              </w:rPr>
              <w:t xml:space="preserve"> </w:t>
            </w:r>
            <w:r>
              <w:rPr>
                <w:spacing w:val="5"/>
                <w:sz w:val="20"/>
                <w:szCs w:val="20"/>
              </w:rPr>
              <w:t>80m</w:t>
            </w:r>
            <w:r>
              <w:rPr>
                <w:spacing w:val="16"/>
                <w:sz w:val="20"/>
                <w:szCs w:val="20"/>
              </w:rPr>
              <w:t xml:space="preserve"> </w:t>
            </w:r>
            <w:r>
              <w:rPr>
                <w:rFonts w:ascii="仿宋" w:hAnsi="仿宋" w:eastAsia="仿宋" w:cs="仿宋"/>
                <w:spacing w:val="5"/>
                <w:sz w:val="20"/>
                <w:szCs w:val="20"/>
              </w:rPr>
              <w:t>处）</w:t>
            </w:r>
          </w:p>
        </w:tc>
        <w:tc>
          <w:tcPr>
            <w:tcW w:w="1243" w:type="dxa"/>
            <w:vMerge w:val="continue"/>
            <w:tcBorders>
              <w:top w:val="nil"/>
              <w:bottom w:val="nil"/>
            </w:tcBorders>
            <w:vAlign w:val="top"/>
          </w:tcPr>
          <w:p w14:paraId="5F37BF13">
            <w:pPr>
              <w:rPr>
                <w:rFonts w:ascii="Arial"/>
                <w:sz w:val="21"/>
              </w:rPr>
            </w:pPr>
          </w:p>
        </w:tc>
        <w:tc>
          <w:tcPr>
            <w:tcW w:w="1093" w:type="dxa"/>
            <w:vAlign w:val="top"/>
          </w:tcPr>
          <w:p w14:paraId="0DE1157A">
            <w:pPr>
              <w:pStyle w:val="6"/>
              <w:spacing w:before="94" w:line="195" w:lineRule="auto"/>
              <w:ind w:left="441"/>
              <w:rPr>
                <w:sz w:val="20"/>
                <w:szCs w:val="20"/>
              </w:rPr>
            </w:pPr>
            <w:r>
              <w:rPr>
                <w:spacing w:val="3"/>
                <w:sz w:val="20"/>
                <w:szCs w:val="20"/>
              </w:rPr>
              <w:t>49</w:t>
            </w:r>
          </w:p>
        </w:tc>
        <w:tc>
          <w:tcPr>
            <w:tcW w:w="942" w:type="dxa"/>
            <w:vMerge w:val="continue"/>
            <w:tcBorders>
              <w:top w:val="nil"/>
              <w:bottom w:val="nil"/>
            </w:tcBorders>
            <w:vAlign w:val="top"/>
          </w:tcPr>
          <w:p w14:paraId="75D10F4E">
            <w:pPr>
              <w:rPr>
                <w:rFonts w:ascii="Arial"/>
                <w:sz w:val="21"/>
              </w:rPr>
            </w:pPr>
          </w:p>
        </w:tc>
        <w:tc>
          <w:tcPr>
            <w:tcW w:w="911" w:type="dxa"/>
            <w:vMerge w:val="continue"/>
            <w:tcBorders>
              <w:top w:val="nil"/>
              <w:bottom w:val="nil"/>
            </w:tcBorders>
            <w:vAlign w:val="top"/>
          </w:tcPr>
          <w:p w14:paraId="4F808DD4">
            <w:pPr>
              <w:rPr>
                <w:rFonts w:ascii="Arial"/>
                <w:sz w:val="21"/>
              </w:rPr>
            </w:pPr>
          </w:p>
        </w:tc>
        <w:tc>
          <w:tcPr>
            <w:tcW w:w="835" w:type="dxa"/>
            <w:vMerge w:val="continue"/>
            <w:tcBorders>
              <w:top w:val="nil"/>
              <w:bottom w:val="nil"/>
              <w:right w:val="nil"/>
            </w:tcBorders>
            <w:vAlign w:val="top"/>
          </w:tcPr>
          <w:p w14:paraId="6875A2E9">
            <w:pPr>
              <w:rPr>
                <w:rFonts w:ascii="Arial"/>
                <w:sz w:val="21"/>
              </w:rPr>
            </w:pPr>
          </w:p>
        </w:tc>
      </w:tr>
      <w:tr w14:paraId="64BB7A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495" w:type="dxa"/>
            <w:tcBorders>
              <w:left w:val="nil"/>
            </w:tcBorders>
            <w:vAlign w:val="top"/>
          </w:tcPr>
          <w:p w14:paraId="53F59C51">
            <w:pPr>
              <w:pStyle w:val="6"/>
              <w:spacing w:before="59" w:line="221" w:lineRule="auto"/>
              <w:ind w:left="178"/>
              <w:rPr>
                <w:rFonts w:ascii="仿宋" w:hAnsi="仿宋" w:eastAsia="仿宋" w:cs="仿宋"/>
                <w:sz w:val="20"/>
                <w:szCs w:val="20"/>
              </w:rPr>
            </w:pPr>
            <w:r>
              <w:rPr>
                <w:rFonts w:ascii="仿宋" w:hAnsi="仿宋" w:eastAsia="仿宋" w:cs="仿宋"/>
                <w:spacing w:val="4"/>
                <w:sz w:val="20"/>
                <w:szCs w:val="20"/>
              </w:rPr>
              <w:t>兴巴高速断面</w:t>
            </w:r>
            <w:r>
              <w:rPr>
                <w:spacing w:val="4"/>
                <w:sz w:val="20"/>
                <w:szCs w:val="20"/>
              </w:rPr>
              <w:t>(</w:t>
            </w:r>
            <w:r>
              <w:rPr>
                <w:rFonts w:ascii="仿宋" w:hAnsi="仿宋" w:eastAsia="仿宋" w:cs="仿宋"/>
                <w:spacing w:val="4"/>
                <w:sz w:val="20"/>
                <w:szCs w:val="20"/>
              </w:rPr>
              <w:t>中心线外</w:t>
            </w:r>
            <w:r>
              <w:rPr>
                <w:rFonts w:ascii="仿宋" w:hAnsi="仿宋" w:eastAsia="仿宋" w:cs="仿宋"/>
                <w:spacing w:val="-15"/>
                <w:sz w:val="20"/>
                <w:szCs w:val="20"/>
              </w:rPr>
              <w:t xml:space="preserve"> </w:t>
            </w:r>
            <w:r>
              <w:rPr>
                <w:spacing w:val="4"/>
                <w:sz w:val="20"/>
                <w:szCs w:val="20"/>
              </w:rPr>
              <w:t>120m</w:t>
            </w:r>
            <w:r>
              <w:rPr>
                <w:spacing w:val="19"/>
                <w:sz w:val="20"/>
                <w:szCs w:val="20"/>
              </w:rPr>
              <w:t xml:space="preserve"> </w:t>
            </w:r>
            <w:r>
              <w:rPr>
                <w:rFonts w:ascii="仿宋" w:hAnsi="仿宋" w:eastAsia="仿宋" w:cs="仿宋"/>
                <w:spacing w:val="4"/>
                <w:sz w:val="20"/>
                <w:szCs w:val="20"/>
              </w:rPr>
              <w:t>处）</w:t>
            </w:r>
          </w:p>
        </w:tc>
        <w:tc>
          <w:tcPr>
            <w:tcW w:w="1243" w:type="dxa"/>
            <w:vMerge w:val="continue"/>
            <w:tcBorders>
              <w:top w:val="nil"/>
            </w:tcBorders>
            <w:vAlign w:val="top"/>
          </w:tcPr>
          <w:p w14:paraId="7521F323">
            <w:pPr>
              <w:rPr>
                <w:rFonts w:ascii="Arial"/>
                <w:sz w:val="21"/>
              </w:rPr>
            </w:pPr>
          </w:p>
        </w:tc>
        <w:tc>
          <w:tcPr>
            <w:tcW w:w="1093" w:type="dxa"/>
            <w:vAlign w:val="top"/>
          </w:tcPr>
          <w:p w14:paraId="76C008F3">
            <w:pPr>
              <w:pStyle w:val="6"/>
              <w:spacing w:before="95" w:line="195" w:lineRule="auto"/>
              <w:ind w:left="441"/>
              <w:rPr>
                <w:sz w:val="20"/>
                <w:szCs w:val="20"/>
              </w:rPr>
            </w:pPr>
            <w:r>
              <w:rPr>
                <w:spacing w:val="3"/>
                <w:sz w:val="20"/>
                <w:szCs w:val="20"/>
              </w:rPr>
              <w:t>45</w:t>
            </w:r>
          </w:p>
        </w:tc>
        <w:tc>
          <w:tcPr>
            <w:tcW w:w="942" w:type="dxa"/>
            <w:vMerge w:val="continue"/>
            <w:tcBorders>
              <w:top w:val="nil"/>
            </w:tcBorders>
            <w:vAlign w:val="top"/>
          </w:tcPr>
          <w:p w14:paraId="54A893DF">
            <w:pPr>
              <w:rPr>
                <w:rFonts w:ascii="Arial"/>
                <w:sz w:val="21"/>
              </w:rPr>
            </w:pPr>
          </w:p>
        </w:tc>
        <w:tc>
          <w:tcPr>
            <w:tcW w:w="911" w:type="dxa"/>
            <w:vMerge w:val="continue"/>
            <w:tcBorders>
              <w:top w:val="nil"/>
            </w:tcBorders>
            <w:vAlign w:val="top"/>
          </w:tcPr>
          <w:p w14:paraId="33ACD132">
            <w:pPr>
              <w:rPr>
                <w:rFonts w:ascii="Arial"/>
                <w:sz w:val="21"/>
              </w:rPr>
            </w:pPr>
          </w:p>
        </w:tc>
        <w:tc>
          <w:tcPr>
            <w:tcW w:w="835" w:type="dxa"/>
            <w:vMerge w:val="continue"/>
            <w:tcBorders>
              <w:top w:val="nil"/>
              <w:right w:val="nil"/>
            </w:tcBorders>
            <w:vAlign w:val="top"/>
          </w:tcPr>
          <w:p w14:paraId="603A991D">
            <w:pPr>
              <w:rPr>
                <w:rFonts w:ascii="Arial"/>
                <w:sz w:val="21"/>
              </w:rPr>
            </w:pPr>
          </w:p>
        </w:tc>
      </w:tr>
      <w:tr w14:paraId="1BA469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495" w:type="dxa"/>
            <w:vMerge w:val="restart"/>
            <w:tcBorders>
              <w:left w:val="nil"/>
              <w:bottom w:val="nil"/>
            </w:tcBorders>
            <w:vAlign w:val="top"/>
          </w:tcPr>
          <w:p w14:paraId="631E03F7">
            <w:pPr>
              <w:spacing w:line="311" w:lineRule="auto"/>
              <w:rPr>
                <w:rFonts w:ascii="Arial"/>
                <w:sz w:val="21"/>
              </w:rPr>
            </w:pPr>
          </w:p>
          <w:p w14:paraId="5DFA5104">
            <w:pPr>
              <w:spacing w:before="65" w:line="229" w:lineRule="auto"/>
              <w:ind w:left="1341"/>
              <w:rPr>
                <w:rFonts w:ascii="仿宋" w:hAnsi="仿宋" w:eastAsia="仿宋" w:cs="仿宋"/>
                <w:sz w:val="20"/>
                <w:szCs w:val="20"/>
              </w:rPr>
            </w:pPr>
            <w:r>
              <w:rPr>
                <w:rFonts w:ascii="仿宋" w:hAnsi="仿宋" w:eastAsia="仿宋" w:cs="仿宋"/>
                <w:spacing w:val="5"/>
                <w:sz w:val="20"/>
                <w:szCs w:val="20"/>
              </w:rPr>
              <w:t>检测位置</w:t>
            </w:r>
          </w:p>
        </w:tc>
        <w:tc>
          <w:tcPr>
            <w:tcW w:w="2336" w:type="dxa"/>
            <w:gridSpan w:val="2"/>
            <w:vAlign w:val="top"/>
          </w:tcPr>
          <w:p w14:paraId="55D113AE">
            <w:pPr>
              <w:pStyle w:val="6"/>
              <w:spacing w:before="62" w:line="225" w:lineRule="auto"/>
              <w:ind w:left="444"/>
              <w:rPr>
                <w:sz w:val="20"/>
                <w:szCs w:val="20"/>
              </w:rPr>
            </w:pPr>
            <w:r>
              <w:rPr>
                <w:rFonts w:ascii="仿宋" w:hAnsi="仿宋" w:eastAsia="仿宋" w:cs="仿宋"/>
                <w:spacing w:val="4"/>
                <w:sz w:val="20"/>
                <w:szCs w:val="20"/>
              </w:rPr>
              <w:t>夜间：</w:t>
            </w:r>
            <w:r>
              <w:rPr>
                <w:spacing w:val="4"/>
                <w:sz w:val="20"/>
                <w:szCs w:val="20"/>
              </w:rPr>
              <w:t>2026.6.13</w:t>
            </w:r>
          </w:p>
        </w:tc>
        <w:tc>
          <w:tcPr>
            <w:tcW w:w="2688" w:type="dxa"/>
            <w:gridSpan w:val="3"/>
            <w:tcBorders>
              <w:right w:val="nil"/>
            </w:tcBorders>
            <w:vAlign w:val="top"/>
          </w:tcPr>
          <w:p w14:paraId="639FDFCC">
            <w:pPr>
              <w:spacing w:before="62" w:line="225" w:lineRule="auto"/>
              <w:ind w:left="834"/>
              <w:rPr>
                <w:rFonts w:ascii="仿宋" w:hAnsi="仿宋" w:eastAsia="仿宋" w:cs="仿宋"/>
                <w:sz w:val="20"/>
                <w:szCs w:val="20"/>
              </w:rPr>
            </w:pPr>
            <w:r>
              <w:rPr>
                <w:rFonts w:ascii="仿宋" w:hAnsi="仿宋" w:eastAsia="仿宋" w:cs="仿宋"/>
                <w:spacing w:val="6"/>
                <w:sz w:val="20"/>
                <w:szCs w:val="20"/>
              </w:rPr>
              <w:t>车流量统计</w:t>
            </w:r>
          </w:p>
        </w:tc>
      </w:tr>
      <w:tr w14:paraId="2C1D63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3495" w:type="dxa"/>
            <w:vMerge w:val="continue"/>
            <w:tcBorders>
              <w:top w:val="nil"/>
              <w:left w:val="nil"/>
            </w:tcBorders>
            <w:vAlign w:val="top"/>
          </w:tcPr>
          <w:p w14:paraId="435EB902">
            <w:pPr>
              <w:rPr>
                <w:rFonts w:ascii="Arial"/>
                <w:sz w:val="21"/>
              </w:rPr>
            </w:pPr>
          </w:p>
        </w:tc>
        <w:tc>
          <w:tcPr>
            <w:tcW w:w="1243" w:type="dxa"/>
            <w:vAlign w:val="top"/>
          </w:tcPr>
          <w:p w14:paraId="099990A4">
            <w:pPr>
              <w:spacing w:before="218" w:line="229" w:lineRule="auto"/>
              <w:ind w:left="212"/>
              <w:rPr>
                <w:rFonts w:ascii="仿宋" w:hAnsi="仿宋" w:eastAsia="仿宋" w:cs="仿宋"/>
                <w:sz w:val="20"/>
                <w:szCs w:val="20"/>
              </w:rPr>
            </w:pPr>
            <w:r>
              <w:rPr>
                <w:rFonts w:ascii="仿宋" w:hAnsi="仿宋" w:eastAsia="仿宋" w:cs="仿宋"/>
                <w:spacing w:val="5"/>
                <w:sz w:val="20"/>
                <w:szCs w:val="20"/>
              </w:rPr>
              <w:t>检测时间</w:t>
            </w:r>
          </w:p>
        </w:tc>
        <w:tc>
          <w:tcPr>
            <w:tcW w:w="1093" w:type="dxa"/>
            <w:vAlign w:val="top"/>
          </w:tcPr>
          <w:p w14:paraId="799CC7BC">
            <w:pPr>
              <w:spacing w:before="218" w:line="231" w:lineRule="auto"/>
              <w:ind w:left="137"/>
              <w:rPr>
                <w:rFonts w:ascii="仿宋" w:hAnsi="仿宋" w:eastAsia="仿宋" w:cs="仿宋"/>
                <w:sz w:val="20"/>
                <w:szCs w:val="20"/>
              </w:rPr>
            </w:pPr>
            <w:r>
              <w:rPr>
                <w:rFonts w:ascii="仿宋" w:hAnsi="仿宋" w:eastAsia="仿宋" w:cs="仿宋"/>
                <w:spacing w:val="5"/>
                <w:sz w:val="20"/>
                <w:szCs w:val="20"/>
              </w:rPr>
              <w:t>测定结果</w:t>
            </w:r>
          </w:p>
        </w:tc>
        <w:tc>
          <w:tcPr>
            <w:tcW w:w="942" w:type="dxa"/>
            <w:vAlign w:val="top"/>
          </w:tcPr>
          <w:p w14:paraId="26B9E366">
            <w:pPr>
              <w:spacing w:before="219" w:line="228" w:lineRule="auto"/>
              <w:ind w:left="169"/>
              <w:rPr>
                <w:rFonts w:ascii="仿宋" w:hAnsi="仿宋" w:eastAsia="仿宋" w:cs="仿宋"/>
                <w:sz w:val="20"/>
                <w:szCs w:val="20"/>
              </w:rPr>
            </w:pPr>
            <w:r>
              <w:rPr>
                <w:rFonts w:ascii="仿宋" w:hAnsi="仿宋" w:eastAsia="仿宋" w:cs="仿宋"/>
                <w:spacing w:val="4"/>
                <w:sz w:val="20"/>
                <w:szCs w:val="20"/>
              </w:rPr>
              <w:t>大型车</w:t>
            </w:r>
          </w:p>
        </w:tc>
        <w:tc>
          <w:tcPr>
            <w:tcW w:w="911" w:type="dxa"/>
            <w:vAlign w:val="top"/>
          </w:tcPr>
          <w:p w14:paraId="34FEA476">
            <w:pPr>
              <w:spacing w:before="219" w:line="228" w:lineRule="auto"/>
              <w:ind w:left="178"/>
              <w:rPr>
                <w:rFonts w:ascii="仿宋" w:hAnsi="仿宋" w:eastAsia="仿宋" w:cs="仿宋"/>
                <w:sz w:val="20"/>
                <w:szCs w:val="20"/>
              </w:rPr>
            </w:pPr>
            <w:r>
              <w:rPr>
                <w:rFonts w:ascii="仿宋" w:hAnsi="仿宋" w:eastAsia="仿宋" w:cs="仿宋"/>
                <w:spacing w:val="-4"/>
                <w:sz w:val="20"/>
                <w:szCs w:val="20"/>
              </w:rPr>
              <w:t>中型车</w:t>
            </w:r>
          </w:p>
        </w:tc>
        <w:tc>
          <w:tcPr>
            <w:tcW w:w="835" w:type="dxa"/>
            <w:tcBorders>
              <w:right w:val="nil"/>
            </w:tcBorders>
            <w:vAlign w:val="top"/>
          </w:tcPr>
          <w:p w14:paraId="59FF12D1">
            <w:pPr>
              <w:spacing w:before="63" w:line="255" w:lineRule="auto"/>
              <w:ind w:left="327" w:right="211" w:hanging="110"/>
              <w:rPr>
                <w:rFonts w:ascii="仿宋" w:hAnsi="仿宋" w:eastAsia="仿宋" w:cs="仿宋"/>
                <w:sz w:val="20"/>
                <w:szCs w:val="20"/>
              </w:rPr>
            </w:pPr>
            <w:r>
              <w:rPr>
                <w:rFonts w:ascii="仿宋" w:hAnsi="仿宋" w:eastAsia="仿宋" w:cs="仿宋"/>
                <w:spacing w:val="2"/>
                <w:sz w:val="20"/>
                <w:szCs w:val="20"/>
              </w:rPr>
              <w:t>小型</w:t>
            </w:r>
            <w:r>
              <w:rPr>
                <w:rFonts w:ascii="仿宋" w:hAnsi="仿宋" w:eastAsia="仿宋" w:cs="仿宋"/>
                <w:sz w:val="20"/>
                <w:szCs w:val="20"/>
              </w:rPr>
              <w:t>车</w:t>
            </w:r>
          </w:p>
        </w:tc>
      </w:tr>
      <w:tr w14:paraId="42724C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495" w:type="dxa"/>
            <w:tcBorders>
              <w:left w:val="nil"/>
            </w:tcBorders>
            <w:vAlign w:val="top"/>
          </w:tcPr>
          <w:p w14:paraId="2C0BD1D1">
            <w:pPr>
              <w:pStyle w:val="6"/>
              <w:spacing w:before="65" w:line="221" w:lineRule="auto"/>
              <w:ind w:left="231"/>
              <w:rPr>
                <w:rFonts w:ascii="仿宋" w:hAnsi="仿宋" w:eastAsia="仿宋" w:cs="仿宋"/>
                <w:sz w:val="20"/>
                <w:szCs w:val="20"/>
              </w:rPr>
            </w:pPr>
            <w:r>
              <w:rPr>
                <w:rFonts w:ascii="仿宋" w:hAnsi="仿宋" w:eastAsia="仿宋" w:cs="仿宋"/>
                <w:spacing w:val="5"/>
                <w:sz w:val="20"/>
                <w:szCs w:val="20"/>
              </w:rPr>
              <w:t>兴巴高速断面</w:t>
            </w:r>
            <w:r>
              <w:rPr>
                <w:spacing w:val="5"/>
                <w:sz w:val="20"/>
                <w:szCs w:val="20"/>
              </w:rPr>
              <w:t>(</w:t>
            </w:r>
            <w:r>
              <w:rPr>
                <w:rFonts w:ascii="仿宋" w:hAnsi="仿宋" w:eastAsia="仿宋" w:cs="仿宋"/>
                <w:spacing w:val="5"/>
                <w:sz w:val="20"/>
                <w:szCs w:val="20"/>
              </w:rPr>
              <w:t>中心线外</w:t>
            </w:r>
            <w:r>
              <w:rPr>
                <w:rFonts w:ascii="仿宋" w:hAnsi="仿宋" w:eastAsia="仿宋" w:cs="仿宋"/>
                <w:spacing w:val="-32"/>
                <w:sz w:val="20"/>
                <w:szCs w:val="20"/>
              </w:rPr>
              <w:t xml:space="preserve"> </w:t>
            </w:r>
            <w:r>
              <w:rPr>
                <w:spacing w:val="5"/>
                <w:sz w:val="20"/>
                <w:szCs w:val="20"/>
              </w:rPr>
              <w:t>20m</w:t>
            </w:r>
            <w:r>
              <w:rPr>
                <w:spacing w:val="16"/>
                <w:sz w:val="20"/>
                <w:szCs w:val="20"/>
              </w:rPr>
              <w:t xml:space="preserve"> </w:t>
            </w:r>
            <w:r>
              <w:rPr>
                <w:rFonts w:ascii="仿宋" w:hAnsi="仿宋" w:eastAsia="仿宋" w:cs="仿宋"/>
                <w:spacing w:val="5"/>
                <w:sz w:val="20"/>
                <w:szCs w:val="20"/>
              </w:rPr>
              <w:t>处）</w:t>
            </w:r>
          </w:p>
        </w:tc>
        <w:tc>
          <w:tcPr>
            <w:tcW w:w="1243" w:type="dxa"/>
            <w:vMerge w:val="restart"/>
            <w:tcBorders>
              <w:bottom w:val="nil"/>
            </w:tcBorders>
            <w:vAlign w:val="top"/>
          </w:tcPr>
          <w:p w14:paraId="2C985707">
            <w:pPr>
              <w:spacing w:line="341" w:lineRule="auto"/>
              <w:rPr>
                <w:rFonts w:ascii="Arial"/>
                <w:sz w:val="21"/>
              </w:rPr>
            </w:pPr>
          </w:p>
          <w:p w14:paraId="2D8EFBED">
            <w:pPr>
              <w:spacing w:line="342" w:lineRule="auto"/>
              <w:rPr>
                <w:rFonts w:ascii="Arial"/>
                <w:sz w:val="21"/>
              </w:rPr>
            </w:pPr>
          </w:p>
          <w:p w14:paraId="33EDAF7D">
            <w:pPr>
              <w:pStyle w:val="6"/>
              <w:spacing w:before="57" w:line="195" w:lineRule="auto"/>
              <w:ind w:left="113"/>
              <w:rPr>
                <w:sz w:val="20"/>
                <w:szCs w:val="20"/>
              </w:rPr>
            </w:pPr>
            <w:r>
              <w:rPr>
                <w:spacing w:val="3"/>
                <w:sz w:val="20"/>
                <w:szCs w:val="20"/>
              </w:rPr>
              <w:t>04:57-05:17</w:t>
            </w:r>
          </w:p>
        </w:tc>
        <w:tc>
          <w:tcPr>
            <w:tcW w:w="1093" w:type="dxa"/>
            <w:vAlign w:val="top"/>
          </w:tcPr>
          <w:p w14:paraId="712ED650">
            <w:pPr>
              <w:pStyle w:val="6"/>
              <w:spacing w:before="101" w:line="195" w:lineRule="auto"/>
              <w:ind w:left="441"/>
              <w:rPr>
                <w:sz w:val="20"/>
                <w:szCs w:val="20"/>
              </w:rPr>
            </w:pPr>
            <w:r>
              <w:rPr>
                <w:spacing w:val="3"/>
                <w:sz w:val="20"/>
                <w:szCs w:val="20"/>
              </w:rPr>
              <w:t>44</w:t>
            </w:r>
          </w:p>
        </w:tc>
        <w:tc>
          <w:tcPr>
            <w:tcW w:w="942" w:type="dxa"/>
            <w:vMerge w:val="restart"/>
            <w:tcBorders>
              <w:bottom w:val="nil"/>
            </w:tcBorders>
            <w:vAlign w:val="top"/>
          </w:tcPr>
          <w:p w14:paraId="64112F0A">
            <w:pPr>
              <w:spacing w:line="342" w:lineRule="auto"/>
              <w:rPr>
                <w:rFonts w:ascii="Arial"/>
                <w:sz w:val="21"/>
              </w:rPr>
            </w:pPr>
          </w:p>
          <w:p w14:paraId="1E9A4881">
            <w:pPr>
              <w:spacing w:line="343" w:lineRule="auto"/>
              <w:rPr>
                <w:rFonts w:ascii="Arial"/>
                <w:sz w:val="21"/>
              </w:rPr>
            </w:pPr>
          </w:p>
          <w:p w14:paraId="73FB451A">
            <w:pPr>
              <w:pStyle w:val="6"/>
              <w:spacing w:before="57" w:line="195" w:lineRule="auto"/>
              <w:ind w:left="422"/>
              <w:rPr>
                <w:sz w:val="20"/>
                <w:szCs w:val="20"/>
              </w:rPr>
            </w:pPr>
            <w:r>
              <w:rPr>
                <w:sz w:val="20"/>
                <w:szCs w:val="20"/>
              </w:rPr>
              <w:t>0</w:t>
            </w:r>
          </w:p>
        </w:tc>
        <w:tc>
          <w:tcPr>
            <w:tcW w:w="911" w:type="dxa"/>
            <w:vMerge w:val="restart"/>
            <w:tcBorders>
              <w:bottom w:val="nil"/>
            </w:tcBorders>
            <w:vAlign w:val="top"/>
          </w:tcPr>
          <w:p w14:paraId="665BDD63">
            <w:pPr>
              <w:spacing w:line="342" w:lineRule="auto"/>
              <w:rPr>
                <w:rFonts w:ascii="Arial"/>
                <w:sz w:val="21"/>
              </w:rPr>
            </w:pPr>
          </w:p>
          <w:p w14:paraId="733F3E34">
            <w:pPr>
              <w:spacing w:line="343" w:lineRule="auto"/>
              <w:rPr>
                <w:rFonts w:ascii="Arial"/>
                <w:sz w:val="21"/>
              </w:rPr>
            </w:pPr>
          </w:p>
          <w:p w14:paraId="24C1173B">
            <w:pPr>
              <w:pStyle w:val="6"/>
              <w:spacing w:before="57" w:line="195" w:lineRule="auto"/>
              <w:ind w:left="423"/>
              <w:rPr>
                <w:sz w:val="20"/>
                <w:szCs w:val="20"/>
              </w:rPr>
            </w:pPr>
            <w:r>
              <w:rPr>
                <w:sz w:val="20"/>
                <w:szCs w:val="20"/>
              </w:rPr>
              <w:t>1</w:t>
            </w:r>
          </w:p>
        </w:tc>
        <w:tc>
          <w:tcPr>
            <w:tcW w:w="835" w:type="dxa"/>
            <w:vMerge w:val="restart"/>
            <w:tcBorders>
              <w:bottom w:val="nil"/>
              <w:right w:val="nil"/>
            </w:tcBorders>
            <w:vAlign w:val="top"/>
          </w:tcPr>
          <w:p w14:paraId="377A5076">
            <w:pPr>
              <w:spacing w:line="342" w:lineRule="auto"/>
              <w:rPr>
                <w:rFonts w:ascii="Arial"/>
                <w:sz w:val="21"/>
              </w:rPr>
            </w:pPr>
          </w:p>
          <w:p w14:paraId="1D734C30">
            <w:pPr>
              <w:spacing w:line="343" w:lineRule="auto"/>
              <w:rPr>
                <w:rFonts w:ascii="Arial"/>
                <w:sz w:val="21"/>
              </w:rPr>
            </w:pPr>
          </w:p>
          <w:p w14:paraId="77F5CF34">
            <w:pPr>
              <w:pStyle w:val="6"/>
              <w:spacing w:before="57" w:line="195" w:lineRule="auto"/>
              <w:ind w:left="386"/>
              <w:rPr>
                <w:sz w:val="20"/>
                <w:szCs w:val="20"/>
              </w:rPr>
            </w:pPr>
            <w:r>
              <w:rPr>
                <w:sz w:val="20"/>
                <w:szCs w:val="20"/>
              </w:rPr>
              <w:t>1</w:t>
            </w:r>
          </w:p>
        </w:tc>
      </w:tr>
      <w:tr w14:paraId="78D368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495" w:type="dxa"/>
            <w:tcBorders>
              <w:left w:val="nil"/>
            </w:tcBorders>
            <w:vAlign w:val="top"/>
          </w:tcPr>
          <w:p w14:paraId="646D8FEA">
            <w:pPr>
              <w:pStyle w:val="6"/>
              <w:spacing w:before="66" w:line="221" w:lineRule="auto"/>
              <w:ind w:left="231"/>
              <w:rPr>
                <w:rFonts w:ascii="仿宋" w:hAnsi="仿宋" w:eastAsia="仿宋" w:cs="仿宋"/>
                <w:sz w:val="20"/>
                <w:szCs w:val="20"/>
              </w:rPr>
            </w:pPr>
            <w:r>
              <w:rPr>
                <w:rFonts w:ascii="仿宋" w:hAnsi="仿宋" w:eastAsia="仿宋" w:cs="仿宋"/>
                <w:spacing w:val="5"/>
                <w:sz w:val="20"/>
                <w:szCs w:val="20"/>
              </w:rPr>
              <w:t>兴巴高速断面</w:t>
            </w:r>
            <w:r>
              <w:rPr>
                <w:spacing w:val="5"/>
                <w:sz w:val="20"/>
                <w:szCs w:val="20"/>
              </w:rPr>
              <w:t>(</w:t>
            </w:r>
            <w:r>
              <w:rPr>
                <w:rFonts w:ascii="仿宋" w:hAnsi="仿宋" w:eastAsia="仿宋" w:cs="仿宋"/>
                <w:spacing w:val="5"/>
                <w:sz w:val="20"/>
                <w:szCs w:val="20"/>
              </w:rPr>
              <w:t>中心线外</w:t>
            </w:r>
            <w:r>
              <w:rPr>
                <w:rFonts w:ascii="仿宋" w:hAnsi="仿宋" w:eastAsia="仿宋" w:cs="仿宋"/>
                <w:spacing w:val="-32"/>
                <w:sz w:val="20"/>
                <w:szCs w:val="20"/>
              </w:rPr>
              <w:t xml:space="preserve"> </w:t>
            </w:r>
            <w:r>
              <w:rPr>
                <w:spacing w:val="5"/>
                <w:sz w:val="20"/>
                <w:szCs w:val="20"/>
              </w:rPr>
              <w:t>40m</w:t>
            </w:r>
            <w:r>
              <w:rPr>
                <w:spacing w:val="16"/>
                <w:sz w:val="20"/>
                <w:szCs w:val="20"/>
              </w:rPr>
              <w:t xml:space="preserve"> </w:t>
            </w:r>
            <w:r>
              <w:rPr>
                <w:rFonts w:ascii="仿宋" w:hAnsi="仿宋" w:eastAsia="仿宋" w:cs="仿宋"/>
                <w:spacing w:val="5"/>
                <w:sz w:val="20"/>
                <w:szCs w:val="20"/>
              </w:rPr>
              <w:t>处）</w:t>
            </w:r>
          </w:p>
        </w:tc>
        <w:tc>
          <w:tcPr>
            <w:tcW w:w="1243" w:type="dxa"/>
            <w:vMerge w:val="continue"/>
            <w:tcBorders>
              <w:top w:val="nil"/>
              <w:bottom w:val="nil"/>
            </w:tcBorders>
            <w:vAlign w:val="top"/>
          </w:tcPr>
          <w:p w14:paraId="4BFE728B">
            <w:pPr>
              <w:rPr>
                <w:rFonts w:ascii="Arial"/>
                <w:sz w:val="21"/>
              </w:rPr>
            </w:pPr>
          </w:p>
        </w:tc>
        <w:tc>
          <w:tcPr>
            <w:tcW w:w="1093" w:type="dxa"/>
            <w:vAlign w:val="top"/>
          </w:tcPr>
          <w:p w14:paraId="54738B79">
            <w:pPr>
              <w:pStyle w:val="6"/>
              <w:spacing w:before="102" w:line="195" w:lineRule="auto"/>
              <w:ind w:left="441"/>
              <w:rPr>
                <w:sz w:val="20"/>
                <w:szCs w:val="20"/>
              </w:rPr>
            </w:pPr>
            <w:r>
              <w:rPr>
                <w:spacing w:val="3"/>
                <w:sz w:val="20"/>
                <w:szCs w:val="20"/>
              </w:rPr>
              <w:t>41</w:t>
            </w:r>
          </w:p>
        </w:tc>
        <w:tc>
          <w:tcPr>
            <w:tcW w:w="942" w:type="dxa"/>
            <w:vMerge w:val="continue"/>
            <w:tcBorders>
              <w:top w:val="nil"/>
              <w:bottom w:val="nil"/>
            </w:tcBorders>
            <w:vAlign w:val="top"/>
          </w:tcPr>
          <w:p w14:paraId="2C07391C">
            <w:pPr>
              <w:rPr>
                <w:rFonts w:ascii="Arial"/>
                <w:sz w:val="21"/>
              </w:rPr>
            </w:pPr>
          </w:p>
        </w:tc>
        <w:tc>
          <w:tcPr>
            <w:tcW w:w="911" w:type="dxa"/>
            <w:vMerge w:val="continue"/>
            <w:tcBorders>
              <w:top w:val="nil"/>
              <w:bottom w:val="nil"/>
            </w:tcBorders>
            <w:vAlign w:val="top"/>
          </w:tcPr>
          <w:p w14:paraId="3C038AEE">
            <w:pPr>
              <w:rPr>
                <w:rFonts w:ascii="Arial"/>
                <w:sz w:val="21"/>
              </w:rPr>
            </w:pPr>
          </w:p>
        </w:tc>
        <w:tc>
          <w:tcPr>
            <w:tcW w:w="835" w:type="dxa"/>
            <w:vMerge w:val="continue"/>
            <w:tcBorders>
              <w:top w:val="nil"/>
              <w:bottom w:val="nil"/>
              <w:right w:val="nil"/>
            </w:tcBorders>
            <w:vAlign w:val="top"/>
          </w:tcPr>
          <w:p w14:paraId="6B55F9F9">
            <w:pPr>
              <w:rPr>
                <w:rFonts w:ascii="Arial"/>
                <w:sz w:val="21"/>
              </w:rPr>
            </w:pPr>
          </w:p>
        </w:tc>
      </w:tr>
      <w:tr w14:paraId="7B283A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495" w:type="dxa"/>
            <w:tcBorders>
              <w:left w:val="nil"/>
            </w:tcBorders>
            <w:vAlign w:val="top"/>
          </w:tcPr>
          <w:p w14:paraId="107536BE">
            <w:pPr>
              <w:pStyle w:val="6"/>
              <w:spacing w:before="66" w:line="221" w:lineRule="auto"/>
              <w:ind w:left="231"/>
              <w:rPr>
                <w:rFonts w:ascii="仿宋" w:hAnsi="仿宋" w:eastAsia="仿宋" w:cs="仿宋"/>
                <w:sz w:val="20"/>
                <w:szCs w:val="20"/>
              </w:rPr>
            </w:pPr>
            <w:r>
              <w:rPr>
                <w:rFonts w:ascii="仿宋" w:hAnsi="仿宋" w:eastAsia="仿宋" w:cs="仿宋"/>
                <w:spacing w:val="5"/>
                <w:sz w:val="20"/>
                <w:szCs w:val="20"/>
              </w:rPr>
              <w:t>兴巴高速断面</w:t>
            </w:r>
            <w:r>
              <w:rPr>
                <w:spacing w:val="5"/>
                <w:sz w:val="20"/>
                <w:szCs w:val="20"/>
              </w:rPr>
              <w:t>(</w:t>
            </w:r>
            <w:r>
              <w:rPr>
                <w:rFonts w:ascii="仿宋" w:hAnsi="仿宋" w:eastAsia="仿宋" w:cs="仿宋"/>
                <w:spacing w:val="5"/>
                <w:sz w:val="20"/>
                <w:szCs w:val="20"/>
              </w:rPr>
              <w:t>中心线外</w:t>
            </w:r>
            <w:r>
              <w:rPr>
                <w:rFonts w:ascii="仿宋" w:hAnsi="仿宋" w:eastAsia="仿宋" w:cs="仿宋"/>
                <w:spacing w:val="-32"/>
                <w:sz w:val="20"/>
                <w:szCs w:val="20"/>
              </w:rPr>
              <w:t xml:space="preserve"> </w:t>
            </w:r>
            <w:r>
              <w:rPr>
                <w:spacing w:val="5"/>
                <w:sz w:val="20"/>
                <w:szCs w:val="20"/>
              </w:rPr>
              <w:t>60m</w:t>
            </w:r>
            <w:r>
              <w:rPr>
                <w:spacing w:val="16"/>
                <w:sz w:val="20"/>
                <w:szCs w:val="20"/>
              </w:rPr>
              <w:t xml:space="preserve"> </w:t>
            </w:r>
            <w:r>
              <w:rPr>
                <w:rFonts w:ascii="仿宋" w:hAnsi="仿宋" w:eastAsia="仿宋" w:cs="仿宋"/>
                <w:spacing w:val="5"/>
                <w:sz w:val="20"/>
                <w:szCs w:val="20"/>
              </w:rPr>
              <w:t>处）</w:t>
            </w:r>
          </w:p>
        </w:tc>
        <w:tc>
          <w:tcPr>
            <w:tcW w:w="1243" w:type="dxa"/>
            <w:vMerge w:val="continue"/>
            <w:tcBorders>
              <w:top w:val="nil"/>
              <w:bottom w:val="nil"/>
            </w:tcBorders>
            <w:vAlign w:val="top"/>
          </w:tcPr>
          <w:p w14:paraId="07D52CF4">
            <w:pPr>
              <w:rPr>
                <w:rFonts w:ascii="Arial"/>
                <w:sz w:val="21"/>
              </w:rPr>
            </w:pPr>
          </w:p>
        </w:tc>
        <w:tc>
          <w:tcPr>
            <w:tcW w:w="1093" w:type="dxa"/>
            <w:vAlign w:val="top"/>
          </w:tcPr>
          <w:p w14:paraId="223175DA">
            <w:pPr>
              <w:pStyle w:val="6"/>
              <w:spacing w:before="102" w:line="195" w:lineRule="auto"/>
              <w:ind w:left="441"/>
              <w:rPr>
                <w:sz w:val="20"/>
                <w:szCs w:val="20"/>
              </w:rPr>
            </w:pPr>
            <w:r>
              <w:rPr>
                <w:spacing w:val="3"/>
                <w:sz w:val="20"/>
                <w:szCs w:val="20"/>
              </w:rPr>
              <w:t>40</w:t>
            </w:r>
          </w:p>
        </w:tc>
        <w:tc>
          <w:tcPr>
            <w:tcW w:w="942" w:type="dxa"/>
            <w:vMerge w:val="continue"/>
            <w:tcBorders>
              <w:top w:val="nil"/>
              <w:bottom w:val="nil"/>
            </w:tcBorders>
            <w:vAlign w:val="top"/>
          </w:tcPr>
          <w:p w14:paraId="73235AF9">
            <w:pPr>
              <w:rPr>
                <w:rFonts w:ascii="Arial"/>
                <w:sz w:val="21"/>
              </w:rPr>
            </w:pPr>
          </w:p>
        </w:tc>
        <w:tc>
          <w:tcPr>
            <w:tcW w:w="911" w:type="dxa"/>
            <w:vMerge w:val="continue"/>
            <w:tcBorders>
              <w:top w:val="nil"/>
              <w:bottom w:val="nil"/>
            </w:tcBorders>
            <w:vAlign w:val="top"/>
          </w:tcPr>
          <w:p w14:paraId="59A6B68B">
            <w:pPr>
              <w:rPr>
                <w:rFonts w:ascii="Arial"/>
                <w:sz w:val="21"/>
              </w:rPr>
            </w:pPr>
          </w:p>
        </w:tc>
        <w:tc>
          <w:tcPr>
            <w:tcW w:w="835" w:type="dxa"/>
            <w:vMerge w:val="continue"/>
            <w:tcBorders>
              <w:top w:val="nil"/>
              <w:bottom w:val="nil"/>
              <w:right w:val="nil"/>
            </w:tcBorders>
            <w:vAlign w:val="top"/>
          </w:tcPr>
          <w:p w14:paraId="738A2149">
            <w:pPr>
              <w:rPr>
                <w:rFonts w:ascii="Arial"/>
                <w:sz w:val="21"/>
              </w:rPr>
            </w:pPr>
          </w:p>
        </w:tc>
      </w:tr>
      <w:tr w14:paraId="6F0B1C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495" w:type="dxa"/>
            <w:tcBorders>
              <w:left w:val="nil"/>
            </w:tcBorders>
            <w:vAlign w:val="top"/>
          </w:tcPr>
          <w:p w14:paraId="0E49BD31">
            <w:pPr>
              <w:pStyle w:val="6"/>
              <w:spacing w:before="67" w:line="220" w:lineRule="auto"/>
              <w:ind w:left="231"/>
              <w:rPr>
                <w:rFonts w:ascii="仿宋" w:hAnsi="仿宋" w:eastAsia="仿宋" w:cs="仿宋"/>
                <w:sz w:val="20"/>
                <w:szCs w:val="20"/>
              </w:rPr>
            </w:pPr>
            <w:r>
              <w:rPr>
                <w:rFonts w:ascii="仿宋" w:hAnsi="仿宋" w:eastAsia="仿宋" w:cs="仿宋"/>
                <w:spacing w:val="5"/>
                <w:sz w:val="20"/>
                <w:szCs w:val="20"/>
              </w:rPr>
              <w:t>兴巴高速断面</w:t>
            </w:r>
            <w:r>
              <w:rPr>
                <w:spacing w:val="5"/>
                <w:sz w:val="20"/>
                <w:szCs w:val="20"/>
              </w:rPr>
              <w:t>(</w:t>
            </w:r>
            <w:r>
              <w:rPr>
                <w:rFonts w:ascii="仿宋" w:hAnsi="仿宋" w:eastAsia="仿宋" w:cs="仿宋"/>
                <w:spacing w:val="5"/>
                <w:sz w:val="20"/>
                <w:szCs w:val="20"/>
              </w:rPr>
              <w:t>中心线外</w:t>
            </w:r>
            <w:r>
              <w:rPr>
                <w:rFonts w:ascii="仿宋" w:hAnsi="仿宋" w:eastAsia="仿宋" w:cs="仿宋"/>
                <w:spacing w:val="-32"/>
                <w:sz w:val="20"/>
                <w:szCs w:val="20"/>
              </w:rPr>
              <w:t xml:space="preserve"> </w:t>
            </w:r>
            <w:r>
              <w:rPr>
                <w:spacing w:val="5"/>
                <w:sz w:val="20"/>
                <w:szCs w:val="20"/>
              </w:rPr>
              <w:t>80m</w:t>
            </w:r>
            <w:r>
              <w:rPr>
                <w:spacing w:val="16"/>
                <w:sz w:val="20"/>
                <w:szCs w:val="20"/>
              </w:rPr>
              <w:t xml:space="preserve"> </w:t>
            </w:r>
            <w:r>
              <w:rPr>
                <w:rFonts w:ascii="仿宋" w:hAnsi="仿宋" w:eastAsia="仿宋" w:cs="仿宋"/>
                <w:spacing w:val="5"/>
                <w:sz w:val="20"/>
                <w:szCs w:val="20"/>
              </w:rPr>
              <w:t>处）</w:t>
            </w:r>
          </w:p>
        </w:tc>
        <w:tc>
          <w:tcPr>
            <w:tcW w:w="1243" w:type="dxa"/>
            <w:vMerge w:val="continue"/>
            <w:tcBorders>
              <w:top w:val="nil"/>
              <w:bottom w:val="nil"/>
            </w:tcBorders>
            <w:vAlign w:val="top"/>
          </w:tcPr>
          <w:p w14:paraId="5F03A4A3">
            <w:pPr>
              <w:rPr>
                <w:rFonts w:ascii="Arial"/>
                <w:sz w:val="21"/>
              </w:rPr>
            </w:pPr>
          </w:p>
        </w:tc>
        <w:tc>
          <w:tcPr>
            <w:tcW w:w="1093" w:type="dxa"/>
            <w:vAlign w:val="top"/>
          </w:tcPr>
          <w:p w14:paraId="582C98F7">
            <w:pPr>
              <w:pStyle w:val="6"/>
              <w:spacing w:before="103" w:line="195" w:lineRule="auto"/>
              <w:ind w:left="446"/>
              <w:rPr>
                <w:sz w:val="20"/>
                <w:szCs w:val="20"/>
              </w:rPr>
            </w:pPr>
            <w:r>
              <w:rPr>
                <w:sz w:val="20"/>
                <w:szCs w:val="20"/>
              </w:rPr>
              <w:t>38</w:t>
            </w:r>
          </w:p>
        </w:tc>
        <w:tc>
          <w:tcPr>
            <w:tcW w:w="942" w:type="dxa"/>
            <w:vMerge w:val="continue"/>
            <w:tcBorders>
              <w:top w:val="nil"/>
              <w:bottom w:val="nil"/>
            </w:tcBorders>
            <w:vAlign w:val="top"/>
          </w:tcPr>
          <w:p w14:paraId="0F849252">
            <w:pPr>
              <w:rPr>
                <w:rFonts w:ascii="Arial"/>
                <w:sz w:val="21"/>
              </w:rPr>
            </w:pPr>
          </w:p>
        </w:tc>
        <w:tc>
          <w:tcPr>
            <w:tcW w:w="911" w:type="dxa"/>
            <w:vMerge w:val="continue"/>
            <w:tcBorders>
              <w:top w:val="nil"/>
              <w:bottom w:val="nil"/>
            </w:tcBorders>
            <w:vAlign w:val="top"/>
          </w:tcPr>
          <w:p w14:paraId="39EDC7F6">
            <w:pPr>
              <w:rPr>
                <w:rFonts w:ascii="Arial"/>
                <w:sz w:val="21"/>
              </w:rPr>
            </w:pPr>
          </w:p>
        </w:tc>
        <w:tc>
          <w:tcPr>
            <w:tcW w:w="835" w:type="dxa"/>
            <w:vMerge w:val="continue"/>
            <w:tcBorders>
              <w:top w:val="nil"/>
              <w:bottom w:val="nil"/>
              <w:right w:val="nil"/>
            </w:tcBorders>
            <w:vAlign w:val="top"/>
          </w:tcPr>
          <w:p w14:paraId="0C1517A6">
            <w:pPr>
              <w:rPr>
                <w:rFonts w:ascii="Arial"/>
                <w:sz w:val="21"/>
              </w:rPr>
            </w:pPr>
          </w:p>
        </w:tc>
      </w:tr>
      <w:tr w14:paraId="48EFDB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495" w:type="dxa"/>
            <w:tcBorders>
              <w:left w:val="nil"/>
            </w:tcBorders>
            <w:vAlign w:val="top"/>
          </w:tcPr>
          <w:p w14:paraId="47C19976">
            <w:pPr>
              <w:pStyle w:val="6"/>
              <w:spacing w:before="70" w:line="217" w:lineRule="auto"/>
              <w:ind w:left="178"/>
              <w:rPr>
                <w:rFonts w:ascii="仿宋" w:hAnsi="仿宋" w:eastAsia="仿宋" w:cs="仿宋"/>
                <w:sz w:val="20"/>
                <w:szCs w:val="20"/>
              </w:rPr>
            </w:pPr>
            <w:r>
              <w:rPr>
                <w:rFonts w:ascii="仿宋" w:hAnsi="仿宋" w:eastAsia="仿宋" w:cs="仿宋"/>
                <w:spacing w:val="4"/>
                <w:sz w:val="20"/>
                <w:szCs w:val="20"/>
              </w:rPr>
              <w:t>兴巴高速断面</w:t>
            </w:r>
            <w:r>
              <w:rPr>
                <w:spacing w:val="4"/>
                <w:sz w:val="20"/>
                <w:szCs w:val="20"/>
              </w:rPr>
              <w:t>(</w:t>
            </w:r>
            <w:r>
              <w:rPr>
                <w:rFonts w:ascii="仿宋" w:hAnsi="仿宋" w:eastAsia="仿宋" w:cs="仿宋"/>
                <w:spacing w:val="4"/>
                <w:sz w:val="20"/>
                <w:szCs w:val="20"/>
              </w:rPr>
              <w:t>中心线外</w:t>
            </w:r>
            <w:r>
              <w:rPr>
                <w:rFonts w:ascii="仿宋" w:hAnsi="仿宋" w:eastAsia="仿宋" w:cs="仿宋"/>
                <w:spacing w:val="-15"/>
                <w:sz w:val="20"/>
                <w:szCs w:val="20"/>
              </w:rPr>
              <w:t xml:space="preserve"> </w:t>
            </w:r>
            <w:r>
              <w:rPr>
                <w:spacing w:val="4"/>
                <w:sz w:val="20"/>
                <w:szCs w:val="20"/>
              </w:rPr>
              <w:t>120m</w:t>
            </w:r>
            <w:r>
              <w:rPr>
                <w:spacing w:val="19"/>
                <w:sz w:val="20"/>
                <w:szCs w:val="20"/>
              </w:rPr>
              <w:t xml:space="preserve"> </w:t>
            </w:r>
            <w:r>
              <w:rPr>
                <w:rFonts w:ascii="仿宋" w:hAnsi="仿宋" w:eastAsia="仿宋" w:cs="仿宋"/>
                <w:spacing w:val="4"/>
                <w:sz w:val="20"/>
                <w:szCs w:val="20"/>
              </w:rPr>
              <w:t>处）</w:t>
            </w:r>
          </w:p>
        </w:tc>
        <w:tc>
          <w:tcPr>
            <w:tcW w:w="1243" w:type="dxa"/>
            <w:vMerge w:val="continue"/>
            <w:tcBorders>
              <w:top w:val="nil"/>
            </w:tcBorders>
            <w:vAlign w:val="top"/>
          </w:tcPr>
          <w:p w14:paraId="0D14D5DC">
            <w:pPr>
              <w:rPr>
                <w:rFonts w:ascii="Arial"/>
                <w:sz w:val="21"/>
              </w:rPr>
            </w:pPr>
          </w:p>
        </w:tc>
        <w:tc>
          <w:tcPr>
            <w:tcW w:w="1093" w:type="dxa"/>
            <w:vAlign w:val="top"/>
          </w:tcPr>
          <w:p w14:paraId="0E3FFA55">
            <w:pPr>
              <w:pStyle w:val="6"/>
              <w:spacing w:before="106" w:line="195" w:lineRule="auto"/>
              <w:ind w:left="446"/>
              <w:rPr>
                <w:sz w:val="20"/>
                <w:szCs w:val="20"/>
              </w:rPr>
            </w:pPr>
            <w:r>
              <w:rPr>
                <w:sz w:val="20"/>
                <w:szCs w:val="20"/>
              </w:rPr>
              <w:t>36</w:t>
            </w:r>
          </w:p>
        </w:tc>
        <w:tc>
          <w:tcPr>
            <w:tcW w:w="942" w:type="dxa"/>
            <w:vMerge w:val="continue"/>
            <w:tcBorders>
              <w:top w:val="nil"/>
            </w:tcBorders>
            <w:vAlign w:val="top"/>
          </w:tcPr>
          <w:p w14:paraId="789EA48E">
            <w:pPr>
              <w:rPr>
                <w:rFonts w:ascii="Arial"/>
                <w:sz w:val="21"/>
              </w:rPr>
            </w:pPr>
          </w:p>
        </w:tc>
        <w:tc>
          <w:tcPr>
            <w:tcW w:w="911" w:type="dxa"/>
            <w:vMerge w:val="continue"/>
            <w:tcBorders>
              <w:top w:val="nil"/>
            </w:tcBorders>
            <w:vAlign w:val="top"/>
          </w:tcPr>
          <w:p w14:paraId="24B0ACCE">
            <w:pPr>
              <w:rPr>
                <w:rFonts w:ascii="Arial"/>
                <w:sz w:val="21"/>
              </w:rPr>
            </w:pPr>
          </w:p>
        </w:tc>
        <w:tc>
          <w:tcPr>
            <w:tcW w:w="835" w:type="dxa"/>
            <w:vMerge w:val="continue"/>
            <w:tcBorders>
              <w:top w:val="nil"/>
              <w:right w:val="nil"/>
            </w:tcBorders>
            <w:vAlign w:val="top"/>
          </w:tcPr>
          <w:p w14:paraId="2903A04F">
            <w:pPr>
              <w:rPr>
                <w:rFonts w:ascii="Arial"/>
                <w:sz w:val="21"/>
              </w:rPr>
            </w:pPr>
          </w:p>
        </w:tc>
      </w:tr>
      <w:tr w14:paraId="05BCEB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495" w:type="dxa"/>
            <w:vMerge w:val="restart"/>
            <w:tcBorders>
              <w:left w:val="nil"/>
              <w:bottom w:val="nil"/>
            </w:tcBorders>
            <w:vAlign w:val="top"/>
          </w:tcPr>
          <w:p w14:paraId="340D1ECA">
            <w:pPr>
              <w:spacing w:line="320" w:lineRule="auto"/>
              <w:rPr>
                <w:rFonts w:ascii="Arial"/>
                <w:sz w:val="21"/>
              </w:rPr>
            </w:pPr>
          </w:p>
          <w:p w14:paraId="05E72335">
            <w:pPr>
              <w:spacing w:before="65" w:line="229" w:lineRule="auto"/>
              <w:ind w:left="1341"/>
              <w:rPr>
                <w:rFonts w:ascii="仿宋" w:hAnsi="仿宋" w:eastAsia="仿宋" w:cs="仿宋"/>
                <w:sz w:val="20"/>
                <w:szCs w:val="20"/>
              </w:rPr>
            </w:pPr>
            <w:r>
              <w:rPr>
                <w:rFonts w:ascii="仿宋" w:hAnsi="仿宋" w:eastAsia="仿宋" w:cs="仿宋"/>
                <w:spacing w:val="5"/>
                <w:sz w:val="20"/>
                <w:szCs w:val="20"/>
              </w:rPr>
              <w:t>检测位置</w:t>
            </w:r>
          </w:p>
        </w:tc>
        <w:tc>
          <w:tcPr>
            <w:tcW w:w="2336" w:type="dxa"/>
            <w:gridSpan w:val="2"/>
            <w:vAlign w:val="top"/>
          </w:tcPr>
          <w:p w14:paraId="3F9B5F74">
            <w:pPr>
              <w:pStyle w:val="6"/>
              <w:spacing w:before="70" w:line="217" w:lineRule="auto"/>
              <w:ind w:left="444"/>
              <w:rPr>
                <w:sz w:val="20"/>
                <w:szCs w:val="20"/>
              </w:rPr>
            </w:pPr>
            <w:r>
              <w:rPr>
                <w:rFonts w:ascii="仿宋" w:hAnsi="仿宋" w:eastAsia="仿宋" w:cs="仿宋"/>
                <w:spacing w:val="4"/>
                <w:sz w:val="20"/>
                <w:szCs w:val="20"/>
              </w:rPr>
              <w:t>昼间：</w:t>
            </w:r>
            <w:r>
              <w:rPr>
                <w:spacing w:val="4"/>
                <w:sz w:val="20"/>
                <w:szCs w:val="20"/>
              </w:rPr>
              <w:t>2026.6.13</w:t>
            </w:r>
          </w:p>
        </w:tc>
        <w:tc>
          <w:tcPr>
            <w:tcW w:w="2688" w:type="dxa"/>
            <w:gridSpan w:val="3"/>
            <w:tcBorders>
              <w:right w:val="nil"/>
            </w:tcBorders>
            <w:vAlign w:val="top"/>
          </w:tcPr>
          <w:p w14:paraId="622989C8">
            <w:pPr>
              <w:spacing w:before="70" w:line="217" w:lineRule="auto"/>
              <w:ind w:left="834"/>
              <w:rPr>
                <w:rFonts w:ascii="仿宋" w:hAnsi="仿宋" w:eastAsia="仿宋" w:cs="仿宋"/>
                <w:sz w:val="20"/>
                <w:szCs w:val="20"/>
              </w:rPr>
            </w:pPr>
            <w:r>
              <w:rPr>
                <w:rFonts w:ascii="仿宋" w:hAnsi="仿宋" w:eastAsia="仿宋" w:cs="仿宋"/>
                <w:spacing w:val="6"/>
                <w:sz w:val="20"/>
                <w:szCs w:val="20"/>
              </w:rPr>
              <w:t>车流量统计</w:t>
            </w:r>
          </w:p>
        </w:tc>
      </w:tr>
      <w:tr w14:paraId="045AD7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3495" w:type="dxa"/>
            <w:vMerge w:val="continue"/>
            <w:tcBorders>
              <w:top w:val="nil"/>
              <w:left w:val="nil"/>
            </w:tcBorders>
            <w:vAlign w:val="top"/>
          </w:tcPr>
          <w:p w14:paraId="379AE3A2">
            <w:pPr>
              <w:rPr>
                <w:rFonts w:ascii="Arial"/>
                <w:sz w:val="21"/>
              </w:rPr>
            </w:pPr>
          </w:p>
        </w:tc>
        <w:tc>
          <w:tcPr>
            <w:tcW w:w="1243" w:type="dxa"/>
            <w:vAlign w:val="top"/>
          </w:tcPr>
          <w:p w14:paraId="7C4477A6">
            <w:pPr>
              <w:spacing w:before="227" w:line="229" w:lineRule="auto"/>
              <w:ind w:left="212"/>
              <w:rPr>
                <w:rFonts w:ascii="仿宋" w:hAnsi="仿宋" w:eastAsia="仿宋" w:cs="仿宋"/>
                <w:sz w:val="20"/>
                <w:szCs w:val="20"/>
              </w:rPr>
            </w:pPr>
            <w:r>
              <w:rPr>
                <w:rFonts w:ascii="仿宋" w:hAnsi="仿宋" w:eastAsia="仿宋" w:cs="仿宋"/>
                <w:spacing w:val="5"/>
                <w:sz w:val="20"/>
                <w:szCs w:val="20"/>
              </w:rPr>
              <w:t>检测时间</w:t>
            </w:r>
          </w:p>
        </w:tc>
        <w:tc>
          <w:tcPr>
            <w:tcW w:w="1093" w:type="dxa"/>
            <w:vAlign w:val="top"/>
          </w:tcPr>
          <w:p w14:paraId="4DC15FE8">
            <w:pPr>
              <w:spacing w:before="227" w:line="231" w:lineRule="auto"/>
              <w:ind w:left="137"/>
              <w:rPr>
                <w:rFonts w:ascii="仿宋" w:hAnsi="仿宋" w:eastAsia="仿宋" w:cs="仿宋"/>
                <w:sz w:val="20"/>
                <w:szCs w:val="20"/>
              </w:rPr>
            </w:pPr>
            <w:r>
              <w:rPr>
                <w:rFonts w:ascii="仿宋" w:hAnsi="仿宋" w:eastAsia="仿宋" w:cs="仿宋"/>
                <w:spacing w:val="5"/>
                <w:sz w:val="20"/>
                <w:szCs w:val="20"/>
              </w:rPr>
              <w:t>测定结果</w:t>
            </w:r>
          </w:p>
        </w:tc>
        <w:tc>
          <w:tcPr>
            <w:tcW w:w="942" w:type="dxa"/>
            <w:vAlign w:val="top"/>
          </w:tcPr>
          <w:p w14:paraId="06B1FCB9">
            <w:pPr>
              <w:spacing w:before="227" w:line="228" w:lineRule="auto"/>
              <w:ind w:left="169"/>
              <w:rPr>
                <w:rFonts w:ascii="仿宋" w:hAnsi="仿宋" w:eastAsia="仿宋" w:cs="仿宋"/>
                <w:sz w:val="20"/>
                <w:szCs w:val="20"/>
              </w:rPr>
            </w:pPr>
            <w:r>
              <w:rPr>
                <w:rFonts w:ascii="仿宋" w:hAnsi="仿宋" w:eastAsia="仿宋" w:cs="仿宋"/>
                <w:spacing w:val="4"/>
                <w:sz w:val="20"/>
                <w:szCs w:val="20"/>
              </w:rPr>
              <w:t>大型车</w:t>
            </w:r>
          </w:p>
        </w:tc>
        <w:tc>
          <w:tcPr>
            <w:tcW w:w="911" w:type="dxa"/>
            <w:vAlign w:val="top"/>
          </w:tcPr>
          <w:p w14:paraId="6B914FAF">
            <w:pPr>
              <w:spacing w:before="227" w:line="228" w:lineRule="auto"/>
              <w:ind w:left="178"/>
              <w:rPr>
                <w:rFonts w:ascii="仿宋" w:hAnsi="仿宋" w:eastAsia="仿宋" w:cs="仿宋"/>
                <w:sz w:val="20"/>
                <w:szCs w:val="20"/>
              </w:rPr>
            </w:pPr>
            <w:r>
              <w:rPr>
                <w:rFonts w:ascii="仿宋" w:hAnsi="仿宋" w:eastAsia="仿宋" w:cs="仿宋"/>
                <w:spacing w:val="-4"/>
                <w:sz w:val="20"/>
                <w:szCs w:val="20"/>
              </w:rPr>
              <w:t>中型车</w:t>
            </w:r>
          </w:p>
        </w:tc>
        <w:tc>
          <w:tcPr>
            <w:tcW w:w="835" w:type="dxa"/>
            <w:tcBorders>
              <w:right w:val="nil"/>
            </w:tcBorders>
            <w:vAlign w:val="top"/>
          </w:tcPr>
          <w:p w14:paraId="19CFE11F">
            <w:pPr>
              <w:spacing w:before="72" w:line="251" w:lineRule="auto"/>
              <w:ind w:left="327" w:right="211" w:hanging="110"/>
              <w:rPr>
                <w:rFonts w:ascii="仿宋" w:hAnsi="仿宋" w:eastAsia="仿宋" w:cs="仿宋"/>
                <w:sz w:val="20"/>
                <w:szCs w:val="20"/>
              </w:rPr>
            </w:pPr>
            <w:r>
              <w:rPr>
                <w:rFonts w:ascii="仿宋" w:hAnsi="仿宋" w:eastAsia="仿宋" w:cs="仿宋"/>
                <w:spacing w:val="2"/>
                <w:sz w:val="20"/>
                <w:szCs w:val="20"/>
              </w:rPr>
              <w:t>小型</w:t>
            </w:r>
            <w:r>
              <w:rPr>
                <w:rFonts w:ascii="仿宋" w:hAnsi="仿宋" w:eastAsia="仿宋" w:cs="仿宋"/>
                <w:sz w:val="20"/>
                <w:szCs w:val="20"/>
              </w:rPr>
              <w:t>车</w:t>
            </w:r>
          </w:p>
        </w:tc>
      </w:tr>
      <w:tr w14:paraId="7B9F13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495" w:type="dxa"/>
            <w:tcBorders>
              <w:left w:val="nil"/>
            </w:tcBorders>
            <w:vAlign w:val="top"/>
          </w:tcPr>
          <w:p w14:paraId="7F25ACC2">
            <w:pPr>
              <w:pStyle w:val="6"/>
              <w:spacing w:before="74" w:line="214" w:lineRule="auto"/>
              <w:ind w:left="231"/>
              <w:rPr>
                <w:rFonts w:ascii="仿宋" w:hAnsi="仿宋" w:eastAsia="仿宋" w:cs="仿宋"/>
                <w:sz w:val="20"/>
                <w:szCs w:val="20"/>
              </w:rPr>
            </w:pPr>
            <w:r>
              <w:rPr>
                <w:rFonts w:ascii="仿宋" w:hAnsi="仿宋" w:eastAsia="仿宋" w:cs="仿宋"/>
                <w:spacing w:val="5"/>
                <w:sz w:val="20"/>
                <w:szCs w:val="20"/>
              </w:rPr>
              <w:t>兴巴高速断面</w:t>
            </w:r>
            <w:r>
              <w:rPr>
                <w:spacing w:val="5"/>
                <w:sz w:val="20"/>
                <w:szCs w:val="20"/>
              </w:rPr>
              <w:t>(</w:t>
            </w:r>
            <w:r>
              <w:rPr>
                <w:rFonts w:ascii="仿宋" w:hAnsi="仿宋" w:eastAsia="仿宋" w:cs="仿宋"/>
                <w:spacing w:val="5"/>
                <w:sz w:val="20"/>
                <w:szCs w:val="20"/>
              </w:rPr>
              <w:t>中心线外</w:t>
            </w:r>
            <w:r>
              <w:rPr>
                <w:rFonts w:ascii="仿宋" w:hAnsi="仿宋" w:eastAsia="仿宋" w:cs="仿宋"/>
                <w:spacing w:val="-32"/>
                <w:sz w:val="20"/>
                <w:szCs w:val="20"/>
              </w:rPr>
              <w:t xml:space="preserve"> </w:t>
            </w:r>
            <w:r>
              <w:rPr>
                <w:spacing w:val="5"/>
                <w:sz w:val="20"/>
                <w:szCs w:val="20"/>
              </w:rPr>
              <w:t>20m</w:t>
            </w:r>
            <w:r>
              <w:rPr>
                <w:spacing w:val="16"/>
                <w:sz w:val="20"/>
                <w:szCs w:val="20"/>
              </w:rPr>
              <w:t xml:space="preserve"> </w:t>
            </w:r>
            <w:r>
              <w:rPr>
                <w:rFonts w:ascii="仿宋" w:hAnsi="仿宋" w:eastAsia="仿宋" w:cs="仿宋"/>
                <w:spacing w:val="5"/>
                <w:sz w:val="20"/>
                <w:szCs w:val="20"/>
              </w:rPr>
              <w:t>处）</w:t>
            </w:r>
          </w:p>
        </w:tc>
        <w:tc>
          <w:tcPr>
            <w:tcW w:w="1243" w:type="dxa"/>
            <w:vMerge w:val="restart"/>
            <w:tcBorders>
              <w:bottom w:val="nil"/>
            </w:tcBorders>
            <w:vAlign w:val="top"/>
          </w:tcPr>
          <w:p w14:paraId="32E11216">
            <w:pPr>
              <w:pStyle w:val="6"/>
              <w:spacing w:before="270" w:line="195" w:lineRule="auto"/>
              <w:ind w:left="130"/>
              <w:rPr>
                <w:sz w:val="20"/>
                <w:szCs w:val="20"/>
              </w:rPr>
            </w:pPr>
            <w:r>
              <w:rPr>
                <w:spacing w:val="-1"/>
                <w:sz w:val="20"/>
                <w:szCs w:val="20"/>
              </w:rPr>
              <w:t>15:56-</w:t>
            </w:r>
            <w:r>
              <w:rPr>
                <w:spacing w:val="-17"/>
                <w:sz w:val="20"/>
                <w:szCs w:val="20"/>
              </w:rPr>
              <w:t xml:space="preserve"> </w:t>
            </w:r>
            <w:r>
              <w:rPr>
                <w:spacing w:val="-1"/>
                <w:sz w:val="20"/>
                <w:szCs w:val="20"/>
              </w:rPr>
              <w:t>16:16</w:t>
            </w:r>
          </w:p>
        </w:tc>
        <w:tc>
          <w:tcPr>
            <w:tcW w:w="1093" w:type="dxa"/>
            <w:vAlign w:val="top"/>
          </w:tcPr>
          <w:p w14:paraId="7D668D3B">
            <w:pPr>
              <w:pStyle w:val="6"/>
              <w:spacing w:before="110" w:line="195" w:lineRule="auto"/>
              <w:ind w:left="447"/>
              <w:rPr>
                <w:sz w:val="20"/>
                <w:szCs w:val="20"/>
              </w:rPr>
            </w:pPr>
            <w:r>
              <w:rPr>
                <w:sz w:val="20"/>
                <w:szCs w:val="20"/>
              </w:rPr>
              <w:t>53</w:t>
            </w:r>
          </w:p>
        </w:tc>
        <w:tc>
          <w:tcPr>
            <w:tcW w:w="942" w:type="dxa"/>
            <w:vMerge w:val="restart"/>
            <w:tcBorders>
              <w:bottom w:val="nil"/>
            </w:tcBorders>
            <w:vAlign w:val="top"/>
          </w:tcPr>
          <w:p w14:paraId="54AC0034">
            <w:pPr>
              <w:pStyle w:val="6"/>
              <w:spacing w:before="273" w:line="195" w:lineRule="auto"/>
              <w:ind w:left="422"/>
              <w:rPr>
                <w:sz w:val="20"/>
                <w:szCs w:val="20"/>
              </w:rPr>
            </w:pPr>
            <w:r>
              <w:rPr>
                <w:sz w:val="20"/>
                <w:szCs w:val="20"/>
              </w:rPr>
              <w:t>0</w:t>
            </w:r>
          </w:p>
        </w:tc>
        <w:tc>
          <w:tcPr>
            <w:tcW w:w="911" w:type="dxa"/>
            <w:vMerge w:val="restart"/>
            <w:tcBorders>
              <w:bottom w:val="nil"/>
            </w:tcBorders>
            <w:vAlign w:val="top"/>
          </w:tcPr>
          <w:p w14:paraId="59521C8B">
            <w:pPr>
              <w:pStyle w:val="6"/>
              <w:spacing w:before="273" w:line="195" w:lineRule="auto"/>
              <w:ind w:left="423"/>
              <w:rPr>
                <w:sz w:val="20"/>
                <w:szCs w:val="20"/>
              </w:rPr>
            </w:pPr>
            <w:r>
              <w:rPr>
                <w:sz w:val="20"/>
                <w:szCs w:val="20"/>
              </w:rPr>
              <w:t>1</w:t>
            </w:r>
          </w:p>
        </w:tc>
        <w:tc>
          <w:tcPr>
            <w:tcW w:w="835" w:type="dxa"/>
            <w:vMerge w:val="restart"/>
            <w:tcBorders>
              <w:bottom w:val="nil"/>
              <w:right w:val="nil"/>
            </w:tcBorders>
            <w:vAlign w:val="top"/>
          </w:tcPr>
          <w:p w14:paraId="1133CBD5">
            <w:pPr>
              <w:pStyle w:val="6"/>
              <w:spacing w:before="273" w:line="195" w:lineRule="auto"/>
              <w:ind w:left="366"/>
              <w:rPr>
                <w:sz w:val="20"/>
                <w:szCs w:val="20"/>
              </w:rPr>
            </w:pPr>
            <w:r>
              <w:rPr>
                <w:sz w:val="20"/>
                <w:szCs w:val="20"/>
              </w:rPr>
              <w:t>2</w:t>
            </w:r>
          </w:p>
        </w:tc>
      </w:tr>
      <w:tr w14:paraId="16C3BF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trPr>
        <w:tc>
          <w:tcPr>
            <w:tcW w:w="3495" w:type="dxa"/>
            <w:tcBorders>
              <w:left w:val="nil"/>
              <w:bottom w:val="single" w:color="000000" w:sz="10" w:space="0"/>
            </w:tcBorders>
            <w:vAlign w:val="top"/>
          </w:tcPr>
          <w:p w14:paraId="2552CD67">
            <w:pPr>
              <w:pStyle w:val="6"/>
              <w:spacing w:before="74" w:line="221" w:lineRule="auto"/>
              <w:ind w:left="231"/>
              <w:rPr>
                <w:rFonts w:ascii="仿宋" w:hAnsi="仿宋" w:eastAsia="仿宋" w:cs="仿宋"/>
                <w:sz w:val="20"/>
                <w:szCs w:val="20"/>
              </w:rPr>
            </w:pPr>
            <w:r>
              <w:rPr>
                <w:rFonts w:ascii="仿宋" w:hAnsi="仿宋" w:eastAsia="仿宋" w:cs="仿宋"/>
                <w:spacing w:val="5"/>
                <w:sz w:val="20"/>
                <w:szCs w:val="20"/>
              </w:rPr>
              <w:t>兴巴高速断面</w:t>
            </w:r>
            <w:r>
              <w:rPr>
                <w:spacing w:val="5"/>
                <w:sz w:val="20"/>
                <w:szCs w:val="20"/>
              </w:rPr>
              <w:t>(</w:t>
            </w:r>
            <w:r>
              <w:rPr>
                <w:rFonts w:ascii="仿宋" w:hAnsi="仿宋" w:eastAsia="仿宋" w:cs="仿宋"/>
                <w:spacing w:val="5"/>
                <w:sz w:val="20"/>
                <w:szCs w:val="20"/>
              </w:rPr>
              <w:t>中心线外</w:t>
            </w:r>
            <w:r>
              <w:rPr>
                <w:rFonts w:ascii="仿宋" w:hAnsi="仿宋" w:eastAsia="仿宋" w:cs="仿宋"/>
                <w:spacing w:val="-32"/>
                <w:sz w:val="20"/>
                <w:szCs w:val="20"/>
              </w:rPr>
              <w:t xml:space="preserve"> </w:t>
            </w:r>
            <w:r>
              <w:rPr>
                <w:spacing w:val="5"/>
                <w:sz w:val="20"/>
                <w:szCs w:val="20"/>
              </w:rPr>
              <w:t>40m</w:t>
            </w:r>
            <w:r>
              <w:rPr>
                <w:spacing w:val="16"/>
                <w:sz w:val="20"/>
                <w:szCs w:val="20"/>
              </w:rPr>
              <w:t xml:space="preserve"> </w:t>
            </w:r>
            <w:r>
              <w:rPr>
                <w:rFonts w:ascii="仿宋" w:hAnsi="仿宋" w:eastAsia="仿宋" w:cs="仿宋"/>
                <w:spacing w:val="5"/>
                <w:sz w:val="20"/>
                <w:szCs w:val="20"/>
              </w:rPr>
              <w:t>处）</w:t>
            </w:r>
          </w:p>
        </w:tc>
        <w:tc>
          <w:tcPr>
            <w:tcW w:w="1243" w:type="dxa"/>
            <w:vMerge w:val="continue"/>
            <w:tcBorders>
              <w:top w:val="nil"/>
              <w:bottom w:val="single" w:color="000000" w:sz="10" w:space="0"/>
            </w:tcBorders>
            <w:vAlign w:val="top"/>
          </w:tcPr>
          <w:p w14:paraId="3832C612">
            <w:pPr>
              <w:rPr>
                <w:rFonts w:ascii="Arial"/>
                <w:sz w:val="21"/>
              </w:rPr>
            </w:pPr>
          </w:p>
        </w:tc>
        <w:tc>
          <w:tcPr>
            <w:tcW w:w="1093" w:type="dxa"/>
            <w:tcBorders>
              <w:bottom w:val="single" w:color="000000" w:sz="10" w:space="0"/>
            </w:tcBorders>
            <w:vAlign w:val="top"/>
          </w:tcPr>
          <w:p w14:paraId="5FEBAC8F">
            <w:pPr>
              <w:pStyle w:val="6"/>
              <w:spacing w:before="110" w:line="195" w:lineRule="auto"/>
              <w:ind w:left="447"/>
              <w:rPr>
                <w:sz w:val="20"/>
                <w:szCs w:val="20"/>
              </w:rPr>
            </w:pPr>
            <w:r>
              <w:rPr>
                <w:sz w:val="20"/>
                <w:szCs w:val="20"/>
              </w:rPr>
              <w:t>53</w:t>
            </w:r>
          </w:p>
        </w:tc>
        <w:tc>
          <w:tcPr>
            <w:tcW w:w="942" w:type="dxa"/>
            <w:vMerge w:val="continue"/>
            <w:tcBorders>
              <w:top w:val="nil"/>
              <w:bottom w:val="single" w:color="000000" w:sz="10" w:space="0"/>
            </w:tcBorders>
            <w:vAlign w:val="top"/>
          </w:tcPr>
          <w:p w14:paraId="4BD8CC29">
            <w:pPr>
              <w:rPr>
                <w:rFonts w:ascii="Arial"/>
                <w:sz w:val="21"/>
              </w:rPr>
            </w:pPr>
          </w:p>
        </w:tc>
        <w:tc>
          <w:tcPr>
            <w:tcW w:w="911" w:type="dxa"/>
            <w:vMerge w:val="continue"/>
            <w:tcBorders>
              <w:top w:val="nil"/>
              <w:bottom w:val="single" w:color="000000" w:sz="10" w:space="0"/>
            </w:tcBorders>
            <w:vAlign w:val="top"/>
          </w:tcPr>
          <w:p w14:paraId="678B8603">
            <w:pPr>
              <w:rPr>
                <w:rFonts w:ascii="Arial"/>
                <w:sz w:val="21"/>
              </w:rPr>
            </w:pPr>
          </w:p>
        </w:tc>
        <w:tc>
          <w:tcPr>
            <w:tcW w:w="835" w:type="dxa"/>
            <w:vMerge w:val="continue"/>
            <w:tcBorders>
              <w:top w:val="nil"/>
              <w:bottom w:val="single" w:color="000000" w:sz="10" w:space="0"/>
              <w:right w:val="nil"/>
            </w:tcBorders>
            <w:vAlign w:val="top"/>
          </w:tcPr>
          <w:p w14:paraId="5270E99A">
            <w:pPr>
              <w:rPr>
                <w:rFonts w:ascii="Arial"/>
                <w:sz w:val="21"/>
              </w:rPr>
            </w:pPr>
          </w:p>
        </w:tc>
      </w:tr>
    </w:tbl>
    <w:p w14:paraId="3096DB10">
      <w:pPr>
        <w:pStyle w:val="2"/>
        <w:rPr>
          <w:sz w:val="21"/>
        </w:rPr>
      </w:pPr>
    </w:p>
    <w:p w14:paraId="52305421">
      <w:pPr>
        <w:rPr>
          <w:sz w:val="21"/>
          <w:szCs w:val="21"/>
        </w:rPr>
        <w:sectPr>
          <w:footerReference r:id="rId167" w:type="default"/>
          <w:pgSz w:w="11906" w:h="16839"/>
          <w:pgMar w:top="400" w:right="1693" w:bottom="1370" w:left="1693" w:header="0" w:footer="1207" w:gutter="0"/>
          <w:cols w:space="720" w:num="1"/>
        </w:sectPr>
      </w:pPr>
    </w:p>
    <w:p w14:paraId="2EF27DFE">
      <w:pPr>
        <w:spacing w:before="19"/>
      </w:pPr>
    </w:p>
    <w:p w14:paraId="5C0D1A71">
      <w:pPr>
        <w:spacing w:before="19"/>
      </w:pPr>
    </w:p>
    <w:p w14:paraId="0E2CD5A6">
      <w:pPr>
        <w:spacing w:before="18"/>
      </w:pPr>
    </w:p>
    <w:p w14:paraId="08CC3533">
      <w:pPr>
        <w:spacing w:before="18"/>
      </w:pPr>
    </w:p>
    <w:tbl>
      <w:tblPr>
        <w:tblStyle w:val="5"/>
        <w:tblW w:w="8519" w:type="dxa"/>
        <w:tblInd w:w="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495"/>
        <w:gridCol w:w="1243"/>
        <w:gridCol w:w="1093"/>
        <w:gridCol w:w="942"/>
        <w:gridCol w:w="911"/>
        <w:gridCol w:w="835"/>
      </w:tblGrid>
      <w:tr w14:paraId="57BA34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3495" w:type="dxa"/>
            <w:tcBorders>
              <w:top w:val="single" w:color="000000" w:sz="10" w:space="0"/>
              <w:left w:val="nil"/>
            </w:tcBorders>
            <w:vAlign w:val="top"/>
          </w:tcPr>
          <w:p w14:paraId="32D6F17E">
            <w:pPr>
              <w:pStyle w:val="6"/>
              <w:spacing w:before="55" w:line="221" w:lineRule="auto"/>
              <w:ind w:left="231"/>
              <w:rPr>
                <w:rFonts w:ascii="仿宋" w:hAnsi="仿宋" w:eastAsia="仿宋" w:cs="仿宋"/>
                <w:sz w:val="20"/>
                <w:szCs w:val="20"/>
              </w:rPr>
            </w:pPr>
            <w:r>
              <w:rPr>
                <w:rFonts w:ascii="仿宋" w:hAnsi="仿宋" w:eastAsia="仿宋" w:cs="仿宋"/>
                <w:spacing w:val="5"/>
                <w:sz w:val="20"/>
                <w:szCs w:val="20"/>
              </w:rPr>
              <w:t>兴巴高速断面</w:t>
            </w:r>
            <w:r>
              <w:rPr>
                <w:spacing w:val="5"/>
                <w:sz w:val="20"/>
                <w:szCs w:val="20"/>
              </w:rPr>
              <w:t>(</w:t>
            </w:r>
            <w:r>
              <w:rPr>
                <w:rFonts w:ascii="仿宋" w:hAnsi="仿宋" w:eastAsia="仿宋" w:cs="仿宋"/>
                <w:spacing w:val="5"/>
                <w:sz w:val="20"/>
                <w:szCs w:val="20"/>
              </w:rPr>
              <w:t>中心线外</w:t>
            </w:r>
            <w:r>
              <w:rPr>
                <w:rFonts w:ascii="仿宋" w:hAnsi="仿宋" w:eastAsia="仿宋" w:cs="仿宋"/>
                <w:spacing w:val="-32"/>
                <w:sz w:val="20"/>
                <w:szCs w:val="20"/>
              </w:rPr>
              <w:t xml:space="preserve"> </w:t>
            </w:r>
            <w:r>
              <w:rPr>
                <w:spacing w:val="5"/>
                <w:sz w:val="20"/>
                <w:szCs w:val="20"/>
              </w:rPr>
              <w:t>60m</w:t>
            </w:r>
            <w:r>
              <w:rPr>
                <w:spacing w:val="16"/>
                <w:sz w:val="20"/>
                <w:szCs w:val="20"/>
              </w:rPr>
              <w:t xml:space="preserve"> </w:t>
            </w:r>
            <w:r>
              <w:rPr>
                <w:rFonts w:ascii="仿宋" w:hAnsi="仿宋" w:eastAsia="仿宋" w:cs="仿宋"/>
                <w:spacing w:val="5"/>
                <w:sz w:val="20"/>
                <w:szCs w:val="20"/>
              </w:rPr>
              <w:t>处）</w:t>
            </w:r>
          </w:p>
        </w:tc>
        <w:tc>
          <w:tcPr>
            <w:tcW w:w="1243" w:type="dxa"/>
            <w:vMerge w:val="restart"/>
            <w:tcBorders>
              <w:top w:val="single" w:color="000000" w:sz="10" w:space="0"/>
              <w:bottom w:val="nil"/>
            </w:tcBorders>
            <w:vAlign w:val="top"/>
          </w:tcPr>
          <w:p w14:paraId="76FA234C">
            <w:pPr>
              <w:rPr>
                <w:rFonts w:ascii="Arial"/>
                <w:sz w:val="21"/>
              </w:rPr>
            </w:pPr>
          </w:p>
        </w:tc>
        <w:tc>
          <w:tcPr>
            <w:tcW w:w="1093" w:type="dxa"/>
            <w:tcBorders>
              <w:top w:val="single" w:color="000000" w:sz="10" w:space="0"/>
            </w:tcBorders>
            <w:vAlign w:val="top"/>
          </w:tcPr>
          <w:p w14:paraId="6AAE5344">
            <w:pPr>
              <w:pStyle w:val="6"/>
              <w:spacing w:before="91" w:line="195" w:lineRule="auto"/>
              <w:ind w:left="441"/>
              <w:rPr>
                <w:sz w:val="20"/>
                <w:szCs w:val="20"/>
              </w:rPr>
            </w:pPr>
            <w:r>
              <w:rPr>
                <w:spacing w:val="3"/>
                <w:sz w:val="20"/>
                <w:szCs w:val="20"/>
              </w:rPr>
              <w:t>49</w:t>
            </w:r>
          </w:p>
        </w:tc>
        <w:tc>
          <w:tcPr>
            <w:tcW w:w="942" w:type="dxa"/>
            <w:vMerge w:val="restart"/>
            <w:tcBorders>
              <w:top w:val="single" w:color="000000" w:sz="10" w:space="0"/>
              <w:bottom w:val="nil"/>
            </w:tcBorders>
            <w:vAlign w:val="top"/>
          </w:tcPr>
          <w:p w14:paraId="0A94F6BE">
            <w:pPr>
              <w:rPr>
                <w:rFonts w:ascii="Arial"/>
                <w:sz w:val="21"/>
              </w:rPr>
            </w:pPr>
          </w:p>
        </w:tc>
        <w:tc>
          <w:tcPr>
            <w:tcW w:w="911" w:type="dxa"/>
            <w:vMerge w:val="restart"/>
            <w:tcBorders>
              <w:top w:val="single" w:color="000000" w:sz="10" w:space="0"/>
              <w:bottom w:val="nil"/>
            </w:tcBorders>
            <w:vAlign w:val="top"/>
          </w:tcPr>
          <w:p w14:paraId="0F1056C6">
            <w:pPr>
              <w:rPr>
                <w:rFonts w:ascii="Arial"/>
                <w:sz w:val="21"/>
              </w:rPr>
            </w:pPr>
          </w:p>
        </w:tc>
        <w:tc>
          <w:tcPr>
            <w:tcW w:w="835" w:type="dxa"/>
            <w:vMerge w:val="restart"/>
            <w:tcBorders>
              <w:top w:val="single" w:color="000000" w:sz="10" w:space="0"/>
              <w:bottom w:val="nil"/>
              <w:right w:val="nil"/>
            </w:tcBorders>
            <w:vAlign w:val="top"/>
          </w:tcPr>
          <w:p w14:paraId="000A8231">
            <w:pPr>
              <w:rPr>
                <w:rFonts w:ascii="Arial"/>
                <w:sz w:val="21"/>
              </w:rPr>
            </w:pPr>
          </w:p>
        </w:tc>
      </w:tr>
      <w:tr w14:paraId="426DB7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3495" w:type="dxa"/>
            <w:tcBorders>
              <w:left w:val="nil"/>
            </w:tcBorders>
            <w:vAlign w:val="top"/>
          </w:tcPr>
          <w:p w14:paraId="04350C05">
            <w:pPr>
              <w:pStyle w:val="6"/>
              <w:spacing w:before="53" w:line="221" w:lineRule="auto"/>
              <w:ind w:left="231"/>
              <w:rPr>
                <w:rFonts w:ascii="仿宋" w:hAnsi="仿宋" w:eastAsia="仿宋" w:cs="仿宋"/>
                <w:sz w:val="20"/>
                <w:szCs w:val="20"/>
              </w:rPr>
            </w:pPr>
            <w:r>
              <w:rPr>
                <w:rFonts w:ascii="仿宋" w:hAnsi="仿宋" w:eastAsia="仿宋" w:cs="仿宋"/>
                <w:spacing w:val="5"/>
                <w:sz w:val="20"/>
                <w:szCs w:val="20"/>
              </w:rPr>
              <w:t>兴巴高速断面</w:t>
            </w:r>
            <w:r>
              <w:rPr>
                <w:spacing w:val="5"/>
                <w:sz w:val="20"/>
                <w:szCs w:val="20"/>
              </w:rPr>
              <w:t>(</w:t>
            </w:r>
            <w:r>
              <w:rPr>
                <w:rFonts w:ascii="仿宋" w:hAnsi="仿宋" w:eastAsia="仿宋" w:cs="仿宋"/>
                <w:spacing w:val="5"/>
                <w:sz w:val="20"/>
                <w:szCs w:val="20"/>
              </w:rPr>
              <w:t>中心线外</w:t>
            </w:r>
            <w:r>
              <w:rPr>
                <w:rFonts w:ascii="仿宋" w:hAnsi="仿宋" w:eastAsia="仿宋" w:cs="仿宋"/>
                <w:spacing w:val="-32"/>
                <w:sz w:val="20"/>
                <w:szCs w:val="20"/>
              </w:rPr>
              <w:t xml:space="preserve"> </w:t>
            </w:r>
            <w:r>
              <w:rPr>
                <w:spacing w:val="5"/>
                <w:sz w:val="20"/>
                <w:szCs w:val="20"/>
              </w:rPr>
              <w:t>80m</w:t>
            </w:r>
            <w:r>
              <w:rPr>
                <w:spacing w:val="16"/>
                <w:sz w:val="20"/>
                <w:szCs w:val="20"/>
              </w:rPr>
              <w:t xml:space="preserve"> </w:t>
            </w:r>
            <w:r>
              <w:rPr>
                <w:rFonts w:ascii="仿宋" w:hAnsi="仿宋" w:eastAsia="仿宋" w:cs="仿宋"/>
                <w:spacing w:val="5"/>
                <w:sz w:val="20"/>
                <w:szCs w:val="20"/>
              </w:rPr>
              <w:t>处）</w:t>
            </w:r>
          </w:p>
        </w:tc>
        <w:tc>
          <w:tcPr>
            <w:tcW w:w="1243" w:type="dxa"/>
            <w:vMerge w:val="continue"/>
            <w:tcBorders>
              <w:top w:val="nil"/>
              <w:bottom w:val="nil"/>
            </w:tcBorders>
            <w:vAlign w:val="top"/>
          </w:tcPr>
          <w:p w14:paraId="634116CA">
            <w:pPr>
              <w:rPr>
                <w:rFonts w:ascii="Arial"/>
                <w:sz w:val="21"/>
              </w:rPr>
            </w:pPr>
          </w:p>
        </w:tc>
        <w:tc>
          <w:tcPr>
            <w:tcW w:w="1093" w:type="dxa"/>
            <w:vAlign w:val="top"/>
          </w:tcPr>
          <w:p w14:paraId="0FD54381">
            <w:pPr>
              <w:pStyle w:val="6"/>
              <w:spacing w:before="89" w:line="195" w:lineRule="auto"/>
              <w:ind w:left="441"/>
              <w:rPr>
                <w:sz w:val="20"/>
                <w:szCs w:val="20"/>
              </w:rPr>
            </w:pPr>
            <w:r>
              <w:rPr>
                <w:spacing w:val="3"/>
                <w:sz w:val="20"/>
                <w:szCs w:val="20"/>
              </w:rPr>
              <w:t>47</w:t>
            </w:r>
          </w:p>
        </w:tc>
        <w:tc>
          <w:tcPr>
            <w:tcW w:w="942" w:type="dxa"/>
            <w:vMerge w:val="continue"/>
            <w:tcBorders>
              <w:top w:val="nil"/>
              <w:bottom w:val="nil"/>
            </w:tcBorders>
            <w:vAlign w:val="top"/>
          </w:tcPr>
          <w:p w14:paraId="30ACB0B3">
            <w:pPr>
              <w:rPr>
                <w:rFonts w:ascii="Arial"/>
                <w:sz w:val="21"/>
              </w:rPr>
            </w:pPr>
          </w:p>
        </w:tc>
        <w:tc>
          <w:tcPr>
            <w:tcW w:w="911" w:type="dxa"/>
            <w:vMerge w:val="continue"/>
            <w:tcBorders>
              <w:top w:val="nil"/>
              <w:bottom w:val="nil"/>
            </w:tcBorders>
            <w:vAlign w:val="top"/>
          </w:tcPr>
          <w:p w14:paraId="536C04B3">
            <w:pPr>
              <w:rPr>
                <w:rFonts w:ascii="Arial"/>
                <w:sz w:val="21"/>
              </w:rPr>
            </w:pPr>
          </w:p>
        </w:tc>
        <w:tc>
          <w:tcPr>
            <w:tcW w:w="835" w:type="dxa"/>
            <w:vMerge w:val="continue"/>
            <w:tcBorders>
              <w:top w:val="nil"/>
              <w:bottom w:val="nil"/>
              <w:right w:val="nil"/>
            </w:tcBorders>
            <w:vAlign w:val="top"/>
          </w:tcPr>
          <w:p w14:paraId="46EC09F6">
            <w:pPr>
              <w:rPr>
                <w:rFonts w:ascii="Arial"/>
                <w:sz w:val="21"/>
              </w:rPr>
            </w:pPr>
          </w:p>
        </w:tc>
      </w:tr>
      <w:tr w14:paraId="18516C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3495" w:type="dxa"/>
            <w:tcBorders>
              <w:left w:val="nil"/>
            </w:tcBorders>
            <w:vAlign w:val="top"/>
          </w:tcPr>
          <w:p w14:paraId="30EAE278">
            <w:pPr>
              <w:pStyle w:val="6"/>
              <w:spacing w:before="57" w:line="221" w:lineRule="auto"/>
              <w:ind w:left="178"/>
              <w:rPr>
                <w:rFonts w:ascii="仿宋" w:hAnsi="仿宋" w:eastAsia="仿宋" w:cs="仿宋"/>
                <w:sz w:val="20"/>
                <w:szCs w:val="20"/>
              </w:rPr>
            </w:pPr>
            <w:r>
              <w:rPr>
                <w:rFonts w:ascii="仿宋" w:hAnsi="仿宋" w:eastAsia="仿宋" w:cs="仿宋"/>
                <w:spacing w:val="4"/>
                <w:sz w:val="20"/>
                <w:szCs w:val="20"/>
              </w:rPr>
              <w:t>兴巴高速断面</w:t>
            </w:r>
            <w:r>
              <w:rPr>
                <w:spacing w:val="4"/>
                <w:sz w:val="20"/>
                <w:szCs w:val="20"/>
              </w:rPr>
              <w:t>(</w:t>
            </w:r>
            <w:r>
              <w:rPr>
                <w:rFonts w:ascii="仿宋" w:hAnsi="仿宋" w:eastAsia="仿宋" w:cs="仿宋"/>
                <w:spacing w:val="4"/>
                <w:sz w:val="20"/>
                <w:szCs w:val="20"/>
              </w:rPr>
              <w:t>中心线外</w:t>
            </w:r>
            <w:r>
              <w:rPr>
                <w:rFonts w:ascii="仿宋" w:hAnsi="仿宋" w:eastAsia="仿宋" w:cs="仿宋"/>
                <w:spacing w:val="-15"/>
                <w:sz w:val="20"/>
                <w:szCs w:val="20"/>
              </w:rPr>
              <w:t xml:space="preserve"> </w:t>
            </w:r>
            <w:r>
              <w:rPr>
                <w:spacing w:val="4"/>
                <w:sz w:val="20"/>
                <w:szCs w:val="20"/>
              </w:rPr>
              <w:t>120m</w:t>
            </w:r>
            <w:r>
              <w:rPr>
                <w:spacing w:val="19"/>
                <w:sz w:val="20"/>
                <w:szCs w:val="20"/>
              </w:rPr>
              <w:t xml:space="preserve"> </w:t>
            </w:r>
            <w:r>
              <w:rPr>
                <w:rFonts w:ascii="仿宋" w:hAnsi="仿宋" w:eastAsia="仿宋" w:cs="仿宋"/>
                <w:spacing w:val="4"/>
                <w:sz w:val="20"/>
                <w:szCs w:val="20"/>
              </w:rPr>
              <w:t>处）</w:t>
            </w:r>
          </w:p>
        </w:tc>
        <w:tc>
          <w:tcPr>
            <w:tcW w:w="1243" w:type="dxa"/>
            <w:vMerge w:val="continue"/>
            <w:tcBorders>
              <w:top w:val="nil"/>
            </w:tcBorders>
            <w:vAlign w:val="top"/>
          </w:tcPr>
          <w:p w14:paraId="75BDD394">
            <w:pPr>
              <w:rPr>
                <w:rFonts w:ascii="Arial"/>
                <w:sz w:val="21"/>
              </w:rPr>
            </w:pPr>
          </w:p>
        </w:tc>
        <w:tc>
          <w:tcPr>
            <w:tcW w:w="1093" w:type="dxa"/>
            <w:vAlign w:val="top"/>
          </w:tcPr>
          <w:p w14:paraId="5E1F1913">
            <w:pPr>
              <w:pStyle w:val="6"/>
              <w:spacing w:before="93" w:line="195" w:lineRule="auto"/>
              <w:ind w:left="441"/>
              <w:rPr>
                <w:sz w:val="20"/>
                <w:szCs w:val="20"/>
              </w:rPr>
            </w:pPr>
            <w:r>
              <w:rPr>
                <w:spacing w:val="3"/>
                <w:sz w:val="20"/>
                <w:szCs w:val="20"/>
              </w:rPr>
              <w:t>45</w:t>
            </w:r>
          </w:p>
        </w:tc>
        <w:tc>
          <w:tcPr>
            <w:tcW w:w="942" w:type="dxa"/>
            <w:vMerge w:val="continue"/>
            <w:tcBorders>
              <w:top w:val="nil"/>
            </w:tcBorders>
            <w:vAlign w:val="top"/>
          </w:tcPr>
          <w:p w14:paraId="39DBB6DC">
            <w:pPr>
              <w:rPr>
                <w:rFonts w:ascii="Arial"/>
                <w:sz w:val="21"/>
              </w:rPr>
            </w:pPr>
          </w:p>
        </w:tc>
        <w:tc>
          <w:tcPr>
            <w:tcW w:w="911" w:type="dxa"/>
            <w:vMerge w:val="continue"/>
            <w:tcBorders>
              <w:top w:val="nil"/>
            </w:tcBorders>
            <w:vAlign w:val="top"/>
          </w:tcPr>
          <w:p w14:paraId="6DF1C0E0">
            <w:pPr>
              <w:rPr>
                <w:rFonts w:ascii="Arial"/>
                <w:sz w:val="21"/>
              </w:rPr>
            </w:pPr>
          </w:p>
        </w:tc>
        <w:tc>
          <w:tcPr>
            <w:tcW w:w="835" w:type="dxa"/>
            <w:vMerge w:val="continue"/>
            <w:tcBorders>
              <w:top w:val="nil"/>
              <w:right w:val="nil"/>
            </w:tcBorders>
            <w:vAlign w:val="top"/>
          </w:tcPr>
          <w:p w14:paraId="430754AA">
            <w:pPr>
              <w:rPr>
                <w:rFonts w:ascii="Arial"/>
                <w:sz w:val="21"/>
              </w:rPr>
            </w:pPr>
          </w:p>
        </w:tc>
      </w:tr>
      <w:tr w14:paraId="4CDD61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3495" w:type="dxa"/>
            <w:vMerge w:val="restart"/>
            <w:tcBorders>
              <w:left w:val="nil"/>
              <w:bottom w:val="nil"/>
            </w:tcBorders>
            <w:vAlign w:val="top"/>
          </w:tcPr>
          <w:p w14:paraId="6EFD02DA">
            <w:pPr>
              <w:spacing w:line="308" w:lineRule="auto"/>
              <w:rPr>
                <w:rFonts w:ascii="Arial"/>
                <w:sz w:val="21"/>
              </w:rPr>
            </w:pPr>
          </w:p>
          <w:p w14:paraId="58969228">
            <w:pPr>
              <w:spacing w:before="65" w:line="229" w:lineRule="auto"/>
              <w:ind w:left="1341"/>
              <w:rPr>
                <w:rFonts w:ascii="仿宋" w:hAnsi="仿宋" w:eastAsia="仿宋" w:cs="仿宋"/>
                <w:sz w:val="20"/>
                <w:szCs w:val="20"/>
              </w:rPr>
            </w:pPr>
            <w:r>
              <w:rPr>
                <w:rFonts w:ascii="仿宋" w:hAnsi="仿宋" w:eastAsia="仿宋" w:cs="仿宋"/>
                <w:spacing w:val="5"/>
                <w:sz w:val="20"/>
                <w:szCs w:val="20"/>
              </w:rPr>
              <w:t>检测位置</w:t>
            </w:r>
          </w:p>
        </w:tc>
        <w:tc>
          <w:tcPr>
            <w:tcW w:w="2336" w:type="dxa"/>
            <w:gridSpan w:val="2"/>
            <w:vAlign w:val="top"/>
          </w:tcPr>
          <w:p w14:paraId="3924219D">
            <w:pPr>
              <w:pStyle w:val="6"/>
              <w:spacing w:before="59" w:line="226" w:lineRule="auto"/>
              <w:ind w:left="444"/>
              <w:rPr>
                <w:sz w:val="20"/>
                <w:szCs w:val="20"/>
              </w:rPr>
            </w:pPr>
            <w:r>
              <w:rPr>
                <w:rFonts w:ascii="仿宋" w:hAnsi="仿宋" w:eastAsia="仿宋" w:cs="仿宋"/>
                <w:spacing w:val="2"/>
                <w:sz w:val="20"/>
                <w:szCs w:val="20"/>
              </w:rPr>
              <w:t>夜间：</w:t>
            </w:r>
            <w:r>
              <w:rPr>
                <w:spacing w:val="2"/>
                <w:sz w:val="20"/>
                <w:szCs w:val="20"/>
              </w:rPr>
              <w:t>2026.6.</w:t>
            </w:r>
            <w:r>
              <w:rPr>
                <w:spacing w:val="-19"/>
                <w:sz w:val="20"/>
                <w:szCs w:val="20"/>
              </w:rPr>
              <w:t xml:space="preserve"> </w:t>
            </w:r>
            <w:r>
              <w:rPr>
                <w:spacing w:val="2"/>
                <w:sz w:val="20"/>
                <w:szCs w:val="20"/>
              </w:rPr>
              <w:t>14</w:t>
            </w:r>
          </w:p>
        </w:tc>
        <w:tc>
          <w:tcPr>
            <w:tcW w:w="2688" w:type="dxa"/>
            <w:gridSpan w:val="3"/>
            <w:tcBorders>
              <w:right w:val="nil"/>
            </w:tcBorders>
            <w:vAlign w:val="top"/>
          </w:tcPr>
          <w:p w14:paraId="476E25EF">
            <w:pPr>
              <w:spacing w:before="59" w:line="226" w:lineRule="auto"/>
              <w:ind w:left="834"/>
              <w:rPr>
                <w:rFonts w:ascii="仿宋" w:hAnsi="仿宋" w:eastAsia="仿宋" w:cs="仿宋"/>
                <w:sz w:val="20"/>
                <w:szCs w:val="20"/>
              </w:rPr>
            </w:pPr>
            <w:r>
              <w:rPr>
                <w:rFonts w:ascii="仿宋" w:hAnsi="仿宋" w:eastAsia="仿宋" w:cs="仿宋"/>
                <w:spacing w:val="6"/>
                <w:sz w:val="20"/>
                <w:szCs w:val="20"/>
              </w:rPr>
              <w:t>车流量统计</w:t>
            </w:r>
          </w:p>
        </w:tc>
      </w:tr>
      <w:tr w14:paraId="79E97C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3495" w:type="dxa"/>
            <w:vMerge w:val="continue"/>
            <w:tcBorders>
              <w:top w:val="nil"/>
              <w:left w:val="nil"/>
            </w:tcBorders>
            <w:vAlign w:val="top"/>
          </w:tcPr>
          <w:p w14:paraId="1F63742F">
            <w:pPr>
              <w:rPr>
                <w:rFonts w:ascii="Arial"/>
                <w:sz w:val="21"/>
              </w:rPr>
            </w:pPr>
          </w:p>
        </w:tc>
        <w:tc>
          <w:tcPr>
            <w:tcW w:w="1243" w:type="dxa"/>
            <w:vAlign w:val="top"/>
          </w:tcPr>
          <w:p w14:paraId="4E4AB191">
            <w:pPr>
              <w:spacing w:before="217" w:line="229" w:lineRule="auto"/>
              <w:ind w:left="212"/>
              <w:rPr>
                <w:rFonts w:ascii="仿宋" w:hAnsi="仿宋" w:eastAsia="仿宋" w:cs="仿宋"/>
                <w:sz w:val="20"/>
                <w:szCs w:val="20"/>
              </w:rPr>
            </w:pPr>
            <w:r>
              <w:rPr>
                <w:rFonts w:ascii="仿宋" w:hAnsi="仿宋" w:eastAsia="仿宋" w:cs="仿宋"/>
                <w:spacing w:val="5"/>
                <w:sz w:val="20"/>
                <w:szCs w:val="20"/>
              </w:rPr>
              <w:t>检测时间</w:t>
            </w:r>
          </w:p>
        </w:tc>
        <w:tc>
          <w:tcPr>
            <w:tcW w:w="1093" w:type="dxa"/>
            <w:vAlign w:val="top"/>
          </w:tcPr>
          <w:p w14:paraId="40BC848F">
            <w:pPr>
              <w:spacing w:before="217" w:line="231" w:lineRule="auto"/>
              <w:ind w:left="137"/>
              <w:rPr>
                <w:rFonts w:ascii="仿宋" w:hAnsi="仿宋" w:eastAsia="仿宋" w:cs="仿宋"/>
                <w:sz w:val="20"/>
                <w:szCs w:val="20"/>
              </w:rPr>
            </w:pPr>
            <w:r>
              <w:rPr>
                <w:rFonts w:ascii="仿宋" w:hAnsi="仿宋" w:eastAsia="仿宋" w:cs="仿宋"/>
                <w:spacing w:val="5"/>
                <w:sz w:val="20"/>
                <w:szCs w:val="20"/>
              </w:rPr>
              <w:t>测定结果</w:t>
            </w:r>
          </w:p>
        </w:tc>
        <w:tc>
          <w:tcPr>
            <w:tcW w:w="942" w:type="dxa"/>
            <w:vAlign w:val="top"/>
          </w:tcPr>
          <w:p w14:paraId="29FF3829">
            <w:pPr>
              <w:spacing w:before="217" w:line="228" w:lineRule="auto"/>
              <w:ind w:left="169"/>
              <w:rPr>
                <w:rFonts w:ascii="仿宋" w:hAnsi="仿宋" w:eastAsia="仿宋" w:cs="仿宋"/>
                <w:sz w:val="20"/>
                <w:szCs w:val="20"/>
              </w:rPr>
            </w:pPr>
            <w:r>
              <w:rPr>
                <w:rFonts w:ascii="仿宋" w:hAnsi="仿宋" w:eastAsia="仿宋" w:cs="仿宋"/>
                <w:spacing w:val="4"/>
                <w:sz w:val="20"/>
                <w:szCs w:val="20"/>
              </w:rPr>
              <w:t>大型车</w:t>
            </w:r>
          </w:p>
        </w:tc>
        <w:tc>
          <w:tcPr>
            <w:tcW w:w="911" w:type="dxa"/>
            <w:vAlign w:val="top"/>
          </w:tcPr>
          <w:p w14:paraId="4CA92D32">
            <w:pPr>
              <w:spacing w:before="217" w:line="228" w:lineRule="auto"/>
              <w:ind w:left="178"/>
              <w:rPr>
                <w:rFonts w:ascii="仿宋" w:hAnsi="仿宋" w:eastAsia="仿宋" w:cs="仿宋"/>
                <w:sz w:val="20"/>
                <w:szCs w:val="20"/>
              </w:rPr>
            </w:pPr>
            <w:r>
              <w:rPr>
                <w:rFonts w:ascii="仿宋" w:hAnsi="仿宋" w:eastAsia="仿宋" w:cs="仿宋"/>
                <w:spacing w:val="-4"/>
                <w:sz w:val="20"/>
                <w:szCs w:val="20"/>
              </w:rPr>
              <w:t>中型车</w:t>
            </w:r>
          </w:p>
        </w:tc>
        <w:tc>
          <w:tcPr>
            <w:tcW w:w="835" w:type="dxa"/>
            <w:tcBorders>
              <w:right w:val="nil"/>
            </w:tcBorders>
            <w:vAlign w:val="top"/>
          </w:tcPr>
          <w:p w14:paraId="3992DD29">
            <w:pPr>
              <w:spacing w:before="61" w:line="255" w:lineRule="auto"/>
              <w:ind w:left="327" w:right="211" w:hanging="110"/>
              <w:rPr>
                <w:rFonts w:ascii="仿宋" w:hAnsi="仿宋" w:eastAsia="仿宋" w:cs="仿宋"/>
                <w:sz w:val="20"/>
                <w:szCs w:val="20"/>
              </w:rPr>
            </w:pPr>
            <w:r>
              <w:rPr>
                <w:rFonts w:ascii="仿宋" w:hAnsi="仿宋" w:eastAsia="仿宋" w:cs="仿宋"/>
                <w:spacing w:val="2"/>
                <w:sz w:val="20"/>
                <w:szCs w:val="20"/>
              </w:rPr>
              <w:t>小型</w:t>
            </w:r>
            <w:r>
              <w:rPr>
                <w:rFonts w:ascii="仿宋" w:hAnsi="仿宋" w:eastAsia="仿宋" w:cs="仿宋"/>
                <w:sz w:val="20"/>
                <w:szCs w:val="20"/>
              </w:rPr>
              <w:t>车</w:t>
            </w:r>
          </w:p>
        </w:tc>
      </w:tr>
      <w:tr w14:paraId="0829E2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3495" w:type="dxa"/>
            <w:tcBorders>
              <w:left w:val="nil"/>
            </w:tcBorders>
            <w:vAlign w:val="top"/>
          </w:tcPr>
          <w:p w14:paraId="4DA3BA6F">
            <w:pPr>
              <w:pStyle w:val="6"/>
              <w:spacing w:before="65" w:line="221" w:lineRule="auto"/>
              <w:ind w:left="231"/>
              <w:rPr>
                <w:rFonts w:ascii="仿宋" w:hAnsi="仿宋" w:eastAsia="仿宋" w:cs="仿宋"/>
                <w:sz w:val="20"/>
                <w:szCs w:val="20"/>
              </w:rPr>
            </w:pPr>
            <w:r>
              <w:rPr>
                <w:rFonts w:ascii="仿宋" w:hAnsi="仿宋" w:eastAsia="仿宋" w:cs="仿宋"/>
                <w:spacing w:val="5"/>
                <w:sz w:val="20"/>
                <w:szCs w:val="20"/>
              </w:rPr>
              <w:t>兴巴高速断面</w:t>
            </w:r>
            <w:r>
              <w:rPr>
                <w:spacing w:val="5"/>
                <w:sz w:val="20"/>
                <w:szCs w:val="20"/>
              </w:rPr>
              <w:t>(</w:t>
            </w:r>
            <w:r>
              <w:rPr>
                <w:rFonts w:ascii="仿宋" w:hAnsi="仿宋" w:eastAsia="仿宋" w:cs="仿宋"/>
                <w:spacing w:val="5"/>
                <w:sz w:val="20"/>
                <w:szCs w:val="20"/>
              </w:rPr>
              <w:t>中心线外</w:t>
            </w:r>
            <w:r>
              <w:rPr>
                <w:rFonts w:ascii="仿宋" w:hAnsi="仿宋" w:eastAsia="仿宋" w:cs="仿宋"/>
                <w:spacing w:val="-32"/>
                <w:sz w:val="20"/>
                <w:szCs w:val="20"/>
              </w:rPr>
              <w:t xml:space="preserve"> </w:t>
            </w:r>
            <w:r>
              <w:rPr>
                <w:spacing w:val="5"/>
                <w:sz w:val="20"/>
                <w:szCs w:val="20"/>
              </w:rPr>
              <w:t>20m</w:t>
            </w:r>
            <w:r>
              <w:rPr>
                <w:spacing w:val="16"/>
                <w:sz w:val="20"/>
                <w:szCs w:val="20"/>
              </w:rPr>
              <w:t xml:space="preserve"> </w:t>
            </w:r>
            <w:r>
              <w:rPr>
                <w:rFonts w:ascii="仿宋" w:hAnsi="仿宋" w:eastAsia="仿宋" w:cs="仿宋"/>
                <w:spacing w:val="5"/>
                <w:sz w:val="20"/>
                <w:szCs w:val="20"/>
              </w:rPr>
              <w:t>处）</w:t>
            </w:r>
          </w:p>
        </w:tc>
        <w:tc>
          <w:tcPr>
            <w:tcW w:w="1243" w:type="dxa"/>
            <w:vMerge w:val="restart"/>
            <w:tcBorders>
              <w:bottom w:val="nil"/>
            </w:tcBorders>
            <w:vAlign w:val="top"/>
          </w:tcPr>
          <w:p w14:paraId="5B3497CA">
            <w:pPr>
              <w:spacing w:line="341" w:lineRule="auto"/>
              <w:rPr>
                <w:rFonts w:ascii="Arial"/>
                <w:sz w:val="21"/>
              </w:rPr>
            </w:pPr>
          </w:p>
          <w:p w14:paraId="43B00716">
            <w:pPr>
              <w:spacing w:line="342" w:lineRule="auto"/>
              <w:rPr>
                <w:rFonts w:ascii="Arial"/>
                <w:sz w:val="21"/>
              </w:rPr>
            </w:pPr>
          </w:p>
          <w:p w14:paraId="1512E16C">
            <w:pPr>
              <w:pStyle w:val="6"/>
              <w:spacing w:before="57" w:line="195" w:lineRule="auto"/>
              <w:ind w:left="113"/>
              <w:rPr>
                <w:sz w:val="20"/>
                <w:szCs w:val="20"/>
              </w:rPr>
            </w:pPr>
            <w:r>
              <w:rPr>
                <w:spacing w:val="3"/>
                <w:sz w:val="20"/>
                <w:szCs w:val="20"/>
              </w:rPr>
              <w:t>05:22-05:42</w:t>
            </w:r>
          </w:p>
        </w:tc>
        <w:tc>
          <w:tcPr>
            <w:tcW w:w="1093" w:type="dxa"/>
            <w:vAlign w:val="top"/>
          </w:tcPr>
          <w:p w14:paraId="69B50F25">
            <w:pPr>
              <w:pStyle w:val="6"/>
              <w:spacing w:before="102" w:line="195" w:lineRule="auto"/>
              <w:ind w:left="441"/>
              <w:rPr>
                <w:sz w:val="20"/>
                <w:szCs w:val="20"/>
              </w:rPr>
            </w:pPr>
            <w:r>
              <w:rPr>
                <w:spacing w:val="3"/>
                <w:sz w:val="20"/>
                <w:szCs w:val="20"/>
              </w:rPr>
              <w:t>44</w:t>
            </w:r>
          </w:p>
        </w:tc>
        <w:tc>
          <w:tcPr>
            <w:tcW w:w="942" w:type="dxa"/>
            <w:vMerge w:val="restart"/>
            <w:tcBorders>
              <w:bottom w:val="nil"/>
            </w:tcBorders>
            <w:vAlign w:val="top"/>
          </w:tcPr>
          <w:p w14:paraId="2597056E">
            <w:pPr>
              <w:spacing w:line="342" w:lineRule="auto"/>
              <w:rPr>
                <w:rFonts w:ascii="Arial"/>
                <w:sz w:val="21"/>
              </w:rPr>
            </w:pPr>
          </w:p>
          <w:p w14:paraId="5B2A1DF2">
            <w:pPr>
              <w:spacing w:line="343" w:lineRule="auto"/>
              <w:rPr>
                <w:rFonts w:ascii="Arial"/>
                <w:sz w:val="21"/>
              </w:rPr>
            </w:pPr>
          </w:p>
          <w:p w14:paraId="4D87EED5">
            <w:pPr>
              <w:pStyle w:val="6"/>
              <w:spacing w:before="58" w:line="195" w:lineRule="auto"/>
              <w:ind w:left="422"/>
              <w:rPr>
                <w:sz w:val="20"/>
                <w:szCs w:val="20"/>
              </w:rPr>
            </w:pPr>
            <w:r>
              <w:rPr>
                <w:sz w:val="20"/>
                <w:szCs w:val="20"/>
              </w:rPr>
              <w:t>0</w:t>
            </w:r>
          </w:p>
        </w:tc>
        <w:tc>
          <w:tcPr>
            <w:tcW w:w="911" w:type="dxa"/>
            <w:vMerge w:val="restart"/>
            <w:tcBorders>
              <w:bottom w:val="nil"/>
            </w:tcBorders>
            <w:vAlign w:val="top"/>
          </w:tcPr>
          <w:p w14:paraId="722A27DA">
            <w:pPr>
              <w:spacing w:line="342" w:lineRule="auto"/>
              <w:rPr>
                <w:rFonts w:ascii="Arial"/>
                <w:sz w:val="21"/>
              </w:rPr>
            </w:pPr>
          </w:p>
          <w:p w14:paraId="12811238">
            <w:pPr>
              <w:spacing w:line="343" w:lineRule="auto"/>
              <w:rPr>
                <w:rFonts w:ascii="Arial"/>
                <w:sz w:val="21"/>
              </w:rPr>
            </w:pPr>
          </w:p>
          <w:p w14:paraId="0F248774">
            <w:pPr>
              <w:pStyle w:val="6"/>
              <w:spacing w:before="58" w:line="195" w:lineRule="auto"/>
              <w:ind w:left="407"/>
              <w:rPr>
                <w:sz w:val="20"/>
                <w:szCs w:val="20"/>
              </w:rPr>
            </w:pPr>
            <w:r>
              <w:rPr>
                <w:sz w:val="20"/>
                <w:szCs w:val="20"/>
              </w:rPr>
              <w:t>0</w:t>
            </w:r>
          </w:p>
        </w:tc>
        <w:tc>
          <w:tcPr>
            <w:tcW w:w="835" w:type="dxa"/>
            <w:vMerge w:val="restart"/>
            <w:tcBorders>
              <w:bottom w:val="nil"/>
              <w:right w:val="nil"/>
            </w:tcBorders>
            <w:vAlign w:val="top"/>
          </w:tcPr>
          <w:p w14:paraId="5BC80F73">
            <w:pPr>
              <w:spacing w:line="342" w:lineRule="auto"/>
              <w:rPr>
                <w:rFonts w:ascii="Arial"/>
                <w:sz w:val="21"/>
              </w:rPr>
            </w:pPr>
          </w:p>
          <w:p w14:paraId="24111C0F">
            <w:pPr>
              <w:spacing w:line="343" w:lineRule="auto"/>
              <w:rPr>
                <w:rFonts w:ascii="Arial"/>
                <w:sz w:val="21"/>
              </w:rPr>
            </w:pPr>
          </w:p>
          <w:p w14:paraId="24AB686F">
            <w:pPr>
              <w:pStyle w:val="6"/>
              <w:spacing w:before="58" w:line="195" w:lineRule="auto"/>
              <w:ind w:left="386"/>
              <w:rPr>
                <w:sz w:val="20"/>
                <w:szCs w:val="20"/>
              </w:rPr>
            </w:pPr>
            <w:r>
              <w:rPr>
                <w:sz w:val="20"/>
                <w:szCs w:val="20"/>
              </w:rPr>
              <w:t>1</w:t>
            </w:r>
          </w:p>
        </w:tc>
      </w:tr>
      <w:tr w14:paraId="6181E2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3495" w:type="dxa"/>
            <w:tcBorders>
              <w:left w:val="nil"/>
            </w:tcBorders>
            <w:vAlign w:val="top"/>
          </w:tcPr>
          <w:p w14:paraId="7615012A">
            <w:pPr>
              <w:pStyle w:val="6"/>
              <w:spacing w:before="67" w:line="219" w:lineRule="auto"/>
              <w:ind w:left="231"/>
              <w:rPr>
                <w:rFonts w:ascii="仿宋" w:hAnsi="仿宋" w:eastAsia="仿宋" w:cs="仿宋"/>
                <w:sz w:val="20"/>
                <w:szCs w:val="20"/>
              </w:rPr>
            </w:pPr>
            <w:r>
              <w:rPr>
                <w:rFonts w:ascii="仿宋" w:hAnsi="仿宋" w:eastAsia="仿宋" w:cs="仿宋"/>
                <w:spacing w:val="5"/>
                <w:sz w:val="20"/>
                <w:szCs w:val="20"/>
              </w:rPr>
              <w:t>兴巴高速断面</w:t>
            </w:r>
            <w:r>
              <w:rPr>
                <w:spacing w:val="5"/>
                <w:sz w:val="20"/>
                <w:szCs w:val="20"/>
              </w:rPr>
              <w:t>(</w:t>
            </w:r>
            <w:r>
              <w:rPr>
                <w:rFonts w:ascii="仿宋" w:hAnsi="仿宋" w:eastAsia="仿宋" w:cs="仿宋"/>
                <w:spacing w:val="5"/>
                <w:sz w:val="20"/>
                <w:szCs w:val="20"/>
              </w:rPr>
              <w:t>中心线外</w:t>
            </w:r>
            <w:r>
              <w:rPr>
                <w:rFonts w:ascii="仿宋" w:hAnsi="仿宋" w:eastAsia="仿宋" w:cs="仿宋"/>
                <w:spacing w:val="-32"/>
                <w:sz w:val="20"/>
                <w:szCs w:val="20"/>
              </w:rPr>
              <w:t xml:space="preserve"> </w:t>
            </w:r>
            <w:r>
              <w:rPr>
                <w:spacing w:val="5"/>
                <w:sz w:val="20"/>
                <w:szCs w:val="20"/>
              </w:rPr>
              <w:t>40m</w:t>
            </w:r>
            <w:r>
              <w:rPr>
                <w:spacing w:val="16"/>
                <w:sz w:val="20"/>
                <w:szCs w:val="20"/>
              </w:rPr>
              <w:t xml:space="preserve"> </w:t>
            </w:r>
            <w:r>
              <w:rPr>
                <w:rFonts w:ascii="仿宋" w:hAnsi="仿宋" w:eastAsia="仿宋" w:cs="仿宋"/>
                <w:spacing w:val="5"/>
                <w:sz w:val="20"/>
                <w:szCs w:val="20"/>
              </w:rPr>
              <w:t>处）</w:t>
            </w:r>
          </w:p>
        </w:tc>
        <w:tc>
          <w:tcPr>
            <w:tcW w:w="1243" w:type="dxa"/>
            <w:vMerge w:val="continue"/>
            <w:tcBorders>
              <w:top w:val="nil"/>
              <w:bottom w:val="nil"/>
            </w:tcBorders>
            <w:vAlign w:val="top"/>
          </w:tcPr>
          <w:p w14:paraId="5718383B">
            <w:pPr>
              <w:rPr>
                <w:rFonts w:ascii="Arial"/>
                <w:sz w:val="21"/>
              </w:rPr>
            </w:pPr>
          </w:p>
        </w:tc>
        <w:tc>
          <w:tcPr>
            <w:tcW w:w="1093" w:type="dxa"/>
            <w:vAlign w:val="top"/>
          </w:tcPr>
          <w:p w14:paraId="526C94CD">
            <w:pPr>
              <w:pStyle w:val="6"/>
              <w:spacing w:before="103" w:line="195" w:lineRule="auto"/>
              <w:ind w:left="441"/>
              <w:rPr>
                <w:sz w:val="20"/>
                <w:szCs w:val="20"/>
              </w:rPr>
            </w:pPr>
            <w:r>
              <w:rPr>
                <w:spacing w:val="3"/>
                <w:sz w:val="20"/>
                <w:szCs w:val="20"/>
              </w:rPr>
              <w:t>41</w:t>
            </w:r>
          </w:p>
        </w:tc>
        <w:tc>
          <w:tcPr>
            <w:tcW w:w="942" w:type="dxa"/>
            <w:vMerge w:val="continue"/>
            <w:tcBorders>
              <w:top w:val="nil"/>
              <w:bottom w:val="nil"/>
            </w:tcBorders>
            <w:vAlign w:val="top"/>
          </w:tcPr>
          <w:p w14:paraId="38AF2520">
            <w:pPr>
              <w:rPr>
                <w:rFonts w:ascii="Arial"/>
                <w:sz w:val="21"/>
              </w:rPr>
            </w:pPr>
          </w:p>
        </w:tc>
        <w:tc>
          <w:tcPr>
            <w:tcW w:w="911" w:type="dxa"/>
            <w:vMerge w:val="continue"/>
            <w:tcBorders>
              <w:top w:val="nil"/>
              <w:bottom w:val="nil"/>
            </w:tcBorders>
            <w:vAlign w:val="top"/>
          </w:tcPr>
          <w:p w14:paraId="49480FE1">
            <w:pPr>
              <w:rPr>
                <w:rFonts w:ascii="Arial"/>
                <w:sz w:val="21"/>
              </w:rPr>
            </w:pPr>
          </w:p>
        </w:tc>
        <w:tc>
          <w:tcPr>
            <w:tcW w:w="835" w:type="dxa"/>
            <w:vMerge w:val="continue"/>
            <w:tcBorders>
              <w:top w:val="nil"/>
              <w:bottom w:val="nil"/>
              <w:right w:val="nil"/>
            </w:tcBorders>
            <w:vAlign w:val="top"/>
          </w:tcPr>
          <w:p w14:paraId="59FC83B7">
            <w:pPr>
              <w:rPr>
                <w:rFonts w:ascii="Arial"/>
                <w:sz w:val="21"/>
              </w:rPr>
            </w:pPr>
          </w:p>
        </w:tc>
      </w:tr>
      <w:tr w14:paraId="343F54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3495" w:type="dxa"/>
            <w:tcBorders>
              <w:left w:val="nil"/>
            </w:tcBorders>
            <w:vAlign w:val="top"/>
          </w:tcPr>
          <w:p w14:paraId="4EDE57FE">
            <w:pPr>
              <w:pStyle w:val="6"/>
              <w:spacing w:before="68" w:line="218" w:lineRule="auto"/>
              <w:ind w:left="231"/>
              <w:rPr>
                <w:rFonts w:ascii="仿宋" w:hAnsi="仿宋" w:eastAsia="仿宋" w:cs="仿宋"/>
                <w:sz w:val="20"/>
                <w:szCs w:val="20"/>
              </w:rPr>
            </w:pPr>
            <w:r>
              <w:rPr>
                <w:rFonts w:ascii="仿宋" w:hAnsi="仿宋" w:eastAsia="仿宋" w:cs="仿宋"/>
                <w:spacing w:val="5"/>
                <w:sz w:val="20"/>
                <w:szCs w:val="20"/>
              </w:rPr>
              <w:t>兴巴高速断面</w:t>
            </w:r>
            <w:r>
              <w:rPr>
                <w:spacing w:val="5"/>
                <w:sz w:val="20"/>
                <w:szCs w:val="20"/>
              </w:rPr>
              <w:t>(</w:t>
            </w:r>
            <w:r>
              <w:rPr>
                <w:rFonts w:ascii="仿宋" w:hAnsi="仿宋" w:eastAsia="仿宋" w:cs="仿宋"/>
                <w:spacing w:val="5"/>
                <w:sz w:val="20"/>
                <w:szCs w:val="20"/>
              </w:rPr>
              <w:t>中心线外</w:t>
            </w:r>
            <w:r>
              <w:rPr>
                <w:rFonts w:ascii="仿宋" w:hAnsi="仿宋" w:eastAsia="仿宋" w:cs="仿宋"/>
                <w:spacing w:val="-32"/>
                <w:sz w:val="20"/>
                <w:szCs w:val="20"/>
              </w:rPr>
              <w:t xml:space="preserve"> </w:t>
            </w:r>
            <w:r>
              <w:rPr>
                <w:spacing w:val="5"/>
                <w:sz w:val="20"/>
                <w:szCs w:val="20"/>
              </w:rPr>
              <w:t>60m</w:t>
            </w:r>
            <w:r>
              <w:rPr>
                <w:spacing w:val="16"/>
                <w:sz w:val="20"/>
                <w:szCs w:val="20"/>
              </w:rPr>
              <w:t xml:space="preserve"> </w:t>
            </w:r>
            <w:r>
              <w:rPr>
                <w:rFonts w:ascii="仿宋" w:hAnsi="仿宋" w:eastAsia="仿宋" w:cs="仿宋"/>
                <w:spacing w:val="5"/>
                <w:sz w:val="20"/>
                <w:szCs w:val="20"/>
              </w:rPr>
              <w:t>处）</w:t>
            </w:r>
          </w:p>
        </w:tc>
        <w:tc>
          <w:tcPr>
            <w:tcW w:w="1243" w:type="dxa"/>
            <w:vMerge w:val="continue"/>
            <w:tcBorders>
              <w:top w:val="nil"/>
              <w:bottom w:val="nil"/>
            </w:tcBorders>
            <w:vAlign w:val="top"/>
          </w:tcPr>
          <w:p w14:paraId="741C902B">
            <w:pPr>
              <w:rPr>
                <w:rFonts w:ascii="Arial"/>
                <w:sz w:val="21"/>
              </w:rPr>
            </w:pPr>
          </w:p>
        </w:tc>
        <w:tc>
          <w:tcPr>
            <w:tcW w:w="1093" w:type="dxa"/>
            <w:vAlign w:val="top"/>
          </w:tcPr>
          <w:p w14:paraId="108F7A86">
            <w:pPr>
              <w:pStyle w:val="6"/>
              <w:spacing w:before="105" w:line="195" w:lineRule="auto"/>
              <w:ind w:left="441"/>
              <w:rPr>
                <w:sz w:val="20"/>
                <w:szCs w:val="20"/>
              </w:rPr>
            </w:pPr>
            <w:r>
              <w:rPr>
                <w:spacing w:val="3"/>
                <w:sz w:val="20"/>
                <w:szCs w:val="20"/>
              </w:rPr>
              <w:t>40</w:t>
            </w:r>
          </w:p>
        </w:tc>
        <w:tc>
          <w:tcPr>
            <w:tcW w:w="942" w:type="dxa"/>
            <w:vMerge w:val="continue"/>
            <w:tcBorders>
              <w:top w:val="nil"/>
              <w:bottom w:val="nil"/>
            </w:tcBorders>
            <w:vAlign w:val="top"/>
          </w:tcPr>
          <w:p w14:paraId="096E5B05">
            <w:pPr>
              <w:rPr>
                <w:rFonts w:ascii="Arial"/>
                <w:sz w:val="21"/>
              </w:rPr>
            </w:pPr>
          </w:p>
        </w:tc>
        <w:tc>
          <w:tcPr>
            <w:tcW w:w="911" w:type="dxa"/>
            <w:vMerge w:val="continue"/>
            <w:tcBorders>
              <w:top w:val="nil"/>
              <w:bottom w:val="nil"/>
            </w:tcBorders>
            <w:vAlign w:val="top"/>
          </w:tcPr>
          <w:p w14:paraId="2679C446">
            <w:pPr>
              <w:rPr>
                <w:rFonts w:ascii="Arial"/>
                <w:sz w:val="21"/>
              </w:rPr>
            </w:pPr>
          </w:p>
        </w:tc>
        <w:tc>
          <w:tcPr>
            <w:tcW w:w="835" w:type="dxa"/>
            <w:vMerge w:val="continue"/>
            <w:tcBorders>
              <w:top w:val="nil"/>
              <w:bottom w:val="nil"/>
              <w:right w:val="nil"/>
            </w:tcBorders>
            <w:vAlign w:val="top"/>
          </w:tcPr>
          <w:p w14:paraId="165501F9">
            <w:pPr>
              <w:rPr>
                <w:rFonts w:ascii="Arial"/>
                <w:sz w:val="21"/>
              </w:rPr>
            </w:pPr>
          </w:p>
        </w:tc>
      </w:tr>
      <w:tr w14:paraId="17EBF9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3495" w:type="dxa"/>
            <w:tcBorders>
              <w:left w:val="nil"/>
            </w:tcBorders>
            <w:vAlign w:val="top"/>
          </w:tcPr>
          <w:p w14:paraId="4168DC16">
            <w:pPr>
              <w:pStyle w:val="6"/>
              <w:spacing w:before="73" w:line="214" w:lineRule="auto"/>
              <w:ind w:left="231"/>
              <w:rPr>
                <w:rFonts w:ascii="仿宋" w:hAnsi="仿宋" w:eastAsia="仿宋" w:cs="仿宋"/>
                <w:sz w:val="20"/>
                <w:szCs w:val="20"/>
              </w:rPr>
            </w:pPr>
            <w:r>
              <w:rPr>
                <w:rFonts w:ascii="仿宋" w:hAnsi="仿宋" w:eastAsia="仿宋" w:cs="仿宋"/>
                <w:spacing w:val="5"/>
                <w:sz w:val="20"/>
                <w:szCs w:val="20"/>
              </w:rPr>
              <w:t>兴巴高速断面</w:t>
            </w:r>
            <w:r>
              <w:rPr>
                <w:spacing w:val="5"/>
                <w:sz w:val="20"/>
                <w:szCs w:val="20"/>
              </w:rPr>
              <w:t>(</w:t>
            </w:r>
            <w:r>
              <w:rPr>
                <w:rFonts w:ascii="仿宋" w:hAnsi="仿宋" w:eastAsia="仿宋" w:cs="仿宋"/>
                <w:spacing w:val="5"/>
                <w:sz w:val="20"/>
                <w:szCs w:val="20"/>
              </w:rPr>
              <w:t>中心线外</w:t>
            </w:r>
            <w:r>
              <w:rPr>
                <w:rFonts w:ascii="仿宋" w:hAnsi="仿宋" w:eastAsia="仿宋" w:cs="仿宋"/>
                <w:spacing w:val="-32"/>
                <w:sz w:val="20"/>
                <w:szCs w:val="20"/>
              </w:rPr>
              <w:t xml:space="preserve"> </w:t>
            </w:r>
            <w:r>
              <w:rPr>
                <w:spacing w:val="5"/>
                <w:sz w:val="20"/>
                <w:szCs w:val="20"/>
              </w:rPr>
              <w:t>80m</w:t>
            </w:r>
            <w:r>
              <w:rPr>
                <w:spacing w:val="16"/>
                <w:sz w:val="20"/>
                <w:szCs w:val="20"/>
              </w:rPr>
              <w:t xml:space="preserve"> </w:t>
            </w:r>
            <w:r>
              <w:rPr>
                <w:rFonts w:ascii="仿宋" w:hAnsi="仿宋" w:eastAsia="仿宋" w:cs="仿宋"/>
                <w:spacing w:val="5"/>
                <w:sz w:val="20"/>
                <w:szCs w:val="20"/>
              </w:rPr>
              <w:t>处）</w:t>
            </w:r>
          </w:p>
        </w:tc>
        <w:tc>
          <w:tcPr>
            <w:tcW w:w="1243" w:type="dxa"/>
            <w:vMerge w:val="continue"/>
            <w:tcBorders>
              <w:top w:val="nil"/>
              <w:bottom w:val="nil"/>
            </w:tcBorders>
            <w:vAlign w:val="top"/>
          </w:tcPr>
          <w:p w14:paraId="054F8B4A">
            <w:pPr>
              <w:rPr>
                <w:rFonts w:ascii="Arial"/>
                <w:sz w:val="21"/>
              </w:rPr>
            </w:pPr>
          </w:p>
        </w:tc>
        <w:tc>
          <w:tcPr>
            <w:tcW w:w="1093" w:type="dxa"/>
            <w:vAlign w:val="top"/>
          </w:tcPr>
          <w:p w14:paraId="7B27CB27">
            <w:pPr>
              <w:pStyle w:val="6"/>
              <w:spacing w:before="109" w:line="195" w:lineRule="auto"/>
              <w:ind w:left="446"/>
              <w:rPr>
                <w:sz w:val="20"/>
                <w:szCs w:val="20"/>
              </w:rPr>
            </w:pPr>
            <w:r>
              <w:rPr>
                <w:sz w:val="20"/>
                <w:szCs w:val="20"/>
              </w:rPr>
              <w:t>36</w:t>
            </w:r>
          </w:p>
        </w:tc>
        <w:tc>
          <w:tcPr>
            <w:tcW w:w="942" w:type="dxa"/>
            <w:vMerge w:val="continue"/>
            <w:tcBorders>
              <w:top w:val="nil"/>
              <w:bottom w:val="nil"/>
            </w:tcBorders>
            <w:vAlign w:val="top"/>
          </w:tcPr>
          <w:p w14:paraId="5663930A">
            <w:pPr>
              <w:rPr>
                <w:rFonts w:ascii="Arial"/>
                <w:sz w:val="21"/>
              </w:rPr>
            </w:pPr>
          </w:p>
        </w:tc>
        <w:tc>
          <w:tcPr>
            <w:tcW w:w="911" w:type="dxa"/>
            <w:vMerge w:val="continue"/>
            <w:tcBorders>
              <w:top w:val="nil"/>
              <w:bottom w:val="nil"/>
            </w:tcBorders>
            <w:vAlign w:val="top"/>
          </w:tcPr>
          <w:p w14:paraId="39745C4B">
            <w:pPr>
              <w:rPr>
                <w:rFonts w:ascii="Arial"/>
                <w:sz w:val="21"/>
              </w:rPr>
            </w:pPr>
          </w:p>
        </w:tc>
        <w:tc>
          <w:tcPr>
            <w:tcW w:w="835" w:type="dxa"/>
            <w:vMerge w:val="continue"/>
            <w:tcBorders>
              <w:top w:val="nil"/>
              <w:bottom w:val="nil"/>
              <w:right w:val="nil"/>
            </w:tcBorders>
            <w:vAlign w:val="top"/>
          </w:tcPr>
          <w:p w14:paraId="0F7E9DFF">
            <w:pPr>
              <w:rPr>
                <w:rFonts w:ascii="Arial"/>
                <w:sz w:val="21"/>
              </w:rPr>
            </w:pPr>
          </w:p>
        </w:tc>
      </w:tr>
      <w:tr w14:paraId="2A4D2A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trPr>
        <w:tc>
          <w:tcPr>
            <w:tcW w:w="3495" w:type="dxa"/>
            <w:tcBorders>
              <w:left w:val="nil"/>
              <w:bottom w:val="single" w:color="000000" w:sz="10" w:space="0"/>
            </w:tcBorders>
            <w:vAlign w:val="top"/>
          </w:tcPr>
          <w:p w14:paraId="38DEE264">
            <w:pPr>
              <w:pStyle w:val="6"/>
              <w:spacing w:before="74" w:line="221" w:lineRule="auto"/>
              <w:ind w:left="178"/>
              <w:rPr>
                <w:rFonts w:ascii="仿宋" w:hAnsi="仿宋" w:eastAsia="仿宋" w:cs="仿宋"/>
                <w:sz w:val="20"/>
                <w:szCs w:val="20"/>
              </w:rPr>
            </w:pPr>
            <w:r>
              <w:rPr>
                <w:rFonts w:ascii="仿宋" w:hAnsi="仿宋" w:eastAsia="仿宋" w:cs="仿宋"/>
                <w:spacing w:val="4"/>
                <w:sz w:val="20"/>
                <w:szCs w:val="20"/>
              </w:rPr>
              <w:t>兴巴高速断面</w:t>
            </w:r>
            <w:r>
              <w:rPr>
                <w:spacing w:val="4"/>
                <w:sz w:val="20"/>
                <w:szCs w:val="20"/>
              </w:rPr>
              <w:t>(</w:t>
            </w:r>
            <w:r>
              <w:rPr>
                <w:rFonts w:ascii="仿宋" w:hAnsi="仿宋" w:eastAsia="仿宋" w:cs="仿宋"/>
                <w:spacing w:val="4"/>
                <w:sz w:val="20"/>
                <w:szCs w:val="20"/>
              </w:rPr>
              <w:t>中心线外</w:t>
            </w:r>
            <w:r>
              <w:rPr>
                <w:rFonts w:ascii="仿宋" w:hAnsi="仿宋" w:eastAsia="仿宋" w:cs="仿宋"/>
                <w:spacing w:val="-15"/>
                <w:sz w:val="20"/>
                <w:szCs w:val="20"/>
              </w:rPr>
              <w:t xml:space="preserve"> </w:t>
            </w:r>
            <w:r>
              <w:rPr>
                <w:spacing w:val="4"/>
                <w:sz w:val="20"/>
                <w:szCs w:val="20"/>
              </w:rPr>
              <w:t>120m</w:t>
            </w:r>
            <w:r>
              <w:rPr>
                <w:spacing w:val="19"/>
                <w:sz w:val="20"/>
                <w:szCs w:val="20"/>
              </w:rPr>
              <w:t xml:space="preserve"> </w:t>
            </w:r>
            <w:r>
              <w:rPr>
                <w:rFonts w:ascii="仿宋" w:hAnsi="仿宋" w:eastAsia="仿宋" w:cs="仿宋"/>
                <w:spacing w:val="4"/>
                <w:sz w:val="20"/>
                <w:szCs w:val="20"/>
              </w:rPr>
              <w:t>处）</w:t>
            </w:r>
          </w:p>
        </w:tc>
        <w:tc>
          <w:tcPr>
            <w:tcW w:w="1243" w:type="dxa"/>
            <w:vMerge w:val="continue"/>
            <w:tcBorders>
              <w:top w:val="nil"/>
              <w:bottom w:val="single" w:color="000000" w:sz="10" w:space="0"/>
            </w:tcBorders>
            <w:vAlign w:val="top"/>
          </w:tcPr>
          <w:p w14:paraId="43AC0391">
            <w:pPr>
              <w:rPr>
                <w:rFonts w:ascii="Arial"/>
                <w:sz w:val="21"/>
              </w:rPr>
            </w:pPr>
          </w:p>
        </w:tc>
        <w:tc>
          <w:tcPr>
            <w:tcW w:w="1093" w:type="dxa"/>
            <w:tcBorders>
              <w:bottom w:val="single" w:color="000000" w:sz="10" w:space="0"/>
            </w:tcBorders>
            <w:vAlign w:val="top"/>
          </w:tcPr>
          <w:p w14:paraId="4F98595E">
            <w:pPr>
              <w:pStyle w:val="6"/>
              <w:spacing w:before="110" w:line="195" w:lineRule="auto"/>
              <w:ind w:left="446"/>
              <w:rPr>
                <w:sz w:val="20"/>
                <w:szCs w:val="20"/>
              </w:rPr>
            </w:pPr>
            <w:r>
              <w:rPr>
                <w:sz w:val="20"/>
                <w:szCs w:val="20"/>
              </w:rPr>
              <w:t>36</w:t>
            </w:r>
          </w:p>
        </w:tc>
        <w:tc>
          <w:tcPr>
            <w:tcW w:w="942" w:type="dxa"/>
            <w:vMerge w:val="continue"/>
            <w:tcBorders>
              <w:top w:val="nil"/>
              <w:bottom w:val="single" w:color="000000" w:sz="10" w:space="0"/>
            </w:tcBorders>
            <w:vAlign w:val="top"/>
          </w:tcPr>
          <w:p w14:paraId="50803E5E">
            <w:pPr>
              <w:rPr>
                <w:rFonts w:ascii="Arial"/>
                <w:sz w:val="21"/>
              </w:rPr>
            </w:pPr>
          </w:p>
        </w:tc>
        <w:tc>
          <w:tcPr>
            <w:tcW w:w="911" w:type="dxa"/>
            <w:vMerge w:val="continue"/>
            <w:tcBorders>
              <w:top w:val="nil"/>
              <w:bottom w:val="single" w:color="000000" w:sz="10" w:space="0"/>
            </w:tcBorders>
            <w:vAlign w:val="top"/>
          </w:tcPr>
          <w:p w14:paraId="7180A3BC">
            <w:pPr>
              <w:rPr>
                <w:rFonts w:ascii="Arial"/>
                <w:sz w:val="21"/>
              </w:rPr>
            </w:pPr>
          </w:p>
        </w:tc>
        <w:tc>
          <w:tcPr>
            <w:tcW w:w="835" w:type="dxa"/>
            <w:vMerge w:val="continue"/>
            <w:tcBorders>
              <w:top w:val="nil"/>
              <w:bottom w:val="single" w:color="000000" w:sz="10" w:space="0"/>
              <w:right w:val="nil"/>
            </w:tcBorders>
            <w:vAlign w:val="top"/>
          </w:tcPr>
          <w:p w14:paraId="4BF70D21">
            <w:pPr>
              <w:rPr>
                <w:rFonts w:ascii="Arial"/>
                <w:sz w:val="21"/>
              </w:rPr>
            </w:pPr>
          </w:p>
        </w:tc>
      </w:tr>
    </w:tbl>
    <w:p w14:paraId="03260E3C">
      <w:pPr>
        <w:spacing w:before="330" w:line="223" w:lineRule="auto"/>
        <w:ind w:left="123"/>
        <w:outlineLvl w:val="2"/>
        <w:rPr>
          <w:rFonts w:ascii="仿宋" w:hAnsi="仿宋" w:eastAsia="仿宋" w:cs="仿宋"/>
          <w:sz w:val="28"/>
          <w:szCs w:val="28"/>
        </w:rPr>
      </w:pPr>
      <w:bookmarkStart w:id="36" w:name="bookmark39"/>
      <w:bookmarkEnd w:id="36"/>
      <w:r>
        <w:rPr>
          <w:rFonts w:ascii="仿宋" w:hAnsi="仿宋" w:eastAsia="仿宋" w:cs="仿宋"/>
          <w:b/>
          <w:bCs/>
          <w:spacing w:val="-4"/>
          <w:sz w:val="28"/>
          <w:szCs w:val="28"/>
        </w:rPr>
        <w:t>3.2.4</w:t>
      </w:r>
      <w:r>
        <w:rPr>
          <w:rFonts w:ascii="仿宋" w:hAnsi="仿宋" w:eastAsia="仿宋" w:cs="仿宋"/>
          <w:spacing w:val="-4"/>
          <w:sz w:val="28"/>
          <w:szCs w:val="28"/>
        </w:rPr>
        <w:t xml:space="preserve"> </w:t>
      </w:r>
      <w:r>
        <w:rPr>
          <w:rFonts w:ascii="仿宋" w:hAnsi="仿宋" w:eastAsia="仿宋" w:cs="仿宋"/>
          <w:b/>
          <w:bCs/>
          <w:spacing w:val="-4"/>
          <w:sz w:val="28"/>
          <w:szCs w:val="28"/>
        </w:rPr>
        <w:t>现状评价</w:t>
      </w:r>
    </w:p>
    <w:p w14:paraId="56649F7F">
      <w:pPr>
        <w:pStyle w:val="2"/>
        <w:spacing w:line="258" w:lineRule="auto"/>
        <w:rPr>
          <w:sz w:val="21"/>
        </w:rPr>
      </w:pPr>
    </w:p>
    <w:p w14:paraId="39F33D38">
      <w:pPr>
        <w:spacing w:before="78" w:line="287" w:lineRule="auto"/>
        <w:ind w:left="123" w:right="107" w:firstLine="480"/>
        <w:rPr>
          <w:rFonts w:ascii="仿宋" w:hAnsi="仿宋" w:eastAsia="仿宋" w:cs="仿宋"/>
          <w:sz w:val="24"/>
          <w:szCs w:val="24"/>
        </w:rPr>
      </w:pPr>
      <w:r>
        <w:rPr>
          <w:rFonts w:ascii="仿宋" w:hAnsi="仿宋" w:eastAsia="仿宋" w:cs="仿宋"/>
          <w:spacing w:val="-4"/>
          <w:sz w:val="24"/>
          <w:szCs w:val="24"/>
        </w:rPr>
        <w:t>根据表</w:t>
      </w:r>
      <w:r>
        <w:rPr>
          <w:rFonts w:ascii="仿宋" w:hAnsi="仿宋" w:eastAsia="仿宋" w:cs="仿宋"/>
          <w:spacing w:val="-32"/>
          <w:sz w:val="24"/>
          <w:szCs w:val="24"/>
        </w:rPr>
        <w:t xml:space="preserve"> </w:t>
      </w:r>
      <w:r>
        <w:rPr>
          <w:rFonts w:ascii="Times New Roman" w:hAnsi="Times New Roman" w:eastAsia="Times New Roman" w:cs="Times New Roman"/>
          <w:spacing w:val="-4"/>
          <w:sz w:val="24"/>
          <w:szCs w:val="24"/>
        </w:rPr>
        <w:t>3.2-3</w:t>
      </w:r>
      <w:r>
        <w:rPr>
          <w:rFonts w:ascii="仿宋" w:hAnsi="仿宋" w:eastAsia="仿宋" w:cs="仿宋"/>
          <w:spacing w:val="-4"/>
          <w:sz w:val="24"/>
          <w:szCs w:val="24"/>
        </w:rPr>
        <w:t>～表</w:t>
      </w:r>
      <w:r>
        <w:rPr>
          <w:rFonts w:ascii="仿宋" w:hAnsi="仿宋" w:eastAsia="仿宋" w:cs="仿宋"/>
          <w:spacing w:val="-50"/>
          <w:sz w:val="24"/>
          <w:szCs w:val="24"/>
        </w:rPr>
        <w:t xml:space="preserve"> </w:t>
      </w:r>
      <w:r>
        <w:rPr>
          <w:rFonts w:ascii="Times New Roman" w:hAnsi="Times New Roman" w:eastAsia="Times New Roman" w:cs="Times New Roman"/>
          <w:spacing w:val="-4"/>
          <w:sz w:val="24"/>
          <w:szCs w:val="24"/>
        </w:rPr>
        <w:t>3.2-6</w:t>
      </w:r>
      <w:r>
        <w:rPr>
          <w:rFonts w:ascii="Times New Roman" w:hAnsi="Times New Roman" w:eastAsia="Times New Roman" w:cs="Times New Roman"/>
          <w:spacing w:val="22"/>
          <w:w w:val="101"/>
          <w:sz w:val="24"/>
          <w:szCs w:val="24"/>
        </w:rPr>
        <w:t xml:space="preserve"> </w:t>
      </w:r>
      <w:r>
        <w:rPr>
          <w:rFonts w:ascii="仿宋" w:hAnsi="仿宋" w:eastAsia="仿宋" w:cs="仿宋"/>
          <w:spacing w:val="-4"/>
          <w:sz w:val="24"/>
          <w:szCs w:val="24"/>
        </w:rPr>
        <w:t>监测结果，本项目敏感点及周边现有道路衰减断面现</w:t>
      </w:r>
      <w:r>
        <w:rPr>
          <w:rFonts w:ascii="仿宋" w:hAnsi="仿宋" w:eastAsia="仿宋" w:cs="仿宋"/>
          <w:spacing w:val="-3"/>
          <w:sz w:val="24"/>
          <w:szCs w:val="24"/>
        </w:rPr>
        <w:t>状监测评价结果见表</w:t>
      </w:r>
      <w:r>
        <w:rPr>
          <w:rFonts w:ascii="仿宋" w:hAnsi="仿宋" w:eastAsia="仿宋" w:cs="仿宋"/>
          <w:spacing w:val="-38"/>
          <w:sz w:val="24"/>
          <w:szCs w:val="24"/>
        </w:rPr>
        <w:t xml:space="preserve"> </w:t>
      </w:r>
      <w:r>
        <w:rPr>
          <w:rFonts w:ascii="Times New Roman" w:hAnsi="Times New Roman" w:eastAsia="Times New Roman" w:cs="Times New Roman"/>
          <w:spacing w:val="-3"/>
          <w:sz w:val="24"/>
          <w:szCs w:val="24"/>
        </w:rPr>
        <w:t>3.2-7</w:t>
      </w:r>
      <w:r>
        <w:rPr>
          <w:rFonts w:ascii="Times New Roman" w:hAnsi="Times New Roman" w:eastAsia="Times New Roman" w:cs="Times New Roman"/>
          <w:spacing w:val="15"/>
          <w:w w:val="101"/>
          <w:sz w:val="24"/>
          <w:szCs w:val="24"/>
        </w:rPr>
        <w:t xml:space="preserve"> </w:t>
      </w:r>
      <w:r>
        <w:rPr>
          <w:rFonts w:ascii="仿宋" w:hAnsi="仿宋" w:eastAsia="仿宋" w:cs="仿宋"/>
          <w:spacing w:val="-3"/>
          <w:sz w:val="24"/>
          <w:szCs w:val="24"/>
        </w:rPr>
        <w:t>和表</w:t>
      </w:r>
      <w:r>
        <w:rPr>
          <w:rFonts w:ascii="仿宋" w:hAnsi="仿宋" w:eastAsia="仿宋" w:cs="仿宋"/>
          <w:spacing w:val="-50"/>
          <w:sz w:val="24"/>
          <w:szCs w:val="24"/>
        </w:rPr>
        <w:t xml:space="preserve"> </w:t>
      </w:r>
      <w:r>
        <w:rPr>
          <w:rFonts w:ascii="Times New Roman" w:hAnsi="Times New Roman" w:eastAsia="Times New Roman" w:cs="Times New Roman"/>
          <w:spacing w:val="-3"/>
          <w:sz w:val="24"/>
          <w:szCs w:val="24"/>
        </w:rPr>
        <w:t>3.2-8</w:t>
      </w:r>
      <w:r>
        <w:rPr>
          <w:rFonts w:ascii="仿宋" w:hAnsi="仿宋" w:eastAsia="仿宋" w:cs="仿宋"/>
          <w:spacing w:val="-3"/>
          <w:sz w:val="24"/>
          <w:szCs w:val="24"/>
        </w:rPr>
        <w:t>。</w:t>
      </w:r>
    </w:p>
    <w:p w14:paraId="547ABC6C">
      <w:pPr>
        <w:pStyle w:val="2"/>
        <w:spacing w:line="476" w:lineRule="auto"/>
        <w:rPr>
          <w:sz w:val="21"/>
        </w:rPr>
      </w:pPr>
    </w:p>
    <w:p w14:paraId="3AABAD13">
      <w:pPr>
        <w:spacing w:before="78" w:line="222" w:lineRule="auto"/>
        <w:ind w:left="1836"/>
        <w:rPr>
          <w:rFonts w:ascii="仿宋" w:hAnsi="仿宋" w:eastAsia="仿宋" w:cs="仿宋"/>
          <w:sz w:val="24"/>
          <w:szCs w:val="24"/>
        </w:rPr>
      </w:pPr>
      <w:r>
        <w:rPr>
          <w:rFonts w:ascii="仿宋" w:hAnsi="仿宋" w:eastAsia="仿宋" w:cs="仿宋"/>
          <w:b/>
          <w:bCs/>
          <w:spacing w:val="-3"/>
          <w:sz w:val="24"/>
          <w:szCs w:val="24"/>
        </w:rPr>
        <w:t>表</w:t>
      </w:r>
      <w:r>
        <w:rPr>
          <w:rFonts w:ascii="仿宋" w:hAnsi="仿宋" w:eastAsia="仿宋" w:cs="仿宋"/>
          <w:spacing w:val="-41"/>
          <w:sz w:val="24"/>
          <w:szCs w:val="24"/>
        </w:rPr>
        <w:t xml:space="preserve"> </w:t>
      </w:r>
      <w:r>
        <w:rPr>
          <w:rFonts w:ascii="仿宋" w:hAnsi="仿宋" w:eastAsia="仿宋" w:cs="仿宋"/>
          <w:b/>
          <w:bCs/>
          <w:spacing w:val="-3"/>
          <w:sz w:val="24"/>
          <w:szCs w:val="24"/>
        </w:rPr>
        <w:t>3.2-7</w:t>
      </w:r>
      <w:r>
        <w:rPr>
          <w:rFonts w:ascii="仿宋" w:hAnsi="仿宋" w:eastAsia="仿宋" w:cs="仿宋"/>
          <w:spacing w:val="-3"/>
          <w:sz w:val="24"/>
          <w:szCs w:val="24"/>
        </w:rPr>
        <w:t xml:space="preserve">   </w:t>
      </w:r>
      <w:r>
        <w:rPr>
          <w:rFonts w:ascii="仿宋" w:hAnsi="仿宋" w:eastAsia="仿宋" w:cs="仿宋"/>
          <w:b/>
          <w:bCs/>
          <w:spacing w:val="-3"/>
          <w:sz w:val="24"/>
          <w:szCs w:val="24"/>
        </w:rPr>
        <w:t>敏感点声环境现状监测评价结果表</w:t>
      </w:r>
    </w:p>
    <w:p w14:paraId="025CD16D">
      <w:pPr>
        <w:spacing w:line="142" w:lineRule="exact"/>
      </w:pPr>
    </w:p>
    <w:tbl>
      <w:tblPr>
        <w:tblStyle w:val="5"/>
        <w:tblW w:w="852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7"/>
        <w:gridCol w:w="1940"/>
        <w:gridCol w:w="737"/>
        <w:gridCol w:w="737"/>
        <w:gridCol w:w="1548"/>
        <w:gridCol w:w="737"/>
        <w:gridCol w:w="737"/>
        <w:gridCol w:w="1549"/>
      </w:tblGrid>
      <w:tr w14:paraId="340EDF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7" w:type="dxa"/>
            <w:tcBorders>
              <w:top w:val="single" w:color="000000" w:sz="10" w:space="0"/>
              <w:left w:val="nil"/>
            </w:tcBorders>
            <w:textDirection w:val="tbRlV"/>
            <w:vAlign w:val="top"/>
          </w:tcPr>
          <w:p w14:paraId="1F24886E">
            <w:pPr>
              <w:spacing w:before="155" w:line="202" w:lineRule="auto"/>
              <w:ind w:left="49"/>
              <w:rPr>
                <w:rFonts w:ascii="仿宋" w:hAnsi="仿宋" w:eastAsia="仿宋" w:cs="仿宋"/>
                <w:sz w:val="22"/>
                <w:szCs w:val="22"/>
              </w:rPr>
            </w:pPr>
            <w:r>
              <w:rPr>
                <w:rFonts w:ascii="仿宋" w:hAnsi="仿宋" w:eastAsia="仿宋" w:cs="仿宋"/>
                <w:spacing w:val="6"/>
                <w:sz w:val="22"/>
                <w:szCs w:val="22"/>
              </w:rPr>
              <w:t>序</w:t>
            </w:r>
            <w:r>
              <w:rPr>
                <w:rFonts w:ascii="仿宋" w:hAnsi="仿宋" w:eastAsia="仿宋" w:cs="仿宋"/>
                <w:spacing w:val="-25"/>
                <w:sz w:val="22"/>
                <w:szCs w:val="22"/>
              </w:rPr>
              <w:t xml:space="preserve"> </w:t>
            </w:r>
            <w:r>
              <w:rPr>
                <w:rFonts w:ascii="仿宋" w:hAnsi="仿宋" w:eastAsia="仿宋" w:cs="仿宋"/>
                <w:spacing w:val="6"/>
                <w:sz w:val="22"/>
                <w:szCs w:val="22"/>
              </w:rPr>
              <w:t>号</w:t>
            </w:r>
          </w:p>
        </w:tc>
        <w:tc>
          <w:tcPr>
            <w:tcW w:w="1940" w:type="dxa"/>
            <w:tcBorders>
              <w:top w:val="single" w:color="000000" w:sz="10" w:space="0"/>
            </w:tcBorders>
            <w:vAlign w:val="top"/>
          </w:tcPr>
          <w:p w14:paraId="7C3415A4">
            <w:pPr>
              <w:spacing w:before="206" w:line="222" w:lineRule="auto"/>
              <w:ind w:left="549"/>
              <w:rPr>
                <w:rFonts w:ascii="仿宋" w:hAnsi="仿宋" w:eastAsia="仿宋" w:cs="仿宋"/>
                <w:sz w:val="22"/>
                <w:szCs w:val="22"/>
              </w:rPr>
            </w:pPr>
            <w:r>
              <w:rPr>
                <w:rFonts w:ascii="仿宋" w:hAnsi="仿宋" w:eastAsia="仿宋" w:cs="仿宋"/>
                <w:spacing w:val="-5"/>
                <w:sz w:val="22"/>
                <w:szCs w:val="22"/>
              </w:rPr>
              <w:t>监测点位</w:t>
            </w:r>
          </w:p>
        </w:tc>
        <w:tc>
          <w:tcPr>
            <w:tcW w:w="737" w:type="dxa"/>
            <w:tcBorders>
              <w:top w:val="single" w:color="000000" w:sz="10" w:space="0"/>
            </w:tcBorders>
            <w:vAlign w:val="top"/>
          </w:tcPr>
          <w:p w14:paraId="29CE21C4">
            <w:pPr>
              <w:pStyle w:val="6"/>
              <w:spacing w:before="88" w:line="237" w:lineRule="auto"/>
              <w:ind w:left="270" w:right="173" w:hanging="89"/>
              <w:rPr>
                <w:rFonts w:ascii="仿宋" w:hAnsi="仿宋" w:eastAsia="仿宋" w:cs="仿宋"/>
                <w:sz w:val="22"/>
                <w:szCs w:val="22"/>
              </w:rPr>
            </w:pPr>
            <w:r>
              <w:rPr>
                <w:spacing w:val="-3"/>
                <w:sz w:val="22"/>
                <w:szCs w:val="22"/>
              </w:rPr>
              <w:t>6.12</w:t>
            </w:r>
            <w:r>
              <w:rPr>
                <w:rFonts w:ascii="仿宋" w:hAnsi="仿宋" w:eastAsia="仿宋" w:cs="仿宋"/>
                <w:sz w:val="22"/>
                <w:szCs w:val="22"/>
              </w:rPr>
              <w:t>昼</w:t>
            </w:r>
          </w:p>
        </w:tc>
        <w:tc>
          <w:tcPr>
            <w:tcW w:w="737" w:type="dxa"/>
            <w:tcBorders>
              <w:top w:val="single" w:color="000000" w:sz="10" w:space="0"/>
            </w:tcBorders>
            <w:vAlign w:val="top"/>
          </w:tcPr>
          <w:p w14:paraId="37871697">
            <w:pPr>
              <w:pStyle w:val="6"/>
              <w:spacing w:before="88" w:line="237" w:lineRule="auto"/>
              <w:ind w:left="270" w:right="173" w:hanging="89"/>
              <w:rPr>
                <w:rFonts w:ascii="仿宋" w:hAnsi="仿宋" w:eastAsia="仿宋" w:cs="仿宋"/>
                <w:sz w:val="22"/>
                <w:szCs w:val="22"/>
              </w:rPr>
            </w:pPr>
            <w:r>
              <w:rPr>
                <w:spacing w:val="-3"/>
                <w:sz w:val="22"/>
                <w:szCs w:val="22"/>
              </w:rPr>
              <w:t>6.13</w:t>
            </w:r>
            <w:r>
              <w:rPr>
                <w:rFonts w:ascii="仿宋" w:hAnsi="仿宋" w:eastAsia="仿宋" w:cs="仿宋"/>
                <w:sz w:val="22"/>
                <w:szCs w:val="22"/>
              </w:rPr>
              <w:t>昼</w:t>
            </w:r>
          </w:p>
        </w:tc>
        <w:tc>
          <w:tcPr>
            <w:tcW w:w="1548" w:type="dxa"/>
            <w:tcBorders>
              <w:top w:val="single" w:color="000000" w:sz="10" w:space="0"/>
            </w:tcBorders>
            <w:vAlign w:val="top"/>
          </w:tcPr>
          <w:p w14:paraId="6B5DD27C">
            <w:pPr>
              <w:spacing w:before="49" w:line="224" w:lineRule="auto"/>
              <w:ind w:left="248"/>
              <w:rPr>
                <w:rFonts w:ascii="仿宋" w:hAnsi="仿宋" w:eastAsia="仿宋" w:cs="仿宋"/>
                <w:sz w:val="22"/>
                <w:szCs w:val="22"/>
              </w:rPr>
            </w:pPr>
            <w:r>
              <w:rPr>
                <w:rFonts w:ascii="仿宋" w:hAnsi="仿宋" w:eastAsia="仿宋" w:cs="仿宋"/>
                <w:spacing w:val="-18"/>
                <w:sz w:val="22"/>
                <w:szCs w:val="22"/>
              </w:rPr>
              <w:t>两</w:t>
            </w:r>
            <w:r>
              <w:rPr>
                <w:rFonts w:ascii="仿宋" w:hAnsi="仿宋" w:eastAsia="仿宋" w:cs="仿宋"/>
                <w:spacing w:val="-46"/>
                <w:sz w:val="22"/>
                <w:szCs w:val="22"/>
              </w:rPr>
              <w:t xml:space="preserve"> </w:t>
            </w:r>
            <w:r>
              <w:rPr>
                <w:rFonts w:ascii="仿宋" w:hAnsi="仿宋" w:eastAsia="仿宋" w:cs="仿宋"/>
                <w:spacing w:val="-18"/>
                <w:sz w:val="22"/>
                <w:szCs w:val="22"/>
              </w:rPr>
              <w:t>日昼均值</w:t>
            </w:r>
          </w:p>
          <w:p w14:paraId="19D968C2">
            <w:pPr>
              <w:pStyle w:val="6"/>
              <w:spacing w:before="79" w:line="193" w:lineRule="auto"/>
              <w:ind w:left="469"/>
              <w:rPr>
                <w:sz w:val="22"/>
                <w:szCs w:val="22"/>
              </w:rPr>
            </w:pPr>
            <w:r>
              <w:rPr>
                <w:spacing w:val="-3"/>
                <w:sz w:val="22"/>
                <w:szCs w:val="22"/>
              </w:rPr>
              <w:t>dB</w:t>
            </w:r>
            <w:r>
              <w:rPr>
                <w:spacing w:val="8"/>
                <w:sz w:val="22"/>
                <w:szCs w:val="22"/>
              </w:rPr>
              <w:t xml:space="preserve"> </w:t>
            </w:r>
            <w:r>
              <w:rPr>
                <w:spacing w:val="-3"/>
                <w:sz w:val="22"/>
                <w:szCs w:val="22"/>
              </w:rPr>
              <w:t>(A)</w:t>
            </w:r>
          </w:p>
        </w:tc>
        <w:tc>
          <w:tcPr>
            <w:tcW w:w="737" w:type="dxa"/>
            <w:tcBorders>
              <w:top w:val="single" w:color="000000" w:sz="10" w:space="0"/>
            </w:tcBorders>
            <w:vAlign w:val="top"/>
          </w:tcPr>
          <w:p w14:paraId="6E225DBE">
            <w:pPr>
              <w:pStyle w:val="6"/>
              <w:spacing w:before="88" w:line="237" w:lineRule="auto"/>
              <w:ind w:left="269" w:right="171" w:hanging="86"/>
              <w:rPr>
                <w:rFonts w:ascii="仿宋" w:hAnsi="仿宋" w:eastAsia="仿宋" w:cs="仿宋"/>
                <w:sz w:val="22"/>
                <w:szCs w:val="22"/>
              </w:rPr>
            </w:pPr>
            <w:r>
              <w:rPr>
                <w:spacing w:val="-3"/>
                <w:sz w:val="22"/>
                <w:szCs w:val="22"/>
              </w:rPr>
              <w:t>6.12</w:t>
            </w:r>
            <w:r>
              <w:rPr>
                <w:rFonts w:ascii="仿宋" w:hAnsi="仿宋" w:eastAsia="仿宋" w:cs="仿宋"/>
                <w:sz w:val="22"/>
                <w:szCs w:val="22"/>
              </w:rPr>
              <w:t>夜</w:t>
            </w:r>
          </w:p>
        </w:tc>
        <w:tc>
          <w:tcPr>
            <w:tcW w:w="737" w:type="dxa"/>
            <w:tcBorders>
              <w:top w:val="single" w:color="000000" w:sz="10" w:space="0"/>
            </w:tcBorders>
            <w:vAlign w:val="top"/>
          </w:tcPr>
          <w:p w14:paraId="4EE24036">
            <w:pPr>
              <w:pStyle w:val="6"/>
              <w:spacing w:before="88" w:line="237" w:lineRule="auto"/>
              <w:ind w:left="269" w:right="171" w:hanging="86"/>
              <w:rPr>
                <w:rFonts w:ascii="仿宋" w:hAnsi="仿宋" w:eastAsia="仿宋" w:cs="仿宋"/>
                <w:sz w:val="22"/>
                <w:szCs w:val="22"/>
              </w:rPr>
            </w:pPr>
            <w:r>
              <w:rPr>
                <w:spacing w:val="-3"/>
                <w:sz w:val="22"/>
                <w:szCs w:val="22"/>
              </w:rPr>
              <w:t>6.13</w:t>
            </w:r>
            <w:r>
              <w:rPr>
                <w:rFonts w:ascii="仿宋" w:hAnsi="仿宋" w:eastAsia="仿宋" w:cs="仿宋"/>
                <w:sz w:val="22"/>
                <w:szCs w:val="22"/>
              </w:rPr>
              <w:t>夜</w:t>
            </w:r>
          </w:p>
        </w:tc>
        <w:tc>
          <w:tcPr>
            <w:tcW w:w="1549" w:type="dxa"/>
            <w:tcBorders>
              <w:top w:val="single" w:color="000000" w:sz="10" w:space="0"/>
              <w:right w:val="nil"/>
            </w:tcBorders>
            <w:vAlign w:val="top"/>
          </w:tcPr>
          <w:p w14:paraId="6A9B4351">
            <w:pPr>
              <w:spacing w:before="49" w:line="223" w:lineRule="auto"/>
              <w:ind w:left="247"/>
              <w:rPr>
                <w:rFonts w:ascii="仿宋" w:hAnsi="仿宋" w:eastAsia="仿宋" w:cs="仿宋"/>
                <w:sz w:val="22"/>
                <w:szCs w:val="22"/>
              </w:rPr>
            </w:pPr>
            <w:r>
              <w:rPr>
                <w:rFonts w:ascii="仿宋" w:hAnsi="仿宋" w:eastAsia="仿宋" w:cs="仿宋"/>
                <w:spacing w:val="-18"/>
                <w:sz w:val="22"/>
                <w:szCs w:val="22"/>
              </w:rPr>
              <w:t>两</w:t>
            </w:r>
            <w:r>
              <w:rPr>
                <w:rFonts w:ascii="仿宋" w:hAnsi="仿宋" w:eastAsia="仿宋" w:cs="仿宋"/>
                <w:spacing w:val="-46"/>
                <w:sz w:val="22"/>
                <w:szCs w:val="22"/>
              </w:rPr>
              <w:t xml:space="preserve"> </w:t>
            </w:r>
            <w:r>
              <w:rPr>
                <w:rFonts w:ascii="仿宋" w:hAnsi="仿宋" w:eastAsia="仿宋" w:cs="仿宋"/>
                <w:spacing w:val="-18"/>
                <w:sz w:val="22"/>
                <w:szCs w:val="22"/>
              </w:rPr>
              <w:t>日夜均值</w:t>
            </w:r>
          </w:p>
          <w:p w14:paraId="214C85CB">
            <w:pPr>
              <w:pStyle w:val="6"/>
              <w:spacing w:before="80" w:line="193" w:lineRule="auto"/>
              <w:ind w:left="471"/>
              <w:rPr>
                <w:sz w:val="22"/>
                <w:szCs w:val="22"/>
              </w:rPr>
            </w:pPr>
            <w:r>
              <w:rPr>
                <w:spacing w:val="-3"/>
                <w:sz w:val="22"/>
                <w:szCs w:val="22"/>
              </w:rPr>
              <w:t>dB</w:t>
            </w:r>
            <w:r>
              <w:rPr>
                <w:spacing w:val="6"/>
                <w:sz w:val="22"/>
                <w:szCs w:val="22"/>
              </w:rPr>
              <w:t xml:space="preserve"> </w:t>
            </w:r>
            <w:r>
              <w:rPr>
                <w:spacing w:val="-3"/>
                <w:sz w:val="22"/>
                <w:szCs w:val="22"/>
              </w:rPr>
              <w:t>(A)</w:t>
            </w:r>
          </w:p>
        </w:tc>
      </w:tr>
      <w:tr w14:paraId="6AC81A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7" w:type="dxa"/>
            <w:tcBorders>
              <w:left w:val="nil"/>
            </w:tcBorders>
            <w:vAlign w:val="top"/>
          </w:tcPr>
          <w:p w14:paraId="58C2A44E">
            <w:pPr>
              <w:pStyle w:val="6"/>
              <w:spacing w:before="85" w:line="189" w:lineRule="auto"/>
              <w:ind w:left="239"/>
              <w:rPr>
                <w:sz w:val="22"/>
                <w:szCs w:val="22"/>
              </w:rPr>
            </w:pPr>
            <w:r>
              <w:rPr>
                <w:sz w:val="22"/>
                <w:szCs w:val="22"/>
              </w:rPr>
              <w:t>1</w:t>
            </w:r>
          </w:p>
        </w:tc>
        <w:tc>
          <w:tcPr>
            <w:tcW w:w="1940" w:type="dxa"/>
            <w:vAlign w:val="top"/>
          </w:tcPr>
          <w:p w14:paraId="48FD1445">
            <w:pPr>
              <w:pStyle w:val="6"/>
              <w:spacing w:before="47" w:line="217" w:lineRule="auto"/>
              <w:ind w:left="394"/>
              <w:rPr>
                <w:rFonts w:ascii="仿宋" w:hAnsi="仿宋" w:eastAsia="仿宋" w:cs="仿宋"/>
                <w:sz w:val="22"/>
                <w:szCs w:val="22"/>
              </w:rPr>
            </w:pPr>
            <w:r>
              <w:rPr>
                <w:rFonts w:ascii="仿宋" w:hAnsi="仿宋" w:eastAsia="仿宋" w:cs="仿宋"/>
                <w:spacing w:val="-2"/>
                <w:sz w:val="22"/>
                <w:szCs w:val="22"/>
              </w:rPr>
              <w:t>庙圪梁</w:t>
            </w:r>
            <w:r>
              <w:rPr>
                <w:spacing w:val="-2"/>
                <w:sz w:val="22"/>
                <w:szCs w:val="22"/>
              </w:rPr>
              <w:t>-</w:t>
            </w:r>
            <w:r>
              <w:rPr>
                <w:rFonts w:ascii="仿宋" w:hAnsi="仿宋" w:eastAsia="仿宋" w:cs="仿宋"/>
                <w:spacing w:val="-2"/>
                <w:sz w:val="22"/>
                <w:szCs w:val="22"/>
              </w:rPr>
              <w:t>散户</w:t>
            </w:r>
          </w:p>
        </w:tc>
        <w:tc>
          <w:tcPr>
            <w:tcW w:w="737" w:type="dxa"/>
            <w:vAlign w:val="top"/>
          </w:tcPr>
          <w:p w14:paraId="1D990794">
            <w:pPr>
              <w:pStyle w:val="6"/>
              <w:spacing w:before="85" w:line="189" w:lineRule="auto"/>
              <w:ind w:left="267"/>
              <w:rPr>
                <w:sz w:val="22"/>
                <w:szCs w:val="22"/>
              </w:rPr>
            </w:pPr>
            <w:r>
              <w:rPr>
                <w:spacing w:val="-5"/>
                <w:sz w:val="22"/>
                <w:szCs w:val="22"/>
              </w:rPr>
              <w:t>50</w:t>
            </w:r>
          </w:p>
        </w:tc>
        <w:tc>
          <w:tcPr>
            <w:tcW w:w="737" w:type="dxa"/>
            <w:vAlign w:val="top"/>
          </w:tcPr>
          <w:p w14:paraId="5D72EA85">
            <w:pPr>
              <w:pStyle w:val="6"/>
              <w:spacing w:before="85" w:line="189" w:lineRule="auto"/>
              <w:ind w:left="266"/>
              <w:rPr>
                <w:sz w:val="22"/>
                <w:szCs w:val="22"/>
              </w:rPr>
            </w:pPr>
            <w:r>
              <w:rPr>
                <w:spacing w:val="-5"/>
                <w:sz w:val="22"/>
                <w:szCs w:val="22"/>
              </w:rPr>
              <w:t>51</w:t>
            </w:r>
          </w:p>
        </w:tc>
        <w:tc>
          <w:tcPr>
            <w:tcW w:w="1548" w:type="dxa"/>
            <w:vAlign w:val="top"/>
          </w:tcPr>
          <w:p w14:paraId="30664997">
            <w:pPr>
              <w:pStyle w:val="6"/>
              <w:spacing w:before="85" w:line="189" w:lineRule="auto"/>
              <w:ind w:left="588"/>
              <w:rPr>
                <w:sz w:val="22"/>
                <w:szCs w:val="22"/>
              </w:rPr>
            </w:pPr>
            <w:r>
              <w:rPr>
                <w:spacing w:val="-3"/>
                <w:sz w:val="22"/>
                <w:szCs w:val="22"/>
              </w:rPr>
              <w:t>50.5</w:t>
            </w:r>
          </w:p>
        </w:tc>
        <w:tc>
          <w:tcPr>
            <w:tcW w:w="737" w:type="dxa"/>
            <w:vAlign w:val="top"/>
          </w:tcPr>
          <w:p w14:paraId="7781CF00">
            <w:pPr>
              <w:pStyle w:val="6"/>
              <w:spacing w:before="85" w:line="189" w:lineRule="auto"/>
              <w:ind w:left="259"/>
              <w:rPr>
                <w:sz w:val="22"/>
                <w:szCs w:val="22"/>
              </w:rPr>
            </w:pPr>
            <w:r>
              <w:rPr>
                <w:spacing w:val="-2"/>
                <w:sz w:val="22"/>
                <w:szCs w:val="22"/>
              </w:rPr>
              <w:t>40</w:t>
            </w:r>
          </w:p>
        </w:tc>
        <w:tc>
          <w:tcPr>
            <w:tcW w:w="737" w:type="dxa"/>
            <w:vAlign w:val="top"/>
          </w:tcPr>
          <w:p w14:paraId="2B0023B1">
            <w:pPr>
              <w:pStyle w:val="6"/>
              <w:spacing w:before="85" w:line="189" w:lineRule="auto"/>
              <w:ind w:left="259"/>
              <w:rPr>
                <w:sz w:val="22"/>
                <w:szCs w:val="22"/>
              </w:rPr>
            </w:pPr>
            <w:r>
              <w:rPr>
                <w:spacing w:val="-2"/>
                <w:sz w:val="22"/>
                <w:szCs w:val="22"/>
              </w:rPr>
              <w:t>41</w:t>
            </w:r>
          </w:p>
        </w:tc>
        <w:tc>
          <w:tcPr>
            <w:tcW w:w="1549" w:type="dxa"/>
            <w:tcBorders>
              <w:right w:val="nil"/>
            </w:tcBorders>
            <w:vAlign w:val="top"/>
          </w:tcPr>
          <w:p w14:paraId="422C73DA">
            <w:pPr>
              <w:pStyle w:val="6"/>
              <w:spacing w:before="85" w:line="189" w:lineRule="auto"/>
              <w:ind w:left="583"/>
              <w:rPr>
                <w:sz w:val="22"/>
                <w:szCs w:val="22"/>
              </w:rPr>
            </w:pPr>
            <w:r>
              <w:rPr>
                <w:spacing w:val="-1"/>
                <w:sz w:val="22"/>
                <w:szCs w:val="22"/>
              </w:rPr>
              <w:t>40.5</w:t>
            </w:r>
          </w:p>
        </w:tc>
      </w:tr>
      <w:tr w14:paraId="28A090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7" w:type="dxa"/>
            <w:tcBorders>
              <w:left w:val="nil"/>
            </w:tcBorders>
            <w:vAlign w:val="top"/>
          </w:tcPr>
          <w:p w14:paraId="08EEAADA">
            <w:pPr>
              <w:pStyle w:val="6"/>
              <w:spacing w:before="86" w:line="189" w:lineRule="auto"/>
              <w:ind w:left="218"/>
              <w:rPr>
                <w:sz w:val="22"/>
                <w:szCs w:val="22"/>
              </w:rPr>
            </w:pPr>
            <w:r>
              <w:rPr>
                <w:sz w:val="22"/>
                <w:szCs w:val="22"/>
              </w:rPr>
              <w:t>2</w:t>
            </w:r>
          </w:p>
        </w:tc>
        <w:tc>
          <w:tcPr>
            <w:tcW w:w="1940" w:type="dxa"/>
            <w:vAlign w:val="top"/>
          </w:tcPr>
          <w:p w14:paraId="3A6A9B64">
            <w:pPr>
              <w:pStyle w:val="6"/>
              <w:spacing w:before="47" w:line="217" w:lineRule="auto"/>
              <w:ind w:left="396"/>
              <w:rPr>
                <w:rFonts w:ascii="仿宋" w:hAnsi="仿宋" w:eastAsia="仿宋" w:cs="仿宋"/>
                <w:sz w:val="22"/>
                <w:szCs w:val="22"/>
              </w:rPr>
            </w:pPr>
            <w:r>
              <w:rPr>
                <w:rFonts w:ascii="仿宋" w:hAnsi="仿宋" w:eastAsia="仿宋" w:cs="仿宋"/>
                <w:spacing w:val="-3"/>
                <w:sz w:val="22"/>
                <w:szCs w:val="22"/>
              </w:rPr>
              <w:t>崔家峁</w:t>
            </w:r>
            <w:r>
              <w:rPr>
                <w:spacing w:val="-3"/>
                <w:sz w:val="22"/>
                <w:szCs w:val="22"/>
              </w:rPr>
              <w:t>-</w:t>
            </w:r>
            <w:r>
              <w:rPr>
                <w:rFonts w:ascii="仿宋" w:hAnsi="仿宋" w:eastAsia="仿宋" w:cs="仿宋"/>
                <w:spacing w:val="-3"/>
                <w:sz w:val="22"/>
                <w:szCs w:val="22"/>
              </w:rPr>
              <w:t>散户</w:t>
            </w:r>
          </w:p>
        </w:tc>
        <w:tc>
          <w:tcPr>
            <w:tcW w:w="737" w:type="dxa"/>
            <w:vAlign w:val="top"/>
          </w:tcPr>
          <w:p w14:paraId="3093BCF5">
            <w:pPr>
              <w:pStyle w:val="6"/>
              <w:spacing w:before="86" w:line="189" w:lineRule="auto"/>
              <w:ind w:left="267"/>
              <w:rPr>
                <w:sz w:val="22"/>
                <w:szCs w:val="22"/>
              </w:rPr>
            </w:pPr>
            <w:r>
              <w:rPr>
                <w:spacing w:val="-5"/>
                <w:sz w:val="22"/>
                <w:szCs w:val="22"/>
              </w:rPr>
              <w:t>53</w:t>
            </w:r>
          </w:p>
        </w:tc>
        <w:tc>
          <w:tcPr>
            <w:tcW w:w="737" w:type="dxa"/>
            <w:vAlign w:val="top"/>
          </w:tcPr>
          <w:p w14:paraId="72A1E556">
            <w:pPr>
              <w:pStyle w:val="6"/>
              <w:spacing w:before="86" w:line="189" w:lineRule="auto"/>
              <w:ind w:left="266"/>
              <w:rPr>
                <w:sz w:val="22"/>
                <w:szCs w:val="22"/>
              </w:rPr>
            </w:pPr>
            <w:r>
              <w:rPr>
                <w:spacing w:val="-5"/>
                <w:sz w:val="22"/>
                <w:szCs w:val="22"/>
              </w:rPr>
              <w:t>53</w:t>
            </w:r>
          </w:p>
        </w:tc>
        <w:tc>
          <w:tcPr>
            <w:tcW w:w="1548" w:type="dxa"/>
            <w:vAlign w:val="top"/>
          </w:tcPr>
          <w:p w14:paraId="6D9EC782">
            <w:pPr>
              <w:pStyle w:val="6"/>
              <w:spacing w:before="86" w:line="189" w:lineRule="auto"/>
              <w:ind w:left="672"/>
              <w:rPr>
                <w:sz w:val="22"/>
                <w:szCs w:val="22"/>
              </w:rPr>
            </w:pPr>
            <w:r>
              <w:rPr>
                <w:spacing w:val="-5"/>
                <w:sz w:val="22"/>
                <w:szCs w:val="22"/>
              </w:rPr>
              <w:t>53</w:t>
            </w:r>
          </w:p>
        </w:tc>
        <w:tc>
          <w:tcPr>
            <w:tcW w:w="737" w:type="dxa"/>
            <w:vAlign w:val="top"/>
          </w:tcPr>
          <w:p w14:paraId="388962F7">
            <w:pPr>
              <w:pStyle w:val="6"/>
              <w:spacing w:before="86" w:line="189" w:lineRule="auto"/>
              <w:ind w:left="259"/>
              <w:rPr>
                <w:sz w:val="22"/>
                <w:szCs w:val="22"/>
              </w:rPr>
            </w:pPr>
            <w:r>
              <w:rPr>
                <w:spacing w:val="-2"/>
                <w:sz w:val="22"/>
                <w:szCs w:val="22"/>
              </w:rPr>
              <w:t>43</w:t>
            </w:r>
          </w:p>
        </w:tc>
        <w:tc>
          <w:tcPr>
            <w:tcW w:w="737" w:type="dxa"/>
            <w:vAlign w:val="top"/>
          </w:tcPr>
          <w:p w14:paraId="645D5EA5">
            <w:pPr>
              <w:pStyle w:val="6"/>
              <w:spacing w:before="86" w:line="189" w:lineRule="auto"/>
              <w:ind w:left="259"/>
              <w:rPr>
                <w:sz w:val="22"/>
                <w:szCs w:val="22"/>
              </w:rPr>
            </w:pPr>
            <w:r>
              <w:rPr>
                <w:spacing w:val="-2"/>
                <w:sz w:val="22"/>
                <w:szCs w:val="22"/>
              </w:rPr>
              <w:t>42</w:t>
            </w:r>
          </w:p>
        </w:tc>
        <w:tc>
          <w:tcPr>
            <w:tcW w:w="1549" w:type="dxa"/>
            <w:tcBorders>
              <w:right w:val="nil"/>
            </w:tcBorders>
            <w:vAlign w:val="top"/>
          </w:tcPr>
          <w:p w14:paraId="10177D3A">
            <w:pPr>
              <w:pStyle w:val="6"/>
              <w:spacing w:before="86" w:line="189" w:lineRule="auto"/>
              <w:ind w:left="583"/>
              <w:rPr>
                <w:sz w:val="22"/>
                <w:szCs w:val="22"/>
              </w:rPr>
            </w:pPr>
            <w:r>
              <w:rPr>
                <w:spacing w:val="-1"/>
                <w:sz w:val="22"/>
                <w:szCs w:val="22"/>
              </w:rPr>
              <w:t>42.5</w:t>
            </w:r>
          </w:p>
        </w:tc>
      </w:tr>
      <w:tr w14:paraId="377476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7" w:type="dxa"/>
            <w:tcBorders>
              <w:left w:val="nil"/>
            </w:tcBorders>
            <w:vAlign w:val="top"/>
          </w:tcPr>
          <w:p w14:paraId="0CB19FCD">
            <w:pPr>
              <w:pStyle w:val="6"/>
              <w:spacing w:before="86" w:line="189" w:lineRule="auto"/>
              <w:ind w:left="222"/>
              <w:rPr>
                <w:sz w:val="22"/>
                <w:szCs w:val="22"/>
              </w:rPr>
            </w:pPr>
            <w:r>
              <w:rPr>
                <w:sz w:val="22"/>
                <w:szCs w:val="22"/>
              </w:rPr>
              <w:t>3</w:t>
            </w:r>
          </w:p>
        </w:tc>
        <w:tc>
          <w:tcPr>
            <w:tcW w:w="1940" w:type="dxa"/>
            <w:vAlign w:val="top"/>
          </w:tcPr>
          <w:p w14:paraId="43B08605">
            <w:pPr>
              <w:pStyle w:val="6"/>
              <w:spacing w:before="50" w:line="214" w:lineRule="auto"/>
              <w:ind w:left="402"/>
              <w:rPr>
                <w:rFonts w:ascii="仿宋" w:hAnsi="仿宋" w:eastAsia="仿宋" w:cs="仿宋"/>
                <w:sz w:val="22"/>
                <w:szCs w:val="22"/>
              </w:rPr>
            </w:pPr>
            <w:r>
              <w:rPr>
                <w:rFonts w:ascii="仿宋" w:hAnsi="仿宋" w:eastAsia="仿宋" w:cs="仿宋"/>
                <w:spacing w:val="-4"/>
                <w:sz w:val="22"/>
                <w:szCs w:val="22"/>
              </w:rPr>
              <w:t>瓦窑平</w:t>
            </w:r>
            <w:r>
              <w:rPr>
                <w:spacing w:val="-4"/>
                <w:sz w:val="22"/>
                <w:szCs w:val="22"/>
              </w:rPr>
              <w:t>-</w:t>
            </w:r>
            <w:r>
              <w:rPr>
                <w:rFonts w:ascii="仿宋" w:hAnsi="仿宋" w:eastAsia="仿宋" w:cs="仿宋"/>
                <w:spacing w:val="-4"/>
                <w:sz w:val="22"/>
                <w:szCs w:val="22"/>
              </w:rPr>
              <w:t>散户</w:t>
            </w:r>
          </w:p>
        </w:tc>
        <w:tc>
          <w:tcPr>
            <w:tcW w:w="737" w:type="dxa"/>
            <w:vAlign w:val="top"/>
          </w:tcPr>
          <w:p w14:paraId="61FA8128">
            <w:pPr>
              <w:pStyle w:val="6"/>
              <w:spacing w:before="86" w:line="189" w:lineRule="auto"/>
              <w:ind w:left="267"/>
              <w:rPr>
                <w:sz w:val="22"/>
                <w:szCs w:val="22"/>
              </w:rPr>
            </w:pPr>
            <w:r>
              <w:rPr>
                <w:spacing w:val="-5"/>
                <w:sz w:val="22"/>
                <w:szCs w:val="22"/>
              </w:rPr>
              <w:t>52</w:t>
            </w:r>
          </w:p>
        </w:tc>
        <w:tc>
          <w:tcPr>
            <w:tcW w:w="737" w:type="dxa"/>
            <w:vAlign w:val="top"/>
          </w:tcPr>
          <w:p w14:paraId="1928D4E8">
            <w:pPr>
              <w:pStyle w:val="6"/>
              <w:spacing w:before="86" w:line="189" w:lineRule="auto"/>
              <w:ind w:left="266"/>
              <w:rPr>
                <w:sz w:val="22"/>
                <w:szCs w:val="22"/>
              </w:rPr>
            </w:pPr>
            <w:r>
              <w:rPr>
                <w:spacing w:val="-5"/>
                <w:sz w:val="22"/>
                <w:szCs w:val="22"/>
              </w:rPr>
              <w:t>52</w:t>
            </w:r>
          </w:p>
        </w:tc>
        <w:tc>
          <w:tcPr>
            <w:tcW w:w="1548" w:type="dxa"/>
            <w:vAlign w:val="top"/>
          </w:tcPr>
          <w:p w14:paraId="4A35C641">
            <w:pPr>
              <w:pStyle w:val="6"/>
              <w:spacing w:before="86" w:line="189" w:lineRule="auto"/>
              <w:ind w:left="672"/>
              <w:rPr>
                <w:sz w:val="22"/>
                <w:szCs w:val="22"/>
              </w:rPr>
            </w:pPr>
            <w:r>
              <w:rPr>
                <w:spacing w:val="-5"/>
                <w:sz w:val="22"/>
                <w:szCs w:val="22"/>
              </w:rPr>
              <w:t>52</w:t>
            </w:r>
          </w:p>
        </w:tc>
        <w:tc>
          <w:tcPr>
            <w:tcW w:w="737" w:type="dxa"/>
            <w:vAlign w:val="top"/>
          </w:tcPr>
          <w:p w14:paraId="74656984">
            <w:pPr>
              <w:pStyle w:val="6"/>
              <w:spacing w:before="86" w:line="189" w:lineRule="auto"/>
              <w:ind w:left="259"/>
              <w:rPr>
                <w:sz w:val="22"/>
                <w:szCs w:val="22"/>
              </w:rPr>
            </w:pPr>
            <w:r>
              <w:rPr>
                <w:spacing w:val="-2"/>
                <w:sz w:val="22"/>
                <w:szCs w:val="22"/>
              </w:rPr>
              <w:t>44</w:t>
            </w:r>
          </w:p>
        </w:tc>
        <w:tc>
          <w:tcPr>
            <w:tcW w:w="737" w:type="dxa"/>
            <w:vAlign w:val="top"/>
          </w:tcPr>
          <w:p w14:paraId="5795D30E">
            <w:pPr>
              <w:pStyle w:val="6"/>
              <w:spacing w:before="86" w:line="189" w:lineRule="auto"/>
              <w:ind w:left="259"/>
              <w:rPr>
                <w:sz w:val="22"/>
                <w:szCs w:val="22"/>
              </w:rPr>
            </w:pPr>
            <w:r>
              <w:rPr>
                <w:spacing w:val="-2"/>
                <w:sz w:val="22"/>
                <w:szCs w:val="22"/>
              </w:rPr>
              <w:t>40</w:t>
            </w:r>
          </w:p>
        </w:tc>
        <w:tc>
          <w:tcPr>
            <w:tcW w:w="1549" w:type="dxa"/>
            <w:tcBorders>
              <w:right w:val="nil"/>
            </w:tcBorders>
            <w:vAlign w:val="top"/>
          </w:tcPr>
          <w:p w14:paraId="14C68E84">
            <w:pPr>
              <w:pStyle w:val="6"/>
              <w:spacing w:before="86" w:line="189" w:lineRule="auto"/>
              <w:ind w:left="664"/>
              <w:rPr>
                <w:sz w:val="22"/>
                <w:szCs w:val="22"/>
              </w:rPr>
            </w:pPr>
            <w:r>
              <w:rPr>
                <w:spacing w:val="-2"/>
                <w:sz w:val="22"/>
                <w:szCs w:val="22"/>
              </w:rPr>
              <w:t>42</w:t>
            </w:r>
          </w:p>
        </w:tc>
      </w:tr>
      <w:tr w14:paraId="617C74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7" w:type="dxa"/>
            <w:tcBorders>
              <w:left w:val="nil"/>
            </w:tcBorders>
            <w:vAlign w:val="top"/>
          </w:tcPr>
          <w:p w14:paraId="302A687B">
            <w:pPr>
              <w:pStyle w:val="6"/>
              <w:spacing w:before="87" w:line="189" w:lineRule="auto"/>
              <w:ind w:left="217"/>
              <w:rPr>
                <w:sz w:val="22"/>
                <w:szCs w:val="22"/>
              </w:rPr>
            </w:pPr>
            <w:r>
              <w:rPr>
                <w:sz w:val="22"/>
                <w:szCs w:val="22"/>
              </w:rPr>
              <w:t>4</w:t>
            </w:r>
          </w:p>
        </w:tc>
        <w:tc>
          <w:tcPr>
            <w:tcW w:w="1940" w:type="dxa"/>
            <w:vAlign w:val="top"/>
          </w:tcPr>
          <w:p w14:paraId="19D0F79B">
            <w:pPr>
              <w:pStyle w:val="6"/>
              <w:spacing w:before="50" w:line="214" w:lineRule="auto"/>
              <w:ind w:left="349"/>
              <w:rPr>
                <w:sz w:val="22"/>
                <w:szCs w:val="22"/>
              </w:rPr>
            </w:pPr>
            <w:r>
              <w:rPr>
                <w:rFonts w:ascii="仿宋" w:hAnsi="仿宋" w:eastAsia="仿宋" w:cs="仿宋"/>
                <w:spacing w:val="-3"/>
                <w:sz w:val="22"/>
                <w:szCs w:val="22"/>
              </w:rPr>
              <w:t>刘家塔散户</w:t>
            </w:r>
            <w:r>
              <w:rPr>
                <w:rFonts w:ascii="仿宋" w:hAnsi="仿宋" w:eastAsia="仿宋" w:cs="仿宋"/>
                <w:spacing w:val="-29"/>
                <w:sz w:val="22"/>
                <w:szCs w:val="22"/>
              </w:rPr>
              <w:t xml:space="preserve"> </w:t>
            </w:r>
            <w:r>
              <w:rPr>
                <w:spacing w:val="-3"/>
                <w:sz w:val="22"/>
                <w:szCs w:val="22"/>
              </w:rPr>
              <w:t>1</w:t>
            </w:r>
          </w:p>
        </w:tc>
        <w:tc>
          <w:tcPr>
            <w:tcW w:w="737" w:type="dxa"/>
            <w:vAlign w:val="top"/>
          </w:tcPr>
          <w:p w14:paraId="6ECD4AAC">
            <w:pPr>
              <w:pStyle w:val="6"/>
              <w:spacing w:before="87" w:line="189" w:lineRule="auto"/>
              <w:ind w:left="267"/>
              <w:rPr>
                <w:sz w:val="22"/>
                <w:szCs w:val="22"/>
              </w:rPr>
            </w:pPr>
            <w:r>
              <w:rPr>
                <w:spacing w:val="-5"/>
                <w:sz w:val="22"/>
                <w:szCs w:val="22"/>
              </w:rPr>
              <w:t>51</w:t>
            </w:r>
          </w:p>
        </w:tc>
        <w:tc>
          <w:tcPr>
            <w:tcW w:w="737" w:type="dxa"/>
            <w:vAlign w:val="top"/>
          </w:tcPr>
          <w:p w14:paraId="3A9CF172">
            <w:pPr>
              <w:pStyle w:val="6"/>
              <w:spacing w:before="87" w:line="189" w:lineRule="auto"/>
              <w:ind w:left="266"/>
              <w:rPr>
                <w:sz w:val="22"/>
                <w:szCs w:val="22"/>
              </w:rPr>
            </w:pPr>
            <w:r>
              <w:rPr>
                <w:spacing w:val="-5"/>
                <w:sz w:val="22"/>
                <w:szCs w:val="22"/>
              </w:rPr>
              <w:t>50</w:t>
            </w:r>
          </w:p>
        </w:tc>
        <w:tc>
          <w:tcPr>
            <w:tcW w:w="1548" w:type="dxa"/>
            <w:vAlign w:val="top"/>
          </w:tcPr>
          <w:p w14:paraId="6A90E880">
            <w:pPr>
              <w:pStyle w:val="6"/>
              <w:spacing w:before="87" w:line="189" w:lineRule="auto"/>
              <w:ind w:left="588"/>
              <w:rPr>
                <w:sz w:val="22"/>
                <w:szCs w:val="22"/>
              </w:rPr>
            </w:pPr>
            <w:r>
              <w:rPr>
                <w:spacing w:val="-3"/>
                <w:sz w:val="22"/>
                <w:szCs w:val="22"/>
              </w:rPr>
              <w:t>50.5</w:t>
            </w:r>
          </w:p>
        </w:tc>
        <w:tc>
          <w:tcPr>
            <w:tcW w:w="737" w:type="dxa"/>
            <w:vAlign w:val="top"/>
          </w:tcPr>
          <w:p w14:paraId="54AB51B4">
            <w:pPr>
              <w:pStyle w:val="6"/>
              <w:spacing w:before="87" w:line="189" w:lineRule="auto"/>
              <w:ind w:left="259"/>
              <w:rPr>
                <w:sz w:val="22"/>
                <w:szCs w:val="22"/>
              </w:rPr>
            </w:pPr>
            <w:r>
              <w:rPr>
                <w:spacing w:val="-2"/>
                <w:sz w:val="22"/>
                <w:szCs w:val="22"/>
              </w:rPr>
              <w:t>42</w:t>
            </w:r>
          </w:p>
        </w:tc>
        <w:tc>
          <w:tcPr>
            <w:tcW w:w="737" w:type="dxa"/>
            <w:vAlign w:val="top"/>
          </w:tcPr>
          <w:p w14:paraId="6ED3CE68">
            <w:pPr>
              <w:pStyle w:val="6"/>
              <w:spacing w:before="87" w:line="189" w:lineRule="auto"/>
              <w:ind w:left="259"/>
              <w:rPr>
                <w:sz w:val="22"/>
                <w:szCs w:val="22"/>
              </w:rPr>
            </w:pPr>
            <w:r>
              <w:rPr>
                <w:spacing w:val="-2"/>
                <w:sz w:val="22"/>
                <w:szCs w:val="22"/>
              </w:rPr>
              <w:t>43</w:t>
            </w:r>
          </w:p>
        </w:tc>
        <w:tc>
          <w:tcPr>
            <w:tcW w:w="1549" w:type="dxa"/>
            <w:tcBorders>
              <w:right w:val="nil"/>
            </w:tcBorders>
            <w:vAlign w:val="top"/>
          </w:tcPr>
          <w:p w14:paraId="51CFC150">
            <w:pPr>
              <w:pStyle w:val="6"/>
              <w:spacing w:before="87" w:line="189" w:lineRule="auto"/>
              <w:ind w:left="583"/>
              <w:rPr>
                <w:sz w:val="22"/>
                <w:szCs w:val="22"/>
              </w:rPr>
            </w:pPr>
            <w:r>
              <w:rPr>
                <w:spacing w:val="-1"/>
                <w:sz w:val="22"/>
                <w:szCs w:val="22"/>
              </w:rPr>
              <w:t>42.5</w:t>
            </w:r>
          </w:p>
        </w:tc>
      </w:tr>
      <w:tr w14:paraId="2E914D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7" w:type="dxa"/>
            <w:tcBorders>
              <w:left w:val="nil"/>
            </w:tcBorders>
            <w:vAlign w:val="top"/>
          </w:tcPr>
          <w:p w14:paraId="618F7F58">
            <w:pPr>
              <w:pStyle w:val="6"/>
              <w:spacing w:before="93" w:line="186" w:lineRule="auto"/>
              <w:ind w:left="224"/>
              <w:rPr>
                <w:sz w:val="22"/>
                <w:szCs w:val="22"/>
              </w:rPr>
            </w:pPr>
            <w:r>
              <w:rPr>
                <w:sz w:val="22"/>
                <w:szCs w:val="22"/>
              </w:rPr>
              <w:t>5</w:t>
            </w:r>
          </w:p>
        </w:tc>
        <w:tc>
          <w:tcPr>
            <w:tcW w:w="1940" w:type="dxa"/>
            <w:vAlign w:val="top"/>
          </w:tcPr>
          <w:p w14:paraId="70A5A4B2">
            <w:pPr>
              <w:pStyle w:val="6"/>
              <w:spacing w:before="52" w:line="213" w:lineRule="auto"/>
              <w:ind w:left="349"/>
              <w:rPr>
                <w:sz w:val="22"/>
                <w:szCs w:val="22"/>
              </w:rPr>
            </w:pPr>
            <w:r>
              <w:rPr>
                <w:rFonts w:ascii="仿宋" w:hAnsi="仿宋" w:eastAsia="仿宋" w:cs="仿宋"/>
                <w:spacing w:val="-3"/>
                <w:sz w:val="22"/>
                <w:szCs w:val="22"/>
              </w:rPr>
              <w:t>刘家塔散户</w:t>
            </w:r>
            <w:r>
              <w:rPr>
                <w:rFonts w:ascii="仿宋" w:hAnsi="仿宋" w:eastAsia="仿宋" w:cs="仿宋"/>
                <w:spacing w:val="-50"/>
                <w:sz w:val="22"/>
                <w:szCs w:val="22"/>
              </w:rPr>
              <w:t xml:space="preserve"> </w:t>
            </w:r>
            <w:r>
              <w:rPr>
                <w:spacing w:val="-3"/>
                <w:sz w:val="22"/>
                <w:szCs w:val="22"/>
              </w:rPr>
              <w:t>2</w:t>
            </w:r>
          </w:p>
        </w:tc>
        <w:tc>
          <w:tcPr>
            <w:tcW w:w="737" w:type="dxa"/>
            <w:vAlign w:val="top"/>
          </w:tcPr>
          <w:p w14:paraId="75446E2A">
            <w:pPr>
              <w:pStyle w:val="6"/>
              <w:spacing w:before="90" w:line="189" w:lineRule="auto"/>
              <w:ind w:left="267"/>
              <w:rPr>
                <w:sz w:val="22"/>
                <w:szCs w:val="22"/>
              </w:rPr>
            </w:pPr>
            <w:r>
              <w:rPr>
                <w:spacing w:val="-5"/>
                <w:sz w:val="22"/>
                <w:szCs w:val="22"/>
              </w:rPr>
              <w:t>51</w:t>
            </w:r>
          </w:p>
        </w:tc>
        <w:tc>
          <w:tcPr>
            <w:tcW w:w="737" w:type="dxa"/>
            <w:vAlign w:val="top"/>
          </w:tcPr>
          <w:p w14:paraId="698C8EA4">
            <w:pPr>
              <w:pStyle w:val="6"/>
              <w:spacing w:before="90" w:line="189" w:lineRule="auto"/>
              <w:ind w:left="259"/>
              <w:rPr>
                <w:sz w:val="22"/>
                <w:szCs w:val="22"/>
              </w:rPr>
            </w:pPr>
            <w:r>
              <w:rPr>
                <w:spacing w:val="-2"/>
                <w:sz w:val="22"/>
                <w:szCs w:val="22"/>
              </w:rPr>
              <w:t>49</w:t>
            </w:r>
          </w:p>
        </w:tc>
        <w:tc>
          <w:tcPr>
            <w:tcW w:w="1548" w:type="dxa"/>
            <w:vAlign w:val="top"/>
          </w:tcPr>
          <w:p w14:paraId="5E7F2172">
            <w:pPr>
              <w:pStyle w:val="6"/>
              <w:spacing w:before="90" w:line="189" w:lineRule="auto"/>
              <w:ind w:left="672"/>
              <w:rPr>
                <w:sz w:val="22"/>
                <w:szCs w:val="22"/>
              </w:rPr>
            </w:pPr>
            <w:r>
              <w:rPr>
                <w:spacing w:val="-5"/>
                <w:sz w:val="22"/>
                <w:szCs w:val="22"/>
              </w:rPr>
              <w:t>50</w:t>
            </w:r>
          </w:p>
        </w:tc>
        <w:tc>
          <w:tcPr>
            <w:tcW w:w="737" w:type="dxa"/>
            <w:vAlign w:val="top"/>
          </w:tcPr>
          <w:p w14:paraId="396F6C06">
            <w:pPr>
              <w:pStyle w:val="6"/>
              <w:spacing w:before="90" w:line="189" w:lineRule="auto"/>
              <w:ind w:left="259"/>
              <w:rPr>
                <w:sz w:val="22"/>
                <w:szCs w:val="22"/>
              </w:rPr>
            </w:pPr>
            <w:r>
              <w:rPr>
                <w:spacing w:val="-2"/>
                <w:sz w:val="22"/>
                <w:szCs w:val="22"/>
              </w:rPr>
              <w:t>41</w:t>
            </w:r>
          </w:p>
        </w:tc>
        <w:tc>
          <w:tcPr>
            <w:tcW w:w="737" w:type="dxa"/>
            <w:vAlign w:val="top"/>
          </w:tcPr>
          <w:p w14:paraId="3D80C480">
            <w:pPr>
              <w:pStyle w:val="6"/>
              <w:spacing w:before="90" w:line="189" w:lineRule="auto"/>
              <w:ind w:left="264"/>
              <w:rPr>
                <w:sz w:val="22"/>
                <w:szCs w:val="22"/>
              </w:rPr>
            </w:pPr>
            <w:r>
              <w:rPr>
                <w:spacing w:val="-5"/>
                <w:sz w:val="22"/>
                <w:szCs w:val="22"/>
              </w:rPr>
              <w:t>38</w:t>
            </w:r>
          </w:p>
        </w:tc>
        <w:tc>
          <w:tcPr>
            <w:tcW w:w="1549" w:type="dxa"/>
            <w:tcBorders>
              <w:right w:val="nil"/>
            </w:tcBorders>
            <w:vAlign w:val="top"/>
          </w:tcPr>
          <w:p w14:paraId="644D7F45">
            <w:pPr>
              <w:pStyle w:val="6"/>
              <w:spacing w:before="90" w:line="189" w:lineRule="auto"/>
              <w:ind w:left="588"/>
              <w:rPr>
                <w:sz w:val="22"/>
                <w:szCs w:val="22"/>
              </w:rPr>
            </w:pPr>
            <w:r>
              <w:rPr>
                <w:spacing w:val="-2"/>
                <w:sz w:val="22"/>
                <w:szCs w:val="22"/>
              </w:rPr>
              <w:t>39.5</w:t>
            </w:r>
          </w:p>
        </w:tc>
      </w:tr>
      <w:tr w14:paraId="39411E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7" w:type="dxa"/>
            <w:tcBorders>
              <w:left w:val="nil"/>
            </w:tcBorders>
            <w:vAlign w:val="top"/>
          </w:tcPr>
          <w:p w14:paraId="38F4315C">
            <w:pPr>
              <w:pStyle w:val="6"/>
              <w:spacing w:before="90" w:line="189" w:lineRule="auto"/>
              <w:ind w:left="223"/>
              <w:rPr>
                <w:sz w:val="22"/>
                <w:szCs w:val="22"/>
              </w:rPr>
            </w:pPr>
            <w:r>
              <w:rPr>
                <w:sz w:val="22"/>
                <w:szCs w:val="22"/>
              </w:rPr>
              <w:t>6</w:t>
            </w:r>
          </w:p>
        </w:tc>
        <w:tc>
          <w:tcPr>
            <w:tcW w:w="1940" w:type="dxa"/>
            <w:vAlign w:val="top"/>
          </w:tcPr>
          <w:p w14:paraId="488CE87F">
            <w:pPr>
              <w:spacing w:before="52" w:line="213" w:lineRule="auto"/>
              <w:ind w:left="663"/>
              <w:rPr>
                <w:rFonts w:ascii="仿宋" w:hAnsi="仿宋" w:eastAsia="仿宋" w:cs="仿宋"/>
                <w:sz w:val="22"/>
                <w:szCs w:val="22"/>
              </w:rPr>
            </w:pPr>
            <w:r>
              <w:rPr>
                <w:rFonts w:ascii="仿宋" w:hAnsi="仿宋" w:eastAsia="仿宋" w:cs="仿宋"/>
                <w:spacing w:val="-9"/>
                <w:sz w:val="22"/>
                <w:szCs w:val="22"/>
              </w:rPr>
              <w:t>陈家梁</w:t>
            </w:r>
          </w:p>
        </w:tc>
        <w:tc>
          <w:tcPr>
            <w:tcW w:w="737" w:type="dxa"/>
            <w:vAlign w:val="top"/>
          </w:tcPr>
          <w:p w14:paraId="1B1457F9">
            <w:pPr>
              <w:pStyle w:val="6"/>
              <w:spacing w:before="90" w:line="189" w:lineRule="auto"/>
              <w:ind w:left="267"/>
              <w:rPr>
                <w:sz w:val="22"/>
                <w:szCs w:val="22"/>
              </w:rPr>
            </w:pPr>
            <w:r>
              <w:rPr>
                <w:spacing w:val="-5"/>
                <w:sz w:val="22"/>
                <w:szCs w:val="22"/>
              </w:rPr>
              <w:t>52</w:t>
            </w:r>
          </w:p>
        </w:tc>
        <w:tc>
          <w:tcPr>
            <w:tcW w:w="737" w:type="dxa"/>
            <w:vAlign w:val="top"/>
          </w:tcPr>
          <w:p w14:paraId="62533D02">
            <w:pPr>
              <w:pStyle w:val="6"/>
              <w:spacing w:before="90" w:line="189" w:lineRule="auto"/>
              <w:ind w:left="266"/>
              <w:rPr>
                <w:sz w:val="22"/>
                <w:szCs w:val="22"/>
              </w:rPr>
            </w:pPr>
            <w:r>
              <w:rPr>
                <w:spacing w:val="-5"/>
                <w:sz w:val="22"/>
                <w:szCs w:val="22"/>
              </w:rPr>
              <w:t>51</w:t>
            </w:r>
          </w:p>
        </w:tc>
        <w:tc>
          <w:tcPr>
            <w:tcW w:w="1548" w:type="dxa"/>
            <w:vAlign w:val="top"/>
          </w:tcPr>
          <w:p w14:paraId="1470B2AE">
            <w:pPr>
              <w:pStyle w:val="6"/>
              <w:spacing w:before="90" w:line="189" w:lineRule="auto"/>
              <w:ind w:left="588"/>
              <w:rPr>
                <w:sz w:val="22"/>
                <w:szCs w:val="22"/>
              </w:rPr>
            </w:pPr>
            <w:r>
              <w:rPr>
                <w:spacing w:val="-3"/>
                <w:sz w:val="22"/>
                <w:szCs w:val="22"/>
              </w:rPr>
              <w:t>51.5</w:t>
            </w:r>
          </w:p>
        </w:tc>
        <w:tc>
          <w:tcPr>
            <w:tcW w:w="737" w:type="dxa"/>
            <w:vAlign w:val="top"/>
          </w:tcPr>
          <w:p w14:paraId="6322F140">
            <w:pPr>
              <w:pStyle w:val="6"/>
              <w:spacing w:before="90" w:line="189" w:lineRule="auto"/>
              <w:ind w:left="259"/>
              <w:rPr>
                <w:sz w:val="22"/>
                <w:szCs w:val="22"/>
              </w:rPr>
            </w:pPr>
            <w:r>
              <w:rPr>
                <w:spacing w:val="-2"/>
                <w:sz w:val="22"/>
                <w:szCs w:val="22"/>
              </w:rPr>
              <w:t>40</w:t>
            </w:r>
          </w:p>
        </w:tc>
        <w:tc>
          <w:tcPr>
            <w:tcW w:w="737" w:type="dxa"/>
            <w:vAlign w:val="top"/>
          </w:tcPr>
          <w:p w14:paraId="648DEF41">
            <w:pPr>
              <w:pStyle w:val="6"/>
              <w:spacing w:before="90" w:line="189" w:lineRule="auto"/>
              <w:ind w:left="264"/>
              <w:rPr>
                <w:sz w:val="22"/>
                <w:szCs w:val="22"/>
              </w:rPr>
            </w:pPr>
            <w:r>
              <w:rPr>
                <w:spacing w:val="-5"/>
                <w:sz w:val="22"/>
                <w:szCs w:val="22"/>
              </w:rPr>
              <w:t>39</w:t>
            </w:r>
          </w:p>
        </w:tc>
        <w:tc>
          <w:tcPr>
            <w:tcW w:w="1549" w:type="dxa"/>
            <w:tcBorders>
              <w:right w:val="nil"/>
            </w:tcBorders>
            <w:vAlign w:val="top"/>
          </w:tcPr>
          <w:p w14:paraId="35ED6FCF">
            <w:pPr>
              <w:pStyle w:val="6"/>
              <w:spacing w:before="90" w:line="189" w:lineRule="auto"/>
              <w:ind w:left="588"/>
              <w:rPr>
                <w:sz w:val="22"/>
                <w:szCs w:val="22"/>
              </w:rPr>
            </w:pPr>
            <w:r>
              <w:rPr>
                <w:spacing w:val="-2"/>
                <w:sz w:val="22"/>
                <w:szCs w:val="22"/>
              </w:rPr>
              <w:t>39.5</w:t>
            </w:r>
          </w:p>
        </w:tc>
      </w:tr>
      <w:tr w14:paraId="7CAC01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7" w:type="dxa"/>
            <w:tcBorders>
              <w:left w:val="nil"/>
            </w:tcBorders>
            <w:vAlign w:val="top"/>
          </w:tcPr>
          <w:p w14:paraId="4657EB57">
            <w:pPr>
              <w:pStyle w:val="6"/>
              <w:spacing w:before="94" w:line="186" w:lineRule="auto"/>
              <w:ind w:left="221"/>
              <w:rPr>
                <w:sz w:val="22"/>
                <w:szCs w:val="22"/>
              </w:rPr>
            </w:pPr>
            <w:r>
              <w:rPr>
                <w:sz w:val="22"/>
                <w:szCs w:val="22"/>
              </w:rPr>
              <w:t>7</w:t>
            </w:r>
          </w:p>
        </w:tc>
        <w:tc>
          <w:tcPr>
            <w:tcW w:w="1940" w:type="dxa"/>
            <w:vAlign w:val="top"/>
          </w:tcPr>
          <w:p w14:paraId="58EC5819">
            <w:pPr>
              <w:pStyle w:val="6"/>
              <w:spacing w:before="53" w:line="212" w:lineRule="auto"/>
              <w:ind w:left="351"/>
              <w:rPr>
                <w:sz w:val="22"/>
                <w:szCs w:val="22"/>
              </w:rPr>
            </w:pPr>
            <w:r>
              <w:rPr>
                <w:rFonts w:ascii="仿宋" w:hAnsi="仿宋" w:eastAsia="仿宋" w:cs="仿宋"/>
                <w:spacing w:val="-3"/>
                <w:sz w:val="22"/>
                <w:szCs w:val="22"/>
              </w:rPr>
              <w:t>大圪梁散户</w:t>
            </w:r>
            <w:r>
              <w:rPr>
                <w:rFonts w:ascii="仿宋" w:hAnsi="仿宋" w:eastAsia="仿宋" w:cs="仿宋"/>
                <w:spacing w:val="-30"/>
                <w:sz w:val="22"/>
                <w:szCs w:val="22"/>
              </w:rPr>
              <w:t xml:space="preserve"> </w:t>
            </w:r>
            <w:r>
              <w:rPr>
                <w:spacing w:val="-3"/>
                <w:sz w:val="22"/>
                <w:szCs w:val="22"/>
              </w:rPr>
              <w:t>1</w:t>
            </w:r>
          </w:p>
        </w:tc>
        <w:tc>
          <w:tcPr>
            <w:tcW w:w="737" w:type="dxa"/>
            <w:vAlign w:val="top"/>
          </w:tcPr>
          <w:p w14:paraId="0779C2FF">
            <w:pPr>
              <w:pStyle w:val="6"/>
              <w:spacing w:before="91" w:line="189" w:lineRule="auto"/>
              <w:ind w:left="267"/>
              <w:rPr>
                <w:sz w:val="22"/>
                <w:szCs w:val="22"/>
              </w:rPr>
            </w:pPr>
            <w:r>
              <w:rPr>
                <w:spacing w:val="-5"/>
                <w:sz w:val="22"/>
                <w:szCs w:val="22"/>
              </w:rPr>
              <w:t>52</w:t>
            </w:r>
          </w:p>
        </w:tc>
        <w:tc>
          <w:tcPr>
            <w:tcW w:w="737" w:type="dxa"/>
            <w:vAlign w:val="top"/>
          </w:tcPr>
          <w:p w14:paraId="37842C1C">
            <w:pPr>
              <w:pStyle w:val="6"/>
              <w:spacing w:before="91" w:line="189" w:lineRule="auto"/>
              <w:ind w:left="266"/>
              <w:rPr>
                <w:sz w:val="22"/>
                <w:szCs w:val="22"/>
              </w:rPr>
            </w:pPr>
            <w:r>
              <w:rPr>
                <w:spacing w:val="-5"/>
                <w:sz w:val="22"/>
                <w:szCs w:val="22"/>
              </w:rPr>
              <w:t>52</w:t>
            </w:r>
          </w:p>
        </w:tc>
        <w:tc>
          <w:tcPr>
            <w:tcW w:w="1548" w:type="dxa"/>
            <w:vAlign w:val="top"/>
          </w:tcPr>
          <w:p w14:paraId="4A574A0B">
            <w:pPr>
              <w:pStyle w:val="6"/>
              <w:spacing w:before="91" w:line="189" w:lineRule="auto"/>
              <w:ind w:left="672"/>
              <w:rPr>
                <w:sz w:val="22"/>
                <w:szCs w:val="22"/>
              </w:rPr>
            </w:pPr>
            <w:r>
              <w:rPr>
                <w:spacing w:val="-5"/>
                <w:sz w:val="22"/>
                <w:szCs w:val="22"/>
              </w:rPr>
              <w:t>52</w:t>
            </w:r>
          </w:p>
        </w:tc>
        <w:tc>
          <w:tcPr>
            <w:tcW w:w="737" w:type="dxa"/>
            <w:vAlign w:val="top"/>
          </w:tcPr>
          <w:p w14:paraId="06FA0769">
            <w:pPr>
              <w:pStyle w:val="6"/>
              <w:spacing w:before="91" w:line="189" w:lineRule="auto"/>
              <w:ind w:left="259"/>
              <w:rPr>
                <w:sz w:val="22"/>
                <w:szCs w:val="22"/>
              </w:rPr>
            </w:pPr>
            <w:r>
              <w:rPr>
                <w:spacing w:val="-2"/>
                <w:sz w:val="22"/>
                <w:szCs w:val="22"/>
              </w:rPr>
              <w:t>43</w:t>
            </w:r>
          </w:p>
        </w:tc>
        <w:tc>
          <w:tcPr>
            <w:tcW w:w="737" w:type="dxa"/>
            <w:vAlign w:val="top"/>
          </w:tcPr>
          <w:p w14:paraId="37EE1663">
            <w:pPr>
              <w:pStyle w:val="6"/>
              <w:spacing w:before="91" w:line="189" w:lineRule="auto"/>
              <w:ind w:left="259"/>
              <w:rPr>
                <w:sz w:val="22"/>
                <w:szCs w:val="22"/>
              </w:rPr>
            </w:pPr>
            <w:r>
              <w:rPr>
                <w:spacing w:val="-2"/>
                <w:sz w:val="22"/>
                <w:szCs w:val="22"/>
              </w:rPr>
              <w:t>42</w:t>
            </w:r>
          </w:p>
        </w:tc>
        <w:tc>
          <w:tcPr>
            <w:tcW w:w="1549" w:type="dxa"/>
            <w:tcBorders>
              <w:right w:val="nil"/>
            </w:tcBorders>
            <w:vAlign w:val="top"/>
          </w:tcPr>
          <w:p w14:paraId="2C7EB130">
            <w:pPr>
              <w:pStyle w:val="6"/>
              <w:spacing w:before="91" w:line="189" w:lineRule="auto"/>
              <w:ind w:left="583"/>
              <w:rPr>
                <w:sz w:val="22"/>
                <w:szCs w:val="22"/>
              </w:rPr>
            </w:pPr>
            <w:r>
              <w:rPr>
                <w:spacing w:val="-1"/>
                <w:sz w:val="22"/>
                <w:szCs w:val="22"/>
              </w:rPr>
              <w:t>42.5</w:t>
            </w:r>
          </w:p>
        </w:tc>
      </w:tr>
      <w:tr w14:paraId="188790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537" w:type="dxa"/>
            <w:tcBorders>
              <w:left w:val="nil"/>
            </w:tcBorders>
            <w:vAlign w:val="top"/>
          </w:tcPr>
          <w:p w14:paraId="0DCAB529">
            <w:pPr>
              <w:pStyle w:val="6"/>
              <w:spacing w:before="248" w:line="189" w:lineRule="auto"/>
              <w:ind w:left="227"/>
              <w:rPr>
                <w:sz w:val="22"/>
                <w:szCs w:val="22"/>
              </w:rPr>
            </w:pPr>
            <w:r>
              <w:rPr>
                <w:sz w:val="22"/>
                <w:szCs w:val="22"/>
              </w:rPr>
              <w:t>8</w:t>
            </w:r>
          </w:p>
        </w:tc>
        <w:tc>
          <w:tcPr>
            <w:tcW w:w="1940" w:type="dxa"/>
            <w:vAlign w:val="top"/>
          </w:tcPr>
          <w:p w14:paraId="295AD529">
            <w:pPr>
              <w:pStyle w:val="6"/>
              <w:spacing w:before="54" w:line="223" w:lineRule="auto"/>
              <w:ind w:left="130"/>
              <w:rPr>
                <w:rFonts w:ascii="仿宋" w:hAnsi="仿宋" w:eastAsia="仿宋" w:cs="仿宋"/>
                <w:sz w:val="22"/>
                <w:szCs w:val="22"/>
              </w:rPr>
            </w:pPr>
            <w:r>
              <w:rPr>
                <w:rFonts w:ascii="仿宋" w:hAnsi="仿宋" w:eastAsia="仿宋" w:cs="仿宋"/>
                <w:spacing w:val="-3"/>
                <w:sz w:val="22"/>
                <w:szCs w:val="22"/>
              </w:rPr>
              <w:t>大圪梁散户</w:t>
            </w:r>
            <w:r>
              <w:rPr>
                <w:rFonts w:ascii="仿宋" w:hAnsi="仿宋" w:eastAsia="仿宋" w:cs="仿宋"/>
                <w:spacing w:val="-46"/>
                <w:sz w:val="22"/>
                <w:szCs w:val="22"/>
              </w:rPr>
              <w:t xml:space="preserve"> </w:t>
            </w:r>
            <w:r>
              <w:rPr>
                <w:spacing w:val="-3"/>
                <w:sz w:val="22"/>
                <w:szCs w:val="22"/>
              </w:rPr>
              <w:t>2</w:t>
            </w:r>
            <w:r>
              <w:rPr>
                <w:rFonts w:ascii="仿宋" w:hAnsi="仿宋" w:eastAsia="仿宋" w:cs="仿宋"/>
                <w:spacing w:val="-3"/>
                <w:sz w:val="22"/>
                <w:szCs w:val="22"/>
              </w:rPr>
              <w:t>（背</w:t>
            </w:r>
          </w:p>
          <w:p w14:paraId="0FCADA48">
            <w:pPr>
              <w:spacing w:before="45" w:line="210" w:lineRule="auto"/>
              <w:ind w:left="651"/>
              <w:rPr>
                <w:rFonts w:ascii="仿宋" w:hAnsi="仿宋" w:eastAsia="仿宋" w:cs="仿宋"/>
                <w:sz w:val="22"/>
                <w:szCs w:val="22"/>
              </w:rPr>
            </w:pPr>
            <w:r>
              <w:rPr>
                <w:rFonts w:ascii="仿宋" w:hAnsi="仿宋" w:eastAsia="仿宋" w:cs="仿宋"/>
                <w:spacing w:val="-5"/>
                <w:sz w:val="22"/>
                <w:szCs w:val="22"/>
              </w:rPr>
              <w:t>景点）</w:t>
            </w:r>
          </w:p>
        </w:tc>
        <w:tc>
          <w:tcPr>
            <w:tcW w:w="737" w:type="dxa"/>
            <w:vAlign w:val="top"/>
          </w:tcPr>
          <w:p w14:paraId="742C68E9">
            <w:pPr>
              <w:pStyle w:val="6"/>
              <w:spacing w:before="248" w:line="189" w:lineRule="auto"/>
              <w:ind w:left="260"/>
              <w:rPr>
                <w:sz w:val="22"/>
                <w:szCs w:val="22"/>
              </w:rPr>
            </w:pPr>
            <w:r>
              <w:rPr>
                <w:spacing w:val="-2"/>
                <w:sz w:val="22"/>
                <w:szCs w:val="22"/>
              </w:rPr>
              <w:t>41</w:t>
            </w:r>
          </w:p>
        </w:tc>
        <w:tc>
          <w:tcPr>
            <w:tcW w:w="737" w:type="dxa"/>
            <w:vAlign w:val="top"/>
          </w:tcPr>
          <w:p w14:paraId="5FE7DF91">
            <w:pPr>
              <w:pStyle w:val="6"/>
              <w:spacing w:before="248" w:line="189" w:lineRule="auto"/>
              <w:ind w:left="259"/>
              <w:rPr>
                <w:sz w:val="22"/>
                <w:szCs w:val="22"/>
              </w:rPr>
            </w:pPr>
            <w:r>
              <w:rPr>
                <w:spacing w:val="-2"/>
                <w:sz w:val="22"/>
                <w:szCs w:val="22"/>
              </w:rPr>
              <w:t>45</w:t>
            </w:r>
          </w:p>
        </w:tc>
        <w:tc>
          <w:tcPr>
            <w:tcW w:w="1548" w:type="dxa"/>
            <w:vAlign w:val="top"/>
          </w:tcPr>
          <w:p w14:paraId="61A415D1">
            <w:pPr>
              <w:pStyle w:val="6"/>
              <w:spacing w:before="248" w:line="189" w:lineRule="auto"/>
              <w:ind w:left="665"/>
              <w:rPr>
                <w:sz w:val="22"/>
                <w:szCs w:val="22"/>
              </w:rPr>
            </w:pPr>
            <w:r>
              <w:rPr>
                <w:spacing w:val="-2"/>
                <w:sz w:val="22"/>
                <w:szCs w:val="22"/>
              </w:rPr>
              <w:t>43</w:t>
            </w:r>
          </w:p>
        </w:tc>
        <w:tc>
          <w:tcPr>
            <w:tcW w:w="737" w:type="dxa"/>
            <w:vAlign w:val="top"/>
          </w:tcPr>
          <w:p w14:paraId="1B34B6F3">
            <w:pPr>
              <w:pStyle w:val="6"/>
              <w:spacing w:before="248" w:line="189" w:lineRule="auto"/>
              <w:ind w:left="265"/>
              <w:rPr>
                <w:sz w:val="22"/>
                <w:szCs w:val="22"/>
              </w:rPr>
            </w:pPr>
            <w:r>
              <w:rPr>
                <w:spacing w:val="-5"/>
                <w:sz w:val="22"/>
                <w:szCs w:val="22"/>
              </w:rPr>
              <w:t>38</w:t>
            </w:r>
          </w:p>
        </w:tc>
        <w:tc>
          <w:tcPr>
            <w:tcW w:w="737" w:type="dxa"/>
            <w:vAlign w:val="top"/>
          </w:tcPr>
          <w:p w14:paraId="1C6E6E48">
            <w:pPr>
              <w:pStyle w:val="6"/>
              <w:spacing w:before="248" w:line="189" w:lineRule="auto"/>
              <w:ind w:left="259"/>
              <w:rPr>
                <w:sz w:val="22"/>
                <w:szCs w:val="22"/>
              </w:rPr>
            </w:pPr>
            <w:r>
              <w:rPr>
                <w:spacing w:val="-2"/>
                <w:sz w:val="22"/>
                <w:szCs w:val="22"/>
              </w:rPr>
              <w:t>40</w:t>
            </w:r>
          </w:p>
        </w:tc>
        <w:tc>
          <w:tcPr>
            <w:tcW w:w="1549" w:type="dxa"/>
            <w:tcBorders>
              <w:right w:val="nil"/>
            </w:tcBorders>
            <w:vAlign w:val="top"/>
          </w:tcPr>
          <w:p w14:paraId="4A008042">
            <w:pPr>
              <w:pStyle w:val="6"/>
              <w:spacing w:before="248" w:line="189" w:lineRule="auto"/>
              <w:ind w:left="670"/>
              <w:rPr>
                <w:sz w:val="22"/>
                <w:szCs w:val="22"/>
              </w:rPr>
            </w:pPr>
            <w:r>
              <w:rPr>
                <w:spacing w:val="-5"/>
                <w:sz w:val="22"/>
                <w:szCs w:val="22"/>
              </w:rPr>
              <w:t>39</w:t>
            </w:r>
          </w:p>
        </w:tc>
      </w:tr>
      <w:tr w14:paraId="60DBC2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7" w:type="dxa"/>
            <w:tcBorders>
              <w:left w:val="nil"/>
            </w:tcBorders>
            <w:vAlign w:val="top"/>
          </w:tcPr>
          <w:p w14:paraId="27C7C362">
            <w:pPr>
              <w:pStyle w:val="6"/>
              <w:spacing w:before="94" w:line="189" w:lineRule="auto"/>
              <w:ind w:left="222"/>
              <w:rPr>
                <w:sz w:val="22"/>
                <w:szCs w:val="22"/>
              </w:rPr>
            </w:pPr>
            <w:r>
              <w:rPr>
                <w:sz w:val="22"/>
                <w:szCs w:val="22"/>
              </w:rPr>
              <w:t>9</w:t>
            </w:r>
          </w:p>
        </w:tc>
        <w:tc>
          <w:tcPr>
            <w:tcW w:w="1940" w:type="dxa"/>
            <w:vAlign w:val="top"/>
          </w:tcPr>
          <w:p w14:paraId="57ED2DA7">
            <w:pPr>
              <w:pStyle w:val="6"/>
              <w:spacing w:before="59" w:line="207" w:lineRule="auto"/>
              <w:ind w:left="401"/>
              <w:rPr>
                <w:rFonts w:ascii="仿宋" w:hAnsi="仿宋" w:eastAsia="仿宋" w:cs="仿宋"/>
                <w:sz w:val="22"/>
                <w:szCs w:val="22"/>
              </w:rPr>
            </w:pPr>
            <w:r>
              <w:rPr>
                <w:rFonts w:ascii="仿宋" w:hAnsi="仿宋" w:eastAsia="仿宋" w:cs="仿宋"/>
                <w:spacing w:val="-4"/>
                <w:sz w:val="22"/>
                <w:szCs w:val="22"/>
              </w:rPr>
              <w:t>二道壕</w:t>
            </w:r>
            <w:r>
              <w:rPr>
                <w:spacing w:val="-4"/>
                <w:sz w:val="22"/>
                <w:szCs w:val="22"/>
              </w:rPr>
              <w:t>-</w:t>
            </w:r>
            <w:r>
              <w:rPr>
                <w:rFonts w:ascii="仿宋" w:hAnsi="仿宋" w:eastAsia="仿宋" w:cs="仿宋"/>
                <w:spacing w:val="-4"/>
                <w:sz w:val="22"/>
                <w:szCs w:val="22"/>
              </w:rPr>
              <w:t>散户</w:t>
            </w:r>
          </w:p>
        </w:tc>
        <w:tc>
          <w:tcPr>
            <w:tcW w:w="737" w:type="dxa"/>
            <w:vAlign w:val="top"/>
          </w:tcPr>
          <w:p w14:paraId="5B0C5E08">
            <w:pPr>
              <w:pStyle w:val="6"/>
              <w:spacing w:before="94" w:line="189" w:lineRule="auto"/>
              <w:ind w:left="267"/>
              <w:rPr>
                <w:sz w:val="22"/>
                <w:szCs w:val="22"/>
              </w:rPr>
            </w:pPr>
            <w:r>
              <w:rPr>
                <w:spacing w:val="-5"/>
                <w:sz w:val="22"/>
                <w:szCs w:val="22"/>
              </w:rPr>
              <w:t>52</w:t>
            </w:r>
          </w:p>
        </w:tc>
        <w:tc>
          <w:tcPr>
            <w:tcW w:w="737" w:type="dxa"/>
            <w:vAlign w:val="top"/>
          </w:tcPr>
          <w:p w14:paraId="14797244">
            <w:pPr>
              <w:pStyle w:val="6"/>
              <w:spacing w:before="94" w:line="189" w:lineRule="auto"/>
              <w:ind w:left="266"/>
              <w:rPr>
                <w:sz w:val="22"/>
                <w:szCs w:val="22"/>
              </w:rPr>
            </w:pPr>
            <w:r>
              <w:rPr>
                <w:spacing w:val="-5"/>
                <w:sz w:val="22"/>
                <w:szCs w:val="22"/>
              </w:rPr>
              <w:t>53</w:t>
            </w:r>
          </w:p>
        </w:tc>
        <w:tc>
          <w:tcPr>
            <w:tcW w:w="1548" w:type="dxa"/>
            <w:vAlign w:val="top"/>
          </w:tcPr>
          <w:p w14:paraId="2890AD09">
            <w:pPr>
              <w:pStyle w:val="6"/>
              <w:spacing w:before="94" w:line="189" w:lineRule="auto"/>
              <w:ind w:left="588"/>
              <w:rPr>
                <w:sz w:val="22"/>
                <w:szCs w:val="22"/>
              </w:rPr>
            </w:pPr>
            <w:r>
              <w:rPr>
                <w:spacing w:val="-3"/>
                <w:sz w:val="22"/>
                <w:szCs w:val="22"/>
              </w:rPr>
              <w:t>52.5</w:t>
            </w:r>
          </w:p>
        </w:tc>
        <w:tc>
          <w:tcPr>
            <w:tcW w:w="737" w:type="dxa"/>
            <w:vAlign w:val="top"/>
          </w:tcPr>
          <w:p w14:paraId="6DEC49BE">
            <w:pPr>
              <w:pStyle w:val="6"/>
              <w:spacing w:before="94" w:line="189" w:lineRule="auto"/>
              <w:ind w:left="265"/>
              <w:rPr>
                <w:sz w:val="22"/>
                <w:szCs w:val="22"/>
              </w:rPr>
            </w:pPr>
            <w:r>
              <w:rPr>
                <w:spacing w:val="-5"/>
                <w:sz w:val="22"/>
                <w:szCs w:val="22"/>
              </w:rPr>
              <w:t>37</w:t>
            </w:r>
          </w:p>
        </w:tc>
        <w:tc>
          <w:tcPr>
            <w:tcW w:w="737" w:type="dxa"/>
            <w:vAlign w:val="top"/>
          </w:tcPr>
          <w:p w14:paraId="374E5F2A">
            <w:pPr>
              <w:pStyle w:val="6"/>
              <w:spacing w:before="94" w:line="189" w:lineRule="auto"/>
              <w:ind w:left="264"/>
              <w:rPr>
                <w:sz w:val="22"/>
                <w:szCs w:val="22"/>
              </w:rPr>
            </w:pPr>
            <w:r>
              <w:rPr>
                <w:spacing w:val="-5"/>
                <w:sz w:val="22"/>
                <w:szCs w:val="22"/>
              </w:rPr>
              <w:t>39</w:t>
            </w:r>
          </w:p>
        </w:tc>
        <w:tc>
          <w:tcPr>
            <w:tcW w:w="1549" w:type="dxa"/>
            <w:tcBorders>
              <w:right w:val="nil"/>
            </w:tcBorders>
            <w:vAlign w:val="top"/>
          </w:tcPr>
          <w:p w14:paraId="330FF6F9">
            <w:pPr>
              <w:pStyle w:val="6"/>
              <w:spacing w:before="94" w:line="189" w:lineRule="auto"/>
              <w:ind w:left="670"/>
              <w:rPr>
                <w:sz w:val="22"/>
                <w:szCs w:val="22"/>
              </w:rPr>
            </w:pPr>
            <w:r>
              <w:rPr>
                <w:spacing w:val="-5"/>
                <w:sz w:val="22"/>
                <w:szCs w:val="22"/>
              </w:rPr>
              <w:t>38</w:t>
            </w:r>
          </w:p>
        </w:tc>
      </w:tr>
      <w:tr w14:paraId="348EAB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7" w:type="dxa"/>
            <w:tcBorders>
              <w:left w:val="nil"/>
            </w:tcBorders>
            <w:vAlign w:val="top"/>
          </w:tcPr>
          <w:p w14:paraId="39F7706C">
            <w:pPr>
              <w:pStyle w:val="6"/>
              <w:spacing w:before="95" w:line="189" w:lineRule="auto"/>
              <w:ind w:left="184"/>
              <w:rPr>
                <w:sz w:val="22"/>
                <w:szCs w:val="22"/>
              </w:rPr>
            </w:pPr>
            <w:r>
              <w:rPr>
                <w:spacing w:val="-13"/>
                <w:sz w:val="22"/>
                <w:szCs w:val="22"/>
              </w:rPr>
              <w:t>10</w:t>
            </w:r>
          </w:p>
        </w:tc>
        <w:tc>
          <w:tcPr>
            <w:tcW w:w="1940" w:type="dxa"/>
            <w:vAlign w:val="top"/>
          </w:tcPr>
          <w:p w14:paraId="526A0220">
            <w:pPr>
              <w:pStyle w:val="6"/>
              <w:spacing w:before="59" w:line="207" w:lineRule="auto"/>
              <w:ind w:left="400"/>
              <w:rPr>
                <w:rFonts w:ascii="仿宋" w:hAnsi="仿宋" w:eastAsia="仿宋" w:cs="仿宋"/>
                <w:sz w:val="22"/>
                <w:szCs w:val="22"/>
              </w:rPr>
            </w:pPr>
            <w:r>
              <w:rPr>
                <w:rFonts w:ascii="仿宋" w:hAnsi="仿宋" w:eastAsia="仿宋" w:cs="仿宋"/>
                <w:spacing w:val="-3"/>
                <w:sz w:val="22"/>
                <w:szCs w:val="22"/>
              </w:rPr>
              <w:t>三道壕</w:t>
            </w:r>
            <w:r>
              <w:rPr>
                <w:spacing w:val="-3"/>
                <w:sz w:val="22"/>
                <w:szCs w:val="22"/>
              </w:rPr>
              <w:t>-</w:t>
            </w:r>
            <w:r>
              <w:rPr>
                <w:rFonts w:ascii="仿宋" w:hAnsi="仿宋" w:eastAsia="仿宋" w:cs="仿宋"/>
                <w:spacing w:val="-3"/>
                <w:sz w:val="22"/>
                <w:szCs w:val="22"/>
              </w:rPr>
              <w:t>散户</w:t>
            </w:r>
          </w:p>
        </w:tc>
        <w:tc>
          <w:tcPr>
            <w:tcW w:w="737" w:type="dxa"/>
            <w:vAlign w:val="top"/>
          </w:tcPr>
          <w:p w14:paraId="71E6CB7D">
            <w:pPr>
              <w:pStyle w:val="6"/>
              <w:spacing w:before="95" w:line="189" w:lineRule="auto"/>
              <w:ind w:left="267"/>
              <w:rPr>
                <w:sz w:val="22"/>
                <w:szCs w:val="22"/>
              </w:rPr>
            </w:pPr>
            <w:r>
              <w:rPr>
                <w:spacing w:val="-5"/>
                <w:sz w:val="22"/>
                <w:szCs w:val="22"/>
              </w:rPr>
              <w:t>50</w:t>
            </w:r>
          </w:p>
        </w:tc>
        <w:tc>
          <w:tcPr>
            <w:tcW w:w="737" w:type="dxa"/>
            <w:vAlign w:val="top"/>
          </w:tcPr>
          <w:p w14:paraId="26BBF1F9">
            <w:pPr>
              <w:pStyle w:val="6"/>
              <w:spacing w:before="95" w:line="189" w:lineRule="auto"/>
              <w:ind w:left="266"/>
              <w:rPr>
                <w:sz w:val="22"/>
                <w:szCs w:val="22"/>
              </w:rPr>
            </w:pPr>
            <w:r>
              <w:rPr>
                <w:spacing w:val="-5"/>
                <w:sz w:val="22"/>
                <w:szCs w:val="22"/>
              </w:rPr>
              <w:t>51</w:t>
            </w:r>
          </w:p>
        </w:tc>
        <w:tc>
          <w:tcPr>
            <w:tcW w:w="1548" w:type="dxa"/>
            <w:vAlign w:val="top"/>
          </w:tcPr>
          <w:p w14:paraId="7D710678">
            <w:pPr>
              <w:pStyle w:val="6"/>
              <w:spacing w:before="95" w:line="189" w:lineRule="auto"/>
              <w:ind w:left="588"/>
              <w:rPr>
                <w:sz w:val="22"/>
                <w:szCs w:val="22"/>
              </w:rPr>
            </w:pPr>
            <w:r>
              <w:rPr>
                <w:spacing w:val="-3"/>
                <w:sz w:val="22"/>
                <w:szCs w:val="22"/>
              </w:rPr>
              <w:t>50.5</w:t>
            </w:r>
          </w:p>
        </w:tc>
        <w:tc>
          <w:tcPr>
            <w:tcW w:w="737" w:type="dxa"/>
            <w:vAlign w:val="top"/>
          </w:tcPr>
          <w:p w14:paraId="5AFC3BE2">
            <w:pPr>
              <w:pStyle w:val="6"/>
              <w:spacing w:before="95" w:line="189" w:lineRule="auto"/>
              <w:ind w:left="265"/>
              <w:rPr>
                <w:sz w:val="22"/>
                <w:szCs w:val="22"/>
              </w:rPr>
            </w:pPr>
            <w:r>
              <w:rPr>
                <w:spacing w:val="-5"/>
                <w:sz w:val="22"/>
                <w:szCs w:val="22"/>
              </w:rPr>
              <w:t>39</w:t>
            </w:r>
          </w:p>
        </w:tc>
        <w:tc>
          <w:tcPr>
            <w:tcW w:w="737" w:type="dxa"/>
            <w:vAlign w:val="top"/>
          </w:tcPr>
          <w:p w14:paraId="6A6DFDC2">
            <w:pPr>
              <w:pStyle w:val="6"/>
              <w:spacing w:before="95" w:line="189" w:lineRule="auto"/>
              <w:ind w:left="259"/>
              <w:rPr>
                <w:sz w:val="22"/>
                <w:szCs w:val="22"/>
              </w:rPr>
            </w:pPr>
            <w:r>
              <w:rPr>
                <w:spacing w:val="-2"/>
                <w:sz w:val="22"/>
                <w:szCs w:val="22"/>
              </w:rPr>
              <w:t>43</w:t>
            </w:r>
          </w:p>
        </w:tc>
        <w:tc>
          <w:tcPr>
            <w:tcW w:w="1549" w:type="dxa"/>
            <w:tcBorders>
              <w:right w:val="nil"/>
            </w:tcBorders>
            <w:vAlign w:val="top"/>
          </w:tcPr>
          <w:p w14:paraId="681F692A">
            <w:pPr>
              <w:pStyle w:val="6"/>
              <w:spacing w:before="95" w:line="189" w:lineRule="auto"/>
              <w:ind w:left="664"/>
              <w:rPr>
                <w:sz w:val="22"/>
                <w:szCs w:val="22"/>
              </w:rPr>
            </w:pPr>
            <w:r>
              <w:rPr>
                <w:spacing w:val="-2"/>
                <w:sz w:val="22"/>
                <w:szCs w:val="22"/>
              </w:rPr>
              <w:t>41</w:t>
            </w:r>
          </w:p>
        </w:tc>
      </w:tr>
      <w:tr w14:paraId="4DC255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7" w:type="dxa"/>
            <w:tcBorders>
              <w:left w:val="nil"/>
            </w:tcBorders>
            <w:vAlign w:val="top"/>
          </w:tcPr>
          <w:p w14:paraId="21DAAA8A">
            <w:pPr>
              <w:pStyle w:val="6"/>
              <w:spacing w:before="98" w:line="189" w:lineRule="auto"/>
              <w:ind w:left="184"/>
              <w:rPr>
                <w:sz w:val="22"/>
                <w:szCs w:val="22"/>
              </w:rPr>
            </w:pPr>
            <w:r>
              <w:rPr>
                <w:spacing w:val="-13"/>
                <w:sz w:val="22"/>
                <w:szCs w:val="22"/>
              </w:rPr>
              <w:t>11</w:t>
            </w:r>
          </w:p>
        </w:tc>
        <w:tc>
          <w:tcPr>
            <w:tcW w:w="1940" w:type="dxa"/>
            <w:vAlign w:val="top"/>
          </w:tcPr>
          <w:p w14:paraId="25E19414">
            <w:pPr>
              <w:pStyle w:val="6"/>
              <w:spacing w:before="60" w:line="206" w:lineRule="auto"/>
              <w:ind w:left="127"/>
              <w:rPr>
                <w:sz w:val="22"/>
                <w:szCs w:val="22"/>
              </w:rPr>
            </w:pPr>
            <w:r>
              <w:rPr>
                <w:rFonts w:ascii="仿宋" w:hAnsi="仿宋" w:eastAsia="仿宋" w:cs="仿宋"/>
                <w:spacing w:val="-2"/>
                <w:sz w:val="22"/>
                <w:szCs w:val="22"/>
              </w:rPr>
              <w:t>份子地新村住户</w:t>
            </w:r>
            <w:r>
              <w:rPr>
                <w:rFonts w:ascii="仿宋" w:hAnsi="仿宋" w:eastAsia="仿宋" w:cs="仿宋"/>
                <w:spacing w:val="-28"/>
                <w:sz w:val="22"/>
                <w:szCs w:val="22"/>
              </w:rPr>
              <w:t xml:space="preserve"> </w:t>
            </w:r>
            <w:r>
              <w:rPr>
                <w:spacing w:val="-2"/>
                <w:sz w:val="22"/>
                <w:szCs w:val="22"/>
              </w:rPr>
              <w:t>1</w:t>
            </w:r>
          </w:p>
        </w:tc>
        <w:tc>
          <w:tcPr>
            <w:tcW w:w="737" w:type="dxa"/>
            <w:vAlign w:val="top"/>
          </w:tcPr>
          <w:p w14:paraId="4426F2A7">
            <w:pPr>
              <w:pStyle w:val="6"/>
              <w:spacing w:before="98" w:line="189" w:lineRule="auto"/>
              <w:ind w:left="267"/>
              <w:rPr>
                <w:sz w:val="22"/>
                <w:szCs w:val="22"/>
              </w:rPr>
            </w:pPr>
            <w:r>
              <w:rPr>
                <w:spacing w:val="-5"/>
                <w:sz w:val="22"/>
                <w:szCs w:val="22"/>
              </w:rPr>
              <w:t>52</w:t>
            </w:r>
          </w:p>
        </w:tc>
        <w:tc>
          <w:tcPr>
            <w:tcW w:w="737" w:type="dxa"/>
            <w:vAlign w:val="top"/>
          </w:tcPr>
          <w:p w14:paraId="107EC6FE">
            <w:pPr>
              <w:pStyle w:val="6"/>
              <w:spacing w:before="98" w:line="189" w:lineRule="auto"/>
              <w:ind w:left="266"/>
              <w:rPr>
                <w:sz w:val="22"/>
                <w:szCs w:val="22"/>
              </w:rPr>
            </w:pPr>
            <w:r>
              <w:rPr>
                <w:spacing w:val="-5"/>
                <w:sz w:val="22"/>
                <w:szCs w:val="22"/>
              </w:rPr>
              <w:t>53</w:t>
            </w:r>
          </w:p>
        </w:tc>
        <w:tc>
          <w:tcPr>
            <w:tcW w:w="1548" w:type="dxa"/>
            <w:vAlign w:val="top"/>
          </w:tcPr>
          <w:p w14:paraId="090C2983">
            <w:pPr>
              <w:pStyle w:val="6"/>
              <w:spacing w:before="98" w:line="189" w:lineRule="auto"/>
              <w:ind w:left="588"/>
              <w:rPr>
                <w:sz w:val="22"/>
                <w:szCs w:val="22"/>
              </w:rPr>
            </w:pPr>
            <w:r>
              <w:rPr>
                <w:spacing w:val="-3"/>
                <w:sz w:val="22"/>
                <w:szCs w:val="22"/>
              </w:rPr>
              <w:t>52.5</w:t>
            </w:r>
          </w:p>
        </w:tc>
        <w:tc>
          <w:tcPr>
            <w:tcW w:w="737" w:type="dxa"/>
            <w:vAlign w:val="top"/>
          </w:tcPr>
          <w:p w14:paraId="3A3545B6">
            <w:pPr>
              <w:pStyle w:val="6"/>
              <w:spacing w:before="98" w:line="189" w:lineRule="auto"/>
              <w:ind w:left="259"/>
              <w:rPr>
                <w:sz w:val="22"/>
                <w:szCs w:val="22"/>
              </w:rPr>
            </w:pPr>
            <w:r>
              <w:rPr>
                <w:spacing w:val="-2"/>
                <w:sz w:val="22"/>
                <w:szCs w:val="22"/>
              </w:rPr>
              <w:t>41</w:t>
            </w:r>
          </w:p>
        </w:tc>
        <w:tc>
          <w:tcPr>
            <w:tcW w:w="737" w:type="dxa"/>
            <w:vAlign w:val="top"/>
          </w:tcPr>
          <w:p w14:paraId="4F5B5C56">
            <w:pPr>
              <w:pStyle w:val="6"/>
              <w:spacing w:before="98" w:line="189" w:lineRule="auto"/>
              <w:ind w:left="259"/>
              <w:rPr>
                <w:sz w:val="22"/>
                <w:szCs w:val="22"/>
              </w:rPr>
            </w:pPr>
            <w:r>
              <w:rPr>
                <w:spacing w:val="-2"/>
                <w:sz w:val="22"/>
                <w:szCs w:val="22"/>
              </w:rPr>
              <w:t>42</w:t>
            </w:r>
          </w:p>
        </w:tc>
        <w:tc>
          <w:tcPr>
            <w:tcW w:w="1549" w:type="dxa"/>
            <w:tcBorders>
              <w:right w:val="nil"/>
            </w:tcBorders>
            <w:vAlign w:val="top"/>
          </w:tcPr>
          <w:p w14:paraId="09748079">
            <w:pPr>
              <w:pStyle w:val="6"/>
              <w:spacing w:before="98" w:line="189" w:lineRule="auto"/>
              <w:ind w:left="583"/>
              <w:rPr>
                <w:sz w:val="22"/>
                <w:szCs w:val="22"/>
              </w:rPr>
            </w:pPr>
            <w:r>
              <w:rPr>
                <w:spacing w:val="-1"/>
                <w:sz w:val="22"/>
                <w:szCs w:val="22"/>
              </w:rPr>
              <w:t>41.5</w:t>
            </w:r>
          </w:p>
        </w:tc>
      </w:tr>
      <w:tr w14:paraId="6C524C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7" w:type="dxa"/>
            <w:tcBorders>
              <w:left w:val="nil"/>
            </w:tcBorders>
            <w:vAlign w:val="top"/>
          </w:tcPr>
          <w:p w14:paraId="055F19E6">
            <w:pPr>
              <w:pStyle w:val="6"/>
              <w:spacing w:before="98" w:line="189" w:lineRule="auto"/>
              <w:ind w:left="184"/>
              <w:rPr>
                <w:sz w:val="22"/>
                <w:szCs w:val="22"/>
              </w:rPr>
            </w:pPr>
            <w:r>
              <w:rPr>
                <w:spacing w:val="-13"/>
                <w:sz w:val="22"/>
                <w:szCs w:val="22"/>
              </w:rPr>
              <w:t>12</w:t>
            </w:r>
          </w:p>
        </w:tc>
        <w:tc>
          <w:tcPr>
            <w:tcW w:w="1940" w:type="dxa"/>
            <w:vAlign w:val="top"/>
          </w:tcPr>
          <w:p w14:paraId="630EFDE0">
            <w:pPr>
              <w:pStyle w:val="6"/>
              <w:spacing w:before="60" w:line="206" w:lineRule="auto"/>
              <w:ind w:left="127"/>
              <w:rPr>
                <w:sz w:val="22"/>
                <w:szCs w:val="22"/>
              </w:rPr>
            </w:pPr>
            <w:r>
              <w:rPr>
                <w:rFonts w:ascii="仿宋" w:hAnsi="仿宋" w:eastAsia="仿宋" w:cs="仿宋"/>
                <w:spacing w:val="-2"/>
                <w:sz w:val="22"/>
                <w:szCs w:val="22"/>
              </w:rPr>
              <w:t>份子地新村住户</w:t>
            </w:r>
            <w:r>
              <w:rPr>
                <w:rFonts w:ascii="仿宋" w:hAnsi="仿宋" w:eastAsia="仿宋" w:cs="仿宋"/>
                <w:spacing w:val="-49"/>
                <w:sz w:val="22"/>
                <w:szCs w:val="22"/>
              </w:rPr>
              <w:t xml:space="preserve"> </w:t>
            </w:r>
            <w:r>
              <w:rPr>
                <w:spacing w:val="-2"/>
                <w:sz w:val="22"/>
                <w:szCs w:val="22"/>
              </w:rPr>
              <w:t>2</w:t>
            </w:r>
          </w:p>
        </w:tc>
        <w:tc>
          <w:tcPr>
            <w:tcW w:w="737" w:type="dxa"/>
            <w:vAlign w:val="top"/>
          </w:tcPr>
          <w:p w14:paraId="3B1640EB">
            <w:pPr>
              <w:pStyle w:val="6"/>
              <w:spacing w:before="98" w:line="189" w:lineRule="auto"/>
              <w:ind w:left="267"/>
              <w:rPr>
                <w:sz w:val="22"/>
                <w:szCs w:val="22"/>
              </w:rPr>
            </w:pPr>
            <w:r>
              <w:rPr>
                <w:spacing w:val="-5"/>
                <w:sz w:val="22"/>
                <w:szCs w:val="22"/>
              </w:rPr>
              <w:t>51</w:t>
            </w:r>
          </w:p>
        </w:tc>
        <w:tc>
          <w:tcPr>
            <w:tcW w:w="737" w:type="dxa"/>
            <w:vAlign w:val="top"/>
          </w:tcPr>
          <w:p w14:paraId="395089F8">
            <w:pPr>
              <w:pStyle w:val="6"/>
              <w:spacing w:before="98" w:line="189" w:lineRule="auto"/>
              <w:ind w:left="266"/>
              <w:rPr>
                <w:sz w:val="22"/>
                <w:szCs w:val="22"/>
              </w:rPr>
            </w:pPr>
            <w:r>
              <w:rPr>
                <w:spacing w:val="-5"/>
                <w:sz w:val="22"/>
                <w:szCs w:val="22"/>
              </w:rPr>
              <w:t>51</w:t>
            </w:r>
          </w:p>
        </w:tc>
        <w:tc>
          <w:tcPr>
            <w:tcW w:w="1548" w:type="dxa"/>
            <w:vAlign w:val="top"/>
          </w:tcPr>
          <w:p w14:paraId="675A592C">
            <w:pPr>
              <w:pStyle w:val="6"/>
              <w:spacing w:before="98" w:line="189" w:lineRule="auto"/>
              <w:ind w:left="672"/>
              <w:rPr>
                <w:sz w:val="22"/>
                <w:szCs w:val="22"/>
              </w:rPr>
            </w:pPr>
            <w:r>
              <w:rPr>
                <w:spacing w:val="-5"/>
                <w:sz w:val="22"/>
                <w:szCs w:val="22"/>
              </w:rPr>
              <w:t>51</w:t>
            </w:r>
          </w:p>
        </w:tc>
        <w:tc>
          <w:tcPr>
            <w:tcW w:w="737" w:type="dxa"/>
            <w:vAlign w:val="top"/>
          </w:tcPr>
          <w:p w14:paraId="0FFA8FAF">
            <w:pPr>
              <w:pStyle w:val="6"/>
              <w:spacing w:before="98" w:line="189" w:lineRule="auto"/>
              <w:ind w:left="259"/>
              <w:rPr>
                <w:sz w:val="22"/>
                <w:szCs w:val="22"/>
              </w:rPr>
            </w:pPr>
            <w:r>
              <w:rPr>
                <w:spacing w:val="-2"/>
                <w:sz w:val="22"/>
                <w:szCs w:val="22"/>
              </w:rPr>
              <w:t>40</w:t>
            </w:r>
          </w:p>
        </w:tc>
        <w:tc>
          <w:tcPr>
            <w:tcW w:w="737" w:type="dxa"/>
            <w:vAlign w:val="top"/>
          </w:tcPr>
          <w:p w14:paraId="596D5417">
            <w:pPr>
              <w:pStyle w:val="6"/>
              <w:spacing w:before="98" w:line="189" w:lineRule="auto"/>
              <w:ind w:left="259"/>
              <w:rPr>
                <w:sz w:val="22"/>
                <w:szCs w:val="22"/>
              </w:rPr>
            </w:pPr>
            <w:r>
              <w:rPr>
                <w:spacing w:val="-2"/>
                <w:sz w:val="22"/>
                <w:szCs w:val="22"/>
              </w:rPr>
              <w:t>41</w:t>
            </w:r>
          </w:p>
        </w:tc>
        <w:tc>
          <w:tcPr>
            <w:tcW w:w="1549" w:type="dxa"/>
            <w:tcBorders>
              <w:right w:val="nil"/>
            </w:tcBorders>
            <w:vAlign w:val="top"/>
          </w:tcPr>
          <w:p w14:paraId="3EA79735">
            <w:pPr>
              <w:pStyle w:val="6"/>
              <w:spacing w:before="98" w:line="189" w:lineRule="auto"/>
              <w:ind w:left="583"/>
              <w:rPr>
                <w:sz w:val="22"/>
                <w:szCs w:val="22"/>
              </w:rPr>
            </w:pPr>
            <w:r>
              <w:rPr>
                <w:spacing w:val="-1"/>
                <w:sz w:val="22"/>
                <w:szCs w:val="22"/>
              </w:rPr>
              <w:t>40.5</w:t>
            </w:r>
          </w:p>
        </w:tc>
      </w:tr>
      <w:tr w14:paraId="3FE4D9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7" w:type="dxa"/>
            <w:tcBorders>
              <w:left w:val="nil"/>
            </w:tcBorders>
            <w:vAlign w:val="top"/>
          </w:tcPr>
          <w:p w14:paraId="1ABE9FDA">
            <w:pPr>
              <w:pStyle w:val="6"/>
              <w:spacing w:before="99" w:line="189" w:lineRule="auto"/>
              <w:ind w:left="184"/>
              <w:rPr>
                <w:sz w:val="22"/>
                <w:szCs w:val="22"/>
              </w:rPr>
            </w:pPr>
            <w:r>
              <w:rPr>
                <w:spacing w:val="-13"/>
                <w:sz w:val="22"/>
                <w:szCs w:val="22"/>
              </w:rPr>
              <w:t>13</w:t>
            </w:r>
          </w:p>
        </w:tc>
        <w:tc>
          <w:tcPr>
            <w:tcW w:w="1940" w:type="dxa"/>
            <w:vAlign w:val="top"/>
          </w:tcPr>
          <w:p w14:paraId="39941640">
            <w:pPr>
              <w:pStyle w:val="6"/>
              <w:spacing w:before="61" w:line="205" w:lineRule="auto"/>
              <w:ind w:left="127"/>
              <w:rPr>
                <w:sz w:val="22"/>
                <w:szCs w:val="22"/>
              </w:rPr>
            </w:pPr>
            <w:r>
              <w:rPr>
                <w:rFonts w:ascii="仿宋" w:hAnsi="仿宋" w:eastAsia="仿宋" w:cs="仿宋"/>
                <w:spacing w:val="-2"/>
                <w:sz w:val="22"/>
                <w:szCs w:val="22"/>
              </w:rPr>
              <w:t>份子地新村住户</w:t>
            </w:r>
            <w:r>
              <w:rPr>
                <w:rFonts w:ascii="仿宋" w:hAnsi="仿宋" w:eastAsia="仿宋" w:cs="仿宋"/>
                <w:spacing w:val="-45"/>
                <w:sz w:val="22"/>
                <w:szCs w:val="22"/>
              </w:rPr>
              <w:t xml:space="preserve"> </w:t>
            </w:r>
            <w:r>
              <w:rPr>
                <w:spacing w:val="-2"/>
                <w:sz w:val="22"/>
                <w:szCs w:val="22"/>
              </w:rPr>
              <w:t>3</w:t>
            </w:r>
          </w:p>
        </w:tc>
        <w:tc>
          <w:tcPr>
            <w:tcW w:w="737" w:type="dxa"/>
            <w:vAlign w:val="top"/>
          </w:tcPr>
          <w:p w14:paraId="226994CF">
            <w:pPr>
              <w:pStyle w:val="6"/>
              <w:spacing w:before="99" w:line="189" w:lineRule="auto"/>
              <w:ind w:left="267"/>
              <w:rPr>
                <w:sz w:val="22"/>
                <w:szCs w:val="22"/>
              </w:rPr>
            </w:pPr>
            <w:r>
              <w:rPr>
                <w:spacing w:val="-5"/>
                <w:sz w:val="22"/>
                <w:szCs w:val="22"/>
              </w:rPr>
              <w:t>50</w:t>
            </w:r>
          </w:p>
        </w:tc>
        <w:tc>
          <w:tcPr>
            <w:tcW w:w="737" w:type="dxa"/>
            <w:vAlign w:val="top"/>
          </w:tcPr>
          <w:p w14:paraId="11088C48">
            <w:pPr>
              <w:pStyle w:val="6"/>
              <w:spacing w:before="99" w:line="189" w:lineRule="auto"/>
              <w:ind w:left="266"/>
              <w:rPr>
                <w:sz w:val="22"/>
                <w:szCs w:val="22"/>
              </w:rPr>
            </w:pPr>
            <w:r>
              <w:rPr>
                <w:spacing w:val="-5"/>
                <w:sz w:val="22"/>
                <w:szCs w:val="22"/>
              </w:rPr>
              <w:t>52</w:t>
            </w:r>
          </w:p>
        </w:tc>
        <w:tc>
          <w:tcPr>
            <w:tcW w:w="1548" w:type="dxa"/>
            <w:vAlign w:val="top"/>
          </w:tcPr>
          <w:p w14:paraId="63EE0A99">
            <w:pPr>
              <w:pStyle w:val="6"/>
              <w:spacing w:before="99" w:line="189" w:lineRule="auto"/>
              <w:ind w:left="672"/>
              <w:rPr>
                <w:sz w:val="22"/>
                <w:szCs w:val="22"/>
              </w:rPr>
            </w:pPr>
            <w:r>
              <w:rPr>
                <w:spacing w:val="-5"/>
                <w:sz w:val="22"/>
                <w:szCs w:val="22"/>
              </w:rPr>
              <w:t>51</w:t>
            </w:r>
          </w:p>
        </w:tc>
        <w:tc>
          <w:tcPr>
            <w:tcW w:w="737" w:type="dxa"/>
            <w:vAlign w:val="top"/>
          </w:tcPr>
          <w:p w14:paraId="2B748EF1">
            <w:pPr>
              <w:pStyle w:val="6"/>
              <w:spacing w:before="99" w:line="189" w:lineRule="auto"/>
              <w:ind w:left="259"/>
              <w:rPr>
                <w:sz w:val="22"/>
                <w:szCs w:val="22"/>
              </w:rPr>
            </w:pPr>
            <w:r>
              <w:rPr>
                <w:spacing w:val="-2"/>
                <w:sz w:val="22"/>
                <w:szCs w:val="22"/>
              </w:rPr>
              <w:t>42</w:t>
            </w:r>
          </w:p>
        </w:tc>
        <w:tc>
          <w:tcPr>
            <w:tcW w:w="737" w:type="dxa"/>
            <w:vAlign w:val="top"/>
          </w:tcPr>
          <w:p w14:paraId="55C872FA">
            <w:pPr>
              <w:pStyle w:val="6"/>
              <w:spacing w:before="99" w:line="189" w:lineRule="auto"/>
              <w:ind w:left="259"/>
              <w:rPr>
                <w:sz w:val="22"/>
                <w:szCs w:val="22"/>
              </w:rPr>
            </w:pPr>
            <w:r>
              <w:rPr>
                <w:spacing w:val="-2"/>
                <w:sz w:val="22"/>
                <w:szCs w:val="22"/>
              </w:rPr>
              <w:t>40</w:t>
            </w:r>
          </w:p>
        </w:tc>
        <w:tc>
          <w:tcPr>
            <w:tcW w:w="1549" w:type="dxa"/>
            <w:tcBorders>
              <w:right w:val="nil"/>
            </w:tcBorders>
            <w:vAlign w:val="top"/>
          </w:tcPr>
          <w:p w14:paraId="5063D95C">
            <w:pPr>
              <w:pStyle w:val="6"/>
              <w:spacing w:before="99" w:line="189" w:lineRule="auto"/>
              <w:ind w:left="664"/>
              <w:rPr>
                <w:sz w:val="22"/>
                <w:szCs w:val="22"/>
              </w:rPr>
            </w:pPr>
            <w:r>
              <w:rPr>
                <w:spacing w:val="-2"/>
                <w:sz w:val="22"/>
                <w:szCs w:val="22"/>
              </w:rPr>
              <w:t>41</w:t>
            </w:r>
          </w:p>
        </w:tc>
      </w:tr>
      <w:tr w14:paraId="788211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7" w:type="dxa"/>
            <w:tcBorders>
              <w:left w:val="nil"/>
            </w:tcBorders>
            <w:vAlign w:val="top"/>
          </w:tcPr>
          <w:p w14:paraId="5C65FDF2">
            <w:pPr>
              <w:pStyle w:val="6"/>
              <w:spacing w:before="100" w:line="189" w:lineRule="auto"/>
              <w:ind w:left="184"/>
              <w:rPr>
                <w:sz w:val="22"/>
                <w:szCs w:val="22"/>
              </w:rPr>
            </w:pPr>
            <w:r>
              <w:rPr>
                <w:spacing w:val="-13"/>
                <w:sz w:val="22"/>
                <w:szCs w:val="22"/>
              </w:rPr>
              <w:t>14</w:t>
            </w:r>
          </w:p>
        </w:tc>
        <w:tc>
          <w:tcPr>
            <w:tcW w:w="1940" w:type="dxa"/>
            <w:vAlign w:val="top"/>
          </w:tcPr>
          <w:p w14:paraId="5DC7EE1C">
            <w:pPr>
              <w:pStyle w:val="6"/>
              <w:spacing w:before="61" w:line="205" w:lineRule="auto"/>
              <w:ind w:left="579"/>
              <w:rPr>
                <w:sz w:val="22"/>
                <w:szCs w:val="22"/>
              </w:rPr>
            </w:pPr>
            <w:r>
              <w:rPr>
                <w:rFonts w:ascii="仿宋" w:hAnsi="仿宋" w:eastAsia="仿宋" w:cs="仿宋"/>
                <w:spacing w:val="-6"/>
                <w:sz w:val="22"/>
                <w:szCs w:val="22"/>
              </w:rPr>
              <w:t>背景点</w:t>
            </w:r>
            <w:r>
              <w:rPr>
                <w:rFonts w:ascii="仿宋" w:hAnsi="仿宋" w:eastAsia="仿宋" w:cs="仿宋"/>
                <w:spacing w:val="-30"/>
                <w:sz w:val="22"/>
                <w:szCs w:val="22"/>
              </w:rPr>
              <w:t xml:space="preserve"> </w:t>
            </w:r>
            <w:r>
              <w:rPr>
                <w:spacing w:val="-6"/>
                <w:sz w:val="22"/>
                <w:szCs w:val="22"/>
              </w:rPr>
              <w:t>1</w:t>
            </w:r>
          </w:p>
        </w:tc>
        <w:tc>
          <w:tcPr>
            <w:tcW w:w="737" w:type="dxa"/>
            <w:vAlign w:val="top"/>
          </w:tcPr>
          <w:p w14:paraId="079F348F">
            <w:pPr>
              <w:pStyle w:val="6"/>
              <w:spacing w:before="100" w:line="189" w:lineRule="auto"/>
              <w:ind w:left="260"/>
              <w:rPr>
                <w:sz w:val="22"/>
                <w:szCs w:val="22"/>
              </w:rPr>
            </w:pPr>
            <w:r>
              <w:rPr>
                <w:spacing w:val="-2"/>
                <w:sz w:val="22"/>
                <w:szCs w:val="22"/>
              </w:rPr>
              <w:t>45</w:t>
            </w:r>
          </w:p>
        </w:tc>
        <w:tc>
          <w:tcPr>
            <w:tcW w:w="737" w:type="dxa"/>
            <w:vAlign w:val="top"/>
          </w:tcPr>
          <w:p w14:paraId="31479FC2">
            <w:pPr>
              <w:pStyle w:val="6"/>
              <w:spacing w:before="100" w:line="189" w:lineRule="auto"/>
              <w:ind w:left="259"/>
              <w:rPr>
                <w:sz w:val="22"/>
                <w:szCs w:val="22"/>
              </w:rPr>
            </w:pPr>
            <w:r>
              <w:rPr>
                <w:spacing w:val="-2"/>
                <w:sz w:val="22"/>
                <w:szCs w:val="22"/>
              </w:rPr>
              <w:t>47</w:t>
            </w:r>
          </w:p>
        </w:tc>
        <w:tc>
          <w:tcPr>
            <w:tcW w:w="1548" w:type="dxa"/>
            <w:vAlign w:val="top"/>
          </w:tcPr>
          <w:p w14:paraId="44713E2E">
            <w:pPr>
              <w:pStyle w:val="6"/>
              <w:spacing w:before="100" w:line="189" w:lineRule="auto"/>
              <w:ind w:left="665"/>
              <w:rPr>
                <w:sz w:val="22"/>
                <w:szCs w:val="22"/>
              </w:rPr>
            </w:pPr>
            <w:r>
              <w:rPr>
                <w:spacing w:val="-2"/>
                <w:sz w:val="22"/>
                <w:szCs w:val="22"/>
              </w:rPr>
              <w:t>46</w:t>
            </w:r>
          </w:p>
        </w:tc>
        <w:tc>
          <w:tcPr>
            <w:tcW w:w="737" w:type="dxa"/>
            <w:vAlign w:val="top"/>
          </w:tcPr>
          <w:p w14:paraId="604AE64C">
            <w:pPr>
              <w:pStyle w:val="6"/>
              <w:spacing w:before="100" w:line="189" w:lineRule="auto"/>
              <w:ind w:left="265"/>
              <w:rPr>
                <w:sz w:val="22"/>
                <w:szCs w:val="22"/>
              </w:rPr>
            </w:pPr>
            <w:r>
              <w:rPr>
                <w:spacing w:val="-5"/>
                <w:sz w:val="22"/>
                <w:szCs w:val="22"/>
              </w:rPr>
              <w:t>36</w:t>
            </w:r>
          </w:p>
        </w:tc>
        <w:tc>
          <w:tcPr>
            <w:tcW w:w="737" w:type="dxa"/>
            <w:vAlign w:val="top"/>
          </w:tcPr>
          <w:p w14:paraId="5EF472B5">
            <w:pPr>
              <w:pStyle w:val="6"/>
              <w:spacing w:before="100" w:line="189" w:lineRule="auto"/>
              <w:ind w:left="265"/>
              <w:rPr>
                <w:sz w:val="22"/>
                <w:szCs w:val="22"/>
              </w:rPr>
            </w:pPr>
            <w:r>
              <w:rPr>
                <w:spacing w:val="-5"/>
                <w:sz w:val="22"/>
                <w:szCs w:val="22"/>
              </w:rPr>
              <w:t>36</w:t>
            </w:r>
          </w:p>
        </w:tc>
        <w:tc>
          <w:tcPr>
            <w:tcW w:w="1549" w:type="dxa"/>
            <w:tcBorders>
              <w:right w:val="nil"/>
            </w:tcBorders>
            <w:vAlign w:val="top"/>
          </w:tcPr>
          <w:p w14:paraId="592EC6CE">
            <w:pPr>
              <w:pStyle w:val="6"/>
              <w:spacing w:before="100" w:line="189" w:lineRule="auto"/>
              <w:ind w:left="670"/>
              <w:rPr>
                <w:sz w:val="22"/>
                <w:szCs w:val="22"/>
              </w:rPr>
            </w:pPr>
            <w:r>
              <w:rPr>
                <w:spacing w:val="-5"/>
                <w:sz w:val="22"/>
                <w:szCs w:val="22"/>
              </w:rPr>
              <w:t>36</w:t>
            </w:r>
          </w:p>
        </w:tc>
      </w:tr>
      <w:tr w14:paraId="110B03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7" w:type="dxa"/>
            <w:tcBorders>
              <w:left w:val="nil"/>
            </w:tcBorders>
            <w:vAlign w:val="top"/>
          </w:tcPr>
          <w:p w14:paraId="4ECD75CD">
            <w:pPr>
              <w:pStyle w:val="6"/>
              <w:spacing w:before="100" w:line="189" w:lineRule="auto"/>
              <w:ind w:left="184"/>
              <w:rPr>
                <w:sz w:val="22"/>
                <w:szCs w:val="22"/>
              </w:rPr>
            </w:pPr>
            <w:r>
              <w:rPr>
                <w:spacing w:val="-13"/>
                <w:sz w:val="22"/>
                <w:szCs w:val="22"/>
              </w:rPr>
              <w:t>15</w:t>
            </w:r>
          </w:p>
        </w:tc>
        <w:tc>
          <w:tcPr>
            <w:tcW w:w="1940" w:type="dxa"/>
            <w:vAlign w:val="top"/>
          </w:tcPr>
          <w:p w14:paraId="06CD7094">
            <w:pPr>
              <w:pStyle w:val="6"/>
              <w:spacing w:before="65" w:line="202" w:lineRule="auto"/>
              <w:ind w:left="572"/>
              <w:rPr>
                <w:sz w:val="22"/>
                <w:szCs w:val="22"/>
              </w:rPr>
            </w:pPr>
            <w:r>
              <w:rPr>
                <w:rFonts w:ascii="仿宋" w:hAnsi="仿宋" w:eastAsia="仿宋" w:cs="仿宋"/>
                <w:spacing w:val="-5"/>
                <w:sz w:val="22"/>
                <w:szCs w:val="22"/>
              </w:rPr>
              <w:t>西圪旦</w:t>
            </w:r>
            <w:r>
              <w:rPr>
                <w:rFonts w:ascii="仿宋" w:hAnsi="仿宋" w:eastAsia="仿宋" w:cs="仿宋"/>
                <w:spacing w:val="-28"/>
                <w:sz w:val="22"/>
                <w:szCs w:val="22"/>
              </w:rPr>
              <w:t xml:space="preserve"> </w:t>
            </w:r>
            <w:r>
              <w:rPr>
                <w:spacing w:val="-5"/>
                <w:sz w:val="22"/>
                <w:szCs w:val="22"/>
              </w:rPr>
              <w:t>1</w:t>
            </w:r>
          </w:p>
        </w:tc>
        <w:tc>
          <w:tcPr>
            <w:tcW w:w="737" w:type="dxa"/>
            <w:vAlign w:val="top"/>
          </w:tcPr>
          <w:p w14:paraId="726B9D2F">
            <w:pPr>
              <w:pStyle w:val="6"/>
              <w:spacing w:before="100" w:line="189" w:lineRule="auto"/>
              <w:ind w:left="260"/>
              <w:rPr>
                <w:sz w:val="22"/>
                <w:szCs w:val="22"/>
              </w:rPr>
            </w:pPr>
            <w:r>
              <w:rPr>
                <w:spacing w:val="-2"/>
                <w:sz w:val="22"/>
                <w:szCs w:val="22"/>
              </w:rPr>
              <w:t>49</w:t>
            </w:r>
          </w:p>
        </w:tc>
        <w:tc>
          <w:tcPr>
            <w:tcW w:w="737" w:type="dxa"/>
            <w:vAlign w:val="top"/>
          </w:tcPr>
          <w:p w14:paraId="18434380">
            <w:pPr>
              <w:pStyle w:val="6"/>
              <w:spacing w:before="100" w:line="189" w:lineRule="auto"/>
              <w:ind w:left="259"/>
              <w:rPr>
                <w:sz w:val="22"/>
                <w:szCs w:val="22"/>
              </w:rPr>
            </w:pPr>
            <w:r>
              <w:rPr>
                <w:spacing w:val="-2"/>
                <w:sz w:val="22"/>
                <w:szCs w:val="22"/>
              </w:rPr>
              <w:t>49</w:t>
            </w:r>
          </w:p>
        </w:tc>
        <w:tc>
          <w:tcPr>
            <w:tcW w:w="1548" w:type="dxa"/>
            <w:vAlign w:val="top"/>
          </w:tcPr>
          <w:p w14:paraId="49E747BF">
            <w:pPr>
              <w:pStyle w:val="6"/>
              <w:spacing w:before="100" w:line="189" w:lineRule="auto"/>
              <w:ind w:left="665"/>
              <w:rPr>
                <w:sz w:val="22"/>
                <w:szCs w:val="22"/>
              </w:rPr>
            </w:pPr>
            <w:r>
              <w:rPr>
                <w:spacing w:val="-2"/>
                <w:sz w:val="22"/>
                <w:szCs w:val="22"/>
              </w:rPr>
              <w:t>49</w:t>
            </w:r>
          </w:p>
        </w:tc>
        <w:tc>
          <w:tcPr>
            <w:tcW w:w="737" w:type="dxa"/>
            <w:vAlign w:val="top"/>
          </w:tcPr>
          <w:p w14:paraId="69FE602C">
            <w:pPr>
              <w:pStyle w:val="6"/>
              <w:spacing w:before="100" w:line="189" w:lineRule="auto"/>
              <w:ind w:left="259"/>
              <w:rPr>
                <w:sz w:val="22"/>
                <w:szCs w:val="22"/>
              </w:rPr>
            </w:pPr>
            <w:r>
              <w:rPr>
                <w:spacing w:val="-2"/>
                <w:sz w:val="22"/>
                <w:szCs w:val="22"/>
              </w:rPr>
              <w:t>40</w:t>
            </w:r>
          </w:p>
        </w:tc>
        <w:tc>
          <w:tcPr>
            <w:tcW w:w="737" w:type="dxa"/>
            <w:vAlign w:val="top"/>
          </w:tcPr>
          <w:p w14:paraId="678143DB">
            <w:pPr>
              <w:pStyle w:val="6"/>
              <w:spacing w:before="100" w:line="189" w:lineRule="auto"/>
              <w:ind w:left="265"/>
              <w:rPr>
                <w:sz w:val="22"/>
                <w:szCs w:val="22"/>
              </w:rPr>
            </w:pPr>
            <w:r>
              <w:rPr>
                <w:spacing w:val="-5"/>
                <w:sz w:val="22"/>
                <w:szCs w:val="22"/>
              </w:rPr>
              <w:t>37</w:t>
            </w:r>
          </w:p>
        </w:tc>
        <w:tc>
          <w:tcPr>
            <w:tcW w:w="1549" w:type="dxa"/>
            <w:tcBorders>
              <w:right w:val="nil"/>
            </w:tcBorders>
            <w:vAlign w:val="top"/>
          </w:tcPr>
          <w:p w14:paraId="483643CD">
            <w:pPr>
              <w:pStyle w:val="6"/>
              <w:spacing w:before="100" w:line="189" w:lineRule="auto"/>
              <w:ind w:left="588"/>
              <w:rPr>
                <w:sz w:val="22"/>
                <w:szCs w:val="22"/>
              </w:rPr>
            </w:pPr>
            <w:r>
              <w:rPr>
                <w:spacing w:val="-2"/>
                <w:sz w:val="22"/>
                <w:szCs w:val="22"/>
              </w:rPr>
              <w:t>38.5</w:t>
            </w:r>
          </w:p>
        </w:tc>
      </w:tr>
      <w:tr w14:paraId="09B475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7" w:type="dxa"/>
            <w:tcBorders>
              <w:left w:val="nil"/>
            </w:tcBorders>
            <w:vAlign w:val="top"/>
          </w:tcPr>
          <w:p w14:paraId="5E13DB6E">
            <w:pPr>
              <w:pStyle w:val="6"/>
              <w:spacing w:before="101" w:line="189" w:lineRule="auto"/>
              <w:ind w:left="184"/>
              <w:rPr>
                <w:sz w:val="22"/>
                <w:szCs w:val="22"/>
              </w:rPr>
            </w:pPr>
            <w:r>
              <w:rPr>
                <w:spacing w:val="-13"/>
                <w:sz w:val="22"/>
                <w:szCs w:val="22"/>
              </w:rPr>
              <w:t>16</w:t>
            </w:r>
          </w:p>
        </w:tc>
        <w:tc>
          <w:tcPr>
            <w:tcW w:w="1940" w:type="dxa"/>
            <w:vAlign w:val="top"/>
          </w:tcPr>
          <w:p w14:paraId="0960EDA1">
            <w:pPr>
              <w:pStyle w:val="6"/>
              <w:spacing w:before="65" w:line="202" w:lineRule="auto"/>
              <w:ind w:left="572"/>
              <w:rPr>
                <w:sz w:val="22"/>
                <w:szCs w:val="22"/>
              </w:rPr>
            </w:pPr>
            <w:r>
              <w:rPr>
                <w:rFonts w:ascii="仿宋" w:hAnsi="仿宋" w:eastAsia="仿宋" w:cs="仿宋"/>
                <w:spacing w:val="-5"/>
                <w:sz w:val="22"/>
                <w:szCs w:val="22"/>
              </w:rPr>
              <w:t>西圪旦</w:t>
            </w:r>
            <w:r>
              <w:rPr>
                <w:rFonts w:ascii="仿宋" w:hAnsi="仿宋" w:eastAsia="仿宋" w:cs="仿宋"/>
                <w:spacing w:val="-49"/>
                <w:sz w:val="22"/>
                <w:szCs w:val="22"/>
              </w:rPr>
              <w:t xml:space="preserve"> </w:t>
            </w:r>
            <w:r>
              <w:rPr>
                <w:spacing w:val="-5"/>
                <w:sz w:val="22"/>
                <w:szCs w:val="22"/>
              </w:rPr>
              <w:t>2</w:t>
            </w:r>
          </w:p>
        </w:tc>
        <w:tc>
          <w:tcPr>
            <w:tcW w:w="737" w:type="dxa"/>
            <w:vAlign w:val="top"/>
          </w:tcPr>
          <w:p w14:paraId="58D4338F">
            <w:pPr>
              <w:pStyle w:val="6"/>
              <w:spacing w:before="101" w:line="189" w:lineRule="auto"/>
              <w:ind w:left="260"/>
              <w:rPr>
                <w:sz w:val="22"/>
                <w:szCs w:val="22"/>
              </w:rPr>
            </w:pPr>
            <w:r>
              <w:rPr>
                <w:spacing w:val="-2"/>
                <w:sz w:val="22"/>
                <w:szCs w:val="22"/>
              </w:rPr>
              <w:t>48</w:t>
            </w:r>
          </w:p>
        </w:tc>
        <w:tc>
          <w:tcPr>
            <w:tcW w:w="737" w:type="dxa"/>
            <w:vAlign w:val="top"/>
          </w:tcPr>
          <w:p w14:paraId="40F8CF41">
            <w:pPr>
              <w:pStyle w:val="6"/>
              <w:spacing w:before="101" w:line="189" w:lineRule="auto"/>
              <w:ind w:left="266"/>
              <w:rPr>
                <w:sz w:val="22"/>
                <w:szCs w:val="22"/>
              </w:rPr>
            </w:pPr>
            <w:r>
              <w:rPr>
                <w:spacing w:val="-5"/>
                <w:sz w:val="22"/>
                <w:szCs w:val="22"/>
              </w:rPr>
              <w:t>52</w:t>
            </w:r>
          </w:p>
        </w:tc>
        <w:tc>
          <w:tcPr>
            <w:tcW w:w="1548" w:type="dxa"/>
            <w:vAlign w:val="top"/>
          </w:tcPr>
          <w:p w14:paraId="746F147E">
            <w:pPr>
              <w:pStyle w:val="6"/>
              <w:spacing w:before="101" w:line="189" w:lineRule="auto"/>
              <w:ind w:left="672"/>
              <w:rPr>
                <w:sz w:val="22"/>
                <w:szCs w:val="22"/>
              </w:rPr>
            </w:pPr>
            <w:r>
              <w:rPr>
                <w:spacing w:val="-5"/>
                <w:sz w:val="22"/>
                <w:szCs w:val="22"/>
              </w:rPr>
              <w:t>50</w:t>
            </w:r>
          </w:p>
        </w:tc>
        <w:tc>
          <w:tcPr>
            <w:tcW w:w="737" w:type="dxa"/>
            <w:vAlign w:val="top"/>
          </w:tcPr>
          <w:p w14:paraId="09E34D04">
            <w:pPr>
              <w:pStyle w:val="6"/>
              <w:spacing w:before="101" w:line="189" w:lineRule="auto"/>
              <w:ind w:left="259"/>
              <w:rPr>
                <w:sz w:val="22"/>
                <w:szCs w:val="22"/>
              </w:rPr>
            </w:pPr>
            <w:r>
              <w:rPr>
                <w:spacing w:val="-2"/>
                <w:sz w:val="22"/>
                <w:szCs w:val="22"/>
              </w:rPr>
              <w:t>42</w:t>
            </w:r>
          </w:p>
        </w:tc>
        <w:tc>
          <w:tcPr>
            <w:tcW w:w="737" w:type="dxa"/>
            <w:vAlign w:val="top"/>
          </w:tcPr>
          <w:p w14:paraId="3F303E17">
            <w:pPr>
              <w:pStyle w:val="6"/>
              <w:spacing w:before="101" w:line="189" w:lineRule="auto"/>
              <w:ind w:left="265"/>
              <w:rPr>
                <w:sz w:val="22"/>
                <w:szCs w:val="22"/>
              </w:rPr>
            </w:pPr>
            <w:r>
              <w:rPr>
                <w:spacing w:val="-5"/>
                <w:sz w:val="22"/>
                <w:szCs w:val="22"/>
              </w:rPr>
              <w:t>38</w:t>
            </w:r>
          </w:p>
        </w:tc>
        <w:tc>
          <w:tcPr>
            <w:tcW w:w="1549" w:type="dxa"/>
            <w:tcBorders>
              <w:right w:val="nil"/>
            </w:tcBorders>
            <w:vAlign w:val="top"/>
          </w:tcPr>
          <w:p w14:paraId="248AF900">
            <w:pPr>
              <w:pStyle w:val="6"/>
              <w:spacing w:before="101" w:line="189" w:lineRule="auto"/>
              <w:ind w:left="664"/>
              <w:rPr>
                <w:sz w:val="22"/>
                <w:szCs w:val="22"/>
              </w:rPr>
            </w:pPr>
            <w:r>
              <w:rPr>
                <w:spacing w:val="-2"/>
                <w:sz w:val="22"/>
                <w:szCs w:val="22"/>
              </w:rPr>
              <w:t>40</w:t>
            </w:r>
          </w:p>
        </w:tc>
      </w:tr>
      <w:tr w14:paraId="568990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7" w:type="dxa"/>
            <w:tcBorders>
              <w:left w:val="nil"/>
            </w:tcBorders>
            <w:vAlign w:val="top"/>
          </w:tcPr>
          <w:p w14:paraId="02AF4651">
            <w:pPr>
              <w:pStyle w:val="6"/>
              <w:spacing w:before="104" w:line="189" w:lineRule="auto"/>
              <w:ind w:left="184"/>
              <w:rPr>
                <w:sz w:val="22"/>
                <w:szCs w:val="22"/>
              </w:rPr>
            </w:pPr>
            <w:r>
              <w:rPr>
                <w:spacing w:val="-13"/>
                <w:sz w:val="22"/>
                <w:szCs w:val="22"/>
              </w:rPr>
              <w:t>17</w:t>
            </w:r>
          </w:p>
        </w:tc>
        <w:tc>
          <w:tcPr>
            <w:tcW w:w="1940" w:type="dxa"/>
            <w:vAlign w:val="top"/>
          </w:tcPr>
          <w:p w14:paraId="71396D36">
            <w:pPr>
              <w:pStyle w:val="6"/>
              <w:spacing w:before="66" w:line="201" w:lineRule="auto"/>
              <w:ind w:left="461"/>
              <w:rPr>
                <w:sz w:val="22"/>
                <w:szCs w:val="22"/>
              </w:rPr>
            </w:pPr>
            <w:r>
              <w:rPr>
                <w:rFonts w:ascii="仿宋" w:hAnsi="仿宋" w:eastAsia="仿宋" w:cs="仿宋"/>
                <w:spacing w:val="-4"/>
                <w:sz w:val="22"/>
                <w:szCs w:val="22"/>
              </w:rPr>
              <w:t>张家圪旦</w:t>
            </w:r>
            <w:r>
              <w:rPr>
                <w:rFonts w:ascii="仿宋" w:hAnsi="仿宋" w:eastAsia="仿宋" w:cs="仿宋"/>
                <w:spacing w:val="-27"/>
                <w:sz w:val="22"/>
                <w:szCs w:val="22"/>
              </w:rPr>
              <w:t xml:space="preserve"> </w:t>
            </w:r>
            <w:r>
              <w:rPr>
                <w:spacing w:val="-4"/>
                <w:sz w:val="22"/>
                <w:szCs w:val="22"/>
              </w:rPr>
              <w:t>1</w:t>
            </w:r>
          </w:p>
        </w:tc>
        <w:tc>
          <w:tcPr>
            <w:tcW w:w="737" w:type="dxa"/>
            <w:vAlign w:val="top"/>
          </w:tcPr>
          <w:p w14:paraId="7960DB18">
            <w:pPr>
              <w:pStyle w:val="6"/>
              <w:spacing w:before="104" w:line="189" w:lineRule="auto"/>
              <w:ind w:left="260"/>
              <w:rPr>
                <w:sz w:val="22"/>
                <w:szCs w:val="22"/>
              </w:rPr>
            </w:pPr>
            <w:r>
              <w:rPr>
                <w:spacing w:val="-2"/>
                <w:sz w:val="22"/>
                <w:szCs w:val="22"/>
              </w:rPr>
              <w:t>47</w:t>
            </w:r>
          </w:p>
        </w:tc>
        <w:tc>
          <w:tcPr>
            <w:tcW w:w="737" w:type="dxa"/>
            <w:vAlign w:val="top"/>
          </w:tcPr>
          <w:p w14:paraId="558F04AE">
            <w:pPr>
              <w:pStyle w:val="6"/>
              <w:spacing w:before="104" w:line="189" w:lineRule="auto"/>
              <w:ind w:left="266"/>
              <w:rPr>
                <w:sz w:val="22"/>
                <w:szCs w:val="22"/>
              </w:rPr>
            </w:pPr>
            <w:r>
              <w:rPr>
                <w:spacing w:val="-5"/>
                <w:sz w:val="22"/>
                <w:szCs w:val="22"/>
              </w:rPr>
              <w:t>51</w:t>
            </w:r>
          </w:p>
        </w:tc>
        <w:tc>
          <w:tcPr>
            <w:tcW w:w="1548" w:type="dxa"/>
            <w:vAlign w:val="top"/>
          </w:tcPr>
          <w:p w14:paraId="3BCD1044">
            <w:pPr>
              <w:pStyle w:val="6"/>
              <w:spacing w:before="104" w:line="189" w:lineRule="auto"/>
              <w:ind w:left="665"/>
              <w:rPr>
                <w:sz w:val="22"/>
                <w:szCs w:val="22"/>
              </w:rPr>
            </w:pPr>
            <w:r>
              <w:rPr>
                <w:spacing w:val="-2"/>
                <w:sz w:val="22"/>
                <w:szCs w:val="22"/>
              </w:rPr>
              <w:t>49</w:t>
            </w:r>
          </w:p>
        </w:tc>
        <w:tc>
          <w:tcPr>
            <w:tcW w:w="737" w:type="dxa"/>
            <w:vAlign w:val="top"/>
          </w:tcPr>
          <w:p w14:paraId="2AA759B5">
            <w:pPr>
              <w:pStyle w:val="6"/>
              <w:spacing w:before="104" w:line="189" w:lineRule="auto"/>
              <w:ind w:left="259"/>
              <w:rPr>
                <w:sz w:val="22"/>
                <w:szCs w:val="22"/>
              </w:rPr>
            </w:pPr>
            <w:r>
              <w:rPr>
                <w:spacing w:val="-2"/>
                <w:sz w:val="22"/>
                <w:szCs w:val="22"/>
              </w:rPr>
              <w:t>41</w:t>
            </w:r>
          </w:p>
        </w:tc>
        <w:tc>
          <w:tcPr>
            <w:tcW w:w="737" w:type="dxa"/>
            <w:vAlign w:val="top"/>
          </w:tcPr>
          <w:p w14:paraId="50B337D5">
            <w:pPr>
              <w:pStyle w:val="6"/>
              <w:spacing w:before="104" w:line="189" w:lineRule="auto"/>
              <w:ind w:left="259"/>
              <w:rPr>
                <w:sz w:val="22"/>
                <w:szCs w:val="22"/>
              </w:rPr>
            </w:pPr>
            <w:r>
              <w:rPr>
                <w:spacing w:val="-2"/>
                <w:sz w:val="22"/>
                <w:szCs w:val="22"/>
              </w:rPr>
              <w:t>42</w:t>
            </w:r>
          </w:p>
        </w:tc>
        <w:tc>
          <w:tcPr>
            <w:tcW w:w="1549" w:type="dxa"/>
            <w:tcBorders>
              <w:right w:val="nil"/>
            </w:tcBorders>
            <w:vAlign w:val="top"/>
          </w:tcPr>
          <w:p w14:paraId="42D0ABA8">
            <w:pPr>
              <w:pStyle w:val="6"/>
              <w:spacing w:before="104" w:line="189" w:lineRule="auto"/>
              <w:ind w:left="583"/>
              <w:rPr>
                <w:sz w:val="22"/>
                <w:szCs w:val="22"/>
              </w:rPr>
            </w:pPr>
            <w:r>
              <w:rPr>
                <w:spacing w:val="-1"/>
                <w:sz w:val="22"/>
                <w:szCs w:val="22"/>
              </w:rPr>
              <w:t>41.5</w:t>
            </w:r>
          </w:p>
        </w:tc>
      </w:tr>
      <w:tr w14:paraId="3B8C51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7" w:type="dxa"/>
            <w:tcBorders>
              <w:left w:val="nil"/>
            </w:tcBorders>
            <w:vAlign w:val="top"/>
          </w:tcPr>
          <w:p w14:paraId="4BFE4762">
            <w:pPr>
              <w:pStyle w:val="6"/>
              <w:spacing w:before="104" w:line="189" w:lineRule="auto"/>
              <w:ind w:left="184"/>
              <w:rPr>
                <w:sz w:val="22"/>
                <w:szCs w:val="22"/>
              </w:rPr>
            </w:pPr>
            <w:r>
              <w:rPr>
                <w:spacing w:val="-13"/>
                <w:sz w:val="22"/>
                <w:szCs w:val="22"/>
              </w:rPr>
              <w:t>18</w:t>
            </w:r>
          </w:p>
        </w:tc>
        <w:tc>
          <w:tcPr>
            <w:tcW w:w="1940" w:type="dxa"/>
            <w:vAlign w:val="top"/>
          </w:tcPr>
          <w:p w14:paraId="021461A1">
            <w:pPr>
              <w:pStyle w:val="6"/>
              <w:spacing w:before="66" w:line="201" w:lineRule="auto"/>
              <w:ind w:left="461"/>
              <w:rPr>
                <w:sz w:val="22"/>
                <w:szCs w:val="22"/>
              </w:rPr>
            </w:pPr>
            <w:r>
              <w:rPr>
                <w:rFonts w:ascii="仿宋" w:hAnsi="仿宋" w:eastAsia="仿宋" w:cs="仿宋"/>
                <w:spacing w:val="-4"/>
                <w:sz w:val="22"/>
                <w:szCs w:val="22"/>
              </w:rPr>
              <w:t>张家圪旦</w:t>
            </w:r>
            <w:r>
              <w:rPr>
                <w:rFonts w:ascii="仿宋" w:hAnsi="仿宋" w:eastAsia="仿宋" w:cs="仿宋"/>
                <w:spacing w:val="-48"/>
                <w:sz w:val="22"/>
                <w:szCs w:val="22"/>
              </w:rPr>
              <w:t xml:space="preserve"> </w:t>
            </w:r>
            <w:r>
              <w:rPr>
                <w:spacing w:val="-4"/>
                <w:sz w:val="22"/>
                <w:szCs w:val="22"/>
              </w:rPr>
              <w:t>2</w:t>
            </w:r>
          </w:p>
        </w:tc>
        <w:tc>
          <w:tcPr>
            <w:tcW w:w="737" w:type="dxa"/>
            <w:vAlign w:val="top"/>
          </w:tcPr>
          <w:p w14:paraId="7001C563">
            <w:pPr>
              <w:pStyle w:val="6"/>
              <w:spacing w:before="104" w:line="189" w:lineRule="auto"/>
              <w:ind w:left="267"/>
              <w:rPr>
                <w:sz w:val="22"/>
                <w:szCs w:val="22"/>
              </w:rPr>
            </w:pPr>
            <w:r>
              <w:rPr>
                <w:spacing w:val="-5"/>
                <w:sz w:val="22"/>
                <w:szCs w:val="22"/>
              </w:rPr>
              <w:t>51</w:t>
            </w:r>
          </w:p>
        </w:tc>
        <w:tc>
          <w:tcPr>
            <w:tcW w:w="737" w:type="dxa"/>
            <w:vAlign w:val="top"/>
          </w:tcPr>
          <w:p w14:paraId="223051AD">
            <w:pPr>
              <w:pStyle w:val="6"/>
              <w:spacing w:before="104" w:line="189" w:lineRule="auto"/>
              <w:ind w:left="266"/>
              <w:rPr>
                <w:sz w:val="22"/>
                <w:szCs w:val="22"/>
              </w:rPr>
            </w:pPr>
            <w:r>
              <w:rPr>
                <w:spacing w:val="-5"/>
                <w:sz w:val="22"/>
                <w:szCs w:val="22"/>
              </w:rPr>
              <w:t>52</w:t>
            </w:r>
          </w:p>
        </w:tc>
        <w:tc>
          <w:tcPr>
            <w:tcW w:w="1548" w:type="dxa"/>
            <w:vAlign w:val="top"/>
          </w:tcPr>
          <w:p w14:paraId="60FE08AC">
            <w:pPr>
              <w:pStyle w:val="6"/>
              <w:spacing w:before="104" w:line="189" w:lineRule="auto"/>
              <w:ind w:left="588"/>
              <w:rPr>
                <w:sz w:val="22"/>
                <w:szCs w:val="22"/>
              </w:rPr>
            </w:pPr>
            <w:r>
              <w:rPr>
                <w:spacing w:val="-3"/>
                <w:sz w:val="22"/>
                <w:szCs w:val="22"/>
              </w:rPr>
              <w:t>51.5</w:t>
            </w:r>
          </w:p>
        </w:tc>
        <w:tc>
          <w:tcPr>
            <w:tcW w:w="737" w:type="dxa"/>
            <w:vAlign w:val="top"/>
          </w:tcPr>
          <w:p w14:paraId="0BEA15EF">
            <w:pPr>
              <w:pStyle w:val="6"/>
              <w:spacing w:before="104" w:line="189" w:lineRule="auto"/>
              <w:ind w:left="259"/>
              <w:rPr>
                <w:sz w:val="22"/>
                <w:szCs w:val="22"/>
              </w:rPr>
            </w:pPr>
            <w:r>
              <w:rPr>
                <w:spacing w:val="-2"/>
                <w:sz w:val="22"/>
                <w:szCs w:val="22"/>
              </w:rPr>
              <w:t>43</w:t>
            </w:r>
          </w:p>
        </w:tc>
        <w:tc>
          <w:tcPr>
            <w:tcW w:w="737" w:type="dxa"/>
            <w:vAlign w:val="top"/>
          </w:tcPr>
          <w:p w14:paraId="5A994F0B">
            <w:pPr>
              <w:pStyle w:val="6"/>
              <w:spacing w:before="104" w:line="189" w:lineRule="auto"/>
              <w:ind w:left="259"/>
              <w:rPr>
                <w:sz w:val="22"/>
                <w:szCs w:val="22"/>
              </w:rPr>
            </w:pPr>
            <w:r>
              <w:rPr>
                <w:spacing w:val="-2"/>
                <w:sz w:val="22"/>
                <w:szCs w:val="22"/>
              </w:rPr>
              <w:t>43</w:t>
            </w:r>
          </w:p>
        </w:tc>
        <w:tc>
          <w:tcPr>
            <w:tcW w:w="1549" w:type="dxa"/>
            <w:tcBorders>
              <w:right w:val="nil"/>
            </w:tcBorders>
            <w:vAlign w:val="top"/>
          </w:tcPr>
          <w:p w14:paraId="64C5E74A">
            <w:pPr>
              <w:pStyle w:val="6"/>
              <w:spacing w:before="104" w:line="189" w:lineRule="auto"/>
              <w:ind w:left="664"/>
              <w:rPr>
                <w:sz w:val="22"/>
                <w:szCs w:val="22"/>
              </w:rPr>
            </w:pPr>
            <w:r>
              <w:rPr>
                <w:spacing w:val="-2"/>
                <w:sz w:val="22"/>
                <w:szCs w:val="22"/>
              </w:rPr>
              <w:t>43</w:t>
            </w:r>
          </w:p>
        </w:tc>
      </w:tr>
      <w:tr w14:paraId="5270E9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7" w:type="dxa"/>
            <w:tcBorders>
              <w:left w:val="nil"/>
            </w:tcBorders>
            <w:vAlign w:val="top"/>
          </w:tcPr>
          <w:p w14:paraId="4C60777E">
            <w:pPr>
              <w:pStyle w:val="6"/>
              <w:spacing w:before="105" w:line="189" w:lineRule="auto"/>
              <w:ind w:left="184"/>
              <w:rPr>
                <w:sz w:val="22"/>
                <w:szCs w:val="22"/>
              </w:rPr>
            </w:pPr>
            <w:r>
              <w:rPr>
                <w:spacing w:val="-13"/>
                <w:sz w:val="22"/>
                <w:szCs w:val="22"/>
              </w:rPr>
              <w:t>19</w:t>
            </w:r>
          </w:p>
        </w:tc>
        <w:tc>
          <w:tcPr>
            <w:tcW w:w="1940" w:type="dxa"/>
            <w:vAlign w:val="top"/>
          </w:tcPr>
          <w:p w14:paraId="2928CE01">
            <w:pPr>
              <w:pStyle w:val="6"/>
              <w:spacing w:before="67" w:line="200" w:lineRule="auto"/>
              <w:ind w:left="461"/>
              <w:rPr>
                <w:sz w:val="22"/>
                <w:szCs w:val="22"/>
              </w:rPr>
            </w:pPr>
            <w:r>
              <w:rPr>
                <w:rFonts w:ascii="仿宋" w:hAnsi="仿宋" w:eastAsia="仿宋" w:cs="仿宋"/>
                <w:spacing w:val="-4"/>
                <w:sz w:val="22"/>
                <w:szCs w:val="22"/>
              </w:rPr>
              <w:t>张家圪旦</w:t>
            </w:r>
            <w:r>
              <w:rPr>
                <w:rFonts w:ascii="仿宋" w:hAnsi="仿宋" w:eastAsia="仿宋" w:cs="仿宋"/>
                <w:spacing w:val="-44"/>
                <w:sz w:val="22"/>
                <w:szCs w:val="22"/>
              </w:rPr>
              <w:t xml:space="preserve"> </w:t>
            </w:r>
            <w:r>
              <w:rPr>
                <w:spacing w:val="-4"/>
                <w:sz w:val="22"/>
                <w:szCs w:val="22"/>
              </w:rPr>
              <w:t>3</w:t>
            </w:r>
          </w:p>
        </w:tc>
        <w:tc>
          <w:tcPr>
            <w:tcW w:w="737" w:type="dxa"/>
            <w:vAlign w:val="top"/>
          </w:tcPr>
          <w:p w14:paraId="0DB0E35D">
            <w:pPr>
              <w:pStyle w:val="6"/>
              <w:spacing w:before="105" w:line="189" w:lineRule="auto"/>
              <w:ind w:left="267"/>
              <w:rPr>
                <w:sz w:val="22"/>
                <w:szCs w:val="22"/>
              </w:rPr>
            </w:pPr>
            <w:r>
              <w:rPr>
                <w:spacing w:val="-5"/>
                <w:sz w:val="22"/>
                <w:szCs w:val="22"/>
              </w:rPr>
              <w:t>53</w:t>
            </w:r>
          </w:p>
        </w:tc>
        <w:tc>
          <w:tcPr>
            <w:tcW w:w="737" w:type="dxa"/>
            <w:vAlign w:val="top"/>
          </w:tcPr>
          <w:p w14:paraId="43FC0A20">
            <w:pPr>
              <w:pStyle w:val="6"/>
              <w:spacing w:before="105" w:line="189" w:lineRule="auto"/>
              <w:ind w:left="266"/>
              <w:rPr>
                <w:sz w:val="22"/>
                <w:szCs w:val="22"/>
              </w:rPr>
            </w:pPr>
            <w:r>
              <w:rPr>
                <w:spacing w:val="-5"/>
                <w:sz w:val="22"/>
                <w:szCs w:val="22"/>
              </w:rPr>
              <w:t>51</w:t>
            </w:r>
          </w:p>
        </w:tc>
        <w:tc>
          <w:tcPr>
            <w:tcW w:w="1548" w:type="dxa"/>
            <w:vAlign w:val="top"/>
          </w:tcPr>
          <w:p w14:paraId="0D6544E0">
            <w:pPr>
              <w:pStyle w:val="6"/>
              <w:spacing w:before="105" w:line="189" w:lineRule="auto"/>
              <w:ind w:left="672"/>
              <w:rPr>
                <w:sz w:val="22"/>
                <w:szCs w:val="22"/>
              </w:rPr>
            </w:pPr>
            <w:r>
              <w:rPr>
                <w:spacing w:val="-5"/>
                <w:sz w:val="22"/>
                <w:szCs w:val="22"/>
              </w:rPr>
              <w:t>52</w:t>
            </w:r>
          </w:p>
        </w:tc>
        <w:tc>
          <w:tcPr>
            <w:tcW w:w="737" w:type="dxa"/>
            <w:vAlign w:val="top"/>
          </w:tcPr>
          <w:p w14:paraId="47540A13">
            <w:pPr>
              <w:pStyle w:val="6"/>
              <w:spacing w:before="105" w:line="189" w:lineRule="auto"/>
              <w:ind w:left="259"/>
              <w:rPr>
                <w:sz w:val="22"/>
                <w:szCs w:val="22"/>
              </w:rPr>
            </w:pPr>
            <w:r>
              <w:rPr>
                <w:spacing w:val="-2"/>
                <w:sz w:val="22"/>
                <w:szCs w:val="22"/>
              </w:rPr>
              <w:t>42</w:t>
            </w:r>
          </w:p>
        </w:tc>
        <w:tc>
          <w:tcPr>
            <w:tcW w:w="737" w:type="dxa"/>
            <w:vAlign w:val="top"/>
          </w:tcPr>
          <w:p w14:paraId="7B641D63">
            <w:pPr>
              <w:pStyle w:val="6"/>
              <w:spacing w:before="105" w:line="189" w:lineRule="auto"/>
              <w:ind w:left="259"/>
              <w:rPr>
                <w:sz w:val="22"/>
                <w:szCs w:val="22"/>
              </w:rPr>
            </w:pPr>
            <w:r>
              <w:rPr>
                <w:spacing w:val="-2"/>
                <w:sz w:val="22"/>
                <w:szCs w:val="22"/>
              </w:rPr>
              <w:t>42</w:t>
            </w:r>
          </w:p>
        </w:tc>
        <w:tc>
          <w:tcPr>
            <w:tcW w:w="1549" w:type="dxa"/>
            <w:tcBorders>
              <w:right w:val="nil"/>
            </w:tcBorders>
            <w:vAlign w:val="top"/>
          </w:tcPr>
          <w:p w14:paraId="726283DC">
            <w:pPr>
              <w:pStyle w:val="6"/>
              <w:spacing w:before="105" w:line="189" w:lineRule="auto"/>
              <w:ind w:left="664"/>
              <w:rPr>
                <w:sz w:val="22"/>
                <w:szCs w:val="22"/>
              </w:rPr>
            </w:pPr>
            <w:r>
              <w:rPr>
                <w:spacing w:val="-2"/>
                <w:sz w:val="22"/>
                <w:szCs w:val="22"/>
              </w:rPr>
              <w:t>42</w:t>
            </w:r>
          </w:p>
        </w:tc>
      </w:tr>
      <w:tr w14:paraId="7C314E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trPr>
        <w:tc>
          <w:tcPr>
            <w:tcW w:w="537" w:type="dxa"/>
            <w:tcBorders>
              <w:left w:val="nil"/>
              <w:bottom w:val="single" w:color="000000" w:sz="10" w:space="0"/>
            </w:tcBorders>
            <w:vAlign w:val="top"/>
          </w:tcPr>
          <w:p w14:paraId="044433D3">
            <w:pPr>
              <w:pStyle w:val="6"/>
              <w:spacing w:before="106" w:line="189" w:lineRule="auto"/>
              <w:ind w:left="163"/>
              <w:rPr>
                <w:sz w:val="22"/>
                <w:szCs w:val="22"/>
              </w:rPr>
            </w:pPr>
            <w:r>
              <w:rPr>
                <w:spacing w:val="-2"/>
                <w:sz w:val="22"/>
                <w:szCs w:val="22"/>
              </w:rPr>
              <w:t>20</w:t>
            </w:r>
          </w:p>
        </w:tc>
        <w:tc>
          <w:tcPr>
            <w:tcW w:w="1940" w:type="dxa"/>
            <w:tcBorders>
              <w:bottom w:val="single" w:color="000000" w:sz="10" w:space="0"/>
            </w:tcBorders>
            <w:vAlign w:val="top"/>
          </w:tcPr>
          <w:p w14:paraId="59616EA7">
            <w:pPr>
              <w:pStyle w:val="6"/>
              <w:spacing w:before="68" w:line="217" w:lineRule="auto"/>
              <w:ind w:left="579"/>
              <w:rPr>
                <w:sz w:val="22"/>
                <w:szCs w:val="22"/>
              </w:rPr>
            </w:pPr>
            <w:r>
              <w:rPr>
                <w:rFonts w:ascii="仿宋" w:hAnsi="仿宋" w:eastAsia="仿宋" w:cs="仿宋"/>
                <w:spacing w:val="-6"/>
                <w:sz w:val="22"/>
                <w:szCs w:val="22"/>
              </w:rPr>
              <w:t>背景点</w:t>
            </w:r>
            <w:r>
              <w:rPr>
                <w:rFonts w:ascii="仿宋" w:hAnsi="仿宋" w:eastAsia="仿宋" w:cs="仿宋"/>
                <w:spacing w:val="-51"/>
                <w:sz w:val="22"/>
                <w:szCs w:val="22"/>
              </w:rPr>
              <w:t xml:space="preserve"> </w:t>
            </w:r>
            <w:r>
              <w:rPr>
                <w:spacing w:val="-6"/>
                <w:sz w:val="22"/>
                <w:szCs w:val="22"/>
              </w:rPr>
              <w:t>2</w:t>
            </w:r>
          </w:p>
        </w:tc>
        <w:tc>
          <w:tcPr>
            <w:tcW w:w="737" w:type="dxa"/>
            <w:tcBorders>
              <w:bottom w:val="single" w:color="000000" w:sz="10" w:space="0"/>
            </w:tcBorders>
            <w:vAlign w:val="top"/>
          </w:tcPr>
          <w:p w14:paraId="42170D9C">
            <w:pPr>
              <w:pStyle w:val="6"/>
              <w:spacing w:before="106" w:line="189" w:lineRule="auto"/>
              <w:ind w:left="260"/>
              <w:rPr>
                <w:sz w:val="22"/>
                <w:szCs w:val="22"/>
              </w:rPr>
            </w:pPr>
            <w:r>
              <w:rPr>
                <w:spacing w:val="-2"/>
                <w:sz w:val="22"/>
                <w:szCs w:val="22"/>
              </w:rPr>
              <w:t>46</w:t>
            </w:r>
          </w:p>
        </w:tc>
        <w:tc>
          <w:tcPr>
            <w:tcW w:w="737" w:type="dxa"/>
            <w:tcBorders>
              <w:bottom w:val="single" w:color="000000" w:sz="10" w:space="0"/>
            </w:tcBorders>
            <w:vAlign w:val="top"/>
          </w:tcPr>
          <w:p w14:paraId="3256B202">
            <w:pPr>
              <w:pStyle w:val="6"/>
              <w:spacing w:before="106" w:line="189" w:lineRule="auto"/>
              <w:ind w:left="259"/>
              <w:rPr>
                <w:sz w:val="22"/>
                <w:szCs w:val="22"/>
              </w:rPr>
            </w:pPr>
            <w:r>
              <w:rPr>
                <w:spacing w:val="-2"/>
                <w:sz w:val="22"/>
                <w:szCs w:val="22"/>
              </w:rPr>
              <w:t>46</w:t>
            </w:r>
          </w:p>
        </w:tc>
        <w:tc>
          <w:tcPr>
            <w:tcW w:w="1548" w:type="dxa"/>
            <w:tcBorders>
              <w:bottom w:val="single" w:color="000000" w:sz="10" w:space="0"/>
            </w:tcBorders>
            <w:vAlign w:val="top"/>
          </w:tcPr>
          <w:p w14:paraId="65E36563">
            <w:pPr>
              <w:pStyle w:val="6"/>
              <w:spacing w:before="106" w:line="189" w:lineRule="auto"/>
              <w:ind w:left="665"/>
              <w:rPr>
                <w:sz w:val="22"/>
                <w:szCs w:val="22"/>
              </w:rPr>
            </w:pPr>
            <w:r>
              <w:rPr>
                <w:spacing w:val="-2"/>
                <w:sz w:val="22"/>
                <w:szCs w:val="22"/>
              </w:rPr>
              <w:t>46</w:t>
            </w:r>
          </w:p>
        </w:tc>
        <w:tc>
          <w:tcPr>
            <w:tcW w:w="737" w:type="dxa"/>
            <w:tcBorders>
              <w:bottom w:val="single" w:color="000000" w:sz="10" w:space="0"/>
            </w:tcBorders>
            <w:vAlign w:val="top"/>
          </w:tcPr>
          <w:p w14:paraId="179DF6AB">
            <w:pPr>
              <w:pStyle w:val="6"/>
              <w:spacing w:before="106" w:line="189" w:lineRule="auto"/>
              <w:ind w:left="265"/>
              <w:rPr>
                <w:sz w:val="22"/>
                <w:szCs w:val="22"/>
              </w:rPr>
            </w:pPr>
            <w:r>
              <w:rPr>
                <w:spacing w:val="-5"/>
                <w:sz w:val="22"/>
                <w:szCs w:val="22"/>
              </w:rPr>
              <w:t>36</w:t>
            </w:r>
          </w:p>
        </w:tc>
        <w:tc>
          <w:tcPr>
            <w:tcW w:w="737" w:type="dxa"/>
            <w:tcBorders>
              <w:bottom w:val="single" w:color="000000" w:sz="10" w:space="0"/>
            </w:tcBorders>
            <w:vAlign w:val="top"/>
          </w:tcPr>
          <w:p w14:paraId="2DAAD085">
            <w:pPr>
              <w:pStyle w:val="6"/>
              <w:spacing w:before="106" w:line="189" w:lineRule="auto"/>
              <w:ind w:left="265"/>
              <w:rPr>
                <w:sz w:val="22"/>
                <w:szCs w:val="22"/>
              </w:rPr>
            </w:pPr>
            <w:r>
              <w:rPr>
                <w:spacing w:val="-5"/>
                <w:sz w:val="22"/>
                <w:szCs w:val="22"/>
              </w:rPr>
              <w:t>36</w:t>
            </w:r>
          </w:p>
        </w:tc>
        <w:tc>
          <w:tcPr>
            <w:tcW w:w="1549" w:type="dxa"/>
            <w:tcBorders>
              <w:bottom w:val="single" w:color="000000" w:sz="10" w:space="0"/>
              <w:right w:val="nil"/>
            </w:tcBorders>
            <w:vAlign w:val="top"/>
          </w:tcPr>
          <w:p w14:paraId="04A318B8">
            <w:pPr>
              <w:pStyle w:val="6"/>
              <w:spacing w:before="106" w:line="189" w:lineRule="auto"/>
              <w:ind w:left="670"/>
              <w:rPr>
                <w:sz w:val="22"/>
                <w:szCs w:val="22"/>
              </w:rPr>
            </w:pPr>
            <w:r>
              <w:rPr>
                <w:spacing w:val="-5"/>
                <w:sz w:val="22"/>
                <w:szCs w:val="22"/>
              </w:rPr>
              <w:t>36</w:t>
            </w:r>
          </w:p>
        </w:tc>
      </w:tr>
    </w:tbl>
    <w:p w14:paraId="0F73512E">
      <w:pPr>
        <w:pStyle w:val="2"/>
        <w:rPr>
          <w:sz w:val="21"/>
        </w:rPr>
      </w:pPr>
    </w:p>
    <w:p w14:paraId="5F4C29D3">
      <w:pPr>
        <w:rPr>
          <w:sz w:val="21"/>
          <w:szCs w:val="21"/>
        </w:rPr>
        <w:sectPr>
          <w:footerReference r:id="rId168" w:type="default"/>
          <w:pgSz w:w="11906" w:h="16839"/>
          <w:pgMar w:top="400" w:right="1691" w:bottom="1370" w:left="1691" w:header="0" w:footer="1207" w:gutter="0"/>
          <w:cols w:space="720" w:num="1"/>
        </w:sectPr>
      </w:pPr>
    </w:p>
    <w:p w14:paraId="684232F5">
      <w:pPr>
        <w:spacing w:before="19"/>
      </w:pPr>
    </w:p>
    <w:p w14:paraId="0B0DA784">
      <w:pPr>
        <w:spacing w:before="19"/>
      </w:pPr>
    </w:p>
    <w:p w14:paraId="647536CA">
      <w:pPr>
        <w:spacing w:before="18"/>
      </w:pPr>
    </w:p>
    <w:p w14:paraId="244F7B17">
      <w:pPr>
        <w:spacing w:before="18"/>
      </w:pPr>
    </w:p>
    <w:tbl>
      <w:tblPr>
        <w:tblStyle w:val="5"/>
        <w:tblW w:w="8521"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7"/>
        <w:gridCol w:w="1939"/>
        <w:gridCol w:w="737"/>
        <w:gridCol w:w="737"/>
        <w:gridCol w:w="1548"/>
        <w:gridCol w:w="737"/>
        <w:gridCol w:w="737"/>
        <w:gridCol w:w="1549"/>
      </w:tblGrid>
      <w:tr w14:paraId="64A229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3" w:hRule="atLeast"/>
        </w:trPr>
        <w:tc>
          <w:tcPr>
            <w:tcW w:w="537" w:type="dxa"/>
            <w:tcBorders>
              <w:top w:val="single" w:color="000000" w:sz="10" w:space="0"/>
              <w:left w:val="nil"/>
            </w:tcBorders>
            <w:vAlign w:val="top"/>
          </w:tcPr>
          <w:p w14:paraId="5CA6ABF6">
            <w:pPr>
              <w:pStyle w:val="6"/>
              <w:spacing w:before="88" w:line="189" w:lineRule="auto"/>
              <w:ind w:left="163"/>
              <w:rPr>
                <w:sz w:val="22"/>
                <w:szCs w:val="22"/>
              </w:rPr>
            </w:pPr>
            <w:r>
              <w:rPr>
                <w:spacing w:val="-2"/>
                <w:sz w:val="22"/>
                <w:szCs w:val="22"/>
              </w:rPr>
              <w:t>21</w:t>
            </w:r>
          </w:p>
        </w:tc>
        <w:tc>
          <w:tcPr>
            <w:tcW w:w="1939" w:type="dxa"/>
            <w:tcBorders>
              <w:top w:val="single" w:color="000000" w:sz="10" w:space="0"/>
            </w:tcBorders>
            <w:vAlign w:val="top"/>
          </w:tcPr>
          <w:p w14:paraId="7C2A485D">
            <w:pPr>
              <w:spacing w:before="50" w:line="212" w:lineRule="auto"/>
              <w:ind w:left="760"/>
              <w:rPr>
                <w:rFonts w:ascii="仿宋" w:hAnsi="仿宋" w:eastAsia="仿宋" w:cs="仿宋"/>
                <w:sz w:val="22"/>
                <w:szCs w:val="22"/>
              </w:rPr>
            </w:pPr>
            <w:r>
              <w:rPr>
                <w:rFonts w:ascii="仿宋" w:hAnsi="仿宋" w:eastAsia="仿宋" w:cs="仿宋"/>
                <w:spacing w:val="-7"/>
                <w:sz w:val="22"/>
                <w:szCs w:val="22"/>
              </w:rPr>
              <w:t>散户</w:t>
            </w:r>
          </w:p>
        </w:tc>
        <w:tc>
          <w:tcPr>
            <w:tcW w:w="737" w:type="dxa"/>
            <w:tcBorders>
              <w:top w:val="single" w:color="000000" w:sz="10" w:space="0"/>
            </w:tcBorders>
            <w:vAlign w:val="top"/>
          </w:tcPr>
          <w:p w14:paraId="1D7618E7">
            <w:pPr>
              <w:pStyle w:val="6"/>
              <w:spacing w:before="88" w:line="189" w:lineRule="auto"/>
              <w:ind w:left="268"/>
              <w:rPr>
                <w:sz w:val="22"/>
                <w:szCs w:val="22"/>
              </w:rPr>
            </w:pPr>
            <w:r>
              <w:rPr>
                <w:spacing w:val="-5"/>
                <w:sz w:val="22"/>
                <w:szCs w:val="22"/>
              </w:rPr>
              <w:t>51</w:t>
            </w:r>
          </w:p>
        </w:tc>
        <w:tc>
          <w:tcPr>
            <w:tcW w:w="737" w:type="dxa"/>
            <w:tcBorders>
              <w:top w:val="single" w:color="000000" w:sz="10" w:space="0"/>
            </w:tcBorders>
            <w:vAlign w:val="top"/>
          </w:tcPr>
          <w:p w14:paraId="4D4B7614">
            <w:pPr>
              <w:pStyle w:val="6"/>
              <w:spacing w:before="88" w:line="189" w:lineRule="auto"/>
              <w:ind w:left="267"/>
              <w:rPr>
                <w:sz w:val="22"/>
                <w:szCs w:val="22"/>
              </w:rPr>
            </w:pPr>
            <w:r>
              <w:rPr>
                <w:spacing w:val="-5"/>
                <w:sz w:val="22"/>
                <w:szCs w:val="22"/>
              </w:rPr>
              <w:t>52</w:t>
            </w:r>
          </w:p>
        </w:tc>
        <w:tc>
          <w:tcPr>
            <w:tcW w:w="1548" w:type="dxa"/>
            <w:tcBorders>
              <w:top w:val="single" w:color="000000" w:sz="10" w:space="0"/>
            </w:tcBorders>
            <w:vAlign w:val="top"/>
          </w:tcPr>
          <w:p w14:paraId="6F4F5F24">
            <w:pPr>
              <w:pStyle w:val="6"/>
              <w:spacing w:before="88" w:line="189" w:lineRule="auto"/>
              <w:ind w:left="589"/>
              <w:rPr>
                <w:sz w:val="22"/>
                <w:szCs w:val="22"/>
              </w:rPr>
            </w:pPr>
            <w:r>
              <w:rPr>
                <w:spacing w:val="-3"/>
                <w:sz w:val="22"/>
                <w:szCs w:val="22"/>
              </w:rPr>
              <w:t>51.5</w:t>
            </w:r>
          </w:p>
        </w:tc>
        <w:tc>
          <w:tcPr>
            <w:tcW w:w="737" w:type="dxa"/>
            <w:tcBorders>
              <w:top w:val="single" w:color="000000" w:sz="10" w:space="0"/>
            </w:tcBorders>
            <w:vAlign w:val="top"/>
          </w:tcPr>
          <w:p w14:paraId="06FCBD62">
            <w:pPr>
              <w:pStyle w:val="6"/>
              <w:spacing w:before="88" w:line="189" w:lineRule="auto"/>
              <w:ind w:left="260"/>
              <w:rPr>
                <w:sz w:val="22"/>
                <w:szCs w:val="22"/>
              </w:rPr>
            </w:pPr>
            <w:r>
              <w:rPr>
                <w:spacing w:val="-2"/>
                <w:sz w:val="22"/>
                <w:szCs w:val="22"/>
              </w:rPr>
              <w:t>40</w:t>
            </w:r>
          </w:p>
        </w:tc>
        <w:tc>
          <w:tcPr>
            <w:tcW w:w="737" w:type="dxa"/>
            <w:tcBorders>
              <w:top w:val="single" w:color="000000" w:sz="10" w:space="0"/>
            </w:tcBorders>
            <w:vAlign w:val="top"/>
          </w:tcPr>
          <w:p w14:paraId="36D614A5">
            <w:pPr>
              <w:pStyle w:val="6"/>
              <w:spacing w:before="88" w:line="189" w:lineRule="auto"/>
              <w:ind w:left="260"/>
              <w:rPr>
                <w:sz w:val="22"/>
                <w:szCs w:val="22"/>
              </w:rPr>
            </w:pPr>
            <w:r>
              <w:rPr>
                <w:spacing w:val="-2"/>
                <w:sz w:val="22"/>
                <w:szCs w:val="22"/>
              </w:rPr>
              <w:t>40</w:t>
            </w:r>
          </w:p>
        </w:tc>
        <w:tc>
          <w:tcPr>
            <w:tcW w:w="1549" w:type="dxa"/>
            <w:tcBorders>
              <w:top w:val="single" w:color="000000" w:sz="10" w:space="0"/>
              <w:right w:val="nil"/>
            </w:tcBorders>
            <w:vAlign w:val="top"/>
          </w:tcPr>
          <w:p w14:paraId="01172CB9">
            <w:pPr>
              <w:pStyle w:val="6"/>
              <w:spacing w:before="88" w:line="189" w:lineRule="auto"/>
              <w:ind w:left="665"/>
              <w:rPr>
                <w:sz w:val="22"/>
                <w:szCs w:val="22"/>
              </w:rPr>
            </w:pPr>
            <w:r>
              <w:rPr>
                <w:spacing w:val="-2"/>
                <w:sz w:val="22"/>
                <w:szCs w:val="22"/>
              </w:rPr>
              <w:t>40</w:t>
            </w:r>
          </w:p>
        </w:tc>
      </w:tr>
      <w:tr w14:paraId="4AE395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trPr>
        <w:tc>
          <w:tcPr>
            <w:tcW w:w="537" w:type="dxa"/>
            <w:tcBorders>
              <w:left w:val="nil"/>
            </w:tcBorders>
            <w:vAlign w:val="top"/>
          </w:tcPr>
          <w:p w14:paraId="2F785525">
            <w:pPr>
              <w:pStyle w:val="6"/>
              <w:spacing w:before="91" w:line="189" w:lineRule="auto"/>
              <w:ind w:left="163"/>
              <w:rPr>
                <w:sz w:val="22"/>
                <w:szCs w:val="22"/>
              </w:rPr>
            </w:pPr>
            <w:r>
              <w:rPr>
                <w:spacing w:val="-2"/>
                <w:sz w:val="22"/>
                <w:szCs w:val="22"/>
              </w:rPr>
              <w:t>22</w:t>
            </w:r>
          </w:p>
        </w:tc>
        <w:tc>
          <w:tcPr>
            <w:tcW w:w="1939" w:type="dxa"/>
            <w:vAlign w:val="top"/>
          </w:tcPr>
          <w:p w14:paraId="495DFBEB">
            <w:pPr>
              <w:spacing w:before="55" w:line="204" w:lineRule="auto"/>
              <w:ind w:left="651"/>
              <w:rPr>
                <w:rFonts w:ascii="仿宋" w:hAnsi="仿宋" w:eastAsia="仿宋" w:cs="仿宋"/>
                <w:sz w:val="22"/>
                <w:szCs w:val="22"/>
              </w:rPr>
            </w:pPr>
            <w:r>
              <w:rPr>
                <w:rFonts w:ascii="仿宋" w:hAnsi="仿宋" w:eastAsia="仿宋" w:cs="仿宋"/>
                <w:spacing w:val="-5"/>
                <w:sz w:val="22"/>
                <w:szCs w:val="22"/>
              </w:rPr>
              <w:t>神官湾</w:t>
            </w:r>
          </w:p>
        </w:tc>
        <w:tc>
          <w:tcPr>
            <w:tcW w:w="737" w:type="dxa"/>
            <w:vAlign w:val="top"/>
          </w:tcPr>
          <w:p w14:paraId="3CDC5F4C">
            <w:pPr>
              <w:pStyle w:val="6"/>
              <w:spacing w:before="91" w:line="189" w:lineRule="auto"/>
              <w:ind w:left="268"/>
              <w:rPr>
                <w:sz w:val="22"/>
                <w:szCs w:val="22"/>
              </w:rPr>
            </w:pPr>
            <w:r>
              <w:rPr>
                <w:spacing w:val="-5"/>
                <w:sz w:val="22"/>
                <w:szCs w:val="22"/>
              </w:rPr>
              <w:t>50</w:t>
            </w:r>
          </w:p>
        </w:tc>
        <w:tc>
          <w:tcPr>
            <w:tcW w:w="737" w:type="dxa"/>
            <w:vAlign w:val="top"/>
          </w:tcPr>
          <w:p w14:paraId="7981A3EE">
            <w:pPr>
              <w:pStyle w:val="6"/>
              <w:spacing w:before="91" w:line="189" w:lineRule="auto"/>
              <w:ind w:left="267"/>
              <w:rPr>
                <w:sz w:val="22"/>
                <w:szCs w:val="22"/>
              </w:rPr>
            </w:pPr>
            <w:r>
              <w:rPr>
                <w:spacing w:val="-5"/>
                <w:sz w:val="22"/>
                <w:szCs w:val="22"/>
              </w:rPr>
              <w:t>51</w:t>
            </w:r>
          </w:p>
        </w:tc>
        <w:tc>
          <w:tcPr>
            <w:tcW w:w="1548" w:type="dxa"/>
            <w:vAlign w:val="top"/>
          </w:tcPr>
          <w:p w14:paraId="1E6BFCA8">
            <w:pPr>
              <w:pStyle w:val="6"/>
              <w:spacing w:before="91" w:line="189" w:lineRule="auto"/>
              <w:ind w:left="589"/>
              <w:rPr>
                <w:sz w:val="22"/>
                <w:szCs w:val="22"/>
              </w:rPr>
            </w:pPr>
            <w:r>
              <w:rPr>
                <w:spacing w:val="-3"/>
                <w:sz w:val="22"/>
                <w:szCs w:val="22"/>
              </w:rPr>
              <w:t>50.5</w:t>
            </w:r>
          </w:p>
        </w:tc>
        <w:tc>
          <w:tcPr>
            <w:tcW w:w="737" w:type="dxa"/>
            <w:vAlign w:val="top"/>
          </w:tcPr>
          <w:p w14:paraId="1826074F">
            <w:pPr>
              <w:pStyle w:val="6"/>
              <w:spacing w:before="91" w:line="189" w:lineRule="auto"/>
              <w:ind w:left="266"/>
              <w:rPr>
                <w:sz w:val="22"/>
                <w:szCs w:val="22"/>
              </w:rPr>
            </w:pPr>
            <w:r>
              <w:rPr>
                <w:spacing w:val="-5"/>
                <w:sz w:val="22"/>
                <w:szCs w:val="22"/>
              </w:rPr>
              <w:t>39</w:t>
            </w:r>
          </w:p>
        </w:tc>
        <w:tc>
          <w:tcPr>
            <w:tcW w:w="737" w:type="dxa"/>
            <w:vAlign w:val="top"/>
          </w:tcPr>
          <w:p w14:paraId="2D065E73">
            <w:pPr>
              <w:pStyle w:val="6"/>
              <w:spacing w:before="91" w:line="189" w:lineRule="auto"/>
              <w:ind w:left="265"/>
              <w:rPr>
                <w:sz w:val="22"/>
                <w:szCs w:val="22"/>
              </w:rPr>
            </w:pPr>
            <w:r>
              <w:rPr>
                <w:spacing w:val="-5"/>
                <w:sz w:val="22"/>
                <w:szCs w:val="22"/>
              </w:rPr>
              <w:t>39</w:t>
            </w:r>
          </w:p>
        </w:tc>
        <w:tc>
          <w:tcPr>
            <w:tcW w:w="1549" w:type="dxa"/>
            <w:tcBorders>
              <w:right w:val="nil"/>
            </w:tcBorders>
            <w:vAlign w:val="top"/>
          </w:tcPr>
          <w:p w14:paraId="2EDA8415">
            <w:pPr>
              <w:pStyle w:val="6"/>
              <w:spacing w:before="91" w:line="189" w:lineRule="auto"/>
              <w:ind w:left="671"/>
              <w:rPr>
                <w:sz w:val="22"/>
                <w:szCs w:val="22"/>
              </w:rPr>
            </w:pPr>
            <w:r>
              <w:rPr>
                <w:spacing w:val="-5"/>
                <w:sz w:val="22"/>
                <w:szCs w:val="22"/>
              </w:rPr>
              <w:t>39</w:t>
            </w:r>
          </w:p>
        </w:tc>
      </w:tr>
      <w:tr w14:paraId="6531EC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537" w:type="dxa"/>
            <w:tcBorders>
              <w:left w:val="nil"/>
              <w:bottom w:val="single" w:color="000000" w:sz="10" w:space="0"/>
            </w:tcBorders>
            <w:vAlign w:val="top"/>
          </w:tcPr>
          <w:p w14:paraId="5F1512A4">
            <w:pPr>
              <w:pStyle w:val="6"/>
              <w:spacing w:before="99" w:line="189" w:lineRule="auto"/>
              <w:ind w:left="163"/>
              <w:rPr>
                <w:sz w:val="22"/>
                <w:szCs w:val="22"/>
              </w:rPr>
            </w:pPr>
            <w:r>
              <w:rPr>
                <w:spacing w:val="-2"/>
                <w:sz w:val="22"/>
                <w:szCs w:val="22"/>
              </w:rPr>
              <w:t>23</w:t>
            </w:r>
          </w:p>
        </w:tc>
        <w:tc>
          <w:tcPr>
            <w:tcW w:w="1939" w:type="dxa"/>
            <w:tcBorders>
              <w:bottom w:val="single" w:color="000000" w:sz="10" w:space="0"/>
            </w:tcBorders>
            <w:vAlign w:val="top"/>
          </w:tcPr>
          <w:p w14:paraId="71671D0B">
            <w:pPr>
              <w:pStyle w:val="6"/>
              <w:spacing w:before="63" w:line="217" w:lineRule="auto"/>
              <w:ind w:left="285"/>
              <w:rPr>
                <w:rFonts w:ascii="仿宋" w:hAnsi="仿宋" w:eastAsia="仿宋" w:cs="仿宋"/>
                <w:sz w:val="22"/>
                <w:szCs w:val="22"/>
              </w:rPr>
            </w:pPr>
            <w:r>
              <w:rPr>
                <w:rFonts w:ascii="仿宋" w:hAnsi="仿宋" w:eastAsia="仿宋" w:cs="仿宋"/>
                <w:spacing w:val="-2"/>
                <w:sz w:val="22"/>
                <w:szCs w:val="22"/>
              </w:rPr>
              <w:t>杨子华村</w:t>
            </w:r>
            <w:r>
              <w:rPr>
                <w:spacing w:val="-2"/>
                <w:sz w:val="22"/>
                <w:szCs w:val="22"/>
              </w:rPr>
              <w:t>-</w:t>
            </w:r>
            <w:r>
              <w:rPr>
                <w:rFonts w:ascii="仿宋" w:hAnsi="仿宋" w:eastAsia="仿宋" w:cs="仿宋"/>
                <w:spacing w:val="-2"/>
                <w:sz w:val="22"/>
                <w:szCs w:val="22"/>
              </w:rPr>
              <w:t>散户</w:t>
            </w:r>
          </w:p>
        </w:tc>
        <w:tc>
          <w:tcPr>
            <w:tcW w:w="737" w:type="dxa"/>
            <w:tcBorders>
              <w:bottom w:val="single" w:color="000000" w:sz="10" w:space="0"/>
            </w:tcBorders>
            <w:vAlign w:val="top"/>
          </w:tcPr>
          <w:p w14:paraId="6553CCD5">
            <w:pPr>
              <w:pStyle w:val="6"/>
              <w:spacing w:before="99" w:line="189" w:lineRule="auto"/>
              <w:ind w:left="268"/>
              <w:rPr>
                <w:sz w:val="22"/>
                <w:szCs w:val="22"/>
              </w:rPr>
            </w:pPr>
            <w:r>
              <w:rPr>
                <w:spacing w:val="-5"/>
                <w:sz w:val="22"/>
                <w:szCs w:val="22"/>
              </w:rPr>
              <w:t>52</w:t>
            </w:r>
          </w:p>
        </w:tc>
        <w:tc>
          <w:tcPr>
            <w:tcW w:w="737" w:type="dxa"/>
            <w:tcBorders>
              <w:bottom w:val="single" w:color="000000" w:sz="10" w:space="0"/>
            </w:tcBorders>
            <w:vAlign w:val="top"/>
          </w:tcPr>
          <w:p w14:paraId="0FBD6CD9">
            <w:pPr>
              <w:pStyle w:val="6"/>
              <w:spacing w:before="99" w:line="189" w:lineRule="auto"/>
              <w:ind w:left="267"/>
              <w:rPr>
                <w:sz w:val="22"/>
                <w:szCs w:val="22"/>
              </w:rPr>
            </w:pPr>
            <w:r>
              <w:rPr>
                <w:spacing w:val="-5"/>
                <w:sz w:val="22"/>
                <w:szCs w:val="22"/>
              </w:rPr>
              <w:t>52</w:t>
            </w:r>
          </w:p>
        </w:tc>
        <w:tc>
          <w:tcPr>
            <w:tcW w:w="1548" w:type="dxa"/>
            <w:tcBorders>
              <w:bottom w:val="single" w:color="000000" w:sz="10" w:space="0"/>
            </w:tcBorders>
            <w:vAlign w:val="top"/>
          </w:tcPr>
          <w:p w14:paraId="7B7A2923">
            <w:pPr>
              <w:pStyle w:val="6"/>
              <w:spacing w:before="99" w:line="189" w:lineRule="auto"/>
              <w:ind w:left="673"/>
              <w:rPr>
                <w:sz w:val="22"/>
                <w:szCs w:val="22"/>
              </w:rPr>
            </w:pPr>
            <w:r>
              <w:rPr>
                <w:spacing w:val="-5"/>
                <w:sz w:val="22"/>
                <w:szCs w:val="22"/>
              </w:rPr>
              <w:t>52</w:t>
            </w:r>
          </w:p>
        </w:tc>
        <w:tc>
          <w:tcPr>
            <w:tcW w:w="737" w:type="dxa"/>
            <w:tcBorders>
              <w:bottom w:val="single" w:color="000000" w:sz="10" w:space="0"/>
            </w:tcBorders>
            <w:vAlign w:val="top"/>
          </w:tcPr>
          <w:p w14:paraId="6CBBE1B5">
            <w:pPr>
              <w:pStyle w:val="6"/>
              <w:spacing w:before="99" w:line="189" w:lineRule="auto"/>
              <w:ind w:left="266"/>
              <w:rPr>
                <w:sz w:val="22"/>
                <w:szCs w:val="22"/>
              </w:rPr>
            </w:pPr>
            <w:r>
              <w:rPr>
                <w:spacing w:val="-5"/>
                <w:sz w:val="22"/>
                <w:szCs w:val="22"/>
              </w:rPr>
              <w:t>37</w:t>
            </w:r>
          </w:p>
        </w:tc>
        <w:tc>
          <w:tcPr>
            <w:tcW w:w="737" w:type="dxa"/>
            <w:tcBorders>
              <w:bottom w:val="single" w:color="000000" w:sz="10" w:space="0"/>
            </w:tcBorders>
            <w:vAlign w:val="top"/>
          </w:tcPr>
          <w:p w14:paraId="181E19D6">
            <w:pPr>
              <w:pStyle w:val="6"/>
              <w:spacing w:before="99" w:line="189" w:lineRule="auto"/>
              <w:ind w:left="260"/>
              <w:rPr>
                <w:sz w:val="22"/>
                <w:szCs w:val="22"/>
              </w:rPr>
            </w:pPr>
            <w:r>
              <w:rPr>
                <w:spacing w:val="-2"/>
                <w:sz w:val="22"/>
                <w:szCs w:val="22"/>
              </w:rPr>
              <w:t>41</w:t>
            </w:r>
          </w:p>
        </w:tc>
        <w:tc>
          <w:tcPr>
            <w:tcW w:w="1549" w:type="dxa"/>
            <w:tcBorders>
              <w:bottom w:val="single" w:color="000000" w:sz="10" w:space="0"/>
              <w:right w:val="nil"/>
            </w:tcBorders>
            <w:vAlign w:val="top"/>
          </w:tcPr>
          <w:p w14:paraId="40532BF8">
            <w:pPr>
              <w:pStyle w:val="6"/>
              <w:spacing w:before="99" w:line="189" w:lineRule="auto"/>
              <w:ind w:left="671"/>
              <w:rPr>
                <w:sz w:val="22"/>
                <w:szCs w:val="22"/>
              </w:rPr>
            </w:pPr>
            <w:r>
              <w:rPr>
                <w:spacing w:val="-5"/>
                <w:sz w:val="22"/>
                <w:szCs w:val="22"/>
              </w:rPr>
              <w:t>39</w:t>
            </w:r>
          </w:p>
        </w:tc>
      </w:tr>
    </w:tbl>
    <w:p w14:paraId="4D7119D2">
      <w:pPr>
        <w:spacing w:before="38" w:line="222" w:lineRule="auto"/>
        <w:ind w:left="1416"/>
        <w:rPr>
          <w:rFonts w:ascii="仿宋" w:hAnsi="仿宋" w:eastAsia="仿宋" w:cs="仿宋"/>
          <w:sz w:val="24"/>
          <w:szCs w:val="24"/>
        </w:rPr>
      </w:pPr>
      <w:r>
        <w:rPr>
          <w:rFonts w:ascii="仿宋" w:hAnsi="仿宋" w:eastAsia="仿宋" w:cs="仿宋"/>
          <w:b/>
          <w:bCs/>
          <w:spacing w:val="-3"/>
          <w:sz w:val="24"/>
          <w:szCs w:val="24"/>
        </w:rPr>
        <w:t>表</w:t>
      </w:r>
      <w:r>
        <w:rPr>
          <w:rFonts w:ascii="仿宋" w:hAnsi="仿宋" w:eastAsia="仿宋" w:cs="仿宋"/>
          <w:spacing w:val="-32"/>
          <w:sz w:val="24"/>
          <w:szCs w:val="24"/>
        </w:rPr>
        <w:t xml:space="preserve"> </w:t>
      </w:r>
      <w:r>
        <w:rPr>
          <w:rFonts w:ascii="仿宋" w:hAnsi="仿宋" w:eastAsia="仿宋" w:cs="仿宋"/>
          <w:b/>
          <w:bCs/>
          <w:spacing w:val="-3"/>
          <w:sz w:val="24"/>
          <w:szCs w:val="24"/>
        </w:rPr>
        <w:t>3.2-8</w:t>
      </w:r>
      <w:r>
        <w:rPr>
          <w:rFonts w:ascii="仿宋" w:hAnsi="仿宋" w:eastAsia="仿宋" w:cs="仿宋"/>
          <w:spacing w:val="-3"/>
          <w:sz w:val="24"/>
          <w:szCs w:val="24"/>
        </w:rPr>
        <w:t xml:space="preserve">    </w:t>
      </w:r>
      <w:r>
        <w:rPr>
          <w:rFonts w:ascii="仿宋" w:hAnsi="仿宋" w:eastAsia="仿宋" w:cs="仿宋"/>
          <w:b/>
          <w:bCs/>
          <w:spacing w:val="-3"/>
          <w:sz w:val="24"/>
          <w:szCs w:val="24"/>
        </w:rPr>
        <w:t>周边现有道路声环境现状监测评价结果表</w:t>
      </w:r>
    </w:p>
    <w:p w14:paraId="5E811A92">
      <w:pPr>
        <w:spacing w:line="141" w:lineRule="exact"/>
      </w:pPr>
    </w:p>
    <w:tbl>
      <w:tblPr>
        <w:tblStyle w:val="5"/>
        <w:tblW w:w="852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06"/>
        <w:gridCol w:w="822"/>
        <w:gridCol w:w="822"/>
        <w:gridCol w:w="1764"/>
        <w:gridCol w:w="822"/>
        <w:gridCol w:w="822"/>
        <w:gridCol w:w="1764"/>
      </w:tblGrid>
      <w:tr w14:paraId="15EA45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706" w:type="dxa"/>
            <w:tcBorders>
              <w:top w:val="single" w:color="000000" w:sz="10" w:space="0"/>
              <w:left w:val="nil"/>
            </w:tcBorders>
            <w:vAlign w:val="top"/>
          </w:tcPr>
          <w:p w14:paraId="2F75B433">
            <w:pPr>
              <w:spacing w:before="55" w:line="262" w:lineRule="auto"/>
              <w:ind w:left="766" w:right="116" w:hanging="636"/>
              <w:rPr>
                <w:rFonts w:ascii="仿宋" w:hAnsi="仿宋" w:eastAsia="仿宋" w:cs="仿宋"/>
                <w:sz w:val="20"/>
                <w:szCs w:val="20"/>
              </w:rPr>
            </w:pPr>
            <w:r>
              <w:rPr>
                <w:rFonts w:ascii="仿宋" w:hAnsi="仿宋" w:eastAsia="仿宋" w:cs="仿宋"/>
                <w:spacing w:val="7"/>
                <w:sz w:val="20"/>
                <w:szCs w:val="20"/>
              </w:rPr>
              <w:t>距道路中心线距</w:t>
            </w:r>
            <w:r>
              <w:rPr>
                <w:rFonts w:ascii="仿宋" w:hAnsi="仿宋" w:eastAsia="仿宋" w:cs="仿宋"/>
                <w:sz w:val="20"/>
                <w:szCs w:val="20"/>
              </w:rPr>
              <w:t>离</w:t>
            </w:r>
          </w:p>
        </w:tc>
        <w:tc>
          <w:tcPr>
            <w:tcW w:w="822" w:type="dxa"/>
            <w:tcBorders>
              <w:top w:val="single" w:color="000000" w:sz="10" w:space="0"/>
            </w:tcBorders>
            <w:vAlign w:val="top"/>
          </w:tcPr>
          <w:p w14:paraId="5CDBF812">
            <w:pPr>
              <w:pStyle w:val="6"/>
              <w:spacing w:before="92" w:line="260" w:lineRule="auto"/>
              <w:ind w:left="315" w:right="225" w:hanging="83"/>
              <w:rPr>
                <w:rFonts w:ascii="仿宋" w:hAnsi="仿宋" w:eastAsia="仿宋" w:cs="仿宋"/>
                <w:sz w:val="20"/>
                <w:szCs w:val="20"/>
              </w:rPr>
            </w:pPr>
            <w:r>
              <w:rPr>
                <w:spacing w:val="-4"/>
                <w:sz w:val="20"/>
                <w:szCs w:val="20"/>
              </w:rPr>
              <w:t>6.</w:t>
            </w:r>
            <w:r>
              <w:rPr>
                <w:spacing w:val="-25"/>
                <w:sz w:val="20"/>
                <w:szCs w:val="20"/>
              </w:rPr>
              <w:t xml:space="preserve"> </w:t>
            </w:r>
            <w:r>
              <w:rPr>
                <w:spacing w:val="-4"/>
                <w:sz w:val="20"/>
                <w:szCs w:val="20"/>
              </w:rPr>
              <w:t>12</w:t>
            </w:r>
            <w:r>
              <w:rPr>
                <w:rFonts w:ascii="仿宋" w:hAnsi="仿宋" w:eastAsia="仿宋" w:cs="仿宋"/>
                <w:sz w:val="20"/>
                <w:szCs w:val="20"/>
              </w:rPr>
              <w:t>昼</w:t>
            </w:r>
          </w:p>
        </w:tc>
        <w:tc>
          <w:tcPr>
            <w:tcW w:w="822" w:type="dxa"/>
            <w:tcBorders>
              <w:top w:val="single" w:color="000000" w:sz="10" w:space="0"/>
            </w:tcBorders>
            <w:vAlign w:val="top"/>
          </w:tcPr>
          <w:p w14:paraId="3C91E7F5">
            <w:pPr>
              <w:pStyle w:val="6"/>
              <w:spacing w:before="92" w:line="260" w:lineRule="auto"/>
              <w:ind w:left="317" w:right="223" w:hanging="84"/>
              <w:rPr>
                <w:rFonts w:ascii="仿宋" w:hAnsi="仿宋" w:eastAsia="仿宋" w:cs="仿宋"/>
                <w:sz w:val="20"/>
                <w:szCs w:val="20"/>
              </w:rPr>
            </w:pPr>
            <w:r>
              <w:rPr>
                <w:spacing w:val="2"/>
                <w:sz w:val="20"/>
                <w:szCs w:val="20"/>
              </w:rPr>
              <w:t>6.13</w:t>
            </w:r>
            <w:r>
              <w:rPr>
                <w:rFonts w:ascii="仿宋" w:hAnsi="仿宋" w:eastAsia="仿宋" w:cs="仿宋"/>
                <w:sz w:val="20"/>
                <w:szCs w:val="20"/>
              </w:rPr>
              <w:t>昼</w:t>
            </w:r>
          </w:p>
        </w:tc>
        <w:tc>
          <w:tcPr>
            <w:tcW w:w="1764" w:type="dxa"/>
            <w:tcBorders>
              <w:top w:val="single" w:color="000000" w:sz="10" w:space="0"/>
            </w:tcBorders>
            <w:vAlign w:val="top"/>
          </w:tcPr>
          <w:p w14:paraId="569B9F4E">
            <w:pPr>
              <w:pStyle w:val="6"/>
              <w:spacing w:before="55" w:line="232" w:lineRule="auto"/>
              <w:ind w:left="204"/>
              <w:rPr>
                <w:sz w:val="20"/>
                <w:szCs w:val="20"/>
              </w:rPr>
            </w:pPr>
            <w:r>
              <w:rPr>
                <w:rFonts w:ascii="仿宋" w:hAnsi="仿宋" w:eastAsia="仿宋" w:cs="仿宋"/>
                <w:spacing w:val="-5"/>
                <w:sz w:val="20"/>
                <w:szCs w:val="20"/>
              </w:rPr>
              <w:t>两</w:t>
            </w:r>
            <w:r>
              <w:rPr>
                <w:rFonts w:ascii="仿宋" w:hAnsi="仿宋" w:eastAsia="仿宋" w:cs="仿宋"/>
                <w:spacing w:val="-37"/>
                <w:sz w:val="20"/>
                <w:szCs w:val="20"/>
              </w:rPr>
              <w:t xml:space="preserve"> </w:t>
            </w:r>
            <w:r>
              <w:rPr>
                <w:rFonts w:ascii="仿宋" w:hAnsi="仿宋" w:eastAsia="仿宋" w:cs="仿宋"/>
                <w:spacing w:val="-5"/>
                <w:sz w:val="20"/>
                <w:szCs w:val="20"/>
              </w:rPr>
              <w:t>日昼均值</w:t>
            </w:r>
            <w:r>
              <w:rPr>
                <w:rFonts w:ascii="仿宋" w:hAnsi="仿宋" w:eastAsia="仿宋" w:cs="仿宋"/>
                <w:spacing w:val="12"/>
                <w:sz w:val="20"/>
                <w:szCs w:val="20"/>
              </w:rPr>
              <w:t xml:space="preserve"> </w:t>
            </w:r>
            <w:r>
              <w:rPr>
                <w:spacing w:val="-5"/>
                <w:sz w:val="20"/>
                <w:szCs w:val="20"/>
              </w:rPr>
              <w:t>dB</w:t>
            </w:r>
          </w:p>
          <w:p w14:paraId="24B5354E">
            <w:pPr>
              <w:pStyle w:val="6"/>
              <w:spacing w:before="93" w:line="201" w:lineRule="auto"/>
              <w:ind w:left="740"/>
              <w:rPr>
                <w:sz w:val="20"/>
                <w:szCs w:val="20"/>
              </w:rPr>
            </w:pPr>
            <w:r>
              <w:rPr>
                <w:spacing w:val="1"/>
                <w:sz w:val="20"/>
                <w:szCs w:val="20"/>
              </w:rPr>
              <w:t>(A)</w:t>
            </w:r>
          </w:p>
        </w:tc>
        <w:tc>
          <w:tcPr>
            <w:tcW w:w="822" w:type="dxa"/>
            <w:tcBorders>
              <w:top w:val="single" w:color="000000" w:sz="10" w:space="0"/>
            </w:tcBorders>
            <w:vAlign w:val="top"/>
          </w:tcPr>
          <w:p w14:paraId="5E02D30D">
            <w:pPr>
              <w:pStyle w:val="6"/>
              <w:spacing w:before="92" w:line="260" w:lineRule="auto"/>
              <w:ind w:left="315" w:right="225" w:hanging="83"/>
              <w:rPr>
                <w:rFonts w:ascii="仿宋" w:hAnsi="仿宋" w:eastAsia="仿宋" w:cs="仿宋"/>
                <w:sz w:val="20"/>
                <w:szCs w:val="20"/>
              </w:rPr>
            </w:pPr>
            <w:r>
              <w:rPr>
                <w:spacing w:val="2"/>
                <w:sz w:val="20"/>
                <w:szCs w:val="20"/>
              </w:rPr>
              <w:t>6.13</w:t>
            </w:r>
            <w:r>
              <w:rPr>
                <w:rFonts w:ascii="仿宋" w:hAnsi="仿宋" w:eastAsia="仿宋" w:cs="仿宋"/>
                <w:sz w:val="20"/>
                <w:szCs w:val="20"/>
              </w:rPr>
              <w:t>夜</w:t>
            </w:r>
          </w:p>
        </w:tc>
        <w:tc>
          <w:tcPr>
            <w:tcW w:w="822" w:type="dxa"/>
            <w:tcBorders>
              <w:top w:val="single" w:color="000000" w:sz="10" w:space="0"/>
            </w:tcBorders>
            <w:vAlign w:val="top"/>
          </w:tcPr>
          <w:p w14:paraId="27147348">
            <w:pPr>
              <w:pStyle w:val="6"/>
              <w:spacing w:before="92" w:line="260" w:lineRule="auto"/>
              <w:ind w:left="317" w:right="223" w:hanging="84"/>
              <w:rPr>
                <w:rFonts w:ascii="仿宋" w:hAnsi="仿宋" w:eastAsia="仿宋" w:cs="仿宋"/>
                <w:sz w:val="20"/>
                <w:szCs w:val="20"/>
              </w:rPr>
            </w:pPr>
            <w:r>
              <w:rPr>
                <w:spacing w:val="-4"/>
                <w:sz w:val="20"/>
                <w:szCs w:val="20"/>
              </w:rPr>
              <w:t>6.</w:t>
            </w:r>
            <w:r>
              <w:rPr>
                <w:spacing w:val="-25"/>
                <w:sz w:val="20"/>
                <w:szCs w:val="20"/>
              </w:rPr>
              <w:t xml:space="preserve"> </w:t>
            </w:r>
            <w:r>
              <w:rPr>
                <w:spacing w:val="-4"/>
                <w:sz w:val="20"/>
                <w:szCs w:val="20"/>
              </w:rPr>
              <w:t>14</w:t>
            </w:r>
            <w:r>
              <w:rPr>
                <w:rFonts w:ascii="仿宋" w:hAnsi="仿宋" w:eastAsia="仿宋" w:cs="仿宋"/>
                <w:sz w:val="20"/>
                <w:szCs w:val="20"/>
              </w:rPr>
              <w:t>夜</w:t>
            </w:r>
          </w:p>
        </w:tc>
        <w:tc>
          <w:tcPr>
            <w:tcW w:w="1764" w:type="dxa"/>
            <w:tcBorders>
              <w:top w:val="single" w:color="000000" w:sz="10" w:space="0"/>
              <w:right w:val="nil"/>
            </w:tcBorders>
            <w:vAlign w:val="top"/>
          </w:tcPr>
          <w:p w14:paraId="0D076FAA">
            <w:pPr>
              <w:pStyle w:val="6"/>
              <w:spacing w:before="55" w:line="231" w:lineRule="auto"/>
              <w:ind w:left="204"/>
              <w:rPr>
                <w:sz w:val="20"/>
                <w:szCs w:val="20"/>
              </w:rPr>
            </w:pPr>
            <w:r>
              <w:rPr>
                <w:rFonts w:ascii="仿宋" w:hAnsi="仿宋" w:eastAsia="仿宋" w:cs="仿宋"/>
                <w:spacing w:val="-5"/>
                <w:sz w:val="20"/>
                <w:szCs w:val="20"/>
              </w:rPr>
              <w:t>两</w:t>
            </w:r>
            <w:r>
              <w:rPr>
                <w:rFonts w:ascii="仿宋" w:hAnsi="仿宋" w:eastAsia="仿宋" w:cs="仿宋"/>
                <w:spacing w:val="-37"/>
                <w:sz w:val="20"/>
                <w:szCs w:val="20"/>
              </w:rPr>
              <w:t xml:space="preserve"> </w:t>
            </w:r>
            <w:r>
              <w:rPr>
                <w:rFonts w:ascii="仿宋" w:hAnsi="仿宋" w:eastAsia="仿宋" w:cs="仿宋"/>
                <w:spacing w:val="-5"/>
                <w:sz w:val="20"/>
                <w:szCs w:val="20"/>
              </w:rPr>
              <w:t>日夜均值</w:t>
            </w:r>
            <w:r>
              <w:rPr>
                <w:rFonts w:ascii="仿宋" w:hAnsi="仿宋" w:eastAsia="仿宋" w:cs="仿宋"/>
                <w:spacing w:val="12"/>
                <w:sz w:val="20"/>
                <w:szCs w:val="20"/>
              </w:rPr>
              <w:t xml:space="preserve"> </w:t>
            </w:r>
            <w:r>
              <w:rPr>
                <w:spacing w:val="-5"/>
                <w:sz w:val="20"/>
                <w:szCs w:val="20"/>
              </w:rPr>
              <w:t>dB</w:t>
            </w:r>
          </w:p>
          <w:p w14:paraId="4A5E93FF">
            <w:pPr>
              <w:pStyle w:val="6"/>
              <w:spacing w:before="93" w:line="201" w:lineRule="auto"/>
              <w:ind w:left="740"/>
              <w:rPr>
                <w:sz w:val="20"/>
                <w:szCs w:val="20"/>
              </w:rPr>
            </w:pPr>
            <w:r>
              <w:rPr>
                <w:spacing w:val="1"/>
                <w:sz w:val="20"/>
                <w:szCs w:val="20"/>
              </w:rPr>
              <w:t>(A)</w:t>
            </w:r>
          </w:p>
        </w:tc>
      </w:tr>
    </w:tbl>
    <w:p w14:paraId="5D2998A3">
      <w:pPr>
        <w:spacing w:before="50" w:line="231" w:lineRule="auto"/>
        <w:ind w:left="3853"/>
        <w:rPr>
          <w:rFonts w:ascii="仿宋" w:hAnsi="仿宋" w:eastAsia="仿宋" w:cs="仿宋"/>
          <w:sz w:val="20"/>
          <w:szCs w:val="20"/>
        </w:rPr>
      </w:pPr>
      <w:r>
        <w:rPr>
          <w:rFonts w:ascii="仿宋" w:hAnsi="仿宋" w:eastAsia="仿宋" w:cs="仿宋"/>
          <w:spacing w:val="5"/>
          <w:sz w:val="20"/>
          <w:szCs w:val="20"/>
        </w:rPr>
        <w:t>沿黄公路</w:t>
      </w:r>
    </w:p>
    <w:p w14:paraId="68279943">
      <w:pPr>
        <w:spacing w:line="119" w:lineRule="auto"/>
        <w:rPr>
          <w:rFonts w:ascii="Arial"/>
          <w:sz w:val="2"/>
        </w:rPr>
      </w:pPr>
    </w:p>
    <w:tbl>
      <w:tblPr>
        <w:tblStyle w:val="5"/>
        <w:tblW w:w="852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06"/>
        <w:gridCol w:w="822"/>
        <w:gridCol w:w="822"/>
        <w:gridCol w:w="1764"/>
        <w:gridCol w:w="822"/>
        <w:gridCol w:w="822"/>
        <w:gridCol w:w="1764"/>
      </w:tblGrid>
      <w:tr w14:paraId="644C8D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1706" w:type="dxa"/>
            <w:tcBorders>
              <w:left w:val="nil"/>
            </w:tcBorders>
            <w:vAlign w:val="top"/>
          </w:tcPr>
          <w:p w14:paraId="50E0A551">
            <w:pPr>
              <w:pStyle w:val="6"/>
              <w:spacing w:before="93" w:line="195" w:lineRule="auto"/>
              <w:ind w:left="669"/>
              <w:rPr>
                <w:sz w:val="20"/>
                <w:szCs w:val="20"/>
              </w:rPr>
            </w:pPr>
            <w:r>
              <w:rPr>
                <w:spacing w:val="4"/>
                <w:sz w:val="20"/>
                <w:szCs w:val="20"/>
              </w:rPr>
              <w:t>20m</w:t>
            </w:r>
          </w:p>
        </w:tc>
        <w:tc>
          <w:tcPr>
            <w:tcW w:w="822" w:type="dxa"/>
            <w:vAlign w:val="top"/>
          </w:tcPr>
          <w:p w14:paraId="44D29169">
            <w:pPr>
              <w:pStyle w:val="6"/>
              <w:spacing w:before="93" w:line="195" w:lineRule="auto"/>
              <w:ind w:left="312"/>
              <w:rPr>
                <w:sz w:val="20"/>
                <w:szCs w:val="20"/>
              </w:rPr>
            </w:pPr>
            <w:r>
              <w:rPr>
                <w:sz w:val="20"/>
                <w:szCs w:val="20"/>
              </w:rPr>
              <w:t>54</w:t>
            </w:r>
          </w:p>
        </w:tc>
        <w:tc>
          <w:tcPr>
            <w:tcW w:w="822" w:type="dxa"/>
            <w:vAlign w:val="top"/>
          </w:tcPr>
          <w:p w14:paraId="085B03E1">
            <w:pPr>
              <w:pStyle w:val="6"/>
              <w:spacing w:before="93" w:line="195" w:lineRule="auto"/>
              <w:ind w:left="313"/>
              <w:rPr>
                <w:sz w:val="20"/>
                <w:szCs w:val="20"/>
              </w:rPr>
            </w:pPr>
            <w:r>
              <w:rPr>
                <w:sz w:val="20"/>
                <w:szCs w:val="20"/>
              </w:rPr>
              <w:t>54</w:t>
            </w:r>
          </w:p>
        </w:tc>
        <w:tc>
          <w:tcPr>
            <w:tcW w:w="1764" w:type="dxa"/>
            <w:vAlign w:val="top"/>
          </w:tcPr>
          <w:p w14:paraId="68E61EAE">
            <w:pPr>
              <w:pStyle w:val="6"/>
              <w:spacing w:before="93" w:line="195" w:lineRule="auto"/>
              <w:ind w:left="785"/>
              <w:rPr>
                <w:sz w:val="20"/>
                <w:szCs w:val="20"/>
              </w:rPr>
            </w:pPr>
            <w:r>
              <w:rPr>
                <w:sz w:val="20"/>
                <w:szCs w:val="20"/>
              </w:rPr>
              <w:t>54</w:t>
            </w:r>
          </w:p>
        </w:tc>
        <w:tc>
          <w:tcPr>
            <w:tcW w:w="822" w:type="dxa"/>
            <w:vAlign w:val="top"/>
          </w:tcPr>
          <w:p w14:paraId="61980E87">
            <w:pPr>
              <w:pStyle w:val="6"/>
              <w:spacing w:before="93" w:line="195" w:lineRule="auto"/>
              <w:ind w:left="306"/>
              <w:rPr>
                <w:sz w:val="20"/>
                <w:szCs w:val="20"/>
              </w:rPr>
            </w:pPr>
            <w:r>
              <w:rPr>
                <w:spacing w:val="3"/>
                <w:sz w:val="20"/>
                <w:szCs w:val="20"/>
              </w:rPr>
              <w:t>44</w:t>
            </w:r>
          </w:p>
        </w:tc>
        <w:tc>
          <w:tcPr>
            <w:tcW w:w="822" w:type="dxa"/>
            <w:vAlign w:val="top"/>
          </w:tcPr>
          <w:p w14:paraId="37452C24">
            <w:pPr>
              <w:pStyle w:val="6"/>
              <w:spacing w:before="93" w:line="195" w:lineRule="auto"/>
              <w:ind w:left="307"/>
              <w:rPr>
                <w:sz w:val="20"/>
                <w:szCs w:val="20"/>
              </w:rPr>
            </w:pPr>
            <w:r>
              <w:rPr>
                <w:spacing w:val="3"/>
                <w:sz w:val="20"/>
                <w:szCs w:val="20"/>
              </w:rPr>
              <w:t>43</w:t>
            </w:r>
          </w:p>
        </w:tc>
        <w:tc>
          <w:tcPr>
            <w:tcW w:w="1764" w:type="dxa"/>
            <w:tcBorders>
              <w:right w:val="nil"/>
            </w:tcBorders>
            <w:vAlign w:val="top"/>
          </w:tcPr>
          <w:p w14:paraId="5D85815F">
            <w:pPr>
              <w:pStyle w:val="6"/>
              <w:spacing w:before="93" w:line="195" w:lineRule="auto"/>
              <w:ind w:left="699"/>
              <w:rPr>
                <w:sz w:val="20"/>
                <w:szCs w:val="20"/>
              </w:rPr>
            </w:pPr>
            <w:r>
              <w:rPr>
                <w:spacing w:val="3"/>
                <w:sz w:val="20"/>
                <w:szCs w:val="20"/>
              </w:rPr>
              <w:t>43.5</w:t>
            </w:r>
          </w:p>
        </w:tc>
      </w:tr>
      <w:tr w14:paraId="678D48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706" w:type="dxa"/>
            <w:tcBorders>
              <w:left w:val="nil"/>
            </w:tcBorders>
            <w:vAlign w:val="top"/>
          </w:tcPr>
          <w:p w14:paraId="219BF1E6">
            <w:pPr>
              <w:pStyle w:val="6"/>
              <w:spacing w:before="89" w:line="195" w:lineRule="auto"/>
              <w:ind w:left="668"/>
              <w:rPr>
                <w:sz w:val="20"/>
                <w:szCs w:val="20"/>
              </w:rPr>
            </w:pPr>
            <w:r>
              <w:rPr>
                <w:spacing w:val="4"/>
                <w:sz w:val="20"/>
                <w:szCs w:val="20"/>
              </w:rPr>
              <w:t>40m</w:t>
            </w:r>
          </w:p>
        </w:tc>
        <w:tc>
          <w:tcPr>
            <w:tcW w:w="822" w:type="dxa"/>
            <w:vAlign w:val="top"/>
          </w:tcPr>
          <w:p w14:paraId="3E92CBE1">
            <w:pPr>
              <w:pStyle w:val="6"/>
              <w:spacing w:before="89" w:line="195" w:lineRule="auto"/>
              <w:ind w:left="312"/>
              <w:rPr>
                <w:sz w:val="20"/>
                <w:szCs w:val="20"/>
              </w:rPr>
            </w:pPr>
            <w:r>
              <w:rPr>
                <w:sz w:val="20"/>
                <w:szCs w:val="20"/>
              </w:rPr>
              <w:t>52</w:t>
            </w:r>
          </w:p>
        </w:tc>
        <w:tc>
          <w:tcPr>
            <w:tcW w:w="822" w:type="dxa"/>
            <w:vAlign w:val="top"/>
          </w:tcPr>
          <w:p w14:paraId="53A40597">
            <w:pPr>
              <w:pStyle w:val="6"/>
              <w:spacing w:before="89" w:line="195" w:lineRule="auto"/>
              <w:ind w:left="313"/>
              <w:rPr>
                <w:sz w:val="20"/>
                <w:szCs w:val="20"/>
              </w:rPr>
            </w:pPr>
            <w:r>
              <w:rPr>
                <w:sz w:val="20"/>
                <w:szCs w:val="20"/>
              </w:rPr>
              <w:t>52</w:t>
            </w:r>
          </w:p>
        </w:tc>
        <w:tc>
          <w:tcPr>
            <w:tcW w:w="1764" w:type="dxa"/>
            <w:vAlign w:val="top"/>
          </w:tcPr>
          <w:p w14:paraId="3714FFE5">
            <w:pPr>
              <w:pStyle w:val="6"/>
              <w:spacing w:before="89" w:line="195" w:lineRule="auto"/>
              <w:ind w:left="785"/>
              <w:rPr>
                <w:sz w:val="20"/>
                <w:szCs w:val="20"/>
              </w:rPr>
            </w:pPr>
            <w:r>
              <w:rPr>
                <w:sz w:val="20"/>
                <w:szCs w:val="20"/>
              </w:rPr>
              <w:t>52</w:t>
            </w:r>
          </w:p>
        </w:tc>
        <w:tc>
          <w:tcPr>
            <w:tcW w:w="822" w:type="dxa"/>
            <w:vAlign w:val="top"/>
          </w:tcPr>
          <w:p w14:paraId="7F78B0EA">
            <w:pPr>
              <w:pStyle w:val="6"/>
              <w:spacing w:before="90" w:line="195" w:lineRule="auto"/>
              <w:ind w:left="306"/>
              <w:rPr>
                <w:sz w:val="20"/>
                <w:szCs w:val="20"/>
              </w:rPr>
            </w:pPr>
            <w:r>
              <w:rPr>
                <w:spacing w:val="3"/>
                <w:sz w:val="20"/>
                <w:szCs w:val="20"/>
              </w:rPr>
              <w:t>42</w:t>
            </w:r>
          </w:p>
        </w:tc>
        <w:tc>
          <w:tcPr>
            <w:tcW w:w="822" w:type="dxa"/>
            <w:vAlign w:val="top"/>
          </w:tcPr>
          <w:p w14:paraId="4A07CB08">
            <w:pPr>
              <w:pStyle w:val="6"/>
              <w:spacing w:before="90" w:line="195" w:lineRule="auto"/>
              <w:ind w:left="307"/>
              <w:rPr>
                <w:sz w:val="20"/>
                <w:szCs w:val="20"/>
              </w:rPr>
            </w:pPr>
            <w:r>
              <w:rPr>
                <w:spacing w:val="3"/>
                <w:sz w:val="20"/>
                <w:szCs w:val="20"/>
              </w:rPr>
              <w:t>42</w:t>
            </w:r>
          </w:p>
        </w:tc>
        <w:tc>
          <w:tcPr>
            <w:tcW w:w="1764" w:type="dxa"/>
            <w:tcBorders>
              <w:right w:val="nil"/>
            </w:tcBorders>
            <w:vAlign w:val="top"/>
          </w:tcPr>
          <w:p w14:paraId="25B81AC5">
            <w:pPr>
              <w:pStyle w:val="6"/>
              <w:spacing w:before="90" w:line="195" w:lineRule="auto"/>
              <w:ind w:left="778"/>
              <w:rPr>
                <w:sz w:val="20"/>
                <w:szCs w:val="20"/>
              </w:rPr>
            </w:pPr>
            <w:r>
              <w:rPr>
                <w:spacing w:val="3"/>
                <w:sz w:val="20"/>
                <w:szCs w:val="20"/>
              </w:rPr>
              <w:t>42</w:t>
            </w:r>
          </w:p>
        </w:tc>
      </w:tr>
      <w:tr w14:paraId="7CA85B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706" w:type="dxa"/>
            <w:tcBorders>
              <w:left w:val="nil"/>
            </w:tcBorders>
            <w:vAlign w:val="top"/>
          </w:tcPr>
          <w:p w14:paraId="64C459EC">
            <w:pPr>
              <w:pStyle w:val="6"/>
              <w:spacing w:before="90" w:line="195" w:lineRule="auto"/>
              <w:ind w:left="673"/>
              <w:rPr>
                <w:sz w:val="20"/>
                <w:szCs w:val="20"/>
              </w:rPr>
            </w:pPr>
            <w:r>
              <w:rPr>
                <w:spacing w:val="3"/>
                <w:sz w:val="20"/>
                <w:szCs w:val="20"/>
              </w:rPr>
              <w:t>60m</w:t>
            </w:r>
          </w:p>
        </w:tc>
        <w:tc>
          <w:tcPr>
            <w:tcW w:w="822" w:type="dxa"/>
            <w:vAlign w:val="top"/>
          </w:tcPr>
          <w:p w14:paraId="0DC8E362">
            <w:pPr>
              <w:pStyle w:val="6"/>
              <w:spacing w:before="90" w:line="195" w:lineRule="auto"/>
              <w:ind w:left="312"/>
              <w:rPr>
                <w:sz w:val="20"/>
                <w:szCs w:val="20"/>
              </w:rPr>
            </w:pPr>
            <w:r>
              <w:rPr>
                <w:sz w:val="20"/>
                <w:szCs w:val="20"/>
              </w:rPr>
              <w:t>50</w:t>
            </w:r>
          </w:p>
        </w:tc>
        <w:tc>
          <w:tcPr>
            <w:tcW w:w="822" w:type="dxa"/>
            <w:vAlign w:val="top"/>
          </w:tcPr>
          <w:p w14:paraId="40679C20">
            <w:pPr>
              <w:pStyle w:val="6"/>
              <w:spacing w:before="90" w:line="195" w:lineRule="auto"/>
              <w:ind w:left="313"/>
              <w:rPr>
                <w:sz w:val="20"/>
                <w:szCs w:val="20"/>
              </w:rPr>
            </w:pPr>
            <w:r>
              <w:rPr>
                <w:sz w:val="20"/>
                <w:szCs w:val="20"/>
              </w:rPr>
              <w:t>50</w:t>
            </w:r>
          </w:p>
        </w:tc>
        <w:tc>
          <w:tcPr>
            <w:tcW w:w="1764" w:type="dxa"/>
            <w:vAlign w:val="top"/>
          </w:tcPr>
          <w:p w14:paraId="3DAD0168">
            <w:pPr>
              <w:pStyle w:val="6"/>
              <w:spacing w:before="90" w:line="195" w:lineRule="auto"/>
              <w:ind w:left="785"/>
              <w:rPr>
                <w:sz w:val="20"/>
                <w:szCs w:val="20"/>
              </w:rPr>
            </w:pPr>
            <w:r>
              <w:rPr>
                <w:sz w:val="20"/>
                <w:szCs w:val="20"/>
              </w:rPr>
              <w:t>50</w:t>
            </w:r>
          </w:p>
        </w:tc>
        <w:tc>
          <w:tcPr>
            <w:tcW w:w="822" w:type="dxa"/>
            <w:vAlign w:val="top"/>
          </w:tcPr>
          <w:p w14:paraId="4EE93F8E">
            <w:pPr>
              <w:pStyle w:val="6"/>
              <w:spacing w:before="90" w:line="195" w:lineRule="auto"/>
              <w:ind w:left="311"/>
              <w:rPr>
                <w:sz w:val="20"/>
                <w:szCs w:val="20"/>
              </w:rPr>
            </w:pPr>
            <w:r>
              <w:rPr>
                <w:sz w:val="20"/>
                <w:szCs w:val="20"/>
              </w:rPr>
              <w:t>39</w:t>
            </w:r>
          </w:p>
        </w:tc>
        <w:tc>
          <w:tcPr>
            <w:tcW w:w="822" w:type="dxa"/>
            <w:vAlign w:val="top"/>
          </w:tcPr>
          <w:p w14:paraId="65B5591B">
            <w:pPr>
              <w:pStyle w:val="6"/>
              <w:spacing w:before="90" w:line="195" w:lineRule="auto"/>
              <w:ind w:left="307"/>
              <w:rPr>
                <w:sz w:val="20"/>
                <w:szCs w:val="20"/>
              </w:rPr>
            </w:pPr>
            <w:r>
              <w:rPr>
                <w:spacing w:val="3"/>
                <w:sz w:val="20"/>
                <w:szCs w:val="20"/>
              </w:rPr>
              <w:t>40</w:t>
            </w:r>
          </w:p>
        </w:tc>
        <w:tc>
          <w:tcPr>
            <w:tcW w:w="1764" w:type="dxa"/>
            <w:tcBorders>
              <w:right w:val="nil"/>
            </w:tcBorders>
            <w:vAlign w:val="top"/>
          </w:tcPr>
          <w:p w14:paraId="239CC465">
            <w:pPr>
              <w:pStyle w:val="6"/>
              <w:spacing w:before="90" w:line="195" w:lineRule="auto"/>
              <w:ind w:left="704"/>
              <w:rPr>
                <w:sz w:val="20"/>
                <w:szCs w:val="20"/>
              </w:rPr>
            </w:pPr>
            <w:r>
              <w:rPr>
                <w:spacing w:val="2"/>
                <w:sz w:val="20"/>
                <w:szCs w:val="20"/>
              </w:rPr>
              <w:t>39.5</w:t>
            </w:r>
          </w:p>
        </w:tc>
      </w:tr>
      <w:tr w14:paraId="163651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706" w:type="dxa"/>
            <w:tcBorders>
              <w:left w:val="nil"/>
            </w:tcBorders>
            <w:vAlign w:val="top"/>
          </w:tcPr>
          <w:p w14:paraId="6688AE29">
            <w:pPr>
              <w:pStyle w:val="6"/>
              <w:spacing w:before="91" w:line="195" w:lineRule="auto"/>
              <w:ind w:left="677"/>
              <w:rPr>
                <w:sz w:val="20"/>
                <w:szCs w:val="20"/>
              </w:rPr>
            </w:pPr>
            <w:r>
              <w:rPr>
                <w:spacing w:val="1"/>
                <w:sz w:val="20"/>
                <w:szCs w:val="20"/>
              </w:rPr>
              <w:t>80m</w:t>
            </w:r>
          </w:p>
        </w:tc>
        <w:tc>
          <w:tcPr>
            <w:tcW w:w="822" w:type="dxa"/>
            <w:vAlign w:val="top"/>
          </w:tcPr>
          <w:p w14:paraId="0EBA35FD">
            <w:pPr>
              <w:pStyle w:val="6"/>
              <w:spacing w:before="91" w:line="195" w:lineRule="auto"/>
              <w:ind w:left="306"/>
              <w:rPr>
                <w:sz w:val="20"/>
                <w:szCs w:val="20"/>
              </w:rPr>
            </w:pPr>
            <w:r>
              <w:rPr>
                <w:spacing w:val="3"/>
                <w:sz w:val="20"/>
                <w:szCs w:val="20"/>
              </w:rPr>
              <w:t>49</w:t>
            </w:r>
          </w:p>
        </w:tc>
        <w:tc>
          <w:tcPr>
            <w:tcW w:w="822" w:type="dxa"/>
            <w:vAlign w:val="top"/>
          </w:tcPr>
          <w:p w14:paraId="490252E4">
            <w:pPr>
              <w:pStyle w:val="6"/>
              <w:spacing w:before="91" w:line="195" w:lineRule="auto"/>
              <w:ind w:left="307"/>
              <w:rPr>
                <w:sz w:val="20"/>
                <w:szCs w:val="20"/>
              </w:rPr>
            </w:pPr>
            <w:r>
              <w:rPr>
                <w:spacing w:val="3"/>
                <w:sz w:val="20"/>
                <w:szCs w:val="20"/>
              </w:rPr>
              <w:t>48</w:t>
            </w:r>
          </w:p>
        </w:tc>
        <w:tc>
          <w:tcPr>
            <w:tcW w:w="1764" w:type="dxa"/>
            <w:vAlign w:val="top"/>
          </w:tcPr>
          <w:p w14:paraId="77019599">
            <w:pPr>
              <w:pStyle w:val="6"/>
              <w:spacing w:before="91" w:line="195" w:lineRule="auto"/>
              <w:ind w:left="699"/>
              <w:rPr>
                <w:sz w:val="20"/>
                <w:szCs w:val="20"/>
              </w:rPr>
            </w:pPr>
            <w:r>
              <w:rPr>
                <w:spacing w:val="3"/>
                <w:sz w:val="20"/>
                <w:szCs w:val="20"/>
              </w:rPr>
              <w:t>48.5</w:t>
            </w:r>
          </w:p>
        </w:tc>
        <w:tc>
          <w:tcPr>
            <w:tcW w:w="822" w:type="dxa"/>
            <w:vAlign w:val="top"/>
          </w:tcPr>
          <w:p w14:paraId="00332540">
            <w:pPr>
              <w:pStyle w:val="6"/>
              <w:spacing w:before="91" w:line="195" w:lineRule="auto"/>
              <w:ind w:left="311"/>
              <w:rPr>
                <w:sz w:val="20"/>
                <w:szCs w:val="20"/>
              </w:rPr>
            </w:pPr>
            <w:r>
              <w:rPr>
                <w:sz w:val="20"/>
                <w:szCs w:val="20"/>
              </w:rPr>
              <w:t>38</w:t>
            </w:r>
          </w:p>
        </w:tc>
        <w:tc>
          <w:tcPr>
            <w:tcW w:w="822" w:type="dxa"/>
            <w:vAlign w:val="top"/>
          </w:tcPr>
          <w:p w14:paraId="7BA2CFB7">
            <w:pPr>
              <w:pStyle w:val="6"/>
              <w:spacing w:before="91" w:line="195" w:lineRule="auto"/>
              <w:ind w:left="312"/>
              <w:rPr>
                <w:sz w:val="20"/>
                <w:szCs w:val="20"/>
              </w:rPr>
            </w:pPr>
            <w:r>
              <w:rPr>
                <w:sz w:val="20"/>
                <w:szCs w:val="20"/>
              </w:rPr>
              <w:t>37</w:t>
            </w:r>
          </w:p>
        </w:tc>
        <w:tc>
          <w:tcPr>
            <w:tcW w:w="1764" w:type="dxa"/>
            <w:tcBorders>
              <w:right w:val="nil"/>
            </w:tcBorders>
            <w:vAlign w:val="top"/>
          </w:tcPr>
          <w:p w14:paraId="5C6AB8D4">
            <w:pPr>
              <w:pStyle w:val="6"/>
              <w:spacing w:before="91" w:line="195" w:lineRule="auto"/>
              <w:ind w:left="704"/>
              <w:rPr>
                <w:sz w:val="20"/>
                <w:szCs w:val="20"/>
              </w:rPr>
            </w:pPr>
            <w:r>
              <w:rPr>
                <w:spacing w:val="2"/>
                <w:sz w:val="20"/>
                <w:szCs w:val="20"/>
              </w:rPr>
              <w:t>37.5</w:t>
            </w:r>
          </w:p>
        </w:tc>
      </w:tr>
      <w:tr w14:paraId="67943B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706" w:type="dxa"/>
            <w:tcBorders>
              <w:left w:val="nil"/>
            </w:tcBorders>
            <w:vAlign w:val="top"/>
          </w:tcPr>
          <w:p w14:paraId="55730F78">
            <w:pPr>
              <w:pStyle w:val="6"/>
              <w:spacing w:before="91" w:line="195" w:lineRule="auto"/>
              <w:ind w:left="638"/>
              <w:rPr>
                <w:sz w:val="20"/>
                <w:szCs w:val="20"/>
              </w:rPr>
            </w:pPr>
            <w:r>
              <w:rPr>
                <w:spacing w:val="-1"/>
                <w:sz w:val="20"/>
                <w:szCs w:val="20"/>
              </w:rPr>
              <w:t>120m</w:t>
            </w:r>
          </w:p>
        </w:tc>
        <w:tc>
          <w:tcPr>
            <w:tcW w:w="822" w:type="dxa"/>
            <w:vAlign w:val="top"/>
          </w:tcPr>
          <w:p w14:paraId="4960D864">
            <w:pPr>
              <w:pStyle w:val="6"/>
              <w:spacing w:before="91" w:line="195" w:lineRule="auto"/>
              <w:ind w:left="306"/>
              <w:rPr>
                <w:sz w:val="20"/>
                <w:szCs w:val="20"/>
              </w:rPr>
            </w:pPr>
            <w:r>
              <w:rPr>
                <w:spacing w:val="3"/>
                <w:sz w:val="20"/>
                <w:szCs w:val="20"/>
              </w:rPr>
              <w:t>46</w:t>
            </w:r>
          </w:p>
        </w:tc>
        <w:tc>
          <w:tcPr>
            <w:tcW w:w="822" w:type="dxa"/>
            <w:vAlign w:val="top"/>
          </w:tcPr>
          <w:p w14:paraId="202EA69C">
            <w:pPr>
              <w:pStyle w:val="6"/>
              <w:spacing w:before="91" w:line="195" w:lineRule="auto"/>
              <w:ind w:left="307"/>
              <w:rPr>
                <w:sz w:val="20"/>
                <w:szCs w:val="20"/>
              </w:rPr>
            </w:pPr>
            <w:r>
              <w:rPr>
                <w:spacing w:val="3"/>
                <w:sz w:val="20"/>
                <w:szCs w:val="20"/>
              </w:rPr>
              <w:t>46</w:t>
            </w:r>
          </w:p>
        </w:tc>
        <w:tc>
          <w:tcPr>
            <w:tcW w:w="1764" w:type="dxa"/>
            <w:vAlign w:val="top"/>
          </w:tcPr>
          <w:p w14:paraId="72DC13B7">
            <w:pPr>
              <w:pStyle w:val="6"/>
              <w:spacing w:before="91" w:line="195" w:lineRule="auto"/>
              <w:ind w:left="778"/>
              <w:rPr>
                <w:sz w:val="20"/>
                <w:szCs w:val="20"/>
              </w:rPr>
            </w:pPr>
            <w:r>
              <w:rPr>
                <w:spacing w:val="3"/>
                <w:sz w:val="20"/>
                <w:szCs w:val="20"/>
              </w:rPr>
              <w:t>46</w:t>
            </w:r>
          </w:p>
        </w:tc>
        <w:tc>
          <w:tcPr>
            <w:tcW w:w="822" w:type="dxa"/>
            <w:vAlign w:val="top"/>
          </w:tcPr>
          <w:p w14:paraId="6F9193D6">
            <w:pPr>
              <w:pStyle w:val="6"/>
              <w:spacing w:before="91" w:line="195" w:lineRule="auto"/>
              <w:ind w:left="311"/>
              <w:rPr>
                <w:sz w:val="20"/>
                <w:szCs w:val="20"/>
              </w:rPr>
            </w:pPr>
            <w:r>
              <w:rPr>
                <w:sz w:val="20"/>
                <w:szCs w:val="20"/>
              </w:rPr>
              <w:t>36</w:t>
            </w:r>
          </w:p>
        </w:tc>
        <w:tc>
          <w:tcPr>
            <w:tcW w:w="822" w:type="dxa"/>
            <w:vAlign w:val="top"/>
          </w:tcPr>
          <w:p w14:paraId="4F99CC91">
            <w:pPr>
              <w:pStyle w:val="6"/>
              <w:spacing w:before="91" w:line="195" w:lineRule="auto"/>
              <w:ind w:left="312"/>
              <w:rPr>
                <w:sz w:val="20"/>
                <w:szCs w:val="20"/>
              </w:rPr>
            </w:pPr>
            <w:r>
              <w:rPr>
                <w:sz w:val="20"/>
                <w:szCs w:val="20"/>
              </w:rPr>
              <w:t>36</w:t>
            </w:r>
          </w:p>
        </w:tc>
        <w:tc>
          <w:tcPr>
            <w:tcW w:w="1764" w:type="dxa"/>
            <w:tcBorders>
              <w:right w:val="nil"/>
            </w:tcBorders>
            <w:vAlign w:val="top"/>
          </w:tcPr>
          <w:p w14:paraId="4E78F324">
            <w:pPr>
              <w:pStyle w:val="6"/>
              <w:spacing w:before="91" w:line="195" w:lineRule="auto"/>
              <w:ind w:left="784"/>
              <w:rPr>
                <w:sz w:val="20"/>
                <w:szCs w:val="20"/>
              </w:rPr>
            </w:pPr>
            <w:r>
              <w:rPr>
                <w:sz w:val="20"/>
                <w:szCs w:val="20"/>
              </w:rPr>
              <w:t>36</w:t>
            </w:r>
          </w:p>
        </w:tc>
      </w:tr>
    </w:tbl>
    <w:p w14:paraId="77D4DDFE">
      <w:pPr>
        <w:spacing w:before="50" w:line="233" w:lineRule="auto"/>
        <w:ind w:left="3858"/>
        <w:rPr>
          <w:rFonts w:ascii="仿宋" w:hAnsi="仿宋" w:eastAsia="仿宋" w:cs="仿宋"/>
          <w:sz w:val="20"/>
          <w:szCs w:val="20"/>
        </w:rPr>
      </w:pPr>
      <w:r>
        <w:rPr>
          <w:rFonts w:ascii="仿宋" w:hAnsi="仿宋" w:eastAsia="仿宋" w:cs="仿宋"/>
          <w:spacing w:val="4"/>
          <w:sz w:val="20"/>
          <w:szCs w:val="20"/>
        </w:rPr>
        <w:t>兴巴高速</w:t>
      </w:r>
    </w:p>
    <w:p w14:paraId="78952002">
      <w:pPr>
        <w:spacing w:line="98" w:lineRule="auto"/>
        <w:rPr>
          <w:rFonts w:ascii="Arial"/>
          <w:sz w:val="2"/>
        </w:rPr>
      </w:pPr>
    </w:p>
    <w:tbl>
      <w:tblPr>
        <w:tblStyle w:val="5"/>
        <w:tblW w:w="852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06"/>
        <w:gridCol w:w="822"/>
        <w:gridCol w:w="822"/>
        <w:gridCol w:w="1764"/>
        <w:gridCol w:w="822"/>
        <w:gridCol w:w="822"/>
        <w:gridCol w:w="1764"/>
      </w:tblGrid>
      <w:tr w14:paraId="04B07B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706" w:type="dxa"/>
            <w:tcBorders>
              <w:left w:val="nil"/>
            </w:tcBorders>
            <w:vAlign w:val="top"/>
          </w:tcPr>
          <w:p w14:paraId="2C86CF3B">
            <w:pPr>
              <w:pStyle w:val="6"/>
              <w:spacing w:before="93" w:line="195" w:lineRule="auto"/>
              <w:ind w:left="669"/>
              <w:rPr>
                <w:sz w:val="20"/>
                <w:szCs w:val="20"/>
              </w:rPr>
            </w:pPr>
            <w:r>
              <w:rPr>
                <w:spacing w:val="4"/>
                <w:sz w:val="20"/>
                <w:szCs w:val="20"/>
              </w:rPr>
              <w:t>20m</w:t>
            </w:r>
          </w:p>
        </w:tc>
        <w:tc>
          <w:tcPr>
            <w:tcW w:w="822" w:type="dxa"/>
            <w:vAlign w:val="top"/>
          </w:tcPr>
          <w:p w14:paraId="4B692DE4">
            <w:pPr>
              <w:pStyle w:val="6"/>
              <w:spacing w:before="93" w:line="195" w:lineRule="auto"/>
              <w:ind w:left="312"/>
              <w:rPr>
                <w:sz w:val="20"/>
                <w:szCs w:val="20"/>
              </w:rPr>
            </w:pPr>
            <w:r>
              <w:rPr>
                <w:sz w:val="20"/>
                <w:szCs w:val="20"/>
              </w:rPr>
              <w:t>54</w:t>
            </w:r>
          </w:p>
        </w:tc>
        <w:tc>
          <w:tcPr>
            <w:tcW w:w="822" w:type="dxa"/>
            <w:vAlign w:val="top"/>
          </w:tcPr>
          <w:p w14:paraId="688D1AC3">
            <w:pPr>
              <w:pStyle w:val="6"/>
              <w:spacing w:before="93" w:line="195" w:lineRule="auto"/>
              <w:ind w:left="313"/>
              <w:rPr>
                <w:sz w:val="20"/>
                <w:szCs w:val="20"/>
              </w:rPr>
            </w:pPr>
            <w:r>
              <w:rPr>
                <w:sz w:val="20"/>
                <w:szCs w:val="20"/>
              </w:rPr>
              <w:t>53</w:t>
            </w:r>
          </w:p>
        </w:tc>
        <w:tc>
          <w:tcPr>
            <w:tcW w:w="1764" w:type="dxa"/>
            <w:vAlign w:val="top"/>
          </w:tcPr>
          <w:p w14:paraId="46E9F1B8">
            <w:pPr>
              <w:pStyle w:val="6"/>
              <w:spacing w:before="93" w:line="195" w:lineRule="auto"/>
              <w:ind w:left="706"/>
              <w:rPr>
                <w:sz w:val="20"/>
                <w:szCs w:val="20"/>
              </w:rPr>
            </w:pPr>
            <w:r>
              <w:rPr>
                <w:spacing w:val="2"/>
                <w:sz w:val="20"/>
                <w:szCs w:val="20"/>
              </w:rPr>
              <w:t>53.5</w:t>
            </w:r>
          </w:p>
        </w:tc>
        <w:tc>
          <w:tcPr>
            <w:tcW w:w="822" w:type="dxa"/>
            <w:vAlign w:val="top"/>
          </w:tcPr>
          <w:p w14:paraId="20C00786">
            <w:pPr>
              <w:pStyle w:val="6"/>
              <w:spacing w:before="93" w:line="195" w:lineRule="auto"/>
              <w:ind w:left="306"/>
              <w:rPr>
                <w:sz w:val="20"/>
                <w:szCs w:val="20"/>
              </w:rPr>
            </w:pPr>
            <w:r>
              <w:rPr>
                <w:spacing w:val="3"/>
                <w:sz w:val="20"/>
                <w:szCs w:val="20"/>
              </w:rPr>
              <w:t>44</w:t>
            </w:r>
          </w:p>
        </w:tc>
        <w:tc>
          <w:tcPr>
            <w:tcW w:w="822" w:type="dxa"/>
            <w:vAlign w:val="top"/>
          </w:tcPr>
          <w:p w14:paraId="1CBC4AAF">
            <w:pPr>
              <w:pStyle w:val="6"/>
              <w:spacing w:before="93" w:line="195" w:lineRule="auto"/>
              <w:ind w:left="307"/>
              <w:rPr>
                <w:sz w:val="20"/>
                <w:szCs w:val="20"/>
              </w:rPr>
            </w:pPr>
            <w:r>
              <w:rPr>
                <w:spacing w:val="3"/>
                <w:sz w:val="20"/>
                <w:szCs w:val="20"/>
              </w:rPr>
              <w:t>44</w:t>
            </w:r>
          </w:p>
        </w:tc>
        <w:tc>
          <w:tcPr>
            <w:tcW w:w="1764" w:type="dxa"/>
            <w:tcBorders>
              <w:right w:val="nil"/>
            </w:tcBorders>
            <w:vAlign w:val="top"/>
          </w:tcPr>
          <w:p w14:paraId="1E0D9FBF">
            <w:pPr>
              <w:pStyle w:val="6"/>
              <w:spacing w:before="93" w:line="195" w:lineRule="auto"/>
              <w:ind w:left="778"/>
              <w:rPr>
                <w:sz w:val="20"/>
                <w:szCs w:val="20"/>
              </w:rPr>
            </w:pPr>
            <w:r>
              <w:rPr>
                <w:spacing w:val="3"/>
                <w:sz w:val="20"/>
                <w:szCs w:val="20"/>
              </w:rPr>
              <w:t>44</w:t>
            </w:r>
          </w:p>
        </w:tc>
      </w:tr>
      <w:tr w14:paraId="134154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trPr>
        <w:tc>
          <w:tcPr>
            <w:tcW w:w="1706" w:type="dxa"/>
            <w:tcBorders>
              <w:left w:val="nil"/>
            </w:tcBorders>
            <w:vAlign w:val="top"/>
          </w:tcPr>
          <w:p w14:paraId="10D7A58A">
            <w:pPr>
              <w:pStyle w:val="6"/>
              <w:spacing w:before="92" w:line="195" w:lineRule="auto"/>
              <w:ind w:left="668"/>
              <w:rPr>
                <w:sz w:val="20"/>
                <w:szCs w:val="20"/>
              </w:rPr>
            </w:pPr>
            <w:r>
              <w:rPr>
                <w:spacing w:val="4"/>
                <w:sz w:val="20"/>
                <w:szCs w:val="20"/>
              </w:rPr>
              <w:t>40m</w:t>
            </w:r>
          </w:p>
        </w:tc>
        <w:tc>
          <w:tcPr>
            <w:tcW w:w="822" w:type="dxa"/>
            <w:vAlign w:val="top"/>
          </w:tcPr>
          <w:p w14:paraId="6578CACC">
            <w:pPr>
              <w:pStyle w:val="6"/>
              <w:spacing w:before="92" w:line="195" w:lineRule="auto"/>
              <w:ind w:left="312"/>
              <w:rPr>
                <w:sz w:val="20"/>
                <w:szCs w:val="20"/>
              </w:rPr>
            </w:pPr>
            <w:r>
              <w:rPr>
                <w:sz w:val="20"/>
                <w:szCs w:val="20"/>
              </w:rPr>
              <w:t>52</w:t>
            </w:r>
          </w:p>
        </w:tc>
        <w:tc>
          <w:tcPr>
            <w:tcW w:w="822" w:type="dxa"/>
            <w:vAlign w:val="top"/>
          </w:tcPr>
          <w:p w14:paraId="1613C3EE">
            <w:pPr>
              <w:pStyle w:val="6"/>
              <w:spacing w:before="92" w:line="195" w:lineRule="auto"/>
              <w:ind w:left="313"/>
              <w:rPr>
                <w:sz w:val="20"/>
                <w:szCs w:val="20"/>
              </w:rPr>
            </w:pPr>
            <w:r>
              <w:rPr>
                <w:sz w:val="20"/>
                <w:szCs w:val="20"/>
              </w:rPr>
              <w:t>53</w:t>
            </w:r>
          </w:p>
        </w:tc>
        <w:tc>
          <w:tcPr>
            <w:tcW w:w="1764" w:type="dxa"/>
            <w:vAlign w:val="top"/>
          </w:tcPr>
          <w:p w14:paraId="169C4C8D">
            <w:pPr>
              <w:pStyle w:val="6"/>
              <w:spacing w:before="92" w:line="195" w:lineRule="auto"/>
              <w:ind w:left="706"/>
              <w:rPr>
                <w:sz w:val="20"/>
                <w:szCs w:val="20"/>
              </w:rPr>
            </w:pPr>
            <w:r>
              <w:rPr>
                <w:spacing w:val="2"/>
                <w:sz w:val="20"/>
                <w:szCs w:val="20"/>
              </w:rPr>
              <w:t>52.5</w:t>
            </w:r>
          </w:p>
        </w:tc>
        <w:tc>
          <w:tcPr>
            <w:tcW w:w="822" w:type="dxa"/>
            <w:vAlign w:val="top"/>
          </w:tcPr>
          <w:p w14:paraId="47D797A9">
            <w:pPr>
              <w:pStyle w:val="6"/>
              <w:spacing w:before="93" w:line="195" w:lineRule="auto"/>
              <w:ind w:left="306"/>
              <w:rPr>
                <w:sz w:val="20"/>
                <w:szCs w:val="20"/>
              </w:rPr>
            </w:pPr>
            <w:r>
              <w:rPr>
                <w:spacing w:val="3"/>
                <w:sz w:val="20"/>
                <w:szCs w:val="20"/>
              </w:rPr>
              <w:t>41</w:t>
            </w:r>
          </w:p>
        </w:tc>
        <w:tc>
          <w:tcPr>
            <w:tcW w:w="822" w:type="dxa"/>
            <w:vAlign w:val="top"/>
          </w:tcPr>
          <w:p w14:paraId="052BF6F7">
            <w:pPr>
              <w:pStyle w:val="6"/>
              <w:spacing w:before="93" w:line="195" w:lineRule="auto"/>
              <w:ind w:left="307"/>
              <w:rPr>
                <w:sz w:val="20"/>
                <w:szCs w:val="20"/>
              </w:rPr>
            </w:pPr>
            <w:r>
              <w:rPr>
                <w:spacing w:val="3"/>
                <w:sz w:val="20"/>
                <w:szCs w:val="20"/>
              </w:rPr>
              <w:t>41</w:t>
            </w:r>
          </w:p>
        </w:tc>
        <w:tc>
          <w:tcPr>
            <w:tcW w:w="1764" w:type="dxa"/>
            <w:tcBorders>
              <w:right w:val="nil"/>
            </w:tcBorders>
            <w:vAlign w:val="top"/>
          </w:tcPr>
          <w:p w14:paraId="0F746E7B">
            <w:pPr>
              <w:pStyle w:val="6"/>
              <w:spacing w:before="93" w:line="195" w:lineRule="auto"/>
              <w:ind w:left="778"/>
              <w:rPr>
                <w:sz w:val="20"/>
                <w:szCs w:val="20"/>
              </w:rPr>
            </w:pPr>
            <w:r>
              <w:rPr>
                <w:spacing w:val="3"/>
                <w:sz w:val="20"/>
                <w:szCs w:val="20"/>
              </w:rPr>
              <w:t>41</w:t>
            </w:r>
          </w:p>
        </w:tc>
      </w:tr>
      <w:tr w14:paraId="67A6FD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trPr>
        <w:tc>
          <w:tcPr>
            <w:tcW w:w="1706" w:type="dxa"/>
            <w:tcBorders>
              <w:left w:val="nil"/>
            </w:tcBorders>
            <w:vAlign w:val="top"/>
          </w:tcPr>
          <w:p w14:paraId="3906454C">
            <w:pPr>
              <w:pStyle w:val="6"/>
              <w:spacing w:before="97" w:line="195" w:lineRule="auto"/>
              <w:ind w:left="673"/>
              <w:rPr>
                <w:sz w:val="20"/>
                <w:szCs w:val="20"/>
              </w:rPr>
            </w:pPr>
            <w:r>
              <w:rPr>
                <w:spacing w:val="3"/>
                <w:sz w:val="20"/>
                <w:szCs w:val="20"/>
              </w:rPr>
              <w:t>60m</w:t>
            </w:r>
          </w:p>
        </w:tc>
        <w:tc>
          <w:tcPr>
            <w:tcW w:w="822" w:type="dxa"/>
            <w:vAlign w:val="top"/>
          </w:tcPr>
          <w:p w14:paraId="18D1D5B8">
            <w:pPr>
              <w:pStyle w:val="6"/>
              <w:spacing w:before="97" w:line="195" w:lineRule="auto"/>
              <w:ind w:left="306"/>
              <w:rPr>
                <w:sz w:val="20"/>
                <w:szCs w:val="20"/>
              </w:rPr>
            </w:pPr>
            <w:r>
              <w:rPr>
                <w:spacing w:val="3"/>
                <w:sz w:val="20"/>
                <w:szCs w:val="20"/>
              </w:rPr>
              <w:t>49</w:t>
            </w:r>
          </w:p>
        </w:tc>
        <w:tc>
          <w:tcPr>
            <w:tcW w:w="822" w:type="dxa"/>
            <w:vAlign w:val="top"/>
          </w:tcPr>
          <w:p w14:paraId="13C7F38B">
            <w:pPr>
              <w:pStyle w:val="6"/>
              <w:spacing w:before="97" w:line="195" w:lineRule="auto"/>
              <w:ind w:left="307"/>
              <w:rPr>
                <w:sz w:val="20"/>
                <w:szCs w:val="20"/>
              </w:rPr>
            </w:pPr>
            <w:r>
              <w:rPr>
                <w:spacing w:val="3"/>
                <w:sz w:val="20"/>
                <w:szCs w:val="20"/>
              </w:rPr>
              <w:t>49</w:t>
            </w:r>
          </w:p>
        </w:tc>
        <w:tc>
          <w:tcPr>
            <w:tcW w:w="1764" w:type="dxa"/>
            <w:vAlign w:val="top"/>
          </w:tcPr>
          <w:p w14:paraId="27177C58">
            <w:pPr>
              <w:pStyle w:val="6"/>
              <w:spacing w:before="97" w:line="195" w:lineRule="auto"/>
              <w:ind w:left="778"/>
              <w:rPr>
                <w:sz w:val="20"/>
                <w:szCs w:val="20"/>
              </w:rPr>
            </w:pPr>
            <w:r>
              <w:rPr>
                <w:spacing w:val="3"/>
                <w:sz w:val="20"/>
                <w:szCs w:val="20"/>
              </w:rPr>
              <w:t>49</w:t>
            </w:r>
          </w:p>
        </w:tc>
        <w:tc>
          <w:tcPr>
            <w:tcW w:w="822" w:type="dxa"/>
            <w:vAlign w:val="top"/>
          </w:tcPr>
          <w:p w14:paraId="787EE838">
            <w:pPr>
              <w:pStyle w:val="6"/>
              <w:spacing w:before="97" w:line="195" w:lineRule="auto"/>
              <w:ind w:left="306"/>
              <w:rPr>
                <w:sz w:val="20"/>
                <w:szCs w:val="20"/>
              </w:rPr>
            </w:pPr>
            <w:r>
              <w:rPr>
                <w:spacing w:val="3"/>
                <w:sz w:val="20"/>
                <w:szCs w:val="20"/>
              </w:rPr>
              <w:t>40</w:t>
            </w:r>
          </w:p>
        </w:tc>
        <w:tc>
          <w:tcPr>
            <w:tcW w:w="822" w:type="dxa"/>
            <w:vAlign w:val="top"/>
          </w:tcPr>
          <w:p w14:paraId="0685BDC5">
            <w:pPr>
              <w:pStyle w:val="6"/>
              <w:spacing w:before="97" w:line="195" w:lineRule="auto"/>
              <w:ind w:left="307"/>
              <w:rPr>
                <w:sz w:val="20"/>
                <w:szCs w:val="20"/>
              </w:rPr>
            </w:pPr>
            <w:r>
              <w:rPr>
                <w:spacing w:val="3"/>
                <w:sz w:val="20"/>
                <w:szCs w:val="20"/>
              </w:rPr>
              <w:t>40</w:t>
            </w:r>
          </w:p>
        </w:tc>
        <w:tc>
          <w:tcPr>
            <w:tcW w:w="1764" w:type="dxa"/>
            <w:tcBorders>
              <w:right w:val="nil"/>
            </w:tcBorders>
            <w:vAlign w:val="top"/>
          </w:tcPr>
          <w:p w14:paraId="604F114B">
            <w:pPr>
              <w:pStyle w:val="6"/>
              <w:spacing w:before="97" w:line="195" w:lineRule="auto"/>
              <w:ind w:left="778"/>
              <w:rPr>
                <w:sz w:val="20"/>
                <w:szCs w:val="20"/>
              </w:rPr>
            </w:pPr>
            <w:r>
              <w:rPr>
                <w:spacing w:val="3"/>
                <w:sz w:val="20"/>
                <w:szCs w:val="20"/>
              </w:rPr>
              <w:t>40</w:t>
            </w:r>
          </w:p>
        </w:tc>
      </w:tr>
      <w:tr w14:paraId="3AA82A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trPr>
        <w:tc>
          <w:tcPr>
            <w:tcW w:w="1706" w:type="dxa"/>
            <w:tcBorders>
              <w:left w:val="nil"/>
            </w:tcBorders>
            <w:vAlign w:val="top"/>
          </w:tcPr>
          <w:p w14:paraId="610135AE">
            <w:pPr>
              <w:pStyle w:val="6"/>
              <w:spacing w:before="102" w:line="195" w:lineRule="auto"/>
              <w:ind w:left="677"/>
              <w:rPr>
                <w:sz w:val="20"/>
                <w:szCs w:val="20"/>
              </w:rPr>
            </w:pPr>
            <w:r>
              <w:rPr>
                <w:spacing w:val="1"/>
                <w:sz w:val="20"/>
                <w:szCs w:val="20"/>
              </w:rPr>
              <w:t>80m</w:t>
            </w:r>
          </w:p>
        </w:tc>
        <w:tc>
          <w:tcPr>
            <w:tcW w:w="822" w:type="dxa"/>
            <w:vAlign w:val="top"/>
          </w:tcPr>
          <w:p w14:paraId="6F6C5A88">
            <w:pPr>
              <w:pStyle w:val="6"/>
              <w:spacing w:before="102" w:line="195" w:lineRule="auto"/>
              <w:ind w:left="306"/>
              <w:rPr>
                <w:sz w:val="20"/>
                <w:szCs w:val="20"/>
              </w:rPr>
            </w:pPr>
            <w:r>
              <w:rPr>
                <w:spacing w:val="3"/>
                <w:sz w:val="20"/>
                <w:szCs w:val="20"/>
              </w:rPr>
              <w:t>49</w:t>
            </w:r>
          </w:p>
        </w:tc>
        <w:tc>
          <w:tcPr>
            <w:tcW w:w="822" w:type="dxa"/>
            <w:vAlign w:val="top"/>
          </w:tcPr>
          <w:p w14:paraId="7B80FF5A">
            <w:pPr>
              <w:pStyle w:val="6"/>
              <w:spacing w:before="102" w:line="195" w:lineRule="auto"/>
              <w:ind w:left="307"/>
              <w:rPr>
                <w:sz w:val="20"/>
                <w:szCs w:val="20"/>
              </w:rPr>
            </w:pPr>
            <w:r>
              <w:rPr>
                <w:spacing w:val="3"/>
                <w:sz w:val="20"/>
                <w:szCs w:val="20"/>
              </w:rPr>
              <w:t>47</w:t>
            </w:r>
          </w:p>
        </w:tc>
        <w:tc>
          <w:tcPr>
            <w:tcW w:w="1764" w:type="dxa"/>
            <w:vAlign w:val="top"/>
          </w:tcPr>
          <w:p w14:paraId="2EA602A5">
            <w:pPr>
              <w:pStyle w:val="6"/>
              <w:spacing w:before="102" w:line="195" w:lineRule="auto"/>
              <w:ind w:left="778"/>
              <w:rPr>
                <w:sz w:val="20"/>
                <w:szCs w:val="20"/>
              </w:rPr>
            </w:pPr>
            <w:r>
              <w:rPr>
                <w:spacing w:val="3"/>
                <w:sz w:val="20"/>
                <w:szCs w:val="20"/>
              </w:rPr>
              <w:t>48</w:t>
            </w:r>
          </w:p>
        </w:tc>
        <w:tc>
          <w:tcPr>
            <w:tcW w:w="822" w:type="dxa"/>
            <w:vAlign w:val="top"/>
          </w:tcPr>
          <w:p w14:paraId="431B2C7D">
            <w:pPr>
              <w:pStyle w:val="6"/>
              <w:spacing w:before="102" w:line="195" w:lineRule="auto"/>
              <w:ind w:left="311"/>
              <w:rPr>
                <w:sz w:val="20"/>
                <w:szCs w:val="20"/>
              </w:rPr>
            </w:pPr>
            <w:r>
              <w:rPr>
                <w:sz w:val="20"/>
                <w:szCs w:val="20"/>
              </w:rPr>
              <w:t>38</w:t>
            </w:r>
          </w:p>
        </w:tc>
        <w:tc>
          <w:tcPr>
            <w:tcW w:w="822" w:type="dxa"/>
            <w:vAlign w:val="top"/>
          </w:tcPr>
          <w:p w14:paraId="1D80AB16">
            <w:pPr>
              <w:pStyle w:val="6"/>
              <w:spacing w:before="102" w:line="195" w:lineRule="auto"/>
              <w:ind w:left="312"/>
              <w:rPr>
                <w:sz w:val="20"/>
                <w:szCs w:val="20"/>
              </w:rPr>
            </w:pPr>
            <w:r>
              <w:rPr>
                <w:sz w:val="20"/>
                <w:szCs w:val="20"/>
              </w:rPr>
              <w:t>36</w:t>
            </w:r>
          </w:p>
        </w:tc>
        <w:tc>
          <w:tcPr>
            <w:tcW w:w="1764" w:type="dxa"/>
            <w:tcBorders>
              <w:right w:val="nil"/>
            </w:tcBorders>
            <w:vAlign w:val="top"/>
          </w:tcPr>
          <w:p w14:paraId="56A230CA">
            <w:pPr>
              <w:pStyle w:val="6"/>
              <w:spacing w:before="102" w:line="195" w:lineRule="auto"/>
              <w:ind w:left="784"/>
              <w:rPr>
                <w:sz w:val="20"/>
                <w:szCs w:val="20"/>
              </w:rPr>
            </w:pPr>
            <w:r>
              <w:rPr>
                <w:sz w:val="20"/>
                <w:szCs w:val="20"/>
              </w:rPr>
              <w:t>37</w:t>
            </w:r>
          </w:p>
        </w:tc>
      </w:tr>
      <w:tr w14:paraId="2F3298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1706" w:type="dxa"/>
            <w:tcBorders>
              <w:left w:val="nil"/>
              <w:bottom w:val="single" w:color="000000" w:sz="10" w:space="0"/>
            </w:tcBorders>
            <w:vAlign w:val="top"/>
          </w:tcPr>
          <w:p w14:paraId="0285FBD5">
            <w:pPr>
              <w:pStyle w:val="6"/>
              <w:spacing w:before="106" w:line="195" w:lineRule="auto"/>
              <w:ind w:left="638"/>
              <w:rPr>
                <w:sz w:val="20"/>
                <w:szCs w:val="20"/>
              </w:rPr>
            </w:pPr>
            <w:r>
              <w:rPr>
                <w:spacing w:val="-1"/>
                <w:sz w:val="20"/>
                <w:szCs w:val="20"/>
              </w:rPr>
              <w:t>120m</w:t>
            </w:r>
          </w:p>
        </w:tc>
        <w:tc>
          <w:tcPr>
            <w:tcW w:w="822" w:type="dxa"/>
            <w:tcBorders>
              <w:bottom w:val="single" w:color="000000" w:sz="10" w:space="0"/>
            </w:tcBorders>
            <w:vAlign w:val="top"/>
          </w:tcPr>
          <w:p w14:paraId="1A0FB085">
            <w:pPr>
              <w:pStyle w:val="6"/>
              <w:spacing w:before="106" w:line="195" w:lineRule="auto"/>
              <w:ind w:left="306"/>
              <w:rPr>
                <w:sz w:val="20"/>
                <w:szCs w:val="20"/>
              </w:rPr>
            </w:pPr>
            <w:r>
              <w:rPr>
                <w:spacing w:val="3"/>
                <w:sz w:val="20"/>
                <w:szCs w:val="20"/>
              </w:rPr>
              <w:t>45</w:t>
            </w:r>
          </w:p>
        </w:tc>
        <w:tc>
          <w:tcPr>
            <w:tcW w:w="822" w:type="dxa"/>
            <w:tcBorders>
              <w:bottom w:val="single" w:color="000000" w:sz="10" w:space="0"/>
            </w:tcBorders>
            <w:vAlign w:val="top"/>
          </w:tcPr>
          <w:p w14:paraId="7404048E">
            <w:pPr>
              <w:pStyle w:val="6"/>
              <w:spacing w:before="106" w:line="195" w:lineRule="auto"/>
              <w:ind w:left="307"/>
              <w:rPr>
                <w:sz w:val="20"/>
                <w:szCs w:val="20"/>
              </w:rPr>
            </w:pPr>
            <w:r>
              <w:rPr>
                <w:spacing w:val="3"/>
                <w:sz w:val="20"/>
                <w:szCs w:val="20"/>
              </w:rPr>
              <w:t>45</w:t>
            </w:r>
          </w:p>
        </w:tc>
        <w:tc>
          <w:tcPr>
            <w:tcW w:w="1764" w:type="dxa"/>
            <w:tcBorders>
              <w:bottom w:val="single" w:color="000000" w:sz="10" w:space="0"/>
            </w:tcBorders>
            <w:vAlign w:val="top"/>
          </w:tcPr>
          <w:p w14:paraId="12F10523">
            <w:pPr>
              <w:pStyle w:val="6"/>
              <w:spacing w:before="106" w:line="195" w:lineRule="auto"/>
              <w:ind w:left="778"/>
              <w:rPr>
                <w:sz w:val="20"/>
                <w:szCs w:val="20"/>
              </w:rPr>
            </w:pPr>
            <w:r>
              <w:rPr>
                <w:spacing w:val="3"/>
                <w:sz w:val="20"/>
                <w:szCs w:val="20"/>
              </w:rPr>
              <w:t>45</w:t>
            </w:r>
          </w:p>
        </w:tc>
        <w:tc>
          <w:tcPr>
            <w:tcW w:w="822" w:type="dxa"/>
            <w:tcBorders>
              <w:bottom w:val="single" w:color="000000" w:sz="10" w:space="0"/>
            </w:tcBorders>
            <w:vAlign w:val="top"/>
          </w:tcPr>
          <w:p w14:paraId="3ABD2EDE">
            <w:pPr>
              <w:pStyle w:val="6"/>
              <w:spacing w:before="106" w:line="195" w:lineRule="auto"/>
              <w:ind w:left="311"/>
              <w:rPr>
                <w:sz w:val="20"/>
                <w:szCs w:val="20"/>
              </w:rPr>
            </w:pPr>
            <w:r>
              <w:rPr>
                <w:sz w:val="20"/>
                <w:szCs w:val="20"/>
              </w:rPr>
              <w:t>36</w:t>
            </w:r>
          </w:p>
        </w:tc>
        <w:tc>
          <w:tcPr>
            <w:tcW w:w="822" w:type="dxa"/>
            <w:tcBorders>
              <w:bottom w:val="single" w:color="000000" w:sz="10" w:space="0"/>
            </w:tcBorders>
            <w:vAlign w:val="top"/>
          </w:tcPr>
          <w:p w14:paraId="02E92CB6">
            <w:pPr>
              <w:pStyle w:val="6"/>
              <w:spacing w:before="106" w:line="195" w:lineRule="auto"/>
              <w:ind w:left="312"/>
              <w:rPr>
                <w:sz w:val="20"/>
                <w:szCs w:val="20"/>
              </w:rPr>
            </w:pPr>
            <w:r>
              <w:rPr>
                <w:sz w:val="20"/>
                <w:szCs w:val="20"/>
              </w:rPr>
              <w:t>36</w:t>
            </w:r>
          </w:p>
        </w:tc>
        <w:tc>
          <w:tcPr>
            <w:tcW w:w="1764" w:type="dxa"/>
            <w:tcBorders>
              <w:bottom w:val="single" w:color="000000" w:sz="10" w:space="0"/>
              <w:right w:val="nil"/>
            </w:tcBorders>
            <w:vAlign w:val="top"/>
          </w:tcPr>
          <w:p w14:paraId="0E87D0E2">
            <w:pPr>
              <w:pStyle w:val="6"/>
              <w:spacing w:before="106" w:line="195" w:lineRule="auto"/>
              <w:ind w:left="784"/>
              <w:rPr>
                <w:sz w:val="20"/>
                <w:szCs w:val="20"/>
              </w:rPr>
            </w:pPr>
            <w:r>
              <w:rPr>
                <w:sz w:val="20"/>
                <w:szCs w:val="20"/>
              </w:rPr>
              <w:t>36</w:t>
            </w:r>
          </w:p>
        </w:tc>
      </w:tr>
    </w:tbl>
    <w:p w14:paraId="0B206E6D">
      <w:pPr>
        <w:spacing w:before="115" w:line="358" w:lineRule="auto"/>
        <w:ind w:left="119" w:right="107" w:firstLine="515"/>
        <w:jc w:val="both"/>
        <w:rPr>
          <w:rFonts w:ascii="仿宋" w:hAnsi="仿宋" w:eastAsia="仿宋" w:cs="仿宋"/>
          <w:sz w:val="24"/>
          <w:szCs w:val="24"/>
        </w:rPr>
      </w:pPr>
      <w:r>
        <w:rPr>
          <w:rFonts w:ascii="仿宋" w:hAnsi="仿宋" w:eastAsia="仿宋" w:cs="仿宋"/>
          <w:spacing w:val="-2"/>
          <w:sz w:val="24"/>
          <w:szCs w:val="24"/>
        </w:rPr>
        <w:t>由表</w:t>
      </w:r>
      <w:r>
        <w:rPr>
          <w:rFonts w:ascii="仿宋" w:hAnsi="仿宋" w:eastAsia="仿宋" w:cs="仿宋"/>
          <w:spacing w:val="-38"/>
          <w:sz w:val="24"/>
          <w:szCs w:val="24"/>
        </w:rPr>
        <w:t xml:space="preserve"> </w:t>
      </w:r>
      <w:r>
        <w:rPr>
          <w:rFonts w:ascii="Times New Roman" w:hAnsi="Times New Roman" w:eastAsia="Times New Roman" w:cs="Times New Roman"/>
          <w:spacing w:val="-2"/>
          <w:sz w:val="24"/>
          <w:szCs w:val="24"/>
        </w:rPr>
        <w:t>3.2-7</w:t>
      </w:r>
      <w:r>
        <w:rPr>
          <w:rFonts w:ascii="Times New Roman" w:hAnsi="Times New Roman" w:eastAsia="Times New Roman" w:cs="Times New Roman"/>
          <w:spacing w:val="22"/>
          <w:sz w:val="24"/>
          <w:szCs w:val="24"/>
        </w:rPr>
        <w:t xml:space="preserve"> </w:t>
      </w:r>
      <w:r>
        <w:rPr>
          <w:rFonts w:ascii="仿宋" w:hAnsi="仿宋" w:eastAsia="仿宋" w:cs="仿宋"/>
          <w:spacing w:val="-2"/>
          <w:sz w:val="24"/>
          <w:szCs w:val="24"/>
        </w:rPr>
        <w:t>可知，各敏感点昼间均值区间：</w:t>
      </w:r>
      <w:r>
        <w:rPr>
          <w:rFonts w:ascii="Times New Roman" w:hAnsi="Times New Roman" w:eastAsia="Times New Roman" w:cs="Times New Roman"/>
          <w:spacing w:val="-2"/>
          <w:sz w:val="24"/>
          <w:szCs w:val="24"/>
        </w:rPr>
        <w:t>43.0~53.0dB (A)</w:t>
      </w:r>
      <w:r>
        <w:rPr>
          <w:rFonts w:ascii="Times New Roman" w:hAnsi="Times New Roman" w:eastAsia="Times New Roman" w:cs="Times New Roman"/>
          <w:spacing w:val="-25"/>
          <w:sz w:val="24"/>
          <w:szCs w:val="24"/>
        </w:rPr>
        <w:t xml:space="preserve"> </w:t>
      </w:r>
      <w:r>
        <w:rPr>
          <w:rFonts w:ascii="仿宋" w:hAnsi="仿宋" w:eastAsia="仿宋" w:cs="仿宋"/>
          <w:spacing w:val="-2"/>
          <w:sz w:val="24"/>
          <w:szCs w:val="24"/>
        </w:rPr>
        <w:t>，全部点位昼均</w:t>
      </w:r>
      <w:r>
        <w:rPr>
          <w:rFonts w:ascii="仿宋" w:hAnsi="仿宋" w:eastAsia="仿宋" w:cs="仿宋"/>
          <w:spacing w:val="-1"/>
          <w:sz w:val="24"/>
          <w:szCs w:val="24"/>
        </w:rPr>
        <w:t>值</w:t>
      </w:r>
      <w:r>
        <w:rPr>
          <w:rFonts w:ascii="Times New Roman" w:hAnsi="Times New Roman" w:eastAsia="Times New Roman" w:cs="Times New Roman"/>
          <w:spacing w:val="-1"/>
          <w:sz w:val="24"/>
          <w:szCs w:val="24"/>
        </w:rPr>
        <w:t>≤55dB</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pacing w:val="-1"/>
          <w:sz w:val="24"/>
          <w:szCs w:val="24"/>
        </w:rPr>
        <w:t>(A)</w:t>
      </w:r>
      <w:r>
        <w:rPr>
          <w:rFonts w:ascii="Times New Roman" w:hAnsi="Times New Roman" w:eastAsia="Times New Roman" w:cs="Times New Roman"/>
          <w:spacing w:val="-23"/>
          <w:sz w:val="24"/>
          <w:szCs w:val="24"/>
        </w:rPr>
        <w:t xml:space="preserve"> </w:t>
      </w:r>
      <w:r>
        <w:rPr>
          <w:rFonts w:ascii="仿宋" w:hAnsi="仿宋" w:eastAsia="仿宋" w:cs="仿宋"/>
          <w:spacing w:val="-1"/>
          <w:sz w:val="24"/>
          <w:szCs w:val="24"/>
        </w:rPr>
        <w:t>，满足</w:t>
      </w:r>
      <w:r>
        <w:rPr>
          <w:rFonts w:ascii="仿宋" w:hAnsi="仿宋" w:eastAsia="仿宋" w:cs="仿宋"/>
          <w:spacing w:val="-27"/>
          <w:sz w:val="24"/>
          <w:szCs w:val="24"/>
        </w:rPr>
        <w:t xml:space="preserve"> </w:t>
      </w:r>
      <w:r>
        <w:rPr>
          <w:rFonts w:ascii="Times New Roman" w:hAnsi="Times New Roman" w:eastAsia="Times New Roman" w:cs="Times New Roman"/>
          <w:spacing w:val="-1"/>
          <w:sz w:val="24"/>
          <w:szCs w:val="24"/>
        </w:rPr>
        <w:t>1</w:t>
      </w:r>
      <w:r>
        <w:rPr>
          <w:rFonts w:ascii="Times New Roman" w:hAnsi="Times New Roman" w:eastAsia="Times New Roman" w:cs="Times New Roman"/>
          <w:spacing w:val="21"/>
          <w:sz w:val="24"/>
          <w:szCs w:val="24"/>
        </w:rPr>
        <w:t xml:space="preserve"> </w:t>
      </w:r>
      <w:r>
        <w:rPr>
          <w:rFonts w:ascii="仿宋" w:hAnsi="仿宋" w:eastAsia="仿宋" w:cs="仿宋"/>
          <w:spacing w:val="-1"/>
          <w:sz w:val="24"/>
          <w:szCs w:val="24"/>
        </w:rPr>
        <w:t>类区昼间标准；夜间均值区间：</w:t>
      </w:r>
      <w:r>
        <w:rPr>
          <w:rFonts w:ascii="Times New Roman" w:hAnsi="Times New Roman" w:eastAsia="Times New Roman" w:cs="Times New Roman"/>
          <w:spacing w:val="-1"/>
          <w:sz w:val="24"/>
          <w:szCs w:val="24"/>
        </w:rPr>
        <w:t>36.0</w:t>
      </w:r>
      <w:r>
        <w:rPr>
          <w:rFonts w:ascii="Times New Roman" w:hAnsi="Times New Roman" w:eastAsia="Times New Roman" w:cs="Times New Roman"/>
          <w:spacing w:val="-2"/>
          <w:sz w:val="24"/>
          <w:szCs w:val="24"/>
        </w:rPr>
        <w:t>~43.0dB (A)</w:t>
      </w:r>
      <w:r>
        <w:rPr>
          <w:rFonts w:ascii="Times New Roman" w:hAnsi="Times New Roman" w:eastAsia="Times New Roman" w:cs="Times New Roman"/>
          <w:spacing w:val="-21"/>
          <w:sz w:val="24"/>
          <w:szCs w:val="24"/>
        </w:rPr>
        <w:t xml:space="preserve"> </w:t>
      </w:r>
      <w:r>
        <w:rPr>
          <w:rFonts w:ascii="仿宋" w:hAnsi="仿宋" w:eastAsia="仿宋" w:cs="仿宋"/>
          <w:spacing w:val="-2"/>
          <w:sz w:val="24"/>
          <w:szCs w:val="24"/>
        </w:rPr>
        <w:t>，全部点</w:t>
      </w:r>
      <w:r>
        <w:rPr>
          <w:rFonts w:ascii="仿宋" w:hAnsi="仿宋" w:eastAsia="仿宋" w:cs="仿宋"/>
          <w:spacing w:val="-1"/>
          <w:sz w:val="24"/>
          <w:szCs w:val="24"/>
        </w:rPr>
        <w:t>位夜均值</w:t>
      </w:r>
      <w:r>
        <w:rPr>
          <w:rFonts w:ascii="Times New Roman" w:hAnsi="Times New Roman" w:eastAsia="Times New Roman" w:cs="Times New Roman"/>
          <w:spacing w:val="-1"/>
          <w:sz w:val="24"/>
          <w:szCs w:val="24"/>
        </w:rPr>
        <w:t>≤45dB (A)</w:t>
      </w:r>
      <w:r>
        <w:rPr>
          <w:rFonts w:ascii="Times New Roman" w:hAnsi="Times New Roman" w:eastAsia="Times New Roman" w:cs="Times New Roman"/>
          <w:spacing w:val="-24"/>
          <w:sz w:val="24"/>
          <w:szCs w:val="24"/>
        </w:rPr>
        <w:t xml:space="preserve"> </w:t>
      </w:r>
      <w:r>
        <w:rPr>
          <w:rFonts w:ascii="仿宋" w:hAnsi="仿宋" w:eastAsia="仿宋" w:cs="仿宋"/>
          <w:spacing w:val="-1"/>
          <w:sz w:val="24"/>
          <w:szCs w:val="24"/>
        </w:rPr>
        <w:t>，满足</w:t>
      </w:r>
      <w:r>
        <w:rPr>
          <w:rFonts w:ascii="仿宋" w:hAnsi="仿宋" w:eastAsia="仿宋" w:cs="仿宋"/>
          <w:spacing w:val="-32"/>
          <w:sz w:val="24"/>
          <w:szCs w:val="24"/>
        </w:rPr>
        <w:t xml:space="preserve"> </w:t>
      </w:r>
      <w:r>
        <w:rPr>
          <w:rFonts w:ascii="Times New Roman" w:hAnsi="Times New Roman" w:eastAsia="Times New Roman" w:cs="Times New Roman"/>
          <w:spacing w:val="-1"/>
          <w:sz w:val="24"/>
          <w:szCs w:val="24"/>
        </w:rPr>
        <w:t>1</w:t>
      </w:r>
      <w:r>
        <w:rPr>
          <w:rFonts w:ascii="Times New Roman" w:hAnsi="Times New Roman" w:eastAsia="Times New Roman" w:cs="Times New Roman"/>
          <w:spacing w:val="21"/>
          <w:sz w:val="24"/>
          <w:szCs w:val="24"/>
        </w:rPr>
        <w:t xml:space="preserve"> </w:t>
      </w:r>
      <w:r>
        <w:rPr>
          <w:rFonts w:ascii="仿宋" w:hAnsi="仿宋" w:eastAsia="仿宋" w:cs="仿宋"/>
          <w:spacing w:val="-1"/>
          <w:sz w:val="24"/>
          <w:szCs w:val="24"/>
        </w:rPr>
        <w:t>类区夜间标准；噪声最高点位：崔家峁散户昼均值</w:t>
      </w:r>
      <w:r>
        <w:rPr>
          <w:rFonts w:ascii="Times New Roman" w:hAnsi="Times New Roman" w:eastAsia="Times New Roman" w:cs="Times New Roman"/>
          <w:spacing w:val="-2"/>
          <w:sz w:val="24"/>
          <w:szCs w:val="24"/>
        </w:rPr>
        <w:t>53.0dB (A)</w:t>
      </w:r>
      <w:r>
        <w:rPr>
          <w:rFonts w:ascii="Times New Roman" w:hAnsi="Times New Roman" w:eastAsia="Times New Roman" w:cs="Times New Roman"/>
          <w:spacing w:val="-23"/>
          <w:sz w:val="24"/>
          <w:szCs w:val="24"/>
        </w:rPr>
        <w:t xml:space="preserve"> </w:t>
      </w:r>
      <w:r>
        <w:rPr>
          <w:rFonts w:ascii="仿宋" w:hAnsi="仿宋" w:eastAsia="仿宋" w:cs="仿宋"/>
          <w:spacing w:val="-2"/>
          <w:sz w:val="24"/>
          <w:szCs w:val="24"/>
        </w:rPr>
        <w:t>；背景点</w:t>
      </w:r>
      <w:r>
        <w:rPr>
          <w:rFonts w:ascii="仿宋" w:hAnsi="仿宋" w:eastAsia="仿宋" w:cs="仿宋"/>
          <w:spacing w:val="-29"/>
          <w:sz w:val="24"/>
          <w:szCs w:val="24"/>
        </w:rPr>
        <w:t xml:space="preserve"> </w:t>
      </w:r>
      <w:r>
        <w:rPr>
          <w:rFonts w:ascii="Times New Roman" w:hAnsi="Times New Roman" w:eastAsia="Times New Roman" w:cs="Times New Roman"/>
          <w:spacing w:val="-2"/>
          <w:sz w:val="24"/>
          <w:szCs w:val="24"/>
        </w:rPr>
        <w:t>1</w:t>
      </w:r>
      <w:r>
        <w:rPr>
          <w:rFonts w:ascii="Times New Roman" w:hAnsi="Times New Roman" w:eastAsia="Times New Roman" w:cs="Times New Roman"/>
          <w:spacing w:val="-24"/>
          <w:sz w:val="24"/>
          <w:szCs w:val="24"/>
        </w:rPr>
        <w:t xml:space="preserve"> </w:t>
      </w:r>
      <w:r>
        <w:rPr>
          <w:rFonts w:ascii="仿宋" w:hAnsi="仿宋" w:eastAsia="仿宋" w:cs="仿宋"/>
          <w:spacing w:val="-2"/>
          <w:sz w:val="24"/>
          <w:szCs w:val="24"/>
        </w:rPr>
        <w:t>、背景点</w:t>
      </w:r>
      <w:r>
        <w:rPr>
          <w:rFonts w:ascii="仿宋" w:hAnsi="仿宋" w:eastAsia="仿宋" w:cs="仿宋"/>
          <w:spacing w:val="-53"/>
          <w:sz w:val="24"/>
          <w:szCs w:val="24"/>
        </w:rPr>
        <w:t xml:space="preserve"> </w:t>
      </w:r>
      <w:r>
        <w:rPr>
          <w:rFonts w:ascii="Times New Roman" w:hAnsi="Times New Roman" w:eastAsia="Times New Roman" w:cs="Times New Roman"/>
          <w:spacing w:val="-2"/>
          <w:sz w:val="24"/>
          <w:szCs w:val="24"/>
        </w:rPr>
        <w:t>2</w:t>
      </w:r>
      <w:r>
        <w:rPr>
          <w:rFonts w:ascii="Times New Roman" w:hAnsi="Times New Roman" w:eastAsia="Times New Roman" w:cs="Times New Roman"/>
          <w:spacing w:val="29"/>
          <w:sz w:val="24"/>
          <w:szCs w:val="24"/>
        </w:rPr>
        <w:t xml:space="preserve"> </w:t>
      </w:r>
      <w:r>
        <w:rPr>
          <w:rFonts w:ascii="仿宋" w:hAnsi="仿宋" w:eastAsia="仿宋" w:cs="仿宋"/>
          <w:spacing w:val="-2"/>
          <w:sz w:val="24"/>
          <w:szCs w:val="24"/>
        </w:rPr>
        <w:t>噪声最低，昼夜均值显著低于居住散户，为区域本底噪声水平。</w:t>
      </w:r>
    </w:p>
    <w:p w14:paraId="19E1BB71">
      <w:pPr>
        <w:spacing w:before="15" w:line="357" w:lineRule="auto"/>
        <w:ind w:left="119" w:right="108" w:firstLine="485"/>
        <w:jc w:val="both"/>
        <w:rPr>
          <w:rFonts w:ascii="仿宋" w:hAnsi="仿宋" w:eastAsia="仿宋" w:cs="仿宋"/>
          <w:sz w:val="24"/>
          <w:szCs w:val="24"/>
        </w:rPr>
      </w:pPr>
      <w:r>
        <w:rPr>
          <w:rFonts w:ascii="仿宋" w:hAnsi="仿宋" w:eastAsia="仿宋" w:cs="仿宋"/>
          <w:spacing w:val="-1"/>
          <w:sz w:val="24"/>
          <w:szCs w:val="24"/>
        </w:rPr>
        <w:t>根据由表</w:t>
      </w:r>
      <w:r>
        <w:rPr>
          <w:rFonts w:ascii="仿宋" w:hAnsi="仿宋" w:eastAsia="仿宋" w:cs="仿宋"/>
          <w:spacing w:val="-50"/>
          <w:sz w:val="24"/>
          <w:szCs w:val="24"/>
        </w:rPr>
        <w:t xml:space="preserve"> </w:t>
      </w:r>
      <w:r>
        <w:rPr>
          <w:rFonts w:ascii="Times New Roman" w:hAnsi="Times New Roman" w:eastAsia="Times New Roman" w:cs="Times New Roman"/>
          <w:spacing w:val="-1"/>
          <w:sz w:val="24"/>
          <w:szCs w:val="24"/>
        </w:rPr>
        <w:t>3.2-8</w:t>
      </w:r>
      <w:r>
        <w:rPr>
          <w:rFonts w:ascii="Times New Roman" w:hAnsi="Times New Roman" w:eastAsia="Times New Roman" w:cs="Times New Roman"/>
          <w:spacing w:val="20"/>
          <w:sz w:val="24"/>
          <w:szCs w:val="24"/>
        </w:rPr>
        <w:t xml:space="preserve"> </w:t>
      </w:r>
      <w:r>
        <w:rPr>
          <w:rFonts w:ascii="仿宋" w:hAnsi="仿宋" w:eastAsia="仿宋" w:cs="仿宋"/>
          <w:spacing w:val="-1"/>
          <w:sz w:val="24"/>
          <w:szCs w:val="24"/>
        </w:rPr>
        <w:t>可知，现有评价范围内现有两条道路噪</w:t>
      </w:r>
      <w:r>
        <w:rPr>
          <w:rFonts w:ascii="仿宋" w:hAnsi="仿宋" w:eastAsia="仿宋" w:cs="仿宋"/>
          <w:spacing w:val="-2"/>
          <w:sz w:val="24"/>
          <w:szCs w:val="24"/>
        </w:rPr>
        <w:t>声均随距中心线距离</w:t>
      </w:r>
      <w:r>
        <w:rPr>
          <w:rFonts w:ascii="仿宋" w:hAnsi="仿宋" w:eastAsia="仿宋" w:cs="仿宋"/>
          <w:spacing w:val="-1"/>
          <w:sz w:val="24"/>
          <w:szCs w:val="24"/>
        </w:rPr>
        <w:t>增加持续衰减，</w:t>
      </w:r>
      <w:r>
        <w:rPr>
          <w:rFonts w:ascii="Times New Roman" w:hAnsi="Times New Roman" w:eastAsia="Times New Roman" w:cs="Times New Roman"/>
          <w:spacing w:val="-1"/>
          <w:sz w:val="24"/>
          <w:szCs w:val="24"/>
        </w:rPr>
        <w:t>20m</w:t>
      </w:r>
      <w:r>
        <w:rPr>
          <w:rFonts w:ascii="Times New Roman" w:hAnsi="Times New Roman" w:eastAsia="Times New Roman" w:cs="Times New Roman"/>
          <w:spacing w:val="15"/>
          <w:w w:val="101"/>
          <w:sz w:val="24"/>
          <w:szCs w:val="24"/>
        </w:rPr>
        <w:t xml:space="preserve"> </w:t>
      </w:r>
      <w:r>
        <w:rPr>
          <w:rFonts w:ascii="仿宋" w:hAnsi="仿宋" w:eastAsia="仿宋" w:cs="仿宋"/>
          <w:spacing w:val="-1"/>
          <w:sz w:val="24"/>
          <w:szCs w:val="24"/>
        </w:rPr>
        <w:t>处噪声最大，</w:t>
      </w:r>
      <w:r>
        <w:rPr>
          <w:rFonts w:ascii="Times New Roman" w:hAnsi="Times New Roman" w:eastAsia="Times New Roman" w:cs="Times New Roman"/>
          <w:spacing w:val="-1"/>
          <w:sz w:val="24"/>
          <w:szCs w:val="24"/>
        </w:rPr>
        <w:t>120m</w:t>
      </w:r>
      <w:r>
        <w:rPr>
          <w:rFonts w:ascii="Times New Roman" w:hAnsi="Times New Roman" w:eastAsia="Times New Roman" w:cs="Times New Roman"/>
          <w:spacing w:val="17"/>
          <w:sz w:val="24"/>
          <w:szCs w:val="24"/>
        </w:rPr>
        <w:t xml:space="preserve"> </w:t>
      </w:r>
      <w:r>
        <w:rPr>
          <w:rFonts w:ascii="仿宋" w:hAnsi="仿宋" w:eastAsia="仿宋" w:cs="仿宋"/>
          <w:spacing w:val="-1"/>
          <w:sz w:val="24"/>
          <w:szCs w:val="24"/>
        </w:rPr>
        <w:t>处噪声最低；沿</w:t>
      </w:r>
      <w:r>
        <w:rPr>
          <w:rFonts w:ascii="仿宋" w:hAnsi="仿宋" w:eastAsia="仿宋" w:cs="仿宋"/>
          <w:spacing w:val="-2"/>
          <w:sz w:val="24"/>
          <w:szCs w:val="24"/>
        </w:rPr>
        <w:t>黄公路：昼间最大均值</w:t>
      </w:r>
      <w:r>
        <w:rPr>
          <w:rFonts w:ascii="Times New Roman" w:hAnsi="Times New Roman" w:eastAsia="Times New Roman" w:cs="Times New Roman"/>
          <w:spacing w:val="-1"/>
          <w:sz w:val="24"/>
          <w:szCs w:val="24"/>
        </w:rPr>
        <w:t>54.0dB (A)</w:t>
      </w:r>
      <w:r>
        <w:rPr>
          <w:rFonts w:ascii="Times New Roman" w:hAnsi="Times New Roman" w:eastAsia="Times New Roman" w:cs="Times New Roman"/>
          <w:spacing w:val="-21"/>
          <w:sz w:val="24"/>
          <w:szCs w:val="24"/>
        </w:rPr>
        <w:t xml:space="preserve"> </w:t>
      </w:r>
      <w:r>
        <w:rPr>
          <w:rFonts w:ascii="仿宋" w:hAnsi="仿宋" w:eastAsia="仿宋" w:cs="仿宋"/>
          <w:spacing w:val="-1"/>
          <w:sz w:val="24"/>
          <w:szCs w:val="24"/>
        </w:rPr>
        <w:t>，夜间最大均值</w:t>
      </w:r>
      <w:r>
        <w:rPr>
          <w:rFonts w:ascii="仿宋" w:hAnsi="仿宋" w:eastAsia="仿宋" w:cs="仿宋"/>
          <w:spacing w:val="-53"/>
          <w:sz w:val="24"/>
          <w:szCs w:val="24"/>
        </w:rPr>
        <w:t xml:space="preserve"> </w:t>
      </w:r>
      <w:r>
        <w:rPr>
          <w:rFonts w:ascii="Times New Roman" w:hAnsi="Times New Roman" w:eastAsia="Times New Roman" w:cs="Times New Roman"/>
          <w:spacing w:val="-1"/>
          <w:sz w:val="24"/>
          <w:szCs w:val="24"/>
        </w:rPr>
        <w:t>43.5dB</w:t>
      </w:r>
      <w:r>
        <w:rPr>
          <w:rFonts w:ascii="Times New Roman" w:hAnsi="Times New Roman" w:eastAsia="Times New Roman" w:cs="Times New Roman"/>
          <w:spacing w:val="15"/>
          <w:w w:val="101"/>
          <w:sz w:val="24"/>
          <w:szCs w:val="24"/>
        </w:rPr>
        <w:t xml:space="preserve"> </w:t>
      </w:r>
      <w:r>
        <w:rPr>
          <w:rFonts w:ascii="Times New Roman" w:hAnsi="Times New Roman" w:eastAsia="Times New Roman" w:cs="Times New Roman"/>
          <w:spacing w:val="-1"/>
          <w:sz w:val="24"/>
          <w:szCs w:val="24"/>
        </w:rPr>
        <w:t>(A)</w:t>
      </w:r>
      <w:r>
        <w:rPr>
          <w:rFonts w:ascii="Times New Roman" w:hAnsi="Times New Roman" w:eastAsia="Times New Roman" w:cs="Times New Roman"/>
          <w:spacing w:val="-23"/>
          <w:sz w:val="24"/>
          <w:szCs w:val="24"/>
        </w:rPr>
        <w:t xml:space="preserve"> </w:t>
      </w:r>
      <w:r>
        <w:rPr>
          <w:rFonts w:ascii="仿宋" w:hAnsi="仿宋" w:eastAsia="仿宋" w:cs="仿宋"/>
          <w:spacing w:val="-1"/>
          <w:sz w:val="24"/>
          <w:szCs w:val="24"/>
        </w:rPr>
        <w:t>；兴巴高速：昼间最大均</w:t>
      </w:r>
      <w:r>
        <w:rPr>
          <w:rFonts w:ascii="仿宋" w:hAnsi="仿宋" w:eastAsia="仿宋" w:cs="仿宋"/>
          <w:spacing w:val="-2"/>
          <w:sz w:val="24"/>
          <w:szCs w:val="24"/>
        </w:rPr>
        <w:t>值</w:t>
      </w:r>
      <w:r>
        <w:rPr>
          <w:rFonts w:ascii="仿宋" w:hAnsi="仿宋" w:eastAsia="仿宋" w:cs="仿宋"/>
          <w:spacing w:val="-42"/>
          <w:sz w:val="24"/>
          <w:szCs w:val="24"/>
        </w:rPr>
        <w:t xml:space="preserve"> </w:t>
      </w:r>
      <w:r>
        <w:rPr>
          <w:rFonts w:ascii="Times New Roman" w:hAnsi="Times New Roman" w:eastAsia="Times New Roman" w:cs="Times New Roman"/>
          <w:spacing w:val="-2"/>
          <w:sz w:val="24"/>
          <w:szCs w:val="24"/>
        </w:rPr>
        <w:t>53.5dB (A)</w:t>
      </w:r>
      <w:r>
        <w:rPr>
          <w:rFonts w:ascii="Times New Roman" w:hAnsi="Times New Roman" w:eastAsia="Times New Roman" w:cs="Times New Roman"/>
          <w:spacing w:val="-23"/>
          <w:sz w:val="24"/>
          <w:szCs w:val="24"/>
        </w:rPr>
        <w:t xml:space="preserve"> </w:t>
      </w:r>
      <w:r>
        <w:rPr>
          <w:rFonts w:ascii="仿宋" w:hAnsi="仿宋" w:eastAsia="仿宋" w:cs="仿宋"/>
          <w:spacing w:val="-2"/>
          <w:sz w:val="24"/>
          <w:szCs w:val="24"/>
        </w:rPr>
        <w:t>，</w:t>
      </w:r>
      <w:r>
        <w:rPr>
          <w:rFonts w:ascii="仿宋" w:hAnsi="仿宋" w:eastAsia="仿宋" w:cs="仿宋"/>
          <w:spacing w:val="-6"/>
          <w:sz w:val="24"/>
          <w:szCs w:val="24"/>
        </w:rPr>
        <w:t xml:space="preserve">夜间最大均值 </w:t>
      </w:r>
      <w:r>
        <w:rPr>
          <w:rFonts w:ascii="Times New Roman" w:hAnsi="Times New Roman" w:eastAsia="Times New Roman" w:cs="Times New Roman"/>
          <w:spacing w:val="-6"/>
          <w:sz w:val="24"/>
          <w:szCs w:val="24"/>
        </w:rPr>
        <w:t>44.0dB (A)</w:t>
      </w:r>
      <w:r>
        <w:rPr>
          <w:rFonts w:ascii="仿宋" w:hAnsi="仿宋" w:eastAsia="仿宋" w:cs="仿宋"/>
          <w:spacing w:val="-6"/>
          <w:sz w:val="24"/>
          <w:szCs w:val="24"/>
        </w:rPr>
        <w:t>；道路近场（</w:t>
      </w:r>
      <w:r>
        <w:rPr>
          <w:rFonts w:ascii="Times New Roman" w:hAnsi="Times New Roman" w:eastAsia="Times New Roman" w:cs="Times New Roman"/>
          <w:spacing w:val="-6"/>
          <w:sz w:val="24"/>
          <w:szCs w:val="24"/>
        </w:rPr>
        <w:t>20m</w:t>
      </w:r>
      <w:r>
        <w:rPr>
          <w:rFonts w:ascii="仿宋" w:hAnsi="仿宋" w:eastAsia="仿宋" w:cs="仿宋"/>
          <w:spacing w:val="-6"/>
          <w:sz w:val="24"/>
          <w:szCs w:val="24"/>
        </w:rPr>
        <w:t>）昼夜噪声均满足</w:t>
      </w:r>
      <w:r>
        <w:rPr>
          <w:rFonts w:ascii="仿宋" w:hAnsi="仿宋" w:eastAsia="仿宋" w:cs="仿宋"/>
          <w:spacing w:val="-51"/>
          <w:sz w:val="24"/>
          <w:szCs w:val="24"/>
        </w:rPr>
        <w:t xml:space="preserve"> </w:t>
      </w:r>
      <w:r>
        <w:rPr>
          <w:rFonts w:ascii="Times New Roman" w:hAnsi="Times New Roman" w:eastAsia="Times New Roman" w:cs="Times New Roman"/>
          <w:spacing w:val="-6"/>
          <w:sz w:val="24"/>
          <w:szCs w:val="24"/>
        </w:rPr>
        <w:t>4a</w:t>
      </w:r>
      <w:r>
        <w:rPr>
          <w:rFonts w:ascii="Times New Roman" w:hAnsi="Times New Roman" w:eastAsia="Times New Roman" w:cs="Times New Roman"/>
          <w:spacing w:val="21"/>
          <w:sz w:val="24"/>
          <w:szCs w:val="24"/>
        </w:rPr>
        <w:t xml:space="preserve"> </w:t>
      </w:r>
      <w:r>
        <w:rPr>
          <w:rFonts w:ascii="仿宋" w:hAnsi="仿宋" w:eastAsia="仿宋" w:cs="仿宋"/>
          <w:spacing w:val="-6"/>
          <w:sz w:val="24"/>
          <w:szCs w:val="24"/>
        </w:rPr>
        <w:t>类区限值，</w:t>
      </w:r>
      <w:r>
        <w:rPr>
          <w:rFonts w:ascii="Times New Roman" w:hAnsi="Times New Roman" w:eastAsia="Times New Roman" w:cs="Times New Roman"/>
          <w:spacing w:val="-6"/>
          <w:sz w:val="24"/>
          <w:szCs w:val="24"/>
        </w:rPr>
        <w:t>120m</w:t>
      </w:r>
      <w:r>
        <w:rPr>
          <w:rFonts w:ascii="仿宋" w:hAnsi="仿宋" w:eastAsia="仿宋" w:cs="仿宋"/>
          <w:spacing w:val="-2"/>
          <w:sz w:val="24"/>
          <w:szCs w:val="24"/>
        </w:rPr>
        <w:t>处夜间噪声降至</w:t>
      </w:r>
      <w:r>
        <w:rPr>
          <w:rFonts w:ascii="仿宋" w:hAnsi="仿宋" w:eastAsia="仿宋" w:cs="仿宋"/>
          <w:spacing w:val="-50"/>
          <w:sz w:val="24"/>
          <w:szCs w:val="24"/>
        </w:rPr>
        <w:t xml:space="preserve"> </w:t>
      </w:r>
      <w:r>
        <w:rPr>
          <w:rFonts w:ascii="Times New Roman" w:hAnsi="Times New Roman" w:eastAsia="Times New Roman" w:cs="Times New Roman"/>
          <w:spacing w:val="-2"/>
          <w:sz w:val="24"/>
          <w:szCs w:val="24"/>
        </w:rPr>
        <w:t>36dB (A)</w:t>
      </w:r>
      <w:r>
        <w:rPr>
          <w:rFonts w:ascii="Times New Roman" w:hAnsi="Times New Roman" w:eastAsia="Times New Roman" w:cs="Times New Roman"/>
          <w:spacing w:val="-28"/>
          <w:sz w:val="24"/>
          <w:szCs w:val="24"/>
        </w:rPr>
        <w:t xml:space="preserve"> </w:t>
      </w:r>
      <w:r>
        <w:rPr>
          <w:rFonts w:ascii="仿宋" w:hAnsi="仿宋" w:eastAsia="仿宋" w:cs="仿宋"/>
          <w:spacing w:val="-2"/>
          <w:sz w:val="24"/>
          <w:szCs w:val="24"/>
        </w:rPr>
        <w:t>，接近区域背景噪声水</w:t>
      </w:r>
      <w:r>
        <w:rPr>
          <w:rFonts w:ascii="仿宋" w:hAnsi="仿宋" w:eastAsia="仿宋" w:cs="仿宋"/>
          <w:spacing w:val="-3"/>
          <w:sz w:val="24"/>
          <w:szCs w:val="24"/>
        </w:rPr>
        <w:t>平。</w:t>
      </w:r>
    </w:p>
    <w:p w14:paraId="404AC7DE">
      <w:pPr>
        <w:spacing w:line="357" w:lineRule="auto"/>
        <w:rPr>
          <w:rFonts w:ascii="仿宋" w:hAnsi="仿宋" w:eastAsia="仿宋" w:cs="仿宋"/>
          <w:sz w:val="24"/>
          <w:szCs w:val="24"/>
        </w:rPr>
        <w:sectPr>
          <w:footerReference r:id="rId169" w:type="default"/>
          <w:pgSz w:w="11906" w:h="16839"/>
          <w:pgMar w:top="400" w:right="1691" w:bottom="1370" w:left="1691" w:header="0" w:footer="1207" w:gutter="0"/>
          <w:cols w:space="720" w:num="1"/>
        </w:sectPr>
      </w:pPr>
    </w:p>
    <w:p w14:paraId="73A330CC">
      <w:pPr>
        <w:pStyle w:val="2"/>
        <w:spacing w:line="272" w:lineRule="auto"/>
        <w:rPr>
          <w:sz w:val="21"/>
        </w:rPr>
      </w:pPr>
    </w:p>
    <w:p w14:paraId="06896F40">
      <w:pPr>
        <w:pStyle w:val="2"/>
        <w:spacing w:line="272" w:lineRule="auto"/>
        <w:rPr>
          <w:sz w:val="21"/>
        </w:rPr>
      </w:pPr>
    </w:p>
    <w:p w14:paraId="1B229FDA">
      <w:pPr>
        <w:pStyle w:val="2"/>
        <w:spacing w:line="272" w:lineRule="auto"/>
        <w:rPr>
          <w:sz w:val="21"/>
        </w:rPr>
      </w:pPr>
    </w:p>
    <w:p w14:paraId="2EBA7AD1">
      <w:pPr>
        <w:pStyle w:val="2"/>
        <w:spacing w:line="272" w:lineRule="auto"/>
        <w:rPr>
          <w:sz w:val="21"/>
        </w:rPr>
      </w:pPr>
    </w:p>
    <w:p w14:paraId="1DD24455">
      <w:pPr>
        <w:pStyle w:val="2"/>
        <w:spacing w:line="272" w:lineRule="auto"/>
        <w:rPr>
          <w:sz w:val="21"/>
        </w:rPr>
      </w:pPr>
    </w:p>
    <w:p w14:paraId="510C2D49">
      <w:pPr>
        <w:spacing w:before="114" w:line="228" w:lineRule="auto"/>
        <w:ind w:left="25"/>
        <w:outlineLvl w:val="0"/>
        <w:rPr>
          <w:rFonts w:ascii="仿宋" w:hAnsi="仿宋" w:eastAsia="仿宋" w:cs="仿宋"/>
          <w:sz w:val="35"/>
          <w:szCs w:val="35"/>
        </w:rPr>
      </w:pPr>
      <w:bookmarkStart w:id="37" w:name="bookmark42"/>
      <w:bookmarkEnd w:id="37"/>
      <w:bookmarkStart w:id="38" w:name="bookmark41"/>
      <w:bookmarkEnd w:id="38"/>
      <w:bookmarkStart w:id="39" w:name="bookmark40"/>
      <w:bookmarkEnd w:id="39"/>
      <w:r>
        <w:rPr>
          <w:rFonts w:ascii="仿宋" w:hAnsi="仿宋" w:eastAsia="仿宋" w:cs="仿宋"/>
          <w:b/>
          <w:bCs/>
          <w:spacing w:val="6"/>
          <w:sz w:val="35"/>
          <w:szCs w:val="35"/>
        </w:rPr>
        <w:t>4</w:t>
      </w:r>
      <w:r>
        <w:rPr>
          <w:rFonts w:ascii="仿宋" w:hAnsi="仿宋" w:eastAsia="仿宋" w:cs="仿宋"/>
          <w:spacing w:val="6"/>
          <w:sz w:val="35"/>
          <w:szCs w:val="35"/>
        </w:rPr>
        <w:t xml:space="preserve"> </w:t>
      </w:r>
      <w:r>
        <w:rPr>
          <w:rFonts w:ascii="仿宋" w:hAnsi="仿宋" w:eastAsia="仿宋" w:cs="仿宋"/>
          <w:b/>
          <w:bCs/>
          <w:spacing w:val="6"/>
          <w:sz w:val="35"/>
          <w:szCs w:val="35"/>
        </w:rPr>
        <w:t>声环境影响预测与评价</w:t>
      </w:r>
    </w:p>
    <w:p w14:paraId="6E7B1C50">
      <w:pPr>
        <w:spacing w:before="315" w:line="228" w:lineRule="auto"/>
        <w:ind w:left="23"/>
        <w:outlineLvl w:val="1"/>
        <w:rPr>
          <w:rFonts w:ascii="仿宋" w:hAnsi="仿宋" w:eastAsia="仿宋" w:cs="仿宋"/>
          <w:sz w:val="31"/>
          <w:szCs w:val="31"/>
        </w:rPr>
      </w:pPr>
      <w:r>
        <w:rPr>
          <w:rFonts w:ascii="仿宋" w:hAnsi="仿宋" w:eastAsia="仿宋" w:cs="仿宋"/>
          <w:b/>
          <w:bCs/>
          <w:spacing w:val="6"/>
          <w:sz w:val="31"/>
          <w:szCs w:val="31"/>
        </w:rPr>
        <w:t>4.1</w:t>
      </w:r>
      <w:r>
        <w:rPr>
          <w:rFonts w:ascii="仿宋" w:hAnsi="仿宋" w:eastAsia="仿宋" w:cs="仿宋"/>
          <w:spacing w:val="6"/>
          <w:sz w:val="31"/>
          <w:szCs w:val="31"/>
        </w:rPr>
        <w:t xml:space="preserve"> </w:t>
      </w:r>
      <w:r>
        <w:rPr>
          <w:rFonts w:ascii="仿宋" w:hAnsi="仿宋" w:eastAsia="仿宋" w:cs="仿宋"/>
          <w:b/>
          <w:bCs/>
          <w:spacing w:val="6"/>
          <w:sz w:val="31"/>
          <w:szCs w:val="31"/>
        </w:rPr>
        <w:t>施工期噪声影响预测评价</w:t>
      </w:r>
    </w:p>
    <w:p w14:paraId="3A35D999">
      <w:pPr>
        <w:pStyle w:val="2"/>
        <w:spacing w:line="320" w:lineRule="auto"/>
        <w:rPr>
          <w:sz w:val="21"/>
        </w:rPr>
      </w:pPr>
    </w:p>
    <w:p w14:paraId="329B1248">
      <w:pPr>
        <w:spacing w:before="91" w:line="223" w:lineRule="auto"/>
        <w:ind w:left="22"/>
        <w:outlineLvl w:val="2"/>
        <w:rPr>
          <w:rFonts w:ascii="仿宋" w:hAnsi="仿宋" w:eastAsia="仿宋" w:cs="仿宋"/>
          <w:sz w:val="28"/>
          <w:szCs w:val="28"/>
        </w:rPr>
      </w:pPr>
      <w:r>
        <w:rPr>
          <w:rFonts w:ascii="仿宋" w:hAnsi="仿宋" w:eastAsia="仿宋" w:cs="仿宋"/>
          <w:b/>
          <w:bCs/>
          <w:spacing w:val="-4"/>
          <w:sz w:val="28"/>
          <w:szCs w:val="28"/>
        </w:rPr>
        <w:t>4.1.1</w:t>
      </w:r>
      <w:r>
        <w:rPr>
          <w:rFonts w:ascii="仿宋" w:hAnsi="仿宋" w:eastAsia="仿宋" w:cs="仿宋"/>
          <w:spacing w:val="-47"/>
          <w:sz w:val="28"/>
          <w:szCs w:val="28"/>
        </w:rPr>
        <w:t xml:space="preserve"> </w:t>
      </w:r>
      <w:r>
        <w:rPr>
          <w:rFonts w:ascii="仿宋" w:hAnsi="仿宋" w:eastAsia="仿宋" w:cs="仿宋"/>
          <w:b/>
          <w:bCs/>
          <w:spacing w:val="-4"/>
          <w:sz w:val="28"/>
          <w:szCs w:val="28"/>
        </w:rPr>
        <w:t>施工期噪声污染及其特点</w:t>
      </w:r>
    </w:p>
    <w:p w14:paraId="196B40DE">
      <w:pPr>
        <w:pStyle w:val="2"/>
        <w:spacing w:line="305" w:lineRule="auto"/>
        <w:rPr>
          <w:sz w:val="21"/>
        </w:rPr>
      </w:pPr>
    </w:p>
    <w:p w14:paraId="2EC75A1E">
      <w:pPr>
        <w:spacing w:before="78" w:line="360" w:lineRule="auto"/>
        <w:ind w:left="30" w:right="76" w:firstLine="480"/>
        <w:jc w:val="both"/>
        <w:rPr>
          <w:rFonts w:ascii="仿宋" w:hAnsi="仿宋" w:eastAsia="仿宋" w:cs="仿宋"/>
          <w:sz w:val="24"/>
          <w:szCs w:val="24"/>
        </w:rPr>
      </w:pPr>
      <w:r>
        <w:rPr>
          <w:rFonts w:ascii="仿宋" w:hAnsi="仿宋" w:eastAsia="仿宋" w:cs="仿宋"/>
          <w:spacing w:val="-4"/>
          <w:sz w:val="24"/>
          <w:szCs w:val="24"/>
        </w:rPr>
        <w:t>本项目为乡村四级通村公路，工程里程短、建设规模小，无大型施工场站及</w:t>
      </w:r>
      <w:r>
        <w:rPr>
          <w:rFonts w:ascii="仿宋" w:hAnsi="仿宋" w:eastAsia="仿宋" w:cs="仿宋"/>
          <w:spacing w:val="-3"/>
          <w:sz w:val="24"/>
          <w:szCs w:val="24"/>
        </w:rPr>
        <w:t>集中施工区域，施工期间主要投入挖掘机、压路机、运输车辆等</w:t>
      </w:r>
      <w:r>
        <w:rPr>
          <w:rFonts w:ascii="仿宋" w:hAnsi="仿宋" w:eastAsia="仿宋" w:cs="仿宋"/>
          <w:spacing w:val="-4"/>
          <w:sz w:val="24"/>
          <w:szCs w:val="24"/>
        </w:rPr>
        <w:t>中小型机械，开</w:t>
      </w:r>
      <w:r>
        <w:rPr>
          <w:rFonts w:ascii="仿宋" w:hAnsi="仿宋" w:eastAsia="仿宋" w:cs="仿宋"/>
          <w:spacing w:val="-3"/>
          <w:sz w:val="24"/>
          <w:szCs w:val="24"/>
        </w:rPr>
        <w:t>展路基、路面及附属工程施工。项目为线性道路工程，沿线居民</w:t>
      </w:r>
      <w:r>
        <w:rPr>
          <w:rFonts w:ascii="仿宋" w:hAnsi="仿宋" w:eastAsia="仿宋" w:cs="仿宋"/>
          <w:spacing w:val="-4"/>
          <w:sz w:val="24"/>
          <w:szCs w:val="24"/>
        </w:rPr>
        <w:t>以零散散户民居</w:t>
      </w:r>
      <w:r>
        <w:rPr>
          <w:rFonts w:ascii="仿宋" w:hAnsi="仿宋" w:eastAsia="仿宋" w:cs="仿宋"/>
          <w:spacing w:val="-3"/>
          <w:sz w:val="24"/>
          <w:szCs w:val="24"/>
        </w:rPr>
        <w:t>为主，局部路段穿越小型村社，无连片聚居村庄。相较于工业固</w:t>
      </w:r>
      <w:r>
        <w:rPr>
          <w:rFonts w:ascii="仿宋" w:hAnsi="仿宋" w:eastAsia="仿宋" w:cs="仿宋"/>
          <w:spacing w:val="-4"/>
          <w:sz w:val="24"/>
          <w:szCs w:val="24"/>
        </w:rPr>
        <w:t>定噪声源、城市</w:t>
      </w:r>
      <w:r>
        <w:rPr>
          <w:rFonts w:ascii="仿宋" w:hAnsi="仿宋" w:eastAsia="仿宋" w:cs="仿宋"/>
          <w:spacing w:val="-3"/>
          <w:sz w:val="24"/>
          <w:szCs w:val="24"/>
        </w:rPr>
        <w:t>大型市政工程噪声，本项目施工噪声具有声源移动、排放随机、</w:t>
      </w:r>
      <w:r>
        <w:rPr>
          <w:rFonts w:ascii="仿宋" w:hAnsi="仿宋" w:eastAsia="仿宋" w:cs="仿宋"/>
          <w:spacing w:val="-4"/>
          <w:sz w:val="24"/>
          <w:szCs w:val="24"/>
        </w:rPr>
        <w:t>突发噪声多、影</w:t>
      </w:r>
      <w:r>
        <w:rPr>
          <w:rFonts w:ascii="仿宋" w:hAnsi="仿宋" w:eastAsia="仿宋" w:cs="仿宋"/>
          <w:spacing w:val="-2"/>
          <w:sz w:val="24"/>
          <w:szCs w:val="24"/>
        </w:rPr>
        <w:t>响距离近四大特征，具体如下：</w:t>
      </w:r>
    </w:p>
    <w:p w14:paraId="07638A2A">
      <w:pPr>
        <w:spacing w:line="359" w:lineRule="auto"/>
        <w:ind w:left="23" w:right="76" w:firstLine="490"/>
        <w:jc w:val="both"/>
        <w:rPr>
          <w:rFonts w:ascii="仿宋" w:hAnsi="仿宋" w:eastAsia="仿宋" w:cs="仿宋"/>
          <w:sz w:val="24"/>
          <w:szCs w:val="24"/>
        </w:rPr>
      </w:pPr>
      <w:r>
        <w:rPr>
          <w:rFonts w:ascii="仿宋" w:hAnsi="仿宋" w:eastAsia="仿宋" w:cs="仿宋"/>
          <w:sz w:val="24"/>
          <w:szCs w:val="24"/>
        </w:rPr>
        <w:t>（</w:t>
      </w:r>
      <w:r>
        <w:rPr>
          <w:rFonts w:ascii="Times New Roman" w:hAnsi="Times New Roman" w:eastAsia="Times New Roman" w:cs="Times New Roman"/>
          <w:sz w:val="24"/>
          <w:szCs w:val="24"/>
        </w:rPr>
        <w:t>1</w:t>
      </w:r>
      <w:r>
        <w:rPr>
          <w:rFonts w:ascii="仿宋" w:hAnsi="仿宋" w:eastAsia="仿宋" w:cs="仿宋"/>
          <w:sz w:val="24"/>
          <w:szCs w:val="24"/>
        </w:rPr>
        <w:t>）噪声时序波动大，无稳定排放规律：项目采用分段流水施工，各施工</w:t>
      </w:r>
      <w:r>
        <w:rPr>
          <w:rFonts w:ascii="仿宋" w:hAnsi="仿宋" w:eastAsia="仿宋" w:cs="仿宋"/>
          <w:spacing w:val="-3"/>
          <w:sz w:val="24"/>
          <w:szCs w:val="24"/>
        </w:rPr>
        <w:t>段落机械数量、作业时长、施工工序均不固定，土方开挖、路基碾压、混凝土浇</w:t>
      </w:r>
      <w:r>
        <w:rPr>
          <w:rFonts w:ascii="仿宋" w:hAnsi="仿宋" w:eastAsia="仿宋" w:cs="仿宋"/>
          <w:spacing w:val="11"/>
          <w:sz w:val="24"/>
          <w:szCs w:val="24"/>
        </w:rPr>
        <w:t>筑等工序交替穿插，高、低噪声工序随机切换，昼间瞬时噪声差值最高可达</w:t>
      </w:r>
      <w:r>
        <w:rPr>
          <w:rFonts w:ascii="Times New Roman" w:hAnsi="Times New Roman" w:eastAsia="Times New Roman" w:cs="Times New Roman"/>
          <w:spacing w:val="-2"/>
          <w:sz w:val="24"/>
          <w:szCs w:val="24"/>
        </w:rPr>
        <w:t>30dB(A)</w:t>
      </w:r>
      <w:r>
        <w:rPr>
          <w:rFonts w:ascii="Times New Roman" w:hAnsi="Times New Roman" w:eastAsia="Times New Roman" w:cs="Times New Roman"/>
          <w:spacing w:val="-25"/>
          <w:sz w:val="24"/>
          <w:szCs w:val="24"/>
        </w:rPr>
        <w:t xml:space="preserve"> </w:t>
      </w:r>
      <w:r>
        <w:rPr>
          <w:rFonts w:ascii="仿宋" w:hAnsi="仿宋" w:eastAsia="仿宋" w:cs="仿宋"/>
          <w:spacing w:val="-2"/>
          <w:sz w:val="24"/>
          <w:szCs w:val="24"/>
        </w:rPr>
        <w:t>，相较于固定噪声源，管控难度更大。</w:t>
      </w:r>
    </w:p>
    <w:p w14:paraId="7360B5D1">
      <w:pPr>
        <w:spacing w:before="3" w:line="358" w:lineRule="auto"/>
        <w:ind w:left="28" w:firstLine="486"/>
        <w:jc w:val="both"/>
        <w:rPr>
          <w:rFonts w:ascii="仿宋" w:hAnsi="仿宋" w:eastAsia="仿宋" w:cs="仿宋"/>
          <w:sz w:val="24"/>
          <w:szCs w:val="24"/>
        </w:rPr>
      </w:pPr>
      <w:r>
        <w:rPr>
          <w:rFonts w:ascii="仿宋" w:hAnsi="仿宋" w:eastAsia="仿宋" w:cs="仿宋"/>
          <w:sz w:val="24"/>
          <w:szCs w:val="24"/>
        </w:rPr>
        <w:t>（</w:t>
      </w:r>
      <w:r>
        <w:rPr>
          <w:rFonts w:ascii="Times New Roman" w:hAnsi="Times New Roman" w:eastAsia="Times New Roman" w:cs="Times New Roman"/>
          <w:sz w:val="24"/>
          <w:szCs w:val="24"/>
        </w:rPr>
        <w:t>2</w:t>
      </w:r>
      <w:r>
        <w:rPr>
          <w:rFonts w:ascii="仿宋" w:hAnsi="仿宋" w:eastAsia="仿宋" w:cs="仿宋"/>
          <w:sz w:val="24"/>
          <w:szCs w:val="24"/>
        </w:rPr>
        <w:t>）噪声类型差异明显，扰民形式不同：施工噪声分为突发脉冲噪声与稳</w:t>
      </w:r>
      <w:r>
        <w:rPr>
          <w:rFonts w:ascii="仿宋" w:hAnsi="仿宋" w:eastAsia="仿宋" w:cs="仿宋"/>
          <w:spacing w:val="-8"/>
          <w:sz w:val="24"/>
          <w:szCs w:val="24"/>
        </w:rPr>
        <w:t>态低频噪声两类。小型桩基设备产生瞬时高脉冲噪声，峰值上升快、无缓冲过程，</w:t>
      </w:r>
      <w:r>
        <w:rPr>
          <w:rFonts w:ascii="仿宋" w:hAnsi="仿宋" w:eastAsia="仿宋" w:cs="仿宋"/>
          <w:spacing w:val="-3"/>
          <w:sz w:val="24"/>
          <w:szCs w:val="24"/>
        </w:rPr>
        <w:t>易干扰村民午休、日常交谈；压路机、摊铺机等设备产生持续性低频</w:t>
      </w:r>
      <w:r>
        <w:rPr>
          <w:rFonts w:ascii="仿宋" w:hAnsi="仿宋" w:eastAsia="仿宋" w:cs="仿宋"/>
          <w:spacing w:val="-4"/>
          <w:sz w:val="24"/>
          <w:szCs w:val="24"/>
        </w:rPr>
        <w:t>噪声，声波</w:t>
      </w:r>
      <w:r>
        <w:rPr>
          <w:rFonts w:ascii="仿宋" w:hAnsi="仿宋" w:eastAsia="仿宋" w:cs="仿宋"/>
          <w:spacing w:val="-8"/>
          <w:sz w:val="24"/>
          <w:szCs w:val="24"/>
        </w:rPr>
        <w:t>穿透力强、传播衰减慢，长期接触易引发人体烦躁、失眠等不适。本项目无电锤、</w:t>
      </w:r>
      <w:r>
        <w:rPr>
          <w:rFonts w:ascii="仿宋" w:hAnsi="仿宋" w:eastAsia="仿宋" w:cs="仿宋"/>
          <w:spacing w:val="13"/>
          <w:sz w:val="24"/>
          <w:szCs w:val="24"/>
        </w:rPr>
        <w:t>风镐</w:t>
      </w:r>
      <w:r>
        <w:rPr>
          <w:rFonts w:ascii="仿宋" w:hAnsi="仿宋" w:eastAsia="仿宋" w:cs="仿宋"/>
          <w:spacing w:val="-62"/>
          <w:sz w:val="24"/>
          <w:szCs w:val="24"/>
        </w:rPr>
        <w:t xml:space="preserve"> </w:t>
      </w:r>
      <w:r>
        <w:rPr>
          <w:rFonts w:ascii="仿宋" w:hAnsi="仿宋" w:eastAsia="仿宋" w:cs="仿宋"/>
          <w:spacing w:val="13"/>
          <w:sz w:val="24"/>
          <w:szCs w:val="24"/>
        </w:rPr>
        <w:t>等高频冲击设备</w:t>
      </w:r>
      <w:r>
        <w:rPr>
          <w:rFonts w:ascii="仿宋" w:hAnsi="仿宋" w:eastAsia="仿宋" w:cs="仿宋"/>
          <w:spacing w:val="-63"/>
          <w:sz w:val="24"/>
          <w:szCs w:val="24"/>
        </w:rPr>
        <w:t xml:space="preserve"> </w:t>
      </w:r>
      <w:r>
        <w:rPr>
          <w:rFonts w:ascii="仿宋" w:hAnsi="仿宋" w:eastAsia="仿宋" w:cs="仿宋"/>
          <w:spacing w:val="13"/>
          <w:sz w:val="24"/>
          <w:szCs w:val="24"/>
        </w:rPr>
        <w:t>，无对应高频噪声源</w:t>
      </w:r>
      <w:r>
        <w:rPr>
          <w:rFonts w:ascii="仿宋" w:hAnsi="仿宋" w:eastAsia="仿宋" w:cs="仿宋"/>
          <w:spacing w:val="-64"/>
          <w:sz w:val="24"/>
          <w:szCs w:val="24"/>
        </w:rPr>
        <w:t xml:space="preserve"> </w:t>
      </w:r>
      <w:r>
        <w:rPr>
          <w:rFonts w:ascii="仿宋" w:hAnsi="仿宋" w:eastAsia="仿宋" w:cs="仿宋"/>
          <w:spacing w:val="13"/>
          <w:sz w:val="24"/>
          <w:szCs w:val="24"/>
        </w:rPr>
        <w:t>；施工机械</w:t>
      </w:r>
      <w:r>
        <w:rPr>
          <w:rFonts w:ascii="仿宋" w:hAnsi="仿宋" w:eastAsia="仿宋" w:cs="仿宋"/>
          <w:spacing w:val="-24"/>
          <w:sz w:val="24"/>
          <w:szCs w:val="24"/>
        </w:rPr>
        <w:t xml:space="preserve"> </w:t>
      </w:r>
      <w:r>
        <w:rPr>
          <w:rFonts w:ascii="Times New Roman" w:hAnsi="Times New Roman" w:eastAsia="Times New Roman" w:cs="Times New Roman"/>
          <w:spacing w:val="13"/>
          <w:sz w:val="24"/>
          <w:szCs w:val="24"/>
        </w:rPr>
        <w:t>5m</w:t>
      </w:r>
      <w:r>
        <w:rPr>
          <w:rFonts w:ascii="Times New Roman" w:hAnsi="Times New Roman" w:eastAsia="Times New Roman" w:cs="Times New Roman"/>
          <w:spacing w:val="38"/>
          <w:w w:val="101"/>
          <w:sz w:val="24"/>
          <w:szCs w:val="24"/>
        </w:rPr>
        <w:t xml:space="preserve"> </w:t>
      </w:r>
      <w:r>
        <w:rPr>
          <w:rFonts w:ascii="仿宋" w:hAnsi="仿宋" w:eastAsia="仿宋" w:cs="仿宋"/>
          <w:spacing w:val="13"/>
          <w:sz w:val="24"/>
          <w:szCs w:val="24"/>
        </w:rPr>
        <w:t>基准源强集中在</w:t>
      </w:r>
      <w:r>
        <w:rPr>
          <w:rFonts w:ascii="Times New Roman" w:hAnsi="Times New Roman" w:eastAsia="Times New Roman" w:cs="Times New Roman"/>
          <w:spacing w:val="-4"/>
          <w:sz w:val="24"/>
          <w:szCs w:val="24"/>
        </w:rPr>
        <w:t>80~</w:t>
      </w:r>
      <w:r>
        <w:rPr>
          <w:rFonts w:ascii="Times New Roman" w:hAnsi="Times New Roman" w:eastAsia="Times New Roman" w:cs="Times New Roman"/>
          <w:spacing w:val="-29"/>
          <w:sz w:val="24"/>
          <w:szCs w:val="24"/>
        </w:rPr>
        <w:t xml:space="preserve"> </w:t>
      </w:r>
      <w:r>
        <w:rPr>
          <w:rFonts w:ascii="Times New Roman" w:hAnsi="Times New Roman" w:eastAsia="Times New Roman" w:cs="Times New Roman"/>
          <w:spacing w:val="-4"/>
          <w:sz w:val="24"/>
          <w:szCs w:val="24"/>
        </w:rPr>
        <w:t>100dB(A)</w:t>
      </w:r>
      <w:r>
        <w:rPr>
          <w:rFonts w:ascii="仿宋" w:hAnsi="仿宋" w:eastAsia="仿宋" w:cs="仿宋"/>
          <w:spacing w:val="-4"/>
          <w:sz w:val="24"/>
          <w:szCs w:val="24"/>
        </w:rPr>
        <w:t>。</w:t>
      </w:r>
    </w:p>
    <w:p w14:paraId="09D0EB29">
      <w:pPr>
        <w:spacing w:before="16" w:line="360" w:lineRule="auto"/>
        <w:ind w:left="32" w:right="37" w:firstLine="482"/>
        <w:jc w:val="both"/>
        <w:rPr>
          <w:rFonts w:ascii="仿宋" w:hAnsi="仿宋" w:eastAsia="仿宋" w:cs="仿宋"/>
          <w:sz w:val="24"/>
          <w:szCs w:val="24"/>
        </w:rPr>
      </w:pPr>
      <w:r>
        <w:rPr>
          <w:rFonts w:ascii="仿宋" w:hAnsi="仿宋" w:eastAsia="仿宋" w:cs="仿宋"/>
          <w:spacing w:val="1"/>
          <w:sz w:val="24"/>
          <w:szCs w:val="24"/>
        </w:rPr>
        <w:t>（</w:t>
      </w:r>
      <w:r>
        <w:rPr>
          <w:rFonts w:ascii="Times New Roman" w:hAnsi="Times New Roman" w:eastAsia="Times New Roman" w:cs="Times New Roman"/>
          <w:spacing w:val="1"/>
          <w:sz w:val="24"/>
          <w:szCs w:val="24"/>
        </w:rPr>
        <w:t>3</w:t>
      </w:r>
      <w:r>
        <w:rPr>
          <w:rFonts w:ascii="仿宋" w:hAnsi="仿宋" w:eastAsia="仿宋" w:cs="仿宋"/>
          <w:spacing w:val="1"/>
          <w:sz w:val="24"/>
          <w:szCs w:val="24"/>
        </w:rPr>
        <w:t>）声源线性移动，污染范围动态变化：施工机械沿路基轴线露天作业，</w:t>
      </w:r>
      <w:r>
        <w:rPr>
          <w:rFonts w:ascii="仿宋" w:hAnsi="仿宋" w:eastAsia="仿宋" w:cs="仿宋"/>
          <w:spacing w:val="-2"/>
          <w:sz w:val="24"/>
          <w:szCs w:val="24"/>
        </w:rPr>
        <w:t>工作面随施工进度持续前移，无固定噪声排放点位，噪声污染呈狭长</w:t>
      </w:r>
      <w:r>
        <w:rPr>
          <w:rFonts w:ascii="仿宋" w:hAnsi="仿宋" w:eastAsia="仿宋" w:cs="仿宋"/>
          <w:spacing w:val="-3"/>
          <w:sz w:val="24"/>
          <w:szCs w:val="24"/>
        </w:rPr>
        <w:t>带状分布，影响范围始终集中在道路红线两侧</w:t>
      </w:r>
      <w:r>
        <w:rPr>
          <w:rFonts w:ascii="仿宋" w:hAnsi="仿宋" w:eastAsia="仿宋" w:cs="仿宋"/>
          <w:spacing w:val="-30"/>
          <w:sz w:val="24"/>
          <w:szCs w:val="24"/>
        </w:rPr>
        <w:t xml:space="preserve"> </w:t>
      </w:r>
      <w:r>
        <w:rPr>
          <w:rFonts w:ascii="Times New Roman" w:hAnsi="Times New Roman" w:eastAsia="Times New Roman" w:cs="Times New Roman"/>
          <w:spacing w:val="-3"/>
          <w:sz w:val="24"/>
          <w:szCs w:val="24"/>
        </w:rPr>
        <w:t>150m</w:t>
      </w:r>
      <w:r>
        <w:rPr>
          <w:rFonts w:ascii="Times New Roman" w:hAnsi="Times New Roman" w:eastAsia="Times New Roman" w:cs="Times New Roman"/>
          <w:spacing w:val="44"/>
          <w:sz w:val="24"/>
          <w:szCs w:val="24"/>
        </w:rPr>
        <w:t xml:space="preserve"> </w:t>
      </w:r>
      <w:r>
        <w:rPr>
          <w:rFonts w:ascii="仿宋" w:hAnsi="仿宋" w:eastAsia="仿宋" w:cs="仿宋"/>
          <w:spacing w:val="-3"/>
          <w:sz w:val="24"/>
          <w:szCs w:val="24"/>
        </w:rPr>
        <w:t>内，无大范围连片污染区域。</w:t>
      </w:r>
    </w:p>
    <w:p w14:paraId="576AF1A6">
      <w:pPr>
        <w:spacing w:before="1" w:line="360" w:lineRule="auto"/>
        <w:ind w:left="29" w:right="76" w:firstLine="481"/>
        <w:jc w:val="both"/>
        <w:rPr>
          <w:rFonts w:ascii="仿宋" w:hAnsi="仿宋" w:eastAsia="仿宋" w:cs="仿宋"/>
          <w:sz w:val="24"/>
          <w:szCs w:val="24"/>
        </w:rPr>
      </w:pPr>
      <w:r>
        <w:rPr>
          <w:rFonts w:ascii="仿宋" w:hAnsi="仿宋" w:eastAsia="仿宋" w:cs="仿宋"/>
          <w:spacing w:val="-1"/>
          <w:sz w:val="24"/>
          <w:szCs w:val="24"/>
        </w:rPr>
        <w:t>本项目总施工工期</w:t>
      </w:r>
      <w:r>
        <w:rPr>
          <w:rFonts w:ascii="仿宋" w:hAnsi="仿宋" w:eastAsia="仿宋" w:cs="仿宋"/>
          <w:spacing w:val="-32"/>
          <w:sz w:val="24"/>
          <w:szCs w:val="24"/>
        </w:rPr>
        <w:t xml:space="preserve"> </w:t>
      </w:r>
      <w:r>
        <w:rPr>
          <w:rFonts w:ascii="Times New Roman" w:hAnsi="Times New Roman" w:eastAsia="Times New Roman" w:cs="Times New Roman"/>
          <w:spacing w:val="-1"/>
          <w:sz w:val="24"/>
          <w:szCs w:val="24"/>
        </w:rPr>
        <w:t>12</w:t>
      </w:r>
      <w:r>
        <w:rPr>
          <w:rFonts w:ascii="Times New Roman" w:hAnsi="Times New Roman" w:eastAsia="Times New Roman" w:cs="Times New Roman"/>
          <w:spacing w:val="19"/>
          <w:sz w:val="24"/>
          <w:szCs w:val="24"/>
        </w:rPr>
        <w:t xml:space="preserve"> </w:t>
      </w:r>
      <w:r>
        <w:rPr>
          <w:rFonts w:ascii="仿宋" w:hAnsi="仿宋" w:eastAsia="仿宋" w:cs="仿宋"/>
          <w:spacing w:val="-1"/>
          <w:sz w:val="24"/>
          <w:szCs w:val="24"/>
        </w:rPr>
        <w:t>个月，工程全年不间断连续施工；沿线</w:t>
      </w:r>
      <w:r>
        <w:rPr>
          <w:rFonts w:ascii="仿宋" w:hAnsi="仿宋" w:eastAsia="仿宋" w:cs="仿宋"/>
          <w:spacing w:val="-2"/>
          <w:sz w:val="24"/>
          <w:szCs w:val="24"/>
        </w:rPr>
        <w:t>近距离散户民</w:t>
      </w:r>
      <w:r>
        <w:rPr>
          <w:rFonts w:ascii="仿宋" w:hAnsi="仿宋" w:eastAsia="仿宋" w:cs="仿宋"/>
          <w:spacing w:val="-3"/>
          <w:sz w:val="24"/>
          <w:szCs w:val="24"/>
        </w:rPr>
        <w:t>居、村社等声环境敏感点将阶段性遭受施工噪声干扰。本次声环境评</w:t>
      </w:r>
      <w:r>
        <w:rPr>
          <w:rFonts w:ascii="仿宋" w:hAnsi="仿宋" w:eastAsia="仿宋" w:cs="仿宋"/>
          <w:spacing w:val="-4"/>
          <w:sz w:val="24"/>
          <w:szCs w:val="24"/>
        </w:rPr>
        <w:t>价将按不同</w:t>
      </w:r>
      <w:r>
        <w:rPr>
          <w:rFonts w:ascii="仿宋" w:hAnsi="仿宋" w:eastAsia="仿宋" w:cs="仿宋"/>
          <w:spacing w:val="-3"/>
          <w:sz w:val="24"/>
          <w:szCs w:val="24"/>
        </w:rPr>
        <w:t>施工工序分段、按敏感点与施工路段距离分级核算噪声衰减值，针对</w:t>
      </w:r>
      <w:r>
        <w:rPr>
          <w:rFonts w:ascii="仿宋" w:hAnsi="仿宋" w:eastAsia="仿宋" w:cs="仿宋"/>
          <w:spacing w:val="-4"/>
          <w:sz w:val="24"/>
          <w:szCs w:val="24"/>
        </w:rPr>
        <w:t>性提出分施</w:t>
      </w:r>
      <w:r>
        <w:rPr>
          <w:rFonts w:ascii="仿宋" w:hAnsi="仿宋" w:eastAsia="仿宋" w:cs="仿宋"/>
          <w:spacing w:val="-3"/>
          <w:sz w:val="24"/>
          <w:szCs w:val="24"/>
        </w:rPr>
        <w:t>工路段、分作业时段的分级降噪管控措施，确保道路沿线居住类区域</w:t>
      </w:r>
      <w:r>
        <w:rPr>
          <w:rFonts w:ascii="仿宋" w:hAnsi="仿宋" w:eastAsia="仿宋" w:cs="仿宋"/>
          <w:spacing w:val="-4"/>
          <w:sz w:val="24"/>
          <w:szCs w:val="24"/>
        </w:rPr>
        <w:t>声环境质量</w:t>
      </w:r>
      <w:r>
        <w:rPr>
          <w:rFonts w:ascii="仿宋" w:hAnsi="仿宋" w:eastAsia="仿宋" w:cs="仿宋"/>
          <w:spacing w:val="-3"/>
          <w:sz w:val="24"/>
          <w:szCs w:val="24"/>
        </w:rPr>
        <w:t>达标。结合工程实际布局特征，本项目道路由多段线路组成，各施工</w:t>
      </w:r>
      <w:r>
        <w:rPr>
          <w:rFonts w:ascii="仿宋" w:hAnsi="仿宋" w:eastAsia="仿宋" w:cs="仿宋"/>
          <w:spacing w:val="-4"/>
          <w:sz w:val="24"/>
          <w:szCs w:val="24"/>
        </w:rPr>
        <w:t>路段空间分</w:t>
      </w:r>
    </w:p>
    <w:p w14:paraId="22498E97">
      <w:pPr>
        <w:spacing w:line="360" w:lineRule="auto"/>
        <w:rPr>
          <w:rFonts w:ascii="仿宋" w:hAnsi="仿宋" w:eastAsia="仿宋" w:cs="仿宋"/>
          <w:sz w:val="24"/>
          <w:szCs w:val="24"/>
        </w:rPr>
        <w:sectPr>
          <w:footerReference r:id="rId170" w:type="default"/>
          <w:pgSz w:w="11906" w:h="16839"/>
          <w:pgMar w:top="400" w:right="1723" w:bottom="1370" w:left="1785" w:header="0" w:footer="1207" w:gutter="0"/>
          <w:cols w:space="720" w:num="1"/>
        </w:sectPr>
      </w:pPr>
    </w:p>
    <w:p w14:paraId="1B8738C3">
      <w:pPr>
        <w:pStyle w:val="2"/>
        <w:spacing w:line="267" w:lineRule="auto"/>
        <w:rPr>
          <w:sz w:val="21"/>
        </w:rPr>
      </w:pPr>
    </w:p>
    <w:p w14:paraId="63CD844D">
      <w:pPr>
        <w:pStyle w:val="2"/>
        <w:spacing w:line="267" w:lineRule="auto"/>
        <w:rPr>
          <w:sz w:val="21"/>
        </w:rPr>
      </w:pPr>
    </w:p>
    <w:p w14:paraId="788F7FD6">
      <w:pPr>
        <w:pStyle w:val="2"/>
        <w:spacing w:line="267" w:lineRule="auto"/>
        <w:rPr>
          <w:sz w:val="21"/>
        </w:rPr>
      </w:pPr>
    </w:p>
    <w:p w14:paraId="08C6739F">
      <w:pPr>
        <w:pStyle w:val="2"/>
        <w:spacing w:line="267" w:lineRule="auto"/>
        <w:rPr>
          <w:sz w:val="21"/>
        </w:rPr>
      </w:pPr>
    </w:p>
    <w:p w14:paraId="1244CED6">
      <w:pPr>
        <w:spacing w:before="78" w:line="361" w:lineRule="auto"/>
        <w:ind w:left="30" w:right="185"/>
        <w:rPr>
          <w:rFonts w:ascii="仿宋" w:hAnsi="仿宋" w:eastAsia="仿宋" w:cs="仿宋"/>
          <w:sz w:val="24"/>
          <w:szCs w:val="24"/>
        </w:rPr>
      </w:pPr>
      <w:r>
        <w:rPr>
          <w:rFonts w:ascii="仿宋" w:hAnsi="仿宋" w:eastAsia="仿宋" w:cs="仿宋"/>
          <w:spacing w:val="-3"/>
          <w:sz w:val="24"/>
          <w:szCs w:val="24"/>
        </w:rPr>
        <w:t>布较为分散，单一敏感点不会在全施工周期内持续受噪声影响</w:t>
      </w:r>
      <w:r>
        <w:rPr>
          <w:rFonts w:ascii="仿宋" w:hAnsi="仿宋" w:eastAsia="仿宋" w:cs="仿宋"/>
          <w:spacing w:val="-4"/>
          <w:sz w:val="24"/>
          <w:szCs w:val="24"/>
        </w:rPr>
        <w:t>，各点位噪声干扰</w:t>
      </w:r>
      <w:r>
        <w:rPr>
          <w:rFonts w:ascii="仿宋" w:hAnsi="仿宋" w:eastAsia="仿宋" w:cs="仿宋"/>
          <w:spacing w:val="-2"/>
          <w:sz w:val="24"/>
          <w:szCs w:val="24"/>
        </w:rPr>
        <w:t>将随对应路段施工完工同步消除。</w:t>
      </w:r>
    </w:p>
    <w:p w14:paraId="7BE5717A">
      <w:pPr>
        <w:spacing w:before="213" w:line="222" w:lineRule="auto"/>
        <w:ind w:left="22"/>
        <w:outlineLvl w:val="2"/>
        <w:rPr>
          <w:rFonts w:ascii="仿宋" w:hAnsi="仿宋" w:eastAsia="仿宋" w:cs="仿宋"/>
          <w:sz w:val="28"/>
          <w:szCs w:val="28"/>
        </w:rPr>
      </w:pPr>
      <w:bookmarkStart w:id="40" w:name="bookmark43"/>
      <w:bookmarkEnd w:id="40"/>
      <w:r>
        <w:rPr>
          <w:rFonts w:ascii="仿宋" w:hAnsi="仿宋" w:eastAsia="仿宋" w:cs="仿宋"/>
          <w:b/>
          <w:bCs/>
          <w:spacing w:val="-4"/>
          <w:sz w:val="28"/>
          <w:szCs w:val="28"/>
        </w:rPr>
        <w:t>4.1.2</w:t>
      </w:r>
      <w:r>
        <w:rPr>
          <w:rFonts w:ascii="仿宋" w:hAnsi="仿宋" w:eastAsia="仿宋" w:cs="仿宋"/>
          <w:spacing w:val="-49"/>
          <w:sz w:val="28"/>
          <w:szCs w:val="28"/>
        </w:rPr>
        <w:t xml:space="preserve"> </w:t>
      </w:r>
      <w:r>
        <w:rPr>
          <w:rFonts w:ascii="仿宋" w:hAnsi="仿宋" w:eastAsia="仿宋" w:cs="仿宋"/>
          <w:b/>
          <w:bCs/>
          <w:spacing w:val="-4"/>
          <w:sz w:val="28"/>
          <w:szCs w:val="28"/>
        </w:rPr>
        <w:t>各施工阶段噪声源分析</w:t>
      </w:r>
    </w:p>
    <w:p w14:paraId="46D65577">
      <w:pPr>
        <w:pStyle w:val="2"/>
        <w:spacing w:line="304" w:lineRule="auto"/>
        <w:rPr>
          <w:sz w:val="21"/>
        </w:rPr>
      </w:pPr>
    </w:p>
    <w:p w14:paraId="0662EC25">
      <w:pPr>
        <w:spacing w:before="78" w:line="360" w:lineRule="auto"/>
        <w:ind w:left="31" w:right="185" w:firstLine="482"/>
        <w:rPr>
          <w:rFonts w:ascii="仿宋" w:hAnsi="仿宋" w:eastAsia="仿宋" w:cs="仿宋"/>
          <w:sz w:val="24"/>
          <w:szCs w:val="24"/>
        </w:rPr>
      </w:pPr>
      <w:r>
        <w:rPr>
          <w:rFonts w:ascii="仿宋" w:hAnsi="仿宋" w:eastAsia="仿宋" w:cs="仿宋"/>
          <w:spacing w:val="-4"/>
          <w:sz w:val="24"/>
          <w:szCs w:val="24"/>
        </w:rPr>
        <w:t>结合公路施工工艺流程，将项目施工期划分为路基施工、路面施工、附属工</w:t>
      </w:r>
      <w:r>
        <w:rPr>
          <w:rFonts w:ascii="仿宋" w:hAnsi="仿宋" w:eastAsia="仿宋" w:cs="仿宋"/>
          <w:spacing w:val="-1"/>
          <w:sz w:val="24"/>
          <w:szCs w:val="24"/>
        </w:rPr>
        <w:t>程施工三个阶段，各阶段噪声源、影响强度差异明显，具体分析如下：</w:t>
      </w:r>
    </w:p>
    <w:p w14:paraId="01267F5B">
      <w:pPr>
        <w:spacing w:line="221" w:lineRule="auto"/>
        <w:ind w:left="514"/>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1</w:t>
      </w:r>
      <w:r>
        <w:rPr>
          <w:rFonts w:ascii="仿宋" w:hAnsi="仿宋" w:eastAsia="仿宋" w:cs="仿宋"/>
          <w:spacing w:val="-2"/>
          <w:sz w:val="24"/>
          <w:szCs w:val="24"/>
        </w:rPr>
        <w:t>）基础路基施工阶段</w:t>
      </w:r>
    </w:p>
    <w:p w14:paraId="0B3C2337">
      <w:pPr>
        <w:spacing w:before="178" w:line="360" w:lineRule="auto"/>
        <w:ind w:left="31" w:right="120" w:firstLine="479"/>
        <w:rPr>
          <w:rFonts w:ascii="仿宋" w:hAnsi="仿宋" w:eastAsia="仿宋" w:cs="仿宋"/>
          <w:sz w:val="24"/>
          <w:szCs w:val="24"/>
        </w:rPr>
      </w:pPr>
      <w:r>
        <w:rPr>
          <w:rFonts w:ascii="仿宋" w:hAnsi="仿宋" w:eastAsia="仿宋" w:cs="仿宋"/>
          <w:spacing w:val="-7"/>
          <w:sz w:val="24"/>
          <w:szCs w:val="24"/>
        </w:rPr>
        <w:t>本阶段为项目噪声影响最大、管控压力最高的阶段，工期占总工期</w:t>
      </w:r>
      <w:r>
        <w:rPr>
          <w:rFonts w:ascii="Times New Roman" w:hAnsi="Times New Roman" w:eastAsia="Times New Roman" w:cs="Times New Roman"/>
          <w:spacing w:val="-7"/>
          <w:sz w:val="24"/>
          <w:szCs w:val="24"/>
        </w:rPr>
        <w:t>60%</w:t>
      </w:r>
      <w:r>
        <w:rPr>
          <w:rFonts w:ascii="仿宋" w:hAnsi="仿宋" w:eastAsia="仿宋" w:cs="仿宋"/>
          <w:spacing w:val="-7"/>
          <w:sz w:val="24"/>
          <w:szCs w:val="24"/>
        </w:rPr>
        <w:t>以</w:t>
      </w:r>
      <w:r>
        <w:rPr>
          <w:rFonts w:ascii="仿宋" w:hAnsi="仿宋" w:eastAsia="仿宋" w:cs="仿宋"/>
          <w:spacing w:val="-8"/>
          <w:sz w:val="24"/>
          <w:szCs w:val="24"/>
        </w:rPr>
        <w:t>上，</w:t>
      </w:r>
      <w:r>
        <w:rPr>
          <w:rFonts w:ascii="仿宋" w:hAnsi="仿宋" w:eastAsia="仿宋" w:cs="仿宋"/>
          <w:spacing w:val="-1"/>
          <w:sz w:val="24"/>
          <w:szCs w:val="24"/>
        </w:rPr>
        <w:t>主要施工内容包括场地清表、土方填挖、路基碾压</w:t>
      </w:r>
      <w:r>
        <w:rPr>
          <w:rFonts w:ascii="仿宋" w:hAnsi="仿宋" w:eastAsia="仿宋" w:cs="仿宋"/>
          <w:spacing w:val="-2"/>
          <w:sz w:val="24"/>
          <w:szCs w:val="24"/>
        </w:rPr>
        <w:t>、小型桩基施工、边坡修整。</w:t>
      </w:r>
      <w:r>
        <w:rPr>
          <w:rFonts w:ascii="仿宋" w:hAnsi="仿宋" w:eastAsia="仿宋" w:cs="仿宋"/>
          <w:spacing w:val="-1"/>
          <w:sz w:val="24"/>
          <w:szCs w:val="24"/>
        </w:rPr>
        <w:t>进场机械数量最多，主要包括挖掘机、推土</w:t>
      </w:r>
      <w:r>
        <w:rPr>
          <w:rFonts w:ascii="仿宋" w:hAnsi="仿宋" w:eastAsia="仿宋" w:cs="仿宋"/>
          <w:spacing w:val="-2"/>
          <w:sz w:val="24"/>
          <w:szCs w:val="24"/>
        </w:rPr>
        <w:t>机、振动压路机及土石方运输车辆。</w:t>
      </w:r>
    </w:p>
    <w:p w14:paraId="2E751407">
      <w:pPr>
        <w:spacing w:before="1" w:line="360" w:lineRule="auto"/>
        <w:ind w:left="29" w:right="185" w:firstLine="481"/>
        <w:rPr>
          <w:rFonts w:ascii="仿宋" w:hAnsi="仿宋" w:eastAsia="仿宋" w:cs="仿宋"/>
          <w:sz w:val="24"/>
          <w:szCs w:val="24"/>
        </w:rPr>
      </w:pPr>
      <w:r>
        <w:rPr>
          <w:rFonts w:ascii="仿宋" w:hAnsi="仿宋" w:eastAsia="仿宋" w:cs="仿宋"/>
          <w:spacing w:val="-3"/>
          <w:sz w:val="24"/>
          <w:szCs w:val="24"/>
        </w:rPr>
        <w:t>本阶段路基施工阶段声源密度、噪声强度、影</w:t>
      </w:r>
      <w:r>
        <w:rPr>
          <w:rFonts w:ascii="仿宋" w:hAnsi="仿宋" w:eastAsia="仿宋" w:cs="仿宋"/>
          <w:spacing w:val="-4"/>
          <w:sz w:val="24"/>
          <w:szCs w:val="24"/>
        </w:rPr>
        <w:t>响范围均为全周期最高，是噪</w:t>
      </w:r>
      <w:r>
        <w:rPr>
          <w:rFonts w:ascii="仿宋" w:hAnsi="仿宋" w:eastAsia="仿宋" w:cs="仿宋"/>
          <w:spacing w:val="-2"/>
          <w:sz w:val="24"/>
          <w:szCs w:val="24"/>
        </w:rPr>
        <w:t>声管控核心阶段。</w:t>
      </w:r>
    </w:p>
    <w:p w14:paraId="748F11ED">
      <w:pPr>
        <w:spacing w:before="1" w:line="221" w:lineRule="auto"/>
        <w:ind w:left="514"/>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2</w:t>
      </w:r>
      <w:r>
        <w:rPr>
          <w:rFonts w:ascii="仿宋" w:hAnsi="仿宋" w:eastAsia="仿宋" w:cs="仿宋"/>
          <w:spacing w:val="-2"/>
          <w:sz w:val="24"/>
          <w:szCs w:val="24"/>
        </w:rPr>
        <w:t>）路面铺设施工阶段</w:t>
      </w:r>
    </w:p>
    <w:p w14:paraId="3EFDE725">
      <w:pPr>
        <w:spacing w:before="179" w:line="360" w:lineRule="auto"/>
        <w:ind w:left="29" w:firstLine="479"/>
        <w:rPr>
          <w:rFonts w:ascii="仿宋" w:hAnsi="仿宋" w:eastAsia="仿宋" w:cs="仿宋"/>
          <w:sz w:val="24"/>
          <w:szCs w:val="24"/>
        </w:rPr>
      </w:pPr>
      <w:r>
        <w:rPr>
          <w:rFonts w:ascii="仿宋" w:hAnsi="仿宋" w:eastAsia="仿宋" w:cs="仿宋"/>
          <w:spacing w:val="-5"/>
          <w:sz w:val="24"/>
          <w:szCs w:val="24"/>
        </w:rPr>
        <w:t>路基验收合格后开展路面基层整平及混凝土摊铺，项目全部采用商品混凝土，</w:t>
      </w:r>
      <w:r>
        <w:rPr>
          <w:rFonts w:ascii="仿宋" w:hAnsi="仿宋" w:eastAsia="仿宋" w:cs="仿宋"/>
          <w:spacing w:val="-3"/>
          <w:sz w:val="24"/>
          <w:szCs w:val="24"/>
        </w:rPr>
        <w:t>施工现场不设置搅拌设备，彻底消除搅拌设备低频噪声源。主要进场</w:t>
      </w:r>
      <w:r>
        <w:rPr>
          <w:rFonts w:ascii="仿宋" w:hAnsi="仿宋" w:eastAsia="仿宋" w:cs="仿宋"/>
          <w:spacing w:val="-4"/>
          <w:sz w:val="24"/>
          <w:szCs w:val="24"/>
        </w:rPr>
        <w:t>设备为摊铺</w:t>
      </w:r>
      <w:r>
        <w:rPr>
          <w:rFonts w:ascii="仿宋" w:hAnsi="仿宋" w:eastAsia="仿宋" w:cs="仿宋"/>
          <w:spacing w:val="-1"/>
          <w:sz w:val="24"/>
          <w:szCs w:val="24"/>
        </w:rPr>
        <w:t>机、路面切缝机、混凝土搅拌车，无重型土石方机械及冲击类高噪声设备。</w:t>
      </w:r>
    </w:p>
    <w:p w14:paraId="272F6A48">
      <w:pPr>
        <w:spacing w:line="360" w:lineRule="auto"/>
        <w:ind w:left="34" w:right="185" w:firstLine="477"/>
        <w:rPr>
          <w:rFonts w:ascii="仿宋" w:hAnsi="仿宋" w:eastAsia="仿宋" w:cs="仿宋"/>
          <w:sz w:val="24"/>
          <w:szCs w:val="24"/>
        </w:rPr>
      </w:pPr>
      <w:r>
        <w:rPr>
          <w:rFonts w:ascii="仿宋" w:hAnsi="仿宋" w:eastAsia="仿宋" w:cs="仿宋"/>
          <w:spacing w:val="-2"/>
          <w:sz w:val="24"/>
          <w:szCs w:val="24"/>
        </w:rPr>
        <w:t>相较于路基施工阶段，本阶段施工机械总量减少</w:t>
      </w:r>
      <w:r>
        <w:rPr>
          <w:rFonts w:ascii="Times New Roman" w:hAnsi="Times New Roman" w:eastAsia="Times New Roman" w:cs="Times New Roman"/>
          <w:spacing w:val="-2"/>
          <w:sz w:val="24"/>
          <w:szCs w:val="24"/>
        </w:rPr>
        <w:t>40%</w:t>
      </w:r>
      <w:r>
        <w:rPr>
          <w:rFonts w:ascii="仿宋" w:hAnsi="仿宋" w:eastAsia="仿宋" w:cs="仿宋"/>
          <w:spacing w:val="-2"/>
          <w:sz w:val="24"/>
          <w:szCs w:val="24"/>
        </w:rPr>
        <w:t>以上，但单</w:t>
      </w:r>
      <w:r>
        <w:rPr>
          <w:rFonts w:ascii="仿宋" w:hAnsi="仿宋" w:eastAsia="仿宋" w:cs="仿宋"/>
          <w:spacing w:val="-3"/>
          <w:sz w:val="24"/>
          <w:szCs w:val="24"/>
        </w:rPr>
        <w:t>台设备噪声</w:t>
      </w:r>
      <w:r>
        <w:rPr>
          <w:rFonts w:ascii="仿宋" w:hAnsi="仿宋" w:eastAsia="仿宋" w:cs="仿宋"/>
          <w:spacing w:val="-1"/>
          <w:sz w:val="24"/>
          <w:szCs w:val="24"/>
        </w:rPr>
        <w:t>源强较高，以稳态低频噪声为主，无突发脉冲噪声。</w:t>
      </w:r>
    </w:p>
    <w:p w14:paraId="0E6C86FF">
      <w:pPr>
        <w:spacing w:before="1" w:line="222" w:lineRule="auto"/>
        <w:ind w:left="514"/>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3</w:t>
      </w:r>
      <w:r>
        <w:rPr>
          <w:rFonts w:ascii="仿宋" w:hAnsi="仿宋" w:eastAsia="仿宋" w:cs="仿宋"/>
          <w:spacing w:val="-2"/>
          <w:sz w:val="24"/>
          <w:szCs w:val="24"/>
        </w:rPr>
        <w:t>）附属交通工程施工阶段</w:t>
      </w:r>
    </w:p>
    <w:p w14:paraId="617FCD42">
      <w:pPr>
        <w:spacing w:before="180" w:line="359" w:lineRule="auto"/>
        <w:ind w:left="22" w:right="120" w:firstLine="493"/>
        <w:rPr>
          <w:rFonts w:ascii="仿宋" w:hAnsi="仿宋" w:eastAsia="仿宋" w:cs="仿宋"/>
          <w:sz w:val="24"/>
          <w:szCs w:val="24"/>
        </w:rPr>
      </w:pPr>
      <w:r>
        <w:rPr>
          <w:rFonts w:ascii="仿宋" w:hAnsi="仿宋" w:eastAsia="仿宋" w:cs="仿宋"/>
          <w:spacing w:val="-4"/>
          <w:sz w:val="24"/>
          <w:szCs w:val="24"/>
        </w:rPr>
        <w:t>主要施工内容为护栏安装、标志埋设、标线施划、排水沟修整，仅使用手电</w:t>
      </w:r>
      <w:r>
        <w:rPr>
          <w:rFonts w:ascii="仿宋" w:hAnsi="仿宋" w:eastAsia="仿宋" w:cs="仿宋"/>
          <w:spacing w:val="-2"/>
          <w:sz w:val="24"/>
          <w:szCs w:val="24"/>
        </w:rPr>
        <w:t>钻、切割机等小型手持工具，无大型施工机械进场，工具</w:t>
      </w:r>
      <w:r>
        <w:rPr>
          <w:rFonts w:ascii="仿宋" w:hAnsi="仿宋" w:eastAsia="仿宋" w:cs="仿宋"/>
          <w:spacing w:val="-48"/>
          <w:sz w:val="24"/>
          <w:szCs w:val="24"/>
        </w:rPr>
        <w:t xml:space="preserve"> </w:t>
      </w:r>
      <w:r>
        <w:rPr>
          <w:rFonts w:ascii="Times New Roman" w:hAnsi="Times New Roman" w:eastAsia="Times New Roman" w:cs="Times New Roman"/>
          <w:spacing w:val="-3"/>
          <w:sz w:val="24"/>
          <w:szCs w:val="24"/>
        </w:rPr>
        <w:t>5m</w:t>
      </w:r>
      <w:r>
        <w:rPr>
          <w:rFonts w:ascii="Times New Roman" w:hAnsi="Times New Roman" w:eastAsia="Times New Roman" w:cs="Times New Roman"/>
          <w:spacing w:val="17"/>
          <w:w w:val="101"/>
          <w:sz w:val="24"/>
          <w:szCs w:val="24"/>
        </w:rPr>
        <w:t xml:space="preserve"> </w:t>
      </w:r>
      <w:r>
        <w:rPr>
          <w:rFonts w:ascii="仿宋" w:hAnsi="仿宋" w:eastAsia="仿宋" w:cs="仿宋"/>
          <w:spacing w:val="-3"/>
          <w:sz w:val="24"/>
          <w:szCs w:val="24"/>
        </w:rPr>
        <w:t>处噪声源强均低于</w:t>
      </w:r>
      <w:r>
        <w:rPr>
          <w:rFonts w:ascii="Times New Roman" w:hAnsi="Times New Roman" w:eastAsia="Times New Roman" w:cs="Times New Roman"/>
          <w:spacing w:val="-4"/>
          <w:sz w:val="24"/>
          <w:szCs w:val="24"/>
        </w:rPr>
        <w:t>75dB(A)</w:t>
      </w:r>
      <w:r>
        <w:rPr>
          <w:rFonts w:ascii="仿宋" w:hAnsi="仿宋" w:eastAsia="仿宋" w:cs="仿宋"/>
          <w:spacing w:val="-4"/>
          <w:sz w:val="24"/>
          <w:szCs w:val="24"/>
        </w:rPr>
        <w:t>。本阶段作业碎片化、噪声排放微弱</w:t>
      </w:r>
      <w:r>
        <w:rPr>
          <w:rFonts w:ascii="仿宋" w:hAnsi="仿宋" w:eastAsia="仿宋" w:cs="仿宋"/>
          <w:spacing w:val="-5"/>
          <w:sz w:val="24"/>
          <w:szCs w:val="24"/>
        </w:rPr>
        <w:t>，对沿线声环境敏感点基本无影响，</w:t>
      </w:r>
      <w:r>
        <w:rPr>
          <w:rFonts w:ascii="仿宋" w:hAnsi="仿宋" w:eastAsia="仿宋" w:cs="仿宋"/>
          <w:spacing w:val="-1"/>
          <w:sz w:val="24"/>
          <w:szCs w:val="24"/>
        </w:rPr>
        <w:t>无需增设专项降噪工程措施。</w:t>
      </w:r>
    </w:p>
    <w:p w14:paraId="643B8032">
      <w:pPr>
        <w:spacing w:before="7" w:line="360" w:lineRule="auto"/>
        <w:ind w:left="29" w:right="185" w:firstLine="481"/>
        <w:jc w:val="both"/>
        <w:rPr>
          <w:rFonts w:ascii="仿宋" w:hAnsi="仿宋" w:eastAsia="仿宋" w:cs="仿宋"/>
          <w:sz w:val="24"/>
          <w:szCs w:val="24"/>
        </w:rPr>
      </w:pPr>
      <w:r>
        <w:rPr>
          <w:rFonts w:ascii="仿宋" w:hAnsi="仿宋" w:eastAsia="仿宋" w:cs="仿宋"/>
          <w:spacing w:val="-3"/>
          <w:sz w:val="24"/>
          <w:szCs w:val="24"/>
        </w:rPr>
        <w:t>本阶段噪声源总结：路基土方填筑、小型桩基</w:t>
      </w:r>
      <w:r>
        <w:rPr>
          <w:rFonts w:ascii="仿宋" w:hAnsi="仿宋" w:eastAsia="仿宋" w:cs="仿宋"/>
          <w:spacing w:val="-4"/>
          <w:sz w:val="24"/>
          <w:szCs w:val="24"/>
        </w:rPr>
        <w:t>施工为核心高噪声工序；村内</w:t>
      </w:r>
      <w:r>
        <w:rPr>
          <w:rFonts w:ascii="仿宋" w:hAnsi="仿宋" w:eastAsia="仿宋" w:cs="仿宋"/>
          <w:spacing w:val="-3"/>
          <w:sz w:val="24"/>
          <w:szCs w:val="24"/>
        </w:rPr>
        <w:t>物料运输流动噪声为常态化持续噪声源；路面施工存在高噪声排放，</w:t>
      </w:r>
      <w:r>
        <w:rPr>
          <w:rFonts w:ascii="仿宋" w:hAnsi="仿宋" w:eastAsia="仿宋" w:cs="仿宋"/>
          <w:spacing w:val="-4"/>
          <w:sz w:val="24"/>
          <w:szCs w:val="24"/>
        </w:rPr>
        <w:t>但排放时间</w:t>
      </w:r>
      <w:r>
        <w:rPr>
          <w:rFonts w:ascii="仿宋" w:hAnsi="仿宋" w:eastAsia="仿宋" w:cs="仿宋"/>
          <w:spacing w:val="-3"/>
          <w:sz w:val="24"/>
          <w:szCs w:val="24"/>
        </w:rPr>
        <w:t>远低于路基施工期，属于偶发噪声，对敏感点实际影响小于路基施工</w:t>
      </w:r>
      <w:r>
        <w:rPr>
          <w:rFonts w:ascii="仿宋" w:hAnsi="仿宋" w:eastAsia="仿宋" w:cs="仿宋"/>
          <w:spacing w:val="-4"/>
          <w:sz w:val="24"/>
          <w:szCs w:val="24"/>
        </w:rPr>
        <w:t>；附属工程</w:t>
      </w:r>
      <w:r>
        <w:rPr>
          <w:rFonts w:ascii="仿宋" w:hAnsi="仿宋" w:eastAsia="仿宋" w:cs="仿宋"/>
          <w:spacing w:val="-1"/>
          <w:sz w:val="24"/>
          <w:szCs w:val="24"/>
        </w:rPr>
        <w:t>施工噪声强度低、影响小，依托常规施工管理即可实现达标管控。</w:t>
      </w:r>
    </w:p>
    <w:p w14:paraId="171C1A39">
      <w:pPr>
        <w:spacing w:line="360" w:lineRule="auto"/>
        <w:rPr>
          <w:rFonts w:ascii="仿宋" w:hAnsi="仿宋" w:eastAsia="仿宋" w:cs="仿宋"/>
          <w:sz w:val="24"/>
          <w:szCs w:val="24"/>
        </w:rPr>
        <w:sectPr>
          <w:footerReference r:id="rId171" w:type="default"/>
          <w:pgSz w:w="11906" w:h="16839"/>
          <w:pgMar w:top="400" w:right="1614" w:bottom="1370" w:left="1785" w:header="0" w:footer="1207" w:gutter="0"/>
          <w:cols w:space="720" w:num="1"/>
        </w:sectPr>
      </w:pPr>
    </w:p>
    <w:p w14:paraId="3C36365D">
      <w:pPr>
        <w:pStyle w:val="2"/>
        <w:spacing w:line="278" w:lineRule="auto"/>
        <w:rPr>
          <w:sz w:val="21"/>
        </w:rPr>
      </w:pPr>
    </w:p>
    <w:p w14:paraId="715412B3">
      <w:pPr>
        <w:pStyle w:val="2"/>
        <w:spacing w:line="278" w:lineRule="auto"/>
        <w:rPr>
          <w:sz w:val="21"/>
        </w:rPr>
      </w:pPr>
    </w:p>
    <w:p w14:paraId="1BE76475">
      <w:pPr>
        <w:pStyle w:val="2"/>
        <w:spacing w:line="279" w:lineRule="auto"/>
        <w:rPr>
          <w:sz w:val="21"/>
        </w:rPr>
      </w:pPr>
    </w:p>
    <w:p w14:paraId="44D53726">
      <w:pPr>
        <w:pStyle w:val="2"/>
        <w:spacing w:line="279" w:lineRule="auto"/>
        <w:rPr>
          <w:sz w:val="21"/>
        </w:rPr>
      </w:pPr>
    </w:p>
    <w:p w14:paraId="02C131DA">
      <w:pPr>
        <w:spacing w:before="91" w:line="223" w:lineRule="auto"/>
        <w:ind w:left="22"/>
        <w:outlineLvl w:val="2"/>
        <w:rPr>
          <w:rFonts w:ascii="仿宋" w:hAnsi="仿宋" w:eastAsia="仿宋" w:cs="仿宋"/>
          <w:sz w:val="28"/>
          <w:szCs w:val="28"/>
        </w:rPr>
      </w:pPr>
      <w:bookmarkStart w:id="41" w:name="bookmark44"/>
      <w:bookmarkEnd w:id="41"/>
      <w:r>
        <w:rPr>
          <w:rFonts w:ascii="仿宋" w:hAnsi="仿宋" w:eastAsia="仿宋" w:cs="仿宋"/>
          <w:b/>
          <w:bCs/>
          <w:spacing w:val="-4"/>
          <w:sz w:val="28"/>
          <w:szCs w:val="28"/>
        </w:rPr>
        <w:t>4.1.3</w:t>
      </w:r>
      <w:r>
        <w:rPr>
          <w:rFonts w:ascii="仿宋" w:hAnsi="仿宋" w:eastAsia="仿宋" w:cs="仿宋"/>
          <w:spacing w:val="-43"/>
          <w:sz w:val="28"/>
          <w:szCs w:val="28"/>
        </w:rPr>
        <w:t xml:space="preserve"> </w:t>
      </w:r>
      <w:r>
        <w:rPr>
          <w:rFonts w:ascii="仿宋" w:hAnsi="仿宋" w:eastAsia="仿宋" w:cs="仿宋"/>
          <w:b/>
          <w:bCs/>
          <w:spacing w:val="-4"/>
          <w:sz w:val="28"/>
          <w:szCs w:val="28"/>
        </w:rPr>
        <w:t>施工噪声预测方法与预测模式</w:t>
      </w:r>
    </w:p>
    <w:p w14:paraId="72B32E55">
      <w:pPr>
        <w:pStyle w:val="2"/>
        <w:spacing w:line="303" w:lineRule="auto"/>
        <w:rPr>
          <w:sz w:val="21"/>
        </w:rPr>
      </w:pPr>
    </w:p>
    <w:p w14:paraId="4C21E31D">
      <w:pPr>
        <w:spacing w:before="78" w:line="222" w:lineRule="auto"/>
        <w:ind w:left="514"/>
        <w:rPr>
          <w:rFonts w:ascii="仿宋" w:hAnsi="仿宋" w:eastAsia="仿宋" w:cs="仿宋"/>
          <w:sz w:val="24"/>
          <w:szCs w:val="24"/>
        </w:rPr>
      </w:pPr>
      <w:r>
        <w:rPr>
          <w:rFonts w:ascii="仿宋" w:hAnsi="仿宋" w:eastAsia="仿宋" w:cs="仿宋"/>
          <w:spacing w:val="-3"/>
          <w:sz w:val="24"/>
          <w:szCs w:val="24"/>
        </w:rPr>
        <w:t>（</w:t>
      </w:r>
      <w:r>
        <w:rPr>
          <w:rFonts w:ascii="Times New Roman" w:hAnsi="Times New Roman" w:eastAsia="Times New Roman" w:cs="Times New Roman"/>
          <w:spacing w:val="-3"/>
          <w:sz w:val="24"/>
          <w:szCs w:val="24"/>
        </w:rPr>
        <w:t>1</w:t>
      </w:r>
      <w:r>
        <w:rPr>
          <w:rFonts w:ascii="仿宋" w:hAnsi="仿宋" w:eastAsia="仿宋" w:cs="仿宋"/>
          <w:spacing w:val="-3"/>
          <w:sz w:val="24"/>
          <w:szCs w:val="24"/>
        </w:rPr>
        <w:t>）预测方法选取</w:t>
      </w:r>
    </w:p>
    <w:p w14:paraId="33F917A2">
      <w:pPr>
        <w:spacing w:before="178" w:line="360" w:lineRule="auto"/>
        <w:ind w:left="31" w:right="62" w:firstLine="479"/>
        <w:rPr>
          <w:rFonts w:ascii="仿宋" w:hAnsi="仿宋" w:eastAsia="仿宋" w:cs="仿宋"/>
          <w:sz w:val="24"/>
          <w:szCs w:val="24"/>
        </w:rPr>
      </w:pPr>
      <w:r>
        <w:rPr>
          <w:rFonts w:ascii="仿宋" w:hAnsi="仿宋" w:eastAsia="仿宋" w:cs="仿宋"/>
          <w:spacing w:val="-3"/>
          <w:sz w:val="24"/>
          <w:szCs w:val="24"/>
        </w:rPr>
        <w:t>本项目严格执行夜间全面停工制度，仅开展昼</w:t>
      </w:r>
      <w:r>
        <w:rPr>
          <w:rFonts w:ascii="仿宋" w:hAnsi="仿宋" w:eastAsia="仿宋" w:cs="仿宋"/>
          <w:spacing w:val="-4"/>
          <w:sz w:val="24"/>
          <w:szCs w:val="24"/>
        </w:rPr>
        <w:t>间施工作业；结合项目线性施</w:t>
      </w:r>
      <w:r>
        <w:rPr>
          <w:rFonts w:ascii="仿宋" w:hAnsi="仿宋" w:eastAsia="仿宋" w:cs="仿宋"/>
          <w:spacing w:val="-3"/>
          <w:sz w:val="24"/>
          <w:szCs w:val="24"/>
        </w:rPr>
        <w:t>工特点，施工工作面狭长，机械集中于单一作业断面且声源缓</w:t>
      </w:r>
      <w:r>
        <w:rPr>
          <w:rFonts w:ascii="仿宋" w:hAnsi="仿宋" w:eastAsia="仿宋" w:cs="仿宋"/>
          <w:spacing w:val="-4"/>
          <w:sz w:val="24"/>
          <w:szCs w:val="24"/>
        </w:rPr>
        <w:t>慢前移，无大面积</w:t>
      </w:r>
      <w:r>
        <w:rPr>
          <w:rFonts w:ascii="仿宋" w:hAnsi="仿宋" w:eastAsia="仿宋" w:cs="仿宋"/>
          <w:spacing w:val="-2"/>
          <w:sz w:val="24"/>
          <w:szCs w:val="24"/>
        </w:rPr>
        <w:t>面声源。依据《环境影响评价技术导则 公路建设项目》（</w:t>
      </w:r>
      <w:r>
        <w:rPr>
          <w:rFonts w:ascii="Times New Roman" w:hAnsi="Times New Roman" w:eastAsia="Times New Roman" w:cs="Times New Roman"/>
          <w:spacing w:val="-3"/>
          <w:sz w:val="24"/>
          <w:szCs w:val="24"/>
        </w:rPr>
        <w:t>HJ1358-2024</w:t>
      </w:r>
      <w:r>
        <w:rPr>
          <w:rFonts w:ascii="仿宋" w:hAnsi="仿宋" w:eastAsia="仿宋" w:cs="仿宋"/>
          <w:spacing w:val="-5"/>
          <w:sz w:val="24"/>
          <w:szCs w:val="24"/>
        </w:rPr>
        <w:t>），</w:t>
      </w:r>
      <w:r>
        <w:rPr>
          <w:rFonts w:ascii="仿宋" w:hAnsi="仿宋" w:eastAsia="仿宋" w:cs="仿宋"/>
          <w:spacing w:val="-3"/>
          <w:sz w:val="24"/>
          <w:szCs w:val="24"/>
        </w:rPr>
        <w:t>采用</w:t>
      </w:r>
      <w:r>
        <w:rPr>
          <w:rFonts w:ascii="仿宋" w:hAnsi="仿宋" w:eastAsia="仿宋" w:cs="仿宋"/>
          <w:spacing w:val="-1"/>
          <w:sz w:val="24"/>
          <w:szCs w:val="24"/>
        </w:rPr>
        <w:t>导则推荐的自由声场点声源几何发散衰减公式预测昼间噪声。</w:t>
      </w:r>
    </w:p>
    <w:p w14:paraId="41E940F8">
      <w:pPr>
        <w:spacing w:line="222" w:lineRule="auto"/>
        <w:ind w:left="514"/>
        <w:rPr>
          <w:rFonts w:ascii="仿宋" w:hAnsi="仿宋" w:eastAsia="仿宋" w:cs="仿宋"/>
          <w:sz w:val="24"/>
          <w:szCs w:val="24"/>
        </w:rPr>
      </w:pPr>
      <w:r>
        <w:rPr>
          <w:rFonts w:ascii="仿宋" w:hAnsi="仿宋" w:eastAsia="仿宋" w:cs="仿宋"/>
          <w:spacing w:val="-3"/>
          <w:sz w:val="24"/>
          <w:szCs w:val="24"/>
        </w:rPr>
        <w:t>（</w:t>
      </w:r>
      <w:r>
        <w:rPr>
          <w:rFonts w:ascii="Times New Roman" w:hAnsi="Times New Roman" w:eastAsia="Times New Roman" w:cs="Times New Roman"/>
          <w:spacing w:val="-3"/>
          <w:sz w:val="24"/>
          <w:szCs w:val="24"/>
        </w:rPr>
        <w:t>2</w:t>
      </w:r>
      <w:r>
        <w:rPr>
          <w:rFonts w:ascii="仿宋" w:hAnsi="仿宋" w:eastAsia="仿宋" w:cs="仿宋"/>
          <w:spacing w:val="-3"/>
          <w:sz w:val="24"/>
          <w:szCs w:val="24"/>
        </w:rPr>
        <w:t>）预测修正说明</w:t>
      </w:r>
    </w:p>
    <w:p w14:paraId="5B8644B3">
      <w:pPr>
        <w:spacing w:before="179" w:line="359" w:lineRule="auto"/>
        <w:ind w:left="19" w:firstLine="490"/>
        <w:rPr>
          <w:rFonts w:ascii="仿宋" w:hAnsi="仿宋" w:eastAsia="仿宋" w:cs="仿宋"/>
          <w:sz w:val="24"/>
          <w:szCs w:val="24"/>
        </w:rPr>
      </w:pPr>
      <w:r>
        <w:rPr>
          <w:rFonts w:ascii="仿宋" w:hAnsi="仿宋" w:eastAsia="仿宋" w:cs="仿宋"/>
          <w:spacing w:val="-9"/>
          <w:sz w:val="24"/>
          <w:szCs w:val="24"/>
        </w:rPr>
        <w:t>基础预测仅考虑空气几何发散衰减，未计入居民建筑、地形高差的屏障衰减；</w:t>
      </w:r>
      <w:r>
        <w:rPr>
          <w:rFonts w:ascii="仿宋" w:hAnsi="仿宋" w:eastAsia="仿宋" w:cs="仿宋"/>
          <w:spacing w:val="12"/>
          <w:sz w:val="24"/>
          <w:szCs w:val="24"/>
        </w:rPr>
        <w:t>实际场景中</w:t>
      </w:r>
      <w:r>
        <w:rPr>
          <w:rFonts w:ascii="仿宋" w:hAnsi="仿宋" w:eastAsia="仿宋" w:cs="仿宋"/>
          <w:spacing w:val="-60"/>
          <w:sz w:val="24"/>
          <w:szCs w:val="24"/>
        </w:rPr>
        <w:t xml:space="preserve"> </w:t>
      </w:r>
      <w:r>
        <w:rPr>
          <w:rFonts w:ascii="仿宋" w:hAnsi="仿宋" w:eastAsia="仿宋" w:cs="仿宋"/>
          <w:spacing w:val="12"/>
          <w:sz w:val="24"/>
          <w:szCs w:val="24"/>
        </w:rPr>
        <w:t>，</w:t>
      </w:r>
      <w:r>
        <w:rPr>
          <w:rFonts w:ascii="仿宋" w:hAnsi="仿宋" w:eastAsia="仿宋" w:cs="仿宋"/>
          <w:spacing w:val="-63"/>
          <w:sz w:val="24"/>
          <w:szCs w:val="24"/>
        </w:rPr>
        <w:t xml:space="preserve"> </w:t>
      </w:r>
      <w:r>
        <w:rPr>
          <w:rFonts w:ascii="仿宋" w:hAnsi="仿宋" w:eastAsia="仿宋" w:cs="仿宋"/>
          <w:spacing w:val="12"/>
          <w:sz w:val="24"/>
          <w:szCs w:val="24"/>
        </w:rPr>
        <w:t>乡村砖混结构房屋综合降噪（墙体</w:t>
      </w:r>
      <w:r>
        <w:rPr>
          <w:rFonts w:ascii="仿宋" w:hAnsi="仿宋" w:eastAsia="仿宋" w:cs="仿宋"/>
          <w:spacing w:val="-64"/>
          <w:sz w:val="24"/>
          <w:szCs w:val="24"/>
        </w:rPr>
        <w:t xml:space="preserve"> </w:t>
      </w:r>
      <w:r>
        <w:rPr>
          <w:rFonts w:ascii="仿宋" w:hAnsi="仿宋" w:eastAsia="仿宋" w:cs="仿宋"/>
          <w:spacing w:val="12"/>
          <w:sz w:val="24"/>
          <w:szCs w:val="24"/>
        </w:rPr>
        <w:t>、窗户综合考虑）</w:t>
      </w:r>
      <w:r>
        <w:rPr>
          <w:rFonts w:ascii="仿宋" w:hAnsi="仿宋" w:eastAsia="仿宋" w:cs="仿宋"/>
          <w:spacing w:val="-60"/>
          <w:sz w:val="24"/>
          <w:szCs w:val="24"/>
        </w:rPr>
        <w:t xml:space="preserve"> </w:t>
      </w:r>
      <w:r>
        <w:rPr>
          <w:rFonts w:ascii="仿宋" w:hAnsi="仿宋" w:eastAsia="仿宋" w:cs="仿宋"/>
          <w:spacing w:val="12"/>
          <w:sz w:val="24"/>
          <w:szCs w:val="24"/>
        </w:rPr>
        <w:t>可提供</w:t>
      </w:r>
      <w:r>
        <w:rPr>
          <w:rFonts w:ascii="Times New Roman" w:hAnsi="Times New Roman" w:eastAsia="Times New Roman" w:cs="Times New Roman"/>
          <w:spacing w:val="-3"/>
          <w:sz w:val="24"/>
          <w:szCs w:val="24"/>
        </w:rPr>
        <w:t>20~25dB(A)</w:t>
      </w:r>
      <w:r>
        <w:rPr>
          <w:rFonts w:ascii="仿宋" w:hAnsi="仿宋" w:eastAsia="仿宋" w:cs="仿宋"/>
          <w:spacing w:val="-3"/>
          <w:sz w:val="24"/>
          <w:szCs w:val="24"/>
        </w:rPr>
        <w:t>隔声衰减，因此理论预测值为噪声影响上限值，现场实际噪声</w:t>
      </w:r>
      <w:r>
        <w:rPr>
          <w:rFonts w:ascii="仿宋" w:hAnsi="仿宋" w:eastAsia="仿宋" w:cs="仿宋"/>
          <w:spacing w:val="-4"/>
          <w:sz w:val="24"/>
          <w:szCs w:val="24"/>
        </w:rPr>
        <w:t>值低于</w:t>
      </w:r>
      <w:r>
        <w:rPr>
          <w:rFonts w:ascii="仿宋" w:hAnsi="仿宋" w:eastAsia="仿宋" w:cs="仿宋"/>
          <w:spacing w:val="-2"/>
          <w:sz w:val="24"/>
          <w:szCs w:val="24"/>
        </w:rPr>
        <w:t>计算值。</w:t>
      </w:r>
    </w:p>
    <w:p w14:paraId="5F8D2B8E">
      <w:pPr>
        <w:spacing w:before="5" w:line="222" w:lineRule="auto"/>
        <w:ind w:left="514"/>
        <w:rPr>
          <w:rFonts w:ascii="仿宋" w:hAnsi="仿宋" w:eastAsia="仿宋" w:cs="仿宋"/>
          <w:sz w:val="24"/>
          <w:szCs w:val="24"/>
        </w:rPr>
      </w:pPr>
      <w:r>
        <w:rPr>
          <w:rFonts w:ascii="仿宋" w:hAnsi="仿宋" w:eastAsia="仿宋" w:cs="仿宋"/>
          <w:spacing w:val="-3"/>
          <w:sz w:val="24"/>
          <w:szCs w:val="24"/>
        </w:rPr>
        <w:t>（</w:t>
      </w:r>
      <w:r>
        <w:rPr>
          <w:rFonts w:ascii="Times New Roman" w:hAnsi="Times New Roman" w:eastAsia="Times New Roman" w:cs="Times New Roman"/>
          <w:spacing w:val="-3"/>
          <w:sz w:val="24"/>
          <w:szCs w:val="24"/>
        </w:rPr>
        <w:t>3</w:t>
      </w:r>
      <w:r>
        <w:rPr>
          <w:rFonts w:ascii="仿宋" w:hAnsi="仿宋" w:eastAsia="仿宋" w:cs="仿宋"/>
          <w:spacing w:val="-3"/>
          <w:sz w:val="24"/>
          <w:szCs w:val="24"/>
        </w:rPr>
        <w:t>）预测计算公式</w:t>
      </w:r>
    </w:p>
    <w:p w14:paraId="081B1D1C">
      <w:pPr>
        <w:spacing w:before="180" w:line="221" w:lineRule="auto"/>
        <w:ind w:left="502"/>
        <w:rPr>
          <w:rFonts w:ascii="仿宋" w:hAnsi="仿宋" w:eastAsia="仿宋" w:cs="仿宋"/>
          <w:sz w:val="24"/>
          <w:szCs w:val="24"/>
        </w:rPr>
      </w:pPr>
      <w:r>
        <w:rPr>
          <w:rFonts w:ascii="宋体" w:hAnsi="宋体" w:eastAsia="宋体" w:cs="宋体"/>
          <w:spacing w:val="-1"/>
          <w:sz w:val="24"/>
          <w:szCs w:val="24"/>
        </w:rPr>
        <w:t>①</w:t>
      </w:r>
      <w:r>
        <w:rPr>
          <w:rFonts w:ascii="仿宋" w:hAnsi="仿宋" w:eastAsia="仿宋" w:cs="仿宋"/>
          <w:spacing w:val="-1"/>
          <w:sz w:val="24"/>
          <w:szCs w:val="24"/>
        </w:rPr>
        <w:t>单台施工机械几何发散衰减公式：</w:t>
      </w:r>
    </w:p>
    <w:p w14:paraId="3D9475B1">
      <w:pPr>
        <w:pStyle w:val="2"/>
        <w:spacing w:line="285" w:lineRule="auto"/>
        <w:rPr>
          <w:sz w:val="21"/>
        </w:rPr>
      </w:pPr>
    </w:p>
    <w:p w14:paraId="3C116D7D">
      <w:pPr>
        <w:spacing w:line="452" w:lineRule="exact"/>
        <w:ind w:left="3315"/>
      </w:pPr>
      <w:r>
        <w:rPr>
          <w:position w:val="-9"/>
        </w:rPr>
        <w:drawing>
          <wp:inline distT="0" distB="0" distL="0" distR="0">
            <wp:extent cx="1074420" cy="286385"/>
            <wp:effectExtent l="0" t="0" r="0" b="0"/>
            <wp:docPr id="218" name="IM 218"/>
            <wp:cNvGraphicFramePr/>
            <a:graphic xmlns:a="http://schemas.openxmlformats.org/drawingml/2006/main">
              <a:graphicData uri="http://schemas.openxmlformats.org/drawingml/2006/picture">
                <pic:pic xmlns:pic="http://schemas.openxmlformats.org/drawingml/2006/picture">
                  <pic:nvPicPr>
                    <pic:cNvPr id="218" name="IM 218"/>
                    <pic:cNvPicPr/>
                  </pic:nvPicPr>
                  <pic:blipFill>
                    <a:blip r:embed="rId376"/>
                    <a:stretch>
                      <a:fillRect/>
                    </a:stretch>
                  </pic:blipFill>
                  <pic:spPr>
                    <a:xfrm>
                      <a:off x="0" y="0"/>
                      <a:ext cx="1074538" cy="286515"/>
                    </a:xfrm>
                    <a:prstGeom prst="rect">
                      <a:avLst/>
                    </a:prstGeom>
                  </pic:spPr>
                </pic:pic>
              </a:graphicData>
            </a:graphic>
          </wp:inline>
        </w:drawing>
      </w:r>
    </w:p>
    <w:p w14:paraId="78588046">
      <w:pPr>
        <w:spacing w:before="306" w:line="212" w:lineRule="auto"/>
        <w:ind w:left="515"/>
        <w:rPr>
          <w:rFonts w:ascii="仿宋" w:hAnsi="仿宋" w:eastAsia="仿宋" w:cs="仿宋"/>
          <w:sz w:val="24"/>
          <w:szCs w:val="24"/>
        </w:rPr>
      </w:pPr>
      <w:r>
        <w:rPr>
          <w:rFonts w:ascii="仿宋" w:hAnsi="仿宋" w:eastAsia="仿宋" w:cs="仿宋"/>
          <w:spacing w:val="-1"/>
          <w:sz w:val="24"/>
          <w:szCs w:val="24"/>
        </w:rPr>
        <w:t>式中：</w:t>
      </w:r>
      <w:r>
        <w:rPr>
          <w:rFonts w:ascii="Times New Roman" w:hAnsi="Times New Roman" w:eastAsia="Times New Roman" w:cs="Times New Roman"/>
          <w:spacing w:val="-1"/>
          <w:sz w:val="24"/>
          <w:szCs w:val="24"/>
        </w:rPr>
        <w:t>L</w:t>
      </w:r>
      <w:r>
        <w:rPr>
          <w:rFonts w:ascii="Times New Roman" w:hAnsi="Times New Roman" w:eastAsia="Times New Roman" w:cs="Times New Roman"/>
          <w:spacing w:val="-1"/>
          <w:position w:val="-1"/>
          <w:sz w:val="15"/>
          <w:szCs w:val="15"/>
        </w:rPr>
        <w:t>i</w:t>
      </w:r>
      <w:r>
        <w:rPr>
          <w:rFonts w:ascii="Times New Roman" w:hAnsi="Times New Roman" w:eastAsia="Times New Roman" w:cs="Times New Roman"/>
          <w:spacing w:val="-1"/>
          <w:sz w:val="24"/>
          <w:szCs w:val="24"/>
        </w:rPr>
        <w:t>——</w:t>
      </w:r>
      <w:r>
        <w:rPr>
          <w:rFonts w:ascii="仿宋" w:hAnsi="仿宋" w:eastAsia="仿宋" w:cs="仿宋"/>
          <w:spacing w:val="-1"/>
          <w:sz w:val="24"/>
          <w:szCs w:val="24"/>
        </w:rPr>
        <w:t>预测点单台机械声压级，</w:t>
      </w:r>
      <w:r>
        <w:rPr>
          <w:rFonts w:ascii="Times New Roman" w:hAnsi="Times New Roman" w:eastAsia="Times New Roman" w:cs="Times New Roman"/>
          <w:spacing w:val="-1"/>
          <w:sz w:val="24"/>
          <w:szCs w:val="24"/>
        </w:rPr>
        <w:t>dB(A)</w:t>
      </w:r>
      <w:r>
        <w:rPr>
          <w:rFonts w:ascii="仿宋" w:hAnsi="仿宋" w:eastAsia="仿宋" w:cs="仿宋"/>
          <w:spacing w:val="-1"/>
          <w:sz w:val="24"/>
          <w:szCs w:val="24"/>
        </w:rPr>
        <w:t>；</w:t>
      </w:r>
    </w:p>
    <w:p w14:paraId="34D07B94">
      <w:pPr>
        <w:spacing w:before="192" w:line="212" w:lineRule="auto"/>
        <w:ind w:left="1218"/>
        <w:rPr>
          <w:rFonts w:ascii="仿宋" w:hAnsi="仿宋" w:eastAsia="仿宋" w:cs="仿宋"/>
          <w:sz w:val="24"/>
          <w:szCs w:val="24"/>
        </w:rPr>
      </w:pPr>
      <w:r>
        <w:rPr>
          <w:rFonts w:ascii="Times New Roman" w:hAnsi="Times New Roman" w:eastAsia="Times New Roman" w:cs="Times New Roman"/>
          <w:spacing w:val="-2"/>
          <w:sz w:val="24"/>
          <w:szCs w:val="24"/>
        </w:rPr>
        <w:t>L</w:t>
      </w:r>
      <w:r>
        <w:rPr>
          <w:rFonts w:ascii="Times New Roman" w:hAnsi="Times New Roman" w:eastAsia="Times New Roman" w:cs="Times New Roman"/>
          <w:spacing w:val="-2"/>
          <w:position w:val="-1"/>
          <w:sz w:val="15"/>
          <w:szCs w:val="15"/>
        </w:rPr>
        <w:t>0</w:t>
      </w:r>
      <w:r>
        <w:rPr>
          <w:rFonts w:ascii="Times New Roman" w:hAnsi="Times New Roman" w:eastAsia="Times New Roman" w:cs="Times New Roman"/>
          <w:spacing w:val="-2"/>
          <w:sz w:val="24"/>
          <w:szCs w:val="24"/>
        </w:rPr>
        <w:t>——</w:t>
      </w:r>
      <w:r>
        <w:rPr>
          <w:rFonts w:ascii="仿宋" w:hAnsi="仿宋" w:eastAsia="仿宋" w:cs="仿宋"/>
          <w:spacing w:val="-2"/>
          <w:sz w:val="24"/>
          <w:szCs w:val="24"/>
        </w:rPr>
        <w:t>机械</w:t>
      </w:r>
      <w:r>
        <w:rPr>
          <w:rFonts w:ascii="仿宋" w:hAnsi="仿宋" w:eastAsia="仿宋" w:cs="仿宋"/>
          <w:spacing w:val="-41"/>
          <w:sz w:val="24"/>
          <w:szCs w:val="24"/>
        </w:rPr>
        <w:t xml:space="preserve"> </w:t>
      </w:r>
      <w:r>
        <w:rPr>
          <w:rFonts w:ascii="Times New Roman" w:hAnsi="Times New Roman" w:eastAsia="Times New Roman" w:cs="Times New Roman"/>
          <w:spacing w:val="-2"/>
          <w:sz w:val="24"/>
          <w:szCs w:val="24"/>
        </w:rPr>
        <w:t>5m</w:t>
      </w:r>
      <w:r>
        <w:rPr>
          <w:rFonts w:ascii="Times New Roman" w:hAnsi="Times New Roman" w:eastAsia="Times New Roman" w:cs="Times New Roman"/>
          <w:spacing w:val="16"/>
          <w:w w:val="101"/>
          <w:sz w:val="24"/>
          <w:szCs w:val="24"/>
        </w:rPr>
        <w:t xml:space="preserve"> </w:t>
      </w:r>
      <w:r>
        <w:rPr>
          <w:rFonts w:ascii="仿宋" w:hAnsi="仿宋" w:eastAsia="仿宋" w:cs="仿宋"/>
          <w:spacing w:val="-2"/>
          <w:sz w:val="24"/>
          <w:szCs w:val="24"/>
        </w:rPr>
        <w:t>基准声压级，</w:t>
      </w:r>
      <w:r>
        <w:rPr>
          <w:rFonts w:ascii="Times New Roman" w:hAnsi="Times New Roman" w:eastAsia="Times New Roman" w:cs="Times New Roman"/>
          <w:spacing w:val="-2"/>
          <w:sz w:val="24"/>
          <w:szCs w:val="24"/>
        </w:rPr>
        <w:t>dB(A)</w:t>
      </w:r>
      <w:r>
        <w:rPr>
          <w:rFonts w:ascii="仿宋" w:hAnsi="仿宋" w:eastAsia="仿宋" w:cs="仿宋"/>
          <w:spacing w:val="-2"/>
          <w:sz w:val="24"/>
          <w:szCs w:val="24"/>
        </w:rPr>
        <w:t>；</w:t>
      </w:r>
    </w:p>
    <w:p w14:paraId="1250A047">
      <w:pPr>
        <w:spacing w:before="193" w:line="222" w:lineRule="auto"/>
        <w:ind w:left="1215"/>
        <w:rPr>
          <w:rFonts w:ascii="仿宋" w:hAnsi="仿宋" w:eastAsia="仿宋" w:cs="仿宋"/>
          <w:sz w:val="24"/>
          <w:szCs w:val="24"/>
        </w:rPr>
      </w:pPr>
      <w:r>
        <w:rPr>
          <w:rFonts w:ascii="Times New Roman" w:hAnsi="Times New Roman" w:eastAsia="Times New Roman" w:cs="Times New Roman"/>
          <w:spacing w:val="-1"/>
          <w:sz w:val="24"/>
          <w:szCs w:val="24"/>
        </w:rPr>
        <w:t>r</w:t>
      </w:r>
      <w:r>
        <w:rPr>
          <w:rFonts w:ascii="Times New Roman" w:hAnsi="Times New Roman" w:eastAsia="Times New Roman" w:cs="Times New Roman"/>
          <w:spacing w:val="-1"/>
          <w:position w:val="-1"/>
          <w:sz w:val="15"/>
          <w:szCs w:val="15"/>
        </w:rPr>
        <w:t>i</w:t>
      </w:r>
      <w:r>
        <w:rPr>
          <w:rFonts w:ascii="Times New Roman" w:hAnsi="Times New Roman" w:eastAsia="Times New Roman" w:cs="Times New Roman"/>
          <w:spacing w:val="-1"/>
          <w:sz w:val="24"/>
          <w:szCs w:val="24"/>
        </w:rPr>
        <w:t>——</w:t>
      </w:r>
      <w:r>
        <w:rPr>
          <w:rFonts w:ascii="仿宋" w:hAnsi="仿宋" w:eastAsia="仿宋" w:cs="仿宋"/>
          <w:spacing w:val="-1"/>
          <w:sz w:val="24"/>
          <w:szCs w:val="24"/>
        </w:rPr>
        <w:t>预测点至声源直线距离，</w:t>
      </w:r>
      <w:r>
        <w:rPr>
          <w:rFonts w:ascii="Times New Roman" w:hAnsi="Times New Roman" w:eastAsia="Times New Roman" w:cs="Times New Roman"/>
          <w:spacing w:val="-1"/>
          <w:sz w:val="24"/>
          <w:szCs w:val="24"/>
        </w:rPr>
        <w:t>m</w:t>
      </w:r>
      <w:r>
        <w:rPr>
          <w:rFonts w:ascii="仿宋" w:hAnsi="仿宋" w:eastAsia="仿宋" w:cs="仿宋"/>
          <w:spacing w:val="-1"/>
          <w:sz w:val="24"/>
          <w:szCs w:val="24"/>
        </w:rPr>
        <w:t>；</w:t>
      </w:r>
    </w:p>
    <w:p w14:paraId="2522D2B6">
      <w:pPr>
        <w:spacing w:before="180" w:line="222" w:lineRule="auto"/>
        <w:ind w:left="1215"/>
        <w:rPr>
          <w:rFonts w:ascii="仿宋" w:hAnsi="仿宋" w:eastAsia="仿宋" w:cs="仿宋"/>
          <w:sz w:val="24"/>
          <w:szCs w:val="24"/>
        </w:rPr>
      </w:pPr>
      <w:r>
        <w:rPr>
          <w:rFonts w:ascii="Times New Roman" w:hAnsi="Times New Roman" w:eastAsia="Times New Roman" w:cs="Times New Roman"/>
          <w:spacing w:val="-1"/>
          <w:sz w:val="24"/>
          <w:szCs w:val="24"/>
        </w:rPr>
        <w:t>r</w:t>
      </w:r>
      <w:r>
        <w:rPr>
          <w:rFonts w:ascii="Times New Roman" w:hAnsi="Times New Roman" w:eastAsia="Times New Roman" w:cs="Times New Roman"/>
          <w:spacing w:val="-1"/>
          <w:position w:val="-1"/>
          <w:sz w:val="15"/>
          <w:szCs w:val="15"/>
        </w:rPr>
        <w:t>0</w:t>
      </w:r>
      <w:r>
        <w:rPr>
          <w:rFonts w:ascii="Times New Roman" w:hAnsi="Times New Roman" w:eastAsia="Times New Roman" w:cs="Times New Roman"/>
          <w:spacing w:val="-1"/>
          <w:sz w:val="24"/>
          <w:szCs w:val="24"/>
        </w:rPr>
        <w:t>——</w:t>
      </w:r>
      <w:r>
        <w:rPr>
          <w:rFonts w:ascii="仿宋" w:hAnsi="仿宋" w:eastAsia="仿宋" w:cs="仿宋"/>
          <w:spacing w:val="-1"/>
          <w:sz w:val="24"/>
          <w:szCs w:val="24"/>
        </w:rPr>
        <w:t>基准测量距离，取</w:t>
      </w:r>
      <w:r>
        <w:rPr>
          <w:rFonts w:ascii="仿宋" w:hAnsi="仿宋" w:eastAsia="仿宋" w:cs="仿宋"/>
          <w:spacing w:val="-47"/>
          <w:sz w:val="24"/>
          <w:szCs w:val="24"/>
        </w:rPr>
        <w:t xml:space="preserve"> </w:t>
      </w:r>
      <w:r>
        <w:rPr>
          <w:rFonts w:ascii="Times New Roman" w:hAnsi="Times New Roman" w:eastAsia="Times New Roman" w:cs="Times New Roman"/>
          <w:spacing w:val="-1"/>
          <w:sz w:val="24"/>
          <w:szCs w:val="24"/>
        </w:rPr>
        <w:t>5m</w:t>
      </w:r>
      <w:r>
        <w:rPr>
          <w:rFonts w:ascii="仿宋" w:hAnsi="仿宋" w:eastAsia="仿宋" w:cs="仿宋"/>
          <w:spacing w:val="-1"/>
          <w:sz w:val="24"/>
          <w:szCs w:val="24"/>
        </w:rPr>
        <w:t>。</w:t>
      </w:r>
    </w:p>
    <w:p w14:paraId="2EADF5FD">
      <w:pPr>
        <w:spacing w:before="178" w:line="221" w:lineRule="auto"/>
        <w:ind w:left="501"/>
        <w:rPr>
          <w:rFonts w:ascii="仿宋" w:hAnsi="仿宋" w:eastAsia="仿宋" w:cs="仿宋"/>
          <w:sz w:val="24"/>
          <w:szCs w:val="24"/>
        </w:rPr>
      </w:pPr>
      <w:r>
        <w:rPr>
          <w:rFonts w:ascii="宋体" w:hAnsi="宋体" w:eastAsia="宋体" w:cs="宋体"/>
          <w:spacing w:val="-1"/>
          <w:sz w:val="24"/>
          <w:szCs w:val="24"/>
        </w:rPr>
        <w:t>②</w:t>
      </w:r>
      <w:r>
        <w:rPr>
          <w:rFonts w:ascii="仿宋" w:hAnsi="仿宋" w:eastAsia="仿宋" w:cs="仿宋"/>
          <w:spacing w:val="-1"/>
          <w:sz w:val="24"/>
          <w:szCs w:val="24"/>
        </w:rPr>
        <w:t>多台施工机械噪声叠加公式：</w:t>
      </w:r>
    </w:p>
    <w:p w14:paraId="7F1C76DC">
      <w:pPr>
        <w:pStyle w:val="2"/>
        <w:spacing w:line="282" w:lineRule="auto"/>
        <w:rPr>
          <w:sz w:val="21"/>
        </w:rPr>
      </w:pPr>
    </w:p>
    <w:p w14:paraId="3A3BA8E1">
      <w:pPr>
        <w:spacing w:before="1" w:line="457" w:lineRule="exact"/>
        <w:ind w:left="3094"/>
      </w:pPr>
      <w:r>
        <w:rPr>
          <w:position w:val="-9"/>
        </w:rPr>
        <w:drawing>
          <wp:inline distT="0" distB="0" distL="0" distR="0">
            <wp:extent cx="1355090" cy="289560"/>
            <wp:effectExtent l="0" t="0" r="0" b="0"/>
            <wp:docPr id="220" name="IM 220"/>
            <wp:cNvGraphicFramePr/>
            <a:graphic xmlns:a="http://schemas.openxmlformats.org/drawingml/2006/main">
              <a:graphicData uri="http://schemas.openxmlformats.org/drawingml/2006/picture">
                <pic:pic xmlns:pic="http://schemas.openxmlformats.org/drawingml/2006/picture">
                  <pic:nvPicPr>
                    <pic:cNvPr id="220" name="IM 220"/>
                    <pic:cNvPicPr/>
                  </pic:nvPicPr>
                  <pic:blipFill>
                    <a:blip r:embed="rId377"/>
                    <a:stretch>
                      <a:fillRect/>
                    </a:stretch>
                  </pic:blipFill>
                  <pic:spPr>
                    <a:xfrm>
                      <a:off x="0" y="0"/>
                      <a:ext cx="1355387" cy="290107"/>
                    </a:xfrm>
                    <a:prstGeom prst="rect">
                      <a:avLst/>
                    </a:prstGeom>
                  </pic:spPr>
                </pic:pic>
              </a:graphicData>
            </a:graphic>
          </wp:inline>
        </w:drawing>
      </w:r>
    </w:p>
    <w:p w14:paraId="20504476">
      <w:pPr>
        <w:spacing w:before="304" w:line="212" w:lineRule="auto"/>
        <w:ind w:left="515"/>
        <w:rPr>
          <w:rFonts w:ascii="仿宋" w:hAnsi="仿宋" w:eastAsia="仿宋" w:cs="仿宋"/>
          <w:sz w:val="24"/>
          <w:szCs w:val="24"/>
        </w:rPr>
      </w:pPr>
      <w:r>
        <w:rPr>
          <w:rFonts w:ascii="仿宋" w:hAnsi="仿宋" w:eastAsia="仿宋" w:cs="仿宋"/>
          <w:spacing w:val="-2"/>
          <w:sz w:val="24"/>
          <w:szCs w:val="24"/>
        </w:rPr>
        <w:t>式中：</w:t>
      </w:r>
      <w:r>
        <w:rPr>
          <w:rFonts w:ascii="Times New Roman" w:hAnsi="Times New Roman" w:eastAsia="Times New Roman" w:cs="Times New Roman"/>
          <w:spacing w:val="-2"/>
          <w:sz w:val="24"/>
          <w:szCs w:val="24"/>
        </w:rPr>
        <w:t>L——</w:t>
      </w:r>
      <w:r>
        <w:rPr>
          <w:rFonts w:ascii="仿宋" w:hAnsi="仿宋" w:eastAsia="仿宋" w:cs="仿宋"/>
          <w:spacing w:val="-2"/>
          <w:sz w:val="24"/>
          <w:szCs w:val="24"/>
        </w:rPr>
        <w:t>多机叠加总声压级，</w:t>
      </w:r>
      <w:r>
        <w:rPr>
          <w:rFonts w:ascii="Times New Roman" w:hAnsi="Times New Roman" w:eastAsia="Times New Roman" w:cs="Times New Roman"/>
          <w:spacing w:val="-2"/>
          <w:sz w:val="24"/>
          <w:szCs w:val="24"/>
        </w:rPr>
        <w:t>dB(A)</w:t>
      </w:r>
      <w:r>
        <w:rPr>
          <w:rFonts w:ascii="仿宋" w:hAnsi="仿宋" w:eastAsia="仿宋" w:cs="仿宋"/>
          <w:spacing w:val="-2"/>
          <w:sz w:val="24"/>
          <w:szCs w:val="24"/>
        </w:rPr>
        <w:t>；</w:t>
      </w:r>
    </w:p>
    <w:p w14:paraId="4808DB93">
      <w:pPr>
        <w:spacing w:before="192" w:line="212" w:lineRule="auto"/>
        <w:ind w:left="1218"/>
        <w:rPr>
          <w:rFonts w:ascii="仿宋" w:hAnsi="仿宋" w:eastAsia="仿宋" w:cs="仿宋"/>
          <w:sz w:val="24"/>
          <w:szCs w:val="24"/>
        </w:rPr>
      </w:pPr>
      <w:r>
        <w:rPr>
          <w:rFonts w:ascii="Times New Roman" w:hAnsi="Times New Roman" w:eastAsia="Times New Roman" w:cs="Times New Roman"/>
          <w:spacing w:val="-2"/>
          <w:sz w:val="24"/>
          <w:szCs w:val="24"/>
        </w:rPr>
        <w:t>L</w:t>
      </w:r>
      <w:r>
        <w:rPr>
          <w:rFonts w:ascii="Times New Roman" w:hAnsi="Times New Roman" w:eastAsia="Times New Roman" w:cs="Times New Roman"/>
          <w:spacing w:val="-2"/>
          <w:position w:val="-1"/>
          <w:sz w:val="15"/>
          <w:szCs w:val="15"/>
        </w:rPr>
        <w:t>i</w:t>
      </w:r>
      <w:r>
        <w:rPr>
          <w:rFonts w:ascii="Times New Roman" w:hAnsi="Times New Roman" w:eastAsia="Times New Roman" w:cs="Times New Roman"/>
          <w:spacing w:val="-2"/>
          <w:sz w:val="24"/>
          <w:szCs w:val="24"/>
        </w:rPr>
        <w:t>——</w:t>
      </w:r>
      <w:r>
        <w:rPr>
          <w:rFonts w:ascii="仿宋" w:hAnsi="仿宋" w:eastAsia="仿宋" w:cs="仿宋"/>
          <w:spacing w:val="-2"/>
          <w:sz w:val="24"/>
          <w:szCs w:val="24"/>
        </w:rPr>
        <w:t>第</w:t>
      </w:r>
      <w:r>
        <w:rPr>
          <w:rFonts w:ascii="仿宋" w:hAnsi="仿宋" w:eastAsia="仿宋" w:cs="仿宋"/>
          <w:spacing w:val="-54"/>
          <w:sz w:val="24"/>
          <w:szCs w:val="24"/>
        </w:rPr>
        <w:t xml:space="preserve"> </w:t>
      </w:r>
      <w:r>
        <w:rPr>
          <w:rFonts w:ascii="Times New Roman" w:hAnsi="Times New Roman" w:eastAsia="Times New Roman" w:cs="Times New Roman"/>
          <w:spacing w:val="-2"/>
          <w:sz w:val="24"/>
          <w:szCs w:val="24"/>
        </w:rPr>
        <w:t>i</w:t>
      </w:r>
      <w:r>
        <w:rPr>
          <w:rFonts w:ascii="Times New Roman" w:hAnsi="Times New Roman" w:eastAsia="Times New Roman" w:cs="Times New Roman"/>
          <w:spacing w:val="40"/>
          <w:sz w:val="24"/>
          <w:szCs w:val="24"/>
        </w:rPr>
        <w:t xml:space="preserve"> </w:t>
      </w:r>
      <w:r>
        <w:rPr>
          <w:rFonts w:ascii="仿宋" w:hAnsi="仿宋" w:eastAsia="仿宋" w:cs="仿宋"/>
          <w:spacing w:val="-2"/>
          <w:sz w:val="24"/>
          <w:szCs w:val="24"/>
        </w:rPr>
        <w:t>台机械在预测点的声压级，</w:t>
      </w:r>
      <w:r>
        <w:rPr>
          <w:rFonts w:ascii="Times New Roman" w:hAnsi="Times New Roman" w:eastAsia="Times New Roman" w:cs="Times New Roman"/>
          <w:spacing w:val="-2"/>
          <w:sz w:val="24"/>
          <w:szCs w:val="24"/>
        </w:rPr>
        <w:t>d</w:t>
      </w:r>
      <w:r>
        <w:rPr>
          <w:rFonts w:ascii="Times New Roman" w:hAnsi="Times New Roman" w:eastAsia="Times New Roman" w:cs="Times New Roman"/>
          <w:spacing w:val="-3"/>
          <w:sz w:val="24"/>
          <w:szCs w:val="24"/>
        </w:rPr>
        <w:t>B(A)</w:t>
      </w:r>
      <w:r>
        <w:rPr>
          <w:rFonts w:ascii="仿宋" w:hAnsi="仿宋" w:eastAsia="仿宋" w:cs="仿宋"/>
          <w:spacing w:val="-3"/>
          <w:sz w:val="24"/>
          <w:szCs w:val="24"/>
        </w:rPr>
        <w:t>；</w:t>
      </w:r>
    </w:p>
    <w:p w14:paraId="7C6D16EA">
      <w:pPr>
        <w:spacing w:before="192" w:line="220" w:lineRule="auto"/>
        <w:ind w:left="1215"/>
        <w:rPr>
          <w:rFonts w:ascii="仿宋" w:hAnsi="仿宋" w:eastAsia="仿宋" w:cs="仿宋"/>
          <w:sz w:val="24"/>
          <w:szCs w:val="24"/>
        </w:rPr>
      </w:pPr>
      <w:r>
        <w:rPr>
          <w:rFonts w:ascii="Times New Roman" w:hAnsi="Times New Roman" w:eastAsia="Times New Roman" w:cs="Times New Roman"/>
          <w:spacing w:val="-1"/>
          <w:sz w:val="24"/>
          <w:szCs w:val="24"/>
        </w:rPr>
        <w:t>n——</w:t>
      </w:r>
      <w:r>
        <w:rPr>
          <w:rFonts w:ascii="仿宋" w:hAnsi="仿宋" w:eastAsia="仿宋" w:cs="仿宋"/>
          <w:spacing w:val="-1"/>
          <w:sz w:val="24"/>
          <w:szCs w:val="24"/>
        </w:rPr>
        <w:t>同步作业机械数量。</w:t>
      </w:r>
    </w:p>
    <w:p w14:paraId="62AB4D84">
      <w:pPr>
        <w:spacing w:before="181" w:line="361" w:lineRule="auto"/>
        <w:ind w:left="32" w:right="62" w:firstLine="478"/>
        <w:jc w:val="both"/>
        <w:rPr>
          <w:rFonts w:ascii="仿宋" w:hAnsi="仿宋" w:eastAsia="仿宋" w:cs="仿宋"/>
          <w:sz w:val="24"/>
          <w:szCs w:val="24"/>
        </w:rPr>
      </w:pPr>
      <w:r>
        <w:rPr>
          <w:rFonts w:ascii="仿宋" w:hAnsi="仿宋" w:eastAsia="仿宋" w:cs="仿宋"/>
          <w:spacing w:val="-3"/>
          <w:sz w:val="24"/>
          <w:szCs w:val="24"/>
        </w:rPr>
        <w:t>本次预测结合项目机械源强参数，选取路基施</w:t>
      </w:r>
      <w:r>
        <w:rPr>
          <w:rFonts w:ascii="仿宋" w:hAnsi="仿宋" w:eastAsia="仿宋" w:cs="仿宋"/>
          <w:spacing w:val="-4"/>
          <w:sz w:val="24"/>
          <w:szCs w:val="24"/>
        </w:rPr>
        <w:t>工最不利机械组合，仅计算施</w:t>
      </w:r>
      <w:r>
        <w:rPr>
          <w:rFonts w:ascii="仿宋" w:hAnsi="仿宋" w:eastAsia="仿宋" w:cs="仿宋"/>
          <w:spacing w:val="-8"/>
          <w:sz w:val="24"/>
          <w:szCs w:val="24"/>
        </w:rPr>
        <w:t>工边线</w:t>
      </w:r>
      <w:r>
        <w:rPr>
          <w:rFonts w:ascii="仿宋" w:hAnsi="仿宋" w:eastAsia="仿宋" w:cs="仿宋"/>
          <w:spacing w:val="-32"/>
          <w:sz w:val="24"/>
          <w:szCs w:val="24"/>
        </w:rPr>
        <w:t xml:space="preserve"> </w:t>
      </w:r>
      <w:r>
        <w:rPr>
          <w:rFonts w:ascii="Times New Roman" w:hAnsi="Times New Roman" w:eastAsia="Times New Roman" w:cs="Times New Roman"/>
          <w:spacing w:val="-8"/>
          <w:sz w:val="24"/>
          <w:szCs w:val="24"/>
        </w:rPr>
        <w:t>10m</w:t>
      </w:r>
      <w:r>
        <w:rPr>
          <w:rFonts w:ascii="Times New Roman" w:hAnsi="Times New Roman" w:eastAsia="Times New Roman" w:cs="Times New Roman"/>
          <w:spacing w:val="-28"/>
          <w:sz w:val="24"/>
          <w:szCs w:val="24"/>
        </w:rPr>
        <w:t xml:space="preserve"> </w:t>
      </w:r>
      <w:r>
        <w:rPr>
          <w:rFonts w:ascii="仿宋" w:hAnsi="仿宋" w:eastAsia="仿宋" w:cs="仿宋"/>
          <w:spacing w:val="-8"/>
          <w:sz w:val="24"/>
          <w:szCs w:val="24"/>
        </w:rPr>
        <w:t>、</w:t>
      </w:r>
      <w:r>
        <w:rPr>
          <w:rFonts w:ascii="Times New Roman" w:hAnsi="Times New Roman" w:eastAsia="Times New Roman" w:cs="Times New Roman"/>
          <w:spacing w:val="-8"/>
          <w:sz w:val="24"/>
          <w:szCs w:val="24"/>
        </w:rPr>
        <w:t>20m</w:t>
      </w:r>
      <w:r>
        <w:rPr>
          <w:rFonts w:ascii="Times New Roman" w:hAnsi="Times New Roman" w:eastAsia="Times New Roman" w:cs="Times New Roman"/>
          <w:spacing w:val="-28"/>
          <w:sz w:val="24"/>
          <w:szCs w:val="24"/>
        </w:rPr>
        <w:t xml:space="preserve"> </w:t>
      </w:r>
      <w:r>
        <w:rPr>
          <w:rFonts w:ascii="仿宋" w:hAnsi="仿宋" w:eastAsia="仿宋" w:cs="仿宋"/>
          <w:spacing w:val="-8"/>
          <w:sz w:val="24"/>
          <w:szCs w:val="24"/>
        </w:rPr>
        <w:t>、</w:t>
      </w:r>
      <w:r>
        <w:rPr>
          <w:rFonts w:ascii="Times New Roman" w:hAnsi="Times New Roman" w:eastAsia="Times New Roman" w:cs="Times New Roman"/>
          <w:spacing w:val="-8"/>
          <w:sz w:val="24"/>
          <w:szCs w:val="24"/>
        </w:rPr>
        <w:t>30m</w:t>
      </w:r>
      <w:r>
        <w:rPr>
          <w:rFonts w:ascii="Times New Roman" w:hAnsi="Times New Roman" w:eastAsia="Times New Roman" w:cs="Times New Roman"/>
          <w:spacing w:val="-28"/>
          <w:sz w:val="24"/>
          <w:szCs w:val="24"/>
        </w:rPr>
        <w:t xml:space="preserve"> </w:t>
      </w:r>
      <w:r>
        <w:rPr>
          <w:rFonts w:ascii="仿宋" w:hAnsi="仿宋" w:eastAsia="仿宋" w:cs="仿宋"/>
          <w:spacing w:val="-8"/>
          <w:sz w:val="24"/>
          <w:szCs w:val="24"/>
        </w:rPr>
        <w:t>、</w:t>
      </w:r>
      <w:r>
        <w:rPr>
          <w:rFonts w:ascii="Times New Roman" w:hAnsi="Times New Roman" w:eastAsia="Times New Roman" w:cs="Times New Roman"/>
          <w:spacing w:val="-8"/>
          <w:sz w:val="24"/>
          <w:szCs w:val="24"/>
        </w:rPr>
        <w:t>40m</w:t>
      </w:r>
      <w:r>
        <w:rPr>
          <w:rFonts w:ascii="Times New Roman" w:hAnsi="Times New Roman" w:eastAsia="Times New Roman" w:cs="Times New Roman"/>
          <w:spacing w:val="-25"/>
          <w:sz w:val="24"/>
          <w:szCs w:val="24"/>
        </w:rPr>
        <w:t xml:space="preserve"> </w:t>
      </w:r>
      <w:r>
        <w:rPr>
          <w:rFonts w:ascii="仿宋" w:hAnsi="仿宋" w:eastAsia="仿宋" w:cs="仿宋"/>
          <w:spacing w:val="-8"/>
          <w:sz w:val="24"/>
          <w:szCs w:val="24"/>
        </w:rPr>
        <w:t>、</w:t>
      </w:r>
      <w:r>
        <w:rPr>
          <w:rFonts w:ascii="Times New Roman" w:hAnsi="Times New Roman" w:eastAsia="Times New Roman" w:cs="Times New Roman"/>
          <w:spacing w:val="-8"/>
          <w:sz w:val="24"/>
          <w:szCs w:val="24"/>
        </w:rPr>
        <w:t>50m</w:t>
      </w:r>
      <w:r>
        <w:rPr>
          <w:rFonts w:ascii="Times New Roman" w:hAnsi="Times New Roman" w:eastAsia="Times New Roman" w:cs="Times New Roman"/>
          <w:spacing w:val="-25"/>
          <w:sz w:val="24"/>
          <w:szCs w:val="24"/>
        </w:rPr>
        <w:t xml:space="preserve"> </w:t>
      </w:r>
      <w:r>
        <w:rPr>
          <w:rFonts w:ascii="仿宋" w:hAnsi="仿宋" w:eastAsia="仿宋" w:cs="仿宋"/>
          <w:spacing w:val="-9"/>
          <w:sz w:val="24"/>
          <w:szCs w:val="24"/>
        </w:rPr>
        <w:t>、</w:t>
      </w:r>
      <w:r>
        <w:rPr>
          <w:rFonts w:ascii="Times New Roman" w:hAnsi="Times New Roman" w:eastAsia="Times New Roman" w:cs="Times New Roman"/>
          <w:spacing w:val="-9"/>
          <w:sz w:val="24"/>
          <w:szCs w:val="24"/>
        </w:rPr>
        <w:t>60m</w:t>
      </w:r>
      <w:r>
        <w:rPr>
          <w:rFonts w:ascii="Times New Roman" w:hAnsi="Times New Roman" w:eastAsia="Times New Roman" w:cs="Times New Roman"/>
          <w:spacing w:val="-26"/>
          <w:sz w:val="24"/>
          <w:szCs w:val="24"/>
        </w:rPr>
        <w:t xml:space="preserve"> </w:t>
      </w:r>
      <w:r>
        <w:rPr>
          <w:rFonts w:ascii="仿宋" w:hAnsi="仿宋" w:eastAsia="仿宋" w:cs="仿宋"/>
          <w:spacing w:val="-9"/>
          <w:sz w:val="24"/>
          <w:szCs w:val="24"/>
        </w:rPr>
        <w:t>、</w:t>
      </w:r>
      <w:r>
        <w:rPr>
          <w:rFonts w:ascii="Times New Roman" w:hAnsi="Times New Roman" w:eastAsia="Times New Roman" w:cs="Times New Roman"/>
          <w:spacing w:val="-9"/>
          <w:sz w:val="24"/>
          <w:szCs w:val="24"/>
        </w:rPr>
        <w:t>80m</w:t>
      </w:r>
      <w:r>
        <w:rPr>
          <w:rFonts w:ascii="Times New Roman" w:hAnsi="Times New Roman" w:eastAsia="Times New Roman" w:cs="Times New Roman"/>
          <w:spacing w:val="-25"/>
          <w:sz w:val="24"/>
          <w:szCs w:val="24"/>
        </w:rPr>
        <w:t xml:space="preserve"> </w:t>
      </w:r>
      <w:r>
        <w:rPr>
          <w:rFonts w:ascii="仿宋" w:hAnsi="仿宋" w:eastAsia="仿宋" w:cs="仿宋"/>
          <w:spacing w:val="-9"/>
          <w:sz w:val="24"/>
          <w:szCs w:val="24"/>
        </w:rPr>
        <w:t>、</w:t>
      </w:r>
      <w:r>
        <w:rPr>
          <w:rFonts w:ascii="Times New Roman" w:hAnsi="Times New Roman" w:eastAsia="Times New Roman" w:cs="Times New Roman"/>
          <w:spacing w:val="-9"/>
          <w:sz w:val="24"/>
          <w:szCs w:val="24"/>
        </w:rPr>
        <w:t>100m</w:t>
      </w:r>
      <w:r>
        <w:rPr>
          <w:rFonts w:ascii="Times New Roman" w:hAnsi="Times New Roman" w:eastAsia="Times New Roman" w:cs="Times New Roman"/>
          <w:spacing w:val="-26"/>
          <w:sz w:val="24"/>
          <w:szCs w:val="24"/>
        </w:rPr>
        <w:t xml:space="preserve"> </w:t>
      </w:r>
      <w:r>
        <w:rPr>
          <w:rFonts w:ascii="仿宋" w:hAnsi="仿宋" w:eastAsia="仿宋" w:cs="仿宋"/>
          <w:spacing w:val="-9"/>
          <w:sz w:val="24"/>
          <w:szCs w:val="24"/>
        </w:rPr>
        <w:t>、</w:t>
      </w:r>
      <w:r>
        <w:rPr>
          <w:rFonts w:ascii="Times New Roman" w:hAnsi="Times New Roman" w:eastAsia="Times New Roman" w:cs="Times New Roman"/>
          <w:spacing w:val="-9"/>
          <w:sz w:val="24"/>
          <w:szCs w:val="24"/>
        </w:rPr>
        <w:t>120m</w:t>
      </w:r>
      <w:r>
        <w:rPr>
          <w:rFonts w:ascii="Times New Roman" w:hAnsi="Times New Roman" w:eastAsia="Times New Roman" w:cs="Times New Roman"/>
          <w:spacing w:val="-25"/>
          <w:sz w:val="24"/>
          <w:szCs w:val="24"/>
        </w:rPr>
        <w:t xml:space="preserve"> </w:t>
      </w:r>
      <w:r>
        <w:rPr>
          <w:rFonts w:ascii="仿宋" w:hAnsi="仿宋" w:eastAsia="仿宋" w:cs="仿宋"/>
          <w:spacing w:val="-9"/>
          <w:sz w:val="24"/>
          <w:szCs w:val="24"/>
        </w:rPr>
        <w:t>、</w:t>
      </w:r>
      <w:r>
        <w:rPr>
          <w:rFonts w:ascii="Times New Roman" w:hAnsi="Times New Roman" w:eastAsia="Times New Roman" w:cs="Times New Roman"/>
          <w:spacing w:val="-9"/>
          <w:sz w:val="24"/>
          <w:szCs w:val="24"/>
        </w:rPr>
        <w:t>200m</w:t>
      </w:r>
      <w:r>
        <w:rPr>
          <w:rFonts w:ascii="Times New Roman" w:hAnsi="Times New Roman" w:eastAsia="Times New Roman" w:cs="Times New Roman"/>
          <w:spacing w:val="15"/>
          <w:sz w:val="24"/>
          <w:szCs w:val="24"/>
        </w:rPr>
        <w:t xml:space="preserve"> </w:t>
      </w:r>
      <w:r>
        <w:rPr>
          <w:rFonts w:ascii="仿宋" w:hAnsi="仿宋" w:eastAsia="仿宋" w:cs="仿宋"/>
          <w:spacing w:val="-9"/>
          <w:sz w:val="24"/>
          <w:szCs w:val="24"/>
        </w:rPr>
        <w:t>处噪声</w:t>
      </w:r>
      <w:r>
        <w:rPr>
          <w:rFonts w:ascii="仿宋" w:hAnsi="仿宋" w:eastAsia="仿宋" w:cs="仿宋"/>
          <w:spacing w:val="-1"/>
          <w:sz w:val="24"/>
          <w:szCs w:val="24"/>
        </w:rPr>
        <w:t>级，确定噪声达标距离，为噪声管控提供数据支撑。</w:t>
      </w:r>
    </w:p>
    <w:p w14:paraId="1C7D8902">
      <w:pPr>
        <w:spacing w:line="361" w:lineRule="auto"/>
        <w:rPr>
          <w:rFonts w:ascii="仿宋" w:hAnsi="仿宋" w:eastAsia="仿宋" w:cs="仿宋"/>
          <w:sz w:val="24"/>
          <w:szCs w:val="24"/>
        </w:rPr>
        <w:sectPr>
          <w:footerReference r:id="rId172" w:type="default"/>
          <w:pgSz w:w="11906" w:h="16839"/>
          <w:pgMar w:top="400" w:right="1737" w:bottom="1370" w:left="1785" w:header="0" w:footer="1207" w:gutter="0"/>
          <w:cols w:space="720" w:num="1"/>
        </w:sectPr>
      </w:pPr>
    </w:p>
    <w:p w14:paraId="7E69BF95">
      <w:pPr>
        <w:pStyle w:val="2"/>
        <w:spacing w:line="278" w:lineRule="auto"/>
        <w:rPr>
          <w:sz w:val="21"/>
        </w:rPr>
      </w:pPr>
    </w:p>
    <w:p w14:paraId="27FE079A">
      <w:pPr>
        <w:pStyle w:val="2"/>
        <w:spacing w:line="278" w:lineRule="auto"/>
        <w:rPr>
          <w:sz w:val="21"/>
        </w:rPr>
      </w:pPr>
    </w:p>
    <w:p w14:paraId="10C5A3A8">
      <w:pPr>
        <w:pStyle w:val="2"/>
        <w:spacing w:line="279" w:lineRule="auto"/>
        <w:rPr>
          <w:sz w:val="21"/>
        </w:rPr>
      </w:pPr>
    </w:p>
    <w:p w14:paraId="6A54B5A8">
      <w:pPr>
        <w:pStyle w:val="2"/>
        <w:spacing w:line="279" w:lineRule="auto"/>
        <w:rPr>
          <w:sz w:val="21"/>
        </w:rPr>
      </w:pPr>
    </w:p>
    <w:p w14:paraId="05C1C158">
      <w:pPr>
        <w:spacing w:before="91" w:line="222" w:lineRule="auto"/>
        <w:ind w:left="115"/>
        <w:outlineLvl w:val="2"/>
        <w:rPr>
          <w:rFonts w:ascii="仿宋" w:hAnsi="仿宋" w:eastAsia="仿宋" w:cs="仿宋"/>
          <w:sz w:val="28"/>
          <w:szCs w:val="28"/>
        </w:rPr>
      </w:pPr>
      <w:bookmarkStart w:id="42" w:name="bookmark45"/>
      <w:bookmarkEnd w:id="42"/>
      <w:r>
        <w:rPr>
          <w:rFonts w:ascii="仿宋" w:hAnsi="仿宋" w:eastAsia="仿宋" w:cs="仿宋"/>
          <w:b/>
          <w:bCs/>
          <w:spacing w:val="-4"/>
          <w:sz w:val="28"/>
          <w:szCs w:val="28"/>
        </w:rPr>
        <w:t>4.1.4</w:t>
      </w:r>
      <w:r>
        <w:rPr>
          <w:rFonts w:ascii="仿宋" w:hAnsi="仿宋" w:eastAsia="仿宋" w:cs="仿宋"/>
          <w:spacing w:val="-43"/>
          <w:sz w:val="28"/>
          <w:szCs w:val="28"/>
        </w:rPr>
        <w:t xml:space="preserve"> </w:t>
      </w:r>
      <w:r>
        <w:rPr>
          <w:rFonts w:ascii="仿宋" w:hAnsi="仿宋" w:eastAsia="仿宋" w:cs="仿宋"/>
          <w:b/>
          <w:bCs/>
          <w:spacing w:val="-4"/>
          <w:sz w:val="28"/>
          <w:szCs w:val="28"/>
        </w:rPr>
        <w:t>施工噪声影响范围及影响分析</w:t>
      </w:r>
    </w:p>
    <w:p w14:paraId="7CC05571">
      <w:pPr>
        <w:pStyle w:val="2"/>
        <w:spacing w:line="305" w:lineRule="auto"/>
        <w:rPr>
          <w:sz w:val="21"/>
        </w:rPr>
      </w:pPr>
    </w:p>
    <w:p w14:paraId="6492FDD3">
      <w:pPr>
        <w:spacing w:before="78" w:line="222" w:lineRule="auto"/>
        <w:ind w:left="113"/>
        <w:rPr>
          <w:rFonts w:ascii="仿宋" w:hAnsi="仿宋" w:eastAsia="仿宋" w:cs="仿宋"/>
          <w:sz w:val="24"/>
          <w:szCs w:val="24"/>
        </w:rPr>
      </w:pPr>
      <w:r>
        <w:rPr>
          <w:rFonts w:ascii="Times New Roman" w:hAnsi="Times New Roman" w:eastAsia="Times New Roman" w:cs="Times New Roman"/>
          <w:b/>
          <w:bCs/>
          <w:spacing w:val="-3"/>
          <w:sz w:val="24"/>
          <w:szCs w:val="24"/>
        </w:rPr>
        <w:t>4.1.4.1</w:t>
      </w:r>
      <w:r>
        <w:rPr>
          <w:rFonts w:ascii="Times New Roman" w:hAnsi="Times New Roman" w:eastAsia="Times New Roman" w:cs="Times New Roman"/>
          <w:b/>
          <w:bCs/>
          <w:spacing w:val="32"/>
          <w:w w:val="101"/>
          <w:sz w:val="24"/>
          <w:szCs w:val="24"/>
        </w:rPr>
        <w:t xml:space="preserve"> </w:t>
      </w:r>
      <w:r>
        <w:rPr>
          <w:rFonts w:ascii="仿宋" w:hAnsi="仿宋" w:eastAsia="仿宋" w:cs="仿宋"/>
          <w:b/>
          <w:bCs/>
          <w:spacing w:val="-3"/>
          <w:sz w:val="24"/>
          <w:szCs w:val="24"/>
        </w:rPr>
        <w:t>施工期不同距离处的贡献值影响</w:t>
      </w:r>
    </w:p>
    <w:p w14:paraId="0A4FAA97">
      <w:pPr>
        <w:spacing w:before="177" w:line="340" w:lineRule="auto"/>
        <w:ind w:left="122" w:right="44" w:firstLine="479"/>
        <w:jc w:val="both"/>
        <w:rPr>
          <w:rFonts w:ascii="仿宋" w:hAnsi="仿宋" w:eastAsia="仿宋" w:cs="仿宋"/>
          <w:sz w:val="24"/>
          <w:szCs w:val="24"/>
        </w:rPr>
      </w:pPr>
      <w:r>
        <w:rPr>
          <w:rFonts w:ascii="仿宋" w:hAnsi="仿宋" w:eastAsia="仿宋" w:cs="仿宋"/>
          <w:spacing w:val="-3"/>
          <w:sz w:val="24"/>
          <w:szCs w:val="24"/>
        </w:rPr>
        <w:t>施工边界噪声执行《建筑施工噪声排放标准》（</w:t>
      </w:r>
      <w:r>
        <w:rPr>
          <w:rFonts w:ascii="Times New Roman" w:hAnsi="Times New Roman" w:eastAsia="Times New Roman" w:cs="Times New Roman"/>
          <w:spacing w:val="-3"/>
          <w:sz w:val="24"/>
          <w:szCs w:val="24"/>
        </w:rPr>
        <w:t>GB12523-2025</w:t>
      </w:r>
      <w:r>
        <w:rPr>
          <w:rFonts w:ascii="仿宋" w:hAnsi="仿宋" w:eastAsia="仿宋" w:cs="仿宋"/>
          <w:spacing w:val="-3"/>
          <w:sz w:val="24"/>
          <w:szCs w:val="24"/>
        </w:rPr>
        <w:t>）昼间限值：昼间</w:t>
      </w:r>
      <w:r>
        <w:rPr>
          <w:rFonts w:ascii="Times New Roman" w:hAnsi="Times New Roman" w:eastAsia="Times New Roman" w:cs="Times New Roman"/>
          <w:spacing w:val="-3"/>
          <w:sz w:val="24"/>
          <w:szCs w:val="24"/>
        </w:rPr>
        <w:t>≤70dB(A)</w:t>
      </w:r>
      <w:r>
        <w:rPr>
          <w:rFonts w:ascii="仿宋" w:hAnsi="仿宋" w:eastAsia="仿宋" w:cs="仿宋"/>
          <w:spacing w:val="-3"/>
          <w:sz w:val="24"/>
          <w:szCs w:val="24"/>
        </w:rPr>
        <w:t>。项目夜间全程禁止一</w:t>
      </w:r>
      <w:r>
        <w:rPr>
          <w:rFonts w:ascii="仿宋" w:hAnsi="仿宋" w:eastAsia="仿宋" w:cs="仿宋"/>
          <w:spacing w:val="-4"/>
          <w:sz w:val="24"/>
          <w:szCs w:val="24"/>
        </w:rPr>
        <w:t>切施工作业，无夜间施工噪声影响。自由声</w:t>
      </w:r>
      <w:r>
        <w:rPr>
          <w:rFonts w:ascii="仿宋" w:hAnsi="仿宋" w:eastAsia="仿宋" w:cs="仿宋"/>
          <w:spacing w:val="-2"/>
          <w:sz w:val="24"/>
          <w:szCs w:val="24"/>
        </w:rPr>
        <w:t>场无遮挡条件下，单机作业各距离昼间噪声计算结果见表</w:t>
      </w:r>
      <w:r>
        <w:rPr>
          <w:rFonts w:ascii="仿宋" w:hAnsi="仿宋" w:eastAsia="仿宋" w:cs="仿宋"/>
          <w:spacing w:val="-43"/>
          <w:sz w:val="24"/>
          <w:szCs w:val="24"/>
        </w:rPr>
        <w:t xml:space="preserve"> </w:t>
      </w:r>
      <w:r>
        <w:rPr>
          <w:rFonts w:ascii="Times New Roman" w:hAnsi="Times New Roman" w:eastAsia="Times New Roman" w:cs="Times New Roman"/>
          <w:spacing w:val="-2"/>
          <w:sz w:val="24"/>
          <w:szCs w:val="24"/>
        </w:rPr>
        <w:t>4.1-</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2"/>
          <w:sz w:val="24"/>
          <w:szCs w:val="24"/>
        </w:rPr>
        <w:t>1</w:t>
      </w:r>
      <w:r>
        <w:rPr>
          <w:rFonts w:ascii="仿宋" w:hAnsi="仿宋" w:eastAsia="仿宋" w:cs="仿宋"/>
          <w:spacing w:val="-2"/>
          <w:sz w:val="24"/>
          <w:szCs w:val="24"/>
        </w:rPr>
        <w:t>。</w:t>
      </w:r>
    </w:p>
    <w:p w14:paraId="24E7C511">
      <w:pPr>
        <w:spacing w:line="220" w:lineRule="auto"/>
        <w:ind w:left="148"/>
        <w:rPr>
          <w:rFonts w:ascii="仿宋" w:hAnsi="仿宋" w:eastAsia="仿宋" w:cs="仿宋"/>
          <w:sz w:val="24"/>
          <w:szCs w:val="24"/>
        </w:rPr>
      </w:pPr>
      <w:r>
        <w:rPr>
          <w:rFonts w:ascii="仿宋" w:hAnsi="仿宋" w:eastAsia="仿宋" w:cs="仿宋"/>
          <w:b/>
          <w:bCs/>
          <w:spacing w:val="-2"/>
          <w:sz w:val="24"/>
          <w:szCs w:val="24"/>
        </w:rPr>
        <w:t>表</w:t>
      </w:r>
      <w:r>
        <w:rPr>
          <w:rFonts w:ascii="仿宋" w:hAnsi="仿宋" w:eastAsia="仿宋" w:cs="仿宋"/>
          <w:spacing w:val="-52"/>
          <w:sz w:val="24"/>
          <w:szCs w:val="24"/>
        </w:rPr>
        <w:t xml:space="preserve"> </w:t>
      </w:r>
      <w:r>
        <w:rPr>
          <w:rFonts w:ascii="仿宋" w:hAnsi="仿宋" w:eastAsia="仿宋" w:cs="仿宋"/>
          <w:b/>
          <w:bCs/>
          <w:spacing w:val="-2"/>
          <w:sz w:val="24"/>
          <w:szCs w:val="24"/>
        </w:rPr>
        <w:t>4.1-1</w:t>
      </w:r>
      <w:r>
        <w:rPr>
          <w:rFonts w:ascii="仿宋" w:hAnsi="仿宋" w:eastAsia="仿宋" w:cs="仿宋"/>
          <w:spacing w:val="-2"/>
          <w:sz w:val="24"/>
          <w:szCs w:val="24"/>
        </w:rPr>
        <w:t xml:space="preserve">   </w:t>
      </w:r>
      <w:r>
        <w:rPr>
          <w:rFonts w:ascii="仿宋" w:hAnsi="仿宋" w:eastAsia="仿宋" w:cs="仿宋"/>
          <w:b/>
          <w:bCs/>
          <w:spacing w:val="-2"/>
          <w:sz w:val="24"/>
          <w:szCs w:val="24"/>
        </w:rPr>
        <w:t>施工机械单机作业不同距离处噪声贡献值预测结果</w:t>
      </w:r>
      <w:r>
        <w:rPr>
          <w:rFonts w:ascii="仿宋" w:hAnsi="仿宋" w:eastAsia="仿宋" w:cs="仿宋"/>
          <w:spacing w:val="-2"/>
          <w:sz w:val="24"/>
          <w:szCs w:val="24"/>
        </w:rPr>
        <w:t xml:space="preserve"> </w:t>
      </w:r>
      <w:r>
        <w:rPr>
          <w:rFonts w:ascii="仿宋" w:hAnsi="仿宋" w:eastAsia="仿宋" w:cs="仿宋"/>
          <w:b/>
          <w:bCs/>
          <w:spacing w:val="-2"/>
          <w:sz w:val="24"/>
          <w:szCs w:val="24"/>
        </w:rPr>
        <w:t>单位：d</w:t>
      </w:r>
      <w:r>
        <w:rPr>
          <w:rFonts w:ascii="仿宋" w:hAnsi="仿宋" w:eastAsia="仿宋" w:cs="仿宋"/>
          <w:b/>
          <w:bCs/>
          <w:spacing w:val="-3"/>
          <w:sz w:val="24"/>
          <w:szCs w:val="24"/>
        </w:rPr>
        <w:t>B（A）</w:t>
      </w:r>
    </w:p>
    <w:p w14:paraId="4304BD92">
      <w:pPr>
        <w:spacing w:line="145" w:lineRule="exact"/>
      </w:pPr>
    </w:p>
    <w:tbl>
      <w:tblPr>
        <w:tblStyle w:val="5"/>
        <w:tblW w:w="8519"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90"/>
        <w:gridCol w:w="1669"/>
        <w:gridCol w:w="478"/>
        <w:gridCol w:w="479"/>
        <w:gridCol w:w="481"/>
        <w:gridCol w:w="481"/>
        <w:gridCol w:w="481"/>
        <w:gridCol w:w="481"/>
        <w:gridCol w:w="481"/>
        <w:gridCol w:w="481"/>
        <w:gridCol w:w="600"/>
        <w:gridCol w:w="600"/>
        <w:gridCol w:w="617"/>
      </w:tblGrid>
      <w:tr w14:paraId="1EA65D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190" w:type="dxa"/>
            <w:vMerge w:val="restart"/>
            <w:tcBorders>
              <w:top w:val="single" w:color="000000" w:sz="10" w:space="0"/>
              <w:left w:val="nil"/>
              <w:bottom w:val="nil"/>
            </w:tcBorders>
            <w:vAlign w:val="top"/>
          </w:tcPr>
          <w:p w14:paraId="3638F5F5">
            <w:pPr>
              <w:spacing w:before="217" w:line="230" w:lineRule="auto"/>
              <w:ind w:left="187"/>
              <w:rPr>
                <w:rFonts w:ascii="仿宋" w:hAnsi="仿宋" w:eastAsia="仿宋" w:cs="仿宋"/>
                <w:sz w:val="20"/>
                <w:szCs w:val="20"/>
              </w:rPr>
            </w:pPr>
            <w:r>
              <w:rPr>
                <w:rFonts w:ascii="仿宋" w:hAnsi="仿宋" w:eastAsia="仿宋" w:cs="仿宋"/>
                <w:spacing w:val="6"/>
                <w:sz w:val="20"/>
                <w:szCs w:val="20"/>
              </w:rPr>
              <w:t>施工阶段</w:t>
            </w:r>
          </w:p>
        </w:tc>
        <w:tc>
          <w:tcPr>
            <w:tcW w:w="1669" w:type="dxa"/>
            <w:vMerge w:val="restart"/>
            <w:tcBorders>
              <w:top w:val="single" w:color="000000" w:sz="10" w:space="0"/>
              <w:bottom w:val="nil"/>
            </w:tcBorders>
            <w:vAlign w:val="top"/>
          </w:tcPr>
          <w:p w14:paraId="14736907">
            <w:pPr>
              <w:spacing w:before="217" w:line="229" w:lineRule="auto"/>
              <w:ind w:left="425"/>
              <w:rPr>
                <w:rFonts w:ascii="仿宋" w:hAnsi="仿宋" w:eastAsia="仿宋" w:cs="仿宋"/>
                <w:sz w:val="20"/>
                <w:szCs w:val="20"/>
              </w:rPr>
            </w:pPr>
            <w:r>
              <w:rPr>
                <w:rFonts w:ascii="仿宋" w:hAnsi="仿宋" w:eastAsia="仿宋" w:cs="仿宋"/>
                <w:spacing w:val="6"/>
                <w:sz w:val="20"/>
                <w:szCs w:val="20"/>
              </w:rPr>
              <w:t>施工机械</w:t>
            </w:r>
          </w:p>
        </w:tc>
        <w:tc>
          <w:tcPr>
            <w:tcW w:w="5660" w:type="dxa"/>
            <w:gridSpan w:val="11"/>
            <w:tcBorders>
              <w:top w:val="single" w:color="000000" w:sz="10" w:space="0"/>
              <w:right w:val="nil"/>
            </w:tcBorders>
            <w:vAlign w:val="top"/>
          </w:tcPr>
          <w:p w14:paraId="027FFC63">
            <w:pPr>
              <w:pStyle w:val="6"/>
              <w:spacing w:before="54" w:line="221" w:lineRule="auto"/>
              <w:ind w:left="2478"/>
              <w:rPr>
                <w:sz w:val="20"/>
                <w:szCs w:val="20"/>
              </w:rPr>
            </w:pPr>
            <w:r>
              <w:rPr>
                <w:rFonts w:ascii="仿宋" w:hAnsi="仿宋" w:eastAsia="仿宋" w:cs="仿宋"/>
                <w:spacing w:val="4"/>
                <w:sz w:val="20"/>
                <w:szCs w:val="20"/>
              </w:rPr>
              <w:t>距离</w:t>
            </w:r>
            <w:r>
              <w:rPr>
                <w:spacing w:val="4"/>
                <w:sz w:val="20"/>
                <w:szCs w:val="20"/>
              </w:rPr>
              <w:t>(m)</w:t>
            </w:r>
          </w:p>
        </w:tc>
      </w:tr>
      <w:tr w14:paraId="20DA0F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1190" w:type="dxa"/>
            <w:vMerge w:val="continue"/>
            <w:tcBorders>
              <w:top w:val="nil"/>
              <w:left w:val="nil"/>
            </w:tcBorders>
            <w:vAlign w:val="top"/>
          </w:tcPr>
          <w:p w14:paraId="78F79DAC">
            <w:pPr>
              <w:rPr>
                <w:rFonts w:ascii="Arial"/>
                <w:sz w:val="21"/>
              </w:rPr>
            </w:pPr>
          </w:p>
        </w:tc>
        <w:tc>
          <w:tcPr>
            <w:tcW w:w="1669" w:type="dxa"/>
            <w:vMerge w:val="continue"/>
            <w:tcBorders>
              <w:top w:val="nil"/>
            </w:tcBorders>
            <w:vAlign w:val="top"/>
          </w:tcPr>
          <w:p w14:paraId="625C30A0">
            <w:pPr>
              <w:rPr>
                <w:rFonts w:ascii="Arial"/>
                <w:sz w:val="21"/>
              </w:rPr>
            </w:pPr>
          </w:p>
        </w:tc>
        <w:tc>
          <w:tcPr>
            <w:tcW w:w="478" w:type="dxa"/>
            <w:vAlign w:val="top"/>
          </w:tcPr>
          <w:p w14:paraId="7C86BB8C">
            <w:pPr>
              <w:pStyle w:val="6"/>
              <w:spacing w:before="93" w:line="192" w:lineRule="auto"/>
              <w:ind w:left="193"/>
              <w:rPr>
                <w:sz w:val="20"/>
                <w:szCs w:val="20"/>
              </w:rPr>
            </w:pPr>
            <w:r>
              <w:rPr>
                <w:sz w:val="20"/>
                <w:szCs w:val="20"/>
              </w:rPr>
              <w:t>5</w:t>
            </w:r>
          </w:p>
        </w:tc>
        <w:tc>
          <w:tcPr>
            <w:tcW w:w="479" w:type="dxa"/>
            <w:vAlign w:val="top"/>
          </w:tcPr>
          <w:p w14:paraId="7A7F2D47">
            <w:pPr>
              <w:pStyle w:val="6"/>
              <w:spacing w:before="90" w:line="195" w:lineRule="auto"/>
              <w:ind w:left="156"/>
              <w:rPr>
                <w:sz w:val="20"/>
                <w:szCs w:val="20"/>
              </w:rPr>
            </w:pPr>
            <w:r>
              <w:rPr>
                <w:spacing w:val="-8"/>
                <w:sz w:val="20"/>
                <w:szCs w:val="20"/>
              </w:rPr>
              <w:t>10</w:t>
            </w:r>
          </w:p>
        </w:tc>
        <w:tc>
          <w:tcPr>
            <w:tcW w:w="481" w:type="dxa"/>
            <w:vAlign w:val="top"/>
          </w:tcPr>
          <w:p w14:paraId="1BB8B6A5">
            <w:pPr>
              <w:pStyle w:val="6"/>
              <w:spacing w:before="90" w:line="195" w:lineRule="auto"/>
              <w:ind w:left="137"/>
              <w:rPr>
                <w:sz w:val="20"/>
                <w:szCs w:val="20"/>
              </w:rPr>
            </w:pPr>
            <w:r>
              <w:rPr>
                <w:spacing w:val="2"/>
                <w:sz w:val="20"/>
                <w:szCs w:val="20"/>
              </w:rPr>
              <w:t>20</w:t>
            </w:r>
          </w:p>
        </w:tc>
        <w:tc>
          <w:tcPr>
            <w:tcW w:w="481" w:type="dxa"/>
            <w:vAlign w:val="top"/>
          </w:tcPr>
          <w:p w14:paraId="04CFBC8C">
            <w:pPr>
              <w:pStyle w:val="6"/>
              <w:spacing w:before="90" w:line="195" w:lineRule="auto"/>
              <w:ind w:left="140"/>
              <w:rPr>
                <w:sz w:val="20"/>
                <w:szCs w:val="20"/>
              </w:rPr>
            </w:pPr>
            <w:r>
              <w:rPr>
                <w:sz w:val="20"/>
                <w:szCs w:val="20"/>
              </w:rPr>
              <w:t>30</w:t>
            </w:r>
          </w:p>
        </w:tc>
        <w:tc>
          <w:tcPr>
            <w:tcW w:w="481" w:type="dxa"/>
            <w:vAlign w:val="top"/>
          </w:tcPr>
          <w:p w14:paraId="4FC145CA">
            <w:pPr>
              <w:pStyle w:val="6"/>
              <w:spacing w:before="90" w:line="195" w:lineRule="auto"/>
              <w:ind w:left="134"/>
              <w:rPr>
                <w:sz w:val="20"/>
                <w:szCs w:val="20"/>
              </w:rPr>
            </w:pPr>
            <w:r>
              <w:rPr>
                <w:spacing w:val="3"/>
                <w:sz w:val="20"/>
                <w:szCs w:val="20"/>
              </w:rPr>
              <w:t>40</w:t>
            </w:r>
          </w:p>
        </w:tc>
        <w:tc>
          <w:tcPr>
            <w:tcW w:w="481" w:type="dxa"/>
            <w:vAlign w:val="top"/>
          </w:tcPr>
          <w:p w14:paraId="13C01A24">
            <w:pPr>
              <w:pStyle w:val="6"/>
              <w:spacing w:before="90" w:line="195" w:lineRule="auto"/>
              <w:ind w:left="142"/>
              <w:rPr>
                <w:sz w:val="20"/>
                <w:szCs w:val="20"/>
              </w:rPr>
            </w:pPr>
            <w:r>
              <w:rPr>
                <w:sz w:val="20"/>
                <w:szCs w:val="20"/>
              </w:rPr>
              <w:t>50</w:t>
            </w:r>
          </w:p>
        </w:tc>
        <w:tc>
          <w:tcPr>
            <w:tcW w:w="481" w:type="dxa"/>
            <w:vAlign w:val="top"/>
          </w:tcPr>
          <w:p w14:paraId="126C0D0B">
            <w:pPr>
              <w:pStyle w:val="6"/>
              <w:spacing w:before="90" w:line="195" w:lineRule="auto"/>
              <w:ind w:left="140"/>
              <w:rPr>
                <w:sz w:val="20"/>
                <w:szCs w:val="20"/>
              </w:rPr>
            </w:pPr>
            <w:r>
              <w:rPr>
                <w:sz w:val="20"/>
                <w:szCs w:val="20"/>
              </w:rPr>
              <w:t>60</w:t>
            </w:r>
          </w:p>
        </w:tc>
        <w:tc>
          <w:tcPr>
            <w:tcW w:w="481" w:type="dxa"/>
            <w:vAlign w:val="top"/>
          </w:tcPr>
          <w:p w14:paraId="2426A9AF">
            <w:pPr>
              <w:pStyle w:val="6"/>
              <w:spacing w:before="90" w:line="195" w:lineRule="auto"/>
              <w:ind w:left="145"/>
              <w:rPr>
                <w:sz w:val="20"/>
                <w:szCs w:val="20"/>
              </w:rPr>
            </w:pPr>
            <w:r>
              <w:rPr>
                <w:spacing w:val="-3"/>
                <w:sz w:val="20"/>
                <w:szCs w:val="20"/>
              </w:rPr>
              <w:t>80</w:t>
            </w:r>
          </w:p>
        </w:tc>
        <w:tc>
          <w:tcPr>
            <w:tcW w:w="600" w:type="dxa"/>
            <w:vAlign w:val="top"/>
          </w:tcPr>
          <w:p w14:paraId="026A6757">
            <w:pPr>
              <w:pStyle w:val="6"/>
              <w:spacing w:before="90" w:line="195" w:lineRule="auto"/>
              <w:ind w:left="163"/>
              <w:rPr>
                <w:sz w:val="20"/>
                <w:szCs w:val="20"/>
              </w:rPr>
            </w:pPr>
            <w:r>
              <w:rPr>
                <w:spacing w:val="-3"/>
                <w:sz w:val="20"/>
                <w:szCs w:val="20"/>
              </w:rPr>
              <w:t>100</w:t>
            </w:r>
          </w:p>
        </w:tc>
        <w:tc>
          <w:tcPr>
            <w:tcW w:w="600" w:type="dxa"/>
            <w:vAlign w:val="top"/>
          </w:tcPr>
          <w:p w14:paraId="6CCAAE23">
            <w:pPr>
              <w:pStyle w:val="6"/>
              <w:spacing w:before="90" w:line="195" w:lineRule="auto"/>
              <w:ind w:left="163"/>
              <w:rPr>
                <w:sz w:val="20"/>
                <w:szCs w:val="20"/>
              </w:rPr>
            </w:pPr>
            <w:r>
              <w:rPr>
                <w:spacing w:val="-3"/>
                <w:sz w:val="20"/>
                <w:szCs w:val="20"/>
              </w:rPr>
              <w:t>120</w:t>
            </w:r>
          </w:p>
        </w:tc>
        <w:tc>
          <w:tcPr>
            <w:tcW w:w="617" w:type="dxa"/>
            <w:tcBorders>
              <w:right w:val="nil"/>
            </w:tcBorders>
            <w:vAlign w:val="top"/>
          </w:tcPr>
          <w:p w14:paraId="49324E72">
            <w:pPr>
              <w:pStyle w:val="6"/>
              <w:spacing w:before="90" w:line="195" w:lineRule="auto"/>
              <w:ind w:left="153"/>
              <w:rPr>
                <w:sz w:val="20"/>
                <w:szCs w:val="20"/>
              </w:rPr>
            </w:pPr>
            <w:r>
              <w:rPr>
                <w:spacing w:val="3"/>
                <w:sz w:val="20"/>
                <w:szCs w:val="20"/>
              </w:rPr>
              <w:t>200</w:t>
            </w:r>
          </w:p>
        </w:tc>
      </w:tr>
      <w:tr w14:paraId="11FC58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1190" w:type="dxa"/>
            <w:vMerge w:val="restart"/>
            <w:tcBorders>
              <w:left w:val="nil"/>
              <w:bottom w:val="nil"/>
            </w:tcBorders>
            <w:vAlign w:val="top"/>
          </w:tcPr>
          <w:p w14:paraId="28527429">
            <w:pPr>
              <w:spacing w:line="470" w:lineRule="auto"/>
              <w:rPr>
                <w:rFonts w:ascii="Arial"/>
                <w:sz w:val="21"/>
              </w:rPr>
            </w:pPr>
          </w:p>
          <w:p w14:paraId="5CF5C737">
            <w:pPr>
              <w:spacing w:before="65" w:line="232" w:lineRule="auto"/>
              <w:ind w:left="186"/>
              <w:rPr>
                <w:rFonts w:ascii="仿宋" w:hAnsi="仿宋" w:eastAsia="仿宋" w:cs="仿宋"/>
                <w:sz w:val="20"/>
                <w:szCs w:val="20"/>
              </w:rPr>
            </w:pPr>
            <w:r>
              <w:rPr>
                <w:rFonts w:ascii="仿宋" w:hAnsi="仿宋" w:eastAsia="仿宋" w:cs="仿宋"/>
                <w:spacing w:val="6"/>
                <w:sz w:val="20"/>
                <w:szCs w:val="20"/>
              </w:rPr>
              <w:t>路基施工</w:t>
            </w:r>
          </w:p>
        </w:tc>
        <w:tc>
          <w:tcPr>
            <w:tcW w:w="1669" w:type="dxa"/>
            <w:vAlign w:val="top"/>
          </w:tcPr>
          <w:p w14:paraId="1DB30F4D">
            <w:pPr>
              <w:spacing w:before="57" w:line="228" w:lineRule="auto"/>
              <w:ind w:left="321"/>
              <w:rPr>
                <w:rFonts w:ascii="仿宋" w:hAnsi="仿宋" w:eastAsia="仿宋" w:cs="仿宋"/>
                <w:sz w:val="20"/>
                <w:szCs w:val="20"/>
              </w:rPr>
            </w:pPr>
            <w:r>
              <w:rPr>
                <w:rFonts w:ascii="仿宋" w:hAnsi="仿宋" w:eastAsia="仿宋" w:cs="仿宋"/>
                <w:spacing w:val="6"/>
                <w:sz w:val="20"/>
                <w:szCs w:val="20"/>
              </w:rPr>
              <w:t>液压挖掘机</w:t>
            </w:r>
          </w:p>
        </w:tc>
        <w:tc>
          <w:tcPr>
            <w:tcW w:w="478" w:type="dxa"/>
            <w:vAlign w:val="top"/>
          </w:tcPr>
          <w:p w14:paraId="38046C4D">
            <w:pPr>
              <w:pStyle w:val="6"/>
              <w:spacing w:before="92" w:line="195" w:lineRule="auto"/>
              <w:ind w:left="143"/>
              <w:rPr>
                <w:sz w:val="20"/>
                <w:szCs w:val="20"/>
              </w:rPr>
            </w:pPr>
            <w:r>
              <w:rPr>
                <w:spacing w:val="-2"/>
                <w:sz w:val="20"/>
                <w:szCs w:val="20"/>
              </w:rPr>
              <w:t>86</w:t>
            </w:r>
          </w:p>
        </w:tc>
        <w:tc>
          <w:tcPr>
            <w:tcW w:w="479" w:type="dxa"/>
            <w:vAlign w:val="top"/>
          </w:tcPr>
          <w:p w14:paraId="5B2E716B">
            <w:pPr>
              <w:pStyle w:val="6"/>
              <w:spacing w:before="92" w:line="195" w:lineRule="auto"/>
              <w:ind w:left="145"/>
              <w:rPr>
                <w:sz w:val="20"/>
                <w:szCs w:val="20"/>
              </w:rPr>
            </w:pPr>
            <w:r>
              <w:rPr>
                <w:spacing w:val="-2"/>
                <w:sz w:val="20"/>
                <w:szCs w:val="20"/>
              </w:rPr>
              <w:t>80</w:t>
            </w:r>
          </w:p>
        </w:tc>
        <w:tc>
          <w:tcPr>
            <w:tcW w:w="481" w:type="dxa"/>
            <w:vAlign w:val="top"/>
          </w:tcPr>
          <w:p w14:paraId="7CB01EAC">
            <w:pPr>
              <w:pStyle w:val="6"/>
              <w:spacing w:before="92" w:line="195" w:lineRule="auto"/>
              <w:ind w:left="141"/>
              <w:rPr>
                <w:sz w:val="20"/>
                <w:szCs w:val="20"/>
              </w:rPr>
            </w:pPr>
            <w:r>
              <w:rPr>
                <w:spacing w:val="1"/>
                <w:sz w:val="20"/>
                <w:szCs w:val="20"/>
              </w:rPr>
              <w:t>74</w:t>
            </w:r>
          </w:p>
        </w:tc>
        <w:tc>
          <w:tcPr>
            <w:tcW w:w="481" w:type="dxa"/>
            <w:vAlign w:val="top"/>
          </w:tcPr>
          <w:p w14:paraId="0D2F427B">
            <w:pPr>
              <w:pStyle w:val="6"/>
              <w:spacing w:before="92" w:line="195" w:lineRule="auto"/>
              <w:ind w:left="140"/>
              <w:rPr>
                <w:sz w:val="20"/>
                <w:szCs w:val="20"/>
              </w:rPr>
            </w:pPr>
            <w:r>
              <w:rPr>
                <w:spacing w:val="1"/>
                <w:sz w:val="20"/>
                <w:szCs w:val="20"/>
              </w:rPr>
              <w:t>70</w:t>
            </w:r>
          </w:p>
        </w:tc>
        <w:tc>
          <w:tcPr>
            <w:tcW w:w="481" w:type="dxa"/>
            <w:vAlign w:val="top"/>
          </w:tcPr>
          <w:p w14:paraId="531D7AFD">
            <w:pPr>
              <w:pStyle w:val="6"/>
              <w:spacing w:before="92" w:line="195" w:lineRule="auto"/>
              <w:ind w:left="140"/>
              <w:rPr>
                <w:sz w:val="20"/>
                <w:szCs w:val="20"/>
              </w:rPr>
            </w:pPr>
            <w:r>
              <w:rPr>
                <w:sz w:val="20"/>
                <w:szCs w:val="20"/>
              </w:rPr>
              <w:t>68</w:t>
            </w:r>
          </w:p>
        </w:tc>
        <w:tc>
          <w:tcPr>
            <w:tcW w:w="481" w:type="dxa"/>
            <w:vAlign w:val="top"/>
          </w:tcPr>
          <w:p w14:paraId="00E3CFB9">
            <w:pPr>
              <w:pStyle w:val="6"/>
              <w:spacing w:before="92" w:line="195" w:lineRule="auto"/>
              <w:ind w:left="141"/>
              <w:rPr>
                <w:sz w:val="20"/>
                <w:szCs w:val="20"/>
              </w:rPr>
            </w:pPr>
            <w:r>
              <w:rPr>
                <w:sz w:val="20"/>
                <w:szCs w:val="20"/>
              </w:rPr>
              <w:t>66</w:t>
            </w:r>
          </w:p>
        </w:tc>
        <w:tc>
          <w:tcPr>
            <w:tcW w:w="481" w:type="dxa"/>
            <w:vAlign w:val="top"/>
          </w:tcPr>
          <w:p w14:paraId="4A16A00C">
            <w:pPr>
              <w:pStyle w:val="6"/>
              <w:spacing w:before="92" w:line="195" w:lineRule="auto"/>
              <w:ind w:left="140"/>
              <w:rPr>
                <w:sz w:val="20"/>
                <w:szCs w:val="20"/>
              </w:rPr>
            </w:pPr>
            <w:r>
              <w:rPr>
                <w:sz w:val="20"/>
                <w:szCs w:val="20"/>
              </w:rPr>
              <w:t>64</w:t>
            </w:r>
          </w:p>
        </w:tc>
        <w:tc>
          <w:tcPr>
            <w:tcW w:w="481" w:type="dxa"/>
            <w:vAlign w:val="top"/>
          </w:tcPr>
          <w:p w14:paraId="555E14B7">
            <w:pPr>
              <w:pStyle w:val="6"/>
              <w:spacing w:before="92" w:line="195" w:lineRule="auto"/>
              <w:ind w:left="142"/>
              <w:rPr>
                <w:sz w:val="20"/>
                <w:szCs w:val="20"/>
              </w:rPr>
            </w:pPr>
            <w:r>
              <w:rPr>
                <w:sz w:val="20"/>
                <w:szCs w:val="20"/>
              </w:rPr>
              <w:t>62</w:t>
            </w:r>
          </w:p>
        </w:tc>
        <w:tc>
          <w:tcPr>
            <w:tcW w:w="600" w:type="dxa"/>
            <w:vAlign w:val="top"/>
          </w:tcPr>
          <w:p w14:paraId="41E01F8B">
            <w:pPr>
              <w:pStyle w:val="6"/>
              <w:spacing w:before="92" w:line="195" w:lineRule="auto"/>
              <w:ind w:left="201"/>
              <w:rPr>
                <w:sz w:val="20"/>
                <w:szCs w:val="20"/>
              </w:rPr>
            </w:pPr>
            <w:r>
              <w:rPr>
                <w:sz w:val="20"/>
                <w:szCs w:val="20"/>
              </w:rPr>
              <w:t>60</w:t>
            </w:r>
          </w:p>
        </w:tc>
        <w:tc>
          <w:tcPr>
            <w:tcW w:w="600" w:type="dxa"/>
            <w:vAlign w:val="top"/>
          </w:tcPr>
          <w:p w14:paraId="2D767731">
            <w:pPr>
              <w:pStyle w:val="6"/>
              <w:spacing w:before="92" w:line="195" w:lineRule="auto"/>
              <w:ind w:left="202"/>
              <w:rPr>
                <w:sz w:val="20"/>
                <w:szCs w:val="20"/>
              </w:rPr>
            </w:pPr>
            <w:r>
              <w:rPr>
                <w:sz w:val="20"/>
                <w:szCs w:val="20"/>
              </w:rPr>
              <w:t>58</w:t>
            </w:r>
          </w:p>
        </w:tc>
        <w:tc>
          <w:tcPr>
            <w:tcW w:w="617" w:type="dxa"/>
            <w:tcBorders>
              <w:right w:val="nil"/>
            </w:tcBorders>
            <w:vAlign w:val="top"/>
          </w:tcPr>
          <w:p w14:paraId="5DFD2E38">
            <w:pPr>
              <w:pStyle w:val="6"/>
              <w:spacing w:before="92" w:line="195" w:lineRule="auto"/>
              <w:ind w:left="209"/>
              <w:rPr>
                <w:sz w:val="20"/>
                <w:szCs w:val="20"/>
              </w:rPr>
            </w:pPr>
            <w:r>
              <w:rPr>
                <w:sz w:val="20"/>
                <w:szCs w:val="20"/>
              </w:rPr>
              <w:t>54</w:t>
            </w:r>
          </w:p>
        </w:tc>
      </w:tr>
      <w:tr w14:paraId="6372A2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1190" w:type="dxa"/>
            <w:vMerge w:val="continue"/>
            <w:tcBorders>
              <w:top w:val="nil"/>
              <w:left w:val="nil"/>
              <w:bottom w:val="nil"/>
            </w:tcBorders>
            <w:vAlign w:val="top"/>
          </w:tcPr>
          <w:p w14:paraId="6E67576B">
            <w:pPr>
              <w:rPr>
                <w:rFonts w:ascii="Arial"/>
                <w:sz w:val="21"/>
              </w:rPr>
            </w:pPr>
          </w:p>
        </w:tc>
        <w:tc>
          <w:tcPr>
            <w:tcW w:w="1669" w:type="dxa"/>
            <w:vAlign w:val="top"/>
          </w:tcPr>
          <w:p w14:paraId="5083025C">
            <w:pPr>
              <w:spacing w:before="59" w:line="226" w:lineRule="auto"/>
              <w:ind w:left="530"/>
              <w:rPr>
                <w:rFonts w:ascii="仿宋" w:hAnsi="仿宋" w:eastAsia="仿宋" w:cs="仿宋"/>
                <w:sz w:val="20"/>
                <w:szCs w:val="20"/>
              </w:rPr>
            </w:pPr>
            <w:r>
              <w:rPr>
                <w:rFonts w:ascii="仿宋" w:hAnsi="仿宋" w:eastAsia="仿宋" w:cs="仿宋"/>
                <w:spacing w:val="4"/>
                <w:sz w:val="20"/>
                <w:szCs w:val="20"/>
              </w:rPr>
              <w:t>推土机</w:t>
            </w:r>
          </w:p>
        </w:tc>
        <w:tc>
          <w:tcPr>
            <w:tcW w:w="478" w:type="dxa"/>
            <w:vAlign w:val="top"/>
          </w:tcPr>
          <w:p w14:paraId="75818382">
            <w:pPr>
              <w:pStyle w:val="6"/>
              <w:spacing w:before="95" w:line="195" w:lineRule="auto"/>
              <w:ind w:left="143"/>
              <w:rPr>
                <w:sz w:val="20"/>
                <w:szCs w:val="20"/>
              </w:rPr>
            </w:pPr>
            <w:r>
              <w:rPr>
                <w:spacing w:val="-2"/>
                <w:sz w:val="20"/>
                <w:szCs w:val="20"/>
              </w:rPr>
              <w:t>85</w:t>
            </w:r>
          </w:p>
        </w:tc>
        <w:tc>
          <w:tcPr>
            <w:tcW w:w="479" w:type="dxa"/>
            <w:vAlign w:val="top"/>
          </w:tcPr>
          <w:p w14:paraId="4FC682DF">
            <w:pPr>
              <w:pStyle w:val="6"/>
              <w:spacing w:before="95" w:line="195" w:lineRule="auto"/>
              <w:ind w:left="140"/>
              <w:rPr>
                <w:sz w:val="20"/>
                <w:szCs w:val="20"/>
              </w:rPr>
            </w:pPr>
            <w:r>
              <w:rPr>
                <w:spacing w:val="1"/>
                <w:sz w:val="20"/>
                <w:szCs w:val="20"/>
              </w:rPr>
              <w:t>79</w:t>
            </w:r>
          </w:p>
        </w:tc>
        <w:tc>
          <w:tcPr>
            <w:tcW w:w="481" w:type="dxa"/>
            <w:vAlign w:val="top"/>
          </w:tcPr>
          <w:p w14:paraId="3DF07090">
            <w:pPr>
              <w:pStyle w:val="6"/>
              <w:spacing w:before="95" w:line="195" w:lineRule="auto"/>
              <w:ind w:left="141"/>
              <w:rPr>
                <w:sz w:val="20"/>
                <w:szCs w:val="20"/>
              </w:rPr>
            </w:pPr>
            <w:r>
              <w:rPr>
                <w:spacing w:val="1"/>
                <w:sz w:val="20"/>
                <w:szCs w:val="20"/>
              </w:rPr>
              <w:t>73</w:t>
            </w:r>
          </w:p>
        </w:tc>
        <w:tc>
          <w:tcPr>
            <w:tcW w:w="481" w:type="dxa"/>
            <w:vAlign w:val="top"/>
          </w:tcPr>
          <w:p w14:paraId="2255210B">
            <w:pPr>
              <w:pStyle w:val="6"/>
              <w:spacing w:before="95" w:line="195" w:lineRule="auto"/>
              <w:ind w:left="141"/>
              <w:rPr>
                <w:sz w:val="20"/>
                <w:szCs w:val="20"/>
              </w:rPr>
            </w:pPr>
            <w:r>
              <w:rPr>
                <w:sz w:val="20"/>
                <w:szCs w:val="20"/>
              </w:rPr>
              <w:t>69</w:t>
            </w:r>
          </w:p>
        </w:tc>
        <w:tc>
          <w:tcPr>
            <w:tcW w:w="481" w:type="dxa"/>
            <w:vAlign w:val="top"/>
          </w:tcPr>
          <w:p w14:paraId="641E5BA6">
            <w:pPr>
              <w:pStyle w:val="6"/>
              <w:spacing w:before="95" w:line="195" w:lineRule="auto"/>
              <w:ind w:left="140"/>
              <w:rPr>
                <w:sz w:val="20"/>
                <w:szCs w:val="20"/>
              </w:rPr>
            </w:pPr>
            <w:r>
              <w:rPr>
                <w:sz w:val="20"/>
                <w:szCs w:val="20"/>
              </w:rPr>
              <w:t>67</w:t>
            </w:r>
          </w:p>
        </w:tc>
        <w:tc>
          <w:tcPr>
            <w:tcW w:w="481" w:type="dxa"/>
            <w:vAlign w:val="top"/>
          </w:tcPr>
          <w:p w14:paraId="132DAD24">
            <w:pPr>
              <w:pStyle w:val="6"/>
              <w:spacing w:before="95" w:line="195" w:lineRule="auto"/>
              <w:ind w:left="141"/>
              <w:rPr>
                <w:sz w:val="20"/>
                <w:szCs w:val="20"/>
              </w:rPr>
            </w:pPr>
            <w:r>
              <w:rPr>
                <w:sz w:val="20"/>
                <w:szCs w:val="20"/>
              </w:rPr>
              <w:t>65</w:t>
            </w:r>
          </w:p>
        </w:tc>
        <w:tc>
          <w:tcPr>
            <w:tcW w:w="481" w:type="dxa"/>
            <w:vAlign w:val="top"/>
          </w:tcPr>
          <w:p w14:paraId="32084DBB">
            <w:pPr>
              <w:pStyle w:val="6"/>
              <w:spacing w:before="95" w:line="195" w:lineRule="auto"/>
              <w:ind w:left="140"/>
              <w:rPr>
                <w:sz w:val="20"/>
                <w:szCs w:val="20"/>
              </w:rPr>
            </w:pPr>
            <w:r>
              <w:rPr>
                <w:sz w:val="20"/>
                <w:szCs w:val="20"/>
              </w:rPr>
              <w:t>63</w:t>
            </w:r>
          </w:p>
        </w:tc>
        <w:tc>
          <w:tcPr>
            <w:tcW w:w="481" w:type="dxa"/>
            <w:vAlign w:val="top"/>
          </w:tcPr>
          <w:p w14:paraId="7A17363D">
            <w:pPr>
              <w:pStyle w:val="6"/>
              <w:spacing w:before="95" w:line="195" w:lineRule="auto"/>
              <w:ind w:left="142"/>
              <w:rPr>
                <w:sz w:val="20"/>
                <w:szCs w:val="20"/>
              </w:rPr>
            </w:pPr>
            <w:r>
              <w:rPr>
                <w:sz w:val="20"/>
                <w:szCs w:val="20"/>
              </w:rPr>
              <w:t>61</w:t>
            </w:r>
          </w:p>
        </w:tc>
        <w:tc>
          <w:tcPr>
            <w:tcW w:w="600" w:type="dxa"/>
            <w:vAlign w:val="top"/>
          </w:tcPr>
          <w:p w14:paraId="0576E92D">
            <w:pPr>
              <w:pStyle w:val="6"/>
              <w:spacing w:before="95" w:line="195" w:lineRule="auto"/>
              <w:ind w:left="202"/>
              <w:rPr>
                <w:sz w:val="20"/>
                <w:szCs w:val="20"/>
              </w:rPr>
            </w:pPr>
            <w:r>
              <w:rPr>
                <w:sz w:val="20"/>
                <w:szCs w:val="20"/>
              </w:rPr>
              <w:t>59</w:t>
            </w:r>
          </w:p>
        </w:tc>
        <w:tc>
          <w:tcPr>
            <w:tcW w:w="600" w:type="dxa"/>
            <w:vAlign w:val="top"/>
          </w:tcPr>
          <w:p w14:paraId="707B07E1">
            <w:pPr>
              <w:pStyle w:val="6"/>
              <w:spacing w:before="98" w:line="192" w:lineRule="auto"/>
              <w:ind w:left="202"/>
              <w:rPr>
                <w:sz w:val="20"/>
                <w:szCs w:val="20"/>
              </w:rPr>
            </w:pPr>
            <w:r>
              <w:rPr>
                <w:sz w:val="20"/>
                <w:szCs w:val="20"/>
              </w:rPr>
              <w:t>57</w:t>
            </w:r>
          </w:p>
        </w:tc>
        <w:tc>
          <w:tcPr>
            <w:tcW w:w="617" w:type="dxa"/>
            <w:tcBorders>
              <w:right w:val="nil"/>
            </w:tcBorders>
            <w:vAlign w:val="top"/>
          </w:tcPr>
          <w:p w14:paraId="14F769A4">
            <w:pPr>
              <w:pStyle w:val="6"/>
              <w:spacing w:before="95" w:line="195" w:lineRule="auto"/>
              <w:ind w:left="209"/>
              <w:rPr>
                <w:sz w:val="20"/>
                <w:szCs w:val="20"/>
              </w:rPr>
            </w:pPr>
            <w:r>
              <w:rPr>
                <w:sz w:val="20"/>
                <w:szCs w:val="20"/>
              </w:rPr>
              <w:t>53</w:t>
            </w:r>
          </w:p>
        </w:tc>
      </w:tr>
      <w:tr w14:paraId="35A4A9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1190" w:type="dxa"/>
            <w:vMerge w:val="continue"/>
            <w:tcBorders>
              <w:top w:val="nil"/>
              <w:left w:val="nil"/>
              <w:bottom w:val="nil"/>
            </w:tcBorders>
            <w:vAlign w:val="top"/>
          </w:tcPr>
          <w:p w14:paraId="16B68922">
            <w:pPr>
              <w:rPr>
                <w:rFonts w:ascii="Arial"/>
                <w:sz w:val="21"/>
              </w:rPr>
            </w:pPr>
          </w:p>
        </w:tc>
        <w:tc>
          <w:tcPr>
            <w:tcW w:w="1669" w:type="dxa"/>
            <w:vAlign w:val="top"/>
          </w:tcPr>
          <w:p w14:paraId="50EF49DE">
            <w:pPr>
              <w:spacing w:before="62" w:line="224" w:lineRule="auto"/>
              <w:ind w:left="218"/>
              <w:rPr>
                <w:rFonts w:ascii="仿宋" w:hAnsi="仿宋" w:eastAsia="仿宋" w:cs="仿宋"/>
                <w:sz w:val="20"/>
                <w:szCs w:val="20"/>
              </w:rPr>
            </w:pPr>
            <w:r>
              <w:rPr>
                <w:rFonts w:ascii="仿宋" w:hAnsi="仿宋" w:eastAsia="仿宋" w:cs="仿宋"/>
                <w:spacing w:val="6"/>
                <w:sz w:val="20"/>
                <w:szCs w:val="20"/>
              </w:rPr>
              <w:t>混凝土振捣棒</w:t>
            </w:r>
          </w:p>
        </w:tc>
        <w:tc>
          <w:tcPr>
            <w:tcW w:w="478" w:type="dxa"/>
            <w:vAlign w:val="top"/>
          </w:tcPr>
          <w:p w14:paraId="6FEF624C">
            <w:pPr>
              <w:pStyle w:val="6"/>
              <w:spacing w:before="97" w:line="195" w:lineRule="auto"/>
              <w:ind w:left="143"/>
              <w:rPr>
                <w:sz w:val="20"/>
                <w:szCs w:val="20"/>
              </w:rPr>
            </w:pPr>
            <w:r>
              <w:rPr>
                <w:spacing w:val="-2"/>
                <w:sz w:val="20"/>
                <w:szCs w:val="20"/>
              </w:rPr>
              <w:t>84</w:t>
            </w:r>
          </w:p>
        </w:tc>
        <w:tc>
          <w:tcPr>
            <w:tcW w:w="479" w:type="dxa"/>
            <w:vAlign w:val="top"/>
          </w:tcPr>
          <w:p w14:paraId="0A4EF8DB">
            <w:pPr>
              <w:pStyle w:val="6"/>
              <w:spacing w:before="97" w:line="195" w:lineRule="auto"/>
              <w:ind w:left="140"/>
              <w:rPr>
                <w:sz w:val="20"/>
                <w:szCs w:val="20"/>
              </w:rPr>
            </w:pPr>
            <w:r>
              <w:rPr>
                <w:spacing w:val="1"/>
                <w:sz w:val="20"/>
                <w:szCs w:val="20"/>
              </w:rPr>
              <w:t>78</w:t>
            </w:r>
          </w:p>
        </w:tc>
        <w:tc>
          <w:tcPr>
            <w:tcW w:w="481" w:type="dxa"/>
            <w:vAlign w:val="top"/>
          </w:tcPr>
          <w:p w14:paraId="5867DDB1">
            <w:pPr>
              <w:pStyle w:val="6"/>
              <w:spacing w:before="97" w:line="195" w:lineRule="auto"/>
              <w:ind w:left="141"/>
              <w:rPr>
                <w:sz w:val="20"/>
                <w:szCs w:val="20"/>
              </w:rPr>
            </w:pPr>
            <w:r>
              <w:rPr>
                <w:spacing w:val="1"/>
                <w:sz w:val="20"/>
                <w:szCs w:val="20"/>
              </w:rPr>
              <w:t>72</w:t>
            </w:r>
          </w:p>
        </w:tc>
        <w:tc>
          <w:tcPr>
            <w:tcW w:w="481" w:type="dxa"/>
            <w:vAlign w:val="top"/>
          </w:tcPr>
          <w:p w14:paraId="1B32A28B">
            <w:pPr>
              <w:pStyle w:val="6"/>
              <w:spacing w:before="97" w:line="195" w:lineRule="auto"/>
              <w:ind w:left="141"/>
              <w:rPr>
                <w:sz w:val="20"/>
                <w:szCs w:val="20"/>
              </w:rPr>
            </w:pPr>
            <w:r>
              <w:rPr>
                <w:sz w:val="20"/>
                <w:szCs w:val="20"/>
              </w:rPr>
              <w:t>68</w:t>
            </w:r>
          </w:p>
        </w:tc>
        <w:tc>
          <w:tcPr>
            <w:tcW w:w="481" w:type="dxa"/>
            <w:vAlign w:val="top"/>
          </w:tcPr>
          <w:p w14:paraId="22AB023A">
            <w:pPr>
              <w:pStyle w:val="6"/>
              <w:spacing w:before="97" w:line="195" w:lineRule="auto"/>
              <w:ind w:left="140"/>
              <w:rPr>
                <w:sz w:val="20"/>
                <w:szCs w:val="20"/>
              </w:rPr>
            </w:pPr>
            <w:r>
              <w:rPr>
                <w:sz w:val="20"/>
                <w:szCs w:val="20"/>
              </w:rPr>
              <w:t>66</w:t>
            </w:r>
          </w:p>
        </w:tc>
        <w:tc>
          <w:tcPr>
            <w:tcW w:w="481" w:type="dxa"/>
            <w:vAlign w:val="top"/>
          </w:tcPr>
          <w:p w14:paraId="221B6239">
            <w:pPr>
              <w:pStyle w:val="6"/>
              <w:spacing w:before="97" w:line="195" w:lineRule="auto"/>
              <w:ind w:left="141"/>
              <w:rPr>
                <w:sz w:val="20"/>
                <w:szCs w:val="20"/>
              </w:rPr>
            </w:pPr>
            <w:r>
              <w:rPr>
                <w:sz w:val="20"/>
                <w:szCs w:val="20"/>
              </w:rPr>
              <w:t>64</w:t>
            </w:r>
          </w:p>
        </w:tc>
        <w:tc>
          <w:tcPr>
            <w:tcW w:w="481" w:type="dxa"/>
            <w:vAlign w:val="top"/>
          </w:tcPr>
          <w:p w14:paraId="3D261983">
            <w:pPr>
              <w:pStyle w:val="6"/>
              <w:spacing w:before="97" w:line="195" w:lineRule="auto"/>
              <w:ind w:left="140"/>
              <w:rPr>
                <w:sz w:val="20"/>
                <w:szCs w:val="20"/>
              </w:rPr>
            </w:pPr>
            <w:r>
              <w:rPr>
                <w:sz w:val="20"/>
                <w:szCs w:val="20"/>
              </w:rPr>
              <w:t>62</w:t>
            </w:r>
          </w:p>
        </w:tc>
        <w:tc>
          <w:tcPr>
            <w:tcW w:w="481" w:type="dxa"/>
            <w:vAlign w:val="top"/>
          </w:tcPr>
          <w:p w14:paraId="66924724">
            <w:pPr>
              <w:pStyle w:val="6"/>
              <w:spacing w:before="97" w:line="195" w:lineRule="auto"/>
              <w:ind w:left="142"/>
              <w:rPr>
                <w:sz w:val="20"/>
                <w:szCs w:val="20"/>
              </w:rPr>
            </w:pPr>
            <w:r>
              <w:rPr>
                <w:sz w:val="20"/>
                <w:szCs w:val="20"/>
              </w:rPr>
              <w:t>60</w:t>
            </w:r>
          </w:p>
        </w:tc>
        <w:tc>
          <w:tcPr>
            <w:tcW w:w="600" w:type="dxa"/>
            <w:vAlign w:val="top"/>
          </w:tcPr>
          <w:p w14:paraId="6FEEEA9A">
            <w:pPr>
              <w:pStyle w:val="6"/>
              <w:spacing w:before="97" w:line="195" w:lineRule="auto"/>
              <w:ind w:left="202"/>
              <w:rPr>
                <w:sz w:val="20"/>
                <w:szCs w:val="20"/>
              </w:rPr>
            </w:pPr>
            <w:r>
              <w:rPr>
                <w:sz w:val="20"/>
                <w:szCs w:val="20"/>
              </w:rPr>
              <w:t>58</w:t>
            </w:r>
          </w:p>
        </w:tc>
        <w:tc>
          <w:tcPr>
            <w:tcW w:w="600" w:type="dxa"/>
            <w:vAlign w:val="top"/>
          </w:tcPr>
          <w:p w14:paraId="5F71C622">
            <w:pPr>
              <w:pStyle w:val="6"/>
              <w:spacing w:before="97" w:line="195" w:lineRule="auto"/>
              <w:ind w:left="202"/>
              <w:rPr>
                <w:sz w:val="20"/>
                <w:szCs w:val="20"/>
              </w:rPr>
            </w:pPr>
            <w:r>
              <w:rPr>
                <w:sz w:val="20"/>
                <w:szCs w:val="20"/>
              </w:rPr>
              <w:t>56</w:t>
            </w:r>
          </w:p>
        </w:tc>
        <w:tc>
          <w:tcPr>
            <w:tcW w:w="617" w:type="dxa"/>
            <w:tcBorders>
              <w:right w:val="nil"/>
            </w:tcBorders>
            <w:vAlign w:val="top"/>
          </w:tcPr>
          <w:p w14:paraId="240AED37">
            <w:pPr>
              <w:pStyle w:val="6"/>
              <w:spacing w:before="97" w:line="195" w:lineRule="auto"/>
              <w:ind w:left="209"/>
              <w:rPr>
                <w:sz w:val="20"/>
                <w:szCs w:val="20"/>
              </w:rPr>
            </w:pPr>
            <w:r>
              <w:rPr>
                <w:sz w:val="20"/>
                <w:szCs w:val="20"/>
              </w:rPr>
              <w:t>52</w:t>
            </w:r>
          </w:p>
        </w:tc>
      </w:tr>
      <w:tr w14:paraId="30CA9E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1190" w:type="dxa"/>
            <w:vMerge w:val="continue"/>
            <w:tcBorders>
              <w:top w:val="nil"/>
              <w:left w:val="nil"/>
            </w:tcBorders>
            <w:vAlign w:val="top"/>
          </w:tcPr>
          <w:p w14:paraId="05CDC2A8">
            <w:pPr>
              <w:rPr>
                <w:rFonts w:ascii="Arial"/>
                <w:sz w:val="21"/>
              </w:rPr>
            </w:pPr>
          </w:p>
        </w:tc>
        <w:tc>
          <w:tcPr>
            <w:tcW w:w="1669" w:type="dxa"/>
            <w:vAlign w:val="top"/>
          </w:tcPr>
          <w:p w14:paraId="28941A5B">
            <w:pPr>
              <w:spacing w:before="63" w:line="223" w:lineRule="auto"/>
              <w:ind w:left="319"/>
              <w:rPr>
                <w:rFonts w:ascii="仿宋" w:hAnsi="仿宋" w:eastAsia="仿宋" w:cs="仿宋"/>
                <w:sz w:val="20"/>
                <w:szCs w:val="20"/>
              </w:rPr>
            </w:pPr>
            <w:r>
              <w:rPr>
                <w:rFonts w:ascii="仿宋" w:hAnsi="仿宋" w:eastAsia="仿宋" w:cs="仿宋"/>
                <w:spacing w:val="7"/>
                <w:sz w:val="20"/>
                <w:szCs w:val="20"/>
              </w:rPr>
              <w:t>振动压路机</w:t>
            </w:r>
          </w:p>
        </w:tc>
        <w:tc>
          <w:tcPr>
            <w:tcW w:w="478" w:type="dxa"/>
            <w:vAlign w:val="top"/>
          </w:tcPr>
          <w:p w14:paraId="391613FF">
            <w:pPr>
              <w:pStyle w:val="6"/>
              <w:spacing w:before="99" w:line="195" w:lineRule="auto"/>
              <w:ind w:left="143"/>
              <w:rPr>
                <w:sz w:val="20"/>
                <w:szCs w:val="20"/>
              </w:rPr>
            </w:pPr>
            <w:r>
              <w:rPr>
                <w:spacing w:val="-2"/>
                <w:sz w:val="20"/>
                <w:szCs w:val="20"/>
              </w:rPr>
              <w:t>85</w:t>
            </w:r>
          </w:p>
        </w:tc>
        <w:tc>
          <w:tcPr>
            <w:tcW w:w="479" w:type="dxa"/>
            <w:vAlign w:val="top"/>
          </w:tcPr>
          <w:p w14:paraId="7E56D6C3">
            <w:pPr>
              <w:pStyle w:val="6"/>
              <w:spacing w:before="99" w:line="195" w:lineRule="auto"/>
              <w:ind w:left="140"/>
              <w:rPr>
                <w:sz w:val="20"/>
                <w:szCs w:val="20"/>
              </w:rPr>
            </w:pPr>
            <w:r>
              <w:rPr>
                <w:spacing w:val="1"/>
                <w:sz w:val="20"/>
                <w:szCs w:val="20"/>
              </w:rPr>
              <w:t>79</w:t>
            </w:r>
          </w:p>
        </w:tc>
        <w:tc>
          <w:tcPr>
            <w:tcW w:w="481" w:type="dxa"/>
            <w:vAlign w:val="top"/>
          </w:tcPr>
          <w:p w14:paraId="40F151F0">
            <w:pPr>
              <w:pStyle w:val="6"/>
              <w:spacing w:before="99" w:line="195" w:lineRule="auto"/>
              <w:ind w:left="141"/>
              <w:rPr>
                <w:sz w:val="20"/>
                <w:szCs w:val="20"/>
              </w:rPr>
            </w:pPr>
            <w:r>
              <w:rPr>
                <w:spacing w:val="1"/>
                <w:sz w:val="20"/>
                <w:szCs w:val="20"/>
              </w:rPr>
              <w:t>73</w:t>
            </w:r>
          </w:p>
        </w:tc>
        <w:tc>
          <w:tcPr>
            <w:tcW w:w="481" w:type="dxa"/>
            <w:vAlign w:val="top"/>
          </w:tcPr>
          <w:p w14:paraId="713A2952">
            <w:pPr>
              <w:pStyle w:val="6"/>
              <w:spacing w:before="99" w:line="195" w:lineRule="auto"/>
              <w:ind w:left="141"/>
              <w:rPr>
                <w:sz w:val="20"/>
                <w:szCs w:val="20"/>
              </w:rPr>
            </w:pPr>
            <w:r>
              <w:rPr>
                <w:sz w:val="20"/>
                <w:szCs w:val="20"/>
              </w:rPr>
              <w:t>69</w:t>
            </w:r>
          </w:p>
        </w:tc>
        <w:tc>
          <w:tcPr>
            <w:tcW w:w="481" w:type="dxa"/>
            <w:vAlign w:val="top"/>
          </w:tcPr>
          <w:p w14:paraId="652AE659">
            <w:pPr>
              <w:pStyle w:val="6"/>
              <w:spacing w:before="99" w:line="195" w:lineRule="auto"/>
              <w:ind w:left="140"/>
              <w:rPr>
                <w:sz w:val="20"/>
                <w:szCs w:val="20"/>
              </w:rPr>
            </w:pPr>
            <w:r>
              <w:rPr>
                <w:sz w:val="20"/>
                <w:szCs w:val="20"/>
              </w:rPr>
              <w:t>67</w:t>
            </w:r>
          </w:p>
        </w:tc>
        <w:tc>
          <w:tcPr>
            <w:tcW w:w="481" w:type="dxa"/>
            <w:vAlign w:val="top"/>
          </w:tcPr>
          <w:p w14:paraId="55FAB719">
            <w:pPr>
              <w:pStyle w:val="6"/>
              <w:spacing w:before="99" w:line="195" w:lineRule="auto"/>
              <w:ind w:left="141"/>
              <w:rPr>
                <w:sz w:val="20"/>
                <w:szCs w:val="20"/>
              </w:rPr>
            </w:pPr>
            <w:r>
              <w:rPr>
                <w:sz w:val="20"/>
                <w:szCs w:val="20"/>
              </w:rPr>
              <w:t>65</w:t>
            </w:r>
          </w:p>
        </w:tc>
        <w:tc>
          <w:tcPr>
            <w:tcW w:w="481" w:type="dxa"/>
            <w:vAlign w:val="top"/>
          </w:tcPr>
          <w:p w14:paraId="05D2EE68">
            <w:pPr>
              <w:pStyle w:val="6"/>
              <w:spacing w:before="99" w:line="195" w:lineRule="auto"/>
              <w:ind w:left="140"/>
              <w:rPr>
                <w:sz w:val="20"/>
                <w:szCs w:val="20"/>
              </w:rPr>
            </w:pPr>
            <w:r>
              <w:rPr>
                <w:sz w:val="20"/>
                <w:szCs w:val="20"/>
              </w:rPr>
              <w:t>63</w:t>
            </w:r>
          </w:p>
        </w:tc>
        <w:tc>
          <w:tcPr>
            <w:tcW w:w="481" w:type="dxa"/>
            <w:vAlign w:val="top"/>
          </w:tcPr>
          <w:p w14:paraId="593E0F93">
            <w:pPr>
              <w:pStyle w:val="6"/>
              <w:spacing w:before="99" w:line="195" w:lineRule="auto"/>
              <w:ind w:left="142"/>
              <w:rPr>
                <w:sz w:val="20"/>
                <w:szCs w:val="20"/>
              </w:rPr>
            </w:pPr>
            <w:r>
              <w:rPr>
                <w:sz w:val="20"/>
                <w:szCs w:val="20"/>
              </w:rPr>
              <w:t>61</w:t>
            </w:r>
          </w:p>
        </w:tc>
        <w:tc>
          <w:tcPr>
            <w:tcW w:w="600" w:type="dxa"/>
            <w:vAlign w:val="top"/>
          </w:tcPr>
          <w:p w14:paraId="6BAA3E17">
            <w:pPr>
              <w:pStyle w:val="6"/>
              <w:spacing w:before="99" w:line="195" w:lineRule="auto"/>
              <w:ind w:left="202"/>
              <w:rPr>
                <w:sz w:val="20"/>
                <w:szCs w:val="20"/>
              </w:rPr>
            </w:pPr>
            <w:r>
              <w:rPr>
                <w:sz w:val="20"/>
                <w:szCs w:val="20"/>
              </w:rPr>
              <w:t>59</w:t>
            </w:r>
          </w:p>
        </w:tc>
        <w:tc>
          <w:tcPr>
            <w:tcW w:w="600" w:type="dxa"/>
            <w:vAlign w:val="top"/>
          </w:tcPr>
          <w:p w14:paraId="187B3E6E">
            <w:pPr>
              <w:pStyle w:val="6"/>
              <w:spacing w:before="102" w:line="192" w:lineRule="auto"/>
              <w:ind w:left="202"/>
              <w:rPr>
                <w:sz w:val="20"/>
                <w:szCs w:val="20"/>
              </w:rPr>
            </w:pPr>
            <w:r>
              <w:rPr>
                <w:sz w:val="20"/>
                <w:szCs w:val="20"/>
              </w:rPr>
              <w:t>57</w:t>
            </w:r>
          </w:p>
        </w:tc>
        <w:tc>
          <w:tcPr>
            <w:tcW w:w="617" w:type="dxa"/>
            <w:tcBorders>
              <w:right w:val="nil"/>
            </w:tcBorders>
            <w:vAlign w:val="top"/>
          </w:tcPr>
          <w:p w14:paraId="25BA4E4B">
            <w:pPr>
              <w:pStyle w:val="6"/>
              <w:spacing w:before="99" w:line="195" w:lineRule="auto"/>
              <w:ind w:left="209"/>
              <w:rPr>
                <w:sz w:val="20"/>
                <w:szCs w:val="20"/>
              </w:rPr>
            </w:pPr>
            <w:r>
              <w:rPr>
                <w:sz w:val="20"/>
                <w:szCs w:val="20"/>
              </w:rPr>
              <w:t>53</w:t>
            </w:r>
          </w:p>
        </w:tc>
      </w:tr>
      <w:tr w14:paraId="050F3E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1190" w:type="dxa"/>
            <w:vMerge w:val="restart"/>
            <w:tcBorders>
              <w:left w:val="nil"/>
              <w:bottom w:val="nil"/>
            </w:tcBorders>
            <w:vAlign w:val="top"/>
          </w:tcPr>
          <w:p w14:paraId="59D12653">
            <w:pPr>
              <w:spacing w:line="321" w:lineRule="auto"/>
              <w:rPr>
                <w:rFonts w:ascii="Arial"/>
                <w:sz w:val="21"/>
              </w:rPr>
            </w:pPr>
          </w:p>
          <w:p w14:paraId="23678081">
            <w:pPr>
              <w:spacing w:before="65" w:line="232" w:lineRule="auto"/>
              <w:ind w:left="186"/>
              <w:rPr>
                <w:rFonts w:ascii="仿宋" w:hAnsi="仿宋" w:eastAsia="仿宋" w:cs="仿宋"/>
                <w:sz w:val="20"/>
                <w:szCs w:val="20"/>
              </w:rPr>
            </w:pPr>
            <w:r>
              <w:rPr>
                <w:rFonts w:ascii="仿宋" w:hAnsi="仿宋" w:eastAsia="仿宋" w:cs="仿宋"/>
                <w:spacing w:val="6"/>
                <w:sz w:val="20"/>
                <w:szCs w:val="20"/>
              </w:rPr>
              <w:t>路面施工</w:t>
            </w:r>
          </w:p>
        </w:tc>
        <w:tc>
          <w:tcPr>
            <w:tcW w:w="1669" w:type="dxa"/>
            <w:vAlign w:val="top"/>
          </w:tcPr>
          <w:p w14:paraId="2099BB3D">
            <w:pPr>
              <w:spacing w:before="65" w:line="220" w:lineRule="auto"/>
              <w:ind w:left="318"/>
              <w:rPr>
                <w:rFonts w:ascii="仿宋" w:hAnsi="仿宋" w:eastAsia="仿宋" w:cs="仿宋"/>
                <w:sz w:val="20"/>
                <w:szCs w:val="20"/>
              </w:rPr>
            </w:pPr>
            <w:r>
              <w:rPr>
                <w:rFonts w:ascii="仿宋" w:hAnsi="仿宋" w:eastAsia="仿宋" w:cs="仿宋"/>
                <w:spacing w:val="7"/>
                <w:sz w:val="20"/>
                <w:szCs w:val="20"/>
              </w:rPr>
              <w:t>路面切割机</w:t>
            </w:r>
          </w:p>
        </w:tc>
        <w:tc>
          <w:tcPr>
            <w:tcW w:w="478" w:type="dxa"/>
            <w:vAlign w:val="top"/>
          </w:tcPr>
          <w:p w14:paraId="0A3BA8CB">
            <w:pPr>
              <w:pStyle w:val="6"/>
              <w:spacing w:before="101" w:line="195" w:lineRule="auto"/>
              <w:ind w:left="143"/>
              <w:rPr>
                <w:sz w:val="20"/>
                <w:szCs w:val="20"/>
              </w:rPr>
            </w:pPr>
            <w:r>
              <w:rPr>
                <w:spacing w:val="-2"/>
                <w:sz w:val="20"/>
                <w:szCs w:val="20"/>
              </w:rPr>
              <w:t>88</w:t>
            </w:r>
          </w:p>
        </w:tc>
        <w:tc>
          <w:tcPr>
            <w:tcW w:w="479" w:type="dxa"/>
            <w:vAlign w:val="top"/>
          </w:tcPr>
          <w:p w14:paraId="42474CFF">
            <w:pPr>
              <w:pStyle w:val="6"/>
              <w:spacing w:before="101" w:line="195" w:lineRule="auto"/>
              <w:ind w:left="145"/>
              <w:rPr>
                <w:sz w:val="20"/>
                <w:szCs w:val="20"/>
              </w:rPr>
            </w:pPr>
            <w:r>
              <w:rPr>
                <w:spacing w:val="-2"/>
                <w:sz w:val="20"/>
                <w:szCs w:val="20"/>
              </w:rPr>
              <w:t>82</w:t>
            </w:r>
          </w:p>
        </w:tc>
        <w:tc>
          <w:tcPr>
            <w:tcW w:w="481" w:type="dxa"/>
            <w:vAlign w:val="top"/>
          </w:tcPr>
          <w:p w14:paraId="67C30572">
            <w:pPr>
              <w:pStyle w:val="6"/>
              <w:spacing w:before="101" w:line="195" w:lineRule="auto"/>
              <w:ind w:left="141"/>
              <w:rPr>
                <w:sz w:val="20"/>
                <w:szCs w:val="20"/>
              </w:rPr>
            </w:pPr>
            <w:r>
              <w:rPr>
                <w:spacing w:val="1"/>
                <w:sz w:val="20"/>
                <w:szCs w:val="20"/>
              </w:rPr>
              <w:t>76</w:t>
            </w:r>
          </w:p>
        </w:tc>
        <w:tc>
          <w:tcPr>
            <w:tcW w:w="481" w:type="dxa"/>
            <w:vAlign w:val="top"/>
          </w:tcPr>
          <w:p w14:paraId="275567CA">
            <w:pPr>
              <w:pStyle w:val="6"/>
              <w:spacing w:before="101" w:line="195" w:lineRule="auto"/>
              <w:ind w:left="140"/>
              <w:rPr>
                <w:sz w:val="20"/>
                <w:szCs w:val="20"/>
              </w:rPr>
            </w:pPr>
            <w:r>
              <w:rPr>
                <w:spacing w:val="1"/>
                <w:sz w:val="20"/>
                <w:szCs w:val="20"/>
              </w:rPr>
              <w:t>72</w:t>
            </w:r>
          </w:p>
        </w:tc>
        <w:tc>
          <w:tcPr>
            <w:tcW w:w="481" w:type="dxa"/>
            <w:vAlign w:val="top"/>
          </w:tcPr>
          <w:p w14:paraId="3C541B01">
            <w:pPr>
              <w:pStyle w:val="6"/>
              <w:spacing w:before="101" w:line="195" w:lineRule="auto"/>
              <w:ind w:left="139"/>
              <w:rPr>
                <w:sz w:val="20"/>
                <w:szCs w:val="20"/>
              </w:rPr>
            </w:pPr>
            <w:r>
              <w:rPr>
                <w:spacing w:val="1"/>
                <w:sz w:val="20"/>
                <w:szCs w:val="20"/>
              </w:rPr>
              <w:t>70</w:t>
            </w:r>
          </w:p>
        </w:tc>
        <w:tc>
          <w:tcPr>
            <w:tcW w:w="481" w:type="dxa"/>
            <w:vAlign w:val="top"/>
          </w:tcPr>
          <w:p w14:paraId="08823588">
            <w:pPr>
              <w:pStyle w:val="6"/>
              <w:spacing w:before="101" w:line="195" w:lineRule="auto"/>
              <w:ind w:left="141"/>
              <w:rPr>
                <w:sz w:val="20"/>
                <w:szCs w:val="20"/>
              </w:rPr>
            </w:pPr>
            <w:r>
              <w:rPr>
                <w:sz w:val="20"/>
                <w:szCs w:val="20"/>
              </w:rPr>
              <w:t>68</w:t>
            </w:r>
          </w:p>
        </w:tc>
        <w:tc>
          <w:tcPr>
            <w:tcW w:w="481" w:type="dxa"/>
            <w:vAlign w:val="top"/>
          </w:tcPr>
          <w:p w14:paraId="1EEE6506">
            <w:pPr>
              <w:pStyle w:val="6"/>
              <w:spacing w:before="101" w:line="195" w:lineRule="auto"/>
              <w:ind w:left="140"/>
              <w:rPr>
                <w:sz w:val="20"/>
                <w:szCs w:val="20"/>
              </w:rPr>
            </w:pPr>
            <w:r>
              <w:rPr>
                <w:sz w:val="20"/>
                <w:szCs w:val="20"/>
              </w:rPr>
              <w:t>66</w:t>
            </w:r>
          </w:p>
        </w:tc>
        <w:tc>
          <w:tcPr>
            <w:tcW w:w="481" w:type="dxa"/>
            <w:vAlign w:val="top"/>
          </w:tcPr>
          <w:p w14:paraId="790D63C7">
            <w:pPr>
              <w:pStyle w:val="6"/>
              <w:spacing w:before="101" w:line="195" w:lineRule="auto"/>
              <w:ind w:left="142"/>
              <w:rPr>
                <w:sz w:val="20"/>
                <w:szCs w:val="20"/>
              </w:rPr>
            </w:pPr>
            <w:r>
              <w:rPr>
                <w:sz w:val="20"/>
                <w:szCs w:val="20"/>
              </w:rPr>
              <w:t>64</w:t>
            </w:r>
          </w:p>
        </w:tc>
        <w:tc>
          <w:tcPr>
            <w:tcW w:w="600" w:type="dxa"/>
            <w:vAlign w:val="top"/>
          </w:tcPr>
          <w:p w14:paraId="534C6126">
            <w:pPr>
              <w:pStyle w:val="6"/>
              <w:spacing w:before="101" w:line="195" w:lineRule="auto"/>
              <w:ind w:left="201"/>
              <w:rPr>
                <w:sz w:val="20"/>
                <w:szCs w:val="20"/>
              </w:rPr>
            </w:pPr>
            <w:r>
              <w:rPr>
                <w:sz w:val="20"/>
                <w:szCs w:val="20"/>
              </w:rPr>
              <w:t>62</w:t>
            </w:r>
          </w:p>
        </w:tc>
        <w:tc>
          <w:tcPr>
            <w:tcW w:w="600" w:type="dxa"/>
            <w:vAlign w:val="top"/>
          </w:tcPr>
          <w:p w14:paraId="166C8614">
            <w:pPr>
              <w:pStyle w:val="6"/>
              <w:spacing w:before="101" w:line="195" w:lineRule="auto"/>
              <w:ind w:left="201"/>
              <w:rPr>
                <w:sz w:val="20"/>
                <w:szCs w:val="20"/>
              </w:rPr>
            </w:pPr>
            <w:r>
              <w:rPr>
                <w:sz w:val="20"/>
                <w:szCs w:val="20"/>
              </w:rPr>
              <w:t>60</w:t>
            </w:r>
          </w:p>
        </w:tc>
        <w:tc>
          <w:tcPr>
            <w:tcW w:w="617" w:type="dxa"/>
            <w:tcBorders>
              <w:right w:val="nil"/>
            </w:tcBorders>
            <w:vAlign w:val="top"/>
          </w:tcPr>
          <w:p w14:paraId="5F952F73">
            <w:pPr>
              <w:pStyle w:val="6"/>
              <w:spacing w:before="101" w:line="195" w:lineRule="auto"/>
              <w:ind w:left="209"/>
              <w:rPr>
                <w:sz w:val="20"/>
                <w:szCs w:val="20"/>
              </w:rPr>
            </w:pPr>
            <w:r>
              <w:rPr>
                <w:sz w:val="20"/>
                <w:szCs w:val="20"/>
              </w:rPr>
              <w:t>56</w:t>
            </w:r>
          </w:p>
        </w:tc>
      </w:tr>
      <w:tr w14:paraId="472A01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1190" w:type="dxa"/>
            <w:vMerge w:val="continue"/>
            <w:tcBorders>
              <w:top w:val="nil"/>
              <w:left w:val="nil"/>
              <w:bottom w:val="nil"/>
            </w:tcBorders>
            <w:vAlign w:val="top"/>
          </w:tcPr>
          <w:p w14:paraId="0DC57CCD">
            <w:pPr>
              <w:rPr>
                <w:rFonts w:ascii="Arial"/>
                <w:sz w:val="21"/>
              </w:rPr>
            </w:pPr>
          </w:p>
        </w:tc>
        <w:tc>
          <w:tcPr>
            <w:tcW w:w="1669" w:type="dxa"/>
            <w:vAlign w:val="top"/>
          </w:tcPr>
          <w:p w14:paraId="6E520A21">
            <w:pPr>
              <w:spacing w:before="69" w:line="217" w:lineRule="auto"/>
              <w:ind w:left="327"/>
              <w:rPr>
                <w:rFonts w:ascii="仿宋" w:hAnsi="仿宋" w:eastAsia="仿宋" w:cs="仿宋"/>
                <w:sz w:val="20"/>
                <w:szCs w:val="20"/>
              </w:rPr>
            </w:pPr>
            <w:r>
              <w:rPr>
                <w:rFonts w:ascii="仿宋" w:hAnsi="仿宋" w:eastAsia="仿宋" w:cs="仿宋"/>
                <w:spacing w:val="5"/>
                <w:sz w:val="20"/>
                <w:szCs w:val="20"/>
              </w:rPr>
              <w:t>商砼搅拌车</w:t>
            </w:r>
          </w:p>
        </w:tc>
        <w:tc>
          <w:tcPr>
            <w:tcW w:w="478" w:type="dxa"/>
            <w:vAlign w:val="top"/>
          </w:tcPr>
          <w:p w14:paraId="0682DBAD">
            <w:pPr>
              <w:pStyle w:val="6"/>
              <w:spacing w:before="106" w:line="195" w:lineRule="auto"/>
              <w:ind w:left="143"/>
              <w:rPr>
                <w:sz w:val="20"/>
                <w:szCs w:val="20"/>
              </w:rPr>
            </w:pPr>
            <w:r>
              <w:rPr>
                <w:spacing w:val="-2"/>
                <w:sz w:val="20"/>
                <w:szCs w:val="20"/>
              </w:rPr>
              <w:t>87</w:t>
            </w:r>
          </w:p>
        </w:tc>
        <w:tc>
          <w:tcPr>
            <w:tcW w:w="479" w:type="dxa"/>
            <w:vAlign w:val="top"/>
          </w:tcPr>
          <w:p w14:paraId="5970E41D">
            <w:pPr>
              <w:pStyle w:val="6"/>
              <w:spacing w:before="106" w:line="195" w:lineRule="auto"/>
              <w:ind w:left="145"/>
              <w:rPr>
                <w:sz w:val="20"/>
                <w:szCs w:val="20"/>
              </w:rPr>
            </w:pPr>
            <w:r>
              <w:rPr>
                <w:spacing w:val="-2"/>
                <w:sz w:val="20"/>
                <w:szCs w:val="20"/>
              </w:rPr>
              <w:t>81</w:t>
            </w:r>
          </w:p>
        </w:tc>
        <w:tc>
          <w:tcPr>
            <w:tcW w:w="481" w:type="dxa"/>
            <w:vAlign w:val="top"/>
          </w:tcPr>
          <w:p w14:paraId="57477ABE">
            <w:pPr>
              <w:pStyle w:val="6"/>
              <w:spacing w:before="109" w:line="192" w:lineRule="auto"/>
              <w:ind w:left="141"/>
              <w:rPr>
                <w:sz w:val="20"/>
                <w:szCs w:val="20"/>
              </w:rPr>
            </w:pPr>
            <w:r>
              <w:rPr>
                <w:spacing w:val="1"/>
                <w:sz w:val="20"/>
                <w:szCs w:val="20"/>
              </w:rPr>
              <w:t>75</w:t>
            </w:r>
          </w:p>
        </w:tc>
        <w:tc>
          <w:tcPr>
            <w:tcW w:w="481" w:type="dxa"/>
            <w:vAlign w:val="top"/>
          </w:tcPr>
          <w:p w14:paraId="2B16643F">
            <w:pPr>
              <w:pStyle w:val="6"/>
              <w:spacing w:before="106" w:line="195" w:lineRule="auto"/>
              <w:ind w:left="140"/>
              <w:rPr>
                <w:sz w:val="20"/>
                <w:szCs w:val="20"/>
              </w:rPr>
            </w:pPr>
            <w:r>
              <w:rPr>
                <w:spacing w:val="1"/>
                <w:sz w:val="20"/>
                <w:szCs w:val="20"/>
              </w:rPr>
              <w:t>71</w:t>
            </w:r>
          </w:p>
        </w:tc>
        <w:tc>
          <w:tcPr>
            <w:tcW w:w="481" w:type="dxa"/>
            <w:vAlign w:val="top"/>
          </w:tcPr>
          <w:p w14:paraId="044729C8">
            <w:pPr>
              <w:pStyle w:val="6"/>
              <w:spacing w:before="106" w:line="195" w:lineRule="auto"/>
              <w:ind w:left="140"/>
              <w:rPr>
                <w:sz w:val="20"/>
                <w:szCs w:val="20"/>
              </w:rPr>
            </w:pPr>
            <w:r>
              <w:rPr>
                <w:sz w:val="20"/>
                <w:szCs w:val="20"/>
              </w:rPr>
              <w:t>69</w:t>
            </w:r>
          </w:p>
        </w:tc>
        <w:tc>
          <w:tcPr>
            <w:tcW w:w="481" w:type="dxa"/>
            <w:vAlign w:val="top"/>
          </w:tcPr>
          <w:p w14:paraId="108B45C7">
            <w:pPr>
              <w:pStyle w:val="6"/>
              <w:spacing w:before="106" w:line="195" w:lineRule="auto"/>
              <w:ind w:left="141"/>
              <w:rPr>
                <w:sz w:val="20"/>
                <w:szCs w:val="20"/>
              </w:rPr>
            </w:pPr>
            <w:r>
              <w:rPr>
                <w:sz w:val="20"/>
                <w:szCs w:val="20"/>
              </w:rPr>
              <w:t>67</w:t>
            </w:r>
          </w:p>
        </w:tc>
        <w:tc>
          <w:tcPr>
            <w:tcW w:w="481" w:type="dxa"/>
            <w:vAlign w:val="top"/>
          </w:tcPr>
          <w:p w14:paraId="5AD60DCB">
            <w:pPr>
              <w:pStyle w:val="6"/>
              <w:spacing w:before="106" w:line="195" w:lineRule="auto"/>
              <w:ind w:left="140"/>
              <w:rPr>
                <w:sz w:val="20"/>
                <w:szCs w:val="20"/>
              </w:rPr>
            </w:pPr>
            <w:r>
              <w:rPr>
                <w:sz w:val="20"/>
                <w:szCs w:val="20"/>
              </w:rPr>
              <w:t>65</w:t>
            </w:r>
          </w:p>
        </w:tc>
        <w:tc>
          <w:tcPr>
            <w:tcW w:w="481" w:type="dxa"/>
            <w:vAlign w:val="top"/>
          </w:tcPr>
          <w:p w14:paraId="1A0F1083">
            <w:pPr>
              <w:pStyle w:val="6"/>
              <w:spacing w:before="106" w:line="195" w:lineRule="auto"/>
              <w:ind w:left="142"/>
              <w:rPr>
                <w:sz w:val="20"/>
                <w:szCs w:val="20"/>
              </w:rPr>
            </w:pPr>
            <w:r>
              <w:rPr>
                <w:sz w:val="20"/>
                <w:szCs w:val="20"/>
              </w:rPr>
              <w:t>63</w:t>
            </w:r>
          </w:p>
        </w:tc>
        <w:tc>
          <w:tcPr>
            <w:tcW w:w="600" w:type="dxa"/>
            <w:vAlign w:val="top"/>
          </w:tcPr>
          <w:p w14:paraId="20B073FD">
            <w:pPr>
              <w:pStyle w:val="6"/>
              <w:spacing w:before="106" w:line="195" w:lineRule="auto"/>
              <w:ind w:left="201"/>
              <w:rPr>
                <w:sz w:val="20"/>
                <w:szCs w:val="20"/>
              </w:rPr>
            </w:pPr>
            <w:r>
              <w:rPr>
                <w:sz w:val="20"/>
                <w:szCs w:val="20"/>
              </w:rPr>
              <w:t>61</w:t>
            </w:r>
          </w:p>
        </w:tc>
        <w:tc>
          <w:tcPr>
            <w:tcW w:w="600" w:type="dxa"/>
            <w:vAlign w:val="top"/>
          </w:tcPr>
          <w:p w14:paraId="2A899AF3">
            <w:pPr>
              <w:pStyle w:val="6"/>
              <w:spacing w:before="106" w:line="195" w:lineRule="auto"/>
              <w:ind w:left="202"/>
              <w:rPr>
                <w:sz w:val="20"/>
                <w:szCs w:val="20"/>
              </w:rPr>
            </w:pPr>
            <w:r>
              <w:rPr>
                <w:sz w:val="20"/>
                <w:szCs w:val="20"/>
              </w:rPr>
              <w:t>59</w:t>
            </w:r>
          </w:p>
        </w:tc>
        <w:tc>
          <w:tcPr>
            <w:tcW w:w="617" w:type="dxa"/>
            <w:tcBorders>
              <w:right w:val="nil"/>
            </w:tcBorders>
            <w:vAlign w:val="top"/>
          </w:tcPr>
          <w:p w14:paraId="30CBD5F8">
            <w:pPr>
              <w:pStyle w:val="6"/>
              <w:spacing w:before="109" w:line="192" w:lineRule="auto"/>
              <w:ind w:left="209"/>
              <w:rPr>
                <w:sz w:val="20"/>
                <w:szCs w:val="20"/>
              </w:rPr>
            </w:pPr>
            <w:r>
              <w:rPr>
                <w:sz w:val="20"/>
                <w:szCs w:val="20"/>
              </w:rPr>
              <w:t>55</w:t>
            </w:r>
          </w:p>
        </w:tc>
      </w:tr>
      <w:tr w14:paraId="4DAE5C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1190" w:type="dxa"/>
            <w:vMerge w:val="continue"/>
            <w:tcBorders>
              <w:top w:val="nil"/>
              <w:left w:val="nil"/>
            </w:tcBorders>
            <w:vAlign w:val="top"/>
          </w:tcPr>
          <w:p w14:paraId="38E62ED9">
            <w:pPr>
              <w:rPr>
                <w:rFonts w:ascii="Arial"/>
                <w:sz w:val="21"/>
              </w:rPr>
            </w:pPr>
          </w:p>
        </w:tc>
        <w:tc>
          <w:tcPr>
            <w:tcW w:w="1669" w:type="dxa"/>
            <w:vAlign w:val="top"/>
          </w:tcPr>
          <w:p w14:paraId="19583B17">
            <w:pPr>
              <w:spacing w:before="72" w:line="215" w:lineRule="auto"/>
              <w:ind w:left="529"/>
              <w:rPr>
                <w:rFonts w:ascii="仿宋" w:hAnsi="仿宋" w:eastAsia="仿宋" w:cs="仿宋"/>
                <w:sz w:val="20"/>
                <w:szCs w:val="20"/>
              </w:rPr>
            </w:pPr>
            <w:r>
              <w:rPr>
                <w:rFonts w:ascii="仿宋" w:hAnsi="仿宋" w:eastAsia="仿宋" w:cs="仿宋"/>
                <w:spacing w:val="5"/>
                <w:sz w:val="20"/>
                <w:szCs w:val="20"/>
              </w:rPr>
              <w:t>摊铺机</w:t>
            </w:r>
          </w:p>
        </w:tc>
        <w:tc>
          <w:tcPr>
            <w:tcW w:w="478" w:type="dxa"/>
            <w:vAlign w:val="top"/>
          </w:tcPr>
          <w:p w14:paraId="2FCF79CA">
            <w:pPr>
              <w:pStyle w:val="6"/>
              <w:spacing w:before="107" w:line="195" w:lineRule="auto"/>
              <w:ind w:left="143"/>
              <w:rPr>
                <w:sz w:val="20"/>
                <w:szCs w:val="20"/>
              </w:rPr>
            </w:pPr>
            <w:r>
              <w:rPr>
                <w:spacing w:val="-2"/>
                <w:sz w:val="20"/>
                <w:szCs w:val="20"/>
              </w:rPr>
              <w:t>87</w:t>
            </w:r>
          </w:p>
        </w:tc>
        <w:tc>
          <w:tcPr>
            <w:tcW w:w="479" w:type="dxa"/>
            <w:vAlign w:val="top"/>
          </w:tcPr>
          <w:p w14:paraId="2E469C5E">
            <w:pPr>
              <w:pStyle w:val="6"/>
              <w:spacing w:before="107" w:line="195" w:lineRule="auto"/>
              <w:ind w:left="145"/>
              <w:rPr>
                <w:sz w:val="20"/>
                <w:szCs w:val="20"/>
              </w:rPr>
            </w:pPr>
            <w:r>
              <w:rPr>
                <w:spacing w:val="-2"/>
                <w:sz w:val="20"/>
                <w:szCs w:val="20"/>
              </w:rPr>
              <w:t>81</w:t>
            </w:r>
          </w:p>
        </w:tc>
        <w:tc>
          <w:tcPr>
            <w:tcW w:w="481" w:type="dxa"/>
            <w:vAlign w:val="top"/>
          </w:tcPr>
          <w:p w14:paraId="2ED54315">
            <w:pPr>
              <w:pStyle w:val="6"/>
              <w:spacing w:before="110" w:line="192" w:lineRule="auto"/>
              <w:ind w:left="141"/>
              <w:rPr>
                <w:sz w:val="20"/>
                <w:szCs w:val="20"/>
              </w:rPr>
            </w:pPr>
            <w:r>
              <w:rPr>
                <w:spacing w:val="1"/>
                <w:sz w:val="20"/>
                <w:szCs w:val="20"/>
              </w:rPr>
              <w:t>75</w:t>
            </w:r>
          </w:p>
        </w:tc>
        <w:tc>
          <w:tcPr>
            <w:tcW w:w="481" w:type="dxa"/>
            <w:vAlign w:val="top"/>
          </w:tcPr>
          <w:p w14:paraId="534BCB94">
            <w:pPr>
              <w:pStyle w:val="6"/>
              <w:spacing w:before="107" w:line="195" w:lineRule="auto"/>
              <w:ind w:left="140"/>
              <w:rPr>
                <w:sz w:val="20"/>
                <w:szCs w:val="20"/>
              </w:rPr>
            </w:pPr>
            <w:r>
              <w:rPr>
                <w:spacing w:val="1"/>
                <w:sz w:val="20"/>
                <w:szCs w:val="20"/>
              </w:rPr>
              <w:t>71</w:t>
            </w:r>
          </w:p>
        </w:tc>
        <w:tc>
          <w:tcPr>
            <w:tcW w:w="481" w:type="dxa"/>
            <w:vAlign w:val="top"/>
          </w:tcPr>
          <w:p w14:paraId="6744AA91">
            <w:pPr>
              <w:pStyle w:val="6"/>
              <w:spacing w:before="107" w:line="195" w:lineRule="auto"/>
              <w:ind w:left="140"/>
              <w:rPr>
                <w:sz w:val="20"/>
                <w:szCs w:val="20"/>
              </w:rPr>
            </w:pPr>
            <w:r>
              <w:rPr>
                <w:sz w:val="20"/>
                <w:szCs w:val="20"/>
              </w:rPr>
              <w:t>69</w:t>
            </w:r>
          </w:p>
        </w:tc>
        <w:tc>
          <w:tcPr>
            <w:tcW w:w="481" w:type="dxa"/>
            <w:vAlign w:val="top"/>
          </w:tcPr>
          <w:p w14:paraId="106A0C49">
            <w:pPr>
              <w:pStyle w:val="6"/>
              <w:spacing w:before="107" w:line="195" w:lineRule="auto"/>
              <w:ind w:left="141"/>
              <w:rPr>
                <w:sz w:val="20"/>
                <w:szCs w:val="20"/>
              </w:rPr>
            </w:pPr>
            <w:r>
              <w:rPr>
                <w:sz w:val="20"/>
                <w:szCs w:val="20"/>
              </w:rPr>
              <w:t>67</w:t>
            </w:r>
          </w:p>
        </w:tc>
        <w:tc>
          <w:tcPr>
            <w:tcW w:w="481" w:type="dxa"/>
            <w:vAlign w:val="top"/>
          </w:tcPr>
          <w:p w14:paraId="394D5F0E">
            <w:pPr>
              <w:pStyle w:val="6"/>
              <w:spacing w:before="107" w:line="195" w:lineRule="auto"/>
              <w:ind w:left="140"/>
              <w:rPr>
                <w:sz w:val="20"/>
                <w:szCs w:val="20"/>
              </w:rPr>
            </w:pPr>
            <w:r>
              <w:rPr>
                <w:sz w:val="20"/>
                <w:szCs w:val="20"/>
              </w:rPr>
              <w:t>65</w:t>
            </w:r>
          </w:p>
        </w:tc>
        <w:tc>
          <w:tcPr>
            <w:tcW w:w="481" w:type="dxa"/>
            <w:vAlign w:val="top"/>
          </w:tcPr>
          <w:p w14:paraId="7BF8B7D1">
            <w:pPr>
              <w:pStyle w:val="6"/>
              <w:spacing w:before="107" w:line="195" w:lineRule="auto"/>
              <w:ind w:left="142"/>
              <w:rPr>
                <w:sz w:val="20"/>
                <w:szCs w:val="20"/>
              </w:rPr>
            </w:pPr>
            <w:r>
              <w:rPr>
                <w:sz w:val="20"/>
                <w:szCs w:val="20"/>
              </w:rPr>
              <w:t>63</w:t>
            </w:r>
          </w:p>
        </w:tc>
        <w:tc>
          <w:tcPr>
            <w:tcW w:w="600" w:type="dxa"/>
            <w:vAlign w:val="top"/>
          </w:tcPr>
          <w:p w14:paraId="62419023">
            <w:pPr>
              <w:pStyle w:val="6"/>
              <w:spacing w:before="107" w:line="195" w:lineRule="auto"/>
              <w:ind w:left="201"/>
              <w:rPr>
                <w:sz w:val="20"/>
                <w:szCs w:val="20"/>
              </w:rPr>
            </w:pPr>
            <w:r>
              <w:rPr>
                <w:sz w:val="20"/>
                <w:szCs w:val="20"/>
              </w:rPr>
              <w:t>61</w:t>
            </w:r>
          </w:p>
        </w:tc>
        <w:tc>
          <w:tcPr>
            <w:tcW w:w="600" w:type="dxa"/>
            <w:vAlign w:val="top"/>
          </w:tcPr>
          <w:p w14:paraId="6E1A25FE">
            <w:pPr>
              <w:pStyle w:val="6"/>
              <w:spacing w:before="107" w:line="195" w:lineRule="auto"/>
              <w:ind w:left="202"/>
              <w:rPr>
                <w:sz w:val="20"/>
                <w:szCs w:val="20"/>
              </w:rPr>
            </w:pPr>
            <w:r>
              <w:rPr>
                <w:sz w:val="20"/>
                <w:szCs w:val="20"/>
              </w:rPr>
              <w:t>59</w:t>
            </w:r>
          </w:p>
        </w:tc>
        <w:tc>
          <w:tcPr>
            <w:tcW w:w="617" w:type="dxa"/>
            <w:tcBorders>
              <w:right w:val="nil"/>
            </w:tcBorders>
            <w:vAlign w:val="top"/>
          </w:tcPr>
          <w:p w14:paraId="1979A5D9">
            <w:pPr>
              <w:pStyle w:val="6"/>
              <w:spacing w:before="110" w:line="192" w:lineRule="auto"/>
              <w:ind w:left="209"/>
              <w:rPr>
                <w:sz w:val="20"/>
                <w:szCs w:val="20"/>
              </w:rPr>
            </w:pPr>
            <w:r>
              <w:rPr>
                <w:sz w:val="20"/>
                <w:szCs w:val="20"/>
              </w:rPr>
              <w:t>55</w:t>
            </w:r>
          </w:p>
        </w:tc>
      </w:tr>
      <w:tr w14:paraId="51848B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trPr>
        <w:tc>
          <w:tcPr>
            <w:tcW w:w="2859" w:type="dxa"/>
            <w:gridSpan w:val="2"/>
            <w:tcBorders>
              <w:left w:val="nil"/>
              <w:bottom w:val="single" w:color="000000" w:sz="10" w:space="0"/>
            </w:tcBorders>
            <w:vAlign w:val="top"/>
          </w:tcPr>
          <w:p w14:paraId="4424A2BE">
            <w:pPr>
              <w:spacing w:before="73" w:line="228" w:lineRule="auto"/>
              <w:ind w:left="956"/>
              <w:rPr>
                <w:rFonts w:ascii="仿宋" w:hAnsi="仿宋" w:eastAsia="仿宋" w:cs="仿宋"/>
                <w:sz w:val="20"/>
                <w:szCs w:val="20"/>
              </w:rPr>
            </w:pPr>
            <w:r>
              <w:rPr>
                <w:rFonts w:ascii="仿宋" w:hAnsi="仿宋" w:eastAsia="仿宋" w:cs="仿宋"/>
                <w:spacing w:val="-1"/>
                <w:sz w:val="20"/>
                <w:szCs w:val="20"/>
              </w:rPr>
              <w:t>自卸运输车</w:t>
            </w:r>
          </w:p>
        </w:tc>
        <w:tc>
          <w:tcPr>
            <w:tcW w:w="478" w:type="dxa"/>
            <w:tcBorders>
              <w:bottom w:val="single" w:color="000000" w:sz="10" w:space="0"/>
            </w:tcBorders>
            <w:vAlign w:val="top"/>
          </w:tcPr>
          <w:p w14:paraId="0AE6EDED">
            <w:pPr>
              <w:pStyle w:val="6"/>
              <w:spacing w:before="109" w:line="195" w:lineRule="auto"/>
              <w:ind w:left="138"/>
              <w:rPr>
                <w:sz w:val="20"/>
                <w:szCs w:val="20"/>
              </w:rPr>
            </w:pPr>
            <w:r>
              <w:rPr>
                <w:sz w:val="20"/>
                <w:szCs w:val="20"/>
              </w:rPr>
              <w:t>92</w:t>
            </w:r>
          </w:p>
        </w:tc>
        <w:tc>
          <w:tcPr>
            <w:tcW w:w="479" w:type="dxa"/>
            <w:tcBorders>
              <w:bottom w:val="single" w:color="000000" w:sz="10" w:space="0"/>
            </w:tcBorders>
            <w:vAlign w:val="top"/>
          </w:tcPr>
          <w:p w14:paraId="53CAB79B">
            <w:pPr>
              <w:pStyle w:val="6"/>
              <w:spacing w:before="109" w:line="195" w:lineRule="auto"/>
              <w:ind w:left="145"/>
              <w:rPr>
                <w:sz w:val="20"/>
                <w:szCs w:val="20"/>
              </w:rPr>
            </w:pPr>
            <w:r>
              <w:rPr>
                <w:spacing w:val="-2"/>
                <w:sz w:val="20"/>
                <w:szCs w:val="20"/>
              </w:rPr>
              <w:t>86</w:t>
            </w:r>
          </w:p>
        </w:tc>
        <w:tc>
          <w:tcPr>
            <w:tcW w:w="481" w:type="dxa"/>
            <w:tcBorders>
              <w:bottom w:val="single" w:color="000000" w:sz="10" w:space="0"/>
            </w:tcBorders>
            <w:vAlign w:val="top"/>
          </w:tcPr>
          <w:p w14:paraId="7E57A220">
            <w:pPr>
              <w:pStyle w:val="6"/>
              <w:spacing w:before="109" w:line="195" w:lineRule="auto"/>
              <w:ind w:left="146"/>
              <w:rPr>
                <w:sz w:val="20"/>
                <w:szCs w:val="20"/>
              </w:rPr>
            </w:pPr>
            <w:r>
              <w:rPr>
                <w:spacing w:val="-2"/>
                <w:sz w:val="20"/>
                <w:szCs w:val="20"/>
              </w:rPr>
              <w:t>80</w:t>
            </w:r>
          </w:p>
        </w:tc>
        <w:tc>
          <w:tcPr>
            <w:tcW w:w="481" w:type="dxa"/>
            <w:tcBorders>
              <w:bottom w:val="single" w:color="000000" w:sz="10" w:space="0"/>
            </w:tcBorders>
            <w:vAlign w:val="top"/>
          </w:tcPr>
          <w:p w14:paraId="59E8AB73">
            <w:pPr>
              <w:pStyle w:val="6"/>
              <w:spacing w:before="109" w:line="195" w:lineRule="auto"/>
              <w:ind w:left="140"/>
              <w:rPr>
                <w:sz w:val="20"/>
                <w:szCs w:val="20"/>
              </w:rPr>
            </w:pPr>
            <w:r>
              <w:rPr>
                <w:spacing w:val="1"/>
                <w:sz w:val="20"/>
                <w:szCs w:val="20"/>
              </w:rPr>
              <w:t>76</w:t>
            </w:r>
          </w:p>
        </w:tc>
        <w:tc>
          <w:tcPr>
            <w:tcW w:w="481" w:type="dxa"/>
            <w:tcBorders>
              <w:bottom w:val="single" w:color="000000" w:sz="10" w:space="0"/>
            </w:tcBorders>
            <w:vAlign w:val="top"/>
          </w:tcPr>
          <w:p w14:paraId="76A57783">
            <w:pPr>
              <w:pStyle w:val="6"/>
              <w:spacing w:before="109" w:line="195" w:lineRule="auto"/>
              <w:ind w:left="139"/>
              <w:rPr>
                <w:sz w:val="20"/>
                <w:szCs w:val="20"/>
              </w:rPr>
            </w:pPr>
            <w:r>
              <w:rPr>
                <w:spacing w:val="1"/>
                <w:sz w:val="20"/>
                <w:szCs w:val="20"/>
              </w:rPr>
              <w:t>74</w:t>
            </w:r>
          </w:p>
        </w:tc>
        <w:tc>
          <w:tcPr>
            <w:tcW w:w="481" w:type="dxa"/>
            <w:tcBorders>
              <w:bottom w:val="single" w:color="000000" w:sz="10" w:space="0"/>
            </w:tcBorders>
            <w:vAlign w:val="top"/>
          </w:tcPr>
          <w:p w14:paraId="40B4F891">
            <w:pPr>
              <w:pStyle w:val="6"/>
              <w:spacing w:before="109" w:line="195" w:lineRule="auto"/>
              <w:ind w:left="140"/>
              <w:rPr>
                <w:sz w:val="20"/>
                <w:szCs w:val="20"/>
              </w:rPr>
            </w:pPr>
            <w:r>
              <w:rPr>
                <w:spacing w:val="1"/>
                <w:sz w:val="20"/>
                <w:szCs w:val="20"/>
              </w:rPr>
              <w:t>72</w:t>
            </w:r>
          </w:p>
        </w:tc>
        <w:tc>
          <w:tcPr>
            <w:tcW w:w="481" w:type="dxa"/>
            <w:tcBorders>
              <w:bottom w:val="single" w:color="000000" w:sz="10" w:space="0"/>
            </w:tcBorders>
            <w:vAlign w:val="top"/>
          </w:tcPr>
          <w:p w14:paraId="07C97139">
            <w:pPr>
              <w:pStyle w:val="6"/>
              <w:spacing w:before="109" w:line="195" w:lineRule="auto"/>
              <w:ind w:left="139"/>
              <w:rPr>
                <w:sz w:val="20"/>
                <w:szCs w:val="20"/>
              </w:rPr>
            </w:pPr>
            <w:r>
              <w:rPr>
                <w:spacing w:val="1"/>
                <w:sz w:val="20"/>
                <w:szCs w:val="20"/>
              </w:rPr>
              <w:t>70</w:t>
            </w:r>
          </w:p>
        </w:tc>
        <w:tc>
          <w:tcPr>
            <w:tcW w:w="481" w:type="dxa"/>
            <w:tcBorders>
              <w:bottom w:val="single" w:color="000000" w:sz="10" w:space="0"/>
            </w:tcBorders>
            <w:vAlign w:val="top"/>
          </w:tcPr>
          <w:p w14:paraId="0C3215D0">
            <w:pPr>
              <w:pStyle w:val="6"/>
              <w:spacing w:before="109" w:line="195" w:lineRule="auto"/>
              <w:ind w:left="142"/>
              <w:rPr>
                <w:sz w:val="20"/>
                <w:szCs w:val="20"/>
              </w:rPr>
            </w:pPr>
            <w:r>
              <w:rPr>
                <w:sz w:val="20"/>
                <w:szCs w:val="20"/>
              </w:rPr>
              <w:t>68</w:t>
            </w:r>
          </w:p>
        </w:tc>
        <w:tc>
          <w:tcPr>
            <w:tcW w:w="600" w:type="dxa"/>
            <w:tcBorders>
              <w:bottom w:val="single" w:color="000000" w:sz="10" w:space="0"/>
            </w:tcBorders>
            <w:vAlign w:val="top"/>
          </w:tcPr>
          <w:p w14:paraId="43401A27">
            <w:pPr>
              <w:pStyle w:val="6"/>
              <w:spacing w:before="109" w:line="195" w:lineRule="auto"/>
              <w:ind w:left="201"/>
              <w:rPr>
                <w:sz w:val="20"/>
                <w:szCs w:val="20"/>
              </w:rPr>
            </w:pPr>
            <w:r>
              <w:rPr>
                <w:sz w:val="20"/>
                <w:szCs w:val="20"/>
              </w:rPr>
              <w:t>66</w:t>
            </w:r>
          </w:p>
        </w:tc>
        <w:tc>
          <w:tcPr>
            <w:tcW w:w="600" w:type="dxa"/>
            <w:tcBorders>
              <w:bottom w:val="single" w:color="000000" w:sz="10" w:space="0"/>
            </w:tcBorders>
            <w:vAlign w:val="top"/>
          </w:tcPr>
          <w:p w14:paraId="4EAC077E">
            <w:pPr>
              <w:pStyle w:val="6"/>
              <w:spacing w:before="109" w:line="195" w:lineRule="auto"/>
              <w:ind w:left="201"/>
              <w:rPr>
                <w:sz w:val="20"/>
                <w:szCs w:val="20"/>
              </w:rPr>
            </w:pPr>
            <w:r>
              <w:rPr>
                <w:sz w:val="20"/>
                <w:szCs w:val="20"/>
              </w:rPr>
              <w:t>64</w:t>
            </w:r>
          </w:p>
        </w:tc>
        <w:tc>
          <w:tcPr>
            <w:tcW w:w="617" w:type="dxa"/>
            <w:tcBorders>
              <w:bottom w:val="single" w:color="000000" w:sz="10" w:space="0"/>
              <w:right w:val="nil"/>
            </w:tcBorders>
            <w:vAlign w:val="top"/>
          </w:tcPr>
          <w:p w14:paraId="19E57F32">
            <w:pPr>
              <w:pStyle w:val="6"/>
              <w:spacing w:before="109" w:line="195" w:lineRule="auto"/>
              <w:ind w:left="208"/>
              <w:rPr>
                <w:sz w:val="20"/>
                <w:szCs w:val="20"/>
              </w:rPr>
            </w:pPr>
            <w:r>
              <w:rPr>
                <w:sz w:val="20"/>
                <w:szCs w:val="20"/>
              </w:rPr>
              <w:t>60</w:t>
            </w:r>
          </w:p>
        </w:tc>
      </w:tr>
    </w:tbl>
    <w:p w14:paraId="46A939D6">
      <w:pPr>
        <w:spacing w:before="114" w:line="330" w:lineRule="auto"/>
        <w:ind w:left="123" w:right="40" w:firstLine="493"/>
        <w:rPr>
          <w:rFonts w:ascii="仿宋" w:hAnsi="仿宋" w:eastAsia="仿宋" w:cs="仿宋"/>
          <w:sz w:val="24"/>
          <w:szCs w:val="24"/>
        </w:rPr>
      </w:pPr>
      <w:r>
        <w:rPr>
          <w:rFonts w:ascii="仿宋" w:hAnsi="仿宋" w:eastAsia="仿宋" w:cs="仿宋"/>
          <w:spacing w:val="-4"/>
          <w:sz w:val="24"/>
          <w:szCs w:val="24"/>
        </w:rPr>
        <w:t>多种机械同时施工作业的最不利情形见表</w:t>
      </w:r>
      <w:r>
        <w:rPr>
          <w:rFonts w:ascii="仿宋" w:hAnsi="仿宋" w:eastAsia="仿宋" w:cs="仿宋"/>
          <w:spacing w:val="-56"/>
          <w:sz w:val="24"/>
          <w:szCs w:val="24"/>
        </w:rPr>
        <w:t xml:space="preserve"> </w:t>
      </w:r>
      <w:r>
        <w:rPr>
          <w:rFonts w:ascii="Times New Roman" w:hAnsi="Times New Roman" w:eastAsia="Times New Roman" w:cs="Times New Roman"/>
          <w:spacing w:val="-4"/>
          <w:sz w:val="24"/>
          <w:szCs w:val="24"/>
        </w:rPr>
        <w:t>4.1-2</w:t>
      </w:r>
      <w:r>
        <w:rPr>
          <w:rFonts w:ascii="仿宋" w:hAnsi="仿宋" w:eastAsia="仿宋" w:cs="仿宋"/>
          <w:spacing w:val="-4"/>
          <w:sz w:val="24"/>
          <w:szCs w:val="24"/>
        </w:rPr>
        <w:t>（不考虑机械错峰降噪效果，</w:t>
      </w:r>
      <w:r>
        <w:rPr>
          <w:rFonts w:ascii="仿宋" w:hAnsi="仿宋" w:eastAsia="仿宋" w:cs="仿宋"/>
          <w:spacing w:val="-1"/>
          <w:sz w:val="24"/>
          <w:szCs w:val="24"/>
        </w:rPr>
        <w:t>保证预测结果保守可靠</w:t>
      </w:r>
      <w:r>
        <w:rPr>
          <w:rFonts w:ascii="仿宋" w:hAnsi="仿宋" w:eastAsia="仿宋" w:cs="仿宋"/>
          <w:spacing w:val="9"/>
          <w:sz w:val="24"/>
          <w:szCs w:val="24"/>
        </w:rPr>
        <w:t>），</w:t>
      </w:r>
      <w:r>
        <w:rPr>
          <w:rFonts w:ascii="仿宋" w:hAnsi="仿宋" w:eastAsia="仿宋" w:cs="仿宋"/>
          <w:spacing w:val="-1"/>
          <w:sz w:val="24"/>
          <w:szCs w:val="24"/>
        </w:rPr>
        <w:t>影响范围不同距离噪声预测</w:t>
      </w:r>
      <w:r>
        <w:rPr>
          <w:rFonts w:ascii="仿宋" w:hAnsi="仿宋" w:eastAsia="仿宋" w:cs="仿宋"/>
          <w:spacing w:val="-2"/>
          <w:sz w:val="24"/>
          <w:szCs w:val="24"/>
        </w:rPr>
        <w:t>结果见表</w:t>
      </w:r>
      <w:r>
        <w:rPr>
          <w:rFonts w:ascii="仿宋" w:hAnsi="仿宋" w:eastAsia="仿宋" w:cs="仿宋"/>
          <w:spacing w:val="-55"/>
          <w:sz w:val="24"/>
          <w:szCs w:val="24"/>
        </w:rPr>
        <w:t xml:space="preserve"> </w:t>
      </w:r>
      <w:r>
        <w:rPr>
          <w:rFonts w:ascii="Times New Roman" w:hAnsi="Times New Roman" w:eastAsia="Times New Roman" w:cs="Times New Roman"/>
          <w:spacing w:val="-2"/>
          <w:sz w:val="24"/>
          <w:szCs w:val="24"/>
        </w:rPr>
        <w:t>4.1-3</w:t>
      </w:r>
      <w:r>
        <w:rPr>
          <w:rFonts w:ascii="仿宋" w:hAnsi="仿宋" w:eastAsia="仿宋" w:cs="仿宋"/>
          <w:spacing w:val="-2"/>
          <w:sz w:val="24"/>
          <w:szCs w:val="24"/>
        </w:rPr>
        <w:t>。</w:t>
      </w:r>
    </w:p>
    <w:p w14:paraId="47D54E7F">
      <w:pPr>
        <w:spacing w:before="1" w:line="220" w:lineRule="auto"/>
        <w:ind w:left="753"/>
        <w:rPr>
          <w:rFonts w:ascii="仿宋" w:hAnsi="仿宋" w:eastAsia="仿宋" w:cs="仿宋"/>
          <w:sz w:val="24"/>
          <w:szCs w:val="24"/>
        </w:rPr>
      </w:pPr>
      <w:r>
        <w:rPr>
          <w:rFonts w:ascii="仿宋" w:hAnsi="仿宋" w:eastAsia="仿宋" w:cs="仿宋"/>
          <w:b/>
          <w:bCs/>
          <w:spacing w:val="-2"/>
          <w:sz w:val="24"/>
          <w:szCs w:val="24"/>
        </w:rPr>
        <w:t>表</w:t>
      </w:r>
      <w:r>
        <w:rPr>
          <w:rFonts w:ascii="仿宋" w:hAnsi="仿宋" w:eastAsia="仿宋" w:cs="仿宋"/>
          <w:spacing w:val="-52"/>
          <w:sz w:val="24"/>
          <w:szCs w:val="24"/>
        </w:rPr>
        <w:t xml:space="preserve"> </w:t>
      </w:r>
      <w:r>
        <w:rPr>
          <w:rFonts w:ascii="仿宋" w:hAnsi="仿宋" w:eastAsia="仿宋" w:cs="仿宋"/>
          <w:b/>
          <w:bCs/>
          <w:spacing w:val="-2"/>
          <w:sz w:val="24"/>
          <w:szCs w:val="24"/>
        </w:rPr>
        <w:t>4.1-2</w:t>
      </w:r>
      <w:r>
        <w:rPr>
          <w:rFonts w:ascii="仿宋" w:hAnsi="仿宋" w:eastAsia="仿宋" w:cs="仿宋"/>
          <w:spacing w:val="-2"/>
          <w:sz w:val="24"/>
          <w:szCs w:val="24"/>
        </w:rPr>
        <w:t xml:space="preserve">   </w:t>
      </w:r>
      <w:r>
        <w:rPr>
          <w:rFonts w:ascii="仿宋" w:hAnsi="仿宋" w:eastAsia="仿宋" w:cs="仿宋"/>
          <w:b/>
          <w:bCs/>
          <w:spacing w:val="-2"/>
          <w:sz w:val="24"/>
          <w:szCs w:val="24"/>
        </w:rPr>
        <w:t>多种施工机械同时作业（最不利情况</w:t>
      </w:r>
      <w:r>
        <w:rPr>
          <w:rFonts w:ascii="仿宋" w:hAnsi="仿宋" w:eastAsia="仿宋" w:cs="仿宋"/>
          <w:b/>
          <w:bCs/>
          <w:spacing w:val="-3"/>
          <w:sz w:val="24"/>
          <w:szCs w:val="24"/>
        </w:rPr>
        <w:t>）的机械组合情况</w:t>
      </w:r>
    </w:p>
    <w:p w14:paraId="75D9773C">
      <w:pPr>
        <w:spacing w:line="146" w:lineRule="exact"/>
      </w:pPr>
    </w:p>
    <w:tbl>
      <w:tblPr>
        <w:tblStyle w:val="5"/>
        <w:tblW w:w="8504" w:type="dxa"/>
        <w:tblInd w:w="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3"/>
        <w:gridCol w:w="2322"/>
        <w:gridCol w:w="5459"/>
      </w:tblGrid>
      <w:tr w14:paraId="47A7E1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3" w:hRule="atLeast"/>
        </w:trPr>
        <w:tc>
          <w:tcPr>
            <w:tcW w:w="723" w:type="dxa"/>
            <w:tcBorders>
              <w:top w:val="single" w:color="000000" w:sz="10" w:space="0"/>
              <w:left w:val="nil"/>
            </w:tcBorders>
            <w:vAlign w:val="top"/>
          </w:tcPr>
          <w:p w14:paraId="654D6F00">
            <w:pPr>
              <w:spacing w:before="55" w:line="228" w:lineRule="auto"/>
              <w:ind w:left="161"/>
              <w:rPr>
                <w:rFonts w:ascii="仿宋" w:hAnsi="仿宋" w:eastAsia="仿宋" w:cs="仿宋"/>
                <w:sz w:val="20"/>
                <w:szCs w:val="20"/>
              </w:rPr>
            </w:pPr>
            <w:r>
              <w:rPr>
                <w:rFonts w:ascii="仿宋" w:hAnsi="仿宋" w:eastAsia="仿宋" w:cs="仿宋"/>
                <w:b/>
                <w:bCs/>
                <w:spacing w:val="1"/>
                <w:sz w:val="20"/>
                <w:szCs w:val="20"/>
              </w:rPr>
              <w:t>序号</w:t>
            </w:r>
          </w:p>
        </w:tc>
        <w:tc>
          <w:tcPr>
            <w:tcW w:w="2322" w:type="dxa"/>
            <w:tcBorders>
              <w:top w:val="single" w:color="000000" w:sz="10" w:space="0"/>
            </w:tcBorders>
            <w:vAlign w:val="top"/>
          </w:tcPr>
          <w:p w14:paraId="3210D9E9">
            <w:pPr>
              <w:spacing w:before="55" w:line="228" w:lineRule="auto"/>
              <w:ind w:left="750"/>
              <w:rPr>
                <w:rFonts w:ascii="仿宋" w:hAnsi="仿宋" w:eastAsia="仿宋" w:cs="仿宋"/>
                <w:sz w:val="20"/>
                <w:szCs w:val="20"/>
              </w:rPr>
            </w:pPr>
            <w:r>
              <w:rPr>
                <w:rFonts w:ascii="仿宋" w:hAnsi="仿宋" w:eastAsia="仿宋" w:cs="仿宋"/>
                <w:b/>
                <w:bCs/>
                <w:spacing w:val="5"/>
                <w:sz w:val="20"/>
                <w:szCs w:val="20"/>
              </w:rPr>
              <w:t>施工阶段</w:t>
            </w:r>
          </w:p>
        </w:tc>
        <w:tc>
          <w:tcPr>
            <w:tcW w:w="5459" w:type="dxa"/>
            <w:tcBorders>
              <w:top w:val="single" w:color="000000" w:sz="10" w:space="0"/>
              <w:right w:val="nil"/>
            </w:tcBorders>
            <w:vAlign w:val="top"/>
          </w:tcPr>
          <w:p w14:paraId="2E113E38">
            <w:pPr>
              <w:spacing w:before="55" w:line="228" w:lineRule="auto"/>
              <w:ind w:left="1281"/>
              <w:rPr>
                <w:rFonts w:ascii="仿宋" w:hAnsi="仿宋" w:eastAsia="仿宋" w:cs="仿宋"/>
                <w:sz w:val="20"/>
                <w:szCs w:val="20"/>
              </w:rPr>
            </w:pPr>
            <w:r>
              <w:rPr>
                <w:rFonts w:ascii="仿宋" w:hAnsi="仿宋" w:eastAsia="仿宋" w:cs="仿宋"/>
                <w:b/>
                <w:bCs/>
                <w:spacing w:val="6"/>
                <w:sz w:val="20"/>
                <w:szCs w:val="20"/>
              </w:rPr>
              <w:t>多种施工机械同时作业组合情况</w:t>
            </w:r>
          </w:p>
        </w:tc>
      </w:tr>
      <w:tr w14:paraId="6F7193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trPr>
        <w:tc>
          <w:tcPr>
            <w:tcW w:w="723" w:type="dxa"/>
            <w:tcBorders>
              <w:left w:val="nil"/>
            </w:tcBorders>
            <w:vAlign w:val="top"/>
          </w:tcPr>
          <w:p w14:paraId="614648AF">
            <w:pPr>
              <w:spacing w:before="59" w:line="221" w:lineRule="auto"/>
              <w:ind w:left="329"/>
              <w:rPr>
                <w:rFonts w:ascii="仿宋" w:hAnsi="仿宋" w:eastAsia="仿宋" w:cs="仿宋"/>
                <w:sz w:val="20"/>
                <w:szCs w:val="20"/>
              </w:rPr>
            </w:pPr>
            <w:r>
              <w:rPr>
                <w:rFonts w:ascii="仿宋" w:hAnsi="仿宋" w:eastAsia="仿宋" w:cs="仿宋"/>
                <w:sz w:val="20"/>
                <w:szCs w:val="20"/>
              </w:rPr>
              <w:t>1</w:t>
            </w:r>
          </w:p>
        </w:tc>
        <w:tc>
          <w:tcPr>
            <w:tcW w:w="2322" w:type="dxa"/>
            <w:vAlign w:val="top"/>
          </w:tcPr>
          <w:p w14:paraId="6040B3C0">
            <w:pPr>
              <w:spacing w:before="59" w:line="221" w:lineRule="auto"/>
              <w:ind w:left="752"/>
              <w:rPr>
                <w:rFonts w:ascii="仿宋" w:hAnsi="仿宋" w:eastAsia="仿宋" w:cs="仿宋"/>
                <w:sz w:val="20"/>
                <w:szCs w:val="20"/>
              </w:rPr>
            </w:pPr>
            <w:r>
              <w:rPr>
                <w:rFonts w:ascii="仿宋" w:hAnsi="仿宋" w:eastAsia="仿宋" w:cs="仿宋"/>
                <w:spacing w:val="6"/>
                <w:sz w:val="20"/>
                <w:szCs w:val="20"/>
              </w:rPr>
              <w:t>路基工程</w:t>
            </w:r>
          </w:p>
        </w:tc>
        <w:tc>
          <w:tcPr>
            <w:tcW w:w="5459" w:type="dxa"/>
            <w:tcBorders>
              <w:right w:val="nil"/>
            </w:tcBorders>
            <w:vAlign w:val="top"/>
          </w:tcPr>
          <w:p w14:paraId="5343A5F2">
            <w:pPr>
              <w:spacing w:before="59" w:line="221" w:lineRule="auto"/>
              <w:ind w:left="118"/>
              <w:rPr>
                <w:rFonts w:ascii="仿宋" w:hAnsi="仿宋" w:eastAsia="仿宋" w:cs="仿宋"/>
                <w:sz w:val="20"/>
                <w:szCs w:val="20"/>
              </w:rPr>
            </w:pPr>
            <w:r>
              <w:rPr>
                <w:rFonts w:ascii="仿宋" w:hAnsi="仿宋" w:eastAsia="仿宋" w:cs="仿宋"/>
                <w:spacing w:val="9"/>
                <w:sz w:val="20"/>
                <w:szCs w:val="20"/>
              </w:rPr>
              <w:t>挖掘机、推土机、运输车辆、振动压路机、混凝土振捣棒</w:t>
            </w:r>
          </w:p>
        </w:tc>
      </w:tr>
      <w:tr w14:paraId="05202C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723" w:type="dxa"/>
            <w:tcBorders>
              <w:left w:val="nil"/>
              <w:bottom w:val="single" w:color="000000" w:sz="10" w:space="0"/>
            </w:tcBorders>
            <w:vAlign w:val="top"/>
          </w:tcPr>
          <w:p w14:paraId="1BF08750">
            <w:pPr>
              <w:spacing w:before="67" w:line="235" w:lineRule="auto"/>
              <w:ind w:left="316"/>
              <w:rPr>
                <w:rFonts w:ascii="仿宋" w:hAnsi="仿宋" w:eastAsia="仿宋" w:cs="仿宋"/>
                <w:sz w:val="20"/>
                <w:szCs w:val="20"/>
              </w:rPr>
            </w:pPr>
            <w:r>
              <w:rPr>
                <w:rFonts w:ascii="仿宋" w:hAnsi="仿宋" w:eastAsia="仿宋" w:cs="仿宋"/>
                <w:sz w:val="20"/>
                <w:szCs w:val="20"/>
              </w:rPr>
              <w:t>2</w:t>
            </w:r>
          </w:p>
        </w:tc>
        <w:tc>
          <w:tcPr>
            <w:tcW w:w="2322" w:type="dxa"/>
            <w:tcBorders>
              <w:bottom w:val="single" w:color="000000" w:sz="10" w:space="0"/>
            </w:tcBorders>
            <w:vAlign w:val="top"/>
          </w:tcPr>
          <w:p w14:paraId="66EE5169">
            <w:pPr>
              <w:spacing w:before="67" w:line="232" w:lineRule="auto"/>
              <w:ind w:left="752"/>
              <w:rPr>
                <w:rFonts w:ascii="仿宋" w:hAnsi="仿宋" w:eastAsia="仿宋" w:cs="仿宋"/>
                <w:sz w:val="20"/>
                <w:szCs w:val="20"/>
              </w:rPr>
            </w:pPr>
            <w:r>
              <w:rPr>
                <w:rFonts w:ascii="仿宋" w:hAnsi="仿宋" w:eastAsia="仿宋" w:cs="仿宋"/>
                <w:spacing w:val="6"/>
                <w:sz w:val="20"/>
                <w:szCs w:val="20"/>
              </w:rPr>
              <w:t>路面工程</w:t>
            </w:r>
          </w:p>
        </w:tc>
        <w:tc>
          <w:tcPr>
            <w:tcW w:w="5459" w:type="dxa"/>
            <w:tcBorders>
              <w:bottom w:val="single" w:color="000000" w:sz="10" w:space="0"/>
              <w:right w:val="nil"/>
            </w:tcBorders>
            <w:vAlign w:val="top"/>
          </w:tcPr>
          <w:p w14:paraId="4DF42C83">
            <w:pPr>
              <w:spacing w:before="67" w:line="228" w:lineRule="auto"/>
              <w:ind w:left="224"/>
              <w:rPr>
                <w:rFonts w:ascii="仿宋" w:hAnsi="仿宋" w:eastAsia="仿宋" w:cs="仿宋"/>
                <w:sz w:val="20"/>
                <w:szCs w:val="20"/>
              </w:rPr>
            </w:pPr>
            <w:r>
              <w:rPr>
                <w:rFonts w:ascii="仿宋" w:hAnsi="仿宋" w:eastAsia="仿宋" w:cs="仿宋"/>
                <w:spacing w:val="9"/>
                <w:sz w:val="20"/>
                <w:szCs w:val="20"/>
              </w:rPr>
              <w:t>摊铺机、路面切割机、商砼搅拌车、压路机、运输车辆</w:t>
            </w:r>
          </w:p>
        </w:tc>
      </w:tr>
    </w:tbl>
    <w:p w14:paraId="00675E3E">
      <w:pPr>
        <w:spacing w:before="36" w:line="220" w:lineRule="auto"/>
        <w:jc w:val="right"/>
        <w:rPr>
          <w:rFonts w:ascii="仿宋" w:hAnsi="仿宋" w:eastAsia="仿宋" w:cs="仿宋"/>
          <w:sz w:val="24"/>
          <w:szCs w:val="24"/>
        </w:rPr>
      </w:pPr>
      <w:r>
        <w:rPr>
          <w:rFonts w:ascii="仿宋" w:hAnsi="仿宋" w:eastAsia="仿宋" w:cs="仿宋"/>
          <w:b/>
          <w:bCs/>
          <w:spacing w:val="-4"/>
          <w:sz w:val="24"/>
          <w:szCs w:val="24"/>
        </w:rPr>
        <w:t>表</w:t>
      </w:r>
      <w:r>
        <w:rPr>
          <w:rFonts w:ascii="仿宋" w:hAnsi="仿宋" w:eastAsia="仿宋" w:cs="仿宋"/>
          <w:spacing w:val="-52"/>
          <w:sz w:val="24"/>
          <w:szCs w:val="24"/>
        </w:rPr>
        <w:t xml:space="preserve"> </w:t>
      </w:r>
      <w:r>
        <w:rPr>
          <w:rFonts w:ascii="仿宋" w:hAnsi="仿宋" w:eastAsia="仿宋" w:cs="仿宋"/>
          <w:b/>
          <w:bCs/>
          <w:spacing w:val="-4"/>
          <w:sz w:val="24"/>
          <w:szCs w:val="24"/>
        </w:rPr>
        <w:t>4.1-3</w:t>
      </w:r>
      <w:r>
        <w:rPr>
          <w:rFonts w:ascii="仿宋" w:hAnsi="仿宋" w:eastAsia="仿宋" w:cs="仿宋"/>
          <w:spacing w:val="-4"/>
          <w:sz w:val="24"/>
          <w:szCs w:val="24"/>
        </w:rPr>
        <w:t xml:space="preserve">   </w:t>
      </w:r>
      <w:r>
        <w:rPr>
          <w:rFonts w:ascii="仿宋" w:hAnsi="仿宋" w:eastAsia="仿宋" w:cs="仿宋"/>
          <w:b/>
          <w:bCs/>
          <w:spacing w:val="-4"/>
          <w:sz w:val="24"/>
          <w:szCs w:val="24"/>
        </w:rPr>
        <w:t>主要施工机械同时作业（最不利情况）噪声</w:t>
      </w:r>
      <w:r>
        <w:rPr>
          <w:rFonts w:ascii="仿宋" w:hAnsi="仿宋" w:eastAsia="仿宋" w:cs="仿宋"/>
          <w:b/>
          <w:bCs/>
          <w:spacing w:val="-5"/>
          <w:sz w:val="24"/>
          <w:szCs w:val="24"/>
        </w:rPr>
        <w:t>预测结果</w:t>
      </w:r>
      <w:r>
        <w:rPr>
          <w:rFonts w:ascii="仿宋" w:hAnsi="仿宋" w:eastAsia="仿宋" w:cs="仿宋"/>
          <w:spacing w:val="-5"/>
          <w:sz w:val="24"/>
          <w:szCs w:val="24"/>
        </w:rPr>
        <w:t xml:space="preserve"> </w:t>
      </w:r>
      <w:r>
        <w:rPr>
          <w:rFonts w:ascii="仿宋" w:hAnsi="仿宋" w:eastAsia="仿宋" w:cs="仿宋"/>
          <w:b/>
          <w:bCs/>
          <w:spacing w:val="-5"/>
          <w:sz w:val="24"/>
          <w:szCs w:val="24"/>
        </w:rPr>
        <w:t>单位：dB（A）</w:t>
      </w:r>
    </w:p>
    <w:p w14:paraId="1C75D6A6">
      <w:pPr>
        <w:spacing w:line="146" w:lineRule="exact"/>
      </w:pPr>
    </w:p>
    <w:tbl>
      <w:tblPr>
        <w:tblStyle w:val="5"/>
        <w:tblW w:w="8519"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64"/>
        <w:gridCol w:w="1715"/>
        <w:gridCol w:w="464"/>
        <w:gridCol w:w="479"/>
        <w:gridCol w:w="481"/>
        <w:gridCol w:w="481"/>
        <w:gridCol w:w="481"/>
        <w:gridCol w:w="481"/>
        <w:gridCol w:w="481"/>
        <w:gridCol w:w="481"/>
        <w:gridCol w:w="600"/>
        <w:gridCol w:w="600"/>
        <w:gridCol w:w="711"/>
      </w:tblGrid>
      <w:tr w14:paraId="7420CA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064" w:type="dxa"/>
            <w:vMerge w:val="restart"/>
            <w:tcBorders>
              <w:top w:val="single" w:color="000000" w:sz="10" w:space="0"/>
              <w:left w:val="nil"/>
              <w:bottom w:val="nil"/>
            </w:tcBorders>
            <w:vAlign w:val="top"/>
          </w:tcPr>
          <w:p w14:paraId="4AF8E848">
            <w:pPr>
              <w:spacing w:before="217" w:line="230" w:lineRule="auto"/>
              <w:ind w:left="124"/>
              <w:rPr>
                <w:rFonts w:ascii="仿宋" w:hAnsi="仿宋" w:eastAsia="仿宋" w:cs="仿宋"/>
                <w:sz w:val="20"/>
                <w:szCs w:val="20"/>
              </w:rPr>
            </w:pPr>
            <w:r>
              <w:rPr>
                <w:rFonts w:ascii="仿宋" w:hAnsi="仿宋" w:eastAsia="仿宋" w:cs="仿宋"/>
                <w:spacing w:val="6"/>
                <w:sz w:val="20"/>
                <w:szCs w:val="20"/>
              </w:rPr>
              <w:t>施工阶段</w:t>
            </w:r>
          </w:p>
        </w:tc>
        <w:tc>
          <w:tcPr>
            <w:tcW w:w="1715" w:type="dxa"/>
            <w:vMerge w:val="restart"/>
            <w:tcBorders>
              <w:top w:val="single" w:color="000000" w:sz="10" w:space="0"/>
              <w:bottom w:val="nil"/>
            </w:tcBorders>
            <w:vAlign w:val="top"/>
          </w:tcPr>
          <w:p w14:paraId="2F11996C">
            <w:pPr>
              <w:spacing w:before="217" w:line="229" w:lineRule="auto"/>
              <w:ind w:left="448"/>
              <w:rPr>
                <w:rFonts w:ascii="仿宋" w:hAnsi="仿宋" w:eastAsia="仿宋" w:cs="仿宋"/>
                <w:sz w:val="20"/>
                <w:szCs w:val="20"/>
              </w:rPr>
            </w:pPr>
            <w:r>
              <w:rPr>
                <w:rFonts w:ascii="仿宋" w:hAnsi="仿宋" w:eastAsia="仿宋" w:cs="仿宋"/>
                <w:spacing w:val="6"/>
                <w:sz w:val="20"/>
                <w:szCs w:val="20"/>
              </w:rPr>
              <w:t>施工机械</w:t>
            </w:r>
          </w:p>
        </w:tc>
        <w:tc>
          <w:tcPr>
            <w:tcW w:w="5740" w:type="dxa"/>
            <w:gridSpan w:val="11"/>
            <w:tcBorders>
              <w:top w:val="single" w:color="000000" w:sz="10" w:space="0"/>
              <w:right w:val="nil"/>
            </w:tcBorders>
            <w:vAlign w:val="top"/>
          </w:tcPr>
          <w:p w14:paraId="1F64DB85">
            <w:pPr>
              <w:pStyle w:val="6"/>
              <w:spacing w:before="54" w:line="221" w:lineRule="auto"/>
              <w:ind w:left="2517"/>
              <w:rPr>
                <w:sz w:val="20"/>
                <w:szCs w:val="20"/>
              </w:rPr>
            </w:pPr>
            <w:r>
              <w:rPr>
                <w:rFonts w:ascii="仿宋" w:hAnsi="仿宋" w:eastAsia="仿宋" w:cs="仿宋"/>
                <w:spacing w:val="4"/>
                <w:sz w:val="20"/>
                <w:szCs w:val="20"/>
              </w:rPr>
              <w:t>距离</w:t>
            </w:r>
            <w:r>
              <w:rPr>
                <w:spacing w:val="4"/>
                <w:sz w:val="20"/>
                <w:szCs w:val="20"/>
              </w:rPr>
              <w:t>(m)</w:t>
            </w:r>
          </w:p>
        </w:tc>
      </w:tr>
      <w:tr w14:paraId="71921E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1064" w:type="dxa"/>
            <w:vMerge w:val="continue"/>
            <w:tcBorders>
              <w:top w:val="nil"/>
              <w:left w:val="nil"/>
            </w:tcBorders>
            <w:vAlign w:val="top"/>
          </w:tcPr>
          <w:p w14:paraId="49EEB2F3">
            <w:pPr>
              <w:rPr>
                <w:rFonts w:ascii="Arial"/>
                <w:sz w:val="21"/>
              </w:rPr>
            </w:pPr>
          </w:p>
        </w:tc>
        <w:tc>
          <w:tcPr>
            <w:tcW w:w="1715" w:type="dxa"/>
            <w:vMerge w:val="continue"/>
            <w:tcBorders>
              <w:top w:val="nil"/>
            </w:tcBorders>
            <w:vAlign w:val="top"/>
          </w:tcPr>
          <w:p w14:paraId="1ADBE046">
            <w:pPr>
              <w:rPr>
                <w:rFonts w:ascii="Arial"/>
                <w:sz w:val="21"/>
              </w:rPr>
            </w:pPr>
          </w:p>
        </w:tc>
        <w:tc>
          <w:tcPr>
            <w:tcW w:w="464" w:type="dxa"/>
            <w:vAlign w:val="top"/>
          </w:tcPr>
          <w:p w14:paraId="68F98414">
            <w:pPr>
              <w:pStyle w:val="6"/>
              <w:spacing w:before="93" w:line="192" w:lineRule="auto"/>
              <w:ind w:left="186"/>
              <w:rPr>
                <w:sz w:val="20"/>
                <w:szCs w:val="20"/>
              </w:rPr>
            </w:pPr>
            <w:r>
              <w:rPr>
                <w:sz w:val="20"/>
                <w:szCs w:val="20"/>
              </w:rPr>
              <w:t>5</w:t>
            </w:r>
          </w:p>
        </w:tc>
        <w:tc>
          <w:tcPr>
            <w:tcW w:w="479" w:type="dxa"/>
            <w:vAlign w:val="top"/>
          </w:tcPr>
          <w:p w14:paraId="388020E5">
            <w:pPr>
              <w:pStyle w:val="6"/>
              <w:spacing w:before="90" w:line="195" w:lineRule="auto"/>
              <w:ind w:left="154"/>
              <w:rPr>
                <w:sz w:val="20"/>
                <w:szCs w:val="20"/>
              </w:rPr>
            </w:pPr>
            <w:r>
              <w:rPr>
                <w:spacing w:val="-8"/>
                <w:sz w:val="20"/>
                <w:szCs w:val="20"/>
              </w:rPr>
              <w:t>10</w:t>
            </w:r>
          </w:p>
        </w:tc>
        <w:tc>
          <w:tcPr>
            <w:tcW w:w="481" w:type="dxa"/>
            <w:vAlign w:val="top"/>
          </w:tcPr>
          <w:p w14:paraId="4E456A3E">
            <w:pPr>
              <w:pStyle w:val="6"/>
              <w:spacing w:before="90" w:line="195" w:lineRule="auto"/>
              <w:ind w:left="135"/>
              <w:rPr>
                <w:sz w:val="20"/>
                <w:szCs w:val="20"/>
              </w:rPr>
            </w:pPr>
            <w:r>
              <w:rPr>
                <w:spacing w:val="2"/>
                <w:sz w:val="20"/>
                <w:szCs w:val="20"/>
              </w:rPr>
              <w:t>20</w:t>
            </w:r>
          </w:p>
        </w:tc>
        <w:tc>
          <w:tcPr>
            <w:tcW w:w="481" w:type="dxa"/>
            <w:vAlign w:val="top"/>
          </w:tcPr>
          <w:p w14:paraId="2FC8268D">
            <w:pPr>
              <w:pStyle w:val="6"/>
              <w:spacing w:before="90" w:line="195" w:lineRule="auto"/>
              <w:ind w:left="141"/>
              <w:rPr>
                <w:sz w:val="20"/>
                <w:szCs w:val="20"/>
              </w:rPr>
            </w:pPr>
            <w:r>
              <w:rPr>
                <w:sz w:val="20"/>
                <w:szCs w:val="20"/>
              </w:rPr>
              <w:t>30</w:t>
            </w:r>
          </w:p>
        </w:tc>
        <w:tc>
          <w:tcPr>
            <w:tcW w:w="481" w:type="dxa"/>
            <w:vAlign w:val="top"/>
          </w:tcPr>
          <w:p w14:paraId="48C4BDC3">
            <w:pPr>
              <w:pStyle w:val="6"/>
              <w:spacing w:before="90" w:line="195" w:lineRule="auto"/>
              <w:ind w:left="135"/>
              <w:rPr>
                <w:sz w:val="20"/>
                <w:szCs w:val="20"/>
              </w:rPr>
            </w:pPr>
            <w:r>
              <w:rPr>
                <w:spacing w:val="3"/>
                <w:sz w:val="20"/>
                <w:szCs w:val="20"/>
              </w:rPr>
              <w:t>40</w:t>
            </w:r>
          </w:p>
        </w:tc>
        <w:tc>
          <w:tcPr>
            <w:tcW w:w="481" w:type="dxa"/>
            <w:vAlign w:val="top"/>
          </w:tcPr>
          <w:p w14:paraId="33E1B57E">
            <w:pPr>
              <w:pStyle w:val="6"/>
              <w:spacing w:before="90" w:line="195" w:lineRule="auto"/>
              <w:ind w:left="143"/>
              <w:rPr>
                <w:sz w:val="20"/>
                <w:szCs w:val="20"/>
              </w:rPr>
            </w:pPr>
            <w:r>
              <w:rPr>
                <w:spacing w:val="-2"/>
                <w:sz w:val="20"/>
                <w:szCs w:val="20"/>
              </w:rPr>
              <w:t>50</w:t>
            </w:r>
          </w:p>
        </w:tc>
        <w:tc>
          <w:tcPr>
            <w:tcW w:w="481" w:type="dxa"/>
            <w:vAlign w:val="top"/>
          </w:tcPr>
          <w:p w14:paraId="39A49BA0">
            <w:pPr>
              <w:pStyle w:val="6"/>
              <w:spacing w:before="90" w:line="195" w:lineRule="auto"/>
              <w:ind w:left="141"/>
              <w:rPr>
                <w:sz w:val="20"/>
                <w:szCs w:val="20"/>
              </w:rPr>
            </w:pPr>
            <w:r>
              <w:rPr>
                <w:sz w:val="20"/>
                <w:szCs w:val="20"/>
              </w:rPr>
              <w:t>60</w:t>
            </w:r>
          </w:p>
        </w:tc>
        <w:tc>
          <w:tcPr>
            <w:tcW w:w="481" w:type="dxa"/>
            <w:vAlign w:val="top"/>
          </w:tcPr>
          <w:p w14:paraId="56DC5334">
            <w:pPr>
              <w:pStyle w:val="6"/>
              <w:spacing w:before="90" w:line="195" w:lineRule="auto"/>
              <w:ind w:left="146"/>
              <w:rPr>
                <w:sz w:val="20"/>
                <w:szCs w:val="20"/>
              </w:rPr>
            </w:pPr>
            <w:r>
              <w:rPr>
                <w:spacing w:val="-3"/>
                <w:sz w:val="20"/>
                <w:szCs w:val="20"/>
              </w:rPr>
              <w:t>80</w:t>
            </w:r>
          </w:p>
        </w:tc>
        <w:tc>
          <w:tcPr>
            <w:tcW w:w="600" w:type="dxa"/>
            <w:vAlign w:val="top"/>
          </w:tcPr>
          <w:p w14:paraId="50A9C2A4">
            <w:pPr>
              <w:pStyle w:val="6"/>
              <w:spacing w:before="90" w:line="195" w:lineRule="auto"/>
              <w:ind w:left="164"/>
              <w:rPr>
                <w:sz w:val="20"/>
                <w:szCs w:val="20"/>
              </w:rPr>
            </w:pPr>
            <w:r>
              <w:rPr>
                <w:spacing w:val="-3"/>
                <w:sz w:val="20"/>
                <w:szCs w:val="20"/>
              </w:rPr>
              <w:t>100</w:t>
            </w:r>
          </w:p>
        </w:tc>
        <w:tc>
          <w:tcPr>
            <w:tcW w:w="600" w:type="dxa"/>
            <w:vAlign w:val="top"/>
          </w:tcPr>
          <w:p w14:paraId="4992499D">
            <w:pPr>
              <w:pStyle w:val="6"/>
              <w:spacing w:before="90" w:line="195" w:lineRule="auto"/>
              <w:ind w:left="164"/>
              <w:rPr>
                <w:sz w:val="20"/>
                <w:szCs w:val="20"/>
              </w:rPr>
            </w:pPr>
            <w:r>
              <w:rPr>
                <w:spacing w:val="-3"/>
                <w:sz w:val="20"/>
                <w:szCs w:val="20"/>
              </w:rPr>
              <w:t>120</w:t>
            </w:r>
          </w:p>
        </w:tc>
        <w:tc>
          <w:tcPr>
            <w:tcW w:w="711" w:type="dxa"/>
            <w:tcBorders>
              <w:right w:val="nil"/>
            </w:tcBorders>
            <w:vAlign w:val="top"/>
          </w:tcPr>
          <w:p w14:paraId="3CDB38DB">
            <w:pPr>
              <w:pStyle w:val="6"/>
              <w:spacing w:before="90" w:line="195" w:lineRule="auto"/>
              <w:ind w:left="199"/>
              <w:rPr>
                <w:sz w:val="20"/>
                <w:szCs w:val="20"/>
              </w:rPr>
            </w:pPr>
            <w:r>
              <w:rPr>
                <w:spacing w:val="3"/>
                <w:sz w:val="20"/>
                <w:szCs w:val="20"/>
              </w:rPr>
              <w:t>200</w:t>
            </w:r>
          </w:p>
        </w:tc>
      </w:tr>
      <w:tr w14:paraId="5FA33E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3" w:hRule="atLeast"/>
        </w:trPr>
        <w:tc>
          <w:tcPr>
            <w:tcW w:w="1064" w:type="dxa"/>
            <w:tcBorders>
              <w:left w:val="nil"/>
            </w:tcBorders>
            <w:vAlign w:val="top"/>
          </w:tcPr>
          <w:p w14:paraId="3F1B76F5">
            <w:pPr>
              <w:spacing w:line="456" w:lineRule="auto"/>
              <w:rPr>
                <w:rFonts w:ascii="Arial"/>
                <w:sz w:val="21"/>
              </w:rPr>
            </w:pPr>
          </w:p>
          <w:p w14:paraId="5FD50DDA">
            <w:pPr>
              <w:spacing w:before="65" w:line="232" w:lineRule="auto"/>
              <w:ind w:left="124"/>
              <w:rPr>
                <w:rFonts w:ascii="仿宋" w:hAnsi="仿宋" w:eastAsia="仿宋" w:cs="仿宋"/>
                <w:sz w:val="20"/>
                <w:szCs w:val="20"/>
              </w:rPr>
            </w:pPr>
            <w:r>
              <w:rPr>
                <w:rFonts w:ascii="仿宋" w:hAnsi="仿宋" w:eastAsia="仿宋" w:cs="仿宋"/>
                <w:spacing w:val="6"/>
                <w:sz w:val="20"/>
                <w:szCs w:val="20"/>
              </w:rPr>
              <w:t>路基施工</w:t>
            </w:r>
          </w:p>
        </w:tc>
        <w:tc>
          <w:tcPr>
            <w:tcW w:w="1715" w:type="dxa"/>
            <w:vAlign w:val="top"/>
          </w:tcPr>
          <w:p w14:paraId="6875255F">
            <w:pPr>
              <w:spacing w:before="56" w:line="231" w:lineRule="auto"/>
              <w:ind w:right="11"/>
              <w:jc w:val="right"/>
              <w:rPr>
                <w:rFonts w:ascii="仿宋" w:hAnsi="仿宋" w:eastAsia="仿宋" w:cs="仿宋"/>
                <w:sz w:val="20"/>
                <w:szCs w:val="20"/>
              </w:rPr>
            </w:pPr>
            <w:r>
              <w:rPr>
                <w:rFonts w:ascii="仿宋" w:hAnsi="仿宋" w:eastAsia="仿宋" w:cs="仿宋"/>
                <w:spacing w:val="-3"/>
                <w:sz w:val="20"/>
                <w:szCs w:val="20"/>
              </w:rPr>
              <w:t>推土机、挖掘机、</w:t>
            </w:r>
          </w:p>
          <w:p w14:paraId="304C4928">
            <w:pPr>
              <w:spacing w:before="61" w:line="228" w:lineRule="auto"/>
              <w:ind w:left="135"/>
              <w:rPr>
                <w:rFonts w:ascii="仿宋" w:hAnsi="仿宋" w:eastAsia="仿宋" w:cs="仿宋"/>
                <w:sz w:val="20"/>
                <w:szCs w:val="20"/>
              </w:rPr>
            </w:pPr>
            <w:r>
              <w:rPr>
                <w:rFonts w:ascii="仿宋" w:hAnsi="仿宋" w:eastAsia="仿宋" w:cs="仿宋"/>
                <w:spacing w:val="7"/>
                <w:sz w:val="20"/>
                <w:szCs w:val="20"/>
              </w:rPr>
              <w:t>运输车辆、振动</w:t>
            </w:r>
          </w:p>
          <w:p w14:paraId="3637B35F">
            <w:pPr>
              <w:spacing w:before="64" w:line="231" w:lineRule="auto"/>
              <w:ind w:left="134"/>
              <w:rPr>
                <w:rFonts w:ascii="仿宋" w:hAnsi="仿宋" w:eastAsia="仿宋" w:cs="仿宋"/>
                <w:sz w:val="20"/>
                <w:szCs w:val="20"/>
              </w:rPr>
            </w:pPr>
            <w:r>
              <w:rPr>
                <w:rFonts w:ascii="仿宋" w:hAnsi="仿宋" w:eastAsia="仿宋" w:cs="仿宋"/>
                <w:spacing w:val="7"/>
                <w:sz w:val="20"/>
                <w:szCs w:val="20"/>
              </w:rPr>
              <w:t>压路机、混凝土</w:t>
            </w:r>
          </w:p>
          <w:p w14:paraId="01323A31">
            <w:pPr>
              <w:spacing w:before="61" w:line="222" w:lineRule="auto"/>
              <w:ind w:left="553"/>
              <w:rPr>
                <w:rFonts w:ascii="仿宋" w:hAnsi="仿宋" w:eastAsia="仿宋" w:cs="仿宋"/>
                <w:sz w:val="20"/>
                <w:szCs w:val="20"/>
              </w:rPr>
            </w:pPr>
            <w:r>
              <w:rPr>
                <w:rFonts w:ascii="仿宋" w:hAnsi="仿宋" w:eastAsia="仿宋" w:cs="仿宋"/>
                <w:spacing w:val="5"/>
                <w:sz w:val="20"/>
                <w:szCs w:val="20"/>
              </w:rPr>
              <w:t>振捣棒</w:t>
            </w:r>
          </w:p>
        </w:tc>
        <w:tc>
          <w:tcPr>
            <w:tcW w:w="464" w:type="dxa"/>
            <w:vAlign w:val="top"/>
          </w:tcPr>
          <w:p w14:paraId="3FA8FC4D">
            <w:pPr>
              <w:spacing w:line="250" w:lineRule="auto"/>
              <w:rPr>
                <w:rFonts w:ascii="Arial"/>
                <w:sz w:val="21"/>
              </w:rPr>
            </w:pPr>
          </w:p>
          <w:p w14:paraId="7F77297D">
            <w:pPr>
              <w:spacing w:line="250" w:lineRule="auto"/>
              <w:rPr>
                <w:rFonts w:ascii="Arial"/>
                <w:sz w:val="21"/>
              </w:rPr>
            </w:pPr>
          </w:p>
          <w:p w14:paraId="70FF1398">
            <w:pPr>
              <w:pStyle w:val="6"/>
              <w:spacing w:before="57" w:line="195" w:lineRule="auto"/>
              <w:ind w:left="132"/>
              <w:rPr>
                <w:sz w:val="20"/>
                <w:szCs w:val="20"/>
              </w:rPr>
            </w:pPr>
            <w:r>
              <w:rPr>
                <w:sz w:val="20"/>
                <w:szCs w:val="20"/>
              </w:rPr>
              <w:t>94</w:t>
            </w:r>
          </w:p>
        </w:tc>
        <w:tc>
          <w:tcPr>
            <w:tcW w:w="479" w:type="dxa"/>
            <w:vAlign w:val="top"/>
          </w:tcPr>
          <w:p w14:paraId="6D324A5C">
            <w:pPr>
              <w:spacing w:line="250" w:lineRule="auto"/>
              <w:rPr>
                <w:rFonts w:ascii="Arial"/>
                <w:sz w:val="21"/>
              </w:rPr>
            </w:pPr>
          </w:p>
          <w:p w14:paraId="40641047">
            <w:pPr>
              <w:spacing w:line="250" w:lineRule="auto"/>
              <w:rPr>
                <w:rFonts w:ascii="Arial"/>
                <w:sz w:val="21"/>
              </w:rPr>
            </w:pPr>
          </w:p>
          <w:p w14:paraId="69B7BBDA">
            <w:pPr>
              <w:pStyle w:val="6"/>
              <w:spacing w:before="57" w:line="195" w:lineRule="auto"/>
              <w:ind w:left="143"/>
              <w:rPr>
                <w:sz w:val="20"/>
                <w:szCs w:val="20"/>
              </w:rPr>
            </w:pPr>
            <w:r>
              <w:rPr>
                <w:spacing w:val="-2"/>
                <w:sz w:val="20"/>
                <w:szCs w:val="20"/>
              </w:rPr>
              <w:t>88</w:t>
            </w:r>
          </w:p>
        </w:tc>
        <w:tc>
          <w:tcPr>
            <w:tcW w:w="481" w:type="dxa"/>
            <w:vAlign w:val="top"/>
          </w:tcPr>
          <w:p w14:paraId="7598DF3E">
            <w:pPr>
              <w:spacing w:line="250" w:lineRule="auto"/>
              <w:rPr>
                <w:rFonts w:ascii="Arial"/>
                <w:sz w:val="21"/>
              </w:rPr>
            </w:pPr>
          </w:p>
          <w:p w14:paraId="6C0D8981">
            <w:pPr>
              <w:spacing w:line="250" w:lineRule="auto"/>
              <w:rPr>
                <w:rFonts w:ascii="Arial"/>
                <w:sz w:val="21"/>
              </w:rPr>
            </w:pPr>
          </w:p>
          <w:p w14:paraId="4BDF2A33">
            <w:pPr>
              <w:pStyle w:val="6"/>
              <w:spacing w:before="57" w:line="195" w:lineRule="auto"/>
              <w:ind w:left="144"/>
              <w:rPr>
                <w:sz w:val="20"/>
                <w:szCs w:val="20"/>
              </w:rPr>
            </w:pPr>
            <w:r>
              <w:rPr>
                <w:spacing w:val="-2"/>
                <w:sz w:val="20"/>
                <w:szCs w:val="20"/>
              </w:rPr>
              <w:t>82</w:t>
            </w:r>
          </w:p>
        </w:tc>
        <w:tc>
          <w:tcPr>
            <w:tcW w:w="481" w:type="dxa"/>
            <w:vAlign w:val="top"/>
          </w:tcPr>
          <w:p w14:paraId="6E2EEFF7">
            <w:pPr>
              <w:spacing w:line="250" w:lineRule="auto"/>
              <w:rPr>
                <w:rFonts w:ascii="Arial"/>
                <w:sz w:val="21"/>
              </w:rPr>
            </w:pPr>
          </w:p>
          <w:p w14:paraId="143FAD5A">
            <w:pPr>
              <w:spacing w:line="250" w:lineRule="auto"/>
              <w:rPr>
                <w:rFonts w:ascii="Arial"/>
                <w:sz w:val="21"/>
              </w:rPr>
            </w:pPr>
          </w:p>
          <w:p w14:paraId="22FCF39D">
            <w:pPr>
              <w:pStyle w:val="6"/>
              <w:spacing w:before="57" w:line="195" w:lineRule="auto"/>
              <w:ind w:left="140"/>
              <w:rPr>
                <w:sz w:val="20"/>
                <w:szCs w:val="20"/>
              </w:rPr>
            </w:pPr>
            <w:r>
              <w:rPr>
                <w:spacing w:val="1"/>
                <w:sz w:val="20"/>
                <w:szCs w:val="20"/>
              </w:rPr>
              <w:t>78</w:t>
            </w:r>
          </w:p>
        </w:tc>
        <w:tc>
          <w:tcPr>
            <w:tcW w:w="481" w:type="dxa"/>
            <w:vAlign w:val="top"/>
          </w:tcPr>
          <w:p w14:paraId="7324F51B">
            <w:pPr>
              <w:spacing w:line="250" w:lineRule="auto"/>
              <w:rPr>
                <w:rFonts w:ascii="Arial"/>
                <w:sz w:val="21"/>
              </w:rPr>
            </w:pPr>
          </w:p>
          <w:p w14:paraId="48CBBA06">
            <w:pPr>
              <w:spacing w:line="250" w:lineRule="auto"/>
              <w:rPr>
                <w:rFonts w:ascii="Arial"/>
                <w:sz w:val="21"/>
              </w:rPr>
            </w:pPr>
          </w:p>
          <w:p w14:paraId="296D907F">
            <w:pPr>
              <w:pStyle w:val="6"/>
              <w:spacing w:before="57" w:line="195" w:lineRule="auto"/>
              <w:ind w:left="139"/>
              <w:rPr>
                <w:sz w:val="20"/>
                <w:szCs w:val="20"/>
              </w:rPr>
            </w:pPr>
            <w:r>
              <w:rPr>
                <w:spacing w:val="1"/>
                <w:sz w:val="20"/>
                <w:szCs w:val="20"/>
              </w:rPr>
              <w:t>76</w:t>
            </w:r>
          </w:p>
        </w:tc>
        <w:tc>
          <w:tcPr>
            <w:tcW w:w="481" w:type="dxa"/>
            <w:vAlign w:val="top"/>
          </w:tcPr>
          <w:p w14:paraId="5F129A2A">
            <w:pPr>
              <w:spacing w:line="250" w:lineRule="auto"/>
              <w:rPr>
                <w:rFonts w:ascii="Arial"/>
                <w:sz w:val="21"/>
              </w:rPr>
            </w:pPr>
          </w:p>
          <w:p w14:paraId="6C97B9BA">
            <w:pPr>
              <w:spacing w:line="250" w:lineRule="auto"/>
              <w:rPr>
                <w:rFonts w:ascii="Arial"/>
                <w:sz w:val="21"/>
              </w:rPr>
            </w:pPr>
          </w:p>
          <w:p w14:paraId="3B88A248">
            <w:pPr>
              <w:pStyle w:val="6"/>
              <w:spacing w:before="57" w:line="195" w:lineRule="auto"/>
              <w:ind w:left="140"/>
              <w:rPr>
                <w:sz w:val="20"/>
                <w:szCs w:val="20"/>
              </w:rPr>
            </w:pPr>
            <w:r>
              <w:rPr>
                <w:spacing w:val="1"/>
                <w:sz w:val="20"/>
                <w:szCs w:val="20"/>
              </w:rPr>
              <w:t>74</w:t>
            </w:r>
          </w:p>
        </w:tc>
        <w:tc>
          <w:tcPr>
            <w:tcW w:w="481" w:type="dxa"/>
            <w:vAlign w:val="top"/>
          </w:tcPr>
          <w:p w14:paraId="452BE11F">
            <w:pPr>
              <w:spacing w:line="250" w:lineRule="auto"/>
              <w:rPr>
                <w:rFonts w:ascii="Arial"/>
                <w:sz w:val="21"/>
              </w:rPr>
            </w:pPr>
          </w:p>
          <w:p w14:paraId="4A048575">
            <w:pPr>
              <w:spacing w:line="250" w:lineRule="auto"/>
              <w:rPr>
                <w:rFonts w:ascii="Arial"/>
                <w:sz w:val="21"/>
              </w:rPr>
            </w:pPr>
          </w:p>
          <w:p w14:paraId="2C4D2981">
            <w:pPr>
              <w:pStyle w:val="6"/>
              <w:spacing w:before="57" w:line="195" w:lineRule="auto"/>
              <w:ind w:left="139"/>
              <w:rPr>
                <w:sz w:val="20"/>
                <w:szCs w:val="20"/>
              </w:rPr>
            </w:pPr>
            <w:r>
              <w:rPr>
                <w:spacing w:val="1"/>
                <w:sz w:val="20"/>
                <w:szCs w:val="20"/>
              </w:rPr>
              <w:t>72</w:t>
            </w:r>
          </w:p>
        </w:tc>
        <w:tc>
          <w:tcPr>
            <w:tcW w:w="481" w:type="dxa"/>
            <w:vAlign w:val="top"/>
          </w:tcPr>
          <w:p w14:paraId="53CF3E88">
            <w:pPr>
              <w:spacing w:line="250" w:lineRule="auto"/>
              <w:rPr>
                <w:rFonts w:ascii="Arial"/>
                <w:sz w:val="21"/>
              </w:rPr>
            </w:pPr>
          </w:p>
          <w:p w14:paraId="775D5488">
            <w:pPr>
              <w:spacing w:line="250" w:lineRule="auto"/>
              <w:rPr>
                <w:rFonts w:ascii="Arial"/>
                <w:sz w:val="21"/>
              </w:rPr>
            </w:pPr>
          </w:p>
          <w:p w14:paraId="2AB59FC0">
            <w:pPr>
              <w:pStyle w:val="6"/>
              <w:spacing w:before="57" w:line="195" w:lineRule="auto"/>
              <w:ind w:left="141"/>
              <w:rPr>
                <w:sz w:val="20"/>
                <w:szCs w:val="20"/>
              </w:rPr>
            </w:pPr>
            <w:r>
              <w:rPr>
                <w:spacing w:val="1"/>
                <w:sz w:val="20"/>
                <w:szCs w:val="20"/>
              </w:rPr>
              <w:t>70</w:t>
            </w:r>
          </w:p>
        </w:tc>
        <w:tc>
          <w:tcPr>
            <w:tcW w:w="600" w:type="dxa"/>
            <w:vAlign w:val="top"/>
          </w:tcPr>
          <w:p w14:paraId="53A83651">
            <w:pPr>
              <w:spacing w:line="250" w:lineRule="auto"/>
              <w:rPr>
                <w:rFonts w:ascii="Arial"/>
                <w:sz w:val="21"/>
              </w:rPr>
            </w:pPr>
          </w:p>
          <w:p w14:paraId="14DC4C16">
            <w:pPr>
              <w:spacing w:line="250" w:lineRule="auto"/>
              <w:rPr>
                <w:rFonts w:ascii="Arial"/>
                <w:sz w:val="21"/>
              </w:rPr>
            </w:pPr>
          </w:p>
          <w:p w14:paraId="11FF6EBF">
            <w:pPr>
              <w:pStyle w:val="6"/>
              <w:spacing w:before="57" w:line="195" w:lineRule="auto"/>
              <w:ind w:left="201"/>
              <w:rPr>
                <w:sz w:val="20"/>
                <w:szCs w:val="20"/>
              </w:rPr>
            </w:pPr>
            <w:r>
              <w:rPr>
                <w:sz w:val="20"/>
                <w:szCs w:val="20"/>
              </w:rPr>
              <w:t>68</w:t>
            </w:r>
          </w:p>
        </w:tc>
        <w:tc>
          <w:tcPr>
            <w:tcW w:w="600" w:type="dxa"/>
            <w:vAlign w:val="top"/>
          </w:tcPr>
          <w:p w14:paraId="4B2387D6">
            <w:pPr>
              <w:spacing w:line="250" w:lineRule="auto"/>
              <w:rPr>
                <w:rFonts w:ascii="Arial"/>
                <w:sz w:val="21"/>
              </w:rPr>
            </w:pPr>
          </w:p>
          <w:p w14:paraId="5A5D348B">
            <w:pPr>
              <w:spacing w:line="250" w:lineRule="auto"/>
              <w:rPr>
                <w:rFonts w:ascii="Arial"/>
                <w:sz w:val="21"/>
              </w:rPr>
            </w:pPr>
          </w:p>
          <w:p w14:paraId="039B146E">
            <w:pPr>
              <w:pStyle w:val="6"/>
              <w:spacing w:before="57" w:line="195" w:lineRule="auto"/>
              <w:ind w:left="201"/>
              <w:rPr>
                <w:sz w:val="20"/>
                <w:szCs w:val="20"/>
              </w:rPr>
            </w:pPr>
            <w:r>
              <w:rPr>
                <w:sz w:val="20"/>
                <w:szCs w:val="20"/>
              </w:rPr>
              <w:t>66</w:t>
            </w:r>
          </w:p>
        </w:tc>
        <w:tc>
          <w:tcPr>
            <w:tcW w:w="711" w:type="dxa"/>
            <w:tcBorders>
              <w:right w:val="nil"/>
            </w:tcBorders>
            <w:vAlign w:val="top"/>
          </w:tcPr>
          <w:p w14:paraId="2A1CAEA1">
            <w:pPr>
              <w:spacing w:line="250" w:lineRule="auto"/>
              <w:rPr>
                <w:rFonts w:ascii="Arial"/>
                <w:sz w:val="21"/>
              </w:rPr>
            </w:pPr>
          </w:p>
          <w:p w14:paraId="3FCE055B">
            <w:pPr>
              <w:spacing w:line="250" w:lineRule="auto"/>
              <w:rPr>
                <w:rFonts w:ascii="Arial"/>
                <w:sz w:val="21"/>
              </w:rPr>
            </w:pPr>
          </w:p>
          <w:p w14:paraId="0AC35017">
            <w:pPr>
              <w:pStyle w:val="6"/>
              <w:spacing w:before="57" w:line="195" w:lineRule="auto"/>
              <w:ind w:left="256"/>
              <w:rPr>
                <w:sz w:val="20"/>
                <w:szCs w:val="20"/>
              </w:rPr>
            </w:pPr>
            <w:r>
              <w:rPr>
                <w:sz w:val="20"/>
                <w:szCs w:val="20"/>
              </w:rPr>
              <w:t>62</w:t>
            </w:r>
          </w:p>
        </w:tc>
      </w:tr>
      <w:tr w14:paraId="08C429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7" w:hRule="atLeast"/>
        </w:trPr>
        <w:tc>
          <w:tcPr>
            <w:tcW w:w="1064" w:type="dxa"/>
            <w:tcBorders>
              <w:left w:val="nil"/>
              <w:bottom w:val="single" w:color="000000" w:sz="10" w:space="0"/>
            </w:tcBorders>
            <w:vAlign w:val="top"/>
          </w:tcPr>
          <w:p w14:paraId="6649B848">
            <w:pPr>
              <w:spacing w:line="466" w:lineRule="auto"/>
              <w:rPr>
                <w:rFonts w:ascii="Arial"/>
                <w:sz w:val="21"/>
              </w:rPr>
            </w:pPr>
          </w:p>
          <w:p w14:paraId="733DC310">
            <w:pPr>
              <w:spacing w:before="65" w:line="232" w:lineRule="auto"/>
              <w:ind w:left="124"/>
              <w:rPr>
                <w:rFonts w:ascii="仿宋" w:hAnsi="仿宋" w:eastAsia="仿宋" w:cs="仿宋"/>
                <w:sz w:val="20"/>
                <w:szCs w:val="20"/>
              </w:rPr>
            </w:pPr>
            <w:r>
              <w:rPr>
                <w:rFonts w:ascii="仿宋" w:hAnsi="仿宋" w:eastAsia="仿宋" w:cs="仿宋"/>
                <w:spacing w:val="6"/>
                <w:sz w:val="20"/>
                <w:szCs w:val="20"/>
              </w:rPr>
              <w:t>路面施工</w:t>
            </w:r>
          </w:p>
        </w:tc>
        <w:tc>
          <w:tcPr>
            <w:tcW w:w="1715" w:type="dxa"/>
            <w:tcBorders>
              <w:bottom w:val="single" w:color="000000" w:sz="10" w:space="0"/>
            </w:tcBorders>
            <w:vAlign w:val="top"/>
          </w:tcPr>
          <w:p w14:paraId="0C42784B">
            <w:pPr>
              <w:spacing w:before="66" w:line="231" w:lineRule="auto"/>
              <w:ind w:left="134"/>
              <w:rPr>
                <w:rFonts w:ascii="仿宋" w:hAnsi="仿宋" w:eastAsia="仿宋" w:cs="仿宋"/>
                <w:sz w:val="20"/>
                <w:szCs w:val="20"/>
              </w:rPr>
            </w:pPr>
            <w:r>
              <w:rPr>
                <w:rFonts w:ascii="仿宋" w:hAnsi="仿宋" w:eastAsia="仿宋" w:cs="仿宋"/>
                <w:spacing w:val="7"/>
                <w:sz w:val="20"/>
                <w:szCs w:val="20"/>
              </w:rPr>
              <w:t>摊铺机、路面切</w:t>
            </w:r>
          </w:p>
          <w:p w14:paraId="1F10CCF7">
            <w:pPr>
              <w:spacing w:before="61" w:line="231" w:lineRule="auto"/>
              <w:ind w:left="137"/>
              <w:rPr>
                <w:rFonts w:ascii="仿宋" w:hAnsi="仿宋" w:eastAsia="仿宋" w:cs="仿宋"/>
                <w:sz w:val="20"/>
                <w:szCs w:val="20"/>
              </w:rPr>
            </w:pPr>
            <w:r>
              <w:rPr>
                <w:rFonts w:ascii="仿宋" w:hAnsi="仿宋" w:eastAsia="仿宋" w:cs="仿宋"/>
                <w:spacing w:val="7"/>
                <w:sz w:val="20"/>
                <w:szCs w:val="20"/>
              </w:rPr>
              <w:t>割机、商砼搅拌</w:t>
            </w:r>
          </w:p>
          <w:p w14:paraId="58F1298E">
            <w:pPr>
              <w:spacing w:before="61" w:line="228" w:lineRule="auto"/>
              <w:ind w:left="139"/>
              <w:rPr>
                <w:rFonts w:ascii="仿宋" w:hAnsi="仿宋" w:eastAsia="仿宋" w:cs="仿宋"/>
                <w:sz w:val="20"/>
                <w:szCs w:val="20"/>
              </w:rPr>
            </w:pPr>
            <w:r>
              <w:rPr>
                <w:rFonts w:ascii="仿宋" w:hAnsi="仿宋" w:eastAsia="仿宋" w:cs="仿宋"/>
                <w:spacing w:val="8"/>
                <w:sz w:val="20"/>
                <w:szCs w:val="20"/>
              </w:rPr>
              <w:t>车、压路机、运</w:t>
            </w:r>
          </w:p>
          <w:p w14:paraId="5D8E43A1">
            <w:pPr>
              <w:spacing w:before="65" w:line="228" w:lineRule="auto"/>
              <w:ind w:left="555"/>
              <w:rPr>
                <w:rFonts w:ascii="仿宋" w:hAnsi="仿宋" w:eastAsia="仿宋" w:cs="仿宋"/>
                <w:sz w:val="20"/>
                <w:szCs w:val="20"/>
              </w:rPr>
            </w:pPr>
            <w:r>
              <w:rPr>
                <w:rFonts w:ascii="仿宋" w:hAnsi="仿宋" w:eastAsia="仿宋" w:cs="仿宋"/>
                <w:spacing w:val="4"/>
                <w:sz w:val="20"/>
                <w:szCs w:val="20"/>
              </w:rPr>
              <w:t>输车辆</w:t>
            </w:r>
          </w:p>
        </w:tc>
        <w:tc>
          <w:tcPr>
            <w:tcW w:w="464" w:type="dxa"/>
            <w:tcBorders>
              <w:bottom w:val="single" w:color="000000" w:sz="10" w:space="0"/>
            </w:tcBorders>
            <w:vAlign w:val="top"/>
          </w:tcPr>
          <w:p w14:paraId="13D2A352">
            <w:pPr>
              <w:spacing w:line="254" w:lineRule="auto"/>
              <w:rPr>
                <w:rFonts w:ascii="Arial"/>
                <w:sz w:val="21"/>
              </w:rPr>
            </w:pPr>
          </w:p>
          <w:p w14:paraId="6E409253">
            <w:pPr>
              <w:spacing w:line="255" w:lineRule="auto"/>
              <w:rPr>
                <w:rFonts w:ascii="Arial"/>
                <w:sz w:val="21"/>
              </w:rPr>
            </w:pPr>
          </w:p>
          <w:p w14:paraId="262C5470">
            <w:pPr>
              <w:pStyle w:val="6"/>
              <w:spacing w:before="58" w:line="195" w:lineRule="auto"/>
              <w:ind w:left="132"/>
              <w:rPr>
                <w:sz w:val="20"/>
                <w:szCs w:val="20"/>
              </w:rPr>
            </w:pPr>
            <w:r>
              <w:rPr>
                <w:sz w:val="20"/>
                <w:szCs w:val="20"/>
              </w:rPr>
              <w:t>95</w:t>
            </w:r>
          </w:p>
        </w:tc>
        <w:tc>
          <w:tcPr>
            <w:tcW w:w="479" w:type="dxa"/>
            <w:tcBorders>
              <w:bottom w:val="single" w:color="000000" w:sz="10" w:space="0"/>
            </w:tcBorders>
            <w:vAlign w:val="top"/>
          </w:tcPr>
          <w:p w14:paraId="26261CE2">
            <w:pPr>
              <w:spacing w:line="254" w:lineRule="auto"/>
              <w:rPr>
                <w:rFonts w:ascii="Arial"/>
                <w:sz w:val="21"/>
              </w:rPr>
            </w:pPr>
          </w:p>
          <w:p w14:paraId="09312219">
            <w:pPr>
              <w:spacing w:line="255" w:lineRule="auto"/>
              <w:rPr>
                <w:rFonts w:ascii="Arial"/>
                <w:sz w:val="21"/>
              </w:rPr>
            </w:pPr>
          </w:p>
          <w:p w14:paraId="23E7C26E">
            <w:pPr>
              <w:pStyle w:val="6"/>
              <w:spacing w:before="58" w:line="195" w:lineRule="auto"/>
              <w:ind w:left="143"/>
              <w:rPr>
                <w:sz w:val="20"/>
                <w:szCs w:val="20"/>
              </w:rPr>
            </w:pPr>
            <w:r>
              <w:rPr>
                <w:spacing w:val="-2"/>
                <w:sz w:val="20"/>
                <w:szCs w:val="20"/>
              </w:rPr>
              <w:t>89</w:t>
            </w:r>
          </w:p>
        </w:tc>
        <w:tc>
          <w:tcPr>
            <w:tcW w:w="481" w:type="dxa"/>
            <w:tcBorders>
              <w:bottom w:val="single" w:color="000000" w:sz="10" w:space="0"/>
            </w:tcBorders>
            <w:vAlign w:val="top"/>
          </w:tcPr>
          <w:p w14:paraId="0ADA7303">
            <w:pPr>
              <w:spacing w:line="254" w:lineRule="auto"/>
              <w:rPr>
                <w:rFonts w:ascii="Arial"/>
                <w:sz w:val="21"/>
              </w:rPr>
            </w:pPr>
          </w:p>
          <w:p w14:paraId="54C5E337">
            <w:pPr>
              <w:spacing w:line="255" w:lineRule="auto"/>
              <w:rPr>
                <w:rFonts w:ascii="Arial"/>
                <w:sz w:val="21"/>
              </w:rPr>
            </w:pPr>
          </w:p>
          <w:p w14:paraId="77E92E1F">
            <w:pPr>
              <w:pStyle w:val="6"/>
              <w:spacing w:before="58" w:line="195" w:lineRule="auto"/>
              <w:ind w:left="144"/>
              <w:rPr>
                <w:sz w:val="20"/>
                <w:szCs w:val="20"/>
              </w:rPr>
            </w:pPr>
            <w:r>
              <w:rPr>
                <w:spacing w:val="-2"/>
                <w:sz w:val="20"/>
                <w:szCs w:val="20"/>
              </w:rPr>
              <w:t>83</w:t>
            </w:r>
          </w:p>
        </w:tc>
        <w:tc>
          <w:tcPr>
            <w:tcW w:w="481" w:type="dxa"/>
            <w:tcBorders>
              <w:bottom w:val="single" w:color="000000" w:sz="10" w:space="0"/>
            </w:tcBorders>
            <w:vAlign w:val="top"/>
          </w:tcPr>
          <w:p w14:paraId="2BAF9F47">
            <w:pPr>
              <w:spacing w:line="254" w:lineRule="auto"/>
              <w:rPr>
                <w:rFonts w:ascii="Arial"/>
                <w:sz w:val="21"/>
              </w:rPr>
            </w:pPr>
          </w:p>
          <w:p w14:paraId="3D11B8E8">
            <w:pPr>
              <w:spacing w:line="255" w:lineRule="auto"/>
              <w:rPr>
                <w:rFonts w:ascii="Arial"/>
                <w:sz w:val="21"/>
              </w:rPr>
            </w:pPr>
          </w:p>
          <w:p w14:paraId="7178FD3B">
            <w:pPr>
              <w:pStyle w:val="6"/>
              <w:spacing w:before="58" w:line="195" w:lineRule="auto"/>
              <w:ind w:left="140"/>
              <w:rPr>
                <w:sz w:val="20"/>
                <w:szCs w:val="20"/>
              </w:rPr>
            </w:pPr>
            <w:r>
              <w:rPr>
                <w:spacing w:val="1"/>
                <w:sz w:val="20"/>
                <w:szCs w:val="20"/>
              </w:rPr>
              <w:t>79</w:t>
            </w:r>
          </w:p>
        </w:tc>
        <w:tc>
          <w:tcPr>
            <w:tcW w:w="481" w:type="dxa"/>
            <w:tcBorders>
              <w:bottom w:val="single" w:color="000000" w:sz="10" w:space="0"/>
            </w:tcBorders>
            <w:vAlign w:val="top"/>
          </w:tcPr>
          <w:p w14:paraId="0F432757">
            <w:pPr>
              <w:spacing w:line="256" w:lineRule="auto"/>
              <w:rPr>
                <w:rFonts w:ascii="Arial"/>
                <w:sz w:val="21"/>
              </w:rPr>
            </w:pPr>
          </w:p>
          <w:p w14:paraId="57941D7F">
            <w:pPr>
              <w:spacing w:line="256" w:lineRule="auto"/>
              <w:rPr>
                <w:rFonts w:ascii="Arial"/>
                <w:sz w:val="21"/>
              </w:rPr>
            </w:pPr>
          </w:p>
          <w:p w14:paraId="129B54F0">
            <w:pPr>
              <w:pStyle w:val="6"/>
              <w:spacing w:before="58" w:line="192" w:lineRule="auto"/>
              <w:ind w:left="139"/>
              <w:rPr>
                <w:sz w:val="20"/>
                <w:szCs w:val="20"/>
              </w:rPr>
            </w:pPr>
            <w:r>
              <w:rPr>
                <w:spacing w:val="1"/>
                <w:sz w:val="20"/>
                <w:szCs w:val="20"/>
              </w:rPr>
              <w:t>77</w:t>
            </w:r>
          </w:p>
        </w:tc>
        <w:tc>
          <w:tcPr>
            <w:tcW w:w="481" w:type="dxa"/>
            <w:tcBorders>
              <w:bottom w:val="single" w:color="000000" w:sz="10" w:space="0"/>
            </w:tcBorders>
            <w:vAlign w:val="top"/>
          </w:tcPr>
          <w:p w14:paraId="1C16B3B8">
            <w:pPr>
              <w:spacing w:line="256" w:lineRule="auto"/>
              <w:rPr>
                <w:rFonts w:ascii="Arial"/>
                <w:sz w:val="21"/>
              </w:rPr>
            </w:pPr>
          </w:p>
          <w:p w14:paraId="64CE209B">
            <w:pPr>
              <w:spacing w:line="256" w:lineRule="auto"/>
              <w:rPr>
                <w:rFonts w:ascii="Arial"/>
                <w:sz w:val="21"/>
              </w:rPr>
            </w:pPr>
          </w:p>
          <w:p w14:paraId="1018FF64">
            <w:pPr>
              <w:pStyle w:val="6"/>
              <w:spacing w:before="58" w:line="192" w:lineRule="auto"/>
              <w:ind w:left="140"/>
              <w:rPr>
                <w:sz w:val="20"/>
                <w:szCs w:val="20"/>
              </w:rPr>
            </w:pPr>
            <w:r>
              <w:rPr>
                <w:spacing w:val="1"/>
                <w:sz w:val="20"/>
                <w:szCs w:val="20"/>
              </w:rPr>
              <w:t>75</w:t>
            </w:r>
          </w:p>
        </w:tc>
        <w:tc>
          <w:tcPr>
            <w:tcW w:w="481" w:type="dxa"/>
            <w:tcBorders>
              <w:bottom w:val="single" w:color="000000" w:sz="10" w:space="0"/>
            </w:tcBorders>
            <w:vAlign w:val="top"/>
          </w:tcPr>
          <w:p w14:paraId="324EB83B">
            <w:pPr>
              <w:spacing w:line="254" w:lineRule="auto"/>
              <w:rPr>
                <w:rFonts w:ascii="Arial"/>
                <w:sz w:val="21"/>
              </w:rPr>
            </w:pPr>
          </w:p>
          <w:p w14:paraId="65C0C93F">
            <w:pPr>
              <w:spacing w:line="255" w:lineRule="auto"/>
              <w:rPr>
                <w:rFonts w:ascii="Arial"/>
                <w:sz w:val="21"/>
              </w:rPr>
            </w:pPr>
          </w:p>
          <w:p w14:paraId="4A3E9485">
            <w:pPr>
              <w:pStyle w:val="6"/>
              <w:spacing w:before="58" w:line="195" w:lineRule="auto"/>
              <w:ind w:left="139"/>
              <w:rPr>
                <w:sz w:val="20"/>
                <w:szCs w:val="20"/>
              </w:rPr>
            </w:pPr>
            <w:r>
              <w:rPr>
                <w:spacing w:val="1"/>
                <w:sz w:val="20"/>
                <w:szCs w:val="20"/>
              </w:rPr>
              <w:t>73</w:t>
            </w:r>
          </w:p>
        </w:tc>
        <w:tc>
          <w:tcPr>
            <w:tcW w:w="481" w:type="dxa"/>
            <w:tcBorders>
              <w:bottom w:val="single" w:color="000000" w:sz="10" w:space="0"/>
            </w:tcBorders>
            <w:vAlign w:val="top"/>
          </w:tcPr>
          <w:p w14:paraId="50AE33CF">
            <w:pPr>
              <w:spacing w:line="254" w:lineRule="auto"/>
              <w:rPr>
                <w:rFonts w:ascii="Arial"/>
                <w:sz w:val="21"/>
              </w:rPr>
            </w:pPr>
          </w:p>
          <w:p w14:paraId="240087B5">
            <w:pPr>
              <w:spacing w:line="255" w:lineRule="auto"/>
              <w:rPr>
                <w:rFonts w:ascii="Arial"/>
                <w:sz w:val="21"/>
              </w:rPr>
            </w:pPr>
          </w:p>
          <w:p w14:paraId="1D5F6A5F">
            <w:pPr>
              <w:pStyle w:val="6"/>
              <w:spacing w:before="58" w:line="195" w:lineRule="auto"/>
              <w:ind w:left="141"/>
              <w:rPr>
                <w:sz w:val="20"/>
                <w:szCs w:val="20"/>
              </w:rPr>
            </w:pPr>
            <w:r>
              <w:rPr>
                <w:spacing w:val="1"/>
                <w:sz w:val="20"/>
                <w:szCs w:val="20"/>
              </w:rPr>
              <w:t>71</w:t>
            </w:r>
          </w:p>
        </w:tc>
        <w:tc>
          <w:tcPr>
            <w:tcW w:w="600" w:type="dxa"/>
            <w:tcBorders>
              <w:bottom w:val="single" w:color="000000" w:sz="10" w:space="0"/>
            </w:tcBorders>
            <w:vAlign w:val="top"/>
          </w:tcPr>
          <w:p w14:paraId="7E3913B3">
            <w:pPr>
              <w:spacing w:line="254" w:lineRule="auto"/>
              <w:rPr>
                <w:rFonts w:ascii="Arial"/>
                <w:sz w:val="21"/>
              </w:rPr>
            </w:pPr>
          </w:p>
          <w:p w14:paraId="7F449EA0">
            <w:pPr>
              <w:spacing w:line="255" w:lineRule="auto"/>
              <w:rPr>
                <w:rFonts w:ascii="Arial"/>
                <w:sz w:val="21"/>
              </w:rPr>
            </w:pPr>
          </w:p>
          <w:p w14:paraId="5ECB4EB7">
            <w:pPr>
              <w:pStyle w:val="6"/>
              <w:spacing w:before="58" w:line="195" w:lineRule="auto"/>
              <w:ind w:left="201"/>
              <w:rPr>
                <w:sz w:val="20"/>
                <w:szCs w:val="20"/>
              </w:rPr>
            </w:pPr>
            <w:r>
              <w:rPr>
                <w:sz w:val="20"/>
                <w:szCs w:val="20"/>
              </w:rPr>
              <w:t>69</w:t>
            </w:r>
          </w:p>
        </w:tc>
        <w:tc>
          <w:tcPr>
            <w:tcW w:w="600" w:type="dxa"/>
            <w:tcBorders>
              <w:bottom w:val="single" w:color="000000" w:sz="10" w:space="0"/>
            </w:tcBorders>
            <w:vAlign w:val="top"/>
          </w:tcPr>
          <w:p w14:paraId="2E162921">
            <w:pPr>
              <w:spacing w:line="254" w:lineRule="auto"/>
              <w:rPr>
                <w:rFonts w:ascii="Arial"/>
                <w:sz w:val="21"/>
              </w:rPr>
            </w:pPr>
          </w:p>
          <w:p w14:paraId="47042287">
            <w:pPr>
              <w:spacing w:line="255" w:lineRule="auto"/>
              <w:rPr>
                <w:rFonts w:ascii="Arial"/>
                <w:sz w:val="21"/>
              </w:rPr>
            </w:pPr>
          </w:p>
          <w:p w14:paraId="133FD2DA">
            <w:pPr>
              <w:pStyle w:val="6"/>
              <w:spacing w:before="58" w:line="195" w:lineRule="auto"/>
              <w:ind w:left="201"/>
              <w:rPr>
                <w:sz w:val="20"/>
                <w:szCs w:val="20"/>
              </w:rPr>
            </w:pPr>
            <w:r>
              <w:rPr>
                <w:sz w:val="20"/>
                <w:szCs w:val="20"/>
              </w:rPr>
              <w:t>67</w:t>
            </w:r>
          </w:p>
        </w:tc>
        <w:tc>
          <w:tcPr>
            <w:tcW w:w="711" w:type="dxa"/>
            <w:tcBorders>
              <w:bottom w:val="single" w:color="000000" w:sz="10" w:space="0"/>
              <w:right w:val="nil"/>
            </w:tcBorders>
            <w:vAlign w:val="top"/>
          </w:tcPr>
          <w:p w14:paraId="55852EA7">
            <w:pPr>
              <w:spacing w:line="254" w:lineRule="auto"/>
              <w:rPr>
                <w:rFonts w:ascii="Arial"/>
                <w:sz w:val="21"/>
              </w:rPr>
            </w:pPr>
          </w:p>
          <w:p w14:paraId="3E528647">
            <w:pPr>
              <w:spacing w:line="255" w:lineRule="auto"/>
              <w:rPr>
                <w:rFonts w:ascii="Arial"/>
                <w:sz w:val="21"/>
              </w:rPr>
            </w:pPr>
          </w:p>
          <w:p w14:paraId="15BF8A90">
            <w:pPr>
              <w:pStyle w:val="6"/>
              <w:spacing w:before="58" w:line="195" w:lineRule="auto"/>
              <w:ind w:left="256"/>
              <w:rPr>
                <w:sz w:val="20"/>
                <w:szCs w:val="20"/>
              </w:rPr>
            </w:pPr>
            <w:r>
              <w:rPr>
                <w:sz w:val="20"/>
                <w:szCs w:val="20"/>
              </w:rPr>
              <w:t>63</w:t>
            </w:r>
          </w:p>
        </w:tc>
      </w:tr>
    </w:tbl>
    <w:p w14:paraId="75BCA401">
      <w:pPr>
        <w:spacing w:before="115" w:line="223" w:lineRule="auto"/>
        <w:ind w:left="607"/>
        <w:rPr>
          <w:rFonts w:ascii="仿宋" w:hAnsi="仿宋" w:eastAsia="仿宋" w:cs="仿宋"/>
          <w:sz w:val="24"/>
          <w:szCs w:val="24"/>
        </w:rPr>
      </w:pPr>
      <w:r>
        <w:rPr>
          <w:rFonts w:ascii="仿宋" w:hAnsi="仿宋" w:eastAsia="仿宋" w:cs="仿宋"/>
          <w:spacing w:val="-4"/>
          <w:sz w:val="24"/>
          <w:szCs w:val="24"/>
        </w:rPr>
        <w:t>（</w:t>
      </w:r>
      <w:r>
        <w:rPr>
          <w:rFonts w:ascii="Times New Roman" w:hAnsi="Times New Roman" w:eastAsia="Times New Roman" w:cs="Times New Roman"/>
          <w:spacing w:val="-4"/>
          <w:sz w:val="24"/>
          <w:szCs w:val="24"/>
        </w:rPr>
        <w:t>1</w:t>
      </w:r>
      <w:r>
        <w:rPr>
          <w:rFonts w:ascii="仿宋" w:hAnsi="仿宋" w:eastAsia="仿宋" w:cs="仿宋"/>
          <w:spacing w:val="-4"/>
          <w:sz w:val="24"/>
          <w:szCs w:val="24"/>
        </w:rPr>
        <w:t>）昼间：</w:t>
      </w:r>
    </w:p>
    <w:p w14:paraId="6EE7AB9B">
      <w:pPr>
        <w:spacing w:before="177" w:line="351" w:lineRule="auto"/>
        <w:ind w:left="147" w:right="40" w:firstLine="453"/>
        <w:rPr>
          <w:rFonts w:ascii="仿宋" w:hAnsi="仿宋" w:eastAsia="仿宋" w:cs="仿宋"/>
          <w:sz w:val="24"/>
          <w:szCs w:val="24"/>
        </w:rPr>
      </w:pPr>
      <w:r>
        <w:rPr>
          <w:rFonts w:ascii="仿宋" w:hAnsi="仿宋" w:eastAsia="仿宋" w:cs="仿宋"/>
          <w:spacing w:val="-2"/>
          <w:sz w:val="24"/>
          <w:szCs w:val="24"/>
        </w:rPr>
        <w:t>路基施工多机同步作业时（最不利条件</w:t>
      </w:r>
      <w:r>
        <w:rPr>
          <w:rFonts w:ascii="仿宋" w:hAnsi="仿宋" w:eastAsia="仿宋" w:cs="仿宋"/>
          <w:spacing w:val="7"/>
          <w:sz w:val="24"/>
          <w:szCs w:val="24"/>
        </w:rPr>
        <w:t>），</w:t>
      </w:r>
      <w:r>
        <w:rPr>
          <w:rFonts w:ascii="Times New Roman" w:hAnsi="Times New Roman" w:eastAsia="Times New Roman" w:cs="Times New Roman"/>
          <w:spacing w:val="-2"/>
          <w:sz w:val="24"/>
          <w:szCs w:val="24"/>
        </w:rPr>
        <w:t>80m</w:t>
      </w:r>
      <w:r>
        <w:rPr>
          <w:rFonts w:ascii="Times New Roman" w:hAnsi="Times New Roman" w:eastAsia="Times New Roman" w:cs="Times New Roman"/>
          <w:spacing w:val="16"/>
          <w:sz w:val="24"/>
          <w:szCs w:val="24"/>
        </w:rPr>
        <w:t xml:space="preserve"> </w:t>
      </w:r>
      <w:r>
        <w:rPr>
          <w:rFonts w:ascii="仿宋" w:hAnsi="仿宋" w:eastAsia="仿宋" w:cs="仿宋"/>
          <w:spacing w:val="-2"/>
          <w:sz w:val="24"/>
          <w:szCs w:val="24"/>
        </w:rPr>
        <w:t>处</w:t>
      </w:r>
      <w:r>
        <w:rPr>
          <w:rFonts w:ascii="仿宋" w:hAnsi="仿宋" w:eastAsia="仿宋" w:cs="仿宋"/>
          <w:spacing w:val="-3"/>
          <w:sz w:val="24"/>
          <w:szCs w:val="24"/>
        </w:rPr>
        <w:t>噪声值</w:t>
      </w:r>
      <w:r>
        <w:rPr>
          <w:rFonts w:ascii="仿宋" w:hAnsi="仿宋" w:eastAsia="仿宋" w:cs="仿宋"/>
          <w:spacing w:val="-51"/>
          <w:sz w:val="24"/>
          <w:szCs w:val="24"/>
        </w:rPr>
        <w:t xml:space="preserve"> </w:t>
      </w:r>
      <w:r>
        <w:rPr>
          <w:rFonts w:ascii="Times New Roman" w:hAnsi="Times New Roman" w:eastAsia="Times New Roman" w:cs="Times New Roman"/>
          <w:spacing w:val="-3"/>
          <w:sz w:val="24"/>
          <w:szCs w:val="24"/>
        </w:rPr>
        <w:t>70dB (A)</w:t>
      </w:r>
      <w:r>
        <w:rPr>
          <w:rFonts w:ascii="Times New Roman" w:hAnsi="Times New Roman" w:eastAsia="Times New Roman" w:cs="Times New Roman"/>
          <w:spacing w:val="-26"/>
          <w:sz w:val="24"/>
          <w:szCs w:val="24"/>
        </w:rPr>
        <w:t xml:space="preserve"> </w:t>
      </w:r>
      <w:r>
        <w:rPr>
          <w:rFonts w:ascii="仿宋" w:hAnsi="仿宋" w:eastAsia="仿宋" w:cs="仿宋"/>
          <w:spacing w:val="-3"/>
          <w:sz w:val="24"/>
          <w:szCs w:val="24"/>
        </w:rPr>
        <w:t>，</w:t>
      </w:r>
      <w:r>
        <w:rPr>
          <w:rFonts w:ascii="Times New Roman" w:hAnsi="Times New Roman" w:eastAsia="Times New Roman" w:cs="Times New Roman"/>
          <w:spacing w:val="-3"/>
          <w:sz w:val="24"/>
          <w:szCs w:val="24"/>
        </w:rPr>
        <w:t>100m</w:t>
      </w:r>
      <w:r>
        <w:rPr>
          <w:rFonts w:ascii="仿宋" w:hAnsi="仿宋" w:eastAsia="仿宋" w:cs="仿宋"/>
          <w:spacing w:val="-8"/>
          <w:sz w:val="24"/>
          <w:szCs w:val="24"/>
        </w:rPr>
        <w:t>以外昼间稳定达标；路面多机同步作业（最不利条件</w:t>
      </w:r>
      <w:r>
        <w:rPr>
          <w:rFonts w:ascii="仿宋" w:hAnsi="仿宋" w:eastAsia="仿宋" w:cs="仿宋"/>
          <w:spacing w:val="-64"/>
          <w:w w:val="95"/>
          <w:sz w:val="24"/>
          <w:szCs w:val="24"/>
        </w:rPr>
        <w:t>），</w:t>
      </w:r>
      <w:r>
        <w:rPr>
          <w:rFonts w:ascii="Times New Roman" w:hAnsi="Times New Roman" w:eastAsia="Times New Roman" w:cs="Times New Roman"/>
          <w:spacing w:val="-8"/>
          <w:sz w:val="24"/>
          <w:szCs w:val="24"/>
        </w:rPr>
        <w:t>100m</w:t>
      </w:r>
      <w:r>
        <w:rPr>
          <w:rFonts w:ascii="Times New Roman" w:hAnsi="Times New Roman" w:eastAsia="Times New Roman" w:cs="Times New Roman"/>
          <w:spacing w:val="20"/>
          <w:sz w:val="24"/>
          <w:szCs w:val="24"/>
        </w:rPr>
        <w:t xml:space="preserve"> </w:t>
      </w:r>
      <w:r>
        <w:rPr>
          <w:rFonts w:ascii="仿宋" w:hAnsi="仿宋" w:eastAsia="仿宋" w:cs="仿宋"/>
          <w:spacing w:val="-8"/>
          <w:sz w:val="24"/>
          <w:szCs w:val="24"/>
        </w:rPr>
        <w:t>处噪声值</w:t>
      </w:r>
      <w:r>
        <w:rPr>
          <w:rFonts w:ascii="仿宋" w:hAnsi="仿宋" w:eastAsia="仿宋" w:cs="仿宋"/>
          <w:spacing w:val="-50"/>
          <w:sz w:val="24"/>
          <w:szCs w:val="24"/>
        </w:rPr>
        <w:t xml:space="preserve"> </w:t>
      </w:r>
      <w:r>
        <w:rPr>
          <w:rFonts w:ascii="Times New Roman" w:hAnsi="Times New Roman" w:eastAsia="Times New Roman" w:cs="Times New Roman"/>
          <w:spacing w:val="-8"/>
          <w:sz w:val="24"/>
          <w:szCs w:val="24"/>
        </w:rPr>
        <w:t>6</w:t>
      </w:r>
      <w:r>
        <w:rPr>
          <w:rFonts w:ascii="Times New Roman" w:hAnsi="Times New Roman" w:eastAsia="Times New Roman" w:cs="Times New Roman"/>
          <w:spacing w:val="-9"/>
          <w:sz w:val="24"/>
          <w:szCs w:val="24"/>
        </w:rPr>
        <w:t>9dB (A)</w:t>
      </w:r>
      <w:r>
        <w:rPr>
          <w:rFonts w:ascii="仿宋" w:hAnsi="仿宋" w:eastAsia="仿宋" w:cs="仿宋"/>
          <w:spacing w:val="-9"/>
          <w:sz w:val="24"/>
          <w:szCs w:val="24"/>
        </w:rPr>
        <w:t>，</w:t>
      </w:r>
    </w:p>
    <w:p w14:paraId="31EC5DC3">
      <w:pPr>
        <w:spacing w:line="351" w:lineRule="auto"/>
        <w:rPr>
          <w:rFonts w:ascii="仿宋" w:hAnsi="仿宋" w:eastAsia="仿宋" w:cs="仿宋"/>
          <w:sz w:val="24"/>
          <w:szCs w:val="24"/>
        </w:rPr>
        <w:sectPr>
          <w:footerReference r:id="rId173" w:type="default"/>
          <w:pgSz w:w="11906" w:h="16839"/>
          <w:pgMar w:top="400" w:right="1693" w:bottom="1370" w:left="1693" w:header="0" w:footer="1207" w:gutter="0"/>
          <w:cols w:space="720" w:num="1"/>
        </w:sectPr>
      </w:pPr>
    </w:p>
    <w:p w14:paraId="6A5A759E">
      <w:pPr>
        <w:pStyle w:val="2"/>
        <w:spacing w:line="267" w:lineRule="auto"/>
        <w:rPr>
          <w:sz w:val="21"/>
        </w:rPr>
      </w:pPr>
    </w:p>
    <w:p w14:paraId="10C55CFD">
      <w:pPr>
        <w:pStyle w:val="2"/>
        <w:spacing w:line="267" w:lineRule="auto"/>
        <w:rPr>
          <w:sz w:val="21"/>
        </w:rPr>
      </w:pPr>
    </w:p>
    <w:p w14:paraId="58610EC9">
      <w:pPr>
        <w:pStyle w:val="2"/>
        <w:spacing w:line="267" w:lineRule="auto"/>
        <w:rPr>
          <w:sz w:val="21"/>
        </w:rPr>
      </w:pPr>
    </w:p>
    <w:p w14:paraId="0DFD7314">
      <w:pPr>
        <w:pStyle w:val="2"/>
        <w:spacing w:line="268" w:lineRule="auto"/>
        <w:rPr>
          <w:sz w:val="21"/>
        </w:rPr>
      </w:pPr>
    </w:p>
    <w:p w14:paraId="0DBC75B4">
      <w:pPr>
        <w:spacing w:before="79" w:line="219" w:lineRule="auto"/>
        <w:ind w:left="136"/>
        <w:rPr>
          <w:rFonts w:ascii="仿宋" w:hAnsi="仿宋" w:eastAsia="仿宋" w:cs="仿宋"/>
          <w:sz w:val="24"/>
          <w:szCs w:val="24"/>
        </w:rPr>
      </w:pPr>
      <w:r>
        <w:rPr>
          <w:rFonts w:ascii="Times New Roman" w:hAnsi="Times New Roman" w:eastAsia="Times New Roman" w:cs="Times New Roman"/>
          <w:spacing w:val="-3"/>
          <w:sz w:val="24"/>
          <w:szCs w:val="24"/>
        </w:rPr>
        <w:t>100m</w:t>
      </w:r>
      <w:r>
        <w:rPr>
          <w:rFonts w:ascii="Times New Roman" w:hAnsi="Times New Roman" w:eastAsia="Times New Roman" w:cs="Times New Roman"/>
          <w:spacing w:val="17"/>
          <w:sz w:val="24"/>
          <w:szCs w:val="24"/>
        </w:rPr>
        <w:t xml:space="preserve"> </w:t>
      </w:r>
      <w:r>
        <w:rPr>
          <w:rFonts w:ascii="仿宋" w:hAnsi="仿宋" w:eastAsia="仿宋" w:cs="仿宋"/>
          <w:spacing w:val="-3"/>
          <w:sz w:val="24"/>
          <w:szCs w:val="24"/>
        </w:rPr>
        <w:t>及以外昼间噪声稳定达标。</w:t>
      </w:r>
    </w:p>
    <w:p w14:paraId="17C0EA40">
      <w:pPr>
        <w:spacing w:before="182" w:line="360" w:lineRule="auto"/>
        <w:ind w:left="123" w:right="105" w:firstLine="484"/>
        <w:jc w:val="both"/>
        <w:rPr>
          <w:rFonts w:ascii="仿宋" w:hAnsi="仿宋" w:eastAsia="仿宋" w:cs="仿宋"/>
          <w:sz w:val="24"/>
          <w:szCs w:val="24"/>
        </w:rPr>
      </w:pPr>
      <w:r>
        <w:rPr>
          <w:rFonts w:ascii="仿宋" w:hAnsi="仿宋" w:eastAsia="仿宋" w:cs="仿宋"/>
          <w:spacing w:val="1"/>
          <w:sz w:val="24"/>
          <w:szCs w:val="24"/>
        </w:rPr>
        <w:t>单机作业工况下，路面切割机等高噪声单机</w:t>
      </w:r>
      <w:r>
        <w:rPr>
          <w:rFonts w:ascii="仿宋" w:hAnsi="仿宋" w:eastAsia="仿宋" w:cs="仿宋"/>
          <w:spacing w:val="-54"/>
          <w:sz w:val="24"/>
          <w:szCs w:val="24"/>
        </w:rPr>
        <w:t xml:space="preserve"> </w:t>
      </w:r>
      <w:r>
        <w:rPr>
          <w:rFonts w:ascii="Times New Roman" w:hAnsi="Times New Roman" w:eastAsia="Times New Roman" w:cs="Times New Roman"/>
          <w:spacing w:val="1"/>
          <w:sz w:val="24"/>
          <w:szCs w:val="24"/>
        </w:rPr>
        <w:t>40m</w:t>
      </w:r>
      <w:r>
        <w:rPr>
          <w:rFonts w:ascii="Times New Roman" w:hAnsi="Times New Roman" w:eastAsia="Times New Roman" w:cs="Times New Roman"/>
          <w:spacing w:val="22"/>
          <w:w w:val="101"/>
          <w:sz w:val="24"/>
          <w:szCs w:val="24"/>
        </w:rPr>
        <w:t xml:space="preserve"> </w:t>
      </w:r>
      <w:r>
        <w:rPr>
          <w:rFonts w:ascii="仿宋" w:hAnsi="仿宋" w:eastAsia="仿宋" w:cs="仿宋"/>
          <w:spacing w:val="1"/>
          <w:sz w:val="24"/>
          <w:szCs w:val="24"/>
        </w:rPr>
        <w:t>外昼间稳定</w:t>
      </w:r>
      <w:r>
        <w:rPr>
          <w:rFonts w:ascii="仿宋" w:hAnsi="仿宋" w:eastAsia="仿宋" w:cs="仿宋"/>
          <w:sz w:val="24"/>
          <w:szCs w:val="24"/>
        </w:rPr>
        <w:t>达标，路基单</w:t>
      </w:r>
      <w:r>
        <w:rPr>
          <w:rFonts w:ascii="仿宋" w:hAnsi="仿宋" w:eastAsia="仿宋" w:cs="仿宋"/>
          <w:spacing w:val="1"/>
          <w:sz w:val="24"/>
          <w:szCs w:val="24"/>
        </w:rPr>
        <w:t>机作业</w:t>
      </w:r>
      <w:r>
        <w:rPr>
          <w:rFonts w:ascii="仿宋" w:hAnsi="仿宋" w:eastAsia="仿宋" w:cs="仿宋"/>
          <w:spacing w:val="-48"/>
          <w:sz w:val="24"/>
          <w:szCs w:val="24"/>
        </w:rPr>
        <w:t xml:space="preserve"> </w:t>
      </w:r>
      <w:r>
        <w:rPr>
          <w:rFonts w:ascii="Times New Roman" w:hAnsi="Times New Roman" w:eastAsia="Times New Roman" w:cs="Times New Roman"/>
          <w:spacing w:val="1"/>
          <w:sz w:val="24"/>
          <w:szCs w:val="24"/>
        </w:rPr>
        <w:t>30m</w:t>
      </w:r>
      <w:r>
        <w:rPr>
          <w:rFonts w:ascii="Times New Roman" w:hAnsi="Times New Roman" w:eastAsia="Times New Roman" w:cs="Times New Roman"/>
          <w:spacing w:val="22"/>
          <w:sz w:val="24"/>
          <w:szCs w:val="24"/>
        </w:rPr>
        <w:t xml:space="preserve"> </w:t>
      </w:r>
      <w:r>
        <w:rPr>
          <w:rFonts w:ascii="仿宋" w:hAnsi="仿宋" w:eastAsia="仿宋" w:cs="仿宋"/>
          <w:spacing w:val="1"/>
          <w:sz w:val="24"/>
          <w:szCs w:val="24"/>
        </w:rPr>
        <w:t>外昼间稳定达标，多机叠加后达标距离显著扩</w:t>
      </w:r>
      <w:r>
        <w:rPr>
          <w:rFonts w:ascii="仿宋" w:hAnsi="仿宋" w:eastAsia="仿宋" w:cs="仿宋"/>
          <w:sz w:val="24"/>
          <w:szCs w:val="24"/>
        </w:rPr>
        <w:t>大，路面施工达标距</w:t>
      </w:r>
      <w:r>
        <w:rPr>
          <w:rFonts w:ascii="仿宋" w:hAnsi="仿宋" w:eastAsia="仿宋" w:cs="仿宋"/>
          <w:spacing w:val="-2"/>
          <w:sz w:val="24"/>
          <w:szCs w:val="24"/>
        </w:rPr>
        <w:t>离远大于路基施工。</w:t>
      </w:r>
    </w:p>
    <w:p w14:paraId="4D1F254D">
      <w:pPr>
        <w:spacing w:line="222" w:lineRule="auto"/>
        <w:ind w:left="608"/>
        <w:rPr>
          <w:rFonts w:ascii="仿宋" w:hAnsi="仿宋" w:eastAsia="仿宋" w:cs="仿宋"/>
          <w:sz w:val="24"/>
          <w:szCs w:val="24"/>
        </w:rPr>
      </w:pPr>
      <w:r>
        <w:rPr>
          <w:rFonts w:ascii="仿宋" w:hAnsi="仿宋" w:eastAsia="仿宋" w:cs="仿宋"/>
          <w:spacing w:val="-4"/>
          <w:sz w:val="24"/>
          <w:szCs w:val="24"/>
        </w:rPr>
        <w:t>（</w:t>
      </w:r>
      <w:r>
        <w:rPr>
          <w:rFonts w:ascii="Times New Roman" w:hAnsi="Times New Roman" w:eastAsia="Times New Roman" w:cs="Times New Roman"/>
          <w:spacing w:val="-4"/>
          <w:sz w:val="24"/>
          <w:szCs w:val="24"/>
        </w:rPr>
        <w:t>2</w:t>
      </w:r>
      <w:r>
        <w:rPr>
          <w:rFonts w:ascii="仿宋" w:hAnsi="仿宋" w:eastAsia="仿宋" w:cs="仿宋"/>
          <w:spacing w:val="-4"/>
          <w:sz w:val="24"/>
          <w:szCs w:val="24"/>
        </w:rPr>
        <w:t>）夜间：</w:t>
      </w:r>
    </w:p>
    <w:p w14:paraId="2B25105B">
      <w:pPr>
        <w:spacing w:before="178" w:line="360" w:lineRule="auto"/>
        <w:ind w:left="134" w:right="102" w:firstLine="470"/>
        <w:rPr>
          <w:rFonts w:ascii="仿宋" w:hAnsi="仿宋" w:eastAsia="仿宋" w:cs="仿宋"/>
          <w:sz w:val="24"/>
          <w:szCs w:val="24"/>
        </w:rPr>
      </w:pPr>
      <w:r>
        <w:rPr>
          <w:rFonts w:ascii="仿宋" w:hAnsi="仿宋" w:eastAsia="仿宋" w:cs="仿宋"/>
          <w:spacing w:val="-3"/>
          <w:sz w:val="24"/>
          <w:szCs w:val="24"/>
        </w:rPr>
        <w:t>项目全程禁止夜间施工，无夜间施工机械噪声</w:t>
      </w:r>
      <w:r>
        <w:rPr>
          <w:rFonts w:ascii="仿宋" w:hAnsi="仿宋" w:eastAsia="仿宋" w:cs="仿宋"/>
          <w:spacing w:val="-4"/>
          <w:sz w:val="24"/>
          <w:szCs w:val="24"/>
        </w:rPr>
        <w:t>及运输噪声排放，不存在夜间噪声扰民问题。</w:t>
      </w:r>
    </w:p>
    <w:p w14:paraId="4E00B6A9">
      <w:pPr>
        <w:spacing w:line="221" w:lineRule="auto"/>
        <w:ind w:left="114"/>
        <w:rPr>
          <w:rFonts w:ascii="仿宋" w:hAnsi="仿宋" w:eastAsia="仿宋" w:cs="仿宋"/>
          <w:sz w:val="24"/>
          <w:szCs w:val="24"/>
        </w:rPr>
      </w:pPr>
      <w:r>
        <w:rPr>
          <w:rFonts w:ascii="Times New Roman" w:hAnsi="Times New Roman" w:eastAsia="Times New Roman" w:cs="Times New Roman"/>
          <w:b/>
          <w:bCs/>
          <w:spacing w:val="-3"/>
          <w:sz w:val="24"/>
          <w:szCs w:val="24"/>
        </w:rPr>
        <w:t>4.1.4.2</w:t>
      </w:r>
      <w:r>
        <w:rPr>
          <w:rFonts w:ascii="Times New Roman" w:hAnsi="Times New Roman" w:eastAsia="Times New Roman" w:cs="Times New Roman"/>
          <w:b/>
          <w:bCs/>
          <w:spacing w:val="25"/>
          <w:sz w:val="24"/>
          <w:szCs w:val="24"/>
        </w:rPr>
        <w:t xml:space="preserve"> </w:t>
      </w:r>
      <w:r>
        <w:rPr>
          <w:rFonts w:ascii="仿宋" w:hAnsi="仿宋" w:eastAsia="仿宋" w:cs="仿宋"/>
          <w:b/>
          <w:bCs/>
          <w:spacing w:val="-3"/>
          <w:sz w:val="24"/>
          <w:szCs w:val="24"/>
        </w:rPr>
        <w:t>对敏感点的影响分析</w:t>
      </w:r>
    </w:p>
    <w:p w14:paraId="4E58BC36">
      <w:pPr>
        <w:spacing w:before="180" w:line="222" w:lineRule="auto"/>
        <w:ind w:left="608"/>
        <w:rPr>
          <w:rFonts w:ascii="仿宋" w:hAnsi="仿宋" w:eastAsia="仿宋" w:cs="仿宋"/>
          <w:sz w:val="24"/>
          <w:szCs w:val="24"/>
        </w:rPr>
      </w:pPr>
      <w:r>
        <w:rPr>
          <w:rFonts w:ascii="仿宋" w:hAnsi="仿宋" w:eastAsia="仿宋" w:cs="仿宋"/>
          <w:spacing w:val="-2"/>
          <w:sz w:val="24"/>
          <w:szCs w:val="24"/>
        </w:rPr>
        <w:t>（1）敏感点（室外）噪声影响分析</w:t>
      </w:r>
    </w:p>
    <w:p w14:paraId="21B91F8B">
      <w:pPr>
        <w:spacing w:before="180" w:line="360" w:lineRule="auto"/>
        <w:ind w:left="123" w:right="102" w:firstLine="481"/>
        <w:rPr>
          <w:rFonts w:ascii="仿宋" w:hAnsi="仿宋" w:eastAsia="仿宋" w:cs="仿宋"/>
          <w:sz w:val="24"/>
          <w:szCs w:val="24"/>
        </w:rPr>
      </w:pPr>
      <w:r>
        <w:rPr>
          <w:rFonts w:ascii="仿宋" w:hAnsi="仿宋" w:eastAsia="仿宋" w:cs="仿宋"/>
          <w:spacing w:val="-4"/>
          <w:sz w:val="24"/>
          <w:szCs w:val="24"/>
        </w:rPr>
        <w:t>本项目属于四级通村公路，工程规模小、工程量有限，施工期间多台机械设</w:t>
      </w:r>
      <w:r>
        <w:rPr>
          <w:rFonts w:ascii="仿宋" w:hAnsi="仿宋" w:eastAsia="仿宋" w:cs="仿宋"/>
          <w:spacing w:val="-3"/>
          <w:sz w:val="24"/>
          <w:szCs w:val="24"/>
        </w:rPr>
        <w:t>备同步作业工况极少，现场以单台机械独立作业为主要施工方式。因</w:t>
      </w:r>
      <w:r>
        <w:rPr>
          <w:rFonts w:ascii="仿宋" w:hAnsi="仿宋" w:eastAsia="仿宋" w:cs="仿宋"/>
          <w:spacing w:val="-4"/>
          <w:sz w:val="24"/>
          <w:szCs w:val="24"/>
        </w:rPr>
        <w:t>此，施工噪</w:t>
      </w:r>
      <w:r>
        <w:rPr>
          <w:rFonts w:ascii="仿宋" w:hAnsi="仿宋" w:eastAsia="仿宋" w:cs="仿宋"/>
          <w:spacing w:val="-3"/>
          <w:sz w:val="24"/>
          <w:szCs w:val="24"/>
        </w:rPr>
        <w:t>声对沿线声环境敏感点的持续性影响以单机作业噪声为主；多机械同</w:t>
      </w:r>
      <w:r>
        <w:rPr>
          <w:rFonts w:ascii="仿宋" w:hAnsi="仿宋" w:eastAsia="仿宋" w:cs="仿宋"/>
          <w:spacing w:val="-4"/>
          <w:sz w:val="24"/>
          <w:szCs w:val="24"/>
        </w:rPr>
        <w:t>步叠加噪声</w:t>
      </w:r>
      <w:r>
        <w:rPr>
          <w:rFonts w:ascii="仿宋" w:hAnsi="仿宋" w:eastAsia="仿宋" w:cs="仿宋"/>
          <w:spacing w:val="-1"/>
          <w:sz w:val="24"/>
          <w:szCs w:val="24"/>
        </w:rPr>
        <w:t>仅为偶发工况，持续时间短、影响频次低。</w:t>
      </w:r>
    </w:p>
    <w:p w14:paraId="7AF1C9A7">
      <w:pPr>
        <w:spacing w:before="1" w:line="345" w:lineRule="auto"/>
        <w:ind w:left="123" w:right="102" w:firstLine="480"/>
        <w:jc w:val="both"/>
        <w:rPr>
          <w:rFonts w:ascii="仿宋" w:hAnsi="仿宋" w:eastAsia="仿宋" w:cs="仿宋"/>
          <w:sz w:val="24"/>
          <w:szCs w:val="24"/>
        </w:rPr>
      </w:pPr>
      <w:r>
        <w:rPr>
          <w:rFonts w:ascii="仿宋" w:hAnsi="仿宋" w:eastAsia="仿宋" w:cs="仿宋"/>
          <w:spacing w:val="-1"/>
          <w:sz w:val="24"/>
          <w:szCs w:val="24"/>
        </w:rPr>
        <w:t>本项目沿线评价范围内声环境敏感点包括散户居民点和村社，共</w:t>
      </w:r>
      <w:r>
        <w:rPr>
          <w:rFonts w:ascii="仿宋" w:hAnsi="仿宋" w:eastAsia="仿宋" w:cs="仿宋"/>
          <w:spacing w:val="-32"/>
          <w:sz w:val="24"/>
          <w:szCs w:val="24"/>
        </w:rPr>
        <w:t xml:space="preserve"> </w:t>
      </w:r>
      <w:r>
        <w:rPr>
          <w:rFonts w:ascii="仿宋" w:hAnsi="仿宋" w:eastAsia="仿宋" w:cs="仿宋"/>
          <w:spacing w:val="-1"/>
          <w:sz w:val="24"/>
          <w:szCs w:val="24"/>
        </w:rPr>
        <w:t>1</w:t>
      </w:r>
      <w:r>
        <w:rPr>
          <w:rFonts w:ascii="仿宋" w:hAnsi="仿宋" w:eastAsia="仿宋" w:cs="仿宋"/>
          <w:spacing w:val="-2"/>
          <w:sz w:val="24"/>
          <w:szCs w:val="24"/>
        </w:rPr>
        <w:t>4</w:t>
      </w:r>
      <w:r>
        <w:rPr>
          <w:rFonts w:ascii="仿宋" w:hAnsi="仿宋" w:eastAsia="仿宋" w:cs="仿宋"/>
          <w:spacing w:val="-43"/>
          <w:sz w:val="24"/>
          <w:szCs w:val="24"/>
        </w:rPr>
        <w:t xml:space="preserve"> </w:t>
      </w:r>
      <w:r>
        <w:rPr>
          <w:rFonts w:ascii="仿宋" w:hAnsi="仿宋" w:eastAsia="仿宋" w:cs="仿宋"/>
          <w:spacing w:val="-2"/>
          <w:sz w:val="24"/>
          <w:szCs w:val="24"/>
        </w:rPr>
        <w:t>处，其</w:t>
      </w:r>
      <w:r>
        <w:rPr>
          <w:rFonts w:ascii="仿宋" w:hAnsi="仿宋" w:eastAsia="仿宋" w:cs="仿宋"/>
          <w:spacing w:val="-11"/>
          <w:sz w:val="24"/>
          <w:szCs w:val="24"/>
        </w:rPr>
        <w:t>中散户居民点</w:t>
      </w:r>
      <w:r>
        <w:rPr>
          <w:rFonts w:ascii="仿宋" w:hAnsi="仿宋" w:eastAsia="仿宋" w:cs="仿宋"/>
          <w:spacing w:val="-51"/>
          <w:sz w:val="24"/>
          <w:szCs w:val="24"/>
        </w:rPr>
        <w:t xml:space="preserve"> </w:t>
      </w:r>
      <w:r>
        <w:rPr>
          <w:rFonts w:ascii="仿宋" w:hAnsi="仿宋" w:eastAsia="仿宋" w:cs="仿宋"/>
          <w:spacing w:val="-11"/>
          <w:sz w:val="24"/>
          <w:szCs w:val="24"/>
        </w:rPr>
        <w:t>9</w:t>
      </w:r>
      <w:r>
        <w:rPr>
          <w:rFonts w:ascii="仿宋" w:hAnsi="仿宋" w:eastAsia="仿宋" w:cs="仿宋"/>
          <w:spacing w:val="-43"/>
          <w:sz w:val="24"/>
          <w:szCs w:val="24"/>
        </w:rPr>
        <w:t xml:space="preserve"> </w:t>
      </w:r>
      <w:r>
        <w:rPr>
          <w:rFonts w:ascii="仿宋" w:hAnsi="仿宋" w:eastAsia="仿宋" w:cs="仿宋"/>
          <w:spacing w:val="-11"/>
          <w:sz w:val="24"/>
          <w:szCs w:val="24"/>
        </w:rPr>
        <w:t>处，共</w:t>
      </w:r>
      <w:r>
        <w:rPr>
          <w:rFonts w:ascii="仿宋" w:hAnsi="仿宋" w:eastAsia="仿宋" w:cs="仿宋"/>
          <w:spacing w:val="-34"/>
          <w:sz w:val="24"/>
          <w:szCs w:val="24"/>
        </w:rPr>
        <w:t xml:space="preserve"> </w:t>
      </w:r>
      <w:r>
        <w:rPr>
          <w:rFonts w:ascii="仿宋" w:hAnsi="仿宋" w:eastAsia="仿宋" w:cs="仿宋"/>
          <w:spacing w:val="-11"/>
          <w:sz w:val="24"/>
          <w:szCs w:val="24"/>
        </w:rPr>
        <w:t>15</w:t>
      </w:r>
      <w:r>
        <w:rPr>
          <w:rFonts w:ascii="仿宋" w:hAnsi="仿宋" w:eastAsia="仿宋" w:cs="仿宋"/>
          <w:spacing w:val="-44"/>
          <w:sz w:val="24"/>
          <w:szCs w:val="24"/>
        </w:rPr>
        <w:t xml:space="preserve"> </w:t>
      </w:r>
      <w:r>
        <w:rPr>
          <w:rFonts w:ascii="仿宋" w:hAnsi="仿宋" w:eastAsia="仿宋" w:cs="仿宋"/>
          <w:spacing w:val="-11"/>
          <w:sz w:val="24"/>
          <w:szCs w:val="24"/>
        </w:rPr>
        <w:t>户</w:t>
      </w:r>
      <w:r>
        <w:rPr>
          <w:rFonts w:ascii="仿宋" w:hAnsi="仿宋" w:eastAsia="仿宋" w:cs="仿宋"/>
          <w:spacing w:val="-53"/>
          <w:sz w:val="24"/>
          <w:szCs w:val="24"/>
        </w:rPr>
        <w:t xml:space="preserve"> </w:t>
      </w:r>
      <w:r>
        <w:rPr>
          <w:rFonts w:ascii="仿宋" w:hAnsi="仿宋" w:eastAsia="仿宋" w:cs="仿宋"/>
          <w:spacing w:val="-11"/>
          <w:sz w:val="24"/>
          <w:szCs w:val="24"/>
        </w:rPr>
        <w:t>43</w:t>
      </w:r>
      <w:r>
        <w:rPr>
          <w:rFonts w:ascii="仿宋" w:hAnsi="仿宋" w:eastAsia="仿宋" w:cs="仿宋"/>
          <w:spacing w:val="-40"/>
          <w:sz w:val="24"/>
          <w:szCs w:val="24"/>
        </w:rPr>
        <w:t xml:space="preserve"> </w:t>
      </w:r>
      <w:r>
        <w:rPr>
          <w:rFonts w:ascii="仿宋" w:hAnsi="仿宋" w:eastAsia="仿宋" w:cs="仿宋"/>
          <w:spacing w:val="-11"/>
          <w:sz w:val="24"/>
          <w:szCs w:val="24"/>
        </w:rPr>
        <w:t>人；村社</w:t>
      </w:r>
      <w:r>
        <w:rPr>
          <w:rFonts w:ascii="仿宋" w:hAnsi="仿宋" w:eastAsia="仿宋" w:cs="仿宋"/>
          <w:spacing w:val="-47"/>
          <w:sz w:val="24"/>
          <w:szCs w:val="24"/>
        </w:rPr>
        <w:t xml:space="preserve"> </w:t>
      </w:r>
      <w:r>
        <w:rPr>
          <w:rFonts w:ascii="仿宋" w:hAnsi="仿宋" w:eastAsia="仿宋" w:cs="仿宋"/>
          <w:spacing w:val="-11"/>
          <w:sz w:val="24"/>
          <w:szCs w:val="24"/>
        </w:rPr>
        <w:t>5</w:t>
      </w:r>
      <w:r>
        <w:rPr>
          <w:rFonts w:ascii="仿宋" w:hAnsi="仿宋" w:eastAsia="仿宋" w:cs="仿宋"/>
          <w:spacing w:val="-43"/>
          <w:sz w:val="24"/>
          <w:szCs w:val="24"/>
        </w:rPr>
        <w:t xml:space="preserve"> </w:t>
      </w:r>
      <w:r>
        <w:rPr>
          <w:rFonts w:ascii="仿宋" w:hAnsi="仿宋" w:eastAsia="仿宋" w:cs="仿宋"/>
          <w:spacing w:val="-11"/>
          <w:sz w:val="24"/>
          <w:szCs w:val="24"/>
        </w:rPr>
        <w:t>处，共</w:t>
      </w:r>
      <w:r>
        <w:rPr>
          <w:rFonts w:ascii="仿宋" w:hAnsi="仿宋" w:eastAsia="仿宋" w:cs="仿宋"/>
          <w:spacing w:val="-53"/>
          <w:sz w:val="24"/>
          <w:szCs w:val="24"/>
        </w:rPr>
        <w:t xml:space="preserve"> </w:t>
      </w:r>
      <w:r>
        <w:rPr>
          <w:rFonts w:ascii="仿宋" w:hAnsi="仿宋" w:eastAsia="仿宋" w:cs="仿宋"/>
          <w:spacing w:val="-11"/>
          <w:sz w:val="24"/>
          <w:szCs w:val="24"/>
        </w:rPr>
        <w:t>46</w:t>
      </w:r>
      <w:r>
        <w:rPr>
          <w:rFonts w:ascii="仿宋" w:hAnsi="仿宋" w:eastAsia="仿宋" w:cs="仿宋"/>
          <w:spacing w:val="-44"/>
          <w:sz w:val="24"/>
          <w:szCs w:val="24"/>
        </w:rPr>
        <w:t xml:space="preserve"> </w:t>
      </w:r>
      <w:r>
        <w:rPr>
          <w:rFonts w:ascii="仿宋" w:hAnsi="仿宋" w:eastAsia="仿宋" w:cs="仿宋"/>
          <w:spacing w:val="-11"/>
          <w:sz w:val="24"/>
          <w:szCs w:val="24"/>
        </w:rPr>
        <w:t>户</w:t>
      </w:r>
      <w:r>
        <w:rPr>
          <w:rFonts w:ascii="仿宋" w:hAnsi="仿宋" w:eastAsia="仿宋" w:cs="仿宋"/>
          <w:spacing w:val="-34"/>
          <w:sz w:val="24"/>
          <w:szCs w:val="24"/>
        </w:rPr>
        <w:t xml:space="preserve"> </w:t>
      </w:r>
      <w:r>
        <w:rPr>
          <w:rFonts w:ascii="仿宋" w:hAnsi="仿宋" w:eastAsia="仿宋" w:cs="仿宋"/>
          <w:spacing w:val="-11"/>
          <w:sz w:val="24"/>
          <w:szCs w:val="24"/>
        </w:rPr>
        <w:t>148</w:t>
      </w:r>
      <w:r>
        <w:rPr>
          <w:rFonts w:ascii="仿宋" w:hAnsi="仿宋" w:eastAsia="仿宋" w:cs="仿宋"/>
          <w:spacing w:val="-40"/>
          <w:sz w:val="24"/>
          <w:szCs w:val="24"/>
        </w:rPr>
        <w:t xml:space="preserve"> </w:t>
      </w:r>
      <w:r>
        <w:rPr>
          <w:rFonts w:ascii="仿宋" w:hAnsi="仿宋" w:eastAsia="仿宋" w:cs="仿宋"/>
          <w:spacing w:val="-11"/>
          <w:sz w:val="24"/>
          <w:szCs w:val="24"/>
        </w:rPr>
        <w:t>人。</w:t>
      </w:r>
      <w:r>
        <w:rPr>
          <w:rFonts w:ascii="仿宋" w:hAnsi="仿宋" w:eastAsia="仿宋" w:cs="仿宋"/>
          <w:spacing w:val="-12"/>
          <w:sz w:val="24"/>
          <w:szCs w:val="24"/>
        </w:rPr>
        <w:t>距道路边界（中</w:t>
      </w:r>
      <w:r>
        <w:rPr>
          <w:rFonts w:ascii="仿宋" w:hAnsi="仿宋" w:eastAsia="仿宋" w:cs="仿宋"/>
          <w:spacing w:val="1"/>
          <w:sz w:val="24"/>
          <w:szCs w:val="24"/>
        </w:rPr>
        <w:t>心线）距离为</w:t>
      </w:r>
      <w:r>
        <w:rPr>
          <w:rFonts w:ascii="仿宋" w:hAnsi="仿宋" w:eastAsia="仿宋" w:cs="仿宋"/>
          <w:spacing w:val="-46"/>
          <w:sz w:val="24"/>
          <w:szCs w:val="24"/>
        </w:rPr>
        <w:t xml:space="preserve"> </w:t>
      </w:r>
      <w:r>
        <w:rPr>
          <w:rFonts w:ascii="仿宋" w:hAnsi="仿宋" w:eastAsia="仿宋" w:cs="仿宋"/>
          <w:spacing w:val="1"/>
          <w:sz w:val="24"/>
          <w:szCs w:val="24"/>
        </w:rPr>
        <w:t>2.75m～101.75m（5m～10</w:t>
      </w:r>
      <w:r>
        <w:rPr>
          <w:rFonts w:ascii="仿宋" w:hAnsi="仿宋" w:eastAsia="仿宋" w:cs="仿宋"/>
          <w:sz w:val="24"/>
          <w:szCs w:val="24"/>
        </w:rPr>
        <w:t>4m</w:t>
      </w:r>
      <w:r>
        <w:rPr>
          <w:rFonts w:ascii="仿宋" w:hAnsi="仿宋" w:eastAsia="仿宋" w:cs="仿宋"/>
          <w:spacing w:val="14"/>
          <w:sz w:val="24"/>
          <w:szCs w:val="24"/>
        </w:rPr>
        <w:t>），</w:t>
      </w:r>
      <w:r>
        <w:rPr>
          <w:rFonts w:ascii="仿宋" w:hAnsi="仿宋" w:eastAsia="仿宋" w:cs="仿宋"/>
          <w:sz w:val="24"/>
          <w:szCs w:val="24"/>
        </w:rPr>
        <w:t>则施工期间不同施工作业条件对</w:t>
      </w:r>
      <w:r>
        <w:rPr>
          <w:rFonts w:ascii="仿宋" w:hAnsi="仿宋" w:eastAsia="仿宋" w:cs="仿宋"/>
          <w:spacing w:val="1"/>
          <w:sz w:val="24"/>
          <w:szCs w:val="24"/>
        </w:rPr>
        <w:t>敏感点的影响见表4.1-4</w:t>
      </w:r>
      <w:r>
        <w:rPr>
          <w:rFonts w:ascii="仿宋" w:hAnsi="仿宋" w:eastAsia="仿宋" w:cs="仿宋"/>
          <w:spacing w:val="-30"/>
          <w:sz w:val="24"/>
          <w:szCs w:val="24"/>
        </w:rPr>
        <w:t xml:space="preserve"> </w:t>
      </w:r>
      <w:r>
        <w:rPr>
          <w:rFonts w:ascii="仿宋" w:hAnsi="仿宋" w:eastAsia="仿宋" w:cs="仿宋"/>
          <w:spacing w:val="1"/>
          <w:sz w:val="24"/>
          <w:szCs w:val="24"/>
        </w:rPr>
        <w:t>和表4.1-5。单机噪声源选用最大单机噪声源强预测。</w:t>
      </w:r>
    </w:p>
    <w:p w14:paraId="36C887C1">
      <w:pPr>
        <w:spacing w:line="211" w:lineRule="auto"/>
        <w:ind w:left="392"/>
        <w:rPr>
          <w:rFonts w:ascii="仿宋" w:hAnsi="仿宋" w:eastAsia="仿宋" w:cs="仿宋"/>
          <w:sz w:val="24"/>
          <w:szCs w:val="24"/>
        </w:rPr>
      </w:pPr>
      <w:r>
        <w:rPr>
          <w:rFonts w:ascii="仿宋" w:hAnsi="仿宋" w:eastAsia="仿宋" w:cs="仿宋"/>
          <w:b/>
          <w:bCs/>
          <w:spacing w:val="-2"/>
          <w:sz w:val="24"/>
          <w:szCs w:val="24"/>
        </w:rPr>
        <w:t>表</w:t>
      </w:r>
      <w:r>
        <w:rPr>
          <w:rFonts w:ascii="仿宋" w:hAnsi="仿宋" w:eastAsia="仿宋" w:cs="仿宋"/>
          <w:spacing w:val="-53"/>
          <w:sz w:val="24"/>
          <w:szCs w:val="24"/>
        </w:rPr>
        <w:t xml:space="preserve"> </w:t>
      </w:r>
      <w:r>
        <w:rPr>
          <w:rFonts w:ascii="仿宋" w:hAnsi="仿宋" w:eastAsia="仿宋" w:cs="仿宋"/>
          <w:b/>
          <w:bCs/>
          <w:spacing w:val="-2"/>
          <w:sz w:val="24"/>
          <w:szCs w:val="24"/>
        </w:rPr>
        <w:t>4.1-4</w:t>
      </w:r>
      <w:r>
        <w:rPr>
          <w:rFonts w:ascii="仿宋" w:hAnsi="仿宋" w:eastAsia="仿宋" w:cs="仿宋"/>
          <w:spacing w:val="-2"/>
          <w:sz w:val="24"/>
          <w:szCs w:val="24"/>
        </w:rPr>
        <w:t xml:space="preserve">   </w:t>
      </w:r>
      <w:r>
        <w:rPr>
          <w:rFonts w:ascii="仿宋" w:hAnsi="仿宋" w:eastAsia="仿宋" w:cs="仿宋"/>
          <w:b/>
          <w:bCs/>
          <w:spacing w:val="-2"/>
          <w:sz w:val="24"/>
          <w:szCs w:val="24"/>
        </w:rPr>
        <w:t>单机作业敏感点噪声预测结果与达标分析表</w:t>
      </w:r>
      <w:r>
        <w:rPr>
          <w:rFonts w:ascii="仿宋" w:hAnsi="仿宋" w:eastAsia="仿宋" w:cs="仿宋"/>
          <w:spacing w:val="-2"/>
          <w:sz w:val="24"/>
          <w:szCs w:val="24"/>
        </w:rPr>
        <w:t xml:space="preserve">   </w:t>
      </w:r>
      <w:r>
        <w:rPr>
          <w:rFonts w:ascii="仿宋" w:hAnsi="仿宋" w:eastAsia="仿宋" w:cs="仿宋"/>
          <w:b/>
          <w:bCs/>
          <w:spacing w:val="-2"/>
          <w:sz w:val="24"/>
          <w:szCs w:val="24"/>
        </w:rPr>
        <w:t>单位：dB（A）</w:t>
      </w:r>
    </w:p>
    <w:tbl>
      <w:tblPr>
        <w:tblStyle w:val="5"/>
        <w:tblW w:w="8517"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6"/>
        <w:gridCol w:w="912"/>
        <w:gridCol w:w="1219"/>
        <w:gridCol w:w="1100"/>
        <w:gridCol w:w="1038"/>
        <w:gridCol w:w="916"/>
        <w:gridCol w:w="878"/>
        <w:gridCol w:w="846"/>
        <w:gridCol w:w="972"/>
      </w:tblGrid>
      <w:tr w14:paraId="04D49B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636" w:type="dxa"/>
            <w:tcBorders>
              <w:top w:val="single" w:color="000000" w:sz="10" w:space="0"/>
              <w:left w:val="nil"/>
            </w:tcBorders>
            <w:vAlign w:val="top"/>
          </w:tcPr>
          <w:p w14:paraId="24CF1E78">
            <w:pPr>
              <w:spacing w:before="211" w:line="231" w:lineRule="auto"/>
              <w:ind w:left="121"/>
              <w:rPr>
                <w:rFonts w:ascii="仿宋" w:hAnsi="仿宋" w:eastAsia="仿宋" w:cs="仿宋"/>
                <w:sz w:val="20"/>
                <w:szCs w:val="20"/>
              </w:rPr>
            </w:pPr>
            <w:r>
              <w:rPr>
                <w:rFonts w:ascii="仿宋" w:hAnsi="仿宋" w:eastAsia="仿宋" w:cs="仿宋"/>
                <w:spacing w:val="2"/>
                <w:sz w:val="20"/>
                <w:szCs w:val="20"/>
              </w:rPr>
              <w:t>序号</w:t>
            </w:r>
          </w:p>
        </w:tc>
        <w:tc>
          <w:tcPr>
            <w:tcW w:w="912" w:type="dxa"/>
            <w:tcBorders>
              <w:top w:val="single" w:color="000000" w:sz="10" w:space="0"/>
            </w:tcBorders>
            <w:vAlign w:val="top"/>
          </w:tcPr>
          <w:p w14:paraId="46C86561">
            <w:pPr>
              <w:spacing w:before="212" w:line="229" w:lineRule="auto"/>
              <w:ind w:left="256"/>
              <w:rPr>
                <w:rFonts w:ascii="仿宋" w:hAnsi="仿宋" w:eastAsia="仿宋" w:cs="仿宋"/>
                <w:sz w:val="20"/>
                <w:szCs w:val="20"/>
              </w:rPr>
            </w:pPr>
            <w:r>
              <w:rPr>
                <w:rFonts w:ascii="仿宋" w:hAnsi="仿宋" w:eastAsia="仿宋" w:cs="仿宋"/>
                <w:spacing w:val="1"/>
                <w:sz w:val="20"/>
                <w:szCs w:val="20"/>
              </w:rPr>
              <w:t>名称</w:t>
            </w:r>
          </w:p>
        </w:tc>
        <w:tc>
          <w:tcPr>
            <w:tcW w:w="1219" w:type="dxa"/>
            <w:tcBorders>
              <w:top w:val="single" w:color="000000" w:sz="10" w:space="0"/>
            </w:tcBorders>
            <w:vAlign w:val="top"/>
          </w:tcPr>
          <w:p w14:paraId="0E38C165">
            <w:pPr>
              <w:spacing w:before="55" w:line="231" w:lineRule="auto"/>
              <w:ind w:left="200"/>
              <w:rPr>
                <w:rFonts w:ascii="仿宋" w:hAnsi="仿宋" w:eastAsia="仿宋" w:cs="仿宋"/>
                <w:sz w:val="20"/>
                <w:szCs w:val="20"/>
              </w:rPr>
            </w:pPr>
            <w:r>
              <w:rPr>
                <w:rFonts w:ascii="仿宋" w:hAnsi="仿宋" w:eastAsia="仿宋" w:cs="仿宋"/>
                <w:spacing w:val="6"/>
                <w:sz w:val="20"/>
                <w:szCs w:val="20"/>
              </w:rPr>
              <w:t>距道路中</w:t>
            </w:r>
          </w:p>
          <w:p w14:paraId="2F1D799F">
            <w:pPr>
              <w:spacing w:before="61" w:line="231" w:lineRule="auto"/>
              <w:ind w:left="205"/>
              <w:rPr>
                <w:rFonts w:ascii="仿宋" w:hAnsi="仿宋" w:eastAsia="仿宋" w:cs="仿宋"/>
                <w:sz w:val="20"/>
                <w:szCs w:val="20"/>
              </w:rPr>
            </w:pPr>
            <w:r>
              <w:rPr>
                <w:rFonts w:ascii="仿宋" w:hAnsi="仿宋" w:eastAsia="仿宋" w:cs="仿宋"/>
                <w:spacing w:val="4"/>
                <w:sz w:val="20"/>
                <w:szCs w:val="20"/>
              </w:rPr>
              <w:t>心线距离</w:t>
            </w:r>
          </w:p>
        </w:tc>
        <w:tc>
          <w:tcPr>
            <w:tcW w:w="1100" w:type="dxa"/>
            <w:tcBorders>
              <w:top w:val="single" w:color="000000" w:sz="10" w:space="0"/>
            </w:tcBorders>
            <w:vAlign w:val="top"/>
          </w:tcPr>
          <w:p w14:paraId="62B3E9C0">
            <w:pPr>
              <w:spacing w:before="211" w:line="230" w:lineRule="auto"/>
              <w:ind w:left="140"/>
              <w:rPr>
                <w:rFonts w:ascii="仿宋" w:hAnsi="仿宋" w:eastAsia="仿宋" w:cs="仿宋"/>
                <w:sz w:val="20"/>
                <w:szCs w:val="20"/>
              </w:rPr>
            </w:pPr>
            <w:r>
              <w:rPr>
                <w:rFonts w:ascii="仿宋" w:hAnsi="仿宋" w:eastAsia="仿宋" w:cs="仿宋"/>
                <w:spacing w:val="6"/>
                <w:sz w:val="20"/>
                <w:szCs w:val="20"/>
              </w:rPr>
              <w:t>施工阶段</w:t>
            </w:r>
          </w:p>
        </w:tc>
        <w:tc>
          <w:tcPr>
            <w:tcW w:w="1038" w:type="dxa"/>
            <w:tcBorders>
              <w:top w:val="single" w:color="000000" w:sz="10" w:space="0"/>
            </w:tcBorders>
            <w:vAlign w:val="top"/>
          </w:tcPr>
          <w:p w14:paraId="35BFE201">
            <w:pPr>
              <w:spacing w:before="55" w:line="261" w:lineRule="auto"/>
              <w:ind w:left="425" w:right="203" w:hanging="211"/>
              <w:rPr>
                <w:rFonts w:ascii="仿宋" w:hAnsi="仿宋" w:eastAsia="仿宋" w:cs="仿宋"/>
                <w:sz w:val="20"/>
                <w:szCs w:val="20"/>
              </w:rPr>
            </w:pPr>
            <w:r>
              <w:rPr>
                <w:rFonts w:ascii="仿宋" w:hAnsi="仿宋" w:eastAsia="仿宋" w:cs="仿宋"/>
                <w:spacing w:val="5"/>
                <w:sz w:val="20"/>
                <w:szCs w:val="20"/>
              </w:rPr>
              <w:t>标准限</w:t>
            </w:r>
            <w:r>
              <w:rPr>
                <w:rFonts w:ascii="仿宋" w:hAnsi="仿宋" w:eastAsia="仿宋" w:cs="仿宋"/>
                <w:sz w:val="20"/>
                <w:szCs w:val="20"/>
              </w:rPr>
              <w:t>值</w:t>
            </w:r>
          </w:p>
        </w:tc>
        <w:tc>
          <w:tcPr>
            <w:tcW w:w="916" w:type="dxa"/>
            <w:tcBorders>
              <w:top w:val="single" w:color="000000" w:sz="10" w:space="0"/>
            </w:tcBorders>
            <w:vAlign w:val="top"/>
          </w:tcPr>
          <w:p w14:paraId="51C19D9E">
            <w:pPr>
              <w:spacing w:before="211" w:line="232" w:lineRule="auto"/>
              <w:ind w:left="152"/>
              <w:rPr>
                <w:rFonts w:ascii="仿宋" w:hAnsi="仿宋" w:eastAsia="仿宋" w:cs="仿宋"/>
                <w:sz w:val="20"/>
                <w:szCs w:val="20"/>
              </w:rPr>
            </w:pPr>
            <w:r>
              <w:rPr>
                <w:rFonts w:ascii="仿宋" w:hAnsi="仿宋" w:eastAsia="仿宋" w:cs="仿宋"/>
                <w:spacing w:val="5"/>
                <w:sz w:val="20"/>
                <w:szCs w:val="20"/>
              </w:rPr>
              <w:t>现状值</w:t>
            </w:r>
          </w:p>
        </w:tc>
        <w:tc>
          <w:tcPr>
            <w:tcW w:w="878" w:type="dxa"/>
            <w:tcBorders>
              <w:top w:val="single" w:color="000000" w:sz="10" w:space="0"/>
            </w:tcBorders>
            <w:vAlign w:val="top"/>
          </w:tcPr>
          <w:p w14:paraId="44588CD6">
            <w:pPr>
              <w:spacing w:before="211" w:line="232" w:lineRule="auto"/>
              <w:ind w:left="140"/>
              <w:rPr>
                <w:rFonts w:ascii="仿宋" w:hAnsi="仿宋" w:eastAsia="仿宋" w:cs="仿宋"/>
                <w:sz w:val="20"/>
                <w:szCs w:val="20"/>
              </w:rPr>
            </w:pPr>
            <w:r>
              <w:rPr>
                <w:rFonts w:ascii="仿宋" w:hAnsi="仿宋" w:eastAsia="仿宋" w:cs="仿宋"/>
                <w:spacing w:val="3"/>
                <w:sz w:val="20"/>
                <w:szCs w:val="20"/>
              </w:rPr>
              <w:t>贡献值</w:t>
            </w:r>
          </w:p>
        </w:tc>
        <w:tc>
          <w:tcPr>
            <w:tcW w:w="846" w:type="dxa"/>
            <w:tcBorders>
              <w:top w:val="single" w:color="000000" w:sz="10" w:space="0"/>
            </w:tcBorders>
            <w:vAlign w:val="top"/>
          </w:tcPr>
          <w:p w14:paraId="7588D2B9">
            <w:pPr>
              <w:spacing w:before="211" w:line="232" w:lineRule="auto"/>
              <w:ind w:left="120"/>
              <w:rPr>
                <w:rFonts w:ascii="仿宋" w:hAnsi="仿宋" w:eastAsia="仿宋" w:cs="仿宋"/>
                <w:sz w:val="20"/>
                <w:szCs w:val="20"/>
              </w:rPr>
            </w:pPr>
            <w:r>
              <w:rPr>
                <w:rFonts w:ascii="仿宋" w:hAnsi="仿宋" w:eastAsia="仿宋" w:cs="仿宋"/>
                <w:spacing w:val="4"/>
                <w:sz w:val="20"/>
                <w:szCs w:val="20"/>
              </w:rPr>
              <w:t>预测值</w:t>
            </w:r>
          </w:p>
        </w:tc>
        <w:tc>
          <w:tcPr>
            <w:tcW w:w="972" w:type="dxa"/>
            <w:tcBorders>
              <w:top w:val="single" w:color="000000" w:sz="10" w:space="0"/>
              <w:right w:val="nil"/>
            </w:tcBorders>
            <w:vAlign w:val="top"/>
          </w:tcPr>
          <w:p w14:paraId="4B10BD99">
            <w:pPr>
              <w:spacing w:before="211" w:line="231" w:lineRule="auto"/>
              <w:ind w:left="183"/>
              <w:rPr>
                <w:rFonts w:ascii="仿宋" w:hAnsi="仿宋" w:eastAsia="仿宋" w:cs="仿宋"/>
                <w:sz w:val="20"/>
                <w:szCs w:val="20"/>
              </w:rPr>
            </w:pPr>
            <w:r>
              <w:rPr>
                <w:rFonts w:ascii="仿宋" w:hAnsi="仿宋" w:eastAsia="仿宋" w:cs="仿宋"/>
                <w:spacing w:val="4"/>
                <w:sz w:val="20"/>
                <w:szCs w:val="20"/>
              </w:rPr>
              <w:t>超标量</w:t>
            </w:r>
          </w:p>
        </w:tc>
      </w:tr>
      <w:tr w14:paraId="63B51D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6" w:type="dxa"/>
            <w:vMerge w:val="restart"/>
            <w:tcBorders>
              <w:left w:val="nil"/>
              <w:bottom w:val="nil"/>
            </w:tcBorders>
            <w:vAlign w:val="top"/>
          </w:tcPr>
          <w:p w14:paraId="63170831">
            <w:pPr>
              <w:pStyle w:val="6"/>
              <w:spacing w:before="252" w:line="195" w:lineRule="auto"/>
              <w:ind w:left="288"/>
              <w:rPr>
                <w:sz w:val="20"/>
                <w:szCs w:val="20"/>
              </w:rPr>
            </w:pPr>
            <w:r>
              <w:rPr>
                <w:sz w:val="20"/>
                <w:szCs w:val="20"/>
              </w:rPr>
              <w:t>1</w:t>
            </w:r>
          </w:p>
        </w:tc>
        <w:tc>
          <w:tcPr>
            <w:tcW w:w="912" w:type="dxa"/>
            <w:vMerge w:val="restart"/>
            <w:tcBorders>
              <w:bottom w:val="nil"/>
            </w:tcBorders>
            <w:vAlign w:val="top"/>
          </w:tcPr>
          <w:p w14:paraId="1B235952">
            <w:pPr>
              <w:spacing w:before="60" w:line="233" w:lineRule="auto"/>
              <w:ind w:left="152"/>
              <w:rPr>
                <w:rFonts w:ascii="仿宋" w:hAnsi="仿宋" w:eastAsia="仿宋" w:cs="仿宋"/>
                <w:sz w:val="20"/>
                <w:szCs w:val="20"/>
              </w:rPr>
            </w:pPr>
            <w:r>
              <w:rPr>
                <w:rFonts w:ascii="仿宋" w:hAnsi="仿宋" w:eastAsia="仿宋" w:cs="仿宋"/>
                <w:spacing w:val="5"/>
                <w:sz w:val="20"/>
                <w:szCs w:val="20"/>
              </w:rPr>
              <w:t>庙圪旦</w:t>
            </w:r>
          </w:p>
          <w:p w14:paraId="716D400D">
            <w:pPr>
              <w:pStyle w:val="6"/>
              <w:spacing w:before="59" w:line="231" w:lineRule="auto"/>
              <w:ind w:left="217"/>
              <w:rPr>
                <w:rFonts w:ascii="仿宋" w:hAnsi="仿宋" w:eastAsia="仿宋" w:cs="仿宋"/>
                <w:sz w:val="20"/>
                <w:szCs w:val="20"/>
              </w:rPr>
            </w:pPr>
            <w:r>
              <w:rPr>
                <w:spacing w:val="4"/>
                <w:sz w:val="20"/>
                <w:szCs w:val="20"/>
              </w:rPr>
              <w:t>-</w:t>
            </w:r>
            <w:r>
              <w:rPr>
                <w:rFonts w:ascii="仿宋" w:hAnsi="仿宋" w:eastAsia="仿宋" w:cs="仿宋"/>
                <w:spacing w:val="4"/>
                <w:sz w:val="20"/>
                <w:szCs w:val="20"/>
              </w:rPr>
              <w:t>散户</w:t>
            </w:r>
          </w:p>
        </w:tc>
        <w:tc>
          <w:tcPr>
            <w:tcW w:w="1219" w:type="dxa"/>
            <w:vMerge w:val="restart"/>
            <w:tcBorders>
              <w:bottom w:val="nil"/>
            </w:tcBorders>
            <w:vAlign w:val="top"/>
          </w:tcPr>
          <w:p w14:paraId="0BECFED4">
            <w:pPr>
              <w:pStyle w:val="6"/>
              <w:spacing w:before="252" w:line="195" w:lineRule="auto"/>
              <w:ind w:left="428"/>
              <w:rPr>
                <w:sz w:val="20"/>
                <w:szCs w:val="20"/>
              </w:rPr>
            </w:pPr>
            <w:r>
              <w:rPr>
                <w:spacing w:val="3"/>
                <w:sz w:val="20"/>
                <w:szCs w:val="20"/>
              </w:rPr>
              <w:t>31m</w:t>
            </w:r>
          </w:p>
        </w:tc>
        <w:tc>
          <w:tcPr>
            <w:tcW w:w="1100" w:type="dxa"/>
            <w:vAlign w:val="top"/>
          </w:tcPr>
          <w:p w14:paraId="3F0EE119">
            <w:pPr>
              <w:spacing w:before="52" w:line="232" w:lineRule="auto"/>
              <w:ind w:left="139"/>
              <w:rPr>
                <w:rFonts w:ascii="仿宋" w:hAnsi="仿宋" w:eastAsia="仿宋" w:cs="仿宋"/>
                <w:sz w:val="20"/>
                <w:szCs w:val="20"/>
              </w:rPr>
            </w:pPr>
            <w:r>
              <w:rPr>
                <w:rFonts w:ascii="仿宋" w:hAnsi="仿宋" w:eastAsia="仿宋" w:cs="仿宋"/>
                <w:spacing w:val="6"/>
                <w:sz w:val="20"/>
                <w:szCs w:val="20"/>
              </w:rPr>
              <w:t>路基施工</w:t>
            </w:r>
          </w:p>
        </w:tc>
        <w:tc>
          <w:tcPr>
            <w:tcW w:w="1038" w:type="dxa"/>
            <w:vAlign w:val="top"/>
          </w:tcPr>
          <w:p w14:paraId="76AB73EE">
            <w:pPr>
              <w:pStyle w:val="6"/>
              <w:spacing w:before="91" w:line="195" w:lineRule="auto"/>
              <w:ind w:left="419"/>
              <w:rPr>
                <w:sz w:val="20"/>
                <w:szCs w:val="20"/>
              </w:rPr>
            </w:pPr>
            <w:r>
              <w:rPr>
                <w:spacing w:val="1"/>
                <w:sz w:val="20"/>
                <w:szCs w:val="20"/>
              </w:rPr>
              <w:t>70</w:t>
            </w:r>
          </w:p>
        </w:tc>
        <w:tc>
          <w:tcPr>
            <w:tcW w:w="916" w:type="dxa"/>
            <w:vMerge w:val="restart"/>
            <w:tcBorders>
              <w:bottom w:val="nil"/>
            </w:tcBorders>
            <w:vAlign w:val="top"/>
          </w:tcPr>
          <w:p w14:paraId="50AEDA32">
            <w:pPr>
              <w:pStyle w:val="6"/>
              <w:spacing w:before="252" w:line="195" w:lineRule="auto"/>
              <w:ind w:left="281"/>
              <w:rPr>
                <w:sz w:val="20"/>
                <w:szCs w:val="20"/>
              </w:rPr>
            </w:pPr>
            <w:r>
              <w:rPr>
                <w:spacing w:val="2"/>
                <w:sz w:val="20"/>
                <w:szCs w:val="20"/>
              </w:rPr>
              <w:t>50.5</w:t>
            </w:r>
          </w:p>
        </w:tc>
        <w:tc>
          <w:tcPr>
            <w:tcW w:w="878" w:type="dxa"/>
            <w:vAlign w:val="top"/>
          </w:tcPr>
          <w:p w14:paraId="5DBC5971">
            <w:pPr>
              <w:pStyle w:val="6"/>
              <w:spacing w:before="91" w:line="195" w:lineRule="auto"/>
              <w:ind w:left="261"/>
              <w:rPr>
                <w:sz w:val="20"/>
                <w:szCs w:val="20"/>
              </w:rPr>
            </w:pPr>
            <w:r>
              <w:rPr>
                <w:spacing w:val="2"/>
                <w:sz w:val="20"/>
                <w:szCs w:val="20"/>
              </w:rPr>
              <w:t>70.2</w:t>
            </w:r>
          </w:p>
        </w:tc>
        <w:tc>
          <w:tcPr>
            <w:tcW w:w="846" w:type="dxa"/>
            <w:vAlign w:val="top"/>
          </w:tcPr>
          <w:p w14:paraId="613779D8">
            <w:pPr>
              <w:pStyle w:val="6"/>
              <w:spacing w:before="91" w:line="195" w:lineRule="auto"/>
              <w:ind w:left="244"/>
              <w:rPr>
                <w:sz w:val="20"/>
                <w:szCs w:val="20"/>
              </w:rPr>
            </w:pPr>
            <w:r>
              <w:rPr>
                <w:spacing w:val="2"/>
                <w:sz w:val="20"/>
                <w:szCs w:val="20"/>
              </w:rPr>
              <w:t>70.2</w:t>
            </w:r>
          </w:p>
        </w:tc>
        <w:tc>
          <w:tcPr>
            <w:tcW w:w="972" w:type="dxa"/>
            <w:tcBorders>
              <w:right w:val="nil"/>
            </w:tcBorders>
            <w:vAlign w:val="top"/>
          </w:tcPr>
          <w:p w14:paraId="40145084">
            <w:pPr>
              <w:pStyle w:val="6"/>
              <w:spacing w:before="91" w:line="195" w:lineRule="auto"/>
              <w:ind w:left="358"/>
              <w:rPr>
                <w:sz w:val="20"/>
                <w:szCs w:val="20"/>
              </w:rPr>
            </w:pPr>
            <w:r>
              <w:rPr>
                <w:spacing w:val="1"/>
                <w:sz w:val="20"/>
                <w:szCs w:val="20"/>
              </w:rPr>
              <w:t>0.2</w:t>
            </w:r>
          </w:p>
        </w:tc>
      </w:tr>
      <w:tr w14:paraId="627B61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636" w:type="dxa"/>
            <w:vMerge w:val="continue"/>
            <w:tcBorders>
              <w:top w:val="nil"/>
              <w:left w:val="nil"/>
            </w:tcBorders>
            <w:vAlign w:val="top"/>
          </w:tcPr>
          <w:p w14:paraId="38711B65">
            <w:pPr>
              <w:rPr>
                <w:rFonts w:ascii="Arial"/>
                <w:sz w:val="21"/>
              </w:rPr>
            </w:pPr>
          </w:p>
        </w:tc>
        <w:tc>
          <w:tcPr>
            <w:tcW w:w="912" w:type="dxa"/>
            <w:vMerge w:val="continue"/>
            <w:tcBorders>
              <w:top w:val="nil"/>
            </w:tcBorders>
            <w:vAlign w:val="top"/>
          </w:tcPr>
          <w:p w14:paraId="39500272">
            <w:pPr>
              <w:rPr>
                <w:rFonts w:ascii="Arial"/>
                <w:sz w:val="21"/>
              </w:rPr>
            </w:pPr>
          </w:p>
        </w:tc>
        <w:tc>
          <w:tcPr>
            <w:tcW w:w="1219" w:type="dxa"/>
            <w:vMerge w:val="continue"/>
            <w:tcBorders>
              <w:top w:val="nil"/>
            </w:tcBorders>
            <w:vAlign w:val="top"/>
          </w:tcPr>
          <w:p w14:paraId="104568E8">
            <w:pPr>
              <w:rPr>
                <w:rFonts w:ascii="Arial"/>
                <w:sz w:val="21"/>
              </w:rPr>
            </w:pPr>
          </w:p>
        </w:tc>
        <w:tc>
          <w:tcPr>
            <w:tcW w:w="1100" w:type="dxa"/>
            <w:vAlign w:val="top"/>
          </w:tcPr>
          <w:p w14:paraId="26B51CF0">
            <w:pPr>
              <w:spacing w:before="55" w:line="230" w:lineRule="auto"/>
              <w:ind w:left="139"/>
              <w:rPr>
                <w:rFonts w:ascii="仿宋" w:hAnsi="仿宋" w:eastAsia="仿宋" w:cs="仿宋"/>
                <w:sz w:val="20"/>
                <w:szCs w:val="20"/>
              </w:rPr>
            </w:pPr>
            <w:r>
              <w:rPr>
                <w:rFonts w:ascii="仿宋" w:hAnsi="仿宋" w:eastAsia="仿宋" w:cs="仿宋"/>
                <w:spacing w:val="6"/>
                <w:sz w:val="20"/>
                <w:szCs w:val="20"/>
              </w:rPr>
              <w:t>路面施工</w:t>
            </w:r>
          </w:p>
        </w:tc>
        <w:tc>
          <w:tcPr>
            <w:tcW w:w="1038" w:type="dxa"/>
            <w:vAlign w:val="top"/>
          </w:tcPr>
          <w:p w14:paraId="0BB8C1C2">
            <w:pPr>
              <w:pStyle w:val="6"/>
              <w:spacing w:before="92" w:line="195" w:lineRule="auto"/>
              <w:ind w:left="419"/>
              <w:rPr>
                <w:sz w:val="20"/>
                <w:szCs w:val="20"/>
              </w:rPr>
            </w:pPr>
            <w:r>
              <w:rPr>
                <w:spacing w:val="1"/>
                <w:sz w:val="20"/>
                <w:szCs w:val="20"/>
              </w:rPr>
              <w:t>70</w:t>
            </w:r>
          </w:p>
        </w:tc>
        <w:tc>
          <w:tcPr>
            <w:tcW w:w="916" w:type="dxa"/>
            <w:vMerge w:val="continue"/>
            <w:tcBorders>
              <w:top w:val="nil"/>
            </w:tcBorders>
            <w:vAlign w:val="top"/>
          </w:tcPr>
          <w:p w14:paraId="3B1534E3">
            <w:pPr>
              <w:rPr>
                <w:rFonts w:ascii="Arial"/>
                <w:sz w:val="21"/>
              </w:rPr>
            </w:pPr>
          </w:p>
        </w:tc>
        <w:tc>
          <w:tcPr>
            <w:tcW w:w="878" w:type="dxa"/>
            <w:vAlign w:val="top"/>
          </w:tcPr>
          <w:p w14:paraId="034E97A6">
            <w:pPr>
              <w:pStyle w:val="6"/>
              <w:spacing w:before="92" w:line="195" w:lineRule="auto"/>
              <w:ind w:left="261"/>
              <w:rPr>
                <w:sz w:val="20"/>
                <w:szCs w:val="20"/>
              </w:rPr>
            </w:pPr>
            <w:r>
              <w:rPr>
                <w:spacing w:val="2"/>
                <w:sz w:val="20"/>
                <w:szCs w:val="20"/>
              </w:rPr>
              <w:t>72.2</w:t>
            </w:r>
          </w:p>
        </w:tc>
        <w:tc>
          <w:tcPr>
            <w:tcW w:w="846" w:type="dxa"/>
            <w:vAlign w:val="top"/>
          </w:tcPr>
          <w:p w14:paraId="05154C22">
            <w:pPr>
              <w:pStyle w:val="6"/>
              <w:spacing w:before="92" w:line="195" w:lineRule="auto"/>
              <w:ind w:left="244"/>
              <w:rPr>
                <w:sz w:val="20"/>
                <w:szCs w:val="20"/>
              </w:rPr>
            </w:pPr>
            <w:r>
              <w:rPr>
                <w:spacing w:val="2"/>
                <w:sz w:val="20"/>
                <w:szCs w:val="20"/>
              </w:rPr>
              <w:t>72.2</w:t>
            </w:r>
          </w:p>
        </w:tc>
        <w:tc>
          <w:tcPr>
            <w:tcW w:w="972" w:type="dxa"/>
            <w:tcBorders>
              <w:right w:val="nil"/>
            </w:tcBorders>
            <w:vAlign w:val="top"/>
          </w:tcPr>
          <w:p w14:paraId="67F029E4">
            <w:pPr>
              <w:pStyle w:val="6"/>
              <w:spacing w:before="92" w:line="195" w:lineRule="auto"/>
              <w:ind w:left="355"/>
              <w:rPr>
                <w:sz w:val="20"/>
                <w:szCs w:val="20"/>
              </w:rPr>
            </w:pPr>
            <w:r>
              <w:rPr>
                <w:spacing w:val="2"/>
                <w:sz w:val="20"/>
                <w:szCs w:val="20"/>
              </w:rPr>
              <w:t>2.2</w:t>
            </w:r>
          </w:p>
        </w:tc>
      </w:tr>
      <w:tr w14:paraId="376A57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636" w:type="dxa"/>
            <w:vMerge w:val="restart"/>
            <w:tcBorders>
              <w:left w:val="nil"/>
              <w:bottom w:val="nil"/>
            </w:tcBorders>
            <w:vAlign w:val="top"/>
          </w:tcPr>
          <w:p w14:paraId="115F409C">
            <w:pPr>
              <w:pStyle w:val="6"/>
              <w:spacing w:before="264" w:line="195" w:lineRule="auto"/>
              <w:ind w:left="268"/>
              <w:rPr>
                <w:sz w:val="20"/>
                <w:szCs w:val="20"/>
              </w:rPr>
            </w:pPr>
            <w:r>
              <w:rPr>
                <w:sz w:val="20"/>
                <w:szCs w:val="20"/>
              </w:rPr>
              <w:t>2</w:t>
            </w:r>
          </w:p>
        </w:tc>
        <w:tc>
          <w:tcPr>
            <w:tcW w:w="912" w:type="dxa"/>
            <w:vMerge w:val="restart"/>
            <w:tcBorders>
              <w:bottom w:val="nil"/>
            </w:tcBorders>
            <w:vAlign w:val="top"/>
          </w:tcPr>
          <w:p w14:paraId="2875C16F">
            <w:pPr>
              <w:spacing w:before="69" w:line="231" w:lineRule="auto"/>
              <w:ind w:left="155"/>
              <w:rPr>
                <w:rFonts w:ascii="仿宋" w:hAnsi="仿宋" w:eastAsia="仿宋" w:cs="仿宋"/>
                <w:sz w:val="20"/>
                <w:szCs w:val="20"/>
              </w:rPr>
            </w:pPr>
            <w:r>
              <w:rPr>
                <w:rFonts w:ascii="仿宋" w:hAnsi="仿宋" w:eastAsia="仿宋" w:cs="仿宋"/>
                <w:spacing w:val="4"/>
                <w:sz w:val="20"/>
                <w:szCs w:val="20"/>
              </w:rPr>
              <w:t>崔家峁</w:t>
            </w:r>
          </w:p>
          <w:p w14:paraId="613D0ADB">
            <w:pPr>
              <w:pStyle w:val="6"/>
              <w:spacing w:before="61" w:line="231" w:lineRule="auto"/>
              <w:ind w:left="217"/>
              <w:rPr>
                <w:rFonts w:ascii="仿宋" w:hAnsi="仿宋" w:eastAsia="仿宋" w:cs="仿宋"/>
                <w:sz w:val="20"/>
                <w:szCs w:val="20"/>
              </w:rPr>
            </w:pPr>
            <w:r>
              <w:rPr>
                <w:spacing w:val="4"/>
                <w:sz w:val="20"/>
                <w:szCs w:val="20"/>
              </w:rPr>
              <w:t>-</w:t>
            </w:r>
            <w:r>
              <w:rPr>
                <w:rFonts w:ascii="仿宋" w:hAnsi="仿宋" w:eastAsia="仿宋" w:cs="仿宋"/>
                <w:spacing w:val="4"/>
                <w:sz w:val="20"/>
                <w:szCs w:val="20"/>
              </w:rPr>
              <w:t>散户</w:t>
            </w:r>
          </w:p>
        </w:tc>
        <w:tc>
          <w:tcPr>
            <w:tcW w:w="1219" w:type="dxa"/>
            <w:vMerge w:val="restart"/>
            <w:tcBorders>
              <w:bottom w:val="nil"/>
            </w:tcBorders>
            <w:vAlign w:val="top"/>
          </w:tcPr>
          <w:p w14:paraId="494AE9DA">
            <w:pPr>
              <w:pStyle w:val="6"/>
              <w:spacing w:before="264" w:line="195" w:lineRule="auto"/>
              <w:ind w:left="444"/>
              <w:rPr>
                <w:sz w:val="20"/>
                <w:szCs w:val="20"/>
              </w:rPr>
            </w:pPr>
            <w:r>
              <w:rPr>
                <w:spacing w:val="-3"/>
                <w:sz w:val="20"/>
                <w:szCs w:val="20"/>
              </w:rPr>
              <w:t>13m</w:t>
            </w:r>
          </w:p>
        </w:tc>
        <w:tc>
          <w:tcPr>
            <w:tcW w:w="1100" w:type="dxa"/>
            <w:vAlign w:val="top"/>
          </w:tcPr>
          <w:p w14:paraId="0CC4943A">
            <w:pPr>
              <w:spacing w:before="64" w:line="232" w:lineRule="auto"/>
              <w:ind w:left="139"/>
              <w:rPr>
                <w:rFonts w:ascii="仿宋" w:hAnsi="仿宋" w:eastAsia="仿宋" w:cs="仿宋"/>
                <w:sz w:val="20"/>
                <w:szCs w:val="20"/>
              </w:rPr>
            </w:pPr>
            <w:r>
              <w:rPr>
                <w:rFonts w:ascii="仿宋" w:hAnsi="仿宋" w:eastAsia="仿宋" w:cs="仿宋"/>
                <w:spacing w:val="6"/>
                <w:sz w:val="20"/>
                <w:szCs w:val="20"/>
              </w:rPr>
              <w:t>路基施工</w:t>
            </w:r>
          </w:p>
        </w:tc>
        <w:tc>
          <w:tcPr>
            <w:tcW w:w="1038" w:type="dxa"/>
            <w:vAlign w:val="top"/>
          </w:tcPr>
          <w:p w14:paraId="1B7C4795">
            <w:pPr>
              <w:pStyle w:val="6"/>
              <w:spacing w:before="103" w:line="195" w:lineRule="auto"/>
              <w:ind w:left="419"/>
              <w:rPr>
                <w:sz w:val="20"/>
                <w:szCs w:val="20"/>
              </w:rPr>
            </w:pPr>
            <w:r>
              <w:rPr>
                <w:spacing w:val="1"/>
                <w:sz w:val="20"/>
                <w:szCs w:val="20"/>
              </w:rPr>
              <w:t>70</w:t>
            </w:r>
          </w:p>
        </w:tc>
        <w:tc>
          <w:tcPr>
            <w:tcW w:w="916" w:type="dxa"/>
            <w:vMerge w:val="restart"/>
            <w:tcBorders>
              <w:bottom w:val="nil"/>
            </w:tcBorders>
            <w:vAlign w:val="top"/>
          </w:tcPr>
          <w:p w14:paraId="035590E9">
            <w:pPr>
              <w:pStyle w:val="6"/>
              <w:spacing w:before="264" w:line="195" w:lineRule="auto"/>
              <w:ind w:left="360"/>
              <w:rPr>
                <w:sz w:val="20"/>
                <w:szCs w:val="20"/>
              </w:rPr>
            </w:pPr>
            <w:r>
              <w:rPr>
                <w:sz w:val="20"/>
                <w:szCs w:val="20"/>
              </w:rPr>
              <w:t>53</w:t>
            </w:r>
          </w:p>
        </w:tc>
        <w:tc>
          <w:tcPr>
            <w:tcW w:w="878" w:type="dxa"/>
            <w:vAlign w:val="top"/>
          </w:tcPr>
          <w:p w14:paraId="5E965A2B">
            <w:pPr>
              <w:pStyle w:val="6"/>
              <w:spacing w:before="106" w:line="192" w:lineRule="auto"/>
              <w:ind w:left="261"/>
              <w:rPr>
                <w:sz w:val="20"/>
                <w:szCs w:val="20"/>
              </w:rPr>
            </w:pPr>
            <w:r>
              <w:rPr>
                <w:spacing w:val="2"/>
                <w:sz w:val="20"/>
                <w:szCs w:val="20"/>
              </w:rPr>
              <w:t>77.7</w:t>
            </w:r>
          </w:p>
        </w:tc>
        <w:tc>
          <w:tcPr>
            <w:tcW w:w="846" w:type="dxa"/>
            <w:vAlign w:val="top"/>
          </w:tcPr>
          <w:p w14:paraId="78834457">
            <w:pPr>
              <w:pStyle w:val="6"/>
              <w:spacing w:before="106" w:line="192" w:lineRule="auto"/>
              <w:ind w:left="244"/>
              <w:rPr>
                <w:sz w:val="20"/>
                <w:szCs w:val="20"/>
              </w:rPr>
            </w:pPr>
            <w:r>
              <w:rPr>
                <w:spacing w:val="2"/>
                <w:sz w:val="20"/>
                <w:szCs w:val="20"/>
              </w:rPr>
              <w:t>77.7</w:t>
            </w:r>
          </w:p>
        </w:tc>
        <w:tc>
          <w:tcPr>
            <w:tcW w:w="972" w:type="dxa"/>
            <w:tcBorders>
              <w:right w:val="nil"/>
            </w:tcBorders>
            <w:vAlign w:val="top"/>
          </w:tcPr>
          <w:p w14:paraId="60196A36">
            <w:pPr>
              <w:pStyle w:val="6"/>
              <w:spacing w:before="106" w:line="192" w:lineRule="auto"/>
              <w:ind w:left="358"/>
              <w:rPr>
                <w:sz w:val="20"/>
                <w:szCs w:val="20"/>
              </w:rPr>
            </w:pPr>
            <w:r>
              <w:rPr>
                <w:spacing w:val="1"/>
                <w:sz w:val="20"/>
                <w:szCs w:val="20"/>
              </w:rPr>
              <w:t>7.7</w:t>
            </w:r>
          </w:p>
        </w:tc>
      </w:tr>
      <w:tr w14:paraId="3D10AB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636" w:type="dxa"/>
            <w:vMerge w:val="continue"/>
            <w:tcBorders>
              <w:top w:val="nil"/>
              <w:left w:val="nil"/>
            </w:tcBorders>
            <w:vAlign w:val="top"/>
          </w:tcPr>
          <w:p w14:paraId="206F3E97">
            <w:pPr>
              <w:rPr>
                <w:rFonts w:ascii="Arial"/>
                <w:sz w:val="21"/>
              </w:rPr>
            </w:pPr>
          </w:p>
        </w:tc>
        <w:tc>
          <w:tcPr>
            <w:tcW w:w="912" w:type="dxa"/>
            <w:vMerge w:val="continue"/>
            <w:tcBorders>
              <w:top w:val="nil"/>
            </w:tcBorders>
            <w:vAlign w:val="top"/>
          </w:tcPr>
          <w:p w14:paraId="34667C25">
            <w:pPr>
              <w:rPr>
                <w:rFonts w:ascii="Arial"/>
                <w:sz w:val="21"/>
              </w:rPr>
            </w:pPr>
          </w:p>
        </w:tc>
        <w:tc>
          <w:tcPr>
            <w:tcW w:w="1219" w:type="dxa"/>
            <w:vMerge w:val="continue"/>
            <w:tcBorders>
              <w:top w:val="nil"/>
            </w:tcBorders>
            <w:vAlign w:val="top"/>
          </w:tcPr>
          <w:p w14:paraId="27AA5E73">
            <w:pPr>
              <w:rPr>
                <w:rFonts w:ascii="Arial"/>
                <w:sz w:val="21"/>
              </w:rPr>
            </w:pPr>
          </w:p>
        </w:tc>
        <w:tc>
          <w:tcPr>
            <w:tcW w:w="1100" w:type="dxa"/>
            <w:vAlign w:val="top"/>
          </w:tcPr>
          <w:p w14:paraId="0143F4E4">
            <w:pPr>
              <w:spacing w:before="59" w:line="227" w:lineRule="auto"/>
              <w:ind w:left="139"/>
              <w:rPr>
                <w:rFonts w:ascii="仿宋" w:hAnsi="仿宋" w:eastAsia="仿宋" w:cs="仿宋"/>
                <w:sz w:val="20"/>
                <w:szCs w:val="20"/>
              </w:rPr>
            </w:pPr>
            <w:r>
              <w:rPr>
                <w:rFonts w:ascii="仿宋" w:hAnsi="仿宋" w:eastAsia="仿宋" w:cs="仿宋"/>
                <w:spacing w:val="6"/>
                <w:sz w:val="20"/>
                <w:szCs w:val="20"/>
              </w:rPr>
              <w:t>路面施工</w:t>
            </w:r>
          </w:p>
        </w:tc>
        <w:tc>
          <w:tcPr>
            <w:tcW w:w="1038" w:type="dxa"/>
            <w:vAlign w:val="top"/>
          </w:tcPr>
          <w:p w14:paraId="1B1C118F">
            <w:pPr>
              <w:pStyle w:val="6"/>
              <w:spacing w:before="95" w:line="195" w:lineRule="auto"/>
              <w:ind w:left="419"/>
              <w:rPr>
                <w:sz w:val="20"/>
                <w:szCs w:val="20"/>
              </w:rPr>
            </w:pPr>
            <w:r>
              <w:rPr>
                <w:spacing w:val="1"/>
                <w:sz w:val="20"/>
                <w:szCs w:val="20"/>
              </w:rPr>
              <w:t>70</w:t>
            </w:r>
          </w:p>
        </w:tc>
        <w:tc>
          <w:tcPr>
            <w:tcW w:w="916" w:type="dxa"/>
            <w:vMerge w:val="continue"/>
            <w:tcBorders>
              <w:top w:val="nil"/>
            </w:tcBorders>
            <w:vAlign w:val="top"/>
          </w:tcPr>
          <w:p w14:paraId="3EB1C47E">
            <w:pPr>
              <w:rPr>
                <w:rFonts w:ascii="Arial"/>
                <w:sz w:val="21"/>
              </w:rPr>
            </w:pPr>
          </w:p>
        </w:tc>
        <w:tc>
          <w:tcPr>
            <w:tcW w:w="878" w:type="dxa"/>
            <w:vAlign w:val="top"/>
          </w:tcPr>
          <w:p w14:paraId="40A2AEA3">
            <w:pPr>
              <w:pStyle w:val="6"/>
              <w:spacing w:before="95" w:line="195" w:lineRule="auto"/>
              <w:ind w:left="261"/>
              <w:rPr>
                <w:sz w:val="20"/>
                <w:szCs w:val="20"/>
              </w:rPr>
            </w:pPr>
            <w:r>
              <w:rPr>
                <w:spacing w:val="2"/>
                <w:sz w:val="20"/>
                <w:szCs w:val="20"/>
              </w:rPr>
              <w:t>79.7</w:t>
            </w:r>
          </w:p>
        </w:tc>
        <w:tc>
          <w:tcPr>
            <w:tcW w:w="846" w:type="dxa"/>
            <w:vAlign w:val="top"/>
          </w:tcPr>
          <w:p w14:paraId="6B0B8352">
            <w:pPr>
              <w:pStyle w:val="6"/>
              <w:spacing w:before="95" w:line="195" w:lineRule="auto"/>
              <w:ind w:left="244"/>
              <w:rPr>
                <w:sz w:val="20"/>
                <w:szCs w:val="20"/>
              </w:rPr>
            </w:pPr>
            <w:r>
              <w:rPr>
                <w:spacing w:val="2"/>
                <w:sz w:val="20"/>
                <w:szCs w:val="20"/>
              </w:rPr>
              <w:t>79.7</w:t>
            </w:r>
          </w:p>
        </w:tc>
        <w:tc>
          <w:tcPr>
            <w:tcW w:w="972" w:type="dxa"/>
            <w:tcBorders>
              <w:right w:val="nil"/>
            </w:tcBorders>
            <w:vAlign w:val="top"/>
          </w:tcPr>
          <w:p w14:paraId="1C344F08">
            <w:pPr>
              <w:pStyle w:val="6"/>
              <w:spacing w:before="95" w:line="195" w:lineRule="auto"/>
              <w:ind w:left="359"/>
              <w:rPr>
                <w:sz w:val="20"/>
                <w:szCs w:val="20"/>
              </w:rPr>
            </w:pPr>
            <w:r>
              <w:rPr>
                <w:spacing w:val="1"/>
                <w:sz w:val="20"/>
                <w:szCs w:val="20"/>
              </w:rPr>
              <w:t>9.7</w:t>
            </w:r>
          </w:p>
        </w:tc>
      </w:tr>
      <w:tr w14:paraId="493734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636" w:type="dxa"/>
            <w:vMerge w:val="restart"/>
            <w:tcBorders>
              <w:left w:val="nil"/>
              <w:bottom w:val="nil"/>
            </w:tcBorders>
            <w:vAlign w:val="top"/>
          </w:tcPr>
          <w:p w14:paraId="4AA09F7F">
            <w:pPr>
              <w:pStyle w:val="6"/>
              <w:spacing w:before="259" w:line="195" w:lineRule="auto"/>
              <w:ind w:left="272"/>
              <w:rPr>
                <w:sz w:val="20"/>
                <w:szCs w:val="20"/>
              </w:rPr>
            </w:pPr>
            <w:r>
              <w:rPr>
                <w:sz w:val="20"/>
                <w:szCs w:val="20"/>
              </w:rPr>
              <w:t>3</w:t>
            </w:r>
          </w:p>
        </w:tc>
        <w:tc>
          <w:tcPr>
            <w:tcW w:w="912" w:type="dxa"/>
            <w:vMerge w:val="restart"/>
            <w:tcBorders>
              <w:bottom w:val="nil"/>
            </w:tcBorders>
            <w:vAlign w:val="top"/>
          </w:tcPr>
          <w:p w14:paraId="0D36677D">
            <w:pPr>
              <w:spacing w:before="65" w:line="232" w:lineRule="auto"/>
              <w:ind w:left="161"/>
              <w:rPr>
                <w:rFonts w:ascii="仿宋" w:hAnsi="仿宋" w:eastAsia="仿宋" w:cs="仿宋"/>
                <w:sz w:val="20"/>
                <w:szCs w:val="20"/>
              </w:rPr>
            </w:pPr>
            <w:r>
              <w:rPr>
                <w:rFonts w:ascii="仿宋" w:hAnsi="仿宋" w:eastAsia="仿宋" w:cs="仿宋"/>
                <w:spacing w:val="2"/>
                <w:sz w:val="20"/>
                <w:szCs w:val="20"/>
              </w:rPr>
              <w:t>瓦窑平</w:t>
            </w:r>
          </w:p>
          <w:p w14:paraId="33E754F7">
            <w:pPr>
              <w:pStyle w:val="6"/>
              <w:spacing w:before="61" w:line="229" w:lineRule="auto"/>
              <w:ind w:left="217"/>
              <w:rPr>
                <w:rFonts w:ascii="仿宋" w:hAnsi="仿宋" w:eastAsia="仿宋" w:cs="仿宋"/>
                <w:sz w:val="20"/>
                <w:szCs w:val="20"/>
              </w:rPr>
            </w:pPr>
            <w:r>
              <w:rPr>
                <w:spacing w:val="4"/>
                <w:sz w:val="20"/>
                <w:szCs w:val="20"/>
              </w:rPr>
              <w:t>-</w:t>
            </w:r>
            <w:r>
              <w:rPr>
                <w:rFonts w:ascii="仿宋" w:hAnsi="仿宋" w:eastAsia="仿宋" w:cs="仿宋"/>
                <w:spacing w:val="4"/>
                <w:sz w:val="20"/>
                <w:szCs w:val="20"/>
              </w:rPr>
              <w:t>散户</w:t>
            </w:r>
          </w:p>
        </w:tc>
        <w:tc>
          <w:tcPr>
            <w:tcW w:w="1219" w:type="dxa"/>
            <w:vMerge w:val="restart"/>
            <w:tcBorders>
              <w:bottom w:val="nil"/>
            </w:tcBorders>
            <w:vAlign w:val="top"/>
          </w:tcPr>
          <w:p w14:paraId="0751A1BB">
            <w:pPr>
              <w:pStyle w:val="6"/>
              <w:spacing w:before="259" w:line="195" w:lineRule="auto"/>
              <w:ind w:left="391"/>
              <w:rPr>
                <w:sz w:val="20"/>
                <w:szCs w:val="20"/>
              </w:rPr>
            </w:pPr>
            <w:r>
              <w:rPr>
                <w:spacing w:val="-1"/>
                <w:sz w:val="20"/>
                <w:szCs w:val="20"/>
              </w:rPr>
              <w:t>104m</w:t>
            </w:r>
          </w:p>
        </w:tc>
        <w:tc>
          <w:tcPr>
            <w:tcW w:w="1100" w:type="dxa"/>
            <w:vAlign w:val="top"/>
          </w:tcPr>
          <w:p w14:paraId="721E2FDD">
            <w:pPr>
              <w:spacing w:before="61" w:line="225" w:lineRule="auto"/>
              <w:ind w:left="139"/>
              <w:rPr>
                <w:rFonts w:ascii="仿宋" w:hAnsi="仿宋" w:eastAsia="仿宋" w:cs="仿宋"/>
                <w:sz w:val="20"/>
                <w:szCs w:val="20"/>
              </w:rPr>
            </w:pPr>
            <w:r>
              <w:rPr>
                <w:rFonts w:ascii="仿宋" w:hAnsi="仿宋" w:eastAsia="仿宋" w:cs="仿宋"/>
                <w:spacing w:val="6"/>
                <w:sz w:val="20"/>
                <w:szCs w:val="20"/>
              </w:rPr>
              <w:t>路基施工</w:t>
            </w:r>
          </w:p>
        </w:tc>
        <w:tc>
          <w:tcPr>
            <w:tcW w:w="1038" w:type="dxa"/>
            <w:vAlign w:val="top"/>
          </w:tcPr>
          <w:p w14:paraId="5CFD3486">
            <w:pPr>
              <w:pStyle w:val="6"/>
              <w:spacing w:before="99" w:line="195" w:lineRule="auto"/>
              <w:ind w:left="419"/>
              <w:rPr>
                <w:sz w:val="20"/>
                <w:szCs w:val="20"/>
              </w:rPr>
            </w:pPr>
            <w:r>
              <w:rPr>
                <w:spacing w:val="1"/>
                <w:sz w:val="20"/>
                <w:szCs w:val="20"/>
              </w:rPr>
              <w:t>70</w:t>
            </w:r>
          </w:p>
        </w:tc>
        <w:tc>
          <w:tcPr>
            <w:tcW w:w="916" w:type="dxa"/>
            <w:vMerge w:val="restart"/>
            <w:tcBorders>
              <w:bottom w:val="nil"/>
            </w:tcBorders>
            <w:vAlign w:val="top"/>
          </w:tcPr>
          <w:p w14:paraId="0F2DA801">
            <w:pPr>
              <w:pStyle w:val="6"/>
              <w:spacing w:before="259" w:line="195" w:lineRule="auto"/>
              <w:ind w:left="360"/>
              <w:rPr>
                <w:sz w:val="20"/>
                <w:szCs w:val="20"/>
              </w:rPr>
            </w:pPr>
            <w:r>
              <w:rPr>
                <w:sz w:val="20"/>
                <w:szCs w:val="20"/>
              </w:rPr>
              <w:t>52</w:t>
            </w:r>
          </w:p>
        </w:tc>
        <w:tc>
          <w:tcPr>
            <w:tcW w:w="878" w:type="dxa"/>
            <w:vAlign w:val="top"/>
          </w:tcPr>
          <w:p w14:paraId="59C709BA">
            <w:pPr>
              <w:pStyle w:val="6"/>
              <w:spacing w:before="99" w:line="195" w:lineRule="auto"/>
              <w:ind w:left="341"/>
              <w:rPr>
                <w:sz w:val="20"/>
                <w:szCs w:val="20"/>
              </w:rPr>
            </w:pPr>
            <w:r>
              <w:rPr>
                <w:sz w:val="20"/>
                <w:szCs w:val="20"/>
              </w:rPr>
              <w:t>60</w:t>
            </w:r>
          </w:p>
        </w:tc>
        <w:tc>
          <w:tcPr>
            <w:tcW w:w="846" w:type="dxa"/>
            <w:vAlign w:val="top"/>
          </w:tcPr>
          <w:p w14:paraId="15AD3A9E">
            <w:pPr>
              <w:pStyle w:val="6"/>
              <w:spacing w:before="99" w:line="195" w:lineRule="auto"/>
              <w:ind w:left="325"/>
              <w:rPr>
                <w:sz w:val="20"/>
                <w:szCs w:val="20"/>
              </w:rPr>
            </w:pPr>
            <w:r>
              <w:rPr>
                <w:sz w:val="20"/>
                <w:szCs w:val="20"/>
              </w:rPr>
              <w:t>60</w:t>
            </w:r>
          </w:p>
        </w:tc>
        <w:tc>
          <w:tcPr>
            <w:tcW w:w="972" w:type="dxa"/>
            <w:tcBorders>
              <w:right w:val="nil"/>
            </w:tcBorders>
            <w:vAlign w:val="top"/>
          </w:tcPr>
          <w:p w14:paraId="038C24B1">
            <w:pPr>
              <w:pStyle w:val="6"/>
              <w:spacing w:before="99" w:line="195" w:lineRule="auto"/>
              <w:ind w:left="325"/>
              <w:rPr>
                <w:sz w:val="20"/>
                <w:szCs w:val="20"/>
              </w:rPr>
            </w:pPr>
            <w:r>
              <w:rPr>
                <w:spacing w:val="1"/>
                <w:sz w:val="20"/>
                <w:szCs w:val="20"/>
              </w:rPr>
              <w:t>-8.7</w:t>
            </w:r>
          </w:p>
        </w:tc>
      </w:tr>
      <w:tr w14:paraId="37C525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6" w:type="dxa"/>
            <w:vMerge w:val="continue"/>
            <w:tcBorders>
              <w:top w:val="nil"/>
              <w:left w:val="nil"/>
            </w:tcBorders>
            <w:vAlign w:val="top"/>
          </w:tcPr>
          <w:p w14:paraId="1D016365">
            <w:pPr>
              <w:rPr>
                <w:rFonts w:ascii="Arial"/>
                <w:sz w:val="21"/>
              </w:rPr>
            </w:pPr>
          </w:p>
        </w:tc>
        <w:tc>
          <w:tcPr>
            <w:tcW w:w="912" w:type="dxa"/>
            <w:vMerge w:val="continue"/>
            <w:tcBorders>
              <w:top w:val="nil"/>
            </w:tcBorders>
            <w:vAlign w:val="top"/>
          </w:tcPr>
          <w:p w14:paraId="11A340FB">
            <w:pPr>
              <w:rPr>
                <w:rFonts w:ascii="Arial"/>
                <w:sz w:val="21"/>
              </w:rPr>
            </w:pPr>
          </w:p>
        </w:tc>
        <w:tc>
          <w:tcPr>
            <w:tcW w:w="1219" w:type="dxa"/>
            <w:vMerge w:val="continue"/>
            <w:tcBorders>
              <w:top w:val="nil"/>
            </w:tcBorders>
            <w:vAlign w:val="top"/>
          </w:tcPr>
          <w:p w14:paraId="0C3CE51C">
            <w:pPr>
              <w:rPr>
                <w:rFonts w:ascii="Arial"/>
                <w:sz w:val="21"/>
              </w:rPr>
            </w:pPr>
          </w:p>
        </w:tc>
        <w:tc>
          <w:tcPr>
            <w:tcW w:w="1100" w:type="dxa"/>
            <w:vAlign w:val="top"/>
          </w:tcPr>
          <w:p w14:paraId="31638C9F">
            <w:pPr>
              <w:spacing w:before="62" w:line="225" w:lineRule="auto"/>
              <w:ind w:left="139"/>
              <w:rPr>
                <w:rFonts w:ascii="仿宋" w:hAnsi="仿宋" w:eastAsia="仿宋" w:cs="仿宋"/>
                <w:sz w:val="20"/>
                <w:szCs w:val="20"/>
              </w:rPr>
            </w:pPr>
            <w:r>
              <w:rPr>
                <w:rFonts w:ascii="仿宋" w:hAnsi="仿宋" w:eastAsia="仿宋" w:cs="仿宋"/>
                <w:spacing w:val="6"/>
                <w:sz w:val="20"/>
                <w:szCs w:val="20"/>
              </w:rPr>
              <w:t>路面施工</w:t>
            </w:r>
          </w:p>
        </w:tc>
        <w:tc>
          <w:tcPr>
            <w:tcW w:w="1038" w:type="dxa"/>
            <w:vAlign w:val="top"/>
          </w:tcPr>
          <w:p w14:paraId="3F1772D8">
            <w:pPr>
              <w:pStyle w:val="6"/>
              <w:spacing w:before="100" w:line="195" w:lineRule="auto"/>
              <w:ind w:left="419"/>
              <w:rPr>
                <w:sz w:val="20"/>
                <w:szCs w:val="20"/>
              </w:rPr>
            </w:pPr>
            <w:r>
              <w:rPr>
                <w:spacing w:val="1"/>
                <w:sz w:val="20"/>
                <w:szCs w:val="20"/>
              </w:rPr>
              <w:t>70</w:t>
            </w:r>
          </w:p>
        </w:tc>
        <w:tc>
          <w:tcPr>
            <w:tcW w:w="916" w:type="dxa"/>
            <w:vMerge w:val="continue"/>
            <w:tcBorders>
              <w:top w:val="nil"/>
            </w:tcBorders>
            <w:vAlign w:val="top"/>
          </w:tcPr>
          <w:p w14:paraId="236036C4">
            <w:pPr>
              <w:rPr>
                <w:rFonts w:ascii="Arial"/>
                <w:sz w:val="21"/>
              </w:rPr>
            </w:pPr>
          </w:p>
        </w:tc>
        <w:tc>
          <w:tcPr>
            <w:tcW w:w="878" w:type="dxa"/>
            <w:vAlign w:val="top"/>
          </w:tcPr>
          <w:p w14:paraId="71714CC4">
            <w:pPr>
              <w:pStyle w:val="6"/>
              <w:spacing w:before="100" w:line="195" w:lineRule="auto"/>
              <w:ind w:left="341"/>
              <w:rPr>
                <w:sz w:val="20"/>
                <w:szCs w:val="20"/>
              </w:rPr>
            </w:pPr>
            <w:r>
              <w:rPr>
                <w:sz w:val="20"/>
                <w:szCs w:val="20"/>
              </w:rPr>
              <w:t>62</w:t>
            </w:r>
          </w:p>
        </w:tc>
        <w:tc>
          <w:tcPr>
            <w:tcW w:w="846" w:type="dxa"/>
            <w:vAlign w:val="top"/>
          </w:tcPr>
          <w:p w14:paraId="5DE39480">
            <w:pPr>
              <w:pStyle w:val="6"/>
              <w:spacing w:before="100" w:line="195" w:lineRule="auto"/>
              <w:ind w:left="325"/>
              <w:rPr>
                <w:sz w:val="20"/>
                <w:szCs w:val="20"/>
              </w:rPr>
            </w:pPr>
            <w:r>
              <w:rPr>
                <w:sz w:val="20"/>
                <w:szCs w:val="20"/>
              </w:rPr>
              <w:t>62</w:t>
            </w:r>
          </w:p>
        </w:tc>
        <w:tc>
          <w:tcPr>
            <w:tcW w:w="972" w:type="dxa"/>
            <w:tcBorders>
              <w:right w:val="nil"/>
            </w:tcBorders>
            <w:vAlign w:val="top"/>
          </w:tcPr>
          <w:p w14:paraId="57BC051F">
            <w:pPr>
              <w:pStyle w:val="6"/>
              <w:spacing w:before="100" w:line="195" w:lineRule="auto"/>
              <w:ind w:left="325"/>
              <w:rPr>
                <w:sz w:val="20"/>
                <w:szCs w:val="20"/>
              </w:rPr>
            </w:pPr>
            <w:r>
              <w:rPr>
                <w:sz w:val="20"/>
                <w:szCs w:val="20"/>
              </w:rPr>
              <w:t>-7.</w:t>
            </w:r>
            <w:r>
              <w:rPr>
                <w:spacing w:val="-24"/>
                <w:sz w:val="20"/>
                <w:szCs w:val="20"/>
              </w:rPr>
              <w:t xml:space="preserve"> </w:t>
            </w:r>
            <w:r>
              <w:rPr>
                <w:sz w:val="20"/>
                <w:szCs w:val="20"/>
              </w:rPr>
              <w:t>1</w:t>
            </w:r>
          </w:p>
        </w:tc>
      </w:tr>
      <w:tr w14:paraId="13136A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636" w:type="dxa"/>
            <w:vMerge w:val="restart"/>
            <w:tcBorders>
              <w:left w:val="nil"/>
              <w:bottom w:val="nil"/>
            </w:tcBorders>
            <w:vAlign w:val="top"/>
          </w:tcPr>
          <w:p w14:paraId="5E85BAC8">
            <w:pPr>
              <w:pStyle w:val="6"/>
              <w:spacing w:before="262" w:line="195" w:lineRule="auto"/>
              <w:ind w:left="267"/>
              <w:rPr>
                <w:sz w:val="20"/>
                <w:szCs w:val="20"/>
              </w:rPr>
            </w:pPr>
            <w:r>
              <w:rPr>
                <w:spacing w:val="1"/>
                <w:sz w:val="20"/>
                <w:szCs w:val="20"/>
              </w:rPr>
              <w:t>4</w:t>
            </w:r>
          </w:p>
        </w:tc>
        <w:tc>
          <w:tcPr>
            <w:tcW w:w="912" w:type="dxa"/>
            <w:vMerge w:val="restart"/>
            <w:tcBorders>
              <w:bottom w:val="nil"/>
            </w:tcBorders>
            <w:vAlign w:val="top"/>
          </w:tcPr>
          <w:p w14:paraId="3B156D3F">
            <w:pPr>
              <w:spacing w:before="70" w:line="231" w:lineRule="auto"/>
              <w:ind w:left="153"/>
              <w:rPr>
                <w:rFonts w:ascii="仿宋" w:hAnsi="仿宋" w:eastAsia="仿宋" w:cs="仿宋"/>
                <w:sz w:val="20"/>
                <w:szCs w:val="20"/>
              </w:rPr>
            </w:pPr>
            <w:r>
              <w:rPr>
                <w:rFonts w:ascii="仿宋" w:hAnsi="仿宋" w:eastAsia="仿宋" w:cs="仿宋"/>
                <w:spacing w:val="4"/>
                <w:sz w:val="20"/>
                <w:szCs w:val="20"/>
              </w:rPr>
              <w:t>刘家塔</w:t>
            </w:r>
          </w:p>
          <w:p w14:paraId="5CA6A596">
            <w:pPr>
              <w:pStyle w:val="6"/>
              <w:spacing w:before="61" w:line="225" w:lineRule="auto"/>
              <w:ind w:left="178"/>
              <w:rPr>
                <w:sz w:val="20"/>
                <w:szCs w:val="20"/>
              </w:rPr>
            </w:pPr>
            <w:r>
              <w:rPr>
                <w:rFonts w:ascii="仿宋" w:hAnsi="仿宋" w:eastAsia="仿宋" w:cs="仿宋"/>
                <w:spacing w:val="1"/>
                <w:sz w:val="20"/>
                <w:szCs w:val="20"/>
              </w:rPr>
              <w:t>散户</w:t>
            </w:r>
            <w:r>
              <w:rPr>
                <w:rFonts w:ascii="仿宋" w:hAnsi="仿宋" w:eastAsia="仿宋" w:cs="仿宋"/>
                <w:spacing w:val="-23"/>
                <w:sz w:val="20"/>
                <w:szCs w:val="20"/>
              </w:rPr>
              <w:t xml:space="preserve"> </w:t>
            </w:r>
            <w:r>
              <w:rPr>
                <w:spacing w:val="1"/>
                <w:sz w:val="20"/>
                <w:szCs w:val="20"/>
              </w:rPr>
              <w:t>1</w:t>
            </w:r>
          </w:p>
        </w:tc>
        <w:tc>
          <w:tcPr>
            <w:tcW w:w="1219" w:type="dxa"/>
            <w:vMerge w:val="restart"/>
            <w:tcBorders>
              <w:bottom w:val="nil"/>
            </w:tcBorders>
            <w:vAlign w:val="top"/>
          </w:tcPr>
          <w:p w14:paraId="24E68AE7">
            <w:pPr>
              <w:pStyle w:val="6"/>
              <w:spacing w:before="262" w:line="195" w:lineRule="auto"/>
              <w:ind w:left="429"/>
              <w:rPr>
                <w:sz w:val="20"/>
                <w:szCs w:val="20"/>
              </w:rPr>
            </w:pPr>
            <w:r>
              <w:rPr>
                <w:spacing w:val="2"/>
                <w:sz w:val="20"/>
                <w:szCs w:val="20"/>
              </w:rPr>
              <w:t>50m</w:t>
            </w:r>
          </w:p>
        </w:tc>
        <w:tc>
          <w:tcPr>
            <w:tcW w:w="1100" w:type="dxa"/>
            <w:vAlign w:val="top"/>
          </w:tcPr>
          <w:p w14:paraId="2ACF7A84">
            <w:pPr>
              <w:spacing w:before="65" w:line="221" w:lineRule="auto"/>
              <w:ind w:left="139"/>
              <w:rPr>
                <w:rFonts w:ascii="仿宋" w:hAnsi="仿宋" w:eastAsia="仿宋" w:cs="仿宋"/>
                <w:sz w:val="20"/>
                <w:szCs w:val="20"/>
              </w:rPr>
            </w:pPr>
            <w:r>
              <w:rPr>
                <w:rFonts w:ascii="仿宋" w:hAnsi="仿宋" w:eastAsia="仿宋" w:cs="仿宋"/>
                <w:spacing w:val="6"/>
                <w:sz w:val="20"/>
                <w:szCs w:val="20"/>
              </w:rPr>
              <w:t>路基施工</w:t>
            </w:r>
          </w:p>
        </w:tc>
        <w:tc>
          <w:tcPr>
            <w:tcW w:w="1038" w:type="dxa"/>
            <w:vAlign w:val="top"/>
          </w:tcPr>
          <w:p w14:paraId="23EB430F">
            <w:pPr>
              <w:pStyle w:val="6"/>
              <w:spacing w:before="101" w:line="195" w:lineRule="auto"/>
              <w:ind w:left="419"/>
              <w:rPr>
                <w:sz w:val="20"/>
                <w:szCs w:val="20"/>
              </w:rPr>
            </w:pPr>
            <w:r>
              <w:rPr>
                <w:spacing w:val="1"/>
                <w:sz w:val="20"/>
                <w:szCs w:val="20"/>
              </w:rPr>
              <w:t>70</w:t>
            </w:r>
          </w:p>
        </w:tc>
        <w:tc>
          <w:tcPr>
            <w:tcW w:w="916" w:type="dxa"/>
            <w:vMerge w:val="restart"/>
            <w:tcBorders>
              <w:bottom w:val="nil"/>
            </w:tcBorders>
            <w:vAlign w:val="top"/>
          </w:tcPr>
          <w:p w14:paraId="7773B9DA">
            <w:pPr>
              <w:pStyle w:val="6"/>
              <w:spacing w:before="262" w:line="195" w:lineRule="auto"/>
              <w:ind w:left="281"/>
              <w:rPr>
                <w:sz w:val="20"/>
                <w:szCs w:val="20"/>
              </w:rPr>
            </w:pPr>
            <w:r>
              <w:rPr>
                <w:spacing w:val="2"/>
                <w:sz w:val="20"/>
                <w:szCs w:val="20"/>
              </w:rPr>
              <w:t>50.5</w:t>
            </w:r>
          </w:p>
        </w:tc>
        <w:tc>
          <w:tcPr>
            <w:tcW w:w="878" w:type="dxa"/>
            <w:vAlign w:val="top"/>
          </w:tcPr>
          <w:p w14:paraId="28A237D7">
            <w:pPr>
              <w:pStyle w:val="6"/>
              <w:spacing w:before="101" w:line="195" w:lineRule="auto"/>
              <w:ind w:left="341"/>
              <w:rPr>
                <w:sz w:val="20"/>
                <w:szCs w:val="20"/>
              </w:rPr>
            </w:pPr>
            <w:r>
              <w:rPr>
                <w:sz w:val="20"/>
                <w:szCs w:val="20"/>
              </w:rPr>
              <w:t>66</w:t>
            </w:r>
          </w:p>
        </w:tc>
        <w:tc>
          <w:tcPr>
            <w:tcW w:w="846" w:type="dxa"/>
            <w:vAlign w:val="top"/>
          </w:tcPr>
          <w:p w14:paraId="5BEBE769">
            <w:pPr>
              <w:pStyle w:val="6"/>
              <w:spacing w:before="101" w:line="195" w:lineRule="auto"/>
              <w:ind w:left="325"/>
              <w:rPr>
                <w:sz w:val="20"/>
                <w:szCs w:val="20"/>
              </w:rPr>
            </w:pPr>
            <w:r>
              <w:rPr>
                <w:sz w:val="20"/>
                <w:szCs w:val="20"/>
              </w:rPr>
              <w:t>66</w:t>
            </w:r>
          </w:p>
        </w:tc>
        <w:tc>
          <w:tcPr>
            <w:tcW w:w="972" w:type="dxa"/>
            <w:tcBorders>
              <w:right w:val="nil"/>
            </w:tcBorders>
            <w:vAlign w:val="top"/>
          </w:tcPr>
          <w:p w14:paraId="1DD9ED97">
            <w:pPr>
              <w:pStyle w:val="6"/>
              <w:spacing w:before="101" w:line="195" w:lineRule="auto"/>
              <w:ind w:left="325"/>
              <w:rPr>
                <w:sz w:val="20"/>
                <w:szCs w:val="20"/>
              </w:rPr>
            </w:pPr>
            <w:r>
              <w:rPr>
                <w:spacing w:val="1"/>
                <w:sz w:val="20"/>
                <w:szCs w:val="20"/>
              </w:rPr>
              <w:t>-3.6</w:t>
            </w:r>
          </w:p>
        </w:tc>
      </w:tr>
      <w:tr w14:paraId="40902B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6" w:type="dxa"/>
            <w:vMerge w:val="continue"/>
            <w:tcBorders>
              <w:top w:val="nil"/>
              <w:left w:val="nil"/>
            </w:tcBorders>
            <w:vAlign w:val="top"/>
          </w:tcPr>
          <w:p w14:paraId="1C689F88">
            <w:pPr>
              <w:rPr>
                <w:rFonts w:ascii="Arial"/>
                <w:sz w:val="21"/>
              </w:rPr>
            </w:pPr>
          </w:p>
        </w:tc>
        <w:tc>
          <w:tcPr>
            <w:tcW w:w="912" w:type="dxa"/>
            <w:vMerge w:val="continue"/>
            <w:tcBorders>
              <w:top w:val="nil"/>
            </w:tcBorders>
            <w:vAlign w:val="top"/>
          </w:tcPr>
          <w:p w14:paraId="3D84F6E0">
            <w:pPr>
              <w:rPr>
                <w:rFonts w:ascii="Arial"/>
                <w:sz w:val="21"/>
              </w:rPr>
            </w:pPr>
          </w:p>
        </w:tc>
        <w:tc>
          <w:tcPr>
            <w:tcW w:w="1219" w:type="dxa"/>
            <w:vMerge w:val="continue"/>
            <w:tcBorders>
              <w:top w:val="nil"/>
            </w:tcBorders>
            <w:vAlign w:val="top"/>
          </w:tcPr>
          <w:p w14:paraId="19161BD4">
            <w:pPr>
              <w:rPr>
                <w:rFonts w:ascii="Arial"/>
                <w:sz w:val="21"/>
              </w:rPr>
            </w:pPr>
          </w:p>
        </w:tc>
        <w:tc>
          <w:tcPr>
            <w:tcW w:w="1100" w:type="dxa"/>
            <w:vAlign w:val="top"/>
          </w:tcPr>
          <w:p w14:paraId="259516A1">
            <w:pPr>
              <w:spacing w:before="66" w:line="221" w:lineRule="auto"/>
              <w:ind w:left="139"/>
              <w:rPr>
                <w:rFonts w:ascii="仿宋" w:hAnsi="仿宋" w:eastAsia="仿宋" w:cs="仿宋"/>
                <w:sz w:val="20"/>
                <w:szCs w:val="20"/>
              </w:rPr>
            </w:pPr>
            <w:r>
              <w:rPr>
                <w:rFonts w:ascii="仿宋" w:hAnsi="仿宋" w:eastAsia="仿宋" w:cs="仿宋"/>
                <w:spacing w:val="6"/>
                <w:sz w:val="20"/>
                <w:szCs w:val="20"/>
              </w:rPr>
              <w:t>路面施工</w:t>
            </w:r>
          </w:p>
        </w:tc>
        <w:tc>
          <w:tcPr>
            <w:tcW w:w="1038" w:type="dxa"/>
            <w:vAlign w:val="top"/>
          </w:tcPr>
          <w:p w14:paraId="58370960">
            <w:pPr>
              <w:pStyle w:val="6"/>
              <w:spacing w:before="102" w:line="195" w:lineRule="auto"/>
              <w:ind w:left="419"/>
              <w:rPr>
                <w:sz w:val="20"/>
                <w:szCs w:val="20"/>
              </w:rPr>
            </w:pPr>
            <w:r>
              <w:rPr>
                <w:spacing w:val="1"/>
                <w:sz w:val="20"/>
                <w:szCs w:val="20"/>
              </w:rPr>
              <w:t>70</w:t>
            </w:r>
          </w:p>
        </w:tc>
        <w:tc>
          <w:tcPr>
            <w:tcW w:w="916" w:type="dxa"/>
            <w:vMerge w:val="continue"/>
            <w:tcBorders>
              <w:top w:val="nil"/>
            </w:tcBorders>
            <w:vAlign w:val="top"/>
          </w:tcPr>
          <w:p w14:paraId="2B61FF31">
            <w:pPr>
              <w:rPr>
                <w:rFonts w:ascii="Arial"/>
                <w:sz w:val="21"/>
              </w:rPr>
            </w:pPr>
          </w:p>
        </w:tc>
        <w:tc>
          <w:tcPr>
            <w:tcW w:w="878" w:type="dxa"/>
            <w:vAlign w:val="top"/>
          </w:tcPr>
          <w:p w14:paraId="61C2FF57">
            <w:pPr>
              <w:pStyle w:val="6"/>
              <w:spacing w:before="102" w:line="195" w:lineRule="auto"/>
              <w:ind w:left="341"/>
              <w:rPr>
                <w:sz w:val="20"/>
                <w:szCs w:val="20"/>
              </w:rPr>
            </w:pPr>
            <w:r>
              <w:rPr>
                <w:sz w:val="20"/>
                <w:szCs w:val="20"/>
              </w:rPr>
              <w:t>68</w:t>
            </w:r>
          </w:p>
        </w:tc>
        <w:tc>
          <w:tcPr>
            <w:tcW w:w="846" w:type="dxa"/>
            <w:vAlign w:val="top"/>
          </w:tcPr>
          <w:p w14:paraId="1FB1FCE1">
            <w:pPr>
              <w:pStyle w:val="6"/>
              <w:spacing w:before="102" w:line="195" w:lineRule="auto"/>
              <w:ind w:left="325"/>
              <w:rPr>
                <w:sz w:val="20"/>
                <w:szCs w:val="20"/>
              </w:rPr>
            </w:pPr>
            <w:r>
              <w:rPr>
                <w:sz w:val="20"/>
                <w:szCs w:val="20"/>
              </w:rPr>
              <w:t>68</w:t>
            </w:r>
          </w:p>
        </w:tc>
        <w:tc>
          <w:tcPr>
            <w:tcW w:w="972" w:type="dxa"/>
            <w:tcBorders>
              <w:right w:val="nil"/>
            </w:tcBorders>
            <w:vAlign w:val="top"/>
          </w:tcPr>
          <w:p w14:paraId="1D320CF8">
            <w:pPr>
              <w:pStyle w:val="6"/>
              <w:spacing w:before="102" w:line="195" w:lineRule="auto"/>
              <w:ind w:left="325"/>
              <w:rPr>
                <w:sz w:val="20"/>
                <w:szCs w:val="20"/>
              </w:rPr>
            </w:pPr>
            <w:r>
              <w:rPr>
                <w:spacing w:val="-5"/>
                <w:sz w:val="20"/>
                <w:szCs w:val="20"/>
              </w:rPr>
              <w:t>-</w:t>
            </w:r>
            <w:r>
              <w:rPr>
                <w:spacing w:val="-24"/>
                <w:sz w:val="20"/>
                <w:szCs w:val="20"/>
              </w:rPr>
              <w:t xml:space="preserve"> </w:t>
            </w:r>
            <w:r>
              <w:rPr>
                <w:spacing w:val="-5"/>
                <w:sz w:val="20"/>
                <w:szCs w:val="20"/>
              </w:rPr>
              <w:t>1.7</w:t>
            </w:r>
          </w:p>
        </w:tc>
      </w:tr>
      <w:tr w14:paraId="5AAB24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636" w:type="dxa"/>
            <w:vMerge w:val="restart"/>
            <w:tcBorders>
              <w:left w:val="nil"/>
              <w:bottom w:val="nil"/>
            </w:tcBorders>
            <w:vAlign w:val="top"/>
          </w:tcPr>
          <w:p w14:paraId="731E9C97">
            <w:pPr>
              <w:pStyle w:val="6"/>
              <w:spacing w:before="267" w:line="192" w:lineRule="auto"/>
              <w:ind w:left="274"/>
              <w:rPr>
                <w:sz w:val="20"/>
                <w:szCs w:val="20"/>
              </w:rPr>
            </w:pPr>
            <w:r>
              <w:rPr>
                <w:sz w:val="20"/>
                <w:szCs w:val="20"/>
              </w:rPr>
              <w:t>5</w:t>
            </w:r>
          </w:p>
        </w:tc>
        <w:tc>
          <w:tcPr>
            <w:tcW w:w="912" w:type="dxa"/>
            <w:vMerge w:val="restart"/>
            <w:tcBorders>
              <w:bottom w:val="nil"/>
            </w:tcBorders>
            <w:vAlign w:val="top"/>
          </w:tcPr>
          <w:p w14:paraId="5911F4D1">
            <w:pPr>
              <w:spacing w:before="72" w:line="231" w:lineRule="auto"/>
              <w:ind w:left="153"/>
              <w:rPr>
                <w:rFonts w:ascii="仿宋" w:hAnsi="仿宋" w:eastAsia="仿宋" w:cs="仿宋"/>
                <w:sz w:val="20"/>
                <w:szCs w:val="20"/>
              </w:rPr>
            </w:pPr>
            <w:r>
              <w:rPr>
                <w:rFonts w:ascii="仿宋" w:hAnsi="仿宋" w:eastAsia="仿宋" w:cs="仿宋"/>
                <w:spacing w:val="4"/>
                <w:sz w:val="20"/>
                <w:szCs w:val="20"/>
              </w:rPr>
              <w:t>刘家塔</w:t>
            </w:r>
          </w:p>
          <w:p w14:paraId="5D96AD73">
            <w:pPr>
              <w:pStyle w:val="6"/>
              <w:spacing w:before="61" w:line="222" w:lineRule="auto"/>
              <w:ind w:left="178"/>
              <w:rPr>
                <w:sz w:val="20"/>
                <w:szCs w:val="20"/>
              </w:rPr>
            </w:pPr>
            <w:r>
              <w:rPr>
                <w:rFonts w:ascii="仿宋" w:hAnsi="仿宋" w:eastAsia="仿宋" w:cs="仿宋"/>
                <w:spacing w:val="1"/>
                <w:sz w:val="20"/>
                <w:szCs w:val="20"/>
              </w:rPr>
              <w:t>散户</w:t>
            </w:r>
            <w:r>
              <w:rPr>
                <w:rFonts w:ascii="仿宋" w:hAnsi="仿宋" w:eastAsia="仿宋" w:cs="仿宋"/>
                <w:spacing w:val="-43"/>
                <w:sz w:val="20"/>
                <w:szCs w:val="20"/>
              </w:rPr>
              <w:t xml:space="preserve"> </w:t>
            </w:r>
            <w:r>
              <w:rPr>
                <w:spacing w:val="1"/>
                <w:sz w:val="20"/>
                <w:szCs w:val="20"/>
              </w:rPr>
              <w:t>2</w:t>
            </w:r>
          </w:p>
        </w:tc>
        <w:tc>
          <w:tcPr>
            <w:tcW w:w="1219" w:type="dxa"/>
            <w:vMerge w:val="restart"/>
            <w:tcBorders>
              <w:bottom w:val="nil"/>
            </w:tcBorders>
            <w:vAlign w:val="top"/>
          </w:tcPr>
          <w:p w14:paraId="640D35FF">
            <w:pPr>
              <w:pStyle w:val="6"/>
              <w:spacing w:before="264" w:line="195" w:lineRule="auto"/>
              <w:ind w:left="444"/>
              <w:rPr>
                <w:sz w:val="20"/>
                <w:szCs w:val="20"/>
              </w:rPr>
            </w:pPr>
            <w:r>
              <w:rPr>
                <w:spacing w:val="-3"/>
                <w:sz w:val="20"/>
                <w:szCs w:val="20"/>
              </w:rPr>
              <w:t>13m</w:t>
            </w:r>
          </w:p>
        </w:tc>
        <w:tc>
          <w:tcPr>
            <w:tcW w:w="1100" w:type="dxa"/>
            <w:vAlign w:val="top"/>
          </w:tcPr>
          <w:p w14:paraId="775A3C45">
            <w:pPr>
              <w:spacing w:before="67" w:line="219" w:lineRule="auto"/>
              <w:ind w:left="139"/>
              <w:rPr>
                <w:rFonts w:ascii="仿宋" w:hAnsi="仿宋" w:eastAsia="仿宋" w:cs="仿宋"/>
                <w:sz w:val="20"/>
                <w:szCs w:val="20"/>
              </w:rPr>
            </w:pPr>
            <w:r>
              <w:rPr>
                <w:rFonts w:ascii="仿宋" w:hAnsi="仿宋" w:eastAsia="仿宋" w:cs="仿宋"/>
                <w:spacing w:val="6"/>
                <w:sz w:val="20"/>
                <w:szCs w:val="20"/>
              </w:rPr>
              <w:t>路基施工</w:t>
            </w:r>
          </w:p>
        </w:tc>
        <w:tc>
          <w:tcPr>
            <w:tcW w:w="1038" w:type="dxa"/>
            <w:vAlign w:val="top"/>
          </w:tcPr>
          <w:p w14:paraId="36773754">
            <w:pPr>
              <w:pStyle w:val="6"/>
              <w:spacing w:before="103" w:line="195" w:lineRule="auto"/>
              <w:ind w:left="419"/>
              <w:rPr>
                <w:sz w:val="20"/>
                <w:szCs w:val="20"/>
              </w:rPr>
            </w:pPr>
            <w:r>
              <w:rPr>
                <w:spacing w:val="1"/>
                <w:sz w:val="20"/>
                <w:szCs w:val="20"/>
              </w:rPr>
              <w:t>70</w:t>
            </w:r>
          </w:p>
        </w:tc>
        <w:tc>
          <w:tcPr>
            <w:tcW w:w="916" w:type="dxa"/>
            <w:vMerge w:val="restart"/>
            <w:tcBorders>
              <w:bottom w:val="nil"/>
            </w:tcBorders>
            <w:vAlign w:val="top"/>
          </w:tcPr>
          <w:p w14:paraId="01A82F1B">
            <w:pPr>
              <w:pStyle w:val="6"/>
              <w:spacing w:before="264" w:line="195" w:lineRule="auto"/>
              <w:ind w:left="360"/>
              <w:rPr>
                <w:sz w:val="20"/>
                <w:szCs w:val="20"/>
              </w:rPr>
            </w:pPr>
            <w:r>
              <w:rPr>
                <w:sz w:val="20"/>
                <w:szCs w:val="20"/>
              </w:rPr>
              <w:t>50</w:t>
            </w:r>
          </w:p>
        </w:tc>
        <w:tc>
          <w:tcPr>
            <w:tcW w:w="878" w:type="dxa"/>
            <w:vAlign w:val="top"/>
          </w:tcPr>
          <w:p w14:paraId="2BC39435">
            <w:pPr>
              <w:pStyle w:val="6"/>
              <w:spacing w:before="106" w:line="192" w:lineRule="auto"/>
              <w:ind w:left="261"/>
              <w:rPr>
                <w:sz w:val="20"/>
                <w:szCs w:val="20"/>
              </w:rPr>
            </w:pPr>
            <w:r>
              <w:rPr>
                <w:spacing w:val="2"/>
                <w:sz w:val="20"/>
                <w:szCs w:val="20"/>
              </w:rPr>
              <w:t>77.7</w:t>
            </w:r>
          </w:p>
        </w:tc>
        <w:tc>
          <w:tcPr>
            <w:tcW w:w="846" w:type="dxa"/>
            <w:vAlign w:val="top"/>
          </w:tcPr>
          <w:p w14:paraId="08095FA2">
            <w:pPr>
              <w:pStyle w:val="6"/>
              <w:spacing w:before="106" w:line="192" w:lineRule="auto"/>
              <w:ind w:left="244"/>
              <w:rPr>
                <w:sz w:val="20"/>
                <w:szCs w:val="20"/>
              </w:rPr>
            </w:pPr>
            <w:r>
              <w:rPr>
                <w:spacing w:val="2"/>
                <w:sz w:val="20"/>
                <w:szCs w:val="20"/>
              </w:rPr>
              <w:t>77.7</w:t>
            </w:r>
          </w:p>
        </w:tc>
        <w:tc>
          <w:tcPr>
            <w:tcW w:w="972" w:type="dxa"/>
            <w:tcBorders>
              <w:right w:val="nil"/>
            </w:tcBorders>
            <w:vAlign w:val="top"/>
          </w:tcPr>
          <w:p w14:paraId="44F78DD3">
            <w:pPr>
              <w:pStyle w:val="6"/>
              <w:spacing w:before="106" w:line="192" w:lineRule="auto"/>
              <w:ind w:left="358"/>
              <w:rPr>
                <w:sz w:val="20"/>
                <w:szCs w:val="20"/>
              </w:rPr>
            </w:pPr>
            <w:r>
              <w:rPr>
                <w:spacing w:val="1"/>
                <w:sz w:val="20"/>
                <w:szCs w:val="20"/>
              </w:rPr>
              <w:t>7.7</w:t>
            </w:r>
          </w:p>
        </w:tc>
      </w:tr>
      <w:tr w14:paraId="40462B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636" w:type="dxa"/>
            <w:vMerge w:val="continue"/>
            <w:tcBorders>
              <w:top w:val="nil"/>
              <w:left w:val="nil"/>
            </w:tcBorders>
            <w:vAlign w:val="top"/>
          </w:tcPr>
          <w:p w14:paraId="0976F6BB">
            <w:pPr>
              <w:rPr>
                <w:rFonts w:ascii="Arial"/>
                <w:sz w:val="21"/>
              </w:rPr>
            </w:pPr>
          </w:p>
        </w:tc>
        <w:tc>
          <w:tcPr>
            <w:tcW w:w="912" w:type="dxa"/>
            <w:vMerge w:val="continue"/>
            <w:tcBorders>
              <w:top w:val="nil"/>
            </w:tcBorders>
            <w:vAlign w:val="top"/>
          </w:tcPr>
          <w:p w14:paraId="7E17E699">
            <w:pPr>
              <w:rPr>
                <w:rFonts w:ascii="Arial"/>
                <w:sz w:val="21"/>
              </w:rPr>
            </w:pPr>
          </w:p>
        </w:tc>
        <w:tc>
          <w:tcPr>
            <w:tcW w:w="1219" w:type="dxa"/>
            <w:vMerge w:val="continue"/>
            <w:tcBorders>
              <w:top w:val="nil"/>
            </w:tcBorders>
            <w:vAlign w:val="top"/>
          </w:tcPr>
          <w:p w14:paraId="0E1EF898">
            <w:pPr>
              <w:rPr>
                <w:rFonts w:ascii="Arial"/>
                <w:sz w:val="21"/>
              </w:rPr>
            </w:pPr>
          </w:p>
        </w:tc>
        <w:tc>
          <w:tcPr>
            <w:tcW w:w="1100" w:type="dxa"/>
            <w:vAlign w:val="top"/>
          </w:tcPr>
          <w:p w14:paraId="69289F91">
            <w:pPr>
              <w:spacing w:before="68" w:line="218" w:lineRule="auto"/>
              <w:ind w:left="139"/>
              <w:rPr>
                <w:rFonts w:ascii="仿宋" w:hAnsi="仿宋" w:eastAsia="仿宋" w:cs="仿宋"/>
                <w:sz w:val="20"/>
                <w:szCs w:val="20"/>
              </w:rPr>
            </w:pPr>
            <w:r>
              <w:rPr>
                <w:rFonts w:ascii="仿宋" w:hAnsi="仿宋" w:eastAsia="仿宋" w:cs="仿宋"/>
                <w:spacing w:val="6"/>
                <w:sz w:val="20"/>
                <w:szCs w:val="20"/>
              </w:rPr>
              <w:t>路面施工</w:t>
            </w:r>
          </w:p>
        </w:tc>
        <w:tc>
          <w:tcPr>
            <w:tcW w:w="1038" w:type="dxa"/>
            <w:vAlign w:val="top"/>
          </w:tcPr>
          <w:p w14:paraId="6D78B29F">
            <w:pPr>
              <w:pStyle w:val="6"/>
              <w:spacing w:before="105" w:line="195" w:lineRule="auto"/>
              <w:ind w:left="419"/>
              <w:rPr>
                <w:sz w:val="20"/>
                <w:szCs w:val="20"/>
              </w:rPr>
            </w:pPr>
            <w:r>
              <w:rPr>
                <w:spacing w:val="1"/>
                <w:sz w:val="20"/>
                <w:szCs w:val="20"/>
              </w:rPr>
              <w:t>70</w:t>
            </w:r>
          </w:p>
        </w:tc>
        <w:tc>
          <w:tcPr>
            <w:tcW w:w="916" w:type="dxa"/>
            <w:vMerge w:val="continue"/>
            <w:tcBorders>
              <w:top w:val="nil"/>
            </w:tcBorders>
            <w:vAlign w:val="top"/>
          </w:tcPr>
          <w:p w14:paraId="5902E4C1">
            <w:pPr>
              <w:rPr>
                <w:rFonts w:ascii="Arial"/>
                <w:sz w:val="21"/>
              </w:rPr>
            </w:pPr>
          </w:p>
        </w:tc>
        <w:tc>
          <w:tcPr>
            <w:tcW w:w="878" w:type="dxa"/>
            <w:vAlign w:val="top"/>
          </w:tcPr>
          <w:p w14:paraId="6820579F">
            <w:pPr>
              <w:pStyle w:val="6"/>
              <w:spacing w:before="105" w:line="195" w:lineRule="auto"/>
              <w:ind w:left="261"/>
              <w:rPr>
                <w:sz w:val="20"/>
                <w:szCs w:val="20"/>
              </w:rPr>
            </w:pPr>
            <w:r>
              <w:rPr>
                <w:spacing w:val="2"/>
                <w:sz w:val="20"/>
                <w:szCs w:val="20"/>
              </w:rPr>
              <w:t>79.7</w:t>
            </w:r>
          </w:p>
        </w:tc>
        <w:tc>
          <w:tcPr>
            <w:tcW w:w="846" w:type="dxa"/>
            <w:vAlign w:val="top"/>
          </w:tcPr>
          <w:p w14:paraId="1B3068A7">
            <w:pPr>
              <w:pStyle w:val="6"/>
              <w:spacing w:before="105" w:line="195" w:lineRule="auto"/>
              <w:ind w:left="244"/>
              <w:rPr>
                <w:sz w:val="20"/>
                <w:szCs w:val="20"/>
              </w:rPr>
            </w:pPr>
            <w:r>
              <w:rPr>
                <w:spacing w:val="2"/>
                <w:sz w:val="20"/>
                <w:szCs w:val="20"/>
              </w:rPr>
              <w:t>79.7</w:t>
            </w:r>
          </w:p>
        </w:tc>
        <w:tc>
          <w:tcPr>
            <w:tcW w:w="972" w:type="dxa"/>
            <w:tcBorders>
              <w:right w:val="nil"/>
            </w:tcBorders>
            <w:vAlign w:val="top"/>
          </w:tcPr>
          <w:p w14:paraId="03FA3F23">
            <w:pPr>
              <w:pStyle w:val="6"/>
              <w:spacing w:before="105" w:line="195" w:lineRule="auto"/>
              <w:ind w:left="359"/>
              <w:rPr>
                <w:sz w:val="20"/>
                <w:szCs w:val="20"/>
              </w:rPr>
            </w:pPr>
            <w:r>
              <w:rPr>
                <w:spacing w:val="1"/>
                <w:sz w:val="20"/>
                <w:szCs w:val="20"/>
              </w:rPr>
              <w:t>9.7</w:t>
            </w:r>
          </w:p>
        </w:tc>
      </w:tr>
      <w:tr w14:paraId="1EB064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6" w:type="dxa"/>
            <w:vMerge w:val="restart"/>
            <w:tcBorders>
              <w:left w:val="nil"/>
              <w:bottom w:val="nil"/>
            </w:tcBorders>
            <w:vAlign w:val="top"/>
          </w:tcPr>
          <w:p w14:paraId="56D95DFD">
            <w:pPr>
              <w:pStyle w:val="6"/>
              <w:spacing w:before="269" w:line="195" w:lineRule="auto"/>
              <w:ind w:left="273"/>
              <w:rPr>
                <w:sz w:val="20"/>
                <w:szCs w:val="20"/>
              </w:rPr>
            </w:pPr>
            <w:r>
              <w:rPr>
                <w:sz w:val="20"/>
                <w:szCs w:val="20"/>
              </w:rPr>
              <w:t>6</w:t>
            </w:r>
          </w:p>
        </w:tc>
        <w:tc>
          <w:tcPr>
            <w:tcW w:w="912" w:type="dxa"/>
            <w:vMerge w:val="restart"/>
            <w:tcBorders>
              <w:bottom w:val="nil"/>
            </w:tcBorders>
            <w:vAlign w:val="top"/>
          </w:tcPr>
          <w:p w14:paraId="34A6BED2">
            <w:pPr>
              <w:spacing w:before="231" w:line="231" w:lineRule="auto"/>
              <w:ind w:left="164"/>
              <w:rPr>
                <w:rFonts w:ascii="仿宋" w:hAnsi="仿宋" w:eastAsia="仿宋" w:cs="仿宋"/>
                <w:sz w:val="20"/>
                <w:szCs w:val="20"/>
              </w:rPr>
            </w:pPr>
            <w:r>
              <w:rPr>
                <w:rFonts w:ascii="仿宋" w:hAnsi="仿宋" w:eastAsia="仿宋" w:cs="仿宋"/>
                <w:spacing w:val="1"/>
                <w:sz w:val="20"/>
                <w:szCs w:val="20"/>
              </w:rPr>
              <w:t>陈家梁</w:t>
            </w:r>
          </w:p>
        </w:tc>
        <w:tc>
          <w:tcPr>
            <w:tcW w:w="1219" w:type="dxa"/>
            <w:vMerge w:val="restart"/>
            <w:tcBorders>
              <w:bottom w:val="nil"/>
            </w:tcBorders>
            <w:vAlign w:val="top"/>
          </w:tcPr>
          <w:p w14:paraId="28782ED1">
            <w:pPr>
              <w:pStyle w:val="6"/>
              <w:spacing w:before="269" w:line="195" w:lineRule="auto"/>
              <w:ind w:left="401"/>
              <w:rPr>
                <w:sz w:val="20"/>
                <w:szCs w:val="20"/>
              </w:rPr>
            </w:pPr>
            <w:r>
              <w:rPr>
                <w:spacing w:val="3"/>
                <w:sz w:val="20"/>
                <w:szCs w:val="20"/>
              </w:rPr>
              <w:t>9.5m</w:t>
            </w:r>
          </w:p>
        </w:tc>
        <w:tc>
          <w:tcPr>
            <w:tcW w:w="1100" w:type="dxa"/>
            <w:vAlign w:val="top"/>
          </w:tcPr>
          <w:p w14:paraId="3288A738">
            <w:pPr>
              <w:spacing w:before="70" w:line="217" w:lineRule="auto"/>
              <w:ind w:left="139"/>
              <w:rPr>
                <w:rFonts w:ascii="仿宋" w:hAnsi="仿宋" w:eastAsia="仿宋" w:cs="仿宋"/>
                <w:sz w:val="20"/>
                <w:szCs w:val="20"/>
              </w:rPr>
            </w:pPr>
            <w:r>
              <w:rPr>
                <w:rFonts w:ascii="仿宋" w:hAnsi="仿宋" w:eastAsia="仿宋" w:cs="仿宋"/>
                <w:spacing w:val="6"/>
                <w:sz w:val="20"/>
                <w:szCs w:val="20"/>
              </w:rPr>
              <w:t>路基施工</w:t>
            </w:r>
          </w:p>
        </w:tc>
        <w:tc>
          <w:tcPr>
            <w:tcW w:w="1038" w:type="dxa"/>
            <w:vAlign w:val="top"/>
          </w:tcPr>
          <w:p w14:paraId="1E1B87F9">
            <w:pPr>
              <w:pStyle w:val="6"/>
              <w:spacing w:before="109" w:line="195" w:lineRule="auto"/>
              <w:ind w:left="419"/>
              <w:rPr>
                <w:sz w:val="20"/>
                <w:szCs w:val="20"/>
              </w:rPr>
            </w:pPr>
            <w:r>
              <w:rPr>
                <w:spacing w:val="1"/>
                <w:sz w:val="20"/>
                <w:szCs w:val="20"/>
              </w:rPr>
              <w:t>70</w:t>
            </w:r>
          </w:p>
        </w:tc>
        <w:tc>
          <w:tcPr>
            <w:tcW w:w="916" w:type="dxa"/>
            <w:vMerge w:val="restart"/>
            <w:tcBorders>
              <w:bottom w:val="nil"/>
            </w:tcBorders>
            <w:vAlign w:val="top"/>
          </w:tcPr>
          <w:p w14:paraId="0CEBAD6A">
            <w:pPr>
              <w:pStyle w:val="6"/>
              <w:spacing w:before="269" w:line="195" w:lineRule="auto"/>
              <w:ind w:left="281"/>
              <w:rPr>
                <w:sz w:val="20"/>
                <w:szCs w:val="20"/>
              </w:rPr>
            </w:pPr>
            <w:r>
              <w:rPr>
                <w:spacing w:val="2"/>
                <w:sz w:val="20"/>
                <w:szCs w:val="20"/>
              </w:rPr>
              <w:t>51.5</w:t>
            </w:r>
          </w:p>
        </w:tc>
        <w:tc>
          <w:tcPr>
            <w:tcW w:w="878" w:type="dxa"/>
            <w:vAlign w:val="top"/>
          </w:tcPr>
          <w:p w14:paraId="0CCEC398">
            <w:pPr>
              <w:pStyle w:val="6"/>
              <w:spacing w:before="109" w:line="195" w:lineRule="auto"/>
              <w:ind w:left="266"/>
              <w:rPr>
                <w:sz w:val="20"/>
                <w:szCs w:val="20"/>
              </w:rPr>
            </w:pPr>
            <w:r>
              <w:rPr>
                <w:spacing w:val="1"/>
                <w:sz w:val="20"/>
                <w:szCs w:val="20"/>
              </w:rPr>
              <w:t>80.4</w:t>
            </w:r>
          </w:p>
        </w:tc>
        <w:tc>
          <w:tcPr>
            <w:tcW w:w="846" w:type="dxa"/>
            <w:vAlign w:val="top"/>
          </w:tcPr>
          <w:p w14:paraId="16D8C3C8">
            <w:pPr>
              <w:pStyle w:val="6"/>
              <w:spacing w:before="109" w:line="195" w:lineRule="auto"/>
              <w:ind w:left="249"/>
              <w:rPr>
                <w:sz w:val="20"/>
                <w:szCs w:val="20"/>
              </w:rPr>
            </w:pPr>
            <w:r>
              <w:rPr>
                <w:spacing w:val="1"/>
                <w:sz w:val="20"/>
                <w:szCs w:val="20"/>
              </w:rPr>
              <w:t>80.4</w:t>
            </w:r>
          </w:p>
        </w:tc>
        <w:tc>
          <w:tcPr>
            <w:tcW w:w="972" w:type="dxa"/>
            <w:tcBorders>
              <w:right w:val="nil"/>
            </w:tcBorders>
            <w:vAlign w:val="top"/>
          </w:tcPr>
          <w:p w14:paraId="1A3C0E7B">
            <w:pPr>
              <w:pStyle w:val="6"/>
              <w:spacing w:before="109" w:line="195" w:lineRule="auto"/>
              <w:ind w:left="324"/>
              <w:rPr>
                <w:sz w:val="20"/>
                <w:szCs w:val="20"/>
              </w:rPr>
            </w:pPr>
            <w:r>
              <w:rPr>
                <w:spacing w:val="-3"/>
                <w:sz w:val="20"/>
                <w:szCs w:val="20"/>
              </w:rPr>
              <w:t>10.4</w:t>
            </w:r>
          </w:p>
        </w:tc>
      </w:tr>
      <w:tr w14:paraId="6D41FA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6" w:type="dxa"/>
            <w:vMerge w:val="continue"/>
            <w:tcBorders>
              <w:top w:val="nil"/>
              <w:left w:val="nil"/>
            </w:tcBorders>
            <w:vAlign w:val="top"/>
          </w:tcPr>
          <w:p w14:paraId="7F0375C7">
            <w:pPr>
              <w:rPr>
                <w:rFonts w:ascii="Arial"/>
                <w:sz w:val="21"/>
              </w:rPr>
            </w:pPr>
          </w:p>
        </w:tc>
        <w:tc>
          <w:tcPr>
            <w:tcW w:w="912" w:type="dxa"/>
            <w:vMerge w:val="continue"/>
            <w:tcBorders>
              <w:top w:val="nil"/>
            </w:tcBorders>
            <w:vAlign w:val="top"/>
          </w:tcPr>
          <w:p w14:paraId="41196F81">
            <w:pPr>
              <w:rPr>
                <w:rFonts w:ascii="Arial"/>
                <w:sz w:val="21"/>
              </w:rPr>
            </w:pPr>
          </w:p>
        </w:tc>
        <w:tc>
          <w:tcPr>
            <w:tcW w:w="1219" w:type="dxa"/>
            <w:vMerge w:val="continue"/>
            <w:tcBorders>
              <w:top w:val="nil"/>
            </w:tcBorders>
            <w:vAlign w:val="top"/>
          </w:tcPr>
          <w:p w14:paraId="6E45FB36">
            <w:pPr>
              <w:rPr>
                <w:rFonts w:ascii="Arial"/>
                <w:sz w:val="21"/>
              </w:rPr>
            </w:pPr>
          </w:p>
        </w:tc>
        <w:tc>
          <w:tcPr>
            <w:tcW w:w="1100" w:type="dxa"/>
            <w:vAlign w:val="top"/>
          </w:tcPr>
          <w:p w14:paraId="3156306E">
            <w:pPr>
              <w:spacing w:before="72" w:line="216" w:lineRule="auto"/>
              <w:ind w:left="139"/>
              <w:rPr>
                <w:rFonts w:ascii="仿宋" w:hAnsi="仿宋" w:eastAsia="仿宋" w:cs="仿宋"/>
                <w:sz w:val="20"/>
                <w:szCs w:val="20"/>
              </w:rPr>
            </w:pPr>
            <w:r>
              <w:rPr>
                <w:rFonts w:ascii="仿宋" w:hAnsi="仿宋" w:eastAsia="仿宋" w:cs="仿宋"/>
                <w:spacing w:val="6"/>
                <w:sz w:val="20"/>
                <w:szCs w:val="20"/>
              </w:rPr>
              <w:t>路面施工</w:t>
            </w:r>
          </w:p>
        </w:tc>
        <w:tc>
          <w:tcPr>
            <w:tcW w:w="1038" w:type="dxa"/>
            <w:vAlign w:val="top"/>
          </w:tcPr>
          <w:p w14:paraId="1B8EE215">
            <w:pPr>
              <w:pStyle w:val="6"/>
              <w:spacing w:before="109" w:line="195" w:lineRule="auto"/>
              <w:ind w:left="419"/>
              <w:rPr>
                <w:sz w:val="20"/>
                <w:szCs w:val="20"/>
              </w:rPr>
            </w:pPr>
            <w:r>
              <w:rPr>
                <w:spacing w:val="1"/>
                <w:sz w:val="20"/>
                <w:szCs w:val="20"/>
              </w:rPr>
              <w:t>70</w:t>
            </w:r>
          </w:p>
        </w:tc>
        <w:tc>
          <w:tcPr>
            <w:tcW w:w="916" w:type="dxa"/>
            <w:vMerge w:val="continue"/>
            <w:tcBorders>
              <w:top w:val="nil"/>
            </w:tcBorders>
            <w:vAlign w:val="top"/>
          </w:tcPr>
          <w:p w14:paraId="0C549EF3">
            <w:pPr>
              <w:rPr>
                <w:rFonts w:ascii="Arial"/>
                <w:sz w:val="21"/>
              </w:rPr>
            </w:pPr>
          </w:p>
        </w:tc>
        <w:tc>
          <w:tcPr>
            <w:tcW w:w="878" w:type="dxa"/>
            <w:vAlign w:val="top"/>
          </w:tcPr>
          <w:p w14:paraId="63CFB3EE">
            <w:pPr>
              <w:pStyle w:val="6"/>
              <w:spacing w:before="109" w:line="195" w:lineRule="auto"/>
              <w:ind w:left="266"/>
              <w:rPr>
                <w:sz w:val="20"/>
                <w:szCs w:val="20"/>
              </w:rPr>
            </w:pPr>
            <w:r>
              <w:rPr>
                <w:spacing w:val="1"/>
                <w:sz w:val="20"/>
                <w:szCs w:val="20"/>
              </w:rPr>
              <w:t>82.4</w:t>
            </w:r>
          </w:p>
        </w:tc>
        <w:tc>
          <w:tcPr>
            <w:tcW w:w="846" w:type="dxa"/>
            <w:vAlign w:val="top"/>
          </w:tcPr>
          <w:p w14:paraId="356FFF82">
            <w:pPr>
              <w:pStyle w:val="6"/>
              <w:spacing w:before="109" w:line="195" w:lineRule="auto"/>
              <w:ind w:left="249"/>
              <w:rPr>
                <w:sz w:val="20"/>
                <w:szCs w:val="20"/>
              </w:rPr>
            </w:pPr>
            <w:r>
              <w:rPr>
                <w:spacing w:val="1"/>
                <w:sz w:val="20"/>
                <w:szCs w:val="20"/>
              </w:rPr>
              <w:t>82.4</w:t>
            </w:r>
          </w:p>
        </w:tc>
        <w:tc>
          <w:tcPr>
            <w:tcW w:w="972" w:type="dxa"/>
            <w:tcBorders>
              <w:right w:val="nil"/>
            </w:tcBorders>
            <w:vAlign w:val="top"/>
          </w:tcPr>
          <w:p w14:paraId="56207537">
            <w:pPr>
              <w:pStyle w:val="6"/>
              <w:spacing w:before="109" w:line="195" w:lineRule="auto"/>
              <w:ind w:left="324"/>
              <w:rPr>
                <w:sz w:val="20"/>
                <w:szCs w:val="20"/>
              </w:rPr>
            </w:pPr>
            <w:r>
              <w:rPr>
                <w:spacing w:val="-3"/>
                <w:sz w:val="20"/>
                <w:szCs w:val="20"/>
              </w:rPr>
              <w:t>12.4</w:t>
            </w:r>
          </w:p>
        </w:tc>
      </w:tr>
      <w:tr w14:paraId="019D6B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6" w:type="dxa"/>
            <w:vMerge w:val="restart"/>
            <w:tcBorders>
              <w:left w:val="nil"/>
              <w:bottom w:val="nil"/>
            </w:tcBorders>
            <w:vAlign w:val="top"/>
          </w:tcPr>
          <w:p w14:paraId="7006CEDA">
            <w:pPr>
              <w:pStyle w:val="6"/>
              <w:spacing w:before="274" w:line="192" w:lineRule="auto"/>
              <w:ind w:left="271"/>
              <w:rPr>
                <w:sz w:val="20"/>
                <w:szCs w:val="20"/>
              </w:rPr>
            </w:pPr>
            <w:r>
              <w:rPr>
                <w:sz w:val="20"/>
                <w:szCs w:val="20"/>
              </w:rPr>
              <w:t>7</w:t>
            </w:r>
          </w:p>
        </w:tc>
        <w:tc>
          <w:tcPr>
            <w:tcW w:w="912" w:type="dxa"/>
            <w:vMerge w:val="restart"/>
            <w:tcBorders>
              <w:bottom w:val="nil"/>
            </w:tcBorders>
            <w:vAlign w:val="top"/>
          </w:tcPr>
          <w:p w14:paraId="178511F0">
            <w:pPr>
              <w:spacing w:before="79" w:line="231" w:lineRule="auto"/>
              <w:ind w:left="155"/>
              <w:rPr>
                <w:rFonts w:ascii="仿宋" w:hAnsi="仿宋" w:eastAsia="仿宋" w:cs="仿宋"/>
                <w:sz w:val="20"/>
                <w:szCs w:val="20"/>
              </w:rPr>
            </w:pPr>
            <w:r>
              <w:rPr>
                <w:rFonts w:ascii="仿宋" w:hAnsi="仿宋" w:eastAsia="仿宋" w:cs="仿宋"/>
                <w:spacing w:val="4"/>
                <w:sz w:val="20"/>
                <w:szCs w:val="20"/>
              </w:rPr>
              <w:t>大圪梁</w:t>
            </w:r>
          </w:p>
          <w:p w14:paraId="419FC18D">
            <w:pPr>
              <w:pStyle w:val="6"/>
              <w:spacing w:before="61" w:line="218" w:lineRule="auto"/>
              <w:ind w:left="178"/>
              <w:rPr>
                <w:sz w:val="20"/>
                <w:szCs w:val="20"/>
              </w:rPr>
            </w:pPr>
            <w:r>
              <w:rPr>
                <w:rFonts w:ascii="仿宋" w:hAnsi="仿宋" w:eastAsia="仿宋" w:cs="仿宋"/>
                <w:spacing w:val="1"/>
                <w:sz w:val="20"/>
                <w:szCs w:val="20"/>
              </w:rPr>
              <w:t>散户</w:t>
            </w:r>
            <w:r>
              <w:rPr>
                <w:rFonts w:ascii="仿宋" w:hAnsi="仿宋" w:eastAsia="仿宋" w:cs="仿宋"/>
                <w:spacing w:val="-23"/>
                <w:sz w:val="20"/>
                <w:szCs w:val="20"/>
              </w:rPr>
              <w:t xml:space="preserve"> </w:t>
            </w:r>
            <w:r>
              <w:rPr>
                <w:spacing w:val="1"/>
                <w:sz w:val="20"/>
                <w:szCs w:val="20"/>
              </w:rPr>
              <w:t>1</w:t>
            </w:r>
          </w:p>
        </w:tc>
        <w:tc>
          <w:tcPr>
            <w:tcW w:w="1219" w:type="dxa"/>
            <w:vMerge w:val="restart"/>
            <w:tcBorders>
              <w:bottom w:val="nil"/>
            </w:tcBorders>
            <w:vAlign w:val="top"/>
          </w:tcPr>
          <w:p w14:paraId="102CA0A3">
            <w:pPr>
              <w:pStyle w:val="6"/>
              <w:spacing w:before="271" w:line="195" w:lineRule="auto"/>
              <w:ind w:left="423"/>
              <w:rPr>
                <w:sz w:val="20"/>
                <w:szCs w:val="20"/>
              </w:rPr>
            </w:pPr>
            <w:r>
              <w:rPr>
                <w:spacing w:val="4"/>
                <w:sz w:val="20"/>
                <w:szCs w:val="20"/>
              </w:rPr>
              <w:t>42m</w:t>
            </w:r>
          </w:p>
        </w:tc>
        <w:tc>
          <w:tcPr>
            <w:tcW w:w="1100" w:type="dxa"/>
            <w:vAlign w:val="top"/>
          </w:tcPr>
          <w:p w14:paraId="5B33876D">
            <w:pPr>
              <w:spacing w:before="74" w:line="214" w:lineRule="auto"/>
              <w:ind w:left="139"/>
              <w:rPr>
                <w:rFonts w:ascii="仿宋" w:hAnsi="仿宋" w:eastAsia="仿宋" w:cs="仿宋"/>
                <w:sz w:val="20"/>
                <w:szCs w:val="20"/>
              </w:rPr>
            </w:pPr>
            <w:r>
              <w:rPr>
                <w:rFonts w:ascii="仿宋" w:hAnsi="仿宋" w:eastAsia="仿宋" w:cs="仿宋"/>
                <w:spacing w:val="6"/>
                <w:sz w:val="20"/>
                <w:szCs w:val="20"/>
              </w:rPr>
              <w:t>路基施工</w:t>
            </w:r>
          </w:p>
        </w:tc>
        <w:tc>
          <w:tcPr>
            <w:tcW w:w="1038" w:type="dxa"/>
            <w:vAlign w:val="top"/>
          </w:tcPr>
          <w:p w14:paraId="1057180F">
            <w:pPr>
              <w:pStyle w:val="6"/>
              <w:spacing w:before="110" w:line="195" w:lineRule="auto"/>
              <w:ind w:left="419"/>
              <w:rPr>
                <w:sz w:val="20"/>
                <w:szCs w:val="20"/>
              </w:rPr>
            </w:pPr>
            <w:r>
              <w:rPr>
                <w:spacing w:val="1"/>
                <w:sz w:val="20"/>
                <w:szCs w:val="20"/>
              </w:rPr>
              <w:t>70</w:t>
            </w:r>
          </w:p>
        </w:tc>
        <w:tc>
          <w:tcPr>
            <w:tcW w:w="916" w:type="dxa"/>
            <w:vMerge w:val="restart"/>
            <w:tcBorders>
              <w:bottom w:val="nil"/>
            </w:tcBorders>
            <w:vAlign w:val="top"/>
          </w:tcPr>
          <w:p w14:paraId="463EF9A7">
            <w:pPr>
              <w:pStyle w:val="6"/>
              <w:spacing w:before="271" w:line="195" w:lineRule="auto"/>
              <w:ind w:left="360"/>
              <w:rPr>
                <w:sz w:val="20"/>
                <w:szCs w:val="20"/>
              </w:rPr>
            </w:pPr>
            <w:r>
              <w:rPr>
                <w:sz w:val="20"/>
                <w:szCs w:val="20"/>
              </w:rPr>
              <w:t>52</w:t>
            </w:r>
          </w:p>
        </w:tc>
        <w:tc>
          <w:tcPr>
            <w:tcW w:w="878" w:type="dxa"/>
            <w:vAlign w:val="top"/>
          </w:tcPr>
          <w:p w14:paraId="56430885">
            <w:pPr>
              <w:pStyle w:val="6"/>
              <w:spacing w:before="110" w:line="195" w:lineRule="auto"/>
              <w:ind w:left="262"/>
              <w:rPr>
                <w:sz w:val="20"/>
                <w:szCs w:val="20"/>
              </w:rPr>
            </w:pPr>
            <w:r>
              <w:rPr>
                <w:spacing w:val="2"/>
                <w:sz w:val="20"/>
                <w:szCs w:val="20"/>
              </w:rPr>
              <w:t>67.5</w:t>
            </w:r>
          </w:p>
        </w:tc>
        <w:tc>
          <w:tcPr>
            <w:tcW w:w="846" w:type="dxa"/>
            <w:vAlign w:val="top"/>
          </w:tcPr>
          <w:p w14:paraId="00C63EF8">
            <w:pPr>
              <w:pStyle w:val="6"/>
              <w:spacing w:before="110" w:line="195" w:lineRule="auto"/>
              <w:ind w:left="245"/>
              <w:rPr>
                <w:sz w:val="20"/>
                <w:szCs w:val="20"/>
              </w:rPr>
            </w:pPr>
            <w:r>
              <w:rPr>
                <w:spacing w:val="2"/>
                <w:sz w:val="20"/>
                <w:szCs w:val="20"/>
              </w:rPr>
              <w:t>67.5</w:t>
            </w:r>
          </w:p>
        </w:tc>
        <w:tc>
          <w:tcPr>
            <w:tcW w:w="972" w:type="dxa"/>
            <w:tcBorders>
              <w:right w:val="nil"/>
            </w:tcBorders>
            <w:vAlign w:val="top"/>
          </w:tcPr>
          <w:p w14:paraId="54A75302">
            <w:pPr>
              <w:pStyle w:val="6"/>
              <w:spacing w:before="110" w:line="195" w:lineRule="auto"/>
              <w:ind w:left="325"/>
              <w:rPr>
                <w:sz w:val="20"/>
                <w:szCs w:val="20"/>
              </w:rPr>
            </w:pPr>
            <w:r>
              <w:rPr>
                <w:sz w:val="20"/>
                <w:szCs w:val="20"/>
              </w:rPr>
              <w:t>-2.</w:t>
            </w:r>
            <w:r>
              <w:rPr>
                <w:spacing w:val="-24"/>
                <w:sz w:val="20"/>
                <w:szCs w:val="20"/>
              </w:rPr>
              <w:t xml:space="preserve"> </w:t>
            </w:r>
            <w:r>
              <w:rPr>
                <w:sz w:val="20"/>
                <w:szCs w:val="20"/>
              </w:rPr>
              <w:t>1</w:t>
            </w:r>
          </w:p>
        </w:tc>
      </w:tr>
      <w:tr w14:paraId="454A9B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6" w:type="dxa"/>
            <w:vMerge w:val="continue"/>
            <w:tcBorders>
              <w:top w:val="nil"/>
              <w:left w:val="nil"/>
            </w:tcBorders>
            <w:vAlign w:val="top"/>
          </w:tcPr>
          <w:p w14:paraId="039172F5">
            <w:pPr>
              <w:rPr>
                <w:rFonts w:ascii="Arial"/>
                <w:sz w:val="21"/>
              </w:rPr>
            </w:pPr>
          </w:p>
        </w:tc>
        <w:tc>
          <w:tcPr>
            <w:tcW w:w="912" w:type="dxa"/>
            <w:vMerge w:val="continue"/>
            <w:tcBorders>
              <w:top w:val="nil"/>
            </w:tcBorders>
            <w:vAlign w:val="top"/>
          </w:tcPr>
          <w:p w14:paraId="1953C8FD">
            <w:pPr>
              <w:rPr>
                <w:rFonts w:ascii="Arial"/>
                <w:sz w:val="21"/>
              </w:rPr>
            </w:pPr>
          </w:p>
        </w:tc>
        <w:tc>
          <w:tcPr>
            <w:tcW w:w="1219" w:type="dxa"/>
            <w:vMerge w:val="continue"/>
            <w:tcBorders>
              <w:top w:val="nil"/>
            </w:tcBorders>
            <w:vAlign w:val="top"/>
          </w:tcPr>
          <w:p w14:paraId="1BF41FF7">
            <w:pPr>
              <w:rPr>
                <w:rFonts w:ascii="Arial"/>
                <w:sz w:val="21"/>
              </w:rPr>
            </w:pPr>
          </w:p>
        </w:tc>
        <w:tc>
          <w:tcPr>
            <w:tcW w:w="1100" w:type="dxa"/>
            <w:vAlign w:val="top"/>
          </w:tcPr>
          <w:p w14:paraId="34A2CE5D">
            <w:pPr>
              <w:spacing w:before="75" w:line="213" w:lineRule="auto"/>
              <w:ind w:left="139"/>
              <w:rPr>
                <w:rFonts w:ascii="仿宋" w:hAnsi="仿宋" w:eastAsia="仿宋" w:cs="仿宋"/>
                <w:sz w:val="20"/>
                <w:szCs w:val="20"/>
              </w:rPr>
            </w:pPr>
            <w:r>
              <w:rPr>
                <w:rFonts w:ascii="仿宋" w:hAnsi="仿宋" w:eastAsia="仿宋" w:cs="仿宋"/>
                <w:spacing w:val="6"/>
                <w:sz w:val="20"/>
                <w:szCs w:val="20"/>
              </w:rPr>
              <w:t>路面施工</w:t>
            </w:r>
          </w:p>
        </w:tc>
        <w:tc>
          <w:tcPr>
            <w:tcW w:w="1038" w:type="dxa"/>
            <w:vAlign w:val="top"/>
          </w:tcPr>
          <w:p w14:paraId="5541C6C6">
            <w:pPr>
              <w:pStyle w:val="6"/>
              <w:spacing w:before="110" w:line="195" w:lineRule="auto"/>
              <w:ind w:left="419"/>
              <w:rPr>
                <w:sz w:val="20"/>
                <w:szCs w:val="20"/>
              </w:rPr>
            </w:pPr>
            <w:r>
              <w:rPr>
                <w:spacing w:val="1"/>
                <w:sz w:val="20"/>
                <w:szCs w:val="20"/>
              </w:rPr>
              <w:t>70</w:t>
            </w:r>
          </w:p>
        </w:tc>
        <w:tc>
          <w:tcPr>
            <w:tcW w:w="916" w:type="dxa"/>
            <w:vMerge w:val="continue"/>
            <w:tcBorders>
              <w:top w:val="nil"/>
            </w:tcBorders>
            <w:vAlign w:val="top"/>
          </w:tcPr>
          <w:p w14:paraId="3D388607">
            <w:pPr>
              <w:rPr>
                <w:rFonts w:ascii="Arial"/>
                <w:sz w:val="21"/>
              </w:rPr>
            </w:pPr>
          </w:p>
        </w:tc>
        <w:tc>
          <w:tcPr>
            <w:tcW w:w="878" w:type="dxa"/>
            <w:vAlign w:val="top"/>
          </w:tcPr>
          <w:p w14:paraId="197FEDC1">
            <w:pPr>
              <w:pStyle w:val="6"/>
              <w:spacing w:before="110" w:line="195" w:lineRule="auto"/>
              <w:ind w:left="262"/>
              <w:rPr>
                <w:sz w:val="20"/>
                <w:szCs w:val="20"/>
              </w:rPr>
            </w:pPr>
            <w:r>
              <w:rPr>
                <w:spacing w:val="2"/>
                <w:sz w:val="20"/>
                <w:szCs w:val="20"/>
              </w:rPr>
              <w:t>69.5</w:t>
            </w:r>
          </w:p>
        </w:tc>
        <w:tc>
          <w:tcPr>
            <w:tcW w:w="846" w:type="dxa"/>
            <w:vAlign w:val="top"/>
          </w:tcPr>
          <w:p w14:paraId="41F4EF2B">
            <w:pPr>
              <w:pStyle w:val="6"/>
              <w:spacing w:before="110" w:line="195" w:lineRule="auto"/>
              <w:ind w:left="245"/>
              <w:rPr>
                <w:sz w:val="20"/>
                <w:szCs w:val="20"/>
              </w:rPr>
            </w:pPr>
            <w:r>
              <w:rPr>
                <w:spacing w:val="2"/>
                <w:sz w:val="20"/>
                <w:szCs w:val="20"/>
              </w:rPr>
              <w:t>69.5</w:t>
            </w:r>
          </w:p>
        </w:tc>
        <w:tc>
          <w:tcPr>
            <w:tcW w:w="972" w:type="dxa"/>
            <w:tcBorders>
              <w:right w:val="nil"/>
            </w:tcBorders>
            <w:vAlign w:val="top"/>
          </w:tcPr>
          <w:p w14:paraId="71D06266">
            <w:pPr>
              <w:pStyle w:val="6"/>
              <w:spacing w:before="110" w:line="195" w:lineRule="auto"/>
              <w:ind w:left="325"/>
              <w:rPr>
                <w:sz w:val="20"/>
                <w:szCs w:val="20"/>
              </w:rPr>
            </w:pPr>
            <w:r>
              <w:rPr>
                <w:spacing w:val="1"/>
                <w:sz w:val="20"/>
                <w:szCs w:val="20"/>
              </w:rPr>
              <w:t>-0.2</w:t>
            </w:r>
          </w:p>
        </w:tc>
      </w:tr>
      <w:tr w14:paraId="5A4E16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trPr>
        <w:tc>
          <w:tcPr>
            <w:tcW w:w="636" w:type="dxa"/>
            <w:tcBorders>
              <w:left w:val="nil"/>
              <w:bottom w:val="single" w:color="000000" w:sz="10" w:space="0"/>
            </w:tcBorders>
            <w:vAlign w:val="top"/>
          </w:tcPr>
          <w:p w14:paraId="0CFFD22B">
            <w:pPr>
              <w:pStyle w:val="6"/>
              <w:spacing w:before="111" w:line="195" w:lineRule="auto"/>
              <w:ind w:left="276"/>
              <w:rPr>
                <w:sz w:val="20"/>
                <w:szCs w:val="20"/>
              </w:rPr>
            </w:pPr>
            <w:r>
              <w:rPr>
                <w:sz w:val="20"/>
                <w:szCs w:val="20"/>
              </w:rPr>
              <w:t>8</w:t>
            </w:r>
          </w:p>
        </w:tc>
        <w:tc>
          <w:tcPr>
            <w:tcW w:w="912" w:type="dxa"/>
            <w:tcBorders>
              <w:bottom w:val="single" w:color="000000" w:sz="10" w:space="0"/>
            </w:tcBorders>
            <w:vAlign w:val="top"/>
          </w:tcPr>
          <w:p w14:paraId="5D464356">
            <w:pPr>
              <w:spacing w:before="75" w:line="231" w:lineRule="auto"/>
              <w:ind w:left="155"/>
              <w:rPr>
                <w:rFonts w:ascii="仿宋" w:hAnsi="仿宋" w:eastAsia="仿宋" w:cs="仿宋"/>
                <w:sz w:val="20"/>
                <w:szCs w:val="20"/>
              </w:rPr>
            </w:pPr>
            <w:r>
              <w:rPr>
                <w:rFonts w:ascii="仿宋" w:hAnsi="仿宋" w:eastAsia="仿宋" w:cs="仿宋"/>
                <w:spacing w:val="4"/>
                <w:sz w:val="20"/>
                <w:szCs w:val="20"/>
              </w:rPr>
              <w:t>大圪梁</w:t>
            </w:r>
          </w:p>
        </w:tc>
        <w:tc>
          <w:tcPr>
            <w:tcW w:w="1219" w:type="dxa"/>
            <w:tcBorders>
              <w:bottom w:val="single" w:color="000000" w:sz="10" w:space="0"/>
            </w:tcBorders>
            <w:vAlign w:val="top"/>
          </w:tcPr>
          <w:p w14:paraId="4DC7AD1A">
            <w:pPr>
              <w:pStyle w:val="6"/>
              <w:spacing w:before="111" w:line="195" w:lineRule="auto"/>
              <w:ind w:left="424"/>
              <w:rPr>
                <w:sz w:val="20"/>
                <w:szCs w:val="20"/>
              </w:rPr>
            </w:pPr>
            <w:r>
              <w:rPr>
                <w:spacing w:val="4"/>
                <w:sz w:val="20"/>
                <w:szCs w:val="20"/>
              </w:rPr>
              <w:t>27m</w:t>
            </w:r>
          </w:p>
        </w:tc>
        <w:tc>
          <w:tcPr>
            <w:tcW w:w="1100" w:type="dxa"/>
            <w:tcBorders>
              <w:bottom w:val="single" w:color="000000" w:sz="10" w:space="0"/>
            </w:tcBorders>
            <w:vAlign w:val="top"/>
          </w:tcPr>
          <w:p w14:paraId="5073DD73">
            <w:pPr>
              <w:spacing w:before="75" w:line="232" w:lineRule="auto"/>
              <w:ind w:left="139"/>
              <w:rPr>
                <w:rFonts w:ascii="仿宋" w:hAnsi="仿宋" w:eastAsia="仿宋" w:cs="仿宋"/>
                <w:sz w:val="20"/>
                <w:szCs w:val="20"/>
              </w:rPr>
            </w:pPr>
            <w:r>
              <w:rPr>
                <w:rFonts w:ascii="仿宋" w:hAnsi="仿宋" w:eastAsia="仿宋" w:cs="仿宋"/>
                <w:spacing w:val="6"/>
                <w:sz w:val="20"/>
                <w:szCs w:val="20"/>
              </w:rPr>
              <w:t>路基施工</w:t>
            </w:r>
          </w:p>
        </w:tc>
        <w:tc>
          <w:tcPr>
            <w:tcW w:w="1038" w:type="dxa"/>
            <w:tcBorders>
              <w:bottom w:val="single" w:color="000000" w:sz="10" w:space="0"/>
            </w:tcBorders>
            <w:vAlign w:val="top"/>
          </w:tcPr>
          <w:p w14:paraId="1AC1382F">
            <w:pPr>
              <w:pStyle w:val="6"/>
              <w:spacing w:before="111" w:line="195" w:lineRule="auto"/>
              <w:ind w:left="419"/>
              <w:rPr>
                <w:sz w:val="20"/>
                <w:szCs w:val="20"/>
              </w:rPr>
            </w:pPr>
            <w:r>
              <w:rPr>
                <w:spacing w:val="1"/>
                <w:sz w:val="20"/>
                <w:szCs w:val="20"/>
              </w:rPr>
              <w:t>70</w:t>
            </w:r>
          </w:p>
        </w:tc>
        <w:tc>
          <w:tcPr>
            <w:tcW w:w="916" w:type="dxa"/>
            <w:tcBorders>
              <w:bottom w:val="single" w:color="000000" w:sz="10" w:space="0"/>
            </w:tcBorders>
            <w:vAlign w:val="top"/>
          </w:tcPr>
          <w:p w14:paraId="67E9D95D">
            <w:pPr>
              <w:pStyle w:val="6"/>
              <w:spacing w:before="111" w:line="195" w:lineRule="auto"/>
              <w:ind w:left="354"/>
              <w:rPr>
                <w:sz w:val="20"/>
                <w:szCs w:val="20"/>
              </w:rPr>
            </w:pPr>
            <w:r>
              <w:rPr>
                <w:spacing w:val="3"/>
                <w:sz w:val="20"/>
                <w:szCs w:val="20"/>
              </w:rPr>
              <w:t>43</w:t>
            </w:r>
          </w:p>
        </w:tc>
        <w:tc>
          <w:tcPr>
            <w:tcW w:w="878" w:type="dxa"/>
            <w:tcBorders>
              <w:bottom w:val="single" w:color="000000" w:sz="10" w:space="0"/>
            </w:tcBorders>
            <w:vAlign w:val="top"/>
          </w:tcPr>
          <w:p w14:paraId="2A47C922">
            <w:pPr>
              <w:pStyle w:val="6"/>
              <w:spacing w:before="111" w:line="195" w:lineRule="auto"/>
              <w:ind w:left="261"/>
              <w:rPr>
                <w:sz w:val="20"/>
                <w:szCs w:val="20"/>
              </w:rPr>
            </w:pPr>
            <w:r>
              <w:rPr>
                <w:spacing w:val="2"/>
                <w:sz w:val="20"/>
                <w:szCs w:val="20"/>
              </w:rPr>
              <w:t>71.3</w:t>
            </w:r>
          </w:p>
        </w:tc>
        <w:tc>
          <w:tcPr>
            <w:tcW w:w="846" w:type="dxa"/>
            <w:tcBorders>
              <w:bottom w:val="single" w:color="000000" w:sz="10" w:space="0"/>
            </w:tcBorders>
            <w:vAlign w:val="top"/>
          </w:tcPr>
          <w:p w14:paraId="0C67C6FA">
            <w:pPr>
              <w:pStyle w:val="6"/>
              <w:spacing w:before="111" w:line="195" w:lineRule="auto"/>
              <w:ind w:left="244"/>
              <w:rPr>
                <w:sz w:val="20"/>
                <w:szCs w:val="20"/>
              </w:rPr>
            </w:pPr>
            <w:r>
              <w:rPr>
                <w:spacing w:val="2"/>
                <w:sz w:val="20"/>
                <w:szCs w:val="20"/>
              </w:rPr>
              <w:t>71.3</w:t>
            </w:r>
          </w:p>
        </w:tc>
        <w:tc>
          <w:tcPr>
            <w:tcW w:w="972" w:type="dxa"/>
            <w:tcBorders>
              <w:bottom w:val="single" w:color="000000" w:sz="10" w:space="0"/>
              <w:right w:val="nil"/>
            </w:tcBorders>
            <w:vAlign w:val="top"/>
          </w:tcPr>
          <w:p w14:paraId="51F698FA">
            <w:pPr>
              <w:pStyle w:val="6"/>
              <w:spacing w:before="111" w:line="195" w:lineRule="auto"/>
              <w:ind w:left="375"/>
              <w:rPr>
                <w:sz w:val="20"/>
                <w:szCs w:val="20"/>
              </w:rPr>
            </w:pPr>
            <w:r>
              <w:rPr>
                <w:spacing w:val="-4"/>
                <w:sz w:val="20"/>
                <w:szCs w:val="20"/>
              </w:rPr>
              <w:t>1.3</w:t>
            </w:r>
          </w:p>
        </w:tc>
      </w:tr>
    </w:tbl>
    <w:p w14:paraId="480E4B22">
      <w:pPr>
        <w:pStyle w:val="2"/>
        <w:spacing w:line="223" w:lineRule="exact"/>
        <w:rPr>
          <w:sz w:val="19"/>
        </w:rPr>
      </w:pPr>
    </w:p>
    <w:p w14:paraId="7399EA35">
      <w:pPr>
        <w:spacing w:line="223" w:lineRule="exact"/>
        <w:rPr>
          <w:sz w:val="19"/>
          <w:szCs w:val="19"/>
        </w:rPr>
        <w:sectPr>
          <w:footerReference r:id="rId174" w:type="default"/>
          <w:pgSz w:w="11906" w:h="16839"/>
          <w:pgMar w:top="400" w:right="1697" w:bottom="1370" w:left="1691" w:header="0" w:footer="1207" w:gutter="0"/>
          <w:cols w:space="720" w:num="1"/>
        </w:sectPr>
      </w:pPr>
    </w:p>
    <w:p w14:paraId="0B6C6632">
      <w:pPr>
        <w:spacing w:before="19"/>
      </w:pPr>
    </w:p>
    <w:p w14:paraId="4122A884">
      <w:pPr>
        <w:spacing w:before="19"/>
      </w:pPr>
    </w:p>
    <w:p w14:paraId="29A34A59">
      <w:pPr>
        <w:spacing w:before="18"/>
      </w:pPr>
    </w:p>
    <w:p w14:paraId="7213513B">
      <w:pPr>
        <w:spacing w:before="18"/>
      </w:pPr>
    </w:p>
    <w:tbl>
      <w:tblPr>
        <w:tblStyle w:val="5"/>
        <w:tblW w:w="8517"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6"/>
        <w:gridCol w:w="912"/>
        <w:gridCol w:w="1219"/>
        <w:gridCol w:w="1100"/>
        <w:gridCol w:w="1038"/>
        <w:gridCol w:w="916"/>
        <w:gridCol w:w="878"/>
        <w:gridCol w:w="846"/>
        <w:gridCol w:w="972"/>
      </w:tblGrid>
      <w:tr w14:paraId="08E8C9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9" w:hRule="atLeast"/>
        </w:trPr>
        <w:tc>
          <w:tcPr>
            <w:tcW w:w="636" w:type="dxa"/>
            <w:tcBorders>
              <w:top w:val="single" w:color="000000" w:sz="10" w:space="0"/>
              <w:left w:val="nil"/>
            </w:tcBorders>
            <w:vAlign w:val="top"/>
          </w:tcPr>
          <w:p w14:paraId="0E20288D">
            <w:pPr>
              <w:rPr>
                <w:rFonts w:ascii="Arial"/>
                <w:sz w:val="21"/>
              </w:rPr>
            </w:pPr>
          </w:p>
        </w:tc>
        <w:tc>
          <w:tcPr>
            <w:tcW w:w="912" w:type="dxa"/>
            <w:tcBorders>
              <w:top w:val="single" w:color="000000" w:sz="10" w:space="0"/>
            </w:tcBorders>
            <w:vAlign w:val="top"/>
          </w:tcPr>
          <w:p w14:paraId="465C0CB7">
            <w:pPr>
              <w:pStyle w:val="6"/>
              <w:spacing w:before="36" w:line="231" w:lineRule="auto"/>
              <w:ind w:left="178"/>
              <w:rPr>
                <w:sz w:val="20"/>
                <w:szCs w:val="20"/>
              </w:rPr>
            </w:pPr>
            <w:r>
              <w:rPr>
                <w:rFonts w:ascii="仿宋" w:hAnsi="仿宋" w:eastAsia="仿宋" w:cs="仿宋"/>
                <w:spacing w:val="1"/>
                <w:sz w:val="20"/>
                <w:szCs w:val="20"/>
              </w:rPr>
              <w:t>散户</w:t>
            </w:r>
            <w:r>
              <w:rPr>
                <w:rFonts w:ascii="仿宋" w:hAnsi="仿宋" w:eastAsia="仿宋" w:cs="仿宋"/>
                <w:spacing w:val="-43"/>
                <w:sz w:val="20"/>
                <w:szCs w:val="20"/>
              </w:rPr>
              <w:t xml:space="preserve"> </w:t>
            </w:r>
            <w:r>
              <w:rPr>
                <w:spacing w:val="1"/>
                <w:sz w:val="20"/>
                <w:szCs w:val="20"/>
              </w:rPr>
              <w:t>2</w:t>
            </w:r>
          </w:p>
        </w:tc>
        <w:tc>
          <w:tcPr>
            <w:tcW w:w="1219" w:type="dxa"/>
            <w:tcBorders>
              <w:top w:val="single" w:color="000000" w:sz="10" w:space="0"/>
            </w:tcBorders>
            <w:vAlign w:val="top"/>
          </w:tcPr>
          <w:p w14:paraId="07C9057F">
            <w:pPr>
              <w:rPr>
                <w:rFonts w:ascii="Arial"/>
                <w:sz w:val="21"/>
              </w:rPr>
            </w:pPr>
          </w:p>
        </w:tc>
        <w:tc>
          <w:tcPr>
            <w:tcW w:w="1100" w:type="dxa"/>
            <w:tcBorders>
              <w:top w:val="single" w:color="000000" w:sz="10" w:space="0"/>
            </w:tcBorders>
            <w:vAlign w:val="top"/>
          </w:tcPr>
          <w:p w14:paraId="0BC6A47B">
            <w:pPr>
              <w:spacing w:before="36" w:line="231" w:lineRule="auto"/>
              <w:ind w:left="139"/>
              <w:rPr>
                <w:rFonts w:ascii="仿宋" w:hAnsi="仿宋" w:eastAsia="仿宋" w:cs="仿宋"/>
                <w:sz w:val="20"/>
                <w:szCs w:val="20"/>
              </w:rPr>
            </w:pPr>
            <w:r>
              <w:rPr>
                <w:rFonts w:ascii="仿宋" w:hAnsi="仿宋" w:eastAsia="仿宋" w:cs="仿宋"/>
                <w:spacing w:val="6"/>
                <w:sz w:val="20"/>
                <w:szCs w:val="20"/>
              </w:rPr>
              <w:t>路面施工</w:t>
            </w:r>
          </w:p>
        </w:tc>
        <w:tc>
          <w:tcPr>
            <w:tcW w:w="1038" w:type="dxa"/>
            <w:tcBorders>
              <w:top w:val="single" w:color="000000" w:sz="10" w:space="0"/>
            </w:tcBorders>
            <w:vAlign w:val="top"/>
          </w:tcPr>
          <w:p w14:paraId="03395320">
            <w:pPr>
              <w:pStyle w:val="6"/>
              <w:spacing w:before="72" w:line="195" w:lineRule="auto"/>
              <w:ind w:left="419"/>
              <w:rPr>
                <w:sz w:val="20"/>
                <w:szCs w:val="20"/>
              </w:rPr>
            </w:pPr>
            <w:r>
              <w:rPr>
                <w:spacing w:val="1"/>
                <w:sz w:val="20"/>
                <w:szCs w:val="20"/>
              </w:rPr>
              <w:t>70</w:t>
            </w:r>
          </w:p>
        </w:tc>
        <w:tc>
          <w:tcPr>
            <w:tcW w:w="916" w:type="dxa"/>
            <w:tcBorders>
              <w:top w:val="single" w:color="000000" w:sz="10" w:space="0"/>
            </w:tcBorders>
            <w:vAlign w:val="top"/>
          </w:tcPr>
          <w:p w14:paraId="7705EBCF">
            <w:pPr>
              <w:rPr>
                <w:rFonts w:ascii="Arial"/>
                <w:sz w:val="21"/>
              </w:rPr>
            </w:pPr>
          </w:p>
        </w:tc>
        <w:tc>
          <w:tcPr>
            <w:tcW w:w="878" w:type="dxa"/>
            <w:tcBorders>
              <w:top w:val="single" w:color="000000" w:sz="10" w:space="0"/>
            </w:tcBorders>
            <w:vAlign w:val="top"/>
          </w:tcPr>
          <w:p w14:paraId="63711213">
            <w:pPr>
              <w:pStyle w:val="6"/>
              <w:spacing w:before="72" w:line="195" w:lineRule="auto"/>
              <w:ind w:left="261"/>
              <w:rPr>
                <w:sz w:val="20"/>
                <w:szCs w:val="20"/>
              </w:rPr>
            </w:pPr>
            <w:r>
              <w:rPr>
                <w:spacing w:val="2"/>
                <w:sz w:val="20"/>
                <w:szCs w:val="20"/>
              </w:rPr>
              <w:t>73.3</w:t>
            </w:r>
          </w:p>
        </w:tc>
        <w:tc>
          <w:tcPr>
            <w:tcW w:w="846" w:type="dxa"/>
            <w:tcBorders>
              <w:top w:val="single" w:color="000000" w:sz="10" w:space="0"/>
            </w:tcBorders>
            <w:vAlign w:val="top"/>
          </w:tcPr>
          <w:p w14:paraId="571EC651">
            <w:pPr>
              <w:pStyle w:val="6"/>
              <w:spacing w:before="72" w:line="195" w:lineRule="auto"/>
              <w:ind w:left="244"/>
              <w:rPr>
                <w:sz w:val="20"/>
                <w:szCs w:val="20"/>
              </w:rPr>
            </w:pPr>
            <w:r>
              <w:rPr>
                <w:spacing w:val="2"/>
                <w:sz w:val="20"/>
                <w:szCs w:val="20"/>
              </w:rPr>
              <w:t>73.3</w:t>
            </w:r>
          </w:p>
        </w:tc>
        <w:tc>
          <w:tcPr>
            <w:tcW w:w="972" w:type="dxa"/>
            <w:tcBorders>
              <w:top w:val="single" w:color="000000" w:sz="10" w:space="0"/>
              <w:right w:val="nil"/>
            </w:tcBorders>
            <w:vAlign w:val="top"/>
          </w:tcPr>
          <w:p w14:paraId="0563641A">
            <w:pPr>
              <w:pStyle w:val="6"/>
              <w:spacing w:before="72" w:line="195" w:lineRule="auto"/>
              <w:ind w:left="359"/>
              <w:rPr>
                <w:sz w:val="20"/>
                <w:szCs w:val="20"/>
              </w:rPr>
            </w:pPr>
            <w:r>
              <w:rPr>
                <w:spacing w:val="1"/>
                <w:sz w:val="20"/>
                <w:szCs w:val="20"/>
              </w:rPr>
              <w:t>3.3</w:t>
            </w:r>
          </w:p>
        </w:tc>
      </w:tr>
      <w:tr w14:paraId="78C95F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636" w:type="dxa"/>
            <w:vMerge w:val="restart"/>
            <w:tcBorders>
              <w:left w:val="nil"/>
              <w:bottom w:val="nil"/>
            </w:tcBorders>
            <w:vAlign w:val="top"/>
          </w:tcPr>
          <w:p w14:paraId="03611A42">
            <w:pPr>
              <w:pStyle w:val="6"/>
              <w:spacing w:before="252" w:line="195" w:lineRule="auto"/>
              <w:ind w:left="272"/>
              <w:rPr>
                <w:sz w:val="20"/>
                <w:szCs w:val="20"/>
              </w:rPr>
            </w:pPr>
            <w:r>
              <w:rPr>
                <w:sz w:val="20"/>
                <w:szCs w:val="20"/>
              </w:rPr>
              <w:t>9</w:t>
            </w:r>
          </w:p>
        </w:tc>
        <w:tc>
          <w:tcPr>
            <w:tcW w:w="912" w:type="dxa"/>
            <w:vMerge w:val="restart"/>
            <w:tcBorders>
              <w:bottom w:val="nil"/>
            </w:tcBorders>
            <w:vAlign w:val="top"/>
          </w:tcPr>
          <w:p w14:paraId="1CDBB88C">
            <w:pPr>
              <w:spacing w:before="58" w:line="231" w:lineRule="auto"/>
              <w:ind w:left="159"/>
              <w:rPr>
                <w:rFonts w:ascii="仿宋" w:hAnsi="仿宋" w:eastAsia="仿宋" w:cs="仿宋"/>
                <w:sz w:val="20"/>
                <w:szCs w:val="20"/>
              </w:rPr>
            </w:pPr>
            <w:r>
              <w:rPr>
                <w:rFonts w:ascii="仿宋" w:hAnsi="仿宋" w:eastAsia="仿宋" w:cs="仿宋"/>
                <w:spacing w:val="2"/>
                <w:sz w:val="20"/>
                <w:szCs w:val="20"/>
              </w:rPr>
              <w:t>二道壕</w:t>
            </w:r>
          </w:p>
          <w:p w14:paraId="506F9BB2">
            <w:pPr>
              <w:pStyle w:val="6"/>
              <w:spacing w:before="61" w:line="231" w:lineRule="auto"/>
              <w:ind w:left="217"/>
              <w:rPr>
                <w:rFonts w:ascii="仿宋" w:hAnsi="仿宋" w:eastAsia="仿宋" w:cs="仿宋"/>
                <w:sz w:val="20"/>
                <w:szCs w:val="20"/>
              </w:rPr>
            </w:pPr>
            <w:r>
              <w:rPr>
                <w:spacing w:val="4"/>
                <w:sz w:val="20"/>
                <w:szCs w:val="20"/>
              </w:rPr>
              <w:t>-</w:t>
            </w:r>
            <w:r>
              <w:rPr>
                <w:rFonts w:ascii="仿宋" w:hAnsi="仿宋" w:eastAsia="仿宋" w:cs="仿宋"/>
                <w:spacing w:val="4"/>
                <w:sz w:val="20"/>
                <w:szCs w:val="20"/>
              </w:rPr>
              <w:t>散户</w:t>
            </w:r>
          </w:p>
        </w:tc>
        <w:tc>
          <w:tcPr>
            <w:tcW w:w="1219" w:type="dxa"/>
            <w:vMerge w:val="restart"/>
            <w:tcBorders>
              <w:bottom w:val="nil"/>
            </w:tcBorders>
            <w:vAlign w:val="top"/>
          </w:tcPr>
          <w:p w14:paraId="15DB1D5C">
            <w:pPr>
              <w:pStyle w:val="6"/>
              <w:spacing w:before="252" w:line="195" w:lineRule="auto"/>
              <w:ind w:left="428"/>
              <w:rPr>
                <w:sz w:val="20"/>
                <w:szCs w:val="20"/>
              </w:rPr>
            </w:pPr>
            <w:r>
              <w:rPr>
                <w:spacing w:val="3"/>
                <w:sz w:val="20"/>
                <w:szCs w:val="20"/>
              </w:rPr>
              <w:t>60m</w:t>
            </w:r>
          </w:p>
        </w:tc>
        <w:tc>
          <w:tcPr>
            <w:tcW w:w="1100" w:type="dxa"/>
            <w:vAlign w:val="top"/>
          </w:tcPr>
          <w:p w14:paraId="5917C115">
            <w:pPr>
              <w:spacing w:before="54" w:line="231" w:lineRule="auto"/>
              <w:ind w:left="139"/>
              <w:rPr>
                <w:rFonts w:ascii="仿宋" w:hAnsi="仿宋" w:eastAsia="仿宋" w:cs="仿宋"/>
                <w:sz w:val="20"/>
                <w:szCs w:val="20"/>
              </w:rPr>
            </w:pPr>
            <w:r>
              <w:rPr>
                <w:rFonts w:ascii="仿宋" w:hAnsi="仿宋" w:eastAsia="仿宋" w:cs="仿宋"/>
                <w:spacing w:val="6"/>
                <w:sz w:val="20"/>
                <w:szCs w:val="20"/>
              </w:rPr>
              <w:t>路基施工</w:t>
            </w:r>
          </w:p>
        </w:tc>
        <w:tc>
          <w:tcPr>
            <w:tcW w:w="1038" w:type="dxa"/>
            <w:vAlign w:val="top"/>
          </w:tcPr>
          <w:p w14:paraId="1349F336">
            <w:pPr>
              <w:pStyle w:val="6"/>
              <w:spacing w:before="92" w:line="195" w:lineRule="auto"/>
              <w:ind w:left="419"/>
              <w:rPr>
                <w:sz w:val="20"/>
                <w:szCs w:val="20"/>
              </w:rPr>
            </w:pPr>
            <w:r>
              <w:rPr>
                <w:spacing w:val="1"/>
                <w:sz w:val="20"/>
                <w:szCs w:val="20"/>
              </w:rPr>
              <w:t>70</w:t>
            </w:r>
          </w:p>
        </w:tc>
        <w:tc>
          <w:tcPr>
            <w:tcW w:w="916" w:type="dxa"/>
            <w:vMerge w:val="restart"/>
            <w:tcBorders>
              <w:bottom w:val="nil"/>
            </w:tcBorders>
            <w:vAlign w:val="top"/>
          </w:tcPr>
          <w:p w14:paraId="642836C4">
            <w:pPr>
              <w:pStyle w:val="6"/>
              <w:spacing w:before="252" w:line="195" w:lineRule="auto"/>
              <w:ind w:left="281"/>
              <w:rPr>
                <w:sz w:val="20"/>
                <w:szCs w:val="20"/>
              </w:rPr>
            </w:pPr>
            <w:r>
              <w:rPr>
                <w:spacing w:val="2"/>
                <w:sz w:val="20"/>
                <w:szCs w:val="20"/>
              </w:rPr>
              <w:t>52.5</w:t>
            </w:r>
          </w:p>
        </w:tc>
        <w:tc>
          <w:tcPr>
            <w:tcW w:w="878" w:type="dxa"/>
            <w:vAlign w:val="top"/>
          </w:tcPr>
          <w:p w14:paraId="2B35F28F">
            <w:pPr>
              <w:pStyle w:val="6"/>
              <w:spacing w:before="92" w:line="195" w:lineRule="auto"/>
              <w:ind w:left="262"/>
              <w:rPr>
                <w:sz w:val="20"/>
                <w:szCs w:val="20"/>
              </w:rPr>
            </w:pPr>
            <w:r>
              <w:rPr>
                <w:spacing w:val="2"/>
                <w:sz w:val="20"/>
                <w:szCs w:val="20"/>
              </w:rPr>
              <w:t>64.4</w:t>
            </w:r>
          </w:p>
        </w:tc>
        <w:tc>
          <w:tcPr>
            <w:tcW w:w="846" w:type="dxa"/>
            <w:vAlign w:val="top"/>
          </w:tcPr>
          <w:p w14:paraId="78598DA0">
            <w:pPr>
              <w:pStyle w:val="6"/>
              <w:spacing w:before="92" w:line="195" w:lineRule="auto"/>
              <w:ind w:left="245"/>
              <w:rPr>
                <w:sz w:val="20"/>
                <w:szCs w:val="20"/>
              </w:rPr>
            </w:pPr>
            <w:r>
              <w:rPr>
                <w:spacing w:val="2"/>
                <w:sz w:val="20"/>
                <w:szCs w:val="20"/>
              </w:rPr>
              <w:t>64.4</w:t>
            </w:r>
          </w:p>
        </w:tc>
        <w:tc>
          <w:tcPr>
            <w:tcW w:w="972" w:type="dxa"/>
            <w:tcBorders>
              <w:right w:val="nil"/>
            </w:tcBorders>
            <w:vAlign w:val="top"/>
          </w:tcPr>
          <w:p w14:paraId="0303CA05">
            <w:pPr>
              <w:pStyle w:val="6"/>
              <w:spacing w:before="92" w:line="195" w:lineRule="auto"/>
              <w:ind w:left="325"/>
              <w:rPr>
                <w:sz w:val="20"/>
                <w:szCs w:val="20"/>
              </w:rPr>
            </w:pPr>
            <w:r>
              <w:rPr>
                <w:spacing w:val="1"/>
                <w:sz w:val="20"/>
                <w:szCs w:val="20"/>
              </w:rPr>
              <w:t>-4.9</w:t>
            </w:r>
          </w:p>
        </w:tc>
      </w:tr>
      <w:tr w14:paraId="1FB633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636" w:type="dxa"/>
            <w:vMerge w:val="continue"/>
            <w:tcBorders>
              <w:top w:val="nil"/>
              <w:left w:val="nil"/>
            </w:tcBorders>
            <w:vAlign w:val="top"/>
          </w:tcPr>
          <w:p w14:paraId="0D0D4936">
            <w:pPr>
              <w:rPr>
                <w:rFonts w:ascii="Arial"/>
                <w:sz w:val="21"/>
              </w:rPr>
            </w:pPr>
          </w:p>
        </w:tc>
        <w:tc>
          <w:tcPr>
            <w:tcW w:w="912" w:type="dxa"/>
            <w:vMerge w:val="continue"/>
            <w:tcBorders>
              <w:top w:val="nil"/>
            </w:tcBorders>
            <w:vAlign w:val="top"/>
          </w:tcPr>
          <w:p w14:paraId="78F05CB5">
            <w:pPr>
              <w:rPr>
                <w:rFonts w:ascii="Arial"/>
                <w:sz w:val="21"/>
              </w:rPr>
            </w:pPr>
          </w:p>
        </w:tc>
        <w:tc>
          <w:tcPr>
            <w:tcW w:w="1219" w:type="dxa"/>
            <w:vMerge w:val="continue"/>
            <w:tcBorders>
              <w:top w:val="nil"/>
            </w:tcBorders>
            <w:vAlign w:val="top"/>
          </w:tcPr>
          <w:p w14:paraId="66967E43">
            <w:pPr>
              <w:rPr>
                <w:rFonts w:ascii="Arial"/>
                <w:sz w:val="21"/>
              </w:rPr>
            </w:pPr>
          </w:p>
        </w:tc>
        <w:tc>
          <w:tcPr>
            <w:tcW w:w="1100" w:type="dxa"/>
            <w:vAlign w:val="top"/>
          </w:tcPr>
          <w:p w14:paraId="0FAA9F8A">
            <w:pPr>
              <w:spacing w:before="55" w:line="230" w:lineRule="auto"/>
              <w:ind w:left="139"/>
              <w:rPr>
                <w:rFonts w:ascii="仿宋" w:hAnsi="仿宋" w:eastAsia="仿宋" w:cs="仿宋"/>
                <w:sz w:val="20"/>
                <w:szCs w:val="20"/>
              </w:rPr>
            </w:pPr>
            <w:r>
              <w:rPr>
                <w:rFonts w:ascii="仿宋" w:hAnsi="仿宋" w:eastAsia="仿宋" w:cs="仿宋"/>
                <w:spacing w:val="6"/>
                <w:sz w:val="20"/>
                <w:szCs w:val="20"/>
              </w:rPr>
              <w:t>路面施工</w:t>
            </w:r>
          </w:p>
        </w:tc>
        <w:tc>
          <w:tcPr>
            <w:tcW w:w="1038" w:type="dxa"/>
            <w:vAlign w:val="top"/>
          </w:tcPr>
          <w:p w14:paraId="61E40301">
            <w:pPr>
              <w:pStyle w:val="6"/>
              <w:spacing w:before="93" w:line="195" w:lineRule="auto"/>
              <w:ind w:left="419"/>
              <w:rPr>
                <w:sz w:val="20"/>
                <w:szCs w:val="20"/>
              </w:rPr>
            </w:pPr>
            <w:r>
              <w:rPr>
                <w:spacing w:val="1"/>
                <w:sz w:val="20"/>
                <w:szCs w:val="20"/>
              </w:rPr>
              <w:t>70</w:t>
            </w:r>
          </w:p>
        </w:tc>
        <w:tc>
          <w:tcPr>
            <w:tcW w:w="916" w:type="dxa"/>
            <w:vMerge w:val="continue"/>
            <w:tcBorders>
              <w:top w:val="nil"/>
            </w:tcBorders>
            <w:vAlign w:val="top"/>
          </w:tcPr>
          <w:p w14:paraId="32C6E2B0">
            <w:pPr>
              <w:rPr>
                <w:rFonts w:ascii="Arial"/>
                <w:sz w:val="21"/>
              </w:rPr>
            </w:pPr>
          </w:p>
        </w:tc>
        <w:tc>
          <w:tcPr>
            <w:tcW w:w="878" w:type="dxa"/>
            <w:vAlign w:val="top"/>
          </w:tcPr>
          <w:p w14:paraId="2667A8C5">
            <w:pPr>
              <w:pStyle w:val="6"/>
              <w:spacing w:before="93" w:line="195" w:lineRule="auto"/>
              <w:ind w:left="262"/>
              <w:rPr>
                <w:sz w:val="20"/>
                <w:szCs w:val="20"/>
              </w:rPr>
            </w:pPr>
            <w:r>
              <w:rPr>
                <w:spacing w:val="2"/>
                <w:sz w:val="20"/>
                <w:szCs w:val="20"/>
              </w:rPr>
              <w:t>66.4</w:t>
            </w:r>
          </w:p>
        </w:tc>
        <w:tc>
          <w:tcPr>
            <w:tcW w:w="846" w:type="dxa"/>
            <w:vAlign w:val="top"/>
          </w:tcPr>
          <w:p w14:paraId="50BEE3D7">
            <w:pPr>
              <w:pStyle w:val="6"/>
              <w:spacing w:before="93" w:line="195" w:lineRule="auto"/>
              <w:ind w:left="245"/>
              <w:rPr>
                <w:sz w:val="20"/>
                <w:szCs w:val="20"/>
              </w:rPr>
            </w:pPr>
            <w:r>
              <w:rPr>
                <w:spacing w:val="2"/>
                <w:sz w:val="20"/>
                <w:szCs w:val="20"/>
              </w:rPr>
              <w:t>66.4</w:t>
            </w:r>
          </w:p>
        </w:tc>
        <w:tc>
          <w:tcPr>
            <w:tcW w:w="972" w:type="dxa"/>
            <w:tcBorders>
              <w:right w:val="nil"/>
            </w:tcBorders>
            <w:vAlign w:val="top"/>
          </w:tcPr>
          <w:p w14:paraId="4FAC6B45">
            <w:pPr>
              <w:pStyle w:val="6"/>
              <w:spacing w:before="93" w:line="195" w:lineRule="auto"/>
              <w:ind w:left="405"/>
              <w:rPr>
                <w:sz w:val="20"/>
                <w:szCs w:val="20"/>
              </w:rPr>
            </w:pPr>
            <w:r>
              <w:rPr>
                <w:spacing w:val="-2"/>
                <w:sz w:val="20"/>
                <w:szCs w:val="20"/>
              </w:rPr>
              <w:t>-3</w:t>
            </w:r>
          </w:p>
        </w:tc>
      </w:tr>
      <w:tr w14:paraId="01FC09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636" w:type="dxa"/>
            <w:vMerge w:val="restart"/>
            <w:tcBorders>
              <w:left w:val="nil"/>
              <w:bottom w:val="nil"/>
            </w:tcBorders>
            <w:vAlign w:val="top"/>
          </w:tcPr>
          <w:p w14:paraId="49F6DD7F">
            <w:pPr>
              <w:pStyle w:val="6"/>
              <w:spacing w:before="255" w:line="195" w:lineRule="auto"/>
              <w:ind w:left="238"/>
              <w:rPr>
                <w:sz w:val="20"/>
                <w:szCs w:val="20"/>
              </w:rPr>
            </w:pPr>
            <w:r>
              <w:rPr>
                <w:spacing w:val="-8"/>
                <w:sz w:val="20"/>
                <w:szCs w:val="20"/>
              </w:rPr>
              <w:t>10</w:t>
            </w:r>
          </w:p>
        </w:tc>
        <w:tc>
          <w:tcPr>
            <w:tcW w:w="912" w:type="dxa"/>
            <w:vMerge w:val="restart"/>
            <w:tcBorders>
              <w:bottom w:val="nil"/>
            </w:tcBorders>
            <w:vAlign w:val="top"/>
          </w:tcPr>
          <w:p w14:paraId="3D005530">
            <w:pPr>
              <w:spacing w:before="63" w:line="231" w:lineRule="auto"/>
              <w:ind w:left="158"/>
              <w:rPr>
                <w:rFonts w:ascii="仿宋" w:hAnsi="仿宋" w:eastAsia="仿宋" w:cs="仿宋"/>
                <w:sz w:val="20"/>
                <w:szCs w:val="20"/>
              </w:rPr>
            </w:pPr>
            <w:r>
              <w:rPr>
                <w:rFonts w:ascii="仿宋" w:hAnsi="仿宋" w:eastAsia="仿宋" w:cs="仿宋"/>
                <w:spacing w:val="3"/>
                <w:sz w:val="20"/>
                <w:szCs w:val="20"/>
              </w:rPr>
              <w:t>三道壕</w:t>
            </w:r>
          </w:p>
          <w:p w14:paraId="6ADF56A1">
            <w:pPr>
              <w:pStyle w:val="6"/>
              <w:spacing w:before="61" w:line="230" w:lineRule="auto"/>
              <w:ind w:left="217"/>
              <w:rPr>
                <w:rFonts w:ascii="仿宋" w:hAnsi="仿宋" w:eastAsia="仿宋" w:cs="仿宋"/>
                <w:sz w:val="20"/>
                <w:szCs w:val="20"/>
              </w:rPr>
            </w:pPr>
            <w:r>
              <w:rPr>
                <w:spacing w:val="4"/>
                <w:sz w:val="20"/>
                <w:szCs w:val="20"/>
              </w:rPr>
              <w:t>-</w:t>
            </w:r>
            <w:r>
              <w:rPr>
                <w:rFonts w:ascii="仿宋" w:hAnsi="仿宋" w:eastAsia="仿宋" w:cs="仿宋"/>
                <w:spacing w:val="4"/>
                <w:sz w:val="20"/>
                <w:szCs w:val="20"/>
              </w:rPr>
              <w:t>散户</w:t>
            </w:r>
          </w:p>
        </w:tc>
        <w:tc>
          <w:tcPr>
            <w:tcW w:w="1219" w:type="dxa"/>
            <w:vMerge w:val="restart"/>
            <w:tcBorders>
              <w:bottom w:val="nil"/>
            </w:tcBorders>
            <w:vAlign w:val="top"/>
          </w:tcPr>
          <w:p w14:paraId="268B6479">
            <w:pPr>
              <w:pStyle w:val="6"/>
              <w:spacing w:before="255" w:line="195" w:lineRule="auto"/>
              <w:ind w:left="424"/>
              <w:rPr>
                <w:sz w:val="20"/>
                <w:szCs w:val="20"/>
              </w:rPr>
            </w:pPr>
            <w:r>
              <w:rPr>
                <w:spacing w:val="4"/>
                <w:sz w:val="20"/>
                <w:szCs w:val="20"/>
              </w:rPr>
              <w:t>23m</w:t>
            </w:r>
          </w:p>
        </w:tc>
        <w:tc>
          <w:tcPr>
            <w:tcW w:w="1100" w:type="dxa"/>
            <w:vAlign w:val="top"/>
          </w:tcPr>
          <w:p w14:paraId="6D0A6EC5">
            <w:pPr>
              <w:spacing w:before="56" w:line="229" w:lineRule="auto"/>
              <w:ind w:left="139"/>
              <w:rPr>
                <w:rFonts w:ascii="仿宋" w:hAnsi="仿宋" w:eastAsia="仿宋" w:cs="仿宋"/>
                <w:sz w:val="20"/>
                <w:szCs w:val="20"/>
              </w:rPr>
            </w:pPr>
            <w:r>
              <w:rPr>
                <w:rFonts w:ascii="仿宋" w:hAnsi="仿宋" w:eastAsia="仿宋" w:cs="仿宋"/>
                <w:spacing w:val="6"/>
                <w:sz w:val="20"/>
                <w:szCs w:val="20"/>
              </w:rPr>
              <w:t>路基施工</w:t>
            </w:r>
          </w:p>
        </w:tc>
        <w:tc>
          <w:tcPr>
            <w:tcW w:w="1038" w:type="dxa"/>
            <w:vAlign w:val="top"/>
          </w:tcPr>
          <w:p w14:paraId="07EA540E">
            <w:pPr>
              <w:pStyle w:val="6"/>
              <w:spacing w:before="95" w:line="195" w:lineRule="auto"/>
              <w:ind w:left="419"/>
              <w:rPr>
                <w:sz w:val="20"/>
                <w:szCs w:val="20"/>
              </w:rPr>
            </w:pPr>
            <w:r>
              <w:rPr>
                <w:spacing w:val="1"/>
                <w:sz w:val="20"/>
                <w:szCs w:val="20"/>
              </w:rPr>
              <w:t>70</w:t>
            </w:r>
          </w:p>
        </w:tc>
        <w:tc>
          <w:tcPr>
            <w:tcW w:w="916" w:type="dxa"/>
            <w:vMerge w:val="restart"/>
            <w:tcBorders>
              <w:bottom w:val="nil"/>
            </w:tcBorders>
            <w:vAlign w:val="top"/>
          </w:tcPr>
          <w:p w14:paraId="132C89DC">
            <w:pPr>
              <w:pStyle w:val="6"/>
              <w:spacing w:before="255" w:line="195" w:lineRule="auto"/>
              <w:ind w:left="281"/>
              <w:rPr>
                <w:sz w:val="20"/>
                <w:szCs w:val="20"/>
              </w:rPr>
            </w:pPr>
            <w:r>
              <w:rPr>
                <w:spacing w:val="2"/>
                <w:sz w:val="20"/>
                <w:szCs w:val="20"/>
              </w:rPr>
              <w:t>50.5</w:t>
            </w:r>
          </w:p>
        </w:tc>
        <w:tc>
          <w:tcPr>
            <w:tcW w:w="878" w:type="dxa"/>
            <w:vAlign w:val="top"/>
          </w:tcPr>
          <w:p w14:paraId="7377D133">
            <w:pPr>
              <w:pStyle w:val="6"/>
              <w:spacing w:before="95" w:line="195" w:lineRule="auto"/>
              <w:ind w:left="261"/>
              <w:rPr>
                <w:sz w:val="20"/>
                <w:szCs w:val="20"/>
              </w:rPr>
            </w:pPr>
            <w:r>
              <w:rPr>
                <w:spacing w:val="2"/>
                <w:sz w:val="20"/>
                <w:szCs w:val="20"/>
              </w:rPr>
              <w:t>72.7</w:t>
            </w:r>
          </w:p>
        </w:tc>
        <w:tc>
          <w:tcPr>
            <w:tcW w:w="846" w:type="dxa"/>
            <w:vAlign w:val="top"/>
          </w:tcPr>
          <w:p w14:paraId="1CB99D2F">
            <w:pPr>
              <w:pStyle w:val="6"/>
              <w:spacing w:before="95" w:line="195" w:lineRule="auto"/>
              <w:ind w:left="244"/>
              <w:rPr>
                <w:sz w:val="20"/>
                <w:szCs w:val="20"/>
              </w:rPr>
            </w:pPr>
            <w:r>
              <w:rPr>
                <w:spacing w:val="2"/>
                <w:sz w:val="20"/>
                <w:szCs w:val="20"/>
              </w:rPr>
              <w:t>72.7</w:t>
            </w:r>
          </w:p>
        </w:tc>
        <w:tc>
          <w:tcPr>
            <w:tcW w:w="972" w:type="dxa"/>
            <w:tcBorders>
              <w:right w:val="nil"/>
            </w:tcBorders>
            <w:vAlign w:val="top"/>
          </w:tcPr>
          <w:p w14:paraId="316DD339">
            <w:pPr>
              <w:pStyle w:val="6"/>
              <w:spacing w:before="95" w:line="195" w:lineRule="auto"/>
              <w:ind w:left="355"/>
              <w:rPr>
                <w:sz w:val="20"/>
                <w:szCs w:val="20"/>
              </w:rPr>
            </w:pPr>
            <w:r>
              <w:rPr>
                <w:spacing w:val="2"/>
                <w:sz w:val="20"/>
                <w:szCs w:val="20"/>
              </w:rPr>
              <w:t>2.7</w:t>
            </w:r>
          </w:p>
        </w:tc>
      </w:tr>
      <w:tr w14:paraId="27596F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636" w:type="dxa"/>
            <w:vMerge w:val="continue"/>
            <w:tcBorders>
              <w:top w:val="nil"/>
              <w:left w:val="nil"/>
            </w:tcBorders>
            <w:vAlign w:val="top"/>
          </w:tcPr>
          <w:p w14:paraId="03F1870C">
            <w:pPr>
              <w:rPr>
                <w:rFonts w:ascii="Arial"/>
                <w:sz w:val="21"/>
              </w:rPr>
            </w:pPr>
          </w:p>
        </w:tc>
        <w:tc>
          <w:tcPr>
            <w:tcW w:w="912" w:type="dxa"/>
            <w:vMerge w:val="continue"/>
            <w:tcBorders>
              <w:top w:val="nil"/>
            </w:tcBorders>
            <w:vAlign w:val="top"/>
          </w:tcPr>
          <w:p w14:paraId="1DA140BF">
            <w:pPr>
              <w:rPr>
                <w:rFonts w:ascii="Arial"/>
                <w:sz w:val="21"/>
              </w:rPr>
            </w:pPr>
          </w:p>
        </w:tc>
        <w:tc>
          <w:tcPr>
            <w:tcW w:w="1219" w:type="dxa"/>
            <w:vMerge w:val="continue"/>
            <w:tcBorders>
              <w:top w:val="nil"/>
            </w:tcBorders>
            <w:vAlign w:val="top"/>
          </w:tcPr>
          <w:p w14:paraId="5D368B31">
            <w:pPr>
              <w:rPr>
                <w:rFonts w:ascii="Arial"/>
                <w:sz w:val="21"/>
              </w:rPr>
            </w:pPr>
          </w:p>
        </w:tc>
        <w:tc>
          <w:tcPr>
            <w:tcW w:w="1100" w:type="dxa"/>
            <w:vAlign w:val="top"/>
          </w:tcPr>
          <w:p w14:paraId="7E43E99B">
            <w:pPr>
              <w:spacing w:before="61" w:line="225" w:lineRule="auto"/>
              <w:ind w:left="139"/>
              <w:rPr>
                <w:rFonts w:ascii="仿宋" w:hAnsi="仿宋" w:eastAsia="仿宋" w:cs="仿宋"/>
                <w:sz w:val="20"/>
                <w:szCs w:val="20"/>
              </w:rPr>
            </w:pPr>
            <w:r>
              <w:rPr>
                <w:rFonts w:ascii="仿宋" w:hAnsi="仿宋" w:eastAsia="仿宋" w:cs="仿宋"/>
                <w:spacing w:val="6"/>
                <w:sz w:val="20"/>
                <w:szCs w:val="20"/>
              </w:rPr>
              <w:t>路面施工</w:t>
            </w:r>
          </w:p>
        </w:tc>
        <w:tc>
          <w:tcPr>
            <w:tcW w:w="1038" w:type="dxa"/>
            <w:vAlign w:val="top"/>
          </w:tcPr>
          <w:p w14:paraId="14336E9E">
            <w:pPr>
              <w:pStyle w:val="6"/>
              <w:spacing w:before="96" w:line="195" w:lineRule="auto"/>
              <w:ind w:left="419"/>
              <w:rPr>
                <w:sz w:val="20"/>
                <w:szCs w:val="20"/>
              </w:rPr>
            </w:pPr>
            <w:r>
              <w:rPr>
                <w:spacing w:val="1"/>
                <w:sz w:val="20"/>
                <w:szCs w:val="20"/>
              </w:rPr>
              <w:t>70</w:t>
            </w:r>
          </w:p>
        </w:tc>
        <w:tc>
          <w:tcPr>
            <w:tcW w:w="916" w:type="dxa"/>
            <w:vMerge w:val="continue"/>
            <w:tcBorders>
              <w:top w:val="nil"/>
            </w:tcBorders>
            <w:vAlign w:val="top"/>
          </w:tcPr>
          <w:p w14:paraId="37B4E812">
            <w:pPr>
              <w:rPr>
                <w:rFonts w:ascii="Arial"/>
                <w:sz w:val="21"/>
              </w:rPr>
            </w:pPr>
          </w:p>
        </w:tc>
        <w:tc>
          <w:tcPr>
            <w:tcW w:w="878" w:type="dxa"/>
            <w:vAlign w:val="top"/>
          </w:tcPr>
          <w:p w14:paraId="2A3FDD00">
            <w:pPr>
              <w:pStyle w:val="6"/>
              <w:spacing w:before="96" w:line="195" w:lineRule="auto"/>
              <w:ind w:left="261"/>
              <w:rPr>
                <w:sz w:val="20"/>
                <w:szCs w:val="20"/>
              </w:rPr>
            </w:pPr>
            <w:r>
              <w:rPr>
                <w:spacing w:val="2"/>
                <w:sz w:val="20"/>
                <w:szCs w:val="20"/>
              </w:rPr>
              <w:t>74.7</w:t>
            </w:r>
          </w:p>
        </w:tc>
        <w:tc>
          <w:tcPr>
            <w:tcW w:w="846" w:type="dxa"/>
            <w:vAlign w:val="top"/>
          </w:tcPr>
          <w:p w14:paraId="6D34A2E8">
            <w:pPr>
              <w:pStyle w:val="6"/>
              <w:spacing w:before="96" w:line="195" w:lineRule="auto"/>
              <w:ind w:left="244"/>
              <w:rPr>
                <w:sz w:val="20"/>
                <w:szCs w:val="20"/>
              </w:rPr>
            </w:pPr>
            <w:r>
              <w:rPr>
                <w:spacing w:val="2"/>
                <w:sz w:val="20"/>
                <w:szCs w:val="20"/>
              </w:rPr>
              <w:t>74.7</w:t>
            </w:r>
          </w:p>
        </w:tc>
        <w:tc>
          <w:tcPr>
            <w:tcW w:w="972" w:type="dxa"/>
            <w:tcBorders>
              <w:right w:val="nil"/>
            </w:tcBorders>
            <w:vAlign w:val="top"/>
          </w:tcPr>
          <w:p w14:paraId="717101D8">
            <w:pPr>
              <w:pStyle w:val="6"/>
              <w:spacing w:before="96" w:line="195" w:lineRule="auto"/>
              <w:ind w:left="354"/>
              <w:rPr>
                <w:sz w:val="20"/>
                <w:szCs w:val="20"/>
              </w:rPr>
            </w:pPr>
            <w:r>
              <w:rPr>
                <w:spacing w:val="3"/>
                <w:sz w:val="20"/>
                <w:szCs w:val="20"/>
              </w:rPr>
              <w:t>4.7</w:t>
            </w:r>
          </w:p>
        </w:tc>
      </w:tr>
      <w:tr w14:paraId="577A42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636" w:type="dxa"/>
            <w:vMerge w:val="restart"/>
            <w:tcBorders>
              <w:left w:val="nil"/>
              <w:bottom w:val="nil"/>
            </w:tcBorders>
            <w:vAlign w:val="top"/>
          </w:tcPr>
          <w:p w14:paraId="0EB29420">
            <w:pPr>
              <w:pStyle w:val="6"/>
              <w:spacing w:before="258" w:line="195" w:lineRule="auto"/>
              <w:ind w:left="238"/>
              <w:rPr>
                <w:sz w:val="20"/>
                <w:szCs w:val="20"/>
              </w:rPr>
            </w:pPr>
            <w:r>
              <w:rPr>
                <w:spacing w:val="-8"/>
                <w:sz w:val="20"/>
                <w:szCs w:val="20"/>
              </w:rPr>
              <w:t>11</w:t>
            </w:r>
          </w:p>
        </w:tc>
        <w:tc>
          <w:tcPr>
            <w:tcW w:w="912" w:type="dxa"/>
            <w:vMerge w:val="restart"/>
            <w:tcBorders>
              <w:bottom w:val="nil"/>
            </w:tcBorders>
            <w:vAlign w:val="top"/>
          </w:tcPr>
          <w:p w14:paraId="78E108E3">
            <w:pPr>
              <w:spacing w:before="66" w:line="231" w:lineRule="auto"/>
              <w:ind w:left="152"/>
              <w:rPr>
                <w:rFonts w:ascii="仿宋" w:hAnsi="仿宋" w:eastAsia="仿宋" w:cs="仿宋"/>
                <w:sz w:val="20"/>
                <w:szCs w:val="20"/>
              </w:rPr>
            </w:pPr>
            <w:r>
              <w:rPr>
                <w:rFonts w:ascii="仿宋" w:hAnsi="仿宋" w:eastAsia="仿宋" w:cs="仿宋"/>
                <w:spacing w:val="5"/>
                <w:sz w:val="20"/>
                <w:szCs w:val="20"/>
              </w:rPr>
              <w:t>份子地</w:t>
            </w:r>
          </w:p>
          <w:p w14:paraId="5D869834">
            <w:pPr>
              <w:spacing w:before="62" w:line="227" w:lineRule="auto"/>
              <w:ind w:left="152"/>
              <w:rPr>
                <w:rFonts w:ascii="仿宋" w:hAnsi="仿宋" w:eastAsia="仿宋" w:cs="仿宋"/>
                <w:sz w:val="20"/>
                <w:szCs w:val="20"/>
              </w:rPr>
            </w:pPr>
            <w:r>
              <w:rPr>
                <w:rFonts w:ascii="仿宋" w:hAnsi="仿宋" w:eastAsia="仿宋" w:cs="仿宋"/>
                <w:spacing w:val="5"/>
                <w:sz w:val="20"/>
                <w:szCs w:val="20"/>
              </w:rPr>
              <w:t>社新村</w:t>
            </w:r>
          </w:p>
        </w:tc>
        <w:tc>
          <w:tcPr>
            <w:tcW w:w="1219" w:type="dxa"/>
            <w:vMerge w:val="restart"/>
            <w:tcBorders>
              <w:bottom w:val="nil"/>
            </w:tcBorders>
            <w:vAlign w:val="top"/>
          </w:tcPr>
          <w:p w14:paraId="03E43D2D">
            <w:pPr>
              <w:pStyle w:val="6"/>
              <w:spacing w:before="261" w:line="192" w:lineRule="auto"/>
              <w:ind w:left="482"/>
              <w:rPr>
                <w:sz w:val="20"/>
                <w:szCs w:val="20"/>
              </w:rPr>
            </w:pPr>
            <w:r>
              <w:rPr>
                <w:spacing w:val="1"/>
                <w:sz w:val="20"/>
                <w:szCs w:val="20"/>
              </w:rPr>
              <w:t>5m</w:t>
            </w:r>
          </w:p>
        </w:tc>
        <w:tc>
          <w:tcPr>
            <w:tcW w:w="1100" w:type="dxa"/>
            <w:vAlign w:val="top"/>
          </w:tcPr>
          <w:p w14:paraId="27E25CE6">
            <w:pPr>
              <w:spacing w:before="62" w:line="224" w:lineRule="auto"/>
              <w:ind w:left="139"/>
              <w:rPr>
                <w:rFonts w:ascii="仿宋" w:hAnsi="仿宋" w:eastAsia="仿宋" w:cs="仿宋"/>
                <w:sz w:val="20"/>
                <w:szCs w:val="20"/>
              </w:rPr>
            </w:pPr>
            <w:r>
              <w:rPr>
                <w:rFonts w:ascii="仿宋" w:hAnsi="仿宋" w:eastAsia="仿宋" w:cs="仿宋"/>
                <w:spacing w:val="6"/>
                <w:sz w:val="20"/>
                <w:szCs w:val="20"/>
              </w:rPr>
              <w:t>路基施工</w:t>
            </w:r>
          </w:p>
        </w:tc>
        <w:tc>
          <w:tcPr>
            <w:tcW w:w="1038" w:type="dxa"/>
            <w:vAlign w:val="top"/>
          </w:tcPr>
          <w:p w14:paraId="58717258">
            <w:pPr>
              <w:pStyle w:val="6"/>
              <w:spacing w:before="98" w:line="195" w:lineRule="auto"/>
              <w:ind w:left="419"/>
              <w:rPr>
                <w:sz w:val="20"/>
                <w:szCs w:val="20"/>
              </w:rPr>
            </w:pPr>
            <w:r>
              <w:rPr>
                <w:spacing w:val="1"/>
                <w:sz w:val="20"/>
                <w:szCs w:val="20"/>
              </w:rPr>
              <w:t>70</w:t>
            </w:r>
          </w:p>
        </w:tc>
        <w:tc>
          <w:tcPr>
            <w:tcW w:w="916" w:type="dxa"/>
            <w:vMerge w:val="restart"/>
            <w:tcBorders>
              <w:bottom w:val="nil"/>
            </w:tcBorders>
            <w:vAlign w:val="top"/>
          </w:tcPr>
          <w:p w14:paraId="69693C79">
            <w:pPr>
              <w:pStyle w:val="6"/>
              <w:spacing w:before="258" w:line="195" w:lineRule="auto"/>
              <w:ind w:left="354"/>
              <w:rPr>
                <w:sz w:val="20"/>
                <w:szCs w:val="20"/>
              </w:rPr>
            </w:pPr>
            <w:r>
              <w:rPr>
                <w:spacing w:val="3"/>
                <w:sz w:val="20"/>
                <w:szCs w:val="20"/>
              </w:rPr>
              <w:t>45</w:t>
            </w:r>
          </w:p>
        </w:tc>
        <w:tc>
          <w:tcPr>
            <w:tcW w:w="878" w:type="dxa"/>
            <w:vAlign w:val="top"/>
          </w:tcPr>
          <w:p w14:paraId="62A8F0C7">
            <w:pPr>
              <w:pStyle w:val="6"/>
              <w:spacing w:before="98" w:line="195" w:lineRule="auto"/>
              <w:ind w:left="345"/>
              <w:rPr>
                <w:sz w:val="20"/>
                <w:szCs w:val="20"/>
              </w:rPr>
            </w:pPr>
            <w:r>
              <w:rPr>
                <w:spacing w:val="-2"/>
                <w:sz w:val="20"/>
                <w:szCs w:val="20"/>
              </w:rPr>
              <w:t>86</w:t>
            </w:r>
          </w:p>
        </w:tc>
        <w:tc>
          <w:tcPr>
            <w:tcW w:w="846" w:type="dxa"/>
            <w:vAlign w:val="top"/>
          </w:tcPr>
          <w:p w14:paraId="09B3FD05">
            <w:pPr>
              <w:pStyle w:val="6"/>
              <w:spacing w:before="98" w:line="195" w:lineRule="auto"/>
              <w:ind w:left="328"/>
              <w:rPr>
                <w:sz w:val="20"/>
                <w:szCs w:val="20"/>
              </w:rPr>
            </w:pPr>
            <w:r>
              <w:rPr>
                <w:spacing w:val="-2"/>
                <w:sz w:val="20"/>
                <w:szCs w:val="20"/>
              </w:rPr>
              <w:t>86</w:t>
            </w:r>
          </w:p>
        </w:tc>
        <w:tc>
          <w:tcPr>
            <w:tcW w:w="972" w:type="dxa"/>
            <w:tcBorders>
              <w:right w:val="nil"/>
            </w:tcBorders>
            <w:vAlign w:val="top"/>
          </w:tcPr>
          <w:p w14:paraId="266F27EB">
            <w:pPr>
              <w:pStyle w:val="6"/>
              <w:spacing w:before="98" w:line="195" w:lineRule="auto"/>
              <w:ind w:left="401"/>
              <w:rPr>
                <w:sz w:val="20"/>
                <w:szCs w:val="20"/>
              </w:rPr>
            </w:pPr>
            <w:r>
              <w:rPr>
                <w:spacing w:val="-8"/>
                <w:sz w:val="20"/>
                <w:szCs w:val="20"/>
              </w:rPr>
              <w:t>16</w:t>
            </w:r>
          </w:p>
        </w:tc>
      </w:tr>
      <w:tr w14:paraId="2B50B7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636" w:type="dxa"/>
            <w:vMerge w:val="continue"/>
            <w:tcBorders>
              <w:top w:val="nil"/>
              <w:left w:val="nil"/>
            </w:tcBorders>
            <w:vAlign w:val="top"/>
          </w:tcPr>
          <w:p w14:paraId="7CE54003">
            <w:pPr>
              <w:rPr>
                <w:rFonts w:ascii="Arial"/>
                <w:sz w:val="21"/>
              </w:rPr>
            </w:pPr>
          </w:p>
        </w:tc>
        <w:tc>
          <w:tcPr>
            <w:tcW w:w="912" w:type="dxa"/>
            <w:vMerge w:val="continue"/>
            <w:tcBorders>
              <w:top w:val="nil"/>
            </w:tcBorders>
            <w:vAlign w:val="top"/>
          </w:tcPr>
          <w:p w14:paraId="08C5B807">
            <w:pPr>
              <w:rPr>
                <w:rFonts w:ascii="Arial"/>
                <w:sz w:val="21"/>
              </w:rPr>
            </w:pPr>
          </w:p>
        </w:tc>
        <w:tc>
          <w:tcPr>
            <w:tcW w:w="1219" w:type="dxa"/>
            <w:vMerge w:val="continue"/>
            <w:tcBorders>
              <w:top w:val="nil"/>
            </w:tcBorders>
            <w:vAlign w:val="top"/>
          </w:tcPr>
          <w:p w14:paraId="1B39EF26">
            <w:pPr>
              <w:rPr>
                <w:rFonts w:ascii="Arial"/>
                <w:sz w:val="21"/>
              </w:rPr>
            </w:pPr>
          </w:p>
        </w:tc>
        <w:tc>
          <w:tcPr>
            <w:tcW w:w="1100" w:type="dxa"/>
            <w:vAlign w:val="top"/>
          </w:tcPr>
          <w:p w14:paraId="76A3B71E">
            <w:pPr>
              <w:spacing w:before="63" w:line="223" w:lineRule="auto"/>
              <w:ind w:left="139"/>
              <w:rPr>
                <w:rFonts w:ascii="仿宋" w:hAnsi="仿宋" w:eastAsia="仿宋" w:cs="仿宋"/>
                <w:sz w:val="20"/>
                <w:szCs w:val="20"/>
              </w:rPr>
            </w:pPr>
            <w:r>
              <w:rPr>
                <w:rFonts w:ascii="仿宋" w:hAnsi="仿宋" w:eastAsia="仿宋" w:cs="仿宋"/>
                <w:spacing w:val="6"/>
                <w:sz w:val="20"/>
                <w:szCs w:val="20"/>
              </w:rPr>
              <w:t>路面施工</w:t>
            </w:r>
          </w:p>
        </w:tc>
        <w:tc>
          <w:tcPr>
            <w:tcW w:w="1038" w:type="dxa"/>
            <w:vAlign w:val="top"/>
          </w:tcPr>
          <w:p w14:paraId="167D57FE">
            <w:pPr>
              <w:pStyle w:val="6"/>
              <w:spacing w:before="99" w:line="195" w:lineRule="auto"/>
              <w:ind w:left="419"/>
              <w:rPr>
                <w:sz w:val="20"/>
                <w:szCs w:val="20"/>
              </w:rPr>
            </w:pPr>
            <w:r>
              <w:rPr>
                <w:spacing w:val="1"/>
                <w:sz w:val="20"/>
                <w:szCs w:val="20"/>
              </w:rPr>
              <w:t>70</w:t>
            </w:r>
          </w:p>
        </w:tc>
        <w:tc>
          <w:tcPr>
            <w:tcW w:w="916" w:type="dxa"/>
            <w:vMerge w:val="continue"/>
            <w:tcBorders>
              <w:top w:val="nil"/>
            </w:tcBorders>
            <w:vAlign w:val="top"/>
          </w:tcPr>
          <w:p w14:paraId="75E7E08D">
            <w:pPr>
              <w:rPr>
                <w:rFonts w:ascii="Arial"/>
                <w:sz w:val="21"/>
              </w:rPr>
            </w:pPr>
          </w:p>
        </w:tc>
        <w:tc>
          <w:tcPr>
            <w:tcW w:w="878" w:type="dxa"/>
            <w:vAlign w:val="top"/>
          </w:tcPr>
          <w:p w14:paraId="149ABEDC">
            <w:pPr>
              <w:pStyle w:val="6"/>
              <w:spacing w:before="99" w:line="195" w:lineRule="auto"/>
              <w:ind w:left="345"/>
              <w:rPr>
                <w:sz w:val="20"/>
                <w:szCs w:val="20"/>
              </w:rPr>
            </w:pPr>
            <w:r>
              <w:rPr>
                <w:spacing w:val="-2"/>
                <w:sz w:val="20"/>
                <w:szCs w:val="20"/>
              </w:rPr>
              <w:t>88</w:t>
            </w:r>
          </w:p>
        </w:tc>
        <w:tc>
          <w:tcPr>
            <w:tcW w:w="846" w:type="dxa"/>
            <w:vAlign w:val="top"/>
          </w:tcPr>
          <w:p w14:paraId="37180EBC">
            <w:pPr>
              <w:pStyle w:val="6"/>
              <w:spacing w:before="99" w:line="195" w:lineRule="auto"/>
              <w:ind w:left="328"/>
              <w:rPr>
                <w:sz w:val="20"/>
                <w:szCs w:val="20"/>
              </w:rPr>
            </w:pPr>
            <w:r>
              <w:rPr>
                <w:spacing w:val="-2"/>
                <w:sz w:val="20"/>
                <w:szCs w:val="20"/>
              </w:rPr>
              <w:t>88</w:t>
            </w:r>
          </w:p>
        </w:tc>
        <w:tc>
          <w:tcPr>
            <w:tcW w:w="972" w:type="dxa"/>
            <w:tcBorders>
              <w:right w:val="nil"/>
            </w:tcBorders>
            <w:vAlign w:val="top"/>
          </w:tcPr>
          <w:p w14:paraId="3193B220">
            <w:pPr>
              <w:pStyle w:val="6"/>
              <w:spacing w:before="99" w:line="195" w:lineRule="auto"/>
              <w:ind w:left="401"/>
              <w:rPr>
                <w:sz w:val="20"/>
                <w:szCs w:val="20"/>
              </w:rPr>
            </w:pPr>
            <w:r>
              <w:rPr>
                <w:spacing w:val="-8"/>
                <w:sz w:val="20"/>
                <w:szCs w:val="20"/>
              </w:rPr>
              <w:t>18</w:t>
            </w:r>
          </w:p>
        </w:tc>
      </w:tr>
      <w:tr w14:paraId="393CE5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636" w:type="dxa"/>
            <w:vMerge w:val="restart"/>
            <w:tcBorders>
              <w:left w:val="nil"/>
              <w:bottom w:val="nil"/>
            </w:tcBorders>
            <w:vAlign w:val="top"/>
          </w:tcPr>
          <w:p w14:paraId="6530CC7A">
            <w:pPr>
              <w:pStyle w:val="6"/>
              <w:spacing w:before="264" w:line="195" w:lineRule="auto"/>
              <w:ind w:left="238"/>
              <w:rPr>
                <w:sz w:val="20"/>
                <w:szCs w:val="20"/>
              </w:rPr>
            </w:pPr>
            <w:r>
              <w:rPr>
                <w:spacing w:val="-8"/>
                <w:sz w:val="20"/>
                <w:szCs w:val="20"/>
              </w:rPr>
              <w:t>12</w:t>
            </w:r>
          </w:p>
        </w:tc>
        <w:tc>
          <w:tcPr>
            <w:tcW w:w="912" w:type="dxa"/>
            <w:vMerge w:val="restart"/>
            <w:tcBorders>
              <w:bottom w:val="nil"/>
            </w:tcBorders>
            <w:vAlign w:val="top"/>
          </w:tcPr>
          <w:p w14:paraId="02D95F1F">
            <w:pPr>
              <w:spacing w:before="225" w:line="234" w:lineRule="auto"/>
              <w:ind w:left="155"/>
              <w:rPr>
                <w:rFonts w:ascii="仿宋" w:hAnsi="仿宋" w:eastAsia="仿宋" w:cs="仿宋"/>
                <w:sz w:val="20"/>
                <w:szCs w:val="20"/>
              </w:rPr>
            </w:pPr>
            <w:r>
              <w:rPr>
                <w:rFonts w:ascii="仿宋" w:hAnsi="仿宋" w:eastAsia="仿宋" w:cs="仿宋"/>
                <w:spacing w:val="4"/>
                <w:sz w:val="20"/>
                <w:szCs w:val="20"/>
              </w:rPr>
              <w:t>西圪旦</w:t>
            </w:r>
          </w:p>
        </w:tc>
        <w:tc>
          <w:tcPr>
            <w:tcW w:w="1219" w:type="dxa"/>
            <w:vMerge w:val="restart"/>
            <w:tcBorders>
              <w:bottom w:val="nil"/>
            </w:tcBorders>
            <w:vAlign w:val="top"/>
          </w:tcPr>
          <w:p w14:paraId="68B13AA4">
            <w:pPr>
              <w:pStyle w:val="6"/>
              <w:spacing w:before="264" w:line="195" w:lineRule="auto"/>
              <w:ind w:left="485"/>
              <w:rPr>
                <w:sz w:val="20"/>
                <w:szCs w:val="20"/>
              </w:rPr>
            </w:pPr>
            <w:r>
              <w:rPr>
                <w:spacing w:val="-1"/>
                <w:sz w:val="20"/>
                <w:szCs w:val="20"/>
              </w:rPr>
              <w:t>8m</w:t>
            </w:r>
          </w:p>
        </w:tc>
        <w:tc>
          <w:tcPr>
            <w:tcW w:w="1100" w:type="dxa"/>
            <w:vAlign w:val="top"/>
          </w:tcPr>
          <w:p w14:paraId="04FD0067">
            <w:pPr>
              <w:spacing w:before="65" w:line="221" w:lineRule="auto"/>
              <w:ind w:left="139"/>
              <w:rPr>
                <w:rFonts w:ascii="仿宋" w:hAnsi="仿宋" w:eastAsia="仿宋" w:cs="仿宋"/>
                <w:sz w:val="20"/>
                <w:szCs w:val="20"/>
              </w:rPr>
            </w:pPr>
            <w:r>
              <w:rPr>
                <w:rFonts w:ascii="仿宋" w:hAnsi="仿宋" w:eastAsia="仿宋" w:cs="仿宋"/>
                <w:spacing w:val="6"/>
                <w:sz w:val="20"/>
                <w:szCs w:val="20"/>
              </w:rPr>
              <w:t>路基施工</w:t>
            </w:r>
          </w:p>
        </w:tc>
        <w:tc>
          <w:tcPr>
            <w:tcW w:w="1038" w:type="dxa"/>
            <w:vAlign w:val="top"/>
          </w:tcPr>
          <w:p w14:paraId="202E61BE">
            <w:pPr>
              <w:pStyle w:val="6"/>
              <w:spacing w:before="103" w:line="195" w:lineRule="auto"/>
              <w:ind w:left="419"/>
              <w:rPr>
                <w:sz w:val="20"/>
                <w:szCs w:val="20"/>
              </w:rPr>
            </w:pPr>
            <w:r>
              <w:rPr>
                <w:spacing w:val="1"/>
                <w:sz w:val="20"/>
                <w:szCs w:val="20"/>
              </w:rPr>
              <w:t>70</w:t>
            </w:r>
          </w:p>
        </w:tc>
        <w:tc>
          <w:tcPr>
            <w:tcW w:w="916" w:type="dxa"/>
            <w:vMerge w:val="restart"/>
            <w:tcBorders>
              <w:bottom w:val="nil"/>
            </w:tcBorders>
            <w:vAlign w:val="top"/>
          </w:tcPr>
          <w:p w14:paraId="30528029">
            <w:pPr>
              <w:pStyle w:val="6"/>
              <w:spacing w:before="264" w:line="195" w:lineRule="auto"/>
              <w:ind w:left="354"/>
              <w:rPr>
                <w:sz w:val="20"/>
                <w:szCs w:val="20"/>
              </w:rPr>
            </w:pPr>
            <w:r>
              <w:rPr>
                <w:spacing w:val="3"/>
                <w:sz w:val="20"/>
                <w:szCs w:val="20"/>
              </w:rPr>
              <w:t>46</w:t>
            </w:r>
          </w:p>
        </w:tc>
        <w:tc>
          <w:tcPr>
            <w:tcW w:w="878" w:type="dxa"/>
            <w:vAlign w:val="top"/>
          </w:tcPr>
          <w:p w14:paraId="60AA1EE6">
            <w:pPr>
              <w:pStyle w:val="6"/>
              <w:spacing w:before="103" w:line="195" w:lineRule="auto"/>
              <w:ind w:left="266"/>
              <w:rPr>
                <w:sz w:val="20"/>
                <w:szCs w:val="20"/>
              </w:rPr>
            </w:pPr>
            <w:r>
              <w:rPr>
                <w:spacing w:val="1"/>
                <w:sz w:val="20"/>
                <w:szCs w:val="20"/>
              </w:rPr>
              <w:t>81.9</w:t>
            </w:r>
          </w:p>
        </w:tc>
        <w:tc>
          <w:tcPr>
            <w:tcW w:w="846" w:type="dxa"/>
            <w:vAlign w:val="top"/>
          </w:tcPr>
          <w:p w14:paraId="74B09F53">
            <w:pPr>
              <w:pStyle w:val="6"/>
              <w:spacing w:before="103" w:line="195" w:lineRule="auto"/>
              <w:ind w:left="249"/>
              <w:rPr>
                <w:sz w:val="20"/>
                <w:szCs w:val="20"/>
              </w:rPr>
            </w:pPr>
            <w:r>
              <w:rPr>
                <w:spacing w:val="1"/>
                <w:sz w:val="20"/>
                <w:szCs w:val="20"/>
              </w:rPr>
              <w:t>81.9</w:t>
            </w:r>
          </w:p>
        </w:tc>
        <w:tc>
          <w:tcPr>
            <w:tcW w:w="972" w:type="dxa"/>
            <w:tcBorders>
              <w:right w:val="nil"/>
            </w:tcBorders>
            <w:vAlign w:val="top"/>
          </w:tcPr>
          <w:p w14:paraId="4DBA4D6F">
            <w:pPr>
              <w:pStyle w:val="6"/>
              <w:spacing w:before="103" w:line="195" w:lineRule="auto"/>
              <w:ind w:left="324"/>
              <w:rPr>
                <w:sz w:val="20"/>
                <w:szCs w:val="20"/>
              </w:rPr>
            </w:pPr>
            <w:r>
              <w:rPr>
                <w:spacing w:val="-3"/>
                <w:sz w:val="20"/>
                <w:szCs w:val="20"/>
              </w:rPr>
              <w:t>11.9</w:t>
            </w:r>
          </w:p>
        </w:tc>
      </w:tr>
      <w:tr w14:paraId="0A4CDA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636" w:type="dxa"/>
            <w:vMerge w:val="continue"/>
            <w:tcBorders>
              <w:top w:val="nil"/>
              <w:left w:val="nil"/>
            </w:tcBorders>
            <w:vAlign w:val="top"/>
          </w:tcPr>
          <w:p w14:paraId="2B25E949">
            <w:pPr>
              <w:rPr>
                <w:rFonts w:ascii="Arial"/>
                <w:sz w:val="21"/>
              </w:rPr>
            </w:pPr>
          </w:p>
        </w:tc>
        <w:tc>
          <w:tcPr>
            <w:tcW w:w="912" w:type="dxa"/>
            <w:vMerge w:val="continue"/>
            <w:tcBorders>
              <w:top w:val="nil"/>
            </w:tcBorders>
            <w:vAlign w:val="top"/>
          </w:tcPr>
          <w:p w14:paraId="37A81DA8">
            <w:pPr>
              <w:rPr>
                <w:rFonts w:ascii="Arial"/>
                <w:sz w:val="21"/>
              </w:rPr>
            </w:pPr>
          </w:p>
        </w:tc>
        <w:tc>
          <w:tcPr>
            <w:tcW w:w="1219" w:type="dxa"/>
            <w:vMerge w:val="continue"/>
            <w:tcBorders>
              <w:top w:val="nil"/>
            </w:tcBorders>
            <w:vAlign w:val="top"/>
          </w:tcPr>
          <w:p w14:paraId="772636AC">
            <w:pPr>
              <w:rPr>
                <w:rFonts w:ascii="Arial"/>
                <w:sz w:val="21"/>
              </w:rPr>
            </w:pPr>
          </w:p>
        </w:tc>
        <w:tc>
          <w:tcPr>
            <w:tcW w:w="1100" w:type="dxa"/>
            <w:vAlign w:val="top"/>
          </w:tcPr>
          <w:p w14:paraId="1553790B">
            <w:pPr>
              <w:spacing w:before="66" w:line="220" w:lineRule="auto"/>
              <w:ind w:left="139"/>
              <w:rPr>
                <w:rFonts w:ascii="仿宋" w:hAnsi="仿宋" w:eastAsia="仿宋" w:cs="仿宋"/>
                <w:sz w:val="20"/>
                <w:szCs w:val="20"/>
              </w:rPr>
            </w:pPr>
            <w:r>
              <w:rPr>
                <w:rFonts w:ascii="仿宋" w:hAnsi="仿宋" w:eastAsia="仿宋" w:cs="仿宋"/>
                <w:spacing w:val="6"/>
                <w:sz w:val="20"/>
                <w:szCs w:val="20"/>
              </w:rPr>
              <w:t>路面施工</w:t>
            </w:r>
          </w:p>
        </w:tc>
        <w:tc>
          <w:tcPr>
            <w:tcW w:w="1038" w:type="dxa"/>
            <w:vAlign w:val="top"/>
          </w:tcPr>
          <w:p w14:paraId="5D7A0F45">
            <w:pPr>
              <w:pStyle w:val="6"/>
              <w:spacing w:before="105" w:line="195" w:lineRule="auto"/>
              <w:ind w:left="419"/>
              <w:rPr>
                <w:sz w:val="20"/>
                <w:szCs w:val="20"/>
              </w:rPr>
            </w:pPr>
            <w:r>
              <w:rPr>
                <w:spacing w:val="1"/>
                <w:sz w:val="20"/>
                <w:szCs w:val="20"/>
              </w:rPr>
              <w:t>70</w:t>
            </w:r>
          </w:p>
        </w:tc>
        <w:tc>
          <w:tcPr>
            <w:tcW w:w="916" w:type="dxa"/>
            <w:vMerge w:val="continue"/>
            <w:tcBorders>
              <w:top w:val="nil"/>
            </w:tcBorders>
            <w:vAlign w:val="top"/>
          </w:tcPr>
          <w:p w14:paraId="4BF700A3">
            <w:pPr>
              <w:rPr>
                <w:rFonts w:ascii="Arial"/>
                <w:sz w:val="21"/>
              </w:rPr>
            </w:pPr>
          </w:p>
        </w:tc>
        <w:tc>
          <w:tcPr>
            <w:tcW w:w="878" w:type="dxa"/>
            <w:vAlign w:val="top"/>
          </w:tcPr>
          <w:p w14:paraId="6E11CB2F">
            <w:pPr>
              <w:pStyle w:val="6"/>
              <w:spacing w:before="105" w:line="195" w:lineRule="auto"/>
              <w:ind w:left="266"/>
              <w:rPr>
                <w:sz w:val="20"/>
                <w:szCs w:val="20"/>
              </w:rPr>
            </w:pPr>
            <w:r>
              <w:rPr>
                <w:spacing w:val="1"/>
                <w:sz w:val="20"/>
                <w:szCs w:val="20"/>
              </w:rPr>
              <w:t>83.9</w:t>
            </w:r>
          </w:p>
        </w:tc>
        <w:tc>
          <w:tcPr>
            <w:tcW w:w="846" w:type="dxa"/>
            <w:vAlign w:val="top"/>
          </w:tcPr>
          <w:p w14:paraId="7A40BAB8">
            <w:pPr>
              <w:pStyle w:val="6"/>
              <w:spacing w:before="105" w:line="195" w:lineRule="auto"/>
              <w:ind w:left="249"/>
              <w:rPr>
                <w:sz w:val="20"/>
                <w:szCs w:val="20"/>
              </w:rPr>
            </w:pPr>
            <w:r>
              <w:rPr>
                <w:spacing w:val="1"/>
                <w:sz w:val="20"/>
                <w:szCs w:val="20"/>
              </w:rPr>
              <w:t>83.9</w:t>
            </w:r>
          </w:p>
        </w:tc>
        <w:tc>
          <w:tcPr>
            <w:tcW w:w="972" w:type="dxa"/>
            <w:tcBorders>
              <w:right w:val="nil"/>
            </w:tcBorders>
            <w:vAlign w:val="top"/>
          </w:tcPr>
          <w:p w14:paraId="7669BBD9">
            <w:pPr>
              <w:pStyle w:val="6"/>
              <w:spacing w:before="105" w:line="195" w:lineRule="auto"/>
              <w:ind w:left="324"/>
              <w:rPr>
                <w:sz w:val="20"/>
                <w:szCs w:val="20"/>
              </w:rPr>
            </w:pPr>
            <w:r>
              <w:rPr>
                <w:spacing w:val="-3"/>
                <w:sz w:val="20"/>
                <w:szCs w:val="20"/>
              </w:rPr>
              <w:t>13.9</w:t>
            </w:r>
          </w:p>
        </w:tc>
      </w:tr>
      <w:tr w14:paraId="4461FA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636" w:type="dxa"/>
            <w:vMerge w:val="restart"/>
            <w:tcBorders>
              <w:left w:val="nil"/>
              <w:bottom w:val="nil"/>
            </w:tcBorders>
            <w:vAlign w:val="top"/>
          </w:tcPr>
          <w:p w14:paraId="206406F0">
            <w:pPr>
              <w:pStyle w:val="6"/>
              <w:spacing w:before="267" w:line="195" w:lineRule="auto"/>
              <w:ind w:left="238"/>
              <w:rPr>
                <w:sz w:val="20"/>
                <w:szCs w:val="20"/>
              </w:rPr>
            </w:pPr>
            <w:r>
              <w:rPr>
                <w:spacing w:val="-8"/>
                <w:sz w:val="20"/>
                <w:szCs w:val="20"/>
              </w:rPr>
              <w:t>13</w:t>
            </w:r>
          </w:p>
        </w:tc>
        <w:tc>
          <w:tcPr>
            <w:tcW w:w="912" w:type="dxa"/>
            <w:vMerge w:val="restart"/>
            <w:tcBorders>
              <w:bottom w:val="nil"/>
            </w:tcBorders>
            <w:vAlign w:val="top"/>
          </w:tcPr>
          <w:p w14:paraId="48ED588E">
            <w:pPr>
              <w:spacing w:before="74" w:line="254" w:lineRule="auto"/>
              <w:ind w:left="366" w:right="138" w:hanging="211"/>
              <w:rPr>
                <w:rFonts w:ascii="仿宋" w:hAnsi="仿宋" w:eastAsia="仿宋" w:cs="仿宋"/>
                <w:sz w:val="20"/>
                <w:szCs w:val="20"/>
              </w:rPr>
            </w:pPr>
            <w:r>
              <w:rPr>
                <w:rFonts w:ascii="仿宋" w:hAnsi="仿宋" w:eastAsia="仿宋" w:cs="仿宋"/>
                <w:spacing w:val="4"/>
                <w:sz w:val="20"/>
                <w:szCs w:val="20"/>
              </w:rPr>
              <w:t>张家圪</w:t>
            </w:r>
            <w:r>
              <w:rPr>
                <w:rFonts w:ascii="仿宋" w:hAnsi="仿宋" w:eastAsia="仿宋" w:cs="仿宋"/>
                <w:sz w:val="20"/>
                <w:szCs w:val="20"/>
              </w:rPr>
              <w:t>旦</w:t>
            </w:r>
          </w:p>
        </w:tc>
        <w:tc>
          <w:tcPr>
            <w:tcW w:w="1219" w:type="dxa"/>
            <w:vMerge w:val="restart"/>
            <w:tcBorders>
              <w:bottom w:val="nil"/>
            </w:tcBorders>
            <w:vAlign w:val="top"/>
          </w:tcPr>
          <w:p w14:paraId="08567735">
            <w:pPr>
              <w:pStyle w:val="6"/>
              <w:spacing w:before="267" w:line="195" w:lineRule="auto"/>
              <w:ind w:left="424"/>
              <w:rPr>
                <w:sz w:val="20"/>
                <w:szCs w:val="20"/>
              </w:rPr>
            </w:pPr>
            <w:r>
              <w:rPr>
                <w:spacing w:val="4"/>
                <w:sz w:val="20"/>
                <w:szCs w:val="20"/>
              </w:rPr>
              <w:t>27m</w:t>
            </w:r>
          </w:p>
        </w:tc>
        <w:tc>
          <w:tcPr>
            <w:tcW w:w="1100" w:type="dxa"/>
            <w:vAlign w:val="top"/>
          </w:tcPr>
          <w:p w14:paraId="4C07AA72">
            <w:pPr>
              <w:spacing w:before="67" w:line="219" w:lineRule="auto"/>
              <w:ind w:left="139"/>
              <w:rPr>
                <w:rFonts w:ascii="仿宋" w:hAnsi="仿宋" w:eastAsia="仿宋" w:cs="仿宋"/>
                <w:sz w:val="20"/>
                <w:szCs w:val="20"/>
              </w:rPr>
            </w:pPr>
            <w:r>
              <w:rPr>
                <w:rFonts w:ascii="仿宋" w:hAnsi="仿宋" w:eastAsia="仿宋" w:cs="仿宋"/>
                <w:spacing w:val="6"/>
                <w:sz w:val="20"/>
                <w:szCs w:val="20"/>
              </w:rPr>
              <w:t>路基施工</w:t>
            </w:r>
          </w:p>
        </w:tc>
        <w:tc>
          <w:tcPr>
            <w:tcW w:w="1038" w:type="dxa"/>
            <w:vAlign w:val="top"/>
          </w:tcPr>
          <w:p w14:paraId="5C90DD3C">
            <w:pPr>
              <w:pStyle w:val="6"/>
              <w:spacing w:before="106" w:line="195" w:lineRule="auto"/>
              <w:ind w:left="419"/>
              <w:rPr>
                <w:sz w:val="20"/>
                <w:szCs w:val="20"/>
              </w:rPr>
            </w:pPr>
            <w:r>
              <w:rPr>
                <w:spacing w:val="1"/>
                <w:sz w:val="20"/>
                <w:szCs w:val="20"/>
              </w:rPr>
              <w:t>70</w:t>
            </w:r>
          </w:p>
        </w:tc>
        <w:tc>
          <w:tcPr>
            <w:tcW w:w="916" w:type="dxa"/>
            <w:vMerge w:val="restart"/>
            <w:tcBorders>
              <w:bottom w:val="nil"/>
            </w:tcBorders>
            <w:vAlign w:val="top"/>
          </w:tcPr>
          <w:p w14:paraId="69C9CD66">
            <w:pPr>
              <w:pStyle w:val="6"/>
              <w:spacing w:before="267" w:line="195" w:lineRule="auto"/>
              <w:ind w:left="354"/>
              <w:rPr>
                <w:sz w:val="20"/>
                <w:szCs w:val="20"/>
              </w:rPr>
            </w:pPr>
            <w:r>
              <w:rPr>
                <w:spacing w:val="3"/>
                <w:sz w:val="20"/>
                <w:szCs w:val="20"/>
              </w:rPr>
              <w:t>46</w:t>
            </w:r>
          </w:p>
        </w:tc>
        <w:tc>
          <w:tcPr>
            <w:tcW w:w="878" w:type="dxa"/>
            <w:vAlign w:val="top"/>
          </w:tcPr>
          <w:p w14:paraId="1702669B">
            <w:pPr>
              <w:pStyle w:val="6"/>
              <w:spacing w:before="106" w:line="195" w:lineRule="auto"/>
              <w:ind w:left="261"/>
              <w:rPr>
                <w:sz w:val="20"/>
                <w:szCs w:val="20"/>
              </w:rPr>
            </w:pPr>
            <w:r>
              <w:rPr>
                <w:spacing w:val="2"/>
                <w:sz w:val="20"/>
                <w:szCs w:val="20"/>
              </w:rPr>
              <w:t>71.3</w:t>
            </w:r>
          </w:p>
        </w:tc>
        <w:tc>
          <w:tcPr>
            <w:tcW w:w="846" w:type="dxa"/>
            <w:vAlign w:val="top"/>
          </w:tcPr>
          <w:p w14:paraId="3D5F3F79">
            <w:pPr>
              <w:pStyle w:val="6"/>
              <w:spacing w:before="106" w:line="195" w:lineRule="auto"/>
              <w:ind w:left="244"/>
              <w:rPr>
                <w:sz w:val="20"/>
                <w:szCs w:val="20"/>
              </w:rPr>
            </w:pPr>
            <w:r>
              <w:rPr>
                <w:spacing w:val="2"/>
                <w:sz w:val="20"/>
                <w:szCs w:val="20"/>
              </w:rPr>
              <w:t>71.3</w:t>
            </w:r>
          </w:p>
        </w:tc>
        <w:tc>
          <w:tcPr>
            <w:tcW w:w="972" w:type="dxa"/>
            <w:tcBorders>
              <w:right w:val="nil"/>
            </w:tcBorders>
            <w:vAlign w:val="top"/>
          </w:tcPr>
          <w:p w14:paraId="31CCC3AC">
            <w:pPr>
              <w:pStyle w:val="6"/>
              <w:spacing w:before="106" w:line="195" w:lineRule="auto"/>
              <w:ind w:left="375"/>
              <w:rPr>
                <w:sz w:val="20"/>
                <w:szCs w:val="20"/>
              </w:rPr>
            </w:pPr>
            <w:r>
              <w:rPr>
                <w:spacing w:val="-4"/>
                <w:sz w:val="20"/>
                <w:szCs w:val="20"/>
              </w:rPr>
              <w:t>1.3</w:t>
            </w:r>
          </w:p>
        </w:tc>
      </w:tr>
      <w:tr w14:paraId="00DCBD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636" w:type="dxa"/>
            <w:vMerge w:val="continue"/>
            <w:tcBorders>
              <w:top w:val="nil"/>
              <w:left w:val="nil"/>
            </w:tcBorders>
            <w:vAlign w:val="top"/>
          </w:tcPr>
          <w:p w14:paraId="6971A9FE">
            <w:pPr>
              <w:rPr>
                <w:rFonts w:ascii="Arial"/>
                <w:sz w:val="21"/>
              </w:rPr>
            </w:pPr>
          </w:p>
        </w:tc>
        <w:tc>
          <w:tcPr>
            <w:tcW w:w="912" w:type="dxa"/>
            <w:vMerge w:val="continue"/>
            <w:tcBorders>
              <w:top w:val="nil"/>
            </w:tcBorders>
            <w:vAlign w:val="top"/>
          </w:tcPr>
          <w:p w14:paraId="2F158157">
            <w:pPr>
              <w:rPr>
                <w:rFonts w:ascii="Arial"/>
                <w:sz w:val="21"/>
              </w:rPr>
            </w:pPr>
          </w:p>
        </w:tc>
        <w:tc>
          <w:tcPr>
            <w:tcW w:w="1219" w:type="dxa"/>
            <w:vMerge w:val="continue"/>
            <w:tcBorders>
              <w:top w:val="nil"/>
            </w:tcBorders>
            <w:vAlign w:val="top"/>
          </w:tcPr>
          <w:p w14:paraId="44912B6F">
            <w:pPr>
              <w:rPr>
                <w:rFonts w:ascii="Arial"/>
                <w:sz w:val="21"/>
              </w:rPr>
            </w:pPr>
          </w:p>
        </w:tc>
        <w:tc>
          <w:tcPr>
            <w:tcW w:w="1100" w:type="dxa"/>
            <w:vAlign w:val="top"/>
          </w:tcPr>
          <w:p w14:paraId="4992C616">
            <w:pPr>
              <w:spacing w:before="72" w:line="215" w:lineRule="auto"/>
              <w:ind w:left="139"/>
              <w:rPr>
                <w:rFonts w:ascii="仿宋" w:hAnsi="仿宋" w:eastAsia="仿宋" w:cs="仿宋"/>
                <w:sz w:val="20"/>
                <w:szCs w:val="20"/>
              </w:rPr>
            </w:pPr>
            <w:r>
              <w:rPr>
                <w:rFonts w:ascii="仿宋" w:hAnsi="仿宋" w:eastAsia="仿宋" w:cs="仿宋"/>
                <w:spacing w:val="6"/>
                <w:sz w:val="20"/>
                <w:szCs w:val="20"/>
              </w:rPr>
              <w:t>路面施工</w:t>
            </w:r>
          </w:p>
        </w:tc>
        <w:tc>
          <w:tcPr>
            <w:tcW w:w="1038" w:type="dxa"/>
            <w:vAlign w:val="top"/>
          </w:tcPr>
          <w:p w14:paraId="547C057D">
            <w:pPr>
              <w:pStyle w:val="6"/>
              <w:spacing w:before="108" w:line="195" w:lineRule="auto"/>
              <w:ind w:left="419"/>
              <w:rPr>
                <w:sz w:val="20"/>
                <w:szCs w:val="20"/>
              </w:rPr>
            </w:pPr>
            <w:r>
              <w:rPr>
                <w:spacing w:val="1"/>
                <w:sz w:val="20"/>
                <w:szCs w:val="20"/>
              </w:rPr>
              <w:t>70</w:t>
            </w:r>
          </w:p>
        </w:tc>
        <w:tc>
          <w:tcPr>
            <w:tcW w:w="916" w:type="dxa"/>
            <w:vMerge w:val="continue"/>
            <w:tcBorders>
              <w:top w:val="nil"/>
            </w:tcBorders>
            <w:vAlign w:val="top"/>
          </w:tcPr>
          <w:p w14:paraId="4EA5B9D3">
            <w:pPr>
              <w:rPr>
                <w:rFonts w:ascii="Arial"/>
                <w:sz w:val="21"/>
              </w:rPr>
            </w:pPr>
          </w:p>
        </w:tc>
        <w:tc>
          <w:tcPr>
            <w:tcW w:w="878" w:type="dxa"/>
            <w:vAlign w:val="top"/>
          </w:tcPr>
          <w:p w14:paraId="2DC50294">
            <w:pPr>
              <w:pStyle w:val="6"/>
              <w:spacing w:before="108" w:line="195" w:lineRule="auto"/>
              <w:ind w:left="261"/>
              <w:rPr>
                <w:sz w:val="20"/>
                <w:szCs w:val="20"/>
              </w:rPr>
            </w:pPr>
            <w:r>
              <w:rPr>
                <w:spacing w:val="2"/>
                <w:sz w:val="20"/>
                <w:szCs w:val="20"/>
              </w:rPr>
              <w:t>73.3</w:t>
            </w:r>
          </w:p>
        </w:tc>
        <w:tc>
          <w:tcPr>
            <w:tcW w:w="846" w:type="dxa"/>
            <w:vAlign w:val="top"/>
          </w:tcPr>
          <w:p w14:paraId="260F52EB">
            <w:pPr>
              <w:pStyle w:val="6"/>
              <w:spacing w:before="108" w:line="195" w:lineRule="auto"/>
              <w:ind w:left="244"/>
              <w:rPr>
                <w:sz w:val="20"/>
                <w:szCs w:val="20"/>
              </w:rPr>
            </w:pPr>
            <w:r>
              <w:rPr>
                <w:spacing w:val="2"/>
                <w:sz w:val="20"/>
                <w:szCs w:val="20"/>
              </w:rPr>
              <w:t>73.3</w:t>
            </w:r>
          </w:p>
        </w:tc>
        <w:tc>
          <w:tcPr>
            <w:tcW w:w="972" w:type="dxa"/>
            <w:tcBorders>
              <w:right w:val="nil"/>
            </w:tcBorders>
            <w:vAlign w:val="top"/>
          </w:tcPr>
          <w:p w14:paraId="767F8DE1">
            <w:pPr>
              <w:pStyle w:val="6"/>
              <w:spacing w:before="108" w:line="195" w:lineRule="auto"/>
              <w:ind w:left="359"/>
              <w:rPr>
                <w:sz w:val="20"/>
                <w:szCs w:val="20"/>
              </w:rPr>
            </w:pPr>
            <w:r>
              <w:rPr>
                <w:spacing w:val="1"/>
                <w:sz w:val="20"/>
                <w:szCs w:val="20"/>
              </w:rPr>
              <w:t>3.3</w:t>
            </w:r>
          </w:p>
        </w:tc>
      </w:tr>
      <w:tr w14:paraId="50BDF2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636" w:type="dxa"/>
            <w:vMerge w:val="restart"/>
            <w:tcBorders>
              <w:left w:val="nil"/>
              <w:bottom w:val="nil"/>
            </w:tcBorders>
            <w:vAlign w:val="top"/>
          </w:tcPr>
          <w:p w14:paraId="66905917">
            <w:pPr>
              <w:pStyle w:val="6"/>
              <w:spacing w:before="270" w:line="195" w:lineRule="auto"/>
              <w:ind w:left="238"/>
              <w:rPr>
                <w:sz w:val="20"/>
                <w:szCs w:val="20"/>
              </w:rPr>
            </w:pPr>
            <w:r>
              <w:rPr>
                <w:spacing w:val="-8"/>
                <w:sz w:val="20"/>
                <w:szCs w:val="20"/>
              </w:rPr>
              <w:t>14</w:t>
            </w:r>
          </w:p>
        </w:tc>
        <w:tc>
          <w:tcPr>
            <w:tcW w:w="912" w:type="dxa"/>
            <w:vMerge w:val="restart"/>
            <w:tcBorders>
              <w:bottom w:val="nil"/>
            </w:tcBorders>
            <w:vAlign w:val="top"/>
          </w:tcPr>
          <w:p w14:paraId="03EE1337">
            <w:pPr>
              <w:spacing w:before="234" w:line="231" w:lineRule="auto"/>
              <w:ind w:left="152"/>
              <w:rPr>
                <w:rFonts w:ascii="仿宋" w:hAnsi="仿宋" w:eastAsia="仿宋" w:cs="仿宋"/>
                <w:sz w:val="20"/>
                <w:szCs w:val="20"/>
              </w:rPr>
            </w:pPr>
            <w:r>
              <w:rPr>
                <w:rFonts w:ascii="仿宋" w:hAnsi="仿宋" w:eastAsia="仿宋" w:cs="仿宋"/>
                <w:spacing w:val="5"/>
                <w:sz w:val="20"/>
                <w:szCs w:val="20"/>
              </w:rPr>
              <w:t>神官湾</w:t>
            </w:r>
          </w:p>
        </w:tc>
        <w:tc>
          <w:tcPr>
            <w:tcW w:w="1219" w:type="dxa"/>
            <w:vMerge w:val="restart"/>
            <w:tcBorders>
              <w:bottom w:val="nil"/>
            </w:tcBorders>
            <w:vAlign w:val="top"/>
          </w:tcPr>
          <w:p w14:paraId="6D3955CC">
            <w:pPr>
              <w:pStyle w:val="6"/>
              <w:spacing w:before="270" w:line="195" w:lineRule="auto"/>
              <w:ind w:left="444"/>
              <w:rPr>
                <w:sz w:val="20"/>
                <w:szCs w:val="20"/>
              </w:rPr>
            </w:pPr>
            <w:r>
              <w:rPr>
                <w:spacing w:val="-3"/>
                <w:sz w:val="20"/>
                <w:szCs w:val="20"/>
              </w:rPr>
              <w:t>15m</w:t>
            </w:r>
          </w:p>
        </w:tc>
        <w:tc>
          <w:tcPr>
            <w:tcW w:w="1100" w:type="dxa"/>
            <w:vAlign w:val="top"/>
          </w:tcPr>
          <w:p w14:paraId="5173C515">
            <w:pPr>
              <w:spacing w:before="73" w:line="214" w:lineRule="auto"/>
              <w:ind w:left="139"/>
              <w:rPr>
                <w:rFonts w:ascii="仿宋" w:hAnsi="仿宋" w:eastAsia="仿宋" w:cs="仿宋"/>
                <w:sz w:val="20"/>
                <w:szCs w:val="20"/>
              </w:rPr>
            </w:pPr>
            <w:r>
              <w:rPr>
                <w:rFonts w:ascii="仿宋" w:hAnsi="仿宋" w:eastAsia="仿宋" w:cs="仿宋"/>
                <w:spacing w:val="6"/>
                <w:sz w:val="20"/>
                <w:szCs w:val="20"/>
              </w:rPr>
              <w:t>路基施工</w:t>
            </w:r>
          </w:p>
        </w:tc>
        <w:tc>
          <w:tcPr>
            <w:tcW w:w="1038" w:type="dxa"/>
            <w:vAlign w:val="top"/>
          </w:tcPr>
          <w:p w14:paraId="50C879AF">
            <w:pPr>
              <w:pStyle w:val="6"/>
              <w:spacing w:before="109" w:line="195" w:lineRule="auto"/>
              <w:ind w:left="419"/>
              <w:rPr>
                <w:sz w:val="20"/>
                <w:szCs w:val="20"/>
              </w:rPr>
            </w:pPr>
            <w:r>
              <w:rPr>
                <w:spacing w:val="1"/>
                <w:sz w:val="20"/>
                <w:szCs w:val="20"/>
              </w:rPr>
              <w:t>70</w:t>
            </w:r>
          </w:p>
        </w:tc>
        <w:tc>
          <w:tcPr>
            <w:tcW w:w="916" w:type="dxa"/>
            <w:vMerge w:val="restart"/>
            <w:tcBorders>
              <w:bottom w:val="nil"/>
            </w:tcBorders>
            <w:vAlign w:val="top"/>
          </w:tcPr>
          <w:p w14:paraId="0195D021">
            <w:pPr>
              <w:pStyle w:val="6"/>
              <w:spacing w:before="270" w:line="195" w:lineRule="auto"/>
              <w:ind w:left="360"/>
              <w:rPr>
                <w:sz w:val="20"/>
                <w:szCs w:val="20"/>
              </w:rPr>
            </w:pPr>
            <w:r>
              <w:rPr>
                <w:sz w:val="20"/>
                <w:szCs w:val="20"/>
              </w:rPr>
              <w:t>50</w:t>
            </w:r>
          </w:p>
        </w:tc>
        <w:tc>
          <w:tcPr>
            <w:tcW w:w="878" w:type="dxa"/>
            <w:vAlign w:val="top"/>
          </w:tcPr>
          <w:p w14:paraId="216FB876">
            <w:pPr>
              <w:pStyle w:val="6"/>
              <w:spacing w:before="109" w:line="195" w:lineRule="auto"/>
              <w:ind w:left="261"/>
              <w:rPr>
                <w:sz w:val="20"/>
                <w:szCs w:val="20"/>
              </w:rPr>
            </w:pPr>
            <w:r>
              <w:rPr>
                <w:spacing w:val="2"/>
                <w:sz w:val="20"/>
                <w:szCs w:val="20"/>
              </w:rPr>
              <w:t>76.5</w:t>
            </w:r>
          </w:p>
        </w:tc>
        <w:tc>
          <w:tcPr>
            <w:tcW w:w="846" w:type="dxa"/>
            <w:vAlign w:val="top"/>
          </w:tcPr>
          <w:p w14:paraId="0B68DF25">
            <w:pPr>
              <w:pStyle w:val="6"/>
              <w:spacing w:before="109" w:line="195" w:lineRule="auto"/>
              <w:ind w:left="244"/>
              <w:rPr>
                <w:sz w:val="20"/>
                <w:szCs w:val="20"/>
              </w:rPr>
            </w:pPr>
            <w:r>
              <w:rPr>
                <w:spacing w:val="2"/>
                <w:sz w:val="20"/>
                <w:szCs w:val="20"/>
              </w:rPr>
              <w:t>76.5</w:t>
            </w:r>
          </w:p>
        </w:tc>
        <w:tc>
          <w:tcPr>
            <w:tcW w:w="972" w:type="dxa"/>
            <w:tcBorders>
              <w:right w:val="nil"/>
            </w:tcBorders>
            <w:vAlign w:val="top"/>
          </w:tcPr>
          <w:p w14:paraId="137282B5">
            <w:pPr>
              <w:pStyle w:val="6"/>
              <w:spacing w:before="109" w:line="195" w:lineRule="auto"/>
              <w:ind w:left="359"/>
              <w:rPr>
                <w:sz w:val="20"/>
                <w:szCs w:val="20"/>
              </w:rPr>
            </w:pPr>
            <w:r>
              <w:rPr>
                <w:spacing w:val="1"/>
                <w:sz w:val="20"/>
                <w:szCs w:val="20"/>
              </w:rPr>
              <w:t>6.5</w:t>
            </w:r>
          </w:p>
        </w:tc>
      </w:tr>
      <w:tr w14:paraId="0E8618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636" w:type="dxa"/>
            <w:vMerge w:val="continue"/>
            <w:tcBorders>
              <w:top w:val="nil"/>
              <w:left w:val="nil"/>
              <w:bottom w:val="single" w:color="000000" w:sz="10" w:space="0"/>
            </w:tcBorders>
            <w:vAlign w:val="top"/>
          </w:tcPr>
          <w:p w14:paraId="27DBF3CA">
            <w:pPr>
              <w:rPr>
                <w:rFonts w:ascii="Arial"/>
                <w:sz w:val="21"/>
              </w:rPr>
            </w:pPr>
          </w:p>
        </w:tc>
        <w:tc>
          <w:tcPr>
            <w:tcW w:w="912" w:type="dxa"/>
            <w:vMerge w:val="continue"/>
            <w:tcBorders>
              <w:top w:val="nil"/>
              <w:bottom w:val="single" w:color="000000" w:sz="10" w:space="0"/>
            </w:tcBorders>
            <w:vAlign w:val="top"/>
          </w:tcPr>
          <w:p w14:paraId="20E3B0D6">
            <w:pPr>
              <w:rPr>
                <w:rFonts w:ascii="Arial"/>
                <w:sz w:val="21"/>
              </w:rPr>
            </w:pPr>
          </w:p>
        </w:tc>
        <w:tc>
          <w:tcPr>
            <w:tcW w:w="1219" w:type="dxa"/>
            <w:vMerge w:val="continue"/>
            <w:tcBorders>
              <w:top w:val="nil"/>
              <w:bottom w:val="single" w:color="000000" w:sz="10" w:space="0"/>
            </w:tcBorders>
            <w:vAlign w:val="top"/>
          </w:tcPr>
          <w:p w14:paraId="30C1E334">
            <w:pPr>
              <w:rPr>
                <w:rFonts w:ascii="Arial"/>
                <w:sz w:val="21"/>
              </w:rPr>
            </w:pPr>
          </w:p>
        </w:tc>
        <w:tc>
          <w:tcPr>
            <w:tcW w:w="1100" w:type="dxa"/>
            <w:tcBorders>
              <w:bottom w:val="single" w:color="000000" w:sz="10" w:space="0"/>
            </w:tcBorders>
            <w:vAlign w:val="top"/>
          </w:tcPr>
          <w:p w14:paraId="6771350A">
            <w:pPr>
              <w:spacing w:before="75" w:line="231" w:lineRule="auto"/>
              <w:ind w:left="139"/>
              <w:rPr>
                <w:rFonts w:ascii="仿宋" w:hAnsi="仿宋" w:eastAsia="仿宋" w:cs="仿宋"/>
                <w:sz w:val="20"/>
                <w:szCs w:val="20"/>
              </w:rPr>
            </w:pPr>
            <w:r>
              <w:rPr>
                <w:rFonts w:ascii="仿宋" w:hAnsi="仿宋" w:eastAsia="仿宋" w:cs="仿宋"/>
                <w:spacing w:val="6"/>
                <w:sz w:val="20"/>
                <w:szCs w:val="20"/>
              </w:rPr>
              <w:t>路面施工</w:t>
            </w:r>
          </w:p>
        </w:tc>
        <w:tc>
          <w:tcPr>
            <w:tcW w:w="1038" w:type="dxa"/>
            <w:tcBorders>
              <w:bottom w:val="single" w:color="000000" w:sz="10" w:space="0"/>
            </w:tcBorders>
            <w:vAlign w:val="top"/>
          </w:tcPr>
          <w:p w14:paraId="731444A0">
            <w:pPr>
              <w:pStyle w:val="6"/>
              <w:spacing w:before="111" w:line="195" w:lineRule="auto"/>
              <w:ind w:left="419"/>
              <w:rPr>
                <w:sz w:val="20"/>
                <w:szCs w:val="20"/>
              </w:rPr>
            </w:pPr>
            <w:r>
              <w:rPr>
                <w:spacing w:val="1"/>
                <w:sz w:val="20"/>
                <w:szCs w:val="20"/>
              </w:rPr>
              <w:t>70</w:t>
            </w:r>
          </w:p>
        </w:tc>
        <w:tc>
          <w:tcPr>
            <w:tcW w:w="916" w:type="dxa"/>
            <w:vMerge w:val="continue"/>
            <w:tcBorders>
              <w:top w:val="nil"/>
              <w:bottom w:val="single" w:color="000000" w:sz="10" w:space="0"/>
            </w:tcBorders>
            <w:vAlign w:val="top"/>
          </w:tcPr>
          <w:p w14:paraId="0A573B1D">
            <w:pPr>
              <w:rPr>
                <w:rFonts w:ascii="Arial"/>
                <w:sz w:val="21"/>
              </w:rPr>
            </w:pPr>
          </w:p>
        </w:tc>
        <w:tc>
          <w:tcPr>
            <w:tcW w:w="878" w:type="dxa"/>
            <w:tcBorders>
              <w:bottom w:val="single" w:color="000000" w:sz="10" w:space="0"/>
            </w:tcBorders>
            <w:vAlign w:val="top"/>
          </w:tcPr>
          <w:p w14:paraId="116208B8">
            <w:pPr>
              <w:pStyle w:val="6"/>
              <w:spacing w:before="111" w:line="195" w:lineRule="auto"/>
              <w:ind w:left="261"/>
              <w:rPr>
                <w:sz w:val="20"/>
                <w:szCs w:val="20"/>
              </w:rPr>
            </w:pPr>
            <w:r>
              <w:rPr>
                <w:spacing w:val="2"/>
                <w:sz w:val="20"/>
                <w:szCs w:val="20"/>
              </w:rPr>
              <w:t>78.5</w:t>
            </w:r>
          </w:p>
        </w:tc>
        <w:tc>
          <w:tcPr>
            <w:tcW w:w="846" w:type="dxa"/>
            <w:tcBorders>
              <w:bottom w:val="single" w:color="000000" w:sz="10" w:space="0"/>
            </w:tcBorders>
            <w:vAlign w:val="top"/>
          </w:tcPr>
          <w:p w14:paraId="1F41EBD9">
            <w:pPr>
              <w:pStyle w:val="6"/>
              <w:spacing w:before="111" w:line="195" w:lineRule="auto"/>
              <w:ind w:left="244"/>
              <w:rPr>
                <w:sz w:val="20"/>
                <w:szCs w:val="20"/>
              </w:rPr>
            </w:pPr>
            <w:r>
              <w:rPr>
                <w:spacing w:val="2"/>
                <w:sz w:val="20"/>
                <w:szCs w:val="20"/>
              </w:rPr>
              <w:t>78.5</w:t>
            </w:r>
          </w:p>
        </w:tc>
        <w:tc>
          <w:tcPr>
            <w:tcW w:w="972" w:type="dxa"/>
            <w:tcBorders>
              <w:bottom w:val="single" w:color="000000" w:sz="10" w:space="0"/>
              <w:right w:val="nil"/>
            </w:tcBorders>
            <w:vAlign w:val="top"/>
          </w:tcPr>
          <w:p w14:paraId="46AA1570">
            <w:pPr>
              <w:pStyle w:val="6"/>
              <w:spacing w:before="111" w:line="195" w:lineRule="auto"/>
              <w:ind w:left="363"/>
              <w:rPr>
                <w:sz w:val="20"/>
                <w:szCs w:val="20"/>
              </w:rPr>
            </w:pPr>
            <w:r>
              <w:rPr>
                <w:sz w:val="20"/>
                <w:szCs w:val="20"/>
              </w:rPr>
              <w:t>8.5</w:t>
            </w:r>
          </w:p>
        </w:tc>
      </w:tr>
    </w:tbl>
    <w:p w14:paraId="0B322E08">
      <w:pPr>
        <w:pStyle w:val="2"/>
        <w:spacing w:line="14" w:lineRule="auto"/>
      </w:pPr>
    </w:p>
    <w:p w14:paraId="5C84DEF9">
      <w:pPr>
        <w:spacing w:line="14" w:lineRule="auto"/>
        <w:sectPr>
          <w:footerReference r:id="rId175" w:type="default"/>
          <w:pgSz w:w="11906" w:h="16839"/>
          <w:pgMar w:top="400" w:right="1697" w:bottom="1370" w:left="1691" w:header="0" w:footer="1207" w:gutter="0"/>
          <w:cols w:equalWidth="0" w:num="1">
            <w:col w:w="8517"/>
          </w:cols>
        </w:sectPr>
      </w:pPr>
    </w:p>
    <w:p w14:paraId="1A450162">
      <w:pPr>
        <w:spacing w:before="36" w:line="213" w:lineRule="auto"/>
        <w:ind w:left="149"/>
        <w:rPr>
          <w:rFonts w:ascii="仿宋" w:hAnsi="仿宋" w:eastAsia="仿宋" w:cs="仿宋"/>
          <w:sz w:val="24"/>
          <w:szCs w:val="24"/>
        </w:rPr>
      </w:pPr>
      <w:r>
        <w:rPr>
          <w:rFonts w:ascii="仿宋" w:hAnsi="仿宋" w:eastAsia="仿宋" w:cs="仿宋"/>
          <w:b/>
          <w:bCs/>
          <w:spacing w:val="-6"/>
          <w:sz w:val="24"/>
          <w:szCs w:val="24"/>
        </w:rPr>
        <w:t>表</w:t>
      </w:r>
      <w:r>
        <w:rPr>
          <w:rFonts w:ascii="仿宋" w:hAnsi="仿宋" w:eastAsia="仿宋" w:cs="仿宋"/>
          <w:spacing w:val="-53"/>
          <w:sz w:val="24"/>
          <w:szCs w:val="24"/>
        </w:rPr>
        <w:t xml:space="preserve"> </w:t>
      </w:r>
      <w:r>
        <w:rPr>
          <w:rFonts w:ascii="仿宋" w:hAnsi="仿宋" w:eastAsia="仿宋" w:cs="仿宋"/>
          <w:b/>
          <w:bCs/>
          <w:spacing w:val="-6"/>
          <w:sz w:val="24"/>
          <w:szCs w:val="24"/>
        </w:rPr>
        <w:t>4.1-5</w:t>
      </w:r>
    </w:p>
    <w:p w14:paraId="047EC630">
      <w:pPr>
        <w:pStyle w:val="2"/>
        <w:spacing w:line="14" w:lineRule="auto"/>
      </w:pPr>
      <w:r>
        <w:br w:type="column"/>
      </w:r>
    </w:p>
    <w:p w14:paraId="047B023F">
      <w:pPr>
        <w:spacing w:before="34" w:line="213" w:lineRule="auto"/>
        <w:rPr>
          <w:rFonts w:ascii="仿宋" w:hAnsi="仿宋" w:eastAsia="仿宋" w:cs="仿宋"/>
          <w:sz w:val="24"/>
          <w:szCs w:val="24"/>
        </w:rPr>
      </w:pPr>
      <w:r>
        <w:rPr>
          <w:rFonts w:ascii="仿宋" w:hAnsi="仿宋" w:eastAsia="仿宋" w:cs="仿宋"/>
          <w:b/>
          <w:bCs/>
          <w:spacing w:val="-3"/>
          <w:sz w:val="24"/>
          <w:szCs w:val="24"/>
        </w:rPr>
        <w:t>机械组合作业敏感点噪声预测结果与达标分析表</w:t>
      </w:r>
    </w:p>
    <w:p w14:paraId="71C56D4F">
      <w:pPr>
        <w:pStyle w:val="2"/>
        <w:spacing w:line="14" w:lineRule="auto"/>
      </w:pPr>
      <w:r>
        <w:br w:type="column"/>
      </w:r>
    </w:p>
    <w:p w14:paraId="01CFC88E">
      <w:pPr>
        <w:spacing w:before="34" w:line="213" w:lineRule="auto"/>
        <w:rPr>
          <w:rFonts w:ascii="仿宋" w:hAnsi="仿宋" w:eastAsia="仿宋" w:cs="仿宋"/>
          <w:sz w:val="24"/>
          <w:szCs w:val="24"/>
        </w:rPr>
      </w:pPr>
      <w:r>
        <w:rPr>
          <w:rFonts w:ascii="仿宋" w:hAnsi="仿宋" w:eastAsia="仿宋" w:cs="仿宋"/>
          <w:b/>
          <w:bCs/>
          <w:spacing w:val="-5"/>
          <w:sz w:val="24"/>
          <w:szCs w:val="24"/>
        </w:rPr>
        <w:t>单位：dB（A）</w:t>
      </w:r>
    </w:p>
    <w:p w14:paraId="63D955DB">
      <w:pPr>
        <w:spacing w:line="213" w:lineRule="auto"/>
        <w:rPr>
          <w:rFonts w:ascii="仿宋" w:hAnsi="仿宋" w:eastAsia="仿宋" w:cs="仿宋"/>
          <w:sz w:val="24"/>
          <w:szCs w:val="24"/>
        </w:rPr>
        <w:sectPr>
          <w:type w:val="continuous"/>
          <w:pgSz w:w="11906" w:h="16839"/>
          <w:pgMar w:top="400" w:right="1697" w:bottom="1370" w:left="1691" w:header="0" w:footer="1207" w:gutter="0"/>
          <w:cols w:equalWidth="0" w:num="3">
            <w:col w:w="1316" w:space="100"/>
            <w:col w:w="5327" w:space="100"/>
            <w:col w:w="1676"/>
          </w:cols>
        </w:sectPr>
      </w:pPr>
    </w:p>
    <w:tbl>
      <w:tblPr>
        <w:tblStyle w:val="5"/>
        <w:tblW w:w="8516"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5"/>
        <w:gridCol w:w="1132"/>
        <w:gridCol w:w="988"/>
        <w:gridCol w:w="1100"/>
        <w:gridCol w:w="1062"/>
        <w:gridCol w:w="900"/>
        <w:gridCol w:w="875"/>
        <w:gridCol w:w="862"/>
        <w:gridCol w:w="962"/>
      </w:tblGrid>
      <w:tr w14:paraId="36C739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3" w:hRule="atLeast"/>
        </w:trPr>
        <w:tc>
          <w:tcPr>
            <w:tcW w:w="635" w:type="dxa"/>
            <w:tcBorders>
              <w:top w:val="single" w:color="000000" w:sz="10" w:space="0"/>
              <w:left w:val="nil"/>
            </w:tcBorders>
            <w:textDirection w:val="tbRlV"/>
            <w:vAlign w:val="top"/>
          </w:tcPr>
          <w:p w14:paraId="5EFAB0AF">
            <w:pPr>
              <w:spacing w:before="212" w:line="209" w:lineRule="auto"/>
              <w:ind w:left="212"/>
              <w:rPr>
                <w:rFonts w:ascii="仿宋" w:hAnsi="仿宋" w:eastAsia="仿宋" w:cs="仿宋"/>
                <w:sz w:val="20"/>
                <w:szCs w:val="20"/>
              </w:rPr>
            </w:pPr>
            <w:r>
              <w:rPr>
                <w:rFonts w:ascii="仿宋" w:hAnsi="仿宋" w:eastAsia="仿宋" w:cs="仿宋"/>
                <w:spacing w:val="13"/>
                <w:sz w:val="20"/>
                <w:szCs w:val="20"/>
              </w:rPr>
              <w:t>序</w:t>
            </w:r>
            <w:r>
              <w:rPr>
                <w:rFonts w:ascii="仿宋" w:hAnsi="仿宋" w:eastAsia="仿宋" w:cs="仿宋"/>
                <w:spacing w:val="-2"/>
                <w:sz w:val="20"/>
                <w:szCs w:val="20"/>
              </w:rPr>
              <w:t xml:space="preserve"> </w:t>
            </w:r>
            <w:r>
              <w:rPr>
                <w:rFonts w:ascii="仿宋" w:hAnsi="仿宋" w:eastAsia="仿宋" w:cs="仿宋"/>
                <w:spacing w:val="13"/>
                <w:sz w:val="20"/>
                <w:szCs w:val="20"/>
              </w:rPr>
              <w:t>号</w:t>
            </w:r>
          </w:p>
        </w:tc>
        <w:tc>
          <w:tcPr>
            <w:tcW w:w="1132" w:type="dxa"/>
            <w:tcBorders>
              <w:top w:val="single" w:color="000000" w:sz="10" w:space="0"/>
            </w:tcBorders>
            <w:vAlign w:val="top"/>
          </w:tcPr>
          <w:p w14:paraId="5BDAF7E2">
            <w:pPr>
              <w:spacing w:line="301" w:lineRule="auto"/>
              <w:rPr>
                <w:rFonts w:ascii="Arial"/>
                <w:sz w:val="21"/>
              </w:rPr>
            </w:pPr>
          </w:p>
          <w:p w14:paraId="0E4E67B0">
            <w:pPr>
              <w:spacing w:before="65" w:line="229" w:lineRule="auto"/>
              <w:ind w:left="368"/>
              <w:rPr>
                <w:rFonts w:ascii="仿宋" w:hAnsi="仿宋" w:eastAsia="仿宋" w:cs="仿宋"/>
                <w:sz w:val="20"/>
                <w:szCs w:val="20"/>
              </w:rPr>
            </w:pPr>
            <w:r>
              <w:rPr>
                <w:rFonts w:ascii="仿宋" w:hAnsi="仿宋" w:eastAsia="仿宋" w:cs="仿宋"/>
                <w:spacing w:val="1"/>
                <w:sz w:val="20"/>
                <w:szCs w:val="20"/>
              </w:rPr>
              <w:t>名称</w:t>
            </w:r>
          </w:p>
        </w:tc>
        <w:tc>
          <w:tcPr>
            <w:tcW w:w="988" w:type="dxa"/>
            <w:tcBorders>
              <w:top w:val="single" w:color="000000" w:sz="10" w:space="0"/>
            </w:tcBorders>
            <w:vAlign w:val="top"/>
          </w:tcPr>
          <w:p w14:paraId="7BB87080">
            <w:pPr>
              <w:spacing w:before="55" w:line="232" w:lineRule="auto"/>
              <w:ind w:left="190"/>
              <w:rPr>
                <w:rFonts w:ascii="仿宋" w:hAnsi="仿宋" w:eastAsia="仿宋" w:cs="仿宋"/>
                <w:sz w:val="20"/>
                <w:szCs w:val="20"/>
              </w:rPr>
            </w:pPr>
            <w:r>
              <w:rPr>
                <w:rFonts w:ascii="仿宋" w:hAnsi="仿宋" w:eastAsia="仿宋" w:cs="仿宋"/>
                <w:spacing w:val="5"/>
                <w:sz w:val="20"/>
                <w:szCs w:val="20"/>
              </w:rPr>
              <w:t>距道路</w:t>
            </w:r>
          </w:p>
          <w:p w14:paraId="26251E4C">
            <w:pPr>
              <w:spacing w:before="60" w:line="261" w:lineRule="auto"/>
              <w:ind w:left="295" w:right="177" w:hanging="78"/>
              <w:rPr>
                <w:rFonts w:ascii="仿宋" w:hAnsi="仿宋" w:eastAsia="仿宋" w:cs="仿宋"/>
                <w:sz w:val="20"/>
                <w:szCs w:val="20"/>
              </w:rPr>
            </w:pPr>
            <w:r>
              <w:rPr>
                <w:rFonts w:ascii="仿宋" w:hAnsi="仿宋" w:eastAsia="仿宋" w:cs="仿宋"/>
                <w:spacing w:val="-4"/>
                <w:sz w:val="20"/>
                <w:szCs w:val="20"/>
              </w:rPr>
              <w:t>中心线</w:t>
            </w:r>
            <w:r>
              <w:rPr>
                <w:rFonts w:ascii="仿宋" w:hAnsi="仿宋" w:eastAsia="仿宋" w:cs="仿宋"/>
                <w:spacing w:val="2"/>
                <w:sz w:val="20"/>
                <w:szCs w:val="20"/>
              </w:rPr>
              <w:t>距离</w:t>
            </w:r>
          </w:p>
        </w:tc>
        <w:tc>
          <w:tcPr>
            <w:tcW w:w="1100" w:type="dxa"/>
            <w:tcBorders>
              <w:top w:val="single" w:color="000000" w:sz="10" w:space="0"/>
            </w:tcBorders>
            <w:vAlign w:val="top"/>
          </w:tcPr>
          <w:p w14:paraId="623887A9">
            <w:pPr>
              <w:spacing w:line="301" w:lineRule="auto"/>
              <w:rPr>
                <w:rFonts w:ascii="Arial"/>
                <w:sz w:val="21"/>
              </w:rPr>
            </w:pPr>
          </w:p>
          <w:p w14:paraId="7215FC66">
            <w:pPr>
              <w:spacing w:before="65" w:line="230" w:lineRule="auto"/>
              <w:ind w:left="140"/>
              <w:rPr>
                <w:rFonts w:ascii="仿宋" w:hAnsi="仿宋" w:eastAsia="仿宋" w:cs="仿宋"/>
                <w:sz w:val="20"/>
                <w:szCs w:val="20"/>
              </w:rPr>
            </w:pPr>
            <w:r>
              <w:rPr>
                <w:rFonts w:ascii="仿宋" w:hAnsi="仿宋" w:eastAsia="仿宋" w:cs="仿宋"/>
                <w:spacing w:val="6"/>
                <w:sz w:val="20"/>
                <w:szCs w:val="20"/>
              </w:rPr>
              <w:t>施工阶段</w:t>
            </w:r>
          </w:p>
        </w:tc>
        <w:tc>
          <w:tcPr>
            <w:tcW w:w="1062" w:type="dxa"/>
            <w:tcBorders>
              <w:top w:val="single" w:color="000000" w:sz="10" w:space="0"/>
            </w:tcBorders>
            <w:vAlign w:val="top"/>
          </w:tcPr>
          <w:p w14:paraId="06E6269C">
            <w:pPr>
              <w:spacing w:line="301" w:lineRule="auto"/>
              <w:rPr>
                <w:rFonts w:ascii="Arial"/>
                <w:sz w:val="21"/>
              </w:rPr>
            </w:pPr>
          </w:p>
          <w:p w14:paraId="3E537C9B">
            <w:pPr>
              <w:spacing w:before="65" w:line="231" w:lineRule="auto"/>
              <w:ind w:left="120"/>
              <w:rPr>
                <w:rFonts w:ascii="仿宋" w:hAnsi="仿宋" w:eastAsia="仿宋" w:cs="仿宋"/>
                <w:sz w:val="20"/>
                <w:szCs w:val="20"/>
              </w:rPr>
            </w:pPr>
            <w:r>
              <w:rPr>
                <w:rFonts w:ascii="仿宋" w:hAnsi="仿宋" w:eastAsia="仿宋" w:cs="仿宋"/>
                <w:spacing w:val="6"/>
                <w:sz w:val="20"/>
                <w:szCs w:val="20"/>
              </w:rPr>
              <w:t>标准限值</w:t>
            </w:r>
          </w:p>
        </w:tc>
        <w:tc>
          <w:tcPr>
            <w:tcW w:w="900" w:type="dxa"/>
            <w:tcBorders>
              <w:top w:val="single" w:color="000000" w:sz="10" w:space="0"/>
            </w:tcBorders>
            <w:vAlign w:val="top"/>
          </w:tcPr>
          <w:p w14:paraId="7D63B14B">
            <w:pPr>
              <w:spacing w:line="301" w:lineRule="auto"/>
              <w:rPr>
                <w:rFonts w:ascii="Arial"/>
                <w:sz w:val="21"/>
              </w:rPr>
            </w:pPr>
          </w:p>
          <w:p w14:paraId="2BBADBFF">
            <w:pPr>
              <w:spacing w:before="65" w:line="232" w:lineRule="auto"/>
              <w:ind w:left="145"/>
              <w:rPr>
                <w:rFonts w:ascii="仿宋" w:hAnsi="仿宋" w:eastAsia="仿宋" w:cs="仿宋"/>
                <w:sz w:val="20"/>
                <w:szCs w:val="20"/>
              </w:rPr>
            </w:pPr>
            <w:r>
              <w:rPr>
                <w:rFonts w:ascii="仿宋" w:hAnsi="仿宋" w:eastAsia="仿宋" w:cs="仿宋"/>
                <w:spacing w:val="5"/>
                <w:sz w:val="20"/>
                <w:szCs w:val="20"/>
              </w:rPr>
              <w:t>现状值</w:t>
            </w:r>
          </w:p>
        </w:tc>
        <w:tc>
          <w:tcPr>
            <w:tcW w:w="875" w:type="dxa"/>
            <w:tcBorders>
              <w:top w:val="single" w:color="000000" w:sz="10" w:space="0"/>
            </w:tcBorders>
            <w:vAlign w:val="top"/>
          </w:tcPr>
          <w:p w14:paraId="4691F6A9">
            <w:pPr>
              <w:spacing w:line="301" w:lineRule="auto"/>
              <w:rPr>
                <w:rFonts w:ascii="Arial"/>
                <w:sz w:val="21"/>
              </w:rPr>
            </w:pPr>
          </w:p>
          <w:p w14:paraId="66C1AFEB">
            <w:pPr>
              <w:spacing w:before="65" w:line="232" w:lineRule="auto"/>
              <w:ind w:left="139"/>
              <w:rPr>
                <w:rFonts w:ascii="仿宋" w:hAnsi="仿宋" w:eastAsia="仿宋" w:cs="仿宋"/>
                <w:sz w:val="20"/>
                <w:szCs w:val="20"/>
              </w:rPr>
            </w:pPr>
            <w:r>
              <w:rPr>
                <w:rFonts w:ascii="仿宋" w:hAnsi="仿宋" w:eastAsia="仿宋" w:cs="仿宋"/>
                <w:spacing w:val="3"/>
                <w:sz w:val="20"/>
                <w:szCs w:val="20"/>
              </w:rPr>
              <w:t>贡献值</w:t>
            </w:r>
          </w:p>
        </w:tc>
        <w:tc>
          <w:tcPr>
            <w:tcW w:w="862" w:type="dxa"/>
            <w:tcBorders>
              <w:top w:val="single" w:color="000000" w:sz="10" w:space="0"/>
            </w:tcBorders>
            <w:vAlign w:val="top"/>
          </w:tcPr>
          <w:p w14:paraId="535A81E4">
            <w:pPr>
              <w:spacing w:line="301" w:lineRule="auto"/>
              <w:rPr>
                <w:rFonts w:ascii="Arial"/>
                <w:sz w:val="21"/>
              </w:rPr>
            </w:pPr>
          </w:p>
          <w:p w14:paraId="0B45006F">
            <w:pPr>
              <w:spacing w:before="65" w:line="232" w:lineRule="auto"/>
              <w:ind w:left="129"/>
              <w:rPr>
                <w:rFonts w:ascii="仿宋" w:hAnsi="仿宋" w:eastAsia="仿宋" w:cs="仿宋"/>
                <w:sz w:val="20"/>
                <w:szCs w:val="20"/>
              </w:rPr>
            </w:pPr>
            <w:r>
              <w:rPr>
                <w:rFonts w:ascii="仿宋" w:hAnsi="仿宋" w:eastAsia="仿宋" w:cs="仿宋"/>
                <w:spacing w:val="4"/>
                <w:sz w:val="20"/>
                <w:szCs w:val="20"/>
              </w:rPr>
              <w:t>预测值</w:t>
            </w:r>
          </w:p>
        </w:tc>
        <w:tc>
          <w:tcPr>
            <w:tcW w:w="962" w:type="dxa"/>
            <w:tcBorders>
              <w:top w:val="single" w:color="000000" w:sz="10" w:space="0"/>
              <w:right w:val="nil"/>
            </w:tcBorders>
            <w:vAlign w:val="top"/>
          </w:tcPr>
          <w:p w14:paraId="366077D6">
            <w:pPr>
              <w:spacing w:line="301" w:lineRule="auto"/>
              <w:rPr>
                <w:rFonts w:ascii="Arial"/>
                <w:sz w:val="21"/>
              </w:rPr>
            </w:pPr>
          </w:p>
          <w:p w14:paraId="09FCBFF2">
            <w:pPr>
              <w:spacing w:before="65" w:line="231" w:lineRule="auto"/>
              <w:ind w:left="178"/>
              <w:rPr>
                <w:rFonts w:ascii="仿宋" w:hAnsi="仿宋" w:eastAsia="仿宋" w:cs="仿宋"/>
                <w:sz w:val="20"/>
                <w:szCs w:val="20"/>
              </w:rPr>
            </w:pPr>
            <w:r>
              <w:rPr>
                <w:rFonts w:ascii="仿宋" w:hAnsi="仿宋" w:eastAsia="仿宋" w:cs="仿宋"/>
                <w:spacing w:val="4"/>
                <w:sz w:val="20"/>
                <w:szCs w:val="20"/>
              </w:rPr>
              <w:t>超标量</w:t>
            </w:r>
          </w:p>
        </w:tc>
      </w:tr>
      <w:tr w14:paraId="5F9912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5" w:type="dxa"/>
            <w:vMerge w:val="restart"/>
            <w:tcBorders>
              <w:left w:val="nil"/>
              <w:bottom w:val="nil"/>
            </w:tcBorders>
            <w:vAlign w:val="top"/>
          </w:tcPr>
          <w:p w14:paraId="409CA7EA">
            <w:pPr>
              <w:pStyle w:val="6"/>
              <w:spacing w:before="253" w:line="195" w:lineRule="auto"/>
              <w:ind w:left="288"/>
              <w:rPr>
                <w:sz w:val="20"/>
                <w:szCs w:val="20"/>
              </w:rPr>
            </w:pPr>
            <w:r>
              <w:rPr>
                <w:sz w:val="20"/>
                <w:szCs w:val="20"/>
              </w:rPr>
              <w:t>1</w:t>
            </w:r>
          </w:p>
        </w:tc>
        <w:tc>
          <w:tcPr>
            <w:tcW w:w="1132" w:type="dxa"/>
            <w:vMerge w:val="restart"/>
            <w:tcBorders>
              <w:bottom w:val="nil"/>
            </w:tcBorders>
            <w:vAlign w:val="top"/>
          </w:tcPr>
          <w:p w14:paraId="59BE5528">
            <w:pPr>
              <w:pStyle w:val="6"/>
              <w:spacing w:before="59" w:line="262" w:lineRule="auto"/>
              <w:ind w:left="472" w:right="110" w:hanging="350"/>
              <w:rPr>
                <w:rFonts w:ascii="仿宋" w:hAnsi="仿宋" w:eastAsia="仿宋" w:cs="仿宋"/>
                <w:sz w:val="20"/>
                <w:szCs w:val="20"/>
              </w:rPr>
            </w:pPr>
            <w:r>
              <w:rPr>
                <w:rFonts w:ascii="仿宋" w:hAnsi="仿宋" w:eastAsia="仿宋" w:cs="仿宋"/>
                <w:spacing w:val="5"/>
                <w:sz w:val="20"/>
                <w:szCs w:val="20"/>
              </w:rPr>
              <w:t>庙圪旦</w:t>
            </w:r>
            <w:r>
              <w:rPr>
                <w:spacing w:val="5"/>
                <w:sz w:val="20"/>
                <w:szCs w:val="20"/>
              </w:rPr>
              <w:t>-</w:t>
            </w:r>
            <w:r>
              <w:rPr>
                <w:rFonts w:ascii="仿宋" w:hAnsi="仿宋" w:eastAsia="仿宋" w:cs="仿宋"/>
                <w:spacing w:val="5"/>
                <w:sz w:val="20"/>
                <w:szCs w:val="20"/>
              </w:rPr>
              <w:t>散</w:t>
            </w:r>
            <w:r>
              <w:rPr>
                <w:rFonts w:ascii="仿宋" w:hAnsi="仿宋" w:eastAsia="仿宋" w:cs="仿宋"/>
                <w:sz w:val="20"/>
                <w:szCs w:val="20"/>
              </w:rPr>
              <w:t>户</w:t>
            </w:r>
          </w:p>
        </w:tc>
        <w:tc>
          <w:tcPr>
            <w:tcW w:w="988" w:type="dxa"/>
            <w:vMerge w:val="restart"/>
            <w:tcBorders>
              <w:bottom w:val="nil"/>
            </w:tcBorders>
            <w:vAlign w:val="top"/>
          </w:tcPr>
          <w:p w14:paraId="7F60D2C3">
            <w:pPr>
              <w:pStyle w:val="6"/>
              <w:spacing w:before="252" w:line="195" w:lineRule="auto"/>
              <w:ind w:left="312"/>
              <w:rPr>
                <w:sz w:val="20"/>
                <w:szCs w:val="20"/>
              </w:rPr>
            </w:pPr>
            <w:r>
              <w:rPr>
                <w:spacing w:val="3"/>
                <w:sz w:val="20"/>
                <w:szCs w:val="20"/>
              </w:rPr>
              <w:t>31m</w:t>
            </w:r>
          </w:p>
        </w:tc>
        <w:tc>
          <w:tcPr>
            <w:tcW w:w="1100" w:type="dxa"/>
            <w:vAlign w:val="top"/>
          </w:tcPr>
          <w:p w14:paraId="70A5C1FD">
            <w:pPr>
              <w:spacing w:before="53" w:line="232" w:lineRule="auto"/>
              <w:ind w:left="139"/>
              <w:rPr>
                <w:rFonts w:ascii="仿宋" w:hAnsi="仿宋" w:eastAsia="仿宋" w:cs="仿宋"/>
                <w:sz w:val="20"/>
                <w:szCs w:val="20"/>
              </w:rPr>
            </w:pPr>
            <w:r>
              <w:rPr>
                <w:rFonts w:ascii="仿宋" w:hAnsi="仿宋" w:eastAsia="仿宋" w:cs="仿宋"/>
                <w:spacing w:val="6"/>
                <w:sz w:val="20"/>
                <w:szCs w:val="20"/>
              </w:rPr>
              <w:t>路基施工</w:t>
            </w:r>
          </w:p>
        </w:tc>
        <w:tc>
          <w:tcPr>
            <w:tcW w:w="1062" w:type="dxa"/>
            <w:vAlign w:val="top"/>
          </w:tcPr>
          <w:p w14:paraId="791563D3">
            <w:pPr>
              <w:pStyle w:val="6"/>
              <w:spacing w:before="92" w:line="195" w:lineRule="auto"/>
              <w:ind w:left="431"/>
              <w:rPr>
                <w:sz w:val="20"/>
                <w:szCs w:val="20"/>
              </w:rPr>
            </w:pPr>
            <w:r>
              <w:rPr>
                <w:spacing w:val="1"/>
                <w:sz w:val="20"/>
                <w:szCs w:val="20"/>
              </w:rPr>
              <w:t>70</w:t>
            </w:r>
          </w:p>
        </w:tc>
        <w:tc>
          <w:tcPr>
            <w:tcW w:w="900" w:type="dxa"/>
            <w:vMerge w:val="restart"/>
            <w:tcBorders>
              <w:bottom w:val="nil"/>
            </w:tcBorders>
            <w:vAlign w:val="top"/>
          </w:tcPr>
          <w:p w14:paraId="09A8B5F2">
            <w:pPr>
              <w:pStyle w:val="6"/>
              <w:spacing w:before="252" w:line="195" w:lineRule="auto"/>
              <w:ind w:left="274"/>
              <w:rPr>
                <w:sz w:val="20"/>
                <w:szCs w:val="20"/>
              </w:rPr>
            </w:pPr>
            <w:r>
              <w:rPr>
                <w:spacing w:val="1"/>
                <w:sz w:val="20"/>
                <w:szCs w:val="20"/>
              </w:rPr>
              <w:t>50.5</w:t>
            </w:r>
          </w:p>
        </w:tc>
        <w:tc>
          <w:tcPr>
            <w:tcW w:w="875" w:type="dxa"/>
            <w:vAlign w:val="top"/>
          </w:tcPr>
          <w:p w14:paraId="16E449FF">
            <w:pPr>
              <w:pStyle w:val="6"/>
              <w:spacing w:before="92" w:line="195" w:lineRule="auto"/>
              <w:ind w:left="257"/>
              <w:rPr>
                <w:sz w:val="20"/>
                <w:szCs w:val="20"/>
              </w:rPr>
            </w:pPr>
            <w:r>
              <w:rPr>
                <w:spacing w:val="2"/>
                <w:sz w:val="20"/>
                <w:szCs w:val="20"/>
              </w:rPr>
              <w:t>78.2</w:t>
            </w:r>
          </w:p>
        </w:tc>
        <w:tc>
          <w:tcPr>
            <w:tcW w:w="862" w:type="dxa"/>
            <w:vAlign w:val="top"/>
          </w:tcPr>
          <w:p w14:paraId="11AB413E">
            <w:pPr>
              <w:pStyle w:val="6"/>
              <w:spacing w:before="92" w:line="195" w:lineRule="auto"/>
              <w:ind w:left="251"/>
              <w:rPr>
                <w:sz w:val="20"/>
                <w:szCs w:val="20"/>
              </w:rPr>
            </w:pPr>
            <w:r>
              <w:rPr>
                <w:spacing w:val="2"/>
                <w:sz w:val="20"/>
                <w:szCs w:val="20"/>
              </w:rPr>
              <w:t>78.2</w:t>
            </w:r>
          </w:p>
        </w:tc>
        <w:tc>
          <w:tcPr>
            <w:tcW w:w="962" w:type="dxa"/>
            <w:tcBorders>
              <w:right w:val="nil"/>
            </w:tcBorders>
            <w:vAlign w:val="top"/>
          </w:tcPr>
          <w:p w14:paraId="2B329D9B">
            <w:pPr>
              <w:pStyle w:val="6"/>
              <w:spacing w:before="92" w:line="195" w:lineRule="auto"/>
              <w:ind w:left="359"/>
              <w:rPr>
                <w:sz w:val="20"/>
                <w:szCs w:val="20"/>
              </w:rPr>
            </w:pPr>
            <w:r>
              <w:rPr>
                <w:sz w:val="20"/>
                <w:szCs w:val="20"/>
              </w:rPr>
              <w:t>8.2</w:t>
            </w:r>
          </w:p>
        </w:tc>
      </w:tr>
      <w:tr w14:paraId="0B4F95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5" w:type="dxa"/>
            <w:vMerge w:val="continue"/>
            <w:tcBorders>
              <w:top w:val="nil"/>
              <w:left w:val="nil"/>
            </w:tcBorders>
            <w:vAlign w:val="top"/>
          </w:tcPr>
          <w:p w14:paraId="1A2AE0A2">
            <w:pPr>
              <w:rPr>
                <w:rFonts w:ascii="Arial"/>
                <w:sz w:val="21"/>
              </w:rPr>
            </w:pPr>
          </w:p>
        </w:tc>
        <w:tc>
          <w:tcPr>
            <w:tcW w:w="1132" w:type="dxa"/>
            <w:vMerge w:val="continue"/>
            <w:tcBorders>
              <w:top w:val="nil"/>
            </w:tcBorders>
            <w:vAlign w:val="top"/>
          </w:tcPr>
          <w:p w14:paraId="1052A706">
            <w:pPr>
              <w:rPr>
                <w:rFonts w:ascii="Arial"/>
                <w:sz w:val="21"/>
              </w:rPr>
            </w:pPr>
          </w:p>
        </w:tc>
        <w:tc>
          <w:tcPr>
            <w:tcW w:w="988" w:type="dxa"/>
            <w:vMerge w:val="continue"/>
            <w:tcBorders>
              <w:top w:val="nil"/>
            </w:tcBorders>
            <w:vAlign w:val="top"/>
          </w:tcPr>
          <w:p w14:paraId="1876D499">
            <w:pPr>
              <w:rPr>
                <w:rFonts w:ascii="Arial"/>
                <w:sz w:val="21"/>
              </w:rPr>
            </w:pPr>
          </w:p>
        </w:tc>
        <w:tc>
          <w:tcPr>
            <w:tcW w:w="1100" w:type="dxa"/>
            <w:vAlign w:val="top"/>
          </w:tcPr>
          <w:p w14:paraId="02C1BC23">
            <w:pPr>
              <w:spacing w:before="53" w:line="232" w:lineRule="auto"/>
              <w:ind w:left="139"/>
              <w:rPr>
                <w:rFonts w:ascii="仿宋" w:hAnsi="仿宋" w:eastAsia="仿宋" w:cs="仿宋"/>
                <w:sz w:val="20"/>
                <w:szCs w:val="20"/>
              </w:rPr>
            </w:pPr>
            <w:r>
              <w:rPr>
                <w:rFonts w:ascii="仿宋" w:hAnsi="仿宋" w:eastAsia="仿宋" w:cs="仿宋"/>
                <w:spacing w:val="6"/>
                <w:sz w:val="20"/>
                <w:szCs w:val="20"/>
              </w:rPr>
              <w:t>路面施工</w:t>
            </w:r>
          </w:p>
        </w:tc>
        <w:tc>
          <w:tcPr>
            <w:tcW w:w="1062" w:type="dxa"/>
            <w:vAlign w:val="top"/>
          </w:tcPr>
          <w:p w14:paraId="6E7D916D">
            <w:pPr>
              <w:pStyle w:val="6"/>
              <w:spacing w:before="92" w:line="195" w:lineRule="auto"/>
              <w:ind w:left="431"/>
              <w:rPr>
                <w:sz w:val="20"/>
                <w:szCs w:val="20"/>
              </w:rPr>
            </w:pPr>
            <w:r>
              <w:rPr>
                <w:spacing w:val="1"/>
                <w:sz w:val="20"/>
                <w:szCs w:val="20"/>
              </w:rPr>
              <w:t>70</w:t>
            </w:r>
          </w:p>
        </w:tc>
        <w:tc>
          <w:tcPr>
            <w:tcW w:w="900" w:type="dxa"/>
            <w:vMerge w:val="continue"/>
            <w:tcBorders>
              <w:top w:val="nil"/>
            </w:tcBorders>
            <w:vAlign w:val="top"/>
          </w:tcPr>
          <w:p w14:paraId="63F73A91">
            <w:pPr>
              <w:rPr>
                <w:rFonts w:ascii="Arial"/>
                <w:sz w:val="21"/>
              </w:rPr>
            </w:pPr>
          </w:p>
        </w:tc>
        <w:tc>
          <w:tcPr>
            <w:tcW w:w="875" w:type="dxa"/>
            <w:vAlign w:val="top"/>
          </w:tcPr>
          <w:p w14:paraId="1219D219">
            <w:pPr>
              <w:pStyle w:val="6"/>
              <w:spacing w:before="92" w:line="195" w:lineRule="auto"/>
              <w:ind w:left="257"/>
              <w:rPr>
                <w:sz w:val="20"/>
                <w:szCs w:val="20"/>
              </w:rPr>
            </w:pPr>
            <w:r>
              <w:rPr>
                <w:spacing w:val="2"/>
                <w:sz w:val="20"/>
                <w:szCs w:val="20"/>
              </w:rPr>
              <w:t>79.2</w:t>
            </w:r>
          </w:p>
        </w:tc>
        <w:tc>
          <w:tcPr>
            <w:tcW w:w="862" w:type="dxa"/>
            <w:vAlign w:val="top"/>
          </w:tcPr>
          <w:p w14:paraId="0538BED0">
            <w:pPr>
              <w:pStyle w:val="6"/>
              <w:spacing w:before="92" w:line="195" w:lineRule="auto"/>
              <w:ind w:left="251"/>
              <w:rPr>
                <w:sz w:val="20"/>
                <w:szCs w:val="20"/>
              </w:rPr>
            </w:pPr>
            <w:r>
              <w:rPr>
                <w:spacing w:val="2"/>
                <w:sz w:val="20"/>
                <w:szCs w:val="20"/>
              </w:rPr>
              <w:t>79.2</w:t>
            </w:r>
          </w:p>
        </w:tc>
        <w:tc>
          <w:tcPr>
            <w:tcW w:w="962" w:type="dxa"/>
            <w:tcBorders>
              <w:right w:val="nil"/>
            </w:tcBorders>
            <w:vAlign w:val="top"/>
          </w:tcPr>
          <w:p w14:paraId="1E67E40C">
            <w:pPr>
              <w:pStyle w:val="6"/>
              <w:spacing w:before="92" w:line="195" w:lineRule="auto"/>
              <w:ind w:left="355"/>
              <w:rPr>
                <w:sz w:val="20"/>
                <w:szCs w:val="20"/>
              </w:rPr>
            </w:pPr>
            <w:r>
              <w:rPr>
                <w:spacing w:val="1"/>
                <w:sz w:val="20"/>
                <w:szCs w:val="20"/>
              </w:rPr>
              <w:t>9.2</w:t>
            </w:r>
          </w:p>
        </w:tc>
      </w:tr>
      <w:tr w14:paraId="397BD8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635" w:type="dxa"/>
            <w:vMerge w:val="restart"/>
            <w:tcBorders>
              <w:left w:val="nil"/>
              <w:bottom w:val="nil"/>
            </w:tcBorders>
            <w:vAlign w:val="top"/>
          </w:tcPr>
          <w:p w14:paraId="44BFB7B0">
            <w:pPr>
              <w:pStyle w:val="6"/>
              <w:spacing w:before="261" w:line="195" w:lineRule="auto"/>
              <w:ind w:left="268"/>
              <w:rPr>
                <w:sz w:val="20"/>
                <w:szCs w:val="20"/>
              </w:rPr>
            </w:pPr>
            <w:r>
              <w:rPr>
                <w:sz w:val="20"/>
                <w:szCs w:val="20"/>
              </w:rPr>
              <w:t>2</w:t>
            </w:r>
          </w:p>
        </w:tc>
        <w:tc>
          <w:tcPr>
            <w:tcW w:w="1132" w:type="dxa"/>
            <w:vMerge w:val="restart"/>
            <w:tcBorders>
              <w:bottom w:val="nil"/>
            </w:tcBorders>
            <w:vAlign w:val="top"/>
          </w:tcPr>
          <w:p w14:paraId="29E009B1">
            <w:pPr>
              <w:pStyle w:val="6"/>
              <w:spacing w:before="69" w:line="265" w:lineRule="auto"/>
              <w:ind w:left="472" w:right="110" w:hanging="347"/>
              <w:rPr>
                <w:rFonts w:ascii="仿宋" w:hAnsi="仿宋" w:eastAsia="仿宋" w:cs="仿宋"/>
                <w:sz w:val="20"/>
                <w:szCs w:val="20"/>
              </w:rPr>
            </w:pPr>
            <w:r>
              <w:rPr>
                <w:rFonts w:ascii="仿宋" w:hAnsi="仿宋" w:eastAsia="仿宋" w:cs="仿宋"/>
                <w:spacing w:val="4"/>
                <w:sz w:val="20"/>
                <w:szCs w:val="20"/>
              </w:rPr>
              <w:t>崔家峁</w:t>
            </w:r>
            <w:r>
              <w:rPr>
                <w:spacing w:val="4"/>
                <w:sz w:val="20"/>
                <w:szCs w:val="20"/>
              </w:rPr>
              <w:t>-</w:t>
            </w:r>
            <w:r>
              <w:rPr>
                <w:rFonts w:ascii="仿宋" w:hAnsi="仿宋" w:eastAsia="仿宋" w:cs="仿宋"/>
                <w:spacing w:val="4"/>
                <w:sz w:val="20"/>
                <w:szCs w:val="20"/>
              </w:rPr>
              <w:t>散</w:t>
            </w:r>
            <w:r>
              <w:rPr>
                <w:rFonts w:ascii="仿宋" w:hAnsi="仿宋" w:eastAsia="仿宋" w:cs="仿宋"/>
                <w:sz w:val="20"/>
                <w:szCs w:val="20"/>
              </w:rPr>
              <w:t>户</w:t>
            </w:r>
          </w:p>
        </w:tc>
        <w:tc>
          <w:tcPr>
            <w:tcW w:w="988" w:type="dxa"/>
            <w:vMerge w:val="restart"/>
            <w:tcBorders>
              <w:bottom w:val="nil"/>
            </w:tcBorders>
            <w:vAlign w:val="top"/>
          </w:tcPr>
          <w:p w14:paraId="2753086C">
            <w:pPr>
              <w:pStyle w:val="6"/>
              <w:spacing w:before="261" w:line="195" w:lineRule="auto"/>
              <w:ind w:left="328"/>
              <w:rPr>
                <w:sz w:val="20"/>
                <w:szCs w:val="20"/>
              </w:rPr>
            </w:pPr>
            <w:r>
              <w:rPr>
                <w:spacing w:val="-3"/>
                <w:sz w:val="20"/>
                <w:szCs w:val="20"/>
              </w:rPr>
              <w:t>13m</w:t>
            </w:r>
          </w:p>
        </w:tc>
        <w:tc>
          <w:tcPr>
            <w:tcW w:w="1100" w:type="dxa"/>
            <w:vAlign w:val="top"/>
          </w:tcPr>
          <w:p w14:paraId="5915F104">
            <w:pPr>
              <w:spacing w:before="64" w:line="232" w:lineRule="auto"/>
              <w:ind w:left="139"/>
              <w:rPr>
                <w:rFonts w:ascii="仿宋" w:hAnsi="仿宋" w:eastAsia="仿宋" w:cs="仿宋"/>
                <w:sz w:val="20"/>
                <w:szCs w:val="20"/>
              </w:rPr>
            </w:pPr>
            <w:r>
              <w:rPr>
                <w:rFonts w:ascii="仿宋" w:hAnsi="仿宋" w:eastAsia="仿宋" w:cs="仿宋"/>
                <w:spacing w:val="6"/>
                <w:sz w:val="20"/>
                <w:szCs w:val="20"/>
              </w:rPr>
              <w:t>路基施工</w:t>
            </w:r>
          </w:p>
        </w:tc>
        <w:tc>
          <w:tcPr>
            <w:tcW w:w="1062" w:type="dxa"/>
            <w:vAlign w:val="top"/>
          </w:tcPr>
          <w:p w14:paraId="1D4A63A0">
            <w:pPr>
              <w:pStyle w:val="6"/>
              <w:spacing w:before="100" w:line="195" w:lineRule="auto"/>
              <w:ind w:left="431"/>
              <w:rPr>
                <w:sz w:val="20"/>
                <w:szCs w:val="20"/>
              </w:rPr>
            </w:pPr>
            <w:r>
              <w:rPr>
                <w:spacing w:val="1"/>
                <w:sz w:val="20"/>
                <w:szCs w:val="20"/>
              </w:rPr>
              <w:t>70</w:t>
            </w:r>
          </w:p>
        </w:tc>
        <w:tc>
          <w:tcPr>
            <w:tcW w:w="900" w:type="dxa"/>
            <w:vMerge w:val="restart"/>
            <w:tcBorders>
              <w:bottom w:val="nil"/>
            </w:tcBorders>
            <w:vAlign w:val="top"/>
          </w:tcPr>
          <w:p w14:paraId="67A3672E">
            <w:pPr>
              <w:pStyle w:val="6"/>
              <w:spacing w:before="261" w:line="195" w:lineRule="auto"/>
              <w:ind w:left="351"/>
              <w:rPr>
                <w:sz w:val="20"/>
                <w:szCs w:val="20"/>
              </w:rPr>
            </w:pPr>
            <w:r>
              <w:rPr>
                <w:sz w:val="20"/>
                <w:szCs w:val="20"/>
              </w:rPr>
              <w:t>53</w:t>
            </w:r>
          </w:p>
        </w:tc>
        <w:tc>
          <w:tcPr>
            <w:tcW w:w="875" w:type="dxa"/>
            <w:vAlign w:val="top"/>
          </w:tcPr>
          <w:p w14:paraId="5436020E">
            <w:pPr>
              <w:pStyle w:val="6"/>
              <w:spacing w:before="100" w:line="195" w:lineRule="auto"/>
              <w:ind w:left="262"/>
              <w:rPr>
                <w:sz w:val="20"/>
                <w:szCs w:val="20"/>
              </w:rPr>
            </w:pPr>
            <w:r>
              <w:rPr>
                <w:spacing w:val="1"/>
                <w:sz w:val="20"/>
                <w:szCs w:val="20"/>
              </w:rPr>
              <w:t>85.7</w:t>
            </w:r>
          </w:p>
        </w:tc>
        <w:tc>
          <w:tcPr>
            <w:tcW w:w="862" w:type="dxa"/>
            <w:vAlign w:val="top"/>
          </w:tcPr>
          <w:p w14:paraId="68FB32F6">
            <w:pPr>
              <w:pStyle w:val="6"/>
              <w:spacing w:before="100" w:line="195" w:lineRule="auto"/>
              <w:ind w:left="256"/>
              <w:rPr>
                <w:sz w:val="20"/>
                <w:szCs w:val="20"/>
              </w:rPr>
            </w:pPr>
            <w:r>
              <w:rPr>
                <w:spacing w:val="1"/>
                <w:sz w:val="20"/>
                <w:szCs w:val="20"/>
              </w:rPr>
              <w:t>85.7</w:t>
            </w:r>
          </w:p>
        </w:tc>
        <w:tc>
          <w:tcPr>
            <w:tcW w:w="962" w:type="dxa"/>
            <w:tcBorders>
              <w:right w:val="nil"/>
            </w:tcBorders>
            <w:vAlign w:val="top"/>
          </w:tcPr>
          <w:p w14:paraId="1D7BBF3A">
            <w:pPr>
              <w:pStyle w:val="6"/>
              <w:spacing w:before="100" w:line="195" w:lineRule="auto"/>
              <w:ind w:left="320"/>
              <w:rPr>
                <w:sz w:val="20"/>
                <w:szCs w:val="20"/>
              </w:rPr>
            </w:pPr>
            <w:r>
              <w:rPr>
                <w:spacing w:val="-2"/>
                <w:sz w:val="20"/>
                <w:szCs w:val="20"/>
              </w:rPr>
              <w:t>15.7</w:t>
            </w:r>
          </w:p>
        </w:tc>
      </w:tr>
      <w:tr w14:paraId="7D135C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5" w:type="dxa"/>
            <w:vMerge w:val="continue"/>
            <w:tcBorders>
              <w:top w:val="nil"/>
              <w:left w:val="nil"/>
            </w:tcBorders>
            <w:vAlign w:val="top"/>
          </w:tcPr>
          <w:p w14:paraId="2B4A71DB">
            <w:pPr>
              <w:rPr>
                <w:rFonts w:ascii="Arial"/>
                <w:sz w:val="21"/>
              </w:rPr>
            </w:pPr>
          </w:p>
        </w:tc>
        <w:tc>
          <w:tcPr>
            <w:tcW w:w="1132" w:type="dxa"/>
            <w:vMerge w:val="continue"/>
            <w:tcBorders>
              <w:top w:val="nil"/>
            </w:tcBorders>
            <w:vAlign w:val="top"/>
          </w:tcPr>
          <w:p w14:paraId="16AF24C5">
            <w:pPr>
              <w:rPr>
                <w:rFonts w:ascii="Arial"/>
                <w:sz w:val="21"/>
              </w:rPr>
            </w:pPr>
          </w:p>
        </w:tc>
        <w:tc>
          <w:tcPr>
            <w:tcW w:w="988" w:type="dxa"/>
            <w:vMerge w:val="continue"/>
            <w:tcBorders>
              <w:top w:val="nil"/>
            </w:tcBorders>
            <w:vAlign w:val="top"/>
          </w:tcPr>
          <w:p w14:paraId="02E6D2DC">
            <w:pPr>
              <w:rPr>
                <w:rFonts w:ascii="Arial"/>
                <w:sz w:val="21"/>
              </w:rPr>
            </w:pPr>
          </w:p>
        </w:tc>
        <w:tc>
          <w:tcPr>
            <w:tcW w:w="1100" w:type="dxa"/>
            <w:vAlign w:val="top"/>
          </w:tcPr>
          <w:p w14:paraId="6D2CA655">
            <w:pPr>
              <w:spacing w:before="57" w:line="229" w:lineRule="auto"/>
              <w:ind w:left="139"/>
              <w:rPr>
                <w:rFonts w:ascii="仿宋" w:hAnsi="仿宋" w:eastAsia="仿宋" w:cs="仿宋"/>
                <w:sz w:val="20"/>
                <w:szCs w:val="20"/>
              </w:rPr>
            </w:pPr>
            <w:r>
              <w:rPr>
                <w:rFonts w:ascii="仿宋" w:hAnsi="仿宋" w:eastAsia="仿宋" w:cs="仿宋"/>
                <w:spacing w:val="6"/>
                <w:sz w:val="20"/>
                <w:szCs w:val="20"/>
              </w:rPr>
              <w:t>路面施工</w:t>
            </w:r>
          </w:p>
        </w:tc>
        <w:tc>
          <w:tcPr>
            <w:tcW w:w="1062" w:type="dxa"/>
            <w:vAlign w:val="top"/>
          </w:tcPr>
          <w:p w14:paraId="7BBE25AF">
            <w:pPr>
              <w:pStyle w:val="6"/>
              <w:spacing w:before="93" w:line="195" w:lineRule="auto"/>
              <w:ind w:left="431"/>
              <w:rPr>
                <w:sz w:val="20"/>
                <w:szCs w:val="20"/>
              </w:rPr>
            </w:pPr>
            <w:r>
              <w:rPr>
                <w:spacing w:val="1"/>
                <w:sz w:val="20"/>
                <w:szCs w:val="20"/>
              </w:rPr>
              <w:t>70</w:t>
            </w:r>
          </w:p>
        </w:tc>
        <w:tc>
          <w:tcPr>
            <w:tcW w:w="900" w:type="dxa"/>
            <w:vMerge w:val="continue"/>
            <w:tcBorders>
              <w:top w:val="nil"/>
            </w:tcBorders>
            <w:vAlign w:val="top"/>
          </w:tcPr>
          <w:p w14:paraId="39E20B53">
            <w:pPr>
              <w:rPr>
                <w:rFonts w:ascii="Arial"/>
                <w:sz w:val="21"/>
              </w:rPr>
            </w:pPr>
          </w:p>
        </w:tc>
        <w:tc>
          <w:tcPr>
            <w:tcW w:w="875" w:type="dxa"/>
            <w:vAlign w:val="top"/>
          </w:tcPr>
          <w:p w14:paraId="7329330E">
            <w:pPr>
              <w:pStyle w:val="6"/>
              <w:spacing w:before="93" w:line="195" w:lineRule="auto"/>
              <w:ind w:left="262"/>
              <w:rPr>
                <w:sz w:val="20"/>
                <w:szCs w:val="20"/>
              </w:rPr>
            </w:pPr>
            <w:r>
              <w:rPr>
                <w:spacing w:val="1"/>
                <w:sz w:val="20"/>
                <w:szCs w:val="20"/>
              </w:rPr>
              <w:t>86.7</w:t>
            </w:r>
          </w:p>
        </w:tc>
        <w:tc>
          <w:tcPr>
            <w:tcW w:w="862" w:type="dxa"/>
            <w:vAlign w:val="top"/>
          </w:tcPr>
          <w:p w14:paraId="0461A6F7">
            <w:pPr>
              <w:pStyle w:val="6"/>
              <w:spacing w:before="93" w:line="195" w:lineRule="auto"/>
              <w:ind w:left="256"/>
              <w:rPr>
                <w:sz w:val="20"/>
                <w:szCs w:val="20"/>
              </w:rPr>
            </w:pPr>
            <w:r>
              <w:rPr>
                <w:spacing w:val="1"/>
                <w:sz w:val="20"/>
                <w:szCs w:val="20"/>
              </w:rPr>
              <w:t>86.7</w:t>
            </w:r>
          </w:p>
        </w:tc>
        <w:tc>
          <w:tcPr>
            <w:tcW w:w="962" w:type="dxa"/>
            <w:tcBorders>
              <w:right w:val="nil"/>
            </w:tcBorders>
            <w:vAlign w:val="top"/>
          </w:tcPr>
          <w:p w14:paraId="6D3CE9D6">
            <w:pPr>
              <w:pStyle w:val="6"/>
              <w:spacing w:before="93" w:line="195" w:lineRule="auto"/>
              <w:ind w:left="320"/>
              <w:rPr>
                <w:sz w:val="20"/>
                <w:szCs w:val="20"/>
              </w:rPr>
            </w:pPr>
            <w:r>
              <w:rPr>
                <w:spacing w:val="-2"/>
                <w:sz w:val="20"/>
                <w:szCs w:val="20"/>
              </w:rPr>
              <w:t>16.7</w:t>
            </w:r>
          </w:p>
        </w:tc>
      </w:tr>
      <w:tr w14:paraId="58D79A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5" w:type="dxa"/>
            <w:vMerge w:val="restart"/>
            <w:tcBorders>
              <w:left w:val="nil"/>
              <w:bottom w:val="nil"/>
            </w:tcBorders>
            <w:vAlign w:val="top"/>
          </w:tcPr>
          <w:p w14:paraId="5F60F0D4">
            <w:pPr>
              <w:pStyle w:val="6"/>
              <w:spacing w:before="254" w:line="195" w:lineRule="auto"/>
              <w:ind w:left="272"/>
              <w:rPr>
                <w:sz w:val="20"/>
                <w:szCs w:val="20"/>
              </w:rPr>
            </w:pPr>
            <w:r>
              <w:rPr>
                <w:sz w:val="20"/>
                <w:szCs w:val="20"/>
              </w:rPr>
              <w:t>3</w:t>
            </w:r>
          </w:p>
        </w:tc>
        <w:tc>
          <w:tcPr>
            <w:tcW w:w="1132" w:type="dxa"/>
            <w:vMerge w:val="restart"/>
            <w:tcBorders>
              <w:bottom w:val="nil"/>
            </w:tcBorders>
            <w:vAlign w:val="top"/>
          </w:tcPr>
          <w:p w14:paraId="20AC45F3">
            <w:pPr>
              <w:pStyle w:val="6"/>
              <w:spacing w:before="63" w:line="260" w:lineRule="auto"/>
              <w:ind w:left="472" w:right="110" w:hanging="342"/>
              <w:rPr>
                <w:rFonts w:ascii="仿宋" w:hAnsi="仿宋" w:eastAsia="仿宋" w:cs="仿宋"/>
                <w:sz w:val="20"/>
                <w:szCs w:val="20"/>
              </w:rPr>
            </w:pPr>
            <w:r>
              <w:rPr>
                <w:rFonts w:ascii="仿宋" w:hAnsi="仿宋" w:eastAsia="仿宋" w:cs="仿宋"/>
                <w:spacing w:val="3"/>
                <w:sz w:val="20"/>
                <w:szCs w:val="20"/>
              </w:rPr>
              <w:t>瓦窑平</w:t>
            </w:r>
            <w:r>
              <w:rPr>
                <w:spacing w:val="3"/>
                <w:sz w:val="20"/>
                <w:szCs w:val="20"/>
              </w:rPr>
              <w:t>-</w:t>
            </w:r>
            <w:r>
              <w:rPr>
                <w:rFonts w:ascii="仿宋" w:hAnsi="仿宋" w:eastAsia="仿宋" w:cs="仿宋"/>
                <w:spacing w:val="3"/>
                <w:sz w:val="20"/>
                <w:szCs w:val="20"/>
              </w:rPr>
              <w:t>散</w:t>
            </w:r>
            <w:r>
              <w:rPr>
                <w:rFonts w:ascii="仿宋" w:hAnsi="仿宋" w:eastAsia="仿宋" w:cs="仿宋"/>
                <w:sz w:val="20"/>
                <w:szCs w:val="20"/>
              </w:rPr>
              <w:t>户</w:t>
            </w:r>
          </w:p>
        </w:tc>
        <w:tc>
          <w:tcPr>
            <w:tcW w:w="988" w:type="dxa"/>
            <w:vMerge w:val="restart"/>
            <w:tcBorders>
              <w:bottom w:val="nil"/>
            </w:tcBorders>
            <w:vAlign w:val="top"/>
          </w:tcPr>
          <w:p w14:paraId="58F080BB">
            <w:pPr>
              <w:pStyle w:val="6"/>
              <w:spacing w:before="254" w:line="195" w:lineRule="auto"/>
              <w:ind w:left="275"/>
              <w:rPr>
                <w:sz w:val="20"/>
                <w:szCs w:val="20"/>
              </w:rPr>
            </w:pPr>
            <w:r>
              <w:rPr>
                <w:spacing w:val="-1"/>
                <w:sz w:val="20"/>
                <w:szCs w:val="20"/>
              </w:rPr>
              <w:t>104m</w:t>
            </w:r>
          </w:p>
        </w:tc>
        <w:tc>
          <w:tcPr>
            <w:tcW w:w="1100" w:type="dxa"/>
            <w:vAlign w:val="top"/>
          </w:tcPr>
          <w:p w14:paraId="39C684F7">
            <w:pPr>
              <w:spacing w:before="57" w:line="229" w:lineRule="auto"/>
              <w:ind w:left="139"/>
              <w:rPr>
                <w:rFonts w:ascii="仿宋" w:hAnsi="仿宋" w:eastAsia="仿宋" w:cs="仿宋"/>
                <w:sz w:val="20"/>
                <w:szCs w:val="20"/>
              </w:rPr>
            </w:pPr>
            <w:r>
              <w:rPr>
                <w:rFonts w:ascii="仿宋" w:hAnsi="仿宋" w:eastAsia="仿宋" w:cs="仿宋"/>
                <w:spacing w:val="6"/>
                <w:sz w:val="20"/>
                <w:szCs w:val="20"/>
              </w:rPr>
              <w:t>路基施工</w:t>
            </w:r>
          </w:p>
        </w:tc>
        <w:tc>
          <w:tcPr>
            <w:tcW w:w="1062" w:type="dxa"/>
            <w:vAlign w:val="top"/>
          </w:tcPr>
          <w:p w14:paraId="21079060">
            <w:pPr>
              <w:pStyle w:val="6"/>
              <w:spacing w:before="94" w:line="195" w:lineRule="auto"/>
              <w:ind w:left="431"/>
              <w:rPr>
                <w:sz w:val="20"/>
                <w:szCs w:val="20"/>
              </w:rPr>
            </w:pPr>
            <w:r>
              <w:rPr>
                <w:spacing w:val="1"/>
                <w:sz w:val="20"/>
                <w:szCs w:val="20"/>
              </w:rPr>
              <w:t>70</w:t>
            </w:r>
          </w:p>
        </w:tc>
        <w:tc>
          <w:tcPr>
            <w:tcW w:w="900" w:type="dxa"/>
            <w:vMerge w:val="restart"/>
            <w:tcBorders>
              <w:bottom w:val="nil"/>
            </w:tcBorders>
            <w:vAlign w:val="top"/>
          </w:tcPr>
          <w:p w14:paraId="19221D48">
            <w:pPr>
              <w:pStyle w:val="6"/>
              <w:spacing w:before="254" w:line="195" w:lineRule="auto"/>
              <w:ind w:left="351"/>
              <w:rPr>
                <w:sz w:val="20"/>
                <w:szCs w:val="20"/>
              </w:rPr>
            </w:pPr>
            <w:r>
              <w:rPr>
                <w:sz w:val="20"/>
                <w:szCs w:val="20"/>
              </w:rPr>
              <w:t>52</w:t>
            </w:r>
          </w:p>
        </w:tc>
        <w:tc>
          <w:tcPr>
            <w:tcW w:w="875" w:type="dxa"/>
            <w:vAlign w:val="top"/>
          </w:tcPr>
          <w:p w14:paraId="13E84349">
            <w:pPr>
              <w:pStyle w:val="6"/>
              <w:spacing w:before="94" w:line="195" w:lineRule="auto"/>
              <w:ind w:left="338"/>
              <w:rPr>
                <w:sz w:val="20"/>
                <w:szCs w:val="20"/>
              </w:rPr>
            </w:pPr>
            <w:r>
              <w:rPr>
                <w:sz w:val="20"/>
                <w:szCs w:val="20"/>
              </w:rPr>
              <w:t>68</w:t>
            </w:r>
          </w:p>
        </w:tc>
        <w:tc>
          <w:tcPr>
            <w:tcW w:w="862" w:type="dxa"/>
            <w:vAlign w:val="top"/>
          </w:tcPr>
          <w:p w14:paraId="19873F01">
            <w:pPr>
              <w:pStyle w:val="6"/>
              <w:spacing w:before="94" w:line="195" w:lineRule="auto"/>
              <w:ind w:left="252"/>
              <w:rPr>
                <w:sz w:val="20"/>
                <w:szCs w:val="20"/>
              </w:rPr>
            </w:pPr>
            <w:r>
              <w:rPr>
                <w:spacing w:val="2"/>
                <w:sz w:val="20"/>
                <w:szCs w:val="20"/>
              </w:rPr>
              <w:t>68.3</w:t>
            </w:r>
          </w:p>
        </w:tc>
        <w:tc>
          <w:tcPr>
            <w:tcW w:w="962" w:type="dxa"/>
            <w:tcBorders>
              <w:right w:val="nil"/>
            </w:tcBorders>
            <w:vAlign w:val="top"/>
          </w:tcPr>
          <w:p w14:paraId="38BBA92C">
            <w:pPr>
              <w:pStyle w:val="6"/>
              <w:spacing w:before="94" w:line="195" w:lineRule="auto"/>
              <w:ind w:left="321"/>
              <w:rPr>
                <w:sz w:val="20"/>
                <w:szCs w:val="20"/>
              </w:rPr>
            </w:pPr>
            <w:r>
              <w:rPr>
                <w:spacing w:val="-5"/>
                <w:sz w:val="20"/>
                <w:szCs w:val="20"/>
              </w:rPr>
              <w:t>-</w:t>
            </w:r>
            <w:r>
              <w:rPr>
                <w:spacing w:val="-24"/>
                <w:sz w:val="20"/>
                <w:szCs w:val="20"/>
              </w:rPr>
              <w:t xml:space="preserve"> </w:t>
            </w:r>
            <w:r>
              <w:rPr>
                <w:spacing w:val="-5"/>
                <w:sz w:val="20"/>
                <w:szCs w:val="20"/>
              </w:rPr>
              <w:t>1.7</w:t>
            </w:r>
          </w:p>
        </w:tc>
      </w:tr>
      <w:tr w14:paraId="0C50AD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5" w:type="dxa"/>
            <w:vMerge w:val="continue"/>
            <w:tcBorders>
              <w:top w:val="nil"/>
              <w:left w:val="nil"/>
            </w:tcBorders>
            <w:vAlign w:val="top"/>
          </w:tcPr>
          <w:p w14:paraId="47D529EF">
            <w:pPr>
              <w:rPr>
                <w:rFonts w:ascii="Arial"/>
                <w:sz w:val="21"/>
              </w:rPr>
            </w:pPr>
          </w:p>
        </w:tc>
        <w:tc>
          <w:tcPr>
            <w:tcW w:w="1132" w:type="dxa"/>
            <w:vMerge w:val="continue"/>
            <w:tcBorders>
              <w:top w:val="nil"/>
            </w:tcBorders>
            <w:vAlign w:val="top"/>
          </w:tcPr>
          <w:p w14:paraId="3B88B687">
            <w:pPr>
              <w:rPr>
                <w:rFonts w:ascii="Arial"/>
                <w:sz w:val="21"/>
              </w:rPr>
            </w:pPr>
          </w:p>
        </w:tc>
        <w:tc>
          <w:tcPr>
            <w:tcW w:w="988" w:type="dxa"/>
            <w:vMerge w:val="continue"/>
            <w:tcBorders>
              <w:top w:val="nil"/>
            </w:tcBorders>
            <w:vAlign w:val="top"/>
          </w:tcPr>
          <w:p w14:paraId="732BB168">
            <w:pPr>
              <w:rPr>
                <w:rFonts w:ascii="Arial"/>
                <w:sz w:val="21"/>
              </w:rPr>
            </w:pPr>
          </w:p>
        </w:tc>
        <w:tc>
          <w:tcPr>
            <w:tcW w:w="1100" w:type="dxa"/>
            <w:vAlign w:val="top"/>
          </w:tcPr>
          <w:p w14:paraId="07F70BCC">
            <w:pPr>
              <w:spacing w:before="58" w:line="228" w:lineRule="auto"/>
              <w:ind w:left="139"/>
              <w:rPr>
                <w:rFonts w:ascii="仿宋" w:hAnsi="仿宋" w:eastAsia="仿宋" w:cs="仿宋"/>
                <w:sz w:val="20"/>
                <w:szCs w:val="20"/>
              </w:rPr>
            </w:pPr>
            <w:r>
              <w:rPr>
                <w:rFonts w:ascii="仿宋" w:hAnsi="仿宋" w:eastAsia="仿宋" w:cs="仿宋"/>
                <w:spacing w:val="6"/>
                <w:sz w:val="20"/>
                <w:szCs w:val="20"/>
              </w:rPr>
              <w:t>路面施工</w:t>
            </w:r>
          </w:p>
        </w:tc>
        <w:tc>
          <w:tcPr>
            <w:tcW w:w="1062" w:type="dxa"/>
            <w:vAlign w:val="top"/>
          </w:tcPr>
          <w:p w14:paraId="4E9B4351">
            <w:pPr>
              <w:pStyle w:val="6"/>
              <w:spacing w:before="94" w:line="195" w:lineRule="auto"/>
              <w:ind w:left="431"/>
              <w:rPr>
                <w:sz w:val="20"/>
                <w:szCs w:val="20"/>
              </w:rPr>
            </w:pPr>
            <w:r>
              <w:rPr>
                <w:spacing w:val="1"/>
                <w:sz w:val="20"/>
                <w:szCs w:val="20"/>
              </w:rPr>
              <w:t>70</w:t>
            </w:r>
          </w:p>
        </w:tc>
        <w:tc>
          <w:tcPr>
            <w:tcW w:w="900" w:type="dxa"/>
            <w:vMerge w:val="continue"/>
            <w:tcBorders>
              <w:top w:val="nil"/>
            </w:tcBorders>
            <w:vAlign w:val="top"/>
          </w:tcPr>
          <w:p w14:paraId="7AEED0B8">
            <w:pPr>
              <w:rPr>
                <w:rFonts w:ascii="Arial"/>
                <w:sz w:val="21"/>
              </w:rPr>
            </w:pPr>
          </w:p>
        </w:tc>
        <w:tc>
          <w:tcPr>
            <w:tcW w:w="875" w:type="dxa"/>
            <w:vAlign w:val="top"/>
          </w:tcPr>
          <w:p w14:paraId="619EF774">
            <w:pPr>
              <w:pStyle w:val="6"/>
              <w:spacing w:before="94" w:line="195" w:lineRule="auto"/>
              <w:ind w:left="338"/>
              <w:rPr>
                <w:sz w:val="20"/>
                <w:szCs w:val="20"/>
              </w:rPr>
            </w:pPr>
            <w:r>
              <w:rPr>
                <w:sz w:val="20"/>
                <w:szCs w:val="20"/>
              </w:rPr>
              <w:t>69</w:t>
            </w:r>
          </w:p>
        </w:tc>
        <w:tc>
          <w:tcPr>
            <w:tcW w:w="862" w:type="dxa"/>
            <w:vAlign w:val="top"/>
          </w:tcPr>
          <w:p w14:paraId="6EE47C14">
            <w:pPr>
              <w:pStyle w:val="6"/>
              <w:spacing w:before="94" w:line="195" w:lineRule="auto"/>
              <w:ind w:left="252"/>
              <w:rPr>
                <w:sz w:val="20"/>
                <w:szCs w:val="20"/>
              </w:rPr>
            </w:pPr>
            <w:r>
              <w:rPr>
                <w:spacing w:val="2"/>
                <w:sz w:val="20"/>
                <w:szCs w:val="20"/>
              </w:rPr>
              <w:t>69.2</w:t>
            </w:r>
          </w:p>
        </w:tc>
        <w:tc>
          <w:tcPr>
            <w:tcW w:w="962" w:type="dxa"/>
            <w:tcBorders>
              <w:right w:val="nil"/>
            </w:tcBorders>
            <w:vAlign w:val="top"/>
          </w:tcPr>
          <w:p w14:paraId="6883A728">
            <w:pPr>
              <w:pStyle w:val="6"/>
              <w:spacing w:before="94" w:line="195" w:lineRule="auto"/>
              <w:ind w:left="321"/>
              <w:rPr>
                <w:sz w:val="20"/>
                <w:szCs w:val="20"/>
              </w:rPr>
            </w:pPr>
            <w:r>
              <w:rPr>
                <w:spacing w:val="1"/>
                <w:sz w:val="20"/>
                <w:szCs w:val="20"/>
              </w:rPr>
              <w:t>-0.8</w:t>
            </w:r>
          </w:p>
        </w:tc>
      </w:tr>
      <w:tr w14:paraId="5C1A85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5" w:type="dxa"/>
            <w:vMerge w:val="restart"/>
            <w:tcBorders>
              <w:left w:val="nil"/>
              <w:bottom w:val="nil"/>
            </w:tcBorders>
            <w:vAlign w:val="top"/>
          </w:tcPr>
          <w:p w14:paraId="48881917">
            <w:pPr>
              <w:pStyle w:val="6"/>
              <w:spacing w:before="258" w:line="195" w:lineRule="auto"/>
              <w:ind w:left="267"/>
              <w:rPr>
                <w:sz w:val="20"/>
                <w:szCs w:val="20"/>
              </w:rPr>
            </w:pPr>
            <w:r>
              <w:rPr>
                <w:spacing w:val="1"/>
                <w:sz w:val="20"/>
                <w:szCs w:val="20"/>
              </w:rPr>
              <w:t>4</w:t>
            </w:r>
          </w:p>
        </w:tc>
        <w:tc>
          <w:tcPr>
            <w:tcW w:w="1132" w:type="dxa"/>
            <w:vMerge w:val="restart"/>
            <w:tcBorders>
              <w:bottom w:val="nil"/>
            </w:tcBorders>
            <w:vAlign w:val="top"/>
          </w:tcPr>
          <w:p w14:paraId="5D0EA0C6">
            <w:pPr>
              <w:pStyle w:val="6"/>
              <w:spacing w:before="63" w:line="260" w:lineRule="auto"/>
              <w:ind w:left="393" w:right="146" w:hanging="236"/>
              <w:rPr>
                <w:sz w:val="20"/>
                <w:szCs w:val="20"/>
              </w:rPr>
            </w:pPr>
            <w:r>
              <w:rPr>
                <w:rFonts w:ascii="仿宋" w:hAnsi="仿宋" w:eastAsia="仿宋" w:cs="仿宋"/>
                <w:spacing w:val="5"/>
                <w:sz w:val="20"/>
                <w:szCs w:val="20"/>
              </w:rPr>
              <w:t>刘家塔散</w:t>
            </w:r>
            <w:r>
              <w:rPr>
                <w:rFonts w:ascii="仿宋" w:hAnsi="仿宋" w:eastAsia="仿宋" w:cs="仿宋"/>
                <w:spacing w:val="-3"/>
                <w:sz w:val="20"/>
                <w:szCs w:val="20"/>
              </w:rPr>
              <w:t>户</w:t>
            </w:r>
            <w:r>
              <w:rPr>
                <w:rFonts w:ascii="仿宋" w:hAnsi="仿宋" w:eastAsia="仿宋" w:cs="仿宋"/>
                <w:spacing w:val="-23"/>
                <w:sz w:val="20"/>
                <w:szCs w:val="20"/>
              </w:rPr>
              <w:t xml:space="preserve"> </w:t>
            </w:r>
            <w:r>
              <w:rPr>
                <w:spacing w:val="-3"/>
                <w:sz w:val="20"/>
                <w:szCs w:val="20"/>
              </w:rPr>
              <w:t>1</w:t>
            </w:r>
          </w:p>
        </w:tc>
        <w:tc>
          <w:tcPr>
            <w:tcW w:w="988" w:type="dxa"/>
            <w:vMerge w:val="restart"/>
            <w:tcBorders>
              <w:bottom w:val="nil"/>
            </w:tcBorders>
            <w:vAlign w:val="top"/>
          </w:tcPr>
          <w:p w14:paraId="145A8809">
            <w:pPr>
              <w:pStyle w:val="6"/>
              <w:spacing w:before="258" w:line="195" w:lineRule="auto"/>
              <w:ind w:left="314"/>
              <w:rPr>
                <w:sz w:val="20"/>
                <w:szCs w:val="20"/>
              </w:rPr>
            </w:pPr>
            <w:r>
              <w:rPr>
                <w:spacing w:val="2"/>
                <w:sz w:val="20"/>
                <w:szCs w:val="20"/>
              </w:rPr>
              <w:t>50m</w:t>
            </w:r>
          </w:p>
        </w:tc>
        <w:tc>
          <w:tcPr>
            <w:tcW w:w="1100" w:type="dxa"/>
            <w:vAlign w:val="top"/>
          </w:tcPr>
          <w:p w14:paraId="5F4AC4AB">
            <w:pPr>
              <w:spacing w:before="58" w:line="228" w:lineRule="auto"/>
              <w:ind w:left="139"/>
              <w:rPr>
                <w:rFonts w:ascii="仿宋" w:hAnsi="仿宋" w:eastAsia="仿宋" w:cs="仿宋"/>
                <w:sz w:val="20"/>
                <w:szCs w:val="20"/>
              </w:rPr>
            </w:pPr>
            <w:r>
              <w:rPr>
                <w:rFonts w:ascii="仿宋" w:hAnsi="仿宋" w:eastAsia="仿宋" w:cs="仿宋"/>
                <w:spacing w:val="6"/>
                <w:sz w:val="20"/>
                <w:szCs w:val="20"/>
              </w:rPr>
              <w:t>路基施工</w:t>
            </w:r>
          </w:p>
        </w:tc>
        <w:tc>
          <w:tcPr>
            <w:tcW w:w="1062" w:type="dxa"/>
            <w:vAlign w:val="top"/>
          </w:tcPr>
          <w:p w14:paraId="50A3F211">
            <w:pPr>
              <w:pStyle w:val="6"/>
              <w:spacing w:before="97" w:line="195" w:lineRule="auto"/>
              <w:ind w:left="431"/>
              <w:rPr>
                <w:sz w:val="20"/>
                <w:szCs w:val="20"/>
              </w:rPr>
            </w:pPr>
            <w:r>
              <w:rPr>
                <w:spacing w:val="1"/>
                <w:sz w:val="20"/>
                <w:szCs w:val="20"/>
              </w:rPr>
              <w:t>70</w:t>
            </w:r>
          </w:p>
        </w:tc>
        <w:tc>
          <w:tcPr>
            <w:tcW w:w="900" w:type="dxa"/>
            <w:vMerge w:val="restart"/>
            <w:tcBorders>
              <w:bottom w:val="nil"/>
            </w:tcBorders>
            <w:vAlign w:val="top"/>
          </w:tcPr>
          <w:p w14:paraId="058039A0">
            <w:pPr>
              <w:pStyle w:val="6"/>
              <w:spacing w:before="258" w:line="195" w:lineRule="auto"/>
              <w:ind w:left="274"/>
              <w:rPr>
                <w:sz w:val="20"/>
                <w:szCs w:val="20"/>
              </w:rPr>
            </w:pPr>
            <w:r>
              <w:rPr>
                <w:spacing w:val="1"/>
                <w:sz w:val="20"/>
                <w:szCs w:val="20"/>
              </w:rPr>
              <w:t>50.5</w:t>
            </w:r>
          </w:p>
        </w:tc>
        <w:tc>
          <w:tcPr>
            <w:tcW w:w="875" w:type="dxa"/>
            <w:vAlign w:val="top"/>
          </w:tcPr>
          <w:p w14:paraId="76A4CE37">
            <w:pPr>
              <w:pStyle w:val="6"/>
              <w:spacing w:before="97" w:line="195" w:lineRule="auto"/>
              <w:ind w:left="337"/>
              <w:rPr>
                <w:sz w:val="20"/>
                <w:szCs w:val="20"/>
              </w:rPr>
            </w:pPr>
            <w:r>
              <w:rPr>
                <w:spacing w:val="1"/>
                <w:sz w:val="20"/>
                <w:szCs w:val="20"/>
              </w:rPr>
              <w:t>74</w:t>
            </w:r>
          </w:p>
        </w:tc>
        <w:tc>
          <w:tcPr>
            <w:tcW w:w="862" w:type="dxa"/>
            <w:vAlign w:val="top"/>
          </w:tcPr>
          <w:p w14:paraId="03566FEA">
            <w:pPr>
              <w:pStyle w:val="6"/>
              <w:spacing w:before="97" w:line="195" w:lineRule="auto"/>
              <w:ind w:left="251"/>
              <w:rPr>
                <w:sz w:val="20"/>
                <w:szCs w:val="20"/>
              </w:rPr>
            </w:pPr>
            <w:r>
              <w:rPr>
                <w:spacing w:val="1"/>
                <w:sz w:val="20"/>
                <w:szCs w:val="20"/>
              </w:rPr>
              <w:t>74.</w:t>
            </w:r>
            <w:r>
              <w:rPr>
                <w:spacing w:val="-25"/>
                <w:sz w:val="20"/>
                <w:szCs w:val="20"/>
              </w:rPr>
              <w:t xml:space="preserve"> </w:t>
            </w:r>
            <w:r>
              <w:rPr>
                <w:spacing w:val="1"/>
                <w:sz w:val="20"/>
                <w:szCs w:val="20"/>
              </w:rPr>
              <w:t>1</w:t>
            </w:r>
          </w:p>
        </w:tc>
        <w:tc>
          <w:tcPr>
            <w:tcW w:w="962" w:type="dxa"/>
            <w:tcBorders>
              <w:right w:val="nil"/>
            </w:tcBorders>
            <w:vAlign w:val="top"/>
          </w:tcPr>
          <w:p w14:paraId="134570BF">
            <w:pPr>
              <w:pStyle w:val="6"/>
              <w:spacing w:before="97" w:line="195" w:lineRule="auto"/>
              <w:ind w:left="350"/>
              <w:rPr>
                <w:sz w:val="20"/>
                <w:szCs w:val="20"/>
              </w:rPr>
            </w:pPr>
            <w:r>
              <w:rPr>
                <w:spacing w:val="1"/>
                <w:sz w:val="20"/>
                <w:szCs w:val="20"/>
              </w:rPr>
              <w:t>4.</w:t>
            </w:r>
            <w:r>
              <w:rPr>
                <w:spacing w:val="-25"/>
                <w:sz w:val="20"/>
                <w:szCs w:val="20"/>
              </w:rPr>
              <w:t xml:space="preserve"> </w:t>
            </w:r>
            <w:r>
              <w:rPr>
                <w:spacing w:val="1"/>
                <w:sz w:val="20"/>
                <w:szCs w:val="20"/>
              </w:rPr>
              <w:t>1</w:t>
            </w:r>
          </w:p>
        </w:tc>
      </w:tr>
      <w:tr w14:paraId="03EDFC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5" w:type="dxa"/>
            <w:vMerge w:val="continue"/>
            <w:tcBorders>
              <w:top w:val="nil"/>
              <w:left w:val="nil"/>
            </w:tcBorders>
            <w:vAlign w:val="top"/>
          </w:tcPr>
          <w:p w14:paraId="342BA46F">
            <w:pPr>
              <w:rPr>
                <w:rFonts w:ascii="Arial"/>
                <w:sz w:val="21"/>
              </w:rPr>
            </w:pPr>
          </w:p>
        </w:tc>
        <w:tc>
          <w:tcPr>
            <w:tcW w:w="1132" w:type="dxa"/>
            <w:vMerge w:val="continue"/>
            <w:tcBorders>
              <w:top w:val="nil"/>
            </w:tcBorders>
            <w:vAlign w:val="top"/>
          </w:tcPr>
          <w:p w14:paraId="0CB0C808">
            <w:pPr>
              <w:rPr>
                <w:rFonts w:ascii="Arial"/>
                <w:sz w:val="21"/>
              </w:rPr>
            </w:pPr>
          </w:p>
        </w:tc>
        <w:tc>
          <w:tcPr>
            <w:tcW w:w="988" w:type="dxa"/>
            <w:vMerge w:val="continue"/>
            <w:tcBorders>
              <w:top w:val="nil"/>
            </w:tcBorders>
            <w:vAlign w:val="top"/>
          </w:tcPr>
          <w:p w14:paraId="6751E2AB">
            <w:pPr>
              <w:rPr>
                <w:rFonts w:ascii="Arial"/>
                <w:sz w:val="21"/>
              </w:rPr>
            </w:pPr>
          </w:p>
        </w:tc>
        <w:tc>
          <w:tcPr>
            <w:tcW w:w="1100" w:type="dxa"/>
            <w:vAlign w:val="top"/>
          </w:tcPr>
          <w:p w14:paraId="1F26A624">
            <w:pPr>
              <w:spacing w:before="60" w:line="227" w:lineRule="auto"/>
              <w:ind w:left="139"/>
              <w:rPr>
                <w:rFonts w:ascii="仿宋" w:hAnsi="仿宋" w:eastAsia="仿宋" w:cs="仿宋"/>
                <w:sz w:val="20"/>
                <w:szCs w:val="20"/>
              </w:rPr>
            </w:pPr>
            <w:r>
              <w:rPr>
                <w:rFonts w:ascii="仿宋" w:hAnsi="仿宋" w:eastAsia="仿宋" w:cs="仿宋"/>
                <w:spacing w:val="6"/>
                <w:sz w:val="20"/>
                <w:szCs w:val="20"/>
              </w:rPr>
              <w:t>路面施工</w:t>
            </w:r>
          </w:p>
        </w:tc>
        <w:tc>
          <w:tcPr>
            <w:tcW w:w="1062" w:type="dxa"/>
            <w:vAlign w:val="top"/>
          </w:tcPr>
          <w:p w14:paraId="4C7B7CAD">
            <w:pPr>
              <w:pStyle w:val="6"/>
              <w:spacing w:before="98" w:line="195" w:lineRule="auto"/>
              <w:ind w:left="431"/>
              <w:rPr>
                <w:sz w:val="20"/>
                <w:szCs w:val="20"/>
              </w:rPr>
            </w:pPr>
            <w:r>
              <w:rPr>
                <w:spacing w:val="1"/>
                <w:sz w:val="20"/>
                <w:szCs w:val="20"/>
              </w:rPr>
              <w:t>70</w:t>
            </w:r>
          </w:p>
        </w:tc>
        <w:tc>
          <w:tcPr>
            <w:tcW w:w="900" w:type="dxa"/>
            <w:vMerge w:val="continue"/>
            <w:tcBorders>
              <w:top w:val="nil"/>
            </w:tcBorders>
            <w:vAlign w:val="top"/>
          </w:tcPr>
          <w:p w14:paraId="1C399F5D">
            <w:pPr>
              <w:rPr>
                <w:rFonts w:ascii="Arial"/>
                <w:sz w:val="21"/>
              </w:rPr>
            </w:pPr>
          </w:p>
        </w:tc>
        <w:tc>
          <w:tcPr>
            <w:tcW w:w="875" w:type="dxa"/>
            <w:vAlign w:val="top"/>
          </w:tcPr>
          <w:p w14:paraId="64E3C602">
            <w:pPr>
              <w:pStyle w:val="6"/>
              <w:spacing w:before="101" w:line="192" w:lineRule="auto"/>
              <w:ind w:left="337"/>
              <w:rPr>
                <w:sz w:val="20"/>
                <w:szCs w:val="20"/>
              </w:rPr>
            </w:pPr>
            <w:r>
              <w:rPr>
                <w:spacing w:val="1"/>
                <w:sz w:val="20"/>
                <w:szCs w:val="20"/>
              </w:rPr>
              <w:t>75</w:t>
            </w:r>
          </w:p>
        </w:tc>
        <w:tc>
          <w:tcPr>
            <w:tcW w:w="862" w:type="dxa"/>
            <w:vAlign w:val="top"/>
          </w:tcPr>
          <w:p w14:paraId="75F0770C">
            <w:pPr>
              <w:pStyle w:val="6"/>
              <w:spacing w:before="98" w:line="195" w:lineRule="auto"/>
              <w:ind w:left="251"/>
              <w:rPr>
                <w:sz w:val="20"/>
                <w:szCs w:val="20"/>
              </w:rPr>
            </w:pPr>
            <w:r>
              <w:rPr>
                <w:spacing w:val="1"/>
                <w:sz w:val="20"/>
                <w:szCs w:val="20"/>
              </w:rPr>
              <w:t>75.</w:t>
            </w:r>
            <w:r>
              <w:rPr>
                <w:spacing w:val="-25"/>
                <w:sz w:val="20"/>
                <w:szCs w:val="20"/>
              </w:rPr>
              <w:t xml:space="preserve"> </w:t>
            </w:r>
            <w:r>
              <w:rPr>
                <w:spacing w:val="1"/>
                <w:sz w:val="20"/>
                <w:szCs w:val="20"/>
              </w:rPr>
              <w:t>1</w:t>
            </w:r>
          </w:p>
        </w:tc>
        <w:tc>
          <w:tcPr>
            <w:tcW w:w="962" w:type="dxa"/>
            <w:tcBorders>
              <w:right w:val="nil"/>
            </w:tcBorders>
            <w:vAlign w:val="top"/>
          </w:tcPr>
          <w:p w14:paraId="1C0B670E">
            <w:pPr>
              <w:pStyle w:val="6"/>
              <w:spacing w:before="98" w:line="195" w:lineRule="auto"/>
              <w:ind w:left="356"/>
              <w:rPr>
                <w:sz w:val="20"/>
                <w:szCs w:val="20"/>
              </w:rPr>
            </w:pPr>
            <w:r>
              <w:rPr>
                <w:spacing w:val="-1"/>
                <w:sz w:val="20"/>
                <w:szCs w:val="20"/>
              </w:rPr>
              <w:t>5.</w:t>
            </w:r>
            <w:r>
              <w:rPr>
                <w:spacing w:val="-25"/>
                <w:sz w:val="20"/>
                <w:szCs w:val="20"/>
              </w:rPr>
              <w:t xml:space="preserve"> </w:t>
            </w:r>
            <w:r>
              <w:rPr>
                <w:spacing w:val="-1"/>
                <w:sz w:val="20"/>
                <w:szCs w:val="20"/>
              </w:rPr>
              <w:t>1</w:t>
            </w:r>
          </w:p>
        </w:tc>
      </w:tr>
      <w:tr w14:paraId="0B8969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5" w:type="dxa"/>
            <w:vMerge w:val="restart"/>
            <w:tcBorders>
              <w:left w:val="nil"/>
              <w:bottom w:val="nil"/>
            </w:tcBorders>
            <w:vAlign w:val="top"/>
          </w:tcPr>
          <w:p w14:paraId="2F6781AA">
            <w:pPr>
              <w:pStyle w:val="6"/>
              <w:spacing w:before="262" w:line="192" w:lineRule="auto"/>
              <w:ind w:left="274"/>
              <w:rPr>
                <w:sz w:val="20"/>
                <w:szCs w:val="20"/>
              </w:rPr>
            </w:pPr>
            <w:r>
              <w:rPr>
                <w:sz w:val="20"/>
                <w:szCs w:val="20"/>
              </w:rPr>
              <w:t>5</w:t>
            </w:r>
          </w:p>
        </w:tc>
        <w:tc>
          <w:tcPr>
            <w:tcW w:w="1132" w:type="dxa"/>
            <w:vMerge w:val="restart"/>
            <w:tcBorders>
              <w:bottom w:val="nil"/>
            </w:tcBorders>
            <w:vAlign w:val="top"/>
          </w:tcPr>
          <w:p w14:paraId="33C19160">
            <w:pPr>
              <w:pStyle w:val="6"/>
              <w:spacing w:before="67" w:line="258" w:lineRule="auto"/>
              <w:ind w:left="393" w:right="146" w:hanging="236"/>
              <w:rPr>
                <w:sz w:val="20"/>
                <w:szCs w:val="20"/>
              </w:rPr>
            </w:pPr>
            <w:r>
              <w:rPr>
                <w:rFonts w:ascii="仿宋" w:hAnsi="仿宋" w:eastAsia="仿宋" w:cs="仿宋"/>
                <w:spacing w:val="5"/>
                <w:sz w:val="20"/>
                <w:szCs w:val="20"/>
              </w:rPr>
              <w:t>刘家塔散</w:t>
            </w:r>
            <w:r>
              <w:rPr>
                <w:rFonts w:ascii="仿宋" w:hAnsi="仿宋" w:eastAsia="仿宋" w:cs="仿宋"/>
                <w:spacing w:val="-3"/>
                <w:sz w:val="20"/>
                <w:szCs w:val="20"/>
              </w:rPr>
              <w:t>户</w:t>
            </w:r>
            <w:r>
              <w:rPr>
                <w:rFonts w:ascii="仿宋" w:hAnsi="仿宋" w:eastAsia="仿宋" w:cs="仿宋"/>
                <w:spacing w:val="-43"/>
                <w:sz w:val="20"/>
                <w:szCs w:val="20"/>
              </w:rPr>
              <w:t xml:space="preserve"> </w:t>
            </w:r>
            <w:r>
              <w:rPr>
                <w:spacing w:val="-3"/>
                <w:sz w:val="20"/>
                <w:szCs w:val="20"/>
              </w:rPr>
              <w:t>2</w:t>
            </w:r>
          </w:p>
        </w:tc>
        <w:tc>
          <w:tcPr>
            <w:tcW w:w="988" w:type="dxa"/>
            <w:vMerge w:val="restart"/>
            <w:tcBorders>
              <w:bottom w:val="nil"/>
            </w:tcBorders>
            <w:vAlign w:val="top"/>
          </w:tcPr>
          <w:p w14:paraId="1F21E118">
            <w:pPr>
              <w:pStyle w:val="6"/>
              <w:spacing w:before="259" w:line="195" w:lineRule="auto"/>
              <w:ind w:left="328"/>
              <w:rPr>
                <w:sz w:val="20"/>
                <w:szCs w:val="20"/>
              </w:rPr>
            </w:pPr>
            <w:r>
              <w:rPr>
                <w:spacing w:val="-3"/>
                <w:sz w:val="20"/>
                <w:szCs w:val="20"/>
              </w:rPr>
              <w:t>13m</w:t>
            </w:r>
          </w:p>
        </w:tc>
        <w:tc>
          <w:tcPr>
            <w:tcW w:w="1100" w:type="dxa"/>
            <w:vAlign w:val="top"/>
          </w:tcPr>
          <w:p w14:paraId="06D7E52B">
            <w:pPr>
              <w:spacing w:before="63" w:line="224" w:lineRule="auto"/>
              <w:ind w:left="139"/>
              <w:rPr>
                <w:rFonts w:ascii="仿宋" w:hAnsi="仿宋" w:eastAsia="仿宋" w:cs="仿宋"/>
                <w:sz w:val="20"/>
                <w:szCs w:val="20"/>
              </w:rPr>
            </w:pPr>
            <w:r>
              <w:rPr>
                <w:rFonts w:ascii="仿宋" w:hAnsi="仿宋" w:eastAsia="仿宋" w:cs="仿宋"/>
                <w:spacing w:val="6"/>
                <w:sz w:val="20"/>
                <w:szCs w:val="20"/>
              </w:rPr>
              <w:t>路基施工</w:t>
            </w:r>
          </w:p>
        </w:tc>
        <w:tc>
          <w:tcPr>
            <w:tcW w:w="1062" w:type="dxa"/>
            <w:vAlign w:val="top"/>
          </w:tcPr>
          <w:p w14:paraId="3DFB6AFF">
            <w:pPr>
              <w:pStyle w:val="6"/>
              <w:spacing w:before="98" w:line="195" w:lineRule="auto"/>
              <w:ind w:left="431"/>
              <w:rPr>
                <w:sz w:val="20"/>
                <w:szCs w:val="20"/>
              </w:rPr>
            </w:pPr>
            <w:r>
              <w:rPr>
                <w:spacing w:val="1"/>
                <w:sz w:val="20"/>
                <w:szCs w:val="20"/>
              </w:rPr>
              <w:t>70</w:t>
            </w:r>
          </w:p>
        </w:tc>
        <w:tc>
          <w:tcPr>
            <w:tcW w:w="900" w:type="dxa"/>
            <w:vMerge w:val="restart"/>
            <w:tcBorders>
              <w:bottom w:val="nil"/>
            </w:tcBorders>
            <w:vAlign w:val="top"/>
          </w:tcPr>
          <w:p w14:paraId="0D3D01C5">
            <w:pPr>
              <w:pStyle w:val="6"/>
              <w:spacing w:before="259" w:line="195" w:lineRule="auto"/>
              <w:ind w:left="351"/>
              <w:rPr>
                <w:sz w:val="20"/>
                <w:szCs w:val="20"/>
              </w:rPr>
            </w:pPr>
            <w:r>
              <w:rPr>
                <w:sz w:val="20"/>
                <w:szCs w:val="20"/>
              </w:rPr>
              <w:t>50</w:t>
            </w:r>
          </w:p>
        </w:tc>
        <w:tc>
          <w:tcPr>
            <w:tcW w:w="875" w:type="dxa"/>
            <w:vAlign w:val="top"/>
          </w:tcPr>
          <w:p w14:paraId="6D79F308">
            <w:pPr>
              <w:pStyle w:val="6"/>
              <w:spacing w:before="98" w:line="195" w:lineRule="auto"/>
              <w:ind w:left="262"/>
              <w:rPr>
                <w:sz w:val="20"/>
                <w:szCs w:val="20"/>
              </w:rPr>
            </w:pPr>
            <w:r>
              <w:rPr>
                <w:spacing w:val="1"/>
                <w:sz w:val="20"/>
                <w:szCs w:val="20"/>
              </w:rPr>
              <w:t>85.7</w:t>
            </w:r>
          </w:p>
        </w:tc>
        <w:tc>
          <w:tcPr>
            <w:tcW w:w="862" w:type="dxa"/>
            <w:vAlign w:val="top"/>
          </w:tcPr>
          <w:p w14:paraId="5B1D65A6">
            <w:pPr>
              <w:pStyle w:val="6"/>
              <w:spacing w:before="98" w:line="195" w:lineRule="auto"/>
              <w:ind w:left="256"/>
              <w:rPr>
                <w:sz w:val="20"/>
                <w:szCs w:val="20"/>
              </w:rPr>
            </w:pPr>
            <w:r>
              <w:rPr>
                <w:spacing w:val="1"/>
                <w:sz w:val="20"/>
                <w:szCs w:val="20"/>
              </w:rPr>
              <w:t>85.7</w:t>
            </w:r>
          </w:p>
        </w:tc>
        <w:tc>
          <w:tcPr>
            <w:tcW w:w="962" w:type="dxa"/>
            <w:tcBorders>
              <w:right w:val="nil"/>
            </w:tcBorders>
            <w:vAlign w:val="top"/>
          </w:tcPr>
          <w:p w14:paraId="64D5C1F9">
            <w:pPr>
              <w:pStyle w:val="6"/>
              <w:spacing w:before="98" w:line="195" w:lineRule="auto"/>
              <w:ind w:left="320"/>
              <w:rPr>
                <w:sz w:val="20"/>
                <w:szCs w:val="20"/>
              </w:rPr>
            </w:pPr>
            <w:r>
              <w:rPr>
                <w:spacing w:val="-2"/>
                <w:sz w:val="20"/>
                <w:szCs w:val="20"/>
              </w:rPr>
              <w:t>15.7</w:t>
            </w:r>
          </w:p>
        </w:tc>
      </w:tr>
      <w:tr w14:paraId="68C1D9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5" w:type="dxa"/>
            <w:vMerge w:val="continue"/>
            <w:tcBorders>
              <w:top w:val="nil"/>
              <w:left w:val="nil"/>
            </w:tcBorders>
            <w:vAlign w:val="top"/>
          </w:tcPr>
          <w:p w14:paraId="538D5A46">
            <w:pPr>
              <w:rPr>
                <w:rFonts w:ascii="Arial"/>
                <w:sz w:val="21"/>
              </w:rPr>
            </w:pPr>
          </w:p>
        </w:tc>
        <w:tc>
          <w:tcPr>
            <w:tcW w:w="1132" w:type="dxa"/>
            <w:vMerge w:val="continue"/>
            <w:tcBorders>
              <w:top w:val="nil"/>
            </w:tcBorders>
            <w:vAlign w:val="top"/>
          </w:tcPr>
          <w:p w14:paraId="2A9A1DEA">
            <w:pPr>
              <w:rPr>
                <w:rFonts w:ascii="Arial"/>
                <w:sz w:val="21"/>
              </w:rPr>
            </w:pPr>
          </w:p>
        </w:tc>
        <w:tc>
          <w:tcPr>
            <w:tcW w:w="988" w:type="dxa"/>
            <w:vMerge w:val="continue"/>
            <w:tcBorders>
              <w:top w:val="nil"/>
            </w:tcBorders>
            <w:vAlign w:val="top"/>
          </w:tcPr>
          <w:p w14:paraId="2F52873C">
            <w:pPr>
              <w:rPr>
                <w:rFonts w:ascii="Arial"/>
                <w:sz w:val="21"/>
              </w:rPr>
            </w:pPr>
          </w:p>
        </w:tc>
        <w:tc>
          <w:tcPr>
            <w:tcW w:w="1100" w:type="dxa"/>
            <w:vAlign w:val="top"/>
          </w:tcPr>
          <w:p w14:paraId="4FA72603">
            <w:pPr>
              <w:spacing w:before="63" w:line="224" w:lineRule="auto"/>
              <w:ind w:left="139"/>
              <w:rPr>
                <w:rFonts w:ascii="仿宋" w:hAnsi="仿宋" w:eastAsia="仿宋" w:cs="仿宋"/>
                <w:sz w:val="20"/>
                <w:szCs w:val="20"/>
              </w:rPr>
            </w:pPr>
            <w:r>
              <w:rPr>
                <w:rFonts w:ascii="仿宋" w:hAnsi="仿宋" w:eastAsia="仿宋" w:cs="仿宋"/>
                <w:spacing w:val="6"/>
                <w:sz w:val="20"/>
                <w:szCs w:val="20"/>
              </w:rPr>
              <w:t>路面施工</w:t>
            </w:r>
          </w:p>
        </w:tc>
        <w:tc>
          <w:tcPr>
            <w:tcW w:w="1062" w:type="dxa"/>
            <w:vAlign w:val="top"/>
          </w:tcPr>
          <w:p w14:paraId="2D64104A">
            <w:pPr>
              <w:pStyle w:val="6"/>
              <w:spacing w:before="99" w:line="195" w:lineRule="auto"/>
              <w:ind w:left="431"/>
              <w:rPr>
                <w:sz w:val="20"/>
                <w:szCs w:val="20"/>
              </w:rPr>
            </w:pPr>
            <w:r>
              <w:rPr>
                <w:spacing w:val="1"/>
                <w:sz w:val="20"/>
                <w:szCs w:val="20"/>
              </w:rPr>
              <w:t>70</w:t>
            </w:r>
          </w:p>
        </w:tc>
        <w:tc>
          <w:tcPr>
            <w:tcW w:w="900" w:type="dxa"/>
            <w:vMerge w:val="continue"/>
            <w:tcBorders>
              <w:top w:val="nil"/>
            </w:tcBorders>
            <w:vAlign w:val="top"/>
          </w:tcPr>
          <w:p w14:paraId="13983E5F">
            <w:pPr>
              <w:rPr>
                <w:rFonts w:ascii="Arial"/>
                <w:sz w:val="21"/>
              </w:rPr>
            </w:pPr>
          </w:p>
        </w:tc>
        <w:tc>
          <w:tcPr>
            <w:tcW w:w="875" w:type="dxa"/>
            <w:vAlign w:val="top"/>
          </w:tcPr>
          <w:p w14:paraId="24B0507B">
            <w:pPr>
              <w:pStyle w:val="6"/>
              <w:spacing w:before="99" w:line="195" w:lineRule="auto"/>
              <w:ind w:left="262"/>
              <w:rPr>
                <w:sz w:val="20"/>
                <w:szCs w:val="20"/>
              </w:rPr>
            </w:pPr>
            <w:r>
              <w:rPr>
                <w:spacing w:val="1"/>
                <w:sz w:val="20"/>
                <w:szCs w:val="20"/>
              </w:rPr>
              <w:t>86.7</w:t>
            </w:r>
          </w:p>
        </w:tc>
        <w:tc>
          <w:tcPr>
            <w:tcW w:w="862" w:type="dxa"/>
            <w:vAlign w:val="top"/>
          </w:tcPr>
          <w:p w14:paraId="5495A585">
            <w:pPr>
              <w:pStyle w:val="6"/>
              <w:spacing w:before="99" w:line="195" w:lineRule="auto"/>
              <w:ind w:left="256"/>
              <w:rPr>
                <w:sz w:val="20"/>
                <w:szCs w:val="20"/>
              </w:rPr>
            </w:pPr>
            <w:r>
              <w:rPr>
                <w:spacing w:val="1"/>
                <w:sz w:val="20"/>
                <w:szCs w:val="20"/>
              </w:rPr>
              <w:t>86.7</w:t>
            </w:r>
          </w:p>
        </w:tc>
        <w:tc>
          <w:tcPr>
            <w:tcW w:w="962" w:type="dxa"/>
            <w:tcBorders>
              <w:right w:val="nil"/>
            </w:tcBorders>
            <w:vAlign w:val="top"/>
          </w:tcPr>
          <w:p w14:paraId="053FD0BA">
            <w:pPr>
              <w:pStyle w:val="6"/>
              <w:spacing w:before="99" w:line="195" w:lineRule="auto"/>
              <w:ind w:left="320"/>
              <w:rPr>
                <w:sz w:val="20"/>
                <w:szCs w:val="20"/>
              </w:rPr>
            </w:pPr>
            <w:r>
              <w:rPr>
                <w:spacing w:val="-2"/>
                <w:sz w:val="20"/>
                <w:szCs w:val="20"/>
              </w:rPr>
              <w:t>16.7</w:t>
            </w:r>
          </w:p>
        </w:tc>
      </w:tr>
      <w:tr w14:paraId="3BB121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5" w:type="dxa"/>
            <w:vMerge w:val="restart"/>
            <w:tcBorders>
              <w:left w:val="nil"/>
              <w:bottom w:val="nil"/>
            </w:tcBorders>
            <w:vAlign w:val="top"/>
          </w:tcPr>
          <w:p w14:paraId="686B2A6B">
            <w:pPr>
              <w:pStyle w:val="6"/>
              <w:spacing w:before="260" w:line="195" w:lineRule="auto"/>
              <w:ind w:left="272"/>
              <w:rPr>
                <w:sz w:val="20"/>
                <w:szCs w:val="20"/>
              </w:rPr>
            </w:pPr>
            <w:r>
              <w:rPr>
                <w:sz w:val="20"/>
                <w:szCs w:val="20"/>
              </w:rPr>
              <w:t>6</w:t>
            </w:r>
          </w:p>
        </w:tc>
        <w:tc>
          <w:tcPr>
            <w:tcW w:w="1132" w:type="dxa"/>
            <w:vMerge w:val="restart"/>
            <w:tcBorders>
              <w:bottom w:val="nil"/>
            </w:tcBorders>
            <w:vAlign w:val="top"/>
          </w:tcPr>
          <w:p w14:paraId="5D6DB428">
            <w:pPr>
              <w:spacing w:before="224" w:line="231" w:lineRule="auto"/>
              <w:ind w:left="273"/>
              <w:rPr>
                <w:rFonts w:ascii="仿宋" w:hAnsi="仿宋" w:eastAsia="仿宋" w:cs="仿宋"/>
                <w:sz w:val="20"/>
                <w:szCs w:val="20"/>
              </w:rPr>
            </w:pPr>
            <w:r>
              <w:rPr>
                <w:rFonts w:ascii="仿宋" w:hAnsi="仿宋" w:eastAsia="仿宋" w:cs="仿宋"/>
                <w:spacing w:val="1"/>
                <w:sz w:val="20"/>
                <w:szCs w:val="20"/>
              </w:rPr>
              <w:t>陈家梁</w:t>
            </w:r>
          </w:p>
        </w:tc>
        <w:tc>
          <w:tcPr>
            <w:tcW w:w="988" w:type="dxa"/>
            <w:vMerge w:val="restart"/>
            <w:tcBorders>
              <w:bottom w:val="nil"/>
            </w:tcBorders>
            <w:vAlign w:val="top"/>
          </w:tcPr>
          <w:p w14:paraId="09679C17">
            <w:pPr>
              <w:pStyle w:val="6"/>
              <w:spacing w:before="260" w:line="195" w:lineRule="auto"/>
              <w:ind w:left="286"/>
              <w:rPr>
                <w:sz w:val="20"/>
                <w:szCs w:val="20"/>
              </w:rPr>
            </w:pPr>
            <w:r>
              <w:rPr>
                <w:spacing w:val="3"/>
                <w:sz w:val="20"/>
                <w:szCs w:val="20"/>
              </w:rPr>
              <w:t>9.5m</w:t>
            </w:r>
          </w:p>
        </w:tc>
        <w:tc>
          <w:tcPr>
            <w:tcW w:w="1100" w:type="dxa"/>
            <w:vAlign w:val="top"/>
          </w:tcPr>
          <w:p w14:paraId="056F8E3D">
            <w:pPr>
              <w:spacing w:before="64" w:line="223" w:lineRule="auto"/>
              <w:ind w:left="139"/>
              <w:rPr>
                <w:rFonts w:ascii="仿宋" w:hAnsi="仿宋" w:eastAsia="仿宋" w:cs="仿宋"/>
                <w:sz w:val="20"/>
                <w:szCs w:val="20"/>
              </w:rPr>
            </w:pPr>
            <w:r>
              <w:rPr>
                <w:rFonts w:ascii="仿宋" w:hAnsi="仿宋" w:eastAsia="仿宋" w:cs="仿宋"/>
                <w:spacing w:val="6"/>
                <w:sz w:val="20"/>
                <w:szCs w:val="20"/>
              </w:rPr>
              <w:t>路基施工</w:t>
            </w:r>
          </w:p>
        </w:tc>
        <w:tc>
          <w:tcPr>
            <w:tcW w:w="1062" w:type="dxa"/>
            <w:vAlign w:val="top"/>
          </w:tcPr>
          <w:p w14:paraId="59C68CAB">
            <w:pPr>
              <w:pStyle w:val="6"/>
              <w:spacing w:before="99" w:line="195" w:lineRule="auto"/>
              <w:ind w:left="431"/>
              <w:rPr>
                <w:sz w:val="20"/>
                <w:szCs w:val="20"/>
              </w:rPr>
            </w:pPr>
            <w:r>
              <w:rPr>
                <w:spacing w:val="1"/>
                <w:sz w:val="20"/>
                <w:szCs w:val="20"/>
              </w:rPr>
              <w:t>70</w:t>
            </w:r>
          </w:p>
        </w:tc>
        <w:tc>
          <w:tcPr>
            <w:tcW w:w="900" w:type="dxa"/>
            <w:vMerge w:val="restart"/>
            <w:tcBorders>
              <w:bottom w:val="nil"/>
            </w:tcBorders>
            <w:vAlign w:val="top"/>
          </w:tcPr>
          <w:p w14:paraId="6E3B12A4">
            <w:pPr>
              <w:pStyle w:val="6"/>
              <w:spacing w:before="260" w:line="195" w:lineRule="auto"/>
              <w:ind w:left="274"/>
              <w:rPr>
                <w:sz w:val="20"/>
                <w:szCs w:val="20"/>
              </w:rPr>
            </w:pPr>
            <w:r>
              <w:rPr>
                <w:spacing w:val="1"/>
                <w:sz w:val="20"/>
                <w:szCs w:val="20"/>
              </w:rPr>
              <w:t>51.5</w:t>
            </w:r>
          </w:p>
        </w:tc>
        <w:tc>
          <w:tcPr>
            <w:tcW w:w="875" w:type="dxa"/>
            <w:vAlign w:val="top"/>
          </w:tcPr>
          <w:p w14:paraId="46635669">
            <w:pPr>
              <w:pStyle w:val="6"/>
              <w:spacing w:before="99" w:line="195" w:lineRule="auto"/>
              <w:ind w:left="262"/>
              <w:rPr>
                <w:sz w:val="20"/>
                <w:szCs w:val="20"/>
              </w:rPr>
            </w:pPr>
            <w:r>
              <w:rPr>
                <w:spacing w:val="1"/>
                <w:sz w:val="20"/>
                <w:szCs w:val="20"/>
              </w:rPr>
              <w:t>88.4</w:t>
            </w:r>
          </w:p>
        </w:tc>
        <w:tc>
          <w:tcPr>
            <w:tcW w:w="862" w:type="dxa"/>
            <w:vAlign w:val="top"/>
          </w:tcPr>
          <w:p w14:paraId="2F8A2EA4">
            <w:pPr>
              <w:pStyle w:val="6"/>
              <w:spacing w:before="99" w:line="195" w:lineRule="auto"/>
              <w:ind w:left="256"/>
              <w:rPr>
                <w:sz w:val="20"/>
                <w:szCs w:val="20"/>
              </w:rPr>
            </w:pPr>
            <w:r>
              <w:rPr>
                <w:spacing w:val="1"/>
                <w:sz w:val="20"/>
                <w:szCs w:val="20"/>
              </w:rPr>
              <w:t>88.4</w:t>
            </w:r>
          </w:p>
        </w:tc>
        <w:tc>
          <w:tcPr>
            <w:tcW w:w="962" w:type="dxa"/>
            <w:tcBorders>
              <w:right w:val="nil"/>
            </w:tcBorders>
            <w:vAlign w:val="top"/>
          </w:tcPr>
          <w:p w14:paraId="4D148913">
            <w:pPr>
              <w:pStyle w:val="6"/>
              <w:spacing w:before="99" w:line="195" w:lineRule="auto"/>
              <w:ind w:left="320"/>
              <w:rPr>
                <w:sz w:val="20"/>
                <w:szCs w:val="20"/>
              </w:rPr>
            </w:pPr>
            <w:r>
              <w:rPr>
                <w:spacing w:val="-2"/>
                <w:sz w:val="20"/>
                <w:szCs w:val="20"/>
              </w:rPr>
              <w:t>18.4</w:t>
            </w:r>
          </w:p>
        </w:tc>
      </w:tr>
      <w:tr w14:paraId="4FC26A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635" w:type="dxa"/>
            <w:vMerge w:val="continue"/>
            <w:tcBorders>
              <w:top w:val="nil"/>
              <w:left w:val="nil"/>
            </w:tcBorders>
            <w:vAlign w:val="top"/>
          </w:tcPr>
          <w:p w14:paraId="7AB4F397">
            <w:pPr>
              <w:rPr>
                <w:rFonts w:ascii="Arial"/>
                <w:sz w:val="21"/>
              </w:rPr>
            </w:pPr>
          </w:p>
        </w:tc>
        <w:tc>
          <w:tcPr>
            <w:tcW w:w="1132" w:type="dxa"/>
            <w:vMerge w:val="continue"/>
            <w:tcBorders>
              <w:top w:val="nil"/>
            </w:tcBorders>
            <w:vAlign w:val="top"/>
          </w:tcPr>
          <w:p w14:paraId="1C1E3A23">
            <w:pPr>
              <w:rPr>
                <w:rFonts w:ascii="Arial"/>
                <w:sz w:val="21"/>
              </w:rPr>
            </w:pPr>
          </w:p>
        </w:tc>
        <w:tc>
          <w:tcPr>
            <w:tcW w:w="988" w:type="dxa"/>
            <w:vMerge w:val="continue"/>
            <w:tcBorders>
              <w:top w:val="nil"/>
            </w:tcBorders>
            <w:vAlign w:val="top"/>
          </w:tcPr>
          <w:p w14:paraId="06350A3E">
            <w:pPr>
              <w:rPr>
                <w:rFonts w:ascii="Arial"/>
                <w:sz w:val="21"/>
              </w:rPr>
            </w:pPr>
          </w:p>
        </w:tc>
        <w:tc>
          <w:tcPr>
            <w:tcW w:w="1100" w:type="dxa"/>
            <w:vAlign w:val="top"/>
          </w:tcPr>
          <w:p w14:paraId="2C17866F">
            <w:pPr>
              <w:spacing w:before="64" w:line="224" w:lineRule="auto"/>
              <w:ind w:left="139"/>
              <w:rPr>
                <w:rFonts w:ascii="仿宋" w:hAnsi="仿宋" w:eastAsia="仿宋" w:cs="仿宋"/>
                <w:sz w:val="20"/>
                <w:szCs w:val="20"/>
              </w:rPr>
            </w:pPr>
            <w:r>
              <w:rPr>
                <w:rFonts w:ascii="仿宋" w:hAnsi="仿宋" w:eastAsia="仿宋" w:cs="仿宋"/>
                <w:spacing w:val="6"/>
                <w:sz w:val="20"/>
                <w:szCs w:val="20"/>
              </w:rPr>
              <w:t>路面施工</w:t>
            </w:r>
          </w:p>
        </w:tc>
        <w:tc>
          <w:tcPr>
            <w:tcW w:w="1062" w:type="dxa"/>
            <w:vAlign w:val="top"/>
          </w:tcPr>
          <w:p w14:paraId="2CCC2EF2">
            <w:pPr>
              <w:pStyle w:val="6"/>
              <w:spacing w:before="100" w:line="195" w:lineRule="auto"/>
              <w:ind w:left="431"/>
              <w:rPr>
                <w:sz w:val="20"/>
                <w:szCs w:val="20"/>
              </w:rPr>
            </w:pPr>
            <w:r>
              <w:rPr>
                <w:spacing w:val="1"/>
                <w:sz w:val="20"/>
                <w:szCs w:val="20"/>
              </w:rPr>
              <w:t>70</w:t>
            </w:r>
          </w:p>
        </w:tc>
        <w:tc>
          <w:tcPr>
            <w:tcW w:w="900" w:type="dxa"/>
            <w:vMerge w:val="continue"/>
            <w:tcBorders>
              <w:top w:val="nil"/>
            </w:tcBorders>
            <w:vAlign w:val="top"/>
          </w:tcPr>
          <w:p w14:paraId="1798285A">
            <w:pPr>
              <w:rPr>
                <w:rFonts w:ascii="Arial"/>
                <w:sz w:val="21"/>
              </w:rPr>
            </w:pPr>
          </w:p>
        </w:tc>
        <w:tc>
          <w:tcPr>
            <w:tcW w:w="875" w:type="dxa"/>
            <w:vAlign w:val="top"/>
          </w:tcPr>
          <w:p w14:paraId="4AF5F728">
            <w:pPr>
              <w:pStyle w:val="6"/>
              <w:spacing w:before="100" w:line="195" w:lineRule="auto"/>
              <w:ind w:left="262"/>
              <w:rPr>
                <w:sz w:val="20"/>
                <w:szCs w:val="20"/>
              </w:rPr>
            </w:pPr>
            <w:r>
              <w:rPr>
                <w:spacing w:val="1"/>
                <w:sz w:val="20"/>
                <w:szCs w:val="20"/>
              </w:rPr>
              <w:t>89.4</w:t>
            </w:r>
          </w:p>
        </w:tc>
        <w:tc>
          <w:tcPr>
            <w:tcW w:w="862" w:type="dxa"/>
            <w:vAlign w:val="top"/>
          </w:tcPr>
          <w:p w14:paraId="7029381C">
            <w:pPr>
              <w:pStyle w:val="6"/>
              <w:spacing w:before="100" w:line="195" w:lineRule="auto"/>
              <w:ind w:left="256"/>
              <w:rPr>
                <w:sz w:val="20"/>
                <w:szCs w:val="20"/>
              </w:rPr>
            </w:pPr>
            <w:r>
              <w:rPr>
                <w:spacing w:val="1"/>
                <w:sz w:val="20"/>
                <w:szCs w:val="20"/>
              </w:rPr>
              <w:t>89.4</w:t>
            </w:r>
          </w:p>
        </w:tc>
        <w:tc>
          <w:tcPr>
            <w:tcW w:w="962" w:type="dxa"/>
            <w:tcBorders>
              <w:right w:val="nil"/>
            </w:tcBorders>
            <w:vAlign w:val="top"/>
          </w:tcPr>
          <w:p w14:paraId="4D83F358">
            <w:pPr>
              <w:pStyle w:val="6"/>
              <w:spacing w:before="100" w:line="195" w:lineRule="auto"/>
              <w:ind w:left="320"/>
              <w:rPr>
                <w:sz w:val="20"/>
                <w:szCs w:val="20"/>
              </w:rPr>
            </w:pPr>
            <w:r>
              <w:rPr>
                <w:spacing w:val="-2"/>
                <w:sz w:val="20"/>
                <w:szCs w:val="20"/>
              </w:rPr>
              <w:t>19.4</w:t>
            </w:r>
          </w:p>
        </w:tc>
      </w:tr>
      <w:tr w14:paraId="33A581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5" w:type="dxa"/>
            <w:vMerge w:val="restart"/>
            <w:tcBorders>
              <w:left w:val="nil"/>
              <w:bottom w:val="nil"/>
            </w:tcBorders>
            <w:vAlign w:val="top"/>
          </w:tcPr>
          <w:p w14:paraId="602998FC">
            <w:pPr>
              <w:pStyle w:val="6"/>
              <w:spacing w:before="266" w:line="192" w:lineRule="auto"/>
              <w:ind w:left="271"/>
              <w:rPr>
                <w:sz w:val="20"/>
                <w:szCs w:val="20"/>
              </w:rPr>
            </w:pPr>
            <w:r>
              <w:rPr>
                <w:sz w:val="20"/>
                <w:szCs w:val="20"/>
              </w:rPr>
              <w:t>7</w:t>
            </w:r>
          </w:p>
        </w:tc>
        <w:tc>
          <w:tcPr>
            <w:tcW w:w="1132" w:type="dxa"/>
            <w:vMerge w:val="restart"/>
            <w:tcBorders>
              <w:bottom w:val="nil"/>
            </w:tcBorders>
            <w:vAlign w:val="top"/>
          </w:tcPr>
          <w:p w14:paraId="3DBBF99A">
            <w:pPr>
              <w:pStyle w:val="6"/>
              <w:spacing w:before="67" w:line="258" w:lineRule="auto"/>
              <w:ind w:left="393" w:right="146" w:hanging="235"/>
              <w:rPr>
                <w:sz w:val="20"/>
                <w:szCs w:val="20"/>
              </w:rPr>
            </w:pPr>
            <w:r>
              <w:rPr>
                <w:rFonts w:ascii="仿宋" w:hAnsi="仿宋" w:eastAsia="仿宋" w:cs="仿宋"/>
                <w:spacing w:val="5"/>
                <w:sz w:val="20"/>
                <w:szCs w:val="20"/>
              </w:rPr>
              <w:t>大圪梁散</w:t>
            </w:r>
            <w:r>
              <w:rPr>
                <w:rFonts w:ascii="仿宋" w:hAnsi="仿宋" w:eastAsia="仿宋" w:cs="仿宋"/>
                <w:spacing w:val="-3"/>
                <w:sz w:val="20"/>
                <w:szCs w:val="20"/>
              </w:rPr>
              <w:t>户</w:t>
            </w:r>
            <w:r>
              <w:rPr>
                <w:rFonts w:ascii="仿宋" w:hAnsi="仿宋" w:eastAsia="仿宋" w:cs="仿宋"/>
                <w:spacing w:val="-23"/>
                <w:sz w:val="20"/>
                <w:szCs w:val="20"/>
              </w:rPr>
              <w:t xml:space="preserve"> </w:t>
            </w:r>
            <w:r>
              <w:rPr>
                <w:spacing w:val="-3"/>
                <w:sz w:val="20"/>
                <w:szCs w:val="20"/>
              </w:rPr>
              <w:t>1</w:t>
            </w:r>
          </w:p>
        </w:tc>
        <w:tc>
          <w:tcPr>
            <w:tcW w:w="988" w:type="dxa"/>
            <w:vMerge w:val="restart"/>
            <w:tcBorders>
              <w:bottom w:val="nil"/>
            </w:tcBorders>
            <w:vAlign w:val="top"/>
          </w:tcPr>
          <w:p w14:paraId="2479A6B2">
            <w:pPr>
              <w:pStyle w:val="6"/>
              <w:spacing w:before="263" w:line="195" w:lineRule="auto"/>
              <w:ind w:left="307"/>
              <w:rPr>
                <w:sz w:val="20"/>
                <w:szCs w:val="20"/>
              </w:rPr>
            </w:pPr>
            <w:r>
              <w:rPr>
                <w:spacing w:val="4"/>
                <w:sz w:val="20"/>
                <w:szCs w:val="20"/>
              </w:rPr>
              <w:t>42m</w:t>
            </w:r>
          </w:p>
        </w:tc>
        <w:tc>
          <w:tcPr>
            <w:tcW w:w="1100" w:type="dxa"/>
            <w:vAlign w:val="top"/>
          </w:tcPr>
          <w:p w14:paraId="25973E1C">
            <w:pPr>
              <w:spacing w:before="64" w:line="223" w:lineRule="auto"/>
              <w:ind w:left="139"/>
              <w:rPr>
                <w:rFonts w:ascii="仿宋" w:hAnsi="仿宋" w:eastAsia="仿宋" w:cs="仿宋"/>
                <w:sz w:val="20"/>
                <w:szCs w:val="20"/>
              </w:rPr>
            </w:pPr>
            <w:r>
              <w:rPr>
                <w:rFonts w:ascii="仿宋" w:hAnsi="仿宋" w:eastAsia="仿宋" w:cs="仿宋"/>
                <w:spacing w:val="6"/>
                <w:sz w:val="20"/>
                <w:szCs w:val="20"/>
              </w:rPr>
              <w:t>路基施工</w:t>
            </w:r>
          </w:p>
        </w:tc>
        <w:tc>
          <w:tcPr>
            <w:tcW w:w="1062" w:type="dxa"/>
            <w:vAlign w:val="top"/>
          </w:tcPr>
          <w:p w14:paraId="13157ECA">
            <w:pPr>
              <w:pStyle w:val="6"/>
              <w:spacing w:before="102" w:line="195" w:lineRule="auto"/>
              <w:ind w:left="431"/>
              <w:rPr>
                <w:sz w:val="20"/>
                <w:szCs w:val="20"/>
              </w:rPr>
            </w:pPr>
            <w:r>
              <w:rPr>
                <w:spacing w:val="1"/>
                <w:sz w:val="20"/>
                <w:szCs w:val="20"/>
              </w:rPr>
              <w:t>70</w:t>
            </w:r>
          </w:p>
        </w:tc>
        <w:tc>
          <w:tcPr>
            <w:tcW w:w="900" w:type="dxa"/>
            <w:vMerge w:val="restart"/>
            <w:tcBorders>
              <w:bottom w:val="nil"/>
            </w:tcBorders>
            <w:vAlign w:val="top"/>
          </w:tcPr>
          <w:p w14:paraId="33E493D4">
            <w:pPr>
              <w:pStyle w:val="6"/>
              <w:spacing w:before="263" w:line="195" w:lineRule="auto"/>
              <w:ind w:left="351"/>
              <w:rPr>
                <w:sz w:val="20"/>
                <w:szCs w:val="20"/>
              </w:rPr>
            </w:pPr>
            <w:r>
              <w:rPr>
                <w:sz w:val="20"/>
                <w:szCs w:val="20"/>
              </w:rPr>
              <w:t>52</w:t>
            </w:r>
          </w:p>
        </w:tc>
        <w:tc>
          <w:tcPr>
            <w:tcW w:w="875" w:type="dxa"/>
            <w:vAlign w:val="top"/>
          </w:tcPr>
          <w:p w14:paraId="0D3C0A8E">
            <w:pPr>
              <w:pStyle w:val="6"/>
              <w:spacing w:before="105" w:line="192" w:lineRule="auto"/>
              <w:ind w:left="257"/>
              <w:rPr>
                <w:sz w:val="20"/>
                <w:szCs w:val="20"/>
              </w:rPr>
            </w:pPr>
            <w:r>
              <w:rPr>
                <w:spacing w:val="2"/>
                <w:sz w:val="20"/>
                <w:szCs w:val="20"/>
              </w:rPr>
              <w:t>75.5</w:t>
            </w:r>
          </w:p>
        </w:tc>
        <w:tc>
          <w:tcPr>
            <w:tcW w:w="862" w:type="dxa"/>
            <w:vAlign w:val="top"/>
          </w:tcPr>
          <w:p w14:paraId="06348E0F">
            <w:pPr>
              <w:pStyle w:val="6"/>
              <w:spacing w:before="102" w:line="195" w:lineRule="auto"/>
              <w:ind w:left="251"/>
              <w:rPr>
                <w:sz w:val="20"/>
                <w:szCs w:val="20"/>
              </w:rPr>
            </w:pPr>
            <w:r>
              <w:rPr>
                <w:spacing w:val="2"/>
                <w:sz w:val="20"/>
                <w:szCs w:val="20"/>
              </w:rPr>
              <w:t>75.6</w:t>
            </w:r>
          </w:p>
        </w:tc>
        <w:tc>
          <w:tcPr>
            <w:tcW w:w="962" w:type="dxa"/>
            <w:tcBorders>
              <w:right w:val="nil"/>
            </w:tcBorders>
            <w:vAlign w:val="top"/>
          </w:tcPr>
          <w:p w14:paraId="2F574F11">
            <w:pPr>
              <w:pStyle w:val="6"/>
              <w:spacing w:before="102" w:line="195" w:lineRule="auto"/>
              <w:ind w:left="356"/>
              <w:rPr>
                <w:sz w:val="20"/>
                <w:szCs w:val="20"/>
              </w:rPr>
            </w:pPr>
            <w:r>
              <w:rPr>
                <w:sz w:val="20"/>
                <w:szCs w:val="20"/>
              </w:rPr>
              <w:t>5.6</w:t>
            </w:r>
          </w:p>
        </w:tc>
      </w:tr>
      <w:tr w14:paraId="53BB97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5" w:type="dxa"/>
            <w:vMerge w:val="continue"/>
            <w:tcBorders>
              <w:top w:val="nil"/>
              <w:left w:val="nil"/>
            </w:tcBorders>
            <w:vAlign w:val="top"/>
          </w:tcPr>
          <w:p w14:paraId="518A0DC9">
            <w:pPr>
              <w:rPr>
                <w:rFonts w:ascii="Arial"/>
                <w:sz w:val="21"/>
              </w:rPr>
            </w:pPr>
          </w:p>
        </w:tc>
        <w:tc>
          <w:tcPr>
            <w:tcW w:w="1132" w:type="dxa"/>
            <w:vMerge w:val="continue"/>
            <w:tcBorders>
              <w:top w:val="nil"/>
            </w:tcBorders>
            <w:vAlign w:val="top"/>
          </w:tcPr>
          <w:p w14:paraId="7918DE91">
            <w:pPr>
              <w:rPr>
                <w:rFonts w:ascii="Arial"/>
                <w:sz w:val="21"/>
              </w:rPr>
            </w:pPr>
          </w:p>
        </w:tc>
        <w:tc>
          <w:tcPr>
            <w:tcW w:w="988" w:type="dxa"/>
            <w:vMerge w:val="continue"/>
            <w:tcBorders>
              <w:top w:val="nil"/>
            </w:tcBorders>
            <w:vAlign w:val="top"/>
          </w:tcPr>
          <w:p w14:paraId="5987F363">
            <w:pPr>
              <w:rPr>
                <w:rFonts w:ascii="Arial"/>
                <w:sz w:val="21"/>
              </w:rPr>
            </w:pPr>
          </w:p>
        </w:tc>
        <w:tc>
          <w:tcPr>
            <w:tcW w:w="1100" w:type="dxa"/>
            <w:vAlign w:val="top"/>
          </w:tcPr>
          <w:p w14:paraId="1E098AF5">
            <w:pPr>
              <w:spacing w:before="64" w:line="223" w:lineRule="auto"/>
              <w:ind w:left="139"/>
              <w:rPr>
                <w:rFonts w:ascii="仿宋" w:hAnsi="仿宋" w:eastAsia="仿宋" w:cs="仿宋"/>
                <w:sz w:val="20"/>
                <w:szCs w:val="20"/>
              </w:rPr>
            </w:pPr>
            <w:r>
              <w:rPr>
                <w:rFonts w:ascii="仿宋" w:hAnsi="仿宋" w:eastAsia="仿宋" w:cs="仿宋"/>
                <w:spacing w:val="6"/>
                <w:sz w:val="20"/>
                <w:szCs w:val="20"/>
              </w:rPr>
              <w:t>路面施工</w:t>
            </w:r>
          </w:p>
        </w:tc>
        <w:tc>
          <w:tcPr>
            <w:tcW w:w="1062" w:type="dxa"/>
            <w:vAlign w:val="top"/>
          </w:tcPr>
          <w:p w14:paraId="5A307FD4">
            <w:pPr>
              <w:pStyle w:val="6"/>
              <w:spacing w:before="102" w:line="195" w:lineRule="auto"/>
              <w:ind w:left="431"/>
              <w:rPr>
                <w:sz w:val="20"/>
                <w:szCs w:val="20"/>
              </w:rPr>
            </w:pPr>
            <w:r>
              <w:rPr>
                <w:spacing w:val="1"/>
                <w:sz w:val="20"/>
                <w:szCs w:val="20"/>
              </w:rPr>
              <w:t>70</w:t>
            </w:r>
          </w:p>
        </w:tc>
        <w:tc>
          <w:tcPr>
            <w:tcW w:w="900" w:type="dxa"/>
            <w:vMerge w:val="continue"/>
            <w:tcBorders>
              <w:top w:val="nil"/>
            </w:tcBorders>
            <w:vAlign w:val="top"/>
          </w:tcPr>
          <w:p w14:paraId="69D9FBAB">
            <w:pPr>
              <w:rPr>
                <w:rFonts w:ascii="Arial"/>
                <w:sz w:val="21"/>
              </w:rPr>
            </w:pPr>
          </w:p>
        </w:tc>
        <w:tc>
          <w:tcPr>
            <w:tcW w:w="875" w:type="dxa"/>
            <w:vAlign w:val="top"/>
          </w:tcPr>
          <w:p w14:paraId="340070F1">
            <w:pPr>
              <w:pStyle w:val="6"/>
              <w:spacing w:before="102" w:line="195" w:lineRule="auto"/>
              <w:ind w:left="257"/>
              <w:rPr>
                <w:sz w:val="20"/>
                <w:szCs w:val="20"/>
              </w:rPr>
            </w:pPr>
            <w:r>
              <w:rPr>
                <w:spacing w:val="2"/>
                <w:sz w:val="20"/>
                <w:szCs w:val="20"/>
              </w:rPr>
              <w:t>76.5</w:t>
            </w:r>
          </w:p>
        </w:tc>
        <w:tc>
          <w:tcPr>
            <w:tcW w:w="862" w:type="dxa"/>
            <w:vAlign w:val="top"/>
          </w:tcPr>
          <w:p w14:paraId="7BFB7310">
            <w:pPr>
              <w:pStyle w:val="6"/>
              <w:spacing w:before="102" w:line="195" w:lineRule="auto"/>
              <w:ind w:left="251"/>
              <w:rPr>
                <w:sz w:val="20"/>
                <w:szCs w:val="20"/>
              </w:rPr>
            </w:pPr>
            <w:r>
              <w:rPr>
                <w:spacing w:val="2"/>
                <w:sz w:val="20"/>
                <w:szCs w:val="20"/>
              </w:rPr>
              <w:t>76.6</w:t>
            </w:r>
          </w:p>
        </w:tc>
        <w:tc>
          <w:tcPr>
            <w:tcW w:w="962" w:type="dxa"/>
            <w:tcBorders>
              <w:right w:val="nil"/>
            </w:tcBorders>
            <w:vAlign w:val="top"/>
          </w:tcPr>
          <w:p w14:paraId="10AA5658">
            <w:pPr>
              <w:pStyle w:val="6"/>
              <w:spacing w:before="102" w:line="195" w:lineRule="auto"/>
              <w:ind w:left="355"/>
              <w:rPr>
                <w:sz w:val="20"/>
                <w:szCs w:val="20"/>
              </w:rPr>
            </w:pPr>
            <w:r>
              <w:rPr>
                <w:spacing w:val="1"/>
                <w:sz w:val="20"/>
                <w:szCs w:val="20"/>
              </w:rPr>
              <w:t>6.6</w:t>
            </w:r>
          </w:p>
        </w:tc>
      </w:tr>
      <w:tr w14:paraId="755068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5" w:type="dxa"/>
            <w:vMerge w:val="restart"/>
            <w:tcBorders>
              <w:left w:val="nil"/>
              <w:bottom w:val="nil"/>
            </w:tcBorders>
            <w:vAlign w:val="top"/>
          </w:tcPr>
          <w:p w14:paraId="4B111CC3">
            <w:pPr>
              <w:pStyle w:val="6"/>
              <w:spacing w:before="264" w:line="195" w:lineRule="auto"/>
              <w:ind w:left="276"/>
              <w:rPr>
                <w:sz w:val="20"/>
                <w:szCs w:val="20"/>
              </w:rPr>
            </w:pPr>
            <w:r>
              <w:rPr>
                <w:sz w:val="20"/>
                <w:szCs w:val="20"/>
              </w:rPr>
              <w:t>8</w:t>
            </w:r>
          </w:p>
        </w:tc>
        <w:tc>
          <w:tcPr>
            <w:tcW w:w="1132" w:type="dxa"/>
            <w:vMerge w:val="restart"/>
            <w:tcBorders>
              <w:bottom w:val="nil"/>
            </w:tcBorders>
            <w:vAlign w:val="top"/>
          </w:tcPr>
          <w:p w14:paraId="51E46A07">
            <w:pPr>
              <w:pStyle w:val="6"/>
              <w:spacing w:before="72" w:line="256" w:lineRule="auto"/>
              <w:ind w:left="393" w:right="146" w:hanging="235"/>
              <w:rPr>
                <w:sz w:val="20"/>
                <w:szCs w:val="20"/>
              </w:rPr>
            </w:pPr>
            <w:r>
              <w:rPr>
                <w:rFonts w:ascii="仿宋" w:hAnsi="仿宋" w:eastAsia="仿宋" w:cs="仿宋"/>
                <w:spacing w:val="5"/>
                <w:sz w:val="20"/>
                <w:szCs w:val="20"/>
              </w:rPr>
              <w:t>大圪梁散</w:t>
            </w:r>
            <w:r>
              <w:rPr>
                <w:rFonts w:ascii="仿宋" w:hAnsi="仿宋" w:eastAsia="仿宋" w:cs="仿宋"/>
                <w:spacing w:val="-3"/>
                <w:sz w:val="20"/>
                <w:szCs w:val="20"/>
              </w:rPr>
              <w:t>户</w:t>
            </w:r>
            <w:r>
              <w:rPr>
                <w:rFonts w:ascii="仿宋" w:hAnsi="仿宋" w:eastAsia="仿宋" w:cs="仿宋"/>
                <w:spacing w:val="-43"/>
                <w:sz w:val="20"/>
                <w:szCs w:val="20"/>
              </w:rPr>
              <w:t xml:space="preserve"> </w:t>
            </w:r>
            <w:r>
              <w:rPr>
                <w:spacing w:val="-3"/>
                <w:sz w:val="20"/>
                <w:szCs w:val="20"/>
              </w:rPr>
              <w:t>2</w:t>
            </w:r>
          </w:p>
        </w:tc>
        <w:tc>
          <w:tcPr>
            <w:tcW w:w="988" w:type="dxa"/>
            <w:vMerge w:val="restart"/>
            <w:tcBorders>
              <w:bottom w:val="nil"/>
            </w:tcBorders>
            <w:vAlign w:val="top"/>
          </w:tcPr>
          <w:p w14:paraId="6CDAC76F">
            <w:pPr>
              <w:pStyle w:val="6"/>
              <w:spacing w:before="264" w:line="195" w:lineRule="auto"/>
              <w:ind w:left="308"/>
              <w:rPr>
                <w:sz w:val="20"/>
                <w:szCs w:val="20"/>
              </w:rPr>
            </w:pPr>
            <w:r>
              <w:rPr>
                <w:spacing w:val="4"/>
                <w:sz w:val="20"/>
                <w:szCs w:val="20"/>
              </w:rPr>
              <w:t>27m</w:t>
            </w:r>
          </w:p>
        </w:tc>
        <w:tc>
          <w:tcPr>
            <w:tcW w:w="1100" w:type="dxa"/>
            <w:vAlign w:val="top"/>
          </w:tcPr>
          <w:p w14:paraId="37AF1AA4">
            <w:pPr>
              <w:spacing w:before="67" w:line="220" w:lineRule="auto"/>
              <w:ind w:left="139"/>
              <w:rPr>
                <w:rFonts w:ascii="仿宋" w:hAnsi="仿宋" w:eastAsia="仿宋" w:cs="仿宋"/>
                <w:sz w:val="20"/>
                <w:szCs w:val="20"/>
              </w:rPr>
            </w:pPr>
            <w:r>
              <w:rPr>
                <w:rFonts w:ascii="仿宋" w:hAnsi="仿宋" w:eastAsia="仿宋" w:cs="仿宋"/>
                <w:spacing w:val="6"/>
                <w:sz w:val="20"/>
                <w:szCs w:val="20"/>
              </w:rPr>
              <w:t>路基施工</w:t>
            </w:r>
          </w:p>
        </w:tc>
        <w:tc>
          <w:tcPr>
            <w:tcW w:w="1062" w:type="dxa"/>
            <w:vAlign w:val="top"/>
          </w:tcPr>
          <w:p w14:paraId="6613E908">
            <w:pPr>
              <w:pStyle w:val="6"/>
              <w:spacing w:before="103" w:line="195" w:lineRule="auto"/>
              <w:ind w:left="431"/>
              <w:rPr>
                <w:sz w:val="20"/>
                <w:szCs w:val="20"/>
              </w:rPr>
            </w:pPr>
            <w:r>
              <w:rPr>
                <w:spacing w:val="1"/>
                <w:sz w:val="20"/>
                <w:szCs w:val="20"/>
              </w:rPr>
              <w:t>70</w:t>
            </w:r>
          </w:p>
        </w:tc>
        <w:tc>
          <w:tcPr>
            <w:tcW w:w="900" w:type="dxa"/>
            <w:vMerge w:val="restart"/>
            <w:tcBorders>
              <w:bottom w:val="nil"/>
            </w:tcBorders>
            <w:vAlign w:val="top"/>
          </w:tcPr>
          <w:p w14:paraId="20887BB1">
            <w:pPr>
              <w:pStyle w:val="6"/>
              <w:spacing w:before="264" w:line="195" w:lineRule="auto"/>
              <w:ind w:left="344"/>
              <w:rPr>
                <w:sz w:val="20"/>
                <w:szCs w:val="20"/>
              </w:rPr>
            </w:pPr>
            <w:r>
              <w:rPr>
                <w:spacing w:val="3"/>
                <w:sz w:val="20"/>
                <w:szCs w:val="20"/>
              </w:rPr>
              <w:t>43</w:t>
            </w:r>
          </w:p>
        </w:tc>
        <w:tc>
          <w:tcPr>
            <w:tcW w:w="875" w:type="dxa"/>
            <w:vAlign w:val="top"/>
          </w:tcPr>
          <w:p w14:paraId="46623BE0">
            <w:pPr>
              <w:pStyle w:val="6"/>
              <w:spacing w:before="103" w:line="195" w:lineRule="auto"/>
              <w:ind w:left="257"/>
              <w:rPr>
                <w:sz w:val="20"/>
                <w:szCs w:val="20"/>
              </w:rPr>
            </w:pPr>
            <w:r>
              <w:rPr>
                <w:spacing w:val="2"/>
                <w:sz w:val="20"/>
                <w:szCs w:val="20"/>
              </w:rPr>
              <w:t>79.3</w:t>
            </w:r>
          </w:p>
        </w:tc>
        <w:tc>
          <w:tcPr>
            <w:tcW w:w="862" w:type="dxa"/>
            <w:vAlign w:val="top"/>
          </w:tcPr>
          <w:p w14:paraId="029F4928">
            <w:pPr>
              <w:pStyle w:val="6"/>
              <w:spacing w:before="103" w:line="195" w:lineRule="auto"/>
              <w:ind w:left="251"/>
              <w:rPr>
                <w:sz w:val="20"/>
                <w:szCs w:val="20"/>
              </w:rPr>
            </w:pPr>
            <w:r>
              <w:rPr>
                <w:spacing w:val="2"/>
                <w:sz w:val="20"/>
                <w:szCs w:val="20"/>
              </w:rPr>
              <w:t>79.3</w:t>
            </w:r>
          </w:p>
        </w:tc>
        <w:tc>
          <w:tcPr>
            <w:tcW w:w="962" w:type="dxa"/>
            <w:tcBorders>
              <w:right w:val="nil"/>
            </w:tcBorders>
            <w:vAlign w:val="top"/>
          </w:tcPr>
          <w:p w14:paraId="1776E7D1">
            <w:pPr>
              <w:pStyle w:val="6"/>
              <w:spacing w:before="103" w:line="195" w:lineRule="auto"/>
              <w:ind w:left="355"/>
              <w:rPr>
                <w:sz w:val="20"/>
                <w:szCs w:val="20"/>
              </w:rPr>
            </w:pPr>
            <w:r>
              <w:rPr>
                <w:spacing w:val="1"/>
                <w:sz w:val="20"/>
                <w:szCs w:val="20"/>
              </w:rPr>
              <w:t>9.3</w:t>
            </w:r>
          </w:p>
        </w:tc>
      </w:tr>
      <w:tr w14:paraId="37C4C4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5" w:type="dxa"/>
            <w:vMerge w:val="continue"/>
            <w:tcBorders>
              <w:top w:val="nil"/>
              <w:left w:val="nil"/>
            </w:tcBorders>
            <w:vAlign w:val="top"/>
          </w:tcPr>
          <w:p w14:paraId="27A9A4D8">
            <w:pPr>
              <w:rPr>
                <w:rFonts w:ascii="Arial"/>
                <w:sz w:val="21"/>
              </w:rPr>
            </w:pPr>
          </w:p>
        </w:tc>
        <w:tc>
          <w:tcPr>
            <w:tcW w:w="1132" w:type="dxa"/>
            <w:vMerge w:val="continue"/>
            <w:tcBorders>
              <w:top w:val="nil"/>
            </w:tcBorders>
            <w:vAlign w:val="top"/>
          </w:tcPr>
          <w:p w14:paraId="073A9E74">
            <w:pPr>
              <w:rPr>
                <w:rFonts w:ascii="Arial"/>
                <w:sz w:val="21"/>
              </w:rPr>
            </w:pPr>
          </w:p>
        </w:tc>
        <w:tc>
          <w:tcPr>
            <w:tcW w:w="988" w:type="dxa"/>
            <w:vMerge w:val="continue"/>
            <w:tcBorders>
              <w:top w:val="nil"/>
            </w:tcBorders>
            <w:vAlign w:val="top"/>
          </w:tcPr>
          <w:p w14:paraId="10B41B05">
            <w:pPr>
              <w:rPr>
                <w:rFonts w:ascii="Arial"/>
                <w:sz w:val="21"/>
              </w:rPr>
            </w:pPr>
          </w:p>
        </w:tc>
        <w:tc>
          <w:tcPr>
            <w:tcW w:w="1100" w:type="dxa"/>
            <w:vAlign w:val="top"/>
          </w:tcPr>
          <w:p w14:paraId="4A8C98DB">
            <w:pPr>
              <w:spacing w:before="68" w:line="219" w:lineRule="auto"/>
              <w:ind w:left="139"/>
              <w:rPr>
                <w:rFonts w:ascii="仿宋" w:hAnsi="仿宋" w:eastAsia="仿宋" w:cs="仿宋"/>
                <w:sz w:val="20"/>
                <w:szCs w:val="20"/>
              </w:rPr>
            </w:pPr>
            <w:r>
              <w:rPr>
                <w:rFonts w:ascii="仿宋" w:hAnsi="仿宋" w:eastAsia="仿宋" w:cs="仿宋"/>
                <w:spacing w:val="6"/>
                <w:sz w:val="20"/>
                <w:szCs w:val="20"/>
              </w:rPr>
              <w:t>路面施工</w:t>
            </w:r>
          </w:p>
        </w:tc>
        <w:tc>
          <w:tcPr>
            <w:tcW w:w="1062" w:type="dxa"/>
            <w:vAlign w:val="top"/>
          </w:tcPr>
          <w:p w14:paraId="218D1D1B">
            <w:pPr>
              <w:pStyle w:val="6"/>
              <w:spacing w:before="104" w:line="195" w:lineRule="auto"/>
              <w:ind w:left="431"/>
              <w:rPr>
                <w:sz w:val="20"/>
                <w:szCs w:val="20"/>
              </w:rPr>
            </w:pPr>
            <w:r>
              <w:rPr>
                <w:spacing w:val="1"/>
                <w:sz w:val="20"/>
                <w:szCs w:val="20"/>
              </w:rPr>
              <w:t>70</w:t>
            </w:r>
          </w:p>
        </w:tc>
        <w:tc>
          <w:tcPr>
            <w:tcW w:w="900" w:type="dxa"/>
            <w:vMerge w:val="continue"/>
            <w:tcBorders>
              <w:top w:val="nil"/>
            </w:tcBorders>
            <w:vAlign w:val="top"/>
          </w:tcPr>
          <w:p w14:paraId="6F1DF872">
            <w:pPr>
              <w:rPr>
                <w:rFonts w:ascii="Arial"/>
                <w:sz w:val="21"/>
              </w:rPr>
            </w:pPr>
          </w:p>
        </w:tc>
        <w:tc>
          <w:tcPr>
            <w:tcW w:w="875" w:type="dxa"/>
            <w:vAlign w:val="top"/>
          </w:tcPr>
          <w:p w14:paraId="29F4F1E3">
            <w:pPr>
              <w:pStyle w:val="6"/>
              <w:spacing w:before="104" w:line="195" w:lineRule="auto"/>
              <w:ind w:left="262"/>
              <w:rPr>
                <w:sz w:val="20"/>
                <w:szCs w:val="20"/>
              </w:rPr>
            </w:pPr>
            <w:r>
              <w:rPr>
                <w:spacing w:val="1"/>
                <w:sz w:val="20"/>
                <w:szCs w:val="20"/>
              </w:rPr>
              <w:t>80.3</w:t>
            </w:r>
          </w:p>
        </w:tc>
        <w:tc>
          <w:tcPr>
            <w:tcW w:w="862" w:type="dxa"/>
            <w:vAlign w:val="top"/>
          </w:tcPr>
          <w:p w14:paraId="39FF0456">
            <w:pPr>
              <w:pStyle w:val="6"/>
              <w:spacing w:before="104" w:line="195" w:lineRule="auto"/>
              <w:ind w:left="256"/>
              <w:rPr>
                <w:sz w:val="20"/>
                <w:szCs w:val="20"/>
              </w:rPr>
            </w:pPr>
            <w:r>
              <w:rPr>
                <w:spacing w:val="1"/>
                <w:sz w:val="20"/>
                <w:szCs w:val="20"/>
              </w:rPr>
              <w:t>80.3</w:t>
            </w:r>
          </w:p>
        </w:tc>
        <w:tc>
          <w:tcPr>
            <w:tcW w:w="962" w:type="dxa"/>
            <w:tcBorders>
              <w:right w:val="nil"/>
            </w:tcBorders>
            <w:vAlign w:val="top"/>
          </w:tcPr>
          <w:p w14:paraId="5471AD38">
            <w:pPr>
              <w:pStyle w:val="6"/>
              <w:spacing w:before="104" w:line="195" w:lineRule="auto"/>
              <w:ind w:left="320"/>
              <w:rPr>
                <w:sz w:val="20"/>
                <w:szCs w:val="20"/>
              </w:rPr>
            </w:pPr>
            <w:r>
              <w:rPr>
                <w:spacing w:val="-2"/>
                <w:sz w:val="20"/>
                <w:szCs w:val="20"/>
              </w:rPr>
              <w:t>10.3</w:t>
            </w:r>
          </w:p>
        </w:tc>
      </w:tr>
      <w:tr w14:paraId="03C537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5" w:type="dxa"/>
            <w:vMerge w:val="restart"/>
            <w:tcBorders>
              <w:left w:val="nil"/>
              <w:bottom w:val="nil"/>
            </w:tcBorders>
            <w:vAlign w:val="top"/>
          </w:tcPr>
          <w:p w14:paraId="4A9DE99A">
            <w:pPr>
              <w:pStyle w:val="6"/>
              <w:spacing w:before="265" w:line="195" w:lineRule="auto"/>
              <w:ind w:left="272"/>
              <w:rPr>
                <w:sz w:val="20"/>
                <w:szCs w:val="20"/>
              </w:rPr>
            </w:pPr>
            <w:r>
              <w:rPr>
                <w:sz w:val="20"/>
                <w:szCs w:val="20"/>
              </w:rPr>
              <w:t>9</w:t>
            </w:r>
          </w:p>
        </w:tc>
        <w:tc>
          <w:tcPr>
            <w:tcW w:w="1132" w:type="dxa"/>
            <w:vMerge w:val="restart"/>
            <w:tcBorders>
              <w:bottom w:val="nil"/>
            </w:tcBorders>
            <w:vAlign w:val="top"/>
          </w:tcPr>
          <w:p w14:paraId="6425D854">
            <w:pPr>
              <w:pStyle w:val="6"/>
              <w:spacing w:before="74" w:line="255" w:lineRule="auto"/>
              <w:ind w:left="472" w:right="110" w:hanging="343"/>
              <w:rPr>
                <w:rFonts w:ascii="仿宋" w:hAnsi="仿宋" w:eastAsia="仿宋" w:cs="仿宋"/>
                <w:sz w:val="20"/>
                <w:szCs w:val="20"/>
              </w:rPr>
            </w:pPr>
            <w:r>
              <w:rPr>
                <w:rFonts w:ascii="仿宋" w:hAnsi="仿宋" w:eastAsia="仿宋" w:cs="仿宋"/>
                <w:spacing w:val="4"/>
                <w:sz w:val="20"/>
                <w:szCs w:val="20"/>
              </w:rPr>
              <w:t>二道壕</w:t>
            </w:r>
            <w:r>
              <w:rPr>
                <w:spacing w:val="4"/>
                <w:sz w:val="20"/>
                <w:szCs w:val="20"/>
              </w:rPr>
              <w:t>-</w:t>
            </w:r>
            <w:r>
              <w:rPr>
                <w:rFonts w:ascii="仿宋" w:hAnsi="仿宋" w:eastAsia="仿宋" w:cs="仿宋"/>
                <w:spacing w:val="4"/>
                <w:sz w:val="20"/>
                <w:szCs w:val="20"/>
              </w:rPr>
              <w:t>散</w:t>
            </w:r>
            <w:r>
              <w:rPr>
                <w:rFonts w:ascii="仿宋" w:hAnsi="仿宋" w:eastAsia="仿宋" w:cs="仿宋"/>
                <w:sz w:val="20"/>
                <w:szCs w:val="20"/>
              </w:rPr>
              <w:t>户</w:t>
            </w:r>
          </w:p>
        </w:tc>
        <w:tc>
          <w:tcPr>
            <w:tcW w:w="988" w:type="dxa"/>
            <w:vMerge w:val="restart"/>
            <w:tcBorders>
              <w:bottom w:val="nil"/>
            </w:tcBorders>
            <w:vAlign w:val="top"/>
          </w:tcPr>
          <w:p w14:paraId="128BFC3D">
            <w:pPr>
              <w:pStyle w:val="6"/>
              <w:spacing w:before="265" w:line="195" w:lineRule="auto"/>
              <w:ind w:left="313"/>
              <w:rPr>
                <w:sz w:val="20"/>
                <w:szCs w:val="20"/>
              </w:rPr>
            </w:pPr>
            <w:r>
              <w:rPr>
                <w:spacing w:val="3"/>
                <w:sz w:val="20"/>
                <w:szCs w:val="20"/>
              </w:rPr>
              <w:t>60m</w:t>
            </w:r>
          </w:p>
        </w:tc>
        <w:tc>
          <w:tcPr>
            <w:tcW w:w="1100" w:type="dxa"/>
            <w:vAlign w:val="top"/>
          </w:tcPr>
          <w:p w14:paraId="19C26B62">
            <w:pPr>
              <w:spacing w:before="68" w:line="219" w:lineRule="auto"/>
              <w:ind w:left="139"/>
              <w:rPr>
                <w:rFonts w:ascii="仿宋" w:hAnsi="仿宋" w:eastAsia="仿宋" w:cs="仿宋"/>
                <w:sz w:val="20"/>
                <w:szCs w:val="20"/>
              </w:rPr>
            </w:pPr>
            <w:r>
              <w:rPr>
                <w:rFonts w:ascii="仿宋" w:hAnsi="仿宋" w:eastAsia="仿宋" w:cs="仿宋"/>
                <w:spacing w:val="6"/>
                <w:sz w:val="20"/>
                <w:szCs w:val="20"/>
              </w:rPr>
              <w:t>路基施工</w:t>
            </w:r>
          </w:p>
        </w:tc>
        <w:tc>
          <w:tcPr>
            <w:tcW w:w="1062" w:type="dxa"/>
            <w:vAlign w:val="top"/>
          </w:tcPr>
          <w:p w14:paraId="7853B14C">
            <w:pPr>
              <w:pStyle w:val="6"/>
              <w:spacing w:before="104" w:line="195" w:lineRule="auto"/>
              <w:ind w:left="431"/>
              <w:rPr>
                <w:sz w:val="20"/>
                <w:szCs w:val="20"/>
              </w:rPr>
            </w:pPr>
            <w:r>
              <w:rPr>
                <w:spacing w:val="1"/>
                <w:sz w:val="20"/>
                <w:szCs w:val="20"/>
              </w:rPr>
              <w:t>70</w:t>
            </w:r>
          </w:p>
        </w:tc>
        <w:tc>
          <w:tcPr>
            <w:tcW w:w="900" w:type="dxa"/>
            <w:vMerge w:val="restart"/>
            <w:tcBorders>
              <w:bottom w:val="nil"/>
            </w:tcBorders>
            <w:vAlign w:val="top"/>
          </w:tcPr>
          <w:p w14:paraId="62DECE0D">
            <w:pPr>
              <w:pStyle w:val="6"/>
              <w:spacing w:before="265" w:line="195" w:lineRule="auto"/>
              <w:ind w:left="274"/>
              <w:rPr>
                <w:sz w:val="20"/>
                <w:szCs w:val="20"/>
              </w:rPr>
            </w:pPr>
            <w:r>
              <w:rPr>
                <w:spacing w:val="1"/>
                <w:sz w:val="20"/>
                <w:szCs w:val="20"/>
              </w:rPr>
              <w:t>52.5</w:t>
            </w:r>
          </w:p>
        </w:tc>
        <w:tc>
          <w:tcPr>
            <w:tcW w:w="875" w:type="dxa"/>
            <w:vAlign w:val="top"/>
          </w:tcPr>
          <w:p w14:paraId="09BE8A7A">
            <w:pPr>
              <w:pStyle w:val="6"/>
              <w:spacing w:before="104" w:line="195" w:lineRule="auto"/>
              <w:ind w:left="257"/>
              <w:rPr>
                <w:sz w:val="20"/>
                <w:szCs w:val="20"/>
              </w:rPr>
            </w:pPr>
            <w:r>
              <w:rPr>
                <w:spacing w:val="2"/>
                <w:sz w:val="20"/>
                <w:szCs w:val="20"/>
              </w:rPr>
              <w:t>72.4</w:t>
            </w:r>
          </w:p>
        </w:tc>
        <w:tc>
          <w:tcPr>
            <w:tcW w:w="862" w:type="dxa"/>
            <w:vAlign w:val="top"/>
          </w:tcPr>
          <w:p w14:paraId="79CB5D8F">
            <w:pPr>
              <w:pStyle w:val="6"/>
              <w:spacing w:before="104" w:line="195" w:lineRule="auto"/>
              <w:ind w:left="251"/>
              <w:rPr>
                <w:sz w:val="20"/>
                <w:szCs w:val="20"/>
              </w:rPr>
            </w:pPr>
            <w:r>
              <w:rPr>
                <w:spacing w:val="2"/>
                <w:sz w:val="20"/>
                <w:szCs w:val="20"/>
              </w:rPr>
              <w:t>72.6</w:t>
            </w:r>
          </w:p>
        </w:tc>
        <w:tc>
          <w:tcPr>
            <w:tcW w:w="962" w:type="dxa"/>
            <w:tcBorders>
              <w:right w:val="nil"/>
            </w:tcBorders>
            <w:vAlign w:val="top"/>
          </w:tcPr>
          <w:p w14:paraId="0D0BE4D2">
            <w:pPr>
              <w:pStyle w:val="6"/>
              <w:spacing w:before="104" w:line="195" w:lineRule="auto"/>
              <w:ind w:left="351"/>
              <w:rPr>
                <w:sz w:val="20"/>
                <w:szCs w:val="20"/>
              </w:rPr>
            </w:pPr>
            <w:r>
              <w:rPr>
                <w:spacing w:val="2"/>
                <w:sz w:val="20"/>
                <w:szCs w:val="20"/>
              </w:rPr>
              <w:t>2.6</w:t>
            </w:r>
          </w:p>
        </w:tc>
      </w:tr>
      <w:tr w14:paraId="0A8FA7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5" w:type="dxa"/>
            <w:vMerge w:val="continue"/>
            <w:tcBorders>
              <w:top w:val="nil"/>
              <w:left w:val="nil"/>
            </w:tcBorders>
            <w:vAlign w:val="top"/>
          </w:tcPr>
          <w:p w14:paraId="7CD64B3D">
            <w:pPr>
              <w:rPr>
                <w:rFonts w:ascii="Arial"/>
                <w:sz w:val="21"/>
              </w:rPr>
            </w:pPr>
          </w:p>
        </w:tc>
        <w:tc>
          <w:tcPr>
            <w:tcW w:w="1132" w:type="dxa"/>
            <w:vMerge w:val="continue"/>
            <w:tcBorders>
              <w:top w:val="nil"/>
            </w:tcBorders>
            <w:vAlign w:val="top"/>
          </w:tcPr>
          <w:p w14:paraId="587E4706">
            <w:pPr>
              <w:rPr>
                <w:rFonts w:ascii="Arial"/>
                <w:sz w:val="21"/>
              </w:rPr>
            </w:pPr>
          </w:p>
        </w:tc>
        <w:tc>
          <w:tcPr>
            <w:tcW w:w="988" w:type="dxa"/>
            <w:vMerge w:val="continue"/>
            <w:tcBorders>
              <w:top w:val="nil"/>
            </w:tcBorders>
            <w:vAlign w:val="top"/>
          </w:tcPr>
          <w:p w14:paraId="7BBD2527">
            <w:pPr>
              <w:rPr>
                <w:rFonts w:ascii="Arial"/>
                <w:sz w:val="21"/>
              </w:rPr>
            </w:pPr>
          </w:p>
        </w:tc>
        <w:tc>
          <w:tcPr>
            <w:tcW w:w="1100" w:type="dxa"/>
            <w:vAlign w:val="top"/>
          </w:tcPr>
          <w:p w14:paraId="54225706">
            <w:pPr>
              <w:spacing w:before="69" w:line="218" w:lineRule="auto"/>
              <w:ind w:left="139"/>
              <w:rPr>
                <w:rFonts w:ascii="仿宋" w:hAnsi="仿宋" w:eastAsia="仿宋" w:cs="仿宋"/>
                <w:sz w:val="20"/>
                <w:szCs w:val="20"/>
              </w:rPr>
            </w:pPr>
            <w:r>
              <w:rPr>
                <w:rFonts w:ascii="仿宋" w:hAnsi="仿宋" w:eastAsia="仿宋" w:cs="仿宋"/>
                <w:spacing w:val="6"/>
                <w:sz w:val="20"/>
                <w:szCs w:val="20"/>
              </w:rPr>
              <w:t>路面施工</w:t>
            </w:r>
          </w:p>
        </w:tc>
        <w:tc>
          <w:tcPr>
            <w:tcW w:w="1062" w:type="dxa"/>
            <w:vAlign w:val="top"/>
          </w:tcPr>
          <w:p w14:paraId="0C8DEC64">
            <w:pPr>
              <w:pStyle w:val="6"/>
              <w:spacing w:before="105" w:line="195" w:lineRule="auto"/>
              <w:ind w:left="431"/>
              <w:rPr>
                <w:sz w:val="20"/>
                <w:szCs w:val="20"/>
              </w:rPr>
            </w:pPr>
            <w:r>
              <w:rPr>
                <w:spacing w:val="1"/>
                <w:sz w:val="20"/>
                <w:szCs w:val="20"/>
              </w:rPr>
              <w:t>70</w:t>
            </w:r>
          </w:p>
        </w:tc>
        <w:tc>
          <w:tcPr>
            <w:tcW w:w="900" w:type="dxa"/>
            <w:vMerge w:val="continue"/>
            <w:tcBorders>
              <w:top w:val="nil"/>
            </w:tcBorders>
            <w:vAlign w:val="top"/>
          </w:tcPr>
          <w:p w14:paraId="14878B69">
            <w:pPr>
              <w:rPr>
                <w:rFonts w:ascii="Arial"/>
                <w:sz w:val="21"/>
              </w:rPr>
            </w:pPr>
          </w:p>
        </w:tc>
        <w:tc>
          <w:tcPr>
            <w:tcW w:w="875" w:type="dxa"/>
            <w:vAlign w:val="top"/>
          </w:tcPr>
          <w:p w14:paraId="5BB9E0B2">
            <w:pPr>
              <w:pStyle w:val="6"/>
              <w:spacing w:before="105" w:line="195" w:lineRule="auto"/>
              <w:ind w:left="257"/>
              <w:rPr>
                <w:sz w:val="20"/>
                <w:szCs w:val="20"/>
              </w:rPr>
            </w:pPr>
            <w:r>
              <w:rPr>
                <w:spacing w:val="2"/>
                <w:sz w:val="20"/>
                <w:szCs w:val="20"/>
              </w:rPr>
              <w:t>73.4</w:t>
            </w:r>
          </w:p>
        </w:tc>
        <w:tc>
          <w:tcPr>
            <w:tcW w:w="862" w:type="dxa"/>
            <w:vAlign w:val="top"/>
          </w:tcPr>
          <w:p w14:paraId="1D46A23C">
            <w:pPr>
              <w:pStyle w:val="6"/>
              <w:spacing w:before="105" w:line="195" w:lineRule="auto"/>
              <w:ind w:left="251"/>
              <w:rPr>
                <w:sz w:val="20"/>
                <w:szCs w:val="20"/>
              </w:rPr>
            </w:pPr>
            <w:r>
              <w:rPr>
                <w:spacing w:val="2"/>
                <w:sz w:val="20"/>
                <w:szCs w:val="20"/>
              </w:rPr>
              <w:t>73.5</w:t>
            </w:r>
          </w:p>
        </w:tc>
        <w:tc>
          <w:tcPr>
            <w:tcW w:w="962" w:type="dxa"/>
            <w:tcBorders>
              <w:right w:val="nil"/>
            </w:tcBorders>
            <w:vAlign w:val="top"/>
          </w:tcPr>
          <w:p w14:paraId="64C76D9C">
            <w:pPr>
              <w:pStyle w:val="6"/>
              <w:spacing w:before="105" w:line="195" w:lineRule="auto"/>
              <w:ind w:left="355"/>
              <w:rPr>
                <w:sz w:val="20"/>
                <w:szCs w:val="20"/>
              </w:rPr>
            </w:pPr>
            <w:r>
              <w:rPr>
                <w:spacing w:val="1"/>
                <w:sz w:val="20"/>
                <w:szCs w:val="20"/>
              </w:rPr>
              <w:t>3.5</w:t>
            </w:r>
          </w:p>
        </w:tc>
      </w:tr>
      <w:tr w14:paraId="625187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5" w:type="dxa"/>
            <w:vMerge w:val="restart"/>
            <w:tcBorders>
              <w:left w:val="nil"/>
              <w:bottom w:val="nil"/>
            </w:tcBorders>
            <w:vAlign w:val="top"/>
          </w:tcPr>
          <w:p w14:paraId="206EF8A6">
            <w:pPr>
              <w:pStyle w:val="6"/>
              <w:spacing w:before="268" w:line="195" w:lineRule="auto"/>
              <w:ind w:left="235"/>
              <w:rPr>
                <w:sz w:val="20"/>
                <w:szCs w:val="20"/>
              </w:rPr>
            </w:pPr>
            <w:r>
              <w:rPr>
                <w:spacing w:val="-8"/>
                <w:sz w:val="20"/>
                <w:szCs w:val="20"/>
              </w:rPr>
              <w:t>10</w:t>
            </w:r>
          </w:p>
        </w:tc>
        <w:tc>
          <w:tcPr>
            <w:tcW w:w="1132" w:type="dxa"/>
            <w:vMerge w:val="restart"/>
            <w:tcBorders>
              <w:bottom w:val="nil"/>
            </w:tcBorders>
            <w:vAlign w:val="top"/>
          </w:tcPr>
          <w:p w14:paraId="64D221CF">
            <w:pPr>
              <w:pStyle w:val="6"/>
              <w:spacing w:before="74" w:line="255" w:lineRule="auto"/>
              <w:ind w:left="472" w:right="110" w:hanging="344"/>
              <w:rPr>
                <w:rFonts w:ascii="仿宋" w:hAnsi="仿宋" w:eastAsia="仿宋" w:cs="仿宋"/>
                <w:sz w:val="20"/>
                <w:szCs w:val="20"/>
              </w:rPr>
            </w:pPr>
            <w:r>
              <w:rPr>
                <w:rFonts w:ascii="仿宋" w:hAnsi="仿宋" w:eastAsia="仿宋" w:cs="仿宋"/>
                <w:spacing w:val="4"/>
                <w:sz w:val="20"/>
                <w:szCs w:val="20"/>
              </w:rPr>
              <w:t>三道壕</w:t>
            </w:r>
            <w:r>
              <w:rPr>
                <w:spacing w:val="4"/>
                <w:sz w:val="20"/>
                <w:szCs w:val="20"/>
              </w:rPr>
              <w:t>-</w:t>
            </w:r>
            <w:r>
              <w:rPr>
                <w:rFonts w:ascii="仿宋" w:hAnsi="仿宋" w:eastAsia="仿宋" w:cs="仿宋"/>
                <w:spacing w:val="4"/>
                <w:sz w:val="20"/>
                <w:szCs w:val="20"/>
              </w:rPr>
              <w:t>散</w:t>
            </w:r>
            <w:r>
              <w:rPr>
                <w:rFonts w:ascii="仿宋" w:hAnsi="仿宋" w:eastAsia="仿宋" w:cs="仿宋"/>
                <w:sz w:val="20"/>
                <w:szCs w:val="20"/>
              </w:rPr>
              <w:t>户</w:t>
            </w:r>
          </w:p>
        </w:tc>
        <w:tc>
          <w:tcPr>
            <w:tcW w:w="988" w:type="dxa"/>
            <w:vMerge w:val="restart"/>
            <w:tcBorders>
              <w:bottom w:val="nil"/>
            </w:tcBorders>
            <w:vAlign w:val="top"/>
          </w:tcPr>
          <w:p w14:paraId="1F9B88DE">
            <w:pPr>
              <w:pStyle w:val="6"/>
              <w:spacing w:before="268" w:line="195" w:lineRule="auto"/>
              <w:ind w:left="308"/>
              <w:rPr>
                <w:sz w:val="20"/>
                <w:szCs w:val="20"/>
              </w:rPr>
            </w:pPr>
            <w:r>
              <w:rPr>
                <w:spacing w:val="4"/>
                <w:sz w:val="20"/>
                <w:szCs w:val="20"/>
              </w:rPr>
              <w:t>23m</w:t>
            </w:r>
          </w:p>
        </w:tc>
        <w:tc>
          <w:tcPr>
            <w:tcW w:w="1100" w:type="dxa"/>
            <w:vAlign w:val="top"/>
          </w:tcPr>
          <w:p w14:paraId="3220C369">
            <w:pPr>
              <w:spacing w:before="69" w:line="218" w:lineRule="auto"/>
              <w:ind w:left="139"/>
              <w:rPr>
                <w:rFonts w:ascii="仿宋" w:hAnsi="仿宋" w:eastAsia="仿宋" w:cs="仿宋"/>
                <w:sz w:val="20"/>
                <w:szCs w:val="20"/>
              </w:rPr>
            </w:pPr>
            <w:r>
              <w:rPr>
                <w:rFonts w:ascii="仿宋" w:hAnsi="仿宋" w:eastAsia="仿宋" w:cs="仿宋"/>
                <w:spacing w:val="6"/>
                <w:sz w:val="20"/>
                <w:szCs w:val="20"/>
              </w:rPr>
              <w:t>路基施工</w:t>
            </w:r>
          </w:p>
        </w:tc>
        <w:tc>
          <w:tcPr>
            <w:tcW w:w="1062" w:type="dxa"/>
            <w:vAlign w:val="top"/>
          </w:tcPr>
          <w:p w14:paraId="0AA8E83F">
            <w:pPr>
              <w:pStyle w:val="6"/>
              <w:spacing w:before="108" w:line="195" w:lineRule="auto"/>
              <w:ind w:left="431"/>
              <w:rPr>
                <w:sz w:val="20"/>
                <w:szCs w:val="20"/>
              </w:rPr>
            </w:pPr>
            <w:r>
              <w:rPr>
                <w:spacing w:val="1"/>
                <w:sz w:val="20"/>
                <w:szCs w:val="20"/>
              </w:rPr>
              <w:t>70</w:t>
            </w:r>
          </w:p>
        </w:tc>
        <w:tc>
          <w:tcPr>
            <w:tcW w:w="900" w:type="dxa"/>
            <w:vMerge w:val="restart"/>
            <w:tcBorders>
              <w:bottom w:val="nil"/>
            </w:tcBorders>
            <w:vAlign w:val="top"/>
          </w:tcPr>
          <w:p w14:paraId="6457D9DB">
            <w:pPr>
              <w:pStyle w:val="6"/>
              <w:spacing w:before="268" w:line="195" w:lineRule="auto"/>
              <w:ind w:left="274"/>
              <w:rPr>
                <w:sz w:val="20"/>
                <w:szCs w:val="20"/>
              </w:rPr>
            </w:pPr>
            <w:r>
              <w:rPr>
                <w:spacing w:val="1"/>
                <w:sz w:val="20"/>
                <w:szCs w:val="20"/>
              </w:rPr>
              <w:t>50.5</w:t>
            </w:r>
          </w:p>
        </w:tc>
        <w:tc>
          <w:tcPr>
            <w:tcW w:w="875" w:type="dxa"/>
            <w:vAlign w:val="top"/>
          </w:tcPr>
          <w:p w14:paraId="33428B3D">
            <w:pPr>
              <w:pStyle w:val="6"/>
              <w:spacing w:before="108" w:line="195" w:lineRule="auto"/>
              <w:ind w:left="262"/>
              <w:rPr>
                <w:sz w:val="20"/>
                <w:szCs w:val="20"/>
              </w:rPr>
            </w:pPr>
            <w:r>
              <w:rPr>
                <w:spacing w:val="1"/>
                <w:sz w:val="20"/>
                <w:szCs w:val="20"/>
              </w:rPr>
              <w:t>80.7</w:t>
            </w:r>
          </w:p>
        </w:tc>
        <w:tc>
          <w:tcPr>
            <w:tcW w:w="862" w:type="dxa"/>
            <w:vAlign w:val="top"/>
          </w:tcPr>
          <w:p w14:paraId="0CB63CB5">
            <w:pPr>
              <w:pStyle w:val="6"/>
              <w:spacing w:before="108" w:line="195" w:lineRule="auto"/>
              <w:ind w:left="256"/>
              <w:rPr>
                <w:sz w:val="20"/>
                <w:szCs w:val="20"/>
              </w:rPr>
            </w:pPr>
            <w:r>
              <w:rPr>
                <w:spacing w:val="1"/>
                <w:sz w:val="20"/>
                <w:szCs w:val="20"/>
              </w:rPr>
              <w:t>80.7</w:t>
            </w:r>
          </w:p>
        </w:tc>
        <w:tc>
          <w:tcPr>
            <w:tcW w:w="962" w:type="dxa"/>
            <w:tcBorders>
              <w:right w:val="nil"/>
            </w:tcBorders>
            <w:vAlign w:val="top"/>
          </w:tcPr>
          <w:p w14:paraId="16C71148">
            <w:pPr>
              <w:pStyle w:val="6"/>
              <w:spacing w:before="108" w:line="195" w:lineRule="auto"/>
              <w:ind w:left="320"/>
              <w:rPr>
                <w:sz w:val="20"/>
                <w:szCs w:val="20"/>
              </w:rPr>
            </w:pPr>
            <w:r>
              <w:rPr>
                <w:spacing w:val="-2"/>
                <w:sz w:val="20"/>
                <w:szCs w:val="20"/>
              </w:rPr>
              <w:t>10.7</w:t>
            </w:r>
          </w:p>
        </w:tc>
      </w:tr>
      <w:tr w14:paraId="1347C4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5" w:type="dxa"/>
            <w:vMerge w:val="continue"/>
            <w:tcBorders>
              <w:top w:val="nil"/>
              <w:left w:val="nil"/>
            </w:tcBorders>
            <w:vAlign w:val="top"/>
          </w:tcPr>
          <w:p w14:paraId="101F5E94">
            <w:pPr>
              <w:rPr>
                <w:rFonts w:ascii="Arial"/>
                <w:sz w:val="21"/>
              </w:rPr>
            </w:pPr>
          </w:p>
        </w:tc>
        <w:tc>
          <w:tcPr>
            <w:tcW w:w="1132" w:type="dxa"/>
            <w:vMerge w:val="continue"/>
            <w:tcBorders>
              <w:top w:val="nil"/>
            </w:tcBorders>
            <w:vAlign w:val="top"/>
          </w:tcPr>
          <w:p w14:paraId="551E049B">
            <w:pPr>
              <w:rPr>
                <w:rFonts w:ascii="Arial"/>
                <w:sz w:val="21"/>
              </w:rPr>
            </w:pPr>
          </w:p>
        </w:tc>
        <w:tc>
          <w:tcPr>
            <w:tcW w:w="988" w:type="dxa"/>
            <w:vMerge w:val="continue"/>
            <w:tcBorders>
              <w:top w:val="nil"/>
            </w:tcBorders>
            <w:vAlign w:val="top"/>
          </w:tcPr>
          <w:p w14:paraId="34D358FD">
            <w:pPr>
              <w:rPr>
                <w:rFonts w:ascii="Arial"/>
                <w:sz w:val="21"/>
              </w:rPr>
            </w:pPr>
          </w:p>
        </w:tc>
        <w:tc>
          <w:tcPr>
            <w:tcW w:w="1100" w:type="dxa"/>
            <w:vAlign w:val="top"/>
          </w:tcPr>
          <w:p w14:paraId="73127230">
            <w:pPr>
              <w:spacing w:before="70" w:line="217" w:lineRule="auto"/>
              <w:ind w:left="139"/>
              <w:rPr>
                <w:rFonts w:ascii="仿宋" w:hAnsi="仿宋" w:eastAsia="仿宋" w:cs="仿宋"/>
                <w:sz w:val="20"/>
                <w:szCs w:val="20"/>
              </w:rPr>
            </w:pPr>
            <w:r>
              <w:rPr>
                <w:rFonts w:ascii="仿宋" w:hAnsi="仿宋" w:eastAsia="仿宋" w:cs="仿宋"/>
                <w:spacing w:val="6"/>
                <w:sz w:val="20"/>
                <w:szCs w:val="20"/>
              </w:rPr>
              <w:t>路面施工</w:t>
            </w:r>
          </w:p>
        </w:tc>
        <w:tc>
          <w:tcPr>
            <w:tcW w:w="1062" w:type="dxa"/>
            <w:vAlign w:val="top"/>
          </w:tcPr>
          <w:p w14:paraId="00542221">
            <w:pPr>
              <w:pStyle w:val="6"/>
              <w:spacing w:before="108" w:line="195" w:lineRule="auto"/>
              <w:ind w:left="431"/>
              <w:rPr>
                <w:sz w:val="20"/>
                <w:szCs w:val="20"/>
              </w:rPr>
            </w:pPr>
            <w:r>
              <w:rPr>
                <w:spacing w:val="1"/>
                <w:sz w:val="20"/>
                <w:szCs w:val="20"/>
              </w:rPr>
              <w:t>70</w:t>
            </w:r>
          </w:p>
        </w:tc>
        <w:tc>
          <w:tcPr>
            <w:tcW w:w="900" w:type="dxa"/>
            <w:vMerge w:val="continue"/>
            <w:tcBorders>
              <w:top w:val="nil"/>
            </w:tcBorders>
            <w:vAlign w:val="top"/>
          </w:tcPr>
          <w:p w14:paraId="107149D5">
            <w:pPr>
              <w:rPr>
                <w:rFonts w:ascii="Arial"/>
                <w:sz w:val="21"/>
              </w:rPr>
            </w:pPr>
          </w:p>
        </w:tc>
        <w:tc>
          <w:tcPr>
            <w:tcW w:w="875" w:type="dxa"/>
            <w:vAlign w:val="top"/>
          </w:tcPr>
          <w:p w14:paraId="4510617A">
            <w:pPr>
              <w:pStyle w:val="6"/>
              <w:spacing w:before="108" w:line="195" w:lineRule="auto"/>
              <w:ind w:left="262"/>
              <w:rPr>
                <w:sz w:val="20"/>
                <w:szCs w:val="20"/>
              </w:rPr>
            </w:pPr>
            <w:r>
              <w:rPr>
                <w:spacing w:val="1"/>
                <w:sz w:val="20"/>
                <w:szCs w:val="20"/>
              </w:rPr>
              <w:t>81.7</w:t>
            </w:r>
          </w:p>
        </w:tc>
        <w:tc>
          <w:tcPr>
            <w:tcW w:w="862" w:type="dxa"/>
            <w:vAlign w:val="top"/>
          </w:tcPr>
          <w:p w14:paraId="37F23BD8">
            <w:pPr>
              <w:pStyle w:val="6"/>
              <w:spacing w:before="108" w:line="195" w:lineRule="auto"/>
              <w:ind w:left="256"/>
              <w:rPr>
                <w:sz w:val="20"/>
                <w:szCs w:val="20"/>
              </w:rPr>
            </w:pPr>
            <w:r>
              <w:rPr>
                <w:spacing w:val="1"/>
                <w:sz w:val="20"/>
                <w:szCs w:val="20"/>
              </w:rPr>
              <w:t>81.7</w:t>
            </w:r>
          </w:p>
        </w:tc>
        <w:tc>
          <w:tcPr>
            <w:tcW w:w="962" w:type="dxa"/>
            <w:tcBorders>
              <w:right w:val="nil"/>
            </w:tcBorders>
            <w:vAlign w:val="top"/>
          </w:tcPr>
          <w:p w14:paraId="36DDD415">
            <w:pPr>
              <w:pStyle w:val="6"/>
              <w:spacing w:before="108" w:line="195" w:lineRule="auto"/>
              <w:ind w:left="320"/>
              <w:rPr>
                <w:sz w:val="20"/>
                <w:szCs w:val="20"/>
              </w:rPr>
            </w:pPr>
            <w:r>
              <w:rPr>
                <w:spacing w:val="-2"/>
                <w:sz w:val="20"/>
                <w:szCs w:val="20"/>
              </w:rPr>
              <w:t>11.7</w:t>
            </w:r>
          </w:p>
        </w:tc>
      </w:tr>
      <w:tr w14:paraId="089CEF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5" w:type="dxa"/>
            <w:vMerge w:val="restart"/>
            <w:tcBorders>
              <w:left w:val="nil"/>
              <w:bottom w:val="nil"/>
            </w:tcBorders>
            <w:vAlign w:val="top"/>
          </w:tcPr>
          <w:p w14:paraId="5289B3A9">
            <w:pPr>
              <w:pStyle w:val="6"/>
              <w:spacing w:before="270" w:line="195" w:lineRule="auto"/>
              <w:ind w:left="235"/>
              <w:rPr>
                <w:sz w:val="20"/>
                <w:szCs w:val="20"/>
              </w:rPr>
            </w:pPr>
            <w:r>
              <w:rPr>
                <w:spacing w:val="-8"/>
                <w:sz w:val="20"/>
                <w:szCs w:val="20"/>
              </w:rPr>
              <w:t>11</w:t>
            </w:r>
          </w:p>
        </w:tc>
        <w:tc>
          <w:tcPr>
            <w:tcW w:w="1132" w:type="dxa"/>
            <w:vMerge w:val="restart"/>
            <w:tcBorders>
              <w:bottom w:val="nil"/>
            </w:tcBorders>
            <w:vAlign w:val="top"/>
          </w:tcPr>
          <w:p w14:paraId="460DA6B1">
            <w:pPr>
              <w:spacing w:before="78" w:line="253" w:lineRule="auto"/>
              <w:ind w:left="366" w:right="146" w:hanging="210"/>
              <w:rPr>
                <w:rFonts w:ascii="仿宋" w:hAnsi="仿宋" w:eastAsia="仿宋" w:cs="仿宋"/>
                <w:sz w:val="20"/>
                <w:szCs w:val="20"/>
              </w:rPr>
            </w:pPr>
            <w:r>
              <w:rPr>
                <w:rFonts w:ascii="仿宋" w:hAnsi="仿宋" w:eastAsia="仿宋" w:cs="仿宋"/>
                <w:spacing w:val="5"/>
                <w:sz w:val="20"/>
                <w:szCs w:val="20"/>
              </w:rPr>
              <w:t>份子地社</w:t>
            </w:r>
            <w:r>
              <w:rPr>
                <w:rFonts w:ascii="仿宋" w:hAnsi="仿宋" w:eastAsia="仿宋" w:cs="仿宋"/>
                <w:spacing w:val="2"/>
                <w:sz w:val="20"/>
                <w:szCs w:val="20"/>
              </w:rPr>
              <w:t>新村</w:t>
            </w:r>
          </w:p>
        </w:tc>
        <w:tc>
          <w:tcPr>
            <w:tcW w:w="988" w:type="dxa"/>
            <w:vMerge w:val="restart"/>
            <w:tcBorders>
              <w:bottom w:val="nil"/>
            </w:tcBorders>
            <w:vAlign w:val="top"/>
          </w:tcPr>
          <w:p w14:paraId="1DA06A0F">
            <w:pPr>
              <w:pStyle w:val="6"/>
              <w:spacing w:before="272" w:line="192" w:lineRule="auto"/>
              <w:ind w:left="366"/>
              <w:rPr>
                <w:sz w:val="20"/>
                <w:szCs w:val="20"/>
              </w:rPr>
            </w:pPr>
            <w:r>
              <w:rPr>
                <w:spacing w:val="1"/>
                <w:sz w:val="20"/>
                <w:szCs w:val="20"/>
              </w:rPr>
              <w:t>5m</w:t>
            </w:r>
          </w:p>
        </w:tc>
        <w:tc>
          <w:tcPr>
            <w:tcW w:w="1100" w:type="dxa"/>
            <w:vAlign w:val="top"/>
          </w:tcPr>
          <w:p w14:paraId="6DD25EAE">
            <w:pPr>
              <w:spacing w:before="73" w:line="215" w:lineRule="auto"/>
              <w:ind w:left="139"/>
              <w:rPr>
                <w:rFonts w:ascii="仿宋" w:hAnsi="仿宋" w:eastAsia="仿宋" w:cs="仿宋"/>
                <w:sz w:val="20"/>
                <w:szCs w:val="20"/>
              </w:rPr>
            </w:pPr>
            <w:r>
              <w:rPr>
                <w:rFonts w:ascii="仿宋" w:hAnsi="仿宋" w:eastAsia="仿宋" w:cs="仿宋"/>
                <w:spacing w:val="6"/>
                <w:sz w:val="20"/>
                <w:szCs w:val="20"/>
              </w:rPr>
              <w:t>路基施工</w:t>
            </w:r>
          </w:p>
        </w:tc>
        <w:tc>
          <w:tcPr>
            <w:tcW w:w="1062" w:type="dxa"/>
            <w:vAlign w:val="top"/>
          </w:tcPr>
          <w:p w14:paraId="22A7EC7F">
            <w:pPr>
              <w:pStyle w:val="6"/>
              <w:spacing w:before="109" w:line="195" w:lineRule="auto"/>
              <w:ind w:left="431"/>
              <w:rPr>
                <w:sz w:val="20"/>
                <w:szCs w:val="20"/>
              </w:rPr>
            </w:pPr>
            <w:r>
              <w:rPr>
                <w:spacing w:val="1"/>
                <w:sz w:val="20"/>
                <w:szCs w:val="20"/>
              </w:rPr>
              <w:t>70</w:t>
            </w:r>
          </w:p>
        </w:tc>
        <w:tc>
          <w:tcPr>
            <w:tcW w:w="900" w:type="dxa"/>
            <w:vMerge w:val="restart"/>
            <w:tcBorders>
              <w:bottom w:val="nil"/>
            </w:tcBorders>
            <w:vAlign w:val="top"/>
          </w:tcPr>
          <w:p w14:paraId="2D544BC6">
            <w:pPr>
              <w:pStyle w:val="6"/>
              <w:spacing w:before="270" w:line="195" w:lineRule="auto"/>
              <w:ind w:left="344"/>
              <w:rPr>
                <w:sz w:val="20"/>
                <w:szCs w:val="20"/>
              </w:rPr>
            </w:pPr>
            <w:r>
              <w:rPr>
                <w:spacing w:val="3"/>
                <w:sz w:val="20"/>
                <w:szCs w:val="20"/>
              </w:rPr>
              <w:t>45</w:t>
            </w:r>
          </w:p>
        </w:tc>
        <w:tc>
          <w:tcPr>
            <w:tcW w:w="875" w:type="dxa"/>
            <w:vAlign w:val="top"/>
          </w:tcPr>
          <w:p w14:paraId="370DC436">
            <w:pPr>
              <w:pStyle w:val="6"/>
              <w:spacing w:before="109" w:line="195" w:lineRule="auto"/>
              <w:ind w:left="337"/>
              <w:rPr>
                <w:sz w:val="20"/>
                <w:szCs w:val="20"/>
              </w:rPr>
            </w:pPr>
            <w:r>
              <w:rPr>
                <w:sz w:val="20"/>
                <w:szCs w:val="20"/>
              </w:rPr>
              <w:t>94</w:t>
            </w:r>
          </w:p>
        </w:tc>
        <w:tc>
          <w:tcPr>
            <w:tcW w:w="862" w:type="dxa"/>
            <w:vAlign w:val="top"/>
          </w:tcPr>
          <w:p w14:paraId="57A04408">
            <w:pPr>
              <w:pStyle w:val="6"/>
              <w:spacing w:before="109" w:line="195" w:lineRule="auto"/>
              <w:ind w:left="331"/>
              <w:rPr>
                <w:sz w:val="20"/>
                <w:szCs w:val="20"/>
              </w:rPr>
            </w:pPr>
            <w:r>
              <w:rPr>
                <w:sz w:val="20"/>
                <w:szCs w:val="20"/>
              </w:rPr>
              <w:t>94</w:t>
            </w:r>
          </w:p>
        </w:tc>
        <w:tc>
          <w:tcPr>
            <w:tcW w:w="962" w:type="dxa"/>
            <w:tcBorders>
              <w:right w:val="nil"/>
            </w:tcBorders>
            <w:vAlign w:val="top"/>
          </w:tcPr>
          <w:p w14:paraId="6C6A9B75">
            <w:pPr>
              <w:pStyle w:val="6"/>
              <w:spacing w:before="109" w:line="195" w:lineRule="auto"/>
              <w:ind w:left="379"/>
              <w:rPr>
                <w:sz w:val="20"/>
                <w:szCs w:val="20"/>
              </w:rPr>
            </w:pPr>
            <w:r>
              <w:rPr>
                <w:spacing w:val="2"/>
                <w:sz w:val="20"/>
                <w:szCs w:val="20"/>
              </w:rPr>
              <w:t>24</w:t>
            </w:r>
          </w:p>
        </w:tc>
      </w:tr>
      <w:tr w14:paraId="7AEC0D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5" w:type="dxa"/>
            <w:vMerge w:val="continue"/>
            <w:tcBorders>
              <w:top w:val="nil"/>
              <w:left w:val="nil"/>
            </w:tcBorders>
            <w:vAlign w:val="top"/>
          </w:tcPr>
          <w:p w14:paraId="1581DA0A">
            <w:pPr>
              <w:rPr>
                <w:rFonts w:ascii="Arial"/>
                <w:sz w:val="21"/>
              </w:rPr>
            </w:pPr>
          </w:p>
        </w:tc>
        <w:tc>
          <w:tcPr>
            <w:tcW w:w="1132" w:type="dxa"/>
            <w:vMerge w:val="continue"/>
            <w:tcBorders>
              <w:top w:val="nil"/>
            </w:tcBorders>
            <w:vAlign w:val="top"/>
          </w:tcPr>
          <w:p w14:paraId="662584D8">
            <w:pPr>
              <w:rPr>
                <w:rFonts w:ascii="Arial"/>
                <w:sz w:val="21"/>
              </w:rPr>
            </w:pPr>
          </w:p>
        </w:tc>
        <w:tc>
          <w:tcPr>
            <w:tcW w:w="988" w:type="dxa"/>
            <w:vMerge w:val="continue"/>
            <w:tcBorders>
              <w:top w:val="nil"/>
            </w:tcBorders>
            <w:vAlign w:val="top"/>
          </w:tcPr>
          <w:p w14:paraId="4724ABAC">
            <w:pPr>
              <w:rPr>
                <w:rFonts w:ascii="Arial"/>
                <w:sz w:val="21"/>
              </w:rPr>
            </w:pPr>
          </w:p>
        </w:tc>
        <w:tc>
          <w:tcPr>
            <w:tcW w:w="1100" w:type="dxa"/>
            <w:vAlign w:val="top"/>
          </w:tcPr>
          <w:p w14:paraId="1474C250">
            <w:pPr>
              <w:spacing w:before="74" w:line="214" w:lineRule="auto"/>
              <w:ind w:left="139"/>
              <w:rPr>
                <w:rFonts w:ascii="仿宋" w:hAnsi="仿宋" w:eastAsia="仿宋" w:cs="仿宋"/>
                <w:sz w:val="20"/>
                <w:szCs w:val="20"/>
              </w:rPr>
            </w:pPr>
            <w:r>
              <w:rPr>
                <w:rFonts w:ascii="仿宋" w:hAnsi="仿宋" w:eastAsia="仿宋" w:cs="仿宋"/>
                <w:spacing w:val="6"/>
                <w:sz w:val="20"/>
                <w:szCs w:val="20"/>
              </w:rPr>
              <w:t>路面施工</w:t>
            </w:r>
          </w:p>
        </w:tc>
        <w:tc>
          <w:tcPr>
            <w:tcW w:w="1062" w:type="dxa"/>
            <w:vAlign w:val="top"/>
          </w:tcPr>
          <w:p w14:paraId="3A863D00">
            <w:pPr>
              <w:pStyle w:val="6"/>
              <w:spacing w:before="109" w:line="195" w:lineRule="auto"/>
              <w:ind w:left="431"/>
              <w:rPr>
                <w:sz w:val="20"/>
                <w:szCs w:val="20"/>
              </w:rPr>
            </w:pPr>
            <w:r>
              <w:rPr>
                <w:spacing w:val="1"/>
                <w:sz w:val="20"/>
                <w:szCs w:val="20"/>
              </w:rPr>
              <w:t>70</w:t>
            </w:r>
          </w:p>
        </w:tc>
        <w:tc>
          <w:tcPr>
            <w:tcW w:w="900" w:type="dxa"/>
            <w:vMerge w:val="continue"/>
            <w:tcBorders>
              <w:top w:val="nil"/>
            </w:tcBorders>
            <w:vAlign w:val="top"/>
          </w:tcPr>
          <w:p w14:paraId="76264378">
            <w:pPr>
              <w:rPr>
                <w:rFonts w:ascii="Arial"/>
                <w:sz w:val="21"/>
              </w:rPr>
            </w:pPr>
          </w:p>
        </w:tc>
        <w:tc>
          <w:tcPr>
            <w:tcW w:w="875" w:type="dxa"/>
            <w:vAlign w:val="top"/>
          </w:tcPr>
          <w:p w14:paraId="285E77DA">
            <w:pPr>
              <w:pStyle w:val="6"/>
              <w:spacing w:before="109" w:line="195" w:lineRule="auto"/>
              <w:ind w:left="337"/>
              <w:rPr>
                <w:sz w:val="20"/>
                <w:szCs w:val="20"/>
              </w:rPr>
            </w:pPr>
            <w:r>
              <w:rPr>
                <w:sz w:val="20"/>
                <w:szCs w:val="20"/>
              </w:rPr>
              <w:t>95</w:t>
            </w:r>
          </w:p>
        </w:tc>
        <w:tc>
          <w:tcPr>
            <w:tcW w:w="862" w:type="dxa"/>
            <w:vAlign w:val="top"/>
          </w:tcPr>
          <w:p w14:paraId="231B95FB">
            <w:pPr>
              <w:pStyle w:val="6"/>
              <w:spacing w:before="109" w:line="195" w:lineRule="auto"/>
              <w:ind w:left="331"/>
              <w:rPr>
                <w:sz w:val="20"/>
                <w:szCs w:val="20"/>
              </w:rPr>
            </w:pPr>
            <w:r>
              <w:rPr>
                <w:sz w:val="20"/>
                <w:szCs w:val="20"/>
              </w:rPr>
              <w:t>95</w:t>
            </w:r>
          </w:p>
        </w:tc>
        <w:tc>
          <w:tcPr>
            <w:tcW w:w="962" w:type="dxa"/>
            <w:tcBorders>
              <w:right w:val="nil"/>
            </w:tcBorders>
            <w:vAlign w:val="top"/>
          </w:tcPr>
          <w:p w14:paraId="4B35361E">
            <w:pPr>
              <w:pStyle w:val="6"/>
              <w:spacing w:before="109" w:line="195" w:lineRule="auto"/>
              <w:ind w:left="379"/>
              <w:rPr>
                <w:sz w:val="20"/>
                <w:szCs w:val="20"/>
              </w:rPr>
            </w:pPr>
            <w:r>
              <w:rPr>
                <w:spacing w:val="2"/>
                <w:sz w:val="20"/>
                <w:szCs w:val="20"/>
              </w:rPr>
              <w:t>25</w:t>
            </w:r>
          </w:p>
        </w:tc>
      </w:tr>
      <w:tr w14:paraId="518DDC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5" w:type="dxa"/>
            <w:vMerge w:val="restart"/>
            <w:tcBorders>
              <w:left w:val="nil"/>
              <w:bottom w:val="nil"/>
            </w:tcBorders>
            <w:vAlign w:val="top"/>
          </w:tcPr>
          <w:p w14:paraId="72DEEF6A">
            <w:pPr>
              <w:pStyle w:val="6"/>
              <w:spacing w:before="271" w:line="195" w:lineRule="auto"/>
              <w:ind w:left="235"/>
              <w:rPr>
                <w:sz w:val="20"/>
                <w:szCs w:val="20"/>
              </w:rPr>
            </w:pPr>
            <w:r>
              <w:rPr>
                <w:spacing w:val="-8"/>
                <w:sz w:val="20"/>
                <w:szCs w:val="20"/>
              </w:rPr>
              <w:t>12</w:t>
            </w:r>
          </w:p>
        </w:tc>
        <w:tc>
          <w:tcPr>
            <w:tcW w:w="1132" w:type="dxa"/>
            <w:vMerge w:val="restart"/>
            <w:tcBorders>
              <w:bottom w:val="nil"/>
            </w:tcBorders>
            <w:vAlign w:val="top"/>
          </w:tcPr>
          <w:p w14:paraId="7D16849E">
            <w:pPr>
              <w:spacing w:before="234" w:line="234" w:lineRule="auto"/>
              <w:ind w:left="264"/>
              <w:rPr>
                <w:rFonts w:ascii="仿宋" w:hAnsi="仿宋" w:eastAsia="仿宋" w:cs="仿宋"/>
                <w:sz w:val="20"/>
                <w:szCs w:val="20"/>
              </w:rPr>
            </w:pPr>
            <w:r>
              <w:rPr>
                <w:rFonts w:ascii="仿宋" w:hAnsi="仿宋" w:eastAsia="仿宋" w:cs="仿宋"/>
                <w:spacing w:val="4"/>
                <w:sz w:val="20"/>
                <w:szCs w:val="20"/>
              </w:rPr>
              <w:t>西圪旦</w:t>
            </w:r>
          </w:p>
        </w:tc>
        <w:tc>
          <w:tcPr>
            <w:tcW w:w="988" w:type="dxa"/>
            <w:vMerge w:val="restart"/>
            <w:tcBorders>
              <w:bottom w:val="nil"/>
            </w:tcBorders>
            <w:vAlign w:val="top"/>
          </w:tcPr>
          <w:p w14:paraId="5D3D5454">
            <w:pPr>
              <w:pStyle w:val="6"/>
              <w:spacing w:before="271" w:line="195" w:lineRule="auto"/>
              <w:ind w:left="369"/>
              <w:rPr>
                <w:sz w:val="20"/>
                <w:szCs w:val="20"/>
              </w:rPr>
            </w:pPr>
            <w:r>
              <w:rPr>
                <w:spacing w:val="-1"/>
                <w:sz w:val="20"/>
                <w:szCs w:val="20"/>
              </w:rPr>
              <w:t>8m</w:t>
            </w:r>
          </w:p>
        </w:tc>
        <w:tc>
          <w:tcPr>
            <w:tcW w:w="1100" w:type="dxa"/>
            <w:vAlign w:val="top"/>
          </w:tcPr>
          <w:p w14:paraId="2F1F8275">
            <w:pPr>
              <w:spacing w:before="74" w:line="214" w:lineRule="auto"/>
              <w:ind w:left="139"/>
              <w:rPr>
                <w:rFonts w:ascii="仿宋" w:hAnsi="仿宋" w:eastAsia="仿宋" w:cs="仿宋"/>
                <w:sz w:val="20"/>
                <w:szCs w:val="20"/>
              </w:rPr>
            </w:pPr>
            <w:r>
              <w:rPr>
                <w:rFonts w:ascii="仿宋" w:hAnsi="仿宋" w:eastAsia="仿宋" w:cs="仿宋"/>
                <w:spacing w:val="6"/>
                <w:sz w:val="20"/>
                <w:szCs w:val="20"/>
              </w:rPr>
              <w:t>路基施工</w:t>
            </w:r>
          </w:p>
        </w:tc>
        <w:tc>
          <w:tcPr>
            <w:tcW w:w="1062" w:type="dxa"/>
            <w:vAlign w:val="top"/>
          </w:tcPr>
          <w:p w14:paraId="6C7BF94F">
            <w:pPr>
              <w:pStyle w:val="6"/>
              <w:spacing w:before="110" w:line="195" w:lineRule="auto"/>
              <w:ind w:left="431"/>
              <w:rPr>
                <w:sz w:val="20"/>
                <w:szCs w:val="20"/>
              </w:rPr>
            </w:pPr>
            <w:r>
              <w:rPr>
                <w:spacing w:val="1"/>
                <w:sz w:val="20"/>
                <w:szCs w:val="20"/>
              </w:rPr>
              <w:t>70</w:t>
            </w:r>
          </w:p>
        </w:tc>
        <w:tc>
          <w:tcPr>
            <w:tcW w:w="900" w:type="dxa"/>
            <w:vMerge w:val="restart"/>
            <w:tcBorders>
              <w:bottom w:val="nil"/>
            </w:tcBorders>
            <w:vAlign w:val="top"/>
          </w:tcPr>
          <w:p w14:paraId="2140D36F">
            <w:pPr>
              <w:pStyle w:val="6"/>
              <w:spacing w:before="271" w:line="195" w:lineRule="auto"/>
              <w:ind w:left="344"/>
              <w:rPr>
                <w:sz w:val="20"/>
                <w:szCs w:val="20"/>
              </w:rPr>
            </w:pPr>
            <w:r>
              <w:rPr>
                <w:spacing w:val="3"/>
                <w:sz w:val="20"/>
                <w:szCs w:val="20"/>
              </w:rPr>
              <w:t>46</w:t>
            </w:r>
          </w:p>
        </w:tc>
        <w:tc>
          <w:tcPr>
            <w:tcW w:w="875" w:type="dxa"/>
            <w:vAlign w:val="top"/>
          </w:tcPr>
          <w:p w14:paraId="72559D52">
            <w:pPr>
              <w:pStyle w:val="6"/>
              <w:spacing w:before="110" w:line="195" w:lineRule="auto"/>
              <w:ind w:left="262"/>
              <w:rPr>
                <w:sz w:val="20"/>
                <w:szCs w:val="20"/>
              </w:rPr>
            </w:pPr>
            <w:r>
              <w:rPr>
                <w:spacing w:val="1"/>
                <w:sz w:val="20"/>
                <w:szCs w:val="20"/>
              </w:rPr>
              <w:t>89.9</w:t>
            </w:r>
          </w:p>
        </w:tc>
        <w:tc>
          <w:tcPr>
            <w:tcW w:w="862" w:type="dxa"/>
            <w:vAlign w:val="top"/>
          </w:tcPr>
          <w:p w14:paraId="64133E6F">
            <w:pPr>
              <w:pStyle w:val="6"/>
              <w:spacing w:before="110" w:line="195" w:lineRule="auto"/>
              <w:ind w:left="256"/>
              <w:rPr>
                <w:sz w:val="20"/>
                <w:szCs w:val="20"/>
              </w:rPr>
            </w:pPr>
            <w:r>
              <w:rPr>
                <w:spacing w:val="1"/>
                <w:sz w:val="20"/>
                <w:szCs w:val="20"/>
              </w:rPr>
              <w:t>89.9</w:t>
            </w:r>
          </w:p>
        </w:tc>
        <w:tc>
          <w:tcPr>
            <w:tcW w:w="962" w:type="dxa"/>
            <w:tcBorders>
              <w:right w:val="nil"/>
            </w:tcBorders>
            <w:vAlign w:val="top"/>
          </w:tcPr>
          <w:p w14:paraId="581378F4">
            <w:pPr>
              <w:pStyle w:val="6"/>
              <w:spacing w:before="110" w:line="195" w:lineRule="auto"/>
              <w:ind w:left="320"/>
              <w:rPr>
                <w:sz w:val="20"/>
                <w:szCs w:val="20"/>
              </w:rPr>
            </w:pPr>
            <w:r>
              <w:rPr>
                <w:spacing w:val="-2"/>
                <w:sz w:val="20"/>
                <w:szCs w:val="20"/>
              </w:rPr>
              <w:t>19.9</w:t>
            </w:r>
          </w:p>
        </w:tc>
      </w:tr>
      <w:tr w14:paraId="5C5ED5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35" w:type="dxa"/>
            <w:vMerge w:val="continue"/>
            <w:tcBorders>
              <w:top w:val="nil"/>
              <w:left w:val="nil"/>
            </w:tcBorders>
            <w:vAlign w:val="top"/>
          </w:tcPr>
          <w:p w14:paraId="57A68C36">
            <w:pPr>
              <w:rPr>
                <w:rFonts w:ascii="Arial"/>
                <w:sz w:val="21"/>
              </w:rPr>
            </w:pPr>
          </w:p>
        </w:tc>
        <w:tc>
          <w:tcPr>
            <w:tcW w:w="1132" w:type="dxa"/>
            <w:vMerge w:val="continue"/>
            <w:tcBorders>
              <w:top w:val="nil"/>
            </w:tcBorders>
            <w:vAlign w:val="top"/>
          </w:tcPr>
          <w:p w14:paraId="61A5E5C0">
            <w:pPr>
              <w:rPr>
                <w:rFonts w:ascii="Arial"/>
                <w:sz w:val="21"/>
              </w:rPr>
            </w:pPr>
          </w:p>
        </w:tc>
        <w:tc>
          <w:tcPr>
            <w:tcW w:w="988" w:type="dxa"/>
            <w:vMerge w:val="continue"/>
            <w:tcBorders>
              <w:top w:val="nil"/>
            </w:tcBorders>
            <w:vAlign w:val="top"/>
          </w:tcPr>
          <w:p w14:paraId="5B45BE0F">
            <w:pPr>
              <w:rPr>
                <w:rFonts w:ascii="Arial"/>
                <w:sz w:val="21"/>
              </w:rPr>
            </w:pPr>
          </w:p>
        </w:tc>
        <w:tc>
          <w:tcPr>
            <w:tcW w:w="1100" w:type="dxa"/>
            <w:vAlign w:val="top"/>
          </w:tcPr>
          <w:p w14:paraId="0F74FDA2">
            <w:pPr>
              <w:spacing w:before="75" w:line="213" w:lineRule="auto"/>
              <w:ind w:left="139"/>
              <w:rPr>
                <w:rFonts w:ascii="仿宋" w:hAnsi="仿宋" w:eastAsia="仿宋" w:cs="仿宋"/>
                <w:sz w:val="20"/>
                <w:szCs w:val="20"/>
              </w:rPr>
            </w:pPr>
            <w:r>
              <w:rPr>
                <w:rFonts w:ascii="仿宋" w:hAnsi="仿宋" w:eastAsia="仿宋" w:cs="仿宋"/>
                <w:spacing w:val="6"/>
                <w:sz w:val="20"/>
                <w:szCs w:val="20"/>
              </w:rPr>
              <w:t>路面施工</w:t>
            </w:r>
          </w:p>
        </w:tc>
        <w:tc>
          <w:tcPr>
            <w:tcW w:w="1062" w:type="dxa"/>
            <w:vAlign w:val="top"/>
          </w:tcPr>
          <w:p w14:paraId="2DD1EDA8">
            <w:pPr>
              <w:pStyle w:val="6"/>
              <w:spacing w:before="110" w:line="195" w:lineRule="auto"/>
              <w:ind w:left="431"/>
              <w:rPr>
                <w:sz w:val="20"/>
                <w:szCs w:val="20"/>
              </w:rPr>
            </w:pPr>
            <w:r>
              <w:rPr>
                <w:spacing w:val="1"/>
                <w:sz w:val="20"/>
                <w:szCs w:val="20"/>
              </w:rPr>
              <w:t>70</w:t>
            </w:r>
          </w:p>
        </w:tc>
        <w:tc>
          <w:tcPr>
            <w:tcW w:w="900" w:type="dxa"/>
            <w:vMerge w:val="continue"/>
            <w:tcBorders>
              <w:top w:val="nil"/>
            </w:tcBorders>
            <w:vAlign w:val="top"/>
          </w:tcPr>
          <w:p w14:paraId="61E070F9">
            <w:pPr>
              <w:rPr>
                <w:rFonts w:ascii="Arial"/>
                <w:sz w:val="21"/>
              </w:rPr>
            </w:pPr>
          </w:p>
        </w:tc>
        <w:tc>
          <w:tcPr>
            <w:tcW w:w="875" w:type="dxa"/>
            <w:vAlign w:val="top"/>
          </w:tcPr>
          <w:p w14:paraId="64431C66">
            <w:pPr>
              <w:pStyle w:val="6"/>
              <w:spacing w:before="110" w:line="195" w:lineRule="auto"/>
              <w:ind w:left="258"/>
              <w:rPr>
                <w:sz w:val="20"/>
                <w:szCs w:val="20"/>
              </w:rPr>
            </w:pPr>
            <w:r>
              <w:rPr>
                <w:spacing w:val="2"/>
                <w:sz w:val="20"/>
                <w:szCs w:val="20"/>
              </w:rPr>
              <w:t>90.9</w:t>
            </w:r>
          </w:p>
        </w:tc>
        <w:tc>
          <w:tcPr>
            <w:tcW w:w="862" w:type="dxa"/>
            <w:vAlign w:val="top"/>
          </w:tcPr>
          <w:p w14:paraId="772236F6">
            <w:pPr>
              <w:pStyle w:val="6"/>
              <w:spacing w:before="110" w:line="195" w:lineRule="auto"/>
              <w:ind w:left="252"/>
              <w:rPr>
                <w:sz w:val="20"/>
                <w:szCs w:val="20"/>
              </w:rPr>
            </w:pPr>
            <w:r>
              <w:rPr>
                <w:spacing w:val="2"/>
                <w:sz w:val="20"/>
                <w:szCs w:val="20"/>
              </w:rPr>
              <w:t>90.9</w:t>
            </w:r>
          </w:p>
        </w:tc>
        <w:tc>
          <w:tcPr>
            <w:tcW w:w="962" w:type="dxa"/>
            <w:tcBorders>
              <w:right w:val="nil"/>
            </w:tcBorders>
            <w:vAlign w:val="top"/>
          </w:tcPr>
          <w:p w14:paraId="751319FD">
            <w:pPr>
              <w:pStyle w:val="6"/>
              <w:spacing w:before="110" w:line="195" w:lineRule="auto"/>
              <w:ind w:left="300"/>
              <w:rPr>
                <w:sz w:val="20"/>
                <w:szCs w:val="20"/>
              </w:rPr>
            </w:pPr>
            <w:r>
              <w:rPr>
                <w:spacing w:val="3"/>
                <w:sz w:val="20"/>
                <w:szCs w:val="20"/>
              </w:rPr>
              <w:t>20.9</w:t>
            </w:r>
          </w:p>
        </w:tc>
      </w:tr>
      <w:tr w14:paraId="7F85B6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635" w:type="dxa"/>
            <w:vMerge w:val="restart"/>
            <w:tcBorders>
              <w:left w:val="nil"/>
              <w:bottom w:val="nil"/>
            </w:tcBorders>
            <w:vAlign w:val="top"/>
          </w:tcPr>
          <w:p w14:paraId="60754CF0">
            <w:pPr>
              <w:pStyle w:val="6"/>
              <w:spacing w:before="274" w:line="195" w:lineRule="auto"/>
              <w:ind w:left="235"/>
              <w:rPr>
                <w:sz w:val="20"/>
                <w:szCs w:val="20"/>
              </w:rPr>
            </w:pPr>
            <w:r>
              <w:rPr>
                <w:spacing w:val="-8"/>
                <w:sz w:val="20"/>
                <w:szCs w:val="20"/>
              </w:rPr>
              <w:t>13</w:t>
            </w:r>
          </w:p>
        </w:tc>
        <w:tc>
          <w:tcPr>
            <w:tcW w:w="1132" w:type="dxa"/>
            <w:vMerge w:val="restart"/>
            <w:tcBorders>
              <w:bottom w:val="nil"/>
            </w:tcBorders>
            <w:vAlign w:val="top"/>
          </w:tcPr>
          <w:p w14:paraId="1BC3EB4C">
            <w:pPr>
              <w:spacing w:before="235" w:line="232" w:lineRule="auto"/>
              <w:ind w:left="158"/>
              <w:rPr>
                <w:rFonts w:ascii="仿宋" w:hAnsi="仿宋" w:eastAsia="仿宋" w:cs="仿宋"/>
                <w:sz w:val="20"/>
                <w:szCs w:val="20"/>
              </w:rPr>
            </w:pPr>
            <w:r>
              <w:rPr>
                <w:rFonts w:ascii="仿宋" w:hAnsi="仿宋" w:eastAsia="仿宋" w:cs="仿宋"/>
                <w:spacing w:val="5"/>
                <w:sz w:val="20"/>
                <w:szCs w:val="20"/>
              </w:rPr>
              <w:t>张家圪旦</w:t>
            </w:r>
          </w:p>
        </w:tc>
        <w:tc>
          <w:tcPr>
            <w:tcW w:w="988" w:type="dxa"/>
            <w:vMerge w:val="restart"/>
            <w:tcBorders>
              <w:bottom w:val="nil"/>
            </w:tcBorders>
            <w:vAlign w:val="top"/>
          </w:tcPr>
          <w:p w14:paraId="6E1527FD">
            <w:pPr>
              <w:pStyle w:val="6"/>
              <w:spacing w:before="274" w:line="195" w:lineRule="auto"/>
              <w:ind w:left="308"/>
              <w:rPr>
                <w:sz w:val="20"/>
                <w:szCs w:val="20"/>
              </w:rPr>
            </w:pPr>
            <w:r>
              <w:rPr>
                <w:spacing w:val="4"/>
                <w:sz w:val="20"/>
                <w:szCs w:val="20"/>
              </w:rPr>
              <w:t>27m</w:t>
            </w:r>
          </w:p>
        </w:tc>
        <w:tc>
          <w:tcPr>
            <w:tcW w:w="1100" w:type="dxa"/>
            <w:vAlign w:val="top"/>
          </w:tcPr>
          <w:p w14:paraId="3BDF6080">
            <w:pPr>
              <w:spacing w:before="75" w:line="214" w:lineRule="auto"/>
              <w:ind w:left="139"/>
              <w:rPr>
                <w:rFonts w:ascii="仿宋" w:hAnsi="仿宋" w:eastAsia="仿宋" w:cs="仿宋"/>
                <w:sz w:val="20"/>
                <w:szCs w:val="20"/>
              </w:rPr>
            </w:pPr>
            <w:r>
              <w:rPr>
                <w:rFonts w:ascii="仿宋" w:hAnsi="仿宋" w:eastAsia="仿宋" w:cs="仿宋"/>
                <w:spacing w:val="6"/>
                <w:sz w:val="20"/>
                <w:szCs w:val="20"/>
              </w:rPr>
              <w:t>路基施工</w:t>
            </w:r>
          </w:p>
        </w:tc>
        <w:tc>
          <w:tcPr>
            <w:tcW w:w="1062" w:type="dxa"/>
            <w:vAlign w:val="top"/>
          </w:tcPr>
          <w:p w14:paraId="349E8D7B">
            <w:pPr>
              <w:pStyle w:val="6"/>
              <w:spacing w:before="113" w:line="195" w:lineRule="auto"/>
              <w:ind w:left="431"/>
              <w:rPr>
                <w:sz w:val="20"/>
                <w:szCs w:val="20"/>
              </w:rPr>
            </w:pPr>
            <w:r>
              <w:rPr>
                <w:spacing w:val="1"/>
                <w:sz w:val="20"/>
                <w:szCs w:val="20"/>
              </w:rPr>
              <w:t>70</w:t>
            </w:r>
          </w:p>
        </w:tc>
        <w:tc>
          <w:tcPr>
            <w:tcW w:w="900" w:type="dxa"/>
            <w:vMerge w:val="restart"/>
            <w:tcBorders>
              <w:bottom w:val="nil"/>
            </w:tcBorders>
            <w:vAlign w:val="top"/>
          </w:tcPr>
          <w:p w14:paraId="416245CD">
            <w:pPr>
              <w:pStyle w:val="6"/>
              <w:spacing w:before="274" w:line="195" w:lineRule="auto"/>
              <w:ind w:left="344"/>
              <w:rPr>
                <w:sz w:val="20"/>
                <w:szCs w:val="20"/>
              </w:rPr>
            </w:pPr>
            <w:r>
              <w:rPr>
                <w:spacing w:val="3"/>
                <w:sz w:val="20"/>
                <w:szCs w:val="20"/>
              </w:rPr>
              <w:t>46</w:t>
            </w:r>
          </w:p>
        </w:tc>
        <w:tc>
          <w:tcPr>
            <w:tcW w:w="875" w:type="dxa"/>
            <w:vAlign w:val="top"/>
          </w:tcPr>
          <w:p w14:paraId="6E1DEAAB">
            <w:pPr>
              <w:pStyle w:val="6"/>
              <w:spacing w:before="113" w:line="195" w:lineRule="auto"/>
              <w:ind w:left="257"/>
              <w:rPr>
                <w:sz w:val="20"/>
                <w:szCs w:val="20"/>
              </w:rPr>
            </w:pPr>
            <w:r>
              <w:rPr>
                <w:spacing w:val="2"/>
                <w:sz w:val="20"/>
                <w:szCs w:val="20"/>
              </w:rPr>
              <w:t>79.3</w:t>
            </w:r>
          </w:p>
        </w:tc>
        <w:tc>
          <w:tcPr>
            <w:tcW w:w="862" w:type="dxa"/>
            <w:vAlign w:val="top"/>
          </w:tcPr>
          <w:p w14:paraId="661A2DB2">
            <w:pPr>
              <w:pStyle w:val="6"/>
              <w:spacing w:before="113" w:line="195" w:lineRule="auto"/>
              <w:ind w:left="251"/>
              <w:rPr>
                <w:sz w:val="20"/>
                <w:szCs w:val="20"/>
              </w:rPr>
            </w:pPr>
            <w:r>
              <w:rPr>
                <w:spacing w:val="2"/>
                <w:sz w:val="20"/>
                <w:szCs w:val="20"/>
              </w:rPr>
              <w:t>79.3</w:t>
            </w:r>
          </w:p>
        </w:tc>
        <w:tc>
          <w:tcPr>
            <w:tcW w:w="962" w:type="dxa"/>
            <w:tcBorders>
              <w:right w:val="nil"/>
            </w:tcBorders>
            <w:vAlign w:val="top"/>
          </w:tcPr>
          <w:p w14:paraId="1522B9B7">
            <w:pPr>
              <w:pStyle w:val="6"/>
              <w:spacing w:before="113" w:line="195" w:lineRule="auto"/>
              <w:ind w:left="355"/>
              <w:rPr>
                <w:sz w:val="20"/>
                <w:szCs w:val="20"/>
              </w:rPr>
            </w:pPr>
            <w:r>
              <w:rPr>
                <w:spacing w:val="1"/>
                <w:sz w:val="20"/>
                <w:szCs w:val="20"/>
              </w:rPr>
              <w:t>9.3</w:t>
            </w:r>
          </w:p>
        </w:tc>
      </w:tr>
      <w:tr w14:paraId="0C92EA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trPr>
        <w:tc>
          <w:tcPr>
            <w:tcW w:w="635" w:type="dxa"/>
            <w:vMerge w:val="continue"/>
            <w:tcBorders>
              <w:top w:val="nil"/>
              <w:left w:val="nil"/>
              <w:bottom w:val="single" w:color="000000" w:sz="10" w:space="0"/>
            </w:tcBorders>
            <w:vAlign w:val="top"/>
          </w:tcPr>
          <w:p w14:paraId="4793D8DF">
            <w:pPr>
              <w:rPr>
                <w:rFonts w:ascii="Arial"/>
                <w:sz w:val="21"/>
              </w:rPr>
            </w:pPr>
          </w:p>
        </w:tc>
        <w:tc>
          <w:tcPr>
            <w:tcW w:w="1132" w:type="dxa"/>
            <w:vMerge w:val="continue"/>
            <w:tcBorders>
              <w:top w:val="nil"/>
              <w:bottom w:val="single" w:color="000000" w:sz="10" w:space="0"/>
            </w:tcBorders>
            <w:vAlign w:val="top"/>
          </w:tcPr>
          <w:p w14:paraId="4EFFBD99">
            <w:pPr>
              <w:rPr>
                <w:rFonts w:ascii="Arial"/>
                <w:sz w:val="21"/>
              </w:rPr>
            </w:pPr>
          </w:p>
        </w:tc>
        <w:tc>
          <w:tcPr>
            <w:tcW w:w="988" w:type="dxa"/>
            <w:vMerge w:val="continue"/>
            <w:tcBorders>
              <w:top w:val="nil"/>
              <w:bottom w:val="single" w:color="000000" w:sz="10" w:space="0"/>
            </w:tcBorders>
            <w:vAlign w:val="top"/>
          </w:tcPr>
          <w:p w14:paraId="0DE96EFE">
            <w:pPr>
              <w:rPr>
                <w:rFonts w:ascii="Arial"/>
                <w:sz w:val="21"/>
              </w:rPr>
            </w:pPr>
          </w:p>
        </w:tc>
        <w:tc>
          <w:tcPr>
            <w:tcW w:w="1100" w:type="dxa"/>
            <w:tcBorders>
              <w:bottom w:val="single" w:color="000000" w:sz="10" w:space="0"/>
            </w:tcBorders>
            <w:vAlign w:val="top"/>
          </w:tcPr>
          <w:p w14:paraId="210EE383">
            <w:pPr>
              <w:spacing w:before="74" w:line="232" w:lineRule="auto"/>
              <w:ind w:left="139"/>
              <w:rPr>
                <w:rFonts w:ascii="仿宋" w:hAnsi="仿宋" w:eastAsia="仿宋" w:cs="仿宋"/>
                <w:sz w:val="20"/>
                <w:szCs w:val="20"/>
              </w:rPr>
            </w:pPr>
            <w:r>
              <w:rPr>
                <w:rFonts w:ascii="仿宋" w:hAnsi="仿宋" w:eastAsia="仿宋" w:cs="仿宋"/>
                <w:spacing w:val="6"/>
                <w:sz w:val="20"/>
                <w:szCs w:val="20"/>
              </w:rPr>
              <w:t>路面施工</w:t>
            </w:r>
          </w:p>
        </w:tc>
        <w:tc>
          <w:tcPr>
            <w:tcW w:w="1062" w:type="dxa"/>
            <w:tcBorders>
              <w:bottom w:val="single" w:color="000000" w:sz="10" w:space="0"/>
            </w:tcBorders>
            <w:vAlign w:val="top"/>
          </w:tcPr>
          <w:p w14:paraId="6099C9E2">
            <w:pPr>
              <w:pStyle w:val="6"/>
              <w:spacing w:before="113" w:line="195" w:lineRule="auto"/>
              <w:ind w:left="431"/>
              <w:rPr>
                <w:sz w:val="20"/>
                <w:szCs w:val="20"/>
              </w:rPr>
            </w:pPr>
            <w:r>
              <w:rPr>
                <w:spacing w:val="1"/>
                <w:sz w:val="20"/>
                <w:szCs w:val="20"/>
              </w:rPr>
              <w:t>70</w:t>
            </w:r>
          </w:p>
        </w:tc>
        <w:tc>
          <w:tcPr>
            <w:tcW w:w="900" w:type="dxa"/>
            <w:vMerge w:val="continue"/>
            <w:tcBorders>
              <w:top w:val="nil"/>
              <w:bottom w:val="single" w:color="000000" w:sz="10" w:space="0"/>
            </w:tcBorders>
            <w:vAlign w:val="top"/>
          </w:tcPr>
          <w:p w14:paraId="01CF571C">
            <w:pPr>
              <w:rPr>
                <w:rFonts w:ascii="Arial"/>
                <w:sz w:val="21"/>
              </w:rPr>
            </w:pPr>
          </w:p>
        </w:tc>
        <w:tc>
          <w:tcPr>
            <w:tcW w:w="875" w:type="dxa"/>
            <w:tcBorders>
              <w:bottom w:val="single" w:color="000000" w:sz="10" w:space="0"/>
            </w:tcBorders>
            <w:vAlign w:val="top"/>
          </w:tcPr>
          <w:p w14:paraId="52C2F4F1">
            <w:pPr>
              <w:pStyle w:val="6"/>
              <w:spacing w:before="113" w:line="195" w:lineRule="auto"/>
              <w:ind w:left="262"/>
              <w:rPr>
                <w:sz w:val="20"/>
                <w:szCs w:val="20"/>
              </w:rPr>
            </w:pPr>
            <w:r>
              <w:rPr>
                <w:spacing w:val="1"/>
                <w:sz w:val="20"/>
                <w:szCs w:val="20"/>
              </w:rPr>
              <w:t>80.3</w:t>
            </w:r>
          </w:p>
        </w:tc>
        <w:tc>
          <w:tcPr>
            <w:tcW w:w="862" w:type="dxa"/>
            <w:tcBorders>
              <w:bottom w:val="single" w:color="000000" w:sz="10" w:space="0"/>
            </w:tcBorders>
            <w:vAlign w:val="top"/>
          </w:tcPr>
          <w:p w14:paraId="349A025B">
            <w:pPr>
              <w:pStyle w:val="6"/>
              <w:spacing w:before="113" w:line="195" w:lineRule="auto"/>
              <w:ind w:left="256"/>
              <w:rPr>
                <w:sz w:val="20"/>
                <w:szCs w:val="20"/>
              </w:rPr>
            </w:pPr>
            <w:r>
              <w:rPr>
                <w:spacing w:val="1"/>
                <w:sz w:val="20"/>
                <w:szCs w:val="20"/>
              </w:rPr>
              <w:t>80.3</w:t>
            </w:r>
          </w:p>
        </w:tc>
        <w:tc>
          <w:tcPr>
            <w:tcW w:w="962" w:type="dxa"/>
            <w:tcBorders>
              <w:bottom w:val="single" w:color="000000" w:sz="10" w:space="0"/>
              <w:right w:val="nil"/>
            </w:tcBorders>
            <w:vAlign w:val="top"/>
          </w:tcPr>
          <w:p w14:paraId="01C8E196">
            <w:pPr>
              <w:pStyle w:val="6"/>
              <w:spacing w:before="113" w:line="195" w:lineRule="auto"/>
              <w:ind w:left="320"/>
              <w:rPr>
                <w:sz w:val="20"/>
                <w:szCs w:val="20"/>
              </w:rPr>
            </w:pPr>
            <w:r>
              <w:rPr>
                <w:spacing w:val="-2"/>
                <w:sz w:val="20"/>
                <w:szCs w:val="20"/>
              </w:rPr>
              <w:t>10.3</w:t>
            </w:r>
          </w:p>
        </w:tc>
      </w:tr>
    </w:tbl>
    <w:p w14:paraId="20844880">
      <w:pPr>
        <w:pStyle w:val="2"/>
        <w:spacing w:line="14" w:lineRule="auto"/>
      </w:pPr>
    </w:p>
    <w:p w14:paraId="7C46BE7A">
      <w:pPr>
        <w:spacing w:line="14" w:lineRule="auto"/>
        <w:sectPr>
          <w:type w:val="continuous"/>
          <w:pgSz w:w="11906" w:h="16839"/>
          <w:pgMar w:top="400" w:right="1697" w:bottom="1370" w:left="1691" w:header="0" w:footer="1207" w:gutter="0"/>
          <w:cols w:equalWidth="0" w:num="1">
            <w:col w:w="8517"/>
          </w:cols>
        </w:sectPr>
      </w:pPr>
    </w:p>
    <w:p w14:paraId="29CDD546">
      <w:pPr>
        <w:spacing w:before="19"/>
      </w:pPr>
    </w:p>
    <w:p w14:paraId="2345F5D0">
      <w:pPr>
        <w:spacing w:before="19"/>
      </w:pPr>
    </w:p>
    <w:p w14:paraId="2BFB8E6C">
      <w:pPr>
        <w:spacing w:before="18"/>
      </w:pPr>
    </w:p>
    <w:p w14:paraId="39C7F63B">
      <w:pPr>
        <w:spacing w:before="18"/>
      </w:pPr>
    </w:p>
    <w:tbl>
      <w:tblPr>
        <w:tblStyle w:val="5"/>
        <w:tblW w:w="8516"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5"/>
        <w:gridCol w:w="1132"/>
        <w:gridCol w:w="988"/>
        <w:gridCol w:w="1100"/>
        <w:gridCol w:w="1062"/>
        <w:gridCol w:w="900"/>
        <w:gridCol w:w="875"/>
        <w:gridCol w:w="862"/>
        <w:gridCol w:w="962"/>
      </w:tblGrid>
      <w:tr w14:paraId="1DE67D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trPr>
        <w:tc>
          <w:tcPr>
            <w:tcW w:w="635" w:type="dxa"/>
            <w:vMerge w:val="restart"/>
            <w:tcBorders>
              <w:top w:val="single" w:color="000000" w:sz="10" w:space="0"/>
              <w:left w:val="nil"/>
              <w:bottom w:val="nil"/>
            </w:tcBorders>
            <w:vAlign w:val="top"/>
          </w:tcPr>
          <w:p w14:paraId="7C7093E3">
            <w:pPr>
              <w:pStyle w:val="6"/>
              <w:spacing w:before="254" w:line="195" w:lineRule="auto"/>
              <w:ind w:left="235"/>
              <w:rPr>
                <w:sz w:val="20"/>
                <w:szCs w:val="20"/>
              </w:rPr>
            </w:pPr>
            <w:r>
              <w:rPr>
                <w:spacing w:val="-8"/>
                <w:sz w:val="20"/>
                <w:szCs w:val="20"/>
              </w:rPr>
              <w:t>14</w:t>
            </w:r>
          </w:p>
        </w:tc>
        <w:tc>
          <w:tcPr>
            <w:tcW w:w="1132" w:type="dxa"/>
            <w:vMerge w:val="restart"/>
            <w:tcBorders>
              <w:top w:val="single" w:color="000000" w:sz="10" w:space="0"/>
              <w:bottom w:val="nil"/>
            </w:tcBorders>
            <w:vAlign w:val="top"/>
          </w:tcPr>
          <w:p w14:paraId="58C4FF63">
            <w:pPr>
              <w:spacing w:before="216" w:line="231" w:lineRule="auto"/>
              <w:ind w:left="261"/>
              <w:rPr>
                <w:rFonts w:ascii="仿宋" w:hAnsi="仿宋" w:eastAsia="仿宋" w:cs="仿宋"/>
                <w:sz w:val="20"/>
                <w:szCs w:val="20"/>
              </w:rPr>
            </w:pPr>
            <w:r>
              <w:rPr>
                <w:rFonts w:ascii="仿宋" w:hAnsi="仿宋" w:eastAsia="仿宋" w:cs="仿宋"/>
                <w:spacing w:val="5"/>
                <w:sz w:val="20"/>
                <w:szCs w:val="20"/>
              </w:rPr>
              <w:t>神官湾</w:t>
            </w:r>
          </w:p>
        </w:tc>
        <w:tc>
          <w:tcPr>
            <w:tcW w:w="988" w:type="dxa"/>
            <w:vMerge w:val="restart"/>
            <w:tcBorders>
              <w:top w:val="single" w:color="000000" w:sz="10" w:space="0"/>
              <w:bottom w:val="nil"/>
            </w:tcBorders>
            <w:vAlign w:val="top"/>
          </w:tcPr>
          <w:p w14:paraId="48A06012">
            <w:pPr>
              <w:pStyle w:val="6"/>
              <w:spacing w:before="254" w:line="195" w:lineRule="auto"/>
              <w:ind w:left="328"/>
              <w:rPr>
                <w:sz w:val="20"/>
                <w:szCs w:val="20"/>
              </w:rPr>
            </w:pPr>
            <w:r>
              <w:rPr>
                <w:spacing w:val="-3"/>
                <w:sz w:val="20"/>
                <w:szCs w:val="20"/>
              </w:rPr>
              <w:t>15m</w:t>
            </w:r>
          </w:p>
        </w:tc>
        <w:tc>
          <w:tcPr>
            <w:tcW w:w="1100" w:type="dxa"/>
            <w:tcBorders>
              <w:top w:val="single" w:color="000000" w:sz="10" w:space="0"/>
            </w:tcBorders>
            <w:vAlign w:val="top"/>
          </w:tcPr>
          <w:p w14:paraId="5E998404">
            <w:pPr>
              <w:spacing w:before="55" w:line="225" w:lineRule="auto"/>
              <w:ind w:left="139"/>
              <w:rPr>
                <w:rFonts w:ascii="仿宋" w:hAnsi="仿宋" w:eastAsia="仿宋" w:cs="仿宋"/>
                <w:sz w:val="20"/>
                <w:szCs w:val="20"/>
              </w:rPr>
            </w:pPr>
            <w:r>
              <w:rPr>
                <w:rFonts w:ascii="仿宋" w:hAnsi="仿宋" w:eastAsia="仿宋" w:cs="仿宋"/>
                <w:spacing w:val="6"/>
                <w:sz w:val="20"/>
                <w:szCs w:val="20"/>
              </w:rPr>
              <w:t>路基施工</w:t>
            </w:r>
          </w:p>
        </w:tc>
        <w:tc>
          <w:tcPr>
            <w:tcW w:w="1062" w:type="dxa"/>
            <w:tcBorders>
              <w:top w:val="single" w:color="000000" w:sz="10" w:space="0"/>
            </w:tcBorders>
            <w:vAlign w:val="top"/>
          </w:tcPr>
          <w:p w14:paraId="1536A9D1">
            <w:pPr>
              <w:pStyle w:val="6"/>
              <w:spacing w:before="93" w:line="195" w:lineRule="auto"/>
              <w:ind w:left="431"/>
              <w:rPr>
                <w:sz w:val="20"/>
                <w:szCs w:val="20"/>
              </w:rPr>
            </w:pPr>
            <w:r>
              <w:rPr>
                <w:spacing w:val="1"/>
                <w:sz w:val="20"/>
                <w:szCs w:val="20"/>
              </w:rPr>
              <w:t>70</w:t>
            </w:r>
          </w:p>
        </w:tc>
        <w:tc>
          <w:tcPr>
            <w:tcW w:w="900" w:type="dxa"/>
            <w:vMerge w:val="restart"/>
            <w:tcBorders>
              <w:top w:val="single" w:color="000000" w:sz="10" w:space="0"/>
              <w:bottom w:val="nil"/>
            </w:tcBorders>
            <w:vAlign w:val="top"/>
          </w:tcPr>
          <w:p w14:paraId="4DAD40C2">
            <w:pPr>
              <w:pStyle w:val="6"/>
              <w:spacing w:before="254" w:line="195" w:lineRule="auto"/>
              <w:ind w:left="351"/>
              <w:rPr>
                <w:sz w:val="20"/>
                <w:szCs w:val="20"/>
              </w:rPr>
            </w:pPr>
            <w:r>
              <w:rPr>
                <w:sz w:val="20"/>
                <w:szCs w:val="20"/>
              </w:rPr>
              <w:t>50</w:t>
            </w:r>
          </w:p>
        </w:tc>
        <w:tc>
          <w:tcPr>
            <w:tcW w:w="875" w:type="dxa"/>
            <w:tcBorders>
              <w:top w:val="single" w:color="000000" w:sz="10" w:space="0"/>
            </w:tcBorders>
            <w:vAlign w:val="top"/>
          </w:tcPr>
          <w:p w14:paraId="4CA08244">
            <w:pPr>
              <w:pStyle w:val="6"/>
              <w:spacing w:before="93" w:line="195" w:lineRule="auto"/>
              <w:ind w:left="262"/>
              <w:rPr>
                <w:sz w:val="20"/>
                <w:szCs w:val="20"/>
              </w:rPr>
            </w:pPr>
            <w:r>
              <w:rPr>
                <w:spacing w:val="1"/>
                <w:sz w:val="20"/>
                <w:szCs w:val="20"/>
              </w:rPr>
              <w:t>84.5</w:t>
            </w:r>
          </w:p>
        </w:tc>
        <w:tc>
          <w:tcPr>
            <w:tcW w:w="862" w:type="dxa"/>
            <w:tcBorders>
              <w:top w:val="single" w:color="000000" w:sz="10" w:space="0"/>
            </w:tcBorders>
            <w:vAlign w:val="top"/>
          </w:tcPr>
          <w:p w14:paraId="4F4B1375">
            <w:pPr>
              <w:pStyle w:val="6"/>
              <w:spacing w:before="93" w:line="195" w:lineRule="auto"/>
              <w:ind w:left="256"/>
              <w:rPr>
                <w:sz w:val="20"/>
                <w:szCs w:val="20"/>
              </w:rPr>
            </w:pPr>
            <w:r>
              <w:rPr>
                <w:spacing w:val="1"/>
                <w:sz w:val="20"/>
                <w:szCs w:val="20"/>
              </w:rPr>
              <w:t>84.5</w:t>
            </w:r>
          </w:p>
        </w:tc>
        <w:tc>
          <w:tcPr>
            <w:tcW w:w="962" w:type="dxa"/>
            <w:tcBorders>
              <w:top w:val="single" w:color="000000" w:sz="10" w:space="0"/>
              <w:right w:val="nil"/>
            </w:tcBorders>
            <w:vAlign w:val="top"/>
          </w:tcPr>
          <w:p w14:paraId="780A5671">
            <w:pPr>
              <w:pStyle w:val="6"/>
              <w:spacing w:before="93" w:line="195" w:lineRule="auto"/>
              <w:ind w:left="320"/>
              <w:rPr>
                <w:sz w:val="20"/>
                <w:szCs w:val="20"/>
              </w:rPr>
            </w:pPr>
            <w:r>
              <w:rPr>
                <w:spacing w:val="-2"/>
                <w:sz w:val="20"/>
                <w:szCs w:val="20"/>
              </w:rPr>
              <w:t>14.5</w:t>
            </w:r>
          </w:p>
        </w:tc>
      </w:tr>
      <w:tr w14:paraId="645E13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635" w:type="dxa"/>
            <w:vMerge w:val="continue"/>
            <w:tcBorders>
              <w:top w:val="nil"/>
              <w:left w:val="nil"/>
              <w:bottom w:val="single" w:color="000000" w:sz="10" w:space="0"/>
            </w:tcBorders>
            <w:vAlign w:val="top"/>
          </w:tcPr>
          <w:p w14:paraId="49120DD4">
            <w:pPr>
              <w:rPr>
                <w:rFonts w:ascii="Arial"/>
                <w:sz w:val="21"/>
              </w:rPr>
            </w:pPr>
          </w:p>
        </w:tc>
        <w:tc>
          <w:tcPr>
            <w:tcW w:w="1132" w:type="dxa"/>
            <w:vMerge w:val="continue"/>
            <w:tcBorders>
              <w:top w:val="nil"/>
              <w:bottom w:val="single" w:color="000000" w:sz="10" w:space="0"/>
            </w:tcBorders>
            <w:vAlign w:val="top"/>
          </w:tcPr>
          <w:p w14:paraId="046DC122">
            <w:pPr>
              <w:rPr>
                <w:rFonts w:ascii="Arial"/>
                <w:sz w:val="21"/>
              </w:rPr>
            </w:pPr>
          </w:p>
        </w:tc>
        <w:tc>
          <w:tcPr>
            <w:tcW w:w="988" w:type="dxa"/>
            <w:vMerge w:val="continue"/>
            <w:tcBorders>
              <w:top w:val="nil"/>
              <w:bottom w:val="single" w:color="000000" w:sz="10" w:space="0"/>
            </w:tcBorders>
            <w:vAlign w:val="top"/>
          </w:tcPr>
          <w:p w14:paraId="603934A0">
            <w:pPr>
              <w:rPr>
                <w:rFonts w:ascii="Arial"/>
                <w:sz w:val="21"/>
              </w:rPr>
            </w:pPr>
          </w:p>
        </w:tc>
        <w:tc>
          <w:tcPr>
            <w:tcW w:w="1100" w:type="dxa"/>
            <w:tcBorders>
              <w:bottom w:val="single" w:color="000000" w:sz="10" w:space="0"/>
            </w:tcBorders>
            <w:vAlign w:val="top"/>
          </w:tcPr>
          <w:p w14:paraId="4EB3DAF6">
            <w:pPr>
              <w:spacing w:before="62" w:line="232" w:lineRule="auto"/>
              <w:ind w:left="139"/>
              <w:rPr>
                <w:rFonts w:ascii="仿宋" w:hAnsi="仿宋" w:eastAsia="仿宋" w:cs="仿宋"/>
                <w:sz w:val="20"/>
                <w:szCs w:val="20"/>
              </w:rPr>
            </w:pPr>
            <w:r>
              <w:rPr>
                <w:rFonts w:ascii="仿宋" w:hAnsi="仿宋" w:eastAsia="仿宋" w:cs="仿宋"/>
                <w:spacing w:val="6"/>
                <w:sz w:val="20"/>
                <w:szCs w:val="20"/>
              </w:rPr>
              <w:t>路面施工</w:t>
            </w:r>
          </w:p>
        </w:tc>
        <w:tc>
          <w:tcPr>
            <w:tcW w:w="1062" w:type="dxa"/>
            <w:tcBorders>
              <w:bottom w:val="single" w:color="000000" w:sz="10" w:space="0"/>
            </w:tcBorders>
            <w:vAlign w:val="top"/>
          </w:tcPr>
          <w:p w14:paraId="748294E8">
            <w:pPr>
              <w:pStyle w:val="6"/>
              <w:spacing w:before="101" w:line="195" w:lineRule="auto"/>
              <w:ind w:left="431"/>
              <w:rPr>
                <w:sz w:val="20"/>
                <w:szCs w:val="20"/>
              </w:rPr>
            </w:pPr>
            <w:r>
              <w:rPr>
                <w:spacing w:val="1"/>
                <w:sz w:val="20"/>
                <w:szCs w:val="20"/>
              </w:rPr>
              <w:t>70</w:t>
            </w:r>
          </w:p>
        </w:tc>
        <w:tc>
          <w:tcPr>
            <w:tcW w:w="900" w:type="dxa"/>
            <w:vMerge w:val="continue"/>
            <w:tcBorders>
              <w:top w:val="nil"/>
              <w:bottom w:val="single" w:color="000000" w:sz="10" w:space="0"/>
            </w:tcBorders>
            <w:vAlign w:val="top"/>
          </w:tcPr>
          <w:p w14:paraId="766B2F4D">
            <w:pPr>
              <w:rPr>
                <w:rFonts w:ascii="Arial"/>
                <w:sz w:val="21"/>
              </w:rPr>
            </w:pPr>
          </w:p>
        </w:tc>
        <w:tc>
          <w:tcPr>
            <w:tcW w:w="875" w:type="dxa"/>
            <w:tcBorders>
              <w:bottom w:val="single" w:color="000000" w:sz="10" w:space="0"/>
            </w:tcBorders>
            <w:vAlign w:val="top"/>
          </w:tcPr>
          <w:p w14:paraId="4EC15C3D">
            <w:pPr>
              <w:pStyle w:val="6"/>
              <w:spacing w:before="101" w:line="195" w:lineRule="auto"/>
              <w:ind w:left="262"/>
              <w:rPr>
                <w:sz w:val="20"/>
                <w:szCs w:val="20"/>
              </w:rPr>
            </w:pPr>
            <w:r>
              <w:rPr>
                <w:spacing w:val="1"/>
                <w:sz w:val="20"/>
                <w:szCs w:val="20"/>
              </w:rPr>
              <w:t>85.5</w:t>
            </w:r>
          </w:p>
        </w:tc>
        <w:tc>
          <w:tcPr>
            <w:tcW w:w="862" w:type="dxa"/>
            <w:tcBorders>
              <w:bottom w:val="single" w:color="000000" w:sz="10" w:space="0"/>
            </w:tcBorders>
            <w:vAlign w:val="top"/>
          </w:tcPr>
          <w:p w14:paraId="153C3EB2">
            <w:pPr>
              <w:pStyle w:val="6"/>
              <w:spacing w:before="101" w:line="195" w:lineRule="auto"/>
              <w:ind w:left="256"/>
              <w:rPr>
                <w:sz w:val="20"/>
                <w:szCs w:val="20"/>
              </w:rPr>
            </w:pPr>
            <w:r>
              <w:rPr>
                <w:spacing w:val="1"/>
                <w:sz w:val="20"/>
                <w:szCs w:val="20"/>
              </w:rPr>
              <w:t>85.5</w:t>
            </w:r>
          </w:p>
        </w:tc>
        <w:tc>
          <w:tcPr>
            <w:tcW w:w="962" w:type="dxa"/>
            <w:tcBorders>
              <w:bottom w:val="single" w:color="000000" w:sz="10" w:space="0"/>
              <w:right w:val="nil"/>
            </w:tcBorders>
            <w:vAlign w:val="top"/>
          </w:tcPr>
          <w:p w14:paraId="0E5587F5">
            <w:pPr>
              <w:pStyle w:val="6"/>
              <w:spacing w:before="101" w:line="195" w:lineRule="auto"/>
              <w:ind w:left="320"/>
              <w:rPr>
                <w:sz w:val="20"/>
                <w:szCs w:val="20"/>
              </w:rPr>
            </w:pPr>
            <w:r>
              <w:rPr>
                <w:spacing w:val="-2"/>
                <w:sz w:val="20"/>
                <w:szCs w:val="20"/>
              </w:rPr>
              <w:t>15.5</w:t>
            </w:r>
          </w:p>
        </w:tc>
      </w:tr>
    </w:tbl>
    <w:p w14:paraId="6F0ECC39">
      <w:pPr>
        <w:spacing w:before="114" w:line="360" w:lineRule="auto"/>
        <w:ind w:left="123" w:right="102" w:firstLine="481"/>
        <w:rPr>
          <w:rFonts w:ascii="仿宋" w:hAnsi="仿宋" w:eastAsia="仿宋" w:cs="仿宋"/>
          <w:sz w:val="24"/>
          <w:szCs w:val="24"/>
        </w:rPr>
      </w:pPr>
      <w:r>
        <w:rPr>
          <w:rFonts w:ascii="仿宋" w:hAnsi="仿宋" w:eastAsia="仿宋" w:cs="仿宋"/>
          <w:spacing w:val="-1"/>
          <w:sz w:val="24"/>
          <w:szCs w:val="24"/>
        </w:rPr>
        <w:t>根据表</w:t>
      </w:r>
      <w:r>
        <w:rPr>
          <w:rFonts w:ascii="仿宋" w:hAnsi="仿宋" w:eastAsia="仿宋" w:cs="仿宋"/>
          <w:spacing w:val="-49"/>
          <w:sz w:val="24"/>
          <w:szCs w:val="24"/>
        </w:rPr>
        <w:t xml:space="preserve"> </w:t>
      </w:r>
      <w:r>
        <w:rPr>
          <w:rFonts w:ascii="仿宋" w:hAnsi="仿宋" w:eastAsia="仿宋" w:cs="仿宋"/>
          <w:spacing w:val="-1"/>
          <w:sz w:val="24"/>
          <w:szCs w:val="24"/>
        </w:rPr>
        <w:t>4.1-4，单机作业时，达标点位（4</w:t>
      </w:r>
      <w:r>
        <w:rPr>
          <w:rFonts w:ascii="仿宋" w:hAnsi="仿宋" w:eastAsia="仿宋" w:cs="仿宋"/>
          <w:spacing w:val="-41"/>
          <w:sz w:val="24"/>
          <w:szCs w:val="24"/>
        </w:rPr>
        <w:t xml:space="preserve"> </w:t>
      </w:r>
      <w:r>
        <w:rPr>
          <w:rFonts w:ascii="仿宋" w:hAnsi="仿宋" w:eastAsia="仿宋" w:cs="仿宋"/>
          <w:spacing w:val="-1"/>
          <w:sz w:val="24"/>
          <w:szCs w:val="24"/>
        </w:rPr>
        <w:t>处</w:t>
      </w:r>
      <w:r>
        <w:rPr>
          <w:rFonts w:ascii="仿宋" w:hAnsi="仿宋" w:eastAsia="仿宋" w:cs="仿宋"/>
          <w:spacing w:val="20"/>
          <w:sz w:val="24"/>
          <w:szCs w:val="24"/>
        </w:rPr>
        <w:t>）：</w:t>
      </w:r>
      <w:r>
        <w:rPr>
          <w:rFonts w:ascii="仿宋" w:hAnsi="仿宋" w:eastAsia="仿宋" w:cs="仿宋"/>
          <w:spacing w:val="-1"/>
          <w:sz w:val="24"/>
          <w:szCs w:val="24"/>
        </w:rPr>
        <w:t>瓦窑平、刘家塔散户</w:t>
      </w:r>
      <w:r>
        <w:rPr>
          <w:rFonts w:ascii="仿宋" w:hAnsi="仿宋" w:eastAsia="仿宋" w:cs="仿宋"/>
          <w:spacing w:val="-29"/>
          <w:sz w:val="24"/>
          <w:szCs w:val="24"/>
        </w:rPr>
        <w:t xml:space="preserve"> </w:t>
      </w:r>
      <w:r>
        <w:rPr>
          <w:rFonts w:ascii="仿宋" w:hAnsi="仿宋" w:eastAsia="仿宋" w:cs="仿宋"/>
          <w:spacing w:val="-1"/>
          <w:sz w:val="24"/>
          <w:szCs w:val="24"/>
        </w:rPr>
        <w:t>1、</w:t>
      </w:r>
      <w:r>
        <w:rPr>
          <w:rFonts w:ascii="仿宋" w:hAnsi="仿宋" w:eastAsia="仿宋" w:cs="仿宋"/>
          <w:spacing w:val="-4"/>
          <w:sz w:val="24"/>
          <w:szCs w:val="24"/>
        </w:rPr>
        <w:t>二道壕、大圪梁散户</w:t>
      </w:r>
      <w:r>
        <w:rPr>
          <w:rFonts w:ascii="仿宋" w:hAnsi="仿宋" w:eastAsia="仿宋" w:cs="仿宋"/>
          <w:spacing w:val="-33"/>
          <w:sz w:val="24"/>
          <w:szCs w:val="24"/>
        </w:rPr>
        <w:t xml:space="preserve"> </w:t>
      </w:r>
      <w:r>
        <w:rPr>
          <w:rFonts w:ascii="仿宋" w:hAnsi="仿宋" w:eastAsia="仿宋" w:cs="仿宋"/>
          <w:spacing w:val="-4"/>
          <w:sz w:val="24"/>
          <w:szCs w:val="24"/>
        </w:rPr>
        <w:t>1，距离较远，噪声衰减充分；超标点位（</w:t>
      </w:r>
      <w:r>
        <w:rPr>
          <w:rFonts w:ascii="仿宋" w:hAnsi="仿宋" w:eastAsia="仿宋" w:cs="仿宋"/>
          <w:spacing w:val="-5"/>
          <w:sz w:val="24"/>
          <w:szCs w:val="24"/>
        </w:rPr>
        <w:t>10</w:t>
      </w:r>
      <w:r>
        <w:rPr>
          <w:rFonts w:ascii="仿宋" w:hAnsi="仿宋" w:eastAsia="仿宋" w:cs="仿宋"/>
          <w:spacing w:val="-44"/>
          <w:sz w:val="24"/>
          <w:szCs w:val="24"/>
        </w:rPr>
        <w:t xml:space="preserve"> </w:t>
      </w:r>
      <w:r>
        <w:rPr>
          <w:rFonts w:ascii="仿宋" w:hAnsi="仿宋" w:eastAsia="仿宋" w:cs="仿宋"/>
          <w:spacing w:val="-5"/>
          <w:sz w:val="24"/>
          <w:szCs w:val="24"/>
        </w:rPr>
        <w:t>处</w:t>
      </w:r>
      <w:r>
        <w:rPr>
          <w:rFonts w:ascii="仿宋" w:hAnsi="仿宋" w:eastAsia="仿宋" w:cs="仿宋"/>
          <w:spacing w:val="-7"/>
          <w:sz w:val="24"/>
          <w:szCs w:val="24"/>
        </w:rPr>
        <w:t>）：</w:t>
      </w:r>
      <w:r>
        <w:rPr>
          <w:rFonts w:ascii="仿宋" w:hAnsi="仿宋" w:eastAsia="仿宋" w:cs="仿宋"/>
          <w:spacing w:val="-5"/>
          <w:sz w:val="24"/>
          <w:szCs w:val="24"/>
        </w:rPr>
        <w:t>轻微超</w:t>
      </w:r>
      <w:r>
        <w:rPr>
          <w:rFonts w:ascii="仿宋" w:hAnsi="仿宋" w:eastAsia="仿宋" w:cs="仿宋"/>
          <w:sz w:val="24"/>
          <w:szCs w:val="24"/>
        </w:rPr>
        <w:t>标：庙圪旦、大圪梁散户2、三道壕、张家圪旦；中度超标：崔家峁、刘家塔散</w:t>
      </w:r>
      <w:r>
        <w:rPr>
          <w:rFonts w:ascii="仿宋" w:hAnsi="仿宋" w:eastAsia="仿宋" w:cs="仿宋"/>
          <w:spacing w:val="-4"/>
          <w:sz w:val="24"/>
          <w:szCs w:val="24"/>
        </w:rPr>
        <w:t>户</w:t>
      </w:r>
      <w:r>
        <w:rPr>
          <w:rFonts w:ascii="仿宋" w:hAnsi="仿宋" w:eastAsia="仿宋" w:cs="仿宋"/>
          <w:spacing w:val="-42"/>
          <w:sz w:val="24"/>
          <w:szCs w:val="24"/>
        </w:rPr>
        <w:t xml:space="preserve"> </w:t>
      </w:r>
      <w:r>
        <w:rPr>
          <w:rFonts w:ascii="仿宋" w:hAnsi="仿宋" w:eastAsia="仿宋" w:cs="仿宋"/>
          <w:spacing w:val="-4"/>
          <w:sz w:val="24"/>
          <w:szCs w:val="24"/>
        </w:rPr>
        <w:t>2、神官湾；重度超标：陈家梁、西圪旦、份子地社新村（距路仅</w:t>
      </w:r>
      <w:r>
        <w:rPr>
          <w:rFonts w:ascii="仿宋" w:hAnsi="仿宋" w:eastAsia="仿宋" w:cs="仿宋"/>
          <w:spacing w:val="-47"/>
          <w:sz w:val="24"/>
          <w:szCs w:val="24"/>
        </w:rPr>
        <w:t xml:space="preserve"> </w:t>
      </w:r>
      <w:r>
        <w:rPr>
          <w:rFonts w:ascii="仿宋" w:hAnsi="仿宋" w:eastAsia="仿宋" w:cs="仿宋"/>
          <w:spacing w:val="-4"/>
          <w:sz w:val="24"/>
          <w:szCs w:val="24"/>
        </w:rPr>
        <w:t>5m，超标最</w:t>
      </w:r>
      <w:r>
        <w:rPr>
          <w:rFonts w:ascii="仿宋" w:hAnsi="仿宋" w:eastAsia="仿宋" w:cs="仿宋"/>
          <w:spacing w:val="-2"/>
          <w:sz w:val="24"/>
          <w:szCs w:val="24"/>
        </w:rPr>
        <w:t>高</w:t>
      </w:r>
      <w:r>
        <w:rPr>
          <w:rFonts w:ascii="仿宋" w:hAnsi="仿宋" w:eastAsia="仿宋" w:cs="仿宋"/>
          <w:spacing w:val="-33"/>
          <w:sz w:val="24"/>
          <w:szCs w:val="24"/>
        </w:rPr>
        <w:t xml:space="preserve"> </w:t>
      </w:r>
      <w:r>
        <w:rPr>
          <w:rFonts w:ascii="仿宋" w:hAnsi="仿宋" w:eastAsia="仿宋" w:cs="仿宋"/>
          <w:spacing w:val="-2"/>
          <w:sz w:val="24"/>
          <w:szCs w:val="24"/>
        </w:rPr>
        <w:t>18dB(A)）。距道路越近，超标越严重。</w:t>
      </w:r>
    </w:p>
    <w:p w14:paraId="43714B29">
      <w:pPr>
        <w:spacing w:before="2" w:line="359" w:lineRule="auto"/>
        <w:ind w:left="134" w:right="102" w:firstLine="470"/>
        <w:rPr>
          <w:rFonts w:ascii="仿宋" w:hAnsi="仿宋" w:eastAsia="仿宋" w:cs="仿宋"/>
          <w:sz w:val="24"/>
          <w:szCs w:val="24"/>
        </w:rPr>
      </w:pPr>
      <w:r>
        <w:rPr>
          <w:rFonts w:ascii="仿宋" w:hAnsi="仿宋" w:eastAsia="仿宋" w:cs="仿宋"/>
          <w:sz w:val="24"/>
          <w:szCs w:val="24"/>
        </w:rPr>
        <w:t>根据表4.1-5，机械组合作业时，机械噪声叠加后污染大幅加剧，仅瓦窑平</w:t>
      </w:r>
      <w:r>
        <w:rPr>
          <w:rFonts w:ascii="仿宋" w:hAnsi="仿宋" w:eastAsia="仿宋" w:cs="仿宋"/>
          <w:spacing w:val="-6"/>
          <w:sz w:val="24"/>
          <w:szCs w:val="24"/>
        </w:rPr>
        <w:t>1</w:t>
      </w:r>
      <w:r>
        <w:rPr>
          <w:rFonts w:ascii="仿宋" w:hAnsi="仿宋" w:eastAsia="仿宋" w:cs="仿宋"/>
          <w:spacing w:val="-41"/>
          <w:sz w:val="24"/>
          <w:szCs w:val="24"/>
        </w:rPr>
        <w:t xml:space="preserve"> </w:t>
      </w:r>
      <w:r>
        <w:rPr>
          <w:rFonts w:ascii="仿宋" w:hAnsi="仿宋" w:eastAsia="仿宋" w:cs="仿宋"/>
          <w:spacing w:val="-6"/>
          <w:sz w:val="24"/>
          <w:szCs w:val="24"/>
        </w:rPr>
        <w:t>处达标，剩余</w:t>
      </w:r>
      <w:r>
        <w:rPr>
          <w:rFonts w:ascii="仿宋" w:hAnsi="仿宋" w:eastAsia="仿宋" w:cs="仿宋"/>
          <w:spacing w:val="-33"/>
          <w:sz w:val="24"/>
          <w:szCs w:val="24"/>
        </w:rPr>
        <w:t xml:space="preserve"> </w:t>
      </w:r>
      <w:r>
        <w:rPr>
          <w:rFonts w:ascii="仿宋" w:hAnsi="仿宋" w:eastAsia="仿宋" w:cs="仿宋"/>
          <w:spacing w:val="-6"/>
          <w:sz w:val="24"/>
          <w:szCs w:val="24"/>
        </w:rPr>
        <w:t>13</w:t>
      </w:r>
      <w:r>
        <w:rPr>
          <w:rFonts w:ascii="仿宋" w:hAnsi="仿宋" w:eastAsia="仿宋" w:cs="仿宋"/>
          <w:spacing w:val="-44"/>
          <w:sz w:val="24"/>
          <w:szCs w:val="24"/>
        </w:rPr>
        <w:t xml:space="preserve"> </w:t>
      </w:r>
      <w:r>
        <w:rPr>
          <w:rFonts w:ascii="仿宋" w:hAnsi="仿宋" w:eastAsia="仿宋" w:cs="仿宋"/>
          <w:spacing w:val="-6"/>
          <w:sz w:val="24"/>
          <w:szCs w:val="24"/>
        </w:rPr>
        <w:t>处全部超标。</w:t>
      </w:r>
    </w:p>
    <w:p w14:paraId="45B46A45">
      <w:pPr>
        <w:spacing w:line="360" w:lineRule="auto"/>
        <w:ind w:left="124" w:right="102" w:firstLine="481"/>
        <w:jc w:val="both"/>
        <w:rPr>
          <w:rFonts w:ascii="仿宋" w:hAnsi="仿宋" w:eastAsia="仿宋" w:cs="仿宋"/>
          <w:sz w:val="24"/>
          <w:szCs w:val="24"/>
        </w:rPr>
      </w:pPr>
      <w:r>
        <w:rPr>
          <w:rFonts w:ascii="仿宋" w:hAnsi="仿宋" w:eastAsia="仿宋" w:cs="仿宋"/>
          <w:spacing w:val="-4"/>
          <w:sz w:val="24"/>
          <w:szCs w:val="24"/>
        </w:rPr>
        <w:t>综上，常态单机施工超七成敏感点（室外）噪声超标，多机叠加工况几乎全</w:t>
      </w:r>
      <w:r>
        <w:rPr>
          <w:rFonts w:ascii="仿宋" w:hAnsi="仿宋" w:eastAsia="仿宋" w:cs="仿宋"/>
          <w:spacing w:val="1"/>
          <w:sz w:val="24"/>
          <w:szCs w:val="24"/>
        </w:rPr>
        <w:t>部敏感点超标；5～30m</w:t>
      </w:r>
      <w:r>
        <w:rPr>
          <w:rFonts w:ascii="仿宋" w:hAnsi="仿宋" w:eastAsia="仿宋" w:cs="仿宋"/>
          <w:spacing w:val="-28"/>
          <w:sz w:val="24"/>
          <w:szCs w:val="24"/>
        </w:rPr>
        <w:t xml:space="preserve"> </w:t>
      </w:r>
      <w:r>
        <w:rPr>
          <w:rFonts w:ascii="仿宋" w:hAnsi="仿宋" w:eastAsia="仿宋" w:cs="仿宋"/>
          <w:spacing w:val="1"/>
          <w:sz w:val="24"/>
          <w:szCs w:val="24"/>
        </w:rPr>
        <w:t>近路居民受干扰最突出，份子地社新村、陈家梁、西圪</w:t>
      </w:r>
      <w:r>
        <w:rPr>
          <w:rFonts w:ascii="仿宋" w:hAnsi="仿宋" w:eastAsia="仿宋" w:cs="仿宋"/>
          <w:spacing w:val="-2"/>
          <w:sz w:val="24"/>
          <w:szCs w:val="24"/>
        </w:rPr>
        <w:t>旦为噪声防控重点。</w:t>
      </w:r>
    </w:p>
    <w:p w14:paraId="222AB5F6">
      <w:pPr>
        <w:spacing w:line="219" w:lineRule="auto"/>
        <w:ind w:left="608"/>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2</w:t>
      </w:r>
      <w:r>
        <w:rPr>
          <w:rFonts w:ascii="仿宋" w:hAnsi="仿宋" w:eastAsia="仿宋" w:cs="仿宋"/>
          <w:spacing w:val="-2"/>
          <w:sz w:val="24"/>
          <w:szCs w:val="24"/>
        </w:rPr>
        <w:t>）村内运输车辆流动噪声影响</w:t>
      </w:r>
    </w:p>
    <w:p w14:paraId="3716005E">
      <w:pPr>
        <w:spacing w:before="182" w:line="359" w:lineRule="auto"/>
        <w:ind w:left="126" w:right="45" w:firstLine="478"/>
        <w:rPr>
          <w:rFonts w:ascii="仿宋" w:hAnsi="仿宋" w:eastAsia="仿宋" w:cs="仿宋"/>
          <w:sz w:val="24"/>
          <w:szCs w:val="24"/>
        </w:rPr>
      </w:pPr>
      <w:r>
        <w:rPr>
          <w:rFonts w:ascii="仿宋" w:hAnsi="仿宋" w:eastAsia="仿宋" w:cs="仿宋"/>
          <w:spacing w:val="-2"/>
          <w:sz w:val="24"/>
          <w:szCs w:val="24"/>
        </w:rPr>
        <w:t>项目无专用运输便道，物料及混凝土运输车辆需全程借道村内主干道通行。</w:t>
      </w:r>
      <w:r>
        <w:rPr>
          <w:rFonts w:ascii="仿宋" w:hAnsi="仿宋" w:eastAsia="仿宋" w:cs="仿宋"/>
          <w:spacing w:val="1"/>
          <w:sz w:val="24"/>
          <w:szCs w:val="24"/>
        </w:rPr>
        <w:t>车辆通行噪声为</w:t>
      </w:r>
      <w:r>
        <w:rPr>
          <w:rFonts w:ascii="仿宋" w:hAnsi="仿宋" w:eastAsia="仿宋" w:cs="仿宋"/>
          <w:spacing w:val="-47"/>
          <w:sz w:val="24"/>
          <w:szCs w:val="24"/>
        </w:rPr>
        <w:t xml:space="preserve"> </w:t>
      </w:r>
      <w:r>
        <w:rPr>
          <w:rFonts w:ascii="Times New Roman" w:hAnsi="Times New Roman" w:eastAsia="Times New Roman" w:cs="Times New Roman"/>
          <w:spacing w:val="1"/>
          <w:sz w:val="24"/>
          <w:szCs w:val="24"/>
        </w:rPr>
        <w:t>92</w:t>
      </w:r>
      <w:r>
        <w:rPr>
          <w:rFonts w:ascii="Times New Roman" w:hAnsi="Times New Roman" w:eastAsia="Times New Roman" w:cs="Times New Roman"/>
          <w:sz w:val="24"/>
          <w:szCs w:val="24"/>
        </w:rPr>
        <w:t>dB</w:t>
      </w:r>
      <w:r>
        <w:rPr>
          <w:rFonts w:ascii="Times New Roman" w:hAnsi="Times New Roman" w:eastAsia="Times New Roman" w:cs="Times New Roman"/>
          <w:spacing w:val="1"/>
          <w:sz w:val="24"/>
          <w:szCs w:val="24"/>
        </w:rPr>
        <w:t>(A)</w:t>
      </w:r>
      <w:r>
        <w:rPr>
          <w:rFonts w:ascii="仿宋" w:hAnsi="仿宋" w:eastAsia="仿宋" w:cs="仿宋"/>
          <w:spacing w:val="1"/>
          <w:sz w:val="24"/>
          <w:szCs w:val="24"/>
        </w:rPr>
        <w:t>（</w:t>
      </w:r>
      <w:r>
        <w:rPr>
          <w:rFonts w:ascii="Times New Roman" w:hAnsi="Times New Roman" w:eastAsia="Times New Roman" w:cs="Times New Roman"/>
          <w:spacing w:val="1"/>
          <w:sz w:val="24"/>
          <w:szCs w:val="24"/>
        </w:rPr>
        <w:t>5m</w:t>
      </w:r>
      <w:r>
        <w:rPr>
          <w:rFonts w:ascii="Times New Roman" w:hAnsi="Times New Roman" w:eastAsia="Times New Roman" w:cs="Times New Roman"/>
          <w:spacing w:val="18"/>
          <w:sz w:val="24"/>
          <w:szCs w:val="24"/>
        </w:rPr>
        <w:t xml:space="preserve"> </w:t>
      </w:r>
      <w:r>
        <w:rPr>
          <w:rFonts w:ascii="仿宋" w:hAnsi="仿宋" w:eastAsia="仿宋" w:cs="仿宋"/>
          <w:spacing w:val="1"/>
          <w:sz w:val="24"/>
          <w:szCs w:val="24"/>
        </w:rPr>
        <w:t>处</w:t>
      </w:r>
      <w:r>
        <w:rPr>
          <w:rFonts w:ascii="仿宋" w:hAnsi="仿宋" w:eastAsia="仿宋" w:cs="仿宋"/>
          <w:spacing w:val="12"/>
          <w:sz w:val="24"/>
          <w:szCs w:val="24"/>
        </w:rPr>
        <w:t>），</w:t>
      </w:r>
      <w:r>
        <w:rPr>
          <w:rFonts w:ascii="仿宋" w:hAnsi="仿宋" w:eastAsia="仿宋" w:cs="仿宋"/>
          <w:spacing w:val="1"/>
          <w:sz w:val="24"/>
          <w:szCs w:val="24"/>
        </w:rPr>
        <w:t>运输作业同步配</w:t>
      </w:r>
      <w:r>
        <w:rPr>
          <w:rFonts w:ascii="仿宋" w:hAnsi="仿宋" w:eastAsia="仿宋" w:cs="仿宋"/>
          <w:sz w:val="24"/>
          <w:szCs w:val="24"/>
        </w:rPr>
        <w:t>合昼间施工开展，夜间、</w:t>
      </w:r>
      <w:r>
        <w:rPr>
          <w:rFonts w:ascii="仿宋" w:hAnsi="仿宋" w:eastAsia="仿宋" w:cs="仿宋"/>
          <w:spacing w:val="-3"/>
          <w:sz w:val="24"/>
          <w:szCs w:val="24"/>
        </w:rPr>
        <w:t>午休时间同步禁止物料运输。散户路段车流噪声呈点状分散</w:t>
      </w:r>
      <w:r>
        <w:rPr>
          <w:rFonts w:ascii="仿宋" w:hAnsi="仿宋" w:eastAsia="仿宋" w:cs="仿宋"/>
          <w:spacing w:val="-4"/>
          <w:sz w:val="24"/>
          <w:szCs w:val="24"/>
        </w:rPr>
        <w:t>干扰，村落路段车流</w:t>
      </w:r>
      <w:r>
        <w:rPr>
          <w:rFonts w:ascii="仿宋" w:hAnsi="仿宋" w:eastAsia="仿宋" w:cs="仿宋"/>
          <w:spacing w:val="-3"/>
          <w:sz w:val="24"/>
          <w:szCs w:val="24"/>
        </w:rPr>
        <w:t>噪声集中扰民；项目采用商品混凝土，从源头消除现场搅拌</w:t>
      </w:r>
      <w:r>
        <w:rPr>
          <w:rFonts w:ascii="仿宋" w:hAnsi="仿宋" w:eastAsia="仿宋" w:cs="仿宋"/>
          <w:spacing w:val="-4"/>
          <w:sz w:val="24"/>
          <w:szCs w:val="24"/>
        </w:rPr>
        <w:t>低频噪声，整体噪声</w:t>
      </w:r>
      <w:r>
        <w:rPr>
          <w:rFonts w:ascii="仿宋" w:hAnsi="仿宋" w:eastAsia="仿宋" w:cs="仿宋"/>
          <w:spacing w:val="-1"/>
          <w:sz w:val="24"/>
          <w:szCs w:val="24"/>
        </w:rPr>
        <w:t>负荷有所降低，需同步加强昼间运输车辆限行、禁鸣管理。</w:t>
      </w:r>
    </w:p>
    <w:p w14:paraId="2BA4B3A2">
      <w:pPr>
        <w:spacing w:before="221" w:line="223" w:lineRule="auto"/>
        <w:ind w:left="116"/>
        <w:outlineLvl w:val="2"/>
        <w:rPr>
          <w:rFonts w:ascii="仿宋" w:hAnsi="仿宋" w:eastAsia="仿宋" w:cs="仿宋"/>
          <w:sz w:val="28"/>
          <w:szCs w:val="28"/>
        </w:rPr>
      </w:pPr>
      <w:bookmarkStart w:id="43" w:name="bookmark46"/>
      <w:bookmarkEnd w:id="43"/>
      <w:r>
        <w:rPr>
          <w:rFonts w:ascii="仿宋" w:hAnsi="仿宋" w:eastAsia="仿宋" w:cs="仿宋"/>
          <w:b/>
          <w:bCs/>
          <w:spacing w:val="-6"/>
          <w:sz w:val="28"/>
          <w:szCs w:val="28"/>
        </w:rPr>
        <w:t>4.1.5</w:t>
      </w:r>
      <w:r>
        <w:rPr>
          <w:rFonts w:ascii="仿宋" w:hAnsi="仿宋" w:eastAsia="仿宋" w:cs="仿宋"/>
          <w:spacing w:val="-34"/>
          <w:sz w:val="28"/>
          <w:szCs w:val="28"/>
        </w:rPr>
        <w:t xml:space="preserve"> </w:t>
      </w:r>
      <w:r>
        <w:rPr>
          <w:rFonts w:ascii="仿宋" w:hAnsi="仿宋" w:eastAsia="仿宋" w:cs="仿宋"/>
          <w:b/>
          <w:bCs/>
          <w:spacing w:val="-6"/>
          <w:sz w:val="28"/>
          <w:szCs w:val="28"/>
        </w:rPr>
        <w:t>噪声影响评价</w:t>
      </w:r>
    </w:p>
    <w:p w14:paraId="72993732">
      <w:pPr>
        <w:pStyle w:val="2"/>
        <w:spacing w:line="305" w:lineRule="auto"/>
        <w:rPr>
          <w:sz w:val="21"/>
        </w:rPr>
      </w:pPr>
    </w:p>
    <w:p w14:paraId="0CCCED45">
      <w:pPr>
        <w:spacing w:before="78" w:line="360" w:lineRule="auto"/>
        <w:ind w:left="122" w:right="63" w:firstLine="482"/>
        <w:jc w:val="both"/>
        <w:rPr>
          <w:rFonts w:ascii="仿宋" w:hAnsi="仿宋" w:eastAsia="仿宋" w:cs="仿宋"/>
          <w:sz w:val="24"/>
          <w:szCs w:val="24"/>
        </w:rPr>
      </w:pPr>
      <w:r>
        <w:rPr>
          <w:rFonts w:ascii="仿宋" w:hAnsi="仿宋" w:eastAsia="仿宋" w:cs="仿宋"/>
          <w:spacing w:val="-3"/>
          <w:sz w:val="24"/>
          <w:szCs w:val="24"/>
        </w:rPr>
        <w:t>根据前文施工期单机作业、多机联合作业及村</w:t>
      </w:r>
      <w:r>
        <w:rPr>
          <w:rFonts w:ascii="仿宋" w:hAnsi="仿宋" w:eastAsia="仿宋" w:cs="仿宋"/>
          <w:spacing w:val="-4"/>
          <w:sz w:val="24"/>
          <w:szCs w:val="24"/>
        </w:rPr>
        <w:t>内运输车辆流动噪声的影响分</w:t>
      </w:r>
      <w:r>
        <w:rPr>
          <w:rFonts w:ascii="仿宋" w:hAnsi="仿宋" w:eastAsia="仿宋" w:cs="仿宋"/>
          <w:spacing w:val="-3"/>
          <w:sz w:val="24"/>
          <w:szCs w:val="24"/>
        </w:rPr>
        <w:t>析结果可知，本项目施工期噪声影响整体较为突出，噪声扰民风险主要</w:t>
      </w:r>
      <w:r>
        <w:rPr>
          <w:rFonts w:ascii="仿宋" w:hAnsi="仿宋" w:eastAsia="仿宋" w:cs="仿宋"/>
          <w:spacing w:val="-4"/>
          <w:sz w:val="24"/>
          <w:szCs w:val="24"/>
        </w:rPr>
        <w:t>集中在道</w:t>
      </w:r>
      <w:r>
        <w:rPr>
          <w:rFonts w:ascii="仿宋" w:hAnsi="仿宋" w:eastAsia="仿宋" w:cs="仿宋"/>
          <w:spacing w:val="-3"/>
          <w:sz w:val="24"/>
          <w:szCs w:val="24"/>
        </w:rPr>
        <w:t>路沿线近距离居民敏感点。常态单机施工工况下，项目超七成敏感点室</w:t>
      </w:r>
      <w:r>
        <w:rPr>
          <w:rFonts w:ascii="仿宋" w:hAnsi="仿宋" w:eastAsia="仿宋" w:cs="仿宋"/>
          <w:spacing w:val="-4"/>
          <w:sz w:val="24"/>
          <w:szCs w:val="24"/>
        </w:rPr>
        <w:t>外噪声出</w:t>
      </w:r>
      <w:r>
        <w:rPr>
          <w:rFonts w:ascii="仿宋" w:hAnsi="仿宋" w:eastAsia="仿宋" w:cs="仿宋"/>
          <w:spacing w:val="-3"/>
          <w:sz w:val="24"/>
          <w:szCs w:val="24"/>
        </w:rPr>
        <w:t>现超标情况；多机叠加施工作业时，噪声污染进一步加剧，除瓦窑平点</w:t>
      </w:r>
      <w:r>
        <w:rPr>
          <w:rFonts w:ascii="仿宋" w:hAnsi="仿宋" w:eastAsia="仿宋" w:cs="仿宋"/>
          <w:spacing w:val="-4"/>
          <w:sz w:val="24"/>
          <w:szCs w:val="24"/>
        </w:rPr>
        <w:t>位外，其</w:t>
      </w:r>
      <w:r>
        <w:rPr>
          <w:rFonts w:ascii="仿宋" w:hAnsi="仿宋" w:eastAsia="仿宋" w:cs="仿宋"/>
          <w:spacing w:val="-3"/>
          <w:sz w:val="24"/>
          <w:szCs w:val="24"/>
        </w:rPr>
        <w:t>余全部沿线敏感点均存在噪声超标问题，其中份子地社新村、陈家梁、</w:t>
      </w:r>
      <w:r>
        <w:rPr>
          <w:rFonts w:ascii="仿宋" w:hAnsi="仿宋" w:eastAsia="仿宋" w:cs="仿宋"/>
          <w:spacing w:val="-4"/>
          <w:sz w:val="24"/>
          <w:szCs w:val="24"/>
        </w:rPr>
        <w:t>西圪旦等</w:t>
      </w:r>
      <w:r>
        <w:rPr>
          <w:rFonts w:ascii="仿宋" w:hAnsi="仿宋" w:eastAsia="仿宋" w:cs="仿宋"/>
          <w:spacing w:val="-3"/>
          <w:sz w:val="24"/>
          <w:szCs w:val="24"/>
        </w:rPr>
        <w:t>近距离村落点位超标幅度最大，居民受噪声干扰最为显著，是施工期噪</w:t>
      </w:r>
      <w:r>
        <w:rPr>
          <w:rFonts w:ascii="仿宋" w:hAnsi="仿宋" w:eastAsia="仿宋" w:cs="仿宋"/>
          <w:spacing w:val="-4"/>
          <w:sz w:val="24"/>
          <w:szCs w:val="24"/>
        </w:rPr>
        <w:t>声污染防</w:t>
      </w:r>
      <w:r>
        <w:rPr>
          <w:rFonts w:ascii="仿宋" w:hAnsi="仿宋" w:eastAsia="仿宋" w:cs="仿宋"/>
          <w:spacing w:val="-2"/>
          <w:sz w:val="24"/>
          <w:szCs w:val="24"/>
        </w:rPr>
        <w:t>控的核心区域。同时，项目物料运输车辆借道村内主干道通行产生的流动噪声，</w:t>
      </w:r>
      <w:r>
        <w:rPr>
          <w:rFonts w:ascii="仿宋" w:hAnsi="仿宋" w:eastAsia="仿宋" w:cs="仿宋"/>
          <w:spacing w:val="-3"/>
          <w:sz w:val="24"/>
          <w:szCs w:val="24"/>
        </w:rPr>
        <w:t>对沿线散户及集中村落居民造成点状、集中式噪声扰民影响，施工期噪</w:t>
      </w:r>
      <w:r>
        <w:rPr>
          <w:rFonts w:ascii="仿宋" w:hAnsi="仿宋" w:eastAsia="仿宋" w:cs="仿宋"/>
          <w:spacing w:val="-4"/>
          <w:sz w:val="24"/>
          <w:szCs w:val="24"/>
        </w:rPr>
        <w:t>声环境影</w:t>
      </w:r>
      <w:r>
        <w:rPr>
          <w:rFonts w:ascii="仿宋" w:hAnsi="仿宋" w:eastAsia="仿宋" w:cs="仿宋"/>
          <w:spacing w:val="-2"/>
          <w:sz w:val="24"/>
          <w:szCs w:val="24"/>
        </w:rPr>
        <w:t>响管控压力较大。</w:t>
      </w:r>
    </w:p>
    <w:p w14:paraId="6DDF5551">
      <w:pPr>
        <w:spacing w:line="360" w:lineRule="auto"/>
        <w:rPr>
          <w:rFonts w:ascii="仿宋" w:hAnsi="仿宋" w:eastAsia="仿宋" w:cs="仿宋"/>
          <w:sz w:val="24"/>
          <w:szCs w:val="24"/>
        </w:rPr>
        <w:sectPr>
          <w:footerReference r:id="rId176" w:type="default"/>
          <w:pgSz w:w="11906" w:h="16839"/>
          <w:pgMar w:top="400" w:right="1697" w:bottom="1370" w:left="1691" w:header="0" w:footer="1207" w:gutter="0"/>
          <w:cols w:space="720" w:num="1"/>
        </w:sectPr>
      </w:pPr>
    </w:p>
    <w:p w14:paraId="6604C9BF">
      <w:pPr>
        <w:pStyle w:val="2"/>
        <w:spacing w:line="266" w:lineRule="auto"/>
        <w:rPr>
          <w:sz w:val="21"/>
        </w:rPr>
      </w:pPr>
    </w:p>
    <w:p w14:paraId="302EFA73">
      <w:pPr>
        <w:pStyle w:val="2"/>
        <w:spacing w:line="266" w:lineRule="auto"/>
        <w:rPr>
          <w:sz w:val="21"/>
        </w:rPr>
      </w:pPr>
    </w:p>
    <w:p w14:paraId="529D1974">
      <w:pPr>
        <w:pStyle w:val="2"/>
        <w:spacing w:line="267" w:lineRule="auto"/>
        <w:rPr>
          <w:sz w:val="21"/>
        </w:rPr>
      </w:pPr>
    </w:p>
    <w:p w14:paraId="05451318">
      <w:pPr>
        <w:pStyle w:val="2"/>
        <w:spacing w:line="267" w:lineRule="auto"/>
        <w:rPr>
          <w:sz w:val="21"/>
        </w:rPr>
      </w:pPr>
    </w:p>
    <w:p w14:paraId="063218D4">
      <w:pPr>
        <w:spacing w:before="78" w:line="360" w:lineRule="auto"/>
        <w:ind w:left="31" w:right="13" w:firstLine="477"/>
        <w:jc w:val="both"/>
        <w:rPr>
          <w:rFonts w:ascii="仿宋" w:hAnsi="仿宋" w:eastAsia="仿宋" w:cs="仿宋"/>
          <w:sz w:val="24"/>
          <w:szCs w:val="24"/>
        </w:rPr>
      </w:pPr>
      <w:r>
        <w:rPr>
          <w:rFonts w:ascii="仿宋" w:hAnsi="仿宋" w:eastAsia="仿宋" w:cs="仿宋"/>
          <w:spacing w:val="-3"/>
          <w:sz w:val="24"/>
          <w:szCs w:val="24"/>
        </w:rPr>
        <w:t>从敏感点自身降噪条件来看，项目沿线受影响居民</w:t>
      </w:r>
      <w:r>
        <w:rPr>
          <w:rFonts w:ascii="仿宋" w:hAnsi="仿宋" w:eastAsia="仿宋" w:cs="仿宋"/>
          <w:spacing w:val="-4"/>
          <w:sz w:val="24"/>
          <w:szCs w:val="24"/>
        </w:rPr>
        <w:t>住宅均为一层砖混结构建</w:t>
      </w:r>
      <w:r>
        <w:rPr>
          <w:rFonts w:ascii="仿宋" w:hAnsi="仿宋" w:eastAsia="仿宋" w:cs="仿宋"/>
          <w:spacing w:val="-2"/>
          <w:sz w:val="24"/>
          <w:szCs w:val="24"/>
        </w:rPr>
        <w:t>筑，建筑墙体、门窗具备良好的隔声降噪性能，自身降噪能力可达</w:t>
      </w:r>
      <w:r>
        <w:rPr>
          <w:rFonts w:ascii="仿宋" w:hAnsi="仿宋" w:eastAsia="仿宋" w:cs="仿宋"/>
          <w:spacing w:val="-50"/>
          <w:sz w:val="24"/>
          <w:szCs w:val="24"/>
        </w:rPr>
        <w:t xml:space="preserve"> </w:t>
      </w:r>
      <w:r>
        <w:rPr>
          <w:rFonts w:ascii="Times New Roman" w:hAnsi="Times New Roman" w:eastAsia="Times New Roman" w:cs="Times New Roman"/>
          <w:spacing w:val="-2"/>
          <w:sz w:val="24"/>
          <w:szCs w:val="24"/>
        </w:rPr>
        <w:t>20dB(A)</w:t>
      </w:r>
      <w:r>
        <w:rPr>
          <w:rFonts w:ascii="仿宋" w:hAnsi="仿宋" w:eastAsia="仿宋" w:cs="仿宋"/>
          <w:spacing w:val="-2"/>
          <w:sz w:val="24"/>
          <w:szCs w:val="24"/>
        </w:rPr>
        <w:t>及以</w:t>
      </w:r>
      <w:r>
        <w:rPr>
          <w:rFonts w:ascii="仿宋" w:hAnsi="仿宋" w:eastAsia="仿宋" w:cs="仿宋"/>
          <w:spacing w:val="-3"/>
          <w:sz w:val="24"/>
          <w:szCs w:val="24"/>
        </w:rPr>
        <w:t>上，能够有效衰减室外施工噪声，大幅降低室内噪声影响，为</w:t>
      </w:r>
      <w:r>
        <w:rPr>
          <w:rFonts w:ascii="仿宋" w:hAnsi="仿宋" w:eastAsia="仿宋" w:cs="仿宋"/>
          <w:spacing w:val="-4"/>
          <w:sz w:val="24"/>
          <w:szCs w:val="24"/>
        </w:rPr>
        <w:t>缓解施工噪声扰民</w:t>
      </w:r>
      <w:r>
        <w:rPr>
          <w:rFonts w:ascii="仿宋" w:hAnsi="仿宋" w:eastAsia="仿宋" w:cs="仿宋"/>
          <w:spacing w:val="-3"/>
          <w:sz w:val="24"/>
          <w:szCs w:val="24"/>
        </w:rPr>
        <w:t>问题提供了有利基础条件。为进一步严控施工噪声超标影响，</w:t>
      </w:r>
      <w:r>
        <w:rPr>
          <w:rFonts w:ascii="仿宋" w:hAnsi="仿宋" w:eastAsia="仿宋" w:cs="仿宋"/>
          <w:spacing w:val="-4"/>
          <w:sz w:val="24"/>
          <w:szCs w:val="24"/>
        </w:rPr>
        <w:t>最大限度降低施工</w:t>
      </w:r>
      <w:r>
        <w:rPr>
          <w:rFonts w:ascii="仿宋" w:hAnsi="仿宋" w:eastAsia="仿宋" w:cs="仿宋"/>
          <w:spacing w:val="-1"/>
          <w:sz w:val="24"/>
          <w:szCs w:val="24"/>
        </w:rPr>
        <w:t>活动对沿线居民正常生产生活的干扰，项目需进一步采取噪声防控管控措施。</w:t>
      </w:r>
    </w:p>
    <w:p w14:paraId="75CAB903">
      <w:pPr>
        <w:spacing w:before="1" w:line="360" w:lineRule="auto"/>
        <w:ind w:left="29" w:right="13" w:firstLine="479"/>
        <w:jc w:val="both"/>
        <w:rPr>
          <w:rFonts w:ascii="仿宋" w:hAnsi="仿宋" w:eastAsia="仿宋" w:cs="仿宋"/>
          <w:sz w:val="24"/>
          <w:szCs w:val="24"/>
        </w:rPr>
      </w:pPr>
      <w:r>
        <w:rPr>
          <w:rFonts w:ascii="仿宋" w:hAnsi="仿宋" w:eastAsia="仿宋" w:cs="仿宋"/>
          <w:spacing w:val="-3"/>
          <w:sz w:val="24"/>
          <w:szCs w:val="24"/>
        </w:rPr>
        <w:t>施工工艺及作业管控方面，严格优化施工组织方案</w:t>
      </w:r>
      <w:r>
        <w:rPr>
          <w:rFonts w:ascii="仿宋" w:hAnsi="仿宋" w:eastAsia="仿宋" w:cs="仿宋"/>
          <w:spacing w:val="-4"/>
          <w:sz w:val="24"/>
          <w:szCs w:val="24"/>
        </w:rPr>
        <w:t>，坚决限制多机械设备同</w:t>
      </w:r>
      <w:r>
        <w:rPr>
          <w:rFonts w:ascii="仿宋" w:hAnsi="仿宋" w:eastAsia="仿宋" w:cs="仿宋"/>
          <w:spacing w:val="-3"/>
          <w:sz w:val="24"/>
          <w:szCs w:val="24"/>
        </w:rPr>
        <w:t>步集中作业，从源头减少噪声叠加增量，规避噪声污染大幅加剧的问</w:t>
      </w:r>
      <w:r>
        <w:rPr>
          <w:rFonts w:ascii="仿宋" w:hAnsi="仿宋" w:eastAsia="仿宋" w:cs="仿宋"/>
          <w:spacing w:val="-4"/>
          <w:sz w:val="24"/>
          <w:szCs w:val="24"/>
        </w:rPr>
        <w:t>题；针对施</w:t>
      </w:r>
      <w:r>
        <w:rPr>
          <w:rFonts w:ascii="仿宋" w:hAnsi="仿宋" w:eastAsia="仿宋" w:cs="仿宋"/>
          <w:spacing w:val="-3"/>
          <w:sz w:val="24"/>
          <w:szCs w:val="24"/>
        </w:rPr>
        <w:t>工边界近距离敏感点位，配套设置可移动隔声挡板，可实现</w:t>
      </w:r>
      <w:r>
        <w:rPr>
          <w:rFonts w:ascii="仿宋" w:hAnsi="仿宋" w:eastAsia="仿宋" w:cs="仿宋"/>
          <w:spacing w:val="-44"/>
          <w:sz w:val="24"/>
          <w:szCs w:val="24"/>
        </w:rPr>
        <w:t xml:space="preserve"> </w:t>
      </w:r>
      <w:r>
        <w:rPr>
          <w:rFonts w:ascii="Times New Roman" w:hAnsi="Times New Roman" w:eastAsia="Times New Roman" w:cs="Times New Roman"/>
          <w:spacing w:val="-3"/>
          <w:sz w:val="24"/>
          <w:szCs w:val="24"/>
        </w:rPr>
        <w:t>5~</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3"/>
          <w:sz w:val="24"/>
          <w:szCs w:val="24"/>
        </w:rPr>
        <w:t>15dB(A)</w:t>
      </w:r>
      <w:r>
        <w:rPr>
          <w:rFonts w:ascii="仿宋" w:hAnsi="仿宋" w:eastAsia="仿宋" w:cs="仿宋"/>
          <w:spacing w:val="-3"/>
          <w:sz w:val="24"/>
          <w:szCs w:val="24"/>
        </w:rPr>
        <w:t>的噪声衰减，精准削减近距离施工噪声强度。作业时间管控方面，实行严格的</w:t>
      </w:r>
      <w:r>
        <w:rPr>
          <w:rFonts w:ascii="仿宋" w:hAnsi="仿宋" w:eastAsia="仿宋" w:cs="仿宋"/>
          <w:spacing w:val="-4"/>
          <w:sz w:val="24"/>
          <w:szCs w:val="24"/>
        </w:rPr>
        <w:t>限时施工制</w:t>
      </w:r>
      <w:r>
        <w:rPr>
          <w:rFonts w:ascii="仿宋" w:hAnsi="仿宋" w:eastAsia="仿宋" w:cs="仿宋"/>
          <w:spacing w:val="-3"/>
          <w:sz w:val="24"/>
          <w:szCs w:val="24"/>
        </w:rPr>
        <w:t>度，全线禁止夜间施工（</w:t>
      </w:r>
      <w:r>
        <w:rPr>
          <w:rFonts w:ascii="Times New Roman" w:hAnsi="Times New Roman" w:eastAsia="Times New Roman" w:cs="Times New Roman"/>
          <w:spacing w:val="-3"/>
          <w:sz w:val="24"/>
          <w:szCs w:val="24"/>
        </w:rPr>
        <w:t>22:00-</w:t>
      </w:r>
      <w:r>
        <w:rPr>
          <w:rFonts w:ascii="仿宋" w:hAnsi="仿宋" w:eastAsia="仿宋" w:cs="仿宋"/>
          <w:spacing w:val="-3"/>
          <w:sz w:val="24"/>
          <w:szCs w:val="24"/>
        </w:rPr>
        <w:t>次</w:t>
      </w:r>
      <w:r>
        <w:rPr>
          <w:rFonts w:ascii="仿宋" w:hAnsi="仿宋" w:eastAsia="仿宋" w:cs="仿宋"/>
          <w:spacing w:val="-54"/>
          <w:sz w:val="24"/>
          <w:szCs w:val="24"/>
        </w:rPr>
        <w:t xml:space="preserve"> </w:t>
      </w:r>
      <w:r>
        <w:rPr>
          <w:rFonts w:ascii="仿宋" w:hAnsi="仿宋" w:eastAsia="仿宋" w:cs="仿宋"/>
          <w:spacing w:val="-3"/>
          <w:sz w:val="24"/>
          <w:szCs w:val="24"/>
        </w:rPr>
        <w:t>日</w:t>
      </w:r>
      <w:r>
        <w:rPr>
          <w:rFonts w:ascii="仿宋" w:hAnsi="仿宋" w:eastAsia="仿宋" w:cs="仿宋"/>
          <w:spacing w:val="-50"/>
          <w:sz w:val="24"/>
          <w:szCs w:val="24"/>
        </w:rPr>
        <w:t xml:space="preserve"> </w:t>
      </w:r>
      <w:r>
        <w:rPr>
          <w:rFonts w:ascii="Times New Roman" w:hAnsi="Times New Roman" w:eastAsia="Times New Roman" w:cs="Times New Roman"/>
          <w:spacing w:val="-3"/>
          <w:sz w:val="24"/>
          <w:szCs w:val="24"/>
        </w:rPr>
        <w:t>6:00</w:t>
      </w:r>
      <w:r>
        <w:rPr>
          <w:rFonts w:ascii="仿宋" w:hAnsi="仿宋" w:eastAsia="仿宋" w:cs="仿宋"/>
          <w:spacing w:val="7"/>
          <w:sz w:val="24"/>
          <w:szCs w:val="24"/>
        </w:rPr>
        <w:t>），</w:t>
      </w:r>
      <w:r>
        <w:rPr>
          <w:rFonts w:ascii="仿宋" w:hAnsi="仿宋" w:eastAsia="仿宋" w:cs="仿宋"/>
          <w:spacing w:val="-3"/>
          <w:sz w:val="24"/>
          <w:szCs w:val="24"/>
        </w:rPr>
        <w:t>其中临近居民敏感点路段，严格落</w:t>
      </w:r>
      <w:r>
        <w:rPr>
          <w:rFonts w:ascii="仿宋" w:hAnsi="仿宋" w:eastAsia="仿宋" w:cs="仿宋"/>
          <w:spacing w:val="-4"/>
          <w:sz w:val="24"/>
          <w:szCs w:val="24"/>
        </w:rPr>
        <w:t>实午间</w:t>
      </w:r>
      <w:r>
        <w:rPr>
          <w:rFonts w:ascii="仿宋" w:hAnsi="仿宋" w:eastAsia="仿宋" w:cs="仿宋"/>
          <w:spacing w:val="-23"/>
          <w:sz w:val="24"/>
          <w:szCs w:val="24"/>
        </w:rPr>
        <w:t xml:space="preserve"> </w:t>
      </w:r>
      <w:r>
        <w:rPr>
          <w:rFonts w:ascii="Times New Roman" w:hAnsi="Times New Roman" w:eastAsia="Times New Roman" w:cs="Times New Roman"/>
          <w:spacing w:val="-4"/>
          <w:sz w:val="24"/>
          <w:szCs w:val="24"/>
        </w:rPr>
        <w:t>12:00-</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4"/>
          <w:sz w:val="24"/>
          <w:szCs w:val="24"/>
        </w:rPr>
        <w:t>14:00</w:t>
      </w:r>
      <w:r>
        <w:rPr>
          <w:rFonts w:ascii="Times New Roman" w:hAnsi="Times New Roman" w:eastAsia="Times New Roman" w:cs="Times New Roman"/>
          <w:spacing w:val="-24"/>
          <w:sz w:val="24"/>
          <w:szCs w:val="24"/>
        </w:rPr>
        <w:t xml:space="preserve"> </w:t>
      </w:r>
      <w:r>
        <w:rPr>
          <w:rFonts w:ascii="仿宋" w:hAnsi="仿宋" w:eastAsia="仿宋" w:cs="仿宋"/>
          <w:spacing w:val="-4"/>
          <w:sz w:val="24"/>
          <w:szCs w:val="24"/>
        </w:rPr>
        <w:t>、夜间</w:t>
      </w:r>
      <w:r>
        <w:rPr>
          <w:rFonts w:ascii="仿宋" w:hAnsi="仿宋" w:eastAsia="仿宋" w:cs="仿宋"/>
          <w:spacing w:val="-50"/>
          <w:sz w:val="24"/>
          <w:szCs w:val="24"/>
        </w:rPr>
        <w:t xml:space="preserve"> </w:t>
      </w:r>
      <w:r>
        <w:rPr>
          <w:rFonts w:ascii="Times New Roman" w:hAnsi="Times New Roman" w:eastAsia="Times New Roman" w:cs="Times New Roman"/>
          <w:spacing w:val="-4"/>
          <w:sz w:val="24"/>
          <w:szCs w:val="24"/>
        </w:rPr>
        <w:t>20:00</w:t>
      </w:r>
      <w:r>
        <w:rPr>
          <w:rFonts w:ascii="Times New Roman" w:hAnsi="Times New Roman" w:eastAsia="Times New Roman" w:cs="Times New Roman"/>
          <w:spacing w:val="26"/>
          <w:sz w:val="24"/>
          <w:szCs w:val="24"/>
        </w:rPr>
        <w:t xml:space="preserve"> </w:t>
      </w:r>
      <w:r>
        <w:rPr>
          <w:rFonts w:ascii="仿宋" w:hAnsi="仿宋" w:eastAsia="仿宋" w:cs="仿宋"/>
          <w:spacing w:val="-4"/>
          <w:sz w:val="24"/>
          <w:szCs w:val="24"/>
        </w:rPr>
        <w:t>至次</w:t>
      </w:r>
      <w:r>
        <w:rPr>
          <w:rFonts w:ascii="仿宋" w:hAnsi="仿宋" w:eastAsia="仿宋" w:cs="仿宋"/>
          <w:spacing w:val="-51"/>
          <w:sz w:val="24"/>
          <w:szCs w:val="24"/>
        </w:rPr>
        <w:t xml:space="preserve"> </w:t>
      </w:r>
      <w:r>
        <w:rPr>
          <w:rFonts w:ascii="仿宋" w:hAnsi="仿宋" w:eastAsia="仿宋" w:cs="仿宋"/>
          <w:spacing w:val="-4"/>
          <w:sz w:val="24"/>
          <w:szCs w:val="24"/>
        </w:rPr>
        <w:t>日</w:t>
      </w:r>
      <w:r>
        <w:rPr>
          <w:rFonts w:ascii="仿宋" w:hAnsi="仿宋" w:eastAsia="仿宋" w:cs="仿宋"/>
          <w:spacing w:val="-41"/>
          <w:sz w:val="24"/>
          <w:szCs w:val="24"/>
        </w:rPr>
        <w:t xml:space="preserve"> </w:t>
      </w:r>
      <w:r>
        <w:rPr>
          <w:rFonts w:ascii="Times New Roman" w:hAnsi="Times New Roman" w:eastAsia="Times New Roman" w:cs="Times New Roman"/>
          <w:spacing w:val="-4"/>
          <w:sz w:val="24"/>
          <w:szCs w:val="24"/>
        </w:rPr>
        <w:t>8:00</w:t>
      </w:r>
      <w:r>
        <w:rPr>
          <w:rFonts w:ascii="Times New Roman" w:hAnsi="Times New Roman" w:eastAsia="Times New Roman" w:cs="Times New Roman"/>
          <w:spacing w:val="33"/>
          <w:sz w:val="24"/>
          <w:szCs w:val="24"/>
        </w:rPr>
        <w:t xml:space="preserve"> </w:t>
      </w:r>
      <w:r>
        <w:rPr>
          <w:rFonts w:ascii="仿宋" w:hAnsi="仿宋" w:eastAsia="仿宋" w:cs="仿宋"/>
          <w:spacing w:val="-4"/>
          <w:sz w:val="24"/>
          <w:szCs w:val="24"/>
        </w:rPr>
        <w:t>的停工要求，彻底规避休息时段噪</w:t>
      </w:r>
      <w:r>
        <w:rPr>
          <w:rFonts w:ascii="仿宋" w:hAnsi="仿宋" w:eastAsia="仿宋" w:cs="仿宋"/>
          <w:spacing w:val="-3"/>
          <w:sz w:val="24"/>
          <w:szCs w:val="24"/>
        </w:rPr>
        <w:t>声扰民问题。</w:t>
      </w:r>
    </w:p>
    <w:p w14:paraId="0917947D">
      <w:pPr>
        <w:spacing w:before="5" w:line="359" w:lineRule="auto"/>
        <w:ind w:left="31" w:right="13" w:firstLine="480"/>
        <w:jc w:val="both"/>
        <w:rPr>
          <w:rFonts w:ascii="仿宋" w:hAnsi="仿宋" w:eastAsia="仿宋" w:cs="仿宋"/>
          <w:sz w:val="24"/>
          <w:szCs w:val="24"/>
        </w:rPr>
      </w:pPr>
      <w:r>
        <w:rPr>
          <w:rFonts w:ascii="仿宋" w:hAnsi="仿宋" w:eastAsia="仿宋" w:cs="仿宋"/>
          <w:spacing w:val="-3"/>
          <w:sz w:val="24"/>
          <w:szCs w:val="24"/>
        </w:rPr>
        <w:t>运输噪声管控方面，项目全程采用商品混凝</w:t>
      </w:r>
      <w:r>
        <w:rPr>
          <w:rFonts w:ascii="仿宋" w:hAnsi="仿宋" w:eastAsia="仿宋" w:cs="仿宋"/>
          <w:spacing w:val="-4"/>
          <w:sz w:val="24"/>
          <w:szCs w:val="24"/>
        </w:rPr>
        <w:t>土施工，从源头彻底消除现场搅</w:t>
      </w:r>
      <w:r>
        <w:rPr>
          <w:rFonts w:ascii="仿宋" w:hAnsi="仿宋" w:eastAsia="仿宋" w:cs="仿宋"/>
          <w:spacing w:val="-3"/>
          <w:sz w:val="24"/>
          <w:szCs w:val="24"/>
        </w:rPr>
        <w:t>拌设备产生的持续性低频噪声，有效降低整体施工噪声负荷；</w:t>
      </w:r>
      <w:r>
        <w:rPr>
          <w:rFonts w:ascii="仿宋" w:hAnsi="仿宋" w:eastAsia="仿宋" w:cs="仿宋"/>
          <w:spacing w:val="-4"/>
          <w:sz w:val="24"/>
          <w:szCs w:val="24"/>
        </w:rPr>
        <w:t>同时针对村内运输</w:t>
      </w:r>
      <w:r>
        <w:rPr>
          <w:rFonts w:ascii="仿宋" w:hAnsi="仿宋" w:eastAsia="仿宋" w:cs="仿宋"/>
          <w:spacing w:val="-3"/>
          <w:sz w:val="24"/>
          <w:szCs w:val="24"/>
        </w:rPr>
        <w:t>车辆流动噪声，强化昼间运输管控，严格落实运输车辆限行、</w:t>
      </w:r>
      <w:r>
        <w:rPr>
          <w:rFonts w:ascii="仿宋" w:hAnsi="仿宋" w:eastAsia="仿宋" w:cs="仿宋"/>
          <w:spacing w:val="-4"/>
          <w:sz w:val="24"/>
          <w:szCs w:val="24"/>
        </w:rPr>
        <w:t>禁鸣规定，规范运</w:t>
      </w:r>
      <w:r>
        <w:rPr>
          <w:rFonts w:ascii="仿宋" w:hAnsi="仿宋" w:eastAsia="仿宋" w:cs="仿宋"/>
          <w:spacing w:val="-1"/>
          <w:sz w:val="24"/>
          <w:szCs w:val="24"/>
        </w:rPr>
        <w:t>输路线及通行速度，减少村内车流噪声的集中、分散扰民影响。</w:t>
      </w:r>
    </w:p>
    <w:p w14:paraId="525269D9">
      <w:pPr>
        <w:spacing w:before="4" w:line="360" w:lineRule="auto"/>
        <w:ind w:left="29" w:right="13" w:firstLine="482"/>
        <w:jc w:val="both"/>
        <w:rPr>
          <w:rFonts w:ascii="仿宋" w:hAnsi="仿宋" w:eastAsia="仿宋" w:cs="仿宋"/>
          <w:sz w:val="24"/>
          <w:szCs w:val="24"/>
        </w:rPr>
      </w:pPr>
      <w:r>
        <w:rPr>
          <w:rFonts w:ascii="仿宋" w:hAnsi="仿宋" w:eastAsia="仿宋" w:cs="仿宋"/>
          <w:spacing w:val="-4"/>
          <w:sz w:val="24"/>
          <w:szCs w:val="24"/>
        </w:rPr>
        <w:t>综合来看，通过建筑自身隔声、隔声挡板设施降噪、优化施工组织、严控作</w:t>
      </w:r>
      <w:r>
        <w:rPr>
          <w:rFonts w:ascii="仿宋" w:hAnsi="仿宋" w:eastAsia="仿宋" w:cs="仿宋"/>
          <w:spacing w:val="-3"/>
          <w:sz w:val="24"/>
          <w:szCs w:val="24"/>
        </w:rPr>
        <w:t>业时段、规范运输管理等多重防控措施的协同作用，可有效削减施</w:t>
      </w:r>
      <w:r>
        <w:rPr>
          <w:rFonts w:ascii="仿宋" w:hAnsi="仿宋" w:eastAsia="仿宋" w:cs="仿宋"/>
          <w:spacing w:val="-4"/>
          <w:sz w:val="24"/>
          <w:szCs w:val="24"/>
        </w:rPr>
        <w:t>工及运输噪声</w:t>
      </w:r>
      <w:r>
        <w:rPr>
          <w:rFonts w:ascii="仿宋" w:hAnsi="仿宋" w:eastAsia="仿宋" w:cs="仿宋"/>
          <w:spacing w:val="-3"/>
          <w:sz w:val="24"/>
          <w:szCs w:val="24"/>
        </w:rPr>
        <w:t>源强、降低噪声传播影响，大幅缓解沿线敏感点噪声超标问题。经</w:t>
      </w:r>
      <w:r>
        <w:rPr>
          <w:rFonts w:ascii="仿宋" w:hAnsi="仿宋" w:eastAsia="仿宋" w:cs="仿宋"/>
          <w:spacing w:val="-4"/>
          <w:sz w:val="24"/>
          <w:szCs w:val="24"/>
        </w:rPr>
        <w:t>多重措施降噪</w:t>
      </w:r>
      <w:r>
        <w:rPr>
          <w:rFonts w:ascii="仿宋" w:hAnsi="仿宋" w:eastAsia="仿宋" w:cs="仿宋"/>
          <w:spacing w:val="-3"/>
          <w:sz w:val="24"/>
          <w:szCs w:val="24"/>
        </w:rPr>
        <w:t>衰减后，施工期各类噪声对沿线居民敏感点的环境影响可得到有效</w:t>
      </w:r>
      <w:r>
        <w:rPr>
          <w:rFonts w:ascii="仿宋" w:hAnsi="仿宋" w:eastAsia="仿宋" w:cs="仿宋"/>
          <w:spacing w:val="-4"/>
          <w:sz w:val="24"/>
          <w:szCs w:val="24"/>
        </w:rPr>
        <w:t>控制，整体影</w:t>
      </w:r>
      <w:r>
        <w:rPr>
          <w:rFonts w:ascii="仿宋" w:hAnsi="仿宋" w:eastAsia="仿宋" w:cs="仿宋"/>
          <w:spacing w:val="-2"/>
          <w:sz w:val="24"/>
          <w:szCs w:val="24"/>
        </w:rPr>
        <w:t>响处于可接受水平。</w:t>
      </w:r>
    </w:p>
    <w:p w14:paraId="70760F5C">
      <w:pPr>
        <w:spacing w:before="137" w:line="228" w:lineRule="auto"/>
        <w:ind w:left="23"/>
        <w:outlineLvl w:val="1"/>
        <w:rPr>
          <w:rFonts w:ascii="仿宋" w:hAnsi="仿宋" w:eastAsia="仿宋" w:cs="仿宋"/>
          <w:sz w:val="31"/>
          <w:szCs w:val="31"/>
        </w:rPr>
      </w:pPr>
      <w:bookmarkStart w:id="44" w:name="bookmark47"/>
      <w:bookmarkEnd w:id="44"/>
      <w:bookmarkStart w:id="45" w:name="bookmark48"/>
      <w:bookmarkEnd w:id="45"/>
      <w:r>
        <w:rPr>
          <w:rFonts w:ascii="仿宋" w:hAnsi="仿宋" w:eastAsia="仿宋" w:cs="仿宋"/>
          <w:b/>
          <w:bCs/>
          <w:spacing w:val="6"/>
          <w:sz w:val="31"/>
          <w:szCs w:val="31"/>
        </w:rPr>
        <w:t>4.2</w:t>
      </w:r>
      <w:r>
        <w:rPr>
          <w:rFonts w:ascii="仿宋" w:hAnsi="仿宋" w:eastAsia="仿宋" w:cs="仿宋"/>
          <w:spacing w:val="6"/>
          <w:sz w:val="31"/>
          <w:szCs w:val="31"/>
        </w:rPr>
        <w:t xml:space="preserve"> </w:t>
      </w:r>
      <w:r>
        <w:rPr>
          <w:rFonts w:ascii="仿宋" w:hAnsi="仿宋" w:eastAsia="仿宋" w:cs="仿宋"/>
          <w:b/>
          <w:bCs/>
          <w:spacing w:val="6"/>
          <w:sz w:val="31"/>
          <w:szCs w:val="31"/>
        </w:rPr>
        <w:t>运营期噪声影响预测评价</w:t>
      </w:r>
    </w:p>
    <w:p w14:paraId="4D6DC311">
      <w:pPr>
        <w:pStyle w:val="2"/>
        <w:spacing w:line="320" w:lineRule="auto"/>
        <w:rPr>
          <w:sz w:val="21"/>
        </w:rPr>
      </w:pPr>
    </w:p>
    <w:p w14:paraId="64E96FA5">
      <w:pPr>
        <w:spacing w:before="91" w:line="223" w:lineRule="auto"/>
        <w:ind w:left="22"/>
        <w:outlineLvl w:val="2"/>
        <w:rPr>
          <w:rFonts w:ascii="仿宋" w:hAnsi="仿宋" w:eastAsia="仿宋" w:cs="仿宋"/>
          <w:sz w:val="28"/>
          <w:szCs w:val="28"/>
        </w:rPr>
      </w:pPr>
      <w:r>
        <w:rPr>
          <w:rFonts w:ascii="仿宋" w:hAnsi="仿宋" w:eastAsia="仿宋" w:cs="仿宋"/>
          <w:b/>
          <w:bCs/>
          <w:spacing w:val="-4"/>
          <w:sz w:val="28"/>
          <w:szCs w:val="28"/>
        </w:rPr>
        <w:t>4.2.1</w:t>
      </w:r>
      <w:r>
        <w:rPr>
          <w:rFonts w:ascii="仿宋" w:hAnsi="仿宋" w:eastAsia="仿宋" w:cs="仿宋"/>
          <w:spacing w:val="-48"/>
          <w:sz w:val="28"/>
          <w:szCs w:val="28"/>
        </w:rPr>
        <w:t xml:space="preserve"> </w:t>
      </w:r>
      <w:r>
        <w:rPr>
          <w:rFonts w:ascii="仿宋" w:hAnsi="仿宋" w:eastAsia="仿宋" w:cs="仿宋"/>
          <w:b/>
          <w:bCs/>
          <w:spacing w:val="-4"/>
          <w:sz w:val="28"/>
          <w:szCs w:val="28"/>
        </w:rPr>
        <w:t>公路交通噪声预测模式</w:t>
      </w:r>
    </w:p>
    <w:p w14:paraId="0BE3B611">
      <w:pPr>
        <w:pStyle w:val="2"/>
        <w:spacing w:line="305" w:lineRule="auto"/>
        <w:rPr>
          <w:sz w:val="21"/>
        </w:rPr>
      </w:pPr>
    </w:p>
    <w:p w14:paraId="26A4B7BF">
      <w:pPr>
        <w:spacing w:before="79" w:line="360" w:lineRule="auto"/>
        <w:ind w:left="30" w:right="13" w:firstLine="480"/>
        <w:jc w:val="both"/>
        <w:rPr>
          <w:rFonts w:ascii="仿宋" w:hAnsi="仿宋" w:eastAsia="仿宋" w:cs="仿宋"/>
          <w:sz w:val="24"/>
          <w:szCs w:val="24"/>
        </w:rPr>
      </w:pPr>
      <w:r>
        <w:rPr>
          <w:rFonts w:ascii="仿宋" w:hAnsi="仿宋" w:eastAsia="仿宋" w:cs="仿宋"/>
          <w:spacing w:val="-3"/>
          <w:sz w:val="24"/>
          <w:szCs w:val="24"/>
        </w:rPr>
        <w:t>根据本项目工程特点、沿线的环境特征，以及</w:t>
      </w:r>
      <w:r>
        <w:rPr>
          <w:rFonts w:ascii="仿宋" w:hAnsi="仿宋" w:eastAsia="仿宋" w:cs="仿宋"/>
          <w:spacing w:val="-4"/>
          <w:sz w:val="24"/>
          <w:szCs w:val="24"/>
        </w:rPr>
        <w:t>工程设计的交通量等因素，本</w:t>
      </w:r>
      <w:r>
        <w:rPr>
          <w:rFonts w:ascii="仿宋" w:hAnsi="仿宋" w:eastAsia="仿宋" w:cs="仿宋"/>
          <w:sz w:val="24"/>
          <w:szCs w:val="24"/>
        </w:rPr>
        <w:t>评价采用《环境影响评价技术导则 声环境》（HJ2.4-2021）和《环境影响评价技术导则公路建设项目》（HJ1358-2024）中提出的运营期声环境影响预测模式</w:t>
      </w:r>
      <w:r>
        <w:rPr>
          <w:rFonts w:ascii="仿宋" w:hAnsi="仿宋" w:eastAsia="仿宋" w:cs="仿宋"/>
          <w:spacing w:val="-4"/>
          <w:sz w:val="24"/>
          <w:szCs w:val="24"/>
        </w:rPr>
        <w:t>进行预测。</w:t>
      </w:r>
    </w:p>
    <w:p w14:paraId="32C54B34">
      <w:pPr>
        <w:spacing w:before="1" w:line="219" w:lineRule="auto"/>
        <w:ind w:left="514"/>
        <w:rPr>
          <w:rFonts w:ascii="仿宋" w:hAnsi="仿宋" w:eastAsia="仿宋" w:cs="仿宋"/>
          <w:sz w:val="24"/>
          <w:szCs w:val="24"/>
        </w:rPr>
      </w:pPr>
      <w:r>
        <w:rPr>
          <w:rFonts w:ascii="仿宋" w:hAnsi="仿宋" w:eastAsia="仿宋" w:cs="仿宋"/>
          <w:spacing w:val="-5"/>
          <w:sz w:val="24"/>
          <w:szCs w:val="24"/>
        </w:rPr>
        <w:t>（1）第</w:t>
      </w:r>
      <w:r>
        <w:rPr>
          <w:rFonts w:ascii="仿宋" w:hAnsi="仿宋" w:eastAsia="仿宋" w:cs="仿宋"/>
          <w:spacing w:val="-24"/>
          <w:sz w:val="24"/>
          <w:szCs w:val="24"/>
        </w:rPr>
        <w:t xml:space="preserve"> </w:t>
      </w:r>
      <w:r>
        <w:rPr>
          <w:rFonts w:ascii="仿宋" w:hAnsi="仿宋" w:eastAsia="仿宋" w:cs="仿宋"/>
          <w:spacing w:val="-5"/>
          <w:sz w:val="24"/>
          <w:szCs w:val="24"/>
        </w:rPr>
        <w:t>i</w:t>
      </w:r>
      <w:r>
        <w:rPr>
          <w:rFonts w:ascii="仿宋" w:hAnsi="仿宋" w:eastAsia="仿宋" w:cs="仿宋"/>
          <w:spacing w:val="-33"/>
          <w:sz w:val="24"/>
          <w:szCs w:val="24"/>
        </w:rPr>
        <w:t xml:space="preserve"> </w:t>
      </w:r>
      <w:r>
        <w:rPr>
          <w:rFonts w:ascii="仿宋" w:hAnsi="仿宋" w:eastAsia="仿宋" w:cs="仿宋"/>
          <w:spacing w:val="-5"/>
          <w:sz w:val="24"/>
          <w:szCs w:val="24"/>
        </w:rPr>
        <w:t>型车等效声级的预测模式：</w:t>
      </w:r>
    </w:p>
    <w:p w14:paraId="4F369E4B">
      <w:pPr>
        <w:spacing w:line="219" w:lineRule="auto"/>
        <w:rPr>
          <w:rFonts w:ascii="仿宋" w:hAnsi="仿宋" w:eastAsia="仿宋" w:cs="仿宋"/>
          <w:sz w:val="24"/>
          <w:szCs w:val="24"/>
        </w:rPr>
        <w:sectPr>
          <w:footerReference r:id="rId177" w:type="default"/>
          <w:pgSz w:w="11906" w:h="16839"/>
          <w:pgMar w:top="400" w:right="1785" w:bottom="1370" w:left="1785" w:header="0" w:footer="1207" w:gutter="0"/>
          <w:cols w:space="720" w:num="1"/>
        </w:sectPr>
      </w:pPr>
    </w:p>
    <w:p w14:paraId="737DF42F">
      <w:pPr>
        <w:pStyle w:val="2"/>
        <w:spacing w:line="289" w:lineRule="auto"/>
        <w:rPr>
          <w:sz w:val="21"/>
        </w:rPr>
      </w:pPr>
    </w:p>
    <w:p w14:paraId="6A1D4CC6">
      <w:pPr>
        <w:pStyle w:val="2"/>
        <w:spacing w:line="289" w:lineRule="auto"/>
        <w:rPr>
          <w:sz w:val="21"/>
        </w:rPr>
      </w:pPr>
    </w:p>
    <w:p w14:paraId="63821E20">
      <w:pPr>
        <w:pStyle w:val="2"/>
        <w:spacing w:line="289" w:lineRule="auto"/>
        <w:rPr>
          <w:sz w:val="21"/>
        </w:rPr>
      </w:pPr>
    </w:p>
    <w:p w14:paraId="07CCCF7D">
      <w:pPr>
        <w:pStyle w:val="2"/>
        <w:spacing w:line="290" w:lineRule="auto"/>
        <w:rPr>
          <w:sz w:val="21"/>
        </w:rPr>
      </w:pPr>
    </w:p>
    <w:p w14:paraId="6FD4C7B0">
      <w:pPr>
        <w:spacing w:line="707" w:lineRule="exact"/>
        <w:ind w:left="1377"/>
      </w:pPr>
      <w:r>
        <w:rPr>
          <w:position w:val="-14"/>
        </w:rPr>
        <w:drawing>
          <wp:inline distT="0" distB="0" distL="0" distR="0">
            <wp:extent cx="3542030" cy="448310"/>
            <wp:effectExtent l="0" t="0" r="0" b="0"/>
            <wp:docPr id="222" name="IM 222"/>
            <wp:cNvGraphicFramePr/>
            <a:graphic xmlns:a="http://schemas.openxmlformats.org/drawingml/2006/main">
              <a:graphicData uri="http://schemas.openxmlformats.org/drawingml/2006/picture">
                <pic:pic xmlns:pic="http://schemas.openxmlformats.org/drawingml/2006/picture">
                  <pic:nvPicPr>
                    <pic:cNvPr id="222" name="IM 222"/>
                    <pic:cNvPicPr/>
                  </pic:nvPicPr>
                  <pic:blipFill>
                    <a:blip r:embed="rId378"/>
                    <a:stretch>
                      <a:fillRect/>
                    </a:stretch>
                  </pic:blipFill>
                  <pic:spPr>
                    <a:xfrm>
                      <a:off x="0" y="0"/>
                      <a:ext cx="3542620" cy="448912"/>
                    </a:xfrm>
                    <a:prstGeom prst="rect">
                      <a:avLst/>
                    </a:prstGeom>
                  </pic:spPr>
                </pic:pic>
              </a:graphicData>
            </a:graphic>
          </wp:inline>
        </w:drawing>
      </w:r>
    </w:p>
    <w:p w14:paraId="0AEAD2B5">
      <w:pPr>
        <w:spacing w:before="219" w:line="222" w:lineRule="auto"/>
        <w:ind w:left="35"/>
        <w:rPr>
          <w:rFonts w:ascii="仿宋" w:hAnsi="仿宋" w:eastAsia="仿宋" w:cs="仿宋"/>
          <w:sz w:val="24"/>
          <w:szCs w:val="24"/>
        </w:rPr>
      </w:pPr>
      <w:r>
        <w:rPr>
          <w:rFonts w:ascii="仿宋" w:hAnsi="仿宋" w:eastAsia="仿宋" w:cs="仿宋"/>
          <w:spacing w:val="-8"/>
          <w:sz w:val="24"/>
          <w:szCs w:val="24"/>
        </w:rPr>
        <w:t>式中：</w:t>
      </w:r>
    </w:p>
    <w:p w14:paraId="0CC7F8DA">
      <w:pPr>
        <w:spacing w:before="179" w:line="212" w:lineRule="auto"/>
        <w:ind w:left="978"/>
        <w:rPr>
          <w:rFonts w:ascii="仿宋" w:hAnsi="仿宋" w:eastAsia="仿宋" w:cs="仿宋"/>
          <w:sz w:val="24"/>
          <w:szCs w:val="24"/>
        </w:rPr>
      </w:pPr>
      <w:r>
        <w:rPr>
          <w:rFonts w:ascii="Times New Roman" w:hAnsi="Times New Roman" w:eastAsia="Times New Roman" w:cs="Times New Roman"/>
          <w:spacing w:val="-1"/>
          <w:sz w:val="24"/>
          <w:szCs w:val="24"/>
        </w:rPr>
        <w:t>L</w:t>
      </w:r>
      <w:r>
        <w:rPr>
          <w:rFonts w:ascii="Times New Roman" w:hAnsi="Times New Roman" w:eastAsia="Times New Roman" w:cs="Times New Roman"/>
          <w:spacing w:val="-1"/>
          <w:position w:val="-1"/>
          <w:sz w:val="15"/>
          <w:szCs w:val="15"/>
        </w:rPr>
        <w:t>eq</w:t>
      </w:r>
      <w:r>
        <w:rPr>
          <w:rFonts w:ascii="Times New Roman" w:hAnsi="Times New Roman" w:eastAsia="Times New Roman" w:cs="Times New Roman"/>
          <w:spacing w:val="-1"/>
          <w:sz w:val="24"/>
          <w:szCs w:val="24"/>
        </w:rPr>
        <w:t>(h)</w:t>
      </w:r>
      <w:r>
        <w:rPr>
          <w:rFonts w:ascii="Times New Roman" w:hAnsi="Times New Roman" w:eastAsia="Times New Roman" w:cs="Times New Roman"/>
          <w:spacing w:val="-1"/>
          <w:position w:val="-1"/>
          <w:sz w:val="15"/>
          <w:szCs w:val="15"/>
        </w:rPr>
        <w:t>i</w:t>
      </w:r>
      <w:r>
        <w:rPr>
          <w:rFonts w:ascii="Times New Roman" w:hAnsi="Times New Roman" w:eastAsia="Times New Roman" w:cs="Times New Roman"/>
          <w:spacing w:val="-1"/>
          <w:sz w:val="24"/>
          <w:szCs w:val="24"/>
        </w:rPr>
        <w:t>——</w:t>
      </w:r>
      <w:r>
        <w:rPr>
          <w:rFonts w:ascii="仿宋" w:hAnsi="仿宋" w:eastAsia="仿宋" w:cs="仿宋"/>
          <w:spacing w:val="-1"/>
          <w:sz w:val="24"/>
          <w:szCs w:val="24"/>
        </w:rPr>
        <w:t>第</w:t>
      </w:r>
      <w:r>
        <w:rPr>
          <w:rFonts w:ascii="仿宋" w:hAnsi="仿宋" w:eastAsia="仿宋" w:cs="仿宋"/>
          <w:spacing w:val="-53"/>
          <w:sz w:val="24"/>
          <w:szCs w:val="24"/>
        </w:rPr>
        <w:t xml:space="preserve"> </w:t>
      </w:r>
      <w:r>
        <w:rPr>
          <w:rFonts w:ascii="Times New Roman" w:hAnsi="Times New Roman" w:eastAsia="Times New Roman" w:cs="Times New Roman"/>
          <w:spacing w:val="-1"/>
          <w:sz w:val="24"/>
          <w:szCs w:val="24"/>
        </w:rPr>
        <w:t>i</w:t>
      </w:r>
      <w:r>
        <w:rPr>
          <w:rFonts w:ascii="Times New Roman" w:hAnsi="Times New Roman" w:eastAsia="Times New Roman" w:cs="Times New Roman"/>
          <w:spacing w:val="19"/>
          <w:w w:val="101"/>
          <w:sz w:val="24"/>
          <w:szCs w:val="24"/>
        </w:rPr>
        <w:t xml:space="preserve"> </w:t>
      </w:r>
      <w:r>
        <w:rPr>
          <w:rFonts w:ascii="仿宋" w:hAnsi="仿宋" w:eastAsia="仿宋" w:cs="仿宋"/>
          <w:spacing w:val="-1"/>
          <w:sz w:val="24"/>
          <w:szCs w:val="24"/>
        </w:rPr>
        <w:t>类车的小时等效声级，</w:t>
      </w:r>
      <w:r>
        <w:rPr>
          <w:rFonts w:ascii="Times New Roman" w:hAnsi="Times New Roman" w:eastAsia="Times New Roman" w:cs="Times New Roman"/>
          <w:spacing w:val="-1"/>
          <w:sz w:val="24"/>
          <w:szCs w:val="24"/>
        </w:rPr>
        <w:t>dB</w:t>
      </w:r>
      <w:r>
        <w:rPr>
          <w:rFonts w:ascii="仿宋" w:hAnsi="仿宋" w:eastAsia="仿宋" w:cs="仿宋"/>
          <w:spacing w:val="-2"/>
          <w:sz w:val="24"/>
          <w:szCs w:val="24"/>
        </w:rPr>
        <w:t>（</w:t>
      </w:r>
      <w:r>
        <w:rPr>
          <w:rFonts w:ascii="Times New Roman" w:hAnsi="Times New Roman" w:eastAsia="Times New Roman" w:cs="Times New Roman"/>
          <w:spacing w:val="-2"/>
          <w:sz w:val="24"/>
          <w:szCs w:val="24"/>
        </w:rPr>
        <w:t>A</w:t>
      </w:r>
      <w:r>
        <w:rPr>
          <w:rFonts w:ascii="仿宋" w:hAnsi="仿宋" w:eastAsia="仿宋" w:cs="仿宋"/>
          <w:sz w:val="24"/>
          <w:szCs w:val="24"/>
        </w:rPr>
        <w:t>）；</w:t>
      </w:r>
    </w:p>
    <w:p w14:paraId="6DED1D86">
      <w:pPr>
        <w:pStyle w:val="2"/>
        <w:tabs>
          <w:tab w:val="left" w:pos="1453"/>
        </w:tabs>
        <w:spacing w:before="18" w:line="225" w:lineRule="auto"/>
        <w:ind w:left="1092"/>
        <w:rPr>
          <w:sz w:val="21"/>
        </w:rPr>
      </w:pPr>
      <w:r>
        <w:rPr>
          <w:sz w:val="21"/>
          <w:szCs w:val="21"/>
          <w:u w:val="single" w:color="auto"/>
        </w:rPr>
        <w:tab/>
      </w:r>
    </w:p>
    <w:p w14:paraId="50662B90">
      <w:pPr>
        <w:tabs>
          <w:tab w:val="left" w:pos="8379"/>
        </w:tabs>
        <w:spacing w:before="3" w:line="356" w:lineRule="auto"/>
        <w:ind w:left="971" w:hanging="74"/>
        <w:jc w:val="both"/>
        <w:rPr>
          <w:rFonts w:ascii="仿宋" w:hAnsi="仿宋" w:eastAsia="仿宋" w:cs="仿宋"/>
          <w:sz w:val="24"/>
          <w:szCs w:val="24"/>
        </w:rPr>
      </w:pPr>
      <w:r>
        <w:rPr>
          <w:rFonts w:ascii="宋体" w:hAnsi="宋体" w:eastAsia="宋体" w:cs="宋体"/>
          <w:spacing w:val="-28"/>
          <w:position w:val="10"/>
          <w:sz w:val="23"/>
          <w:szCs w:val="23"/>
        </w:rPr>
        <w:t>（</w:t>
      </w:r>
      <w:r>
        <w:rPr>
          <w:rFonts w:ascii="Times New Roman" w:hAnsi="Times New Roman" w:eastAsia="Times New Roman" w:cs="Times New Roman"/>
          <w:spacing w:val="-28"/>
          <w:position w:val="10"/>
          <w:sz w:val="23"/>
          <w:szCs w:val="23"/>
        </w:rPr>
        <w:t>L</w:t>
      </w:r>
      <w:r>
        <w:rPr>
          <w:rFonts w:ascii="Times New Roman" w:hAnsi="Times New Roman" w:eastAsia="Times New Roman" w:cs="Times New Roman"/>
          <w:spacing w:val="-28"/>
          <w:position w:val="4"/>
          <w:sz w:val="13"/>
          <w:szCs w:val="13"/>
        </w:rPr>
        <w:t>OE</w:t>
      </w:r>
      <w:r>
        <w:rPr>
          <w:rFonts w:ascii="宋体" w:hAnsi="宋体" w:eastAsia="宋体" w:cs="宋体"/>
          <w:spacing w:val="-28"/>
          <w:position w:val="10"/>
          <w:sz w:val="23"/>
          <w:szCs w:val="23"/>
        </w:rPr>
        <w:t>）</w:t>
      </w:r>
      <w:r>
        <w:rPr>
          <w:rFonts w:ascii="Times New Roman" w:hAnsi="Times New Roman" w:eastAsia="Times New Roman" w:cs="Times New Roman"/>
          <w:spacing w:val="-3"/>
          <w:position w:val="4"/>
          <w:sz w:val="13"/>
          <w:szCs w:val="13"/>
        </w:rPr>
        <w:t>i</w:t>
      </w:r>
      <w:r>
        <w:rPr>
          <w:rFonts w:ascii="Times New Roman" w:hAnsi="Times New Roman" w:eastAsia="Times New Roman" w:cs="Times New Roman"/>
          <w:spacing w:val="34"/>
          <w:position w:val="4"/>
          <w:sz w:val="13"/>
          <w:szCs w:val="13"/>
        </w:rPr>
        <w:t xml:space="preserve"> </w:t>
      </w:r>
      <w:r>
        <w:rPr>
          <w:rFonts w:ascii="Times New Roman" w:hAnsi="Times New Roman" w:eastAsia="Times New Roman" w:cs="Times New Roman"/>
          <w:spacing w:val="2"/>
          <w:position w:val="4"/>
          <w:sz w:val="13"/>
          <w:szCs w:val="13"/>
          <w:u w:val="single" w:color="auto"/>
        </w:rPr>
        <w:t xml:space="preserve">              </w:t>
      </w:r>
      <w:r>
        <w:rPr>
          <w:rFonts w:ascii="Times New Roman" w:hAnsi="Times New Roman" w:eastAsia="Times New Roman" w:cs="Times New Roman"/>
          <w:spacing w:val="-19"/>
          <w:position w:val="4"/>
          <w:sz w:val="13"/>
          <w:szCs w:val="13"/>
        </w:rPr>
        <w:t xml:space="preserve"> </w:t>
      </w:r>
      <w:r>
        <w:rPr>
          <w:rFonts w:ascii="仿宋" w:hAnsi="仿宋" w:eastAsia="仿宋" w:cs="仿宋"/>
          <w:spacing w:val="-3"/>
          <w:position w:val="-1"/>
          <w:sz w:val="24"/>
          <w:szCs w:val="24"/>
        </w:rPr>
        <w:t>距第</w:t>
      </w:r>
      <w:r>
        <w:rPr>
          <w:rFonts w:ascii="仿宋" w:hAnsi="仿宋" w:eastAsia="仿宋" w:cs="仿宋"/>
          <w:spacing w:val="-53"/>
          <w:position w:val="-1"/>
          <w:sz w:val="24"/>
          <w:szCs w:val="24"/>
        </w:rPr>
        <w:t xml:space="preserve"> </w:t>
      </w:r>
      <w:r>
        <w:rPr>
          <w:rFonts w:ascii="Times New Roman" w:hAnsi="Times New Roman" w:eastAsia="Times New Roman" w:cs="Times New Roman"/>
          <w:spacing w:val="-3"/>
          <w:position w:val="-1"/>
          <w:sz w:val="24"/>
          <w:szCs w:val="24"/>
        </w:rPr>
        <w:t>i</w:t>
      </w:r>
      <w:r>
        <w:rPr>
          <w:rFonts w:ascii="Times New Roman" w:hAnsi="Times New Roman" w:eastAsia="Times New Roman" w:cs="Times New Roman"/>
          <w:spacing w:val="17"/>
          <w:w w:val="101"/>
          <w:position w:val="-1"/>
          <w:sz w:val="24"/>
          <w:szCs w:val="24"/>
        </w:rPr>
        <w:t xml:space="preserve"> </w:t>
      </w:r>
      <w:r>
        <w:rPr>
          <w:rFonts w:ascii="仿宋" w:hAnsi="仿宋" w:eastAsia="仿宋" w:cs="仿宋"/>
          <w:spacing w:val="-3"/>
          <w:position w:val="-1"/>
          <w:sz w:val="24"/>
          <w:szCs w:val="24"/>
        </w:rPr>
        <w:t xml:space="preserve">类车水平距离为 </w:t>
      </w:r>
      <w:r>
        <w:rPr>
          <w:rFonts w:ascii="Times New Roman" w:hAnsi="Times New Roman" w:eastAsia="Times New Roman" w:cs="Times New Roman"/>
          <w:spacing w:val="-3"/>
          <w:sz w:val="24"/>
          <w:szCs w:val="24"/>
        </w:rPr>
        <w:t xml:space="preserve">7.5m  </w:t>
      </w:r>
      <w:r>
        <w:rPr>
          <w:rFonts w:ascii="仿宋" w:hAnsi="仿宋" w:eastAsia="仿宋" w:cs="仿宋"/>
          <w:spacing w:val="-3"/>
          <w:position w:val="-1"/>
          <w:sz w:val="24"/>
          <w:szCs w:val="24"/>
        </w:rPr>
        <w:t>处的平均辐射噪声级，</w:t>
      </w:r>
      <w:r>
        <w:rPr>
          <w:rFonts w:ascii="Times New Roman" w:hAnsi="Times New Roman" w:eastAsia="Times New Roman" w:cs="Times New Roman"/>
          <w:spacing w:val="-3"/>
          <w:sz w:val="24"/>
          <w:szCs w:val="24"/>
        </w:rPr>
        <w:t>dB(A)</w:t>
      </w:r>
      <w:r>
        <w:rPr>
          <w:rFonts w:ascii="仿宋" w:hAnsi="仿宋" w:eastAsia="仿宋" w:cs="仿宋"/>
          <w:spacing w:val="-3"/>
          <w:position w:val="-1"/>
          <w:sz w:val="24"/>
          <w:szCs w:val="24"/>
        </w:rPr>
        <w:t>；</w:t>
      </w:r>
      <w:r>
        <w:rPr>
          <w:rFonts w:ascii="仿宋" w:hAnsi="仿宋" w:eastAsia="仿宋" w:cs="仿宋"/>
          <w:position w:val="-1"/>
          <w:sz w:val="24"/>
          <w:szCs w:val="24"/>
        </w:rPr>
        <w:t xml:space="preserve"> </w:t>
      </w:r>
      <w:r>
        <w:rPr>
          <w:rFonts w:ascii="Times New Roman" w:hAnsi="Times New Roman" w:eastAsia="Times New Roman" w:cs="Times New Roman"/>
          <w:sz w:val="24"/>
          <w:szCs w:val="24"/>
        </w:rPr>
        <w:t>N</w:t>
      </w:r>
      <w:r>
        <w:rPr>
          <w:rFonts w:ascii="Times New Roman" w:hAnsi="Times New Roman" w:eastAsia="Times New Roman" w:cs="Times New Roman"/>
          <w:position w:val="-1"/>
          <w:sz w:val="15"/>
          <w:szCs w:val="15"/>
        </w:rPr>
        <w:t>i</w:t>
      </w:r>
      <w:r>
        <w:rPr>
          <w:rFonts w:ascii="Times New Roman" w:hAnsi="Times New Roman" w:eastAsia="Times New Roman" w:cs="Times New Roman"/>
          <w:sz w:val="24"/>
          <w:szCs w:val="24"/>
        </w:rPr>
        <w:t>——</w:t>
      </w:r>
      <w:r>
        <w:rPr>
          <w:rFonts w:ascii="仿宋" w:hAnsi="仿宋" w:eastAsia="仿宋" w:cs="仿宋"/>
          <w:sz w:val="24"/>
          <w:szCs w:val="24"/>
        </w:rPr>
        <w:t>昼间，夜间通过某个预测点的第</w:t>
      </w:r>
      <w:r>
        <w:rPr>
          <w:rFonts w:ascii="Times New Roman" w:hAnsi="Times New Roman" w:eastAsia="Times New Roman" w:cs="Times New Roman"/>
          <w:sz w:val="24"/>
          <w:szCs w:val="24"/>
        </w:rPr>
        <w:t>i</w:t>
      </w:r>
      <w:r>
        <w:rPr>
          <w:rFonts w:ascii="Times New Roman" w:hAnsi="Times New Roman" w:eastAsia="Times New Roman" w:cs="Times New Roman"/>
          <w:spacing w:val="19"/>
          <w:w w:val="101"/>
          <w:sz w:val="24"/>
          <w:szCs w:val="24"/>
        </w:rPr>
        <w:t xml:space="preserve"> </w:t>
      </w:r>
      <w:r>
        <w:rPr>
          <w:rFonts w:ascii="仿宋" w:hAnsi="仿宋" w:eastAsia="仿宋" w:cs="仿宋"/>
          <w:sz w:val="24"/>
          <w:szCs w:val="24"/>
        </w:rPr>
        <w:t>类车平</w:t>
      </w:r>
      <w:r>
        <w:rPr>
          <w:rFonts w:ascii="仿宋" w:hAnsi="仿宋" w:eastAsia="仿宋" w:cs="仿宋"/>
          <w:spacing w:val="-1"/>
          <w:sz w:val="24"/>
          <w:szCs w:val="24"/>
        </w:rPr>
        <w:t>均小时车流量，辆</w:t>
      </w:r>
      <w:r>
        <w:rPr>
          <w:rFonts w:ascii="Times New Roman" w:hAnsi="Times New Roman" w:eastAsia="Times New Roman" w:cs="Times New Roman"/>
          <w:spacing w:val="-1"/>
          <w:sz w:val="24"/>
          <w:szCs w:val="24"/>
        </w:rPr>
        <w:t>/h</w:t>
      </w:r>
      <w:r>
        <w:rPr>
          <w:rFonts w:ascii="仿宋" w:hAnsi="仿宋" w:eastAsia="仿宋" w:cs="仿宋"/>
          <w:spacing w:val="-1"/>
          <w:sz w:val="24"/>
          <w:szCs w:val="24"/>
        </w:rPr>
        <w:t>；</w:t>
      </w:r>
      <w:r>
        <w:rPr>
          <w:rFonts w:ascii="仿宋" w:hAnsi="仿宋" w:eastAsia="仿宋" w:cs="仿宋"/>
          <w:sz w:val="24"/>
          <w:szCs w:val="24"/>
        </w:rPr>
        <w:tab/>
      </w:r>
      <w:r>
        <w:rPr>
          <w:rFonts w:ascii="仿宋" w:hAnsi="仿宋" w:eastAsia="仿宋" w:cs="仿宋"/>
          <w:sz w:val="24"/>
          <w:szCs w:val="24"/>
        </w:rPr>
        <w:t xml:space="preserve"> </w:t>
      </w:r>
      <w:r>
        <w:rPr>
          <w:rFonts w:ascii="Times New Roman" w:hAnsi="Times New Roman" w:eastAsia="Times New Roman" w:cs="Times New Roman"/>
          <w:spacing w:val="-2"/>
          <w:sz w:val="24"/>
          <w:szCs w:val="24"/>
        </w:rPr>
        <w:t>V</w:t>
      </w:r>
      <w:r>
        <w:rPr>
          <w:rFonts w:ascii="Times New Roman" w:hAnsi="Times New Roman" w:eastAsia="Times New Roman" w:cs="Times New Roman"/>
          <w:spacing w:val="-2"/>
          <w:position w:val="-1"/>
          <w:sz w:val="15"/>
          <w:szCs w:val="15"/>
        </w:rPr>
        <w:t>i</w:t>
      </w:r>
      <w:r>
        <w:rPr>
          <w:rFonts w:ascii="Times New Roman" w:hAnsi="Times New Roman" w:eastAsia="Times New Roman" w:cs="Times New Roman"/>
          <w:spacing w:val="-2"/>
          <w:sz w:val="24"/>
          <w:szCs w:val="24"/>
        </w:rPr>
        <w:t>——</w:t>
      </w:r>
      <w:r>
        <w:rPr>
          <w:rFonts w:ascii="仿宋" w:hAnsi="仿宋" w:eastAsia="仿宋" w:cs="仿宋"/>
          <w:spacing w:val="-2"/>
          <w:sz w:val="24"/>
          <w:szCs w:val="24"/>
        </w:rPr>
        <w:t>第</w:t>
      </w:r>
      <w:r>
        <w:rPr>
          <w:rFonts w:ascii="仿宋" w:hAnsi="仿宋" w:eastAsia="仿宋" w:cs="仿宋"/>
          <w:spacing w:val="-38"/>
          <w:sz w:val="24"/>
          <w:szCs w:val="24"/>
        </w:rPr>
        <w:t xml:space="preserve"> </w:t>
      </w:r>
      <w:r>
        <w:rPr>
          <w:rFonts w:ascii="Times New Roman" w:hAnsi="Times New Roman" w:eastAsia="Times New Roman" w:cs="Times New Roman"/>
          <w:spacing w:val="-2"/>
          <w:sz w:val="24"/>
          <w:szCs w:val="24"/>
        </w:rPr>
        <w:t>i</w:t>
      </w:r>
      <w:r>
        <w:rPr>
          <w:rFonts w:ascii="Times New Roman" w:hAnsi="Times New Roman" w:eastAsia="Times New Roman" w:cs="Times New Roman"/>
          <w:spacing w:val="20"/>
          <w:sz w:val="24"/>
          <w:szCs w:val="24"/>
        </w:rPr>
        <w:t xml:space="preserve"> </w:t>
      </w:r>
      <w:r>
        <w:rPr>
          <w:rFonts w:ascii="仿宋" w:hAnsi="仿宋" w:eastAsia="仿宋" w:cs="仿宋"/>
          <w:spacing w:val="-2"/>
          <w:sz w:val="24"/>
          <w:szCs w:val="24"/>
        </w:rPr>
        <w:t>类车的平均车速，</w:t>
      </w:r>
      <w:r>
        <w:rPr>
          <w:rFonts w:ascii="Times New Roman" w:hAnsi="Times New Roman" w:eastAsia="Times New Roman" w:cs="Times New Roman"/>
          <w:spacing w:val="-2"/>
          <w:sz w:val="24"/>
          <w:szCs w:val="24"/>
        </w:rPr>
        <w:t>km/h</w:t>
      </w:r>
      <w:r>
        <w:rPr>
          <w:rFonts w:ascii="仿宋" w:hAnsi="仿宋" w:eastAsia="仿宋" w:cs="仿宋"/>
          <w:spacing w:val="-2"/>
          <w:sz w:val="24"/>
          <w:szCs w:val="24"/>
        </w:rPr>
        <w:t>；</w:t>
      </w:r>
    </w:p>
    <w:p w14:paraId="042AA69A">
      <w:pPr>
        <w:spacing w:before="14" w:line="222" w:lineRule="auto"/>
        <w:ind w:left="981"/>
        <w:rPr>
          <w:rFonts w:ascii="仿宋" w:hAnsi="仿宋" w:eastAsia="仿宋" w:cs="仿宋"/>
          <w:sz w:val="24"/>
          <w:szCs w:val="24"/>
        </w:rPr>
      </w:pPr>
      <w:r>
        <w:rPr>
          <w:rFonts w:ascii="Times New Roman" w:hAnsi="Times New Roman" w:eastAsia="Times New Roman" w:cs="Times New Roman"/>
          <w:spacing w:val="-1"/>
          <w:sz w:val="24"/>
          <w:szCs w:val="24"/>
        </w:rPr>
        <w:t>T——</w:t>
      </w:r>
      <w:r>
        <w:rPr>
          <w:rFonts w:ascii="仿宋" w:hAnsi="仿宋" w:eastAsia="仿宋" w:cs="仿宋"/>
          <w:spacing w:val="-1"/>
          <w:sz w:val="24"/>
          <w:szCs w:val="24"/>
        </w:rPr>
        <w:t>计算等效声级的时间，</w:t>
      </w:r>
      <w:r>
        <w:rPr>
          <w:rFonts w:ascii="Times New Roman" w:hAnsi="Times New Roman" w:eastAsia="Times New Roman" w:cs="Times New Roman"/>
          <w:spacing w:val="-1"/>
          <w:sz w:val="24"/>
          <w:szCs w:val="24"/>
        </w:rPr>
        <w:t>1h</w:t>
      </w:r>
      <w:r>
        <w:rPr>
          <w:rFonts w:ascii="仿宋" w:hAnsi="仿宋" w:eastAsia="仿宋" w:cs="仿宋"/>
          <w:spacing w:val="-1"/>
          <w:sz w:val="24"/>
          <w:szCs w:val="24"/>
        </w:rPr>
        <w:t>；</w:t>
      </w:r>
    </w:p>
    <w:p w14:paraId="366CE525">
      <w:pPr>
        <w:pStyle w:val="2"/>
        <w:spacing w:before="190" w:line="373" w:lineRule="exact"/>
        <w:ind w:left="1020"/>
        <w:rPr>
          <w:rFonts w:ascii="仿宋" w:hAnsi="仿宋" w:eastAsia="仿宋" w:cs="仿宋"/>
          <w:sz w:val="24"/>
          <w:szCs w:val="24"/>
        </w:rPr>
      </w:pPr>
      <w:r>
        <w:rPr>
          <w:i/>
          <w:iCs/>
          <w:spacing w:val="-1"/>
          <w:position w:val="6"/>
          <w:sz w:val="24"/>
          <w:szCs w:val="24"/>
        </w:rPr>
        <w:t>θ</w:t>
      </w:r>
      <w:r>
        <w:rPr>
          <w:i/>
          <w:iCs/>
          <w:spacing w:val="-30"/>
          <w:position w:val="6"/>
          <w:sz w:val="24"/>
          <w:szCs w:val="24"/>
        </w:rPr>
        <w:t xml:space="preserve"> </w:t>
      </w:r>
      <w:r>
        <w:rPr>
          <w:rFonts w:ascii="Times New Roman" w:hAnsi="Times New Roman" w:eastAsia="Times New Roman" w:cs="Times New Roman"/>
          <w:spacing w:val="-1"/>
          <w:position w:val="1"/>
          <w:sz w:val="24"/>
          <w:szCs w:val="24"/>
        </w:rPr>
        <w:t>——</w:t>
      </w:r>
      <w:r>
        <w:rPr>
          <w:rFonts w:ascii="仿宋" w:hAnsi="仿宋" w:eastAsia="仿宋" w:cs="仿宋"/>
          <w:spacing w:val="-1"/>
          <w:position w:val="1"/>
          <w:sz w:val="24"/>
          <w:szCs w:val="24"/>
        </w:rPr>
        <w:t>预测点到有限长路段两端的张角，弧度</w:t>
      </w:r>
      <w:r>
        <w:rPr>
          <w:rFonts w:ascii="仿宋" w:hAnsi="仿宋" w:eastAsia="仿宋" w:cs="仿宋"/>
          <w:spacing w:val="-2"/>
          <w:position w:val="1"/>
          <w:sz w:val="24"/>
          <w:szCs w:val="24"/>
        </w:rPr>
        <w:t>，见图</w:t>
      </w:r>
      <w:r>
        <w:rPr>
          <w:rFonts w:ascii="仿宋" w:hAnsi="仿宋" w:eastAsia="仿宋" w:cs="仿宋"/>
          <w:spacing w:val="-56"/>
          <w:position w:val="1"/>
          <w:sz w:val="24"/>
          <w:szCs w:val="24"/>
        </w:rPr>
        <w:t xml:space="preserve"> </w:t>
      </w:r>
      <w:r>
        <w:rPr>
          <w:rFonts w:ascii="Times New Roman" w:hAnsi="Times New Roman" w:eastAsia="Times New Roman" w:cs="Times New Roman"/>
          <w:spacing w:val="-2"/>
          <w:position w:val="1"/>
          <w:sz w:val="24"/>
          <w:szCs w:val="24"/>
        </w:rPr>
        <w:t>4.3-</w:t>
      </w:r>
      <w:r>
        <w:rPr>
          <w:rFonts w:ascii="Times New Roman" w:hAnsi="Times New Roman" w:eastAsia="Times New Roman" w:cs="Times New Roman"/>
          <w:spacing w:val="-33"/>
          <w:position w:val="1"/>
          <w:sz w:val="24"/>
          <w:szCs w:val="24"/>
        </w:rPr>
        <w:t xml:space="preserve"> </w:t>
      </w:r>
      <w:r>
        <w:rPr>
          <w:rFonts w:ascii="Times New Roman" w:hAnsi="Times New Roman" w:eastAsia="Times New Roman" w:cs="Times New Roman"/>
          <w:spacing w:val="-2"/>
          <w:position w:val="1"/>
          <w:sz w:val="24"/>
          <w:szCs w:val="24"/>
        </w:rPr>
        <w:t>1</w:t>
      </w:r>
      <w:r>
        <w:rPr>
          <w:rFonts w:ascii="仿宋" w:hAnsi="仿宋" w:eastAsia="仿宋" w:cs="仿宋"/>
          <w:spacing w:val="-2"/>
          <w:position w:val="1"/>
          <w:sz w:val="24"/>
          <w:szCs w:val="24"/>
        </w:rPr>
        <w:t>；</w:t>
      </w:r>
    </w:p>
    <w:p w14:paraId="4A2CC29A">
      <w:pPr>
        <w:pStyle w:val="2"/>
        <w:spacing w:line="243" w:lineRule="auto"/>
        <w:rPr>
          <w:sz w:val="21"/>
        </w:rPr>
      </w:pPr>
    </w:p>
    <w:p w14:paraId="5814CE96">
      <w:pPr>
        <w:pStyle w:val="2"/>
        <w:spacing w:before="78" w:line="207" w:lineRule="auto"/>
        <w:ind w:left="1012"/>
        <w:rPr>
          <w:rFonts w:ascii="仿宋" w:hAnsi="仿宋" w:eastAsia="仿宋" w:cs="仿宋"/>
          <w:sz w:val="24"/>
          <w:szCs w:val="24"/>
        </w:rPr>
      </w:pPr>
      <w:r>
        <w:rPr>
          <w:spacing w:val="-1"/>
          <w:position w:val="4"/>
          <w:sz w:val="23"/>
          <w:szCs w:val="23"/>
        </w:rPr>
        <w:t>Δ</w:t>
      </w:r>
      <w:r>
        <w:rPr>
          <w:rFonts w:ascii="Times New Roman" w:hAnsi="Times New Roman" w:eastAsia="Times New Roman" w:cs="Times New Roman"/>
          <w:spacing w:val="-1"/>
          <w:position w:val="4"/>
          <w:sz w:val="23"/>
          <w:szCs w:val="23"/>
        </w:rPr>
        <w:t xml:space="preserve">L </w:t>
      </w:r>
      <w:r>
        <w:rPr>
          <w:rFonts w:ascii="Times New Roman" w:hAnsi="Times New Roman" w:eastAsia="Times New Roman" w:cs="Times New Roman"/>
          <w:spacing w:val="-1"/>
          <w:sz w:val="24"/>
          <w:szCs w:val="24"/>
        </w:rPr>
        <w:t>——</w:t>
      </w:r>
      <w:r>
        <w:rPr>
          <w:rFonts w:ascii="仿宋" w:hAnsi="仿宋" w:eastAsia="仿宋" w:cs="仿宋"/>
          <w:spacing w:val="-1"/>
          <w:sz w:val="24"/>
          <w:szCs w:val="24"/>
        </w:rPr>
        <w:t>由其他因素引起的修正量，</w:t>
      </w:r>
      <w:r>
        <w:rPr>
          <w:rFonts w:ascii="Times New Roman" w:hAnsi="Times New Roman" w:eastAsia="Times New Roman" w:cs="Times New Roman"/>
          <w:spacing w:val="-1"/>
          <w:sz w:val="24"/>
          <w:szCs w:val="24"/>
        </w:rPr>
        <w:t>dB(A)</w:t>
      </w:r>
      <w:r>
        <w:rPr>
          <w:rFonts w:ascii="Times New Roman" w:hAnsi="Times New Roman" w:eastAsia="Times New Roman" w:cs="Times New Roman"/>
          <w:spacing w:val="-25"/>
          <w:sz w:val="24"/>
          <w:szCs w:val="24"/>
        </w:rPr>
        <w:t xml:space="preserve"> </w:t>
      </w:r>
      <w:r>
        <w:rPr>
          <w:rFonts w:ascii="仿宋" w:hAnsi="仿宋" w:eastAsia="仿宋" w:cs="仿宋"/>
          <w:spacing w:val="-1"/>
          <w:sz w:val="24"/>
          <w:szCs w:val="24"/>
        </w:rPr>
        <w:t>。按照以下</w:t>
      </w:r>
      <w:r>
        <w:rPr>
          <w:rFonts w:ascii="仿宋" w:hAnsi="仿宋" w:eastAsia="仿宋" w:cs="仿宋"/>
          <w:spacing w:val="-2"/>
          <w:sz w:val="24"/>
          <w:szCs w:val="24"/>
        </w:rPr>
        <w:t>公式计算：</w:t>
      </w:r>
    </w:p>
    <w:p w14:paraId="0BBEF1C4">
      <w:pPr>
        <w:pStyle w:val="2"/>
        <w:spacing w:before="282" w:line="202" w:lineRule="auto"/>
        <w:ind w:left="3216"/>
        <w:rPr>
          <w:rFonts w:ascii="Times New Roman" w:hAnsi="Times New Roman" w:eastAsia="Times New Roman" w:cs="Times New Roman"/>
          <w:sz w:val="13"/>
          <w:szCs w:val="13"/>
        </w:rPr>
      </w:pPr>
      <w:r>
        <w:rPr>
          <w:spacing w:val="-1"/>
          <w:sz w:val="23"/>
          <w:szCs w:val="23"/>
        </w:rPr>
        <w:t>Δ</w:t>
      </w:r>
      <w:r>
        <w:rPr>
          <w:rFonts w:ascii="Times New Roman" w:hAnsi="Times New Roman" w:eastAsia="Times New Roman" w:cs="Times New Roman"/>
          <w:spacing w:val="-1"/>
          <w:sz w:val="23"/>
          <w:szCs w:val="23"/>
        </w:rPr>
        <w:t xml:space="preserve">L </w:t>
      </w:r>
      <w:r>
        <w:rPr>
          <w:spacing w:val="-1"/>
          <w:sz w:val="23"/>
          <w:szCs w:val="23"/>
        </w:rPr>
        <w:t>= Δ</w:t>
      </w:r>
      <w:r>
        <w:rPr>
          <w:rFonts w:ascii="Times New Roman" w:hAnsi="Times New Roman" w:eastAsia="Times New Roman" w:cs="Times New Roman"/>
          <w:spacing w:val="-1"/>
          <w:sz w:val="23"/>
          <w:szCs w:val="23"/>
        </w:rPr>
        <w:t>L</w:t>
      </w:r>
      <w:r>
        <w:rPr>
          <w:rFonts w:ascii="Times New Roman" w:hAnsi="Times New Roman" w:eastAsia="Times New Roman" w:cs="Times New Roman"/>
          <w:spacing w:val="-1"/>
          <w:position w:val="-5"/>
          <w:sz w:val="13"/>
          <w:szCs w:val="13"/>
        </w:rPr>
        <w:t>1</w:t>
      </w:r>
      <w:r>
        <w:rPr>
          <w:rFonts w:ascii="Times New Roman" w:hAnsi="Times New Roman" w:eastAsia="Times New Roman" w:cs="Times New Roman"/>
          <w:spacing w:val="38"/>
          <w:w w:val="102"/>
          <w:position w:val="-5"/>
          <w:sz w:val="13"/>
          <w:szCs w:val="13"/>
        </w:rPr>
        <w:t xml:space="preserve"> </w:t>
      </w:r>
      <w:r>
        <w:rPr>
          <w:rFonts w:ascii="Times New Roman" w:hAnsi="Times New Roman" w:eastAsia="Times New Roman" w:cs="Times New Roman"/>
          <w:spacing w:val="-1"/>
          <w:sz w:val="23"/>
          <w:szCs w:val="23"/>
        </w:rPr>
        <w:t>-</w:t>
      </w:r>
      <w:r>
        <w:rPr>
          <w:rFonts w:ascii="Times New Roman" w:hAnsi="Times New Roman" w:eastAsia="Times New Roman" w:cs="Times New Roman"/>
          <w:spacing w:val="-18"/>
          <w:sz w:val="23"/>
          <w:szCs w:val="23"/>
        </w:rPr>
        <w:t xml:space="preserve"> </w:t>
      </w:r>
      <w:r>
        <w:rPr>
          <w:spacing w:val="-1"/>
          <w:sz w:val="23"/>
          <w:szCs w:val="23"/>
        </w:rPr>
        <w:t>Δ</w:t>
      </w:r>
      <w:r>
        <w:rPr>
          <w:rFonts w:ascii="Times New Roman" w:hAnsi="Times New Roman" w:eastAsia="Times New Roman" w:cs="Times New Roman"/>
          <w:spacing w:val="-1"/>
          <w:sz w:val="23"/>
          <w:szCs w:val="23"/>
        </w:rPr>
        <w:t>L</w:t>
      </w:r>
      <w:r>
        <w:rPr>
          <w:rFonts w:ascii="Times New Roman" w:hAnsi="Times New Roman" w:eastAsia="Times New Roman" w:cs="Times New Roman"/>
          <w:spacing w:val="-1"/>
          <w:position w:val="-5"/>
          <w:sz w:val="13"/>
          <w:szCs w:val="13"/>
        </w:rPr>
        <w:t xml:space="preserve">2  </w:t>
      </w:r>
      <w:r>
        <w:rPr>
          <w:spacing w:val="-1"/>
          <w:sz w:val="23"/>
          <w:szCs w:val="23"/>
        </w:rPr>
        <w:t>+</w:t>
      </w:r>
      <w:r>
        <w:rPr>
          <w:spacing w:val="-15"/>
          <w:sz w:val="23"/>
          <w:szCs w:val="23"/>
        </w:rPr>
        <w:t xml:space="preserve"> </w:t>
      </w:r>
      <w:r>
        <w:rPr>
          <w:spacing w:val="-1"/>
          <w:sz w:val="23"/>
          <w:szCs w:val="23"/>
        </w:rPr>
        <w:t>Δ</w:t>
      </w:r>
      <w:r>
        <w:rPr>
          <w:rFonts w:ascii="Times New Roman" w:hAnsi="Times New Roman" w:eastAsia="Times New Roman" w:cs="Times New Roman"/>
          <w:spacing w:val="-1"/>
          <w:sz w:val="23"/>
          <w:szCs w:val="23"/>
        </w:rPr>
        <w:t>L</w:t>
      </w:r>
      <w:r>
        <w:rPr>
          <w:rFonts w:ascii="Times New Roman" w:hAnsi="Times New Roman" w:eastAsia="Times New Roman" w:cs="Times New Roman"/>
          <w:spacing w:val="-1"/>
          <w:position w:val="-5"/>
          <w:sz w:val="13"/>
          <w:szCs w:val="13"/>
        </w:rPr>
        <w:t>3</w:t>
      </w:r>
    </w:p>
    <w:p w14:paraId="3A4767F5">
      <w:pPr>
        <w:pStyle w:val="2"/>
        <w:spacing w:before="115" w:line="206" w:lineRule="auto"/>
        <w:ind w:left="3216"/>
        <w:rPr>
          <w:rFonts w:ascii="宋体" w:hAnsi="宋体" w:eastAsia="宋体" w:cs="宋体"/>
          <w:sz w:val="13"/>
          <w:szCs w:val="13"/>
        </w:rPr>
      </w:pPr>
      <w:r>
        <w:rPr>
          <w:spacing w:val="2"/>
          <w:position w:val="2"/>
          <w:sz w:val="23"/>
          <w:szCs w:val="23"/>
        </w:rPr>
        <w:t>Δ</w:t>
      </w:r>
      <w:r>
        <w:rPr>
          <w:rFonts w:ascii="Times New Roman" w:hAnsi="Times New Roman" w:eastAsia="Times New Roman" w:cs="Times New Roman"/>
          <w:spacing w:val="2"/>
          <w:position w:val="2"/>
          <w:sz w:val="23"/>
          <w:szCs w:val="23"/>
        </w:rPr>
        <w:t>L</w:t>
      </w:r>
      <w:r>
        <w:rPr>
          <w:rFonts w:ascii="Times New Roman" w:hAnsi="Times New Roman" w:eastAsia="Times New Roman" w:cs="Times New Roman"/>
          <w:spacing w:val="2"/>
          <w:position w:val="-3"/>
          <w:sz w:val="13"/>
          <w:szCs w:val="13"/>
        </w:rPr>
        <w:t>1</w:t>
      </w:r>
      <w:r>
        <w:rPr>
          <w:rFonts w:ascii="Times New Roman" w:hAnsi="Times New Roman" w:eastAsia="Times New Roman" w:cs="Times New Roman"/>
          <w:spacing w:val="26"/>
          <w:position w:val="-3"/>
          <w:sz w:val="13"/>
          <w:szCs w:val="13"/>
        </w:rPr>
        <w:t xml:space="preserve"> </w:t>
      </w:r>
      <w:r>
        <w:rPr>
          <w:spacing w:val="2"/>
          <w:position w:val="2"/>
          <w:sz w:val="23"/>
          <w:szCs w:val="23"/>
        </w:rPr>
        <w:t>+</w:t>
      </w:r>
      <w:r>
        <w:rPr>
          <w:spacing w:val="-16"/>
          <w:position w:val="2"/>
          <w:sz w:val="23"/>
          <w:szCs w:val="23"/>
        </w:rPr>
        <w:t xml:space="preserve"> </w:t>
      </w:r>
      <w:r>
        <w:rPr>
          <w:spacing w:val="2"/>
          <w:position w:val="2"/>
          <w:sz w:val="23"/>
          <w:szCs w:val="23"/>
        </w:rPr>
        <w:t>Δ</w:t>
      </w:r>
      <w:r>
        <w:rPr>
          <w:rFonts w:ascii="Times New Roman" w:hAnsi="Times New Roman" w:eastAsia="Times New Roman" w:cs="Times New Roman"/>
          <w:spacing w:val="2"/>
          <w:position w:val="2"/>
          <w:sz w:val="23"/>
          <w:szCs w:val="23"/>
        </w:rPr>
        <w:t>L</w:t>
      </w:r>
      <w:r>
        <w:rPr>
          <w:rFonts w:ascii="宋体" w:hAnsi="宋体" w:eastAsia="宋体" w:cs="宋体"/>
          <w:spacing w:val="2"/>
          <w:position w:val="-4"/>
          <w:sz w:val="13"/>
          <w:szCs w:val="13"/>
        </w:rPr>
        <w:t xml:space="preserve">坡度 </w:t>
      </w:r>
      <w:r>
        <w:rPr>
          <w:spacing w:val="2"/>
          <w:position w:val="2"/>
          <w:sz w:val="23"/>
          <w:szCs w:val="23"/>
        </w:rPr>
        <w:t>+</w:t>
      </w:r>
      <w:r>
        <w:rPr>
          <w:spacing w:val="-15"/>
          <w:position w:val="2"/>
          <w:sz w:val="23"/>
          <w:szCs w:val="23"/>
        </w:rPr>
        <w:t xml:space="preserve"> </w:t>
      </w:r>
      <w:r>
        <w:rPr>
          <w:spacing w:val="2"/>
          <w:position w:val="2"/>
          <w:sz w:val="23"/>
          <w:szCs w:val="23"/>
        </w:rPr>
        <w:t>Δ</w:t>
      </w:r>
      <w:r>
        <w:rPr>
          <w:rFonts w:ascii="Times New Roman" w:hAnsi="Times New Roman" w:eastAsia="Times New Roman" w:cs="Times New Roman"/>
          <w:spacing w:val="2"/>
          <w:position w:val="2"/>
          <w:sz w:val="23"/>
          <w:szCs w:val="23"/>
        </w:rPr>
        <w:t>L</w:t>
      </w:r>
      <w:r>
        <w:rPr>
          <w:rFonts w:ascii="宋体" w:hAnsi="宋体" w:eastAsia="宋体" w:cs="宋体"/>
          <w:spacing w:val="2"/>
          <w:position w:val="-4"/>
          <w:sz w:val="13"/>
          <w:szCs w:val="13"/>
        </w:rPr>
        <w:t>路面</w:t>
      </w:r>
    </w:p>
    <w:p w14:paraId="5FA2CBB8">
      <w:pPr>
        <w:pStyle w:val="2"/>
        <w:spacing w:before="109" w:line="193" w:lineRule="auto"/>
        <w:ind w:left="3216"/>
        <w:rPr>
          <w:rFonts w:ascii="Times New Roman" w:hAnsi="Times New Roman" w:eastAsia="Times New Roman" w:cs="Times New Roman"/>
          <w:sz w:val="23"/>
          <w:szCs w:val="23"/>
        </w:rPr>
      </w:pPr>
      <w:r>
        <w:pict>
          <v:shape id="_x0000_s1113" o:spid="_x0000_s1113" o:spt="202" type="#_x0000_t202" style="position:absolute;left:0pt;margin-left:175.05pt;margin-top:10.6pt;height:8.55pt;width:128.45pt;z-index:251679744;mso-width-relative:page;mso-height-relative:page;" filled="f" stroked="f" coordsize="21600,21600">
            <v:path/>
            <v:fill on="f" focussize="0,0"/>
            <v:stroke on="f"/>
            <v:imagedata o:title=""/>
            <o:lock v:ext="edit" aspectratio="f"/>
            <v:textbox inset="0mm,0mm,0mm,0mm">
              <w:txbxContent>
                <w:p w14:paraId="67C85DAD">
                  <w:pPr>
                    <w:spacing w:before="20" w:line="209" w:lineRule="auto"/>
                    <w:ind w:left="20"/>
                    <w:rPr>
                      <w:rFonts w:ascii="Times New Roman" w:hAnsi="Times New Roman" w:eastAsia="Times New Roman" w:cs="Times New Roman"/>
                      <w:sz w:val="9"/>
                      <w:szCs w:val="9"/>
                    </w:rPr>
                  </w:pPr>
                  <w:r>
                    <w:rPr>
                      <w:rFonts w:ascii="Times New Roman" w:hAnsi="Times New Roman" w:eastAsia="Times New Roman" w:cs="Times New Roman"/>
                      <w:spacing w:val="5"/>
                      <w:sz w:val="13"/>
                      <w:szCs w:val="13"/>
                    </w:rPr>
                    <w:t>2</w:t>
                  </w:r>
                  <w:r>
                    <w:rPr>
                      <w:rFonts w:ascii="Times New Roman" w:hAnsi="Times New Roman" w:eastAsia="Times New Roman" w:cs="Times New Roman"/>
                      <w:sz w:val="13"/>
                      <w:szCs w:val="13"/>
                    </w:rPr>
                    <w:t xml:space="preserve">              atm</w:t>
                  </w:r>
                  <w:r>
                    <w:rPr>
                      <w:rFonts w:ascii="Times New Roman" w:hAnsi="Times New Roman" w:eastAsia="Times New Roman" w:cs="Times New Roman"/>
                      <w:spacing w:val="1"/>
                      <w:sz w:val="13"/>
                      <w:szCs w:val="13"/>
                    </w:rPr>
                    <w:t xml:space="preserve">             </w:t>
                  </w:r>
                  <w:r>
                    <w:rPr>
                      <w:rFonts w:ascii="Times New Roman" w:hAnsi="Times New Roman" w:eastAsia="Times New Roman" w:cs="Times New Roman"/>
                      <w:sz w:val="13"/>
                      <w:szCs w:val="13"/>
                    </w:rPr>
                    <w:t>gr</w:t>
                  </w:r>
                  <w:r>
                    <w:rPr>
                      <w:rFonts w:ascii="Times New Roman" w:hAnsi="Times New Roman" w:eastAsia="Times New Roman" w:cs="Times New Roman"/>
                      <w:spacing w:val="1"/>
                      <w:sz w:val="13"/>
                      <w:szCs w:val="13"/>
                    </w:rPr>
                    <w:t xml:space="preserve">             </w:t>
                  </w:r>
                  <w:r>
                    <w:rPr>
                      <w:rFonts w:ascii="Times New Roman" w:hAnsi="Times New Roman" w:eastAsia="Times New Roman" w:cs="Times New Roman"/>
                      <w:sz w:val="13"/>
                      <w:szCs w:val="13"/>
                    </w:rPr>
                    <w:t>bar</w:t>
                  </w:r>
                  <w:r>
                    <w:rPr>
                      <w:rFonts w:ascii="Times New Roman" w:hAnsi="Times New Roman" w:eastAsia="Times New Roman" w:cs="Times New Roman"/>
                      <w:spacing w:val="5"/>
                      <w:sz w:val="13"/>
                      <w:szCs w:val="13"/>
                    </w:rPr>
                    <w:t xml:space="preserve">             </w:t>
                  </w:r>
                  <w:r>
                    <w:rPr>
                      <w:rFonts w:ascii="Times New Roman" w:hAnsi="Times New Roman" w:eastAsia="Times New Roman" w:cs="Times New Roman"/>
                      <w:position w:val="2"/>
                      <w:sz w:val="9"/>
                      <w:szCs w:val="9"/>
                    </w:rPr>
                    <w:t>misc</w:t>
                  </w:r>
                </w:p>
              </w:txbxContent>
            </v:textbox>
          </v:shape>
        </w:pict>
      </w:r>
      <w:r>
        <w:rPr>
          <w:spacing w:val="-2"/>
          <w:sz w:val="23"/>
          <w:szCs w:val="23"/>
        </w:rPr>
        <w:t>Δ</w:t>
      </w:r>
      <w:r>
        <w:rPr>
          <w:rFonts w:ascii="Times New Roman" w:hAnsi="Times New Roman" w:eastAsia="Times New Roman" w:cs="Times New Roman"/>
          <w:spacing w:val="-2"/>
          <w:sz w:val="23"/>
          <w:szCs w:val="23"/>
        </w:rPr>
        <w:t>L</w:t>
      </w:r>
      <w:r>
        <w:rPr>
          <w:rFonts w:ascii="Times New Roman" w:hAnsi="Times New Roman" w:eastAsia="Times New Roman" w:cs="Times New Roman"/>
          <w:spacing w:val="32"/>
          <w:sz w:val="23"/>
          <w:szCs w:val="23"/>
        </w:rPr>
        <w:t xml:space="preserve">  </w:t>
      </w:r>
      <w:r>
        <w:rPr>
          <w:spacing w:val="-2"/>
          <w:sz w:val="23"/>
          <w:szCs w:val="23"/>
        </w:rPr>
        <w:t xml:space="preserve">= </w:t>
      </w:r>
      <w:r>
        <w:rPr>
          <w:rFonts w:ascii="Times New Roman" w:hAnsi="Times New Roman" w:eastAsia="Times New Roman" w:cs="Times New Roman"/>
          <w:spacing w:val="-2"/>
          <w:sz w:val="23"/>
          <w:szCs w:val="23"/>
        </w:rPr>
        <w:t xml:space="preserve">A     </w:t>
      </w:r>
      <w:r>
        <w:rPr>
          <w:spacing w:val="-2"/>
          <w:sz w:val="23"/>
          <w:szCs w:val="23"/>
        </w:rPr>
        <w:t>+</w:t>
      </w:r>
      <w:r>
        <w:rPr>
          <w:spacing w:val="-16"/>
          <w:sz w:val="23"/>
          <w:szCs w:val="23"/>
        </w:rPr>
        <w:t xml:space="preserve"> </w:t>
      </w:r>
      <w:r>
        <w:rPr>
          <w:rFonts w:ascii="Times New Roman" w:hAnsi="Times New Roman" w:eastAsia="Times New Roman" w:cs="Times New Roman"/>
          <w:spacing w:val="-2"/>
          <w:sz w:val="23"/>
          <w:szCs w:val="23"/>
        </w:rPr>
        <w:t>A</w:t>
      </w:r>
      <w:r>
        <w:rPr>
          <w:rFonts w:ascii="Times New Roman" w:hAnsi="Times New Roman" w:eastAsia="Times New Roman" w:cs="Times New Roman"/>
          <w:spacing w:val="11"/>
          <w:sz w:val="23"/>
          <w:szCs w:val="23"/>
        </w:rPr>
        <w:t xml:space="preserve">   </w:t>
      </w:r>
      <w:r>
        <w:rPr>
          <w:spacing w:val="-2"/>
          <w:sz w:val="23"/>
          <w:szCs w:val="23"/>
        </w:rPr>
        <w:t>+</w:t>
      </w:r>
      <w:r>
        <w:rPr>
          <w:spacing w:val="-16"/>
          <w:sz w:val="23"/>
          <w:szCs w:val="23"/>
        </w:rPr>
        <w:t xml:space="preserve"> </w:t>
      </w:r>
      <w:r>
        <w:rPr>
          <w:rFonts w:ascii="Times New Roman" w:hAnsi="Times New Roman" w:eastAsia="Times New Roman" w:cs="Times New Roman"/>
          <w:spacing w:val="-2"/>
          <w:sz w:val="23"/>
          <w:szCs w:val="23"/>
        </w:rPr>
        <w:t>A</w:t>
      </w:r>
      <w:r>
        <w:rPr>
          <w:rFonts w:ascii="Times New Roman" w:hAnsi="Times New Roman" w:eastAsia="Times New Roman" w:cs="Times New Roman"/>
          <w:spacing w:val="10"/>
          <w:sz w:val="23"/>
          <w:szCs w:val="23"/>
        </w:rPr>
        <w:t xml:space="preserve">    </w:t>
      </w:r>
      <w:r>
        <w:rPr>
          <w:spacing w:val="-2"/>
          <w:sz w:val="23"/>
          <w:szCs w:val="23"/>
        </w:rPr>
        <w:t>+</w:t>
      </w:r>
      <w:r>
        <w:rPr>
          <w:spacing w:val="-16"/>
          <w:sz w:val="23"/>
          <w:szCs w:val="23"/>
        </w:rPr>
        <w:t xml:space="preserve"> </w:t>
      </w:r>
      <w:r>
        <w:rPr>
          <w:rFonts w:ascii="Times New Roman" w:hAnsi="Times New Roman" w:eastAsia="Times New Roman" w:cs="Times New Roman"/>
          <w:spacing w:val="-2"/>
          <w:sz w:val="23"/>
          <w:szCs w:val="23"/>
        </w:rPr>
        <w:t>A</w:t>
      </w:r>
    </w:p>
    <w:p w14:paraId="718ACE7D">
      <w:pPr>
        <w:spacing w:before="181" w:line="222" w:lineRule="auto"/>
        <w:ind w:left="1235"/>
        <w:rPr>
          <w:rFonts w:ascii="仿宋" w:hAnsi="仿宋" w:eastAsia="仿宋" w:cs="仿宋"/>
          <w:sz w:val="24"/>
          <w:szCs w:val="24"/>
        </w:rPr>
      </w:pPr>
      <w:r>
        <w:rPr>
          <w:rFonts w:ascii="仿宋" w:hAnsi="仿宋" w:eastAsia="仿宋" w:cs="仿宋"/>
          <w:spacing w:val="-8"/>
          <w:sz w:val="24"/>
          <w:szCs w:val="24"/>
        </w:rPr>
        <w:t>式中：</w:t>
      </w:r>
    </w:p>
    <w:p w14:paraId="1BB77E47">
      <w:pPr>
        <w:pStyle w:val="2"/>
        <w:spacing w:before="179" w:line="230" w:lineRule="auto"/>
        <w:ind w:left="1937"/>
        <w:rPr>
          <w:rFonts w:ascii="仿宋" w:hAnsi="仿宋" w:eastAsia="仿宋" w:cs="仿宋"/>
          <w:sz w:val="24"/>
          <w:szCs w:val="24"/>
        </w:rPr>
      </w:pPr>
      <w:r>
        <w:rPr>
          <w:spacing w:val="-5"/>
          <w:w w:val="97"/>
          <w:sz w:val="24"/>
          <w:szCs w:val="24"/>
        </w:rPr>
        <w:t>Δ</w:t>
      </w:r>
      <w:r>
        <w:rPr>
          <w:rFonts w:ascii="仿宋" w:hAnsi="仿宋" w:eastAsia="仿宋" w:cs="仿宋"/>
          <w:spacing w:val="-5"/>
          <w:w w:val="97"/>
          <w:sz w:val="24"/>
          <w:szCs w:val="24"/>
        </w:rPr>
        <w:t>L</w:t>
      </w:r>
      <w:r>
        <w:rPr>
          <w:rFonts w:ascii="仿宋" w:hAnsi="仿宋" w:eastAsia="仿宋" w:cs="仿宋"/>
          <w:position w:val="-3"/>
          <w:sz w:val="12"/>
          <w:szCs w:val="12"/>
        </w:rPr>
        <w:t>1</w:t>
      </w:r>
      <w:r>
        <w:rPr>
          <w:rFonts w:ascii="仿宋" w:hAnsi="仿宋" w:eastAsia="仿宋" w:cs="仿宋"/>
          <w:sz w:val="24"/>
          <w:szCs w:val="24"/>
        </w:rPr>
        <w:t>——线路因素引起的修正值，dB（A）；</w:t>
      </w:r>
    </w:p>
    <w:p w14:paraId="0769C860">
      <w:pPr>
        <w:pStyle w:val="2"/>
        <w:spacing w:before="167" w:line="220" w:lineRule="auto"/>
        <w:ind w:left="1937"/>
        <w:rPr>
          <w:rFonts w:ascii="仿宋" w:hAnsi="仿宋" w:eastAsia="仿宋" w:cs="仿宋"/>
          <w:sz w:val="24"/>
          <w:szCs w:val="24"/>
        </w:rPr>
      </w:pPr>
      <w:r>
        <w:rPr>
          <w:spacing w:val="-1"/>
          <w:sz w:val="24"/>
          <w:szCs w:val="24"/>
        </w:rPr>
        <w:t>Δ</w:t>
      </w:r>
      <w:r>
        <w:rPr>
          <w:rFonts w:ascii="仿宋" w:hAnsi="仿宋" w:eastAsia="仿宋" w:cs="仿宋"/>
          <w:spacing w:val="-1"/>
          <w:sz w:val="24"/>
          <w:szCs w:val="24"/>
        </w:rPr>
        <w:t>L</w:t>
      </w:r>
      <w:r>
        <w:rPr>
          <w:rFonts w:ascii="仿宋" w:hAnsi="仿宋" w:eastAsia="仿宋" w:cs="仿宋"/>
          <w:spacing w:val="-1"/>
          <w:position w:val="-3"/>
          <w:sz w:val="12"/>
          <w:szCs w:val="12"/>
        </w:rPr>
        <w:t>坡度</w:t>
      </w:r>
      <w:r>
        <w:rPr>
          <w:rFonts w:ascii="仿宋" w:hAnsi="仿宋" w:eastAsia="仿宋" w:cs="仿宋"/>
          <w:spacing w:val="-1"/>
          <w:sz w:val="24"/>
          <w:szCs w:val="24"/>
        </w:rPr>
        <w:t>——道路纵坡修正量，dB（A</w:t>
      </w:r>
      <w:r>
        <w:rPr>
          <w:rFonts w:ascii="仿宋" w:hAnsi="仿宋" w:eastAsia="仿宋" w:cs="仿宋"/>
          <w:sz w:val="24"/>
          <w:szCs w:val="24"/>
        </w:rPr>
        <w:t>）；</w:t>
      </w:r>
    </w:p>
    <w:p w14:paraId="6774A5C3">
      <w:pPr>
        <w:pStyle w:val="2"/>
        <w:spacing w:before="182" w:line="220" w:lineRule="auto"/>
        <w:ind w:left="1937"/>
        <w:rPr>
          <w:rFonts w:ascii="仿宋" w:hAnsi="仿宋" w:eastAsia="仿宋" w:cs="仿宋"/>
          <w:sz w:val="24"/>
          <w:szCs w:val="24"/>
        </w:rPr>
      </w:pPr>
      <w:r>
        <w:rPr>
          <w:spacing w:val="-1"/>
          <w:sz w:val="24"/>
          <w:szCs w:val="24"/>
        </w:rPr>
        <w:t>Δ</w:t>
      </w:r>
      <w:r>
        <w:rPr>
          <w:rFonts w:ascii="仿宋" w:hAnsi="仿宋" w:eastAsia="仿宋" w:cs="仿宋"/>
          <w:spacing w:val="-1"/>
          <w:sz w:val="24"/>
          <w:szCs w:val="24"/>
        </w:rPr>
        <w:t>L</w:t>
      </w:r>
      <w:r>
        <w:rPr>
          <w:rFonts w:ascii="仿宋" w:hAnsi="仿宋" w:eastAsia="仿宋" w:cs="仿宋"/>
          <w:spacing w:val="-1"/>
          <w:position w:val="-3"/>
          <w:sz w:val="12"/>
          <w:szCs w:val="12"/>
        </w:rPr>
        <w:t>路面</w:t>
      </w:r>
      <w:r>
        <w:rPr>
          <w:rFonts w:ascii="仿宋" w:hAnsi="仿宋" w:eastAsia="仿宋" w:cs="仿宋"/>
          <w:spacing w:val="-1"/>
          <w:sz w:val="24"/>
          <w:szCs w:val="24"/>
        </w:rPr>
        <w:t>——道路路面材料引起的修正量，dB（A</w:t>
      </w:r>
      <w:r>
        <w:rPr>
          <w:rFonts w:ascii="仿宋" w:hAnsi="仿宋" w:eastAsia="仿宋" w:cs="仿宋"/>
          <w:spacing w:val="2"/>
          <w:sz w:val="24"/>
          <w:szCs w:val="24"/>
        </w:rPr>
        <w:t>）；</w:t>
      </w:r>
    </w:p>
    <w:p w14:paraId="5249A4E9">
      <w:pPr>
        <w:pStyle w:val="2"/>
        <w:spacing w:before="180" w:line="230" w:lineRule="auto"/>
        <w:ind w:left="1937"/>
        <w:rPr>
          <w:rFonts w:ascii="仿宋" w:hAnsi="仿宋" w:eastAsia="仿宋" w:cs="仿宋"/>
          <w:sz w:val="24"/>
          <w:szCs w:val="24"/>
        </w:rPr>
      </w:pPr>
      <w:r>
        <w:rPr>
          <w:spacing w:val="-5"/>
          <w:w w:val="97"/>
          <w:sz w:val="24"/>
          <w:szCs w:val="24"/>
        </w:rPr>
        <w:t>Δ</w:t>
      </w:r>
      <w:r>
        <w:rPr>
          <w:rFonts w:ascii="仿宋" w:hAnsi="仿宋" w:eastAsia="仿宋" w:cs="仿宋"/>
          <w:spacing w:val="-5"/>
          <w:w w:val="97"/>
          <w:sz w:val="24"/>
          <w:szCs w:val="24"/>
        </w:rPr>
        <w:t>L</w:t>
      </w:r>
      <w:r>
        <w:rPr>
          <w:rFonts w:ascii="仿宋" w:hAnsi="仿宋" w:eastAsia="仿宋" w:cs="仿宋"/>
          <w:position w:val="-3"/>
          <w:sz w:val="12"/>
          <w:szCs w:val="12"/>
        </w:rPr>
        <w:t>2</w:t>
      </w:r>
      <w:r>
        <w:rPr>
          <w:rFonts w:ascii="仿宋" w:hAnsi="仿宋" w:eastAsia="仿宋" w:cs="仿宋"/>
          <w:sz w:val="24"/>
          <w:szCs w:val="24"/>
        </w:rPr>
        <w:t>——声波传播途径中引起的衰减量，dB（A）；</w:t>
      </w:r>
    </w:p>
    <w:p w14:paraId="05348315">
      <w:pPr>
        <w:pStyle w:val="2"/>
        <w:spacing w:before="169" w:line="229" w:lineRule="auto"/>
        <w:ind w:left="1937"/>
        <w:rPr>
          <w:rFonts w:ascii="仿宋" w:hAnsi="仿宋" w:eastAsia="仿宋" w:cs="仿宋"/>
          <w:sz w:val="24"/>
          <w:szCs w:val="24"/>
        </w:rPr>
      </w:pPr>
      <w:r>
        <w:rPr>
          <w:spacing w:val="-5"/>
          <w:w w:val="97"/>
          <w:sz w:val="24"/>
          <w:szCs w:val="24"/>
        </w:rPr>
        <w:t>Δ</w:t>
      </w:r>
      <w:r>
        <w:rPr>
          <w:rFonts w:ascii="仿宋" w:hAnsi="仿宋" w:eastAsia="仿宋" w:cs="仿宋"/>
          <w:spacing w:val="-5"/>
          <w:w w:val="97"/>
          <w:sz w:val="24"/>
          <w:szCs w:val="24"/>
        </w:rPr>
        <w:t>L</w:t>
      </w:r>
      <w:r>
        <w:rPr>
          <w:rFonts w:ascii="仿宋" w:hAnsi="仿宋" w:eastAsia="仿宋" w:cs="仿宋"/>
          <w:position w:val="-3"/>
          <w:sz w:val="12"/>
          <w:szCs w:val="12"/>
        </w:rPr>
        <w:t>3</w:t>
      </w:r>
      <w:r>
        <w:rPr>
          <w:rFonts w:ascii="仿宋" w:hAnsi="仿宋" w:eastAsia="仿宋" w:cs="仿宋"/>
          <w:sz w:val="24"/>
          <w:szCs w:val="24"/>
        </w:rPr>
        <w:t>——由反射等引起的修正量，dB（A）。</w:t>
      </w:r>
    </w:p>
    <w:p w14:paraId="4CFC9C26">
      <w:pPr>
        <w:spacing w:before="209" w:line="219" w:lineRule="auto"/>
        <w:ind w:left="1971"/>
        <w:rPr>
          <w:rFonts w:ascii="仿宋" w:hAnsi="仿宋" w:eastAsia="仿宋" w:cs="仿宋"/>
          <w:sz w:val="24"/>
          <w:szCs w:val="24"/>
        </w:rPr>
      </w:pPr>
      <w:r>
        <w:rPr>
          <w:rFonts w:ascii="Times New Roman" w:hAnsi="Times New Roman" w:eastAsia="Times New Roman" w:cs="Times New Roman"/>
          <w:position w:val="11"/>
          <w:sz w:val="23"/>
          <w:szCs w:val="23"/>
        </w:rPr>
        <w:t>A</w:t>
      </w:r>
      <w:r>
        <w:rPr>
          <w:rFonts w:ascii="Times New Roman" w:hAnsi="Times New Roman" w:eastAsia="Times New Roman" w:cs="Times New Roman"/>
          <w:sz w:val="13"/>
          <w:szCs w:val="13"/>
        </w:rPr>
        <w:t>atm</w:t>
      </w:r>
      <w:r>
        <w:rPr>
          <w:rFonts w:ascii="Times New Roman" w:hAnsi="Times New Roman" w:eastAsia="Times New Roman" w:cs="Times New Roman"/>
          <w:spacing w:val="31"/>
          <w:w w:val="101"/>
          <w:sz w:val="13"/>
          <w:szCs w:val="13"/>
        </w:rPr>
        <w:t xml:space="preserve"> </w:t>
      </w:r>
      <w:r>
        <w:rPr>
          <w:rFonts w:ascii="仿宋" w:hAnsi="仿宋" w:eastAsia="仿宋" w:cs="仿宋"/>
          <w:spacing w:val="1"/>
          <w:sz w:val="24"/>
          <w:szCs w:val="24"/>
        </w:rPr>
        <w:t>——地面吸收引起的衰减量，</w:t>
      </w:r>
      <w:r>
        <w:rPr>
          <w:rFonts w:ascii="仿宋" w:hAnsi="仿宋" w:eastAsia="仿宋" w:cs="仿宋"/>
          <w:sz w:val="24"/>
          <w:szCs w:val="24"/>
        </w:rPr>
        <w:t>dB</w:t>
      </w:r>
      <w:r>
        <w:rPr>
          <w:rFonts w:ascii="仿宋" w:hAnsi="仿宋" w:eastAsia="仿宋" w:cs="仿宋"/>
          <w:spacing w:val="1"/>
          <w:sz w:val="24"/>
          <w:szCs w:val="24"/>
        </w:rPr>
        <w:t>(A)；</w:t>
      </w:r>
    </w:p>
    <w:p w14:paraId="7FFF4A6D">
      <w:pPr>
        <w:pStyle w:val="2"/>
        <w:spacing w:line="243" w:lineRule="auto"/>
        <w:rPr>
          <w:sz w:val="21"/>
        </w:rPr>
      </w:pPr>
    </w:p>
    <w:p w14:paraId="175B3C52">
      <w:pPr>
        <w:spacing w:before="79" w:line="221" w:lineRule="auto"/>
        <w:ind w:left="2157"/>
        <w:rPr>
          <w:rFonts w:ascii="仿宋" w:hAnsi="仿宋" w:eastAsia="仿宋" w:cs="仿宋"/>
          <w:sz w:val="24"/>
          <w:szCs w:val="24"/>
        </w:rPr>
      </w:pPr>
      <w:r>
        <w:pict>
          <v:shape id="_x0000_s1114" o:spid="_x0000_s1114" o:spt="202" type="#_x0000_t202" style="position:absolute;left:0pt;margin-left:97.55pt;margin-top:-2.45pt;height:10.2pt;width:10.5pt;z-index:251681792;mso-width-relative:page;mso-height-relative:page;" filled="f" stroked="f" coordsize="21600,21600">
            <v:path/>
            <v:fill on="f" focussize="0,0"/>
            <v:stroke on="f"/>
            <v:imagedata o:title=""/>
            <o:lock v:ext="edit" aspectratio="f"/>
            <v:textbox inset="0mm,0mm,0mm,0mm">
              <w:txbxContent>
                <w:p w14:paraId="3FE1F555">
                  <w:pPr>
                    <w:spacing w:before="20" w:line="163" w:lineRule="exact"/>
                    <w:ind w:left="20"/>
                    <w:rPr>
                      <w:rFonts w:ascii="Times New Roman" w:hAnsi="Times New Roman" w:eastAsia="Times New Roman" w:cs="Times New Roman"/>
                      <w:sz w:val="23"/>
                      <w:szCs w:val="23"/>
                    </w:rPr>
                  </w:pPr>
                  <w:r>
                    <w:rPr>
                      <w:rFonts w:ascii="Times New Roman" w:hAnsi="Times New Roman" w:eastAsia="Times New Roman" w:cs="Times New Roman"/>
                      <w:spacing w:val="3"/>
                      <w:position w:val="-3"/>
                      <w:sz w:val="23"/>
                      <w:szCs w:val="23"/>
                    </w:rPr>
                    <w:t>A</w:t>
                  </w:r>
                </w:p>
              </w:txbxContent>
            </v:textbox>
          </v:shape>
        </w:pict>
      </w:r>
      <w:r>
        <w:rPr>
          <w:rFonts w:ascii="Times New Roman" w:hAnsi="Times New Roman" w:eastAsia="Times New Roman" w:cs="Times New Roman"/>
          <w:spacing w:val="-1"/>
          <w:position w:val="8"/>
          <w:sz w:val="13"/>
          <w:szCs w:val="13"/>
        </w:rPr>
        <w:t>gr</w:t>
      </w:r>
      <w:r>
        <w:rPr>
          <w:rFonts w:ascii="Times New Roman" w:hAnsi="Times New Roman" w:eastAsia="Times New Roman" w:cs="Times New Roman"/>
          <w:spacing w:val="43"/>
          <w:position w:val="8"/>
          <w:sz w:val="13"/>
          <w:szCs w:val="13"/>
        </w:rPr>
        <w:t xml:space="preserve"> </w:t>
      </w:r>
      <w:r>
        <w:rPr>
          <w:rFonts w:ascii="仿宋" w:hAnsi="仿宋" w:eastAsia="仿宋" w:cs="仿宋"/>
          <w:spacing w:val="-1"/>
          <w:sz w:val="24"/>
          <w:szCs w:val="24"/>
        </w:rPr>
        <w:t>——遮挡物引起的衰减量，dB(A)；</w:t>
      </w:r>
    </w:p>
    <w:p w14:paraId="2EACD35D">
      <w:pPr>
        <w:spacing w:before="220" w:line="217" w:lineRule="auto"/>
        <w:ind w:left="1971"/>
        <w:rPr>
          <w:rFonts w:ascii="仿宋" w:hAnsi="仿宋" w:eastAsia="仿宋" w:cs="仿宋"/>
          <w:sz w:val="24"/>
          <w:szCs w:val="24"/>
        </w:rPr>
      </w:pPr>
      <w:r>
        <w:rPr>
          <w:rFonts w:ascii="Times New Roman" w:hAnsi="Times New Roman" w:eastAsia="Times New Roman" w:cs="Times New Roman"/>
          <w:position w:val="11"/>
          <w:sz w:val="23"/>
          <w:szCs w:val="23"/>
        </w:rPr>
        <w:t>A</w:t>
      </w:r>
      <w:r>
        <w:rPr>
          <w:rFonts w:ascii="Times New Roman" w:hAnsi="Times New Roman" w:eastAsia="Times New Roman" w:cs="Times New Roman"/>
          <w:sz w:val="13"/>
          <w:szCs w:val="13"/>
        </w:rPr>
        <w:t>bar</w:t>
      </w:r>
      <w:r>
        <w:rPr>
          <w:rFonts w:ascii="Times New Roman" w:hAnsi="Times New Roman" w:eastAsia="Times New Roman" w:cs="Times New Roman"/>
          <w:spacing w:val="28"/>
          <w:w w:val="102"/>
          <w:sz w:val="13"/>
          <w:szCs w:val="13"/>
        </w:rPr>
        <w:t xml:space="preserve"> </w:t>
      </w:r>
      <w:r>
        <w:rPr>
          <w:rFonts w:ascii="仿宋" w:hAnsi="仿宋" w:eastAsia="仿宋" w:cs="仿宋"/>
          <w:spacing w:val="1"/>
          <w:sz w:val="24"/>
          <w:szCs w:val="24"/>
        </w:rPr>
        <w:t>——绿化林带引起的衰减量，</w:t>
      </w:r>
      <w:r>
        <w:rPr>
          <w:rFonts w:ascii="仿宋" w:hAnsi="仿宋" w:eastAsia="仿宋" w:cs="仿宋"/>
          <w:sz w:val="24"/>
          <w:szCs w:val="24"/>
        </w:rPr>
        <w:t>dB</w:t>
      </w:r>
      <w:r>
        <w:rPr>
          <w:rFonts w:ascii="仿宋" w:hAnsi="仿宋" w:eastAsia="仿宋" w:cs="仿宋"/>
          <w:spacing w:val="1"/>
          <w:sz w:val="24"/>
          <w:szCs w:val="24"/>
        </w:rPr>
        <w:t>(A)；</w:t>
      </w:r>
    </w:p>
    <w:p w14:paraId="0C7A34B8">
      <w:pPr>
        <w:spacing w:before="218" w:line="217" w:lineRule="auto"/>
        <w:ind w:left="1971"/>
        <w:rPr>
          <w:rFonts w:ascii="仿宋" w:hAnsi="仿宋" w:eastAsia="仿宋" w:cs="仿宋"/>
          <w:sz w:val="24"/>
          <w:szCs w:val="24"/>
        </w:rPr>
      </w:pPr>
      <w:r>
        <w:rPr>
          <w:rFonts w:ascii="Times New Roman" w:hAnsi="Times New Roman" w:eastAsia="Times New Roman" w:cs="Times New Roman"/>
          <w:position w:val="13"/>
          <w:sz w:val="23"/>
          <w:szCs w:val="23"/>
        </w:rPr>
        <w:t>A</w:t>
      </w:r>
      <w:r>
        <w:rPr>
          <w:rFonts w:ascii="Times New Roman" w:hAnsi="Times New Roman" w:eastAsia="Times New Roman" w:cs="Times New Roman"/>
          <w:spacing w:val="-30"/>
          <w:position w:val="13"/>
          <w:sz w:val="23"/>
          <w:szCs w:val="23"/>
        </w:rPr>
        <w:t xml:space="preserve"> </w:t>
      </w:r>
      <w:r>
        <w:rPr>
          <w:rFonts w:ascii="Times New Roman" w:hAnsi="Times New Roman" w:eastAsia="Times New Roman" w:cs="Times New Roman"/>
          <w:position w:val="10"/>
          <w:sz w:val="9"/>
          <w:szCs w:val="9"/>
        </w:rPr>
        <w:t>misc</w:t>
      </w:r>
      <w:r>
        <w:rPr>
          <w:rFonts w:ascii="Times New Roman" w:hAnsi="Times New Roman" w:eastAsia="Times New Roman" w:cs="Times New Roman"/>
          <w:spacing w:val="1"/>
          <w:position w:val="10"/>
          <w:sz w:val="9"/>
          <w:szCs w:val="9"/>
        </w:rPr>
        <w:t xml:space="preserve">  </w:t>
      </w:r>
      <w:r>
        <w:rPr>
          <w:rFonts w:ascii="仿宋" w:hAnsi="仿宋" w:eastAsia="仿宋" w:cs="仿宋"/>
          <w:spacing w:val="1"/>
          <w:sz w:val="24"/>
          <w:szCs w:val="24"/>
        </w:rPr>
        <w:t>——大气吸收引起的衰减量，</w:t>
      </w:r>
      <w:r>
        <w:rPr>
          <w:rFonts w:ascii="仿宋" w:hAnsi="仿宋" w:eastAsia="仿宋" w:cs="仿宋"/>
          <w:sz w:val="24"/>
          <w:szCs w:val="24"/>
        </w:rPr>
        <w:t>dB</w:t>
      </w:r>
      <w:r>
        <w:rPr>
          <w:rFonts w:ascii="仿宋" w:hAnsi="仿宋" w:eastAsia="仿宋" w:cs="仿宋"/>
          <w:spacing w:val="1"/>
          <w:sz w:val="24"/>
          <w:szCs w:val="24"/>
        </w:rPr>
        <w:t>(A)。</w:t>
      </w:r>
    </w:p>
    <w:p w14:paraId="37D9D5A8">
      <w:pPr>
        <w:pStyle w:val="2"/>
        <w:spacing w:line="327" w:lineRule="auto"/>
        <w:rPr>
          <w:sz w:val="21"/>
        </w:rPr>
      </w:pPr>
    </w:p>
    <w:p w14:paraId="7AD181F7">
      <w:pPr>
        <w:spacing w:before="78" w:line="222" w:lineRule="auto"/>
        <w:ind w:left="1551"/>
        <w:rPr>
          <w:rFonts w:ascii="仿宋" w:hAnsi="仿宋" w:eastAsia="仿宋" w:cs="仿宋"/>
          <w:sz w:val="24"/>
          <w:szCs w:val="24"/>
        </w:rPr>
      </w:pPr>
      <w:r>
        <w:pict>
          <v:shape id="_x0000_s1115" o:spid="_x0000_s1115" o:spt="202" type="#_x0000_t202" style="position:absolute;left:0pt;margin-left:61.6pt;margin-top:-2.45pt;height:10.2pt;width:16.3pt;z-index:251680768;mso-width-relative:page;mso-height-relative:page;" filled="f" stroked="f" coordsize="21600,21600">
            <v:path/>
            <v:fill on="f" focussize="0,0"/>
            <v:stroke on="f"/>
            <v:imagedata o:title=""/>
            <o:lock v:ext="edit" aspectratio="f"/>
            <v:textbox inset="0mm,0mm,0mm,0mm">
              <w:txbxContent>
                <w:p w14:paraId="3F90F9DC">
                  <w:pPr>
                    <w:pStyle w:val="2"/>
                    <w:spacing w:before="20" w:line="163" w:lineRule="exact"/>
                    <w:ind w:left="20"/>
                    <w:rPr>
                      <w:rFonts w:ascii="Times New Roman" w:hAnsi="Times New Roman" w:eastAsia="Times New Roman" w:cs="Times New Roman"/>
                      <w:sz w:val="23"/>
                      <w:szCs w:val="23"/>
                    </w:rPr>
                  </w:pPr>
                  <w:r>
                    <w:rPr>
                      <w:spacing w:val="-4"/>
                      <w:w w:val="99"/>
                      <w:position w:val="-3"/>
                      <w:sz w:val="23"/>
                      <w:szCs w:val="23"/>
                    </w:rPr>
                    <w:t>Δ</w:t>
                  </w:r>
                  <w:r>
                    <w:rPr>
                      <w:rFonts w:ascii="Times New Roman" w:hAnsi="Times New Roman" w:eastAsia="Times New Roman" w:cs="Times New Roman"/>
                      <w:spacing w:val="-4"/>
                      <w:w w:val="99"/>
                      <w:position w:val="-3"/>
                      <w:sz w:val="23"/>
                      <w:szCs w:val="23"/>
                    </w:rPr>
                    <w:t>L</w:t>
                  </w:r>
                </w:p>
              </w:txbxContent>
            </v:textbox>
          </v:shape>
        </w:pict>
      </w:r>
      <w:r>
        <w:rPr>
          <w:rFonts w:ascii="宋体" w:hAnsi="宋体" w:eastAsia="宋体" w:cs="宋体"/>
          <w:spacing w:val="-1"/>
          <w:position w:val="7"/>
          <w:sz w:val="13"/>
          <w:szCs w:val="13"/>
        </w:rPr>
        <w:t xml:space="preserve">距离 </w:t>
      </w:r>
      <w:r>
        <w:rPr>
          <w:rFonts w:ascii="仿宋" w:hAnsi="仿宋" w:eastAsia="仿宋" w:cs="仿宋"/>
          <w:spacing w:val="-1"/>
          <w:sz w:val="24"/>
          <w:szCs w:val="24"/>
        </w:rPr>
        <w:t>——距离衰减量，dB(A)，公式如下：</w:t>
      </w:r>
    </w:p>
    <w:p w14:paraId="0B9DC28C">
      <w:pPr>
        <w:pStyle w:val="2"/>
        <w:spacing w:before="163"/>
        <w:ind w:left="2487"/>
        <w:rPr>
          <w:rFonts w:ascii="宋体" w:hAnsi="宋体" w:eastAsia="宋体" w:cs="宋体"/>
          <w:sz w:val="23"/>
          <w:szCs w:val="23"/>
        </w:rPr>
      </w:pPr>
      <w:r>
        <w:rPr>
          <w:spacing w:val="-4"/>
          <w:w w:val="84"/>
          <w:position w:val="2"/>
          <w:sz w:val="29"/>
          <w:szCs w:val="29"/>
        </w:rPr>
        <w:t>Δ</w:t>
      </w:r>
      <w:r>
        <w:rPr>
          <w:rFonts w:ascii="Times New Roman" w:hAnsi="Times New Roman" w:eastAsia="Times New Roman" w:cs="Times New Roman"/>
          <w:spacing w:val="-4"/>
          <w:w w:val="84"/>
          <w:position w:val="2"/>
          <w:sz w:val="26"/>
          <w:szCs w:val="26"/>
        </w:rPr>
        <w:t>L</w:t>
      </w:r>
      <w:r>
        <w:rPr>
          <w:rFonts w:ascii="宋体" w:hAnsi="宋体" w:eastAsia="宋体" w:cs="宋体"/>
          <w:spacing w:val="14"/>
          <w:position w:val="-4"/>
          <w:sz w:val="13"/>
          <w:szCs w:val="13"/>
        </w:rPr>
        <w:t>距离</w:t>
      </w:r>
      <w:r>
        <w:rPr>
          <w:rFonts w:ascii="宋体" w:hAnsi="宋体" w:eastAsia="宋体" w:cs="宋体"/>
          <w:spacing w:val="26"/>
          <w:position w:val="-4"/>
          <w:sz w:val="13"/>
          <w:szCs w:val="13"/>
        </w:rPr>
        <w:t xml:space="preserve"> </w:t>
      </w:r>
      <w:r>
        <w:rPr>
          <w:position w:val="-61"/>
          <w:sz w:val="13"/>
          <w:szCs w:val="13"/>
        </w:rPr>
        <w:drawing>
          <wp:inline distT="0" distB="0" distL="0" distR="0">
            <wp:extent cx="826770" cy="883285"/>
            <wp:effectExtent l="0" t="0" r="0" b="0"/>
            <wp:docPr id="224" name="IM 224"/>
            <wp:cNvGraphicFramePr/>
            <a:graphic xmlns:a="http://schemas.openxmlformats.org/drawingml/2006/main">
              <a:graphicData uri="http://schemas.openxmlformats.org/drawingml/2006/picture">
                <pic:pic xmlns:pic="http://schemas.openxmlformats.org/drawingml/2006/picture">
                  <pic:nvPicPr>
                    <pic:cNvPr id="224" name="IM 224"/>
                    <pic:cNvPicPr/>
                  </pic:nvPicPr>
                  <pic:blipFill>
                    <a:blip r:embed="rId379"/>
                    <a:stretch>
                      <a:fillRect/>
                    </a:stretch>
                  </pic:blipFill>
                  <pic:spPr>
                    <a:xfrm>
                      <a:off x="0" y="0"/>
                      <a:ext cx="826935" cy="883546"/>
                    </a:xfrm>
                    <a:prstGeom prst="rect">
                      <a:avLst/>
                    </a:prstGeom>
                  </pic:spPr>
                </pic:pic>
              </a:graphicData>
            </a:graphic>
          </wp:inline>
        </w:drawing>
      </w:r>
      <w:r>
        <w:rPr>
          <w:rFonts w:ascii="宋体" w:hAnsi="宋体" w:eastAsia="宋体" w:cs="宋体"/>
          <w:spacing w:val="8"/>
          <w:position w:val="-4"/>
          <w:sz w:val="13"/>
          <w:szCs w:val="13"/>
        </w:rPr>
        <w:t xml:space="preserve">     </w:t>
      </w:r>
      <w:r>
        <w:rPr>
          <w:rFonts w:ascii="宋体" w:hAnsi="宋体" w:eastAsia="宋体" w:cs="宋体"/>
          <w:spacing w:val="-56"/>
          <w:w w:val="84"/>
          <w:position w:val="-32"/>
          <w:sz w:val="23"/>
          <w:szCs w:val="23"/>
        </w:rPr>
        <w:t>（</w:t>
      </w:r>
      <w:r>
        <w:rPr>
          <w:rFonts w:ascii="宋体" w:hAnsi="宋体" w:eastAsia="宋体" w:cs="宋体"/>
          <w:spacing w:val="-56"/>
          <w:w w:val="84"/>
          <w:position w:val="38"/>
          <w:sz w:val="23"/>
          <w:szCs w:val="23"/>
        </w:rPr>
        <w:t>（</w:t>
      </w:r>
      <w:r>
        <w:fldChar w:fldCharType="begin"/>
      </w:r>
      <w:r>
        <w:instrText xml:space="preserve">EQ \* jc3 \* hps26 \o\al(\s\up 19(</w:instrText>
      </w:r>
      <w:r>
        <w:rPr>
          <w:rFonts w:ascii="Times New Roman" w:hAnsi="Times New Roman" w:eastAsia="Times New Roman" w:cs="Times New Roman"/>
          <w:i/>
          <w:iCs/>
          <w:w w:val="98"/>
          <w:sz w:val="26"/>
          <w:szCs w:val="26"/>
        </w:rPr>
        <w:instrText xml:space="preserve">N</w:instrText>
      </w:r>
      <w:r>
        <w:rPr>
          <w:rFonts w:ascii="Times New Roman" w:hAnsi="Times New Roman" w:eastAsia="Times New Roman" w:cs="Times New Roman"/>
          <w:i/>
          <w:iCs/>
          <w:w w:val="64"/>
          <w:sz w:val="26"/>
          <w:szCs w:val="26"/>
        </w:rPr>
        <w:instrText xml:space="preserve"> </w:instrText>
      </w:r>
      <w:r>
        <w:rPr>
          <w:rFonts w:ascii="Times New Roman" w:hAnsi="Times New Roman" w:eastAsia="Times New Roman" w:cs="Times New Roman"/>
          <w:i/>
          <w:iCs/>
          <w:w w:val="98"/>
          <w:sz w:val="26"/>
          <w:szCs w:val="26"/>
        </w:rPr>
        <w:instrText xml:space="preserve">max</w:instrText>
      </w:r>
      <w:r>
        <w:instrText xml:space="preserve">),</w:instrText>
      </w:r>
      <w:r>
        <w:rPr>
          <w:rFonts w:ascii="Times New Roman" w:hAnsi="Times New Roman" w:eastAsia="Times New Roman" w:cs="Times New Roman"/>
          <w:i/>
          <w:iCs/>
          <w:w w:val="98"/>
          <w:position w:val="-32"/>
          <w:sz w:val="26"/>
          <w:szCs w:val="26"/>
        </w:rPr>
        <w:instrText xml:space="preserve">N</w:instrText>
      </w:r>
      <w:r>
        <w:rPr>
          <w:rFonts w:ascii="Times New Roman" w:hAnsi="Times New Roman" w:eastAsia="Times New Roman" w:cs="Times New Roman"/>
          <w:i/>
          <w:iCs/>
          <w:w w:val="58"/>
          <w:position w:val="-32"/>
          <w:sz w:val="26"/>
          <w:szCs w:val="26"/>
        </w:rPr>
        <w:instrText xml:space="preserve"> </w:instrText>
      </w:r>
      <w:r>
        <w:rPr>
          <w:rFonts w:ascii="Times New Roman" w:hAnsi="Times New Roman" w:eastAsia="Times New Roman" w:cs="Times New Roman"/>
          <w:i/>
          <w:iCs/>
          <w:w w:val="98"/>
          <w:position w:val="-32"/>
          <w:sz w:val="26"/>
          <w:szCs w:val="26"/>
        </w:rPr>
        <w:instrText xml:space="preserve">max</w:instrText>
      </w:r>
      <w:r>
        <w:instrText xml:space="preserve">)</w:instrText>
      </w:r>
      <w:r>
        <w:fldChar w:fldCharType="end"/>
      </w:r>
      <w:r>
        <w:rPr>
          <w:position w:val="-35"/>
          <w:sz w:val="23"/>
          <w:szCs w:val="23"/>
        </w:rPr>
        <w:drawing>
          <wp:inline distT="0" distB="0" distL="0" distR="0">
            <wp:extent cx="118745" cy="567055"/>
            <wp:effectExtent l="0" t="0" r="0" b="0"/>
            <wp:docPr id="226" name="IM 226"/>
            <wp:cNvGraphicFramePr/>
            <a:graphic xmlns:a="http://schemas.openxmlformats.org/drawingml/2006/main">
              <a:graphicData uri="http://schemas.openxmlformats.org/drawingml/2006/picture">
                <pic:pic xmlns:pic="http://schemas.openxmlformats.org/drawingml/2006/picture">
                  <pic:nvPicPr>
                    <pic:cNvPr id="226" name="IM 226"/>
                    <pic:cNvPicPr/>
                  </pic:nvPicPr>
                  <pic:blipFill>
                    <a:blip r:embed="rId380"/>
                    <a:stretch>
                      <a:fillRect/>
                    </a:stretch>
                  </pic:blipFill>
                  <pic:spPr>
                    <a:xfrm>
                      <a:off x="0" y="0"/>
                      <a:ext cx="119061" cy="567259"/>
                    </a:xfrm>
                    <a:prstGeom prst="rect">
                      <a:avLst/>
                    </a:prstGeom>
                  </pic:spPr>
                </pic:pic>
              </a:graphicData>
            </a:graphic>
          </wp:inline>
        </w:drawing>
      </w:r>
      <w:r>
        <w:fldChar w:fldCharType="begin"/>
      </w:r>
      <w:r>
        <w:instrText xml:space="preserve">EQ \* jc3 \* hps23 \o\al(\s\up 19(</w:instrText>
      </w:r>
      <w:r>
        <w:rPr>
          <w:rFonts w:ascii="宋体" w:hAnsi="宋体" w:eastAsia="宋体" w:cs="宋体"/>
          <w:w w:val="106"/>
          <w:sz w:val="23"/>
          <w:szCs w:val="23"/>
        </w:rPr>
        <w:instrText xml:space="preserve">300辆</w:instrText>
      </w:r>
      <w:r>
        <w:instrText xml:space="preserve">),</w:instrText>
      </w:r>
      <w:r>
        <w:rPr>
          <w:rFonts w:ascii="宋体" w:hAnsi="宋体" w:eastAsia="宋体" w:cs="宋体"/>
          <w:w w:val="105"/>
          <w:position w:val="-32"/>
          <w:sz w:val="23"/>
          <w:szCs w:val="23"/>
        </w:rPr>
        <w:instrText xml:space="preserve">300辆</w:instrText>
      </w:r>
      <w:r>
        <w:instrText xml:space="preserve">)</w:instrText>
      </w:r>
      <w:r>
        <w:fldChar w:fldCharType="end"/>
      </w:r>
      <w:r>
        <w:fldChar w:fldCharType="begin"/>
      </w:r>
      <w:r>
        <w:instrText xml:space="preserve">EQ \* jc3 \* hps26 \o\al(\s\up 19(</w:instrText>
      </w:r>
      <w:r>
        <w:rPr>
          <w:rFonts w:ascii="Times New Roman" w:hAnsi="Times New Roman" w:eastAsia="Times New Roman" w:cs="Times New Roman"/>
          <w:w w:val="141"/>
          <w:sz w:val="26"/>
          <w:szCs w:val="26"/>
        </w:rPr>
        <w:instrText xml:space="preserve">/</w:instrText>
      </w:r>
      <w:r>
        <w:instrText xml:space="preserve">),</w:instrText>
      </w:r>
      <w:r>
        <w:rPr>
          <w:rFonts w:ascii="Times New Roman" w:hAnsi="Times New Roman" w:eastAsia="Times New Roman" w:cs="Times New Roman"/>
          <w:w w:val="131"/>
          <w:position w:val="-32"/>
          <w:sz w:val="26"/>
          <w:szCs w:val="26"/>
        </w:rPr>
        <w:instrText xml:space="preserve">/</w:instrText>
      </w:r>
      <w:r>
        <w:instrText xml:space="preserve">)</w:instrText>
      </w:r>
      <w:r>
        <w:fldChar w:fldCharType="end"/>
      </w:r>
      <w:r>
        <w:fldChar w:fldCharType="begin"/>
      </w:r>
      <w:r>
        <w:instrText xml:space="preserve">EQ \* jc3 \* hps26 \o\al(\s\up 19(</w:instrText>
      </w:r>
      <w:r>
        <w:rPr>
          <w:rFonts w:ascii="Times New Roman" w:hAnsi="Times New Roman" w:eastAsia="Times New Roman" w:cs="Times New Roman"/>
          <w:w w:val="123"/>
          <w:sz w:val="26"/>
          <w:szCs w:val="26"/>
        </w:rPr>
        <w:instrText xml:space="preserve">h</w:instrText>
      </w:r>
      <w:r>
        <w:instrText xml:space="preserve">),</w:instrText>
      </w:r>
      <w:r>
        <w:rPr>
          <w:rFonts w:ascii="Times New Roman" w:hAnsi="Times New Roman" w:eastAsia="Times New Roman" w:cs="Times New Roman"/>
          <w:w w:val="118"/>
          <w:position w:val="-32"/>
          <w:sz w:val="26"/>
          <w:szCs w:val="26"/>
        </w:rPr>
        <w:instrText xml:space="preserve">h</w:instrText>
      </w:r>
      <w:r>
        <w:instrText xml:space="preserve">)</w:instrText>
      </w:r>
      <w:r>
        <w:fldChar w:fldCharType="end"/>
      </w:r>
      <w:r>
        <w:rPr>
          <w:rFonts w:ascii="宋体" w:hAnsi="宋体" w:eastAsia="宋体" w:cs="宋体"/>
          <w:spacing w:val="-56"/>
          <w:w w:val="84"/>
          <w:position w:val="-32"/>
          <w:sz w:val="23"/>
          <w:szCs w:val="23"/>
        </w:rPr>
        <w:t>）</w:t>
      </w:r>
      <w:r>
        <w:rPr>
          <w:rFonts w:ascii="宋体" w:hAnsi="宋体" w:eastAsia="宋体" w:cs="宋体"/>
          <w:spacing w:val="-56"/>
          <w:w w:val="84"/>
          <w:position w:val="38"/>
          <w:sz w:val="23"/>
          <w:szCs w:val="23"/>
        </w:rPr>
        <w:t>）</w:t>
      </w:r>
    </w:p>
    <w:p w14:paraId="3BA8004B">
      <w:pPr>
        <w:rPr>
          <w:rFonts w:ascii="宋体" w:hAnsi="宋体" w:eastAsia="宋体" w:cs="宋体"/>
          <w:sz w:val="23"/>
          <w:szCs w:val="23"/>
        </w:rPr>
        <w:sectPr>
          <w:footerReference r:id="rId178" w:type="default"/>
          <w:pgSz w:w="11906" w:h="16839"/>
          <w:pgMar w:top="400" w:right="1739" w:bottom="1370" w:left="1785" w:header="0" w:footer="1207" w:gutter="0"/>
          <w:cols w:space="720" w:num="1"/>
        </w:sectPr>
      </w:pPr>
    </w:p>
    <w:p w14:paraId="10F82C1C">
      <w:pPr>
        <w:pStyle w:val="2"/>
        <w:spacing w:line="267" w:lineRule="auto"/>
        <w:rPr>
          <w:sz w:val="21"/>
        </w:rPr>
      </w:pPr>
    </w:p>
    <w:p w14:paraId="2788019E">
      <w:pPr>
        <w:pStyle w:val="2"/>
        <w:spacing w:line="267" w:lineRule="auto"/>
        <w:rPr>
          <w:sz w:val="21"/>
        </w:rPr>
      </w:pPr>
    </w:p>
    <w:p w14:paraId="714688DD">
      <w:pPr>
        <w:pStyle w:val="2"/>
        <w:spacing w:line="267" w:lineRule="auto"/>
        <w:rPr>
          <w:sz w:val="21"/>
        </w:rPr>
      </w:pPr>
    </w:p>
    <w:p w14:paraId="67240E19">
      <w:pPr>
        <w:pStyle w:val="2"/>
        <w:spacing w:line="268" w:lineRule="auto"/>
        <w:rPr>
          <w:sz w:val="21"/>
        </w:rPr>
      </w:pPr>
    </w:p>
    <w:p w14:paraId="5FDD6794">
      <w:pPr>
        <w:spacing w:before="78" w:line="222" w:lineRule="auto"/>
        <w:ind w:left="1235"/>
        <w:rPr>
          <w:rFonts w:ascii="仿宋" w:hAnsi="仿宋" w:eastAsia="仿宋" w:cs="仿宋"/>
          <w:sz w:val="24"/>
          <w:szCs w:val="24"/>
        </w:rPr>
      </w:pPr>
      <w:r>
        <w:rPr>
          <w:rFonts w:ascii="仿宋" w:hAnsi="仿宋" w:eastAsia="仿宋" w:cs="仿宋"/>
          <w:spacing w:val="-8"/>
          <w:sz w:val="24"/>
          <w:szCs w:val="24"/>
        </w:rPr>
        <w:t>式中：</w:t>
      </w:r>
    </w:p>
    <w:p w14:paraId="71DCA785">
      <w:pPr>
        <w:pStyle w:val="2"/>
        <w:spacing w:before="222" w:line="208" w:lineRule="auto"/>
        <w:ind w:left="1972"/>
        <w:rPr>
          <w:rFonts w:ascii="仿宋" w:hAnsi="仿宋" w:eastAsia="仿宋" w:cs="仿宋"/>
          <w:sz w:val="24"/>
          <w:szCs w:val="24"/>
        </w:rPr>
      </w:pPr>
      <w:r>
        <w:rPr>
          <w:position w:val="13"/>
          <w:sz w:val="23"/>
          <w:szCs w:val="23"/>
        </w:rPr>
        <w:t>Δ</w:t>
      </w:r>
      <w:r>
        <w:rPr>
          <w:rFonts w:ascii="Times New Roman" w:hAnsi="Times New Roman" w:eastAsia="Times New Roman" w:cs="Times New Roman"/>
          <w:position w:val="13"/>
          <w:sz w:val="23"/>
          <w:szCs w:val="23"/>
        </w:rPr>
        <w:t>L</w:t>
      </w:r>
      <w:r>
        <w:rPr>
          <w:rFonts w:ascii="宋体" w:hAnsi="宋体" w:eastAsia="宋体" w:cs="宋体"/>
          <w:position w:val="6"/>
          <w:sz w:val="13"/>
          <w:szCs w:val="13"/>
        </w:rPr>
        <w:t>距离</w:t>
      </w:r>
      <w:r>
        <w:rPr>
          <w:rFonts w:ascii="宋体" w:hAnsi="宋体" w:eastAsia="宋体" w:cs="宋体"/>
          <w:spacing w:val="-17"/>
          <w:position w:val="6"/>
          <w:sz w:val="13"/>
          <w:szCs w:val="13"/>
        </w:rPr>
        <w:t xml:space="preserve"> </w:t>
      </w:r>
      <w:r>
        <w:rPr>
          <w:rFonts w:ascii="宋体" w:hAnsi="宋体" w:eastAsia="宋体" w:cs="宋体"/>
          <w:spacing w:val="4"/>
          <w:position w:val="6"/>
          <w:sz w:val="13"/>
          <w:szCs w:val="13"/>
          <w:u w:val="single" w:color="auto"/>
        </w:rPr>
        <w:t xml:space="preserve">       </w:t>
      </w:r>
      <w:r>
        <w:rPr>
          <w:rFonts w:ascii="宋体" w:hAnsi="宋体" w:eastAsia="宋体" w:cs="宋体"/>
          <w:spacing w:val="-51"/>
          <w:position w:val="6"/>
          <w:sz w:val="13"/>
          <w:szCs w:val="13"/>
        </w:rPr>
        <w:t xml:space="preserve"> </w:t>
      </w:r>
      <w:r>
        <w:rPr>
          <w:rFonts w:ascii="仿宋" w:hAnsi="仿宋" w:eastAsia="仿宋" w:cs="仿宋"/>
          <w:position w:val="-1"/>
          <w:sz w:val="24"/>
          <w:szCs w:val="24"/>
        </w:rPr>
        <w:t>距离衰减量，</w:t>
      </w:r>
      <w:r>
        <w:rPr>
          <w:rFonts w:ascii="Times New Roman" w:hAnsi="Times New Roman" w:eastAsia="Times New Roman" w:cs="Times New Roman"/>
          <w:position w:val="-1"/>
          <w:sz w:val="24"/>
          <w:szCs w:val="24"/>
        </w:rPr>
        <w:t>dB(A)</w:t>
      </w:r>
      <w:r>
        <w:rPr>
          <w:rFonts w:ascii="仿宋" w:hAnsi="仿宋" w:eastAsia="仿宋" w:cs="仿宋"/>
          <w:position w:val="-1"/>
          <w:sz w:val="24"/>
          <w:szCs w:val="24"/>
        </w:rPr>
        <w:t>；</w:t>
      </w:r>
    </w:p>
    <w:p w14:paraId="685931FA">
      <w:pPr>
        <w:spacing w:before="197" w:line="219" w:lineRule="auto"/>
        <w:ind w:left="1939"/>
        <w:rPr>
          <w:rFonts w:ascii="仿宋" w:hAnsi="仿宋" w:eastAsia="仿宋" w:cs="仿宋"/>
          <w:sz w:val="24"/>
          <w:szCs w:val="24"/>
        </w:rPr>
      </w:pPr>
      <w:r>
        <w:rPr>
          <w:rFonts w:ascii="Times New Roman" w:hAnsi="Times New Roman" w:eastAsia="Times New Roman" w:cs="Times New Roman"/>
          <w:i/>
          <w:iCs/>
          <w:spacing w:val="-1"/>
          <w:sz w:val="24"/>
          <w:szCs w:val="24"/>
        </w:rPr>
        <w:t>r</w:t>
      </w:r>
      <w:r>
        <w:rPr>
          <w:rFonts w:ascii="Times New Roman" w:hAnsi="Times New Roman" w:eastAsia="Times New Roman" w:cs="Times New Roman"/>
          <w:spacing w:val="-1"/>
          <w:sz w:val="24"/>
          <w:szCs w:val="24"/>
        </w:rPr>
        <w:t>——</w:t>
      </w:r>
      <w:r>
        <w:rPr>
          <w:rFonts w:ascii="仿宋" w:hAnsi="仿宋" w:eastAsia="仿宋" w:cs="仿宋"/>
          <w:spacing w:val="-1"/>
          <w:sz w:val="24"/>
          <w:szCs w:val="24"/>
        </w:rPr>
        <w:t>从车道中心线到预测点的距离，</w:t>
      </w:r>
      <w:r>
        <w:rPr>
          <w:rFonts w:ascii="Times New Roman" w:hAnsi="Times New Roman" w:eastAsia="Times New Roman" w:cs="Times New Roman"/>
          <w:spacing w:val="-1"/>
          <w:sz w:val="24"/>
          <w:szCs w:val="24"/>
        </w:rPr>
        <w:t>m</w:t>
      </w:r>
      <w:r>
        <w:rPr>
          <w:rFonts w:ascii="仿宋" w:hAnsi="仿宋" w:eastAsia="仿宋" w:cs="仿宋"/>
          <w:spacing w:val="-1"/>
          <w:sz w:val="24"/>
          <w:szCs w:val="24"/>
        </w:rPr>
        <w:t>；</w:t>
      </w:r>
    </w:p>
    <w:p w14:paraId="5645DB24">
      <w:pPr>
        <w:spacing w:before="181" w:line="360" w:lineRule="auto"/>
        <w:ind w:left="33" w:right="13" w:firstLine="1893"/>
        <w:rPr>
          <w:rFonts w:ascii="仿宋" w:hAnsi="仿宋" w:eastAsia="仿宋" w:cs="仿宋"/>
          <w:sz w:val="24"/>
          <w:szCs w:val="24"/>
        </w:rPr>
      </w:pPr>
      <w:r>
        <w:rPr>
          <w:rFonts w:ascii="Times New Roman" w:hAnsi="Times New Roman" w:eastAsia="Times New Roman" w:cs="Times New Roman"/>
          <w:i/>
          <w:iCs/>
          <w:spacing w:val="-2"/>
          <w:sz w:val="24"/>
          <w:szCs w:val="24"/>
        </w:rPr>
        <w:t>N</w:t>
      </w:r>
      <w:r>
        <w:rPr>
          <w:rFonts w:ascii="Times New Roman" w:hAnsi="Times New Roman" w:eastAsia="Times New Roman" w:cs="Times New Roman"/>
          <w:spacing w:val="-2"/>
          <w:position w:val="-1"/>
          <w:sz w:val="15"/>
          <w:szCs w:val="15"/>
        </w:rPr>
        <w:t>max</w:t>
      </w:r>
      <w:r>
        <w:rPr>
          <w:rFonts w:ascii="Times New Roman" w:hAnsi="Times New Roman" w:eastAsia="Times New Roman" w:cs="Times New Roman"/>
          <w:spacing w:val="25"/>
          <w:w w:val="101"/>
          <w:position w:val="-1"/>
          <w:sz w:val="15"/>
          <w:szCs w:val="15"/>
        </w:rPr>
        <w:t xml:space="preserve"> </w:t>
      </w:r>
      <w:r>
        <w:rPr>
          <w:rFonts w:ascii="仿宋" w:hAnsi="仿宋" w:eastAsia="仿宋" w:cs="仿宋"/>
          <w:spacing w:val="-2"/>
          <w:sz w:val="24"/>
          <w:szCs w:val="24"/>
        </w:rPr>
        <w:t>最大平均小时车流量，辆</w:t>
      </w:r>
      <w:r>
        <w:rPr>
          <w:rFonts w:ascii="Times New Roman" w:hAnsi="Times New Roman" w:eastAsia="Times New Roman" w:cs="Times New Roman"/>
          <w:spacing w:val="-2"/>
          <w:sz w:val="24"/>
          <w:szCs w:val="24"/>
        </w:rPr>
        <w:t>/h</w:t>
      </w:r>
      <w:r>
        <w:rPr>
          <w:rFonts w:ascii="Times New Roman" w:hAnsi="Times New Roman" w:eastAsia="Times New Roman" w:cs="Times New Roman"/>
          <w:spacing w:val="-28"/>
          <w:sz w:val="24"/>
          <w:szCs w:val="24"/>
        </w:rPr>
        <w:t xml:space="preserve"> </w:t>
      </w:r>
      <w:r>
        <w:rPr>
          <w:rFonts w:ascii="仿宋" w:hAnsi="仿宋" w:eastAsia="仿宋" w:cs="仿宋"/>
          <w:spacing w:val="-2"/>
          <w:sz w:val="24"/>
          <w:szCs w:val="24"/>
        </w:rPr>
        <w:t>，同一个</w:t>
      </w:r>
      <w:r>
        <w:rPr>
          <w:rFonts w:ascii="仿宋" w:hAnsi="仿宋" w:eastAsia="仿宋" w:cs="仿宋"/>
          <w:spacing w:val="-3"/>
          <w:sz w:val="24"/>
          <w:szCs w:val="24"/>
        </w:rPr>
        <w:t>公路建设项目采用同</w:t>
      </w:r>
      <w:r>
        <w:rPr>
          <w:rFonts w:ascii="仿宋" w:hAnsi="仿宋" w:eastAsia="仿宋" w:cs="仿宋"/>
          <w:spacing w:val="-1"/>
          <w:sz w:val="24"/>
          <w:szCs w:val="24"/>
        </w:rPr>
        <w:t>一个值，取公路运营期各代表年份、各路段平均小时车流量中的最大值。</w:t>
      </w:r>
    </w:p>
    <w:p w14:paraId="48ADE9E8">
      <w:pPr>
        <w:pStyle w:val="2"/>
        <w:spacing w:line="255" w:lineRule="auto"/>
        <w:rPr>
          <w:sz w:val="21"/>
        </w:rPr>
      </w:pPr>
    </w:p>
    <w:p w14:paraId="6D84AA97">
      <w:pPr>
        <w:spacing w:line="2042" w:lineRule="exact"/>
        <w:ind w:firstLine="14"/>
      </w:pPr>
      <w:r>
        <w:rPr>
          <w:position w:val="-40"/>
        </w:rPr>
        <w:drawing>
          <wp:inline distT="0" distB="0" distL="0" distR="0">
            <wp:extent cx="5267960" cy="1296670"/>
            <wp:effectExtent l="0" t="0" r="0" b="0"/>
            <wp:docPr id="228" name="IM 228"/>
            <wp:cNvGraphicFramePr/>
            <a:graphic xmlns:a="http://schemas.openxmlformats.org/drawingml/2006/main">
              <a:graphicData uri="http://schemas.openxmlformats.org/drawingml/2006/picture">
                <pic:pic xmlns:pic="http://schemas.openxmlformats.org/drawingml/2006/picture">
                  <pic:nvPicPr>
                    <pic:cNvPr id="228" name="IM 228"/>
                    <pic:cNvPicPr/>
                  </pic:nvPicPr>
                  <pic:blipFill>
                    <a:blip r:embed="rId381"/>
                    <a:stretch>
                      <a:fillRect/>
                    </a:stretch>
                  </pic:blipFill>
                  <pic:spPr>
                    <a:xfrm>
                      <a:off x="0" y="0"/>
                      <a:ext cx="5268467" cy="1296923"/>
                    </a:xfrm>
                    <a:prstGeom prst="rect">
                      <a:avLst/>
                    </a:prstGeom>
                  </pic:spPr>
                </pic:pic>
              </a:graphicData>
            </a:graphic>
          </wp:inline>
        </w:drawing>
      </w:r>
    </w:p>
    <w:p w14:paraId="65FACCC3">
      <w:pPr>
        <w:pStyle w:val="2"/>
        <w:spacing w:line="351" w:lineRule="auto"/>
        <w:rPr>
          <w:sz w:val="21"/>
        </w:rPr>
      </w:pPr>
    </w:p>
    <w:p w14:paraId="2B08DFA5">
      <w:pPr>
        <w:spacing w:before="78" w:line="222" w:lineRule="auto"/>
        <w:ind w:left="1824"/>
        <w:rPr>
          <w:rFonts w:ascii="仿宋" w:hAnsi="仿宋" w:eastAsia="仿宋" w:cs="仿宋"/>
          <w:sz w:val="24"/>
          <w:szCs w:val="24"/>
        </w:rPr>
      </w:pPr>
      <w:r>
        <w:rPr>
          <w:rFonts w:ascii="仿宋" w:hAnsi="仿宋" w:eastAsia="仿宋" w:cs="仿宋"/>
          <w:b/>
          <w:bCs/>
          <w:spacing w:val="-4"/>
          <w:sz w:val="24"/>
          <w:szCs w:val="24"/>
        </w:rPr>
        <w:t>图</w:t>
      </w:r>
      <w:r>
        <w:rPr>
          <w:rFonts w:ascii="仿宋" w:hAnsi="仿宋" w:eastAsia="仿宋" w:cs="仿宋"/>
          <w:spacing w:val="-36"/>
          <w:sz w:val="24"/>
          <w:szCs w:val="24"/>
        </w:rPr>
        <w:t xml:space="preserve"> </w:t>
      </w:r>
      <w:r>
        <w:rPr>
          <w:rFonts w:ascii="仿宋" w:hAnsi="仿宋" w:eastAsia="仿宋" w:cs="仿宋"/>
          <w:b/>
          <w:bCs/>
          <w:spacing w:val="-4"/>
          <w:sz w:val="24"/>
          <w:szCs w:val="24"/>
        </w:rPr>
        <w:t>4.2-1</w:t>
      </w:r>
      <w:r>
        <w:rPr>
          <w:rFonts w:ascii="仿宋" w:hAnsi="仿宋" w:eastAsia="仿宋" w:cs="仿宋"/>
          <w:spacing w:val="-4"/>
          <w:sz w:val="24"/>
          <w:szCs w:val="24"/>
        </w:rPr>
        <w:t xml:space="preserve">    </w:t>
      </w:r>
      <w:r>
        <w:rPr>
          <w:rFonts w:ascii="仿宋" w:hAnsi="仿宋" w:eastAsia="仿宋" w:cs="仿宋"/>
          <w:b/>
          <w:bCs/>
          <w:spacing w:val="-4"/>
          <w:sz w:val="24"/>
          <w:szCs w:val="24"/>
        </w:rPr>
        <w:t>预测点到有限长路段两端的张角</w:t>
      </w:r>
    </w:p>
    <w:p w14:paraId="1D363F3D">
      <w:pPr>
        <w:spacing w:before="257" w:line="219" w:lineRule="auto"/>
        <w:ind w:left="514"/>
        <w:rPr>
          <w:rFonts w:ascii="仿宋" w:hAnsi="仿宋" w:eastAsia="仿宋" w:cs="仿宋"/>
          <w:sz w:val="24"/>
          <w:szCs w:val="24"/>
        </w:rPr>
      </w:pPr>
      <w:r>
        <w:rPr>
          <w:rFonts w:ascii="仿宋" w:hAnsi="仿宋" w:eastAsia="仿宋" w:cs="仿宋"/>
          <w:spacing w:val="-2"/>
          <w:sz w:val="24"/>
          <w:szCs w:val="24"/>
        </w:rPr>
        <w:t>（2）总车流等效声级为：</w:t>
      </w:r>
    </w:p>
    <w:p w14:paraId="4A2C3D10">
      <w:pPr>
        <w:pStyle w:val="2"/>
        <w:spacing w:before="49" w:line="493" w:lineRule="exact"/>
        <w:ind w:left="1829"/>
        <w:rPr>
          <w:sz w:val="40"/>
          <w:szCs w:val="40"/>
        </w:rPr>
      </w:pPr>
      <w:r>
        <w:rPr>
          <w:rFonts w:ascii="Times New Roman" w:hAnsi="Times New Roman" w:eastAsia="Times New Roman" w:cs="Times New Roman"/>
          <w:spacing w:val="-5"/>
          <w:position w:val="4"/>
          <w:sz w:val="23"/>
          <w:szCs w:val="23"/>
        </w:rPr>
        <w:t>L</w:t>
      </w:r>
      <w:r>
        <w:rPr>
          <w:rFonts w:ascii="Times New Roman" w:hAnsi="Times New Roman" w:eastAsia="Times New Roman" w:cs="Times New Roman"/>
          <w:spacing w:val="-5"/>
          <w:position w:val="-2"/>
          <w:sz w:val="13"/>
          <w:szCs w:val="13"/>
        </w:rPr>
        <w:t>eq</w:t>
      </w:r>
      <w:r>
        <w:rPr>
          <w:rFonts w:ascii="Times New Roman" w:hAnsi="Times New Roman" w:eastAsia="Times New Roman" w:cs="Times New Roman"/>
          <w:spacing w:val="15"/>
          <w:position w:val="-2"/>
          <w:sz w:val="13"/>
          <w:szCs w:val="13"/>
        </w:rPr>
        <w:t xml:space="preserve"> </w:t>
      </w:r>
      <w:r>
        <w:rPr>
          <w:spacing w:val="-5"/>
          <w:position w:val="4"/>
          <w:sz w:val="31"/>
          <w:szCs w:val="31"/>
        </w:rPr>
        <w:t>(</w:t>
      </w:r>
      <w:r>
        <w:rPr>
          <w:rFonts w:ascii="Times New Roman" w:hAnsi="Times New Roman" w:eastAsia="Times New Roman" w:cs="Times New Roman"/>
          <w:spacing w:val="-5"/>
          <w:position w:val="4"/>
          <w:sz w:val="23"/>
          <w:szCs w:val="23"/>
        </w:rPr>
        <w:t>T</w:t>
      </w:r>
      <w:r>
        <w:rPr>
          <w:spacing w:val="-5"/>
          <w:position w:val="4"/>
          <w:sz w:val="31"/>
          <w:szCs w:val="31"/>
        </w:rPr>
        <w:t>)</w:t>
      </w:r>
      <w:r>
        <w:rPr>
          <w:spacing w:val="-45"/>
          <w:position w:val="4"/>
          <w:sz w:val="31"/>
          <w:szCs w:val="31"/>
        </w:rPr>
        <w:t xml:space="preserve"> </w:t>
      </w:r>
      <w:r>
        <w:rPr>
          <w:spacing w:val="-5"/>
          <w:position w:val="4"/>
          <w:sz w:val="23"/>
          <w:szCs w:val="23"/>
        </w:rPr>
        <w:t xml:space="preserve">= </w:t>
      </w:r>
      <w:r>
        <w:rPr>
          <w:rFonts w:ascii="Times New Roman" w:hAnsi="Times New Roman" w:eastAsia="Times New Roman" w:cs="Times New Roman"/>
          <w:spacing w:val="-5"/>
          <w:position w:val="4"/>
          <w:sz w:val="23"/>
          <w:szCs w:val="23"/>
        </w:rPr>
        <w:t>10lg</w:t>
      </w:r>
      <w:r>
        <w:rPr>
          <w:spacing w:val="-25"/>
          <w:w w:val="87"/>
          <w:position w:val="4"/>
          <w:sz w:val="40"/>
          <w:szCs w:val="40"/>
        </w:rPr>
        <w:t>(</w:t>
      </w:r>
      <w:r>
        <w:rPr>
          <w:rFonts w:ascii="Times New Roman" w:hAnsi="Times New Roman" w:eastAsia="Times New Roman" w:cs="Times New Roman"/>
          <w:spacing w:val="-17"/>
          <w:position w:val="4"/>
          <w:sz w:val="23"/>
          <w:szCs w:val="23"/>
        </w:rPr>
        <w:t>10</w:t>
      </w:r>
      <w:r>
        <w:rPr>
          <w:rFonts w:ascii="Times New Roman" w:hAnsi="Times New Roman" w:eastAsia="Times New Roman" w:cs="Times New Roman"/>
          <w:spacing w:val="2"/>
          <w:position w:val="14"/>
          <w:sz w:val="13"/>
          <w:szCs w:val="13"/>
        </w:rPr>
        <w:t>0.</w:t>
      </w:r>
      <w:r>
        <w:rPr>
          <w:rFonts w:ascii="Times New Roman" w:hAnsi="Times New Roman" w:eastAsia="Times New Roman" w:cs="Times New Roman"/>
          <w:spacing w:val="-16"/>
          <w:position w:val="14"/>
          <w:sz w:val="13"/>
          <w:szCs w:val="13"/>
        </w:rPr>
        <w:t xml:space="preserve"> </w:t>
      </w:r>
      <w:r>
        <w:rPr>
          <w:rFonts w:ascii="Times New Roman" w:hAnsi="Times New Roman" w:eastAsia="Times New Roman" w:cs="Times New Roman"/>
          <w:spacing w:val="2"/>
          <w:position w:val="14"/>
          <w:sz w:val="13"/>
          <w:szCs w:val="13"/>
        </w:rPr>
        <w:t>1</w:t>
      </w:r>
      <w:r>
        <w:rPr>
          <w:rFonts w:ascii="Times New Roman" w:hAnsi="Times New Roman" w:eastAsia="Times New Roman" w:cs="Times New Roman"/>
          <w:position w:val="14"/>
          <w:sz w:val="13"/>
          <w:szCs w:val="13"/>
        </w:rPr>
        <w:t>Leq</w:t>
      </w:r>
      <w:r>
        <w:rPr>
          <w:spacing w:val="2"/>
          <w:position w:val="14"/>
          <w:sz w:val="18"/>
          <w:szCs w:val="18"/>
        </w:rPr>
        <w:t>(</w:t>
      </w:r>
      <w:r>
        <w:rPr>
          <w:rFonts w:ascii="Times New Roman" w:hAnsi="Times New Roman" w:eastAsia="Times New Roman" w:cs="Times New Roman"/>
          <w:spacing w:val="2"/>
          <w:position w:val="14"/>
          <w:sz w:val="13"/>
          <w:szCs w:val="13"/>
        </w:rPr>
        <w:t>h</w:t>
      </w:r>
      <w:r>
        <w:rPr>
          <w:rFonts w:ascii="Times New Roman" w:hAnsi="Times New Roman" w:eastAsia="Times New Roman" w:cs="Times New Roman"/>
          <w:spacing w:val="-10"/>
          <w:position w:val="14"/>
          <w:sz w:val="13"/>
          <w:szCs w:val="13"/>
        </w:rPr>
        <w:t xml:space="preserve"> </w:t>
      </w:r>
      <w:r>
        <w:rPr>
          <w:spacing w:val="2"/>
          <w:position w:val="14"/>
          <w:sz w:val="18"/>
          <w:szCs w:val="18"/>
        </w:rPr>
        <w:t>)</w:t>
      </w:r>
      <w:r>
        <w:rPr>
          <w:rFonts w:ascii="宋体" w:hAnsi="宋体" w:eastAsia="宋体" w:cs="宋体"/>
          <w:spacing w:val="2"/>
          <w:position w:val="14"/>
          <w:sz w:val="13"/>
          <w:szCs w:val="13"/>
        </w:rPr>
        <w:t xml:space="preserve">大 </w:t>
      </w:r>
      <w:r>
        <w:rPr>
          <w:spacing w:val="2"/>
          <w:position w:val="4"/>
          <w:sz w:val="23"/>
          <w:szCs w:val="23"/>
        </w:rPr>
        <w:t>+</w:t>
      </w:r>
      <w:r>
        <w:rPr>
          <w:rFonts w:ascii="Times New Roman" w:hAnsi="Times New Roman" w:eastAsia="Times New Roman" w:cs="Times New Roman"/>
          <w:spacing w:val="2"/>
          <w:position w:val="4"/>
          <w:sz w:val="23"/>
          <w:szCs w:val="23"/>
        </w:rPr>
        <w:t>10</w:t>
      </w:r>
      <w:r>
        <w:rPr>
          <w:rFonts w:ascii="Times New Roman" w:hAnsi="Times New Roman" w:eastAsia="Times New Roman" w:cs="Times New Roman"/>
          <w:spacing w:val="2"/>
          <w:position w:val="14"/>
          <w:sz w:val="13"/>
          <w:szCs w:val="13"/>
        </w:rPr>
        <w:t>0.</w:t>
      </w:r>
      <w:r>
        <w:rPr>
          <w:rFonts w:ascii="Times New Roman" w:hAnsi="Times New Roman" w:eastAsia="Times New Roman" w:cs="Times New Roman"/>
          <w:spacing w:val="-17"/>
          <w:position w:val="14"/>
          <w:sz w:val="13"/>
          <w:szCs w:val="13"/>
        </w:rPr>
        <w:t xml:space="preserve"> </w:t>
      </w:r>
      <w:r>
        <w:rPr>
          <w:rFonts w:ascii="Times New Roman" w:hAnsi="Times New Roman" w:eastAsia="Times New Roman" w:cs="Times New Roman"/>
          <w:spacing w:val="2"/>
          <w:position w:val="14"/>
          <w:sz w:val="13"/>
          <w:szCs w:val="13"/>
        </w:rPr>
        <w:t>1</w:t>
      </w:r>
      <w:r>
        <w:rPr>
          <w:rFonts w:ascii="Times New Roman" w:hAnsi="Times New Roman" w:eastAsia="Times New Roman" w:cs="Times New Roman"/>
          <w:position w:val="14"/>
          <w:sz w:val="13"/>
          <w:szCs w:val="13"/>
        </w:rPr>
        <w:t>Leq</w:t>
      </w:r>
      <w:r>
        <w:rPr>
          <w:spacing w:val="2"/>
          <w:position w:val="14"/>
          <w:sz w:val="18"/>
          <w:szCs w:val="18"/>
        </w:rPr>
        <w:t>(</w:t>
      </w:r>
      <w:r>
        <w:rPr>
          <w:rFonts w:ascii="Times New Roman" w:hAnsi="Times New Roman" w:eastAsia="Times New Roman" w:cs="Times New Roman"/>
          <w:spacing w:val="2"/>
          <w:position w:val="14"/>
          <w:sz w:val="13"/>
          <w:szCs w:val="13"/>
        </w:rPr>
        <w:t>h</w:t>
      </w:r>
      <w:r>
        <w:rPr>
          <w:rFonts w:ascii="Times New Roman" w:hAnsi="Times New Roman" w:eastAsia="Times New Roman" w:cs="Times New Roman"/>
          <w:spacing w:val="-10"/>
          <w:position w:val="14"/>
          <w:sz w:val="13"/>
          <w:szCs w:val="13"/>
        </w:rPr>
        <w:t xml:space="preserve"> </w:t>
      </w:r>
      <w:r>
        <w:rPr>
          <w:spacing w:val="2"/>
          <w:position w:val="14"/>
          <w:sz w:val="18"/>
          <w:szCs w:val="18"/>
        </w:rPr>
        <w:t>)</w:t>
      </w:r>
      <w:r>
        <w:rPr>
          <w:rFonts w:ascii="宋体" w:hAnsi="宋体" w:eastAsia="宋体" w:cs="宋体"/>
          <w:spacing w:val="2"/>
          <w:position w:val="14"/>
          <w:sz w:val="13"/>
          <w:szCs w:val="13"/>
        </w:rPr>
        <w:t xml:space="preserve">中 </w:t>
      </w:r>
      <w:r>
        <w:rPr>
          <w:spacing w:val="2"/>
          <w:position w:val="4"/>
          <w:sz w:val="23"/>
          <w:szCs w:val="23"/>
        </w:rPr>
        <w:t>+</w:t>
      </w:r>
      <w:r>
        <w:rPr>
          <w:rFonts w:ascii="Times New Roman" w:hAnsi="Times New Roman" w:eastAsia="Times New Roman" w:cs="Times New Roman"/>
          <w:spacing w:val="2"/>
          <w:position w:val="4"/>
          <w:sz w:val="23"/>
          <w:szCs w:val="23"/>
        </w:rPr>
        <w:t>10</w:t>
      </w:r>
      <w:r>
        <w:rPr>
          <w:rFonts w:ascii="Times New Roman" w:hAnsi="Times New Roman" w:eastAsia="Times New Roman" w:cs="Times New Roman"/>
          <w:spacing w:val="2"/>
          <w:position w:val="14"/>
          <w:sz w:val="13"/>
          <w:szCs w:val="13"/>
        </w:rPr>
        <w:t>0.</w:t>
      </w:r>
      <w:r>
        <w:rPr>
          <w:rFonts w:ascii="Times New Roman" w:hAnsi="Times New Roman" w:eastAsia="Times New Roman" w:cs="Times New Roman"/>
          <w:spacing w:val="-16"/>
          <w:position w:val="14"/>
          <w:sz w:val="13"/>
          <w:szCs w:val="13"/>
        </w:rPr>
        <w:t xml:space="preserve"> </w:t>
      </w:r>
      <w:r>
        <w:rPr>
          <w:rFonts w:ascii="Times New Roman" w:hAnsi="Times New Roman" w:eastAsia="Times New Roman" w:cs="Times New Roman"/>
          <w:spacing w:val="2"/>
          <w:position w:val="14"/>
          <w:sz w:val="13"/>
          <w:szCs w:val="13"/>
        </w:rPr>
        <w:t>1</w:t>
      </w:r>
      <w:r>
        <w:rPr>
          <w:rFonts w:ascii="Times New Roman" w:hAnsi="Times New Roman" w:eastAsia="Times New Roman" w:cs="Times New Roman"/>
          <w:position w:val="14"/>
          <w:sz w:val="13"/>
          <w:szCs w:val="13"/>
        </w:rPr>
        <w:t>Leq</w:t>
      </w:r>
      <w:r>
        <w:rPr>
          <w:spacing w:val="2"/>
          <w:position w:val="14"/>
          <w:sz w:val="18"/>
          <w:szCs w:val="18"/>
        </w:rPr>
        <w:t>(</w:t>
      </w:r>
      <w:r>
        <w:rPr>
          <w:rFonts w:ascii="Times New Roman" w:hAnsi="Times New Roman" w:eastAsia="Times New Roman" w:cs="Times New Roman"/>
          <w:spacing w:val="2"/>
          <w:position w:val="14"/>
          <w:sz w:val="13"/>
          <w:szCs w:val="13"/>
        </w:rPr>
        <w:t>h</w:t>
      </w:r>
      <w:r>
        <w:rPr>
          <w:rFonts w:ascii="Times New Roman" w:hAnsi="Times New Roman" w:eastAsia="Times New Roman" w:cs="Times New Roman"/>
          <w:spacing w:val="-10"/>
          <w:position w:val="14"/>
          <w:sz w:val="13"/>
          <w:szCs w:val="13"/>
        </w:rPr>
        <w:t xml:space="preserve"> </w:t>
      </w:r>
      <w:r>
        <w:rPr>
          <w:spacing w:val="2"/>
          <w:position w:val="14"/>
          <w:sz w:val="18"/>
          <w:szCs w:val="18"/>
        </w:rPr>
        <w:t>)</w:t>
      </w:r>
      <w:r>
        <w:rPr>
          <w:rFonts w:ascii="宋体" w:hAnsi="宋体" w:eastAsia="宋体" w:cs="宋体"/>
          <w:spacing w:val="2"/>
          <w:position w:val="5"/>
          <w:sz w:val="13"/>
          <w:szCs w:val="13"/>
        </w:rPr>
        <w:t>小</w:t>
      </w:r>
      <w:r>
        <w:rPr>
          <w:rFonts w:ascii="宋体" w:hAnsi="宋体" w:eastAsia="宋体" w:cs="宋体"/>
          <w:spacing w:val="-29"/>
          <w:position w:val="5"/>
          <w:sz w:val="13"/>
          <w:szCs w:val="13"/>
        </w:rPr>
        <w:t xml:space="preserve"> </w:t>
      </w:r>
      <w:r>
        <w:rPr>
          <w:spacing w:val="2"/>
          <w:position w:val="5"/>
          <w:sz w:val="40"/>
          <w:szCs w:val="40"/>
        </w:rPr>
        <w:t>)</w:t>
      </w:r>
    </w:p>
    <w:p w14:paraId="572BA763">
      <w:pPr>
        <w:spacing w:before="265" w:line="222" w:lineRule="auto"/>
        <w:ind w:left="515"/>
        <w:rPr>
          <w:rFonts w:ascii="仿宋" w:hAnsi="仿宋" w:eastAsia="仿宋" w:cs="仿宋"/>
          <w:sz w:val="24"/>
          <w:szCs w:val="24"/>
        </w:rPr>
      </w:pPr>
      <w:r>
        <w:rPr>
          <w:rFonts w:ascii="仿宋" w:hAnsi="仿宋" w:eastAsia="仿宋" w:cs="仿宋"/>
          <w:spacing w:val="-8"/>
          <w:sz w:val="24"/>
          <w:szCs w:val="24"/>
        </w:rPr>
        <w:t>式中：</w:t>
      </w:r>
    </w:p>
    <w:p w14:paraId="093BB051">
      <w:pPr>
        <w:spacing w:before="178" w:line="354" w:lineRule="auto"/>
        <w:ind w:left="52" w:right="13" w:firstLine="1166"/>
        <w:rPr>
          <w:rFonts w:ascii="仿宋" w:hAnsi="仿宋" w:eastAsia="仿宋" w:cs="仿宋"/>
          <w:sz w:val="24"/>
          <w:szCs w:val="24"/>
        </w:rPr>
      </w:pPr>
      <w:r>
        <w:rPr>
          <w:rFonts w:ascii="Times New Roman" w:hAnsi="Times New Roman" w:eastAsia="Times New Roman" w:cs="Times New Roman"/>
          <w:sz w:val="24"/>
          <w:szCs w:val="24"/>
        </w:rPr>
        <w:t>L</w:t>
      </w:r>
      <w:r>
        <w:rPr>
          <w:rFonts w:ascii="Times New Roman" w:hAnsi="Times New Roman" w:eastAsia="Times New Roman" w:cs="Times New Roman"/>
          <w:position w:val="-1"/>
          <w:sz w:val="15"/>
          <w:szCs w:val="15"/>
        </w:rPr>
        <w:t>eq</w:t>
      </w:r>
      <w:r>
        <w:rPr>
          <w:rFonts w:ascii="仿宋" w:hAnsi="仿宋" w:eastAsia="仿宋" w:cs="仿宋"/>
          <w:sz w:val="24"/>
          <w:szCs w:val="24"/>
        </w:rPr>
        <w:t>（</w:t>
      </w:r>
      <w:r>
        <w:rPr>
          <w:rFonts w:ascii="Times New Roman" w:hAnsi="Times New Roman" w:eastAsia="Times New Roman" w:cs="Times New Roman"/>
          <w:sz w:val="24"/>
          <w:szCs w:val="24"/>
        </w:rPr>
        <w:t>h</w:t>
      </w:r>
      <w:r>
        <w:rPr>
          <w:rFonts w:ascii="仿宋" w:hAnsi="仿宋" w:eastAsia="仿宋" w:cs="仿宋"/>
          <w:sz w:val="24"/>
          <w:szCs w:val="24"/>
        </w:rPr>
        <w:t>）大、</w:t>
      </w:r>
      <w:r>
        <w:rPr>
          <w:rFonts w:ascii="Times New Roman" w:hAnsi="Times New Roman" w:eastAsia="Times New Roman" w:cs="Times New Roman"/>
          <w:sz w:val="24"/>
          <w:szCs w:val="24"/>
        </w:rPr>
        <w:t>L</w:t>
      </w:r>
      <w:r>
        <w:rPr>
          <w:rFonts w:ascii="Times New Roman" w:hAnsi="Times New Roman" w:eastAsia="Times New Roman" w:cs="Times New Roman"/>
          <w:position w:val="-1"/>
          <w:sz w:val="15"/>
          <w:szCs w:val="15"/>
        </w:rPr>
        <w:t>eq</w:t>
      </w:r>
      <w:r>
        <w:rPr>
          <w:rFonts w:ascii="仿宋" w:hAnsi="仿宋" w:eastAsia="仿宋" w:cs="仿宋"/>
          <w:sz w:val="24"/>
          <w:szCs w:val="24"/>
        </w:rPr>
        <w:t>（</w:t>
      </w:r>
      <w:r>
        <w:rPr>
          <w:rFonts w:ascii="Times New Roman" w:hAnsi="Times New Roman" w:eastAsia="Times New Roman" w:cs="Times New Roman"/>
          <w:sz w:val="24"/>
          <w:szCs w:val="24"/>
        </w:rPr>
        <w:t>h</w:t>
      </w:r>
      <w:r>
        <w:rPr>
          <w:rFonts w:ascii="仿宋" w:hAnsi="仿宋" w:eastAsia="仿宋" w:cs="仿宋"/>
          <w:sz w:val="24"/>
          <w:szCs w:val="24"/>
        </w:rPr>
        <w:t>）</w:t>
      </w:r>
      <w:r>
        <w:rPr>
          <w:rFonts w:ascii="仿宋" w:hAnsi="仿宋" w:eastAsia="仿宋" w:cs="仿宋"/>
          <w:spacing w:val="-56"/>
          <w:sz w:val="24"/>
          <w:szCs w:val="24"/>
        </w:rPr>
        <w:t xml:space="preserve"> </w:t>
      </w:r>
      <w:r>
        <w:rPr>
          <w:rFonts w:ascii="仿宋" w:hAnsi="仿宋" w:eastAsia="仿宋" w:cs="仿宋"/>
          <w:sz w:val="24"/>
          <w:szCs w:val="24"/>
        </w:rPr>
        <w:t>中、</w:t>
      </w:r>
      <w:r>
        <w:rPr>
          <w:rFonts w:ascii="Times New Roman" w:hAnsi="Times New Roman" w:eastAsia="Times New Roman" w:cs="Times New Roman"/>
          <w:sz w:val="24"/>
          <w:szCs w:val="24"/>
        </w:rPr>
        <w:t>L</w:t>
      </w:r>
      <w:r>
        <w:rPr>
          <w:rFonts w:ascii="Times New Roman" w:hAnsi="Times New Roman" w:eastAsia="Times New Roman" w:cs="Times New Roman"/>
          <w:position w:val="-1"/>
          <w:sz w:val="15"/>
          <w:szCs w:val="15"/>
        </w:rPr>
        <w:t>eq</w:t>
      </w:r>
      <w:r>
        <w:rPr>
          <w:rFonts w:ascii="仿宋" w:hAnsi="仿宋" w:eastAsia="仿宋" w:cs="仿宋"/>
          <w:sz w:val="24"/>
          <w:szCs w:val="24"/>
        </w:rPr>
        <w:t>（</w:t>
      </w:r>
      <w:r>
        <w:rPr>
          <w:rFonts w:ascii="Times New Roman" w:hAnsi="Times New Roman" w:eastAsia="Times New Roman" w:cs="Times New Roman"/>
          <w:sz w:val="24"/>
          <w:szCs w:val="24"/>
        </w:rPr>
        <w:t>h</w:t>
      </w:r>
      <w:r>
        <w:rPr>
          <w:rFonts w:ascii="仿宋" w:hAnsi="仿宋" w:eastAsia="仿宋" w:cs="仿宋"/>
          <w:sz w:val="24"/>
          <w:szCs w:val="24"/>
        </w:rPr>
        <w:t>）小</w:t>
      </w:r>
      <w:r>
        <w:rPr>
          <w:rFonts w:ascii="Times New Roman" w:hAnsi="Times New Roman" w:eastAsia="Times New Roman" w:cs="Times New Roman"/>
          <w:sz w:val="24"/>
          <w:szCs w:val="24"/>
        </w:rPr>
        <w:t>——</w:t>
      </w:r>
      <w:r>
        <w:rPr>
          <w:rFonts w:ascii="仿宋" w:hAnsi="仿宋" w:eastAsia="仿宋" w:cs="仿宋"/>
          <w:sz w:val="24"/>
          <w:szCs w:val="24"/>
        </w:rPr>
        <w:t>分别为大、</w:t>
      </w:r>
      <w:r>
        <w:rPr>
          <w:rFonts w:ascii="仿宋" w:hAnsi="仿宋" w:eastAsia="仿宋" w:cs="仿宋"/>
          <w:spacing w:val="-68"/>
          <w:sz w:val="24"/>
          <w:szCs w:val="24"/>
        </w:rPr>
        <w:t xml:space="preserve"> </w:t>
      </w:r>
      <w:r>
        <w:rPr>
          <w:rFonts w:ascii="仿宋" w:hAnsi="仿宋" w:eastAsia="仿宋" w:cs="仿宋"/>
          <w:sz w:val="24"/>
          <w:szCs w:val="24"/>
        </w:rPr>
        <w:t>中、小型车昼</w:t>
      </w:r>
      <w:r>
        <w:rPr>
          <w:rFonts w:ascii="仿宋" w:hAnsi="仿宋" w:eastAsia="仿宋" w:cs="仿宋"/>
          <w:spacing w:val="-2"/>
          <w:sz w:val="24"/>
          <w:szCs w:val="24"/>
        </w:rPr>
        <w:t>间或夜间，预测点接收到的交通噪声值，</w:t>
      </w:r>
      <w:r>
        <w:rPr>
          <w:rFonts w:ascii="Times New Roman" w:hAnsi="Times New Roman" w:eastAsia="Times New Roman" w:cs="Times New Roman"/>
          <w:spacing w:val="-2"/>
          <w:sz w:val="24"/>
          <w:szCs w:val="24"/>
        </w:rPr>
        <w:t>dB</w:t>
      </w:r>
      <w:r>
        <w:rPr>
          <w:rFonts w:ascii="仿宋" w:hAnsi="仿宋" w:eastAsia="仿宋" w:cs="仿宋"/>
          <w:spacing w:val="-2"/>
          <w:sz w:val="24"/>
          <w:szCs w:val="24"/>
        </w:rPr>
        <w:t>（</w:t>
      </w:r>
      <w:r>
        <w:rPr>
          <w:rFonts w:ascii="Times New Roman" w:hAnsi="Times New Roman" w:eastAsia="Times New Roman" w:cs="Times New Roman"/>
          <w:spacing w:val="-2"/>
          <w:sz w:val="24"/>
          <w:szCs w:val="24"/>
        </w:rPr>
        <w:t>A</w:t>
      </w:r>
      <w:r>
        <w:rPr>
          <w:rFonts w:ascii="仿宋" w:hAnsi="仿宋" w:eastAsia="仿宋" w:cs="仿宋"/>
          <w:spacing w:val="2"/>
          <w:sz w:val="24"/>
          <w:szCs w:val="24"/>
        </w:rPr>
        <w:t>）；</w:t>
      </w:r>
    </w:p>
    <w:p w14:paraId="747E6D7C">
      <w:pPr>
        <w:spacing w:before="17" w:line="220" w:lineRule="auto"/>
        <w:ind w:left="1218"/>
        <w:rPr>
          <w:rFonts w:ascii="仿宋" w:hAnsi="仿宋" w:eastAsia="仿宋" w:cs="仿宋"/>
          <w:sz w:val="24"/>
          <w:szCs w:val="24"/>
        </w:rPr>
      </w:pPr>
      <w:r>
        <w:rPr>
          <w:rFonts w:ascii="Times New Roman" w:hAnsi="Times New Roman" w:eastAsia="Times New Roman" w:cs="Times New Roman"/>
          <w:sz w:val="24"/>
          <w:szCs w:val="24"/>
        </w:rPr>
        <w:t>L</w:t>
      </w:r>
      <w:r>
        <w:rPr>
          <w:rFonts w:ascii="Times New Roman" w:hAnsi="Times New Roman" w:eastAsia="Times New Roman" w:cs="Times New Roman"/>
          <w:position w:val="-1"/>
          <w:sz w:val="15"/>
          <w:szCs w:val="15"/>
        </w:rPr>
        <w:t>eq</w:t>
      </w:r>
      <w:r>
        <w:rPr>
          <w:rFonts w:ascii="仿宋" w:hAnsi="仿宋" w:eastAsia="仿宋" w:cs="仿宋"/>
          <w:spacing w:val="-1"/>
          <w:sz w:val="24"/>
          <w:szCs w:val="24"/>
        </w:rPr>
        <w:t>（</w:t>
      </w:r>
      <w:r>
        <w:rPr>
          <w:rFonts w:ascii="Times New Roman" w:hAnsi="Times New Roman" w:eastAsia="Times New Roman" w:cs="Times New Roman"/>
          <w:spacing w:val="-1"/>
          <w:sz w:val="24"/>
          <w:szCs w:val="24"/>
        </w:rPr>
        <w:t>T</w:t>
      </w:r>
      <w:r>
        <w:rPr>
          <w:rFonts w:ascii="仿宋" w:hAnsi="仿宋" w:eastAsia="仿宋" w:cs="仿宋"/>
          <w:spacing w:val="-1"/>
          <w:sz w:val="24"/>
          <w:szCs w:val="24"/>
        </w:rPr>
        <w:t>）</w:t>
      </w:r>
      <w:r>
        <w:rPr>
          <w:rFonts w:ascii="Times New Roman" w:hAnsi="Times New Roman" w:eastAsia="Times New Roman" w:cs="Times New Roman"/>
          <w:spacing w:val="-1"/>
          <w:sz w:val="24"/>
          <w:szCs w:val="24"/>
        </w:rPr>
        <w:t>——</w:t>
      </w:r>
      <w:r>
        <w:rPr>
          <w:rFonts w:ascii="仿宋" w:hAnsi="仿宋" w:eastAsia="仿宋" w:cs="仿宋"/>
          <w:spacing w:val="-1"/>
          <w:sz w:val="24"/>
          <w:szCs w:val="24"/>
        </w:rPr>
        <w:t>总车流等效声级，</w:t>
      </w:r>
      <w:r>
        <w:rPr>
          <w:rFonts w:ascii="Times New Roman" w:hAnsi="Times New Roman" w:eastAsia="Times New Roman" w:cs="Times New Roman"/>
          <w:spacing w:val="-1"/>
          <w:sz w:val="24"/>
          <w:szCs w:val="24"/>
        </w:rPr>
        <w:t>dB</w:t>
      </w:r>
      <w:r>
        <w:rPr>
          <w:rFonts w:ascii="仿宋" w:hAnsi="仿宋" w:eastAsia="仿宋" w:cs="仿宋"/>
          <w:spacing w:val="-1"/>
          <w:sz w:val="24"/>
          <w:szCs w:val="24"/>
        </w:rPr>
        <w:t>（</w:t>
      </w:r>
      <w:r>
        <w:rPr>
          <w:rFonts w:ascii="Times New Roman" w:hAnsi="Times New Roman" w:eastAsia="Times New Roman" w:cs="Times New Roman"/>
          <w:spacing w:val="-1"/>
          <w:sz w:val="24"/>
          <w:szCs w:val="24"/>
        </w:rPr>
        <w:t>A</w:t>
      </w:r>
      <w:r>
        <w:rPr>
          <w:rFonts w:ascii="仿宋" w:hAnsi="仿宋" w:eastAsia="仿宋" w:cs="仿宋"/>
          <w:spacing w:val="-1"/>
          <w:sz w:val="24"/>
          <w:szCs w:val="24"/>
        </w:rPr>
        <w:t>）。</w:t>
      </w:r>
    </w:p>
    <w:p w14:paraId="704273C5">
      <w:pPr>
        <w:spacing w:before="182" w:line="161" w:lineRule="auto"/>
        <w:ind w:left="514"/>
        <w:rPr>
          <w:rFonts w:ascii="仿宋" w:hAnsi="仿宋" w:eastAsia="仿宋" w:cs="仿宋"/>
          <w:sz w:val="24"/>
          <w:szCs w:val="24"/>
        </w:rPr>
      </w:pPr>
      <w:r>
        <w:rPr>
          <w:rFonts w:ascii="仿宋" w:hAnsi="仿宋" w:eastAsia="仿宋" w:cs="仿宋"/>
          <w:spacing w:val="-3"/>
          <w:sz w:val="24"/>
          <w:szCs w:val="24"/>
        </w:rPr>
        <w:t>（</w:t>
      </w:r>
      <w:r>
        <w:rPr>
          <w:rFonts w:ascii="Times New Roman" w:hAnsi="Times New Roman" w:eastAsia="Times New Roman" w:cs="Times New Roman"/>
          <w:spacing w:val="-3"/>
          <w:sz w:val="24"/>
          <w:szCs w:val="24"/>
        </w:rPr>
        <w:t>3</w:t>
      </w:r>
      <w:r>
        <w:rPr>
          <w:rFonts w:ascii="仿宋" w:hAnsi="仿宋" w:eastAsia="仿宋" w:cs="仿宋"/>
          <w:spacing w:val="-3"/>
          <w:sz w:val="24"/>
          <w:szCs w:val="24"/>
        </w:rPr>
        <w:t>）噪声贡献值</w:t>
      </w:r>
    </w:p>
    <w:p w14:paraId="37BF6B81">
      <w:pPr>
        <w:pStyle w:val="2"/>
        <w:spacing w:before="1" w:line="197" w:lineRule="auto"/>
        <w:ind w:left="2258"/>
        <w:rPr>
          <w:sz w:val="47"/>
          <w:szCs w:val="47"/>
        </w:rPr>
      </w:pPr>
      <w:r>
        <w:rPr>
          <w:rFonts w:ascii="Times New Roman" w:hAnsi="Times New Roman" w:eastAsia="Times New Roman" w:cs="Times New Roman"/>
          <w:spacing w:val="-4"/>
          <w:position w:val="-1"/>
          <w:sz w:val="23"/>
          <w:szCs w:val="23"/>
        </w:rPr>
        <w:t>L</w:t>
      </w:r>
      <w:r>
        <w:rPr>
          <w:rFonts w:ascii="Times New Roman" w:hAnsi="Times New Roman" w:eastAsia="Times New Roman" w:cs="Times New Roman"/>
          <w:spacing w:val="-4"/>
          <w:position w:val="-7"/>
          <w:sz w:val="15"/>
          <w:szCs w:val="15"/>
        </w:rPr>
        <w:t>Aeqg</w:t>
      </w:r>
      <w:r>
        <w:rPr>
          <w:rFonts w:ascii="Times New Roman" w:hAnsi="Times New Roman" w:eastAsia="Times New Roman" w:cs="Times New Roman"/>
          <w:spacing w:val="6"/>
          <w:position w:val="-7"/>
          <w:sz w:val="15"/>
          <w:szCs w:val="15"/>
        </w:rPr>
        <w:t xml:space="preserve">  </w:t>
      </w:r>
      <w:r>
        <w:rPr>
          <w:spacing w:val="-4"/>
          <w:position w:val="-1"/>
          <w:sz w:val="23"/>
          <w:szCs w:val="23"/>
        </w:rPr>
        <w:t xml:space="preserve">= </w:t>
      </w:r>
      <w:r>
        <w:rPr>
          <w:rFonts w:ascii="Times New Roman" w:hAnsi="Times New Roman" w:eastAsia="Times New Roman" w:cs="Times New Roman"/>
          <w:spacing w:val="-4"/>
          <w:position w:val="-1"/>
          <w:sz w:val="23"/>
          <w:szCs w:val="23"/>
        </w:rPr>
        <w:t>10lg</w:t>
      </w:r>
      <w:r>
        <w:rPr>
          <w:spacing w:val="-11"/>
          <w:w w:val="76"/>
          <w:sz w:val="47"/>
          <w:szCs w:val="47"/>
        </w:rPr>
        <w:t>[</w:t>
      </w:r>
      <w:r>
        <w:rPr>
          <w:rFonts w:ascii="Times New Roman" w:hAnsi="Times New Roman" w:eastAsia="Times New Roman" w:cs="Times New Roman"/>
          <w:spacing w:val="-22"/>
          <w:sz w:val="23"/>
          <w:szCs w:val="23"/>
        </w:rPr>
        <w:t>10</w:t>
      </w:r>
      <w:r>
        <w:rPr>
          <w:rFonts w:ascii="Times New Roman" w:hAnsi="Times New Roman" w:eastAsia="Times New Roman" w:cs="Times New Roman"/>
          <w:spacing w:val="1"/>
          <w:position w:val="13"/>
          <w:sz w:val="15"/>
          <w:szCs w:val="15"/>
        </w:rPr>
        <w:t>0.1</w:t>
      </w:r>
      <w:r>
        <w:rPr>
          <w:rFonts w:ascii="Times New Roman" w:hAnsi="Times New Roman" w:eastAsia="Times New Roman" w:cs="Times New Roman"/>
          <w:position w:val="8"/>
          <w:sz w:val="10"/>
          <w:szCs w:val="10"/>
        </w:rPr>
        <w:t>LAeql</w:t>
      </w:r>
      <w:r>
        <w:rPr>
          <w:rFonts w:ascii="Times New Roman" w:hAnsi="Times New Roman" w:eastAsia="Times New Roman" w:cs="Times New Roman"/>
          <w:spacing w:val="1"/>
          <w:position w:val="8"/>
          <w:sz w:val="10"/>
          <w:szCs w:val="10"/>
        </w:rPr>
        <w:t xml:space="preserve">   </w:t>
      </w:r>
      <w:r>
        <w:rPr>
          <w:spacing w:val="1"/>
          <w:position w:val="-1"/>
          <w:sz w:val="23"/>
          <w:szCs w:val="23"/>
        </w:rPr>
        <w:t>+</w:t>
      </w:r>
      <w:r>
        <w:rPr>
          <w:rFonts w:ascii="Times New Roman" w:hAnsi="Times New Roman" w:eastAsia="Times New Roman" w:cs="Times New Roman"/>
          <w:spacing w:val="1"/>
          <w:position w:val="-1"/>
          <w:sz w:val="23"/>
          <w:szCs w:val="23"/>
        </w:rPr>
        <w:t>10</w:t>
      </w:r>
      <w:r>
        <w:rPr>
          <w:rFonts w:ascii="Times New Roman" w:hAnsi="Times New Roman" w:eastAsia="Times New Roman" w:cs="Times New Roman"/>
          <w:spacing w:val="1"/>
          <w:position w:val="12"/>
          <w:sz w:val="15"/>
          <w:szCs w:val="15"/>
        </w:rPr>
        <w:t>0.</w:t>
      </w:r>
      <w:r>
        <w:rPr>
          <w:rFonts w:ascii="Times New Roman" w:hAnsi="Times New Roman" w:eastAsia="Times New Roman" w:cs="Times New Roman"/>
          <w:spacing w:val="-21"/>
          <w:position w:val="12"/>
          <w:sz w:val="15"/>
          <w:szCs w:val="15"/>
        </w:rPr>
        <w:t xml:space="preserve"> </w:t>
      </w:r>
      <w:r>
        <w:rPr>
          <w:rFonts w:ascii="Times New Roman" w:hAnsi="Times New Roman" w:eastAsia="Times New Roman" w:cs="Times New Roman"/>
          <w:spacing w:val="1"/>
          <w:position w:val="12"/>
          <w:sz w:val="15"/>
          <w:szCs w:val="15"/>
        </w:rPr>
        <w:t>1</w:t>
      </w:r>
      <w:r>
        <w:rPr>
          <w:rFonts w:ascii="Times New Roman" w:hAnsi="Times New Roman" w:eastAsia="Times New Roman" w:cs="Times New Roman"/>
          <w:position w:val="12"/>
          <w:sz w:val="15"/>
          <w:szCs w:val="15"/>
        </w:rPr>
        <w:t>L</w:t>
      </w:r>
      <w:r>
        <w:rPr>
          <w:rFonts w:ascii="Times New Roman" w:hAnsi="Times New Roman" w:eastAsia="Times New Roman" w:cs="Times New Roman"/>
          <w:position w:val="8"/>
          <w:sz w:val="10"/>
          <w:szCs w:val="10"/>
        </w:rPr>
        <w:t>Aeqm</w:t>
      </w:r>
      <w:r>
        <w:rPr>
          <w:rFonts w:ascii="Times New Roman" w:hAnsi="Times New Roman" w:eastAsia="Times New Roman" w:cs="Times New Roman"/>
          <w:spacing w:val="3"/>
          <w:position w:val="8"/>
          <w:sz w:val="10"/>
          <w:szCs w:val="10"/>
        </w:rPr>
        <w:t xml:space="preserve">   </w:t>
      </w:r>
      <w:r>
        <w:rPr>
          <w:spacing w:val="1"/>
          <w:position w:val="-1"/>
          <w:sz w:val="23"/>
          <w:szCs w:val="23"/>
        </w:rPr>
        <w:t>+</w:t>
      </w:r>
      <w:r>
        <w:rPr>
          <w:rFonts w:ascii="Times New Roman" w:hAnsi="Times New Roman" w:eastAsia="Times New Roman" w:cs="Times New Roman"/>
          <w:spacing w:val="1"/>
          <w:position w:val="-1"/>
          <w:sz w:val="23"/>
          <w:szCs w:val="23"/>
        </w:rPr>
        <w:t>10</w:t>
      </w:r>
      <w:r>
        <w:rPr>
          <w:rFonts w:ascii="Times New Roman" w:hAnsi="Times New Roman" w:eastAsia="Times New Roman" w:cs="Times New Roman"/>
          <w:spacing w:val="1"/>
          <w:position w:val="12"/>
          <w:sz w:val="15"/>
          <w:szCs w:val="15"/>
        </w:rPr>
        <w:t>0.1</w:t>
      </w:r>
      <w:r>
        <w:rPr>
          <w:rFonts w:ascii="Times New Roman" w:hAnsi="Times New Roman" w:eastAsia="Times New Roman" w:cs="Times New Roman"/>
          <w:spacing w:val="-5"/>
          <w:w w:val="18"/>
          <w:sz w:val="58"/>
          <w:szCs w:val="58"/>
        </w:rPr>
        <w:t>LAeqs</w:t>
      </w:r>
      <w:r>
        <w:rPr>
          <w:spacing w:val="14"/>
          <w:sz w:val="47"/>
          <w:szCs w:val="47"/>
        </w:rPr>
        <w:t>]</w:t>
      </w:r>
    </w:p>
    <w:p w14:paraId="22988DC0">
      <w:pPr>
        <w:pStyle w:val="2"/>
        <w:spacing w:line="383" w:lineRule="auto"/>
        <w:rPr>
          <w:sz w:val="21"/>
        </w:rPr>
      </w:pPr>
    </w:p>
    <w:p w14:paraId="148920A6">
      <w:pPr>
        <w:spacing w:before="78" w:line="222" w:lineRule="auto"/>
        <w:ind w:left="515"/>
        <w:rPr>
          <w:rFonts w:ascii="仿宋" w:hAnsi="仿宋" w:eastAsia="仿宋" w:cs="仿宋"/>
          <w:sz w:val="24"/>
          <w:szCs w:val="24"/>
        </w:rPr>
      </w:pPr>
      <w:r>
        <w:rPr>
          <w:rFonts w:ascii="仿宋" w:hAnsi="仿宋" w:eastAsia="仿宋" w:cs="仿宋"/>
          <w:spacing w:val="-8"/>
          <w:sz w:val="24"/>
          <w:szCs w:val="24"/>
        </w:rPr>
        <w:t>式中：</w:t>
      </w:r>
    </w:p>
    <w:p w14:paraId="696B3BAE">
      <w:pPr>
        <w:spacing w:before="180" w:line="216" w:lineRule="auto"/>
        <w:ind w:left="1220"/>
        <w:rPr>
          <w:rFonts w:ascii="仿宋" w:hAnsi="仿宋" w:eastAsia="仿宋" w:cs="仿宋"/>
          <w:sz w:val="24"/>
          <w:szCs w:val="24"/>
        </w:rPr>
      </w:pPr>
      <w:r>
        <w:rPr>
          <w:rFonts w:ascii="仿宋" w:hAnsi="仿宋" w:eastAsia="仿宋" w:cs="仿宋"/>
          <w:sz w:val="24"/>
          <w:szCs w:val="24"/>
        </w:rPr>
        <w:t>L</w:t>
      </w:r>
      <w:r>
        <w:rPr>
          <w:rFonts w:ascii="仿宋" w:hAnsi="仿宋" w:eastAsia="仿宋" w:cs="仿宋"/>
          <w:position w:val="-3"/>
          <w:sz w:val="12"/>
          <w:szCs w:val="12"/>
        </w:rPr>
        <w:t>Aeqg</w:t>
      </w:r>
      <w:r>
        <w:rPr>
          <w:rFonts w:ascii="仿宋" w:hAnsi="仿宋" w:eastAsia="仿宋" w:cs="仿宋"/>
          <w:sz w:val="24"/>
          <w:szCs w:val="24"/>
        </w:rPr>
        <w:t>——公路建设项目声源在预测点产生的噪声贡献</w:t>
      </w:r>
      <w:r>
        <w:rPr>
          <w:rFonts w:ascii="仿宋" w:hAnsi="仿宋" w:eastAsia="仿宋" w:cs="仿宋"/>
          <w:spacing w:val="-1"/>
          <w:sz w:val="24"/>
          <w:szCs w:val="24"/>
        </w:rPr>
        <w:t>值，dB(A)；</w:t>
      </w:r>
    </w:p>
    <w:p w14:paraId="4481348E">
      <w:pPr>
        <w:spacing w:before="186" w:line="217" w:lineRule="auto"/>
        <w:ind w:left="1220"/>
        <w:rPr>
          <w:rFonts w:ascii="仿宋" w:hAnsi="仿宋" w:eastAsia="仿宋" w:cs="仿宋"/>
          <w:sz w:val="24"/>
          <w:szCs w:val="24"/>
        </w:rPr>
      </w:pPr>
      <w:r>
        <w:rPr>
          <w:rFonts w:ascii="仿宋" w:hAnsi="仿宋" w:eastAsia="仿宋" w:cs="仿宋"/>
          <w:spacing w:val="-1"/>
          <w:sz w:val="24"/>
          <w:szCs w:val="24"/>
        </w:rPr>
        <w:t>L</w:t>
      </w:r>
      <w:r>
        <w:rPr>
          <w:rFonts w:ascii="仿宋" w:hAnsi="仿宋" w:eastAsia="仿宋" w:cs="仿宋"/>
          <w:spacing w:val="-1"/>
          <w:position w:val="-3"/>
          <w:sz w:val="12"/>
          <w:szCs w:val="12"/>
        </w:rPr>
        <w:t>Aeql</w:t>
      </w:r>
      <w:r>
        <w:rPr>
          <w:rFonts w:ascii="仿宋" w:hAnsi="仿宋" w:eastAsia="仿宋" w:cs="仿宋"/>
          <w:spacing w:val="-1"/>
          <w:sz w:val="24"/>
          <w:szCs w:val="24"/>
        </w:rPr>
        <w:t>——大型车的噪声贡献值，dB(A)；</w:t>
      </w:r>
    </w:p>
    <w:p w14:paraId="6D888906">
      <w:pPr>
        <w:spacing w:before="186" w:line="217" w:lineRule="auto"/>
        <w:ind w:left="1220"/>
        <w:rPr>
          <w:rFonts w:ascii="仿宋" w:hAnsi="仿宋" w:eastAsia="仿宋" w:cs="仿宋"/>
          <w:sz w:val="24"/>
          <w:szCs w:val="24"/>
        </w:rPr>
      </w:pPr>
      <w:r>
        <w:rPr>
          <w:rFonts w:ascii="仿宋" w:hAnsi="仿宋" w:eastAsia="仿宋" w:cs="仿宋"/>
          <w:spacing w:val="-1"/>
          <w:sz w:val="24"/>
          <w:szCs w:val="24"/>
        </w:rPr>
        <w:t>L</w:t>
      </w:r>
      <w:r>
        <w:rPr>
          <w:rFonts w:ascii="仿宋" w:hAnsi="仿宋" w:eastAsia="仿宋" w:cs="仿宋"/>
          <w:spacing w:val="-1"/>
          <w:position w:val="-3"/>
          <w:sz w:val="12"/>
          <w:szCs w:val="12"/>
        </w:rPr>
        <w:t>Aeqm</w:t>
      </w:r>
      <w:r>
        <w:rPr>
          <w:rFonts w:ascii="仿宋" w:hAnsi="仿宋" w:eastAsia="仿宋" w:cs="仿宋"/>
          <w:spacing w:val="-1"/>
          <w:sz w:val="24"/>
          <w:szCs w:val="24"/>
        </w:rPr>
        <w:t>——中型车的噪声贡献值，dB(A)；</w:t>
      </w:r>
    </w:p>
    <w:p w14:paraId="570A62C4">
      <w:pPr>
        <w:spacing w:before="186" w:line="216" w:lineRule="auto"/>
        <w:ind w:left="514"/>
        <w:rPr>
          <w:rFonts w:ascii="仿宋" w:hAnsi="仿宋" w:eastAsia="仿宋" w:cs="仿宋"/>
          <w:sz w:val="24"/>
          <w:szCs w:val="24"/>
        </w:rPr>
      </w:pPr>
      <w:r>
        <w:rPr>
          <w:rFonts w:ascii="仿宋" w:hAnsi="仿宋" w:eastAsia="仿宋" w:cs="仿宋"/>
          <w:spacing w:val="-3"/>
          <w:sz w:val="24"/>
          <w:szCs w:val="24"/>
        </w:rPr>
        <w:t>（4）噪声预测值：</w:t>
      </w:r>
    </w:p>
    <w:p w14:paraId="5F19AD32">
      <w:pPr>
        <w:pStyle w:val="2"/>
        <w:spacing w:before="2" w:line="317" w:lineRule="auto"/>
        <w:ind w:left="515" w:right="2665" w:firstLine="2191"/>
        <w:rPr>
          <w:rFonts w:ascii="仿宋" w:hAnsi="仿宋" w:eastAsia="仿宋" w:cs="仿宋"/>
          <w:sz w:val="24"/>
          <w:szCs w:val="24"/>
        </w:rPr>
      </w:pPr>
      <w:r>
        <w:rPr>
          <w:rFonts w:ascii="Times New Roman" w:hAnsi="Times New Roman" w:eastAsia="Times New Roman" w:cs="Times New Roman"/>
          <w:position w:val="-1"/>
          <w:sz w:val="23"/>
          <w:szCs w:val="23"/>
        </w:rPr>
        <w:t>L</w:t>
      </w:r>
      <w:r>
        <w:rPr>
          <w:rFonts w:ascii="Times New Roman" w:hAnsi="Times New Roman" w:eastAsia="Times New Roman" w:cs="Times New Roman"/>
          <w:position w:val="-7"/>
          <w:sz w:val="13"/>
          <w:szCs w:val="13"/>
        </w:rPr>
        <w:t>Aeq</w:t>
      </w:r>
      <w:r>
        <w:rPr>
          <w:rFonts w:ascii="Times New Roman" w:hAnsi="Times New Roman" w:eastAsia="Times New Roman" w:cs="Times New Roman"/>
          <w:spacing w:val="11"/>
          <w:w w:val="101"/>
          <w:position w:val="-7"/>
          <w:sz w:val="13"/>
          <w:szCs w:val="13"/>
        </w:rPr>
        <w:t xml:space="preserve">  </w:t>
      </w:r>
      <w:r>
        <w:rPr>
          <w:position w:val="-1"/>
          <w:sz w:val="23"/>
          <w:szCs w:val="23"/>
        </w:rPr>
        <w:t xml:space="preserve">= </w:t>
      </w:r>
      <w:r>
        <w:rPr>
          <w:rFonts w:ascii="Times New Roman" w:hAnsi="Times New Roman" w:eastAsia="Times New Roman" w:cs="Times New Roman"/>
          <w:position w:val="-1"/>
          <w:sz w:val="23"/>
          <w:szCs w:val="23"/>
        </w:rPr>
        <w:t>10lg</w:t>
      </w:r>
      <w:r>
        <w:rPr>
          <w:position w:val="-1"/>
          <w:sz w:val="45"/>
          <w:szCs w:val="45"/>
        </w:rPr>
        <w:t>[</w:t>
      </w:r>
      <w:r>
        <w:rPr>
          <w:rFonts w:ascii="Times New Roman" w:hAnsi="Times New Roman" w:eastAsia="Times New Roman" w:cs="Times New Roman"/>
          <w:position w:val="-1"/>
          <w:sz w:val="23"/>
          <w:szCs w:val="23"/>
        </w:rPr>
        <w:t>10</w:t>
      </w:r>
      <w:r>
        <w:rPr>
          <w:rFonts w:ascii="Times New Roman" w:hAnsi="Times New Roman" w:eastAsia="Times New Roman" w:cs="Times New Roman"/>
          <w:position w:val="11"/>
          <w:sz w:val="13"/>
          <w:szCs w:val="13"/>
        </w:rPr>
        <w:t>0.</w:t>
      </w:r>
      <w:r>
        <w:rPr>
          <w:rFonts w:ascii="Times New Roman" w:hAnsi="Times New Roman" w:eastAsia="Times New Roman" w:cs="Times New Roman"/>
          <w:spacing w:val="-16"/>
          <w:position w:val="11"/>
          <w:sz w:val="13"/>
          <w:szCs w:val="13"/>
        </w:rPr>
        <w:t xml:space="preserve"> </w:t>
      </w:r>
      <w:r>
        <w:rPr>
          <w:rFonts w:ascii="Times New Roman" w:hAnsi="Times New Roman" w:eastAsia="Times New Roman" w:cs="Times New Roman"/>
          <w:position w:val="11"/>
          <w:sz w:val="13"/>
          <w:szCs w:val="13"/>
        </w:rPr>
        <w:t>1LA</w:t>
      </w:r>
      <w:r>
        <w:rPr>
          <w:rFonts w:ascii="Times New Roman" w:hAnsi="Times New Roman" w:eastAsia="Times New Roman" w:cs="Times New Roman"/>
          <w:position w:val="8"/>
          <w:sz w:val="10"/>
          <w:szCs w:val="10"/>
        </w:rPr>
        <w:t>eq</w:t>
      </w:r>
      <w:r>
        <w:rPr>
          <w:rFonts w:ascii="Times New Roman" w:hAnsi="Times New Roman" w:eastAsia="Times New Roman" w:cs="Times New Roman"/>
          <w:spacing w:val="-1"/>
          <w:position w:val="8"/>
          <w:sz w:val="10"/>
          <w:szCs w:val="10"/>
        </w:rPr>
        <w:t xml:space="preserve">g   </w:t>
      </w:r>
      <w:r>
        <w:rPr>
          <w:spacing w:val="-1"/>
          <w:position w:val="-1"/>
          <w:sz w:val="23"/>
          <w:szCs w:val="23"/>
        </w:rPr>
        <w:t>+</w:t>
      </w:r>
      <w:r>
        <w:rPr>
          <w:rFonts w:ascii="Times New Roman" w:hAnsi="Times New Roman" w:eastAsia="Times New Roman" w:cs="Times New Roman"/>
          <w:spacing w:val="-1"/>
          <w:position w:val="-1"/>
          <w:sz w:val="23"/>
          <w:szCs w:val="23"/>
        </w:rPr>
        <w:t>10</w:t>
      </w:r>
      <w:r>
        <w:rPr>
          <w:rFonts w:ascii="Times New Roman" w:hAnsi="Times New Roman" w:eastAsia="Times New Roman" w:cs="Times New Roman"/>
          <w:spacing w:val="-1"/>
          <w:position w:val="11"/>
          <w:sz w:val="13"/>
          <w:szCs w:val="13"/>
        </w:rPr>
        <w:t>0.</w:t>
      </w:r>
      <w:r>
        <w:rPr>
          <w:rFonts w:ascii="Times New Roman" w:hAnsi="Times New Roman" w:eastAsia="Times New Roman" w:cs="Times New Roman"/>
          <w:spacing w:val="-16"/>
          <w:position w:val="11"/>
          <w:sz w:val="13"/>
          <w:szCs w:val="13"/>
        </w:rPr>
        <w:t xml:space="preserve"> </w:t>
      </w:r>
      <w:r>
        <w:rPr>
          <w:rFonts w:ascii="Times New Roman" w:hAnsi="Times New Roman" w:eastAsia="Times New Roman" w:cs="Times New Roman"/>
          <w:spacing w:val="-1"/>
          <w:position w:val="11"/>
          <w:sz w:val="13"/>
          <w:szCs w:val="13"/>
        </w:rPr>
        <w:t>1LA</w:t>
      </w:r>
      <w:r>
        <w:rPr>
          <w:rFonts w:ascii="Times New Roman" w:hAnsi="Times New Roman" w:eastAsia="Times New Roman" w:cs="Times New Roman"/>
          <w:spacing w:val="-5"/>
          <w:w w:val="26"/>
          <w:sz w:val="55"/>
          <w:szCs w:val="55"/>
        </w:rPr>
        <w:t>eqb</w:t>
      </w:r>
      <w:r>
        <w:rPr>
          <w:rFonts w:ascii="Times New Roman" w:hAnsi="Times New Roman" w:eastAsia="Times New Roman" w:cs="Times New Roman"/>
          <w:spacing w:val="-79"/>
          <w:sz w:val="55"/>
          <w:szCs w:val="55"/>
        </w:rPr>
        <w:t xml:space="preserve"> </w:t>
      </w:r>
      <w:r>
        <w:rPr>
          <w:spacing w:val="-5"/>
          <w:w w:val="26"/>
          <w:sz w:val="45"/>
          <w:szCs w:val="45"/>
        </w:rPr>
        <w:t>]</w:t>
      </w:r>
      <w:r>
        <w:rPr>
          <w:rFonts w:ascii="仿宋" w:hAnsi="仿宋" w:eastAsia="仿宋" w:cs="仿宋"/>
          <w:spacing w:val="-8"/>
          <w:sz w:val="24"/>
          <w:szCs w:val="24"/>
        </w:rPr>
        <w:t>式中：</w:t>
      </w:r>
    </w:p>
    <w:p w14:paraId="50AE32FC">
      <w:pPr>
        <w:spacing w:before="30" w:line="217" w:lineRule="auto"/>
        <w:ind w:left="1220"/>
        <w:rPr>
          <w:rFonts w:ascii="仿宋" w:hAnsi="仿宋" w:eastAsia="仿宋" w:cs="仿宋"/>
          <w:sz w:val="24"/>
          <w:szCs w:val="24"/>
        </w:rPr>
      </w:pPr>
      <w:r>
        <w:rPr>
          <w:rFonts w:ascii="仿宋" w:hAnsi="仿宋" w:eastAsia="仿宋" w:cs="仿宋"/>
          <w:spacing w:val="-1"/>
          <w:sz w:val="24"/>
          <w:szCs w:val="24"/>
        </w:rPr>
        <w:t>L</w:t>
      </w:r>
      <w:r>
        <w:rPr>
          <w:rFonts w:ascii="仿宋" w:hAnsi="仿宋" w:eastAsia="仿宋" w:cs="仿宋"/>
          <w:spacing w:val="-1"/>
          <w:position w:val="-3"/>
          <w:sz w:val="12"/>
          <w:szCs w:val="12"/>
        </w:rPr>
        <w:t>Aeq</w:t>
      </w:r>
      <w:r>
        <w:rPr>
          <w:rFonts w:ascii="仿宋" w:hAnsi="仿宋" w:eastAsia="仿宋" w:cs="仿宋"/>
          <w:spacing w:val="-1"/>
          <w:sz w:val="24"/>
          <w:szCs w:val="24"/>
        </w:rPr>
        <w:t>——预测点的噪声预测值，dB（A</w:t>
      </w:r>
      <w:r>
        <w:rPr>
          <w:rFonts w:ascii="仿宋" w:hAnsi="仿宋" w:eastAsia="仿宋" w:cs="仿宋"/>
          <w:spacing w:val="6"/>
          <w:sz w:val="24"/>
          <w:szCs w:val="24"/>
        </w:rPr>
        <w:t>）；</w:t>
      </w:r>
    </w:p>
    <w:p w14:paraId="04F1CA44">
      <w:pPr>
        <w:spacing w:line="217" w:lineRule="auto"/>
        <w:rPr>
          <w:rFonts w:ascii="仿宋" w:hAnsi="仿宋" w:eastAsia="仿宋" w:cs="仿宋"/>
          <w:sz w:val="24"/>
          <w:szCs w:val="24"/>
        </w:rPr>
        <w:sectPr>
          <w:footerReference r:id="rId179" w:type="default"/>
          <w:pgSz w:w="11906" w:h="16839"/>
          <w:pgMar w:top="400" w:right="1785" w:bottom="1370" w:left="1785" w:header="0" w:footer="1207" w:gutter="0"/>
          <w:cols w:space="720" w:num="1"/>
        </w:sectPr>
      </w:pPr>
    </w:p>
    <w:p w14:paraId="4EAE748F">
      <w:pPr>
        <w:pStyle w:val="2"/>
        <w:spacing w:line="267" w:lineRule="auto"/>
        <w:rPr>
          <w:sz w:val="21"/>
        </w:rPr>
      </w:pPr>
    </w:p>
    <w:p w14:paraId="389E765A">
      <w:pPr>
        <w:pStyle w:val="2"/>
        <w:spacing w:line="267" w:lineRule="auto"/>
        <w:rPr>
          <w:sz w:val="21"/>
        </w:rPr>
      </w:pPr>
    </w:p>
    <w:p w14:paraId="318D22AF">
      <w:pPr>
        <w:pStyle w:val="2"/>
        <w:spacing w:line="268" w:lineRule="auto"/>
        <w:rPr>
          <w:sz w:val="21"/>
        </w:rPr>
      </w:pPr>
    </w:p>
    <w:p w14:paraId="65192959">
      <w:pPr>
        <w:pStyle w:val="2"/>
        <w:spacing w:line="268" w:lineRule="auto"/>
        <w:rPr>
          <w:sz w:val="21"/>
        </w:rPr>
      </w:pPr>
    </w:p>
    <w:p w14:paraId="345E00BE">
      <w:pPr>
        <w:spacing w:before="78" w:line="216" w:lineRule="auto"/>
        <w:ind w:left="1314"/>
        <w:rPr>
          <w:rFonts w:ascii="仿宋" w:hAnsi="仿宋" w:eastAsia="仿宋" w:cs="仿宋"/>
          <w:sz w:val="24"/>
          <w:szCs w:val="24"/>
        </w:rPr>
      </w:pPr>
      <w:r>
        <w:rPr>
          <w:rFonts w:ascii="仿宋" w:hAnsi="仿宋" w:eastAsia="仿宋" w:cs="仿宋"/>
          <w:spacing w:val="-1"/>
          <w:sz w:val="24"/>
          <w:szCs w:val="24"/>
        </w:rPr>
        <w:t>L</w:t>
      </w:r>
      <w:r>
        <w:rPr>
          <w:rFonts w:ascii="仿宋" w:hAnsi="仿宋" w:eastAsia="仿宋" w:cs="仿宋"/>
          <w:spacing w:val="-1"/>
          <w:position w:val="-3"/>
          <w:sz w:val="12"/>
          <w:szCs w:val="12"/>
        </w:rPr>
        <w:t>eqg</w:t>
      </w:r>
      <w:r>
        <w:rPr>
          <w:rFonts w:ascii="仿宋" w:hAnsi="仿宋" w:eastAsia="仿宋" w:cs="仿宋"/>
          <w:spacing w:val="-1"/>
          <w:sz w:val="24"/>
          <w:szCs w:val="24"/>
        </w:rPr>
        <w:t>——预测点的噪声贡献值，dB（A</w:t>
      </w:r>
      <w:r>
        <w:rPr>
          <w:rFonts w:ascii="仿宋" w:hAnsi="仿宋" w:eastAsia="仿宋" w:cs="仿宋"/>
          <w:spacing w:val="6"/>
          <w:sz w:val="24"/>
          <w:szCs w:val="24"/>
        </w:rPr>
        <w:t>）；</w:t>
      </w:r>
    </w:p>
    <w:p w14:paraId="23015240">
      <w:pPr>
        <w:spacing w:before="186" w:line="217" w:lineRule="auto"/>
        <w:ind w:left="1314"/>
        <w:rPr>
          <w:rFonts w:ascii="仿宋" w:hAnsi="仿宋" w:eastAsia="仿宋" w:cs="仿宋"/>
          <w:sz w:val="24"/>
          <w:szCs w:val="24"/>
        </w:rPr>
      </w:pPr>
      <w:r>
        <w:rPr>
          <w:rFonts w:ascii="仿宋" w:hAnsi="仿宋" w:eastAsia="仿宋" w:cs="仿宋"/>
          <w:spacing w:val="-1"/>
          <w:sz w:val="24"/>
          <w:szCs w:val="24"/>
        </w:rPr>
        <w:t>L</w:t>
      </w:r>
      <w:r>
        <w:rPr>
          <w:rFonts w:ascii="仿宋" w:hAnsi="仿宋" w:eastAsia="仿宋" w:cs="仿宋"/>
          <w:spacing w:val="-1"/>
          <w:position w:val="-3"/>
          <w:sz w:val="12"/>
          <w:szCs w:val="12"/>
        </w:rPr>
        <w:t>eqb</w:t>
      </w:r>
      <w:r>
        <w:rPr>
          <w:rFonts w:ascii="仿宋" w:hAnsi="仿宋" w:eastAsia="仿宋" w:cs="仿宋"/>
          <w:spacing w:val="-1"/>
          <w:sz w:val="24"/>
          <w:szCs w:val="24"/>
        </w:rPr>
        <w:t>——预测点的背景噪声值，dB（A）。</w:t>
      </w:r>
    </w:p>
    <w:p w14:paraId="09B46363">
      <w:pPr>
        <w:spacing w:before="186" w:line="222" w:lineRule="auto"/>
        <w:ind w:left="608"/>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5</w:t>
      </w:r>
      <w:r>
        <w:rPr>
          <w:rFonts w:ascii="仿宋" w:hAnsi="仿宋" w:eastAsia="仿宋" w:cs="仿宋"/>
          <w:spacing w:val="-2"/>
          <w:sz w:val="24"/>
          <w:szCs w:val="24"/>
        </w:rPr>
        <w:t>）线路因素引起的修正量</w:t>
      </w:r>
    </w:p>
    <w:p w14:paraId="1638959F">
      <w:pPr>
        <w:spacing w:before="179" w:line="232" w:lineRule="auto"/>
        <w:ind w:left="596"/>
        <w:rPr>
          <w:rFonts w:ascii="仿宋" w:hAnsi="仿宋" w:eastAsia="仿宋" w:cs="仿宋"/>
          <w:sz w:val="24"/>
          <w:szCs w:val="24"/>
        </w:rPr>
      </w:pPr>
      <w:r>
        <w:rPr>
          <w:rFonts w:ascii="宋体" w:hAnsi="宋体" w:eastAsia="宋体" w:cs="宋体"/>
          <w:spacing w:val="-2"/>
          <w:sz w:val="24"/>
          <w:szCs w:val="24"/>
        </w:rPr>
        <w:t>①</w:t>
      </w:r>
      <w:r>
        <w:rPr>
          <w:rFonts w:ascii="仿宋" w:hAnsi="仿宋" w:eastAsia="仿宋" w:cs="仿宋"/>
          <w:spacing w:val="-2"/>
          <w:sz w:val="24"/>
          <w:szCs w:val="24"/>
        </w:rPr>
        <w:t>纵坡修正量 (</w:t>
      </w:r>
      <w:r>
        <w:rPr>
          <w:rFonts w:ascii="Times New Roman" w:hAnsi="Times New Roman" w:eastAsia="Times New Roman" w:cs="Times New Roman"/>
          <w:spacing w:val="-2"/>
          <w:sz w:val="24"/>
          <w:szCs w:val="24"/>
        </w:rPr>
        <w:t>ΔL</w:t>
      </w:r>
      <w:r>
        <w:rPr>
          <w:rFonts w:ascii="Times New Roman" w:hAnsi="Times New Roman" w:eastAsia="Times New Roman" w:cs="Times New Roman"/>
          <w:spacing w:val="15"/>
          <w:w w:val="101"/>
          <w:sz w:val="24"/>
          <w:szCs w:val="24"/>
        </w:rPr>
        <w:t xml:space="preserve"> </w:t>
      </w:r>
      <w:r>
        <w:rPr>
          <w:rFonts w:ascii="仿宋" w:hAnsi="仿宋" w:eastAsia="仿宋" w:cs="仿宋"/>
          <w:spacing w:val="-2"/>
          <w:sz w:val="12"/>
          <w:szCs w:val="12"/>
        </w:rPr>
        <w:t>坡度</w:t>
      </w:r>
      <w:r>
        <w:rPr>
          <w:rFonts w:ascii="仿宋" w:hAnsi="仿宋" w:eastAsia="仿宋" w:cs="仿宋"/>
          <w:spacing w:val="-2"/>
          <w:sz w:val="24"/>
          <w:szCs w:val="24"/>
        </w:rPr>
        <w:t>）</w:t>
      </w:r>
    </w:p>
    <w:p w14:paraId="1DD964B5">
      <w:pPr>
        <w:spacing w:before="166" w:line="220" w:lineRule="auto"/>
        <w:ind w:left="604"/>
        <w:rPr>
          <w:rFonts w:ascii="仿宋" w:hAnsi="仿宋" w:eastAsia="仿宋" w:cs="仿宋"/>
          <w:sz w:val="24"/>
          <w:szCs w:val="24"/>
        </w:rPr>
      </w:pPr>
      <w:r>
        <w:rPr>
          <w:rFonts w:ascii="仿宋" w:hAnsi="仿宋" w:eastAsia="仿宋" w:cs="仿宋"/>
          <w:spacing w:val="-1"/>
          <w:sz w:val="24"/>
          <w:szCs w:val="24"/>
        </w:rPr>
        <w:t>道路纵坡修正量</w:t>
      </w:r>
      <w:r>
        <w:rPr>
          <w:rFonts w:ascii="Times New Roman" w:hAnsi="Times New Roman" w:eastAsia="Times New Roman" w:cs="Times New Roman"/>
          <w:spacing w:val="-1"/>
          <w:sz w:val="24"/>
          <w:szCs w:val="24"/>
        </w:rPr>
        <w:t xml:space="preserve">ΔL </w:t>
      </w:r>
      <w:r>
        <w:rPr>
          <w:rFonts w:ascii="仿宋" w:hAnsi="仿宋" w:eastAsia="仿宋" w:cs="仿宋"/>
          <w:spacing w:val="-1"/>
          <w:position w:val="-3"/>
          <w:sz w:val="12"/>
          <w:szCs w:val="12"/>
        </w:rPr>
        <w:t>坡度</w:t>
      </w:r>
      <w:r>
        <w:rPr>
          <w:rFonts w:ascii="仿宋" w:hAnsi="仿宋" w:eastAsia="仿宋" w:cs="仿宋"/>
          <w:spacing w:val="-1"/>
          <w:sz w:val="24"/>
          <w:szCs w:val="24"/>
        </w:rPr>
        <w:t>可按下式计算：</w:t>
      </w:r>
    </w:p>
    <w:p w14:paraId="6D1D7ACD">
      <w:pPr>
        <w:spacing w:before="138" w:line="323" w:lineRule="exact"/>
        <w:ind w:left="2565"/>
        <w:rPr>
          <w:rFonts w:ascii="仿宋" w:hAnsi="仿宋" w:eastAsia="仿宋" w:cs="仿宋"/>
          <w:sz w:val="24"/>
          <w:szCs w:val="24"/>
        </w:rPr>
      </w:pPr>
      <w:r>
        <w:rPr>
          <w:rFonts w:ascii="仿宋" w:hAnsi="仿宋" w:eastAsia="仿宋" w:cs="仿宋"/>
          <w:spacing w:val="-2"/>
          <w:position w:val="2"/>
          <w:sz w:val="24"/>
          <w:szCs w:val="24"/>
        </w:rPr>
        <w:t>大型车：</w:t>
      </w:r>
      <w:r>
        <w:rPr>
          <w:rFonts w:ascii="Times New Roman" w:hAnsi="Times New Roman" w:eastAsia="Times New Roman" w:cs="Times New Roman"/>
          <w:spacing w:val="-2"/>
          <w:position w:val="2"/>
          <w:sz w:val="24"/>
          <w:szCs w:val="24"/>
        </w:rPr>
        <w:t>ΔL</w:t>
      </w:r>
      <w:r>
        <w:rPr>
          <w:rFonts w:ascii="Times New Roman" w:hAnsi="Times New Roman" w:eastAsia="Times New Roman" w:cs="Times New Roman"/>
          <w:spacing w:val="18"/>
          <w:w w:val="101"/>
          <w:position w:val="2"/>
          <w:sz w:val="24"/>
          <w:szCs w:val="24"/>
        </w:rPr>
        <w:t xml:space="preserve"> </w:t>
      </w:r>
      <w:r>
        <w:rPr>
          <w:rFonts w:ascii="仿宋" w:hAnsi="仿宋" w:eastAsia="仿宋" w:cs="仿宋"/>
          <w:spacing w:val="-2"/>
          <w:position w:val="2"/>
          <w:sz w:val="24"/>
          <w:szCs w:val="24"/>
        </w:rPr>
        <w:t>坡度</w:t>
      </w:r>
      <w:r>
        <w:rPr>
          <w:rFonts w:ascii="Times New Roman" w:hAnsi="Times New Roman" w:eastAsia="Times New Roman" w:cs="Times New Roman"/>
          <w:spacing w:val="-2"/>
          <w:position w:val="2"/>
          <w:sz w:val="24"/>
          <w:szCs w:val="24"/>
        </w:rPr>
        <w:t>=98×β dB</w:t>
      </w:r>
      <w:r>
        <w:rPr>
          <w:rFonts w:ascii="仿宋" w:hAnsi="仿宋" w:eastAsia="仿宋" w:cs="仿宋"/>
          <w:spacing w:val="-2"/>
          <w:position w:val="2"/>
          <w:sz w:val="24"/>
          <w:szCs w:val="24"/>
        </w:rPr>
        <w:t>（</w:t>
      </w:r>
      <w:r>
        <w:rPr>
          <w:rFonts w:ascii="Times New Roman" w:hAnsi="Times New Roman" w:eastAsia="Times New Roman" w:cs="Times New Roman"/>
          <w:spacing w:val="-2"/>
          <w:position w:val="2"/>
          <w:sz w:val="24"/>
          <w:szCs w:val="24"/>
        </w:rPr>
        <w:t>A</w:t>
      </w:r>
      <w:r>
        <w:rPr>
          <w:rFonts w:ascii="仿宋" w:hAnsi="仿宋" w:eastAsia="仿宋" w:cs="仿宋"/>
          <w:spacing w:val="-2"/>
          <w:position w:val="2"/>
          <w:sz w:val="24"/>
          <w:szCs w:val="24"/>
        </w:rPr>
        <w:t>）</w:t>
      </w:r>
    </w:p>
    <w:p w14:paraId="0FDD9C88">
      <w:pPr>
        <w:spacing w:before="145" w:line="323" w:lineRule="exact"/>
        <w:ind w:left="2593"/>
        <w:rPr>
          <w:rFonts w:ascii="仿宋" w:hAnsi="仿宋" w:eastAsia="仿宋" w:cs="仿宋"/>
          <w:sz w:val="24"/>
          <w:szCs w:val="24"/>
        </w:rPr>
      </w:pPr>
      <w:r>
        <w:rPr>
          <w:rFonts w:ascii="仿宋" w:hAnsi="仿宋" w:eastAsia="仿宋" w:cs="仿宋"/>
          <w:spacing w:val="-4"/>
          <w:position w:val="2"/>
          <w:sz w:val="24"/>
          <w:szCs w:val="24"/>
        </w:rPr>
        <w:t>中型车：</w:t>
      </w:r>
      <w:r>
        <w:rPr>
          <w:rFonts w:ascii="Times New Roman" w:hAnsi="Times New Roman" w:eastAsia="Times New Roman" w:cs="Times New Roman"/>
          <w:spacing w:val="-4"/>
          <w:position w:val="2"/>
          <w:sz w:val="24"/>
          <w:szCs w:val="24"/>
        </w:rPr>
        <w:t>ΔL</w:t>
      </w:r>
      <w:r>
        <w:rPr>
          <w:rFonts w:ascii="Times New Roman" w:hAnsi="Times New Roman" w:eastAsia="Times New Roman" w:cs="Times New Roman"/>
          <w:spacing w:val="28"/>
          <w:w w:val="101"/>
          <w:position w:val="2"/>
          <w:sz w:val="24"/>
          <w:szCs w:val="24"/>
        </w:rPr>
        <w:t xml:space="preserve"> </w:t>
      </w:r>
      <w:r>
        <w:rPr>
          <w:rFonts w:ascii="仿宋" w:hAnsi="仿宋" w:eastAsia="仿宋" w:cs="仿宋"/>
          <w:spacing w:val="-4"/>
          <w:position w:val="2"/>
          <w:sz w:val="24"/>
          <w:szCs w:val="24"/>
        </w:rPr>
        <w:t>坡度</w:t>
      </w:r>
      <w:r>
        <w:rPr>
          <w:rFonts w:ascii="Times New Roman" w:hAnsi="Times New Roman" w:eastAsia="Times New Roman" w:cs="Times New Roman"/>
          <w:spacing w:val="-4"/>
          <w:position w:val="2"/>
          <w:sz w:val="24"/>
          <w:szCs w:val="24"/>
        </w:rPr>
        <w:t>=73×β dB</w:t>
      </w:r>
      <w:r>
        <w:rPr>
          <w:rFonts w:ascii="仿宋" w:hAnsi="仿宋" w:eastAsia="仿宋" w:cs="仿宋"/>
          <w:spacing w:val="-4"/>
          <w:position w:val="2"/>
          <w:sz w:val="24"/>
          <w:szCs w:val="24"/>
        </w:rPr>
        <w:t>（</w:t>
      </w:r>
      <w:r>
        <w:rPr>
          <w:rFonts w:ascii="Times New Roman" w:hAnsi="Times New Roman" w:eastAsia="Times New Roman" w:cs="Times New Roman"/>
          <w:spacing w:val="-4"/>
          <w:position w:val="2"/>
          <w:sz w:val="24"/>
          <w:szCs w:val="24"/>
        </w:rPr>
        <w:t>A</w:t>
      </w:r>
      <w:r>
        <w:rPr>
          <w:rFonts w:ascii="仿宋" w:hAnsi="仿宋" w:eastAsia="仿宋" w:cs="仿宋"/>
          <w:spacing w:val="-4"/>
          <w:position w:val="2"/>
          <w:sz w:val="24"/>
          <w:szCs w:val="24"/>
        </w:rPr>
        <w:t>）</w:t>
      </w:r>
    </w:p>
    <w:p w14:paraId="6D54F8C0">
      <w:pPr>
        <w:spacing w:before="145" w:line="322" w:lineRule="exact"/>
        <w:ind w:left="2562"/>
        <w:rPr>
          <w:rFonts w:ascii="仿宋" w:hAnsi="仿宋" w:eastAsia="仿宋" w:cs="仿宋"/>
          <w:sz w:val="24"/>
          <w:szCs w:val="24"/>
        </w:rPr>
      </w:pPr>
      <w:r>
        <w:rPr>
          <w:rFonts w:ascii="仿宋" w:hAnsi="仿宋" w:eastAsia="仿宋" w:cs="仿宋"/>
          <w:spacing w:val="-2"/>
          <w:position w:val="2"/>
          <w:sz w:val="24"/>
          <w:szCs w:val="24"/>
        </w:rPr>
        <w:t>小型车：</w:t>
      </w:r>
      <w:r>
        <w:rPr>
          <w:rFonts w:ascii="Times New Roman" w:hAnsi="Times New Roman" w:eastAsia="Times New Roman" w:cs="Times New Roman"/>
          <w:spacing w:val="-2"/>
          <w:position w:val="2"/>
          <w:sz w:val="24"/>
          <w:szCs w:val="24"/>
        </w:rPr>
        <w:t>ΔL</w:t>
      </w:r>
      <w:r>
        <w:rPr>
          <w:rFonts w:ascii="Times New Roman" w:hAnsi="Times New Roman" w:eastAsia="Times New Roman" w:cs="Times New Roman"/>
          <w:spacing w:val="21"/>
          <w:w w:val="101"/>
          <w:position w:val="2"/>
          <w:sz w:val="24"/>
          <w:szCs w:val="24"/>
        </w:rPr>
        <w:t xml:space="preserve"> </w:t>
      </w:r>
      <w:r>
        <w:rPr>
          <w:rFonts w:ascii="仿宋" w:hAnsi="仿宋" w:eastAsia="仿宋" w:cs="仿宋"/>
          <w:spacing w:val="-2"/>
          <w:position w:val="2"/>
          <w:sz w:val="24"/>
          <w:szCs w:val="24"/>
        </w:rPr>
        <w:t>坡度</w:t>
      </w:r>
      <w:r>
        <w:rPr>
          <w:rFonts w:ascii="Times New Roman" w:hAnsi="Times New Roman" w:eastAsia="Times New Roman" w:cs="Times New Roman"/>
          <w:spacing w:val="-2"/>
          <w:position w:val="2"/>
          <w:sz w:val="24"/>
          <w:szCs w:val="24"/>
        </w:rPr>
        <w:t>=50×β dB</w:t>
      </w:r>
      <w:r>
        <w:rPr>
          <w:rFonts w:ascii="仿宋" w:hAnsi="仿宋" w:eastAsia="仿宋" w:cs="仿宋"/>
          <w:spacing w:val="-2"/>
          <w:position w:val="2"/>
          <w:sz w:val="24"/>
          <w:szCs w:val="24"/>
        </w:rPr>
        <w:t>（</w:t>
      </w:r>
      <w:r>
        <w:rPr>
          <w:rFonts w:ascii="Times New Roman" w:hAnsi="Times New Roman" w:eastAsia="Times New Roman" w:cs="Times New Roman"/>
          <w:spacing w:val="-2"/>
          <w:position w:val="2"/>
          <w:sz w:val="24"/>
          <w:szCs w:val="24"/>
        </w:rPr>
        <w:t>A</w:t>
      </w:r>
      <w:r>
        <w:rPr>
          <w:rFonts w:ascii="仿宋" w:hAnsi="仿宋" w:eastAsia="仿宋" w:cs="仿宋"/>
          <w:spacing w:val="-2"/>
          <w:position w:val="2"/>
          <w:sz w:val="24"/>
          <w:szCs w:val="24"/>
        </w:rPr>
        <w:t>）</w:t>
      </w:r>
    </w:p>
    <w:p w14:paraId="2288A825">
      <w:pPr>
        <w:spacing w:before="189" w:line="222" w:lineRule="auto"/>
        <w:ind w:left="609"/>
        <w:rPr>
          <w:rFonts w:ascii="仿宋" w:hAnsi="仿宋" w:eastAsia="仿宋" w:cs="仿宋"/>
          <w:sz w:val="24"/>
          <w:szCs w:val="24"/>
        </w:rPr>
      </w:pPr>
      <w:r>
        <w:rPr>
          <w:rFonts w:ascii="仿宋" w:hAnsi="仿宋" w:eastAsia="仿宋" w:cs="仿宋"/>
          <w:spacing w:val="-8"/>
          <w:sz w:val="24"/>
          <w:szCs w:val="24"/>
        </w:rPr>
        <w:t>式中：</w:t>
      </w:r>
    </w:p>
    <w:p w14:paraId="5A99EAA8">
      <w:pPr>
        <w:spacing w:before="180" w:line="220" w:lineRule="auto"/>
        <w:ind w:left="1073"/>
        <w:rPr>
          <w:rFonts w:ascii="仿宋" w:hAnsi="仿宋" w:eastAsia="仿宋" w:cs="仿宋"/>
          <w:sz w:val="24"/>
          <w:szCs w:val="24"/>
        </w:rPr>
      </w:pPr>
      <w:r>
        <w:rPr>
          <w:rFonts w:ascii="Times New Roman" w:hAnsi="Times New Roman" w:eastAsia="Times New Roman" w:cs="Times New Roman"/>
          <w:spacing w:val="-1"/>
          <w:sz w:val="24"/>
          <w:szCs w:val="24"/>
        </w:rPr>
        <w:t xml:space="preserve">ΔL </w:t>
      </w:r>
      <w:r>
        <w:rPr>
          <w:rFonts w:ascii="仿宋" w:hAnsi="仿宋" w:eastAsia="仿宋" w:cs="仿宋"/>
          <w:spacing w:val="-1"/>
          <w:position w:val="-3"/>
          <w:sz w:val="12"/>
          <w:szCs w:val="12"/>
        </w:rPr>
        <w:t>坡度</w:t>
      </w:r>
      <w:r>
        <w:rPr>
          <w:rFonts w:ascii="Times New Roman" w:hAnsi="Times New Roman" w:eastAsia="Times New Roman" w:cs="Times New Roman"/>
          <w:spacing w:val="-1"/>
          <w:sz w:val="24"/>
          <w:szCs w:val="24"/>
        </w:rPr>
        <w:t>——</w:t>
      </w:r>
      <w:r>
        <w:rPr>
          <w:rFonts w:ascii="仿宋" w:hAnsi="仿宋" w:eastAsia="仿宋" w:cs="仿宋"/>
          <w:spacing w:val="-1"/>
          <w:sz w:val="24"/>
          <w:szCs w:val="24"/>
        </w:rPr>
        <w:t>公路纵坡引起的修正量，</w:t>
      </w:r>
      <w:r>
        <w:rPr>
          <w:rFonts w:ascii="Times New Roman" w:hAnsi="Times New Roman" w:eastAsia="Times New Roman" w:cs="Times New Roman"/>
          <w:spacing w:val="-1"/>
          <w:sz w:val="24"/>
          <w:szCs w:val="24"/>
        </w:rPr>
        <w:t>dB</w:t>
      </w:r>
      <w:r>
        <w:rPr>
          <w:rFonts w:ascii="仿宋" w:hAnsi="仿宋" w:eastAsia="仿宋" w:cs="仿宋"/>
          <w:spacing w:val="-1"/>
          <w:sz w:val="24"/>
          <w:szCs w:val="24"/>
        </w:rPr>
        <w:t>（</w:t>
      </w:r>
      <w:r>
        <w:rPr>
          <w:rFonts w:ascii="Times New Roman" w:hAnsi="Times New Roman" w:eastAsia="Times New Roman" w:cs="Times New Roman"/>
          <w:spacing w:val="-1"/>
          <w:sz w:val="24"/>
          <w:szCs w:val="24"/>
        </w:rPr>
        <w:t>A</w:t>
      </w:r>
      <w:r>
        <w:rPr>
          <w:rFonts w:ascii="仿宋" w:hAnsi="仿宋" w:eastAsia="仿宋" w:cs="仿宋"/>
          <w:spacing w:val="7"/>
          <w:sz w:val="24"/>
          <w:szCs w:val="24"/>
        </w:rPr>
        <w:t>）；</w:t>
      </w:r>
    </w:p>
    <w:p w14:paraId="17D45C74">
      <w:pPr>
        <w:spacing w:before="181" w:line="212" w:lineRule="auto"/>
        <w:ind w:left="1080"/>
        <w:rPr>
          <w:rFonts w:ascii="仿宋" w:hAnsi="仿宋" w:eastAsia="仿宋" w:cs="仿宋"/>
          <w:sz w:val="24"/>
          <w:szCs w:val="24"/>
        </w:rPr>
      </w:pPr>
      <w:r>
        <w:rPr>
          <w:rFonts w:ascii="Times New Roman" w:hAnsi="Times New Roman" w:eastAsia="Times New Roman" w:cs="Times New Roman"/>
          <w:spacing w:val="-2"/>
          <w:sz w:val="24"/>
          <w:szCs w:val="24"/>
        </w:rPr>
        <w:t>β——</w:t>
      </w:r>
      <w:r>
        <w:rPr>
          <w:rFonts w:ascii="仿宋" w:hAnsi="仿宋" w:eastAsia="仿宋" w:cs="仿宋"/>
          <w:spacing w:val="-2"/>
          <w:sz w:val="24"/>
          <w:szCs w:val="24"/>
        </w:rPr>
        <w:t>道路纵坡坡度，</w:t>
      </w:r>
      <w:r>
        <w:rPr>
          <w:rFonts w:ascii="Times New Roman" w:hAnsi="Times New Roman" w:eastAsia="Times New Roman" w:cs="Times New Roman"/>
          <w:spacing w:val="-2"/>
          <w:sz w:val="24"/>
          <w:szCs w:val="24"/>
        </w:rPr>
        <w:t>%</w:t>
      </w:r>
      <w:r>
        <w:rPr>
          <w:rFonts w:ascii="仿宋" w:hAnsi="仿宋" w:eastAsia="仿宋" w:cs="仿宋"/>
          <w:spacing w:val="-2"/>
          <w:sz w:val="24"/>
          <w:szCs w:val="24"/>
        </w:rPr>
        <w:t>。</w:t>
      </w:r>
    </w:p>
    <w:p w14:paraId="46AA2CD5">
      <w:pPr>
        <w:spacing w:before="192" w:line="222" w:lineRule="auto"/>
        <w:ind w:left="595"/>
        <w:rPr>
          <w:rFonts w:ascii="仿宋" w:hAnsi="仿宋" w:eastAsia="仿宋" w:cs="仿宋"/>
          <w:sz w:val="24"/>
          <w:szCs w:val="24"/>
        </w:rPr>
      </w:pPr>
      <w:r>
        <w:rPr>
          <w:rFonts w:ascii="宋体" w:hAnsi="宋体" w:eastAsia="宋体" w:cs="宋体"/>
          <w:spacing w:val="-2"/>
          <w:sz w:val="24"/>
          <w:szCs w:val="24"/>
        </w:rPr>
        <w:t>②</w:t>
      </w:r>
      <w:r>
        <w:rPr>
          <w:rFonts w:ascii="仿宋" w:hAnsi="仿宋" w:eastAsia="仿宋" w:cs="仿宋"/>
          <w:spacing w:val="-2"/>
          <w:sz w:val="24"/>
          <w:szCs w:val="24"/>
        </w:rPr>
        <w:t>路面修正量 (</w:t>
      </w:r>
      <w:r>
        <w:rPr>
          <w:rFonts w:ascii="Times New Roman" w:hAnsi="Times New Roman" w:eastAsia="Times New Roman" w:cs="Times New Roman"/>
          <w:spacing w:val="-2"/>
          <w:sz w:val="24"/>
          <w:szCs w:val="24"/>
        </w:rPr>
        <w:t>ΔL</w:t>
      </w:r>
      <w:r>
        <w:rPr>
          <w:rFonts w:ascii="Times New Roman" w:hAnsi="Times New Roman" w:eastAsia="Times New Roman" w:cs="Times New Roman"/>
          <w:spacing w:val="16"/>
          <w:w w:val="101"/>
          <w:sz w:val="24"/>
          <w:szCs w:val="24"/>
        </w:rPr>
        <w:t xml:space="preserve"> </w:t>
      </w:r>
      <w:r>
        <w:rPr>
          <w:rFonts w:ascii="仿宋" w:hAnsi="仿宋" w:eastAsia="仿宋" w:cs="仿宋"/>
          <w:spacing w:val="-2"/>
          <w:sz w:val="24"/>
          <w:szCs w:val="24"/>
        </w:rPr>
        <w:t>路面）</w:t>
      </w:r>
    </w:p>
    <w:p w14:paraId="599F0D05">
      <w:pPr>
        <w:spacing w:before="179" w:line="330" w:lineRule="auto"/>
        <w:ind w:left="134" w:right="106" w:firstLine="470"/>
        <w:rPr>
          <w:rFonts w:ascii="仿宋" w:hAnsi="仿宋" w:eastAsia="仿宋" w:cs="仿宋"/>
          <w:sz w:val="24"/>
          <w:szCs w:val="24"/>
        </w:rPr>
      </w:pPr>
      <w:r>
        <w:rPr>
          <w:rFonts w:ascii="仿宋" w:hAnsi="仿宋" w:eastAsia="仿宋" w:cs="仿宋"/>
          <w:spacing w:val="-3"/>
          <w:sz w:val="24"/>
          <w:szCs w:val="24"/>
        </w:rPr>
        <w:t>本项目采用水泥混凝土路面，车速</w:t>
      </w:r>
      <w:r>
        <w:rPr>
          <w:rFonts w:ascii="仿宋" w:hAnsi="仿宋" w:eastAsia="仿宋" w:cs="仿宋"/>
          <w:spacing w:val="-28"/>
          <w:sz w:val="24"/>
          <w:szCs w:val="24"/>
        </w:rPr>
        <w:t xml:space="preserve"> </w:t>
      </w:r>
      <w:r>
        <w:rPr>
          <w:rFonts w:ascii="仿宋" w:hAnsi="仿宋" w:eastAsia="仿宋" w:cs="仿宋"/>
          <w:spacing w:val="-3"/>
          <w:sz w:val="24"/>
          <w:szCs w:val="24"/>
        </w:rPr>
        <w:t>15km/h，因此路面修正量参照</w:t>
      </w:r>
      <w:r>
        <w:rPr>
          <w:rFonts w:ascii="仿宋" w:hAnsi="仿宋" w:eastAsia="仿宋" w:cs="仿宋"/>
          <w:spacing w:val="-47"/>
          <w:sz w:val="24"/>
          <w:szCs w:val="24"/>
        </w:rPr>
        <w:t xml:space="preserve"> </w:t>
      </w:r>
      <w:r>
        <w:rPr>
          <w:rFonts w:ascii="仿宋" w:hAnsi="仿宋" w:eastAsia="仿宋" w:cs="仿宋"/>
          <w:spacing w:val="-3"/>
          <w:sz w:val="24"/>
          <w:szCs w:val="24"/>
        </w:rPr>
        <w:t>30km/h</w:t>
      </w:r>
      <w:r>
        <w:rPr>
          <w:rFonts w:ascii="仿宋" w:hAnsi="仿宋" w:eastAsia="仿宋" w:cs="仿宋"/>
          <w:spacing w:val="-43"/>
          <w:sz w:val="24"/>
          <w:szCs w:val="24"/>
        </w:rPr>
        <w:t xml:space="preserve"> </w:t>
      </w:r>
      <w:r>
        <w:rPr>
          <w:rFonts w:ascii="仿宋" w:hAnsi="仿宋" w:eastAsia="仿宋" w:cs="仿宋"/>
          <w:spacing w:val="-3"/>
          <w:sz w:val="24"/>
          <w:szCs w:val="24"/>
        </w:rPr>
        <w:t>取</w:t>
      </w:r>
      <w:r>
        <w:rPr>
          <w:rFonts w:ascii="仿宋" w:hAnsi="仿宋" w:eastAsia="仿宋" w:cs="仿宋"/>
          <w:spacing w:val="-1"/>
          <w:sz w:val="24"/>
          <w:szCs w:val="24"/>
        </w:rPr>
        <w:t>1dB（A）。不同速度下路面的噪声修正量见</w:t>
      </w:r>
      <w:r>
        <w:rPr>
          <w:rFonts w:ascii="仿宋" w:hAnsi="仿宋" w:eastAsia="仿宋" w:cs="仿宋"/>
          <w:spacing w:val="-2"/>
          <w:sz w:val="24"/>
          <w:szCs w:val="24"/>
        </w:rPr>
        <w:t>表</w:t>
      </w:r>
      <w:r>
        <w:rPr>
          <w:rFonts w:ascii="仿宋" w:hAnsi="仿宋" w:eastAsia="仿宋" w:cs="仿宋"/>
          <w:spacing w:val="-53"/>
          <w:sz w:val="24"/>
          <w:szCs w:val="24"/>
        </w:rPr>
        <w:t xml:space="preserve"> </w:t>
      </w:r>
      <w:r>
        <w:rPr>
          <w:rFonts w:ascii="仿宋" w:hAnsi="仿宋" w:eastAsia="仿宋" w:cs="仿宋"/>
          <w:spacing w:val="-2"/>
          <w:sz w:val="24"/>
          <w:szCs w:val="24"/>
        </w:rPr>
        <w:t>4.2-1。</w:t>
      </w:r>
    </w:p>
    <w:p w14:paraId="1775D50D">
      <w:pPr>
        <w:spacing w:before="1" w:line="220" w:lineRule="auto"/>
        <w:ind w:left="994"/>
        <w:rPr>
          <w:rFonts w:ascii="仿宋" w:hAnsi="仿宋" w:eastAsia="仿宋" w:cs="仿宋"/>
          <w:sz w:val="24"/>
          <w:szCs w:val="24"/>
        </w:rPr>
      </w:pPr>
      <w:r>
        <w:rPr>
          <w:rFonts w:ascii="仿宋" w:hAnsi="仿宋" w:eastAsia="仿宋" w:cs="仿宋"/>
          <w:b/>
          <w:bCs/>
          <w:spacing w:val="-2"/>
          <w:sz w:val="24"/>
          <w:szCs w:val="24"/>
        </w:rPr>
        <w:t>表</w:t>
      </w:r>
      <w:r>
        <w:rPr>
          <w:rFonts w:ascii="仿宋" w:hAnsi="仿宋" w:eastAsia="仿宋" w:cs="仿宋"/>
          <w:spacing w:val="-51"/>
          <w:sz w:val="24"/>
          <w:szCs w:val="24"/>
        </w:rPr>
        <w:t xml:space="preserve"> </w:t>
      </w:r>
      <w:r>
        <w:rPr>
          <w:rFonts w:ascii="仿宋" w:hAnsi="仿宋" w:eastAsia="仿宋" w:cs="仿宋"/>
          <w:b/>
          <w:bCs/>
          <w:spacing w:val="-2"/>
          <w:sz w:val="24"/>
          <w:szCs w:val="24"/>
        </w:rPr>
        <w:t>4.2-1</w:t>
      </w:r>
      <w:r>
        <w:rPr>
          <w:rFonts w:ascii="仿宋" w:hAnsi="仿宋" w:eastAsia="仿宋" w:cs="仿宋"/>
          <w:spacing w:val="-2"/>
          <w:sz w:val="24"/>
          <w:szCs w:val="24"/>
        </w:rPr>
        <w:t xml:space="preserve">     </w:t>
      </w:r>
      <w:r>
        <w:rPr>
          <w:rFonts w:ascii="仿宋" w:hAnsi="仿宋" w:eastAsia="仿宋" w:cs="仿宋"/>
          <w:b/>
          <w:bCs/>
          <w:spacing w:val="-2"/>
          <w:sz w:val="24"/>
          <w:szCs w:val="24"/>
        </w:rPr>
        <w:t>本项目混凝土路面噪声修正量</w:t>
      </w:r>
      <w:r>
        <w:rPr>
          <w:rFonts w:ascii="仿宋" w:hAnsi="仿宋" w:eastAsia="仿宋" w:cs="仿宋"/>
          <w:spacing w:val="-2"/>
          <w:sz w:val="24"/>
          <w:szCs w:val="24"/>
        </w:rPr>
        <w:t xml:space="preserve">   </w:t>
      </w:r>
      <w:r>
        <w:rPr>
          <w:rFonts w:ascii="仿宋" w:hAnsi="仿宋" w:eastAsia="仿宋" w:cs="仿宋"/>
          <w:b/>
          <w:bCs/>
          <w:spacing w:val="-2"/>
          <w:sz w:val="24"/>
          <w:szCs w:val="24"/>
        </w:rPr>
        <w:t>单位：dB（A）</w:t>
      </w:r>
    </w:p>
    <w:p w14:paraId="1154B04D">
      <w:pPr>
        <w:spacing w:line="145" w:lineRule="exact"/>
      </w:pPr>
    </w:p>
    <w:tbl>
      <w:tblPr>
        <w:tblStyle w:val="5"/>
        <w:tblW w:w="852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28"/>
        <w:gridCol w:w="2130"/>
        <w:gridCol w:w="2131"/>
        <w:gridCol w:w="2131"/>
      </w:tblGrid>
      <w:tr w14:paraId="06A48B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trPr>
        <w:tc>
          <w:tcPr>
            <w:tcW w:w="2128" w:type="dxa"/>
            <w:vMerge w:val="restart"/>
            <w:tcBorders>
              <w:top w:val="single" w:color="000000" w:sz="10" w:space="0"/>
              <w:left w:val="nil"/>
              <w:bottom w:val="nil"/>
            </w:tcBorders>
            <w:vAlign w:val="top"/>
          </w:tcPr>
          <w:p w14:paraId="36C48174">
            <w:pPr>
              <w:spacing w:before="221" w:line="232" w:lineRule="auto"/>
              <w:ind w:left="655"/>
              <w:rPr>
                <w:rFonts w:ascii="仿宋" w:hAnsi="仿宋" w:eastAsia="仿宋" w:cs="仿宋"/>
                <w:sz w:val="20"/>
                <w:szCs w:val="20"/>
              </w:rPr>
            </w:pPr>
            <w:r>
              <w:rPr>
                <w:rFonts w:ascii="仿宋" w:hAnsi="仿宋" w:eastAsia="仿宋" w:cs="仿宋"/>
                <w:spacing w:val="6"/>
                <w:sz w:val="20"/>
                <w:szCs w:val="20"/>
              </w:rPr>
              <w:t>路面类型</w:t>
            </w:r>
          </w:p>
        </w:tc>
        <w:tc>
          <w:tcPr>
            <w:tcW w:w="6392" w:type="dxa"/>
            <w:gridSpan w:val="3"/>
            <w:tcBorders>
              <w:top w:val="single" w:color="000000" w:sz="10" w:space="0"/>
              <w:right w:val="nil"/>
            </w:tcBorders>
            <w:vAlign w:val="top"/>
          </w:tcPr>
          <w:p w14:paraId="6CBC185F">
            <w:pPr>
              <w:pStyle w:val="6"/>
              <w:spacing w:before="53" w:line="228" w:lineRule="auto"/>
              <w:ind w:left="2052"/>
              <w:rPr>
                <w:sz w:val="20"/>
                <w:szCs w:val="20"/>
              </w:rPr>
            </w:pPr>
            <w:r>
              <w:rPr>
                <w:rFonts w:ascii="仿宋" w:hAnsi="仿宋" w:eastAsia="仿宋" w:cs="仿宋"/>
                <w:spacing w:val="8"/>
                <w:sz w:val="20"/>
                <w:szCs w:val="20"/>
              </w:rPr>
              <w:t>不同行驶速度修正量</w:t>
            </w:r>
            <w:r>
              <w:rPr>
                <w:sz w:val="20"/>
                <w:szCs w:val="20"/>
              </w:rPr>
              <w:t>km</w:t>
            </w:r>
            <w:r>
              <w:rPr>
                <w:spacing w:val="8"/>
                <w:sz w:val="20"/>
                <w:szCs w:val="20"/>
              </w:rPr>
              <w:t>/h</w:t>
            </w:r>
          </w:p>
        </w:tc>
      </w:tr>
      <w:tr w14:paraId="7B2995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 w:hRule="atLeast"/>
        </w:trPr>
        <w:tc>
          <w:tcPr>
            <w:tcW w:w="2128" w:type="dxa"/>
            <w:vMerge w:val="continue"/>
            <w:tcBorders>
              <w:top w:val="nil"/>
              <w:left w:val="nil"/>
            </w:tcBorders>
            <w:vAlign w:val="top"/>
          </w:tcPr>
          <w:p w14:paraId="6DC49E4B">
            <w:pPr>
              <w:rPr>
                <w:rFonts w:ascii="Arial"/>
                <w:sz w:val="21"/>
              </w:rPr>
            </w:pPr>
          </w:p>
        </w:tc>
        <w:tc>
          <w:tcPr>
            <w:tcW w:w="2130" w:type="dxa"/>
            <w:vAlign w:val="top"/>
          </w:tcPr>
          <w:p w14:paraId="674F3432">
            <w:pPr>
              <w:pStyle w:val="6"/>
              <w:spacing w:before="105" w:line="195" w:lineRule="auto"/>
              <w:ind w:left="966"/>
              <w:rPr>
                <w:sz w:val="20"/>
                <w:szCs w:val="20"/>
              </w:rPr>
            </w:pPr>
            <w:r>
              <w:rPr>
                <w:sz w:val="20"/>
                <w:szCs w:val="20"/>
              </w:rPr>
              <w:t>30</w:t>
            </w:r>
          </w:p>
        </w:tc>
        <w:tc>
          <w:tcPr>
            <w:tcW w:w="2131" w:type="dxa"/>
            <w:vAlign w:val="top"/>
          </w:tcPr>
          <w:p w14:paraId="3C5C743C">
            <w:pPr>
              <w:pStyle w:val="6"/>
              <w:spacing w:before="105" w:line="195" w:lineRule="auto"/>
              <w:ind w:left="962"/>
              <w:rPr>
                <w:sz w:val="20"/>
                <w:szCs w:val="20"/>
              </w:rPr>
            </w:pPr>
            <w:r>
              <w:rPr>
                <w:spacing w:val="3"/>
                <w:sz w:val="20"/>
                <w:szCs w:val="20"/>
              </w:rPr>
              <w:t>40</w:t>
            </w:r>
          </w:p>
        </w:tc>
        <w:tc>
          <w:tcPr>
            <w:tcW w:w="2131" w:type="dxa"/>
            <w:tcBorders>
              <w:right w:val="nil"/>
            </w:tcBorders>
            <w:vAlign w:val="top"/>
          </w:tcPr>
          <w:p w14:paraId="2F3D525C">
            <w:pPr>
              <w:pStyle w:val="6"/>
              <w:spacing w:before="105" w:line="195" w:lineRule="auto"/>
              <w:ind w:left="967"/>
              <w:rPr>
                <w:sz w:val="20"/>
                <w:szCs w:val="20"/>
              </w:rPr>
            </w:pPr>
            <w:r>
              <w:rPr>
                <w:sz w:val="20"/>
                <w:szCs w:val="20"/>
              </w:rPr>
              <w:t>50</w:t>
            </w:r>
          </w:p>
        </w:tc>
      </w:tr>
      <w:tr w14:paraId="33A509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2128" w:type="dxa"/>
            <w:tcBorders>
              <w:left w:val="nil"/>
              <w:bottom w:val="single" w:color="000000" w:sz="10" w:space="0"/>
            </w:tcBorders>
            <w:vAlign w:val="top"/>
          </w:tcPr>
          <w:p w14:paraId="743251BA">
            <w:pPr>
              <w:spacing w:before="75" w:line="232" w:lineRule="auto"/>
              <w:ind w:left="553"/>
              <w:rPr>
                <w:rFonts w:ascii="仿宋" w:hAnsi="仿宋" w:eastAsia="仿宋" w:cs="仿宋"/>
                <w:sz w:val="20"/>
                <w:szCs w:val="20"/>
              </w:rPr>
            </w:pPr>
            <w:r>
              <w:rPr>
                <w:rFonts w:ascii="仿宋" w:hAnsi="仿宋" w:eastAsia="仿宋" w:cs="仿宋"/>
                <w:spacing w:val="7"/>
                <w:sz w:val="20"/>
                <w:szCs w:val="20"/>
              </w:rPr>
              <w:t>水泥混凝土</w:t>
            </w:r>
          </w:p>
        </w:tc>
        <w:tc>
          <w:tcPr>
            <w:tcW w:w="2130" w:type="dxa"/>
            <w:tcBorders>
              <w:bottom w:val="single" w:color="000000" w:sz="10" w:space="0"/>
            </w:tcBorders>
            <w:vAlign w:val="top"/>
          </w:tcPr>
          <w:p w14:paraId="6237C06B">
            <w:pPr>
              <w:pStyle w:val="6"/>
              <w:spacing w:before="111" w:line="195" w:lineRule="auto"/>
              <w:ind w:left="875"/>
              <w:rPr>
                <w:sz w:val="20"/>
                <w:szCs w:val="20"/>
              </w:rPr>
            </w:pPr>
            <w:r>
              <w:rPr>
                <w:spacing w:val="3"/>
                <w:sz w:val="20"/>
                <w:szCs w:val="20"/>
              </w:rPr>
              <w:t>+1.0</w:t>
            </w:r>
          </w:p>
        </w:tc>
        <w:tc>
          <w:tcPr>
            <w:tcW w:w="2131" w:type="dxa"/>
            <w:tcBorders>
              <w:bottom w:val="single" w:color="000000" w:sz="10" w:space="0"/>
            </w:tcBorders>
            <w:vAlign w:val="top"/>
          </w:tcPr>
          <w:p w14:paraId="6AFD1A57">
            <w:pPr>
              <w:pStyle w:val="6"/>
              <w:spacing w:before="111" w:line="195" w:lineRule="auto"/>
              <w:ind w:left="876"/>
              <w:rPr>
                <w:sz w:val="20"/>
                <w:szCs w:val="20"/>
              </w:rPr>
            </w:pPr>
            <w:r>
              <w:rPr>
                <w:spacing w:val="3"/>
                <w:sz w:val="20"/>
                <w:szCs w:val="20"/>
              </w:rPr>
              <w:t>+1.5</w:t>
            </w:r>
          </w:p>
        </w:tc>
        <w:tc>
          <w:tcPr>
            <w:tcW w:w="2131" w:type="dxa"/>
            <w:tcBorders>
              <w:bottom w:val="single" w:color="000000" w:sz="10" w:space="0"/>
              <w:right w:val="nil"/>
            </w:tcBorders>
            <w:vAlign w:val="top"/>
          </w:tcPr>
          <w:p w14:paraId="3FE1E82F">
            <w:pPr>
              <w:pStyle w:val="6"/>
              <w:spacing w:before="111" w:line="195" w:lineRule="auto"/>
              <w:ind w:left="877"/>
              <w:rPr>
                <w:sz w:val="20"/>
                <w:szCs w:val="20"/>
              </w:rPr>
            </w:pPr>
            <w:r>
              <w:rPr>
                <w:spacing w:val="3"/>
                <w:sz w:val="20"/>
                <w:szCs w:val="20"/>
              </w:rPr>
              <w:t>+2.0</w:t>
            </w:r>
          </w:p>
        </w:tc>
      </w:tr>
    </w:tbl>
    <w:p w14:paraId="076C45E0">
      <w:pPr>
        <w:spacing w:before="271" w:line="222" w:lineRule="auto"/>
        <w:ind w:left="608"/>
        <w:rPr>
          <w:rFonts w:ascii="仿宋" w:hAnsi="仿宋" w:eastAsia="仿宋" w:cs="仿宋"/>
          <w:sz w:val="24"/>
          <w:szCs w:val="24"/>
        </w:rPr>
      </w:pPr>
      <w:r>
        <w:rPr>
          <w:rFonts w:ascii="仿宋" w:hAnsi="仿宋" w:eastAsia="仿宋" w:cs="仿宋"/>
          <w:spacing w:val="-1"/>
          <w:sz w:val="24"/>
          <w:szCs w:val="24"/>
        </w:rPr>
        <w:t>（</w:t>
      </w:r>
      <w:r>
        <w:rPr>
          <w:rFonts w:ascii="Times New Roman" w:hAnsi="Times New Roman" w:eastAsia="Times New Roman" w:cs="Times New Roman"/>
          <w:spacing w:val="-1"/>
          <w:sz w:val="24"/>
          <w:szCs w:val="24"/>
        </w:rPr>
        <w:t>6</w:t>
      </w:r>
      <w:r>
        <w:rPr>
          <w:rFonts w:ascii="仿宋" w:hAnsi="仿宋" w:eastAsia="仿宋" w:cs="仿宋"/>
          <w:spacing w:val="-1"/>
          <w:sz w:val="24"/>
          <w:szCs w:val="24"/>
        </w:rPr>
        <w:t>）声波传播途径中引起的衰减量 (</w:t>
      </w:r>
      <w:r>
        <w:rPr>
          <w:rFonts w:ascii="Times New Roman" w:hAnsi="Times New Roman" w:eastAsia="Times New Roman" w:cs="Times New Roman"/>
          <w:spacing w:val="-1"/>
          <w:sz w:val="24"/>
          <w:szCs w:val="24"/>
        </w:rPr>
        <w:t>ΔL</w:t>
      </w:r>
      <w:r>
        <w:rPr>
          <w:rFonts w:ascii="Times New Roman" w:hAnsi="Times New Roman" w:eastAsia="Times New Roman" w:cs="Times New Roman"/>
          <w:spacing w:val="-1"/>
          <w:sz w:val="15"/>
          <w:szCs w:val="15"/>
        </w:rPr>
        <w:t>2</w:t>
      </w:r>
      <w:r>
        <w:rPr>
          <w:rFonts w:ascii="仿宋" w:hAnsi="仿宋" w:eastAsia="仿宋" w:cs="仿宋"/>
          <w:spacing w:val="-1"/>
          <w:sz w:val="24"/>
          <w:szCs w:val="24"/>
        </w:rPr>
        <w:t>）</w:t>
      </w:r>
    </w:p>
    <w:p w14:paraId="44AEB9C9">
      <w:pPr>
        <w:spacing w:before="179" w:line="222" w:lineRule="auto"/>
        <w:ind w:left="596"/>
        <w:rPr>
          <w:rFonts w:ascii="仿宋" w:hAnsi="仿宋" w:eastAsia="仿宋" w:cs="仿宋"/>
          <w:sz w:val="24"/>
          <w:szCs w:val="24"/>
        </w:rPr>
      </w:pPr>
      <w:r>
        <w:rPr>
          <w:rFonts w:ascii="宋体" w:hAnsi="宋体" w:eastAsia="宋体" w:cs="宋体"/>
          <w:sz w:val="24"/>
          <w:szCs w:val="24"/>
        </w:rPr>
        <w:t>①</w:t>
      </w:r>
      <w:r>
        <w:rPr>
          <w:rFonts w:ascii="仿宋" w:hAnsi="仿宋" w:eastAsia="仿宋" w:cs="仿宋"/>
          <w:sz w:val="24"/>
          <w:szCs w:val="24"/>
        </w:rPr>
        <w:t>大气吸收引起的衰减（</w:t>
      </w:r>
      <w:r>
        <w:rPr>
          <w:rFonts w:ascii="Times New Roman" w:hAnsi="Times New Roman" w:eastAsia="Times New Roman" w:cs="Times New Roman"/>
          <w:sz w:val="24"/>
          <w:szCs w:val="24"/>
        </w:rPr>
        <w:t>A</w:t>
      </w:r>
      <w:r>
        <w:rPr>
          <w:rFonts w:ascii="Times New Roman" w:hAnsi="Times New Roman" w:eastAsia="Times New Roman" w:cs="Times New Roman"/>
          <w:sz w:val="15"/>
          <w:szCs w:val="15"/>
        </w:rPr>
        <w:t>atm</w:t>
      </w:r>
      <w:r>
        <w:rPr>
          <w:rFonts w:ascii="仿宋" w:hAnsi="仿宋" w:eastAsia="仿宋" w:cs="仿宋"/>
          <w:sz w:val="24"/>
          <w:szCs w:val="24"/>
        </w:rPr>
        <w:t>）</w:t>
      </w:r>
    </w:p>
    <w:p w14:paraId="6A5FEA5B">
      <w:pPr>
        <w:spacing w:before="179" w:line="222" w:lineRule="auto"/>
        <w:ind w:left="603"/>
        <w:rPr>
          <w:rFonts w:ascii="仿宋" w:hAnsi="仿宋" w:eastAsia="仿宋" w:cs="仿宋"/>
          <w:sz w:val="24"/>
          <w:szCs w:val="24"/>
        </w:rPr>
      </w:pPr>
      <w:r>
        <w:rPr>
          <w:rFonts w:ascii="仿宋" w:hAnsi="仿宋" w:eastAsia="仿宋" w:cs="仿宋"/>
          <w:spacing w:val="-2"/>
          <w:sz w:val="24"/>
          <w:szCs w:val="24"/>
        </w:rPr>
        <w:t>按以下公式计算：</w:t>
      </w:r>
    </w:p>
    <w:p w14:paraId="3EB4F483">
      <w:pPr>
        <w:spacing w:before="137" w:line="356" w:lineRule="auto"/>
        <w:ind w:left="609" w:right="3015" w:firstLine="2886"/>
        <w:rPr>
          <w:rFonts w:ascii="仿宋" w:hAnsi="仿宋" w:eastAsia="仿宋" w:cs="仿宋"/>
          <w:sz w:val="24"/>
          <w:szCs w:val="24"/>
        </w:rPr>
      </w:pPr>
      <w:r>
        <w:rPr>
          <w:rFonts w:ascii="Times New Roman" w:hAnsi="Times New Roman" w:eastAsia="Times New Roman" w:cs="Times New Roman"/>
          <w:sz w:val="24"/>
          <w:szCs w:val="24"/>
        </w:rPr>
        <w:t>A</w:t>
      </w:r>
      <w:r>
        <w:rPr>
          <w:rFonts w:ascii="Times New Roman" w:hAnsi="Times New Roman" w:eastAsia="Times New Roman" w:cs="Times New Roman"/>
          <w:position w:val="-1"/>
          <w:sz w:val="15"/>
          <w:szCs w:val="15"/>
        </w:rPr>
        <w:t>atm</w:t>
      </w:r>
      <w:r>
        <w:rPr>
          <w:rFonts w:ascii="Times New Roman" w:hAnsi="Times New Roman" w:eastAsia="Times New Roman" w:cs="Times New Roman"/>
          <w:sz w:val="24"/>
          <w:szCs w:val="24"/>
        </w:rPr>
        <w:t>=α</w:t>
      </w:r>
      <w:r>
        <w:rPr>
          <w:rFonts w:ascii="仿宋" w:hAnsi="仿宋" w:eastAsia="仿宋" w:cs="仿宋"/>
          <w:sz w:val="24"/>
          <w:szCs w:val="24"/>
        </w:rPr>
        <w:t>（</w:t>
      </w:r>
      <w:r>
        <w:rPr>
          <w:rFonts w:ascii="Times New Roman" w:hAnsi="Times New Roman" w:eastAsia="Times New Roman" w:cs="Times New Roman"/>
          <w:sz w:val="24"/>
          <w:szCs w:val="24"/>
        </w:rPr>
        <w:t>r-r</w:t>
      </w:r>
      <w:r>
        <w:rPr>
          <w:rFonts w:ascii="Times New Roman" w:hAnsi="Times New Roman" w:eastAsia="Times New Roman" w:cs="Times New Roman"/>
          <w:sz w:val="15"/>
          <w:szCs w:val="15"/>
        </w:rPr>
        <w:t>0</w:t>
      </w:r>
      <w:r>
        <w:rPr>
          <w:rFonts w:ascii="仿宋" w:hAnsi="仿宋" w:eastAsia="仿宋" w:cs="仿宋"/>
          <w:sz w:val="24"/>
          <w:szCs w:val="24"/>
        </w:rPr>
        <w:t>）</w:t>
      </w:r>
      <w:r>
        <w:rPr>
          <w:rFonts w:ascii="Times New Roman" w:hAnsi="Times New Roman" w:eastAsia="Times New Roman" w:cs="Times New Roman"/>
          <w:sz w:val="24"/>
          <w:szCs w:val="24"/>
        </w:rPr>
        <w:t>/1000</w:t>
      </w:r>
      <w:r>
        <w:rPr>
          <w:rFonts w:ascii="仿宋" w:hAnsi="仿宋" w:eastAsia="仿宋" w:cs="仿宋"/>
          <w:spacing w:val="-8"/>
          <w:sz w:val="24"/>
          <w:szCs w:val="24"/>
        </w:rPr>
        <w:t>式中：</w:t>
      </w:r>
    </w:p>
    <w:p w14:paraId="5D7A1729">
      <w:pPr>
        <w:spacing w:before="54" w:line="222" w:lineRule="auto"/>
        <w:ind w:left="1309"/>
        <w:rPr>
          <w:rFonts w:ascii="仿宋" w:hAnsi="仿宋" w:eastAsia="仿宋" w:cs="仿宋"/>
          <w:sz w:val="24"/>
          <w:szCs w:val="24"/>
        </w:rPr>
      </w:pPr>
      <w:r>
        <w:rPr>
          <w:rFonts w:ascii="Times New Roman" w:hAnsi="Times New Roman" w:eastAsia="Times New Roman" w:cs="Times New Roman"/>
          <w:sz w:val="24"/>
          <w:szCs w:val="24"/>
        </w:rPr>
        <w:t>A</w:t>
      </w:r>
      <w:r>
        <w:rPr>
          <w:rFonts w:ascii="Times New Roman" w:hAnsi="Times New Roman" w:eastAsia="Times New Roman" w:cs="Times New Roman"/>
          <w:position w:val="-1"/>
          <w:sz w:val="15"/>
          <w:szCs w:val="15"/>
        </w:rPr>
        <w:t>atm</w:t>
      </w:r>
      <w:r>
        <w:rPr>
          <w:rFonts w:ascii="Times New Roman" w:hAnsi="Times New Roman" w:eastAsia="Times New Roman" w:cs="Times New Roman"/>
          <w:sz w:val="24"/>
          <w:szCs w:val="24"/>
        </w:rPr>
        <w:t>—</w:t>
      </w:r>
      <w:r>
        <w:rPr>
          <w:rFonts w:ascii="仿宋" w:hAnsi="仿宋" w:eastAsia="仿宋" w:cs="仿宋"/>
          <w:sz w:val="24"/>
          <w:szCs w:val="24"/>
        </w:rPr>
        <w:t>大气吸收引起的衰减，</w:t>
      </w:r>
      <w:r>
        <w:rPr>
          <w:rFonts w:ascii="Times New Roman" w:hAnsi="Times New Roman" w:eastAsia="Times New Roman" w:cs="Times New Roman"/>
          <w:sz w:val="24"/>
          <w:szCs w:val="24"/>
        </w:rPr>
        <w:t>dB</w:t>
      </w:r>
      <w:r>
        <w:rPr>
          <w:rFonts w:ascii="仿宋" w:hAnsi="仿宋" w:eastAsia="仿宋" w:cs="仿宋"/>
          <w:sz w:val="24"/>
          <w:szCs w:val="24"/>
        </w:rPr>
        <w:t>；</w:t>
      </w:r>
    </w:p>
    <w:p w14:paraId="67BBEEC6">
      <w:pPr>
        <w:spacing w:before="179" w:line="360" w:lineRule="auto"/>
        <w:ind w:left="127" w:right="106" w:firstLine="1190"/>
        <w:rPr>
          <w:rFonts w:ascii="仿宋" w:hAnsi="仿宋" w:eastAsia="仿宋" w:cs="仿宋"/>
          <w:sz w:val="24"/>
          <w:szCs w:val="24"/>
        </w:rPr>
      </w:pPr>
      <w:r>
        <w:rPr>
          <w:rFonts w:ascii="Times New Roman" w:hAnsi="Times New Roman" w:eastAsia="Times New Roman" w:cs="Times New Roman"/>
          <w:sz w:val="24"/>
          <w:szCs w:val="24"/>
        </w:rPr>
        <w:t>α—</w:t>
      </w:r>
      <w:r>
        <w:rPr>
          <w:rFonts w:ascii="仿宋" w:hAnsi="仿宋" w:eastAsia="仿宋" w:cs="仿宋"/>
          <w:sz w:val="24"/>
          <w:szCs w:val="24"/>
        </w:rPr>
        <w:t>与温度、湿度和声波频率有关的大气吸收衰减系数，预测计算中</w:t>
      </w:r>
      <w:r>
        <w:rPr>
          <w:rFonts w:ascii="仿宋" w:hAnsi="仿宋" w:eastAsia="仿宋" w:cs="仿宋"/>
          <w:spacing w:val="4"/>
          <w:sz w:val="24"/>
          <w:szCs w:val="24"/>
        </w:rPr>
        <w:t>一般根据建设项目所处区域常年平均气温和湿度选择</w:t>
      </w:r>
      <w:r>
        <w:rPr>
          <w:rFonts w:ascii="仿宋" w:hAnsi="仿宋" w:eastAsia="仿宋" w:cs="仿宋"/>
          <w:spacing w:val="3"/>
          <w:sz w:val="24"/>
          <w:szCs w:val="24"/>
        </w:rPr>
        <w:t>相应的大气吸收衰减系数</w:t>
      </w:r>
      <w:r>
        <w:rPr>
          <w:rFonts w:ascii="仿宋" w:hAnsi="仿宋" w:eastAsia="仿宋" w:cs="仿宋"/>
          <w:spacing w:val="-3"/>
          <w:sz w:val="24"/>
          <w:szCs w:val="24"/>
        </w:rPr>
        <w:t>（根据《环境影响评价技术导则 声环境》（</w:t>
      </w:r>
      <w:r>
        <w:rPr>
          <w:rFonts w:ascii="Times New Roman" w:hAnsi="Times New Roman" w:eastAsia="Times New Roman" w:cs="Times New Roman"/>
          <w:spacing w:val="-3"/>
          <w:sz w:val="24"/>
          <w:szCs w:val="24"/>
        </w:rPr>
        <w:t>HJ2.4-2021</w:t>
      </w:r>
      <w:r>
        <w:rPr>
          <w:rFonts w:ascii="仿宋" w:hAnsi="仿宋" w:eastAsia="仿宋" w:cs="仿宋"/>
          <w:spacing w:val="-3"/>
          <w:sz w:val="24"/>
          <w:szCs w:val="24"/>
        </w:rPr>
        <w:t>）表</w:t>
      </w:r>
      <w:r>
        <w:rPr>
          <w:rFonts w:ascii="仿宋" w:hAnsi="仿宋" w:eastAsia="仿宋" w:cs="仿宋"/>
          <w:spacing w:val="-58"/>
          <w:sz w:val="24"/>
          <w:szCs w:val="24"/>
        </w:rPr>
        <w:t xml:space="preserve"> </w:t>
      </w:r>
      <w:r>
        <w:rPr>
          <w:rFonts w:ascii="Times New Roman" w:hAnsi="Times New Roman" w:eastAsia="Times New Roman" w:cs="Times New Roman"/>
          <w:spacing w:val="-3"/>
          <w:sz w:val="24"/>
          <w:szCs w:val="24"/>
        </w:rPr>
        <w:t>A.2</w:t>
      </w:r>
      <w:r>
        <w:rPr>
          <w:rFonts w:ascii="Times New Roman" w:hAnsi="Times New Roman" w:eastAsia="Times New Roman" w:cs="Times New Roman"/>
          <w:spacing w:val="-27"/>
          <w:sz w:val="24"/>
          <w:szCs w:val="24"/>
        </w:rPr>
        <w:t xml:space="preserve"> </w:t>
      </w:r>
      <w:r>
        <w:rPr>
          <w:rFonts w:ascii="仿宋" w:hAnsi="仿宋" w:eastAsia="仿宋" w:cs="仿宋"/>
          <w:spacing w:val="-3"/>
          <w:sz w:val="24"/>
          <w:szCs w:val="24"/>
        </w:rPr>
        <w:t>，大气</w:t>
      </w:r>
      <w:r>
        <w:rPr>
          <w:rFonts w:ascii="仿宋" w:hAnsi="仿宋" w:eastAsia="仿宋" w:cs="仿宋"/>
          <w:spacing w:val="-4"/>
          <w:sz w:val="24"/>
          <w:szCs w:val="24"/>
        </w:rPr>
        <w:t>吸收衰减</w:t>
      </w:r>
      <w:r>
        <w:rPr>
          <w:rFonts w:ascii="仿宋" w:hAnsi="仿宋" w:eastAsia="仿宋" w:cs="仿宋"/>
          <w:spacing w:val="-3"/>
          <w:sz w:val="24"/>
          <w:szCs w:val="24"/>
        </w:rPr>
        <w:t>系数见表</w:t>
      </w:r>
      <w:r>
        <w:rPr>
          <w:rFonts w:ascii="仿宋" w:hAnsi="仿宋" w:eastAsia="仿宋" w:cs="仿宋"/>
          <w:spacing w:val="-52"/>
          <w:sz w:val="24"/>
          <w:szCs w:val="24"/>
        </w:rPr>
        <w:t xml:space="preserve"> </w:t>
      </w:r>
      <w:r>
        <w:rPr>
          <w:rFonts w:ascii="Times New Roman" w:hAnsi="Times New Roman" w:eastAsia="Times New Roman" w:cs="Times New Roman"/>
          <w:spacing w:val="-3"/>
          <w:sz w:val="24"/>
          <w:szCs w:val="24"/>
        </w:rPr>
        <w:t>4.2-2</w:t>
      </w:r>
      <w:r>
        <w:rPr>
          <w:rFonts w:ascii="仿宋" w:hAnsi="仿宋" w:eastAsia="仿宋" w:cs="仿宋"/>
          <w:spacing w:val="-3"/>
          <w:sz w:val="24"/>
          <w:szCs w:val="24"/>
        </w:rPr>
        <w:t>。</w:t>
      </w:r>
    </w:p>
    <w:p w14:paraId="7964B54D">
      <w:pPr>
        <w:spacing w:line="222" w:lineRule="auto"/>
        <w:ind w:left="1309"/>
        <w:rPr>
          <w:rFonts w:ascii="仿宋" w:hAnsi="仿宋" w:eastAsia="仿宋" w:cs="仿宋"/>
          <w:sz w:val="24"/>
          <w:szCs w:val="24"/>
        </w:rPr>
      </w:pPr>
      <w:r>
        <w:rPr>
          <w:rFonts w:ascii="Times New Roman" w:hAnsi="Times New Roman" w:eastAsia="Times New Roman" w:cs="Times New Roman"/>
          <w:spacing w:val="-1"/>
          <w:sz w:val="24"/>
          <w:szCs w:val="24"/>
        </w:rPr>
        <w:t>r—</w:t>
      </w:r>
      <w:r>
        <w:rPr>
          <w:rFonts w:ascii="仿宋" w:hAnsi="仿宋" w:eastAsia="仿宋" w:cs="仿宋"/>
          <w:spacing w:val="-1"/>
          <w:sz w:val="24"/>
          <w:szCs w:val="24"/>
        </w:rPr>
        <w:t>预测点距离声源的距离；</w:t>
      </w:r>
    </w:p>
    <w:p w14:paraId="3787B314">
      <w:pPr>
        <w:spacing w:before="180" w:line="222" w:lineRule="auto"/>
        <w:ind w:left="1309"/>
        <w:rPr>
          <w:rFonts w:ascii="仿宋" w:hAnsi="仿宋" w:eastAsia="仿宋" w:cs="仿宋"/>
          <w:sz w:val="24"/>
          <w:szCs w:val="24"/>
        </w:rPr>
      </w:pPr>
      <w:r>
        <w:rPr>
          <w:rFonts w:ascii="Times New Roman" w:hAnsi="Times New Roman" w:eastAsia="Times New Roman" w:cs="Times New Roman"/>
          <w:spacing w:val="-1"/>
          <w:sz w:val="24"/>
          <w:szCs w:val="24"/>
        </w:rPr>
        <w:t>r</w:t>
      </w:r>
      <w:r>
        <w:rPr>
          <w:rFonts w:ascii="Times New Roman" w:hAnsi="Times New Roman" w:eastAsia="Times New Roman" w:cs="Times New Roman"/>
          <w:spacing w:val="-1"/>
          <w:position w:val="-1"/>
          <w:sz w:val="15"/>
          <w:szCs w:val="15"/>
        </w:rPr>
        <w:t>0</w:t>
      </w:r>
      <w:r>
        <w:rPr>
          <w:rFonts w:ascii="Times New Roman" w:hAnsi="Times New Roman" w:eastAsia="Times New Roman" w:cs="Times New Roman"/>
          <w:spacing w:val="-1"/>
          <w:sz w:val="24"/>
          <w:szCs w:val="24"/>
        </w:rPr>
        <w:t>—</w:t>
      </w:r>
      <w:r>
        <w:rPr>
          <w:rFonts w:ascii="仿宋" w:hAnsi="仿宋" w:eastAsia="仿宋" w:cs="仿宋"/>
          <w:spacing w:val="-1"/>
          <w:sz w:val="24"/>
          <w:szCs w:val="24"/>
        </w:rPr>
        <w:t>参考点距声源的距离。</w:t>
      </w:r>
    </w:p>
    <w:p w14:paraId="55FB6BC5">
      <w:pPr>
        <w:spacing w:line="222" w:lineRule="auto"/>
        <w:rPr>
          <w:rFonts w:ascii="仿宋" w:hAnsi="仿宋" w:eastAsia="仿宋" w:cs="仿宋"/>
          <w:sz w:val="24"/>
          <w:szCs w:val="24"/>
        </w:rPr>
        <w:sectPr>
          <w:footerReference r:id="rId180" w:type="default"/>
          <w:pgSz w:w="11906" w:h="16839"/>
          <w:pgMar w:top="400" w:right="1692" w:bottom="1370" w:left="1691" w:header="0" w:footer="1207" w:gutter="0"/>
          <w:cols w:space="720" w:num="1"/>
        </w:sectPr>
      </w:pPr>
    </w:p>
    <w:p w14:paraId="19A8CE3B">
      <w:pPr>
        <w:pStyle w:val="2"/>
        <w:spacing w:line="247" w:lineRule="auto"/>
        <w:rPr>
          <w:sz w:val="21"/>
        </w:rPr>
      </w:pPr>
    </w:p>
    <w:p w14:paraId="6FD682BB">
      <w:pPr>
        <w:pStyle w:val="2"/>
        <w:spacing w:line="247" w:lineRule="auto"/>
        <w:rPr>
          <w:sz w:val="21"/>
        </w:rPr>
      </w:pPr>
    </w:p>
    <w:p w14:paraId="0B86B7AA">
      <w:pPr>
        <w:pStyle w:val="2"/>
        <w:spacing w:line="248" w:lineRule="auto"/>
        <w:rPr>
          <w:sz w:val="21"/>
        </w:rPr>
      </w:pPr>
    </w:p>
    <w:p w14:paraId="18D5FBFF">
      <w:pPr>
        <w:pStyle w:val="2"/>
        <w:spacing w:line="248" w:lineRule="auto"/>
        <w:rPr>
          <w:sz w:val="21"/>
        </w:rPr>
      </w:pPr>
    </w:p>
    <w:p w14:paraId="35B68259">
      <w:pPr>
        <w:spacing w:before="78" w:line="220" w:lineRule="auto"/>
        <w:ind w:left="934"/>
        <w:rPr>
          <w:rFonts w:ascii="仿宋" w:hAnsi="仿宋" w:eastAsia="仿宋" w:cs="仿宋"/>
          <w:sz w:val="24"/>
          <w:szCs w:val="24"/>
        </w:rPr>
      </w:pPr>
      <w:r>
        <w:rPr>
          <w:rFonts w:ascii="仿宋" w:hAnsi="仿宋" w:eastAsia="仿宋" w:cs="仿宋"/>
          <w:b/>
          <w:bCs/>
          <w:spacing w:val="-2"/>
          <w:sz w:val="24"/>
          <w:szCs w:val="24"/>
        </w:rPr>
        <w:t>表</w:t>
      </w:r>
      <w:r>
        <w:rPr>
          <w:rFonts w:ascii="仿宋" w:hAnsi="仿宋" w:eastAsia="仿宋" w:cs="仿宋"/>
          <w:spacing w:val="-53"/>
          <w:sz w:val="24"/>
          <w:szCs w:val="24"/>
        </w:rPr>
        <w:t xml:space="preserve"> </w:t>
      </w:r>
      <w:r>
        <w:rPr>
          <w:rFonts w:ascii="仿宋" w:hAnsi="仿宋" w:eastAsia="仿宋" w:cs="仿宋"/>
          <w:b/>
          <w:bCs/>
          <w:spacing w:val="-2"/>
          <w:sz w:val="24"/>
          <w:szCs w:val="24"/>
        </w:rPr>
        <w:t>4.2-2</w:t>
      </w:r>
      <w:r>
        <w:rPr>
          <w:rFonts w:ascii="仿宋" w:hAnsi="仿宋" w:eastAsia="仿宋" w:cs="仿宋"/>
          <w:spacing w:val="-2"/>
          <w:sz w:val="24"/>
          <w:szCs w:val="24"/>
        </w:rPr>
        <w:t xml:space="preserve">     </w:t>
      </w:r>
      <w:r>
        <w:rPr>
          <w:rFonts w:ascii="仿宋" w:hAnsi="仿宋" w:eastAsia="仿宋" w:cs="仿宋"/>
          <w:b/>
          <w:bCs/>
          <w:spacing w:val="-2"/>
          <w:sz w:val="24"/>
          <w:szCs w:val="24"/>
        </w:rPr>
        <w:t>倍频带噪声的大气吸收衰减系数</w:t>
      </w:r>
      <w:r>
        <w:rPr>
          <w:rFonts w:ascii="仿宋" w:hAnsi="仿宋" w:eastAsia="仿宋" w:cs="仿宋"/>
          <w:spacing w:val="-2"/>
          <w:sz w:val="24"/>
          <w:szCs w:val="24"/>
        </w:rPr>
        <w:t xml:space="preserve">  </w:t>
      </w:r>
      <w:r>
        <w:rPr>
          <w:rFonts w:ascii="仿宋" w:hAnsi="仿宋" w:eastAsia="仿宋" w:cs="仿宋"/>
          <w:b/>
          <w:bCs/>
          <w:spacing w:val="-2"/>
          <w:sz w:val="24"/>
          <w:szCs w:val="24"/>
        </w:rPr>
        <w:t>单位：dB（A）</w:t>
      </w:r>
    </w:p>
    <w:p w14:paraId="7B542100">
      <w:pPr>
        <w:spacing w:line="145" w:lineRule="exact"/>
      </w:pPr>
    </w:p>
    <w:tbl>
      <w:tblPr>
        <w:tblStyle w:val="5"/>
        <w:tblW w:w="851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09"/>
        <w:gridCol w:w="766"/>
        <w:gridCol w:w="878"/>
        <w:gridCol w:w="103"/>
        <w:gridCol w:w="886"/>
        <w:gridCol w:w="898"/>
        <w:gridCol w:w="768"/>
        <w:gridCol w:w="898"/>
        <w:gridCol w:w="898"/>
        <w:gridCol w:w="883"/>
        <w:gridCol w:w="103"/>
        <w:gridCol w:w="828"/>
      </w:tblGrid>
      <w:tr w14:paraId="579700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609" w:type="dxa"/>
            <w:vMerge w:val="restart"/>
            <w:tcBorders>
              <w:top w:val="single" w:color="000000" w:sz="10" w:space="0"/>
              <w:left w:val="nil"/>
              <w:bottom w:val="nil"/>
            </w:tcBorders>
            <w:vAlign w:val="top"/>
          </w:tcPr>
          <w:p w14:paraId="7BA28B60">
            <w:pPr>
              <w:pStyle w:val="6"/>
              <w:spacing w:before="182" w:line="257" w:lineRule="auto"/>
              <w:ind w:left="172" w:right="90" w:hanging="58"/>
              <w:rPr>
                <w:sz w:val="20"/>
                <w:szCs w:val="20"/>
              </w:rPr>
            </w:pPr>
            <w:r>
              <w:rPr>
                <w:rFonts w:ascii="仿宋" w:hAnsi="仿宋" w:eastAsia="仿宋" w:cs="仿宋"/>
                <w:sz w:val="20"/>
                <w:szCs w:val="20"/>
              </w:rPr>
              <w:t>温度</w:t>
            </w:r>
            <w:r>
              <w:rPr>
                <w:spacing w:val="5"/>
                <w:sz w:val="20"/>
                <w:szCs w:val="20"/>
              </w:rPr>
              <w:t>/℃</w:t>
            </w:r>
          </w:p>
        </w:tc>
        <w:tc>
          <w:tcPr>
            <w:tcW w:w="766" w:type="dxa"/>
            <w:vMerge w:val="restart"/>
            <w:tcBorders>
              <w:top w:val="single" w:color="000000" w:sz="10" w:space="0"/>
              <w:bottom w:val="nil"/>
            </w:tcBorders>
            <w:vAlign w:val="top"/>
          </w:tcPr>
          <w:p w14:paraId="1A3D05CA">
            <w:pPr>
              <w:pStyle w:val="6"/>
              <w:spacing w:before="165" w:line="253" w:lineRule="auto"/>
              <w:ind w:left="186" w:right="54" w:hanging="94"/>
              <w:rPr>
                <w:sz w:val="20"/>
                <w:szCs w:val="20"/>
              </w:rPr>
            </w:pPr>
            <w:r>
              <w:rPr>
                <w:rFonts w:ascii="仿宋" w:hAnsi="仿宋" w:eastAsia="仿宋" w:cs="仿宋"/>
                <w:spacing w:val="4"/>
                <w:sz w:val="20"/>
                <w:szCs w:val="20"/>
              </w:rPr>
              <w:t>相对湿</w:t>
            </w:r>
            <w:r>
              <w:rPr>
                <w:rFonts w:ascii="仿宋" w:hAnsi="仿宋" w:eastAsia="仿宋" w:cs="仿宋"/>
                <w:spacing w:val="1"/>
                <w:sz w:val="20"/>
                <w:szCs w:val="20"/>
              </w:rPr>
              <w:t>度</w:t>
            </w:r>
            <w:r>
              <w:rPr>
                <w:spacing w:val="1"/>
                <w:sz w:val="20"/>
                <w:szCs w:val="20"/>
              </w:rPr>
              <w:t>/%</w:t>
            </w:r>
          </w:p>
        </w:tc>
        <w:tc>
          <w:tcPr>
            <w:tcW w:w="7143" w:type="dxa"/>
            <w:gridSpan w:val="10"/>
            <w:tcBorders>
              <w:top w:val="single" w:color="000000" w:sz="10" w:space="0"/>
              <w:right w:val="nil"/>
            </w:tcBorders>
            <w:vAlign w:val="top"/>
          </w:tcPr>
          <w:p w14:paraId="5B9C6B37">
            <w:pPr>
              <w:pStyle w:val="6"/>
              <w:spacing w:before="35" w:line="215" w:lineRule="auto"/>
              <w:ind w:left="2173"/>
              <w:rPr>
                <w:rFonts w:ascii="仿宋" w:hAnsi="仿宋" w:eastAsia="仿宋" w:cs="仿宋"/>
                <w:sz w:val="20"/>
                <w:szCs w:val="20"/>
              </w:rPr>
            </w:pPr>
            <w:r>
              <w:rPr>
                <w:rFonts w:ascii="仿宋" w:hAnsi="仿宋" w:eastAsia="仿宋" w:cs="仿宋"/>
                <w:spacing w:val="8"/>
                <w:sz w:val="20"/>
                <w:szCs w:val="20"/>
              </w:rPr>
              <w:t>大气吸收衰减系数</w:t>
            </w:r>
            <w:r>
              <w:rPr>
                <w:spacing w:val="8"/>
                <w:sz w:val="20"/>
                <w:szCs w:val="20"/>
              </w:rPr>
              <w:t>α/</w:t>
            </w:r>
            <w:r>
              <w:rPr>
                <w:rFonts w:ascii="仿宋" w:hAnsi="仿宋" w:eastAsia="仿宋" w:cs="仿宋"/>
                <w:spacing w:val="8"/>
                <w:sz w:val="20"/>
                <w:szCs w:val="20"/>
              </w:rPr>
              <w:t>（</w:t>
            </w:r>
            <w:r>
              <w:rPr>
                <w:sz w:val="20"/>
                <w:szCs w:val="20"/>
              </w:rPr>
              <w:t>dB</w:t>
            </w:r>
            <w:r>
              <w:rPr>
                <w:spacing w:val="8"/>
                <w:sz w:val="20"/>
                <w:szCs w:val="20"/>
              </w:rPr>
              <w:t>/</w:t>
            </w:r>
            <w:r>
              <w:rPr>
                <w:sz w:val="20"/>
                <w:szCs w:val="20"/>
              </w:rPr>
              <w:t>km</w:t>
            </w:r>
            <w:r>
              <w:rPr>
                <w:rFonts w:ascii="仿宋" w:hAnsi="仿宋" w:eastAsia="仿宋" w:cs="仿宋"/>
                <w:spacing w:val="8"/>
                <w:sz w:val="20"/>
                <w:szCs w:val="20"/>
              </w:rPr>
              <w:t>）</w:t>
            </w:r>
          </w:p>
        </w:tc>
      </w:tr>
      <w:tr w14:paraId="73390C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609" w:type="dxa"/>
            <w:vMerge w:val="continue"/>
            <w:tcBorders>
              <w:top w:val="nil"/>
              <w:left w:val="nil"/>
              <w:bottom w:val="nil"/>
            </w:tcBorders>
            <w:vAlign w:val="top"/>
          </w:tcPr>
          <w:p w14:paraId="683AB207">
            <w:pPr>
              <w:rPr>
                <w:rFonts w:ascii="Arial"/>
                <w:sz w:val="21"/>
              </w:rPr>
            </w:pPr>
          </w:p>
        </w:tc>
        <w:tc>
          <w:tcPr>
            <w:tcW w:w="766" w:type="dxa"/>
            <w:vMerge w:val="continue"/>
            <w:tcBorders>
              <w:top w:val="nil"/>
              <w:bottom w:val="nil"/>
            </w:tcBorders>
            <w:vAlign w:val="top"/>
          </w:tcPr>
          <w:p w14:paraId="38298A82">
            <w:pPr>
              <w:rPr>
                <w:rFonts w:ascii="Arial"/>
                <w:sz w:val="21"/>
              </w:rPr>
            </w:pPr>
          </w:p>
        </w:tc>
        <w:tc>
          <w:tcPr>
            <w:tcW w:w="7143" w:type="dxa"/>
            <w:gridSpan w:val="10"/>
            <w:tcBorders>
              <w:right w:val="nil"/>
            </w:tcBorders>
            <w:vAlign w:val="top"/>
          </w:tcPr>
          <w:p w14:paraId="740A2E16">
            <w:pPr>
              <w:pStyle w:val="6"/>
              <w:spacing w:before="35" w:line="212" w:lineRule="auto"/>
              <w:ind w:left="2708"/>
              <w:rPr>
                <w:sz w:val="20"/>
                <w:szCs w:val="20"/>
              </w:rPr>
            </w:pPr>
            <w:r>
              <w:rPr>
                <w:rFonts w:ascii="仿宋" w:hAnsi="仿宋" w:eastAsia="仿宋" w:cs="仿宋"/>
                <w:spacing w:val="8"/>
                <w:sz w:val="20"/>
                <w:szCs w:val="20"/>
              </w:rPr>
              <w:t>倍频带中心频率</w:t>
            </w:r>
            <w:r>
              <w:rPr>
                <w:spacing w:val="8"/>
                <w:sz w:val="20"/>
                <w:szCs w:val="20"/>
              </w:rPr>
              <w:t>/</w:t>
            </w:r>
            <w:r>
              <w:rPr>
                <w:sz w:val="20"/>
                <w:szCs w:val="20"/>
              </w:rPr>
              <w:t>Hz</w:t>
            </w:r>
          </w:p>
        </w:tc>
      </w:tr>
      <w:tr w14:paraId="45AC72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3" w:hRule="atLeast"/>
        </w:trPr>
        <w:tc>
          <w:tcPr>
            <w:tcW w:w="609" w:type="dxa"/>
            <w:vMerge w:val="continue"/>
            <w:tcBorders>
              <w:top w:val="nil"/>
              <w:left w:val="nil"/>
            </w:tcBorders>
            <w:vAlign w:val="top"/>
          </w:tcPr>
          <w:p w14:paraId="6921D9A4">
            <w:pPr>
              <w:rPr>
                <w:rFonts w:ascii="Arial"/>
                <w:sz w:val="21"/>
              </w:rPr>
            </w:pPr>
          </w:p>
        </w:tc>
        <w:tc>
          <w:tcPr>
            <w:tcW w:w="766" w:type="dxa"/>
            <w:vMerge w:val="continue"/>
            <w:tcBorders>
              <w:top w:val="nil"/>
            </w:tcBorders>
            <w:vAlign w:val="top"/>
          </w:tcPr>
          <w:p w14:paraId="4302E8DA">
            <w:pPr>
              <w:rPr>
                <w:rFonts w:ascii="Arial"/>
                <w:sz w:val="21"/>
              </w:rPr>
            </w:pPr>
          </w:p>
        </w:tc>
        <w:tc>
          <w:tcPr>
            <w:tcW w:w="878" w:type="dxa"/>
            <w:vAlign w:val="top"/>
          </w:tcPr>
          <w:p w14:paraId="3756A11A">
            <w:pPr>
              <w:pStyle w:val="6"/>
              <w:spacing w:before="57" w:line="183" w:lineRule="auto"/>
              <w:ind w:left="364"/>
              <w:rPr>
                <w:sz w:val="20"/>
                <w:szCs w:val="20"/>
              </w:rPr>
            </w:pPr>
            <w:r>
              <w:rPr>
                <w:sz w:val="20"/>
                <w:szCs w:val="20"/>
              </w:rPr>
              <w:t>63</w:t>
            </w:r>
          </w:p>
        </w:tc>
        <w:tc>
          <w:tcPr>
            <w:tcW w:w="989" w:type="dxa"/>
            <w:gridSpan w:val="2"/>
            <w:vAlign w:val="top"/>
          </w:tcPr>
          <w:p w14:paraId="14B4E1A4">
            <w:pPr>
              <w:pStyle w:val="6"/>
              <w:spacing w:before="57" w:line="183" w:lineRule="auto"/>
              <w:ind w:left="360"/>
              <w:rPr>
                <w:sz w:val="20"/>
                <w:szCs w:val="20"/>
              </w:rPr>
            </w:pPr>
            <w:r>
              <w:rPr>
                <w:spacing w:val="-3"/>
                <w:sz w:val="20"/>
                <w:szCs w:val="20"/>
              </w:rPr>
              <w:t>125</w:t>
            </w:r>
          </w:p>
        </w:tc>
        <w:tc>
          <w:tcPr>
            <w:tcW w:w="898" w:type="dxa"/>
            <w:vAlign w:val="top"/>
          </w:tcPr>
          <w:p w14:paraId="4F1C0D42">
            <w:pPr>
              <w:pStyle w:val="6"/>
              <w:spacing w:before="57" w:line="183" w:lineRule="auto"/>
              <w:ind w:left="271"/>
              <w:rPr>
                <w:sz w:val="20"/>
                <w:szCs w:val="20"/>
              </w:rPr>
            </w:pPr>
            <w:r>
              <w:rPr>
                <w:spacing w:val="3"/>
                <w:sz w:val="20"/>
                <w:szCs w:val="20"/>
              </w:rPr>
              <w:t>250</w:t>
            </w:r>
          </w:p>
        </w:tc>
        <w:tc>
          <w:tcPr>
            <w:tcW w:w="768" w:type="dxa"/>
            <w:vAlign w:val="top"/>
          </w:tcPr>
          <w:p w14:paraId="7F620FF7">
            <w:pPr>
              <w:pStyle w:val="6"/>
              <w:spacing w:before="57" w:line="183" w:lineRule="auto"/>
              <w:ind w:left="223"/>
              <w:rPr>
                <w:sz w:val="20"/>
                <w:szCs w:val="20"/>
              </w:rPr>
            </w:pPr>
            <w:r>
              <w:rPr>
                <w:spacing w:val="1"/>
                <w:sz w:val="20"/>
                <w:szCs w:val="20"/>
              </w:rPr>
              <w:t>500</w:t>
            </w:r>
          </w:p>
        </w:tc>
        <w:tc>
          <w:tcPr>
            <w:tcW w:w="898" w:type="dxa"/>
            <w:vAlign w:val="top"/>
          </w:tcPr>
          <w:p w14:paraId="63DE4869">
            <w:pPr>
              <w:pStyle w:val="6"/>
              <w:spacing w:before="57" w:line="183" w:lineRule="auto"/>
              <w:ind w:left="261"/>
              <w:rPr>
                <w:sz w:val="20"/>
                <w:szCs w:val="20"/>
              </w:rPr>
            </w:pPr>
            <w:r>
              <w:rPr>
                <w:spacing w:val="-1"/>
                <w:sz w:val="20"/>
                <w:szCs w:val="20"/>
              </w:rPr>
              <w:t>1000</w:t>
            </w:r>
          </w:p>
        </w:tc>
        <w:tc>
          <w:tcPr>
            <w:tcW w:w="898" w:type="dxa"/>
            <w:vAlign w:val="top"/>
          </w:tcPr>
          <w:p w14:paraId="28CD7B63">
            <w:pPr>
              <w:pStyle w:val="6"/>
              <w:spacing w:before="57" w:line="183" w:lineRule="auto"/>
              <w:ind w:left="255"/>
              <w:rPr>
                <w:sz w:val="20"/>
                <w:szCs w:val="20"/>
              </w:rPr>
            </w:pPr>
            <w:r>
              <w:rPr>
                <w:spacing w:val="4"/>
                <w:sz w:val="20"/>
                <w:szCs w:val="20"/>
              </w:rPr>
              <w:t>2000</w:t>
            </w:r>
          </w:p>
        </w:tc>
        <w:tc>
          <w:tcPr>
            <w:tcW w:w="883" w:type="dxa"/>
            <w:vAlign w:val="top"/>
          </w:tcPr>
          <w:p w14:paraId="65009017">
            <w:pPr>
              <w:pStyle w:val="6"/>
              <w:spacing w:before="57" w:line="183" w:lineRule="auto"/>
              <w:ind w:left="261"/>
              <w:rPr>
                <w:sz w:val="20"/>
                <w:szCs w:val="20"/>
              </w:rPr>
            </w:pPr>
            <w:r>
              <w:rPr>
                <w:spacing w:val="4"/>
                <w:sz w:val="20"/>
                <w:szCs w:val="20"/>
              </w:rPr>
              <w:t>4000</w:t>
            </w:r>
          </w:p>
        </w:tc>
        <w:tc>
          <w:tcPr>
            <w:tcW w:w="931" w:type="dxa"/>
            <w:gridSpan w:val="2"/>
            <w:tcBorders>
              <w:right w:val="nil"/>
            </w:tcBorders>
            <w:vAlign w:val="top"/>
          </w:tcPr>
          <w:p w14:paraId="000015ED">
            <w:pPr>
              <w:pStyle w:val="6"/>
              <w:spacing w:before="57" w:line="183" w:lineRule="auto"/>
              <w:ind w:left="283"/>
              <w:rPr>
                <w:sz w:val="20"/>
                <w:szCs w:val="20"/>
              </w:rPr>
            </w:pPr>
            <w:r>
              <w:rPr>
                <w:spacing w:val="1"/>
                <w:sz w:val="20"/>
                <w:szCs w:val="20"/>
              </w:rPr>
              <w:t>8000</w:t>
            </w:r>
          </w:p>
        </w:tc>
      </w:tr>
      <w:tr w14:paraId="15E475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609" w:type="dxa"/>
            <w:tcBorders>
              <w:left w:val="nil"/>
            </w:tcBorders>
            <w:vAlign w:val="top"/>
          </w:tcPr>
          <w:p w14:paraId="350DC5E9">
            <w:pPr>
              <w:pStyle w:val="6"/>
              <w:spacing w:before="62" w:line="172" w:lineRule="auto"/>
              <w:ind w:left="228"/>
              <w:rPr>
                <w:sz w:val="20"/>
                <w:szCs w:val="20"/>
              </w:rPr>
            </w:pPr>
            <w:r>
              <w:rPr>
                <w:spacing w:val="-8"/>
                <w:sz w:val="20"/>
                <w:szCs w:val="20"/>
              </w:rPr>
              <w:t>10</w:t>
            </w:r>
          </w:p>
        </w:tc>
        <w:tc>
          <w:tcPr>
            <w:tcW w:w="766" w:type="dxa"/>
            <w:vAlign w:val="top"/>
          </w:tcPr>
          <w:p w14:paraId="6F3ABB15">
            <w:pPr>
              <w:pStyle w:val="6"/>
              <w:spacing w:before="62" w:line="172" w:lineRule="auto"/>
              <w:ind w:left="296"/>
              <w:rPr>
                <w:sz w:val="20"/>
                <w:szCs w:val="20"/>
              </w:rPr>
            </w:pPr>
            <w:r>
              <w:rPr>
                <w:spacing w:val="1"/>
                <w:sz w:val="20"/>
                <w:szCs w:val="20"/>
              </w:rPr>
              <w:t>70</w:t>
            </w:r>
          </w:p>
        </w:tc>
        <w:tc>
          <w:tcPr>
            <w:tcW w:w="878" w:type="dxa"/>
            <w:tcBorders>
              <w:right w:val="nil"/>
            </w:tcBorders>
            <w:vAlign w:val="top"/>
          </w:tcPr>
          <w:p w14:paraId="597AE822">
            <w:pPr>
              <w:pStyle w:val="6"/>
              <w:spacing w:before="62" w:line="172" w:lineRule="auto"/>
              <w:ind w:left="346"/>
              <w:rPr>
                <w:sz w:val="20"/>
                <w:szCs w:val="20"/>
              </w:rPr>
            </w:pPr>
            <w:r>
              <w:rPr>
                <w:sz w:val="20"/>
                <w:szCs w:val="20"/>
              </w:rPr>
              <w:t>0.</w:t>
            </w:r>
            <w:r>
              <w:rPr>
                <w:spacing w:val="-25"/>
                <w:sz w:val="20"/>
                <w:szCs w:val="20"/>
              </w:rPr>
              <w:t xml:space="preserve"> </w:t>
            </w:r>
            <w:r>
              <w:rPr>
                <w:sz w:val="20"/>
                <w:szCs w:val="20"/>
              </w:rPr>
              <w:t>1</w:t>
            </w:r>
          </w:p>
        </w:tc>
        <w:tc>
          <w:tcPr>
            <w:tcW w:w="103" w:type="dxa"/>
            <w:tcBorders>
              <w:top w:val="nil"/>
              <w:left w:val="nil"/>
              <w:bottom w:val="nil"/>
              <w:right w:val="nil"/>
            </w:tcBorders>
            <w:vAlign w:val="top"/>
          </w:tcPr>
          <w:p w14:paraId="7B12B2CC">
            <w:pPr>
              <w:spacing w:line="226" w:lineRule="exact"/>
              <w:rPr>
                <w:rFonts w:ascii="Arial"/>
                <w:sz w:val="19"/>
              </w:rPr>
            </w:pPr>
          </w:p>
        </w:tc>
        <w:tc>
          <w:tcPr>
            <w:tcW w:w="886" w:type="dxa"/>
            <w:vAlign w:val="top"/>
          </w:tcPr>
          <w:p w14:paraId="5FBC6E8C">
            <w:pPr>
              <w:pStyle w:val="6"/>
              <w:spacing w:before="62" w:line="172" w:lineRule="auto"/>
              <w:ind w:left="277"/>
              <w:rPr>
                <w:sz w:val="20"/>
                <w:szCs w:val="20"/>
              </w:rPr>
            </w:pPr>
            <w:r>
              <w:rPr>
                <w:spacing w:val="1"/>
                <w:sz w:val="20"/>
                <w:szCs w:val="20"/>
              </w:rPr>
              <w:t>0.4</w:t>
            </w:r>
          </w:p>
        </w:tc>
        <w:tc>
          <w:tcPr>
            <w:tcW w:w="898" w:type="dxa"/>
            <w:vAlign w:val="top"/>
          </w:tcPr>
          <w:p w14:paraId="1CAC0724">
            <w:pPr>
              <w:pStyle w:val="6"/>
              <w:spacing w:before="62" w:line="172" w:lineRule="auto"/>
              <w:ind w:left="317"/>
              <w:rPr>
                <w:sz w:val="20"/>
                <w:szCs w:val="20"/>
              </w:rPr>
            </w:pPr>
            <w:r>
              <w:rPr>
                <w:spacing w:val="-4"/>
                <w:sz w:val="20"/>
                <w:szCs w:val="20"/>
              </w:rPr>
              <w:t>1.0</w:t>
            </w:r>
          </w:p>
        </w:tc>
        <w:tc>
          <w:tcPr>
            <w:tcW w:w="768" w:type="dxa"/>
            <w:vAlign w:val="top"/>
          </w:tcPr>
          <w:p w14:paraId="797E6F4F">
            <w:pPr>
              <w:pStyle w:val="6"/>
              <w:spacing w:before="62" w:line="172" w:lineRule="auto"/>
              <w:ind w:left="264"/>
              <w:rPr>
                <w:sz w:val="20"/>
                <w:szCs w:val="20"/>
              </w:rPr>
            </w:pPr>
            <w:r>
              <w:rPr>
                <w:spacing w:val="-4"/>
                <w:sz w:val="20"/>
                <w:szCs w:val="20"/>
              </w:rPr>
              <w:t>1.9</w:t>
            </w:r>
          </w:p>
        </w:tc>
        <w:tc>
          <w:tcPr>
            <w:tcW w:w="898" w:type="dxa"/>
            <w:vAlign w:val="top"/>
          </w:tcPr>
          <w:p w14:paraId="209DE19C">
            <w:pPr>
              <w:pStyle w:val="6"/>
              <w:spacing w:before="62" w:line="172" w:lineRule="auto"/>
              <w:ind w:left="322"/>
              <w:rPr>
                <w:sz w:val="20"/>
                <w:szCs w:val="20"/>
              </w:rPr>
            </w:pPr>
            <w:r>
              <w:rPr>
                <w:spacing w:val="1"/>
                <w:sz w:val="20"/>
                <w:szCs w:val="20"/>
              </w:rPr>
              <w:t>3.7</w:t>
            </w:r>
          </w:p>
        </w:tc>
        <w:tc>
          <w:tcPr>
            <w:tcW w:w="898" w:type="dxa"/>
            <w:vAlign w:val="top"/>
          </w:tcPr>
          <w:p w14:paraId="37EE0CDA">
            <w:pPr>
              <w:pStyle w:val="6"/>
              <w:spacing w:before="62" w:line="172" w:lineRule="auto"/>
              <w:ind w:left="336"/>
              <w:rPr>
                <w:sz w:val="20"/>
                <w:szCs w:val="20"/>
              </w:rPr>
            </w:pPr>
            <w:r>
              <w:rPr>
                <w:spacing w:val="1"/>
                <w:sz w:val="20"/>
                <w:szCs w:val="20"/>
              </w:rPr>
              <w:t>9.7</w:t>
            </w:r>
          </w:p>
        </w:tc>
        <w:tc>
          <w:tcPr>
            <w:tcW w:w="883" w:type="dxa"/>
            <w:tcBorders>
              <w:right w:val="nil"/>
            </w:tcBorders>
            <w:vAlign w:val="top"/>
          </w:tcPr>
          <w:p w14:paraId="504B1185">
            <w:pPr>
              <w:pStyle w:val="6"/>
              <w:spacing w:before="62" w:line="172" w:lineRule="auto"/>
              <w:ind w:left="295"/>
              <w:rPr>
                <w:sz w:val="20"/>
                <w:szCs w:val="20"/>
              </w:rPr>
            </w:pPr>
            <w:r>
              <w:rPr>
                <w:spacing w:val="2"/>
                <w:sz w:val="20"/>
                <w:szCs w:val="20"/>
              </w:rPr>
              <w:t>32.8</w:t>
            </w:r>
          </w:p>
        </w:tc>
        <w:tc>
          <w:tcPr>
            <w:tcW w:w="103" w:type="dxa"/>
            <w:tcBorders>
              <w:top w:val="nil"/>
              <w:left w:val="nil"/>
              <w:bottom w:val="nil"/>
              <w:right w:val="nil"/>
            </w:tcBorders>
            <w:vAlign w:val="top"/>
          </w:tcPr>
          <w:p w14:paraId="6E599BB0">
            <w:pPr>
              <w:spacing w:line="226" w:lineRule="exact"/>
              <w:rPr>
                <w:rFonts w:ascii="Arial"/>
                <w:sz w:val="19"/>
              </w:rPr>
            </w:pPr>
          </w:p>
        </w:tc>
        <w:tc>
          <w:tcPr>
            <w:tcW w:w="828" w:type="dxa"/>
            <w:tcBorders>
              <w:right w:val="nil"/>
            </w:tcBorders>
            <w:vAlign w:val="top"/>
          </w:tcPr>
          <w:p w14:paraId="4936E604">
            <w:pPr>
              <w:pStyle w:val="6"/>
              <w:spacing w:before="62" w:line="172" w:lineRule="auto"/>
              <w:ind w:left="172"/>
              <w:rPr>
                <w:sz w:val="20"/>
                <w:szCs w:val="20"/>
              </w:rPr>
            </w:pPr>
            <w:r>
              <w:rPr>
                <w:spacing w:val="-1"/>
                <w:sz w:val="20"/>
                <w:szCs w:val="20"/>
              </w:rPr>
              <w:t>117.0</w:t>
            </w:r>
          </w:p>
        </w:tc>
      </w:tr>
      <w:tr w14:paraId="580AE2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6" w:hRule="atLeast"/>
        </w:trPr>
        <w:tc>
          <w:tcPr>
            <w:tcW w:w="609" w:type="dxa"/>
            <w:tcBorders>
              <w:left w:val="nil"/>
            </w:tcBorders>
            <w:vAlign w:val="top"/>
          </w:tcPr>
          <w:p w14:paraId="459E62B5">
            <w:pPr>
              <w:pStyle w:val="6"/>
              <w:spacing w:before="71" w:line="161" w:lineRule="auto"/>
              <w:ind w:left="208"/>
              <w:rPr>
                <w:sz w:val="20"/>
                <w:szCs w:val="20"/>
              </w:rPr>
            </w:pPr>
            <w:r>
              <w:rPr>
                <w:spacing w:val="2"/>
                <w:sz w:val="20"/>
                <w:szCs w:val="20"/>
              </w:rPr>
              <w:t>20</w:t>
            </w:r>
          </w:p>
        </w:tc>
        <w:tc>
          <w:tcPr>
            <w:tcW w:w="766" w:type="dxa"/>
            <w:vAlign w:val="top"/>
          </w:tcPr>
          <w:p w14:paraId="393B7E3F">
            <w:pPr>
              <w:pStyle w:val="6"/>
              <w:spacing w:before="71" w:line="161" w:lineRule="auto"/>
              <w:ind w:left="296"/>
              <w:rPr>
                <w:sz w:val="20"/>
                <w:szCs w:val="20"/>
              </w:rPr>
            </w:pPr>
            <w:r>
              <w:rPr>
                <w:spacing w:val="1"/>
                <w:sz w:val="20"/>
                <w:szCs w:val="20"/>
              </w:rPr>
              <w:t>70</w:t>
            </w:r>
          </w:p>
        </w:tc>
        <w:tc>
          <w:tcPr>
            <w:tcW w:w="878" w:type="dxa"/>
            <w:tcBorders>
              <w:right w:val="nil"/>
            </w:tcBorders>
            <w:vAlign w:val="top"/>
          </w:tcPr>
          <w:p w14:paraId="4B5C3D82">
            <w:pPr>
              <w:pStyle w:val="6"/>
              <w:spacing w:before="71" w:line="161" w:lineRule="auto"/>
              <w:ind w:left="346"/>
              <w:rPr>
                <w:sz w:val="20"/>
                <w:szCs w:val="20"/>
              </w:rPr>
            </w:pPr>
            <w:r>
              <w:rPr>
                <w:sz w:val="20"/>
                <w:szCs w:val="20"/>
              </w:rPr>
              <w:t>0.</w:t>
            </w:r>
            <w:r>
              <w:rPr>
                <w:spacing w:val="-25"/>
                <w:sz w:val="20"/>
                <w:szCs w:val="20"/>
              </w:rPr>
              <w:t xml:space="preserve"> </w:t>
            </w:r>
            <w:r>
              <w:rPr>
                <w:sz w:val="20"/>
                <w:szCs w:val="20"/>
              </w:rPr>
              <w:t>1</w:t>
            </w:r>
          </w:p>
        </w:tc>
        <w:tc>
          <w:tcPr>
            <w:tcW w:w="103" w:type="dxa"/>
            <w:tcBorders>
              <w:top w:val="nil"/>
              <w:left w:val="nil"/>
              <w:bottom w:val="nil"/>
              <w:right w:val="nil"/>
            </w:tcBorders>
            <w:vAlign w:val="top"/>
          </w:tcPr>
          <w:p w14:paraId="1BA2DC36">
            <w:pPr>
              <w:spacing w:line="225" w:lineRule="exact"/>
              <w:rPr>
                <w:rFonts w:ascii="Arial"/>
                <w:sz w:val="19"/>
              </w:rPr>
            </w:pPr>
          </w:p>
        </w:tc>
        <w:tc>
          <w:tcPr>
            <w:tcW w:w="886" w:type="dxa"/>
            <w:vAlign w:val="top"/>
          </w:tcPr>
          <w:p w14:paraId="3780D8B5">
            <w:pPr>
              <w:pStyle w:val="6"/>
              <w:spacing w:before="71" w:line="161" w:lineRule="auto"/>
              <w:ind w:left="277"/>
              <w:rPr>
                <w:sz w:val="20"/>
                <w:szCs w:val="20"/>
              </w:rPr>
            </w:pPr>
            <w:r>
              <w:rPr>
                <w:spacing w:val="1"/>
                <w:sz w:val="20"/>
                <w:szCs w:val="20"/>
              </w:rPr>
              <w:t>0.3</w:t>
            </w:r>
          </w:p>
        </w:tc>
        <w:tc>
          <w:tcPr>
            <w:tcW w:w="898" w:type="dxa"/>
            <w:vAlign w:val="top"/>
          </w:tcPr>
          <w:p w14:paraId="09714464">
            <w:pPr>
              <w:pStyle w:val="6"/>
              <w:spacing w:before="71" w:line="161" w:lineRule="auto"/>
              <w:ind w:left="317"/>
              <w:rPr>
                <w:sz w:val="20"/>
                <w:szCs w:val="20"/>
              </w:rPr>
            </w:pPr>
            <w:r>
              <w:rPr>
                <w:spacing w:val="-6"/>
                <w:sz w:val="20"/>
                <w:szCs w:val="20"/>
              </w:rPr>
              <w:t>1.</w:t>
            </w:r>
            <w:r>
              <w:rPr>
                <w:spacing w:val="-25"/>
                <w:sz w:val="20"/>
                <w:szCs w:val="20"/>
              </w:rPr>
              <w:t xml:space="preserve"> </w:t>
            </w:r>
            <w:r>
              <w:rPr>
                <w:spacing w:val="-6"/>
                <w:sz w:val="20"/>
                <w:szCs w:val="20"/>
              </w:rPr>
              <w:t>1</w:t>
            </w:r>
          </w:p>
        </w:tc>
        <w:tc>
          <w:tcPr>
            <w:tcW w:w="768" w:type="dxa"/>
            <w:vAlign w:val="top"/>
          </w:tcPr>
          <w:p w14:paraId="08924592">
            <w:pPr>
              <w:pStyle w:val="6"/>
              <w:spacing w:before="71" w:line="161" w:lineRule="auto"/>
              <w:ind w:left="244"/>
              <w:rPr>
                <w:sz w:val="20"/>
                <w:szCs w:val="20"/>
              </w:rPr>
            </w:pPr>
            <w:r>
              <w:rPr>
                <w:spacing w:val="2"/>
                <w:sz w:val="20"/>
                <w:szCs w:val="20"/>
              </w:rPr>
              <w:t>2.8</w:t>
            </w:r>
          </w:p>
        </w:tc>
        <w:tc>
          <w:tcPr>
            <w:tcW w:w="898" w:type="dxa"/>
            <w:vAlign w:val="top"/>
          </w:tcPr>
          <w:p w14:paraId="6EFEE3A8">
            <w:pPr>
              <w:pStyle w:val="6"/>
              <w:spacing w:before="71" w:line="161" w:lineRule="auto"/>
              <w:ind w:left="324"/>
              <w:rPr>
                <w:sz w:val="20"/>
                <w:szCs w:val="20"/>
              </w:rPr>
            </w:pPr>
            <w:r>
              <w:rPr>
                <w:sz w:val="20"/>
                <w:szCs w:val="20"/>
              </w:rPr>
              <w:t>5.0</w:t>
            </w:r>
          </w:p>
        </w:tc>
        <w:tc>
          <w:tcPr>
            <w:tcW w:w="898" w:type="dxa"/>
            <w:vAlign w:val="top"/>
          </w:tcPr>
          <w:p w14:paraId="75446F55">
            <w:pPr>
              <w:pStyle w:val="6"/>
              <w:spacing w:before="71" w:line="161" w:lineRule="auto"/>
              <w:ind w:left="336"/>
              <w:rPr>
                <w:sz w:val="20"/>
                <w:szCs w:val="20"/>
              </w:rPr>
            </w:pPr>
            <w:r>
              <w:rPr>
                <w:spacing w:val="1"/>
                <w:sz w:val="20"/>
                <w:szCs w:val="20"/>
              </w:rPr>
              <w:t>9.0</w:t>
            </w:r>
          </w:p>
        </w:tc>
        <w:tc>
          <w:tcPr>
            <w:tcW w:w="883" w:type="dxa"/>
            <w:tcBorders>
              <w:right w:val="nil"/>
            </w:tcBorders>
            <w:vAlign w:val="top"/>
          </w:tcPr>
          <w:p w14:paraId="07AB6B13">
            <w:pPr>
              <w:pStyle w:val="6"/>
              <w:spacing w:before="71" w:line="161" w:lineRule="auto"/>
              <w:ind w:left="291"/>
              <w:rPr>
                <w:sz w:val="20"/>
                <w:szCs w:val="20"/>
              </w:rPr>
            </w:pPr>
            <w:r>
              <w:rPr>
                <w:spacing w:val="3"/>
                <w:sz w:val="20"/>
                <w:szCs w:val="20"/>
              </w:rPr>
              <w:t>22.9</w:t>
            </w:r>
          </w:p>
        </w:tc>
        <w:tc>
          <w:tcPr>
            <w:tcW w:w="103" w:type="dxa"/>
            <w:tcBorders>
              <w:top w:val="nil"/>
              <w:left w:val="nil"/>
              <w:bottom w:val="nil"/>
              <w:right w:val="nil"/>
            </w:tcBorders>
            <w:vAlign w:val="top"/>
          </w:tcPr>
          <w:p w14:paraId="2F59CBED">
            <w:pPr>
              <w:spacing w:line="225" w:lineRule="exact"/>
              <w:rPr>
                <w:rFonts w:ascii="Arial"/>
                <w:sz w:val="19"/>
              </w:rPr>
            </w:pPr>
          </w:p>
        </w:tc>
        <w:tc>
          <w:tcPr>
            <w:tcW w:w="828" w:type="dxa"/>
            <w:tcBorders>
              <w:right w:val="nil"/>
            </w:tcBorders>
            <w:vAlign w:val="top"/>
          </w:tcPr>
          <w:p w14:paraId="25AF19E7">
            <w:pPr>
              <w:pStyle w:val="6"/>
              <w:spacing w:before="71" w:line="161" w:lineRule="auto"/>
              <w:ind w:left="206"/>
              <w:rPr>
                <w:sz w:val="20"/>
                <w:szCs w:val="20"/>
              </w:rPr>
            </w:pPr>
            <w:r>
              <w:rPr>
                <w:spacing w:val="2"/>
                <w:sz w:val="20"/>
                <w:szCs w:val="20"/>
              </w:rPr>
              <w:t>76.6</w:t>
            </w:r>
          </w:p>
        </w:tc>
      </w:tr>
      <w:tr w14:paraId="3FD572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4" w:hRule="atLeast"/>
        </w:trPr>
        <w:tc>
          <w:tcPr>
            <w:tcW w:w="609" w:type="dxa"/>
            <w:tcBorders>
              <w:left w:val="nil"/>
            </w:tcBorders>
            <w:vAlign w:val="top"/>
          </w:tcPr>
          <w:p w14:paraId="0AA81BAD">
            <w:pPr>
              <w:pStyle w:val="6"/>
              <w:spacing w:before="83" w:line="168" w:lineRule="auto"/>
              <w:ind w:left="212"/>
              <w:rPr>
                <w:sz w:val="20"/>
                <w:szCs w:val="20"/>
              </w:rPr>
            </w:pPr>
            <w:r>
              <w:rPr>
                <w:sz w:val="20"/>
                <w:szCs w:val="20"/>
              </w:rPr>
              <w:t>30</w:t>
            </w:r>
          </w:p>
        </w:tc>
        <w:tc>
          <w:tcPr>
            <w:tcW w:w="766" w:type="dxa"/>
            <w:vAlign w:val="top"/>
          </w:tcPr>
          <w:p w14:paraId="2A7E9E7C">
            <w:pPr>
              <w:pStyle w:val="6"/>
              <w:spacing w:before="83" w:line="168" w:lineRule="auto"/>
              <w:ind w:left="296"/>
              <w:rPr>
                <w:sz w:val="20"/>
                <w:szCs w:val="20"/>
              </w:rPr>
            </w:pPr>
            <w:r>
              <w:rPr>
                <w:spacing w:val="1"/>
                <w:sz w:val="20"/>
                <w:szCs w:val="20"/>
              </w:rPr>
              <w:t>70</w:t>
            </w:r>
          </w:p>
        </w:tc>
        <w:tc>
          <w:tcPr>
            <w:tcW w:w="878" w:type="dxa"/>
            <w:tcBorders>
              <w:right w:val="nil"/>
            </w:tcBorders>
            <w:vAlign w:val="top"/>
          </w:tcPr>
          <w:p w14:paraId="70E35F42">
            <w:pPr>
              <w:pStyle w:val="6"/>
              <w:spacing w:before="83" w:line="168" w:lineRule="auto"/>
              <w:ind w:left="346"/>
              <w:rPr>
                <w:sz w:val="20"/>
                <w:szCs w:val="20"/>
              </w:rPr>
            </w:pPr>
            <w:r>
              <w:rPr>
                <w:sz w:val="20"/>
                <w:szCs w:val="20"/>
              </w:rPr>
              <w:t>0.</w:t>
            </w:r>
            <w:r>
              <w:rPr>
                <w:spacing w:val="-25"/>
                <w:sz w:val="20"/>
                <w:szCs w:val="20"/>
              </w:rPr>
              <w:t xml:space="preserve"> </w:t>
            </w:r>
            <w:r>
              <w:rPr>
                <w:sz w:val="20"/>
                <w:szCs w:val="20"/>
              </w:rPr>
              <w:t>1</w:t>
            </w:r>
          </w:p>
        </w:tc>
        <w:tc>
          <w:tcPr>
            <w:tcW w:w="103" w:type="dxa"/>
            <w:tcBorders>
              <w:top w:val="nil"/>
              <w:left w:val="nil"/>
              <w:bottom w:val="nil"/>
              <w:right w:val="nil"/>
            </w:tcBorders>
            <w:vAlign w:val="top"/>
          </w:tcPr>
          <w:p w14:paraId="1F2BBD9B">
            <w:pPr>
              <w:rPr>
                <w:rFonts w:ascii="Arial"/>
                <w:sz w:val="21"/>
              </w:rPr>
            </w:pPr>
          </w:p>
        </w:tc>
        <w:tc>
          <w:tcPr>
            <w:tcW w:w="886" w:type="dxa"/>
            <w:vAlign w:val="top"/>
          </w:tcPr>
          <w:p w14:paraId="0B4E6466">
            <w:pPr>
              <w:pStyle w:val="6"/>
              <w:spacing w:before="83" w:line="168" w:lineRule="auto"/>
              <w:ind w:left="277"/>
              <w:rPr>
                <w:sz w:val="20"/>
                <w:szCs w:val="20"/>
              </w:rPr>
            </w:pPr>
            <w:r>
              <w:rPr>
                <w:spacing w:val="1"/>
                <w:sz w:val="20"/>
                <w:szCs w:val="20"/>
              </w:rPr>
              <w:t>0.3</w:t>
            </w:r>
          </w:p>
        </w:tc>
        <w:tc>
          <w:tcPr>
            <w:tcW w:w="898" w:type="dxa"/>
            <w:vAlign w:val="top"/>
          </w:tcPr>
          <w:p w14:paraId="7E7B4A85">
            <w:pPr>
              <w:pStyle w:val="6"/>
              <w:spacing w:before="83" w:line="168" w:lineRule="auto"/>
              <w:ind w:left="317"/>
              <w:rPr>
                <w:sz w:val="20"/>
                <w:szCs w:val="20"/>
              </w:rPr>
            </w:pPr>
            <w:r>
              <w:rPr>
                <w:spacing w:val="-4"/>
                <w:sz w:val="20"/>
                <w:szCs w:val="20"/>
              </w:rPr>
              <w:t>1.0</w:t>
            </w:r>
          </w:p>
        </w:tc>
        <w:tc>
          <w:tcPr>
            <w:tcW w:w="768" w:type="dxa"/>
            <w:vAlign w:val="top"/>
          </w:tcPr>
          <w:p w14:paraId="19FBABF3">
            <w:pPr>
              <w:pStyle w:val="6"/>
              <w:spacing w:before="83" w:line="168" w:lineRule="auto"/>
              <w:ind w:left="248"/>
              <w:rPr>
                <w:sz w:val="20"/>
                <w:szCs w:val="20"/>
              </w:rPr>
            </w:pPr>
            <w:r>
              <w:rPr>
                <w:spacing w:val="-1"/>
                <w:sz w:val="20"/>
                <w:szCs w:val="20"/>
              </w:rPr>
              <w:t>3.</w:t>
            </w:r>
            <w:r>
              <w:rPr>
                <w:spacing w:val="-24"/>
                <w:sz w:val="20"/>
                <w:szCs w:val="20"/>
              </w:rPr>
              <w:t xml:space="preserve"> </w:t>
            </w:r>
            <w:r>
              <w:rPr>
                <w:spacing w:val="-1"/>
                <w:sz w:val="20"/>
                <w:szCs w:val="20"/>
              </w:rPr>
              <w:t>1</w:t>
            </w:r>
          </w:p>
        </w:tc>
        <w:tc>
          <w:tcPr>
            <w:tcW w:w="898" w:type="dxa"/>
            <w:vAlign w:val="top"/>
          </w:tcPr>
          <w:p w14:paraId="2F15B522">
            <w:pPr>
              <w:pStyle w:val="6"/>
              <w:spacing w:before="83" w:line="168" w:lineRule="auto"/>
              <w:ind w:left="322"/>
              <w:rPr>
                <w:sz w:val="20"/>
                <w:szCs w:val="20"/>
              </w:rPr>
            </w:pPr>
            <w:r>
              <w:rPr>
                <w:spacing w:val="1"/>
                <w:sz w:val="20"/>
                <w:szCs w:val="20"/>
              </w:rPr>
              <w:t>7.4</w:t>
            </w:r>
          </w:p>
        </w:tc>
        <w:tc>
          <w:tcPr>
            <w:tcW w:w="898" w:type="dxa"/>
            <w:vAlign w:val="top"/>
          </w:tcPr>
          <w:p w14:paraId="2A9B1B8F">
            <w:pPr>
              <w:pStyle w:val="6"/>
              <w:spacing w:before="83" w:line="168" w:lineRule="auto"/>
              <w:ind w:left="299"/>
              <w:rPr>
                <w:sz w:val="20"/>
                <w:szCs w:val="20"/>
              </w:rPr>
            </w:pPr>
            <w:r>
              <w:rPr>
                <w:spacing w:val="-2"/>
                <w:sz w:val="20"/>
                <w:szCs w:val="20"/>
              </w:rPr>
              <w:t>12.7</w:t>
            </w:r>
          </w:p>
        </w:tc>
        <w:tc>
          <w:tcPr>
            <w:tcW w:w="883" w:type="dxa"/>
            <w:tcBorders>
              <w:right w:val="nil"/>
            </w:tcBorders>
            <w:vAlign w:val="top"/>
          </w:tcPr>
          <w:p w14:paraId="2E0E73F3">
            <w:pPr>
              <w:pStyle w:val="6"/>
              <w:spacing w:before="83" w:line="168" w:lineRule="auto"/>
              <w:ind w:left="291"/>
              <w:rPr>
                <w:sz w:val="20"/>
                <w:szCs w:val="20"/>
              </w:rPr>
            </w:pPr>
            <w:r>
              <w:rPr>
                <w:spacing w:val="2"/>
                <w:sz w:val="20"/>
                <w:szCs w:val="20"/>
              </w:rPr>
              <w:t>23.</w:t>
            </w:r>
            <w:r>
              <w:rPr>
                <w:spacing w:val="-25"/>
                <w:sz w:val="20"/>
                <w:szCs w:val="20"/>
              </w:rPr>
              <w:t xml:space="preserve"> </w:t>
            </w:r>
            <w:r>
              <w:rPr>
                <w:spacing w:val="2"/>
                <w:sz w:val="20"/>
                <w:szCs w:val="20"/>
              </w:rPr>
              <w:t>1</w:t>
            </w:r>
          </w:p>
        </w:tc>
        <w:tc>
          <w:tcPr>
            <w:tcW w:w="103" w:type="dxa"/>
            <w:tcBorders>
              <w:top w:val="nil"/>
              <w:left w:val="nil"/>
              <w:bottom w:val="nil"/>
              <w:right w:val="nil"/>
            </w:tcBorders>
            <w:vAlign w:val="top"/>
          </w:tcPr>
          <w:p w14:paraId="3CC4527D">
            <w:pPr>
              <w:rPr>
                <w:rFonts w:ascii="Arial"/>
                <w:sz w:val="21"/>
              </w:rPr>
            </w:pPr>
          </w:p>
        </w:tc>
        <w:tc>
          <w:tcPr>
            <w:tcW w:w="828" w:type="dxa"/>
            <w:tcBorders>
              <w:right w:val="nil"/>
            </w:tcBorders>
            <w:vAlign w:val="top"/>
          </w:tcPr>
          <w:p w14:paraId="07A3B3C8">
            <w:pPr>
              <w:pStyle w:val="6"/>
              <w:spacing w:before="83" w:line="168" w:lineRule="auto"/>
              <w:ind w:left="208"/>
              <w:rPr>
                <w:sz w:val="20"/>
                <w:szCs w:val="20"/>
              </w:rPr>
            </w:pPr>
            <w:r>
              <w:rPr>
                <w:spacing w:val="2"/>
                <w:sz w:val="20"/>
                <w:szCs w:val="20"/>
              </w:rPr>
              <w:t>59.3</w:t>
            </w:r>
          </w:p>
        </w:tc>
      </w:tr>
      <w:tr w14:paraId="60C180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609" w:type="dxa"/>
            <w:tcBorders>
              <w:left w:val="nil"/>
            </w:tcBorders>
            <w:vAlign w:val="top"/>
          </w:tcPr>
          <w:p w14:paraId="18D940EB">
            <w:pPr>
              <w:pStyle w:val="6"/>
              <w:spacing w:before="73" w:line="160" w:lineRule="auto"/>
              <w:ind w:left="228"/>
              <w:rPr>
                <w:sz w:val="20"/>
                <w:szCs w:val="20"/>
              </w:rPr>
            </w:pPr>
            <w:r>
              <w:rPr>
                <w:spacing w:val="-8"/>
                <w:sz w:val="20"/>
                <w:szCs w:val="20"/>
              </w:rPr>
              <w:t>15</w:t>
            </w:r>
          </w:p>
        </w:tc>
        <w:tc>
          <w:tcPr>
            <w:tcW w:w="766" w:type="dxa"/>
            <w:vAlign w:val="top"/>
          </w:tcPr>
          <w:p w14:paraId="2A90C66B">
            <w:pPr>
              <w:pStyle w:val="6"/>
              <w:spacing w:before="73" w:line="160" w:lineRule="auto"/>
              <w:ind w:left="292"/>
              <w:rPr>
                <w:sz w:val="20"/>
                <w:szCs w:val="20"/>
              </w:rPr>
            </w:pPr>
            <w:r>
              <w:rPr>
                <w:spacing w:val="2"/>
                <w:sz w:val="20"/>
                <w:szCs w:val="20"/>
              </w:rPr>
              <w:t>20</w:t>
            </w:r>
          </w:p>
        </w:tc>
        <w:tc>
          <w:tcPr>
            <w:tcW w:w="878" w:type="dxa"/>
            <w:tcBorders>
              <w:right w:val="nil"/>
            </w:tcBorders>
            <w:vAlign w:val="top"/>
          </w:tcPr>
          <w:p w14:paraId="3EAC1BC4">
            <w:pPr>
              <w:pStyle w:val="6"/>
              <w:spacing w:before="73" w:line="160" w:lineRule="auto"/>
              <w:ind w:left="346"/>
              <w:rPr>
                <w:sz w:val="20"/>
                <w:szCs w:val="20"/>
              </w:rPr>
            </w:pPr>
            <w:r>
              <w:rPr>
                <w:spacing w:val="1"/>
                <w:sz w:val="20"/>
                <w:szCs w:val="20"/>
              </w:rPr>
              <w:t>0.3</w:t>
            </w:r>
          </w:p>
        </w:tc>
        <w:tc>
          <w:tcPr>
            <w:tcW w:w="103" w:type="dxa"/>
            <w:tcBorders>
              <w:top w:val="nil"/>
              <w:left w:val="nil"/>
              <w:bottom w:val="nil"/>
              <w:right w:val="nil"/>
            </w:tcBorders>
            <w:vAlign w:val="top"/>
          </w:tcPr>
          <w:p w14:paraId="4860297A">
            <w:pPr>
              <w:spacing w:line="226" w:lineRule="exact"/>
              <w:rPr>
                <w:rFonts w:ascii="Arial"/>
                <w:sz w:val="19"/>
              </w:rPr>
            </w:pPr>
          </w:p>
        </w:tc>
        <w:tc>
          <w:tcPr>
            <w:tcW w:w="886" w:type="dxa"/>
            <w:vAlign w:val="top"/>
          </w:tcPr>
          <w:p w14:paraId="2825DE91">
            <w:pPr>
              <w:pStyle w:val="6"/>
              <w:spacing w:before="73" w:line="160" w:lineRule="auto"/>
              <w:ind w:left="277"/>
              <w:rPr>
                <w:sz w:val="20"/>
                <w:szCs w:val="20"/>
              </w:rPr>
            </w:pPr>
            <w:r>
              <w:rPr>
                <w:spacing w:val="1"/>
                <w:sz w:val="20"/>
                <w:szCs w:val="20"/>
              </w:rPr>
              <w:t>0.6</w:t>
            </w:r>
          </w:p>
        </w:tc>
        <w:tc>
          <w:tcPr>
            <w:tcW w:w="898" w:type="dxa"/>
            <w:vAlign w:val="top"/>
          </w:tcPr>
          <w:p w14:paraId="48FAC2C0">
            <w:pPr>
              <w:pStyle w:val="6"/>
              <w:spacing w:before="73" w:line="160" w:lineRule="auto"/>
              <w:ind w:left="317"/>
              <w:rPr>
                <w:sz w:val="20"/>
                <w:szCs w:val="20"/>
              </w:rPr>
            </w:pPr>
            <w:r>
              <w:rPr>
                <w:spacing w:val="-4"/>
                <w:sz w:val="20"/>
                <w:szCs w:val="20"/>
              </w:rPr>
              <w:t>1.2</w:t>
            </w:r>
          </w:p>
        </w:tc>
        <w:tc>
          <w:tcPr>
            <w:tcW w:w="768" w:type="dxa"/>
            <w:vAlign w:val="top"/>
          </w:tcPr>
          <w:p w14:paraId="33C7AC45">
            <w:pPr>
              <w:pStyle w:val="6"/>
              <w:spacing w:before="73" w:line="160" w:lineRule="auto"/>
              <w:ind w:left="244"/>
              <w:rPr>
                <w:sz w:val="20"/>
                <w:szCs w:val="20"/>
              </w:rPr>
            </w:pPr>
            <w:r>
              <w:rPr>
                <w:spacing w:val="2"/>
                <w:sz w:val="20"/>
                <w:szCs w:val="20"/>
              </w:rPr>
              <w:t>2.7</w:t>
            </w:r>
          </w:p>
        </w:tc>
        <w:tc>
          <w:tcPr>
            <w:tcW w:w="898" w:type="dxa"/>
            <w:vAlign w:val="top"/>
          </w:tcPr>
          <w:p w14:paraId="4C13FDB6">
            <w:pPr>
              <w:pStyle w:val="6"/>
              <w:spacing w:before="73" w:line="160" w:lineRule="auto"/>
              <w:ind w:left="327"/>
              <w:rPr>
                <w:sz w:val="20"/>
                <w:szCs w:val="20"/>
              </w:rPr>
            </w:pPr>
            <w:r>
              <w:rPr>
                <w:sz w:val="20"/>
                <w:szCs w:val="20"/>
              </w:rPr>
              <w:t>8.2</w:t>
            </w:r>
          </w:p>
        </w:tc>
        <w:tc>
          <w:tcPr>
            <w:tcW w:w="898" w:type="dxa"/>
            <w:vAlign w:val="top"/>
          </w:tcPr>
          <w:p w14:paraId="6E191165">
            <w:pPr>
              <w:pStyle w:val="6"/>
              <w:spacing w:before="73" w:line="160" w:lineRule="auto"/>
              <w:ind w:left="279"/>
              <w:rPr>
                <w:sz w:val="20"/>
                <w:szCs w:val="20"/>
              </w:rPr>
            </w:pPr>
            <w:r>
              <w:rPr>
                <w:spacing w:val="3"/>
                <w:sz w:val="20"/>
                <w:szCs w:val="20"/>
              </w:rPr>
              <w:t>28.2</w:t>
            </w:r>
          </w:p>
        </w:tc>
        <w:tc>
          <w:tcPr>
            <w:tcW w:w="883" w:type="dxa"/>
            <w:tcBorders>
              <w:right w:val="nil"/>
            </w:tcBorders>
            <w:vAlign w:val="top"/>
          </w:tcPr>
          <w:p w14:paraId="0BD171FE">
            <w:pPr>
              <w:pStyle w:val="6"/>
              <w:spacing w:before="73" w:line="160" w:lineRule="auto"/>
              <w:ind w:left="291"/>
              <w:rPr>
                <w:sz w:val="20"/>
                <w:szCs w:val="20"/>
              </w:rPr>
            </w:pPr>
            <w:r>
              <w:rPr>
                <w:spacing w:val="3"/>
                <w:sz w:val="20"/>
                <w:szCs w:val="20"/>
              </w:rPr>
              <w:t>28.8</w:t>
            </w:r>
          </w:p>
        </w:tc>
        <w:tc>
          <w:tcPr>
            <w:tcW w:w="103" w:type="dxa"/>
            <w:tcBorders>
              <w:top w:val="nil"/>
              <w:left w:val="nil"/>
              <w:bottom w:val="nil"/>
              <w:right w:val="nil"/>
            </w:tcBorders>
            <w:vAlign w:val="top"/>
          </w:tcPr>
          <w:p w14:paraId="068E2DCE">
            <w:pPr>
              <w:spacing w:line="226" w:lineRule="exact"/>
              <w:rPr>
                <w:rFonts w:ascii="Arial"/>
                <w:sz w:val="19"/>
              </w:rPr>
            </w:pPr>
          </w:p>
        </w:tc>
        <w:tc>
          <w:tcPr>
            <w:tcW w:w="828" w:type="dxa"/>
            <w:tcBorders>
              <w:right w:val="nil"/>
            </w:tcBorders>
            <w:vAlign w:val="top"/>
          </w:tcPr>
          <w:p w14:paraId="2B82D419">
            <w:pPr>
              <w:pStyle w:val="6"/>
              <w:spacing w:before="73" w:line="160" w:lineRule="auto"/>
              <w:ind w:left="152"/>
              <w:rPr>
                <w:sz w:val="20"/>
                <w:szCs w:val="20"/>
              </w:rPr>
            </w:pPr>
            <w:r>
              <w:rPr>
                <w:spacing w:val="3"/>
                <w:sz w:val="20"/>
                <w:szCs w:val="20"/>
              </w:rPr>
              <w:t>202.0</w:t>
            </w:r>
          </w:p>
        </w:tc>
      </w:tr>
      <w:tr w14:paraId="1DAAA7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4" w:hRule="atLeast"/>
        </w:trPr>
        <w:tc>
          <w:tcPr>
            <w:tcW w:w="609" w:type="dxa"/>
            <w:tcBorders>
              <w:left w:val="nil"/>
            </w:tcBorders>
            <w:vAlign w:val="top"/>
          </w:tcPr>
          <w:p w14:paraId="039B1AA9">
            <w:pPr>
              <w:pStyle w:val="6"/>
              <w:spacing w:before="83" w:line="168" w:lineRule="auto"/>
              <w:ind w:left="228"/>
              <w:rPr>
                <w:sz w:val="20"/>
                <w:szCs w:val="20"/>
              </w:rPr>
            </w:pPr>
            <w:r>
              <w:rPr>
                <w:spacing w:val="-8"/>
                <w:sz w:val="20"/>
                <w:szCs w:val="20"/>
              </w:rPr>
              <w:t>15</w:t>
            </w:r>
          </w:p>
        </w:tc>
        <w:tc>
          <w:tcPr>
            <w:tcW w:w="766" w:type="dxa"/>
            <w:vAlign w:val="top"/>
          </w:tcPr>
          <w:p w14:paraId="13812B9F">
            <w:pPr>
              <w:pStyle w:val="6"/>
              <w:spacing w:before="83" w:line="168" w:lineRule="auto"/>
              <w:ind w:left="298"/>
              <w:rPr>
                <w:sz w:val="20"/>
                <w:szCs w:val="20"/>
              </w:rPr>
            </w:pPr>
            <w:r>
              <w:rPr>
                <w:sz w:val="20"/>
                <w:szCs w:val="20"/>
              </w:rPr>
              <w:t>50</w:t>
            </w:r>
          </w:p>
        </w:tc>
        <w:tc>
          <w:tcPr>
            <w:tcW w:w="878" w:type="dxa"/>
            <w:tcBorders>
              <w:right w:val="nil"/>
            </w:tcBorders>
            <w:vAlign w:val="top"/>
          </w:tcPr>
          <w:p w14:paraId="073F8D26">
            <w:pPr>
              <w:pStyle w:val="6"/>
              <w:spacing w:before="83" w:line="168" w:lineRule="auto"/>
              <w:ind w:left="346"/>
              <w:rPr>
                <w:sz w:val="20"/>
                <w:szCs w:val="20"/>
              </w:rPr>
            </w:pPr>
            <w:r>
              <w:rPr>
                <w:sz w:val="20"/>
                <w:szCs w:val="20"/>
              </w:rPr>
              <w:t>0.</w:t>
            </w:r>
            <w:r>
              <w:rPr>
                <w:spacing w:val="-25"/>
                <w:sz w:val="20"/>
                <w:szCs w:val="20"/>
              </w:rPr>
              <w:t xml:space="preserve"> </w:t>
            </w:r>
            <w:r>
              <w:rPr>
                <w:sz w:val="20"/>
                <w:szCs w:val="20"/>
              </w:rPr>
              <w:t>1</w:t>
            </w:r>
          </w:p>
        </w:tc>
        <w:tc>
          <w:tcPr>
            <w:tcW w:w="103" w:type="dxa"/>
            <w:tcBorders>
              <w:top w:val="nil"/>
              <w:left w:val="nil"/>
              <w:bottom w:val="nil"/>
              <w:right w:val="nil"/>
            </w:tcBorders>
            <w:vAlign w:val="top"/>
          </w:tcPr>
          <w:p w14:paraId="76224843">
            <w:pPr>
              <w:rPr>
                <w:rFonts w:ascii="Arial"/>
                <w:sz w:val="21"/>
              </w:rPr>
            </w:pPr>
          </w:p>
        </w:tc>
        <w:tc>
          <w:tcPr>
            <w:tcW w:w="886" w:type="dxa"/>
            <w:vAlign w:val="top"/>
          </w:tcPr>
          <w:p w14:paraId="2848A5B7">
            <w:pPr>
              <w:pStyle w:val="6"/>
              <w:spacing w:before="83" w:line="168" w:lineRule="auto"/>
              <w:ind w:left="277"/>
              <w:rPr>
                <w:sz w:val="20"/>
                <w:szCs w:val="20"/>
              </w:rPr>
            </w:pPr>
            <w:r>
              <w:rPr>
                <w:spacing w:val="1"/>
                <w:sz w:val="20"/>
                <w:szCs w:val="20"/>
              </w:rPr>
              <w:t>0.5</w:t>
            </w:r>
          </w:p>
        </w:tc>
        <w:tc>
          <w:tcPr>
            <w:tcW w:w="898" w:type="dxa"/>
            <w:vAlign w:val="top"/>
          </w:tcPr>
          <w:p w14:paraId="4C682880">
            <w:pPr>
              <w:pStyle w:val="6"/>
              <w:spacing w:before="83" w:line="168" w:lineRule="auto"/>
              <w:ind w:left="317"/>
              <w:rPr>
                <w:sz w:val="20"/>
                <w:szCs w:val="20"/>
              </w:rPr>
            </w:pPr>
            <w:r>
              <w:rPr>
                <w:spacing w:val="-4"/>
                <w:sz w:val="20"/>
                <w:szCs w:val="20"/>
              </w:rPr>
              <w:t>1.2</w:t>
            </w:r>
          </w:p>
        </w:tc>
        <w:tc>
          <w:tcPr>
            <w:tcW w:w="768" w:type="dxa"/>
            <w:vAlign w:val="top"/>
          </w:tcPr>
          <w:p w14:paraId="5B9E37BA">
            <w:pPr>
              <w:pStyle w:val="6"/>
              <w:spacing w:before="83" w:line="168" w:lineRule="auto"/>
              <w:ind w:left="244"/>
              <w:rPr>
                <w:sz w:val="20"/>
                <w:szCs w:val="20"/>
              </w:rPr>
            </w:pPr>
            <w:r>
              <w:rPr>
                <w:spacing w:val="2"/>
                <w:sz w:val="20"/>
                <w:szCs w:val="20"/>
              </w:rPr>
              <w:t>2.2</w:t>
            </w:r>
          </w:p>
        </w:tc>
        <w:tc>
          <w:tcPr>
            <w:tcW w:w="898" w:type="dxa"/>
            <w:vAlign w:val="top"/>
          </w:tcPr>
          <w:p w14:paraId="580C4E6D">
            <w:pPr>
              <w:pStyle w:val="6"/>
              <w:spacing w:before="83" w:line="168" w:lineRule="auto"/>
              <w:ind w:left="317"/>
              <w:rPr>
                <w:sz w:val="20"/>
                <w:szCs w:val="20"/>
              </w:rPr>
            </w:pPr>
            <w:r>
              <w:rPr>
                <w:spacing w:val="3"/>
                <w:sz w:val="20"/>
                <w:szCs w:val="20"/>
              </w:rPr>
              <w:t>4.2</w:t>
            </w:r>
          </w:p>
        </w:tc>
        <w:tc>
          <w:tcPr>
            <w:tcW w:w="898" w:type="dxa"/>
            <w:vAlign w:val="top"/>
          </w:tcPr>
          <w:p w14:paraId="4DFCB6DC">
            <w:pPr>
              <w:pStyle w:val="6"/>
              <w:spacing w:before="83" w:line="168" w:lineRule="auto"/>
              <w:ind w:left="299"/>
              <w:rPr>
                <w:sz w:val="20"/>
                <w:szCs w:val="20"/>
              </w:rPr>
            </w:pPr>
            <w:r>
              <w:rPr>
                <w:spacing w:val="-2"/>
                <w:sz w:val="20"/>
                <w:szCs w:val="20"/>
              </w:rPr>
              <w:t>10.8</w:t>
            </w:r>
          </w:p>
        </w:tc>
        <w:tc>
          <w:tcPr>
            <w:tcW w:w="883" w:type="dxa"/>
            <w:tcBorders>
              <w:right w:val="nil"/>
            </w:tcBorders>
            <w:vAlign w:val="top"/>
          </w:tcPr>
          <w:p w14:paraId="780509A4">
            <w:pPr>
              <w:pStyle w:val="6"/>
              <w:spacing w:before="83" w:line="168" w:lineRule="auto"/>
              <w:ind w:left="295"/>
              <w:rPr>
                <w:sz w:val="20"/>
                <w:szCs w:val="20"/>
              </w:rPr>
            </w:pPr>
            <w:r>
              <w:rPr>
                <w:spacing w:val="2"/>
                <w:sz w:val="20"/>
                <w:szCs w:val="20"/>
              </w:rPr>
              <w:t>36.2</w:t>
            </w:r>
          </w:p>
        </w:tc>
        <w:tc>
          <w:tcPr>
            <w:tcW w:w="103" w:type="dxa"/>
            <w:tcBorders>
              <w:top w:val="nil"/>
              <w:left w:val="nil"/>
              <w:bottom w:val="nil"/>
              <w:right w:val="nil"/>
            </w:tcBorders>
            <w:vAlign w:val="top"/>
          </w:tcPr>
          <w:p w14:paraId="2FA550CF">
            <w:pPr>
              <w:rPr>
                <w:rFonts w:ascii="Arial"/>
                <w:sz w:val="21"/>
              </w:rPr>
            </w:pPr>
          </w:p>
        </w:tc>
        <w:tc>
          <w:tcPr>
            <w:tcW w:w="828" w:type="dxa"/>
            <w:tcBorders>
              <w:right w:val="nil"/>
            </w:tcBorders>
            <w:vAlign w:val="top"/>
          </w:tcPr>
          <w:p w14:paraId="44A537B6">
            <w:pPr>
              <w:pStyle w:val="6"/>
              <w:spacing w:before="83" w:line="168" w:lineRule="auto"/>
              <w:ind w:left="251"/>
              <w:rPr>
                <w:sz w:val="20"/>
                <w:szCs w:val="20"/>
              </w:rPr>
            </w:pPr>
            <w:r>
              <w:rPr>
                <w:spacing w:val="-3"/>
                <w:sz w:val="20"/>
                <w:szCs w:val="20"/>
              </w:rPr>
              <w:t>129</w:t>
            </w:r>
          </w:p>
        </w:tc>
      </w:tr>
      <w:tr w14:paraId="148D8F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9" w:hRule="atLeast"/>
        </w:trPr>
        <w:tc>
          <w:tcPr>
            <w:tcW w:w="609" w:type="dxa"/>
            <w:tcBorders>
              <w:left w:val="nil"/>
              <w:bottom w:val="single" w:color="000000" w:sz="10" w:space="0"/>
            </w:tcBorders>
            <w:vAlign w:val="top"/>
          </w:tcPr>
          <w:p w14:paraId="0BD596AD">
            <w:pPr>
              <w:pStyle w:val="6"/>
              <w:spacing w:before="75" w:line="191" w:lineRule="auto"/>
              <w:ind w:left="228"/>
              <w:rPr>
                <w:sz w:val="20"/>
                <w:szCs w:val="20"/>
              </w:rPr>
            </w:pPr>
            <w:r>
              <w:rPr>
                <w:spacing w:val="-8"/>
                <w:sz w:val="20"/>
                <w:szCs w:val="20"/>
              </w:rPr>
              <w:t>15</w:t>
            </w:r>
          </w:p>
        </w:tc>
        <w:tc>
          <w:tcPr>
            <w:tcW w:w="766" w:type="dxa"/>
            <w:tcBorders>
              <w:bottom w:val="single" w:color="000000" w:sz="10" w:space="0"/>
            </w:tcBorders>
            <w:vAlign w:val="top"/>
          </w:tcPr>
          <w:p w14:paraId="5B4888F3">
            <w:pPr>
              <w:pStyle w:val="6"/>
              <w:spacing w:before="75" w:line="191" w:lineRule="auto"/>
              <w:ind w:left="301"/>
              <w:rPr>
                <w:sz w:val="20"/>
                <w:szCs w:val="20"/>
              </w:rPr>
            </w:pPr>
            <w:r>
              <w:rPr>
                <w:spacing w:val="-2"/>
                <w:sz w:val="20"/>
                <w:szCs w:val="20"/>
              </w:rPr>
              <w:t>80</w:t>
            </w:r>
          </w:p>
        </w:tc>
        <w:tc>
          <w:tcPr>
            <w:tcW w:w="878" w:type="dxa"/>
            <w:tcBorders>
              <w:bottom w:val="single" w:color="000000" w:sz="10" w:space="0"/>
              <w:right w:val="nil"/>
            </w:tcBorders>
            <w:vAlign w:val="top"/>
          </w:tcPr>
          <w:p w14:paraId="42B4066E">
            <w:pPr>
              <w:pStyle w:val="6"/>
              <w:spacing w:before="75" w:line="191" w:lineRule="auto"/>
              <w:ind w:left="346"/>
              <w:rPr>
                <w:sz w:val="20"/>
                <w:szCs w:val="20"/>
              </w:rPr>
            </w:pPr>
            <w:r>
              <w:rPr>
                <w:sz w:val="20"/>
                <w:szCs w:val="20"/>
              </w:rPr>
              <w:t>0.</w:t>
            </w:r>
            <w:r>
              <w:rPr>
                <w:spacing w:val="-25"/>
                <w:sz w:val="20"/>
                <w:szCs w:val="20"/>
              </w:rPr>
              <w:t xml:space="preserve"> </w:t>
            </w:r>
            <w:r>
              <w:rPr>
                <w:sz w:val="20"/>
                <w:szCs w:val="20"/>
              </w:rPr>
              <w:t>1</w:t>
            </w:r>
          </w:p>
        </w:tc>
        <w:tc>
          <w:tcPr>
            <w:tcW w:w="103" w:type="dxa"/>
            <w:tcBorders>
              <w:top w:val="nil"/>
              <w:left w:val="nil"/>
              <w:bottom w:val="nil"/>
              <w:right w:val="nil"/>
            </w:tcBorders>
            <w:vAlign w:val="top"/>
          </w:tcPr>
          <w:p w14:paraId="4EB87711">
            <w:pPr>
              <w:rPr>
                <w:rFonts w:ascii="Arial"/>
                <w:sz w:val="21"/>
              </w:rPr>
            </w:pPr>
          </w:p>
        </w:tc>
        <w:tc>
          <w:tcPr>
            <w:tcW w:w="886" w:type="dxa"/>
            <w:tcBorders>
              <w:bottom w:val="single" w:color="000000" w:sz="10" w:space="0"/>
            </w:tcBorders>
            <w:vAlign w:val="top"/>
          </w:tcPr>
          <w:p w14:paraId="489D0205">
            <w:pPr>
              <w:pStyle w:val="6"/>
              <w:spacing w:before="75" w:line="191" w:lineRule="auto"/>
              <w:ind w:left="277"/>
              <w:rPr>
                <w:sz w:val="20"/>
                <w:szCs w:val="20"/>
              </w:rPr>
            </w:pPr>
            <w:r>
              <w:rPr>
                <w:spacing w:val="1"/>
                <w:sz w:val="20"/>
                <w:szCs w:val="20"/>
              </w:rPr>
              <w:t>0.3</w:t>
            </w:r>
          </w:p>
        </w:tc>
        <w:tc>
          <w:tcPr>
            <w:tcW w:w="898" w:type="dxa"/>
            <w:tcBorders>
              <w:bottom w:val="single" w:color="000000" w:sz="10" w:space="0"/>
            </w:tcBorders>
            <w:vAlign w:val="top"/>
          </w:tcPr>
          <w:p w14:paraId="00F885E4">
            <w:pPr>
              <w:pStyle w:val="6"/>
              <w:spacing w:before="75" w:line="191" w:lineRule="auto"/>
              <w:ind w:left="317"/>
              <w:rPr>
                <w:sz w:val="20"/>
                <w:szCs w:val="20"/>
              </w:rPr>
            </w:pPr>
            <w:r>
              <w:rPr>
                <w:spacing w:val="-6"/>
                <w:sz w:val="20"/>
                <w:szCs w:val="20"/>
              </w:rPr>
              <w:t>1.</w:t>
            </w:r>
            <w:r>
              <w:rPr>
                <w:spacing w:val="-25"/>
                <w:sz w:val="20"/>
                <w:szCs w:val="20"/>
              </w:rPr>
              <w:t xml:space="preserve"> </w:t>
            </w:r>
            <w:r>
              <w:rPr>
                <w:spacing w:val="-6"/>
                <w:sz w:val="20"/>
                <w:szCs w:val="20"/>
              </w:rPr>
              <w:t>1</w:t>
            </w:r>
          </w:p>
        </w:tc>
        <w:tc>
          <w:tcPr>
            <w:tcW w:w="768" w:type="dxa"/>
            <w:tcBorders>
              <w:bottom w:val="single" w:color="000000" w:sz="10" w:space="0"/>
            </w:tcBorders>
            <w:vAlign w:val="top"/>
          </w:tcPr>
          <w:p w14:paraId="6CBDF343">
            <w:pPr>
              <w:pStyle w:val="6"/>
              <w:spacing w:before="75" w:line="191" w:lineRule="auto"/>
              <w:ind w:left="244"/>
              <w:rPr>
                <w:sz w:val="20"/>
                <w:szCs w:val="20"/>
              </w:rPr>
            </w:pPr>
            <w:r>
              <w:rPr>
                <w:spacing w:val="2"/>
                <w:sz w:val="20"/>
                <w:szCs w:val="20"/>
              </w:rPr>
              <w:t>2.4</w:t>
            </w:r>
          </w:p>
        </w:tc>
        <w:tc>
          <w:tcPr>
            <w:tcW w:w="898" w:type="dxa"/>
            <w:tcBorders>
              <w:bottom w:val="single" w:color="000000" w:sz="10" w:space="0"/>
            </w:tcBorders>
            <w:vAlign w:val="top"/>
          </w:tcPr>
          <w:p w14:paraId="5908369F">
            <w:pPr>
              <w:pStyle w:val="6"/>
              <w:spacing w:before="75" w:line="191" w:lineRule="auto"/>
              <w:ind w:left="317"/>
              <w:rPr>
                <w:sz w:val="20"/>
                <w:szCs w:val="20"/>
              </w:rPr>
            </w:pPr>
            <w:r>
              <w:rPr>
                <w:spacing w:val="1"/>
                <w:sz w:val="20"/>
                <w:szCs w:val="20"/>
              </w:rPr>
              <w:t>4.</w:t>
            </w:r>
            <w:r>
              <w:rPr>
                <w:spacing w:val="-25"/>
                <w:sz w:val="20"/>
                <w:szCs w:val="20"/>
              </w:rPr>
              <w:t xml:space="preserve"> </w:t>
            </w:r>
            <w:r>
              <w:rPr>
                <w:spacing w:val="1"/>
                <w:sz w:val="20"/>
                <w:szCs w:val="20"/>
              </w:rPr>
              <w:t>1</w:t>
            </w:r>
          </w:p>
        </w:tc>
        <w:tc>
          <w:tcPr>
            <w:tcW w:w="898" w:type="dxa"/>
            <w:tcBorders>
              <w:bottom w:val="single" w:color="000000" w:sz="10" w:space="0"/>
            </w:tcBorders>
            <w:vAlign w:val="top"/>
          </w:tcPr>
          <w:p w14:paraId="7025E94E">
            <w:pPr>
              <w:pStyle w:val="6"/>
              <w:spacing w:before="75" w:line="191" w:lineRule="auto"/>
              <w:ind w:left="341"/>
              <w:rPr>
                <w:sz w:val="20"/>
                <w:szCs w:val="20"/>
              </w:rPr>
            </w:pPr>
            <w:r>
              <w:rPr>
                <w:sz w:val="20"/>
                <w:szCs w:val="20"/>
              </w:rPr>
              <w:t>8.3</w:t>
            </w:r>
          </w:p>
        </w:tc>
        <w:tc>
          <w:tcPr>
            <w:tcW w:w="883" w:type="dxa"/>
            <w:tcBorders>
              <w:bottom w:val="single" w:color="000000" w:sz="10" w:space="0"/>
              <w:right w:val="nil"/>
            </w:tcBorders>
            <w:vAlign w:val="top"/>
          </w:tcPr>
          <w:p w14:paraId="797F0D0A">
            <w:pPr>
              <w:pStyle w:val="6"/>
              <w:spacing w:before="75" w:line="191" w:lineRule="auto"/>
              <w:ind w:left="311"/>
              <w:rPr>
                <w:sz w:val="20"/>
                <w:szCs w:val="20"/>
              </w:rPr>
            </w:pPr>
            <w:r>
              <w:rPr>
                <w:spacing w:val="-2"/>
                <w:sz w:val="20"/>
                <w:szCs w:val="20"/>
              </w:rPr>
              <w:t>12.7</w:t>
            </w:r>
          </w:p>
        </w:tc>
        <w:tc>
          <w:tcPr>
            <w:tcW w:w="103" w:type="dxa"/>
            <w:tcBorders>
              <w:top w:val="nil"/>
              <w:left w:val="nil"/>
              <w:bottom w:val="nil"/>
              <w:right w:val="nil"/>
            </w:tcBorders>
            <w:vAlign w:val="top"/>
          </w:tcPr>
          <w:p w14:paraId="7D31B94D">
            <w:pPr>
              <w:rPr>
                <w:rFonts w:ascii="Arial"/>
                <w:sz w:val="21"/>
              </w:rPr>
            </w:pPr>
          </w:p>
        </w:tc>
        <w:tc>
          <w:tcPr>
            <w:tcW w:w="828" w:type="dxa"/>
            <w:tcBorders>
              <w:bottom w:val="single" w:color="000000" w:sz="10" w:space="0"/>
              <w:right w:val="nil"/>
            </w:tcBorders>
            <w:vAlign w:val="top"/>
          </w:tcPr>
          <w:p w14:paraId="4A430B71">
            <w:pPr>
              <w:pStyle w:val="6"/>
              <w:spacing w:before="75" w:line="191" w:lineRule="auto"/>
              <w:ind w:left="211"/>
              <w:rPr>
                <w:sz w:val="20"/>
                <w:szCs w:val="20"/>
              </w:rPr>
            </w:pPr>
            <w:r>
              <w:rPr>
                <w:spacing w:val="1"/>
                <w:sz w:val="20"/>
                <w:szCs w:val="20"/>
              </w:rPr>
              <w:t>82.8</w:t>
            </w:r>
          </w:p>
        </w:tc>
      </w:tr>
    </w:tbl>
    <w:p w14:paraId="6DB6AD00">
      <w:pPr>
        <w:spacing w:before="114" w:line="226" w:lineRule="auto"/>
        <w:ind w:left="595"/>
        <w:rPr>
          <w:rFonts w:ascii="仿宋" w:hAnsi="仿宋" w:eastAsia="仿宋" w:cs="仿宋"/>
          <w:sz w:val="24"/>
          <w:szCs w:val="24"/>
        </w:rPr>
      </w:pPr>
      <w:r>
        <w:rPr>
          <w:rFonts w:ascii="宋体" w:hAnsi="宋体" w:eastAsia="宋体" w:cs="宋体"/>
          <w:spacing w:val="-1"/>
          <w:sz w:val="24"/>
          <w:szCs w:val="24"/>
        </w:rPr>
        <w:t>②</w:t>
      </w:r>
      <w:r>
        <w:rPr>
          <w:rFonts w:ascii="仿宋" w:hAnsi="仿宋" w:eastAsia="仿宋" w:cs="仿宋"/>
          <w:spacing w:val="-1"/>
          <w:sz w:val="24"/>
          <w:szCs w:val="24"/>
        </w:rPr>
        <w:t>地面效应引起的衰减（</w:t>
      </w:r>
      <w:r>
        <w:rPr>
          <w:rFonts w:ascii="Times New Roman" w:hAnsi="Times New Roman" w:eastAsia="Times New Roman" w:cs="Times New Roman"/>
          <w:spacing w:val="-1"/>
          <w:sz w:val="24"/>
          <w:szCs w:val="24"/>
        </w:rPr>
        <w:t>A</w:t>
      </w:r>
      <w:r>
        <w:rPr>
          <w:rFonts w:ascii="Times New Roman" w:hAnsi="Times New Roman" w:eastAsia="Times New Roman" w:cs="Times New Roman"/>
          <w:spacing w:val="-1"/>
          <w:sz w:val="15"/>
          <w:szCs w:val="15"/>
        </w:rPr>
        <w:t>gr</w:t>
      </w:r>
      <w:r>
        <w:rPr>
          <w:rFonts w:ascii="仿宋" w:hAnsi="仿宋" w:eastAsia="仿宋" w:cs="仿宋"/>
          <w:spacing w:val="-1"/>
          <w:sz w:val="24"/>
          <w:szCs w:val="24"/>
        </w:rPr>
        <w:t>）</w:t>
      </w:r>
    </w:p>
    <w:p w14:paraId="281E9B07">
      <w:pPr>
        <w:spacing w:before="174" w:line="223" w:lineRule="auto"/>
        <w:ind w:left="604"/>
        <w:rPr>
          <w:rFonts w:ascii="仿宋" w:hAnsi="仿宋" w:eastAsia="仿宋" w:cs="仿宋"/>
          <w:sz w:val="24"/>
          <w:szCs w:val="24"/>
        </w:rPr>
      </w:pPr>
      <w:r>
        <w:rPr>
          <w:rFonts w:ascii="仿宋" w:hAnsi="仿宋" w:eastAsia="仿宋" w:cs="仿宋"/>
          <w:spacing w:val="-3"/>
          <w:sz w:val="24"/>
          <w:szCs w:val="24"/>
        </w:rPr>
        <w:t>地面类型可分为：</w:t>
      </w:r>
    </w:p>
    <w:p w14:paraId="03893EF3">
      <w:pPr>
        <w:spacing w:before="179" w:line="212" w:lineRule="auto"/>
        <w:ind w:left="596"/>
        <w:rPr>
          <w:rFonts w:ascii="仿宋" w:hAnsi="仿宋" w:eastAsia="仿宋" w:cs="仿宋"/>
          <w:sz w:val="24"/>
          <w:szCs w:val="24"/>
        </w:rPr>
      </w:pPr>
      <w:r>
        <w:rPr>
          <w:rFonts w:ascii="Times New Roman" w:hAnsi="Times New Roman" w:eastAsia="Times New Roman" w:cs="Times New Roman"/>
          <w:spacing w:val="-1"/>
          <w:sz w:val="24"/>
          <w:szCs w:val="24"/>
        </w:rPr>
        <w:t>a)</w:t>
      </w:r>
      <w:r>
        <w:rPr>
          <w:rFonts w:ascii="仿宋" w:hAnsi="仿宋" w:eastAsia="仿宋" w:cs="仿宋"/>
          <w:spacing w:val="-1"/>
          <w:sz w:val="24"/>
          <w:szCs w:val="24"/>
        </w:rPr>
        <w:t>坚实地面，包括铺筑过的路面、水面、冰面以及夯实地面；</w:t>
      </w:r>
    </w:p>
    <w:p w14:paraId="1FE5FE1F">
      <w:pPr>
        <w:spacing w:before="193" w:line="354" w:lineRule="auto"/>
        <w:ind w:left="138" w:right="104" w:firstLine="449"/>
        <w:rPr>
          <w:rFonts w:ascii="仿宋" w:hAnsi="仿宋" w:eastAsia="仿宋" w:cs="仿宋"/>
          <w:sz w:val="24"/>
          <w:szCs w:val="24"/>
        </w:rPr>
      </w:pPr>
      <w:r>
        <w:rPr>
          <w:rFonts w:ascii="Times New Roman" w:hAnsi="Times New Roman" w:eastAsia="Times New Roman" w:cs="Times New Roman"/>
          <w:spacing w:val="-2"/>
          <w:sz w:val="24"/>
          <w:szCs w:val="24"/>
        </w:rPr>
        <w:t>b)</w:t>
      </w:r>
      <w:r>
        <w:rPr>
          <w:rFonts w:ascii="仿宋" w:hAnsi="仿宋" w:eastAsia="仿宋" w:cs="仿宋"/>
          <w:spacing w:val="-2"/>
          <w:sz w:val="24"/>
          <w:szCs w:val="24"/>
        </w:rPr>
        <w:t>疏松地面，包括被草或其他植物覆盖的地面，以及农田等适合于植物生长</w:t>
      </w:r>
      <w:r>
        <w:rPr>
          <w:rFonts w:ascii="仿宋" w:hAnsi="仿宋" w:eastAsia="仿宋" w:cs="仿宋"/>
          <w:spacing w:val="-8"/>
          <w:sz w:val="24"/>
          <w:szCs w:val="24"/>
        </w:rPr>
        <w:t>的地面；</w:t>
      </w:r>
    </w:p>
    <w:p w14:paraId="2F679BF2">
      <w:pPr>
        <w:spacing w:before="15" w:line="212" w:lineRule="auto"/>
        <w:ind w:left="596"/>
        <w:rPr>
          <w:rFonts w:ascii="仿宋" w:hAnsi="仿宋" w:eastAsia="仿宋" w:cs="仿宋"/>
          <w:sz w:val="24"/>
          <w:szCs w:val="24"/>
        </w:rPr>
      </w:pPr>
      <w:r>
        <w:rPr>
          <w:rFonts w:ascii="Times New Roman" w:hAnsi="Times New Roman" w:eastAsia="Times New Roman" w:cs="Times New Roman"/>
          <w:spacing w:val="-1"/>
          <w:sz w:val="24"/>
          <w:szCs w:val="24"/>
        </w:rPr>
        <w:t>c)</w:t>
      </w:r>
      <w:r>
        <w:rPr>
          <w:rFonts w:ascii="仿宋" w:hAnsi="仿宋" w:eastAsia="仿宋" w:cs="仿宋"/>
          <w:spacing w:val="-1"/>
          <w:sz w:val="24"/>
          <w:szCs w:val="24"/>
        </w:rPr>
        <w:t>混合地面，由坚实地面和疏松地面组成。</w:t>
      </w:r>
    </w:p>
    <w:p w14:paraId="0FF639CB">
      <w:pPr>
        <w:spacing w:before="191" w:line="327" w:lineRule="auto"/>
        <w:ind w:left="123" w:right="104" w:firstLine="479"/>
        <w:rPr>
          <w:rFonts w:ascii="仿宋" w:hAnsi="仿宋" w:eastAsia="仿宋" w:cs="仿宋"/>
          <w:sz w:val="24"/>
          <w:szCs w:val="24"/>
        </w:rPr>
      </w:pPr>
      <w:r>
        <w:rPr>
          <w:rFonts w:ascii="仿宋" w:hAnsi="仿宋" w:eastAsia="仿宋" w:cs="仿宋"/>
          <w:spacing w:val="-3"/>
          <w:sz w:val="24"/>
          <w:szCs w:val="24"/>
        </w:rPr>
        <w:t>声波掠过疏松地面传播时，或大部分为疏松地面的</w:t>
      </w:r>
      <w:r>
        <w:rPr>
          <w:rFonts w:ascii="仿宋" w:hAnsi="仿宋" w:eastAsia="仿宋" w:cs="仿宋"/>
          <w:spacing w:val="-4"/>
          <w:sz w:val="24"/>
          <w:szCs w:val="24"/>
        </w:rPr>
        <w:t>混合地面，在预测点仅计</w:t>
      </w:r>
      <w:r>
        <w:rPr>
          <w:rFonts w:ascii="仿宋" w:hAnsi="仿宋" w:eastAsia="仿宋" w:cs="仿宋"/>
          <w:spacing w:val="-1"/>
          <w:sz w:val="24"/>
          <w:szCs w:val="24"/>
        </w:rPr>
        <w:t>算</w:t>
      </w:r>
      <w:r>
        <w:rPr>
          <w:rFonts w:ascii="仿宋" w:hAnsi="仿宋" w:eastAsia="仿宋" w:cs="仿宋"/>
          <w:spacing w:val="-50"/>
          <w:sz w:val="24"/>
          <w:szCs w:val="24"/>
        </w:rPr>
        <w:t xml:space="preserve"> </w:t>
      </w:r>
      <w:r>
        <w:rPr>
          <w:rFonts w:ascii="Times New Roman" w:hAnsi="Times New Roman" w:eastAsia="Times New Roman" w:cs="Times New Roman"/>
          <w:spacing w:val="-1"/>
          <w:sz w:val="24"/>
          <w:szCs w:val="24"/>
        </w:rPr>
        <w:t xml:space="preserve">A </w:t>
      </w:r>
      <w:r>
        <w:rPr>
          <w:rFonts w:ascii="仿宋" w:hAnsi="仿宋" w:eastAsia="仿宋" w:cs="仿宋"/>
          <w:spacing w:val="-1"/>
          <w:sz w:val="24"/>
          <w:szCs w:val="24"/>
        </w:rPr>
        <w:t>声级前提下，地面效应引起的倍频带衰减可用下式计算：</w:t>
      </w:r>
    </w:p>
    <w:p w14:paraId="55E0781A">
      <w:pPr>
        <w:spacing w:before="1" w:line="403" w:lineRule="auto"/>
        <w:ind w:left="609" w:right="2622" w:firstLine="2488"/>
        <w:rPr>
          <w:rFonts w:ascii="仿宋" w:hAnsi="仿宋" w:eastAsia="仿宋" w:cs="仿宋"/>
          <w:sz w:val="24"/>
          <w:szCs w:val="24"/>
        </w:rPr>
      </w:pPr>
      <w:r>
        <w:rPr>
          <w:rFonts w:ascii="Times New Roman" w:hAnsi="Times New Roman" w:eastAsia="Times New Roman" w:cs="Times New Roman"/>
          <w:spacing w:val="3"/>
          <w:position w:val="1"/>
          <w:sz w:val="23"/>
          <w:szCs w:val="23"/>
        </w:rPr>
        <w:t>A</w:t>
      </w:r>
      <w:r>
        <w:rPr>
          <w:rFonts w:ascii="Times New Roman" w:hAnsi="Times New Roman" w:eastAsia="Times New Roman" w:cs="Times New Roman"/>
          <w:spacing w:val="3"/>
          <w:position w:val="-4"/>
          <w:sz w:val="15"/>
          <w:szCs w:val="15"/>
        </w:rPr>
        <w:t>gr</w:t>
      </w:r>
      <w:r>
        <w:rPr>
          <w:rFonts w:ascii="Times New Roman" w:hAnsi="Times New Roman" w:eastAsia="Times New Roman" w:cs="Times New Roman"/>
          <w:spacing w:val="7"/>
          <w:position w:val="-4"/>
          <w:sz w:val="15"/>
          <w:szCs w:val="15"/>
        </w:rPr>
        <w:t xml:space="preserve">  </w:t>
      </w:r>
      <w:r>
        <w:rPr>
          <w:position w:val="-22"/>
          <w:sz w:val="15"/>
          <w:szCs w:val="15"/>
        </w:rPr>
        <w:drawing>
          <wp:inline distT="0" distB="0" distL="0" distR="0">
            <wp:extent cx="1528445" cy="406400"/>
            <wp:effectExtent l="0" t="0" r="0" b="0"/>
            <wp:docPr id="230" name="IM 230"/>
            <wp:cNvGraphicFramePr/>
            <a:graphic xmlns:a="http://schemas.openxmlformats.org/drawingml/2006/main">
              <a:graphicData uri="http://schemas.openxmlformats.org/drawingml/2006/picture">
                <pic:pic xmlns:pic="http://schemas.openxmlformats.org/drawingml/2006/picture">
                  <pic:nvPicPr>
                    <pic:cNvPr id="230" name="IM 230"/>
                    <pic:cNvPicPr/>
                  </pic:nvPicPr>
                  <pic:blipFill>
                    <a:blip r:embed="rId382"/>
                    <a:stretch>
                      <a:fillRect/>
                    </a:stretch>
                  </pic:blipFill>
                  <pic:spPr>
                    <a:xfrm>
                      <a:off x="0" y="0"/>
                      <a:ext cx="1528775" cy="406965"/>
                    </a:xfrm>
                    <a:prstGeom prst="rect">
                      <a:avLst/>
                    </a:prstGeom>
                  </pic:spPr>
                </pic:pic>
              </a:graphicData>
            </a:graphic>
          </wp:inline>
        </w:drawing>
      </w:r>
      <w:r>
        <w:rPr>
          <w:rFonts w:ascii="Times New Roman" w:hAnsi="Times New Roman" w:eastAsia="Times New Roman" w:cs="Times New Roman"/>
          <w:spacing w:val="1"/>
          <w:position w:val="-4"/>
          <w:sz w:val="15"/>
          <w:szCs w:val="15"/>
        </w:rPr>
        <w:t xml:space="preserve"> </w:t>
      </w:r>
      <w:r>
        <w:rPr>
          <w:rFonts w:ascii="仿宋" w:hAnsi="仿宋" w:eastAsia="仿宋" w:cs="仿宋"/>
          <w:spacing w:val="-8"/>
          <w:sz w:val="24"/>
          <w:szCs w:val="24"/>
        </w:rPr>
        <w:t>式中：</w:t>
      </w:r>
    </w:p>
    <w:p w14:paraId="6E66451A">
      <w:pPr>
        <w:spacing w:before="28" w:line="210" w:lineRule="auto"/>
        <w:ind w:left="1309"/>
        <w:rPr>
          <w:rFonts w:ascii="仿宋" w:hAnsi="仿宋" w:eastAsia="仿宋" w:cs="仿宋"/>
          <w:sz w:val="24"/>
          <w:szCs w:val="24"/>
        </w:rPr>
      </w:pPr>
      <w:r>
        <w:rPr>
          <w:rFonts w:ascii="Times New Roman" w:hAnsi="Times New Roman" w:eastAsia="Times New Roman" w:cs="Times New Roman"/>
          <w:spacing w:val="-1"/>
          <w:sz w:val="24"/>
          <w:szCs w:val="24"/>
        </w:rPr>
        <w:t>Agr—</w:t>
      </w:r>
      <w:r>
        <w:rPr>
          <w:rFonts w:ascii="仿宋" w:hAnsi="仿宋" w:eastAsia="仿宋" w:cs="仿宋"/>
          <w:spacing w:val="-1"/>
          <w:sz w:val="24"/>
          <w:szCs w:val="24"/>
        </w:rPr>
        <w:t>地面效应引起的衰减，</w:t>
      </w:r>
      <w:r>
        <w:rPr>
          <w:rFonts w:ascii="Times New Roman" w:hAnsi="Times New Roman" w:eastAsia="Times New Roman" w:cs="Times New Roman"/>
          <w:spacing w:val="-1"/>
          <w:sz w:val="24"/>
          <w:szCs w:val="24"/>
        </w:rPr>
        <w:t>dB</w:t>
      </w:r>
      <w:r>
        <w:rPr>
          <w:rFonts w:ascii="仿宋" w:hAnsi="仿宋" w:eastAsia="仿宋" w:cs="仿宋"/>
          <w:spacing w:val="-1"/>
          <w:sz w:val="24"/>
          <w:szCs w:val="24"/>
        </w:rPr>
        <w:t>；</w:t>
      </w:r>
    </w:p>
    <w:p w14:paraId="43561C5E">
      <w:pPr>
        <w:spacing w:before="195" w:line="222" w:lineRule="auto"/>
        <w:ind w:left="1429"/>
        <w:rPr>
          <w:rFonts w:ascii="仿宋" w:hAnsi="仿宋" w:eastAsia="仿宋" w:cs="仿宋"/>
          <w:sz w:val="24"/>
          <w:szCs w:val="24"/>
        </w:rPr>
      </w:pPr>
      <w:r>
        <w:rPr>
          <w:rFonts w:ascii="Times New Roman" w:hAnsi="Times New Roman" w:eastAsia="Times New Roman" w:cs="Times New Roman"/>
          <w:spacing w:val="-1"/>
          <w:sz w:val="24"/>
          <w:szCs w:val="24"/>
        </w:rPr>
        <w:t>r—</w:t>
      </w:r>
      <w:r>
        <w:rPr>
          <w:rFonts w:ascii="仿宋" w:hAnsi="仿宋" w:eastAsia="仿宋" w:cs="仿宋"/>
          <w:spacing w:val="-1"/>
          <w:sz w:val="24"/>
          <w:szCs w:val="24"/>
        </w:rPr>
        <w:t>预测点距声源的距离，</w:t>
      </w:r>
      <w:r>
        <w:rPr>
          <w:rFonts w:ascii="Times New Roman" w:hAnsi="Times New Roman" w:eastAsia="Times New Roman" w:cs="Times New Roman"/>
          <w:spacing w:val="-1"/>
          <w:sz w:val="24"/>
          <w:szCs w:val="24"/>
        </w:rPr>
        <w:t>m</w:t>
      </w:r>
      <w:r>
        <w:rPr>
          <w:rFonts w:ascii="仿宋" w:hAnsi="仿宋" w:eastAsia="仿宋" w:cs="仿宋"/>
          <w:spacing w:val="-1"/>
          <w:sz w:val="24"/>
          <w:szCs w:val="24"/>
        </w:rPr>
        <w:t>；</w:t>
      </w:r>
    </w:p>
    <w:p w14:paraId="6A94641B">
      <w:pPr>
        <w:spacing w:before="134" w:line="352" w:lineRule="auto"/>
        <w:ind w:left="128" w:right="43" w:firstLine="1183"/>
        <w:rPr>
          <w:rFonts w:ascii="仿宋" w:hAnsi="仿宋" w:eastAsia="仿宋" w:cs="仿宋"/>
          <w:sz w:val="24"/>
          <w:szCs w:val="24"/>
        </w:rPr>
      </w:pPr>
      <w:r>
        <w:rPr>
          <w:rFonts w:ascii="Times New Roman" w:hAnsi="Times New Roman" w:eastAsia="Times New Roman" w:cs="Times New Roman"/>
          <w:spacing w:val="-5"/>
          <w:sz w:val="24"/>
          <w:szCs w:val="24"/>
        </w:rPr>
        <w:t>ℎm—</w:t>
      </w:r>
      <w:r>
        <w:rPr>
          <w:rFonts w:ascii="仿宋" w:hAnsi="仿宋" w:eastAsia="仿宋" w:cs="仿宋"/>
          <w:spacing w:val="-5"/>
          <w:sz w:val="24"/>
          <w:szCs w:val="24"/>
        </w:rPr>
        <w:t>传播路径的平均离地高度，</w:t>
      </w:r>
      <w:r>
        <w:rPr>
          <w:rFonts w:ascii="Times New Roman" w:hAnsi="Times New Roman" w:eastAsia="Times New Roman" w:cs="Times New Roman"/>
          <w:spacing w:val="-5"/>
          <w:sz w:val="24"/>
          <w:szCs w:val="24"/>
        </w:rPr>
        <w:t>m</w:t>
      </w:r>
      <w:r>
        <w:rPr>
          <w:rFonts w:ascii="仿宋" w:hAnsi="仿宋" w:eastAsia="仿宋" w:cs="仿宋"/>
          <w:spacing w:val="-5"/>
          <w:sz w:val="24"/>
          <w:szCs w:val="24"/>
        </w:rPr>
        <w:t>；可按下图进行</w:t>
      </w:r>
      <w:r>
        <w:rPr>
          <w:rFonts w:ascii="仿宋" w:hAnsi="仿宋" w:eastAsia="仿宋" w:cs="仿宋"/>
          <w:spacing w:val="-6"/>
          <w:sz w:val="24"/>
          <w:szCs w:val="24"/>
        </w:rPr>
        <w:t>计算，</w:t>
      </w:r>
      <w:r>
        <w:rPr>
          <w:rFonts w:ascii="Times New Roman" w:hAnsi="Times New Roman" w:eastAsia="Times New Roman" w:cs="Times New Roman"/>
          <w:spacing w:val="-6"/>
          <w:sz w:val="24"/>
          <w:szCs w:val="24"/>
        </w:rPr>
        <w:t>ℎm=F/r</w:t>
      </w:r>
      <w:r>
        <w:rPr>
          <w:rFonts w:ascii="仿宋" w:hAnsi="仿宋" w:eastAsia="仿宋" w:cs="仿宋"/>
          <w:spacing w:val="-6"/>
          <w:sz w:val="24"/>
          <w:szCs w:val="24"/>
        </w:rPr>
        <w:t>；</w:t>
      </w:r>
      <w:r>
        <w:rPr>
          <w:rFonts w:ascii="Times New Roman" w:hAnsi="Times New Roman" w:eastAsia="Times New Roman" w:cs="Times New Roman"/>
          <w:spacing w:val="-6"/>
          <w:sz w:val="24"/>
          <w:szCs w:val="24"/>
        </w:rPr>
        <w:t>F</w:t>
      </w:r>
      <w:r>
        <w:rPr>
          <w:rFonts w:ascii="仿宋" w:hAnsi="仿宋" w:eastAsia="仿宋" w:cs="仿宋"/>
          <w:spacing w:val="-6"/>
          <w:sz w:val="24"/>
          <w:szCs w:val="24"/>
        </w:rPr>
        <w:t>：</w:t>
      </w:r>
      <w:r>
        <w:rPr>
          <w:rFonts w:ascii="仿宋" w:hAnsi="仿宋" w:eastAsia="仿宋" w:cs="仿宋"/>
          <w:spacing w:val="-4"/>
          <w:sz w:val="24"/>
          <w:szCs w:val="24"/>
        </w:rPr>
        <w:t>面积，</w:t>
      </w:r>
      <w:r>
        <w:rPr>
          <w:rFonts w:ascii="Times New Roman" w:hAnsi="Times New Roman" w:eastAsia="Times New Roman" w:cs="Times New Roman"/>
          <w:spacing w:val="-4"/>
          <w:sz w:val="24"/>
          <w:szCs w:val="24"/>
        </w:rPr>
        <w:t>m</w:t>
      </w:r>
      <w:r>
        <w:rPr>
          <w:rFonts w:ascii="Times New Roman" w:hAnsi="Times New Roman" w:eastAsia="Times New Roman" w:cs="Times New Roman"/>
          <w:spacing w:val="-4"/>
          <w:position w:val="8"/>
          <w:sz w:val="15"/>
          <w:szCs w:val="15"/>
        </w:rPr>
        <w:t xml:space="preserve">2 </w:t>
      </w:r>
      <w:r>
        <w:rPr>
          <w:rFonts w:ascii="仿宋" w:hAnsi="仿宋" w:eastAsia="仿宋" w:cs="仿宋"/>
          <w:spacing w:val="-4"/>
          <w:sz w:val="24"/>
          <w:szCs w:val="24"/>
        </w:rPr>
        <w:t>；若</w:t>
      </w:r>
      <w:r>
        <w:rPr>
          <w:rFonts w:ascii="仿宋" w:hAnsi="仿宋" w:eastAsia="仿宋" w:cs="仿宋"/>
          <w:spacing w:val="-59"/>
          <w:sz w:val="24"/>
          <w:szCs w:val="24"/>
        </w:rPr>
        <w:t xml:space="preserve"> </w:t>
      </w:r>
      <w:r>
        <w:rPr>
          <w:rFonts w:ascii="Times New Roman" w:hAnsi="Times New Roman" w:eastAsia="Times New Roman" w:cs="Times New Roman"/>
          <w:spacing w:val="-4"/>
          <w:sz w:val="24"/>
          <w:szCs w:val="24"/>
        </w:rPr>
        <w:t>Agr</w:t>
      </w:r>
      <w:r>
        <w:rPr>
          <w:rFonts w:ascii="Times New Roman" w:hAnsi="Times New Roman" w:eastAsia="Times New Roman" w:cs="Times New Roman"/>
          <w:spacing w:val="14"/>
          <w:sz w:val="24"/>
          <w:szCs w:val="24"/>
        </w:rPr>
        <w:t xml:space="preserve"> </w:t>
      </w:r>
      <w:r>
        <w:rPr>
          <w:rFonts w:ascii="仿宋" w:hAnsi="仿宋" w:eastAsia="仿宋" w:cs="仿宋"/>
          <w:spacing w:val="-4"/>
          <w:sz w:val="24"/>
          <w:szCs w:val="24"/>
        </w:rPr>
        <w:t>计算出负值，则</w:t>
      </w:r>
      <w:r>
        <w:rPr>
          <w:rFonts w:ascii="仿宋" w:hAnsi="仿宋" w:eastAsia="仿宋" w:cs="仿宋"/>
          <w:spacing w:val="-58"/>
          <w:sz w:val="24"/>
          <w:szCs w:val="24"/>
        </w:rPr>
        <w:t xml:space="preserve"> </w:t>
      </w:r>
      <w:r>
        <w:rPr>
          <w:rFonts w:ascii="Times New Roman" w:hAnsi="Times New Roman" w:eastAsia="Times New Roman" w:cs="Times New Roman"/>
          <w:spacing w:val="-4"/>
          <w:sz w:val="24"/>
          <w:szCs w:val="24"/>
        </w:rPr>
        <w:t>Agr</w:t>
      </w:r>
      <w:r>
        <w:rPr>
          <w:rFonts w:ascii="Times New Roman" w:hAnsi="Times New Roman" w:eastAsia="Times New Roman" w:cs="Times New Roman"/>
          <w:spacing w:val="20"/>
          <w:sz w:val="24"/>
          <w:szCs w:val="24"/>
        </w:rPr>
        <w:t xml:space="preserve"> </w:t>
      </w:r>
      <w:r>
        <w:rPr>
          <w:rFonts w:ascii="仿宋" w:hAnsi="仿宋" w:eastAsia="仿宋" w:cs="仿宋"/>
          <w:spacing w:val="-4"/>
          <w:sz w:val="24"/>
          <w:szCs w:val="24"/>
        </w:rPr>
        <w:t>可用</w:t>
      </w:r>
      <w:r>
        <w:rPr>
          <w:rFonts w:ascii="Times New Roman" w:hAnsi="Times New Roman" w:eastAsia="Times New Roman" w:cs="Times New Roman"/>
          <w:spacing w:val="-4"/>
          <w:sz w:val="24"/>
          <w:szCs w:val="24"/>
        </w:rPr>
        <w:t>“0”</w:t>
      </w:r>
      <w:r>
        <w:rPr>
          <w:rFonts w:ascii="Times New Roman" w:hAnsi="Times New Roman" w:eastAsia="Times New Roman" w:cs="Times New Roman"/>
          <w:spacing w:val="-38"/>
          <w:sz w:val="24"/>
          <w:szCs w:val="24"/>
        </w:rPr>
        <w:t xml:space="preserve"> </w:t>
      </w:r>
      <w:r>
        <w:rPr>
          <w:rFonts w:ascii="仿宋" w:hAnsi="仿宋" w:eastAsia="仿宋" w:cs="仿宋"/>
          <w:spacing w:val="-4"/>
          <w:sz w:val="24"/>
          <w:szCs w:val="24"/>
        </w:rPr>
        <w:t>代替。</w:t>
      </w:r>
    </w:p>
    <w:p w14:paraId="3B4ABAA2">
      <w:pPr>
        <w:spacing w:before="66" w:line="221" w:lineRule="auto"/>
        <w:ind w:left="605"/>
        <w:rPr>
          <w:rFonts w:ascii="仿宋" w:hAnsi="仿宋" w:eastAsia="仿宋" w:cs="仿宋"/>
          <w:sz w:val="24"/>
          <w:szCs w:val="24"/>
        </w:rPr>
      </w:pPr>
      <w:r>
        <w:rPr>
          <w:rFonts w:ascii="仿宋" w:hAnsi="仿宋" w:eastAsia="仿宋" w:cs="仿宋"/>
          <w:spacing w:val="-2"/>
          <w:sz w:val="24"/>
          <w:szCs w:val="24"/>
        </w:rPr>
        <w:t>其他情况可参照</w:t>
      </w:r>
      <w:r>
        <w:rPr>
          <w:rFonts w:ascii="仿宋" w:hAnsi="仿宋" w:eastAsia="仿宋" w:cs="仿宋"/>
          <w:spacing w:val="-52"/>
          <w:sz w:val="24"/>
          <w:szCs w:val="24"/>
        </w:rPr>
        <w:t xml:space="preserve"> </w:t>
      </w:r>
      <w:r>
        <w:rPr>
          <w:rFonts w:ascii="Times New Roman" w:hAnsi="Times New Roman" w:eastAsia="Times New Roman" w:cs="Times New Roman"/>
          <w:spacing w:val="-2"/>
          <w:sz w:val="24"/>
          <w:szCs w:val="24"/>
        </w:rPr>
        <w:t>GB/T17247.2</w:t>
      </w:r>
      <w:r>
        <w:rPr>
          <w:rFonts w:ascii="Times New Roman" w:hAnsi="Times New Roman" w:eastAsia="Times New Roman" w:cs="Times New Roman"/>
          <w:spacing w:val="17"/>
          <w:w w:val="101"/>
          <w:sz w:val="24"/>
          <w:szCs w:val="24"/>
        </w:rPr>
        <w:t xml:space="preserve"> </w:t>
      </w:r>
      <w:r>
        <w:rPr>
          <w:rFonts w:ascii="仿宋" w:hAnsi="仿宋" w:eastAsia="仿宋" w:cs="仿宋"/>
          <w:spacing w:val="-2"/>
          <w:sz w:val="24"/>
          <w:szCs w:val="24"/>
        </w:rPr>
        <w:t>进行计算。</w:t>
      </w:r>
    </w:p>
    <w:p w14:paraId="575576CF">
      <w:pPr>
        <w:spacing w:before="123" w:line="3624" w:lineRule="exact"/>
        <w:ind w:firstLine="109"/>
      </w:pPr>
      <w:r>
        <w:rPr>
          <w:position w:val="-72"/>
        </w:rPr>
        <w:drawing>
          <wp:inline distT="0" distB="0" distL="0" distR="0">
            <wp:extent cx="5311140" cy="2300605"/>
            <wp:effectExtent l="0" t="0" r="0" b="0"/>
            <wp:docPr id="232" name="IM 232"/>
            <wp:cNvGraphicFramePr/>
            <a:graphic xmlns:a="http://schemas.openxmlformats.org/drawingml/2006/main">
              <a:graphicData uri="http://schemas.openxmlformats.org/drawingml/2006/picture">
                <pic:pic xmlns:pic="http://schemas.openxmlformats.org/drawingml/2006/picture">
                  <pic:nvPicPr>
                    <pic:cNvPr id="232" name="IM 232"/>
                    <pic:cNvPicPr/>
                  </pic:nvPicPr>
                  <pic:blipFill>
                    <a:blip r:embed="rId383"/>
                    <a:stretch>
                      <a:fillRect/>
                    </a:stretch>
                  </pic:blipFill>
                  <pic:spPr>
                    <a:xfrm>
                      <a:off x="0" y="0"/>
                      <a:ext cx="5311140" cy="2301239"/>
                    </a:xfrm>
                    <a:prstGeom prst="rect">
                      <a:avLst/>
                    </a:prstGeom>
                  </pic:spPr>
                </pic:pic>
              </a:graphicData>
            </a:graphic>
          </wp:inline>
        </w:drawing>
      </w:r>
    </w:p>
    <w:p w14:paraId="0C0B27AF">
      <w:pPr>
        <w:spacing w:line="3624" w:lineRule="exact"/>
        <w:sectPr>
          <w:footerReference r:id="rId181" w:type="default"/>
          <w:pgSz w:w="11906" w:h="16839"/>
          <w:pgMar w:top="400" w:right="1695" w:bottom="1370" w:left="1691" w:header="0" w:footer="1207" w:gutter="0"/>
          <w:cols w:space="720" w:num="1"/>
        </w:sectPr>
      </w:pPr>
    </w:p>
    <w:p w14:paraId="161A66E6">
      <w:pPr>
        <w:pStyle w:val="2"/>
        <w:spacing w:line="247" w:lineRule="auto"/>
        <w:rPr>
          <w:sz w:val="21"/>
        </w:rPr>
      </w:pPr>
    </w:p>
    <w:p w14:paraId="05ACC3A1">
      <w:pPr>
        <w:pStyle w:val="2"/>
        <w:spacing w:line="247" w:lineRule="auto"/>
        <w:rPr>
          <w:sz w:val="21"/>
        </w:rPr>
      </w:pPr>
    </w:p>
    <w:p w14:paraId="58C55FBC">
      <w:pPr>
        <w:pStyle w:val="2"/>
        <w:spacing w:line="248" w:lineRule="auto"/>
        <w:rPr>
          <w:sz w:val="21"/>
        </w:rPr>
      </w:pPr>
    </w:p>
    <w:p w14:paraId="32B3EA0E">
      <w:pPr>
        <w:pStyle w:val="2"/>
        <w:spacing w:line="248" w:lineRule="auto"/>
        <w:rPr>
          <w:sz w:val="21"/>
        </w:rPr>
      </w:pPr>
    </w:p>
    <w:p w14:paraId="000DA1FB">
      <w:pPr>
        <w:spacing w:before="78" w:line="220" w:lineRule="auto"/>
        <w:ind w:left="2218"/>
        <w:rPr>
          <w:rFonts w:ascii="仿宋" w:hAnsi="仿宋" w:eastAsia="仿宋" w:cs="仿宋"/>
          <w:sz w:val="24"/>
          <w:szCs w:val="24"/>
        </w:rPr>
      </w:pPr>
      <w:r>
        <w:rPr>
          <w:rFonts w:ascii="仿宋" w:hAnsi="仿宋" w:eastAsia="仿宋" w:cs="仿宋"/>
          <w:b/>
          <w:bCs/>
          <w:spacing w:val="-7"/>
          <w:sz w:val="24"/>
          <w:szCs w:val="24"/>
        </w:rPr>
        <w:t>图</w:t>
      </w:r>
      <w:r>
        <w:rPr>
          <w:rFonts w:ascii="仿宋" w:hAnsi="仿宋" w:eastAsia="仿宋" w:cs="仿宋"/>
          <w:spacing w:val="-53"/>
          <w:sz w:val="24"/>
          <w:szCs w:val="24"/>
        </w:rPr>
        <w:t xml:space="preserve"> </w:t>
      </w:r>
      <w:r>
        <w:rPr>
          <w:rFonts w:ascii="仿宋" w:hAnsi="仿宋" w:eastAsia="仿宋" w:cs="仿宋"/>
          <w:b/>
          <w:bCs/>
          <w:spacing w:val="-7"/>
          <w:sz w:val="24"/>
          <w:szCs w:val="24"/>
        </w:rPr>
        <w:t>4.2-2</w:t>
      </w:r>
      <w:r>
        <w:rPr>
          <w:rFonts w:ascii="仿宋" w:hAnsi="仿宋" w:eastAsia="仿宋" w:cs="仿宋"/>
          <w:spacing w:val="5"/>
          <w:sz w:val="24"/>
          <w:szCs w:val="24"/>
        </w:rPr>
        <w:t xml:space="preserve">    </w:t>
      </w:r>
      <w:r>
        <w:rPr>
          <w:rFonts w:ascii="仿宋" w:hAnsi="仿宋" w:eastAsia="仿宋" w:cs="仿宋"/>
          <w:b/>
          <w:bCs/>
          <w:spacing w:val="-7"/>
          <w:sz w:val="24"/>
          <w:szCs w:val="24"/>
        </w:rPr>
        <w:t>估计平均高度</w:t>
      </w:r>
      <w:r>
        <w:rPr>
          <w:rFonts w:ascii="仿宋" w:hAnsi="仿宋" w:eastAsia="仿宋" w:cs="仿宋"/>
          <w:spacing w:val="-7"/>
          <w:sz w:val="24"/>
          <w:szCs w:val="24"/>
        </w:rPr>
        <w:t xml:space="preserve"> </w:t>
      </w:r>
      <w:r>
        <w:rPr>
          <w:rFonts w:ascii="仿宋" w:hAnsi="仿宋" w:eastAsia="仿宋" w:cs="仿宋"/>
          <w:b/>
          <w:bCs/>
          <w:spacing w:val="-7"/>
          <w:sz w:val="24"/>
          <w:szCs w:val="24"/>
        </w:rPr>
        <w:t>hm</w:t>
      </w:r>
      <w:r>
        <w:rPr>
          <w:rFonts w:ascii="仿宋" w:hAnsi="仿宋" w:eastAsia="仿宋" w:cs="仿宋"/>
          <w:spacing w:val="-28"/>
          <w:sz w:val="24"/>
          <w:szCs w:val="24"/>
        </w:rPr>
        <w:t xml:space="preserve"> </w:t>
      </w:r>
      <w:r>
        <w:rPr>
          <w:rFonts w:ascii="仿宋" w:hAnsi="仿宋" w:eastAsia="仿宋" w:cs="仿宋"/>
          <w:b/>
          <w:bCs/>
          <w:spacing w:val="-7"/>
          <w:sz w:val="24"/>
          <w:szCs w:val="24"/>
        </w:rPr>
        <w:t>的方法</w:t>
      </w:r>
    </w:p>
    <w:p w14:paraId="7675A3AD">
      <w:pPr>
        <w:spacing w:before="258" w:line="232" w:lineRule="auto"/>
        <w:ind w:left="501"/>
        <w:rPr>
          <w:rFonts w:ascii="仿宋" w:hAnsi="仿宋" w:eastAsia="仿宋" w:cs="仿宋"/>
          <w:sz w:val="24"/>
          <w:szCs w:val="24"/>
        </w:rPr>
      </w:pPr>
      <w:r>
        <w:rPr>
          <w:rFonts w:ascii="仿宋" w:hAnsi="仿宋" w:eastAsia="仿宋" w:cs="仿宋"/>
          <w:spacing w:val="-1"/>
          <w:sz w:val="24"/>
          <w:szCs w:val="24"/>
        </w:rPr>
        <w:t>③遮挡物引起的衰减量（A</w:t>
      </w:r>
      <w:r>
        <w:rPr>
          <w:rFonts w:ascii="仿宋" w:hAnsi="仿宋" w:eastAsia="仿宋" w:cs="仿宋"/>
          <w:spacing w:val="-1"/>
          <w:position w:val="-3"/>
          <w:sz w:val="12"/>
          <w:szCs w:val="12"/>
        </w:rPr>
        <w:t>ba</w:t>
      </w:r>
      <w:r>
        <w:rPr>
          <w:rFonts w:ascii="仿宋" w:hAnsi="仿宋" w:eastAsia="仿宋" w:cs="仿宋"/>
          <w:spacing w:val="-1"/>
          <w:sz w:val="12"/>
          <w:szCs w:val="12"/>
        </w:rPr>
        <w:t>r</w:t>
      </w:r>
      <w:r>
        <w:rPr>
          <w:rFonts w:ascii="仿宋" w:hAnsi="仿宋" w:eastAsia="仿宋" w:cs="仿宋"/>
          <w:spacing w:val="-1"/>
          <w:sz w:val="24"/>
          <w:szCs w:val="24"/>
        </w:rPr>
        <w:t>）</w:t>
      </w:r>
    </w:p>
    <w:p w14:paraId="17675CDE">
      <w:pPr>
        <w:spacing w:before="166" w:line="221" w:lineRule="auto"/>
        <w:ind w:left="513"/>
        <w:rPr>
          <w:rFonts w:ascii="仿宋" w:hAnsi="仿宋" w:eastAsia="仿宋" w:cs="仿宋"/>
          <w:sz w:val="24"/>
          <w:szCs w:val="24"/>
        </w:rPr>
      </w:pPr>
      <w:r>
        <w:rPr>
          <w:rFonts w:ascii="仿宋" w:hAnsi="仿宋" w:eastAsia="仿宋" w:cs="仿宋"/>
          <w:spacing w:val="-2"/>
          <w:sz w:val="24"/>
          <w:szCs w:val="24"/>
        </w:rPr>
        <w:t>遮挡物引起的衰减量按以下公式：</w:t>
      </w:r>
    </w:p>
    <w:p w14:paraId="247CFBB9">
      <w:pPr>
        <w:spacing w:before="277" w:line="338" w:lineRule="auto"/>
        <w:ind w:left="515" w:right="2776" w:firstLine="2728"/>
        <w:rPr>
          <w:rFonts w:ascii="仿宋" w:hAnsi="仿宋" w:eastAsia="仿宋" w:cs="仿宋"/>
          <w:sz w:val="24"/>
          <w:szCs w:val="24"/>
        </w:rPr>
      </w:pPr>
      <w:r>
        <w:rPr>
          <w:rFonts w:ascii="Times New Roman" w:hAnsi="Times New Roman" w:eastAsia="Times New Roman" w:cs="Times New Roman"/>
          <w:spacing w:val="3"/>
          <w:position w:val="3"/>
          <w:sz w:val="23"/>
          <w:szCs w:val="23"/>
        </w:rPr>
        <w:t>A</w:t>
      </w:r>
      <w:r>
        <w:rPr>
          <w:rFonts w:ascii="Times New Roman" w:hAnsi="Times New Roman" w:eastAsia="Times New Roman" w:cs="Times New Roman"/>
          <w:spacing w:val="-39"/>
          <w:position w:val="3"/>
          <w:sz w:val="23"/>
          <w:szCs w:val="23"/>
        </w:rPr>
        <w:t xml:space="preserve"> </w:t>
      </w:r>
      <w:r>
        <w:rPr>
          <w:rFonts w:ascii="Times New Roman" w:hAnsi="Times New Roman" w:eastAsia="Times New Roman" w:cs="Times New Roman"/>
          <w:spacing w:val="3"/>
          <w:position w:val="-2"/>
          <w:sz w:val="13"/>
          <w:szCs w:val="13"/>
        </w:rPr>
        <w:t>bar</w:t>
      </w:r>
      <w:r>
        <w:rPr>
          <w:rFonts w:ascii="Times New Roman" w:hAnsi="Times New Roman" w:eastAsia="Times New Roman" w:cs="Times New Roman"/>
          <w:spacing w:val="12"/>
          <w:w w:val="101"/>
          <w:position w:val="-2"/>
          <w:sz w:val="13"/>
          <w:szCs w:val="13"/>
        </w:rPr>
        <w:t xml:space="preserve">  </w:t>
      </w:r>
      <w:r>
        <w:rPr>
          <w:rFonts w:ascii="微软雅黑" w:hAnsi="微软雅黑" w:eastAsia="微软雅黑" w:cs="微软雅黑"/>
          <w:spacing w:val="-3"/>
          <w:position w:val="3"/>
          <w:sz w:val="23"/>
          <w:szCs w:val="23"/>
        </w:rPr>
        <w:t>= Δ</w:t>
      </w:r>
      <w:r>
        <w:rPr>
          <w:rFonts w:ascii="Times New Roman" w:hAnsi="Times New Roman" w:eastAsia="Times New Roman" w:cs="Times New Roman"/>
          <w:spacing w:val="-3"/>
          <w:position w:val="3"/>
          <w:sz w:val="23"/>
          <w:szCs w:val="23"/>
        </w:rPr>
        <w:t>L</w:t>
      </w:r>
      <w:r>
        <w:rPr>
          <w:rFonts w:ascii="宋体" w:hAnsi="宋体" w:eastAsia="宋体" w:cs="宋体"/>
          <w:spacing w:val="-3"/>
          <w:position w:val="-3"/>
          <w:sz w:val="13"/>
          <w:szCs w:val="13"/>
        </w:rPr>
        <w:t xml:space="preserve">建筑物 </w:t>
      </w:r>
      <w:r>
        <w:rPr>
          <w:rFonts w:ascii="微软雅黑" w:hAnsi="微软雅黑" w:eastAsia="微软雅黑" w:cs="微软雅黑"/>
          <w:spacing w:val="-4"/>
          <w:position w:val="3"/>
          <w:sz w:val="23"/>
          <w:szCs w:val="23"/>
        </w:rPr>
        <w:t>+</w:t>
      </w:r>
      <w:r>
        <w:rPr>
          <w:rFonts w:ascii="微软雅黑" w:hAnsi="微软雅黑" w:eastAsia="微软雅黑" w:cs="微软雅黑"/>
          <w:spacing w:val="-19"/>
          <w:position w:val="3"/>
          <w:sz w:val="23"/>
          <w:szCs w:val="23"/>
        </w:rPr>
        <w:t xml:space="preserve"> </w:t>
      </w:r>
      <w:r>
        <w:rPr>
          <w:rFonts w:ascii="微软雅黑" w:hAnsi="微软雅黑" w:eastAsia="微软雅黑" w:cs="微软雅黑"/>
          <w:spacing w:val="-4"/>
          <w:position w:val="3"/>
          <w:sz w:val="23"/>
          <w:szCs w:val="23"/>
        </w:rPr>
        <w:t>Δ</w:t>
      </w:r>
      <w:r>
        <w:rPr>
          <w:rFonts w:ascii="Times New Roman" w:hAnsi="Times New Roman" w:eastAsia="Times New Roman" w:cs="Times New Roman"/>
          <w:spacing w:val="-4"/>
          <w:position w:val="3"/>
          <w:sz w:val="23"/>
          <w:szCs w:val="23"/>
        </w:rPr>
        <w:t>L</w:t>
      </w:r>
      <w:r>
        <w:rPr>
          <w:rFonts w:ascii="宋体" w:hAnsi="宋体" w:eastAsia="宋体" w:cs="宋体"/>
          <w:spacing w:val="-4"/>
          <w:position w:val="-3"/>
          <w:sz w:val="13"/>
          <w:szCs w:val="13"/>
        </w:rPr>
        <w:t>声影区</w:t>
      </w:r>
      <w:r>
        <w:rPr>
          <w:rFonts w:ascii="仿宋" w:hAnsi="仿宋" w:eastAsia="仿宋" w:cs="仿宋"/>
          <w:spacing w:val="-8"/>
          <w:sz w:val="24"/>
          <w:szCs w:val="24"/>
        </w:rPr>
        <w:t>式中：</w:t>
      </w:r>
    </w:p>
    <w:p w14:paraId="451FBD7B">
      <w:pPr>
        <w:spacing w:before="1" w:line="220" w:lineRule="auto"/>
        <w:ind w:left="495"/>
        <w:rPr>
          <w:rFonts w:ascii="仿宋" w:hAnsi="仿宋" w:eastAsia="仿宋" w:cs="仿宋"/>
          <w:sz w:val="24"/>
          <w:szCs w:val="24"/>
        </w:rPr>
      </w:pPr>
      <w:r>
        <w:rPr>
          <w:rFonts w:ascii="仿宋" w:hAnsi="仿宋" w:eastAsia="仿宋" w:cs="仿宋"/>
          <w:sz w:val="24"/>
          <w:szCs w:val="24"/>
        </w:rPr>
        <w:t>Abar——遮挡物引起的衰减量，dB(A</w:t>
      </w:r>
      <w:r>
        <w:rPr>
          <w:rFonts w:ascii="仿宋" w:hAnsi="仿宋" w:eastAsia="仿宋" w:cs="仿宋"/>
          <w:spacing w:val="-1"/>
          <w:sz w:val="24"/>
          <w:szCs w:val="24"/>
        </w:rPr>
        <w:t>)；</w:t>
      </w:r>
    </w:p>
    <w:p w14:paraId="2F6D3DA0">
      <w:pPr>
        <w:spacing w:before="242" w:line="178" w:lineRule="auto"/>
        <w:ind w:left="533"/>
        <w:rPr>
          <w:rFonts w:ascii="仿宋" w:hAnsi="仿宋" w:eastAsia="仿宋" w:cs="仿宋"/>
          <w:sz w:val="24"/>
          <w:szCs w:val="24"/>
        </w:rPr>
      </w:pPr>
      <w:r>
        <w:rPr>
          <w:rFonts w:ascii="微软雅黑" w:hAnsi="微软雅黑" w:eastAsia="微软雅黑" w:cs="微软雅黑"/>
          <w:position w:val="10"/>
          <w:sz w:val="23"/>
          <w:szCs w:val="23"/>
        </w:rPr>
        <w:t>Δ</w:t>
      </w:r>
      <w:r>
        <w:rPr>
          <w:rFonts w:ascii="Times New Roman" w:hAnsi="Times New Roman" w:eastAsia="Times New Roman" w:cs="Times New Roman"/>
          <w:position w:val="10"/>
          <w:sz w:val="23"/>
          <w:szCs w:val="23"/>
        </w:rPr>
        <w:t>L</w:t>
      </w:r>
      <w:r>
        <w:rPr>
          <w:rFonts w:ascii="宋体" w:hAnsi="宋体" w:eastAsia="宋体" w:cs="宋体"/>
          <w:sz w:val="13"/>
          <w:szCs w:val="13"/>
        </w:rPr>
        <w:t xml:space="preserve">建筑物 </w:t>
      </w:r>
      <w:r>
        <w:rPr>
          <w:rFonts w:ascii="仿宋" w:hAnsi="仿宋" w:eastAsia="仿宋" w:cs="仿宋"/>
          <w:sz w:val="24"/>
          <w:szCs w:val="24"/>
        </w:rPr>
        <w:t>——建筑物引起的衰减量</w:t>
      </w:r>
      <w:r>
        <w:rPr>
          <w:rFonts w:ascii="仿宋" w:hAnsi="仿宋" w:eastAsia="仿宋" w:cs="仿宋"/>
          <w:position w:val="-1"/>
          <w:sz w:val="24"/>
          <w:szCs w:val="24"/>
        </w:rPr>
        <w:t>，dB(A)；</w:t>
      </w:r>
    </w:p>
    <w:p w14:paraId="2B187758">
      <w:pPr>
        <w:spacing w:before="258" w:line="178" w:lineRule="auto"/>
        <w:ind w:left="533"/>
        <w:rPr>
          <w:rFonts w:ascii="仿宋" w:hAnsi="仿宋" w:eastAsia="仿宋" w:cs="仿宋"/>
          <w:sz w:val="24"/>
          <w:szCs w:val="24"/>
        </w:rPr>
      </w:pPr>
      <w:r>
        <w:rPr>
          <w:rFonts w:ascii="微软雅黑" w:hAnsi="微软雅黑" w:eastAsia="微软雅黑" w:cs="微软雅黑"/>
          <w:position w:val="11"/>
          <w:sz w:val="23"/>
          <w:szCs w:val="23"/>
        </w:rPr>
        <w:t>Δ</w:t>
      </w:r>
      <w:r>
        <w:rPr>
          <w:rFonts w:ascii="Times New Roman" w:hAnsi="Times New Roman" w:eastAsia="Times New Roman" w:cs="Times New Roman"/>
          <w:position w:val="11"/>
          <w:sz w:val="23"/>
          <w:szCs w:val="23"/>
        </w:rPr>
        <w:t>L</w:t>
      </w:r>
      <w:r>
        <w:rPr>
          <w:rFonts w:ascii="宋体" w:hAnsi="宋体" w:eastAsia="宋体" w:cs="宋体"/>
          <w:sz w:val="13"/>
          <w:szCs w:val="13"/>
        </w:rPr>
        <w:t xml:space="preserve">声影区 </w:t>
      </w:r>
      <w:r>
        <w:rPr>
          <w:rFonts w:ascii="仿宋" w:hAnsi="仿宋" w:eastAsia="仿宋" w:cs="仿宋"/>
          <w:sz w:val="24"/>
          <w:szCs w:val="24"/>
        </w:rPr>
        <w:t>——路堤和路堑引起的衰减量，dB(A)。</w:t>
      </w:r>
    </w:p>
    <w:p w14:paraId="5F9EA6DE">
      <w:pPr>
        <w:pStyle w:val="2"/>
        <w:spacing w:before="196" w:line="233" w:lineRule="auto"/>
        <w:ind w:left="495"/>
        <w:rPr>
          <w:rFonts w:ascii="仿宋" w:hAnsi="仿宋" w:eastAsia="仿宋" w:cs="仿宋"/>
          <w:sz w:val="24"/>
          <w:szCs w:val="24"/>
        </w:rPr>
      </w:pPr>
      <w:r>
        <w:rPr>
          <w:rFonts w:ascii="仿宋" w:hAnsi="仿宋" w:eastAsia="仿宋" w:cs="仿宋"/>
          <w:spacing w:val="-2"/>
          <w:sz w:val="24"/>
          <w:szCs w:val="24"/>
        </w:rPr>
        <w:t>A.建筑物引起的衰减量 (</w:t>
      </w:r>
      <w:r>
        <w:rPr>
          <w:spacing w:val="-2"/>
          <w:sz w:val="24"/>
          <w:szCs w:val="24"/>
        </w:rPr>
        <w:t>Δ</w:t>
      </w:r>
      <w:r>
        <w:rPr>
          <w:rFonts w:ascii="仿宋" w:hAnsi="仿宋" w:eastAsia="仿宋" w:cs="仿宋"/>
          <w:spacing w:val="-2"/>
          <w:sz w:val="24"/>
          <w:szCs w:val="24"/>
        </w:rPr>
        <w:t>L</w:t>
      </w:r>
      <w:r>
        <w:rPr>
          <w:rFonts w:ascii="仿宋" w:hAnsi="仿宋" w:eastAsia="仿宋" w:cs="仿宋"/>
          <w:spacing w:val="-38"/>
          <w:sz w:val="24"/>
          <w:szCs w:val="24"/>
        </w:rPr>
        <w:t xml:space="preserve"> </w:t>
      </w:r>
      <w:r>
        <w:rPr>
          <w:rFonts w:ascii="仿宋" w:hAnsi="仿宋" w:eastAsia="仿宋" w:cs="仿宋"/>
          <w:spacing w:val="-2"/>
          <w:position w:val="-1"/>
          <w:sz w:val="12"/>
          <w:szCs w:val="12"/>
        </w:rPr>
        <w:t>建筑物</w:t>
      </w:r>
      <w:r>
        <w:rPr>
          <w:rFonts w:ascii="仿宋" w:hAnsi="仿宋" w:eastAsia="仿宋" w:cs="仿宋"/>
          <w:spacing w:val="-2"/>
          <w:position w:val="-1"/>
          <w:sz w:val="24"/>
          <w:szCs w:val="24"/>
        </w:rPr>
        <w:t>）</w:t>
      </w:r>
    </w:p>
    <w:p w14:paraId="0C0FA75A">
      <w:pPr>
        <w:spacing w:before="155" w:line="360" w:lineRule="auto"/>
        <w:ind w:left="34" w:right="40" w:firstLine="475"/>
        <w:rPr>
          <w:rFonts w:ascii="仿宋" w:hAnsi="仿宋" w:eastAsia="仿宋" w:cs="仿宋"/>
          <w:sz w:val="24"/>
          <w:szCs w:val="24"/>
        </w:rPr>
      </w:pPr>
      <w:r>
        <w:rPr>
          <w:rFonts w:ascii="仿宋" w:hAnsi="仿宋" w:eastAsia="仿宋" w:cs="仿宋"/>
          <w:spacing w:val="3"/>
          <w:sz w:val="24"/>
          <w:szCs w:val="24"/>
        </w:rPr>
        <w:t>建筑物引起的衰减量可参照</w:t>
      </w:r>
      <w:r>
        <w:rPr>
          <w:rFonts w:ascii="仿宋" w:hAnsi="仿宋" w:eastAsia="仿宋" w:cs="仿宋"/>
          <w:sz w:val="24"/>
          <w:szCs w:val="24"/>
        </w:rPr>
        <w:t>GB</w:t>
      </w:r>
      <w:r>
        <w:rPr>
          <w:rFonts w:ascii="仿宋" w:hAnsi="仿宋" w:eastAsia="仿宋" w:cs="仿宋"/>
          <w:spacing w:val="3"/>
          <w:sz w:val="24"/>
          <w:szCs w:val="24"/>
        </w:rPr>
        <w:t>/T 17247.2 附录A3</w:t>
      </w:r>
      <w:r>
        <w:rPr>
          <w:rFonts w:ascii="仿宋" w:hAnsi="仿宋" w:eastAsia="仿宋" w:cs="仿宋"/>
          <w:spacing w:val="2"/>
          <w:sz w:val="24"/>
          <w:szCs w:val="24"/>
        </w:rPr>
        <w:t xml:space="preserve"> 计算，在沿公路第一排</w:t>
      </w:r>
      <w:r>
        <w:rPr>
          <w:rFonts w:ascii="仿宋" w:hAnsi="仿宋" w:eastAsia="仿宋" w:cs="仿宋"/>
          <w:spacing w:val="-1"/>
          <w:sz w:val="24"/>
          <w:szCs w:val="24"/>
        </w:rPr>
        <w:t>房屋声影区范围内，可按下图和下表近似计算。</w:t>
      </w:r>
    </w:p>
    <w:p w14:paraId="020A7202">
      <w:pPr>
        <w:spacing w:before="1" w:line="231" w:lineRule="auto"/>
        <w:ind w:left="516"/>
        <w:rPr>
          <w:rFonts w:ascii="仿宋" w:hAnsi="仿宋" w:eastAsia="仿宋" w:cs="仿宋"/>
          <w:sz w:val="12"/>
          <w:szCs w:val="12"/>
        </w:rPr>
      </w:pPr>
      <w:r>
        <w:rPr>
          <w:rFonts w:ascii="仿宋" w:hAnsi="仿宋" w:eastAsia="仿宋" w:cs="仿宋"/>
          <w:spacing w:val="-3"/>
          <w:sz w:val="24"/>
          <w:szCs w:val="24"/>
        </w:rPr>
        <w:t>注</w:t>
      </w:r>
      <w:r>
        <w:rPr>
          <w:rFonts w:ascii="仿宋" w:hAnsi="仿宋" w:eastAsia="仿宋" w:cs="仿宋"/>
          <w:spacing w:val="-24"/>
          <w:sz w:val="24"/>
          <w:szCs w:val="24"/>
        </w:rPr>
        <w:t xml:space="preserve"> </w:t>
      </w:r>
      <w:r>
        <w:rPr>
          <w:rFonts w:ascii="仿宋" w:hAnsi="仿宋" w:eastAsia="仿宋" w:cs="仿宋"/>
          <w:spacing w:val="-3"/>
          <w:sz w:val="24"/>
          <w:szCs w:val="24"/>
        </w:rPr>
        <w:t>1：第一排房屋面积</w:t>
      </w:r>
      <w:r>
        <w:rPr>
          <w:rFonts w:ascii="仿宋" w:hAnsi="仿宋" w:eastAsia="仿宋" w:cs="仿宋"/>
          <w:spacing w:val="-51"/>
          <w:sz w:val="24"/>
          <w:szCs w:val="24"/>
        </w:rPr>
        <w:t xml:space="preserve"> </w:t>
      </w:r>
      <w:r>
        <w:rPr>
          <w:rFonts w:ascii="仿宋" w:hAnsi="仿宋" w:eastAsia="仿宋" w:cs="仿宋"/>
          <w:spacing w:val="-3"/>
          <w:sz w:val="24"/>
          <w:szCs w:val="24"/>
        </w:rPr>
        <w:t xml:space="preserve">S=S </w:t>
      </w:r>
      <w:r>
        <w:rPr>
          <w:rFonts w:ascii="仿宋" w:hAnsi="仿宋" w:eastAsia="仿宋" w:cs="仿宋"/>
          <w:spacing w:val="-3"/>
          <w:position w:val="-3"/>
          <w:sz w:val="12"/>
          <w:szCs w:val="12"/>
        </w:rPr>
        <w:t>1</w:t>
      </w:r>
      <w:r>
        <w:rPr>
          <w:rFonts w:ascii="仿宋" w:hAnsi="仿宋" w:eastAsia="仿宋" w:cs="仿宋"/>
          <w:spacing w:val="-3"/>
          <w:sz w:val="24"/>
          <w:szCs w:val="24"/>
        </w:rPr>
        <w:t>+S</w:t>
      </w:r>
      <w:r>
        <w:rPr>
          <w:rFonts w:ascii="仿宋" w:hAnsi="仿宋" w:eastAsia="仿宋" w:cs="仿宋"/>
          <w:spacing w:val="-3"/>
          <w:position w:val="-3"/>
          <w:sz w:val="12"/>
          <w:szCs w:val="12"/>
        </w:rPr>
        <w:t>2</w:t>
      </w:r>
      <w:r>
        <w:rPr>
          <w:rFonts w:ascii="仿宋" w:hAnsi="仿宋" w:eastAsia="仿宋" w:cs="仿宋"/>
          <w:spacing w:val="-3"/>
          <w:sz w:val="24"/>
          <w:szCs w:val="24"/>
        </w:rPr>
        <w:t>+ +S</w:t>
      </w:r>
      <w:r>
        <w:rPr>
          <w:rFonts w:ascii="仿宋" w:hAnsi="仿宋" w:eastAsia="仿宋" w:cs="仿宋"/>
          <w:spacing w:val="-3"/>
          <w:position w:val="-3"/>
          <w:sz w:val="12"/>
          <w:szCs w:val="12"/>
        </w:rPr>
        <w:t>n</w:t>
      </w:r>
    </w:p>
    <w:p w14:paraId="0224FF27">
      <w:pPr>
        <w:spacing w:before="167" w:line="231" w:lineRule="auto"/>
        <w:ind w:left="516"/>
        <w:rPr>
          <w:rFonts w:ascii="仿宋" w:hAnsi="仿宋" w:eastAsia="仿宋" w:cs="仿宋"/>
          <w:sz w:val="24"/>
          <w:szCs w:val="24"/>
        </w:rPr>
      </w:pPr>
      <w:r>
        <w:rPr>
          <w:rFonts w:ascii="仿宋" w:hAnsi="仿宋" w:eastAsia="仿宋" w:cs="仿宋"/>
          <w:spacing w:val="-2"/>
          <w:sz w:val="24"/>
          <w:szCs w:val="24"/>
        </w:rPr>
        <w:t>注</w:t>
      </w:r>
      <w:r>
        <w:rPr>
          <w:rFonts w:ascii="仿宋" w:hAnsi="仿宋" w:eastAsia="仿宋" w:cs="仿宋"/>
          <w:spacing w:val="-32"/>
          <w:sz w:val="24"/>
          <w:szCs w:val="24"/>
        </w:rPr>
        <w:t xml:space="preserve"> </w:t>
      </w:r>
      <w:r>
        <w:rPr>
          <w:rFonts w:ascii="仿宋" w:hAnsi="仿宋" w:eastAsia="仿宋" w:cs="仿宋"/>
          <w:spacing w:val="-2"/>
          <w:sz w:val="24"/>
          <w:szCs w:val="24"/>
        </w:rPr>
        <w:t>2：S</w:t>
      </w:r>
      <w:r>
        <w:rPr>
          <w:rFonts w:ascii="仿宋" w:hAnsi="仿宋" w:eastAsia="仿宋" w:cs="仿宋"/>
          <w:spacing w:val="-2"/>
          <w:position w:val="-3"/>
          <w:sz w:val="12"/>
          <w:szCs w:val="12"/>
        </w:rPr>
        <w:t xml:space="preserve">0  </w:t>
      </w:r>
      <w:r>
        <w:rPr>
          <w:rFonts w:ascii="仿宋" w:hAnsi="仿宋" w:eastAsia="仿宋" w:cs="仿宋"/>
          <w:spacing w:val="-2"/>
          <w:sz w:val="24"/>
          <w:szCs w:val="24"/>
        </w:rPr>
        <w:t>为接受点对房屋张角至行车线三角形的面积</w:t>
      </w:r>
    </w:p>
    <w:p w14:paraId="035CABCB">
      <w:pPr>
        <w:spacing w:before="69" w:line="3091" w:lineRule="exact"/>
        <w:ind w:firstLine="15"/>
      </w:pPr>
      <w:r>
        <w:rPr>
          <w:position w:val="-61"/>
        </w:rPr>
        <w:drawing>
          <wp:inline distT="0" distB="0" distL="0" distR="0">
            <wp:extent cx="4822825" cy="1962785"/>
            <wp:effectExtent l="0" t="0" r="0" b="0"/>
            <wp:docPr id="234" name="IM 234"/>
            <wp:cNvGraphicFramePr/>
            <a:graphic xmlns:a="http://schemas.openxmlformats.org/drawingml/2006/main">
              <a:graphicData uri="http://schemas.openxmlformats.org/drawingml/2006/picture">
                <pic:pic xmlns:pic="http://schemas.openxmlformats.org/drawingml/2006/picture">
                  <pic:nvPicPr>
                    <pic:cNvPr id="234" name="IM 234"/>
                    <pic:cNvPicPr/>
                  </pic:nvPicPr>
                  <pic:blipFill>
                    <a:blip r:embed="rId384"/>
                    <a:stretch>
                      <a:fillRect/>
                    </a:stretch>
                  </pic:blipFill>
                  <pic:spPr>
                    <a:xfrm>
                      <a:off x="0" y="0"/>
                      <a:ext cx="4823459" cy="1962911"/>
                    </a:xfrm>
                    <a:prstGeom prst="rect">
                      <a:avLst/>
                    </a:prstGeom>
                  </pic:spPr>
                </pic:pic>
              </a:graphicData>
            </a:graphic>
          </wp:inline>
        </w:drawing>
      </w:r>
    </w:p>
    <w:p w14:paraId="011FCA71">
      <w:pPr>
        <w:spacing w:before="50" w:line="221" w:lineRule="auto"/>
        <w:ind w:left="1887"/>
        <w:rPr>
          <w:rFonts w:ascii="仿宋" w:hAnsi="仿宋" w:eastAsia="仿宋" w:cs="仿宋"/>
          <w:sz w:val="24"/>
          <w:szCs w:val="24"/>
        </w:rPr>
      </w:pPr>
      <w:r>
        <w:rPr>
          <w:rFonts w:ascii="仿宋" w:hAnsi="仿宋" w:eastAsia="仿宋" w:cs="仿宋"/>
          <w:b/>
          <w:bCs/>
          <w:spacing w:val="-4"/>
          <w:sz w:val="24"/>
          <w:szCs w:val="24"/>
        </w:rPr>
        <w:t>图</w:t>
      </w:r>
      <w:r>
        <w:rPr>
          <w:rFonts w:ascii="仿宋" w:hAnsi="仿宋" w:eastAsia="仿宋" w:cs="仿宋"/>
          <w:spacing w:val="-40"/>
          <w:sz w:val="24"/>
          <w:szCs w:val="24"/>
        </w:rPr>
        <w:t xml:space="preserve"> </w:t>
      </w:r>
      <w:r>
        <w:rPr>
          <w:rFonts w:ascii="仿宋" w:hAnsi="仿宋" w:eastAsia="仿宋" w:cs="仿宋"/>
          <w:b/>
          <w:bCs/>
          <w:spacing w:val="-4"/>
          <w:sz w:val="24"/>
          <w:szCs w:val="24"/>
        </w:rPr>
        <w:t>4.2-3</w:t>
      </w:r>
      <w:r>
        <w:rPr>
          <w:rFonts w:ascii="仿宋" w:hAnsi="仿宋" w:eastAsia="仿宋" w:cs="仿宋"/>
          <w:spacing w:val="-4"/>
          <w:sz w:val="24"/>
          <w:szCs w:val="24"/>
        </w:rPr>
        <w:t xml:space="preserve">   </w:t>
      </w:r>
      <w:r>
        <w:rPr>
          <w:rFonts w:ascii="仿宋" w:hAnsi="仿宋" w:eastAsia="仿宋" w:cs="仿宋"/>
          <w:b/>
          <w:bCs/>
          <w:spacing w:val="-4"/>
          <w:sz w:val="24"/>
          <w:szCs w:val="24"/>
        </w:rPr>
        <w:t>建筑物引起的衰减量计算示意图</w:t>
      </w:r>
    </w:p>
    <w:p w14:paraId="31035C4F">
      <w:pPr>
        <w:pStyle w:val="2"/>
        <w:spacing w:before="258" w:line="222" w:lineRule="auto"/>
        <w:ind w:left="496"/>
        <w:rPr>
          <w:rFonts w:ascii="仿宋" w:hAnsi="仿宋" w:eastAsia="仿宋" w:cs="仿宋"/>
          <w:sz w:val="24"/>
          <w:szCs w:val="24"/>
        </w:rPr>
      </w:pPr>
      <w:r>
        <w:rPr>
          <w:rFonts w:ascii="仿宋" w:hAnsi="仿宋" w:eastAsia="仿宋" w:cs="仿宋"/>
          <w:spacing w:val="-2"/>
          <w:sz w:val="24"/>
          <w:szCs w:val="24"/>
        </w:rPr>
        <w:t>B.路堤或路堑引起的衰减量 (</w:t>
      </w:r>
      <w:r>
        <w:rPr>
          <w:spacing w:val="-2"/>
          <w:sz w:val="24"/>
          <w:szCs w:val="24"/>
        </w:rPr>
        <w:t>Δ</w:t>
      </w:r>
      <w:r>
        <w:rPr>
          <w:rFonts w:ascii="仿宋" w:hAnsi="仿宋" w:eastAsia="仿宋" w:cs="仿宋"/>
          <w:spacing w:val="-2"/>
          <w:sz w:val="24"/>
          <w:szCs w:val="24"/>
        </w:rPr>
        <w:t>L</w:t>
      </w:r>
      <w:r>
        <w:rPr>
          <w:rFonts w:ascii="仿宋" w:hAnsi="仿宋" w:eastAsia="仿宋" w:cs="仿宋"/>
          <w:spacing w:val="-36"/>
          <w:sz w:val="24"/>
          <w:szCs w:val="24"/>
        </w:rPr>
        <w:t xml:space="preserve"> </w:t>
      </w:r>
      <w:r>
        <w:rPr>
          <w:rFonts w:ascii="仿宋" w:hAnsi="仿宋" w:eastAsia="仿宋" w:cs="仿宋"/>
          <w:spacing w:val="-2"/>
          <w:sz w:val="24"/>
          <w:szCs w:val="24"/>
        </w:rPr>
        <w:t>声影区）</w:t>
      </w:r>
    </w:p>
    <w:p w14:paraId="18961BE2">
      <w:pPr>
        <w:spacing w:before="179" w:line="222" w:lineRule="auto"/>
        <w:ind w:left="535"/>
        <w:rPr>
          <w:rFonts w:ascii="仿宋" w:hAnsi="仿宋" w:eastAsia="仿宋" w:cs="仿宋"/>
          <w:sz w:val="24"/>
          <w:szCs w:val="24"/>
        </w:rPr>
      </w:pPr>
      <w:r>
        <w:rPr>
          <w:rFonts w:ascii="仿宋" w:hAnsi="仿宋" w:eastAsia="仿宋" w:cs="仿宋"/>
          <w:spacing w:val="-3"/>
          <w:sz w:val="24"/>
          <w:szCs w:val="24"/>
        </w:rPr>
        <w:t>当预测点位于声影区时，按照以下公式计算：</w:t>
      </w:r>
    </w:p>
    <w:p w14:paraId="2F499AEC">
      <w:pPr>
        <w:spacing w:line="58" w:lineRule="exact"/>
      </w:pPr>
    </w:p>
    <w:p w14:paraId="5669EC49">
      <w:pPr>
        <w:spacing w:line="58" w:lineRule="exact"/>
        <w:sectPr>
          <w:footerReference r:id="rId182" w:type="default"/>
          <w:pgSz w:w="11906" w:h="16839"/>
          <w:pgMar w:top="400" w:right="1785" w:bottom="1370" w:left="1785" w:header="0" w:footer="1207" w:gutter="0"/>
          <w:cols w:equalWidth="0" w:num="1">
            <w:col w:w="8335"/>
          </w:cols>
        </w:sectPr>
      </w:pPr>
    </w:p>
    <w:p w14:paraId="091C08DA">
      <w:pPr>
        <w:spacing w:before="89" w:line="177" w:lineRule="auto"/>
        <w:ind w:left="2252"/>
        <w:rPr>
          <w:rFonts w:ascii="微软雅黑" w:hAnsi="微软雅黑" w:eastAsia="微软雅黑" w:cs="微软雅黑"/>
          <w:sz w:val="23"/>
          <w:szCs w:val="23"/>
        </w:rPr>
      </w:pPr>
      <w:r>
        <w:pict>
          <v:shape id="_x0000_s1116" o:spid="_x0000_s1116" o:spt="202" type="#_x0000_t202" style="position:absolute;left:0pt;margin-left:135.7pt;margin-top:4.45pt;height:16.6pt;width:81.75pt;z-index:251685888;mso-width-relative:page;mso-height-relative:page;" filled="f" stroked="f" coordsize="21600,21600">
            <v:path/>
            <v:fill on="f" focussize="0,0"/>
            <v:stroke on="f"/>
            <v:imagedata o:title=""/>
            <o:lock v:ext="edit" aspectratio="f"/>
            <v:textbox inset="0mm,0mm,0mm,0mm">
              <w:txbxContent>
                <w:p w14:paraId="7C9D36DF">
                  <w:pPr>
                    <w:spacing w:before="20" w:line="177" w:lineRule="auto"/>
                    <w:ind w:left="20"/>
                    <w:rPr>
                      <w:rFonts w:ascii="微软雅黑" w:hAnsi="微软雅黑" w:eastAsia="微软雅黑" w:cs="微软雅黑"/>
                      <w:sz w:val="23"/>
                      <w:szCs w:val="23"/>
                    </w:rPr>
                  </w:pPr>
                  <w:r>
                    <w:rPr>
                      <w:rFonts w:ascii="微软雅黑" w:hAnsi="微软雅黑" w:eastAsia="微软雅黑" w:cs="微软雅黑"/>
                      <w:spacing w:val="5"/>
                      <w:w w:val="122"/>
                      <w:sz w:val="23"/>
                      <w:szCs w:val="23"/>
                    </w:rPr>
                    <w:t>(</w:t>
                  </w:r>
                  <w:r>
                    <w:rPr>
                      <w:rFonts w:ascii="微软雅黑" w:hAnsi="微软雅黑" w:eastAsia="微软雅黑" w:cs="微软雅黑"/>
                      <w:spacing w:val="1"/>
                      <w:sz w:val="23"/>
                      <w:szCs w:val="23"/>
                    </w:rPr>
                    <w:t xml:space="preserve">                    </w:t>
                  </w:r>
                  <w:r>
                    <w:rPr>
                      <w:rFonts w:ascii="微软雅黑" w:hAnsi="微软雅黑" w:eastAsia="微软雅黑" w:cs="微软雅黑"/>
                      <w:spacing w:val="5"/>
                      <w:w w:val="122"/>
                      <w:sz w:val="23"/>
                      <w:szCs w:val="23"/>
                    </w:rPr>
                    <w:t>)</w:t>
                  </w:r>
                </w:p>
              </w:txbxContent>
            </v:textbox>
          </v:shape>
        </w:pict>
      </w:r>
      <w:r>
        <w:pict>
          <v:shape id="_x0000_s1117" o:spid="_x0000_s1117" o:spt="202" type="#_x0000_t202" style="position:absolute;left:0pt;margin-left:150.5pt;margin-top:12.15pt;height:32.85pt;width:66.95pt;z-index:251684864;mso-width-relative:page;mso-height-relative:page;" filled="f" stroked="f" coordsize="21600,21600">
            <v:path/>
            <v:fill on="f" focussize="0,0"/>
            <v:stroke on="f"/>
            <v:imagedata o:title=""/>
            <o:lock v:ext="edit" aspectratio="f"/>
            <v:textbox inset="0mm,0mm,0mm,0mm">
              <w:txbxContent>
                <w:p w14:paraId="1F19407F">
                  <w:pPr>
                    <w:spacing w:before="18" w:line="223" w:lineRule="auto"/>
                    <w:jc w:val="right"/>
                    <w:rPr>
                      <w:rFonts w:ascii="微软雅黑" w:hAnsi="微软雅黑" w:eastAsia="微软雅黑" w:cs="微软雅黑"/>
                      <w:sz w:val="23"/>
                      <w:szCs w:val="23"/>
                    </w:rPr>
                  </w:pPr>
                  <w:r>
                    <w:rPr>
                      <w:rFonts w:ascii="Times New Roman" w:hAnsi="Times New Roman" w:eastAsia="Times New Roman" w:cs="Times New Roman"/>
                      <w:spacing w:val="-33"/>
                      <w:position w:val="-2"/>
                      <w:sz w:val="23"/>
                      <w:szCs w:val="23"/>
                    </w:rPr>
                    <w:t>3</w:t>
                  </w:r>
                  <w:r>
                    <w:rPr>
                      <w:rFonts w:ascii="宋体" w:hAnsi="宋体" w:eastAsia="宋体" w:cs="宋体"/>
                      <w:spacing w:val="-33"/>
                      <w:position w:val="-2"/>
                      <w:sz w:val="23"/>
                      <w:szCs w:val="23"/>
                    </w:rPr>
                    <w:t>π</w:t>
                  </w:r>
                  <w:r>
                    <w:rPr>
                      <w:position w:val="-11"/>
                      <w:sz w:val="23"/>
                      <w:szCs w:val="23"/>
                    </w:rPr>
                    <w:drawing>
                      <wp:inline distT="0" distB="0" distL="0" distR="0">
                        <wp:extent cx="62230" cy="209550"/>
                        <wp:effectExtent l="0" t="0" r="0" b="0"/>
                        <wp:docPr id="236" name="IM 236"/>
                        <wp:cNvGraphicFramePr/>
                        <a:graphic xmlns:a="http://schemas.openxmlformats.org/drawingml/2006/main">
                          <a:graphicData uri="http://schemas.openxmlformats.org/drawingml/2006/picture">
                            <pic:pic xmlns:pic="http://schemas.openxmlformats.org/drawingml/2006/picture">
                              <pic:nvPicPr>
                                <pic:cNvPr id="236" name="IM 236"/>
                                <pic:cNvPicPr/>
                              </pic:nvPicPr>
                              <pic:blipFill>
                                <a:blip r:embed="rId385"/>
                                <a:stretch>
                                  <a:fillRect/>
                                </a:stretch>
                              </pic:blipFill>
                              <pic:spPr>
                                <a:xfrm>
                                  <a:off x="0" y="0"/>
                                  <a:ext cx="62304" cy="209550"/>
                                </a:xfrm>
                                <a:prstGeom prst="rect">
                                  <a:avLst/>
                                </a:prstGeom>
                              </pic:spPr>
                            </pic:pic>
                          </a:graphicData>
                        </a:graphic>
                      </wp:inline>
                    </w:drawing>
                  </w:r>
                  <w:r>
                    <w:rPr>
                      <w:rFonts w:ascii="微软雅黑" w:hAnsi="微软雅黑" w:eastAsia="微软雅黑" w:cs="微软雅黑"/>
                      <w:strike/>
                      <w:spacing w:val="-4"/>
                      <w:w w:val="70"/>
                      <w:position w:val="-2"/>
                      <w:sz w:val="38"/>
                      <w:szCs w:val="38"/>
                    </w:rPr>
                    <w:t>(</w:t>
                  </w:r>
                  <w:r>
                    <w:rPr>
                      <w:rFonts w:ascii="Times New Roman" w:hAnsi="Times New Roman" w:eastAsia="Times New Roman" w:cs="Times New Roman"/>
                      <w:spacing w:val="-5"/>
                      <w:position w:val="-2"/>
                      <w:sz w:val="23"/>
                      <w:szCs w:val="23"/>
                    </w:rPr>
                    <w:t>1</w:t>
                  </w:r>
                  <w:r>
                    <w:rPr>
                      <w:rFonts w:ascii="Times New Roman" w:hAnsi="Times New Roman" w:eastAsia="Times New Roman" w:cs="Times New Roman"/>
                      <w:strike/>
                      <w:spacing w:val="-34"/>
                      <w:position w:val="-2"/>
                      <w:sz w:val="23"/>
                      <w:szCs w:val="23"/>
                    </w:rPr>
                    <w:t xml:space="preserve"> </w:t>
                  </w:r>
                  <w:r>
                    <w:rPr>
                      <w:rFonts w:ascii="微软雅黑" w:hAnsi="微软雅黑" w:eastAsia="微软雅黑" w:cs="微软雅黑"/>
                      <w:spacing w:val="-5"/>
                      <w:position w:val="-2"/>
                      <w:sz w:val="23"/>
                      <w:szCs w:val="23"/>
                    </w:rPr>
                    <w:t>-</w:t>
                  </w:r>
                  <w:r>
                    <w:rPr>
                      <w:rFonts w:ascii="微软雅黑" w:hAnsi="微软雅黑" w:eastAsia="微软雅黑" w:cs="微软雅黑"/>
                      <w:strike/>
                      <w:spacing w:val="-20"/>
                      <w:position w:val="-2"/>
                      <w:sz w:val="23"/>
                      <w:szCs w:val="23"/>
                    </w:rPr>
                    <w:t xml:space="preserve"> </w:t>
                  </w:r>
                  <w:r>
                    <w:rPr>
                      <w:rFonts w:ascii="Times New Roman" w:hAnsi="Times New Roman" w:eastAsia="Times New Roman" w:cs="Times New Roman"/>
                      <w:spacing w:val="-5"/>
                      <w:position w:val="-2"/>
                      <w:sz w:val="23"/>
                      <w:szCs w:val="23"/>
                    </w:rPr>
                    <w:t>t</w:t>
                  </w:r>
                  <w:r>
                    <w:rPr>
                      <w:rFonts w:ascii="Times New Roman" w:hAnsi="Times New Roman" w:eastAsia="Times New Roman" w:cs="Times New Roman"/>
                      <w:strike/>
                      <w:spacing w:val="-33"/>
                      <w:position w:val="-2"/>
                      <w:sz w:val="23"/>
                      <w:szCs w:val="23"/>
                    </w:rPr>
                    <w:t xml:space="preserve"> </w:t>
                  </w:r>
                  <w:r>
                    <w:rPr>
                      <w:rFonts w:ascii="Times New Roman" w:hAnsi="Times New Roman" w:eastAsia="Times New Roman" w:cs="Times New Roman"/>
                      <w:spacing w:val="-5"/>
                      <w:position w:val="-2"/>
                      <w:sz w:val="13"/>
                      <w:szCs w:val="13"/>
                    </w:rPr>
                    <w:t>2</w:t>
                  </w:r>
                  <w:r>
                    <w:rPr>
                      <w:rFonts w:ascii="微软雅黑" w:hAnsi="微软雅黑" w:eastAsia="微软雅黑" w:cs="微软雅黑"/>
                      <w:spacing w:val="-5"/>
                      <w:position w:val="-2"/>
                      <w:sz w:val="38"/>
                      <w:szCs w:val="38"/>
                    </w:rPr>
                    <w:t>)</w:t>
                  </w:r>
                  <w:r>
                    <w:rPr>
                      <w:rFonts w:ascii="微软雅黑" w:hAnsi="微软雅黑" w:eastAsia="微软雅黑" w:cs="微软雅黑"/>
                      <w:spacing w:val="21"/>
                      <w:position w:val="-2"/>
                      <w:sz w:val="38"/>
                      <w:szCs w:val="38"/>
                    </w:rPr>
                    <w:t xml:space="preserve">  </w:t>
                  </w:r>
                  <w:r>
                    <w:rPr>
                      <w:rFonts w:ascii="微软雅黑" w:hAnsi="微软雅黑" w:eastAsia="微软雅黑" w:cs="微软雅黑"/>
                      <w:spacing w:val="-37"/>
                      <w:position w:val="18"/>
                      <w:sz w:val="23"/>
                      <w:szCs w:val="23"/>
                    </w:rPr>
                    <w:t>|</w:t>
                  </w:r>
                </w:p>
              </w:txbxContent>
            </v:textbox>
          </v:shape>
        </w:pict>
      </w:r>
      <w:r>
        <w:pict>
          <v:shape id="_x0000_s1118" o:spid="_x0000_s1118" o:spt="202" type="#_x0000_t202" style="position:absolute;left:0pt;margin-left:102.05pt;margin-top:14.95pt;height:114.75pt;width:35.05pt;z-index:-251632640;mso-width-relative:page;mso-height-relative:page;" filled="f" stroked="f" coordsize="21600,21600">
            <v:path/>
            <v:fill on="f" focussize="0,0"/>
            <v:stroke on="f"/>
            <v:imagedata o:title=""/>
            <o:lock v:ext="edit" aspectratio="f"/>
            <v:textbox inset="0mm,0mm,0mm,0mm">
              <w:txbxContent>
                <w:p w14:paraId="6A8F5FE8">
                  <w:pPr>
                    <w:spacing w:before="19" w:line="190" w:lineRule="auto"/>
                    <w:ind w:left="210" w:right="20" w:hanging="190"/>
                    <w:rPr>
                      <w:rFonts w:ascii="Times New Roman" w:hAnsi="Times New Roman" w:eastAsia="Times New Roman" w:cs="Times New Roman"/>
                      <w:sz w:val="26"/>
                      <w:szCs w:val="26"/>
                    </w:rPr>
                  </w:pPr>
                  <w:r>
                    <w:rPr>
                      <w:rFonts w:ascii="微软雅黑" w:hAnsi="微软雅黑" w:eastAsia="微软雅黑" w:cs="微软雅黑"/>
                      <w:spacing w:val="-32"/>
                      <w:position w:val="-40"/>
                      <w:sz w:val="29"/>
                      <w:szCs w:val="29"/>
                    </w:rPr>
                    <w:t>〈</w:t>
                  </w:r>
                  <w:r>
                    <w:rPr>
                      <w:position w:val="-27"/>
                      <w:sz w:val="29"/>
                      <w:szCs w:val="29"/>
                    </w:rPr>
                    <w:drawing>
                      <wp:inline distT="0" distB="0" distL="0" distR="0">
                        <wp:extent cx="36195" cy="578485"/>
                        <wp:effectExtent l="0" t="0" r="0" b="0"/>
                        <wp:docPr id="238" name="IM 238"/>
                        <wp:cNvGraphicFramePr/>
                        <a:graphic xmlns:a="http://schemas.openxmlformats.org/drawingml/2006/main">
                          <a:graphicData uri="http://schemas.openxmlformats.org/drawingml/2006/picture">
                            <pic:pic xmlns:pic="http://schemas.openxmlformats.org/drawingml/2006/picture">
                              <pic:nvPicPr>
                                <pic:cNvPr id="238" name="IM 238"/>
                                <pic:cNvPicPr/>
                              </pic:nvPicPr>
                              <pic:blipFill>
                                <a:blip r:embed="rId386"/>
                                <a:stretch>
                                  <a:fillRect/>
                                </a:stretch>
                              </pic:blipFill>
                              <pic:spPr>
                                <a:xfrm>
                                  <a:off x="0" y="0"/>
                                  <a:ext cx="36434" cy="578745"/>
                                </a:xfrm>
                                <a:prstGeom prst="rect">
                                  <a:avLst/>
                                </a:prstGeom>
                              </pic:spPr>
                            </pic:pic>
                          </a:graphicData>
                        </a:graphic>
                      </wp:inline>
                    </w:drawing>
                  </w:r>
                  <w:r>
                    <w:rPr>
                      <w:rFonts w:ascii="Times New Roman" w:hAnsi="Times New Roman" w:eastAsia="Times New Roman" w:cs="Times New Roman"/>
                      <w:spacing w:val="-31"/>
                      <w:position w:val="8"/>
                      <w:sz w:val="26"/>
                      <w:szCs w:val="26"/>
                    </w:rPr>
                    <w:t>10l</w:t>
                  </w:r>
                  <w:r>
                    <w:rPr>
                      <w:rFonts w:ascii="Times New Roman" w:hAnsi="Times New Roman" w:eastAsia="Times New Roman" w:cs="Times New Roman"/>
                      <w:spacing w:val="-25"/>
                      <w:position w:val="8"/>
                      <w:sz w:val="26"/>
                      <w:szCs w:val="26"/>
                    </w:rPr>
                    <w:t>g</w:t>
                  </w:r>
                  <w:r>
                    <w:rPr>
                      <w:rFonts w:ascii="Times New Roman" w:hAnsi="Times New Roman" w:eastAsia="Times New Roman" w:cs="Times New Roman"/>
                      <w:position w:val="8"/>
                      <w:sz w:val="26"/>
                      <w:szCs w:val="26"/>
                    </w:rPr>
                    <w:t xml:space="preserve"> </w:t>
                  </w:r>
                  <w:r>
                    <w:rPr>
                      <w:rFonts w:ascii="微软雅黑" w:hAnsi="微软雅黑" w:eastAsia="微软雅黑" w:cs="微软雅黑"/>
                      <w:spacing w:val="-25"/>
                      <w:position w:val="42"/>
                      <w:sz w:val="29"/>
                      <w:szCs w:val="29"/>
                    </w:rPr>
                    <w:t>|</w:t>
                  </w:r>
                  <w:r>
                    <w:rPr>
                      <w:rFonts w:ascii="微软雅黑" w:hAnsi="微软雅黑" w:eastAsia="微软雅黑" w:cs="微软雅黑"/>
                      <w:spacing w:val="-25"/>
                      <w:position w:val="-37"/>
                      <w:sz w:val="29"/>
                      <w:szCs w:val="29"/>
                    </w:rPr>
                    <w:t>l</w:t>
                  </w:r>
                  <w:r>
                    <w:rPr>
                      <w:rFonts w:ascii="Times New Roman" w:hAnsi="Times New Roman" w:eastAsia="Times New Roman" w:cs="Times New Roman"/>
                      <w:spacing w:val="-25"/>
                      <w:position w:val="-4"/>
                      <w:sz w:val="26"/>
                      <w:szCs w:val="26"/>
                    </w:rPr>
                    <w:t>10lg</w:t>
                  </w:r>
                </w:p>
              </w:txbxContent>
            </v:textbox>
          </v:shape>
        </w:pict>
      </w:r>
      <w:r>
        <w:rPr>
          <w:rFonts w:ascii="微软雅黑" w:hAnsi="微软雅黑" w:eastAsia="微软雅黑" w:cs="微软雅黑"/>
          <w:sz w:val="23"/>
          <w:szCs w:val="23"/>
        </w:rPr>
        <w:t>(</w:t>
      </w:r>
    </w:p>
    <w:p w14:paraId="107E525B">
      <w:pPr>
        <w:pStyle w:val="2"/>
        <w:spacing w:before="342" w:line="801" w:lineRule="exact"/>
        <w:ind w:left="2734"/>
        <w:rPr>
          <w:sz w:val="23"/>
          <w:szCs w:val="23"/>
        </w:rPr>
      </w:pPr>
      <w:r>
        <w:drawing>
          <wp:anchor distT="0" distB="0" distL="0" distR="0" simplePos="0" relativeHeight="251682816" behindDoc="1" locked="0" layoutInCell="1" allowOverlap="1">
            <wp:simplePos x="0" y="0"/>
            <wp:positionH relativeFrom="column">
              <wp:posOffset>1736090</wp:posOffset>
            </wp:positionH>
            <wp:positionV relativeFrom="paragraph">
              <wp:posOffset>-74295</wp:posOffset>
            </wp:positionV>
            <wp:extent cx="51435" cy="1272540"/>
            <wp:effectExtent l="0" t="0" r="0" b="0"/>
            <wp:wrapNone/>
            <wp:docPr id="240" name="IM 240"/>
            <wp:cNvGraphicFramePr/>
            <a:graphic xmlns:a="http://schemas.openxmlformats.org/drawingml/2006/main">
              <a:graphicData uri="http://schemas.openxmlformats.org/drawingml/2006/picture">
                <pic:pic xmlns:pic="http://schemas.openxmlformats.org/drawingml/2006/picture">
                  <pic:nvPicPr>
                    <pic:cNvPr id="240" name="IM 240"/>
                    <pic:cNvPicPr/>
                  </pic:nvPicPr>
                  <pic:blipFill>
                    <a:blip r:embed="rId387"/>
                    <a:stretch>
                      <a:fillRect/>
                    </a:stretch>
                  </pic:blipFill>
                  <pic:spPr>
                    <a:xfrm>
                      <a:off x="0" y="0"/>
                      <a:ext cx="51705" cy="1272483"/>
                    </a:xfrm>
                    <a:prstGeom prst="rect">
                      <a:avLst/>
                    </a:prstGeom>
                  </pic:spPr>
                </pic:pic>
              </a:graphicData>
            </a:graphic>
          </wp:anchor>
        </w:drawing>
      </w:r>
      <w:r>
        <w:pict>
          <v:shape id="_x0000_s1119" o:spid="_x0000_s1119" o:spt="202" type="#_x0000_t202" style="position:absolute;left:0pt;margin-left:60.35pt;margin-top:37.65pt;height:16.15pt;width:48pt;z-index:251686912;mso-width-relative:page;mso-height-relative:page;" filled="f" stroked="f" coordsize="21600,21600">
            <v:path/>
            <v:fill on="f" focussize="0,0"/>
            <v:stroke on="f"/>
            <v:imagedata o:title=""/>
            <o:lock v:ext="edit" aspectratio="f"/>
            <v:textbox inset="0mm,0mm,0mm,0mm">
              <w:txbxContent>
                <w:p w14:paraId="2CF3AECA">
                  <w:pPr>
                    <w:spacing w:before="20" w:line="172" w:lineRule="auto"/>
                    <w:jc w:val="right"/>
                    <w:rPr>
                      <w:rFonts w:ascii="微软雅黑" w:hAnsi="微软雅黑" w:eastAsia="微软雅黑" w:cs="微软雅黑"/>
                      <w:sz w:val="23"/>
                      <w:szCs w:val="23"/>
                    </w:rPr>
                  </w:pPr>
                  <w:r>
                    <w:rPr>
                      <w:rFonts w:ascii="微软雅黑" w:hAnsi="微软雅黑" w:eastAsia="微软雅黑" w:cs="微软雅黑"/>
                      <w:spacing w:val="-5"/>
                      <w:position w:val="3"/>
                      <w:sz w:val="23"/>
                      <w:szCs w:val="23"/>
                    </w:rPr>
                    <w:t>Δ</w:t>
                  </w:r>
                  <w:r>
                    <w:rPr>
                      <w:rFonts w:ascii="Times New Roman" w:hAnsi="Times New Roman" w:eastAsia="Times New Roman" w:cs="Times New Roman"/>
                      <w:spacing w:val="-5"/>
                      <w:position w:val="3"/>
                      <w:sz w:val="23"/>
                      <w:szCs w:val="23"/>
                    </w:rPr>
                    <w:t>L</w:t>
                  </w:r>
                  <w:r>
                    <w:rPr>
                      <w:rFonts w:ascii="宋体" w:hAnsi="宋体" w:eastAsia="宋体" w:cs="宋体"/>
                      <w:spacing w:val="-5"/>
                      <w:position w:val="-3"/>
                      <w:sz w:val="13"/>
                      <w:szCs w:val="13"/>
                    </w:rPr>
                    <w:t>声影区</w:t>
                  </w:r>
                  <w:r>
                    <w:rPr>
                      <w:rFonts w:ascii="宋体" w:hAnsi="宋体" w:eastAsia="宋体" w:cs="宋体"/>
                      <w:spacing w:val="20"/>
                      <w:position w:val="-3"/>
                      <w:sz w:val="13"/>
                      <w:szCs w:val="13"/>
                    </w:rPr>
                    <w:t xml:space="preserve"> </w:t>
                  </w:r>
                  <w:r>
                    <w:rPr>
                      <w:rFonts w:ascii="微软雅黑" w:hAnsi="微软雅黑" w:eastAsia="微软雅黑" w:cs="微软雅黑"/>
                      <w:spacing w:val="-5"/>
                      <w:position w:val="3"/>
                      <w:sz w:val="23"/>
                      <w:szCs w:val="23"/>
                    </w:rPr>
                    <w:t>=</w:t>
                  </w:r>
                </w:p>
              </w:txbxContent>
            </v:textbox>
          </v:shape>
        </w:pict>
      </w:r>
      <w:r>
        <w:pict>
          <v:shape id="_x0000_s1120" o:spid="_x0000_s1120" style="position:absolute;left:0pt;margin-left:142.15pt;margin-top:21.25pt;height:2.25pt;width:68.5pt;z-index:251691008;mso-width-relative:page;mso-height-relative:page;" filled="f" stroked="t" coordsize="1370,45" path="m768,40l1344,40m5,5l1364,5e">
            <v:fill on="f" focussize="0,0"/>
            <v:stroke weight="0.5pt" color="#000000" miterlimit="2" endcap="round"/>
            <v:imagedata o:title=""/>
            <o:lock v:ext="edit"/>
          </v:shape>
        </w:pict>
      </w:r>
      <w:r>
        <w:rPr>
          <w:rFonts w:ascii="微软雅黑" w:hAnsi="微软雅黑" w:eastAsia="微软雅黑" w:cs="微软雅黑"/>
          <w:spacing w:val="-3"/>
          <w:position w:val="-12"/>
          <w:sz w:val="23"/>
          <w:szCs w:val="23"/>
        </w:rPr>
        <w:t>(</w:t>
      </w:r>
      <w:r>
        <w:rPr>
          <w:rFonts w:ascii="微软雅黑" w:hAnsi="微软雅黑" w:eastAsia="微软雅黑" w:cs="微软雅黑"/>
          <w:spacing w:val="-26"/>
          <w:position w:val="-12"/>
          <w:sz w:val="23"/>
          <w:szCs w:val="23"/>
        </w:rPr>
        <w:t xml:space="preserve"> </w:t>
      </w:r>
      <w:r>
        <w:rPr>
          <w:rFonts w:ascii="Times New Roman" w:hAnsi="Times New Roman" w:eastAsia="Times New Roman" w:cs="Times New Roman"/>
          <w:spacing w:val="-3"/>
          <w:position w:val="12"/>
          <w:sz w:val="23"/>
          <w:szCs w:val="23"/>
        </w:rPr>
        <w:t>4tan</w:t>
      </w:r>
      <w:r>
        <w:rPr>
          <w:rFonts w:ascii="微软雅黑" w:hAnsi="微软雅黑" w:eastAsia="微软雅黑" w:cs="微软雅黑"/>
          <w:spacing w:val="-3"/>
          <w:position w:val="18"/>
          <w:sz w:val="17"/>
          <w:szCs w:val="17"/>
        </w:rPr>
        <w:t>-</w:t>
      </w:r>
      <w:r>
        <w:rPr>
          <w:rFonts w:ascii="Times New Roman" w:hAnsi="Times New Roman" w:eastAsia="Times New Roman" w:cs="Times New Roman"/>
          <w:spacing w:val="-3"/>
          <w:position w:val="18"/>
          <w:sz w:val="15"/>
          <w:szCs w:val="15"/>
        </w:rPr>
        <w:t>1</w:t>
      </w:r>
      <w:r>
        <w:rPr>
          <w:rFonts w:ascii="Times New Roman" w:hAnsi="Times New Roman" w:eastAsia="Times New Roman" w:cs="Times New Roman"/>
          <w:spacing w:val="-13"/>
          <w:position w:val="18"/>
          <w:sz w:val="15"/>
          <w:szCs w:val="15"/>
        </w:rPr>
        <w:t xml:space="preserve"> </w:t>
      </w:r>
      <w:r>
        <w:rPr>
          <w:spacing w:val="-3"/>
          <w:position w:val="2"/>
          <w:sz w:val="24"/>
          <w:szCs w:val="24"/>
        </w:rPr>
        <w:t>·</w:t>
      </w:r>
      <w:r>
        <w:rPr>
          <w:position w:val="-9"/>
          <w:sz w:val="24"/>
          <w:szCs w:val="24"/>
        </w:rPr>
        <w:drawing>
          <wp:inline distT="0" distB="0" distL="0" distR="0">
            <wp:extent cx="36830" cy="157480"/>
            <wp:effectExtent l="0" t="0" r="0" b="0"/>
            <wp:docPr id="242" name="IM 242"/>
            <wp:cNvGraphicFramePr/>
            <a:graphic xmlns:a="http://schemas.openxmlformats.org/drawingml/2006/main">
              <a:graphicData uri="http://schemas.openxmlformats.org/drawingml/2006/picture">
                <pic:pic xmlns:pic="http://schemas.openxmlformats.org/drawingml/2006/picture">
                  <pic:nvPicPr>
                    <pic:cNvPr id="242" name="IM 242"/>
                    <pic:cNvPicPr/>
                  </pic:nvPicPr>
                  <pic:blipFill>
                    <a:blip r:embed="rId388"/>
                    <a:stretch>
                      <a:fillRect/>
                    </a:stretch>
                  </pic:blipFill>
                  <pic:spPr>
                    <a:xfrm>
                      <a:off x="0" y="0"/>
                      <a:ext cx="37415" cy="157878"/>
                    </a:xfrm>
                    <a:prstGeom prst="rect">
                      <a:avLst/>
                    </a:prstGeom>
                  </pic:spPr>
                </pic:pic>
              </a:graphicData>
            </a:graphic>
          </wp:inline>
        </w:drawing>
      </w:r>
      <w:r>
        <w:rPr>
          <w:position w:val="-9"/>
          <w:sz w:val="24"/>
          <w:szCs w:val="24"/>
        </w:rPr>
        <w:drawing>
          <wp:inline distT="0" distB="0" distL="0" distR="0">
            <wp:extent cx="39370" cy="396240"/>
            <wp:effectExtent l="0" t="0" r="0" b="0"/>
            <wp:docPr id="244" name="IM 244"/>
            <wp:cNvGraphicFramePr/>
            <a:graphic xmlns:a="http://schemas.openxmlformats.org/drawingml/2006/main">
              <a:graphicData uri="http://schemas.openxmlformats.org/drawingml/2006/picture">
                <pic:pic xmlns:pic="http://schemas.openxmlformats.org/drawingml/2006/picture">
                  <pic:nvPicPr>
                    <pic:cNvPr id="244" name="IM 244"/>
                    <pic:cNvPicPr/>
                  </pic:nvPicPr>
                  <pic:blipFill>
                    <a:blip r:embed="rId389"/>
                    <a:stretch>
                      <a:fillRect/>
                    </a:stretch>
                  </pic:blipFill>
                  <pic:spPr>
                    <a:xfrm>
                      <a:off x="0" y="0"/>
                      <a:ext cx="39961" cy="396869"/>
                    </a:xfrm>
                    <a:prstGeom prst="rect">
                      <a:avLst/>
                    </a:prstGeom>
                  </pic:spPr>
                </pic:pic>
              </a:graphicData>
            </a:graphic>
          </wp:inline>
        </w:drawing>
      </w:r>
      <w:r>
        <w:rPr>
          <w:spacing w:val="-55"/>
          <w:position w:val="2"/>
          <w:sz w:val="24"/>
          <w:szCs w:val="24"/>
        </w:rPr>
        <w:t xml:space="preserve"> </w:t>
      </w:r>
      <w:r>
        <w:rPr>
          <w:rFonts w:ascii="微软雅黑" w:hAnsi="微软雅黑" w:eastAsia="微软雅黑" w:cs="微软雅黑"/>
          <w:strike/>
          <w:spacing w:val="-68"/>
          <w:position w:val="-2"/>
          <w:sz w:val="31"/>
          <w:szCs w:val="31"/>
        </w:rPr>
        <w:t xml:space="preserve"> </w:t>
      </w:r>
      <w:r>
        <w:rPr>
          <w:rFonts w:ascii="微软雅黑" w:hAnsi="微软雅黑" w:eastAsia="微软雅黑" w:cs="微软雅黑"/>
          <w:strike/>
          <w:spacing w:val="-3"/>
          <w:position w:val="-2"/>
          <w:sz w:val="31"/>
          <w:szCs w:val="31"/>
        </w:rPr>
        <w:t>(</w:t>
      </w:r>
      <w:r>
        <w:rPr>
          <w:rFonts w:ascii="微软雅黑" w:hAnsi="微软雅黑" w:eastAsia="微软雅黑" w:cs="微软雅黑"/>
          <w:spacing w:val="-15"/>
          <w:w w:val="48"/>
          <w:position w:val="30"/>
          <w:sz w:val="31"/>
          <w:szCs w:val="31"/>
        </w:rPr>
        <w:t>(</w:t>
      </w:r>
      <w:r>
        <w:fldChar w:fldCharType="begin"/>
      </w:r>
      <w:r>
        <w:instrText xml:space="preserve">EQ \* jc3 \* hps23 \o\al(\s\up 6(</w:instrText>
      </w:r>
      <w:r>
        <w:rPr>
          <w:rFonts w:ascii="Times New Roman" w:hAnsi="Times New Roman" w:eastAsia="Times New Roman" w:cs="Times New Roman"/>
          <w:w w:val="78"/>
          <w:position w:val="13"/>
          <w:sz w:val="23"/>
          <w:szCs w:val="23"/>
        </w:rPr>
        <w:instrText xml:space="preserve">1</w:instrText>
      </w:r>
      <w:r>
        <w:instrText xml:space="preserve">),</w:instrText>
      </w:r>
      <w:r>
        <w:rPr>
          <w:rFonts w:ascii="Times New Roman" w:hAnsi="Times New Roman" w:eastAsia="Times New Roman" w:cs="Times New Roman"/>
          <w:w w:val="76"/>
          <w:position w:val="-6"/>
          <w:sz w:val="23"/>
          <w:szCs w:val="23"/>
        </w:rPr>
        <w:instrText xml:space="preserve">1</w:instrText>
      </w:r>
      <w:r>
        <w:instrText xml:space="preserve">)</w:instrText>
      </w:r>
      <w:r>
        <w:fldChar w:fldCharType="end"/>
      </w:r>
      <w:r>
        <w:rPr>
          <w:position w:val="-2"/>
          <w:sz w:val="31"/>
          <w:szCs w:val="31"/>
        </w:rPr>
        <w:drawing>
          <wp:inline distT="0" distB="0" distL="0" distR="0">
            <wp:extent cx="74295" cy="250825"/>
            <wp:effectExtent l="0" t="0" r="0" b="0"/>
            <wp:docPr id="246" name="IM 246"/>
            <wp:cNvGraphicFramePr/>
            <a:graphic xmlns:a="http://schemas.openxmlformats.org/drawingml/2006/main">
              <a:graphicData uri="http://schemas.openxmlformats.org/drawingml/2006/picture">
                <pic:pic xmlns:pic="http://schemas.openxmlformats.org/drawingml/2006/picture">
                  <pic:nvPicPr>
                    <pic:cNvPr id="246" name="IM 246"/>
                    <pic:cNvPicPr/>
                  </pic:nvPicPr>
                  <pic:blipFill>
                    <a:blip r:embed="rId390"/>
                    <a:stretch>
                      <a:fillRect/>
                    </a:stretch>
                  </pic:blipFill>
                  <pic:spPr>
                    <a:xfrm>
                      <a:off x="0" y="0"/>
                      <a:ext cx="74448" cy="251409"/>
                    </a:xfrm>
                    <a:prstGeom prst="rect">
                      <a:avLst/>
                    </a:prstGeom>
                  </pic:spPr>
                </pic:pic>
              </a:graphicData>
            </a:graphic>
          </wp:inline>
        </w:drawing>
      </w:r>
      <w:r>
        <w:rPr>
          <w:rFonts w:ascii="Times New Roman" w:hAnsi="Times New Roman" w:eastAsia="Times New Roman" w:cs="Times New Roman"/>
          <w:strike/>
          <w:spacing w:val="-29"/>
          <w:position w:val="-6"/>
          <w:sz w:val="31"/>
          <w:szCs w:val="31"/>
        </w:rPr>
        <w:t xml:space="preserve"> </w:t>
      </w:r>
      <w:r>
        <w:fldChar w:fldCharType="begin"/>
      </w:r>
      <w:r>
        <w:instrText xml:space="preserve">EQ \* jc3 \* hps23 \o\al(\s\up 6(</w:instrText>
      </w:r>
      <w:r>
        <w:rPr>
          <w:rFonts w:ascii="Times New Roman" w:hAnsi="Times New Roman" w:eastAsia="Times New Roman" w:cs="Times New Roman"/>
          <w:position w:val="13"/>
          <w:sz w:val="23"/>
          <w:szCs w:val="23"/>
        </w:rPr>
        <w:instrText xml:space="preserve">t</w:instrText>
      </w:r>
      <w:r>
        <w:instrText xml:space="preserve">),</w:instrText>
      </w:r>
      <w:r>
        <w:rPr>
          <w:rFonts w:ascii="Times New Roman" w:hAnsi="Times New Roman" w:eastAsia="Times New Roman" w:cs="Times New Roman"/>
          <w:w w:val="103"/>
          <w:position w:val="-7"/>
          <w:sz w:val="23"/>
          <w:szCs w:val="23"/>
        </w:rPr>
        <w:instrText xml:space="preserve">t</w:instrText>
      </w:r>
      <w:r>
        <w:instrText xml:space="preserve">)</w:instrText>
      </w:r>
      <w:r>
        <w:fldChar w:fldCharType="end"/>
      </w:r>
      <w:r>
        <w:rPr>
          <w:rFonts w:ascii="微软雅黑" w:hAnsi="微软雅黑" w:eastAsia="微软雅黑" w:cs="微软雅黑"/>
          <w:spacing w:val="-15"/>
          <w:w w:val="48"/>
          <w:position w:val="30"/>
          <w:sz w:val="31"/>
          <w:szCs w:val="31"/>
        </w:rPr>
        <w:t>)</w:t>
      </w:r>
      <w:r>
        <w:rPr>
          <w:rFonts w:ascii="微软雅黑" w:hAnsi="微软雅黑" w:eastAsia="微软雅黑" w:cs="微软雅黑"/>
          <w:strike/>
          <w:spacing w:val="-15"/>
          <w:w w:val="48"/>
          <w:position w:val="-2"/>
          <w:sz w:val="31"/>
          <w:szCs w:val="31"/>
        </w:rPr>
        <w:t>)</w:t>
      </w:r>
      <w:r>
        <w:rPr>
          <w:rFonts w:ascii="微软雅黑" w:hAnsi="微软雅黑" w:eastAsia="微软雅黑" w:cs="微软雅黑"/>
          <w:spacing w:val="-41"/>
          <w:position w:val="-2"/>
          <w:sz w:val="31"/>
          <w:szCs w:val="31"/>
        </w:rPr>
        <w:t xml:space="preserve"> </w:t>
      </w:r>
      <w:r>
        <w:rPr>
          <w:rFonts w:ascii="微软雅黑" w:hAnsi="微软雅黑" w:eastAsia="微软雅黑" w:cs="微软雅黑"/>
          <w:spacing w:val="-15"/>
          <w:w w:val="48"/>
          <w:position w:val="-12"/>
          <w:sz w:val="23"/>
          <w:szCs w:val="23"/>
        </w:rPr>
        <w:t>丿</w:t>
      </w:r>
      <w:r>
        <w:rPr>
          <w:position w:val="1"/>
          <w:sz w:val="23"/>
          <w:szCs w:val="23"/>
        </w:rPr>
        <w:drawing>
          <wp:inline distT="0" distB="0" distL="0" distR="0">
            <wp:extent cx="12065" cy="411480"/>
            <wp:effectExtent l="0" t="0" r="0" b="0"/>
            <wp:docPr id="248" name="IM 248"/>
            <wp:cNvGraphicFramePr/>
            <a:graphic xmlns:a="http://schemas.openxmlformats.org/drawingml/2006/main">
              <a:graphicData uri="http://schemas.openxmlformats.org/drawingml/2006/picture">
                <pic:pic xmlns:pic="http://schemas.openxmlformats.org/drawingml/2006/picture">
                  <pic:nvPicPr>
                    <pic:cNvPr id="248" name="IM 248"/>
                    <pic:cNvPicPr/>
                  </pic:nvPicPr>
                  <pic:blipFill>
                    <a:blip r:embed="rId391"/>
                    <a:stretch>
                      <a:fillRect/>
                    </a:stretch>
                  </pic:blipFill>
                  <pic:spPr>
                    <a:xfrm>
                      <a:off x="0" y="0"/>
                      <a:ext cx="12179" cy="411931"/>
                    </a:xfrm>
                    <a:prstGeom prst="rect">
                      <a:avLst/>
                    </a:prstGeom>
                  </pic:spPr>
                </pic:pic>
              </a:graphicData>
            </a:graphic>
          </wp:inline>
        </w:drawing>
      </w:r>
    </w:p>
    <w:p w14:paraId="4F8C5D9B">
      <w:pPr>
        <w:spacing w:line="917" w:lineRule="exact"/>
        <w:ind w:left="2734"/>
        <w:rPr>
          <w:rFonts w:ascii="微软雅黑" w:hAnsi="微软雅黑" w:eastAsia="微软雅黑" w:cs="微软雅黑"/>
          <w:sz w:val="23"/>
          <w:szCs w:val="23"/>
        </w:rPr>
      </w:pPr>
      <w:r>
        <w:pict>
          <v:shape id="_x0000_s1121" o:spid="_x0000_s1121" style="position:absolute;left:0pt;margin-left:174.4pt;margin-top:5.6pt;height:0.5pt;width:31.5pt;z-index:251689984;mso-width-relative:page;mso-height-relative:page;" filled="f" stroked="t" coordsize="630,10" path="m5,5l624,5e">
            <v:fill on="f" focussize="0,0"/>
            <v:stroke weight="0.5pt" color="#000000" miterlimit="2" endcap="round"/>
            <v:imagedata o:title=""/>
            <o:lock v:ext="edit"/>
          </v:shape>
        </w:pict>
      </w:r>
      <w:r>
        <w:rPr>
          <w:rFonts w:ascii="微软雅黑" w:hAnsi="微软雅黑" w:eastAsia="微软雅黑" w:cs="微软雅黑"/>
          <w:spacing w:val="-15"/>
          <w:w w:val="90"/>
          <w:position w:val="-8"/>
          <w:sz w:val="23"/>
          <w:szCs w:val="23"/>
        </w:rPr>
        <w:t>(</w:t>
      </w:r>
      <w:r>
        <w:rPr>
          <w:rFonts w:ascii="微软雅黑" w:hAnsi="微软雅黑" w:eastAsia="微软雅黑" w:cs="微软雅黑"/>
          <w:spacing w:val="-15"/>
          <w:w w:val="90"/>
          <w:position w:val="44"/>
          <w:sz w:val="23"/>
          <w:szCs w:val="23"/>
        </w:rPr>
        <w:t>(</w:t>
      </w:r>
      <w:r>
        <w:rPr>
          <w:rFonts w:ascii="微软雅黑" w:hAnsi="微软雅黑" w:eastAsia="微软雅黑" w:cs="微软雅黑"/>
          <w:spacing w:val="-52"/>
          <w:position w:val="44"/>
          <w:sz w:val="23"/>
          <w:szCs w:val="23"/>
        </w:rPr>
        <w:t xml:space="preserve"> </w:t>
      </w:r>
      <w:r>
        <w:rPr>
          <w:rFonts w:ascii="微软雅黑" w:hAnsi="微软雅黑" w:eastAsia="微软雅黑" w:cs="微软雅黑"/>
          <w:strike/>
          <w:spacing w:val="-42"/>
          <w:position w:val="44"/>
          <w:sz w:val="23"/>
          <w:szCs w:val="23"/>
        </w:rPr>
        <w:t xml:space="preserve"> </w:t>
      </w:r>
      <w:r>
        <w:rPr>
          <w:rFonts w:ascii="Times New Roman" w:hAnsi="Times New Roman" w:eastAsia="Times New Roman" w:cs="Times New Roman"/>
          <w:spacing w:val="-15"/>
          <w:w w:val="90"/>
          <w:sz w:val="23"/>
          <w:szCs w:val="23"/>
        </w:rPr>
        <w:t>2I</w:t>
      </w:r>
      <w:r>
        <w:fldChar w:fldCharType="begin"/>
      </w:r>
      <w:r>
        <w:instrText xml:space="preserve">EQ \* jc3 \* hps23 \o\al(\s\up 12(</w:instrText>
      </w:r>
      <w:r>
        <w:rPr>
          <w:rFonts w:ascii="Times New Roman" w:hAnsi="Times New Roman" w:eastAsia="Times New Roman" w:cs="Times New Roman"/>
          <w:w w:val="139"/>
          <w:position w:val="13"/>
          <w:sz w:val="23"/>
          <w:szCs w:val="23"/>
        </w:rPr>
        <w:instrText xml:space="preserve">3</w:instrText>
      </w:r>
      <w:r>
        <w:instrText xml:space="preserve">),</w:instrText>
      </w:r>
      <w:r>
        <w:rPr>
          <w:rFonts w:ascii="Times New Roman" w:hAnsi="Times New Roman" w:eastAsia="Times New Roman" w:cs="Times New Roman"/>
          <w:w w:val="103"/>
          <w:sz w:val="23"/>
          <w:szCs w:val="23"/>
        </w:rPr>
        <w:instrText xml:space="preserve">n</w:instrText>
      </w:r>
      <w:r>
        <w:instrText xml:space="preserve">)</w:instrText>
      </w:r>
      <w:r>
        <w:fldChar w:fldCharType="end"/>
      </w:r>
      <w:r>
        <w:rPr>
          <w:position w:val="-11"/>
          <w:sz w:val="23"/>
          <w:szCs w:val="23"/>
        </w:rPr>
        <w:drawing>
          <wp:inline distT="0" distB="0" distL="0" distR="0">
            <wp:extent cx="108585" cy="445135"/>
            <wp:effectExtent l="0" t="0" r="0" b="0"/>
            <wp:docPr id="250" name="IM 250"/>
            <wp:cNvGraphicFramePr/>
            <a:graphic xmlns:a="http://schemas.openxmlformats.org/drawingml/2006/main">
              <a:graphicData uri="http://schemas.openxmlformats.org/drawingml/2006/picture">
                <pic:pic xmlns:pic="http://schemas.openxmlformats.org/drawingml/2006/picture">
                  <pic:nvPicPr>
                    <pic:cNvPr id="250" name="IM 250"/>
                    <pic:cNvPicPr/>
                  </pic:nvPicPr>
                  <pic:blipFill>
                    <a:blip r:embed="rId392"/>
                    <a:stretch>
                      <a:fillRect/>
                    </a:stretch>
                  </pic:blipFill>
                  <pic:spPr>
                    <a:xfrm>
                      <a:off x="0" y="0"/>
                      <a:ext cx="108918" cy="445397"/>
                    </a:xfrm>
                    <a:prstGeom prst="rect">
                      <a:avLst/>
                    </a:prstGeom>
                  </pic:spPr>
                </pic:pic>
              </a:graphicData>
            </a:graphic>
          </wp:inline>
        </w:drawing>
      </w:r>
      <w:r>
        <w:rPr>
          <w:rFonts w:ascii="微软雅黑" w:hAnsi="微软雅黑" w:eastAsia="微软雅黑" w:cs="微软雅黑"/>
          <w:spacing w:val="-15"/>
          <w:w w:val="90"/>
          <w:sz w:val="23"/>
          <w:szCs w:val="23"/>
        </w:rPr>
        <w:t>+</w:t>
      </w:r>
      <w:r>
        <w:rPr>
          <w:rFonts w:ascii="微软雅黑" w:hAnsi="微软雅黑" w:eastAsia="微软雅黑" w:cs="微软雅黑"/>
          <w:spacing w:val="-4"/>
          <w:w w:val="70"/>
          <w:position w:val="38"/>
          <w:sz w:val="38"/>
          <w:szCs w:val="38"/>
        </w:rPr>
        <w:t>(</w:t>
      </w:r>
      <w:r>
        <w:rPr>
          <w:rFonts w:ascii="Times New Roman" w:hAnsi="Times New Roman" w:eastAsia="Times New Roman" w:cs="Times New Roman"/>
          <w:spacing w:val="-2"/>
          <w:w w:val="91"/>
          <w:position w:val="38"/>
          <w:sz w:val="23"/>
          <w:szCs w:val="23"/>
        </w:rPr>
        <w:t>t</w:t>
      </w:r>
      <w:r>
        <w:rPr>
          <w:rFonts w:ascii="Times New Roman" w:hAnsi="Times New Roman" w:eastAsia="Times New Roman" w:cs="Times New Roman"/>
          <w:strike/>
          <w:spacing w:val="-32"/>
          <w:position w:val="38"/>
          <w:sz w:val="23"/>
          <w:szCs w:val="23"/>
        </w:rPr>
        <w:t xml:space="preserve"> </w:t>
      </w:r>
      <w:r>
        <w:rPr>
          <w:rFonts w:ascii="Times New Roman" w:hAnsi="Times New Roman" w:eastAsia="Times New Roman" w:cs="Times New Roman"/>
          <w:spacing w:val="-2"/>
          <w:w w:val="91"/>
          <w:position w:val="49"/>
          <w:sz w:val="15"/>
          <w:szCs w:val="15"/>
        </w:rPr>
        <w:t>2</w:t>
      </w:r>
      <w:r>
        <w:rPr>
          <w:rFonts w:ascii="微软雅黑" w:hAnsi="微软雅黑" w:eastAsia="微软雅黑" w:cs="微软雅黑"/>
          <w:strike/>
          <w:spacing w:val="-3"/>
          <w:w w:val="44"/>
          <w:sz w:val="38"/>
          <w:szCs w:val="38"/>
        </w:rPr>
        <w:t>(</w:t>
      </w:r>
      <w:r>
        <w:fldChar w:fldCharType="begin"/>
      </w:r>
      <w:r>
        <w:instrText xml:space="preserve">EQ \* jc3 \* hps23 \o\al(\s\up 12(</w:instrText>
      </w:r>
      <w:r>
        <w:rPr>
          <w:rFonts w:ascii="微软雅黑" w:hAnsi="微软雅黑" w:eastAsia="微软雅黑" w:cs="微软雅黑"/>
          <w:w w:val="143"/>
          <w:position w:val="13"/>
          <w:sz w:val="23"/>
          <w:szCs w:val="23"/>
        </w:rPr>
        <w:instrText xml:space="preserve">-</w:instrText>
      </w:r>
      <w:r>
        <w:instrText xml:space="preserve">),</w:instrText>
      </w:r>
      <w:r>
        <w:rPr>
          <w:rFonts w:ascii="Times New Roman" w:hAnsi="Times New Roman" w:eastAsia="Times New Roman" w:cs="Times New Roman"/>
          <w:w w:val="105"/>
          <w:position w:val="3"/>
          <w:sz w:val="15"/>
          <w:szCs w:val="15"/>
        </w:rPr>
        <w:instrText xml:space="preserve">t</w:instrText>
      </w:r>
      <w:r>
        <w:rPr>
          <w:rFonts w:ascii="Times New Roman" w:hAnsi="Times New Roman" w:eastAsia="Times New Roman" w:cs="Times New Roman"/>
          <w:strike/>
          <w:w w:val="65"/>
          <w:position w:val="3"/>
          <w:sz w:val="15"/>
          <w:szCs w:val="15"/>
        </w:rPr>
        <w:instrText xml:space="preserve"> </w:instrText>
      </w:r>
      <w:r>
        <w:rPr>
          <w:rFonts w:ascii="Times New Roman" w:hAnsi="Times New Roman" w:eastAsia="Times New Roman" w:cs="Times New Roman"/>
          <w:w w:val="105"/>
          <w:position w:val="3"/>
          <w:sz w:val="15"/>
          <w:szCs w:val="15"/>
        </w:rPr>
        <w:instrText xml:space="preserve">2</w:instrText>
      </w:r>
      <w:r>
        <w:instrText xml:space="preserve">)</w:instrText>
      </w:r>
      <w:r>
        <w:fldChar w:fldCharType="end"/>
      </w:r>
      <w:r>
        <w:rPr>
          <w:rFonts w:ascii="Times New Roman" w:hAnsi="Times New Roman" w:eastAsia="Times New Roman" w:cs="Times New Roman"/>
          <w:strike/>
          <w:spacing w:val="-57"/>
          <w:position w:val="3"/>
          <w:sz w:val="38"/>
          <w:szCs w:val="38"/>
        </w:rPr>
        <w:t xml:space="preserve"> </w:t>
      </w:r>
      <w:r>
        <w:rPr>
          <w:rFonts w:ascii="Times New Roman" w:hAnsi="Times New Roman" w:eastAsia="Times New Roman" w:cs="Times New Roman"/>
          <w:spacing w:val="-29"/>
          <w:position w:val="38"/>
          <w:sz w:val="23"/>
          <w:szCs w:val="23"/>
        </w:rPr>
        <w:t>1</w:t>
      </w:r>
      <w:r>
        <w:rPr>
          <w:rFonts w:ascii="微软雅黑" w:hAnsi="微软雅黑" w:eastAsia="微软雅黑" w:cs="微软雅黑"/>
          <w:spacing w:val="-29"/>
          <w:sz w:val="23"/>
          <w:szCs w:val="23"/>
        </w:rPr>
        <w:t>-</w:t>
      </w:r>
      <w:r>
        <w:rPr>
          <w:rFonts w:ascii="微软雅黑" w:hAnsi="微软雅黑" w:eastAsia="微软雅黑" w:cs="微软雅黑"/>
          <w:spacing w:val="-3"/>
          <w:w w:val="37"/>
          <w:position w:val="38"/>
          <w:sz w:val="38"/>
          <w:szCs w:val="38"/>
        </w:rPr>
        <w:t>)</w:t>
      </w:r>
      <w:r>
        <w:rPr>
          <w:rFonts w:ascii="Times New Roman" w:hAnsi="Times New Roman" w:eastAsia="Times New Roman" w:cs="Times New Roman"/>
          <w:spacing w:val="-23"/>
          <w:sz w:val="23"/>
          <w:szCs w:val="23"/>
        </w:rPr>
        <w:t>1</w:t>
      </w:r>
      <w:r>
        <w:rPr>
          <w:rFonts w:ascii="微软雅黑" w:hAnsi="微软雅黑" w:eastAsia="微软雅黑" w:cs="微软雅黑"/>
          <w:strike/>
          <w:spacing w:val="-21"/>
          <w:w w:val="62"/>
          <w:sz w:val="38"/>
          <w:szCs w:val="38"/>
        </w:rPr>
        <w:t>)</w:t>
      </w:r>
      <w:r>
        <w:rPr>
          <w:rFonts w:ascii="微软雅黑" w:hAnsi="微软雅黑" w:eastAsia="微软雅黑" w:cs="微软雅黑"/>
          <w:spacing w:val="-21"/>
          <w:w w:val="62"/>
          <w:sz w:val="49"/>
          <w:szCs w:val="49"/>
        </w:rPr>
        <w:t>)</w:t>
      </w:r>
      <w:r>
        <w:rPr>
          <w:rFonts w:ascii="微软雅黑" w:hAnsi="微软雅黑" w:eastAsia="微软雅黑" w:cs="微软雅黑"/>
          <w:spacing w:val="-21"/>
          <w:w w:val="62"/>
          <w:position w:val="-8"/>
          <w:sz w:val="23"/>
          <w:szCs w:val="23"/>
        </w:rPr>
        <w:t>丿</w:t>
      </w:r>
      <w:r>
        <w:rPr>
          <w:rFonts w:ascii="微软雅黑" w:hAnsi="微软雅黑" w:eastAsia="微软雅黑" w:cs="微软雅黑"/>
          <w:spacing w:val="-21"/>
          <w:w w:val="62"/>
          <w:position w:val="44"/>
          <w:sz w:val="23"/>
          <w:szCs w:val="23"/>
        </w:rPr>
        <w:t>)</w:t>
      </w:r>
      <w:r>
        <w:rPr>
          <w:rFonts w:ascii="微软雅黑" w:hAnsi="微软雅黑" w:eastAsia="微软雅黑" w:cs="微软雅黑"/>
          <w:spacing w:val="-21"/>
          <w:w w:val="62"/>
          <w:position w:val="29"/>
          <w:sz w:val="23"/>
          <w:szCs w:val="23"/>
        </w:rPr>
        <w:t>|</w:t>
      </w:r>
    </w:p>
    <w:p w14:paraId="37B72295">
      <w:pPr>
        <w:pStyle w:val="2"/>
        <w:spacing w:line="14" w:lineRule="auto"/>
      </w:pPr>
      <w:r>
        <w:br w:type="column"/>
      </w:r>
    </w:p>
    <w:p w14:paraId="5289E251">
      <w:pPr>
        <w:pStyle w:val="2"/>
        <w:spacing w:line="395" w:lineRule="auto"/>
        <w:rPr>
          <w:sz w:val="21"/>
        </w:rPr>
      </w:pPr>
    </w:p>
    <w:p w14:paraId="271A501A">
      <w:pPr>
        <w:spacing w:before="99" w:line="180" w:lineRule="auto"/>
        <w:rPr>
          <w:rFonts w:ascii="微软雅黑" w:hAnsi="微软雅黑" w:eastAsia="微软雅黑" w:cs="微软雅黑"/>
          <w:sz w:val="23"/>
          <w:szCs w:val="23"/>
        </w:rPr>
      </w:pPr>
      <w:r>
        <w:pict>
          <v:shape id="_x0000_s1122" o:spid="_x0000_s1122" o:spt="202" type="#_x0000_t202" style="position:absolute;left:0pt;margin-left:-1pt;margin-top:21.45pt;height:19.9pt;width:90.4pt;z-index:251687936;mso-width-relative:page;mso-height-relative:page;" filled="f" stroked="f" coordsize="21600,21600">
            <v:path/>
            <v:fill on="f" focussize="0,0"/>
            <v:stroke on="f"/>
            <v:imagedata o:title=""/>
            <o:lock v:ext="edit" aspectratio="f"/>
            <v:textbox inset="0mm,0mm,0mm,0mm">
              <w:txbxContent>
                <w:p w14:paraId="04A5799D">
                  <w:pPr>
                    <w:spacing w:before="20" w:line="217" w:lineRule="auto"/>
                    <w:jc w:val="right"/>
                    <w:rPr>
                      <w:rFonts w:ascii="微软雅黑" w:hAnsi="微软雅黑" w:eastAsia="微软雅黑" w:cs="微软雅黑"/>
                      <w:sz w:val="23"/>
                      <w:szCs w:val="23"/>
                    </w:rPr>
                  </w:pPr>
                  <w:r>
                    <w:rPr>
                      <w:rFonts w:ascii="微软雅黑" w:hAnsi="微软雅黑" w:eastAsia="微软雅黑" w:cs="微软雅黑"/>
                      <w:spacing w:val="-39"/>
                      <w:sz w:val="23"/>
                      <w:szCs w:val="23"/>
                    </w:rPr>
                    <w:t>(</w:t>
                  </w:r>
                  <w:r>
                    <w:rPr>
                      <w:rFonts w:ascii="微软雅黑" w:hAnsi="微软雅黑" w:eastAsia="微软雅黑" w:cs="微软雅黑"/>
                      <w:spacing w:val="6"/>
                      <w:sz w:val="23"/>
                      <w:szCs w:val="23"/>
                    </w:rPr>
                    <w:t xml:space="preserve">          </w:t>
                  </w:r>
                  <w:r>
                    <w:rPr>
                      <w:rFonts w:ascii="Times New Roman" w:hAnsi="Times New Roman" w:eastAsia="Times New Roman" w:cs="Times New Roman"/>
                      <w:spacing w:val="-39"/>
                      <w:position w:val="2"/>
                      <w:sz w:val="23"/>
                      <w:szCs w:val="23"/>
                    </w:rPr>
                    <w:t>3</w:t>
                  </w:r>
                  <w:r>
                    <w:rPr>
                      <w:rFonts w:ascii="Times New Roman" w:hAnsi="Times New Roman" w:eastAsia="Times New Roman" w:cs="Times New Roman"/>
                      <w:spacing w:val="2"/>
                      <w:position w:val="2"/>
                      <w:sz w:val="23"/>
                      <w:szCs w:val="23"/>
                    </w:rPr>
                    <w:t xml:space="preserve">            </w:t>
                  </w:r>
                  <w:r>
                    <w:rPr>
                      <w:rFonts w:ascii="微软雅黑" w:hAnsi="微软雅黑" w:eastAsia="微软雅黑" w:cs="微软雅黑"/>
                      <w:spacing w:val="-39"/>
                      <w:sz w:val="23"/>
                      <w:szCs w:val="23"/>
                    </w:rPr>
                    <w:t>丿</w:t>
                  </w:r>
                </w:p>
              </w:txbxContent>
            </v:textbox>
          </v:shape>
        </w:pict>
      </w:r>
      <w:r>
        <w:rPr>
          <w:rFonts w:ascii="微软雅黑" w:hAnsi="微软雅黑" w:eastAsia="微软雅黑" w:cs="微软雅黑"/>
          <w:spacing w:val="-10"/>
          <w:sz w:val="23"/>
          <w:szCs w:val="23"/>
        </w:rPr>
        <w:t>|(</w:t>
      </w:r>
      <w:r>
        <w:rPr>
          <w:rFonts w:ascii="宋体" w:hAnsi="宋体" w:eastAsia="宋体" w:cs="宋体"/>
          <w:spacing w:val="-10"/>
          <w:position w:val="-5"/>
          <w:sz w:val="23"/>
          <w:szCs w:val="23"/>
        </w:rPr>
        <w:t>当</w:t>
      </w:r>
      <w:r>
        <w:rPr>
          <w:rFonts w:ascii="Times New Roman" w:hAnsi="Times New Roman" w:eastAsia="Times New Roman" w:cs="Times New Roman"/>
          <w:spacing w:val="-10"/>
          <w:position w:val="-5"/>
          <w:sz w:val="23"/>
          <w:szCs w:val="23"/>
        </w:rPr>
        <w:t>t</w:t>
      </w:r>
      <w:r>
        <w:rPr>
          <w:rFonts w:ascii="Times New Roman" w:hAnsi="Times New Roman" w:eastAsia="Times New Roman" w:cs="Times New Roman"/>
          <w:spacing w:val="20"/>
          <w:position w:val="-5"/>
          <w:sz w:val="23"/>
          <w:szCs w:val="23"/>
        </w:rPr>
        <w:t xml:space="preserve"> </w:t>
      </w:r>
      <w:r>
        <w:rPr>
          <w:rFonts w:ascii="微软雅黑" w:hAnsi="微软雅黑" w:eastAsia="微软雅黑" w:cs="微软雅黑"/>
          <w:spacing w:val="-10"/>
          <w:position w:val="-5"/>
          <w:sz w:val="23"/>
          <w:szCs w:val="23"/>
        </w:rPr>
        <w:t xml:space="preserve">= </w:t>
      </w:r>
      <w:r>
        <w:rPr>
          <w:rFonts w:ascii="Times New Roman" w:hAnsi="Times New Roman" w:eastAsia="Times New Roman" w:cs="Times New Roman"/>
          <w:spacing w:val="-31"/>
          <w:position w:val="9"/>
          <w:sz w:val="23"/>
          <w:szCs w:val="23"/>
          <w:u w:val="single" w:color="auto"/>
        </w:rPr>
        <w:t xml:space="preserve"> </w:t>
      </w:r>
      <w:r>
        <w:rPr>
          <w:rFonts w:ascii="Times New Roman" w:hAnsi="Times New Roman" w:eastAsia="Times New Roman" w:cs="Times New Roman"/>
          <w:spacing w:val="-10"/>
          <w:position w:val="9"/>
          <w:sz w:val="23"/>
          <w:szCs w:val="23"/>
          <w:u w:val="single" w:color="auto"/>
        </w:rPr>
        <w:t>20N</w:t>
      </w:r>
      <w:r>
        <w:rPr>
          <w:rFonts w:ascii="Times New Roman" w:hAnsi="Times New Roman" w:eastAsia="Times New Roman" w:cs="Times New Roman"/>
          <w:spacing w:val="26"/>
          <w:position w:val="9"/>
          <w:sz w:val="23"/>
          <w:szCs w:val="23"/>
        </w:rPr>
        <w:t xml:space="preserve"> </w:t>
      </w:r>
      <w:r>
        <w:rPr>
          <w:rFonts w:ascii="微软雅黑" w:hAnsi="微软雅黑" w:eastAsia="微软雅黑" w:cs="微软雅黑"/>
          <w:spacing w:val="-10"/>
          <w:position w:val="-5"/>
          <w:sz w:val="23"/>
          <w:szCs w:val="23"/>
        </w:rPr>
        <w:t>≤</w:t>
      </w:r>
      <w:r>
        <w:rPr>
          <w:rFonts w:ascii="微软雅黑" w:hAnsi="微软雅黑" w:eastAsia="微软雅黑" w:cs="微软雅黑"/>
          <w:spacing w:val="-9"/>
          <w:position w:val="-5"/>
          <w:sz w:val="23"/>
          <w:szCs w:val="23"/>
        </w:rPr>
        <w:t xml:space="preserve"> </w:t>
      </w:r>
      <w:r>
        <w:rPr>
          <w:rFonts w:ascii="Times New Roman" w:hAnsi="Times New Roman" w:eastAsia="Times New Roman" w:cs="Times New Roman"/>
          <w:spacing w:val="-10"/>
          <w:position w:val="-5"/>
          <w:sz w:val="23"/>
          <w:szCs w:val="23"/>
        </w:rPr>
        <w:t>1</w:t>
      </w:r>
      <w:r>
        <w:rPr>
          <w:rFonts w:ascii="宋体" w:hAnsi="宋体" w:eastAsia="宋体" w:cs="宋体"/>
          <w:spacing w:val="-10"/>
          <w:position w:val="-5"/>
          <w:sz w:val="23"/>
          <w:szCs w:val="23"/>
        </w:rPr>
        <w:t>时</w:t>
      </w:r>
      <w:r>
        <w:rPr>
          <w:rFonts w:ascii="微软雅黑" w:hAnsi="微软雅黑" w:eastAsia="微软雅黑" w:cs="微软雅黑"/>
          <w:spacing w:val="-10"/>
          <w:position w:val="8"/>
          <w:sz w:val="23"/>
          <w:szCs w:val="23"/>
        </w:rPr>
        <w:t>)</w:t>
      </w:r>
      <w:r>
        <w:rPr>
          <w:rFonts w:ascii="微软雅黑" w:hAnsi="微软雅黑" w:eastAsia="微软雅黑" w:cs="微软雅黑"/>
          <w:spacing w:val="-10"/>
          <w:position w:val="-7"/>
          <w:sz w:val="23"/>
          <w:szCs w:val="23"/>
        </w:rPr>
        <w:t>|</w:t>
      </w:r>
    </w:p>
    <w:p w14:paraId="254EA582">
      <w:pPr>
        <w:pStyle w:val="2"/>
        <w:spacing w:line="320" w:lineRule="auto"/>
        <w:rPr>
          <w:sz w:val="21"/>
        </w:rPr>
      </w:pPr>
    </w:p>
    <w:p w14:paraId="64CBF7FB">
      <w:pPr>
        <w:pStyle w:val="2"/>
        <w:spacing w:line="321" w:lineRule="auto"/>
        <w:rPr>
          <w:sz w:val="21"/>
        </w:rPr>
      </w:pPr>
    </w:p>
    <w:p w14:paraId="2DAA99F2">
      <w:pPr>
        <w:spacing w:before="99" w:line="186" w:lineRule="auto"/>
        <w:ind w:left="176"/>
        <w:rPr>
          <w:rFonts w:ascii="微软雅黑" w:hAnsi="微软雅黑" w:eastAsia="微软雅黑" w:cs="微软雅黑"/>
          <w:sz w:val="23"/>
          <w:szCs w:val="23"/>
        </w:rPr>
      </w:pPr>
      <w:r>
        <w:pict>
          <v:shape id="_x0000_s1123" o:spid="_x0000_s1123" o:spt="202" type="#_x0000_t202" style="position:absolute;left:0pt;margin-left:7.8pt;margin-top:21.45pt;height:19.9pt;width:90pt;z-index:251688960;mso-width-relative:page;mso-height-relative:page;" filled="f" stroked="f" coordsize="21600,21600">
            <v:path/>
            <v:fill on="f" focussize="0,0"/>
            <v:stroke on="f"/>
            <v:imagedata o:title=""/>
            <o:lock v:ext="edit" aspectratio="f"/>
            <v:textbox inset="0mm,0mm,0mm,0mm">
              <w:txbxContent>
                <w:p w14:paraId="0B54C042">
                  <w:pPr>
                    <w:spacing w:before="20" w:line="217" w:lineRule="auto"/>
                    <w:jc w:val="right"/>
                    <w:rPr>
                      <w:rFonts w:ascii="微软雅黑" w:hAnsi="微软雅黑" w:eastAsia="微软雅黑" w:cs="微软雅黑"/>
                      <w:sz w:val="23"/>
                      <w:szCs w:val="23"/>
                    </w:rPr>
                  </w:pPr>
                  <w:r>
                    <w:rPr>
                      <w:rFonts w:ascii="微软雅黑" w:hAnsi="微软雅黑" w:eastAsia="微软雅黑" w:cs="微软雅黑"/>
                      <w:spacing w:val="-39"/>
                      <w:sz w:val="23"/>
                      <w:szCs w:val="23"/>
                    </w:rPr>
                    <w:t>(</w:t>
                  </w:r>
                  <w:r>
                    <w:rPr>
                      <w:rFonts w:ascii="微软雅黑" w:hAnsi="微软雅黑" w:eastAsia="微软雅黑" w:cs="微软雅黑"/>
                      <w:spacing w:val="6"/>
                      <w:sz w:val="23"/>
                      <w:szCs w:val="23"/>
                    </w:rPr>
                    <w:t xml:space="preserve">          </w:t>
                  </w:r>
                  <w:r>
                    <w:rPr>
                      <w:rFonts w:ascii="Times New Roman" w:hAnsi="Times New Roman" w:eastAsia="Times New Roman" w:cs="Times New Roman"/>
                      <w:spacing w:val="-39"/>
                      <w:position w:val="2"/>
                      <w:sz w:val="23"/>
                      <w:szCs w:val="23"/>
                    </w:rPr>
                    <w:t>3</w:t>
                  </w:r>
                  <w:r>
                    <w:rPr>
                      <w:rFonts w:ascii="Times New Roman" w:hAnsi="Times New Roman" w:eastAsia="Times New Roman" w:cs="Times New Roman"/>
                      <w:spacing w:val="1"/>
                      <w:position w:val="2"/>
                      <w:sz w:val="23"/>
                      <w:szCs w:val="23"/>
                    </w:rPr>
                    <w:t xml:space="preserve">            </w:t>
                  </w:r>
                  <w:r>
                    <w:rPr>
                      <w:rFonts w:ascii="微软雅黑" w:hAnsi="微软雅黑" w:eastAsia="微软雅黑" w:cs="微软雅黑"/>
                      <w:spacing w:val="-39"/>
                      <w:sz w:val="23"/>
                      <w:szCs w:val="23"/>
                    </w:rPr>
                    <w:t>丿</w:t>
                  </w:r>
                </w:p>
              </w:txbxContent>
            </v:textbox>
          </v:shape>
        </w:pict>
      </w:r>
      <w:r>
        <w:rPr>
          <w:rFonts w:ascii="微软雅黑" w:hAnsi="微软雅黑" w:eastAsia="微软雅黑" w:cs="微软雅黑"/>
          <w:spacing w:val="-3"/>
          <w:sz w:val="23"/>
          <w:szCs w:val="23"/>
        </w:rPr>
        <w:t>|(</w:t>
      </w:r>
      <w:r>
        <w:rPr>
          <w:rFonts w:ascii="宋体" w:hAnsi="宋体" w:eastAsia="宋体" w:cs="宋体"/>
          <w:spacing w:val="-3"/>
          <w:position w:val="-4"/>
          <w:sz w:val="23"/>
          <w:szCs w:val="23"/>
        </w:rPr>
        <w:t>当</w:t>
      </w:r>
      <w:r>
        <w:rPr>
          <w:rFonts w:ascii="Times New Roman" w:hAnsi="Times New Roman" w:eastAsia="Times New Roman" w:cs="Times New Roman"/>
          <w:spacing w:val="-3"/>
          <w:position w:val="-4"/>
          <w:sz w:val="23"/>
          <w:szCs w:val="23"/>
        </w:rPr>
        <w:t xml:space="preserve">t </w:t>
      </w:r>
      <w:r>
        <w:rPr>
          <w:rFonts w:ascii="微软雅黑" w:hAnsi="微软雅黑" w:eastAsia="微软雅黑" w:cs="微软雅黑"/>
          <w:spacing w:val="-3"/>
          <w:position w:val="-4"/>
          <w:sz w:val="23"/>
          <w:szCs w:val="23"/>
        </w:rPr>
        <w:t xml:space="preserve">= </w:t>
      </w:r>
      <w:r>
        <w:rPr>
          <w:rFonts w:ascii="Times New Roman" w:hAnsi="Times New Roman" w:eastAsia="Times New Roman" w:cs="Times New Roman"/>
          <w:spacing w:val="-31"/>
          <w:position w:val="10"/>
          <w:sz w:val="23"/>
          <w:szCs w:val="23"/>
          <w:u w:val="single" w:color="auto"/>
        </w:rPr>
        <w:t xml:space="preserve"> </w:t>
      </w:r>
      <w:r>
        <w:rPr>
          <w:rFonts w:ascii="Times New Roman" w:hAnsi="Times New Roman" w:eastAsia="Times New Roman" w:cs="Times New Roman"/>
          <w:spacing w:val="-3"/>
          <w:position w:val="10"/>
          <w:sz w:val="23"/>
          <w:szCs w:val="23"/>
          <w:u w:val="single" w:color="auto"/>
        </w:rPr>
        <w:t>20N</w:t>
      </w:r>
      <w:r>
        <w:rPr>
          <w:rFonts w:ascii="宋体" w:hAnsi="宋体" w:eastAsia="宋体" w:cs="宋体"/>
          <w:spacing w:val="-3"/>
          <w:position w:val="-4"/>
          <w:sz w:val="23"/>
          <w:szCs w:val="23"/>
        </w:rPr>
        <w:t>＞</w:t>
      </w:r>
      <w:r>
        <w:rPr>
          <w:rFonts w:ascii="Times New Roman" w:hAnsi="Times New Roman" w:eastAsia="Times New Roman" w:cs="Times New Roman"/>
          <w:spacing w:val="-3"/>
          <w:position w:val="-4"/>
          <w:sz w:val="23"/>
          <w:szCs w:val="23"/>
        </w:rPr>
        <w:t>1</w:t>
      </w:r>
      <w:r>
        <w:rPr>
          <w:rFonts w:ascii="宋体" w:hAnsi="宋体" w:eastAsia="宋体" w:cs="宋体"/>
          <w:spacing w:val="-3"/>
          <w:position w:val="-4"/>
          <w:sz w:val="23"/>
          <w:szCs w:val="23"/>
        </w:rPr>
        <w:t>时</w:t>
      </w:r>
      <w:r>
        <w:rPr>
          <w:rFonts w:ascii="微软雅黑" w:hAnsi="微软雅黑" w:eastAsia="微软雅黑" w:cs="微软雅黑"/>
          <w:spacing w:val="-3"/>
          <w:position w:val="8"/>
          <w:sz w:val="23"/>
          <w:szCs w:val="23"/>
        </w:rPr>
        <w:t>)</w:t>
      </w:r>
      <w:r>
        <w:rPr>
          <w:rFonts w:ascii="微软雅黑" w:hAnsi="微软雅黑" w:eastAsia="微软雅黑" w:cs="微软雅黑"/>
          <w:spacing w:val="-3"/>
          <w:position w:val="-6"/>
          <w:sz w:val="23"/>
          <w:szCs w:val="23"/>
        </w:rPr>
        <w:t>|</w:t>
      </w:r>
    </w:p>
    <w:p w14:paraId="37CF441E">
      <w:pPr>
        <w:spacing w:line="186" w:lineRule="auto"/>
        <w:rPr>
          <w:rFonts w:ascii="微软雅黑" w:hAnsi="微软雅黑" w:eastAsia="微软雅黑" w:cs="微软雅黑"/>
          <w:sz w:val="23"/>
          <w:szCs w:val="23"/>
        </w:rPr>
        <w:sectPr>
          <w:type w:val="continuous"/>
          <w:pgSz w:w="11906" w:h="16839"/>
          <w:pgMar w:top="400" w:right="1785" w:bottom="1370" w:left="1785" w:header="0" w:footer="1207" w:gutter="0"/>
          <w:cols w:equalWidth="0" w:num="2">
            <w:col w:w="4733" w:space="100"/>
            <w:col w:w="3502"/>
          </w:cols>
        </w:sectPr>
      </w:pPr>
    </w:p>
    <w:p w14:paraId="3E3BF23A">
      <w:pPr>
        <w:pStyle w:val="2"/>
        <w:spacing w:line="267" w:lineRule="auto"/>
        <w:rPr>
          <w:sz w:val="21"/>
        </w:rPr>
      </w:pPr>
    </w:p>
    <w:p w14:paraId="160CC878">
      <w:pPr>
        <w:pStyle w:val="2"/>
        <w:spacing w:line="267" w:lineRule="auto"/>
        <w:rPr>
          <w:sz w:val="21"/>
        </w:rPr>
      </w:pPr>
    </w:p>
    <w:p w14:paraId="4458A25C">
      <w:pPr>
        <w:pStyle w:val="2"/>
        <w:spacing w:line="268" w:lineRule="auto"/>
        <w:rPr>
          <w:sz w:val="21"/>
        </w:rPr>
      </w:pPr>
    </w:p>
    <w:p w14:paraId="404933B9">
      <w:pPr>
        <w:pStyle w:val="2"/>
        <w:spacing w:line="268" w:lineRule="auto"/>
        <w:rPr>
          <w:sz w:val="21"/>
        </w:rPr>
      </w:pPr>
    </w:p>
    <w:p w14:paraId="06FD7A0A">
      <w:pPr>
        <w:pStyle w:val="2"/>
        <w:spacing w:before="78" w:line="230" w:lineRule="auto"/>
        <w:ind w:left="4117" w:right="3527" w:hanging="3602"/>
        <w:rPr>
          <w:sz w:val="25"/>
          <w:szCs w:val="25"/>
        </w:rPr>
      </w:pPr>
      <w:r>
        <w:rPr>
          <w:rFonts w:ascii="仿宋" w:hAnsi="仿宋" w:eastAsia="仿宋" w:cs="仿宋"/>
          <w:spacing w:val="-5"/>
          <w:sz w:val="24"/>
          <w:szCs w:val="24"/>
        </w:rPr>
        <w:t>式中：N——菲涅尔数按照以下公式计算；</w:t>
      </w:r>
      <w:r>
        <w:rPr>
          <w:rFonts w:ascii="仿宋" w:hAnsi="仿宋" w:eastAsia="仿宋" w:cs="仿宋"/>
          <w:spacing w:val="14"/>
          <w:sz w:val="24"/>
          <w:szCs w:val="24"/>
        </w:rPr>
        <w:t xml:space="preserve"> </w:t>
      </w:r>
      <w:r>
        <w:rPr>
          <w:rFonts w:ascii="Times New Roman" w:hAnsi="Times New Roman" w:eastAsia="Times New Roman" w:cs="Times New Roman"/>
          <w:spacing w:val="2"/>
          <w:position w:val="-12"/>
          <w:sz w:val="23"/>
          <w:szCs w:val="23"/>
        </w:rPr>
        <w:t>N</w:t>
      </w:r>
      <w:r>
        <w:rPr>
          <w:rFonts w:ascii="Times New Roman" w:hAnsi="Times New Roman" w:eastAsia="Times New Roman" w:cs="Times New Roman"/>
          <w:spacing w:val="-20"/>
          <w:position w:val="-12"/>
          <w:sz w:val="23"/>
          <w:szCs w:val="23"/>
        </w:rPr>
        <w:t xml:space="preserve"> </w:t>
      </w:r>
      <w:r>
        <w:rPr>
          <w:rFonts w:ascii="Times New Roman" w:hAnsi="Times New Roman" w:eastAsia="Times New Roman" w:cs="Times New Roman"/>
          <w:spacing w:val="-32"/>
          <w:position w:val="2"/>
          <w:sz w:val="23"/>
          <w:szCs w:val="23"/>
          <w:u w:val="single" w:color="auto"/>
        </w:rPr>
        <w:t xml:space="preserve"> </w:t>
      </w:r>
      <w:r>
        <w:rPr>
          <w:rFonts w:ascii="Times New Roman" w:hAnsi="Times New Roman" w:eastAsia="Times New Roman" w:cs="Times New Roman"/>
          <w:spacing w:val="2"/>
          <w:position w:val="2"/>
          <w:sz w:val="23"/>
          <w:szCs w:val="23"/>
          <w:u w:val="single" w:color="auto"/>
        </w:rPr>
        <w:t>2</w:t>
      </w:r>
      <w:r>
        <w:rPr>
          <w:rFonts w:ascii="Times New Roman" w:hAnsi="Times New Roman" w:eastAsia="Times New Roman" w:cs="Times New Roman"/>
          <w:spacing w:val="-35"/>
          <w:position w:val="2"/>
          <w:sz w:val="23"/>
          <w:szCs w:val="23"/>
          <w:u w:val="single" w:color="auto"/>
        </w:rPr>
        <w:t xml:space="preserve"> </w:t>
      </w:r>
      <w:r>
        <w:rPr>
          <w:i/>
          <w:iCs/>
          <w:spacing w:val="2"/>
          <w:position w:val="2"/>
          <w:sz w:val="25"/>
          <w:szCs w:val="25"/>
          <w:u w:val="single" w:color="auto"/>
        </w:rPr>
        <w:t>δ</w:t>
      </w:r>
    </w:p>
    <w:p w14:paraId="31A3679E">
      <w:pPr>
        <w:pStyle w:val="2"/>
        <w:spacing w:line="317" w:lineRule="exact"/>
        <w:ind w:left="4437"/>
        <w:rPr>
          <w:sz w:val="25"/>
          <w:szCs w:val="25"/>
        </w:rPr>
      </w:pPr>
      <w:r>
        <w:rPr>
          <w:i/>
          <w:iCs/>
          <w:spacing w:val="12"/>
          <w:position w:val="1"/>
          <w:sz w:val="25"/>
          <w:szCs w:val="25"/>
        </w:rPr>
        <w:t>λ</w:t>
      </w:r>
    </w:p>
    <w:p w14:paraId="50B1BF91">
      <w:pPr>
        <w:spacing w:before="63" w:line="222" w:lineRule="auto"/>
        <w:ind w:left="515"/>
        <w:rPr>
          <w:rFonts w:ascii="仿宋" w:hAnsi="仿宋" w:eastAsia="仿宋" w:cs="仿宋"/>
          <w:sz w:val="24"/>
          <w:szCs w:val="24"/>
        </w:rPr>
      </w:pPr>
      <w:r>
        <w:rPr>
          <w:rFonts w:ascii="仿宋" w:hAnsi="仿宋" w:eastAsia="仿宋" w:cs="仿宋"/>
          <w:spacing w:val="-8"/>
          <w:sz w:val="24"/>
          <w:szCs w:val="24"/>
        </w:rPr>
        <w:t>式中：</w:t>
      </w:r>
    </w:p>
    <w:p w14:paraId="21898642">
      <w:pPr>
        <w:pStyle w:val="2"/>
        <w:spacing w:before="141" w:line="336" w:lineRule="exact"/>
        <w:ind w:left="1222"/>
        <w:rPr>
          <w:rFonts w:ascii="仿宋" w:hAnsi="仿宋" w:eastAsia="仿宋" w:cs="仿宋"/>
          <w:sz w:val="24"/>
          <w:szCs w:val="24"/>
        </w:rPr>
      </w:pPr>
      <w:r>
        <w:rPr>
          <w:spacing w:val="-2"/>
          <w:position w:val="2"/>
          <w:sz w:val="24"/>
          <w:szCs w:val="24"/>
        </w:rPr>
        <w:t>δ</w:t>
      </w:r>
      <w:r>
        <w:rPr>
          <w:rFonts w:ascii="仿宋" w:hAnsi="仿宋" w:eastAsia="仿宋" w:cs="仿宋"/>
          <w:spacing w:val="-2"/>
          <w:position w:val="2"/>
          <w:sz w:val="24"/>
          <w:szCs w:val="24"/>
        </w:rPr>
        <w:t>——声程差，m；按图</w:t>
      </w:r>
      <w:r>
        <w:rPr>
          <w:rFonts w:ascii="仿宋" w:hAnsi="仿宋" w:eastAsia="仿宋" w:cs="仿宋"/>
          <w:spacing w:val="-39"/>
          <w:position w:val="2"/>
          <w:sz w:val="24"/>
          <w:szCs w:val="24"/>
        </w:rPr>
        <w:t xml:space="preserve"> </w:t>
      </w:r>
      <w:r>
        <w:rPr>
          <w:rFonts w:ascii="仿宋" w:hAnsi="仿宋" w:eastAsia="仿宋" w:cs="仿宋"/>
          <w:spacing w:val="-2"/>
          <w:position w:val="2"/>
          <w:sz w:val="24"/>
          <w:szCs w:val="24"/>
        </w:rPr>
        <w:t>3-3</w:t>
      </w:r>
      <w:r>
        <w:rPr>
          <w:rFonts w:ascii="仿宋" w:hAnsi="仿宋" w:eastAsia="仿宋" w:cs="仿宋"/>
          <w:spacing w:val="-45"/>
          <w:position w:val="2"/>
          <w:sz w:val="24"/>
          <w:szCs w:val="24"/>
        </w:rPr>
        <w:t xml:space="preserve"> </w:t>
      </w:r>
      <w:r>
        <w:rPr>
          <w:rFonts w:ascii="仿宋" w:hAnsi="仿宋" w:eastAsia="仿宋" w:cs="仿宋"/>
          <w:spacing w:val="-2"/>
          <w:position w:val="2"/>
          <w:sz w:val="24"/>
          <w:szCs w:val="24"/>
        </w:rPr>
        <w:t>计算，</w:t>
      </w:r>
      <w:r>
        <w:rPr>
          <w:rFonts w:ascii="仿宋" w:hAnsi="仿宋" w:eastAsia="仿宋" w:cs="仿宋"/>
          <w:spacing w:val="-45"/>
          <w:position w:val="2"/>
          <w:sz w:val="24"/>
          <w:szCs w:val="24"/>
        </w:rPr>
        <w:t xml:space="preserve"> </w:t>
      </w:r>
      <w:r>
        <w:rPr>
          <w:rFonts w:ascii="仿宋" w:hAnsi="仿宋" w:eastAsia="仿宋" w:cs="仿宋"/>
          <w:spacing w:val="-2"/>
          <w:position w:val="2"/>
          <w:sz w:val="24"/>
          <w:szCs w:val="24"/>
        </w:rPr>
        <w:t>δ</w:t>
      </w:r>
      <w:r>
        <w:rPr>
          <w:rFonts w:ascii="仿宋" w:hAnsi="仿宋" w:eastAsia="仿宋" w:cs="仿宋"/>
          <w:spacing w:val="-87"/>
          <w:position w:val="2"/>
          <w:sz w:val="24"/>
          <w:szCs w:val="24"/>
        </w:rPr>
        <w:t xml:space="preserve"> </w:t>
      </w:r>
      <w:r>
        <w:rPr>
          <w:rFonts w:ascii="仿宋" w:hAnsi="仿宋" w:eastAsia="仿宋" w:cs="仿宋"/>
          <w:spacing w:val="-2"/>
          <w:position w:val="2"/>
          <w:sz w:val="24"/>
          <w:szCs w:val="24"/>
        </w:rPr>
        <w:t>=a＋b－c。</w:t>
      </w:r>
    </w:p>
    <w:p w14:paraId="7936B8F2">
      <w:pPr>
        <w:pStyle w:val="2"/>
        <w:spacing w:before="177" w:line="379" w:lineRule="auto"/>
        <w:ind w:left="535" w:right="1617" w:firstLine="738"/>
        <w:rPr>
          <w:rFonts w:ascii="仿宋" w:hAnsi="仿宋" w:eastAsia="仿宋" w:cs="仿宋"/>
          <w:sz w:val="24"/>
          <w:szCs w:val="24"/>
        </w:rPr>
      </w:pPr>
      <w:r>
        <w:rPr>
          <w:i/>
          <w:iCs/>
          <w:spacing w:val="-3"/>
          <w:position w:val="5"/>
          <w:sz w:val="24"/>
          <w:szCs w:val="24"/>
        </w:rPr>
        <w:t>λ</w:t>
      </w:r>
      <w:r>
        <w:rPr>
          <w:i/>
          <w:iCs/>
          <w:spacing w:val="-27"/>
          <w:position w:val="5"/>
          <w:sz w:val="24"/>
          <w:szCs w:val="24"/>
        </w:rPr>
        <w:t xml:space="preserve"> </w:t>
      </w:r>
      <w:r>
        <w:rPr>
          <w:rFonts w:ascii="仿宋" w:hAnsi="仿宋" w:eastAsia="仿宋" w:cs="仿宋"/>
          <w:spacing w:val="-3"/>
          <w:sz w:val="24"/>
          <w:szCs w:val="24"/>
        </w:rPr>
        <w:t>——声波波长，m（采用</w:t>
      </w:r>
      <w:r>
        <w:rPr>
          <w:rFonts w:ascii="仿宋" w:hAnsi="仿宋" w:eastAsia="仿宋" w:cs="仿宋"/>
          <w:spacing w:val="-47"/>
          <w:sz w:val="24"/>
          <w:szCs w:val="24"/>
        </w:rPr>
        <w:t xml:space="preserve"> </w:t>
      </w:r>
      <w:r>
        <w:rPr>
          <w:rFonts w:ascii="仿宋" w:hAnsi="仿宋" w:eastAsia="仿宋" w:cs="仿宋"/>
          <w:spacing w:val="-3"/>
          <w:sz w:val="24"/>
          <w:szCs w:val="24"/>
        </w:rPr>
        <w:t>500Hz</w:t>
      </w:r>
      <w:r>
        <w:rPr>
          <w:rFonts w:ascii="仿宋" w:hAnsi="仿宋" w:eastAsia="仿宋" w:cs="仿宋"/>
          <w:spacing w:val="-42"/>
          <w:sz w:val="24"/>
          <w:szCs w:val="24"/>
        </w:rPr>
        <w:t xml:space="preserve"> </w:t>
      </w:r>
      <w:r>
        <w:rPr>
          <w:rFonts w:ascii="仿宋" w:hAnsi="仿宋" w:eastAsia="仿宋" w:cs="仿宋"/>
          <w:spacing w:val="-3"/>
          <w:sz w:val="24"/>
          <w:szCs w:val="24"/>
        </w:rPr>
        <w:t>频率的声波计算）。</w:t>
      </w:r>
      <w:r>
        <w:rPr>
          <w:rFonts w:ascii="仿宋" w:hAnsi="仿宋" w:eastAsia="仿宋" w:cs="仿宋"/>
          <w:spacing w:val="-2"/>
          <w:sz w:val="24"/>
          <w:szCs w:val="24"/>
        </w:rPr>
        <w:t>当预测点处于声影区以外区域（声照区）时，</w:t>
      </w:r>
      <w:r>
        <w:rPr>
          <w:spacing w:val="-3"/>
          <w:sz w:val="24"/>
          <w:szCs w:val="24"/>
        </w:rPr>
        <w:t>Δ</w:t>
      </w:r>
      <w:r>
        <w:rPr>
          <w:rFonts w:ascii="仿宋" w:hAnsi="仿宋" w:eastAsia="仿宋" w:cs="仿宋"/>
          <w:spacing w:val="-3"/>
          <w:sz w:val="24"/>
          <w:szCs w:val="24"/>
        </w:rPr>
        <w:t>L</w:t>
      </w:r>
      <w:r>
        <w:rPr>
          <w:rFonts w:ascii="仿宋" w:hAnsi="仿宋" w:eastAsia="仿宋" w:cs="仿宋"/>
          <w:spacing w:val="-45"/>
          <w:sz w:val="24"/>
          <w:szCs w:val="24"/>
        </w:rPr>
        <w:t xml:space="preserve"> </w:t>
      </w:r>
      <w:r>
        <w:rPr>
          <w:rFonts w:ascii="仿宋" w:hAnsi="仿宋" w:eastAsia="仿宋" w:cs="仿宋"/>
          <w:spacing w:val="-3"/>
          <w:sz w:val="24"/>
          <w:szCs w:val="24"/>
        </w:rPr>
        <w:t>声影区＝0</w:t>
      </w:r>
    </w:p>
    <w:p w14:paraId="6800B0D7">
      <w:pPr>
        <w:spacing w:line="3938" w:lineRule="exact"/>
        <w:ind w:firstLine="192"/>
      </w:pPr>
      <w:r>
        <w:rPr>
          <w:position w:val="-78"/>
        </w:rPr>
        <w:drawing>
          <wp:inline distT="0" distB="0" distL="0" distR="0">
            <wp:extent cx="5029200" cy="2500630"/>
            <wp:effectExtent l="0" t="0" r="0" b="0"/>
            <wp:docPr id="252" name="IM 252"/>
            <wp:cNvGraphicFramePr/>
            <a:graphic xmlns:a="http://schemas.openxmlformats.org/drawingml/2006/main">
              <a:graphicData uri="http://schemas.openxmlformats.org/drawingml/2006/picture">
                <pic:pic xmlns:pic="http://schemas.openxmlformats.org/drawingml/2006/picture">
                  <pic:nvPicPr>
                    <pic:cNvPr id="252" name="IM 252"/>
                    <pic:cNvPicPr/>
                  </pic:nvPicPr>
                  <pic:blipFill>
                    <a:blip r:embed="rId393"/>
                    <a:stretch>
                      <a:fillRect/>
                    </a:stretch>
                  </pic:blipFill>
                  <pic:spPr>
                    <a:xfrm>
                      <a:off x="0" y="0"/>
                      <a:ext cx="5029200" cy="2500884"/>
                    </a:xfrm>
                    <a:prstGeom prst="rect">
                      <a:avLst/>
                    </a:prstGeom>
                  </pic:spPr>
                </pic:pic>
              </a:graphicData>
            </a:graphic>
          </wp:inline>
        </w:drawing>
      </w:r>
    </w:p>
    <w:p w14:paraId="1659EC3E">
      <w:pPr>
        <w:spacing w:before="103" w:line="222" w:lineRule="auto"/>
        <w:ind w:left="2369"/>
        <w:rPr>
          <w:rFonts w:ascii="仿宋" w:hAnsi="仿宋" w:eastAsia="仿宋" w:cs="仿宋"/>
          <w:sz w:val="24"/>
          <w:szCs w:val="24"/>
        </w:rPr>
      </w:pPr>
      <w:r>
        <w:rPr>
          <w:rFonts w:ascii="仿宋" w:hAnsi="仿宋" w:eastAsia="仿宋" w:cs="仿宋"/>
          <w:b/>
          <w:bCs/>
          <w:spacing w:val="-11"/>
          <w:sz w:val="24"/>
          <w:szCs w:val="24"/>
        </w:rPr>
        <w:t>图</w:t>
      </w:r>
      <w:r>
        <w:rPr>
          <w:rFonts w:ascii="仿宋" w:hAnsi="仿宋" w:eastAsia="仿宋" w:cs="仿宋"/>
          <w:spacing w:val="-52"/>
          <w:sz w:val="24"/>
          <w:szCs w:val="24"/>
        </w:rPr>
        <w:t xml:space="preserve"> </w:t>
      </w:r>
      <w:r>
        <w:rPr>
          <w:rFonts w:ascii="仿宋" w:hAnsi="仿宋" w:eastAsia="仿宋" w:cs="仿宋"/>
          <w:b/>
          <w:bCs/>
          <w:spacing w:val="-11"/>
          <w:sz w:val="24"/>
          <w:szCs w:val="24"/>
        </w:rPr>
        <w:t>4.2-4</w:t>
      </w:r>
      <w:r>
        <w:rPr>
          <w:rFonts w:ascii="仿宋" w:hAnsi="仿宋" w:eastAsia="仿宋" w:cs="仿宋"/>
          <w:spacing w:val="3"/>
          <w:sz w:val="24"/>
          <w:szCs w:val="24"/>
        </w:rPr>
        <w:t xml:space="preserve">     </w:t>
      </w:r>
      <w:r>
        <w:rPr>
          <w:rFonts w:ascii="仿宋" w:hAnsi="仿宋" w:eastAsia="仿宋" w:cs="仿宋"/>
          <w:b/>
          <w:bCs/>
          <w:spacing w:val="-11"/>
          <w:sz w:val="24"/>
          <w:szCs w:val="24"/>
        </w:rPr>
        <w:t>声程差</w:t>
      </w:r>
      <w:r>
        <w:rPr>
          <w:rFonts w:ascii="仿宋" w:hAnsi="仿宋" w:eastAsia="仿宋" w:cs="仿宋"/>
          <w:spacing w:val="-42"/>
          <w:sz w:val="24"/>
          <w:szCs w:val="24"/>
        </w:rPr>
        <w:t xml:space="preserve"> </w:t>
      </w:r>
      <w:r>
        <w:rPr>
          <w:rFonts w:ascii="仿宋" w:hAnsi="仿宋" w:eastAsia="仿宋" w:cs="仿宋"/>
          <w:b/>
          <w:bCs/>
          <w:spacing w:val="-11"/>
          <w:sz w:val="24"/>
          <w:szCs w:val="24"/>
        </w:rPr>
        <w:t>δ计算示意图</w:t>
      </w:r>
    </w:p>
    <w:p w14:paraId="1A8DAD3D">
      <w:pPr>
        <w:spacing w:before="257" w:line="220" w:lineRule="auto"/>
        <w:ind w:left="501"/>
        <w:rPr>
          <w:rFonts w:ascii="仿宋" w:hAnsi="仿宋" w:eastAsia="仿宋" w:cs="仿宋"/>
          <w:sz w:val="24"/>
          <w:szCs w:val="24"/>
        </w:rPr>
      </w:pPr>
      <w:r>
        <w:rPr>
          <w:rFonts w:ascii="仿宋" w:hAnsi="仿宋" w:eastAsia="仿宋" w:cs="仿宋"/>
          <w:spacing w:val="-1"/>
          <w:sz w:val="24"/>
          <w:szCs w:val="24"/>
        </w:rPr>
        <w:t>④绿化林带引起的衰减量（Afol）</w:t>
      </w:r>
    </w:p>
    <w:p w14:paraId="79EE1F79">
      <w:pPr>
        <w:spacing w:before="182" w:line="220" w:lineRule="auto"/>
        <w:ind w:left="510"/>
        <w:rPr>
          <w:rFonts w:ascii="仿宋" w:hAnsi="仿宋" w:eastAsia="仿宋" w:cs="仿宋"/>
          <w:sz w:val="24"/>
          <w:szCs w:val="24"/>
        </w:rPr>
      </w:pPr>
      <w:r>
        <w:rPr>
          <w:rFonts w:ascii="仿宋" w:hAnsi="仿宋" w:eastAsia="仿宋" w:cs="仿宋"/>
          <w:spacing w:val="-1"/>
          <w:sz w:val="24"/>
          <w:szCs w:val="24"/>
        </w:rPr>
        <w:t>本项目隔断道路沿线不涉及绿化带，因此不考虑绿化带引起的衰减。</w:t>
      </w:r>
    </w:p>
    <w:p w14:paraId="79F8BFD6">
      <w:pPr>
        <w:pStyle w:val="2"/>
        <w:spacing w:line="303" w:lineRule="auto"/>
        <w:rPr>
          <w:sz w:val="21"/>
        </w:rPr>
      </w:pPr>
    </w:p>
    <w:p w14:paraId="6055C97C">
      <w:pPr>
        <w:spacing w:before="91" w:line="223" w:lineRule="auto"/>
        <w:ind w:left="22"/>
        <w:outlineLvl w:val="2"/>
        <w:rPr>
          <w:rFonts w:ascii="仿宋" w:hAnsi="仿宋" w:eastAsia="仿宋" w:cs="仿宋"/>
          <w:sz w:val="28"/>
          <w:szCs w:val="28"/>
        </w:rPr>
      </w:pPr>
      <w:bookmarkStart w:id="46" w:name="bookmark49"/>
      <w:bookmarkEnd w:id="46"/>
      <w:r>
        <w:rPr>
          <w:rFonts w:ascii="仿宋" w:hAnsi="仿宋" w:eastAsia="仿宋" w:cs="仿宋"/>
          <w:b/>
          <w:bCs/>
          <w:spacing w:val="-6"/>
          <w:sz w:val="28"/>
          <w:szCs w:val="28"/>
        </w:rPr>
        <w:t>4.2.2</w:t>
      </w:r>
      <w:r>
        <w:rPr>
          <w:rFonts w:ascii="仿宋" w:hAnsi="仿宋" w:eastAsia="仿宋" w:cs="仿宋"/>
          <w:spacing w:val="-36"/>
          <w:sz w:val="28"/>
          <w:szCs w:val="28"/>
        </w:rPr>
        <w:t xml:space="preserve"> </w:t>
      </w:r>
      <w:r>
        <w:rPr>
          <w:rFonts w:ascii="仿宋" w:hAnsi="仿宋" w:eastAsia="仿宋" w:cs="仿宋"/>
          <w:b/>
          <w:bCs/>
          <w:spacing w:val="-6"/>
          <w:sz w:val="28"/>
          <w:szCs w:val="28"/>
        </w:rPr>
        <w:t>噪声预测评价</w:t>
      </w:r>
    </w:p>
    <w:p w14:paraId="459CFA22">
      <w:pPr>
        <w:pStyle w:val="2"/>
        <w:spacing w:line="303" w:lineRule="auto"/>
        <w:rPr>
          <w:sz w:val="21"/>
        </w:rPr>
      </w:pPr>
    </w:p>
    <w:p w14:paraId="0F29296C">
      <w:pPr>
        <w:spacing w:before="79" w:line="360" w:lineRule="auto"/>
        <w:ind w:left="34" w:right="44" w:firstLine="476"/>
        <w:jc w:val="both"/>
        <w:rPr>
          <w:rFonts w:ascii="仿宋" w:hAnsi="仿宋" w:eastAsia="仿宋" w:cs="仿宋"/>
          <w:sz w:val="24"/>
          <w:szCs w:val="24"/>
        </w:rPr>
      </w:pPr>
      <w:r>
        <w:rPr>
          <w:rFonts w:ascii="仿宋" w:hAnsi="仿宋" w:eastAsia="仿宋" w:cs="仿宋"/>
          <w:spacing w:val="-3"/>
          <w:sz w:val="24"/>
          <w:szCs w:val="24"/>
        </w:rPr>
        <w:t>根据导则推荐的预测方法，对本项目的交通噪</w:t>
      </w:r>
      <w:r>
        <w:rPr>
          <w:rFonts w:ascii="仿宋" w:hAnsi="仿宋" w:eastAsia="仿宋" w:cs="仿宋"/>
          <w:spacing w:val="-4"/>
          <w:sz w:val="24"/>
          <w:szCs w:val="24"/>
        </w:rPr>
        <w:t>声进行预测计算。预测内容主</w:t>
      </w:r>
      <w:r>
        <w:rPr>
          <w:rFonts w:ascii="仿宋" w:hAnsi="仿宋" w:eastAsia="仿宋" w:cs="仿宋"/>
          <w:spacing w:val="-2"/>
          <w:sz w:val="24"/>
          <w:szCs w:val="24"/>
        </w:rPr>
        <w:t>要包括：交通噪声在运营期特征年、不同时间段、距路边不同距</w:t>
      </w:r>
      <w:r>
        <w:rPr>
          <w:rFonts w:ascii="仿宋" w:hAnsi="仿宋" w:eastAsia="仿宋" w:cs="仿宋"/>
          <w:spacing w:val="-3"/>
          <w:sz w:val="24"/>
          <w:szCs w:val="24"/>
        </w:rPr>
        <w:t>离的影响预测，</w:t>
      </w:r>
      <w:r>
        <w:rPr>
          <w:rFonts w:ascii="仿宋" w:hAnsi="仿宋" w:eastAsia="仿宋" w:cs="仿宋"/>
          <w:spacing w:val="-2"/>
          <w:sz w:val="24"/>
          <w:szCs w:val="24"/>
        </w:rPr>
        <w:t>以及沿线敏感点环境噪声预测。</w:t>
      </w:r>
    </w:p>
    <w:p w14:paraId="6A4370A9">
      <w:pPr>
        <w:spacing w:line="222" w:lineRule="auto"/>
        <w:ind w:left="21"/>
        <w:rPr>
          <w:rFonts w:ascii="仿宋" w:hAnsi="仿宋" w:eastAsia="仿宋" w:cs="仿宋"/>
          <w:sz w:val="24"/>
          <w:szCs w:val="24"/>
        </w:rPr>
      </w:pPr>
      <w:r>
        <w:rPr>
          <w:rFonts w:ascii="仿宋" w:hAnsi="仿宋" w:eastAsia="仿宋" w:cs="仿宋"/>
          <w:b/>
          <w:bCs/>
          <w:spacing w:val="-4"/>
          <w:sz w:val="24"/>
          <w:szCs w:val="24"/>
        </w:rPr>
        <w:t>4.2.2.1</w:t>
      </w:r>
      <w:r>
        <w:rPr>
          <w:rFonts w:ascii="仿宋" w:hAnsi="仿宋" w:eastAsia="仿宋" w:cs="仿宋"/>
          <w:spacing w:val="-35"/>
          <w:sz w:val="24"/>
          <w:szCs w:val="24"/>
        </w:rPr>
        <w:t xml:space="preserve"> </w:t>
      </w:r>
      <w:r>
        <w:rPr>
          <w:rFonts w:ascii="仿宋" w:hAnsi="仿宋" w:eastAsia="仿宋" w:cs="仿宋"/>
          <w:b/>
          <w:bCs/>
          <w:spacing w:val="-4"/>
          <w:sz w:val="24"/>
          <w:szCs w:val="24"/>
        </w:rPr>
        <w:t>路段交通噪声预测</w:t>
      </w:r>
    </w:p>
    <w:p w14:paraId="1684752C">
      <w:pPr>
        <w:spacing w:before="182" w:line="360" w:lineRule="auto"/>
        <w:ind w:left="27" w:firstLine="483"/>
        <w:jc w:val="both"/>
        <w:rPr>
          <w:rFonts w:ascii="仿宋" w:hAnsi="仿宋" w:eastAsia="仿宋" w:cs="仿宋"/>
          <w:sz w:val="24"/>
          <w:szCs w:val="24"/>
        </w:rPr>
      </w:pPr>
      <w:r>
        <w:rPr>
          <w:rFonts w:ascii="仿宋" w:hAnsi="仿宋" w:eastAsia="仿宋" w:cs="仿宋"/>
          <w:spacing w:val="-3"/>
          <w:sz w:val="24"/>
          <w:szCs w:val="24"/>
        </w:rPr>
        <w:t>根据相关导则规范要求，出于预测的可行性考</w:t>
      </w:r>
      <w:r>
        <w:rPr>
          <w:rFonts w:ascii="仿宋" w:hAnsi="仿宋" w:eastAsia="仿宋" w:cs="仿宋"/>
          <w:spacing w:val="-4"/>
          <w:sz w:val="24"/>
          <w:szCs w:val="24"/>
        </w:rPr>
        <w:t>虑，预测基于每个路段零路基</w:t>
      </w:r>
      <w:r>
        <w:rPr>
          <w:rFonts w:ascii="仿宋" w:hAnsi="仿宋" w:eastAsia="仿宋" w:cs="仿宋"/>
          <w:spacing w:val="-13"/>
          <w:sz w:val="24"/>
          <w:szCs w:val="24"/>
        </w:rPr>
        <w:t>高度（不利情况）这一假定，预测点高度取距地面</w:t>
      </w:r>
      <w:r>
        <w:rPr>
          <w:rFonts w:ascii="仿宋" w:hAnsi="仿宋" w:eastAsia="仿宋" w:cs="仿宋"/>
          <w:spacing w:val="-21"/>
          <w:sz w:val="24"/>
          <w:szCs w:val="24"/>
        </w:rPr>
        <w:t xml:space="preserve"> </w:t>
      </w:r>
      <w:r>
        <w:rPr>
          <w:rFonts w:ascii="仿宋" w:hAnsi="仿宋" w:eastAsia="仿宋" w:cs="仿宋"/>
          <w:spacing w:val="-13"/>
          <w:sz w:val="24"/>
          <w:szCs w:val="24"/>
        </w:rPr>
        <w:t>1.2m，拟建公路全线采用</w:t>
      </w:r>
      <w:r>
        <w:rPr>
          <w:rFonts w:ascii="仿宋" w:hAnsi="仿宋" w:eastAsia="仿宋" w:cs="仿宋"/>
          <w:spacing w:val="-34"/>
          <w:sz w:val="24"/>
          <w:szCs w:val="24"/>
        </w:rPr>
        <w:t xml:space="preserve"> </w:t>
      </w:r>
      <w:r>
        <w:rPr>
          <w:rFonts w:ascii="仿宋" w:hAnsi="仿宋" w:eastAsia="仿宋" w:cs="仿宋"/>
          <w:spacing w:val="-13"/>
          <w:sz w:val="24"/>
          <w:szCs w:val="24"/>
        </w:rPr>
        <w:t>15km/h</w:t>
      </w:r>
      <w:r>
        <w:rPr>
          <w:rFonts w:ascii="仿宋" w:hAnsi="仿宋" w:eastAsia="仿宋" w:cs="仿宋"/>
          <w:spacing w:val="3"/>
          <w:sz w:val="24"/>
          <w:szCs w:val="24"/>
        </w:rPr>
        <w:t>的设计时速。各路段路基宽度均为4.5m</w:t>
      </w:r>
      <w:r>
        <w:rPr>
          <w:rFonts w:ascii="仿宋" w:hAnsi="仿宋" w:eastAsia="仿宋" w:cs="仿宋"/>
          <w:spacing w:val="2"/>
          <w:sz w:val="24"/>
          <w:szCs w:val="24"/>
        </w:rPr>
        <w:t>，本次预测距离分别取距路中心线20m、</w:t>
      </w:r>
      <w:r>
        <w:rPr>
          <w:rFonts w:ascii="仿宋" w:hAnsi="仿宋" w:eastAsia="仿宋" w:cs="仿宋"/>
          <w:sz w:val="24"/>
          <w:szCs w:val="24"/>
        </w:rPr>
        <w:t xml:space="preserve"> </w:t>
      </w:r>
      <w:r>
        <w:rPr>
          <w:rFonts w:ascii="仿宋" w:hAnsi="仿宋" w:eastAsia="仿宋" w:cs="仿宋"/>
          <w:spacing w:val="-2"/>
          <w:sz w:val="24"/>
          <w:szCs w:val="24"/>
        </w:rPr>
        <w:t>30m、40m、50</w:t>
      </w:r>
      <w:r>
        <w:rPr>
          <w:rFonts w:ascii="仿宋" w:hAnsi="仿宋" w:eastAsia="仿宋" w:cs="仿宋"/>
          <w:spacing w:val="-16"/>
          <w:sz w:val="24"/>
          <w:szCs w:val="24"/>
        </w:rPr>
        <w:t xml:space="preserve"> </w:t>
      </w:r>
      <w:r>
        <w:rPr>
          <w:rFonts w:ascii="仿宋" w:hAnsi="仿宋" w:eastAsia="仿宋" w:cs="仿宋"/>
          <w:spacing w:val="-2"/>
          <w:sz w:val="24"/>
          <w:szCs w:val="24"/>
        </w:rPr>
        <w:t>m、60m、80m、100m、120m、160m</w:t>
      </w:r>
      <w:r>
        <w:rPr>
          <w:rFonts w:ascii="仿宋" w:hAnsi="仿宋" w:eastAsia="仿宋" w:cs="仿宋"/>
          <w:spacing w:val="-44"/>
          <w:sz w:val="24"/>
          <w:szCs w:val="24"/>
        </w:rPr>
        <w:t xml:space="preserve"> </w:t>
      </w:r>
      <w:r>
        <w:rPr>
          <w:rFonts w:ascii="仿宋" w:hAnsi="仿宋" w:eastAsia="仿宋" w:cs="仿宋"/>
          <w:spacing w:val="-2"/>
          <w:sz w:val="24"/>
          <w:szCs w:val="24"/>
        </w:rPr>
        <w:t>和</w:t>
      </w:r>
      <w:r>
        <w:rPr>
          <w:rFonts w:ascii="仿宋" w:hAnsi="仿宋" w:eastAsia="仿宋" w:cs="仿宋"/>
          <w:spacing w:val="-49"/>
          <w:sz w:val="24"/>
          <w:szCs w:val="24"/>
        </w:rPr>
        <w:t xml:space="preserve"> </w:t>
      </w:r>
      <w:r>
        <w:rPr>
          <w:rFonts w:ascii="仿宋" w:hAnsi="仿宋" w:eastAsia="仿宋" w:cs="仿宋"/>
          <w:spacing w:val="-2"/>
          <w:sz w:val="24"/>
          <w:szCs w:val="24"/>
        </w:rPr>
        <w:t>200m。预测结果见表</w:t>
      </w:r>
      <w:r>
        <w:rPr>
          <w:rFonts w:ascii="仿宋" w:hAnsi="仿宋" w:eastAsia="仿宋" w:cs="仿宋"/>
          <w:spacing w:val="-52"/>
          <w:sz w:val="24"/>
          <w:szCs w:val="24"/>
        </w:rPr>
        <w:t xml:space="preserve"> </w:t>
      </w:r>
      <w:r>
        <w:rPr>
          <w:rFonts w:ascii="仿宋" w:hAnsi="仿宋" w:eastAsia="仿宋" w:cs="仿宋"/>
          <w:spacing w:val="-2"/>
          <w:sz w:val="24"/>
          <w:szCs w:val="24"/>
        </w:rPr>
        <w:t>4.2-3。</w:t>
      </w:r>
    </w:p>
    <w:p w14:paraId="29462E54">
      <w:pPr>
        <w:spacing w:line="360" w:lineRule="auto"/>
        <w:rPr>
          <w:rFonts w:ascii="仿宋" w:hAnsi="仿宋" w:eastAsia="仿宋" w:cs="仿宋"/>
          <w:sz w:val="24"/>
          <w:szCs w:val="24"/>
        </w:rPr>
        <w:sectPr>
          <w:footerReference r:id="rId183" w:type="default"/>
          <w:pgSz w:w="11906" w:h="16839"/>
          <w:pgMar w:top="400" w:right="1716" w:bottom="1370" w:left="1785" w:header="0" w:footer="1207" w:gutter="0"/>
          <w:cols w:space="720" w:num="1"/>
        </w:sectPr>
      </w:pPr>
    </w:p>
    <w:p w14:paraId="5BCBD9FA">
      <w:pPr>
        <w:pStyle w:val="2"/>
        <w:spacing w:line="248" w:lineRule="auto"/>
        <w:rPr>
          <w:sz w:val="21"/>
        </w:rPr>
      </w:pPr>
    </w:p>
    <w:p w14:paraId="6E0C2A72">
      <w:pPr>
        <w:pStyle w:val="2"/>
        <w:spacing w:line="248" w:lineRule="auto"/>
        <w:rPr>
          <w:sz w:val="21"/>
        </w:rPr>
      </w:pPr>
    </w:p>
    <w:p w14:paraId="5E8CF056">
      <w:pPr>
        <w:pStyle w:val="2"/>
        <w:spacing w:line="248" w:lineRule="auto"/>
        <w:rPr>
          <w:sz w:val="21"/>
        </w:rPr>
      </w:pPr>
    </w:p>
    <w:p w14:paraId="13D37DF6">
      <w:pPr>
        <w:pStyle w:val="2"/>
        <w:spacing w:line="249" w:lineRule="auto"/>
        <w:rPr>
          <w:sz w:val="21"/>
        </w:rPr>
      </w:pPr>
    </w:p>
    <w:p w14:paraId="1295B257">
      <w:pPr>
        <w:spacing w:before="78" w:line="211" w:lineRule="auto"/>
        <w:ind w:left="694"/>
        <w:rPr>
          <w:rFonts w:ascii="仿宋" w:hAnsi="仿宋" w:eastAsia="仿宋" w:cs="仿宋"/>
          <w:sz w:val="24"/>
          <w:szCs w:val="24"/>
        </w:rPr>
      </w:pPr>
      <w:r>
        <w:rPr>
          <w:rFonts w:ascii="仿宋" w:hAnsi="仿宋" w:eastAsia="仿宋" w:cs="仿宋"/>
          <w:b/>
          <w:bCs/>
          <w:spacing w:val="-2"/>
          <w:sz w:val="24"/>
          <w:szCs w:val="24"/>
        </w:rPr>
        <w:t>表</w:t>
      </w:r>
      <w:r>
        <w:rPr>
          <w:rFonts w:ascii="仿宋" w:hAnsi="仿宋" w:eastAsia="仿宋" w:cs="仿宋"/>
          <w:spacing w:val="-52"/>
          <w:sz w:val="24"/>
          <w:szCs w:val="24"/>
        </w:rPr>
        <w:t xml:space="preserve"> </w:t>
      </w:r>
      <w:r>
        <w:rPr>
          <w:rFonts w:ascii="仿宋" w:hAnsi="仿宋" w:eastAsia="仿宋" w:cs="仿宋"/>
          <w:b/>
          <w:bCs/>
          <w:spacing w:val="-2"/>
          <w:sz w:val="24"/>
          <w:szCs w:val="24"/>
        </w:rPr>
        <w:t>4.2-3</w:t>
      </w:r>
      <w:r>
        <w:rPr>
          <w:rFonts w:ascii="仿宋" w:hAnsi="仿宋" w:eastAsia="仿宋" w:cs="仿宋"/>
          <w:spacing w:val="-2"/>
          <w:sz w:val="24"/>
          <w:szCs w:val="24"/>
        </w:rPr>
        <w:t xml:space="preserve">    </w:t>
      </w:r>
      <w:r>
        <w:rPr>
          <w:rFonts w:ascii="仿宋" w:hAnsi="仿宋" w:eastAsia="仿宋" w:cs="仿宋"/>
          <w:b/>
          <w:bCs/>
          <w:spacing w:val="-2"/>
          <w:sz w:val="24"/>
          <w:szCs w:val="24"/>
        </w:rPr>
        <w:t>各路段营运期与路中心线不同距离处的交</w:t>
      </w:r>
      <w:r>
        <w:rPr>
          <w:rFonts w:ascii="仿宋" w:hAnsi="仿宋" w:eastAsia="仿宋" w:cs="仿宋"/>
          <w:b/>
          <w:bCs/>
          <w:spacing w:val="-3"/>
          <w:sz w:val="24"/>
          <w:szCs w:val="24"/>
        </w:rPr>
        <w:t>通噪声贡献值</w:t>
      </w:r>
    </w:p>
    <w:tbl>
      <w:tblPr>
        <w:tblStyle w:val="5"/>
        <w:tblW w:w="851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6"/>
        <w:gridCol w:w="709"/>
        <w:gridCol w:w="709"/>
        <w:gridCol w:w="709"/>
        <w:gridCol w:w="709"/>
        <w:gridCol w:w="708"/>
        <w:gridCol w:w="709"/>
        <w:gridCol w:w="709"/>
        <w:gridCol w:w="709"/>
        <w:gridCol w:w="709"/>
        <w:gridCol w:w="709"/>
        <w:gridCol w:w="723"/>
      </w:tblGrid>
      <w:tr w14:paraId="1CE78D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415" w:type="dxa"/>
            <w:gridSpan w:val="2"/>
            <w:vMerge w:val="restart"/>
            <w:tcBorders>
              <w:top w:val="single" w:color="000000" w:sz="10" w:space="0"/>
              <w:left w:val="nil"/>
              <w:bottom w:val="nil"/>
            </w:tcBorders>
            <w:shd w:val="clear" w:color="auto" w:fill="F0F0F0"/>
            <w:vAlign w:val="top"/>
          </w:tcPr>
          <w:p w14:paraId="47927569">
            <w:pPr>
              <w:spacing w:before="215" w:line="232" w:lineRule="auto"/>
              <w:ind w:left="303"/>
              <w:rPr>
                <w:rFonts w:ascii="仿宋" w:hAnsi="仿宋" w:eastAsia="仿宋" w:cs="仿宋"/>
                <w:sz w:val="20"/>
                <w:szCs w:val="20"/>
              </w:rPr>
            </w:pPr>
            <w:r>
              <w:rPr>
                <w:rFonts w:ascii="仿宋" w:hAnsi="仿宋" w:eastAsia="仿宋" w:cs="仿宋"/>
                <w:spacing w:val="5"/>
                <w:sz w:val="20"/>
                <w:szCs w:val="20"/>
              </w:rPr>
              <w:t>预测时段</w:t>
            </w:r>
          </w:p>
        </w:tc>
        <w:tc>
          <w:tcPr>
            <w:tcW w:w="7103" w:type="dxa"/>
            <w:gridSpan w:val="10"/>
            <w:tcBorders>
              <w:top w:val="single" w:color="000000" w:sz="10" w:space="0"/>
              <w:right w:val="nil"/>
            </w:tcBorders>
            <w:vAlign w:val="top"/>
          </w:tcPr>
          <w:p w14:paraId="6C0A38F6">
            <w:pPr>
              <w:pStyle w:val="6"/>
              <w:spacing w:before="55" w:line="231" w:lineRule="auto"/>
              <w:ind w:left="1129"/>
              <w:rPr>
                <w:rFonts w:ascii="仿宋" w:hAnsi="仿宋" w:eastAsia="仿宋" w:cs="仿宋"/>
                <w:sz w:val="20"/>
                <w:szCs w:val="20"/>
              </w:rPr>
            </w:pPr>
            <w:r>
              <w:rPr>
                <w:rFonts w:ascii="仿宋" w:hAnsi="仿宋" w:eastAsia="仿宋" w:cs="仿宋"/>
                <w:spacing w:val="9"/>
                <w:sz w:val="20"/>
                <w:szCs w:val="20"/>
              </w:rPr>
              <w:t>路中心线外不同水平距离下的交通噪声贡献值（</w:t>
            </w:r>
            <w:r>
              <w:rPr>
                <w:sz w:val="20"/>
                <w:szCs w:val="20"/>
              </w:rPr>
              <w:t>dB</w:t>
            </w:r>
            <w:r>
              <w:rPr>
                <w:rFonts w:ascii="仿宋" w:hAnsi="仿宋" w:eastAsia="仿宋" w:cs="仿宋"/>
                <w:spacing w:val="9"/>
                <w:sz w:val="20"/>
                <w:szCs w:val="20"/>
              </w:rPr>
              <w:t>）</w:t>
            </w:r>
          </w:p>
        </w:tc>
      </w:tr>
      <w:tr w14:paraId="12EEE8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1415" w:type="dxa"/>
            <w:gridSpan w:val="2"/>
            <w:vMerge w:val="continue"/>
            <w:tcBorders>
              <w:top w:val="nil"/>
              <w:left w:val="nil"/>
            </w:tcBorders>
            <w:vAlign w:val="top"/>
          </w:tcPr>
          <w:p w14:paraId="718D39E5">
            <w:pPr>
              <w:rPr>
                <w:rFonts w:ascii="Arial"/>
                <w:sz w:val="21"/>
              </w:rPr>
            </w:pPr>
          </w:p>
        </w:tc>
        <w:tc>
          <w:tcPr>
            <w:tcW w:w="709" w:type="dxa"/>
            <w:vAlign w:val="top"/>
          </w:tcPr>
          <w:p w14:paraId="35E8BEDC">
            <w:pPr>
              <w:pStyle w:val="6"/>
              <w:spacing w:before="91" w:line="195" w:lineRule="auto"/>
              <w:ind w:left="170"/>
              <w:rPr>
                <w:sz w:val="20"/>
                <w:szCs w:val="20"/>
              </w:rPr>
            </w:pPr>
            <w:r>
              <w:rPr>
                <w:spacing w:val="4"/>
                <w:sz w:val="20"/>
                <w:szCs w:val="20"/>
              </w:rPr>
              <w:t>20m</w:t>
            </w:r>
          </w:p>
        </w:tc>
        <w:tc>
          <w:tcPr>
            <w:tcW w:w="709" w:type="dxa"/>
            <w:vAlign w:val="top"/>
          </w:tcPr>
          <w:p w14:paraId="486E25E6">
            <w:pPr>
              <w:pStyle w:val="6"/>
              <w:spacing w:before="91" w:line="195" w:lineRule="auto"/>
              <w:ind w:left="174"/>
              <w:rPr>
                <w:sz w:val="20"/>
                <w:szCs w:val="20"/>
              </w:rPr>
            </w:pPr>
            <w:r>
              <w:rPr>
                <w:spacing w:val="3"/>
                <w:sz w:val="20"/>
                <w:szCs w:val="20"/>
              </w:rPr>
              <w:t>30m</w:t>
            </w:r>
          </w:p>
        </w:tc>
        <w:tc>
          <w:tcPr>
            <w:tcW w:w="709" w:type="dxa"/>
            <w:vAlign w:val="top"/>
          </w:tcPr>
          <w:p w14:paraId="59698275">
            <w:pPr>
              <w:pStyle w:val="6"/>
              <w:spacing w:before="91" w:line="195" w:lineRule="auto"/>
              <w:ind w:left="167"/>
              <w:rPr>
                <w:sz w:val="20"/>
                <w:szCs w:val="20"/>
              </w:rPr>
            </w:pPr>
            <w:r>
              <w:rPr>
                <w:spacing w:val="4"/>
                <w:sz w:val="20"/>
                <w:szCs w:val="20"/>
              </w:rPr>
              <w:t>40m</w:t>
            </w:r>
          </w:p>
        </w:tc>
        <w:tc>
          <w:tcPr>
            <w:tcW w:w="708" w:type="dxa"/>
            <w:vAlign w:val="top"/>
          </w:tcPr>
          <w:p w14:paraId="17C45131">
            <w:pPr>
              <w:pStyle w:val="6"/>
              <w:spacing w:before="91" w:line="195" w:lineRule="auto"/>
              <w:ind w:left="175"/>
              <w:rPr>
                <w:sz w:val="20"/>
                <w:szCs w:val="20"/>
              </w:rPr>
            </w:pPr>
            <w:r>
              <w:rPr>
                <w:spacing w:val="2"/>
                <w:sz w:val="20"/>
                <w:szCs w:val="20"/>
              </w:rPr>
              <w:t>50m</w:t>
            </w:r>
          </w:p>
        </w:tc>
        <w:tc>
          <w:tcPr>
            <w:tcW w:w="709" w:type="dxa"/>
            <w:vAlign w:val="top"/>
          </w:tcPr>
          <w:p w14:paraId="58BDEACC">
            <w:pPr>
              <w:pStyle w:val="6"/>
              <w:spacing w:before="91" w:line="195" w:lineRule="auto"/>
              <w:ind w:left="174"/>
              <w:rPr>
                <w:sz w:val="20"/>
                <w:szCs w:val="20"/>
              </w:rPr>
            </w:pPr>
            <w:r>
              <w:rPr>
                <w:spacing w:val="3"/>
                <w:sz w:val="20"/>
                <w:szCs w:val="20"/>
              </w:rPr>
              <w:t>60m</w:t>
            </w:r>
          </w:p>
        </w:tc>
        <w:tc>
          <w:tcPr>
            <w:tcW w:w="709" w:type="dxa"/>
            <w:vAlign w:val="top"/>
          </w:tcPr>
          <w:p w14:paraId="45FA98AC">
            <w:pPr>
              <w:pStyle w:val="6"/>
              <w:spacing w:before="91" w:line="195" w:lineRule="auto"/>
              <w:ind w:left="180"/>
              <w:rPr>
                <w:sz w:val="20"/>
                <w:szCs w:val="20"/>
              </w:rPr>
            </w:pPr>
            <w:r>
              <w:rPr>
                <w:spacing w:val="1"/>
                <w:sz w:val="20"/>
                <w:szCs w:val="20"/>
              </w:rPr>
              <w:t>80m</w:t>
            </w:r>
          </w:p>
        </w:tc>
        <w:tc>
          <w:tcPr>
            <w:tcW w:w="709" w:type="dxa"/>
            <w:vAlign w:val="top"/>
          </w:tcPr>
          <w:p w14:paraId="33B1A97B">
            <w:pPr>
              <w:pStyle w:val="6"/>
              <w:spacing w:before="91" w:line="195" w:lineRule="auto"/>
              <w:ind w:left="137"/>
              <w:rPr>
                <w:sz w:val="20"/>
                <w:szCs w:val="20"/>
              </w:rPr>
            </w:pPr>
            <w:r>
              <w:rPr>
                <w:spacing w:val="-1"/>
                <w:sz w:val="20"/>
                <w:szCs w:val="20"/>
              </w:rPr>
              <w:t>100m</w:t>
            </w:r>
          </w:p>
        </w:tc>
        <w:tc>
          <w:tcPr>
            <w:tcW w:w="709" w:type="dxa"/>
            <w:vAlign w:val="top"/>
          </w:tcPr>
          <w:p w14:paraId="593CFC01">
            <w:pPr>
              <w:pStyle w:val="6"/>
              <w:spacing w:before="91" w:line="195" w:lineRule="auto"/>
              <w:ind w:left="136"/>
              <w:rPr>
                <w:sz w:val="20"/>
                <w:szCs w:val="20"/>
              </w:rPr>
            </w:pPr>
            <w:r>
              <w:rPr>
                <w:spacing w:val="-1"/>
                <w:sz w:val="20"/>
                <w:szCs w:val="20"/>
              </w:rPr>
              <w:t>120m</w:t>
            </w:r>
          </w:p>
        </w:tc>
        <w:tc>
          <w:tcPr>
            <w:tcW w:w="709" w:type="dxa"/>
            <w:vAlign w:val="top"/>
          </w:tcPr>
          <w:p w14:paraId="6C5CD684">
            <w:pPr>
              <w:pStyle w:val="6"/>
              <w:spacing w:before="91" w:line="195" w:lineRule="auto"/>
              <w:ind w:left="138"/>
              <w:rPr>
                <w:sz w:val="20"/>
                <w:szCs w:val="20"/>
              </w:rPr>
            </w:pPr>
            <w:r>
              <w:rPr>
                <w:spacing w:val="-1"/>
                <w:sz w:val="20"/>
                <w:szCs w:val="20"/>
              </w:rPr>
              <w:t>160m</w:t>
            </w:r>
          </w:p>
        </w:tc>
        <w:tc>
          <w:tcPr>
            <w:tcW w:w="723" w:type="dxa"/>
            <w:tcBorders>
              <w:right w:val="nil"/>
            </w:tcBorders>
            <w:vAlign w:val="top"/>
          </w:tcPr>
          <w:p w14:paraId="580906CC">
            <w:pPr>
              <w:pStyle w:val="6"/>
              <w:spacing w:before="91" w:line="195" w:lineRule="auto"/>
              <w:ind w:left="124"/>
              <w:rPr>
                <w:sz w:val="20"/>
                <w:szCs w:val="20"/>
              </w:rPr>
            </w:pPr>
            <w:r>
              <w:rPr>
                <w:spacing w:val="4"/>
                <w:sz w:val="20"/>
                <w:szCs w:val="20"/>
              </w:rPr>
              <w:t>200m</w:t>
            </w:r>
          </w:p>
        </w:tc>
      </w:tr>
      <w:tr w14:paraId="6EF4C7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706" w:type="dxa"/>
            <w:tcBorders>
              <w:left w:val="nil"/>
            </w:tcBorders>
            <w:shd w:val="clear" w:color="auto" w:fill="F0F0F0"/>
            <w:vAlign w:val="top"/>
          </w:tcPr>
          <w:p w14:paraId="2239BF0C">
            <w:pPr>
              <w:spacing w:before="124" w:line="232" w:lineRule="auto"/>
              <w:ind w:left="157"/>
              <w:rPr>
                <w:rFonts w:ascii="仿宋" w:hAnsi="仿宋" w:eastAsia="仿宋" w:cs="仿宋"/>
                <w:sz w:val="20"/>
                <w:szCs w:val="20"/>
              </w:rPr>
            </w:pPr>
            <w:r>
              <w:rPr>
                <w:rFonts w:ascii="仿宋" w:hAnsi="仿宋" w:eastAsia="仿宋" w:cs="仿宋"/>
                <w:spacing w:val="2"/>
                <w:sz w:val="20"/>
                <w:szCs w:val="20"/>
              </w:rPr>
              <w:t>近期</w:t>
            </w:r>
          </w:p>
        </w:tc>
        <w:tc>
          <w:tcPr>
            <w:tcW w:w="709" w:type="dxa"/>
            <w:shd w:val="clear" w:color="auto" w:fill="F0F0F0"/>
            <w:vAlign w:val="top"/>
          </w:tcPr>
          <w:p w14:paraId="3C4001C2">
            <w:pPr>
              <w:spacing w:before="124" w:line="232" w:lineRule="auto"/>
              <w:ind w:left="154"/>
              <w:rPr>
                <w:rFonts w:ascii="仿宋" w:hAnsi="仿宋" w:eastAsia="仿宋" w:cs="仿宋"/>
                <w:sz w:val="20"/>
                <w:szCs w:val="20"/>
              </w:rPr>
            </w:pPr>
            <w:r>
              <w:rPr>
                <w:rFonts w:ascii="仿宋" w:hAnsi="仿宋" w:eastAsia="仿宋" w:cs="仿宋"/>
                <w:spacing w:val="2"/>
                <w:sz w:val="20"/>
                <w:szCs w:val="20"/>
              </w:rPr>
              <w:t>昼间</w:t>
            </w:r>
          </w:p>
        </w:tc>
        <w:tc>
          <w:tcPr>
            <w:tcW w:w="709" w:type="dxa"/>
            <w:vAlign w:val="top"/>
          </w:tcPr>
          <w:p w14:paraId="3CD15904">
            <w:pPr>
              <w:pStyle w:val="6"/>
              <w:spacing w:before="163" w:line="195" w:lineRule="auto"/>
              <w:ind w:left="124"/>
              <w:rPr>
                <w:sz w:val="20"/>
                <w:szCs w:val="20"/>
              </w:rPr>
            </w:pPr>
            <w:r>
              <w:rPr>
                <w:spacing w:val="2"/>
                <w:sz w:val="20"/>
                <w:szCs w:val="20"/>
              </w:rPr>
              <w:t>37.50</w:t>
            </w:r>
          </w:p>
        </w:tc>
        <w:tc>
          <w:tcPr>
            <w:tcW w:w="709" w:type="dxa"/>
            <w:vAlign w:val="top"/>
          </w:tcPr>
          <w:p w14:paraId="1BFC37CD">
            <w:pPr>
              <w:pStyle w:val="6"/>
              <w:spacing w:before="163" w:line="195" w:lineRule="auto"/>
              <w:ind w:left="123"/>
              <w:rPr>
                <w:sz w:val="20"/>
                <w:szCs w:val="20"/>
              </w:rPr>
            </w:pPr>
            <w:r>
              <w:rPr>
                <w:spacing w:val="3"/>
                <w:sz w:val="20"/>
                <w:szCs w:val="20"/>
              </w:rPr>
              <w:t>33.56</w:t>
            </w:r>
          </w:p>
        </w:tc>
        <w:tc>
          <w:tcPr>
            <w:tcW w:w="709" w:type="dxa"/>
            <w:vAlign w:val="top"/>
          </w:tcPr>
          <w:p w14:paraId="186F677C">
            <w:pPr>
              <w:pStyle w:val="6"/>
              <w:spacing w:before="163" w:line="195" w:lineRule="auto"/>
              <w:ind w:left="125"/>
              <w:rPr>
                <w:sz w:val="20"/>
                <w:szCs w:val="20"/>
              </w:rPr>
            </w:pPr>
            <w:r>
              <w:rPr>
                <w:spacing w:val="2"/>
                <w:sz w:val="20"/>
                <w:szCs w:val="20"/>
              </w:rPr>
              <w:t>31.12</w:t>
            </w:r>
          </w:p>
        </w:tc>
        <w:tc>
          <w:tcPr>
            <w:tcW w:w="708" w:type="dxa"/>
            <w:vAlign w:val="top"/>
          </w:tcPr>
          <w:p w14:paraId="4A727DB2">
            <w:pPr>
              <w:pStyle w:val="6"/>
              <w:spacing w:before="163" w:line="195" w:lineRule="auto"/>
              <w:ind w:left="119"/>
              <w:rPr>
                <w:sz w:val="20"/>
                <w:szCs w:val="20"/>
              </w:rPr>
            </w:pPr>
            <w:r>
              <w:rPr>
                <w:spacing w:val="3"/>
                <w:sz w:val="20"/>
                <w:szCs w:val="20"/>
              </w:rPr>
              <w:t>29.34</w:t>
            </w:r>
          </w:p>
        </w:tc>
        <w:tc>
          <w:tcPr>
            <w:tcW w:w="709" w:type="dxa"/>
            <w:vAlign w:val="top"/>
          </w:tcPr>
          <w:p w14:paraId="145F0B2A">
            <w:pPr>
              <w:pStyle w:val="6"/>
              <w:spacing w:before="163" w:line="195" w:lineRule="auto"/>
              <w:ind w:left="119"/>
              <w:rPr>
                <w:sz w:val="20"/>
                <w:szCs w:val="20"/>
              </w:rPr>
            </w:pPr>
            <w:r>
              <w:rPr>
                <w:spacing w:val="3"/>
                <w:sz w:val="20"/>
                <w:szCs w:val="20"/>
              </w:rPr>
              <w:t>27.94</w:t>
            </w:r>
          </w:p>
        </w:tc>
        <w:tc>
          <w:tcPr>
            <w:tcW w:w="709" w:type="dxa"/>
            <w:vAlign w:val="top"/>
          </w:tcPr>
          <w:p w14:paraId="4EFA328A">
            <w:pPr>
              <w:pStyle w:val="6"/>
              <w:spacing w:before="163" w:line="195" w:lineRule="auto"/>
              <w:ind w:left="121"/>
              <w:rPr>
                <w:sz w:val="20"/>
                <w:szCs w:val="20"/>
              </w:rPr>
            </w:pPr>
            <w:r>
              <w:rPr>
                <w:spacing w:val="3"/>
                <w:sz w:val="20"/>
                <w:szCs w:val="20"/>
              </w:rPr>
              <w:t>25.76</w:t>
            </w:r>
          </w:p>
        </w:tc>
        <w:tc>
          <w:tcPr>
            <w:tcW w:w="709" w:type="dxa"/>
            <w:vAlign w:val="top"/>
          </w:tcPr>
          <w:p w14:paraId="4B248097">
            <w:pPr>
              <w:pStyle w:val="6"/>
              <w:spacing w:before="163" w:line="195" w:lineRule="auto"/>
              <w:ind w:left="120"/>
              <w:rPr>
                <w:sz w:val="20"/>
                <w:szCs w:val="20"/>
              </w:rPr>
            </w:pPr>
            <w:r>
              <w:rPr>
                <w:spacing w:val="3"/>
                <w:sz w:val="20"/>
                <w:szCs w:val="20"/>
              </w:rPr>
              <w:t>24.10</w:t>
            </w:r>
          </w:p>
        </w:tc>
        <w:tc>
          <w:tcPr>
            <w:tcW w:w="709" w:type="dxa"/>
            <w:vAlign w:val="top"/>
          </w:tcPr>
          <w:p w14:paraId="70D2A3B6">
            <w:pPr>
              <w:pStyle w:val="6"/>
              <w:spacing w:before="163" w:line="195" w:lineRule="auto"/>
              <w:ind w:left="121"/>
              <w:rPr>
                <w:sz w:val="20"/>
                <w:szCs w:val="20"/>
              </w:rPr>
            </w:pPr>
            <w:r>
              <w:rPr>
                <w:spacing w:val="3"/>
                <w:sz w:val="20"/>
                <w:szCs w:val="20"/>
              </w:rPr>
              <w:t>22.75</w:t>
            </w:r>
          </w:p>
        </w:tc>
        <w:tc>
          <w:tcPr>
            <w:tcW w:w="709" w:type="dxa"/>
            <w:vAlign w:val="top"/>
          </w:tcPr>
          <w:p w14:paraId="1E02B309">
            <w:pPr>
              <w:pStyle w:val="6"/>
              <w:spacing w:before="163" w:line="195" w:lineRule="auto"/>
              <w:ind w:left="120"/>
              <w:rPr>
                <w:sz w:val="20"/>
                <w:szCs w:val="20"/>
              </w:rPr>
            </w:pPr>
            <w:r>
              <w:rPr>
                <w:spacing w:val="3"/>
                <w:sz w:val="20"/>
                <w:szCs w:val="20"/>
              </w:rPr>
              <w:t>20.61</w:t>
            </w:r>
          </w:p>
        </w:tc>
        <w:tc>
          <w:tcPr>
            <w:tcW w:w="723" w:type="dxa"/>
            <w:tcBorders>
              <w:right w:val="nil"/>
            </w:tcBorders>
            <w:vAlign w:val="top"/>
          </w:tcPr>
          <w:p w14:paraId="1040D672">
            <w:pPr>
              <w:pStyle w:val="6"/>
              <w:spacing w:before="163" w:line="195" w:lineRule="auto"/>
              <w:ind w:left="146"/>
              <w:rPr>
                <w:sz w:val="20"/>
                <w:szCs w:val="20"/>
              </w:rPr>
            </w:pPr>
            <w:r>
              <w:rPr>
                <w:spacing w:val="-1"/>
                <w:sz w:val="20"/>
                <w:szCs w:val="20"/>
              </w:rPr>
              <w:t>18.95</w:t>
            </w:r>
          </w:p>
        </w:tc>
      </w:tr>
      <w:tr w14:paraId="03D956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2" w:hRule="atLeast"/>
        </w:trPr>
        <w:tc>
          <w:tcPr>
            <w:tcW w:w="706" w:type="dxa"/>
            <w:tcBorders>
              <w:left w:val="nil"/>
            </w:tcBorders>
            <w:shd w:val="clear" w:color="auto" w:fill="F0F0F0"/>
            <w:vAlign w:val="top"/>
          </w:tcPr>
          <w:p w14:paraId="4C438F5C">
            <w:pPr>
              <w:spacing w:before="129" w:line="232" w:lineRule="auto"/>
              <w:ind w:left="157"/>
              <w:rPr>
                <w:rFonts w:ascii="仿宋" w:hAnsi="仿宋" w:eastAsia="仿宋" w:cs="仿宋"/>
                <w:sz w:val="20"/>
                <w:szCs w:val="20"/>
              </w:rPr>
            </w:pPr>
            <w:r>
              <w:rPr>
                <w:rFonts w:ascii="仿宋" w:hAnsi="仿宋" w:eastAsia="仿宋" w:cs="仿宋"/>
                <w:spacing w:val="2"/>
                <w:sz w:val="20"/>
                <w:szCs w:val="20"/>
              </w:rPr>
              <w:t>近期</w:t>
            </w:r>
          </w:p>
        </w:tc>
        <w:tc>
          <w:tcPr>
            <w:tcW w:w="709" w:type="dxa"/>
            <w:shd w:val="clear" w:color="auto" w:fill="F0F0F0"/>
            <w:vAlign w:val="top"/>
          </w:tcPr>
          <w:p w14:paraId="621AB463">
            <w:pPr>
              <w:spacing w:before="130" w:line="231" w:lineRule="auto"/>
              <w:ind w:left="154"/>
              <w:rPr>
                <w:rFonts w:ascii="仿宋" w:hAnsi="仿宋" w:eastAsia="仿宋" w:cs="仿宋"/>
                <w:sz w:val="20"/>
                <w:szCs w:val="20"/>
              </w:rPr>
            </w:pPr>
            <w:r>
              <w:rPr>
                <w:rFonts w:ascii="仿宋" w:hAnsi="仿宋" w:eastAsia="仿宋" w:cs="仿宋"/>
                <w:spacing w:val="2"/>
                <w:sz w:val="20"/>
                <w:szCs w:val="20"/>
              </w:rPr>
              <w:t>夜间</w:t>
            </w:r>
          </w:p>
        </w:tc>
        <w:tc>
          <w:tcPr>
            <w:tcW w:w="709" w:type="dxa"/>
            <w:vAlign w:val="top"/>
          </w:tcPr>
          <w:p w14:paraId="192B6B33">
            <w:pPr>
              <w:pStyle w:val="6"/>
              <w:spacing w:before="166" w:line="195" w:lineRule="auto"/>
              <w:ind w:left="124"/>
              <w:rPr>
                <w:sz w:val="20"/>
                <w:szCs w:val="20"/>
              </w:rPr>
            </w:pPr>
            <w:r>
              <w:rPr>
                <w:spacing w:val="2"/>
                <w:sz w:val="20"/>
                <w:szCs w:val="20"/>
              </w:rPr>
              <w:t>36.40</w:t>
            </w:r>
          </w:p>
        </w:tc>
        <w:tc>
          <w:tcPr>
            <w:tcW w:w="709" w:type="dxa"/>
            <w:vAlign w:val="top"/>
          </w:tcPr>
          <w:p w14:paraId="3FB544A7">
            <w:pPr>
              <w:pStyle w:val="6"/>
              <w:spacing w:before="166" w:line="195" w:lineRule="auto"/>
              <w:ind w:left="123"/>
              <w:rPr>
                <w:sz w:val="20"/>
                <w:szCs w:val="20"/>
              </w:rPr>
            </w:pPr>
            <w:r>
              <w:rPr>
                <w:spacing w:val="3"/>
                <w:sz w:val="20"/>
                <w:szCs w:val="20"/>
              </w:rPr>
              <w:t>32.46</w:t>
            </w:r>
          </w:p>
        </w:tc>
        <w:tc>
          <w:tcPr>
            <w:tcW w:w="709" w:type="dxa"/>
            <w:vAlign w:val="top"/>
          </w:tcPr>
          <w:p w14:paraId="24B0EFD1">
            <w:pPr>
              <w:pStyle w:val="6"/>
              <w:spacing w:before="166" w:line="195" w:lineRule="auto"/>
              <w:ind w:left="125"/>
              <w:rPr>
                <w:sz w:val="20"/>
                <w:szCs w:val="20"/>
              </w:rPr>
            </w:pPr>
            <w:r>
              <w:rPr>
                <w:spacing w:val="2"/>
                <w:sz w:val="20"/>
                <w:szCs w:val="20"/>
              </w:rPr>
              <w:t>30.02</w:t>
            </w:r>
          </w:p>
        </w:tc>
        <w:tc>
          <w:tcPr>
            <w:tcW w:w="708" w:type="dxa"/>
            <w:vAlign w:val="top"/>
          </w:tcPr>
          <w:p w14:paraId="4328DDC9">
            <w:pPr>
              <w:pStyle w:val="6"/>
              <w:spacing w:before="166" w:line="195" w:lineRule="auto"/>
              <w:ind w:left="119"/>
              <w:rPr>
                <w:sz w:val="20"/>
                <w:szCs w:val="20"/>
              </w:rPr>
            </w:pPr>
            <w:r>
              <w:rPr>
                <w:spacing w:val="3"/>
                <w:sz w:val="20"/>
                <w:szCs w:val="20"/>
              </w:rPr>
              <w:t>28.24</w:t>
            </w:r>
          </w:p>
        </w:tc>
        <w:tc>
          <w:tcPr>
            <w:tcW w:w="709" w:type="dxa"/>
            <w:vAlign w:val="top"/>
          </w:tcPr>
          <w:p w14:paraId="49A2D744">
            <w:pPr>
              <w:pStyle w:val="6"/>
              <w:spacing w:before="166" w:line="195" w:lineRule="auto"/>
              <w:ind w:left="119"/>
              <w:rPr>
                <w:sz w:val="20"/>
                <w:szCs w:val="20"/>
              </w:rPr>
            </w:pPr>
            <w:r>
              <w:rPr>
                <w:spacing w:val="3"/>
                <w:sz w:val="20"/>
                <w:szCs w:val="20"/>
              </w:rPr>
              <w:t>26.84</w:t>
            </w:r>
          </w:p>
        </w:tc>
        <w:tc>
          <w:tcPr>
            <w:tcW w:w="709" w:type="dxa"/>
            <w:vAlign w:val="top"/>
          </w:tcPr>
          <w:p w14:paraId="60811339">
            <w:pPr>
              <w:pStyle w:val="6"/>
              <w:spacing w:before="166" w:line="195" w:lineRule="auto"/>
              <w:ind w:left="121"/>
              <w:rPr>
                <w:sz w:val="20"/>
                <w:szCs w:val="20"/>
              </w:rPr>
            </w:pPr>
            <w:r>
              <w:rPr>
                <w:spacing w:val="3"/>
                <w:sz w:val="20"/>
                <w:szCs w:val="20"/>
              </w:rPr>
              <w:t>24.67</w:t>
            </w:r>
          </w:p>
        </w:tc>
        <w:tc>
          <w:tcPr>
            <w:tcW w:w="709" w:type="dxa"/>
            <w:vAlign w:val="top"/>
          </w:tcPr>
          <w:p w14:paraId="167DFA63">
            <w:pPr>
              <w:pStyle w:val="6"/>
              <w:spacing w:before="166" w:line="195" w:lineRule="auto"/>
              <w:ind w:left="120"/>
              <w:rPr>
                <w:sz w:val="20"/>
                <w:szCs w:val="20"/>
              </w:rPr>
            </w:pPr>
            <w:r>
              <w:rPr>
                <w:spacing w:val="3"/>
                <w:sz w:val="20"/>
                <w:szCs w:val="20"/>
              </w:rPr>
              <w:t>23.00</w:t>
            </w:r>
          </w:p>
        </w:tc>
        <w:tc>
          <w:tcPr>
            <w:tcW w:w="709" w:type="dxa"/>
            <w:vAlign w:val="top"/>
          </w:tcPr>
          <w:p w14:paraId="726F5829">
            <w:pPr>
              <w:pStyle w:val="6"/>
              <w:spacing w:before="166" w:line="195" w:lineRule="auto"/>
              <w:ind w:left="121"/>
              <w:rPr>
                <w:sz w:val="20"/>
                <w:szCs w:val="20"/>
              </w:rPr>
            </w:pPr>
            <w:r>
              <w:rPr>
                <w:spacing w:val="3"/>
                <w:sz w:val="20"/>
                <w:szCs w:val="20"/>
              </w:rPr>
              <w:t>21.65</w:t>
            </w:r>
          </w:p>
        </w:tc>
        <w:tc>
          <w:tcPr>
            <w:tcW w:w="709" w:type="dxa"/>
            <w:vAlign w:val="top"/>
          </w:tcPr>
          <w:p w14:paraId="27BFAFF0">
            <w:pPr>
              <w:pStyle w:val="6"/>
              <w:spacing w:before="166" w:line="195" w:lineRule="auto"/>
              <w:ind w:left="140"/>
              <w:rPr>
                <w:sz w:val="20"/>
                <w:szCs w:val="20"/>
              </w:rPr>
            </w:pPr>
            <w:r>
              <w:rPr>
                <w:spacing w:val="-1"/>
                <w:sz w:val="20"/>
                <w:szCs w:val="20"/>
              </w:rPr>
              <w:t>19.51</w:t>
            </w:r>
          </w:p>
        </w:tc>
        <w:tc>
          <w:tcPr>
            <w:tcW w:w="723" w:type="dxa"/>
            <w:tcBorders>
              <w:right w:val="nil"/>
            </w:tcBorders>
            <w:vAlign w:val="top"/>
          </w:tcPr>
          <w:p w14:paraId="17572CB6">
            <w:pPr>
              <w:pStyle w:val="6"/>
              <w:spacing w:before="166" w:line="195" w:lineRule="auto"/>
              <w:ind w:left="146"/>
              <w:rPr>
                <w:sz w:val="20"/>
                <w:szCs w:val="20"/>
              </w:rPr>
            </w:pPr>
            <w:r>
              <w:rPr>
                <w:spacing w:val="-1"/>
                <w:sz w:val="20"/>
                <w:szCs w:val="20"/>
              </w:rPr>
              <w:t>17.85</w:t>
            </w:r>
          </w:p>
        </w:tc>
      </w:tr>
      <w:tr w14:paraId="760F4A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2" w:hRule="atLeast"/>
        </w:trPr>
        <w:tc>
          <w:tcPr>
            <w:tcW w:w="706" w:type="dxa"/>
            <w:tcBorders>
              <w:left w:val="nil"/>
            </w:tcBorders>
            <w:shd w:val="clear" w:color="auto" w:fill="F0F0F0"/>
            <w:vAlign w:val="top"/>
          </w:tcPr>
          <w:p w14:paraId="2DE22089">
            <w:pPr>
              <w:spacing w:before="133" w:line="231" w:lineRule="auto"/>
              <w:ind w:left="184"/>
              <w:rPr>
                <w:rFonts w:ascii="仿宋" w:hAnsi="仿宋" w:eastAsia="仿宋" w:cs="仿宋"/>
                <w:sz w:val="20"/>
                <w:szCs w:val="20"/>
              </w:rPr>
            </w:pPr>
            <w:r>
              <w:rPr>
                <w:rFonts w:ascii="仿宋" w:hAnsi="仿宋" w:eastAsia="仿宋" w:cs="仿宋"/>
                <w:spacing w:val="-12"/>
                <w:sz w:val="20"/>
                <w:szCs w:val="20"/>
              </w:rPr>
              <w:t>中期</w:t>
            </w:r>
          </w:p>
        </w:tc>
        <w:tc>
          <w:tcPr>
            <w:tcW w:w="709" w:type="dxa"/>
            <w:shd w:val="clear" w:color="auto" w:fill="F0F0F0"/>
            <w:vAlign w:val="top"/>
          </w:tcPr>
          <w:p w14:paraId="0EDD195C">
            <w:pPr>
              <w:spacing w:before="133" w:line="232" w:lineRule="auto"/>
              <w:ind w:left="154"/>
              <w:rPr>
                <w:rFonts w:ascii="仿宋" w:hAnsi="仿宋" w:eastAsia="仿宋" w:cs="仿宋"/>
                <w:sz w:val="20"/>
                <w:szCs w:val="20"/>
              </w:rPr>
            </w:pPr>
            <w:r>
              <w:rPr>
                <w:rFonts w:ascii="仿宋" w:hAnsi="仿宋" w:eastAsia="仿宋" w:cs="仿宋"/>
                <w:spacing w:val="2"/>
                <w:sz w:val="20"/>
                <w:szCs w:val="20"/>
              </w:rPr>
              <w:t>昼间</w:t>
            </w:r>
          </w:p>
        </w:tc>
        <w:tc>
          <w:tcPr>
            <w:tcW w:w="709" w:type="dxa"/>
            <w:vAlign w:val="top"/>
          </w:tcPr>
          <w:p w14:paraId="247F3180">
            <w:pPr>
              <w:pStyle w:val="6"/>
              <w:spacing w:before="169" w:line="195" w:lineRule="auto"/>
              <w:ind w:left="124"/>
              <w:rPr>
                <w:sz w:val="20"/>
                <w:szCs w:val="20"/>
              </w:rPr>
            </w:pPr>
            <w:r>
              <w:rPr>
                <w:spacing w:val="2"/>
                <w:sz w:val="20"/>
                <w:szCs w:val="20"/>
              </w:rPr>
              <w:t>39.77</w:t>
            </w:r>
          </w:p>
        </w:tc>
        <w:tc>
          <w:tcPr>
            <w:tcW w:w="709" w:type="dxa"/>
            <w:vAlign w:val="top"/>
          </w:tcPr>
          <w:p w14:paraId="16A6E0DA">
            <w:pPr>
              <w:pStyle w:val="6"/>
              <w:spacing w:before="169" w:line="195" w:lineRule="auto"/>
              <w:ind w:left="123"/>
              <w:rPr>
                <w:sz w:val="20"/>
                <w:szCs w:val="20"/>
              </w:rPr>
            </w:pPr>
            <w:r>
              <w:rPr>
                <w:spacing w:val="3"/>
                <w:sz w:val="20"/>
                <w:szCs w:val="20"/>
              </w:rPr>
              <w:t>35.83</w:t>
            </w:r>
          </w:p>
        </w:tc>
        <w:tc>
          <w:tcPr>
            <w:tcW w:w="709" w:type="dxa"/>
            <w:vAlign w:val="top"/>
          </w:tcPr>
          <w:p w14:paraId="2DF2CB5A">
            <w:pPr>
              <w:pStyle w:val="6"/>
              <w:spacing w:before="169" w:line="195" w:lineRule="auto"/>
              <w:ind w:left="125"/>
              <w:rPr>
                <w:sz w:val="20"/>
                <w:szCs w:val="20"/>
              </w:rPr>
            </w:pPr>
            <w:r>
              <w:rPr>
                <w:spacing w:val="2"/>
                <w:sz w:val="20"/>
                <w:szCs w:val="20"/>
              </w:rPr>
              <w:t>33.39</w:t>
            </w:r>
          </w:p>
        </w:tc>
        <w:tc>
          <w:tcPr>
            <w:tcW w:w="708" w:type="dxa"/>
            <w:vAlign w:val="top"/>
          </w:tcPr>
          <w:p w14:paraId="6E10C324">
            <w:pPr>
              <w:pStyle w:val="6"/>
              <w:spacing w:before="169" w:line="195" w:lineRule="auto"/>
              <w:ind w:left="124"/>
              <w:rPr>
                <w:sz w:val="20"/>
                <w:szCs w:val="20"/>
              </w:rPr>
            </w:pPr>
            <w:r>
              <w:rPr>
                <w:spacing w:val="3"/>
                <w:sz w:val="20"/>
                <w:szCs w:val="20"/>
              </w:rPr>
              <w:t>31.61</w:t>
            </w:r>
          </w:p>
        </w:tc>
        <w:tc>
          <w:tcPr>
            <w:tcW w:w="709" w:type="dxa"/>
            <w:vAlign w:val="top"/>
          </w:tcPr>
          <w:p w14:paraId="19CC28DE">
            <w:pPr>
              <w:pStyle w:val="6"/>
              <w:spacing w:before="169" w:line="195" w:lineRule="auto"/>
              <w:ind w:left="124"/>
              <w:rPr>
                <w:sz w:val="20"/>
                <w:szCs w:val="20"/>
              </w:rPr>
            </w:pPr>
            <w:r>
              <w:rPr>
                <w:spacing w:val="3"/>
                <w:sz w:val="20"/>
                <w:szCs w:val="20"/>
              </w:rPr>
              <w:t>30.21</w:t>
            </w:r>
          </w:p>
        </w:tc>
        <w:tc>
          <w:tcPr>
            <w:tcW w:w="709" w:type="dxa"/>
            <w:vAlign w:val="top"/>
          </w:tcPr>
          <w:p w14:paraId="0A9AE7A1">
            <w:pPr>
              <w:pStyle w:val="6"/>
              <w:spacing w:before="169" w:line="195" w:lineRule="auto"/>
              <w:ind w:left="121"/>
              <w:rPr>
                <w:sz w:val="20"/>
                <w:szCs w:val="20"/>
              </w:rPr>
            </w:pPr>
            <w:r>
              <w:rPr>
                <w:spacing w:val="3"/>
                <w:sz w:val="20"/>
                <w:szCs w:val="20"/>
              </w:rPr>
              <w:t>28.04</w:t>
            </w:r>
          </w:p>
        </w:tc>
        <w:tc>
          <w:tcPr>
            <w:tcW w:w="709" w:type="dxa"/>
            <w:vAlign w:val="top"/>
          </w:tcPr>
          <w:p w14:paraId="46EE6030">
            <w:pPr>
              <w:pStyle w:val="6"/>
              <w:spacing w:before="169" w:line="195" w:lineRule="auto"/>
              <w:ind w:left="120"/>
              <w:rPr>
                <w:sz w:val="20"/>
                <w:szCs w:val="20"/>
              </w:rPr>
            </w:pPr>
            <w:r>
              <w:rPr>
                <w:spacing w:val="3"/>
                <w:sz w:val="20"/>
                <w:szCs w:val="20"/>
              </w:rPr>
              <w:t>26.37</w:t>
            </w:r>
          </w:p>
        </w:tc>
        <w:tc>
          <w:tcPr>
            <w:tcW w:w="709" w:type="dxa"/>
            <w:vAlign w:val="top"/>
          </w:tcPr>
          <w:p w14:paraId="02C111E7">
            <w:pPr>
              <w:pStyle w:val="6"/>
              <w:spacing w:before="169" w:line="195" w:lineRule="auto"/>
              <w:ind w:left="121"/>
              <w:rPr>
                <w:sz w:val="20"/>
                <w:szCs w:val="20"/>
              </w:rPr>
            </w:pPr>
            <w:r>
              <w:rPr>
                <w:spacing w:val="3"/>
                <w:sz w:val="20"/>
                <w:szCs w:val="20"/>
              </w:rPr>
              <w:t>25.02</w:t>
            </w:r>
          </w:p>
        </w:tc>
        <w:tc>
          <w:tcPr>
            <w:tcW w:w="709" w:type="dxa"/>
            <w:vAlign w:val="top"/>
          </w:tcPr>
          <w:p w14:paraId="4E7B5831">
            <w:pPr>
              <w:pStyle w:val="6"/>
              <w:spacing w:before="169" w:line="195" w:lineRule="auto"/>
              <w:ind w:left="120"/>
              <w:rPr>
                <w:sz w:val="20"/>
                <w:szCs w:val="20"/>
              </w:rPr>
            </w:pPr>
            <w:r>
              <w:rPr>
                <w:spacing w:val="3"/>
                <w:sz w:val="20"/>
                <w:szCs w:val="20"/>
              </w:rPr>
              <w:t>22.88</w:t>
            </w:r>
          </w:p>
        </w:tc>
        <w:tc>
          <w:tcPr>
            <w:tcW w:w="723" w:type="dxa"/>
            <w:tcBorders>
              <w:right w:val="nil"/>
            </w:tcBorders>
            <w:vAlign w:val="top"/>
          </w:tcPr>
          <w:p w14:paraId="466EF88B">
            <w:pPr>
              <w:pStyle w:val="6"/>
              <w:spacing w:before="169" w:line="195" w:lineRule="auto"/>
              <w:ind w:left="126"/>
              <w:rPr>
                <w:sz w:val="20"/>
                <w:szCs w:val="20"/>
              </w:rPr>
            </w:pPr>
            <w:r>
              <w:rPr>
                <w:spacing w:val="3"/>
                <w:sz w:val="20"/>
                <w:szCs w:val="20"/>
              </w:rPr>
              <w:t>21.22</w:t>
            </w:r>
          </w:p>
        </w:tc>
      </w:tr>
      <w:tr w14:paraId="555285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2" w:hRule="atLeast"/>
        </w:trPr>
        <w:tc>
          <w:tcPr>
            <w:tcW w:w="706" w:type="dxa"/>
            <w:tcBorders>
              <w:left w:val="nil"/>
            </w:tcBorders>
            <w:shd w:val="clear" w:color="auto" w:fill="F0F0F0"/>
            <w:vAlign w:val="top"/>
          </w:tcPr>
          <w:p w14:paraId="73F5FC77">
            <w:pPr>
              <w:spacing w:before="135" w:line="231" w:lineRule="auto"/>
              <w:ind w:left="184"/>
              <w:rPr>
                <w:rFonts w:ascii="仿宋" w:hAnsi="仿宋" w:eastAsia="仿宋" w:cs="仿宋"/>
                <w:sz w:val="20"/>
                <w:szCs w:val="20"/>
              </w:rPr>
            </w:pPr>
            <w:r>
              <w:rPr>
                <w:rFonts w:ascii="仿宋" w:hAnsi="仿宋" w:eastAsia="仿宋" w:cs="仿宋"/>
                <w:spacing w:val="-12"/>
                <w:sz w:val="20"/>
                <w:szCs w:val="20"/>
              </w:rPr>
              <w:t>中期</w:t>
            </w:r>
          </w:p>
        </w:tc>
        <w:tc>
          <w:tcPr>
            <w:tcW w:w="709" w:type="dxa"/>
            <w:shd w:val="clear" w:color="auto" w:fill="F0F0F0"/>
            <w:vAlign w:val="top"/>
          </w:tcPr>
          <w:p w14:paraId="6BE9A2B5">
            <w:pPr>
              <w:spacing w:before="135" w:line="231" w:lineRule="auto"/>
              <w:ind w:left="154"/>
              <w:rPr>
                <w:rFonts w:ascii="仿宋" w:hAnsi="仿宋" w:eastAsia="仿宋" w:cs="仿宋"/>
                <w:sz w:val="20"/>
                <w:szCs w:val="20"/>
              </w:rPr>
            </w:pPr>
            <w:r>
              <w:rPr>
                <w:rFonts w:ascii="仿宋" w:hAnsi="仿宋" w:eastAsia="仿宋" w:cs="仿宋"/>
                <w:spacing w:val="2"/>
                <w:sz w:val="20"/>
                <w:szCs w:val="20"/>
              </w:rPr>
              <w:t>夜间</w:t>
            </w:r>
          </w:p>
        </w:tc>
        <w:tc>
          <w:tcPr>
            <w:tcW w:w="709" w:type="dxa"/>
            <w:vAlign w:val="top"/>
          </w:tcPr>
          <w:p w14:paraId="6CDB5EF8">
            <w:pPr>
              <w:pStyle w:val="6"/>
              <w:spacing w:before="173" w:line="195" w:lineRule="auto"/>
              <w:ind w:left="124"/>
              <w:rPr>
                <w:sz w:val="20"/>
                <w:szCs w:val="20"/>
              </w:rPr>
            </w:pPr>
            <w:r>
              <w:rPr>
                <w:spacing w:val="2"/>
                <w:sz w:val="20"/>
                <w:szCs w:val="20"/>
              </w:rPr>
              <w:t>36.88</w:t>
            </w:r>
          </w:p>
        </w:tc>
        <w:tc>
          <w:tcPr>
            <w:tcW w:w="709" w:type="dxa"/>
            <w:vAlign w:val="top"/>
          </w:tcPr>
          <w:p w14:paraId="63E13B15">
            <w:pPr>
              <w:pStyle w:val="6"/>
              <w:spacing w:before="173" w:line="195" w:lineRule="auto"/>
              <w:ind w:left="123"/>
              <w:rPr>
                <w:sz w:val="20"/>
                <w:szCs w:val="20"/>
              </w:rPr>
            </w:pPr>
            <w:r>
              <w:rPr>
                <w:spacing w:val="3"/>
                <w:sz w:val="20"/>
                <w:szCs w:val="20"/>
              </w:rPr>
              <w:t>32.93</w:t>
            </w:r>
          </w:p>
        </w:tc>
        <w:tc>
          <w:tcPr>
            <w:tcW w:w="709" w:type="dxa"/>
            <w:vAlign w:val="top"/>
          </w:tcPr>
          <w:p w14:paraId="4FE2E356">
            <w:pPr>
              <w:pStyle w:val="6"/>
              <w:spacing w:before="173" w:line="195" w:lineRule="auto"/>
              <w:ind w:left="125"/>
              <w:rPr>
                <w:sz w:val="20"/>
                <w:szCs w:val="20"/>
              </w:rPr>
            </w:pPr>
            <w:r>
              <w:rPr>
                <w:spacing w:val="2"/>
                <w:sz w:val="20"/>
                <w:szCs w:val="20"/>
              </w:rPr>
              <w:t>30.49</w:t>
            </w:r>
          </w:p>
        </w:tc>
        <w:tc>
          <w:tcPr>
            <w:tcW w:w="708" w:type="dxa"/>
            <w:vAlign w:val="top"/>
          </w:tcPr>
          <w:p w14:paraId="1A23677D">
            <w:pPr>
              <w:pStyle w:val="6"/>
              <w:spacing w:before="173" w:line="195" w:lineRule="auto"/>
              <w:ind w:left="119"/>
              <w:rPr>
                <w:sz w:val="20"/>
                <w:szCs w:val="20"/>
              </w:rPr>
            </w:pPr>
            <w:r>
              <w:rPr>
                <w:spacing w:val="3"/>
                <w:sz w:val="20"/>
                <w:szCs w:val="20"/>
              </w:rPr>
              <w:t>28.72</w:t>
            </w:r>
          </w:p>
        </w:tc>
        <w:tc>
          <w:tcPr>
            <w:tcW w:w="709" w:type="dxa"/>
            <w:vAlign w:val="top"/>
          </w:tcPr>
          <w:p w14:paraId="747CAD93">
            <w:pPr>
              <w:pStyle w:val="6"/>
              <w:spacing w:before="173" w:line="195" w:lineRule="auto"/>
              <w:ind w:left="119"/>
              <w:rPr>
                <w:sz w:val="20"/>
                <w:szCs w:val="20"/>
              </w:rPr>
            </w:pPr>
            <w:r>
              <w:rPr>
                <w:spacing w:val="3"/>
                <w:sz w:val="20"/>
                <w:szCs w:val="20"/>
              </w:rPr>
              <w:t>27.31</w:t>
            </w:r>
          </w:p>
        </w:tc>
        <w:tc>
          <w:tcPr>
            <w:tcW w:w="709" w:type="dxa"/>
            <w:vAlign w:val="top"/>
          </w:tcPr>
          <w:p w14:paraId="460A8FAB">
            <w:pPr>
              <w:pStyle w:val="6"/>
              <w:spacing w:before="173" w:line="195" w:lineRule="auto"/>
              <w:ind w:left="121"/>
              <w:rPr>
                <w:sz w:val="20"/>
                <w:szCs w:val="20"/>
              </w:rPr>
            </w:pPr>
            <w:r>
              <w:rPr>
                <w:spacing w:val="-2"/>
                <w:sz w:val="20"/>
                <w:szCs w:val="20"/>
              </w:rPr>
              <w:t>25.</w:t>
            </w:r>
            <w:r>
              <w:rPr>
                <w:spacing w:val="-24"/>
                <w:sz w:val="20"/>
                <w:szCs w:val="20"/>
              </w:rPr>
              <w:t xml:space="preserve"> </w:t>
            </w:r>
            <w:r>
              <w:rPr>
                <w:spacing w:val="-2"/>
                <w:sz w:val="20"/>
                <w:szCs w:val="20"/>
              </w:rPr>
              <w:t>14</w:t>
            </w:r>
          </w:p>
        </w:tc>
        <w:tc>
          <w:tcPr>
            <w:tcW w:w="709" w:type="dxa"/>
            <w:vAlign w:val="top"/>
          </w:tcPr>
          <w:p w14:paraId="530C2C28">
            <w:pPr>
              <w:pStyle w:val="6"/>
              <w:spacing w:before="173" w:line="195" w:lineRule="auto"/>
              <w:ind w:left="120"/>
              <w:rPr>
                <w:sz w:val="20"/>
                <w:szCs w:val="20"/>
              </w:rPr>
            </w:pPr>
            <w:r>
              <w:rPr>
                <w:spacing w:val="3"/>
                <w:sz w:val="20"/>
                <w:szCs w:val="20"/>
              </w:rPr>
              <w:t>23.47</w:t>
            </w:r>
          </w:p>
        </w:tc>
        <w:tc>
          <w:tcPr>
            <w:tcW w:w="709" w:type="dxa"/>
            <w:vAlign w:val="top"/>
          </w:tcPr>
          <w:p w14:paraId="3261661B">
            <w:pPr>
              <w:pStyle w:val="6"/>
              <w:spacing w:before="173" w:line="195" w:lineRule="auto"/>
              <w:ind w:left="121"/>
              <w:rPr>
                <w:sz w:val="20"/>
                <w:szCs w:val="20"/>
              </w:rPr>
            </w:pPr>
            <w:r>
              <w:rPr>
                <w:spacing w:val="-2"/>
                <w:sz w:val="20"/>
                <w:szCs w:val="20"/>
              </w:rPr>
              <w:t>22.</w:t>
            </w:r>
            <w:r>
              <w:rPr>
                <w:spacing w:val="-24"/>
                <w:sz w:val="20"/>
                <w:szCs w:val="20"/>
              </w:rPr>
              <w:t xml:space="preserve"> </w:t>
            </w:r>
            <w:r>
              <w:rPr>
                <w:spacing w:val="-2"/>
                <w:sz w:val="20"/>
                <w:szCs w:val="20"/>
              </w:rPr>
              <w:t>12</w:t>
            </w:r>
          </w:p>
        </w:tc>
        <w:tc>
          <w:tcPr>
            <w:tcW w:w="709" w:type="dxa"/>
            <w:vAlign w:val="top"/>
          </w:tcPr>
          <w:p w14:paraId="1C0F10BF">
            <w:pPr>
              <w:pStyle w:val="6"/>
              <w:spacing w:before="173" w:line="195" w:lineRule="auto"/>
              <w:ind w:left="140"/>
              <w:rPr>
                <w:sz w:val="20"/>
                <w:szCs w:val="20"/>
              </w:rPr>
            </w:pPr>
            <w:r>
              <w:rPr>
                <w:spacing w:val="-1"/>
                <w:sz w:val="20"/>
                <w:szCs w:val="20"/>
              </w:rPr>
              <w:t>19.98</w:t>
            </w:r>
          </w:p>
        </w:tc>
        <w:tc>
          <w:tcPr>
            <w:tcW w:w="723" w:type="dxa"/>
            <w:tcBorders>
              <w:right w:val="nil"/>
            </w:tcBorders>
            <w:vAlign w:val="top"/>
          </w:tcPr>
          <w:p w14:paraId="0F2EAD18">
            <w:pPr>
              <w:pStyle w:val="6"/>
              <w:spacing w:before="173" w:line="195" w:lineRule="auto"/>
              <w:ind w:left="146"/>
              <w:rPr>
                <w:sz w:val="20"/>
                <w:szCs w:val="20"/>
              </w:rPr>
            </w:pPr>
            <w:r>
              <w:rPr>
                <w:spacing w:val="-1"/>
                <w:sz w:val="20"/>
                <w:szCs w:val="20"/>
              </w:rPr>
              <w:t>18.32</w:t>
            </w:r>
          </w:p>
        </w:tc>
      </w:tr>
      <w:tr w14:paraId="4DBE60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2" w:hRule="atLeast"/>
        </w:trPr>
        <w:tc>
          <w:tcPr>
            <w:tcW w:w="706" w:type="dxa"/>
            <w:tcBorders>
              <w:left w:val="nil"/>
            </w:tcBorders>
            <w:shd w:val="clear" w:color="auto" w:fill="F0F0F0"/>
            <w:vAlign w:val="top"/>
          </w:tcPr>
          <w:p w14:paraId="0ADA4FDA">
            <w:pPr>
              <w:spacing w:before="138" w:line="232" w:lineRule="auto"/>
              <w:ind w:left="159"/>
              <w:rPr>
                <w:rFonts w:ascii="仿宋" w:hAnsi="仿宋" w:eastAsia="仿宋" w:cs="仿宋"/>
                <w:sz w:val="20"/>
                <w:szCs w:val="20"/>
              </w:rPr>
            </w:pPr>
            <w:r>
              <w:rPr>
                <w:rFonts w:ascii="仿宋" w:hAnsi="仿宋" w:eastAsia="仿宋" w:cs="仿宋"/>
                <w:spacing w:val="1"/>
                <w:sz w:val="20"/>
                <w:szCs w:val="20"/>
              </w:rPr>
              <w:t>远期</w:t>
            </w:r>
          </w:p>
        </w:tc>
        <w:tc>
          <w:tcPr>
            <w:tcW w:w="709" w:type="dxa"/>
            <w:shd w:val="clear" w:color="auto" w:fill="F0F0F0"/>
            <w:vAlign w:val="top"/>
          </w:tcPr>
          <w:p w14:paraId="5F0D96C9">
            <w:pPr>
              <w:spacing w:before="138" w:line="232" w:lineRule="auto"/>
              <w:ind w:left="154"/>
              <w:rPr>
                <w:rFonts w:ascii="仿宋" w:hAnsi="仿宋" w:eastAsia="仿宋" w:cs="仿宋"/>
                <w:sz w:val="20"/>
                <w:szCs w:val="20"/>
              </w:rPr>
            </w:pPr>
            <w:r>
              <w:rPr>
                <w:rFonts w:ascii="仿宋" w:hAnsi="仿宋" w:eastAsia="仿宋" w:cs="仿宋"/>
                <w:spacing w:val="2"/>
                <w:sz w:val="20"/>
                <w:szCs w:val="20"/>
              </w:rPr>
              <w:t>昼间</w:t>
            </w:r>
          </w:p>
        </w:tc>
        <w:tc>
          <w:tcPr>
            <w:tcW w:w="709" w:type="dxa"/>
            <w:vAlign w:val="top"/>
          </w:tcPr>
          <w:p w14:paraId="0DD91950">
            <w:pPr>
              <w:pStyle w:val="6"/>
              <w:spacing w:before="175" w:line="195" w:lineRule="auto"/>
              <w:ind w:left="119"/>
              <w:rPr>
                <w:sz w:val="20"/>
                <w:szCs w:val="20"/>
              </w:rPr>
            </w:pPr>
            <w:r>
              <w:rPr>
                <w:spacing w:val="3"/>
                <w:sz w:val="20"/>
                <w:szCs w:val="20"/>
              </w:rPr>
              <w:t>40.00</w:t>
            </w:r>
          </w:p>
        </w:tc>
        <w:tc>
          <w:tcPr>
            <w:tcW w:w="709" w:type="dxa"/>
            <w:vAlign w:val="top"/>
          </w:tcPr>
          <w:p w14:paraId="1F15D71C">
            <w:pPr>
              <w:pStyle w:val="6"/>
              <w:spacing w:before="175" w:line="195" w:lineRule="auto"/>
              <w:ind w:left="123"/>
              <w:rPr>
                <w:sz w:val="20"/>
                <w:szCs w:val="20"/>
              </w:rPr>
            </w:pPr>
            <w:r>
              <w:rPr>
                <w:spacing w:val="3"/>
                <w:sz w:val="20"/>
                <w:szCs w:val="20"/>
              </w:rPr>
              <w:t>36.05</w:t>
            </w:r>
          </w:p>
        </w:tc>
        <w:tc>
          <w:tcPr>
            <w:tcW w:w="709" w:type="dxa"/>
            <w:vAlign w:val="top"/>
          </w:tcPr>
          <w:p w14:paraId="13B80FBF">
            <w:pPr>
              <w:pStyle w:val="6"/>
              <w:spacing w:before="175" w:line="195" w:lineRule="auto"/>
              <w:ind w:left="125"/>
              <w:rPr>
                <w:sz w:val="20"/>
                <w:szCs w:val="20"/>
              </w:rPr>
            </w:pPr>
            <w:r>
              <w:rPr>
                <w:spacing w:val="2"/>
                <w:sz w:val="20"/>
                <w:szCs w:val="20"/>
              </w:rPr>
              <w:t>33.61</w:t>
            </w:r>
          </w:p>
        </w:tc>
        <w:tc>
          <w:tcPr>
            <w:tcW w:w="708" w:type="dxa"/>
            <w:vAlign w:val="top"/>
          </w:tcPr>
          <w:p w14:paraId="2480A84E">
            <w:pPr>
              <w:pStyle w:val="6"/>
              <w:spacing w:before="175" w:line="195" w:lineRule="auto"/>
              <w:ind w:left="124"/>
              <w:rPr>
                <w:sz w:val="20"/>
                <w:szCs w:val="20"/>
              </w:rPr>
            </w:pPr>
            <w:r>
              <w:rPr>
                <w:spacing w:val="3"/>
                <w:sz w:val="20"/>
                <w:szCs w:val="20"/>
              </w:rPr>
              <w:t>31.84</w:t>
            </w:r>
          </w:p>
        </w:tc>
        <w:tc>
          <w:tcPr>
            <w:tcW w:w="709" w:type="dxa"/>
            <w:vAlign w:val="top"/>
          </w:tcPr>
          <w:p w14:paraId="55F8F698">
            <w:pPr>
              <w:pStyle w:val="6"/>
              <w:spacing w:before="175" w:line="195" w:lineRule="auto"/>
              <w:ind w:left="124"/>
              <w:rPr>
                <w:sz w:val="20"/>
                <w:szCs w:val="20"/>
              </w:rPr>
            </w:pPr>
            <w:r>
              <w:rPr>
                <w:spacing w:val="3"/>
                <w:sz w:val="20"/>
                <w:szCs w:val="20"/>
              </w:rPr>
              <w:t>30.43</w:t>
            </w:r>
          </w:p>
        </w:tc>
        <w:tc>
          <w:tcPr>
            <w:tcW w:w="709" w:type="dxa"/>
            <w:vAlign w:val="top"/>
          </w:tcPr>
          <w:p w14:paraId="572DC813">
            <w:pPr>
              <w:pStyle w:val="6"/>
              <w:spacing w:before="175" w:line="195" w:lineRule="auto"/>
              <w:ind w:left="121"/>
              <w:rPr>
                <w:sz w:val="20"/>
                <w:szCs w:val="20"/>
              </w:rPr>
            </w:pPr>
            <w:r>
              <w:rPr>
                <w:spacing w:val="3"/>
                <w:sz w:val="20"/>
                <w:szCs w:val="20"/>
              </w:rPr>
              <w:t>28.26</w:t>
            </w:r>
          </w:p>
        </w:tc>
        <w:tc>
          <w:tcPr>
            <w:tcW w:w="709" w:type="dxa"/>
            <w:vAlign w:val="top"/>
          </w:tcPr>
          <w:p w14:paraId="5F12610C">
            <w:pPr>
              <w:pStyle w:val="6"/>
              <w:spacing w:before="175" w:line="195" w:lineRule="auto"/>
              <w:ind w:left="120"/>
              <w:rPr>
                <w:sz w:val="20"/>
                <w:szCs w:val="20"/>
              </w:rPr>
            </w:pPr>
            <w:r>
              <w:rPr>
                <w:spacing w:val="3"/>
                <w:sz w:val="20"/>
                <w:szCs w:val="20"/>
              </w:rPr>
              <w:t>26.60</w:t>
            </w:r>
          </w:p>
        </w:tc>
        <w:tc>
          <w:tcPr>
            <w:tcW w:w="709" w:type="dxa"/>
            <w:vAlign w:val="top"/>
          </w:tcPr>
          <w:p w14:paraId="5616F5AE">
            <w:pPr>
              <w:pStyle w:val="6"/>
              <w:spacing w:before="175" w:line="195" w:lineRule="auto"/>
              <w:ind w:left="121"/>
              <w:rPr>
                <w:sz w:val="20"/>
                <w:szCs w:val="20"/>
              </w:rPr>
            </w:pPr>
            <w:r>
              <w:rPr>
                <w:spacing w:val="3"/>
                <w:sz w:val="20"/>
                <w:szCs w:val="20"/>
              </w:rPr>
              <w:t>25.24</w:t>
            </w:r>
          </w:p>
        </w:tc>
        <w:tc>
          <w:tcPr>
            <w:tcW w:w="709" w:type="dxa"/>
            <w:vAlign w:val="top"/>
          </w:tcPr>
          <w:p w14:paraId="06ED5BF4">
            <w:pPr>
              <w:pStyle w:val="6"/>
              <w:spacing w:before="175" w:line="195" w:lineRule="auto"/>
              <w:ind w:left="120"/>
              <w:rPr>
                <w:sz w:val="20"/>
                <w:szCs w:val="20"/>
              </w:rPr>
            </w:pPr>
            <w:r>
              <w:rPr>
                <w:spacing w:val="3"/>
                <w:sz w:val="20"/>
                <w:szCs w:val="20"/>
              </w:rPr>
              <w:t>23.10</w:t>
            </w:r>
          </w:p>
        </w:tc>
        <w:tc>
          <w:tcPr>
            <w:tcW w:w="723" w:type="dxa"/>
            <w:tcBorders>
              <w:right w:val="nil"/>
            </w:tcBorders>
            <w:vAlign w:val="top"/>
          </w:tcPr>
          <w:p w14:paraId="2A829CE7">
            <w:pPr>
              <w:pStyle w:val="6"/>
              <w:spacing w:before="175" w:line="195" w:lineRule="auto"/>
              <w:ind w:left="126"/>
              <w:rPr>
                <w:sz w:val="20"/>
                <w:szCs w:val="20"/>
              </w:rPr>
            </w:pPr>
            <w:r>
              <w:rPr>
                <w:spacing w:val="3"/>
                <w:sz w:val="20"/>
                <w:szCs w:val="20"/>
              </w:rPr>
              <w:t>21.45</w:t>
            </w:r>
          </w:p>
        </w:tc>
      </w:tr>
      <w:tr w14:paraId="681096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706" w:type="dxa"/>
            <w:tcBorders>
              <w:left w:val="nil"/>
              <w:bottom w:val="single" w:color="000000" w:sz="10" w:space="0"/>
            </w:tcBorders>
            <w:shd w:val="clear" w:color="auto" w:fill="F0F0F0"/>
            <w:vAlign w:val="top"/>
          </w:tcPr>
          <w:p w14:paraId="5C136BCF">
            <w:pPr>
              <w:spacing w:before="142" w:line="232" w:lineRule="auto"/>
              <w:ind w:left="159"/>
              <w:rPr>
                <w:rFonts w:ascii="仿宋" w:hAnsi="仿宋" w:eastAsia="仿宋" w:cs="仿宋"/>
                <w:sz w:val="20"/>
                <w:szCs w:val="20"/>
              </w:rPr>
            </w:pPr>
            <w:r>
              <w:rPr>
                <w:rFonts w:ascii="仿宋" w:hAnsi="仿宋" w:eastAsia="仿宋" w:cs="仿宋"/>
                <w:spacing w:val="1"/>
                <w:sz w:val="20"/>
                <w:szCs w:val="20"/>
              </w:rPr>
              <w:t>远期</w:t>
            </w:r>
          </w:p>
        </w:tc>
        <w:tc>
          <w:tcPr>
            <w:tcW w:w="709" w:type="dxa"/>
            <w:tcBorders>
              <w:bottom w:val="single" w:color="000000" w:sz="10" w:space="0"/>
            </w:tcBorders>
            <w:shd w:val="clear" w:color="auto" w:fill="F0F0F0"/>
            <w:vAlign w:val="top"/>
          </w:tcPr>
          <w:p w14:paraId="2724DB9D">
            <w:pPr>
              <w:spacing w:before="142" w:line="231" w:lineRule="auto"/>
              <w:ind w:left="154"/>
              <w:rPr>
                <w:rFonts w:ascii="仿宋" w:hAnsi="仿宋" w:eastAsia="仿宋" w:cs="仿宋"/>
                <w:sz w:val="20"/>
                <w:szCs w:val="20"/>
              </w:rPr>
            </w:pPr>
            <w:r>
              <w:rPr>
                <w:rFonts w:ascii="仿宋" w:hAnsi="仿宋" w:eastAsia="仿宋" w:cs="仿宋"/>
                <w:spacing w:val="2"/>
                <w:sz w:val="20"/>
                <w:szCs w:val="20"/>
              </w:rPr>
              <w:t>夜间</w:t>
            </w:r>
          </w:p>
        </w:tc>
        <w:tc>
          <w:tcPr>
            <w:tcW w:w="709" w:type="dxa"/>
            <w:tcBorders>
              <w:bottom w:val="single" w:color="000000" w:sz="10" w:space="0"/>
            </w:tcBorders>
            <w:vAlign w:val="top"/>
          </w:tcPr>
          <w:p w14:paraId="71DC1E8F">
            <w:pPr>
              <w:pStyle w:val="6"/>
              <w:spacing w:before="178" w:line="195" w:lineRule="auto"/>
              <w:ind w:left="124"/>
              <w:rPr>
                <w:sz w:val="20"/>
                <w:szCs w:val="20"/>
              </w:rPr>
            </w:pPr>
            <w:r>
              <w:rPr>
                <w:spacing w:val="2"/>
                <w:sz w:val="20"/>
                <w:szCs w:val="20"/>
              </w:rPr>
              <w:t>36.88</w:t>
            </w:r>
          </w:p>
        </w:tc>
        <w:tc>
          <w:tcPr>
            <w:tcW w:w="709" w:type="dxa"/>
            <w:tcBorders>
              <w:bottom w:val="single" w:color="000000" w:sz="10" w:space="0"/>
            </w:tcBorders>
            <w:vAlign w:val="top"/>
          </w:tcPr>
          <w:p w14:paraId="218BBA2D">
            <w:pPr>
              <w:pStyle w:val="6"/>
              <w:spacing w:before="178" w:line="195" w:lineRule="auto"/>
              <w:ind w:left="123"/>
              <w:rPr>
                <w:sz w:val="20"/>
                <w:szCs w:val="20"/>
              </w:rPr>
            </w:pPr>
            <w:r>
              <w:rPr>
                <w:spacing w:val="3"/>
                <w:sz w:val="20"/>
                <w:szCs w:val="20"/>
              </w:rPr>
              <w:t>32.93</w:t>
            </w:r>
          </w:p>
        </w:tc>
        <w:tc>
          <w:tcPr>
            <w:tcW w:w="709" w:type="dxa"/>
            <w:tcBorders>
              <w:bottom w:val="single" w:color="000000" w:sz="10" w:space="0"/>
            </w:tcBorders>
            <w:vAlign w:val="top"/>
          </w:tcPr>
          <w:p w14:paraId="3A9F667E">
            <w:pPr>
              <w:pStyle w:val="6"/>
              <w:spacing w:before="178" w:line="195" w:lineRule="auto"/>
              <w:ind w:left="125"/>
              <w:rPr>
                <w:sz w:val="20"/>
                <w:szCs w:val="20"/>
              </w:rPr>
            </w:pPr>
            <w:r>
              <w:rPr>
                <w:spacing w:val="2"/>
                <w:sz w:val="20"/>
                <w:szCs w:val="20"/>
              </w:rPr>
              <w:t>30.49</w:t>
            </w:r>
          </w:p>
        </w:tc>
        <w:tc>
          <w:tcPr>
            <w:tcW w:w="708" w:type="dxa"/>
            <w:tcBorders>
              <w:bottom w:val="single" w:color="000000" w:sz="10" w:space="0"/>
            </w:tcBorders>
            <w:vAlign w:val="top"/>
          </w:tcPr>
          <w:p w14:paraId="577C7D2C">
            <w:pPr>
              <w:pStyle w:val="6"/>
              <w:spacing w:before="178" w:line="195" w:lineRule="auto"/>
              <w:ind w:left="119"/>
              <w:rPr>
                <w:sz w:val="20"/>
                <w:szCs w:val="20"/>
              </w:rPr>
            </w:pPr>
            <w:r>
              <w:rPr>
                <w:spacing w:val="3"/>
                <w:sz w:val="20"/>
                <w:szCs w:val="20"/>
              </w:rPr>
              <w:t>28.72</w:t>
            </w:r>
          </w:p>
        </w:tc>
        <w:tc>
          <w:tcPr>
            <w:tcW w:w="709" w:type="dxa"/>
            <w:tcBorders>
              <w:bottom w:val="single" w:color="000000" w:sz="10" w:space="0"/>
            </w:tcBorders>
            <w:vAlign w:val="top"/>
          </w:tcPr>
          <w:p w14:paraId="11F7F0F1">
            <w:pPr>
              <w:pStyle w:val="6"/>
              <w:spacing w:before="178" w:line="195" w:lineRule="auto"/>
              <w:ind w:left="119"/>
              <w:rPr>
                <w:sz w:val="20"/>
                <w:szCs w:val="20"/>
              </w:rPr>
            </w:pPr>
            <w:r>
              <w:rPr>
                <w:spacing w:val="3"/>
                <w:sz w:val="20"/>
                <w:szCs w:val="20"/>
              </w:rPr>
              <w:t>27.31</w:t>
            </w:r>
          </w:p>
        </w:tc>
        <w:tc>
          <w:tcPr>
            <w:tcW w:w="709" w:type="dxa"/>
            <w:tcBorders>
              <w:bottom w:val="single" w:color="000000" w:sz="10" w:space="0"/>
            </w:tcBorders>
            <w:vAlign w:val="top"/>
          </w:tcPr>
          <w:p w14:paraId="743649EB">
            <w:pPr>
              <w:pStyle w:val="6"/>
              <w:spacing w:before="178" w:line="195" w:lineRule="auto"/>
              <w:ind w:left="121"/>
              <w:rPr>
                <w:sz w:val="20"/>
                <w:szCs w:val="20"/>
              </w:rPr>
            </w:pPr>
            <w:r>
              <w:rPr>
                <w:spacing w:val="-2"/>
                <w:sz w:val="20"/>
                <w:szCs w:val="20"/>
              </w:rPr>
              <w:t>25.</w:t>
            </w:r>
            <w:r>
              <w:rPr>
                <w:spacing w:val="-24"/>
                <w:sz w:val="20"/>
                <w:szCs w:val="20"/>
              </w:rPr>
              <w:t xml:space="preserve"> </w:t>
            </w:r>
            <w:r>
              <w:rPr>
                <w:spacing w:val="-2"/>
                <w:sz w:val="20"/>
                <w:szCs w:val="20"/>
              </w:rPr>
              <w:t>14</w:t>
            </w:r>
          </w:p>
        </w:tc>
        <w:tc>
          <w:tcPr>
            <w:tcW w:w="709" w:type="dxa"/>
            <w:tcBorders>
              <w:bottom w:val="single" w:color="000000" w:sz="10" w:space="0"/>
            </w:tcBorders>
            <w:vAlign w:val="top"/>
          </w:tcPr>
          <w:p w14:paraId="5DCC71A6">
            <w:pPr>
              <w:pStyle w:val="6"/>
              <w:spacing w:before="178" w:line="195" w:lineRule="auto"/>
              <w:ind w:left="120"/>
              <w:rPr>
                <w:sz w:val="20"/>
                <w:szCs w:val="20"/>
              </w:rPr>
            </w:pPr>
            <w:r>
              <w:rPr>
                <w:spacing w:val="3"/>
                <w:sz w:val="20"/>
                <w:szCs w:val="20"/>
              </w:rPr>
              <w:t>23.47</w:t>
            </w:r>
          </w:p>
        </w:tc>
        <w:tc>
          <w:tcPr>
            <w:tcW w:w="709" w:type="dxa"/>
            <w:tcBorders>
              <w:bottom w:val="single" w:color="000000" w:sz="10" w:space="0"/>
            </w:tcBorders>
            <w:vAlign w:val="top"/>
          </w:tcPr>
          <w:p w14:paraId="59329213">
            <w:pPr>
              <w:pStyle w:val="6"/>
              <w:spacing w:before="178" w:line="195" w:lineRule="auto"/>
              <w:ind w:left="121"/>
              <w:rPr>
                <w:sz w:val="20"/>
                <w:szCs w:val="20"/>
              </w:rPr>
            </w:pPr>
            <w:r>
              <w:rPr>
                <w:spacing w:val="-2"/>
                <w:sz w:val="20"/>
                <w:szCs w:val="20"/>
              </w:rPr>
              <w:t>22.</w:t>
            </w:r>
            <w:r>
              <w:rPr>
                <w:spacing w:val="-24"/>
                <w:sz w:val="20"/>
                <w:szCs w:val="20"/>
              </w:rPr>
              <w:t xml:space="preserve"> </w:t>
            </w:r>
            <w:r>
              <w:rPr>
                <w:spacing w:val="-2"/>
                <w:sz w:val="20"/>
                <w:szCs w:val="20"/>
              </w:rPr>
              <w:t>12</w:t>
            </w:r>
          </w:p>
        </w:tc>
        <w:tc>
          <w:tcPr>
            <w:tcW w:w="709" w:type="dxa"/>
            <w:tcBorders>
              <w:bottom w:val="single" w:color="000000" w:sz="10" w:space="0"/>
            </w:tcBorders>
            <w:vAlign w:val="top"/>
          </w:tcPr>
          <w:p w14:paraId="1E9AD0CA">
            <w:pPr>
              <w:pStyle w:val="6"/>
              <w:spacing w:before="178" w:line="195" w:lineRule="auto"/>
              <w:ind w:left="140"/>
              <w:rPr>
                <w:sz w:val="20"/>
                <w:szCs w:val="20"/>
              </w:rPr>
            </w:pPr>
            <w:r>
              <w:rPr>
                <w:spacing w:val="-1"/>
                <w:sz w:val="20"/>
                <w:szCs w:val="20"/>
              </w:rPr>
              <w:t>19.98</w:t>
            </w:r>
          </w:p>
        </w:tc>
        <w:tc>
          <w:tcPr>
            <w:tcW w:w="723" w:type="dxa"/>
            <w:tcBorders>
              <w:bottom w:val="single" w:color="000000" w:sz="10" w:space="0"/>
              <w:right w:val="nil"/>
            </w:tcBorders>
            <w:vAlign w:val="top"/>
          </w:tcPr>
          <w:p w14:paraId="122BEC21">
            <w:pPr>
              <w:pStyle w:val="6"/>
              <w:spacing w:before="178" w:line="195" w:lineRule="auto"/>
              <w:ind w:left="146"/>
              <w:rPr>
                <w:sz w:val="20"/>
                <w:szCs w:val="20"/>
              </w:rPr>
            </w:pPr>
            <w:r>
              <w:rPr>
                <w:spacing w:val="-1"/>
                <w:sz w:val="20"/>
                <w:szCs w:val="20"/>
              </w:rPr>
              <w:t>18.32</w:t>
            </w:r>
          </w:p>
        </w:tc>
      </w:tr>
    </w:tbl>
    <w:p w14:paraId="08E0198A">
      <w:pPr>
        <w:spacing w:before="194" w:line="222" w:lineRule="auto"/>
        <w:ind w:left="604"/>
        <w:rPr>
          <w:rFonts w:ascii="仿宋" w:hAnsi="仿宋" w:eastAsia="仿宋" w:cs="仿宋"/>
          <w:sz w:val="24"/>
          <w:szCs w:val="24"/>
        </w:rPr>
      </w:pPr>
      <w:r>
        <w:rPr>
          <w:rFonts w:ascii="仿宋" w:hAnsi="仿宋" w:eastAsia="仿宋" w:cs="仿宋"/>
          <w:spacing w:val="1"/>
          <w:sz w:val="24"/>
          <w:szCs w:val="24"/>
        </w:rPr>
        <w:t>本项目道路两侧交通噪声达标距离具体见表4.2-4。</w:t>
      </w:r>
    </w:p>
    <w:p w14:paraId="1891C538">
      <w:pPr>
        <w:spacing w:before="176" w:line="213" w:lineRule="auto"/>
        <w:ind w:left="874"/>
        <w:rPr>
          <w:rFonts w:ascii="仿宋" w:hAnsi="仿宋" w:eastAsia="仿宋" w:cs="仿宋"/>
          <w:sz w:val="24"/>
          <w:szCs w:val="24"/>
        </w:rPr>
      </w:pPr>
      <w:r>
        <w:rPr>
          <w:rFonts w:ascii="仿宋" w:hAnsi="仿宋" w:eastAsia="仿宋" w:cs="仿宋"/>
          <w:b/>
          <w:bCs/>
          <w:spacing w:val="-2"/>
          <w:sz w:val="24"/>
          <w:szCs w:val="24"/>
        </w:rPr>
        <w:t>表</w:t>
      </w:r>
      <w:r>
        <w:rPr>
          <w:rFonts w:ascii="仿宋" w:hAnsi="仿宋" w:eastAsia="仿宋" w:cs="仿宋"/>
          <w:spacing w:val="-52"/>
          <w:sz w:val="24"/>
          <w:szCs w:val="24"/>
        </w:rPr>
        <w:t xml:space="preserve"> </w:t>
      </w:r>
      <w:r>
        <w:rPr>
          <w:rFonts w:ascii="仿宋" w:hAnsi="仿宋" w:eastAsia="仿宋" w:cs="仿宋"/>
          <w:b/>
          <w:bCs/>
          <w:spacing w:val="-2"/>
          <w:sz w:val="24"/>
          <w:szCs w:val="24"/>
        </w:rPr>
        <w:t>4.2-4</w:t>
      </w:r>
      <w:r>
        <w:rPr>
          <w:rFonts w:ascii="仿宋" w:hAnsi="仿宋" w:eastAsia="仿宋" w:cs="仿宋"/>
          <w:spacing w:val="-2"/>
          <w:sz w:val="24"/>
          <w:szCs w:val="24"/>
        </w:rPr>
        <w:t xml:space="preserve">    </w:t>
      </w:r>
      <w:r>
        <w:rPr>
          <w:rFonts w:ascii="仿宋" w:hAnsi="仿宋" w:eastAsia="仿宋" w:cs="仿宋"/>
          <w:b/>
          <w:bCs/>
          <w:spacing w:val="-2"/>
          <w:sz w:val="24"/>
          <w:szCs w:val="24"/>
        </w:rPr>
        <w:t>交通噪声距道路红线达标距离一览表</w:t>
      </w:r>
      <w:r>
        <w:rPr>
          <w:rFonts w:ascii="仿宋" w:hAnsi="仿宋" w:eastAsia="仿宋" w:cs="仿宋"/>
          <w:b/>
          <w:bCs/>
          <w:spacing w:val="-3"/>
          <w:sz w:val="24"/>
          <w:szCs w:val="24"/>
        </w:rPr>
        <w:t>单位：dB（A）</w:t>
      </w:r>
    </w:p>
    <w:tbl>
      <w:tblPr>
        <w:tblStyle w:val="5"/>
        <w:tblW w:w="8315" w:type="dxa"/>
        <w:tblInd w:w="10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9"/>
        <w:gridCol w:w="913"/>
        <w:gridCol w:w="990"/>
        <w:gridCol w:w="817"/>
        <w:gridCol w:w="992"/>
        <w:gridCol w:w="981"/>
        <w:gridCol w:w="963"/>
        <w:gridCol w:w="835"/>
        <w:gridCol w:w="895"/>
      </w:tblGrid>
      <w:tr w14:paraId="0E78A3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trPr>
        <w:tc>
          <w:tcPr>
            <w:tcW w:w="929" w:type="dxa"/>
            <w:tcBorders>
              <w:top w:val="single" w:color="000000" w:sz="10" w:space="0"/>
              <w:left w:val="nil"/>
            </w:tcBorders>
            <w:vAlign w:val="top"/>
          </w:tcPr>
          <w:p w14:paraId="677B2212">
            <w:pPr>
              <w:spacing w:before="96" w:line="232" w:lineRule="auto"/>
              <w:ind w:left="56"/>
              <w:rPr>
                <w:rFonts w:ascii="仿宋" w:hAnsi="仿宋" w:eastAsia="仿宋" w:cs="仿宋"/>
                <w:sz w:val="20"/>
                <w:szCs w:val="20"/>
              </w:rPr>
            </w:pPr>
            <w:r>
              <w:rPr>
                <w:rFonts w:ascii="仿宋" w:hAnsi="仿宋" w:eastAsia="仿宋" w:cs="仿宋"/>
                <w:spacing w:val="5"/>
                <w:sz w:val="20"/>
                <w:szCs w:val="20"/>
              </w:rPr>
              <w:t>预测时段</w:t>
            </w:r>
          </w:p>
        </w:tc>
        <w:tc>
          <w:tcPr>
            <w:tcW w:w="1903" w:type="dxa"/>
            <w:gridSpan w:val="2"/>
            <w:tcBorders>
              <w:top w:val="single" w:color="000000" w:sz="10" w:space="0"/>
            </w:tcBorders>
            <w:vAlign w:val="top"/>
          </w:tcPr>
          <w:p w14:paraId="7766B7EF">
            <w:pPr>
              <w:spacing w:before="96" w:line="232" w:lineRule="auto"/>
              <w:ind w:left="752"/>
              <w:rPr>
                <w:rFonts w:ascii="仿宋" w:hAnsi="仿宋" w:eastAsia="仿宋" w:cs="仿宋"/>
                <w:sz w:val="20"/>
                <w:szCs w:val="20"/>
              </w:rPr>
            </w:pPr>
            <w:r>
              <w:rPr>
                <w:rFonts w:ascii="仿宋" w:hAnsi="仿宋" w:eastAsia="仿宋" w:cs="仿宋"/>
                <w:spacing w:val="2"/>
                <w:sz w:val="20"/>
                <w:szCs w:val="20"/>
              </w:rPr>
              <w:t>近期</w:t>
            </w:r>
          </w:p>
        </w:tc>
        <w:tc>
          <w:tcPr>
            <w:tcW w:w="1809" w:type="dxa"/>
            <w:gridSpan w:val="2"/>
            <w:tcBorders>
              <w:top w:val="single" w:color="000000" w:sz="10" w:space="0"/>
            </w:tcBorders>
            <w:vAlign w:val="top"/>
          </w:tcPr>
          <w:p w14:paraId="10697589">
            <w:pPr>
              <w:spacing w:before="96" w:line="231" w:lineRule="auto"/>
              <w:ind w:left="732"/>
              <w:rPr>
                <w:rFonts w:ascii="仿宋" w:hAnsi="仿宋" w:eastAsia="仿宋" w:cs="仿宋"/>
                <w:sz w:val="20"/>
                <w:szCs w:val="20"/>
              </w:rPr>
            </w:pPr>
            <w:r>
              <w:rPr>
                <w:rFonts w:ascii="仿宋" w:hAnsi="仿宋" w:eastAsia="仿宋" w:cs="仿宋"/>
                <w:spacing w:val="-12"/>
                <w:sz w:val="20"/>
                <w:szCs w:val="20"/>
              </w:rPr>
              <w:t>中期</w:t>
            </w:r>
          </w:p>
        </w:tc>
        <w:tc>
          <w:tcPr>
            <w:tcW w:w="1944" w:type="dxa"/>
            <w:gridSpan w:val="2"/>
            <w:tcBorders>
              <w:top w:val="single" w:color="000000" w:sz="10" w:space="0"/>
            </w:tcBorders>
            <w:vAlign w:val="top"/>
          </w:tcPr>
          <w:p w14:paraId="74235407">
            <w:pPr>
              <w:spacing w:before="96" w:line="232" w:lineRule="auto"/>
              <w:ind w:left="776"/>
              <w:rPr>
                <w:rFonts w:ascii="仿宋" w:hAnsi="仿宋" w:eastAsia="仿宋" w:cs="仿宋"/>
                <w:sz w:val="20"/>
                <w:szCs w:val="20"/>
              </w:rPr>
            </w:pPr>
            <w:r>
              <w:rPr>
                <w:rFonts w:ascii="仿宋" w:hAnsi="仿宋" w:eastAsia="仿宋" w:cs="仿宋"/>
                <w:spacing w:val="1"/>
                <w:sz w:val="20"/>
                <w:szCs w:val="20"/>
              </w:rPr>
              <w:t>远期</w:t>
            </w:r>
          </w:p>
        </w:tc>
        <w:tc>
          <w:tcPr>
            <w:tcW w:w="1730" w:type="dxa"/>
            <w:gridSpan w:val="2"/>
            <w:tcBorders>
              <w:top w:val="single" w:color="000000" w:sz="10" w:space="0"/>
              <w:right w:val="nil"/>
            </w:tcBorders>
            <w:vAlign w:val="top"/>
          </w:tcPr>
          <w:p w14:paraId="2C4E719F">
            <w:pPr>
              <w:spacing w:before="96" w:line="231" w:lineRule="auto"/>
              <w:ind w:left="563"/>
              <w:rPr>
                <w:rFonts w:ascii="仿宋" w:hAnsi="仿宋" w:eastAsia="仿宋" w:cs="仿宋"/>
                <w:sz w:val="20"/>
                <w:szCs w:val="20"/>
              </w:rPr>
            </w:pPr>
            <w:r>
              <w:rPr>
                <w:rFonts w:ascii="仿宋" w:hAnsi="仿宋" w:eastAsia="仿宋" w:cs="仿宋"/>
                <w:spacing w:val="5"/>
                <w:sz w:val="20"/>
                <w:szCs w:val="20"/>
              </w:rPr>
              <w:t>标准值</w:t>
            </w:r>
          </w:p>
        </w:tc>
      </w:tr>
      <w:tr w14:paraId="3008D1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 w:hRule="atLeast"/>
        </w:trPr>
        <w:tc>
          <w:tcPr>
            <w:tcW w:w="929" w:type="dxa"/>
            <w:tcBorders>
              <w:left w:val="nil"/>
            </w:tcBorders>
            <w:vAlign w:val="top"/>
          </w:tcPr>
          <w:p w14:paraId="417590C1">
            <w:pPr>
              <w:spacing w:before="99" w:line="231" w:lineRule="auto"/>
              <w:ind w:left="54"/>
              <w:rPr>
                <w:rFonts w:ascii="仿宋" w:hAnsi="仿宋" w:eastAsia="仿宋" w:cs="仿宋"/>
                <w:sz w:val="20"/>
                <w:szCs w:val="20"/>
              </w:rPr>
            </w:pPr>
            <w:r>
              <w:rPr>
                <w:rFonts w:ascii="仿宋" w:hAnsi="仿宋" w:eastAsia="仿宋" w:cs="仿宋"/>
                <w:spacing w:val="6"/>
                <w:sz w:val="20"/>
                <w:szCs w:val="20"/>
              </w:rPr>
              <w:t>标准类别</w:t>
            </w:r>
          </w:p>
        </w:tc>
        <w:tc>
          <w:tcPr>
            <w:tcW w:w="913" w:type="dxa"/>
            <w:vAlign w:val="top"/>
          </w:tcPr>
          <w:p w14:paraId="0110DD04">
            <w:pPr>
              <w:spacing w:before="99" w:line="232" w:lineRule="auto"/>
              <w:ind w:left="256"/>
              <w:rPr>
                <w:rFonts w:ascii="仿宋" w:hAnsi="仿宋" w:eastAsia="仿宋" w:cs="仿宋"/>
                <w:sz w:val="20"/>
                <w:szCs w:val="20"/>
              </w:rPr>
            </w:pPr>
            <w:r>
              <w:rPr>
                <w:rFonts w:ascii="仿宋" w:hAnsi="仿宋" w:eastAsia="仿宋" w:cs="仿宋"/>
                <w:spacing w:val="2"/>
                <w:sz w:val="20"/>
                <w:szCs w:val="20"/>
              </w:rPr>
              <w:t>昼间</w:t>
            </w:r>
          </w:p>
        </w:tc>
        <w:tc>
          <w:tcPr>
            <w:tcW w:w="990" w:type="dxa"/>
            <w:vAlign w:val="top"/>
          </w:tcPr>
          <w:p w14:paraId="5F582D92">
            <w:pPr>
              <w:spacing w:before="99" w:line="231" w:lineRule="auto"/>
              <w:ind w:left="295"/>
              <w:rPr>
                <w:rFonts w:ascii="仿宋" w:hAnsi="仿宋" w:eastAsia="仿宋" w:cs="仿宋"/>
                <w:sz w:val="20"/>
                <w:szCs w:val="20"/>
              </w:rPr>
            </w:pPr>
            <w:r>
              <w:rPr>
                <w:rFonts w:ascii="仿宋" w:hAnsi="仿宋" w:eastAsia="仿宋" w:cs="仿宋"/>
                <w:spacing w:val="2"/>
                <w:sz w:val="20"/>
                <w:szCs w:val="20"/>
              </w:rPr>
              <w:t>夜间</w:t>
            </w:r>
          </w:p>
        </w:tc>
        <w:tc>
          <w:tcPr>
            <w:tcW w:w="817" w:type="dxa"/>
            <w:vAlign w:val="top"/>
          </w:tcPr>
          <w:p w14:paraId="474C6870">
            <w:pPr>
              <w:spacing w:before="99" w:line="232" w:lineRule="auto"/>
              <w:ind w:left="208"/>
              <w:rPr>
                <w:rFonts w:ascii="仿宋" w:hAnsi="仿宋" w:eastAsia="仿宋" w:cs="仿宋"/>
                <w:sz w:val="20"/>
                <w:szCs w:val="20"/>
              </w:rPr>
            </w:pPr>
            <w:r>
              <w:rPr>
                <w:rFonts w:ascii="仿宋" w:hAnsi="仿宋" w:eastAsia="仿宋" w:cs="仿宋"/>
                <w:spacing w:val="2"/>
                <w:sz w:val="20"/>
                <w:szCs w:val="20"/>
              </w:rPr>
              <w:t>昼间</w:t>
            </w:r>
          </w:p>
        </w:tc>
        <w:tc>
          <w:tcPr>
            <w:tcW w:w="992" w:type="dxa"/>
            <w:vAlign w:val="top"/>
          </w:tcPr>
          <w:p w14:paraId="275B5AB1">
            <w:pPr>
              <w:spacing w:before="99" w:line="231" w:lineRule="auto"/>
              <w:ind w:left="296"/>
              <w:rPr>
                <w:rFonts w:ascii="仿宋" w:hAnsi="仿宋" w:eastAsia="仿宋" w:cs="仿宋"/>
                <w:sz w:val="20"/>
                <w:szCs w:val="20"/>
              </w:rPr>
            </w:pPr>
            <w:r>
              <w:rPr>
                <w:rFonts w:ascii="仿宋" w:hAnsi="仿宋" w:eastAsia="仿宋" w:cs="仿宋"/>
                <w:spacing w:val="2"/>
                <w:sz w:val="20"/>
                <w:szCs w:val="20"/>
              </w:rPr>
              <w:t>夜间</w:t>
            </w:r>
          </w:p>
        </w:tc>
        <w:tc>
          <w:tcPr>
            <w:tcW w:w="981" w:type="dxa"/>
            <w:vAlign w:val="top"/>
          </w:tcPr>
          <w:p w14:paraId="42B2040F">
            <w:pPr>
              <w:spacing w:before="99" w:line="232" w:lineRule="auto"/>
              <w:ind w:left="292"/>
              <w:rPr>
                <w:rFonts w:ascii="仿宋" w:hAnsi="仿宋" w:eastAsia="仿宋" w:cs="仿宋"/>
                <w:sz w:val="20"/>
                <w:szCs w:val="20"/>
              </w:rPr>
            </w:pPr>
            <w:r>
              <w:rPr>
                <w:rFonts w:ascii="仿宋" w:hAnsi="仿宋" w:eastAsia="仿宋" w:cs="仿宋"/>
                <w:spacing w:val="2"/>
                <w:sz w:val="20"/>
                <w:szCs w:val="20"/>
              </w:rPr>
              <w:t>昼间</w:t>
            </w:r>
          </w:p>
        </w:tc>
        <w:tc>
          <w:tcPr>
            <w:tcW w:w="963" w:type="dxa"/>
            <w:vAlign w:val="top"/>
          </w:tcPr>
          <w:p w14:paraId="59CD002E">
            <w:pPr>
              <w:spacing w:before="99" w:line="231" w:lineRule="auto"/>
              <w:ind w:left="283"/>
              <w:rPr>
                <w:rFonts w:ascii="仿宋" w:hAnsi="仿宋" w:eastAsia="仿宋" w:cs="仿宋"/>
                <w:sz w:val="20"/>
                <w:szCs w:val="20"/>
              </w:rPr>
            </w:pPr>
            <w:r>
              <w:rPr>
                <w:rFonts w:ascii="仿宋" w:hAnsi="仿宋" w:eastAsia="仿宋" w:cs="仿宋"/>
                <w:spacing w:val="2"/>
                <w:sz w:val="20"/>
                <w:szCs w:val="20"/>
              </w:rPr>
              <w:t>夜间</w:t>
            </w:r>
          </w:p>
        </w:tc>
        <w:tc>
          <w:tcPr>
            <w:tcW w:w="835" w:type="dxa"/>
            <w:vAlign w:val="top"/>
          </w:tcPr>
          <w:p w14:paraId="362205B4">
            <w:pPr>
              <w:spacing w:before="99" w:line="232" w:lineRule="auto"/>
              <w:ind w:left="218"/>
              <w:rPr>
                <w:rFonts w:ascii="仿宋" w:hAnsi="仿宋" w:eastAsia="仿宋" w:cs="仿宋"/>
                <w:sz w:val="20"/>
                <w:szCs w:val="20"/>
              </w:rPr>
            </w:pPr>
            <w:r>
              <w:rPr>
                <w:rFonts w:ascii="仿宋" w:hAnsi="仿宋" w:eastAsia="仿宋" w:cs="仿宋"/>
                <w:spacing w:val="2"/>
                <w:sz w:val="20"/>
                <w:szCs w:val="20"/>
              </w:rPr>
              <w:t>昼间</w:t>
            </w:r>
          </w:p>
        </w:tc>
        <w:tc>
          <w:tcPr>
            <w:tcW w:w="895" w:type="dxa"/>
            <w:tcBorders>
              <w:right w:val="nil"/>
            </w:tcBorders>
            <w:vAlign w:val="top"/>
          </w:tcPr>
          <w:p w14:paraId="1D666787">
            <w:pPr>
              <w:spacing w:before="99" w:line="231" w:lineRule="auto"/>
              <w:ind w:left="252"/>
              <w:rPr>
                <w:rFonts w:ascii="仿宋" w:hAnsi="仿宋" w:eastAsia="仿宋" w:cs="仿宋"/>
                <w:sz w:val="20"/>
                <w:szCs w:val="20"/>
              </w:rPr>
            </w:pPr>
            <w:r>
              <w:rPr>
                <w:rFonts w:ascii="仿宋" w:hAnsi="仿宋" w:eastAsia="仿宋" w:cs="仿宋"/>
                <w:spacing w:val="2"/>
                <w:sz w:val="20"/>
                <w:szCs w:val="20"/>
              </w:rPr>
              <w:t>夜间</w:t>
            </w:r>
          </w:p>
        </w:tc>
      </w:tr>
      <w:tr w14:paraId="00FC30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 w:hRule="atLeast"/>
        </w:trPr>
        <w:tc>
          <w:tcPr>
            <w:tcW w:w="929" w:type="dxa"/>
            <w:tcBorders>
              <w:left w:val="nil"/>
            </w:tcBorders>
            <w:vAlign w:val="top"/>
          </w:tcPr>
          <w:p w14:paraId="4CB434CD">
            <w:pPr>
              <w:pStyle w:val="6"/>
              <w:spacing w:before="140" w:line="195" w:lineRule="auto"/>
              <w:ind w:left="432"/>
              <w:rPr>
                <w:sz w:val="20"/>
                <w:szCs w:val="20"/>
              </w:rPr>
            </w:pPr>
            <w:r>
              <w:rPr>
                <w:sz w:val="20"/>
                <w:szCs w:val="20"/>
              </w:rPr>
              <w:t>1</w:t>
            </w:r>
          </w:p>
        </w:tc>
        <w:tc>
          <w:tcPr>
            <w:tcW w:w="913" w:type="dxa"/>
            <w:vAlign w:val="top"/>
          </w:tcPr>
          <w:p w14:paraId="2031F30C">
            <w:pPr>
              <w:pStyle w:val="6"/>
              <w:spacing w:before="104" w:line="270" w:lineRule="exact"/>
              <w:ind w:left="186"/>
              <w:rPr>
                <w:sz w:val="20"/>
                <w:szCs w:val="20"/>
              </w:rPr>
            </w:pPr>
            <w:r>
              <w:rPr>
                <w:rFonts w:ascii="仿宋" w:hAnsi="仿宋" w:eastAsia="仿宋" w:cs="仿宋"/>
                <w:spacing w:val="25"/>
                <w:position w:val="1"/>
                <w:sz w:val="20"/>
                <w:szCs w:val="20"/>
              </w:rPr>
              <w:t>&lt;</w:t>
            </w:r>
            <w:r>
              <w:rPr>
                <w:spacing w:val="25"/>
                <w:position w:val="1"/>
                <w:sz w:val="20"/>
                <w:szCs w:val="20"/>
              </w:rPr>
              <w:t>10m</w:t>
            </w:r>
          </w:p>
        </w:tc>
        <w:tc>
          <w:tcPr>
            <w:tcW w:w="990" w:type="dxa"/>
            <w:vAlign w:val="top"/>
          </w:tcPr>
          <w:p w14:paraId="4537EF5C">
            <w:pPr>
              <w:pStyle w:val="6"/>
              <w:spacing w:before="104" w:line="270" w:lineRule="exact"/>
              <w:ind w:left="224"/>
              <w:rPr>
                <w:sz w:val="20"/>
                <w:szCs w:val="20"/>
              </w:rPr>
            </w:pPr>
            <w:r>
              <w:rPr>
                <w:rFonts w:ascii="仿宋" w:hAnsi="仿宋" w:eastAsia="仿宋" w:cs="仿宋"/>
                <w:spacing w:val="25"/>
                <w:position w:val="1"/>
                <w:sz w:val="20"/>
                <w:szCs w:val="20"/>
              </w:rPr>
              <w:t>&lt;</w:t>
            </w:r>
            <w:r>
              <w:rPr>
                <w:spacing w:val="25"/>
                <w:position w:val="1"/>
                <w:sz w:val="20"/>
                <w:szCs w:val="20"/>
              </w:rPr>
              <w:t>10m</w:t>
            </w:r>
          </w:p>
        </w:tc>
        <w:tc>
          <w:tcPr>
            <w:tcW w:w="817" w:type="dxa"/>
            <w:vAlign w:val="top"/>
          </w:tcPr>
          <w:p w14:paraId="3D8DECD1">
            <w:pPr>
              <w:pStyle w:val="6"/>
              <w:spacing w:before="104" w:line="270" w:lineRule="exact"/>
              <w:ind w:left="138"/>
              <w:rPr>
                <w:sz w:val="20"/>
                <w:szCs w:val="20"/>
              </w:rPr>
            </w:pPr>
            <w:r>
              <w:rPr>
                <w:rFonts w:ascii="仿宋" w:hAnsi="仿宋" w:eastAsia="仿宋" w:cs="仿宋"/>
                <w:spacing w:val="25"/>
                <w:position w:val="1"/>
                <w:sz w:val="20"/>
                <w:szCs w:val="20"/>
              </w:rPr>
              <w:t>&lt;</w:t>
            </w:r>
            <w:r>
              <w:rPr>
                <w:spacing w:val="25"/>
                <w:position w:val="1"/>
                <w:sz w:val="20"/>
                <w:szCs w:val="20"/>
              </w:rPr>
              <w:t>10m</w:t>
            </w:r>
          </w:p>
        </w:tc>
        <w:tc>
          <w:tcPr>
            <w:tcW w:w="992" w:type="dxa"/>
            <w:vAlign w:val="top"/>
          </w:tcPr>
          <w:p w14:paraId="7FB4BB72">
            <w:pPr>
              <w:pStyle w:val="6"/>
              <w:spacing w:before="104" w:line="270" w:lineRule="exact"/>
              <w:ind w:left="226"/>
              <w:rPr>
                <w:sz w:val="20"/>
                <w:szCs w:val="20"/>
              </w:rPr>
            </w:pPr>
            <w:r>
              <w:rPr>
                <w:rFonts w:ascii="仿宋" w:hAnsi="仿宋" w:eastAsia="仿宋" w:cs="仿宋"/>
                <w:spacing w:val="25"/>
                <w:position w:val="1"/>
                <w:sz w:val="20"/>
                <w:szCs w:val="20"/>
              </w:rPr>
              <w:t>&lt;</w:t>
            </w:r>
            <w:r>
              <w:rPr>
                <w:spacing w:val="25"/>
                <w:position w:val="1"/>
                <w:sz w:val="20"/>
                <w:szCs w:val="20"/>
              </w:rPr>
              <w:t>10m</w:t>
            </w:r>
          </w:p>
        </w:tc>
        <w:tc>
          <w:tcPr>
            <w:tcW w:w="981" w:type="dxa"/>
            <w:vAlign w:val="top"/>
          </w:tcPr>
          <w:p w14:paraId="764B1D69">
            <w:pPr>
              <w:pStyle w:val="6"/>
              <w:spacing w:before="104" w:line="270" w:lineRule="exact"/>
              <w:ind w:left="221"/>
              <w:rPr>
                <w:sz w:val="20"/>
                <w:szCs w:val="20"/>
              </w:rPr>
            </w:pPr>
            <w:r>
              <w:rPr>
                <w:rFonts w:ascii="仿宋" w:hAnsi="仿宋" w:eastAsia="仿宋" w:cs="仿宋"/>
                <w:spacing w:val="25"/>
                <w:position w:val="1"/>
                <w:sz w:val="20"/>
                <w:szCs w:val="20"/>
              </w:rPr>
              <w:t>&lt;</w:t>
            </w:r>
            <w:r>
              <w:rPr>
                <w:spacing w:val="25"/>
                <w:position w:val="1"/>
                <w:sz w:val="20"/>
                <w:szCs w:val="20"/>
              </w:rPr>
              <w:t>10m</w:t>
            </w:r>
          </w:p>
        </w:tc>
        <w:tc>
          <w:tcPr>
            <w:tcW w:w="963" w:type="dxa"/>
            <w:vAlign w:val="top"/>
          </w:tcPr>
          <w:p w14:paraId="573AB8B5">
            <w:pPr>
              <w:pStyle w:val="6"/>
              <w:spacing w:before="104" w:line="270" w:lineRule="exact"/>
              <w:ind w:left="212"/>
              <w:rPr>
                <w:sz w:val="20"/>
                <w:szCs w:val="20"/>
              </w:rPr>
            </w:pPr>
            <w:r>
              <w:rPr>
                <w:rFonts w:ascii="仿宋" w:hAnsi="仿宋" w:eastAsia="仿宋" w:cs="仿宋"/>
                <w:spacing w:val="25"/>
                <w:position w:val="1"/>
                <w:sz w:val="20"/>
                <w:szCs w:val="20"/>
              </w:rPr>
              <w:t>&lt;</w:t>
            </w:r>
            <w:r>
              <w:rPr>
                <w:spacing w:val="25"/>
                <w:position w:val="1"/>
                <w:sz w:val="20"/>
                <w:szCs w:val="20"/>
              </w:rPr>
              <w:t>10m</w:t>
            </w:r>
          </w:p>
        </w:tc>
        <w:tc>
          <w:tcPr>
            <w:tcW w:w="835" w:type="dxa"/>
            <w:vAlign w:val="top"/>
          </w:tcPr>
          <w:p w14:paraId="489C641F">
            <w:pPr>
              <w:pStyle w:val="6"/>
              <w:spacing w:before="143" w:line="192" w:lineRule="auto"/>
              <w:ind w:left="320"/>
              <w:rPr>
                <w:sz w:val="20"/>
                <w:szCs w:val="20"/>
              </w:rPr>
            </w:pPr>
            <w:r>
              <w:rPr>
                <w:sz w:val="20"/>
                <w:szCs w:val="20"/>
              </w:rPr>
              <w:t>55</w:t>
            </w:r>
          </w:p>
        </w:tc>
        <w:tc>
          <w:tcPr>
            <w:tcW w:w="895" w:type="dxa"/>
            <w:tcBorders>
              <w:right w:val="nil"/>
            </w:tcBorders>
            <w:vAlign w:val="top"/>
          </w:tcPr>
          <w:p w14:paraId="3739E7E8">
            <w:pPr>
              <w:pStyle w:val="6"/>
              <w:spacing w:before="140" w:line="195" w:lineRule="auto"/>
              <w:ind w:left="347"/>
              <w:rPr>
                <w:sz w:val="20"/>
                <w:szCs w:val="20"/>
              </w:rPr>
            </w:pPr>
            <w:r>
              <w:rPr>
                <w:spacing w:val="3"/>
                <w:sz w:val="20"/>
                <w:szCs w:val="20"/>
              </w:rPr>
              <w:t>45</w:t>
            </w:r>
          </w:p>
        </w:tc>
      </w:tr>
      <w:tr w14:paraId="33D764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929" w:type="dxa"/>
            <w:tcBorders>
              <w:left w:val="nil"/>
              <w:bottom w:val="single" w:color="000000" w:sz="10" w:space="0"/>
            </w:tcBorders>
            <w:vAlign w:val="top"/>
          </w:tcPr>
          <w:p w14:paraId="276B5B3A">
            <w:pPr>
              <w:pStyle w:val="6"/>
              <w:spacing w:before="147" w:line="195" w:lineRule="auto"/>
              <w:ind w:left="365"/>
              <w:rPr>
                <w:sz w:val="20"/>
                <w:szCs w:val="20"/>
              </w:rPr>
            </w:pPr>
            <w:r>
              <w:rPr>
                <w:spacing w:val="3"/>
                <w:sz w:val="20"/>
                <w:szCs w:val="20"/>
              </w:rPr>
              <w:t>4a</w:t>
            </w:r>
          </w:p>
        </w:tc>
        <w:tc>
          <w:tcPr>
            <w:tcW w:w="913" w:type="dxa"/>
            <w:tcBorders>
              <w:bottom w:val="single" w:color="000000" w:sz="10" w:space="0"/>
            </w:tcBorders>
            <w:vAlign w:val="top"/>
          </w:tcPr>
          <w:p w14:paraId="18046D11">
            <w:pPr>
              <w:pStyle w:val="6"/>
              <w:spacing w:before="111" w:line="270" w:lineRule="exact"/>
              <w:ind w:left="186"/>
              <w:rPr>
                <w:sz w:val="20"/>
                <w:szCs w:val="20"/>
              </w:rPr>
            </w:pPr>
            <w:r>
              <w:rPr>
                <w:rFonts w:ascii="仿宋" w:hAnsi="仿宋" w:eastAsia="仿宋" w:cs="仿宋"/>
                <w:spacing w:val="25"/>
                <w:position w:val="1"/>
                <w:sz w:val="20"/>
                <w:szCs w:val="20"/>
              </w:rPr>
              <w:t>&lt;</w:t>
            </w:r>
            <w:r>
              <w:rPr>
                <w:spacing w:val="25"/>
                <w:position w:val="1"/>
                <w:sz w:val="20"/>
                <w:szCs w:val="20"/>
              </w:rPr>
              <w:t>10m</w:t>
            </w:r>
          </w:p>
        </w:tc>
        <w:tc>
          <w:tcPr>
            <w:tcW w:w="990" w:type="dxa"/>
            <w:tcBorders>
              <w:bottom w:val="single" w:color="000000" w:sz="10" w:space="0"/>
            </w:tcBorders>
            <w:vAlign w:val="top"/>
          </w:tcPr>
          <w:p w14:paraId="5DA26C7F">
            <w:pPr>
              <w:pStyle w:val="6"/>
              <w:spacing w:before="111" w:line="270" w:lineRule="exact"/>
              <w:ind w:left="224"/>
              <w:rPr>
                <w:sz w:val="20"/>
                <w:szCs w:val="20"/>
              </w:rPr>
            </w:pPr>
            <w:r>
              <w:rPr>
                <w:rFonts w:ascii="仿宋" w:hAnsi="仿宋" w:eastAsia="仿宋" w:cs="仿宋"/>
                <w:spacing w:val="25"/>
                <w:position w:val="1"/>
                <w:sz w:val="20"/>
                <w:szCs w:val="20"/>
              </w:rPr>
              <w:t>&lt;</w:t>
            </w:r>
            <w:r>
              <w:rPr>
                <w:spacing w:val="25"/>
                <w:position w:val="1"/>
                <w:sz w:val="20"/>
                <w:szCs w:val="20"/>
              </w:rPr>
              <w:t>10m</w:t>
            </w:r>
          </w:p>
        </w:tc>
        <w:tc>
          <w:tcPr>
            <w:tcW w:w="817" w:type="dxa"/>
            <w:tcBorders>
              <w:bottom w:val="single" w:color="000000" w:sz="10" w:space="0"/>
            </w:tcBorders>
            <w:vAlign w:val="top"/>
          </w:tcPr>
          <w:p w14:paraId="05D8A584">
            <w:pPr>
              <w:pStyle w:val="6"/>
              <w:spacing w:before="111" w:line="270" w:lineRule="exact"/>
              <w:ind w:left="138"/>
              <w:rPr>
                <w:sz w:val="20"/>
                <w:szCs w:val="20"/>
              </w:rPr>
            </w:pPr>
            <w:r>
              <w:rPr>
                <w:rFonts w:ascii="仿宋" w:hAnsi="仿宋" w:eastAsia="仿宋" w:cs="仿宋"/>
                <w:spacing w:val="25"/>
                <w:position w:val="1"/>
                <w:sz w:val="20"/>
                <w:szCs w:val="20"/>
              </w:rPr>
              <w:t>&lt;</w:t>
            </w:r>
            <w:r>
              <w:rPr>
                <w:spacing w:val="25"/>
                <w:position w:val="1"/>
                <w:sz w:val="20"/>
                <w:szCs w:val="20"/>
              </w:rPr>
              <w:t>10m</w:t>
            </w:r>
          </w:p>
        </w:tc>
        <w:tc>
          <w:tcPr>
            <w:tcW w:w="992" w:type="dxa"/>
            <w:tcBorders>
              <w:bottom w:val="single" w:color="000000" w:sz="10" w:space="0"/>
            </w:tcBorders>
            <w:vAlign w:val="top"/>
          </w:tcPr>
          <w:p w14:paraId="7F14F86D">
            <w:pPr>
              <w:pStyle w:val="6"/>
              <w:spacing w:before="111" w:line="270" w:lineRule="exact"/>
              <w:ind w:left="226"/>
              <w:rPr>
                <w:sz w:val="20"/>
                <w:szCs w:val="20"/>
              </w:rPr>
            </w:pPr>
            <w:r>
              <w:rPr>
                <w:rFonts w:ascii="仿宋" w:hAnsi="仿宋" w:eastAsia="仿宋" w:cs="仿宋"/>
                <w:spacing w:val="25"/>
                <w:position w:val="1"/>
                <w:sz w:val="20"/>
                <w:szCs w:val="20"/>
              </w:rPr>
              <w:t>&lt;</w:t>
            </w:r>
            <w:r>
              <w:rPr>
                <w:spacing w:val="25"/>
                <w:position w:val="1"/>
                <w:sz w:val="20"/>
                <w:szCs w:val="20"/>
              </w:rPr>
              <w:t>10m</w:t>
            </w:r>
          </w:p>
        </w:tc>
        <w:tc>
          <w:tcPr>
            <w:tcW w:w="981" w:type="dxa"/>
            <w:tcBorders>
              <w:bottom w:val="single" w:color="000000" w:sz="10" w:space="0"/>
            </w:tcBorders>
            <w:vAlign w:val="top"/>
          </w:tcPr>
          <w:p w14:paraId="595A6F4C">
            <w:pPr>
              <w:pStyle w:val="6"/>
              <w:spacing w:before="111" w:line="270" w:lineRule="exact"/>
              <w:ind w:left="221"/>
              <w:rPr>
                <w:sz w:val="20"/>
                <w:szCs w:val="20"/>
              </w:rPr>
            </w:pPr>
            <w:r>
              <w:rPr>
                <w:rFonts w:ascii="仿宋" w:hAnsi="仿宋" w:eastAsia="仿宋" w:cs="仿宋"/>
                <w:spacing w:val="25"/>
                <w:position w:val="1"/>
                <w:sz w:val="20"/>
                <w:szCs w:val="20"/>
              </w:rPr>
              <w:t>&lt;</w:t>
            </w:r>
            <w:r>
              <w:rPr>
                <w:spacing w:val="25"/>
                <w:position w:val="1"/>
                <w:sz w:val="20"/>
                <w:szCs w:val="20"/>
              </w:rPr>
              <w:t>10m</w:t>
            </w:r>
          </w:p>
        </w:tc>
        <w:tc>
          <w:tcPr>
            <w:tcW w:w="963" w:type="dxa"/>
            <w:tcBorders>
              <w:bottom w:val="single" w:color="000000" w:sz="10" w:space="0"/>
            </w:tcBorders>
            <w:vAlign w:val="top"/>
          </w:tcPr>
          <w:p w14:paraId="3E24479A">
            <w:pPr>
              <w:pStyle w:val="6"/>
              <w:spacing w:before="111" w:line="270" w:lineRule="exact"/>
              <w:ind w:left="212"/>
              <w:rPr>
                <w:sz w:val="20"/>
                <w:szCs w:val="20"/>
              </w:rPr>
            </w:pPr>
            <w:r>
              <w:rPr>
                <w:rFonts w:ascii="仿宋" w:hAnsi="仿宋" w:eastAsia="仿宋" w:cs="仿宋"/>
                <w:spacing w:val="25"/>
                <w:position w:val="1"/>
                <w:sz w:val="20"/>
                <w:szCs w:val="20"/>
              </w:rPr>
              <w:t>&lt;</w:t>
            </w:r>
            <w:r>
              <w:rPr>
                <w:spacing w:val="25"/>
                <w:position w:val="1"/>
                <w:sz w:val="20"/>
                <w:szCs w:val="20"/>
              </w:rPr>
              <w:t>10m</w:t>
            </w:r>
          </w:p>
        </w:tc>
        <w:tc>
          <w:tcPr>
            <w:tcW w:w="835" w:type="dxa"/>
            <w:tcBorders>
              <w:bottom w:val="single" w:color="000000" w:sz="10" w:space="0"/>
            </w:tcBorders>
            <w:vAlign w:val="top"/>
          </w:tcPr>
          <w:p w14:paraId="3272E580">
            <w:pPr>
              <w:pStyle w:val="6"/>
              <w:spacing w:before="147" w:line="195" w:lineRule="auto"/>
              <w:ind w:left="318"/>
              <w:rPr>
                <w:sz w:val="20"/>
                <w:szCs w:val="20"/>
              </w:rPr>
            </w:pPr>
            <w:r>
              <w:rPr>
                <w:spacing w:val="1"/>
                <w:sz w:val="20"/>
                <w:szCs w:val="20"/>
              </w:rPr>
              <w:t>70</w:t>
            </w:r>
          </w:p>
        </w:tc>
        <w:tc>
          <w:tcPr>
            <w:tcW w:w="895" w:type="dxa"/>
            <w:tcBorders>
              <w:bottom w:val="single" w:color="000000" w:sz="10" w:space="0"/>
              <w:right w:val="nil"/>
            </w:tcBorders>
            <w:vAlign w:val="top"/>
          </w:tcPr>
          <w:p w14:paraId="74CCB362">
            <w:pPr>
              <w:pStyle w:val="6"/>
              <w:spacing w:before="150" w:line="192" w:lineRule="auto"/>
              <w:ind w:left="354"/>
              <w:rPr>
                <w:sz w:val="20"/>
                <w:szCs w:val="20"/>
              </w:rPr>
            </w:pPr>
            <w:r>
              <w:rPr>
                <w:sz w:val="20"/>
                <w:szCs w:val="20"/>
              </w:rPr>
              <w:t>55</w:t>
            </w:r>
          </w:p>
        </w:tc>
      </w:tr>
    </w:tbl>
    <w:p w14:paraId="318F3F20">
      <w:pPr>
        <w:spacing w:before="115" w:line="360" w:lineRule="auto"/>
        <w:ind w:left="123" w:firstLine="480"/>
        <w:rPr>
          <w:rFonts w:ascii="仿宋" w:hAnsi="仿宋" w:eastAsia="仿宋" w:cs="仿宋"/>
          <w:sz w:val="24"/>
          <w:szCs w:val="24"/>
        </w:rPr>
      </w:pPr>
      <w:r>
        <w:rPr>
          <w:rFonts w:ascii="仿宋" w:hAnsi="仿宋" w:eastAsia="仿宋" w:cs="仿宋"/>
          <w:spacing w:val="-3"/>
          <w:sz w:val="24"/>
          <w:szCs w:val="24"/>
        </w:rPr>
        <w:t>根据以上预测结果可知，项目交通噪声随距道</w:t>
      </w:r>
      <w:r>
        <w:rPr>
          <w:rFonts w:ascii="仿宋" w:hAnsi="仿宋" w:eastAsia="仿宋" w:cs="仿宋"/>
          <w:spacing w:val="-4"/>
          <w:sz w:val="24"/>
          <w:szCs w:val="24"/>
        </w:rPr>
        <w:t>路水平距离增加逐步衰减；同</w:t>
      </w:r>
      <w:r>
        <w:rPr>
          <w:rFonts w:ascii="仿宋" w:hAnsi="仿宋" w:eastAsia="仿宋" w:cs="仿宋"/>
          <w:sz w:val="24"/>
          <w:szCs w:val="24"/>
        </w:rPr>
        <w:t>一距离下噪声贡献值远期略高于中期、近期，昼间噪声高于夜间，夜间噪声近、</w:t>
      </w:r>
      <w:r>
        <w:rPr>
          <w:rFonts w:ascii="仿宋" w:hAnsi="仿宋" w:eastAsia="仿宋" w:cs="仿宋"/>
          <w:spacing w:val="-9"/>
          <w:sz w:val="24"/>
          <w:szCs w:val="24"/>
        </w:rPr>
        <w:t>中、远期数值无变化。全线最大噪声贡献值为远期路中心线</w:t>
      </w:r>
      <w:r>
        <w:rPr>
          <w:rFonts w:ascii="仿宋" w:hAnsi="仿宋" w:eastAsia="仿宋" w:cs="仿宋"/>
          <w:spacing w:val="-66"/>
          <w:sz w:val="24"/>
          <w:szCs w:val="24"/>
        </w:rPr>
        <w:t xml:space="preserve"> </w:t>
      </w:r>
      <w:r>
        <w:rPr>
          <w:rFonts w:ascii="仿宋" w:hAnsi="仿宋" w:eastAsia="仿宋" w:cs="仿宋"/>
          <w:spacing w:val="-9"/>
          <w:sz w:val="24"/>
          <w:szCs w:val="24"/>
        </w:rPr>
        <w:t>20m</w:t>
      </w:r>
      <w:r>
        <w:rPr>
          <w:rFonts w:ascii="仿宋" w:hAnsi="仿宋" w:eastAsia="仿宋" w:cs="仿宋"/>
          <w:spacing w:val="-61"/>
          <w:sz w:val="24"/>
          <w:szCs w:val="24"/>
        </w:rPr>
        <w:t xml:space="preserve"> </w:t>
      </w:r>
      <w:r>
        <w:rPr>
          <w:rFonts w:ascii="仿宋" w:hAnsi="仿宋" w:eastAsia="仿宋" w:cs="仿宋"/>
          <w:spacing w:val="-9"/>
          <w:sz w:val="24"/>
          <w:szCs w:val="24"/>
        </w:rPr>
        <w:t>昼间 40.00dB (</w:t>
      </w:r>
      <w:r>
        <w:rPr>
          <w:rFonts w:ascii="仿宋" w:hAnsi="仿宋" w:eastAsia="仿宋" w:cs="仿宋"/>
          <w:spacing w:val="-10"/>
          <w:sz w:val="24"/>
          <w:szCs w:val="24"/>
        </w:rPr>
        <w:t>A)，</w:t>
      </w:r>
      <w:r>
        <w:rPr>
          <w:rFonts w:ascii="仿宋" w:hAnsi="仿宋" w:eastAsia="仿宋" w:cs="仿宋"/>
          <w:spacing w:val="-2"/>
          <w:sz w:val="24"/>
          <w:szCs w:val="24"/>
        </w:rPr>
        <w:t>整体噪声水平较低。</w:t>
      </w:r>
    </w:p>
    <w:p w14:paraId="0B72BAC9">
      <w:pPr>
        <w:spacing w:line="360" w:lineRule="auto"/>
        <w:ind w:left="123" w:right="108" w:firstLine="481"/>
        <w:jc w:val="both"/>
        <w:rPr>
          <w:rFonts w:ascii="仿宋" w:hAnsi="仿宋" w:eastAsia="仿宋" w:cs="仿宋"/>
          <w:sz w:val="24"/>
          <w:szCs w:val="24"/>
        </w:rPr>
      </w:pPr>
      <w:r>
        <w:rPr>
          <w:rFonts w:ascii="仿宋" w:hAnsi="仿宋" w:eastAsia="仿宋" w:cs="仿宋"/>
          <w:spacing w:val="-10"/>
          <w:sz w:val="24"/>
          <w:szCs w:val="24"/>
        </w:rPr>
        <w:t>对照声环境标准，1</w:t>
      </w:r>
      <w:r>
        <w:rPr>
          <w:rFonts w:ascii="仿宋" w:hAnsi="仿宋" w:eastAsia="仿宋" w:cs="仿宋"/>
          <w:spacing w:val="-65"/>
          <w:sz w:val="24"/>
          <w:szCs w:val="24"/>
        </w:rPr>
        <w:t xml:space="preserve"> </w:t>
      </w:r>
      <w:r>
        <w:rPr>
          <w:rFonts w:ascii="仿宋" w:hAnsi="仿宋" w:eastAsia="仿宋" w:cs="仿宋"/>
          <w:spacing w:val="-10"/>
          <w:sz w:val="24"/>
          <w:szCs w:val="24"/>
        </w:rPr>
        <w:t>类区昼间55dB (A</w:t>
      </w:r>
      <w:r>
        <w:rPr>
          <w:rFonts w:ascii="仿宋" w:hAnsi="仿宋" w:eastAsia="仿宋" w:cs="仿宋"/>
          <w:spacing w:val="-11"/>
          <w:sz w:val="24"/>
          <w:szCs w:val="24"/>
        </w:rPr>
        <w:t>)、夜间45dB (A)，4a</w:t>
      </w:r>
      <w:r>
        <w:rPr>
          <w:rFonts w:ascii="仿宋" w:hAnsi="仿宋" w:eastAsia="仿宋" w:cs="仿宋"/>
          <w:spacing w:val="-63"/>
          <w:sz w:val="24"/>
          <w:szCs w:val="24"/>
        </w:rPr>
        <w:t xml:space="preserve"> </w:t>
      </w:r>
      <w:r>
        <w:rPr>
          <w:rFonts w:ascii="仿宋" w:hAnsi="仿宋" w:eastAsia="仿宋" w:cs="仿宋"/>
          <w:spacing w:val="-11"/>
          <w:sz w:val="24"/>
          <w:szCs w:val="24"/>
        </w:rPr>
        <w:t>类区昼间 70dB(A)、</w:t>
      </w:r>
      <w:r>
        <w:rPr>
          <w:rFonts w:ascii="仿宋" w:hAnsi="仿宋" w:eastAsia="仿宋" w:cs="仿宋"/>
          <w:spacing w:val="-3"/>
          <w:sz w:val="24"/>
          <w:szCs w:val="24"/>
        </w:rPr>
        <w:t>夜间</w:t>
      </w:r>
      <w:r>
        <w:rPr>
          <w:rFonts w:ascii="仿宋" w:hAnsi="仿宋" w:eastAsia="仿宋" w:cs="仿宋"/>
          <w:spacing w:val="-47"/>
          <w:sz w:val="24"/>
          <w:szCs w:val="24"/>
        </w:rPr>
        <w:t xml:space="preserve"> </w:t>
      </w:r>
      <w:r>
        <w:rPr>
          <w:rFonts w:ascii="仿宋" w:hAnsi="仿宋" w:eastAsia="仿宋" w:cs="仿宋"/>
          <w:spacing w:val="-3"/>
          <w:sz w:val="24"/>
          <w:szCs w:val="24"/>
        </w:rPr>
        <w:t>55dB</w:t>
      </w:r>
      <w:r>
        <w:rPr>
          <w:rFonts w:ascii="仿宋" w:hAnsi="仿宋" w:eastAsia="仿宋" w:cs="仿宋"/>
          <w:spacing w:val="50"/>
          <w:sz w:val="24"/>
          <w:szCs w:val="24"/>
        </w:rPr>
        <w:t xml:space="preserve"> </w:t>
      </w:r>
      <w:r>
        <w:rPr>
          <w:rFonts w:ascii="仿宋" w:hAnsi="仿宋" w:eastAsia="仿宋" w:cs="仿宋"/>
          <w:spacing w:val="-3"/>
          <w:sz w:val="24"/>
          <w:szCs w:val="24"/>
        </w:rPr>
        <w:t>(A)；近、中、远期昼、夜间噪声达标距离均小于道路中</w:t>
      </w:r>
      <w:r>
        <w:rPr>
          <w:rFonts w:ascii="仿宋" w:hAnsi="仿宋" w:eastAsia="仿宋" w:cs="仿宋"/>
          <w:spacing w:val="-4"/>
          <w:sz w:val="24"/>
          <w:szCs w:val="24"/>
        </w:rPr>
        <w:t>心线外</w:t>
      </w:r>
      <w:r>
        <w:rPr>
          <w:rFonts w:ascii="仿宋" w:hAnsi="仿宋" w:eastAsia="仿宋" w:cs="仿宋"/>
          <w:spacing w:val="-33"/>
          <w:sz w:val="24"/>
          <w:szCs w:val="24"/>
        </w:rPr>
        <w:t xml:space="preserve"> </w:t>
      </w:r>
      <w:r>
        <w:rPr>
          <w:rFonts w:ascii="仿宋" w:hAnsi="仿宋" w:eastAsia="仿宋" w:cs="仿宋"/>
          <w:spacing w:val="-4"/>
          <w:sz w:val="24"/>
          <w:szCs w:val="24"/>
        </w:rPr>
        <w:t>10m。</w:t>
      </w:r>
      <w:r>
        <w:rPr>
          <w:rFonts w:ascii="仿宋" w:hAnsi="仿宋" w:eastAsia="仿宋" w:cs="仿宋"/>
          <w:spacing w:val="-3"/>
          <w:sz w:val="24"/>
          <w:szCs w:val="24"/>
        </w:rPr>
        <w:t>项目沿线道路中心线外</w:t>
      </w:r>
      <w:r>
        <w:rPr>
          <w:rFonts w:ascii="仿宋" w:hAnsi="仿宋" w:eastAsia="仿宋" w:cs="仿宋"/>
          <w:spacing w:val="-34"/>
          <w:sz w:val="24"/>
          <w:szCs w:val="24"/>
        </w:rPr>
        <w:t xml:space="preserve"> </w:t>
      </w:r>
      <w:r>
        <w:rPr>
          <w:rFonts w:ascii="仿宋" w:hAnsi="仿宋" w:eastAsia="仿宋" w:cs="仿宋"/>
          <w:spacing w:val="-3"/>
          <w:sz w:val="24"/>
          <w:szCs w:val="24"/>
        </w:rPr>
        <w:t>10m</w:t>
      </w:r>
      <w:r>
        <w:rPr>
          <w:rFonts w:ascii="仿宋" w:hAnsi="仿宋" w:eastAsia="仿宋" w:cs="仿宋"/>
          <w:spacing w:val="-31"/>
          <w:sz w:val="24"/>
          <w:szCs w:val="24"/>
        </w:rPr>
        <w:t xml:space="preserve"> </w:t>
      </w:r>
      <w:r>
        <w:rPr>
          <w:rFonts w:ascii="仿宋" w:hAnsi="仿宋" w:eastAsia="仿宋" w:cs="仿宋"/>
          <w:spacing w:val="-3"/>
          <w:sz w:val="24"/>
          <w:szCs w:val="24"/>
        </w:rPr>
        <w:t>范围内即可同时满足</w:t>
      </w:r>
      <w:r>
        <w:rPr>
          <w:rFonts w:ascii="仿宋" w:hAnsi="仿宋" w:eastAsia="仿宋" w:cs="仿宋"/>
          <w:spacing w:val="-50"/>
          <w:sz w:val="24"/>
          <w:szCs w:val="24"/>
        </w:rPr>
        <w:t xml:space="preserve"> </w:t>
      </w:r>
      <w:r>
        <w:rPr>
          <w:rFonts w:ascii="仿宋" w:hAnsi="仿宋" w:eastAsia="仿宋" w:cs="仿宋"/>
          <w:spacing w:val="-4"/>
          <w:sz w:val="24"/>
          <w:szCs w:val="24"/>
        </w:rPr>
        <w:t>4a</w:t>
      </w:r>
      <w:r>
        <w:rPr>
          <w:rFonts w:ascii="仿宋" w:hAnsi="仿宋" w:eastAsia="仿宋" w:cs="仿宋"/>
          <w:spacing w:val="-41"/>
          <w:sz w:val="24"/>
          <w:szCs w:val="24"/>
        </w:rPr>
        <w:t xml:space="preserve"> </w:t>
      </w:r>
      <w:r>
        <w:rPr>
          <w:rFonts w:ascii="仿宋" w:hAnsi="仿宋" w:eastAsia="仿宋" w:cs="仿宋"/>
          <w:spacing w:val="-4"/>
          <w:sz w:val="24"/>
          <w:szCs w:val="24"/>
        </w:rPr>
        <w:t>类道路临街标准与</w:t>
      </w:r>
      <w:r>
        <w:rPr>
          <w:rFonts w:ascii="仿宋" w:hAnsi="仿宋" w:eastAsia="仿宋" w:cs="仿宋"/>
          <w:spacing w:val="-32"/>
          <w:sz w:val="24"/>
          <w:szCs w:val="24"/>
        </w:rPr>
        <w:t xml:space="preserve"> </w:t>
      </w:r>
      <w:r>
        <w:rPr>
          <w:rFonts w:ascii="仿宋" w:hAnsi="仿宋" w:eastAsia="仿宋" w:cs="仿宋"/>
          <w:spacing w:val="-4"/>
          <w:sz w:val="24"/>
          <w:szCs w:val="24"/>
        </w:rPr>
        <w:t>1</w:t>
      </w:r>
      <w:r>
        <w:rPr>
          <w:rFonts w:ascii="仿宋" w:hAnsi="仿宋" w:eastAsia="仿宋" w:cs="仿宋"/>
          <w:spacing w:val="-41"/>
          <w:sz w:val="24"/>
          <w:szCs w:val="24"/>
        </w:rPr>
        <w:t xml:space="preserve"> </w:t>
      </w:r>
      <w:r>
        <w:rPr>
          <w:rFonts w:ascii="仿宋" w:hAnsi="仿宋" w:eastAsia="仿宋" w:cs="仿宋"/>
          <w:spacing w:val="-4"/>
          <w:sz w:val="24"/>
          <w:szCs w:val="24"/>
        </w:rPr>
        <w:t>类居住</w:t>
      </w:r>
      <w:r>
        <w:rPr>
          <w:rFonts w:ascii="仿宋" w:hAnsi="仿宋" w:eastAsia="仿宋" w:cs="仿宋"/>
          <w:spacing w:val="-3"/>
          <w:sz w:val="24"/>
          <w:szCs w:val="24"/>
        </w:rPr>
        <w:t>区声环境质量要求，运营各阶段均不存在交通噪声超标区域，拟建</w:t>
      </w:r>
      <w:r>
        <w:rPr>
          <w:rFonts w:ascii="仿宋" w:hAnsi="仿宋" w:eastAsia="仿宋" w:cs="仿宋"/>
          <w:spacing w:val="-4"/>
          <w:sz w:val="24"/>
          <w:szCs w:val="24"/>
        </w:rPr>
        <w:t>公路交通噪声</w:t>
      </w:r>
      <w:r>
        <w:rPr>
          <w:rFonts w:ascii="仿宋" w:hAnsi="仿宋" w:eastAsia="仿宋" w:cs="仿宋"/>
          <w:spacing w:val="-2"/>
          <w:sz w:val="24"/>
          <w:szCs w:val="24"/>
        </w:rPr>
        <w:t>对沿线声环境影响较小。</w:t>
      </w:r>
    </w:p>
    <w:p w14:paraId="5F243F47">
      <w:pPr>
        <w:spacing w:line="222" w:lineRule="auto"/>
        <w:ind w:left="115"/>
        <w:rPr>
          <w:rFonts w:ascii="仿宋" w:hAnsi="仿宋" w:eastAsia="仿宋" w:cs="仿宋"/>
          <w:sz w:val="24"/>
          <w:szCs w:val="24"/>
        </w:rPr>
      </w:pPr>
      <w:r>
        <w:rPr>
          <w:rFonts w:ascii="仿宋" w:hAnsi="仿宋" w:eastAsia="仿宋" w:cs="仿宋"/>
          <w:b/>
          <w:bCs/>
          <w:spacing w:val="-3"/>
          <w:sz w:val="24"/>
          <w:szCs w:val="24"/>
        </w:rPr>
        <w:t>4.2.2.2</w:t>
      </w:r>
      <w:r>
        <w:rPr>
          <w:rFonts w:ascii="仿宋" w:hAnsi="仿宋" w:eastAsia="仿宋" w:cs="仿宋"/>
          <w:spacing w:val="-45"/>
          <w:sz w:val="24"/>
          <w:szCs w:val="24"/>
        </w:rPr>
        <w:t xml:space="preserve"> </w:t>
      </w:r>
      <w:r>
        <w:rPr>
          <w:rFonts w:ascii="仿宋" w:hAnsi="仿宋" w:eastAsia="仿宋" w:cs="仿宋"/>
          <w:b/>
          <w:bCs/>
          <w:spacing w:val="-3"/>
          <w:sz w:val="24"/>
          <w:szCs w:val="24"/>
        </w:rPr>
        <w:t>敏感点环境噪声预测与评价</w:t>
      </w:r>
    </w:p>
    <w:p w14:paraId="06434146">
      <w:pPr>
        <w:spacing w:before="181" w:line="360" w:lineRule="auto"/>
        <w:ind w:left="123" w:right="185" w:firstLine="482"/>
        <w:jc w:val="both"/>
        <w:rPr>
          <w:rFonts w:ascii="仿宋" w:hAnsi="仿宋" w:eastAsia="仿宋" w:cs="仿宋"/>
          <w:sz w:val="24"/>
          <w:szCs w:val="24"/>
        </w:rPr>
      </w:pPr>
      <w:r>
        <w:rPr>
          <w:rFonts w:ascii="仿宋" w:hAnsi="仿宋" w:eastAsia="仿宋" w:cs="仿宋"/>
          <w:spacing w:val="-4"/>
          <w:sz w:val="24"/>
          <w:szCs w:val="24"/>
        </w:rPr>
        <w:t>预测交通噪声对全部保护目标在运营近、中、远期，不同声环境功能区的昼</w:t>
      </w:r>
      <w:r>
        <w:rPr>
          <w:rFonts w:ascii="仿宋" w:hAnsi="仿宋" w:eastAsia="仿宋" w:cs="仿宋"/>
          <w:spacing w:val="-3"/>
          <w:sz w:val="24"/>
          <w:szCs w:val="24"/>
        </w:rPr>
        <w:t>间和夜间噪声贡献值，并计算噪声贡献值与背景噪声值叠加后的噪声</w:t>
      </w:r>
      <w:r>
        <w:rPr>
          <w:rFonts w:ascii="仿宋" w:hAnsi="仿宋" w:eastAsia="仿宋" w:cs="仿宋"/>
          <w:spacing w:val="-4"/>
          <w:sz w:val="24"/>
          <w:szCs w:val="24"/>
        </w:rPr>
        <w:t>预测值。本</w:t>
      </w:r>
      <w:r>
        <w:rPr>
          <w:rFonts w:ascii="仿宋" w:hAnsi="仿宋" w:eastAsia="仿宋" w:cs="仿宋"/>
          <w:spacing w:val="-3"/>
          <w:sz w:val="24"/>
          <w:szCs w:val="24"/>
        </w:rPr>
        <w:t>项目为新建项目，声环境现状监测值可作为背景噪声值。对噪声预测</w:t>
      </w:r>
      <w:r>
        <w:rPr>
          <w:rFonts w:ascii="仿宋" w:hAnsi="仿宋" w:eastAsia="仿宋" w:cs="仿宋"/>
          <w:spacing w:val="-4"/>
          <w:sz w:val="24"/>
          <w:szCs w:val="24"/>
        </w:rPr>
        <w:t>结果进行达</w:t>
      </w:r>
      <w:r>
        <w:rPr>
          <w:rFonts w:ascii="仿宋" w:hAnsi="仿宋" w:eastAsia="仿宋" w:cs="仿宋"/>
          <w:spacing w:val="-3"/>
          <w:sz w:val="24"/>
          <w:szCs w:val="24"/>
        </w:rPr>
        <w:t>标分析并列表说明。对照评价标准，分析不同评价时段、不同声环境</w:t>
      </w:r>
      <w:r>
        <w:rPr>
          <w:rFonts w:ascii="仿宋" w:hAnsi="仿宋" w:eastAsia="仿宋" w:cs="仿宋"/>
          <w:spacing w:val="-4"/>
          <w:sz w:val="24"/>
          <w:szCs w:val="24"/>
        </w:rPr>
        <w:t>功能区，昼</w:t>
      </w:r>
      <w:r>
        <w:rPr>
          <w:rFonts w:ascii="仿宋" w:hAnsi="仿宋" w:eastAsia="仿宋" w:cs="仿宋"/>
          <w:spacing w:val="-3"/>
          <w:sz w:val="24"/>
          <w:szCs w:val="24"/>
        </w:rPr>
        <w:t>间和夜间保护目标噪声的超标和达标情况，给出超标量和受影响户数</w:t>
      </w:r>
      <w:r>
        <w:rPr>
          <w:rFonts w:ascii="仿宋" w:hAnsi="仿宋" w:eastAsia="仿宋" w:cs="仿宋"/>
          <w:spacing w:val="-4"/>
          <w:sz w:val="24"/>
          <w:szCs w:val="24"/>
        </w:rPr>
        <w:t>。沿线敏感</w:t>
      </w:r>
      <w:r>
        <w:rPr>
          <w:rFonts w:ascii="仿宋" w:hAnsi="仿宋" w:eastAsia="仿宋" w:cs="仿宋"/>
          <w:spacing w:val="2"/>
          <w:sz w:val="24"/>
          <w:szCs w:val="24"/>
        </w:rPr>
        <w:t>点的噪声预测结果见表4.2-5。</w:t>
      </w:r>
    </w:p>
    <w:p w14:paraId="5A5EA207">
      <w:pPr>
        <w:spacing w:line="360" w:lineRule="auto"/>
        <w:rPr>
          <w:rFonts w:ascii="仿宋" w:hAnsi="仿宋" w:eastAsia="仿宋" w:cs="仿宋"/>
          <w:sz w:val="24"/>
          <w:szCs w:val="24"/>
        </w:rPr>
        <w:sectPr>
          <w:footerReference r:id="rId184" w:type="default"/>
          <w:pgSz w:w="11906" w:h="16839"/>
          <w:pgMar w:top="400" w:right="1614" w:bottom="1370" w:left="1691" w:header="0" w:footer="1207" w:gutter="0"/>
          <w:cols w:space="720" w:num="1"/>
        </w:sectPr>
      </w:pPr>
    </w:p>
    <w:p w14:paraId="60F0C312">
      <w:pPr>
        <w:pStyle w:val="2"/>
        <w:spacing w:line="270" w:lineRule="auto"/>
        <w:rPr>
          <w:sz w:val="21"/>
        </w:rPr>
      </w:pPr>
    </w:p>
    <w:p w14:paraId="3BF11826">
      <w:pPr>
        <w:pStyle w:val="2"/>
        <w:spacing w:line="270" w:lineRule="auto"/>
        <w:rPr>
          <w:sz w:val="21"/>
        </w:rPr>
      </w:pPr>
    </w:p>
    <w:p w14:paraId="135FEAE5">
      <w:pPr>
        <w:pStyle w:val="2"/>
        <w:spacing w:line="270" w:lineRule="auto"/>
        <w:rPr>
          <w:sz w:val="21"/>
        </w:rPr>
      </w:pPr>
    </w:p>
    <w:p w14:paraId="1E537E00">
      <w:pPr>
        <w:pStyle w:val="2"/>
        <w:spacing w:line="270" w:lineRule="auto"/>
        <w:rPr>
          <w:sz w:val="21"/>
        </w:rPr>
      </w:pPr>
    </w:p>
    <w:p w14:paraId="6FFC3734">
      <w:pPr>
        <w:pStyle w:val="2"/>
        <w:spacing w:line="271" w:lineRule="auto"/>
        <w:rPr>
          <w:sz w:val="21"/>
        </w:rPr>
      </w:pPr>
    </w:p>
    <w:p w14:paraId="6B7AC531">
      <w:pPr>
        <w:spacing w:before="78" w:line="211" w:lineRule="auto"/>
        <w:ind w:left="3699"/>
        <w:rPr>
          <w:rFonts w:ascii="仿宋" w:hAnsi="仿宋" w:eastAsia="仿宋" w:cs="仿宋"/>
          <w:sz w:val="24"/>
          <w:szCs w:val="24"/>
        </w:rPr>
      </w:pPr>
      <w:r>
        <w:rPr>
          <w:rFonts w:ascii="仿宋" w:hAnsi="仿宋" w:eastAsia="仿宋" w:cs="仿宋"/>
          <w:b/>
          <w:bCs/>
          <w:spacing w:val="-2"/>
          <w:sz w:val="24"/>
          <w:szCs w:val="24"/>
        </w:rPr>
        <w:t>表</w:t>
      </w:r>
      <w:r>
        <w:rPr>
          <w:rFonts w:ascii="仿宋" w:hAnsi="仿宋" w:eastAsia="仿宋" w:cs="仿宋"/>
          <w:spacing w:val="-53"/>
          <w:sz w:val="24"/>
          <w:szCs w:val="24"/>
        </w:rPr>
        <w:t xml:space="preserve"> </w:t>
      </w:r>
      <w:r>
        <w:rPr>
          <w:rFonts w:ascii="仿宋" w:hAnsi="仿宋" w:eastAsia="仿宋" w:cs="仿宋"/>
          <w:b/>
          <w:bCs/>
          <w:spacing w:val="-2"/>
          <w:sz w:val="24"/>
          <w:szCs w:val="24"/>
        </w:rPr>
        <w:t>4.2-5</w:t>
      </w:r>
      <w:r>
        <w:rPr>
          <w:rFonts w:ascii="仿宋" w:hAnsi="仿宋" w:eastAsia="仿宋" w:cs="仿宋"/>
          <w:spacing w:val="-2"/>
          <w:sz w:val="24"/>
          <w:szCs w:val="24"/>
        </w:rPr>
        <w:t xml:space="preserve">      </w:t>
      </w:r>
      <w:r>
        <w:rPr>
          <w:rFonts w:ascii="仿宋" w:hAnsi="仿宋" w:eastAsia="仿宋" w:cs="仿宋"/>
          <w:b/>
          <w:bCs/>
          <w:spacing w:val="-2"/>
          <w:sz w:val="24"/>
          <w:szCs w:val="24"/>
        </w:rPr>
        <w:t>敏感点噪声预测结果与达标分析表单位：dB（A）</w:t>
      </w:r>
    </w:p>
    <w:tbl>
      <w:tblPr>
        <w:tblStyle w:val="5"/>
        <w:tblW w:w="14173"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3"/>
        <w:gridCol w:w="1042"/>
        <w:gridCol w:w="750"/>
        <w:gridCol w:w="750"/>
        <w:gridCol w:w="660"/>
        <w:gridCol w:w="1005"/>
        <w:gridCol w:w="900"/>
        <w:gridCol w:w="1094"/>
        <w:gridCol w:w="765"/>
        <w:gridCol w:w="870"/>
        <w:gridCol w:w="870"/>
        <w:gridCol w:w="855"/>
        <w:gridCol w:w="690"/>
        <w:gridCol w:w="915"/>
        <w:gridCol w:w="930"/>
        <w:gridCol w:w="855"/>
        <w:gridCol w:w="689"/>
      </w:tblGrid>
      <w:tr w14:paraId="72674C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533" w:type="dxa"/>
            <w:vMerge w:val="restart"/>
            <w:tcBorders>
              <w:top w:val="single" w:color="000000" w:sz="10" w:space="0"/>
              <w:left w:val="nil"/>
              <w:bottom w:val="nil"/>
            </w:tcBorders>
            <w:textDirection w:val="tbRlV"/>
            <w:vAlign w:val="top"/>
          </w:tcPr>
          <w:p w14:paraId="7B4C125F">
            <w:pPr>
              <w:spacing w:before="160" w:line="209" w:lineRule="auto"/>
              <w:ind w:left="216"/>
              <w:rPr>
                <w:rFonts w:ascii="仿宋" w:hAnsi="仿宋" w:eastAsia="仿宋" w:cs="仿宋"/>
                <w:sz w:val="20"/>
                <w:szCs w:val="20"/>
              </w:rPr>
            </w:pPr>
            <w:r>
              <w:rPr>
                <w:rFonts w:ascii="仿宋" w:hAnsi="仿宋" w:eastAsia="仿宋" w:cs="仿宋"/>
                <w:spacing w:val="13"/>
                <w:sz w:val="20"/>
                <w:szCs w:val="20"/>
              </w:rPr>
              <w:t>序</w:t>
            </w:r>
            <w:r>
              <w:rPr>
                <w:rFonts w:ascii="仿宋" w:hAnsi="仿宋" w:eastAsia="仿宋" w:cs="仿宋"/>
                <w:spacing w:val="-2"/>
                <w:sz w:val="20"/>
                <w:szCs w:val="20"/>
              </w:rPr>
              <w:t xml:space="preserve"> </w:t>
            </w:r>
            <w:r>
              <w:rPr>
                <w:rFonts w:ascii="仿宋" w:hAnsi="仿宋" w:eastAsia="仿宋" w:cs="仿宋"/>
                <w:spacing w:val="13"/>
                <w:sz w:val="20"/>
                <w:szCs w:val="20"/>
              </w:rPr>
              <w:t>号</w:t>
            </w:r>
          </w:p>
        </w:tc>
        <w:tc>
          <w:tcPr>
            <w:tcW w:w="1042" w:type="dxa"/>
            <w:vMerge w:val="restart"/>
            <w:tcBorders>
              <w:top w:val="single" w:color="000000" w:sz="10" w:space="0"/>
              <w:bottom w:val="nil"/>
            </w:tcBorders>
            <w:vAlign w:val="top"/>
          </w:tcPr>
          <w:p w14:paraId="4E389B28">
            <w:pPr>
              <w:spacing w:line="305" w:lineRule="auto"/>
              <w:rPr>
                <w:rFonts w:ascii="Arial"/>
                <w:sz w:val="21"/>
              </w:rPr>
            </w:pPr>
          </w:p>
          <w:p w14:paraId="6286FAA2">
            <w:pPr>
              <w:spacing w:before="66" w:line="229" w:lineRule="auto"/>
              <w:ind w:left="323"/>
              <w:rPr>
                <w:rFonts w:ascii="仿宋" w:hAnsi="仿宋" w:eastAsia="仿宋" w:cs="仿宋"/>
                <w:sz w:val="20"/>
                <w:szCs w:val="20"/>
              </w:rPr>
            </w:pPr>
            <w:r>
              <w:rPr>
                <w:rFonts w:ascii="仿宋" w:hAnsi="仿宋" w:eastAsia="仿宋" w:cs="仿宋"/>
                <w:spacing w:val="1"/>
                <w:sz w:val="20"/>
                <w:szCs w:val="20"/>
              </w:rPr>
              <w:t>名称</w:t>
            </w:r>
          </w:p>
        </w:tc>
        <w:tc>
          <w:tcPr>
            <w:tcW w:w="750" w:type="dxa"/>
            <w:vMerge w:val="restart"/>
            <w:tcBorders>
              <w:top w:val="single" w:color="000000" w:sz="10" w:space="0"/>
              <w:bottom w:val="nil"/>
            </w:tcBorders>
            <w:vAlign w:val="top"/>
          </w:tcPr>
          <w:p w14:paraId="11D3A18D">
            <w:pPr>
              <w:spacing w:line="305" w:lineRule="auto"/>
              <w:rPr>
                <w:rFonts w:ascii="Arial"/>
                <w:sz w:val="21"/>
              </w:rPr>
            </w:pPr>
          </w:p>
          <w:p w14:paraId="267BFE2C">
            <w:pPr>
              <w:spacing w:before="65" w:line="232" w:lineRule="auto"/>
              <w:ind w:left="191"/>
              <w:rPr>
                <w:rFonts w:ascii="仿宋" w:hAnsi="仿宋" w:eastAsia="仿宋" w:cs="仿宋"/>
                <w:sz w:val="20"/>
                <w:szCs w:val="20"/>
              </w:rPr>
            </w:pPr>
            <w:r>
              <w:rPr>
                <w:rFonts w:ascii="仿宋" w:hAnsi="仿宋" w:eastAsia="仿宋" w:cs="仿宋"/>
                <w:spacing w:val="-6"/>
                <w:sz w:val="20"/>
                <w:szCs w:val="20"/>
              </w:rPr>
              <w:t>时段</w:t>
            </w:r>
          </w:p>
        </w:tc>
        <w:tc>
          <w:tcPr>
            <w:tcW w:w="750" w:type="dxa"/>
            <w:vMerge w:val="restart"/>
            <w:tcBorders>
              <w:top w:val="single" w:color="000000" w:sz="10" w:space="0"/>
              <w:bottom w:val="nil"/>
            </w:tcBorders>
            <w:vAlign w:val="top"/>
          </w:tcPr>
          <w:p w14:paraId="13A6DBDE">
            <w:pPr>
              <w:spacing w:before="217" w:line="288" w:lineRule="auto"/>
              <w:ind w:left="187" w:right="165" w:hanging="13"/>
              <w:rPr>
                <w:rFonts w:ascii="仿宋" w:hAnsi="仿宋" w:eastAsia="仿宋" w:cs="仿宋"/>
                <w:sz w:val="20"/>
                <w:szCs w:val="20"/>
              </w:rPr>
            </w:pPr>
            <w:r>
              <w:rPr>
                <w:rFonts w:ascii="仿宋" w:hAnsi="仿宋" w:eastAsia="仿宋" w:cs="仿宋"/>
                <w:spacing w:val="2"/>
                <w:sz w:val="20"/>
                <w:szCs w:val="20"/>
              </w:rPr>
              <w:t>标准</w:t>
            </w:r>
            <w:r>
              <w:rPr>
                <w:rFonts w:ascii="仿宋" w:hAnsi="仿宋" w:eastAsia="仿宋" w:cs="仿宋"/>
                <w:spacing w:val="-5"/>
                <w:sz w:val="20"/>
                <w:szCs w:val="20"/>
              </w:rPr>
              <w:t>限值</w:t>
            </w:r>
          </w:p>
        </w:tc>
        <w:tc>
          <w:tcPr>
            <w:tcW w:w="660" w:type="dxa"/>
            <w:vMerge w:val="restart"/>
            <w:tcBorders>
              <w:top w:val="single" w:color="000000" w:sz="10" w:space="0"/>
              <w:bottom w:val="nil"/>
            </w:tcBorders>
            <w:vAlign w:val="top"/>
          </w:tcPr>
          <w:p w14:paraId="3196F9A5">
            <w:pPr>
              <w:spacing w:before="215" w:line="289" w:lineRule="auto"/>
              <w:ind w:left="235" w:right="120" w:hanging="105"/>
              <w:rPr>
                <w:rFonts w:ascii="仿宋" w:hAnsi="仿宋" w:eastAsia="仿宋" w:cs="仿宋"/>
                <w:sz w:val="20"/>
                <w:szCs w:val="20"/>
              </w:rPr>
            </w:pPr>
            <w:r>
              <w:rPr>
                <w:rFonts w:ascii="仿宋" w:hAnsi="仿宋" w:eastAsia="仿宋" w:cs="仿宋"/>
                <w:spacing w:val="2"/>
                <w:sz w:val="20"/>
                <w:szCs w:val="20"/>
              </w:rPr>
              <w:t>现状</w:t>
            </w:r>
            <w:r>
              <w:rPr>
                <w:rFonts w:ascii="仿宋" w:hAnsi="仿宋" w:eastAsia="仿宋" w:cs="仿宋"/>
                <w:sz w:val="20"/>
                <w:szCs w:val="20"/>
              </w:rPr>
              <w:t>值</w:t>
            </w:r>
          </w:p>
        </w:tc>
        <w:tc>
          <w:tcPr>
            <w:tcW w:w="3764" w:type="dxa"/>
            <w:gridSpan w:val="4"/>
            <w:tcBorders>
              <w:top w:val="single" w:color="000000" w:sz="10" w:space="0"/>
            </w:tcBorders>
            <w:vAlign w:val="top"/>
          </w:tcPr>
          <w:p w14:paraId="59992F41">
            <w:pPr>
              <w:spacing w:before="55" w:line="232" w:lineRule="auto"/>
              <w:ind w:left="1683"/>
              <w:rPr>
                <w:rFonts w:ascii="仿宋" w:hAnsi="仿宋" w:eastAsia="仿宋" w:cs="仿宋"/>
                <w:sz w:val="20"/>
                <w:szCs w:val="20"/>
              </w:rPr>
            </w:pPr>
            <w:r>
              <w:rPr>
                <w:rFonts w:ascii="仿宋" w:hAnsi="仿宋" w:eastAsia="仿宋" w:cs="仿宋"/>
                <w:spacing w:val="2"/>
                <w:sz w:val="20"/>
                <w:szCs w:val="20"/>
              </w:rPr>
              <w:t>近期</w:t>
            </w:r>
          </w:p>
        </w:tc>
        <w:tc>
          <w:tcPr>
            <w:tcW w:w="3285" w:type="dxa"/>
            <w:gridSpan w:val="4"/>
            <w:tcBorders>
              <w:top w:val="single" w:color="000000" w:sz="10" w:space="0"/>
            </w:tcBorders>
            <w:vAlign w:val="top"/>
          </w:tcPr>
          <w:p w14:paraId="3AEF968A">
            <w:pPr>
              <w:spacing w:before="55" w:line="231" w:lineRule="auto"/>
              <w:ind w:left="1472"/>
              <w:rPr>
                <w:rFonts w:ascii="仿宋" w:hAnsi="仿宋" w:eastAsia="仿宋" w:cs="仿宋"/>
                <w:sz w:val="20"/>
                <w:szCs w:val="20"/>
              </w:rPr>
            </w:pPr>
            <w:r>
              <w:rPr>
                <w:rFonts w:ascii="仿宋" w:hAnsi="仿宋" w:eastAsia="仿宋" w:cs="仿宋"/>
                <w:spacing w:val="-12"/>
                <w:sz w:val="20"/>
                <w:szCs w:val="20"/>
              </w:rPr>
              <w:t>中期</w:t>
            </w:r>
          </w:p>
        </w:tc>
        <w:tc>
          <w:tcPr>
            <w:tcW w:w="3389" w:type="dxa"/>
            <w:gridSpan w:val="4"/>
            <w:tcBorders>
              <w:top w:val="single" w:color="000000" w:sz="10" w:space="0"/>
              <w:right w:val="nil"/>
            </w:tcBorders>
            <w:vAlign w:val="top"/>
          </w:tcPr>
          <w:p w14:paraId="42CBF9FF">
            <w:pPr>
              <w:spacing w:before="55" w:line="232" w:lineRule="auto"/>
              <w:ind w:left="1497"/>
              <w:rPr>
                <w:rFonts w:ascii="仿宋" w:hAnsi="仿宋" w:eastAsia="仿宋" w:cs="仿宋"/>
                <w:sz w:val="20"/>
                <w:szCs w:val="20"/>
              </w:rPr>
            </w:pPr>
            <w:r>
              <w:rPr>
                <w:rFonts w:ascii="仿宋" w:hAnsi="仿宋" w:eastAsia="仿宋" w:cs="仿宋"/>
                <w:spacing w:val="1"/>
                <w:sz w:val="20"/>
                <w:szCs w:val="20"/>
              </w:rPr>
              <w:t>远期</w:t>
            </w:r>
          </w:p>
        </w:tc>
      </w:tr>
      <w:tr w14:paraId="1D59BF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533" w:type="dxa"/>
            <w:vMerge w:val="continue"/>
            <w:tcBorders>
              <w:top w:val="nil"/>
              <w:left w:val="nil"/>
            </w:tcBorders>
            <w:textDirection w:val="tbRlV"/>
            <w:vAlign w:val="top"/>
          </w:tcPr>
          <w:p w14:paraId="6D72F312">
            <w:pPr>
              <w:rPr>
                <w:rFonts w:ascii="Arial"/>
                <w:sz w:val="21"/>
              </w:rPr>
            </w:pPr>
          </w:p>
        </w:tc>
        <w:tc>
          <w:tcPr>
            <w:tcW w:w="1042" w:type="dxa"/>
            <w:vMerge w:val="continue"/>
            <w:tcBorders>
              <w:top w:val="nil"/>
            </w:tcBorders>
            <w:vAlign w:val="top"/>
          </w:tcPr>
          <w:p w14:paraId="7DD5B46E">
            <w:pPr>
              <w:rPr>
                <w:rFonts w:ascii="Arial"/>
                <w:sz w:val="21"/>
              </w:rPr>
            </w:pPr>
          </w:p>
        </w:tc>
        <w:tc>
          <w:tcPr>
            <w:tcW w:w="750" w:type="dxa"/>
            <w:vMerge w:val="continue"/>
            <w:tcBorders>
              <w:top w:val="nil"/>
            </w:tcBorders>
            <w:vAlign w:val="top"/>
          </w:tcPr>
          <w:p w14:paraId="55AB44DA">
            <w:pPr>
              <w:rPr>
                <w:rFonts w:ascii="Arial"/>
                <w:sz w:val="21"/>
              </w:rPr>
            </w:pPr>
          </w:p>
        </w:tc>
        <w:tc>
          <w:tcPr>
            <w:tcW w:w="750" w:type="dxa"/>
            <w:vMerge w:val="continue"/>
            <w:tcBorders>
              <w:top w:val="nil"/>
            </w:tcBorders>
            <w:vAlign w:val="top"/>
          </w:tcPr>
          <w:p w14:paraId="3F048B00">
            <w:pPr>
              <w:rPr>
                <w:rFonts w:ascii="Arial"/>
                <w:sz w:val="21"/>
              </w:rPr>
            </w:pPr>
          </w:p>
        </w:tc>
        <w:tc>
          <w:tcPr>
            <w:tcW w:w="660" w:type="dxa"/>
            <w:vMerge w:val="continue"/>
            <w:tcBorders>
              <w:top w:val="nil"/>
            </w:tcBorders>
            <w:vAlign w:val="top"/>
          </w:tcPr>
          <w:p w14:paraId="2F58508F">
            <w:pPr>
              <w:rPr>
                <w:rFonts w:ascii="Arial"/>
                <w:sz w:val="21"/>
              </w:rPr>
            </w:pPr>
          </w:p>
        </w:tc>
        <w:tc>
          <w:tcPr>
            <w:tcW w:w="1005" w:type="dxa"/>
            <w:vAlign w:val="top"/>
          </w:tcPr>
          <w:p w14:paraId="2F910E85">
            <w:pPr>
              <w:spacing w:before="207" w:line="232" w:lineRule="auto"/>
              <w:ind w:left="202"/>
              <w:rPr>
                <w:rFonts w:ascii="仿宋" w:hAnsi="仿宋" w:eastAsia="仿宋" w:cs="仿宋"/>
                <w:sz w:val="20"/>
                <w:szCs w:val="20"/>
              </w:rPr>
            </w:pPr>
            <w:r>
              <w:rPr>
                <w:rFonts w:ascii="仿宋" w:hAnsi="仿宋" w:eastAsia="仿宋" w:cs="仿宋"/>
                <w:spacing w:val="3"/>
                <w:sz w:val="20"/>
                <w:szCs w:val="20"/>
              </w:rPr>
              <w:t>贡献值</w:t>
            </w:r>
          </w:p>
        </w:tc>
        <w:tc>
          <w:tcPr>
            <w:tcW w:w="900" w:type="dxa"/>
            <w:vAlign w:val="top"/>
          </w:tcPr>
          <w:p w14:paraId="17AE1111">
            <w:pPr>
              <w:spacing w:before="207" w:line="232" w:lineRule="auto"/>
              <w:ind w:left="147"/>
              <w:rPr>
                <w:rFonts w:ascii="仿宋" w:hAnsi="仿宋" w:eastAsia="仿宋" w:cs="仿宋"/>
                <w:sz w:val="20"/>
                <w:szCs w:val="20"/>
              </w:rPr>
            </w:pPr>
            <w:r>
              <w:rPr>
                <w:rFonts w:ascii="仿宋" w:hAnsi="仿宋" w:eastAsia="仿宋" w:cs="仿宋"/>
                <w:spacing w:val="4"/>
                <w:sz w:val="20"/>
                <w:szCs w:val="20"/>
              </w:rPr>
              <w:t>预测值</w:t>
            </w:r>
          </w:p>
        </w:tc>
        <w:tc>
          <w:tcPr>
            <w:tcW w:w="1094" w:type="dxa"/>
            <w:vAlign w:val="top"/>
          </w:tcPr>
          <w:p w14:paraId="24FFAF6D">
            <w:pPr>
              <w:spacing w:before="51" w:line="261" w:lineRule="auto"/>
              <w:ind w:left="455" w:right="126" w:hanging="316"/>
              <w:rPr>
                <w:rFonts w:ascii="仿宋" w:hAnsi="仿宋" w:eastAsia="仿宋" w:cs="仿宋"/>
                <w:sz w:val="20"/>
                <w:szCs w:val="20"/>
              </w:rPr>
            </w:pPr>
            <w:r>
              <w:rPr>
                <w:rFonts w:ascii="仿宋" w:hAnsi="仿宋" w:eastAsia="仿宋" w:cs="仿宋"/>
                <w:spacing w:val="5"/>
                <w:sz w:val="20"/>
                <w:szCs w:val="20"/>
              </w:rPr>
              <w:t>较现状增</w:t>
            </w:r>
            <w:r>
              <w:rPr>
                <w:rFonts w:ascii="仿宋" w:hAnsi="仿宋" w:eastAsia="仿宋" w:cs="仿宋"/>
                <w:sz w:val="20"/>
                <w:szCs w:val="20"/>
              </w:rPr>
              <w:t>量</w:t>
            </w:r>
          </w:p>
        </w:tc>
        <w:tc>
          <w:tcPr>
            <w:tcW w:w="765" w:type="dxa"/>
            <w:vAlign w:val="top"/>
          </w:tcPr>
          <w:p w14:paraId="7875D773">
            <w:pPr>
              <w:spacing w:before="51" w:line="261" w:lineRule="auto"/>
              <w:ind w:left="293" w:right="171" w:hanging="108"/>
              <w:rPr>
                <w:rFonts w:ascii="仿宋" w:hAnsi="仿宋" w:eastAsia="仿宋" w:cs="仿宋"/>
                <w:sz w:val="20"/>
                <w:szCs w:val="20"/>
              </w:rPr>
            </w:pPr>
            <w:r>
              <w:rPr>
                <w:rFonts w:ascii="仿宋" w:hAnsi="仿宋" w:eastAsia="仿宋" w:cs="仿宋"/>
                <w:spacing w:val="1"/>
                <w:sz w:val="20"/>
                <w:szCs w:val="20"/>
              </w:rPr>
              <w:t>超标</w:t>
            </w:r>
            <w:r>
              <w:rPr>
                <w:rFonts w:ascii="仿宋" w:hAnsi="仿宋" w:eastAsia="仿宋" w:cs="仿宋"/>
                <w:sz w:val="20"/>
                <w:szCs w:val="20"/>
              </w:rPr>
              <w:t>量</w:t>
            </w:r>
          </w:p>
        </w:tc>
        <w:tc>
          <w:tcPr>
            <w:tcW w:w="870" w:type="dxa"/>
            <w:vAlign w:val="top"/>
          </w:tcPr>
          <w:p w14:paraId="7F4C79F4">
            <w:pPr>
              <w:spacing w:before="207" w:line="232" w:lineRule="auto"/>
              <w:ind w:left="137"/>
              <w:rPr>
                <w:rFonts w:ascii="仿宋" w:hAnsi="仿宋" w:eastAsia="仿宋" w:cs="仿宋"/>
                <w:sz w:val="20"/>
                <w:szCs w:val="20"/>
              </w:rPr>
            </w:pPr>
            <w:r>
              <w:rPr>
                <w:rFonts w:ascii="仿宋" w:hAnsi="仿宋" w:eastAsia="仿宋" w:cs="仿宋"/>
                <w:spacing w:val="3"/>
                <w:sz w:val="20"/>
                <w:szCs w:val="20"/>
              </w:rPr>
              <w:t>贡献值</w:t>
            </w:r>
          </w:p>
        </w:tc>
        <w:tc>
          <w:tcPr>
            <w:tcW w:w="870" w:type="dxa"/>
            <w:vAlign w:val="top"/>
          </w:tcPr>
          <w:p w14:paraId="018294A8">
            <w:pPr>
              <w:spacing w:before="207" w:line="232" w:lineRule="auto"/>
              <w:ind w:left="132"/>
              <w:rPr>
                <w:rFonts w:ascii="仿宋" w:hAnsi="仿宋" w:eastAsia="仿宋" w:cs="仿宋"/>
                <w:sz w:val="20"/>
                <w:szCs w:val="20"/>
              </w:rPr>
            </w:pPr>
            <w:r>
              <w:rPr>
                <w:rFonts w:ascii="仿宋" w:hAnsi="仿宋" w:eastAsia="仿宋" w:cs="仿宋"/>
                <w:spacing w:val="4"/>
                <w:sz w:val="20"/>
                <w:szCs w:val="20"/>
              </w:rPr>
              <w:t>预测值</w:t>
            </w:r>
          </w:p>
        </w:tc>
        <w:tc>
          <w:tcPr>
            <w:tcW w:w="855" w:type="dxa"/>
            <w:vAlign w:val="top"/>
          </w:tcPr>
          <w:p w14:paraId="09868E6A">
            <w:pPr>
              <w:spacing w:before="51" w:line="261" w:lineRule="auto"/>
              <w:ind w:left="227" w:right="109" w:hanging="102"/>
              <w:rPr>
                <w:rFonts w:ascii="仿宋" w:hAnsi="仿宋" w:eastAsia="仿宋" w:cs="仿宋"/>
                <w:sz w:val="20"/>
                <w:szCs w:val="20"/>
              </w:rPr>
            </w:pPr>
            <w:r>
              <w:rPr>
                <w:rFonts w:ascii="仿宋" w:hAnsi="仿宋" w:eastAsia="仿宋" w:cs="仿宋"/>
                <w:spacing w:val="4"/>
                <w:sz w:val="20"/>
                <w:szCs w:val="20"/>
              </w:rPr>
              <w:t>较现状</w:t>
            </w:r>
            <w:r>
              <w:rPr>
                <w:rFonts w:ascii="仿宋" w:hAnsi="仿宋" w:eastAsia="仿宋" w:cs="仿宋"/>
                <w:spacing w:val="2"/>
                <w:sz w:val="20"/>
                <w:szCs w:val="20"/>
              </w:rPr>
              <w:t>增量</w:t>
            </w:r>
          </w:p>
        </w:tc>
        <w:tc>
          <w:tcPr>
            <w:tcW w:w="690" w:type="dxa"/>
            <w:vAlign w:val="top"/>
          </w:tcPr>
          <w:p w14:paraId="2FF7F434">
            <w:pPr>
              <w:spacing w:before="51" w:line="261" w:lineRule="auto"/>
              <w:ind w:left="254" w:right="134" w:hanging="108"/>
              <w:rPr>
                <w:rFonts w:ascii="仿宋" w:hAnsi="仿宋" w:eastAsia="仿宋" w:cs="仿宋"/>
                <w:sz w:val="20"/>
                <w:szCs w:val="20"/>
              </w:rPr>
            </w:pPr>
            <w:r>
              <w:rPr>
                <w:rFonts w:ascii="仿宋" w:hAnsi="仿宋" w:eastAsia="仿宋" w:cs="仿宋"/>
                <w:spacing w:val="1"/>
                <w:sz w:val="20"/>
                <w:szCs w:val="20"/>
              </w:rPr>
              <w:t>超标</w:t>
            </w:r>
            <w:r>
              <w:rPr>
                <w:rFonts w:ascii="仿宋" w:hAnsi="仿宋" w:eastAsia="仿宋" w:cs="仿宋"/>
                <w:sz w:val="20"/>
                <w:szCs w:val="20"/>
              </w:rPr>
              <w:t>量</w:t>
            </w:r>
          </w:p>
        </w:tc>
        <w:tc>
          <w:tcPr>
            <w:tcW w:w="915" w:type="dxa"/>
            <w:vAlign w:val="top"/>
          </w:tcPr>
          <w:p w14:paraId="2186F8D0">
            <w:pPr>
              <w:spacing w:before="207" w:line="232" w:lineRule="auto"/>
              <w:ind w:left="159"/>
              <w:rPr>
                <w:rFonts w:ascii="仿宋" w:hAnsi="仿宋" w:eastAsia="仿宋" w:cs="仿宋"/>
                <w:sz w:val="20"/>
                <w:szCs w:val="20"/>
              </w:rPr>
            </w:pPr>
            <w:r>
              <w:rPr>
                <w:rFonts w:ascii="仿宋" w:hAnsi="仿宋" w:eastAsia="仿宋" w:cs="仿宋"/>
                <w:spacing w:val="3"/>
                <w:sz w:val="20"/>
                <w:szCs w:val="20"/>
              </w:rPr>
              <w:t>贡献值</w:t>
            </w:r>
          </w:p>
        </w:tc>
        <w:tc>
          <w:tcPr>
            <w:tcW w:w="930" w:type="dxa"/>
            <w:vAlign w:val="top"/>
          </w:tcPr>
          <w:p w14:paraId="0A49A1D0">
            <w:pPr>
              <w:spacing w:before="207" w:line="232" w:lineRule="auto"/>
              <w:ind w:left="162"/>
              <w:rPr>
                <w:rFonts w:ascii="仿宋" w:hAnsi="仿宋" w:eastAsia="仿宋" w:cs="仿宋"/>
                <w:sz w:val="20"/>
                <w:szCs w:val="20"/>
              </w:rPr>
            </w:pPr>
            <w:r>
              <w:rPr>
                <w:rFonts w:ascii="仿宋" w:hAnsi="仿宋" w:eastAsia="仿宋" w:cs="仿宋"/>
                <w:spacing w:val="4"/>
                <w:sz w:val="20"/>
                <w:szCs w:val="20"/>
              </w:rPr>
              <w:t>预测值</w:t>
            </w:r>
          </w:p>
        </w:tc>
        <w:tc>
          <w:tcPr>
            <w:tcW w:w="855" w:type="dxa"/>
            <w:vAlign w:val="top"/>
          </w:tcPr>
          <w:p w14:paraId="3C5EDA3F">
            <w:pPr>
              <w:spacing w:before="51" w:line="261" w:lineRule="auto"/>
              <w:ind w:left="228" w:right="110" w:hanging="104"/>
              <w:rPr>
                <w:rFonts w:ascii="仿宋" w:hAnsi="仿宋" w:eastAsia="仿宋" w:cs="仿宋"/>
                <w:sz w:val="20"/>
                <w:szCs w:val="20"/>
              </w:rPr>
            </w:pPr>
            <w:r>
              <w:rPr>
                <w:rFonts w:ascii="仿宋" w:hAnsi="仿宋" w:eastAsia="仿宋" w:cs="仿宋"/>
                <w:spacing w:val="4"/>
                <w:sz w:val="20"/>
                <w:szCs w:val="20"/>
              </w:rPr>
              <w:t>较现状</w:t>
            </w:r>
            <w:r>
              <w:rPr>
                <w:rFonts w:ascii="仿宋" w:hAnsi="仿宋" w:eastAsia="仿宋" w:cs="仿宋"/>
                <w:spacing w:val="2"/>
                <w:sz w:val="20"/>
                <w:szCs w:val="20"/>
              </w:rPr>
              <w:t>增量</w:t>
            </w:r>
          </w:p>
        </w:tc>
        <w:tc>
          <w:tcPr>
            <w:tcW w:w="689" w:type="dxa"/>
            <w:tcBorders>
              <w:right w:val="nil"/>
            </w:tcBorders>
            <w:vAlign w:val="top"/>
          </w:tcPr>
          <w:p w14:paraId="3E6DF63D">
            <w:pPr>
              <w:spacing w:before="51" w:line="261" w:lineRule="auto"/>
              <w:ind w:left="253" w:right="135" w:hanging="105"/>
              <w:rPr>
                <w:rFonts w:ascii="仿宋" w:hAnsi="仿宋" w:eastAsia="仿宋" w:cs="仿宋"/>
                <w:sz w:val="20"/>
                <w:szCs w:val="20"/>
              </w:rPr>
            </w:pPr>
            <w:r>
              <w:rPr>
                <w:rFonts w:ascii="仿宋" w:hAnsi="仿宋" w:eastAsia="仿宋" w:cs="仿宋"/>
                <w:spacing w:val="1"/>
                <w:sz w:val="20"/>
                <w:szCs w:val="20"/>
              </w:rPr>
              <w:t>超标</w:t>
            </w:r>
            <w:r>
              <w:rPr>
                <w:rFonts w:ascii="仿宋" w:hAnsi="仿宋" w:eastAsia="仿宋" w:cs="仿宋"/>
                <w:sz w:val="20"/>
                <w:szCs w:val="20"/>
              </w:rPr>
              <w:t>量</w:t>
            </w:r>
          </w:p>
        </w:tc>
      </w:tr>
      <w:tr w14:paraId="6501B6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3" w:type="dxa"/>
            <w:vMerge w:val="restart"/>
            <w:tcBorders>
              <w:left w:val="nil"/>
              <w:bottom w:val="nil"/>
            </w:tcBorders>
            <w:vAlign w:val="top"/>
          </w:tcPr>
          <w:p w14:paraId="20B7AA5D">
            <w:pPr>
              <w:pStyle w:val="6"/>
              <w:spacing w:before="253" w:line="195" w:lineRule="auto"/>
              <w:ind w:left="238"/>
              <w:rPr>
                <w:sz w:val="20"/>
                <w:szCs w:val="20"/>
              </w:rPr>
            </w:pPr>
            <w:r>
              <w:rPr>
                <w:sz w:val="20"/>
                <w:szCs w:val="20"/>
              </w:rPr>
              <w:t>1</w:t>
            </w:r>
          </w:p>
        </w:tc>
        <w:tc>
          <w:tcPr>
            <w:tcW w:w="1042" w:type="dxa"/>
            <w:vMerge w:val="restart"/>
            <w:tcBorders>
              <w:bottom w:val="nil"/>
            </w:tcBorders>
            <w:vAlign w:val="top"/>
          </w:tcPr>
          <w:p w14:paraId="28240020">
            <w:pPr>
              <w:pStyle w:val="6"/>
              <w:spacing w:before="61" w:line="261" w:lineRule="auto"/>
              <w:ind w:left="321" w:right="168" w:hanging="140"/>
              <w:rPr>
                <w:rFonts w:ascii="仿宋" w:hAnsi="仿宋" w:eastAsia="仿宋" w:cs="仿宋"/>
                <w:sz w:val="20"/>
                <w:szCs w:val="20"/>
              </w:rPr>
            </w:pPr>
            <w:r>
              <w:rPr>
                <w:rFonts w:ascii="仿宋" w:hAnsi="仿宋" w:eastAsia="仿宋" w:cs="仿宋"/>
                <w:spacing w:val="5"/>
                <w:sz w:val="20"/>
                <w:szCs w:val="20"/>
              </w:rPr>
              <w:t>庙圪旦</w:t>
            </w:r>
            <w:r>
              <w:rPr>
                <w:spacing w:val="5"/>
                <w:sz w:val="20"/>
                <w:szCs w:val="20"/>
              </w:rPr>
              <w:t>-</w:t>
            </w:r>
            <w:r>
              <w:rPr>
                <w:rFonts w:ascii="仿宋" w:hAnsi="仿宋" w:eastAsia="仿宋" w:cs="仿宋"/>
                <w:spacing w:val="2"/>
                <w:sz w:val="20"/>
                <w:szCs w:val="20"/>
              </w:rPr>
              <w:t>散户</w:t>
            </w:r>
          </w:p>
        </w:tc>
        <w:tc>
          <w:tcPr>
            <w:tcW w:w="750" w:type="dxa"/>
            <w:vAlign w:val="top"/>
          </w:tcPr>
          <w:p w14:paraId="6B701020">
            <w:pPr>
              <w:spacing w:before="55" w:line="231" w:lineRule="auto"/>
              <w:ind w:left="176"/>
              <w:rPr>
                <w:rFonts w:ascii="仿宋" w:hAnsi="仿宋" w:eastAsia="仿宋" w:cs="仿宋"/>
                <w:sz w:val="20"/>
                <w:szCs w:val="20"/>
              </w:rPr>
            </w:pPr>
            <w:r>
              <w:rPr>
                <w:rFonts w:ascii="仿宋" w:hAnsi="仿宋" w:eastAsia="仿宋" w:cs="仿宋"/>
                <w:spacing w:val="2"/>
                <w:sz w:val="20"/>
                <w:szCs w:val="20"/>
              </w:rPr>
              <w:t>昼间</w:t>
            </w:r>
          </w:p>
        </w:tc>
        <w:tc>
          <w:tcPr>
            <w:tcW w:w="750" w:type="dxa"/>
            <w:vAlign w:val="top"/>
          </w:tcPr>
          <w:p w14:paraId="1B3F14B2">
            <w:pPr>
              <w:pStyle w:val="6"/>
              <w:spacing w:before="95" w:line="192" w:lineRule="auto"/>
              <w:ind w:left="276"/>
              <w:rPr>
                <w:sz w:val="20"/>
                <w:szCs w:val="20"/>
              </w:rPr>
            </w:pPr>
            <w:r>
              <w:rPr>
                <w:sz w:val="20"/>
                <w:szCs w:val="20"/>
              </w:rPr>
              <w:t>55</w:t>
            </w:r>
          </w:p>
        </w:tc>
        <w:tc>
          <w:tcPr>
            <w:tcW w:w="660" w:type="dxa"/>
            <w:vAlign w:val="top"/>
          </w:tcPr>
          <w:p w14:paraId="73CD458C">
            <w:pPr>
              <w:pStyle w:val="6"/>
              <w:spacing w:before="92" w:line="195" w:lineRule="auto"/>
              <w:ind w:left="153"/>
              <w:rPr>
                <w:sz w:val="20"/>
                <w:szCs w:val="20"/>
              </w:rPr>
            </w:pPr>
            <w:r>
              <w:rPr>
                <w:spacing w:val="2"/>
                <w:sz w:val="20"/>
                <w:szCs w:val="20"/>
              </w:rPr>
              <w:t>50.5</w:t>
            </w:r>
          </w:p>
        </w:tc>
        <w:tc>
          <w:tcPr>
            <w:tcW w:w="1005" w:type="dxa"/>
            <w:vAlign w:val="top"/>
          </w:tcPr>
          <w:p w14:paraId="3A548FB1">
            <w:pPr>
              <w:pStyle w:val="6"/>
              <w:spacing w:before="92" w:line="195" w:lineRule="auto"/>
              <w:ind w:left="271"/>
              <w:rPr>
                <w:sz w:val="20"/>
                <w:szCs w:val="20"/>
              </w:rPr>
            </w:pPr>
            <w:r>
              <w:rPr>
                <w:spacing w:val="3"/>
                <w:sz w:val="20"/>
                <w:szCs w:val="20"/>
              </w:rPr>
              <w:t>31.17</w:t>
            </w:r>
          </w:p>
        </w:tc>
        <w:tc>
          <w:tcPr>
            <w:tcW w:w="900" w:type="dxa"/>
            <w:vAlign w:val="top"/>
          </w:tcPr>
          <w:p w14:paraId="4A113F27">
            <w:pPr>
              <w:pStyle w:val="6"/>
              <w:spacing w:before="92" w:line="195" w:lineRule="auto"/>
              <w:ind w:left="221"/>
              <w:rPr>
                <w:sz w:val="20"/>
                <w:szCs w:val="20"/>
              </w:rPr>
            </w:pPr>
            <w:r>
              <w:rPr>
                <w:spacing w:val="2"/>
                <w:sz w:val="20"/>
                <w:szCs w:val="20"/>
              </w:rPr>
              <w:t>50.55</w:t>
            </w:r>
          </w:p>
        </w:tc>
        <w:tc>
          <w:tcPr>
            <w:tcW w:w="1094" w:type="dxa"/>
            <w:vAlign w:val="top"/>
          </w:tcPr>
          <w:p w14:paraId="4DFA5841">
            <w:pPr>
              <w:pStyle w:val="6"/>
              <w:spacing w:before="92" w:line="195" w:lineRule="auto"/>
              <w:ind w:left="367"/>
              <w:rPr>
                <w:sz w:val="20"/>
                <w:szCs w:val="20"/>
              </w:rPr>
            </w:pPr>
            <w:r>
              <w:rPr>
                <w:spacing w:val="2"/>
                <w:sz w:val="20"/>
                <w:szCs w:val="20"/>
              </w:rPr>
              <w:t>0.05</w:t>
            </w:r>
          </w:p>
        </w:tc>
        <w:tc>
          <w:tcPr>
            <w:tcW w:w="765" w:type="dxa"/>
            <w:vAlign w:val="top"/>
          </w:tcPr>
          <w:p w14:paraId="03F1E965">
            <w:pPr>
              <w:pStyle w:val="6"/>
              <w:spacing w:before="92" w:line="195" w:lineRule="auto"/>
              <w:ind w:left="336"/>
              <w:rPr>
                <w:sz w:val="20"/>
                <w:szCs w:val="20"/>
              </w:rPr>
            </w:pPr>
            <w:r>
              <w:rPr>
                <w:sz w:val="20"/>
                <w:szCs w:val="20"/>
              </w:rPr>
              <w:t>0</w:t>
            </w:r>
          </w:p>
        </w:tc>
        <w:tc>
          <w:tcPr>
            <w:tcW w:w="870" w:type="dxa"/>
            <w:vAlign w:val="top"/>
          </w:tcPr>
          <w:p w14:paraId="4682DE92">
            <w:pPr>
              <w:pStyle w:val="6"/>
              <w:spacing w:before="92" w:line="195" w:lineRule="auto"/>
              <w:ind w:left="203"/>
              <w:rPr>
                <w:sz w:val="20"/>
                <w:szCs w:val="20"/>
              </w:rPr>
            </w:pPr>
            <w:r>
              <w:rPr>
                <w:spacing w:val="3"/>
                <w:sz w:val="20"/>
                <w:szCs w:val="20"/>
              </w:rPr>
              <w:t>33.45</w:t>
            </w:r>
          </w:p>
        </w:tc>
        <w:tc>
          <w:tcPr>
            <w:tcW w:w="870" w:type="dxa"/>
            <w:vAlign w:val="top"/>
          </w:tcPr>
          <w:p w14:paraId="0231AE54">
            <w:pPr>
              <w:pStyle w:val="6"/>
              <w:spacing w:before="92" w:line="195" w:lineRule="auto"/>
              <w:ind w:left="206"/>
              <w:rPr>
                <w:sz w:val="20"/>
                <w:szCs w:val="20"/>
              </w:rPr>
            </w:pPr>
            <w:r>
              <w:rPr>
                <w:spacing w:val="2"/>
                <w:sz w:val="20"/>
                <w:szCs w:val="20"/>
              </w:rPr>
              <w:t>50.58</w:t>
            </w:r>
          </w:p>
        </w:tc>
        <w:tc>
          <w:tcPr>
            <w:tcW w:w="855" w:type="dxa"/>
            <w:vAlign w:val="top"/>
          </w:tcPr>
          <w:p w14:paraId="40EA2BC0">
            <w:pPr>
              <w:pStyle w:val="6"/>
              <w:spacing w:before="92" w:line="195" w:lineRule="auto"/>
              <w:ind w:left="248"/>
              <w:rPr>
                <w:sz w:val="20"/>
                <w:szCs w:val="20"/>
              </w:rPr>
            </w:pPr>
            <w:r>
              <w:rPr>
                <w:spacing w:val="2"/>
                <w:sz w:val="20"/>
                <w:szCs w:val="20"/>
              </w:rPr>
              <w:t>0.08</w:t>
            </w:r>
          </w:p>
        </w:tc>
        <w:tc>
          <w:tcPr>
            <w:tcW w:w="690" w:type="dxa"/>
            <w:vAlign w:val="top"/>
          </w:tcPr>
          <w:p w14:paraId="650BE5A6">
            <w:pPr>
              <w:pStyle w:val="6"/>
              <w:spacing w:before="92" w:line="195" w:lineRule="auto"/>
              <w:ind w:left="298"/>
              <w:rPr>
                <w:sz w:val="20"/>
                <w:szCs w:val="20"/>
              </w:rPr>
            </w:pPr>
            <w:r>
              <w:rPr>
                <w:sz w:val="20"/>
                <w:szCs w:val="20"/>
              </w:rPr>
              <w:t>0</w:t>
            </w:r>
          </w:p>
        </w:tc>
        <w:tc>
          <w:tcPr>
            <w:tcW w:w="915" w:type="dxa"/>
            <w:vAlign w:val="top"/>
          </w:tcPr>
          <w:p w14:paraId="34732261">
            <w:pPr>
              <w:pStyle w:val="6"/>
              <w:spacing w:before="92" w:line="195" w:lineRule="auto"/>
              <w:ind w:left="228"/>
              <w:rPr>
                <w:sz w:val="20"/>
                <w:szCs w:val="20"/>
              </w:rPr>
            </w:pPr>
            <w:r>
              <w:rPr>
                <w:spacing w:val="2"/>
                <w:sz w:val="20"/>
                <w:szCs w:val="20"/>
              </w:rPr>
              <w:t>33.67</w:t>
            </w:r>
          </w:p>
        </w:tc>
        <w:tc>
          <w:tcPr>
            <w:tcW w:w="930" w:type="dxa"/>
            <w:vAlign w:val="top"/>
          </w:tcPr>
          <w:p w14:paraId="6382D1B7">
            <w:pPr>
              <w:pStyle w:val="6"/>
              <w:spacing w:before="92" w:line="195" w:lineRule="auto"/>
              <w:ind w:left="236"/>
              <w:rPr>
                <w:sz w:val="20"/>
                <w:szCs w:val="20"/>
              </w:rPr>
            </w:pPr>
            <w:r>
              <w:rPr>
                <w:spacing w:val="2"/>
                <w:sz w:val="20"/>
                <w:szCs w:val="20"/>
              </w:rPr>
              <w:t>50.59</w:t>
            </w:r>
          </w:p>
        </w:tc>
        <w:tc>
          <w:tcPr>
            <w:tcW w:w="855" w:type="dxa"/>
            <w:vAlign w:val="top"/>
          </w:tcPr>
          <w:p w14:paraId="7B33515A">
            <w:pPr>
              <w:pStyle w:val="6"/>
              <w:spacing w:before="92" w:line="195" w:lineRule="auto"/>
              <w:ind w:left="249"/>
              <w:rPr>
                <w:sz w:val="20"/>
                <w:szCs w:val="20"/>
              </w:rPr>
            </w:pPr>
            <w:r>
              <w:rPr>
                <w:spacing w:val="2"/>
                <w:sz w:val="20"/>
                <w:szCs w:val="20"/>
              </w:rPr>
              <w:t>0.09</w:t>
            </w:r>
          </w:p>
        </w:tc>
        <w:tc>
          <w:tcPr>
            <w:tcW w:w="689" w:type="dxa"/>
            <w:tcBorders>
              <w:right w:val="nil"/>
            </w:tcBorders>
            <w:vAlign w:val="top"/>
          </w:tcPr>
          <w:p w14:paraId="330879E7">
            <w:pPr>
              <w:pStyle w:val="6"/>
              <w:spacing w:before="92" w:line="195" w:lineRule="auto"/>
              <w:ind w:left="296"/>
              <w:rPr>
                <w:sz w:val="20"/>
                <w:szCs w:val="20"/>
              </w:rPr>
            </w:pPr>
            <w:r>
              <w:rPr>
                <w:sz w:val="20"/>
                <w:szCs w:val="20"/>
              </w:rPr>
              <w:t>0</w:t>
            </w:r>
          </w:p>
        </w:tc>
      </w:tr>
      <w:tr w14:paraId="77AC9A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3" w:type="dxa"/>
            <w:vMerge w:val="continue"/>
            <w:tcBorders>
              <w:top w:val="nil"/>
              <w:left w:val="nil"/>
            </w:tcBorders>
            <w:vAlign w:val="top"/>
          </w:tcPr>
          <w:p w14:paraId="063D73F3">
            <w:pPr>
              <w:rPr>
                <w:rFonts w:ascii="Arial"/>
                <w:sz w:val="21"/>
              </w:rPr>
            </w:pPr>
          </w:p>
        </w:tc>
        <w:tc>
          <w:tcPr>
            <w:tcW w:w="1042" w:type="dxa"/>
            <w:vMerge w:val="continue"/>
            <w:tcBorders>
              <w:top w:val="nil"/>
            </w:tcBorders>
            <w:vAlign w:val="top"/>
          </w:tcPr>
          <w:p w14:paraId="77A1CF42">
            <w:pPr>
              <w:rPr>
                <w:rFonts w:ascii="Arial"/>
                <w:sz w:val="21"/>
              </w:rPr>
            </w:pPr>
          </w:p>
        </w:tc>
        <w:tc>
          <w:tcPr>
            <w:tcW w:w="750" w:type="dxa"/>
            <w:vAlign w:val="top"/>
          </w:tcPr>
          <w:p w14:paraId="315EB1B6">
            <w:pPr>
              <w:spacing w:before="56" w:line="230" w:lineRule="auto"/>
              <w:ind w:left="176"/>
              <w:rPr>
                <w:rFonts w:ascii="仿宋" w:hAnsi="仿宋" w:eastAsia="仿宋" w:cs="仿宋"/>
                <w:sz w:val="20"/>
                <w:szCs w:val="20"/>
              </w:rPr>
            </w:pPr>
            <w:r>
              <w:rPr>
                <w:rFonts w:ascii="仿宋" w:hAnsi="仿宋" w:eastAsia="仿宋" w:cs="仿宋"/>
                <w:spacing w:val="2"/>
                <w:sz w:val="20"/>
                <w:szCs w:val="20"/>
              </w:rPr>
              <w:t>夜间</w:t>
            </w:r>
          </w:p>
        </w:tc>
        <w:tc>
          <w:tcPr>
            <w:tcW w:w="750" w:type="dxa"/>
            <w:vAlign w:val="top"/>
          </w:tcPr>
          <w:p w14:paraId="2BDD15CE">
            <w:pPr>
              <w:pStyle w:val="6"/>
              <w:spacing w:before="92" w:line="195" w:lineRule="auto"/>
              <w:ind w:left="270"/>
              <w:rPr>
                <w:sz w:val="20"/>
                <w:szCs w:val="20"/>
              </w:rPr>
            </w:pPr>
            <w:r>
              <w:rPr>
                <w:spacing w:val="3"/>
                <w:sz w:val="20"/>
                <w:szCs w:val="20"/>
              </w:rPr>
              <w:t>45</w:t>
            </w:r>
          </w:p>
        </w:tc>
        <w:tc>
          <w:tcPr>
            <w:tcW w:w="660" w:type="dxa"/>
            <w:vAlign w:val="top"/>
          </w:tcPr>
          <w:p w14:paraId="511E5412">
            <w:pPr>
              <w:pStyle w:val="6"/>
              <w:spacing w:before="92" w:line="195" w:lineRule="auto"/>
              <w:ind w:left="146"/>
              <w:rPr>
                <w:sz w:val="20"/>
                <w:szCs w:val="20"/>
              </w:rPr>
            </w:pPr>
            <w:r>
              <w:rPr>
                <w:spacing w:val="3"/>
                <w:sz w:val="20"/>
                <w:szCs w:val="20"/>
              </w:rPr>
              <w:t>40.5</w:t>
            </w:r>
          </w:p>
        </w:tc>
        <w:tc>
          <w:tcPr>
            <w:tcW w:w="1005" w:type="dxa"/>
            <w:vAlign w:val="top"/>
          </w:tcPr>
          <w:p w14:paraId="521E4E59">
            <w:pPr>
              <w:pStyle w:val="6"/>
              <w:spacing w:before="92" w:line="195" w:lineRule="auto"/>
              <w:ind w:left="271"/>
              <w:rPr>
                <w:sz w:val="20"/>
                <w:szCs w:val="20"/>
              </w:rPr>
            </w:pPr>
            <w:r>
              <w:rPr>
                <w:spacing w:val="3"/>
                <w:sz w:val="20"/>
                <w:szCs w:val="20"/>
              </w:rPr>
              <w:t>30.08</w:t>
            </w:r>
          </w:p>
        </w:tc>
        <w:tc>
          <w:tcPr>
            <w:tcW w:w="900" w:type="dxa"/>
            <w:vAlign w:val="top"/>
          </w:tcPr>
          <w:p w14:paraId="7E06E403">
            <w:pPr>
              <w:pStyle w:val="6"/>
              <w:spacing w:before="92" w:line="195" w:lineRule="auto"/>
              <w:ind w:left="214"/>
              <w:rPr>
                <w:sz w:val="20"/>
                <w:szCs w:val="20"/>
              </w:rPr>
            </w:pPr>
            <w:r>
              <w:rPr>
                <w:spacing w:val="3"/>
                <w:sz w:val="20"/>
                <w:szCs w:val="20"/>
              </w:rPr>
              <w:t>40.88</w:t>
            </w:r>
          </w:p>
        </w:tc>
        <w:tc>
          <w:tcPr>
            <w:tcW w:w="1094" w:type="dxa"/>
            <w:vAlign w:val="top"/>
          </w:tcPr>
          <w:p w14:paraId="053014C1">
            <w:pPr>
              <w:pStyle w:val="6"/>
              <w:spacing w:before="92" w:line="195" w:lineRule="auto"/>
              <w:ind w:left="367"/>
              <w:rPr>
                <w:sz w:val="20"/>
                <w:szCs w:val="20"/>
              </w:rPr>
            </w:pPr>
            <w:r>
              <w:rPr>
                <w:spacing w:val="2"/>
                <w:sz w:val="20"/>
                <w:szCs w:val="20"/>
              </w:rPr>
              <w:t>0.38</w:t>
            </w:r>
          </w:p>
        </w:tc>
        <w:tc>
          <w:tcPr>
            <w:tcW w:w="765" w:type="dxa"/>
            <w:vAlign w:val="top"/>
          </w:tcPr>
          <w:p w14:paraId="3C4AF764">
            <w:pPr>
              <w:pStyle w:val="6"/>
              <w:spacing w:before="92" w:line="195" w:lineRule="auto"/>
              <w:ind w:left="336"/>
              <w:rPr>
                <w:sz w:val="20"/>
                <w:szCs w:val="20"/>
              </w:rPr>
            </w:pPr>
            <w:r>
              <w:rPr>
                <w:sz w:val="20"/>
                <w:szCs w:val="20"/>
              </w:rPr>
              <w:t>0</w:t>
            </w:r>
          </w:p>
        </w:tc>
        <w:tc>
          <w:tcPr>
            <w:tcW w:w="870" w:type="dxa"/>
            <w:vAlign w:val="top"/>
          </w:tcPr>
          <w:p w14:paraId="502F106A">
            <w:pPr>
              <w:pStyle w:val="6"/>
              <w:spacing w:before="92" w:line="195" w:lineRule="auto"/>
              <w:ind w:left="203"/>
              <w:rPr>
                <w:sz w:val="20"/>
                <w:szCs w:val="20"/>
              </w:rPr>
            </w:pPr>
            <w:r>
              <w:rPr>
                <w:spacing w:val="3"/>
                <w:sz w:val="20"/>
                <w:szCs w:val="20"/>
              </w:rPr>
              <w:t>30.55</w:t>
            </w:r>
          </w:p>
        </w:tc>
        <w:tc>
          <w:tcPr>
            <w:tcW w:w="870" w:type="dxa"/>
            <w:vAlign w:val="top"/>
          </w:tcPr>
          <w:p w14:paraId="40B1713D">
            <w:pPr>
              <w:pStyle w:val="6"/>
              <w:spacing w:before="92" w:line="195" w:lineRule="auto"/>
              <w:ind w:left="199"/>
              <w:rPr>
                <w:sz w:val="20"/>
                <w:szCs w:val="20"/>
              </w:rPr>
            </w:pPr>
            <w:r>
              <w:rPr>
                <w:spacing w:val="4"/>
                <w:sz w:val="20"/>
                <w:szCs w:val="20"/>
              </w:rPr>
              <w:t>40.92</w:t>
            </w:r>
          </w:p>
        </w:tc>
        <w:tc>
          <w:tcPr>
            <w:tcW w:w="855" w:type="dxa"/>
            <w:vAlign w:val="top"/>
          </w:tcPr>
          <w:p w14:paraId="1C8D2DD6">
            <w:pPr>
              <w:pStyle w:val="6"/>
              <w:spacing w:before="92" w:line="195" w:lineRule="auto"/>
              <w:ind w:left="248"/>
              <w:rPr>
                <w:sz w:val="20"/>
                <w:szCs w:val="20"/>
              </w:rPr>
            </w:pPr>
            <w:r>
              <w:rPr>
                <w:spacing w:val="2"/>
                <w:sz w:val="20"/>
                <w:szCs w:val="20"/>
              </w:rPr>
              <w:t>0.42</w:t>
            </w:r>
          </w:p>
        </w:tc>
        <w:tc>
          <w:tcPr>
            <w:tcW w:w="690" w:type="dxa"/>
            <w:vAlign w:val="top"/>
          </w:tcPr>
          <w:p w14:paraId="245E4F53">
            <w:pPr>
              <w:pStyle w:val="6"/>
              <w:spacing w:before="92" w:line="195" w:lineRule="auto"/>
              <w:ind w:left="298"/>
              <w:rPr>
                <w:sz w:val="20"/>
                <w:szCs w:val="20"/>
              </w:rPr>
            </w:pPr>
            <w:r>
              <w:rPr>
                <w:sz w:val="20"/>
                <w:szCs w:val="20"/>
              </w:rPr>
              <w:t>0</w:t>
            </w:r>
          </w:p>
        </w:tc>
        <w:tc>
          <w:tcPr>
            <w:tcW w:w="915" w:type="dxa"/>
            <w:vAlign w:val="top"/>
          </w:tcPr>
          <w:p w14:paraId="7674785B">
            <w:pPr>
              <w:pStyle w:val="6"/>
              <w:spacing w:before="92" w:line="195" w:lineRule="auto"/>
              <w:ind w:left="228"/>
              <w:rPr>
                <w:sz w:val="20"/>
                <w:szCs w:val="20"/>
              </w:rPr>
            </w:pPr>
            <w:r>
              <w:rPr>
                <w:spacing w:val="2"/>
                <w:sz w:val="20"/>
                <w:szCs w:val="20"/>
              </w:rPr>
              <w:t>30.55</w:t>
            </w:r>
          </w:p>
        </w:tc>
        <w:tc>
          <w:tcPr>
            <w:tcW w:w="930" w:type="dxa"/>
            <w:vAlign w:val="top"/>
          </w:tcPr>
          <w:p w14:paraId="7A7645A8">
            <w:pPr>
              <w:pStyle w:val="6"/>
              <w:spacing w:before="92" w:line="195" w:lineRule="auto"/>
              <w:ind w:left="229"/>
              <w:rPr>
                <w:sz w:val="20"/>
                <w:szCs w:val="20"/>
              </w:rPr>
            </w:pPr>
            <w:r>
              <w:rPr>
                <w:spacing w:val="4"/>
                <w:sz w:val="20"/>
                <w:szCs w:val="20"/>
              </w:rPr>
              <w:t>40.92</w:t>
            </w:r>
          </w:p>
        </w:tc>
        <w:tc>
          <w:tcPr>
            <w:tcW w:w="855" w:type="dxa"/>
            <w:vAlign w:val="top"/>
          </w:tcPr>
          <w:p w14:paraId="1DC8A486">
            <w:pPr>
              <w:pStyle w:val="6"/>
              <w:spacing w:before="92" w:line="195" w:lineRule="auto"/>
              <w:ind w:left="249"/>
              <w:rPr>
                <w:sz w:val="20"/>
                <w:szCs w:val="20"/>
              </w:rPr>
            </w:pPr>
            <w:r>
              <w:rPr>
                <w:spacing w:val="2"/>
                <w:sz w:val="20"/>
                <w:szCs w:val="20"/>
              </w:rPr>
              <w:t>0.42</w:t>
            </w:r>
          </w:p>
        </w:tc>
        <w:tc>
          <w:tcPr>
            <w:tcW w:w="689" w:type="dxa"/>
            <w:tcBorders>
              <w:right w:val="nil"/>
            </w:tcBorders>
            <w:vAlign w:val="top"/>
          </w:tcPr>
          <w:p w14:paraId="0EFF7E8D">
            <w:pPr>
              <w:pStyle w:val="6"/>
              <w:spacing w:before="92" w:line="195" w:lineRule="auto"/>
              <w:ind w:left="296"/>
              <w:rPr>
                <w:sz w:val="20"/>
                <w:szCs w:val="20"/>
              </w:rPr>
            </w:pPr>
            <w:r>
              <w:rPr>
                <w:sz w:val="20"/>
                <w:szCs w:val="20"/>
              </w:rPr>
              <w:t>0</w:t>
            </w:r>
          </w:p>
        </w:tc>
      </w:tr>
      <w:tr w14:paraId="5F9384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3" w:type="dxa"/>
            <w:vMerge w:val="restart"/>
            <w:tcBorders>
              <w:left w:val="nil"/>
              <w:bottom w:val="nil"/>
            </w:tcBorders>
            <w:vAlign w:val="top"/>
          </w:tcPr>
          <w:p w14:paraId="0A373896">
            <w:pPr>
              <w:pStyle w:val="6"/>
              <w:spacing w:before="254" w:line="195" w:lineRule="auto"/>
              <w:ind w:left="217"/>
              <w:rPr>
                <w:sz w:val="20"/>
                <w:szCs w:val="20"/>
              </w:rPr>
            </w:pPr>
            <w:r>
              <w:rPr>
                <w:sz w:val="20"/>
                <w:szCs w:val="20"/>
              </w:rPr>
              <w:t>2</w:t>
            </w:r>
          </w:p>
        </w:tc>
        <w:tc>
          <w:tcPr>
            <w:tcW w:w="1042" w:type="dxa"/>
            <w:vMerge w:val="restart"/>
            <w:tcBorders>
              <w:bottom w:val="nil"/>
            </w:tcBorders>
            <w:vAlign w:val="top"/>
          </w:tcPr>
          <w:p w14:paraId="7BA4B046">
            <w:pPr>
              <w:pStyle w:val="6"/>
              <w:spacing w:before="62" w:line="231" w:lineRule="auto"/>
              <w:ind w:left="183"/>
              <w:rPr>
                <w:sz w:val="20"/>
                <w:szCs w:val="20"/>
              </w:rPr>
            </w:pPr>
            <w:r>
              <w:rPr>
                <w:rFonts w:ascii="仿宋" w:hAnsi="仿宋" w:eastAsia="仿宋" w:cs="仿宋"/>
                <w:spacing w:val="5"/>
                <w:sz w:val="20"/>
                <w:szCs w:val="20"/>
              </w:rPr>
              <w:t>崔家峁</w:t>
            </w:r>
            <w:r>
              <w:rPr>
                <w:spacing w:val="5"/>
                <w:sz w:val="20"/>
                <w:szCs w:val="20"/>
              </w:rPr>
              <w:t>-</w:t>
            </w:r>
          </w:p>
          <w:p w14:paraId="4BE1A38E">
            <w:pPr>
              <w:spacing w:before="61" w:line="231" w:lineRule="auto"/>
              <w:ind w:left="322"/>
              <w:rPr>
                <w:rFonts w:ascii="仿宋" w:hAnsi="仿宋" w:eastAsia="仿宋" w:cs="仿宋"/>
                <w:sz w:val="20"/>
                <w:szCs w:val="20"/>
              </w:rPr>
            </w:pPr>
            <w:r>
              <w:rPr>
                <w:rFonts w:ascii="仿宋" w:hAnsi="仿宋" w:eastAsia="仿宋" w:cs="仿宋"/>
                <w:spacing w:val="2"/>
                <w:sz w:val="20"/>
                <w:szCs w:val="20"/>
              </w:rPr>
              <w:t>散户</w:t>
            </w:r>
          </w:p>
        </w:tc>
        <w:tc>
          <w:tcPr>
            <w:tcW w:w="750" w:type="dxa"/>
            <w:vAlign w:val="top"/>
          </w:tcPr>
          <w:p w14:paraId="313DA50D">
            <w:pPr>
              <w:spacing w:before="57" w:line="229" w:lineRule="auto"/>
              <w:ind w:left="176"/>
              <w:rPr>
                <w:rFonts w:ascii="仿宋" w:hAnsi="仿宋" w:eastAsia="仿宋" w:cs="仿宋"/>
                <w:sz w:val="20"/>
                <w:szCs w:val="20"/>
              </w:rPr>
            </w:pPr>
            <w:r>
              <w:rPr>
                <w:rFonts w:ascii="仿宋" w:hAnsi="仿宋" w:eastAsia="仿宋" w:cs="仿宋"/>
                <w:spacing w:val="2"/>
                <w:sz w:val="20"/>
                <w:szCs w:val="20"/>
              </w:rPr>
              <w:t>昼间</w:t>
            </w:r>
          </w:p>
        </w:tc>
        <w:tc>
          <w:tcPr>
            <w:tcW w:w="750" w:type="dxa"/>
            <w:vAlign w:val="top"/>
          </w:tcPr>
          <w:p w14:paraId="3CCE8737">
            <w:pPr>
              <w:pStyle w:val="6"/>
              <w:spacing w:before="96" w:line="192" w:lineRule="auto"/>
              <w:ind w:left="276"/>
              <w:rPr>
                <w:sz w:val="20"/>
                <w:szCs w:val="20"/>
              </w:rPr>
            </w:pPr>
            <w:r>
              <w:rPr>
                <w:sz w:val="20"/>
                <w:szCs w:val="20"/>
              </w:rPr>
              <w:t>55</w:t>
            </w:r>
          </w:p>
        </w:tc>
        <w:tc>
          <w:tcPr>
            <w:tcW w:w="660" w:type="dxa"/>
            <w:vAlign w:val="top"/>
          </w:tcPr>
          <w:p w14:paraId="77F6C32F">
            <w:pPr>
              <w:pStyle w:val="6"/>
              <w:spacing w:before="93" w:line="195" w:lineRule="auto"/>
              <w:ind w:left="232"/>
              <w:rPr>
                <w:sz w:val="20"/>
                <w:szCs w:val="20"/>
              </w:rPr>
            </w:pPr>
            <w:r>
              <w:rPr>
                <w:sz w:val="20"/>
                <w:szCs w:val="20"/>
              </w:rPr>
              <w:t>53</w:t>
            </w:r>
          </w:p>
        </w:tc>
        <w:tc>
          <w:tcPr>
            <w:tcW w:w="1005" w:type="dxa"/>
            <w:vAlign w:val="top"/>
          </w:tcPr>
          <w:p w14:paraId="5C5926ED">
            <w:pPr>
              <w:pStyle w:val="6"/>
              <w:spacing w:before="93" w:line="195" w:lineRule="auto"/>
              <w:ind w:left="266"/>
              <w:rPr>
                <w:sz w:val="20"/>
                <w:szCs w:val="20"/>
              </w:rPr>
            </w:pPr>
            <w:r>
              <w:rPr>
                <w:spacing w:val="4"/>
                <w:sz w:val="20"/>
                <w:szCs w:val="20"/>
              </w:rPr>
              <w:t>41.94</w:t>
            </w:r>
          </w:p>
        </w:tc>
        <w:tc>
          <w:tcPr>
            <w:tcW w:w="900" w:type="dxa"/>
            <w:vAlign w:val="top"/>
          </w:tcPr>
          <w:p w14:paraId="755161BC">
            <w:pPr>
              <w:pStyle w:val="6"/>
              <w:spacing w:before="93" w:line="195" w:lineRule="auto"/>
              <w:ind w:left="221"/>
              <w:rPr>
                <w:sz w:val="20"/>
                <w:szCs w:val="20"/>
              </w:rPr>
            </w:pPr>
            <w:r>
              <w:rPr>
                <w:spacing w:val="2"/>
                <w:sz w:val="20"/>
                <w:szCs w:val="20"/>
              </w:rPr>
              <w:t>53.33</w:t>
            </w:r>
          </w:p>
        </w:tc>
        <w:tc>
          <w:tcPr>
            <w:tcW w:w="1094" w:type="dxa"/>
            <w:vAlign w:val="top"/>
          </w:tcPr>
          <w:p w14:paraId="5CE46602">
            <w:pPr>
              <w:pStyle w:val="6"/>
              <w:spacing w:before="93" w:line="195" w:lineRule="auto"/>
              <w:ind w:left="367"/>
              <w:rPr>
                <w:sz w:val="20"/>
                <w:szCs w:val="20"/>
              </w:rPr>
            </w:pPr>
            <w:r>
              <w:rPr>
                <w:spacing w:val="2"/>
                <w:sz w:val="20"/>
                <w:szCs w:val="20"/>
              </w:rPr>
              <w:t>0.33</w:t>
            </w:r>
          </w:p>
        </w:tc>
        <w:tc>
          <w:tcPr>
            <w:tcW w:w="765" w:type="dxa"/>
            <w:vAlign w:val="top"/>
          </w:tcPr>
          <w:p w14:paraId="4BE2B88D">
            <w:pPr>
              <w:pStyle w:val="6"/>
              <w:spacing w:before="93" w:line="195" w:lineRule="auto"/>
              <w:ind w:left="336"/>
              <w:rPr>
                <w:sz w:val="20"/>
                <w:szCs w:val="20"/>
              </w:rPr>
            </w:pPr>
            <w:r>
              <w:rPr>
                <w:sz w:val="20"/>
                <w:szCs w:val="20"/>
              </w:rPr>
              <w:t>0</w:t>
            </w:r>
          </w:p>
        </w:tc>
        <w:tc>
          <w:tcPr>
            <w:tcW w:w="870" w:type="dxa"/>
            <w:vAlign w:val="top"/>
          </w:tcPr>
          <w:p w14:paraId="3ED965DC">
            <w:pPr>
              <w:pStyle w:val="6"/>
              <w:spacing w:before="93" w:line="195" w:lineRule="auto"/>
              <w:ind w:left="198"/>
              <w:rPr>
                <w:sz w:val="20"/>
                <w:szCs w:val="20"/>
              </w:rPr>
            </w:pPr>
            <w:r>
              <w:rPr>
                <w:spacing w:val="4"/>
                <w:sz w:val="20"/>
                <w:szCs w:val="20"/>
              </w:rPr>
              <w:t>44.22</w:t>
            </w:r>
          </w:p>
        </w:tc>
        <w:tc>
          <w:tcPr>
            <w:tcW w:w="870" w:type="dxa"/>
            <w:vAlign w:val="top"/>
          </w:tcPr>
          <w:p w14:paraId="7BE4C39C">
            <w:pPr>
              <w:pStyle w:val="6"/>
              <w:spacing w:before="93" w:line="195" w:lineRule="auto"/>
              <w:ind w:left="206"/>
              <w:rPr>
                <w:sz w:val="20"/>
                <w:szCs w:val="20"/>
              </w:rPr>
            </w:pPr>
            <w:r>
              <w:rPr>
                <w:spacing w:val="2"/>
                <w:sz w:val="20"/>
                <w:szCs w:val="20"/>
              </w:rPr>
              <w:t>53.54</w:t>
            </w:r>
          </w:p>
        </w:tc>
        <w:tc>
          <w:tcPr>
            <w:tcW w:w="855" w:type="dxa"/>
            <w:vAlign w:val="top"/>
          </w:tcPr>
          <w:p w14:paraId="0F9DAB9B">
            <w:pPr>
              <w:pStyle w:val="6"/>
              <w:spacing w:before="93" w:line="195" w:lineRule="auto"/>
              <w:ind w:left="248"/>
              <w:rPr>
                <w:sz w:val="20"/>
                <w:szCs w:val="20"/>
              </w:rPr>
            </w:pPr>
            <w:r>
              <w:rPr>
                <w:spacing w:val="2"/>
                <w:sz w:val="20"/>
                <w:szCs w:val="20"/>
              </w:rPr>
              <w:t>0.54</w:t>
            </w:r>
          </w:p>
        </w:tc>
        <w:tc>
          <w:tcPr>
            <w:tcW w:w="690" w:type="dxa"/>
            <w:vAlign w:val="top"/>
          </w:tcPr>
          <w:p w14:paraId="3E4A9E29">
            <w:pPr>
              <w:pStyle w:val="6"/>
              <w:spacing w:before="93" w:line="195" w:lineRule="auto"/>
              <w:ind w:left="298"/>
              <w:rPr>
                <w:sz w:val="20"/>
                <w:szCs w:val="20"/>
              </w:rPr>
            </w:pPr>
            <w:r>
              <w:rPr>
                <w:sz w:val="20"/>
                <w:szCs w:val="20"/>
              </w:rPr>
              <w:t>0</w:t>
            </w:r>
          </w:p>
        </w:tc>
        <w:tc>
          <w:tcPr>
            <w:tcW w:w="915" w:type="dxa"/>
            <w:vAlign w:val="top"/>
          </w:tcPr>
          <w:p w14:paraId="28183CEE">
            <w:pPr>
              <w:pStyle w:val="6"/>
              <w:spacing w:before="93" w:line="195" w:lineRule="auto"/>
              <w:ind w:left="223"/>
              <w:rPr>
                <w:sz w:val="20"/>
                <w:szCs w:val="20"/>
              </w:rPr>
            </w:pPr>
            <w:r>
              <w:rPr>
                <w:spacing w:val="3"/>
                <w:sz w:val="20"/>
                <w:szCs w:val="20"/>
              </w:rPr>
              <w:t>44.44</w:t>
            </w:r>
          </w:p>
        </w:tc>
        <w:tc>
          <w:tcPr>
            <w:tcW w:w="930" w:type="dxa"/>
            <w:vAlign w:val="top"/>
          </w:tcPr>
          <w:p w14:paraId="0A7C7292">
            <w:pPr>
              <w:pStyle w:val="6"/>
              <w:spacing w:before="93" w:line="195" w:lineRule="auto"/>
              <w:ind w:left="236"/>
              <w:rPr>
                <w:sz w:val="20"/>
                <w:szCs w:val="20"/>
              </w:rPr>
            </w:pPr>
            <w:r>
              <w:rPr>
                <w:spacing w:val="2"/>
                <w:sz w:val="20"/>
                <w:szCs w:val="20"/>
              </w:rPr>
              <w:t>53.57</w:t>
            </w:r>
          </w:p>
        </w:tc>
        <w:tc>
          <w:tcPr>
            <w:tcW w:w="855" w:type="dxa"/>
            <w:vAlign w:val="top"/>
          </w:tcPr>
          <w:p w14:paraId="79DEF24C">
            <w:pPr>
              <w:pStyle w:val="6"/>
              <w:spacing w:before="93" w:line="195" w:lineRule="auto"/>
              <w:ind w:left="249"/>
              <w:rPr>
                <w:sz w:val="20"/>
                <w:szCs w:val="20"/>
              </w:rPr>
            </w:pPr>
            <w:r>
              <w:rPr>
                <w:spacing w:val="2"/>
                <w:sz w:val="20"/>
                <w:szCs w:val="20"/>
              </w:rPr>
              <w:t>0.57</w:t>
            </w:r>
          </w:p>
        </w:tc>
        <w:tc>
          <w:tcPr>
            <w:tcW w:w="689" w:type="dxa"/>
            <w:tcBorders>
              <w:right w:val="nil"/>
            </w:tcBorders>
            <w:vAlign w:val="top"/>
          </w:tcPr>
          <w:p w14:paraId="788D5A14">
            <w:pPr>
              <w:pStyle w:val="6"/>
              <w:spacing w:before="93" w:line="195" w:lineRule="auto"/>
              <w:ind w:left="297"/>
              <w:rPr>
                <w:sz w:val="20"/>
                <w:szCs w:val="20"/>
              </w:rPr>
            </w:pPr>
            <w:r>
              <w:rPr>
                <w:sz w:val="20"/>
                <w:szCs w:val="20"/>
              </w:rPr>
              <w:t>0</w:t>
            </w:r>
          </w:p>
        </w:tc>
      </w:tr>
      <w:tr w14:paraId="0A6FF0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3" w:type="dxa"/>
            <w:vMerge w:val="continue"/>
            <w:tcBorders>
              <w:top w:val="nil"/>
              <w:left w:val="nil"/>
            </w:tcBorders>
            <w:vAlign w:val="top"/>
          </w:tcPr>
          <w:p w14:paraId="02DA5043">
            <w:pPr>
              <w:rPr>
                <w:rFonts w:ascii="Arial"/>
                <w:sz w:val="21"/>
              </w:rPr>
            </w:pPr>
          </w:p>
        </w:tc>
        <w:tc>
          <w:tcPr>
            <w:tcW w:w="1042" w:type="dxa"/>
            <w:vMerge w:val="continue"/>
            <w:tcBorders>
              <w:top w:val="nil"/>
            </w:tcBorders>
            <w:vAlign w:val="top"/>
          </w:tcPr>
          <w:p w14:paraId="057B049D">
            <w:pPr>
              <w:rPr>
                <w:rFonts w:ascii="Arial"/>
                <w:sz w:val="21"/>
              </w:rPr>
            </w:pPr>
          </w:p>
        </w:tc>
        <w:tc>
          <w:tcPr>
            <w:tcW w:w="750" w:type="dxa"/>
            <w:vAlign w:val="top"/>
          </w:tcPr>
          <w:p w14:paraId="549A306F">
            <w:pPr>
              <w:spacing w:before="57" w:line="229" w:lineRule="auto"/>
              <w:ind w:left="176"/>
              <w:rPr>
                <w:rFonts w:ascii="仿宋" w:hAnsi="仿宋" w:eastAsia="仿宋" w:cs="仿宋"/>
                <w:sz w:val="20"/>
                <w:szCs w:val="20"/>
              </w:rPr>
            </w:pPr>
            <w:r>
              <w:rPr>
                <w:rFonts w:ascii="仿宋" w:hAnsi="仿宋" w:eastAsia="仿宋" w:cs="仿宋"/>
                <w:spacing w:val="2"/>
                <w:sz w:val="20"/>
                <w:szCs w:val="20"/>
              </w:rPr>
              <w:t>夜间</w:t>
            </w:r>
          </w:p>
        </w:tc>
        <w:tc>
          <w:tcPr>
            <w:tcW w:w="750" w:type="dxa"/>
            <w:vAlign w:val="top"/>
          </w:tcPr>
          <w:p w14:paraId="4B0C0D95">
            <w:pPr>
              <w:pStyle w:val="6"/>
              <w:spacing w:before="96" w:line="195" w:lineRule="auto"/>
              <w:ind w:left="270"/>
              <w:rPr>
                <w:sz w:val="20"/>
                <w:szCs w:val="20"/>
              </w:rPr>
            </w:pPr>
            <w:r>
              <w:rPr>
                <w:spacing w:val="3"/>
                <w:sz w:val="20"/>
                <w:szCs w:val="20"/>
              </w:rPr>
              <w:t>45</w:t>
            </w:r>
          </w:p>
        </w:tc>
        <w:tc>
          <w:tcPr>
            <w:tcW w:w="660" w:type="dxa"/>
            <w:vAlign w:val="top"/>
          </w:tcPr>
          <w:p w14:paraId="4B96FF8C">
            <w:pPr>
              <w:pStyle w:val="6"/>
              <w:spacing w:before="96" w:line="195" w:lineRule="auto"/>
              <w:ind w:left="146"/>
              <w:rPr>
                <w:sz w:val="20"/>
                <w:szCs w:val="20"/>
              </w:rPr>
            </w:pPr>
            <w:r>
              <w:rPr>
                <w:spacing w:val="3"/>
                <w:sz w:val="20"/>
                <w:szCs w:val="20"/>
              </w:rPr>
              <w:t>42.5</w:t>
            </w:r>
          </w:p>
        </w:tc>
        <w:tc>
          <w:tcPr>
            <w:tcW w:w="1005" w:type="dxa"/>
            <w:vAlign w:val="top"/>
          </w:tcPr>
          <w:p w14:paraId="0D4B02B1">
            <w:pPr>
              <w:pStyle w:val="6"/>
              <w:spacing w:before="96" w:line="195" w:lineRule="auto"/>
              <w:ind w:left="266"/>
              <w:rPr>
                <w:sz w:val="20"/>
                <w:szCs w:val="20"/>
              </w:rPr>
            </w:pPr>
            <w:r>
              <w:rPr>
                <w:spacing w:val="4"/>
                <w:sz w:val="20"/>
                <w:szCs w:val="20"/>
              </w:rPr>
              <w:t>40.85</w:t>
            </w:r>
          </w:p>
        </w:tc>
        <w:tc>
          <w:tcPr>
            <w:tcW w:w="900" w:type="dxa"/>
            <w:vAlign w:val="top"/>
          </w:tcPr>
          <w:p w14:paraId="5F9D923B">
            <w:pPr>
              <w:pStyle w:val="6"/>
              <w:spacing w:before="96" w:line="195" w:lineRule="auto"/>
              <w:ind w:left="214"/>
              <w:rPr>
                <w:sz w:val="20"/>
                <w:szCs w:val="20"/>
              </w:rPr>
            </w:pPr>
            <w:r>
              <w:rPr>
                <w:spacing w:val="3"/>
                <w:sz w:val="20"/>
                <w:szCs w:val="20"/>
              </w:rPr>
              <w:t>44.76</w:t>
            </w:r>
          </w:p>
        </w:tc>
        <w:tc>
          <w:tcPr>
            <w:tcW w:w="1094" w:type="dxa"/>
            <w:vAlign w:val="top"/>
          </w:tcPr>
          <w:p w14:paraId="32502102">
            <w:pPr>
              <w:pStyle w:val="6"/>
              <w:spacing w:before="96" w:line="195" w:lineRule="auto"/>
              <w:ind w:left="364"/>
              <w:rPr>
                <w:sz w:val="20"/>
                <w:szCs w:val="20"/>
              </w:rPr>
            </w:pPr>
            <w:r>
              <w:rPr>
                <w:spacing w:val="3"/>
                <w:sz w:val="20"/>
                <w:szCs w:val="20"/>
              </w:rPr>
              <w:t>2.26</w:t>
            </w:r>
          </w:p>
        </w:tc>
        <w:tc>
          <w:tcPr>
            <w:tcW w:w="765" w:type="dxa"/>
            <w:vAlign w:val="top"/>
          </w:tcPr>
          <w:p w14:paraId="69281FCD">
            <w:pPr>
              <w:pStyle w:val="6"/>
              <w:spacing w:before="96" w:line="195" w:lineRule="auto"/>
              <w:ind w:left="336"/>
              <w:rPr>
                <w:sz w:val="20"/>
                <w:szCs w:val="20"/>
              </w:rPr>
            </w:pPr>
            <w:r>
              <w:rPr>
                <w:sz w:val="20"/>
                <w:szCs w:val="20"/>
              </w:rPr>
              <w:t>0</w:t>
            </w:r>
          </w:p>
        </w:tc>
        <w:tc>
          <w:tcPr>
            <w:tcW w:w="870" w:type="dxa"/>
            <w:vAlign w:val="top"/>
          </w:tcPr>
          <w:p w14:paraId="5E7620F4">
            <w:pPr>
              <w:pStyle w:val="6"/>
              <w:spacing w:before="96" w:line="195" w:lineRule="auto"/>
              <w:ind w:left="198"/>
              <w:rPr>
                <w:sz w:val="20"/>
                <w:szCs w:val="20"/>
              </w:rPr>
            </w:pPr>
            <w:r>
              <w:rPr>
                <w:spacing w:val="4"/>
                <w:sz w:val="20"/>
                <w:szCs w:val="20"/>
              </w:rPr>
              <w:t>41.32</w:t>
            </w:r>
          </w:p>
        </w:tc>
        <w:tc>
          <w:tcPr>
            <w:tcW w:w="870" w:type="dxa"/>
            <w:vAlign w:val="top"/>
          </w:tcPr>
          <w:p w14:paraId="5A098E3B">
            <w:pPr>
              <w:pStyle w:val="6"/>
              <w:spacing w:before="96" w:line="195" w:lineRule="auto"/>
              <w:ind w:left="199"/>
              <w:rPr>
                <w:sz w:val="20"/>
                <w:szCs w:val="20"/>
              </w:rPr>
            </w:pPr>
            <w:r>
              <w:rPr>
                <w:spacing w:val="4"/>
                <w:sz w:val="20"/>
                <w:szCs w:val="20"/>
              </w:rPr>
              <w:t>44.96</w:t>
            </w:r>
          </w:p>
        </w:tc>
        <w:tc>
          <w:tcPr>
            <w:tcW w:w="855" w:type="dxa"/>
            <w:vAlign w:val="top"/>
          </w:tcPr>
          <w:p w14:paraId="78B37844">
            <w:pPr>
              <w:pStyle w:val="6"/>
              <w:spacing w:before="96" w:line="195" w:lineRule="auto"/>
              <w:ind w:left="245"/>
              <w:rPr>
                <w:sz w:val="20"/>
                <w:szCs w:val="20"/>
              </w:rPr>
            </w:pPr>
            <w:r>
              <w:rPr>
                <w:spacing w:val="3"/>
                <w:sz w:val="20"/>
                <w:szCs w:val="20"/>
              </w:rPr>
              <w:t>2.46</w:t>
            </w:r>
          </w:p>
        </w:tc>
        <w:tc>
          <w:tcPr>
            <w:tcW w:w="690" w:type="dxa"/>
            <w:vAlign w:val="top"/>
          </w:tcPr>
          <w:p w14:paraId="3B8A63D1">
            <w:pPr>
              <w:pStyle w:val="6"/>
              <w:spacing w:before="96" w:line="195" w:lineRule="auto"/>
              <w:ind w:left="298"/>
              <w:rPr>
                <w:sz w:val="20"/>
                <w:szCs w:val="20"/>
              </w:rPr>
            </w:pPr>
            <w:r>
              <w:rPr>
                <w:sz w:val="20"/>
                <w:szCs w:val="20"/>
              </w:rPr>
              <w:t>0</w:t>
            </w:r>
          </w:p>
        </w:tc>
        <w:tc>
          <w:tcPr>
            <w:tcW w:w="915" w:type="dxa"/>
            <w:vAlign w:val="top"/>
          </w:tcPr>
          <w:p w14:paraId="3326C8C1">
            <w:pPr>
              <w:pStyle w:val="6"/>
              <w:spacing w:before="96" w:line="195" w:lineRule="auto"/>
              <w:ind w:left="223"/>
              <w:rPr>
                <w:sz w:val="20"/>
                <w:szCs w:val="20"/>
              </w:rPr>
            </w:pPr>
            <w:r>
              <w:rPr>
                <w:spacing w:val="3"/>
                <w:sz w:val="20"/>
                <w:szCs w:val="20"/>
              </w:rPr>
              <w:t>41.32</w:t>
            </w:r>
          </w:p>
        </w:tc>
        <w:tc>
          <w:tcPr>
            <w:tcW w:w="930" w:type="dxa"/>
            <w:vAlign w:val="top"/>
          </w:tcPr>
          <w:p w14:paraId="0AE1E5B9">
            <w:pPr>
              <w:pStyle w:val="6"/>
              <w:spacing w:before="96" w:line="195" w:lineRule="auto"/>
              <w:ind w:left="229"/>
              <w:rPr>
                <w:sz w:val="20"/>
                <w:szCs w:val="20"/>
              </w:rPr>
            </w:pPr>
            <w:r>
              <w:rPr>
                <w:spacing w:val="4"/>
                <w:sz w:val="20"/>
                <w:szCs w:val="20"/>
              </w:rPr>
              <w:t>44.96</w:t>
            </w:r>
          </w:p>
        </w:tc>
        <w:tc>
          <w:tcPr>
            <w:tcW w:w="855" w:type="dxa"/>
            <w:vAlign w:val="top"/>
          </w:tcPr>
          <w:p w14:paraId="7459EA38">
            <w:pPr>
              <w:pStyle w:val="6"/>
              <w:spacing w:before="96" w:line="195" w:lineRule="auto"/>
              <w:ind w:left="246"/>
              <w:rPr>
                <w:sz w:val="20"/>
                <w:szCs w:val="20"/>
              </w:rPr>
            </w:pPr>
            <w:r>
              <w:rPr>
                <w:spacing w:val="3"/>
                <w:sz w:val="20"/>
                <w:szCs w:val="20"/>
              </w:rPr>
              <w:t>2.46</w:t>
            </w:r>
          </w:p>
        </w:tc>
        <w:tc>
          <w:tcPr>
            <w:tcW w:w="689" w:type="dxa"/>
            <w:tcBorders>
              <w:right w:val="nil"/>
            </w:tcBorders>
            <w:vAlign w:val="top"/>
          </w:tcPr>
          <w:p w14:paraId="0CDABAEB">
            <w:pPr>
              <w:pStyle w:val="6"/>
              <w:spacing w:before="96" w:line="195" w:lineRule="auto"/>
              <w:ind w:left="297"/>
              <w:rPr>
                <w:sz w:val="20"/>
                <w:szCs w:val="20"/>
              </w:rPr>
            </w:pPr>
            <w:r>
              <w:rPr>
                <w:sz w:val="20"/>
                <w:szCs w:val="20"/>
              </w:rPr>
              <w:t>0</w:t>
            </w:r>
          </w:p>
        </w:tc>
      </w:tr>
      <w:tr w14:paraId="7DE3C2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3" w:type="dxa"/>
            <w:vMerge w:val="restart"/>
            <w:tcBorders>
              <w:left w:val="nil"/>
              <w:bottom w:val="nil"/>
            </w:tcBorders>
            <w:vAlign w:val="top"/>
          </w:tcPr>
          <w:p w14:paraId="73B02C75">
            <w:pPr>
              <w:pStyle w:val="6"/>
              <w:spacing w:before="257" w:line="195" w:lineRule="auto"/>
              <w:ind w:left="222"/>
              <w:rPr>
                <w:sz w:val="20"/>
                <w:szCs w:val="20"/>
              </w:rPr>
            </w:pPr>
            <w:r>
              <w:rPr>
                <w:sz w:val="20"/>
                <w:szCs w:val="20"/>
              </w:rPr>
              <w:t>3</w:t>
            </w:r>
          </w:p>
        </w:tc>
        <w:tc>
          <w:tcPr>
            <w:tcW w:w="1042" w:type="dxa"/>
            <w:vMerge w:val="restart"/>
            <w:tcBorders>
              <w:bottom w:val="nil"/>
            </w:tcBorders>
            <w:vAlign w:val="top"/>
          </w:tcPr>
          <w:p w14:paraId="37B2B873">
            <w:pPr>
              <w:pStyle w:val="6"/>
              <w:spacing w:before="63" w:line="260" w:lineRule="auto"/>
              <w:ind w:left="321" w:right="168" w:hanging="132"/>
              <w:rPr>
                <w:rFonts w:ascii="仿宋" w:hAnsi="仿宋" w:eastAsia="仿宋" w:cs="仿宋"/>
                <w:sz w:val="20"/>
                <w:szCs w:val="20"/>
              </w:rPr>
            </w:pPr>
            <w:r>
              <w:rPr>
                <w:rFonts w:ascii="仿宋" w:hAnsi="仿宋" w:eastAsia="仿宋" w:cs="仿宋"/>
                <w:spacing w:val="3"/>
                <w:sz w:val="20"/>
                <w:szCs w:val="20"/>
              </w:rPr>
              <w:t>瓦窑平</w:t>
            </w:r>
            <w:r>
              <w:rPr>
                <w:spacing w:val="3"/>
                <w:sz w:val="20"/>
                <w:szCs w:val="20"/>
              </w:rPr>
              <w:t>-</w:t>
            </w:r>
            <w:r>
              <w:rPr>
                <w:rFonts w:ascii="仿宋" w:hAnsi="仿宋" w:eastAsia="仿宋" w:cs="仿宋"/>
                <w:spacing w:val="2"/>
                <w:sz w:val="20"/>
                <w:szCs w:val="20"/>
              </w:rPr>
              <w:t>散户</w:t>
            </w:r>
          </w:p>
        </w:tc>
        <w:tc>
          <w:tcPr>
            <w:tcW w:w="750" w:type="dxa"/>
            <w:vAlign w:val="top"/>
          </w:tcPr>
          <w:p w14:paraId="1A7C071E">
            <w:pPr>
              <w:spacing w:before="58" w:line="228" w:lineRule="auto"/>
              <w:ind w:left="176"/>
              <w:rPr>
                <w:rFonts w:ascii="仿宋" w:hAnsi="仿宋" w:eastAsia="仿宋" w:cs="仿宋"/>
                <w:sz w:val="20"/>
                <w:szCs w:val="20"/>
              </w:rPr>
            </w:pPr>
            <w:r>
              <w:rPr>
                <w:rFonts w:ascii="仿宋" w:hAnsi="仿宋" w:eastAsia="仿宋" w:cs="仿宋"/>
                <w:spacing w:val="2"/>
                <w:sz w:val="20"/>
                <w:szCs w:val="20"/>
              </w:rPr>
              <w:t>昼间</w:t>
            </w:r>
          </w:p>
        </w:tc>
        <w:tc>
          <w:tcPr>
            <w:tcW w:w="750" w:type="dxa"/>
            <w:vAlign w:val="top"/>
          </w:tcPr>
          <w:p w14:paraId="04B3B1F4">
            <w:pPr>
              <w:pStyle w:val="6"/>
              <w:spacing w:before="99" w:line="192" w:lineRule="auto"/>
              <w:ind w:left="276"/>
              <w:rPr>
                <w:sz w:val="20"/>
                <w:szCs w:val="20"/>
              </w:rPr>
            </w:pPr>
            <w:r>
              <w:rPr>
                <w:sz w:val="20"/>
                <w:szCs w:val="20"/>
              </w:rPr>
              <w:t>55</w:t>
            </w:r>
          </w:p>
        </w:tc>
        <w:tc>
          <w:tcPr>
            <w:tcW w:w="660" w:type="dxa"/>
            <w:vAlign w:val="top"/>
          </w:tcPr>
          <w:p w14:paraId="6B9A75EC">
            <w:pPr>
              <w:pStyle w:val="6"/>
              <w:spacing w:before="96" w:line="195" w:lineRule="auto"/>
              <w:ind w:left="232"/>
              <w:rPr>
                <w:sz w:val="20"/>
                <w:szCs w:val="20"/>
              </w:rPr>
            </w:pPr>
            <w:r>
              <w:rPr>
                <w:sz w:val="20"/>
                <w:szCs w:val="20"/>
              </w:rPr>
              <w:t>52</w:t>
            </w:r>
          </w:p>
        </w:tc>
        <w:tc>
          <w:tcPr>
            <w:tcW w:w="1005" w:type="dxa"/>
            <w:vAlign w:val="top"/>
          </w:tcPr>
          <w:p w14:paraId="2D76B1B6">
            <w:pPr>
              <w:pStyle w:val="6"/>
              <w:spacing w:before="96" w:line="195" w:lineRule="auto"/>
              <w:ind w:left="267"/>
              <w:rPr>
                <w:sz w:val="20"/>
                <w:szCs w:val="20"/>
              </w:rPr>
            </w:pPr>
            <w:r>
              <w:rPr>
                <w:spacing w:val="3"/>
                <w:sz w:val="20"/>
                <w:szCs w:val="20"/>
              </w:rPr>
              <w:t>20.75</w:t>
            </w:r>
          </w:p>
        </w:tc>
        <w:tc>
          <w:tcPr>
            <w:tcW w:w="900" w:type="dxa"/>
            <w:vAlign w:val="top"/>
          </w:tcPr>
          <w:p w14:paraId="1F2DF4D6">
            <w:pPr>
              <w:pStyle w:val="6"/>
              <w:spacing w:before="96" w:line="195" w:lineRule="auto"/>
              <w:ind w:left="353"/>
              <w:rPr>
                <w:sz w:val="20"/>
                <w:szCs w:val="20"/>
              </w:rPr>
            </w:pPr>
            <w:r>
              <w:rPr>
                <w:sz w:val="20"/>
                <w:szCs w:val="20"/>
              </w:rPr>
              <w:t>52</w:t>
            </w:r>
          </w:p>
        </w:tc>
        <w:tc>
          <w:tcPr>
            <w:tcW w:w="1094" w:type="dxa"/>
            <w:vAlign w:val="top"/>
          </w:tcPr>
          <w:p w14:paraId="655B9B74">
            <w:pPr>
              <w:pStyle w:val="6"/>
              <w:spacing w:before="96" w:line="195" w:lineRule="auto"/>
              <w:ind w:left="499"/>
              <w:rPr>
                <w:sz w:val="20"/>
                <w:szCs w:val="20"/>
              </w:rPr>
            </w:pPr>
            <w:r>
              <w:rPr>
                <w:sz w:val="20"/>
                <w:szCs w:val="20"/>
              </w:rPr>
              <w:t>0</w:t>
            </w:r>
          </w:p>
        </w:tc>
        <w:tc>
          <w:tcPr>
            <w:tcW w:w="765" w:type="dxa"/>
            <w:vAlign w:val="top"/>
          </w:tcPr>
          <w:p w14:paraId="40337E7F">
            <w:pPr>
              <w:pStyle w:val="6"/>
              <w:spacing w:before="96" w:line="195" w:lineRule="auto"/>
              <w:ind w:left="336"/>
              <w:rPr>
                <w:sz w:val="20"/>
                <w:szCs w:val="20"/>
              </w:rPr>
            </w:pPr>
            <w:r>
              <w:rPr>
                <w:sz w:val="20"/>
                <w:szCs w:val="20"/>
              </w:rPr>
              <w:t>0</w:t>
            </w:r>
          </w:p>
        </w:tc>
        <w:tc>
          <w:tcPr>
            <w:tcW w:w="870" w:type="dxa"/>
            <w:vAlign w:val="top"/>
          </w:tcPr>
          <w:p w14:paraId="492F988D">
            <w:pPr>
              <w:pStyle w:val="6"/>
              <w:spacing w:before="96" w:line="195" w:lineRule="auto"/>
              <w:ind w:left="199"/>
              <w:rPr>
                <w:sz w:val="20"/>
                <w:szCs w:val="20"/>
              </w:rPr>
            </w:pPr>
            <w:r>
              <w:rPr>
                <w:spacing w:val="3"/>
                <w:sz w:val="20"/>
                <w:szCs w:val="20"/>
              </w:rPr>
              <w:t>23.02</w:t>
            </w:r>
          </w:p>
        </w:tc>
        <w:tc>
          <w:tcPr>
            <w:tcW w:w="870" w:type="dxa"/>
            <w:vAlign w:val="top"/>
          </w:tcPr>
          <w:p w14:paraId="14157A02">
            <w:pPr>
              <w:pStyle w:val="6"/>
              <w:spacing w:before="96" w:line="195" w:lineRule="auto"/>
              <w:ind w:left="206"/>
              <w:rPr>
                <w:sz w:val="20"/>
                <w:szCs w:val="20"/>
              </w:rPr>
            </w:pPr>
            <w:r>
              <w:rPr>
                <w:spacing w:val="2"/>
                <w:sz w:val="20"/>
                <w:szCs w:val="20"/>
              </w:rPr>
              <w:t>52.01</w:t>
            </w:r>
          </w:p>
        </w:tc>
        <w:tc>
          <w:tcPr>
            <w:tcW w:w="855" w:type="dxa"/>
            <w:vAlign w:val="top"/>
          </w:tcPr>
          <w:p w14:paraId="0BA9FCC0">
            <w:pPr>
              <w:pStyle w:val="6"/>
              <w:spacing w:before="96" w:line="195" w:lineRule="auto"/>
              <w:ind w:left="248"/>
              <w:rPr>
                <w:sz w:val="20"/>
                <w:szCs w:val="20"/>
              </w:rPr>
            </w:pPr>
            <w:r>
              <w:rPr>
                <w:spacing w:val="2"/>
                <w:sz w:val="20"/>
                <w:szCs w:val="20"/>
              </w:rPr>
              <w:t>0.01</w:t>
            </w:r>
          </w:p>
        </w:tc>
        <w:tc>
          <w:tcPr>
            <w:tcW w:w="690" w:type="dxa"/>
            <w:vAlign w:val="top"/>
          </w:tcPr>
          <w:p w14:paraId="7E037485">
            <w:pPr>
              <w:pStyle w:val="6"/>
              <w:spacing w:before="96" w:line="195" w:lineRule="auto"/>
              <w:ind w:left="298"/>
              <w:rPr>
                <w:sz w:val="20"/>
                <w:szCs w:val="20"/>
              </w:rPr>
            </w:pPr>
            <w:r>
              <w:rPr>
                <w:sz w:val="20"/>
                <w:szCs w:val="20"/>
              </w:rPr>
              <w:t>0</w:t>
            </w:r>
          </w:p>
        </w:tc>
        <w:tc>
          <w:tcPr>
            <w:tcW w:w="915" w:type="dxa"/>
            <w:vAlign w:val="top"/>
          </w:tcPr>
          <w:p w14:paraId="001F21D6">
            <w:pPr>
              <w:pStyle w:val="6"/>
              <w:spacing w:before="96" w:line="195" w:lineRule="auto"/>
              <w:ind w:left="224"/>
              <w:rPr>
                <w:sz w:val="20"/>
                <w:szCs w:val="20"/>
              </w:rPr>
            </w:pPr>
            <w:r>
              <w:rPr>
                <w:spacing w:val="3"/>
                <w:sz w:val="20"/>
                <w:szCs w:val="20"/>
              </w:rPr>
              <w:t>23.25</w:t>
            </w:r>
          </w:p>
        </w:tc>
        <w:tc>
          <w:tcPr>
            <w:tcW w:w="930" w:type="dxa"/>
            <w:vAlign w:val="top"/>
          </w:tcPr>
          <w:p w14:paraId="5EFF3002">
            <w:pPr>
              <w:pStyle w:val="6"/>
              <w:spacing w:before="96" w:line="195" w:lineRule="auto"/>
              <w:ind w:left="236"/>
              <w:rPr>
                <w:sz w:val="20"/>
                <w:szCs w:val="20"/>
              </w:rPr>
            </w:pPr>
            <w:r>
              <w:rPr>
                <w:spacing w:val="2"/>
                <w:sz w:val="20"/>
                <w:szCs w:val="20"/>
              </w:rPr>
              <w:t>52.01</w:t>
            </w:r>
          </w:p>
        </w:tc>
        <w:tc>
          <w:tcPr>
            <w:tcW w:w="855" w:type="dxa"/>
            <w:vAlign w:val="top"/>
          </w:tcPr>
          <w:p w14:paraId="29AEAE73">
            <w:pPr>
              <w:pStyle w:val="6"/>
              <w:spacing w:before="96" w:line="195" w:lineRule="auto"/>
              <w:ind w:left="249"/>
              <w:rPr>
                <w:sz w:val="20"/>
                <w:szCs w:val="20"/>
              </w:rPr>
            </w:pPr>
            <w:r>
              <w:rPr>
                <w:spacing w:val="2"/>
                <w:sz w:val="20"/>
                <w:szCs w:val="20"/>
              </w:rPr>
              <w:t>0.01</w:t>
            </w:r>
          </w:p>
        </w:tc>
        <w:tc>
          <w:tcPr>
            <w:tcW w:w="689" w:type="dxa"/>
            <w:tcBorders>
              <w:right w:val="nil"/>
            </w:tcBorders>
            <w:vAlign w:val="top"/>
          </w:tcPr>
          <w:p w14:paraId="42207B4A">
            <w:pPr>
              <w:pStyle w:val="6"/>
              <w:spacing w:before="96" w:line="195" w:lineRule="auto"/>
              <w:ind w:left="297"/>
              <w:rPr>
                <w:sz w:val="20"/>
                <w:szCs w:val="20"/>
              </w:rPr>
            </w:pPr>
            <w:r>
              <w:rPr>
                <w:sz w:val="20"/>
                <w:szCs w:val="20"/>
              </w:rPr>
              <w:t>0</w:t>
            </w:r>
          </w:p>
        </w:tc>
      </w:tr>
      <w:tr w14:paraId="435527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3" w:type="dxa"/>
            <w:vMerge w:val="continue"/>
            <w:tcBorders>
              <w:top w:val="nil"/>
              <w:left w:val="nil"/>
            </w:tcBorders>
            <w:vAlign w:val="top"/>
          </w:tcPr>
          <w:p w14:paraId="08C806E2">
            <w:pPr>
              <w:rPr>
                <w:rFonts w:ascii="Arial"/>
                <w:sz w:val="21"/>
              </w:rPr>
            </w:pPr>
          </w:p>
        </w:tc>
        <w:tc>
          <w:tcPr>
            <w:tcW w:w="1042" w:type="dxa"/>
            <w:vMerge w:val="continue"/>
            <w:tcBorders>
              <w:top w:val="nil"/>
            </w:tcBorders>
            <w:vAlign w:val="top"/>
          </w:tcPr>
          <w:p w14:paraId="763F005D">
            <w:pPr>
              <w:rPr>
                <w:rFonts w:ascii="Arial"/>
                <w:sz w:val="21"/>
              </w:rPr>
            </w:pPr>
          </w:p>
        </w:tc>
        <w:tc>
          <w:tcPr>
            <w:tcW w:w="750" w:type="dxa"/>
            <w:vAlign w:val="top"/>
          </w:tcPr>
          <w:p w14:paraId="2DB0A172">
            <w:pPr>
              <w:spacing w:before="58" w:line="228" w:lineRule="auto"/>
              <w:ind w:left="176"/>
              <w:rPr>
                <w:rFonts w:ascii="仿宋" w:hAnsi="仿宋" w:eastAsia="仿宋" w:cs="仿宋"/>
                <w:sz w:val="20"/>
                <w:szCs w:val="20"/>
              </w:rPr>
            </w:pPr>
            <w:r>
              <w:rPr>
                <w:rFonts w:ascii="仿宋" w:hAnsi="仿宋" w:eastAsia="仿宋" w:cs="仿宋"/>
                <w:spacing w:val="2"/>
                <w:sz w:val="20"/>
                <w:szCs w:val="20"/>
              </w:rPr>
              <w:t>夜间</w:t>
            </w:r>
          </w:p>
        </w:tc>
        <w:tc>
          <w:tcPr>
            <w:tcW w:w="750" w:type="dxa"/>
            <w:vAlign w:val="top"/>
          </w:tcPr>
          <w:p w14:paraId="2400AA25">
            <w:pPr>
              <w:pStyle w:val="6"/>
              <w:spacing w:before="97" w:line="195" w:lineRule="auto"/>
              <w:ind w:left="270"/>
              <w:rPr>
                <w:sz w:val="20"/>
                <w:szCs w:val="20"/>
              </w:rPr>
            </w:pPr>
            <w:r>
              <w:rPr>
                <w:spacing w:val="3"/>
                <w:sz w:val="20"/>
                <w:szCs w:val="20"/>
              </w:rPr>
              <w:t>45</w:t>
            </w:r>
          </w:p>
        </w:tc>
        <w:tc>
          <w:tcPr>
            <w:tcW w:w="660" w:type="dxa"/>
            <w:vAlign w:val="top"/>
          </w:tcPr>
          <w:p w14:paraId="6666578B">
            <w:pPr>
              <w:pStyle w:val="6"/>
              <w:spacing w:before="97" w:line="195" w:lineRule="auto"/>
              <w:ind w:left="225"/>
              <w:rPr>
                <w:sz w:val="20"/>
                <w:szCs w:val="20"/>
              </w:rPr>
            </w:pPr>
            <w:r>
              <w:rPr>
                <w:spacing w:val="3"/>
                <w:sz w:val="20"/>
                <w:szCs w:val="20"/>
              </w:rPr>
              <w:t>42</w:t>
            </w:r>
          </w:p>
        </w:tc>
        <w:tc>
          <w:tcPr>
            <w:tcW w:w="1005" w:type="dxa"/>
            <w:vAlign w:val="top"/>
          </w:tcPr>
          <w:p w14:paraId="0CC36ED0">
            <w:pPr>
              <w:pStyle w:val="6"/>
              <w:spacing w:before="97" w:line="195" w:lineRule="auto"/>
              <w:ind w:left="287"/>
              <w:rPr>
                <w:sz w:val="20"/>
                <w:szCs w:val="20"/>
              </w:rPr>
            </w:pPr>
            <w:r>
              <w:rPr>
                <w:spacing w:val="-1"/>
                <w:sz w:val="20"/>
                <w:szCs w:val="20"/>
              </w:rPr>
              <w:t>19.65</w:t>
            </w:r>
          </w:p>
        </w:tc>
        <w:tc>
          <w:tcPr>
            <w:tcW w:w="900" w:type="dxa"/>
            <w:vAlign w:val="top"/>
          </w:tcPr>
          <w:p w14:paraId="16DE333E">
            <w:pPr>
              <w:pStyle w:val="6"/>
              <w:spacing w:before="97" w:line="195" w:lineRule="auto"/>
              <w:ind w:left="214"/>
              <w:rPr>
                <w:sz w:val="20"/>
                <w:szCs w:val="20"/>
              </w:rPr>
            </w:pPr>
            <w:r>
              <w:rPr>
                <w:spacing w:val="3"/>
                <w:sz w:val="20"/>
                <w:szCs w:val="20"/>
              </w:rPr>
              <w:t>42.03</w:t>
            </w:r>
          </w:p>
        </w:tc>
        <w:tc>
          <w:tcPr>
            <w:tcW w:w="1094" w:type="dxa"/>
            <w:vAlign w:val="top"/>
          </w:tcPr>
          <w:p w14:paraId="174379B5">
            <w:pPr>
              <w:pStyle w:val="6"/>
              <w:spacing w:before="97" w:line="195" w:lineRule="auto"/>
              <w:ind w:left="367"/>
              <w:rPr>
                <w:sz w:val="20"/>
                <w:szCs w:val="20"/>
              </w:rPr>
            </w:pPr>
            <w:r>
              <w:rPr>
                <w:spacing w:val="2"/>
                <w:sz w:val="20"/>
                <w:szCs w:val="20"/>
              </w:rPr>
              <w:t>0.03</w:t>
            </w:r>
          </w:p>
        </w:tc>
        <w:tc>
          <w:tcPr>
            <w:tcW w:w="765" w:type="dxa"/>
            <w:vAlign w:val="top"/>
          </w:tcPr>
          <w:p w14:paraId="325008F5">
            <w:pPr>
              <w:pStyle w:val="6"/>
              <w:spacing w:before="97" w:line="195" w:lineRule="auto"/>
              <w:ind w:left="336"/>
              <w:rPr>
                <w:sz w:val="20"/>
                <w:szCs w:val="20"/>
              </w:rPr>
            </w:pPr>
            <w:r>
              <w:rPr>
                <w:sz w:val="20"/>
                <w:szCs w:val="20"/>
              </w:rPr>
              <w:t>0</w:t>
            </w:r>
          </w:p>
        </w:tc>
        <w:tc>
          <w:tcPr>
            <w:tcW w:w="870" w:type="dxa"/>
            <w:vAlign w:val="top"/>
          </w:tcPr>
          <w:p w14:paraId="50AFBF9F">
            <w:pPr>
              <w:pStyle w:val="6"/>
              <w:spacing w:before="97" w:line="195" w:lineRule="auto"/>
              <w:ind w:left="199"/>
              <w:rPr>
                <w:sz w:val="20"/>
                <w:szCs w:val="20"/>
              </w:rPr>
            </w:pPr>
            <w:r>
              <w:rPr>
                <w:spacing w:val="3"/>
                <w:sz w:val="20"/>
                <w:szCs w:val="20"/>
              </w:rPr>
              <w:t>20.13</w:t>
            </w:r>
          </w:p>
        </w:tc>
        <w:tc>
          <w:tcPr>
            <w:tcW w:w="870" w:type="dxa"/>
            <w:vAlign w:val="top"/>
          </w:tcPr>
          <w:p w14:paraId="1E5D3705">
            <w:pPr>
              <w:pStyle w:val="6"/>
              <w:spacing w:before="97" w:line="195" w:lineRule="auto"/>
              <w:ind w:left="199"/>
              <w:rPr>
                <w:sz w:val="20"/>
                <w:szCs w:val="20"/>
              </w:rPr>
            </w:pPr>
            <w:r>
              <w:rPr>
                <w:spacing w:val="4"/>
                <w:sz w:val="20"/>
                <w:szCs w:val="20"/>
              </w:rPr>
              <w:t>42.03</w:t>
            </w:r>
          </w:p>
        </w:tc>
        <w:tc>
          <w:tcPr>
            <w:tcW w:w="855" w:type="dxa"/>
            <w:vAlign w:val="top"/>
          </w:tcPr>
          <w:p w14:paraId="6D5ECA85">
            <w:pPr>
              <w:pStyle w:val="6"/>
              <w:spacing w:before="97" w:line="195" w:lineRule="auto"/>
              <w:ind w:left="248"/>
              <w:rPr>
                <w:sz w:val="20"/>
                <w:szCs w:val="20"/>
              </w:rPr>
            </w:pPr>
            <w:r>
              <w:rPr>
                <w:spacing w:val="2"/>
                <w:sz w:val="20"/>
                <w:szCs w:val="20"/>
              </w:rPr>
              <w:t>0.03</w:t>
            </w:r>
          </w:p>
        </w:tc>
        <w:tc>
          <w:tcPr>
            <w:tcW w:w="690" w:type="dxa"/>
            <w:vAlign w:val="top"/>
          </w:tcPr>
          <w:p w14:paraId="0FB6F179">
            <w:pPr>
              <w:pStyle w:val="6"/>
              <w:spacing w:before="97" w:line="195" w:lineRule="auto"/>
              <w:ind w:left="298"/>
              <w:rPr>
                <w:sz w:val="20"/>
                <w:szCs w:val="20"/>
              </w:rPr>
            </w:pPr>
            <w:r>
              <w:rPr>
                <w:sz w:val="20"/>
                <w:szCs w:val="20"/>
              </w:rPr>
              <w:t>0</w:t>
            </w:r>
          </w:p>
        </w:tc>
        <w:tc>
          <w:tcPr>
            <w:tcW w:w="915" w:type="dxa"/>
            <w:vAlign w:val="top"/>
          </w:tcPr>
          <w:p w14:paraId="0DC000C8">
            <w:pPr>
              <w:pStyle w:val="6"/>
              <w:spacing w:before="97" w:line="195" w:lineRule="auto"/>
              <w:ind w:left="224"/>
              <w:rPr>
                <w:sz w:val="20"/>
                <w:szCs w:val="20"/>
              </w:rPr>
            </w:pPr>
            <w:r>
              <w:rPr>
                <w:spacing w:val="3"/>
                <w:sz w:val="20"/>
                <w:szCs w:val="20"/>
              </w:rPr>
              <w:t>20.13</w:t>
            </w:r>
          </w:p>
        </w:tc>
        <w:tc>
          <w:tcPr>
            <w:tcW w:w="930" w:type="dxa"/>
            <w:vAlign w:val="top"/>
          </w:tcPr>
          <w:p w14:paraId="5E4B8C61">
            <w:pPr>
              <w:pStyle w:val="6"/>
              <w:spacing w:before="97" w:line="195" w:lineRule="auto"/>
              <w:ind w:left="229"/>
              <w:rPr>
                <w:sz w:val="20"/>
                <w:szCs w:val="20"/>
              </w:rPr>
            </w:pPr>
            <w:r>
              <w:rPr>
                <w:spacing w:val="4"/>
                <w:sz w:val="20"/>
                <w:szCs w:val="20"/>
              </w:rPr>
              <w:t>42.03</w:t>
            </w:r>
          </w:p>
        </w:tc>
        <w:tc>
          <w:tcPr>
            <w:tcW w:w="855" w:type="dxa"/>
            <w:vAlign w:val="top"/>
          </w:tcPr>
          <w:p w14:paraId="25CF7834">
            <w:pPr>
              <w:pStyle w:val="6"/>
              <w:spacing w:before="97" w:line="195" w:lineRule="auto"/>
              <w:ind w:left="249"/>
              <w:rPr>
                <w:sz w:val="20"/>
                <w:szCs w:val="20"/>
              </w:rPr>
            </w:pPr>
            <w:r>
              <w:rPr>
                <w:spacing w:val="2"/>
                <w:sz w:val="20"/>
                <w:szCs w:val="20"/>
              </w:rPr>
              <w:t>0.03</w:t>
            </w:r>
          </w:p>
        </w:tc>
        <w:tc>
          <w:tcPr>
            <w:tcW w:w="689" w:type="dxa"/>
            <w:tcBorders>
              <w:right w:val="nil"/>
            </w:tcBorders>
            <w:vAlign w:val="top"/>
          </w:tcPr>
          <w:p w14:paraId="7A4CFAA4">
            <w:pPr>
              <w:pStyle w:val="6"/>
              <w:spacing w:before="97" w:line="195" w:lineRule="auto"/>
              <w:ind w:left="297"/>
              <w:rPr>
                <w:sz w:val="20"/>
                <w:szCs w:val="20"/>
              </w:rPr>
            </w:pPr>
            <w:r>
              <w:rPr>
                <w:sz w:val="20"/>
                <w:szCs w:val="20"/>
              </w:rPr>
              <w:t>0</w:t>
            </w:r>
          </w:p>
        </w:tc>
      </w:tr>
      <w:tr w14:paraId="3A7322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3" w:type="dxa"/>
            <w:vMerge w:val="restart"/>
            <w:tcBorders>
              <w:left w:val="nil"/>
              <w:bottom w:val="nil"/>
            </w:tcBorders>
            <w:vAlign w:val="top"/>
          </w:tcPr>
          <w:p w14:paraId="5FD2EC80">
            <w:pPr>
              <w:pStyle w:val="6"/>
              <w:spacing w:before="259" w:line="195" w:lineRule="auto"/>
              <w:ind w:left="216"/>
              <w:rPr>
                <w:sz w:val="20"/>
                <w:szCs w:val="20"/>
              </w:rPr>
            </w:pPr>
            <w:r>
              <w:rPr>
                <w:spacing w:val="1"/>
                <w:sz w:val="20"/>
                <w:szCs w:val="20"/>
              </w:rPr>
              <w:t>4</w:t>
            </w:r>
          </w:p>
        </w:tc>
        <w:tc>
          <w:tcPr>
            <w:tcW w:w="1042" w:type="dxa"/>
            <w:vMerge w:val="restart"/>
            <w:tcBorders>
              <w:bottom w:val="nil"/>
            </w:tcBorders>
            <w:vAlign w:val="top"/>
          </w:tcPr>
          <w:p w14:paraId="639B7FBE">
            <w:pPr>
              <w:spacing w:before="66" w:line="231" w:lineRule="auto"/>
              <w:ind w:left="218"/>
              <w:rPr>
                <w:rFonts w:ascii="仿宋" w:hAnsi="仿宋" w:eastAsia="仿宋" w:cs="仿宋"/>
                <w:sz w:val="20"/>
                <w:szCs w:val="20"/>
              </w:rPr>
            </w:pPr>
            <w:r>
              <w:rPr>
                <w:rFonts w:ascii="仿宋" w:hAnsi="仿宋" w:eastAsia="仿宋" w:cs="仿宋"/>
                <w:spacing w:val="4"/>
                <w:sz w:val="20"/>
                <w:szCs w:val="20"/>
              </w:rPr>
              <w:t>刘家塔</w:t>
            </w:r>
          </w:p>
          <w:p w14:paraId="3F411D6E">
            <w:pPr>
              <w:pStyle w:val="6"/>
              <w:spacing w:before="61" w:line="229" w:lineRule="auto"/>
              <w:ind w:left="243"/>
              <w:rPr>
                <w:sz w:val="20"/>
                <w:szCs w:val="20"/>
              </w:rPr>
            </w:pPr>
            <w:r>
              <w:rPr>
                <w:rFonts w:ascii="仿宋" w:hAnsi="仿宋" w:eastAsia="仿宋" w:cs="仿宋"/>
                <w:spacing w:val="1"/>
                <w:sz w:val="20"/>
                <w:szCs w:val="20"/>
              </w:rPr>
              <w:t>散户</w:t>
            </w:r>
            <w:r>
              <w:rPr>
                <w:rFonts w:ascii="仿宋" w:hAnsi="仿宋" w:eastAsia="仿宋" w:cs="仿宋"/>
                <w:spacing w:val="-23"/>
                <w:sz w:val="20"/>
                <w:szCs w:val="20"/>
              </w:rPr>
              <w:t xml:space="preserve"> </w:t>
            </w:r>
            <w:r>
              <w:rPr>
                <w:spacing w:val="1"/>
                <w:sz w:val="20"/>
                <w:szCs w:val="20"/>
              </w:rPr>
              <w:t>1</w:t>
            </w:r>
          </w:p>
        </w:tc>
        <w:tc>
          <w:tcPr>
            <w:tcW w:w="750" w:type="dxa"/>
            <w:vAlign w:val="top"/>
          </w:tcPr>
          <w:p w14:paraId="453A5FD9">
            <w:pPr>
              <w:spacing w:before="62" w:line="225" w:lineRule="auto"/>
              <w:ind w:left="176"/>
              <w:rPr>
                <w:rFonts w:ascii="仿宋" w:hAnsi="仿宋" w:eastAsia="仿宋" w:cs="仿宋"/>
                <w:sz w:val="20"/>
                <w:szCs w:val="20"/>
              </w:rPr>
            </w:pPr>
            <w:r>
              <w:rPr>
                <w:rFonts w:ascii="仿宋" w:hAnsi="仿宋" w:eastAsia="仿宋" w:cs="仿宋"/>
                <w:spacing w:val="2"/>
                <w:sz w:val="20"/>
                <w:szCs w:val="20"/>
              </w:rPr>
              <w:t>昼间</w:t>
            </w:r>
          </w:p>
        </w:tc>
        <w:tc>
          <w:tcPr>
            <w:tcW w:w="750" w:type="dxa"/>
            <w:vAlign w:val="top"/>
          </w:tcPr>
          <w:p w14:paraId="676A93E8">
            <w:pPr>
              <w:pStyle w:val="6"/>
              <w:spacing w:before="101" w:line="192" w:lineRule="auto"/>
              <w:ind w:left="276"/>
              <w:rPr>
                <w:sz w:val="20"/>
                <w:szCs w:val="20"/>
              </w:rPr>
            </w:pPr>
            <w:r>
              <w:rPr>
                <w:sz w:val="20"/>
                <w:szCs w:val="20"/>
              </w:rPr>
              <w:t>55</w:t>
            </w:r>
          </w:p>
        </w:tc>
        <w:tc>
          <w:tcPr>
            <w:tcW w:w="660" w:type="dxa"/>
            <w:vAlign w:val="top"/>
          </w:tcPr>
          <w:p w14:paraId="168BC3BB">
            <w:pPr>
              <w:pStyle w:val="6"/>
              <w:spacing w:before="98" w:line="195" w:lineRule="auto"/>
              <w:ind w:left="153"/>
              <w:rPr>
                <w:sz w:val="20"/>
                <w:szCs w:val="20"/>
              </w:rPr>
            </w:pPr>
            <w:r>
              <w:rPr>
                <w:spacing w:val="2"/>
                <w:sz w:val="20"/>
                <w:szCs w:val="20"/>
              </w:rPr>
              <w:t>50.5</w:t>
            </w:r>
          </w:p>
        </w:tc>
        <w:tc>
          <w:tcPr>
            <w:tcW w:w="1005" w:type="dxa"/>
            <w:vAlign w:val="top"/>
          </w:tcPr>
          <w:p w14:paraId="28644215">
            <w:pPr>
              <w:pStyle w:val="6"/>
              <w:spacing w:before="98" w:line="195" w:lineRule="auto"/>
              <w:ind w:left="271"/>
              <w:rPr>
                <w:sz w:val="20"/>
                <w:szCs w:val="20"/>
              </w:rPr>
            </w:pPr>
            <w:r>
              <w:rPr>
                <w:spacing w:val="3"/>
                <w:sz w:val="20"/>
                <w:szCs w:val="20"/>
              </w:rPr>
              <w:t>30.04</w:t>
            </w:r>
          </w:p>
        </w:tc>
        <w:tc>
          <w:tcPr>
            <w:tcW w:w="900" w:type="dxa"/>
            <w:vAlign w:val="top"/>
          </w:tcPr>
          <w:p w14:paraId="75B53B60">
            <w:pPr>
              <w:pStyle w:val="6"/>
              <w:spacing w:before="98" w:line="195" w:lineRule="auto"/>
              <w:ind w:left="221"/>
              <w:rPr>
                <w:sz w:val="20"/>
                <w:szCs w:val="20"/>
              </w:rPr>
            </w:pPr>
            <w:r>
              <w:rPr>
                <w:spacing w:val="2"/>
                <w:sz w:val="20"/>
                <w:szCs w:val="20"/>
              </w:rPr>
              <w:t>50.54</w:t>
            </w:r>
          </w:p>
        </w:tc>
        <w:tc>
          <w:tcPr>
            <w:tcW w:w="1094" w:type="dxa"/>
            <w:vAlign w:val="top"/>
          </w:tcPr>
          <w:p w14:paraId="51FE8B1F">
            <w:pPr>
              <w:pStyle w:val="6"/>
              <w:spacing w:before="98" w:line="195" w:lineRule="auto"/>
              <w:ind w:left="367"/>
              <w:rPr>
                <w:sz w:val="20"/>
                <w:szCs w:val="20"/>
              </w:rPr>
            </w:pPr>
            <w:r>
              <w:rPr>
                <w:spacing w:val="2"/>
                <w:sz w:val="20"/>
                <w:szCs w:val="20"/>
              </w:rPr>
              <w:t>0.04</w:t>
            </w:r>
          </w:p>
        </w:tc>
        <w:tc>
          <w:tcPr>
            <w:tcW w:w="765" w:type="dxa"/>
            <w:vAlign w:val="top"/>
          </w:tcPr>
          <w:p w14:paraId="7F77E01E">
            <w:pPr>
              <w:pStyle w:val="6"/>
              <w:spacing w:before="98" w:line="195" w:lineRule="auto"/>
              <w:ind w:left="336"/>
              <w:rPr>
                <w:sz w:val="20"/>
                <w:szCs w:val="20"/>
              </w:rPr>
            </w:pPr>
            <w:r>
              <w:rPr>
                <w:sz w:val="20"/>
                <w:szCs w:val="20"/>
              </w:rPr>
              <w:t>0</w:t>
            </w:r>
          </w:p>
        </w:tc>
        <w:tc>
          <w:tcPr>
            <w:tcW w:w="870" w:type="dxa"/>
            <w:vAlign w:val="top"/>
          </w:tcPr>
          <w:p w14:paraId="45F43E85">
            <w:pPr>
              <w:pStyle w:val="6"/>
              <w:spacing w:before="98" w:line="195" w:lineRule="auto"/>
              <w:ind w:left="203"/>
              <w:rPr>
                <w:sz w:val="20"/>
                <w:szCs w:val="20"/>
              </w:rPr>
            </w:pPr>
            <w:r>
              <w:rPr>
                <w:spacing w:val="3"/>
                <w:sz w:val="20"/>
                <w:szCs w:val="20"/>
              </w:rPr>
              <w:t>32.31</w:t>
            </w:r>
          </w:p>
        </w:tc>
        <w:tc>
          <w:tcPr>
            <w:tcW w:w="870" w:type="dxa"/>
            <w:vAlign w:val="top"/>
          </w:tcPr>
          <w:p w14:paraId="555620E4">
            <w:pPr>
              <w:pStyle w:val="6"/>
              <w:spacing w:before="98" w:line="195" w:lineRule="auto"/>
              <w:ind w:left="206"/>
              <w:rPr>
                <w:sz w:val="20"/>
                <w:szCs w:val="20"/>
              </w:rPr>
            </w:pPr>
            <w:r>
              <w:rPr>
                <w:spacing w:val="2"/>
                <w:sz w:val="20"/>
                <w:szCs w:val="20"/>
              </w:rPr>
              <w:t>50.57</w:t>
            </w:r>
          </w:p>
        </w:tc>
        <w:tc>
          <w:tcPr>
            <w:tcW w:w="855" w:type="dxa"/>
            <w:vAlign w:val="top"/>
          </w:tcPr>
          <w:p w14:paraId="16A6F6E4">
            <w:pPr>
              <w:pStyle w:val="6"/>
              <w:spacing w:before="98" w:line="195" w:lineRule="auto"/>
              <w:ind w:left="248"/>
              <w:rPr>
                <w:sz w:val="20"/>
                <w:szCs w:val="20"/>
              </w:rPr>
            </w:pPr>
            <w:r>
              <w:rPr>
                <w:spacing w:val="2"/>
                <w:sz w:val="20"/>
                <w:szCs w:val="20"/>
              </w:rPr>
              <w:t>0.07</w:t>
            </w:r>
          </w:p>
        </w:tc>
        <w:tc>
          <w:tcPr>
            <w:tcW w:w="690" w:type="dxa"/>
            <w:vAlign w:val="top"/>
          </w:tcPr>
          <w:p w14:paraId="7237AE41">
            <w:pPr>
              <w:pStyle w:val="6"/>
              <w:spacing w:before="98" w:line="195" w:lineRule="auto"/>
              <w:ind w:left="298"/>
              <w:rPr>
                <w:sz w:val="20"/>
                <w:szCs w:val="20"/>
              </w:rPr>
            </w:pPr>
            <w:r>
              <w:rPr>
                <w:sz w:val="20"/>
                <w:szCs w:val="20"/>
              </w:rPr>
              <w:t>0</w:t>
            </w:r>
          </w:p>
        </w:tc>
        <w:tc>
          <w:tcPr>
            <w:tcW w:w="915" w:type="dxa"/>
            <w:vAlign w:val="top"/>
          </w:tcPr>
          <w:p w14:paraId="7A7FB9F2">
            <w:pPr>
              <w:pStyle w:val="6"/>
              <w:spacing w:before="98" w:line="195" w:lineRule="auto"/>
              <w:ind w:left="228"/>
              <w:rPr>
                <w:sz w:val="20"/>
                <w:szCs w:val="20"/>
              </w:rPr>
            </w:pPr>
            <w:r>
              <w:rPr>
                <w:spacing w:val="2"/>
                <w:sz w:val="20"/>
                <w:szCs w:val="20"/>
              </w:rPr>
              <w:t>32.53</w:t>
            </w:r>
          </w:p>
        </w:tc>
        <w:tc>
          <w:tcPr>
            <w:tcW w:w="930" w:type="dxa"/>
            <w:vAlign w:val="top"/>
          </w:tcPr>
          <w:p w14:paraId="66945AD8">
            <w:pPr>
              <w:pStyle w:val="6"/>
              <w:spacing w:before="98" w:line="195" w:lineRule="auto"/>
              <w:ind w:left="236"/>
              <w:rPr>
                <w:sz w:val="20"/>
                <w:szCs w:val="20"/>
              </w:rPr>
            </w:pPr>
            <w:r>
              <w:rPr>
                <w:spacing w:val="2"/>
                <w:sz w:val="20"/>
                <w:szCs w:val="20"/>
              </w:rPr>
              <w:t>50.57</w:t>
            </w:r>
          </w:p>
        </w:tc>
        <w:tc>
          <w:tcPr>
            <w:tcW w:w="855" w:type="dxa"/>
            <w:vAlign w:val="top"/>
          </w:tcPr>
          <w:p w14:paraId="72550987">
            <w:pPr>
              <w:pStyle w:val="6"/>
              <w:spacing w:before="98" w:line="195" w:lineRule="auto"/>
              <w:ind w:left="249"/>
              <w:rPr>
                <w:sz w:val="20"/>
                <w:szCs w:val="20"/>
              </w:rPr>
            </w:pPr>
            <w:r>
              <w:rPr>
                <w:spacing w:val="2"/>
                <w:sz w:val="20"/>
                <w:szCs w:val="20"/>
              </w:rPr>
              <w:t>0.07</w:t>
            </w:r>
          </w:p>
        </w:tc>
        <w:tc>
          <w:tcPr>
            <w:tcW w:w="689" w:type="dxa"/>
            <w:tcBorders>
              <w:right w:val="nil"/>
            </w:tcBorders>
            <w:vAlign w:val="top"/>
          </w:tcPr>
          <w:p w14:paraId="3B847C39">
            <w:pPr>
              <w:pStyle w:val="6"/>
              <w:spacing w:before="98" w:line="195" w:lineRule="auto"/>
              <w:ind w:left="297"/>
              <w:rPr>
                <w:sz w:val="20"/>
                <w:szCs w:val="20"/>
              </w:rPr>
            </w:pPr>
            <w:r>
              <w:rPr>
                <w:sz w:val="20"/>
                <w:szCs w:val="20"/>
              </w:rPr>
              <w:t>0</w:t>
            </w:r>
          </w:p>
        </w:tc>
      </w:tr>
      <w:tr w14:paraId="1E4C40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3" w:type="dxa"/>
            <w:vMerge w:val="continue"/>
            <w:tcBorders>
              <w:top w:val="nil"/>
              <w:left w:val="nil"/>
            </w:tcBorders>
            <w:vAlign w:val="top"/>
          </w:tcPr>
          <w:p w14:paraId="76FD8823">
            <w:pPr>
              <w:rPr>
                <w:rFonts w:ascii="Arial"/>
                <w:sz w:val="21"/>
              </w:rPr>
            </w:pPr>
          </w:p>
        </w:tc>
        <w:tc>
          <w:tcPr>
            <w:tcW w:w="1042" w:type="dxa"/>
            <w:vMerge w:val="continue"/>
            <w:tcBorders>
              <w:top w:val="nil"/>
            </w:tcBorders>
            <w:vAlign w:val="top"/>
          </w:tcPr>
          <w:p w14:paraId="2FA92D9C">
            <w:pPr>
              <w:rPr>
                <w:rFonts w:ascii="Arial"/>
                <w:sz w:val="21"/>
              </w:rPr>
            </w:pPr>
          </w:p>
        </w:tc>
        <w:tc>
          <w:tcPr>
            <w:tcW w:w="750" w:type="dxa"/>
            <w:vAlign w:val="top"/>
          </w:tcPr>
          <w:p w14:paraId="22E35BDC">
            <w:pPr>
              <w:spacing w:before="63" w:line="224" w:lineRule="auto"/>
              <w:ind w:left="176"/>
              <w:rPr>
                <w:rFonts w:ascii="仿宋" w:hAnsi="仿宋" w:eastAsia="仿宋" w:cs="仿宋"/>
                <w:sz w:val="20"/>
                <w:szCs w:val="20"/>
              </w:rPr>
            </w:pPr>
            <w:r>
              <w:rPr>
                <w:rFonts w:ascii="仿宋" w:hAnsi="仿宋" w:eastAsia="仿宋" w:cs="仿宋"/>
                <w:spacing w:val="2"/>
                <w:sz w:val="20"/>
                <w:szCs w:val="20"/>
              </w:rPr>
              <w:t>夜间</w:t>
            </w:r>
          </w:p>
        </w:tc>
        <w:tc>
          <w:tcPr>
            <w:tcW w:w="750" w:type="dxa"/>
            <w:vAlign w:val="top"/>
          </w:tcPr>
          <w:p w14:paraId="1EB1CA0D">
            <w:pPr>
              <w:pStyle w:val="6"/>
              <w:spacing w:before="98" w:line="195" w:lineRule="auto"/>
              <w:ind w:left="270"/>
              <w:rPr>
                <w:sz w:val="20"/>
                <w:szCs w:val="20"/>
              </w:rPr>
            </w:pPr>
            <w:r>
              <w:rPr>
                <w:spacing w:val="3"/>
                <w:sz w:val="20"/>
                <w:szCs w:val="20"/>
              </w:rPr>
              <w:t>45</w:t>
            </w:r>
          </w:p>
        </w:tc>
        <w:tc>
          <w:tcPr>
            <w:tcW w:w="660" w:type="dxa"/>
            <w:vAlign w:val="top"/>
          </w:tcPr>
          <w:p w14:paraId="2DD43819">
            <w:pPr>
              <w:pStyle w:val="6"/>
              <w:spacing w:before="98" w:line="195" w:lineRule="auto"/>
              <w:ind w:left="146"/>
              <w:rPr>
                <w:sz w:val="20"/>
                <w:szCs w:val="20"/>
              </w:rPr>
            </w:pPr>
            <w:r>
              <w:rPr>
                <w:spacing w:val="3"/>
                <w:sz w:val="20"/>
                <w:szCs w:val="20"/>
              </w:rPr>
              <w:t>42.5</w:t>
            </w:r>
          </w:p>
        </w:tc>
        <w:tc>
          <w:tcPr>
            <w:tcW w:w="1005" w:type="dxa"/>
            <w:vAlign w:val="top"/>
          </w:tcPr>
          <w:p w14:paraId="2725763A">
            <w:pPr>
              <w:pStyle w:val="6"/>
              <w:spacing w:before="98" w:line="195" w:lineRule="auto"/>
              <w:ind w:left="267"/>
              <w:rPr>
                <w:sz w:val="20"/>
                <w:szCs w:val="20"/>
              </w:rPr>
            </w:pPr>
            <w:r>
              <w:rPr>
                <w:spacing w:val="3"/>
                <w:sz w:val="20"/>
                <w:szCs w:val="20"/>
              </w:rPr>
              <w:t>28.94</w:t>
            </w:r>
          </w:p>
        </w:tc>
        <w:tc>
          <w:tcPr>
            <w:tcW w:w="900" w:type="dxa"/>
            <w:vAlign w:val="top"/>
          </w:tcPr>
          <w:p w14:paraId="1775CE47">
            <w:pPr>
              <w:pStyle w:val="6"/>
              <w:spacing w:before="98" w:line="195" w:lineRule="auto"/>
              <w:ind w:left="214"/>
              <w:rPr>
                <w:sz w:val="20"/>
                <w:szCs w:val="20"/>
              </w:rPr>
            </w:pPr>
            <w:r>
              <w:rPr>
                <w:spacing w:val="3"/>
                <w:sz w:val="20"/>
                <w:szCs w:val="20"/>
              </w:rPr>
              <w:t>42.69</w:t>
            </w:r>
          </w:p>
        </w:tc>
        <w:tc>
          <w:tcPr>
            <w:tcW w:w="1094" w:type="dxa"/>
            <w:vAlign w:val="top"/>
          </w:tcPr>
          <w:p w14:paraId="5C0DB4EB">
            <w:pPr>
              <w:pStyle w:val="6"/>
              <w:spacing w:before="98" w:line="195" w:lineRule="auto"/>
              <w:ind w:left="367"/>
              <w:rPr>
                <w:sz w:val="20"/>
                <w:szCs w:val="20"/>
              </w:rPr>
            </w:pPr>
            <w:r>
              <w:rPr>
                <w:spacing w:val="2"/>
                <w:sz w:val="20"/>
                <w:szCs w:val="20"/>
              </w:rPr>
              <w:t>0.19</w:t>
            </w:r>
          </w:p>
        </w:tc>
        <w:tc>
          <w:tcPr>
            <w:tcW w:w="765" w:type="dxa"/>
            <w:vAlign w:val="top"/>
          </w:tcPr>
          <w:p w14:paraId="29D3A681">
            <w:pPr>
              <w:pStyle w:val="6"/>
              <w:spacing w:before="98" w:line="195" w:lineRule="auto"/>
              <w:ind w:left="336"/>
              <w:rPr>
                <w:sz w:val="20"/>
                <w:szCs w:val="20"/>
              </w:rPr>
            </w:pPr>
            <w:r>
              <w:rPr>
                <w:sz w:val="20"/>
                <w:szCs w:val="20"/>
              </w:rPr>
              <w:t>0</w:t>
            </w:r>
          </w:p>
        </w:tc>
        <w:tc>
          <w:tcPr>
            <w:tcW w:w="870" w:type="dxa"/>
            <w:vAlign w:val="top"/>
          </w:tcPr>
          <w:p w14:paraId="4A60028E">
            <w:pPr>
              <w:pStyle w:val="6"/>
              <w:spacing w:before="98" w:line="195" w:lineRule="auto"/>
              <w:ind w:left="199"/>
              <w:rPr>
                <w:sz w:val="20"/>
                <w:szCs w:val="20"/>
              </w:rPr>
            </w:pPr>
            <w:r>
              <w:rPr>
                <w:spacing w:val="3"/>
                <w:sz w:val="20"/>
                <w:szCs w:val="20"/>
              </w:rPr>
              <w:t>29.41</w:t>
            </w:r>
          </w:p>
        </w:tc>
        <w:tc>
          <w:tcPr>
            <w:tcW w:w="870" w:type="dxa"/>
            <w:vAlign w:val="top"/>
          </w:tcPr>
          <w:p w14:paraId="71750887">
            <w:pPr>
              <w:pStyle w:val="6"/>
              <w:spacing w:before="98" w:line="195" w:lineRule="auto"/>
              <w:ind w:left="199"/>
              <w:rPr>
                <w:sz w:val="20"/>
                <w:szCs w:val="20"/>
              </w:rPr>
            </w:pPr>
            <w:r>
              <w:rPr>
                <w:spacing w:val="4"/>
                <w:sz w:val="20"/>
                <w:szCs w:val="20"/>
              </w:rPr>
              <w:t>42.71</w:t>
            </w:r>
          </w:p>
        </w:tc>
        <w:tc>
          <w:tcPr>
            <w:tcW w:w="855" w:type="dxa"/>
            <w:vAlign w:val="top"/>
          </w:tcPr>
          <w:p w14:paraId="5D1220DA">
            <w:pPr>
              <w:pStyle w:val="6"/>
              <w:spacing w:before="98" w:line="195" w:lineRule="auto"/>
              <w:ind w:left="248"/>
              <w:rPr>
                <w:sz w:val="20"/>
                <w:szCs w:val="20"/>
              </w:rPr>
            </w:pPr>
            <w:r>
              <w:rPr>
                <w:spacing w:val="2"/>
                <w:sz w:val="20"/>
                <w:szCs w:val="20"/>
              </w:rPr>
              <w:t>0.21</w:t>
            </w:r>
          </w:p>
        </w:tc>
        <w:tc>
          <w:tcPr>
            <w:tcW w:w="690" w:type="dxa"/>
            <w:vAlign w:val="top"/>
          </w:tcPr>
          <w:p w14:paraId="763889E3">
            <w:pPr>
              <w:pStyle w:val="6"/>
              <w:spacing w:before="98" w:line="195" w:lineRule="auto"/>
              <w:ind w:left="298"/>
              <w:rPr>
                <w:sz w:val="20"/>
                <w:szCs w:val="20"/>
              </w:rPr>
            </w:pPr>
            <w:r>
              <w:rPr>
                <w:sz w:val="20"/>
                <w:szCs w:val="20"/>
              </w:rPr>
              <w:t>0</w:t>
            </w:r>
          </w:p>
        </w:tc>
        <w:tc>
          <w:tcPr>
            <w:tcW w:w="915" w:type="dxa"/>
            <w:vAlign w:val="top"/>
          </w:tcPr>
          <w:p w14:paraId="22D31E9E">
            <w:pPr>
              <w:pStyle w:val="6"/>
              <w:spacing w:before="98" w:line="195" w:lineRule="auto"/>
              <w:ind w:left="224"/>
              <w:rPr>
                <w:sz w:val="20"/>
                <w:szCs w:val="20"/>
              </w:rPr>
            </w:pPr>
            <w:r>
              <w:rPr>
                <w:spacing w:val="3"/>
                <w:sz w:val="20"/>
                <w:szCs w:val="20"/>
              </w:rPr>
              <w:t>29.41</w:t>
            </w:r>
          </w:p>
        </w:tc>
        <w:tc>
          <w:tcPr>
            <w:tcW w:w="930" w:type="dxa"/>
            <w:vAlign w:val="top"/>
          </w:tcPr>
          <w:p w14:paraId="15668E2F">
            <w:pPr>
              <w:pStyle w:val="6"/>
              <w:spacing w:before="98" w:line="195" w:lineRule="auto"/>
              <w:ind w:left="229"/>
              <w:rPr>
                <w:sz w:val="20"/>
                <w:szCs w:val="20"/>
              </w:rPr>
            </w:pPr>
            <w:r>
              <w:rPr>
                <w:spacing w:val="4"/>
                <w:sz w:val="20"/>
                <w:szCs w:val="20"/>
              </w:rPr>
              <w:t>42.71</w:t>
            </w:r>
          </w:p>
        </w:tc>
        <w:tc>
          <w:tcPr>
            <w:tcW w:w="855" w:type="dxa"/>
            <w:vAlign w:val="top"/>
          </w:tcPr>
          <w:p w14:paraId="594F1944">
            <w:pPr>
              <w:pStyle w:val="6"/>
              <w:spacing w:before="98" w:line="195" w:lineRule="auto"/>
              <w:ind w:left="249"/>
              <w:rPr>
                <w:sz w:val="20"/>
                <w:szCs w:val="20"/>
              </w:rPr>
            </w:pPr>
            <w:r>
              <w:rPr>
                <w:spacing w:val="2"/>
                <w:sz w:val="20"/>
                <w:szCs w:val="20"/>
              </w:rPr>
              <w:t>0.21</w:t>
            </w:r>
          </w:p>
        </w:tc>
        <w:tc>
          <w:tcPr>
            <w:tcW w:w="689" w:type="dxa"/>
            <w:tcBorders>
              <w:right w:val="nil"/>
            </w:tcBorders>
            <w:vAlign w:val="top"/>
          </w:tcPr>
          <w:p w14:paraId="61A84079">
            <w:pPr>
              <w:pStyle w:val="6"/>
              <w:spacing w:before="98" w:line="195" w:lineRule="auto"/>
              <w:ind w:left="297"/>
              <w:rPr>
                <w:sz w:val="20"/>
                <w:szCs w:val="20"/>
              </w:rPr>
            </w:pPr>
            <w:r>
              <w:rPr>
                <w:sz w:val="20"/>
                <w:szCs w:val="20"/>
              </w:rPr>
              <w:t>0</w:t>
            </w:r>
          </w:p>
        </w:tc>
      </w:tr>
      <w:tr w14:paraId="34D4FE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3" w:type="dxa"/>
            <w:vMerge w:val="restart"/>
            <w:tcBorders>
              <w:left w:val="nil"/>
              <w:bottom w:val="nil"/>
            </w:tcBorders>
            <w:vAlign w:val="top"/>
          </w:tcPr>
          <w:p w14:paraId="4D0C4FA0">
            <w:pPr>
              <w:pStyle w:val="6"/>
              <w:spacing w:before="263" w:line="192" w:lineRule="auto"/>
              <w:ind w:left="223"/>
              <w:rPr>
                <w:sz w:val="20"/>
                <w:szCs w:val="20"/>
              </w:rPr>
            </w:pPr>
            <w:r>
              <w:rPr>
                <w:sz w:val="20"/>
                <w:szCs w:val="20"/>
              </w:rPr>
              <w:t>5</w:t>
            </w:r>
          </w:p>
        </w:tc>
        <w:tc>
          <w:tcPr>
            <w:tcW w:w="1042" w:type="dxa"/>
            <w:vMerge w:val="restart"/>
            <w:tcBorders>
              <w:bottom w:val="nil"/>
            </w:tcBorders>
            <w:vAlign w:val="top"/>
          </w:tcPr>
          <w:p w14:paraId="41B79F8F">
            <w:pPr>
              <w:spacing w:before="68" w:line="231" w:lineRule="auto"/>
              <w:ind w:left="218"/>
              <w:rPr>
                <w:rFonts w:ascii="仿宋" w:hAnsi="仿宋" w:eastAsia="仿宋" w:cs="仿宋"/>
                <w:sz w:val="20"/>
                <w:szCs w:val="20"/>
              </w:rPr>
            </w:pPr>
            <w:r>
              <w:rPr>
                <w:rFonts w:ascii="仿宋" w:hAnsi="仿宋" w:eastAsia="仿宋" w:cs="仿宋"/>
                <w:spacing w:val="4"/>
                <w:sz w:val="20"/>
                <w:szCs w:val="20"/>
              </w:rPr>
              <w:t>刘家塔</w:t>
            </w:r>
          </w:p>
          <w:p w14:paraId="682A3193">
            <w:pPr>
              <w:pStyle w:val="6"/>
              <w:spacing w:before="61" w:line="228" w:lineRule="auto"/>
              <w:ind w:left="243"/>
              <w:rPr>
                <w:sz w:val="20"/>
                <w:szCs w:val="20"/>
              </w:rPr>
            </w:pPr>
            <w:r>
              <w:rPr>
                <w:rFonts w:ascii="仿宋" w:hAnsi="仿宋" w:eastAsia="仿宋" w:cs="仿宋"/>
                <w:spacing w:val="1"/>
                <w:sz w:val="20"/>
                <w:szCs w:val="20"/>
              </w:rPr>
              <w:t>散户</w:t>
            </w:r>
            <w:r>
              <w:rPr>
                <w:rFonts w:ascii="仿宋" w:hAnsi="仿宋" w:eastAsia="仿宋" w:cs="仿宋"/>
                <w:spacing w:val="-43"/>
                <w:sz w:val="20"/>
                <w:szCs w:val="20"/>
              </w:rPr>
              <w:t xml:space="preserve"> </w:t>
            </w:r>
            <w:r>
              <w:rPr>
                <w:spacing w:val="1"/>
                <w:sz w:val="20"/>
                <w:szCs w:val="20"/>
              </w:rPr>
              <w:t>2</w:t>
            </w:r>
          </w:p>
        </w:tc>
        <w:tc>
          <w:tcPr>
            <w:tcW w:w="750" w:type="dxa"/>
            <w:vAlign w:val="top"/>
          </w:tcPr>
          <w:p w14:paraId="177A3FC8">
            <w:pPr>
              <w:spacing w:before="63" w:line="224" w:lineRule="auto"/>
              <w:ind w:left="176"/>
              <w:rPr>
                <w:rFonts w:ascii="仿宋" w:hAnsi="仿宋" w:eastAsia="仿宋" w:cs="仿宋"/>
                <w:sz w:val="20"/>
                <w:szCs w:val="20"/>
              </w:rPr>
            </w:pPr>
            <w:r>
              <w:rPr>
                <w:rFonts w:ascii="仿宋" w:hAnsi="仿宋" w:eastAsia="仿宋" w:cs="仿宋"/>
                <w:spacing w:val="2"/>
                <w:sz w:val="20"/>
                <w:szCs w:val="20"/>
              </w:rPr>
              <w:t>昼间</w:t>
            </w:r>
          </w:p>
        </w:tc>
        <w:tc>
          <w:tcPr>
            <w:tcW w:w="750" w:type="dxa"/>
            <w:vAlign w:val="top"/>
          </w:tcPr>
          <w:p w14:paraId="74210E42">
            <w:pPr>
              <w:pStyle w:val="6"/>
              <w:spacing w:before="102" w:line="192" w:lineRule="auto"/>
              <w:ind w:left="276"/>
              <w:rPr>
                <w:sz w:val="20"/>
                <w:szCs w:val="20"/>
              </w:rPr>
            </w:pPr>
            <w:r>
              <w:rPr>
                <w:sz w:val="20"/>
                <w:szCs w:val="20"/>
              </w:rPr>
              <w:t>55</w:t>
            </w:r>
          </w:p>
        </w:tc>
        <w:tc>
          <w:tcPr>
            <w:tcW w:w="660" w:type="dxa"/>
            <w:vAlign w:val="top"/>
          </w:tcPr>
          <w:p w14:paraId="28B213ED">
            <w:pPr>
              <w:pStyle w:val="6"/>
              <w:spacing w:before="99" w:line="195" w:lineRule="auto"/>
              <w:ind w:left="232"/>
              <w:rPr>
                <w:sz w:val="20"/>
                <w:szCs w:val="20"/>
              </w:rPr>
            </w:pPr>
            <w:r>
              <w:rPr>
                <w:sz w:val="20"/>
                <w:szCs w:val="20"/>
              </w:rPr>
              <w:t>50</w:t>
            </w:r>
          </w:p>
        </w:tc>
        <w:tc>
          <w:tcPr>
            <w:tcW w:w="1005" w:type="dxa"/>
            <w:vAlign w:val="top"/>
          </w:tcPr>
          <w:p w14:paraId="57D19A53">
            <w:pPr>
              <w:pStyle w:val="6"/>
              <w:spacing w:before="99" w:line="195" w:lineRule="auto"/>
              <w:ind w:left="319"/>
              <w:rPr>
                <w:sz w:val="20"/>
                <w:szCs w:val="20"/>
              </w:rPr>
            </w:pPr>
            <w:r>
              <w:rPr>
                <w:spacing w:val="3"/>
                <w:sz w:val="20"/>
                <w:szCs w:val="20"/>
              </w:rPr>
              <w:t>42.4</w:t>
            </w:r>
          </w:p>
        </w:tc>
        <w:tc>
          <w:tcPr>
            <w:tcW w:w="900" w:type="dxa"/>
            <w:vAlign w:val="top"/>
          </w:tcPr>
          <w:p w14:paraId="5D386C28">
            <w:pPr>
              <w:pStyle w:val="6"/>
              <w:spacing w:before="99" w:line="195" w:lineRule="auto"/>
              <w:ind w:left="273"/>
              <w:rPr>
                <w:sz w:val="20"/>
                <w:szCs w:val="20"/>
              </w:rPr>
            </w:pPr>
            <w:r>
              <w:rPr>
                <w:spacing w:val="2"/>
                <w:sz w:val="20"/>
                <w:szCs w:val="20"/>
              </w:rPr>
              <w:t>50.7</w:t>
            </w:r>
          </w:p>
        </w:tc>
        <w:tc>
          <w:tcPr>
            <w:tcW w:w="1094" w:type="dxa"/>
            <w:vAlign w:val="top"/>
          </w:tcPr>
          <w:p w14:paraId="7B4C5F42">
            <w:pPr>
              <w:pStyle w:val="6"/>
              <w:spacing w:before="99" w:line="195" w:lineRule="auto"/>
              <w:ind w:left="420"/>
              <w:rPr>
                <w:sz w:val="20"/>
                <w:szCs w:val="20"/>
              </w:rPr>
            </w:pPr>
            <w:r>
              <w:rPr>
                <w:spacing w:val="1"/>
                <w:sz w:val="20"/>
                <w:szCs w:val="20"/>
              </w:rPr>
              <w:t>0.7</w:t>
            </w:r>
          </w:p>
        </w:tc>
        <w:tc>
          <w:tcPr>
            <w:tcW w:w="765" w:type="dxa"/>
            <w:vAlign w:val="top"/>
          </w:tcPr>
          <w:p w14:paraId="3D879696">
            <w:pPr>
              <w:pStyle w:val="6"/>
              <w:spacing w:before="99" w:line="195" w:lineRule="auto"/>
              <w:ind w:left="336"/>
              <w:rPr>
                <w:sz w:val="20"/>
                <w:szCs w:val="20"/>
              </w:rPr>
            </w:pPr>
            <w:r>
              <w:rPr>
                <w:sz w:val="20"/>
                <w:szCs w:val="20"/>
              </w:rPr>
              <w:t>0</w:t>
            </w:r>
          </w:p>
        </w:tc>
        <w:tc>
          <w:tcPr>
            <w:tcW w:w="870" w:type="dxa"/>
            <w:vAlign w:val="top"/>
          </w:tcPr>
          <w:p w14:paraId="6889EC0D">
            <w:pPr>
              <w:pStyle w:val="6"/>
              <w:spacing w:before="99" w:line="195" w:lineRule="auto"/>
              <w:ind w:left="198"/>
              <w:rPr>
                <w:sz w:val="20"/>
                <w:szCs w:val="20"/>
              </w:rPr>
            </w:pPr>
            <w:r>
              <w:rPr>
                <w:spacing w:val="4"/>
                <w:sz w:val="20"/>
                <w:szCs w:val="20"/>
              </w:rPr>
              <w:t>44.68</w:t>
            </w:r>
          </w:p>
        </w:tc>
        <w:tc>
          <w:tcPr>
            <w:tcW w:w="870" w:type="dxa"/>
            <w:vAlign w:val="top"/>
          </w:tcPr>
          <w:p w14:paraId="44ACD02E">
            <w:pPr>
              <w:pStyle w:val="6"/>
              <w:spacing w:before="99" w:line="195" w:lineRule="auto"/>
              <w:ind w:left="206"/>
              <w:rPr>
                <w:sz w:val="20"/>
                <w:szCs w:val="20"/>
              </w:rPr>
            </w:pPr>
            <w:r>
              <w:rPr>
                <w:spacing w:val="-3"/>
                <w:sz w:val="20"/>
                <w:szCs w:val="20"/>
              </w:rPr>
              <w:t>51.</w:t>
            </w:r>
            <w:r>
              <w:rPr>
                <w:spacing w:val="-22"/>
                <w:sz w:val="20"/>
                <w:szCs w:val="20"/>
              </w:rPr>
              <w:t xml:space="preserve"> </w:t>
            </w:r>
            <w:r>
              <w:rPr>
                <w:spacing w:val="-3"/>
                <w:sz w:val="20"/>
                <w:szCs w:val="20"/>
              </w:rPr>
              <w:t>12</w:t>
            </w:r>
          </w:p>
        </w:tc>
        <w:tc>
          <w:tcPr>
            <w:tcW w:w="855" w:type="dxa"/>
            <w:vAlign w:val="top"/>
          </w:tcPr>
          <w:p w14:paraId="5C69D778">
            <w:pPr>
              <w:pStyle w:val="6"/>
              <w:spacing w:before="99" w:line="195" w:lineRule="auto"/>
              <w:ind w:left="265"/>
              <w:rPr>
                <w:sz w:val="20"/>
                <w:szCs w:val="20"/>
              </w:rPr>
            </w:pPr>
            <w:r>
              <w:rPr>
                <w:spacing w:val="-8"/>
                <w:sz w:val="20"/>
                <w:szCs w:val="20"/>
              </w:rPr>
              <w:t>1.</w:t>
            </w:r>
            <w:r>
              <w:rPr>
                <w:spacing w:val="-25"/>
                <w:sz w:val="20"/>
                <w:szCs w:val="20"/>
              </w:rPr>
              <w:t xml:space="preserve"> </w:t>
            </w:r>
            <w:r>
              <w:rPr>
                <w:spacing w:val="-8"/>
                <w:sz w:val="20"/>
                <w:szCs w:val="20"/>
              </w:rPr>
              <w:t>12</w:t>
            </w:r>
          </w:p>
        </w:tc>
        <w:tc>
          <w:tcPr>
            <w:tcW w:w="690" w:type="dxa"/>
            <w:vAlign w:val="top"/>
          </w:tcPr>
          <w:p w14:paraId="5C717CEC">
            <w:pPr>
              <w:pStyle w:val="6"/>
              <w:spacing w:before="99" w:line="195" w:lineRule="auto"/>
              <w:ind w:left="298"/>
              <w:rPr>
                <w:sz w:val="20"/>
                <w:szCs w:val="20"/>
              </w:rPr>
            </w:pPr>
            <w:r>
              <w:rPr>
                <w:sz w:val="20"/>
                <w:szCs w:val="20"/>
              </w:rPr>
              <w:t>0</w:t>
            </w:r>
          </w:p>
        </w:tc>
        <w:tc>
          <w:tcPr>
            <w:tcW w:w="915" w:type="dxa"/>
            <w:vAlign w:val="top"/>
          </w:tcPr>
          <w:p w14:paraId="2543786C">
            <w:pPr>
              <w:pStyle w:val="6"/>
              <w:spacing w:before="99" w:line="195" w:lineRule="auto"/>
              <w:ind w:left="273"/>
              <w:rPr>
                <w:sz w:val="20"/>
                <w:szCs w:val="20"/>
              </w:rPr>
            </w:pPr>
            <w:r>
              <w:rPr>
                <w:spacing w:val="3"/>
                <w:sz w:val="20"/>
                <w:szCs w:val="20"/>
              </w:rPr>
              <w:t>44.9</w:t>
            </w:r>
          </w:p>
        </w:tc>
        <w:tc>
          <w:tcPr>
            <w:tcW w:w="930" w:type="dxa"/>
            <w:vAlign w:val="top"/>
          </w:tcPr>
          <w:p w14:paraId="4119E2A2">
            <w:pPr>
              <w:pStyle w:val="6"/>
              <w:spacing w:before="99" w:line="195" w:lineRule="auto"/>
              <w:ind w:left="236"/>
              <w:rPr>
                <w:sz w:val="20"/>
                <w:szCs w:val="20"/>
              </w:rPr>
            </w:pPr>
            <w:r>
              <w:rPr>
                <w:spacing w:val="2"/>
                <w:sz w:val="20"/>
                <w:szCs w:val="20"/>
              </w:rPr>
              <w:t>51.17</w:t>
            </w:r>
          </w:p>
        </w:tc>
        <w:tc>
          <w:tcPr>
            <w:tcW w:w="855" w:type="dxa"/>
            <w:vAlign w:val="top"/>
          </w:tcPr>
          <w:p w14:paraId="6EE624BD">
            <w:pPr>
              <w:pStyle w:val="6"/>
              <w:spacing w:before="99" w:line="195" w:lineRule="auto"/>
              <w:ind w:left="266"/>
              <w:rPr>
                <w:sz w:val="20"/>
                <w:szCs w:val="20"/>
              </w:rPr>
            </w:pPr>
            <w:r>
              <w:rPr>
                <w:spacing w:val="-2"/>
                <w:sz w:val="20"/>
                <w:szCs w:val="20"/>
              </w:rPr>
              <w:t>1.17</w:t>
            </w:r>
          </w:p>
        </w:tc>
        <w:tc>
          <w:tcPr>
            <w:tcW w:w="689" w:type="dxa"/>
            <w:tcBorders>
              <w:right w:val="nil"/>
            </w:tcBorders>
            <w:vAlign w:val="top"/>
          </w:tcPr>
          <w:p w14:paraId="776BD174">
            <w:pPr>
              <w:pStyle w:val="6"/>
              <w:spacing w:before="99" w:line="195" w:lineRule="auto"/>
              <w:ind w:left="297"/>
              <w:rPr>
                <w:sz w:val="20"/>
                <w:szCs w:val="20"/>
              </w:rPr>
            </w:pPr>
            <w:r>
              <w:rPr>
                <w:sz w:val="20"/>
                <w:szCs w:val="20"/>
              </w:rPr>
              <w:t>0</w:t>
            </w:r>
          </w:p>
        </w:tc>
      </w:tr>
      <w:tr w14:paraId="7E0685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3" w:type="dxa"/>
            <w:vMerge w:val="continue"/>
            <w:tcBorders>
              <w:top w:val="nil"/>
              <w:left w:val="nil"/>
            </w:tcBorders>
            <w:vAlign w:val="top"/>
          </w:tcPr>
          <w:p w14:paraId="38BB7A28">
            <w:pPr>
              <w:rPr>
                <w:rFonts w:ascii="Arial"/>
                <w:sz w:val="21"/>
              </w:rPr>
            </w:pPr>
          </w:p>
        </w:tc>
        <w:tc>
          <w:tcPr>
            <w:tcW w:w="1042" w:type="dxa"/>
            <w:vMerge w:val="continue"/>
            <w:tcBorders>
              <w:top w:val="nil"/>
            </w:tcBorders>
            <w:vAlign w:val="top"/>
          </w:tcPr>
          <w:p w14:paraId="17D9F400">
            <w:pPr>
              <w:rPr>
                <w:rFonts w:ascii="Arial"/>
                <w:sz w:val="21"/>
              </w:rPr>
            </w:pPr>
          </w:p>
        </w:tc>
        <w:tc>
          <w:tcPr>
            <w:tcW w:w="750" w:type="dxa"/>
            <w:vAlign w:val="top"/>
          </w:tcPr>
          <w:p w14:paraId="609A82F3">
            <w:pPr>
              <w:spacing w:before="64" w:line="223" w:lineRule="auto"/>
              <w:ind w:left="176"/>
              <w:rPr>
                <w:rFonts w:ascii="仿宋" w:hAnsi="仿宋" w:eastAsia="仿宋" w:cs="仿宋"/>
                <w:sz w:val="20"/>
                <w:szCs w:val="20"/>
              </w:rPr>
            </w:pPr>
            <w:r>
              <w:rPr>
                <w:rFonts w:ascii="仿宋" w:hAnsi="仿宋" w:eastAsia="仿宋" w:cs="仿宋"/>
                <w:spacing w:val="2"/>
                <w:sz w:val="20"/>
                <w:szCs w:val="20"/>
              </w:rPr>
              <w:t>夜间</w:t>
            </w:r>
          </w:p>
        </w:tc>
        <w:tc>
          <w:tcPr>
            <w:tcW w:w="750" w:type="dxa"/>
            <w:vAlign w:val="top"/>
          </w:tcPr>
          <w:p w14:paraId="72FA1A6D">
            <w:pPr>
              <w:pStyle w:val="6"/>
              <w:spacing w:before="102" w:line="195" w:lineRule="auto"/>
              <w:ind w:left="270"/>
              <w:rPr>
                <w:sz w:val="20"/>
                <w:szCs w:val="20"/>
              </w:rPr>
            </w:pPr>
            <w:r>
              <w:rPr>
                <w:spacing w:val="3"/>
                <w:sz w:val="20"/>
                <w:szCs w:val="20"/>
              </w:rPr>
              <w:t>45</w:t>
            </w:r>
          </w:p>
        </w:tc>
        <w:tc>
          <w:tcPr>
            <w:tcW w:w="660" w:type="dxa"/>
            <w:vAlign w:val="top"/>
          </w:tcPr>
          <w:p w14:paraId="1C044281">
            <w:pPr>
              <w:pStyle w:val="6"/>
              <w:spacing w:before="102" w:line="195" w:lineRule="auto"/>
              <w:ind w:left="151"/>
              <w:rPr>
                <w:sz w:val="20"/>
                <w:szCs w:val="20"/>
              </w:rPr>
            </w:pPr>
            <w:r>
              <w:rPr>
                <w:spacing w:val="2"/>
                <w:sz w:val="20"/>
                <w:szCs w:val="20"/>
              </w:rPr>
              <w:t>39.5</w:t>
            </w:r>
          </w:p>
        </w:tc>
        <w:tc>
          <w:tcPr>
            <w:tcW w:w="1005" w:type="dxa"/>
            <w:vAlign w:val="top"/>
          </w:tcPr>
          <w:p w14:paraId="4F024F28">
            <w:pPr>
              <w:pStyle w:val="6"/>
              <w:spacing w:before="102" w:line="195" w:lineRule="auto"/>
              <w:ind w:left="266"/>
              <w:rPr>
                <w:sz w:val="20"/>
                <w:szCs w:val="20"/>
              </w:rPr>
            </w:pPr>
            <w:r>
              <w:rPr>
                <w:spacing w:val="4"/>
                <w:sz w:val="20"/>
                <w:szCs w:val="20"/>
              </w:rPr>
              <w:t>41.31</w:t>
            </w:r>
          </w:p>
        </w:tc>
        <w:tc>
          <w:tcPr>
            <w:tcW w:w="900" w:type="dxa"/>
            <w:vAlign w:val="top"/>
          </w:tcPr>
          <w:p w14:paraId="0660B62B">
            <w:pPr>
              <w:pStyle w:val="6"/>
              <w:spacing w:before="102" w:line="195" w:lineRule="auto"/>
              <w:ind w:left="214"/>
              <w:rPr>
                <w:sz w:val="20"/>
                <w:szCs w:val="20"/>
              </w:rPr>
            </w:pPr>
            <w:r>
              <w:rPr>
                <w:spacing w:val="3"/>
                <w:sz w:val="20"/>
                <w:szCs w:val="20"/>
              </w:rPr>
              <w:t>43.51</w:t>
            </w:r>
          </w:p>
        </w:tc>
        <w:tc>
          <w:tcPr>
            <w:tcW w:w="1094" w:type="dxa"/>
            <w:vAlign w:val="top"/>
          </w:tcPr>
          <w:p w14:paraId="7F6A472B">
            <w:pPr>
              <w:pStyle w:val="6"/>
              <w:spacing w:before="102" w:line="195" w:lineRule="auto"/>
              <w:ind w:left="363"/>
              <w:rPr>
                <w:sz w:val="20"/>
                <w:szCs w:val="20"/>
              </w:rPr>
            </w:pPr>
            <w:r>
              <w:rPr>
                <w:spacing w:val="3"/>
                <w:sz w:val="20"/>
                <w:szCs w:val="20"/>
              </w:rPr>
              <w:t>4.01</w:t>
            </w:r>
          </w:p>
        </w:tc>
        <w:tc>
          <w:tcPr>
            <w:tcW w:w="765" w:type="dxa"/>
            <w:vAlign w:val="top"/>
          </w:tcPr>
          <w:p w14:paraId="03DBDEB9">
            <w:pPr>
              <w:pStyle w:val="6"/>
              <w:spacing w:before="102" w:line="195" w:lineRule="auto"/>
              <w:ind w:left="336"/>
              <w:rPr>
                <w:sz w:val="20"/>
                <w:szCs w:val="20"/>
              </w:rPr>
            </w:pPr>
            <w:r>
              <w:rPr>
                <w:sz w:val="20"/>
                <w:szCs w:val="20"/>
              </w:rPr>
              <w:t>0</w:t>
            </w:r>
          </w:p>
        </w:tc>
        <w:tc>
          <w:tcPr>
            <w:tcW w:w="870" w:type="dxa"/>
            <w:vAlign w:val="top"/>
          </w:tcPr>
          <w:p w14:paraId="487A9D34">
            <w:pPr>
              <w:pStyle w:val="6"/>
              <w:spacing w:before="102" w:line="195" w:lineRule="auto"/>
              <w:ind w:left="198"/>
              <w:rPr>
                <w:sz w:val="20"/>
                <w:szCs w:val="20"/>
              </w:rPr>
            </w:pPr>
            <w:r>
              <w:rPr>
                <w:spacing w:val="4"/>
                <w:sz w:val="20"/>
                <w:szCs w:val="20"/>
              </w:rPr>
              <w:t>41.78</w:t>
            </w:r>
          </w:p>
        </w:tc>
        <w:tc>
          <w:tcPr>
            <w:tcW w:w="870" w:type="dxa"/>
            <w:vAlign w:val="top"/>
          </w:tcPr>
          <w:p w14:paraId="0F555345">
            <w:pPr>
              <w:pStyle w:val="6"/>
              <w:spacing w:before="102" w:line="195" w:lineRule="auto"/>
              <w:ind w:left="252"/>
              <w:rPr>
                <w:sz w:val="20"/>
                <w:szCs w:val="20"/>
              </w:rPr>
            </w:pPr>
            <w:r>
              <w:rPr>
                <w:spacing w:val="3"/>
                <w:sz w:val="20"/>
                <w:szCs w:val="20"/>
              </w:rPr>
              <w:t>43.8</w:t>
            </w:r>
          </w:p>
        </w:tc>
        <w:tc>
          <w:tcPr>
            <w:tcW w:w="855" w:type="dxa"/>
            <w:vAlign w:val="top"/>
          </w:tcPr>
          <w:p w14:paraId="3A2E0975">
            <w:pPr>
              <w:pStyle w:val="6"/>
              <w:spacing w:before="102" w:line="195" w:lineRule="auto"/>
              <w:ind w:left="297"/>
              <w:rPr>
                <w:sz w:val="20"/>
                <w:szCs w:val="20"/>
              </w:rPr>
            </w:pPr>
            <w:r>
              <w:rPr>
                <w:spacing w:val="3"/>
                <w:sz w:val="20"/>
                <w:szCs w:val="20"/>
              </w:rPr>
              <w:t>4.3</w:t>
            </w:r>
          </w:p>
        </w:tc>
        <w:tc>
          <w:tcPr>
            <w:tcW w:w="690" w:type="dxa"/>
            <w:vAlign w:val="top"/>
          </w:tcPr>
          <w:p w14:paraId="4839FCF2">
            <w:pPr>
              <w:pStyle w:val="6"/>
              <w:spacing w:before="102" w:line="195" w:lineRule="auto"/>
              <w:ind w:left="298"/>
              <w:rPr>
                <w:sz w:val="20"/>
                <w:szCs w:val="20"/>
              </w:rPr>
            </w:pPr>
            <w:r>
              <w:rPr>
                <w:sz w:val="20"/>
                <w:szCs w:val="20"/>
              </w:rPr>
              <w:t>0</w:t>
            </w:r>
          </w:p>
        </w:tc>
        <w:tc>
          <w:tcPr>
            <w:tcW w:w="915" w:type="dxa"/>
            <w:vAlign w:val="top"/>
          </w:tcPr>
          <w:p w14:paraId="704D8318">
            <w:pPr>
              <w:pStyle w:val="6"/>
              <w:spacing w:before="102" w:line="195" w:lineRule="auto"/>
              <w:ind w:left="223"/>
              <w:rPr>
                <w:sz w:val="20"/>
                <w:szCs w:val="20"/>
              </w:rPr>
            </w:pPr>
            <w:r>
              <w:rPr>
                <w:spacing w:val="3"/>
                <w:sz w:val="20"/>
                <w:szCs w:val="20"/>
              </w:rPr>
              <w:t>41.78</w:t>
            </w:r>
          </w:p>
        </w:tc>
        <w:tc>
          <w:tcPr>
            <w:tcW w:w="930" w:type="dxa"/>
            <w:vAlign w:val="top"/>
          </w:tcPr>
          <w:p w14:paraId="16F7DF9A">
            <w:pPr>
              <w:pStyle w:val="6"/>
              <w:spacing w:before="102" w:line="195" w:lineRule="auto"/>
              <w:ind w:left="282"/>
              <w:rPr>
                <w:sz w:val="20"/>
                <w:szCs w:val="20"/>
              </w:rPr>
            </w:pPr>
            <w:r>
              <w:rPr>
                <w:spacing w:val="3"/>
                <w:sz w:val="20"/>
                <w:szCs w:val="20"/>
              </w:rPr>
              <w:t>43.8</w:t>
            </w:r>
          </w:p>
        </w:tc>
        <w:tc>
          <w:tcPr>
            <w:tcW w:w="855" w:type="dxa"/>
            <w:vAlign w:val="top"/>
          </w:tcPr>
          <w:p w14:paraId="1763D0FF">
            <w:pPr>
              <w:pStyle w:val="6"/>
              <w:spacing w:before="102" w:line="195" w:lineRule="auto"/>
              <w:ind w:left="298"/>
              <w:rPr>
                <w:sz w:val="20"/>
                <w:szCs w:val="20"/>
              </w:rPr>
            </w:pPr>
            <w:r>
              <w:rPr>
                <w:spacing w:val="3"/>
                <w:sz w:val="20"/>
                <w:szCs w:val="20"/>
              </w:rPr>
              <w:t>4.3</w:t>
            </w:r>
          </w:p>
        </w:tc>
        <w:tc>
          <w:tcPr>
            <w:tcW w:w="689" w:type="dxa"/>
            <w:tcBorders>
              <w:right w:val="nil"/>
            </w:tcBorders>
            <w:vAlign w:val="top"/>
          </w:tcPr>
          <w:p w14:paraId="7C47489C">
            <w:pPr>
              <w:pStyle w:val="6"/>
              <w:spacing w:before="102" w:line="195" w:lineRule="auto"/>
              <w:ind w:left="297"/>
              <w:rPr>
                <w:sz w:val="20"/>
                <w:szCs w:val="20"/>
              </w:rPr>
            </w:pPr>
            <w:r>
              <w:rPr>
                <w:sz w:val="20"/>
                <w:szCs w:val="20"/>
              </w:rPr>
              <w:t>0</w:t>
            </w:r>
          </w:p>
        </w:tc>
      </w:tr>
      <w:tr w14:paraId="7CD8DD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3" w:type="dxa"/>
            <w:vMerge w:val="restart"/>
            <w:tcBorders>
              <w:left w:val="nil"/>
              <w:bottom w:val="nil"/>
            </w:tcBorders>
            <w:vAlign w:val="top"/>
          </w:tcPr>
          <w:p w14:paraId="6B9BC80D">
            <w:pPr>
              <w:pStyle w:val="6"/>
              <w:spacing w:before="263" w:line="195" w:lineRule="auto"/>
              <w:ind w:left="222"/>
              <w:rPr>
                <w:sz w:val="20"/>
                <w:szCs w:val="20"/>
              </w:rPr>
            </w:pPr>
            <w:r>
              <w:rPr>
                <w:sz w:val="20"/>
                <w:szCs w:val="20"/>
              </w:rPr>
              <w:t>6</w:t>
            </w:r>
          </w:p>
        </w:tc>
        <w:tc>
          <w:tcPr>
            <w:tcW w:w="1042" w:type="dxa"/>
            <w:vMerge w:val="restart"/>
            <w:tcBorders>
              <w:bottom w:val="nil"/>
            </w:tcBorders>
            <w:vAlign w:val="top"/>
          </w:tcPr>
          <w:p w14:paraId="3AFAD1F8">
            <w:pPr>
              <w:spacing w:before="225" w:line="231" w:lineRule="auto"/>
              <w:ind w:left="228"/>
              <w:rPr>
                <w:rFonts w:ascii="仿宋" w:hAnsi="仿宋" w:eastAsia="仿宋" w:cs="仿宋"/>
                <w:sz w:val="20"/>
                <w:szCs w:val="20"/>
              </w:rPr>
            </w:pPr>
            <w:r>
              <w:rPr>
                <w:rFonts w:ascii="仿宋" w:hAnsi="仿宋" w:eastAsia="仿宋" w:cs="仿宋"/>
                <w:spacing w:val="1"/>
                <w:sz w:val="20"/>
                <w:szCs w:val="20"/>
              </w:rPr>
              <w:t>陈家梁</w:t>
            </w:r>
          </w:p>
        </w:tc>
        <w:tc>
          <w:tcPr>
            <w:tcW w:w="750" w:type="dxa"/>
            <w:vAlign w:val="top"/>
          </w:tcPr>
          <w:p w14:paraId="7990EEBC">
            <w:pPr>
              <w:spacing w:before="64" w:line="223" w:lineRule="auto"/>
              <w:ind w:left="176"/>
              <w:rPr>
                <w:rFonts w:ascii="仿宋" w:hAnsi="仿宋" w:eastAsia="仿宋" w:cs="仿宋"/>
                <w:sz w:val="20"/>
                <w:szCs w:val="20"/>
              </w:rPr>
            </w:pPr>
            <w:r>
              <w:rPr>
                <w:rFonts w:ascii="仿宋" w:hAnsi="仿宋" w:eastAsia="仿宋" w:cs="仿宋"/>
                <w:spacing w:val="2"/>
                <w:sz w:val="20"/>
                <w:szCs w:val="20"/>
              </w:rPr>
              <w:t>昼间</w:t>
            </w:r>
          </w:p>
        </w:tc>
        <w:tc>
          <w:tcPr>
            <w:tcW w:w="750" w:type="dxa"/>
            <w:vAlign w:val="top"/>
          </w:tcPr>
          <w:p w14:paraId="76B598B3">
            <w:pPr>
              <w:pStyle w:val="6"/>
              <w:spacing w:before="105" w:line="192" w:lineRule="auto"/>
              <w:ind w:left="276"/>
              <w:rPr>
                <w:sz w:val="20"/>
                <w:szCs w:val="20"/>
              </w:rPr>
            </w:pPr>
            <w:r>
              <w:rPr>
                <w:sz w:val="20"/>
                <w:szCs w:val="20"/>
              </w:rPr>
              <w:t>55</w:t>
            </w:r>
          </w:p>
        </w:tc>
        <w:tc>
          <w:tcPr>
            <w:tcW w:w="660" w:type="dxa"/>
            <w:vAlign w:val="top"/>
          </w:tcPr>
          <w:p w14:paraId="0EF88B62">
            <w:pPr>
              <w:pStyle w:val="6"/>
              <w:spacing w:before="102" w:line="195" w:lineRule="auto"/>
              <w:ind w:left="153"/>
              <w:rPr>
                <w:sz w:val="20"/>
                <w:szCs w:val="20"/>
              </w:rPr>
            </w:pPr>
            <w:r>
              <w:rPr>
                <w:spacing w:val="2"/>
                <w:sz w:val="20"/>
                <w:szCs w:val="20"/>
              </w:rPr>
              <w:t>51.5</w:t>
            </w:r>
          </w:p>
        </w:tc>
        <w:tc>
          <w:tcPr>
            <w:tcW w:w="1005" w:type="dxa"/>
            <w:vAlign w:val="top"/>
          </w:tcPr>
          <w:p w14:paraId="2332F8F3">
            <w:pPr>
              <w:pStyle w:val="6"/>
              <w:spacing w:before="102" w:line="195" w:lineRule="auto"/>
              <w:ind w:left="266"/>
              <w:rPr>
                <w:sz w:val="20"/>
                <w:szCs w:val="20"/>
              </w:rPr>
            </w:pPr>
            <w:r>
              <w:rPr>
                <w:spacing w:val="4"/>
                <w:sz w:val="20"/>
                <w:szCs w:val="20"/>
              </w:rPr>
              <w:t>43.88</w:t>
            </w:r>
          </w:p>
        </w:tc>
        <w:tc>
          <w:tcPr>
            <w:tcW w:w="900" w:type="dxa"/>
            <w:vAlign w:val="top"/>
          </w:tcPr>
          <w:p w14:paraId="5898FDA4">
            <w:pPr>
              <w:pStyle w:val="6"/>
              <w:spacing w:before="102" w:line="195" w:lineRule="auto"/>
              <w:ind w:left="221"/>
              <w:rPr>
                <w:sz w:val="20"/>
                <w:szCs w:val="20"/>
              </w:rPr>
            </w:pPr>
            <w:r>
              <w:rPr>
                <w:spacing w:val="2"/>
                <w:sz w:val="20"/>
                <w:szCs w:val="20"/>
              </w:rPr>
              <w:t>52.19</w:t>
            </w:r>
          </w:p>
        </w:tc>
        <w:tc>
          <w:tcPr>
            <w:tcW w:w="1094" w:type="dxa"/>
            <w:vAlign w:val="top"/>
          </w:tcPr>
          <w:p w14:paraId="21363EFC">
            <w:pPr>
              <w:pStyle w:val="6"/>
              <w:spacing w:before="102" w:line="195" w:lineRule="auto"/>
              <w:ind w:left="367"/>
              <w:rPr>
                <w:sz w:val="20"/>
                <w:szCs w:val="20"/>
              </w:rPr>
            </w:pPr>
            <w:r>
              <w:rPr>
                <w:spacing w:val="2"/>
                <w:sz w:val="20"/>
                <w:szCs w:val="20"/>
              </w:rPr>
              <w:t>0.69</w:t>
            </w:r>
          </w:p>
        </w:tc>
        <w:tc>
          <w:tcPr>
            <w:tcW w:w="765" w:type="dxa"/>
            <w:vAlign w:val="top"/>
          </w:tcPr>
          <w:p w14:paraId="0B5F793C">
            <w:pPr>
              <w:pStyle w:val="6"/>
              <w:spacing w:before="102" w:line="195" w:lineRule="auto"/>
              <w:ind w:left="336"/>
              <w:rPr>
                <w:sz w:val="20"/>
                <w:szCs w:val="20"/>
              </w:rPr>
            </w:pPr>
            <w:r>
              <w:rPr>
                <w:sz w:val="20"/>
                <w:szCs w:val="20"/>
              </w:rPr>
              <w:t>0</w:t>
            </w:r>
          </w:p>
        </w:tc>
        <w:tc>
          <w:tcPr>
            <w:tcW w:w="870" w:type="dxa"/>
            <w:vAlign w:val="top"/>
          </w:tcPr>
          <w:p w14:paraId="31F854EB">
            <w:pPr>
              <w:pStyle w:val="6"/>
              <w:spacing w:before="102" w:line="195" w:lineRule="auto"/>
              <w:ind w:left="198"/>
              <w:rPr>
                <w:sz w:val="20"/>
                <w:szCs w:val="20"/>
              </w:rPr>
            </w:pPr>
            <w:r>
              <w:rPr>
                <w:spacing w:val="4"/>
                <w:sz w:val="20"/>
                <w:szCs w:val="20"/>
              </w:rPr>
              <w:t>46.16</w:t>
            </w:r>
          </w:p>
        </w:tc>
        <w:tc>
          <w:tcPr>
            <w:tcW w:w="870" w:type="dxa"/>
            <w:vAlign w:val="top"/>
          </w:tcPr>
          <w:p w14:paraId="3CD38456">
            <w:pPr>
              <w:pStyle w:val="6"/>
              <w:spacing w:before="102" w:line="195" w:lineRule="auto"/>
              <w:ind w:left="206"/>
              <w:rPr>
                <w:sz w:val="20"/>
                <w:szCs w:val="20"/>
              </w:rPr>
            </w:pPr>
            <w:r>
              <w:rPr>
                <w:spacing w:val="2"/>
                <w:sz w:val="20"/>
                <w:szCs w:val="20"/>
              </w:rPr>
              <w:t>52.61</w:t>
            </w:r>
          </w:p>
        </w:tc>
        <w:tc>
          <w:tcPr>
            <w:tcW w:w="855" w:type="dxa"/>
            <w:vAlign w:val="top"/>
          </w:tcPr>
          <w:p w14:paraId="57179550">
            <w:pPr>
              <w:pStyle w:val="6"/>
              <w:spacing w:before="102" w:line="195" w:lineRule="auto"/>
              <w:ind w:left="265"/>
              <w:rPr>
                <w:sz w:val="20"/>
                <w:szCs w:val="20"/>
              </w:rPr>
            </w:pPr>
            <w:r>
              <w:rPr>
                <w:spacing w:val="-8"/>
                <w:sz w:val="20"/>
                <w:szCs w:val="20"/>
              </w:rPr>
              <w:t>1.</w:t>
            </w:r>
            <w:r>
              <w:rPr>
                <w:spacing w:val="-25"/>
                <w:sz w:val="20"/>
                <w:szCs w:val="20"/>
              </w:rPr>
              <w:t xml:space="preserve"> </w:t>
            </w:r>
            <w:r>
              <w:rPr>
                <w:spacing w:val="-8"/>
                <w:sz w:val="20"/>
                <w:szCs w:val="20"/>
              </w:rPr>
              <w:t>11</w:t>
            </w:r>
          </w:p>
        </w:tc>
        <w:tc>
          <w:tcPr>
            <w:tcW w:w="690" w:type="dxa"/>
            <w:vAlign w:val="top"/>
          </w:tcPr>
          <w:p w14:paraId="6CC336E6">
            <w:pPr>
              <w:pStyle w:val="6"/>
              <w:spacing w:before="102" w:line="195" w:lineRule="auto"/>
              <w:ind w:left="298"/>
              <w:rPr>
                <w:sz w:val="20"/>
                <w:szCs w:val="20"/>
              </w:rPr>
            </w:pPr>
            <w:r>
              <w:rPr>
                <w:sz w:val="20"/>
                <w:szCs w:val="20"/>
              </w:rPr>
              <w:t>0</w:t>
            </w:r>
          </w:p>
        </w:tc>
        <w:tc>
          <w:tcPr>
            <w:tcW w:w="915" w:type="dxa"/>
            <w:vAlign w:val="top"/>
          </w:tcPr>
          <w:p w14:paraId="0CBAA2A9">
            <w:pPr>
              <w:pStyle w:val="6"/>
              <w:spacing w:before="102" w:line="195" w:lineRule="auto"/>
              <w:ind w:left="223"/>
              <w:rPr>
                <w:sz w:val="20"/>
                <w:szCs w:val="20"/>
              </w:rPr>
            </w:pPr>
            <w:r>
              <w:rPr>
                <w:spacing w:val="3"/>
                <w:sz w:val="20"/>
                <w:szCs w:val="20"/>
              </w:rPr>
              <w:t>46.38</w:t>
            </w:r>
          </w:p>
        </w:tc>
        <w:tc>
          <w:tcPr>
            <w:tcW w:w="930" w:type="dxa"/>
            <w:vAlign w:val="top"/>
          </w:tcPr>
          <w:p w14:paraId="0D8AF399">
            <w:pPr>
              <w:pStyle w:val="6"/>
              <w:spacing w:before="102" w:line="195" w:lineRule="auto"/>
              <w:ind w:left="236"/>
              <w:rPr>
                <w:sz w:val="20"/>
                <w:szCs w:val="20"/>
              </w:rPr>
            </w:pPr>
            <w:r>
              <w:rPr>
                <w:spacing w:val="2"/>
                <w:sz w:val="20"/>
                <w:szCs w:val="20"/>
              </w:rPr>
              <w:t>52.67</w:t>
            </w:r>
          </w:p>
        </w:tc>
        <w:tc>
          <w:tcPr>
            <w:tcW w:w="855" w:type="dxa"/>
            <w:vAlign w:val="top"/>
          </w:tcPr>
          <w:p w14:paraId="05DCE888">
            <w:pPr>
              <w:pStyle w:val="6"/>
              <w:spacing w:before="102" w:line="195" w:lineRule="auto"/>
              <w:ind w:left="266"/>
              <w:rPr>
                <w:sz w:val="20"/>
                <w:szCs w:val="20"/>
              </w:rPr>
            </w:pPr>
            <w:r>
              <w:rPr>
                <w:spacing w:val="-2"/>
                <w:sz w:val="20"/>
                <w:szCs w:val="20"/>
              </w:rPr>
              <w:t>1.17</w:t>
            </w:r>
          </w:p>
        </w:tc>
        <w:tc>
          <w:tcPr>
            <w:tcW w:w="689" w:type="dxa"/>
            <w:tcBorders>
              <w:right w:val="nil"/>
            </w:tcBorders>
            <w:vAlign w:val="top"/>
          </w:tcPr>
          <w:p w14:paraId="0CE832A4">
            <w:pPr>
              <w:pStyle w:val="6"/>
              <w:spacing w:before="102" w:line="195" w:lineRule="auto"/>
              <w:ind w:left="297"/>
              <w:rPr>
                <w:sz w:val="20"/>
                <w:szCs w:val="20"/>
              </w:rPr>
            </w:pPr>
            <w:r>
              <w:rPr>
                <w:sz w:val="20"/>
                <w:szCs w:val="20"/>
              </w:rPr>
              <w:t>0</w:t>
            </w:r>
          </w:p>
        </w:tc>
      </w:tr>
      <w:tr w14:paraId="40B717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3" w:type="dxa"/>
            <w:vMerge w:val="continue"/>
            <w:tcBorders>
              <w:top w:val="nil"/>
              <w:left w:val="nil"/>
            </w:tcBorders>
            <w:vAlign w:val="top"/>
          </w:tcPr>
          <w:p w14:paraId="29C7A0E1">
            <w:pPr>
              <w:rPr>
                <w:rFonts w:ascii="Arial"/>
                <w:sz w:val="21"/>
              </w:rPr>
            </w:pPr>
          </w:p>
        </w:tc>
        <w:tc>
          <w:tcPr>
            <w:tcW w:w="1042" w:type="dxa"/>
            <w:vMerge w:val="continue"/>
            <w:tcBorders>
              <w:top w:val="nil"/>
            </w:tcBorders>
            <w:vAlign w:val="top"/>
          </w:tcPr>
          <w:p w14:paraId="63ABD161">
            <w:pPr>
              <w:rPr>
                <w:rFonts w:ascii="Arial"/>
                <w:sz w:val="21"/>
              </w:rPr>
            </w:pPr>
          </w:p>
        </w:tc>
        <w:tc>
          <w:tcPr>
            <w:tcW w:w="750" w:type="dxa"/>
            <w:vAlign w:val="top"/>
          </w:tcPr>
          <w:p w14:paraId="50E2464A">
            <w:pPr>
              <w:spacing w:before="65" w:line="222" w:lineRule="auto"/>
              <w:ind w:left="176"/>
              <w:rPr>
                <w:rFonts w:ascii="仿宋" w:hAnsi="仿宋" w:eastAsia="仿宋" w:cs="仿宋"/>
                <w:sz w:val="20"/>
                <w:szCs w:val="20"/>
              </w:rPr>
            </w:pPr>
            <w:r>
              <w:rPr>
                <w:rFonts w:ascii="仿宋" w:hAnsi="仿宋" w:eastAsia="仿宋" w:cs="仿宋"/>
                <w:spacing w:val="2"/>
                <w:sz w:val="20"/>
                <w:szCs w:val="20"/>
              </w:rPr>
              <w:t>夜间</w:t>
            </w:r>
          </w:p>
        </w:tc>
        <w:tc>
          <w:tcPr>
            <w:tcW w:w="750" w:type="dxa"/>
            <w:vAlign w:val="top"/>
          </w:tcPr>
          <w:p w14:paraId="70E7348F">
            <w:pPr>
              <w:pStyle w:val="6"/>
              <w:spacing w:before="103" w:line="195" w:lineRule="auto"/>
              <w:ind w:left="270"/>
              <w:rPr>
                <w:sz w:val="20"/>
                <w:szCs w:val="20"/>
              </w:rPr>
            </w:pPr>
            <w:r>
              <w:rPr>
                <w:spacing w:val="3"/>
                <w:sz w:val="20"/>
                <w:szCs w:val="20"/>
              </w:rPr>
              <w:t>45</w:t>
            </w:r>
          </w:p>
        </w:tc>
        <w:tc>
          <w:tcPr>
            <w:tcW w:w="660" w:type="dxa"/>
            <w:vAlign w:val="top"/>
          </w:tcPr>
          <w:p w14:paraId="432BC271">
            <w:pPr>
              <w:pStyle w:val="6"/>
              <w:spacing w:before="103" w:line="195" w:lineRule="auto"/>
              <w:ind w:left="151"/>
              <w:rPr>
                <w:sz w:val="20"/>
                <w:szCs w:val="20"/>
              </w:rPr>
            </w:pPr>
            <w:r>
              <w:rPr>
                <w:spacing w:val="2"/>
                <w:sz w:val="20"/>
                <w:szCs w:val="20"/>
              </w:rPr>
              <w:t>39.5</w:t>
            </w:r>
          </w:p>
        </w:tc>
        <w:tc>
          <w:tcPr>
            <w:tcW w:w="1005" w:type="dxa"/>
            <w:vAlign w:val="top"/>
          </w:tcPr>
          <w:p w14:paraId="7A0AA91B">
            <w:pPr>
              <w:pStyle w:val="6"/>
              <w:spacing w:before="103" w:line="195" w:lineRule="auto"/>
              <w:ind w:left="271"/>
              <w:rPr>
                <w:sz w:val="20"/>
                <w:szCs w:val="20"/>
              </w:rPr>
            </w:pPr>
            <w:r>
              <w:rPr>
                <w:spacing w:val="3"/>
                <w:sz w:val="20"/>
                <w:szCs w:val="20"/>
              </w:rPr>
              <w:t>34.85</w:t>
            </w:r>
          </w:p>
        </w:tc>
        <w:tc>
          <w:tcPr>
            <w:tcW w:w="900" w:type="dxa"/>
            <w:vAlign w:val="top"/>
          </w:tcPr>
          <w:p w14:paraId="7BC2F981">
            <w:pPr>
              <w:pStyle w:val="6"/>
              <w:spacing w:before="103" w:line="195" w:lineRule="auto"/>
              <w:ind w:left="214"/>
              <w:rPr>
                <w:sz w:val="20"/>
                <w:szCs w:val="20"/>
              </w:rPr>
            </w:pPr>
            <w:r>
              <w:rPr>
                <w:spacing w:val="3"/>
                <w:sz w:val="20"/>
                <w:szCs w:val="20"/>
              </w:rPr>
              <w:t>40.78</w:t>
            </w:r>
          </w:p>
        </w:tc>
        <w:tc>
          <w:tcPr>
            <w:tcW w:w="1094" w:type="dxa"/>
            <w:vAlign w:val="top"/>
          </w:tcPr>
          <w:p w14:paraId="49F9DC48">
            <w:pPr>
              <w:pStyle w:val="6"/>
              <w:spacing w:before="103" w:line="195" w:lineRule="auto"/>
              <w:ind w:left="384"/>
              <w:rPr>
                <w:sz w:val="20"/>
                <w:szCs w:val="20"/>
              </w:rPr>
            </w:pPr>
            <w:r>
              <w:rPr>
                <w:spacing w:val="-2"/>
                <w:sz w:val="20"/>
                <w:szCs w:val="20"/>
              </w:rPr>
              <w:t>1.28</w:t>
            </w:r>
          </w:p>
        </w:tc>
        <w:tc>
          <w:tcPr>
            <w:tcW w:w="765" w:type="dxa"/>
            <w:vAlign w:val="top"/>
          </w:tcPr>
          <w:p w14:paraId="5723759F">
            <w:pPr>
              <w:pStyle w:val="6"/>
              <w:spacing w:before="103" w:line="195" w:lineRule="auto"/>
              <w:ind w:left="336"/>
              <w:rPr>
                <w:sz w:val="20"/>
                <w:szCs w:val="20"/>
              </w:rPr>
            </w:pPr>
            <w:r>
              <w:rPr>
                <w:sz w:val="20"/>
                <w:szCs w:val="20"/>
              </w:rPr>
              <w:t>0</w:t>
            </w:r>
          </w:p>
        </w:tc>
        <w:tc>
          <w:tcPr>
            <w:tcW w:w="870" w:type="dxa"/>
            <w:vAlign w:val="top"/>
          </w:tcPr>
          <w:p w14:paraId="1B7D8A70">
            <w:pPr>
              <w:pStyle w:val="6"/>
              <w:spacing w:before="103" w:line="195" w:lineRule="auto"/>
              <w:ind w:left="203"/>
              <w:rPr>
                <w:sz w:val="20"/>
                <w:szCs w:val="20"/>
              </w:rPr>
            </w:pPr>
            <w:r>
              <w:rPr>
                <w:spacing w:val="3"/>
                <w:sz w:val="20"/>
                <w:szCs w:val="20"/>
              </w:rPr>
              <w:t>35.32</w:t>
            </w:r>
          </w:p>
        </w:tc>
        <w:tc>
          <w:tcPr>
            <w:tcW w:w="870" w:type="dxa"/>
            <w:vAlign w:val="top"/>
          </w:tcPr>
          <w:p w14:paraId="64AF22DC">
            <w:pPr>
              <w:pStyle w:val="6"/>
              <w:spacing w:before="103" w:line="195" w:lineRule="auto"/>
              <w:ind w:left="199"/>
              <w:rPr>
                <w:sz w:val="20"/>
                <w:szCs w:val="20"/>
              </w:rPr>
            </w:pPr>
            <w:r>
              <w:rPr>
                <w:spacing w:val="4"/>
                <w:sz w:val="20"/>
                <w:szCs w:val="20"/>
              </w:rPr>
              <w:t>40.91</w:t>
            </w:r>
          </w:p>
        </w:tc>
        <w:tc>
          <w:tcPr>
            <w:tcW w:w="855" w:type="dxa"/>
            <w:vAlign w:val="top"/>
          </w:tcPr>
          <w:p w14:paraId="7D0D2C57">
            <w:pPr>
              <w:pStyle w:val="6"/>
              <w:spacing w:before="103" w:line="195" w:lineRule="auto"/>
              <w:ind w:left="265"/>
              <w:rPr>
                <w:sz w:val="20"/>
                <w:szCs w:val="20"/>
              </w:rPr>
            </w:pPr>
            <w:r>
              <w:rPr>
                <w:spacing w:val="-2"/>
                <w:sz w:val="20"/>
                <w:szCs w:val="20"/>
              </w:rPr>
              <w:t>1.41</w:t>
            </w:r>
          </w:p>
        </w:tc>
        <w:tc>
          <w:tcPr>
            <w:tcW w:w="690" w:type="dxa"/>
            <w:vAlign w:val="top"/>
          </w:tcPr>
          <w:p w14:paraId="346794A9">
            <w:pPr>
              <w:pStyle w:val="6"/>
              <w:spacing w:before="103" w:line="195" w:lineRule="auto"/>
              <w:ind w:left="298"/>
              <w:rPr>
                <w:sz w:val="20"/>
                <w:szCs w:val="20"/>
              </w:rPr>
            </w:pPr>
            <w:r>
              <w:rPr>
                <w:sz w:val="20"/>
                <w:szCs w:val="20"/>
              </w:rPr>
              <w:t>0</w:t>
            </w:r>
          </w:p>
        </w:tc>
        <w:tc>
          <w:tcPr>
            <w:tcW w:w="915" w:type="dxa"/>
            <w:vAlign w:val="top"/>
          </w:tcPr>
          <w:p w14:paraId="4C8321A9">
            <w:pPr>
              <w:pStyle w:val="6"/>
              <w:spacing w:before="103" w:line="195" w:lineRule="auto"/>
              <w:ind w:left="228"/>
              <w:rPr>
                <w:sz w:val="20"/>
                <w:szCs w:val="20"/>
              </w:rPr>
            </w:pPr>
            <w:r>
              <w:rPr>
                <w:spacing w:val="2"/>
                <w:sz w:val="20"/>
                <w:szCs w:val="20"/>
              </w:rPr>
              <w:t>35.32</w:t>
            </w:r>
          </w:p>
        </w:tc>
        <w:tc>
          <w:tcPr>
            <w:tcW w:w="930" w:type="dxa"/>
            <w:vAlign w:val="top"/>
          </w:tcPr>
          <w:p w14:paraId="2DF33F2F">
            <w:pPr>
              <w:pStyle w:val="6"/>
              <w:spacing w:before="103" w:line="195" w:lineRule="auto"/>
              <w:ind w:left="229"/>
              <w:rPr>
                <w:sz w:val="20"/>
                <w:szCs w:val="20"/>
              </w:rPr>
            </w:pPr>
            <w:r>
              <w:rPr>
                <w:spacing w:val="4"/>
                <w:sz w:val="20"/>
                <w:szCs w:val="20"/>
              </w:rPr>
              <w:t>40.91</w:t>
            </w:r>
          </w:p>
        </w:tc>
        <w:tc>
          <w:tcPr>
            <w:tcW w:w="855" w:type="dxa"/>
            <w:vAlign w:val="top"/>
          </w:tcPr>
          <w:p w14:paraId="4D7EED88">
            <w:pPr>
              <w:pStyle w:val="6"/>
              <w:spacing w:before="103" w:line="195" w:lineRule="auto"/>
              <w:ind w:left="266"/>
              <w:rPr>
                <w:sz w:val="20"/>
                <w:szCs w:val="20"/>
              </w:rPr>
            </w:pPr>
            <w:r>
              <w:rPr>
                <w:spacing w:val="-2"/>
                <w:sz w:val="20"/>
                <w:szCs w:val="20"/>
              </w:rPr>
              <w:t>1.41</w:t>
            </w:r>
          </w:p>
        </w:tc>
        <w:tc>
          <w:tcPr>
            <w:tcW w:w="689" w:type="dxa"/>
            <w:tcBorders>
              <w:right w:val="nil"/>
            </w:tcBorders>
            <w:vAlign w:val="top"/>
          </w:tcPr>
          <w:p w14:paraId="4E6B9BAB">
            <w:pPr>
              <w:pStyle w:val="6"/>
              <w:spacing w:before="103" w:line="195" w:lineRule="auto"/>
              <w:ind w:left="297"/>
              <w:rPr>
                <w:sz w:val="20"/>
                <w:szCs w:val="20"/>
              </w:rPr>
            </w:pPr>
            <w:r>
              <w:rPr>
                <w:sz w:val="20"/>
                <w:szCs w:val="20"/>
              </w:rPr>
              <w:t>0</w:t>
            </w:r>
          </w:p>
        </w:tc>
      </w:tr>
      <w:tr w14:paraId="11E3A4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3" w:type="dxa"/>
            <w:vMerge w:val="restart"/>
            <w:tcBorders>
              <w:left w:val="nil"/>
              <w:bottom w:val="nil"/>
            </w:tcBorders>
            <w:vAlign w:val="top"/>
          </w:tcPr>
          <w:p w14:paraId="154456A7">
            <w:pPr>
              <w:pStyle w:val="6"/>
              <w:spacing w:before="267" w:line="192" w:lineRule="auto"/>
              <w:ind w:left="221"/>
              <w:rPr>
                <w:sz w:val="20"/>
                <w:szCs w:val="20"/>
              </w:rPr>
            </w:pPr>
            <w:r>
              <w:rPr>
                <w:sz w:val="20"/>
                <w:szCs w:val="20"/>
              </w:rPr>
              <w:t>7</w:t>
            </w:r>
          </w:p>
        </w:tc>
        <w:tc>
          <w:tcPr>
            <w:tcW w:w="1042" w:type="dxa"/>
            <w:vMerge w:val="restart"/>
            <w:tcBorders>
              <w:bottom w:val="nil"/>
            </w:tcBorders>
            <w:vAlign w:val="top"/>
          </w:tcPr>
          <w:p w14:paraId="09BDBAF0">
            <w:pPr>
              <w:spacing w:before="72" w:line="231" w:lineRule="auto"/>
              <w:ind w:left="219"/>
              <w:rPr>
                <w:rFonts w:ascii="仿宋" w:hAnsi="仿宋" w:eastAsia="仿宋" w:cs="仿宋"/>
                <w:sz w:val="20"/>
                <w:szCs w:val="20"/>
              </w:rPr>
            </w:pPr>
            <w:r>
              <w:rPr>
                <w:rFonts w:ascii="仿宋" w:hAnsi="仿宋" w:eastAsia="仿宋" w:cs="仿宋"/>
                <w:spacing w:val="4"/>
                <w:sz w:val="20"/>
                <w:szCs w:val="20"/>
              </w:rPr>
              <w:t>大圪梁</w:t>
            </w:r>
          </w:p>
          <w:p w14:paraId="394887CD">
            <w:pPr>
              <w:pStyle w:val="6"/>
              <w:spacing w:before="62" w:line="223" w:lineRule="auto"/>
              <w:ind w:left="243"/>
              <w:rPr>
                <w:sz w:val="20"/>
                <w:szCs w:val="20"/>
              </w:rPr>
            </w:pPr>
            <w:r>
              <w:rPr>
                <w:rFonts w:ascii="仿宋" w:hAnsi="仿宋" w:eastAsia="仿宋" w:cs="仿宋"/>
                <w:spacing w:val="1"/>
                <w:sz w:val="20"/>
                <w:szCs w:val="20"/>
              </w:rPr>
              <w:t>散户</w:t>
            </w:r>
            <w:r>
              <w:rPr>
                <w:rFonts w:ascii="仿宋" w:hAnsi="仿宋" w:eastAsia="仿宋" w:cs="仿宋"/>
                <w:spacing w:val="-23"/>
                <w:sz w:val="20"/>
                <w:szCs w:val="20"/>
              </w:rPr>
              <w:t xml:space="preserve"> </w:t>
            </w:r>
            <w:r>
              <w:rPr>
                <w:spacing w:val="1"/>
                <w:sz w:val="20"/>
                <w:szCs w:val="20"/>
              </w:rPr>
              <w:t>1</w:t>
            </w:r>
          </w:p>
        </w:tc>
        <w:tc>
          <w:tcPr>
            <w:tcW w:w="750" w:type="dxa"/>
            <w:vAlign w:val="top"/>
          </w:tcPr>
          <w:p w14:paraId="003C8384">
            <w:pPr>
              <w:spacing w:before="68" w:line="219" w:lineRule="auto"/>
              <w:ind w:left="176"/>
              <w:rPr>
                <w:rFonts w:ascii="仿宋" w:hAnsi="仿宋" w:eastAsia="仿宋" w:cs="仿宋"/>
                <w:sz w:val="20"/>
                <w:szCs w:val="20"/>
              </w:rPr>
            </w:pPr>
            <w:r>
              <w:rPr>
                <w:rFonts w:ascii="仿宋" w:hAnsi="仿宋" w:eastAsia="仿宋" w:cs="仿宋"/>
                <w:spacing w:val="2"/>
                <w:sz w:val="20"/>
                <w:szCs w:val="20"/>
              </w:rPr>
              <w:t>昼间</w:t>
            </w:r>
          </w:p>
        </w:tc>
        <w:tc>
          <w:tcPr>
            <w:tcW w:w="750" w:type="dxa"/>
            <w:vAlign w:val="top"/>
          </w:tcPr>
          <w:p w14:paraId="0113F9A1">
            <w:pPr>
              <w:pStyle w:val="6"/>
              <w:spacing w:before="107" w:line="192" w:lineRule="auto"/>
              <w:ind w:left="276"/>
              <w:rPr>
                <w:sz w:val="20"/>
                <w:szCs w:val="20"/>
              </w:rPr>
            </w:pPr>
            <w:r>
              <w:rPr>
                <w:sz w:val="20"/>
                <w:szCs w:val="20"/>
              </w:rPr>
              <w:t>55</w:t>
            </w:r>
          </w:p>
        </w:tc>
        <w:tc>
          <w:tcPr>
            <w:tcW w:w="660" w:type="dxa"/>
            <w:vAlign w:val="top"/>
          </w:tcPr>
          <w:p w14:paraId="4CF7901E">
            <w:pPr>
              <w:pStyle w:val="6"/>
              <w:spacing w:before="104" w:line="195" w:lineRule="auto"/>
              <w:ind w:left="232"/>
              <w:rPr>
                <w:sz w:val="20"/>
                <w:szCs w:val="20"/>
              </w:rPr>
            </w:pPr>
            <w:r>
              <w:rPr>
                <w:sz w:val="20"/>
                <w:szCs w:val="20"/>
              </w:rPr>
              <w:t>52</w:t>
            </w:r>
          </w:p>
        </w:tc>
        <w:tc>
          <w:tcPr>
            <w:tcW w:w="1005" w:type="dxa"/>
            <w:vAlign w:val="top"/>
          </w:tcPr>
          <w:p w14:paraId="74470202">
            <w:pPr>
              <w:pStyle w:val="6"/>
              <w:spacing w:before="104" w:line="195" w:lineRule="auto"/>
              <w:ind w:left="271"/>
              <w:rPr>
                <w:sz w:val="20"/>
                <w:szCs w:val="20"/>
              </w:rPr>
            </w:pPr>
            <w:r>
              <w:rPr>
                <w:spacing w:val="3"/>
                <w:sz w:val="20"/>
                <w:szCs w:val="20"/>
              </w:rPr>
              <w:t>30.34</w:t>
            </w:r>
          </w:p>
        </w:tc>
        <w:tc>
          <w:tcPr>
            <w:tcW w:w="900" w:type="dxa"/>
            <w:vAlign w:val="top"/>
          </w:tcPr>
          <w:p w14:paraId="1B421F57">
            <w:pPr>
              <w:pStyle w:val="6"/>
              <w:spacing w:before="104" w:line="195" w:lineRule="auto"/>
              <w:ind w:left="221"/>
              <w:rPr>
                <w:sz w:val="20"/>
                <w:szCs w:val="20"/>
              </w:rPr>
            </w:pPr>
            <w:r>
              <w:rPr>
                <w:spacing w:val="2"/>
                <w:sz w:val="20"/>
                <w:szCs w:val="20"/>
              </w:rPr>
              <w:t>52.03</w:t>
            </w:r>
          </w:p>
        </w:tc>
        <w:tc>
          <w:tcPr>
            <w:tcW w:w="1094" w:type="dxa"/>
            <w:vAlign w:val="top"/>
          </w:tcPr>
          <w:p w14:paraId="2BEB5362">
            <w:pPr>
              <w:pStyle w:val="6"/>
              <w:spacing w:before="104" w:line="195" w:lineRule="auto"/>
              <w:ind w:left="367"/>
              <w:rPr>
                <w:sz w:val="20"/>
                <w:szCs w:val="20"/>
              </w:rPr>
            </w:pPr>
            <w:r>
              <w:rPr>
                <w:spacing w:val="2"/>
                <w:sz w:val="20"/>
                <w:szCs w:val="20"/>
              </w:rPr>
              <w:t>0.03</w:t>
            </w:r>
          </w:p>
        </w:tc>
        <w:tc>
          <w:tcPr>
            <w:tcW w:w="765" w:type="dxa"/>
            <w:vAlign w:val="top"/>
          </w:tcPr>
          <w:p w14:paraId="503CA07D">
            <w:pPr>
              <w:pStyle w:val="6"/>
              <w:spacing w:before="104" w:line="195" w:lineRule="auto"/>
              <w:ind w:left="336"/>
              <w:rPr>
                <w:sz w:val="20"/>
                <w:szCs w:val="20"/>
              </w:rPr>
            </w:pPr>
            <w:r>
              <w:rPr>
                <w:sz w:val="20"/>
                <w:szCs w:val="20"/>
              </w:rPr>
              <w:t>0</w:t>
            </w:r>
          </w:p>
        </w:tc>
        <w:tc>
          <w:tcPr>
            <w:tcW w:w="870" w:type="dxa"/>
            <w:vAlign w:val="top"/>
          </w:tcPr>
          <w:p w14:paraId="52BFE52C">
            <w:pPr>
              <w:pStyle w:val="6"/>
              <w:spacing w:before="104" w:line="195" w:lineRule="auto"/>
              <w:ind w:left="203"/>
              <w:rPr>
                <w:sz w:val="20"/>
                <w:szCs w:val="20"/>
              </w:rPr>
            </w:pPr>
            <w:r>
              <w:rPr>
                <w:spacing w:val="3"/>
                <w:sz w:val="20"/>
                <w:szCs w:val="20"/>
              </w:rPr>
              <w:t>32.61</w:t>
            </w:r>
          </w:p>
        </w:tc>
        <w:tc>
          <w:tcPr>
            <w:tcW w:w="870" w:type="dxa"/>
            <w:vAlign w:val="top"/>
          </w:tcPr>
          <w:p w14:paraId="0ABAD231">
            <w:pPr>
              <w:pStyle w:val="6"/>
              <w:spacing w:before="104" w:line="195" w:lineRule="auto"/>
              <w:ind w:left="206"/>
              <w:rPr>
                <w:sz w:val="20"/>
                <w:szCs w:val="20"/>
              </w:rPr>
            </w:pPr>
            <w:r>
              <w:rPr>
                <w:spacing w:val="2"/>
                <w:sz w:val="20"/>
                <w:szCs w:val="20"/>
              </w:rPr>
              <w:t>52.05</w:t>
            </w:r>
          </w:p>
        </w:tc>
        <w:tc>
          <w:tcPr>
            <w:tcW w:w="855" w:type="dxa"/>
            <w:vAlign w:val="top"/>
          </w:tcPr>
          <w:p w14:paraId="5D59F7CB">
            <w:pPr>
              <w:pStyle w:val="6"/>
              <w:spacing w:before="104" w:line="195" w:lineRule="auto"/>
              <w:ind w:left="248"/>
              <w:rPr>
                <w:sz w:val="20"/>
                <w:szCs w:val="20"/>
              </w:rPr>
            </w:pPr>
            <w:r>
              <w:rPr>
                <w:spacing w:val="2"/>
                <w:sz w:val="20"/>
                <w:szCs w:val="20"/>
              </w:rPr>
              <w:t>0.05</w:t>
            </w:r>
          </w:p>
        </w:tc>
        <w:tc>
          <w:tcPr>
            <w:tcW w:w="690" w:type="dxa"/>
            <w:vAlign w:val="top"/>
          </w:tcPr>
          <w:p w14:paraId="22CA46CD">
            <w:pPr>
              <w:pStyle w:val="6"/>
              <w:spacing w:before="104" w:line="195" w:lineRule="auto"/>
              <w:ind w:left="298"/>
              <w:rPr>
                <w:sz w:val="20"/>
                <w:szCs w:val="20"/>
              </w:rPr>
            </w:pPr>
            <w:r>
              <w:rPr>
                <w:sz w:val="20"/>
                <w:szCs w:val="20"/>
              </w:rPr>
              <w:t>0</w:t>
            </w:r>
          </w:p>
        </w:tc>
        <w:tc>
          <w:tcPr>
            <w:tcW w:w="915" w:type="dxa"/>
            <w:vAlign w:val="top"/>
          </w:tcPr>
          <w:p w14:paraId="2F513A00">
            <w:pPr>
              <w:pStyle w:val="6"/>
              <w:spacing w:before="104" w:line="195" w:lineRule="auto"/>
              <w:ind w:left="228"/>
              <w:rPr>
                <w:sz w:val="20"/>
                <w:szCs w:val="20"/>
              </w:rPr>
            </w:pPr>
            <w:r>
              <w:rPr>
                <w:spacing w:val="2"/>
                <w:sz w:val="20"/>
                <w:szCs w:val="20"/>
              </w:rPr>
              <w:t>32.83</w:t>
            </w:r>
          </w:p>
        </w:tc>
        <w:tc>
          <w:tcPr>
            <w:tcW w:w="930" w:type="dxa"/>
            <w:vAlign w:val="top"/>
          </w:tcPr>
          <w:p w14:paraId="53806418">
            <w:pPr>
              <w:pStyle w:val="6"/>
              <w:spacing w:before="104" w:line="195" w:lineRule="auto"/>
              <w:ind w:left="236"/>
              <w:rPr>
                <w:sz w:val="20"/>
                <w:szCs w:val="20"/>
              </w:rPr>
            </w:pPr>
            <w:r>
              <w:rPr>
                <w:spacing w:val="2"/>
                <w:sz w:val="20"/>
                <w:szCs w:val="20"/>
              </w:rPr>
              <w:t>52.05</w:t>
            </w:r>
          </w:p>
        </w:tc>
        <w:tc>
          <w:tcPr>
            <w:tcW w:w="855" w:type="dxa"/>
            <w:vAlign w:val="top"/>
          </w:tcPr>
          <w:p w14:paraId="588B9D4B">
            <w:pPr>
              <w:pStyle w:val="6"/>
              <w:spacing w:before="104" w:line="195" w:lineRule="auto"/>
              <w:ind w:left="249"/>
              <w:rPr>
                <w:sz w:val="20"/>
                <w:szCs w:val="20"/>
              </w:rPr>
            </w:pPr>
            <w:r>
              <w:rPr>
                <w:spacing w:val="2"/>
                <w:sz w:val="20"/>
                <w:szCs w:val="20"/>
              </w:rPr>
              <w:t>0.05</w:t>
            </w:r>
          </w:p>
        </w:tc>
        <w:tc>
          <w:tcPr>
            <w:tcW w:w="689" w:type="dxa"/>
            <w:tcBorders>
              <w:right w:val="nil"/>
            </w:tcBorders>
            <w:vAlign w:val="top"/>
          </w:tcPr>
          <w:p w14:paraId="2F5FED79">
            <w:pPr>
              <w:pStyle w:val="6"/>
              <w:spacing w:before="104" w:line="195" w:lineRule="auto"/>
              <w:ind w:left="297"/>
              <w:rPr>
                <w:sz w:val="20"/>
                <w:szCs w:val="20"/>
              </w:rPr>
            </w:pPr>
            <w:r>
              <w:rPr>
                <w:sz w:val="20"/>
                <w:szCs w:val="20"/>
              </w:rPr>
              <w:t>0</w:t>
            </w:r>
          </w:p>
        </w:tc>
      </w:tr>
      <w:tr w14:paraId="4BFAA8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3" w:type="dxa"/>
            <w:vMerge w:val="continue"/>
            <w:tcBorders>
              <w:top w:val="nil"/>
              <w:left w:val="nil"/>
            </w:tcBorders>
            <w:vAlign w:val="top"/>
          </w:tcPr>
          <w:p w14:paraId="018EE3F0">
            <w:pPr>
              <w:rPr>
                <w:rFonts w:ascii="Arial"/>
                <w:sz w:val="21"/>
              </w:rPr>
            </w:pPr>
          </w:p>
        </w:tc>
        <w:tc>
          <w:tcPr>
            <w:tcW w:w="1042" w:type="dxa"/>
            <w:vMerge w:val="continue"/>
            <w:tcBorders>
              <w:top w:val="nil"/>
            </w:tcBorders>
            <w:vAlign w:val="top"/>
          </w:tcPr>
          <w:p w14:paraId="65AC3DCE">
            <w:pPr>
              <w:rPr>
                <w:rFonts w:ascii="Arial"/>
                <w:sz w:val="21"/>
              </w:rPr>
            </w:pPr>
          </w:p>
        </w:tc>
        <w:tc>
          <w:tcPr>
            <w:tcW w:w="750" w:type="dxa"/>
            <w:vAlign w:val="top"/>
          </w:tcPr>
          <w:p w14:paraId="0CBF19CC">
            <w:pPr>
              <w:spacing w:before="68" w:line="219" w:lineRule="auto"/>
              <w:ind w:left="176"/>
              <w:rPr>
                <w:rFonts w:ascii="仿宋" w:hAnsi="仿宋" w:eastAsia="仿宋" w:cs="仿宋"/>
                <w:sz w:val="20"/>
                <w:szCs w:val="20"/>
              </w:rPr>
            </w:pPr>
            <w:r>
              <w:rPr>
                <w:rFonts w:ascii="仿宋" w:hAnsi="仿宋" w:eastAsia="仿宋" w:cs="仿宋"/>
                <w:spacing w:val="2"/>
                <w:sz w:val="20"/>
                <w:szCs w:val="20"/>
              </w:rPr>
              <w:t>夜间</w:t>
            </w:r>
          </w:p>
        </w:tc>
        <w:tc>
          <w:tcPr>
            <w:tcW w:w="750" w:type="dxa"/>
            <w:vAlign w:val="top"/>
          </w:tcPr>
          <w:p w14:paraId="10C01B0E">
            <w:pPr>
              <w:pStyle w:val="6"/>
              <w:spacing w:before="104" w:line="195" w:lineRule="auto"/>
              <w:ind w:left="270"/>
              <w:rPr>
                <w:sz w:val="20"/>
                <w:szCs w:val="20"/>
              </w:rPr>
            </w:pPr>
            <w:r>
              <w:rPr>
                <w:spacing w:val="3"/>
                <w:sz w:val="20"/>
                <w:szCs w:val="20"/>
              </w:rPr>
              <w:t>45</w:t>
            </w:r>
          </w:p>
        </w:tc>
        <w:tc>
          <w:tcPr>
            <w:tcW w:w="660" w:type="dxa"/>
            <w:vAlign w:val="top"/>
          </w:tcPr>
          <w:p w14:paraId="1AE4994B">
            <w:pPr>
              <w:pStyle w:val="6"/>
              <w:spacing w:before="104" w:line="195" w:lineRule="auto"/>
              <w:ind w:left="146"/>
              <w:rPr>
                <w:sz w:val="20"/>
                <w:szCs w:val="20"/>
              </w:rPr>
            </w:pPr>
            <w:r>
              <w:rPr>
                <w:spacing w:val="3"/>
                <w:sz w:val="20"/>
                <w:szCs w:val="20"/>
              </w:rPr>
              <w:t>42.5</w:t>
            </w:r>
          </w:p>
        </w:tc>
        <w:tc>
          <w:tcPr>
            <w:tcW w:w="1005" w:type="dxa"/>
            <w:vAlign w:val="top"/>
          </w:tcPr>
          <w:p w14:paraId="15B97060">
            <w:pPr>
              <w:pStyle w:val="6"/>
              <w:spacing w:before="104" w:line="195" w:lineRule="auto"/>
              <w:ind w:left="267"/>
              <w:rPr>
                <w:sz w:val="20"/>
                <w:szCs w:val="20"/>
              </w:rPr>
            </w:pPr>
            <w:r>
              <w:rPr>
                <w:spacing w:val="3"/>
                <w:sz w:val="20"/>
                <w:szCs w:val="20"/>
              </w:rPr>
              <w:t>29.24</w:t>
            </w:r>
          </w:p>
        </w:tc>
        <w:tc>
          <w:tcPr>
            <w:tcW w:w="900" w:type="dxa"/>
            <w:vAlign w:val="top"/>
          </w:tcPr>
          <w:p w14:paraId="7E425011">
            <w:pPr>
              <w:pStyle w:val="6"/>
              <w:spacing w:before="104" w:line="195" w:lineRule="auto"/>
              <w:ind w:left="267"/>
              <w:rPr>
                <w:sz w:val="20"/>
                <w:szCs w:val="20"/>
              </w:rPr>
            </w:pPr>
            <w:r>
              <w:rPr>
                <w:spacing w:val="3"/>
                <w:sz w:val="20"/>
                <w:szCs w:val="20"/>
              </w:rPr>
              <w:t>42.7</w:t>
            </w:r>
          </w:p>
        </w:tc>
        <w:tc>
          <w:tcPr>
            <w:tcW w:w="1094" w:type="dxa"/>
            <w:vAlign w:val="top"/>
          </w:tcPr>
          <w:p w14:paraId="5AE65AF3">
            <w:pPr>
              <w:pStyle w:val="6"/>
              <w:spacing w:before="104" w:line="195" w:lineRule="auto"/>
              <w:ind w:left="420"/>
              <w:rPr>
                <w:sz w:val="20"/>
                <w:szCs w:val="20"/>
              </w:rPr>
            </w:pPr>
            <w:r>
              <w:rPr>
                <w:spacing w:val="1"/>
                <w:sz w:val="20"/>
                <w:szCs w:val="20"/>
              </w:rPr>
              <w:t>0.2</w:t>
            </w:r>
          </w:p>
        </w:tc>
        <w:tc>
          <w:tcPr>
            <w:tcW w:w="765" w:type="dxa"/>
            <w:vAlign w:val="top"/>
          </w:tcPr>
          <w:p w14:paraId="7579BDA7">
            <w:pPr>
              <w:pStyle w:val="6"/>
              <w:spacing w:before="104" w:line="195" w:lineRule="auto"/>
              <w:ind w:left="336"/>
              <w:rPr>
                <w:sz w:val="20"/>
                <w:szCs w:val="20"/>
              </w:rPr>
            </w:pPr>
            <w:r>
              <w:rPr>
                <w:sz w:val="20"/>
                <w:szCs w:val="20"/>
              </w:rPr>
              <w:t>0</w:t>
            </w:r>
          </w:p>
        </w:tc>
        <w:tc>
          <w:tcPr>
            <w:tcW w:w="870" w:type="dxa"/>
            <w:vAlign w:val="top"/>
          </w:tcPr>
          <w:p w14:paraId="012E63F1">
            <w:pPr>
              <w:pStyle w:val="6"/>
              <w:spacing w:before="104" w:line="195" w:lineRule="auto"/>
              <w:ind w:left="199"/>
              <w:rPr>
                <w:sz w:val="20"/>
                <w:szCs w:val="20"/>
              </w:rPr>
            </w:pPr>
            <w:r>
              <w:rPr>
                <w:spacing w:val="3"/>
                <w:sz w:val="20"/>
                <w:szCs w:val="20"/>
              </w:rPr>
              <w:t>29.71</w:t>
            </w:r>
          </w:p>
        </w:tc>
        <w:tc>
          <w:tcPr>
            <w:tcW w:w="870" w:type="dxa"/>
            <w:vAlign w:val="top"/>
          </w:tcPr>
          <w:p w14:paraId="2595C8CE">
            <w:pPr>
              <w:pStyle w:val="6"/>
              <w:spacing w:before="104" w:line="195" w:lineRule="auto"/>
              <w:ind w:left="199"/>
              <w:rPr>
                <w:sz w:val="20"/>
                <w:szCs w:val="20"/>
              </w:rPr>
            </w:pPr>
            <w:r>
              <w:rPr>
                <w:spacing w:val="4"/>
                <w:sz w:val="20"/>
                <w:szCs w:val="20"/>
              </w:rPr>
              <w:t>42.72</w:t>
            </w:r>
          </w:p>
        </w:tc>
        <w:tc>
          <w:tcPr>
            <w:tcW w:w="855" w:type="dxa"/>
            <w:vAlign w:val="top"/>
          </w:tcPr>
          <w:p w14:paraId="4AE15C86">
            <w:pPr>
              <w:pStyle w:val="6"/>
              <w:spacing w:before="104" w:line="195" w:lineRule="auto"/>
              <w:ind w:left="248"/>
              <w:rPr>
                <w:sz w:val="20"/>
                <w:szCs w:val="20"/>
              </w:rPr>
            </w:pPr>
            <w:r>
              <w:rPr>
                <w:spacing w:val="2"/>
                <w:sz w:val="20"/>
                <w:szCs w:val="20"/>
              </w:rPr>
              <w:t>0.22</w:t>
            </w:r>
          </w:p>
        </w:tc>
        <w:tc>
          <w:tcPr>
            <w:tcW w:w="690" w:type="dxa"/>
            <w:vAlign w:val="top"/>
          </w:tcPr>
          <w:p w14:paraId="4AB34CE5">
            <w:pPr>
              <w:pStyle w:val="6"/>
              <w:spacing w:before="104" w:line="195" w:lineRule="auto"/>
              <w:ind w:left="298"/>
              <w:rPr>
                <w:sz w:val="20"/>
                <w:szCs w:val="20"/>
              </w:rPr>
            </w:pPr>
            <w:r>
              <w:rPr>
                <w:sz w:val="20"/>
                <w:szCs w:val="20"/>
              </w:rPr>
              <w:t>0</w:t>
            </w:r>
          </w:p>
        </w:tc>
        <w:tc>
          <w:tcPr>
            <w:tcW w:w="915" w:type="dxa"/>
            <w:vAlign w:val="top"/>
          </w:tcPr>
          <w:p w14:paraId="62EB1373">
            <w:pPr>
              <w:pStyle w:val="6"/>
              <w:spacing w:before="104" w:line="195" w:lineRule="auto"/>
              <w:ind w:left="224"/>
              <w:rPr>
                <w:sz w:val="20"/>
                <w:szCs w:val="20"/>
              </w:rPr>
            </w:pPr>
            <w:r>
              <w:rPr>
                <w:spacing w:val="3"/>
                <w:sz w:val="20"/>
                <w:szCs w:val="20"/>
              </w:rPr>
              <w:t>29.71</w:t>
            </w:r>
          </w:p>
        </w:tc>
        <w:tc>
          <w:tcPr>
            <w:tcW w:w="930" w:type="dxa"/>
            <w:vAlign w:val="top"/>
          </w:tcPr>
          <w:p w14:paraId="62B16386">
            <w:pPr>
              <w:pStyle w:val="6"/>
              <w:spacing w:before="104" w:line="195" w:lineRule="auto"/>
              <w:ind w:left="229"/>
              <w:rPr>
                <w:sz w:val="20"/>
                <w:szCs w:val="20"/>
              </w:rPr>
            </w:pPr>
            <w:r>
              <w:rPr>
                <w:spacing w:val="4"/>
                <w:sz w:val="20"/>
                <w:szCs w:val="20"/>
              </w:rPr>
              <w:t>42.72</w:t>
            </w:r>
          </w:p>
        </w:tc>
        <w:tc>
          <w:tcPr>
            <w:tcW w:w="855" w:type="dxa"/>
            <w:vAlign w:val="top"/>
          </w:tcPr>
          <w:p w14:paraId="6ADED268">
            <w:pPr>
              <w:pStyle w:val="6"/>
              <w:spacing w:before="104" w:line="195" w:lineRule="auto"/>
              <w:ind w:left="249"/>
              <w:rPr>
                <w:sz w:val="20"/>
                <w:szCs w:val="20"/>
              </w:rPr>
            </w:pPr>
            <w:r>
              <w:rPr>
                <w:spacing w:val="2"/>
                <w:sz w:val="20"/>
                <w:szCs w:val="20"/>
              </w:rPr>
              <w:t>0.22</w:t>
            </w:r>
          </w:p>
        </w:tc>
        <w:tc>
          <w:tcPr>
            <w:tcW w:w="689" w:type="dxa"/>
            <w:tcBorders>
              <w:right w:val="nil"/>
            </w:tcBorders>
            <w:vAlign w:val="top"/>
          </w:tcPr>
          <w:p w14:paraId="17015C47">
            <w:pPr>
              <w:pStyle w:val="6"/>
              <w:spacing w:before="104" w:line="195" w:lineRule="auto"/>
              <w:ind w:left="297"/>
              <w:rPr>
                <w:sz w:val="20"/>
                <w:szCs w:val="20"/>
              </w:rPr>
            </w:pPr>
            <w:r>
              <w:rPr>
                <w:sz w:val="20"/>
                <w:szCs w:val="20"/>
              </w:rPr>
              <w:t>0</w:t>
            </w:r>
          </w:p>
        </w:tc>
      </w:tr>
      <w:tr w14:paraId="64918B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3" w:type="dxa"/>
            <w:vMerge w:val="restart"/>
            <w:tcBorders>
              <w:left w:val="nil"/>
              <w:bottom w:val="nil"/>
            </w:tcBorders>
            <w:vAlign w:val="top"/>
          </w:tcPr>
          <w:p w14:paraId="748B51B6">
            <w:pPr>
              <w:pStyle w:val="6"/>
              <w:spacing w:before="266" w:line="195" w:lineRule="auto"/>
              <w:ind w:left="226"/>
              <w:rPr>
                <w:sz w:val="20"/>
                <w:szCs w:val="20"/>
              </w:rPr>
            </w:pPr>
            <w:r>
              <w:rPr>
                <w:sz w:val="20"/>
                <w:szCs w:val="20"/>
              </w:rPr>
              <w:t>8</w:t>
            </w:r>
          </w:p>
        </w:tc>
        <w:tc>
          <w:tcPr>
            <w:tcW w:w="1042" w:type="dxa"/>
            <w:vMerge w:val="restart"/>
            <w:tcBorders>
              <w:bottom w:val="nil"/>
            </w:tcBorders>
            <w:vAlign w:val="top"/>
          </w:tcPr>
          <w:p w14:paraId="6F148B5A">
            <w:pPr>
              <w:spacing w:before="74" w:line="231" w:lineRule="auto"/>
              <w:ind w:left="219"/>
              <w:rPr>
                <w:rFonts w:ascii="仿宋" w:hAnsi="仿宋" w:eastAsia="仿宋" w:cs="仿宋"/>
                <w:sz w:val="20"/>
                <w:szCs w:val="20"/>
              </w:rPr>
            </w:pPr>
            <w:r>
              <w:rPr>
                <w:rFonts w:ascii="仿宋" w:hAnsi="仿宋" w:eastAsia="仿宋" w:cs="仿宋"/>
                <w:spacing w:val="4"/>
                <w:sz w:val="20"/>
                <w:szCs w:val="20"/>
              </w:rPr>
              <w:t>大圪梁</w:t>
            </w:r>
          </w:p>
          <w:p w14:paraId="4BC225DE">
            <w:pPr>
              <w:pStyle w:val="6"/>
              <w:spacing w:before="62" w:line="222" w:lineRule="auto"/>
              <w:ind w:left="243"/>
              <w:rPr>
                <w:sz w:val="20"/>
                <w:szCs w:val="20"/>
              </w:rPr>
            </w:pPr>
            <w:r>
              <w:rPr>
                <w:rFonts w:ascii="仿宋" w:hAnsi="仿宋" w:eastAsia="仿宋" w:cs="仿宋"/>
                <w:spacing w:val="1"/>
                <w:sz w:val="20"/>
                <w:szCs w:val="20"/>
              </w:rPr>
              <w:t>散户</w:t>
            </w:r>
            <w:r>
              <w:rPr>
                <w:rFonts w:ascii="仿宋" w:hAnsi="仿宋" w:eastAsia="仿宋" w:cs="仿宋"/>
                <w:spacing w:val="-43"/>
                <w:sz w:val="20"/>
                <w:szCs w:val="20"/>
              </w:rPr>
              <w:t xml:space="preserve"> </w:t>
            </w:r>
            <w:r>
              <w:rPr>
                <w:spacing w:val="1"/>
                <w:sz w:val="20"/>
                <w:szCs w:val="20"/>
              </w:rPr>
              <w:t>2</w:t>
            </w:r>
          </w:p>
        </w:tc>
        <w:tc>
          <w:tcPr>
            <w:tcW w:w="750" w:type="dxa"/>
            <w:vAlign w:val="top"/>
          </w:tcPr>
          <w:p w14:paraId="563F6B09">
            <w:pPr>
              <w:spacing w:before="69" w:line="218" w:lineRule="auto"/>
              <w:ind w:left="176"/>
              <w:rPr>
                <w:rFonts w:ascii="仿宋" w:hAnsi="仿宋" w:eastAsia="仿宋" w:cs="仿宋"/>
                <w:sz w:val="20"/>
                <w:szCs w:val="20"/>
              </w:rPr>
            </w:pPr>
            <w:r>
              <w:rPr>
                <w:rFonts w:ascii="仿宋" w:hAnsi="仿宋" w:eastAsia="仿宋" w:cs="仿宋"/>
                <w:spacing w:val="2"/>
                <w:sz w:val="20"/>
                <w:szCs w:val="20"/>
              </w:rPr>
              <w:t>昼间</w:t>
            </w:r>
          </w:p>
        </w:tc>
        <w:tc>
          <w:tcPr>
            <w:tcW w:w="750" w:type="dxa"/>
            <w:vAlign w:val="top"/>
          </w:tcPr>
          <w:p w14:paraId="4699AE35">
            <w:pPr>
              <w:pStyle w:val="6"/>
              <w:spacing w:before="108" w:line="192" w:lineRule="auto"/>
              <w:ind w:left="276"/>
              <w:rPr>
                <w:sz w:val="20"/>
                <w:szCs w:val="20"/>
              </w:rPr>
            </w:pPr>
            <w:r>
              <w:rPr>
                <w:sz w:val="20"/>
                <w:szCs w:val="20"/>
              </w:rPr>
              <w:t>55</w:t>
            </w:r>
          </w:p>
        </w:tc>
        <w:tc>
          <w:tcPr>
            <w:tcW w:w="660" w:type="dxa"/>
            <w:vAlign w:val="top"/>
          </w:tcPr>
          <w:p w14:paraId="28F7C3BC">
            <w:pPr>
              <w:pStyle w:val="6"/>
              <w:spacing w:before="105" w:line="195" w:lineRule="auto"/>
              <w:ind w:left="225"/>
              <w:rPr>
                <w:sz w:val="20"/>
                <w:szCs w:val="20"/>
              </w:rPr>
            </w:pPr>
            <w:r>
              <w:rPr>
                <w:spacing w:val="3"/>
                <w:sz w:val="20"/>
                <w:szCs w:val="20"/>
              </w:rPr>
              <w:t>43</w:t>
            </w:r>
          </w:p>
        </w:tc>
        <w:tc>
          <w:tcPr>
            <w:tcW w:w="1005" w:type="dxa"/>
            <w:vAlign w:val="top"/>
          </w:tcPr>
          <w:p w14:paraId="04DCC5A2">
            <w:pPr>
              <w:pStyle w:val="6"/>
              <w:spacing w:before="105" w:line="195" w:lineRule="auto"/>
              <w:ind w:left="271"/>
              <w:rPr>
                <w:sz w:val="20"/>
                <w:szCs w:val="20"/>
              </w:rPr>
            </w:pPr>
            <w:r>
              <w:rPr>
                <w:spacing w:val="3"/>
                <w:sz w:val="20"/>
                <w:szCs w:val="20"/>
              </w:rPr>
              <w:t>32.93</w:t>
            </w:r>
          </w:p>
        </w:tc>
        <w:tc>
          <w:tcPr>
            <w:tcW w:w="900" w:type="dxa"/>
            <w:vAlign w:val="top"/>
          </w:tcPr>
          <w:p w14:paraId="5C03E6E8">
            <w:pPr>
              <w:pStyle w:val="6"/>
              <w:spacing w:before="105" w:line="195" w:lineRule="auto"/>
              <w:ind w:left="214"/>
              <w:rPr>
                <w:sz w:val="20"/>
                <w:szCs w:val="20"/>
              </w:rPr>
            </w:pPr>
            <w:r>
              <w:rPr>
                <w:spacing w:val="3"/>
                <w:sz w:val="20"/>
                <w:szCs w:val="20"/>
              </w:rPr>
              <w:t>43.41</w:t>
            </w:r>
          </w:p>
        </w:tc>
        <w:tc>
          <w:tcPr>
            <w:tcW w:w="1094" w:type="dxa"/>
            <w:vAlign w:val="top"/>
          </w:tcPr>
          <w:p w14:paraId="5545E973">
            <w:pPr>
              <w:pStyle w:val="6"/>
              <w:spacing w:before="105" w:line="195" w:lineRule="auto"/>
              <w:ind w:left="367"/>
              <w:rPr>
                <w:sz w:val="20"/>
                <w:szCs w:val="20"/>
              </w:rPr>
            </w:pPr>
            <w:r>
              <w:rPr>
                <w:spacing w:val="2"/>
                <w:sz w:val="20"/>
                <w:szCs w:val="20"/>
              </w:rPr>
              <w:t>0.41</w:t>
            </w:r>
          </w:p>
        </w:tc>
        <w:tc>
          <w:tcPr>
            <w:tcW w:w="765" w:type="dxa"/>
            <w:vAlign w:val="top"/>
          </w:tcPr>
          <w:p w14:paraId="287CA65F">
            <w:pPr>
              <w:pStyle w:val="6"/>
              <w:spacing w:before="105" w:line="195" w:lineRule="auto"/>
              <w:ind w:left="336"/>
              <w:rPr>
                <w:sz w:val="20"/>
                <w:szCs w:val="20"/>
              </w:rPr>
            </w:pPr>
            <w:r>
              <w:rPr>
                <w:sz w:val="20"/>
                <w:szCs w:val="20"/>
              </w:rPr>
              <w:t>0</w:t>
            </w:r>
          </w:p>
        </w:tc>
        <w:tc>
          <w:tcPr>
            <w:tcW w:w="870" w:type="dxa"/>
            <w:vAlign w:val="top"/>
          </w:tcPr>
          <w:p w14:paraId="6701355A">
            <w:pPr>
              <w:pStyle w:val="6"/>
              <w:spacing w:before="105" w:line="195" w:lineRule="auto"/>
              <w:ind w:left="259"/>
              <w:rPr>
                <w:sz w:val="20"/>
                <w:szCs w:val="20"/>
              </w:rPr>
            </w:pPr>
            <w:r>
              <w:rPr>
                <w:spacing w:val="1"/>
                <w:sz w:val="20"/>
                <w:szCs w:val="20"/>
              </w:rPr>
              <w:t>35.2</w:t>
            </w:r>
          </w:p>
        </w:tc>
        <w:tc>
          <w:tcPr>
            <w:tcW w:w="870" w:type="dxa"/>
            <w:vAlign w:val="top"/>
          </w:tcPr>
          <w:p w14:paraId="41BF3CD6">
            <w:pPr>
              <w:pStyle w:val="6"/>
              <w:spacing w:before="105" w:line="195" w:lineRule="auto"/>
              <w:ind w:left="199"/>
              <w:rPr>
                <w:sz w:val="20"/>
                <w:szCs w:val="20"/>
              </w:rPr>
            </w:pPr>
            <w:r>
              <w:rPr>
                <w:spacing w:val="4"/>
                <w:sz w:val="20"/>
                <w:szCs w:val="20"/>
              </w:rPr>
              <w:t>43.67</w:t>
            </w:r>
          </w:p>
        </w:tc>
        <w:tc>
          <w:tcPr>
            <w:tcW w:w="855" w:type="dxa"/>
            <w:vAlign w:val="top"/>
          </w:tcPr>
          <w:p w14:paraId="704D526F">
            <w:pPr>
              <w:pStyle w:val="6"/>
              <w:spacing w:before="105" w:line="195" w:lineRule="auto"/>
              <w:ind w:left="248"/>
              <w:rPr>
                <w:sz w:val="20"/>
                <w:szCs w:val="20"/>
              </w:rPr>
            </w:pPr>
            <w:r>
              <w:rPr>
                <w:spacing w:val="2"/>
                <w:sz w:val="20"/>
                <w:szCs w:val="20"/>
              </w:rPr>
              <w:t>0.67</w:t>
            </w:r>
          </w:p>
        </w:tc>
        <w:tc>
          <w:tcPr>
            <w:tcW w:w="690" w:type="dxa"/>
            <w:vAlign w:val="top"/>
          </w:tcPr>
          <w:p w14:paraId="17B192A6">
            <w:pPr>
              <w:pStyle w:val="6"/>
              <w:spacing w:before="105" w:line="195" w:lineRule="auto"/>
              <w:ind w:left="298"/>
              <w:rPr>
                <w:sz w:val="20"/>
                <w:szCs w:val="20"/>
              </w:rPr>
            </w:pPr>
            <w:r>
              <w:rPr>
                <w:sz w:val="20"/>
                <w:szCs w:val="20"/>
              </w:rPr>
              <w:t>0</w:t>
            </w:r>
          </w:p>
        </w:tc>
        <w:tc>
          <w:tcPr>
            <w:tcW w:w="915" w:type="dxa"/>
            <w:vAlign w:val="top"/>
          </w:tcPr>
          <w:p w14:paraId="24DAF1A6">
            <w:pPr>
              <w:pStyle w:val="6"/>
              <w:spacing w:before="105" w:line="195" w:lineRule="auto"/>
              <w:ind w:left="228"/>
              <w:rPr>
                <w:sz w:val="20"/>
                <w:szCs w:val="20"/>
              </w:rPr>
            </w:pPr>
            <w:r>
              <w:rPr>
                <w:spacing w:val="2"/>
                <w:sz w:val="20"/>
                <w:szCs w:val="20"/>
              </w:rPr>
              <w:t>35.43</w:t>
            </w:r>
          </w:p>
        </w:tc>
        <w:tc>
          <w:tcPr>
            <w:tcW w:w="930" w:type="dxa"/>
            <w:vAlign w:val="top"/>
          </w:tcPr>
          <w:p w14:paraId="5F1902B5">
            <w:pPr>
              <w:pStyle w:val="6"/>
              <w:spacing w:before="105" w:line="195" w:lineRule="auto"/>
              <w:ind w:left="282"/>
              <w:rPr>
                <w:sz w:val="20"/>
                <w:szCs w:val="20"/>
              </w:rPr>
            </w:pPr>
            <w:r>
              <w:rPr>
                <w:spacing w:val="3"/>
                <w:sz w:val="20"/>
                <w:szCs w:val="20"/>
              </w:rPr>
              <w:t>43.7</w:t>
            </w:r>
          </w:p>
        </w:tc>
        <w:tc>
          <w:tcPr>
            <w:tcW w:w="855" w:type="dxa"/>
            <w:vAlign w:val="top"/>
          </w:tcPr>
          <w:p w14:paraId="015717A2">
            <w:pPr>
              <w:pStyle w:val="6"/>
              <w:spacing w:before="105" w:line="195" w:lineRule="auto"/>
              <w:ind w:left="302"/>
              <w:rPr>
                <w:sz w:val="20"/>
                <w:szCs w:val="20"/>
              </w:rPr>
            </w:pPr>
            <w:r>
              <w:rPr>
                <w:spacing w:val="1"/>
                <w:sz w:val="20"/>
                <w:szCs w:val="20"/>
              </w:rPr>
              <w:t>0.7</w:t>
            </w:r>
          </w:p>
        </w:tc>
        <w:tc>
          <w:tcPr>
            <w:tcW w:w="689" w:type="dxa"/>
            <w:tcBorders>
              <w:right w:val="nil"/>
            </w:tcBorders>
            <w:vAlign w:val="top"/>
          </w:tcPr>
          <w:p w14:paraId="0179A50C">
            <w:pPr>
              <w:pStyle w:val="6"/>
              <w:spacing w:before="105" w:line="195" w:lineRule="auto"/>
              <w:ind w:left="297"/>
              <w:rPr>
                <w:sz w:val="20"/>
                <w:szCs w:val="20"/>
              </w:rPr>
            </w:pPr>
            <w:r>
              <w:rPr>
                <w:sz w:val="20"/>
                <w:szCs w:val="20"/>
              </w:rPr>
              <w:t>0</w:t>
            </w:r>
          </w:p>
        </w:tc>
      </w:tr>
      <w:tr w14:paraId="265AA1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3" w:type="dxa"/>
            <w:vMerge w:val="continue"/>
            <w:tcBorders>
              <w:top w:val="nil"/>
              <w:left w:val="nil"/>
            </w:tcBorders>
            <w:vAlign w:val="top"/>
          </w:tcPr>
          <w:p w14:paraId="7FA07DB6">
            <w:pPr>
              <w:rPr>
                <w:rFonts w:ascii="Arial"/>
                <w:sz w:val="21"/>
              </w:rPr>
            </w:pPr>
          </w:p>
        </w:tc>
        <w:tc>
          <w:tcPr>
            <w:tcW w:w="1042" w:type="dxa"/>
            <w:vMerge w:val="continue"/>
            <w:tcBorders>
              <w:top w:val="nil"/>
            </w:tcBorders>
            <w:vAlign w:val="top"/>
          </w:tcPr>
          <w:p w14:paraId="76E139D8">
            <w:pPr>
              <w:rPr>
                <w:rFonts w:ascii="Arial"/>
                <w:sz w:val="21"/>
              </w:rPr>
            </w:pPr>
          </w:p>
        </w:tc>
        <w:tc>
          <w:tcPr>
            <w:tcW w:w="750" w:type="dxa"/>
            <w:vAlign w:val="top"/>
          </w:tcPr>
          <w:p w14:paraId="1567BB9C">
            <w:pPr>
              <w:spacing w:before="69" w:line="218" w:lineRule="auto"/>
              <w:ind w:left="176"/>
              <w:rPr>
                <w:rFonts w:ascii="仿宋" w:hAnsi="仿宋" w:eastAsia="仿宋" w:cs="仿宋"/>
                <w:sz w:val="20"/>
                <w:szCs w:val="20"/>
              </w:rPr>
            </w:pPr>
            <w:r>
              <w:rPr>
                <w:rFonts w:ascii="仿宋" w:hAnsi="仿宋" w:eastAsia="仿宋" w:cs="仿宋"/>
                <w:spacing w:val="2"/>
                <w:sz w:val="20"/>
                <w:szCs w:val="20"/>
              </w:rPr>
              <w:t>夜间</w:t>
            </w:r>
          </w:p>
        </w:tc>
        <w:tc>
          <w:tcPr>
            <w:tcW w:w="750" w:type="dxa"/>
            <w:vAlign w:val="top"/>
          </w:tcPr>
          <w:p w14:paraId="45D4E81C">
            <w:pPr>
              <w:pStyle w:val="6"/>
              <w:spacing w:before="108" w:line="195" w:lineRule="auto"/>
              <w:ind w:left="270"/>
              <w:rPr>
                <w:sz w:val="20"/>
                <w:szCs w:val="20"/>
              </w:rPr>
            </w:pPr>
            <w:r>
              <w:rPr>
                <w:spacing w:val="3"/>
                <w:sz w:val="20"/>
                <w:szCs w:val="20"/>
              </w:rPr>
              <w:t>45</w:t>
            </w:r>
          </w:p>
        </w:tc>
        <w:tc>
          <w:tcPr>
            <w:tcW w:w="660" w:type="dxa"/>
            <w:vAlign w:val="top"/>
          </w:tcPr>
          <w:p w14:paraId="0FAFDE1F">
            <w:pPr>
              <w:pStyle w:val="6"/>
              <w:spacing w:before="108" w:line="195" w:lineRule="auto"/>
              <w:ind w:left="231"/>
              <w:rPr>
                <w:sz w:val="20"/>
                <w:szCs w:val="20"/>
              </w:rPr>
            </w:pPr>
            <w:r>
              <w:rPr>
                <w:sz w:val="20"/>
                <w:szCs w:val="20"/>
              </w:rPr>
              <w:t>39</w:t>
            </w:r>
          </w:p>
        </w:tc>
        <w:tc>
          <w:tcPr>
            <w:tcW w:w="1005" w:type="dxa"/>
            <w:vAlign w:val="top"/>
          </w:tcPr>
          <w:p w14:paraId="56EB75DF">
            <w:pPr>
              <w:pStyle w:val="6"/>
              <w:spacing w:before="108" w:line="195" w:lineRule="auto"/>
              <w:ind w:left="271"/>
              <w:rPr>
                <w:sz w:val="20"/>
                <w:szCs w:val="20"/>
              </w:rPr>
            </w:pPr>
            <w:r>
              <w:rPr>
                <w:spacing w:val="3"/>
                <w:sz w:val="20"/>
                <w:szCs w:val="20"/>
              </w:rPr>
              <w:t>31.83</w:t>
            </w:r>
          </w:p>
        </w:tc>
        <w:tc>
          <w:tcPr>
            <w:tcW w:w="900" w:type="dxa"/>
            <w:vAlign w:val="top"/>
          </w:tcPr>
          <w:p w14:paraId="5CF1ECC8">
            <w:pPr>
              <w:pStyle w:val="6"/>
              <w:spacing w:before="108" w:line="195" w:lineRule="auto"/>
              <w:ind w:left="219"/>
              <w:rPr>
                <w:sz w:val="20"/>
                <w:szCs w:val="20"/>
              </w:rPr>
            </w:pPr>
            <w:r>
              <w:rPr>
                <w:spacing w:val="2"/>
                <w:sz w:val="20"/>
                <w:szCs w:val="20"/>
              </w:rPr>
              <w:t>39.76</w:t>
            </w:r>
          </w:p>
        </w:tc>
        <w:tc>
          <w:tcPr>
            <w:tcW w:w="1094" w:type="dxa"/>
            <w:vAlign w:val="top"/>
          </w:tcPr>
          <w:p w14:paraId="6428B9C6">
            <w:pPr>
              <w:pStyle w:val="6"/>
              <w:spacing w:before="108" w:line="195" w:lineRule="auto"/>
              <w:ind w:left="367"/>
              <w:rPr>
                <w:sz w:val="20"/>
                <w:szCs w:val="20"/>
              </w:rPr>
            </w:pPr>
            <w:r>
              <w:rPr>
                <w:spacing w:val="2"/>
                <w:sz w:val="20"/>
                <w:szCs w:val="20"/>
              </w:rPr>
              <w:t>0.76</w:t>
            </w:r>
          </w:p>
        </w:tc>
        <w:tc>
          <w:tcPr>
            <w:tcW w:w="765" w:type="dxa"/>
            <w:vAlign w:val="top"/>
          </w:tcPr>
          <w:p w14:paraId="6A1DD2EB">
            <w:pPr>
              <w:pStyle w:val="6"/>
              <w:spacing w:before="108" w:line="195" w:lineRule="auto"/>
              <w:ind w:left="336"/>
              <w:rPr>
                <w:sz w:val="20"/>
                <w:szCs w:val="20"/>
              </w:rPr>
            </w:pPr>
            <w:r>
              <w:rPr>
                <w:sz w:val="20"/>
                <w:szCs w:val="20"/>
              </w:rPr>
              <w:t>0</w:t>
            </w:r>
          </w:p>
        </w:tc>
        <w:tc>
          <w:tcPr>
            <w:tcW w:w="870" w:type="dxa"/>
            <w:vAlign w:val="top"/>
          </w:tcPr>
          <w:p w14:paraId="14AA53E2">
            <w:pPr>
              <w:pStyle w:val="6"/>
              <w:spacing w:before="108" w:line="195" w:lineRule="auto"/>
              <w:ind w:left="203"/>
              <w:rPr>
                <w:sz w:val="20"/>
                <w:szCs w:val="20"/>
              </w:rPr>
            </w:pPr>
            <w:r>
              <w:rPr>
                <w:spacing w:val="3"/>
                <w:sz w:val="20"/>
                <w:szCs w:val="20"/>
              </w:rPr>
              <w:t>32.31</w:t>
            </w:r>
          </w:p>
        </w:tc>
        <w:tc>
          <w:tcPr>
            <w:tcW w:w="870" w:type="dxa"/>
            <w:vAlign w:val="top"/>
          </w:tcPr>
          <w:p w14:paraId="6E6261CC">
            <w:pPr>
              <w:pStyle w:val="6"/>
              <w:spacing w:before="108" w:line="195" w:lineRule="auto"/>
              <w:ind w:left="205"/>
              <w:rPr>
                <w:sz w:val="20"/>
                <w:szCs w:val="20"/>
              </w:rPr>
            </w:pPr>
            <w:r>
              <w:rPr>
                <w:spacing w:val="3"/>
                <w:sz w:val="20"/>
                <w:szCs w:val="20"/>
              </w:rPr>
              <w:t>39.84</w:t>
            </w:r>
          </w:p>
        </w:tc>
        <w:tc>
          <w:tcPr>
            <w:tcW w:w="855" w:type="dxa"/>
            <w:vAlign w:val="top"/>
          </w:tcPr>
          <w:p w14:paraId="65BD913F">
            <w:pPr>
              <w:pStyle w:val="6"/>
              <w:spacing w:before="108" w:line="195" w:lineRule="auto"/>
              <w:ind w:left="248"/>
              <w:rPr>
                <w:sz w:val="20"/>
                <w:szCs w:val="20"/>
              </w:rPr>
            </w:pPr>
            <w:r>
              <w:rPr>
                <w:spacing w:val="2"/>
                <w:sz w:val="20"/>
                <w:szCs w:val="20"/>
              </w:rPr>
              <w:t>0.84</w:t>
            </w:r>
          </w:p>
        </w:tc>
        <w:tc>
          <w:tcPr>
            <w:tcW w:w="690" w:type="dxa"/>
            <w:vAlign w:val="top"/>
          </w:tcPr>
          <w:p w14:paraId="1E5F1E0D">
            <w:pPr>
              <w:pStyle w:val="6"/>
              <w:spacing w:before="108" w:line="195" w:lineRule="auto"/>
              <w:ind w:left="298"/>
              <w:rPr>
                <w:sz w:val="20"/>
                <w:szCs w:val="20"/>
              </w:rPr>
            </w:pPr>
            <w:r>
              <w:rPr>
                <w:sz w:val="20"/>
                <w:szCs w:val="20"/>
              </w:rPr>
              <w:t>0</w:t>
            </w:r>
          </w:p>
        </w:tc>
        <w:tc>
          <w:tcPr>
            <w:tcW w:w="915" w:type="dxa"/>
            <w:vAlign w:val="top"/>
          </w:tcPr>
          <w:p w14:paraId="4A39C57B">
            <w:pPr>
              <w:pStyle w:val="6"/>
              <w:spacing w:before="108" w:line="195" w:lineRule="auto"/>
              <w:ind w:left="228"/>
              <w:rPr>
                <w:sz w:val="20"/>
                <w:szCs w:val="20"/>
              </w:rPr>
            </w:pPr>
            <w:r>
              <w:rPr>
                <w:spacing w:val="2"/>
                <w:sz w:val="20"/>
                <w:szCs w:val="20"/>
              </w:rPr>
              <w:t>32.31</w:t>
            </w:r>
          </w:p>
        </w:tc>
        <w:tc>
          <w:tcPr>
            <w:tcW w:w="930" w:type="dxa"/>
            <w:vAlign w:val="top"/>
          </w:tcPr>
          <w:p w14:paraId="768A3661">
            <w:pPr>
              <w:pStyle w:val="6"/>
              <w:spacing w:before="108" w:line="195" w:lineRule="auto"/>
              <w:ind w:left="235"/>
              <w:rPr>
                <w:sz w:val="20"/>
                <w:szCs w:val="20"/>
              </w:rPr>
            </w:pPr>
            <w:r>
              <w:rPr>
                <w:spacing w:val="3"/>
                <w:sz w:val="20"/>
                <w:szCs w:val="20"/>
              </w:rPr>
              <w:t>39.84</w:t>
            </w:r>
          </w:p>
        </w:tc>
        <w:tc>
          <w:tcPr>
            <w:tcW w:w="855" w:type="dxa"/>
            <w:vAlign w:val="top"/>
          </w:tcPr>
          <w:p w14:paraId="1ECC1454">
            <w:pPr>
              <w:pStyle w:val="6"/>
              <w:spacing w:before="108" w:line="195" w:lineRule="auto"/>
              <w:ind w:left="249"/>
              <w:rPr>
                <w:sz w:val="20"/>
                <w:szCs w:val="20"/>
              </w:rPr>
            </w:pPr>
            <w:r>
              <w:rPr>
                <w:spacing w:val="2"/>
                <w:sz w:val="20"/>
                <w:szCs w:val="20"/>
              </w:rPr>
              <w:t>0.84</w:t>
            </w:r>
          </w:p>
        </w:tc>
        <w:tc>
          <w:tcPr>
            <w:tcW w:w="689" w:type="dxa"/>
            <w:tcBorders>
              <w:right w:val="nil"/>
            </w:tcBorders>
            <w:vAlign w:val="top"/>
          </w:tcPr>
          <w:p w14:paraId="1F57BF38">
            <w:pPr>
              <w:pStyle w:val="6"/>
              <w:spacing w:before="108" w:line="195" w:lineRule="auto"/>
              <w:ind w:left="297"/>
              <w:rPr>
                <w:sz w:val="20"/>
                <w:szCs w:val="20"/>
              </w:rPr>
            </w:pPr>
            <w:r>
              <w:rPr>
                <w:sz w:val="20"/>
                <w:szCs w:val="20"/>
              </w:rPr>
              <w:t>0</w:t>
            </w:r>
          </w:p>
        </w:tc>
      </w:tr>
      <w:tr w14:paraId="2B9E23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3" w:type="dxa"/>
            <w:vMerge w:val="restart"/>
            <w:tcBorders>
              <w:left w:val="nil"/>
              <w:bottom w:val="nil"/>
            </w:tcBorders>
            <w:vAlign w:val="top"/>
          </w:tcPr>
          <w:p w14:paraId="09FC9C95">
            <w:pPr>
              <w:pStyle w:val="6"/>
              <w:spacing w:before="269" w:line="195" w:lineRule="auto"/>
              <w:ind w:left="221"/>
              <w:rPr>
                <w:sz w:val="20"/>
                <w:szCs w:val="20"/>
              </w:rPr>
            </w:pPr>
            <w:r>
              <w:rPr>
                <w:sz w:val="20"/>
                <w:szCs w:val="20"/>
              </w:rPr>
              <w:t>9</w:t>
            </w:r>
          </w:p>
        </w:tc>
        <w:tc>
          <w:tcPr>
            <w:tcW w:w="1042" w:type="dxa"/>
            <w:vMerge w:val="restart"/>
            <w:tcBorders>
              <w:bottom w:val="nil"/>
            </w:tcBorders>
            <w:vAlign w:val="top"/>
          </w:tcPr>
          <w:p w14:paraId="1E85F2C8">
            <w:pPr>
              <w:pStyle w:val="6"/>
              <w:spacing w:before="74" w:line="255" w:lineRule="auto"/>
              <w:ind w:left="322" w:right="168" w:hanging="134"/>
              <w:rPr>
                <w:rFonts w:ascii="仿宋" w:hAnsi="仿宋" w:eastAsia="仿宋" w:cs="仿宋"/>
                <w:sz w:val="20"/>
                <w:szCs w:val="20"/>
              </w:rPr>
            </w:pPr>
            <w:r>
              <w:rPr>
                <w:rFonts w:ascii="仿宋" w:hAnsi="仿宋" w:eastAsia="仿宋" w:cs="仿宋"/>
                <w:spacing w:val="3"/>
                <w:sz w:val="20"/>
                <w:szCs w:val="20"/>
              </w:rPr>
              <w:t>二道壕</w:t>
            </w:r>
            <w:r>
              <w:rPr>
                <w:spacing w:val="3"/>
                <w:sz w:val="20"/>
                <w:szCs w:val="20"/>
              </w:rPr>
              <w:t>-</w:t>
            </w:r>
            <w:r>
              <w:rPr>
                <w:rFonts w:ascii="仿宋" w:hAnsi="仿宋" w:eastAsia="仿宋" w:cs="仿宋"/>
                <w:spacing w:val="2"/>
                <w:sz w:val="20"/>
                <w:szCs w:val="20"/>
              </w:rPr>
              <w:t>散户</w:t>
            </w:r>
          </w:p>
        </w:tc>
        <w:tc>
          <w:tcPr>
            <w:tcW w:w="750" w:type="dxa"/>
            <w:vAlign w:val="top"/>
          </w:tcPr>
          <w:p w14:paraId="314405CE">
            <w:pPr>
              <w:spacing w:before="70" w:line="217" w:lineRule="auto"/>
              <w:ind w:left="176"/>
              <w:rPr>
                <w:rFonts w:ascii="仿宋" w:hAnsi="仿宋" w:eastAsia="仿宋" w:cs="仿宋"/>
                <w:sz w:val="20"/>
                <w:szCs w:val="20"/>
              </w:rPr>
            </w:pPr>
            <w:r>
              <w:rPr>
                <w:rFonts w:ascii="仿宋" w:hAnsi="仿宋" w:eastAsia="仿宋" w:cs="仿宋"/>
                <w:spacing w:val="2"/>
                <w:sz w:val="20"/>
                <w:szCs w:val="20"/>
              </w:rPr>
              <w:t>昼间</w:t>
            </w:r>
          </w:p>
        </w:tc>
        <w:tc>
          <w:tcPr>
            <w:tcW w:w="750" w:type="dxa"/>
            <w:vAlign w:val="top"/>
          </w:tcPr>
          <w:p w14:paraId="5AF98561">
            <w:pPr>
              <w:pStyle w:val="6"/>
              <w:spacing w:before="111" w:line="192" w:lineRule="auto"/>
              <w:ind w:left="276"/>
              <w:rPr>
                <w:sz w:val="20"/>
                <w:szCs w:val="20"/>
              </w:rPr>
            </w:pPr>
            <w:r>
              <w:rPr>
                <w:sz w:val="20"/>
                <w:szCs w:val="20"/>
              </w:rPr>
              <w:t>55</w:t>
            </w:r>
          </w:p>
        </w:tc>
        <w:tc>
          <w:tcPr>
            <w:tcW w:w="660" w:type="dxa"/>
            <w:vAlign w:val="top"/>
          </w:tcPr>
          <w:p w14:paraId="2B7F2086">
            <w:pPr>
              <w:pStyle w:val="6"/>
              <w:spacing w:before="108" w:line="195" w:lineRule="auto"/>
              <w:ind w:left="153"/>
              <w:rPr>
                <w:sz w:val="20"/>
                <w:szCs w:val="20"/>
              </w:rPr>
            </w:pPr>
            <w:r>
              <w:rPr>
                <w:spacing w:val="2"/>
                <w:sz w:val="20"/>
                <w:szCs w:val="20"/>
              </w:rPr>
              <w:t>52.5</w:t>
            </w:r>
          </w:p>
        </w:tc>
        <w:tc>
          <w:tcPr>
            <w:tcW w:w="1005" w:type="dxa"/>
            <w:vAlign w:val="top"/>
          </w:tcPr>
          <w:p w14:paraId="2925CE53">
            <w:pPr>
              <w:pStyle w:val="6"/>
              <w:spacing w:before="108" w:line="195" w:lineRule="auto"/>
              <w:ind w:left="267"/>
              <w:rPr>
                <w:sz w:val="20"/>
                <w:szCs w:val="20"/>
              </w:rPr>
            </w:pPr>
            <w:r>
              <w:rPr>
                <w:spacing w:val="3"/>
                <w:sz w:val="20"/>
                <w:szCs w:val="20"/>
              </w:rPr>
              <w:t>28.02</w:t>
            </w:r>
          </w:p>
        </w:tc>
        <w:tc>
          <w:tcPr>
            <w:tcW w:w="900" w:type="dxa"/>
            <w:vAlign w:val="top"/>
          </w:tcPr>
          <w:p w14:paraId="11432EF4">
            <w:pPr>
              <w:pStyle w:val="6"/>
              <w:spacing w:before="108" w:line="195" w:lineRule="auto"/>
              <w:ind w:left="221"/>
              <w:rPr>
                <w:sz w:val="20"/>
                <w:szCs w:val="20"/>
              </w:rPr>
            </w:pPr>
            <w:r>
              <w:rPr>
                <w:spacing w:val="2"/>
                <w:sz w:val="20"/>
                <w:szCs w:val="20"/>
              </w:rPr>
              <w:t>52.52</w:t>
            </w:r>
          </w:p>
        </w:tc>
        <w:tc>
          <w:tcPr>
            <w:tcW w:w="1094" w:type="dxa"/>
            <w:vAlign w:val="top"/>
          </w:tcPr>
          <w:p w14:paraId="2E4AE8FF">
            <w:pPr>
              <w:pStyle w:val="6"/>
              <w:spacing w:before="108" w:line="195" w:lineRule="auto"/>
              <w:ind w:left="367"/>
              <w:rPr>
                <w:sz w:val="20"/>
                <w:szCs w:val="20"/>
              </w:rPr>
            </w:pPr>
            <w:r>
              <w:rPr>
                <w:spacing w:val="2"/>
                <w:sz w:val="20"/>
                <w:szCs w:val="20"/>
              </w:rPr>
              <w:t>0.02</w:t>
            </w:r>
          </w:p>
        </w:tc>
        <w:tc>
          <w:tcPr>
            <w:tcW w:w="765" w:type="dxa"/>
            <w:vAlign w:val="top"/>
          </w:tcPr>
          <w:p w14:paraId="42B80E9E">
            <w:pPr>
              <w:pStyle w:val="6"/>
              <w:spacing w:before="108" w:line="195" w:lineRule="auto"/>
              <w:ind w:left="336"/>
              <w:rPr>
                <w:sz w:val="20"/>
                <w:szCs w:val="20"/>
              </w:rPr>
            </w:pPr>
            <w:r>
              <w:rPr>
                <w:sz w:val="20"/>
                <w:szCs w:val="20"/>
              </w:rPr>
              <w:t>0</w:t>
            </w:r>
          </w:p>
        </w:tc>
        <w:tc>
          <w:tcPr>
            <w:tcW w:w="870" w:type="dxa"/>
            <w:vAlign w:val="top"/>
          </w:tcPr>
          <w:p w14:paraId="0C346E04">
            <w:pPr>
              <w:pStyle w:val="6"/>
              <w:spacing w:before="108" w:line="195" w:lineRule="auto"/>
              <w:ind w:left="203"/>
              <w:rPr>
                <w:sz w:val="20"/>
                <w:szCs w:val="20"/>
              </w:rPr>
            </w:pPr>
            <w:r>
              <w:rPr>
                <w:spacing w:val="3"/>
                <w:sz w:val="20"/>
                <w:szCs w:val="20"/>
              </w:rPr>
              <w:t>30.29</w:t>
            </w:r>
          </w:p>
        </w:tc>
        <w:tc>
          <w:tcPr>
            <w:tcW w:w="870" w:type="dxa"/>
            <w:vAlign w:val="top"/>
          </w:tcPr>
          <w:p w14:paraId="4E76B8C0">
            <w:pPr>
              <w:pStyle w:val="6"/>
              <w:spacing w:before="108" w:line="195" w:lineRule="auto"/>
              <w:ind w:left="206"/>
              <w:rPr>
                <w:sz w:val="20"/>
                <w:szCs w:val="20"/>
              </w:rPr>
            </w:pPr>
            <w:r>
              <w:rPr>
                <w:spacing w:val="2"/>
                <w:sz w:val="20"/>
                <w:szCs w:val="20"/>
              </w:rPr>
              <w:t>52.53</w:t>
            </w:r>
          </w:p>
        </w:tc>
        <w:tc>
          <w:tcPr>
            <w:tcW w:w="855" w:type="dxa"/>
            <w:vAlign w:val="top"/>
          </w:tcPr>
          <w:p w14:paraId="7AD40A57">
            <w:pPr>
              <w:pStyle w:val="6"/>
              <w:spacing w:before="108" w:line="195" w:lineRule="auto"/>
              <w:ind w:left="248"/>
              <w:rPr>
                <w:sz w:val="20"/>
                <w:szCs w:val="20"/>
              </w:rPr>
            </w:pPr>
            <w:r>
              <w:rPr>
                <w:spacing w:val="2"/>
                <w:sz w:val="20"/>
                <w:szCs w:val="20"/>
              </w:rPr>
              <w:t>0.03</w:t>
            </w:r>
          </w:p>
        </w:tc>
        <w:tc>
          <w:tcPr>
            <w:tcW w:w="690" w:type="dxa"/>
            <w:vAlign w:val="top"/>
          </w:tcPr>
          <w:p w14:paraId="1166779C">
            <w:pPr>
              <w:pStyle w:val="6"/>
              <w:spacing w:before="108" w:line="195" w:lineRule="auto"/>
              <w:ind w:left="298"/>
              <w:rPr>
                <w:sz w:val="20"/>
                <w:szCs w:val="20"/>
              </w:rPr>
            </w:pPr>
            <w:r>
              <w:rPr>
                <w:sz w:val="20"/>
                <w:szCs w:val="20"/>
              </w:rPr>
              <w:t>0</w:t>
            </w:r>
          </w:p>
        </w:tc>
        <w:tc>
          <w:tcPr>
            <w:tcW w:w="915" w:type="dxa"/>
            <w:vAlign w:val="top"/>
          </w:tcPr>
          <w:p w14:paraId="4298CF35">
            <w:pPr>
              <w:pStyle w:val="6"/>
              <w:spacing w:before="108" w:line="195" w:lineRule="auto"/>
              <w:ind w:left="228"/>
              <w:rPr>
                <w:sz w:val="20"/>
                <w:szCs w:val="20"/>
              </w:rPr>
            </w:pPr>
            <w:r>
              <w:rPr>
                <w:spacing w:val="2"/>
                <w:sz w:val="20"/>
                <w:szCs w:val="20"/>
              </w:rPr>
              <w:t>30.52</w:t>
            </w:r>
          </w:p>
        </w:tc>
        <w:tc>
          <w:tcPr>
            <w:tcW w:w="930" w:type="dxa"/>
            <w:vAlign w:val="top"/>
          </w:tcPr>
          <w:p w14:paraId="35AE6E21">
            <w:pPr>
              <w:pStyle w:val="6"/>
              <w:spacing w:before="108" w:line="195" w:lineRule="auto"/>
              <w:ind w:left="236"/>
              <w:rPr>
                <w:sz w:val="20"/>
                <w:szCs w:val="20"/>
              </w:rPr>
            </w:pPr>
            <w:r>
              <w:rPr>
                <w:spacing w:val="2"/>
                <w:sz w:val="20"/>
                <w:szCs w:val="20"/>
              </w:rPr>
              <w:t>52.53</w:t>
            </w:r>
          </w:p>
        </w:tc>
        <w:tc>
          <w:tcPr>
            <w:tcW w:w="855" w:type="dxa"/>
            <w:vAlign w:val="top"/>
          </w:tcPr>
          <w:p w14:paraId="1AE0CD7E">
            <w:pPr>
              <w:pStyle w:val="6"/>
              <w:spacing w:before="108" w:line="195" w:lineRule="auto"/>
              <w:ind w:left="249"/>
              <w:rPr>
                <w:sz w:val="20"/>
                <w:szCs w:val="20"/>
              </w:rPr>
            </w:pPr>
            <w:r>
              <w:rPr>
                <w:spacing w:val="2"/>
                <w:sz w:val="20"/>
                <w:szCs w:val="20"/>
              </w:rPr>
              <w:t>0.03</w:t>
            </w:r>
          </w:p>
        </w:tc>
        <w:tc>
          <w:tcPr>
            <w:tcW w:w="689" w:type="dxa"/>
            <w:tcBorders>
              <w:right w:val="nil"/>
            </w:tcBorders>
            <w:vAlign w:val="top"/>
          </w:tcPr>
          <w:p w14:paraId="4E87DA9A">
            <w:pPr>
              <w:pStyle w:val="6"/>
              <w:spacing w:before="108" w:line="195" w:lineRule="auto"/>
              <w:ind w:left="297"/>
              <w:rPr>
                <w:sz w:val="20"/>
                <w:szCs w:val="20"/>
              </w:rPr>
            </w:pPr>
            <w:r>
              <w:rPr>
                <w:sz w:val="20"/>
                <w:szCs w:val="20"/>
              </w:rPr>
              <w:t>0</w:t>
            </w:r>
          </w:p>
        </w:tc>
      </w:tr>
      <w:tr w14:paraId="6C2CD8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3" w:type="dxa"/>
            <w:vMerge w:val="continue"/>
            <w:tcBorders>
              <w:top w:val="nil"/>
              <w:left w:val="nil"/>
            </w:tcBorders>
            <w:vAlign w:val="top"/>
          </w:tcPr>
          <w:p w14:paraId="5AD3ABE3">
            <w:pPr>
              <w:rPr>
                <w:rFonts w:ascii="Arial"/>
                <w:sz w:val="21"/>
              </w:rPr>
            </w:pPr>
          </w:p>
        </w:tc>
        <w:tc>
          <w:tcPr>
            <w:tcW w:w="1042" w:type="dxa"/>
            <w:vMerge w:val="continue"/>
            <w:tcBorders>
              <w:top w:val="nil"/>
            </w:tcBorders>
            <w:vAlign w:val="top"/>
          </w:tcPr>
          <w:p w14:paraId="7CCF52BE">
            <w:pPr>
              <w:rPr>
                <w:rFonts w:ascii="Arial"/>
                <w:sz w:val="21"/>
              </w:rPr>
            </w:pPr>
          </w:p>
        </w:tc>
        <w:tc>
          <w:tcPr>
            <w:tcW w:w="750" w:type="dxa"/>
            <w:vAlign w:val="top"/>
          </w:tcPr>
          <w:p w14:paraId="2441769D">
            <w:pPr>
              <w:spacing w:before="70" w:line="217" w:lineRule="auto"/>
              <w:ind w:left="176"/>
              <w:rPr>
                <w:rFonts w:ascii="仿宋" w:hAnsi="仿宋" w:eastAsia="仿宋" w:cs="仿宋"/>
                <w:sz w:val="20"/>
                <w:szCs w:val="20"/>
              </w:rPr>
            </w:pPr>
            <w:r>
              <w:rPr>
                <w:rFonts w:ascii="仿宋" w:hAnsi="仿宋" w:eastAsia="仿宋" w:cs="仿宋"/>
                <w:spacing w:val="2"/>
                <w:sz w:val="20"/>
                <w:szCs w:val="20"/>
              </w:rPr>
              <w:t>夜间</w:t>
            </w:r>
          </w:p>
        </w:tc>
        <w:tc>
          <w:tcPr>
            <w:tcW w:w="750" w:type="dxa"/>
            <w:vAlign w:val="top"/>
          </w:tcPr>
          <w:p w14:paraId="143D92DC">
            <w:pPr>
              <w:pStyle w:val="6"/>
              <w:spacing w:before="109" w:line="195" w:lineRule="auto"/>
              <w:ind w:left="270"/>
              <w:rPr>
                <w:sz w:val="20"/>
                <w:szCs w:val="20"/>
              </w:rPr>
            </w:pPr>
            <w:r>
              <w:rPr>
                <w:spacing w:val="3"/>
                <w:sz w:val="20"/>
                <w:szCs w:val="20"/>
              </w:rPr>
              <w:t>45</w:t>
            </w:r>
          </w:p>
        </w:tc>
        <w:tc>
          <w:tcPr>
            <w:tcW w:w="660" w:type="dxa"/>
            <w:vAlign w:val="top"/>
          </w:tcPr>
          <w:p w14:paraId="32519956">
            <w:pPr>
              <w:pStyle w:val="6"/>
              <w:spacing w:before="109" w:line="195" w:lineRule="auto"/>
              <w:ind w:left="231"/>
              <w:rPr>
                <w:sz w:val="20"/>
                <w:szCs w:val="20"/>
              </w:rPr>
            </w:pPr>
            <w:r>
              <w:rPr>
                <w:sz w:val="20"/>
                <w:szCs w:val="20"/>
              </w:rPr>
              <w:t>38</w:t>
            </w:r>
          </w:p>
        </w:tc>
        <w:tc>
          <w:tcPr>
            <w:tcW w:w="1005" w:type="dxa"/>
            <w:vAlign w:val="top"/>
          </w:tcPr>
          <w:p w14:paraId="46274EB3">
            <w:pPr>
              <w:pStyle w:val="6"/>
              <w:spacing w:before="109" w:line="195" w:lineRule="auto"/>
              <w:ind w:left="267"/>
              <w:rPr>
                <w:sz w:val="20"/>
                <w:szCs w:val="20"/>
              </w:rPr>
            </w:pPr>
            <w:r>
              <w:rPr>
                <w:spacing w:val="3"/>
                <w:sz w:val="20"/>
                <w:szCs w:val="20"/>
              </w:rPr>
              <w:t>26.92</w:t>
            </w:r>
          </w:p>
        </w:tc>
        <w:tc>
          <w:tcPr>
            <w:tcW w:w="900" w:type="dxa"/>
            <w:vAlign w:val="top"/>
          </w:tcPr>
          <w:p w14:paraId="1E8F0109">
            <w:pPr>
              <w:pStyle w:val="6"/>
              <w:spacing w:before="109" w:line="195" w:lineRule="auto"/>
              <w:ind w:left="219"/>
              <w:rPr>
                <w:sz w:val="20"/>
                <w:szCs w:val="20"/>
              </w:rPr>
            </w:pPr>
            <w:r>
              <w:rPr>
                <w:spacing w:val="2"/>
                <w:sz w:val="20"/>
                <w:szCs w:val="20"/>
              </w:rPr>
              <w:t>38.33</w:t>
            </w:r>
          </w:p>
        </w:tc>
        <w:tc>
          <w:tcPr>
            <w:tcW w:w="1094" w:type="dxa"/>
            <w:vAlign w:val="top"/>
          </w:tcPr>
          <w:p w14:paraId="3CBCA927">
            <w:pPr>
              <w:pStyle w:val="6"/>
              <w:spacing w:before="109" w:line="195" w:lineRule="auto"/>
              <w:ind w:left="367"/>
              <w:rPr>
                <w:sz w:val="20"/>
                <w:szCs w:val="20"/>
              </w:rPr>
            </w:pPr>
            <w:r>
              <w:rPr>
                <w:spacing w:val="2"/>
                <w:sz w:val="20"/>
                <w:szCs w:val="20"/>
              </w:rPr>
              <w:t>0.33</w:t>
            </w:r>
          </w:p>
        </w:tc>
        <w:tc>
          <w:tcPr>
            <w:tcW w:w="765" w:type="dxa"/>
            <w:vAlign w:val="top"/>
          </w:tcPr>
          <w:p w14:paraId="0E603235">
            <w:pPr>
              <w:pStyle w:val="6"/>
              <w:spacing w:before="109" w:line="195" w:lineRule="auto"/>
              <w:ind w:left="336"/>
              <w:rPr>
                <w:sz w:val="20"/>
                <w:szCs w:val="20"/>
              </w:rPr>
            </w:pPr>
            <w:r>
              <w:rPr>
                <w:sz w:val="20"/>
                <w:szCs w:val="20"/>
              </w:rPr>
              <w:t>0</w:t>
            </w:r>
          </w:p>
        </w:tc>
        <w:tc>
          <w:tcPr>
            <w:tcW w:w="870" w:type="dxa"/>
            <w:vAlign w:val="top"/>
          </w:tcPr>
          <w:p w14:paraId="0FD8E0BB">
            <w:pPr>
              <w:pStyle w:val="6"/>
              <w:spacing w:before="109" w:line="195" w:lineRule="auto"/>
              <w:ind w:left="199"/>
              <w:rPr>
                <w:sz w:val="20"/>
                <w:szCs w:val="20"/>
              </w:rPr>
            </w:pPr>
            <w:r>
              <w:rPr>
                <w:spacing w:val="3"/>
                <w:sz w:val="20"/>
                <w:szCs w:val="20"/>
              </w:rPr>
              <w:t>27.39</w:t>
            </w:r>
          </w:p>
        </w:tc>
        <w:tc>
          <w:tcPr>
            <w:tcW w:w="870" w:type="dxa"/>
            <w:vAlign w:val="top"/>
          </w:tcPr>
          <w:p w14:paraId="44FE2AD6">
            <w:pPr>
              <w:pStyle w:val="6"/>
              <w:spacing w:before="109" w:line="195" w:lineRule="auto"/>
              <w:ind w:left="205"/>
              <w:rPr>
                <w:sz w:val="20"/>
                <w:szCs w:val="20"/>
              </w:rPr>
            </w:pPr>
            <w:r>
              <w:rPr>
                <w:spacing w:val="3"/>
                <w:sz w:val="20"/>
                <w:szCs w:val="20"/>
              </w:rPr>
              <w:t>38.36</w:t>
            </w:r>
          </w:p>
        </w:tc>
        <w:tc>
          <w:tcPr>
            <w:tcW w:w="855" w:type="dxa"/>
            <w:vAlign w:val="top"/>
          </w:tcPr>
          <w:p w14:paraId="7FB94361">
            <w:pPr>
              <w:pStyle w:val="6"/>
              <w:spacing w:before="109" w:line="195" w:lineRule="auto"/>
              <w:ind w:left="248"/>
              <w:rPr>
                <w:sz w:val="20"/>
                <w:szCs w:val="20"/>
              </w:rPr>
            </w:pPr>
            <w:r>
              <w:rPr>
                <w:spacing w:val="2"/>
                <w:sz w:val="20"/>
                <w:szCs w:val="20"/>
              </w:rPr>
              <w:t>0.36</w:t>
            </w:r>
          </w:p>
        </w:tc>
        <w:tc>
          <w:tcPr>
            <w:tcW w:w="690" w:type="dxa"/>
            <w:vAlign w:val="top"/>
          </w:tcPr>
          <w:p w14:paraId="5521EA72">
            <w:pPr>
              <w:pStyle w:val="6"/>
              <w:spacing w:before="109" w:line="195" w:lineRule="auto"/>
              <w:ind w:left="298"/>
              <w:rPr>
                <w:sz w:val="20"/>
                <w:szCs w:val="20"/>
              </w:rPr>
            </w:pPr>
            <w:r>
              <w:rPr>
                <w:sz w:val="20"/>
                <w:szCs w:val="20"/>
              </w:rPr>
              <w:t>0</w:t>
            </w:r>
          </w:p>
        </w:tc>
        <w:tc>
          <w:tcPr>
            <w:tcW w:w="915" w:type="dxa"/>
            <w:vAlign w:val="top"/>
          </w:tcPr>
          <w:p w14:paraId="6F03343E">
            <w:pPr>
              <w:pStyle w:val="6"/>
              <w:spacing w:before="109" w:line="195" w:lineRule="auto"/>
              <w:ind w:left="224"/>
              <w:rPr>
                <w:sz w:val="20"/>
                <w:szCs w:val="20"/>
              </w:rPr>
            </w:pPr>
            <w:r>
              <w:rPr>
                <w:spacing w:val="3"/>
                <w:sz w:val="20"/>
                <w:szCs w:val="20"/>
              </w:rPr>
              <w:t>27.39</w:t>
            </w:r>
          </w:p>
        </w:tc>
        <w:tc>
          <w:tcPr>
            <w:tcW w:w="930" w:type="dxa"/>
            <w:vAlign w:val="top"/>
          </w:tcPr>
          <w:p w14:paraId="0F97C9BC">
            <w:pPr>
              <w:pStyle w:val="6"/>
              <w:spacing w:before="109" w:line="195" w:lineRule="auto"/>
              <w:ind w:left="235"/>
              <w:rPr>
                <w:sz w:val="20"/>
                <w:szCs w:val="20"/>
              </w:rPr>
            </w:pPr>
            <w:r>
              <w:rPr>
                <w:spacing w:val="3"/>
                <w:sz w:val="20"/>
                <w:szCs w:val="20"/>
              </w:rPr>
              <w:t>38.36</w:t>
            </w:r>
          </w:p>
        </w:tc>
        <w:tc>
          <w:tcPr>
            <w:tcW w:w="855" w:type="dxa"/>
            <w:vAlign w:val="top"/>
          </w:tcPr>
          <w:p w14:paraId="1196E9BA">
            <w:pPr>
              <w:pStyle w:val="6"/>
              <w:spacing w:before="109" w:line="195" w:lineRule="auto"/>
              <w:ind w:left="249"/>
              <w:rPr>
                <w:sz w:val="20"/>
                <w:szCs w:val="20"/>
              </w:rPr>
            </w:pPr>
            <w:r>
              <w:rPr>
                <w:spacing w:val="2"/>
                <w:sz w:val="20"/>
                <w:szCs w:val="20"/>
              </w:rPr>
              <w:t>0.36</w:t>
            </w:r>
          </w:p>
        </w:tc>
        <w:tc>
          <w:tcPr>
            <w:tcW w:w="689" w:type="dxa"/>
            <w:tcBorders>
              <w:right w:val="nil"/>
            </w:tcBorders>
            <w:vAlign w:val="top"/>
          </w:tcPr>
          <w:p w14:paraId="0FBE595E">
            <w:pPr>
              <w:pStyle w:val="6"/>
              <w:spacing w:before="109" w:line="195" w:lineRule="auto"/>
              <w:ind w:left="297"/>
              <w:rPr>
                <w:sz w:val="20"/>
                <w:szCs w:val="20"/>
              </w:rPr>
            </w:pPr>
            <w:r>
              <w:rPr>
                <w:sz w:val="20"/>
                <w:szCs w:val="20"/>
              </w:rPr>
              <w:t>0</w:t>
            </w:r>
          </w:p>
        </w:tc>
      </w:tr>
      <w:tr w14:paraId="2169A0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3" w:type="dxa"/>
            <w:vMerge w:val="restart"/>
            <w:tcBorders>
              <w:left w:val="nil"/>
              <w:bottom w:val="nil"/>
            </w:tcBorders>
            <w:vAlign w:val="top"/>
          </w:tcPr>
          <w:p w14:paraId="192E195C">
            <w:pPr>
              <w:pStyle w:val="6"/>
              <w:spacing w:before="270" w:line="195" w:lineRule="auto"/>
              <w:ind w:left="185"/>
              <w:rPr>
                <w:sz w:val="20"/>
                <w:szCs w:val="20"/>
              </w:rPr>
            </w:pPr>
            <w:r>
              <w:rPr>
                <w:spacing w:val="-8"/>
                <w:sz w:val="20"/>
                <w:szCs w:val="20"/>
              </w:rPr>
              <w:t>10</w:t>
            </w:r>
          </w:p>
        </w:tc>
        <w:tc>
          <w:tcPr>
            <w:tcW w:w="1042" w:type="dxa"/>
            <w:vMerge w:val="restart"/>
            <w:tcBorders>
              <w:bottom w:val="nil"/>
            </w:tcBorders>
            <w:vAlign w:val="top"/>
          </w:tcPr>
          <w:p w14:paraId="4D8B6DE6">
            <w:pPr>
              <w:pStyle w:val="6"/>
              <w:spacing w:before="78" w:line="253" w:lineRule="auto"/>
              <w:ind w:left="322" w:right="168" w:hanging="135"/>
              <w:rPr>
                <w:rFonts w:ascii="仿宋" w:hAnsi="仿宋" w:eastAsia="仿宋" w:cs="仿宋"/>
                <w:sz w:val="20"/>
                <w:szCs w:val="20"/>
              </w:rPr>
            </w:pPr>
            <w:r>
              <w:rPr>
                <w:rFonts w:ascii="仿宋" w:hAnsi="仿宋" w:eastAsia="仿宋" w:cs="仿宋"/>
                <w:spacing w:val="3"/>
                <w:sz w:val="20"/>
                <w:szCs w:val="20"/>
              </w:rPr>
              <w:t>三道壕</w:t>
            </w:r>
            <w:r>
              <w:rPr>
                <w:spacing w:val="3"/>
                <w:sz w:val="20"/>
                <w:szCs w:val="20"/>
              </w:rPr>
              <w:t>-</w:t>
            </w:r>
            <w:r>
              <w:rPr>
                <w:rFonts w:ascii="仿宋" w:hAnsi="仿宋" w:eastAsia="仿宋" w:cs="仿宋"/>
                <w:spacing w:val="2"/>
                <w:sz w:val="20"/>
                <w:szCs w:val="20"/>
              </w:rPr>
              <w:t>散户</w:t>
            </w:r>
          </w:p>
        </w:tc>
        <w:tc>
          <w:tcPr>
            <w:tcW w:w="750" w:type="dxa"/>
            <w:vAlign w:val="top"/>
          </w:tcPr>
          <w:p w14:paraId="363DE56F">
            <w:pPr>
              <w:spacing w:before="74" w:line="214" w:lineRule="auto"/>
              <w:ind w:left="176"/>
              <w:rPr>
                <w:rFonts w:ascii="仿宋" w:hAnsi="仿宋" w:eastAsia="仿宋" w:cs="仿宋"/>
                <w:sz w:val="20"/>
                <w:szCs w:val="20"/>
              </w:rPr>
            </w:pPr>
            <w:r>
              <w:rPr>
                <w:rFonts w:ascii="仿宋" w:hAnsi="仿宋" w:eastAsia="仿宋" w:cs="仿宋"/>
                <w:spacing w:val="2"/>
                <w:sz w:val="20"/>
                <w:szCs w:val="20"/>
              </w:rPr>
              <w:t>昼间</w:t>
            </w:r>
          </w:p>
        </w:tc>
        <w:tc>
          <w:tcPr>
            <w:tcW w:w="750" w:type="dxa"/>
            <w:vAlign w:val="top"/>
          </w:tcPr>
          <w:p w14:paraId="31380870">
            <w:pPr>
              <w:pStyle w:val="6"/>
              <w:spacing w:before="113" w:line="192" w:lineRule="auto"/>
              <w:ind w:left="276"/>
              <w:rPr>
                <w:sz w:val="20"/>
                <w:szCs w:val="20"/>
              </w:rPr>
            </w:pPr>
            <w:r>
              <w:rPr>
                <w:sz w:val="20"/>
                <w:szCs w:val="20"/>
              </w:rPr>
              <w:t>55</w:t>
            </w:r>
          </w:p>
        </w:tc>
        <w:tc>
          <w:tcPr>
            <w:tcW w:w="660" w:type="dxa"/>
            <w:vAlign w:val="top"/>
          </w:tcPr>
          <w:p w14:paraId="096ADA27">
            <w:pPr>
              <w:pStyle w:val="6"/>
              <w:spacing w:before="110" w:line="195" w:lineRule="auto"/>
              <w:ind w:left="153"/>
              <w:rPr>
                <w:sz w:val="20"/>
                <w:szCs w:val="20"/>
              </w:rPr>
            </w:pPr>
            <w:r>
              <w:rPr>
                <w:spacing w:val="2"/>
                <w:sz w:val="20"/>
                <w:szCs w:val="20"/>
              </w:rPr>
              <w:t>50.5</w:t>
            </w:r>
          </w:p>
        </w:tc>
        <w:tc>
          <w:tcPr>
            <w:tcW w:w="1005" w:type="dxa"/>
            <w:vAlign w:val="top"/>
          </w:tcPr>
          <w:p w14:paraId="02AD8AB8">
            <w:pPr>
              <w:pStyle w:val="6"/>
              <w:spacing w:before="110" w:line="195" w:lineRule="auto"/>
              <w:ind w:left="271"/>
              <w:rPr>
                <w:sz w:val="20"/>
                <w:szCs w:val="20"/>
              </w:rPr>
            </w:pPr>
            <w:r>
              <w:rPr>
                <w:spacing w:val="3"/>
                <w:sz w:val="20"/>
                <w:szCs w:val="20"/>
              </w:rPr>
              <w:t>35.28</w:t>
            </w:r>
          </w:p>
        </w:tc>
        <w:tc>
          <w:tcPr>
            <w:tcW w:w="900" w:type="dxa"/>
            <w:vAlign w:val="top"/>
          </w:tcPr>
          <w:p w14:paraId="7358E37F">
            <w:pPr>
              <w:pStyle w:val="6"/>
              <w:spacing w:before="110" w:line="195" w:lineRule="auto"/>
              <w:ind w:left="221"/>
              <w:rPr>
                <w:sz w:val="20"/>
                <w:szCs w:val="20"/>
              </w:rPr>
            </w:pPr>
            <w:r>
              <w:rPr>
                <w:spacing w:val="2"/>
                <w:sz w:val="20"/>
                <w:szCs w:val="20"/>
              </w:rPr>
              <w:t>50.63</w:t>
            </w:r>
          </w:p>
        </w:tc>
        <w:tc>
          <w:tcPr>
            <w:tcW w:w="1094" w:type="dxa"/>
            <w:vAlign w:val="top"/>
          </w:tcPr>
          <w:p w14:paraId="3C2CEDCC">
            <w:pPr>
              <w:pStyle w:val="6"/>
              <w:spacing w:before="110" w:line="195" w:lineRule="auto"/>
              <w:ind w:left="367"/>
              <w:rPr>
                <w:sz w:val="20"/>
                <w:szCs w:val="20"/>
              </w:rPr>
            </w:pPr>
            <w:r>
              <w:rPr>
                <w:spacing w:val="2"/>
                <w:sz w:val="20"/>
                <w:szCs w:val="20"/>
              </w:rPr>
              <w:t>0.13</w:t>
            </w:r>
          </w:p>
        </w:tc>
        <w:tc>
          <w:tcPr>
            <w:tcW w:w="765" w:type="dxa"/>
            <w:vAlign w:val="top"/>
          </w:tcPr>
          <w:p w14:paraId="6021B60F">
            <w:pPr>
              <w:pStyle w:val="6"/>
              <w:spacing w:before="110" w:line="195" w:lineRule="auto"/>
              <w:ind w:left="336"/>
              <w:rPr>
                <w:sz w:val="20"/>
                <w:szCs w:val="20"/>
              </w:rPr>
            </w:pPr>
            <w:r>
              <w:rPr>
                <w:sz w:val="20"/>
                <w:szCs w:val="20"/>
              </w:rPr>
              <w:t>0</w:t>
            </w:r>
          </w:p>
        </w:tc>
        <w:tc>
          <w:tcPr>
            <w:tcW w:w="870" w:type="dxa"/>
            <w:vAlign w:val="top"/>
          </w:tcPr>
          <w:p w14:paraId="3B1E885F">
            <w:pPr>
              <w:pStyle w:val="6"/>
              <w:spacing w:before="110" w:line="195" w:lineRule="auto"/>
              <w:ind w:left="203"/>
              <w:rPr>
                <w:sz w:val="20"/>
                <w:szCs w:val="20"/>
              </w:rPr>
            </w:pPr>
            <w:r>
              <w:rPr>
                <w:spacing w:val="3"/>
                <w:sz w:val="20"/>
                <w:szCs w:val="20"/>
              </w:rPr>
              <w:t>37.55</w:t>
            </w:r>
          </w:p>
        </w:tc>
        <w:tc>
          <w:tcPr>
            <w:tcW w:w="870" w:type="dxa"/>
            <w:vAlign w:val="top"/>
          </w:tcPr>
          <w:p w14:paraId="1B28FF24">
            <w:pPr>
              <w:pStyle w:val="6"/>
              <w:spacing w:before="110" w:line="195" w:lineRule="auto"/>
              <w:ind w:left="206"/>
              <w:rPr>
                <w:sz w:val="20"/>
                <w:szCs w:val="20"/>
              </w:rPr>
            </w:pPr>
            <w:r>
              <w:rPr>
                <w:spacing w:val="2"/>
                <w:sz w:val="20"/>
                <w:szCs w:val="20"/>
              </w:rPr>
              <w:t>50.71</w:t>
            </w:r>
          </w:p>
        </w:tc>
        <w:tc>
          <w:tcPr>
            <w:tcW w:w="855" w:type="dxa"/>
            <w:vAlign w:val="top"/>
          </w:tcPr>
          <w:p w14:paraId="4852C81F">
            <w:pPr>
              <w:pStyle w:val="6"/>
              <w:spacing w:before="110" w:line="195" w:lineRule="auto"/>
              <w:ind w:left="248"/>
              <w:rPr>
                <w:sz w:val="20"/>
                <w:szCs w:val="20"/>
              </w:rPr>
            </w:pPr>
            <w:r>
              <w:rPr>
                <w:spacing w:val="2"/>
                <w:sz w:val="20"/>
                <w:szCs w:val="20"/>
              </w:rPr>
              <w:t>0.21</w:t>
            </w:r>
          </w:p>
        </w:tc>
        <w:tc>
          <w:tcPr>
            <w:tcW w:w="690" w:type="dxa"/>
            <w:vAlign w:val="top"/>
          </w:tcPr>
          <w:p w14:paraId="521530A2">
            <w:pPr>
              <w:pStyle w:val="6"/>
              <w:spacing w:before="110" w:line="195" w:lineRule="auto"/>
              <w:ind w:left="298"/>
              <w:rPr>
                <w:sz w:val="20"/>
                <w:szCs w:val="20"/>
              </w:rPr>
            </w:pPr>
            <w:r>
              <w:rPr>
                <w:sz w:val="20"/>
                <w:szCs w:val="20"/>
              </w:rPr>
              <w:t>0</w:t>
            </w:r>
          </w:p>
        </w:tc>
        <w:tc>
          <w:tcPr>
            <w:tcW w:w="915" w:type="dxa"/>
            <w:vAlign w:val="top"/>
          </w:tcPr>
          <w:p w14:paraId="3622A621">
            <w:pPr>
              <w:pStyle w:val="6"/>
              <w:spacing w:before="110" w:line="195" w:lineRule="auto"/>
              <w:ind w:left="228"/>
              <w:rPr>
                <w:sz w:val="20"/>
                <w:szCs w:val="20"/>
              </w:rPr>
            </w:pPr>
            <w:r>
              <w:rPr>
                <w:spacing w:val="2"/>
                <w:sz w:val="20"/>
                <w:szCs w:val="20"/>
              </w:rPr>
              <w:t>37.78</w:t>
            </w:r>
          </w:p>
        </w:tc>
        <w:tc>
          <w:tcPr>
            <w:tcW w:w="930" w:type="dxa"/>
            <w:vAlign w:val="top"/>
          </w:tcPr>
          <w:p w14:paraId="3693F309">
            <w:pPr>
              <w:pStyle w:val="6"/>
              <w:spacing w:before="110" w:line="195" w:lineRule="auto"/>
              <w:ind w:left="236"/>
              <w:rPr>
                <w:sz w:val="20"/>
                <w:szCs w:val="20"/>
              </w:rPr>
            </w:pPr>
            <w:r>
              <w:rPr>
                <w:spacing w:val="2"/>
                <w:sz w:val="20"/>
                <w:szCs w:val="20"/>
              </w:rPr>
              <w:t>50.73</w:t>
            </w:r>
          </w:p>
        </w:tc>
        <w:tc>
          <w:tcPr>
            <w:tcW w:w="855" w:type="dxa"/>
            <w:vAlign w:val="top"/>
          </w:tcPr>
          <w:p w14:paraId="2399BDDA">
            <w:pPr>
              <w:pStyle w:val="6"/>
              <w:spacing w:before="110" w:line="195" w:lineRule="auto"/>
              <w:ind w:left="249"/>
              <w:rPr>
                <w:sz w:val="20"/>
                <w:szCs w:val="20"/>
              </w:rPr>
            </w:pPr>
            <w:r>
              <w:rPr>
                <w:spacing w:val="2"/>
                <w:sz w:val="20"/>
                <w:szCs w:val="20"/>
              </w:rPr>
              <w:t>0.23</w:t>
            </w:r>
          </w:p>
        </w:tc>
        <w:tc>
          <w:tcPr>
            <w:tcW w:w="689" w:type="dxa"/>
            <w:tcBorders>
              <w:right w:val="nil"/>
            </w:tcBorders>
            <w:vAlign w:val="top"/>
          </w:tcPr>
          <w:p w14:paraId="5F751B1C">
            <w:pPr>
              <w:pStyle w:val="6"/>
              <w:spacing w:before="110" w:line="195" w:lineRule="auto"/>
              <w:ind w:left="297"/>
              <w:rPr>
                <w:sz w:val="20"/>
                <w:szCs w:val="20"/>
              </w:rPr>
            </w:pPr>
            <w:r>
              <w:rPr>
                <w:sz w:val="20"/>
                <w:szCs w:val="20"/>
              </w:rPr>
              <w:t>0</w:t>
            </w:r>
          </w:p>
        </w:tc>
      </w:tr>
      <w:tr w14:paraId="11213E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3" w:type="dxa"/>
            <w:vMerge w:val="continue"/>
            <w:tcBorders>
              <w:top w:val="nil"/>
              <w:left w:val="nil"/>
            </w:tcBorders>
            <w:vAlign w:val="top"/>
          </w:tcPr>
          <w:p w14:paraId="529B8333">
            <w:pPr>
              <w:rPr>
                <w:rFonts w:ascii="Arial"/>
                <w:sz w:val="21"/>
              </w:rPr>
            </w:pPr>
          </w:p>
        </w:tc>
        <w:tc>
          <w:tcPr>
            <w:tcW w:w="1042" w:type="dxa"/>
            <w:vMerge w:val="continue"/>
            <w:tcBorders>
              <w:top w:val="nil"/>
            </w:tcBorders>
            <w:vAlign w:val="top"/>
          </w:tcPr>
          <w:p w14:paraId="1B21C97F">
            <w:pPr>
              <w:rPr>
                <w:rFonts w:ascii="Arial"/>
                <w:sz w:val="21"/>
              </w:rPr>
            </w:pPr>
          </w:p>
        </w:tc>
        <w:tc>
          <w:tcPr>
            <w:tcW w:w="750" w:type="dxa"/>
            <w:vAlign w:val="top"/>
          </w:tcPr>
          <w:p w14:paraId="40B2D37B">
            <w:pPr>
              <w:spacing w:before="75" w:line="213" w:lineRule="auto"/>
              <w:ind w:left="176"/>
              <w:rPr>
                <w:rFonts w:ascii="仿宋" w:hAnsi="仿宋" w:eastAsia="仿宋" w:cs="仿宋"/>
                <w:sz w:val="20"/>
                <w:szCs w:val="20"/>
              </w:rPr>
            </w:pPr>
            <w:r>
              <w:rPr>
                <w:rFonts w:ascii="仿宋" w:hAnsi="仿宋" w:eastAsia="仿宋" w:cs="仿宋"/>
                <w:spacing w:val="2"/>
                <w:sz w:val="20"/>
                <w:szCs w:val="20"/>
              </w:rPr>
              <w:t>夜间</w:t>
            </w:r>
          </w:p>
        </w:tc>
        <w:tc>
          <w:tcPr>
            <w:tcW w:w="750" w:type="dxa"/>
            <w:vAlign w:val="top"/>
          </w:tcPr>
          <w:p w14:paraId="00D9CF95">
            <w:pPr>
              <w:pStyle w:val="6"/>
              <w:spacing w:before="110" w:line="195" w:lineRule="auto"/>
              <w:ind w:left="270"/>
              <w:rPr>
                <w:sz w:val="20"/>
                <w:szCs w:val="20"/>
              </w:rPr>
            </w:pPr>
            <w:r>
              <w:rPr>
                <w:spacing w:val="3"/>
                <w:sz w:val="20"/>
                <w:szCs w:val="20"/>
              </w:rPr>
              <w:t>45</w:t>
            </w:r>
          </w:p>
        </w:tc>
        <w:tc>
          <w:tcPr>
            <w:tcW w:w="660" w:type="dxa"/>
            <w:vAlign w:val="top"/>
          </w:tcPr>
          <w:p w14:paraId="2B826661">
            <w:pPr>
              <w:pStyle w:val="6"/>
              <w:spacing w:before="110" w:line="195" w:lineRule="auto"/>
              <w:ind w:left="225"/>
              <w:rPr>
                <w:sz w:val="20"/>
                <w:szCs w:val="20"/>
              </w:rPr>
            </w:pPr>
            <w:r>
              <w:rPr>
                <w:spacing w:val="3"/>
                <w:sz w:val="20"/>
                <w:szCs w:val="20"/>
              </w:rPr>
              <w:t>41</w:t>
            </w:r>
          </w:p>
        </w:tc>
        <w:tc>
          <w:tcPr>
            <w:tcW w:w="1005" w:type="dxa"/>
            <w:vAlign w:val="top"/>
          </w:tcPr>
          <w:p w14:paraId="62D2D39D">
            <w:pPr>
              <w:pStyle w:val="6"/>
              <w:spacing w:before="110" w:line="195" w:lineRule="auto"/>
              <w:ind w:left="271"/>
              <w:rPr>
                <w:sz w:val="20"/>
                <w:szCs w:val="20"/>
              </w:rPr>
            </w:pPr>
            <w:r>
              <w:rPr>
                <w:spacing w:val="3"/>
                <w:sz w:val="20"/>
                <w:szCs w:val="20"/>
              </w:rPr>
              <w:t>34.18</w:t>
            </w:r>
          </w:p>
        </w:tc>
        <w:tc>
          <w:tcPr>
            <w:tcW w:w="900" w:type="dxa"/>
            <w:vAlign w:val="top"/>
          </w:tcPr>
          <w:p w14:paraId="1C8FD342">
            <w:pPr>
              <w:pStyle w:val="6"/>
              <w:spacing w:before="110" w:line="195" w:lineRule="auto"/>
              <w:ind w:left="214"/>
              <w:rPr>
                <w:sz w:val="20"/>
                <w:szCs w:val="20"/>
              </w:rPr>
            </w:pPr>
            <w:r>
              <w:rPr>
                <w:spacing w:val="3"/>
                <w:sz w:val="20"/>
                <w:szCs w:val="20"/>
              </w:rPr>
              <w:t>41.82</w:t>
            </w:r>
          </w:p>
        </w:tc>
        <w:tc>
          <w:tcPr>
            <w:tcW w:w="1094" w:type="dxa"/>
            <w:vAlign w:val="top"/>
          </w:tcPr>
          <w:p w14:paraId="47D75E0F">
            <w:pPr>
              <w:pStyle w:val="6"/>
              <w:spacing w:before="110" w:line="195" w:lineRule="auto"/>
              <w:ind w:left="367"/>
              <w:rPr>
                <w:sz w:val="20"/>
                <w:szCs w:val="20"/>
              </w:rPr>
            </w:pPr>
            <w:r>
              <w:rPr>
                <w:spacing w:val="2"/>
                <w:sz w:val="20"/>
                <w:szCs w:val="20"/>
              </w:rPr>
              <w:t>0.82</w:t>
            </w:r>
          </w:p>
        </w:tc>
        <w:tc>
          <w:tcPr>
            <w:tcW w:w="765" w:type="dxa"/>
            <w:vAlign w:val="top"/>
          </w:tcPr>
          <w:p w14:paraId="14F7F5A1">
            <w:pPr>
              <w:pStyle w:val="6"/>
              <w:spacing w:before="110" w:line="195" w:lineRule="auto"/>
              <w:ind w:left="336"/>
              <w:rPr>
                <w:sz w:val="20"/>
                <w:szCs w:val="20"/>
              </w:rPr>
            </w:pPr>
            <w:r>
              <w:rPr>
                <w:sz w:val="20"/>
                <w:szCs w:val="20"/>
              </w:rPr>
              <w:t>0</w:t>
            </w:r>
          </w:p>
        </w:tc>
        <w:tc>
          <w:tcPr>
            <w:tcW w:w="870" w:type="dxa"/>
            <w:vAlign w:val="top"/>
          </w:tcPr>
          <w:p w14:paraId="1ABC5DE7">
            <w:pPr>
              <w:pStyle w:val="6"/>
              <w:spacing w:before="110" w:line="195" w:lineRule="auto"/>
              <w:ind w:left="203"/>
              <w:rPr>
                <w:sz w:val="20"/>
                <w:szCs w:val="20"/>
              </w:rPr>
            </w:pPr>
            <w:r>
              <w:rPr>
                <w:spacing w:val="3"/>
                <w:sz w:val="20"/>
                <w:szCs w:val="20"/>
              </w:rPr>
              <w:t>34.66</w:t>
            </w:r>
          </w:p>
        </w:tc>
        <w:tc>
          <w:tcPr>
            <w:tcW w:w="870" w:type="dxa"/>
            <w:vAlign w:val="top"/>
          </w:tcPr>
          <w:p w14:paraId="47DE376A">
            <w:pPr>
              <w:pStyle w:val="6"/>
              <w:spacing w:before="110" w:line="195" w:lineRule="auto"/>
              <w:ind w:left="199"/>
              <w:rPr>
                <w:sz w:val="20"/>
                <w:szCs w:val="20"/>
              </w:rPr>
            </w:pPr>
            <w:r>
              <w:rPr>
                <w:spacing w:val="4"/>
                <w:sz w:val="20"/>
                <w:szCs w:val="20"/>
              </w:rPr>
              <w:t>41.91</w:t>
            </w:r>
          </w:p>
        </w:tc>
        <w:tc>
          <w:tcPr>
            <w:tcW w:w="855" w:type="dxa"/>
            <w:vAlign w:val="top"/>
          </w:tcPr>
          <w:p w14:paraId="4683D25F">
            <w:pPr>
              <w:pStyle w:val="6"/>
              <w:spacing w:before="110" w:line="195" w:lineRule="auto"/>
              <w:ind w:left="248"/>
              <w:rPr>
                <w:sz w:val="20"/>
                <w:szCs w:val="20"/>
              </w:rPr>
            </w:pPr>
            <w:r>
              <w:rPr>
                <w:spacing w:val="2"/>
                <w:sz w:val="20"/>
                <w:szCs w:val="20"/>
              </w:rPr>
              <w:t>0.91</w:t>
            </w:r>
          </w:p>
        </w:tc>
        <w:tc>
          <w:tcPr>
            <w:tcW w:w="690" w:type="dxa"/>
            <w:vAlign w:val="top"/>
          </w:tcPr>
          <w:p w14:paraId="4734C063">
            <w:pPr>
              <w:pStyle w:val="6"/>
              <w:spacing w:before="110" w:line="195" w:lineRule="auto"/>
              <w:ind w:left="298"/>
              <w:rPr>
                <w:sz w:val="20"/>
                <w:szCs w:val="20"/>
              </w:rPr>
            </w:pPr>
            <w:r>
              <w:rPr>
                <w:sz w:val="20"/>
                <w:szCs w:val="20"/>
              </w:rPr>
              <w:t>0</w:t>
            </w:r>
          </w:p>
        </w:tc>
        <w:tc>
          <w:tcPr>
            <w:tcW w:w="915" w:type="dxa"/>
            <w:vAlign w:val="top"/>
          </w:tcPr>
          <w:p w14:paraId="6EF859C3">
            <w:pPr>
              <w:pStyle w:val="6"/>
              <w:spacing w:before="110" w:line="195" w:lineRule="auto"/>
              <w:ind w:left="228"/>
              <w:rPr>
                <w:sz w:val="20"/>
                <w:szCs w:val="20"/>
              </w:rPr>
            </w:pPr>
            <w:r>
              <w:rPr>
                <w:spacing w:val="2"/>
                <w:sz w:val="20"/>
                <w:szCs w:val="20"/>
              </w:rPr>
              <w:t>34.66</w:t>
            </w:r>
          </w:p>
        </w:tc>
        <w:tc>
          <w:tcPr>
            <w:tcW w:w="930" w:type="dxa"/>
            <w:vAlign w:val="top"/>
          </w:tcPr>
          <w:p w14:paraId="7BEB9326">
            <w:pPr>
              <w:pStyle w:val="6"/>
              <w:spacing w:before="110" w:line="195" w:lineRule="auto"/>
              <w:ind w:left="229"/>
              <w:rPr>
                <w:sz w:val="20"/>
                <w:szCs w:val="20"/>
              </w:rPr>
            </w:pPr>
            <w:r>
              <w:rPr>
                <w:spacing w:val="4"/>
                <w:sz w:val="20"/>
                <w:szCs w:val="20"/>
              </w:rPr>
              <w:t>41.91</w:t>
            </w:r>
          </w:p>
        </w:tc>
        <w:tc>
          <w:tcPr>
            <w:tcW w:w="855" w:type="dxa"/>
            <w:vAlign w:val="top"/>
          </w:tcPr>
          <w:p w14:paraId="0230645C">
            <w:pPr>
              <w:pStyle w:val="6"/>
              <w:spacing w:before="110" w:line="195" w:lineRule="auto"/>
              <w:ind w:left="249"/>
              <w:rPr>
                <w:sz w:val="20"/>
                <w:szCs w:val="20"/>
              </w:rPr>
            </w:pPr>
            <w:r>
              <w:rPr>
                <w:spacing w:val="2"/>
                <w:sz w:val="20"/>
                <w:szCs w:val="20"/>
              </w:rPr>
              <w:t>0.91</w:t>
            </w:r>
          </w:p>
        </w:tc>
        <w:tc>
          <w:tcPr>
            <w:tcW w:w="689" w:type="dxa"/>
            <w:tcBorders>
              <w:right w:val="nil"/>
            </w:tcBorders>
            <w:vAlign w:val="top"/>
          </w:tcPr>
          <w:p w14:paraId="31887569">
            <w:pPr>
              <w:pStyle w:val="6"/>
              <w:spacing w:before="110" w:line="195" w:lineRule="auto"/>
              <w:ind w:left="297"/>
              <w:rPr>
                <w:sz w:val="20"/>
                <w:szCs w:val="20"/>
              </w:rPr>
            </w:pPr>
            <w:r>
              <w:rPr>
                <w:sz w:val="20"/>
                <w:szCs w:val="20"/>
              </w:rPr>
              <w:t>0</w:t>
            </w:r>
          </w:p>
        </w:tc>
      </w:tr>
      <w:tr w14:paraId="777F4D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trPr>
        <w:tc>
          <w:tcPr>
            <w:tcW w:w="533" w:type="dxa"/>
            <w:tcBorders>
              <w:left w:val="nil"/>
              <w:bottom w:val="single" w:color="000000" w:sz="10" w:space="0"/>
            </w:tcBorders>
            <w:vAlign w:val="top"/>
          </w:tcPr>
          <w:p w14:paraId="56604567">
            <w:pPr>
              <w:pStyle w:val="6"/>
              <w:spacing w:before="111" w:line="195" w:lineRule="auto"/>
              <w:ind w:left="185"/>
              <w:rPr>
                <w:sz w:val="20"/>
                <w:szCs w:val="20"/>
              </w:rPr>
            </w:pPr>
            <w:r>
              <w:rPr>
                <w:spacing w:val="-8"/>
                <w:sz w:val="20"/>
                <w:szCs w:val="20"/>
              </w:rPr>
              <w:t>11</w:t>
            </w:r>
          </w:p>
        </w:tc>
        <w:tc>
          <w:tcPr>
            <w:tcW w:w="1042" w:type="dxa"/>
            <w:tcBorders>
              <w:bottom w:val="single" w:color="000000" w:sz="10" w:space="0"/>
            </w:tcBorders>
            <w:vAlign w:val="top"/>
          </w:tcPr>
          <w:p w14:paraId="698EB766">
            <w:pPr>
              <w:spacing w:before="75" w:line="231" w:lineRule="auto"/>
              <w:ind w:left="217"/>
              <w:rPr>
                <w:rFonts w:ascii="仿宋" w:hAnsi="仿宋" w:eastAsia="仿宋" w:cs="仿宋"/>
                <w:sz w:val="20"/>
                <w:szCs w:val="20"/>
              </w:rPr>
            </w:pPr>
            <w:r>
              <w:rPr>
                <w:rFonts w:ascii="仿宋" w:hAnsi="仿宋" w:eastAsia="仿宋" w:cs="仿宋"/>
                <w:spacing w:val="5"/>
                <w:sz w:val="20"/>
                <w:szCs w:val="20"/>
              </w:rPr>
              <w:t>份子地</w:t>
            </w:r>
          </w:p>
        </w:tc>
        <w:tc>
          <w:tcPr>
            <w:tcW w:w="750" w:type="dxa"/>
            <w:tcBorders>
              <w:bottom w:val="single" w:color="000000" w:sz="10" w:space="0"/>
            </w:tcBorders>
            <w:vAlign w:val="top"/>
          </w:tcPr>
          <w:p w14:paraId="3BF30733">
            <w:pPr>
              <w:spacing w:before="74" w:line="232" w:lineRule="auto"/>
              <w:ind w:left="176"/>
              <w:rPr>
                <w:rFonts w:ascii="仿宋" w:hAnsi="仿宋" w:eastAsia="仿宋" w:cs="仿宋"/>
                <w:sz w:val="20"/>
                <w:szCs w:val="20"/>
              </w:rPr>
            </w:pPr>
            <w:r>
              <w:rPr>
                <w:rFonts w:ascii="仿宋" w:hAnsi="仿宋" w:eastAsia="仿宋" w:cs="仿宋"/>
                <w:spacing w:val="2"/>
                <w:sz w:val="20"/>
                <w:szCs w:val="20"/>
              </w:rPr>
              <w:t>昼间</w:t>
            </w:r>
          </w:p>
        </w:tc>
        <w:tc>
          <w:tcPr>
            <w:tcW w:w="750" w:type="dxa"/>
            <w:tcBorders>
              <w:bottom w:val="single" w:color="000000" w:sz="10" w:space="0"/>
            </w:tcBorders>
            <w:vAlign w:val="top"/>
          </w:tcPr>
          <w:p w14:paraId="319DAE57">
            <w:pPr>
              <w:pStyle w:val="6"/>
              <w:spacing w:before="114" w:line="192" w:lineRule="auto"/>
              <w:ind w:left="276"/>
              <w:rPr>
                <w:sz w:val="20"/>
                <w:szCs w:val="20"/>
              </w:rPr>
            </w:pPr>
            <w:r>
              <w:rPr>
                <w:sz w:val="20"/>
                <w:szCs w:val="20"/>
              </w:rPr>
              <w:t>55</w:t>
            </w:r>
          </w:p>
        </w:tc>
        <w:tc>
          <w:tcPr>
            <w:tcW w:w="660" w:type="dxa"/>
            <w:tcBorders>
              <w:bottom w:val="single" w:color="000000" w:sz="10" w:space="0"/>
            </w:tcBorders>
            <w:vAlign w:val="top"/>
          </w:tcPr>
          <w:p w14:paraId="7488CDE9">
            <w:pPr>
              <w:pStyle w:val="6"/>
              <w:spacing w:before="111" w:line="195" w:lineRule="auto"/>
              <w:ind w:left="225"/>
              <w:rPr>
                <w:sz w:val="20"/>
                <w:szCs w:val="20"/>
              </w:rPr>
            </w:pPr>
            <w:r>
              <w:rPr>
                <w:spacing w:val="3"/>
                <w:sz w:val="20"/>
                <w:szCs w:val="20"/>
              </w:rPr>
              <w:t>45</w:t>
            </w:r>
          </w:p>
        </w:tc>
        <w:tc>
          <w:tcPr>
            <w:tcW w:w="1005" w:type="dxa"/>
            <w:tcBorders>
              <w:bottom w:val="single" w:color="000000" w:sz="10" w:space="0"/>
            </w:tcBorders>
            <w:vAlign w:val="top"/>
          </w:tcPr>
          <w:p w14:paraId="67322E1A">
            <w:pPr>
              <w:pStyle w:val="6"/>
              <w:spacing w:before="111" w:line="195" w:lineRule="auto"/>
              <w:ind w:left="324"/>
              <w:rPr>
                <w:sz w:val="20"/>
                <w:szCs w:val="20"/>
              </w:rPr>
            </w:pPr>
            <w:r>
              <w:rPr>
                <w:spacing w:val="1"/>
                <w:sz w:val="20"/>
                <w:szCs w:val="20"/>
              </w:rPr>
              <w:t>39.</w:t>
            </w:r>
            <w:r>
              <w:rPr>
                <w:spacing w:val="-25"/>
                <w:sz w:val="20"/>
                <w:szCs w:val="20"/>
              </w:rPr>
              <w:t xml:space="preserve"> </w:t>
            </w:r>
            <w:r>
              <w:rPr>
                <w:spacing w:val="1"/>
                <w:sz w:val="20"/>
                <w:szCs w:val="20"/>
              </w:rPr>
              <w:t>1</w:t>
            </w:r>
          </w:p>
        </w:tc>
        <w:tc>
          <w:tcPr>
            <w:tcW w:w="900" w:type="dxa"/>
            <w:tcBorders>
              <w:bottom w:val="single" w:color="000000" w:sz="10" w:space="0"/>
            </w:tcBorders>
            <w:vAlign w:val="top"/>
          </w:tcPr>
          <w:p w14:paraId="02CC26C8">
            <w:pPr>
              <w:pStyle w:val="6"/>
              <w:spacing w:before="111" w:line="195" w:lineRule="auto"/>
              <w:ind w:left="214"/>
              <w:rPr>
                <w:sz w:val="20"/>
                <w:szCs w:val="20"/>
              </w:rPr>
            </w:pPr>
            <w:r>
              <w:rPr>
                <w:spacing w:val="3"/>
                <w:sz w:val="20"/>
                <w:szCs w:val="20"/>
              </w:rPr>
              <w:t>45.99</w:t>
            </w:r>
          </w:p>
        </w:tc>
        <w:tc>
          <w:tcPr>
            <w:tcW w:w="1094" w:type="dxa"/>
            <w:tcBorders>
              <w:bottom w:val="single" w:color="000000" w:sz="10" w:space="0"/>
            </w:tcBorders>
            <w:vAlign w:val="top"/>
          </w:tcPr>
          <w:p w14:paraId="3DC813F6">
            <w:pPr>
              <w:pStyle w:val="6"/>
              <w:spacing w:before="111" w:line="195" w:lineRule="auto"/>
              <w:ind w:left="367"/>
              <w:rPr>
                <w:sz w:val="20"/>
                <w:szCs w:val="20"/>
              </w:rPr>
            </w:pPr>
            <w:r>
              <w:rPr>
                <w:spacing w:val="2"/>
                <w:sz w:val="20"/>
                <w:szCs w:val="20"/>
              </w:rPr>
              <w:t>0.99</w:t>
            </w:r>
          </w:p>
        </w:tc>
        <w:tc>
          <w:tcPr>
            <w:tcW w:w="765" w:type="dxa"/>
            <w:tcBorders>
              <w:bottom w:val="single" w:color="000000" w:sz="10" w:space="0"/>
            </w:tcBorders>
            <w:vAlign w:val="top"/>
          </w:tcPr>
          <w:p w14:paraId="1940495B">
            <w:pPr>
              <w:pStyle w:val="6"/>
              <w:spacing w:before="111" w:line="195" w:lineRule="auto"/>
              <w:ind w:left="336"/>
              <w:rPr>
                <w:sz w:val="20"/>
                <w:szCs w:val="20"/>
              </w:rPr>
            </w:pPr>
            <w:r>
              <w:rPr>
                <w:sz w:val="20"/>
                <w:szCs w:val="20"/>
              </w:rPr>
              <w:t>0</w:t>
            </w:r>
          </w:p>
        </w:tc>
        <w:tc>
          <w:tcPr>
            <w:tcW w:w="870" w:type="dxa"/>
            <w:tcBorders>
              <w:bottom w:val="single" w:color="000000" w:sz="10" w:space="0"/>
            </w:tcBorders>
            <w:vAlign w:val="top"/>
          </w:tcPr>
          <w:p w14:paraId="25E78D01">
            <w:pPr>
              <w:pStyle w:val="6"/>
              <w:spacing w:before="111" w:line="195" w:lineRule="auto"/>
              <w:ind w:left="198"/>
              <w:rPr>
                <w:sz w:val="20"/>
                <w:szCs w:val="20"/>
              </w:rPr>
            </w:pPr>
            <w:r>
              <w:rPr>
                <w:spacing w:val="4"/>
                <w:sz w:val="20"/>
                <w:szCs w:val="20"/>
              </w:rPr>
              <w:t>41.37</w:t>
            </w:r>
          </w:p>
        </w:tc>
        <w:tc>
          <w:tcPr>
            <w:tcW w:w="870" w:type="dxa"/>
            <w:tcBorders>
              <w:bottom w:val="single" w:color="000000" w:sz="10" w:space="0"/>
            </w:tcBorders>
            <w:vAlign w:val="top"/>
          </w:tcPr>
          <w:p w14:paraId="0CF5CA72">
            <w:pPr>
              <w:pStyle w:val="6"/>
              <w:spacing w:before="111" w:line="195" w:lineRule="auto"/>
              <w:ind w:left="199"/>
              <w:rPr>
                <w:sz w:val="20"/>
                <w:szCs w:val="20"/>
              </w:rPr>
            </w:pPr>
            <w:r>
              <w:rPr>
                <w:spacing w:val="4"/>
                <w:sz w:val="20"/>
                <w:szCs w:val="20"/>
              </w:rPr>
              <w:t>46.57</w:t>
            </w:r>
          </w:p>
        </w:tc>
        <w:tc>
          <w:tcPr>
            <w:tcW w:w="855" w:type="dxa"/>
            <w:tcBorders>
              <w:bottom w:val="single" w:color="000000" w:sz="10" w:space="0"/>
            </w:tcBorders>
            <w:vAlign w:val="top"/>
          </w:tcPr>
          <w:p w14:paraId="76E019AA">
            <w:pPr>
              <w:pStyle w:val="6"/>
              <w:spacing w:before="111" w:line="195" w:lineRule="auto"/>
              <w:ind w:left="265"/>
              <w:rPr>
                <w:sz w:val="20"/>
                <w:szCs w:val="20"/>
              </w:rPr>
            </w:pPr>
            <w:r>
              <w:rPr>
                <w:spacing w:val="-2"/>
                <w:sz w:val="20"/>
                <w:szCs w:val="20"/>
              </w:rPr>
              <w:t>1.57</w:t>
            </w:r>
          </w:p>
        </w:tc>
        <w:tc>
          <w:tcPr>
            <w:tcW w:w="690" w:type="dxa"/>
            <w:tcBorders>
              <w:bottom w:val="single" w:color="000000" w:sz="10" w:space="0"/>
            </w:tcBorders>
            <w:vAlign w:val="top"/>
          </w:tcPr>
          <w:p w14:paraId="0C8B742A">
            <w:pPr>
              <w:pStyle w:val="6"/>
              <w:spacing w:before="111" w:line="195" w:lineRule="auto"/>
              <w:ind w:left="298"/>
              <w:rPr>
                <w:sz w:val="20"/>
                <w:szCs w:val="20"/>
              </w:rPr>
            </w:pPr>
            <w:r>
              <w:rPr>
                <w:sz w:val="20"/>
                <w:szCs w:val="20"/>
              </w:rPr>
              <w:t>0</w:t>
            </w:r>
          </w:p>
        </w:tc>
        <w:tc>
          <w:tcPr>
            <w:tcW w:w="915" w:type="dxa"/>
            <w:tcBorders>
              <w:bottom w:val="single" w:color="000000" w:sz="10" w:space="0"/>
            </w:tcBorders>
            <w:vAlign w:val="top"/>
          </w:tcPr>
          <w:p w14:paraId="0FA19E1D">
            <w:pPr>
              <w:pStyle w:val="6"/>
              <w:spacing w:before="111" w:line="195" w:lineRule="auto"/>
              <w:ind w:left="273"/>
              <w:rPr>
                <w:sz w:val="20"/>
                <w:szCs w:val="20"/>
              </w:rPr>
            </w:pPr>
            <w:r>
              <w:rPr>
                <w:spacing w:val="3"/>
                <w:sz w:val="20"/>
                <w:szCs w:val="20"/>
              </w:rPr>
              <w:t>41.6</w:t>
            </w:r>
          </w:p>
        </w:tc>
        <w:tc>
          <w:tcPr>
            <w:tcW w:w="930" w:type="dxa"/>
            <w:tcBorders>
              <w:bottom w:val="single" w:color="000000" w:sz="10" w:space="0"/>
            </w:tcBorders>
            <w:vAlign w:val="top"/>
          </w:tcPr>
          <w:p w14:paraId="45A8DC1E">
            <w:pPr>
              <w:pStyle w:val="6"/>
              <w:spacing w:before="111" w:line="195" w:lineRule="auto"/>
              <w:ind w:left="229"/>
              <w:rPr>
                <w:sz w:val="20"/>
                <w:szCs w:val="20"/>
              </w:rPr>
            </w:pPr>
            <w:r>
              <w:rPr>
                <w:spacing w:val="4"/>
                <w:sz w:val="20"/>
                <w:szCs w:val="20"/>
              </w:rPr>
              <w:t>46.63</w:t>
            </w:r>
          </w:p>
        </w:tc>
        <w:tc>
          <w:tcPr>
            <w:tcW w:w="855" w:type="dxa"/>
            <w:tcBorders>
              <w:bottom w:val="single" w:color="000000" w:sz="10" w:space="0"/>
            </w:tcBorders>
            <w:vAlign w:val="top"/>
          </w:tcPr>
          <w:p w14:paraId="4CC6D7E4">
            <w:pPr>
              <w:pStyle w:val="6"/>
              <w:spacing w:before="111" w:line="195" w:lineRule="auto"/>
              <w:ind w:left="266"/>
              <w:rPr>
                <w:sz w:val="20"/>
                <w:szCs w:val="20"/>
              </w:rPr>
            </w:pPr>
            <w:r>
              <w:rPr>
                <w:spacing w:val="-2"/>
                <w:sz w:val="20"/>
                <w:szCs w:val="20"/>
              </w:rPr>
              <w:t>1.63</w:t>
            </w:r>
          </w:p>
        </w:tc>
        <w:tc>
          <w:tcPr>
            <w:tcW w:w="689" w:type="dxa"/>
            <w:tcBorders>
              <w:bottom w:val="single" w:color="000000" w:sz="10" w:space="0"/>
              <w:right w:val="nil"/>
            </w:tcBorders>
            <w:vAlign w:val="top"/>
          </w:tcPr>
          <w:p w14:paraId="35AA0145">
            <w:pPr>
              <w:pStyle w:val="6"/>
              <w:spacing w:before="111" w:line="195" w:lineRule="auto"/>
              <w:ind w:left="297"/>
              <w:rPr>
                <w:sz w:val="20"/>
                <w:szCs w:val="20"/>
              </w:rPr>
            </w:pPr>
            <w:r>
              <w:rPr>
                <w:sz w:val="20"/>
                <w:szCs w:val="20"/>
              </w:rPr>
              <w:t>0</w:t>
            </w:r>
          </w:p>
        </w:tc>
      </w:tr>
    </w:tbl>
    <w:p w14:paraId="59FDFAC5">
      <w:pPr>
        <w:pStyle w:val="2"/>
        <w:rPr>
          <w:sz w:val="21"/>
        </w:rPr>
      </w:pPr>
    </w:p>
    <w:p w14:paraId="1E492694">
      <w:pPr>
        <w:rPr>
          <w:sz w:val="21"/>
          <w:szCs w:val="21"/>
        </w:rPr>
        <w:sectPr>
          <w:footerReference r:id="rId185" w:type="default"/>
          <w:pgSz w:w="16839" w:h="11906"/>
          <w:pgMar w:top="400" w:right="1332" w:bottom="1370" w:left="1331" w:header="0" w:footer="1207" w:gutter="0"/>
          <w:cols w:space="720" w:num="1"/>
        </w:sectPr>
      </w:pPr>
    </w:p>
    <w:p w14:paraId="620D6C3C">
      <w:pPr>
        <w:spacing w:before="39"/>
      </w:pPr>
    </w:p>
    <w:p w14:paraId="3DCA5644">
      <w:pPr>
        <w:spacing w:before="39"/>
      </w:pPr>
    </w:p>
    <w:p w14:paraId="3DFFE1CE">
      <w:pPr>
        <w:spacing w:before="38"/>
      </w:pPr>
    </w:p>
    <w:p w14:paraId="1A550690">
      <w:pPr>
        <w:spacing w:before="38"/>
      </w:pPr>
    </w:p>
    <w:p w14:paraId="037E8049">
      <w:pPr>
        <w:spacing w:before="38"/>
      </w:pPr>
    </w:p>
    <w:tbl>
      <w:tblPr>
        <w:tblStyle w:val="5"/>
        <w:tblW w:w="14173"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3"/>
        <w:gridCol w:w="1042"/>
        <w:gridCol w:w="750"/>
        <w:gridCol w:w="750"/>
        <w:gridCol w:w="660"/>
        <w:gridCol w:w="1005"/>
        <w:gridCol w:w="900"/>
        <w:gridCol w:w="1094"/>
        <w:gridCol w:w="765"/>
        <w:gridCol w:w="870"/>
        <w:gridCol w:w="870"/>
        <w:gridCol w:w="855"/>
        <w:gridCol w:w="690"/>
        <w:gridCol w:w="915"/>
        <w:gridCol w:w="930"/>
        <w:gridCol w:w="855"/>
        <w:gridCol w:w="689"/>
      </w:tblGrid>
      <w:tr w14:paraId="3E5541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8" w:hRule="atLeast"/>
        </w:trPr>
        <w:tc>
          <w:tcPr>
            <w:tcW w:w="533" w:type="dxa"/>
            <w:tcBorders>
              <w:top w:val="single" w:color="000000" w:sz="10" w:space="0"/>
              <w:left w:val="nil"/>
            </w:tcBorders>
            <w:vAlign w:val="top"/>
          </w:tcPr>
          <w:p w14:paraId="4FD78C45">
            <w:pPr>
              <w:rPr>
                <w:rFonts w:ascii="Arial"/>
                <w:sz w:val="21"/>
              </w:rPr>
            </w:pPr>
          </w:p>
        </w:tc>
        <w:tc>
          <w:tcPr>
            <w:tcW w:w="1042" w:type="dxa"/>
            <w:tcBorders>
              <w:top w:val="single" w:color="000000" w:sz="10" w:space="0"/>
            </w:tcBorders>
            <w:vAlign w:val="top"/>
          </w:tcPr>
          <w:p w14:paraId="1FE218BE">
            <w:pPr>
              <w:spacing w:before="36" w:line="230" w:lineRule="auto"/>
              <w:ind w:left="217"/>
              <w:rPr>
                <w:rFonts w:ascii="仿宋" w:hAnsi="仿宋" w:eastAsia="仿宋" w:cs="仿宋"/>
                <w:sz w:val="20"/>
                <w:szCs w:val="20"/>
              </w:rPr>
            </w:pPr>
            <w:r>
              <w:rPr>
                <w:rFonts w:ascii="仿宋" w:hAnsi="仿宋" w:eastAsia="仿宋" w:cs="仿宋"/>
                <w:spacing w:val="5"/>
                <w:sz w:val="20"/>
                <w:szCs w:val="20"/>
              </w:rPr>
              <w:t>社新村</w:t>
            </w:r>
          </w:p>
        </w:tc>
        <w:tc>
          <w:tcPr>
            <w:tcW w:w="750" w:type="dxa"/>
            <w:tcBorders>
              <w:top w:val="single" w:color="000000" w:sz="10" w:space="0"/>
            </w:tcBorders>
            <w:vAlign w:val="top"/>
          </w:tcPr>
          <w:p w14:paraId="005B4F4A">
            <w:pPr>
              <w:spacing w:before="36" w:line="231" w:lineRule="auto"/>
              <w:ind w:left="176"/>
              <w:rPr>
                <w:rFonts w:ascii="仿宋" w:hAnsi="仿宋" w:eastAsia="仿宋" w:cs="仿宋"/>
                <w:sz w:val="20"/>
                <w:szCs w:val="20"/>
              </w:rPr>
            </w:pPr>
            <w:r>
              <w:rPr>
                <w:rFonts w:ascii="仿宋" w:hAnsi="仿宋" w:eastAsia="仿宋" w:cs="仿宋"/>
                <w:spacing w:val="2"/>
                <w:sz w:val="20"/>
                <w:szCs w:val="20"/>
              </w:rPr>
              <w:t>夜间</w:t>
            </w:r>
          </w:p>
        </w:tc>
        <w:tc>
          <w:tcPr>
            <w:tcW w:w="750" w:type="dxa"/>
            <w:tcBorders>
              <w:top w:val="single" w:color="000000" w:sz="10" w:space="0"/>
            </w:tcBorders>
            <w:vAlign w:val="top"/>
          </w:tcPr>
          <w:p w14:paraId="7202F930">
            <w:pPr>
              <w:pStyle w:val="6"/>
              <w:spacing w:before="72" w:line="195" w:lineRule="auto"/>
              <w:ind w:left="270"/>
              <w:rPr>
                <w:sz w:val="20"/>
                <w:szCs w:val="20"/>
              </w:rPr>
            </w:pPr>
            <w:r>
              <w:rPr>
                <w:spacing w:val="3"/>
                <w:sz w:val="20"/>
                <w:szCs w:val="20"/>
              </w:rPr>
              <w:t>45</w:t>
            </w:r>
          </w:p>
        </w:tc>
        <w:tc>
          <w:tcPr>
            <w:tcW w:w="660" w:type="dxa"/>
            <w:tcBorders>
              <w:top w:val="single" w:color="000000" w:sz="10" w:space="0"/>
            </w:tcBorders>
            <w:vAlign w:val="top"/>
          </w:tcPr>
          <w:p w14:paraId="61CA1843">
            <w:pPr>
              <w:pStyle w:val="6"/>
              <w:spacing w:before="72" w:line="195" w:lineRule="auto"/>
              <w:ind w:left="231"/>
              <w:rPr>
                <w:sz w:val="20"/>
                <w:szCs w:val="20"/>
              </w:rPr>
            </w:pPr>
            <w:r>
              <w:rPr>
                <w:sz w:val="20"/>
                <w:szCs w:val="20"/>
              </w:rPr>
              <w:t>36</w:t>
            </w:r>
          </w:p>
        </w:tc>
        <w:tc>
          <w:tcPr>
            <w:tcW w:w="1005" w:type="dxa"/>
            <w:tcBorders>
              <w:top w:val="single" w:color="000000" w:sz="10" w:space="0"/>
            </w:tcBorders>
            <w:vAlign w:val="top"/>
          </w:tcPr>
          <w:p w14:paraId="289A7411">
            <w:pPr>
              <w:pStyle w:val="6"/>
              <w:spacing w:before="72" w:line="195" w:lineRule="auto"/>
              <w:ind w:left="403"/>
              <w:rPr>
                <w:sz w:val="20"/>
                <w:szCs w:val="20"/>
              </w:rPr>
            </w:pPr>
            <w:r>
              <w:rPr>
                <w:sz w:val="20"/>
                <w:szCs w:val="20"/>
              </w:rPr>
              <w:t>38</w:t>
            </w:r>
          </w:p>
        </w:tc>
        <w:tc>
          <w:tcPr>
            <w:tcW w:w="900" w:type="dxa"/>
            <w:tcBorders>
              <w:top w:val="single" w:color="000000" w:sz="10" w:space="0"/>
            </w:tcBorders>
            <w:vAlign w:val="top"/>
          </w:tcPr>
          <w:p w14:paraId="36C1A6E4">
            <w:pPr>
              <w:pStyle w:val="6"/>
              <w:spacing w:before="72" w:line="195" w:lineRule="auto"/>
              <w:ind w:left="214"/>
              <w:rPr>
                <w:sz w:val="20"/>
                <w:szCs w:val="20"/>
              </w:rPr>
            </w:pPr>
            <w:r>
              <w:rPr>
                <w:spacing w:val="3"/>
                <w:sz w:val="20"/>
                <w:szCs w:val="20"/>
              </w:rPr>
              <w:t>40.13</w:t>
            </w:r>
          </w:p>
        </w:tc>
        <w:tc>
          <w:tcPr>
            <w:tcW w:w="1094" w:type="dxa"/>
            <w:tcBorders>
              <w:top w:val="single" w:color="000000" w:sz="10" w:space="0"/>
            </w:tcBorders>
            <w:vAlign w:val="top"/>
          </w:tcPr>
          <w:p w14:paraId="1D45F989">
            <w:pPr>
              <w:pStyle w:val="6"/>
              <w:spacing w:before="72" w:line="195" w:lineRule="auto"/>
              <w:ind w:left="363"/>
              <w:rPr>
                <w:sz w:val="20"/>
                <w:szCs w:val="20"/>
              </w:rPr>
            </w:pPr>
            <w:r>
              <w:rPr>
                <w:spacing w:val="3"/>
                <w:sz w:val="20"/>
                <w:szCs w:val="20"/>
              </w:rPr>
              <w:t>4.13</w:t>
            </w:r>
          </w:p>
        </w:tc>
        <w:tc>
          <w:tcPr>
            <w:tcW w:w="765" w:type="dxa"/>
            <w:tcBorders>
              <w:top w:val="single" w:color="000000" w:sz="10" w:space="0"/>
            </w:tcBorders>
            <w:vAlign w:val="top"/>
          </w:tcPr>
          <w:p w14:paraId="35F971AB">
            <w:pPr>
              <w:pStyle w:val="6"/>
              <w:spacing w:before="72" w:line="195" w:lineRule="auto"/>
              <w:ind w:left="336"/>
              <w:rPr>
                <w:sz w:val="20"/>
                <w:szCs w:val="20"/>
              </w:rPr>
            </w:pPr>
            <w:r>
              <w:rPr>
                <w:sz w:val="20"/>
                <w:szCs w:val="20"/>
              </w:rPr>
              <w:t>0</w:t>
            </w:r>
          </w:p>
        </w:tc>
        <w:tc>
          <w:tcPr>
            <w:tcW w:w="870" w:type="dxa"/>
            <w:tcBorders>
              <w:top w:val="single" w:color="000000" w:sz="10" w:space="0"/>
            </w:tcBorders>
            <w:vAlign w:val="top"/>
          </w:tcPr>
          <w:p w14:paraId="5BBF49DC">
            <w:pPr>
              <w:pStyle w:val="6"/>
              <w:spacing w:before="72" w:line="195" w:lineRule="auto"/>
              <w:ind w:left="203"/>
              <w:rPr>
                <w:sz w:val="20"/>
                <w:szCs w:val="20"/>
              </w:rPr>
            </w:pPr>
            <w:r>
              <w:rPr>
                <w:spacing w:val="3"/>
                <w:sz w:val="20"/>
                <w:szCs w:val="20"/>
              </w:rPr>
              <w:t>38.48</w:t>
            </w:r>
          </w:p>
        </w:tc>
        <w:tc>
          <w:tcPr>
            <w:tcW w:w="870" w:type="dxa"/>
            <w:tcBorders>
              <w:top w:val="single" w:color="000000" w:sz="10" w:space="0"/>
            </w:tcBorders>
            <w:vAlign w:val="top"/>
          </w:tcPr>
          <w:p w14:paraId="79E4B3CF">
            <w:pPr>
              <w:pStyle w:val="6"/>
              <w:spacing w:before="72" w:line="195" w:lineRule="auto"/>
              <w:ind w:left="199"/>
              <w:rPr>
                <w:sz w:val="20"/>
                <w:szCs w:val="20"/>
              </w:rPr>
            </w:pPr>
            <w:r>
              <w:rPr>
                <w:spacing w:val="4"/>
                <w:sz w:val="20"/>
                <w:szCs w:val="20"/>
              </w:rPr>
              <w:t>40.42</w:t>
            </w:r>
          </w:p>
        </w:tc>
        <w:tc>
          <w:tcPr>
            <w:tcW w:w="855" w:type="dxa"/>
            <w:tcBorders>
              <w:top w:val="single" w:color="000000" w:sz="10" w:space="0"/>
            </w:tcBorders>
            <w:vAlign w:val="top"/>
          </w:tcPr>
          <w:p w14:paraId="57CC9D78">
            <w:pPr>
              <w:pStyle w:val="6"/>
              <w:spacing w:before="72" w:line="195" w:lineRule="auto"/>
              <w:ind w:left="244"/>
              <w:rPr>
                <w:sz w:val="20"/>
                <w:szCs w:val="20"/>
              </w:rPr>
            </w:pPr>
            <w:r>
              <w:rPr>
                <w:spacing w:val="3"/>
                <w:sz w:val="20"/>
                <w:szCs w:val="20"/>
              </w:rPr>
              <w:t>4.42</w:t>
            </w:r>
          </w:p>
        </w:tc>
        <w:tc>
          <w:tcPr>
            <w:tcW w:w="690" w:type="dxa"/>
            <w:tcBorders>
              <w:top w:val="single" w:color="000000" w:sz="10" w:space="0"/>
            </w:tcBorders>
            <w:vAlign w:val="top"/>
          </w:tcPr>
          <w:p w14:paraId="3B8DDFA4">
            <w:pPr>
              <w:pStyle w:val="6"/>
              <w:spacing w:before="72" w:line="195" w:lineRule="auto"/>
              <w:ind w:left="298"/>
              <w:rPr>
                <w:sz w:val="20"/>
                <w:szCs w:val="20"/>
              </w:rPr>
            </w:pPr>
            <w:r>
              <w:rPr>
                <w:sz w:val="20"/>
                <w:szCs w:val="20"/>
              </w:rPr>
              <w:t>0</w:t>
            </w:r>
          </w:p>
        </w:tc>
        <w:tc>
          <w:tcPr>
            <w:tcW w:w="915" w:type="dxa"/>
            <w:tcBorders>
              <w:top w:val="single" w:color="000000" w:sz="10" w:space="0"/>
            </w:tcBorders>
            <w:vAlign w:val="top"/>
          </w:tcPr>
          <w:p w14:paraId="0BC833E9">
            <w:pPr>
              <w:pStyle w:val="6"/>
              <w:spacing w:before="72" w:line="195" w:lineRule="auto"/>
              <w:ind w:left="228"/>
              <w:rPr>
                <w:sz w:val="20"/>
                <w:szCs w:val="20"/>
              </w:rPr>
            </w:pPr>
            <w:r>
              <w:rPr>
                <w:spacing w:val="2"/>
                <w:sz w:val="20"/>
                <w:szCs w:val="20"/>
              </w:rPr>
              <w:t>38.48</w:t>
            </w:r>
          </w:p>
        </w:tc>
        <w:tc>
          <w:tcPr>
            <w:tcW w:w="930" w:type="dxa"/>
            <w:tcBorders>
              <w:top w:val="single" w:color="000000" w:sz="10" w:space="0"/>
            </w:tcBorders>
            <w:vAlign w:val="top"/>
          </w:tcPr>
          <w:p w14:paraId="1DB9ACED">
            <w:pPr>
              <w:pStyle w:val="6"/>
              <w:spacing w:before="72" w:line="195" w:lineRule="auto"/>
              <w:ind w:left="229"/>
              <w:rPr>
                <w:sz w:val="20"/>
                <w:szCs w:val="20"/>
              </w:rPr>
            </w:pPr>
            <w:r>
              <w:rPr>
                <w:spacing w:val="4"/>
                <w:sz w:val="20"/>
                <w:szCs w:val="20"/>
              </w:rPr>
              <w:t>40.42</w:t>
            </w:r>
          </w:p>
        </w:tc>
        <w:tc>
          <w:tcPr>
            <w:tcW w:w="855" w:type="dxa"/>
            <w:tcBorders>
              <w:top w:val="single" w:color="000000" w:sz="10" w:space="0"/>
            </w:tcBorders>
            <w:vAlign w:val="top"/>
          </w:tcPr>
          <w:p w14:paraId="7F1FCBAC">
            <w:pPr>
              <w:pStyle w:val="6"/>
              <w:spacing w:before="72" w:line="195" w:lineRule="auto"/>
              <w:ind w:left="245"/>
              <w:rPr>
                <w:sz w:val="20"/>
                <w:szCs w:val="20"/>
              </w:rPr>
            </w:pPr>
            <w:r>
              <w:rPr>
                <w:spacing w:val="3"/>
                <w:sz w:val="20"/>
                <w:szCs w:val="20"/>
              </w:rPr>
              <w:t>4.42</w:t>
            </w:r>
          </w:p>
        </w:tc>
        <w:tc>
          <w:tcPr>
            <w:tcW w:w="689" w:type="dxa"/>
            <w:tcBorders>
              <w:top w:val="single" w:color="000000" w:sz="10" w:space="0"/>
              <w:right w:val="nil"/>
            </w:tcBorders>
            <w:vAlign w:val="top"/>
          </w:tcPr>
          <w:p w14:paraId="759FCF06">
            <w:pPr>
              <w:pStyle w:val="6"/>
              <w:spacing w:before="72" w:line="195" w:lineRule="auto"/>
              <w:ind w:left="297"/>
              <w:rPr>
                <w:sz w:val="20"/>
                <w:szCs w:val="20"/>
              </w:rPr>
            </w:pPr>
            <w:r>
              <w:rPr>
                <w:sz w:val="20"/>
                <w:szCs w:val="20"/>
              </w:rPr>
              <w:t>0</w:t>
            </w:r>
          </w:p>
        </w:tc>
      </w:tr>
      <w:tr w14:paraId="455F6D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3" w:hRule="atLeast"/>
        </w:trPr>
        <w:tc>
          <w:tcPr>
            <w:tcW w:w="533" w:type="dxa"/>
            <w:vMerge w:val="restart"/>
            <w:tcBorders>
              <w:left w:val="nil"/>
              <w:bottom w:val="nil"/>
            </w:tcBorders>
            <w:vAlign w:val="top"/>
          </w:tcPr>
          <w:p w14:paraId="3F3E57BA">
            <w:pPr>
              <w:pStyle w:val="6"/>
              <w:spacing w:before="254" w:line="195" w:lineRule="auto"/>
              <w:ind w:left="185"/>
              <w:rPr>
                <w:sz w:val="20"/>
                <w:szCs w:val="20"/>
              </w:rPr>
            </w:pPr>
            <w:r>
              <w:rPr>
                <w:spacing w:val="-8"/>
                <w:sz w:val="20"/>
                <w:szCs w:val="20"/>
              </w:rPr>
              <w:t>12</w:t>
            </w:r>
          </w:p>
        </w:tc>
        <w:tc>
          <w:tcPr>
            <w:tcW w:w="1042" w:type="dxa"/>
            <w:vMerge w:val="restart"/>
            <w:tcBorders>
              <w:bottom w:val="nil"/>
            </w:tcBorders>
            <w:vAlign w:val="top"/>
          </w:tcPr>
          <w:p w14:paraId="03464EF0">
            <w:pPr>
              <w:spacing w:before="215" w:line="234" w:lineRule="auto"/>
              <w:ind w:left="219"/>
              <w:rPr>
                <w:rFonts w:ascii="仿宋" w:hAnsi="仿宋" w:eastAsia="仿宋" w:cs="仿宋"/>
                <w:sz w:val="20"/>
                <w:szCs w:val="20"/>
              </w:rPr>
            </w:pPr>
            <w:r>
              <w:rPr>
                <w:rFonts w:ascii="仿宋" w:hAnsi="仿宋" w:eastAsia="仿宋" w:cs="仿宋"/>
                <w:spacing w:val="4"/>
                <w:sz w:val="20"/>
                <w:szCs w:val="20"/>
              </w:rPr>
              <w:t>西圪旦</w:t>
            </w:r>
          </w:p>
        </w:tc>
        <w:tc>
          <w:tcPr>
            <w:tcW w:w="750" w:type="dxa"/>
            <w:vAlign w:val="top"/>
          </w:tcPr>
          <w:p w14:paraId="7EB018CC">
            <w:pPr>
              <w:spacing w:before="54" w:line="229" w:lineRule="auto"/>
              <w:ind w:left="176"/>
              <w:rPr>
                <w:rFonts w:ascii="仿宋" w:hAnsi="仿宋" w:eastAsia="仿宋" w:cs="仿宋"/>
                <w:sz w:val="20"/>
                <w:szCs w:val="20"/>
              </w:rPr>
            </w:pPr>
            <w:r>
              <w:rPr>
                <w:rFonts w:ascii="仿宋" w:hAnsi="仿宋" w:eastAsia="仿宋" w:cs="仿宋"/>
                <w:spacing w:val="2"/>
                <w:sz w:val="20"/>
                <w:szCs w:val="20"/>
              </w:rPr>
              <w:t>昼间</w:t>
            </w:r>
          </w:p>
        </w:tc>
        <w:tc>
          <w:tcPr>
            <w:tcW w:w="750" w:type="dxa"/>
            <w:vAlign w:val="top"/>
          </w:tcPr>
          <w:p w14:paraId="5080BAED">
            <w:pPr>
              <w:pStyle w:val="6"/>
              <w:spacing w:before="96" w:line="192" w:lineRule="auto"/>
              <w:ind w:left="276"/>
              <w:rPr>
                <w:sz w:val="20"/>
                <w:szCs w:val="20"/>
              </w:rPr>
            </w:pPr>
            <w:r>
              <w:rPr>
                <w:sz w:val="20"/>
                <w:szCs w:val="20"/>
              </w:rPr>
              <w:t>55</w:t>
            </w:r>
          </w:p>
        </w:tc>
        <w:tc>
          <w:tcPr>
            <w:tcW w:w="660" w:type="dxa"/>
            <w:vAlign w:val="top"/>
          </w:tcPr>
          <w:p w14:paraId="02BBB66E">
            <w:pPr>
              <w:pStyle w:val="6"/>
              <w:spacing w:before="93" w:line="195" w:lineRule="auto"/>
              <w:ind w:left="225"/>
              <w:rPr>
                <w:sz w:val="20"/>
                <w:szCs w:val="20"/>
              </w:rPr>
            </w:pPr>
            <w:r>
              <w:rPr>
                <w:spacing w:val="3"/>
                <w:sz w:val="20"/>
                <w:szCs w:val="20"/>
              </w:rPr>
              <w:t>46</w:t>
            </w:r>
          </w:p>
        </w:tc>
        <w:tc>
          <w:tcPr>
            <w:tcW w:w="1005" w:type="dxa"/>
            <w:vAlign w:val="top"/>
          </w:tcPr>
          <w:p w14:paraId="6DFA4044">
            <w:pPr>
              <w:pStyle w:val="6"/>
              <w:spacing w:before="93" w:line="195" w:lineRule="auto"/>
              <w:ind w:left="266"/>
              <w:rPr>
                <w:sz w:val="20"/>
                <w:szCs w:val="20"/>
              </w:rPr>
            </w:pPr>
            <w:r>
              <w:rPr>
                <w:spacing w:val="4"/>
                <w:sz w:val="20"/>
                <w:szCs w:val="20"/>
              </w:rPr>
              <w:t>45.76</w:t>
            </w:r>
          </w:p>
        </w:tc>
        <w:tc>
          <w:tcPr>
            <w:tcW w:w="900" w:type="dxa"/>
            <w:vAlign w:val="top"/>
          </w:tcPr>
          <w:p w14:paraId="4C2D74E8">
            <w:pPr>
              <w:pStyle w:val="6"/>
              <w:spacing w:before="93" w:line="195" w:lineRule="auto"/>
              <w:ind w:left="214"/>
              <w:rPr>
                <w:sz w:val="20"/>
                <w:szCs w:val="20"/>
              </w:rPr>
            </w:pPr>
            <w:r>
              <w:rPr>
                <w:spacing w:val="3"/>
                <w:sz w:val="20"/>
                <w:szCs w:val="20"/>
              </w:rPr>
              <w:t>48.89</w:t>
            </w:r>
          </w:p>
        </w:tc>
        <w:tc>
          <w:tcPr>
            <w:tcW w:w="1094" w:type="dxa"/>
            <w:vAlign w:val="top"/>
          </w:tcPr>
          <w:p w14:paraId="6BA7F799">
            <w:pPr>
              <w:pStyle w:val="6"/>
              <w:spacing w:before="93" w:line="195" w:lineRule="auto"/>
              <w:ind w:left="364"/>
              <w:rPr>
                <w:sz w:val="20"/>
                <w:szCs w:val="20"/>
              </w:rPr>
            </w:pPr>
            <w:r>
              <w:rPr>
                <w:spacing w:val="3"/>
                <w:sz w:val="20"/>
                <w:szCs w:val="20"/>
              </w:rPr>
              <w:t>2.89</w:t>
            </w:r>
          </w:p>
        </w:tc>
        <w:tc>
          <w:tcPr>
            <w:tcW w:w="765" w:type="dxa"/>
            <w:vAlign w:val="top"/>
          </w:tcPr>
          <w:p w14:paraId="3267ED03">
            <w:pPr>
              <w:pStyle w:val="6"/>
              <w:spacing w:before="93" w:line="195" w:lineRule="auto"/>
              <w:ind w:left="336"/>
              <w:rPr>
                <w:sz w:val="20"/>
                <w:szCs w:val="20"/>
              </w:rPr>
            </w:pPr>
            <w:r>
              <w:rPr>
                <w:sz w:val="20"/>
                <w:szCs w:val="20"/>
              </w:rPr>
              <w:t>0</w:t>
            </w:r>
          </w:p>
        </w:tc>
        <w:tc>
          <w:tcPr>
            <w:tcW w:w="870" w:type="dxa"/>
            <w:vAlign w:val="top"/>
          </w:tcPr>
          <w:p w14:paraId="7301A76A">
            <w:pPr>
              <w:pStyle w:val="6"/>
              <w:spacing w:before="93" w:line="195" w:lineRule="auto"/>
              <w:ind w:left="198"/>
              <w:rPr>
                <w:sz w:val="20"/>
                <w:szCs w:val="20"/>
              </w:rPr>
            </w:pPr>
            <w:r>
              <w:rPr>
                <w:spacing w:val="4"/>
                <w:sz w:val="20"/>
                <w:szCs w:val="20"/>
              </w:rPr>
              <w:t>48.03</w:t>
            </w:r>
          </w:p>
        </w:tc>
        <w:tc>
          <w:tcPr>
            <w:tcW w:w="870" w:type="dxa"/>
            <w:vAlign w:val="top"/>
          </w:tcPr>
          <w:p w14:paraId="3C81A2BF">
            <w:pPr>
              <w:pStyle w:val="6"/>
              <w:spacing w:before="93" w:line="195" w:lineRule="auto"/>
              <w:ind w:left="206"/>
              <w:rPr>
                <w:sz w:val="20"/>
                <w:szCs w:val="20"/>
              </w:rPr>
            </w:pPr>
            <w:r>
              <w:rPr>
                <w:spacing w:val="-3"/>
                <w:sz w:val="20"/>
                <w:szCs w:val="20"/>
              </w:rPr>
              <w:t>50.</w:t>
            </w:r>
            <w:r>
              <w:rPr>
                <w:spacing w:val="-22"/>
                <w:sz w:val="20"/>
                <w:szCs w:val="20"/>
              </w:rPr>
              <w:t xml:space="preserve"> </w:t>
            </w:r>
            <w:r>
              <w:rPr>
                <w:spacing w:val="-3"/>
                <w:sz w:val="20"/>
                <w:szCs w:val="20"/>
              </w:rPr>
              <w:t>14</w:t>
            </w:r>
          </w:p>
        </w:tc>
        <w:tc>
          <w:tcPr>
            <w:tcW w:w="855" w:type="dxa"/>
            <w:vAlign w:val="top"/>
          </w:tcPr>
          <w:p w14:paraId="17DE78D5">
            <w:pPr>
              <w:pStyle w:val="6"/>
              <w:spacing w:before="93" w:line="195" w:lineRule="auto"/>
              <w:ind w:left="244"/>
              <w:rPr>
                <w:sz w:val="20"/>
                <w:szCs w:val="20"/>
              </w:rPr>
            </w:pPr>
            <w:r>
              <w:rPr>
                <w:spacing w:val="-3"/>
                <w:sz w:val="20"/>
                <w:szCs w:val="20"/>
              </w:rPr>
              <w:t>4.</w:t>
            </w:r>
            <w:r>
              <w:rPr>
                <w:spacing w:val="-24"/>
                <w:sz w:val="20"/>
                <w:szCs w:val="20"/>
              </w:rPr>
              <w:t xml:space="preserve"> </w:t>
            </w:r>
            <w:r>
              <w:rPr>
                <w:spacing w:val="-3"/>
                <w:sz w:val="20"/>
                <w:szCs w:val="20"/>
              </w:rPr>
              <w:t>14</w:t>
            </w:r>
          </w:p>
        </w:tc>
        <w:tc>
          <w:tcPr>
            <w:tcW w:w="690" w:type="dxa"/>
            <w:vAlign w:val="top"/>
          </w:tcPr>
          <w:p w14:paraId="0221C313">
            <w:pPr>
              <w:pStyle w:val="6"/>
              <w:spacing w:before="93" w:line="195" w:lineRule="auto"/>
              <w:ind w:left="298"/>
              <w:rPr>
                <w:sz w:val="20"/>
                <w:szCs w:val="20"/>
              </w:rPr>
            </w:pPr>
            <w:r>
              <w:rPr>
                <w:sz w:val="20"/>
                <w:szCs w:val="20"/>
              </w:rPr>
              <w:t>0</w:t>
            </w:r>
          </w:p>
        </w:tc>
        <w:tc>
          <w:tcPr>
            <w:tcW w:w="915" w:type="dxa"/>
            <w:vAlign w:val="top"/>
          </w:tcPr>
          <w:p w14:paraId="4D68E908">
            <w:pPr>
              <w:pStyle w:val="6"/>
              <w:spacing w:before="93" w:line="195" w:lineRule="auto"/>
              <w:ind w:left="223"/>
              <w:rPr>
                <w:sz w:val="20"/>
                <w:szCs w:val="20"/>
              </w:rPr>
            </w:pPr>
            <w:r>
              <w:rPr>
                <w:spacing w:val="3"/>
                <w:sz w:val="20"/>
                <w:szCs w:val="20"/>
              </w:rPr>
              <w:t>48.25</w:t>
            </w:r>
          </w:p>
        </w:tc>
        <w:tc>
          <w:tcPr>
            <w:tcW w:w="930" w:type="dxa"/>
            <w:vAlign w:val="top"/>
          </w:tcPr>
          <w:p w14:paraId="1EC00F49">
            <w:pPr>
              <w:pStyle w:val="6"/>
              <w:spacing w:before="93" w:line="195" w:lineRule="auto"/>
              <w:ind w:left="236"/>
              <w:rPr>
                <w:sz w:val="20"/>
                <w:szCs w:val="20"/>
              </w:rPr>
            </w:pPr>
            <w:r>
              <w:rPr>
                <w:spacing w:val="2"/>
                <w:sz w:val="20"/>
                <w:szCs w:val="20"/>
              </w:rPr>
              <w:t>50.28</w:t>
            </w:r>
          </w:p>
        </w:tc>
        <w:tc>
          <w:tcPr>
            <w:tcW w:w="855" w:type="dxa"/>
            <w:vAlign w:val="top"/>
          </w:tcPr>
          <w:p w14:paraId="6A41F8E1">
            <w:pPr>
              <w:pStyle w:val="6"/>
              <w:spacing w:before="93" w:line="195" w:lineRule="auto"/>
              <w:ind w:left="245"/>
              <w:rPr>
                <w:sz w:val="20"/>
                <w:szCs w:val="20"/>
              </w:rPr>
            </w:pPr>
            <w:r>
              <w:rPr>
                <w:spacing w:val="3"/>
                <w:sz w:val="20"/>
                <w:szCs w:val="20"/>
              </w:rPr>
              <w:t>4.28</w:t>
            </w:r>
          </w:p>
        </w:tc>
        <w:tc>
          <w:tcPr>
            <w:tcW w:w="689" w:type="dxa"/>
            <w:tcBorders>
              <w:right w:val="nil"/>
            </w:tcBorders>
            <w:vAlign w:val="top"/>
          </w:tcPr>
          <w:p w14:paraId="16619530">
            <w:pPr>
              <w:pStyle w:val="6"/>
              <w:spacing w:before="93" w:line="195" w:lineRule="auto"/>
              <w:ind w:left="297"/>
              <w:rPr>
                <w:sz w:val="20"/>
                <w:szCs w:val="20"/>
              </w:rPr>
            </w:pPr>
            <w:r>
              <w:rPr>
                <w:sz w:val="20"/>
                <w:szCs w:val="20"/>
              </w:rPr>
              <w:t>0</w:t>
            </w:r>
          </w:p>
        </w:tc>
      </w:tr>
      <w:tr w14:paraId="328FC7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3" w:hRule="atLeast"/>
        </w:trPr>
        <w:tc>
          <w:tcPr>
            <w:tcW w:w="533" w:type="dxa"/>
            <w:vMerge w:val="continue"/>
            <w:tcBorders>
              <w:top w:val="nil"/>
              <w:left w:val="nil"/>
            </w:tcBorders>
            <w:vAlign w:val="top"/>
          </w:tcPr>
          <w:p w14:paraId="4A678A1A">
            <w:pPr>
              <w:rPr>
                <w:rFonts w:ascii="Arial"/>
                <w:sz w:val="21"/>
              </w:rPr>
            </w:pPr>
          </w:p>
        </w:tc>
        <w:tc>
          <w:tcPr>
            <w:tcW w:w="1042" w:type="dxa"/>
            <w:vMerge w:val="continue"/>
            <w:tcBorders>
              <w:top w:val="nil"/>
            </w:tcBorders>
            <w:vAlign w:val="top"/>
          </w:tcPr>
          <w:p w14:paraId="1E4E8477">
            <w:pPr>
              <w:rPr>
                <w:rFonts w:ascii="Arial"/>
                <w:sz w:val="21"/>
              </w:rPr>
            </w:pPr>
          </w:p>
        </w:tc>
        <w:tc>
          <w:tcPr>
            <w:tcW w:w="750" w:type="dxa"/>
            <w:vAlign w:val="top"/>
          </w:tcPr>
          <w:p w14:paraId="639291DB">
            <w:pPr>
              <w:spacing w:before="58" w:line="226" w:lineRule="auto"/>
              <w:ind w:left="176"/>
              <w:rPr>
                <w:rFonts w:ascii="仿宋" w:hAnsi="仿宋" w:eastAsia="仿宋" w:cs="仿宋"/>
                <w:sz w:val="20"/>
                <w:szCs w:val="20"/>
              </w:rPr>
            </w:pPr>
            <w:r>
              <w:rPr>
                <w:rFonts w:ascii="仿宋" w:hAnsi="仿宋" w:eastAsia="仿宋" w:cs="仿宋"/>
                <w:spacing w:val="2"/>
                <w:sz w:val="20"/>
                <w:szCs w:val="20"/>
              </w:rPr>
              <w:t>夜间</w:t>
            </w:r>
          </w:p>
        </w:tc>
        <w:tc>
          <w:tcPr>
            <w:tcW w:w="750" w:type="dxa"/>
            <w:vAlign w:val="top"/>
          </w:tcPr>
          <w:p w14:paraId="7ED8EE17">
            <w:pPr>
              <w:pStyle w:val="6"/>
              <w:spacing w:before="96" w:line="195" w:lineRule="auto"/>
              <w:ind w:left="270"/>
              <w:rPr>
                <w:sz w:val="20"/>
                <w:szCs w:val="20"/>
              </w:rPr>
            </w:pPr>
            <w:r>
              <w:rPr>
                <w:spacing w:val="3"/>
                <w:sz w:val="20"/>
                <w:szCs w:val="20"/>
              </w:rPr>
              <w:t>45</w:t>
            </w:r>
          </w:p>
        </w:tc>
        <w:tc>
          <w:tcPr>
            <w:tcW w:w="660" w:type="dxa"/>
            <w:vAlign w:val="top"/>
          </w:tcPr>
          <w:p w14:paraId="7FCB2BC2">
            <w:pPr>
              <w:pStyle w:val="6"/>
              <w:spacing w:before="96" w:line="195" w:lineRule="auto"/>
              <w:ind w:left="231"/>
              <w:rPr>
                <w:sz w:val="20"/>
                <w:szCs w:val="20"/>
              </w:rPr>
            </w:pPr>
            <w:r>
              <w:rPr>
                <w:sz w:val="20"/>
                <w:szCs w:val="20"/>
              </w:rPr>
              <w:t>39</w:t>
            </w:r>
          </w:p>
        </w:tc>
        <w:tc>
          <w:tcPr>
            <w:tcW w:w="1005" w:type="dxa"/>
            <w:vAlign w:val="top"/>
          </w:tcPr>
          <w:p w14:paraId="2B64578B">
            <w:pPr>
              <w:pStyle w:val="6"/>
              <w:spacing w:before="96" w:line="195" w:lineRule="auto"/>
              <w:ind w:left="319"/>
              <w:rPr>
                <w:sz w:val="20"/>
                <w:szCs w:val="20"/>
              </w:rPr>
            </w:pPr>
            <w:r>
              <w:rPr>
                <w:spacing w:val="3"/>
                <w:sz w:val="20"/>
                <w:szCs w:val="20"/>
              </w:rPr>
              <w:t>40.3</w:t>
            </w:r>
          </w:p>
        </w:tc>
        <w:tc>
          <w:tcPr>
            <w:tcW w:w="900" w:type="dxa"/>
            <w:vAlign w:val="top"/>
          </w:tcPr>
          <w:p w14:paraId="374F1A7C">
            <w:pPr>
              <w:pStyle w:val="6"/>
              <w:spacing w:before="96" w:line="195" w:lineRule="auto"/>
              <w:ind w:left="214"/>
              <w:rPr>
                <w:sz w:val="20"/>
                <w:szCs w:val="20"/>
              </w:rPr>
            </w:pPr>
            <w:r>
              <w:rPr>
                <w:spacing w:val="3"/>
                <w:sz w:val="20"/>
                <w:szCs w:val="20"/>
              </w:rPr>
              <w:t>42.31</w:t>
            </w:r>
          </w:p>
        </w:tc>
        <w:tc>
          <w:tcPr>
            <w:tcW w:w="1094" w:type="dxa"/>
            <w:vAlign w:val="top"/>
          </w:tcPr>
          <w:p w14:paraId="08341073">
            <w:pPr>
              <w:pStyle w:val="6"/>
              <w:spacing w:before="96" w:line="195" w:lineRule="auto"/>
              <w:ind w:left="368"/>
              <w:rPr>
                <w:sz w:val="20"/>
                <w:szCs w:val="20"/>
              </w:rPr>
            </w:pPr>
            <w:r>
              <w:rPr>
                <w:spacing w:val="2"/>
                <w:sz w:val="20"/>
                <w:szCs w:val="20"/>
              </w:rPr>
              <w:t>3.31</w:t>
            </w:r>
          </w:p>
        </w:tc>
        <w:tc>
          <w:tcPr>
            <w:tcW w:w="765" w:type="dxa"/>
            <w:vAlign w:val="top"/>
          </w:tcPr>
          <w:p w14:paraId="2E118246">
            <w:pPr>
              <w:pStyle w:val="6"/>
              <w:spacing w:before="96" w:line="195" w:lineRule="auto"/>
              <w:ind w:left="336"/>
              <w:rPr>
                <w:sz w:val="20"/>
                <w:szCs w:val="20"/>
              </w:rPr>
            </w:pPr>
            <w:r>
              <w:rPr>
                <w:sz w:val="20"/>
                <w:szCs w:val="20"/>
              </w:rPr>
              <w:t>0</w:t>
            </w:r>
          </w:p>
        </w:tc>
        <w:tc>
          <w:tcPr>
            <w:tcW w:w="870" w:type="dxa"/>
            <w:vAlign w:val="top"/>
          </w:tcPr>
          <w:p w14:paraId="2FFF1310">
            <w:pPr>
              <w:pStyle w:val="6"/>
              <w:spacing w:before="96" w:line="195" w:lineRule="auto"/>
              <w:ind w:left="253"/>
              <w:rPr>
                <w:sz w:val="20"/>
                <w:szCs w:val="20"/>
              </w:rPr>
            </w:pPr>
            <w:r>
              <w:rPr>
                <w:spacing w:val="3"/>
                <w:sz w:val="20"/>
                <w:szCs w:val="20"/>
              </w:rPr>
              <w:t>41.6</w:t>
            </w:r>
          </w:p>
        </w:tc>
        <w:tc>
          <w:tcPr>
            <w:tcW w:w="870" w:type="dxa"/>
            <w:vAlign w:val="top"/>
          </w:tcPr>
          <w:p w14:paraId="5781A589">
            <w:pPr>
              <w:pStyle w:val="6"/>
              <w:spacing w:before="96" w:line="195" w:lineRule="auto"/>
              <w:ind w:left="199"/>
              <w:rPr>
                <w:sz w:val="20"/>
                <w:szCs w:val="20"/>
              </w:rPr>
            </w:pPr>
            <w:r>
              <w:rPr>
                <w:spacing w:val="4"/>
                <w:sz w:val="20"/>
                <w:szCs w:val="20"/>
              </w:rPr>
              <w:t>43.17</w:t>
            </w:r>
          </w:p>
        </w:tc>
        <w:tc>
          <w:tcPr>
            <w:tcW w:w="855" w:type="dxa"/>
            <w:vAlign w:val="top"/>
          </w:tcPr>
          <w:p w14:paraId="04B52152">
            <w:pPr>
              <w:pStyle w:val="6"/>
              <w:spacing w:before="96" w:line="195" w:lineRule="auto"/>
              <w:ind w:left="244"/>
              <w:rPr>
                <w:sz w:val="20"/>
                <w:szCs w:val="20"/>
              </w:rPr>
            </w:pPr>
            <w:r>
              <w:rPr>
                <w:spacing w:val="3"/>
                <w:sz w:val="20"/>
                <w:szCs w:val="20"/>
              </w:rPr>
              <w:t>4.17</w:t>
            </w:r>
          </w:p>
        </w:tc>
        <w:tc>
          <w:tcPr>
            <w:tcW w:w="690" w:type="dxa"/>
            <w:vAlign w:val="top"/>
          </w:tcPr>
          <w:p w14:paraId="493D38E5">
            <w:pPr>
              <w:pStyle w:val="6"/>
              <w:spacing w:before="96" w:line="195" w:lineRule="auto"/>
              <w:ind w:left="298"/>
              <w:rPr>
                <w:sz w:val="20"/>
                <w:szCs w:val="20"/>
              </w:rPr>
            </w:pPr>
            <w:r>
              <w:rPr>
                <w:sz w:val="20"/>
                <w:szCs w:val="20"/>
              </w:rPr>
              <w:t>0</w:t>
            </w:r>
          </w:p>
        </w:tc>
        <w:tc>
          <w:tcPr>
            <w:tcW w:w="915" w:type="dxa"/>
            <w:vAlign w:val="top"/>
          </w:tcPr>
          <w:p w14:paraId="2C8714E0">
            <w:pPr>
              <w:pStyle w:val="6"/>
              <w:spacing w:before="96" w:line="195" w:lineRule="auto"/>
              <w:ind w:left="273"/>
              <w:rPr>
                <w:sz w:val="20"/>
                <w:szCs w:val="20"/>
              </w:rPr>
            </w:pPr>
            <w:r>
              <w:rPr>
                <w:spacing w:val="3"/>
                <w:sz w:val="20"/>
                <w:szCs w:val="20"/>
              </w:rPr>
              <w:t>41.6</w:t>
            </w:r>
          </w:p>
        </w:tc>
        <w:tc>
          <w:tcPr>
            <w:tcW w:w="930" w:type="dxa"/>
            <w:vAlign w:val="top"/>
          </w:tcPr>
          <w:p w14:paraId="17212FFA">
            <w:pPr>
              <w:pStyle w:val="6"/>
              <w:spacing w:before="96" w:line="195" w:lineRule="auto"/>
              <w:ind w:left="229"/>
              <w:rPr>
                <w:sz w:val="20"/>
                <w:szCs w:val="20"/>
              </w:rPr>
            </w:pPr>
            <w:r>
              <w:rPr>
                <w:spacing w:val="4"/>
                <w:sz w:val="20"/>
                <w:szCs w:val="20"/>
              </w:rPr>
              <w:t>43.17</w:t>
            </w:r>
          </w:p>
        </w:tc>
        <w:tc>
          <w:tcPr>
            <w:tcW w:w="855" w:type="dxa"/>
            <w:vAlign w:val="top"/>
          </w:tcPr>
          <w:p w14:paraId="6EF5090D">
            <w:pPr>
              <w:pStyle w:val="6"/>
              <w:spacing w:before="96" w:line="195" w:lineRule="auto"/>
              <w:ind w:left="245"/>
              <w:rPr>
                <w:sz w:val="20"/>
                <w:szCs w:val="20"/>
              </w:rPr>
            </w:pPr>
            <w:r>
              <w:rPr>
                <w:spacing w:val="3"/>
                <w:sz w:val="20"/>
                <w:szCs w:val="20"/>
              </w:rPr>
              <w:t>4.17</w:t>
            </w:r>
          </w:p>
        </w:tc>
        <w:tc>
          <w:tcPr>
            <w:tcW w:w="689" w:type="dxa"/>
            <w:tcBorders>
              <w:right w:val="nil"/>
            </w:tcBorders>
            <w:vAlign w:val="top"/>
          </w:tcPr>
          <w:p w14:paraId="5A86F1A6">
            <w:pPr>
              <w:pStyle w:val="6"/>
              <w:spacing w:before="96" w:line="195" w:lineRule="auto"/>
              <w:ind w:left="297"/>
              <w:rPr>
                <w:sz w:val="20"/>
                <w:szCs w:val="20"/>
              </w:rPr>
            </w:pPr>
            <w:r>
              <w:rPr>
                <w:sz w:val="20"/>
                <w:szCs w:val="20"/>
              </w:rPr>
              <w:t>0</w:t>
            </w:r>
          </w:p>
        </w:tc>
      </w:tr>
      <w:tr w14:paraId="6FB89E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533" w:type="dxa"/>
            <w:vMerge w:val="restart"/>
            <w:tcBorders>
              <w:left w:val="nil"/>
              <w:bottom w:val="nil"/>
            </w:tcBorders>
            <w:vAlign w:val="top"/>
          </w:tcPr>
          <w:p w14:paraId="4D252211">
            <w:pPr>
              <w:pStyle w:val="6"/>
              <w:spacing w:before="261" w:line="195" w:lineRule="auto"/>
              <w:ind w:left="185"/>
              <w:rPr>
                <w:sz w:val="20"/>
                <w:szCs w:val="20"/>
              </w:rPr>
            </w:pPr>
            <w:r>
              <w:rPr>
                <w:spacing w:val="-8"/>
                <w:sz w:val="20"/>
                <w:szCs w:val="20"/>
              </w:rPr>
              <w:t>13</w:t>
            </w:r>
          </w:p>
        </w:tc>
        <w:tc>
          <w:tcPr>
            <w:tcW w:w="1042" w:type="dxa"/>
            <w:vMerge w:val="restart"/>
            <w:tcBorders>
              <w:bottom w:val="nil"/>
            </w:tcBorders>
            <w:vAlign w:val="top"/>
          </w:tcPr>
          <w:p w14:paraId="0DFDDDCB">
            <w:pPr>
              <w:spacing w:before="69" w:line="255" w:lineRule="auto"/>
              <w:ind w:left="430" w:right="204" w:hanging="211"/>
              <w:rPr>
                <w:rFonts w:ascii="仿宋" w:hAnsi="仿宋" w:eastAsia="仿宋" w:cs="仿宋"/>
                <w:sz w:val="20"/>
                <w:szCs w:val="20"/>
              </w:rPr>
            </w:pPr>
            <w:r>
              <w:rPr>
                <w:rFonts w:ascii="仿宋" w:hAnsi="仿宋" w:eastAsia="仿宋" w:cs="仿宋"/>
                <w:spacing w:val="4"/>
                <w:sz w:val="20"/>
                <w:szCs w:val="20"/>
              </w:rPr>
              <w:t>张家圪</w:t>
            </w:r>
            <w:r>
              <w:rPr>
                <w:rFonts w:ascii="仿宋" w:hAnsi="仿宋" w:eastAsia="仿宋" w:cs="仿宋"/>
                <w:sz w:val="20"/>
                <w:szCs w:val="20"/>
              </w:rPr>
              <w:t>旦</w:t>
            </w:r>
          </w:p>
        </w:tc>
        <w:tc>
          <w:tcPr>
            <w:tcW w:w="750" w:type="dxa"/>
            <w:vAlign w:val="top"/>
          </w:tcPr>
          <w:p w14:paraId="2E3B3E53">
            <w:pPr>
              <w:spacing w:before="62" w:line="223" w:lineRule="auto"/>
              <w:ind w:left="176"/>
              <w:rPr>
                <w:rFonts w:ascii="仿宋" w:hAnsi="仿宋" w:eastAsia="仿宋" w:cs="仿宋"/>
                <w:sz w:val="20"/>
                <w:szCs w:val="20"/>
              </w:rPr>
            </w:pPr>
            <w:r>
              <w:rPr>
                <w:rFonts w:ascii="仿宋" w:hAnsi="仿宋" w:eastAsia="仿宋" w:cs="仿宋"/>
                <w:spacing w:val="2"/>
                <w:sz w:val="20"/>
                <w:szCs w:val="20"/>
              </w:rPr>
              <w:t>昼间</w:t>
            </w:r>
          </w:p>
        </w:tc>
        <w:tc>
          <w:tcPr>
            <w:tcW w:w="750" w:type="dxa"/>
            <w:vAlign w:val="top"/>
          </w:tcPr>
          <w:p w14:paraId="382511EF">
            <w:pPr>
              <w:pStyle w:val="6"/>
              <w:spacing w:before="103" w:line="192" w:lineRule="auto"/>
              <w:ind w:left="276"/>
              <w:rPr>
                <w:sz w:val="20"/>
                <w:szCs w:val="20"/>
              </w:rPr>
            </w:pPr>
            <w:r>
              <w:rPr>
                <w:sz w:val="20"/>
                <w:szCs w:val="20"/>
              </w:rPr>
              <w:t>55</w:t>
            </w:r>
          </w:p>
        </w:tc>
        <w:tc>
          <w:tcPr>
            <w:tcW w:w="660" w:type="dxa"/>
            <w:vAlign w:val="top"/>
          </w:tcPr>
          <w:p w14:paraId="213760E7">
            <w:pPr>
              <w:pStyle w:val="6"/>
              <w:spacing w:before="100" w:line="195" w:lineRule="auto"/>
              <w:ind w:left="225"/>
              <w:rPr>
                <w:sz w:val="20"/>
                <w:szCs w:val="20"/>
              </w:rPr>
            </w:pPr>
            <w:r>
              <w:rPr>
                <w:spacing w:val="3"/>
                <w:sz w:val="20"/>
                <w:szCs w:val="20"/>
              </w:rPr>
              <w:t>46</w:t>
            </w:r>
          </w:p>
        </w:tc>
        <w:tc>
          <w:tcPr>
            <w:tcW w:w="1005" w:type="dxa"/>
            <w:vAlign w:val="top"/>
          </w:tcPr>
          <w:p w14:paraId="36CBE643">
            <w:pPr>
              <w:pStyle w:val="6"/>
              <w:spacing w:before="100" w:line="195" w:lineRule="auto"/>
              <w:ind w:left="271"/>
              <w:rPr>
                <w:sz w:val="20"/>
                <w:szCs w:val="20"/>
              </w:rPr>
            </w:pPr>
            <w:r>
              <w:rPr>
                <w:spacing w:val="3"/>
                <w:sz w:val="20"/>
                <w:szCs w:val="20"/>
              </w:rPr>
              <w:t>33.99</w:t>
            </w:r>
          </w:p>
        </w:tc>
        <w:tc>
          <w:tcPr>
            <w:tcW w:w="900" w:type="dxa"/>
            <w:vAlign w:val="top"/>
          </w:tcPr>
          <w:p w14:paraId="78A88B58">
            <w:pPr>
              <w:pStyle w:val="6"/>
              <w:spacing w:before="100" w:line="195" w:lineRule="auto"/>
              <w:ind w:left="214"/>
              <w:rPr>
                <w:sz w:val="20"/>
                <w:szCs w:val="20"/>
              </w:rPr>
            </w:pPr>
            <w:r>
              <w:rPr>
                <w:spacing w:val="3"/>
                <w:sz w:val="20"/>
                <w:szCs w:val="20"/>
              </w:rPr>
              <w:t>46.26</w:t>
            </w:r>
          </w:p>
        </w:tc>
        <w:tc>
          <w:tcPr>
            <w:tcW w:w="1094" w:type="dxa"/>
            <w:vAlign w:val="top"/>
          </w:tcPr>
          <w:p w14:paraId="689F3992">
            <w:pPr>
              <w:pStyle w:val="6"/>
              <w:spacing w:before="100" w:line="195" w:lineRule="auto"/>
              <w:ind w:left="367"/>
              <w:rPr>
                <w:sz w:val="20"/>
                <w:szCs w:val="20"/>
              </w:rPr>
            </w:pPr>
            <w:r>
              <w:rPr>
                <w:spacing w:val="2"/>
                <w:sz w:val="20"/>
                <w:szCs w:val="20"/>
              </w:rPr>
              <w:t>0.26</w:t>
            </w:r>
          </w:p>
        </w:tc>
        <w:tc>
          <w:tcPr>
            <w:tcW w:w="765" w:type="dxa"/>
            <w:vAlign w:val="top"/>
          </w:tcPr>
          <w:p w14:paraId="2F16D03B">
            <w:pPr>
              <w:pStyle w:val="6"/>
              <w:spacing w:before="100" w:line="195" w:lineRule="auto"/>
              <w:ind w:left="336"/>
              <w:rPr>
                <w:sz w:val="20"/>
                <w:szCs w:val="20"/>
              </w:rPr>
            </w:pPr>
            <w:r>
              <w:rPr>
                <w:sz w:val="20"/>
                <w:szCs w:val="20"/>
              </w:rPr>
              <w:t>0</w:t>
            </w:r>
          </w:p>
        </w:tc>
        <w:tc>
          <w:tcPr>
            <w:tcW w:w="870" w:type="dxa"/>
            <w:vAlign w:val="top"/>
          </w:tcPr>
          <w:p w14:paraId="38B95DD7">
            <w:pPr>
              <w:pStyle w:val="6"/>
              <w:spacing w:before="100" w:line="195" w:lineRule="auto"/>
              <w:ind w:left="203"/>
              <w:rPr>
                <w:sz w:val="20"/>
                <w:szCs w:val="20"/>
              </w:rPr>
            </w:pPr>
            <w:r>
              <w:rPr>
                <w:spacing w:val="3"/>
                <w:sz w:val="20"/>
                <w:szCs w:val="20"/>
              </w:rPr>
              <w:t>36.26</w:t>
            </w:r>
          </w:p>
        </w:tc>
        <w:tc>
          <w:tcPr>
            <w:tcW w:w="870" w:type="dxa"/>
            <w:vAlign w:val="top"/>
          </w:tcPr>
          <w:p w14:paraId="5B910E1F">
            <w:pPr>
              <w:pStyle w:val="6"/>
              <w:spacing w:before="100" w:line="195" w:lineRule="auto"/>
              <w:ind w:left="199"/>
              <w:rPr>
                <w:sz w:val="20"/>
                <w:szCs w:val="20"/>
              </w:rPr>
            </w:pPr>
            <w:r>
              <w:rPr>
                <w:spacing w:val="4"/>
                <w:sz w:val="20"/>
                <w:szCs w:val="20"/>
              </w:rPr>
              <w:t>46.44</w:t>
            </w:r>
          </w:p>
        </w:tc>
        <w:tc>
          <w:tcPr>
            <w:tcW w:w="855" w:type="dxa"/>
            <w:vAlign w:val="top"/>
          </w:tcPr>
          <w:p w14:paraId="22A33180">
            <w:pPr>
              <w:pStyle w:val="6"/>
              <w:spacing w:before="100" w:line="195" w:lineRule="auto"/>
              <w:ind w:left="248"/>
              <w:rPr>
                <w:sz w:val="20"/>
                <w:szCs w:val="20"/>
              </w:rPr>
            </w:pPr>
            <w:r>
              <w:rPr>
                <w:spacing w:val="2"/>
                <w:sz w:val="20"/>
                <w:szCs w:val="20"/>
              </w:rPr>
              <w:t>0.44</w:t>
            </w:r>
          </w:p>
        </w:tc>
        <w:tc>
          <w:tcPr>
            <w:tcW w:w="690" w:type="dxa"/>
            <w:vAlign w:val="top"/>
          </w:tcPr>
          <w:p w14:paraId="05B34891">
            <w:pPr>
              <w:pStyle w:val="6"/>
              <w:spacing w:before="100" w:line="195" w:lineRule="auto"/>
              <w:ind w:left="298"/>
              <w:rPr>
                <w:sz w:val="20"/>
                <w:szCs w:val="20"/>
              </w:rPr>
            </w:pPr>
            <w:r>
              <w:rPr>
                <w:sz w:val="20"/>
                <w:szCs w:val="20"/>
              </w:rPr>
              <w:t>0</w:t>
            </w:r>
          </w:p>
        </w:tc>
        <w:tc>
          <w:tcPr>
            <w:tcW w:w="915" w:type="dxa"/>
            <w:vAlign w:val="top"/>
          </w:tcPr>
          <w:p w14:paraId="6A840C7A">
            <w:pPr>
              <w:pStyle w:val="6"/>
              <w:spacing w:before="100" w:line="195" w:lineRule="auto"/>
              <w:ind w:left="228"/>
              <w:rPr>
                <w:sz w:val="20"/>
                <w:szCs w:val="20"/>
              </w:rPr>
            </w:pPr>
            <w:r>
              <w:rPr>
                <w:spacing w:val="2"/>
                <w:sz w:val="20"/>
                <w:szCs w:val="20"/>
              </w:rPr>
              <w:t>36.48</w:t>
            </w:r>
          </w:p>
        </w:tc>
        <w:tc>
          <w:tcPr>
            <w:tcW w:w="930" w:type="dxa"/>
            <w:vAlign w:val="top"/>
          </w:tcPr>
          <w:p w14:paraId="539508C4">
            <w:pPr>
              <w:pStyle w:val="6"/>
              <w:spacing w:before="100" w:line="195" w:lineRule="auto"/>
              <w:ind w:left="229"/>
              <w:rPr>
                <w:sz w:val="20"/>
                <w:szCs w:val="20"/>
              </w:rPr>
            </w:pPr>
            <w:r>
              <w:rPr>
                <w:spacing w:val="4"/>
                <w:sz w:val="20"/>
                <w:szCs w:val="20"/>
              </w:rPr>
              <w:t>46.46</w:t>
            </w:r>
          </w:p>
        </w:tc>
        <w:tc>
          <w:tcPr>
            <w:tcW w:w="855" w:type="dxa"/>
            <w:vAlign w:val="top"/>
          </w:tcPr>
          <w:p w14:paraId="653491DE">
            <w:pPr>
              <w:pStyle w:val="6"/>
              <w:spacing w:before="100" w:line="195" w:lineRule="auto"/>
              <w:ind w:left="249"/>
              <w:rPr>
                <w:sz w:val="20"/>
                <w:szCs w:val="20"/>
              </w:rPr>
            </w:pPr>
            <w:r>
              <w:rPr>
                <w:spacing w:val="2"/>
                <w:sz w:val="20"/>
                <w:szCs w:val="20"/>
              </w:rPr>
              <w:t>0.46</w:t>
            </w:r>
          </w:p>
        </w:tc>
        <w:tc>
          <w:tcPr>
            <w:tcW w:w="689" w:type="dxa"/>
            <w:tcBorders>
              <w:right w:val="nil"/>
            </w:tcBorders>
            <w:vAlign w:val="top"/>
          </w:tcPr>
          <w:p w14:paraId="43C90600">
            <w:pPr>
              <w:pStyle w:val="6"/>
              <w:spacing w:before="100" w:line="195" w:lineRule="auto"/>
              <w:ind w:left="297"/>
              <w:rPr>
                <w:sz w:val="20"/>
                <w:szCs w:val="20"/>
              </w:rPr>
            </w:pPr>
            <w:r>
              <w:rPr>
                <w:sz w:val="20"/>
                <w:szCs w:val="20"/>
              </w:rPr>
              <w:t>0</w:t>
            </w:r>
          </w:p>
        </w:tc>
      </w:tr>
      <w:tr w14:paraId="13886F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3" w:hRule="atLeast"/>
        </w:trPr>
        <w:tc>
          <w:tcPr>
            <w:tcW w:w="533" w:type="dxa"/>
            <w:vMerge w:val="continue"/>
            <w:tcBorders>
              <w:top w:val="nil"/>
              <w:left w:val="nil"/>
            </w:tcBorders>
            <w:vAlign w:val="top"/>
          </w:tcPr>
          <w:p w14:paraId="7FA0981D">
            <w:pPr>
              <w:rPr>
                <w:rFonts w:ascii="Arial"/>
                <w:sz w:val="21"/>
              </w:rPr>
            </w:pPr>
          </w:p>
        </w:tc>
        <w:tc>
          <w:tcPr>
            <w:tcW w:w="1042" w:type="dxa"/>
            <w:vMerge w:val="continue"/>
            <w:tcBorders>
              <w:top w:val="nil"/>
            </w:tcBorders>
            <w:vAlign w:val="top"/>
          </w:tcPr>
          <w:p w14:paraId="3812EE89">
            <w:pPr>
              <w:rPr>
                <w:rFonts w:ascii="Arial"/>
                <w:sz w:val="21"/>
              </w:rPr>
            </w:pPr>
          </w:p>
        </w:tc>
        <w:tc>
          <w:tcPr>
            <w:tcW w:w="750" w:type="dxa"/>
            <w:vAlign w:val="top"/>
          </w:tcPr>
          <w:p w14:paraId="6C7CBA65">
            <w:pPr>
              <w:spacing w:before="66" w:line="218" w:lineRule="auto"/>
              <w:ind w:left="176"/>
              <w:rPr>
                <w:rFonts w:ascii="仿宋" w:hAnsi="仿宋" w:eastAsia="仿宋" w:cs="仿宋"/>
                <w:sz w:val="20"/>
                <w:szCs w:val="20"/>
              </w:rPr>
            </w:pPr>
            <w:r>
              <w:rPr>
                <w:rFonts w:ascii="仿宋" w:hAnsi="仿宋" w:eastAsia="仿宋" w:cs="仿宋"/>
                <w:spacing w:val="2"/>
                <w:sz w:val="20"/>
                <w:szCs w:val="20"/>
              </w:rPr>
              <w:t>夜间</w:t>
            </w:r>
          </w:p>
        </w:tc>
        <w:tc>
          <w:tcPr>
            <w:tcW w:w="750" w:type="dxa"/>
            <w:vAlign w:val="top"/>
          </w:tcPr>
          <w:p w14:paraId="37BF32EF">
            <w:pPr>
              <w:pStyle w:val="6"/>
              <w:spacing w:before="103" w:line="195" w:lineRule="auto"/>
              <w:ind w:left="270"/>
              <w:rPr>
                <w:sz w:val="20"/>
                <w:szCs w:val="20"/>
              </w:rPr>
            </w:pPr>
            <w:r>
              <w:rPr>
                <w:spacing w:val="3"/>
                <w:sz w:val="20"/>
                <w:szCs w:val="20"/>
              </w:rPr>
              <w:t>45</w:t>
            </w:r>
          </w:p>
        </w:tc>
        <w:tc>
          <w:tcPr>
            <w:tcW w:w="660" w:type="dxa"/>
            <w:vAlign w:val="top"/>
          </w:tcPr>
          <w:p w14:paraId="66C15BD9">
            <w:pPr>
              <w:pStyle w:val="6"/>
              <w:spacing w:before="103" w:line="195" w:lineRule="auto"/>
              <w:ind w:left="231"/>
              <w:rPr>
                <w:sz w:val="20"/>
                <w:szCs w:val="20"/>
              </w:rPr>
            </w:pPr>
            <w:r>
              <w:rPr>
                <w:sz w:val="20"/>
                <w:szCs w:val="20"/>
              </w:rPr>
              <w:t>36</w:t>
            </w:r>
          </w:p>
        </w:tc>
        <w:tc>
          <w:tcPr>
            <w:tcW w:w="1005" w:type="dxa"/>
            <w:vAlign w:val="top"/>
          </w:tcPr>
          <w:p w14:paraId="37CB4A74">
            <w:pPr>
              <w:pStyle w:val="6"/>
              <w:spacing w:before="103" w:line="195" w:lineRule="auto"/>
              <w:ind w:left="271"/>
              <w:rPr>
                <w:sz w:val="20"/>
                <w:szCs w:val="20"/>
              </w:rPr>
            </w:pPr>
            <w:r>
              <w:rPr>
                <w:spacing w:val="3"/>
                <w:sz w:val="20"/>
                <w:szCs w:val="20"/>
              </w:rPr>
              <w:t>32.89</w:t>
            </w:r>
          </w:p>
        </w:tc>
        <w:tc>
          <w:tcPr>
            <w:tcW w:w="900" w:type="dxa"/>
            <w:vAlign w:val="top"/>
          </w:tcPr>
          <w:p w14:paraId="7843A90D">
            <w:pPr>
              <w:pStyle w:val="6"/>
              <w:spacing w:before="103" w:line="195" w:lineRule="auto"/>
              <w:ind w:left="219"/>
              <w:rPr>
                <w:sz w:val="20"/>
                <w:szCs w:val="20"/>
              </w:rPr>
            </w:pPr>
            <w:r>
              <w:rPr>
                <w:spacing w:val="2"/>
                <w:sz w:val="20"/>
                <w:szCs w:val="20"/>
              </w:rPr>
              <w:t>37.73</w:t>
            </w:r>
          </w:p>
        </w:tc>
        <w:tc>
          <w:tcPr>
            <w:tcW w:w="1094" w:type="dxa"/>
            <w:vAlign w:val="top"/>
          </w:tcPr>
          <w:p w14:paraId="35A7DF38">
            <w:pPr>
              <w:pStyle w:val="6"/>
              <w:spacing w:before="103" w:line="195" w:lineRule="auto"/>
              <w:ind w:left="384"/>
              <w:rPr>
                <w:sz w:val="20"/>
                <w:szCs w:val="20"/>
              </w:rPr>
            </w:pPr>
            <w:r>
              <w:rPr>
                <w:spacing w:val="-2"/>
                <w:sz w:val="20"/>
                <w:szCs w:val="20"/>
              </w:rPr>
              <w:t>1.73</w:t>
            </w:r>
          </w:p>
        </w:tc>
        <w:tc>
          <w:tcPr>
            <w:tcW w:w="765" w:type="dxa"/>
            <w:vAlign w:val="top"/>
          </w:tcPr>
          <w:p w14:paraId="2FD64CFE">
            <w:pPr>
              <w:pStyle w:val="6"/>
              <w:spacing w:before="103" w:line="195" w:lineRule="auto"/>
              <w:ind w:left="336"/>
              <w:rPr>
                <w:sz w:val="20"/>
                <w:szCs w:val="20"/>
              </w:rPr>
            </w:pPr>
            <w:r>
              <w:rPr>
                <w:sz w:val="20"/>
                <w:szCs w:val="20"/>
              </w:rPr>
              <w:t>0</w:t>
            </w:r>
          </w:p>
        </w:tc>
        <w:tc>
          <w:tcPr>
            <w:tcW w:w="870" w:type="dxa"/>
            <w:vAlign w:val="top"/>
          </w:tcPr>
          <w:p w14:paraId="7EF27297">
            <w:pPr>
              <w:pStyle w:val="6"/>
              <w:spacing w:before="103" w:line="195" w:lineRule="auto"/>
              <w:ind w:left="203"/>
              <w:rPr>
                <w:sz w:val="20"/>
                <w:szCs w:val="20"/>
              </w:rPr>
            </w:pPr>
            <w:r>
              <w:rPr>
                <w:spacing w:val="3"/>
                <w:sz w:val="20"/>
                <w:szCs w:val="20"/>
              </w:rPr>
              <w:t>33.36</w:t>
            </w:r>
          </w:p>
        </w:tc>
        <w:tc>
          <w:tcPr>
            <w:tcW w:w="870" w:type="dxa"/>
            <w:vAlign w:val="top"/>
          </w:tcPr>
          <w:p w14:paraId="7BA38D7A">
            <w:pPr>
              <w:pStyle w:val="6"/>
              <w:spacing w:before="103" w:line="195" w:lineRule="auto"/>
              <w:ind w:left="205"/>
              <w:rPr>
                <w:sz w:val="20"/>
                <w:szCs w:val="20"/>
              </w:rPr>
            </w:pPr>
            <w:r>
              <w:rPr>
                <w:spacing w:val="3"/>
                <w:sz w:val="20"/>
                <w:szCs w:val="20"/>
              </w:rPr>
              <w:t>37.89</w:t>
            </w:r>
          </w:p>
        </w:tc>
        <w:tc>
          <w:tcPr>
            <w:tcW w:w="855" w:type="dxa"/>
            <w:vAlign w:val="top"/>
          </w:tcPr>
          <w:p w14:paraId="2561E698">
            <w:pPr>
              <w:pStyle w:val="6"/>
              <w:spacing w:before="103" w:line="195" w:lineRule="auto"/>
              <w:ind w:left="265"/>
              <w:rPr>
                <w:sz w:val="20"/>
                <w:szCs w:val="20"/>
              </w:rPr>
            </w:pPr>
            <w:r>
              <w:rPr>
                <w:spacing w:val="-2"/>
                <w:sz w:val="20"/>
                <w:szCs w:val="20"/>
              </w:rPr>
              <w:t>1.89</w:t>
            </w:r>
          </w:p>
        </w:tc>
        <w:tc>
          <w:tcPr>
            <w:tcW w:w="690" w:type="dxa"/>
            <w:vAlign w:val="top"/>
          </w:tcPr>
          <w:p w14:paraId="3103A0D6">
            <w:pPr>
              <w:pStyle w:val="6"/>
              <w:spacing w:before="103" w:line="195" w:lineRule="auto"/>
              <w:ind w:left="298"/>
              <w:rPr>
                <w:sz w:val="20"/>
                <w:szCs w:val="20"/>
              </w:rPr>
            </w:pPr>
            <w:r>
              <w:rPr>
                <w:sz w:val="20"/>
                <w:szCs w:val="20"/>
              </w:rPr>
              <w:t>0</w:t>
            </w:r>
          </w:p>
        </w:tc>
        <w:tc>
          <w:tcPr>
            <w:tcW w:w="915" w:type="dxa"/>
            <w:vAlign w:val="top"/>
          </w:tcPr>
          <w:p w14:paraId="24667B62">
            <w:pPr>
              <w:pStyle w:val="6"/>
              <w:spacing w:before="103" w:line="195" w:lineRule="auto"/>
              <w:ind w:left="228"/>
              <w:rPr>
                <w:sz w:val="20"/>
                <w:szCs w:val="20"/>
              </w:rPr>
            </w:pPr>
            <w:r>
              <w:rPr>
                <w:spacing w:val="2"/>
                <w:sz w:val="20"/>
                <w:szCs w:val="20"/>
              </w:rPr>
              <w:t>33.36</w:t>
            </w:r>
          </w:p>
        </w:tc>
        <w:tc>
          <w:tcPr>
            <w:tcW w:w="930" w:type="dxa"/>
            <w:vAlign w:val="top"/>
          </w:tcPr>
          <w:p w14:paraId="23E6F7F7">
            <w:pPr>
              <w:pStyle w:val="6"/>
              <w:spacing w:before="103" w:line="195" w:lineRule="auto"/>
              <w:ind w:left="235"/>
              <w:rPr>
                <w:sz w:val="20"/>
                <w:szCs w:val="20"/>
              </w:rPr>
            </w:pPr>
            <w:r>
              <w:rPr>
                <w:spacing w:val="3"/>
                <w:sz w:val="20"/>
                <w:szCs w:val="20"/>
              </w:rPr>
              <w:t>37.89</w:t>
            </w:r>
          </w:p>
        </w:tc>
        <w:tc>
          <w:tcPr>
            <w:tcW w:w="855" w:type="dxa"/>
            <w:vAlign w:val="top"/>
          </w:tcPr>
          <w:p w14:paraId="707431E7">
            <w:pPr>
              <w:pStyle w:val="6"/>
              <w:spacing w:before="103" w:line="195" w:lineRule="auto"/>
              <w:ind w:left="266"/>
              <w:rPr>
                <w:sz w:val="20"/>
                <w:szCs w:val="20"/>
              </w:rPr>
            </w:pPr>
            <w:r>
              <w:rPr>
                <w:spacing w:val="-2"/>
                <w:sz w:val="20"/>
                <w:szCs w:val="20"/>
              </w:rPr>
              <w:t>1.89</w:t>
            </w:r>
          </w:p>
        </w:tc>
        <w:tc>
          <w:tcPr>
            <w:tcW w:w="689" w:type="dxa"/>
            <w:tcBorders>
              <w:right w:val="nil"/>
            </w:tcBorders>
            <w:vAlign w:val="top"/>
          </w:tcPr>
          <w:p w14:paraId="04B61230">
            <w:pPr>
              <w:pStyle w:val="6"/>
              <w:spacing w:before="103" w:line="195" w:lineRule="auto"/>
              <w:ind w:left="297"/>
              <w:rPr>
                <w:sz w:val="20"/>
                <w:szCs w:val="20"/>
              </w:rPr>
            </w:pPr>
            <w:r>
              <w:rPr>
                <w:sz w:val="20"/>
                <w:szCs w:val="20"/>
              </w:rPr>
              <w:t>0</w:t>
            </w:r>
          </w:p>
        </w:tc>
      </w:tr>
      <w:tr w14:paraId="59FC80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533" w:type="dxa"/>
            <w:vMerge w:val="restart"/>
            <w:tcBorders>
              <w:left w:val="nil"/>
              <w:bottom w:val="nil"/>
            </w:tcBorders>
            <w:vAlign w:val="top"/>
          </w:tcPr>
          <w:p w14:paraId="6F978718">
            <w:pPr>
              <w:pStyle w:val="6"/>
              <w:spacing w:before="267" w:line="195" w:lineRule="auto"/>
              <w:ind w:left="185"/>
              <w:rPr>
                <w:sz w:val="20"/>
                <w:szCs w:val="20"/>
              </w:rPr>
            </w:pPr>
            <w:r>
              <w:rPr>
                <w:spacing w:val="-8"/>
                <w:sz w:val="20"/>
                <w:szCs w:val="20"/>
              </w:rPr>
              <w:t>14</w:t>
            </w:r>
          </w:p>
        </w:tc>
        <w:tc>
          <w:tcPr>
            <w:tcW w:w="1042" w:type="dxa"/>
            <w:vMerge w:val="restart"/>
            <w:tcBorders>
              <w:bottom w:val="nil"/>
            </w:tcBorders>
            <w:vAlign w:val="top"/>
          </w:tcPr>
          <w:p w14:paraId="51A0AD2A">
            <w:pPr>
              <w:spacing w:before="231" w:line="231" w:lineRule="auto"/>
              <w:ind w:left="217"/>
              <w:rPr>
                <w:rFonts w:ascii="仿宋" w:hAnsi="仿宋" w:eastAsia="仿宋" w:cs="仿宋"/>
                <w:sz w:val="20"/>
                <w:szCs w:val="20"/>
              </w:rPr>
            </w:pPr>
            <w:r>
              <w:rPr>
                <w:rFonts w:ascii="仿宋" w:hAnsi="仿宋" w:eastAsia="仿宋" w:cs="仿宋"/>
                <w:spacing w:val="5"/>
                <w:sz w:val="20"/>
                <w:szCs w:val="20"/>
              </w:rPr>
              <w:t>神官湾</w:t>
            </w:r>
          </w:p>
        </w:tc>
        <w:tc>
          <w:tcPr>
            <w:tcW w:w="750" w:type="dxa"/>
            <w:vAlign w:val="top"/>
          </w:tcPr>
          <w:p w14:paraId="02C1A8DF">
            <w:pPr>
              <w:spacing w:before="71" w:line="215" w:lineRule="auto"/>
              <w:ind w:left="176"/>
              <w:rPr>
                <w:rFonts w:ascii="仿宋" w:hAnsi="仿宋" w:eastAsia="仿宋" w:cs="仿宋"/>
                <w:sz w:val="20"/>
                <w:szCs w:val="20"/>
              </w:rPr>
            </w:pPr>
            <w:r>
              <w:rPr>
                <w:rFonts w:ascii="仿宋" w:hAnsi="仿宋" w:eastAsia="仿宋" w:cs="仿宋"/>
                <w:spacing w:val="2"/>
                <w:sz w:val="20"/>
                <w:szCs w:val="20"/>
              </w:rPr>
              <w:t>昼间</w:t>
            </w:r>
          </w:p>
        </w:tc>
        <w:tc>
          <w:tcPr>
            <w:tcW w:w="750" w:type="dxa"/>
            <w:vAlign w:val="top"/>
          </w:tcPr>
          <w:p w14:paraId="00D80D0E">
            <w:pPr>
              <w:pStyle w:val="6"/>
              <w:spacing w:before="109" w:line="192" w:lineRule="auto"/>
              <w:ind w:left="276"/>
              <w:rPr>
                <w:sz w:val="20"/>
                <w:szCs w:val="20"/>
              </w:rPr>
            </w:pPr>
            <w:r>
              <w:rPr>
                <w:sz w:val="20"/>
                <w:szCs w:val="20"/>
              </w:rPr>
              <w:t>55</w:t>
            </w:r>
          </w:p>
        </w:tc>
        <w:tc>
          <w:tcPr>
            <w:tcW w:w="660" w:type="dxa"/>
            <w:vAlign w:val="top"/>
          </w:tcPr>
          <w:p w14:paraId="64207003">
            <w:pPr>
              <w:pStyle w:val="6"/>
              <w:spacing w:before="106" w:line="195" w:lineRule="auto"/>
              <w:ind w:left="232"/>
              <w:rPr>
                <w:sz w:val="20"/>
                <w:szCs w:val="20"/>
              </w:rPr>
            </w:pPr>
            <w:r>
              <w:rPr>
                <w:sz w:val="20"/>
                <w:szCs w:val="20"/>
              </w:rPr>
              <w:t>50</w:t>
            </w:r>
          </w:p>
        </w:tc>
        <w:tc>
          <w:tcPr>
            <w:tcW w:w="1005" w:type="dxa"/>
            <w:vAlign w:val="top"/>
          </w:tcPr>
          <w:p w14:paraId="37FE57B7">
            <w:pPr>
              <w:pStyle w:val="6"/>
              <w:spacing w:before="106" w:line="195" w:lineRule="auto"/>
              <w:ind w:left="319"/>
              <w:rPr>
                <w:sz w:val="20"/>
                <w:szCs w:val="20"/>
              </w:rPr>
            </w:pPr>
            <w:r>
              <w:rPr>
                <w:spacing w:val="3"/>
                <w:sz w:val="20"/>
                <w:szCs w:val="20"/>
              </w:rPr>
              <w:t>45.3</w:t>
            </w:r>
          </w:p>
        </w:tc>
        <w:tc>
          <w:tcPr>
            <w:tcW w:w="900" w:type="dxa"/>
            <w:vAlign w:val="top"/>
          </w:tcPr>
          <w:p w14:paraId="4323F880">
            <w:pPr>
              <w:pStyle w:val="6"/>
              <w:spacing w:before="106" w:line="195" w:lineRule="auto"/>
              <w:ind w:left="221"/>
              <w:rPr>
                <w:sz w:val="20"/>
                <w:szCs w:val="20"/>
              </w:rPr>
            </w:pPr>
            <w:r>
              <w:rPr>
                <w:spacing w:val="2"/>
                <w:sz w:val="20"/>
                <w:szCs w:val="20"/>
              </w:rPr>
              <w:t>51.27</w:t>
            </w:r>
          </w:p>
        </w:tc>
        <w:tc>
          <w:tcPr>
            <w:tcW w:w="1094" w:type="dxa"/>
            <w:vAlign w:val="top"/>
          </w:tcPr>
          <w:p w14:paraId="33930AA1">
            <w:pPr>
              <w:pStyle w:val="6"/>
              <w:spacing w:before="106" w:line="195" w:lineRule="auto"/>
              <w:ind w:left="384"/>
              <w:rPr>
                <w:sz w:val="20"/>
                <w:szCs w:val="20"/>
              </w:rPr>
            </w:pPr>
            <w:r>
              <w:rPr>
                <w:spacing w:val="-2"/>
                <w:sz w:val="20"/>
                <w:szCs w:val="20"/>
              </w:rPr>
              <w:t>1.27</w:t>
            </w:r>
          </w:p>
        </w:tc>
        <w:tc>
          <w:tcPr>
            <w:tcW w:w="765" w:type="dxa"/>
            <w:vAlign w:val="top"/>
          </w:tcPr>
          <w:p w14:paraId="3D9829DC">
            <w:pPr>
              <w:pStyle w:val="6"/>
              <w:spacing w:before="106" w:line="195" w:lineRule="auto"/>
              <w:ind w:left="336"/>
              <w:rPr>
                <w:sz w:val="20"/>
                <w:szCs w:val="20"/>
              </w:rPr>
            </w:pPr>
            <w:r>
              <w:rPr>
                <w:sz w:val="20"/>
                <w:szCs w:val="20"/>
              </w:rPr>
              <w:t>0</w:t>
            </w:r>
          </w:p>
        </w:tc>
        <w:tc>
          <w:tcPr>
            <w:tcW w:w="870" w:type="dxa"/>
            <w:vAlign w:val="top"/>
          </w:tcPr>
          <w:p w14:paraId="70D5CD77">
            <w:pPr>
              <w:pStyle w:val="6"/>
              <w:spacing w:before="106" w:line="195" w:lineRule="auto"/>
              <w:ind w:left="198"/>
              <w:rPr>
                <w:sz w:val="20"/>
                <w:szCs w:val="20"/>
              </w:rPr>
            </w:pPr>
            <w:r>
              <w:rPr>
                <w:spacing w:val="4"/>
                <w:sz w:val="20"/>
                <w:szCs w:val="20"/>
              </w:rPr>
              <w:t>47.57</w:t>
            </w:r>
          </w:p>
        </w:tc>
        <w:tc>
          <w:tcPr>
            <w:tcW w:w="870" w:type="dxa"/>
            <w:vAlign w:val="top"/>
          </w:tcPr>
          <w:p w14:paraId="141026B2">
            <w:pPr>
              <w:pStyle w:val="6"/>
              <w:spacing w:before="106" w:line="195" w:lineRule="auto"/>
              <w:ind w:left="206"/>
              <w:rPr>
                <w:sz w:val="20"/>
                <w:szCs w:val="20"/>
              </w:rPr>
            </w:pPr>
            <w:r>
              <w:rPr>
                <w:spacing w:val="2"/>
                <w:sz w:val="20"/>
                <w:szCs w:val="20"/>
              </w:rPr>
              <w:t>51.96</w:t>
            </w:r>
          </w:p>
        </w:tc>
        <w:tc>
          <w:tcPr>
            <w:tcW w:w="855" w:type="dxa"/>
            <w:vAlign w:val="top"/>
          </w:tcPr>
          <w:p w14:paraId="304290B4">
            <w:pPr>
              <w:pStyle w:val="6"/>
              <w:spacing w:before="106" w:line="195" w:lineRule="auto"/>
              <w:ind w:left="265"/>
              <w:rPr>
                <w:sz w:val="20"/>
                <w:szCs w:val="20"/>
              </w:rPr>
            </w:pPr>
            <w:r>
              <w:rPr>
                <w:spacing w:val="-2"/>
                <w:sz w:val="20"/>
                <w:szCs w:val="20"/>
              </w:rPr>
              <w:t>1.96</w:t>
            </w:r>
          </w:p>
        </w:tc>
        <w:tc>
          <w:tcPr>
            <w:tcW w:w="690" w:type="dxa"/>
            <w:vAlign w:val="top"/>
          </w:tcPr>
          <w:p w14:paraId="499887BE">
            <w:pPr>
              <w:pStyle w:val="6"/>
              <w:spacing w:before="106" w:line="195" w:lineRule="auto"/>
              <w:ind w:left="298"/>
              <w:rPr>
                <w:sz w:val="20"/>
                <w:szCs w:val="20"/>
              </w:rPr>
            </w:pPr>
            <w:r>
              <w:rPr>
                <w:sz w:val="20"/>
                <w:szCs w:val="20"/>
              </w:rPr>
              <w:t>0</w:t>
            </w:r>
          </w:p>
        </w:tc>
        <w:tc>
          <w:tcPr>
            <w:tcW w:w="915" w:type="dxa"/>
            <w:vAlign w:val="top"/>
          </w:tcPr>
          <w:p w14:paraId="2D6D0660">
            <w:pPr>
              <w:pStyle w:val="6"/>
              <w:spacing w:before="106" w:line="195" w:lineRule="auto"/>
              <w:ind w:left="223"/>
              <w:rPr>
                <w:sz w:val="20"/>
                <w:szCs w:val="20"/>
              </w:rPr>
            </w:pPr>
            <w:r>
              <w:rPr>
                <w:spacing w:val="3"/>
                <w:sz w:val="20"/>
                <w:szCs w:val="20"/>
              </w:rPr>
              <w:t>47.79</w:t>
            </w:r>
          </w:p>
        </w:tc>
        <w:tc>
          <w:tcPr>
            <w:tcW w:w="930" w:type="dxa"/>
            <w:vAlign w:val="top"/>
          </w:tcPr>
          <w:p w14:paraId="1524198F">
            <w:pPr>
              <w:pStyle w:val="6"/>
              <w:spacing w:before="106" w:line="195" w:lineRule="auto"/>
              <w:ind w:left="236"/>
              <w:rPr>
                <w:sz w:val="20"/>
                <w:szCs w:val="20"/>
              </w:rPr>
            </w:pPr>
            <w:r>
              <w:rPr>
                <w:spacing w:val="2"/>
                <w:sz w:val="20"/>
                <w:szCs w:val="20"/>
              </w:rPr>
              <w:t>52.05</w:t>
            </w:r>
          </w:p>
        </w:tc>
        <w:tc>
          <w:tcPr>
            <w:tcW w:w="855" w:type="dxa"/>
            <w:vAlign w:val="top"/>
          </w:tcPr>
          <w:p w14:paraId="4A3A4AF1">
            <w:pPr>
              <w:pStyle w:val="6"/>
              <w:spacing w:before="106" w:line="195" w:lineRule="auto"/>
              <w:ind w:left="246"/>
              <w:rPr>
                <w:sz w:val="20"/>
                <w:szCs w:val="20"/>
              </w:rPr>
            </w:pPr>
            <w:r>
              <w:rPr>
                <w:spacing w:val="3"/>
                <w:sz w:val="20"/>
                <w:szCs w:val="20"/>
              </w:rPr>
              <w:t>2.05</w:t>
            </w:r>
          </w:p>
        </w:tc>
        <w:tc>
          <w:tcPr>
            <w:tcW w:w="689" w:type="dxa"/>
            <w:tcBorders>
              <w:right w:val="nil"/>
            </w:tcBorders>
            <w:vAlign w:val="top"/>
          </w:tcPr>
          <w:p w14:paraId="22F7D8A2">
            <w:pPr>
              <w:pStyle w:val="6"/>
              <w:spacing w:before="106" w:line="195" w:lineRule="auto"/>
              <w:ind w:left="297"/>
              <w:rPr>
                <w:sz w:val="20"/>
                <w:szCs w:val="20"/>
              </w:rPr>
            </w:pPr>
            <w:r>
              <w:rPr>
                <w:sz w:val="20"/>
                <w:szCs w:val="20"/>
              </w:rPr>
              <w:t>0</w:t>
            </w:r>
          </w:p>
        </w:tc>
      </w:tr>
      <w:tr w14:paraId="337FDA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trPr>
        <w:tc>
          <w:tcPr>
            <w:tcW w:w="533" w:type="dxa"/>
            <w:vMerge w:val="continue"/>
            <w:tcBorders>
              <w:top w:val="nil"/>
              <w:left w:val="nil"/>
              <w:bottom w:val="single" w:color="000000" w:sz="10" w:space="0"/>
            </w:tcBorders>
            <w:vAlign w:val="top"/>
          </w:tcPr>
          <w:p w14:paraId="1C74F9B5">
            <w:pPr>
              <w:rPr>
                <w:rFonts w:ascii="Arial"/>
                <w:sz w:val="21"/>
              </w:rPr>
            </w:pPr>
          </w:p>
        </w:tc>
        <w:tc>
          <w:tcPr>
            <w:tcW w:w="1042" w:type="dxa"/>
            <w:vMerge w:val="continue"/>
            <w:tcBorders>
              <w:top w:val="nil"/>
              <w:bottom w:val="single" w:color="000000" w:sz="10" w:space="0"/>
            </w:tcBorders>
            <w:vAlign w:val="top"/>
          </w:tcPr>
          <w:p w14:paraId="688D4779">
            <w:pPr>
              <w:rPr>
                <w:rFonts w:ascii="Arial"/>
                <w:sz w:val="21"/>
              </w:rPr>
            </w:pPr>
          </w:p>
        </w:tc>
        <w:tc>
          <w:tcPr>
            <w:tcW w:w="750" w:type="dxa"/>
            <w:tcBorders>
              <w:bottom w:val="single" w:color="000000" w:sz="10" w:space="0"/>
            </w:tcBorders>
            <w:vAlign w:val="top"/>
          </w:tcPr>
          <w:p w14:paraId="66C17C3B">
            <w:pPr>
              <w:spacing w:before="73" w:line="231" w:lineRule="auto"/>
              <w:ind w:left="176"/>
              <w:rPr>
                <w:rFonts w:ascii="仿宋" w:hAnsi="仿宋" w:eastAsia="仿宋" w:cs="仿宋"/>
                <w:sz w:val="20"/>
                <w:szCs w:val="20"/>
              </w:rPr>
            </w:pPr>
            <w:r>
              <w:rPr>
                <w:rFonts w:ascii="仿宋" w:hAnsi="仿宋" w:eastAsia="仿宋" w:cs="仿宋"/>
                <w:spacing w:val="2"/>
                <w:sz w:val="20"/>
                <w:szCs w:val="20"/>
              </w:rPr>
              <w:t>夜间</w:t>
            </w:r>
          </w:p>
        </w:tc>
        <w:tc>
          <w:tcPr>
            <w:tcW w:w="750" w:type="dxa"/>
            <w:tcBorders>
              <w:bottom w:val="single" w:color="000000" w:sz="10" w:space="0"/>
            </w:tcBorders>
            <w:vAlign w:val="top"/>
          </w:tcPr>
          <w:p w14:paraId="0FE3B182">
            <w:pPr>
              <w:pStyle w:val="6"/>
              <w:spacing w:before="109" w:line="195" w:lineRule="auto"/>
              <w:ind w:left="270"/>
              <w:rPr>
                <w:sz w:val="20"/>
                <w:szCs w:val="20"/>
              </w:rPr>
            </w:pPr>
            <w:r>
              <w:rPr>
                <w:spacing w:val="3"/>
                <w:sz w:val="20"/>
                <w:szCs w:val="20"/>
              </w:rPr>
              <w:t>45</w:t>
            </w:r>
          </w:p>
        </w:tc>
        <w:tc>
          <w:tcPr>
            <w:tcW w:w="660" w:type="dxa"/>
            <w:tcBorders>
              <w:bottom w:val="single" w:color="000000" w:sz="10" w:space="0"/>
            </w:tcBorders>
            <w:vAlign w:val="top"/>
          </w:tcPr>
          <w:p w14:paraId="42479013">
            <w:pPr>
              <w:pStyle w:val="6"/>
              <w:spacing w:before="109" w:line="195" w:lineRule="auto"/>
              <w:ind w:left="231"/>
              <w:rPr>
                <w:sz w:val="20"/>
                <w:szCs w:val="20"/>
              </w:rPr>
            </w:pPr>
            <w:r>
              <w:rPr>
                <w:sz w:val="20"/>
                <w:szCs w:val="20"/>
              </w:rPr>
              <w:t>39</w:t>
            </w:r>
          </w:p>
        </w:tc>
        <w:tc>
          <w:tcPr>
            <w:tcW w:w="1005" w:type="dxa"/>
            <w:tcBorders>
              <w:bottom w:val="single" w:color="000000" w:sz="10" w:space="0"/>
            </w:tcBorders>
            <w:vAlign w:val="top"/>
          </w:tcPr>
          <w:p w14:paraId="3CDCE952">
            <w:pPr>
              <w:pStyle w:val="6"/>
              <w:spacing w:before="109" w:line="195" w:lineRule="auto"/>
              <w:ind w:left="319"/>
              <w:rPr>
                <w:sz w:val="20"/>
                <w:szCs w:val="20"/>
              </w:rPr>
            </w:pPr>
            <w:r>
              <w:rPr>
                <w:spacing w:val="3"/>
                <w:sz w:val="20"/>
                <w:szCs w:val="20"/>
              </w:rPr>
              <w:t>40.6</w:t>
            </w:r>
          </w:p>
        </w:tc>
        <w:tc>
          <w:tcPr>
            <w:tcW w:w="900" w:type="dxa"/>
            <w:tcBorders>
              <w:bottom w:val="single" w:color="000000" w:sz="10" w:space="0"/>
            </w:tcBorders>
            <w:vAlign w:val="top"/>
          </w:tcPr>
          <w:p w14:paraId="295CBF0E">
            <w:pPr>
              <w:pStyle w:val="6"/>
              <w:spacing w:before="109" w:line="195" w:lineRule="auto"/>
              <w:ind w:left="214"/>
              <w:rPr>
                <w:sz w:val="20"/>
                <w:szCs w:val="20"/>
              </w:rPr>
            </w:pPr>
            <w:r>
              <w:rPr>
                <w:spacing w:val="3"/>
                <w:sz w:val="20"/>
                <w:szCs w:val="20"/>
              </w:rPr>
              <w:t>42.88</w:t>
            </w:r>
          </w:p>
        </w:tc>
        <w:tc>
          <w:tcPr>
            <w:tcW w:w="1094" w:type="dxa"/>
            <w:tcBorders>
              <w:bottom w:val="single" w:color="000000" w:sz="10" w:space="0"/>
            </w:tcBorders>
            <w:vAlign w:val="top"/>
          </w:tcPr>
          <w:p w14:paraId="291727A8">
            <w:pPr>
              <w:pStyle w:val="6"/>
              <w:spacing w:before="109" w:line="195" w:lineRule="auto"/>
              <w:ind w:left="368"/>
              <w:rPr>
                <w:sz w:val="20"/>
                <w:szCs w:val="20"/>
              </w:rPr>
            </w:pPr>
            <w:r>
              <w:rPr>
                <w:spacing w:val="2"/>
                <w:sz w:val="20"/>
                <w:szCs w:val="20"/>
              </w:rPr>
              <w:t>3.88</w:t>
            </w:r>
          </w:p>
        </w:tc>
        <w:tc>
          <w:tcPr>
            <w:tcW w:w="765" w:type="dxa"/>
            <w:tcBorders>
              <w:bottom w:val="single" w:color="000000" w:sz="10" w:space="0"/>
            </w:tcBorders>
            <w:vAlign w:val="top"/>
          </w:tcPr>
          <w:p w14:paraId="10AA192E">
            <w:pPr>
              <w:pStyle w:val="6"/>
              <w:spacing w:before="109" w:line="195" w:lineRule="auto"/>
              <w:ind w:left="336"/>
              <w:rPr>
                <w:sz w:val="20"/>
                <w:szCs w:val="20"/>
              </w:rPr>
            </w:pPr>
            <w:r>
              <w:rPr>
                <w:sz w:val="20"/>
                <w:szCs w:val="20"/>
              </w:rPr>
              <w:t>0</w:t>
            </w:r>
          </w:p>
        </w:tc>
        <w:tc>
          <w:tcPr>
            <w:tcW w:w="870" w:type="dxa"/>
            <w:tcBorders>
              <w:bottom w:val="single" w:color="000000" w:sz="10" w:space="0"/>
            </w:tcBorders>
            <w:vAlign w:val="top"/>
          </w:tcPr>
          <w:p w14:paraId="28CDA93A">
            <w:pPr>
              <w:pStyle w:val="6"/>
              <w:spacing w:before="109" w:line="195" w:lineRule="auto"/>
              <w:ind w:left="253"/>
              <w:rPr>
                <w:sz w:val="20"/>
                <w:szCs w:val="20"/>
              </w:rPr>
            </w:pPr>
            <w:r>
              <w:rPr>
                <w:spacing w:val="3"/>
                <w:sz w:val="20"/>
                <w:szCs w:val="20"/>
              </w:rPr>
              <w:t>41.2</w:t>
            </w:r>
          </w:p>
        </w:tc>
        <w:tc>
          <w:tcPr>
            <w:tcW w:w="870" w:type="dxa"/>
            <w:tcBorders>
              <w:bottom w:val="single" w:color="000000" w:sz="10" w:space="0"/>
            </w:tcBorders>
            <w:vAlign w:val="top"/>
          </w:tcPr>
          <w:p w14:paraId="47864C4F">
            <w:pPr>
              <w:pStyle w:val="6"/>
              <w:spacing w:before="109" w:line="195" w:lineRule="auto"/>
              <w:ind w:left="199"/>
              <w:rPr>
                <w:sz w:val="20"/>
                <w:szCs w:val="20"/>
              </w:rPr>
            </w:pPr>
            <w:r>
              <w:rPr>
                <w:spacing w:val="4"/>
                <w:sz w:val="20"/>
                <w:szCs w:val="20"/>
              </w:rPr>
              <w:t>43.25</w:t>
            </w:r>
          </w:p>
        </w:tc>
        <w:tc>
          <w:tcPr>
            <w:tcW w:w="855" w:type="dxa"/>
            <w:tcBorders>
              <w:bottom w:val="single" w:color="000000" w:sz="10" w:space="0"/>
            </w:tcBorders>
            <w:vAlign w:val="top"/>
          </w:tcPr>
          <w:p w14:paraId="19A655E9">
            <w:pPr>
              <w:pStyle w:val="6"/>
              <w:spacing w:before="109" w:line="195" w:lineRule="auto"/>
              <w:ind w:left="244"/>
              <w:rPr>
                <w:sz w:val="20"/>
                <w:szCs w:val="20"/>
              </w:rPr>
            </w:pPr>
            <w:r>
              <w:rPr>
                <w:spacing w:val="3"/>
                <w:sz w:val="20"/>
                <w:szCs w:val="20"/>
              </w:rPr>
              <w:t>4.25</w:t>
            </w:r>
          </w:p>
        </w:tc>
        <w:tc>
          <w:tcPr>
            <w:tcW w:w="690" w:type="dxa"/>
            <w:tcBorders>
              <w:bottom w:val="single" w:color="000000" w:sz="10" w:space="0"/>
            </w:tcBorders>
            <w:vAlign w:val="top"/>
          </w:tcPr>
          <w:p w14:paraId="18FEF8EF">
            <w:pPr>
              <w:pStyle w:val="6"/>
              <w:spacing w:before="109" w:line="195" w:lineRule="auto"/>
              <w:ind w:left="298"/>
              <w:rPr>
                <w:sz w:val="20"/>
                <w:szCs w:val="20"/>
              </w:rPr>
            </w:pPr>
            <w:r>
              <w:rPr>
                <w:sz w:val="20"/>
                <w:szCs w:val="20"/>
              </w:rPr>
              <w:t>0</w:t>
            </w:r>
          </w:p>
        </w:tc>
        <w:tc>
          <w:tcPr>
            <w:tcW w:w="915" w:type="dxa"/>
            <w:tcBorders>
              <w:bottom w:val="single" w:color="000000" w:sz="10" w:space="0"/>
            </w:tcBorders>
            <w:vAlign w:val="top"/>
          </w:tcPr>
          <w:p w14:paraId="6846D409">
            <w:pPr>
              <w:pStyle w:val="6"/>
              <w:spacing w:before="109" w:line="195" w:lineRule="auto"/>
              <w:ind w:left="273"/>
              <w:rPr>
                <w:sz w:val="20"/>
                <w:szCs w:val="20"/>
              </w:rPr>
            </w:pPr>
            <w:r>
              <w:rPr>
                <w:spacing w:val="3"/>
                <w:sz w:val="20"/>
                <w:szCs w:val="20"/>
              </w:rPr>
              <w:t>41.2</w:t>
            </w:r>
          </w:p>
        </w:tc>
        <w:tc>
          <w:tcPr>
            <w:tcW w:w="930" w:type="dxa"/>
            <w:tcBorders>
              <w:bottom w:val="single" w:color="000000" w:sz="10" w:space="0"/>
            </w:tcBorders>
            <w:vAlign w:val="top"/>
          </w:tcPr>
          <w:p w14:paraId="3AB5A197">
            <w:pPr>
              <w:pStyle w:val="6"/>
              <w:spacing w:before="109" w:line="195" w:lineRule="auto"/>
              <w:ind w:left="229"/>
              <w:rPr>
                <w:sz w:val="20"/>
                <w:szCs w:val="20"/>
              </w:rPr>
            </w:pPr>
            <w:r>
              <w:rPr>
                <w:spacing w:val="4"/>
                <w:sz w:val="20"/>
                <w:szCs w:val="20"/>
              </w:rPr>
              <w:t>43.25</w:t>
            </w:r>
          </w:p>
        </w:tc>
        <w:tc>
          <w:tcPr>
            <w:tcW w:w="855" w:type="dxa"/>
            <w:tcBorders>
              <w:bottom w:val="single" w:color="000000" w:sz="10" w:space="0"/>
            </w:tcBorders>
            <w:vAlign w:val="top"/>
          </w:tcPr>
          <w:p w14:paraId="7235B87C">
            <w:pPr>
              <w:pStyle w:val="6"/>
              <w:spacing w:before="109" w:line="195" w:lineRule="auto"/>
              <w:ind w:left="245"/>
              <w:rPr>
                <w:sz w:val="20"/>
                <w:szCs w:val="20"/>
              </w:rPr>
            </w:pPr>
            <w:r>
              <w:rPr>
                <w:spacing w:val="3"/>
                <w:sz w:val="20"/>
                <w:szCs w:val="20"/>
              </w:rPr>
              <w:t>4.25</w:t>
            </w:r>
          </w:p>
        </w:tc>
        <w:tc>
          <w:tcPr>
            <w:tcW w:w="689" w:type="dxa"/>
            <w:tcBorders>
              <w:bottom w:val="single" w:color="000000" w:sz="10" w:space="0"/>
              <w:right w:val="nil"/>
            </w:tcBorders>
            <w:vAlign w:val="top"/>
          </w:tcPr>
          <w:p w14:paraId="623CD236">
            <w:pPr>
              <w:pStyle w:val="6"/>
              <w:spacing w:before="109" w:line="195" w:lineRule="auto"/>
              <w:ind w:left="297"/>
              <w:rPr>
                <w:sz w:val="20"/>
                <w:szCs w:val="20"/>
              </w:rPr>
            </w:pPr>
            <w:r>
              <w:rPr>
                <w:sz w:val="20"/>
                <w:szCs w:val="20"/>
              </w:rPr>
              <w:t>0</w:t>
            </w:r>
          </w:p>
        </w:tc>
      </w:tr>
    </w:tbl>
    <w:p w14:paraId="223BBFD9">
      <w:pPr>
        <w:spacing w:before="117" w:line="360" w:lineRule="auto"/>
        <w:ind w:left="123" w:right="107" w:firstLine="511"/>
        <w:jc w:val="both"/>
        <w:rPr>
          <w:rFonts w:ascii="仿宋" w:hAnsi="仿宋" w:eastAsia="仿宋" w:cs="仿宋"/>
          <w:sz w:val="24"/>
          <w:szCs w:val="24"/>
        </w:rPr>
      </w:pPr>
      <w:r>
        <w:rPr>
          <w:rFonts w:ascii="仿宋" w:hAnsi="仿宋" w:eastAsia="仿宋" w:cs="仿宋"/>
          <w:spacing w:val="-4"/>
          <w:sz w:val="24"/>
          <w:szCs w:val="24"/>
        </w:rPr>
        <w:t>由表</w:t>
      </w:r>
      <w:r>
        <w:rPr>
          <w:rFonts w:ascii="仿宋" w:hAnsi="仿宋" w:eastAsia="仿宋" w:cs="仿宋"/>
          <w:spacing w:val="-53"/>
          <w:sz w:val="24"/>
          <w:szCs w:val="24"/>
        </w:rPr>
        <w:t xml:space="preserve"> </w:t>
      </w:r>
      <w:r>
        <w:rPr>
          <w:rFonts w:ascii="仿宋" w:hAnsi="仿宋" w:eastAsia="仿宋" w:cs="仿宋"/>
          <w:spacing w:val="-4"/>
          <w:sz w:val="24"/>
          <w:szCs w:val="24"/>
        </w:rPr>
        <w:t>4.2-5</w:t>
      </w:r>
      <w:r>
        <w:rPr>
          <w:rFonts w:ascii="仿宋" w:hAnsi="仿宋" w:eastAsia="仿宋" w:cs="仿宋"/>
          <w:spacing w:val="-40"/>
          <w:sz w:val="24"/>
          <w:szCs w:val="24"/>
        </w:rPr>
        <w:t xml:space="preserve"> </w:t>
      </w:r>
      <w:r>
        <w:rPr>
          <w:rFonts w:ascii="仿宋" w:hAnsi="仿宋" w:eastAsia="仿宋" w:cs="仿宋"/>
          <w:spacing w:val="-4"/>
          <w:sz w:val="24"/>
          <w:szCs w:val="24"/>
        </w:rPr>
        <w:t>知，本项目沿线共</w:t>
      </w:r>
      <w:r>
        <w:rPr>
          <w:rFonts w:ascii="仿宋" w:hAnsi="仿宋" w:eastAsia="仿宋" w:cs="仿宋"/>
          <w:spacing w:val="-34"/>
          <w:sz w:val="24"/>
          <w:szCs w:val="24"/>
        </w:rPr>
        <w:t xml:space="preserve"> </w:t>
      </w:r>
      <w:r>
        <w:rPr>
          <w:rFonts w:ascii="仿宋" w:hAnsi="仿宋" w:eastAsia="仿宋" w:cs="仿宋"/>
          <w:spacing w:val="-4"/>
          <w:sz w:val="24"/>
          <w:szCs w:val="24"/>
        </w:rPr>
        <w:t>14</w:t>
      </w:r>
      <w:r>
        <w:rPr>
          <w:rFonts w:ascii="仿宋" w:hAnsi="仿宋" w:eastAsia="仿宋" w:cs="仿宋"/>
          <w:spacing w:val="-40"/>
          <w:sz w:val="24"/>
          <w:szCs w:val="24"/>
        </w:rPr>
        <w:t xml:space="preserve"> </w:t>
      </w:r>
      <w:r>
        <w:rPr>
          <w:rFonts w:ascii="仿宋" w:hAnsi="仿宋" w:eastAsia="仿宋" w:cs="仿宋"/>
          <w:spacing w:val="-4"/>
          <w:sz w:val="24"/>
          <w:szCs w:val="24"/>
        </w:rPr>
        <w:t>处居民散户敏感点，执行</w:t>
      </w:r>
      <w:r>
        <w:rPr>
          <w:rFonts w:ascii="仿宋" w:hAnsi="仿宋" w:eastAsia="仿宋" w:cs="仿宋"/>
          <w:spacing w:val="-34"/>
          <w:sz w:val="24"/>
          <w:szCs w:val="24"/>
        </w:rPr>
        <w:t xml:space="preserve"> </w:t>
      </w:r>
      <w:r>
        <w:rPr>
          <w:rFonts w:ascii="仿宋" w:hAnsi="仿宋" w:eastAsia="仿宋" w:cs="仿宋"/>
          <w:spacing w:val="-4"/>
          <w:sz w:val="24"/>
          <w:szCs w:val="24"/>
        </w:rPr>
        <w:t>1</w:t>
      </w:r>
      <w:r>
        <w:rPr>
          <w:rFonts w:ascii="仿宋" w:hAnsi="仿宋" w:eastAsia="仿宋" w:cs="仿宋"/>
          <w:spacing w:val="-41"/>
          <w:sz w:val="24"/>
          <w:szCs w:val="24"/>
        </w:rPr>
        <w:t xml:space="preserve"> </w:t>
      </w:r>
      <w:r>
        <w:rPr>
          <w:rFonts w:ascii="仿宋" w:hAnsi="仿宋" w:eastAsia="仿宋" w:cs="仿宋"/>
          <w:spacing w:val="-4"/>
          <w:sz w:val="24"/>
          <w:szCs w:val="24"/>
        </w:rPr>
        <w:t>类声环境标准（昼</w:t>
      </w:r>
      <w:r>
        <w:rPr>
          <w:rFonts w:ascii="仿宋" w:hAnsi="仿宋" w:eastAsia="仿宋" w:cs="仿宋"/>
          <w:spacing w:val="-45"/>
          <w:sz w:val="24"/>
          <w:szCs w:val="24"/>
        </w:rPr>
        <w:t xml:space="preserve"> </w:t>
      </w:r>
      <w:r>
        <w:rPr>
          <w:rFonts w:ascii="仿宋" w:hAnsi="仿宋" w:eastAsia="仿宋" w:cs="仿宋"/>
          <w:spacing w:val="-4"/>
          <w:sz w:val="24"/>
          <w:szCs w:val="24"/>
        </w:rPr>
        <w:t>55dB</w:t>
      </w:r>
      <w:r>
        <w:rPr>
          <w:rFonts w:ascii="仿宋" w:hAnsi="仿宋" w:eastAsia="仿宋" w:cs="仿宋"/>
          <w:spacing w:val="53"/>
          <w:sz w:val="24"/>
          <w:szCs w:val="24"/>
        </w:rPr>
        <w:t xml:space="preserve"> </w:t>
      </w:r>
      <w:r>
        <w:rPr>
          <w:rFonts w:ascii="仿宋" w:hAnsi="仿宋" w:eastAsia="仿宋" w:cs="仿宋"/>
          <w:spacing w:val="-4"/>
          <w:sz w:val="24"/>
          <w:szCs w:val="24"/>
        </w:rPr>
        <w:t>(A)、夜</w:t>
      </w:r>
      <w:r>
        <w:rPr>
          <w:rFonts w:ascii="仿宋" w:hAnsi="仿宋" w:eastAsia="仿宋" w:cs="仿宋"/>
          <w:spacing w:val="-50"/>
          <w:sz w:val="24"/>
          <w:szCs w:val="24"/>
        </w:rPr>
        <w:t xml:space="preserve"> </w:t>
      </w:r>
      <w:r>
        <w:rPr>
          <w:rFonts w:ascii="仿宋" w:hAnsi="仿宋" w:eastAsia="仿宋" w:cs="仿宋"/>
          <w:spacing w:val="-4"/>
          <w:sz w:val="24"/>
          <w:szCs w:val="24"/>
        </w:rPr>
        <w:t>45dB</w:t>
      </w:r>
      <w:r>
        <w:rPr>
          <w:rFonts w:ascii="仿宋" w:hAnsi="仿宋" w:eastAsia="仿宋" w:cs="仿宋"/>
          <w:spacing w:val="51"/>
          <w:sz w:val="24"/>
          <w:szCs w:val="24"/>
        </w:rPr>
        <w:t xml:space="preserve"> </w:t>
      </w:r>
      <w:r>
        <w:rPr>
          <w:rFonts w:ascii="仿宋" w:hAnsi="仿宋" w:eastAsia="仿宋" w:cs="仿宋"/>
          <w:spacing w:val="-4"/>
          <w:sz w:val="24"/>
          <w:szCs w:val="24"/>
        </w:rPr>
        <w:t>(A)）。经营运近、中</w:t>
      </w:r>
      <w:r>
        <w:rPr>
          <w:rFonts w:ascii="仿宋" w:hAnsi="仿宋" w:eastAsia="仿宋" w:cs="仿宋"/>
          <w:spacing w:val="-5"/>
          <w:sz w:val="24"/>
          <w:szCs w:val="24"/>
        </w:rPr>
        <w:t>、远期</w:t>
      </w:r>
      <w:r>
        <w:rPr>
          <w:rFonts w:ascii="仿宋" w:hAnsi="仿宋" w:eastAsia="仿宋" w:cs="仿宋"/>
          <w:spacing w:val="1"/>
          <w:sz w:val="24"/>
          <w:szCs w:val="24"/>
        </w:rPr>
        <w:t>噪声叠加预测，全部敏感点昼、夜间噪声预测值</w:t>
      </w:r>
      <w:r>
        <w:rPr>
          <w:rFonts w:ascii="仿宋" w:hAnsi="仿宋" w:eastAsia="仿宋" w:cs="仿宋"/>
          <w:sz w:val="24"/>
          <w:szCs w:val="24"/>
        </w:rPr>
        <w:t>均满足标准限值，无超标点位。随运营期延长，各敏感点噪声较现状小幅增加，最大</w:t>
      </w:r>
      <w:r>
        <w:rPr>
          <w:rFonts w:ascii="仿宋" w:hAnsi="仿宋" w:eastAsia="仿宋" w:cs="仿宋"/>
          <w:spacing w:val="1"/>
          <w:sz w:val="24"/>
          <w:szCs w:val="24"/>
        </w:rPr>
        <w:t>增量昼间4.28</w:t>
      </w:r>
      <w:r>
        <w:rPr>
          <w:rFonts w:ascii="仿宋" w:hAnsi="仿宋" w:eastAsia="仿宋" w:cs="仿宋"/>
          <w:sz w:val="24"/>
          <w:szCs w:val="24"/>
        </w:rPr>
        <w:t>dB</w:t>
      </w:r>
      <w:r>
        <w:rPr>
          <w:rFonts w:ascii="仿宋" w:hAnsi="仿宋" w:eastAsia="仿宋" w:cs="仿宋"/>
          <w:spacing w:val="1"/>
          <w:sz w:val="24"/>
          <w:szCs w:val="24"/>
        </w:rPr>
        <w:t xml:space="preserve"> (A)、夜间4.42</w:t>
      </w:r>
      <w:r>
        <w:rPr>
          <w:rFonts w:ascii="仿宋" w:hAnsi="仿宋" w:eastAsia="仿宋" w:cs="仿宋"/>
          <w:sz w:val="24"/>
          <w:szCs w:val="24"/>
        </w:rPr>
        <w:t>dB</w:t>
      </w:r>
      <w:r>
        <w:rPr>
          <w:rFonts w:ascii="仿宋" w:hAnsi="仿宋" w:eastAsia="仿宋" w:cs="仿宋"/>
          <w:spacing w:val="1"/>
          <w:sz w:val="24"/>
          <w:szCs w:val="24"/>
        </w:rPr>
        <w:t xml:space="preserve"> (</w:t>
      </w:r>
      <w:r>
        <w:rPr>
          <w:rFonts w:ascii="仿宋" w:hAnsi="仿宋" w:eastAsia="仿宋" w:cs="仿宋"/>
          <w:sz w:val="24"/>
          <w:szCs w:val="24"/>
        </w:rPr>
        <w:t>A)；近路点位交通噪声贡献值相对更高，远路点位噪声扰动微弱。整体来看，四级公路交通噪声</w:t>
      </w:r>
      <w:r>
        <w:rPr>
          <w:rFonts w:ascii="仿宋" w:hAnsi="仿宋" w:eastAsia="仿宋" w:cs="仿宋"/>
          <w:spacing w:val="-1"/>
          <w:sz w:val="24"/>
          <w:szCs w:val="24"/>
        </w:rPr>
        <w:t>源强较低，对沿线居民敏感点声环境影响较小。</w:t>
      </w:r>
    </w:p>
    <w:p w14:paraId="6ABCD9A8">
      <w:pPr>
        <w:spacing w:line="360" w:lineRule="auto"/>
        <w:rPr>
          <w:rFonts w:ascii="仿宋" w:hAnsi="仿宋" w:eastAsia="仿宋" w:cs="仿宋"/>
          <w:sz w:val="24"/>
          <w:szCs w:val="24"/>
        </w:rPr>
        <w:sectPr>
          <w:footerReference r:id="rId186" w:type="default"/>
          <w:pgSz w:w="16839" w:h="11906"/>
          <w:pgMar w:top="400" w:right="1332" w:bottom="1370" w:left="1331" w:header="0" w:footer="1207" w:gutter="0"/>
          <w:cols w:space="720" w:num="1"/>
        </w:sectPr>
      </w:pPr>
    </w:p>
    <w:p w14:paraId="0DA2C863">
      <w:pPr>
        <w:pStyle w:val="2"/>
        <w:spacing w:line="241" w:lineRule="auto"/>
        <w:rPr>
          <w:sz w:val="21"/>
        </w:rPr>
      </w:pPr>
    </w:p>
    <w:p w14:paraId="5A7ED7DE">
      <w:pPr>
        <w:pStyle w:val="2"/>
        <w:spacing w:line="242" w:lineRule="auto"/>
        <w:rPr>
          <w:sz w:val="21"/>
        </w:rPr>
      </w:pPr>
    </w:p>
    <w:p w14:paraId="6FC3C5E4">
      <w:pPr>
        <w:pStyle w:val="2"/>
        <w:spacing w:line="242" w:lineRule="auto"/>
        <w:rPr>
          <w:sz w:val="21"/>
        </w:rPr>
      </w:pPr>
    </w:p>
    <w:p w14:paraId="1FC3B616">
      <w:pPr>
        <w:pStyle w:val="2"/>
        <w:spacing w:line="242" w:lineRule="auto"/>
        <w:rPr>
          <w:sz w:val="21"/>
        </w:rPr>
      </w:pPr>
    </w:p>
    <w:p w14:paraId="53C58122">
      <w:pPr>
        <w:pStyle w:val="2"/>
        <w:spacing w:line="242" w:lineRule="auto"/>
        <w:rPr>
          <w:sz w:val="21"/>
        </w:rPr>
      </w:pPr>
    </w:p>
    <w:p w14:paraId="74A862DC">
      <w:pPr>
        <w:spacing w:before="114" w:line="226" w:lineRule="auto"/>
        <w:ind w:left="34"/>
        <w:outlineLvl w:val="0"/>
        <w:rPr>
          <w:rFonts w:ascii="仿宋" w:hAnsi="仿宋" w:eastAsia="仿宋" w:cs="仿宋"/>
          <w:sz w:val="35"/>
          <w:szCs w:val="35"/>
        </w:rPr>
      </w:pPr>
      <w:bookmarkStart w:id="47" w:name="bookmark51"/>
      <w:bookmarkEnd w:id="47"/>
      <w:bookmarkStart w:id="48" w:name="bookmark50"/>
      <w:bookmarkEnd w:id="48"/>
      <w:r>
        <w:rPr>
          <w:rFonts w:ascii="仿宋" w:hAnsi="仿宋" w:eastAsia="仿宋" w:cs="仿宋"/>
          <w:b/>
          <w:bCs/>
          <w:spacing w:val="6"/>
          <w:sz w:val="35"/>
          <w:szCs w:val="35"/>
        </w:rPr>
        <w:t>5</w:t>
      </w:r>
      <w:r>
        <w:rPr>
          <w:rFonts w:ascii="仿宋" w:hAnsi="仿宋" w:eastAsia="仿宋" w:cs="仿宋"/>
          <w:spacing w:val="6"/>
          <w:sz w:val="35"/>
          <w:szCs w:val="35"/>
        </w:rPr>
        <w:t xml:space="preserve"> </w:t>
      </w:r>
      <w:r>
        <w:rPr>
          <w:rFonts w:ascii="仿宋" w:hAnsi="仿宋" w:eastAsia="仿宋" w:cs="仿宋"/>
          <w:b/>
          <w:bCs/>
          <w:spacing w:val="6"/>
          <w:sz w:val="35"/>
          <w:szCs w:val="35"/>
        </w:rPr>
        <w:t>噪声污染防治措施与可行性分析</w:t>
      </w:r>
    </w:p>
    <w:p w14:paraId="4DD2D399">
      <w:pPr>
        <w:pStyle w:val="2"/>
        <w:spacing w:line="265" w:lineRule="auto"/>
        <w:rPr>
          <w:sz w:val="21"/>
        </w:rPr>
      </w:pPr>
    </w:p>
    <w:p w14:paraId="1657FCAB">
      <w:pPr>
        <w:spacing w:before="101" w:line="226" w:lineRule="auto"/>
        <w:ind w:left="31"/>
        <w:outlineLvl w:val="1"/>
        <w:rPr>
          <w:rFonts w:ascii="仿宋" w:hAnsi="仿宋" w:eastAsia="仿宋" w:cs="仿宋"/>
          <w:sz w:val="31"/>
          <w:szCs w:val="31"/>
        </w:rPr>
      </w:pPr>
      <w:r>
        <w:rPr>
          <w:rFonts w:ascii="仿宋" w:hAnsi="仿宋" w:eastAsia="仿宋" w:cs="仿宋"/>
          <w:b/>
          <w:bCs/>
          <w:spacing w:val="5"/>
          <w:sz w:val="31"/>
          <w:szCs w:val="31"/>
        </w:rPr>
        <w:t>5.1</w:t>
      </w:r>
      <w:r>
        <w:rPr>
          <w:rFonts w:ascii="仿宋" w:hAnsi="仿宋" w:eastAsia="仿宋" w:cs="仿宋"/>
          <w:spacing w:val="5"/>
          <w:sz w:val="31"/>
          <w:szCs w:val="31"/>
        </w:rPr>
        <w:t xml:space="preserve"> </w:t>
      </w:r>
      <w:r>
        <w:rPr>
          <w:rFonts w:ascii="仿宋" w:hAnsi="仿宋" w:eastAsia="仿宋" w:cs="仿宋"/>
          <w:b/>
          <w:bCs/>
          <w:spacing w:val="5"/>
          <w:sz w:val="31"/>
          <w:szCs w:val="31"/>
        </w:rPr>
        <w:t>施工期噪声防治措施及可行性分析</w:t>
      </w:r>
    </w:p>
    <w:p w14:paraId="432E7C46">
      <w:pPr>
        <w:pStyle w:val="2"/>
        <w:spacing w:line="252" w:lineRule="auto"/>
        <w:rPr>
          <w:sz w:val="21"/>
        </w:rPr>
      </w:pPr>
    </w:p>
    <w:p w14:paraId="279F9EDE">
      <w:pPr>
        <w:spacing w:before="78" w:line="221" w:lineRule="auto"/>
        <w:ind w:left="518"/>
        <w:rPr>
          <w:rFonts w:ascii="仿宋" w:hAnsi="仿宋" w:eastAsia="仿宋" w:cs="仿宋"/>
          <w:sz w:val="24"/>
          <w:szCs w:val="24"/>
        </w:rPr>
      </w:pPr>
      <w:r>
        <w:rPr>
          <w:rFonts w:ascii="仿宋" w:hAnsi="仿宋" w:eastAsia="仿宋" w:cs="仿宋"/>
          <w:spacing w:val="-1"/>
          <w:sz w:val="24"/>
          <w:szCs w:val="24"/>
        </w:rPr>
        <w:t>为了减少噪声对周围环境不必要的影响，建议施工单位采取以下措施：</w:t>
      </w:r>
    </w:p>
    <w:p w14:paraId="28AE3A77">
      <w:pPr>
        <w:spacing w:before="178" w:line="220" w:lineRule="auto"/>
        <w:ind w:left="515"/>
        <w:rPr>
          <w:rFonts w:ascii="仿宋" w:hAnsi="仿宋" w:eastAsia="仿宋" w:cs="仿宋"/>
          <w:sz w:val="24"/>
          <w:szCs w:val="24"/>
        </w:rPr>
      </w:pPr>
      <w:r>
        <w:rPr>
          <w:rFonts w:ascii="仿宋" w:hAnsi="仿宋" w:eastAsia="仿宋" w:cs="仿宋"/>
          <w:spacing w:val="-2"/>
          <w:sz w:val="24"/>
          <w:szCs w:val="24"/>
        </w:rPr>
        <w:t>（1）合理布局施工现场</w:t>
      </w:r>
    </w:p>
    <w:p w14:paraId="72540912">
      <w:pPr>
        <w:spacing w:before="181" w:line="359" w:lineRule="auto"/>
        <w:ind w:left="29" w:firstLine="487"/>
        <w:rPr>
          <w:rFonts w:ascii="仿宋" w:hAnsi="仿宋" w:eastAsia="仿宋" w:cs="仿宋"/>
          <w:sz w:val="24"/>
          <w:szCs w:val="24"/>
        </w:rPr>
      </w:pPr>
      <w:r>
        <w:rPr>
          <w:rFonts w:ascii="仿宋" w:hAnsi="仿宋" w:eastAsia="仿宋" w:cs="仿宋"/>
          <w:spacing w:val="-4"/>
          <w:sz w:val="24"/>
          <w:szCs w:val="24"/>
        </w:rPr>
        <w:t>合理科学地布局施工现场是减少施工噪声的主要途径，如将施工现场的固定</w:t>
      </w:r>
      <w:r>
        <w:rPr>
          <w:rFonts w:ascii="仿宋" w:hAnsi="仿宋" w:eastAsia="仿宋" w:cs="仿宋"/>
          <w:spacing w:val="-3"/>
          <w:sz w:val="24"/>
          <w:szCs w:val="24"/>
        </w:rPr>
        <w:t>振动源相对集中，以减少影响的范围，施工单位必须选用符合</w:t>
      </w:r>
      <w:r>
        <w:rPr>
          <w:rFonts w:ascii="仿宋" w:hAnsi="仿宋" w:eastAsia="仿宋" w:cs="仿宋"/>
          <w:spacing w:val="-4"/>
          <w:sz w:val="24"/>
          <w:szCs w:val="24"/>
        </w:rPr>
        <w:t>国家有关标准的施</w:t>
      </w:r>
      <w:r>
        <w:rPr>
          <w:rFonts w:ascii="仿宋" w:hAnsi="仿宋" w:eastAsia="仿宋" w:cs="仿宋"/>
          <w:spacing w:val="-3"/>
          <w:sz w:val="24"/>
          <w:szCs w:val="24"/>
        </w:rPr>
        <w:t>工机具和运输车辆，尽量选用低噪声的施工机械和工艺。振动</w:t>
      </w:r>
      <w:r>
        <w:rPr>
          <w:rFonts w:ascii="仿宋" w:hAnsi="仿宋" w:eastAsia="仿宋" w:cs="仿宋"/>
          <w:spacing w:val="-4"/>
          <w:sz w:val="24"/>
          <w:szCs w:val="24"/>
        </w:rPr>
        <w:t>较大的固定机械设</w:t>
      </w:r>
      <w:r>
        <w:rPr>
          <w:rFonts w:ascii="仿宋" w:hAnsi="仿宋" w:eastAsia="仿宋" w:cs="仿宋"/>
          <w:spacing w:val="-2"/>
          <w:sz w:val="24"/>
          <w:szCs w:val="24"/>
        </w:rPr>
        <w:t>备应加装减振机座，同时加强各类施工设备的维护和保养，保持其更好地运转，以便从根本上降低噪声源强。</w:t>
      </w:r>
    </w:p>
    <w:p w14:paraId="76C00B2D">
      <w:pPr>
        <w:spacing w:line="220" w:lineRule="auto"/>
        <w:ind w:left="515"/>
        <w:rPr>
          <w:rFonts w:ascii="仿宋" w:hAnsi="仿宋" w:eastAsia="仿宋" w:cs="仿宋"/>
          <w:sz w:val="24"/>
          <w:szCs w:val="24"/>
        </w:rPr>
      </w:pPr>
      <w:r>
        <w:rPr>
          <w:rFonts w:ascii="仿宋" w:hAnsi="仿宋" w:eastAsia="仿宋" w:cs="仿宋"/>
          <w:spacing w:val="-2"/>
          <w:sz w:val="24"/>
          <w:szCs w:val="24"/>
        </w:rPr>
        <w:t>（2）合理安排施工作业时间</w:t>
      </w:r>
    </w:p>
    <w:p w14:paraId="1FBF8ECC">
      <w:pPr>
        <w:spacing w:before="183" w:line="359" w:lineRule="auto"/>
        <w:ind w:left="31" w:right="41" w:firstLine="480"/>
        <w:rPr>
          <w:rFonts w:ascii="仿宋" w:hAnsi="仿宋" w:eastAsia="仿宋" w:cs="仿宋"/>
          <w:sz w:val="24"/>
          <w:szCs w:val="24"/>
        </w:rPr>
      </w:pPr>
      <w:r>
        <w:rPr>
          <w:rFonts w:ascii="仿宋" w:hAnsi="仿宋" w:eastAsia="仿宋" w:cs="仿宋"/>
          <w:spacing w:val="-4"/>
          <w:sz w:val="24"/>
          <w:szCs w:val="24"/>
        </w:rPr>
        <w:t>在保证进度的前提下，合理安排作业时间，临近噪声敏感目标的路段，禁止</w:t>
      </w:r>
      <w:r>
        <w:rPr>
          <w:rFonts w:ascii="仿宋" w:hAnsi="仿宋" w:eastAsia="仿宋" w:cs="仿宋"/>
          <w:spacing w:val="-3"/>
          <w:sz w:val="24"/>
          <w:szCs w:val="24"/>
        </w:rPr>
        <w:t>午休时间（12:00-14:000）施工；全线禁止夜间（22:00-次</w:t>
      </w:r>
      <w:r>
        <w:rPr>
          <w:rFonts w:ascii="仿宋" w:hAnsi="仿宋" w:eastAsia="仿宋" w:cs="仿宋"/>
          <w:spacing w:val="-50"/>
          <w:sz w:val="24"/>
          <w:szCs w:val="24"/>
        </w:rPr>
        <w:t xml:space="preserve"> </w:t>
      </w:r>
      <w:r>
        <w:rPr>
          <w:rFonts w:ascii="仿宋" w:hAnsi="仿宋" w:eastAsia="仿宋" w:cs="仿宋"/>
          <w:spacing w:val="-3"/>
          <w:sz w:val="24"/>
          <w:szCs w:val="24"/>
        </w:rPr>
        <w:t>日</w:t>
      </w:r>
      <w:r>
        <w:rPr>
          <w:rFonts w:ascii="仿宋" w:hAnsi="仿宋" w:eastAsia="仿宋" w:cs="仿宋"/>
          <w:spacing w:val="-49"/>
          <w:sz w:val="24"/>
          <w:szCs w:val="24"/>
        </w:rPr>
        <w:t xml:space="preserve"> </w:t>
      </w:r>
      <w:r>
        <w:rPr>
          <w:rFonts w:ascii="仿宋" w:hAnsi="仿宋" w:eastAsia="仿宋" w:cs="仿宋"/>
          <w:spacing w:val="-3"/>
          <w:sz w:val="24"/>
          <w:szCs w:val="24"/>
        </w:rPr>
        <w:t>6：00）施工，其</w:t>
      </w:r>
      <w:r>
        <w:rPr>
          <w:rFonts w:ascii="仿宋" w:hAnsi="仿宋" w:eastAsia="仿宋" w:cs="仿宋"/>
          <w:sz w:val="24"/>
          <w:szCs w:val="24"/>
        </w:rPr>
        <w:t>中临近敏感目标路段施工时间控制在8:00-20：00（除午休时间）。特殊情况需</w:t>
      </w:r>
      <w:r>
        <w:rPr>
          <w:rFonts w:ascii="仿宋" w:hAnsi="仿宋" w:eastAsia="仿宋" w:cs="仿宋"/>
          <w:spacing w:val="-3"/>
          <w:sz w:val="24"/>
          <w:szCs w:val="24"/>
        </w:rPr>
        <w:t>连续作业时，除采取有效措施外，报生态环境局批准后施工</w:t>
      </w:r>
      <w:r>
        <w:rPr>
          <w:rFonts w:ascii="仿宋" w:hAnsi="仿宋" w:eastAsia="仿宋" w:cs="仿宋"/>
          <w:spacing w:val="-4"/>
          <w:sz w:val="24"/>
          <w:szCs w:val="24"/>
        </w:rPr>
        <w:t>，并公告附近相关村</w:t>
      </w:r>
      <w:r>
        <w:rPr>
          <w:rFonts w:ascii="仿宋" w:hAnsi="仿宋" w:eastAsia="仿宋" w:cs="仿宋"/>
          <w:spacing w:val="-9"/>
          <w:sz w:val="24"/>
          <w:szCs w:val="24"/>
        </w:rPr>
        <w:t>民。</w:t>
      </w:r>
    </w:p>
    <w:p w14:paraId="534C859A">
      <w:pPr>
        <w:spacing w:before="1" w:line="219" w:lineRule="auto"/>
        <w:ind w:left="515"/>
        <w:rPr>
          <w:rFonts w:ascii="仿宋" w:hAnsi="仿宋" w:eastAsia="仿宋" w:cs="仿宋"/>
          <w:sz w:val="24"/>
          <w:szCs w:val="24"/>
        </w:rPr>
      </w:pPr>
      <w:r>
        <w:rPr>
          <w:rFonts w:ascii="仿宋" w:hAnsi="仿宋" w:eastAsia="仿宋" w:cs="仿宋"/>
          <w:spacing w:val="-1"/>
          <w:sz w:val="24"/>
          <w:szCs w:val="24"/>
        </w:rPr>
        <w:t>（3）合理安排施工运输车辆的行走路线和行走时间</w:t>
      </w:r>
    </w:p>
    <w:p w14:paraId="24C2C29D">
      <w:pPr>
        <w:spacing w:before="180" w:line="359" w:lineRule="auto"/>
        <w:ind w:left="32" w:right="41" w:firstLine="477"/>
        <w:rPr>
          <w:rFonts w:ascii="仿宋" w:hAnsi="仿宋" w:eastAsia="仿宋" w:cs="仿宋"/>
          <w:sz w:val="24"/>
          <w:szCs w:val="24"/>
        </w:rPr>
      </w:pPr>
      <w:r>
        <w:rPr>
          <w:rFonts w:ascii="仿宋" w:hAnsi="仿宋" w:eastAsia="仿宋" w:cs="仿宋"/>
          <w:spacing w:val="-3"/>
          <w:sz w:val="24"/>
          <w:szCs w:val="24"/>
        </w:rPr>
        <w:t>施工运输车辆，尤其是大型运输车辆，应按</w:t>
      </w:r>
      <w:r>
        <w:rPr>
          <w:rFonts w:ascii="仿宋" w:hAnsi="仿宋" w:eastAsia="仿宋" w:cs="仿宋"/>
          <w:spacing w:val="-4"/>
          <w:sz w:val="24"/>
          <w:szCs w:val="24"/>
        </w:rPr>
        <w:t>照有关部门的规定，确定合理运</w:t>
      </w:r>
      <w:r>
        <w:rPr>
          <w:rFonts w:ascii="仿宋" w:hAnsi="仿宋" w:eastAsia="仿宋" w:cs="仿宋"/>
          <w:spacing w:val="-3"/>
          <w:sz w:val="24"/>
          <w:szCs w:val="24"/>
        </w:rPr>
        <w:t>输路线和时间，运输车辆尽量绕避沿线敏感点，必须进过</w:t>
      </w:r>
      <w:r>
        <w:rPr>
          <w:rFonts w:ascii="仿宋" w:hAnsi="仿宋" w:eastAsia="仿宋" w:cs="仿宋"/>
          <w:spacing w:val="-4"/>
          <w:sz w:val="24"/>
          <w:szCs w:val="24"/>
        </w:rPr>
        <w:t>居民、村庄时，禁止午</w:t>
      </w:r>
      <w:r>
        <w:rPr>
          <w:rFonts w:ascii="仿宋" w:hAnsi="仿宋" w:eastAsia="仿宋" w:cs="仿宋"/>
          <w:spacing w:val="-3"/>
          <w:sz w:val="24"/>
          <w:szCs w:val="24"/>
        </w:rPr>
        <w:t>休和夜间运输。</w:t>
      </w:r>
    </w:p>
    <w:p w14:paraId="13DD1874">
      <w:pPr>
        <w:spacing w:before="2" w:line="220" w:lineRule="auto"/>
        <w:ind w:left="515"/>
        <w:rPr>
          <w:rFonts w:ascii="仿宋" w:hAnsi="仿宋" w:eastAsia="仿宋" w:cs="仿宋"/>
          <w:sz w:val="24"/>
          <w:szCs w:val="24"/>
        </w:rPr>
      </w:pPr>
      <w:r>
        <w:rPr>
          <w:rFonts w:ascii="仿宋" w:hAnsi="仿宋" w:eastAsia="仿宋" w:cs="仿宋"/>
          <w:spacing w:val="-2"/>
          <w:sz w:val="24"/>
          <w:szCs w:val="24"/>
        </w:rPr>
        <w:t>（4）合理选择施工机械设备</w:t>
      </w:r>
    </w:p>
    <w:p w14:paraId="3C327932">
      <w:pPr>
        <w:spacing w:before="178" w:line="360" w:lineRule="auto"/>
        <w:ind w:left="37" w:right="41" w:firstLine="471"/>
        <w:rPr>
          <w:rFonts w:ascii="仿宋" w:hAnsi="仿宋" w:eastAsia="仿宋" w:cs="仿宋"/>
          <w:sz w:val="24"/>
          <w:szCs w:val="24"/>
        </w:rPr>
      </w:pPr>
      <w:r>
        <w:rPr>
          <w:rFonts w:ascii="仿宋" w:hAnsi="仿宋" w:eastAsia="仿宋" w:cs="仿宋"/>
          <w:spacing w:val="-3"/>
          <w:sz w:val="24"/>
          <w:szCs w:val="24"/>
        </w:rPr>
        <w:t>施工单位应尽量选用低噪声、振动的各类施</w:t>
      </w:r>
      <w:r>
        <w:rPr>
          <w:rFonts w:ascii="仿宋" w:hAnsi="仿宋" w:eastAsia="仿宋" w:cs="仿宋"/>
          <w:spacing w:val="-4"/>
          <w:sz w:val="24"/>
          <w:szCs w:val="24"/>
        </w:rPr>
        <w:t>工机械设备，并带有消声和隔音</w:t>
      </w:r>
      <w:r>
        <w:rPr>
          <w:rFonts w:ascii="仿宋" w:hAnsi="仿宋" w:eastAsia="仿宋" w:cs="仿宋"/>
          <w:spacing w:val="-3"/>
          <w:sz w:val="24"/>
          <w:szCs w:val="24"/>
        </w:rPr>
        <w:t>的附属设备；避免多台高噪音的机械设备在</w:t>
      </w:r>
      <w:r>
        <w:rPr>
          <w:rFonts w:ascii="仿宋" w:hAnsi="仿宋" w:eastAsia="仿宋" w:cs="仿宋"/>
          <w:spacing w:val="-4"/>
          <w:sz w:val="24"/>
          <w:szCs w:val="24"/>
        </w:rPr>
        <w:t>同一工场和同一时间使用；对排放高</w:t>
      </w:r>
      <w:r>
        <w:rPr>
          <w:rFonts w:ascii="仿宋" w:hAnsi="仿宋" w:eastAsia="仿宋" w:cs="仿宋"/>
          <w:spacing w:val="-3"/>
          <w:sz w:val="24"/>
          <w:szCs w:val="24"/>
        </w:rPr>
        <w:t>强度噪声的施工机械设备并且临近敏感点处</w:t>
      </w:r>
      <w:r>
        <w:rPr>
          <w:rFonts w:ascii="仿宋" w:hAnsi="仿宋" w:eastAsia="仿宋" w:cs="仿宋"/>
          <w:spacing w:val="-4"/>
          <w:sz w:val="24"/>
          <w:szCs w:val="24"/>
        </w:rPr>
        <w:t>设置隔声挡板或吸声屏障，减少施工</w:t>
      </w:r>
      <w:r>
        <w:rPr>
          <w:rFonts w:ascii="仿宋" w:hAnsi="仿宋" w:eastAsia="仿宋" w:cs="仿宋"/>
          <w:spacing w:val="-2"/>
          <w:sz w:val="24"/>
          <w:szCs w:val="24"/>
        </w:rPr>
        <w:t>噪声对周边敏感点的影响。</w:t>
      </w:r>
    </w:p>
    <w:p w14:paraId="00409171">
      <w:pPr>
        <w:spacing w:line="360" w:lineRule="auto"/>
        <w:rPr>
          <w:rFonts w:ascii="仿宋" w:hAnsi="仿宋" w:eastAsia="仿宋" w:cs="仿宋"/>
          <w:sz w:val="24"/>
          <w:szCs w:val="24"/>
        </w:rPr>
        <w:sectPr>
          <w:footerReference r:id="rId187" w:type="default"/>
          <w:pgSz w:w="11905" w:h="16840"/>
          <w:pgMar w:top="400" w:right="1759" w:bottom="1098" w:left="1785" w:header="0" w:footer="936" w:gutter="0"/>
          <w:cols w:space="720" w:num="1"/>
        </w:sectPr>
      </w:pPr>
    </w:p>
    <w:p w14:paraId="24DD52EA">
      <w:pPr>
        <w:pStyle w:val="2"/>
        <w:spacing w:line="247" w:lineRule="auto"/>
        <w:rPr>
          <w:sz w:val="21"/>
        </w:rPr>
      </w:pPr>
    </w:p>
    <w:p w14:paraId="796BF2E8">
      <w:pPr>
        <w:pStyle w:val="2"/>
        <w:spacing w:line="248" w:lineRule="auto"/>
        <w:rPr>
          <w:sz w:val="21"/>
        </w:rPr>
      </w:pPr>
    </w:p>
    <w:p w14:paraId="0A91B644">
      <w:pPr>
        <w:pStyle w:val="2"/>
        <w:spacing w:line="248" w:lineRule="auto"/>
        <w:rPr>
          <w:sz w:val="21"/>
        </w:rPr>
      </w:pPr>
    </w:p>
    <w:p w14:paraId="2A925C85">
      <w:pPr>
        <w:pStyle w:val="2"/>
        <w:spacing w:line="248" w:lineRule="auto"/>
        <w:rPr>
          <w:sz w:val="21"/>
        </w:rPr>
      </w:pPr>
    </w:p>
    <w:p w14:paraId="7C064C99">
      <w:pPr>
        <w:spacing w:before="78" w:line="212" w:lineRule="auto"/>
        <w:ind w:left="1829"/>
        <w:rPr>
          <w:rFonts w:ascii="仿宋" w:hAnsi="仿宋" w:eastAsia="仿宋" w:cs="仿宋"/>
          <w:sz w:val="24"/>
          <w:szCs w:val="24"/>
        </w:rPr>
      </w:pPr>
      <w:r>
        <w:rPr>
          <w:rFonts w:ascii="仿宋" w:hAnsi="仿宋" w:eastAsia="仿宋" w:cs="仿宋"/>
          <w:b/>
          <w:bCs/>
          <w:spacing w:val="-2"/>
          <w:sz w:val="24"/>
          <w:szCs w:val="24"/>
        </w:rPr>
        <w:t>5.1-1</w:t>
      </w:r>
      <w:r>
        <w:rPr>
          <w:rFonts w:ascii="仿宋" w:hAnsi="仿宋" w:eastAsia="仿宋" w:cs="仿宋"/>
          <w:spacing w:val="-2"/>
          <w:sz w:val="24"/>
          <w:szCs w:val="24"/>
        </w:rPr>
        <w:t xml:space="preserve">    </w:t>
      </w:r>
      <w:r>
        <w:rPr>
          <w:rFonts w:ascii="仿宋" w:hAnsi="仿宋" w:eastAsia="仿宋" w:cs="仿宋"/>
          <w:b/>
          <w:bCs/>
          <w:spacing w:val="-2"/>
          <w:sz w:val="24"/>
          <w:szCs w:val="24"/>
        </w:rPr>
        <w:t>隔声挡板或吸声屏障可行性分析表</w:t>
      </w:r>
    </w:p>
    <w:tbl>
      <w:tblPr>
        <w:tblStyle w:val="5"/>
        <w:tblW w:w="8315" w:type="dxa"/>
        <w:tblInd w:w="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7"/>
        <w:gridCol w:w="1599"/>
        <w:gridCol w:w="1654"/>
        <w:gridCol w:w="2375"/>
        <w:gridCol w:w="1920"/>
      </w:tblGrid>
      <w:tr w14:paraId="5E0F74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67" w:type="dxa"/>
            <w:tcBorders>
              <w:top w:val="single" w:color="000000" w:sz="10" w:space="0"/>
              <w:left w:val="nil"/>
            </w:tcBorders>
            <w:vAlign w:val="top"/>
          </w:tcPr>
          <w:p w14:paraId="77F493B8">
            <w:pPr>
              <w:spacing w:before="38" w:line="231" w:lineRule="auto"/>
              <w:ind w:left="290" w:right="67" w:hanging="194"/>
              <w:rPr>
                <w:rFonts w:ascii="仿宋" w:hAnsi="仿宋" w:eastAsia="仿宋" w:cs="仿宋"/>
                <w:sz w:val="20"/>
                <w:szCs w:val="20"/>
              </w:rPr>
            </w:pPr>
            <w:r>
              <w:rPr>
                <w:rFonts w:ascii="仿宋" w:hAnsi="仿宋" w:eastAsia="仿宋" w:cs="仿宋"/>
                <w:sz w:val="20"/>
                <w:szCs w:val="20"/>
              </w:rPr>
              <w:t>防治措施</w:t>
            </w:r>
          </w:p>
        </w:tc>
        <w:tc>
          <w:tcPr>
            <w:tcW w:w="1599" w:type="dxa"/>
            <w:tcBorders>
              <w:top w:val="single" w:color="000000" w:sz="10" w:space="0"/>
            </w:tcBorders>
            <w:vAlign w:val="top"/>
          </w:tcPr>
          <w:p w14:paraId="00CC827C">
            <w:pPr>
              <w:spacing w:before="171" w:line="231" w:lineRule="auto"/>
              <w:ind w:left="599"/>
              <w:rPr>
                <w:rFonts w:ascii="仿宋" w:hAnsi="仿宋" w:eastAsia="仿宋" w:cs="仿宋"/>
                <w:sz w:val="20"/>
                <w:szCs w:val="20"/>
              </w:rPr>
            </w:pPr>
            <w:r>
              <w:rPr>
                <w:rFonts w:ascii="仿宋" w:hAnsi="仿宋" w:eastAsia="仿宋" w:cs="仿宋"/>
                <w:spacing w:val="2"/>
                <w:sz w:val="20"/>
                <w:szCs w:val="20"/>
              </w:rPr>
              <w:t>优点</w:t>
            </w:r>
          </w:p>
        </w:tc>
        <w:tc>
          <w:tcPr>
            <w:tcW w:w="1654" w:type="dxa"/>
            <w:tcBorders>
              <w:top w:val="single" w:color="000000" w:sz="10" w:space="0"/>
            </w:tcBorders>
            <w:vAlign w:val="top"/>
          </w:tcPr>
          <w:p w14:paraId="30BAF29D">
            <w:pPr>
              <w:spacing w:before="172" w:line="232" w:lineRule="auto"/>
              <w:ind w:left="625"/>
              <w:rPr>
                <w:rFonts w:ascii="仿宋" w:hAnsi="仿宋" w:eastAsia="仿宋" w:cs="仿宋"/>
                <w:sz w:val="20"/>
                <w:szCs w:val="20"/>
              </w:rPr>
            </w:pPr>
            <w:r>
              <w:rPr>
                <w:rFonts w:ascii="仿宋" w:hAnsi="仿宋" w:eastAsia="仿宋" w:cs="仿宋"/>
                <w:spacing w:val="2"/>
                <w:sz w:val="20"/>
                <w:szCs w:val="20"/>
              </w:rPr>
              <w:t>缺点</w:t>
            </w:r>
          </w:p>
        </w:tc>
        <w:tc>
          <w:tcPr>
            <w:tcW w:w="2375" w:type="dxa"/>
            <w:tcBorders>
              <w:top w:val="single" w:color="000000" w:sz="10" w:space="0"/>
            </w:tcBorders>
            <w:vAlign w:val="top"/>
          </w:tcPr>
          <w:p w14:paraId="371C6742">
            <w:pPr>
              <w:spacing w:before="171" w:line="231" w:lineRule="auto"/>
              <w:ind w:left="792"/>
              <w:rPr>
                <w:rFonts w:ascii="仿宋" w:hAnsi="仿宋" w:eastAsia="仿宋" w:cs="仿宋"/>
                <w:sz w:val="20"/>
                <w:szCs w:val="20"/>
              </w:rPr>
            </w:pPr>
            <w:r>
              <w:rPr>
                <w:rFonts w:ascii="仿宋" w:hAnsi="仿宋" w:eastAsia="仿宋" w:cs="仿宋"/>
                <w:spacing w:val="2"/>
                <w:sz w:val="20"/>
                <w:szCs w:val="20"/>
              </w:rPr>
              <w:t>防治效果</w:t>
            </w:r>
          </w:p>
        </w:tc>
        <w:tc>
          <w:tcPr>
            <w:tcW w:w="1920" w:type="dxa"/>
            <w:tcBorders>
              <w:top w:val="single" w:color="000000" w:sz="10" w:space="0"/>
              <w:right w:val="nil"/>
            </w:tcBorders>
            <w:vAlign w:val="top"/>
          </w:tcPr>
          <w:p w14:paraId="38355728">
            <w:pPr>
              <w:spacing w:before="171" w:line="229" w:lineRule="auto"/>
              <w:ind w:left="132"/>
              <w:rPr>
                <w:rFonts w:ascii="仿宋" w:hAnsi="仿宋" w:eastAsia="仿宋" w:cs="仿宋"/>
                <w:sz w:val="20"/>
                <w:szCs w:val="20"/>
              </w:rPr>
            </w:pPr>
            <w:r>
              <w:rPr>
                <w:rFonts w:ascii="仿宋" w:hAnsi="仿宋" w:eastAsia="仿宋" w:cs="仿宋"/>
                <w:spacing w:val="7"/>
                <w:sz w:val="20"/>
                <w:szCs w:val="20"/>
              </w:rPr>
              <w:t>对本项目的适用性</w:t>
            </w:r>
          </w:p>
        </w:tc>
      </w:tr>
      <w:tr w14:paraId="03D172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8" w:hRule="atLeast"/>
        </w:trPr>
        <w:tc>
          <w:tcPr>
            <w:tcW w:w="767" w:type="dxa"/>
            <w:tcBorders>
              <w:left w:val="nil"/>
              <w:bottom w:val="single" w:color="000000" w:sz="10" w:space="0"/>
            </w:tcBorders>
            <w:vAlign w:val="top"/>
          </w:tcPr>
          <w:p w14:paraId="30FE805D">
            <w:pPr>
              <w:spacing w:line="324" w:lineRule="auto"/>
              <w:rPr>
                <w:rFonts w:ascii="Arial"/>
                <w:sz w:val="21"/>
              </w:rPr>
            </w:pPr>
          </w:p>
          <w:p w14:paraId="42ECE54D">
            <w:pPr>
              <w:spacing w:line="325" w:lineRule="auto"/>
              <w:rPr>
                <w:rFonts w:ascii="Arial"/>
                <w:sz w:val="21"/>
              </w:rPr>
            </w:pPr>
          </w:p>
          <w:p w14:paraId="03FAF8DE">
            <w:pPr>
              <w:spacing w:before="65" w:line="250" w:lineRule="auto"/>
              <w:ind w:left="81" w:right="67" w:firstLine="12"/>
              <w:jc w:val="both"/>
              <w:rPr>
                <w:rFonts w:ascii="仿宋" w:hAnsi="仿宋" w:eastAsia="仿宋" w:cs="仿宋"/>
                <w:sz w:val="20"/>
                <w:szCs w:val="20"/>
              </w:rPr>
            </w:pPr>
            <w:r>
              <w:rPr>
                <w:rFonts w:ascii="仿宋" w:hAnsi="仿宋" w:eastAsia="仿宋" w:cs="仿宋"/>
                <w:spacing w:val="1"/>
                <w:sz w:val="20"/>
                <w:szCs w:val="20"/>
              </w:rPr>
              <w:t>隔声挡</w:t>
            </w:r>
            <w:r>
              <w:rPr>
                <w:rFonts w:ascii="仿宋" w:hAnsi="仿宋" w:eastAsia="仿宋" w:cs="仿宋"/>
                <w:spacing w:val="5"/>
                <w:sz w:val="20"/>
                <w:szCs w:val="20"/>
              </w:rPr>
              <w:t>板或吸声屏障</w:t>
            </w:r>
          </w:p>
        </w:tc>
        <w:tc>
          <w:tcPr>
            <w:tcW w:w="1599" w:type="dxa"/>
            <w:tcBorders>
              <w:bottom w:val="single" w:color="000000" w:sz="10" w:space="0"/>
            </w:tcBorders>
            <w:vAlign w:val="top"/>
          </w:tcPr>
          <w:p w14:paraId="70E5B1F0">
            <w:pPr>
              <w:spacing w:before="172" w:line="229" w:lineRule="auto"/>
              <w:jc w:val="right"/>
              <w:rPr>
                <w:rFonts w:ascii="仿宋" w:hAnsi="仿宋" w:eastAsia="仿宋" w:cs="仿宋"/>
                <w:sz w:val="20"/>
                <w:szCs w:val="20"/>
              </w:rPr>
            </w:pPr>
            <w:r>
              <w:rPr>
                <w:rFonts w:ascii="仿宋" w:hAnsi="仿宋" w:eastAsia="仿宋" w:cs="仿宋"/>
                <w:spacing w:val="-7"/>
                <w:sz w:val="20"/>
                <w:szCs w:val="20"/>
              </w:rPr>
              <w:t>节约土地、简单、</w:t>
            </w:r>
          </w:p>
          <w:p w14:paraId="7D63BE5D">
            <w:pPr>
              <w:spacing w:before="23" w:line="229" w:lineRule="auto"/>
              <w:ind w:left="80"/>
              <w:rPr>
                <w:rFonts w:ascii="仿宋" w:hAnsi="仿宋" w:eastAsia="仿宋" w:cs="仿宋"/>
                <w:sz w:val="20"/>
                <w:szCs w:val="20"/>
              </w:rPr>
            </w:pPr>
            <w:r>
              <w:rPr>
                <w:rFonts w:ascii="仿宋" w:hAnsi="仿宋" w:eastAsia="仿宋" w:cs="仿宋"/>
                <w:spacing w:val="7"/>
                <w:sz w:val="20"/>
                <w:szCs w:val="20"/>
              </w:rPr>
              <w:t>实用、可行、有</w:t>
            </w:r>
          </w:p>
          <w:p w14:paraId="227E07CC">
            <w:pPr>
              <w:spacing w:before="22" w:line="229" w:lineRule="auto"/>
              <w:ind w:left="79"/>
              <w:rPr>
                <w:rFonts w:ascii="仿宋" w:hAnsi="仿宋" w:eastAsia="仿宋" w:cs="仿宋"/>
                <w:sz w:val="20"/>
                <w:szCs w:val="20"/>
              </w:rPr>
            </w:pPr>
            <w:r>
              <w:rPr>
                <w:rFonts w:ascii="仿宋" w:hAnsi="仿宋" w:eastAsia="仿宋" w:cs="仿宋"/>
                <w:spacing w:val="7"/>
                <w:sz w:val="20"/>
                <w:szCs w:val="20"/>
              </w:rPr>
              <w:t>效、一次性投资</w:t>
            </w:r>
          </w:p>
          <w:p w14:paraId="0B3AD44E">
            <w:pPr>
              <w:spacing w:before="25" w:line="228" w:lineRule="auto"/>
              <w:ind w:left="75"/>
              <w:rPr>
                <w:rFonts w:ascii="仿宋" w:hAnsi="仿宋" w:eastAsia="仿宋" w:cs="仿宋"/>
                <w:sz w:val="20"/>
                <w:szCs w:val="20"/>
              </w:rPr>
            </w:pPr>
            <w:r>
              <w:rPr>
                <w:rFonts w:ascii="仿宋" w:hAnsi="仿宋" w:eastAsia="仿宋" w:cs="仿宋"/>
                <w:spacing w:val="7"/>
                <w:sz w:val="20"/>
                <w:szCs w:val="20"/>
              </w:rPr>
              <w:t>小，易在道路建</w:t>
            </w:r>
          </w:p>
          <w:p w14:paraId="59BE36DD">
            <w:pPr>
              <w:spacing w:before="24" w:line="231" w:lineRule="auto"/>
              <w:ind w:left="75"/>
              <w:rPr>
                <w:rFonts w:ascii="仿宋" w:hAnsi="仿宋" w:eastAsia="仿宋" w:cs="仿宋"/>
                <w:sz w:val="20"/>
                <w:szCs w:val="20"/>
              </w:rPr>
            </w:pPr>
            <w:r>
              <w:rPr>
                <w:rFonts w:ascii="仿宋" w:hAnsi="仿宋" w:eastAsia="仿宋" w:cs="仿宋"/>
                <w:spacing w:val="7"/>
                <w:sz w:val="20"/>
                <w:szCs w:val="20"/>
              </w:rPr>
              <w:t>设中实施；对距</w:t>
            </w:r>
          </w:p>
          <w:p w14:paraId="294FBAFF">
            <w:pPr>
              <w:spacing w:before="23" w:line="230" w:lineRule="auto"/>
              <w:ind w:left="80"/>
              <w:rPr>
                <w:rFonts w:ascii="仿宋" w:hAnsi="仿宋" w:eastAsia="仿宋" w:cs="仿宋"/>
                <w:sz w:val="20"/>
                <w:szCs w:val="20"/>
              </w:rPr>
            </w:pPr>
            <w:r>
              <w:rPr>
                <w:rFonts w:ascii="仿宋" w:hAnsi="仿宋" w:eastAsia="仿宋" w:cs="仿宋"/>
                <w:spacing w:val="7"/>
                <w:sz w:val="20"/>
                <w:szCs w:val="20"/>
              </w:rPr>
              <w:t>离较近的敏感点</w:t>
            </w:r>
          </w:p>
          <w:p w14:paraId="5867EFCC">
            <w:pPr>
              <w:spacing w:before="22" w:line="231" w:lineRule="auto"/>
              <w:ind w:left="193"/>
              <w:rPr>
                <w:rFonts w:ascii="仿宋" w:hAnsi="仿宋" w:eastAsia="仿宋" w:cs="仿宋"/>
                <w:sz w:val="20"/>
                <w:szCs w:val="20"/>
              </w:rPr>
            </w:pPr>
            <w:r>
              <w:rPr>
                <w:rFonts w:ascii="仿宋" w:hAnsi="仿宋" w:eastAsia="仿宋" w:cs="仿宋"/>
                <w:spacing w:val="3"/>
                <w:sz w:val="20"/>
                <w:szCs w:val="20"/>
              </w:rPr>
              <w:t>防噪效果好。</w:t>
            </w:r>
          </w:p>
        </w:tc>
        <w:tc>
          <w:tcPr>
            <w:tcW w:w="1654" w:type="dxa"/>
            <w:tcBorders>
              <w:bottom w:val="single" w:color="000000" w:sz="10" w:space="0"/>
            </w:tcBorders>
            <w:vAlign w:val="top"/>
          </w:tcPr>
          <w:p w14:paraId="05CA6893">
            <w:pPr>
              <w:spacing w:line="256" w:lineRule="auto"/>
              <w:rPr>
                <w:rFonts w:ascii="Arial"/>
                <w:sz w:val="21"/>
              </w:rPr>
            </w:pPr>
          </w:p>
          <w:p w14:paraId="4F7491C2">
            <w:pPr>
              <w:spacing w:line="256" w:lineRule="auto"/>
              <w:rPr>
                <w:rFonts w:ascii="Arial"/>
                <w:sz w:val="21"/>
              </w:rPr>
            </w:pPr>
          </w:p>
          <w:p w14:paraId="4647F3B3">
            <w:pPr>
              <w:spacing w:before="65" w:line="230" w:lineRule="auto"/>
              <w:ind w:left="105"/>
              <w:rPr>
                <w:rFonts w:ascii="仿宋" w:hAnsi="仿宋" w:eastAsia="仿宋" w:cs="仿宋"/>
                <w:sz w:val="20"/>
                <w:szCs w:val="20"/>
              </w:rPr>
            </w:pPr>
            <w:r>
              <w:rPr>
                <w:rFonts w:ascii="仿宋" w:hAnsi="仿宋" w:eastAsia="仿宋" w:cs="仿宋"/>
                <w:spacing w:val="7"/>
                <w:sz w:val="20"/>
                <w:szCs w:val="20"/>
              </w:rPr>
              <w:t>对距离较远的敏</w:t>
            </w:r>
          </w:p>
          <w:p w14:paraId="79C37DC1">
            <w:pPr>
              <w:spacing w:before="21" w:line="231" w:lineRule="auto"/>
              <w:ind w:left="108"/>
              <w:rPr>
                <w:rFonts w:ascii="仿宋" w:hAnsi="仿宋" w:eastAsia="仿宋" w:cs="仿宋"/>
                <w:sz w:val="20"/>
                <w:szCs w:val="20"/>
              </w:rPr>
            </w:pPr>
            <w:r>
              <w:rPr>
                <w:rFonts w:ascii="仿宋" w:hAnsi="仿宋" w:eastAsia="仿宋" w:cs="仿宋"/>
                <w:spacing w:val="7"/>
                <w:sz w:val="20"/>
                <w:szCs w:val="20"/>
              </w:rPr>
              <w:t>感点防噪效果欠</w:t>
            </w:r>
          </w:p>
          <w:p w14:paraId="438E823D">
            <w:pPr>
              <w:spacing w:before="23" w:line="228" w:lineRule="auto"/>
              <w:ind w:left="104"/>
              <w:rPr>
                <w:rFonts w:ascii="仿宋" w:hAnsi="仿宋" w:eastAsia="仿宋" w:cs="仿宋"/>
                <w:sz w:val="20"/>
                <w:szCs w:val="20"/>
              </w:rPr>
            </w:pPr>
            <w:r>
              <w:rPr>
                <w:rFonts w:ascii="仿宋" w:hAnsi="仿宋" w:eastAsia="仿宋" w:cs="仿宋"/>
                <w:spacing w:val="7"/>
                <w:sz w:val="20"/>
                <w:szCs w:val="20"/>
              </w:rPr>
              <w:t>佳；影响行车安</w:t>
            </w:r>
          </w:p>
          <w:p w14:paraId="354E6B24">
            <w:pPr>
              <w:spacing w:before="23" w:line="242" w:lineRule="auto"/>
              <w:ind w:left="632"/>
              <w:rPr>
                <w:rFonts w:ascii="仿宋" w:hAnsi="仿宋" w:eastAsia="仿宋" w:cs="仿宋"/>
                <w:sz w:val="20"/>
                <w:szCs w:val="20"/>
              </w:rPr>
            </w:pPr>
            <w:r>
              <w:rPr>
                <w:rFonts w:ascii="仿宋" w:hAnsi="仿宋" w:eastAsia="仿宋" w:cs="仿宋"/>
                <w:spacing w:val="-5"/>
                <w:sz w:val="20"/>
                <w:szCs w:val="20"/>
              </w:rPr>
              <w:t>全。</w:t>
            </w:r>
          </w:p>
        </w:tc>
        <w:tc>
          <w:tcPr>
            <w:tcW w:w="2375" w:type="dxa"/>
            <w:tcBorders>
              <w:bottom w:val="single" w:color="000000" w:sz="10" w:space="0"/>
            </w:tcBorders>
            <w:vAlign w:val="top"/>
          </w:tcPr>
          <w:p w14:paraId="35890DEB">
            <w:pPr>
              <w:spacing w:before="172" w:line="231" w:lineRule="auto"/>
              <w:ind w:left="46"/>
              <w:rPr>
                <w:rFonts w:ascii="仿宋" w:hAnsi="仿宋" w:eastAsia="仿宋" w:cs="仿宋"/>
                <w:sz w:val="20"/>
                <w:szCs w:val="20"/>
              </w:rPr>
            </w:pPr>
            <w:r>
              <w:rPr>
                <w:rFonts w:ascii="仿宋" w:hAnsi="仿宋" w:eastAsia="仿宋" w:cs="仿宋"/>
                <w:spacing w:val="8"/>
                <w:sz w:val="20"/>
                <w:szCs w:val="20"/>
              </w:rPr>
              <w:t>选取彩钢板等隔声挡板或</w:t>
            </w:r>
          </w:p>
          <w:p w14:paraId="79D0CDEC">
            <w:pPr>
              <w:spacing w:before="21" w:line="230" w:lineRule="auto"/>
              <w:ind w:left="52"/>
              <w:rPr>
                <w:rFonts w:ascii="仿宋" w:hAnsi="仿宋" w:eastAsia="仿宋" w:cs="仿宋"/>
                <w:sz w:val="20"/>
                <w:szCs w:val="20"/>
              </w:rPr>
            </w:pPr>
            <w:r>
              <w:rPr>
                <w:rFonts w:ascii="仿宋" w:hAnsi="仿宋" w:eastAsia="仿宋" w:cs="仿宋"/>
                <w:spacing w:val="8"/>
                <w:sz w:val="20"/>
                <w:szCs w:val="20"/>
              </w:rPr>
              <w:t>吸声屏障，便于移动；设</w:t>
            </w:r>
          </w:p>
          <w:p w14:paraId="0521010F">
            <w:pPr>
              <w:spacing w:before="21" w:line="231" w:lineRule="auto"/>
              <w:ind w:left="43"/>
              <w:rPr>
                <w:rFonts w:ascii="仿宋" w:hAnsi="仿宋" w:eastAsia="仿宋" w:cs="仿宋"/>
                <w:sz w:val="20"/>
                <w:szCs w:val="20"/>
              </w:rPr>
            </w:pPr>
            <w:r>
              <w:rPr>
                <w:rFonts w:ascii="仿宋" w:hAnsi="仿宋" w:eastAsia="仿宋" w:cs="仿宋"/>
                <w:spacing w:val="7"/>
                <w:sz w:val="20"/>
                <w:szCs w:val="20"/>
              </w:rPr>
              <w:t>计高度不低于2.5m，隔声</w:t>
            </w:r>
          </w:p>
          <w:p w14:paraId="490AB3C3">
            <w:pPr>
              <w:spacing w:before="23" w:line="229" w:lineRule="auto"/>
              <w:ind w:left="43"/>
              <w:rPr>
                <w:rFonts w:ascii="仿宋" w:hAnsi="仿宋" w:eastAsia="仿宋" w:cs="仿宋"/>
                <w:sz w:val="20"/>
                <w:szCs w:val="20"/>
              </w:rPr>
            </w:pPr>
            <w:r>
              <w:rPr>
                <w:rFonts w:ascii="仿宋" w:hAnsi="仿宋" w:eastAsia="仿宋" w:cs="仿宋"/>
                <w:spacing w:val="8"/>
                <w:sz w:val="20"/>
                <w:szCs w:val="20"/>
              </w:rPr>
              <w:t>挡板或吸声屏障长度根据</w:t>
            </w:r>
          </w:p>
          <w:p w14:paraId="4037EE47">
            <w:pPr>
              <w:spacing w:before="22" w:line="229" w:lineRule="auto"/>
              <w:ind w:left="43"/>
              <w:rPr>
                <w:rFonts w:ascii="仿宋" w:hAnsi="仿宋" w:eastAsia="仿宋" w:cs="仿宋"/>
                <w:sz w:val="20"/>
                <w:szCs w:val="20"/>
              </w:rPr>
            </w:pPr>
            <w:r>
              <w:rPr>
                <w:rFonts w:ascii="仿宋" w:hAnsi="仿宋" w:eastAsia="仿宋" w:cs="仿宋"/>
                <w:spacing w:val="8"/>
                <w:sz w:val="20"/>
                <w:szCs w:val="20"/>
              </w:rPr>
              <w:t>施工现场敏感点分布情况</w:t>
            </w:r>
          </w:p>
          <w:p w14:paraId="1143B948">
            <w:pPr>
              <w:spacing w:before="26" w:line="231" w:lineRule="auto"/>
              <w:ind w:left="49"/>
              <w:rPr>
                <w:rFonts w:ascii="仿宋" w:hAnsi="仿宋" w:eastAsia="仿宋" w:cs="仿宋"/>
                <w:sz w:val="20"/>
                <w:szCs w:val="20"/>
              </w:rPr>
            </w:pPr>
            <w:r>
              <w:rPr>
                <w:rFonts w:ascii="仿宋" w:hAnsi="仿宋" w:eastAsia="仿宋" w:cs="仿宋"/>
                <w:spacing w:val="-1"/>
                <w:sz w:val="20"/>
                <w:szCs w:val="20"/>
              </w:rPr>
              <w:t>两端适当加长50m。一般可</w:t>
            </w:r>
          </w:p>
          <w:p w14:paraId="512FFD34">
            <w:pPr>
              <w:spacing w:before="20" w:line="231" w:lineRule="auto"/>
              <w:ind w:left="315"/>
              <w:rPr>
                <w:rFonts w:ascii="仿宋" w:hAnsi="仿宋" w:eastAsia="仿宋" w:cs="仿宋"/>
                <w:sz w:val="20"/>
                <w:szCs w:val="20"/>
              </w:rPr>
            </w:pPr>
            <w:r>
              <w:rPr>
                <w:rFonts w:ascii="仿宋" w:hAnsi="仿宋" w:eastAsia="仿宋" w:cs="仿宋"/>
                <w:spacing w:val="5"/>
                <w:sz w:val="20"/>
                <w:szCs w:val="20"/>
              </w:rPr>
              <w:t>降低噪声5～15</w:t>
            </w:r>
            <w:r>
              <w:rPr>
                <w:rFonts w:ascii="仿宋" w:hAnsi="仿宋" w:eastAsia="仿宋" w:cs="仿宋"/>
                <w:sz w:val="20"/>
                <w:szCs w:val="20"/>
              </w:rPr>
              <w:t>dB</w:t>
            </w:r>
            <w:r>
              <w:rPr>
                <w:rFonts w:ascii="仿宋" w:hAnsi="仿宋" w:eastAsia="仿宋" w:cs="仿宋"/>
                <w:spacing w:val="5"/>
                <w:sz w:val="20"/>
                <w:szCs w:val="20"/>
              </w:rPr>
              <w:t>。</w:t>
            </w:r>
          </w:p>
        </w:tc>
        <w:tc>
          <w:tcPr>
            <w:tcW w:w="1920" w:type="dxa"/>
            <w:tcBorders>
              <w:bottom w:val="single" w:color="000000" w:sz="10" w:space="0"/>
              <w:right w:val="nil"/>
            </w:tcBorders>
            <w:vAlign w:val="top"/>
          </w:tcPr>
          <w:p w14:paraId="7A9E0E77">
            <w:pPr>
              <w:spacing w:before="35" w:line="231" w:lineRule="auto"/>
              <w:ind w:left="131"/>
              <w:rPr>
                <w:rFonts w:ascii="仿宋" w:hAnsi="仿宋" w:eastAsia="仿宋" w:cs="仿宋"/>
                <w:sz w:val="20"/>
                <w:szCs w:val="20"/>
              </w:rPr>
            </w:pPr>
            <w:r>
              <w:rPr>
                <w:rFonts w:ascii="仿宋" w:hAnsi="仿宋" w:eastAsia="仿宋" w:cs="仿宋"/>
                <w:spacing w:val="7"/>
                <w:sz w:val="20"/>
                <w:szCs w:val="20"/>
              </w:rPr>
              <w:t>本项目沿线敏感点</w:t>
            </w:r>
          </w:p>
          <w:p w14:paraId="096D2330">
            <w:pPr>
              <w:spacing w:before="23" w:line="230" w:lineRule="auto"/>
              <w:ind w:left="39"/>
              <w:rPr>
                <w:rFonts w:ascii="仿宋" w:hAnsi="仿宋" w:eastAsia="仿宋" w:cs="仿宋"/>
                <w:sz w:val="20"/>
                <w:szCs w:val="20"/>
              </w:rPr>
            </w:pPr>
            <w:r>
              <w:rPr>
                <w:rFonts w:ascii="仿宋" w:hAnsi="仿宋" w:eastAsia="仿宋" w:cs="仿宋"/>
                <w:spacing w:val="5"/>
                <w:sz w:val="20"/>
                <w:szCs w:val="20"/>
              </w:rPr>
              <w:t>距离道路较近，降噪</w:t>
            </w:r>
          </w:p>
          <w:p w14:paraId="11D9C2A6">
            <w:pPr>
              <w:spacing w:before="21" w:line="231" w:lineRule="auto"/>
              <w:ind w:left="43"/>
              <w:rPr>
                <w:rFonts w:ascii="仿宋" w:hAnsi="仿宋" w:eastAsia="仿宋" w:cs="仿宋"/>
                <w:sz w:val="20"/>
                <w:szCs w:val="20"/>
              </w:rPr>
            </w:pPr>
            <w:r>
              <w:rPr>
                <w:rFonts w:ascii="仿宋" w:hAnsi="仿宋" w:eastAsia="仿宋" w:cs="仿宋"/>
                <w:spacing w:val="5"/>
                <w:sz w:val="20"/>
                <w:szCs w:val="20"/>
              </w:rPr>
              <w:t>效果明显；彩钢板等</w:t>
            </w:r>
          </w:p>
          <w:p w14:paraId="13A9D7C7">
            <w:pPr>
              <w:spacing w:before="23" w:line="231" w:lineRule="auto"/>
              <w:ind w:left="142"/>
              <w:rPr>
                <w:rFonts w:ascii="仿宋" w:hAnsi="仿宋" w:eastAsia="仿宋" w:cs="仿宋"/>
                <w:sz w:val="20"/>
                <w:szCs w:val="20"/>
              </w:rPr>
            </w:pPr>
            <w:r>
              <w:rPr>
                <w:rFonts w:ascii="仿宋" w:hAnsi="仿宋" w:eastAsia="仿宋" w:cs="仿宋"/>
                <w:spacing w:val="6"/>
                <w:sz w:val="20"/>
                <w:szCs w:val="20"/>
              </w:rPr>
              <w:t>隔声挡板或吸声屏</w:t>
            </w:r>
          </w:p>
          <w:p w14:paraId="3AA62B49">
            <w:pPr>
              <w:spacing w:before="21" w:line="230" w:lineRule="auto"/>
              <w:ind w:left="142"/>
              <w:rPr>
                <w:rFonts w:ascii="仿宋" w:hAnsi="仿宋" w:eastAsia="仿宋" w:cs="仿宋"/>
                <w:sz w:val="20"/>
                <w:szCs w:val="20"/>
              </w:rPr>
            </w:pPr>
            <w:r>
              <w:rPr>
                <w:rFonts w:ascii="仿宋" w:hAnsi="仿宋" w:eastAsia="仿宋" w:cs="仿宋"/>
                <w:spacing w:val="6"/>
                <w:sz w:val="20"/>
                <w:szCs w:val="20"/>
              </w:rPr>
              <w:t>障较轻便，便于移</w:t>
            </w:r>
          </w:p>
          <w:p w14:paraId="01F4AB3B">
            <w:pPr>
              <w:spacing w:before="22" w:line="230" w:lineRule="auto"/>
              <w:ind w:left="42"/>
              <w:rPr>
                <w:rFonts w:ascii="仿宋" w:hAnsi="仿宋" w:eastAsia="仿宋" w:cs="仿宋"/>
                <w:sz w:val="20"/>
                <w:szCs w:val="20"/>
              </w:rPr>
            </w:pPr>
            <w:r>
              <w:rPr>
                <w:rFonts w:ascii="仿宋" w:hAnsi="仿宋" w:eastAsia="仿宋" w:cs="仿宋"/>
                <w:sz w:val="20"/>
                <w:szCs w:val="20"/>
              </w:rPr>
              <w:t>动，</w:t>
            </w:r>
            <w:r>
              <w:rPr>
                <w:rFonts w:ascii="仿宋" w:hAnsi="仿宋" w:eastAsia="仿宋" w:cs="仿宋"/>
                <w:spacing w:val="-40"/>
                <w:sz w:val="20"/>
                <w:szCs w:val="20"/>
              </w:rPr>
              <w:t xml:space="preserve"> </w:t>
            </w:r>
            <w:r>
              <w:rPr>
                <w:rFonts w:ascii="仿宋" w:hAnsi="仿宋" w:eastAsia="仿宋" w:cs="仿宋"/>
                <w:sz w:val="20"/>
                <w:szCs w:val="20"/>
              </w:rPr>
              <w:t>占地面积较小，</w:t>
            </w:r>
          </w:p>
          <w:p w14:paraId="14F72C64">
            <w:pPr>
              <w:spacing w:before="24" w:line="231" w:lineRule="auto"/>
              <w:ind w:left="40"/>
              <w:rPr>
                <w:rFonts w:ascii="仿宋" w:hAnsi="仿宋" w:eastAsia="仿宋" w:cs="仿宋"/>
                <w:sz w:val="20"/>
                <w:szCs w:val="20"/>
              </w:rPr>
            </w:pPr>
            <w:r>
              <w:rPr>
                <w:rFonts w:ascii="仿宋" w:hAnsi="仿宋" w:eastAsia="仿宋" w:cs="仿宋"/>
                <w:spacing w:val="5"/>
                <w:sz w:val="20"/>
                <w:szCs w:val="20"/>
              </w:rPr>
              <w:t>便于安装；本项目适</w:t>
            </w:r>
          </w:p>
          <w:p w14:paraId="098AE0D7">
            <w:pPr>
              <w:spacing w:before="24" w:line="216" w:lineRule="auto"/>
              <w:ind w:left="762"/>
              <w:rPr>
                <w:rFonts w:ascii="仿宋" w:hAnsi="仿宋" w:eastAsia="仿宋" w:cs="仿宋"/>
                <w:sz w:val="20"/>
                <w:szCs w:val="20"/>
              </w:rPr>
            </w:pPr>
            <w:r>
              <w:rPr>
                <w:rFonts w:ascii="仿宋" w:hAnsi="仿宋" w:eastAsia="仿宋" w:cs="仿宋"/>
                <w:spacing w:val="-3"/>
                <w:sz w:val="20"/>
                <w:szCs w:val="20"/>
              </w:rPr>
              <w:t>用。</w:t>
            </w:r>
          </w:p>
        </w:tc>
      </w:tr>
    </w:tbl>
    <w:p w14:paraId="6CD737AF">
      <w:pPr>
        <w:spacing w:before="35" w:line="359" w:lineRule="auto"/>
        <w:ind w:left="29" w:right="65" w:firstLine="505"/>
        <w:jc w:val="both"/>
        <w:rPr>
          <w:rFonts w:ascii="仿宋" w:hAnsi="仿宋" w:eastAsia="仿宋" w:cs="仿宋"/>
          <w:sz w:val="24"/>
          <w:szCs w:val="24"/>
        </w:rPr>
      </w:pPr>
      <w:r>
        <w:rPr>
          <w:rFonts w:ascii="仿宋" w:hAnsi="仿宋" w:eastAsia="仿宋" w:cs="仿宋"/>
          <w:spacing w:val="-4"/>
          <w:sz w:val="24"/>
          <w:szCs w:val="24"/>
        </w:rPr>
        <w:t>因此，施工期设置隔声挡板或吸声屏障可有效减少施工噪声对</w:t>
      </w:r>
      <w:r>
        <w:rPr>
          <w:rFonts w:ascii="仿宋" w:hAnsi="仿宋" w:eastAsia="仿宋" w:cs="仿宋"/>
          <w:spacing w:val="-5"/>
          <w:sz w:val="24"/>
          <w:szCs w:val="24"/>
        </w:rPr>
        <w:t>周边敏感点及</w:t>
      </w:r>
      <w:r>
        <w:rPr>
          <w:rFonts w:ascii="仿宋" w:hAnsi="仿宋" w:eastAsia="仿宋" w:cs="仿宋"/>
          <w:spacing w:val="-3"/>
          <w:sz w:val="24"/>
          <w:szCs w:val="24"/>
        </w:rPr>
        <w:t>环境的影响。本次环评要求对紧邻施工线路段的噪声敏感目标</w:t>
      </w:r>
      <w:r>
        <w:rPr>
          <w:rFonts w:ascii="仿宋" w:hAnsi="仿宋" w:eastAsia="仿宋" w:cs="仿宋"/>
          <w:spacing w:val="-4"/>
          <w:sz w:val="24"/>
          <w:szCs w:val="24"/>
        </w:rPr>
        <w:t>侧设置临时隔声挡</w:t>
      </w:r>
      <w:r>
        <w:rPr>
          <w:rFonts w:ascii="仿宋" w:hAnsi="仿宋" w:eastAsia="仿宋" w:cs="仿宋"/>
          <w:spacing w:val="-8"/>
          <w:sz w:val="24"/>
          <w:szCs w:val="24"/>
        </w:rPr>
        <w:t>板。</w:t>
      </w:r>
    </w:p>
    <w:p w14:paraId="098F8F65">
      <w:pPr>
        <w:spacing w:line="220" w:lineRule="auto"/>
        <w:ind w:left="515"/>
        <w:rPr>
          <w:rFonts w:ascii="仿宋" w:hAnsi="仿宋" w:eastAsia="仿宋" w:cs="仿宋"/>
          <w:sz w:val="24"/>
          <w:szCs w:val="24"/>
        </w:rPr>
      </w:pPr>
      <w:r>
        <w:rPr>
          <w:rFonts w:ascii="仿宋" w:hAnsi="仿宋" w:eastAsia="仿宋" w:cs="仿宋"/>
          <w:spacing w:val="-1"/>
          <w:sz w:val="24"/>
          <w:szCs w:val="24"/>
        </w:rPr>
        <w:t>（5）做好宣传工作，倡导科学管理和文明施工</w:t>
      </w:r>
    </w:p>
    <w:p w14:paraId="6CA82A56">
      <w:pPr>
        <w:spacing w:before="183" w:line="359" w:lineRule="auto"/>
        <w:ind w:left="29" w:firstLine="511"/>
        <w:rPr>
          <w:rFonts w:ascii="仿宋" w:hAnsi="仿宋" w:eastAsia="仿宋" w:cs="仿宋"/>
          <w:sz w:val="24"/>
          <w:szCs w:val="24"/>
        </w:rPr>
      </w:pPr>
      <w:r>
        <w:rPr>
          <w:rFonts w:ascii="仿宋" w:hAnsi="仿宋" w:eastAsia="仿宋" w:cs="仿宋"/>
          <w:spacing w:val="-9"/>
          <w:sz w:val="24"/>
          <w:szCs w:val="24"/>
        </w:rPr>
        <w:t>由于技术条件、施工现场客观环境限制，即使采</w:t>
      </w:r>
      <w:r>
        <w:rPr>
          <w:rFonts w:ascii="仿宋" w:hAnsi="仿宋" w:eastAsia="仿宋" w:cs="仿宋"/>
          <w:spacing w:val="-10"/>
          <w:sz w:val="24"/>
          <w:szCs w:val="24"/>
        </w:rPr>
        <w:t>用了相应的控制对策和措施，</w:t>
      </w:r>
      <w:r>
        <w:rPr>
          <w:rFonts w:ascii="仿宋" w:hAnsi="仿宋" w:eastAsia="仿宋" w:cs="仿宋"/>
          <w:spacing w:val="-3"/>
          <w:sz w:val="24"/>
          <w:szCs w:val="24"/>
        </w:rPr>
        <w:t>施工噪声、振动仍可能对周围环境产生一定的影响，为此要向</w:t>
      </w:r>
      <w:r>
        <w:rPr>
          <w:rFonts w:ascii="仿宋" w:hAnsi="仿宋" w:eastAsia="仿宋" w:cs="仿宋"/>
          <w:spacing w:val="-4"/>
          <w:sz w:val="24"/>
          <w:szCs w:val="24"/>
        </w:rPr>
        <w:t>受影响的有关单位</w:t>
      </w:r>
      <w:r>
        <w:rPr>
          <w:rFonts w:ascii="仿宋" w:hAnsi="仿宋" w:eastAsia="仿宋" w:cs="仿宋"/>
          <w:spacing w:val="-8"/>
          <w:sz w:val="24"/>
          <w:szCs w:val="24"/>
        </w:rPr>
        <w:t>做好宣传工作，以提高人们对不利影响的心理承受力；加强施工现场的科学管理，</w:t>
      </w:r>
      <w:r>
        <w:rPr>
          <w:rFonts w:ascii="仿宋" w:hAnsi="仿宋" w:eastAsia="仿宋" w:cs="仿宋"/>
          <w:spacing w:val="-3"/>
          <w:sz w:val="24"/>
          <w:szCs w:val="24"/>
        </w:rPr>
        <w:t>做好施工人员的环境保护意识的教育；大力倡导文明施工的自</w:t>
      </w:r>
      <w:r>
        <w:rPr>
          <w:rFonts w:ascii="仿宋" w:hAnsi="仿宋" w:eastAsia="仿宋" w:cs="仿宋"/>
          <w:spacing w:val="-4"/>
          <w:sz w:val="24"/>
          <w:szCs w:val="24"/>
        </w:rPr>
        <w:t>觉性，尽量降低人</w:t>
      </w:r>
      <w:r>
        <w:rPr>
          <w:rFonts w:ascii="仿宋" w:hAnsi="仿宋" w:eastAsia="仿宋" w:cs="仿宋"/>
          <w:spacing w:val="-2"/>
          <w:sz w:val="24"/>
          <w:szCs w:val="24"/>
        </w:rPr>
        <w:t>为因素造成施工噪声的加重。</w:t>
      </w:r>
    </w:p>
    <w:p w14:paraId="73F18090">
      <w:pPr>
        <w:spacing w:before="1" w:line="220" w:lineRule="auto"/>
        <w:ind w:left="515"/>
        <w:rPr>
          <w:rFonts w:ascii="仿宋" w:hAnsi="仿宋" w:eastAsia="仿宋" w:cs="仿宋"/>
          <w:sz w:val="24"/>
          <w:szCs w:val="24"/>
        </w:rPr>
      </w:pPr>
      <w:r>
        <w:rPr>
          <w:rFonts w:ascii="仿宋" w:hAnsi="仿宋" w:eastAsia="仿宋" w:cs="仿宋"/>
          <w:spacing w:val="-2"/>
          <w:sz w:val="24"/>
          <w:szCs w:val="24"/>
        </w:rPr>
        <w:t>（6）加强环境管理，接受环保部门环境监督</w:t>
      </w:r>
    </w:p>
    <w:p w14:paraId="553231F5">
      <w:pPr>
        <w:spacing w:before="180" w:line="359" w:lineRule="auto"/>
        <w:ind w:left="29" w:right="65" w:firstLine="489"/>
        <w:rPr>
          <w:rFonts w:ascii="仿宋" w:hAnsi="仿宋" w:eastAsia="仿宋" w:cs="仿宋"/>
          <w:sz w:val="24"/>
          <w:szCs w:val="24"/>
        </w:rPr>
      </w:pPr>
      <w:r>
        <w:rPr>
          <w:rFonts w:ascii="仿宋" w:hAnsi="仿宋" w:eastAsia="仿宋" w:cs="仿宋"/>
          <w:spacing w:val="-4"/>
          <w:sz w:val="24"/>
          <w:szCs w:val="24"/>
        </w:rPr>
        <w:t>为了有效地控制施工噪声对村庄环境的影响，除落实有关的控制措施外，还</w:t>
      </w:r>
      <w:r>
        <w:rPr>
          <w:rFonts w:ascii="仿宋" w:hAnsi="仿宋" w:eastAsia="仿宋" w:cs="仿宋"/>
          <w:spacing w:val="-3"/>
          <w:sz w:val="24"/>
          <w:szCs w:val="24"/>
        </w:rPr>
        <w:t>必须加强环境管理；根据国家和地方的有关法律、法令、条例</w:t>
      </w:r>
      <w:r>
        <w:rPr>
          <w:rFonts w:ascii="仿宋" w:hAnsi="仿宋" w:eastAsia="仿宋" w:cs="仿宋"/>
          <w:spacing w:val="-4"/>
          <w:sz w:val="24"/>
          <w:szCs w:val="24"/>
        </w:rPr>
        <w:t>、规定，施工单位</w:t>
      </w:r>
      <w:r>
        <w:rPr>
          <w:rFonts w:ascii="仿宋" w:hAnsi="仿宋" w:eastAsia="仿宋" w:cs="仿宋"/>
          <w:spacing w:val="-3"/>
          <w:sz w:val="24"/>
          <w:szCs w:val="24"/>
        </w:rPr>
        <w:t>应主动接受环保部门的监督管理和检查；建设单位在进行工程</w:t>
      </w:r>
      <w:r>
        <w:rPr>
          <w:rFonts w:ascii="仿宋" w:hAnsi="仿宋" w:eastAsia="仿宋" w:cs="仿宋"/>
          <w:spacing w:val="-4"/>
          <w:sz w:val="24"/>
          <w:szCs w:val="24"/>
        </w:rPr>
        <w:t>承包时，应将有关</w:t>
      </w:r>
      <w:r>
        <w:rPr>
          <w:rFonts w:ascii="仿宋" w:hAnsi="仿宋" w:eastAsia="仿宋" w:cs="仿宋"/>
          <w:spacing w:val="-3"/>
          <w:sz w:val="24"/>
          <w:szCs w:val="24"/>
        </w:rPr>
        <w:t>施工噪声控制纳入承包内容，并在施工和工程监理过程中设专</w:t>
      </w:r>
      <w:r>
        <w:rPr>
          <w:rFonts w:ascii="仿宋" w:hAnsi="仿宋" w:eastAsia="仿宋" w:cs="仿宋"/>
          <w:spacing w:val="-4"/>
          <w:sz w:val="24"/>
          <w:szCs w:val="24"/>
        </w:rPr>
        <w:t>人负责，以确保控</w:t>
      </w:r>
      <w:r>
        <w:rPr>
          <w:rFonts w:ascii="仿宋" w:hAnsi="仿宋" w:eastAsia="仿宋" w:cs="仿宋"/>
          <w:spacing w:val="-2"/>
          <w:sz w:val="24"/>
          <w:szCs w:val="24"/>
        </w:rPr>
        <w:t>制施工噪声措施的实施。</w:t>
      </w:r>
    </w:p>
    <w:p w14:paraId="246BC9A7">
      <w:pPr>
        <w:spacing w:before="1" w:line="220" w:lineRule="auto"/>
        <w:ind w:left="515"/>
        <w:rPr>
          <w:rFonts w:ascii="仿宋" w:hAnsi="仿宋" w:eastAsia="仿宋" w:cs="仿宋"/>
          <w:sz w:val="24"/>
          <w:szCs w:val="24"/>
        </w:rPr>
      </w:pPr>
      <w:r>
        <w:rPr>
          <w:rFonts w:ascii="仿宋" w:hAnsi="仿宋" w:eastAsia="仿宋" w:cs="仿宋"/>
          <w:spacing w:val="-2"/>
          <w:sz w:val="24"/>
          <w:szCs w:val="24"/>
        </w:rPr>
        <w:t>（7）施工单位需贯彻各项施工管理制度</w:t>
      </w:r>
    </w:p>
    <w:p w14:paraId="4649ACD1">
      <w:pPr>
        <w:spacing w:before="178" w:line="361" w:lineRule="auto"/>
        <w:ind w:left="32" w:right="65" w:firstLine="476"/>
        <w:rPr>
          <w:rFonts w:ascii="仿宋" w:hAnsi="仿宋" w:eastAsia="仿宋" w:cs="仿宋"/>
          <w:sz w:val="24"/>
          <w:szCs w:val="24"/>
        </w:rPr>
      </w:pPr>
      <w:r>
        <w:rPr>
          <w:rFonts w:ascii="仿宋" w:hAnsi="仿宋" w:eastAsia="仿宋" w:cs="仿宋"/>
          <w:spacing w:val="-3"/>
          <w:sz w:val="24"/>
          <w:szCs w:val="24"/>
        </w:rPr>
        <w:t>施工单位要确保施工噪声影响降到最低，认</w:t>
      </w:r>
      <w:r>
        <w:rPr>
          <w:rFonts w:ascii="仿宋" w:hAnsi="仿宋" w:eastAsia="仿宋" w:cs="仿宋"/>
          <w:spacing w:val="-4"/>
          <w:sz w:val="24"/>
          <w:szCs w:val="24"/>
        </w:rPr>
        <w:t>真贯彻《中华人民共和国噪声污</w:t>
      </w:r>
      <w:r>
        <w:rPr>
          <w:rFonts w:ascii="仿宋" w:hAnsi="仿宋" w:eastAsia="仿宋" w:cs="仿宋"/>
          <w:spacing w:val="-2"/>
          <w:sz w:val="24"/>
          <w:szCs w:val="24"/>
        </w:rPr>
        <w:t>染防治法》等有关国家和地方的规定。</w:t>
      </w:r>
    </w:p>
    <w:p w14:paraId="1D7D5500">
      <w:pPr>
        <w:spacing w:before="109" w:line="226" w:lineRule="auto"/>
        <w:ind w:left="31"/>
        <w:outlineLvl w:val="1"/>
        <w:rPr>
          <w:rFonts w:ascii="仿宋" w:hAnsi="仿宋" w:eastAsia="仿宋" w:cs="仿宋"/>
          <w:sz w:val="31"/>
          <w:szCs w:val="31"/>
        </w:rPr>
      </w:pPr>
      <w:bookmarkStart w:id="49" w:name="bookmark52"/>
      <w:bookmarkEnd w:id="49"/>
      <w:bookmarkStart w:id="50" w:name="bookmark53"/>
      <w:bookmarkEnd w:id="50"/>
      <w:r>
        <w:rPr>
          <w:rFonts w:ascii="仿宋" w:hAnsi="仿宋" w:eastAsia="仿宋" w:cs="仿宋"/>
          <w:b/>
          <w:bCs/>
          <w:spacing w:val="5"/>
          <w:sz w:val="31"/>
          <w:szCs w:val="31"/>
        </w:rPr>
        <w:t>5.2</w:t>
      </w:r>
      <w:r>
        <w:rPr>
          <w:rFonts w:ascii="仿宋" w:hAnsi="仿宋" w:eastAsia="仿宋" w:cs="仿宋"/>
          <w:spacing w:val="5"/>
          <w:sz w:val="31"/>
          <w:szCs w:val="31"/>
        </w:rPr>
        <w:t xml:space="preserve"> </w:t>
      </w:r>
      <w:r>
        <w:rPr>
          <w:rFonts w:ascii="仿宋" w:hAnsi="仿宋" w:eastAsia="仿宋" w:cs="仿宋"/>
          <w:b/>
          <w:bCs/>
          <w:spacing w:val="5"/>
          <w:sz w:val="31"/>
          <w:szCs w:val="31"/>
        </w:rPr>
        <w:t>运营期噪声防治措施及可行性分析</w:t>
      </w:r>
    </w:p>
    <w:p w14:paraId="0587E5D1">
      <w:pPr>
        <w:pStyle w:val="2"/>
        <w:spacing w:line="261" w:lineRule="auto"/>
        <w:rPr>
          <w:sz w:val="21"/>
        </w:rPr>
      </w:pPr>
    </w:p>
    <w:p w14:paraId="4BDA9164">
      <w:pPr>
        <w:spacing w:before="92" w:line="223" w:lineRule="auto"/>
        <w:ind w:left="29"/>
        <w:outlineLvl w:val="2"/>
        <w:rPr>
          <w:rFonts w:ascii="仿宋" w:hAnsi="仿宋" w:eastAsia="仿宋" w:cs="仿宋"/>
          <w:sz w:val="28"/>
          <w:szCs w:val="28"/>
        </w:rPr>
      </w:pPr>
      <w:r>
        <w:rPr>
          <w:rFonts w:ascii="仿宋" w:hAnsi="仿宋" w:eastAsia="仿宋" w:cs="仿宋"/>
          <w:b/>
          <w:bCs/>
          <w:spacing w:val="-6"/>
          <w:sz w:val="28"/>
          <w:szCs w:val="28"/>
        </w:rPr>
        <w:t>5.2.1</w:t>
      </w:r>
      <w:r>
        <w:rPr>
          <w:rFonts w:ascii="仿宋" w:hAnsi="仿宋" w:eastAsia="仿宋" w:cs="仿宋"/>
          <w:spacing w:val="-33"/>
          <w:sz w:val="28"/>
          <w:szCs w:val="28"/>
        </w:rPr>
        <w:t xml:space="preserve"> </w:t>
      </w:r>
      <w:r>
        <w:rPr>
          <w:rFonts w:ascii="仿宋" w:hAnsi="仿宋" w:eastAsia="仿宋" w:cs="仿宋"/>
          <w:b/>
          <w:bCs/>
          <w:spacing w:val="-6"/>
          <w:sz w:val="28"/>
          <w:szCs w:val="28"/>
        </w:rPr>
        <w:t>噪声防治措施体系</w:t>
      </w:r>
    </w:p>
    <w:p w14:paraId="0B8912F0">
      <w:pPr>
        <w:spacing w:before="140" w:line="359" w:lineRule="auto"/>
        <w:ind w:left="29" w:right="12" w:firstLine="485"/>
        <w:rPr>
          <w:rFonts w:ascii="仿宋" w:hAnsi="仿宋" w:eastAsia="仿宋" w:cs="仿宋"/>
          <w:sz w:val="24"/>
          <w:szCs w:val="24"/>
        </w:rPr>
      </w:pPr>
      <w:r>
        <w:rPr>
          <w:rFonts w:ascii="仿宋" w:hAnsi="仿宋" w:eastAsia="仿宋" w:cs="仿宋"/>
          <w:spacing w:val="-2"/>
          <w:sz w:val="24"/>
          <w:szCs w:val="24"/>
        </w:rPr>
        <w:t>结合项目预测结论、工程限制条件，仅从路面工艺、交通管控、用地规划、</w:t>
      </w:r>
      <w:r>
        <w:rPr>
          <w:rFonts w:ascii="仿宋" w:hAnsi="仿宋" w:eastAsia="仿宋" w:cs="仿宋"/>
          <w:spacing w:val="-1"/>
          <w:sz w:val="24"/>
          <w:szCs w:val="24"/>
        </w:rPr>
        <w:t>现有建筑自身隔声利用四方面制定降噪措施：</w:t>
      </w:r>
    </w:p>
    <w:p w14:paraId="38A998D2">
      <w:pPr>
        <w:spacing w:line="359" w:lineRule="auto"/>
        <w:rPr>
          <w:rFonts w:ascii="仿宋" w:hAnsi="仿宋" w:eastAsia="仿宋" w:cs="仿宋"/>
          <w:sz w:val="24"/>
          <w:szCs w:val="24"/>
        </w:rPr>
        <w:sectPr>
          <w:footerReference r:id="rId188" w:type="default"/>
          <w:pgSz w:w="11905" w:h="16840"/>
          <w:pgMar w:top="400" w:right="1735" w:bottom="1098" w:left="1785" w:header="0" w:footer="936" w:gutter="0"/>
          <w:cols w:space="720" w:num="1"/>
        </w:sectPr>
      </w:pPr>
    </w:p>
    <w:p w14:paraId="601C05CD">
      <w:pPr>
        <w:pStyle w:val="2"/>
        <w:spacing w:line="247" w:lineRule="auto"/>
        <w:rPr>
          <w:sz w:val="21"/>
        </w:rPr>
      </w:pPr>
    </w:p>
    <w:p w14:paraId="2E152A76">
      <w:pPr>
        <w:pStyle w:val="2"/>
        <w:spacing w:line="247" w:lineRule="auto"/>
        <w:rPr>
          <w:sz w:val="21"/>
        </w:rPr>
      </w:pPr>
    </w:p>
    <w:p w14:paraId="4DA831C3">
      <w:pPr>
        <w:pStyle w:val="2"/>
        <w:spacing w:line="248" w:lineRule="auto"/>
        <w:rPr>
          <w:sz w:val="21"/>
        </w:rPr>
      </w:pPr>
    </w:p>
    <w:p w14:paraId="7F3FCB54">
      <w:pPr>
        <w:pStyle w:val="2"/>
        <w:spacing w:line="248" w:lineRule="auto"/>
        <w:rPr>
          <w:sz w:val="21"/>
        </w:rPr>
      </w:pPr>
    </w:p>
    <w:p w14:paraId="441AF829">
      <w:pPr>
        <w:spacing w:before="78" w:line="222" w:lineRule="auto"/>
        <w:ind w:left="27"/>
        <w:rPr>
          <w:rFonts w:ascii="仿宋" w:hAnsi="仿宋" w:eastAsia="仿宋" w:cs="仿宋"/>
          <w:sz w:val="24"/>
          <w:szCs w:val="24"/>
        </w:rPr>
      </w:pPr>
      <w:r>
        <w:rPr>
          <w:rFonts w:ascii="仿宋" w:hAnsi="仿宋" w:eastAsia="仿宋" w:cs="仿宋"/>
          <w:b/>
          <w:bCs/>
          <w:spacing w:val="-3"/>
          <w:sz w:val="24"/>
          <w:szCs w:val="24"/>
        </w:rPr>
        <w:t>5.2.1.1</w:t>
      </w:r>
      <w:r>
        <w:rPr>
          <w:rFonts w:ascii="仿宋" w:hAnsi="仿宋" w:eastAsia="仿宋" w:cs="仿宋"/>
          <w:spacing w:val="-44"/>
          <w:sz w:val="24"/>
          <w:szCs w:val="24"/>
        </w:rPr>
        <w:t xml:space="preserve"> </w:t>
      </w:r>
      <w:r>
        <w:rPr>
          <w:rFonts w:ascii="仿宋" w:hAnsi="仿宋" w:eastAsia="仿宋" w:cs="仿宋"/>
          <w:b/>
          <w:bCs/>
          <w:spacing w:val="-3"/>
          <w:sz w:val="24"/>
          <w:szCs w:val="24"/>
        </w:rPr>
        <w:t>水泥混凝土路面降噪优化（源头控制）</w:t>
      </w:r>
    </w:p>
    <w:p w14:paraId="65501154">
      <w:pPr>
        <w:spacing w:before="179" w:line="358" w:lineRule="auto"/>
        <w:ind w:left="37" w:right="185" w:firstLine="474"/>
        <w:rPr>
          <w:rFonts w:ascii="仿宋" w:hAnsi="仿宋" w:eastAsia="仿宋" w:cs="仿宋"/>
          <w:sz w:val="24"/>
          <w:szCs w:val="24"/>
        </w:rPr>
      </w:pPr>
      <w:r>
        <w:rPr>
          <w:rFonts w:ascii="仿宋" w:hAnsi="仿宋" w:eastAsia="仿宋" w:cs="仿宋"/>
          <w:spacing w:val="-4"/>
          <w:sz w:val="24"/>
          <w:szCs w:val="24"/>
        </w:rPr>
        <w:t>采用低噪声水泥混凝土施工工艺：骨料选用细粒径碎石，板面采用浅密横向</w:t>
      </w:r>
      <w:r>
        <w:rPr>
          <w:rFonts w:ascii="仿宋" w:hAnsi="仿宋" w:eastAsia="仿宋" w:cs="仿宋"/>
          <w:spacing w:val="-2"/>
          <w:sz w:val="24"/>
          <w:szCs w:val="24"/>
        </w:rPr>
        <w:t>刻槽，替代深宽粗刻槽，降低轮胎摩擦噪声；</w:t>
      </w:r>
    </w:p>
    <w:p w14:paraId="2C62A073">
      <w:pPr>
        <w:spacing w:before="3" w:line="359" w:lineRule="auto"/>
        <w:ind w:left="44" w:right="185" w:firstLine="464"/>
        <w:rPr>
          <w:rFonts w:ascii="仿宋" w:hAnsi="仿宋" w:eastAsia="仿宋" w:cs="仿宋"/>
          <w:sz w:val="24"/>
          <w:szCs w:val="24"/>
        </w:rPr>
      </w:pPr>
      <w:r>
        <w:rPr>
          <w:rFonts w:ascii="仿宋" w:hAnsi="仿宋" w:eastAsia="仿宋" w:cs="仿宋"/>
          <w:spacing w:val="-3"/>
          <w:sz w:val="24"/>
          <w:szCs w:val="24"/>
        </w:rPr>
        <w:t>路面伸缩缝、施工缝全部采用高弹性柔性密封</w:t>
      </w:r>
      <w:r>
        <w:rPr>
          <w:rFonts w:ascii="仿宋" w:hAnsi="仿宋" w:eastAsia="仿宋" w:cs="仿宋"/>
          <w:spacing w:val="-4"/>
          <w:sz w:val="24"/>
          <w:szCs w:val="24"/>
        </w:rPr>
        <w:t>填料，减少车辆碾压接缝产生</w:t>
      </w:r>
      <w:r>
        <w:rPr>
          <w:rFonts w:ascii="仿宋" w:hAnsi="仿宋" w:eastAsia="仿宋" w:cs="仿宋"/>
          <w:spacing w:val="-6"/>
          <w:sz w:val="24"/>
          <w:szCs w:val="24"/>
        </w:rPr>
        <w:t>的撞击噪声；</w:t>
      </w:r>
    </w:p>
    <w:p w14:paraId="3D830DB2">
      <w:pPr>
        <w:spacing w:before="1" w:line="358" w:lineRule="auto"/>
        <w:ind w:left="34" w:right="185" w:firstLine="475"/>
        <w:rPr>
          <w:rFonts w:ascii="仿宋" w:hAnsi="仿宋" w:eastAsia="仿宋" w:cs="仿宋"/>
          <w:sz w:val="24"/>
          <w:szCs w:val="24"/>
        </w:rPr>
      </w:pPr>
      <w:r>
        <w:rPr>
          <w:rFonts w:ascii="仿宋" w:hAnsi="仿宋" w:eastAsia="仿宋" w:cs="仿宋"/>
          <w:spacing w:val="-3"/>
          <w:sz w:val="24"/>
          <w:szCs w:val="24"/>
        </w:rPr>
        <w:t>建立常态化路面养护机制，及时处理断板、</w:t>
      </w:r>
      <w:r>
        <w:rPr>
          <w:rFonts w:ascii="仿宋" w:hAnsi="仿宋" w:eastAsia="仿宋" w:cs="仿宋"/>
          <w:spacing w:val="-4"/>
          <w:sz w:val="24"/>
          <w:szCs w:val="24"/>
        </w:rPr>
        <w:t>错台、坑槽、老化填料，避免路</w:t>
      </w:r>
      <w:r>
        <w:rPr>
          <w:rFonts w:ascii="仿宋" w:hAnsi="仿宋" w:eastAsia="仿宋" w:cs="仿宋"/>
          <w:spacing w:val="-2"/>
          <w:sz w:val="24"/>
          <w:szCs w:val="24"/>
        </w:rPr>
        <w:t>面破损大幅提升行驶噪声。</w:t>
      </w:r>
    </w:p>
    <w:p w14:paraId="04CC0365">
      <w:pPr>
        <w:spacing w:before="1" w:line="221" w:lineRule="auto"/>
        <w:ind w:left="27"/>
        <w:rPr>
          <w:rFonts w:ascii="仿宋" w:hAnsi="仿宋" w:eastAsia="仿宋" w:cs="仿宋"/>
          <w:sz w:val="24"/>
          <w:szCs w:val="24"/>
        </w:rPr>
      </w:pPr>
      <w:r>
        <w:rPr>
          <w:rFonts w:ascii="仿宋" w:hAnsi="仿宋" w:eastAsia="仿宋" w:cs="仿宋"/>
          <w:b/>
          <w:bCs/>
          <w:spacing w:val="-3"/>
          <w:sz w:val="24"/>
          <w:szCs w:val="24"/>
        </w:rPr>
        <w:t>5.2.1.2</w:t>
      </w:r>
      <w:r>
        <w:rPr>
          <w:rFonts w:ascii="仿宋" w:hAnsi="仿宋" w:eastAsia="仿宋" w:cs="仿宋"/>
          <w:spacing w:val="-44"/>
          <w:sz w:val="24"/>
          <w:szCs w:val="24"/>
        </w:rPr>
        <w:t xml:space="preserve"> </w:t>
      </w:r>
      <w:r>
        <w:rPr>
          <w:rFonts w:ascii="仿宋" w:hAnsi="仿宋" w:eastAsia="仿宋" w:cs="仿宋"/>
          <w:b/>
          <w:bCs/>
          <w:spacing w:val="-3"/>
          <w:sz w:val="24"/>
          <w:szCs w:val="24"/>
        </w:rPr>
        <w:t>道路通行限速与噪声管控（运行管控）</w:t>
      </w:r>
    </w:p>
    <w:p w14:paraId="40CEDAA0">
      <w:pPr>
        <w:spacing w:before="180" w:line="358" w:lineRule="auto"/>
        <w:ind w:left="29" w:right="209" w:firstLine="486"/>
        <w:rPr>
          <w:rFonts w:ascii="仿宋" w:hAnsi="仿宋" w:eastAsia="仿宋" w:cs="仿宋"/>
          <w:sz w:val="24"/>
          <w:szCs w:val="24"/>
        </w:rPr>
      </w:pPr>
      <w:r>
        <w:rPr>
          <w:rFonts w:ascii="仿宋" w:hAnsi="仿宋" w:eastAsia="仿宋" w:cs="仿宋"/>
          <w:spacing w:val="-2"/>
          <w:sz w:val="24"/>
          <w:szCs w:val="24"/>
        </w:rPr>
        <w:t>全线设置</w:t>
      </w:r>
      <w:r>
        <w:rPr>
          <w:rFonts w:ascii="仿宋" w:hAnsi="仿宋" w:eastAsia="仿宋" w:cs="仿宋"/>
          <w:spacing w:val="-34"/>
          <w:sz w:val="24"/>
          <w:szCs w:val="24"/>
        </w:rPr>
        <w:t xml:space="preserve"> </w:t>
      </w:r>
      <w:r>
        <w:rPr>
          <w:rFonts w:ascii="仿宋" w:hAnsi="仿宋" w:eastAsia="仿宋" w:cs="仿宋"/>
          <w:spacing w:val="-2"/>
          <w:sz w:val="24"/>
          <w:szCs w:val="24"/>
        </w:rPr>
        <w:t>15km/h</w:t>
      </w:r>
      <w:r>
        <w:rPr>
          <w:rFonts w:ascii="仿宋" w:hAnsi="仿宋" w:eastAsia="仿宋" w:cs="仿宋"/>
          <w:spacing w:val="-29"/>
          <w:sz w:val="24"/>
          <w:szCs w:val="24"/>
        </w:rPr>
        <w:t xml:space="preserve"> </w:t>
      </w:r>
      <w:r>
        <w:rPr>
          <w:rFonts w:ascii="仿宋" w:hAnsi="仿宋" w:eastAsia="仿宋" w:cs="仿宋"/>
          <w:spacing w:val="-2"/>
          <w:sz w:val="24"/>
          <w:szCs w:val="24"/>
        </w:rPr>
        <w:t>限速警示牌，散户集中路段铺设橡</w:t>
      </w:r>
      <w:r>
        <w:rPr>
          <w:rFonts w:ascii="仿宋" w:hAnsi="仿宋" w:eastAsia="仿宋" w:cs="仿宋"/>
          <w:spacing w:val="-3"/>
          <w:sz w:val="24"/>
          <w:szCs w:val="24"/>
        </w:rPr>
        <w:t>胶减速带，强制车辆低</w:t>
      </w:r>
      <w:r>
        <w:rPr>
          <w:rFonts w:ascii="仿宋" w:hAnsi="仿宋" w:eastAsia="仿宋" w:cs="仿宋"/>
          <w:spacing w:val="-1"/>
          <w:sz w:val="24"/>
          <w:szCs w:val="24"/>
        </w:rPr>
        <w:t>速通行，从源头降低轮胎、发动机噪声；</w:t>
      </w:r>
    </w:p>
    <w:p w14:paraId="669E81CC">
      <w:pPr>
        <w:spacing w:line="360" w:lineRule="auto"/>
        <w:ind w:left="31" w:right="143" w:firstLine="483"/>
        <w:rPr>
          <w:rFonts w:ascii="仿宋" w:hAnsi="仿宋" w:eastAsia="仿宋" w:cs="仿宋"/>
          <w:sz w:val="24"/>
          <w:szCs w:val="24"/>
        </w:rPr>
      </w:pPr>
      <w:r>
        <w:rPr>
          <w:rFonts w:ascii="仿宋" w:hAnsi="仿宋" w:eastAsia="仿宋" w:cs="仿宋"/>
          <w:spacing w:val="-2"/>
          <w:sz w:val="24"/>
          <w:szCs w:val="24"/>
        </w:rPr>
        <w:t>全线布设禁鸣标志牌，临近居民点路段由村委会</w:t>
      </w:r>
      <w:r>
        <w:rPr>
          <w:rFonts w:ascii="仿宋" w:hAnsi="仿宋" w:eastAsia="仿宋" w:cs="仿宋"/>
          <w:spacing w:val="-3"/>
          <w:sz w:val="24"/>
          <w:szCs w:val="24"/>
        </w:rPr>
        <w:t>、交通协管员常态化巡查，</w:t>
      </w:r>
      <w:r>
        <w:rPr>
          <w:rFonts w:ascii="仿宋" w:hAnsi="仿宋" w:eastAsia="仿宋" w:cs="仿宋"/>
          <w:spacing w:val="-2"/>
          <w:sz w:val="24"/>
          <w:szCs w:val="24"/>
        </w:rPr>
        <w:t>严禁车辆无故鸣笛；</w:t>
      </w:r>
    </w:p>
    <w:p w14:paraId="6DD38477">
      <w:pPr>
        <w:spacing w:line="358" w:lineRule="auto"/>
        <w:ind w:left="35" w:right="245" w:firstLine="479"/>
        <w:rPr>
          <w:rFonts w:ascii="仿宋" w:hAnsi="仿宋" w:eastAsia="仿宋" w:cs="仿宋"/>
          <w:sz w:val="24"/>
          <w:szCs w:val="24"/>
        </w:rPr>
      </w:pPr>
      <w:r>
        <w:rPr>
          <w:rFonts w:ascii="仿宋" w:hAnsi="仿宋" w:eastAsia="仿宋" w:cs="仿宋"/>
          <w:spacing w:val="-3"/>
          <w:sz w:val="24"/>
          <w:szCs w:val="24"/>
        </w:rPr>
        <w:t>实施夜间高噪声车辆限行：夜间</w:t>
      </w:r>
      <w:r>
        <w:rPr>
          <w:rFonts w:ascii="仿宋" w:hAnsi="仿宋" w:eastAsia="仿宋" w:cs="仿宋"/>
          <w:spacing w:val="-55"/>
          <w:sz w:val="24"/>
          <w:szCs w:val="24"/>
        </w:rPr>
        <w:t xml:space="preserve"> </w:t>
      </w:r>
      <w:r>
        <w:rPr>
          <w:rFonts w:ascii="Times New Roman" w:hAnsi="Times New Roman" w:eastAsia="Times New Roman" w:cs="Times New Roman"/>
          <w:spacing w:val="-3"/>
          <w:sz w:val="24"/>
          <w:szCs w:val="24"/>
        </w:rPr>
        <w:t>22:00~</w:t>
      </w:r>
      <w:r>
        <w:rPr>
          <w:rFonts w:ascii="仿宋" w:hAnsi="仿宋" w:eastAsia="仿宋" w:cs="仿宋"/>
          <w:spacing w:val="-3"/>
          <w:sz w:val="24"/>
          <w:szCs w:val="24"/>
        </w:rPr>
        <w:t>次</w:t>
      </w:r>
      <w:r>
        <w:rPr>
          <w:rFonts w:ascii="仿宋" w:hAnsi="仿宋" w:eastAsia="仿宋" w:cs="仿宋"/>
          <w:spacing w:val="-53"/>
          <w:sz w:val="24"/>
          <w:szCs w:val="24"/>
        </w:rPr>
        <w:t xml:space="preserve"> </w:t>
      </w:r>
      <w:r>
        <w:rPr>
          <w:rFonts w:ascii="仿宋" w:hAnsi="仿宋" w:eastAsia="仿宋" w:cs="仿宋"/>
          <w:spacing w:val="-3"/>
          <w:sz w:val="24"/>
          <w:szCs w:val="24"/>
        </w:rPr>
        <w:t>日</w:t>
      </w:r>
      <w:r>
        <w:rPr>
          <w:rFonts w:ascii="仿宋" w:hAnsi="仿宋" w:eastAsia="仿宋" w:cs="仿宋"/>
          <w:spacing w:val="-50"/>
          <w:sz w:val="24"/>
          <w:szCs w:val="24"/>
        </w:rPr>
        <w:t xml:space="preserve"> </w:t>
      </w:r>
      <w:r>
        <w:rPr>
          <w:rFonts w:ascii="Times New Roman" w:hAnsi="Times New Roman" w:eastAsia="Times New Roman" w:cs="Times New Roman"/>
          <w:spacing w:val="-4"/>
          <w:sz w:val="24"/>
          <w:szCs w:val="24"/>
        </w:rPr>
        <w:t>6:00</w:t>
      </w:r>
      <w:r>
        <w:rPr>
          <w:rFonts w:ascii="Times New Roman" w:hAnsi="Times New Roman" w:eastAsia="Times New Roman" w:cs="Times New Roman"/>
          <w:spacing w:val="23"/>
          <w:sz w:val="24"/>
          <w:szCs w:val="24"/>
        </w:rPr>
        <w:t xml:space="preserve"> </w:t>
      </w:r>
      <w:r>
        <w:rPr>
          <w:rFonts w:ascii="仿宋" w:hAnsi="仿宋" w:eastAsia="仿宋" w:cs="仿宋"/>
          <w:spacing w:val="-4"/>
          <w:sz w:val="24"/>
          <w:szCs w:val="24"/>
        </w:rPr>
        <w:t>禁止重载货车、农用四轮</w:t>
      </w:r>
      <w:r>
        <w:rPr>
          <w:rFonts w:ascii="仿宋" w:hAnsi="仿宋" w:eastAsia="仿宋" w:cs="仿宋"/>
          <w:spacing w:val="-1"/>
          <w:sz w:val="24"/>
          <w:szCs w:val="24"/>
        </w:rPr>
        <w:t>车通行，仅允许小型私家车低速通行，削减夜间噪声增量峰值。</w:t>
      </w:r>
    </w:p>
    <w:p w14:paraId="0C0AEB10">
      <w:pPr>
        <w:spacing w:before="4" w:line="222" w:lineRule="auto"/>
        <w:ind w:left="27"/>
        <w:rPr>
          <w:rFonts w:ascii="仿宋" w:hAnsi="仿宋" w:eastAsia="仿宋" w:cs="仿宋"/>
          <w:sz w:val="24"/>
          <w:szCs w:val="24"/>
        </w:rPr>
      </w:pPr>
      <w:r>
        <w:rPr>
          <w:rFonts w:ascii="仿宋" w:hAnsi="仿宋" w:eastAsia="仿宋" w:cs="仿宋"/>
          <w:b/>
          <w:bCs/>
          <w:spacing w:val="-3"/>
          <w:sz w:val="24"/>
          <w:szCs w:val="24"/>
        </w:rPr>
        <w:t>5.2.1.3</w:t>
      </w:r>
      <w:r>
        <w:rPr>
          <w:rFonts w:ascii="仿宋" w:hAnsi="仿宋" w:eastAsia="仿宋" w:cs="仿宋"/>
          <w:spacing w:val="-47"/>
          <w:sz w:val="24"/>
          <w:szCs w:val="24"/>
        </w:rPr>
        <w:t xml:space="preserve"> </w:t>
      </w:r>
      <w:r>
        <w:rPr>
          <w:rFonts w:ascii="仿宋" w:hAnsi="仿宋" w:eastAsia="仿宋" w:cs="仿宋"/>
          <w:b/>
          <w:bCs/>
          <w:spacing w:val="-3"/>
          <w:sz w:val="24"/>
          <w:szCs w:val="24"/>
        </w:rPr>
        <w:t>沿线用地规划管控（远期预防）</w:t>
      </w:r>
    </w:p>
    <w:p w14:paraId="3111A0EB">
      <w:pPr>
        <w:spacing w:before="177" w:line="359" w:lineRule="auto"/>
        <w:ind w:left="48" w:right="185" w:firstLine="462"/>
        <w:rPr>
          <w:rFonts w:ascii="仿宋" w:hAnsi="仿宋" w:eastAsia="仿宋" w:cs="仿宋"/>
          <w:sz w:val="24"/>
          <w:szCs w:val="24"/>
        </w:rPr>
      </w:pPr>
      <w:r>
        <w:rPr>
          <w:rFonts w:ascii="仿宋" w:hAnsi="仿宋" w:eastAsia="仿宋" w:cs="仿宋"/>
          <w:spacing w:val="-5"/>
          <w:sz w:val="24"/>
          <w:szCs w:val="24"/>
        </w:rPr>
        <w:t>道路中心线两侧</w:t>
      </w:r>
      <w:r>
        <w:rPr>
          <w:rFonts w:ascii="仿宋" w:hAnsi="仿宋" w:eastAsia="仿宋" w:cs="仿宋"/>
          <w:spacing w:val="-33"/>
          <w:sz w:val="24"/>
          <w:szCs w:val="24"/>
        </w:rPr>
        <w:t xml:space="preserve"> </w:t>
      </w:r>
      <w:r>
        <w:rPr>
          <w:rFonts w:ascii="仿宋" w:hAnsi="仿宋" w:eastAsia="仿宋" w:cs="仿宋"/>
          <w:spacing w:val="-5"/>
          <w:sz w:val="24"/>
          <w:szCs w:val="24"/>
        </w:rPr>
        <w:t>10m</w:t>
      </w:r>
      <w:r>
        <w:rPr>
          <w:rFonts w:ascii="仿宋" w:hAnsi="仿宋" w:eastAsia="仿宋" w:cs="仿宋"/>
          <w:spacing w:val="-31"/>
          <w:sz w:val="24"/>
          <w:szCs w:val="24"/>
        </w:rPr>
        <w:t xml:space="preserve"> </w:t>
      </w:r>
      <w:r>
        <w:rPr>
          <w:rFonts w:ascii="仿宋" w:hAnsi="仿宋" w:eastAsia="仿宋" w:cs="仿宋"/>
          <w:spacing w:val="-5"/>
          <w:sz w:val="24"/>
          <w:szCs w:val="24"/>
        </w:rPr>
        <w:t>范围划定声环境控制区，管控区内禁止新建住宅、卫生</w:t>
      </w:r>
      <w:r>
        <w:rPr>
          <w:rFonts w:ascii="仿宋" w:hAnsi="仿宋" w:eastAsia="仿宋" w:cs="仿宋"/>
          <w:spacing w:val="-7"/>
          <w:sz w:val="24"/>
          <w:szCs w:val="24"/>
        </w:rPr>
        <w:t>室等</w:t>
      </w:r>
      <w:r>
        <w:rPr>
          <w:rFonts w:ascii="仿宋" w:hAnsi="仿宋" w:eastAsia="仿宋" w:cs="仿宋"/>
          <w:spacing w:val="-30"/>
          <w:sz w:val="24"/>
          <w:szCs w:val="24"/>
        </w:rPr>
        <w:t xml:space="preserve"> </w:t>
      </w:r>
      <w:r>
        <w:rPr>
          <w:rFonts w:ascii="仿宋" w:hAnsi="仿宋" w:eastAsia="仿宋" w:cs="仿宋"/>
          <w:spacing w:val="-7"/>
          <w:sz w:val="24"/>
          <w:szCs w:val="24"/>
        </w:rPr>
        <w:t>1</w:t>
      </w:r>
      <w:r>
        <w:rPr>
          <w:rFonts w:ascii="仿宋" w:hAnsi="仿宋" w:eastAsia="仿宋" w:cs="仿宋"/>
          <w:spacing w:val="-41"/>
          <w:sz w:val="24"/>
          <w:szCs w:val="24"/>
        </w:rPr>
        <w:t xml:space="preserve"> </w:t>
      </w:r>
      <w:r>
        <w:rPr>
          <w:rFonts w:ascii="仿宋" w:hAnsi="仿宋" w:eastAsia="仿宋" w:cs="仿宋"/>
          <w:spacing w:val="-7"/>
          <w:sz w:val="24"/>
          <w:szCs w:val="24"/>
        </w:rPr>
        <w:t>类声环境敏感建筑；</w:t>
      </w:r>
    </w:p>
    <w:p w14:paraId="0CBFE3E3">
      <w:pPr>
        <w:spacing w:line="359" w:lineRule="auto"/>
        <w:ind w:left="34" w:right="185" w:firstLine="483"/>
        <w:rPr>
          <w:rFonts w:ascii="仿宋" w:hAnsi="仿宋" w:eastAsia="仿宋" w:cs="仿宋"/>
          <w:sz w:val="24"/>
          <w:szCs w:val="24"/>
        </w:rPr>
      </w:pPr>
      <w:r>
        <w:rPr>
          <w:rFonts w:ascii="仿宋" w:hAnsi="仿宋" w:eastAsia="仿宋" w:cs="仿宋"/>
          <w:spacing w:val="-4"/>
          <w:sz w:val="24"/>
          <w:szCs w:val="24"/>
        </w:rPr>
        <w:t>引导村庄新建民居选址布置于远离公路一侧，房屋卧室、起居室等主要休息</w:t>
      </w:r>
      <w:r>
        <w:rPr>
          <w:rFonts w:ascii="仿宋" w:hAnsi="仿宋" w:eastAsia="仿宋" w:cs="仿宋"/>
          <w:spacing w:val="-1"/>
          <w:sz w:val="24"/>
          <w:szCs w:val="24"/>
        </w:rPr>
        <w:t>房间避开临路朝向，从建筑布局上减少噪声暴露。</w:t>
      </w:r>
    </w:p>
    <w:p w14:paraId="7821182C">
      <w:pPr>
        <w:spacing w:line="220" w:lineRule="auto"/>
        <w:ind w:left="27"/>
        <w:rPr>
          <w:rFonts w:ascii="仿宋" w:hAnsi="仿宋" w:eastAsia="仿宋" w:cs="仿宋"/>
          <w:sz w:val="24"/>
          <w:szCs w:val="24"/>
        </w:rPr>
      </w:pPr>
      <w:r>
        <w:rPr>
          <w:rFonts w:ascii="仿宋" w:hAnsi="仿宋" w:eastAsia="仿宋" w:cs="仿宋"/>
          <w:b/>
          <w:bCs/>
          <w:spacing w:val="-3"/>
          <w:sz w:val="24"/>
          <w:szCs w:val="24"/>
        </w:rPr>
        <w:t>5.2.1.4</w:t>
      </w:r>
      <w:r>
        <w:rPr>
          <w:rFonts w:ascii="仿宋" w:hAnsi="仿宋" w:eastAsia="仿宋" w:cs="仿宋"/>
          <w:spacing w:val="-40"/>
          <w:sz w:val="24"/>
          <w:szCs w:val="24"/>
        </w:rPr>
        <w:t xml:space="preserve"> </w:t>
      </w:r>
      <w:r>
        <w:rPr>
          <w:rFonts w:ascii="仿宋" w:hAnsi="仿宋" w:eastAsia="仿宋" w:cs="仿宋"/>
          <w:b/>
          <w:bCs/>
          <w:spacing w:val="-3"/>
          <w:sz w:val="24"/>
          <w:szCs w:val="24"/>
        </w:rPr>
        <w:t>依托农村砖混住房自身隔声性能降低室内噪声</w:t>
      </w:r>
    </w:p>
    <w:p w14:paraId="3A616516">
      <w:pPr>
        <w:spacing w:before="182" w:line="358" w:lineRule="auto"/>
        <w:ind w:left="32" w:right="185" w:firstLine="477"/>
        <w:rPr>
          <w:rFonts w:ascii="仿宋" w:hAnsi="仿宋" w:eastAsia="仿宋" w:cs="仿宋"/>
          <w:sz w:val="24"/>
          <w:szCs w:val="24"/>
        </w:rPr>
      </w:pPr>
      <w:r>
        <w:rPr>
          <w:rFonts w:ascii="仿宋" w:hAnsi="仿宋" w:eastAsia="仿宋" w:cs="仿宋"/>
          <w:spacing w:val="-3"/>
          <w:sz w:val="24"/>
          <w:szCs w:val="24"/>
        </w:rPr>
        <w:t>沿线敏感点均为农村砖混结构自住房屋，利</w:t>
      </w:r>
      <w:r>
        <w:rPr>
          <w:rFonts w:ascii="仿宋" w:hAnsi="仿宋" w:eastAsia="仿宋" w:cs="仿宋"/>
          <w:spacing w:val="-4"/>
          <w:sz w:val="24"/>
          <w:szCs w:val="24"/>
        </w:rPr>
        <w:t>用建筑本体固有隔声能力削弱室</w:t>
      </w:r>
      <w:r>
        <w:rPr>
          <w:rFonts w:ascii="仿宋" w:hAnsi="仿宋" w:eastAsia="仿宋" w:cs="仿宋"/>
          <w:spacing w:val="-1"/>
          <w:sz w:val="24"/>
          <w:szCs w:val="24"/>
        </w:rPr>
        <w:t>外交通噪声对室内居住环境的影响，替代隔声窗、绿化屏障防护作用：</w:t>
      </w:r>
    </w:p>
    <w:p w14:paraId="0CB36514">
      <w:pPr>
        <w:spacing w:before="3" w:line="359" w:lineRule="auto"/>
        <w:ind w:left="34" w:right="144" w:firstLine="476"/>
        <w:rPr>
          <w:rFonts w:ascii="仿宋" w:hAnsi="仿宋" w:eastAsia="仿宋" w:cs="仿宋"/>
          <w:sz w:val="24"/>
          <w:szCs w:val="24"/>
        </w:rPr>
      </w:pPr>
      <w:r>
        <w:rPr>
          <w:rFonts w:ascii="仿宋" w:hAnsi="仿宋" w:eastAsia="仿宋" w:cs="仿宋"/>
          <w:spacing w:val="-2"/>
          <w:sz w:val="24"/>
          <w:szCs w:val="24"/>
        </w:rPr>
        <w:t>农村砖混房屋墙体为实心黏土砖/混凝土砌块承重墙，墙体厚度多≥240mm，</w:t>
      </w:r>
      <w:r>
        <w:rPr>
          <w:rFonts w:ascii="仿宋" w:hAnsi="仿宋" w:eastAsia="仿宋" w:cs="仿宋"/>
          <w:spacing w:val="-4"/>
          <w:sz w:val="24"/>
          <w:szCs w:val="24"/>
        </w:rPr>
        <w:t>实心砖混墙体空气隔声量可达</w:t>
      </w:r>
      <w:r>
        <w:rPr>
          <w:rFonts w:ascii="仿宋" w:hAnsi="仿宋" w:eastAsia="仿宋" w:cs="仿宋"/>
          <w:spacing w:val="-37"/>
          <w:sz w:val="24"/>
          <w:szCs w:val="24"/>
        </w:rPr>
        <w:t xml:space="preserve"> </w:t>
      </w:r>
      <w:r>
        <w:rPr>
          <w:rFonts w:ascii="仿宋" w:hAnsi="仿宋" w:eastAsia="仿宋" w:cs="仿宋"/>
          <w:spacing w:val="-4"/>
          <w:sz w:val="24"/>
          <w:szCs w:val="24"/>
        </w:rPr>
        <w:t>20～25dB</w:t>
      </w:r>
      <w:r>
        <w:rPr>
          <w:rFonts w:ascii="仿宋" w:hAnsi="仿宋" w:eastAsia="仿宋" w:cs="仿宋"/>
          <w:spacing w:val="51"/>
          <w:sz w:val="24"/>
          <w:szCs w:val="24"/>
        </w:rPr>
        <w:t xml:space="preserve"> </w:t>
      </w:r>
      <w:r>
        <w:rPr>
          <w:rFonts w:ascii="仿宋" w:hAnsi="仿宋" w:eastAsia="仿宋" w:cs="仿宋"/>
          <w:spacing w:val="-4"/>
          <w:sz w:val="24"/>
          <w:szCs w:val="24"/>
        </w:rPr>
        <w:t>(A)；</w:t>
      </w:r>
    </w:p>
    <w:p w14:paraId="191B2CC9">
      <w:pPr>
        <w:spacing w:line="358" w:lineRule="auto"/>
        <w:ind w:left="41" w:right="108" w:firstLine="471"/>
        <w:rPr>
          <w:rFonts w:ascii="仿宋" w:hAnsi="仿宋" w:eastAsia="仿宋" w:cs="仿宋"/>
          <w:sz w:val="24"/>
          <w:szCs w:val="24"/>
        </w:rPr>
      </w:pPr>
      <w:r>
        <w:rPr>
          <w:rFonts w:ascii="仿宋" w:hAnsi="仿宋" w:eastAsia="仿宋" w:cs="仿宋"/>
          <w:spacing w:val="-5"/>
          <w:sz w:val="24"/>
          <w:szCs w:val="24"/>
        </w:rPr>
        <w:t>普通木质/铝合金单层玻璃窗虽隔声性能一般，但农户普遍搭配厚棉布窗帘、</w:t>
      </w:r>
      <w:r>
        <w:rPr>
          <w:rFonts w:ascii="仿宋" w:hAnsi="仿宋" w:eastAsia="仿宋" w:cs="仿宋"/>
          <w:spacing w:val="-6"/>
          <w:sz w:val="24"/>
          <w:szCs w:val="24"/>
        </w:rPr>
        <w:t>塑料窗膜，可额外增加</w:t>
      </w:r>
      <w:r>
        <w:rPr>
          <w:rFonts w:ascii="仿宋" w:hAnsi="仿宋" w:eastAsia="仿宋" w:cs="仿宋"/>
          <w:spacing w:val="-36"/>
          <w:sz w:val="24"/>
          <w:szCs w:val="24"/>
        </w:rPr>
        <w:t xml:space="preserve"> </w:t>
      </w:r>
      <w:r>
        <w:rPr>
          <w:rFonts w:ascii="仿宋" w:hAnsi="仿宋" w:eastAsia="仿宋" w:cs="仿宋"/>
          <w:spacing w:val="-6"/>
          <w:sz w:val="24"/>
          <w:szCs w:val="24"/>
        </w:rPr>
        <w:t>3～6dB</w:t>
      </w:r>
      <w:r>
        <w:rPr>
          <w:rFonts w:ascii="仿宋" w:hAnsi="仿宋" w:eastAsia="仿宋" w:cs="仿宋"/>
          <w:spacing w:val="50"/>
          <w:sz w:val="24"/>
          <w:szCs w:val="24"/>
        </w:rPr>
        <w:t xml:space="preserve"> </w:t>
      </w:r>
      <w:r>
        <w:rPr>
          <w:rFonts w:ascii="仿宋" w:hAnsi="仿宋" w:eastAsia="仿宋" w:cs="仿宋"/>
          <w:spacing w:val="-6"/>
          <w:sz w:val="24"/>
          <w:szCs w:val="24"/>
        </w:rPr>
        <w:t>(A)</w:t>
      </w:r>
      <w:r>
        <w:rPr>
          <w:rFonts w:ascii="仿宋" w:hAnsi="仿宋" w:eastAsia="仿宋" w:cs="仿宋"/>
          <w:spacing w:val="29"/>
          <w:sz w:val="24"/>
          <w:szCs w:val="24"/>
        </w:rPr>
        <w:t xml:space="preserve"> </w:t>
      </w:r>
      <w:r>
        <w:rPr>
          <w:rFonts w:ascii="仿宋" w:hAnsi="仿宋" w:eastAsia="仿宋" w:cs="仿宋"/>
          <w:spacing w:val="-6"/>
          <w:sz w:val="24"/>
          <w:szCs w:val="24"/>
        </w:rPr>
        <w:t>隔声量；</w:t>
      </w:r>
    </w:p>
    <w:p w14:paraId="5BB512B2">
      <w:pPr>
        <w:spacing w:before="2" w:line="359" w:lineRule="auto"/>
        <w:ind w:left="31" w:firstLine="482"/>
        <w:rPr>
          <w:rFonts w:ascii="仿宋" w:hAnsi="仿宋" w:eastAsia="仿宋" w:cs="仿宋"/>
          <w:sz w:val="24"/>
          <w:szCs w:val="24"/>
        </w:rPr>
      </w:pPr>
      <w:r>
        <w:rPr>
          <w:rFonts w:ascii="仿宋" w:hAnsi="仿宋" w:eastAsia="仿宋" w:cs="仿宋"/>
          <w:spacing w:val="-5"/>
          <w:sz w:val="24"/>
          <w:szCs w:val="24"/>
        </w:rPr>
        <w:t>房屋临路侧多配套院落实心砖墙，院落围墙可预先衰减一部分室外交通</w:t>
      </w:r>
      <w:r>
        <w:rPr>
          <w:rFonts w:ascii="仿宋" w:hAnsi="仿宋" w:eastAsia="仿宋" w:cs="仿宋"/>
          <w:spacing w:val="-6"/>
          <w:sz w:val="24"/>
          <w:szCs w:val="24"/>
        </w:rPr>
        <w:t>噪声，</w:t>
      </w:r>
      <w:r>
        <w:rPr>
          <w:rFonts w:ascii="仿宋" w:hAnsi="仿宋" w:eastAsia="仿宋" w:cs="仿宋"/>
          <w:spacing w:val="-2"/>
          <w:sz w:val="24"/>
          <w:szCs w:val="24"/>
        </w:rPr>
        <w:t>进一步降低传入建筑门窗的噪声级；</w:t>
      </w:r>
    </w:p>
    <w:p w14:paraId="6AD9012B">
      <w:pPr>
        <w:spacing w:before="1" w:line="360" w:lineRule="auto"/>
        <w:ind w:left="32" w:right="185" w:firstLine="478"/>
        <w:rPr>
          <w:rFonts w:ascii="仿宋" w:hAnsi="仿宋" w:eastAsia="仿宋" w:cs="仿宋"/>
          <w:sz w:val="24"/>
          <w:szCs w:val="24"/>
        </w:rPr>
      </w:pPr>
      <w:r>
        <w:rPr>
          <w:rFonts w:ascii="仿宋" w:hAnsi="仿宋" w:eastAsia="仿宋" w:cs="仿宋"/>
          <w:spacing w:val="-4"/>
          <w:sz w:val="24"/>
          <w:szCs w:val="24"/>
        </w:rPr>
        <w:t>农户日常起居、夜间休息主要活动空间多布置于房屋背向道路一侧，通过建</w:t>
      </w:r>
      <w:r>
        <w:rPr>
          <w:rFonts w:ascii="仿宋" w:hAnsi="仿宋" w:eastAsia="仿宋" w:cs="仿宋"/>
          <w:spacing w:val="-2"/>
          <w:sz w:val="24"/>
          <w:szCs w:val="24"/>
        </w:rPr>
        <w:t>筑平面布局天然阻隔噪声。</w:t>
      </w:r>
    </w:p>
    <w:p w14:paraId="0AE54AA9">
      <w:pPr>
        <w:spacing w:line="360" w:lineRule="auto"/>
        <w:rPr>
          <w:rFonts w:ascii="仿宋" w:hAnsi="仿宋" w:eastAsia="仿宋" w:cs="仿宋"/>
          <w:sz w:val="24"/>
          <w:szCs w:val="24"/>
        </w:rPr>
        <w:sectPr>
          <w:footerReference r:id="rId189" w:type="default"/>
          <w:pgSz w:w="11905" w:h="16840"/>
          <w:pgMar w:top="400" w:right="1615" w:bottom="1095" w:left="1785" w:header="0" w:footer="936" w:gutter="0"/>
          <w:cols w:space="720" w:num="1"/>
        </w:sectPr>
      </w:pPr>
    </w:p>
    <w:p w14:paraId="57378355">
      <w:pPr>
        <w:pStyle w:val="2"/>
        <w:spacing w:line="245" w:lineRule="auto"/>
        <w:rPr>
          <w:sz w:val="21"/>
        </w:rPr>
      </w:pPr>
    </w:p>
    <w:p w14:paraId="18B8598D">
      <w:pPr>
        <w:pStyle w:val="2"/>
        <w:spacing w:line="246" w:lineRule="auto"/>
        <w:rPr>
          <w:sz w:val="21"/>
        </w:rPr>
      </w:pPr>
    </w:p>
    <w:p w14:paraId="7616FFC5">
      <w:pPr>
        <w:pStyle w:val="2"/>
        <w:spacing w:line="246" w:lineRule="auto"/>
        <w:rPr>
          <w:sz w:val="21"/>
        </w:rPr>
      </w:pPr>
    </w:p>
    <w:p w14:paraId="20E20AAE">
      <w:pPr>
        <w:pStyle w:val="2"/>
        <w:spacing w:line="246" w:lineRule="auto"/>
        <w:rPr>
          <w:sz w:val="21"/>
        </w:rPr>
      </w:pPr>
    </w:p>
    <w:p w14:paraId="757374CB">
      <w:pPr>
        <w:spacing w:before="91" w:line="221" w:lineRule="auto"/>
        <w:ind w:left="29"/>
        <w:outlineLvl w:val="2"/>
        <w:rPr>
          <w:rFonts w:ascii="仿宋" w:hAnsi="仿宋" w:eastAsia="仿宋" w:cs="仿宋"/>
          <w:sz w:val="28"/>
          <w:szCs w:val="28"/>
        </w:rPr>
      </w:pPr>
      <w:bookmarkStart w:id="51" w:name="bookmark54"/>
      <w:bookmarkEnd w:id="51"/>
      <w:r>
        <w:rPr>
          <w:rFonts w:ascii="仿宋" w:hAnsi="仿宋" w:eastAsia="仿宋" w:cs="仿宋"/>
          <w:b/>
          <w:bCs/>
          <w:spacing w:val="-6"/>
          <w:sz w:val="28"/>
          <w:szCs w:val="28"/>
        </w:rPr>
        <w:t>5.2.2</w:t>
      </w:r>
      <w:r>
        <w:rPr>
          <w:rFonts w:ascii="仿宋" w:hAnsi="仿宋" w:eastAsia="仿宋" w:cs="仿宋"/>
          <w:spacing w:val="40"/>
          <w:sz w:val="28"/>
          <w:szCs w:val="28"/>
        </w:rPr>
        <w:t xml:space="preserve"> </w:t>
      </w:r>
      <w:r>
        <w:rPr>
          <w:rFonts w:ascii="仿宋" w:hAnsi="仿宋" w:eastAsia="仿宋" w:cs="仿宋"/>
          <w:b/>
          <w:bCs/>
          <w:spacing w:val="-6"/>
          <w:sz w:val="28"/>
          <w:szCs w:val="28"/>
        </w:rPr>
        <w:t>防治措施可行性分析</w:t>
      </w:r>
    </w:p>
    <w:p w14:paraId="4E4E6627">
      <w:pPr>
        <w:spacing w:before="144" w:line="220" w:lineRule="auto"/>
        <w:ind w:left="515"/>
        <w:rPr>
          <w:rFonts w:ascii="仿宋" w:hAnsi="仿宋" w:eastAsia="仿宋" w:cs="仿宋"/>
          <w:sz w:val="24"/>
          <w:szCs w:val="24"/>
        </w:rPr>
      </w:pPr>
      <w:r>
        <w:rPr>
          <w:rFonts w:ascii="仿宋" w:hAnsi="仿宋" w:eastAsia="仿宋" w:cs="仿宋"/>
          <w:spacing w:val="-3"/>
          <w:sz w:val="24"/>
          <w:szCs w:val="24"/>
        </w:rPr>
        <w:t>（1）技术可行性</w:t>
      </w:r>
    </w:p>
    <w:p w14:paraId="1A9A0404">
      <w:pPr>
        <w:spacing w:before="180" w:line="359" w:lineRule="auto"/>
        <w:ind w:left="31" w:right="65" w:firstLine="471"/>
        <w:rPr>
          <w:rFonts w:ascii="仿宋" w:hAnsi="仿宋" w:eastAsia="仿宋" w:cs="仿宋"/>
          <w:sz w:val="24"/>
          <w:szCs w:val="24"/>
        </w:rPr>
      </w:pPr>
      <w:r>
        <w:rPr>
          <w:rFonts w:ascii="仿宋" w:hAnsi="仿宋" w:eastAsia="仿宋" w:cs="仿宋"/>
          <w:spacing w:val="-3"/>
          <w:sz w:val="24"/>
          <w:szCs w:val="24"/>
        </w:rPr>
        <w:t>①低噪声水泥混凝土路面刻槽、柔性填缝均为成熟施工工艺</w:t>
      </w:r>
      <w:r>
        <w:rPr>
          <w:rFonts w:ascii="仿宋" w:hAnsi="仿宋" w:eastAsia="仿宋" w:cs="仿宋"/>
          <w:spacing w:val="-4"/>
          <w:sz w:val="24"/>
          <w:szCs w:val="24"/>
        </w:rPr>
        <w:t>，四级公路施工</w:t>
      </w:r>
      <w:r>
        <w:rPr>
          <w:rFonts w:ascii="仿宋" w:hAnsi="仿宋" w:eastAsia="仿宋" w:cs="仿宋"/>
          <w:spacing w:val="-3"/>
          <w:sz w:val="24"/>
          <w:szCs w:val="24"/>
        </w:rPr>
        <w:t>可同步实施，无技术门槛；路面养护、限速减速设施、禁鸣</w:t>
      </w:r>
      <w:r>
        <w:rPr>
          <w:rFonts w:ascii="仿宋" w:hAnsi="仿宋" w:eastAsia="仿宋" w:cs="仿宋"/>
          <w:spacing w:val="-4"/>
          <w:sz w:val="24"/>
          <w:szCs w:val="24"/>
        </w:rPr>
        <w:t>限行均为道路常规管</w:t>
      </w:r>
      <w:r>
        <w:rPr>
          <w:rFonts w:ascii="仿宋" w:hAnsi="仿宋" w:eastAsia="仿宋" w:cs="仿宋"/>
          <w:spacing w:val="-2"/>
          <w:sz w:val="24"/>
          <w:szCs w:val="24"/>
        </w:rPr>
        <w:t>控手段，技术简单可靠。</w:t>
      </w:r>
    </w:p>
    <w:p w14:paraId="4F012B97">
      <w:pPr>
        <w:spacing w:line="359" w:lineRule="auto"/>
        <w:ind w:left="32" w:firstLine="468"/>
        <w:rPr>
          <w:rFonts w:ascii="仿宋" w:hAnsi="仿宋" w:eastAsia="仿宋" w:cs="仿宋"/>
          <w:sz w:val="24"/>
          <w:szCs w:val="24"/>
        </w:rPr>
      </w:pPr>
      <w:r>
        <w:rPr>
          <w:rFonts w:ascii="仿宋" w:hAnsi="仿宋" w:eastAsia="仿宋" w:cs="仿宋"/>
          <w:spacing w:val="-3"/>
          <w:sz w:val="24"/>
          <w:szCs w:val="24"/>
        </w:rPr>
        <w:t>②依靠农村砖混住房自身墙体、院落围墙、房屋布局实现噪声</w:t>
      </w:r>
      <w:r>
        <w:rPr>
          <w:rFonts w:ascii="仿宋" w:hAnsi="仿宋" w:eastAsia="仿宋" w:cs="仿宋"/>
          <w:spacing w:val="-4"/>
          <w:sz w:val="24"/>
          <w:szCs w:val="24"/>
        </w:rPr>
        <w:t>二次衰减，完</w:t>
      </w:r>
      <w:r>
        <w:rPr>
          <w:rFonts w:ascii="仿宋" w:hAnsi="仿宋" w:eastAsia="仿宋" w:cs="仿宋"/>
          <w:spacing w:val="-3"/>
          <w:sz w:val="24"/>
          <w:szCs w:val="24"/>
        </w:rPr>
        <w:t>全匹配本项目噪声影响水平。预测显示所有敏感点近、</w:t>
      </w:r>
      <w:r>
        <w:rPr>
          <w:rFonts w:ascii="仿宋" w:hAnsi="仿宋" w:eastAsia="仿宋" w:cs="仿宋"/>
          <w:spacing w:val="-4"/>
          <w:sz w:val="24"/>
          <w:szCs w:val="24"/>
        </w:rPr>
        <w:t>中、远期昼夜室外噪声均</w:t>
      </w:r>
      <w:r>
        <w:rPr>
          <w:rFonts w:ascii="仿宋" w:hAnsi="仿宋" w:eastAsia="仿宋" w:cs="仿宋"/>
          <w:spacing w:val="-8"/>
          <w:sz w:val="24"/>
          <w:szCs w:val="24"/>
        </w:rPr>
        <w:t>达标，室外噪声增量极小，砖混建筑隔声性能足以抵消水泥路面带来的噪声</w:t>
      </w:r>
      <w:r>
        <w:rPr>
          <w:rFonts w:ascii="仿宋" w:hAnsi="仿宋" w:eastAsia="仿宋" w:cs="仿宋"/>
          <w:spacing w:val="-9"/>
          <w:sz w:val="24"/>
          <w:szCs w:val="24"/>
        </w:rPr>
        <w:t>增幅，</w:t>
      </w:r>
      <w:r>
        <w:rPr>
          <w:rFonts w:ascii="仿宋" w:hAnsi="仿宋" w:eastAsia="仿宋" w:cs="仿宋"/>
          <w:spacing w:val="-2"/>
          <w:sz w:val="24"/>
          <w:szCs w:val="24"/>
        </w:rPr>
        <w:t>室内声环境可满足居住要求。</w:t>
      </w:r>
    </w:p>
    <w:p w14:paraId="4DDFE294">
      <w:pPr>
        <w:spacing w:before="2" w:line="358" w:lineRule="auto"/>
        <w:ind w:left="31" w:right="65" w:firstLine="470"/>
        <w:rPr>
          <w:rFonts w:ascii="仿宋" w:hAnsi="仿宋" w:eastAsia="仿宋" w:cs="仿宋"/>
          <w:sz w:val="24"/>
          <w:szCs w:val="24"/>
        </w:rPr>
      </w:pPr>
      <w:r>
        <w:rPr>
          <w:rFonts w:ascii="仿宋" w:hAnsi="仿宋" w:eastAsia="仿宋" w:cs="仿宋"/>
          <w:spacing w:val="-3"/>
          <w:sz w:val="24"/>
          <w:szCs w:val="24"/>
        </w:rPr>
        <w:t>③用地规划管控、定期噪声监测为环保通用管理措施，乡镇政</w:t>
      </w:r>
      <w:r>
        <w:rPr>
          <w:rFonts w:ascii="仿宋" w:hAnsi="仿宋" w:eastAsia="仿宋" w:cs="仿宋"/>
          <w:spacing w:val="-4"/>
          <w:sz w:val="24"/>
          <w:szCs w:val="24"/>
        </w:rPr>
        <w:t>府、村委会可</w:t>
      </w:r>
      <w:r>
        <w:rPr>
          <w:rFonts w:ascii="仿宋" w:hAnsi="仿宋" w:eastAsia="仿宋" w:cs="仿宋"/>
          <w:spacing w:val="-2"/>
          <w:sz w:val="24"/>
          <w:szCs w:val="24"/>
        </w:rPr>
        <w:t>协同落实，技术落地无阻碍。</w:t>
      </w:r>
    </w:p>
    <w:p w14:paraId="7F284332">
      <w:pPr>
        <w:spacing w:line="220" w:lineRule="auto"/>
        <w:ind w:left="515"/>
        <w:rPr>
          <w:rFonts w:ascii="仿宋" w:hAnsi="仿宋" w:eastAsia="仿宋" w:cs="仿宋"/>
          <w:sz w:val="24"/>
          <w:szCs w:val="24"/>
        </w:rPr>
      </w:pPr>
      <w:r>
        <w:rPr>
          <w:rFonts w:ascii="仿宋" w:hAnsi="仿宋" w:eastAsia="仿宋" w:cs="仿宋"/>
          <w:spacing w:val="-3"/>
          <w:sz w:val="24"/>
          <w:szCs w:val="24"/>
        </w:rPr>
        <w:t>（2）经济可行性</w:t>
      </w:r>
    </w:p>
    <w:p w14:paraId="67A970BC">
      <w:pPr>
        <w:spacing w:before="181" w:line="359" w:lineRule="auto"/>
        <w:ind w:left="33" w:right="26" w:firstLine="468"/>
        <w:rPr>
          <w:rFonts w:ascii="仿宋" w:hAnsi="仿宋" w:eastAsia="仿宋" w:cs="仿宋"/>
          <w:sz w:val="24"/>
          <w:szCs w:val="24"/>
        </w:rPr>
      </w:pPr>
      <w:r>
        <w:rPr>
          <w:rFonts w:ascii="仿宋" w:hAnsi="仿宋" w:eastAsia="仿宋" w:cs="仿宋"/>
          <w:spacing w:val="-2"/>
          <w:sz w:val="24"/>
          <w:szCs w:val="24"/>
        </w:rPr>
        <w:t>①水泥路面优化仅调整刻槽与填缝材料，相比普通水泥路面增加投资极少；</w:t>
      </w:r>
      <w:r>
        <w:rPr>
          <w:rFonts w:ascii="仿宋" w:hAnsi="仿宋" w:eastAsia="仿宋" w:cs="仿宋"/>
          <w:spacing w:val="-3"/>
          <w:sz w:val="24"/>
          <w:szCs w:val="24"/>
        </w:rPr>
        <w:t>限速标牌、减速带、禁鸣标识工程量小、造价低廉；</w:t>
      </w:r>
      <w:r>
        <w:rPr>
          <w:rFonts w:ascii="仿宋" w:hAnsi="仿宋" w:eastAsia="仿宋" w:cs="仿宋"/>
          <w:spacing w:val="-4"/>
          <w:sz w:val="24"/>
          <w:szCs w:val="24"/>
        </w:rPr>
        <w:t>噪声监测频次低，长期运维</w:t>
      </w:r>
      <w:r>
        <w:rPr>
          <w:rFonts w:ascii="仿宋" w:hAnsi="仿宋" w:eastAsia="仿宋" w:cs="仿宋"/>
          <w:spacing w:val="-5"/>
          <w:sz w:val="24"/>
          <w:szCs w:val="24"/>
        </w:rPr>
        <w:t>成本低。</w:t>
      </w:r>
    </w:p>
    <w:p w14:paraId="00FFBCD4">
      <w:pPr>
        <w:spacing w:before="1" w:line="359" w:lineRule="auto"/>
        <w:ind w:left="29" w:right="65" w:firstLine="472"/>
        <w:rPr>
          <w:rFonts w:ascii="仿宋" w:hAnsi="仿宋" w:eastAsia="仿宋" w:cs="仿宋"/>
          <w:sz w:val="24"/>
          <w:szCs w:val="24"/>
        </w:rPr>
      </w:pPr>
      <w:r>
        <w:rPr>
          <w:rFonts w:ascii="仿宋" w:hAnsi="仿宋" w:eastAsia="仿宋" w:cs="仿宋"/>
          <w:spacing w:val="-3"/>
          <w:sz w:val="24"/>
          <w:szCs w:val="24"/>
        </w:rPr>
        <w:t>②取消绿化苗木采购、分户隔声窗改造两大专项降噪工程，大</w:t>
      </w:r>
      <w:r>
        <w:rPr>
          <w:rFonts w:ascii="仿宋" w:hAnsi="仿宋" w:eastAsia="仿宋" w:cs="仿宋"/>
          <w:spacing w:val="-4"/>
          <w:sz w:val="24"/>
          <w:szCs w:val="24"/>
        </w:rPr>
        <w:t>幅降低项目噪</w:t>
      </w:r>
      <w:r>
        <w:rPr>
          <w:rFonts w:ascii="仿宋" w:hAnsi="仿宋" w:eastAsia="仿宋" w:cs="仿宋"/>
          <w:spacing w:val="-3"/>
          <w:sz w:val="24"/>
          <w:szCs w:val="24"/>
        </w:rPr>
        <w:t>声防治投资；砖混房屋、院落围墙均为农户原有自有建筑，无</w:t>
      </w:r>
      <w:r>
        <w:rPr>
          <w:rFonts w:ascii="仿宋" w:hAnsi="仿宋" w:eastAsia="仿宋" w:cs="仿宋"/>
          <w:spacing w:val="-4"/>
          <w:sz w:val="24"/>
          <w:szCs w:val="24"/>
        </w:rPr>
        <w:t>需项目额外出资建</w:t>
      </w:r>
      <w:r>
        <w:rPr>
          <w:rFonts w:ascii="仿宋" w:hAnsi="仿宋" w:eastAsia="仿宋" w:cs="仿宋"/>
          <w:spacing w:val="-1"/>
          <w:sz w:val="24"/>
          <w:szCs w:val="24"/>
        </w:rPr>
        <w:t>设防护设施，降噪经济成本优势突出。</w:t>
      </w:r>
    </w:p>
    <w:p w14:paraId="12F73E7F">
      <w:pPr>
        <w:spacing w:before="1" w:line="220" w:lineRule="auto"/>
        <w:ind w:left="515"/>
        <w:rPr>
          <w:rFonts w:ascii="仿宋" w:hAnsi="仿宋" w:eastAsia="仿宋" w:cs="仿宋"/>
          <w:sz w:val="24"/>
          <w:szCs w:val="24"/>
        </w:rPr>
      </w:pPr>
      <w:r>
        <w:rPr>
          <w:rFonts w:ascii="仿宋" w:hAnsi="仿宋" w:eastAsia="仿宋" w:cs="仿宋"/>
          <w:spacing w:val="-3"/>
          <w:sz w:val="24"/>
          <w:szCs w:val="24"/>
        </w:rPr>
        <w:t>（3）实施落地可行性</w:t>
      </w:r>
    </w:p>
    <w:p w14:paraId="0C7D6186">
      <w:pPr>
        <w:spacing w:before="179" w:line="359" w:lineRule="auto"/>
        <w:ind w:left="31" w:right="65" w:firstLine="471"/>
        <w:rPr>
          <w:rFonts w:ascii="仿宋" w:hAnsi="仿宋" w:eastAsia="仿宋" w:cs="仿宋"/>
          <w:sz w:val="24"/>
          <w:szCs w:val="24"/>
        </w:rPr>
      </w:pPr>
      <w:r>
        <w:rPr>
          <w:rFonts w:ascii="仿宋" w:hAnsi="仿宋" w:eastAsia="仿宋" w:cs="仿宋"/>
          <w:spacing w:val="-3"/>
          <w:sz w:val="24"/>
          <w:szCs w:val="24"/>
        </w:rPr>
        <w:t>①工程类措施随道路主体同步施工，无需单独征地、专项施</w:t>
      </w:r>
      <w:r>
        <w:rPr>
          <w:rFonts w:ascii="仿宋" w:hAnsi="仿宋" w:eastAsia="仿宋" w:cs="仿宋"/>
          <w:spacing w:val="-4"/>
          <w:sz w:val="24"/>
          <w:szCs w:val="24"/>
        </w:rPr>
        <w:t>工；限行、禁鸣</w:t>
      </w:r>
      <w:r>
        <w:rPr>
          <w:rFonts w:ascii="仿宋" w:hAnsi="仿宋" w:eastAsia="仿宋" w:cs="仿宋"/>
          <w:spacing w:val="-1"/>
          <w:sz w:val="24"/>
          <w:szCs w:val="24"/>
        </w:rPr>
        <w:t>依靠镇村日常交通巡查即可维持长期管控，无需增设专职管理人员。</w:t>
      </w:r>
    </w:p>
    <w:p w14:paraId="48686CC4">
      <w:pPr>
        <w:spacing w:before="1" w:line="359" w:lineRule="auto"/>
        <w:ind w:left="41" w:right="65" w:firstLine="460"/>
        <w:rPr>
          <w:rFonts w:ascii="仿宋" w:hAnsi="仿宋" w:eastAsia="仿宋" w:cs="仿宋"/>
          <w:sz w:val="24"/>
          <w:szCs w:val="24"/>
        </w:rPr>
      </w:pPr>
      <w:r>
        <w:rPr>
          <w:rFonts w:ascii="仿宋" w:hAnsi="仿宋" w:eastAsia="仿宋" w:cs="仿宋"/>
          <w:spacing w:val="-3"/>
          <w:sz w:val="24"/>
          <w:szCs w:val="24"/>
        </w:rPr>
        <w:t>②依托农户现有砖混住房固有隔声性能，无需对居民房屋进行</w:t>
      </w:r>
      <w:r>
        <w:rPr>
          <w:rFonts w:ascii="仿宋" w:hAnsi="仿宋" w:eastAsia="仿宋" w:cs="仿宋"/>
          <w:spacing w:val="-4"/>
          <w:sz w:val="24"/>
          <w:szCs w:val="24"/>
        </w:rPr>
        <w:t>改造，群众接</w:t>
      </w:r>
      <w:r>
        <w:rPr>
          <w:rFonts w:ascii="仿宋" w:hAnsi="仿宋" w:eastAsia="仿宋" w:cs="仿宋"/>
          <w:spacing w:val="-1"/>
          <w:sz w:val="24"/>
          <w:szCs w:val="24"/>
        </w:rPr>
        <w:t>受度高，无征地、拆迁、房屋改造等协调矛盾，实施阻力</w:t>
      </w:r>
      <w:r>
        <w:rPr>
          <w:rFonts w:ascii="仿宋" w:hAnsi="仿宋" w:eastAsia="仿宋" w:cs="仿宋"/>
          <w:spacing w:val="-2"/>
          <w:sz w:val="24"/>
          <w:szCs w:val="24"/>
        </w:rPr>
        <w:t>小。</w:t>
      </w:r>
    </w:p>
    <w:p w14:paraId="3B8D4463">
      <w:pPr>
        <w:spacing w:before="4" w:line="359" w:lineRule="auto"/>
        <w:ind w:left="37" w:right="65" w:firstLine="463"/>
        <w:rPr>
          <w:rFonts w:ascii="仿宋" w:hAnsi="仿宋" w:eastAsia="仿宋" w:cs="仿宋"/>
          <w:sz w:val="24"/>
          <w:szCs w:val="24"/>
        </w:rPr>
      </w:pPr>
      <w:r>
        <w:rPr>
          <w:rFonts w:ascii="仿宋" w:hAnsi="仿宋" w:eastAsia="仿宋" w:cs="仿宋"/>
          <w:spacing w:val="-10"/>
          <w:sz w:val="24"/>
          <w:szCs w:val="24"/>
        </w:rPr>
        <w:t>③全周期适配性：项目噪声随运营年限小幅上升，而管控措施可动</w:t>
      </w:r>
      <w:r>
        <w:rPr>
          <w:rFonts w:ascii="仿宋" w:hAnsi="仿宋" w:eastAsia="仿宋" w:cs="仿宋"/>
          <w:spacing w:val="-11"/>
          <w:sz w:val="24"/>
          <w:szCs w:val="24"/>
        </w:rPr>
        <w:t>态调整（加</w:t>
      </w:r>
      <w:r>
        <w:rPr>
          <w:rFonts w:ascii="仿宋" w:hAnsi="仿宋" w:eastAsia="仿宋" w:cs="仿宋"/>
          <w:spacing w:val="-4"/>
          <w:sz w:val="24"/>
          <w:szCs w:val="24"/>
        </w:rPr>
        <w:t>密减速、严格夜间限行</w:t>
      </w:r>
      <w:r>
        <w:rPr>
          <w:rFonts w:ascii="仿宋" w:hAnsi="仿宋" w:eastAsia="仿宋" w:cs="仿宋"/>
          <w:spacing w:val="5"/>
          <w:sz w:val="24"/>
          <w:szCs w:val="24"/>
        </w:rPr>
        <w:t>），</w:t>
      </w:r>
      <w:r>
        <w:rPr>
          <w:rFonts w:ascii="仿宋" w:hAnsi="仿宋" w:eastAsia="仿宋" w:cs="仿宋"/>
          <w:spacing w:val="-4"/>
          <w:sz w:val="24"/>
          <w:szCs w:val="24"/>
        </w:rPr>
        <w:t>能够匹配近、中、远期车流量变化，长期控制噪声影</w:t>
      </w:r>
      <w:r>
        <w:rPr>
          <w:rFonts w:ascii="仿宋" w:hAnsi="仿宋" w:eastAsia="仿宋" w:cs="仿宋"/>
          <w:spacing w:val="-12"/>
          <w:sz w:val="24"/>
          <w:szCs w:val="24"/>
        </w:rPr>
        <w:t>响。</w:t>
      </w:r>
    </w:p>
    <w:p w14:paraId="0D6EE28A">
      <w:pPr>
        <w:spacing w:before="123" w:line="223" w:lineRule="auto"/>
        <w:ind w:left="29"/>
        <w:outlineLvl w:val="2"/>
        <w:rPr>
          <w:rFonts w:ascii="仿宋" w:hAnsi="仿宋" w:eastAsia="仿宋" w:cs="仿宋"/>
          <w:sz w:val="28"/>
          <w:szCs w:val="28"/>
        </w:rPr>
      </w:pPr>
      <w:bookmarkStart w:id="52" w:name="bookmark55"/>
      <w:bookmarkEnd w:id="52"/>
      <w:r>
        <w:rPr>
          <w:rFonts w:ascii="仿宋" w:hAnsi="仿宋" w:eastAsia="仿宋" w:cs="仿宋"/>
          <w:b/>
          <w:bCs/>
          <w:spacing w:val="-6"/>
          <w:sz w:val="28"/>
          <w:szCs w:val="28"/>
        </w:rPr>
        <w:t>5.2.3</w:t>
      </w:r>
      <w:r>
        <w:rPr>
          <w:rFonts w:ascii="仿宋" w:hAnsi="仿宋" w:eastAsia="仿宋" w:cs="仿宋"/>
          <w:spacing w:val="-41"/>
          <w:sz w:val="28"/>
          <w:szCs w:val="28"/>
        </w:rPr>
        <w:t xml:space="preserve"> </w:t>
      </w:r>
      <w:r>
        <w:rPr>
          <w:rFonts w:ascii="仿宋" w:hAnsi="仿宋" w:eastAsia="仿宋" w:cs="仿宋"/>
          <w:b/>
          <w:bCs/>
          <w:spacing w:val="-6"/>
          <w:sz w:val="28"/>
          <w:szCs w:val="28"/>
        </w:rPr>
        <w:t>综合评价结论</w:t>
      </w:r>
    </w:p>
    <w:p w14:paraId="14AB65A8">
      <w:pPr>
        <w:spacing w:before="137" w:line="360" w:lineRule="auto"/>
        <w:ind w:left="31" w:right="12" w:firstLine="480"/>
        <w:rPr>
          <w:rFonts w:ascii="仿宋" w:hAnsi="仿宋" w:eastAsia="仿宋" w:cs="仿宋"/>
          <w:sz w:val="24"/>
          <w:szCs w:val="24"/>
        </w:rPr>
      </w:pPr>
      <w:r>
        <w:rPr>
          <w:rFonts w:ascii="仿宋" w:hAnsi="仿宋" w:eastAsia="仿宋" w:cs="仿宋"/>
          <w:spacing w:val="-4"/>
          <w:sz w:val="24"/>
          <w:szCs w:val="24"/>
        </w:rPr>
        <w:t>本项目采用水泥混凝土路面，通过优化水泥路面降噪工艺、全线低速限速管</w:t>
      </w:r>
      <w:r>
        <w:rPr>
          <w:rFonts w:ascii="仿宋" w:hAnsi="仿宋" w:eastAsia="仿宋" w:cs="仿宋"/>
          <w:spacing w:val="-2"/>
          <w:sz w:val="24"/>
          <w:szCs w:val="24"/>
        </w:rPr>
        <w:t>控、夜间高噪声车辆限行、用地规划管控，并充分利用沿线农村砖混住房墙体、</w:t>
      </w:r>
    </w:p>
    <w:p w14:paraId="340BDEBB">
      <w:pPr>
        <w:spacing w:line="360" w:lineRule="auto"/>
        <w:rPr>
          <w:rFonts w:ascii="仿宋" w:hAnsi="仿宋" w:eastAsia="仿宋" w:cs="仿宋"/>
          <w:sz w:val="24"/>
          <w:szCs w:val="24"/>
        </w:rPr>
        <w:sectPr>
          <w:footerReference r:id="rId190" w:type="default"/>
          <w:pgSz w:w="11905" w:h="16840"/>
          <w:pgMar w:top="400" w:right="1735" w:bottom="1098" w:left="1785" w:header="0" w:footer="936" w:gutter="0"/>
          <w:cols w:space="720" w:num="1"/>
        </w:sectPr>
      </w:pPr>
    </w:p>
    <w:p w14:paraId="7EFD40AA">
      <w:pPr>
        <w:pStyle w:val="2"/>
        <w:spacing w:line="248" w:lineRule="auto"/>
        <w:rPr>
          <w:sz w:val="21"/>
        </w:rPr>
      </w:pPr>
    </w:p>
    <w:p w14:paraId="501F3340">
      <w:pPr>
        <w:pStyle w:val="2"/>
        <w:spacing w:line="248" w:lineRule="auto"/>
        <w:rPr>
          <w:sz w:val="21"/>
        </w:rPr>
      </w:pPr>
    </w:p>
    <w:p w14:paraId="0EE031AC">
      <w:pPr>
        <w:pStyle w:val="2"/>
        <w:spacing w:line="248" w:lineRule="auto"/>
        <w:rPr>
          <w:sz w:val="21"/>
        </w:rPr>
      </w:pPr>
    </w:p>
    <w:p w14:paraId="3B5A3640">
      <w:pPr>
        <w:pStyle w:val="2"/>
        <w:spacing w:line="248" w:lineRule="auto"/>
        <w:rPr>
          <w:sz w:val="21"/>
        </w:rPr>
      </w:pPr>
    </w:p>
    <w:p w14:paraId="2C265865">
      <w:pPr>
        <w:spacing w:before="78" w:line="359" w:lineRule="auto"/>
        <w:ind w:left="29" w:right="65" w:firstLine="14"/>
        <w:jc w:val="both"/>
        <w:rPr>
          <w:rFonts w:ascii="仿宋" w:hAnsi="仿宋" w:eastAsia="仿宋" w:cs="仿宋"/>
          <w:sz w:val="24"/>
          <w:szCs w:val="24"/>
        </w:rPr>
      </w:pPr>
      <w:r>
        <w:rPr>
          <w:rFonts w:ascii="仿宋" w:hAnsi="仿宋" w:eastAsia="仿宋" w:cs="仿宋"/>
          <w:spacing w:val="-4"/>
          <w:sz w:val="24"/>
          <w:szCs w:val="24"/>
        </w:rPr>
        <w:t>院落围墙及房屋布局的天然隔声性能，配套定期噪声跟踪监测，形成完整噪声防</w:t>
      </w:r>
      <w:r>
        <w:rPr>
          <w:rFonts w:ascii="仿宋" w:hAnsi="仿宋" w:eastAsia="仿宋" w:cs="仿宋"/>
          <w:spacing w:val="-3"/>
          <w:sz w:val="24"/>
          <w:szCs w:val="24"/>
        </w:rPr>
        <w:t>控体系。结合噪声预测结果，全线</w:t>
      </w:r>
      <w:r>
        <w:rPr>
          <w:rFonts w:ascii="仿宋" w:hAnsi="仿宋" w:eastAsia="仿宋" w:cs="仿宋"/>
          <w:spacing w:val="-33"/>
          <w:sz w:val="24"/>
          <w:szCs w:val="24"/>
        </w:rPr>
        <w:t xml:space="preserve"> </w:t>
      </w:r>
      <w:r>
        <w:rPr>
          <w:rFonts w:ascii="仿宋" w:hAnsi="仿宋" w:eastAsia="仿宋" w:cs="仿宋"/>
          <w:spacing w:val="-3"/>
          <w:sz w:val="24"/>
          <w:szCs w:val="24"/>
        </w:rPr>
        <w:t>14</w:t>
      </w:r>
      <w:r>
        <w:rPr>
          <w:rFonts w:ascii="仿宋" w:hAnsi="仿宋" w:eastAsia="仿宋" w:cs="仿宋"/>
          <w:spacing w:val="-44"/>
          <w:sz w:val="24"/>
          <w:szCs w:val="24"/>
        </w:rPr>
        <w:t xml:space="preserve"> </w:t>
      </w:r>
      <w:r>
        <w:rPr>
          <w:rFonts w:ascii="仿宋" w:hAnsi="仿宋" w:eastAsia="仿宋" w:cs="仿宋"/>
          <w:spacing w:val="-3"/>
          <w:sz w:val="24"/>
          <w:szCs w:val="24"/>
        </w:rPr>
        <w:t>处敏感点运营各阶段室外噪声均满足</w:t>
      </w:r>
      <w:r>
        <w:rPr>
          <w:rFonts w:ascii="仿宋" w:hAnsi="仿宋" w:eastAsia="仿宋" w:cs="仿宋"/>
          <w:spacing w:val="-33"/>
          <w:sz w:val="24"/>
          <w:szCs w:val="24"/>
        </w:rPr>
        <w:t xml:space="preserve"> </w:t>
      </w:r>
      <w:r>
        <w:rPr>
          <w:rFonts w:ascii="仿宋" w:hAnsi="仿宋" w:eastAsia="仿宋" w:cs="仿宋"/>
          <w:spacing w:val="-3"/>
          <w:sz w:val="24"/>
          <w:szCs w:val="24"/>
        </w:rPr>
        <w:t>1</w:t>
      </w:r>
      <w:r>
        <w:rPr>
          <w:rFonts w:ascii="仿宋" w:hAnsi="仿宋" w:eastAsia="仿宋" w:cs="仿宋"/>
          <w:spacing w:val="-42"/>
          <w:sz w:val="24"/>
          <w:szCs w:val="24"/>
        </w:rPr>
        <w:t xml:space="preserve"> </w:t>
      </w:r>
      <w:r>
        <w:rPr>
          <w:rFonts w:ascii="仿宋" w:hAnsi="仿宋" w:eastAsia="仿宋" w:cs="仿宋"/>
          <w:spacing w:val="-3"/>
          <w:sz w:val="24"/>
          <w:szCs w:val="24"/>
        </w:rPr>
        <w:t>类声环境标准，室外噪声增量整体偏低；农村砖混住房自身隔声</w:t>
      </w:r>
      <w:r>
        <w:rPr>
          <w:rFonts w:ascii="仿宋" w:hAnsi="仿宋" w:eastAsia="仿宋" w:cs="仿宋"/>
          <w:spacing w:val="-4"/>
          <w:sz w:val="24"/>
          <w:szCs w:val="24"/>
        </w:rPr>
        <w:t>能力可进一步降低</w:t>
      </w:r>
      <w:r>
        <w:rPr>
          <w:rFonts w:ascii="仿宋" w:hAnsi="仿宋" w:eastAsia="仿宋" w:cs="仿宋"/>
          <w:spacing w:val="-3"/>
          <w:sz w:val="24"/>
          <w:szCs w:val="24"/>
        </w:rPr>
        <w:t>室内噪声水平，有效缓解公路交通噪声对居民生活的干扰。整</w:t>
      </w:r>
      <w:r>
        <w:rPr>
          <w:rFonts w:ascii="仿宋" w:hAnsi="仿宋" w:eastAsia="仿宋" w:cs="仿宋"/>
          <w:spacing w:val="-4"/>
          <w:sz w:val="24"/>
          <w:szCs w:val="24"/>
        </w:rPr>
        <w:t>套防治措施技术成</w:t>
      </w:r>
      <w:r>
        <w:rPr>
          <w:rFonts w:ascii="仿宋" w:hAnsi="仿宋" w:eastAsia="仿宋" w:cs="仿宋"/>
          <w:spacing w:val="-3"/>
          <w:sz w:val="24"/>
          <w:szCs w:val="24"/>
        </w:rPr>
        <w:t>熟、投资节约、实施难度低，可有效控制运营期噪声环境影响</w:t>
      </w:r>
      <w:r>
        <w:rPr>
          <w:rFonts w:ascii="仿宋" w:hAnsi="仿宋" w:eastAsia="仿宋" w:cs="仿宋"/>
          <w:spacing w:val="-4"/>
          <w:sz w:val="24"/>
          <w:szCs w:val="24"/>
        </w:rPr>
        <w:t>，措施具备充分可</w:t>
      </w:r>
      <w:r>
        <w:rPr>
          <w:rFonts w:ascii="仿宋" w:hAnsi="仿宋" w:eastAsia="仿宋" w:cs="仿宋"/>
          <w:spacing w:val="-6"/>
          <w:sz w:val="24"/>
          <w:szCs w:val="24"/>
        </w:rPr>
        <w:t>行性。</w:t>
      </w:r>
    </w:p>
    <w:p w14:paraId="1FE04339">
      <w:pPr>
        <w:spacing w:before="255" w:line="228" w:lineRule="auto"/>
        <w:ind w:left="29"/>
        <w:outlineLvl w:val="0"/>
        <w:rPr>
          <w:rFonts w:ascii="仿宋" w:hAnsi="仿宋" w:eastAsia="仿宋" w:cs="仿宋"/>
          <w:sz w:val="35"/>
          <w:szCs w:val="35"/>
        </w:rPr>
      </w:pPr>
      <w:bookmarkStart w:id="53" w:name="bookmark57"/>
      <w:bookmarkEnd w:id="53"/>
      <w:bookmarkStart w:id="54" w:name="bookmark56"/>
      <w:bookmarkEnd w:id="54"/>
      <w:r>
        <w:rPr>
          <w:rFonts w:ascii="仿宋" w:hAnsi="仿宋" w:eastAsia="仿宋" w:cs="仿宋"/>
          <w:b/>
          <w:bCs/>
          <w:spacing w:val="2"/>
          <w:sz w:val="35"/>
          <w:szCs w:val="35"/>
        </w:rPr>
        <w:t>6</w:t>
      </w:r>
      <w:r>
        <w:rPr>
          <w:rFonts w:ascii="仿宋" w:hAnsi="仿宋" w:eastAsia="仿宋" w:cs="仿宋"/>
          <w:spacing w:val="52"/>
          <w:sz w:val="35"/>
          <w:szCs w:val="35"/>
        </w:rPr>
        <w:t xml:space="preserve"> </w:t>
      </w:r>
      <w:r>
        <w:rPr>
          <w:rFonts w:ascii="仿宋" w:hAnsi="仿宋" w:eastAsia="仿宋" w:cs="仿宋"/>
          <w:b/>
          <w:bCs/>
          <w:spacing w:val="2"/>
          <w:sz w:val="35"/>
          <w:szCs w:val="35"/>
        </w:rPr>
        <w:t>噪声环境管理与监测计划</w:t>
      </w:r>
    </w:p>
    <w:p w14:paraId="08082516">
      <w:pPr>
        <w:pStyle w:val="2"/>
        <w:spacing w:line="263" w:lineRule="auto"/>
        <w:rPr>
          <w:sz w:val="21"/>
        </w:rPr>
      </w:pPr>
    </w:p>
    <w:p w14:paraId="1720CF8B">
      <w:pPr>
        <w:spacing w:before="101" w:line="228" w:lineRule="auto"/>
        <w:ind w:left="27"/>
        <w:outlineLvl w:val="1"/>
        <w:rPr>
          <w:rFonts w:ascii="仿宋" w:hAnsi="仿宋" w:eastAsia="仿宋" w:cs="仿宋"/>
          <w:sz w:val="31"/>
          <w:szCs w:val="31"/>
        </w:rPr>
      </w:pPr>
      <w:r>
        <w:rPr>
          <w:rFonts w:ascii="仿宋" w:hAnsi="仿宋" w:eastAsia="仿宋" w:cs="仿宋"/>
          <w:b/>
          <w:bCs/>
          <w:spacing w:val="2"/>
          <w:sz w:val="31"/>
          <w:szCs w:val="31"/>
        </w:rPr>
        <w:t>6.1</w:t>
      </w:r>
      <w:r>
        <w:rPr>
          <w:rFonts w:ascii="仿宋" w:hAnsi="仿宋" w:eastAsia="仿宋" w:cs="仿宋"/>
          <w:spacing w:val="25"/>
          <w:sz w:val="31"/>
          <w:szCs w:val="31"/>
        </w:rPr>
        <w:t xml:space="preserve"> </w:t>
      </w:r>
      <w:r>
        <w:rPr>
          <w:rFonts w:ascii="仿宋" w:hAnsi="仿宋" w:eastAsia="仿宋" w:cs="仿宋"/>
          <w:b/>
          <w:bCs/>
          <w:spacing w:val="2"/>
          <w:sz w:val="31"/>
          <w:szCs w:val="31"/>
        </w:rPr>
        <w:t>环境管理要求</w:t>
      </w:r>
    </w:p>
    <w:p w14:paraId="55AC1EFA">
      <w:pPr>
        <w:pStyle w:val="2"/>
        <w:spacing w:line="247" w:lineRule="auto"/>
        <w:rPr>
          <w:sz w:val="21"/>
        </w:rPr>
      </w:pPr>
    </w:p>
    <w:p w14:paraId="6D0D6106">
      <w:pPr>
        <w:spacing w:before="78" w:line="359" w:lineRule="auto"/>
        <w:ind w:left="31" w:right="65" w:firstLine="479"/>
        <w:jc w:val="both"/>
        <w:rPr>
          <w:rFonts w:ascii="仿宋" w:hAnsi="仿宋" w:eastAsia="仿宋" w:cs="仿宋"/>
          <w:sz w:val="24"/>
          <w:szCs w:val="24"/>
        </w:rPr>
      </w:pPr>
      <w:r>
        <w:rPr>
          <w:rFonts w:ascii="仿宋" w:hAnsi="仿宋" w:eastAsia="仿宋" w:cs="仿宋"/>
          <w:spacing w:val="-4"/>
          <w:sz w:val="24"/>
          <w:szCs w:val="24"/>
        </w:rPr>
        <w:t>项目施工期和运营期都会对周围的自然环境、生态环境、社会经济环境和公</w:t>
      </w:r>
      <w:r>
        <w:rPr>
          <w:rFonts w:ascii="仿宋" w:hAnsi="仿宋" w:eastAsia="仿宋" w:cs="仿宋"/>
          <w:spacing w:val="-3"/>
          <w:sz w:val="24"/>
          <w:szCs w:val="24"/>
        </w:rPr>
        <w:t>众生活质量带来一定的影响，为了及时采取有效的环境保护</w:t>
      </w:r>
      <w:r>
        <w:rPr>
          <w:rFonts w:ascii="仿宋" w:hAnsi="仿宋" w:eastAsia="仿宋" w:cs="仿宋"/>
          <w:spacing w:val="-4"/>
          <w:sz w:val="24"/>
          <w:szCs w:val="24"/>
        </w:rPr>
        <w:t>措施减轻或消除不利</w:t>
      </w:r>
      <w:r>
        <w:rPr>
          <w:rFonts w:ascii="仿宋" w:hAnsi="仿宋" w:eastAsia="仿宋" w:cs="仿宋"/>
          <w:spacing w:val="-3"/>
          <w:sz w:val="24"/>
          <w:szCs w:val="24"/>
        </w:rPr>
        <w:t>影响，需要在工程施工建设期和营运期制定必要的环境保护</w:t>
      </w:r>
      <w:r>
        <w:rPr>
          <w:rFonts w:ascii="仿宋" w:hAnsi="仿宋" w:eastAsia="仿宋" w:cs="仿宋"/>
          <w:spacing w:val="-4"/>
          <w:sz w:val="24"/>
          <w:szCs w:val="24"/>
        </w:rPr>
        <w:t>管理与监测计划。制</w:t>
      </w:r>
      <w:r>
        <w:rPr>
          <w:rFonts w:ascii="仿宋" w:hAnsi="仿宋" w:eastAsia="仿宋" w:cs="仿宋"/>
          <w:spacing w:val="-3"/>
          <w:sz w:val="24"/>
          <w:szCs w:val="24"/>
        </w:rPr>
        <w:t>定环境监测计划的目的是为了监督各项措施的落实，根据监</w:t>
      </w:r>
      <w:r>
        <w:rPr>
          <w:rFonts w:ascii="仿宋" w:hAnsi="仿宋" w:eastAsia="仿宋" w:cs="仿宋"/>
          <w:spacing w:val="-4"/>
          <w:sz w:val="24"/>
          <w:szCs w:val="24"/>
        </w:rPr>
        <w:t>测结果适时调整环境</w:t>
      </w:r>
      <w:r>
        <w:rPr>
          <w:rFonts w:ascii="仿宋" w:hAnsi="仿宋" w:eastAsia="仿宋" w:cs="仿宋"/>
          <w:spacing w:val="-3"/>
          <w:sz w:val="24"/>
          <w:szCs w:val="24"/>
        </w:rPr>
        <w:t>保护行动计划，为环保措施的实施时间和实施方案提供依据</w:t>
      </w:r>
      <w:r>
        <w:rPr>
          <w:rFonts w:ascii="仿宋" w:hAnsi="仿宋" w:eastAsia="仿宋" w:cs="仿宋"/>
          <w:spacing w:val="-4"/>
          <w:sz w:val="24"/>
          <w:szCs w:val="24"/>
        </w:rPr>
        <w:t>，制定的原则是根据</w:t>
      </w:r>
      <w:r>
        <w:rPr>
          <w:rFonts w:ascii="仿宋" w:hAnsi="仿宋" w:eastAsia="仿宋" w:cs="仿宋"/>
          <w:spacing w:val="-2"/>
          <w:sz w:val="24"/>
          <w:szCs w:val="24"/>
        </w:rPr>
        <w:t>预期的各个时间的主要环境影响。</w:t>
      </w:r>
    </w:p>
    <w:p w14:paraId="778FF370">
      <w:pPr>
        <w:spacing w:before="3" w:line="358" w:lineRule="auto"/>
        <w:ind w:left="32" w:firstLine="477"/>
        <w:jc w:val="both"/>
        <w:rPr>
          <w:rFonts w:ascii="仿宋" w:hAnsi="仿宋" w:eastAsia="仿宋" w:cs="仿宋"/>
          <w:sz w:val="24"/>
          <w:szCs w:val="24"/>
        </w:rPr>
      </w:pPr>
      <w:r>
        <w:rPr>
          <w:rFonts w:ascii="仿宋" w:hAnsi="仿宋" w:eastAsia="仿宋" w:cs="仿宋"/>
          <w:spacing w:val="-3"/>
          <w:sz w:val="24"/>
          <w:szCs w:val="24"/>
        </w:rPr>
        <w:t>施工建设期由道路建设相关部门统一负责管</w:t>
      </w:r>
      <w:r>
        <w:rPr>
          <w:rFonts w:ascii="仿宋" w:hAnsi="仿宋" w:eastAsia="仿宋" w:cs="仿宋"/>
          <w:spacing w:val="-4"/>
          <w:sz w:val="24"/>
          <w:szCs w:val="24"/>
        </w:rPr>
        <w:t>理，道路运营期管理市政部门统</w:t>
      </w:r>
      <w:r>
        <w:rPr>
          <w:rFonts w:ascii="仿宋" w:hAnsi="仿宋" w:eastAsia="仿宋" w:cs="仿宋"/>
          <w:spacing w:val="-8"/>
          <w:sz w:val="24"/>
          <w:szCs w:val="24"/>
        </w:rPr>
        <w:t>一负责管理。在施工和运营期，管理机构有义务做好本项目的环境保护管理工</w:t>
      </w:r>
      <w:r>
        <w:rPr>
          <w:rFonts w:ascii="仿宋" w:hAnsi="仿宋" w:eastAsia="仿宋" w:cs="仿宋"/>
          <w:spacing w:val="-9"/>
          <w:sz w:val="24"/>
          <w:szCs w:val="24"/>
        </w:rPr>
        <w:t>作，</w:t>
      </w:r>
      <w:r>
        <w:rPr>
          <w:rFonts w:ascii="仿宋" w:hAnsi="仿宋" w:eastAsia="仿宋" w:cs="仿宋"/>
          <w:spacing w:val="-3"/>
          <w:sz w:val="24"/>
          <w:szCs w:val="24"/>
        </w:rPr>
        <w:t>其主要职责如下:</w:t>
      </w:r>
    </w:p>
    <w:p w14:paraId="7C686419">
      <w:pPr>
        <w:spacing w:before="1" w:line="220" w:lineRule="auto"/>
        <w:ind w:left="502"/>
        <w:rPr>
          <w:rFonts w:ascii="仿宋" w:hAnsi="仿宋" w:eastAsia="仿宋" w:cs="仿宋"/>
          <w:sz w:val="24"/>
          <w:szCs w:val="24"/>
        </w:rPr>
      </w:pPr>
      <w:r>
        <w:rPr>
          <w:rFonts w:ascii="仿宋" w:hAnsi="仿宋" w:eastAsia="仿宋" w:cs="仿宋"/>
          <w:spacing w:val="-1"/>
          <w:sz w:val="24"/>
          <w:szCs w:val="24"/>
        </w:rPr>
        <w:t>①贯彻执行国家及省市各项环境保护方针、政策和法规。</w:t>
      </w:r>
    </w:p>
    <w:p w14:paraId="2DABAD51">
      <w:pPr>
        <w:spacing w:before="181" w:line="359" w:lineRule="auto"/>
        <w:ind w:left="44" w:right="89" w:firstLine="457"/>
        <w:rPr>
          <w:rFonts w:ascii="仿宋" w:hAnsi="仿宋" w:eastAsia="仿宋" w:cs="仿宋"/>
          <w:sz w:val="24"/>
          <w:szCs w:val="24"/>
        </w:rPr>
      </w:pPr>
      <w:r>
        <w:rPr>
          <w:rFonts w:ascii="仿宋" w:hAnsi="仿宋" w:eastAsia="仿宋" w:cs="仿宋"/>
          <w:sz w:val="24"/>
          <w:szCs w:val="24"/>
        </w:rPr>
        <w:t>②负责监督环境实施计划和编写,负责监督本报告中所</w:t>
      </w:r>
      <w:r>
        <w:rPr>
          <w:rFonts w:ascii="仿宋" w:hAnsi="仿宋" w:eastAsia="仿宋" w:cs="仿宋"/>
          <w:spacing w:val="-1"/>
          <w:sz w:val="24"/>
          <w:szCs w:val="24"/>
        </w:rPr>
        <w:t>提到的各项环保措施</w:t>
      </w:r>
      <w:r>
        <w:rPr>
          <w:rFonts w:ascii="仿宋" w:hAnsi="仿宋" w:eastAsia="仿宋" w:cs="仿宋"/>
          <w:spacing w:val="-8"/>
          <w:sz w:val="24"/>
          <w:szCs w:val="24"/>
        </w:rPr>
        <w:t>的落实。</w:t>
      </w:r>
    </w:p>
    <w:p w14:paraId="7E5E3D14">
      <w:pPr>
        <w:spacing w:line="220" w:lineRule="auto"/>
        <w:ind w:left="501"/>
        <w:rPr>
          <w:rFonts w:ascii="仿宋" w:hAnsi="仿宋" w:eastAsia="仿宋" w:cs="仿宋"/>
          <w:sz w:val="24"/>
          <w:szCs w:val="24"/>
        </w:rPr>
      </w:pPr>
      <w:r>
        <w:rPr>
          <w:rFonts w:ascii="仿宋" w:hAnsi="仿宋" w:eastAsia="仿宋" w:cs="仿宋"/>
          <w:spacing w:val="-1"/>
          <w:sz w:val="24"/>
          <w:szCs w:val="24"/>
        </w:rPr>
        <w:t>③制定污染事故处置计划，并对事故进行调查处理。</w:t>
      </w:r>
    </w:p>
    <w:p w14:paraId="413F837A">
      <w:pPr>
        <w:spacing w:before="181" w:line="360" w:lineRule="auto"/>
        <w:ind w:left="36" w:right="65" w:firstLine="472"/>
        <w:jc w:val="both"/>
        <w:rPr>
          <w:rFonts w:ascii="仿宋" w:hAnsi="仿宋" w:eastAsia="仿宋" w:cs="仿宋"/>
          <w:sz w:val="24"/>
          <w:szCs w:val="24"/>
        </w:rPr>
      </w:pPr>
      <w:r>
        <w:rPr>
          <w:rFonts w:ascii="仿宋" w:hAnsi="仿宋" w:eastAsia="仿宋" w:cs="仿宋"/>
          <w:spacing w:val="-3"/>
          <w:sz w:val="24"/>
          <w:szCs w:val="24"/>
        </w:rPr>
        <w:t>施工期环境监测的重点是声环境，运营期环</w:t>
      </w:r>
      <w:r>
        <w:rPr>
          <w:rFonts w:ascii="仿宋" w:hAnsi="仿宋" w:eastAsia="仿宋" w:cs="仿宋"/>
          <w:spacing w:val="-4"/>
          <w:sz w:val="24"/>
          <w:szCs w:val="24"/>
        </w:rPr>
        <w:t>境监测的重点是生态环境。常规</w:t>
      </w:r>
      <w:r>
        <w:rPr>
          <w:rFonts w:ascii="仿宋" w:hAnsi="仿宋" w:eastAsia="仿宋" w:cs="仿宋"/>
          <w:spacing w:val="-3"/>
          <w:sz w:val="24"/>
          <w:szCs w:val="24"/>
        </w:rPr>
        <w:t>监测要求定点和不定点、定时和不定时抽检相</w:t>
      </w:r>
      <w:r>
        <w:rPr>
          <w:rFonts w:ascii="仿宋" w:hAnsi="仿宋" w:eastAsia="仿宋" w:cs="仿宋"/>
          <w:spacing w:val="-4"/>
          <w:sz w:val="24"/>
          <w:szCs w:val="24"/>
        </w:rPr>
        <w:t>结合的方式进行。下面根据项目可</w:t>
      </w:r>
      <w:r>
        <w:rPr>
          <w:rFonts w:ascii="仿宋" w:hAnsi="仿宋" w:eastAsia="仿宋" w:cs="仿宋"/>
          <w:spacing w:val="-3"/>
          <w:sz w:val="24"/>
          <w:szCs w:val="24"/>
        </w:rPr>
        <w:t>能造成的环境影响和周围环境的要求，提出项</w:t>
      </w:r>
      <w:r>
        <w:rPr>
          <w:rFonts w:ascii="仿宋" w:hAnsi="仿宋" w:eastAsia="仿宋" w:cs="仿宋"/>
          <w:spacing w:val="-4"/>
          <w:sz w:val="24"/>
          <w:szCs w:val="24"/>
        </w:rPr>
        <w:t>目建设和运营过程中的环境管理要</w:t>
      </w:r>
      <w:r>
        <w:rPr>
          <w:rFonts w:ascii="仿宋" w:hAnsi="仿宋" w:eastAsia="仿宋" w:cs="仿宋"/>
          <w:spacing w:val="-3"/>
          <w:sz w:val="24"/>
          <w:szCs w:val="24"/>
        </w:rPr>
        <w:t>求，环境管理计划见表</w:t>
      </w:r>
      <w:r>
        <w:rPr>
          <w:rFonts w:ascii="仿宋" w:hAnsi="仿宋" w:eastAsia="仿宋" w:cs="仿宋"/>
          <w:spacing w:val="-36"/>
          <w:sz w:val="24"/>
          <w:szCs w:val="24"/>
        </w:rPr>
        <w:t xml:space="preserve"> </w:t>
      </w:r>
      <w:r>
        <w:rPr>
          <w:rFonts w:ascii="仿宋" w:hAnsi="仿宋" w:eastAsia="仿宋" w:cs="仿宋"/>
          <w:spacing w:val="-3"/>
          <w:sz w:val="24"/>
          <w:szCs w:val="24"/>
        </w:rPr>
        <w:t>6.1-1。</w:t>
      </w:r>
    </w:p>
    <w:p w14:paraId="66E740DE">
      <w:pPr>
        <w:spacing w:line="360" w:lineRule="auto"/>
        <w:rPr>
          <w:rFonts w:ascii="仿宋" w:hAnsi="仿宋" w:eastAsia="仿宋" w:cs="仿宋"/>
          <w:sz w:val="24"/>
          <w:szCs w:val="24"/>
        </w:rPr>
        <w:sectPr>
          <w:footerReference r:id="rId191" w:type="default"/>
          <w:pgSz w:w="11905" w:h="16840"/>
          <w:pgMar w:top="400" w:right="1735" w:bottom="1095" w:left="1785" w:header="0" w:footer="936" w:gutter="0"/>
          <w:cols w:space="720" w:num="1"/>
        </w:sectPr>
      </w:pPr>
    </w:p>
    <w:p w14:paraId="52A083D6">
      <w:pPr>
        <w:pStyle w:val="2"/>
        <w:spacing w:line="247" w:lineRule="auto"/>
        <w:rPr>
          <w:sz w:val="21"/>
        </w:rPr>
      </w:pPr>
    </w:p>
    <w:p w14:paraId="23DC23E6">
      <w:pPr>
        <w:pStyle w:val="2"/>
        <w:spacing w:line="248" w:lineRule="auto"/>
        <w:rPr>
          <w:sz w:val="21"/>
        </w:rPr>
      </w:pPr>
    </w:p>
    <w:p w14:paraId="4E332D0A">
      <w:pPr>
        <w:pStyle w:val="2"/>
        <w:spacing w:line="248" w:lineRule="auto"/>
        <w:rPr>
          <w:sz w:val="21"/>
        </w:rPr>
      </w:pPr>
    </w:p>
    <w:p w14:paraId="1B99CDEC">
      <w:pPr>
        <w:pStyle w:val="2"/>
        <w:spacing w:line="248" w:lineRule="auto"/>
        <w:rPr>
          <w:sz w:val="21"/>
        </w:rPr>
      </w:pPr>
    </w:p>
    <w:p w14:paraId="6E1ADDE6">
      <w:pPr>
        <w:spacing w:before="78" w:line="222" w:lineRule="auto"/>
        <w:ind w:left="2285"/>
        <w:rPr>
          <w:rFonts w:ascii="仿宋" w:hAnsi="仿宋" w:eastAsia="仿宋" w:cs="仿宋"/>
          <w:sz w:val="24"/>
          <w:szCs w:val="24"/>
        </w:rPr>
      </w:pPr>
      <w:r>
        <w:rPr>
          <w:rFonts w:ascii="仿宋" w:hAnsi="仿宋" w:eastAsia="仿宋" w:cs="仿宋"/>
          <w:b/>
          <w:bCs/>
          <w:spacing w:val="-3"/>
          <w:sz w:val="24"/>
          <w:szCs w:val="24"/>
        </w:rPr>
        <w:t>表</w:t>
      </w:r>
      <w:r>
        <w:rPr>
          <w:rFonts w:ascii="仿宋" w:hAnsi="仿宋" w:eastAsia="仿宋" w:cs="仿宋"/>
          <w:spacing w:val="-48"/>
          <w:sz w:val="24"/>
          <w:szCs w:val="24"/>
        </w:rPr>
        <w:t xml:space="preserve"> </w:t>
      </w:r>
      <w:r>
        <w:rPr>
          <w:rFonts w:ascii="仿宋" w:hAnsi="仿宋" w:eastAsia="仿宋" w:cs="仿宋"/>
          <w:b/>
          <w:bCs/>
          <w:spacing w:val="-3"/>
          <w:sz w:val="24"/>
          <w:szCs w:val="24"/>
        </w:rPr>
        <w:t>6.1-1</w:t>
      </w:r>
      <w:r>
        <w:rPr>
          <w:rFonts w:ascii="仿宋" w:hAnsi="仿宋" w:eastAsia="仿宋" w:cs="仿宋"/>
          <w:spacing w:val="-3"/>
          <w:sz w:val="24"/>
          <w:szCs w:val="24"/>
        </w:rPr>
        <w:t xml:space="preserve">  </w:t>
      </w:r>
      <w:r>
        <w:rPr>
          <w:rFonts w:ascii="仿宋" w:hAnsi="仿宋" w:eastAsia="仿宋" w:cs="仿宋"/>
          <w:b/>
          <w:bCs/>
          <w:spacing w:val="-3"/>
          <w:sz w:val="24"/>
          <w:szCs w:val="24"/>
        </w:rPr>
        <w:t>项目环境管理计划一览表</w:t>
      </w:r>
    </w:p>
    <w:p w14:paraId="0EE36F22">
      <w:pPr>
        <w:pStyle w:val="2"/>
        <w:spacing w:line="244" w:lineRule="auto"/>
        <w:rPr>
          <w:sz w:val="21"/>
        </w:rPr>
      </w:pPr>
      <w:r>
        <w:pict>
          <v:shape id="_x0000_s1124" o:spid="_x0000_s1124" o:spt="202" type="#_x0000_t202" style="position:absolute;left:0pt;margin-left:-1.35pt;margin-top:9.1pt;height:26.3pt;width:13.55pt;z-index:251693056;mso-width-relative:page;mso-height-relative:page;" filled="f" stroked="f" coordsize="21600,21600">
            <v:path/>
            <v:fill on="f" focussize="0,0"/>
            <v:stroke on="f"/>
            <v:imagedata o:title=""/>
            <o:lock v:ext="edit" aspectratio="f"/>
            <v:textbox inset="0mm,0mm,0mm,0mm" style="layout-flow:vertical-ideographic;">
              <w:txbxContent>
                <w:p w14:paraId="6BC8C85D">
                  <w:pPr>
                    <w:spacing w:before="19" w:line="207" w:lineRule="auto"/>
                    <w:ind w:left="20"/>
                    <w:rPr>
                      <w:rFonts w:ascii="仿宋" w:hAnsi="仿宋" w:eastAsia="仿宋" w:cs="仿宋"/>
                      <w:sz w:val="20"/>
                      <w:szCs w:val="20"/>
                    </w:rPr>
                  </w:pPr>
                  <w:r>
                    <w:rPr>
                      <w:rFonts w:ascii="仿宋" w:hAnsi="仿宋" w:eastAsia="仿宋" w:cs="仿宋"/>
                      <w:spacing w:val="13"/>
                      <w:sz w:val="20"/>
                      <w:szCs w:val="20"/>
                    </w:rPr>
                    <w:t>阶</w:t>
                  </w:r>
                  <w:r>
                    <w:rPr>
                      <w:rFonts w:ascii="仿宋" w:hAnsi="仿宋" w:eastAsia="仿宋" w:cs="仿宋"/>
                      <w:spacing w:val="-42"/>
                      <w:sz w:val="20"/>
                      <w:szCs w:val="20"/>
                    </w:rPr>
                    <w:t xml:space="preserve"> </w:t>
                  </w:r>
                  <w:r>
                    <w:rPr>
                      <w:rFonts w:ascii="仿宋" w:hAnsi="仿宋" w:eastAsia="仿宋" w:cs="仿宋"/>
                      <w:spacing w:val="13"/>
                      <w:sz w:val="20"/>
                      <w:szCs w:val="20"/>
                    </w:rPr>
                    <w:t>段</w:t>
                  </w:r>
                </w:p>
              </w:txbxContent>
            </v:textbox>
          </v:shape>
        </w:pict>
      </w:r>
      <w:r>
        <w:pict>
          <v:shape id="_x0000_s1125" o:spid="_x0000_s1125" o:spt="202" type="#_x0000_t202" style="position:absolute;left:0pt;margin-left:-0.25pt;margin-top:6.1pt;height:570.25pt;width:417.25pt;z-index:251695104;mso-width-relative:page;mso-height-relative:page;" filled="f" stroked="f" coordsize="21600,21600">
            <v:path/>
            <v:fill on="f" focussize="0,0"/>
            <v:stroke on="f"/>
            <v:imagedata o:title=""/>
            <o:lock v:ext="edit" aspectratio="f"/>
            <v:textbox inset="0mm,0mm,0mm,0mm">
              <w:txbxContent>
                <w:p w14:paraId="66BEC6B9">
                  <w:pPr>
                    <w:spacing w:line="20" w:lineRule="exact"/>
                  </w:pPr>
                </w:p>
                <w:tbl>
                  <w:tblPr>
                    <w:tblStyle w:val="5"/>
                    <w:tblW w:w="8302" w:type="dxa"/>
                    <w:tblInd w:w="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9"/>
                    <w:gridCol w:w="6674"/>
                    <w:gridCol w:w="649"/>
                  </w:tblGrid>
                  <w:tr w14:paraId="53A296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979" w:type="dxa"/>
                        <w:tcBorders>
                          <w:top w:val="single" w:color="000000" w:sz="10" w:space="0"/>
                        </w:tcBorders>
                        <w:vAlign w:val="top"/>
                      </w:tcPr>
                      <w:p w14:paraId="561A3BC9">
                        <w:pPr>
                          <w:spacing w:before="35" w:line="228" w:lineRule="auto"/>
                          <w:ind w:left="280"/>
                          <w:rPr>
                            <w:rFonts w:ascii="仿宋" w:hAnsi="仿宋" w:eastAsia="仿宋" w:cs="仿宋"/>
                            <w:sz w:val="20"/>
                            <w:szCs w:val="20"/>
                          </w:rPr>
                        </w:pPr>
                        <w:r>
                          <w:rPr>
                            <w:rFonts w:ascii="仿宋" w:hAnsi="仿宋" w:eastAsia="仿宋" w:cs="仿宋"/>
                            <w:spacing w:val="4"/>
                            <w:sz w:val="20"/>
                            <w:szCs w:val="20"/>
                          </w:rPr>
                          <w:t>潜在负</w:t>
                        </w:r>
                      </w:p>
                      <w:p w14:paraId="668EBC06">
                        <w:pPr>
                          <w:spacing w:before="23" w:line="219" w:lineRule="auto"/>
                          <w:ind w:left="281"/>
                          <w:rPr>
                            <w:rFonts w:ascii="仿宋" w:hAnsi="仿宋" w:eastAsia="仿宋" w:cs="仿宋"/>
                            <w:sz w:val="20"/>
                            <w:szCs w:val="20"/>
                          </w:rPr>
                        </w:pPr>
                        <w:r>
                          <w:rPr>
                            <w:rFonts w:ascii="仿宋" w:hAnsi="仿宋" w:eastAsia="仿宋" w:cs="仿宋"/>
                            <w:spacing w:val="3"/>
                            <w:sz w:val="20"/>
                            <w:szCs w:val="20"/>
                          </w:rPr>
                          <w:t>面影响</w:t>
                        </w:r>
                      </w:p>
                    </w:tc>
                    <w:tc>
                      <w:tcPr>
                        <w:tcW w:w="6674" w:type="dxa"/>
                        <w:tcBorders>
                          <w:top w:val="single" w:color="000000" w:sz="10" w:space="0"/>
                        </w:tcBorders>
                        <w:vAlign w:val="top"/>
                      </w:tcPr>
                      <w:p w14:paraId="18D31CAA">
                        <w:pPr>
                          <w:spacing w:before="168" w:line="232" w:lineRule="auto"/>
                          <w:ind w:left="2929"/>
                          <w:rPr>
                            <w:rFonts w:ascii="仿宋" w:hAnsi="仿宋" w:eastAsia="仿宋" w:cs="仿宋"/>
                            <w:sz w:val="20"/>
                            <w:szCs w:val="20"/>
                          </w:rPr>
                        </w:pPr>
                        <w:r>
                          <w:rPr>
                            <w:rFonts w:ascii="仿宋" w:hAnsi="仿宋" w:eastAsia="仿宋" w:cs="仿宋"/>
                            <w:spacing w:val="5"/>
                            <w:sz w:val="20"/>
                            <w:szCs w:val="20"/>
                          </w:rPr>
                          <w:t>减缓措施</w:t>
                        </w:r>
                      </w:p>
                    </w:tc>
                    <w:tc>
                      <w:tcPr>
                        <w:tcW w:w="649" w:type="dxa"/>
                        <w:tcBorders>
                          <w:top w:val="single" w:color="000000" w:sz="10" w:space="0"/>
                          <w:right w:val="nil"/>
                        </w:tcBorders>
                        <w:vAlign w:val="top"/>
                      </w:tcPr>
                      <w:p w14:paraId="5CC15782">
                        <w:pPr>
                          <w:spacing w:before="36" w:line="234" w:lineRule="auto"/>
                          <w:ind w:left="231" w:right="7" w:hanging="202"/>
                          <w:rPr>
                            <w:rFonts w:ascii="仿宋" w:hAnsi="仿宋" w:eastAsia="仿宋" w:cs="仿宋"/>
                            <w:sz w:val="20"/>
                            <w:szCs w:val="20"/>
                          </w:rPr>
                        </w:pPr>
                        <w:r>
                          <w:rPr>
                            <w:rFonts w:ascii="仿宋" w:hAnsi="仿宋" w:eastAsia="仿宋" w:cs="仿宋"/>
                            <w:spacing w:val="3"/>
                            <w:sz w:val="20"/>
                            <w:szCs w:val="20"/>
                          </w:rPr>
                          <w:t>负责机</w:t>
                        </w:r>
                        <w:r>
                          <w:rPr>
                            <w:rFonts w:ascii="仿宋" w:hAnsi="仿宋" w:eastAsia="仿宋" w:cs="仿宋"/>
                            <w:sz w:val="20"/>
                            <w:szCs w:val="20"/>
                          </w:rPr>
                          <w:t>构</w:t>
                        </w:r>
                      </w:p>
                    </w:tc>
                  </w:tr>
                  <w:tr w14:paraId="667FBB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1" w:hRule="atLeast"/>
                    </w:trPr>
                    <w:tc>
                      <w:tcPr>
                        <w:tcW w:w="979" w:type="dxa"/>
                        <w:vAlign w:val="top"/>
                      </w:tcPr>
                      <w:p w14:paraId="5A182D84">
                        <w:pPr>
                          <w:spacing w:before="304" w:line="252" w:lineRule="auto"/>
                          <w:ind w:left="495" w:right="81" w:hanging="219"/>
                          <w:rPr>
                            <w:rFonts w:ascii="仿宋" w:hAnsi="仿宋" w:eastAsia="仿宋" w:cs="仿宋"/>
                            <w:sz w:val="20"/>
                            <w:szCs w:val="20"/>
                          </w:rPr>
                        </w:pPr>
                        <w:r>
                          <w:rPr>
                            <w:rFonts w:ascii="仿宋" w:hAnsi="仿宋" w:eastAsia="仿宋" w:cs="仿宋"/>
                            <w:spacing w:val="5"/>
                            <w:sz w:val="20"/>
                            <w:szCs w:val="20"/>
                          </w:rPr>
                          <w:t>施工废</w:t>
                        </w:r>
                        <w:r>
                          <w:rPr>
                            <w:rFonts w:ascii="仿宋" w:hAnsi="仿宋" w:eastAsia="仿宋" w:cs="仿宋"/>
                            <w:sz w:val="20"/>
                            <w:szCs w:val="20"/>
                          </w:rPr>
                          <w:t>气</w:t>
                        </w:r>
                      </w:p>
                    </w:tc>
                    <w:tc>
                      <w:tcPr>
                        <w:tcW w:w="6674" w:type="dxa"/>
                        <w:vAlign w:val="top"/>
                      </w:tcPr>
                      <w:p w14:paraId="77E6253B">
                        <w:pPr>
                          <w:spacing w:before="31" w:line="229" w:lineRule="auto"/>
                          <w:ind w:left="13"/>
                          <w:rPr>
                            <w:rFonts w:ascii="仿宋" w:hAnsi="仿宋" w:eastAsia="仿宋" w:cs="仿宋"/>
                            <w:sz w:val="20"/>
                            <w:szCs w:val="20"/>
                          </w:rPr>
                        </w:pPr>
                        <w:r>
                          <w:rPr>
                            <w:rFonts w:ascii="仿宋" w:hAnsi="仿宋" w:eastAsia="仿宋" w:cs="仿宋"/>
                            <w:spacing w:val="8"/>
                            <w:sz w:val="20"/>
                            <w:szCs w:val="20"/>
                          </w:rPr>
                          <w:t>加强施工管理，运输易起尘的材料应加盖苫布覆盖，保持施</w:t>
                        </w:r>
                        <w:r>
                          <w:rPr>
                            <w:rFonts w:ascii="仿宋" w:hAnsi="仿宋" w:eastAsia="仿宋" w:cs="仿宋"/>
                            <w:spacing w:val="7"/>
                            <w:sz w:val="20"/>
                            <w:szCs w:val="20"/>
                          </w:rPr>
                          <w:t>工运输道路的</w:t>
                        </w:r>
                      </w:p>
                      <w:p w14:paraId="27C2DFFE">
                        <w:pPr>
                          <w:spacing w:before="25" w:line="228" w:lineRule="auto"/>
                          <w:ind w:left="16"/>
                          <w:rPr>
                            <w:rFonts w:ascii="仿宋" w:hAnsi="仿宋" w:eastAsia="仿宋" w:cs="仿宋"/>
                            <w:sz w:val="20"/>
                            <w:szCs w:val="20"/>
                          </w:rPr>
                        </w:pPr>
                        <w:r>
                          <w:rPr>
                            <w:rFonts w:ascii="仿宋" w:hAnsi="仿宋" w:eastAsia="仿宋" w:cs="仿宋"/>
                            <w:spacing w:val="8"/>
                            <w:sz w:val="20"/>
                            <w:szCs w:val="20"/>
                          </w:rPr>
                          <w:t>清洁，定期洒水降尘，避免在大风季节进行扬尘较大</w:t>
                        </w:r>
                        <w:r>
                          <w:rPr>
                            <w:rFonts w:ascii="仿宋" w:hAnsi="仿宋" w:eastAsia="仿宋" w:cs="仿宋"/>
                            <w:spacing w:val="7"/>
                            <w:sz w:val="20"/>
                            <w:szCs w:val="20"/>
                          </w:rPr>
                          <w:t>的施工工序。严禁尾</w:t>
                        </w:r>
                      </w:p>
                      <w:p w14:paraId="0A7AFF4D">
                        <w:pPr>
                          <w:spacing w:before="24" w:line="228" w:lineRule="auto"/>
                          <w:ind w:left="21"/>
                          <w:rPr>
                            <w:rFonts w:ascii="仿宋" w:hAnsi="仿宋" w:eastAsia="仿宋" w:cs="仿宋"/>
                            <w:sz w:val="20"/>
                            <w:szCs w:val="20"/>
                          </w:rPr>
                        </w:pPr>
                        <w:r>
                          <w:rPr>
                            <w:rFonts w:ascii="仿宋" w:hAnsi="仿宋" w:eastAsia="仿宋" w:cs="仿宋"/>
                            <w:spacing w:val="7"/>
                            <w:sz w:val="20"/>
                            <w:szCs w:val="20"/>
                          </w:rPr>
                          <w:t>气超标车辆上路，加强对道路的养护；禁止车况差、超载、装卸物品遮盖</w:t>
                        </w:r>
                      </w:p>
                      <w:p w14:paraId="5D7460B8">
                        <w:pPr>
                          <w:spacing w:before="27" w:line="213" w:lineRule="auto"/>
                          <w:ind w:left="937"/>
                          <w:rPr>
                            <w:rFonts w:ascii="仿宋" w:hAnsi="仿宋" w:eastAsia="仿宋" w:cs="仿宋"/>
                            <w:sz w:val="20"/>
                            <w:szCs w:val="20"/>
                          </w:rPr>
                        </w:pPr>
                        <w:r>
                          <w:rPr>
                            <w:rFonts w:ascii="仿宋" w:hAnsi="仿宋" w:eastAsia="仿宋" w:cs="仿宋"/>
                            <w:spacing w:val="8"/>
                            <w:sz w:val="20"/>
                            <w:szCs w:val="20"/>
                          </w:rPr>
                          <w:t>不严容易洒落的车辆上路，减少车辆滞速怠速状态。</w:t>
                        </w:r>
                      </w:p>
                    </w:tc>
                    <w:tc>
                      <w:tcPr>
                        <w:tcW w:w="649" w:type="dxa"/>
                        <w:vMerge w:val="restart"/>
                        <w:tcBorders>
                          <w:bottom w:val="nil"/>
                          <w:right w:val="nil"/>
                        </w:tcBorders>
                        <w:vAlign w:val="top"/>
                      </w:tcPr>
                      <w:p w14:paraId="4773CA81">
                        <w:pPr>
                          <w:spacing w:line="246" w:lineRule="auto"/>
                          <w:rPr>
                            <w:rFonts w:ascii="Arial"/>
                            <w:sz w:val="21"/>
                          </w:rPr>
                        </w:pPr>
                      </w:p>
                      <w:p w14:paraId="13B0D414">
                        <w:pPr>
                          <w:spacing w:line="246" w:lineRule="auto"/>
                          <w:rPr>
                            <w:rFonts w:ascii="Arial"/>
                            <w:sz w:val="21"/>
                          </w:rPr>
                        </w:pPr>
                      </w:p>
                      <w:p w14:paraId="7658444B">
                        <w:pPr>
                          <w:spacing w:line="246" w:lineRule="auto"/>
                          <w:rPr>
                            <w:rFonts w:ascii="Arial"/>
                            <w:sz w:val="21"/>
                          </w:rPr>
                        </w:pPr>
                      </w:p>
                      <w:p w14:paraId="6AF240FD">
                        <w:pPr>
                          <w:spacing w:line="246" w:lineRule="auto"/>
                          <w:rPr>
                            <w:rFonts w:ascii="Arial"/>
                            <w:sz w:val="21"/>
                          </w:rPr>
                        </w:pPr>
                      </w:p>
                      <w:p w14:paraId="52536E1F">
                        <w:pPr>
                          <w:spacing w:line="246" w:lineRule="auto"/>
                          <w:rPr>
                            <w:rFonts w:ascii="Arial"/>
                            <w:sz w:val="21"/>
                          </w:rPr>
                        </w:pPr>
                      </w:p>
                      <w:p w14:paraId="0FCAD2F7">
                        <w:pPr>
                          <w:spacing w:line="246" w:lineRule="auto"/>
                          <w:rPr>
                            <w:rFonts w:ascii="Arial"/>
                            <w:sz w:val="21"/>
                          </w:rPr>
                        </w:pPr>
                      </w:p>
                      <w:p w14:paraId="2F7170BD">
                        <w:pPr>
                          <w:spacing w:line="246" w:lineRule="auto"/>
                          <w:rPr>
                            <w:rFonts w:ascii="Arial"/>
                            <w:sz w:val="21"/>
                          </w:rPr>
                        </w:pPr>
                      </w:p>
                      <w:p w14:paraId="77FA7904">
                        <w:pPr>
                          <w:spacing w:line="247" w:lineRule="auto"/>
                          <w:rPr>
                            <w:rFonts w:ascii="Arial"/>
                            <w:sz w:val="21"/>
                          </w:rPr>
                        </w:pPr>
                      </w:p>
                      <w:p w14:paraId="300090FE">
                        <w:pPr>
                          <w:spacing w:line="247" w:lineRule="auto"/>
                          <w:rPr>
                            <w:rFonts w:ascii="Arial"/>
                            <w:sz w:val="21"/>
                          </w:rPr>
                        </w:pPr>
                      </w:p>
                      <w:p w14:paraId="33678BCC">
                        <w:pPr>
                          <w:spacing w:line="247" w:lineRule="auto"/>
                          <w:rPr>
                            <w:rFonts w:ascii="Arial"/>
                            <w:sz w:val="21"/>
                          </w:rPr>
                        </w:pPr>
                      </w:p>
                      <w:p w14:paraId="5C9F4F0A">
                        <w:pPr>
                          <w:spacing w:line="247" w:lineRule="auto"/>
                          <w:rPr>
                            <w:rFonts w:ascii="Arial"/>
                            <w:sz w:val="21"/>
                          </w:rPr>
                        </w:pPr>
                      </w:p>
                      <w:p w14:paraId="5D55C0E2">
                        <w:pPr>
                          <w:spacing w:before="65" w:line="250" w:lineRule="auto"/>
                          <w:ind w:left="233" w:right="7" w:hanging="210"/>
                          <w:rPr>
                            <w:rFonts w:ascii="仿宋" w:hAnsi="仿宋" w:eastAsia="仿宋" w:cs="仿宋"/>
                            <w:sz w:val="20"/>
                            <w:szCs w:val="20"/>
                          </w:rPr>
                        </w:pPr>
                        <w:r>
                          <w:rPr>
                            <w:rFonts w:ascii="仿宋" w:hAnsi="仿宋" w:eastAsia="仿宋" w:cs="仿宋"/>
                            <w:spacing w:val="5"/>
                            <w:sz w:val="20"/>
                            <w:szCs w:val="20"/>
                          </w:rPr>
                          <w:t>施工单</w:t>
                        </w:r>
                        <w:r>
                          <w:rPr>
                            <w:rFonts w:ascii="仿宋" w:hAnsi="仿宋" w:eastAsia="仿宋" w:cs="仿宋"/>
                            <w:sz w:val="20"/>
                            <w:szCs w:val="20"/>
                          </w:rPr>
                          <w:t>位</w:t>
                        </w:r>
                      </w:p>
                    </w:tc>
                  </w:tr>
                  <w:tr w14:paraId="076C2A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979" w:type="dxa"/>
                        <w:vAlign w:val="top"/>
                      </w:tcPr>
                      <w:p w14:paraId="2B299791">
                        <w:pPr>
                          <w:spacing w:before="171" w:line="251" w:lineRule="auto"/>
                          <w:ind w:left="487" w:right="81" w:hanging="211"/>
                          <w:rPr>
                            <w:rFonts w:ascii="仿宋" w:hAnsi="仿宋" w:eastAsia="仿宋" w:cs="仿宋"/>
                            <w:sz w:val="20"/>
                            <w:szCs w:val="20"/>
                          </w:rPr>
                        </w:pPr>
                        <w:r>
                          <w:rPr>
                            <w:rFonts w:ascii="仿宋" w:hAnsi="仿宋" w:eastAsia="仿宋" w:cs="仿宋"/>
                            <w:spacing w:val="5"/>
                            <w:sz w:val="20"/>
                            <w:szCs w:val="20"/>
                          </w:rPr>
                          <w:t>施工噪</w:t>
                        </w:r>
                        <w:r>
                          <w:rPr>
                            <w:rFonts w:ascii="仿宋" w:hAnsi="仿宋" w:eastAsia="仿宋" w:cs="仿宋"/>
                            <w:sz w:val="20"/>
                            <w:szCs w:val="20"/>
                          </w:rPr>
                          <w:t>声</w:t>
                        </w:r>
                      </w:p>
                    </w:tc>
                    <w:tc>
                      <w:tcPr>
                        <w:tcW w:w="6674" w:type="dxa"/>
                        <w:vAlign w:val="top"/>
                      </w:tcPr>
                      <w:p w14:paraId="5021DA64">
                        <w:pPr>
                          <w:spacing w:before="34" w:line="229" w:lineRule="auto"/>
                          <w:jc w:val="right"/>
                          <w:rPr>
                            <w:rFonts w:ascii="仿宋" w:hAnsi="仿宋" w:eastAsia="仿宋" w:cs="仿宋"/>
                            <w:sz w:val="20"/>
                            <w:szCs w:val="20"/>
                          </w:rPr>
                        </w:pPr>
                        <w:r>
                          <w:rPr>
                            <w:rFonts w:ascii="仿宋" w:hAnsi="仿宋" w:eastAsia="仿宋" w:cs="仿宋"/>
                            <w:spacing w:val="2"/>
                            <w:sz w:val="20"/>
                            <w:szCs w:val="20"/>
                          </w:rPr>
                          <w:t>施工过程采取施工围挡、使用低噪声设备、科学</w:t>
                        </w:r>
                        <w:r>
                          <w:rPr>
                            <w:rFonts w:ascii="仿宋" w:hAnsi="仿宋" w:eastAsia="仿宋" w:cs="仿宋"/>
                            <w:spacing w:val="1"/>
                            <w:sz w:val="20"/>
                            <w:szCs w:val="20"/>
                          </w:rPr>
                          <w:t>安排施工作业时间，夜间、</w:t>
                        </w:r>
                      </w:p>
                      <w:p w14:paraId="084BF843">
                        <w:pPr>
                          <w:spacing w:before="25" w:line="229" w:lineRule="auto"/>
                          <w:ind w:left="16"/>
                          <w:rPr>
                            <w:rFonts w:ascii="仿宋" w:hAnsi="仿宋" w:eastAsia="仿宋" w:cs="仿宋"/>
                            <w:sz w:val="20"/>
                            <w:szCs w:val="20"/>
                          </w:rPr>
                        </w:pPr>
                        <w:r>
                          <w:rPr>
                            <w:rFonts w:ascii="仿宋" w:hAnsi="仿宋" w:eastAsia="仿宋" w:cs="仿宋"/>
                            <w:spacing w:val="8"/>
                            <w:sz w:val="20"/>
                            <w:szCs w:val="20"/>
                          </w:rPr>
                          <w:t>午休时间禁止施工等。对于紧邻施工作业区的噪声敏</w:t>
                        </w:r>
                        <w:r>
                          <w:rPr>
                            <w:rFonts w:ascii="仿宋" w:hAnsi="仿宋" w:eastAsia="仿宋" w:cs="仿宋"/>
                            <w:spacing w:val="7"/>
                            <w:sz w:val="20"/>
                            <w:szCs w:val="20"/>
                          </w:rPr>
                          <w:t>感目标，可设置临时</w:t>
                        </w:r>
                      </w:p>
                      <w:p w14:paraId="10A63661">
                        <w:pPr>
                          <w:spacing w:before="23" w:line="213" w:lineRule="auto"/>
                          <w:ind w:left="1784"/>
                          <w:rPr>
                            <w:rFonts w:ascii="仿宋" w:hAnsi="仿宋" w:eastAsia="仿宋" w:cs="仿宋"/>
                            <w:sz w:val="20"/>
                            <w:szCs w:val="20"/>
                          </w:rPr>
                        </w:pPr>
                        <w:r>
                          <w:rPr>
                            <w:rFonts w:ascii="仿宋" w:hAnsi="仿宋" w:eastAsia="仿宋" w:cs="仿宋"/>
                            <w:spacing w:val="7"/>
                            <w:sz w:val="20"/>
                            <w:szCs w:val="20"/>
                          </w:rPr>
                          <w:t>隔声挡板，进一步削弱噪声传入。</w:t>
                        </w:r>
                      </w:p>
                    </w:tc>
                    <w:tc>
                      <w:tcPr>
                        <w:tcW w:w="649" w:type="dxa"/>
                        <w:vMerge w:val="continue"/>
                        <w:tcBorders>
                          <w:top w:val="nil"/>
                          <w:bottom w:val="nil"/>
                          <w:right w:val="nil"/>
                        </w:tcBorders>
                        <w:vAlign w:val="top"/>
                      </w:tcPr>
                      <w:p w14:paraId="246BE415">
                        <w:pPr>
                          <w:rPr>
                            <w:rFonts w:ascii="Arial"/>
                            <w:sz w:val="21"/>
                          </w:rPr>
                        </w:pPr>
                      </w:p>
                    </w:tc>
                  </w:tr>
                  <w:tr w14:paraId="0934AF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979" w:type="dxa"/>
                        <w:vAlign w:val="top"/>
                      </w:tcPr>
                      <w:p w14:paraId="3392C327">
                        <w:pPr>
                          <w:spacing w:before="38" w:line="231" w:lineRule="auto"/>
                          <w:ind w:left="487" w:right="81" w:hanging="211"/>
                          <w:rPr>
                            <w:rFonts w:ascii="仿宋" w:hAnsi="仿宋" w:eastAsia="仿宋" w:cs="仿宋"/>
                            <w:sz w:val="20"/>
                            <w:szCs w:val="20"/>
                          </w:rPr>
                        </w:pPr>
                        <w:r>
                          <w:rPr>
                            <w:rFonts w:ascii="仿宋" w:hAnsi="仿宋" w:eastAsia="仿宋" w:cs="仿宋"/>
                            <w:spacing w:val="5"/>
                            <w:sz w:val="20"/>
                            <w:szCs w:val="20"/>
                          </w:rPr>
                          <w:t>施工废</w:t>
                        </w:r>
                        <w:r>
                          <w:rPr>
                            <w:rFonts w:ascii="仿宋" w:hAnsi="仿宋" w:eastAsia="仿宋" w:cs="仿宋"/>
                            <w:sz w:val="20"/>
                            <w:szCs w:val="20"/>
                          </w:rPr>
                          <w:t>水</w:t>
                        </w:r>
                      </w:p>
                    </w:tc>
                    <w:tc>
                      <w:tcPr>
                        <w:tcW w:w="6674" w:type="dxa"/>
                        <w:vAlign w:val="top"/>
                      </w:tcPr>
                      <w:p w14:paraId="7B06301E">
                        <w:pPr>
                          <w:spacing w:before="171" w:line="229" w:lineRule="auto"/>
                          <w:jc w:val="right"/>
                          <w:rPr>
                            <w:rFonts w:ascii="仿宋" w:hAnsi="仿宋" w:eastAsia="仿宋" w:cs="仿宋"/>
                            <w:sz w:val="20"/>
                            <w:szCs w:val="20"/>
                          </w:rPr>
                        </w:pPr>
                        <w:r>
                          <w:rPr>
                            <w:rFonts w:ascii="仿宋" w:hAnsi="仿宋" w:eastAsia="仿宋" w:cs="仿宋"/>
                            <w:spacing w:val="2"/>
                            <w:sz w:val="20"/>
                            <w:szCs w:val="20"/>
                          </w:rPr>
                          <w:t>本项目不自设预制场、拌合站，预制构件等材</w:t>
                        </w:r>
                        <w:r>
                          <w:rPr>
                            <w:rFonts w:ascii="仿宋" w:hAnsi="仿宋" w:eastAsia="仿宋" w:cs="仿宋"/>
                            <w:spacing w:val="1"/>
                            <w:sz w:val="20"/>
                            <w:szCs w:val="20"/>
                          </w:rPr>
                          <w:t>料均外购，不产生施工废水。</w:t>
                        </w:r>
                      </w:p>
                    </w:tc>
                    <w:tc>
                      <w:tcPr>
                        <w:tcW w:w="649" w:type="dxa"/>
                        <w:vMerge w:val="continue"/>
                        <w:tcBorders>
                          <w:top w:val="nil"/>
                          <w:bottom w:val="nil"/>
                          <w:right w:val="nil"/>
                        </w:tcBorders>
                        <w:vAlign w:val="top"/>
                      </w:tcPr>
                      <w:p w14:paraId="43FD4471">
                        <w:pPr>
                          <w:rPr>
                            <w:rFonts w:ascii="Arial"/>
                            <w:sz w:val="21"/>
                          </w:rPr>
                        </w:pPr>
                      </w:p>
                    </w:tc>
                  </w:tr>
                  <w:tr w14:paraId="2DB4F5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979" w:type="dxa"/>
                        <w:vAlign w:val="top"/>
                      </w:tcPr>
                      <w:p w14:paraId="059B71BA">
                        <w:pPr>
                          <w:spacing w:before="37" w:line="231" w:lineRule="auto"/>
                          <w:ind w:left="487" w:right="81" w:hanging="198"/>
                          <w:rPr>
                            <w:rFonts w:ascii="仿宋" w:hAnsi="仿宋" w:eastAsia="仿宋" w:cs="仿宋"/>
                            <w:sz w:val="20"/>
                            <w:szCs w:val="20"/>
                          </w:rPr>
                        </w:pPr>
                        <w:r>
                          <w:rPr>
                            <w:rFonts w:ascii="仿宋" w:hAnsi="仿宋" w:eastAsia="仿宋" w:cs="仿宋"/>
                            <w:sz w:val="20"/>
                            <w:szCs w:val="20"/>
                          </w:rPr>
                          <w:t>生活污水</w:t>
                        </w:r>
                      </w:p>
                    </w:tc>
                    <w:tc>
                      <w:tcPr>
                        <w:tcW w:w="6674" w:type="dxa"/>
                        <w:vAlign w:val="top"/>
                      </w:tcPr>
                      <w:p w14:paraId="10744A64">
                        <w:pPr>
                          <w:spacing w:before="38" w:line="230" w:lineRule="auto"/>
                          <w:ind w:left="13"/>
                          <w:rPr>
                            <w:rFonts w:ascii="仿宋" w:hAnsi="仿宋" w:eastAsia="仿宋" w:cs="仿宋"/>
                            <w:sz w:val="20"/>
                            <w:szCs w:val="20"/>
                          </w:rPr>
                        </w:pPr>
                        <w:r>
                          <w:rPr>
                            <w:rFonts w:ascii="仿宋" w:hAnsi="仿宋" w:eastAsia="仿宋" w:cs="仿宋"/>
                            <w:spacing w:val="8"/>
                            <w:sz w:val="20"/>
                            <w:szCs w:val="20"/>
                          </w:rPr>
                          <w:t>施工人员生活污水依托施工生活区租用的民房现有生活设施</w:t>
                        </w:r>
                        <w:r>
                          <w:rPr>
                            <w:rFonts w:ascii="仿宋" w:hAnsi="仿宋" w:eastAsia="仿宋" w:cs="仿宋"/>
                            <w:spacing w:val="7"/>
                            <w:sz w:val="20"/>
                            <w:szCs w:val="20"/>
                          </w:rPr>
                          <w:t>，项目区内不</w:t>
                        </w:r>
                      </w:p>
                      <w:p w14:paraId="377DB0A1">
                        <w:pPr>
                          <w:spacing w:before="22" w:line="211" w:lineRule="auto"/>
                          <w:ind w:left="2720"/>
                          <w:rPr>
                            <w:rFonts w:ascii="仿宋" w:hAnsi="仿宋" w:eastAsia="仿宋" w:cs="仿宋"/>
                            <w:sz w:val="20"/>
                            <w:szCs w:val="20"/>
                          </w:rPr>
                        </w:pPr>
                        <w:r>
                          <w:rPr>
                            <w:rFonts w:ascii="仿宋" w:hAnsi="仿宋" w:eastAsia="仿宋" w:cs="仿宋"/>
                            <w:spacing w:val="7"/>
                            <w:sz w:val="20"/>
                            <w:szCs w:val="20"/>
                          </w:rPr>
                          <w:t>产生生活污水</w:t>
                        </w:r>
                      </w:p>
                    </w:tc>
                    <w:tc>
                      <w:tcPr>
                        <w:tcW w:w="649" w:type="dxa"/>
                        <w:vMerge w:val="continue"/>
                        <w:tcBorders>
                          <w:top w:val="nil"/>
                          <w:bottom w:val="nil"/>
                          <w:right w:val="nil"/>
                        </w:tcBorders>
                        <w:vAlign w:val="top"/>
                      </w:tcPr>
                      <w:p w14:paraId="65CA655B">
                        <w:pPr>
                          <w:rPr>
                            <w:rFonts w:ascii="Arial"/>
                            <w:sz w:val="21"/>
                          </w:rPr>
                        </w:pPr>
                      </w:p>
                    </w:tc>
                  </w:tr>
                  <w:tr w14:paraId="2F8487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979" w:type="dxa"/>
                        <w:vAlign w:val="top"/>
                      </w:tcPr>
                      <w:p w14:paraId="76DCA7FC">
                        <w:pPr>
                          <w:spacing w:before="38" w:line="231" w:lineRule="auto"/>
                          <w:ind w:left="490" w:right="81" w:hanging="208"/>
                          <w:rPr>
                            <w:rFonts w:ascii="仿宋" w:hAnsi="仿宋" w:eastAsia="仿宋" w:cs="仿宋"/>
                            <w:sz w:val="20"/>
                            <w:szCs w:val="20"/>
                          </w:rPr>
                        </w:pPr>
                        <w:r>
                          <w:rPr>
                            <w:rFonts w:ascii="仿宋" w:hAnsi="仿宋" w:eastAsia="仿宋" w:cs="仿宋"/>
                            <w:spacing w:val="3"/>
                            <w:sz w:val="20"/>
                            <w:szCs w:val="20"/>
                          </w:rPr>
                          <w:t>工程弃</w:t>
                        </w:r>
                        <w:r>
                          <w:rPr>
                            <w:rFonts w:ascii="仿宋" w:hAnsi="仿宋" w:eastAsia="仿宋" w:cs="仿宋"/>
                            <w:sz w:val="20"/>
                            <w:szCs w:val="20"/>
                          </w:rPr>
                          <w:t>土</w:t>
                        </w:r>
                      </w:p>
                    </w:tc>
                    <w:tc>
                      <w:tcPr>
                        <w:tcW w:w="6674" w:type="dxa"/>
                        <w:vAlign w:val="top"/>
                      </w:tcPr>
                      <w:p w14:paraId="434F21C1">
                        <w:pPr>
                          <w:spacing w:before="175" w:line="232" w:lineRule="auto"/>
                          <w:ind w:left="1884"/>
                          <w:rPr>
                            <w:rFonts w:ascii="仿宋" w:hAnsi="仿宋" w:eastAsia="仿宋" w:cs="仿宋"/>
                            <w:sz w:val="20"/>
                            <w:szCs w:val="20"/>
                          </w:rPr>
                        </w:pPr>
                        <w:r>
                          <w:rPr>
                            <w:rFonts w:ascii="仿宋" w:hAnsi="仿宋" w:eastAsia="仿宋" w:cs="仿宋"/>
                            <w:spacing w:val="7"/>
                            <w:sz w:val="20"/>
                            <w:szCs w:val="20"/>
                          </w:rPr>
                          <w:t>合理调配土石方，不产生弃土。</w:t>
                        </w:r>
                      </w:p>
                    </w:tc>
                    <w:tc>
                      <w:tcPr>
                        <w:tcW w:w="649" w:type="dxa"/>
                        <w:vMerge w:val="continue"/>
                        <w:tcBorders>
                          <w:top w:val="nil"/>
                          <w:bottom w:val="nil"/>
                          <w:right w:val="nil"/>
                        </w:tcBorders>
                        <w:vAlign w:val="top"/>
                      </w:tcPr>
                      <w:p w14:paraId="5D37E623">
                        <w:pPr>
                          <w:rPr>
                            <w:rFonts w:ascii="Arial"/>
                            <w:sz w:val="21"/>
                          </w:rPr>
                        </w:pPr>
                      </w:p>
                    </w:tc>
                  </w:tr>
                  <w:tr w14:paraId="0C06F1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49" w:hRule="atLeast"/>
                    </w:trPr>
                    <w:tc>
                      <w:tcPr>
                        <w:tcW w:w="979" w:type="dxa"/>
                        <w:vAlign w:val="top"/>
                      </w:tcPr>
                      <w:p w14:paraId="27CC9E9A">
                        <w:pPr>
                          <w:spacing w:before="42" w:line="229" w:lineRule="auto"/>
                          <w:ind w:left="486" w:right="81" w:hanging="209"/>
                          <w:rPr>
                            <w:rFonts w:ascii="仿宋" w:hAnsi="仿宋" w:eastAsia="仿宋" w:cs="仿宋"/>
                            <w:sz w:val="20"/>
                            <w:szCs w:val="20"/>
                          </w:rPr>
                        </w:pPr>
                        <w:r>
                          <w:rPr>
                            <w:rFonts w:ascii="仿宋" w:hAnsi="仿宋" w:eastAsia="仿宋" w:cs="仿宋"/>
                            <w:spacing w:val="5"/>
                            <w:sz w:val="20"/>
                            <w:szCs w:val="20"/>
                          </w:rPr>
                          <w:t>建筑垃</w:t>
                        </w:r>
                        <w:r>
                          <w:rPr>
                            <w:rFonts w:ascii="仿宋" w:hAnsi="仿宋" w:eastAsia="仿宋" w:cs="仿宋"/>
                            <w:sz w:val="20"/>
                            <w:szCs w:val="20"/>
                          </w:rPr>
                          <w:t>圾</w:t>
                        </w:r>
                      </w:p>
                    </w:tc>
                    <w:tc>
                      <w:tcPr>
                        <w:tcW w:w="6674" w:type="dxa"/>
                        <w:vAlign w:val="top"/>
                      </w:tcPr>
                      <w:p w14:paraId="28523CF3">
                        <w:pPr>
                          <w:spacing w:before="42" w:line="230" w:lineRule="auto"/>
                          <w:ind w:left="92"/>
                          <w:rPr>
                            <w:rFonts w:ascii="仿宋" w:hAnsi="仿宋" w:eastAsia="仿宋" w:cs="仿宋"/>
                            <w:sz w:val="20"/>
                            <w:szCs w:val="20"/>
                          </w:rPr>
                        </w:pPr>
                        <w:r>
                          <w:rPr>
                            <w:rFonts w:ascii="仿宋" w:hAnsi="仿宋" w:eastAsia="仿宋" w:cs="仿宋"/>
                            <w:spacing w:val="9"/>
                            <w:sz w:val="20"/>
                            <w:szCs w:val="20"/>
                          </w:rPr>
                          <w:t>优先回收利用，不能利用的统一收集后运至市政指定建筑垃圾排放点处</w:t>
                        </w:r>
                      </w:p>
                      <w:p w14:paraId="3A3C8E1B">
                        <w:pPr>
                          <w:spacing w:before="22" w:line="208" w:lineRule="auto"/>
                          <w:ind w:left="3139"/>
                          <w:rPr>
                            <w:rFonts w:ascii="仿宋" w:hAnsi="仿宋" w:eastAsia="仿宋" w:cs="仿宋"/>
                            <w:sz w:val="20"/>
                            <w:szCs w:val="20"/>
                          </w:rPr>
                        </w:pPr>
                        <w:r>
                          <w:rPr>
                            <w:rFonts w:ascii="仿宋" w:hAnsi="仿宋" w:eastAsia="仿宋" w:cs="仿宋"/>
                            <w:spacing w:val="-3"/>
                            <w:sz w:val="20"/>
                            <w:szCs w:val="20"/>
                          </w:rPr>
                          <w:t>置；</w:t>
                        </w:r>
                      </w:p>
                    </w:tc>
                    <w:tc>
                      <w:tcPr>
                        <w:tcW w:w="649" w:type="dxa"/>
                        <w:vMerge w:val="continue"/>
                        <w:tcBorders>
                          <w:top w:val="nil"/>
                          <w:bottom w:val="nil"/>
                          <w:right w:val="nil"/>
                        </w:tcBorders>
                        <w:vAlign w:val="top"/>
                      </w:tcPr>
                      <w:p w14:paraId="15D490F6">
                        <w:pPr>
                          <w:rPr>
                            <w:rFonts w:ascii="Arial"/>
                            <w:sz w:val="21"/>
                          </w:rPr>
                        </w:pPr>
                      </w:p>
                    </w:tc>
                  </w:tr>
                  <w:tr w14:paraId="60D26F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979" w:type="dxa"/>
                        <w:vAlign w:val="top"/>
                      </w:tcPr>
                      <w:p w14:paraId="12249E9C">
                        <w:pPr>
                          <w:spacing w:before="39" w:line="230" w:lineRule="auto"/>
                          <w:ind w:left="486" w:right="81" w:hanging="197"/>
                          <w:rPr>
                            <w:rFonts w:ascii="仿宋" w:hAnsi="仿宋" w:eastAsia="仿宋" w:cs="仿宋"/>
                            <w:sz w:val="20"/>
                            <w:szCs w:val="20"/>
                          </w:rPr>
                        </w:pPr>
                        <w:r>
                          <w:rPr>
                            <w:rFonts w:ascii="仿宋" w:hAnsi="仿宋" w:eastAsia="仿宋" w:cs="仿宋"/>
                            <w:sz w:val="20"/>
                            <w:szCs w:val="20"/>
                          </w:rPr>
                          <w:t>生活垃圾</w:t>
                        </w:r>
                      </w:p>
                    </w:tc>
                    <w:tc>
                      <w:tcPr>
                        <w:tcW w:w="6674" w:type="dxa"/>
                        <w:vAlign w:val="top"/>
                      </w:tcPr>
                      <w:p w14:paraId="774A54C2">
                        <w:pPr>
                          <w:spacing w:before="177" w:line="230" w:lineRule="auto"/>
                          <w:ind w:left="92"/>
                          <w:rPr>
                            <w:rFonts w:ascii="仿宋" w:hAnsi="仿宋" w:eastAsia="仿宋" w:cs="仿宋"/>
                            <w:sz w:val="20"/>
                            <w:szCs w:val="20"/>
                          </w:rPr>
                        </w:pPr>
                        <w:r>
                          <w:rPr>
                            <w:rFonts w:ascii="仿宋" w:hAnsi="仿宋" w:eastAsia="仿宋" w:cs="仿宋"/>
                            <w:spacing w:val="9"/>
                            <w:sz w:val="20"/>
                            <w:szCs w:val="20"/>
                          </w:rPr>
                          <w:t>施工场地设垃圾桶，生活垃圾集中收集，按当地环卫部门的要求处理。</w:t>
                        </w:r>
                      </w:p>
                    </w:tc>
                    <w:tc>
                      <w:tcPr>
                        <w:tcW w:w="649" w:type="dxa"/>
                        <w:vMerge w:val="continue"/>
                        <w:tcBorders>
                          <w:top w:val="nil"/>
                          <w:bottom w:val="nil"/>
                          <w:right w:val="nil"/>
                        </w:tcBorders>
                        <w:vAlign w:val="top"/>
                      </w:tcPr>
                      <w:p w14:paraId="397EE19F">
                        <w:pPr>
                          <w:rPr>
                            <w:rFonts w:ascii="Arial"/>
                            <w:sz w:val="21"/>
                          </w:rPr>
                        </w:pPr>
                      </w:p>
                    </w:tc>
                  </w:tr>
                  <w:tr w14:paraId="4465E0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4" w:hRule="atLeast"/>
                    </w:trPr>
                    <w:tc>
                      <w:tcPr>
                        <w:tcW w:w="979" w:type="dxa"/>
                        <w:vAlign w:val="top"/>
                      </w:tcPr>
                      <w:p w14:paraId="32942EF7">
                        <w:pPr>
                          <w:spacing w:line="259" w:lineRule="auto"/>
                          <w:rPr>
                            <w:rFonts w:ascii="Arial"/>
                            <w:sz w:val="21"/>
                          </w:rPr>
                        </w:pPr>
                      </w:p>
                      <w:p w14:paraId="4BE7C323">
                        <w:pPr>
                          <w:spacing w:line="259" w:lineRule="auto"/>
                          <w:rPr>
                            <w:rFonts w:ascii="Arial"/>
                            <w:sz w:val="21"/>
                          </w:rPr>
                        </w:pPr>
                      </w:p>
                      <w:p w14:paraId="2934A22F">
                        <w:pPr>
                          <w:spacing w:before="65" w:line="234" w:lineRule="auto"/>
                          <w:ind w:left="395"/>
                          <w:rPr>
                            <w:rFonts w:ascii="仿宋" w:hAnsi="仿宋" w:eastAsia="仿宋" w:cs="仿宋"/>
                            <w:sz w:val="20"/>
                            <w:szCs w:val="20"/>
                          </w:rPr>
                        </w:pPr>
                        <w:r>
                          <w:rPr>
                            <w:rFonts w:ascii="仿宋" w:hAnsi="仿宋" w:eastAsia="仿宋" w:cs="仿宋"/>
                            <w:spacing w:val="-5"/>
                            <w:sz w:val="20"/>
                            <w:szCs w:val="20"/>
                          </w:rPr>
                          <w:t>生态</w:t>
                        </w:r>
                      </w:p>
                    </w:tc>
                    <w:tc>
                      <w:tcPr>
                        <w:tcW w:w="6674" w:type="dxa"/>
                        <w:vAlign w:val="top"/>
                      </w:tcPr>
                      <w:p w14:paraId="7B519334">
                        <w:pPr>
                          <w:spacing w:before="44" w:line="228" w:lineRule="auto"/>
                          <w:ind w:right="4"/>
                          <w:jc w:val="right"/>
                          <w:rPr>
                            <w:rFonts w:ascii="仿宋" w:hAnsi="仿宋" w:eastAsia="仿宋" w:cs="仿宋"/>
                            <w:sz w:val="20"/>
                            <w:szCs w:val="20"/>
                          </w:rPr>
                        </w:pPr>
                        <w:r>
                          <w:rPr>
                            <w:rFonts w:ascii="仿宋" w:hAnsi="仿宋" w:eastAsia="仿宋" w:cs="仿宋"/>
                            <w:spacing w:val="7"/>
                            <w:sz w:val="20"/>
                            <w:szCs w:val="20"/>
                          </w:rPr>
                          <w:t>限制施工作业区范围，施工过程中剥离的表土，在占地范围内适宜位置妥</w:t>
                        </w:r>
                      </w:p>
                      <w:p w14:paraId="0252276F">
                        <w:pPr>
                          <w:spacing w:before="24" w:line="228" w:lineRule="auto"/>
                          <w:ind w:left="18"/>
                          <w:rPr>
                            <w:rFonts w:ascii="仿宋" w:hAnsi="仿宋" w:eastAsia="仿宋" w:cs="仿宋"/>
                            <w:sz w:val="20"/>
                            <w:szCs w:val="20"/>
                          </w:rPr>
                        </w:pPr>
                        <w:r>
                          <w:rPr>
                            <w:rFonts w:ascii="仿宋" w:hAnsi="仿宋" w:eastAsia="仿宋" w:cs="仿宋"/>
                            <w:spacing w:val="1"/>
                            <w:sz w:val="20"/>
                            <w:szCs w:val="20"/>
                          </w:rPr>
                          <w:t>善保存。施工结束后，直接利用于路肩边坡的植被恢复，选取当地草种（混</w:t>
                        </w:r>
                      </w:p>
                      <w:p w14:paraId="0C68CFD9">
                        <w:pPr>
                          <w:spacing w:before="23" w:line="229" w:lineRule="auto"/>
                          <w:ind w:left="13"/>
                          <w:rPr>
                            <w:rFonts w:ascii="仿宋" w:hAnsi="仿宋" w:eastAsia="仿宋" w:cs="仿宋"/>
                            <w:sz w:val="20"/>
                            <w:szCs w:val="20"/>
                          </w:rPr>
                        </w:pPr>
                        <w:r>
                          <w:rPr>
                            <w:rFonts w:ascii="仿宋" w:hAnsi="仿宋" w:eastAsia="仿宋" w:cs="仿宋"/>
                            <w:spacing w:val="8"/>
                            <w:sz w:val="20"/>
                            <w:szCs w:val="20"/>
                          </w:rPr>
                          <w:t>播针茅、紫花苜蓿、羊草、披碱草等）为主，植被覆盖率不</w:t>
                        </w:r>
                        <w:r>
                          <w:rPr>
                            <w:rFonts w:ascii="仿宋" w:hAnsi="仿宋" w:eastAsia="仿宋" w:cs="仿宋"/>
                            <w:spacing w:val="7"/>
                            <w:sz w:val="20"/>
                            <w:szCs w:val="20"/>
                          </w:rPr>
                          <w:t>低于利用前或</w:t>
                        </w:r>
                      </w:p>
                      <w:p w14:paraId="68908BF4">
                        <w:pPr>
                          <w:spacing w:before="25" w:line="231" w:lineRule="auto"/>
                          <w:jc w:val="right"/>
                          <w:rPr>
                            <w:rFonts w:ascii="仿宋" w:hAnsi="仿宋" w:eastAsia="仿宋" w:cs="仿宋"/>
                            <w:sz w:val="20"/>
                            <w:szCs w:val="20"/>
                          </w:rPr>
                        </w:pPr>
                        <w:r>
                          <w:rPr>
                            <w:rFonts w:ascii="仿宋" w:hAnsi="仿宋" w:eastAsia="仿宋" w:cs="仿宋"/>
                            <w:spacing w:val="8"/>
                            <w:sz w:val="20"/>
                            <w:szCs w:val="20"/>
                          </w:rPr>
                          <w:t>周边平均水平；路基防护采用植草防护，达到美化路容、减少视</w:t>
                        </w:r>
                        <w:r>
                          <w:rPr>
                            <w:rFonts w:ascii="仿宋" w:hAnsi="仿宋" w:eastAsia="仿宋" w:cs="仿宋"/>
                            <w:spacing w:val="7"/>
                            <w:sz w:val="20"/>
                            <w:szCs w:val="20"/>
                          </w:rPr>
                          <w:t>觉污染，</w:t>
                        </w:r>
                      </w:p>
                      <w:p w14:paraId="103EA6AA">
                        <w:pPr>
                          <w:spacing w:before="20" w:line="206" w:lineRule="auto"/>
                          <w:ind w:left="1667"/>
                          <w:rPr>
                            <w:rFonts w:ascii="仿宋" w:hAnsi="仿宋" w:eastAsia="仿宋" w:cs="仿宋"/>
                            <w:sz w:val="20"/>
                            <w:szCs w:val="20"/>
                          </w:rPr>
                        </w:pPr>
                        <w:r>
                          <w:rPr>
                            <w:rFonts w:ascii="仿宋" w:hAnsi="仿宋" w:eastAsia="仿宋" w:cs="仿宋"/>
                            <w:spacing w:val="8"/>
                            <w:sz w:val="20"/>
                            <w:szCs w:val="20"/>
                          </w:rPr>
                          <w:t>尽可能减小项目对自然生态的破坏。</w:t>
                        </w:r>
                      </w:p>
                    </w:tc>
                    <w:tc>
                      <w:tcPr>
                        <w:tcW w:w="649" w:type="dxa"/>
                        <w:vMerge w:val="continue"/>
                        <w:tcBorders>
                          <w:top w:val="nil"/>
                          <w:right w:val="nil"/>
                        </w:tcBorders>
                        <w:vAlign w:val="top"/>
                      </w:tcPr>
                      <w:p w14:paraId="270C03F9">
                        <w:pPr>
                          <w:rPr>
                            <w:rFonts w:ascii="Arial"/>
                            <w:sz w:val="21"/>
                          </w:rPr>
                        </w:pPr>
                      </w:p>
                    </w:tc>
                  </w:tr>
                  <w:tr w14:paraId="0095F3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5" w:hRule="atLeast"/>
                    </w:trPr>
                    <w:tc>
                      <w:tcPr>
                        <w:tcW w:w="979" w:type="dxa"/>
                        <w:vAlign w:val="top"/>
                      </w:tcPr>
                      <w:p w14:paraId="145E7BC0">
                        <w:pPr>
                          <w:spacing w:before="45" w:line="228" w:lineRule="auto"/>
                          <w:ind w:left="282"/>
                          <w:rPr>
                            <w:rFonts w:ascii="仿宋" w:hAnsi="仿宋" w:eastAsia="仿宋" w:cs="仿宋"/>
                            <w:sz w:val="20"/>
                            <w:szCs w:val="20"/>
                          </w:rPr>
                        </w:pPr>
                        <w:r>
                          <w:rPr>
                            <w:rFonts w:ascii="仿宋" w:hAnsi="仿宋" w:eastAsia="仿宋" w:cs="仿宋"/>
                            <w:spacing w:val="3"/>
                            <w:sz w:val="20"/>
                            <w:szCs w:val="20"/>
                          </w:rPr>
                          <w:t>车辆行</w:t>
                        </w:r>
                      </w:p>
                      <w:p w14:paraId="465245F7">
                        <w:pPr>
                          <w:spacing w:before="26" w:line="232" w:lineRule="auto"/>
                          <w:ind w:left="279"/>
                          <w:rPr>
                            <w:rFonts w:ascii="仿宋" w:hAnsi="仿宋" w:eastAsia="仿宋" w:cs="仿宋"/>
                            <w:sz w:val="20"/>
                            <w:szCs w:val="20"/>
                          </w:rPr>
                        </w:pPr>
                        <w:r>
                          <w:rPr>
                            <w:rFonts w:ascii="仿宋" w:hAnsi="仿宋" w:eastAsia="仿宋" w:cs="仿宋"/>
                            <w:spacing w:val="4"/>
                            <w:sz w:val="20"/>
                            <w:szCs w:val="20"/>
                          </w:rPr>
                          <w:t>驶造成</w:t>
                        </w:r>
                      </w:p>
                      <w:p w14:paraId="50C43BEC">
                        <w:pPr>
                          <w:spacing w:before="19" w:line="233" w:lineRule="auto"/>
                          <w:ind w:left="289"/>
                          <w:rPr>
                            <w:rFonts w:ascii="仿宋" w:hAnsi="仿宋" w:eastAsia="仿宋" w:cs="仿宋"/>
                            <w:sz w:val="20"/>
                            <w:szCs w:val="20"/>
                          </w:rPr>
                        </w:pPr>
                        <w:r>
                          <w:rPr>
                            <w:rFonts w:ascii="仿宋" w:hAnsi="仿宋" w:eastAsia="仿宋" w:cs="仿宋"/>
                            <w:sz w:val="20"/>
                            <w:szCs w:val="20"/>
                          </w:rPr>
                          <w:t>的扬尘</w:t>
                        </w:r>
                      </w:p>
                      <w:p w14:paraId="25CE96E6">
                        <w:pPr>
                          <w:spacing w:before="20" w:line="231" w:lineRule="auto"/>
                          <w:ind w:left="280"/>
                          <w:rPr>
                            <w:rFonts w:ascii="仿宋" w:hAnsi="仿宋" w:eastAsia="仿宋" w:cs="仿宋"/>
                            <w:sz w:val="20"/>
                            <w:szCs w:val="20"/>
                          </w:rPr>
                        </w:pPr>
                        <w:r>
                          <w:rPr>
                            <w:rFonts w:ascii="仿宋" w:hAnsi="仿宋" w:eastAsia="仿宋" w:cs="仿宋"/>
                            <w:spacing w:val="4"/>
                            <w:sz w:val="20"/>
                            <w:szCs w:val="20"/>
                          </w:rPr>
                          <w:t>及排放</w:t>
                        </w:r>
                      </w:p>
                      <w:p w14:paraId="61F5F872">
                        <w:pPr>
                          <w:spacing w:before="22" w:line="226" w:lineRule="auto"/>
                          <w:ind w:left="383" w:right="81" w:hanging="94"/>
                          <w:rPr>
                            <w:rFonts w:ascii="仿宋" w:hAnsi="仿宋" w:eastAsia="仿宋" w:cs="仿宋"/>
                            <w:sz w:val="20"/>
                            <w:szCs w:val="20"/>
                          </w:rPr>
                        </w:pPr>
                        <w:r>
                          <w:rPr>
                            <w:rFonts w:ascii="仿宋" w:hAnsi="仿宋" w:eastAsia="仿宋" w:cs="仿宋"/>
                            <w:sz w:val="20"/>
                            <w:szCs w:val="20"/>
                          </w:rPr>
                          <w:t>的汽车</w:t>
                        </w:r>
                        <w:r>
                          <w:rPr>
                            <w:rFonts w:ascii="仿宋" w:hAnsi="仿宋" w:eastAsia="仿宋" w:cs="仿宋"/>
                            <w:spacing w:val="1"/>
                            <w:sz w:val="20"/>
                            <w:szCs w:val="20"/>
                          </w:rPr>
                          <w:t>尾气</w:t>
                        </w:r>
                      </w:p>
                    </w:tc>
                    <w:tc>
                      <w:tcPr>
                        <w:tcW w:w="6674" w:type="dxa"/>
                        <w:vAlign w:val="top"/>
                      </w:tcPr>
                      <w:p w14:paraId="11516773">
                        <w:pPr>
                          <w:spacing w:line="329" w:lineRule="auto"/>
                          <w:rPr>
                            <w:rFonts w:ascii="Arial"/>
                            <w:sz w:val="21"/>
                          </w:rPr>
                        </w:pPr>
                      </w:p>
                      <w:p w14:paraId="3E0DAB39">
                        <w:pPr>
                          <w:spacing w:line="329" w:lineRule="auto"/>
                          <w:rPr>
                            <w:rFonts w:ascii="Arial"/>
                            <w:sz w:val="21"/>
                          </w:rPr>
                        </w:pPr>
                      </w:p>
                      <w:p w14:paraId="6A88BB1D">
                        <w:pPr>
                          <w:spacing w:before="65" w:line="229" w:lineRule="auto"/>
                          <w:jc w:val="right"/>
                          <w:rPr>
                            <w:rFonts w:ascii="仿宋" w:hAnsi="仿宋" w:eastAsia="仿宋" w:cs="仿宋"/>
                            <w:sz w:val="20"/>
                            <w:szCs w:val="20"/>
                          </w:rPr>
                        </w:pPr>
                        <w:r>
                          <w:rPr>
                            <w:rFonts w:ascii="仿宋" w:hAnsi="仿宋" w:eastAsia="仿宋" w:cs="仿宋"/>
                            <w:spacing w:val="8"/>
                            <w:sz w:val="20"/>
                            <w:szCs w:val="20"/>
                          </w:rPr>
                          <w:t>通过采用水泥混凝土路面、未筛分碎石进行有效压实等，道</w:t>
                        </w:r>
                        <w:r>
                          <w:rPr>
                            <w:rFonts w:ascii="仿宋" w:hAnsi="仿宋" w:eastAsia="仿宋" w:cs="仿宋"/>
                            <w:spacing w:val="7"/>
                            <w:sz w:val="20"/>
                            <w:szCs w:val="20"/>
                          </w:rPr>
                          <w:t>路定期养护。</w:t>
                        </w:r>
                      </w:p>
                    </w:tc>
                    <w:tc>
                      <w:tcPr>
                        <w:tcW w:w="649" w:type="dxa"/>
                        <w:vMerge w:val="restart"/>
                        <w:tcBorders>
                          <w:bottom w:val="nil"/>
                          <w:right w:val="nil"/>
                        </w:tcBorders>
                        <w:vAlign w:val="top"/>
                      </w:tcPr>
                      <w:p w14:paraId="46B4FAC1">
                        <w:pPr>
                          <w:spacing w:line="271" w:lineRule="auto"/>
                          <w:rPr>
                            <w:rFonts w:ascii="Arial"/>
                            <w:sz w:val="21"/>
                          </w:rPr>
                        </w:pPr>
                      </w:p>
                      <w:p w14:paraId="54670AB4">
                        <w:pPr>
                          <w:spacing w:line="271" w:lineRule="auto"/>
                          <w:rPr>
                            <w:rFonts w:ascii="Arial"/>
                            <w:sz w:val="21"/>
                          </w:rPr>
                        </w:pPr>
                      </w:p>
                      <w:p w14:paraId="6E3D26D2">
                        <w:pPr>
                          <w:spacing w:line="271" w:lineRule="auto"/>
                          <w:rPr>
                            <w:rFonts w:ascii="Arial"/>
                            <w:sz w:val="21"/>
                          </w:rPr>
                        </w:pPr>
                      </w:p>
                      <w:p w14:paraId="09C0A822">
                        <w:pPr>
                          <w:spacing w:line="271" w:lineRule="auto"/>
                          <w:rPr>
                            <w:rFonts w:ascii="Arial"/>
                            <w:sz w:val="21"/>
                          </w:rPr>
                        </w:pPr>
                      </w:p>
                      <w:p w14:paraId="668916AE">
                        <w:pPr>
                          <w:spacing w:line="271" w:lineRule="auto"/>
                          <w:rPr>
                            <w:rFonts w:ascii="Arial"/>
                            <w:sz w:val="21"/>
                          </w:rPr>
                        </w:pPr>
                      </w:p>
                      <w:p w14:paraId="2213E8DC">
                        <w:pPr>
                          <w:spacing w:line="272" w:lineRule="auto"/>
                          <w:rPr>
                            <w:rFonts w:ascii="Arial"/>
                            <w:sz w:val="21"/>
                          </w:rPr>
                        </w:pPr>
                      </w:p>
                      <w:p w14:paraId="2248A57C">
                        <w:pPr>
                          <w:spacing w:before="65" w:line="252" w:lineRule="auto"/>
                          <w:ind w:left="23" w:right="7"/>
                          <w:jc w:val="both"/>
                          <w:rPr>
                            <w:rFonts w:ascii="仿宋" w:hAnsi="仿宋" w:eastAsia="仿宋" w:cs="仿宋"/>
                            <w:sz w:val="20"/>
                            <w:szCs w:val="20"/>
                          </w:rPr>
                        </w:pPr>
                        <w:r>
                          <w:rPr>
                            <w:rFonts w:ascii="仿宋" w:hAnsi="仿宋" w:eastAsia="仿宋" w:cs="仿宋"/>
                            <w:spacing w:val="5"/>
                            <w:sz w:val="20"/>
                            <w:szCs w:val="20"/>
                          </w:rPr>
                          <w:t>建设单</w:t>
                        </w:r>
                        <w:r>
                          <w:rPr>
                            <w:rFonts w:ascii="仿宋" w:hAnsi="仿宋" w:eastAsia="仿宋" w:cs="仿宋"/>
                            <w:spacing w:val="4"/>
                            <w:sz w:val="20"/>
                            <w:szCs w:val="20"/>
                          </w:rPr>
                          <w:t>位、生态环境局、城</w:t>
                        </w:r>
                        <w:r>
                          <w:rPr>
                            <w:rFonts w:ascii="仿宋" w:hAnsi="仿宋" w:eastAsia="仿宋" w:cs="仿宋"/>
                            <w:spacing w:val="30"/>
                            <w:w w:val="112"/>
                            <w:sz w:val="20"/>
                            <w:szCs w:val="20"/>
                          </w:rPr>
                          <w:t>建局</w:t>
                        </w:r>
                      </w:p>
                    </w:tc>
                  </w:tr>
                  <w:tr w14:paraId="3DF5B4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979" w:type="dxa"/>
                        <w:vAlign w:val="top"/>
                      </w:tcPr>
                      <w:p w14:paraId="2BE556B4">
                        <w:pPr>
                          <w:spacing w:before="49" w:line="228" w:lineRule="auto"/>
                          <w:ind w:left="282"/>
                          <w:rPr>
                            <w:rFonts w:ascii="仿宋" w:hAnsi="仿宋" w:eastAsia="仿宋" w:cs="仿宋"/>
                            <w:sz w:val="20"/>
                            <w:szCs w:val="20"/>
                          </w:rPr>
                        </w:pPr>
                        <w:r>
                          <w:rPr>
                            <w:rFonts w:ascii="仿宋" w:hAnsi="仿宋" w:eastAsia="仿宋" w:cs="仿宋"/>
                            <w:spacing w:val="3"/>
                            <w:sz w:val="20"/>
                            <w:szCs w:val="20"/>
                          </w:rPr>
                          <w:t>车辆行</w:t>
                        </w:r>
                      </w:p>
                      <w:p w14:paraId="0FB22C23">
                        <w:pPr>
                          <w:spacing w:before="27" w:line="199" w:lineRule="auto"/>
                          <w:ind w:left="279"/>
                          <w:rPr>
                            <w:rFonts w:ascii="仿宋" w:hAnsi="仿宋" w:eastAsia="仿宋" w:cs="仿宋"/>
                            <w:sz w:val="20"/>
                            <w:szCs w:val="20"/>
                          </w:rPr>
                        </w:pPr>
                        <w:r>
                          <w:rPr>
                            <w:rFonts w:ascii="仿宋" w:hAnsi="仿宋" w:eastAsia="仿宋" w:cs="仿宋"/>
                            <w:spacing w:val="4"/>
                            <w:sz w:val="20"/>
                            <w:szCs w:val="20"/>
                          </w:rPr>
                          <w:t>驶噪声</w:t>
                        </w:r>
                      </w:p>
                    </w:tc>
                    <w:tc>
                      <w:tcPr>
                        <w:tcW w:w="6674" w:type="dxa"/>
                        <w:vAlign w:val="top"/>
                      </w:tcPr>
                      <w:p w14:paraId="725545EF">
                        <w:pPr>
                          <w:pStyle w:val="6"/>
                          <w:spacing w:before="49" w:line="231" w:lineRule="auto"/>
                          <w:ind w:left="12"/>
                          <w:rPr>
                            <w:rFonts w:ascii="仿宋" w:hAnsi="仿宋" w:eastAsia="仿宋" w:cs="仿宋"/>
                            <w:sz w:val="20"/>
                            <w:szCs w:val="20"/>
                          </w:rPr>
                        </w:pPr>
                        <w:r>
                          <w:rPr>
                            <w:rFonts w:ascii="仿宋" w:hAnsi="仿宋" w:eastAsia="仿宋" w:cs="仿宋"/>
                            <w:spacing w:val="8"/>
                            <w:sz w:val="20"/>
                            <w:szCs w:val="20"/>
                          </w:rPr>
                          <w:t>路边设置限速标志，降低交通噪声的影响。对于</w:t>
                        </w:r>
                        <w:r>
                          <w:rPr>
                            <w:rFonts w:ascii="仿宋" w:hAnsi="仿宋" w:eastAsia="仿宋" w:cs="仿宋"/>
                            <w:spacing w:val="-40"/>
                            <w:sz w:val="20"/>
                            <w:szCs w:val="20"/>
                          </w:rPr>
                          <w:t xml:space="preserve"> </w:t>
                        </w:r>
                        <w:r>
                          <w:rPr>
                            <w:spacing w:val="8"/>
                            <w:sz w:val="20"/>
                            <w:szCs w:val="20"/>
                          </w:rPr>
                          <w:t>200m</w:t>
                        </w:r>
                        <w:r>
                          <w:rPr>
                            <w:spacing w:val="29"/>
                            <w:sz w:val="20"/>
                            <w:szCs w:val="20"/>
                          </w:rPr>
                          <w:t xml:space="preserve"> </w:t>
                        </w:r>
                        <w:r>
                          <w:rPr>
                            <w:rFonts w:ascii="仿宋" w:hAnsi="仿宋" w:eastAsia="仿宋" w:cs="仿宋"/>
                            <w:spacing w:val="8"/>
                            <w:sz w:val="20"/>
                            <w:szCs w:val="20"/>
                          </w:rPr>
                          <w:t>范</w:t>
                        </w:r>
                        <w:r>
                          <w:rPr>
                            <w:rFonts w:ascii="仿宋" w:hAnsi="仿宋" w:eastAsia="仿宋" w:cs="仿宋"/>
                            <w:spacing w:val="7"/>
                            <w:sz w:val="20"/>
                            <w:szCs w:val="20"/>
                          </w:rPr>
                          <w:t>围内的噪声敏感</w:t>
                        </w:r>
                      </w:p>
                      <w:p w14:paraId="5289BDA6">
                        <w:pPr>
                          <w:spacing w:before="23" w:line="199" w:lineRule="auto"/>
                          <w:ind w:left="655"/>
                          <w:rPr>
                            <w:rFonts w:ascii="仿宋" w:hAnsi="仿宋" w:eastAsia="仿宋" w:cs="仿宋"/>
                            <w:sz w:val="20"/>
                            <w:szCs w:val="20"/>
                          </w:rPr>
                        </w:pPr>
                        <w:r>
                          <w:rPr>
                            <w:rFonts w:ascii="仿宋" w:hAnsi="仿宋" w:eastAsia="仿宋" w:cs="仿宋"/>
                            <w:spacing w:val="7"/>
                            <w:sz w:val="20"/>
                            <w:szCs w:val="20"/>
                          </w:rPr>
                          <w:t>目标，路边设立夜间禁止鸣笛标志，可有效削弱噪声传入。</w:t>
                        </w:r>
                      </w:p>
                    </w:tc>
                    <w:tc>
                      <w:tcPr>
                        <w:tcW w:w="649" w:type="dxa"/>
                        <w:vMerge w:val="continue"/>
                        <w:tcBorders>
                          <w:top w:val="nil"/>
                          <w:bottom w:val="nil"/>
                          <w:right w:val="nil"/>
                        </w:tcBorders>
                        <w:vAlign w:val="top"/>
                      </w:tcPr>
                      <w:p w14:paraId="0D5D4BA1">
                        <w:pPr>
                          <w:rPr>
                            <w:rFonts w:ascii="Arial"/>
                            <w:sz w:val="21"/>
                          </w:rPr>
                        </w:pPr>
                      </w:p>
                    </w:tc>
                  </w:tr>
                  <w:tr w14:paraId="181192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979" w:type="dxa"/>
                        <w:vAlign w:val="top"/>
                      </w:tcPr>
                      <w:p w14:paraId="6BE92292">
                        <w:pPr>
                          <w:spacing w:before="49" w:line="226" w:lineRule="auto"/>
                          <w:ind w:left="488" w:right="81" w:hanging="212"/>
                          <w:rPr>
                            <w:rFonts w:ascii="仿宋" w:hAnsi="仿宋" w:eastAsia="仿宋" w:cs="仿宋"/>
                            <w:sz w:val="20"/>
                            <w:szCs w:val="20"/>
                          </w:rPr>
                        </w:pPr>
                        <w:r>
                          <w:rPr>
                            <w:rFonts w:ascii="仿宋" w:hAnsi="仿宋" w:eastAsia="仿宋" w:cs="仿宋"/>
                            <w:spacing w:val="5"/>
                            <w:sz w:val="20"/>
                            <w:szCs w:val="20"/>
                          </w:rPr>
                          <w:t>路面径</w:t>
                        </w:r>
                        <w:r>
                          <w:rPr>
                            <w:rFonts w:ascii="仿宋" w:hAnsi="仿宋" w:eastAsia="仿宋" w:cs="仿宋"/>
                            <w:sz w:val="20"/>
                            <w:szCs w:val="20"/>
                          </w:rPr>
                          <w:t>流</w:t>
                        </w:r>
                      </w:p>
                    </w:tc>
                    <w:tc>
                      <w:tcPr>
                        <w:tcW w:w="6674" w:type="dxa"/>
                        <w:vAlign w:val="top"/>
                      </w:tcPr>
                      <w:p w14:paraId="12C22004">
                        <w:pPr>
                          <w:pStyle w:val="6"/>
                          <w:spacing w:before="49" w:line="226" w:lineRule="auto"/>
                          <w:ind w:left="192" w:right="4" w:hanging="180"/>
                          <w:rPr>
                            <w:rFonts w:ascii="仿宋" w:hAnsi="仿宋" w:eastAsia="仿宋" w:cs="仿宋"/>
                            <w:sz w:val="20"/>
                            <w:szCs w:val="20"/>
                          </w:rPr>
                        </w:pPr>
                        <w:r>
                          <w:rPr>
                            <w:rFonts w:ascii="仿宋" w:hAnsi="仿宋" w:eastAsia="仿宋" w:cs="仿宋"/>
                            <w:spacing w:val="8"/>
                            <w:sz w:val="20"/>
                            <w:szCs w:val="20"/>
                          </w:rPr>
                          <w:t>路基填土高度较低路基采用散排方式，纵坡较大汇水较多路基</w:t>
                        </w:r>
                        <w:r>
                          <w:rPr>
                            <w:rFonts w:ascii="仿宋" w:hAnsi="仿宋" w:eastAsia="仿宋" w:cs="仿宋"/>
                            <w:spacing w:val="7"/>
                            <w:sz w:val="20"/>
                            <w:szCs w:val="20"/>
                          </w:rPr>
                          <w:t>设置三角形边沟</w:t>
                        </w:r>
                        <w:r>
                          <w:rPr>
                            <w:spacing w:val="7"/>
                            <w:sz w:val="20"/>
                            <w:szCs w:val="20"/>
                          </w:rPr>
                          <w:t>/</w:t>
                        </w:r>
                        <w:r>
                          <w:rPr>
                            <w:rFonts w:ascii="仿宋" w:hAnsi="仿宋" w:eastAsia="仿宋" w:cs="仿宋"/>
                            <w:spacing w:val="7"/>
                            <w:sz w:val="20"/>
                            <w:szCs w:val="20"/>
                          </w:rPr>
                          <w:t>梯形排水沟</w:t>
                        </w:r>
                        <w:r>
                          <w:rPr>
                            <w:spacing w:val="7"/>
                            <w:sz w:val="20"/>
                            <w:szCs w:val="20"/>
                          </w:rPr>
                          <w:t>/</w:t>
                        </w:r>
                        <w:r>
                          <w:rPr>
                            <w:rFonts w:ascii="仿宋" w:hAnsi="仿宋" w:eastAsia="仿宋" w:cs="仿宋"/>
                            <w:spacing w:val="7"/>
                            <w:sz w:val="20"/>
                            <w:szCs w:val="20"/>
                          </w:rPr>
                          <w:t>球墨铸铁管，路线填土高度大于</w:t>
                        </w:r>
                        <w:r>
                          <w:rPr>
                            <w:rFonts w:ascii="仿宋" w:hAnsi="仿宋" w:eastAsia="仿宋" w:cs="仿宋"/>
                            <w:spacing w:val="-41"/>
                            <w:sz w:val="20"/>
                            <w:szCs w:val="20"/>
                          </w:rPr>
                          <w:t xml:space="preserve"> </w:t>
                        </w:r>
                        <w:r>
                          <w:rPr>
                            <w:spacing w:val="7"/>
                            <w:sz w:val="20"/>
                            <w:szCs w:val="20"/>
                          </w:rPr>
                          <w:t>2.0m</w:t>
                        </w:r>
                        <w:r>
                          <w:rPr>
                            <w:spacing w:val="30"/>
                            <w:sz w:val="20"/>
                            <w:szCs w:val="20"/>
                          </w:rPr>
                          <w:t xml:space="preserve"> </w:t>
                        </w:r>
                        <w:r>
                          <w:rPr>
                            <w:rFonts w:ascii="仿宋" w:hAnsi="仿宋" w:eastAsia="仿宋" w:cs="仿宋"/>
                            <w:spacing w:val="7"/>
                            <w:sz w:val="20"/>
                            <w:szCs w:val="20"/>
                          </w:rPr>
                          <w:t>时设急流槽。</w:t>
                        </w:r>
                      </w:p>
                    </w:tc>
                    <w:tc>
                      <w:tcPr>
                        <w:tcW w:w="649" w:type="dxa"/>
                        <w:vMerge w:val="continue"/>
                        <w:tcBorders>
                          <w:top w:val="nil"/>
                          <w:bottom w:val="nil"/>
                          <w:right w:val="nil"/>
                        </w:tcBorders>
                        <w:vAlign w:val="top"/>
                      </w:tcPr>
                      <w:p w14:paraId="4268852C">
                        <w:pPr>
                          <w:rPr>
                            <w:rFonts w:ascii="Arial"/>
                            <w:sz w:val="21"/>
                          </w:rPr>
                        </w:pPr>
                      </w:p>
                    </w:tc>
                  </w:tr>
                  <w:tr w14:paraId="7BF7E6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979" w:type="dxa"/>
                        <w:vAlign w:val="top"/>
                      </w:tcPr>
                      <w:p w14:paraId="1B22F62A">
                        <w:pPr>
                          <w:spacing w:before="50" w:line="225" w:lineRule="auto"/>
                          <w:ind w:left="486" w:right="81" w:hanging="208"/>
                          <w:rPr>
                            <w:rFonts w:ascii="仿宋" w:hAnsi="仿宋" w:eastAsia="仿宋" w:cs="仿宋"/>
                            <w:sz w:val="20"/>
                            <w:szCs w:val="20"/>
                          </w:rPr>
                        </w:pPr>
                        <w:r>
                          <w:rPr>
                            <w:rFonts w:ascii="仿宋" w:hAnsi="仿宋" w:eastAsia="仿宋" w:cs="仿宋"/>
                            <w:spacing w:val="4"/>
                            <w:sz w:val="20"/>
                            <w:szCs w:val="20"/>
                          </w:rPr>
                          <w:t>道路垃</w:t>
                        </w:r>
                        <w:r>
                          <w:rPr>
                            <w:rFonts w:ascii="仿宋" w:hAnsi="仿宋" w:eastAsia="仿宋" w:cs="仿宋"/>
                            <w:sz w:val="20"/>
                            <w:szCs w:val="20"/>
                          </w:rPr>
                          <w:t>圾</w:t>
                        </w:r>
                      </w:p>
                    </w:tc>
                    <w:tc>
                      <w:tcPr>
                        <w:tcW w:w="6674" w:type="dxa"/>
                        <w:vAlign w:val="top"/>
                      </w:tcPr>
                      <w:p w14:paraId="419C5F7B">
                        <w:pPr>
                          <w:spacing w:before="187" w:line="230" w:lineRule="auto"/>
                          <w:ind w:left="2008"/>
                          <w:rPr>
                            <w:rFonts w:ascii="仿宋" w:hAnsi="仿宋" w:eastAsia="仿宋" w:cs="仿宋"/>
                            <w:sz w:val="20"/>
                            <w:szCs w:val="20"/>
                          </w:rPr>
                        </w:pPr>
                        <w:r>
                          <w:rPr>
                            <w:rFonts w:ascii="仿宋" w:hAnsi="仿宋" w:eastAsia="仿宋" w:cs="仿宋"/>
                            <w:spacing w:val="6"/>
                            <w:sz w:val="20"/>
                            <w:szCs w:val="20"/>
                          </w:rPr>
                          <w:t>由环卫部门定期清理清运处置</w:t>
                        </w:r>
                      </w:p>
                    </w:tc>
                    <w:tc>
                      <w:tcPr>
                        <w:tcW w:w="649" w:type="dxa"/>
                        <w:vMerge w:val="continue"/>
                        <w:tcBorders>
                          <w:top w:val="nil"/>
                          <w:bottom w:val="nil"/>
                          <w:right w:val="nil"/>
                        </w:tcBorders>
                        <w:vAlign w:val="top"/>
                      </w:tcPr>
                      <w:p w14:paraId="5FC801E4">
                        <w:pPr>
                          <w:rPr>
                            <w:rFonts w:ascii="Arial"/>
                            <w:sz w:val="21"/>
                          </w:rPr>
                        </w:pPr>
                      </w:p>
                    </w:tc>
                  </w:tr>
                  <w:tr w14:paraId="050C03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979" w:type="dxa"/>
                        <w:vAlign w:val="top"/>
                      </w:tcPr>
                      <w:p w14:paraId="236418BB">
                        <w:pPr>
                          <w:spacing w:before="188" w:line="234" w:lineRule="auto"/>
                          <w:ind w:left="395"/>
                          <w:rPr>
                            <w:rFonts w:ascii="仿宋" w:hAnsi="仿宋" w:eastAsia="仿宋" w:cs="仿宋"/>
                            <w:sz w:val="20"/>
                            <w:szCs w:val="20"/>
                          </w:rPr>
                        </w:pPr>
                        <w:r>
                          <w:rPr>
                            <w:rFonts w:ascii="仿宋" w:hAnsi="仿宋" w:eastAsia="仿宋" w:cs="仿宋"/>
                            <w:spacing w:val="-5"/>
                            <w:sz w:val="20"/>
                            <w:szCs w:val="20"/>
                          </w:rPr>
                          <w:t>生态</w:t>
                        </w:r>
                      </w:p>
                    </w:tc>
                    <w:tc>
                      <w:tcPr>
                        <w:tcW w:w="6674" w:type="dxa"/>
                        <w:vAlign w:val="top"/>
                      </w:tcPr>
                      <w:p w14:paraId="279EFE33">
                        <w:pPr>
                          <w:spacing w:before="54" w:line="228" w:lineRule="auto"/>
                          <w:jc w:val="right"/>
                          <w:rPr>
                            <w:rFonts w:ascii="仿宋" w:hAnsi="仿宋" w:eastAsia="仿宋" w:cs="仿宋"/>
                            <w:sz w:val="20"/>
                            <w:szCs w:val="20"/>
                          </w:rPr>
                        </w:pPr>
                        <w:r>
                          <w:rPr>
                            <w:rFonts w:ascii="仿宋" w:hAnsi="仿宋" w:eastAsia="仿宋" w:cs="仿宋"/>
                            <w:spacing w:val="2"/>
                            <w:sz w:val="20"/>
                            <w:szCs w:val="20"/>
                          </w:rPr>
                          <w:t>应设置路牌提醒，避免人为破坏植被或生物活动</w:t>
                        </w:r>
                        <w:r>
                          <w:rPr>
                            <w:rFonts w:ascii="仿宋" w:hAnsi="仿宋" w:eastAsia="仿宋" w:cs="仿宋"/>
                            <w:spacing w:val="1"/>
                            <w:sz w:val="20"/>
                            <w:szCs w:val="20"/>
                          </w:rPr>
                          <w:t>空间。若植被因车辆碰撞、</w:t>
                        </w:r>
                      </w:p>
                      <w:p w14:paraId="0F8A58A1">
                        <w:pPr>
                          <w:spacing w:before="24" w:line="196" w:lineRule="auto"/>
                          <w:ind w:left="725"/>
                          <w:rPr>
                            <w:rFonts w:ascii="仿宋" w:hAnsi="仿宋" w:eastAsia="仿宋" w:cs="仿宋"/>
                            <w:sz w:val="20"/>
                            <w:szCs w:val="20"/>
                          </w:rPr>
                        </w:pPr>
                        <w:r>
                          <w:rPr>
                            <w:rFonts w:ascii="仿宋" w:hAnsi="仿宋" w:eastAsia="仿宋" w:cs="仿宋"/>
                            <w:spacing w:val="9"/>
                            <w:sz w:val="20"/>
                            <w:szCs w:val="20"/>
                          </w:rPr>
                          <w:t>人为踩踏受损，需及时补种本地物种，维持</w:t>
                        </w:r>
                        <w:r>
                          <w:rPr>
                            <w:rFonts w:ascii="仿宋" w:hAnsi="仿宋" w:eastAsia="仿宋" w:cs="仿宋"/>
                            <w:spacing w:val="8"/>
                            <w:sz w:val="20"/>
                            <w:szCs w:val="20"/>
                          </w:rPr>
                          <w:t>植被覆盖度。</w:t>
                        </w:r>
                      </w:p>
                    </w:tc>
                    <w:tc>
                      <w:tcPr>
                        <w:tcW w:w="649" w:type="dxa"/>
                        <w:vMerge w:val="continue"/>
                        <w:tcBorders>
                          <w:top w:val="nil"/>
                          <w:bottom w:val="nil"/>
                          <w:right w:val="nil"/>
                        </w:tcBorders>
                        <w:vAlign w:val="top"/>
                      </w:tcPr>
                      <w:p w14:paraId="01F02A41">
                        <w:pPr>
                          <w:rPr>
                            <w:rFonts w:ascii="Arial"/>
                            <w:sz w:val="21"/>
                          </w:rPr>
                        </w:pPr>
                      </w:p>
                    </w:tc>
                  </w:tr>
                  <w:tr w14:paraId="14A44D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979" w:type="dxa"/>
                        <w:tcBorders>
                          <w:bottom w:val="single" w:color="000000" w:sz="10" w:space="0"/>
                        </w:tcBorders>
                        <w:vAlign w:val="top"/>
                      </w:tcPr>
                      <w:p w14:paraId="4697F8EF">
                        <w:pPr>
                          <w:spacing w:before="55" w:line="228" w:lineRule="auto"/>
                          <w:ind w:left="279"/>
                          <w:rPr>
                            <w:rFonts w:ascii="仿宋" w:hAnsi="仿宋" w:eastAsia="仿宋" w:cs="仿宋"/>
                            <w:sz w:val="20"/>
                            <w:szCs w:val="20"/>
                          </w:rPr>
                        </w:pPr>
                        <w:r>
                          <w:rPr>
                            <w:rFonts w:ascii="仿宋" w:hAnsi="仿宋" w:eastAsia="仿宋" w:cs="仿宋"/>
                            <w:spacing w:val="4"/>
                            <w:sz w:val="20"/>
                            <w:szCs w:val="20"/>
                          </w:rPr>
                          <w:t>运输车</w:t>
                        </w:r>
                      </w:p>
                      <w:p w14:paraId="60681325">
                        <w:pPr>
                          <w:spacing w:before="24" w:line="234" w:lineRule="auto"/>
                          <w:ind w:left="383" w:right="81" w:hanging="107"/>
                          <w:rPr>
                            <w:rFonts w:ascii="仿宋" w:hAnsi="仿宋" w:eastAsia="仿宋" w:cs="仿宋"/>
                            <w:sz w:val="20"/>
                            <w:szCs w:val="20"/>
                          </w:rPr>
                        </w:pPr>
                        <w:r>
                          <w:rPr>
                            <w:rFonts w:ascii="仿宋" w:hAnsi="仿宋" w:eastAsia="仿宋" w:cs="仿宋"/>
                            <w:spacing w:val="5"/>
                            <w:sz w:val="20"/>
                            <w:szCs w:val="20"/>
                          </w:rPr>
                          <w:t>辆事故</w:t>
                        </w:r>
                        <w:r>
                          <w:rPr>
                            <w:rFonts w:ascii="仿宋" w:hAnsi="仿宋" w:eastAsia="仿宋" w:cs="仿宋"/>
                            <w:spacing w:val="1"/>
                            <w:sz w:val="20"/>
                            <w:szCs w:val="20"/>
                          </w:rPr>
                          <w:t>风险</w:t>
                        </w:r>
                      </w:p>
                    </w:tc>
                    <w:tc>
                      <w:tcPr>
                        <w:tcW w:w="6674" w:type="dxa"/>
                        <w:tcBorders>
                          <w:bottom w:val="single" w:color="000000" w:sz="10" w:space="0"/>
                        </w:tcBorders>
                        <w:vAlign w:val="top"/>
                      </w:tcPr>
                      <w:p w14:paraId="167C4B43">
                        <w:pPr>
                          <w:pStyle w:val="6"/>
                          <w:spacing w:before="189" w:line="228" w:lineRule="auto"/>
                          <w:ind w:left="13"/>
                          <w:rPr>
                            <w:rFonts w:ascii="仿宋" w:hAnsi="仿宋" w:eastAsia="仿宋" w:cs="仿宋"/>
                            <w:sz w:val="20"/>
                            <w:szCs w:val="20"/>
                          </w:rPr>
                        </w:pPr>
                        <w:r>
                          <w:rPr>
                            <w:rFonts w:ascii="仿宋" w:hAnsi="仿宋" w:eastAsia="仿宋" w:cs="仿宋"/>
                            <w:spacing w:val="8"/>
                            <w:sz w:val="20"/>
                            <w:szCs w:val="20"/>
                          </w:rPr>
                          <w:t>设置</w:t>
                        </w:r>
                        <w:r>
                          <w:rPr>
                            <w:spacing w:val="8"/>
                            <w:sz w:val="20"/>
                            <w:szCs w:val="20"/>
                          </w:rPr>
                          <w:t>“</w:t>
                        </w:r>
                        <w:r>
                          <w:rPr>
                            <w:rFonts w:ascii="仿宋" w:hAnsi="仿宋" w:eastAsia="仿宋" w:cs="仿宋"/>
                            <w:spacing w:val="8"/>
                            <w:sz w:val="20"/>
                            <w:szCs w:val="20"/>
                          </w:rPr>
                          <w:t>谨慎驾驶</w:t>
                        </w:r>
                        <w:r>
                          <w:rPr>
                            <w:spacing w:val="8"/>
                            <w:sz w:val="20"/>
                            <w:szCs w:val="20"/>
                          </w:rPr>
                          <w:t>”</w:t>
                        </w:r>
                        <w:r>
                          <w:rPr>
                            <w:rFonts w:ascii="仿宋" w:hAnsi="仿宋" w:eastAsia="仿宋" w:cs="仿宋"/>
                            <w:spacing w:val="8"/>
                            <w:sz w:val="20"/>
                            <w:szCs w:val="20"/>
                          </w:rPr>
                          <w:t>警示牌和</w:t>
                        </w:r>
                        <w:r>
                          <w:rPr>
                            <w:spacing w:val="8"/>
                            <w:sz w:val="20"/>
                            <w:szCs w:val="20"/>
                          </w:rPr>
                          <w:t>“</w:t>
                        </w:r>
                        <w:r>
                          <w:rPr>
                            <w:spacing w:val="-27"/>
                            <w:sz w:val="20"/>
                            <w:szCs w:val="20"/>
                          </w:rPr>
                          <w:t xml:space="preserve"> </w:t>
                        </w:r>
                        <w:r>
                          <w:rPr>
                            <w:rFonts w:ascii="仿宋" w:hAnsi="仿宋" w:eastAsia="仿宋" w:cs="仿宋"/>
                            <w:spacing w:val="8"/>
                            <w:sz w:val="20"/>
                            <w:szCs w:val="20"/>
                          </w:rPr>
                          <w:t>车辆限速、限行</w:t>
                        </w:r>
                        <w:r>
                          <w:rPr>
                            <w:spacing w:val="8"/>
                            <w:sz w:val="20"/>
                            <w:szCs w:val="20"/>
                          </w:rPr>
                          <w:t>”</w:t>
                        </w:r>
                        <w:r>
                          <w:rPr>
                            <w:rFonts w:ascii="仿宋" w:hAnsi="仿宋" w:eastAsia="仿宋" w:cs="仿宋"/>
                            <w:spacing w:val="8"/>
                            <w:sz w:val="20"/>
                            <w:szCs w:val="20"/>
                          </w:rPr>
                          <w:t>标识牌，提醒危险品车辆驾驶</w:t>
                        </w:r>
                      </w:p>
                      <w:p w14:paraId="71B89F8E">
                        <w:pPr>
                          <w:spacing w:before="26" w:line="228" w:lineRule="auto"/>
                          <w:ind w:left="2209"/>
                          <w:rPr>
                            <w:rFonts w:ascii="仿宋" w:hAnsi="仿宋" w:eastAsia="仿宋" w:cs="仿宋"/>
                            <w:sz w:val="20"/>
                            <w:szCs w:val="20"/>
                          </w:rPr>
                        </w:pPr>
                        <w:r>
                          <w:rPr>
                            <w:rFonts w:ascii="仿宋" w:hAnsi="仿宋" w:eastAsia="仿宋" w:cs="仿宋"/>
                            <w:spacing w:val="6"/>
                            <w:sz w:val="20"/>
                            <w:szCs w:val="20"/>
                          </w:rPr>
                          <w:t>员注意安全、控制车速。</w:t>
                        </w:r>
                      </w:p>
                    </w:tc>
                    <w:tc>
                      <w:tcPr>
                        <w:tcW w:w="649" w:type="dxa"/>
                        <w:vMerge w:val="continue"/>
                        <w:tcBorders>
                          <w:top w:val="nil"/>
                          <w:bottom w:val="single" w:color="000000" w:sz="10" w:space="0"/>
                          <w:right w:val="nil"/>
                        </w:tcBorders>
                        <w:vAlign w:val="top"/>
                      </w:tcPr>
                      <w:p w14:paraId="5CD3DC86">
                        <w:pPr>
                          <w:rPr>
                            <w:rFonts w:ascii="Arial"/>
                            <w:sz w:val="21"/>
                          </w:rPr>
                        </w:pPr>
                      </w:p>
                    </w:tc>
                  </w:tr>
                </w:tbl>
                <w:p w14:paraId="33D1FD42">
                  <w:pPr>
                    <w:pStyle w:val="2"/>
                    <w:rPr>
                      <w:sz w:val="21"/>
                    </w:rPr>
                  </w:pPr>
                </w:p>
              </w:txbxContent>
            </v:textbox>
          </v:shape>
        </w:pict>
      </w:r>
    </w:p>
    <w:p w14:paraId="57106CB4">
      <w:pPr>
        <w:pStyle w:val="2"/>
        <w:spacing w:line="244" w:lineRule="auto"/>
        <w:rPr>
          <w:sz w:val="21"/>
        </w:rPr>
      </w:pPr>
    </w:p>
    <w:p w14:paraId="4927539E">
      <w:pPr>
        <w:pStyle w:val="2"/>
        <w:spacing w:line="244" w:lineRule="auto"/>
        <w:rPr>
          <w:sz w:val="21"/>
        </w:rPr>
      </w:pPr>
    </w:p>
    <w:p w14:paraId="31E64378">
      <w:pPr>
        <w:pStyle w:val="2"/>
        <w:spacing w:line="244" w:lineRule="auto"/>
        <w:rPr>
          <w:sz w:val="21"/>
        </w:rPr>
      </w:pPr>
    </w:p>
    <w:p w14:paraId="47B57A9A">
      <w:pPr>
        <w:pStyle w:val="2"/>
        <w:spacing w:line="244" w:lineRule="auto"/>
        <w:rPr>
          <w:sz w:val="21"/>
        </w:rPr>
      </w:pPr>
    </w:p>
    <w:p w14:paraId="5D872AAA">
      <w:pPr>
        <w:pStyle w:val="2"/>
        <w:spacing w:line="244" w:lineRule="auto"/>
        <w:rPr>
          <w:sz w:val="21"/>
        </w:rPr>
      </w:pPr>
    </w:p>
    <w:p w14:paraId="2C50DF50">
      <w:pPr>
        <w:pStyle w:val="2"/>
        <w:spacing w:line="244" w:lineRule="auto"/>
        <w:rPr>
          <w:sz w:val="21"/>
        </w:rPr>
      </w:pPr>
    </w:p>
    <w:p w14:paraId="13DA5438">
      <w:pPr>
        <w:pStyle w:val="2"/>
        <w:spacing w:line="244" w:lineRule="auto"/>
        <w:rPr>
          <w:sz w:val="21"/>
        </w:rPr>
      </w:pPr>
    </w:p>
    <w:p w14:paraId="2388A65F">
      <w:pPr>
        <w:pStyle w:val="2"/>
        <w:spacing w:line="244" w:lineRule="auto"/>
        <w:rPr>
          <w:sz w:val="21"/>
        </w:rPr>
      </w:pPr>
    </w:p>
    <w:p w14:paraId="23E2ED95">
      <w:pPr>
        <w:pStyle w:val="2"/>
        <w:spacing w:line="244" w:lineRule="auto"/>
        <w:rPr>
          <w:sz w:val="21"/>
        </w:rPr>
      </w:pPr>
    </w:p>
    <w:p w14:paraId="6890648B">
      <w:pPr>
        <w:pStyle w:val="2"/>
        <w:spacing w:line="244" w:lineRule="auto"/>
        <w:rPr>
          <w:sz w:val="21"/>
        </w:rPr>
      </w:pPr>
    </w:p>
    <w:p w14:paraId="22836748">
      <w:pPr>
        <w:pStyle w:val="2"/>
        <w:spacing w:line="244" w:lineRule="auto"/>
        <w:rPr>
          <w:sz w:val="21"/>
        </w:rPr>
      </w:pPr>
    </w:p>
    <w:p w14:paraId="663402B1">
      <w:pPr>
        <w:pStyle w:val="2"/>
        <w:spacing w:line="244" w:lineRule="auto"/>
        <w:rPr>
          <w:sz w:val="21"/>
        </w:rPr>
      </w:pPr>
    </w:p>
    <w:p w14:paraId="2E771543">
      <w:pPr>
        <w:pStyle w:val="2"/>
        <w:spacing w:line="244" w:lineRule="auto"/>
        <w:rPr>
          <w:sz w:val="21"/>
        </w:rPr>
      </w:pPr>
      <w:r>
        <w:pict>
          <v:shape id="_x0000_s1126" o:spid="_x0000_s1126" o:spt="202" type="#_x0000_t202" style="position:absolute;left:0pt;margin-left:-1.45pt;margin-top:1.6pt;height:53.5pt;width:13.7pt;z-index:251692032;mso-width-relative:page;mso-height-relative:page;" filled="f" stroked="f" coordsize="21600,21600">
            <v:path/>
            <v:fill on="f" focussize="0,0"/>
            <v:stroke on="f"/>
            <v:imagedata o:title=""/>
            <o:lock v:ext="edit" aspectratio="f"/>
            <v:textbox inset="0mm,0mm,0mm,0mm" style="layout-flow:vertical-ideographic;">
              <w:txbxContent>
                <w:p w14:paraId="35323910">
                  <w:pPr>
                    <w:spacing w:before="19" w:line="209" w:lineRule="auto"/>
                    <w:ind w:left="20"/>
                    <w:rPr>
                      <w:rFonts w:ascii="仿宋" w:hAnsi="仿宋" w:eastAsia="仿宋" w:cs="仿宋"/>
                      <w:sz w:val="20"/>
                      <w:szCs w:val="20"/>
                    </w:rPr>
                  </w:pPr>
                  <w:r>
                    <w:rPr>
                      <w:rFonts w:ascii="仿宋" w:hAnsi="仿宋" w:eastAsia="仿宋" w:cs="仿宋"/>
                      <w:spacing w:val="-4"/>
                      <w:sz w:val="20"/>
                      <w:szCs w:val="20"/>
                    </w:rPr>
                    <w:t>施</w:t>
                  </w:r>
                  <w:r>
                    <w:rPr>
                      <w:rFonts w:ascii="仿宋" w:hAnsi="仿宋" w:eastAsia="仿宋" w:cs="仿宋"/>
                      <w:spacing w:val="-11"/>
                      <w:sz w:val="20"/>
                      <w:szCs w:val="20"/>
                    </w:rPr>
                    <w:t xml:space="preserve"> </w:t>
                  </w:r>
                  <w:r>
                    <w:rPr>
                      <w:rFonts w:ascii="仿宋" w:hAnsi="仿宋" w:eastAsia="仿宋" w:cs="仿宋"/>
                      <w:spacing w:val="-4"/>
                      <w:sz w:val="20"/>
                      <w:szCs w:val="20"/>
                    </w:rPr>
                    <w:t>工 阶</w:t>
                  </w:r>
                  <w:r>
                    <w:rPr>
                      <w:rFonts w:ascii="仿宋" w:hAnsi="仿宋" w:eastAsia="仿宋" w:cs="仿宋"/>
                      <w:spacing w:val="-41"/>
                      <w:sz w:val="20"/>
                      <w:szCs w:val="20"/>
                    </w:rPr>
                    <w:t xml:space="preserve"> </w:t>
                  </w:r>
                  <w:r>
                    <w:rPr>
                      <w:rFonts w:ascii="仿宋" w:hAnsi="仿宋" w:eastAsia="仿宋" w:cs="仿宋"/>
                      <w:spacing w:val="-4"/>
                      <w:sz w:val="20"/>
                      <w:szCs w:val="20"/>
                    </w:rPr>
                    <w:t>段</w:t>
                  </w:r>
                </w:p>
              </w:txbxContent>
            </v:textbox>
          </v:shape>
        </w:pict>
      </w:r>
    </w:p>
    <w:p w14:paraId="175A80CC">
      <w:pPr>
        <w:pStyle w:val="2"/>
        <w:spacing w:line="244" w:lineRule="auto"/>
        <w:rPr>
          <w:sz w:val="21"/>
        </w:rPr>
      </w:pPr>
    </w:p>
    <w:p w14:paraId="7133B657">
      <w:pPr>
        <w:pStyle w:val="2"/>
        <w:spacing w:line="244" w:lineRule="auto"/>
        <w:rPr>
          <w:sz w:val="21"/>
        </w:rPr>
      </w:pPr>
    </w:p>
    <w:p w14:paraId="556C03E4">
      <w:pPr>
        <w:pStyle w:val="2"/>
        <w:spacing w:line="244" w:lineRule="auto"/>
        <w:rPr>
          <w:sz w:val="21"/>
        </w:rPr>
      </w:pPr>
    </w:p>
    <w:p w14:paraId="42A075F4">
      <w:pPr>
        <w:pStyle w:val="2"/>
        <w:spacing w:line="244" w:lineRule="auto"/>
        <w:rPr>
          <w:sz w:val="21"/>
        </w:rPr>
      </w:pPr>
    </w:p>
    <w:p w14:paraId="3A60DB61">
      <w:pPr>
        <w:pStyle w:val="2"/>
        <w:spacing w:line="244" w:lineRule="auto"/>
        <w:rPr>
          <w:sz w:val="21"/>
        </w:rPr>
      </w:pPr>
    </w:p>
    <w:p w14:paraId="28E46267">
      <w:pPr>
        <w:pStyle w:val="2"/>
        <w:spacing w:line="244" w:lineRule="auto"/>
        <w:rPr>
          <w:sz w:val="21"/>
        </w:rPr>
      </w:pPr>
    </w:p>
    <w:p w14:paraId="677418C7">
      <w:pPr>
        <w:pStyle w:val="2"/>
        <w:spacing w:line="244" w:lineRule="auto"/>
        <w:rPr>
          <w:sz w:val="21"/>
        </w:rPr>
      </w:pPr>
    </w:p>
    <w:p w14:paraId="064C9848">
      <w:pPr>
        <w:pStyle w:val="2"/>
        <w:spacing w:line="244" w:lineRule="auto"/>
        <w:rPr>
          <w:sz w:val="21"/>
        </w:rPr>
      </w:pPr>
    </w:p>
    <w:p w14:paraId="1D0A4C21">
      <w:pPr>
        <w:pStyle w:val="2"/>
        <w:spacing w:line="244" w:lineRule="auto"/>
        <w:rPr>
          <w:sz w:val="21"/>
        </w:rPr>
      </w:pPr>
    </w:p>
    <w:p w14:paraId="59DE6AED">
      <w:pPr>
        <w:pStyle w:val="2"/>
        <w:spacing w:line="244" w:lineRule="auto"/>
        <w:rPr>
          <w:sz w:val="21"/>
        </w:rPr>
      </w:pPr>
    </w:p>
    <w:p w14:paraId="2ECD4D96">
      <w:pPr>
        <w:pStyle w:val="2"/>
        <w:spacing w:line="244" w:lineRule="auto"/>
        <w:rPr>
          <w:sz w:val="21"/>
        </w:rPr>
      </w:pPr>
    </w:p>
    <w:p w14:paraId="6FCC6E68">
      <w:pPr>
        <w:pStyle w:val="2"/>
        <w:spacing w:line="244" w:lineRule="auto"/>
        <w:rPr>
          <w:sz w:val="21"/>
        </w:rPr>
      </w:pPr>
    </w:p>
    <w:p w14:paraId="5393F647">
      <w:pPr>
        <w:pStyle w:val="2"/>
        <w:spacing w:line="244" w:lineRule="auto"/>
        <w:rPr>
          <w:sz w:val="21"/>
        </w:rPr>
      </w:pPr>
    </w:p>
    <w:p w14:paraId="1B06295D">
      <w:pPr>
        <w:pStyle w:val="2"/>
        <w:spacing w:line="244" w:lineRule="auto"/>
        <w:rPr>
          <w:sz w:val="21"/>
        </w:rPr>
      </w:pPr>
    </w:p>
    <w:p w14:paraId="365288EF">
      <w:pPr>
        <w:pStyle w:val="2"/>
        <w:spacing w:line="244" w:lineRule="auto"/>
        <w:rPr>
          <w:sz w:val="21"/>
        </w:rPr>
      </w:pPr>
    </w:p>
    <w:p w14:paraId="531BD51A">
      <w:pPr>
        <w:pStyle w:val="2"/>
        <w:spacing w:line="244" w:lineRule="auto"/>
        <w:rPr>
          <w:sz w:val="21"/>
        </w:rPr>
      </w:pPr>
    </w:p>
    <w:p w14:paraId="338E11D3">
      <w:pPr>
        <w:pStyle w:val="2"/>
        <w:spacing w:line="245" w:lineRule="auto"/>
        <w:rPr>
          <w:sz w:val="21"/>
        </w:rPr>
      </w:pPr>
    </w:p>
    <w:p w14:paraId="6F41F39E">
      <w:pPr>
        <w:pStyle w:val="2"/>
        <w:spacing w:line="245" w:lineRule="auto"/>
        <w:rPr>
          <w:sz w:val="21"/>
        </w:rPr>
      </w:pPr>
    </w:p>
    <w:p w14:paraId="453D78DD">
      <w:pPr>
        <w:pStyle w:val="2"/>
        <w:spacing w:line="245" w:lineRule="auto"/>
        <w:rPr>
          <w:sz w:val="21"/>
        </w:rPr>
      </w:pPr>
    </w:p>
    <w:p w14:paraId="510A06C0">
      <w:pPr>
        <w:pStyle w:val="2"/>
        <w:spacing w:line="245" w:lineRule="auto"/>
        <w:rPr>
          <w:sz w:val="21"/>
        </w:rPr>
      </w:pPr>
    </w:p>
    <w:p w14:paraId="75BBF1FA">
      <w:pPr>
        <w:pStyle w:val="2"/>
        <w:spacing w:line="245" w:lineRule="auto"/>
        <w:rPr>
          <w:sz w:val="21"/>
        </w:rPr>
      </w:pPr>
    </w:p>
    <w:p w14:paraId="6265310D">
      <w:pPr>
        <w:pStyle w:val="2"/>
        <w:spacing w:line="245" w:lineRule="auto"/>
        <w:rPr>
          <w:sz w:val="21"/>
        </w:rPr>
      </w:pPr>
      <w:r>
        <w:pict>
          <v:shape id="_x0000_s1127" o:spid="_x0000_s1127" o:spt="202" type="#_x0000_t202" style="position:absolute;left:0pt;margin-left:-1.35pt;margin-top:0.3pt;height:53.5pt;width:13.55pt;z-index:251694080;mso-width-relative:page;mso-height-relative:page;" filled="f" stroked="f" coordsize="21600,21600">
            <v:path/>
            <v:fill on="f" focussize="0,0"/>
            <v:stroke on="f"/>
            <v:imagedata o:title=""/>
            <o:lock v:ext="edit" aspectratio="f"/>
            <v:textbox inset="0mm,0mm,0mm,0mm" style="layout-flow:vertical-ideographic;">
              <w:txbxContent>
                <w:p w14:paraId="60A6EBE1">
                  <w:pPr>
                    <w:spacing w:before="19" w:line="207" w:lineRule="auto"/>
                    <w:ind w:left="20"/>
                    <w:rPr>
                      <w:rFonts w:ascii="仿宋" w:hAnsi="仿宋" w:eastAsia="仿宋" w:cs="仿宋"/>
                      <w:sz w:val="20"/>
                      <w:szCs w:val="20"/>
                    </w:rPr>
                  </w:pPr>
                  <w:r>
                    <w:rPr>
                      <w:rFonts w:ascii="仿宋" w:hAnsi="仿宋" w:eastAsia="仿宋" w:cs="仿宋"/>
                      <w:spacing w:val="13"/>
                      <w:sz w:val="20"/>
                      <w:szCs w:val="20"/>
                    </w:rPr>
                    <w:t>运</w:t>
                  </w:r>
                  <w:r>
                    <w:rPr>
                      <w:rFonts w:ascii="仿宋" w:hAnsi="仿宋" w:eastAsia="仿宋" w:cs="仿宋"/>
                      <w:spacing w:val="-41"/>
                      <w:sz w:val="20"/>
                      <w:szCs w:val="20"/>
                    </w:rPr>
                    <w:t xml:space="preserve"> </w:t>
                  </w:r>
                  <w:r>
                    <w:rPr>
                      <w:rFonts w:ascii="仿宋" w:hAnsi="仿宋" w:eastAsia="仿宋" w:cs="仿宋"/>
                      <w:spacing w:val="13"/>
                      <w:sz w:val="20"/>
                      <w:szCs w:val="20"/>
                    </w:rPr>
                    <w:t>营</w:t>
                  </w:r>
                  <w:r>
                    <w:rPr>
                      <w:rFonts w:ascii="仿宋" w:hAnsi="仿宋" w:eastAsia="仿宋" w:cs="仿宋"/>
                      <w:spacing w:val="-40"/>
                      <w:sz w:val="20"/>
                      <w:szCs w:val="20"/>
                    </w:rPr>
                    <w:t xml:space="preserve"> </w:t>
                  </w:r>
                  <w:r>
                    <w:rPr>
                      <w:rFonts w:ascii="仿宋" w:hAnsi="仿宋" w:eastAsia="仿宋" w:cs="仿宋"/>
                      <w:spacing w:val="13"/>
                      <w:sz w:val="20"/>
                      <w:szCs w:val="20"/>
                    </w:rPr>
                    <w:t>阶</w:t>
                  </w:r>
                  <w:r>
                    <w:rPr>
                      <w:rFonts w:ascii="仿宋" w:hAnsi="仿宋" w:eastAsia="仿宋" w:cs="仿宋"/>
                      <w:spacing w:val="-43"/>
                      <w:sz w:val="20"/>
                      <w:szCs w:val="20"/>
                    </w:rPr>
                    <w:t xml:space="preserve"> </w:t>
                  </w:r>
                  <w:r>
                    <w:rPr>
                      <w:rFonts w:ascii="仿宋" w:hAnsi="仿宋" w:eastAsia="仿宋" w:cs="仿宋"/>
                      <w:spacing w:val="13"/>
                      <w:sz w:val="20"/>
                      <w:szCs w:val="20"/>
                    </w:rPr>
                    <w:t>段</w:t>
                  </w:r>
                </w:p>
              </w:txbxContent>
            </v:textbox>
          </v:shape>
        </w:pict>
      </w:r>
    </w:p>
    <w:p w14:paraId="5C406D14">
      <w:pPr>
        <w:pStyle w:val="2"/>
        <w:spacing w:line="245" w:lineRule="auto"/>
        <w:rPr>
          <w:sz w:val="21"/>
        </w:rPr>
      </w:pPr>
    </w:p>
    <w:p w14:paraId="1677919F">
      <w:pPr>
        <w:pStyle w:val="2"/>
        <w:spacing w:line="245" w:lineRule="auto"/>
        <w:rPr>
          <w:sz w:val="21"/>
        </w:rPr>
      </w:pPr>
    </w:p>
    <w:p w14:paraId="467DCB44">
      <w:pPr>
        <w:pStyle w:val="2"/>
        <w:spacing w:line="245" w:lineRule="auto"/>
        <w:rPr>
          <w:sz w:val="21"/>
        </w:rPr>
      </w:pPr>
    </w:p>
    <w:p w14:paraId="06FC8127">
      <w:pPr>
        <w:pStyle w:val="2"/>
        <w:spacing w:line="245" w:lineRule="auto"/>
        <w:rPr>
          <w:sz w:val="21"/>
        </w:rPr>
      </w:pPr>
    </w:p>
    <w:p w14:paraId="747CFED8">
      <w:pPr>
        <w:pStyle w:val="2"/>
        <w:spacing w:line="245" w:lineRule="auto"/>
        <w:rPr>
          <w:sz w:val="21"/>
        </w:rPr>
      </w:pPr>
    </w:p>
    <w:p w14:paraId="09AB0576">
      <w:pPr>
        <w:pStyle w:val="2"/>
        <w:spacing w:line="245" w:lineRule="auto"/>
        <w:rPr>
          <w:sz w:val="21"/>
        </w:rPr>
      </w:pPr>
    </w:p>
    <w:p w14:paraId="5D46CBAB">
      <w:pPr>
        <w:pStyle w:val="2"/>
        <w:spacing w:line="245" w:lineRule="auto"/>
        <w:rPr>
          <w:sz w:val="21"/>
        </w:rPr>
      </w:pPr>
    </w:p>
    <w:p w14:paraId="473D2BEE">
      <w:pPr>
        <w:pStyle w:val="2"/>
        <w:spacing w:line="245" w:lineRule="auto"/>
        <w:rPr>
          <w:sz w:val="21"/>
        </w:rPr>
      </w:pPr>
    </w:p>
    <w:p w14:paraId="04710952">
      <w:pPr>
        <w:pStyle w:val="2"/>
        <w:spacing w:line="245" w:lineRule="auto"/>
        <w:rPr>
          <w:sz w:val="21"/>
        </w:rPr>
      </w:pPr>
    </w:p>
    <w:p w14:paraId="660D5F99">
      <w:pPr>
        <w:pStyle w:val="2"/>
        <w:spacing w:line="245" w:lineRule="auto"/>
        <w:rPr>
          <w:sz w:val="21"/>
        </w:rPr>
      </w:pPr>
    </w:p>
    <w:p w14:paraId="1345808A">
      <w:pPr>
        <w:pStyle w:val="2"/>
        <w:spacing w:line="245" w:lineRule="auto"/>
        <w:rPr>
          <w:sz w:val="21"/>
        </w:rPr>
      </w:pPr>
    </w:p>
    <w:p w14:paraId="2A72920C">
      <w:pPr>
        <w:spacing w:before="101" w:line="228" w:lineRule="auto"/>
        <w:ind w:left="27"/>
        <w:outlineLvl w:val="1"/>
        <w:rPr>
          <w:rFonts w:ascii="仿宋" w:hAnsi="仿宋" w:eastAsia="仿宋" w:cs="仿宋"/>
          <w:sz w:val="31"/>
          <w:szCs w:val="31"/>
        </w:rPr>
      </w:pPr>
      <w:bookmarkStart w:id="55" w:name="bookmark58"/>
      <w:bookmarkEnd w:id="55"/>
      <w:r>
        <w:rPr>
          <w:rFonts w:ascii="仿宋" w:hAnsi="仿宋" w:eastAsia="仿宋" w:cs="仿宋"/>
          <w:b/>
          <w:bCs/>
          <w:sz w:val="31"/>
          <w:szCs w:val="31"/>
        </w:rPr>
        <w:t>6.2</w:t>
      </w:r>
      <w:r>
        <w:rPr>
          <w:rFonts w:ascii="仿宋" w:hAnsi="仿宋" w:eastAsia="仿宋" w:cs="仿宋"/>
          <w:spacing w:val="46"/>
          <w:sz w:val="31"/>
          <w:szCs w:val="31"/>
        </w:rPr>
        <w:t xml:space="preserve"> </w:t>
      </w:r>
      <w:r>
        <w:rPr>
          <w:rFonts w:ascii="仿宋" w:hAnsi="仿宋" w:eastAsia="仿宋" w:cs="仿宋"/>
          <w:b/>
          <w:bCs/>
          <w:sz w:val="31"/>
          <w:szCs w:val="31"/>
        </w:rPr>
        <w:t>噪声监测计划</w:t>
      </w:r>
    </w:p>
    <w:p w14:paraId="10F102A5">
      <w:pPr>
        <w:pStyle w:val="2"/>
        <w:spacing w:line="247" w:lineRule="auto"/>
        <w:rPr>
          <w:sz w:val="21"/>
        </w:rPr>
      </w:pPr>
    </w:p>
    <w:p w14:paraId="22A3B02B">
      <w:pPr>
        <w:spacing w:before="78" w:line="222" w:lineRule="auto"/>
        <w:ind w:left="511"/>
        <w:rPr>
          <w:rFonts w:ascii="仿宋" w:hAnsi="仿宋" w:eastAsia="仿宋" w:cs="仿宋"/>
          <w:sz w:val="24"/>
          <w:szCs w:val="24"/>
        </w:rPr>
      </w:pPr>
      <w:r>
        <w:rPr>
          <w:rFonts w:ascii="仿宋" w:hAnsi="仿宋" w:eastAsia="仿宋" w:cs="仿宋"/>
          <w:spacing w:val="-2"/>
          <w:sz w:val="24"/>
          <w:szCs w:val="24"/>
        </w:rPr>
        <w:t>本项目噪声监测计划见表</w:t>
      </w:r>
      <w:r>
        <w:rPr>
          <w:rFonts w:ascii="仿宋" w:hAnsi="仿宋" w:eastAsia="仿宋" w:cs="仿宋"/>
          <w:spacing w:val="-44"/>
          <w:sz w:val="24"/>
          <w:szCs w:val="24"/>
        </w:rPr>
        <w:t xml:space="preserve"> </w:t>
      </w:r>
      <w:r>
        <w:rPr>
          <w:rFonts w:ascii="仿宋" w:hAnsi="仿宋" w:eastAsia="仿宋" w:cs="仿宋"/>
          <w:spacing w:val="-2"/>
          <w:sz w:val="24"/>
          <w:szCs w:val="24"/>
        </w:rPr>
        <w:t>6.2-1。</w:t>
      </w:r>
    </w:p>
    <w:p w14:paraId="7531E2B2">
      <w:pPr>
        <w:spacing w:line="222" w:lineRule="auto"/>
        <w:rPr>
          <w:rFonts w:ascii="仿宋" w:hAnsi="仿宋" w:eastAsia="仿宋" w:cs="仿宋"/>
          <w:sz w:val="24"/>
          <w:szCs w:val="24"/>
        </w:rPr>
        <w:sectPr>
          <w:footerReference r:id="rId192" w:type="default"/>
          <w:pgSz w:w="11905" w:h="16840"/>
          <w:pgMar w:top="400" w:right="1785" w:bottom="1098" w:left="1785" w:header="0" w:footer="936" w:gutter="0"/>
          <w:cols w:space="720" w:num="1"/>
        </w:sectPr>
      </w:pPr>
    </w:p>
    <w:p w14:paraId="463E5642">
      <w:pPr>
        <w:pStyle w:val="2"/>
        <w:spacing w:line="247" w:lineRule="auto"/>
        <w:rPr>
          <w:sz w:val="21"/>
        </w:rPr>
      </w:pPr>
    </w:p>
    <w:p w14:paraId="44361362">
      <w:pPr>
        <w:pStyle w:val="2"/>
        <w:spacing w:line="248" w:lineRule="auto"/>
        <w:rPr>
          <w:sz w:val="21"/>
        </w:rPr>
      </w:pPr>
    </w:p>
    <w:p w14:paraId="3E8AB251">
      <w:pPr>
        <w:pStyle w:val="2"/>
        <w:spacing w:line="248" w:lineRule="auto"/>
        <w:rPr>
          <w:sz w:val="21"/>
        </w:rPr>
      </w:pPr>
    </w:p>
    <w:p w14:paraId="65D9FC5C">
      <w:pPr>
        <w:pStyle w:val="2"/>
        <w:spacing w:line="248" w:lineRule="auto"/>
        <w:rPr>
          <w:sz w:val="21"/>
        </w:rPr>
      </w:pPr>
    </w:p>
    <w:p w14:paraId="34FF128B">
      <w:pPr>
        <w:spacing w:before="78" w:line="222" w:lineRule="auto"/>
        <w:ind w:left="2888"/>
        <w:rPr>
          <w:rFonts w:ascii="仿宋" w:hAnsi="仿宋" w:eastAsia="仿宋" w:cs="仿宋"/>
          <w:sz w:val="24"/>
          <w:szCs w:val="24"/>
        </w:rPr>
      </w:pPr>
      <w:r>
        <w:rPr>
          <w:rFonts w:ascii="仿宋" w:hAnsi="仿宋" w:eastAsia="仿宋" w:cs="仿宋"/>
          <w:b/>
          <w:bCs/>
          <w:spacing w:val="-4"/>
          <w:sz w:val="24"/>
          <w:szCs w:val="24"/>
        </w:rPr>
        <w:t>表</w:t>
      </w:r>
      <w:r>
        <w:rPr>
          <w:rFonts w:ascii="仿宋" w:hAnsi="仿宋" w:eastAsia="仿宋" w:cs="仿宋"/>
          <w:spacing w:val="-44"/>
          <w:sz w:val="24"/>
          <w:szCs w:val="24"/>
        </w:rPr>
        <w:t xml:space="preserve"> </w:t>
      </w:r>
      <w:r>
        <w:rPr>
          <w:rFonts w:ascii="仿宋" w:hAnsi="仿宋" w:eastAsia="仿宋" w:cs="仿宋"/>
          <w:b/>
          <w:bCs/>
          <w:spacing w:val="-4"/>
          <w:sz w:val="24"/>
          <w:szCs w:val="24"/>
        </w:rPr>
        <w:t>6.2-1</w:t>
      </w:r>
      <w:r>
        <w:rPr>
          <w:rFonts w:ascii="仿宋" w:hAnsi="仿宋" w:eastAsia="仿宋" w:cs="仿宋"/>
          <w:spacing w:val="-4"/>
          <w:sz w:val="24"/>
          <w:szCs w:val="24"/>
        </w:rPr>
        <w:t xml:space="preserve">  </w:t>
      </w:r>
      <w:r>
        <w:rPr>
          <w:rFonts w:ascii="仿宋" w:hAnsi="仿宋" w:eastAsia="仿宋" w:cs="仿宋"/>
          <w:b/>
          <w:bCs/>
          <w:spacing w:val="-4"/>
          <w:sz w:val="24"/>
          <w:szCs w:val="24"/>
        </w:rPr>
        <w:t>环境监测计划</w:t>
      </w:r>
    </w:p>
    <w:p w14:paraId="41443EAF">
      <w:pPr>
        <w:spacing w:line="143" w:lineRule="exact"/>
      </w:pPr>
    </w:p>
    <w:tbl>
      <w:tblPr>
        <w:tblStyle w:val="5"/>
        <w:tblW w:w="8304"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59"/>
        <w:gridCol w:w="1105"/>
        <w:gridCol w:w="4150"/>
        <w:gridCol w:w="2690"/>
      </w:tblGrid>
      <w:tr w14:paraId="7352C6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9" w:hRule="atLeast"/>
        </w:trPr>
        <w:tc>
          <w:tcPr>
            <w:tcW w:w="359" w:type="dxa"/>
            <w:vMerge w:val="restart"/>
            <w:tcBorders>
              <w:top w:val="single" w:color="000000" w:sz="10" w:space="0"/>
              <w:left w:val="nil"/>
              <w:bottom w:val="nil"/>
            </w:tcBorders>
            <w:textDirection w:val="tbRlV"/>
            <w:vAlign w:val="top"/>
          </w:tcPr>
          <w:p w14:paraId="7B57BB8D">
            <w:pPr>
              <w:spacing w:before="75" w:line="209" w:lineRule="auto"/>
              <w:ind w:left="39"/>
              <w:rPr>
                <w:rFonts w:ascii="仿宋" w:hAnsi="仿宋" w:eastAsia="仿宋" w:cs="仿宋"/>
                <w:sz w:val="20"/>
                <w:szCs w:val="20"/>
              </w:rPr>
            </w:pPr>
            <w:r>
              <w:rPr>
                <w:rFonts w:ascii="仿宋" w:hAnsi="仿宋" w:eastAsia="仿宋" w:cs="仿宋"/>
                <w:spacing w:val="13"/>
                <w:sz w:val="20"/>
                <w:szCs w:val="20"/>
              </w:rPr>
              <w:t>类</w:t>
            </w:r>
            <w:r>
              <w:rPr>
                <w:rFonts w:ascii="仿宋" w:hAnsi="仿宋" w:eastAsia="仿宋" w:cs="仿宋"/>
                <w:spacing w:val="-42"/>
                <w:sz w:val="20"/>
                <w:szCs w:val="20"/>
              </w:rPr>
              <w:t xml:space="preserve"> </w:t>
            </w:r>
            <w:r>
              <w:rPr>
                <w:rFonts w:ascii="仿宋" w:hAnsi="仿宋" w:eastAsia="仿宋" w:cs="仿宋"/>
                <w:spacing w:val="13"/>
                <w:sz w:val="20"/>
                <w:szCs w:val="20"/>
              </w:rPr>
              <w:t>型</w:t>
            </w:r>
          </w:p>
        </w:tc>
        <w:tc>
          <w:tcPr>
            <w:tcW w:w="1105" w:type="dxa"/>
            <w:vMerge w:val="restart"/>
            <w:tcBorders>
              <w:top w:val="single" w:color="000000" w:sz="10" w:space="0"/>
              <w:bottom w:val="nil"/>
            </w:tcBorders>
            <w:vAlign w:val="top"/>
          </w:tcPr>
          <w:p w14:paraId="48C0A8A6">
            <w:pPr>
              <w:spacing w:before="174" w:line="232" w:lineRule="auto"/>
              <w:ind w:left="353"/>
              <w:rPr>
                <w:rFonts w:ascii="仿宋" w:hAnsi="仿宋" w:eastAsia="仿宋" w:cs="仿宋"/>
                <w:sz w:val="20"/>
                <w:szCs w:val="20"/>
              </w:rPr>
            </w:pPr>
            <w:r>
              <w:rPr>
                <w:rFonts w:ascii="仿宋" w:hAnsi="仿宋" w:eastAsia="仿宋" w:cs="仿宋"/>
                <w:spacing w:val="1"/>
                <w:sz w:val="20"/>
                <w:szCs w:val="20"/>
              </w:rPr>
              <w:t>项目</w:t>
            </w:r>
          </w:p>
        </w:tc>
        <w:tc>
          <w:tcPr>
            <w:tcW w:w="6840" w:type="dxa"/>
            <w:gridSpan w:val="2"/>
            <w:tcBorders>
              <w:top w:val="single" w:color="000000" w:sz="10" w:space="0"/>
              <w:right w:val="nil"/>
            </w:tcBorders>
            <w:vAlign w:val="top"/>
          </w:tcPr>
          <w:p w14:paraId="11BBDB1C">
            <w:pPr>
              <w:spacing w:before="35" w:line="216" w:lineRule="auto"/>
              <w:ind w:left="2807"/>
              <w:rPr>
                <w:rFonts w:ascii="仿宋" w:hAnsi="仿宋" w:eastAsia="仿宋" w:cs="仿宋"/>
                <w:sz w:val="20"/>
                <w:szCs w:val="20"/>
              </w:rPr>
            </w:pPr>
            <w:r>
              <w:rPr>
                <w:rFonts w:ascii="仿宋" w:hAnsi="仿宋" w:eastAsia="仿宋" w:cs="仿宋"/>
                <w:spacing w:val="6"/>
                <w:sz w:val="20"/>
                <w:szCs w:val="20"/>
              </w:rPr>
              <w:t>分期监测方案</w:t>
            </w:r>
          </w:p>
        </w:tc>
      </w:tr>
      <w:tr w14:paraId="604F52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359" w:type="dxa"/>
            <w:vMerge w:val="continue"/>
            <w:tcBorders>
              <w:top w:val="nil"/>
              <w:left w:val="nil"/>
            </w:tcBorders>
            <w:textDirection w:val="tbRlV"/>
            <w:vAlign w:val="top"/>
          </w:tcPr>
          <w:p w14:paraId="590498DD">
            <w:pPr>
              <w:rPr>
                <w:rFonts w:ascii="Arial"/>
                <w:sz w:val="21"/>
              </w:rPr>
            </w:pPr>
          </w:p>
        </w:tc>
        <w:tc>
          <w:tcPr>
            <w:tcW w:w="1105" w:type="dxa"/>
            <w:vMerge w:val="continue"/>
            <w:tcBorders>
              <w:top w:val="nil"/>
            </w:tcBorders>
            <w:vAlign w:val="top"/>
          </w:tcPr>
          <w:p w14:paraId="04E9662E">
            <w:pPr>
              <w:rPr>
                <w:rFonts w:ascii="Arial"/>
                <w:sz w:val="21"/>
              </w:rPr>
            </w:pPr>
          </w:p>
        </w:tc>
        <w:tc>
          <w:tcPr>
            <w:tcW w:w="4150" w:type="dxa"/>
            <w:vAlign w:val="top"/>
          </w:tcPr>
          <w:p w14:paraId="315A6930">
            <w:pPr>
              <w:spacing w:before="34" w:line="214" w:lineRule="auto"/>
              <w:ind w:left="1772"/>
              <w:rPr>
                <w:rFonts w:ascii="仿宋" w:hAnsi="仿宋" w:eastAsia="仿宋" w:cs="仿宋"/>
                <w:sz w:val="20"/>
                <w:szCs w:val="20"/>
              </w:rPr>
            </w:pPr>
            <w:r>
              <w:rPr>
                <w:rFonts w:ascii="仿宋" w:hAnsi="仿宋" w:eastAsia="仿宋" w:cs="仿宋"/>
                <w:spacing w:val="5"/>
                <w:sz w:val="20"/>
                <w:szCs w:val="20"/>
              </w:rPr>
              <w:t>施工期</w:t>
            </w:r>
          </w:p>
        </w:tc>
        <w:tc>
          <w:tcPr>
            <w:tcW w:w="2690" w:type="dxa"/>
            <w:tcBorders>
              <w:right w:val="nil"/>
            </w:tcBorders>
            <w:vAlign w:val="top"/>
          </w:tcPr>
          <w:p w14:paraId="2BFE7BD2">
            <w:pPr>
              <w:spacing w:before="34" w:line="214" w:lineRule="auto"/>
              <w:ind w:left="1046"/>
              <w:rPr>
                <w:rFonts w:ascii="仿宋" w:hAnsi="仿宋" w:eastAsia="仿宋" w:cs="仿宋"/>
                <w:sz w:val="20"/>
                <w:szCs w:val="20"/>
              </w:rPr>
            </w:pPr>
            <w:r>
              <w:rPr>
                <w:rFonts w:ascii="仿宋" w:hAnsi="仿宋" w:eastAsia="仿宋" w:cs="仿宋"/>
                <w:spacing w:val="4"/>
                <w:sz w:val="20"/>
                <w:szCs w:val="20"/>
              </w:rPr>
              <w:t>运营期</w:t>
            </w:r>
          </w:p>
        </w:tc>
      </w:tr>
      <w:tr w14:paraId="53F406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359" w:type="dxa"/>
            <w:tcBorders>
              <w:left w:val="nil"/>
              <w:bottom w:val="nil"/>
            </w:tcBorders>
            <w:vAlign w:val="top"/>
          </w:tcPr>
          <w:p w14:paraId="0EB26D61">
            <w:pPr>
              <w:rPr>
                <w:rFonts w:ascii="Arial"/>
                <w:sz w:val="21"/>
              </w:rPr>
            </w:pPr>
          </w:p>
        </w:tc>
        <w:tc>
          <w:tcPr>
            <w:tcW w:w="1105" w:type="dxa"/>
            <w:vAlign w:val="top"/>
          </w:tcPr>
          <w:p w14:paraId="1506D678">
            <w:pPr>
              <w:spacing w:before="36" w:line="211" w:lineRule="auto"/>
              <w:ind w:left="148"/>
              <w:rPr>
                <w:rFonts w:ascii="仿宋" w:hAnsi="仿宋" w:eastAsia="仿宋" w:cs="仿宋"/>
                <w:sz w:val="20"/>
                <w:szCs w:val="20"/>
              </w:rPr>
            </w:pPr>
            <w:r>
              <w:rPr>
                <w:rFonts w:ascii="仿宋" w:hAnsi="仿宋" w:eastAsia="仿宋" w:cs="仿宋"/>
                <w:spacing w:val="4"/>
                <w:sz w:val="20"/>
                <w:szCs w:val="20"/>
              </w:rPr>
              <w:t>污染来源</w:t>
            </w:r>
          </w:p>
        </w:tc>
        <w:tc>
          <w:tcPr>
            <w:tcW w:w="4150" w:type="dxa"/>
            <w:vAlign w:val="top"/>
          </w:tcPr>
          <w:p w14:paraId="57C779DB">
            <w:pPr>
              <w:spacing w:before="36" w:line="211" w:lineRule="auto"/>
              <w:ind w:left="1455"/>
              <w:rPr>
                <w:rFonts w:ascii="仿宋" w:hAnsi="仿宋" w:eastAsia="仿宋" w:cs="仿宋"/>
                <w:sz w:val="20"/>
                <w:szCs w:val="20"/>
              </w:rPr>
            </w:pPr>
            <w:r>
              <w:rPr>
                <w:rFonts w:ascii="仿宋" w:hAnsi="仿宋" w:eastAsia="仿宋" w:cs="仿宋"/>
                <w:spacing w:val="7"/>
                <w:sz w:val="20"/>
                <w:szCs w:val="20"/>
              </w:rPr>
              <w:t>施工机械噪声</w:t>
            </w:r>
          </w:p>
        </w:tc>
        <w:tc>
          <w:tcPr>
            <w:tcW w:w="2690" w:type="dxa"/>
            <w:tcBorders>
              <w:right w:val="nil"/>
            </w:tcBorders>
            <w:vAlign w:val="top"/>
          </w:tcPr>
          <w:p w14:paraId="06FBD068">
            <w:pPr>
              <w:spacing w:before="36" w:line="211" w:lineRule="auto"/>
              <w:ind w:left="944"/>
              <w:rPr>
                <w:rFonts w:ascii="仿宋" w:hAnsi="仿宋" w:eastAsia="仿宋" w:cs="仿宋"/>
                <w:sz w:val="20"/>
                <w:szCs w:val="20"/>
              </w:rPr>
            </w:pPr>
            <w:r>
              <w:rPr>
                <w:rFonts w:ascii="仿宋" w:hAnsi="仿宋" w:eastAsia="仿宋" w:cs="仿宋"/>
                <w:spacing w:val="4"/>
                <w:sz w:val="20"/>
                <w:szCs w:val="20"/>
              </w:rPr>
              <w:t>交通噪声</w:t>
            </w:r>
          </w:p>
        </w:tc>
      </w:tr>
      <w:tr w14:paraId="000A37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359" w:type="dxa"/>
            <w:tcBorders>
              <w:top w:val="nil"/>
              <w:left w:val="nil"/>
              <w:bottom w:val="nil"/>
            </w:tcBorders>
            <w:vAlign w:val="top"/>
          </w:tcPr>
          <w:p w14:paraId="3A287214">
            <w:pPr>
              <w:rPr>
                <w:rFonts w:ascii="Arial"/>
                <w:sz w:val="21"/>
              </w:rPr>
            </w:pPr>
          </w:p>
        </w:tc>
        <w:tc>
          <w:tcPr>
            <w:tcW w:w="1105" w:type="dxa"/>
            <w:vAlign w:val="top"/>
          </w:tcPr>
          <w:p w14:paraId="1E126B03">
            <w:pPr>
              <w:spacing w:before="37" w:line="210" w:lineRule="auto"/>
              <w:ind w:left="150"/>
              <w:rPr>
                <w:rFonts w:ascii="仿宋" w:hAnsi="仿宋" w:eastAsia="仿宋" w:cs="仿宋"/>
                <w:sz w:val="20"/>
                <w:szCs w:val="20"/>
              </w:rPr>
            </w:pPr>
            <w:r>
              <w:rPr>
                <w:rFonts w:ascii="仿宋" w:hAnsi="仿宋" w:eastAsia="仿宋" w:cs="仿宋"/>
                <w:spacing w:val="4"/>
                <w:sz w:val="20"/>
                <w:szCs w:val="20"/>
              </w:rPr>
              <w:t>监测因子</w:t>
            </w:r>
          </w:p>
        </w:tc>
        <w:tc>
          <w:tcPr>
            <w:tcW w:w="4150" w:type="dxa"/>
            <w:vAlign w:val="top"/>
          </w:tcPr>
          <w:p w14:paraId="5DC7E8B5">
            <w:pPr>
              <w:pStyle w:val="6"/>
              <w:spacing w:before="76" w:line="197" w:lineRule="auto"/>
              <w:ind w:left="1900"/>
              <w:rPr>
                <w:sz w:val="13"/>
                <w:szCs w:val="13"/>
              </w:rPr>
            </w:pPr>
            <w:r>
              <w:rPr>
                <w:spacing w:val="2"/>
                <w:sz w:val="20"/>
                <w:szCs w:val="20"/>
              </w:rPr>
              <w:t>L</w:t>
            </w:r>
            <w:r>
              <w:rPr>
                <w:spacing w:val="2"/>
                <w:sz w:val="13"/>
                <w:szCs w:val="13"/>
              </w:rPr>
              <w:t>Aeq</w:t>
            </w:r>
          </w:p>
        </w:tc>
        <w:tc>
          <w:tcPr>
            <w:tcW w:w="2690" w:type="dxa"/>
            <w:tcBorders>
              <w:right w:val="nil"/>
            </w:tcBorders>
            <w:vAlign w:val="top"/>
          </w:tcPr>
          <w:p w14:paraId="1C5CA948">
            <w:pPr>
              <w:pStyle w:val="6"/>
              <w:spacing w:before="76" w:line="197" w:lineRule="auto"/>
              <w:ind w:left="1172"/>
              <w:rPr>
                <w:sz w:val="13"/>
                <w:szCs w:val="13"/>
              </w:rPr>
            </w:pPr>
            <w:r>
              <w:rPr>
                <w:spacing w:val="2"/>
                <w:sz w:val="20"/>
                <w:szCs w:val="20"/>
              </w:rPr>
              <w:t>L</w:t>
            </w:r>
            <w:r>
              <w:rPr>
                <w:spacing w:val="2"/>
                <w:sz w:val="13"/>
                <w:szCs w:val="13"/>
              </w:rPr>
              <w:t>Aeq</w:t>
            </w:r>
          </w:p>
        </w:tc>
      </w:tr>
      <w:tr w14:paraId="4B8908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6" w:hRule="atLeast"/>
        </w:trPr>
        <w:tc>
          <w:tcPr>
            <w:tcW w:w="359" w:type="dxa"/>
            <w:tcBorders>
              <w:top w:val="nil"/>
              <w:left w:val="nil"/>
              <w:bottom w:val="nil"/>
            </w:tcBorders>
            <w:vAlign w:val="top"/>
          </w:tcPr>
          <w:p w14:paraId="6CC40AA7">
            <w:pPr>
              <w:spacing w:line="245" w:lineRule="auto"/>
              <w:rPr>
                <w:rFonts w:ascii="Arial"/>
                <w:sz w:val="21"/>
              </w:rPr>
            </w:pPr>
          </w:p>
          <w:p w14:paraId="128D9F7B">
            <w:pPr>
              <w:spacing w:before="65" w:line="207" w:lineRule="auto"/>
              <w:ind w:left="85"/>
              <w:rPr>
                <w:rFonts w:ascii="仿宋" w:hAnsi="仿宋" w:eastAsia="仿宋" w:cs="仿宋"/>
                <w:sz w:val="20"/>
                <w:szCs w:val="20"/>
              </w:rPr>
            </w:pPr>
            <w:r>
              <w:rPr>
                <w:rFonts w:ascii="仿宋" w:hAnsi="仿宋" w:eastAsia="仿宋" w:cs="仿宋"/>
                <w:sz w:val="20"/>
                <w:szCs w:val="20"/>
              </w:rPr>
              <w:t>环</w:t>
            </w:r>
          </w:p>
        </w:tc>
        <w:tc>
          <w:tcPr>
            <w:tcW w:w="1105" w:type="dxa"/>
            <w:vAlign w:val="top"/>
          </w:tcPr>
          <w:p w14:paraId="399A0365">
            <w:pPr>
              <w:spacing w:before="175" w:line="229" w:lineRule="auto"/>
              <w:ind w:left="143"/>
              <w:rPr>
                <w:rFonts w:ascii="仿宋" w:hAnsi="仿宋" w:eastAsia="仿宋" w:cs="仿宋"/>
                <w:sz w:val="20"/>
                <w:szCs w:val="20"/>
              </w:rPr>
            </w:pPr>
            <w:r>
              <w:rPr>
                <w:rFonts w:ascii="仿宋" w:hAnsi="仿宋" w:eastAsia="仿宋" w:cs="仿宋"/>
                <w:spacing w:val="6"/>
                <w:sz w:val="20"/>
                <w:szCs w:val="20"/>
              </w:rPr>
              <w:t>执行标准</w:t>
            </w:r>
          </w:p>
        </w:tc>
        <w:tc>
          <w:tcPr>
            <w:tcW w:w="4150" w:type="dxa"/>
            <w:vAlign w:val="top"/>
          </w:tcPr>
          <w:p w14:paraId="509A594A">
            <w:pPr>
              <w:pStyle w:val="6"/>
              <w:spacing w:before="174" w:line="221" w:lineRule="auto"/>
              <w:ind w:left="102"/>
              <w:rPr>
                <w:sz w:val="20"/>
                <w:szCs w:val="20"/>
              </w:rPr>
            </w:pPr>
            <w:r>
              <w:rPr>
                <w:rFonts w:ascii="仿宋" w:hAnsi="仿宋" w:eastAsia="仿宋" w:cs="仿宋"/>
                <w:spacing w:val="7"/>
                <w:sz w:val="20"/>
                <w:szCs w:val="20"/>
              </w:rPr>
              <w:t>《建筑施工噪声排放标准》</w:t>
            </w:r>
            <w:r>
              <w:rPr>
                <w:spacing w:val="7"/>
                <w:sz w:val="20"/>
                <w:szCs w:val="20"/>
              </w:rPr>
              <w:t>(</w:t>
            </w:r>
            <w:r>
              <w:rPr>
                <w:sz w:val="20"/>
                <w:szCs w:val="20"/>
              </w:rPr>
              <w:t>GB</w:t>
            </w:r>
            <w:r>
              <w:rPr>
                <w:spacing w:val="7"/>
                <w:sz w:val="20"/>
                <w:szCs w:val="20"/>
              </w:rPr>
              <w:t>12523-2025)</w:t>
            </w:r>
          </w:p>
        </w:tc>
        <w:tc>
          <w:tcPr>
            <w:tcW w:w="2690" w:type="dxa"/>
            <w:tcBorders>
              <w:right w:val="nil"/>
            </w:tcBorders>
            <w:vAlign w:val="top"/>
          </w:tcPr>
          <w:p w14:paraId="6511E4E6">
            <w:pPr>
              <w:spacing w:before="40" w:line="231" w:lineRule="auto"/>
              <w:ind w:left="413"/>
              <w:rPr>
                <w:rFonts w:ascii="仿宋" w:hAnsi="仿宋" w:eastAsia="仿宋" w:cs="仿宋"/>
                <w:sz w:val="20"/>
                <w:szCs w:val="20"/>
              </w:rPr>
            </w:pPr>
            <w:r>
              <w:rPr>
                <w:rFonts w:ascii="仿宋" w:hAnsi="仿宋" w:eastAsia="仿宋" w:cs="仿宋"/>
                <w:spacing w:val="7"/>
                <w:sz w:val="20"/>
                <w:szCs w:val="20"/>
              </w:rPr>
              <w:t>《声环境质量标准》</w:t>
            </w:r>
          </w:p>
          <w:p w14:paraId="6C60DF5D">
            <w:pPr>
              <w:pStyle w:val="6"/>
              <w:spacing w:before="21" w:line="207" w:lineRule="auto"/>
              <w:ind w:left="80"/>
              <w:rPr>
                <w:rFonts w:ascii="仿宋" w:hAnsi="仿宋" w:eastAsia="仿宋" w:cs="仿宋"/>
                <w:sz w:val="20"/>
                <w:szCs w:val="20"/>
              </w:rPr>
            </w:pPr>
            <w:r>
              <w:rPr>
                <w:spacing w:val="5"/>
                <w:sz w:val="20"/>
                <w:szCs w:val="20"/>
              </w:rPr>
              <w:t>(</w:t>
            </w:r>
            <w:r>
              <w:rPr>
                <w:sz w:val="20"/>
                <w:szCs w:val="20"/>
              </w:rPr>
              <w:t>BG</w:t>
            </w:r>
            <w:r>
              <w:rPr>
                <w:spacing w:val="5"/>
                <w:sz w:val="20"/>
                <w:szCs w:val="20"/>
              </w:rPr>
              <w:t>3096-2008)1</w:t>
            </w:r>
            <w:r>
              <w:rPr>
                <w:spacing w:val="24"/>
                <w:sz w:val="20"/>
                <w:szCs w:val="20"/>
              </w:rPr>
              <w:t xml:space="preserve"> </w:t>
            </w:r>
            <w:r>
              <w:rPr>
                <w:rFonts w:ascii="仿宋" w:hAnsi="仿宋" w:eastAsia="仿宋" w:cs="仿宋"/>
                <w:spacing w:val="5"/>
                <w:sz w:val="20"/>
                <w:szCs w:val="20"/>
              </w:rPr>
              <w:t>类标准限值</w:t>
            </w:r>
          </w:p>
        </w:tc>
      </w:tr>
      <w:tr w14:paraId="0FC963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359" w:type="dxa"/>
            <w:tcBorders>
              <w:top w:val="nil"/>
              <w:left w:val="nil"/>
              <w:bottom w:val="nil"/>
            </w:tcBorders>
            <w:textDirection w:val="tbRlV"/>
            <w:vAlign w:val="top"/>
          </w:tcPr>
          <w:p w14:paraId="40FC693D">
            <w:pPr>
              <w:spacing w:before="75" w:line="210" w:lineRule="auto"/>
              <w:ind w:left="31"/>
              <w:rPr>
                <w:rFonts w:ascii="仿宋" w:hAnsi="仿宋" w:eastAsia="仿宋" w:cs="仿宋"/>
                <w:sz w:val="20"/>
                <w:szCs w:val="20"/>
              </w:rPr>
            </w:pPr>
            <w:r>
              <w:rPr>
                <w:rFonts w:ascii="仿宋" w:hAnsi="仿宋" w:eastAsia="仿宋" w:cs="仿宋"/>
                <w:spacing w:val="13"/>
                <w:sz w:val="20"/>
                <w:szCs w:val="20"/>
              </w:rPr>
              <w:t>境</w:t>
            </w:r>
            <w:r>
              <w:rPr>
                <w:rFonts w:ascii="仿宋" w:hAnsi="仿宋" w:eastAsia="仿宋" w:cs="仿宋"/>
                <w:spacing w:val="-39"/>
                <w:sz w:val="20"/>
                <w:szCs w:val="20"/>
              </w:rPr>
              <w:t xml:space="preserve"> </w:t>
            </w:r>
            <w:r>
              <w:rPr>
                <w:rFonts w:ascii="仿宋" w:hAnsi="仿宋" w:eastAsia="仿宋" w:cs="仿宋"/>
                <w:spacing w:val="13"/>
                <w:sz w:val="20"/>
                <w:szCs w:val="20"/>
              </w:rPr>
              <w:t>噪</w:t>
            </w:r>
            <w:r>
              <w:rPr>
                <w:rFonts w:ascii="仿宋" w:hAnsi="仿宋" w:eastAsia="仿宋" w:cs="仿宋"/>
                <w:spacing w:val="-43"/>
                <w:sz w:val="20"/>
                <w:szCs w:val="20"/>
              </w:rPr>
              <w:t xml:space="preserve"> </w:t>
            </w:r>
            <w:r>
              <w:rPr>
                <w:rFonts w:ascii="仿宋" w:hAnsi="仿宋" w:eastAsia="仿宋" w:cs="仿宋"/>
                <w:spacing w:val="13"/>
                <w:sz w:val="20"/>
                <w:szCs w:val="20"/>
              </w:rPr>
              <w:t>声</w:t>
            </w:r>
          </w:p>
        </w:tc>
        <w:tc>
          <w:tcPr>
            <w:tcW w:w="1105" w:type="dxa"/>
            <w:vAlign w:val="top"/>
          </w:tcPr>
          <w:p w14:paraId="3D58434D">
            <w:pPr>
              <w:spacing w:line="248" w:lineRule="auto"/>
              <w:rPr>
                <w:rFonts w:ascii="Arial"/>
                <w:sz w:val="21"/>
              </w:rPr>
            </w:pPr>
          </w:p>
          <w:p w14:paraId="33A6026E">
            <w:pPr>
              <w:spacing w:before="65" w:line="230" w:lineRule="auto"/>
              <w:ind w:left="150"/>
              <w:rPr>
                <w:rFonts w:ascii="仿宋" w:hAnsi="仿宋" w:eastAsia="仿宋" w:cs="仿宋"/>
                <w:sz w:val="20"/>
                <w:szCs w:val="20"/>
              </w:rPr>
            </w:pPr>
            <w:r>
              <w:rPr>
                <w:rFonts w:ascii="仿宋" w:hAnsi="仿宋" w:eastAsia="仿宋" w:cs="仿宋"/>
                <w:spacing w:val="4"/>
                <w:sz w:val="20"/>
                <w:szCs w:val="20"/>
              </w:rPr>
              <w:t>监测点位</w:t>
            </w:r>
          </w:p>
        </w:tc>
        <w:tc>
          <w:tcPr>
            <w:tcW w:w="4150" w:type="dxa"/>
            <w:vAlign w:val="top"/>
          </w:tcPr>
          <w:p w14:paraId="766FB4B4">
            <w:pPr>
              <w:spacing w:before="178" w:line="230" w:lineRule="auto"/>
              <w:ind w:left="16"/>
              <w:rPr>
                <w:rFonts w:ascii="仿宋" w:hAnsi="仿宋" w:eastAsia="仿宋" w:cs="仿宋"/>
                <w:sz w:val="20"/>
                <w:szCs w:val="20"/>
              </w:rPr>
            </w:pPr>
            <w:r>
              <w:rPr>
                <w:rFonts w:ascii="仿宋" w:hAnsi="仿宋" w:eastAsia="仿宋" w:cs="仿宋"/>
                <w:spacing w:val="6"/>
                <w:sz w:val="20"/>
                <w:szCs w:val="20"/>
              </w:rPr>
              <w:t>份子地社新村、西圪旦、张家圪旦、陈家梁等</w:t>
            </w:r>
          </w:p>
          <w:p w14:paraId="015D19B5">
            <w:pPr>
              <w:spacing w:before="24" w:line="231" w:lineRule="auto"/>
              <w:ind w:left="827"/>
              <w:rPr>
                <w:rFonts w:ascii="仿宋" w:hAnsi="仿宋" w:eastAsia="仿宋" w:cs="仿宋"/>
                <w:sz w:val="20"/>
                <w:szCs w:val="20"/>
              </w:rPr>
            </w:pPr>
            <w:r>
              <w:rPr>
                <w:rFonts w:ascii="仿宋" w:hAnsi="仿宋" w:eastAsia="仿宋" w:cs="仿宋"/>
                <w:spacing w:val="8"/>
                <w:sz w:val="20"/>
                <w:szCs w:val="20"/>
              </w:rPr>
              <w:t>敏感点边界面向本工程一侧</w:t>
            </w:r>
          </w:p>
        </w:tc>
        <w:tc>
          <w:tcPr>
            <w:tcW w:w="2690" w:type="dxa"/>
            <w:tcBorders>
              <w:right w:val="nil"/>
            </w:tcBorders>
            <w:vAlign w:val="top"/>
          </w:tcPr>
          <w:p w14:paraId="5C75A179">
            <w:pPr>
              <w:spacing w:before="43" w:line="230" w:lineRule="auto"/>
              <w:ind w:right="2"/>
              <w:jc w:val="right"/>
              <w:rPr>
                <w:rFonts w:ascii="仿宋" w:hAnsi="仿宋" w:eastAsia="仿宋" w:cs="仿宋"/>
                <w:sz w:val="20"/>
                <w:szCs w:val="20"/>
              </w:rPr>
            </w:pPr>
            <w:r>
              <w:rPr>
                <w:rFonts w:ascii="仿宋" w:hAnsi="仿宋" w:eastAsia="仿宋" w:cs="仿宋"/>
                <w:spacing w:val="5"/>
                <w:sz w:val="20"/>
                <w:szCs w:val="20"/>
              </w:rPr>
              <w:t>份子地社新村、西圪旦、张家</w:t>
            </w:r>
          </w:p>
          <w:p w14:paraId="0F87BF91">
            <w:pPr>
              <w:spacing w:before="21" w:line="231" w:lineRule="auto"/>
              <w:ind w:right="2"/>
              <w:jc w:val="right"/>
              <w:rPr>
                <w:rFonts w:ascii="仿宋" w:hAnsi="仿宋" w:eastAsia="仿宋" w:cs="仿宋"/>
                <w:sz w:val="20"/>
                <w:szCs w:val="20"/>
              </w:rPr>
            </w:pPr>
            <w:r>
              <w:rPr>
                <w:rFonts w:ascii="仿宋" w:hAnsi="仿宋" w:eastAsia="仿宋" w:cs="仿宋"/>
                <w:spacing w:val="4"/>
                <w:sz w:val="20"/>
                <w:szCs w:val="20"/>
              </w:rPr>
              <w:t>圪旦、陈家梁等敏感点面向工</w:t>
            </w:r>
          </w:p>
          <w:p w14:paraId="371D28A7">
            <w:pPr>
              <w:spacing w:before="20" w:line="203" w:lineRule="auto"/>
              <w:ind w:left="1046"/>
              <w:rPr>
                <w:rFonts w:ascii="仿宋" w:hAnsi="仿宋" w:eastAsia="仿宋" w:cs="仿宋"/>
                <w:sz w:val="20"/>
                <w:szCs w:val="20"/>
              </w:rPr>
            </w:pPr>
            <w:r>
              <w:rPr>
                <w:rFonts w:ascii="仿宋" w:hAnsi="仿宋" w:eastAsia="仿宋" w:cs="仿宋"/>
                <w:spacing w:val="4"/>
                <w:sz w:val="20"/>
                <w:szCs w:val="20"/>
              </w:rPr>
              <w:t>程一侧</w:t>
            </w:r>
          </w:p>
        </w:tc>
      </w:tr>
      <w:tr w14:paraId="376483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9" w:hRule="atLeast"/>
        </w:trPr>
        <w:tc>
          <w:tcPr>
            <w:tcW w:w="359" w:type="dxa"/>
            <w:tcBorders>
              <w:top w:val="nil"/>
              <w:left w:val="nil"/>
              <w:bottom w:val="single" w:color="000000" w:sz="10" w:space="0"/>
            </w:tcBorders>
            <w:vAlign w:val="top"/>
          </w:tcPr>
          <w:p w14:paraId="4F129249">
            <w:pPr>
              <w:rPr>
                <w:rFonts w:ascii="Arial"/>
                <w:sz w:val="21"/>
              </w:rPr>
            </w:pPr>
          </w:p>
        </w:tc>
        <w:tc>
          <w:tcPr>
            <w:tcW w:w="1105" w:type="dxa"/>
            <w:tcBorders>
              <w:bottom w:val="single" w:color="000000" w:sz="10" w:space="0"/>
            </w:tcBorders>
            <w:vAlign w:val="top"/>
          </w:tcPr>
          <w:p w14:paraId="2B165BD6">
            <w:pPr>
              <w:spacing w:line="255" w:lineRule="auto"/>
              <w:rPr>
                <w:rFonts w:ascii="Arial"/>
                <w:sz w:val="21"/>
              </w:rPr>
            </w:pPr>
          </w:p>
          <w:p w14:paraId="77897BC2">
            <w:pPr>
              <w:spacing w:before="65" w:line="232" w:lineRule="auto"/>
              <w:ind w:left="150"/>
              <w:rPr>
                <w:rFonts w:ascii="仿宋" w:hAnsi="仿宋" w:eastAsia="仿宋" w:cs="仿宋"/>
                <w:sz w:val="20"/>
                <w:szCs w:val="20"/>
              </w:rPr>
            </w:pPr>
            <w:r>
              <w:rPr>
                <w:rFonts w:ascii="仿宋" w:hAnsi="仿宋" w:eastAsia="仿宋" w:cs="仿宋"/>
                <w:spacing w:val="4"/>
                <w:sz w:val="20"/>
                <w:szCs w:val="20"/>
              </w:rPr>
              <w:t>监测频次</w:t>
            </w:r>
          </w:p>
        </w:tc>
        <w:tc>
          <w:tcPr>
            <w:tcW w:w="4150" w:type="dxa"/>
            <w:tcBorders>
              <w:bottom w:val="single" w:color="000000" w:sz="10" w:space="0"/>
            </w:tcBorders>
            <w:vAlign w:val="top"/>
          </w:tcPr>
          <w:p w14:paraId="1CB75D98">
            <w:pPr>
              <w:pStyle w:val="6"/>
              <w:spacing w:before="185" w:line="251" w:lineRule="auto"/>
              <w:ind w:left="16" w:right="69" w:firstLine="9"/>
              <w:rPr>
                <w:rFonts w:ascii="仿宋" w:hAnsi="仿宋" w:eastAsia="仿宋" w:cs="仿宋"/>
                <w:sz w:val="20"/>
                <w:szCs w:val="20"/>
              </w:rPr>
            </w:pPr>
            <w:r>
              <w:rPr>
                <w:spacing w:val="6"/>
                <w:sz w:val="20"/>
                <w:szCs w:val="20"/>
              </w:rPr>
              <w:t>1</w:t>
            </w:r>
            <w:r>
              <w:rPr>
                <w:spacing w:val="18"/>
                <w:sz w:val="20"/>
                <w:szCs w:val="20"/>
              </w:rPr>
              <w:t xml:space="preserve"> </w:t>
            </w:r>
            <w:r>
              <w:rPr>
                <w:rFonts w:ascii="仿宋" w:hAnsi="仿宋" w:eastAsia="仿宋" w:cs="仿宋"/>
                <w:spacing w:val="6"/>
                <w:sz w:val="20"/>
                <w:szCs w:val="20"/>
              </w:rPr>
              <w:t>次</w:t>
            </w:r>
            <w:r>
              <w:rPr>
                <w:spacing w:val="6"/>
                <w:sz w:val="20"/>
                <w:szCs w:val="20"/>
              </w:rPr>
              <w:t>/</w:t>
            </w:r>
            <w:r>
              <w:rPr>
                <w:rFonts w:ascii="仿宋" w:hAnsi="仿宋" w:eastAsia="仿宋" w:cs="仿宋"/>
                <w:spacing w:val="6"/>
                <w:sz w:val="20"/>
                <w:szCs w:val="20"/>
              </w:rPr>
              <w:t>季</w:t>
            </w:r>
            <w:r>
              <w:rPr>
                <w:spacing w:val="6"/>
                <w:sz w:val="20"/>
                <w:szCs w:val="20"/>
              </w:rPr>
              <w:t>•</w:t>
            </w:r>
            <w:r>
              <w:rPr>
                <w:rFonts w:ascii="仿宋" w:hAnsi="仿宋" w:eastAsia="仿宋" w:cs="仿宋"/>
                <w:spacing w:val="6"/>
                <w:sz w:val="20"/>
                <w:szCs w:val="20"/>
              </w:rPr>
              <w:t>处，必要时随机抽测，</w:t>
            </w:r>
            <w:r>
              <w:rPr>
                <w:spacing w:val="6"/>
                <w:sz w:val="20"/>
                <w:szCs w:val="20"/>
              </w:rPr>
              <w:t>1</w:t>
            </w:r>
            <w:r>
              <w:rPr>
                <w:spacing w:val="16"/>
                <w:sz w:val="20"/>
                <w:szCs w:val="20"/>
              </w:rPr>
              <w:t xml:space="preserve"> </w:t>
            </w:r>
            <w:r>
              <w:rPr>
                <w:rFonts w:ascii="仿宋" w:hAnsi="仿宋" w:eastAsia="仿宋" w:cs="仿宋"/>
                <w:spacing w:val="6"/>
                <w:sz w:val="20"/>
                <w:szCs w:val="20"/>
              </w:rPr>
              <w:t>天</w:t>
            </w:r>
            <w:r>
              <w:rPr>
                <w:spacing w:val="6"/>
                <w:sz w:val="20"/>
                <w:szCs w:val="20"/>
              </w:rPr>
              <w:t>/</w:t>
            </w:r>
            <w:r>
              <w:rPr>
                <w:rFonts w:ascii="仿宋" w:hAnsi="仿宋" w:eastAsia="仿宋" w:cs="仿宋"/>
                <w:spacing w:val="6"/>
                <w:sz w:val="20"/>
                <w:szCs w:val="20"/>
              </w:rPr>
              <w:t>次，昼夜</w:t>
            </w:r>
            <w:r>
              <w:rPr>
                <w:rFonts w:ascii="仿宋" w:hAnsi="仿宋" w:eastAsia="仿宋" w:cs="仿宋"/>
                <w:spacing w:val="3"/>
                <w:sz w:val="20"/>
                <w:szCs w:val="20"/>
              </w:rPr>
              <w:t>各一次。</w:t>
            </w:r>
          </w:p>
        </w:tc>
        <w:tc>
          <w:tcPr>
            <w:tcW w:w="2690" w:type="dxa"/>
            <w:tcBorders>
              <w:bottom w:val="single" w:color="000000" w:sz="10" w:space="0"/>
              <w:right w:val="nil"/>
            </w:tcBorders>
            <w:vAlign w:val="top"/>
          </w:tcPr>
          <w:p w14:paraId="0C282EFD">
            <w:pPr>
              <w:pStyle w:val="6"/>
              <w:spacing w:before="49"/>
              <w:ind w:left="18" w:right="2"/>
              <w:jc w:val="both"/>
              <w:rPr>
                <w:rFonts w:ascii="仿宋" w:hAnsi="仿宋" w:eastAsia="仿宋" w:cs="仿宋"/>
                <w:sz w:val="20"/>
                <w:szCs w:val="20"/>
              </w:rPr>
            </w:pPr>
            <w:r>
              <w:rPr>
                <w:rFonts w:ascii="仿宋" w:hAnsi="仿宋" w:eastAsia="仿宋" w:cs="仿宋"/>
                <w:spacing w:val="4"/>
                <w:sz w:val="20"/>
                <w:szCs w:val="20"/>
              </w:rPr>
              <w:t>近期</w:t>
            </w:r>
            <w:r>
              <w:rPr>
                <w:rFonts w:ascii="仿宋" w:hAnsi="仿宋" w:eastAsia="仿宋" w:cs="仿宋"/>
                <w:spacing w:val="-36"/>
                <w:sz w:val="20"/>
                <w:szCs w:val="20"/>
              </w:rPr>
              <w:t xml:space="preserve"> </w:t>
            </w:r>
            <w:r>
              <w:rPr>
                <w:spacing w:val="4"/>
                <w:sz w:val="20"/>
                <w:szCs w:val="20"/>
              </w:rPr>
              <w:t>2</w:t>
            </w:r>
            <w:r>
              <w:rPr>
                <w:spacing w:val="18"/>
                <w:sz w:val="20"/>
                <w:szCs w:val="20"/>
              </w:rPr>
              <w:t xml:space="preserve"> </w:t>
            </w:r>
            <w:r>
              <w:rPr>
                <w:rFonts w:ascii="仿宋" w:hAnsi="仿宋" w:eastAsia="仿宋" w:cs="仿宋"/>
                <w:spacing w:val="4"/>
                <w:sz w:val="20"/>
                <w:szCs w:val="20"/>
              </w:rPr>
              <w:t>次</w:t>
            </w:r>
            <w:r>
              <w:rPr>
                <w:spacing w:val="4"/>
                <w:sz w:val="20"/>
                <w:szCs w:val="20"/>
              </w:rPr>
              <w:t>/</w:t>
            </w:r>
            <w:r>
              <w:rPr>
                <w:rFonts w:ascii="仿宋" w:hAnsi="仿宋" w:eastAsia="仿宋" w:cs="仿宋"/>
                <w:spacing w:val="4"/>
                <w:sz w:val="20"/>
                <w:szCs w:val="20"/>
              </w:rPr>
              <w:t>年，</w:t>
            </w:r>
            <w:r>
              <w:rPr>
                <w:spacing w:val="4"/>
                <w:sz w:val="20"/>
                <w:szCs w:val="20"/>
              </w:rPr>
              <w:t>2</w:t>
            </w:r>
            <w:r>
              <w:rPr>
                <w:spacing w:val="16"/>
                <w:sz w:val="20"/>
                <w:szCs w:val="20"/>
              </w:rPr>
              <w:t xml:space="preserve"> </w:t>
            </w:r>
            <w:r>
              <w:rPr>
                <w:rFonts w:ascii="仿宋" w:hAnsi="仿宋" w:eastAsia="仿宋" w:cs="仿宋"/>
                <w:spacing w:val="4"/>
                <w:sz w:val="20"/>
                <w:szCs w:val="20"/>
              </w:rPr>
              <w:t>天</w:t>
            </w:r>
            <w:r>
              <w:rPr>
                <w:spacing w:val="4"/>
                <w:sz w:val="20"/>
                <w:szCs w:val="20"/>
              </w:rPr>
              <w:t>/</w:t>
            </w:r>
            <w:r>
              <w:rPr>
                <w:rFonts w:ascii="仿宋" w:hAnsi="仿宋" w:eastAsia="仿宋" w:cs="仿宋"/>
                <w:spacing w:val="4"/>
                <w:sz w:val="20"/>
                <w:szCs w:val="20"/>
              </w:rPr>
              <w:t>次，每天</w:t>
            </w:r>
            <w:r>
              <w:rPr>
                <w:rFonts w:ascii="仿宋" w:hAnsi="仿宋" w:eastAsia="仿宋" w:cs="仿宋"/>
                <w:spacing w:val="1"/>
                <w:sz w:val="20"/>
                <w:szCs w:val="20"/>
              </w:rPr>
              <w:t>昼间、夜间各监测</w:t>
            </w:r>
            <w:r>
              <w:rPr>
                <w:rFonts w:ascii="仿宋" w:hAnsi="仿宋" w:eastAsia="仿宋" w:cs="仿宋"/>
                <w:spacing w:val="-15"/>
                <w:sz w:val="20"/>
                <w:szCs w:val="20"/>
              </w:rPr>
              <w:t xml:space="preserve"> </w:t>
            </w:r>
            <w:r>
              <w:rPr>
                <w:spacing w:val="1"/>
                <w:sz w:val="20"/>
                <w:szCs w:val="20"/>
              </w:rPr>
              <w:t>1</w:t>
            </w:r>
            <w:r>
              <w:rPr>
                <w:spacing w:val="18"/>
                <w:sz w:val="20"/>
                <w:szCs w:val="20"/>
              </w:rPr>
              <w:t xml:space="preserve"> </w:t>
            </w:r>
            <w:r>
              <w:rPr>
                <w:rFonts w:ascii="仿宋" w:hAnsi="仿宋" w:eastAsia="仿宋" w:cs="仿宋"/>
                <w:spacing w:val="1"/>
                <w:sz w:val="20"/>
                <w:szCs w:val="20"/>
              </w:rPr>
              <w:t>次；中远</w:t>
            </w:r>
            <w:r>
              <w:rPr>
                <w:rFonts w:ascii="仿宋" w:hAnsi="仿宋" w:eastAsia="仿宋" w:cs="仿宋"/>
                <w:spacing w:val="7"/>
                <w:sz w:val="20"/>
                <w:szCs w:val="20"/>
              </w:rPr>
              <w:t>期可适当减少监测频次。</w:t>
            </w:r>
          </w:p>
        </w:tc>
      </w:tr>
    </w:tbl>
    <w:p w14:paraId="0B87462B">
      <w:pPr>
        <w:spacing w:before="294" w:line="228" w:lineRule="auto"/>
        <w:ind w:left="35"/>
        <w:outlineLvl w:val="0"/>
        <w:rPr>
          <w:rFonts w:ascii="仿宋" w:hAnsi="仿宋" w:eastAsia="仿宋" w:cs="仿宋"/>
          <w:sz w:val="35"/>
          <w:szCs w:val="35"/>
        </w:rPr>
      </w:pPr>
      <w:bookmarkStart w:id="56" w:name="bookmark59"/>
      <w:bookmarkEnd w:id="56"/>
      <w:r>
        <w:rPr>
          <w:rFonts w:ascii="仿宋" w:hAnsi="仿宋" w:eastAsia="仿宋" w:cs="仿宋"/>
          <w:b/>
          <w:bCs/>
          <w:spacing w:val="-4"/>
          <w:sz w:val="35"/>
          <w:szCs w:val="35"/>
        </w:rPr>
        <w:t>7</w:t>
      </w:r>
      <w:r>
        <w:rPr>
          <w:rFonts w:ascii="仿宋" w:hAnsi="仿宋" w:eastAsia="仿宋" w:cs="仿宋"/>
          <w:spacing w:val="36"/>
          <w:sz w:val="35"/>
          <w:szCs w:val="35"/>
        </w:rPr>
        <w:t xml:space="preserve"> </w:t>
      </w:r>
      <w:r>
        <w:rPr>
          <w:rFonts w:ascii="仿宋" w:hAnsi="仿宋" w:eastAsia="仿宋" w:cs="仿宋"/>
          <w:b/>
          <w:bCs/>
          <w:spacing w:val="-4"/>
          <w:sz w:val="35"/>
          <w:szCs w:val="35"/>
        </w:rPr>
        <w:t>评价结论</w:t>
      </w:r>
    </w:p>
    <w:p w14:paraId="01F4EC72">
      <w:pPr>
        <w:spacing w:before="271" w:line="222" w:lineRule="auto"/>
        <w:ind w:left="515"/>
        <w:rPr>
          <w:rFonts w:ascii="仿宋" w:hAnsi="仿宋" w:eastAsia="仿宋" w:cs="仿宋"/>
          <w:sz w:val="24"/>
          <w:szCs w:val="24"/>
        </w:rPr>
      </w:pPr>
      <w:r>
        <w:rPr>
          <w:rFonts w:ascii="仿宋" w:hAnsi="仿宋" w:eastAsia="仿宋" w:cs="仿宋"/>
          <w:spacing w:val="-3"/>
          <w:sz w:val="24"/>
          <w:szCs w:val="24"/>
        </w:rPr>
        <w:t>（1）现状声环境</w:t>
      </w:r>
    </w:p>
    <w:p w14:paraId="657F9ABD">
      <w:pPr>
        <w:spacing w:before="162" w:line="347" w:lineRule="auto"/>
        <w:ind w:left="30" w:firstLine="480"/>
        <w:rPr>
          <w:rFonts w:ascii="仿宋" w:hAnsi="仿宋" w:eastAsia="仿宋" w:cs="仿宋"/>
          <w:sz w:val="24"/>
          <w:szCs w:val="24"/>
        </w:rPr>
      </w:pPr>
      <w:r>
        <w:rPr>
          <w:rFonts w:ascii="仿宋" w:hAnsi="仿宋" w:eastAsia="仿宋" w:cs="仿宋"/>
          <w:spacing w:val="-9"/>
          <w:sz w:val="24"/>
          <w:szCs w:val="24"/>
        </w:rPr>
        <w:t>评价范围内</w:t>
      </w:r>
      <w:r>
        <w:rPr>
          <w:rFonts w:ascii="仿宋" w:hAnsi="仿宋" w:eastAsia="仿宋" w:cs="仿宋"/>
          <w:spacing w:val="-34"/>
          <w:sz w:val="24"/>
          <w:szCs w:val="24"/>
        </w:rPr>
        <w:t xml:space="preserve"> </w:t>
      </w:r>
      <w:r>
        <w:rPr>
          <w:rFonts w:ascii="仿宋" w:hAnsi="仿宋" w:eastAsia="仿宋" w:cs="仿宋"/>
          <w:spacing w:val="-9"/>
          <w:sz w:val="24"/>
          <w:szCs w:val="24"/>
        </w:rPr>
        <w:t>14</w:t>
      </w:r>
      <w:r>
        <w:rPr>
          <w:rFonts w:ascii="仿宋" w:hAnsi="仿宋" w:eastAsia="仿宋" w:cs="仿宋"/>
          <w:spacing w:val="-43"/>
          <w:sz w:val="24"/>
          <w:szCs w:val="24"/>
        </w:rPr>
        <w:t xml:space="preserve"> </w:t>
      </w:r>
      <w:r>
        <w:rPr>
          <w:rFonts w:ascii="仿宋" w:hAnsi="仿宋" w:eastAsia="仿宋" w:cs="仿宋"/>
          <w:spacing w:val="-9"/>
          <w:sz w:val="24"/>
          <w:szCs w:val="24"/>
        </w:rPr>
        <w:t>处农村散户敏感点均执行《声环境质量标准》（G</w:t>
      </w:r>
      <w:r>
        <w:rPr>
          <w:rFonts w:ascii="仿宋" w:hAnsi="仿宋" w:eastAsia="仿宋" w:cs="仿宋"/>
          <w:spacing w:val="-10"/>
          <w:sz w:val="24"/>
          <w:szCs w:val="24"/>
        </w:rPr>
        <w:t>B</w:t>
      </w:r>
      <w:r>
        <w:rPr>
          <w:rFonts w:ascii="仿宋" w:hAnsi="仿宋" w:eastAsia="仿宋" w:cs="仿宋"/>
          <w:spacing w:val="-47"/>
          <w:sz w:val="24"/>
          <w:szCs w:val="24"/>
        </w:rPr>
        <w:t xml:space="preserve"> </w:t>
      </w:r>
      <w:r>
        <w:rPr>
          <w:rFonts w:ascii="仿宋" w:hAnsi="仿宋" w:eastAsia="仿宋" w:cs="仿宋"/>
          <w:spacing w:val="-10"/>
          <w:sz w:val="24"/>
          <w:szCs w:val="24"/>
        </w:rPr>
        <w:t>3096-2008）</w:t>
      </w:r>
      <w:r>
        <w:rPr>
          <w:rFonts w:ascii="仿宋" w:hAnsi="仿宋" w:eastAsia="仿宋" w:cs="仿宋"/>
          <w:sz w:val="24"/>
          <w:szCs w:val="24"/>
        </w:rPr>
        <w:t xml:space="preserve"> </w:t>
      </w:r>
      <w:r>
        <w:rPr>
          <w:rFonts w:ascii="仿宋" w:hAnsi="仿宋" w:eastAsia="仿宋" w:cs="仿宋"/>
          <w:spacing w:val="-4"/>
          <w:sz w:val="24"/>
          <w:szCs w:val="24"/>
        </w:rPr>
        <w:t>1</w:t>
      </w:r>
      <w:r>
        <w:rPr>
          <w:rFonts w:ascii="仿宋" w:hAnsi="仿宋" w:eastAsia="仿宋" w:cs="仿宋"/>
          <w:spacing w:val="-39"/>
          <w:sz w:val="24"/>
          <w:szCs w:val="24"/>
        </w:rPr>
        <w:t xml:space="preserve"> </w:t>
      </w:r>
      <w:r>
        <w:rPr>
          <w:rFonts w:ascii="仿宋" w:hAnsi="仿宋" w:eastAsia="仿宋" w:cs="仿宋"/>
          <w:spacing w:val="-4"/>
          <w:sz w:val="24"/>
          <w:szCs w:val="24"/>
        </w:rPr>
        <w:t>类区标准（昼间</w:t>
      </w:r>
      <w:r>
        <w:rPr>
          <w:rFonts w:ascii="仿宋" w:hAnsi="仿宋" w:eastAsia="仿宋" w:cs="仿宋"/>
          <w:spacing w:val="-47"/>
          <w:sz w:val="24"/>
          <w:szCs w:val="24"/>
        </w:rPr>
        <w:t xml:space="preserve"> </w:t>
      </w:r>
      <w:r>
        <w:rPr>
          <w:rFonts w:ascii="仿宋" w:hAnsi="仿宋" w:eastAsia="仿宋" w:cs="仿宋"/>
          <w:spacing w:val="-4"/>
          <w:sz w:val="24"/>
          <w:szCs w:val="24"/>
        </w:rPr>
        <w:t>55dB</w:t>
      </w:r>
      <w:r>
        <w:rPr>
          <w:rFonts w:ascii="仿宋" w:hAnsi="仿宋" w:eastAsia="仿宋" w:cs="仿宋"/>
          <w:spacing w:val="51"/>
          <w:sz w:val="24"/>
          <w:szCs w:val="24"/>
        </w:rPr>
        <w:t xml:space="preserve"> </w:t>
      </w:r>
      <w:r>
        <w:rPr>
          <w:rFonts w:ascii="仿宋" w:hAnsi="仿宋" w:eastAsia="仿宋" w:cs="仿宋"/>
          <w:spacing w:val="-4"/>
          <w:sz w:val="24"/>
          <w:szCs w:val="24"/>
        </w:rPr>
        <w:t>(A)、夜间</w:t>
      </w:r>
      <w:r>
        <w:rPr>
          <w:rFonts w:ascii="仿宋" w:hAnsi="仿宋" w:eastAsia="仿宋" w:cs="仿宋"/>
          <w:spacing w:val="-53"/>
          <w:sz w:val="24"/>
          <w:szCs w:val="24"/>
        </w:rPr>
        <w:t xml:space="preserve"> </w:t>
      </w:r>
      <w:r>
        <w:rPr>
          <w:rFonts w:ascii="仿宋" w:hAnsi="仿宋" w:eastAsia="仿宋" w:cs="仿宋"/>
          <w:spacing w:val="-4"/>
          <w:sz w:val="24"/>
          <w:szCs w:val="24"/>
        </w:rPr>
        <w:t>45dB</w:t>
      </w:r>
      <w:r>
        <w:rPr>
          <w:rFonts w:ascii="仿宋" w:hAnsi="仿宋" w:eastAsia="仿宋" w:cs="仿宋"/>
          <w:spacing w:val="51"/>
          <w:sz w:val="24"/>
          <w:szCs w:val="24"/>
        </w:rPr>
        <w:t xml:space="preserve"> </w:t>
      </w:r>
      <w:r>
        <w:rPr>
          <w:rFonts w:ascii="仿宋" w:hAnsi="仿宋" w:eastAsia="仿宋" w:cs="仿宋"/>
          <w:spacing w:val="-4"/>
          <w:sz w:val="24"/>
          <w:szCs w:val="24"/>
        </w:rPr>
        <w:t>(A)）。现状监测结果显示各敏感点昼</w:t>
      </w:r>
      <w:r>
        <w:rPr>
          <w:rFonts w:ascii="仿宋" w:hAnsi="仿宋" w:eastAsia="仿宋" w:cs="仿宋"/>
          <w:spacing w:val="-1"/>
          <w:sz w:val="24"/>
          <w:szCs w:val="24"/>
        </w:rPr>
        <w:t>夜背景噪声均满足相应功能区标准，区域现有声环境质量良好。</w:t>
      </w:r>
    </w:p>
    <w:p w14:paraId="505E08FD">
      <w:pPr>
        <w:spacing w:line="221" w:lineRule="auto"/>
        <w:ind w:left="515"/>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2</w:t>
      </w:r>
      <w:r>
        <w:rPr>
          <w:rFonts w:ascii="仿宋" w:hAnsi="仿宋" w:eastAsia="仿宋" w:cs="仿宋"/>
          <w:spacing w:val="-2"/>
          <w:sz w:val="24"/>
          <w:szCs w:val="24"/>
        </w:rPr>
        <w:t>）施工期噪声影响分析评价论</w:t>
      </w:r>
    </w:p>
    <w:p w14:paraId="6E7E59EF">
      <w:pPr>
        <w:spacing w:before="164" w:line="347" w:lineRule="auto"/>
        <w:ind w:left="30" w:right="99" w:firstLine="480"/>
        <w:rPr>
          <w:rFonts w:ascii="仿宋" w:hAnsi="仿宋" w:eastAsia="仿宋" w:cs="仿宋"/>
          <w:sz w:val="24"/>
          <w:szCs w:val="24"/>
        </w:rPr>
      </w:pPr>
      <w:r>
        <w:rPr>
          <w:rFonts w:ascii="仿宋" w:hAnsi="仿宋" w:eastAsia="仿宋" w:cs="仿宋"/>
          <w:spacing w:val="-3"/>
          <w:sz w:val="24"/>
          <w:szCs w:val="24"/>
        </w:rPr>
        <w:t>本项目全线禁止夜间施工，无夜间（</w:t>
      </w:r>
      <w:r>
        <w:rPr>
          <w:rFonts w:ascii="Times New Roman" w:hAnsi="Times New Roman" w:eastAsia="Times New Roman" w:cs="Times New Roman"/>
          <w:spacing w:val="-3"/>
          <w:sz w:val="24"/>
          <w:szCs w:val="24"/>
        </w:rPr>
        <w:t>22.00-</w:t>
      </w:r>
      <w:r>
        <w:rPr>
          <w:rFonts w:ascii="仿宋" w:hAnsi="仿宋" w:eastAsia="仿宋" w:cs="仿宋"/>
          <w:spacing w:val="-3"/>
          <w:sz w:val="24"/>
          <w:szCs w:val="24"/>
        </w:rPr>
        <w:t>次</w:t>
      </w:r>
      <w:r>
        <w:rPr>
          <w:rFonts w:ascii="仿宋" w:hAnsi="仿宋" w:eastAsia="仿宋" w:cs="仿宋"/>
          <w:spacing w:val="-37"/>
          <w:sz w:val="24"/>
          <w:szCs w:val="24"/>
        </w:rPr>
        <w:t xml:space="preserve"> </w:t>
      </w:r>
      <w:r>
        <w:rPr>
          <w:rFonts w:ascii="仿宋" w:hAnsi="仿宋" w:eastAsia="仿宋" w:cs="仿宋"/>
          <w:spacing w:val="-3"/>
          <w:sz w:val="24"/>
          <w:szCs w:val="24"/>
        </w:rPr>
        <w:t>日</w:t>
      </w:r>
      <w:r>
        <w:rPr>
          <w:rFonts w:ascii="仿宋" w:hAnsi="仿宋" w:eastAsia="仿宋" w:cs="仿宋"/>
          <w:spacing w:val="-50"/>
          <w:sz w:val="24"/>
          <w:szCs w:val="24"/>
        </w:rPr>
        <w:t xml:space="preserve"> </w:t>
      </w:r>
      <w:r>
        <w:rPr>
          <w:rFonts w:ascii="Times New Roman" w:hAnsi="Times New Roman" w:eastAsia="Times New Roman" w:cs="Times New Roman"/>
          <w:spacing w:val="-3"/>
          <w:sz w:val="24"/>
          <w:szCs w:val="24"/>
        </w:rPr>
        <w:t>6:00</w:t>
      </w:r>
      <w:r>
        <w:rPr>
          <w:rFonts w:ascii="仿宋" w:hAnsi="仿宋" w:eastAsia="仿宋" w:cs="仿宋"/>
          <w:spacing w:val="-3"/>
          <w:sz w:val="24"/>
          <w:szCs w:val="24"/>
        </w:rPr>
        <w:t>）噪声扰民风险，临近</w:t>
      </w:r>
      <w:r>
        <w:rPr>
          <w:rFonts w:ascii="仿宋" w:hAnsi="仿宋" w:eastAsia="仿宋" w:cs="仿宋"/>
          <w:spacing w:val="-4"/>
          <w:sz w:val="24"/>
          <w:szCs w:val="24"/>
        </w:rPr>
        <w:t>敏感点施工段午间</w:t>
      </w:r>
      <w:r>
        <w:rPr>
          <w:rFonts w:ascii="仿宋" w:hAnsi="仿宋" w:eastAsia="仿宋" w:cs="仿宋"/>
          <w:spacing w:val="-30"/>
          <w:sz w:val="24"/>
          <w:szCs w:val="24"/>
        </w:rPr>
        <w:t xml:space="preserve"> </w:t>
      </w:r>
      <w:r>
        <w:rPr>
          <w:rFonts w:ascii="Times New Roman" w:hAnsi="Times New Roman" w:eastAsia="Times New Roman" w:cs="Times New Roman"/>
          <w:spacing w:val="-4"/>
          <w:sz w:val="24"/>
          <w:szCs w:val="24"/>
        </w:rPr>
        <w:t>12:00-</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4"/>
          <w:sz w:val="24"/>
          <w:szCs w:val="24"/>
        </w:rPr>
        <w:t>14:00</w:t>
      </w:r>
      <w:r>
        <w:rPr>
          <w:rFonts w:ascii="Times New Roman" w:hAnsi="Times New Roman" w:eastAsia="Times New Roman" w:cs="Times New Roman"/>
          <w:spacing w:val="16"/>
          <w:w w:val="101"/>
          <w:sz w:val="24"/>
          <w:szCs w:val="24"/>
        </w:rPr>
        <w:t xml:space="preserve"> </w:t>
      </w:r>
      <w:r>
        <w:rPr>
          <w:rFonts w:ascii="仿宋" w:hAnsi="仿宋" w:eastAsia="仿宋" w:cs="仿宋"/>
          <w:spacing w:val="-4"/>
          <w:sz w:val="24"/>
          <w:szCs w:val="24"/>
        </w:rPr>
        <w:t>和</w:t>
      </w:r>
      <w:r>
        <w:rPr>
          <w:rFonts w:ascii="仿宋" w:hAnsi="仿宋" w:eastAsia="仿宋" w:cs="仿宋"/>
          <w:spacing w:val="-53"/>
          <w:sz w:val="24"/>
          <w:szCs w:val="24"/>
        </w:rPr>
        <w:t xml:space="preserve"> </w:t>
      </w:r>
      <w:r>
        <w:rPr>
          <w:rFonts w:ascii="Times New Roman" w:hAnsi="Times New Roman" w:eastAsia="Times New Roman" w:cs="Times New Roman"/>
          <w:spacing w:val="-4"/>
          <w:sz w:val="24"/>
          <w:szCs w:val="24"/>
        </w:rPr>
        <w:t>22:00-</w:t>
      </w:r>
      <w:r>
        <w:rPr>
          <w:rFonts w:ascii="仿宋" w:hAnsi="仿宋" w:eastAsia="仿宋" w:cs="仿宋"/>
          <w:spacing w:val="-4"/>
          <w:sz w:val="24"/>
          <w:szCs w:val="24"/>
        </w:rPr>
        <w:t>次</w:t>
      </w:r>
      <w:r>
        <w:rPr>
          <w:rFonts w:ascii="仿宋" w:hAnsi="仿宋" w:eastAsia="仿宋" w:cs="仿宋"/>
          <w:spacing w:val="-53"/>
          <w:sz w:val="24"/>
          <w:szCs w:val="24"/>
        </w:rPr>
        <w:t xml:space="preserve"> </w:t>
      </w:r>
      <w:r>
        <w:rPr>
          <w:rFonts w:ascii="仿宋" w:hAnsi="仿宋" w:eastAsia="仿宋" w:cs="仿宋"/>
          <w:spacing w:val="-4"/>
          <w:sz w:val="24"/>
          <w:szCs w:val="24"/>
        </w:rPr>
        <w:t>日</w:t>
      </w:r>
      <w:r>
        <w:rPr>
          <w:rFonts w:ascii="仿宋" w:hAnsi="仿宋" w:eastAsia="仿宋" w:cs="仿宋"/>
          <w:spacing w:val="-46"/>
          <w:sz w:val="24"/>
          <w:szCs w:val="24"/>
        </w:rPr>
        <w:t xml:space="preserve"> </w:t>
      </w:r>
      <w:r>
        <w:rPr>
          <w:rFonts w:ascii="Times New Roman" w:hAnsi="Times New Roman" w:eastAsia="Times New Roman" w:cs="Times New Roman"/>
          <w:spacing w:val="-4"/>
          <w:sz w:val="24"/>
          <w:szCs w:val="24"/>
        </w:rPr>
        <w:t>8:00</w:t>
      </w:r>
      <w:r>
        <w:rPr>
          <w:rFonts w:ascii="Times New Roman" w:hAnsi="Times New Roman" w:eastAsia="Times New Roman" w:cs="Times New Roman"/>
          <w:spacing w:val="18"/>
          <w:w w:val="101"/>
          <w:sz w:val="24"/>
          <w:szCs w:val="24"/>
        </w:rPr>
        <w:t xml:space="preserve"> </w:t>
      </w:r>
      <w:r>
        <w:rPr>
          <w:rFonts w:ascii="仿宋" w:hAnsi="仿宋" w:eastAsia="仿宋" w:cs="仿宋"/>
          <w:spacing w:val="-4"/>
          <w:sz w:val="24"/>
          <w:szCs w:val="24"/>
        </w:rPr>
        <w:t>均禁止施工；同时无爆破、现</w:t>
      </w:r>
      <w:r>
        <w:rPr>
          <w:rFonts w:ascii="仿宋" w:hAnsi="仿宋" w:eastAsia="仿宋" w:cs="仿宋"/>
          <w:spacing w:val="-3"/>
          <w:sz w:val="24"/>
          <w:szCs w:val="24"/>
        </w:rPr>
        <w:t>场搅拌及高频冲击施工工序，从源头规避了各类高风险噪声源</w:t>
      </w:r>
      <w:r>
        <w:rPr>
          <w:rFonts w:ascii="仿宋" w:hAnsi="仿宋" w:eastAsia="仿宋" w:cs="仿宋"/>
          <w:spacing w:val="-4"/>
          <w:sz w:val="24"/>
          <w:szCs w:val="24"/>
        </w:rPr>
        <w:t>。施工噪声仅昼间</w:t>
      </w:r>
      <w:r>
        <w:rPr>
          <w:rFonts w:ascii="仿宋" w:hAnsi="仿宋" w:eastAsia="仿宋" w:cs="仿宋"/>
          <w:spacing w:val="-3"/>
          <w:sz w:val="24"/>
          <w:szCs w:val="24"/>
        </w:rPr>
        <w:t>产生，无全域连片扰民风险，整体以沿线点状分散干扰为主，</w:t>
      </w:r>
      <w:r>
        <w:rPr>
          <w:rFonts w:ascii="仿宋" w:hAnsi="仿宋" w:eastAsia="仿宋" w:cs="仿宋"/>
          <w:spacing w:val="-4"/>
          <w:sz w:val="24"/>
          <w:szCs w:val="24"/>
        </w:rPr>
        <w:t>仅局部小型村落路</w:t>
      </w:r>
      <w:r>
        <w:rPr>
          <w:rFonts w:ascii="仿宋" w:hAnsi="仿宋" w:eastAsia="仿宋" w:cs="仿宋"/>
          <w:spacing w:val="-3"/>
          <w:sz w:val="24"/>
          <w:szCs w:val="24"/>
        </w:rPr>
        <w:t>段存在昼间集中扰民问题；结合沿线人居分布特征，项目采用</w:t>
      </w:r>
      <w:r>
        <w:rPr>
          <w:rFonts w:ascii="仿宋" w:hAnsi="仿宋" w:eastAsia="仿宋" w:cs="仿宋"/>
          <w:spacing w:val="-4"/>
          <w:sz w:val="24"/>
          <w:szCs w:val="24"/>
        </w:rPr>
        <w:t>分区差异化降噪管控方案：</w:t>
      </w:r>
    </w:p>
    <w:p w14:paraId="60DE24E5">
      <w:pPr>
        <w:spacing w:line="347" w:lineRule="auto"/>
        <w:ind w:left="29" w:right="99" w:firstLine="480"/>
        <w:jc w:val="both"/>
        <w:rPr>
          <w:rFonts w:ascii="仿宋" w:hAnsi="仿宋" w:eastAsia="仿宋" w:cs="仿宋"/>
          <w:sz w:val="24"/>
          <w:szCs w:val="24"/>
        </w:rPr>
      </w:pPr>
      <w:r>
        <w:rPr>
          <w:rFonts w:ascii="仿宋" w:hAnsi="仿宋" w:eastAsia="仿宋" w:cs="仿宋"/>
          <w:spacing w:val="-3"/>
          <w:sz w:val="24"/>
          <w:szCs w:val="24"/>
        </w:rPr>
        <w:t>散户分散路段：以施工时序管控、运输车辆</w:t>
      </w:r>
      <w:r>
        <w:rPr>
          <w:rFonts w:ascii="仿宋" w:hAnsi="仿宋" w:eastAsia="仿宋" w:cs="仿宋"/>
          <w:spacing w:val="-4"/>
          <w:sz w:val="24"/>
          <w:szCs w:val="24"/>
        </w:rPr>
        <w:t>禁鸣限行为主，简化工程降噪设</w:t>
      </w:r>
      <w:r>
        <w:rPr>
          <w:rFonts w:ascii="仿宋" w:hAnsi="仿宋" w:eastAsia="仿宋" w:cs="仿宋"/>
          <w:spacing w:val="-3"/>
          <w:sz w:val="24"/>
          <w:szCs w:val="24"/>
        </w:rPr>
        <w:t>施；集中村社路段：加密隔声围挡、严控多台高噪声机械同步</w:t>
      </w:r>
      <w:r>
        <w:rPr>
          <w:rFonts w:ascii="仿宋" w:hAnsi="仿宋" w:eastAsia="仿宋" w:cs="仿宋"/>
          <w:spacing w:val="-4"/>
          <w:sz w:val="24"/>
          <w:szCs w:val="24"/>
        </w:rPr>
        <w:t>作业，强化传播路</w:t>
      </w:r>
      <w:r>
        <w:rPr>
          <w:rFonts w:ascii="仿宋" w:hAnsi="仿宋" w:eastAsia="仿宋" w:cs="仿宋"/>
          <w:spacing w:val="-3"/>
          <w:sz w:val="24"/>
          <w:szCs w:val="24"/>
        </w:rPr>
        <w:t>径降噪；通用管控要求：施工避开村民午休及夜间休息时段，</w:t>
      </w:r>
      <w:r>
        <w:rPr>
          <w:rFonts w:ascii="仿宋" w:hAnsi="仿宋" w:eastAsia="仿宋" w:cs="仿宋"/>
          <w:spacing w:val="-4"/>
          <w:sz w:val="24"/>
          <w:szCs w:val="24"/>
        </w:rPr>
        <w:t>选用低噪声施工设</w:t>
      </w:r>
      <w:r>
        <w:rPr>
          <w:rFonts w:ascii="仿宋" w:hAnsi="仿宋" w:eastAsia="仿宋" w:cs="仿宋"/>
          <w:spacing w:val="-2"/>
          <w:sz w:val="24"/>
          <w:szCs w:val="24"/>
        </w:rPr>
        <w:t>备，高噪声工序错峰作业。</w:t>
      </w:r>
    </w:p>
    <w:p w14:paraId="3320DB0C">
      <w:pPr>
        <w:spacing w:line="347" w:lineRule="auto"/>
        <w:ind w:left="44" w:right="99" w:firstLine="477"/>
        <w:rPr>
          <w:rFonts w:ascii="仿宋" w:hAnsi="仿宋" w:eastAsia="仿宋" w:cs="仿宋"/>
          <w:sz w:val="24"/>
          <w:szCs w:val="24"/>
        </w:rPr>
      </w:pPr>
      <w:r>
        <w:rPr>
          <w:rFonts w:ascii="仿宋" w:hAnsi="仿宋" w:eastAsia="仿宋" w:cs="仿宋"/>
          <w:spacing w:val="-4"/>
          <w:sz w:val="24"/>
          <w:szCs w:val="24"/>
        </w:rPr>
        <w:t>落实以上措施后，施工期噪声影响可控制在可接受范围内，不会对沿线村民</w:t>
      </w:r>
      <w:r>
        <w:rPr>
          <w:rFonts w:ascii="仿宋" w:hAnsi="仿宋" w:eastAsia="仿宋" w:cs="仿宋"/>
          <w:spacing w:val="-3"/>
          <w:sz w:val="24"/>
          <w:szCs w:val="24"/>
        </w:rPr>
        <w:t>生活造成不可逆的不良影响。</w:t>
      </w:r>
    </w:p>
    <w:p w14:paraId="69EDBE33">
      <w:pPr>
        <w:spacing w:before="1" w:line="222" w:lineRule="auto"/>
        <w:ind w:left="515"/>
        <w:rPr>
          <w:rFonts w:ascii="仿宋" w:hAnsi="仿宋" w:eastAsia="仿宋" w:cs="仿宋"/>
          <w:sz w:val="24"/>
          <w:szCs w:val="24"/>
        </w:rPr>
      </w:pPr>
      <w:r>
        <w:rPr>
          <w:rFonts w:ascii="仿宋" w:hAnsi="仿宋" w:eastAsia="仿宋" w:cs="仿宋"/>
          <w:spacing w:val="-2"/>
          <w:sz w:val="24"/>
          <w:szCs w:val="24"/>
        </w:rPr>
        <w:t>（3）营运期噪声预测影响评价结论</w:t>
      </w:r>
    </w:p>
    <w:p w14:paraId="47FE88C6">
      <w:pPr>
        <w:spacing w:before="162" w:line="350" w:lineRule="auto"/>
        <w:ind w:left="36" w:right="123" w:firstLine="474"/>
        <w:rPr>
          <w:rFonts w:ascii="仿宋" w:hAnsi="仿宋" w:eastAsia="仿宋" w:cs="仿宋"/>
          <w:sz w:val="24"/>
          <w:szCs w:val="24"/>
        </w:rPr>
      </w:pPr>
      <w:r>
        <w:rPr>
          <w:rFonts w:ascii="仿宋" w:hAnsi="仿宋" w:eastAsia="仿宋" w:cs="仿宋"/>
          <w:spacing w:val="-1"/>
          <w:sz w:val="24"/>
          <w:szCs w:val="24"/>
        </w:rPr>
        <w:t>本项目为四级农村公路，设计行车速度</w:t>
      </w:r>
      <w:r>
        <w:rPr>
          <w:rFonts w:ascii="仿宋" w:hAnsi="仿宋" w:eastAsia="仿宋" w:cs="仿宋"/>
          <w:spacing w:val="-34"/>
          <w:sz w:val="24"/>
          <w:szCs w:val="24"/>
        </w:rPr>
        <w:t xml:space="preserve"> </w:t>
      </w:r>
      <w:r>
        <w:rPr>
          <w:rFonts w:ascii="仿宋" w:hAnsi="仿宋" w:eastAsia="仿宋" w:cs="仿宋"/>
          <w:spacing w:val="-1"/>
          <w:sz w:val="24"/>
          <w:szCs w:val="24"/>
        </w:rPr>
        <w:t>15km/h，采用</w:t>
      </w:r>
      <w:r>
        <w:rPr>
          <w:rFonts w:ascii="仿宋" w:hAnsi="仿宋" w:eastAsia="仿宋" w:cs="仿宋"/>
          <w:spacing w:val="-2"/>
          <w:sz w:val="24"/>
          <w:szCs w:val="24"/>
        </w:rPr>
        <w:t>水泥混凝土路面。经营运近、中、远期噪声叠加预测，全线</w:t>
      </w:r>
      <w:r>
        <w:rPr>
          <w:rFonts w:ascii="仿宋" w:hAnsi="仿宋" w:eastAsia="仿宋" w:cs="仿宋"/>
          <w:spacing w:val="-31"/>
          <w:sz w:val="24"/>
          <w:szCs w:val="24"/>
        </w:rPr>
        <w:t xml:space="preserve"> </w:t>
      </w:r>
      <w:r>
        <w:rPr>
          <w:rFonts w:ascii="仿宋" w:hAnsi="仿宋" w:eastAsia="仿宋" w:cs="仿宋"/>
          <w:spacing w:val="-2"/>
          <w:sz w:val="24"/>
          <w:szCs w:val="24"/>
        </w:rPr>
        <w:t>14</w:t>
      </w:r>
      <w:r>
        <w:rPr>
          <w:rFonts w:ascii="仿宋" w:hAnsi="仿宋" w:eastAsia="仿宋" w:cs="仿宋"/>
          <w:spacing w:val="-43"/>
          <w:sz w:val="24"/>
          <w:szCs w:val="24"/>
        </w:rPr>
        <w:t xml:space="preserve"> </w:t>
      </w:r>
      <w:r>
        <w:rPr>
          <w:rFonts w:ascii="仿宋" w:hAnsi="仿宋" w:eastAsia="仿宋" w:cs="仿宋"/>
          <w:spacing w:val="-2"/>
          <w:sz w:val="24"/>
          <w:szCs w:val="24"/>
        </w:rPr>
        <w:t>处居民敏感点昼、夜间噪声叠加预测</w:t>
      </w:r>
    </w:p>
    <w:p w14:paraId="6D87442E">
      <w:pPr>
        <w:spacing w:line="350" w:lineRule="auto"/>
        <w:rPr>
          <w:rFonts w:ascii="仿宋" w:hAnsi="仿宋" w:eastAsia="仿宋" w:cs="仿宋"/>
          <w:sz w:val="24"/>
          <w:szCs w:val="24"/>
        </w:rPr>
        <w:sectPr>
          <w:footerReference r:id="rId193" w:type="default"/>
          <w:pgSz w:w="11905" w:h="16840"/>
          <w:pgMar w:top="400" w:right="1701" w:bottom="1098" w:left="1785" w:header="0" w:footer="936" w:gutter="0"/>
          <w:cols w:space="720" w:num="1"/>
        </w:sectPr>
      </w:pPr>
    </w:p>
    <w:p w14:paraId="6DB58E6C">
      <w:pPr>
        <w:pStyle w:val="2"/>
        <w:spacing w:line="247" w:lineRule="auto"/>
        <w:rPr>
          <w:sz w:val="21"/>
        </w:rPr>
      </w:pPr>
    </w:p>
    <w:p w14:paraId="6C69C590">
      <w:pPr>
        <w:pStyle w:val="2"/>
        <w:spacing w:line="248" w:lineRule="auto"/>
        <w:rPr>
          <w:sz w:val="21"/>
        </w:rPr>
      </w:pPr>
    </w:p>
    <w:p w14:paraId="4B7C8C47">
      <w:pPr>
        <w:pStyle w:val="2"/>
        <w:spacing w:line="248" w:lineRule="auto"/>
        <w:rPr>
          <w:sz w:val="21"/>
        </w:rPr>
      </w:pPr>
    </w:p>
    <w:p w14:paraId="09A77F6D">
      <w:pPr>
        <w:pStyle w:val="2"/>
        <w:spacing w:line="248" w:lineRule="auto"/>
        <w:rPr>
          <w:sz w:val="21"/>
        </w:rPr>
      </w:pPr>
    </w:p>
    <w:p w14:paraId="3EF9DA81">
      <w:pPr>
        <w:spacing w:before="78" w:line="347" w:lineRule="auto"/>
        <w:ind w:left="21" w:right="52" w:firstLine="7"/>
        <w:rPr>
          <w:rFonts w:ascii="仿宋" w:hAnsi="仿宋" w:eastAsia="仿宋" w:cs="仿宋"/>
          <w:sz w:val="24"/>
          <w:szCs w:val="24"/>
        </w:rPr>
      </w:pPr>
      <w:r>
        <w:rPr>
          <w:rFonts w:ascii="仿宋" w:hAnsi="仿宋" w:eastAsia="仿宋" w:cs="仿宋"/>
          <w:spacing w:val="-5"/>
          <w:sz w:val="24"/>
          <w:szCs w:val="24"/>
        </w:rPr>
        <w:t>值均未超出</w:t>
      </w:r>
      <w:r>
        <w:rPr>
          <w:rFonts w:ascii="仿宋" w:hAnsi="仿宋" w:eastAsia="仿宋" w:cs="仿宋"/>
          <w:spacing w:val="-16"/>
          <w:sz w:val="24"/>
          <w:szCs w:val="24"/>
        </w:rPr>
        <w:t xml:space="preserve"> </w:t>
      </w:r>
      <w:r>
        <w:rPr>
          <w:rFonts w:ascii="仿宋" w:hAnsi="仿宋" w:eastAsia="仿宋" w:cs="仿宋"/>
          <w:spacing w:val="-5"/>
          <w:sz w:val="24"/>
          <w:szCs w:val="24"/>
        </w:rPr>
        <w:t>1</w:t>
      </w:r>
      <w:r>
        <w:rPr>
          <w:rFonts w:ascii="仿宋" w:hAnsi="仿宋" w:eastAsia="仿宋" w:cs="仿宋"/>
          <w:spacing w:val="-42"/>
          <w:sz w:val="24"/>
          <w:szCs w:val="24"/>
        </w:rPr>
        <w:t xml:space="preserve"> </w:t>
      </w:r>
      <w:r>
        <w:rPr>
          <w:rFonts w:ascii="仿宋" w:hAnsi="仿宋" w:eastAsia="仿宋" w:cs="仿宋"/>
          <w:spacing w:val="-5"/>
          <w:sz w:val="24"/>
          <w:szCs w:val="24"/>
        </w:rPr>
        <w:t>类区标准限值，无噪声超标敏感点。随运营年限推进，各敏感点噪</w:t>
      </w:r>
      <w:r>
        <w:rPr>
          <w:rFonts w:ascii="仿宋" w:hAnsi="仿宋" w:eastAsia="仿宋" w:cs="仿宋"/>
          <w:spacing w:val="1"/>
          <w:sz w:val="24"/>
          <w:szCs w:val="24"/>
        </w:rPr>
        <w:t>声较现状背景值小幅抬升，昼间最大噪声增量4.28</w:t>
      </w:r>
      <w:r>
        <w:rPr>
          <w:rFonts w:ascii="仿宋" w:hAnsi="仿宋" w:eastAsia="仿宋" w:cs="仿宋"/>
          <w:sz w:val="24"/>
          <w:szCs w:val="24"/>
        </w:rPr>
        <w:t>dB</w:t>
      </w:r>
      <w:r>
        <w:rPr>
          <w:rFonts w:ascii="仿宋" w:hAnsi="仿宋" w:eastAsia="仿宋" w:cs="仿宋"/>
          <w:spacing w:val="1"/>
          <w:sz w:val="24"/>
          <w:szCs w:val="24"/>
        </w:rPr>
        <w:t>(A)，夜间最大噪声增量</w:t>
      </w:r>
      <w:r>
        <w:rPr>
          <w:rFonts w:ascii="仿宋" w:hAnsi="仿宋" w:eastAsia="仿宋" w:cs="仿宋"/>
          <w:spacing w:val="7"/>
          <w:sz w:val="24"/>
          <w:szCs w:val="24"/>
        </w:rPr>
        <w:t xml:space="preserve"> </w:t>
      </w:r>
      <w:r>
        <w:rPr>
          <w:rFonts w:ascii="仿宋" w:hAnsi="仿宋" w:eastAsia="仿宋" w:cs="仿宋"/>
          <w:sz w:val="24"/>
          <w:szCs w:val="24"/>
        </w:rPr>
        <w:t>4.42dB(A)，整体噪声增幅有限；距道路较近点位交通噪声</w:t>
      </w:r>
      <w:r>
        <w:rPr>
          <w:rFonts w:ascii="仿宋" w:hAnsi="仿宋" w:eastAsia="仿宋" w:cs="仿宋"/>
          <w:spacing w:val="-1"/>
          <w:sz w:val="24"/>
          <w:szCs w:val="24"/>
        </w:rPr>
        <w:t>贡献值相对偏高，远</w:t>
      </w:r>
      <w:r>
        <w:rPr>
          <w:rFonts w:ascii="仿宋" w:hAnsi="仿宋" w:eastAsia="仿宋" w:cs="仿宋"/>
          <w:spacing w:val="-3"/>
          <w:sz w:val="24"/>
          <w:szCs w:val="24"/>
        </w:rPr>
        <w:t>离道路散户受交通噪声扰动微弱。道路噪声随距离增加快速衰减，道路中心线两</w:t>
      </w:r>
      <w:r>
        <w:rPr>
          <w:rFonts w:ascii="仿宋" w:hAnsi="仿宋" w:eastAsia="仿宋" w:cs="仿宋"/>
          <w:spacing w:val="-6"/>
          <w:sz w:val="24"/>
          <w:szCs w:val="24"/>
        </w:rPr>
        <w:t>侧</w:t>
      </w:r>
      <w:r>
        <w:rPr>
          <w:rFonts w:ascii="仿宋" w:hAnsi="仿宋" w:eastAsia="仿宋" w:cs="仿宋"/>
          <w:spacing w:val="-34"/>
          <w:sz w:val="24"/>
          <w:szCs w:val="24"/>
        </w:rPr>
        <w:t xml:space="preserve"> </w:t>
      </w:r>
      <w:r>
        <w:rPr>
          <w:rFonts w:ascii="仿宋" w:hAnsi="仿宋" w:eastAsia="仿宋" w:cs="仿宋"/>
          <w:spacing w:val="-6"/>
          <w:sz w:val="24"/>
          <w:szCs w:val="24"/>
        </w:rPr>
        <w:t>10m 以外区域交通噪声贡献值即可满足</w:t>
      </w:r>
      <w:r>
        <w:rPr>
          <w:rFonts w:ascii="仿宋" w:hAnsi="仿宋" w:eastAsia="仿宋" w:cs="仿宋"/>
          <w:spacing w:val="-34"/>
          <w:sz w:val="24"/>
          <w:szCs w:val="24"/>
        </w:rPr>
        <w:t xml:space="preserve"> </w:t>
      </w:r>
      <w:r>
        <w:rPr>
          <w:rFonts w:ascii="仿宋" w:hAnsi="仿宋" w:eastAsia="仿宋" w:cs="仿宋"/>
          <w:spacing w:val="-6"/>
          <w:sz w:val="24"/>
          <w:szCs w:val="24"/>
        </w:rPr>
        <w:t>1</w:t>
      </w:r>
      <w:r>
        <w:rPr>
          <w:rFonts w:ascii="仿宋" w:hAnsi="仿宋" w:eastAsia="仿宋" w:cs="仿宋"/>
          <w:spacing w:val="-41"/>
          <w:sz w:val="24"/>
          <w:szCs w:val="24"/>
        </w:rPr>
        <w:t xml:space="preserve"> </w:t>
      </w:r>
      <w:r>
        <w:rPr>
          <w:rFonts w:ascii="仿宋" w:hAnsi="仿宋" w:eastAsia="仿宋" w:cs="仿宋"/>
          <w:spacing w:val="-6"/>
          <w:sz w:val="24"/>
          <w:szCs w:val="24"/>
        </w:rPr>
        <w:t>类声</w:t>
      </w:r>
      <w:r>
        <w:rPr>
          <w:rFonts w:ascii="仿宋" w:hAnsi="仿宋" w:eastAsia="仿宋" w:cs="仿宋"/>
          <w:spacing w:val="-7"/>
          <w:sz w:val="24"/>
          <w:szCs w:val="24"/>
        </w:rPr>
        <w:t>环境管控要求，公路交通噪声对</w:t>
      </w:r>
      <w:r>
        <w:rPr>
          <w:rFonts w:ascii="仿宋" w:hAnsi="仿宋" w:eastAsia="仿宋" w:cs="仿宋"/>
          <w:spacing w:val="-1"/>
          <w:sz w:val="24"/>
          <w:szCs w:val="24"/>
        </w:rPr>
        <w:t>沿线室外声环境影响总体较小。</w:t>
      </w:r>
    </w:p>
    <w:p w14:paraId="1F558616">
      <w:pPr>
        <w:spacing w:line="220" w:lineRule="auto"/>
        <w:ind w:left="515"/>
        <w:rPr>
          <w:rFonts w:ascii="仿宋" w:hAnsi="仿宋" w:eastAsia="仿宋" w:cs="仿宋"/>
          <w:sz w:val="24"/>
          <w:szCs w:val="24"/>
        </w:rPr>
      </w:pPr>
      <w:r>
        <w:rPr>
          <w:rFonts w:ascii="仿宋" w:hAnsi="仿宋" w:eastAsia="仿宋" w:cs="仿宋"/>
          <w:spacing w:val="-2"/>
          <w:sz w:val="24"/>
          <w:szCs w:val="24"/>
        </w:rPr>
        <w:t>（4）噪声防治措施合理性论证</w:t>
      </w:r>
    </w:p>
    <w:p w14:paraId="0E831275">
      <w:pPr>
        <w:spacing w:before="168" w:line="347" w:lineRule="auto"/>
        <w:ind w:left="29" w:firstLine="481"/>
        <w:rPr>
          <w:rFonts w:ascii="仿宋" w:hAnsi="仿宋" w:eastAsia="仿宋" w:cs="仿宋"/>
          <w:sz w:val="24"/>
          <w:szCs w:val="24"/>
        </w:rPr>
      </w:pPr>
      <w:r>
        <w:rPr>
          <w:rFonts w:ascii="仿宋" w:hAnsi="仿宋" w:eastAsia="仿宋" w:cs="仿宋"/>
          <w:spacing w:val="-4"/>
          <w:sz w:val="24"/>
          <w:szCs w:val="24"/>
        </w:rPr>
        <w:t>本项目施工期通过科学集中布置施工现场振动设备，选用低噪声合规机具并</w:t>
      </w:r>
      <w:r>
        <w:rPr>
          <w:rFonts w:ascii="仿宋" w:hAnsi="仿宋" w:eastAsia="仿宋" w:cs="仿宋"/>
          <w:sz w:val="24"/>
          <w:szCs w:val="24"/>
        </w:rPr>
        <w:t>加装减振基座、定期维保，临近敏感点设置高度不低于</w:t>
      </w:r>
      <w:r>
        <w:rPr>
          <w:rFonts w:ascii="仿宋" w:hAnsi="仿宋" w:eastAsia="仿宋" w:cs="仿宋"/>
          <w:spacing w:val="-52"/>
          <w:sz w:val="24"/>
          <w:szCs w:val="24"/>
        </w:rPr>
        <w:t xml:space="preserve"> </w:t>
      </w:r>
      <w:r>
        <w:rPr>
          <w:rFonts w:ascii="Times New Roman" w:hAnsi="Times New Roman" w:eastAsia="Times New Roman" w:cs="Times New Roman"/>
          <w:sz w:val="24"/>
          <w:szCs w:val="24"/>
        </w:rPr>
        <w:t>2.5m</w:t>
      </w:r>
      <w:r>
        <w:rPr>
          <w:rFonts w:ascii="Times New Roman" w:hAnsi="Times New Roman" w:eastAsia="Times New Roman" w:cs="Times New Roman"/>
          <w:spacing w:val="-23"/>
          <w:sz w:val="24"/>
          <w:szCs w:val="24"/>
        </w:rPr>
        <w:t xml:space="preserve"> </w:t>
      </w:r>
      <w:r>
        <w:rPr>
          <w:rFonts w:ascii="仿宋" w:hAnsi="仿宋" w:eastAsia="仿宋" w:cs="仿宋"/>
          <w:sz w:val="24"/>
          <w:szCs w:val="24"/>
        </w:rPr>
        <w:t>、两端各延伸</w:t>
      </w:r>
      <w:r>
        <w:rPr>
          <w:rFonts w:ascii="仿宋" w:hAnsi="仿宋" w:eastAsia="仿宋" w:cs="仿宋"/>
          <w:spacing w:val="-49"/>
          <w:sz w:val="24"/>
          <w:szCs w:val="24"/>
        </w:rPr>
        <w:t xml:space="preserve"> </w:t>
      </w:r>
      <w:r>
        <w:rPr>
          <w:rFonts w:ascii="Times New Roman" w:hAnsi="Times New Roman" w:eastAsia="Times New Roman" w:cs="Times New Roman"/>
          <w:spacing w:val="-1"/>
          <w:sz w:val="24"/>
          <w:szCs w:val="24"/>
        </w:rPr>
        <w:t>50m</w:t>
      </w:r>
      <w:r>
        <w:rPr>
          <w:rFonts w:ascii="仿宋" w:hAnsi="仿宋" w:eastAsia="仿宋" w:cs="仿宋"/>
          <w:spacing w:val="-2"/>
          <w:sz w:val="24"/>
          <w:szCs w:val="24"/>
        </w:rPr>
        <w:t>的临时隔声屏障，可降噪</w:t>
      </w:r>
      <w:r>
        <w:rPr>
          <w:rFonts w:ascii="Times New Roman" w:hAnsi="Times New Roman" w:eastAsia="Times New Roman" w:cs="Times New Roman"/>
          <w:spacing w:val="-2"/>
          <w:sz w:val="24"/>
          <w:szCs w:val="24"/>
        </w:rPr>
        <w:t>5</w:t>
      </w:r>
      <w:r>
        <w:rPr>
          <w:rFonts w:ascii="仿宋" w:hAnsi="仿宋" w:eastAsia="仿宋" w:cs="仿宋"/>
          <w:spacing w:val="-2"/>
          <w:sz w:val="24"/>
          <w:szCs w:val="24"/>
        </w:rPr>
        <w:t>～</w:t>
      </w:r>
      <w:r>
        <w:rPr>
          <w:rFonts w:ascii="Times New Roman" w:hAnsi="Times New Roman" w:eastAsia="Times New Roman" w:cs="Times New Roman"/>
          <w:spacing w:val="-2"/>
          <w:sz w:val="24"/>
          <w:szCs w:val="24"/>
        </w:rPr>
        <w:t>15dB</w:t>
      </w:r>
      <w:r>
        <w:rPr>
          <w:rFonts w:ascii="Times New Roman" w:hAnsi="Times New Roman" w:eastAsia="Times New Roman" w:cs="Times New Roman"/>
          <w:spacing w:val="-19"/>
          <w:sz w:val="24"/>
          <w:szCs w:val="24"/>
        </w:rPr>
        <w:t xml:space="preserve"> </w:t>
      </w:r>
      <w:r>
        <w:rPr>
          <w:rFonts w:ascii="仿宋" w:hAnsi="仿宋" w:eastAsia="仿宋" w:cs="仿宋"/>
          <w:spacing w:val="-2"/>
          <w:sz w:val="24"/>
          <w:szCs w:val="24"/>
        </w:rPr>
        <w:t>，同时避免多台高噪机械同时作业；严格管控</w:t>
      </w:r>
      <w:r>
        <w:rPr>
          <w:rFonts w:ascii="仿宋" w:hAnsi="仿宋" w:eastAsia="仿宋" w:cs="仿宋"/>
          <w:spacing w:val="-1"/>
          <w:sz w:val="24"/>
          <w:szCs w:val="24"/>
        </w:rPr>
        <w:t>施工及运输时间，全线</w:t>
      </w:r>
      <w:r>
        <w:rPr>
          <w:rFonts w:ascii="仿宋" w:hAnsi="仿宋" w:eastAsia="仿宋" w:cs="仿宋"/>
          <w:spacing w:val="-36"/>
          <w:sz w:val="24"/>
          <w:szCs w:val="24"/>
        </w:rPr>
        <w:t xml:space="preserve"> </w:t>
      </w:r>
      <w:r>
        <w:rPr>
          <w:rFonts w:ascii="Times New Roman" w:hAnsi="Times New Roman" w:eastAsia="Times New Roman" w:cs="Times New Roman"/>
          <w:spacing w:val="-1"/>
          <w:sz w:val="24"/>
          <w:szCs w:val="24"/>
        </w:rPr>
        <w:t>22:00-</w:t>
      </w:r>
      <w:r>
        <w:rPr>
          <w:rFonts w:ascii="仿宋" w:hAnsi="仿宋" w:eastAsia="仿宋" w:cs="仿宋"/>
          <w:spacing w:val="-1"/>
          <w:sz w:val="24"/>
          <w:szCs w:val="24"/>
        </w:rPr>
        <w:t>次</w:t>
      </w:r>
      <w:r>
        <w:rPr>
          <w:rFonts w:ascii="仿宋" w:hAnsi="仿宋" w:eastAsia="仿宋" w:cs="仿宋"/>
          <w:spacing w:val="-49"/>
          <w:sz w:val="24"/>
          <w:szCs w:val="24"/>
        </w:rPr>
        <w:t xml:space="preserve"> </w:t>
      </w:r>
      <w:r>
        <w:rPr>
          <w:rFonts w:ascii="仿宋" w:hAnsi="仿宋" w:eastAsia="仿宋" w:cs="仿宋"/>
          <w:spacing w:val="-1"/>
          <w:sz w:val="24"/>
          <w:szCs w:val="24"/>
        </w:rPr>
        <w:t>日</w:t>
      </w:r>
      <w:r>
        <w:rPr>
          <w:rFonts w:ascii="仿宋" w:hAnsi="仿宋" w:eastAsia="仿宋" w:cs="仿宋"/>
          <w:spacing w:val="-47"/>
          <w:sz w:val="24"/>
          <w:szCs w:val="24"/>
        </w:rPr>
        <w:t xml:space="preserve"> </w:t>
      </w:r>
      <w:r>
        <w:rPr>
          <w:rFonts w:ascii="Times New Roman" w:hAnsi="Times New Roman" w:eastAsia="Times New Roman" w:cs="Times New Roman"/>
          <w:spacing w:val="-1"/>
          <w:sz w:val="24"/>
          <w:szCs w:val="24"/>
        </w:rPr>
        <w:t>6:00</w:t>
      </w:r>
      <w:r>
        <w:rPr>
          <w:rFonts w:ascii="Times New Roman" w:hAnsi="Times New Roman" w:eastAsia="Times New Roman" w:cs="Times New Roman"/>
          <w:spacing w:val="25"/>
          <w:w w:val="101"/>
          <w:sz w:val="24"/>
          <w:szCs w:val="24"/>
        </w:rPr>
        <w:t xml:space="preserve"> </w:t>
      </w:r>
      <w:r>
        <w:rPr>
          <w:rFonts w:ascii="仿宋" w:hAnsi="仿宋" w:eastAsia="仿宋" w:cs="仿宋"/>
          <w:spacing w:val="-1"/>
          <w:sz w:val="24"/>
          <w:szCs w:val="24"/>
        </w:rPr>
        <w:t>禁止夜间施工，临近敏感点施工段午间</w:t>
      </w:r>
      <w:r>
        <w:rPr>
          <w:rFonts w:ascii="Times New Roman" w:hAnsi="Times New Roman" w:eastAsia="Times New Roman" w:cs="Times New Roman"/>
          <w:spacing w:val="-2"/>
          <w:sz w:val="24"/>
          <w:szCs w:val="24"/>
        </w:rPr>
        <w:t>12:00-</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2"/>
          <w:sz w:val="24"/>
          <w:szCs w:val="24"/>
        </w:rPr>
        <w:t>14:00</w:t>
      </w:r>
      <w:r>
        <w:rPr>
          <w:rFonts w:ascii="Times New Roman" w:hAnsi="Times New Roman" w:eastAsia="Times New Roman" w:cs="Times New Roman"/>
          <w:spacing w:val="21"/>
          <w:sz w:val="24"/>
          <w:szCs w:val="24"/>
        </w:rPr>
        <w:t xml:space="preserve"> </w:t>
      </w:r>
      <w:r>
        <w:rPr>
          <w:rFonts w:ascii="仿宋" w:hAnsi="仿宋" w:eastAsia="仿宋" w:cs="仿宋"/>
          <w:spacing w:val="-2"/>
          <w:sz w:val="24"/>
          <w:szCs w:val="24"/>
        </w:rPr>
        <w:t>和</w:t>
      </w:r>
      <w:r>
        <w:rPr>
          <w:rFonts w:ascii="仿宋" w:hAnsi="仿宋" w:eastAsia="仿宋" w:cs="仿宋"/>
          <w:spacing w:val="-53"/>
          <w:sz w:val="24"/>
          <w:szCs w:val="24"/>
        </w:rPr>
        <w:t xml:space="preserve"> </w:t>
      </w:r>
      <w:r>
        <w:rPr>
          <w:rFonts w:ascii="Times New Roman" w:hAnsi="Times New Roman" w:eastAsia="Times New Roman" w:cs="Times New Roman"/>
          <w:spacing w:val="-2"/>
          <w:sz w:val="24"/>
          <w:szCs w:val="24"/>
        </w:rPr>
        <w:t>22:00-</w:t>
      </w:r>
      <w:r>
        <w:rPr>
          <w:rFonts w:ascii="仿宋" w:hAnsi="仿宋" w:eastAsia="仿宋" w:cs="仿宋"/>
          <w:spacing w:val="-2"/>
          <w:sz w:val="24"/>
          <w:szCs w:val="24"/>
        </w:rPr>
        <w:t>次</w:t>
      </w:r>
      <w:r>
        <w:rPr>
          <w:rFonts w:ascii="仿宋" w:hAnsi="仿宋" w:eastAsia="仿宋" w:cs="仿宋"/>
          <w:spacing w:val="-51"/>
          <w:sz w:val="24"/>
          <w:szCs w:val="24"/>
        </w:rPr>
        <w:t xml:space="preserve"> </w:t>
      </w:r>
      <w:r>
        <w:rPr>
          <w:rFonts w:ascii="仿宋" w:hAnsi="仿宋" w:eastAsia="仿宋" w:cs="仿宋"/>
          <w:spacing w:val="-2"/>
          <w:sz w:val="24"/>
          <w:szCs w:val="24"/>
        </w:rPr>
        <w:t>日</w:t>
      </w:r>
      <w:r>
        <w:rPr>
          <w:rFonts w:ascii="仿宋" w:hAnsi="仿宋" w:eastAsia="仿宋" w:cs="仿宋"/>
          <w:spacing w:val="-41"/>
          <w:sz w:val="24"/>
          <w:szCs w:val="24"/>
        </w:rPr>
        <w:t xml:space="preserve"> </w:t>
      </w:r>
      <w:r>
        <w:rPr>
          <w:rFonts w:ascii="Times New Roman" w:hAnsi="Times New Roman" w:eastAsia="Times New Roman" w:cs="Times New Roman"/>
          <w:spacing w:val="-2"/>
          <w:sz w:val="24"/>
          <w:szCs w:val="24"/>
        </w:rPr>
        <w:t>8:00</w:t>
      </w:r>
      <w:r>
        <w:rPr>
          <w:rFonts w:ascii="Times New Roman" w:hAnsi="Times New Roman" w:eastAsia="Times New Roman" w:cs="Times New Roman"/>
          <w:spacing w:val="19"/>
          <w:sz w:val="24"/>
          <w:szCs w:val="24"/>
        </w:rPr>
        <w:t xml:space="preserve"> </w:t>
      </w:r>
      <w:r>
        <w:rPr>
          <w:rFonts w:ascii="仿宋" w:hAnsi="仿宋" w:eastAsia="仿宋" w:cs="仿宋"/>
          <w:spacing w:val="-2"/>
          <w:sz w:val="24"/>
          <w:szCs w:val="24"/>
        </w:rPr>
        <w:t>均禁止施工，运输车辆</w:t>
      </w:r>
      <w:r>
        <w:rPr>
          <w:rFonts w:ascii="仿宋" w:hAnsi="仿宋" w:eastAsia="仿宋" w:cs="仿宋"/>
          <w:spacing w:val="-3"/>
          <w:sz w:val="24"/>
          <w:szCs w:val="24"/>
        </w:rPr>
        <w:t>尽量绕行居民区，途经村</w:t>
      </w:r>
      <w:r>
        <w:rPr>
          <w:rFonts w:ascii="仿宋" w:hAnsi="仿宋" w:eastAsia="仿宋" w:cs="仿宋"/>
          <w:spacing w:val="-2"/>
          <w:sz w:val="24"/>
          <w:szCs w:val="24"/>
        </w:rPr>
        <w:t>庄时午休、夜间禁止通行，确需连续施工须落实降噪措施并报生态环境局审批、</w:t>
      </w:r>
      <w:r>
        <w:rPr>
          <w:rFonts w:ascii="仿宋" w:hAnsi="仿宋" w:eastAsia="仿宋" w:cs="仿宋"/>
          <w:spacing w:val="-3"/>
          <w:sz w:val="24"/>
          <w:szCs w:val="24"/>
        </w:rPr>
        <w:t>公示周边村民；此外向周边群众做好宣传安抚，开展施工人员</w:t>
      </w:r>
      <w:r>
        <w:rPr>
          <w:rFonts w:ascii="仿宋" w:hAnsi="仿宋" w:eastAsia="仿宋" w:cs="仿宋"/>
          <w:spacing w:val="-4"/>
          <w:sz w:val="24"/>
          <w:szCs w:val="24"/>
        </w:rPr>
        <w:t>环保教育以文明施</w:t>
      </w:r>
      <w:r>
        <w:rPr>
          <w:rFonts w:ascii="仿宋" w:hAnsi="仿宋" w:eastAsia="仿宋" w:cs="仿宋"/>
          <w:spacing w:val="-3"/>
          <w:sz w:val="24"/>
          <w:szCs w:val="24"/>
        </w:rPr>
        <w:t>工减少人为噪声，将噪声管控纳入承包合同并安排专人监管，</w:t>
      </w:r>
      <w:r>
        <w:rPr>
          <w:rFonts w:ascii="仿宋" w:hAnsi="仿宋" w:eastAsia="仿宋" w:cs="仿宋"/>
          <w:spacing w:val="-4"/>
          <w:sz w:val="24"/>
          <w:szCs w:val="24"/>
        </w:rPr>
        <w:t>施工单位主动接受</w:t>
      </w:r>
      <w:r>
        <w:rPr>
          <w:rFonts w:ascii="仿宋" w:hAnsi="仿宋" w:eastAsia="仿宋" w:cs="仿宋"/>
          <w:spacing w:val="-1"/>
          <w:sz w:val="24"/>
          <w:szCs w:val="24"/>
        </w:rPr>
        <w:t>环保部门监督，严格落实《中华人民共和国噪声污染防治法》等相关法规。</w:t>
      </w:r>
    </w:p>
    <w:p w14:paraId="2CCABBEC">
      <w:pPr>
        <w:spacing w:line="347" w:lineRule="auto"/>
        <w:ind w:left="30" w:right="52" w:firstLine="480"/>
        <w:jc w:val="both"/>
        <w:rPr>
          <w:rFonts w:ascii="仿宋" w:hAnsi="仿宋" w:eastAsia="仿宋" w:cs="仿宋"/>
          <w:sz w:val="24"/>
          <w:szCs w:val="24"/>
        </w:rPr>
      </w:pPr>
      <w:r>
        <w:rPr>
          <w:rFonts w:ascii="仿宋" w:hAnsi="仿宋" w:eastAsia="仿宋" w:cs="仿宋"/>
          <w:spacing w:val="-4"/>
          <w:sz w:val="24"/>
          <w:szCs w:val="24"/>
        </w:rPr>
        <w:t>本项目采用水泥混凝土路面，通过优化水泥路面降噪工艺、全线低速限速管</w:t>
      </w:r>
      <w:r>
        <w:rPr>
          <w:rFonts w:ascii="仿宋" w:hAnsi="仿宋" w:eastAsia="仿宋" w:cs="仿宋"/>
          <w:spacing w:val="-2"/>
          <w:sz w:val="24"/>
          <w:szCs w:val="24"/>
        </w:rPr>
        <w:t>控、夜间高噪声车辆限行（全线实施</w:t>
      </w:r>
      <w:r>
        <w:rPr>
          <w:rFonts w:ascii="仿宋" w:hAnsi="仿宋" w:eastAsia="仿宋" w:cs="仿宋"/>
          <w:spacing w:val="-24"/>
          <w:sz w:val="24"/>
          <w:szCs w:val="24"/>
        </w:rPr>
        <w:t xml:space="preserve"> </w:t>
      </w:r>
      <w:r>
        <w:rPr>
          <w:rFonts w:ascii="Times New Roman" w:hAnsi="Times New Roman" w:eastAsia="Times New Roman" w:cs="Times New Roman"/>
          <w:spacing w:val="-2"/>
          <w:sz w:val="24"/>
          <w:szCs w:val="24"/>
        </w:rPr>
        <w:t>15km/h</w:t>
      </w:r>
      <w:r>
        <w:rPr>
          <w:rFonts w:ascii="Times New Roman" w:hAnsi="Times New Roman" w:eastAsia="Times New Roman" w:cs="Times New Roman"/>
          <w:spacing w:val="31"/>
          <w:w w:val="101"/>
          <w:sz w:val="24"/>
          <w:szCs w:val="24"/>
        </w:rPr>
        <w:t xml:space="preserve"> </w:t>
      </w:r>
      <w:r>
        <w:rPr>
          <w:rFonts w:ascii="仿宋" w:hAnsi="仿宋" w:eastAsia="仿宋" w:cs="仿宋"/>
          <w:spacing w:val="-2"/>
          <w:sz w:val="24"/>
          <w:szCs w:val="24"/>
        </w:rPr>
        <w:t>限速）、用地规划管控（道路中心</w:t>
      </w:r>
      <w:r>
        <w:rPr>
          <w:rFonts w:ascii="仿宋" w:hAnsi="仿宋" w:eastAsia="仿宋" w:cs="仿宋"/>
          <w:sz w:val="24"/>
          <w:szCs w:val="24"/>
        </w:rPr>
        <w:t>线两侧</w:t>
      </w:r>
      <w:r>
        <w:rPr>
          <w:rFonts w:ascii="仿宋" w:hAnsi="仿宋" w:eastAsia="仿宋" w:cs="仿宋"/>
          <w:spacing w:val="-19"/>
          <w:sz w:val="24"/>
          <w:szCs w:val="24"/>
        </w:rPr>
        <w:t xml:space="preserve"> </w:t>
      </w:r>
      <w:r>
        <w:rPr>
          <w:rFonts w:ascii="Times New Roman" w:hAnsi="Times New Roman" w:eastAsia="Times New Roman" w:cs="Times New Roman"/>
          <w:sz w:val="24"/>
          <w:szCs w:val="24"/>
        </w:rPr>
        <w:t>10m</w:t>
      </w:r>
      <w:r>
        <w:rPr>
          <w:rFonts w:ascii="Times New Roman" w:hAnsi="Times New Roman" w:eastAsia="Times New Roman" w:cs="Times New Roman"/>
          <w:spacing w:val="19"/>
          <w:sz w:val="24"/>
          <w:szCs w:val="24"/>
        </w:rPr>
        <w:t xml:space="preserve"> </w:t>
      </w:r>
      <w:r>
        <w:rPr>
          <w:rFonts w:ascii="仿宋" w:hAnsi="仿宋" w:eastAsia="仿宋" w:cs="仿宋"/>
          <w:sz w:val="24"/>
          <w:szCs w:val="24"/>
        </w:rPr>
        <w:t>声环境控制区，禁止新建居住类敏感建筑，远期引导民居背向公路</w:t>
      </w:r>
      <w:r>
        <w:rPr>
          <w:rFonts w:ascii="仿宋" w:hAnsi="仿宋" w:eastAsia="仿宋" w:cs="仿宋"/>
          <w:spacing w:val="-2"/>
          <w:sz w:val="24"/>
          <w:szCs w:val="24"/>
        </w:rPr>
        <w:t>布局</w:t>
      </w:r>
      <w:r>
        <w:rPr>
          <w:rFonts w:ascii="仿宋" w:hAnsi="仿宋" w:eastAsia="仿宋" w:cs="仿宋"/>
          <w:spacing w:val="-24"/>
          <w:sz w:val="24"/>
          <w:szCs w:val="24"/>
        </w:rPr>
        <w:t>），</w:t>
      </w:r>
      <w:r>
        <w:rPr>
          <w:rFonts w:ascii="仿宋" w:hAnsi="仿宋" w:eastAsia="仿宋" w:cs="仿宋"/>
          <w:spacing w:val="-2"/>
          <w:sz w:val="24"/>
          <w:szCs w:val="24"/>
        </w:rPr>
        <w:t>并充分利用沿线农村砖混住房墙体、院落围墙及房屋布局的天然隔声性</w:t>
      </w:r>
      <w:r>
        <w:rPr>
          <w:rFonts w:ascii="仿宋" w:hAnsi="仿宋" w:eastAsia="仿宋" w:cs="仿宋"/>
          <w:spacing w:val="-3"/>
          <w:sz w:val="24"/>
          <w:szCs w:val="24"/>
        </w:rPr>
        <w:t>能，配套定期噪声跟踪监测，形成完整噪声防控体系。结合噪</w:t>
      </w:r>
      <w:r>
        <w:rPr>
          <w:rFonts w:ascii="仿宋" w:hAnsi="仿宋" w:eastAsia="仿宋" w:cs="仿宋"/>
          <w:spacing w:val="-4"/>
          <w:sz w:val="24"/>
          <w:szCs w:val="24"/>
        </w:rPr>
        <w:t>声预测结果，全线</w:t>
      </w:r>
      <w:r>
        <w:rPr>
          <w:rFonts w:ascii="Times New Roman" w:hAnsi="Times New Roman" w:eastAsia="Times New Roman" w:cs="Times New Roman"/>
          <w:sz w:val="24"/>
          <w:szCs w:val="24"/>
        </w:rPr>
        <w:t>14</w:t>
      </w:r>
      <w:r>
        <w:rPr>
          <w:rFonts w:ascii="Times New Roman" w:hAnsi="Times New Roman" w:eastAsia="Times New Roman" w:cs="Times New Roman"/>
          <w:spacing w:val="19"/>
          <w:sz w:val="24"/>
          <w:szCs w:val="24"/>
        </w:rPr>
        <w:t xml:space="preserve"> </w:t>
      </w:r>
      <w:r>
        <w:rPr>
          <w:rFonts w:ascii="仿宋" w:hAnsi="仿宋" w:eastAsia="仿宋" w:cs="仿宋"/>
          <w:sz w:val="24"/>
          <w:szCs w:val="24"/>
        </w:rPr>
        <w:t>处敏感点运营各阶段室外噪声均满足</w:t>
      </w:r>
      <w:r>
        <w:rPr>
          <w:rFonts w:ascii="仿宋" w:hAnsi="仿宋" w:eastAsia="仿宋" w:cs="仿宋"/>
          <w:spacing w:val="-30"/>
          <w:sz w:val="24"/>
          <w:szCs w:val="24"/>
        </w:rPr>
        <w:t xml:space="preserve"> </w:t>
      </w:r>
      <w:r>
        <w:rPr>
          <w:rFonts w:ascii="Times New Roman" w:hAnsi="Times New Roman" w:eastAsia="Times New Roman" w:cs="Times New Roman"/>
          <w:sz w:val="24"/>
          <w:szCs w:val="24"/>
        </w:rPr>
        <w:t>1</w:t>
      </w:r>
      <w:r>
        <w:rPr>
          <w:rFonts w:ascii="Times New Roman" w:hAnsi="Times New Roman" w:eastAsia="Times New Roman" w:cs="Times New Roman"/>
          <w:spacing w:val="22"/>
          <w:sz w:val="24"/>
          <w:szCs w:val="24"/>
        </w:rPr>
        <w:t xml:space="preserve"> </w:t>
      </w:r>
      <w:r>
        <w:rPr>
          <w:rFonts w:ascii="仿宋" w:hAnsi="仿宋" w:eastAsia="仿宋" w:cs="仿宋"/>
          <w:sz w:val="24"/>
          <w:szCs w:val="24"/>
        </w:rPr>
        <w:t>类声环境标准，室外噪声增</w:t>
      </w:r>
      <w:r>
        <w:rPr>
          <w:rFonts w:ascii="仿宋" w:hAnsi="仿宋" w:eastAsia="仿宋" w:cs="仿宋"/>
          <w:spacing w:val="-1"/>
          <w:sz w:val="24"/>
          <w:szCs w:val="24"/>
        </w:rPr>
        <w:t>量整体偏</w:t>
      </w:r>
      <w:r>
        <w:rPr>
          <w:rFonts w:ascii="仿宋" w:hAnsi="仿宋" w:eastAsia="仿宋" w:cs="仿宋"/>
          <w:spacing w:val="-3"/>
          <w:sz w:val="24"/>
          <w:szCs w:val="24"/>
        </w:rPr>
        <w:t>低；农村砖混住房自身隔声能力可进一步降低室内噪声水平，</w:t>
      </w:r>
      <w:r>
        <w:rPr>
          <w:rFonts w:ascii="仿宋" w:hAnsi="仿宋" w:eastAsia="仿宋" w:cs="仿宋"/>
          <w:spacing w:val="-4"/>
          <w:sz w:val="24"/>
          <w:szCs w:val="24"/>
        </w:rPr>
        <w:t>有效缓解公路交通</w:t>
      </w:r>
      <w:r>
        <w:rPr>
          <w:rFonts w:ascii="仿宋" w:hAnsi="仿宋" w:eastAsia="仿宋" w:cs="仿宋"/>
          <w:spacing w:val="-3"/>
          <w:sz w:val="24"/>
          <w:szCs w:val="24"/>
        </w:rPr>
        <w:t>噪声对居民生活的干扰。整套防治措施技术成熟、投资节约、</w:t>
      </w:r>
      <w:r>
        <w:rPr>
          <w:rFonts w:ascii="仿宋" w:hAnsi="仿宋" w:eastAsia="仿宋" w:cs="仿宋"/>
          <w:spacing w:val="-4"/>
          <w:sz w:val="24"/>
          <w:szCs w:val="24"/>
        </w:rPr>
        <w:t>实施难度低，可有</w:t>
      </w:r>
      <w:r>
        <w:rPr>
          <w:rFonts w:ascii="仿宋" w:hAnsi="仿宋" w:eastAsia="仿宋" w:cs="仿宋"/>
          <w:spacing w:val="-1"/>
          <w:sz w:val="24"/>
          <w:szCs w:val="24"/>
        </w:rPr>
        <w:t>效控制运营期噪声环境影响，措施具备充分可行性。</w:t>
      </w:r>
    </w:p>
    <w:p w14:paraId="02B67FED">
      <w:pPr>
        <w:spacing w:line="222" w:lineRule="auto"/>
        <w:ind w:left="515"/>
        <w:rPr>
          <w:rFonts w:ascii="仿宋" w:hAnsi="仿宋" w:eastAsia="仿宋" w:cs="仿宋"/>
          <w:sz w:val="24"/>
          <w:szCs w:val="24"/>
        </w:rPr>
      </w:pPr>
      <w:r>
        <w:rPr>
          <w:rFonts w:ascii="仿宋" w:hAnsi="仿宋" w:eastAsia="仿宋" w:cs="仿宋"/>
          <w:spacing w:val="-3"/>
          <w:sz w:val="24"/>
          <w:szCs w:val="24"/>
        </w:rPr>
        <w:t>（5）总体结论</w:t>
      </w:r>
    </w:p>
    <w:p w14:paraId="6E774BE1">
      <w:pPr>
        <w:spacing w:before="165" w:line="347" w:lineRule="auto"/>
        <w:ind w:left="30" w:right="52" w:firstLine="481"/>
        <w:rPr>
          <w:rFonts w:ascii="仿宋" w:hAnsi="仿宋" w:eastAsia="仿宋" w:cs="仿宋"/>
          <w:sz w:val="24"/>
          <w:szCs w:val="24"/>
        </w:rPr>
      </w:pPr>
      <w:r>
        <w:rPr>
          <w:rFonts w:ascii="仿宋" w:hAnsi="仿宋" w:eastAsia="仿宋" w:cs="仿宋"/>
          <w:spacing w:val="-4"/>
          <w:sz w:val="24"/>
          <w:szCs w:val="24"/>
        </w:rPr>
        <w:t>在严格落实本报告提出的各项噪声防治措施前提下，施工期各类噪声对沿线</w:t>
      </w:r>
      <w:r>
        <w:rPr>
          <w:rFonts w:ascii="仿宋" w:hAnsi="仿宋" w:eastAsia="仿宋" w:cs="仿宋"/>
          <w:spacing w:val="-3"/>
          <w:sz w:val="24"/>
          <w:szCs w:val="24"/>
        </w:rPr>
        <w:t>居民敏感点的环境影响可得到有效控制，整体影响处于可接受</w:t>
      </w:r>
      <w:r>
        <w:rPr>
          <w:rFonts w:ascii="仿宋" w:hAnsi="仿宋" w:eastAsia="仿宋" w:cs="仿宋"/>
          <w:spacing w:val="-4"/>
          <w:sz w:val="24"/>
          <w:szCs w:val="24"/>
        </w:rPr>
        <w:t>水平；项目营运期</w:t>
      </w:r>
      <w:r>
        <w:rPr>
          <w:rFonts w:ascii="仿宋" w:hAnsi="仿宋" w:eastAsia="仿宋" w:cs="仿宋"/>
          <w:spacing w:val="-5"/>
          <w:sz w:val="24"/>
          <w:szCs w:val="24"/>
        </w:rPr>
        <w:t>沿线所有敏感点室外声环境可稳定满足</w:t>
      </w:r>
      <w:r>
        <w:rPr>
          <w:rFonts w:ascii="仿宋" w:hAnsi="仿宋" w:eastAsia="仿宋" w:cs="仿宋"/>
          <w:spacing w:val="-17"/>
          <w:sz w:val="24"/>
          <w:szCs w:val="24"/>
        </w:rPr>
        <w:t xml:space="preserve"> </w:t>
      </w:r>
      <w:r>
        <w:rPr>
          <w:rFonts w:ascii="仿宋" w:hAnsi="仿宋" w:eastAsia="仿宋" w:cs="仿宋"/>
          <w:spacing w:val="-5"/>
          <w:sz w:val="24"/>
          <w:szCs w:val="24"/>
        </w:rPr>
        <w:t>1</w:t>
      </w:r>
      <w:r>
        <w:rPr>
          <w:rFonts w:ascii="仿宋" w:hAnsi="仿宋" w:eastAsia="仿宋" w:cs="仿宋"/>
          <w:spacing w:val="-41"/>
          <w:sz w:val="24"/>
          <w:szCs w:val="24"/>
        </w:rPr>
        <w:t xml:space="preserve"> </w:t>
      </w:r>
      <w:r>
        <w:rPr>
          <w:rFonts w:ascii="仿宋" w:hAnsi="仿宋" w:eastAsia="仿宋" w:cs="仿宋"/>
          <w:spacing w:val="-5"/>
          <w:sz w:val="24"/>
          <w:szCs w:val="24"/>
        </w:rPr>
        <w:t>类区标准要求，交通噪声对沿线居民日</w:t>
      </w:r>
      <w:r>
        <w:rPr>
          <w:rFonts w:ascii="仿宋" w:hAnsi="仿宋" w:eastAsia="仿宋" w:cs="仿宋"/>
          <w:spacing w:val="-3"/>
          <w:sz w:val="24"/>
          <w:szCs w:val="24"/>
        </w:rPr>
        <w:t>常生活、休息的影响处于可接受水平。从声环境角度分析，本</w:t>
      </w:r>
      <w:r>
        <w:rPr>
          <w:rFonts w:ascii="仿宋" w:hAnsi="仿宋" w:eastAsia="仿宋" w:cs="仿宋"/>
          <w:spacing w:val="-4"/>
          <w:sz w:val="24"/>
          <w:szCs w:val="24"/>
        </w:rPr>
        <w:t>项目建设具备环境可行性。</w:t>
      </w:r>
    </w:p>
    <w:p w14:paraId="512A6386">
      <w:pPr>
        <w:spacing w:line="347" w:lineRule="auto"/>
        <w:rPr>
          <w:rFonts w:ascii="仿宋" w:hAnsi="仿宋" w:eastAsia="仿宋" w:cs="仿宋"/>
          <w:sz w:val="24"/>
          <w:szCs w:val="24"/>
        </w:rPr>
        <w:sectPr>
          <w:footerReference r:id="rId194" w:type="default"/>
          <w:pgSz w:w="11905" w:h="16840"/>
          <w:pgMar w:top="400" w:right="1748" w:bottom="1098" w:left="1785" w:header="0" w:footer="936" w:gutter="0"/>
          <w:cols w:space="720" w:num="1"/>
        </w:sectPr>
      </w:pPr>
    </w:p>
    <w:p w14:paraId="451DC31B">
      <w:pPr>
        <w:pStyle w:val="2"/>
        <w:spacing w:line="247" w:lineRule="auto"/>
        <w:rPr>
          <w:sz w:val="21"/>
        </w:rPr>
      </w:pPr>
    </w:p>
    <w:p w14:paraId="3056B95E">
      <w:pPr>
        <w:pStyle w:val="2"/>
        <w:spacing w:line="248" w:lineRule="auto"/>
        <w:rPr>
          <w:sz w:val="21"/>
        </w:rPr>
      </w:pPr>
    </w:p>
    <w:p w14:paraId="2790D084">
      <w:pPr>
        <w:pStyle w:val="2"/>
        <w:spacing w:line="248" w:lineRule="auto"/>
        <w:rPr>
          <w:sz w:val="21"/>
        </w:rPr>
      </w:pPr>
    </w:p>
    <w:p w14:paraId="39D59A08">
      <w:pPr>
        <w:pStyle w:val="2"/>
        <w:spacing w:line="248" w:lineRule="auto"/>
        <w:rPr>
          <w:sz w:val="21"/>
        </w:rPr>
      </w:pPr>
    </w:p>
    <w:p w14:paraId="4436CDB9">
      <w:pPr>
        <w:spacing w:before="78" w:line="222" w:lineRule="auto"/>
        <w:ind w:left="2416"/>
        <w:rPr>
          <w:rFonts w:ascii="仿宋" w:hAnsi="仿宋" w:eastAsia="仿宋" w:cs="仿宋"/>
          <w:sz w:val="24"/>
          <w:szCs w:val="24"/>
        </w:rPr>
      </w:pPr>
      <w:r>
        <w:rPr>
          <w:rFonts w:ascii="仿宋" w:hAnsi="仿宋" w:eastAsia="仿宋" w:cs="仿宋"/>
          <w:b/>
          <w:bCs/>
          <w:spacing w:val="-3"/>
          <w:sz w:val="24"/>
          <w:szCs w:val="24"/>
        </w:rPr>
        <w:t>附表</w:t>
      </w:r>
      <w:r>
        <w:rPr>
          <w:rFonts w:ascii="仿宋" w:hAnsi="仿宋" w:eastAsia="仿宋" w:cs="仿宋"/>
          <w:spacing w:val="-42"/>
          <w:sz w:val="24"/>
          <w:szCs w:val="24"/>
        </w:rPr>
        <w:t xml:space="preserve"> </w:t>
      </w:r>
      <w:r>
        <w:rPr>
          <w:rFonts w:ascii="Times New Roman" w:hAnsi="Times New Roman" w:eastAsia="Times New Roman" w:cs="Times New Roman"/>
          <w:b/>
          <w:bCs/>
          <w:spacing w:val="-3"/>
          <w:sz w:val="24"/>
          <w:szCs w:val="24"/>
        </w:rPr>
        <w:t xml:space="preserve">1        </w:t>
      </w:r>
      <w:r>
        <w:rPr>
          <w:rFonts w:ascii="仿宋" w:hAnsi="仿宋" w:eastAsia="仿宋" w:cs="仿宋"/>
          <w:b/>
          <w:bCs/>
          <w:spacing w:val="-3"/>
          <w:sz w:val="24"/>
          <w:szCs w:val="24"/>
        </w:rPr>
        <w:t>声环境影响评价自查表</w:t>
      </w:r>
    </w:p>
    <w:p w14:paraId="109B8A72">
      <w:pPr>
        <w:spacing w:line="143" w:lineRule="exact"/>
      </w:pPr>
    </w:p>
    <w:tbl>
      <w:tblPr>
        <w:tblStyle w:val="5"/>
        <w:tblW w:w="8889"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39"/>
        <w:gridCol w:w="1334"/>
        <w:gridCol w:w="1085"/>
        <w:gridCol w:w="543"/>
        <w:gridCol w:w="543"/>
        <w:gridCol w:w="1085"/>
        <w:gridCol w:w="287"/>
        <w:gridCol w:w="799"/>
        <w:gridCol w:w="542"/>
        <w:gridCol w:w="435"/>
        <w:gridCol w:w="108"/>
        <w:gridCol w:w="1089"/>
      </w:tblGrid>
      <w:tr w14:paraId="184B2E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 w:hRule="atLeast"/>
        </w:trPr>
        <w:tc>
          <w:tcPr>
            <w:tcW w:w="2373" w:type="dxa"/>
            <w:gridSpan w:val="2"/>
            <w:tcBorders>
              <w:top w:val="single" w:color="000000" w:sz="10" w:space="0"/>
              <w:left w:val="nil"/>
            </w:tcBorders>
            <w:vAlign w:val="top"/>
          </w:tcPr>
          <w:p w14:paraId="37CC27C0">
            <w:pPr>
              <w:spacing w:before="34" w:line="217" w:lineRule="auto"/>
              <w:ind w:left="773"/>
              <w:rPr>
                <w:rFonts w:ascii="宋体" w:hAnsi="宋体" w:eastAsia="宋体" w:cs="宋体"/>
                <w:sz w:val="20"/>
                <w:szCs w:val="20"/>
              </w:rPr>
            </w:pPr>
            <w:r>
              <w:rPr>
                <w:rFonts w:ascii="宋体" w:hAnsi="宋体" w:eastAsia="宋体" w:cs="宋体"/>
                <w:spacing w:val="6"/>
                <w:sz w:val="20"/>
                <w:szCs w:val="20"/>
              </w:rPr>
              <w:t>工作内容</w:t>
            </w:r>
          </w:p>
        </w:tc>
        <w:tc>
          <w:tcPr>
            <w:tcW w:w="6516" w:type="dxa"/>
            <w:gridSpan w:val="10"/>
            <w:tcBorders>
              <w:top w:val="single" w:color="000000" w:sz="10" w:space="0"/>
              <w:right w:val="nil"/>
            </w:tcBorders>
            <w:vAlign w:val="top"/>
          </w:tcPr>
          <w:p w14:paraId="1BB6BE24">
            <w:pPr>
              <w:spacing w:before="34" w:line="217" w:lineRule="auto"/>
              <w:ind w:left="2879"/>
              <w:rPr>
                <w:rFonts w:ascii="宋体" w:hAnsi="宋体" w:eastAsia="宋体" w:cs="宋体"/>
                <w:sz w:val="20"/>
                <w:szCs w:val="20"/>
              </w:rPr>
            </w:pPr>
            <w:r>
              <w:rPr>
                <w:rFonts w:ascii="宋体" w:hAnsi="宋体" w:eastAsia="宋体" w:cs="宋体"/>
                <w:spacing w:val="-2"/>
                <w:sz w:val="20"/>
                <w:szCs w:val="20"/>
              </w:rPr>
              <w:t>自查项目</w:t>
            </w:r>
          </w:p>
        </w:tc>
      </w:tr>
      <w:tr w14:paraId="071AD0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039" w:type="dxa"/>
            <w:vMerge w:val="restart"/>
            <w:tcBorders>
              <w:left w:val="nil"/>
              <w:bottom w:val="nil"/>
            </w:tcBorders>
            <w:vAlign w:val="top"/>
          </w:tcPr>
          <w:p w14:paraId="37339674">
            <w:pPr>
              <w:spacing w:before="38" w:line="235" w:lineRule="auto"/>
              <w:ind w:left="213" w:right="102" w:hanging="110"/>
              <w:rPr>
                <w:rFonts w:ascii="宋体" w:hAnsi="宋体" w:eastAsia="宋体" w:cs="宋体"/>
                <w:sz w:val="20"/>
                <w:szCs w:val="20"/>
              </w:rPr>
            </w:pPr>
            <w:r>
              <w:rPr>
                <w:rFonts w:ascii="宋体" w:hAnsi="宋体" w:eastAsia="宋体" w:cs="宋体"/>
                <w:spacing w:val="7"/>
                <w:sz w:val="20"/>
                <w:szCs w:val="20"/>
              </w:rPr>
              <w:t>评价等级</w:t>
            </w:r>
            <w:r>
              <w:rPr>
                <w:rFonts w:ascii="宋体" w:hAnsi="宋体" w:eastAsia="宋体" w:cs="宋体"/>
                <w:spacing w:val="5"/>
                <w:sz w:val="20"/>
                <w:szCs w:val="20"/>
              </w:rPr>
              <w:t>与范围</w:t>
            </w:r>
          </w:p>
        </w:tc>
        <w:tc>
          <w:tcPr>
            <w:tcW w:w="1334" w:type="dxa"/>
            <w:vAlign w:val="top"/>
          </w:tcPr>
          <w:p w14:paraId="7CB919AC">
            <w:pPr>
              <w:spacing w:before="32" w:line="216" w:lineRule="auto"/>
              <w:ind w:left="252"/>
              <w:rPr>
                <w:rFonts w:ascii="宋体" w:hAnsi="宋体" w:eastAsia="宋体" w:cs="宋体"/>
                <w:sz w:val="20"/>
                <w:szCs w:val="20"/>
              </w:rPr>
            </w:pPr>
            <w:r>
              <w:rPr>
                <w:rFonts w:ascii="宋体" w:hAnsi="宋体" w:eastAsia="宋体" w:cs="宋体"/>
                <w:spacing w:val="7"/>
                <w:sz w:val="20"/>
                <w:szCs w:val="20"/>
              </w:rPr>
              <w:t>评价等级</w:t>
            </w:r>
          </w:p>
        </w:tc>
        <w:tc>
          <w:tcPr>
            <w:tcW w:w="6516" w:type="dxa"/>
            <w:gridSpan w:val="10"/>
            <w:tcBorders>
              <w:right w:val="nil"/>
            </w:tcBorders>
            <w:vAlign w:val="top"/>
          </w:tcPr>
          <w:p w14:paraId="6D48F8D1">
            <w:pPr>
              <w:spacing w:before="32" w:line="216" w:lineRule="auto"/>
              <w:ind w:left="1716"/>
              <w:rPr>
                <w:sz w:val="20"/>
                <w:szCs w:val="20"/>
              </w:rPr>
            </w:pPr>
            <w:r>
              <w:rPr>
                <w:rFonts w:ascii="宋体" w:hAnsi="宋体" w:eastAsia="宋体" w:cs="宋体"/>
                <w:spacing w:val="3"/>
                <w:sz w:val="20"/>
                <w:szCs w:val="20"/>
              </w:rPr>
              <w:t>一级</w:t>
            </w:r>
            <w:r>
              <w:rPr>
                <w:sz w:val="20"/>
                <w:szCs w:val="20"/>
              </w:rPr>
              <w:drawing>
                <wp:inline distT="0" distB="0" distL="0" distR="0">
                  <wp:extent cx="124460" cy="114300"/>
                  <wp:effectExtent l="0" t="0" r="0" b="0"/>
                  <wp:docPr id="254" name="IM 254"/>
                  <wp:cNvGraphicFramePr/>
                  <a:graphic xmlns:a="http://schemas.openxmlformats.org/drawingml/2006/main">
                    <a:graphicData uri="http://schemas.openxmlformats.org/drawingml/2006/picture">
                      <pic:pic xmlns:pic="http://schemas.openxmlformats.org/drawingml/2006/picture">
                        <pic:nvPicPr>
                          <pic:cNvPr id="254" name="IM 254"/>
                          <pic:cNvPicPr/>
                        </pic:nvPicPr>
                        <pic:blipFill>
                          <a:blip r:embed="rId394"/>
                          <a:stretch>
                            <a:fillRect/>
                          </a:stretch>
                        </pic:blipFill>
                        <pic:spPr>
                          <a:xfrm>
                            <a:off x="0" y="0"/>
                            <a:ext cx="124632" cy="114300"/>
                          </a:xfrm>
                          <a:prstGeom prst="rect">
                            <a:avLst/>
                          </a:prstGeom>
                        </pic:spPr>
                      </pic:pic>
                    </a:graphicData>
                  </a:graphic>
                </wp:inline>
              </w:drawing>
            </w:r>
            <w:r>
              <w:rPr>
                <w:rFonts w:ascii="宋体" w:hAnsi="宋体" w:eastAsia="宋体" w:cs="宋体"/>
                <w:spacing w:val="7"/>
                <w:sz w:val="20"/>
                <w:szCs w:val="20"/>
              </w:rPr>
              <w:t xml:space="preserve">      </w:t>
            </w:r>
            <w:r>
              <w:rPr>
                <w:rFonts w:ascii="宋体" w:hAnsi="宋体" w:eastAsia="宋体" w:cs="宋体"/>
                <w:spacing w:val="3"/>
                <w:sz w:val="20"/>
                <w:szCs w:val="20"/>
              </w:rPr>
              <w:t>二级</w:t>
            </w:r>
            <w:r>
              <w:rPr>
                <w:sz w:val="20"/>
                <w:szCs w:val="20"/>
              </w:rPr>
              <w:drawing>
                <wp:inline distT="0" distB="0" distL="0" distR="0">
                  <wp:extent cx="124460" cy="114300"/>
                  <wp:effectExtent l="0" t="0" r="0" b="0"/>
                  <wp:docPr id="256" name="IM 256"/>
                  <wp:cNvGraphicFramePr/>
                  <a:graphic xmlns:a="http://schemas.openxmlformats.org/drawingml/2006/main">
                    <a:graphicData uri="http://schemas.openxmlformats.org/drawingml/2006/picture">
                      <pic:pic xmlns:pic="http://schemas.openxmlformats.org/drawingml/2006/picture">
                        <pic:nvPicPr>
                          <pic:cNvPr id="256" name="IM 256"/>
                          <pic:cNvPicPr/>
                        </pic:nvPicPr>
                        <pic:blipFill>
                          <a:blip r:embed="rId395"/>
                          <a:stretch>
                            <a:fillRect/>
                          </a:stretch>
                        </pic:blipFill>
                        <pic:spPr>
                          <a:xfrm>
                            <a:off x="0" y="0"/>
                            <a:ext cx="124632" cy="114300"/>
                          </a:xfrm>
                          <a:prstGeom prst="rect">
                            <a:avLst/>
                          </a:prstGeom>
                        </pic:spPr>
                      </pic:pic>
                    </a:graphicData>
                  </a:graphic>
                </wp:inline>
              </w:drawing>
            </w:r>
            <w:r>
              <w:rPr>
                <w:rFonts w:ascii="宋体" w:hAnsi="宋体" w:eastAsia="宋体" w:cs="宋体"/>
                <w:spacing w:val="7"/>
                <w:sz w:val="20"/>
                <w:szCs w:val="20"/>
              </w:rPr>
              <w:t xml:space="preserve">      </w:t>
            </w:r>
            <w:r>
              <w:rPr>
                <w:rFonts w:ascii="宋体" w:hAnsi="宋体" w:eastAsia="宋体" w:cs="宋体"/>
                <w:spacing w:val="3"/>
                <w:sz w:val="20"/>
                <w:szCs w:val="20"/>
              </w:rPr>
              <w:t>三级</w:t>
            </w:r>
            <w:r>
              <w:rPr>
                <w:sz w:val="20"/>
                <w:szCs w:val="20"/>
              </w:rPr>
              <w:drawing>
                <wp:inline distT="0" distB="0" distL="0" distR="0">
                  <wp:extent cx="125095" cy="114300"/>
                  <wp:effectExtent l="0" t="0" r="0" b="0"/>
                  <wp:docPr id="258" name="IM 258"/>
                  <wp:cNvGraphicFramePr/>
                  <a:graphic xmlns:a="http://schemas.openxmlformats.org/drawingml/2006/main">
                    <a:graphicData uri="http://schemas.openxmlformats.org/drawingml/2006/picture">
                      <pic:pic xmlns:pic="http://schemas.openxmlformats.org/drawingml/2006/picture">
                        <pic:nvPicPr>
                          <pic:cNvPr id="258" name="IM 258"/>
                          <pic:cNvPicPr/>
                        </pic:nvPicPr>
                        <pic:blipFill>
                          <a:blip r:embed="rId394"/>
                          <a:stretch>
                            <a:fillRect/>
                          </a:stretch>
                        </pic:blipFill>
                        <pic:spPr>
                          <a:xfrm>
                            <a:off x="0" y="0"/>
                            <a:ext cx="125272" cy="114300"/>
                          </a:xfrm>
                          <a:prstGeom prst="rect">
                            <a:avLst/>
                          </a:prstGeom>
                        </pic:spPr>
                      </pic:pic>
                    </a:graphicData>
                  </a:graphic>
                </wp:inline>
              </w:drawing>
            </w:r>
          </w:p>
        </w:tc>
      </w:tr>
      <w:tr w14:paraId="5B5E3F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039" w:type="dxa"/>
            <w:vMerge w:val="continue"/>
            <w:tcBorders>
              <w:top w:val="nil"/>
              <w:left w:val="nil"/>
            </w:tcBorders>
            <w:vAlign w:val="top"/>
          </w:tcPr>
          <w:p w14:paraId="34F5F8A5">
            <w:pPr>
              <w:rPr>
                <w:rFonts w:ascii="Arial"/>
                <w:sz w:val="21"/>
              </w:rPr>
            </w:pPr>
          </w:p>
        </w:tc>
        <w:tc>
          <w:tcPr>
            <w:tcW w:w="1334" w:type="dxa"/>
            <w:vAlign w:val="top"/>
          </w:tcPr>
          <w:p w14:paraId="25E43288">
            <w:pPr>
              <w:spacing w:before="34" w:line="214" w:lineRule="auto"/>
              <w:ind w:left="252"/>
              <w:rPr>
                <w:rFonts w:ascii="宋体" w:hAnsi="宋体" w:eastAsia="宋体" w:cs="宋体"/>
                <w:sz w:val="20"/>
                <w:szCs w:val="20"/>
              </w:rPr>
            </w:pPr>
            <w:r>
              <w:rPr>
                <w:rFonts w:ascii="宋体" w:hAnsi="宋体" w:eastAsia="宋体" w:cs="宋体"/>
                <w:spacing w:val="7"/>
                <w:sz w:val="20"/>
                <w:szCs w:val="20"/>
              </w:rPr>
              <w:t>评价范围</w:t>
            </w:r>
          </w:p>
        </w:tc>
        <w:tc>
          <w:tcPr>
            <w:tcW w:w="6516" w:type="dxa"/>
            <w:gridSpan w:val="10"/>
            <w:tcBorders>
              <w:right w:val="nil"/>
            </w:tcBorders>
            <w:vAlign w:val="top"/>
          </w:tcPr>
          <w:p w14:paraId="754CE20C">
            <w:pPr>
              <w:pStyle w:val="6"/>
              <w:spacing w:before="32" w:line="163" w:lineRule="auto"/>
              <w:ind w:left="984"/>
              <w:rPr>
                <w:rFonts w:ascii="宋体" w:hAnsi="宋体" w:eastAsia="宋体" w:cs="宋体"/>
                <w:sz w:val="20"/>
                <w:szCs w:val="20"/>
              </w:rPr>
            </w:pPr>
            <w:r>
              <w:rPr>
                <w:spacing w:val="3"/>
                <w:sz w:val="20"/>
                <w:szCs w:val="20"/>
              </w:rPr>
              <w:t xml:space="preserve">200m  </w:t>
            </w:r>
            <w:r>
              <w:rPr>
                <w:position w:val="3"/>
                <w:sz w:val="20"/>
                <w:szCs w:val="20"/>
              </w:rPr>
              <w:drawing>
                <wp:inline distT="0" distB="0" distL="0" distR="0">
                  <wp:extent cx="114300" cy="114300"/>
                  <wp:effectExtent l="0" t="0" r="0" b="0"/>
                  <wp:docPr id="260" name="IM 260"/>
                  <wp:cNvGraphicFramePr/>
                  <a:graphic xmlns:a="http://schemas.openxmlformats.org/drawingml/2006/main">
                    <a:graphicData uri="http://schemas.openxmlformats.org/drawingml/2006/picture">
                      <pic:pic xmlns:pic="http://schemas.openxmlformats.org/drawingml/2006/picture">
                        <pic:nvPicPr>
                          <pic:cNvPr id="260" name="IM 260"/>
                          <pic:cNvPicPr/>
                        </pic:nvPicPr>
                        <pic:blipFill>
                          <a:blip r:embed="rId395"/>
                          <a:stretch>
                            <a:fillRect/>
                          </a:stretch>
                        </pic:blipFill>
                        <pic:spPr>
                          <a:xfrm>
                            <a:off x="0" y="0"/>
                            <a:ext cx="114300" cy="114300"/>
                          </a:xfrm>
                          <a:prstGeom prst="rect">
                            <a:avLst/>
                          </a:prstGeom>
                        </pic:spPr>
                      </pic:pic>
                    </a:graphicData>
                  </a:graphic>
                </wp:inline>
              </w:drawing>
            </w:r>
            <w:r>
              <w:rPr>
                <w:rFonts w:ascii="宋体" w:hAnsi="宋体" w:eastAsia="宋体" w:cs="宋体"/>
                <w:spacing w:val="3"/>
                <w:sz w:val="20"/>
                <w:szCs w:val="20"/>
              </w:rPr>
              <w:t>；</w:t>
            </w:r>
            <w:r>
              <w:rPr>
                <w:rFonts w:ascii="宋体" w:hAnsi="宋体" w:eastAsia="宋体" w:cs="宋体"/>
                <w:spacing w:val="12"/>
                <w:sz w:val="20"/>
                <w:szCs w:val="20"/>
              </w:rPr>
              <w:t xml:space="preserve">   </w:t>
            </w:r>
            <w:r>
              <w:rPr>
                <w:rFonts w:ascii="宋体" w:hAnsi="宋体" w:eastAsia="宋体" w:cs="宋体"/>
                <w:spacing w:val="3"/>
                <w:sz w:val="20"/>
                <w:szCs w:val="20"/>
              </w:rPr>
              <w:t>大于</w:t>
            </w:r>
            <w:r>
              <w:rPr>
                <w:rFonts w:ascii="宋体" w:hAnsi="宋体" w:eastAsia="宋体" w:cs="宋体"/>
                <w:spacing w:val="-41"/>
                <w:sz w:val="20"/>
                <w:szCs w:val="20"/>
              </w:rPr>
              <w:t xml:space="preserve"> </w:t>
            </w:r>
            <w:r>
              <w:rPr>
                <w:spacing w:val="3"/>
                <w:sz w:val="20"/>
                <w:szCs w:val="20"/>
              </w:rPr>
              <w:t>200m</w:t>
            </w:r>
            <w:r>
              <w:rPr>
                <w:spacing w:val="9"/>
                <w:sz w:val="20"/>
                <w:szCs w:val="20"/>
              </w:rPr>
              <w:t xml:space="preserve">  </w:t>
            </w:r>
            <w:r>
              <w:rPr>
                <w:rFonts w:ascii="微软雅黑" w:hAnsi="微软雅黑" w:eastAsia="微软雅黑" w:cs="微软雅黑"/>
                <w:color w:val="9B9B9B"/>
                <w:spacing w:val="3"/>
                <w:position w:val="3"/>
                <w:sz w:val="20"/>
                <w:szCs w:val="20"/>
              </w:rPr>
              <w:t>厂</w:t>
            </w:r>
            <w:r>
              <w:rPr>
                <w:rFonts w:ascii="宋体" w:hAnsi="宋体" w:eastAsia="宋体" w:cs="宋体"/>
                <w:spacing w:val="3"/>
                <w:sz w:val="20"/>
                <w:szCs w:val="20"/>
              </w:rPr>
              <w:t>；</w:t>
            </w:r>
            <w:r>
              <w:rPr>
                <w:rFonts w:ascii="宋体" w:hAnsi="宋体" w:eastAsia="宋体" w:cs="宋体"/>
                <w:spacing w:val="13"/>
                <w:sz w:val="20"/>
                <w:szCs w:val="20"/>
              </w:rPr>
              <w:t xml:space="preserve">   </w:t>
            </w:r>
            <w:r>
              <w:rPr>
                <w:rFonts w:ascii="宋体" w:hAnsi="宋体" w:eastAsia="宋体" w:cs="宋体"/>
                <w:spacing w:val="3"/>
                <w:sz w:val="20"/>
                <w:szCs w:val="20"/>
              </w:rPr>
              <w:t>小于</w:t>
            </w:r>
            <w:r>
              <w:rPr>
                <w:rFonts w:ascii="宋体" w:hAnsi="宋体" w:eastAsia="宋体" w:cs="宋体"/>
                <w:spacing w:val="-39"/>
                <w:sz w:val="20"/>
                <w:szCs w:val="20"/>
              </w:rPr>
              <w:t xml:space="preserve"> </w:t>
            </w:r>
            <w:r>
              <w:rPr>
                <w:spacing w:val="3"/>
                <w:sz w:val="20"/>
                <w:szCs w:val="20"/>
              </w:rPr>
              <w:t>200m</w:t>
            </w:r>
            <w:r>
              <w:rPr>
                <w:spacing w:val="9"/>
                <w:sz w:val="20"/>
                <w:szCs w:val="20"/>
              </w:rPr>
              <w:t xml:space="preserve">  </w:t>
            </w:r>
            <w:r>
              <w:rPr>
                <w:position w:val="3"/>
                <w:sz w:val="20"/>
                <w:szCs w:val="20"/>
              </w:rPr>
              <w:drawing>
                <wp:inline distT="0" distB="0" distL="0" distR="0">
                  <wp:extent cx="111125" cy="113030"/>
                  <wp:effectExtent l="0" t="0" r="0" b="0"/>
                  <wp:docPr id="262" name="IM 262"/>
                  <wp:cNvGraphicFramePr/>
                  <a:graphic xmlns:a="http://schemas.openxmlformats.org/drawingml/2006/main">
                    <a:graphicData uri="http://schemas.openxmlformats.org/drawingml/2006/picture">
                      <pic:pic xmlns:pic="http://schemas.openxmlformats.org/drawingml/2006/picture">
                        <pic:nvPicPr>
                          <pic:cNvPr id="262" name="IM 262"/>
                          <pic:cNvPicPr/>
                        </pic:nvPicPr>
                        <pic:blipFill>
                          <a:blip r:embed="rId396"/>
                          <a:stretch>
                            <a:fillRect/>
                          </a:stretch>
                        </pic:blipFill>
                        <pic:spPr>
                          <a:xfrm>
                            <a:off x="0" y="0"/>
                            <a:ext cx="111366" cy="113030"/>
                          </a:xfrm>
                          <a:prstGeom prst="rect">
                            <a:avLst/>
                          </a:prstGeom>
                        </pic:spPr>
                      </pic:pic>
                    </a:graphicData>
                  </a:graphic>
                </wp:inline>
              </w:drawing>
            </w:r>
            <w:r>
              <w:rPr>
                <w:spacing w:val="-27"/>
                <w:sz w:val="20"/>
                <w:szCs w:val="20"/>
              </w:rPr>
              <w:t xml:space="preserve"> </w:t>
            </w:r>
            <w:r>
              <w:rPr>
                <w:rFonts w:ascii="宋体" w:hAnsi="宋体" w:eastAsia="宋体" w:cs="宋体"/>
                <w:spacing w:val="3"/>
                <w:sz w:val="20"/>
                <w:szCs w:val="20"/>
              </w:rPr>
              <w:t>；</w:t>
            </w:r>
          </w:p>
        </w:tc>
      </w:tr>
      <w:tr w14:paraId="70E09C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039" w:type="dxa"/>
            <w:tcBorders>
              <w:left w:val="nil"/>
            </w:tcBorders>
            <w:vAlign w:val="top"/>
          </w:tcPr>
          <w:p w14:paraId="76603D14">
            <w:pPr>
              <w:spacing w:before="34" w:line="214" w:lineRule="auto"/>
              <w:ind w:left="103"/>
              <w:rPr>
                <w:rFonts w:ascii="宋体" w:hAnsi="宋体" w:eastAsia="宋体" w:cs="宋体"/>
                <w:sz w:val="20"/>
                <w:szCs w:val="20"/>
              </w:rPr>
            </w:pPr>
            <w:r>
              <w:rPr>
                <w:rFonts w:ascii="宋体" w:hAnsi="宋体" w:eastAsia="宋体" w:cs="宋体"/>
                <w:spacing w:val="7"/>
                <w:sz w:val="20"/>
                <w:szCs w:val="20"/>
              </w:rPr>
              <w:t>评价因子</w:t>
            </w:r>
          </w:p>
        </w:tc>
        <w:tc>
          <w:tcPr>
            <w:tcW w:w="1334" w:type="dxa"/>
            <w:vAlign w:val="top"/>
          </w:tcPr>
          <w:p w14:paraId="5E305B1D">
            <w:pPr>
              <w:spacing w:before="34" w:line="214" w:lineRule="auto"/>
              <w:ind w:left="252"/>
              <w:rPr>
                <w:rFonts w:ascii="宋体" w:hAnsi="宋体" w:eastAsia="宋体" w:cs="宋体"/>
                <w:sz w:val="20"/>
                <w:szCs w:val="20"/>
              </w:rPr>
            </w:pPr>
            <w:r>
              <w:rPr>
                <w:rFonts w:ascii="宋体" w:hAnsi="宋体" w:eastAsia="宋体" w:cs="宋体"/>
                <w:spacing w:val="7"/>
                <w:sz w:val="20"/>
                <w:szCs w:val="20"/>
              </w:rPr>
              <w:t>评价因子</w:t>
            </w:r>
          </w:p>
        </w:tc>
        <w:tc>
          <w:tcPr>
            <w:tcW w:w="6516" w:type="dxa"/>
            <w:gridSpan w:val="10"/>
            <w:tcBorders>
              <w:right w:val="nil"/>
            </w:tcBorders>
            <w:vAlign w:val="top"/>
          </w:tcPr>
          <w:p w14:paraId="67085660">
            <w:pPr>
              <w:pStyle w:val="6"/>
              <w:spacing w:before="34" w:line="162" w:lineRule="auto"/>
              <w:ind w:left="41"/>
              <w:rPr>
                <w:rFonts w:ascii="微软雅黑" w:hAnsi="微软雅黑" w:eastAsia="微软雅黑" w:cs="微软雅黑"/>
                <w:sz w:val="20"/>
                <w:szCs w:val="20"/>
              </w:rPr>
            </w:pPr>
            <w:r>
              <w:rPr>
                <w:rFonts w:ascii="宋体" w:hAnsi="宋体" w:eastAsia="宋体" w:cs="宋体"/>
                <w:spacing w:val="7"/>
                <w:sz w:val="20"/>
                <w:szCs w:val="20"/>
              </w:rPr>
              <w:t>等效连续</w:t>
            </w:r>
            <w:r>
              <w:rPr>
                <w:rFonts w:ascii="宋体" w:hAnsi="宋体" w:eastAsia="宋体" w:cs="宋体"/>
                <w:spacing w:val="-43"/>
                <w:sz w:val="20"/>
                <w:szCs w:val="20"/>
              </w:rPr>
              <w:t xml:space="preserve"> </w:t>
            </w:r>
            <w:r>
              <w:rPr>
                <w:spacing w:val="7"/>
                <w:sz w:val="20"/>
                <w:szCs w:val="20"/>
              </w:rPr>
              <w:t>A</w:t>
            </w:r>
            <w:r>
              <w:rPr>
                <w:spacing w:val="15"/>
                <w:w w:val="101"/>
                <w:sz w:val="20"/>
                <w:szCs w:val="20"/>
              </w:rPr>
              <w:t xml:space="preserve"> </w:t>
            </w:r>
            <w:r>
              <w:rPr>
                <w:rFonts w:ascii="宋体" w:hAnsi="宋体" w:eastAsia="宋体" w:cs="宋体"/>
                <w:spacing w:val="7"/>
                <w:sz w:val="20"/>
                <w:szCs w:val="20"/>
              </w:rPr>
              <w:t>声级</w:t>
            </w:r>
            <w:r>
              <w:rPr>
                <w:position w:val="3"/>
                <w:sz w:val="20"/>
                <w:szCs w:val="20"/>
              </w:rPr>
              <w:drawing>
                <wp:inline distT="0" distB="0" distL="0" distR="0">
                  <wp:extent cx="124460" cy="114300"/>
                  <wp:effectExtent l="0" t="0" r="0" b="0"/>
                  <wp:docPr id="264" name="IM 264"/>
                  <wp:cNvGraphicFramePr/>
                  <a:graphic xmlns:a="http://schemas.openxmlformats.org/drawingml/2006/main">
                    <a:graphicData uri="http://schemas.openxmlformats.org/drawingml/2006/picture">
                      <pic:pic xmlns:pic="http://schemas.openxmlformats.org/drawingml/2006/picture">
                        <pic:nvPicPr>
                          <pic:cNvPr id="264" name="IM 264"/>
                          <pic:cNvPicPr/>
                        </pic:nvPicPr>
                        <pic:blipFill>
                          <a:blip r:embed="rId397"/>
                          <a:stretch>
                            <a:fillRect/>
                          </a:stretch>
                        </pic:blipFill>
                        <pic:spPr>
                          <a:xfrm>
                            <a:off x="0" y="0"/>
                            <a:ext cx="124590" cy="114300"/>
                          </a:xfrm>
                          <a:prstGeom prst="rect">
                            <a:avLst/>
                          </a:prstGeom>
                        </pic:spPr>
                      </pic:pic>
                    </a:graphicData>
                  </a:graphic>
                </wp:inline>
              </w:drawing>
            </w:r>
            <w:r>
              <w:rPr>
                <w:rFonts w:ascii="宋体" w:hAnsi="宋体" w:eastAsia="宋体" w:cs="宋体"/>
                <w:spacing w:val="7"/>
                <w:sz w:val="20"/>
                <w:szCs w:val="20"/>
              </w:rPr>
              <w:t>；   最大</w:t>
            </w:r>
            <w:r>
              <w:rPr>
                <w:rFonts w:ascii="宋体" w:hAnsi="宋体" w:eastAsia="宋体" w:cs="宋体"/>
                <w:spacing w:val="-43"/>
                <w:sz w:val="20"/>
                <w:szCs w:val="20"/>
              </w:rPr>
              <w:t xml:space="preserve"> </w:t>
            </w:r>
            <w:r>
              <w:rPr>
                <w:spacing w:val="7"/>
                <w:sz w:val="20"/>
                <w:szCs w:val="20"/>
              </w:rPr>
              <w:t>A</w:t>
            </w:r>
            <w:r>
              <w:rPr>
                <w:spacing w:val="15"/>
                <w:w w:val="101"/>
                <w:sz w:val="20"/>
                <w:szCs w:val="20"/>
              </w:rPr>
              <w:t xml:space="preserve"> </w:t>
            </w:r>
            <w:r>
              <w:rPr>
                <w:rFonts w:ascii="宋体" w:hAnsi="宋体" w:eastAsia="宋体" w:cs="宋体"/>
                <w:spacing w:val="7"/>
                <w:sz w:val="20"/>
                <w:szCs w:val="20"/>
              </w:rPr>
              <w:t>声级</w:t>
            </w:r>
            <w:r>
              <w:rPr>
                <w:rFonts w:ascii="微软雅黑" w:hAnsi="微软雅黑" w:eastAsia="微软雅黑" w:cs="微软雅黑"/>
                <w:color w:val="D9D9D9"/>
                <w:spacing w:val="7"/>
                <w:position w:val="3"/>
                <w:sz w:val="20"/>
                <w:szCs w:val="20"/>
              </w:rPr>
              <w:t>厂</w:t>
            </w:r>
            <w:r>
              <w:rPr>
                <w:rFonts w:ascii="宋体" w:hAnsi="宋体" w:eastAsia="宋体" w:cs="宋体"/>
                <w:spacing w:val="7"/>
                <w:sz w:val="20"/>
                <w:szCs w:val="20"/>
              </w:rPr>
              <w:t>；  计权等效</w:t>
            </w:r>
            <w:r>
              <w:rPr>
                <w:rFonts w:ascii="宋体" w:hAnsi="宋体" w:eastAsia="宋体" w:cs="宋体"/>
                <w:spacing w:val="6"/>
                <w:sz w:val="20"/>
                <w:szCs w:val="20"/>
              </w:rPr>
              <w:t>连续感觉噪声级</w:t>
            </w:r>
            <w:r>
              <w:rPr>
                <w:rFonts w:ascii="微软雅黑" w:hAnsi="微软雅黑" w:eastAsia="微软雅黑" w:cs="微软雅黑"/>
                <w:color w:val="D9D9D9"/>
                <w:spacing w:val="6"/>
                <w:position w:val="3"/>
                <w:sz w:val="20"/>
                <w:szCs w:val="20"/>
              </w:rPr>
              <w:t>厂</w:t>
            </w:r>
          </w:p>
        </w:tc>
      </w:tr>
      <w:tr w14:paraId="2FCFD6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039" w:type="dxa"/>
            <w:tcBorders>
              <w:left w:val="nil"/>
            </w:tcBorders>
            <w:vAlign w:val="top"/>
          </w:tcPr>
          <w:p w14:paraId="2606EB76">
            <w:pPr>
              <w:spacing w:before="36" w:line="213" w:lineRule="auto"/>
              <w:ind w:left="103"/>
              <w:rPr>
                <w:rFonts w:ascii="宋体" w:hAnsi="宋体" w:eastAsia="宋体" w:cs="宋体"/>
                <w:sz w:val="20"/>
                <w:szCs w:val="20"/>
              </w:rPr>
            </w:pPr>
            <w:r>
              <w:rPr>
                <w:rFonts w:ascii="宋体" w:hAnsi="宋体" w:eastAsia="宋体" w:cs="宋体"/>
                <w:spacing w:val="7"/>
                <w:sz w:val="20"/>
                <w:szCs w:val="20"/>
              </w:rPr>
              <w:t>评价标准</w:t>
            </w:r>
          </w:p>
        </w:tc>
        <w:tc>
          <w:tcPr>
            <w:tcW w:w="1334" w:type="dxa"/>
            <w:vAlign w:val="top"/>
          </w:tcPr>
          <w:p w14:paraId="0984C0F4">
            <w:pPr>
              <w:spacing w:before="36" w:line="213" w:lineRule="auto"/>
              <w:ind w:left="252"/>
              <w:rPr>
                <w:rFonts w:ascii="宋体" w:hAnsi="宋体" w:eastAsia="宋体" w:cs="宋体"/>
                <w:sz w:val="20"/>
                <w:szCs w:val="20"/>
              </w:rPr>
            </w:pPr>
            <w:r>
              <w:rPr>
                <w:rFonts w:ascii="宋体" w:hAnsi="宋体" w:eastAsia="宋体" w:cs="宋体"/>
                <w:spacing w:val="7"/>
                <w:sz w:val="20"/>
                <w:szCs w:val="20"/>
              </w:rPr>
              <w:t>评价标准</w:t>
            </w:r>
          </w:p>
        </w:tc>
        <w:tc>
          <w:tcPr>
            <w:tcW w:w="6516" w:type="dxa"/>
            <w:gridSpan w:val="10"/>
            <w:tcBorders>
              <w:right w:val="nil"/>
            </w:tcBorders>
            <w:vAlign w:val="top"/>
          </w:tcPr>
          <w:p w14:paraId="4D36796A">
            <w:pPr>
              <w:spacing w:before="35" w:line="162" w:lineRule="auto"/>
              <w:ind w:left="1051"/>
              <w:rPr>
                <w:rFonts w:ascii="微软雅黑" w:hAnsi="微软雅黑" w:eastAsia="微软雅黑" w:cs="微软雅黑"/>
                <w:sz w:val="20"/>
                <w:szCs w:val="20"/>
              </w:rPr>
            </w:pPr>
            <w:r>
              <w:rPr>
                <w:rFonts w:ascii="宋体" w:hAnsi="宋体" w:eastAsia="宋体" w:cs="宋体"/>
                <w:spacing w:val="2"/>
                <w:sz w:val="20"/>
                <w:szCs w:val="20"/>
              </w:rPr>
              <w:t xml:space="preserve">国家标准 </w:t>
            </w:r>
            <w:r>
              <w:rPr>
                <w:position w:val="3"/>
                <w:sz w:val="20"/>
                <w:szCs w:val="20"/>
              </w:rPr>
              <w:drawing>
                <wp:inline distT="0" distB="0" distL="0" distR="0">
                  <wp:extent cx="113665" cy="114300"/>
                  <wp:effectExtent l="0" t="0" r="0" b="0"/>
                  <wp:docPr id="266" name="IM 266"/>
                  <wp:cNvGraphicFramePr/>
                  <a:graphic xmlns:a="http://schemas.openxmlformats.org/drawingml/2006/main">
                    <a:graphicData uri="http://schemas.openxmlformats.org/drawingml/2006/picture">
                      <pic:pic xmlns:pic="http://schemas.openxmlformats.org/drawingml/2006/picture">
                        <pic:nvPicPr>
                          <pic:cNvPr id="266" name="IM 266"/>
                          <pic:cNvPicPr/>
                        </pic:nvPicPr>
                        <pic:blipFill>
                          <a:blip r:embed="rId395"/>
                          <a:stretch>
                            <a:fillRect/>
                          </a:stretch>
                        </pic:blipFill>
                        <pic:spPr>
                          <a:xfrm>
                            <a:off x="0" y="0"/>
                            <a:ext cx="113715" cy="114300"/>
                          </a:xfrm>
                          <a:prstGeom prst="rect">
                            <a:avLst/>
                          </a:prstGeom>
                        </pic:spPr>
                      </pic:pic>
                    </a:graphicData>
                  </a:graphic>
                </wp:inline>
              </w:drawing>
            </w:r>
            <w:r>
              <w:rPr>
                <w:rFonts w:ascii="宋体" w:hAnsi="宋体" w:eastAsia="宋体" w:cs="宋体"/>
                <w:spacing w:val="2"/>
                <w:sz w:val="20"/>
                <w:szCs w:val="20"/>
              </w:rPr>
              <w:t>；</w:t>
            </w:r>
            <w:r>
              <w:rPr>
                <w:rFonts w:ascii="宋体" w:hAnsi="宋体" w:eastAsia="宋体" w:cs="宋体"/>
                <w:spacing w:val="16"/>
                <w:sz w:val="20"/>
                <w:szCs w:val="20"/>
              </w:rPr>
              <w:t xml:space="preserve">   </w:t>
            </w:r>
            <w:r>
              <w:rPr>
                <w:rFonts w:ascii="宋体" w:hAnsi="宋体" w:eastAsia="宋体" w:cs="宋体"/>
                <w:spacing w:val="2"/>
                <w:sz w:val="20"/>
                <w:szCs w:val="20"/>
              </w:rPr>
              <w:t>地方标准</w:t>
            </w:r>
            <w:r>
              <w:rPr>
                <w:rFonts w:ascii="宋体" w:hAnsi="宋体" w:eastAsia="宋体" w:cs="宋体"/>
                <w:spacing w:val="22"/>
                <w:sz w:val="20"/>
                <w:szCs w:val="20"/>
              </w:rPr>
              <w:t xml:space="preserve"> </w:t>
            </w:r>
            <w:r>
              <w:rPr>
                <w:rFonts w:ascii="微软雅黑" w:hAnsi="微软雅黑" w:eastAsia="微软雅黑" w:cs="微软雅黑"/>
                <w:color w:val="9B9B9B"/>
                <w:spacing w:val="2"/>
                <w:position w:val="3"/>
                <w:sz w:val="20"/>
                <w:szCs w:val="20"/>
              </w:rPr>
              <w:t>厂</w:t>
            </w:r>
            <w:r>
              <w:rPr>
                <w:rFonts w:ascii="宋体" w:hAnsi="宋体" w:eastAsia="宋体" w:cs="宋体"/>
                <w:spacing w:val="2"/>
                <w:sz w:val="20"/>
                <w:szCs w:val="20"/>
              </w:rPr>
              <w:t>；</w:t>
            </w:r>
            <w:r>
              <w:rPr>
                <w:rFonts w:ascii="宋体" w:hAnsi="宋体" w:eastAsia="宋体" w:cs="宋体"/>
                <w:spacing w:val="17"/>
                <w:sz w:val="20"/>
                <w:szCs w:val="20"/>
              </w:rPr>
              <w:t xml:space="preserve">   </w:t>
            </w:r>
            <w:r>
              <w:rPr>
                <w:rFonts w:ascii="宋体" w:hAnsi="宋体" w:eastAsia="宋体" w:cs="宋体"/>
                <w:spacing w:val="2"/>
                <w:sz w:val="20"/>
                <w:szCs w:val="20"/>
              </w:rPr>
              <w:t>国外标准</w:t>
            </w:r>
            <w:r>
              <w:rPr>
                <w:rFonts w:ascii="宋体" w:hAnsi="宋体" w:eastAsia="宋体" w:cs="宋体"/>
                <w:spacing w:val="25"/>
                <w:sz w:val="20"/>
                <w:szCs w:val="20"/>
              </w:rPr>
              <w:t xml:space="preserve"> </w:t>
            </w:r>
            <w:r>
              <w:rPr>
                <w:rFonts w:ascii="微软雅黑" w:hAnsi="微软雅黑" w:eastAsia="微软雅黑" w:cs="微软雅黑"/>
                <w:color w:val="9B9B9B"/>
                <w:spacing w:val="2"/>
                <w:position w:val="3"/>
                <w:sz w:val="20"/>
                <w:szCs w:val="20"/>
              </w:rPr>
              <w:t>厂</w:t>
            </w:r>
          </w:p>
        </w:tc>
      </w:tr>
      <w:tr w14:paraId="7B0FE3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039" w:type="dxa"/>
            <w:vMerge w:val="restart"/>
            <w:tcBorders>
              <w:left w:val="nil"/>
              <w:bottom w:val="nil"/>
            </w:tcBorders>
            <w:vAlign w:val="top"/>
          </w:tcPr>
          <w:p w14:paraId="6F3CA0B2">
            <w:pPr>
              <w:spacing w:line="392" w:lineRule="auto"/>
              <w:rPr>
                <w:rFonts w:ascii="Arial"/>
                <w:sz w:val="21"/>
              </w:rPr>
            </w:pPr>
          </w:p>
          <w:p w14:paraId="2E27C527">
            <w:pPr>
              <w:spacing w:before="65" w:line="226" w:lineRule="auto"/>
              <w:ind w:left="105"/>
              <w:rPr>
                <w:rFonts w:ascii="宋体" w:hAnsi="宋体" w:eastAsia="宋体" w:cs="宋体"/>
                <w:sz w:val="20"/>
                <w:szCs w:val="20"/>
              </w:rPr>
            </w:pPr>
            <w:r>
              <w:rPr>
                <w:rFonts w:ascii="宋体" w:hAnsi="宋体" w:eastAsia="宋体" w:cs="宋体"/>
                <w:spacing w:val="6"/>
                <w:sz w:val="20"/>
                <w:szCs w:val="20"/>
              </w:rPr>
              <w:t>现状评价</w:t>
            </w:r>
          </w:p>
        </w:tc>
        <w:tc>
          <w:tcPr>
            <w:tcW w:w="1334" w:type="dxa"/>
            <w:vAlign w:val="top"/>
          </w:tcPr>
          <w:p w14:paraId="5EBDE11F">
            <w:pPr>
              <w:spacing w:before="35" w:line="213" w:lineRule="auto"/>
              <w:ind w:left="147"/>
              <w:rPr>
                <w:rFonts w:ascii="宋体" w:hAnsi="宋体" w:eastAsia="宋体" w:cs="宋体"/>
                <w:sz w:val="20"/>
                <w:szCs w:val="20"/>
              </w:rPr>
            </w:pPr>
            <w:r>
              <w:rPr>
                <w:rFonts w:ascii="宋体" w:hAnsi="宋体" w:eastAsia="宋体" w:cs="宋体"/>
                <w:spacing w:val="8"/>
                <w:sz w:val="20"/>
                <w:szCs w:val="20"/>
              </w:rPr>
              <w:t>环境功能区</w:t>
            </w:r>
          </w:p>
        </w:tc>
        <w:tc>
          <w:tcPr>
            <w:tcW w:w="1085" w:type="dxa"/>
            <w:vAlign w:val="top"/>
          </w:tcPr>
          <w:p w14:paraId="1FD43B06">
            <w:pPr>
              <w:pStyle w:val="6"/>
              <w:spacing w:before="35" w:line="213" w:lineRule="auto"/>
              <w:ind w:left="108"/>
              <w:rPr>
                <w:sz w:val="20"/>
                <w:szCs w:val="20"/>
              </w:rPr>
            </w:pPr>
            <w:r>
              <w:rPr>
                <w:spacing w:val="2"/>
                <w:sz w:val="20"/>
                <w:szCs w:val="20"/>
              </w:rPr>
              <w:t>0</w:t>
            </w:r>
            <w:r>
              <w:rPr>
                <w:spacing w:val="9"/>
                <w:sz w:val="20"/>
                <w:szCs w:val="20"/>
              </w:rPr>
              <w:t xml:space="preserve"> </w:t>
            </w:r>
            <w:r>
              <w:rPr>
                <w:rFonts w:ascii="宋体" w:hAnsi="宋体" w:eastAsia="宋体" w:cs="宋体"/>
                <w:spacing w:val="2"/>
                <w:sz w:val="20"/>
                <w:szCs w:val="20"/>
              </w:rPr>
              <w:t>类区</w:t>
            </w:r>
            <w:r>
              <w:rPr>
                <w:rFonts w:ascii="宋体" w:hAnsi="宋体" w:eastAsia="宋体" w:cs="宋体"/>
                <w:spacing w:val="22"/>
                <w:sz w:val="20"/>
                <w:szCs w:val="20"/>
              </w:rPr>
              <w:t xml:space="preserve"> </w:t>
            </w:r>
            <w:r>
              <w:rPr>
                <w:sz w:val="20"/>
                <w:szCs w:val="20"/>
              </w:rPr>
              <w:drawing>
                <wp:inline distT="0" distB="0" distL="0" distR="0">
                  <wp:extent cx="114300" cy="114300"/>
                  <wp:effectExtent l="0" t="0" r="0" b="0"/>
                  <wp:docPr id="268" name="IM 268"/>
                  <wp:cNvGraphicFramePr/>
                  <a:graphic xmlns:a="http://schemas.openxmlformats.org/drawingml/2006/main">
                    <a:graphicData uri="http://schemas.openxmlformats.org/drawingml/2006/picture">
                      <pic:pic xmlns:pic="http://schemas.openxmlformats.org/drawingml/2006/picture">
                        <pic:nvPicPr>
                          <pic:cNvPr id="268" name="IM 268"/>
                          <pic:cNvPicPr/>
                        </pic:nvPicPr>
                        <pic:blipFill>
                          <a:blip r:embed="rId394"/>
                          <a:stretch>
                            <a:fillRect/>
                          </a:stretch>
                        </pic:blipFill>
                        <pic:spPr>
                          <a:xfrm>
                            <a:off x="0" y="0"/>
                            <a:ext cx="114300" cy="114300"/>
                          </a:xfrm>
                          <a:prstGeom prst="rect">
                            <a:avLst/>
                          </a:prstGeom>
                        </pic:spPr>
                      </pic:pic>
                    </a:graphicData>
                  </a:graphic>
                </wp:inline>
              </w:drawing>
            </w:r>
          </w:p>
        </w:tc>
        <w:tc>
          <w:tcPr>
            <w:tcW w:w="1086" w:type="dxa"/>
            <w:gridSpan w:val="2"/>
            <w:vAlign w:val="top"/>
          </w:tcPr>
          <w:p w14:paraId="0CFE72DF">
            <w:pPr>
              <w:pStyle w:val="6"/>
              <w:spacing w:before="35" w:line="213" w:lineRule="auto"/>
              <w:ind w:left="125"/>
              <w:rPr>
                <w:sz w:val="20"/>
                <w:szCs w:val="20"/>
              </w:rPr>
            </w:pPr>
            <w:r>
              <w:rPr>
                <w:spacing w:val="-4"/>
                <w:sz w:val="20"/>
                <w:szCs w:val="20"/>
              </w:rPr>
              <w:t>1</w:t>
            </w:r>
            <w:r>
              <w:rPr>
                <w:spacing w:val="12"/>
                <w:w w:val="101"/>
                <w:sz w:val="20"/>
                <w:szCs w:val="20"/>
              </w:rPr>
              <w:t xml:space="preserve"> </w:t>
            </w:r>
            <w:r>
              <w:rPr>
                <w:rFonts w:ascii="宋体" w:hAnsi="宋体" w:eastAsia="宋体" w:cs="宋体"/>
                <w:spacing w:val="-4"/>
                <w:sz w:val="20"/>
                <w:szCs w:val="20"/>
              </w:rPr>
              <w:t>类区</w:t>
            </w:r>
            <w:r>
              <w:rPr>
                <w:rFonts w:ascii="宋体" w:hAnsi="宋体" w:eastAsia="宋体" w:cs="宋体"/>
                <w:spacing w:val="20"/>
                <w:sz w:val="20"/>
                <w:szCs w:val="20"/>
              </w:rPr>
              <w:t xml:space="preserve"> </w:t>
            </w:r>
            <w:r>
              <w:rPr>
                <w:sz w:val="20"/>
                <w:szCs w:val="20"/>
              </w:rPr>
              <w:drawing>
                <wp:inline distT="0" distB="0" distL="0" distR="0">
                  <wp:extent cx="114300" cy="114300"/>
                  <wp:effectExtent l="0" t="0" r="0" b="0"/>
                  <wp:docPr id="270" name="IM 270"/>
                  <wp:cNvGraphicFramePr/>
                  <a:graphic xmlns:a="http://schemas.openxmlformats.org/drawingml/2006/main">
                    <a:graphicData uri="http://schemas.openxmlformats.org/drawingml/2006/picture">
                      <pic:pic xmlns:pic="http://schemas.openxmlformats.org/drawingml/2006/picture">
                        <pic:nvPicPr>
                          <pic:cNvPr id="270" name="IM 270"/>
                          <pic:cNvPicPr/>
                        </pic:nvPicPr>
                        <pic:blipFill>
                          <a:blip r:embed="rId395"/>
                          <a:stretch>
                            <a:fillRect/>
                          </a:stretch>
                        </pic:blipFill>
                        <pic:spPr>
                          <a:xfrm>
                            <a:off x="0" y="0"/>
                            <a:ext cx="114300" cy="114300"/>
                          </a:xfrm>
                          <a:prstGeom prst="rect">
                            <a:avLst/>
                          </a:prstGeom>
                        </pic:spPr>
                      </pic:pic>
                    </a:graphicData>
                  </a:graphic>
                </wp:inline>
              </w:drawing>
            </w:r>
          </w:p>
        </w:tc>
        <w:tc>
          <w:tcPr>
            <w:tcW w:w="1085" w:type="dxa"/>
            <w:vAlign w:val="top"/>
          </w:tcPr>
          <w:p w14:paraId="5DEC3A97">
            <w:pPr>
              <w:pStyle w:val="6"/>
              <w:spacing w:before="35" w:line="213" w:lineRule="auto"/>
              <w:ind w:left="104"/>
              <w:rPr>
                <w:sz w:val="20"/>
                <w:szCs w:val="20"/>
              </w:rPr>
            </w:pPr>
            <w:r>
              <w:rPr>
                <w:spacing w:val="3"/>
                <w:sz w:val="20"/>
                <w:szCs w:val="20"/>
              </w:rPr>
              <w:t>2</w:t>
            </w:r>
            <w:r>
              <w:rPr>
                <w:spacing w:val="12"/>
                <w:sz w:val="20"/>
                <w:szCs w:val="20"/>
              </w:rPr>
              <w:t xml:space="preserve"> </w:t>
            </w:r>
            <w:r>
              <w:rPr>
                <w:rFonts w:ascii="宋体" w:hAnsi="宋体" w:eastAsia="宋体" w:cs="宋体"/>
                <w:spacing w:val="3"/>
                <w:sz w:val="20"/>
                <w:szCs w:val="20"/>
              </w:rPr>
              <w:t>类区</w:t>
            </w:r>
            <w:r>
              <w:rPr>
                <w:rFonts w:ascii="宋体" w:hAnsi="宋体" w:eastAsia="宋体" w:cs="宋体"/>
                <w:spacing w:val="20"/>
                <w:sz w:val="20"/>
                <w:szCs w:val="20"/>
              </w:rPr>
              <w:t xml:space="preserve"> </w:t>
            </w:r>
            <w:r>
              <w:rPr>
                <w:sz w:val="20"/>
                <w:szCs w:val="20"/>
              </w:rPr>
              <w:drawing>
                <wp:inline distT="0" distB="0" distL="0" distR="0">
                  <wp:extent cx="113665" cy="114300"/>
                  <wp:effectExtent l="0" t="0" r="0" b="0"/>
                  <wp:docPr id="272" name="IM 272"/>
                  <wp:cNvGraphicFramePr/>
                  <a:graphic xmlns:a="http://schemas.openxmlformats.org/drawingml/2006/main">
                    <a:graphicData uri="http://schemas.openxmlformats.org/drawingml/2006/picture">
                      <pic:pic xmlns:pic="http://schemas.openxmlformats.org/drawingml/2006/picture">
                        <pic:nvPicPr>
                          <pic:cNvPr id="272" name="IM 272"/>
                          <pic:cNvPicPr/>
                        </pic:nvPicPr>
                        <pic:blipFill>
                          <a:blip r:embed="rId394"/>
                          <a:stretch>
                            <a:fillRect/>
                          </a:stretch>
                        </pic:blipFill>
                        <pic:spPr>
                          <a:xfrm>
                            <a:off x="0" y="0"/>
                            <a:ext cx="113715" cy="114300"/>
                          </a:xfrm>
                          <a:prstGeom prst="rect">
                            <a:avLst/>
                          </a:prstGeom>
                        </pic:spPr>
                      </pic:pic>
                    </a:graphicData>
                  </a:graphic>
                </wp:inline>
              </w:drawing>
            </w:r>
          </w:p>
        </w:tc>
        <w:tc>
          <w:tcPr>
            <w:tcW w:w="1086" w:type="dxa"/>
            <w:gridSpan w:val="2"/>
            <w:vAlign w:val="top"/>
          </w:tcPr>
          <w:p w14:paraId="04BE29AD">
            <w:pPr>
              <w:pStyle w:val="6"/>
              <w:spacing w:before="35" w:line="213" w:lineRule="auto"/>
              <w:ind w:left="110"/>
              <w:rPr>
                <w:sz w:val="20"/>
                <w:szCs w:val="20"/>
              </w:rPr>
            </w:pPr>
            <w:r>
              <w:rPr>
                <w:spacing w:val="1"/>
                <w:sz w:val="20"/>
                <w:szCs w:val="20"/>
              </w:rPr>
              <w:t>3</w:t>
            </w:r>
            <w:r>
              <w:rPr>
                <w:spacing w:val="11"/>
                <w:sz w:val="20"/>
                <w:szCs w:val="20"/>
              </w:rPr>
              <w:t xml:space="preserve"> </w:t>
            </w:r>
            <w:r>
              <w:rPr>
                <w:rFonts w:ascii="宋体" w:hAnsi="宋体" w:eastAsia="宋体" w:cs="宋体"/>
                <w:spacing w:val="1"/>
                <w:sz w:val="20"/>
                <w:szCs w:val="20"/>
              </w:rPr>
              <w:t>类区</w:t>
            </w:r>
            <w:r>
              <w:rPr>
                <w:rFonts w:ascii="宋体" w:hAnsi="宋体" w:eastAsia="宋体" w:cs="宋体"/>
                <w:spacing w:val="22"/>
                <w:sz w:val="20"/>
                <w:szCs w:val="20"/>
              </w:rPr>
              <w:t xml:space="preserve"> </w:t>
            </w:r>
            <w:r>
              <w:rPr>
                <w:sz w:val="20"/>
                <w:szCs w:val="20"/>
              </w:rPr>
              <w:drawing>
                <wp:inline distT="0" distB="0" distL="0" distR="0">
                  <wp:extent cx="114300" cy="114300"/>
                  <wp:effectExtent l="0" t="0" r="0" b="0"/>
                  <wp:docPr id="274" name="IM 274"/>
                  <wp:cNvGraphicFramePr/>
                  <a:graphic xmlns:a="http://schemas.openxmlformats.org/drawingml/2006/main">
                    <a:graphicData uri="http://schemas.openxmlformats.org/drawingml/2006/picture">
                      <pic:pic xmlns:pic="http://schemas.openxmlformats.org/drawingml/2006/picture">
                        <pic:nvPicPr>
                          <pic:cNvPr id="274" name="IM 274"/>
                          <pic:cNvPicPr/>
                        </pic:nvPicPr>
                        <pic:blipFill>
                          <a:blip r:embed="rId394"/>
                          <a:stretch>
                            <a:fillRect/>
                          </a:stretch>
                        </pic:blipFill>
                        <pic:spPr>
                          <a:xfrm>
                            <a:off x="0" y="0"/>
                            <a:ext cx="114300" cy="114300"/>
                          </a:xfrm>
                          <a:prstGeom prst="rect">
                            <a:avLst/>
                          </a:prstGeom>
                        </pic:spPr>
                      </pic:pic>
                    </a:graphicData>
                  </a:graphic>
                </wp:inline>
              </w:drawing>
            </w:r>
          </w:p>
        </w:tc>
        <w:tc>
          <w:tcPr>
            <w:tcW w:w="1085" w:type="dxa"/>
            <w:gridSpan w:val="3"/>
            <w:vAlign w:val="top"/>
          </w:tcPr>
          <w:p w14:paraId="32062572">
            <w:pPr>
              <w:pStyle w:val="6"/>
              <w:spacing w:before="35" w:line="213" w:lineRule="auto"/>
              <w:ind w:left="58"/>
              <w:rPr>
                <w:sz w:val="20"/>
                <w:szCs w:val="20"/>
              </w:rPr>
            </w:pPr>
            <w:r>
              <w:rPr>
                <w:spacing w:val="3"/>
                <w:sz w:val="20"/>
                <w:szCs w:val="20"/>
              </w:rPr>
              <w:t>4a</w:t>
            </w:r>
            <w:r>
              <w:rPr>
                <w:spacing w:val="12"/>
                <w:sz w:val="20"/>
                <w:szCs w:val="20"/>
              </w:rPr>
              <w:t xml:space="preserve"> </w:t>
            </w:r>
            <w:r>
              <w:rPr>
                <w:rFonts w:ascii="宋体" w:hAnsi="宋体" w:eastAsia="宋体" w:cs="宋体"/>
                <w:spacing w:val="3"/>
                <w:sz w:val="20"/>
                <w:szCs w:val="20"/>
              </w:rPr>
              <w:t>类区</w:t>
            </w:r>
            <w:r>
              <w:rPr>
                <w:rFonts w:ascii="宋体" w:hAnsi="宋体" w:eastAsia="宋体" w:cs="宋体"/>
                <w:spacing w:val="23"/>
                <w:sz w:val="20"/>
                <w:szCs w:val="20"/>
              </w:rPr>
              <w:t xml:space="preserve"> </w:t>
            </w:r>
            <w:r>
              <w:rPr>
                <w:sz w:val="20"/>
                <w:szCs w:val="20"/>
              </w:rPr>
              <w:drawing>
                <wp:inline distT="0" distB="0" distL="0" distR="0">
                  <wp:extent cx="113665" cy="114300"/>
                  <wp:effectExtent l="0" t="0" r="0" b="0"/>
                  <wp:docPr id="276" name="IM 276"/>
                  <wp:cNvGraphicFramePr/>
                  <a:graphic xmlns:a="http://schemas.openxmlformats.org/drawingml/2006/main">
                    <a:graphicData uri="http://schemas.openxmlformats.org/drawingml/2006/picture">
                      <pic:pic xmlns:pic="http://schemas.openxmlformats.org/drawingml/2006/picture">
                        <pic:nvPicPr>
                          <pic:cNvPr id="276" name="IM 276"/>
                          <pic:cNvPicPr/>
                        </pic:nvPicPr>
                        <pic:blipFill>
                          <a:blip r:embed="rId395"/>
                          <a:stretch>
                            <a:fillRect/>
                          </a:stretch>
                        </pic:blipFill>
                        <pic:spPr>
                          <a:xfrm>
                            <a:off x="0" y="0"/>
                            <a:ext cx="113715" cy="114300"/>
                          </a:xfrm>
                          <a:prstGeom prst="rect">
                            <a:avLst/>
                          </a:prstGeom>
                        </pic:spPr>
                      </pic:pic>
                    </a:graphicData>
                  </a:graphic>
                </wp:inline>
              </w:drawing>
            </w:r>
          </w:p>
        </w:tc>
        <w:tc>
          <w:tcPr>
            <w:tcW w:w="1089" w:type="dxa"/>
            <w:tcBorders>
              <w:right w:val="nil"/>
            </w:tcBorders>
            <w:vAlign w:val="top"/>
          </w:tcPr>
          <w:p w14:paraId="3F78D8C4">
            <w:pPr>
              <w:pStyle w:val="6"/>
              <w:spacing w:before="35" w:line="213" w:lineRule="auto"/>
              <w:ind w:left="56"/>
              <w:rPr>
                <w:sz w:val="20"/>
                <w:szCs w:val="20"/>
              </w:rPr>
            </w:pPr>
            <w:r>
              <w:rPr>
                <w:spacing w:val="4"/>
                <w:sz w:val="20"/>
                <w:szCs w:val="20"/>
              </w:rPr>
              <w:t>4b</w:t>
            </w:r>
            <w:r>
              <w:rPr>
                <w:spacing w:val="9"/>
                <w:sz w:val="20"/>
                <w:szCs w:val="20"/>
              </w:rPr>
              <w:t xml:space="preserve"> </w:t>
            </w:r>
            <w:r>
              <w:rPr>
                <w:rFonts w:ascii="宋体" w:hAnsi="宋体" w:eastAsia="宋体" w:cs="宋体"/>
                <w:spacing w:val="4"/>
                <w:sz w:val="20"/>
                <w:szCs w:val="20"/>
              </w:rPr>
              <w:t>类区</w:t>
            </w:r>
            <w:r>
              <w:rPr>
                <w:rFonts w:ascii="宋体" w:hAnsi="宋体" w:eastAsia="宋体" w:cs="宋体"/>
                <w:spacing w:val="22"/>
                <w:sz w:val="20"/>
                <w:szCs w:val="20"/>
              </w:rPr>
              <w:t xml:space="preserve"> </w:t>
            </w:r>
            <w:r>
              <w:rPr>
                <w:sz w:val="20"/>
                <w:szCs w:val="20"/>
              </w:rPr>
              <w:drawing>
                <wp:inline distT="0" distB="0" distL="0" distR="0">
                  <wp:extent cx="114300" cy="114300"/>
                  <wp:effectExtent l="0" t="0" r="0" b="0"/>
                  <wp:docPr id="278" name="IM 278"/>
                  <wp:cNvGraphicFramePr/>
                  <a:graphic xmlns:a="http://schemas.openxmlformats.org/drawingml/2006/main">
                    <a:graphicData uri="http://schemas.openxmlformats.org/drawingml/2006/picture">
                      <pic:pic xmlns:pic="http://schemas.openxmlformats.org/drawingml/2006/picture">
                        <pic:nvPicPr>
                          <pic:cNvPr id="278" name="IM 278"/>
                          <pic:cNvPicPr/>
                        </pic:nvPicPr>
                        <pic:blipFill>
                          <a:blip r:embed="rId394"/>
                          <a:stretch>
                            <a:fillRect/>
                          </a:stretch>
                        </pic:blipFill>
                        <pic:spPr>
                          <a:xfrm>
                            <a:off x="0" y="0"/>
                            <a:ext cx="114300" cy="114300"/>
                          </a:xfrm>
                          <a:prstGeom prst="rect">
                            <a:avLst/>
                          </a:prstGeom>
                        </pic:spPr>
                      </pic:pic>
                    </a:graphicData>
                  </a:graphic>
                </wp:inline>
              </w:drawing>
            </w:r>
          </w:p>
        </w:tc>
      </w:tr>
      <w:tr w14:paraId="44C7EC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039" w:type="dxa"/>
            <w:vMerge w:val="continue"/>
            <w:tcBorders>
              <w:top w:val="nil"/>
              <w:left w:val="nil"/>
              <w:bottom w:val="nil"/>
            </w:tcBorders>
            <w:vAlign w:val="top"/>
          </w:tcPr>
          <w:p w14:paraId="5D147E35">
            <w:pPr>
              <w:rPr>
                <w:rFonts w:ascii="Arial"/>
                <w:sz w:val="21"/>
              </w:rPr>
            </w:pPr>
          </w:p>
        </w:tc>
        <w:tc>
          <w:tcPr>
            <w:tcW w:w="1334" w:type="dxa"/>
            <w:vAlign w:val="top"/>
          </w:tcPr>
          <w:p w14:paraId="37371F72">
            <w:pPr>
              <w:spacing w:before="37" w:line="211" w:lineRule="auto"/>
              <w:ind w:left="252"/>
              <w:rPr>
                <w:rFonts w:ascii="宋体" w:hAnsi="宋体" w:eastAsia="宋体" w:cs="宋体"/>
                <w:sz w:val="20"/>
                <w:szCs w:val="20"/>
              </w:rPr>
            </w:pPr>
            <w:r>
              <w:rPr>
                <w:rFonts w:ascii="宋体" w:hAnsi="宋体" w:eastAsia="宋体" w:cs="宋体"/>
                <w:spacing w:val="7"/>
                <w:sz w:val="20"/>
                <w:szCs w:val="20"/>
              </w:rPr>
              <w:t>评价年度</w:t>
            </w:r>
          </w:p>
        </w:tc>
        <w:tc>
          <w:tcPr>
            <w:tcW w:w="1628" w:type="dxa"/>
            <w:gridSpan w:val="2"/>
            <w:vAlign w:val="top"/>
          </w:tcPr>
          <w:p w14:paraId="4A7C5B61">
            <w:pPr>
              <w:spacing w:before="36" w:line="212" w:lineRule="auto"/>
              <w:ind w:left="458"/>
              <w:rPr>
                <w:sz w:val="20"/>
                <w:szCs w:val="20"/>
              </w:rPr>
            </w:pPr>
            <w:r>
              <w:rPr>
                <w:rFonts w:ascii="宋体" w:hAnsi="宋体" w:eastAsia="宋体" w:cs="宋体"/>
                <w:spacing w:val="5"/>
                <w:sz w:val="20"/>
                <w:szCs w:val="20"/>
              </w:rPr>
              <w:t>初期</w:t>
            </w:r>
            <w:r>
              <w:rPr>
                <w:rFonts w:ascii="宋体" w:hAnsi="宋体" w:eastAsia="宋体" w:cs="宋体"/>
                <w:spacing w:val="22"/>
                <w:sz w:val="20"/>
                <w:szCs w:val="20"/>
              </w:rPr>
              <w:t xml:space="preserve"> </w:t>
            </w:r>
            <w:r>
              <w:rPr>
                <w:sz w:val="20"/>
                <w:szCs w:val="20"/>
              </w:rPr>
              <w:drawing>
                <wp:inline distT="0" distB="0" distL="0" distR="0">
                  <wp:extent cx="113665" cy="114300"/>
                  <wp:effectExtent l="0" t="0" r="0" b="0"/>
                  <wp:docPr id="280" name="IM 280"/>
                  <wp:cNvGraphicFramePr/>
                  <a:graphic xmlns:a="http://schemas.openxmlformats.org/drawingml/2006/main">
                    <a:graphicData uri="http://schemas.openxmlformats.org/drawingml/2006/picture">
                      <pic:pic xmlns:pic="http://schemas.openxmlformats.org/drawingml/2006/picture">
                        <pic:nvPicPr>
                          <pic:cNvPr id="280" name="IM 280"/>
                          <pic:cNvPicPr/>
                        </pic:nvPicPr>
                        <pic:blipFill>
                          <a:blip r:embed="rId394"/>
                          <a:stretch>
                            <a:fillRect/>
                          </a:stretch>
                        </pic:blipFill>
                        <pic:spPr>
                          <a:xfrm>
                            <a:off x="0" y="0"/>
                            <a:ext cx="113715" cy="114300"/>
                          </a:xfrm>
                          <a:prstGeom prst="rect">
                            <a:avLst/>
                          </a:prstGeom>
                        </pic:spPr>
                      </pic:pic>
                    </a:graphicData>
                  </a:graphic>
                </wp:inline>
              </w:drawing>
            </w:r>
          </w:p>
        </w:tc>
        <w:tc>
          <w:tcPr>
            <w:tcW w:w="1628" w:type="dxa"/>
            <w:gridSpan w:val="2"/>
            <w:vAlign w:val="top"/>
          </w:tcPr>
          <w:p w14:paraId="3A835501">
            <w:pPr>
              <w:spacing w:before="36" w:line="212" w:lineRule="auto"/>
              <w:ind w:left="458"/>
              <w:rPr>
                <w:sz w:val="20"/>
                <w:szCs w:val="20"/>
              </w:rPr>
            </w:pPr>
            <w:r>
              <w:rPr>
                <w:rFonts w:ascii="宋体" w:hAnsi="宋体" w:eastAsia="宋体" w:cs="宋体"/>
                <w:spacing w:val="5"/>
                <w:sz w:val="20"/>
                <w:szCs w:val="20"/>
              </w:rPr>
              <w:t>近期</w:t>
            </w:r>
            <w:r>
              <w:rPr>
                <w:rFonts w:ascii="宋体" w:hAnsi="宋体" w:eastAsia="宋体" w:cs="宋体"/>
                <w:spacing w:val="22"/>
                <w:sz w:val="20"/>
                <w:szCs w:val="20"/>
              </w:rPr>
              <w:t xml:space="preserve"> </w:t>
            </w:r>
            <w:r>
              <w:rPr>
                <w:sz w:val="20"/>
                <w:szCs w:val="20"/>
              </w:rPr>
              <w:drawing>
                <wp:inline distT="0" distB="0" distL="0" distR="0">
                  <wp:extent cx="113665" cy="114300"/>
                  <wp:effectExtent l="0" t="0" r="0" b="0"/>
                  <wp:docPr id="282" name="IM 282"/>
                  <wp:cNvGraphicFramePr/>
                  <a:graphic xmlns:a="http://schemas.openxmlformats.org/drawingml/2006/main">
                    <a:graphicData uri="http://schemas.openxmlformats.org/drawingml/2006/picture">
                      <pic:pic xmlns:pic="http://schemas.openxmlformats.org/drawingml/2006/picture">
                        <pic:nvPicPr>
                          <pic:cNvPr id="282" name="IM 282"/>
                          <pic:cNvPicPr/>
                        </pic:nvPicPr>
                        <pic:blipFill>
                          <a:blip r:embed="rId395"/>
                          <a:stretch>
                            <a:fillRect/>
                          </a:stretch>
                        </pic:blipFill>
                        <pic:spPr>
                          <a:xfrm>
                            <a:off x="0" y="0"/>
                            <a:ext cx="113715" cy="114300"/>
                          </a:xfrm>
                          <a:prstGeom prst="rect">
                            <a:avLst/>
                          </a:prstGeom>
                        </pic:spPr>
                      </pic:pic>
                    </a:graphicData>
                  </a:graphic>
                </wp:inline>
              </w:drawing>
            </w:r>
          </w:p>
        </w:tc>
        <w:tc>
          <w:tcPr>
            <w:tcW w:w="1628" w:type="dxa"/>
            <w:gridSpan w:val="3"/>
            <w:vAlign w:val="top"/>
          </w:tcPr>
          <w:p w14:paraId="21230C13">
            <w:pPr>
              <w:spacing w:before="36" w:line="212" w:lineRule="auto"/>
              <w:ind w:left="480"/>
              <w:rPr>
                <w:sz w:val="20"/>
                <w:szCs w:val="20"/>
              </w:rPr>
            </w:pPr>
            <w:r>
              <w:rPr>
                <w:rFonts w:ascii="宋体" w:hAnsi="宋体" w:eastAsia="宋体" w:cs="宋体"/>
                <w:spacing w:val="-5"/>
                <w:sz w:val="20"/>
                <w:szCs w:val="20"/>
              </w:rPr>
              <w:t>中期</w:t>
            </w:r>
            <w:r>
              <w:rPr>
                <w:rFonts w:ascii="宋体" w:hAnsi="宋体" w:eastAsia="宋体" w:cs="宋体"/>
                <w:spacing w:val="20"/>
                <w:sz w:val="20"/>
                <w:szCs w:val="20"/>
              </w:rPr>
              <w:t xml:space="preserve"> </w:t>
            </w:r>
            <w:r>
              <w:rPr>
                <w:sz w:val="20"/>
                <w:szCs w:val="20"/>
              </w:rPr>
              <w:drawing>
                <wp:inline distT="0" distB="0" distL="0" distR="0">
                  <wp:extent cx="114300" cy="114300"/>
                  <wp:effectExtent l="0" t="0" r="0" b="0"/>
                  <wp:docPr id="284" name="IM 284"/>
                  <wp:cNvGraphicFramePr/>
                  <a:graphic xmlns:a="http://schemas.openxmlformats.org/drawingml/2006/main">
                    <a:graphicData uri="http://schemas.openxmlformats.org/drawingml/2006/picture">
                      <pic:pic xmlns:pic="http://schemas.openxmlformats.org/drawingml/2006/picture">
                        <pic:nvPicPr>
                          <pic:cNvPr id="284" name="IM 284"/>
                          <pic:cNvPicPr/>
                        </pic:nvPicPr>
                        <pic:blipFill>
                          <a:blip r:embed="rId395"/>
                          <a:stretch>
                            <a:fillRect/>
                          </a:stretch>
                        </pic:blipFill>
                        <pic:spPr>
                          <a:xfrm>
                            <a:off x="0" y="0"/>
                            <a:ext cx="114300" cy="114300"/>
                          </a:xfrm>
                          <a:prstGeom prst="rect">
                            <a:avLst/>
                          </a:prstGeom>
                        </pic:spPr>
                      </pic:pic>
                    </a:graphicData>
                  </a:graphic>
                </wp:inline>
              </w:drawing>
            </w:r>
          </w:p>
        </w:tc>
        <w:tc>
          <w:tcPr>
            <w:tcW w:w="1632" w:type="dxa"/>
            <w:gridSpan w:val="3"/>
            <w:tcBorders>
              <w:right w:val="nil"/>
            </w:tcBorders>
            <w:vAlign w:val="top"/>
          </w:tcPr>
          <w:p w14:paraId="1B731F4E">
            <w:pPr>
              <w:spacing w:before="36" w:line="212" w:lineRule="auto"/>
              <w:ind w:left="464"/>
              <w:rPr>
                <w:sz w:val="20"/>
                <w:szCs w:val="20"/>
              </w:rPr>
            </w:pPr>
            <w:r>
              <w:rPr>
                <w:rFonts w:ascii="宋体" w:hAnsi="宋体" w:eastAsia="宋体" w:cs="宋体"/>
                <w:spacing w:val="4"/>
                <w:sz w:val="20"/>
                <w:szCs w:val="20"/>
              </w:rPr>
              <w:t>远期</w:t>
            </w:r>
            <w:r>
              <w:rPr>
                <w:rFonts w:ascii="宋体" w:hAnsi="宋体" w:eastAsia="宋体" w:cs="宋体"/>
                <w:spacing w:val="20"/>
                <w:sz w:val="20"/>
                <w:szCs w:val="20"/>
              </w:rPr>
              <w:t xml:space="preserve"> </w:t>
            </w:r>
            <w:r>
              <w:rPr>
                <w:sz w:val="20"/>
                <w:szCs w:val="20"/>
              </w:rPr>
              <w:drawing>
                <wp:inline distT="0" distB="0" distL="0" distR="0">
                  <wp:extent cx="114300" cy="114300"/>
                  <wp:effectExtent l="0" t="0" r="0" b="0"/>
                  <wp:docPr id="286" name="IM 286"/>
                  <wp:cNvGraphicFramePr/>
                  <a:graphic xmlns:a="http://schemas.openxmlformats.org/drawingml/2006/main">
                    <a:graphicData uri="http://schemas.openxmlformats.org/drawingml/2006/picture">
                      <pic:pic xmlns:pic="http://schemas.openxmlformats.org/drawingml/2006/picture">
                        <pic:nvPicPr>
                          <pic:cNvPr id="286" name="IM 286"/>
                          <pic:cNvPicPr/>
                        </pic:nvPicPr>
                        <pic:blipFill>
                          <a:blip r:embed="rId395"/>
                          <a:stretch>
                            <a:fillRect/>
                          </a:stretch>
                        </pic:blipFill>
                        <pic:spPr>
                          <a:xfrm>
                            <a:off x="0" y="0"/>
                            <a:ext cx="114300" cy="114300"/>
                          </a:xfrm>
                          <a:prstGeom prst="rect">
                            <a:avLst/>
                          </a:prstGeom>
                        </pic:spPr>
                      </pic:pic>
                    </a:graphicData>
                  </a:graphic>
                </wp:inline>
              </w:drawing>
            </w:r>
          </w:p>
        </w:tc>
      </w:tr>
      <w:tr w14:paraId="62A217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039" w:type="dxa"/>
            <w:vMerge w:val="continue"/>
            <w:tcBorders>
              <w:top w:val="nil"/>
              <w:left w:val="nil"/>
              <w:bottom w:val="nil"/>
            </w:tcBorders>
            <w:vAlign w:val="top"/>
          </w:tcPr>
          <w:p w14:paraId="59D5CEA5">
            <w:pPr>
              <w:rPr>
                <w:rFonts w:ascii="Arial"/>
                <w:sz w:val="21"/>
              </w:rPr>
            </w:pPr>
          </w:p>
        </w:tc>
        <w:tc>
          <w:tcPr>
            <w:tcW w:w="1334" w:type="dxa"/>
            <w:vAlign w:val="top"/>
          </w:tcPr>
          <w:p w14:paraId="57FF7D4D">
            <w:pPr>
              <w:spacing w:before="39" w:line="210" w:lineRule="auto"/>
              <w:ind w:left="43"/>
              <w:rPr>
                <w:rFonts w:ascii="宋体" w:hAnsi="宋体" w:eastAsia="宋体" w:cs="宋体"/>
                <w:sz w:val="20"/>
                <w:szCs w:val="20"/>
              </w:rPr>
            </w:pPr>
            <w:r>
              <w:rPr>
                <w:rFonts w:ascii="宋体" w:hAnsi="宋体" w:eastAsia="宋体" w:cs="宋体"/>
                <w:spacing w:val="7"/>
                <w:sz w:val="20"/>
                <w:szCs w:val="20"/>
              </w:rPr>
              <w:t>现状调查方法</w:t>
            </w:r>
          </w:p>
        </w:tc>
        <w:tc>
          <w:tcPr>
            <w:tcW w:w="6516" w:type="dxa"/>
            <w:gridSpan w:val="10"/>
            <w:tcBorders>
              <w:right w:val="nil"/>
            </w:tcBorders>
            <w:vAlign w:val="top"/>
          </w:tcPr>
          <w:p w14:paraId="58B39CAC">
            <w:pPr>
              <w:spacing w:before="38" w:line="160" w:lineRule="auto"/>
              <w:ind w:left="192"/>
              <w:rPr>
                <w:rFonts w:ascii="宋体" w:hAnsi="宋体" w:eastAsia="宋体" w:cs="宋体"/>
                <w:sz w:val="20"/>
                <w:szCs w:val="20"/>
              </w:rPr>
            </w:pPr>
            <w:r>
              <w:rPr>
                <w:rFonts w:ascii="宋体" w:hAnsi="宋体" w:eastAsia="宋体" w:cs="宋体"/>
                <w:spacing w:val="8"/>
                <w:sz w:val="20"/>
                <w:szCs w:val="20"/>
              </w:rPr>
              <w:t xml:space="preserve">现场实测法 </w:t>
            </w:r>
            <w:r>
              <w:rPr>
                <w:rFonts w:ascii="Arial" w:hAnsi="Arial" w:eastAsia="Arial" w:cs="Arial"/>
                <w:color w:val="DFDFDF"/>
                <w:spacing w:val="8"/>
                <w:position w:val="3"/>
                <w:sz w:val="20"/>
                <w:szCs w:val="20"/>
              </w:rPr>
              <w:t>D</w:t>
            </w:r>
            <w:r>
              <w:rPr>
                <w:rFonts w:ascii="宋体" w:hAnsi="宋体" w:eastAsia="宋体" w:cs="宋体"/>
                <w:spacing w:val="8"/>
                <w:sz w:val="20"/>
                <w:szCs w:val="20"/>
              </w:rPr>
              <w:t>；   现场实测加模型计算法</w:t>
            </w:r>
            <w:r>
              <w:rPr>
                <w:rFonts w:ascii="宋体" w:hAnsi="宋体" w:eastAsia="宋体" w:cs="宋体"/>
                <w:spacing w:val="22"/>
                <w:sz w:val="20"/>
                <w:szCs w:val="20"/>
              </w:rPr>
              <w:t xml:space="preserve"> </w:t>
            </w:r>
            <w:r>
              <w:rPr>
                <w:position w:val="3"/>
                <w:sz w:val="20"/>
                <w:szCs w:val="20"/>
              </w:rPr>
              <w:drawing>
                <wp:inline distT="0" distB="0" distL="0" distR="0">
                  <wp:extent cx="114300" cy="114300"/>
                  <wp:effectExtent l="0" t="0" r="0" b="0"/>
                  <wp:docPr id="288" name="IM 288"/>
                  <wp:cNvGraphicFramePr/>
                  <a:graphic xmlns:a="http://schemas.openxmlformats.org/drawingml/2006/main">
                    <a:graphicData uri="http://schemas.openxmlformats.org/drawingml/2006/picture">
                      <pic:pic xmlns:pic="http://schemas.openxmlformats.org/drawingml/2006/picture">
                        <pic:nvPicPr>
                          <pic:cNvPr id="288" name="IM 288"/>
                          <pic:cNvPicPr/>
                        </pic:nvPicPr>
                        <pic:blipFill>
                          <a:blip r:embed="rId394"/>
                          <a:stretch>
                            <a:fillRect/>
                          </a:stretch>
                        </pic:blipFill>
                        <pic:spPr>
                          <a:xfrm>
                            <a:off x="0" y="0"/>
                            <a:ext cx="114300" cy="114300"/>
                          </a:xfrm>
                          <a:prstGeom prst="rect">
                            <a:avLst/>
                          </a:prstGeom>
                        </pic:spPr>
                      </pic:pic>
                    </a:graphicData>
                  </a:graphic>
                </wp:inline>
              </w:drawing>
            </w:r>
            <w:r>
              <w:rPr>
                <w:rFonts w:ascii="宋体" w:hAnsi="宋体" w:eastAsia="宋体" w:cs="宋体"/>
                <w:spacing w:val="8"/>
                <w:sz w:val="20"/>
                <w:szCs w:val="20"/>
              </w:rPr>
              <w:t>；</w:t>
            </w:r>
            <w:r>
              <w:rPr>
                <w:rFonts w:ascii="宋体" w:hAnsi="宋体" w:eastAsia="宋体" w:cs="宋体"/>
                <w:spacing w:val="13"/>
                <w:sz w:val="20"/>
                <w:szCs w:val="20"/>
              </w:rPr>
              <w:t xml:space="preserve">   </w:t>
            </w:r>
            <w:r>
              <w:rPr>
                <w:rFonts w:ascii="宋体" w:hAnsi="宋体" w:eastAsia="宋体" w:cs="宋体"/>
                <w:spacing w:val="7"/>
                <w:sz w:val="20"/>
                <w:szCs w:val="20"/>
              </w:rPr>
              <w:t>收集资料</w:t>
            </w:r>
            <w:r>
              <w:rPr>
                <w:rFonts w:ascii="宋体" w:hAnsi="宋体" w:eastAsia="宋体" w:cs="宋体"/>
                <w:spacing w:val="25"/>
                <w:sz w:val="20"/>
                <w:szCs w:val="20"/>
              </w:rPr>
              <w:t xml:space="preserve"> </w:t>
            </w:r>
            <w:r>
              <w:rPr>
                <w:rFonts w:ascii="微软雅黑" w:hAnsi="微软雅黑" w:eastAsia="微软雅黑" w:cs="微软雅黑"/>
                <w:color w:val="DBDBDB"/>
                <w:spacing w:val="7"/>
                <w:position w:val="3"/>
                <w:sz w:val="20"/>
                <w:szCs w:val="20"/>
              </w:rPr>
              <w:t>厂</w:t>
            </w:r>
            <w:r>
              <w:rPr>
                <w:rFonts w:ascii="宋体" w:hAnsi="宋体" w:eastAsia="宋体" w:cs="宋体"/>
                <w:spacing w:val="7"/>
                <w:sz w:val="20"/>
                <w:szCs w:val="20"/>
              </w:rPr>
              <w:t>；</w:t>
            </w:r>
          </w:p>
        </w:tc>
      </w:tr>
      <w:tr w14:paraId="298802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039" w:type="dxa"/>
            <w:vMerge w:val="continue"/>
            <w:tcBorders>
              <w:top w:val="nil"/>
              <w:left w:val="nil"/>
            </w:tcBorders>
            <w:vAlign w:val="top"/>
          </w:tcPr>
          <w:p w14:paraId="56B97254">
            <w:pPr>
              <w:rPr>
                <w:rFonts w:ascii="Arial"/>
                <w:sz w:val="21"/>
              </w:rPr>
            </w:pPr>
          </w:p>
        </w:tc>
        <w:tc>
          <w:tcPr>
            <w:tcW w:w="1334" w:type="dxa"/>
            <w:vAlign w:val="top"/>
          </w:tcPr>
          <w:p w14:paraId="337ED5F7">
            <w:pPr>
              <w:spacing w:before="38" w:line="210" w:lineRule="auto"/>
              <w:ind w:left="254"/>
              <w:rPr>
                <w:rFonts w:ascii="宋体" w:hAnsi="宋体" w:eastAsia="宋体" w:cs="宋体"/>
                <w:sz w:val="20"/>
                <w:szCs w:val="20"/>
              </w:rPr>
            </w:pPr>
            <w:r>
              <w:rPr>
                <w:rFonts w:ascii="宋体" w:hAnsi="宋体" w:eastAsia="宋体" w:cs="宋体"/>
                <w:spacing w:val="6"/>
                <w:sz w:val="20"/>
                <w:szCs w:val="20"/>
              </w:rPr>
              <w:t>现状评价</w:t>
            </w:r>
          </w:p>
        </w:tc>
        <w:tc>
          <w:tcPr>
            <w:tcW w:w="1628" w:type="dxa"/>
            <w:gridSpan w:val="2"/>
            <w:vAlign w:val="top"/>
          </w:tcPr>
          <w:p w14:paraId="22942343">
            <w:pPr>
              <w:spacing w:before="38" w:line="210" w:lineRule="auto"/>
              <w:ind w:left="293"/>
              <w:rPr>
                <w:rFonts w:ascii="宋体" w:hAnsi="宋体" w:eastAsia="宋体" w:cs="宋体"/>
                <w:sz w:val="20"/>
                <w:szCs w:val="20"/>
              </w:rPr>
            </w:pPr>
            <w:r>
              <w:rPr>
                <w:rFonts w:ascii="宋体" w:hAnsi="宋体" w:eastAsia="宋体" w:cs="宋体"/>
                <w:spacing w:val="8"/>
                <w:sz w:val="20"/>
                <w:szCs w:val="20"/>
              </w:rPr>
              <w:t>达标百分比</w:t>
            </w:r>
          </w:p>
        </w:tc>
        <w:tc>
          <w:tcPr>
            <w:tcW w:w="4888" w:type="dxa"/>
            <w:gridSpan w:val="8"/>
            <w:tcBorders>
              <w:right w:val="nil"/>
            </w:tcBorders>
            <w:vAlign w:val="top"/>
          </w:tcPr>
          <w:p w14:paraId="209FBEEF">
            <w:pPr>
              <w:pStyle w:val="6"/>
              <w:spacing w:before="74" w:line="195" w:lineRule="auto"/>
              <w:ind w:left="2222"/>
              <w:rPr>
                <w:sz w:val="20"/>
                <w:szCs w:val="20"/>
              </w:rPr>
            </w:pPr>
            <w:r>
              <w:rPr>
                <w:spacing w:val="-1"/>
                <w:sz w:val="20"/>
                <w:szCs w:val="20"/>
              </w:rPr>
              <w:t>100%</w:t>
            </w:r>
          </w:p>
        </w:tc>
      </w:tr>
      <w:tr w14:paraId="0F931F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1039" w:type="dxa"/>
            <w:tcBorders>
              <w:left w:val="nil"/>
            </w:tcBorders>
            <w:vAlign w:val="top"/>
          </w:tcPr>
          <w:p w14:paraId="1142BBED">
            <w:pPr>
              <w:spacing w:before="40" w:line="229" w:lineRule="auto"/>
              <w:ind w:left="316" w:right="205" w:hanging="97"/>
              <w:rPr>
                <w:rFonts w:ascii="宋体" w:hAnsi="宋体" w:eastAsia="宋体" w:cs="宋体"/>
                <w:sz w:val="20"/>
                <w:szCs w:val="20"/>
              </w:rPr>
            </w:pPr>
            <w:r>
              <w:rPr>
                <w:rFonts w:ascii="宋体" w:hAnsi="宋体" w:eastAsia="宋体" w:cs="宋体"/>
                <w:spacing w:val="3"/>
                <w:sz w:val="20"/>
                <w:szCs w:val="20"/>
              </w:rPr>
              <w:t>噪声源调查</w:t>
            </w:r>
          </w:p>
        </w:tc>
        <w:tc>
          <w:tcPr>
            <w:tcW w:w="1334" w:type="dxa"/>
            <w:vAlign w:val="top"/>
          </w:tcPr>
          <w:p w14:paraId="2FEF3946">
            <w:pPr>
              <w:spacing w:before="40" w:line="229" w:lineRule="auto"/>
              <w:ind w:left="254" w:right="246" w:firstLine="113"/>
              <w:rPr>
                <w:rFonts w:ascii="宋体" w:hAnsi="宋体" w:eastAsia="宋体" w:cs="宋体"/>
                <w:sz w:val="20"/>
                <w:szCs w:val="20"/>
              </w:rPr>
            </w:pPr>
            <w:r>
              <w:rPr>
                <w:rFonts w:ascii="宋体" w:hAnsi="宋体" w:eastAsia="宋体" w:cs="宋体"/>
                <w:spacing w:val="3"/>
                <w:sz w:val="20"/>
                <w:szCs w:val="20"/>
              </w:rPr>
              <w:t>噪声源</w:t>
            </w:r>
            <w:r>
              <w:rPr>
                <w:rFonts w:ascii="宋体" w:hAnsi="宋体" w:eastAsia="宋体" w:cs="宋体"/>
                <w:spacing w:val="6"/>
                <w:sz w:val="20"/>
                <w:szCs w:val="20"/>
              </w:rPr>
              <w:t>调查方法</w:t>
            </w:r>
          </w:p>
        </w:tc>
        <w:tc>
          <w:tcPr>
            <w:tcW w:w="6516" w:type="dxa"/>
            <w:gridSpan w:val="10"/>
            <w:tcBorders>
              <w:right w:val="nil"/>
            </w:tcBorders>
            <w:vAlign w:val="top"/>
          </w:tcPr>
          <w:p w14:paraId="59D69621">
            <w:pPr>
              <w:spacing w:before="174" w:line="175" w:lineRule="auto"/>
              <w:ind w:left="927"/>
              <w:rPr>
                <w:rFonts w:ascii="宋体" w:hAnsi="宋体" w:eastAsia="宋体" w:cs="宋体"/>
                <w:sz w:val="20"/>
                <w:szCs w:val="20"/>
              </w:rPr>
            </w:pPr>
            <w:r>
              <w:rPr>
                <w:rFonts w:ascii="宋体" w:hAnsi="宋体" w:eastAsia="宋体" w:cs="宋体"/>
                <w:spacing w:val="2"/>
                <w:sz w:val="20"/>
                <w:szCs w:val="20"/>
              </w:rPr>
              <w:t xml:space="preserve">现场实测 </w:t>
            </w:r>
            <w:r>
              <w:rPr>
                <w:position w:val="3"/>
                <w:sz w:val="20"/>
                <w:szCs w:val="20"/>
              </w:rPr>
              <w:drawing>
                <wp:inline distT="0" distB="0" distL="0" distR="0">
                  <wp:extent cx="114300" cy="114300"/>
                  <wp:effectExtent l="0" t="0" r="0" b="0"/>
                  <wp:docPr id="290" name="IM 290"/>
                  <wp:cNvGraphicFramePr/>
                  <a:graphic xmlns:a="http://schemas.openxmlformats.org/drawingml/2006/main">
                    <a:graphicData uri="http://schemas.openxmlformats.org/drawingml/2006/picture">
                      <pic:pic xmlns:pic="http://schemas.openxmlformats.org/drawingml/2006/picture">
                        <pic:nvPicPr>
                          <pic:cNvPr id="290" name="IM 290"/>
                          <pic:cNvPicPr/>
                        </pic:nvPicPr>
                        <pic:blipFill>
                          <a:blip r:embed="rId395"/>
                          <a:stretch>
                            <a:fillRect/>
                          </a:stretch>
                        </pic:blipFill>
                        <pic:spPr>
                          <a:xfrm>
                            <a:off x="0" y="0"/>
                            <a:ext cx="114300" cy="114300"/>
                          </a:xfrm>
                          <a:prstGeom prst="rect">
                            <a:avLst/>
                          </a:prstGeom>
                        </pic:spPr>
                      </pic:pic>
                    </a:graphicData>
                  </a:graphic>
                </wp:inline>
              </w:drawing>
            </w:r>
            <w:r>
              <w:rPr>
                <w:rFonts w:ascii="宋体" w:hAnsi="宋体" w:eastAsia="宋体" w:cs="宋体"/>
                <w:spacing w:val="2"/>
                <w:sz w:val="20"/>
                <w:szCs w:val="20"/>
              </w:rPr>
              <w:t>；</w:t>
            </w:r>
            <w:r>
              <w:rPr>
                <w:rFonts w:ascii="宋体" w:hAnsi="宋体" w:eastAsia="宋体" w:cs="宋体"/>
                <w:spacing w:val="21"/>
                <w:sz w:val="20"/>
                <w:szCs w:val="20"/>
              </w:rPr>
              <w:t xml:space="preserve">   </w:t>
            </w:r>
            <w:r>
              <w:rPr>
                <w:rFonts w:ascii="宋体" w:hAnsi="宋体" w:eastAsia="宋体" w:cs="宋体"/>
                <w:spacing w:val="2"/>
                <w:sz w:val="20"/>
                <w:szCs w:val="20"/>
              </w:rPr>
              <w:t>已有资料</w:t>
            </w:r>
            <w:r>
              <w:rPr>
                <w:rFonts w:ascii="宋体" w:hAnsi="宋体" w:eastAsia="宋体" w:cs="宋体"/>
                <w:spacing w:val="24"/>
                <w:sz w:val="20"/>
                <w:szCs w:val="20"/>
              </w:rPr>
              <w:t xml:space="preserve"> </w:t>
            </w:r>
            <w:r>
              <w:rPr>
                <w:rFonts w:ascii="微软雅黑" w:hAnsi="微软雅黑" w:eastAsia="微软雅黑" w:cs="微软雅黑"/>
                <w:color w:val="9B9B9B"/>
                <w:spacing w:val="2"/>
                <w:position w:val="3"/>
                <w:sz w:val="20"/>
                <w:szCs w:val="20"/>
              </w:rPr>
              <w:t>厂</w:t>
            </w:r>
            <w:r>
              <w:rPr>
                <w:rFonts w:ascii="宋体" w:hAnsi="宋体" w:eastAsia="宋体" w:cs="宋体"/>
                <w:spacing w:val="2"/>
                <w:sz w:val="20"/>
                <w:szCs w:val="20"/>
              </w:rPr>
              <w:t>；</w:t>
            </w:r>
            <w:r>
              <w:rPr>
                <w:rFonts w:ascii="宋体" w:hAnsi="宋体" w:eastAsia="宋体" w:cs="宋体"/>
                <w:spacing w:val="11"/>
                <w:sz w:val="20"/>
                <w:szCs w:val="20"/>
              </w:rPr>
              <w:t xml:space="preserve">   </w:t>
            </w:r>
            <w:r>
              <w:rPr>
                <w:rFonts w:ascii="宋体" w:hAnsi="宋体" w:eastAsia="宋体" w:cs="宋体"/>
                <w:spacing w:val="2"/>
                <w:sz w:val="20"/>
                <w:szCs w:val="20"/>
              </w:rPr>
              <w:t>研究成果</w:t>
            </w:r>
            <w:r>
              <w:rPr>
                <w:rFonts w:ascii="宋体" w:hAnsi="宋体" w:eastAsia="宋体" w:cs="宋体"/>
                <w:spacing w:val="22"/>
                <w:sz w:val="20"/>
                <w:szCs w:val="20"/>
              </w:rPr>
              <w:t xml:space="preserve"> </w:t>
            </w:r>
            <w:r>
              <w:rPr>
                <w:rFonts w:ascii="微软雅黑" w:hAnsi="微软雅黑" w:eastAsia="微软雅黑" w:cs="微软雅黑"/>
                <w:color w:val="9B9B9B"/>
                <w:spacing w:val="2"/>
                <w:position w:val="3"/>
                <w:sz w:val="20"/>
                <w:szCs w:val="20"/>
              </w:rPr>
              <w:t>厂</w:t>
            </w:r>
            <w:r>
              <w:rPr>
                <w:rFonts w:ascii="宋体" w:hAnsi="宋体" w:eastAsia="宋体" w:cs="宋体"/>
                <w:spacing w:val="2"/>
                <w:sz w:val="20"/>
                <w:szCs w:val="20"/>
              </w:rPr>
              <w:t>；</w:t>
            </w:r>
          </w:p>
        </w:tc>
      </w:tr>
      <w:tr w14:paraId="4668B1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039" w:type="dxa"/>
            <w:vMerge w:val="restart"/>
            <w:tcBorders>
              <w:left w:val="nil"/>
              <w:bottom w:val="nil"/>
            </w:tcBorders>
            <w:vAlign w:val="top"/>
          </w:tcPr>
          <w:p w14:paraId="4FEE12B3">
            <w:pPr>
              <w:spacing w:line="269" w:lineRule="auto"/>
              <w:rPr>
                <w:rFonts w:ascii="Arial"/>
                <w:sz w:val="21"/>
              </w:rPr>
            </w:pPr>
          </w:p>
          <w:p w14:paraId="24501313">
            <w:pPr>
              <w:spacing w:line="269" w:lineRule="auto"/>
              <w:rPr>
                <w:rFonts w:ascii="Arial"/>
                <w:sz w:val="21"/>
              </w:rPr>
            </w:pPr>
          </w:p>
          <w:p w14:paraId="1A1B9427">
            <w:pPr>
              <w:spacing w:before="65" w:line="252" w:lineRule="auto"/>
              <w:ind w:left="104" w:right="102" w:firstLine="109"/>
              <w:jc w:val="both"/>
              <w:rPr>
                <w:rFonts w:ascii="宋体" w:hAnsi="宋体" w:eastAsia="宋体" w:cs="宋体"/>
                <w:sz w:val="20"/>
                <w:szCs w:val="20"/>
              </w:rPr>
            </w:pPr>
            <w:r>
              <w:rPr>
                <w:rFonts w:ascii="宋体" w:hAnsi="宋体" w:eastAsia="宋体" w:cs="宋体"/>
                <w:spacing w:val="5"/>
                <w:sz w:val="20"/>
                <w:szCs w:val="20"/>
              </w:rPr>
              <w:t>声环境</w:t>
            </w:r>
            <w:r>
              <w:rPr>
                <w:rFonts w:ascii="宋体" w:hAnsi="宋体" w:eastAsia="宋体" w:cs="宋体"/>
                <w:spacing w:val="7"/>
                <w:sz w:val="20"/>
                <w:szCs w:val="20"/>
              </w:rPr>
              <w:t>影响预测</w:t>
            </w:r>
            <w:r>
              <w:rPr>
                <w:rFonts w:ascii="宋体" w:hAnsi="宋体" w:eastAsia="宋体" w:cs="宋体"/>
                <w:spacing w:val="42"/>
                <w:sz w:val="20"/>
                <w:szCs w:val="20"/>
              </w:rPr>
              <w:t>与评价</w:t>
            </w:r>
          </w:p>
        </w:tc>
        <w:tc>
          <w:tcPr>
            <w:tcW w:w="1334" w:type="dxa"/>
            <w:vAlign w:val="top"/>
          </w:tcPr>
          <w:p w14:paraId="603B76CD">
            <w:pPr>
              <w:spacing w:before="42" w:line="206" w:lineRule="auto"/>
              <w:ind w:left="254"/>
              <w:rPr>
                <w:rFonts w:ascii="宋体" w:hAnsi="宋体" w:eastAsia="宋体" w:cs="宋体"/>
                <w:sz w:val="20"/>
                <w:szCs w:val="20"/>
              </w:rPr>
            </w:pPr>
            <w:r>
              <w:rPr>
                <w:rFonts w:ascii="宋体" w:hAnsi="宋体" w:eastAsia="宋体" w:cs="宋体"/>
                <w:spacing w:val="6"/>
                <w:sz w:val="20"/>
                <w:szCs w:val="20"/>
              </w:rPr>
              <w:t>预测模型</w:t>
            </w:r>
          </w:p>
        </w:tc>
        <w:tc>
          <w:tcPr>
            <w:tcW w:w="6516" w:type="dxa"/>
            <w:gridSpan w:val="10"/>
            <w:tcBorders>
              <w:right w:val="nil"/>
            </w:tcBorders>
            <w:vAlign w:val="top"/>
          </w:tcPr>
          <w:p w14:paraId="1C1CD6D1">
            <w:pPr>
              <w:spacing w:before="42" w:line="206" w:lineRule="auto"/>
              <w:ind w:left="1869"/>
              <w:rPr>
                <w:sz w:val="20"/>
                <w:szCs w:val="20"/>
              </w:rPr>
            </w:pPr>
            <w:r>
              <w:rPr>
                <w:rFonts w:ascii="宋体" w:hAnsi="宋体" w:eastAsia="宋体" w:cs="宋体"/>
                <w:spacing w:val="5"/>
                <w:sz w:val="20"/>
                <w:szCs w:val="20"/>
              </w:rPr>
              <w:t>导则推荐模型</w:t>
            </w:r>
            <w:r>
              <w:rPr>
                <w:rFonts w:ascii="宋体" w:hAnsi="宋体" w:eastAsia="宋体" w:cs="宋体"/>
                <w:spacing w:val="29"/>
                <w:sz w:val="20"/>
                <w:szCs w:val="20"/>
              </w:rPr>
              <w:t xml:space="preserve"> </w:t>
            </w:r>
            <w:r>
              <w:rPr>
                <w:sz w:val="20"/>
                <w:szCs w:val="20"/>
              </w:rPr>
              <w:drawing>
                <wp:inline distT="0" distB="0" distL="0" distR="0">
                  <wp:extent cx="113665" cy="114300"/>
                  <wp:effectExtent l="0" t="0" r="0" b="0"/>
                  <wp:docPr id="292" name="IM 292"/>
                  <wp:cNvGraphicFramePr/>
                  <a:graphic xmlns:a="http://schemas.openxmlformats.org/drawingml/2006/main">
                    <a:graphicData uri="http://schemas.openxmlformats.org/drawingml/2006/picture">
                      <pic:pic xmlns:pic="http://schemas.openxmlformats.org/drawingml/2006/picture">
                        <pic:nvPicPr>
                          <pic:cNvPr id="292" name="IM 292"/>
                          <pic:cNvPicPr/>
                        </pic:nvPicPr>
                        <pic:blipFill>
                          <a:blip r:embed="rId395"/>
                          <a:stretch>
                            <a:fillRect/>
                          </a:stretch>
                        </pic:blipFill>
                        <pic:spPr>
                          <a:xfrm>
                            <a:off x="0" y="0"/>
                            <a:ext cx="113715" cy="114300"/>
                          </a:xfrm>
                          <a:prstGeom prst="rect">
                            <a:avLst/>
                          </a:prstGeom>
                        </pic:spPr>
                      </pic:pic>
                    </a:graphicData>
                  </a:graphic>
                </wp:inline>
              </w:drawing>
            </w:r>
            <w:r>
              <w:rPr>
                <w:rFonts w:ascii="宋体" w:hAnsi="宋体" w:eastAsia="宋体" w:cs="宋体"/>
                <w:spacing w:val="5"/>
                <w:sz w:val="20"/>
                <w:szCs w:val="20"/>
              </w:rPr>
              <w:t>；</w:t>
            </w:r>
            <w:r>
              <w:rPr>
                <w:rFonts w:ascii="宋体" w:hAnsi="宋体" w:eastAsia="宋体" w:cs="宋体"/>
                <w:spacing w:val="11"/>
                <w:sz w:val="20"/>
                <w:szCs w:val="20"/>
              </w:rPr>
              <w:t xml:space="preserve">   </w:t>
            </w:r>
            <w:r>
              <w:rPr>
                <w:rFonts w:ascii="宋体" w:hAnsi="宋体" w:eastAsia="宋体" w:cs="宋体"/>
                <w:spacing w:val="5"/>
                <w:sz w:val="20"/>
                <w:szCs w:val="20"/>
              </w:rPr>
              <w:t>其他</w:t>
            </w:r>
            <w:r>
              <w:rPr>
                <w:rFonts w:ascii="宋体" w:hAnsi="宋体" w:eastAsia="宋体" w:cs="宋体"/>
                <w:spacing w:val="22"/>
                <w:sz w:val="20"/>
                <w:szCs w:val="20"/>
              </w:rPr>
              <w:t xml:space="preserve"> </w:t>
            </w:r>
            <w:r>
              <w:rPr>
                <w:sz w:val="20"/>
                <w:szCs w:val="20"/>
              </w:rPr>
              <w:drawing>
                <wp:inline distT="0" distB="0" distL="0" distR="0">
                  <wp:extent cx="113665" cy="114300"/>
                  <wp:effectExtent l="0" t="0" r="0" b="0"/>
                  <wp:docPr id="294" name="IM 294"/>
                  <wp:cNvGraphicFramePr/>
                  <a:graphic xmlns:a="http://schemas.openxmlformats.org/drawingml/2006/main">
                    <a:graphicData uri="http://schemas.openxmlformats.org/drawingml/2006/picture">
                      <pic:pic xmlns:pic="http://schemas.openxmlformats.org/drawingml/2006/picture">
                        <pic:nvPicPr>
                          <pic:cNvPr id="294" name="IM 294"/>
                          <pic:cNvPicPr/>
                        </pic:nvPicPr>
                        <pic:blipFill>
                          <a:blip r:embed="rId394"/>
                          <a:stretch>
                            <a:fillRect/>
                          </a:stretch>
                        </pic:blipFill>
                        <pic:spPr>
                          <a:xfrm>
                            <a:off x="0" y="0"/>
                            <a:ext cx="113715" cy="114300"/>
                          </a:xfrm>
                          <a:prstGeom prst="rect">
                            <a:avLst/>
                          </a:prstGeom>
                        </pic:spPr>
                      </pic:pic>
                    </a:graphicData>
                  </a:graphic>
                </wp:inline>
              </w:drawing>
            </w:r>
          </w:p>
        </w:tc>
      </w:tr>
      <w:tr w14:paraId="75BB79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039" w:type="dxa"/>
            <w:vMerge w:val="continue"/>
            <w:tcBorders>
              <w:top w:val="nil"/>
              <w:left w:val="nil"/>
              <w:bottom w:val="nil"/>
            </w:tcBorders>
            <w:vAlign w:val="top"/>
          </w:tcPr>
          <w:p w14:paraId="0E550FB9">
            <w:pPr>
              <w:rPr>
                <w:rFonts w:ascii="Arial"/>
                <w:sz w:val="21"/>
              </w:rPr>
            </w:pPr>
          </w:p>
        </w:tc>
        <w:tc>
          <w:tcPr>
            <w:tcW w:w="1334" w:type="dxa"/>
            <w:vAlign w:val="top"/>
          </w:tcPr>
          <w:p w14:paraId="4FC54059">
            <w:pPr>
              <w:spacing w:before="44" w:line="204" w:lineRule="auto"/>
              <w:ind w:left="254"/>
              <w:rPr>
                <w:rFonts w:ascii="宋体" w:hAnsi="宋体" w:eastAsia="宋体" w:cs="宋体"/>
                <w:sz w:val="20"/>
                <w:szCs w:val="20"/>
              </w:rPr>
            </w:pPr>
            <w:r>
              <w:rPr>
                <w:rFonts w:ascii="宋体" w:hAnsi="宋体" w:eastAsia="宋体" w:cs="宋体"/>
                <w:spacing w:val="6"/>
                <w:sz w:val="20"/>
                <w:szCs w:val="20"/>
              </w:rPr>
              <w:t>预测范围</w:t>
            </w:r>
          </w:p>
        </w:tc>
        <w:tc>
          <w:tcPr>
            <w:tcW w:w="3543" w:type="dxa"/>
            <w:gridSpan w:val="5"/>
            <w:tcBorders>
              <w:right w:val="single" w:color="FFFFFF" w:sz="8" w:space="0"/>
            </w:tcBorders>
            <w:vAlign w:val="top"/>
          </w:tcPr>
          <w:p w14:paraId="5127B872">
            <w:pPr>
              <w:pStyle w:val="6"/>
              <w:spacing w:before="44" w:line="204" w:lineRule="auto"/>
              <w:jc w:val="right"/>
              <w:rPr>
                <w:sz w:val="20"/>
                <w:szCs w:val="20"/>
              </w:rPr>
            </w:pPr>
            <w:r>
              <w:rPr>
                <w:spacing w:val="3"/>
                <w:sz w:val="20"/>
                <w:szCs w:val="20"/>
              </w:rPr>
              <w:t>200m</w:t>
            </w:r>
            <w:r>
              <w:rPr>
                <w:spacing w:val="12"/>
                <w:w w:val="101"/>
                <w:sz w:val="20"/>
                <w:szCs w:val="20"/>
              </w:rPr>
              <w:t xml:space="preserve">  </w:t>
            </w:r>
            <w:r>
              <w:rPr>
                <w:sz w:val="20"/>
                <w:szCs w:val="20"/>
              </w:rPr>
              <w:drawing>
                <wp:inline distT="0" distB="0" distL="0" distR="0">
                  <wp:extent cx="113030" cy="114300"/>
                  <wp:effectExtent l="0" t="0" r="0" b="0"/>
                  <wp:docPr id="296" name="IM 296"/>
                  <wp:cNvGraphicFramePr/>
                  <a:graphic xmlns:a="http://schemas.openxmlformats.org/drawingml/2006/main">
                    <a:graphicData uri="http://schemas.openxmlformats.org/drawingml/2006/picture">
                      <pic:pic xmlns:pic="http://schemas.openxmlformats.org/drawingml/2006/picture">
                        <pic:nvPicPr>
                          <pic:cNvPr id="296" name="IM 296"/>
                          <pic:cNvPicPr/>
                        </pic:nvPicPr>
                        <pic:blipFill>
                          <a:blip r:embed="rId395"/>
                          <a:stretch>
                            <a:fillRect/>
                          </a:stretch>
                        </pic:blipFill>
                        <pic:spPr>
                          <a:xfrm>
                            <a:off x="0" y="0"/>
                            <a:ext cx="113269" cy="114300"/>
                          </a:xfrm>
                          <a:prstGeom prst="rect">
                            <a:avLst/>
                          </a:prstGeom>
                        </pic:spPr>
                      </pic:pic>
                    </a:graphicData>
                  </a:graphic>
                </wp:inline>
              </w:drawing>
            </w:r>
            <w:r>
              <w:rPr>
                <w:rFonts w:ascii="宋体" w:hAnsi="宋体" w:eastAsia="宋体" w:cs="宋体"/>
                <w:spacing w:val="3"/>
                <w:sz w:val="20"/>
                <w:szCs w:val="20"/>
              </w:rPr>
              <w:t>；</w:t>
            </w:r>
            <w:r>
              <w:rPr>
                <w:rFonts w:ascii="宋体" w:hAnsi="宋体" w:eastAsia="宋体" w:cs="宋体"/>
                <w:spacing w:val="11"/>
                <w:sz w:val="20"/>
                <w:szCs w:val="20"/>
              </w:rPr>
              <w:t xml:space="preserve">   </w:t>
            </w:r>
            <w:r>
              <w:rPr>
                <w:rFonts w:ascii="宋体" w:hAnsi="宋体" w:eastAsia="宋体" w:cs="宋体"/>
                <w:spacing w:val="3"/>
                <w:sz w:val="20"/>
                <w:szCs w:val="20"/>
              </w:rPr>
              <w:t>大于</w:t>
            </w:r>
            <w:r>
              <w:rPr>
                <w:rFonts w:ascii="宋体" w:hAnsi="宋体" w:eastAsia="宋体" w:cs="宋体"/>
                <w:spacing w:val="-40"/>
                <w:sz w:val="20"/>
                <w:szCs w:val="20"/>
              </w:rPr>
              <w:t xml:space="preserve"> </w:t>
            </w:r>
            <w:r>
              <w:rPr>
                <w:spacing w:val="3"/>
                <w:sz w:val="20"/>
                <w:szCs w:val="20"/>
              </w:rPr>
              <w:t>200m</w:t>
            </w:r>
            <w:r>
              <w:rPr>
                <w:spacing w:val="9"/>
                <w:sz w:val="20"/>
                <w:szCs w:val="20"/>
              </w:rPr>
              <w:t xml:space="preserve">  </w:t>
            </w:r>
            <w:r>
              <w:rPr>
                <w:sz w:val="20"/>
                <w:szCs w:val="20"/>
              </w:rPr>
              <w:drawing>
                <wp:inline distT="0" distB="0" distL="0" distR="0">
                  <wp:extent cx="113030" cy="114300"/>
                  <wp:effectExtent l="0" t="0" r="0" b="0"/>
                  <wp:docPr id="298" name="IM 298"/>
                  <wp:cNvGraphicFramePr/>
                  <a:graphic xmlns:a="http://schemas.openxmlformats.org/drawingml/2006/main">
                    <a:graphicData uri="http://schemas.openxmlformats.org/drawingml/2006/picture">
                      <pic:pic xmlns:pic="http://schemas.openxmlformats.org/drawingml/2006/picture">
                        <pic:nvPicPr>
                          <pic:cNvPr id="298" name="IM 298"/>
                          <pic:cNvPicPr/>
                        </pic:nvPicPr>
                        <pic:blipFill>
                          <a:blip r:embed="rId394"/>
                          <a:stretch>
                            <a:fillRect/>
                          </a:stretch>
                        </pic:blipFill>
                        <pic:spPr>
                          <a:xfrm>
                            <a:off x="0" y="0"/>
                            <a:ext cx="113269" cy="114300"/>
                          </a:xfrm>
                          <a:prstGeom prst="rect">
                            <a:avLst/>
                          </a:prstGeom>
                        </pic:spPr>
                      </pic:pic>
                    </a:graphicData>
                  </a:graphic>
                </wp:inline>
              </w:drawing>
            </w:r>
          </w:p>
        </w:tc>
        <w:tc>
          <w:tcPr>
            <w:tcW w:w="1776" w:type="dxa"/>
            <w:gridSpan w:val="3"/>
            <w:tcBorders>
              <w:left w:val="single" w:color="FFFFFF" w:sz="8" w:space="0"/>
              <w:right w:val="single" w:color="FFFFFF" w:sz="8" w:space="0"/>
            </w:tcBorders>
            <w:vAlign w:val="top"/>
          </w:tcPr>
          <w:p w14:paraId="2B877941">
            <w:pPr>
              <w:pStyle w:val="6"/>
              <w:spacing w:before="44" w:line="204" w:lineRule="auto"/>
              <w:jc w:val="right"/>
              <w:rPr>
                <w:sz w:val="20"/>
                <w:szCs w:val="20"/>
              </w:rPr>
            </w:pPr>
            <w:r>
              <w:rPr>
                <w:rFonts w:ascii="宋体" w:hAnsi="宋体" w:eastAsia="宋体" w:cs="宋体"/>
                <w:spacing w:val="-1"/>
                <w:sz w:val="20"/>
                <w:szCs w:val="20"/>
              </w:rPr>
              <w:t>；</w:t>
            </w:r>
            <w:r>
              <w:rPr>
                <w:rFonts w:ascii="宋体" w:hAnsi="宋体" w:eastAsia="宋体" w:cs="宋体"/>
                <w:spacing w:val="11"/>
                <w:sz w:val="20"/>
                <w:szCs w:val="20"/>
              </w:rPr>
              <w:t xml:space="preserve">   </w:t>
            </w:r>
            <w:r>
              <w:rPr>
                <w:rFonts w:ascii="宋体" w:hAnsi="宋体" w:eastAsia="宋体" w:cs="宋体"/>
                <w:spacing w:val="-1"/>
                <w:sz w:val="20"/>
                <w:szCs w:val="20"/>
              </w:rPr>
              <w:t>小于</w:t>
            </w:r>
            <w:r>
              <w:rPr>
                <w:rFonts w:ascii="宋体" w:hAnsi="宋体" w:eastAsia="宋体" w:cs="宋体"/>
                <w:spacing w:val="-40"/>
                <w:sz w:val="20"/>
                <w:szCs w:val="20"/>
              </w:rPr>
              <w:t xml:space="preserve"> </w:t>
            </w:r>
            <w:r>
              <w:rPr>
                <w:spacing w:val="-1"/>
                <w:sz w:val="20"/>
                <w:szCs w:val="20"/>
              </w:rPr>
              <w:t>200m</w:t>
            </w:r>
            <w:r>
              <w:rPr>
                <w:spacing w:val="9"/>
                <w:sz w:val="20"/>
                <w:szCs w:val="20"/>
              </w:rPr>
              <w:t xml:space="preserve">  </w:t>
            </w:r>
            <w:r>
              <w:rPr>
                <w:sz w:val="20"/>
                <w:szCs w:val="20"/>
              </w:rPr>
              <w:drawing>
                <wp:inline distT="0" distB="0" distL="0" distR="0">
                  <wp:extent cx="113030" cy="114300"/>
                  <wp:effectExtent l="0" t="0" r="0" b="0"/>
                  <wp:docPr id="300" name="IM 300"/>
                  <wp:cNvGraphicFramePr/>
                  <a:graphic xmlns:a="http://schemas.openxmlformats.org/drawingml/2006/main">
                    <a:graphicData uri="http://schemas.openxmlformats.org/drawingml/2006/picture">
                      <pic:pic xmlns:pic="http://schemas.openxmlformats.org/drawingml/2006/picture">
                        <pic:nvPicPr>
                          <pic:cNvPr id="300" name="IM 300"/>
                          <pic:cNvPicPr/>
                        </pic:nvPicPr>
                        <pic:blipFill>
                          <a:blip r:embed="rId394"/>
                          <a:stretch>
                            <a:fillRect/>
                          </a:stretch>
                        </pic:blipFill>
                        <pic:spPr>
                          <a:xfrm>
                            <a:off x="0" y="0"/>
                            <a:ext cx="113065" cy="114300"/>
                          </a:xfrm>
                          <a:prstGeom prst="rect">
                            <a:avLst/>
                          </a:prstGeom>
                        </pic:spPr>
                      </pic:pic>
                    </a:graphicData>
                  </a:graphic>
                </wp:inline>
              </w:drawing>
            </w:r>
          </w:p>
        </w:tc>
        <w:tc>
          <w:tcPr>
            <w:tcW w:w="1197" w:type="dxa"/>
            <w:gridSpan w:val="2"/>
            <w:tcBorders>
              <w:left w:val="single" w:color="FFFFFF" w:sz="8" w:space="0"/>
              <w:right w:val="nil"/>
            </w:tcBorders>
            <w:vAlign w:val="top"/>
          </w:tcPr>
          <w:p w14:paraId="20CB362A">
            <w:pPr>
              <w:spacing w:before="44" w:line="204" w:lineRule="auto"/>
              <w:ind w:left="16"/>
              <w:rPr>
                <w:rFonts w:ascii="宋体" w:hAnsi="宋体" w:eastAsia="宋体" w:cs="宋体"/>
                <w:sz w:val="20"/>
                <w:szCs w:val="20"/>
              </w:rPr>
            </w:pPr>
            <w:r>
              <w:rPr>
                <w:rFonts w:ascii="宋体" w:hAnsi="宋体" w:eastAsia="宋体" w:cs="宋体"/>
                <w:sz w:val="20"/>
                <w:szCs w:val="20"/>
              </w:rPr>
              <w:t>;</w:t>
            </w:r>
          </w:p>
        </w:tc>
      </w:tr>
      <w:tr w14:paraId="42D6AE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039" w:type="dxa"/>
            <w:vMerge w:val="continue"/>
            <w:tcBorders>
              <w:top w:val="nil"/>
              <w:left w:val="nil"/>
              <w:bottom w:val="nil"/>
            </w:tcBorders>
            <w:vAlign w:val="top"/>
          </w:tcPr>
          <w:p w14:paraId="5C5CB05E">
            <w:pPr>
              <w:rPr>
                <w:rFonts w:ascii="Arial"/>
                <w:sz w:val="21"/>
              </w:rPr>
            </w:pPr>
          </w:p>
        </w:tc>
        <w:tc>
          <w:tcPr>
            <w:tcW w:w="1334" w:type="dxa"/>
            <w:vAlign w:val="top"/>
          </w:tcPr>
          <w:p w14:paraId="31594158">
            <w:pPr>
              <w:spacing w:before="47" w:line="203" w:lineRule="auto"/>
              <w:ind w:left="254"/>
              <w:rPr>
                <w:rFonts w:ascii="宋体" w:hAnsi="宋体" w:eastAsia="宋体" w:cs="宋体"/>
                <w:sz w:val="20"/>
                <w:szCs w:val="20"/>
              </w:rPr>
            </w:pPr>
            <w:r>
              <w:rPr>
                <w:rFonts w:ascii="宋体" w:hAnsi="宋体" w:eastAsia="宋体" w:cs="宋体"/>
                <w:spacing w:val="6"/>
                <w:sz w:val="20"/>
                <w:szCs w:val="20"/>
              </w:rPr>
              <w:t>预测因子</w:t>
            </w:r>
          </w:p>
        </w:tc>
        <w:tc>
          <w:tcPr>
            <w:tcW w:w="6516" w:type="dxa"/>
            <w:gridSpan w:val="10"/>
            <w:tcBorders>
              <w:right w:val="nil"/>
            </w:tcBorders>
            <w:vAlign w:val="top"/>
          </w:tcPr>
          <w:p w14:paraId="62916F08">
            <w:pPr>
              <w:pStyle w:val="6"/>
              <w:spacing w:before="46" w:line="220" w:lineRule="exact"/>
              <w:ind w:left="41"/>
              <w:rPr>
                <w:rFonts w:ascii="微软雅黑" w:hAnsi="微软雅黑" w:eastAsia="微软雅黑" w:cs="微软雅黑"/>
                <w:sz w:val="20"/>
                <w:szCs w:val="20"/>
              </w:rPr>
            </w:pPr>
            <w:r>
              <w:rPr>
                <w:rFonts w:ascii="宋体" w:hAnsi="宋体" w:eastAsia="宋体" w:cs="宋体"/>
                <w:spacing w:val="7"/>
                <w:position w:val="-2"/>
                <w:sz w:val="20"/>
                <w:szCs w:val="20"/>
              </w:rPr>
              <w:t>等效连续</w:t>
            </w:r>
            <w:r>
              <w:rPr>
                <w:rFonts w:ascii="宋体" w:hAnsi="宋体" w:eastAsia="宋体" w:cs="宋体"/>
                <w:spacing w:val="-43"/>
                <w:position w:val="-2"/>
                <w:sz w:val="20"/>
                <w:szCs w:val="20"/>
              </w:rPr>
              <w:t xml:space="preserve"> </w:t>
            </w:r>
            <w:r>
              <w:rPr>
                <w:spacing w:val="7"/>
                <w:position w:val="-2"/>
                <w:sz w:val="20"/>
                <w:szCs w:val="20"/>
              </w:rPr>
              <w:t>A</w:t>
            </w:r>
            <w:r>
              <w:rPr>
                <w:spacing w:val="15"/>
                <w:w w:val="101"/>
                <w:position w:val="-2"/>
                <w:sz w:val="20"/>
                <w:szCs w:val="20"/>
              </w:rPr>
              <w:t xml:space="preserve"> </w:t>
            </w:r>
            <w:r>
              <w:rPr>
                <w:rFonts w:ascii="宋体" w:hAnsi="宋体" w:eastAsia="宋体" w:cs="宋体"/>
                <w:spacing w:val="7"/>
                <w:position w:val="-2"/>
                <w:sz w:val="20"/>
                <w:szCs w:val="20"/>
              </w:rPr>
              <w:t>声级</w:t>
            </w:r>
            <w:r>
              <w:rPr>
                <w:position w:val="1"/>
                <w:sz w:val="20"/>
                <w:szCs w:val="20"/>
              </w:rPr>
              <w:drawing>
                <wp:inline distT="0" distB="0" distL="0" distR="0">
                  <wp:extent cx="124460" cy="114300"/>
                  <wp:effectExtent l="0" t="0" r="0" b="0"/>
                  <wp:docPr id="302" name="IM 302"/>
                  <wp:cNvGraphicFramePr/>
                  <a:graphic xmlns:a="http://schemas.openxmlformats.org/drawingml/2006/main">
                    <a:graphicData uri="http://schemas.openxmlformats.org/drawingml/2006/picture">
                      <pic:pic xmlns:pic="http://schemas.openxmlformats.org/drawingml/2006/picture">
                        <pic:nvPicPr>
                          <pic:cNvPr id="302" name="IM 302"/>
                          <pic:cNvPicPr/>
                        </pic:nvPicPr>
                        <pic:blipFill>
                          <a:blip r:embed="rId395"/>
                          <a:stretch>
                            <a:fillRect/>
                          </a:stretch>
                        </pic:blipFill>
                        <pic:spPr>
                          <a:xfrm>
                            <a:off x="0" y="0"/>
                            <a:ext cx="124589" cy="114300"/>
                          </a:xfrm>
                          <a:prstGeom prst="rect">
                            <a:avLst/>
                          </a:prstGeom>
                        </pic:spPr>
                      </pic:pic>
                    </a:graphicData>
                  </a:graphic>
                </wp:inline>
              </w:drawing>
            </w:r>
            <w:r>
              <w:rPr>
                <w:rFonts w:ascii="宋体" w:hAnsi="宋体" w:eastAsia="宋体" w:cs="宋体"/>
                <w:spacing w:val="7"/>
                <w:position w:val="-2"/>
                <w:sz w:val="20"/>
                <w:szCs w:val="20"/>
              </w:rPr>
              <w:t>；  最大</w:t>
            </w:r>
            <w:r>
              <w:rPr>
                <w:rFonts w:ascii="宋体" w:hAnsi="宋体" w:eastAsia="宋体" w:cs="宋体"/>
                <w:spacing w:val="-43"/>
                <w:position w:val="-2"/>
                <w:sz w:val="20"/>
                <w:szCs w:val="20"/>
              </w:rPr>
              <w:t xml:space="preserve"> </w:t>
            </w:r>
            <w:r>
              <w:rPr>
                <w:spacing w:val="7"/>
                <w:position w:val="-2"/>
                <w:sz w:val="20"/>
                <w:szCs w:val="20"/>
              </w:rPr>
              <w:t>A</w:t>
            </w:r>
            <w:r>
              <w:rPr>
                <w:spacing w:val="15"/>
                <w:w w:val="101"/>
                <w:position w:val="-2"/>
                <w:sz w:val="20"/>
                <w:szCs w:val="20"/>
              </w:rPr>
              <w:t xml:space="preserve"> </w:t>
            </w:r>
            <w:r>
              <w:rPr>
                <w:rFonts w:ascii="宋体" w:hAnsi="宋体" w:eastAsia="宋体" w:cs="宋体"/>
                <w:spacing w:val="7"/>
                <w:position w:val="-2"/>
                <w:sz w:val="20"/>
                <w:szCs w:val="20"/>
              </w:rPr>
              <w:t>声级</w:t>
            </w:r>
            <w:r>
              <w:rPr>
                <w:rFonts w:ascii="微软雅黑" w:hAnsi="微软雅黑" w:eastAsia="微软雅黑" w:cs="微软雅黑"/>
                <w:color w:val="D9D9D9"/>
                <w:spacing w:val="7"/>
                <w:position w:val="1"/>
                <w:sz w:val="20"/>
                <w:szCs w:val="20"/>
              </w:rPr>
              <w:t>厂</w:t>
            </w:r>
            <w:r>
              <w:rPr>
                <w:rFonts w:ascii="宋体" w:hAnsi="宋体" w:eastAsia="宋体" w:cs="宋体"/>
                <w:spacing w:val="7"/>
                <w:position w:val="-2"/>
                <w:sz w:val="20"/>
                <w:szCs w:val="20"/>
              </w:rPr>
              <w:t>；   计权等效</w:t>
            </w:r>
            <w:r>
              <w:rPr>
                <w:rFonts w:ascii="宋体" w:hAnsi="宋体" w:eastAsia="宋体" w:cs="宋体"/>
                <w:spacing w:val="6"/>
                <w:position w:val="-2"/>
                <w:sz w:val="20"/>
                <w:szCs w:val="20"/>
              </w:rPr>
              <w:t>连续感觉噪声级</w:t>
            </w:r>
            <w:r>
              <w:rPr>
                <w:rFonts w:ascii="微软雅黑" w:hAnsi="微软雅黑" w:eastAsia="微软雅黑" w:cs="微软雅黑"/>
                <w:color w:val="D9D9D9"/>
                <w:spacing w:val="6"/>
                <w:position w:val="1"/>
                <w:sz w:val="20"/>
                <w:szCs w:val="20"/>
              </w:rPr>
              <w:t>厂</w:t>
            </w:r>
          </w:p>
        </w:tc>
      </w:tr>
      <w:tr w14:paraId="16B7B4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1039" w:type="dxa"/>
            <w:vMerge w:val="continue"/>
            <w:tcBorders>
              <w:top w:val="nil"/>
              <w:left w:val="nil"/>
              <w:bottom w:val="nil"/>
            </w:tcBorders>
            <w:vAlign w:val="top"/>
          </w:tcPr>
          <w:p w14:paraId="567F4337">
            <w:pPr>
              <w:rPr>
                <w:rFonts w:ascii="Arial"/>
                <w:sz w:val="21"/>
              </w:rPr>
            </w:pPr>
          </w:p>
        </w:tc>
        <w:tc>
          <w:tcPr>
            <w:tcW w:w="1334" w:type="dxa"/>
            <w:vAlign w:val="top"/>
          </w:tcPr>
          <w:p w14:paraId="19E544CE">
            <w:pPr>
              <w:spacing w:before="47" w:line="226" w:lineRule="auto"/>
              <w:ind w:left="360" w:right="246" w:hanging="105"/>
              <w:rPr>
                <w:rFonts w:ascii="宋体" w:hAnsi="宋体" w:eastAsia="宋体" w:cs="宋体"/>
                <w:sz w:val="20"/>
                <w:szCs w:val="20"/>
              </w:rPr>
            </w:pPr>
            <w:r>
              <w:rPr>
                <w:rFonts w:ascii="宋体" w:hAnsi="宋体" w:eastAsia="宋体" w:cs="宋体"/>
                <w:spacing w:val="6"/>
                <w:sz w:val="20"/>
                <w:szCs w:val="20"/>
              </w:rPr>
              <w:t>厂界噪声贡献值</w:t>
            </w:r>
          </w:p>
        </w:tc>
        <w:tc>
          <w:tcPr>
            <w:tcW w:w="6516" w:type="dxa"/>
            <w:gridSpan w:val="10"/>
            <w:tcBorders>
              <w:right w:val="nil"/>
            </w:tcBorders>
            <w:vAlign w:val="top"/>
          </w:tcPr>
          <w:p w14:paraId="1EEE33A4">
            <w:pPr>
              <w:spacing w:before="181" w:line="228" w:lineRule="auto"/>
              <w:ind w:left="2282"/>
              <w:rPr>
                <w:sz w:val="20"/>
                <w:szCs w:val="20"/>
              </w:rPr>
            </w:pPr>
            <w:r>
              <w:rPr>
                <w:rFonts w:ascii="宋体" w:hAnsi="宋体" w:eastAsia="宋体" w:cs="宋体"/>
                <w:spacing w:val="4"/>
                <w:sz w:val="20"/>
                <w:szCs w:val="20"/>
              </w:rPr>
              <w:t>达标</w:t>
            </w:r>
            <w:r>
              <w:rPr>
                <w:sz w:val="20"/>
                <w:szCs w:val="20"/>
              </w:rPr>
              <w:drawing>
                <wp:inline distT="0" distB="0" distL="0" distR="0">
                  <wp:extent cx="125095" cy="114300"/>
                  <wp:effectExtent l="0" t="0" r="0" b="0"/>
                  <wp:docPr id="304" name="IM 304"/>
                  <wp:cNvGraphicFramePr/>
                  <a:graphic xmlns:a="http://schemas.openxmlformats.org/drawingml/2006/main">
                    <a:graphicData uri="http://schemas.openxmlformats.org/drawingml/2006/picture">
                      <pic:pic xmlns:pic="http://schemas.openxmlformats.org/drawingml/2006/picture">
                        <pic:nvPicPr>
                          <pic:cNvPr id="304" name="IM 304"/>
                          <pic:cNvPicPr/>
                        </pic:nvPicPr>
                        <pic:blipFill>
                          <a:blip r:embed="rId395"/>
                          <a:stretch>
                            <a:fillRect/>
                          </a:stretch>
                        </pic:blipFill>
                        <pic:spPr>
                          <a:xfrm>
                            <a:off x="0" y="0"/>
                            <a:ext cx="125168" cy="114300"/>
                          </a:xfrm>
                          <a:prstGeom prst="rect">
                            <a:avLst/>
                          </a:prstGeom>
                        </pic:spPr>
                      </pic:pic>
                    </a:graphicData>
                  </a:graphic>
                </wp:inline>
              </w:drawing>
            </w:r>
            <w:r>
              <w:rPr>
                <w:rFonts w:ascii="宋体" w:hAnsi="宋体" w:eastAsia="宋体" w:cs="宋体"/>
                <w:spacing w:val="4"/>
                <w:sz w:val="20"/>
                <w:szCs w:val="20"/>
              </w:rPr>
              <w:t>；</w:t>
            </w:r>
            <w:r>
              <w:rPr>
                <w:rFonts w:ascii="宋体" w:hAnsi="宋体" w:eastAsia="宋体" w:cs="宋体"/>
                <w:spacing w:val="12"/>
                <w:sz w:val="20"/>
                <w:szCs w:val="20"/>
              </w:rPr>
              <w:t xml:space="preserve">   </w:t>
            </w:r>
            <w:r>
              <w:rPr>
                <w:rFonts w:ascii="宋体" w:hAnsi="宋体" w:eastAsia="宋体" w:cs="宋体"/>
                <w:spacing w:val="4"/>
                <w:sz w:val="20"/>
                <w:szCs w:val="20"/>
              </w:rPr>
              <w:t>不达标</w:t>
            </w:r>
            <w:r>
              <w:rPr>
                <w:sz w:val="20"/>
                <w:szCs w:val="20"/>
              </w:rPr>
              <w:drawing>
                <wp:inline distT="0" distB="0" distL="0" distR="0">
                  <wp:extent cx="124460" cy="114300"/>
                  <wp:effectExtent l="0" t="0" r="0" b="0"/>
                  <wp:docPr id="306" name="IM 306"/>
                  <wp:cNvGraphicFramePr/>
                  <a:graphic xmlns:a="http://schemas.openxmlformats.org/drawingml/2006/main">
                    <a:graphicData uri="http://schemas.openxmlformats.org/drawingml/2006/picture">
                      <pic:pic xmlns:pic="http://schemas.openxmlformats.org/drawingml/2006/picture">
                        <pic:nvPicPr>
                          <pic:cNvPr id="306" name="IM 306"/>
                          <pic:cNvPicPr/>
                        </pic:nvPicPr>
                        <pic:blipFill>
                          <a:blip r:embed="rId394"/>
                          <a:stretch>
                            <a:fillRect/>
                          </a:stretch>
                        </pic:blipFill>
                        <pic:spPr>
                          <a:xfrm>
                            <a:off x="0" y="0"/>
                            <a:ext cx="124528" cy="114300"/>
                          </a:xfrm>
                          <a:prstGeom prst="rect">
                            <a:avLst/>
                          </a:prstGeom>
                        </pic:spPr>
                      </pic:pic>
                    </a:graphicData>
                  </a:graphic>
                </wp:inline>
              </w:drawing>
            </w:r>
          </w:p>
        </w:tc>
      </w:tr>
      <w:tr w14:paraId="3B5E1B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1039" w:type="dxa"/>
            <w:vMerge w:val="continue"/>
            <w:tcBorders>
              <w:top w:val="nil"/>
              <w:left w:val="nil"/>
            </w:tcBorders>
            <w:vAlign w:val="top"/>
          </w:tcPr>
          <w:p w14:paraId="402122C9">
            <w:pPr>
              <w:rPr>
                <w:rFonts w:ascii="Arial"/>
                <w:sz w:val="21"/>
              </w:rPr>
            </w:pPr>
          </w:p>
        </w:tc>
        <w:tc>
          <w:tcPr>
            <w:tcW w:w="1334" w:type="dxa"/>
            <w:vAlign w:val="top"/>
          </w:tcPr>
          <w:p w14:paraId="77B31EC6">
            <w:pPr>
              <w:spacing w:before="48" w:line="226" w:lineRule="auto"/>
              <w:ind w:left="148" w:right="37" w:hanging="102"/>
              <w:rPr>
                <w:rFonts w:ascii="宋体" w:hAnsi="宋体" w:eastAsia="宋体" w:cs="宋体"/>
                <w:sz w:val="20"/>
                <w:szCs w:val="20"/>
              </w:rPr>
            </w:pPr>
            <w:r>
              <w:rPr>
                <w:rFonts w:ascii="宋体" w:hAnsi="宋体" w:eastAsia="宋体" w:cs="宋体"/>
                <w:spacing w:val="7"/>
                <w:sz w:val="20"/>
                <w:szCs w:val="20"/>
              </w:rPr>
              <w:t>声环境保护目标处噪声值</w:t>
            </w:r>
          </w:p>
        </w:tc>
        <w:tc>
          <w:tcPr>
            <w:tcW w:w="6516" w:type="dxa"/>
            <w:gridSpan w:val="10"/>
            <w:tcBorders>
              <w:right w:val="nil"/>
            </w:tcBorders>
            <w:vAlign w:val="top"/>
          </w:tcPr>
          <w:p w14:paraId="45C8F87D">
            <w:pPr>
              <w:spacing w:before="183" w:line="230" w:lineRule="auto"/>
              <w:ind w:left="2282"/>
              <w:rPr>
                <w:sz w:val="20"/>
                <w:szCs w:val="20"/>
              </w:rPr>
            </w:pPr>
            <w:r>
              <w:rPr>
                <w:rFonts w:ascii="宋体" w:hAnsi="宋体" w:eastAsia="宋体" w:cs="宋体"/>
                <w:spacing w:val="4"/>
                <w:sz w:val="20"/>
                <w:szCs w:val="20"/>
              </w:rPr>
              <w:t>达标</w:t>
            </w:r>
            <w:r>
              <w:rPr>
                <w:sz w:val="20"/>
                <w:szCs w:val="20"/>
              </w:rPr>
              <w:drawing>
                <wp:inline distT="0" distB="0" distL="0" distR="0">
                  <wp:extent cx="125095" cy="114300"/>
                  <wp:effectExtent l="0" t="0" r="0" b="0"/>
                  <wp:docPr id="308" name="IM 308"/>
                  <wp:cNvGraphicFramePr/>
                  <a:graphic xmlns:a="http://schemas.openxmlformats.org/drawingml/2006/main">
                    <a:graphicData uri="http://schemas.openxmlformats.org/drawingml/2006/picture">
                      <pic:pic xmlns:pic="http://schemas.openxmlformats.org/drawingml/2006/picture">
                        <pic:nvPicPr>
                          <pic:cNvPr id="308" name="IM 308"/>
                          <pic:cNvPicPr/>
                        </pic:nvPicPr>
                        <pic:blipFill>
                          <a:blip r:embed="rId395"/>
                          <a:stretch>
                            <a:fillRect/>
                          </a:stretch>
                        </pic:blipFill>
                        <pic:spPr>
                          <a:xfrm>
                            <a:off x="0" y="0"/>
                            <a:ext cx="125169" cy="114300"/>
                          </a:xfrm>
                          <a:prstGeom prst="rect">
                            <a:avLst/>
                          </a:prstGeom>
                        </pic:spPr>
                      </pic:pic>
                    </a:graphicData>
                  </a:graphic>
                </wp:inline>
              </w:drawing>
            </w:r>
            <w:r>
              <w:rPr>
                <w:rFonts w:ascii="宋体" w:hAnsi="宋体" w:eastAsia="宋体" w:cs="宋体"/>
                <w:spacing w:val="4"/>
                <w:sz w:val="20"/>
                <w:szCs w:val="20"/>
              </w:rPr>
              <w:t>；</w:t>
            </w:r>
            <w:r>
              <w:rPr>
                <w:rFonts w:ascii="宋体" w:hAnsi="宋体" w:eastAsia="宋体" w:cs="宋体"/>
                <w:spacing w:val="12"/>
                <w:sz w:val="20"/>
                <w:szCs w:val="20"/>
              </w:rPr>
              <w:t xml:space="preserve">   </w:t>
            </w:r>
            <w:r>
              <w:rPr>
                <w:rFonts w:ascii="宋体" w:hAnsi="宋体" w:eastAsia="宋体" w:cs="宋体"/>
                <w:spacing w:val="4"/>
                <w:sz w:val="20"/>
                <w:szCs w:val="20"/>
              </w:rPr>
              <w:t>不达标</w:t>
            </w:r>
            <w:r>
              <w:rPr>
                <w:sz w:val="20"/>
                <w:szCs w:val="20"/>
              </w:rPr>
              <w:drawing>
                <wp:inline distT="0" distB="0" distL="0" distR="0">
                  <wp:extent cx="124460" cy="114300"/>
                  <wp:effectExtent l="0" t="0" r="0" b="0"/>
                  <wp:docPr id="310" name="IM 310"/>
                  <wp:cNvGraphicFramePr/>
                  <a:graphic xmlns:a="http://schemas.openxmlformats.org/drawingml/2006/main">
                    <a:graphicData uri="http://schemas.openxmlformats.org/drawingml/2006/picture">
                      <pic:pic xmlns:pic="http://schemas.openxmlformats.org/drawingml/2006/picture">
                        <pic:nvPicPr>
                          <pic:cNvPr id="310" name="IM 310"/>
                          <pic:cNvPicPr/>
                        </pic:nvPicPr>
                        <pic:blipFill>
                          <a:blip r:embed="rId394"/>
                          <a:stretch>
                            <a:fillRect/>
                          </a:stretch>
                        </pic:blipFill>
                        <pic:spPr>
                          <a:xfrm>
                            <a:off x="0" y="0"/>
                            <a:ext cx="124529" cy="114300"/>
                          </a:xfrm>
                          <a:prstGeom prst="rect">
                            <a:avLst/>
                          </a:prstGeom>
                        </pic:spPr>
                      </pic:pic>
                    </a:graphicData>
                  </a:graphic>
                </wp:inline>
              </w:drawing>
            </w:r>
          </w:p>
        </w:tc>
      </w:tr>
      <w:tr w14:paraId="063DEA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039" w:type="dxa"/>
            <w:vMerge w:val="restart"/>
            <w:tcBorders>
              <w:left w:val="nil"/>
              <w:bottom w:val="nil"/>
            </w:tcBorders>
            <w:vAlign w:val="top"/>
          </w:tcPr>
          <w:p w14:paraId="5048BF5D">
            <w:pPr>
              <w:spacing w:before="190" w:line="255" w:lineRule="auto"/>
              <w:ind w:left="315" w:right="102" w:hanging="211"/>
              <w:rPr>
                <w:rFonts w:ascii="宋体" w:hAnsi="宋体" w:eastAsia="宋体" w:cs="宋体"/>
                <w:sz w:val="20"/>
                <w:szCs w:val="20"/>
              </w:rPr>
            </w:pPr>
            <w:r>
              <w:rPr>
                <w:rFonts w:ascii="宋体" w:hAnsi="宋体" w:eastAsia="宋体" w:cs="宋体"/>
                <w:spacing w:val="7"/>
                <w:sz w:val="20"/>
                <w:szCs w:val="20"/>
              </w:rPr>
              <w:t>环境监测</w:t>
            </w:r>
            <w:r>
              <w:rPr>
                <w:rFonts w:ascii="宋体" w:hAnsi="宋体" w:eastAsia="宋体" w:cs="宋体"/>
                <w:spacing w:val="4"/>
                <w:sz w:val="20"/>
                <w:szCs w:val="20"/>
              </w:rPr>
              <w:t>计划</w:t>
            </w:r>
          </w:p>
        </w:tc>
        <w:tc>
          <w:tcPr>
            <w:tcW w:w="1334" w:type="dxa"/>
            <w:vAlign w:val="top"/>
          </w:tcPr>
          <w:p w14:paraId="3EEC6F50">
            <w:pPr>
              <w:spacing w:before="52" w:line="197" w:lineRule="auto"/>
              <w:ind w:left="253"/>
              <w:rPr>
                <w:rFonts w:ascii="宋体" w:hAnsi="宋体" w:eastAsia="宋体" w:cs="宋体"/>
                <w:sz w:val="20"/>
                <w:szCs w:val="20"/>
              </w:rPr>
            </w:pPr>
            <w:r>
              <w:rPr>
                <w:rFonts w:ascii="宋体" w:hAnsi="宋体" w:eastAsia="宋体" w:cs="宋体"/>
                <w:spacing w:val="7"/>
                <w:sz w:val="20"/>
                <w:szCs w:val="20"/>
              </w:rPr>
              <w:t>排放监测</w:t>
            </w:r>
          </w:p>
        </w:tc>
        <w:tc>
          <w:tcPr>
            <w:tcW w:w="6516" w:type="dxa"/>
            <w:gridSpan w:val="10"/>
            <w:tcBorders>
              <w:right w:val="nil"/>
            </w:tcBorders>
            <w:vAlign w:val="top"/>
          </w:tcPr>
          <w:p w14:paraId="6E9B2B16">
            <w:pPr>
              <w:spacing w:before="51" w:line="198" w:lineRule="auto"/>
              <w:ind w:left="155"/>
              <w:rPr>
                <w:sz w:val="20"/>
                <w:szCs w:val="20"/>
              </w:rPr>
            </w:pPr>
            <w:r>
              <w:rPr>
                <w:rFonts w:ascii="宋体" w:hAnsi="宋体" w:eastAsia="宋体" w:cs="宋体"/>
                <w:spacing w:val="7"/>
                <w:sz w:val="20"/>
                <w:szCs w:val="20"/>
              </w:rPr>
              <w:t>厂界监测</w:t>
            </w:r>
            <w:r>
              <w:rPr>
                <w:sz w:val="20"/>
                <w:szCs w:val="20"/>
              </w:rPr>
              <w:drawing>
                <wp:inline distT="0" distB="0" distL="0" distR="0">
                  <wp:extent cx="123825" cy="114300"/>
                  <wp:effectExtent l="0" t="0" r="0" b="0"/>
                  <wp:docPr id="312" name="IM 312"/>
                  <wp:cNvGraphicFramePr/>
                  <a:graphic xmlns:a="http://schemas.openxmlformats.org/drawingml/2006/main">
                    <a:graphicData uri="http://schemas.openxmlformats.org/drawingml/2006/picture">
                      <pic:pic xmlns:pic="http://schemas.openxmlformats.org/drawingml/2006/picture">
                        <pic:nvPicPr>
                          <pic:cNvPr id="312" name="IM 312"/>
                          <pic:cNvPicPr/>
                        </pic:nvPicPr>
                        <pic:blipFill>
                          <a:blip r:embed="rId394"/>
                          <a:stretch>
                            <a:fillRect/>
                          </a:stretch>
                        </pic:blipFill>
                        <pic:spPr>
                          <a:xfrm>
                            <a:off x="0" y="0"/>
                            <a:ext cx="124326" cy="114300"/>
                          </a:xfrm>
                          <a:prstGeom prst="rect">
                            <a:avLst/>
                          </a:prstGeom>
                        </pic:spPr>
                      </pic:pic>
                    </a:graphicData>
                  </a:graphic>
                </wp:inline>
              </w:drawing>
            </w:r>
            <w:r>
              <w:rPr>
                <w:rFonts w:ascii="宋体" w:hAnsi="宋体" w:eastAsia="宋体" w:cs="宋体"/>
                <w:spacing w:val="7"/>
                <w:sz w:val="20"/>
                <w:szCs w:val="20"/>
              </w:rPr>
              <w:t>；固定位置监测</w:t>
            </w:r>
            <w:r>
              <w:rPr>
                <w:sz w:val="20"/>
                <w:szCs w:val="20"/>
              </w:rPr>
              <w:drawing>
                <wp:inline distT="0" distB="0" distL="0" distR="0">
                  <wp:extent cx="123825" cy="114300"/>
                  <wp:effectExtent l="0" t="0" r="0" b="0"/>
                  <wp:docPr id="314" name="IM 314"/>
                  <wp:cNvGraphicFramePr/>
                  <a:graphic xmlns:a="http://schemas.openxmlformats.org/drawingml/2006/main">
                    <a:graphicData uri="http://schemas.openxmlformats.org/drawingml/2006/picture">
                      <pic:pic xmlns:pic="http://schemas.openxmlformats.org/drawingml/2006/picture">
                        <pic:nvPicPr>
                          <pic:cNvPr id="314" name="IM 314"/>
                          <pic:cNvPicPr/>
                        </pic:nvPicPr>
                        <pic:blipFill>
                          <a:blip r:embed="rId394"/>
                          <a:stretch>
                            <a:fillRect/>
                          </a:stretch>
                        </pic:blipFill>
                        <pic:spPr>
                          <a:xfrm>
                            <a:off x="0" y="0"/>
                            <a:ext cx="124326" cy="114300"/>
                          </a:xfrm>
                          <a:prstGeom prst="rect">
                            <a:avLst/>
                          </a:prstGeom>
                        </pic:spPr>
                      </pic:pic>
                    </a:graphicData>
                  </a:graphic>
                </wp:inline>
              </w:drawing>
            </w:r>
            <w:r>
              <w:rPr>
                <w:rFonts w:ascii="宋体" w:hAnsi="宋体" w:eastAsia="宋体" w:cs="宋体"/>
                <w:spacing w:val="7"/>
                <w:sz w:val="20"/>
                <w:szCs w:val="20"/>
              </w:rPr>
              <w:t>；</w:t>
            </w:r>
            <w:r>
              <w:rPr>
                <w:rFonts w:ascii="宋体" w:hAnsi="宋体" w:eastAsia="宋体" w:cs="宋体"/>
                <w:spacing w:val="-42"/>
                <w:sz w:val="20"/>
                <w:szCs w:val="20"/>
              </w:rPr>
              <w:t xml:space="preserve"> </w:t>
            </w:r>
            <w:r>
              <w:rPr>
                <w:rFonts w:ascii="宋体" w:hAnsi="宋体" w:eastAsia="宋体" w:cs="宋体"/>
                <w:spacing w:val="7"/>
                <w:sz w:val="20"/>
                <w:szCs w:val="20"/>
              </w:rPr>
              <w:t>自动监测</w:t>
            </w:r>
            <w:r>
              <w:rPr>
                <w:sz w:val="20"/>
                <w:szCs w:val="20"/>
              </w:rPr>
              <w:drawing>
                <wp:inline distT="0" distB="0" distL="0" distR="0">
                  <wp:extent cx="124460" cy="114300"/>
                  <wp:effectExtent l="0" t="0" r="0" b="0"/>
                  <wp:docPr id="316" name="IM 316"/>
                  <wp:cNvGraphicFramePr/>
                  <a:graphic xmlns:a="http://schemas.openxmlformats.org/drawingml/2006/main">
                    <a:graphicData uri="http://schemas.openxmlformats.org/drawingml/2006/picture">
                      <pic:pic xmlns:pic="http://schemas.openxmlformats.org/drawingml/2006/picture">
                        <pic:nvPicPr>
                          <pic:cNvPr id="316" name="IM 316"/>
                          <pic:cNvPicPr/>
                        </pic:nvPicPr>
                        <pic:blipFill>
                          <a:blip r:embed="rId394"/>
                          <a:stretch>
                            <a:fillRect/>
                          </a:stretch>
                        </pic:blipFill>
                        <pic:spPr>
                          <a:xfrm>
                            <a:off x="0" y="0"/>
                            <a:ext cx="124965" cy="114300"/>
                          </a:xfrm>
                          <a:prstGeom prst="rect">
                            <a:avLst/>
                          </a:prstGeom>
                        </pic:spPr>
                      </pic:pic>
                    </a:graphicData>
                  </a:graphic>
                </wp:inline>
              </w:drawing>
            </w:r>
            <w:r>
              <w:rPr>
                <w:rFonts w:ascii="宋体" w:hAnsi="宋体" w:eastAsia="宋体" w:cs="宋体"/>
                <w:spacing w:val="7"/>
                <w:sz w:val="20"/>
                <w:szCs w:val="20"/>
              </w:rPr>
              <w:t>；手动监测</w:t>
            </w:r>
            <w:r>
              <w:rPr>
                <w:sz w:val="20"/>
                <w:szCs w:val="20"/>
              </w:rPr>
              <w:drawing>
                <wp:inline distT="0" distB="0" distL="0" distR="0">
                  <wp:extent cx="123825" cy="114300"/>
                  <wp:effectExtent l="0" t="0" r="0" b="0"/>
                  <wp:docPr id="318" name="IM 318"/>
                  <wp:cNvGraphicFramePr/>
                  <a:graphic xmlns:a="http://schemas.openxmlformats.org/drawingml/2006/main">
                    <a:graphicData uri="http://schemas.openxmlformats.org/drawingml/2006/picture">
                      <pic:pic xmlns:pic="http://schemas.openxmlformats.org/drawingml/2006/picture">
                        <pic:nvPicPr>
                          <pic:cNvPr id="318" name="IM 318"/>
                          <pic:cNvPicPr/>
                        </pic:nvPicPr>
                        <pic:blipFill>
                          <a:blip r:embed="rId395"/>
                          <a:stretch>
                            <a:fillRect/>
                          </a:stretch>
                        </pic:blipFill>
                        <pic:spPr>
                          <a:xfrm>
                            <a:off x="0" y="0"/>
                            <a:ext cx="124326" cy="114300"/>
                          </a:xfrm>
                          <a:prstGeom prst="rect">
                            <a:avLst/>
                          </a:prstGeom>
                        </pic:spPr>
                      </pic:pic>
                    </a:graphicData>
                  </a:graphic>
                </wp:inline>
              </w:drawing>
            </w:r>
            <w:r>
              <w:rPr>
                <w:rFonts w:ascii="宋体" w:hAnsi="宋体" w:eastAsia="宋体" w:cs="宋体"/>
                <w:spacing w:val="7"/>
                <w:sz w:val="20"/>
                <w:szCs w:val="20"/>
              </w:rPr>
              <w:t>；无监测</w:t>
            </w:r>
            <w:r>
              <w:rPr>
                <w:sz w:val="20"/>
                <w:szCs w:val="20"/>
              </w:rPr>
              <w:drawing>
                <wp:inline distT="0" distB="0" distL="0" distR="0">
                  <wp:extent cx="124460" cy="114300"/>
                  <wp:effectExtent l="0" t="0" r="0" b="0"/>
                  <wp:docPr id="320" name="IM 320"/>
                  <wp:cNvGraphicFramePr/>
                  <a:graphic xmlns:a="http://schemas.openxmlformats.org/drawingml/2006/main">
                    <a:graphicData uri="http://schemas.openxmlformats.org/drawingml/2006/picture">
                      <pic:pic xmlns:pic="http://schemas.openxmlformats.org/drawingml/2006/picture">
                        <pic:nvPicPr>
                          <pic:cNvPr id="320" name="IM 320"/>
                          <pic:cNvPicPr/>
                        </pic:nvPicPr>
                        <pic:blipFill>
                          <a:blip r:embed="rId394"/>
                          <a:stretch>
                            <a:fillRect/>
                          </a:stretch>
                        </pic:blipFill>
                        <pic:spPr>
                          <a:xfrm>
                            <a:off x="0" y="0"/>
                            <a:ext cx="124965" cy="114300"/>
                          </a:xfrm>
                          <a:prstGeom prst="rect">
                            <a:avLst/>
                          </a:prstGeom>
                        </pic:spPr>
                      </pic:pic>
                    </a:graphicData>
                  </a:graphic>
                </wp:inline>
              </w:drawing>
            </w:r>
          </w:p>
        </w:tc>
      </w:tr>
      <w:tr w14:paraId="1F5FA4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1039" w:type="dxa"/>
            <w:vMerge w:val="continue"/>
            <w:tcBorders>
              <w:top w:val="nil"/>
              <w:left w:val="nil"/>
            </w:tcBorders>
            <w:vAlign w:val="top"/>
          </w:tcPr>
          <w:p w14:paraId="287B40C4">
            <w:pPr>
              <w:rPr>
                <w:rFonts w:ascii="Arial"/>
                <w:sz w:val="21"/>
              </w:rPr>
            </w:pPr>
          </w:p>
        </w:tc>
        <w:tc>
          <w:tcPr>
            <w:tcW w:w="1334" w:type="dxa"/>
            <w:vAlign w:val="top"/>
          </w:tcPr>
          <w:p w14:paraId="38B7CECB">
            <w:pPr>
              <w:spacing w:before="52" w:line="224" w:lineRule="auto"/>
              <w:ind w:left="42" w:right="37" w:firstLine="3"/>
              <w:rPr>
                <w:rFonts w:ascii="宋体" w:hAnsi="宋体" w:eastAsia="宋体" w:cs="宋体"/>
                <w:sz w:val="20"/>
                <w:szCs w:val="20"/>
              </w:rPr>
            </w:pPr>
            <w:r>
              <w:rPr>
                <w:rFonts w:ascii="宋体" w:hAnsi="宋体" w:eastAsia="宋体" w:cs="宋体"/>
                <w:spacing w:val="7"/>
                <w:sz w:val="20"/>
                <w:szCs w:val="20"/>
              </w:rPr>
              <w:t>声环境保护目</w:t>
            </w:r>
            <w:r>
              <w:rPr>
                <w:rFonts w:ascii="宋体" w:hAnsi="宋体" w:eastAsia="宋体" w:cs="宋体"/>
                <w:spacing w:val="8"/>
                <w:sz w:val="20"/>
                <w:szCs w:val="20"/>
              </w:rPr>
              <w:t>标处噪声监测</w:t>
            </w:r>
          </w:p>
        </w:tc>
        <w:tc>
          <w:tcPr>
            <w:tcW w:w="2171" w:type="dxa"/>
            <w:gridSpan w:val="3"/>
            <w:vAlign w:val="top"/>
          </w:tcPr>
          <w:p w14:paraId="74F5E408">
            <w:pPr>
              <w:spacing w:before="51" w:line="228" w:lineRule="auto"/>
              <w:ind w:left="40"/>
              <w:rPr>
                <w:rFonts w:ascii="宋体" w:hAnsi="宋体" w:eastAsia="宋体" w:cs="宋体"/>
                <w:sz w:val="20"/>
                <w:szCs w:val="20"/>
              </w:rPr>
            </w:pPr>
            <w:r>
              <w:rPr>
                <w:rFonts w:ascii="宋体" w:hAnsi="宋体" w:eastAsia="宋体" w:cs="宋体"/>
                <w:spacing w:val="12"/>
                <w:sz w:val="20"/>
                <w:szCs w:val="20"/>
              </w:rPr>
              <w:t>监测因子</w:t>
            </w:r>
            <w:r>
              <w:rPr>
                <w:rFonts w:ascii="宋体" w:hAnsi="宋体" w:eastAsia="宋体" w:cs="宋体"/>
                <w:spacing w:val="-5"/>
                <w:sz w:val="20"/>
                <w:szCs w:val="20"/>
              </w:rPr>
              <w:t>：（</w:t>
            </w:r>
            <w:r>
              <w:rPr>
                <w:rFonts w:ascii="宋体" w:hAnsi="宋体" w:eastAsia="宋体" w:cs="宋体"/>
                <w:spacing w:val="12"/>
                <w:sz w:val="20"/>
                <w:szCs w:val="20"/>
              </w:rPr>
              <w:t>连续等效</w:t>
            </w:r>
          </w:p>
          <w:p w14:paraId="7A26389F">
            <w:pPr>
              <w:pStyle w:val="6"/>
              <w:spacing w:before="24" w:line="198" w:lineRule="auto"/>
              <w:ind w:left="386"/>
              <w:rPr>
                <w:rFonts w:ascii="宋体" w:hAnsi="宋体" w:eastAsia="宋体" w:cs="宋体"/>
                <w:sz w:val="20"/>
                <w:szCs w:val="20"/>
              </w:rPr>
            </w:pPr>
            <w:r>
              <w:rPr>
                <w:rFonts w:ascii="宋体" w:hAnsi="宋体" w:eastAsia="宋体" w:cs="宋体"/>
                <w:spacing w:val="4"/>
                <w:sz w:val="20"/>
                <w:szCs w:val="20"/>
              </w:rPr>
              <w:t>连续</w:t>
            </w:r>
            <w:r>
              <w:rPr>
                <w:rFonts w:ascii="宋体" w:hAnsi="宋体" w:eastAsia="宋体" w:cs="宋体"/>
                <w:spacing w:val="-46"/>
                <w:sz w:val="20"/>
                <w:szCs w:val="20"/>
              </w:rPr>
              <w:t xml:space="preserve"> </w:t>
            </w:r>
            <w:r>
              <w:rPr>
                <w:spacing w:val="4"/>
                <w:sz w:val="20"/>
                <w:szCs w:val="20"/>
              </w:rPr>
              <w:t>A</w:t>
            </w:r>
            <w:r>
              <w:rPr>
                <w:spacing w:val="15"/>
                <w:sz w:val="20"/>
                <w:szCs w:val="20"/>
              </w:rPr>
              <w:t xml:space="preserve"> </w:t>
            </w:r>
            <w:r>
              <w:rPr>
                <w:rFonts w:ascii="宋体" w:hAnsi="宋体" w:eastAsia="宋体" w:cs="宋体"/>
                <w:spacing w:val="4"/>
                <w:sz w:val="20"/>
                <w:szCs w:val="20"/>
              </w:rPr>
              <w:t>声级 ）</w:t>
            </w:r>
          </w:p>
        </w:tc>
        <w:tc>
          <w:tcPr>
            <w:tcW w:w="2171" w:type="dxa"/>
            <w:gridSpan w:val="3"/>
            <w:vAlign w:val="top"/>
          </w:tcPr>
          <w:p w14:paraId="4C73909F">
            <w:pPr>
              <w:pStyle w:val="6"/>
              <w:spacing w:before="186" w:line="228" w:lineRule="auto"/>
              <w:ind w:left="303"/>
              <w:rPr>
                <w:rFonts w:ascii="宋体" w:hAnsi="宋体" w:eastAsia="宋体" w:cs="宋体"/>
                <w:sz w:val="20"/>
                <w:szCs w:val="20"/>
              </w:rPr>
            </w:pPr>
            <w:r>
              <w:rPr>
                <w:rFonts w:ascii="宋体" w:hAnsi="宋体" w:eastAsia="宋体" w:cs="宋体"/>
                <w:spacing w:val="6"/>
                <w:sz w:val="20"/>
                <w:szCs w:val="20"/>
              </w:rPr>
              <w:t>监测点位数（</w:t>
            </w:r>
            <w:r>
              <w:rPr>
                <w:spacing w:val="6"/>
                <w:sz w:val="20"/>
                <w:szCs w:val="20"/>
              </w:rPr>
              <w:t>4</w:t>
            </w:r>
            <w:r>
              <w:rPr>
                <w:rFonts w:ascii="宋体" w:hAnsi="宋体" w:eastAsia="宋体" w:cs="宋体"/>
                <w:spacing w:val="6"/>
                <w:sz w:val="20"/>
                <w:szCs w:val="20"/>
              </w:rPr>
              <w:t>）</w:t>
            </w:r>
          </w:p>
        </w:tc>
        <w:tc>
          <w:tcPr>
            <w:tcW w:w="2174" w:type="dxa"/>
            <w:gridSpan w:val="4"/>
            <w:tcBorders>
              <w:right w:val="nil"/>
            </w:tcBorders>
            <w:vAlign w:val="top"/>
          </w:tcPr>
          <w:p w14:paraId="66B3CAAB">
            <w:pPr>
              <w:spacing w:before="187" w:line="228" w:lineRule="auto"/>
              <w:ind w:left="684"/>
              <w:rPr>
                <w:sz w:val="20"/>
                <w:szCs w:val="20"/>
              </w:rPr>
            </w:pPr>
            <w:r>
              <w:rPr>
                <w:rFonts w:ascii="宋体" w:hAnsi="宋体" w:eastAsia="宋体" w:cs="宋体"/>
                <w:spacing w:val="6"/>
                <w:sz w:val="20"/>
                <w:szCs w:val="20"/>
              </w:rPr>
              <w:t>无监测</w:t>
            </w:r>
            <w:r>
              <w:rPr>
                <w:sz w:val="20"/>
                <w:szCs w:val="20"/>
              </w:rPr>
              <w:drawing>
                <wp:inline distT="0" distB="0" distL="0" distR="0">
                  <wp:extent cx="125095" cy="114300"/>
                  <wp:effectExtent l="0" t="0" r="0" b="0"/>
                  <wp:docPr id="322" name="IM 322"/>
                  <wp:cNvGraphicFramePr/>
                  <a:graphic xmlns:a="http://schemas.openxmlformats.org/drawingml/2006/main">
                    <a:graphicData uri="http://schemas.openxmlformats.org/drawingml/2006/picture">
                      <pic:pic xmlns:pic="http://schemas.openxmlformats.org/drawingml/2006/picture">
                        <pic:nvPicPr>
                          <pic:cNvPr id="322" name="IM 322"/>
                          <pic:cNvPicPr/>
                        </pic:nvPicPr>
                        <pic:blipFill>
                          <a:blip r:embed="rId394"/>
                          <a:stretch>
                            <a:fillRect/>
                          </a:stretch>
                        </pic:blipFill>
                        <pic:spPr>
                          <a:xfrm>
                            <a:off x="0" y="0"/>
                            <a:ext cx="125110" cy="114300"/>
                          </a:xfrm>
                          <a:prstGeom prst="rect">
                            <a:avLst/>
                          </a:prstGeom>
                        </pic:spPr>
                      </pic:pic>
                    </a:graphicData>
                  </a:graphic>
                </wp:inline>
              </w:drawing>
            </w:r>
          </w:p>
        </w:tc>
      </w:tr>
      <w:tr w14:paraId="1D024C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039" w:type="dxa"/>
            <w:tcBorders>
              <w:left w:val="nil"/>
            </w:tcBorders>
            <w:vAlign w:val="top"/>
          </w:tcPr>
          <w:p w14:paraId="5A67D52D">
            <w:pPr>
              <w:spacing w:before="53" w:line="196" w:lineRule="auto"/>
              <w:ind w:left="103"/>
              <w:rPr>
                <w:rFonts w:ascii="宋体" w:hAnsi="宋体" w:eastAsia="宋体" w:cs="宋体"/>
                <w:sz w:val="20"/>
                <w:szCs w:val="20"/>
              </w:rPr>
            </w:pPr>
            <w:r>
              <w:rPr>
                <w:rFonts w:ascii="宋体" w:hAnsi="宋体" w:eastAsia="宋体" w:cs="宋体"/>
                <w:spacing w:val="7"/>
                <w:sz w:val="20"/>
                <w:szCs w:val="20"/>
              </w:rPr>
              <w:t>评价结论</w:t>
            </w:r>
          </w:p>
        </w:tc>
        <w:tc>
          <w:tcPr>
            <w:tcW w:w="1334" w:type="dxa"/>
            <w:vAlign w:val="top"/>
          </w:tcPr>
          <w:p w14:paraId="0651789A">
            <w:pPr>
              <w:spacing w:before="53" w:line="196" w:lineRule="auto"/>
              <w:ind w:left="253"/>
              <w:rPr>
                <w:rFonts w:ascii="宋体" w:hAnsi="宋体" w:eastAsia="宋体" w:cs="宋体"/>
                <w:sz w:val="20"/>
                <w:szCs w:val="20"/>
              </w:rPr>
            </w:pPr>
            <w:r>
              <w:rPr>
                <w:rFonts w:ascii="宋体" w:hAnsi="宋体" w:eastAsia="宋体" w:cs="宋体"/>
                <w:spacing w:val="7"/>
                <w:sz w:val="20"/>
                <w:szCs w:val="20"/>
              </w:rPr>
              <w:t>环境影响</w:t>
            </w:r>
          </w:p>
        </w:tc>
        <w:tc>
          <w:tcPr>
            <w:tcW w:w="6516" w:type="dxa"/>
            <w:gridSpan w:val="10"/>
            <w:tcBorders>
              <w:right w:val="nil"/>
            </w:tcBorders>
            <w:vAlign w:val="top"/>
          </w:tcPr>
          <w:p w14:paraId="4B6C021C">
            <w:pPr>
              <w:spacing w:before="53" w:line="196" w:lineRule="auto"/>
              <w:ind w:left="2285"/>
              <w:rPr>
                <w:sz w:val="20"/>
                <w:szCs w:val="20"/>
              </w:rPr>
            </w:pPr>
            <w:r>
              <w:rPr>
                <w:rFonts w:ascii="宋体" w:hAnsi="宋体" w:eastAsia="宋体" w:cs="宋体"/>
                <w:spacing w:val="3"/>
                <w:sz w:val="20"/>
                <w:szCs w:val="20"/>
              </w:rPr>
              <w:t>可行</w:t>
            </w:r>
            <w:r>
              <w:rPr>
                <w:sz w:val="20"/>
                <w:szCs w:val="20"/>
              </w:rPr>
              <w:drawing>
                <wp:inline distT="0" distB="0" distL="0" distR="0">
                  <wp:extent cx="125095" cy="114300"/>
                  <wp:effectExtent l="0" t="0" r="0" b="0"/>
                  <wp:docPr id="324" name="IM 324"/>
                  <wp:cNvGraphicFramePr/>
                  <a:graphic xmlns:a="http://schemas.openxmlformats.org/drawingml/2006/main">
                    <a:graphicData uri="http://schemas.openxmlformats.org/drawingml/2006/picture">
                      <pic:pic xmlns:pic="http://schemas.openxmlformats.org/drawingml/2006/picture">
                        <pic:nvPicPr>
                          <pic:cNvPr id="324" name="IM 324"/>
                          <pic:cNvPicPr/>
                        </pic:nvPicPr>
                        <pic:blipFill>
                          <a:blip r:embed="rId395"/>
                          <a:stretch>
                            <a:fillRect/>
                          </a:stretch>
                        </pic:blipFill>
                        <pic:spPr>
                          <a:xfrm>
                            <a:off x="0" y="0"/>
                            <a:ext cx="125163" cy="114300"/>
                          </a:xfrm>
                          <a:prstGeom prst="rect">
                            <a:avLst/>
                          </a:prstGeom>
                        </pic:spPr>
                      </pic:pic>
                    </a:graphicData>
                  </a:graphic>
                </wp:inline>
              </w:drawing>
            </w:r>
            <w:r>
              <w:rPr>
                <w:rFonts w:ascii="宋体" w:hAnsi="宋体" w:eastAsia="宋体" w:cs="宋体"/>
                <w:spacing w:val="3"/>
                <w:sz w:val="20"/>
                <w:szCs w:val="20"/>
              </w:rPr>
              <w:t>；</w:t>
            </w:r>
            <w:r>
              <w:rPr>
                <w:rFonts w:ascii="宋体" w:hAnsi="宋体" w:eastAsia="宋体" w:cs="宋体"/>
                <w:spacing w:val="13"/>
                <w:sz w:val="20"/>
                <w:szCs w:val="20"/>
              </w:rPr>
              <w:t xml:space="preserve">   </w:t>
            </w:r>
            <w:r>
              <w:rPr>
                <w:rFonts w:ascii="宋体" w:hAnsi="宋体" w:eastAsia="宋体" w:cs="宋体"/>
                <w:spacing w:val="3"/>
                <w:sz w:val="20"/>
                <w:szCs w:val="20"/>
              </w:rPr>
              <w:t>不可行</w:t>
            </w:r>
            <w:r>
              <w:rPr>
                <w:sz w:val="20"/>
                <w:szCs w:val="20"/>
              </w:rPr>
              <w:drawing>
                <wp:inline distT="0" distB="0" distL="0" distR="0">
                  <wp:extent cx="124460" cy="114300"/>
                  <wp:effectExtent l="0" t="0" r="0" b="0"/>
                  <wp:docPr id="326" name="IM 326"/>
                  <wp:cNvGraphicFramePr/>
                  <a:graphic xmlns:a="http://schemas.openxmlformats.org/drawingml/2006/main">
                    <a:graphicData uri="http://schemas.openxmlformats.org/drawingml/2006/picture">
                      <pic:pic xmlns:pic="http://schemas.openxmlformats.org/drawingml/2006/picture">
                        <pic:nvPicPr>
                          <pic:cNvPr id="326" name="IM 326"/>
                          <pic:cNvPicPr/>
                        </pic:nvPicPr>
                        <pic:blipFill>
                          <a:blip r:embed="rId394"/>
                          <a:stretch>
                            <a:fillRect/>
                          </a:stretch>
                        </pic:blipFill>
                        <pic:spPr>
                          <a:xfrm>
                            <a:off x="0" y="0"/>
                            <a:ext cx="124523" cy="114300"/>
                          </a:xfrm>
                          <a:prstGeom prst="rect">
                            <a:avLst/>
                          </a:prstGeom>
                        </pic:spPr>
                      </pic:pic>
                    </a:graphicData>
                  </a:graphic>
                </wp:inline>
              </w:drawing>
            </w:r>
          </w:p>
        </w:tc>
      </w:tr>
      <w:tr w14:paraId="46E309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 w:hRule="atLeast"/>
        </w:trPr>
        <w:tc>
          <w:tcPr>
            <w:tcW w:w="8889" w:type="dxa"/>
            <w:gridSpan w:val="12"/>
            <w:tcBorders>
              <w:left w:val="nil"/>
              <w:bottom w:val="single" w:color="000000" w:sz="10" w:space="0"/>
              <w:right w:val="nil"/>
            </w:tcBorders>
            <w:vAlign w:val="top"/>
          </w:tcPr>
          <w:p w14:paraId="525A8B16">
            <w:pPr>
              <w:pStyle w:val="6"/>
              <w:spacing w:before="18" w:line="272" w:lineRule="exact"/>
              <w:ind w:left="2004"/>
              <w:rPr>
                <w:rFonts w:ascii="宋体" w:hAnsi="宋体" w:eastAsia="宋体" w:cs="宋体"/>
                <w:sz w:val="20"/>
                <w:szCs w:val="20"/>
              </w:rPr>
            </w:pPr>
            <w:r>
              <w:rPr>
                <w:rFonts w:ascii="宋体" w:hAnsi="宋体" w:eastAsia="宋体" w:cs="宋体"/>
                <w:sz w:val="20"/>
                <w:szCs w:val="20"/>
              </w:rPr>
              <w:t>注：</w:t>
            </w:r>
            <w:r>
              <w:rPr>
                <w:sz w:val="20"/>
                <w:szCs w:val="20"/>
              </w:rPr>
              <w:t>“</w:t>
            </w:r>
            <w:r>
              <w:rPr>
                <w:spacing w:val="-27"/>
                <w:sz w:val="20"/>
                <w:szCs w:val="20"/>
              </w:rPr>
              <w:t xml:space="preserve"> </w:t>
            </w:r>
            <w:r>
              <w:rPr>
                <w:sz w:val="20"/>
                <w:szCs w:val="20"/>
              </w:rPr>
              <w:t>□”</w:t>
            </w:r>
            <w:r>
              <w:rPr>
                <w:rFonts w:ascii="宋体" w:hAnsi="宋体" w:eastAsia="宋体" w:cs="宋体"/>
                <w:sz w:val="20"/>
                <w:szCs w:val="20"/>
              </w:rPr>
              <w:t>为勾选项，可</w:t>
            </w:r>
            <w:r>
              <w:rPr>
                <w:sz w:val="20"/>
                <w:szCs w:val="20"/>
              </w:rPr>
              <w:t>“√”</w:t>
            </w:r>
            <w:r>
              <w:rPr>
                <w:spacing w:val="-25"/>
                <w:sz w:val="20"/>
                <w:szCs w:val="20"/>
              </w:rPr>
              <w:t xml:space="preserve"> </w:t>
            </w:r>
            <w:r>
              <w:rPr>
                <w:rFonts w:ascii="宋体" w:hAnsi="宋体" w:eastAsia="宋体" w:cs="宋体"/>
                <w:sz w:val="20"/>
                <w:szCs w:val="20"/>
              </w:rPr>
              <w:t>;</w:t>
            </w:r>
            <w:r>
              <w:rPr>
                <w:rFonts w:ascii="宋体" w:hAnsi="宋体" w:eastAsia="宋体" w:cs="宋体"/>
                <w:spacing w:val="60"/>
                <w:sz w:val="20"/>
                <w:szCs w:val="20"/>
              </w:rPr>
              <w:t xml:space="preserve"> </w:t>
            </w:r>
            <w:r>
              <w:rPr>
                <w:sz w:val="20"/>
                <w:szCs w:val="20"/>
              </w:rPr>
              <w:t xml:space="preserve">“  </w:t>
            </w:r>
            <w:r>
              <w:rPr>
                <w:rFonts w:ascii="宋体" w:hAnsi="宋体" w:eastAsia="宋体" w:cs="宋体"/>
                <w:sz w:val="20"/>
                <w:szCs w:val="20"/>
              </w:rPr>
              <w:t>(</w:t>
            </w:r>
            <w:r>
              <w:rPr>
                <w:rFonts w:ascii="宋体" w:hAnsi="宋体" w:eastAsia="宋体" w:cs="宋体"/>
                <w:spacing w:val="25"/>
                <w:sz w:val="20"/>
                <w:szCs w:val="20"/>
              </w:rPr>
              <w:t xml:space="preserve">   </w:t>
            </w:r>
            <w:r>
              <w:rPr>
                <w:rFonts w:ascii="宋体" w:hAnsi="宋体" w:eastAsia="宋体" w:cs="宋体"/>
                <w:sz w:val="20"/>
                <w:szCs w:val="20"/>
              </w:rPr>
              <w:t>)</w:t>
            </w:r>
            <w:r>
              <w:rPr>
                <w:rFonts w:ascii="宋体" w:hAnsi="宋体" w:eastAsia="宋体" w:cs="宋体"/>
                <w:spacing w:val="27"/>
                <w:sz w:val="20"/>
                <w:szCs w:val="20"/>
              </w:rPr>
              <w:t xml:space="preserve"> </w:t>
            </w:r>
            <w:r>
              <w:rPr>
                <w:sz w:val="20"/>
                <w:szCs w:val="20"/>
              </w:rPr>
              <w:t>”</w:t>
            </w:r>
            <w:r>
              <w:rPr>
                <w:rFonts w:ascii="宋体" w:hAnsi="宋体" w:eastAsia="宋体" w:cs="宋体"/>
                <w:sz w:val="20"/>
                <w:szCs w:val="20"/>
              </w:rPr>
              <w:t>为内容填写项。</w:t>
            </w:r>
          </w:p>
        </w:tc>
      </w:tr>
    </w:tbl>
    <w:p w14:paraId="3C398957">
      <w:pPr>
        <w:pStyle w:val="2"/>
        <w:rPr>
          <w:sz w:val="21"/>
        </w:rPr>
      </w:pPr>
    </w:p>
    <w:p w14:paraId="13CB7596">
      <w:pPr>
        <w:rPr>
          <w:sz w:val="21"/>
          <w:szCs w:val="21"/>
        </w:rPr>
        <w:sectPr>
          <w:footerReference r:id="rId195" w:type="default"/>
          <w:pgSz w:w="11905" w:h="16840"/>
          <w:pgMar w:top="400" w:right="1215" w:bottom="1098" w:left="1785" w:header="0" w:footer="936" w:gutter="0"/>
          <w:cols w:space="720" w:num="1"/>
        </w:sectPr>
      </w:pPr>
    </w:p>
    <w:p w14:paraId="260F6554">
      <w:pPr>
        <w:spacing w:line="16828" w:lineRule="exact"/>
      </w:pPr>
      <w:r>
        <w:rPr>
          <w:position w:val="-336"/>
        </w:rPr>
        <w:drawing>
          <wp:inline distT="0" distB="0" distL="0" distR="0">
            <wp:extent cx="7561580" cy="10685780"/>
            <wp:effectExtent l="0" t="0" r="0" b="0"/>
            <wp:docPr id="328" name="IM 328"/>
            <wp:cNvGraphicFramePr/>
            <a:graphic xmlns:a="http://schemas.openxmlformats.org/drawingml/2006/main">
              <a:graphicData uri="http://schemas.openxmlformats.org/drawingml/2006/picture">
                <pic:pic xmlns:pic="http://schemas.openxmlformats.org/drawingml/2006/picture">
                  <pic:nvPicPr>
                    <pic:cNvPr id="328" name="IM 328"/>
                    <pic:cNvPicPr/>
                  </pic:nvPicPr>
                  <pic:blipFill>
                    <a:blip r:embed="rId398"/>
                    <a:stretch>
                      <a:fillRect/>
                    </a:stretch>
                  </pic:blipFill>
                  <pic:spPr>
                    <a:xfrm>
                      <a:off x="0" y="0"/>
                      <a:ext cx="7562088" cy="10685805"/>
                    </a:xfrm>
                    <a:prstGeom prst="rect">
                      <a:avLst/>
                    </a:prstGeom>
                  </pic:spPr>
                </pic:pic>
              </a:graphicData>
            </a:graphic>
          </wp:inline>
        </w:drawing>
      </w:r>
    </w:p>
    <w:p w14:paraId="36E30EDA">
      <w:pPr>
        <w:spacing w:line="16828" w:lineRule="exact"/>
        <w:sectPr>
          <w:footerReference r:id="rId196" w:type="default"/>
          <w:pgSz w:w="11909" w:h="16841"/>
          <w:pgMar w:top="1" w:right="0" w:bottom="1" w:left="0" w:header="0" w:footer="0" w:gutter="0"/>
          <w:cols w:space="720" w:num="1"/>
        </w:sectPr>
      </w:pPr>
    </w:p>
    <w:p w14:paraId="3C8D1366">
      <w:pPr>
        <w:pStyle w:val="2"/>
        <w:rPr>
          <w:sz w:val="21"/>
        </w:rPr>
      </w:pPr>
    </w:p>
    <w:p w14:paraId="2172A200">
      <w:pPr>
        <w:pStyle w:val="2"/>
        <w:rPr>
          <w:sz w:val="21"/>
        </w:rPr>
      </w:pPr>
    </w:p>
    <w:p w14:paraId="0432CE85">
      <w:pPr>
        <w:pStyle w:val="2"/>
        <w:rPr>
          <w:sz w:val="21"/>
        </w:rPr>
      </w:pPr>
    </w:p>
    <w:p w14:paraId="08F0BFA1">
      <w:pPr>
        <w:pStyle w:val="2"/>
        <w:rPr>
          <w:sz w:val="21"/>
        </w:rPr>
      </w:pPr>
    </w:p>
    <w:sdt>
      <w:sdtPr>
        <w:rPr>
          <w:rFonts w:ascii="宋体" w:hAnsi="宋体" w:eastAsia="宋体" w:cs="宋体"/>
          <w:sz w:val="43"/>
          <w:szCs w:val="43"/>
        </w:rPr>
        <w:id w:val="147451067"/>
        <w:docPartObj>
          <w:docPartGallery w:val="Table of Contents"/>
          <w:docPartUnique/>
        </w:docPartObj>
      </w:sdtPr>
      <w:sdtEndPr>
        <w:rPr>
          <w:rFonts w:ascii="Times New Roman" w:hAnsi="Times New Roman" w:eastAsia="Times New Roman" w:cs="Times New Roman"/>
          <w:sz w:val="24"/>
          <w:szCs w:val="24"/>
        </w:rPr>
      </w:sdtEndPr>
      <w:sdtContent>
        <w:p w14:paraId="42CB9985">
          <w:pPr>
            <w:spacing w:before="140" w:line="225" w:lineRule="auto"/>
            <w:ind w:left="3827"/>
            <w:rPr>
              <w:rFonts w:ascii="宋体" w:hAnsi="宋体" w:eastAsia="宋体" w:cs="宋体"/>
              <w:sz w:val="43"/>
              <w:szCs w:val="43"/>
            </w:rPr>
          </w:pPr>
          <w:r>
            <w:rPr>
              <w:rFonts w:ascii="宋体" w:hAnsi="宋体" w:eastAsia="宋体" w:cs="宋体"/>
              <w:spacing w:val="-42"/>
              <w:sz w:val="43"/>
              <w:szCs w:val="43"/>
            </w:rPr>
            <w:t>目录</w:t>
          </w:r>
        </w:p>
        <w:p w14:paraId="1C12096B">
          <w:pPr>
            <w:pStyle w:val="2"/>
            <w:spacing w:line="374" w:lineRule="auto"/>
            <w:rPr>
              <w:sz w:val="21"/>
            </w:rPr>
          </w:pPr>
        </w:p>
        <w:p w14:paraId="2E5999F4">
          <w:pPr>
            <w:tabs>
              <w:tab w:val="right" w:leader="dot" w:pos="8320"/>
            </w:tabs>
            <w:spacing w:before="78" w:line="189" w:lineRule="auto"/>
            <w:ind w:left="29"/>
            <w:rPr>
              <w:rFonts w:ascii="Times New Roman" w:hAnsi="Times New Roman" w:eastAsia="Times New Roman" w:cs="Times New Roman"/>
              <w:sz w:val="24"/>
              <w:szCs w:val="24"/>
            </w:rPr>
          </w:pPr>
          <w:r>
            <w:fldChar w:fldCharType="begin"/>
          </w:r>
          <w:r>
            <w:instrText xml:space="preserve"> HYPERLINK \l "bookmark66" </w:instrText>
          </w:r>
          <w:r>
            <w:fldChar w:fldCharType="separate"/>
          </w:r>
          <w:r>
            <w:rPr>
              <w:rFonts w:ascii="仿宋" w:hAnsi="仿宋" w:eastAsia="仿宋" w:cs="仿宋"/>
              <w:spacing w:val="-8"/>
              <w:sz w:val="24"/>
              <w:szCs w:val="24"/>
            </w:rPr>
            <w:t>概述</w:t>
          </w:r>
          <w:r>
            <w:rPr>
              <w:rFonts w:ascii="仿宋" w:hAnsi="仿宋" w:eastAsia="仿宋" w:cs="仿宋"/>
              <w:spacing w:val="-75"/>
              <w:sz w:val="24"/>
              <w:szCs w:val="24"/>
            </w:rPr>
            <w:t xml:space="preserve"> </w:t>
          </w:r>
          <w:r>
            <w:rPr>
              <w:rFonts w:ascii="仿宋" w:hAnsi="仿宋" w:eastAsia="仿宋" w:cs="仿宋"/>
              <w:sz w:val="24"/>
              <w:szCs w:val="24"/>
            </w:rPr>
            <w:tab/>
          </w:r>
          <w:r>
            <w:rPr>
              <w:rFonts w:ascii="仿宋" w:hAnsi="仿宋" w:eastAsia="仿宋" w:cs="仿宋"/>
              <w:spacing w:val="-34"/>
              <w:sz w:val="24"/>
              <w:szCs w:val="24"/>
            </w:rPr>
            <w:t xml:space="preserve"> </w:t>
          </w:r>
          <w:r>
            <w:rPr>
              <w:rFonts w:ascii="Times New Roman" w:hAnsi="Times New Roman" w:eastAsia="Times New Roman" w:cs="Times New Roman"/>
              <w:spacing w:val="-29"/>
              <w:sz w:val="24"/>
              <w:szCs w:val="24"/>
            </w:rPr>
            <w:t>1</w:t>
          </w:r>
          <w:r>
            <w:rPr>
              <w:rFonts w:ascii="Times New Roman" w:hAnsi="Times New Roman" w:eastAsia="Times New Roman" w:cs="Times New Roman"/>
              <w:spacing w:val="-29"/>
              <w:sz w:val="24"/>
              <w:szCs w:val="24"/>
            </w:rPr>
            <w:fldChar w:fldCharType="end"/>
          </w:r>
        </w:p>
        <w:p w14:paraId="53B9B626">
          <w:pPr>
            <w:tabs>
              <w:tab w:val="right" w:leader="dot" w:pos="8320"/>
            </w:tabs>
            <w:spacing w:before="219" w:line="190" w:lineRule="auto"/>
            <w:ind w:left="42"/>
            <w:rPr>
              <w:rFonts w:ascii="Times New Roman" w:hAnsi="Times New Roman" w:eastAsia="Times New Roman" w:cs="Times New Roman"/>
              <w:sz w:val="24"/>
              <w:szCs w:val="24"/>
            </w:rPr>
          </w:pPr>
          <w:r>
            <w:fldChar w:fldCharType="begin"/>
          </w:r>
          <w:r>
            <w:instrText xml:space="preserve"> HYPERLINK \l "bookmark67" </w:instrText>
          </w:r>
          <w:r>
            <w:fldChar w:fldCharType="separate"/>
          </w:r>
          <w:r>
            <w:rPr>
              <w:rFonts w:ascii="Times New Roman" w:hAnsi="Times New Roman" w:eastAsia="Times New Roman" w:cs="Times New Roman"/>
              <w:spacing w:val="-14"/>
              <w:sz w:val="24"/>
              <w:szCs w:val="24"/>
            </w:rPr>
            <w:t>1.</w:t>
          </w:r>
          <w:r>
            <w:rPr>
              <w:rFonts w:ascii="Times New Roman" w:hAnsi="Times New Roman" w:eastAsia="Times New Roman" w:cs="Times New Roman"/>
              <w:spacing w:val="-34"/>
              <w:sz w:val="24"/>
              <w:szCs w:val="24"/>
            </w:rPr>
            <w:t xml:space="preserve"> </w:t>
          </w:r>
          <w:r>
            <w:rPr>
              <w:rFonts w:ascii="仿宋" w:hAnsi="仿宋" w:eastAsia="仿宋" w:cs="仿宋"/>
              <w:spacing w:val="-14"/>
              <w:sz w:val="24"/>
              <w:szCs w:val="24"/>
            </w:rPr>
            <w:t>总则</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2"/>
              <w:sz w:val="24"/>
              <w:szCs w:val="24"/>
            </w:rPr>
            <w:t xml:space="preserve"> </w:t>
          </w:r>
          <w:r>
            <w:rPr>
              <w:rFonts w:ascii="Times New Roman" w:hAnsi="Times New Roman" w:eastAsia="Times New Roman" w:cs="Times New Roman"/>
              <w:sz w:val="24"/>
              <w:szCs w:val="24"/>
            </w:rPr>
            <w:t>3</w:t>
          </w:r>
          <w:r>
            <w:rPr>
              <w:rFonts w:ascii="Times New Roman" w:hAnsi="Times New Roman" w:eastAsia="Times New Roman" w:cs="Times New Roman"/>
              <w:sz w:val="24"/>
              <w:szCs w:val="24"/>
            </w:rPr>
            <w:fldChar w:fldCharType="end"/>
          </w:r>
        </w:p>
        <w:p w14:paraId="5913FE6C">
          <w:pPr>
            <w:tabs>
              <w:tab w:val="right" w:leader="dot" w:pos="8320"/>
            </w:tabs>
            <w:spacing w:before="220" w:line="190" w:lineRule="auto"/>
            <w:ind w:left="462"/>
            <w:rPr>
              <w:rFonts w:ascii="Times New Roman" w:hAnsi="Times New Roman" w:eastAsia="Times New Roman" w:cs="Times New Roman"/>
              <w:sz w:val="24"/>
              <w:szCs w:val="24"/>
            </w:rPr>
          </w:pPr>
          <w:r>
            <w:fldChar w:fldCharType="begin"/>
          </w:r>
          <w:r>
            <w:instrText xml:space="preserve"> HYPERLINK \l "bookmark68" </w:instrText>
          </w:r>
          <w:r>
            <w:fldChar w:fldCharType="separate"/>
          </w:r>
          <w:r>
            <w:rPr>
              <w:rFonts w:ascii="Times New Roman" w:hAnsi="Times New Roman" w:eastAsia="Times New Roman" w:cs="Times New Roman"/>
              <w:spacing w:val="-7"/>
              <w:sz w:val="24"/>
              <w:szCs w:val="24"/>
            </w:rPr>
            <w:t>1.1</w:t>
          </w:r>
          <w:r>
            <w:rPr>
              <w:rFonts w:ascii="Times New Roman" w:hAnsi="Times New Roman" w:eastAsia="Times New Roman" w:cs="Times New Roman"/>
              <w:spacing w:val="19"/>
              <w:w w:val="101"/>
              <w:sz w:val="24"/>
              <w:szCs w:val="24"/>
            </w:rPr>
            <w:t xml:space="preserve"> </w:t>
          </w:r>
          <w:r>
            <w:rPr>
              <w:rFonts w:ascii="仿宋" w:hAnsi="仿宋" w:eastAsia="仿宋" w:cs="仿宋"/>
              <w:spacing w:val="-7"/>
              <w:sz w:val="24"/>
              <w:szCs w:val="24"/>
            </w:rPr>
            <w:t>编制依据</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2"/>
              <w:sz w:val="24"/>
              <w:szCs w:val="24"/>
            </w:rPr>
            <w:t xml:space="preserve"> </w:t>
          </w:r>
          <w:r>
            <w:rPr>
              <w:rFonts w:ascii="Times New Roman" w:hAnsi="Times New Roman" w:eastAsia="Times New Roman" w:cs="Times New Roman"/>
              <w:sz w:val="24"/>
              <w:szCs w:val="24"/>
            </w:rPr>
            <w:t>3</w:t>
          </w:r>
          <w:r>
            <w:rPr>
              <w:rFonts w:ascii="Times New Roman" w:hAnsi="Times New Roman" w:eastAsia="Times New Roman" w:cs="Times New Roman"/>
              <w:sz w:val="24"/>
              <w:szCs w:val="24"/>
            </w:rPr>
            <w:fldChar w:fldCharType="end"/>
          </w:r>
        </w:p>
        <w:p w14:paraId="1BFF38CE">
          <w:pPr>
            <w:tabs>
              <w:tab w:val="right" w:leader="dot" w:pos="8320"/>
            </w:tabs>
            <w:spacing w:before="221" w:line="190" w:lineRule="auto"/>
            <w:ind w:left="462"/>
            <w:rPr>
              <w:rFonts w:ascii="Times New Roman" w:hAnsi="Times New Roman" w:eastAsia="Times New Roman" w:cs="Times New Roman"/>
              <w:sz w:val="24"/>
              <w:szCs w:val="24"/>
            </w:rPr>
          </w:pPr>
          <w:r>
            <w:fldChar w:fldCharType="begin"/>
          </w:r>
          <w:r>
            <w:instrText xml:space="preserve"> HYPERLINK \l "bookmark69" </w:instrText>
          </w:r>
          <w:r>
            <w:fldChar w:fldCharType="separate"/>
          </w:r>
          <w:r>
            <w:rPr>
              <w:rFonts w:ascii="Times New Roman" w:hAnsi="Times New Roman" w:eastAsia="Times New Roman" w:cs="Times New Roman"/>
              <w:spacing w:val="-7"/>
              <w:sz w:val="24"/>
              <w:szCs w:val="24"/>
            </w:rPr>
            <w:t>1.2</w:t>
          </w:r>
          <w:r>
            <w:rPr>
              <w:rFonts w:ascii="Times New Roman" w:hAnsi="Times New Roman" w:eastAsia="Times New Roman" w:cs="Times New Roman"/>
              <w:spacing w:val="19"/>
              <w:w w:val="101"/>
              <w:sz w:val="24"/>
              <w:szCs w:val="24"/>
            </w:rPr>
            <w:t xml:space="preserve"> </w:t>
          </w:r>
          <w:r>
            <w:rPr>
              <w:rFonts w:ascii="仿宋" w:hAnsi="仿宋" w:eastAsia="仿宋" w:cs="仿宋"/>
              <w:spacing w:val="-7"/>
              <w:sz w:val="24"/>
              <w:szCs w:val="24"/>
            </w:rPr>
            <w:t>评价原则</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8"/>
              <w:sz w:val="24"/>
              <w:szCs w:val="24"/>
            </w:rPr>
            <w:t xml:space="preserve"> </w:t>
          </w:r>
          <w:r>
            <w:rPr>
              <w:rFonts w:ascii="Times New Roman" w:hAnsi="Times New Roman" w:eastAsia="Times New Roman" w:cs="Times New Roman"/>
              <w:sz w:val="24"/>
              <w:szCs w:val="24"/>
            </w:rPr>
            <w:t>4</w:t>
          </w:r>
          <w:r>
            <w:rPr>
              <w:rFonts w:ascii="Times New Roman" w:hAnsi="Times New Roman" w:eastAsia="Times New Roman" w:cs="Times New Roman"/>
              <w:sz w:val="24"/>
              <w:szCs w:val="24"/>
            </w:rPr>
            <w:fldChar w:fldCharType="end"/>
          </w:r>
        </w:p>
        <w:p w14:paraId="03C59EA2">
          <w:pPr>
            <w:tabs>
              <w:tab w:val="right" w:leader="dot" w:pos="8320"/>
            </w:tabs>
            <w:spacing w:before="218" w:line="190" w:lineRule="auto"/>
            <w:ind w:left="462"/>
            <w:rPr>
              <w:rFonts w:ascii="Times New Roman" w:hAnsi="Times New Roman" w:eastAsia="Times New Roman" w:cs="Times New Roman"/>
              <w:sz w:val="24"/>
              <w:szCs w:val="24"/>
            </w:rPr>
          </w:pPr>
          <w:r>
            <w:fldChar w:fldCharType="begin"/>
          </w:r>
          <w:r>
            <w:instrText xml:space="preserve"> HYPERLINK \l "bookmark70" </w:instrText>
          </w:r>
          <w:r>
            <w:fldChar w:fldCharType="separate"/>
          </w:r>
          <w:r>
            <w:rPr>
              <w:rFonts w:ascii="Times New Roman" w:hAnsi="Times New Roman" w:eastAsia="Times New Roman" w:cs="Times New Roman"/>
              <w:spacing w:val="-4"/>
              <w:sz w:val="24"/>
              <w:szCs w:val="24"/>
            </w:rPr>
            <w:t>1.3</w:t>
          </w:r>
          <w:r>
            <w:rPr>
              <w:rFonts w:ascii="Times New Roman" w:hAnsi="Times New Roman" w:eastAsia="Times New Roman" w:cs="Times New Roman"/>
              <w:spacing w:val="26"/>
              <w:w w:val="101"/>
              <w:sz w:val="24"/>
              <w:szCs w:val="24"/>
            </w:rPr>
            <w:t xml:space="preserve"> </w:t>
          </w:r>
          <w:r>
            <w:rPr>
              <w:rFonts w:ascii="仿宋" w:hAnsi="仿宋" w:eastAsia="仿宋" w:cs="仿宋"/>
              <w:spacing w:val="-4"/>
              <w:sz w:val="24"/>
              <w:szCs w:val="24"/>
            </w:rPr>
            <w:t>评价工作等级及评价范围</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8"/>
              <w:sz w:val="24"/>
              <w:szCs w:val="24"/>
            </w:rPr>
            <w:t xml:space="preserve"> </w:t>
          </w:r>
          <w:r>
            <w:rPr>
              <w:rFonts w:ascii="Times New Roman" w:hAnsi="Times New Roman" w:eastAsia="Times New Roman" w:cs="Times New Roman"/>
              <w:sz w:val="24"/>
              <w:szCs w:val="24"/>
            </w:rPr>
            <w:t>4</w:t>
          </w:r>
          <w:r>
            <w:rPr>
              <w:rFonts w:ascii="Times New Roman" w:hAnsi="Times New Roman" w:eastAsia="Times New Roman" w:cs="Times New Roman"/>
              <w:sz w:val="24"/>
              <w:szCs w:val="24"/>
            </w:rPr>
            <w:fldChar w:fldCharType="end"/>
          </w:r>
        </w:p>
        <w:p w14:paraId="68E37043">
          <w:pPr>
            <w:tabs>
              <w:tab w:val="right" w:leader="dot" w:pos="8320"/>
            </w:tabs>
            <w:spacing w:before="221" w:line="190" w:lineRule="auto"/>
            <w:ind w:left="462"/>
            <w:rPr>
              <w:rFonts w:ascii="Times New Roman" w:hAnsi="Times New Roman" w:eastAsia="Times New Roman" w:cs="Times New Roman"/>
              <w:sz w:val="24"/>
              <w:szCs w:val="24"/>
            </w:rPr>
          </w:pPr>
          <w:r>
            <w:fldChar w:fldCharType="begin"/>
          </w:r>
          <w:r>
            <w:instrText xml:space="preserve"> HYPERLINK \l "bookmark71" </w:instrText>
          </w:r>
          <w:r>
            <w:fldChar w:fldCharType="separate"/>
          </w:r>
          <w:r>
            <w:rPr>
              <w:rFonts w:ascii="Times New Roman" w:hAnsi="Times New Roman" w:eastAsia="Times New Roman" w:cs="Times New Roman"/>
              <w:spacing w:val="-4"/>
              <w:sz w:val="24"/>
              <w:szCs w:val="24"/>
            </w:rPr>
            <w:t>1.4</w:t>
          </w:r>
          <w:r>
            <w:rPr>
              <w:rFonts w:ascii="Times New Roman" w:hAnsi="Times New Roman" w:eastAsia="Times New Roman" w:cs="Times New Roman"/>
              <w:spacing w:val="18"/>
              <w:w w:val="101"/>
              <w:sz w:val="24"/>
              <w:szCs w:val="24"/>
            </w:rPr>
            <w:t xml:space="preserve"> </w:t>
          </w:r>
          <w:r>
            <w:rPr>
              <w:rFonts w:ascii="仿宋" w:hAnsi="仿宋" w:eastAsia="仿宋" w:cs="仿宋"/>
              <w:spacing w:val="-4"/>
              <w:sz w:val="24"/>
              <w:szCs w:val="24"/>
            </w:rPr>
            <w:t>评价时段及评价因子</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0"/>
              <w:sz w:val="24"/>
              <w:szCs w:val="24"/>
            </w:rPr>
            <w:t xml:space="preserve"> </w:t>
          </w:r>
          <w:r>
            <w:rPr>
              <w:rFonts w:ascii="Times New Roman" w:hAnsi="Times New Roman" w:eastAsia="Times New Roman" w:cs="Times New Roman"/>
              <w:sz w:val="24"/>
              <w:szCs w:val="24"/>
            </w:rPr>
            <w:t>5</w:t>
          </w:r>
          <w:r>
            <w:rPr>
              <w:rFonts w:ascii="Times New Roman" w:hAnsi="Times New Roman" w:eastAsia="Times New Roman" w:cs="Times New Roman"/>
              <w:sz w:val="24"/>
              <w:szCs w:val="24"/>
            </w:rPr>
            <w:fldChar w:fldCharType="end"/>
          </w:r>
        </w:p>
        <w:p w14:paraId="62E8F331">
          <w:pPr>
            <w:tabs>
              <w:tab w:val="right" w:leader="dot" w:pos="8320"/>
            </w:tabs>
            <w:spacing w:before="219" w:line="190" w:lineRule="auto"/>
            <w:ind w:left="462"/>
            <w:rPr>
              <w:rFonts w:ascii="Times New Roman" w:hAnsi="Times New Roman" w:eastAsia="Times New Roman" w:cs="Times New Roman"/>
              <w:sz w:val="24"/>
              <w:szCs w:val="24"/>
            </w:rPr>
          </w:pPr>
          <w:r>
            <w:fldChar w:fldCharType="begin"/>
          </w:r>
          <w:r>
            <w:instrText xml:space="preserve"> HYPERLINK \l "bookmark72" </w:instrText>
          </w:r>
          <w:r>
            <w:fldChar w:fldCharType="separate"/>
          </w:r>
          <w:r>
            <w:rPr>
              <w:rFonts w:ascii="Times New Roman" w:hAnsi="Times New Roman" w:eastAsia="Times New Roman" w:cs="Times New Roman"/>
              <w:spacing w:val="-7"/>
              <w:sz w:val="24"/>
              <w:szCs w:val="24"/>
            </w:rPr>
            <w:t>1.5</w:t>
          </w:r>
          <w:r>
            <w:rPr>
              <w:rFonts w:ascii="Times New Roman" w:hAnsi="Times New Roman" w:eastAsia="Times New Roman" w:cs="Times New Roman"/>
              <w:spacing w:val="33"/>
              <w:w w:val="101"/>
              <w:sz w:val="24"/>
              <w:szCs w:val="24"/>
            </w:rPr>
            <w:t xml:space="preserve"> </w:t>
          </w:r>
          <w:r>
            <w:rPr>
              <w:rFonts w:ascii="仿宋" w:hAnsi="仿宋" w:eastAsia="仿宋" w:cs="仿宋"/>
              <w:spacing w:val="-7"/>
              <w:sz w:val="24"/>
              <w:szCs w:val="24"/>
            </w:rPr>
            <w:t>生态保护目标</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2"/>
              <w:sz w:val="24"/>
              <w:szCs w:val="24"/>
            </w:rPr>
            <w:t xml:space="preserve"> </w:t>
          </w:r>
          <w:r>
            <w:rPr>
              <w:rFonts w:ascii="Times New Roman" w:hAnsi="Times New Roman" w:eastAsia="Times New Roman" w:cs="Times New Roman"/>
              <w:sz w:val="24"/>
              <w:szCs w:val="24"/>
            </w:rPr>
            <w:t>6</w:t>
          </w:r>
          <w:r>
            <w:rPr>
              <w:rFonts w:ascii="Times New Roman" w:hAnsi="Times New Roman" w:eastAsia="Times New Roman" w:cs="Times New Roman"/>
              <w:sz w:val="24"/>
              <w:szCs w:val="24"/>
            </w:rPr>
            <w:fldChar w:fldCharType="end"/>
          </w:r>
        </w:p>
        <w:p w14:paraId="1A2ADCAE">
          <w:pPr>
            <w:tabs>
              <w:tab w:val="right" w:leader="dot" w:pos="8320"/>
            </w:tabs>
            <w:spacing w:before="221" w:line="190" w:lineRule="auto"/>
            <w:ind w:left="19"/>
            <w:rPr>
              <w:rFonts w:ascii="Times New Roman" w:hAnsi="Times New Roman" w:eastAsia="Times New Roman" w:cs="Times New Roman"/>
              <w:sz w:val="24"/>
              <w:szCs w:val="24"/>
            </w:rPr>
          </w:pPr>
          <w:r>
            <w:fldChar w:fldCharType="begin"/>
          </w:r>
          <w:r>
            <w:instrText xml:space="preserve"> HYPERLINK \l "bookmark73" </w:instrText>
          </w:r>
          <w:r>
            <w:fldChar w:fldCharType="separate"/>
          </w:r>
          <w:r>
            <w:rPr>
              <w:rFonts w:ascii="Times New Roman" w:hAnsi="Times New Roman" w:eastAsia="Times New Roman" w:cs="Times New Roman"/>
              <w:spacing w:val="-1"/>
              <w:sz w:val="24"/>
              <w:szCs w:val="24"/>
            </w:rPr>
            <w:t>2.</w:t>
          </w:r>
          <w:r>
            <w:rPr>
              <w:rFonts w:ascii="仿宋" w:hAnsi="仿宋" w:eastAsia="仿宋" w:cs="仿宋"/>
              <w:spacing w:val="-1"/>
              <w:sz w:val="24"/>
              <w:szCs w:val="24"/>
            </w:rPr>
            <w:t>工程分析</w:t>
          </w:r>
          <w:r>
            <w:rPr>
              <w:rFonts w:ascii="仿宋" w:hAnsi="仿宋" w:eastAsia="仿宋" w:cs="仿宋"/>
              <w:spacing w:val="-75"/>
              <w:sz w:val="24"/>
              <w:szCs w:val="24"/>
            </w:rPr>
            <w:t xml:space="preserve"> </w:t>
          </w:r>
          <w:r>
            <w:rPr>
              <w:rFonts w:ascii="仿宋" w:hAnsi="仿宋" w:eastAsia="仿宋" w:cs="仿宋"/>
              <w:sz w:val="24"/>
              <w:szCs w:val="24"/>
            </w:rPr>
            <w:tab/>
          </w:r>
          <w:r>
            <w:rPr>
              <w:rFonts w:ascii="仿宋" w:hAnsi="仿宋" w:eastAsia="仿宋" w:cs="仿宋"/>
              <w:spacing w:val="-52"/>
              <w:sz w:val="24"/>
              <w:szCs w:val="24"/>
            </w:rPr>
            <w:t xml:space="preserve"> </w:t>
          </w:r>
          <w:r>
            <w:rPr>
              <w:rFonts w:ascii="Times New Roman" w:hAnsi="Times New Roman" w:eastAsia="Times New Roman" w:cs="Times New Roman"/>
              <w:sz w:val="24"/>
              <w:szCs w:val="24"/>
            </w:rPr>
            <w:t>9</w:t>
          </w:r>
          <w:r>
            <w:rPr>
              <w:rFonts w:ascii="Times New Roman" w:hAnsi="Times New Roman" w:eastAsia="Times New Roman" w:cs="Times New Roman"/>
              <w:sz w:val="24"/>
              <w:szCs w:val="24"/>
            </w:rPr>
            <w:fldChar w:fldCharType="end"/>
          </w:r>
        </w:p>
        <w:p w14:paraId="1C814540">
          <w:pPr>
            <w:tabs>
              <w:tab w:val="right" w:leader="dot" w:pos="8320"/>
            </w:tabs>
            <w:spacing w:before="219" w:line="189" w:lineRule="auto"/>
            <w:ind w:left="439"/>
            <w:rPr>
              <w:rFonts w:ascii="Times New Roman" w:hAnsi="Times New Roman" w:eastAsia="Times New Roman" w:cs="Times New Roman"/>
              <w:sz w:val="24"/>
              <w:szCs w:val="24"/>
            </w:rPr>
          </w:pPr>
          <w:r>
            <w:fldChar w:fldCharType="begin"/>
          </w:r>
          <w:r>
            <w:instrText xml:space="preserve"> HYPERLINK \l "bookmark74" </w:instrText>
          </w:r>
          <w:r>
            <w:fldChar w:fldCharType="separate"/>
          </w:r>
          <w:r>
            <w:rPr>
              <w:rFonts w:ascii="Times New Roman" w:hAnsi="Times New Roman" w:eastAsia="Times New Roman" w:cs="Times New Roman"/>
              <w:spacing w:val="-3"/>
              <w:sz w:val="24"/>
              <w:szCs w:val="24"/>
            </w:rPr>
            <w:t>2.1</w:t>
          </w:r>
          <w:r>
            <w:rPr>
              <w:rFonts w:ascii="Times New Roman" w:hAnsi="Times New Roman" w:eastAsia="Times New Roman" w:cs="Times New Roman"/>
              <w:spacing w:val="20"/>
              <w:w w:val="101"/>
              <w:sz w:val="24"/>
              <w:szCs w:val="24"/>
            </w:rPr>
            <w:t xml:space="preserve"> </w:t>
          </w:r>
          <w:r>
            <w:rPr>
              <w:rFonts w:ascii="仿宋" w:hAnsi="仿宋" w:eastAsia="仿宋" w:cs="仿宋"/>
              <w:spacing w:val="-3"/>
              <w:sz w:val="24"/>
              <w:szCs w:val="24"/>
            </w:rPr>
            <w:t>项目建设内容</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2"/>
              <w:sz w:val="24"/>
              <w:szCs w:val="24"/>
            </w:rPr>
            <w:t xml:space="preserve"> </w:t>
          </w:r>
          <w:r>
            <w:rPr>
              <w:rFonts w:ascii="Times New Roman" w:hAnsi="Times New Roman" w:eastAsia="Times New Roman" w:cs="Times New Roman"/>
              <w:sz w:val="24"/>
              <w:szCs w:val="24"/>
            </w:rPr>
            <w:t>9</w:t>
          </w:r>
          <w:r>
            <w:rPr>
              <w:rFonts w:ascii="Times New Roman" w:hAnsi="Times New Roman" w:eastAsia="Times New Roman" w:cs="Times New Roman"/>
              <w:sz w:val="24"/>
              <w:szCs w:val="24"/>
            </w:rPr>
            <w:fldChar w:fldCharType="end"/>
          </w:r>
        </w:p>
        <w:p w14:paraId="638382DE">
          <w:pPr>
            <w:tabs>
              <w:tab w:val="right" w:leader="dot" w:pos="8320"/>
            </w:tabs>
            <w:spacing w:before="222" w:line="190" w:lineRule="auto"/>
            <w:ind w:left="439"/>
            <w:rPr>
              <w:rFonts w:ascii="Times New Roman" w:hAnsi="Times New Roman" w:eastAsia="Times New Roman" w:cs="Times New Roman"/>
              <w:sz w:val="24"/>
              <w:szCs w:val="24"/>
            </w:rPr>
          </w:pPr>
          <w:r>
            <w:fldChar w:fldCharType="begin"/>
          </w:r>
          <w:r>
            <w:instrText xml:space="preserve"> HYPERLINK \l "bookmark75" </w:instrText>
          </w:r>
          <w:r>
            <w:fldChar w:fldCharType="separate"/>
          </w:r>
          <w:r>
            <w:rPr>
              <w:rFonts w:ascii="Times New Roman" w:hAnsi="Times New Roman" w:eastAsia="Times New Roman" w:cs="Times New Roman"/>
              <w:spacing w:val="-4"/>
              <w:sz w:val="24"/>
              <w:szCs w:val="24"/>
            </w:rPr>
            <w:t>2.2</w:t>
          </w:r>
          <w:r>
            <w:rPr>
              <w:rFonts w:ascii="Times New Roman" w:hAnsi="Times New Roman" w:eastAsia="Times New Roman" w:cs="Times New Roman"/>
              <w:spacing w:val="21"/>
              <w:w w:val="101"/>
              <w:sz w:val="24"/>
              <w:szCs w:val="24"/>
            </w:rPr>
            <w:t xml:space="preserve"> </w:t>
          </w:r>
          <w:r>
            <w:rPr>
              <w:rFonts w:ascii="仿宋" w:hAnsi="仿宋" w:eastAsia="仿宋" w:cs="仿宋"/>
              <w:spacing w:val="-4"/>
              <w:sz w:val="24"/>
              <w:szCs w:val="24"/>
            </w:rPr>
            <w:t>工程占地</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7"/>
              <w:sz w:val="24"/>
              <w:szCs w:val="24"/>
            </w:rPr>
            <w:t xml:space="preserve"> </w:t>
          </w:r>
          <w:r>
            <w:rPr>
              <w:rFonts w:ascii="Times New Roman" w:hAnsi="Times New Roman" w:eastAsia="Times New Roman" w:cs="Times New Roman"/>
              <w:spacing w:val="-3"/>
              <w:sz w:val="24"/>
              <w:szCs w:val="24"/>
            </w:rPr>
            <w:t>20</w:t>
          </w:r>
          <w:r>
            <w:rPr>
              <w:rFonts w:ascii="Times New Roman" w:hAnsi="Times New Roman" w:eastAsia="Times New Roman" w:cs="Times New Roman"/>
              <w:spacing w:val="-3"/>
              <w:sz w:val="24"/>
              <w:szCs w:val="24"/>
            </w:rPr>
            <w:fldChar w:fldCharType="end"/>
          </w:r>
        </w:p>
        <w:p w14:paraId="0A1F7EFD">
          <w:pPr>
            <w:tabs>
              <w:tab w:val="right" w:leader="dot" w:pos="8320"/>
            </w:tabs>
            <w:spacing w:before="219" w:line="190" w:lineRule="auto"/>
            <w:ind w:left="439"/>
            <w:rPr>
              <w:rFonts w:ascii="Times New Roman" w:hAnsi="Times New Roman" w:eastAsia="Times New Roman" w:cs="Times New Roman"/>
              <w:sz w:val="24"/>
              <w:szCs w:val="24"/>
            </w:rPr>
          </w:pPr>
          <w:r>
            <w:fldChar w:fldCharType="begin"/>
          </w:r>
          <w:r>
            <w:instrText xml:space="preserve"> HYPERLINK \l "bookmark76" </w:instrText>
          </w:r>
          <w:r>
            <w:fldChar w:fldCharType="separate"/>
          </w:r>
          <w:r>
            <w:rPr>
              <w:rFonts w:ascii="Times New Roman" w:hAnsi="Times New Roman" w:eastAsia="Times New Roman" w:cs="Times New Roman"/>
              <w:spacing w:val="-3"/>
              <w:sz w:val="24"/>
              <w:szCs w:val="24"/>
            </w:rPr>
            <w:t>2.3</w:t>
          </w:r>
          <w:r>
            <w:rPr>
              <w:rFonts w:ascii="Times New Roman" w:hAnsi="Times New Roman" w:eastAsia="Times New Roman" w:cs="Times New Roman"/>
              <w:spacing w:val="23"/>
              <w:w w:val="101"/>
              <w:sz w:val="24"/>
              <w:szCs w:val="24"/>
            </w:rPr>
            <w:t xml:space="preserve"> </w:t>
          </w:r>
          <w:r>
            <w:rPr>
              <w:rFonts w:ascii="仿宋" w:hAnsi="仿宋" w:eastAsia="仿宋" w:cs="仿宋"/>
              <w:spacing w:val="-3"/>
              <w:sz w:val="24"/>
              <w:szCs w:val="24"/>
            </w:rPr>
            <w:t>选址合理性分析</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7"/>
              <w:sz w:val="24"/>
              <w:szCs w:val="24"/>
            </w:rPr>
            <w:t xml:space="preserve"> </w:t>
          </w:r>
          <w:r>
            <w:rPr>
              <w:rFonts w:ascii="Times New Roman" w:hAnsi="Times New Roman" w:eastAsia="Times New Roman" w:cs="Times New Roman"/>
              <w:spacing w:val="-3"/>
              <w:sz w:val="24"/>
              <w:szCs w:val="24"/>
            </w:rPr>
            <w:t>20</w:t>
          </w:r>
          <w:r>
            <w:rPr>
              <w:rFonts w:ascii="Times New Roman" w:hAnsi="Times New Roman" w:eastAsia="Times New Roman" w:cs="Times New Roman"/>
              <w:spacing w:val="-3"/>
              <w:sz w:val="24"/>
              <w:szCs w:val="24"/>
            </w:rPr>
            <w:fldChar w:fldCharType="end"/>
          </w:r>
        </w:p>
        <w:p w14:paraId="1321AE25">
          <w:pPr>
            <w:tabs>
              <w:tab w:val="right" w:leader="dot" w:pos="8320"/>
            </w:tabs>
            <w:spacing w:before="221" w:line="190" w:lineRule="auto"/>
            <w:ind w:left="23"/>
            <w:rPr>
              <w:rFonts w:ascii="Times New Roman" w:hAnsi="Times New Roman" w:eastAsia="Times New Roman" w:cs="Times New Roman"/>
              <w:sz w:val="24"/>
              <w:szCs w:val="24"/>
            </w:rPr>
          </w:pPr>
          <w:r>
            <w:fldChar w:fldCharType="begin"/>
          </w:r>
          <w:r>
            <w:instrText xml:space="preserve"> HYPERLINK \l "bookmark77" </w:instrText>
          </w:r>
          <w:r>
            <w:fldChar w:fldCharType="separate"/>
          </w:r>
          <w:r>
            <w:rPr>
              <w:rFonts w:ascii="Times New Roman" w:hAnsi="Times New Roman" w:eastAsia="Times New Roman" w:cs="Times New Roman"/>
              <w:spacing w:val="-4"/>
              <w:sz w:val="24"/>
              <w:szCs w:val="24"/>
            </w:rPr>
            <w:t>3.</w:t>
          </w:r>
          <w:r>
            <w:rPr>
              <w:rFonts w:ascii="Times New Roman" w:hAnsi="Times New Roman" w:eastAsia="Times New Roman" w:cs="Times New Roman"/>
              <w:spacing w:val="-27"/>
              <w:sz w:val="24"/>
              <w:szCs w:val="24"/>
            </w:rPr>
            <w:t xml:space="preserve"> </w:t>
          </w:r>
          <w:r>
            <w:rPr>
              <w:rFonts w:ascii="仿宋" w:hAnsi="仿宋" w:eastAsia="仿宋" w:cs="仿宋"/>
              <w:spacing w:val="-4"/>
              <w:sz w:val="24"/>
              <w:szCs w:val="24"/>
            </w:rPr>
            <w:t>生态现状调查与评价</w:t>
          </w:r>
          <w:r>
            <w:rPr>
              <w:rFonts w:ascii="仿宋" w:hAnsi="仿宋" w:eastAsia="仿宋" w:cs="仿宋"/>
              <w:spacing w:val="-75"/>
              <w:sz w:val="24"/>
              <w:szCs w:val="24"/>
            </w:rPr>
            <w:t xml:space="preserve"> </w:t>
          </w:r>
          <w:r>
            <w:rPr>
              <w:rFonts w:ascii="仿宋" w:hAnsi="仿宋" w:eastAsia="仿宋" w:cs="仿宋"/>
              <w:sz w:val="24"/>
              <w:szCs w:val="24"/>
            </w:rPr>
            <w:tab/>
          </w:r>
          <w:r>
            <w:rPr>
              <w:rFonts w:ascii="仿宋" w:hAnsi="仿宋" w:eastAsia="仿宋" w:cs="仿宋"/>
              <w:spacing w:val="-57"/>
              <w:sz w:val="24"/>
              <w:szCs w:val="24"/>
            </w:rPr>
            <w:t xml:space="preserve"> </w:t>
          </w:r>
          <w:r>
            <w:rPr>
              <w:rFonts w:ascii="Times New Roman" w:hAnsi="Times New Roman" w:eastAsia="Times New Roman" w:cs="Times New Roman"/>
              <w:spacing w:val="-3"/>
              <w:sz w:val="24"/>
              <w:szCs w:val="24"/>
            </w:rPr>
            <w:t>23</w:t>
          </w:r>
          <w:r>
            <w:rPr>
              <w:rFonts w:ascii="Times New Roman" w:hAnsi="Times New Roman" w:eastAsia="Times New Roman" w:cs="Times New Roman"/>
              <w:spacing w:val="-3"/>
              <w:sz w:val="24"/>
              <w:szCs w:val="24"/>
            </w:rPr>
            <w:fldChar w:fldCharType="end"/>
          </w:r>
        </w:p>
        <w:p w14:paraId="1CC0839B">
          <w:pPr>
            <w:tabs>
              <w:tab w:val="right" w:leader="dot" w:pos="8320"/>
            </w:tabs>
            <w:spacing w:before="218" w:line="190" w:lineRule="auto"/>
            <w:ind w:left="443"/>
            <w:rPr>
              <w:rFonts w:ascii="Times New Roman" w:hAnsi="Times New Roman" w:eastAsia="Times New Roman" w:cs="Times New Roman"/>
              <w:sz w:val="24"/>
              <w:szCs w:val="24"/>
            </w:rPr>
          </w:pPr>
          <w:r>
            <w:fldChar w:fldCharType="begin"/>
          </w:r>
          <w:r>
            <w:instrText xml:space="preserve"> HYPERLINK \l "bookmark78" </w:instrText>
          </w:r>
          <w:r>
            <w:fldChar w:fldCharType="separate"/>
          </w:r>
          <w:r>
            <w:rPr>
              <w:rFonts w:ascii="Times New Roman" w:hAnsi="Times New Roman" w:eastAsia="Times New Roman" w:cs="Times New Roman"/>
              <w:spacing w:val="-3"/>
              <w:sz w:val="24"/>
              <w:szCs w:val="24"/>
            </w:rPr>
            <w:t>3.1</w:t>
          </w:r>
          <w:r>
            <w:rPr>
              <w:rFonts w:ascii="Times New Roman" w:hAnsi="Times New Roman" w:eastAsia="Times New Roman" w:cs="Times New Roman"/>
              <w:spacing w:val="37"/>
              <w:sz w:val="24"/>
              <w:szCs w:val="24"/>
            </w:rPr>
            <w:t xml:space="preserve"> </w:t>
          </w:r>
          <w:r>
            <w:rPr>
              <w:rFonts w:ascii="仿宋" w:hAnsi="仿宋" w:eastAsia="仿宋" w:cs="仿宋"/>
              <w:spacing w:val="-3"/>
              <w:sz w:val="24"/>
              <w:szCs w:val="24"/>
            </w:rPr>
            <w:t>主体功能区划与生态功能区划</w:t>
          </w:r>
          <w:r>
            <w:rPr>
              <w:rFonts w:ascii="仿宋" w:hAnsi="仿宋" w:eastAsia="仿宋" w:cs="仿宋"/>
              <w:spacing w:val="-75"/>
              <w:sz w:val="24"/>
              <w:szCs w:val="24"/>
            </w:rPr>
            <w:t xml:space="preserve"> </w:t>
          </w:r>
          <w:r>
            <w:rPr>
              <w:rFonts w:ascii="仿宋" w:hAnsi="仿宋" w:eastAsia="仿宋" w:cs="仿宋"/>
              <w:sz w:val="24"/>
              <w:szCs w:val="24"/>
            </w:rPr>
            <w:tab/>
          </w:r>
          <w:r>
            <w:rPr>
              <w:rFonts w:ascii="仿宋" w:hAnsi="仿宋" w:eastAsia="仿宋" w:cs="仿宋"/>
              <w:spacing w:val="-57"/>
              <w:sz w:val="24"/>
              <w:szCs w:val="24"/>
            </w:rPr>
            <w:t xml:space="preserve"> </w:t>
          </w:r>
          <w:r>
            <w:rPr>
              <w:rFonts w:ascii="Times New Roman" w:hAnsi="Times New Roman" w:eastAsia="Times New Roman" w:cs="Times New Roman"/>
              <w:spacing w:val="-3"/>
              <w:sz w:val="24"/>
              <w:szCs w:val="24"/>
            </w:rPr>
            <w:t>23</w:t>
          </w:r>
          <w:r>
            <w:rPr>
              <w:rFonts w:ascii="Times New Roman" w:hAnsi="Times New Roman" w:eastAsia="Times New Roman" w:cs="Times New Roman"/>
              <w:spacing w:val="-3"/>
              <w:sz w:val="24"/>
              <w:szCs w:val="24"/>
            </w:rPr>
            <w:fldChar w:fldCharType="end"/>
          </w:r>
        </w:p>
        <w:p w14:paraId="5552EE2F">
          <w:pPr>
            <w:tabs>
              <w:tab w:val="right" w:leader="dot" w:pos="8320"/>
            </w:tabs>
            <w:spacing w:before="221" w:line="190" w:lineRule="auto"/>
            <w:ind w:left="443"/>
            <w:rPr>
              <w:rFonts w:ascii="Times New Roman" w:hAnsi="Times New Roman" w:eastAsia="Times New Roman" w:cs="Times New Roman"/>
              <w:sz w:val="24"/>
              <w:szCs w:val="24"/>
            </w:rPr>
          </w:pPr>
          <w:r>
            <w:fldChar w:fldCharType="begin"/>
          </w:r>
          <w:r>
            <w:instrText xml:space="preserve"> HYPERLINK \l "bookmark79" </w:instrText>
          </w:r>
          <w:r>
            <w:fldChar w:fldCharType="separate"/>
          </w:r>
          <w:r>
            <w:rPr>
              <w:rFonts w:ascii="Times New Roman" w:hAnsi="Times New Roman" w:eastAsia="Times New Roman" w:cs="Times New Roman"/>
              <w:spacing w:val="-4"/>
              <w:sz w:val="24"/>
              <w:szCs w:val="24"/>
            </w:rPr>
            <w:t>3.2</w:t>
          </w:r>
          <w:r>
            <w:rPr>
              <w:rFonts w:ascii="Times New Roman" w:hAnsi="Times New Roman" w:eastAsia="Times New Roman" w:cs="Times New Roman"/>
              <w:spacing w:val="33"/>
              <w:sz w:val="24"/>
              <w:szCs w:val="24"/>
            </w:rPr>
            <w:t xml:space="preserve"> </w:t>
          </w:r>
          <w:r>
            <w:rPr>
              <w:rFonts w:ascii="仿宋" w:hAnsi="仿宋" w:eastAsia="仿宋" w:cs="仿宋"/>
              <w:spacing w:val="-4"/>
              <w:sz w:val="24"/>
              <w:szCs w:val="24"/>
            </w:rPr>
            <w:t>生态环境现状调查</w:t>
          </w:r>
          <w:r>
            <w:rPr>
              <w:rFonts w:ascii="仿宋" w:hAnsi="仿宋" w:eastAsia="仿宋" w:cs="仿宋"/>
              <w:spacing w:val="-75"/>
              <w:sz w:val="24"/>
              <w:szCs w:val="24"/>
            </w:rPr>
            <w:t xml:space="preserve"> </w:t>
          </w:r>
          <w:r>
            <w:rPr>
              <w:rFonts w:ascii="仿宋" w:hAnsi="仿宋" w:eastAsia="仿宋" w:cs="仿宋"/>
              <w:sz w:val="24"/>
              <w:szCs w:val="24"/>
            </w:rPr>
            <w:tab/>
          </w:r>
          <w:r>
            <w:rPr>
              <w:rFonts w:ascii="仿宋" w:hAnsi="仿宋" w:eastAsia="仿宋" w:cs="仿宋"/>
              <w:spacing w:val="-57"/>
              <w:sz w:val="24"/>
              <w:szCs w:val="24"/>
            </w:rPr>
            <w:t xml:space="preserve"> </w:t>
          </w:r>
          <w:r>
            <w:rPr>
              <w:rFonts w:ascii="Times New Roman" w:hAnsi="Times New Roman" w:eastAsia="Times New Roman" w:cs="Times New Roman"/>
              <w:spacing w:val="-3"/>
              <w:sz w:val="24"/>
              <w:szCs w:val="24"/>
            </w:rPr>
            <w:t>27</w:t>
          </w:r>
          <w:r>
            <w:rPr>
              <w:rFonts w:ascii="Times New Roman" w:hAnsi="Times New Roman" w:eastAsia="Times New Roman" w:cs="Times New Roman"/>
              <w:spacing w:val="-3"/>
              <w:sz w:val="24"/>
              <w:szCs w:val="24"/>
            </w:rPr>
            <w:fldChar w:fldCharType="end"/>
          </w:r>
        </w:p>
        <w:p w14:paraId="313CBA79">
          <w:pPr>
            <w:tabs>
              <w:tab w:val="right" w:leader="dot" w:pos="8320"/>
            </w:tabs>
            <w:spacing w:before="221" w:line="190" w:lineRule="auto"/>
            <w:ind w:left="443"/>
            <w:rPr>
              <w:rFonts w:ascii="Times New Roman" w:hAnsi="Times New Roman" w:eastAsia="Times New Roman" w:cs="Times New Roman"/>
              <w:sz w:val="24"/>
              <w:szCs w:val="24"/>
            </w:rPr>
          </w:pPr>
          <w:r>
            <w:fldChar w:fldCharType="begin"/>
          </w:r>
          <w:r>
            <w:instrText xml:space="preserve"> HYPERLINK \l "bookmark80" </w:instrText>
          </w:r>
          <w:r>
            <w:fldChar w:fldCharType="separate"/>
          </w:r>
          <w:r>
            <w:rPr>
              <w:rFonts w:ascii="Times New Roman" w:hAnsi="Times New Roman" w:eastAsia="Times New Roman" w:cs="Times New Roman"/>
              <w:spacing w:val="-4"/>
              <w:sz w:val="24"/>
              <w:szCs w:val="24"/>
            </w:rPr>
            <w:t>3.3</w:t>
          </w:r>
          <w:r>
            <w:rPr>
              <w:rFonts w:ascii="Times New Roman" w:hAnsi="Times New Roman" w:eastAsia="Times New Roman" w:cs="Times New Roman"/>
              <w:spacing w:val="33"/>
              <w:sz w:val="24"/>
              <w:szCs w:val="24"/>
            </w:rPr>
            <w:t xml:space="preserve"> </w:t>
          </w:r>
          <w:r>
            <w:rPr>
              <w:rFonts w:ascii="仿宋" w:hAnsi="仿宋" w:eastAsia="仿宋" w:cs="仿宋"/>
              <w:spacing w:val="-4"/>
              <w:sz w:val="24"/>
              <w:szCs w:val="24"/>
            </w:rPr>
            <w:t>生态现状综合评价</w:t>
          </w:r>
          <w:r>
            <w:rPr>
              <w:rFonts w:ascii="仿宋" w:hAnsi="仿宋" w:eastAsia="仿宋" w:cs="仿宋"/>
              <w:spacing w:val="-75"/>
              <w:sz w:val="24"/>
              <w:szCs w:val="24"/>
            </w:rPr>
            <w:t xml:space="preserve"> </w:t>
          </w:r>
          <w:r>
            <w:rPr>
              <w:rFonts w:ascii="仿宋" w:hAnsi="仿宋" w:eastAsia="仿宋" w:cs="仿宋"/>
              <w:sz w:val="24"/>
              <w:szCs w:val="24"/>
            </w:rPr>
            <w:tab/>
          </w:r>
          <w:r>
            <w:rPr>
              <w:rFonts w:ascii="仿宋" w:hAnsi="仿宋" w:eastAsia="仿宋" w:cs="仿宋"/>
              <w:spacing w:val="-51"/>
              <w:sz w:val="24"/>
              <w:szCs w:val="24"/>
            </w:rPr>
            <w:t xml:space="preserve"> </w:t>
          </w:r>
          <w:r>
            <w:rPr>
              <w:rFonts w:ascii="Times New Roman" w:hAnsi="Times New Roman" w:eastAsia="Times New Roman" w:cs="Times New Roman"/>
              <w:spacing w:val="-6"/>
              <w:sz w:val="24"/>
              <w:szCs w:val="24"/>
            </w:rPr>
            <w:t>64</w:t>
          </w:r>
          <w:r>
            <w:rPr>
              <w:rFonts w:ascii="Times New Roman" w:hAnsi="Times New Roman" w:eastAsia="Times New Roman" w:cs="Times New Roman"/>
              <w:spacing w:val="-6"/>
              <w:sz w:val="24"/>
              <w:szCs w:val="24"/>
            </w:rPr>
            <w:fldChar w:fldCharType="end"/>
          </w:r>
        </w:p>
        <w:p w14:paraId="36BD5159">
          <w:pPr>
            <w:tabs>
              <w:tab w:val="right" w:leader="dot" w:pos="8320"/>
            </w:tabs>
            <w:spacing w:before="219" w:line="190" w:lineRule="auto"/>
            <w:ind w:left="17"/>
            <w:rPr>
              <w:rFonts w:ascii="Times New Roman" w:hAnsi="Times New Roman" w:eastAsia="Times New Roman" w:cs="Times New Roman"/>
              <w:sz w:val="24"/>
              <w:szCs w:val="24"/>
            </w:rPr>
          </w:pPr>
          <w:r>
            <w:fldChar w:fldCharType="begin"/>
          </w:r>
          <w:r>
            <w:instrText xml:space="preserve"> HYPERLINK \l "bookmark81" </w:instrText>
          </w:r>
          <w:r>
            <w:fldChar w:fldCharType="separate"/>
          </w:r>
          <w:r>
            <w:rPr>
              <w:rFonts w:ascii="Times New Roman" w:hAnsi="Times New Roman" w:eastAsia="Times New Roman" w:cs="Times New Roman"/>
              <w:spacing w:val="-5"/>
              <w:sz w:val="24"/>
              <w:szCs w:val="24"/>
            </w:rPr>
            <w:t>4.</w:t>
          </w:r>
          <w:r>
            <w:rPr>
              <w:rFonts w:ascii="Times New Roman" w:hAnsi="Times New Roman" w:eastAsia="Times New Roman" w:cs="Times New Roman"/>
              <w:spacing w:val="-25"/>
              <w:sz w:val="24"/>
              <w:szCs w:val="24"/>
            </w:rPr>
            <w:t xml:space="preserve"> </w:t>
          </w:r>
          <w:r>
            <w:rPr>
              <w:rFonts w:ascii="仿宋" w:hAnsi="仿宋" w:eastAsia="仿宋" w:cs="仿宋"/>
              <w:spacing w:val="-5"/>
              <w:sz w:val="24"/>
              <w:szCs w:val="24"/>
            </w:rPr>
            <w:t>生态影响分析</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1"/>
              <w:sz w:val="24"/>
              <w:szCs w:val="24"/>
            </w:rPr>
            <w:t xml:space="preserve"> </w:t>
          </w:r>
          <w:r>
            <w:rPr>
              <w:rFonts w:ascii="Times New Roman" w:hAnsi="Times New Roman" w:eastAsia="Times New Roman" w:cs="Times New Roman"/>
              <w:spacing w:val="-6"/>
              <w:sz w:val="24"/>
              <w:szCs w:val="24"/>
            </w:rPr>
            <w:t>64</w:t>
          </w:r>
          <w:r>
            <w:rPr>
              <w:rFonts w:ascii="Times New Roman" w:hAnsi="Times New Roman" w:eastAsia="Times New Roman" w:cs="Times New Roman"/>
              <w:spacing w:val="-6"/>
              <w:sz w:val="24"/>
              <w:szCs w:val="24"/>
            </w:rPr>
            <w:fldChar w:fldCharType="end"/>
          </w:r>
        </w:p>
        <w:p w14:paraId="6BA1121E">
          <w:pPr>
            <w:tabs>
              <w:tab w:val="right" w:leader="dot" w:pos="8320"/>
            </w:tabs>
            <w:spacing w:before="221" w:line="189" w:lineRule="auto"/>
            <w:ind w:left="437"/>
            <w:rPr>
              <w:rFonts w:ascii="Times New Roman" w:hAnsi="Times New Roman" w:eastAsia="Times New Roman" w:cs="Times New Roman"/>
              <w:sz w:val="24"/>
              <w:szCs w:val="24"/>
            </w:rPr>
          </w:pPr>
          <w:r>
            <w:fldChar w:fldCharType="begin"/>
          </w:r>
          <w:r>
            <w:instrText xml:space="preserve"> HYPERLINK \l "bookmark82" </w:instrText>
          </w:r>
          <w:r>
            <w:fldChar w:fldCharType="separate"/>
          </w:r>
          <w:r>
            <w:rPr>
              <w:rFonts w:ascii="Times New Roman" w:hAnsi="Times New Roman" w:eastAsia="Times New Roman" w:cs="Times New Roman"/>
              <w:spacing w:val="-2"/>
              <w:sz w:val="24"/>
              <w:szCs w:val="24"/>
            </w:rPr>
            <w:t>4.1</w:t>
          </w:r>
          <w:r>
            <w:rPr>
              <w:rFonts w:ascii="Times New Roman" w:hAnsi="Times New Roman" w:eastAsia="Times New Roman" w:cs="Times New Roman"/>
              <w:spacing w:val="19"/>
              <w:sz w:val="24"/>
              <w:szCs w:val="24"/>
            </w:rPr>
            <w:t xml:space="preserve"> </w:t>
          </w:r>
          <w:r>
            <w:rPr>
              <w:rFonts w:ascii="仿宋" w:hAnsi="仿宋" w:eastAsia="仿宋" w:cs="仿宋"/>
              <w:spacing w:val="-2"/>
              <w:sz w:val="24"/>
              <w:szCs w:val="24"/>
            </w:rPr>
            <w:t>施工期生态影响分析</w:t>
          </w:r>
          <w:r>
            <w:rPr>
              <w:rFonts w:ascii="仿宋" w:hAnsi="仿宋" w:eastAsia="仿宋" w:cs="仿宋"/>
              <w:spacing w:val="-75"/>
              <w:sz w:val="24"/>
              <w:szCs w:val="24"/>
            </w:rPr>
            <w:t xml:space="preserve"> </w:t>
          </w:r>
          <w:r>
            <w:rPr>
              <w:rFonts w:ascii="仿宋" w:hAnsi="仿宋" w:eastAsia="仿宋" w:cs="仿宋"/>
              <w:sz w:val="24"/>
              <w:szCs w:val="24"/>
            </w:rPr>
            <w:tab/>
          </w:r>
          <w:r>
            <w:rPr>
              <w:rFonts w:ascii="仿宋" w:hAnsi="仿宋" w:eastAsia="仿宋" w:cs="仿宋"/>
              <w:spacing w:val="-51"/>
              <w:sz w:val="24"/>
              <w:szCs w:val="24"/>
            </w:rPr>
            <w:t xml:space="preserve"> </w:t>
          </w:r>
          <w:r>
            <w:rPr>
              <w:rFonts w:ascii="Times New Roman" w:hAnsi="Times New Roman" w:eastAsia="Times New Roman" w:cs="Times New Roman"/>
              <w:spacing w:val="-6"/>
              <w:sz w:val="24"/>
              <w:szCs w:val="24"/>
            </w:rPr>
            <w:t>65</w:t>
          </w:r>
          <w:r>
            <w:rPr>
              <w:rFonts w:ascii="Times New Roman" w:hAnsi="Times New Roman" w:eastAsia="Times New Roman" w:cs="Times New Roman"/>
              <w:spacing w:val="-6"/>
              <w:sz w:val="24"/>
              <w:szCs w:val="24"/>
            </w:rPr>
            <w:fldChar w:fldCharType="end"/>
          </w:r>
        </w:p>
        <w:p w14:paraId="590454A9">
          <w:pPr>
            <w:tabs>
              <w:tab w:val="right" w:leader="dot" w:pos="8320"/>
            </w:tabs>
            <w:spacing w:before="220" w:line="190" w:lineRule="auto"/>
            <w:ind w:left="437"/>
            <w:rPr>
              <w:rFonts w:ascii="Times New Roman" w:hAnsi="Times New Roman" w:eastAsia="Times New Roman" w:cs="Times New Roman"/>
              <w:sz w:val="24"/>
              <w:szCs w:val="24"/>
            </w:rPr>
          </w:pPr>
          <w:r>
            <w:fldChar w:fldCharType="begin"/>
          </w:r>
          <w:r>
            <w:instrText xml:space="preserve"> HYPERLINK \l "bookmark83" </w:instrText>
          </w:r>
          <w:r>
            <w:fldChar w:fldCharType="separate"/>
          </w:r>
          <w:r>
            <w:rPr>
              <w:rFonts w:ascii="Times New Roman" w:hAnsi="Times New Roman" w:eastAsia="Times New Roman" w:cs="Times New Roman"/>
              <w:spacing w:val="-2"/>
              <w:sz w:val="24"/>
              <w:szCs w:val="24"/>
            </w:rPr>
            <w:t>4.2</w:t>
          </w:r>
          <w:r>
            <w:rPr>
              <w:rFonts w:ascii="Times New Roman" w:hAnsi="Times New Roman" w:eastAsia="Times New Roman" w:cs="Times New Roman"/>
              <w:spacing w:val="19"/>
              <w:sz w:val="24"/>
              <w:szCs w:val="24"/>
            </w:rPr>
            <w:t xml:space="preserve"> </w:t>
          </w:r>
          <w:r>
            <w:rPr>
              <w:rFonts w:ascii="仿宋" w:hAnsi="仿宋" w:eastAsia="仿宋" w:cs="仿宋"/>
              <w:spacing w:val="-2"/>
              <w:sz w:val="24"/>
              <w:szCs w:val="24"/>
            </w:rPr>
            <w:t>运营期生态影响评价</w:t>
          </w:r>
          <w:r>
            <w:rPr>
              <w:rFonts w:ascii="仿宋" w:hAnsi="仿宋" w:eastAsia="仿宋" w:cs="仿宋"/>
              <w:spacing w:val="-75"/>
              <w:sz w:val="24"/>
              <w:szCs w:val="24"/>
            </w:rPr>
            <w:t xml:space="preserve"> </w:t>
          </w:r>
          <w:r>
            <w:rPr>
              <w:rFonts w:ascii="仿宋" w:hAnsi="仿宋" w:eastAsia="仿宋" w:cs="仿宋"/>
              <w:sz w:val="24"/>
              <w:szCs w:val="24"/>
            </w:rPr>
            <w:tab/>
          </w:r>
          <w:r>
            <w:rPr>
              <w:rFonts w:ascii="仿宋" w:hAnsi="仿宋" w:eastAsia="仿宋" w:cs="仿宋"/>
              <w:spacing w:val="-51"/>
              <w:sz w:val="24"/>
              <w:szCs w:val="24"/>
            </w:rPr>
            <w:t xml:space="preserve"> </w:t>
          </w:r>
          <w:r>
            <w:rPr>
              <w:rFonts w:ascii="Times New Roman" w:hAnsi="Times New Roman" w:eastAsia="Times New Roman" w:cs="Times New Roman"/>
              <w:spacing w:val="-6"/>
              <w:sz w:val="24"/>
              <w:szCs w:val="24"/>
            </w:rPr>
            <w:t>68</w:t>
          </w:r>
          <w:r>
            <w:rPr>
              <w:rFonts w:ascii="Times New Roman" w:hAnsi="Times New Roman" w:eastAsia="Times New Roman" w:cs="Times New Roman"/>
              <w:spacing w:val="-6"/>
              <w:sz w:val="24"/>
              <w:szCs w:val="24"/>
            </w:rPr>
            <w:fldChar w:fldCharType="end"/>
          </w:r>
        </w:p>
        <w:p w14:paraId="6652EC7B">
          <w:pPr>
            <w:tabs>
              <w:tab w:val="right" w:leader="dot" w:pos="8320"/>
            </w:tabs>
            <w:spacing w:before="218" w:line="190" w:lineRule="auto"/>
            <w:ind w:left="25"/>
            <w:rPr>
              <w:rFonts w:ascii="Times New Roman" w:hAnsi="Times New Roman" w:eastAsia="Times New Roman" w:cs="Times New Roman"/>
              <w:sz w:val="24"/>
              <w:szCs w:val="24"/>
            </w:rPr>
          </w:pPr>
          <w:r>
            <w:fldChar w:fldCharType="begin"/>
          </w:r>
          <w:r>
            <w:instrText xml:space="preserve"> HYPERLINK \l "bookmark84" </w:instrText>
          </w:r>
          <w:r>
            <w:fldChar w:fldCharType="separate"/>
          </w:r>
          <w:r>
            <w:rPr>
              <w:rFonts w:ascii="Times New Roman" w:hAnsi="Times New Roman" w:eastAsia="Times New Roman" w:cs="Times New Roman"/>
              <w:spacing w:val="-3"/>
              <w:sz w:val="24"/>
              <w:szCs w:val="24"/>
            </w:rPr>
            <w:t>5.</w:t>
          </w:r>
          <w:r>
            <w:rPr>
              <w:rFonts w:ascii="Times New Roman" w:hAnsi="Times New Roman" w:eastAsia="Times New Roman" w:cs="Times New Roman"/>
              <w:spacing w:val="-28"/>
              <w:sz w:val="24"/>
              <w:szCs w:val="24"/>
            </w:rPr>
            <w:t xml:space="preserve"> </w:t>
          </w:r>
          <w:r>
            <w:rPr>
              <w:rFonts w:ascii="仿宋" w:hAnsi="仿宋" w:eastAsia="仿宋" w:cs="仿宋"/>
              <w:spacing w:val="-3"/>
              <w:sz w:val="24"/>
              <w:szCs w:val="24"/>
            </w:rPr>
            <w:t>生态保护措施及其可行性论证</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3"/>
              <w:sz w:val="24"/>
              <w:szCs w:val="24"/>
            </w:rPr>
            <w:t xml:space="preserve"> </w:t>
          </w:r>
          <w:r>
            <w:rPr>
              <w:rFonts w:ascii="Times New Roman" w:hAnsi="Times New Roman" w:eastAsia="Times New Roman" w:cs="Times New Roman"/>
              <w:spacing w:val="-5"/>
              <w:sz w:val="24"/>
              <w:szCs w:val="24"/>
            </w:rPr>
            <w:t>71</w:t>
          </w:r>
          <w:r>
            <w:rPr>
              <w:rFonts w:ascii="Times New Roman" w:hAnsi="Times New Roman" w:eastAsia="Times New Roman" w:cs="Times New Roman"/>
              <w:spacing w:val="-5"/>
              <w:sz w:val="24"/>
              <w:szCs w:val="24"/>
            </w:rPr>
            <w:fldChar w:fldCharType="end"/>
          </w:r>
        </w:p>
        <w:p w14:paraId="12A16AE1">
          <w:pPr>
            <w:tabs>
              <w:tab w:val="right" w:leader="dot" w:pos="8320"/>
            </w:tabs>
            <w:spacing w:before="221" w:line="190" w:lineRule="auto"/>
            <w:ind w:left="445"/>
            <w:rPr>
              <w:rFonts w:ascii="Times New Roman" w:hAnsi="Times New Roman" w:eastAsia="Times New Roman" w:cs="Times New Roman"/>
              <w:sz w:val="24"/>
              <w:szCs w:val="24"/>
            </w:rPr>
          </w:pPr>
          <w:r>
            <w:fldChar w:fldCharType="begin"/>
          </w:r>
          <w:r>
            <w:instrText xml:space="preserve"> HYPERLINK \l "bookmark85" </w:instrText>
          </w:r>
          <w:r>
            <w:fldChar w:fldCharType="separate"/>
          </w:r>
          <w:r>
            <w:rPr>
              <w:rFonts w:ascii="Times New Roman" w:hAnsi="Times New Roman" w:eastAsia="Times New Roman" w:cs="Times New Roman"/>
              <w:spacing w:val="-2"/>
              <w:sz w:val="24"/>
              <w:szCs w:val="24"/>
            </w:rPr>
            <w:t>5.1</w:t>
          </w:r>
          <w:r>
            <w:rPr>
              <w:rFonts w:ascii="Times New Roman" w:hAnsi="Times New Roman" w:eastAsia="Times New Roman" w:cs="Times New Roman"/>
              <w:spacing w:val="21"/>
              <w:sz w:val="24"/>
              <w:szCs w:val="24"/>
            </w:rPr>
            <w:t xml:space="preserve"> </w:t>
          </w:r>
          <w:r>
            <w:rPr>
              <w:rFonts w:ascii="仿宋" w:hAnsi="仿宋" w:eastAsia="仿宋" w:cs="仿宋"/>
              <w:spacing w:val="-2"/>
              <w:sz w:val="24"/>
              <w:szCs w:val="24"/>
            </w:rPr>
            <w:t>施工期生态环境保护与恢复措施</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3"/>
              <w:sz w:val="24"/>
              <w:szCs w:val="24"/>
            </w:rPr>
            <w:t xml:space="preserve"> </w:t>
          </w:r>
          <w:r>
            <w:rPr>
              <w:rFonts w:ascii="Times New Roman" w:hAnsi="Times New Roman" w:eastAsia="Times New Roman" w:cs="Times New Roman"/>
              <w:spacing w:val="-5"/>
              <w:sz w:val="24"/>
              <w:szCs w:val="24"/>
            </w:rPr>
            <w:t>71</w:t>
          </w:r>
          <w:r>
            <w:rPr>
              <w:rFonts w:ascii="Times New Roman" w:hAnsi="Times New Roman" w:eastAsia="Times New Roman" w:cs="Times New Roman"/>
              <w:spacing w:val="-5"/>
              <w:sz w:val="24"/>
              <w:szCs w:val="24"/>
            </w:rPr>
            <w:fldChar w:fldCharType="end"/>
          </w:r>
        </w:p>
        <w:p w14:paraId="499860FC">
          <w:pPr>
            <w:tabs>
              <w:tab w:val="right" w:leader="dot" w:pos="8320"/>
            </w:tabs>
            <w:spacing w:before="221" w:line="190" w:lineRule="auto"/>
            <w:ind w:left="445"/>
            <w:rPr>
              <w:rFonts w:ascii="Times New Roman" w:hAnsi="Times New Roman" w:eastAsia="Times New Roman" w:cs="Times New Roman"/>
              <w:sz w:val="24"/>
              <w:szCs w:val="24"/>
            </w:rPr>
          </w:pPr>
          <w:r>
            <w:fldChar w:fldCharType="begin"/>
          </w:r>
          <w:r>
            <w:instrText xml:space="preserve"> HYPERLINK \l "bookmark86" </w:instrText>
          </w:r>
          <w:r>
            <w:fldChar w:fldCharType="separate"/>
          </w:r>
          <w:r>
            <w:rPr>
              <w:rFonts w:ascii="Times New Roman" w:hAnsi="Times New Roman" w:eastAsia="Times New Roman" w:cs="Times New Roman"/>
              <w:spacing w:val="-2"/>
              <w:sz w:val="24"/>
              <w:szCs w:val="24"/>
            </w:rPr>
            <w:t>5.2</w:t>
          </w:r>
          <w:r>
            <w:rPr>
              <w:rFonts w:ascii="Times New Roman" w:hAnsi="Times New Roman" w:eastAsia="Times New Roman" w:cs="Times New Roman"/>
              <w:spacing w:val="21"/>
              <w:sz w:val="24"/>
              <w:szCs w:val="24"/>
            </w:rPr>
            <w:t xml:space="preserve"> </w:t>
          </w:r>
          <w:r>
            <w:rPr>
              <w:rFonts w:ascii="仿宋" w:hAnsi="仿宋" w:eastAsia="仿宋" w:cs="仿宋"/>
              <w:spacing w:val="-2"/>
              <w:sz w:val="24"/>
              <w:szCs w:val="24"/>
            </w:rPr>
            <w:t>运营期生态环境保护与恢复措施</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3"/>
              <w:sz w:val="24"/>
              <w:szCs w:val="24"/>
            </w:rPr>
            <w:t xml:space="preserve"> </w:t>
          </w:r>
          <w:r>
            <w:rPr>
              <w:rFonts w:ascii="Times New Roman" w:hAnsi="Times New Roman" w:eastAsia="Times New Roman" w:cs="Times New Roman"/>
              <w:spacing w:val="-5"/>
              <w:sz w:val="24"/>
              <w:szCs w:val="24"/>
            </w:rPr>
            <w:t>74</w:t>
          </w:r>
          <w:r>
            <w:rPr>
              <w:rFonts w:ascii="Times New Roman" w:hAnsi="Times New Roman" w:eastAsia="Times New Roman" w:cs="Times New Roman"/>
              <w:spacing w:val="-5"/>
              <w:sz w:val="24"/>
              <w:szCs w:val="24"/>
            </w:rPr>
            <w:fldChar w:fldCharType="end"/>
          </w:r>
        </w:p>
        <w:p w14:paraId="650C0734">
          <w:pPr>
            <w:tabs>
              <w:tab w:val="right" w:leader="dot" w:pos="8320"/>
            </w:tabs>
            <w:spacing w:before="219" w:line="190" w:lineRule="auto"/>
            <w:ind w:left="24"/>
            <w:rPr>
              <w:rFonts w:ascii="Times New Roman" w:hAnsi="Times New Roman" w:eastAsia="Times New Roman" w:cs="Times New Roman"/>
              <w:sz w:val="24"/>
              <w:szCs w:val="24"/>
            </w:rPr>
          </w:pPr>
          <w:r>
            <w:fldChar w:fldCharType="begin"/>
          </w:r>
          <w:r>
            <w:instrText xml:space="preserve"> HYPERLINK \l "bookmark87" </w:instrText>
          </w:r>
          <w:r>
            <w:fldChar w:fldCharType="separate"/>
          </w:r>
          <w:r>
            <w:rPr>
              <w:rFonts w:ascii="Times New Roman" w:hAnsi="Times New Roman" w:eastAsia="Times New Roman" w:cs="Times New Roman"/>
              <w:spacing w:val="-4"/>
              <w:sz w:val="24"/>
              <w:szCs w:val="24"/>
            </w:rPr>
            <w:t>6.</w:t>
          </w:r>
          <w:r>
            <w:rPr>
              <w:rFonts w:ascii="Times New Roman" w:hAnsi="Times New Roman" w:eastAsia="Times New Roman" w:cs="Times New Roman"/>
              <w:spacing w:val="-28"/>
              <w:sz w:val="24"/>
              <w:szCs w:val="24"/>
            </w:rPr>
            <w:t xml:space="preserve"> </w:t>
          </w:r>
          <w:r>
            <w:rPr>
              <w:rFonts w:ascii="仿宋" w:hAnsi="仿宋" w:eastAsia="仿宋" w:cs="仿宋"/>
              <w:spacing w:val="-4"/>
              <w:sz w:val="24"/>
              <w:szCs w:val="24"/>
            </w:rPr>
            <w:t>生态监测和环境管理</w:t>
          </w:r>
          <w:r>
            <w:rPr>
              <w:rFonts w:ascii="仿宋" w:hAnsi="仿宋" w:eastAsia="仿宋" w:cs="仿宋"/>
              <w:spacing w:val="-74"/>
              <w:sz w:val="24"/>
              <w:szCs w:val="24"/>
            </w:rPr>
            <w:t xml:space="preserve"> </w:t>
          </w:r>
          <w:r>
            <w:rPr>
              <w:rFonts w:ascii="仿宋" w:hAnsi="仿宋" w:eastAsia="仿宋" w:cs="仿宋"/>
              <w:sz w:val="24"/>
              <w:szCs w:val="24"/>
            </w:rPr>
            <w:tab/>
          </w:r>
          <w:r>
            <w:rPr>
              <w:rFonts w:ascii="仿宋" w:hAnsi="仿宋" w:eastAsia="仿宋" w:cs="仿宋"/>
              <w:spacing w:val="-53"/>
              <w:sz w:val="24"/>
              <w:szCs w:val="24"/>
            </w:rPr>
            <w:t xml:space="preserve"> </w:t>
          </w:r>
          <w:r>
            <w:rPr>
              <w:rFonts w:ascii="Times New Roman" w:hAnsi="Times New Roman" w:eastAsia="Times New Roman" w:cs="Times New Roman"/>
              <w:spacing w:val="-5"/>
              <w:sz w:val="24"/>
              <w:szCs w:val="24"/>
            </w:rPr>
            <w:t>76</w:t>
          </w:r>
          <w:r>
            <w:rPr>
              <w:rFonts w:ascii="Times New Roman" w:hAnsi="Times New Roman" w:eastAsia="Times New Roman" w:cs="Times New Roman"/>
              <w:spacing w:val="-5"/>
              <w:sz w:val="24"/>
              <w:szCs w:val="24"/>
            </w:rPr>
            <w:fldChar w:fldCharType="end"/>
          </w:r>
        </w:p>
        <w:p w14:paraId="5CC74D81">
          <w:pPr>
            <w:tabs>
              <w:tab w:val="right" w:leader="dot" w:pos="8320"/>
            </w:tabs>
            <w:spacing w:before="221" w:line="190" w:lineRule="auto"/>
            <w:ind w:left="444"/>
            <w:rPr>
              <w:rFonts w:ascii="Times New Roman" w:hAnsi="Times New Roman" w:eastAsia="Times New Roman" w:cs="Times New Roman"/>
              <w:sz w:val="24"/>
              <w:szCs w:val="24"/>
            </w:rPr>
          </w:pPr>
          <w:r>
            <w:fldChar w:fldCharType="begin"/>
          </w:r>
          <w:r>
            <w:instrText xml:space="preserve"> HYPERLINK \l "bookmark88" </w:instrText>
          </w:r>
          <w:r>
            <w:fldChar w:fldCharType="separate"/>
          </w:r>
          <w:r>
            <w:rPr>
              <w:rFonts w:ascii="Times New Roman" w:hAnsi="Times New Roman" w:eastAsia="Times New Roman" w:cs="Times New Roman"/>
              <w:spacing w:val="-4"/>
              <w:sz w:val="24"/>
              <w:szCs w:val="24"/>
            </w:rPr>
            <w:t>6.1</w:t>
          </w:r>
          <w:r>
            <w:rPr>
              <w:rFonts w:ascii="Times New Roman" w:hAnsi="Times New Roman" w:eastAsia="Times New Roman" w:cs="Times New Roman"/>
              <w:spacing w:val="16"/>
              <w:w w:val="101"/>
              <w:sz w:val="24"/>
              <w:szCs w:val="24"/>
            </w:rPr>
            <w:t xml:space="preserve"> </w:t>
          </w:r>
          <w:r>
            <w:rPr>
              <w:rFonts w:ascii="仿宋" w:hAnsi="仿宋" w:eastAsia="仿宋" w:cs="仿宋"/>
              <w:spacing w:val="-4"/>
              <w:sz w:val="24"/>
              <w:szCs w:val="24"/>
            </w:rPr>
            <w:t>环境监测</w:t>
          </w:r>
          <w:r>
            <w:rPr>
              <w:rFonts w:ascii="仿宋" w:hAnsi="仿宋" w:eastAsia="仿宋" w:cs="仿宋"/>
              <w:spacing w:val="-75"/>
              <w:sz w:val="24"/>
              <w:szCs w:val="24"/>
            </w:rPr>
            <w:t xml:space="preserve"> </w:t>
          </w:r>
          <w:r>
            <w:rPr>
              <w:rFonts w:ascii="仿宋" w:hAnsi="仿宋" w:eastAsia="仿宋" w:cs="仿宋"/>
              <w:sz w:val="24"/>
              <w:szCs w:val="24"/>
            </w:rPr>
            <w:tab/>
          </w:r>
          <w:r>
            <w:rPr>
              <w:rFonts w:ascii="仿宋" w:hAnsi="仿宋" w:eastAsia="仿宋" w:cs="仿宋"/>
              <w:spacing w:val="-53"/>
              <w:sz w:val="24"/>
              <w:szCs w:val="24"/>
            </w:rPr>
            <w:t xml:space="preserve"> </w:t>
          </w:r>
          <w:r>
            <w:rPr>
              <w:rFonts w:ascii="Times New Roman" w:hAnsi="Times New Roman" w:eastAsia="Times New Roman" w:cs="Times New Roman"/>
              <w:spacing w:val="-5"/>
              <w:sz w:val="24"/>
              <w:szCs w:val="24"/>
            </w:rPr>
            <w:t>76</w:t>
          </w:r>
          <w:r>
            <w:rPr>
              <w:rFonts w:ascii="Times New Roman" w:hAnsi="Times New Roman" w:eastAsia="Times New Roman" w:cs="Times New Roman"/>
              <w:spacing w:val="-5"/>
              <w:sz w:val="24"/>
              <w:szCs w:val="24"/>
            </w:rPr>
            <w:fldChar w:fldCharType="end"/>
          </w:r>
        </w:p>
        <w:p w14:paraId="1D22D23C">
          <w:pPr>
            <w:tabs>
              <w:tab w:val="right" w:leader="dot" w:pos="8320"/>
            </w:tabs>
            <w:spacing w:before="218" w:line="190" w:lineRule="auto"/>
            <w:ind w:left="444"/>
            <w:rPr>
              <w:rFonts w:ascii="Times New Roman" w:hAnsi="Times New Roman" w:eastAsia="Times New Roman" w:cs="Times New Roman"/>
              <w:sz w:val="24"/>
              <w:szCs w:val="24"/>
            </w:rPr>
          </w:pPr>
          <w:r>
            <w:fldChar w:fldCharType="begin"/>
          </w:r>
          <w:r>
            <w:instrText xml:space="preserve"> HYPERLINK \l "bookmark89" </w:instrText>
          </w:r>
          <w:r>
            <w:fldChar w:fldCharType="separate"/>
          </w:r>
          <w:r>
            <w:rPr>
              <w:rFonts w:ascii="Times New Roman" w:hAnsi="Times New Roman" w:eastAsia="Times New Roman" w:cs="Times New Roman"/>
              <w:spacing w:val="-2"/>
              <w:sz w:val="24"/>
              <w:szCs w:val="24"/>
            </w:rPr>
            <w:t>6.2.</w:t>
          </w:r>
          <w:r>
            <w:rPr>
              <w:rFonts w:ascii="仿宋" w:hAnsi="仿宋" w:eastAsia="仿宋" w:cs="仿宋"/>
              <w:spacing w:val="-2"/>
              <w:sz w:val="24"/>
              <w:szCs w:val="24"/>
            </w:rPr>
            <w:t>环境管理</w:t>
          </w:r>
          <w:r>
            <w:rPr>
              <w:rFonts w:ascii="仿宋" w:hAnsi="仿宋" w:eastAsia="仿宋" w:cs="仿宋"/>
              <w:spacing w:val="-70"/>
              <w:sz w:val="24"/>
              <w:szCs w:val="24"/>
            </w:rPr>
            <w:t xml:space="preserve"> </w:t>
          </w:r>
          <w:r>
            <w:rPr>
              <w:rFonts w:ascii="仿宋" w:hAnsi="仿宋" w:eastAsia="仿宋" w:cs="仿宋"/>
              <w:sz w:val="24"/>
              <w:szCs w:val="24"/>
            </w:rPr>
            <w:tab/>
          </w:r>
          <w:r>
            <w:rPr>
              <w:rFonts w:ascii="仿宋" w:hAnsi="仿宋" w:eastAsia="仿宋" w:cs="仿宋"/>
              <w:spacing w:val="-53"/>
              <w:sz w:val="24"/>
              <w:szCs w:val="24"/>
            </w:rPr>
            <w:t xml:space="preserve"> </w:t>
          </w:r>
          <w:r>
            <w:rPr>
              <w:rFonts w:ascii="Times New Roman" w:hAnsi="Times New Roman" w:eastAsia="Times New Roman" w:cs="Times New Roman"/>
              <w:spacing w:val="-5"/>
              <w:sz w:val="24"/>
              <w:szCs w:val="24"/>
            </w:rPr>
            <w:t>77</w:t>
          </w:r>
          <w:r>
            <w:rPr>
              <w:rFonts w:ascii="Times New Roman" w:hAnsi="Times New Roman" w:eastAsia="Times New Roman" w:cs="Times New Roman"/>
              <w:spacing w:val="-5"/>
              <w:sz w:val="24"/>
              <w:szCs w:val="24"/>
            </w:rPr>
            <w:fldChar w:fldCharType="end"/>
          </w:r>
        </w:p>
        <w:p w14:paraId="706CD6E7">
          <w:pPr>
            <w:tabs>
              <w:tab w:val="right" w:leader="dot" w:pos="8320"/>
            </w:tabs>
            <w:spacing w:before="222" w:line="189" w:lineRule="auto"/>
            <w:ind w:left="22"/>
            <w:rPr>
              <w:rFonts w:ascii="Times New Roman" w:hAnsi="Times New Roman" w:eastAsia="Times New Roman" w:cs="Times New Roman"/>
              <w:sz w:val="24"/>
              <w:szCs w:val="24"/>
            </w:rPr>
          </w:pPr>
          <w:r>
            <w:fldChar w:fldCharType="begin"/>
          </w:r>
          <w:r>
            <w:instrText xml:space="preserve"> HYPERLINK \l "bookmark90" </w:instrText>
          </w:r>
          <w:r>
            <w:fldChar w:fldCharType="separate"/>
          </w:r>
          <w:r>
            <w:rPr>
              <w:rFonts w:ascii="Times New Roman" w:hAnsi="Times New Roman" w:eastAsia="Times New Roman" w:cs="Times New Roman"/>
              <w:spacing w:val="-2"/>
              <w:sz w:val="24"/>
              <w:szCs w:val="24"/>
            </w:rPr>
            <w:t>7.</w:t>
          </w:r>
          <w:r>
            <w:rPr>
              <w:rFonts w:ascii="仿宋" w:hAnsi="仿宋" w:eastAsia="仿宋" w:cs="仿宋"/>
              <w:spacing w:val="-2"/>
              <w:sz w:val="24"/>
              <w:szCs w:val="24"/>
            </w:rPr>
            <w:t>结论与建议</w:t>
          </w:r>
          <w:r>
            <w:rPr>
              <w:rFonts w:ascii="仿宋" w:hAnsi="仿宋" w:eastAsia="仿宋" w:cs="仿宋"/>
              <w:spacing w:val="-71"/>
              <w:sz w:val="24"/>
              <w:szCs w:val="24"/>
            </w:rPr>
            <w:t xml:space="preserve"> </w:t>
          </w:r>
          <w:r>
            <w:rPr>
              <w:rFonts w:ascii="仿宋" w:hAnsi="仿宋" w:eastAsia="仿宋" w:cs="仿宋"/>
              <w:sz w:val="24"/>
              <w:szCs w:val="24"/>
            </w:rPr>
            <w:tab/>
          </w:r>
          <w:r>
            <w:rPr>
              <w:rFonts w:ascii="仿宋" w:hAnsi="仿宋" w:eastAsia="仿宋" w:cs="仿宋"/>
              <w:spacing w:val="-53"/>
              <w:sz w:val="24"/>
              <w:szCs w:val="24"/>
            </w:rPr>
            <w:t xml:space="preserve"> </w:t>
          </w:r>
          <w:r>
            <w:rPr>
              <w:rFonts w:ascii="Times New Roman" w:hAnsi="Times New Roman" w:eastAsia="Times New Roman" w:cs="Times New Roman"/>
              <w:spacing w:val="-5"/>
              <w:sz w:val="24"/>
              <w:szCs w:val="24"/>
            </w:rPr>
            <w:t>77</w:t>
          </w:r>
          <w:r>
            <w:rPr>
              <w:rFonts w:ascii="Times New Roman" w:hAnsi="Times New Roman" w:eastAsia="Times New Roman" w:cs="Times New Roman"/>
              <w:spacing w:val="-5"/>
              <w:sz w:val="24"/>
              <w:szCs w:val="24"/>
            </w:rPr>
            <w:fldChar w:fldCharType="end"/>
          </w:r>
        </w:p>
        <w:p w14:paraId="2D9D0C74">
          <w:pPr>
            <w:tabs>
              <w:tab w:val="right" w:leader="dot" w:pos="8320"/>
            </w:tabs>
            <w:spacing w:before="219" w:line="190" w:lineRule="auto"/>
            <w:ind w:left="442"/>
            <w:rPr>
              <w:rFonts w:ascii="Times New Roman" w:hAnsi="Times New Roman" w:eastAsia="Times New Roman" w:cs="Times New Roman"/>
              <w:sz w:val="24"/>
              <w:szCs w:val="24"/>
            </w:rPr>
          </w:pPr>
          <w:r>
            <w:fldChar w:fldCharType="begin"/>
          </w:r>
          <w:r>
            <w:instrText xml:space="preserve"> HYPERLINK \l "bookmark91" </w:instrText>
          </w:r>
          <w:r>
            <w:fldChar w:fldCharType="separate"/>
          </w:r>
          <w:r>
            <w:rPr>
              <w:rFonts w:ascii="Times New Roman" w:hAnsi="Times New Roman" w:eastAsia="Times New Roman" w:cs="Times New Roman"/>
              <w:spacing w:val="-6"/>
              <w:sz w:val="24"/>
              <w:szCs w:val="24"/>
            </w:rPr>
            <w:t>7.1</w:t>
          </w:r>
          <w:r>
            <w:rPr>
              <w:rFonts w:ascii="Times New Roman" w:hAnsi="Times New Roman" w:eastAsia="Times New Roman" w:cs="Times New Roman"/>
              <w:spacing w:val="20"/>
              <w:w w:val="101"/>
              <w:sz w:val="24"/>
              <w:szCs w:val="24"/>
            </w:rPr>
            <w:t xml:space="preserve"> </w:t>
          </w:r>
          <w:r>
            <w:rPr>
              <w:rFonts w:ascii="仿宋" w:hAnsi="仿宋" w:eastAsia="仿宋" w:cs="仿宋"/>
              <w:spacing w:val="-6"/>
              <w:sz w:val="24"/>
              <w:szCs w:val="24"/>
            </w:rPr>
            <w:t>结论</w:t>
          </w:r>
          <w:r>
            <w:rPr>
              <w:rFonts w:ascii="仿宋" w:hAnsi="仿宋" w:eastAsia="仿宋" w:cs="仿宋"/>
              <w:spacing w:val="-75"/>
              <w:sz w:val="24"/>
              <w:szCs w:val="24"/>
            </w:rPr>
            <w:t xml:space="preserve"> </w:t>
          </w:r>
          <w:r>
            <w:rPr>
              <w:rFonts w:ascii="仿宋" w:hAnsi="仿宋" w:eastAsia="仿宋" w:cs="仿宋"/>
              <w:sz w:val="24"/>
              <w:szCs w:val="24"/>
            </w:rPr>
            <w:tab/>
          </w:r>
          <w:r>
            <w:rPr>
              <w:rFonts w:ascii="仿宋" w:hAnsi="仿宋" w:eastAsia="仿宋" w:cs="仿宋"/>
              <w:spacing w:val="-53"/>
              <w:sz w:val="24"/>
              <w:szCs w:val="24"/>
            </w:rPr>
            <w:t xml:space="preserve"> </w:t>
          </w:r>
          <w:r>
            <w:rPr>
              <w:rFonts w:ascii="Times New Roman" w:hAnsi="Times New Roman" w:eastAsia="Times New Roman" w:cs="Times New Roman"/>
              <w:spacing w:val="-5"/>
              <w:sz w:val="24"/>
              <w:szCs w:val="24"/>
            </w:rPr>
            <w:t>77</w:t>
          </w:r>
          <w:r>
            <w:rPr>
              <w:rFonts w:ascii="Times New Roman" w:hAnsi="Times New Roman" w:eastAsia="Times New Roman" w:cs="Times New Roman"/>
              <w:spacing w:val="-5"/>
              <w:sz w:val="24"/>
              <w:szCs w:val="24"/>
            </w:rPr>
            <w:fldChar w:fldCharType="end"/>
          </w:r>
        </w:p>
        <w:p w14:paraId="0378AB6D">
          <w:pPr>
            <w:tabs>
              <w:tab w:val="right" w:leader="dot" w:pos="8320"/>
            </w:tabs>
            <w:spacing w:before="222" w:line="224" w:lineRule="auto"/>
            <w:ind w:left="442"/>
            <w:rPr>
              <w:rFonts w:ascii="Times New Roman" w:hAnsi="Times New Roman" w:eastAsia="Times New Roman" w:cs="Times New Roman"/>
              <w:sz w:val="24"/>
              <w:szCs w:val="24"/>
            </w:rPr>
          </w:pPr>
          <w:r>
            <w:fldChar w:fldCharType="begin"/>
          </w:r>
          <w:r>
            <w:instrText xml:space="preserve"> HYPERLINK \l "bookmark92" </w:instrText>
          </w:r>
          <w:r>
            <w:fldChar w:fldCharType="separate"/>
          </w:r>
          <w:r>
            <w:rPr>
              <w:rFonts w:ascii="Times New Roman" w:hAnsi="Times New Roman" w:eastAsia="Times New Roman" w:cs="Times New Roman"/>
              <w:spacing w:val="-5"/>
              <w:sz w:val="24"/>
              <w:szCs w:val="24"/>
            </w:rPr>
            <w:t>7.2</w:t>
          </w:r>
          <w:r>
            <w:rPr>
              <w:rFonts w:ascii="Times New Roman" w:hAnsi="Times New Roman" w:eastAsia="Times New Roman" w:cs="Times New Roman"/>
              <w:spacing w:val="15"/>
              <w:w w:val="101"/>
              <w:sz w:val="24"/>
              <w:szCs w:val="24"/>
            </w:rPr>
            <w:t xml:space="preserve"> </w:t>
          </w:r>
          <w:r>
            <w:rPr>
              <w:rFonts w:ascii="仿宋" w:hAnsi="仿宋" w:eastAsia="仿宋" w:cs="仿宋"/>
              <w:spacing w:val="-5"/>
              <w:sz w:val="24"/>
              <w:szCs w:val="24"/>
            </w:rPr>
            <w:t>建议</w:t>
          </w:r>
          <w:r>
            <w:rPr>
              <w:rFonts w:ascii="仿宋" w:hAnsi="仿宋" w:eastAsia="仿宋" w:cs="仿宋"/>
              <w:spacing w:val="-75"/>
              <w:sz w:val="24"/>
              <w:szCs w:val="24"/>
            </w:rPr>
            <w:t xml:space="preserve"> </w:t>
          </w:r>
          <w:r>
            <w:rPr>
              <w:rFonts w:ascii="仿宋" w:hAnsi="仿宋" w:eastAsia="仿宋" w:cs="仿宋"/>
              <w:sz w:val="24"/>
              <w:szCs w:val="24"/>
            </w:rPr>
            <w:tab/>
          </w:r>
          <w:r>
            <w:rPr>
              <w:rFonts w:ascii="仿宋" w:hAnsi="仿宋" w:eastAsia="仿宋" w:cs="仿宋"/>
              <w:spacing w:val="-53"/>
              <w:sz w:val="24"/>
              <w:szCs w:val="24"/>
            </w:rPr>
            <w:t xml:space="preserve"> </w:t>
          </w:r>
          <w:r>
            <w:rPr>
              <w:rFonts w:ascii="Times New Roman" w:hAnsi="Times New Roman" w:eastAsia="Times New Roman" w:cs="Times New Roman"/>
              <w:spacing w:val="-5"/>
              <w:sz w:val="24"/>
              <w:szCs w:val="24"/>
            </w:rPr>
            <w:t>78</w:t>
          </w:r>
          <w:r>
            <w:rPr>
              <w:rFonts w:ascii="Times New Roman" w:hAnsi="Times New Roman" w:eastAsia="Times New Roman" w:cs="Times New Roman"/>
              <w:spacing w:val="-5"/>
              <w:sz w:val="24"/>
              <w:szCs w:val="24"/>
            </w:rPr>
            <w:fldChar w:fldCharType="end"/>
          </w:r>
        </w:p>
      </w:sdtContent>
    </w:sdt>
    <w:p w14:paraId="36A02F37">
      <w:pPr>
        <w:spacing w:line="224" w:lineRule="auto"/>
        <w:rPr>
          <w:rFonts w:ascii="Times New Roman" w:hAnsi="Times New Roman" w:eastAsia="Times New Roman" w:cs="Times New Roman"/>
          <w:sz w:val="24"/>
          <w:szCs w:val="24"/>
        </w:rPr>
        <w:sectPr>
          <w:pgSz w:w="11906" w:h="16839"/>
          <w:pgMar w:top="400" w:right="1785" w:bottom="400" w:left="1785" w:header="0" w:footer="0" w:gutter="0"/>
          <w:cols w:space="720" w:num="1"/>
        </w:sectPr>
      </w:pPr>
    </w:p>
    <w:p w14:paraId="061C93A7">
      <w:pPr>
        <w:pStyle w:val="2"/>
        <w:spacing w:line="242" w:lineRule="auto"/>
        <w:rPr>
          <w:sz w:val="21"/>
        </w:rPr>
      </w:pPr>
    </w:p>
    <w:p w14:paraId="275C914D">
      <w:pPr>
        <w:pStyle w:val="2"/>
        <w:spacing w:line="242" w:lineRule="auto"/>
        <w:rPr>
          <w:sz w:val="21"/>
        </w:rPr>
      </w:pPr>
    </w:p>
    <w:p w14:paraId="67831BAB">
      <w:pPr>
        <w:pStyle w:val="2"/>
        <w:spacing w:line="242" w:lineRule="auto"/>
        <w:rPr>
          <w:sz w:val="21"/>
        </w:rPr>
      </w:pPr>
    </w:p>
    <w:p w14:paraId="6839D44D">
      <w:pPr>
        <w:pStyle w:val="2"/>
        <w:spacing w:line="242" w:lineRule="auto"/>
        <w:rPr>
          <w:sz w:val="21"/>
        </w:rPr>
      </w:pPr>
    </w:p>
    <w:p w14:paraId="2DF3DB88">
      <w:pPr>
        <w:pStyle w:val="2"/>
        <w:spacing w:line="242" w:lineRule="auto"/>
        <w:rPr>
          <w:sz w:val="21"/>
        </w:rPr>
      </w:pPr>
    </w:p>
    <w:p w14:paraId="7EE2CB8F">
      <w:pPr>
        <w:spacing w:before="113" w:line="228" w:lineRule="auto"/>
        <w:ind w:left="36"/>
        <w:outlineLvl w:val="0"/>
        <w:rPr>
          <w:rFonts w:ascii="仿宋" w:hAnsi="仿宋" w:eastAsia="仿宋" w:cs="仿宋"/>
          <w:sz w:val="35"/>
          <w:szCs w:val="35"/>
        </w:rPr>
      </w:pPr>
      <w:bookmarkStart w:id="57" w:name="bookmark66"/>
      <w:bookmarkEnd w:id="57"/>
      <w:r>
        <w:rPr>
          <w:rFonts w:ascii="仿宋" w:hAnsi="仿宋" w:eastAsia="仿宋" w:cs="仿宋"/>
          <w:b/>
          <w:bCs/>
          <w:spacing w:val="-4"/>
          <w:sz w:val="35"/>
          <w:szCs w:val="35"/>
        </w:rPr>
        <w:t>概述</w:t>
      </w:r>
    </w:p>
    <w:p w14:paraId="24362A2C">
      <w:pPr>
        <w:spacing w:before="273" w:line="359" w:lineRule="auto"/>
        <w:ind w:left="28" w:right="132" w:firstLine="482"/>
        <w:jc w:val="both"/>
        <w:rPr>
          <w:rFonts w:ascii="仿宋" w:hAnsi="仿宋" w:eastAsia="仿宋" w:cs="仿宋"/>
          <w:sz w:val="24"/>
          <w:szCs w:val="24"/>
        </w:rPr>
      </w:pPr>
      <w:r>
        <w:rPr>
          <w:rFonts w:ascii="仿宋" w:hAnsi="仿宋" w:eastAsia="仿宋" w:cs="仿宋"/>
          <w:spacing w:val="-3"/>
          <w:sz w:val="24"/>
          <w:szCs w:val="24"/>
        </w:rPr>
        <w:t>本项目为准格尔旗农村四级公路硬化建设工程</w:t>
      </w:r>
      <w:r>
        <w:rPr>
          <w:rFonts w:ascii="仿宋" w:hAnsi="仿宋" w:eastAsia="仿宋" w:cs="仿宋"/>
          <w:spacing w:val="-4"/>
          <w:sz w:val="24"/>
          <w:szCs w:val="24"/>
        </w:rPr>
        <w:t>，线路贯穿沙圪堵镇与十二连</w:t>
      </w:r>
      <w:r>
        <w:rPr>
          <w:rFonts w:ascii="仿宋" w:hAnsi="仿宋" w:eastAsia="仿宋" w:cs="仿宋"/>
          <w:spacing w:val="-3"/>
          <w:sz w:val="24"/>
          <w:szCs w:val="24"/>
        </w:rPr>
        <w:t>城乡两大乡镇，辐射沙圪堵镇双山梁村、四道包村、乌拉素村及十二连</w:t>
      </w:r>
      <w:r>
        <w:rPr>
          <w:rFonts w:ascii="仿宋" w:hAnsi="仿宋" w:eastAsia="仿宋" w:cs="仿宋"/>
          <w:spacing w:val="-4"/>
          <w:sz w:val="24"/>
          <w:szCs w:val="24"/>
        </w:rPr>
        <w:t>城乡柴登</w:t>
      </w:r>
      <w:r>
        <w:rPr>
          <w:rFonts w:ascii="仿宋" w:hAnsi="仿宋" w:eastAsia="仿宋" w:cs="仿宋"/>
          <w:spacing w:val="-1"/>
          <w:sz w:val="24"/>
          <w:szCs w:val="24"/>
        </w:rPr>
        <w:t>村、二道拐村、脑包湾村、杨子华村共计两镇七村，是完善区域乡村交通路网、</w:t>
      </w:r>
      <w:r>
        <w:rPr>
          <w:rFonts w:ascii="仿宋" w:hAnsi="仿宋" w:eastAsia="仿宋" w:cs="仿宋"/>
          <w:spacing w:val="-3"/>
          <w:sz w:val="24"/>
          <w:szCs w:val="24"/>
        </w:rPr>
        <w:t>保障沿线村民生产生活通行的基础性民生工程。项目全线为新建农村通</w:t>
      </w:r>
      <w:r>
        <w:rPr>
          <w:rFonts w:ascii="仿宋" w:hAnsi="仿宋" w:eastAsia="仿宋" w:cs="仿宋"/>
          <w:spacing w:val="-4"/>
          <w:sz w:val="24"/>
          <w:szCs w:val="24"/>
        </w:rPr>
        <w:t>村硬化公</w:t>
      </w:r>
      <w:r>
        <w:rPr>
          <w:rFonts w:ascii="仿宋" w:hAnsi="仿宋" w:eastAsia="仿宋" w:cs="仿宋"/>
          <w:spacing w:val="-1"/>
          <w:sz w:val="24"/>
          <w:szCs w:val="24"/>
        </w:rPr>
        <w:t>路，路线总里程</w:t>
      </w:r>
      <w:r>
        <w:rPr>
          <w:rFonts w:ascii="仿宋" w:hAnsi="仿宋" w:eastAsia="仿宋" w:cs="仿宋"/>
          <w:spacing w:val="-49"/>
          <w:sz w:val="24"/>
          <w:szCs w:val="24"/>
        </w:rPr>
        <w:t xml:space="preserve"> </w:t>
      </w:r>
      <w:r>
        <w:rPr>
          <w:rFonts w:ascii="仿宋" w:hAnsi="仿宋" w:eastAsia="仿宋" w:cs="仿宋"/>
          <w:spacing w:val="-1"/>
          <w:sz w:val="24"/>
          <w:szCs w:val="24"/>
        </w:rPr>
        <w:t>26.508km，其中沙圪堵镇段总长</w:t>
      </w:r>
      <w:r>
        <w:rPr>
          <w:rFonts w:ascii="仿宋" w:hAnsi="仿宋" w:eastAsia="仿宋" w:cs="仿宋"/>
          <w:spacing w:val="-34"/>
          <w:sz w:val="24"/>
          <w:szCs w:val="24"/>
        </w:rPr>
        <w:t xml:space="preserve"> </w:t>
      </w:r>
      <w:r>
        <w:rPr>
          <w:rFonts w:ascii="仿宋" w:hAnsi="仿宋" w:eastAsia="仿宋" w:cs="仿宋"/>
          <w:spacing w:val="-1"/>
          <w:sz w:val="24"/>
          <w:szCs w:val="24"/>
        </w:rPr>
        <w:t>11.3</w:t>
      </w:r>
      <w:r>
        <w:rPr>
          <w:rFonts w:ascii="仿宋" w:hAnsi="仿宋" w:eastAsia="仿宋" w:cs="仿宋"/>
          <w:spacing w:val="-2"/>
          <w:sz w:val="24"/>
          <w:szCs w:val="24"/>
        </w:rPr>
        <w:t>66km，包含</w:t>
      </w:r>
      <w:r>
        <w:rPr>
          <w:rFonts w:ascii="仿宋" w:hAnsi="仿宋" w:eastAsia="仿宋" w:cs="仿宋"/>
          <w:spacing w:val="-50"/>
          <w:sz w:val="24"/>
          <w:szCs w:val="24"/>
        </w:rPr>
        <w:t xml:space="preserve"> </w:t>
      </w:r>
      <w:r>
        <w:rPr>
          <w:rFonts w:ascii="仿宋" w:hAnsi="仿宋" w:eastAsia="仿宋" w:cs="仿宋"/>
          <w:spacing w:val="-2"/>
          <w:sz w:val="24"/>
          <w:szCs w:val="24"/>
        </w:rPr>
        <w:t>4</w:t>
      </w:r>
      <w:r>
        <w:rPr>
          <w:rFonts w:ascii="仿宋" w:hAnsi="仿宋" w:eastAsia="仿宋" w:cs="仿宋"/>
          <w:spacing w:val="-41"/>
          <w:sz w:val="24"/>
          <w:szCs w:val="24"/>
        </w:rPr>
        <w:t xml:space="preserve"> </w:t>
      </w:r>
      <w:r>
        <w:rPr>
          <w:rFonts w:ascii="仿宋" w:hAnsi="仿宋" w:eastAsia="仿宋" w:cs="仿宋"/>
          <w:spacing w:val="-2"/>
          <w:sz w:val="24"/>
          <w:szCs w:val="24"/>
        </w:rPr>
        <w:t>条支线；十</w:t>
      </w:r>
      <w:r>
        <w:rPr>
          <w:rFonts w:ascii="仿宋" w:hAnsi="仿宋" w:eastAsia="仿宋" w:cs="仿宋"/>
          <w:sz w:val="24"/>
          <w:szCs w:val="24"/>
        </w:rPr>
        <w:t>二连城乡段总长</w:t>
      </w:r>
      <w:r>
        <w:rPr>
          <w:rFonts w:ascii="仿宋" w:hAnsi="仿宋" w:eastAsia="仿宋" w:cs="仿宋"/>
          <w:spacing w:val="-28"/>
          <w:sz w:val="24"/>
          <w:szCs w:val="24"/>
        </w:rPr>
        <w:t xml:space="preserve"> </w:t>
      </w:r>
      <w:r>
        <w:rPr>
          <w:rFonts w:ascii="仿宋" w:hAnsi="仿宋" w:eastAsia="仿宋" w:cs="仿宋"/>
          <w:sz w:val="24"/>
          <w:szCs w:val="24"/>
        </w:rPr>
        <w:t>15.142km，包含</w:t>
      </w:r>
      <w:r>
        <w:rPr>
          <w:rFonts w:ascii="仿宋" w:hAnsi="仿宋" w:eastAsia="仿宋" w:cs="仿宋"/>
          <w:spacing w:val="-45"/>
          <w:sz w:val="24"/>
          <w:szCs w:val="24"/>
        </w:rPr>
        <w:t xml:space="preserve"> </w:t>
      </w:r>
      <w:r>
        <w:rPr>
          <w:rFonts w:ascii="仿宋" w:hAnsi="仿宋" w:eastAsia="仿宋" w:cs="仿宋"/>
          <w:sz w:val="24"/>
          <w:szCs w:val="24"/>
        </w:rPr>
        <w:t>6</w:t>
      </w:r>
      <w:r>
        <w:rPr>
          <w:rFonts w:ascii="仿宋" w:hAnsi="仿宋" w:eastAsia="仿宋" w:cs="仿宋"/>
          <w:spacing w:val="-39"/>
          <w:sz w:val="24"/>
          <w:szCs w:val="24"/>
        </w:rPr>
        <w:t xml:space="preserve"> </w:t>
      </w:r>
      <w:r>
        <w:rPr>
          <w:rFonts w:ascii="仿宋" w:hAnsi="仿宋" w:eastAsia="仿宋" w:cs="仿宋"/>
          <w:sz w:val="24"/>
          <w:szCs w:val="24"/>
        </w:rPr>
        <w:t>条支线。公路全线按四级公路标准设计，设</w:t>
      </w:r>
      <w:r>
        <w:rPr>
          <w:rFonts w:ascii="仿宋" w:hAnsi="仿宋" w:eastAsia="仿宋" w:cs="仿宋"/>
          <w:spacing w:val="-4"/>
          <w:sz w:val="24"/>
          <w:szCs w:val="24"/>
        </w:rPr>
        <w:t>计车速</w:t>
      </w:r>
      <w:r>
        <w:rPr>
          <w:rFonts w:ascii="仿宋" w:hAnsi="仿宋" w:eastAsia="仿宋" w:cs="仿宋"/>
          <w:spacing w:val="-32"/>
          <w:sz w:val="24"/>
          <w:szCs w:val="24"/>
        </w:rPr>
        <w:t xml:space="preserve"> </w:t>
      </w:r>
      <w:r>
        <w:rPr>
          <w:rFonts w:ascii="仿宋" w:hAnsi="仿宋" w:eastAsia="仿宋" w:cs="仿宋"/>
          <w:spacing w:val="-4"/>
          <w:sz w:val="24"/>
          <w:szCs w:val="24"/>
        </w:rPr>
        <w:t>15km/h，设计荷载等级为公路-II</w:t>
      </w:r>
      <w:r>
        <w:rPr>
          <w:rFonts w:ascii="仿宋" w:hAnsi="仿宋" w:eastAsia="仿宋" w:cs="仿宋"/>
          <w:spacing w:val="-41"/>
          <w:sz w:val="24"/>
          <w:szCs w:val="24"/>
        </w:rPr>
        <w:t xml:space="preserve"> </w:t>
      </w:r>
      <w:r>
        <w:rPr>
          <w:rFonts w:ascii="仿宋" w:hAnsi="仿宋" w:eastAsia="仿宋" w:cs="仿宋"/>
          <w:spacing w:val="-4"/>
          <w:sz w:val="24"/>
          <w:szCs w:val="24"/>
        </w:rPr>
        <w:t>级，适配乡村小交通量通行需求。路面</w:t>
      </w:r>
      <w:r>
        <w:rPr>
          <w:rFonts w:ascii="仿宋" w:hAnsi="仿宋" w:eastAsia="仿宋" w:cs="仿宋"/>
          <w:spacing w:val="11"/>
          <w:sz w:val="24"/>
          <w:szCs w:val="24"/>
        </w:rPr>
        <w:t>结构采用分段设计模式，仅十二连城乡脑包湾村自然村通硬化路路段三采用</w:t>
      </w:r>
      <w:r>
        <w:rPr>
          <w:rFonts w:ascii="仿宋" w:hAnsi="仿宋" w:eastAsia="仿宋" w:cs="仿宋"/>
          <w:spacing w:val="1"/>
          <w:sz w:val="24"/>
          <w:szCs w:val="24"/>
        </w:rPr>
        <w:t>15</w:t>
      </w:r>
      <w:r>
        <w:rPr>
          <w:rFonts w:ascii="仿宋" w:hAnsi="仿宋" w:eastAsia="仿宋" w:cs="仿宋"/>
          <w:sz w:val="24"/>
          <w:szCs w:val="24"/>
        </w:rPr>
        <w:t>cm</w:t>
      </w:r>
      <w:r>
        <w:rPr>
          <w:rFonts w:ascii="仿宋" w:hAnsi="仿宋" w:eastAsia="仿宋" w:cs="仿宋"/>
          <w:spacing w:val="-24"/>
          <w:sz w:val="24"/>
          <w:szCs w:val="24"/>
        </w:rPr>
        <w:t xml:space="preserve"> </w:t>
      </w:r>
      <w:r>
        <w:rPr>
          <w:rFonts w:ascii="仿宋" w:hAnsi="仿宋" w:eastAsia="仿宋" w:cs="仿宋"/>
          <w:spacing w:val="1"/>
          <w:sz w:val="24"/>
          <w:szCs w:val="24"/>
        </w:rPr>
        <w:t>厚未筛分碎石路面，其余全部路段均采用水泥混凝土路面，道路主要服务</w:t>
      </w:r>
      <w:r>
        <w:rPr>
          <w:rFonts w:ascii="仿宋" w:hAnsi="仿宋" w:eastAsia="仿宋" w:cs="仿宋"/>
          <w:spacing w:val="-8"/>
          <w:sz w:val="24"/>
          <w:szCs w:val="24"/>
        </w:rPr>
        <w:t>于沿线村民日常出行、农业物资运输、村内短途交通，对助力乡村基础设施升级、</w:t>
      </w:r>
      <w:r>
        <w:rPr>
          <w:rFonts w:ascii="仿宋" w:hAnsi="仿宋" w:eastAsia="仿宋" w:cs="仿宋"/>
          <w:spacing w:val="-2"/>
          <w:sz w:val="24"/>
          <w:szCs w:val="24"/>
        </w:rPr>
        <w:t>带动乡村发展具有重要意义。</w:t>
      </w:r>
    </w:p>
    <w:p w14:paraId="2245649C">
      <w:pPr>
        <w:spacing w:line="359" w:lineRule="auto"/>
        <w:ind w:left="29" w:right="143" w:firstLine="479"/>
        <w:rPr>
          <w:rFonts w:ascii="仿宋" w:hAnsi="仿宋" w:eastAsia="仿宋" w:cs="仿宋"/>
          <w:sz w:val="24"/>
          <w:szCs w:val="24"/>
        </w:rPr>
      </w:pPr>
      <w:r>
        <w:rPr>
          <w:rFonts w:ascii="仿宋" w:hAnsi="仿宋" w:eastAsia="仿宋" w:cs="仿宋"/>
          <w:spacing w:val="-8"/>
          <w:sz w:val="24"/>
          <w:szCs w:val="24"/>
        </w:rPr>
        <w:t>经现场全面踏勘、现状核查及资料调研，项目</w:t>
      </w:r>
      <w:r>
        <w:rPr>
          <w:rFonts w:ascii="仿宋" w:hAnsi="仿宋" w:eastAsia="仿宋" w:cs="仿宋"/>
          <w:spacing w:val="-9"/>
          <w:sz w:val="24"/>
          <w:szCs w:val="24"/>
        </w:rPr>
        <w:t>线路沿线以乡村居住功能为主，</w:t>
      </w:r>
      <w:r>
        <w:rPr>
          <w:rFonts w:ascii="仿宋" w:hAnsi="仿宋" w:eastAsia="仿宋" w:cs="仿宋"/>
          <w:spacing w:val="-1"/>
          <w:sz w:val="24"/>
          <w:szCs w:val="24"/>
        </w:rPr>
        <w:t>两侧分布集中村落与零散居民住户，无密集工业生产区</w:t>
      </w:r>
      <w:r>
        <w:rPr>
          <w:rFonts w:ascii="仿宋" w:hAnsi="仿宋" w:eastAsia="仿宋" w:cs="仿宋"/>
          <w:spacing w:val="-2"/>
          <w:sz w:val="24"/>
          <w:szCs w:val="24"/>
        </w:rPr>
        <w:t>域，整体人居环境简单。</w:t>
      </w:r>
      <w:r>
        <w:rPr>
          <w:rFonts w:ascii="仿宋" w:hAnsi="仿宋" w:eastAsia="仿宋" w:cs="仿宋"/>
          <w:spacing w:val="1"/>
          <w:sz w:val="24"/>
          <w:szCs w:val="24"/>
        </w:rPr>
        <w:t>对照《建设项目环境影响评价分类管理名录（2021</w:t>
      </w:r>
      <w:r>
        <w:rPr>
          <w:rFonts w:ascii="仿宋" w:hAnsi="仿宋" w:eastAsia="仿宋" w:cs="仿宋"/>
          <w:spacing w:val="-29"/>
          <w:sz w:val="24"/>
          <w:szCs w:val="24"/>
        </w:rPr>
        <w:t xml:space="preserve"> </w:t>
      </w:r>
      <w:r>
        <w:rPr>
          <w:rFonts w:ascii="仿宋" w:hAnsi="仿宋" w:eastAsia="仿宋" w:cs="仿宋"/>
          <w:spacing w:val="1"/>
          <w:sz w:val="24"/>
          <w:szCs w:val="24"/>
        </w:rPr>
        <w:t>年版）》相关条款，本项目</w:t>
      </w:r>
      <w:r>
        <w:rPr>
          <w:rFonts w:ascii="仿宋" w:hAnsi="仿宋" w:eastAsia="仿宋" w:cs="仿宋"/>
          <w:spacing w:val="-3"/>
          <w:sz w:val="24"/>
          <w:szCs w:val="24"/>
        </w:rPr>
        <w:t>属于“五十二、交通运输业、管道运输业</w:t>
      </w:r>
      <w:r>
        <w:rPr>
          <w:rFonts w:ascii="仿宋" w:hAnsi="仿宋" w:eastAsia="仿宋" w:cs="仿宋"/>
          <w:spacing w:val="-80"/>
          <w:sz w:val="24"/>
          <w:szCs w:val="24"/>
        </w:rPr>
        <w:t xml:space="preserve"> </w:t>
      </w:r>
      <w:r>
        <w:rPr>
          <w:rFonts w:ascii="仿宋" w:hAnsi="仿宋" w:eastAsia="仿宋" w:cs="仿宋"/>
          <w:spacing w:val="-3"/>
          <w:sz w:val="24"/>
          <w:szCs w:val="24"/>
        </w:rPr>
        <w:t>”类别中“</w:t>
      </w:r>
      <w:r>
        <w:rPr>
          <w:rFonts w:ascii="仿宋" w:hAnsi="仿宋" w:eastAsia="仿宋" w:cs="仿宋"/>
          <w:spacing w:val="-94"/>
          <w:sz w:val="24"/>
          <w:szCs w:val="24"/>
        </w:rPr>
        <w:t xml:space="preserve"> </w:t>
      </w:r>
      <w:r>
        <w:rPr>
          <w:rFonts w:ascii="仿宋" w:hAnsi="仿宋" w:eastAsia="仿宋" w:cs="仿宋"/>
          <w:spacing w:val="-3"/>
          <w:sz w:val="24"/>
          <w:szCs w:val="24"/>
        </w:rPr>
        <w:t>130</w:t>
      </w:r>
      <w:r>
        <w:rPr>
          <w:rFonts w:ascii="仿宋" w:hAnsi="仿宋" w:eastAsia="仿宋" w:cs="仿宋"/>
          <w:spacing w:val="-35"/>
          <w:sz w:val="24"/>
          <w:szCs w:val="24"/>
        </w:rPr>
        <w:t xml:space="preserve"> </w:t>
      </w:r>
      <w:r>
        <w:rPr>
          <w:rFonts w:ascii="仿宋" w:hAnsi="仿宋" w:eastAsia="仿宋" w:cs="仿宋"/>
          <w:spacing w:val="-3"/>
          <w:sz w:val="24"/>
          <w:szCs w:val="24"/>
        </w:rPr>
        <w:t>等级公路（不含维护；</w:t>
      </w:r>
    </w:p>
    <w:p w14:paraId="159D1F66">
      <w:pPr>
        <w:spacing w:line="359" w:lineRule="auto"/>
        <w:ind w:left="30" w:firstLine="4"/>
        <w:rPr>
          <w:rFonts w:ascii="仿宋" w:hAnsi="仿宋" w:eastAsia="仿宋" w:cs="仿宋"/>
          <w:sz w:val="24"/>
          <w:szCs w:val="24"/>
        </w:rPr>
      </w:pPr>
      <w:r>
        <w:rPr>
          <w:rFonts w:ascii="仿宋" w:hAnsi="仿宋" w:eastAsia="仿宋" w:cs="仿宋"/>
          <w:spacing w:val="2"/>
          <w:sz w:val="24"/>
          <w:szCs w:val="24"/>
        </w:rPr>
        <w:t>不含生命救援、应急保通工程以及国防交通保障项目；不</w:t>
      </w:r>
      <w:r>
        <w:rPr>
          <w:rFonts w:ascii="仿宋" w:hAnsi="仿宋" w:eastAsia="仿宋" w:cs="仿宋"/>
          <w:spacing w:val="1"/>
          <w:sz w:val="24"/>
          <w:szCs w:val="24"/>
        </w:rPr>
        <w:t>含改扩建四级公路）</w:t>
      </w:r>
      <w:r>
        <w:rPr>
          <w:rFonts w:ascii="仿宋" w:hAnsi="仿宋" w:eastAsia="仿宋" w:cs="仿宋"/>
          <w:spacing w:val="-88"/>
          <w:sz w:val="24"/>
          <w:szCs w:val="24"/>
        </w:rPr>
        <w:t xml:space="preserve"> </w:t>
      </w:r>
      <w:r>
        <w:rPr>
          <w:rFonts w:ascii="仿宋" w:hAnsi="仿宋" w:eastAsia="仿宋" w:cs="仿宋"/>
          <w:spacing w:val="1"/>
          <w:sz w:val="24"/>
          <w:szCs w:val="24"/>
        </w:rPr>
        <w:t>”</w:t>
      </w:r>
      <w:r>
        <w:rPr>
          <w:rFonts w:ascii="仿宋" w:hAnsi="仿宋" w:eastAsia="仿宋" w:cs="仿宋"/>
          <w:spacing w:val="-3"/>
          <w:sz w:val="24"/>
          <w:szCs w:val="24"/>
        </w:rPr>
        <w:t>范畴。本项目为新建四级公路工程，因项目建设区域涉及生态敏</w:t>
      </w:r>
      <w:r>
        <w:rPr>
          <w:rFonts w:ascii="仿宋" w:hAnsi="仿宋" w:eastAsia="仿宋" w:cs="仿宋"/>
          <w:spacing w:val="-4"/>
          <w:sz w:val="24"/>
          <w:szCs w:val="24"/>
        </w:rPr>
        <w:t>感区，不属于名录中可豁免评价的“不涉及环境敏感区的三级、四级公路</w:t>
      </w:r>
      <w:r>
        <w:rPr>
          <w:rFonts w:ascii="仿宋" w:hAnsi="仿宋" w:eastAsia="仿宋" w:cs="仿宋"/>
          <w:spacing w:val="-88"/>
          <w:sz w:val="24"/>
          <w:szCs w:val="24"/>
        </w:rPr>
        <w:t xml:space="preserve"> </w:t>
      </w:r>
      <w:r>
        <w:rPr>
          <w:rFonts w:ascii="仿宋" w:hAnsi="仿宋" w:eastAsia="仿宋" w:cs="仿宋"/>
          <w:spacing w:val="-4"/>
          <w:sz w:val="24"/>
          <w:szCs w:val="24"/>
        </w:rPr>
        <w:t>”情形，因此</w:t>
      </w:r>
      <w:r>
        <w:rPr>
          <w:rFonts w:ascii="仿宋" w:hAnsi="仿宋" w:eastAsia="仿宋" w:cs="仿宋"/>
          <w:spacing w:val="-5"/>
          <w:sz w:val="24"/>
          <w:szCs w:val="24"/>
        </w:rPr>
        <w:t>需依法编</w:t>
      </w:r>
      <w:r>
        <w:rPr>
          <w:rFonts w:ascii="仿宋" w:hAnsi="仿宋" w:eastAsia="仿宋" w:cs="仿宋"/>
          <w:spacing w:val="-2"/>
          <w:sz w:val="24"/>
          <w:szCs w:val="24"/>
        </w:rPr>
        <w:t>制建设项目环境影响报告表。</w:t>
      </w:r>
    </w:p>
    <w:p w14:paraId="1A430376">
      <w:pPr>
        <w:spacing w:before="1" w:line="359" w:lineRule="auto"/>
        <w:ind w:left="29" w:right="158" w:firstLine="481"/>
        <w:jc w:val="both"/>
        <w:rPr>
          <w:rFonts w:ascii="仿宋" w:hAnsi="仿宋" w:eastAsia="仿宋" w:cs="仿宋"/>
          <w:sz w:val="24"/>
          <w:szCs w:val="24"/>
        </w:rPr>
      </w:pPr>
      <w:r>
        <w:rPr>
          <w:rFonts w:ascii="仿宋" w:hAnsi="仿宋" w:eastAsia="仿宋" w:cs="仿宋"/>
          <w:spacing w:val="-2"/>
          <w:sz w:val="24"/>
          <w:szCs w:val="24"/>
        </w:rPr>
        <w:t>依据《建设项目环境影响报告表编制技术指南（生态影响类</w:t>
      </w:r>
      <w:r>
        <w:rPr>
          <w:rFonts w:ascii="仿宋" w:hAnsi="仿宋" w:eastAsia="仿宋" w:cs="仿宋"/>
          <w:spacing w:val="-26"/>
          <w:sz w:val="24"/>
          <w:szCs w:val="24"/>
        </w:rPr>
        <w:t>）（</w:t>
      </w:r>
      <w:r>
        <w:rPr>
          <w:rFonts w:ascii="仿宋" w:hAnsi="仿宋" w:eastAsia="仿宋" w:cs="仿宋"/>
          <w:spacing w:val="-2"/>
          <w:sz w:val="24"/>
          <w:szCs w:val="24"/>
        </w:rPr>
        <w:t>试行）》表1</w:t>
      </w:r>
      <w:r>
        <w:rPr>
          <w:rFonts w:ascii="仿宋" w:hAnsi="仿宋" w:eastAsia="仿宋" w:cs="仿宋"/>
          <w:spacing w:val="-40"/>
          <w:sz w:val="24"/>
          <w:szCs w:val="24"/>
        </w:rPr>
        <w:t xml:space="preserve"> </w:t>
      </w:r>
      <w:r>
        <w:rPr>
          <w:rFonts w:ascii="仿宋" w:hAnsi="仿宋" w:eastAsia="仿宋" w:cs="仿宋"/>
          <w:spacing w:val="-2"/>
          <w:sz w:val="24"/>
          <w:szCs w:val="24"/>
        </w:rPr>
        <w:t>专项评价设置原则明确要求，交通运输类建设项目若涉及环境敏感区，需针对</w:t>
      </w:r>
      <w:r>
        <w:rPr>
          <w:rFonts w:ascii="仿宋" w:hAnsi="仿宋" w:eastAsia="仿宋" w:cs="仿宋"/>
          <w:spacing w:val="-3"/>
          <w:sz w:val="24"/>
          <w:szCs w:val="24"/>
        </w:rPr>
        <w:t>性开展对应生态专项评价工作。经精准核实项目占地及线路布设情况</w:t>
      </w:r>
      <w:r>
        <w:rPr>
          <w:rFonts w:ascii="仿宋" w:hAnsi="仿宋" w:eastAsia="仿宋" w:cs="仿宋"/>
          <w:spacing w:val="-4"/>
          <w:sz w:val="24"/>
          <w:szCs w:val="24"/>
        </w:rPr>
        <w:t>，本项目建</w:t>
      </w:r>
      <w:r>
        <w:rPr>
          <w:rFonts w:ascii="仿宋" w:hAnsi="仿宋" w:eastAsia="仿宋" w:cs="仿宋"/>
          <w:spacing w:val="-3"/>
          <w:sz w:val="24"/>
          <w:szCs w:val="24"/>
        </w:rPr>
        <w:t>设过程中占用基本草原，基本草原属于国家级重点生态敏感区域，是</w:t>
      </w:r>
      <w:r>
        <w:rPr>
          <w:rFonts w:ascii="仿宋" w:hAnsi="仿宋" w:eastAsia="仿宋" w:cs="仿宋"/>
          <w:spacing w:val="-4"/>
          <w:sz w:val="24"/>
          <w:szCs w:val="24"/>
        </w:rPr>
        <w:t>区域草原生</w:t>
      </w:r>
      <w:r>
        <w:rPr>
          <w:rFonts w:ascii="仿宋" w:hAnsi="仿宋" w:eastAsia="仿宋" w:cs="仿宋"/>
          <w:spacing w:val="-2"/>
          <w:sz w:val="24"/>
          <w:szCs w:val="24"/>
        </w:rPr>
        <w:t>态系统保护、水土保持、生物多样性维系的核心载体，项目施工期开挖、填筑、</w:t>
      </w:r>
      <w:r>
        <w:rPr>
          <w:rFonts w:ascii="仿宋" w:hAnsi="仿宋" w:eastAsia="仿宋" w:cs="仿宋"/>
          <w:spacing w:val="-3"/>
          <w:sz w:val="24"/>
          <w:szCs w:val="24"/>
        </w:rPr>
        <w:t>占地扰动及运营期道路通行，将对草原植被覆盖、土壤结构、</w:t>
      </w:r>
      <w:r>
        <w:rPr>
          <w:rFonts w:ascii="仿宋" w:hAnsi="仿宋" w:eastAsia="仿宋" w:cs="仿宋"/>
          <w:spacing w:val="-4"/>
          <w:sz w:val="24"/>
          <w:szCs w:val="24"/>
        </w:rPr>
        <w:t>区域生态廊道及动</w:t>
      </w:r>
      <w:r>
        <w:rPr>
          <w:rFonts w:ascii="仿宋" w:hAnsi="仿宋" w:eastAsia="仿宋" w:cs="仿宋"/>
          <w:spacing w:val="-3"/>
          <w:sz w:val="24"/>
          <w:szCs w:val="24"/>
        </w:rPr>
        <w:t>植物生境产生直接或间接影响，生态影响具有区域性、不可逆性特征</w:t>
      </w:r>
      <w:r>
        <w:rPr>
          <w:rFonts w:ascii="仿宋" w:hAnsi="仿宋" w:eastAsia="仿宋" w:cs="仿宋"/>
          <w:spacing w:val="-4"/>
          <w:sz w:val="24"/>
          <w:szCs w:val="24"/>
        </w:rPr>
        <w:t>，需重点论</w:t>
      </w:r>
      <w:r>
        <w:rPr>
          <w:rFonts w:ascii="仿宋" w:hAnsi="仿宋" w:eastAsia="仿宋" w:cs="仿宋"/>
          <w:spacing w:val="-3"/>
          <w:sz w:val="24"/>
          <w:szCs w:val="24"/>
        </w:rPr>
        <w:t>证、精准防控。</w:t>
      </w:r>
    </w:p>
    <w:p w14:paraId="277AB894">
      <w:pPr>
        <w:spacing w:line="221" w:lineRule="auto"/>
        <w:ind w:left="518"/>
        <w:rPr>
          <w:rFonts w:ascii="仿宋" w:hAnsi="仿宋" w:eastAsia="仿宋" w:cs="仿宋"/>
          <w:sz w:val="24"/>
          <w:szCs w:val="24"/>
        </w:rPr>
      </w:pPr>
      <w:r>
        <w:rPr>
          <w:rFonts w:ascii="仿宋" w:hAnsi="仿宋" w:eastAsia="仿宋" w:cs="仿宋"/>
          <w:spacing w:val="-4"/>
          <w:sz w:val="24"/>
          <w:szCs w:val="24"/>
        </w:rPr>
        <w:t>为系统查清项目区域生态环境现状，科学分析工程建设对基本草原及周边生</w:t>
      </w:r>
    </w:p>
    <w:p w14:paraId="77B7B9BB">
      <w:pPr>
        <w:spacing w:line="221" w:lineRule="auto"/>
        <w:rPr>
          <w:rFonts w:ascii="仿宋" w:hAnsi="仿宋" w:eastAsia="仿宋" w:cs="仿宋"/>
          <w:sz w:val="24"/>
          <w:szCs w:val="24"/>
        </w:rPr>
        <w:sectPr>
          <w:footerReference r:id="rId197" w:type="default"/>
          <w:pgSz w:w="11906" w:h="16839"/>
          <w:pgMar w:top="400" w:right="1590" w:bottom="1305" w:left="1785" w:header="0" w:footer="1142" w:gutter="0"/>
          <w:cols w:space="720" w:num="1"/>
        </w:sectPr>
      </w:pPr>
    </w:p>
    <w:p w14:paraId="5E4B4D3C">
      <w:pPr>
        <w:pStyle w:val="2"/>
        <w:spacing w:line="247" w:lineRule="auto"/>
        <w:rPr>
          <w:sz w:val="21"/>
        </w:rPr>
      </w:pPr>
    </w:p>
    <w:p w14:paraId="5A20C6B1">
      <w:pPr>
        <w:pStyle w:val="2"/>
        <w:spacing w:line="248" w:lineRule="auto"/>
        <w:rPr>
          <w:sz w:val="21"/>
        </w:rPr>
      </w:pPr>
    </w:p>
    <w:p w14:paraId="00526610">
      <w:pPr>
        <w:pStyle w:val="2"/>
        <w:spacing w:line="248" w:lineRule="auto"/>
        <w:rPr>
          <w:sz w:val="21"/>
        </w:rPr>
      </w:pPr>
    </w:p>
    <w:p w14:paraId="51199FAE">
      <w:pPr>
        <w:pStyle w:val="2"/>
        <w:spacing w:line="248" w:lineRule="auto"/>
        <w:rPr>
          <w:sz w:val="21"/>
        </w:rPr>
      </w:pPr>
    </w:p>
    <w:p w14:paraId="1A4607E0">
      <w:pPr>
        <w:spacing w:before="78" w:line="359" w:lineRule="auto"/>
        <w:ind w:left="29" w:firstLine="10"/>
        <w:jc w:val="both"/>
        <w:rPr>
          <w:rFonts w:ascii="仿宋" w:hAnsi="仿宋" w:eastAsia="仿宋" w:cs="仿宋"/>
          <w:sz w:val="24"/>
          <w:szCs w:val="24"/>
        </w:rPr>
      </w:pPr>
      <w:r>
        <w:rPr>
          <w:rFonts w:ascii="仿宋" w:hAnsi="仿宋" w:eastAsia="仿宋" w:cs="仿宋"/>
          <w:spacing w:val="-2"/>
          <w:sz w:val="24"/>
          <w:szCs w:val="24"/>
        </w:rPr>
        <w:t>态系统的扰动影响，精准识别生态保护制约因素，规范提出针对性的生态保护、</w:t>
      </w:r>
      <w:r>
        <w:rPr>
          <w:rFonts w:ascii="仿宋" w:hAnsi="仿宋" w:eastAsia="仿宋" w:cs="仿宋"/>
          <w:spacing w:val="-3"/>
          <w:sz w:val="24"/>
          <w:szCs w:val="24"/>
        </w:rPr>
        <w:t>修复、补偿及管控措施，有效规避和减缓工程建设带来的生态不利影</w:t>
      </w:r>
      <w:r>
        <w:rPr>
          <w:rFonts w:ascii="仿宋" w:hAnsi="仿宋" w:eastAsia="仿宋" w:cs="仿宋"/>
          <w:spacing w:val="-4"/>
          <w:sz w:val="24"/>
          <w:szCs w:val="24"/>
        </w:rPr>
        <w:t>响，保障区</w:t>
      </w:r>
      <w:r>
        <w:rPr>
          <w:rFonts w:ascii="仿宋" w:hAnsi="仿宋" w:eastAsia="仿宋" w:cs="仿宋"/>
          <w:spacing w:val="-3"/>
          <w:sz w:val="24"/>
          <w:szCs w:val="24"/>
        </w:rPr>
        <w:t>域草原生态系统稳定性和完整性，契合区域生态保护管控要求，本项</w:t>
      </w:r>
      <w:r>
        <w:rPr>
          <w:rFonts w:ascii="仿宋" w:hAnsi="仿宋" w:eastAsia="仿宋" w:cs="仿宋"/>
          <w:spacing w:val="-4"/>
          <w:sz w:val="24"/>
          <w:szCs w:val="24"/>
        </w:rPr>
        <w:t>目需单独编</w:t>
      </w:r>
      <w:r>
        <w:rPr>
          <w:rFonts w:ascii="仿宋" w:hAnsi="仿宋" w:eastAsia="仿宋" w:cs="仿宋"/>
          <w:spacing w:val="-2"/>
          <w:sz w:val="24"/>
          <w:szCs w:val="24"/>
        </w:rPr>
        <w:t>制生态专项评价报告。</w:t>
      </w:r>
    </w:p>
    <w:p w14:paraId="103E41D3">
      <w:pPr>
        <w:spacing w:before="4" w:line="359" w:lineRule="auto"/>
        <w:ind w:left="29" w:right="11" w:firstLine="480"/>
        <w:jc w:val="both"/>
        <w:rPr>
          <w:rFonts w:ascii="仿宋" w:hAnsi="仿宋" w:eastAsia="仿宋" w:cs="仿宋"/>
          <w:sz w:val="24"/>
          <w:szCs w:val="24"/>
        </w:rPr>
      </w:pPr>
      <w:r>
        <w:rPr>
          <w:rFonts w:ascii="仿宋" w:hAnsi="仿宋" w:eastAsia="仿宋" w:cs="仿宋"/>
          <w:spacing w:val="-2"/>
          <w:sz w:val="24"/>
          <w:szCs w:val="24"/>
        </w:rPr>
        <w:t>本次生态专项评价将以项目占地范围、沿线生态敏感区域为</w:t>
      </w:r>
      <w:r>
        <w:rPr>
          <w:rFonts w:ascii="仿宋" w:hAnsi="仿宋" w:eastAsia="仿宋" w:cs="仿宋"/>
          <w:spacing w:val="-3"/>
          <w:sz w:val="24"/>
          <w:szCs w:val="24"/>
        </w:rPr>
        <w:t>核心评价区域，聚焦基本草原生态保护核心要点，全面开展生态现状调查、影响预</w:t>
      </w:r>
      <w:r>
        <w:rPr>
          <w:rFonts w:ascii="仿宋" w:hAnsi="仿宋" w:eastAsia="仿宋" w:cs="仿宋"/>
          <w:spacing w:val="-4"/>
          <w:sz w:val="24"/>
          <w:szCs w:val="24"/>
        </w:rPr>
        <w:t>测分析、保护</w:t>
      </w:r>
      <w:r>
        <w:rPr>
          <w:rFonts w:ascii="仿宋" w:hAnsi="仿宋" w:eastAsia="仿宋" w:cs="仿宋"/>
          <w:spacing w:val="-3"/>
          <w:sz w:val="24"/>
          <w:szCs w:val="24"/>
        </w:rPr>
        <w:t>措施可行性论证等工作，为项目合规建设、生态环境保护与乡村交</w:t>
      </w:r>
      <w:r>
        <w:rPr>
          <w:rFonts w:ascii="仿宋" w:hAnsi="仿宋" w:eastAsia="仿宋" w:cs="仿宋"/>
          <w:spacing w:val="-4"/>
          <w:sz w:val="24"/>
          <w:szCs w:val="24"/>
        </w:rPr>
        <w:t>通发展统筹推</w:t>
      </w:r>
      <w:r>
        <w:rPr>
          <w:rFonts w:ascii="仿宋" w:hAnsi="仿宋" w:eastAsia="仿宋" w:cs="仿宋"/>
          <w:spacing w:val="-2"/>
          <w:sz w:val="24"/>
          <w:szCs w:val="24"/>
        </w:rPr>
        <w:t>进提供科学依据和技术支撑。</w:t>
      </w:r>
    </w:p>
    <w:p w14:paraId="502BBE90">
      <w:pPr>
        <w:spacing w:line="359" w:lineRule="auto"/>
        <w:rPr>
          <w:rFonts w:ascii="仿宋" w:hAnsi="仿宋" w:eastAsia="仿宋" w:cs="仿宋"/>
          <w:sz w:val="24"/>
          <w:szCs w:val="24"/>
        </w:rPr>
        <w:sectPr>
          <w:footerReference r:id="rId198" w:type="default"/>
          <w:pgSz w:w="11906" w:h="16839"/>
          <w:pgMar w:top="400" w:right="1749" w:bottom="1305" w:left="1785" w:header="0" w:footer="1142" w:gutter="0"/>
          <w:cols w:space="720" w:num="1"/>
        </w:sectPr>
      </w:pPr>
    </w:p>
    <w:p w14:paraId="697212DF">
      <w:pPr>
        <w:pStyle w:val="2"/>
        <w:spacing w:line="242" w:lineRule="auto"/>
        <w:rPr>
          <w:sz w:val="21"/>
        </w:rPr>
      </w:pPr>
    </w:p>
    <w:p w14:paraId="7CC78580">
      <w:pPr>
        <w:pStyle w:val="2"/>
        <w:spacing w:line="242" w:lineRule="auto"/>
        <w:rPr>
          <w:sz w:val="21"/>
        </w:rPr>
      </w:pPr>
    </w:p>
    <w:p w14:paraId="6AC6C8AD">
      <w:pPr>
        <w:pStyle w:val="2"/>
        <w:spacing w:line="242" w:lineRule="auto"/>
        <w:rPr>
          <w:sz w:val="21"/>
        </w:rPr>
      </w:pPr>
    </w:p>
    <w:p w14:paraId="41217521">
      <w:pPr>
        <w:pStyle w:val="2"/>
        <w:spacing w:line="242" w:lineRule="auto"/>
        <w:rPr>
          <w:sz w:val="21"/>
        </w:rPr>
      </w:pPr>
    </w:p>
    <w:p w14:paraId="5C946AAD">
      <w:pPr>
        <w:pStyle w:val="2"/>
        <w:spacing w:line="242" w:lineRule="auto"/>
        <w:rPr>
          <w:sz w:val="21"/>
        </w:rPr>
      </w:pPr>
    </w:p>
    <w:p w14:paraId="35AB9755">
      <w:pPr>
        <w:spacing w:before="114" w:line="229" w:lineRule="auto"/>
        <w:ind w:left="53"/>
        <w:outlineLvl w:val="0"/>
        <w:rPr>
          <w:rFonts w:ascii="仿宋" w:hAnsi="仿宋" w:eastAsia="仿宋" w:cs="仿宋"/>
          <w:sz w:val="35"/>
          <w:szCs w:val="35"/>
        </w:rPr>
      </w:pPr>
      <w:bookmarkStart w:id="58" w:name="bookmark67"/>
      <w:bookmarkEnd w:id="58"/>
      <w:bookmarkStart w:id="59" w:name="bookmark68"/>
      <w:bookmarkEnd w:id="59"/>
      <w:r>
        <w:rPr>
          <w:rFonts w:ascii="仿宋" w:hAnsi="仿宋" w:eastAsia="仿宋" w:cs="仿宋"/>
          <w:b/>
          <w:bCs/>
          <w:spacing w:val="-5"/>
          <w:sz w:val="35"/>
          <w:szCs w:val="35"/>
        </w:rPr>
        <w:t>1.总则</w:t>
      </w:r>
    </w:p>
    <w:p w14:paraId="2E4E0829">
      <w:pPr>
        <w:pStyle w:val="2"/>
        <w:spacing w:line="259" w:lineRule="auto"/>
        <w:rPr>
          <w:sz w:val="21"/>
        </w:rPr>
      </w:pPr>
    </w:p>
    <w:p w14:paraId="74B1DC27">
      <w:pPr>
        <w:spacing w:before="101" w:line="227" w:lineRule="auto"/>
        <w:ind w:left="48"/>
        <w:outlineLvl w:val="1"/>
        <w:rPr>
          <w:rFonts w:ascii="仿宋" w:hAnsi="仿宋" w:eastAsia="仿宋" w:cs="仿宋"/>
          <w:sz w:val="31"/>
          <w:szCs w:val="31"/>
        </w:rPr>
      </w:pPr>
      <w:r>
        <w:rPr>
          <w:rFonts w:ascii="仿宋" w:hAnsi="仿宋" w:eastAsia="仿宋" w:cs="仿宋"/>
          <w:b/>
          <w:bCs/>
          <w:spacing w:val="-3"/>
          <w:sz w:val="31"/>
          <w:szCs w:val="31"/>
        </w:rPr>
        <w:t>1.1</w:t>
      </w:r>
      <w:r>
        <w:rPr>
          <w:rFonts w:ascii="仿宋" w:hAnsi="仿宋" w:eastAsia="仿宋" w:cs="仿宋"/>
          <w:spacing w:val="-50"/>
          <w:sz w:val="31"/>
          <w:szCs w:val="31"/>
        </w:rPr>
        <w:t xml:space="preserve"> </w:t>
      </w:r>
      <w:r>
        <w:rPr>
          <w:rFonts w:ascii="仿宋" w:hAnsi="仿宋" w:eastAsia="仿宋" w:cs="仿宋"/>
          <w:b/>
          <w:bCs/>
          <w:spacing w:val="-3"/>
          <w:sz w:val="31"/>
          <w:szCs w:val="31"/>
        </w:rPr>
        <w:t>编制依据</w:t>
      </w:r>
    </w:p>
    <w:p w14:paraId="44F3D3D7">
      <w:pPr>
        <w:pStyle w:val="2"/>
        <w:spacing w:line="247" w:lineRule="auto"/>
        <w:rPr>
          <w:sz w:val="21"/>
        </w:rPr>
      </w:pPr>
    </w:p>
    <w:p w14:paraId="09CBE087">
      <w:pPr>
        <w:spacing w:before="85" w:line="228" w:lineRule="auto"/>
        <w:ind w:left="43"/>
        <w:rPr>
          <w:rFonts w:ascii="仿宋" w:hAnsi="仿宋" w:eastAsia="仿宋" w:cs="仿宋"/>
          <w:sz w:val="26"/>
          <w:szCs w:val="26"/>
        </w:rPr>
      </w:pPr>
      <w:r>
        <w:rPr>
          <w:rFonts w:ascii="仿宋" w:hAnsi="仿宋" w:eastAsia="仿宋" w:cs="仿宋"/>
          <w:b/>
          <w:bCs/>
          <w:spacing w:val="1"/>
          <w:sz w:val="26"/>
          <w:szCs w:val="26"/>
        </w:rPr>
        <w:t>1.1.1</w:t>
      </w:r>
      <w:r>
        <w:rPr>
          <w:rFonts w:ascii="仿宋" w:hAnsi="仿宋" w:eastAsia="仿宋" w:cs="仿宋"/>
          <w:spacing w:val="-41"/>
          <w:sz w:val="26"/>
          <w:szCs w:val="26"/>
        </w:rPr>
        <w:t xml:space="preserve"> </w:t>
      </w:r>
      <w:r>
        <w:rPr>
          <w:rFonts w:ascii="仿宋" w:hAnsi="仿宋" w:eastAsia="仿宋" w:cs="仿宋"/>
          <w:b/>
          <w:bCs/>
          <w:spacing w:val="1"/>
          <w:sz w:val="26"/>
          <w:szCs w:val="26"/>
        </w:rPr>
        <w:t>相关法律法规</w:t>
      </w:r>
    </w:p>
    <w:p w14:paraId="1E11EC42">
      <w:pPr>
        <w:spacing w:before="298" w:line="221" w:lineRule="auto"/>
        <w:ind w:left="514"/>
        <w:rPr>
          <w:rFonts w:ascii="仿宋" w:hAnsi="仿宋" w:eastAsia="仿宋" w:cs="仿宋"/>
          <w:sz w:val="24"/>
          <w:szCs w:val="24"/>
        </w:rPr>
      </w:pPr>
      <w:r>
        <w:rPr>
          <w:rFonts w:ascii="仿宋" w:hAnsi="仿宋" w:eastAsia="仿宋" w:cs="仿宋"/>
          <w:spacing w:val="-7"/>
          <w:sz w:val="24"/>
          <w:szCs w:val="24"/>
        </w:rPr>
        <w:t>（1）《中华人民共和国生态环境法典》，</w:t>
      </w:r>
      <w:r>
        <w:rPr>
          <w:rFonts w:ascii="仿宋" w:hAnsi="仿宋" w:eastAsia="仿宋" w:cs="仿宋"/>
          <w:spacing w:val="-52"/>
          <w:sz w:val="24"/>
          <w:szCs w:val="24"/>
        </w:rPr>
        <w:t xml:space="preserve"> </w:t>
      </w:r>
      <w:r>
        <w:rPr>
          <w:rFonts w:ascii="仿宋" w:hAnsi="仿宋" w:eastAsia="仿宋" w:cs="仿宋"/>
          <w:spacing w:val="-7"/>
          <w:sz w:val="24"/>
          <w:szCs w:val="24"/>
        </w:rPr>
        <w:t>自</w:t>
      </w:r>
      <w:r>
        <w:rPr>
          <w:rFonts w:ascii="仿宋" w:hAnsi="仿宋" w:eastAsia="仿宋" w:cs="仿宋"/>
          <w:spacing w:val="-49"/>
          <w:sz w:val="24"/>
          <w:szCs w:val="24"/>
        </w:rPr>
        <w:t xml:space="preserve"> </w:t>
      </w:r>
      <w:r>
        <w:rPr>
          <w:rFonts w:ascii="仿宋" w:hAnsi="仿宋" w:eastAsia="仿宋" w:cs="仿宋"/>
          <w:spacing w:val="-7"/>
          <w:sz w:val="24"/>
          <w:szCs w:val="24"/>
        </w:rPr>
        <w:t>2026</w:t>
      </w:r>
      <w:r>
        <w:rPr>
          <w:rFonts w:ascii="仿宋" w:hAnsi="仿宋" w:eastAsia="仿宋" w:cs="仿宋"/>
          <w:spacing w:val="-39"/>
          <w:sz w:val="24"/>
          <w:szCs w:val="24"/>
        </w:rPr>
        <w:t xml:space="preserve"> </w:t>
      </w:r>
      <w:r>
        <w:rPr>
          <w:rFonts w:ascii="仿宋" w:hAnsi="仿宋" w:eastAsia="仿宋" w:cs="仿宋"/>
          <w:spacing w:val="-7"/>
          <w:sz w:val="24"/>
          <w:szCs w:val="24"/>
        </w:rPr>
        <w:t>年</w:t>
      </w:r>
      <w:r>
        <w:rPr>
          <w:rFonts w:ascii="仿宋" w:hAnsi="仿宋" w:eastAsia="仿宋" w:cs="仿宋"/>
          <w:spacing w:val="-51"/>
          <w:sz w:val="24"/>
          <w:szCs w:val="24"/>
        </w:rPr>
        <w:t xml:space="preserve"> </w:t>
      </w:r>
      <w:r>
        <w:rPr>
          <w:rFonts w:ascii="仿宋" w:hAnsi="仿宋" w:eastAsia="仿宋" w:cs="仿宋"/>
          <w:spacing w:val="-7"/>
          <w:sz w:val="24"/>
          <w:szCs w:val="24"/>
        </w:rPr>
        <w:t>8</w:t>
      </w:r>
      <w:r>
        <w:rPr>
          <w:rFonts w:ascii="仿宋" w:hAnsi="仿宋" w:eastAsia="仿宋" w:cs="仿宋"/>
          <w:spacing w:val="-33"/>
          <w:sz w:val="24"/>
          <w:szCs w:val="24"/>
        </w:rPr>
        <w:t xml:space="preserve"> </w:t>
      </w:r>
      <w:r>
        <w:rPr>
          <w:rFonts w:ascii="仿宋" w:hAnsi="仿宋" w:eastAsia="仿宋" w:cs="仿宋"/>
          <w:spacing w:val="-7"/>
          <w:sz w:val="24"/>
          <w:szCs w:val="24"/>
        </w:rPr>
        <w:t>月</w:t>
      </w:r>
      <w:r>
        <w:rPr>
          <w:rFonts w:ascii="仿宋" w:hAnsi="仿宋" w:eastAsia="仿宋" w:cs="仿宋"/>
          <w:spacing w:val="-33"/>
          <w:sz w:val="24"/>
          <w:szCs w:val="24"/>
        </w:rPr>
        <w:t xml:space="preserve"> </w:t>
      </w:r>
      <w:r>
        <w:rPr>
          <w:rFonts w:ascii="仿宋" w:hAnsi="仿宋" w:eastAsia="仿宋" w:cs="仿宋"/>
          <w:spacing w:val="-7"/>
          <w:sz w:val="24"/>
          <w:szCs w:val="24"/>
        </w:rPr>
        <w:t>15 日起施行；</w:t>
      </w:r>
    </w:p>
    <w:p w14:paraId="342A2ED5">
      <w:pPr>
        <w:spacing w:before="180" w:line="222" w:lineRule="auto"/>
        <w:ind w:left="514"/>
        <w:rPr>
          <w:rFonts w:ascii="仿宋" w:hAnsi="仿宋" w:eastAsia="仿宋" w:cs="仿宋"/>
          <w:sz w:val="24"/>
          <w:szCs w:val="24"/>
        </w:rPr>
      </w:pPr>
      <w:r>
        <w:rPr>
          <w:rFonts w:ascii="仿宋" w:hAnsi="仿宋" w:eastAsia="仿宋" w:cs="仿宋"/>
          <w:spacing w:val="-6"/>
          <w:sz w:val="24"/>
          <w:szCs w:val="24"/>
        </w:rPr>
        <w:t>（2）《中华人民共和国公路法》，2017</w:t>
      </w:r>
      <w:r>
        <w:rPr>
          <w:rFonts w:ascii="仿宋" w:hAnsi="仿宋" w:eastAsia="仿宋" w:cs="仿宋"/>
          <w:spacing w:val="-23"/>
          <w:sz w:val="24"/>
          <w:szCs w:val="24"/>
        </w:rPr>
        <w:t xml:space="preserve"> </w:t>
      </w:r>
      <w:r>
        <w:rPr>
          <w:rFonts w:ascii="仿宋" w:hAnsi="仿宋" w:eastAsia="仿宋" w:cs="仿宋"/>
          <w:spacing w:val="-6"/>
          <w:sz w:val="24"/>
          <w:szCs w:val="24"/>
        </w:rPr>
        <w:t>年</w:t>
      </w:r>
      <w:r>
        <w:rPr>
          <w:rFonts w:ascii="仿宋" w:hAnsi="仿宋" w:eastAsia="仿宋" w:cs="仿宋"/>
          <w:spacing w:val="-34"/>
          <w:sz w:val="24"/>
          <w:szCs w:val="24"/>
        </w:rPr>
        <w:t xml:space="preserve"> </w:t>
      </w:r>
      <w:r>
        <w:rPr>
          <w:rFonts w:ascii="仿宋" w:hAnsi="仿宋" w:eastAsia="仿宋" w:cs="仿宋"/>
          <w:spacing w:val="-6"/>
          <w:sz w:val="24"/>
          <w:szCs w:val="24"/>
        </w:rPr>
        <w:t>11</w:t>
      </w:r>
      <w:r>
        <w:rPr>
          <w:rFonts w:ascii="仿宋" w:hAnsi="仿宋" w:eastAsia="仿宋" w:cs="仿宋"/>
          <w:spacing w:val="-33"/>
          <w:sz w:val="24"/>
          <w:szCs w:val="24"/>
        </w:rPr>
        <w:t xml:space="preserve"> </w:t>
      </w:r>
      <w:r>
        <w:rPr>
          <w:rFonts w:ascii="仿宋" w:hAnsi="仿宋" w:eastAsia="仿宋" w:cs="仿宋"/>
          <w:spacing w:val="-6"/>
          <w:sz w:val="24"/>
          <w:szCs w:val="24"/>
        </w:rPr>
        <w:t>月</w:t>
      </w:r>
      <w:r>
        <w:rPr>
          <w:rFonts w:ascii="仿宋" w:hAnsi="仿宋" w:eastAsia="仿宋" w:cs="仿宋"/>
          <w:spacing w:val="-46"/>
          <w:sz w:val="24"/>
          <w:szCs w:val="24"/>
        </w:rPr>
        <w:t xml:space="preserve"> </w:t>
      </w:r>
      <w:r>
        <w:rPr>
          <w:rFonts w:ascii="仿宋" w:hAnsi="仿宋" w:eastAsia="仿宋" w:cs="仿宋"/>
          <w:spacing w:val="-6"/>
          <w:sz w:val="24"/>
          <w:szCs w:val="24"/>
        </w:rPr>
        <w:t>5 日起实施；</w:t>
      </w:r>
    </w:p>
    <w:p w14:paraId="65EEA83A">
      <w:pPr>
        <w:spacing w:before="177" w:line="221" w:lineRule="auto"/>
        <w:ind w:left="514"/>
        <w:rPr>
          <w:rFonts w:ascii="仿宋" w:hAnsi="仿宋" w:eastAsia="仿宋" w:cs="仿宋"/>
          <w:sz w:val="24"/>
          <w:szCs w:val="24"/>
        </w:rPr>
      </w:pPr>
      <w:r>
        <w:rPr>
          <w:rFonts w:ascii="仿宋" w:hAnsi="仿宋" w:eastAsia="仿宋" w:cs="仿宋"/>
          <w:spacing w:val="-5"/>
          <w:sz w:val="24"/>
          <w:szCs w:val="24"/>
        </w:rPr>
        <w:t>（3）《中华人民共和国草原法》，2013</w:t>
      </w:r>
      <w:r>
        <w:rPr>
          <w:rFonts w:ascii="仿宋" w:hAnsi="仿宋" w:eastAsia="仿宋" w:cs="仿宋"/>
          <w:spacing w:val="-36"/>
          <w:sz w:val="24"/>
          <w:szCs w:val="24"/>
        </w:rPr>
        <w:t xml:space="preserve"> </w:t>
      </w:r>
      <w:r>
        <w:rPr>
          <w:rFonts w:ascii="仿宋" w:hAnsi="仿宋" w:eastAsia="仿宋" w:cs="仿宋"/>
          <w:spacing w:val="-5"/>
          <w:sz w:val="24"/>
          <w:szCs w:val="24"/>
        </w:rPr>
        <w:t>年</w:t>
      </w:r>
      <w:r>
        <w:rPr>
          <w:rFonts w:ascii="仿宋" w:hAnsi="仿宋" w:eastAsia="仿宋" w:cs="仿宋"/>
          <w:spacing w:val="-50"/>
          <w:sz w:val="24"/>
          <w:szCs w:val="24"/>
        </w:rPr>
        <w:t xml:space="preserve"> </w:t>
      </w:r>
      <w:r>
        <w:rPr>
          <w:rFonts w:ascii="仿宋" w:hAnsi="仿宋" w:eastAsia="仿宋" w:cs="仿宋"/>
          <w:spacing w:val="-5"/>
          <w:sz w:val="24"/>
          <w:szCs w:val="24"/>
        </w:rPr>
        <w:t>6</w:t>
      </w:r>
      <w:r>
        <w:rPr>
          <w:rFonts w:ascii="仿宋" w:hAnsi="仿宋" w:eastAsia="仿宋" w:cs="仿宋"/>
          <w:spacing w:val="-33"/>
          <w:sz w:val="24"/>
          <w:szCs w:val="24"/>
        </w:rPr>
        <w:t xml:space="preserve"> </w:t>
      </w:r>
      <w:r>
        <w:rPr>
          <w:rFonts w:ascii="仿宋" w:hAnsi="仿宋" w:eastAsia="仿宋" w:cs="仿宋"/>
          <w:spacing w:val="-5"/>
          <w:sz w:val="24"/>
          <w:szCs w:val="24"/>
        </w:rPr>
        <w:t>月</w:t>
      </w:r>
      <w:r>
        <w:rPr>
          <w:rFonts w:ascii="仿宋" w:hAnsi="仿宋" w:eastAsia="仿宋" w:cs="仿宋"/>
          <w:spacing w:val="-48"/>
          <w:sz w:val="24"/>
          <w:szCs w:val="24"/>
        </w:rPr>
        <w:t xml:space="preserve"> </w:t>
      </w:r>
      <w:r>
        <w:rPr>
          <w:rFonts w:ascii="仿宋" w:hAnsi="仿宋" w:eastAsia="仿宋" w:cs="仿宋"/>
          <w:spacing w:val="-5"/>
          <w:sz w:val="24"/>
          <w:szCs w:val="24"/>
        </w:rPr>
        <w:t>29 日起施行；</w:t>
      </w:r>
    </w:p>
    <w:p w14:paraId="652CC947">
      <w:pPr>
        <w:spacing w:before="182" w:line="358" w:lineRule="auto"/>
        <w:ind w:left="80" w:right="16" w:firstLine="434"/>
        <w:rPr>
          <w:rFonts w:ascii="仿宋" w:hAnsi="仿宋" w:eastAsia="仿宋" w:cs="仿宋"/>
          <w:sz w:val="24"/>
          <w:szCs w:val="24"/>
        </w:rPr>
      </w:pPr>
      <w:r>
        <w:rPr>
          <w:rFonts w:ascii="仿宋" w:hAnsi="仿宋" w:eastAsia="仿宋" w:cs="仿宋"/>
          <w:sz w:val="24"/>
          <w:szCs w:val="24"/>
        </w:rPr>
        <w:t>（4）《中华人民共和国土地管理法实施条例》（修订</w:t>
      </w:r>
      <w:r>
        <w:rPr>
          <w:rFonts w:ascii="仿宋" w:hAnsi="仿宋" w:eastAsia="仿宋" w:cs="仿宋"/>
          <w:spacing w:val="14"/>
          <w:sz w:val="24"/>
          <w:szCs w:val="24"/>
        </w:rPr>
        <w:t>），</w:t>
      </w:r>
      <w:r>
        <w:rPr>
          <w:rFonts w:ascii="仿宋" w:hAnsi="仿宋" w:eastAsia="仿宋" w:cs="仿宋"/>
          <w:sz w:val="24"/>
          <w:szCs w:val="24"/>
        </w:rPr>
        <w:t>2014</w:t>
      </w:r>
      <w:r>
        <w:rPr>
          <w:rFonts w:ascii="仿宋" w:hAnsi="仿宋" w:eastAsia="仿宋" w:cs="仿宋"/>
          <w:spacing w:val="-31"/>
          <w:sz w:val="24"/>
          <w:szCs w:val="24"/>
        </w:rPr>
        <w:t xml:space="preserve"> </w:t>
      </w:r>
      <w:r>
        <w:rPr>
          <w:rFonts w:ascii="仿宋" w:hAnsi="仿宋" w:eastAsia="仿宋" w:cs="仿宋"/>
          <w:sz w:val="24"/>
          <w:szCs w:val="24"/>
        </w:rPr>
        <w:t>年</w:t>
      </w:r>
      <w:r>
        <w:rPr>
          <w:rFonts w:ascii="仿宋" w:hAnsi="仿宋" w:eastAsia="仿宋" w:cs="仿宋"/>
          <w:spacing w:val="-41"/>
          <w:sz w:val="24"/>
          <w:szCs w:val="24"/>
        </w:rPr>
        <w:t xml:space="preserve"> </w:t>
      </w:r>
      <w:r>
        <w:rPr>
          <w:rFonts w:ascii="仿宋" w:hAnsi="仿宋" w:eastAsia="仿宋" w:cs="仿宋"/>
          <w:sz w:val="24"/>
          <w:szCs w:val="24"/>
        </w:rPr>
        <w:t>7</w:t>
      </w:r>
      <w:r>
        <w:rPr>
          <w:rFonts w:ascii="仿宋" w:hAnsi="仿宋" w:eastAsia="仿宋" w:cs="仿宋"/>
          <w:spacing w:val="-28"/>
          <w:sz w:val="24"/>
          <w:szCs w:val="24"/>
        </w:rPr>
        <w:t xml:space="preserve"> </w:t>
      </w:r>
      <w:r>
        <w:rPr>
          <w:rFonts w:ascii="仿宋" w:hAnsi="仿宋" w:eastAsia="仿宋" w:cs="仿宋"/>
          <w:sz w:val="24"/>
          <w:szCs w:val="24"/>
        </w:rPr>
        <w:t>月</w:t>
      </w:r>
      <w:r>
        <w:rPr>
          <w:rFonts w:ascii="仿宋" w:hAnsi="仿宋" w:eastAsia="仿宋" w:cs="仿宋"/>
          <w:spacing w:val="-46"/>
          <w:sz w:val="24"/>
          <w:szCs w:val="24"/>
        </w:rPr>
        <w:t xml:space="preserve"> </w:t>
      </w:r>
      <w:r>
        <w:rPr>
          <w:rFonts w:ascii="仿宋" w:hAnsi="仿宋" w:eastAsia="仿宋" w:cs="仿宋"/>
          <w:sz w:val="24"/>
          <w:szCs w:val="24"/>
        </w:rPr>
        <w:t>29</w:t>
      </w:r>
      <w:r>
        <w:rPr>
          <w:rFonts w:ascii="仿宋" w:hAnsi="仿宋" w:eastAsia="仿宋" w:cs="仿宋"/>
          <w:spacing w:val="-17"/>
          <w:sz w:val="24"/>
          <w:szCs w:val="24"/>
        </w:rPr>
        <w:t>日施行；</w:t>
      </w:r>
    </w:p>
    <w:p w14:paraId="60897559">
      <w:pPr>
        <w:spacing w:before="1" w:line="221" w:lineRule="auto"/>
        <w:jc w:val="right"/>
        <w:rPr>
          <w:rFonts w:ascii="仿宋" w:hAnsi="仿宋" w:eastAsia="仿宋" w:cs="仿宋"/>
          <w:sz w:val="24"/>
          <w:szCs w:val="24"/>
        </w:rPr>
      </w:pPr>
      <w:r>
        <w:rPr>
          <w:rFonts w:ascii="仿宋" w:hAnsi="仿宋" w:eastAsia="仿宋" w:cs="仿宋"/>
          <w:spacing w:val="-7"/>
          <w:sz w:val="24"/>
          <w:szCs w:val="24"/>
        </w:rPr>
        <w:t>（5）《中华人民共和国土地管理法》（修改</w:t>
      </w:r>
      <w:r>
        <w:rPr>
          <w:rFonts w:ascii="仿宋" w:hAnsi="仿宋" w:eastAsia="仿宋" w:cs="仿宋"/>
          <w:spacing w:val="5"/>
          <w:sz w:val="24"/>
          <w:szCs w:val="24"/>
        </w:rPr>
        <w:t>），</w:t>
      </w:r>
      <w:r>
        <w:rPr>
          <w:rFonts w:ascii="仿宋" w:hAnsi="仿宋" w:eastAsia="仿宋" w:cs="仿宋"/>
          <w:spacing w:val="-7"/>
          <w:sz w:val="24"/>
          <w:szCs w:val="24"/>
        </w:rPr>
        <w:t>2</w:t>
      </w:r>
      <w:r>
        <w:rPr>
          <w:rFonts w:ascii="仿宋" w:hAnsi="仿宋" w:eastAsia="仿宋" w:cs="仿宋"/>
          <w:spacing w:val="-8"/>
          <w:sz w:val="24"/>
          <w:szCs w:val="24"/>
        </w:rPr>
        <w:t>020</w:t>
      </w:r>
      <w:r>
        <w:rPr>
          <w:rFonts w:ascii="仿宋" w:hAnsi="仿宋" w:eastAsia="仿宋" w:cs="仿宋"/>
          <w:spacing w:val="-38"/>
          <w:sz w:val="24"/>
          <w:szCs w:val="24"/>
        </w:rPr>
        <w:t xml:space="preserve"> </w:t>
      </w:r>
      <w:r>
        <w:rPr>
          <w:rFonts w:ascii="仿宋" w:hAnsi="仿宋" w:eastAsia="仿宋" w:cs="仿宋"/>
          <w:spacing w:val="-8"/>
          <w:sz w:val="24"/>
          <w:szCs w:val="24"/>
        </w:rPr>
        <w:t>年</w:t>
      </w:r>
      <w:r>
        <w:rPr>
          <w:rFonts w:ascii="仿宋" w:hAnsi="仿宋" w:eastAsia="仿宋" w:cs="仿宋"/>
          <w:spacing w:val="-34"/>
          <w:sz w:val="24"/>
          <w:szCs w:val="24"/>
        </w:rPr>
        <w:t xml:space="preserve"> </w:t>
      </w:r>
      <w:r>
        <w:rPr>
          <w:rFonts w:ascii="仿宋" w:hAnsi="仿宋" w:eastAsia="仿宋" w:cs="仿宋"/>
          <w:spacing w:val="-8"/>
          <w:sz w:val="24"/>
          <w:szCs w:val="24"/>
        </w:rPr>
        <w:t>1</w:t>
      </w:r>
      <w:r>
        <w:rPr>
          <w:rFonts w:ascii="仿宋" w:hAnsi="仿宋" w:eastAsia="仿宋" w:cs="仿宋"/>
          <w:spacing w:val="-33"/>
          <w:sz w:val="24"/>
          <w:szCs w:val="24"/>
        </w:rPr>
        <w:t xml:space="preserve"> </w:t>
      </w:r>
      <w:r>
        <w:rPr>
          <w:rFonts w:ascii="仿宋" w:hAnsi="仿宋" w:eastAsia="仿宋" w:cs="仿宋"/>
          <w:spacing w:val="-8"/>
          <w:sz w:val="24"/>
          <w:szCs w:val="24"/>
        </w:rPr>
        <w:t>月</w:t>
      </w:r>
      <w:r>
        <w:rPr>
          <w:rFonts w:ascii="仿宋" w:hAnsi="仿宋" w:eastAsia="仿宋" w:cs="仿宋"/>
          <w:spacing w:val="-34"/>
          <w:sz w:val="24"/>
          <w:szCs w:val="24"/>
        </w:rPr>
        <w:t xml:space="preserve"> </w:t>
      </w:r>
      <w:r>
        <w:rPr>
          <w:rFonts w:ascii="仿宋" w:hAnsi="仿宋" w:eastAsia="仿宋" w:cs="仿宋"/>
          <w:spacing w:val="-8"/>
          <w:sz w:val="24"/>
          <w:szCs w:val="24"/>
        </w:rPr>
        <w:t>1 日起施行；</w:t>
      </w:r>
    </w:p>
    <w:p w14:paraId="2C906572">
      <w:pPr>
        <w:spacing w:before="179" w:line="360" w:lineRule="auto"/>
        <w:ind w:left="30" w:right="13" w:firstLine="484"/>
        <w:rPr>
          <w:rFonts w:ascii="仿宋" w:hAnsi="仿宋" w:eastAsia="仿宋" w:cs="仿宋"/>
          <w:sz w:val="24"/>
          <w:szCs w:val="24"/>
        </w:rPr>
      </w:pPr>
      <w:r>
        <w:rPr>
          <w:rFonts w:ascii="仿宋" w:hAnsi="仿宋" w:eastAsia="仿宋" w:cs="仿宋"/>
          <w:spacing w:val="-5"/>
          <w:sz w:val="24"/>
          <w:szCs w:val="24"/>
        </w:rPr>
        <w:t>（6）《中华人民共和国野生动物保护法（修正</w:t>
      </w:r>
      <w:r>
        <w:rPr>
          <w:rFonts w:ascii="仿宋" w:hAnsi="仿宋" w:eastAsia="仿宋" w:cs="仿宋"/>
          <w:spacing w:val="-6"/>
          <w:sz w:val="24"/>
          <w:szCs w:val="24"/>
        </w:rPr>
        <w:t>案）》，2018</w:t>
      </w:r>
      <w:r>
        <w:rPr>
          <w:rFonts w:ascii="仿宋" w:hAnsi="仿宋" w:eastAsia="仿宋" w:cs="仿宋"/>
          <w:spacing w:val="-40"/>
          <w:sz w:val="24"/>
          <w:szCs w:val="24"/>
        </w:rPr>
        <w:t xml:space="preserve"> </w:t>
      </w:r>
      <w:r>
        <w:rPr>
          <w:rFonts w:ascii="仿宋" w:hAnsi="仿宋" w:eastAsia="仿宋" w:cs="仿宋"/>
          <w:spacing w:val="-6"/>
          <w:sz w:val="24"/>
          <w:szCs w:val="24"/>
        </w:rPr>
        <w:t>年</w:t>
      </w:r>
      <w:r>
        <w:rPr>
          <w:rFonts w:ascii="仿宋" w:hAnsi="仿宋" w:eastAsia="仿宋" w:cs="仿宋"/>
          <w:spacing w:val="-33"/>
          <w:sz w:val="24"/>
          <w:szCs w:val="24"/>
        </w:rPr>
        <w:t xml:space="preserve"> </w:t>
      </w:r>
      <w:r>
        <w:rPr>
          <w:rFonts w:ascii="仿宋" w:hAnsi="仿宋" w:eastAsia="仿宋" w:cs="仿宋"/>
          <w:spacing w:val="-6"/>
          <w:sz w:val="24"/>
          <w:szCs w:val="24"/>
        </w:rPr>
        <w:t>10</w:t>
      </w:r>
      <w:r>
        <w:rPr>
          <w:rFonts w:ascii="仿宋" w:hAnsi="仿宋" w:eastAsia="仿宋" w:cs="仿宋"/>
          <w:spacing w:val="-33"/>
          <w:sz w:val="24"/>
          <w:szCs w:val="24"/>
        </w:rPr>
        <w:t xml:space="preserve"> </w:t>
      </w:r>
      <w:r>
        <w:rPr>
          <w:rFonts w:ascii="仿宋" w:hAnsi="仿宋" w:eastAsia="仿宋" w:cs="仿宋"/>
          <w:spacing w:val="-6"/>
          <w:sz w:val="24"/>
          <w:szCs w:val="24"/>
        </w:rPr>
        <w:t>月</w:t>
      </w:r>
      <w:r>
        <w:rPr>
          <w:rFonts w:ascii="仿宋" w:hAnsi="仿宋" w:eastAsia="仿宋" w:cs="仿宋"/>
          <w:spacing w:val="-49"/>
          <w:sz w:val="24"/>
          <w:szCs w:val="24"/>
        </w:rPr>
        <w:t xml:space="preserve"> </w:t>
      </w:r>
      <w:r>
        <w:rPr>
          <w:rFonts w:ascii="仿宋" w:hAnsi="仿宋" w:eastAsia="仿宋" w:cs="仿宋"/>
          <w:spacing w:val="-6"/>
          <w:sz w:val="24"/>
          <w:szCs w:val="24"/>
        </w:rPr>
        <w:t>26 日</w:t>
      </w:r>
      <w:r>
        <w:rPr>
          <w:rFonts w:ascii="仿宋" w:hAnsi="仿宋" w:eastAsia="仿宋" w:cs="仿宋"/>
          <w:spacing w:val="-5"/>
          <w:sz w:val="24"/>
          <w:szCs w:val="24"/>
        </w:rPr>
        <w:t>起施行；</w:t>
      </w:r>
    </w:p>
    <w:p w14:paraId="44A13F1C">
      <w:pPr>
        <w:spacing w:before="1" w:line="220" w:lineRule="auto"/>
        <w:jc w:val="right"/>
        <w:rPr>
          <w:rFonts w:ascii="仿宋" w:hAnsi="仿宋" w:eastAsia="仿宋" w:cs="仿宋"/>
          <w:sz w:val="24"/>
          <w:szCs w:val="24"/>
        </w:rPr>
      </w:pPr>
      <w:r>
        <w:rPr>
          <w:rFonts w:ascii="仿宋" w:hAnsi="仿宋" w:eastAsia="仿宋" w:cs="仿宋"/>
          <w:spacing w:val="-6"/>
          <w:sz w:val="24"/>
          <w:szCs w:val="24"/>
        </w:rPr>
        <w:t>（7）《中华人民共和国陆生野生动物保护实施条例》，2016</w:t>
      </w:r>
      <w:r>
        <w:rPr>
          <w:rFonts w:ascii="仿宋" w:hAnsi="仿宋" w:eastAsia="仿宋" w:cs="仿宋"/>
          <w:spacing w:val="-33"/>
          <w:sz w:val="24"/>
          <w:szCs w:val="24"/>
        </w:rPr>
        <w:t xml:space="preserve"> </w:t>
      </w:r>
      <w:r>
        <w:rPr>
          <w:rFonts w:ascii="仿宋" w:hAnsi="仿宋" w:eastAsia="仿宋" w:cs="仿宋"/>
          <w:spacing w:val="-6"/>
          <w:sz w:val="24"/>
          <w:szCs w:val="24"/>
        </w:rPr>
        <w:t>年</w:t>
      </w:r>
      <w:r>
        <w:rPr>
          <w:rFonts w:ascii="仿宋" w:hAnsi="仿宋" w:eastAsia="仿宋" w:cs="仿宋"/>
          <w:spacing w:val="-48"/>
          <w:sz w:val="24"/>
          <w:szCs w:val="24"/>
        </w:rPr>
        <w:t xml:space="preserve"> </w:t>
      </w:r>
      <w:r>
        <w:rPr>
          <w:rFonts w:ascii="仿宋" w:hAnsi="仿宋" w:eastAsia="仿宋" w:cs="仿宋"/>
          <w:spacing w:val="-6"/>
          <w:sz w:val="24"/>
          <w:szCs w:val="24"/>
        </w:rPr>
        <w:t>2</w:t>
      </w:r>
      <w:r>
        <w:rPr>
          <w:rFonts w:ascii="仿宋" w:hAnsi="仿宋" w:eastAsia="仿宋" w:cs="仿宋"/>
          <w:spacing w:val="-33"/>
          <w:sz w:val="24"/>
          <w:szCs w:val="24"/>
        </w:rPr>
        <w:t xml:space="preserve"> </w:t>
      </w:r>
      <w:r>
        <w:rPr>
          <w:rFonts w:ascii="仿宋" w:hAnsi="仿宋" w:eastAsia="仿宋" w:cs="仿宋"/>
          <w:spacing w:val="-6"/>
          <w:sz w:val="24"/>
          <w:szCs w:val="24"/>
        </w:rPr>
        <w:t>月</w:t>
      </w:r>
      <w:r>
        <w:rPr>
          <w:rFonts w:ascii="仿宋" w:hAnsi="仿宋" w:eastAsia="仿宋" w:cs="仿宋"/>
          <w:spacing w:val="-50"/>
          <w:sz w:val="24"/>
          <w:szCs w:val="24"/>
        </w:rPr>
        <w:t xml:space="preserve"> </w:t>
      </w:r>
      <w:r>
        <w:rPr>
          <w:rFonts w:ascii="仿宋" w:hAnsi="仿宋" w:eastAsia="仿宋" w:cs="仿宋"/>
          <w:spacing w:val="-6"/>
          <w:sz w:val="24"/>
          <w:szCs w:val="24"/>
        </w:rPr>
        <w:t>6 日；</w:t>
      </w:r>
    </w:p>
    <w:p w14:paraId="2A6CEDAE">
      <w:pPr>
        <w:spacing w:before="178" w:line="221" w:lineRule="auto"/>
        <w:ind w:left="514"/>
        <w:rPr>
          <w:rFonts w:ascii="仿宋" w:hAnsi="仿宋" w:eastAsia="仿宋" w:cs="仿宋"/>
          <w:sz w:val="24"/>
          <w:szCs w:val="24"/>
        </w:rPr>
      </w:pPr>
      <w:r>
        <w:rPr>
          <w:rFonts w:ascii="仿宋" w:hAnsi="仿宋" w:eastAsia="仿宋" w:cs="仿宋"/>
          <w:spacing w:val="-5"/>
          <w:sz w:val="24"/>
          <w:szCs w:val="24"/>
        </w:rPr>
        <w:t>（8）《中华人民共和国野生植物保护条例》，2017</w:t>
      </w:r>
      <w:r>
        <w:rPr>
          <w:rFonts w:ascii="仿宋" w:hAnsi="仿宋" w:eastAsia="仿宋" w:cs="仿宋"/>
          <w:spacing w:val="-40"/>
          <w:sz w:val="24"/>
          <w:szCs w:val="24"/>
        </w:rPr>
        <w:t xml:space="preserve"> </w:t>
      </w:r>
      <w:r>
        <w:rPr>
          <w:rFonts w:ascii="仿宋" w:hAnsi="仿宋" w:eastAsia="仿宋" w:cs="仿宋"/>
          <w:spacing w:val="-5"/>
          <w:sz w:val="24"/>
          <w:szCs w:val="24"/>
        </w:rPr>
        <w:t>年</w:t>
      </w:r>
      <w:r>
        <w:rPr>
          <w:rFonts w:ascii="仿宋" w:hAnsi="仿宋" w:eastAsia="仿宋" w:cs="仿宋"/>
          <w:spacing w:val="-34"/>
          <w:sz w:val="24"/>
          <w:szCs w:val="24"/>
        </w:rPr>
        <w:t xml:space="preserve"> </w:t>
      </w:r>
      <w:r>
        <w:rPr>
          <w:rFonts w:ascii="仿宋" w:hAnsi="仿宋" w:eastAsia="仿宋" w:cs="仿宋"/>
          <w:spacing w:val="-5"/>
          <w:sz w:val="24"/>
          <w:szCs w:val="24"/>
        </w:rPr>
        <w:t>10</w:t>
      </w:r>
      <w:r>
        <w:rPr>
          <w:rFonts w:ascii="仿宋" w:hAnsi="仿宋" w:eastAsia="仿宋" w:cs="仿宋"/>
          <w:spacing w:val="-33"/>
          <w:sz w:val="24"/>
          <w:szCs w:val="24"/>
        </w:rPr>
        <w:t xml:space="preserve"> </w:t>
      </w:r>
      <w:r>
        <w:rPr>
          <w:rFonts w:ascii="仿宋" w:hAnsi="仿宋" w:eastAsia="仿宋" w:cs="仿宋"/>
          <w:spacing w:val="-6"/>
          <w:sz w:val="24"/>
          <w:szCs w:val="24"/>
        </w:rPr>
        <w:t>月</w:t>
      </w:r>
      <w:r>
        <w:rPr>
          <w:rFonts w:ascii="仿宋" w:hAnsi="仿宋" w:eastAsia="仿宋" w:cs="仿宋"/>
          <w:spacing w:val="-45"/>
          <w:sz w:val="24"/>
          <w:szCs w:val="24"/>
        </w:rPr>
        <w:t xml:space="preserve"> </w:t>
      </w:r>
      <w:r>
        <w:rPr>
          <w:rFonts w:ascii="仿宋" w:hAnsi="仿宋" w:eastAsia="仿宋" w:cs="仿宋"/>
          <w:spacing w:val="-6"/>
          <w:sz w:val="24"/>
          <w:szCs w:val="24"/>
        </w:rPr>
        <w:t>7 日；</w:t>
      </w:r>
    </w:p>
    <w:p w14:paraId="171B20A7">
      <w:pPr>
        <w:spacing w:before="179" w:line="221" w:lineRule="auto"/>
        <w:ind w:left="514"/>
        <w:rPr>
          <w:rFonts w:ascii="仿宋" w:hAnsi="仿宋" w:eastAsia="仿宋" w:cs="仿宋"/>
          <w:sz w:val="24"/>
          <w:szCs w:val="24"/>
        </w:rPr>
      </w:pPr>
      <w:r>
        <w:rPr>
          <w:rFonts w:ascii="仿宋" w:hAnsi="仿宋" w:eastAsia="仿宋" w:cs="仿宋"/>
          <w:spacing w:val="-6"/>
          <w:sz w:val="24"/>
          <w:szCs w:val="24"/>
        </w:rPr>
        <w:t>（9）《中华人民共和国森林法》（修订</w:t>
      </w:r>
      <w:r>
        <w:rPr>
          <w:rFonts w:ascii="仿宋" w:hAnsi="仿宋" w:eastAsia="仿宋" w:cs="仿宋"/>
          <w:spacing w:val="11"/>
          <w:sz w:val="24"/>
          <w:szCs w:val="24"/>
        </w:rPr>
        <w:t>），</w:t>
      </w:r>
      <w:r>
        <w:rPr>
          <w:rFonts w:ascii="仿宋" w:hAnsi="仿宋" w:eastAsia="仿宋" w:cs="仿宋"/>
          <w:spacing w:val="-6"/>
          <w:sz w:val="24"/>
          <w:szCs w:val="24"/>
        </w:rPr>
        <w:t>2020</w:t>
      </w:r>
      <w:r>
        <w:rPr>
          <w:rFonts w:ascii="仿宋" w:hAnsi="仿宋" w:eastAsia="仿宋" w:cs="仿宋"/>
          <w:spacing w:val="-40"/>
          <w:sz w:val="24"/>
          <w:szCs w:val="24"/>
        </w:rPr>
        <w:t xml:space="preserve"> </w:t>
      </w:r>
      <w:r>
        <w:rPr>
          <w:rFonts w:ascii="仿宋" w:hAnsi="仿宋" w:eastAsia="仿宋" w:cs="仿宋"/>
          <w:spacing w:val="-6"/>
          <w:sz w:val="24"/>
          <w:szCs w:val="24"/>
        </w:rPr>
        <w:t>年</w:t>
      </w:r>
      <w:r>
        <w:rPr>
          <w:rFonts w:ascii="仿宋" w:hAnsi="仿宋" w:eastAsia="仿宋" w:cs="仿宋"/>
          <w:spacing w:val="-46"/>
          <w:sz w:val="24"/>
          <w:szCs w:val="24"/>
        </w:rPr>
        <w:t xml:space="preserve"> </w:t>
      </w:r>
      <w:r>
        <w:rPr>
          <w:rFonts w:ascii="仿宋" w:hAnsi="仿宋" w:eastAsia="仿宋" w:cs="仿宋"/>
          <w:spacing w:val="-6"/>
          <w:sz w:val="24"/>
          <w:szCs w:val="24"/>
        </w:rPr>
        <w:t>7</w:t>
      </w:r>
      <w:r>
        <w:rPr>
          <w:rFonts w:ascii="仿宋" w:hAnsi="仿宋" w:eastAsia="仿宋" w:cs="仿宋"/>
          <w:spacing w:val="-32"/>
          <w:sz w:val="24"/>
          <w:szCs w:val="24"/>
        </w:rPr>
        <w:t xml:space="preserve"> </w:t>
      </w:r>
      <w:r>
        <w:rPr>
          <w:rFonts w:ascii="仿宋" w:hAnsi="仿宋" w:eastAsia="仿宋" w:cs="仿宋"/>
          <w:spacing w:val="-6"/>
          <w:sz w:val="24"/>
          <w:szCs w:val="24"/>
        </w:rPr>
        <w:t>月</w:t>
      </w:r>
      <w:r>
        <w:rPr>
          <w:rFonts w:ascii="仿宋" w:hAnsi="仿宋" w:eastAsia="仿宋" w:cs="仿宋"/>
          <w:spacing w:val="-34"/>
          <w:sz w:val="24"/>
          <w:szCs w:val="24"/>
        </w:rPr>
        <w:t xml:space="preserve"> </w:t>
      </w:r>
      <w:r>
        <w:rPr>
          <w:rFonts w:ascii="仿宋" w:hAnsi="仿宋" w:eastAsia="仿宋" w:cs="仿宋"/>
          <w:spacing w:val="-6"/>
          <w:sz w:val="24"/>
          <w:szCs w:val="24"/>
        </w:rPr>
        <w:t>1 日起施行；</w:t>
      </w:r>
    </w:p>
    <w:p w14:paraId="453086AD">
      <w:pPr>
        <w:spacing w:before="180" w:line="221" w:lineRule="auto"/>
        <w:ind w:left="514"/>
        <w:rPr>
          <w:rFonts w:ascii="仿宋" w:hAnsi="仿宋" w:eastAsia="仿宋" w:cs="仿宋"/>
          <w:sz w:val="24"/>
          <w:szCs w:val="24"/>
        </w:rPr>
      </w:pPr>
      <w:r>
        <w:rPr>
          <w:rFonts w:ascii="仿宋" w:hAnsi="仿宋" w:eastAsia="仿宋" w:cs="仿宋"/>
          <w:spacing w:val="-5"/>
          <w:sz w:val="24"/>
          <w:szCs w:val="24"/>
        </w:rPr>
        <w:t>（10）《中华人民共和国黄河保护法》，2023</w:t>
      </w:r>
      <w:r>
        <w:rPr>
          <w:rFonts w:ascii="仿宋" w:hAnsi="仿宋" w:eastAsia="仿宋" w:cs="仿宋"/>
          <w:spacing w:val="-38"/>
          <w:sz w:val="24"/>
          <w:szCs w:val="24"/>
        </w:rPr>
        <w:t xml:space="preserve"> </w:t>
      </w:r>
      <w:r>
        <w:rPr>
          <w:rFonts w:ascii="仿宋" w:hAnsi="仿宋" w:eastAsia="仿宋" w:cs="仿宋"/>
          <w:spacing w:val="-5"/>
          <w:sz w:val="24"/>
          <w:szCs w:val="24"/>
        </w:rPr>
        <w:t>年</w:t>
      </w:r>
      <w:r>
        <w:rPr>
          <w:rFonts w:ascii="仿宋" w:hAnsi="仿宋" w:eastAsia="仿宋" w:cs="仿宋"/>
          <w:spacing w:val="-53"/>
          <w:sz w:val="24"/>
          <w:szCs w:val="24"/>
        </w:rPr>
        <w:t xml:space="preserve"> </w:t>
      </w:r>
      <w:r>
        <w:rPr>
          <w:rFonts w:ascii="仿宋" w:hAnsi="仿宋" w:eastAsia="仿宋" w:cs="仿宋"/>
          <w:spacing w:val="-5"/>
          <w:sz w:val="24"/>
          <w:szCs w:val="24"/>
        </w:rPr>
        <w:t>4</w:t>
      </w:r>
      <w:r>
        <w:rPr>
          <w:rFonts w:ascii="仿宋" w:hAnsi="仿宋" w:eastAsia="仿宋" w:cs="仿宋"/>
          <w:spacing w:val="-33"/>
          <w:sz w:val="24"/>
          <w:szCs w:val="24"/>
        </w:rPr>
        <w:t xml:space="preserve"> </w:t>
      </w:r>
      <w:r>
        <w:rPr>
          <w:rFonts w:ascii="仿宋" w:hAnsi="仿宋" w:eastAsia="仿宋" w:cs="仿宋"/>
          <w:spacing w:val="-5"/>
          <w:sz w:val="24"/>
          <w:szCs w:val="24"/>
        </w:rPr>
        <w:t>月</w:t>
      </w:r>
      <w:r>
        <w:rPr>
          <w:rFonts w:ascii="仿宋" w:hAnsi="仿宋" w:eastAsia="仿宋" w:cs="仿宋"/>
          <w:spacing w:val="-33"/>
          <w:sz w:val="24"/>
          <w:szCs w:val="24"/>
        </w:rPr>
        <w:t xml:space="preserve"> </w:t>
      </w:r>
      <w:r>
        <w:rPr>
          <w:rFonts w:ascii="仿宋" w:hAnsi="仿宋" w:eastAsia="仿宋" w:cs="仿宋"/>
          <w:spacing w:val="-5"/>
          <w:sz w:val="24"/>
          <w:szCs w:val="24"/>
        </w:rPr>
        <w:t>1 日起施行。</w:t>
      </w:r>
    </w:p>
    <w:p w14:paraId="01ED5531">
      <w:pPr>
        <w:spacing w:before="286" w:line="228" w:lineRule="auto"/>
        <w:ind w:left="43"/>
        <w:rPr>
          <w:rFonts w:ascii="仿宋" w:hAnsi="仿宋" w:eastAsia="仿宋" w:cs="仿宋"/>
          <w:sz w:val="26"/>
          <w:szCs w:val="26"/>
        </w:rPr>
      </w:pPr>
      <w:r>
        <w:rPr>
          <w:rFonts w:ascii="仿宋" w:hAnsi="仿宋" w:eastAsia="仿宋" w:cs="仿宋"/>
          <w:b/>
          <w:bCs/>
          <w:spacing w:val="4"/>
          <w:sz w:val="26"/>
          <w:szCs w:val="26"/>
        </w:rPr>
        <w:t>1.1.2</w:t>
      </w:r>
      <w:r>
        <w:rPr>
          <w:rFonts w:ascii="仿宋" w:hAnsi="仿宋" w:eastAsia="仿宋" w:cs="仿宋"/>
          <w:spacing w:val="4"/>
          <w:sz w:val="26"/>
          <w:szCs w:val="26"/>
        </w:rPr>
        <w:t xml:space="preserve"> </w:t>
      </w:r>
      <w:r>
        <w:rPr>
          <w:rFonts w:ascii="仿宋" w:hAnsi="仿宋" w:eastAsia="仿宋" w:cs="仿宋"/>
          <w:b/>
          <w:bCs/>
          <w:spacing w:val="4"/>
          <w:sz w:val="26"/>
          <w:szCs w:val="26"/>
        </w:rPr>
        <w:t>相关导则、技术规范、标准</w:t>
      </w:r>
    </w:p>
    <w:p w14:paraId="7E53F770">
      <w:pPr>
        <w:spacing w:before="299" w:line="222" w:lineRule="auto"/>
        <w:ind w:left="514"/>
        <w:rPr>
          <w:rFonts w:ascii="仿宋" w:hAnsi="仿宋" w:eastAsia="仿宋" w:cs="仿宋"/>
          <w:sz w:val="24"/>
          <w:szCs w:val="24"/>
        </w:rPr>
      </w:pPr>
      <w:r>
        <w:rPr>
          <w:rFonts w:ascii="仿宋" w:hAnsi="仿宋" w:eastAsia="仿宋" w:cs="仿宋"/>
          <w:spacing w:val="-1"/>
          <w:sz w:val="24"/>
          <w:szCs w:val="24"/>
        </w:rPr>
        <w:t>（1）《建设项目环境影响评价技术导则总纲》（HJ2.1-2016</w:t>
      </w:r>
      <w:r>
        <w:rPr>
          <w:rFonts w:ascii="仿宋" w:hAnsi="仿宋" w:eastAsia="仿宋" w:cs="仿宋"/>
          <w:spacing w:val="5"/>
          <w:sz w:val="24"/>
          <w:szCs w:val="24"/>
        </w:rPr>
        <w:t>）；</w:t>
      </w:r>
    </w:p>
    <w:p w14:paraId="1F182BC7">
      <w:pPr>
        <w:spacing w:before="142" w:line="466" w:lineRule="exact"/>
        <w:ind w:left="514"/>
        <w:rPr>
          <w:rFonts w:ascii="仿宋" w:hAnsi="仿宋" w:eastAsia="仿宋" w:cs="仿宋"/>
          <w:sz w:val="24"/>
          <w:szCs w:val="24"/>
        </w:rPr>
      </w:pPr>
      <w:r>
        <w:rPr>
          <w:rFonts w:ascii="仿宋" w:hAnsi="仿宋" w:eastAsia="仿宋" w:cs="仿宋"/>
          <w:spacing w:val="-5"/>
          <w:position w:val="5"/>
          <w:sz w:val="24"/>
          <w:szCs w:val="24"/>
        </w:rPr>
        <w:t>（2）《</w:t>
      </w:r>
      <w:r>
        <w:fldChar w:fldCharType="begin"/>
      </w:r>
      <w:r>
        <w:instrText xml:space="preserve"> HYPERLINK "https://sthjt.nmg.gov.cn/xxgk/zfxxgk/fdzdgknr/gzxzgfxwx/gz/202502/t20250217_2667529.html" </w:instrText>
      </w:r>
      <w:r>
        <w:fldChar w:fldCharType="separate"/>
      </w:r>
      <w:r>
        <w:rPr>
          <w:rFonts w:ascii="仿宋" w:hAnsi="仿宋" w:eastAsia="仿宋" w:cs="仿宋"/>
          <w:spacing w:val="-5"/>
          <w:position w:val="5"/>
          <w:sz w:val="24"/>
          <w:szCs w:val="24"/>
        </w:rPr>
        <w:t>内蒙古自治区生态环境保护条例</w:t>
      </w:r>
      <w:r>
        <w:rPr>
          <w:rFonts w:ascii="仿宋" w:hAnsi="仿宋" w:eastAsia="仿宋" w:cs="仿宋"/>
          <w:spacing w:val="-5"/>
          <w:position w:val="5"/>
          <w:sz w:val="24"/>
          <w:szCs w:val="24"/>
        </w:rPr>
        <w:fldChar w:fldCharType="end"/>
      </w:r>
      <w:r>
        <w:rPr>
          <w:rFonts w:ascii="仿宋" w:hAnsi="仿宋" w:eastAsia="仿宋" w:cs="仿宋"/>
          <w:spacing w:val="-5"/>
          <w:position w:val="5"/>
          <w:sz w:val="24"/>
          <w:szCs w:val="24"/>
        </w:rPr>
        <w:t>》（2025</w:t>
      </w:r>
      <w:r>
        <w:rPr>
          <w:rFonts w:ascii="仿宋" w:hAnsi="仿宋" w:eastAsia="仿宋" w:cs="仿宋"/>
          <w:spacing w:val="-40"/>
          <w:position w:val="5"/>
          <w:sz w:val="24"/>
          <w:szCs w:val="24"/>
        </w:rPr>
        <w:t xml:space="preserve"> </w:t>
      </w:r>
      <w:r>
        <w:rPr>
          <w:rFonts w:ascii="仿宋" w:hAnsi="仿宋" w:eastAsia="仿宋" w:cs="仿宋"/>
          <w:spacing w:val="-5"/>
          <w:position w:val="5"/>
          <w:sz w:val="24"/>
          <w:szCs w:val="24"/>
        </w:rPr>
        <w:t>年</w:t>
      </w:r>
      <w:r>
        <w:rPr>
          <w:rFonts w:ascii="仿宋" w:hAnsi="仿宋" w:eastAsia="仿宋" w:cs="仿宋"/>
          <w:spacing w:val="-47"/>
          <w:position w:val="5"/>
          <w:sz w:val="24"/>
          <w:szCs w:val="24"/>
        </w:rPr>
        <w:t xml:space="preserve"> </w:t>
      </w:r>
      <w:r>
        <w:rPr>
          <w:rFonts w:ascii="仿宋" w:hAnsi="仿宋" w:eastAsia="仿宋" w:cs="仿宋"/>
          <w:spacing w:val="-5"/>
          <w:position w:val="5"/>
          <w:sz w:val="24"/>
          <w:szCs w:val="24"/>
        </w:rPr>
        <w:t>3</w:t>
      </w:r>
      <w:r>
        <w:rPr>
          <w:rFonts w:ascii="仿宋" w:hAnsi="仿宋" w:eastAsia="仿宋" w:cs="仿宋"/>
          <w:spacing w:val="-33"/>
          <w:position w:val="5"/>
          <w:sz w:val="24"/>
          <w:szCs w:val="24"/>
        </w:rPr>
        <w:t xml:space="preserve"> </w:t>
      </w:r>
      <w:r>
        <w:rPr>
          <w:rFonts w:ascii="仿宋" w:hAnsi="仿宋" w:eastAsia="仿宋" w:cs="仿宋"/>
          <w:spacing w:val="-5"/>
          <w:position w:val="5"/>
          <w:sz w:val="24"/>
          <w:szCs w:val="24"/>
        </w:rPr>
        <w:t>月</w:t>
      </w:r>
      <w:r>
        <w:rPr>
          <w:rFonts w:ascii="仿宋" w:hAnsi="仿宋" w:eastAsia="仿宋" w:cs="仿宋"/>
          <w:spacing w:val="-33"/>
          <w:position w:val="5"/>
          <w:sz w:val="24"/>
          <w:szCs w:val="24"/>
        </w:rPr>
        <w:t xml:space="preserve"> </w:t>
      </w:r>
      <w:r>
        <w:rPr>
          <w:rFonts w:ascii="仿宋" w:hAnsi="仿宋" w:eastAsia="仿宋" w:cs="仿宋"/>
          <w:spacing w:val="-5"/>
          <w:position w:val="5"/>
          <w:sz w:val="24"/>
          <w:szCs w:val="24"/>
        </w:rPr>
        <w:t xml:space="preserve">1 </w:t>
      </w:r>
      <w:r>
        <w:rPr>
          <w:rFonts w:ascii="仿宋" w:hAnsi="仿宋" w:eastAsia="仿宋" w:cs="仿宋"/>
          <w:spacing w:val="-6"/>
          <w:position w:val="5"/>
          <w:sz w:val="24"/>
          <w:szCs w:val="24"/>
        </w:rPr>
        <w:t>日起实行</w:t>
      </w:r>
      <w:r>
        <w:rPr>
          <w:rFonts w:ascii="仿宋" w:hAnsi="仿宋" w:eastAsia="仿宋" w:cs="仿宋"/>
          <w:position w:val="5"/>
          <w:sz w:val="24"/>
          <w:szCs w:val="24"/>
        </w:rPr>
        <w:t>）；</w:t>
      </w:r>
    </w:p>
    <w:p w14:paraId="18601D2E">
      <w:pPr>
        <w:spacing w:before="37" w:line="221" w:lineRule="auto"/>
        <w:ind w:left="514"/>
        <w:rPr>
          <w:rFonts w:ascii="仿宋" w:hAnsi="仿宋" w:eastAsia="仿宋" w:cs="仿宋"/>
          <w:sz w:val="24"/>
          <w:szCs w:val="24"/>
        </w:rPr>
      </w:pPr>
      <w:r>
        <w:rPr>
          <w:rFonts w:ascii="仿宋" w:hAnsi="仿宋" w:eastAsia="仿宋" w:cs="仿宋"/>
          <w:spacing w:val="-3"/>
          <w:sz w:val="24"/>
          <w:szCs w:val="24"/>
        </w:rPr>
        <w:t>（3）《内蒙古自治区主体功能区规划》，2012</w:t>
      </w:r>
      <w:r>
        <w:rPr>
          <w:rFonts w:ascii="仿宋" w:hAnsi="仿宋" w:eastAsia="仿宋" w:cs="仿宋"/>
          <w:spacing w:val="-40"/>
          <w:sz w:val="24"/>
          <w:szCs w:val="24"/>
        </w:rPr>
        <w:t xml:space="preserve"> </w:t>
      </w:r>
      <w:r>
        <w:rPr>
          <w:rFonts w:ascii="仿宋" w:hAnsi="仿宋" w:eastAsia="仿宋" w:cs="仿宋"/>
          <w:spacing w:val="-3"/>
          <w:sz w:val="24"/>
          <w:szCs w:val="24"/>
        </w:rPr>
        <w:t>年</w:t>
      </w:r>
      <w:r>
        <w:rPr>
          <w:rFonts w:ascii="仿宋" w:hAnsi="仿宋" w:eastAsia="仿宋" w:cs="仿宋"/>
          <w:spacing w:val="-45"/>
          <w:sz w:val="24"/>
          <w:szCs w:val="24"/>
        </w:rPr>
        <w:t xml:space="preserve"> </w:t>
      </w:r>
      <w:r>
        <w:rPr>
          <w:rFonts w:ascii="仿宋" w:hAnsi="仿宋" w:eastAsia="仿宋" w:cs="仿宋"/>
          <w:spacing w:val="-4"/>
          <w:sz w:val="24"/>
          <w:szCs w:val="24"/>
        </w:rPr>
        <w:t>7</w:t>
      </w:r>
      <w:r>
        <w:rPr>
          <w:rFonts w:ascii="仿宋" w:hAnsi="仿宋" w:eastAsia="仿宋" w:cs="仿宋"/>
          <w:spacing w:val="-33"/>
          <w:sz w:val="24"/>
          <w:szCs w:val="24"/>
        </w:rPr>
        <w:t xml:space="preserve"> </w:t>
      </w:r>
      <w:r>
        <w:rPr>
          <w:rFonts w:ascii="仿宋" w:hAnsi="仿宋" w:eastAsia="仿宋" w:cs="仿宋"/>
          <w:spacing w:val="-4"/>
          <w:sz w:val="24"/>
          <w:szCs w:val="24"/>
        </w:rPr>
        <w:t>月；</w:t>
      </w:r>
    </w:p>
    <w:p w14:paraId="37855ADB">
      <w:pPr>
        <w:spacing w:before="178" w:line="360" w:lineRule="auto"/>
        <w:ind w:left="36" w:right="13" w:firstLine="478"/>
        <w:rPr>
          <w:rFonts w:ascii="仿宋" w:hAnsi="仿宋" w:eastAsia="仿宋" w:cs="仿宋"/>
          <w:sz w:val="24"/>
          <w:szCs w:val="24"/>
        </w:rPr>
      </w:pPr>
      <w:r>
        <w:rPr>
          <w:rFonts w:ascii="仿宋" w:hAnsi="仿宋" w:eastAsia="仿宋" w:cs="仿宋"/>
          <w:spacing w:val="-7"/>
          <w:sz w:val="24"/>
          <w:szCs w:val="24"/>
        </w:rPr>
        <w:t>（4）《内蒙古自治区人民政府关于自治区主体功能区规划的实施意见》（内</w:t>
      </w:r>
      <w:r>
        <w:rPr>
          <w:rFonts w:ascii="仿宋" w:hAnsi="仿宋" w:eastAsia="仿宋" w:cs="仿宋"/>
          <w:spacing w:val="-3"/>
          <w:sz w:val="24"/>
          <w:szCs w:val="24"/>
        </w:rPr>
        <w:t>蒙古自治区人民政府，内政发[</w:t>
      </w:r>
      <w:r>
        <w:fldChar w:fldCharType="begin"/>
      </w:r>
      <w:r>
        <w:instrText xml:space="preserve"> HYPERLINK \l "bookmark93" </w:instrText>
      </w:r>
      <w:r>
        <w:fldChar w:fldCharType="separate"/>
      </w:r>
      <w:r>
        <w:rPr>
          <w:rFonts w:ascii="仿宋" w:hAnsi="仿宋" w:eastAsia="仿宋" w:cs="仿宋"/>
          <w:spacing w:val="-3"/>
          <w:sz w:val="24"/>
          <w:szCs w:val="24"/>
        </w:rPr>
        <w:t>2015</w:t>
      </w:r>
      <w:r>
        <w:rPr>
          <w:rFonts w:ascii="仿宋" w:hAnsi="仿宋" w:eastAsia="仿宋" w:cs="仿宋"/>
          <w:spacing w:val="-3"/>
          <w:sz w:val="24"/>
          <w:szCs w:val="24"/>
        </w:rPr>
        <w:fldChar w:fldCharType="end"/>
      </w:r>
      <w:r>
        <w:rPr>
          <w:rFonts w:ascii="仿宋" w:hAnsi="仿宋" w:eastAsia="仿宋" w:cs="仿宋"/>
          <w:spacing w:val="-3"/>
          <w:sz w:val="24"/>
          <w:szCs w:val="24"/>
        </w:rPr>
        <w:t>]18</w:t>
      </w:r>
      <w:r>
        <w:rPr>
          <w:rFonts w:ascii="仿宋" w:hAnsi="仿宋" w:eastAsia="仿宋" w:cs="仿宋"/>
          <w:spacing w:val="-38"/>
          <w:sz w:val="24"/>
          <w:szCs w:val="24"/>
        </w:rPr>
        <w:t xml:space="preserve"> </w:t>
      </w:r>
      <w:r>
        <w:rPr>
          <w:rFonts w:ascii="仿宋" w:hAnsi="仿宋" w:eastAsia="仿宋" w:cs="仿宋"/>
          <w:spacing w:val="-3"/>
          <w:sz w:val="24"/>
          <w:szCs w:val="24"/>
        </w:rPr>
        <w:t>号，2015</w:t>
      </w:r>
      <w:r>
        <w:rPr>
          <w:rFonts w:ascii="仿宋" w:hAnsi="仿宋" w:eastAsia="仿宋" w:cs="仿宋"/>
          <w:spacing w:val="-39"/>
          <w:sz w:val="24"/>
          <w:szCs w:val="24"/>
        </w:rPr>
        <w:t xml:space="preserve"> </w:t>
      </w:r>
      <w:r>
        <w:rPr>
          <w:rFonts w:ascii="仿宋" w:hAnsi="仿宋" w:eastAsia="仿宋" w:cs="仿宋"/>
          <w:spacing w:val="-3"/>
          <w:sz w:val="24"/>
          <w:szCs w:val="24"/>
        </w:rPr>
        <w:t>年</w:t>
      </w:r>
      <w:r>
        <w:rPr>
          <w:rFonts w:ascii="仿宋" w:hAnsi="仿宋" w:eastAsia="仿宋" w:cs="仿宋"/>
          <w:spacing w:val="-34"/>
          <w:sz w:val="24"/>
          <w:szCs w:val="24"/>
        </w:rPr>
        <w:t xml:space="preserve"> </w:t>
      </w:r>
      <w:r>
        <w:rPr>
          <w:rFonts w:ascii="仿宋" w:hAnsi="仿宋" w:eastAsia="仿宋" w:cs="仿宋"/>
          <w:spacing w:val="-3"/>
          <w:sz w:val="24"/>
          <w:szCs w:val="24"/>
        </w:rPr>
        <w:t>1</w:t>
      </w:r>
      <w:r>
        <w:rPr>
          <w:rFonts w:ascii="仿宋" w:hAnsi="仿宋" w:eastAsia="仿宋" w:cs="仿宋"/>
          <w:spacing w:val="-33"/>
          <w:sz w:val="24"/>
          <w:szCs w:val="24"/>
        </w:rPr>
        <w:t xml:space="preserve"> </w:t>
      </w:r>
      <w:r>
        <w:rPr>
          <w:rFonts w:ascii="仿宋" w:hAnsi="仿宋" w:eastAsia="仿宋" w:cs="仿宋"/>
          <w:spacing w:val="-3"/>
          <w:sz w:val="24"/>
          <w:szCs w:val="24"/>
        </w:rPr>
        <w:t>月</w:t>
      </w:r>
      <w:r>
        <w:rPr>
          <w:rFonts w:ascii="仿宋" w:hAnsi="仿宋" w:eastAsia="仿宋" w:cs="仿宋"/>
          <w:spacing w:val="-15"/>
          <w:sz w:val="24"/>
          <w:szCs w:val="24"/>
        </w:rPr>
        <w:t>）；</w:t>
      </w:r>
    </w:p>
    <w:p w14:paraId="03DBFE9E">
      <w:pPr>
        <w:spacing w:before="1" w:line="220" w:lineRule="auto"/>
        <w:ind w:left="514"/>
        <w:rPr>
          <w:rFonts w:ascii="仿宋" w:hAnsi="仿宋" w:eastAsia="仿宋" w:cs="仿宋"/>
          <w:sz w:val="24"/>
          <w:szCs w:val="24"/>
        </w:rPr>
      </w:pPr>
      <w:r>
        <w:rPr>
          <w:rFonts w:ascii="仿宋" w:hAnsi="仿宋" w:eastAsia="仿宋" w:cs="仿宋"/>
          <w:spacing w:val="-6"/>
          <w:sz w:val="24"/>
          <w:szCs w:val="24"/>
        </w:rPr>
        <w:t>（6）《内蒙古自治区草原管理条例》，200</w:t>
      </w:r>
      <w:r>
        <w:rPr>
          <w:rFonts w:ascii="仿宋" w:hAnsi="仿宋" w:eastAsia="仿宋" w:cs="仿宋"/>
          <w:spacing w:val="-7"/>
          <w:sz w:val="24"/>
          <w:szCs w:val="24"/>
        </w:rPr>
        <w:t>5</w:t>
      </w:r>
      <w:r>
        <w:rPr>
          <w:rFonts w:ascii="仿宋" w:hAnsi="仿宋" w:eastAsia="仿宋" w:cs="仿宋"/>
          <w:spacing w:val="-40"/>
          <w:sz w:val="24"/>
          <w:szCs w:val="24"/>
        </w:rPr>
        <w:t xml:space="preserve"> </w:t>
      </w:r>
      <w:r>
        <w:rPr>
          <w:rFonts w:ascii="仿宋" w:hAnsi="仿宋" w:eastAsia="仿宋" w:cs="仿宋"/>
          <w:spacing w:val="-7"/>
          <w:sz w:val="24"/>
          <w:szCs w:val="24"/>
        </w:rPr>
        <w:t>年</w:t>
      </w:r>
      <w:r>
        <w:rPr>
          <w:rFonts w:ascii="仿宋" w:hAnsi="仿宋" w:eastAsia="仿宋" w:cs="仿宋"/>
          <w:spacing w:val="-34"/>
          <w:sz w:val="24"/>
          <w:szCs w:val="24"/>
        </w:rPr>
        <w:t xml:space="preserve"> </w:t>
      </w:r>
      <w:r>
        <w:rPr>
          <w:rFonts w:ascii="仿宋" w:hAnsi="仿宋" w:eastAsia="仿宋" w:cs="仿宋"/>
          <w:spacing w:val="-7"/>
          <w:sz w:val="24"/>
          <w:szCs w:val="24"/>
        </w:rPr>
        <w:t>1</w:t>
      </w:r>
      <w:r>
        <w:rPr>
          <w:rFonts w:ascii="仿宋" w:hAnsi="仿宋" w:eastAsia="仿宋" w:cs="仿宋"/>
          <w:spacing w:val="-33"/>
          <w:sz w:val="24"/>
          <w:szCs w:val="24"/>
        </w:rPr>
        <w:t xml:space="preserve"> </w:t>
      </w:r>
      <w:r>
        <w:rPr>
          <w:rFonts w:ascii="仿宋" w:hAnsi="仿宋" w:eastAsia="仿宋" w:cs="仿宋"/>
          <w:spacing w:val="-7"/>
          <w:sz w:val="24"/>
          <w:szCs w:val="24"/>
        </w:rPr>
        <w:t>月</w:t>
      </w:r>
      <w:r>
        <w:rPr>
          <w:rFonts w:ascii="仿宋" w:hAnsi="仿宋" w:eastAsia="仿宋" w:cs="仿宋"/>
          <w:spacing w:val="-33"/>
          <w:sz w:val="24"/>
          <w:szCs w:val="24"/>
        </w:rPr>
        <w:t xml:space="preserve"> </w:t>
      </w:r>
      <w:r>
        <w:rPr>
          <w:rFonts w:ascii="仿宋" w:hAnsi="仿宋" w:eastAsia="仿宋" w:cs="仿宋"/>
          <w:spacing w:val="-7"/>
          <w:sz w:val="24"/>
          <w:szCs w:val="24"/>
        </w:rPr>
        <w:t>1 日；</w:t>
      </w:r>
    </w:p>
    <w:p w14:paraId="384E960E">
      <w:pPr>
        <w:spacing w:before="179" w:line="221" w:lineRule="auto"/>
        <w:ind w:left="514"/>
        <w:rPr>
          <w:rFonts w:ascii="仿宋" w:hAnsi="仿宋" w:eastAsia="仿宋" w:cs="仿宋"/>
          <w:sz w:val="24"/>
          <w:szCs w:val="24"/>
        </w:rPr>
      </w:pPr>
      <w:r>
        <w:rPr>
          <w:rFonts w:ascii="仿宋" w:hAnsi="仿宋" w:eastAsia="仿宋" w:cs="仿宋"/>
          <w:spacing w:val="-5"/>
          <w:sz w:val="24"/>
          <w:szCs w:val="24"/>
        </w:rPr>
        <w:t>（7）《内蒙古自治区草原管理条例实施细则》，2006</w:t>
      </w:r>
      <w:r>
        <w:rPr>
          <w:rFonts w:ascii="仿宋" w:hAnsi="仿宋" w:eastAsia="仿宋" w:cs="仿宋"/>
          <w:spacing w:val="-40"/>
          <w:sz w:val="24"/>
          <w:szCs w:val="24"/>
        </w:rPr>
        <w:t xml:space="preserve"> </w:t>
      </w:r>
      <w:r>
        <w:rPr>
          <w:rFonts w:ascii="仿宋" w:hAnsi="仿宋" w:eastAsia="仿宋" w:cs="仿宋"/>
          <w:spacing w:val="-5"/>
          <w:sz w:val="24"/>
          <w:szCs w:val="24"/>
        </w:rPr>
        <w:t>年</w:t>
      </w:r>
      <w:r>
        <w:rPr>
          <w:rFonts w:ascii="仿宋" w:hAnsi="仿宋" w:eastAsia="仿宋" w:cs="仿宋"/>
          <w:spacing w:val="-47"/>
          <w:sz w:val="24"/>
          <w:szCs w:val="24"/>
        </w:rPr>
        <w:t xml:space="preserve"> </w:t>
      </w:r>
      <w:r>
        <w:rPr>
          <w:rFonts w:ascii="仿宋" w:hAnsi="仿宋" w:eastAsia="仿宋" w:cs="仿宋"/>
          <w:spacing w:val="-5"/>
          <w:sz w:val="24"/>
          <w:szCs w:val="24"/>
        </w:rPr>
        <w:t>5</w:t>
      </w:r>
      <w:r>
        <w:rPr>
          <w:rFonts w:ascii="仿宋" w:hAnsi="仿宋" w:eastAsia="仿宋" w:cs="仿宋"/>
          <w:spacing w:val="-33"/>
          <w:sz w:val="24"/>
          <w:szCs w:val="24"/>
        </w:rPr>
        <w:t xml:space="preserve"> </w:t>
      </w:r>
      <w:r>
        <w:rPr>
          <w:rFonts w:ascii="仿宋" w:hAnsi="仿宋" w:eastAsia="仿宋" w:cs="仿宋"/>
          <w:spacing w:val="-5"/>
          <w:sz w:val="24"/>
          <w:szCs w:val="24"/>
        </w:rPr>
        <w:t>月</w:t>
      </w:r>
      <w:r>
        <w:rPr>
          <w:rFonts w:ascii="仿宋" w:hAnsi="仿宋" w:eastAsia="仿宋" w:cs="仿宋"/>
          <w:spacing w:val="-33"/>
          <w:sz w:val="24"/>
          <w:szCs w:val="24"/>
        </w:rPr>
        <w:t xml:space="preserve"> </w:t>
      </w:r>
      <w:r>
        <w:rPr>
          <w:rFonts w:ascii="仿宋" w:hAnsi="仿宋" w:eastAsia="仿宋" w:cs="仿宋"/>
          <w:spacing w:val="-6"/>
          <w:sz w:val="24"/>
          <w:szCs w:val="24"/>
        </w:rPr>
        <w:t>1 日；</w:t>
      </w:r>
    </w:p>
    <w:p w14:paraId="3DAED041">
      <w:pPr>
        <w:spacing w:before="178" w:line="222" w:lineRule="auto"/>
        <w:ind w:left="514"/>
        <w:rPr>
          <w:rFonts w:ascii="仿宋" w:hAnsi="仿宋" w:eastAsia="仿宋" w:cs="仿宋"/>
          <w:sz w:val="24"/>
          <w:szCs w:val="24"/>
        </w:rPr>
      </w:pPr>
      <w:r>
        <w:rPr>
          <w:rFonts w:ascii="仿宋" w:hAnsi="仿宋" w:eastAsia="仿宋" w:cs="仿宋"/>
          <w:spacing w:val="-2"/>
          <w:sz w:val="24"/>
          <w:szCs w:val="24"/>
        </w:rPr>
        <w:t>（8）《环境影响评价技术导则</w:t>
      </w:r>
      <w:r>
        <w:rPr>
          <w:rFonts w:ascii="仿宋" w:hAnsi="仿宋" w:eastAsia="仿宋" w:cs="仿宋"/>
          <w:spacing w:val="38"/>
          <w:sz w:val="24"/>
          <w:szCs w:val="24"/>
        </w:rPr>
        <w:t xml:space="preserve"> </w:t>
      </w:r>
      <w:r>
        <w:rPr>
          <w:rFonts w:ascii="仿宋" w:hAnsi="仿宋" w:eastAsia="仿宋" w:cs="仿宋"/>
          <w:spacing w:val="-2"/>
          <w:sz w:val="24"/>
          <w:szCs w:val="24"/>
        </w:rPr>
        <w:t>生态影响》（HJ19-2022）</w:t>
      </w:r>
    </w:p>
    <w:p w14:paraId="1FA1D4FA">
      <w:pPr>
        <w:spacing w:before="180" w:line="222" w:lineRule="auto"/>
        <w:ind w:left="514"/>
        <w:rPr>
          <w:rFonts w:ascii="仿宋" w:hAnsi="仿宋" w:eastAsia="仿宋" w:cs="仿宋"/>
          <w:sz w:val="24"/>
          <w:szCs w:val="24"/>
        </w:rPr>
      </w:pPr>
      <w:r>
        <w:rPr>
          <w:rFonts w:ascii="仿宋" w:hAnsi="仿宋" w:eastAsia="仿宋" w:cs="仿宋"/>
          <w:spacing w:val="-1"/>
          <w:sz w:val="24"/>
          <w:szCs w:val="24"/>
        </w:rPr>
        <w:t>（9）《环境影响评价技术导则 公路建设项目》（HJ1358-2024</w:t>
      </w:r>
      <w:r>
        <w:rPr>
          <w:rFonts w:ascii="仿宋" w:hAnsi="仿宋" w:eastAsia="仿宋" w:cs="仿宋"/>
          <w:spacing w:val="6"/>
          <w:sz w:val="24"/>
          <w:szCs w:val="24"/>
        </w:rPr>
        <w:t>）；</w:t>
      </w:r>
    </w:p>
    <w:p w14:paraId="46004C7E">
      <w:pPr>
        <w:spacing w:before="177" w:line="222" w:lineRule="auto"/>
        <w:ind w:left="514"/>
        <w:rPr>
          <w:rFonts w:ascii="仿宋" w:hAnsi="仿宋" w:eastAsia="仿宋" w:cs="仿宋"/>
          <w:sz w:val="24"/>
          <w:szCs w:val="24"/>
        </w:rPr>
      </w:pPr>
      <w:r>
        <w:rPr>
          <w:rFonts w:ascii="仿宋" w:hAnsi="仿宋" w:eastAsia="仿宋" w:cs="仿宋"/>
          <w:spacing w:val="-1"/>
          <w:sz w:val="24"/>
          <w:szCs w:val="24"/>
        </w:rPr>
        <w:t>（10）《公路建设项目环境影响评价规范》（JTGB03-2006</w:t>
      </w:r>
      <w:r>
        <w:rPr>
          <w:rFonts w:ascii="仿宋" w:hAnsi="仿宋" w:eastAsia="仿宋" w:cs="仿宋"/>
          <w:spacing w:val="5"/>
          <w:sz w:val="24"/>
          <w:szCs w:val="24"/>
        </w:rPr>
        <w:t>）；</w:t>
      </w:r>
    </w:p>
    <w:p w14:paraId="4A33A08F">
      <w:pPr>
        <w:spacing w:before="179" w:line="222" w:lineRule="auto"/>
        <w:ind w:left="514"/>
        <w:rPr>
          <w:rFonts w:ascii="仿宋" w:hAnsi="仿宋" w:eastAsia="仿宋" w:cs="仿宋"/>
          <w:sz w:val="24"/>
          <w:szCs w:val="24"/>
        </w:rPr>
      </w:pPr>
      <w:r>
        <w:rPr>
          <w:rFonts w:ascii="仿宋" w:hAnsi="仿宋" w:eastAsia="仿宋" w:cs="仿宋"/>
          <w:spacing w:val="-1"/>
          <w:sz w:val="24"/>
          <w:szCs w:val="24"/>
        </w:rPr>
        <w:t>（11）《公路工程技术标准》（JTGB01-2014</w:t>
      </w:r>
      <w:r>
        <w:rPr>
          <w:rFonts w:ascii="仿宋" w:hAnsi="仿宋" w:eastAsia="仿宋" w:cs="仿宋"/>
          <w:spacing w:val="2"/>
          <w:sz w:val="24"/>
          <w:szCs w:val="24"/>
        </w:rPr>
        <w:t>）；</w:t>
      </w:r>
    </w:p>
    <w:p w14:paraId="659F9F24">
      <w:pPr>
        <w:spacing w:line="222" w:lineRule="auto"/>
        <w:rPr>
          <w:rFonts w:ascii="仿宋" w:hAnsi="仿宋" w:eastAsia="仿宋" w:cs="仿宋"/>
          <w:sz w:val="24"/>
          <w:szCs w:val="24"/>
        </w:rPr>
        <w:sectPr>
          <w:footerReference r:id="rId199" w:type="default"/>
          <w:pgSz w:w="11906" w:h="16839"/>
          <w:pgMar w:top="400" w:right="1785" w:bottom="1511" w:left="1785" w:header="0" w:footer="1349" w:gutter="0"/>
          <w:cols w:space="720" w:num="1"/>
        </w:sectPr>
      </w:pPr>
    </w:p>
    <w:p w14:paraId="4630C649">
      <w:pPr>
        <w:pStyle w:val="2"/>
        <w:spacing w:line="247" w:lineRule="auto"/>
        <w:rPr>
          <w:sz w:val="21"/>
        </w:rPr>
      </w:pPr>
    </w:p>
    <w:p w14:paraId="2E29E4EB">
      <w:pPr>
        <w:pStyle w:val="2"/>
        <w:spacing w:line="248" w:lineRule="auto"/>
        <w:rPr>
          <w:sz w:val="21"/>
        </w:rPr>
      </w:pPr>
    </w:p>
    <w:p w14:paraId="2B323477">
      <w:pPr>
        <w:pStyle w:val="2"/>
        <w:spacing w:line="248" w:lineRule="auto"/>
        <w:rPr>
          <w:sz w:val="21"/>
        </w:rPr>
      </w:pPr>
    </w:p>
    <w:p w14:paraId="7817B968">
      <w:pPr>
        <w:pStyle w:val="2"/>
        <w:spacing w:line="248" w:lineRule="auto"/>
        <w:rPr>
          <w:sz w:val="21"/>
        </w:rPr>
      </w:pPr>
    </w:p>
    <w:p w14:paraId="0CB6ACD8">
      <w:pPr>
        <w:spacing w:before="78" w:line="222" w:lineRule="auto"/>
        <w:ind w:left="514"/>
        <w:rPr>
          <w:rFonts w:ascii="仿宋" w:hAnsi="仿宋" w:eastAsia="仿宋" w:cs="仿宋"/>
          <w:sz w:val="24"/>
          <w:szCs w:val="24"/>
        </w:rPr>
      </w:pPr>
      <w:r>
        <w:rPr>
          <w:rFonts w:ascii="仿宋" w:hAnsi="仿宋" w:eastAsia="仿宋" w:cs="仿宋"/>
          <w:spacing w:val="-1"/>
          <w:sz w:val="24"/>
          <w:szCs w:val="24"/>
        </w:rPr>
        <w:t>（12）《公路路基设计规范》（JTGD30-2015</w:t>
      </w:r>
      <w:r>
        <w:rPr>
          <w:rFonts w:ascii="仿宋" w:hAnsi="仿宋" w:eastAsia="仿宋" w:cs="仿宋"/>
          <w:spacing w:val="2"/>
          <w:sz w:val="24"/>
          <w:szCs w:val="24"/>
        </w:rPr>
        <w:t>）；</w:t>
      </w:r>
    </w:p>
    <w:p w14:paraId="1833BF51">
      <w:pPr>
        <w:spacing w:before="178" w:line="221" w:lineRule="auto"/>
        <w:ind w:left="514"/>
        <w:rPr>
          <w:rFonts w:ascii="仿宋" w:hAnsi="仿宋" w:eastAsia="仿宋" w:cs="仿宋"/>
          <w:sz w:val="24"/>
          <w:szCs w:val="24"/>
        </w:rPr>
      </w:pPr>
      <w:r>
        <w:rPr>
          <w:rFonts w:ascii="仿宋" w:hAnsi="仿宋" w:eastAsia="仿宋" w:cs="仿宋"/>
          <w:spacing w:val="-1"/>
          <w:sz w:val="24"/>
          <w:szCs w:val="24"/>
        </w:rPr>
        <w:t>（13）《公路环境保护设计规范》（JTGB04-2010</w:t>
      </w:r>
      <w:r>
        <w:rPr>
          <w:rFonts w:ascii="仿宋" w:hAnsi="仿宋" w:eastAsia="仿宋" w:cs="仿宋"/>
          <w:spacing w:val="3"/>
          <w:sz w:val="24"/>
          <w:szCs w:val="24"/>
        </w:rPr>
        <w:t>）；</w:t>
      </w:r>
    </w:p>
    <w:p w14:paraId="39082062">
      <w:pPr>
        <w:spacing w:before="178" w:line="221" w:lineRule="auto"/>
        <w:ind w:left="514"/>
        <w:rPr>
          <w:rFonts w:ascii="仿宋" w:hAnsi="仿宋" w:eastAsia="仿宋" w:cs="仿宋"/>
          <w:sz w:val="24"/>
          <w:szCs w:val="24"/>
        </w:rPr>
      </w:pPr>
      <w:r>
        <w:rPr>
          <w:rFonts w:ascii="仿宋" w:hAnsi="仿宋" w:eastAsia="仿宋" w:cs="仿宋"/>
          <w:spacing w:val="-1"/>
          <w:sz w:val="24"/>
          <w:szCs w:val="24"/>
        </w:rPr>
        <w:t>（14）《生产建设项目水土保持技术标准》（GB 50433-2018</w:t>
      </w:r>
      <w:r>
        <w:rPr>
          <w:rFonts w:ascii="仿宋" w:hAnsi="仿宋" w:eastAsia="仿宋" w:cs="仿宋"/>
          <w:spacing w:val="6"/>
          <w:sz w:val="24"/>
          <w:szCs w:val="24"/>
        </w:rPr>
        <w:t>）；</w:t>
      </w:r>
    </w:p>
    <w:p w14:paraId="3BA8C899">
      <w:pPr>
        <w:spacing w:before="181" w:line="222" w:lineRule="auto"/>
        <w:ind w:left="514"/>
        <w:rPr>
          <w:rFonts w:ascii="仿宋" w:hAnsi="仿宋" w:eastAsia="仿宋" w:cs="仿宋"/>
          <w:sz w:val="24"/>
          <w:szCs w:val="24"/>
        </w:rPr>
      </w:pPr>
      <w:r>
        <w:rPr>
          <w:rFonts w:ascii="仿宋" w:hAnsi="仿宋" w:eastAsia="仿宋" w:cs="仿宋"/>
          <w:spacing w:val="-1"/>
          <w:sz w:val="24"/>
          <w:szCs w:val="24"/>
        </w:rPr>
        <w:t>（15）《生产建设项目水土流失防治标准》（GB 50434-2018</w:t>
      </w:r>
      <w:r>
        <w:rPr>
          <w:rFonts w:ascii="仿宋" w:hAnsi="仿宋" w:eastAsia="仿宋" w:cs="仿宋"/>
          <w:spacing w:val="6"/>
          <w:sz w:val="24"/>
          <w:szCs w:val="24"/>
        </w:rPr>
        <w:t>）；</w:t>
      </w:r>
    </w:p>
    <w:p w14:paraId="5ADCC2D6">
      <w:pPr>
        <w:spacing w:before="176" w:line="221" w:lineRule="auto"/>
        <w:ind w:left="514"/>
        <w:rPr>
          <w:rFonts w:ascii="仿宋" w:hAnsi="仿宋" w:eastAsia="仿宋" w:cs="仿宋"/>
          <w:sz w:val="24"/>
          <w:szCs w:val="24"/>
        </w:rPr>
      </w:pPr>
      <w:r>
        <w:rPr>
          <w:rFonts w:ascii="仿宋" w:hAnsi="仿宋" w:eastAsia="仿宋" w:cs="仿宋"/>
          <w:spacing w:val="-4"/>
          <w:sz w:val="24"/>
          <w:szCs w:val="24"/>
        </w:rPr>
        <w:t>（16）《黄河流域生态保护和高质量发展</w:t>
      </w:r>
      <w:r>
        <w:rPr>
          <w:rFonts w:ascii="仿宋" w:hAnsi="仿宋" w:eastAsia="仿宋" w:cs="仿宋"/>
          <w:spacing w:val="-5"/>
          <w:sz w:val="24"/>
          <w:szCs w:val="24"/>
        </w:rPr>
        <w:t>规划纲要》，2021</w:t>
      </w:r>
      <w:r>
        <w:rPr>
          <w:rFonts w:ascii="仿宋" w:hAnsi="仿宋" w:eastAsia="仿宋" w:cs="仿宋"/>
          <w:spacing w:val="-39"/>
          <w:sz w:val="24"/>
          <w:szCs w:val="24"/>
        </w:rPr>
        <w:t xml:space="preserve"> </w:t>
      </w:r>
      <w:r>
        <w:rPr>
          <w:rFonts w:ascii="仿宋" w:hAnsi="仿宋" w:eastAsia="仿宋" w:cs="仿宋"/>
          <w:spacing w:val="-5"/>
          <w:sz w:val="24"/>
          <w:szCs w:val="24"/>
        </w:rPr>
        <w:t>年</w:t>
      </w:r>
      <w:r>
        <w:rPr>
          <w:rFonts w:ascii="仿宋" w:hAnsi="仿宋" w:eastAsia="仿宋" w:cs="仿宋"/>
          <w:spacing w:val="-34"/>
          <w:sz w:val="24"/>
          <w:szCs w:val="24"/>
        </w:rPr>
        <w:t xml:space="preserve"> </w:t>
      </w:r>
      <w:r>
        <w:rPr>
          <w:rFonts w:ascii="仿宋" w:hAnsi="仿宋" w:eastAsia="仿宋" w:cs="仿宋"/>
          <w:spacing w:val="-5"/>
          <w:sz w:val="24"/>
          <w:szCs w:val="24"/>
        </w:rPr>
        <w:t>10</w:t>
      </w:r>
      <w:r>
        <w:rPr>
          <w:rFonts w:ascii="仿宋" w:hAnsi="仿宋" w:eastAsia="仿宋" w:cs="仿宋"/>
          <w:spacing w:val="-33"/>
          <w:sz w:val="24"/>
          <w:szCs w:val="24"/>
        </w:rPr>
        <w:t xml:space="preserve"> </w:t>
      </w:r>
      <w:r>
        <w:rPr>
          <w:rFonts w:ascii="仿宋" w:hAnsi="仿宋" w:eastAsia="仿宋" w:cs="仿宋"/>
          <w:spacing w:val="-5"/>
          <w:sz w:val="24"/>
          <w:szCs w:val="24"/>
        </w:rPr>
        <w:t>月</w:t>
      </w:r>
      <w:r>
        <w:rPr>
          <w:rFonts w:ascii="仿宋" w:hAnsi="仿宋" w:eastAsia="仿宋" w:cs="仿宋"/>
          <w:spacing w:val="-50"/>
          <w:sz w:val="24"/>
          <w:szCs w:val="24"/>
        </w:rPr>
        <w:t xml:space="preserve"> </w:t>
      </w:r>
      <w:r>
        <w:rPr>
          <w:rFonts w:ascii="仿宋" w:hAnsi="仿宋" w:eastAsia="仿宋" w:cs="仿宋"/>
          <w:spacing w:val="-5"/>
          <w:sz w:val="24"/>
          <w:szCs w:val="24"/>
        </w:rPr>
        <w:t>8 日；</w:t>
      </w:r>
    </w:p>
    <w:p w14:paraId="76243E4F">
      <w:pPr>
        <w:spacing w:before="180" w:line="221" w:lineRule="auto"/>
        <w:ind w:left="514"/>
        <w:rPr>
          <w:rFonts w:ascii="仿宋" w:hAnsi="仿宋" w:eastAsia="仿宋" w:cs="仿宋"/>
          <w:sz w:val="24"/>
          <w:szCs w:val="24"/>
        </w:rPr>
      </w:pPr>
      <w:r>
        <w:rPr>
          <w:rFonts w:ascii="仿宋" w:hAnsi="仿宋" w:eastAsia="仿宋" w:cs="仿宋"/>
          <w:spacing w:val="-5"/>
          <w:sz w:val="24"/>
          <w:szCs w:val="24"/>
        </w:rPr>
        <w:t>（17）《黄河流域生态环境保护规划》，2022</w:t>
      </w:r>
      <w:r>
        <w:rPr>
          <w:rFonts w:ascii="仿宋" w:hAnsi="仿宋" w:eastAsia="仿宋" w:cs="仿宋"/>
          <w:spacing w:val="-36"/>
          <w:sz w:val="24"/>
          <w:szCs w:val="24"/>
        </w:rPr>
        <w:t xml:space="preserve"> </w:t>
      </w:r>
      <w:r>
        <w:rPr>
          <w:rFonts w:ascii="仿宋" w:hAnsi="仿宋" w:eastAsia="仿宋" w:cs="仿宋"/>
          <w:spacing w:val="-5"/>
          <w:sz w:val="24"/>
          <w:szCs w:val="24"/>
        </w:rPr>
        <w:t>年</w:t>
      </w:r>
      <w:r>
        <w:rPr>
          <w:rFonts w:ascii="仿宋" w:hAnsi="仿宋" w:eastAsia="仿宋" w:cs="仿宋"/>
          <w:spacing w:val="-50"/>
          <w:sz w:val="24"/>
          <w:szCs w:val="24"/>
        </w:rPr>
        <w:t xml:space="preserve"> </w:t>
      </w:r>
      <w:r>
        <w:rPr>
          <w:rFonts w:ascii="仿宋" w:hAnsi="仿宋" w:eastAsia="仿宋" w:cs="仿宋"/>
          <w:spacing w:val="-5"/>
          <w:sz w:val="24"/>
          <w:szCs w:val="24"/>
        </w:rPr>
        <w:t>6</w:t>
      </w:r>
      <w:r>
        <w:rPr>
          <w:rFonts w:ascii="仿宋" w:hAnsi="仿宋" w:eastAsia="仿宋" w:cs="仿宋"/>
          <w:spacing w:val="-33"/>
          <w:sz w:val="24"/>
          <w:szCs w:val="24"/>
        </w:rPr>
        <w:t xml:space="preserve"> </w:t>
      </w:r>
      <w:r>
        <w:rPr>
          <w:rFonts w:ascii="仿宋" w:hAnsi="仿宋" w:eastAsia="仿宋" w:cs="仿宋"/>
          <w:spacing w:val="-5"/>
          <w:sz w:val="24"/>
          <w:szCs w:val="24"/>
        </w:rPr>
        <w:t>月</w:t>
      </w:r>
      <w:r>
        <w:rPr>
          <w:rFonts w:ascii="仿宋" w:hAnsi="仿宋" w:eastAsia="仿宋" w:cs="仿宋"/>
          <w:spacing w:val="-48"/>
          <w:sz w:val="24"/>
          <w:szCs w:val="24"/>
        </w:rPr>
        <w:t xml:space="preserve"> </w:t>
      </w:r>
      <w:r>
        <w:rPr>
          <w:rFonts w:ascii="仿宋" w:hAnsi="仿宋" w:eastAsia="仿宋" w:cs="仿宋"/>
          <w:spacing w:val="-5"/>
          <w:sz w:val="24"/>
          <w:szCs w:val="24"/>
        </w:rPr>
        <w:t>28 日；</w:t>
      </w:r>
    </w:p>
    <w:p w14:paraId="7A88FFB3">
      <w:pPr>
        <w:spacing w:before="179" w:line="360" w:lineRule="auto"/>
        <w:ind w:left="41" w:right="85" w:firstLine="473"/>
        <w:rPr>
          <w:rFonts w:ascii="仿宋" w:hAnsi="仿宋" w:eastAsia="仿宋" w:cs="仿宋"/>
          <w:sz w:val="24"/>
          <w:szCs w:val="24"/>
        </w:rPr>
      </w:pPr>
      <w:r>
        <w:rPr>
          <w:rFonts w:ascii="仿宋" w:hAnsi="仿宋" w:eastAsia="仿宋" w:cs="仿宋"/>
          <w:spacing w:val="2"/>
          <w:sz w:val="24"/>
          <w:szCs w:val="24"/>
        </w:rPr>
        <w:t>（18）《内蒙古自治区黄河流域生态保护和高质量发展规划》，2022</w:t>
      </w:r>
      <w:r>
        <w:rPr>
          <w:rFonts w:ascii="仿宋" w:hAnsi="仿宋" w:eastAsia="仿宋" w:cs="仿宋"/>
          <w:spacing w:val="-22"/>
          <w:sz w:val="24"/>
          <w:szCs w:val="24"/>
        </w:rPr>
        <w:t xml:space="preserve"> </w:t>
      </w:r>
      <w:r>
        <w:rPr>
          <w:rFonts w:ascii="仿宋" w:hAnsi="仿宋" w:eastAsia="仿宋" w:cs="仿宋"/>
          <w:spacing w:val="2"/>
          <w:sz w:val="24"/>
          <w:szCs w:val="24"/>
        </w:rPr>
        <w:t>年</w:t>
      </w:r>
      <w:r>
        <w:rPr>
          <w:rFonts w:ascii="仿宋" w:hAnsi="仿宋" w:eastAsia="仿宋" w:cs="仿宋"/>
          <w:spacing w:val="-46"/>
          <w:sz w:val="24"/>
          <w:szCs w:val="24"/>
        </w:rPr>
        <w:t xml:space="preserve"> </w:t>
      </w:r>
      <w:r>
        <w:rPr>
          <w:rFonts w:ascii="仿宋" w:hAnsi="仿宋" w:eastAsia="仿宋" w:cs="仿宋"/>
          <w:spacing w:val="2"/>
          <w:sz w:val="24"/>
          <w:szCs w:val="24"/>
        </w:rPr>
        <w:t>2</w:t>
      </w:r>
      <w:r>
        <w:rPr>
          <w:rFonts w:ascii="仿宋" w:hAnsi="仿宋" w:eastAsia="仿宋" w:cs="仿宋"/>
          <w:spacing w:val="-14"/>
          <w:sz w:val="24"/>
          <w:szCs w:val="24"/>
        </w:rPr>
        <w:t>月；</w:t>
      </w:r>
    </w:p>
    <w:p w14:paraId="069C81FC">
      <w:pPr>
        <w:spacing w:before="1" w:line="220" w:lineRule="auto"/>
        <w:ind w:left="514"/>
        <w:rPr>
          <w:rFonts w:ascii="仿宋" w:hAnsi="仿宋" w:eastAsia="仿宋" w:cs="仿宋"/>
          <w:sz w:val="24"/>
          <w:szCs w:val="24"/>
        </w:rPr>
      </w:pPr>
      <w:r>
        <w:rPr>
          <w:rFonts w:ascii="仿宋" w:hAnsi="仿宋" w:eastAsia="仿宋" w:cs="仿宋"/>
          <w:spacing w:val="-5"/>
          <w:sz w:val="24"/>
          <w:szCs w:val="24"/>
        </w:rPr>
        <w:t>（19）《内蒙古自治区重点保护野生植物名录》，2020</w:t>
      </w:r>
      <w:r>
        <w:rPr>
          <w:rFonts w:ascii="仿宋" w:hAnsi="仿宋" w:eastAsia="仿宋" w:cs="仿宋"/>
          <w:spacing w:val="-30"/>
          <w:sz w:val="24"/>
          <w:szCs w:val="24"/>
        </w:rPr>
        <w:t xml:space="preserve"> </w:t>
      </w:r>
      <w:r>
        <w:rPr>
          <w:rFonts w:ascii="仿宋" w:hAnsi="仿宋" w:eastAsia="仿宋" w:cs="仿宋"/>
          <w:spacing w:val="-5"/>
          <w:sz w:val="24"/>
          <w:szCs w:val="24"/>
        </w:rPr>
        <w:t>年</w:t>
      </w:r>
      <w:r>
        <w:rPr>
          <w:rFonts w:ascii="仿宋" w:hAnsi="仿宋" w:eastAsia="仿宋" w:cs="仿宋"/>
          <w:spacing w:val="-34"/>
          <w:sz w:val="24"/>
          <w:szCs w:val="24"/>
        </w:rPr>
        <w:t xml:space="preserve"> </w:t>
      </w:r>
      <w:r>
        <w:rPr>
          <w:rFonts w:ascii="仿宋" w:hAnsi="仿宋" w:eastAsia="仿宋" w:cs="仿宋"/>
          <w:spacing w:val="-5"/>
          <w:sz w:val="24"/>
          <w:szCs w:val="24"/>
        </w:rPr>
        <w:t>11</w:t>
      </w:r>
      <w:r>
        <w:rPr>
          <w:rFonts w:ascii="仿宋" w:hAnsi="仿宋" w:eastAsia="仿宋" w:cs="仿宋"/>
          <w:spacing w:val="-33"/>
          <w:sz w:val="24"/>
          <w:szCs w:val="24"/>
        </w:rPr>
        <w:t xml:space="preserve"> </w:t>
      </w:r>
      <w:r>
        <w:rPr>
          <w:rFonts w:ascii="仿宋" w:hAnsi="仿宋" w:eastAsia="仿宋" w:cs="仿宋"/>
          <w:spacing w:val="-5"/>
          <w:sz w:val="24"/>
          <w:szCs w:val="24"/>
        </w:rPr>
        <w:t>月</w:t>
      </w:r>
      <w:r>
        <w:rPr>
          <w:rFonts w:ascii="仿宋" w:hAnsi="仿宋" w:eastAsia="仿宋" w:cs="仿宋"/>
          <w:spacing w:val="-50"/>
          <w:sz w:val="24"/>
          <w:szCs w:val="24"/>
        </w:rPr>
        <w:t xml:space="preserve"> </w:t>
      </w:r>
      <w:r>
        <w:rPr>
          <w:rFonts w:ascii="仿宋" w:hAnsi="仿宋" w:eastAsia="仿宋" w:cs="仿宋"/>
          <w:spacing w:val="-5"/>
          <w:sz w:val="24"/>
          <w:szCs w:val="24"/>
        </w:rPr>
        <w:t>9 日；</w:t>
      </w:r>
    </w:p>
    <w:p w14:paraId="7CF14327">
      <w:pPr>
        <w:spacing w:before="178" w:line="221" w:lineRule="auto"/>
        <w:jc w:val="right"/>
        <w:rPr>
          <w:rFonts w:ascii="仿宋" w:hAnsi="仿宋" w:eastAsia="仿宋" w:cs="仿宋"/>
          <w:sz w:val="24"/>
          <w:szCs w:val="24"/>
        </w:rPr>
      </w:pPr>
      <w:r>
        <w:rPr>
          <w:rFonts w:ascii="仿宋" w:hAnsi="仿宋" w:eastAsia="仿宋" w:cs="仿宋"/>
          <w:spacing w:val="-7"/>
          <w:sz w:val="24"/>
          <w:szCs w:val="24"/>
        </w:rPr>
        <w:t>（20）《内蒙古自治区重点保护陆生野生动物名录》，2021</w:t>
      </w:r>
      <w:r>
        <w:rPr>
          <w:rFonts w:ascii="仿宋" w:hAnsi="仿宋" w:eastAsia="仿宋" w:cs="仿宋"/>
          <w:spacing w:val="-26"/>
          <w:sz w:val="24"/>
          <w:szCs w:val="24"/>
        </w:rPr>
        <w:t xml:space="preserve"> </w:t>
      </w:r>
      <w:r>
        <w:rPr>
          <w:rFonts w:ascii="仿宋" w:hAnsi="仿宋" w:eastAsia="仿宋" w:cs="仿宋"/>
          <w:spacing w:val="-7"/>
          <w:sz w:val="24"/>
          <w:szCs w:val="24"/>
        </w:rPr>
        <w:t>年</w:t>
      </w:r>
      <w:r>
        <w:rPr>
          <w:rFonts w:ascii="仿宋" w:hAnsi="仿宋" w:eastAsia="仿宋" w:cs="仿宋"/>
          <w:spacing w:val="-34"/>
          <w:sz w:val="24"/>
          <w:szCs w:val="24"/>
        </w:rPr>
        <w:t xml:space="preserve"> </w:t>
      </w:r>
      <w:r>
        <w:rPr>
          <w:rFonts w:ascii="仿宋" w:hAnsi="仿宋" w:eastAsia="仿宋" w:cs="仿宋"/>
          <w:spacing w:val="-7"/>
          <w:sz w:val="24"/>
          <w:szCs w:val="24"/>
        </w:rPr>
        <w:t>11</w:t>
      </w:r>
      <w:r>
        <w:rPr>
          <w:rFonts w:ascii="仿宋" w:hAnsi="仿宋" w:eastAsia="仿宋" w:cs="仿宋"/>
          <w:spacing w:val="-33"/>
          <w:sz w:val="24"/>
          <w:szCs w:val="24"/>
        </w:rPr>
        <w:t xml:space="preserve"> </w:t>
      </w:r>
      <w:r>
        <w:rPr>
          <w:rFonts w:ascii="仿宋" w:hAnsi="仿宋" w:eastAsia="仿宋" w:cs="仿宋"/>
          <w:spacing w:val="-7"/>
          <w:sz w:val="24"/>
          <w:szCs w:val="24"/>
        </w:rPr>
        <w:t>月</w:t>
      </w:r>
      <w:r>
        <w:rPr>
          <w:rFonts w:ascii="仿宋" w:hAnsi="仿宋" w:eastAsia="仿宋" w:cs="仿宋"/>
          <w:spacing w:val="-34"/>
          <w:sz w:val="24"/>
          <w:szCs w:val="24"/>
        </w:rPr>
        <w:t xml:space="preserve"> </w:t>
      </w:r>
      <w:r>
        <w:rPr>
          <w:rFonts w:ascii="仿宋" w:hAnsi="仿宋" w:eastAsia="仿宋" w:cs="仿宋"/>
          <w:spacing w:val="-7"/>
          <w:sz w:val="24"/>
          <w:szCs w:val="24"/>
        </w:rPr>
        <w:t>17 日。</w:t>
      </w:r>
    </w:p>
    <w:p w14:paraId="1F23127A">
      <w:pPr>
        <w:spacing w:before="286" w:line="228" w:lineRule="auto"/>
        <w:ind w:left="43"/>
        <w:rPr>
          <w:rFonts w:ascii="仿宋" w:hAnsi="仿宋" w:eastAsia="仿宋" w:cs="仿宋"/>
          <w:sz w:val="26"/>
          <w:szCs w:val="26"/>
        </w:rPr>
      </w:pPr>
      <w:r>
        <w:rPr>
          <w:rFonts w:ascii="仿宋" w:hAnsi="仿宋" w:eastAsia="仿宋" w:cs="仿宋"/>
          <w:b/>
          <w:bCs/>
          <w:spacing w:val="1"/>
          <w:sz w:val="26"/>
          <w:szCs w:val="26"/>
        </w:rPr>
        <w:t>1.1.3</w:t>
      </w:r>
      <w:r>
        <w:rPr>
          <w:rFonts w:ascii="仿宋" w:hAnsi="仿宋" w:eastAsia="仿宋" w:cs="仿宋"/>
          <w:spacing w:val="29"/>
          <w:sz w:val="26"/>
          <w:szCs w:val="26"/>
        </w:rPr>
        <w:t xml:space="preserve"> </w:t>
      </w:r>
      <w:r>
        <w:rPr>
          <w:rFonts w:ascii="仿宋" w:hAnsi="仿宋" w:eastAsia="仿宋" w:cs="仿宋"/>
          <w:b/>
          <w:bCs/>
          <w:spacing w:val="1"/>
          <w:sz w:val="26"/>
          <w:szCs w:val="26"/>
        </w:rPr>
        <w:t>项目相关文件</w:t>
      </w:r>
    </w:p>
    <w:p w14:paraId="514A40F8">
      <w:pPr>
        <w:spacing w:before="296" w:line="360" w:lineRule="auto"/>
        <w:ind w:left="29" w:right="83" w:firstLine="485"/>
        <w:rPr>
          <w:rFonts w:ascii="仿宋" w:hAnsi="仿宋" w:eastAsia="仿宋" w:cs="仿宋"/>
          <w:sz w:val="24"/>
          <w:szCs w:val="24"/>
        </w:rPr>
      </w:pPr>
      <w:r>
        <w:rPr>
          <w:rFonts w:ascii="仿宋" w:hAnsi="仿宋" w:eastAsia="仿宋" w:cs="仿宋"/>
          <w:spacing w:val="-2"/>
          <w:sz w:val="24"/>
          <w:szCs w:val="24"/>
        </w:rPr>
        <w:t>（1）《准格尔旗2025</w:t>
      </w:r>
      <w:r>
        <w:rPr>
          <w:rFonts w:ascii="仿宋" w:hAnsi="仿宋" w:eastAsia="仿宋" w:cs="仿宋"/>
          <w:spacing w:val="-39"/>
          <w:sz w:val="24"/>
          <w:szCs w:val="24"/>
        </w:rPr>
        <w:t xml:space="preserve"> </w:t>
      </w:r>
      <w:r>
        <w:rPr>
          <w:rFonts w:ascii="仿宋" w:hAnsi="仿宋" w:eastAsia="仿宋" w:cs="仿宋"/>
          <w:spacing w:val="-2"/>
          <w:sz w:val="24"/>
          <w:szCs w:val="24"/>
        </w:rPr>
        <w:t>年沙圪堵镇、十二连城乡自然村通硬</w:t>
      </w:r>
      <w:r>
        <w:rPr>
          <w:rFonts w:ascii="仿宋" w:hAnsi="仿宋" w:eastAsia="仿宋" w:cs="仿宋"/>
          <w:spacing w:val="-3"/>
          <w:sz w:val="24"/>
          <w:szCs w:val="24"/>
        </w:rPr>
        <w:t>化路工程可行性</w:t>
      </w:r>
      <w:r>
        <w:rPr>
          <w:rFonts w:ascii="仿宋" w:hAnsi="仿宋" w:eastAsia="仿宋" w:cs="仿宋"/>
          <w:spacing w:val="-2"/>
          <w:sz w:val="24"/>
          <w:szCs w:val="24"/>
        </w:rPr>
        <w:t>研究报告》（鄂尔多斯市中交交通规划设计有限公司，2025</w:t>
      </w:r>
      <w:r>
        <w:rPr>
          <w:rFonts w:ascii="仿宋" w:hAnsi="仿宋" w:eastAsia="仿宋" w:cs="仿宋"/>
          <w:spacing w:val="-40"/>
          <w:sz w:val="24"/>
          <w:szCs w:val="24"/>
        </w:rPr>
        <w:t xml:space="preserve"> </w:t>
      </w:r>
      <w:r>
        <w:rPr>
          <w:rFonts w:ascii="仿宋" w:hAnsi="仿宋" w:eastAsia="仿宋" w:cs="仿宋"/>
          <w:spacing w:val="-2"/>
          <w:sz w:val="24"/>
          <w:szCs w:val="24"/>
        </w:rPr>
        <w:t>年</w:t>
      </w:r>
      <w:r>
        <w:rPr>
          <w:rFonts w:ascii="仿宋" w:hAnsi="仿宋" w:eastAsia="仿宋" w:cs="仿宋"/>
          <w:spacing w:val="-34"/>
          <w:sz w:val="24"/>
          <w:szCs w:val="24"/>
        </w:rPr>
        <w:t xml:space="preserve"> </w:t>
      </w:r>
      <w:r>
        <w:rPr>
          <w:rFonts w:ascii="仿宋" w:hAnsi="仿宋" w:eastAsia="仿宋" w:cs="仿宋"/>
          <w:spacing w:val="-2"/>
          <w:sz w:val="24"/>
          <w:szCs w:val="24"/>
        </w:rPr>
        <w:t>11</w:t>
      </w:r>
      <w:r>
        <w:rPr>
          <w:rFonts w:ascii="仿宋" w:hAnsi="仿宋" w:eastAsia="仿宋" w:cs="仿宋"/>
          <w:spacing w:val="-33"/>
          <w:sz w:val="24"/>
          <w:szCs w:val="24"/>
        </w:rPr>
        <w:t xml:space="preserve"> </w:t>
      </w:r>
      <w:r>
        <w:rPr>
          <w:rFonts w:ascii="仿宋" w:hAnsi="仿宋" w:eastAsia="仿宋" w:cs="仿宋"/>
          <w:spacing w:val="-2"/>
          <w:sz w:val="24"/>
          <w:szCs w:val="24"/>
        </w:rPr>
        <w:t>月</w:t>
      </w:r>
      <w:r>
        <w:rPr>
          <w:rFonts w:ascii="仿宋" w:hAnsi="仿宋" w:eastAsia="仿宋" w:cs="仿宋"/>
          <w:spacing w:val="-13"/>
          <w:sz w:val="24"/>
          <w:szCs w:val="24"/>
        </w:rPr>
        <w:t>）；</w:t>
      </w:r>
    </w:p>
    <w:p w14:paraId="1085DB6D">
      <w:pPr>
        <w:spacing w:before="1" w:line="359" w:lineRule="auto"/>
        <w:ind w:left="29" w:right="83" w:firstLine="485"/>
        <w:rPr>
          <w:rFonts w:ascii="仿宋" w:hAnsi="仿宋" w:eastAsia="仿宋" w:cs="仿宋"/>
          <w:sz w:val="24"/>
          <w:szCs w:val="24"/>
        </w:rPr>
      </w:pPr>
      <w:r>
        <w:rPr>
          <w:rFonts w:ascii="仿宋" w:hAnsi="仿宋" w:eastAsia="仿宋" w:cs="仿宋"/>
          <w:spacing w:val="-2"/>
          <w:sz w:val="24"/>
          <w:szCs w:val="24"/>
        </w:rPr>
        <w:t>（2）《准格尔旗2025</w:t>
      </w:r>
      <w:r>
        <w:rPr>
          <w:rFonts w:ascii="仿宋" w:hAnsi="仿宋" w:eastAsia="仿宋" w:cs="仿宋"/>
          <w:spacing w:val="-39"/>
          <w:sz w:val="24"/>
          <w:szCs w:val="24"/>
        </w:rPr>
        <w:t xml:space="preserve"> </w:t>
      </w:r>
      <w:r>
        <w:rPr>
          <w:rFonts w:ascii="仿宋" w:hAnsi="仿宋" w:eastAsia="仿宋" w:cs="仿宋"/>
          <w:spacing w:val="-2"/>
          <w:sz w:val="24"/>
          <w:szCs w:val="24"/>
        </w:rPr>
        <w:t>年沙圪堵镇、十二连城乡自然村通硬</w:t>
      </w:r>
      <w:r>
        <w:rPr>
          <w:rFonts w:ascii="仿宋" w:hAnsi="仿宋" w:eastAsia="仿宋" w:cs="仿宋"/>
          <w:spacing w:val="-3"/>
          <w:sz w:val="24"/>
          <w:szCs w:val="24"/>
        </w:rPr>
        <w:t>化路工程可行性</w:t>
      </w:r>
      <w:r>
        <w:rPr>
          <w:rFonts w:ascii="仿宋" w:hAnsi="仿宋" w:eastAsia="仿宋" w:cs="仿宋"/>
          <w:spacing w:val="-2"/>
          <w:sz w:val="24"/>
          <w:szCs w:val="24"/>
        </w:rPr>
        <w:t>研究报告的批复》（准发改审批发[</w:t>
      </w:r>
      <w:r>
        <w:fldChar w:fldCharType="begin"/>
      </w:r>
      <w:r>
        <w:instrText xml:space="preserve"> HYPERLINK \l "bookmark94" </w:instrText>
      </w:r>
      <w:r>
        <w:fldChar w:fldCharType="separate"/>
      </w:r>
      <w:r>
        <w:rPr>
          <w:rFonts w:ascii="仿宋" w:hAnsi="仿宋" w:eastAsia="仿宋" w:cs="仿宋"/>
          <w:spacing w:val="-2"/>
          <w:sz w:val="24"/>
          <w:szCs w:val="24"/>
        </w:rPr>
        <w:t>2025</w:t>
      </w:r>
      <w:r>
        <w:rPr>
          <w:rFonts w:ascii="仿宋" w:hAnsi="仿宋" w:eastAsia="仿宋" w:cs="仿宋"/>
          <w:spacing w:val="-2"/>
          <w:sz w:val="24"/>
          <w:szCs w:val="24"/>
        </w:rPr>
        <w:fldChar w:fldCharType="end"/>
      </w:r>
      <w:r>
        <w:rPr>
          <w:rFonts w:ascii="仿宋" w:hAnsi="仿宋" w:eastAsia="仿宋" w:cs="仿宋"/>
          <w:spacing w:val="-2"/>
          <w:sz w:val="24"/>
          <w:szCs w:val="24"/>
        </w:rPr>
        <w:t>]207</w:t>
      </w:r>
      <w:r>
        <w:rPr>
          <w:rFonts w:ascii="仿宋" w:hAnsi="仿宋" w:eastAsia="仿宋" w:cs="仿宋"/>
          <w:spacing w:val="-23"/>
          <w:sz w:val="24"/>
          <w:szCs w:val="24"/>
        </w:rPr>
        <w:t xml:space="preserve"> </w:t>
      </w:r>
      <w:r>
        <w:rPr>
          <w:rFonts w:ascii="仿宋" w:hAnsi="仿宋" w:eastAsia="仿宋" w:cs="仿宋"/>
          <w:spacing w:val="-2"/>
          <w:sz w:val="24"/>
          <w:szCs w:val="24"/>
        </w:rPr>
        <w:t>号）。</w:t>
      </w:r>
    </w:p>
    <w:p w14:paraId="1E6FFDA9">
      <w:pPr>
        <w:spacing w:before="111" w:line="228" w:lineRule="auto"/>
        <w:ind w:left="48"/>
        <w:outlineLvl w:val="1"/>
        <w:rPr>
          <w:rFonts w:ascii="仿宋" w:hAnsi="仿宋" w:eastAsia="仿宋" w:cs="仿宋"/>
          <w:sz w:val="31"/>
          <w:szCs w:val="31"/>
        </w:rPr>
      </w:pPr>
      <w:bookmarkStart w:id="60" w:name="bookmark69"/>
      <w:bookmarkEnd w:id="60"/>
      <w:r>
        <w:rPr>
          <w:rFonts w:ascii="仿宋" w:hAnsi="仿宋" w:eastAsia="仿宋" w:cs="仿宋"/>
          <w:b/>
          <w:bCs/>
          <w:spacing w:val="-3"/>
          <w:sz w:val="31"/>
          <w:szCs w:val="31"/>
        </w:rPr>
        <w:t>1.2</w:t>
      </w:r>
      <w:r>
        <w:rPr>
          <w:rFonts w:ascii="仿宋" w:hAnsi="仿宋" w:eastAsia="仿宋" w:cs="仿宋"/>
          <w:spacing w:val="-50"/>
          <w:sz w:val="31"/>
          <w:szCs w:val="31"/>
        </w:rPr>
        <w:t xml:space="preserve"> </w:t>
      </w:r>
      <w:r>
        <w:rPr>
          <w:rFonts w:ascii="仿宋" w:hAnsi="仿宋" w:eastAsia="仿宋" w:cs="仿宋"/>
          <w:b/>
          <w:bCs/>
          <w:spacing w:val="-3"/>
          <w:sz w:val="31"/>
          <w:szCs w:val="31"/>
        </w:rPr>
        <w:t>评价原则</w:t>
      </w:r>
    </w:p>
    <w:p w14:paraId="05D1AA5F">
      <w:pPr>
        <w:pStyle w:val="2"/>
        <w:spacing w:line="245" w:lineRule="auto"/>
        <w:rPr>
          <w:sz w:val="21"/>
        </w:rPr>
      </w:pPr>
    </w:p>
    <w:p w14:paraId="468F7D03">
      <w:pPr>
        <w:spacing w:before="79" w:line="359" w:lineRule="auto"/>
        <w:ind w:left="31" w:right="83" w:firstLine="482"/>
        <w:jc w:val="both"/>
        <w:rPr>
          <w:rFonts w:ascii="仿宋" w:hAnsi="仿宋" w:eastAsia="仿宋" w:cs="仿宋"/>
          <w:sz w:val="24"/>
          <w:szCs w:val="24"/>
        </w:rPr>
      </w:pPr>
      <w:r>
        <w:rPr>
          <w:rFonts w:ascii="仿宋" w:hAnsi="仿宋" w:eastAsia="仿宋" w:cs="仿宋"/>
          <w:spacing w:val="-4"/>
          <w:sz w:val="24"/>
          <w:szCs w:val="24"/>
        </w:rPr>
        <w:t>坚持重点与全面相结合的原则。既要突出评价项目所涉及的重点区域、关键</w:t>
      </w:r>
      <w:r>
        <w:rPr>
          <w:rFonts w:ascii="仿宋" w:hAnsi="仿宋" w:eastAsia="仿宋" w:cs="仿宋"/>
          <w:spacing w:val="-3"/>
          <w:sz w:val="24"/>
          <w:szCs w:val="24"/>
        </w:rPr>
        <w:t>时段和主导生态因子，又要从整体上兼顾评价项目所涉及的生</w:t>
      </w:r>
      <w:r>
        <w:rPr>
          <w:rFonts w:ascii="仿宋" w:hAnsi="仿宋" w:eastAsia="仿宋" w:cs="仿宋"/>
          <w:spacing w:val="-4"/>
          <w:sz w:val="24"/>
          <w:szCs w:val="24"/>
        </w:rPr>
        <w:t>态系统和生态因子</w:t>
      </w:r>
      <w:r>
        <w:rPr>
          <w:rFonts w:ascii="仿宋" w:hAnsi="仿宋" w:eastAsia="仿宋" w:cs="仿宋"/>
          <w:spacing w:val="-1"/>
          <w:sz w:val="24"/>
          <w:szCs w:val="24"/>
        </w:rPr>
        <w:t>在不同时空等级尺度上结构与功能的完整性。</w:t>
      </w:r>
    </w:p>
    <w:p w14:paraId="16D770DB">
      <w:pPr>
        <w:spacing w:before="3" w:line="359" w:lineRule="auto"/>
        <w:ind w:left="29" w:right="83" w:firstLine="485"/>
        <w:rPr>
          <w:rFonts w:ascii="仿宋" w:hAnsi="仿宋" w:eastAsia="仿宋" w:cs="仿宋"/>
          <w:sz w:val="24"/>
          <w:szCs w:val="24"/>
        </w:rPr>
      </w:pPr>
      <w:r>
        <w:rPr>
          <w:rFonts w:ascii="仿宋" w:hAnsi="仿宋" w:eastAsia="仿宋" w:cs="仿宋"/>
          <w:spacing w:val="-4"/>
          <w:sz w:val="24"/>
          <w:szCs w:val="24"/>
        </w:rPr>
        <w:t>坚持预防与恢复相结合的原则。预防优先，恢复补偿为辅。恢复、补偿等措</w:t>
      </w:r>
      <w:r>
        <w:rPr>
          <w:rFonts w:ascii="仿宋" w:hAnsi="仿宋" w:eastAsia="仿宋" w:cs="仿宋"/>
          <w:spacing w:val="-1"/>
          <w:sz w:val="24"/>
          <w:szCs w:val="24"/>
        </w:rPr>
        <w:t>施必须与项目所在地的生态功能区划的要求相适应。</w:t>
      </w:r>
    </w:p>
    <w:p w14:paraId="1DBDEF5D">
      <w:pPr>
        <w:spacing w:line="359" w:lineRule="auto"/>
        <w:ind w:left="29" w:right="44" w:firstLine="484"/>
        <w:jc w:val="both"/>
        <w:rPr>
          <w:rFonts w:ascii="仿宋" w:hAnsi="仿宋" w:eastAsia="仿宋" w:cs="仿宋"/>
          <w:sz w:val="24"/>
          <w:szCs w:val="24"/>
        </w:rPr>
      </w:pPr>
      <w:r>
        <w:rPr>
          <w:rFonts w:ascii="仿宋" w:hAnsi="仿宋" w:eastAsia="仿宋" w:cs="仿宋"/>
          <w:spacing w:val="-4"/>
          <w:sz w:val="24"/>
          <w:szCs w:val="24"/>
        </w:rPr>
        <w:t>坚持定量与定性相结合的原则。生态影响评价应尽量采用定量方法进行描述</w:t>
      </w:r>
      <w:r>
        <w:rPr>
          <w:rFonts w:ascii="仿宋" w:hAnsi="仿宋" w:eastAsia="仿宋" w:cs="仿宋"/>
          <w:spacing w:val="-2"/>
          <w:sz w:val="24"/>
          <w:szCs w:val="24"/>
        </w:rPr>
        <w:t>和分析，当现有科学方法不能满足定量需要或因其他原因无法实现定量测定</w:t>
      </w:r>
      <w:r>
        <w:rPr>
          <w:rFonts w:ascii="仿宋" w:hAnsi="仿宋" w:eastAsia="仿宋" w:cs="仿宋"/>
          <w:spacing w:val="-3"/>
          <w:sz w:val="24"/>
          <w:szCs w:val="24"/>
        </w:rPr>
        <w:t>时，</w:t>
      </w:r>
      <w:r>
        <w:rPr>
          <w:rFonts w:ascii="仿宋" w:hAnsi="仿宋" w:eastAsia="仿宋" w:cs="仿宋"/>
          <w:spacing w:val="-1"/>
          <w:sz w:val="24"/>
          <w:szCs w:val="24"/>
        </w:rPr>
        <w:t>生态影响评价可通过定性或类比的方法进行描述和分析。</w:t>
      </w:r>
    </w:p>
    <w:p w14:paraId="1E6A922D">
      <w:pPr>
        <w:spacing w:before="113" w:line="226" w:lineRule="auto"/>
        <w:ind w:left="48"/>
        <w:outlineLvl w:val="1"/>
        <w:rPr>
          <w:rFonts w:ascii="仿宋" w:hAnsi="仿宋" w:eastAsia="仿宋" w:cs="仿宋"/>
          <w:sz w:val="31"/>
          <w:szCs w:val="31"/>
        </w:rPr>
      </w:pPr>
      <w:bookmarkStart w:id="61" w:name="bookmark70"/>
      <w:bookmarkEnd w:id="61"/>
      <w:r>
        <w:rPr>
          <w:rFonts w:ascii="仿宋" w:hAnsi="仿宋" w:eastAsia="仿宋" w:cs="仿宋"/>
          <w:b/>
          <w:bCs/>
          <w:spacing w:val="2"/>
          <w:sz w:val="31"/>
          <w:szCs w:val="31"/>
        </w:rPr>
        <w:t>1.3</w:t>
      </w:r>
      <w:r>
        <w:rPr>
          <w:rFonts w:ascii="仿宋" w:hAnsi="仿宋" w:eastAsia="仿宋" w:cs="仿宋"/>
          <w:spacing w:val="-43"/>
          <w:sz w:val="31"/>
          <w:szCs w:val="31"/>
        </w:rPr>
        <w:t xml:space="preserve"> </w:t>
      </w:r>
      <w:r>
        <w:rPr>
          <w:rFonts w:ascii="仿宋" w:hAnsi="仿宋" w:eastAsia="仿宋" w:cs="仿宋"/>
          <w:b/>
          <w:bCs/>
          <w:spacing w:val="2"/>
          <w:sz w:val="31"/>
          <w:szCs w:val="31"/>
        </w:rPr>
        <w:t>评价工作等级及评价范围</w:t>
      </w:r>
    </w:p>
    <w:p w14:paraId="5BFF6499">
      <w:pPr>
        <w:pStyle w:val="2"/>
        <w:spacing w:line="249" w:lineRule="auto"/>
        <w:rPr>
          <w:sz w:val="21"/>
        </w:rPr>
      </w:pPr>
    </w:p>
    <w:p w14:paraId="74A60A42">
      <w:pPr>
        <w:spacing w:before="85" w:line="227" w:lineRule="auto"/>
        <w:ind w:left="43"/>
        <w:rPr>
          <w:rFonts w:ascii="仿宋" w:hAnsi="仿宋" w:eastAsia="仿宋" w:cs="仿宋"/>
          <w:sz w:val="26"/>
          <w:szCs w:val="26"/>
        </w:rPr>
      </w:pPr>
      <w:r>
        <w:rPr>
          <w:rFonts w:ascii="仿宋" w:hAnsi="仿宋" w:eastAsia="仿宋" w:cs="仿宋"/>
          <w:b/>
          <w:bCs/>
          <w:spacing w:val="1"/>
          <w:sz w:val="26"/>
          <w:szCs w:val="26"/>
        </w:rPr>
        <w:t>1.3.1</w:t>
      </w:r>
      <w:r>
        <w:rPr>
          <w:rFonts w:ascii="仿宋" w:hAnsi="仿宋" w:eastAsia="仿宋" w:cs="仿宋"/>
          <w:spacing w:val="29"/>
          <w:sz w:val="26"/>
          <w:szCs w:val="26"/>
        </w:rPr>
        <w:t xml:space="preserve"> </w:t>
      </w:r>
      <w:r>
        <w:rPr>
          <w:rFonts w:ascii="仿宋" w:hAnsi="仿宋" w:eastAsia="仿宋" w:cs="仿宋"/>
          <w:b/>
          <w:bCs/>
          <w:spacing w:val="1"/>
          <w:sz w:val="26"/>
          <w:szCs w:val="26"/>
        </w:rPr>
        <w:t>评价工作等级</w:t>
      </w:r>
    </w:p>
    <w:p w14:paraId="28C22D3B">
      <w:pPr>
        <w:spacing w:before="300" w:line="221" w:lineRule="auto"/>
        <w:ind w:left="510"/>
        <w:rPr>
          <w:rFonts w:ascii="仿宋" w:hAnsi="仿宋" w:eastAsia="仿宋" w:cs="仿宋"/>
          <w:sz w:val="24"/>
          <w:szCs w:val="24"/>
        </w:rPr>
      </w:pPr>
      <w:r>
        <w:rPr>
          <w:rFonts w:ascii="仿宋" w:hAnsi="仿宋" w:eastAsia="仿宋" w:cs="仿宋"/>
          <w:spacing w:val="-4"/>
          <w:sz w:val="24"/>
          <w:szCs w:val="24"/>
        </w:rPr>
        <w:t>根据《环境影响评价技术导则</w:t>
      </w:r>
      <w:r>
        <w:rPr>
          <w:rFonts w:ascii="仿宋" w:hAnsi="仿宋" w:eastAsia="仿宋" w:cs="仿宋"/>
          <w:spacing w:val="36"/>
          <w:sz w:val="24"/>
          <w:szCs w:val="24"/>
        </w:rPr>
        <w:t xml:space="preserve"> </w:t>
      </w:r>
      <w:r>
        <w:rPr>
          <w:rFonts w:ascii="仿宋" w:hAnsi="仿宋" w:eastAsia="仿宋" w:cs="仿宋"/>
          <w:spacing w:val="-4"/>
          <w:sz w:val="24"/>
          <w:szCs w:val="24"/>
        </w:rPr>
        <w:t>生态影响》（HJ19-2022）中规定的生态影响</w:t>
      </w:r>
    </w:p>
    <w:p w14:paraId="29C6204A">
      <w:pPr>
        <w:spacing w:line="221" w:lineRule="auto"/>
        <w:rPr>
          <w:rFonts w:ascii="仿宋" w:hAnsi="仿宋" w:eastAsia="仿宋" w:cs="仿宋"/>
          <w:sz w:val="24"/>
          <w:szCs w:val="24"/>
        </w:rPr>
        <w:sectPr>
          <w:footerReference r:id="rId200" w:type="default"/>
          <w:pgSz w:w="11906" w:h="16839"/>
          <w:pgMar w:top="400" w:right="1716" w:bottom="1511" w:left="1785" w:header="0" w:footer="1349" w:gutter="0"/>
          <w:cols w:space="720" w:num="1"/>
        </w:sectPr>
      </w:pPr>
    </w:p>
    <w:p w14:paraId="3B28CC0D">
      <w:pPr>
        <w:pStyle w:val="2"/>
        <w:spacing w:line="247" w:lineRule="auto"/>
        <w:rPr>
          <w:sz w:val="21"/>
        </w:rPr>
      </w:pPr>
    </w:p>
    <w:p w14:paraId="333D82EE">
      <w:pPr>
        <w:pStyle w:val="2"/>
        <w:spacing w:line="247" w:lineRule="auto"/>
        <w:rPr>
          <w:sz w:val="21"/>
        </w:rPr>
      </w:pPr>
    </w:p>
    <w:p w14:paraId="4AD89686">
      <w:pPr>
        <w:pStyle w:val="2"/>
        <w:spacing w:line="248" w:lineRule="auto"/>
        <w:rPr>
          <w:sz w:val="21"/>
        </w:rPr>
      </w:pPr>
    </w:p>
    <w:p w14:paraId="76E10F8C">
      <w:pPr>
        <w:pStyle w:val="2"/>
        <w:spacing w:line="248" w:lineRule="auto"/>
        <w:rPr>
          <w:sz w:val="21"/>
        </w:rPr>
      </w:pPr>
    </w:p>
    <w:p w14:paraId="4F72E191">
      <w:pPr>
        <w:spacing w:before="78" w:line="220" w:lineRule="auto"/>
        <w:ind w:left="123"/>
        <w:rPr>
          <w:rFonts w:ascii="仿宋" w:hAnsi="仿宋" w:eastAsia="仿宋" w:cs="仿宋"/>
          <w:sz w:val="24"/>
          <w:szCs w:val="24"/>
        </w:rPr>
      </w:pPr>
      <w:r>
        <w:rPr>
          <w:rFonts w:ascii="仿宋" w:hAnsi="仿宋" w:eastAsia="仿宋" w:cs="仿宋"/>
          <w:spacing w:val="-2"/>
          <w:sz w:val="24"/>
          <w:szCs w:val="24"/>
        </w:rPr>
        <w:t>评价工作等级划分依据，本项目相应条件判定见表</w:t>
      </w:r>
      <w:r>
        <w:rPr>
          <w:rFonts w:ascii="仿宋" w:hAnsi="仿宋" w:eastAsia="仿宋" w:cs="仿宋"/>
          <w:spacing w:val="-22"/>
          <w:sz w:val="24"/>
          <w:szCs w:val="24"/>
        </w:rPr>
        <w:t xml:space="preserve"> </w:t>
      </w:r>
      <w:r>
        <w:rPr>
          <w:rFonts w:ascii="仿宋" w:hAnsi="仿宋" w:eastAsia="仿宋" w:cs="仿宋"/>
          <w:spacing w:val="-2"/>
          <w:sz w:val="24"/>
          <w:szCs w:val="24"/>
        </w:rPr>
        <w:t>1.3-1。</w:t>
      </w:r>
    </w:p>
    <w:p w14:paraId="1A10074C">
      <w:pPr>
        <w:spacing w:before="182" w:line="222" w:lineRule="auto"/>
        <w:ind w:left="2258"/>
        <w:rPr>
          <w:rFonts w:ascii="仿宋" w:hAnsi="仿宋" w:eastAsia="仿宋" w:cs="仿宋"/>
          <w:sz w:val="24"/>
          <w:szCs w:val="24"/>
        </w:rPr>
      </w:pPr>
      <w:r>
        <w:rPr>
          <w:rFonts w:ascii="仿宋" w:hAnsi="仿宋" w:eastAsia="仿宋" w:cs="仿宋"/>
          <w:b/>
          <w:bCs/>
          <w:spacing w:val="-4"/>
          <w:sz w:val="24"/>
          <w:szCs w:val="24"/>
        </w:rPr>
        <w:t>表</w:t>
      </w:r>
      <w:r>
        <w:rPr>
          <w:rFonts w:ascii="仿宋" w:hAnsi="仿宋" w:eastAsia="仿宋" w:cs="仿宋"/>
          <w:spacing w:val="-16"/>
          <w:sz w:val="24"/>
          <w:szCs w:val="24"/>
        </w:rPr>
        <w:t xml:space="preserve"> </w:t>
      </w:r>
      <w:r>
        <w:rPr>
          <w:rFonts w:ascii="仿宋" w:hAnsi="仿宋" w:eastAsia="仿宋" w:cs="仿宋"/>
          <w:b/>
          <w:bCs/>
          <w:spacing w:val="-4"/>
          <w:sz w:val="24"/>
          <w:szCs w:val="24"/>
        </w:rPr>
        <w:t>1.3-1</w:t>
      </w:r>
      <w:r>
        <w:rPr>
          <w:rFonts w:ascii="仿宋" w:hAnsi="仿宋" w:eastAsia="仿宋" w:cs="仿宋"/>
          <w:spacing w:val="-4"/>
          <w:sz w:val="24"/>
          <w:szCs w:val="24"/>
        </w:rPr>
        <w:t xml:space="preserve">    </w:t>
      </w:r>
      <w:r>
        <w:rPr>
          <w:rFonts w:ascii="仿宋" w:hAnsi="仿宋" w:eastAsia="仿宋" w:cs="仿宋"/>
          <w:b/>
          <w:bCs/>
          <w:spacing w:val="-4"/>
          <w:sz w:val="24"/>
          <w:szCs w:val="24"/>
        </w:rPr>
        <w:t>生态影响评价等级判定一览表</w:t>
      </w:r>
    </w:p>
    <w:p w14:paraId="6758BBAC">
      <w:pPr>
        <w:spacing w:line="142" w:lineRule="exact"/>
      </w:pPr>
    </w:p>
    <w:tbl>
      <w:tblPr>
        <w:tblStyle w:val="5"/>
        <w:tblW w:w="852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8"/>
        <w:gridCol w:w="3816"/>
        <w:gridCol w:w="2843"/>
        <w:gridCol w:w="1103"/>
      </w:tblGrid>
      <w:tr w14:paraId="797502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 w:hRule="atLeast"/>
        </w:trPr>
        <w:tc>
          <w:tcPr>
            <w:tcW w:w="758" w:type="dxa"/>
            <w:vMerge w:val="restart"/>
            <w:tcBorders>
              <w:top w:val="single" w:color="000000" w:sz="10" w:space="0"/>
              <w:left w:val="nil"/>
              <w:bottom w:val="nil"/>
            </w:tcBorders>
            <w:vAlign w:val="top"/>
          </w:tcPr>
          <w:p w14:paraId="36E99036">
            <w:pPr>
              <w:spacing w:before="132" w:line="251" w:lineRule="auto"/>
              <w:ind w:left="190" w:right="168" w:hanging="6"/>
              <w:rPr>
                <w:rFonts w:ascii="仿宋" w:hAnsi="仿宋" w:eastAsia="仿宋" w:cs="仿宋"/>
                <w:sz w:val="20"/>
                <w:szCs w:val="20"/>
              </w:rPr>
            </w:pPr>
            <w:r>
              <w:rPr>
                <w:rFonts w:ascii="仿宋" w:hAnsi="仿宋" w:eastAsia="仿宋" w:cs="仿宋"/>
                <w:spacing w:val="1"/>
                <w:sz w:val="20"/>
                <w:szCs w:val="20"/>
              </w:rPr>
              <w:t>评价</w:t>
            </w:r>
            <w:r>
              <w:rPr>
                <w:rFonts w:ascii="仿宋" w:hAnsi="仿宋" w:eastAsia="仿宋" w:cs="仿宋"/>
                <w:spacing w:val="-2"/>
                <w:sz w:val="20"/>
                <w:szCs w:val="20"/>
              </w:rPr>
              <w:t>等级</w:t>
            </w:r>
          </w:p>
        </w:tc>
        <w:tc>
          <w:tcPr>
            <w:tcW w:w="3816" w:type="dxa"/>
            <w:vMerge w:val="restart"/>
            <w:tcBorders>
              <w:top w:val="single" w:color="000000" w:sz="10" w:space="0"/>
              <w:bottom w:val="nil"/>
            </w:tcBorders>
            <w:vAlign w:val="top"/>
          </w:tcPr>
          <w:p w14:paraId="710C00D5">
            <w:pPr>
              <w:spacing w:before="265" w:line="232" w:lineRule="auto"/>
              <w:ind w:left="1502"/>
              <w:rPr>
                <w:rFonts w:ascii="仿宋" w:hAnsi="仿宋" w:eastAsia="仿宋" w:cs="仿宋"/>
                <w:sz w:val="20"/>
                <w:szCs w:val="20"/>
              </w:rPr>
            </w:pPr>
            <w:r>
              <w:rPr>
                <w:rFonts w:ascii="仿宋" w:hAnsi="仿宋" w:eastAsia="仿宋" w:cs="仿宋"/>
                <w:spacing w:val="5"/>
                <w:sz w:val="20"/>
                <w:szCs w:val="20"/>
              </w:rPr>
              <w:t>判定原则</w:t>
            </w:r>
          </w:p>
        </w:tc>
        <w:tc>
          <w:tcPr>
            <w:tcW w:w="3946" w:type="dxa"/>
            <w:gridSpan w:val="2"/>
            <w:tcBorders>
              <w:top w:val="single" w:color="000000" w:sz="10" w:space="0"/>
              <w:right w:val="nil"/>
            </w:tcBorders>
            <w:vAlign w:val="top"/>
          </w:tcPr>
          <w:p w14:paraId="2E5B0F28">
            <w:pPr>
              <w:spacing w:before="36" w:line="216" w:lineRule="auto"/>
              <w:ind w:left="1461"/>
              <w:rPr>
                <w:rFonts w:ascii="仿宋" w:hAnsi="仿宋" w:eastAsia="仿宋" w:cs="仿宋"/>
                <w:sz w:val="20"/>
                <w:szCs w:val="20"/>
              </w:rPr>
            </w:pPr>
            <w:r>
              <w:rPr>
                <w:rFonts w:ascii="仿宋" w:hAnsi="仿宋" w:eastAsia="仿宋" w:cs="仿宋"/>
                <w:spacing w:val="6"/>
                <w:sz w:val="20"/>
                <w:szCs w:val="20"/>
              </w:rPr>
              <w:t>本项目情况</w:t>
            </w:r>
          </w:p>
        </w:tc>
      </w:tr>
      <w:tr w14:paraId="3097E3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58" w:type="dxa"/>
            <w:vMerge w:val="continue"/>
            <w:tcBorders>
              <w:top w:val="nil"/>
              <w:left w:val="nil"/>
            </w:tcBorders>
            <w:vAlign w:val="top"/>
          </w:tcPr>
          <w:p w14:paraId="6E942932">
            <w:pPr>
              <w:rPr>
                <w:rFonts w:ascii="Arial"/>
                <w:sz w:val="21"/>
              </w:rPr>
            </w:pPr>
          </w:p>
        </w:tc>
        <w:tc>
          <w:tcPr>
            <w:tcW w:w="3816" w:type="dxa"/>
            <w:vMerge w:val="continue"/>
            <w:tcBorders>
              <w:top w:val="nil"/>
            </w:tcBorders>
            <w:vAlign w:val="top"/>
          </w:tcPr>
          <w:p w14:paraId="76BD1CE5">
            <w:pPr>
              <w:rPr>
                <w:rFonts w:ascii="Arial"/>
                <w:sz w:val="21"/>
              </w:rPr>
            </w:pPr>
          </w:p>
        </w:tc>
        <w:tc>
          <w:tcPr>
            <w:tcW w:w="2843" w:type="dxa"/>
            <w:vAlign w:val="top"/>
          </w:tcPr>
          <w:p w14:paraId="4B00AC1F">
            <w:pPr>
              <w:spacing w:before="125" w:line="231" w:lineRule="auto"/>
              <w:ind w:left="1047"/>
              <w:rPr>
                <w:rFonts w:ascii="仿宋" w:hAnsi="仿宋" w:eastAsia="仿宋" w:cs="仿宋"/>
                <w:sz w:val="20"/>
                <w:szCs w:val="20"/>
              </w:rPr>
            </w:pPr>
            <w:r>
              <w:rPr>
                <w:rFonts w:ascii="仿宋" w:hAnsi="仿宋" w:eastAsia="仿宋" w:cs="仿宋"/>
                <w:spacing w:val="-3"/>
                <w:sz w:val="20"/>
                <w:szCs w:val="20"/>
              </w:rPr>
              <w:t>占用情况</w:t>
            </w:r>
          </w:p>
        </w:tc>
        <w:tc>
          <w:tcPr>
            <w:tcW w:w="1103" w:type="dxa"/>
            <w:tcBorders>
              <w:right w:val="nil"/>
            </w:tcBorders>
            <w:vAlign w:val="top"/>
          </w:tcPr>
          <w:p w14:paraId="3E7EBA51">
            <w:pPr>
              <w:spacing w:before="125" w:line="231" w:lineRule="auto"/>
              <w:ind w:left="142"/>
              <w:rPr>
                <w:rFonts w:ascii="仿宋" w:hAnsi="仿宋" w:eastAsia="仿宋" w:cs="仿宋"/>
                <w:sz w:val="20"/>
                <w:szCs w:val="20"/>
              </w:rPr>
            </w:pPr>
            <w:r>
              <w:rPr>
                <w:rFonts w:ascii="仿宋" w:hAnsi="仿宋" w:eastAsia="仿宋" w:cs="仿宋"/>
                <w:spacing w:val="5"/>
                <w:sz w:val="20"/>
                <w:szCs w:val="20"/>
              </w:rPr>
              <w:t>评价等级</w:t>
            </w:r>
          </w:p>
        </w:tc>
      </w:tr>
      <w:tr w14:paraId="3A3594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758" w:type="dxa"/>
            <w:tcBorders>
              <w:left w:val="nil"/>
            </w:tcBorders>
            <w:vAlign w:val="top"/>
          </w:tcPr>
          <w:p w14:paraId="69728FD4">
            <w:pPr>
              <w:spacing w:before="170" w:line="232" w:lineRule="auto"/>
              <w:ind w:left="186"/>
              <w:rPr>
                <w:rFonts w:ascii="仿宋" w:hAnsi="仿宋" w:eastAsia="仿宋" w:cs="仿宋"/>
                <w:sz w:val="20"/>
                <w:szCs w:val="20"/>
              </w:rPr>
            </w:pPr>
            <w:r>
              <w:rPr>
                <w:rFonts w:ascii="仿宋" w:hAnsi="仿宋" w:eastAsia="仿宋" w:cs="仿宋"/>
                <w:sz w:val="20"/>
                <w:szCs w:val="20"/>
              </w:rPr>
              <w:t>一级</w:t>
            </w:r>
          </w:p>
        </w:tc>
        <w:tc>
          <w:tcPr>
            <w:tcW w:w="3816" w:type="dxa"/>
            <w:vAlign w:val="top"/>
          </w:tcPr>
          <w:p w14:paraId="3ADFB8E2">
            <w:pPr>
              <w:spacing w:before="36" w:line="231" w:lineRule="auto"/>
              <w:ind w:left="119" w:right="108" w:firstLine="1"/>
              <w:rPr>
                <w:rFonts w:ascii="仿宋" w:hAnsi="仿宋" w:eastAsia="仿宋" w:cs="仿宋"/>
                <w:sz w:val="20"/>
                <w:szCs w:val="20"/>
              </w:rPr>
            </w:pPr>
            <w:r>
              <w:rPr>
                <w:rFonts w:ascii="仿宋" w:hAnsi="仿宋" w:eastAsia="仿宋" w:cs="仿宋"/>
                <w:spacing w:val="7"/>
                <w:sz w:val="20"/>
                <w:szCs w:val="20"/>
              </w:rPr>
              <w:t>涉及国家公园、</w:t>
            </w:r>
            <w:r>
              <w:rPr>
                <w:rFonts w:ascii="仿宋" w:hAnsi="仿宋" w:eastAsia="仿宋" w:cs="仿宋"/>
                <w:spacing w:val="-39"/>
                <w:sz w:val="20"/>
                <w:szCs w:val="20"/>
              </w:rPr>
              <w:t xml:space="preserve"> </w:t>
            </w:r>
            <w:r>
              <w:rPr>
                <w:rFonts w:ascii="仿宋" w:hAnsi="仿宋" w:eastAsia="仿宋" w:cs="仿宋"/>
                <w:spacing w:val="7"/>
                <w:sz w:val="20"/>
                <w:szCs w:val="20"/>
              </w:rPr>
              <w:t>自然保护区、世界自然</w:t>
            </w:r>
            <w:r>
              <w:rPr>
                <w:rFonts w:ascii="仿宋" w:hAnsi="仿宋" w:eastAsia="仿宋" w:cs="仿宋"/>
                <w:spacing w:val="6"/>
                <w:sz w:val="20"/>
                <w:szCs w:val="20"/>
              </w:rPr>
              <w:t>遗产、重要生境。</w:t>
            </w:r>
          </w:p>
        </w:tc>
        <w:tc>
          <w:tcPr>
            <w:tcW w:w="2843" w:type="dxa"/>
            <w:vAlign w:val="top"/>
          </w:tcPr>
          <w:p w14:paraId="2089DB5C">
            <w:pPr>
              <w:spacing w:before="169" w:line="232" w:lineRule="auto"/>
              <w:ind w:left="1122"/>
              <w:rPr>
                <w:rFonts w:ascii="仿宋" w:hAnsi="仿宋" w:eastAsia="仿宋" w:cs="仿宋"/>
                <w:sz w:val="20"/>
                <w:szCs w:val="20"/>
              </w:rPr>
            </w:pPr>
            <w:r>
              <w:rPr>
                <w:rFonts w:ascii="仿宋" w:hAnsi="仿宋" w:eastAsia="仿宋" w:cs="仿宋"/>
                <w:spacing w:val="3"/>
                <w:sz w:val="20"/>
                <w:szCs w:val="20"/>
              </w:rPr>
              <w:t>不涉及</w:t>
            </w:r>
          </w:p>
        </w:tc>
        <w:tc>
          <w:tcPr>
            <w:tcW w:w="1103" w:type="dxa"/>
            <w:tcBorders>
              <w:right w:val="nil"/>
            </w:tcBorders>
            <w:vAlign w:val="top"/>
          </w:tcPr>
          <w:p w14:paraId="21EE3292">
            <w:pPr>
              <w:spacing w:before="170" w:line="234" w:lineRule="auto"/>
              <w:ind w:left="503"/>
              <w:rPr>
                <w:rFonts w:ascii="仿宋" w:hAnsi="仿宋" w:eastAsia="仿宋" w:cs="仿宋"/>
                <w:sz w:val="20"/>
                <w:szCs w:val="20"/>
              </w:rPr>
            </w:pPr>
            <w:r>
              <w:rPr>
                <w:rFonts w:ascii="仿宋" w:hAnsi="仿宋" w:eastAsia="仿宋" w:cs="仿宋"/>
                <w:sz w:val="20"/>
                <w:szCs w:val="20"/>
              </w:rPr>
              <w:t>/</w:t>
            </w:r>
          </w:p>
        </w:tc>
      </w:tr>
      <w:tr w14:paraId="5EBC55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758" w:type="dxa"/>
            <w:tcBorders>
              <w:left w:val="nil"/>
            </w:tcBorders>
            <w:vAlign w:val="top"/>
          </w:tcPr>
          <w:p w14:paraId="358A2E90">
            <w:pPr>
              <w:spacing w:before="38" w:line="210" w:lineRule="auto"/>
              <w:ind w:left="189"/>
              <w:rPr>
                <w:rFonts w:ascii="仿宋" w:hAnsi="仿宋" w:eastAsia="仿宋" w:cs="仿宋"/>
                <w:sz w:val="20"/>
                <w:szCs w:val="20"/>
              </w:rPr>
            </w:pPr>
            <w:r>
              <w:rPr>
                <w:rFonts w:ascii="仿宋" w:hAnsi="仿宋" w:eastAsia="仿宋" w:cs="仿宋"/>
                <w:spacing w:val="2"/>
                <w:sz w:val="20"/>
                <w:szCs w:val="20"/>
              </w:rPr>
              <w:t>二级</w:t>
            </w:r>
          </w:p>
        </w:tc>
        <w:tc>
          <w:tcPr>
            <w:tcW w:w="3816" w:type="dxa"/>
            <w:vAlign w:val="top"/>
          </w:tcPr>
          <w:p w14:paraId="30407F7F">
            <w:pPr>
              <w:spacing w:before="38" w:line="210" w:lineRule="auto"/>
              <w:ind w:left="121"/>
              <w:rPr>
                <w:rFonts w:ascii="仿宋" w:hAnsi="仿宋" w:eastAsia="仿宋" w:cs="仿宋"/>
                <w:sz w:val="20"/>
                <w:szCs w:val="20"/>
              </w:rPr>
            </w:pPr>
            <w:r>
              <w:rPr>
                <w:rFonts w:ascii="仿宋" w:hAnsi="仿宋" w:eastAsia="仿宋" w:cs="仿宋"/>
                <w:spacing w:val="5"/>
                <w:sz w:val="20"/>
                <w:szCs w:val="20"/>
              </w:rPr>
              <w:t>涉及自然公园。</w:t>
            </w:r>
          </w:p>
        </w:tc>
        <w:tc>
          <w:tcPr>
            <w:tcW w:w="2843" w:type="dxa"/>
            <w:vAlign w:val="top"/>
          </w:tcPr>
          <w:p w14:paraId="6CA4C15D">
            <w:pPr>
              <w:spacing w:before="38" w:line="210" w:lineRule="auto"/>
              <w:ind w:left="1016"/>
              <w:rPr>
                <w:rFonts w:ascii="仿宋" w:hAnsi="仿宋" w:eastAsia="仿宋" w:cs="仿宋"/>
                <w:sz w:val="20"/>
                <w:szCs w:val="20"/>
              </w:rPr>
            </w:pPr>
            <w:r>
              <w:rPr>
                <w:rFonts w:ascii="仿宋" w:hAnsi="仿宋" w:eastAsia="仿宋" w:cs="仿宋"/>
                <w:spacing w:val="2"/>
                <w:sz w:val="20"/>
                <w:szCs w:val="20"/>
              </w:rPr>
              <w:t>不涉及。</w:t>
            </w:r>
          </w:p>
        </w:tc>
        <w:tc>
          <w:tcPr>
            <w:tcW w:w="1103" w:type="dxa"/>
            <w:tcBorders>
              <w:right w:val="nil"/>
            </w:tcBorders>
            <w:vAlign w:val="top"/>
          </w:tcPr>
          <w:p w14:paraId="3BC6428A">
            <w:pPr>
              <w:spacing w:before="38" w:line="210" w:lineRule="auto"/>
              <w:ind w:left="503"/>
              <w:rPr>
                <w:rFonts w:ascii="仿宋" w:hAnsi="仿宋" w:eastAsia="仿宋" w:cs="仿宋"/>
                <w:sz w:val="20"/>
                <w:szCs w:val="20"/>
              </w:rPr>
            </w:pPr>
            <w:r>
              <w:rPr>
                <w:rFonts w:ascii="仿宋" w:hAnsi="仿宋" w:eastAsia="仿宋" w:cs="仿宋"/>
                <w:sz w:val="20"/>
                <w:szCs w:val="20"/>
              </w:rPr>
              <w:t>/</w:t>
            </w:r>
          </w:p>
        </w:tc>
      </w:tr>
      <w:tr w14:paraId="5292CB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03" w:hRule="atLeast"/>
        </w:trPr>
        <w:tc>
          <w:tcPr>
            <w:tcW w:w="758" w:type="dxa"/>
            <w:tcBorders>
              <w:left w:val="nil"/>
            </w:tcBorders>
            <w:vAlign w:val="top"/>
          </w:tcPr>
          <w:p w14:paraId="7A6D7E45">
            <w:pPr>
              <w:spacing w:line="257" w:lineRule="auto"/>
              <w:rPr>
                <w:rFonts w:ascii="Arial"/>
                <w:sz w:val="21"/>
              </w:rPr>
            </w:pPr>
          </w:p>
          <w:p w14:paraId="7AA3F2CC">
            <w:pPr>
              <w:spacing w:line="258" w:lineRule="auto"/>
              <w:rPr>
                <w:rFonts w:ascii="Arial"/>
                <w:sz w:val="21"/>
              </w:rPr>
            </w:pPr>
          </w:p>
          <w:p w14:paraId="4B4F148B">
            <w:pPr>
              <w:spacing w:before="65" w:line="252" w:lineRule="auto"/>
              <w:ind w:left="187" w:right="168"/>
              <w:jc w:val="both"/>
              <w:rPr>
                <w:rFonts w:ascii="仿宋" w:hAnsi="仿宋" w:eastAsia="仿宋" w:cs="仿宋"/>
                <w:sz w:val="20"/>
                <w:szCs w:val="20"/>
              </w:rPr>
            </w:pPr>
            <w:r>
              <w:rPr>
                <w:rFonts w:ascii="仿宋" w:hAnsi="仿宋" w:eastAsia="仿宋" w:cs="仿宋"/>
                <w:spacing w:val="-1"/>
                <w:sz w:val="20"/>
                <w:szCs w:val="20"/>
              </w:rPr>
              <w:t>不低于二</w:t>
            </w:r>
            <w:r>
              <w:rPr>
                <w:rFonts w:ascii="仿宋" w:hAnsi="仿宋" w:eastAsia="仿宋" w:cs="仿宋"/>
                <w:spacing w:val="46"/>
                <w:w w:val="125"/>
                <w:sz w:val="20"/>
                <w:szCs w:val="20"/>
              </w:rPr>
              <w:t>级</w:t>
            </w:r>
          </w:p>
        </w:tc>
        <w:tc>
          <w:tcPr>
            <w:tcW w:w="3816" w:type="dxa"/>
            <w:vAlign w:val="top"/>
          </w:tcPr>
          <w:p w14:paraId="47F5C04C">
            <w:pPr>
              <w:spacing w:before="40" w:line="229" w:lineRule="auto"/>
              <w:ind w:left="127"/>
              <w:rPr>
                <w:rFonts w:ascii="仿宋" w:hAnsi="仿宋" w:eastAsia="仿宋" w:cs="仿宋"/>
                <w:sz w:val="20"/>
                <w:szCs w:val="20"/>
              </w:rPr>
            </w:pPr>
            <w:r>
              <w:rPr>
                <w:rFonts w:ascii="仿宋" w:hAnsi="仿宋" w:eastAsia="仿宋" w:cs="仿宋"/>
                <w:spacing w:val="6"/>
                <w:sz w:val="20"/>
                <w:szCs w:val="20"/>
              </w:rPr>
              <w:t>1.涉及生态保护红线；</w:t>
            </w:r>
          </w:p>
          <w:p w14:paraId="680A748C">
            <w:pPr>
              <w:spacing w:before="21" w:line="251" w:lineRule="auto"/>
              <w:ind w:left="117" w:right="108" w:hanging="3"/>
              <w:rPr>
                <w:rFonts w:ascii="仿宋" w:hAnsi="仿宋" w:eastAsia="仿宋" w:cs="仿宋"/>
                <w:sz w:val="20"/>
                <w:szCs w:val="20"/>
              </w:rPr>
            </w:pPr>
            <w:r>
              <w:rPr>
                <w:rFonts w:ascii="仿宋" w:hAnsi="仿宋" w:eastAsia="仿宋" w:cs="仿宋"/>
                <w:spacing w:val="10"/>
                <w:sz w:val="20"/>
                <w:szCs w:val="20"/>
              </w:rPr>
              <w:t>2.属于水文要素型且地表水评价等级不</w:t>
            </w:r>
            <w:r>
              <w:rPr>
                <w:rFonts w:ascii="仿宋" w:hAnsi="仿宋" w:eastAsia="仿宋" w:cs="仿宋"/>
                <w:spacing w:val="7"/>
                <w:sz w:val="20"/>
                <w:szCs w:val="20"/>
              </w:rPr>
              <w:t>低于二级的建设项目；</w:t>
            </w:r>
          </w:p>
          <w:p w14:paraId="09D9F818">
            <w:pPr>
              <w:spacing w:line="244" w:lineRule="auto"/>
              <w:ind w:left="119" w:right="108" w:hanging="3"/>
              <w:rPr>
                <w:rFonts w:ascii="仿宋" w:hAnsi="仿宋" w:eastAsia="仿宋" w:cs="仿宋"/>
                <w:sz w:val="20"/>
                <w:szCs w:val="20"/>
              </w:rPr>
            </w:pPr>
            <w:r>
              <w:rPr>
                <w:rFonts w:ascii="仿宋" w:hAnsi="仿宋" w:eastAsia="仿宋" w:cs="仿宋"/>
                <w:spacing w:val="10"/>
                <w:sz w:val="20"/>
                <w:szCs w:val="20"/>
              </w:rPr>
              <w:t>3.地下水水位或土壤影响范围内分布有</w:t>
            </w:r>
            <w:r>
              <w:rPr>
                <w:rFonts w:ascii="仿宋" w:hAnsi="仿宋" w:eastAsia="仿宋" w:cs="仿宋"/>
                <w:spacing w:val="7"/>
                <w:sz w:val="20"/>
                <w:szCs w:val="20"/>
              </w:rPr>
              <w:t>天然林、公益林、湿地等；</w:t>
            </w:r>
          </w:p>
          <w:p w14:paraId="509607F4">
            <w:pPr>
              <w:spacing w:before="2" w:line="234" w:lineRule="auto"/>
              <w:ind w:left="130" w:right="105" w:hanging="19"/>
              <w:rPr>
                <w:rFonts w:ascii="仿宋" w:hAnsi="仿宋" w:eastAsia="仿宋" w:cs="仿宋"/>
                <w:sz w:val="20"/>
                <w:szCs w:val="20"/>
              </w:rPr>
            </w:pPr>
            <w:r>
              <w:rPr>
                <w:rFonts w:ascii="仿宋" w:hAnsi="仿宋" w:eastAsia="仿宋" w:cs="仿宋"/>
                <w:spacing w:val="4"/>
                <w:sz w:val="20"/>
                <w:szCs w:val="20"/>
              </w:rPr>
              <w:t>4.工程占地规模大于</w:t>
            </w:r>
            <w:r>
              <w:rPr>
                <w:rFonts w:ascii="仿宋" w:hAnsi="仿宋" w:eastAsia="仿宋" w:cs="仿宋"/>
                <w:spacing w:val="-34"/>
                <w:sz w:val="20"/>
                <w:szCs w:val="20"/>
              </w:rPr>
              <w:t xml:space="preserve"> </w:t>
            </w:r>
            <w:r>
              <w:rPr>
                <w:rFonts w:ascii="仿宋" w:hAnsi="仿宋" w:eastAsia="仿宋" w:cs="仿宋"/>
                <w:spacing w:val="4"/>
                <w:sz w:val="20"/>
                <w:szCs w:val="20"/>
              </w:rPr>
              <w:t>20</w:t>
            </w:r>
            <w:r>
              <w:rPr>
                <w:rFonts w:ascii="仿宋" w:hAnsi="仿宋" w:eastAsia="仿宋" w:cs="仿宋"/>
                <w:sz w:val="20"/>
                <w:szCs w:val="20"/>
              </w:rPr>
              <w:t>km</w:t>
            </w:r>
            <w:r>
              <w:rPr>
                <w:rFonts w:ascii="仿宋" w:hAnsi="仿宋" w:eastAsia="仿宋" w:cs="仿宋"/>
                <w:spacing w:val="4"/>
                <w:position w:val="10"/>
                <w:sz w:val="10"/>
                <w:szCs w:val="10"/>
              </w:rPr>
              <w:t>2</w:t>
            </w:r>
            <w:r>
              <w:rPr>
                <w:rFonts w:ascii="仿宋" w:hAnsi="仿宋" w:eastAsia="仿宋" w:cs="仿宋"/>
                <w:spacing w:val="4"/>
                <w:sz w:val="20"/>
                <w:szCs w:val="20"/>
              </w:rPr>
              <w:t>（包括永久和</w:t>
            </w:r>
            <w:r>
              <w:rPr>
                <w:rFonts w:ascii="仿宋" w:hAnsi="仿宋" w:eastAsia="仿宋" w:cs="仿宋"/>
                <w:spacing w:val="5"/>
                <w:sz w:val="20"/>
                <w:szCs w:val="20"/>
              </w:rPr>
              <w:t>临时占用陆域和水域）。</w:t>
            </w:r>
          </w:p>
        </w:tc>
        <w:tc>
          <w:tcPr>
            <w:tcW w:w="2843" w:type="dxa"/>
            <w:vAlign w:val="top"/>
          </w:tcPr>
          <w:p w14:paraId="01656636">
            <w:pPr>
              <w:spacing w:before="175" w:line="229" w:lineRule="auto"/>
              <w:ind w:left="127"/>
              <w:rPr>
                <w:rFonts w:ascii="仿宋" w:hAnsi="仿宋" w:eastAsia="仿宋" w:cs="仿宋"/>
                <w:sz w:val="20"/>
                <w:szCs w:val="20"/>
              </w:rPr>
            </w:pPr>
            <w:r>
              <w:rPr>
                <w:rFonts w:ascii="仿宋" w:hAnsi="仿宋" w:eastAsia="仿宋" w:cs="仿宋"/>
                <w:spacing w:val="6"/>
                <w:sz w:val="20"/>
                <w:szCs w:val="20"/>
              </w:rPr>
              <w:t>1.不涉及生态保护红线；</w:t>
            </w:r>
          </w:p>
          <w:p w14:paraId="57D8A7A4">
            <w:pPr>
              <w:spacing w:before="22" w:line="231" w:lineRule="auto"/>
              <w:ind w:left="114"/>
              <w:rPr>
                <w:rFonts w:ascii="仿宋" w:hAnsi="仿宋" w:eastAsia="仿宋" w:cs="仿宋"/>
                <w:sz w:val="20"/>
                <w:szCs w:val="20"/>
              </w:rPr>
            </w:pPr>
            <w:r>
              <w:rPr>
                <w:rFonts w:ascii="仿宋" w:hAnsi="仿宋" w:eastAsia="仿宋" w:cs="仿宋"/>
                <w:spacing w:val="7"/>
                <w:sz w:val="20"/>
                <w:szCs w:val="20"/>
              </w:rPr>
              <w:t>2.不属于水文要素型项目；</w:t>
            </w:r>
          </w:p>
          <w:p w14:paraId="576BCBDA">
            <w:pPr>
              <w:spacing w:before="20" w:line="245" w:lineRule="auto"/>
              <w:ind w:left="119" w:right="107" w:hanging="3"/>
              <w:rPr>
                <w:rFonts w:ascii="仿宋" w:hAnsi="仿宋" w:eastAsia="仿宋" w:cs="仿宋"/>
                <w:sz w:val="20"/>
                <w:szCs w:val="20"/>
              </w:rPr>
            </w:pPr>
            <w:r>
              <w:rPr>
                <w:rFonts w:ascii="仿宋" w:hAnsi="仿宋" w:eastAsia="仿宋" w:cs="仿宋"/>
                <w:spacing w:val="-3"/>
                <w:sz w:val="20"/>
                <w:szCs w:val="20"/>
              </w:rPr>
              <w:t>3.</w:t>
            </w:r>
            <w:r>
              <w:rPr>
                <w:rFonts w:ascii="仿宋" w:hAnsi="仿宋" w:eastAsia="仿宋" w:cs="仿宋"/>
                <w:spacing w:val="-45"/>
                <w:sz w:val="20"/>
                <w:szCs w:val="20"/>
              </w:rPr>
              <w:t xml:space="preserve"> </w:t>
            </w:r>
            <w:r>
              <w:rPr>
                <w:rFonts w:ascii="仿宋" w:hAnsi="仿宋" w:eastAsia="仿宋" w:cs="仿宋"/>
                <w:spacing w:val="-3"/>
                <w:sz w:val="20"/>
                <w:szCs w:val="20"/>
              </w:rPr>
              <w:t>占用国家Ⅱ级公益林，但对</w:t>
            </w:r>
            <w:r>
              <w:rPr>
                <w:rFonts w:ascii="仿宋" w:hAnsi="仿宋" w:eastAsia="仿宋" w:cs="仿宋"/>
                <w:spacing w:val="7"/>
                <w:sz w:val="20"/>
                <w:szCs w:val="20"/>
              </w:rPr>
              <w:t>地下水、土壤无影响；</w:t>
            </w:r>
          </w:p>
          <w:p w14:paraId="6CBDC993">
            <w:pPr>
              <w:spacing w:line="256" w:lineRule="auto"/>
              <w:ind w:left="114" w:right="134" w:hanging="3"/>
              <w:rPr>
                <w:rFonts w:ascii="仿宋" w:hAnsi="仿宋" w:eastAsia="仿宋" w:cs="仿宋"/>
                <w:sz w:val="20"/>
                <w:szCs w:val="20"/>
              </w:rPr>
            </w:pPr>
            <w:r>
              <w:rPr>
                <w:rFonts w:ascii="仿宋" w:hAnsi="仿宋" w:eastAsia="仿宋" w:cs="仿宋"/>
                <w:spacing w:val="6"/>
                <w:sz w:val="20"/>
                <w:szCs w:val="20"/>
              </w:rPr>
              <w:t>4.项目</w:t>
            </w:r>
            <w:r>
              <w:rPr>
                <w:rFonts w:ascii="仿宋" w:hAnsi="仿宋" w:eastAsia="仿宋" w:cs="仿宋"/>
                <w:spacing w:val="-41"/>
                <w:sz w:val="20"/>
                <w:szCs w:val="20"/>
              </w:rPr>
              <w:t xml:space="preserve"> </w:t>
            </w:r>
            <w:r>
              <w:rPr>
                <w:rFonts w:ascii="仿宋" w:hAnsi="仿宋" w:eastAsia="仿宋" w:cs="仿宋"/>
                <w:spacing w:val="6"/>
                <w:sz w:val="20"/>
                <w:szCs w:val="20"/>
              </w:rPr>
              <w:t>占地面积</w:t>
            </w:r>
            <w:r>
              <w:rPr>
                <w:rFonts w:ascii="仿宋" w:hAnsi="仿宋" w:eastAsia="仿宋" w:cs="仿宋"/>
                <w:spacing w:val="-38"/>
                <w:sz w:val="20"/>
                <w:szCs w:val="20"/>
              </w:rPr>
              <w:t xml:space="preserve"> </w:t>
            </w:r>
            <w:r>
              <w:rPr>
                <w:rFonts w:ascii="仿宋" w:hAnsi="仿宋" w:eastAsia="仿宋" w:cs="仿宋"/>
                <w:spacing w:val="6"/>
                <w:sz w:val="20"/>
                <w:szCs w:val="20"/>
              </w:rPr>
              <w:t>0.1358</w:t>
            </w:r>
            <w:r>
              <w:rPr>
                <w:rFonts w:ascii="仿宋" w:hAnsi="仿宋" w:eastAsia="仿宋" w:cs="仿宋"/>
                <w:sz w:val="20"/>
                <w:szCs w:val="20"/>
              </w:rPr>
              <w:t>km</w:t>
            </w:r>
            <w:r>
              <w:rPr>
                <w:rFonts w:ascii="仿宋" w:hAnsi="仿宋" w:eastAsia="仿宋" w:cs="仿宋"/>
                <w:spacing w:val="6"/>
                <w:position w:val="10"/>
                <w:sz w:val="10"/>
                <w:szCs w:val="10"/>
              </w:rPr>
              <w:t>2</w:t>
            </w:r>
            <w:r>
              <w:rPr>
                <w:rFonts w:ascii="仿宋" w:hAnsi="仿宋" w:eastAsia="仿宋" w:cs="仿宋"/>
                <w:spacing w:val="-27"/>
                <w:position w:val="10"/>
                <w:sz w:val="10"/>
                <w:szCs w:val="10"/>
              </w:rPr>
              <w:t xml:space="preserve"> </w:t>
            </w:r>
            <w:r>
              <w:rPr>
                <w:rFonts w:ascii="仿宋" w:hAnsi="仿宋" w:eastAsia="仿宋" w:cs="仿宋"/>
                <w:spacing w:val="6"/>
                <w:sz w:val="20"/>
                <w:szCs w:val="20"/>
              </w:rPr>
              <w:t>&lt;</w:t>
            </w:r>
            <w:r>
              <w:rPr>
                <w:rFonts w:ascii="仿宋" w:hAnsi="仿宋" w:eastAsia="仿宋" w:cs="仿宋"/>
                <w:sz w:val="20"/>
                <w:szCs w:val="20"/>
              </w:rPr>
              <w:t xml:space="preserve"> </w:t>
            </w:r>
            <w:r>
              <w:rPr>
                <w:rFonts w:ascii="仿宋" w:hAnsi="仿宋" w:eastAsia="仿宋" w:cs="仿宋"/>
                <w:spacing w:val="3"/>
                <w:sz w:val="20"/>
                <w:szCs w:val="20"/>
              </w:rPr>
              <w:t>20</w:t>
            </w:r>
            <w:r>
              <w:rPr>
                <w:rFonts w:ascii="仿宋" w:hAnsi="仿宋" w:eastAsia="仿宋" w:cs="仿宋"/>
                <w:sz w:val="20"/>
                <w:szCs w:val="20"/>
              </w:rPr>
              <w:t>km</w:t>
            </w:r>
            <w:r>
              <w:rPr>
                <w:rFonts w:ascii="仿宋" w:hAnsi="仿宋" w:eastAsia="仿宋" w:cs="仿宋"/>
                <w:spacing w:val="3"/>
                <w:position w:val="9"/>
                <w:sz w:val="10"/>
                <w:szCs w:val="10"/>
              </w:rPr>
              <w:t>2</w:t>
            </w:r>
            <w:r>
              <w:rPr>
                <w:rFonts w:ascii="仿宋" w:hAnsi="仿宋" w:eastAsia="仿宋" w:cs="仿宋"/>
                <w:spacing w:val="3"/>
                <w:sz w:val="20"/>
                <w:szCs w:val="20"/>
              </w:rPr>
              <w:t>。</w:t>
            </w:r>
          </w:p>
        </w:tc>
        <w:tc>
          <w:tcPr>
            <w:tcW w:w="1103" w:type="dxa"/>
            <w:tcBorders>
              <w:right w:val="nil"/>
            </w:tcBorders>
            <w:vAlign w:val="top"/>
          </w:tcPr>
          <w:p w14:paraId="56BEEDA6">
            <w:pPr>
              <w:spacing w:line="262" w:lineRule="auto"/>
              <w:rPr>
                <w:rFonts w:ascii="Arial"/>
                <w:sz w:val="21"/>
              </w:rPr>
            </w:pPr>
          </w:p>
          <w:p w14:paraId="3EC56EEC">
            <w:pPr>
              <w:spacing w:line="262" w:lineRule="auto"/>
              <w:rPr>
                <w:rFonts w:ascii="Arial"/>
                <w:sz w:val="21"/>
              </w:rPr>
            </w:pPr>
          </w:p>
          <w:p w14:paraId="75308C11">
            <w:pPr>
              <w:spacing w:line="263" w:lineRule="auto"/>
              <w:rPr>
                <w:rFonts w:ascii="Arial"/>
                <w:sz w:val="21"/>
              </w:rPr>
            </w:pPr>
          </w:p>
          <w:p w14:paraId="516B318E">
            <w:pPr>
              <w:spacing w:before="65" w:line="234" w:lineRule="auto"/>
              <w:ind w:left="503"/>
              <w:rPr>
                <w:rFonts w:ascii="仿宋" w:hAnsi="仿宋" w:eastAsia="仿宋" w:cs="仿宋"/>
                <w:sz w:val="20"/>
                <w:szCs w:val="20"/>
              </w:rPr>
            </w:pPr>
            <w:r>
              <w:rPr>
                <w:rFonts w:ascii="仿宋" w:hAnsi="仿宋" w:eastAsia="仿宋" w:cs="仿宋"/>
                <w:sz w:val="20"/>
                <w:szCs w:val="20"/>
              </w:rPr>
              <w:t>/</w:t>
            </w:r>
          </w:p>
        </w:tc>
      </w:tr>
      <w:tr w14:paraId="628D9D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758" w:type="dxa"/>
            <w:tcBorders>
              <w:left w:val="nil"/>
            </w:tcBorders>
            <w:vAlign w:val="top"/>
          </w:tcPr>
          <w:p w14:paraId="4ED78DE8">
            <w:pPr>
              <w:spacing w:before="47" w:line="201" w:lineRule="auto"/>
              <w:ind w:left="189"/>
              <w:rPr>
                <w:rFonts w:ascii="仿宋" w:hAnsi="仿宋" w:eastAsia="仿宋" w:cs="仿宋"/>
                <w:sz w:val="20"/>
                <w:szCs w:val="20"/>
              </w:rPr>
            </w:pPr>
            <w:r>
              <w:rPr>
                <w:rFonts w:ascii="仿宋" w:hAnsi="仿宋" w:eastAsia="仿宋" w:cs="仿宋"/>
                <w:spacing w:val="-1"/>
                <w:sz w:val="20"/>
                <w:szCs w:val="20"/>
              </w:rPr>
              <w:t>三级</w:t>
            </w:r>
          </w:p>
        </w:tc>
        <w:tc>
          <w:tcPr>
            <w:tcW w:w="3816" w:type="dxa"/>
            <w:vAlign w:val="top"/>
          </w:tcPr>
          <w:p w14:paraId="4D626C02">
            <w:pPr>
              <w:spacing w:before="47" w:line="201" w:lineRule="auto"/>
              <w:ind w:left="128"/>
              <w:rPr>
                <w:rFonts w:ascii="仿宋" w:hAnsi="仿宋" w:eastAsia="仿宋" w:cs="仿宋"/>
                <w:sz w:val="20"/>
                <w:szCs w:val="20"/>
              </w:rPr>
            </w:pPr>
            <w:r>
              <w:rPr>
                <w:rFonts w:ascii="仿宋" w:hAnsi="仿宋" w:eastAsia="仿宋" w:cs="仿宋"/>
                <w:spacing w:val="7"/>
                <w:sz w:val="20"/>
                <w:szCs w:val="20"/>
              </w:rPr>
              <w:t>除以上情况外的情况</w:t>
            </w:r>
          </w:p>
        </w:tc>
        <w:tc>
          <w:tcPr>
            <w:tcW w:w="2843" w:type="dxa"/>
            <w:vAlign w:val="top"/>
          </w:tcPr>
          <w:p w14:paraId="16B27A2E">
            <w:pPr>
              <w:spacing w:before="47" w:line="201" w:lineRule="auto"/>
              <w:ind w:left="824"/>
              <w:rPr>
                <w:rFonts w:ascii="仿宋" w:hAnsi="仿宋" w:eastAsia="仿宋" w:cs="仿宋"/>
                <w:sz w:val="20"/>
                <w:szCs w:val="20"/>
              </w:rPr>
            </w:pPr>
            <w:r>
              <w:rPr>
                <w:rFonts w:ascii="仿宋" w:hAnsi="仿宋" w:eastAsia="仿宋" w:cs="仿宋"/>
                <w:spacing w:val="3"/>
                <w:sz w:val="20"/>
                <w:szCs w:val="20"/>
              </w:rPr>
              <w:t>以上情况以外</w:t>
            </w:r>
          </w:p>
        </w:tc>
        <w:tc>
          <w:tcPr>
            <w:tcW w:w="1103" w:type="dxa"/>
            <w:tcBorders>
              <w:right w:val="nil"/>
            </w:tcBorders>
            <w:vAlign w:val="top"/>
          </w:tcPr>
          <w:p w14:paraId="0DFC4807">
            <w:pPr>
              <w:spacing w:before="47" w:line="201" w:lineRule="auto"/>
              <w:ind w:left="358"/>
              <w:rPr>
                <w:rFonts w:ascii="仿宋" w:hAnsi="仿宋" w:eastAsia="仿宋" w:cs="仿宋"/>
                <w:sz w:val="20"/>
                <w:szCs w:val="20"/>
              </w:rPr>
            </w:pPr>
            <w:r>
              <w:rPr>
                <w:rFonts w:ascii="仿宋" w:hAnsi="仿宋" w:eastAsia="仿宋" w:cs="仿宋"/>
                <w:spacing w:val="-1"/>
                <w:sz w:val="20"/>
                <w:szCs w:val="20"/>
              </w:rPr>
              <w:t>三级</w:t>
            </w:r>
          </w:p>
        </w:tc>
      </w:tr>
      <w:tr w14:paraId="4F2B19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4" w:hRule="atLeast"/>
        </w:trPr>
        <w:tc>
          <w:tcPr>
            <w:tcW w:w="758" w:type="dxa"/>
            <w:tcBorders>
              <w:left w:val="nil"/>
              <w:bottom w:val="single" w:color="000000" w:sz="10" w:space="0"/>
            </w:tcBorders>
            <w:vAlign w:val="top"/>
          </w:tcPr>
          <w:p w14:paraId="7CFB7F43">
            <w:pPr>
              <w:spacing w:before="185" w:line="239" w:lineRule="auto"/>
              <w:ind w:left="182"/>
              <w:rPr>
                <w:rFonts w:ascii="仿宋" w:hAnsi="仿宋" w:eastAsia="仿宋" w:cs="仿宋"/>
                <w:sz w:val="20"/>
                <w:szCs w:val="20"/>
              </w:rPr>
            </w:pPr>
            <w:r>
              <w:rPr>
                <w:rFonts w:ascii="仿宋" w:hAnsi="仿宋" w:eastAsia="仿宋" w:cs="仿宋"/>
                <w:spacing w:val="2"/>
                <w:sz w:val="20"/>
                <w:szCs w:val="20"/>
              </w:rPr>
              <w:t>适当</w:t>
            </w:r>
          </w:p>
          <w:p w14:paraId="6BDAD500">
            <w:pPr>
              <w:spacing w:before="12" w:line="232" w:lineRule="auto"/>
              <w:ind w:left="184"/>
              <w:rPr>
                <w:rFonts w:ascii="仿宋" w:hAnsi="仿宋" w:eastAsia="仿宋" w:cs="仿宋"/>
                <w:sz w:val="20"/>
                <w:szCs w:val="20"/>
              </w:rPr>
            </w:pPr>
            <w:r>
              <w:rPr>
                <w:rFonts w:ascii="仿宋" w:hAnsi="仿宋" w:eastAsia="仿宋" w:cs="仿宋"/>
                <w:spacing w:val="1"/>
                <w:sz w:val="20"/>
                <w:szCs w:val="20"/>
              </w:rPr>
              <w:t>上调</w:t>
            </w:r>
          </w:p>
          <w:p w14:paraId="6794F10D">
            <w:pPr>
              <w:spacing w:before="19" w:line="231" w:lineRule="auto"/>
              <w:ind w:left="184"/>
              <w:rPr>
                <w:rFonts w:ascii="仿宋" w:hAnsi="仿宋" w:eastAsia="仿宋" w:cs="仿宋"/>
                <w:sz w:val="20"/>
                <w:szCs w:val="20"/>
              </w:rPr>
            </w:pPr>
            <w:r>
              <w:rPr>
                <w:rFonts w:ascii="仿宋" w:hAnsi="仿宋" w:eastAsia="仿宋" w:cs="仿宋"/>
                <w:spacing w:val="1"/>
                <w:sz w:val="20"/>
                <w:szCs w:val="20"/>
              </w:rPr>
              <w:t>评价</w:t>
            </w:r>
          </w:p>
          <w:p w14:paraId="3C4FEF53">
            <w:pPr>
              <w:spacing w:before="23" w:line="232" w:lineRule="auto"/>
              <w:ind w:left="190"/>
              <w:rPr>
                <w:rFonts w:ascii="仿宋" w:hAnsi="仿宋" w:eastAsia="仿宋" w:cs="仿宋"/>
                <w:sz w:val="20"/>
                <w:szCs w:val="20"/>
              </w:rPr>
            </w:pPr>
            <w:r>
              <w:rPr>
                <w:rFonts w:ascii="仿宋" w:hAnsi="仿宋" w:eastAsia="仿宋" w:cs="仿宋"/>
                <w:spacing w:val="-2"/>
                <w:sz w:val="20"/>
                <w:szCs w:val="20"/>
              </w:rPr>
              <w:t>等级</w:t>
            </w:r>
          </w:p>
        </w:tc>
        <w:tc>
          <w:tcPr>
            <w:tcW w:w="3816" w:type="dxa"/>
            <w:tcBorders>
              <w:bottom w:val="single" w:color="000000" w:sz="10" w:space="0"/>
            </w:tcBorders>
            <w:vAlign w:val="top"/>
          </w:tcPr>
          <w:p w14:paraId="7823B5B3">
            <w:pPr>
              <w:spacing w:before="49" w:line="251" w:lineRule="auto"/>
              <w:ind w:left="122" w:right="108" w:firstLine="4"/>
              <w:rPr>
                <w:rFonts w:ascii="仿宋" w:hAnsi="仿宋" w:eastAsia="仿宋" w:cs="仿宋"/>
                <w:sz w:val="20"/>
                <w:szCs w:val="20"/>
              </w:rPr>
            </w:pPr>
            <w:r>
              <w:rPr>
                <w:rFonts w:ascii="仿宋" w:hAnsi="仿宋" w:eastAsia="仿宋" w:cs="仿宋"/>
                <w:spacing w:val="9"/>
                <w:sz w:val="20"/>
                <w:szCs w:val="20"/>
              </w:rPr>
              <w:t>1.涉及经论证对保护生物多样性具有重</w:t>
            </w:r>
            <w:r>
              <w:rPr>
                <w:rFonts w:ascii="仿宋" w:hAnsi="仿宋" w:eastAsia="仿宋" w:cs="仿宋"/>
                <w:spacing w:val="6"/>
                <w:sz w:val="20"/>
                <w:szCs w:val="20"/>
              </w:rPr>
              <w:t>要意义的区域时；</w:t>
            </w:r>
          </w:p>
          <w:p w14:paraId="37E133EB">
            <w:pPr>
              <w:ind w:left="124" w:right="108" w:hanging="10"/>
              <w:rPr>
                <w:rFonts w:ascii="仿宋" w:hAnsi="仿宋" w:eastAsia="仿宋" w:cs="仿宋"/>
                <w:sz w:val="20"/>
                <w:szCs w:val="20"/>
              </w:rPr>
            </w:pPr>
            <w:r>
              <w:rPr>
                <w:rFonts w:ascii="仿宋" w:hAnsi="仿宋" w:eastAsia="仿宋" w:cs="仿宋"/>
                <w:spacing w:val="10"/>
                <w:sz w:val="20"/>
                <w:szCs w:val="20"/>
              </w:rPr>
              <w:t>2.矿山开采可能导致矿区土地利用类型明显改变，或拦河闸坝建设可能明显改</w:t>
            </w:r>
            <w:r>
              <w:rPr>
                <w:rFonts w:ascii="仿宋" w:hAnsi="仿宋" w:eastAsia="仿宋" w:cs="仿宋"/>
                <w:spacing w:val="8"/>
                <w:sz w:val="20"/>
                <w:szCs w:val="20"/>
              </w:rPr>
              <w:t>变水文情势的情况，等级上调一级。</w:t>
            </w:r>
          </w:p>
        </w:tc>
        <w:tc>
          <w:tcPr>
            <w:tcW w:w="2843" w:type="dxa"/>
            <w:tcBorders>
              <w:bottom w:val="single" w:color="000000" w:sz="10" w:space="0"/>
            </w:tcBorders>
            <w:vAlign w:val="top"/>
          </w:tcPr>
          <w:p w14:paraId="4F3D2844">
            <w:pPr>
              <w:spacing w:line="254" w:lineRule="auto"/>
              <w:rPr>
                <w:rFonts w:ascii="Arial"/>
                <w:sz w:val="21"/>
              </w:rPr>
            </w:pPr>
          </w:p>
          <w:p w14:paraId="59B16BA2">
            <w:pPr>
              <w:spacing w:before="65" w:line="251" w:lineRule="auto"/>
              <w:ind w:left="122" w:right="212" w:firstLine="4"/>
              <w:rPr>
                <w:rFonts w:ascii="仿宋" w:hAnsi="仿宋" w:eastAsia="仿宋" w:cs="仿宋"/>
                <w:sz w:val="20"/>
                <w:szCs w:val="20"/>
              </w:rPr>
            </w:pPr>
            <w:r>
              <w:rPr>
                <w:rFonts w:ascii="仿宋" w:hAnsi="仿宋" w:eastAsia="仿宋" w:cs="仿宋"/>
                <w:spacing w:val="7"/>
                <w:sz w:val="20"/>
                <w:szCs w:val="20"/>
              </w:rPr>
              <w:t>1.途径生物多样性维护生态</w:t>
            </w:r>
            <w:r>
              <w:rPr>
                <w:rFonts w:ascii="仿宋" w:hAnsi="仿宋" w:eastAsia="仿宋" w:cs="仿宋"/>
                <w:spacing w:val="5"/>
                <w:sz w:val="20"/>
                <w:szCs w:val="20"/>
              </w:rPr>
              <w:t>功能重要区；</w:t>
            </w:r>
          </w:p>
          <w:p w14:paraId="12603950">
            <w:pPr>
              <w:spacing w:line="231" w:lineRule="auto"/>
              <w:ind w:left="114"/>
              <w:rPr>
                <w:rFonts w:ascii="仿宋" w:hAnsi="仿宋" w:eastAsia="仿宋" w:cs="仿宋"/>
                <w:sz w:val="20"/>
                <w:szCs w:val="20"/>
              </w:rPr>
            </w:pPr>
            <w:r>
              <w:rPr>
                <w:rFonts w:ascii="仿宋" w:hAnsi="仿宋" w:eastAsia="仿宋" w:cs="仿宋"/>
                <w:spacing w:val="5"/>
                <w:sz w:val="20"/>
                <w:szCs w:val="20"/>
              </w:rPr>
              <w:t>2.不涉及。</w:t>
            </w:r>
          </w:p>
        </w:tc>
        <w:tc>
          <w:tcPr>
            <w:tcW w:w="1103" w:type="dxa"/>
            <w:tcBorders>
              <w:bottom w:val="single" w:color="000000" w:sz="10" w:space="0"/>
              <w:right w:val="nil"/>
            </w:tcBorders>
            <w:vAlign w:val="top"/>
          </w:tcPr>
          <w:p w14:paraId="104A0429">
            <w:pPr>
              <w:spacing w:line="262" w:lineRule="auto"/>
              <w:rPr>
                <w:rFonts w:ascii="Arial"/>
                <w:sz w:val="21"/>
              </w:rPr>
            </w:pPr>
          </w:p>
          <w:p w14:paraId="29F0AEFB">
            <w:pPr>
              <w:spacing w:line="263" w:lineRule="auto"/>
              <w:rPr>
                <w:rFonts w:ascii="Arial"/>
                <w:sz w:val="21"/>
              </w:rPr>
            </w:pPr>
          </w:p>
          <w:p w14:paraId="1F329824">
            <w:pPr>
              <w:spacing w:before="65" w:line="234" w:lineRule="auto"/>
              <w:ind w:left="503"/>
              <w:rPr>
                <w:rFonts w:ascii="仿宋" w:hAnsi="仿宋" w:eastAsia="仿宋" w:cs="仿宋"/>
                <w:sz w:val="20"/>
                <w:szCs w:val="20"/>
              </w:rPr>
            </w:pPr>
            <w:r>
              <w:rPr>
                <w:rFonts w:ascii="仿宋" w:hAnsi="仿宋" w:eastAsia="仿宋" w:cs="仿宋"/>
                <w:sz w:val="20"/>
                <w:szCs w:val="20"/>
              </w:rPr>
              <w:t>/</w:t>
            </w:r>
          </w:p>
        </w:tc>
      </w:tr>
    </w:tbl>
    <w:p w14:paraId="41799365">
      <w:pPr>
        <w:spacing w:before="35" w:line="222" w:lineRule="auto"/>
        <w:ind w:left="633"/>
        <w:rPr>
          <w:rFonts w:ascii="仿宋" w:hAnsi="仿宋" w:eastAsia="仿宋" w:cs="仿宋"/>
          <w:sz w:val="24"/>
          <w:szCs w:val="24"/>
        </w:rPr>
      </w:pPr>
      <w:r>
        <w:rPr>
          <w:rFonts w:ascii="仿宋" w:hAnsi="仿宋" w:eastAsia="仿宋" w:cs="仿宋"/>
          <w:spacing w:val="-4"/>
          <w:sz w:val="24"/>
          <w:szCs w:val="24"/>
        </w:rPr>
        <w:t>由表</w:t>
      </w:r>
      <w:r>
        <w:rPr>
          <w:rFonts w:ascii="仿宋" w:hAnsi="仿宋" w:eastAsia="仿宋" w:cs="仿宋"/>
          <w:spacing w:val="-30"/>
          <w:sz w:val="24"/>
          <w:szCs w:val="24"/>
        </w:rPr>
        <w:t xml:space="preserve"> </w:t>
      </w:r>
      <w:r>
        <w:rPr>
          <w:rFonts w:ascii="仿宋" w:hAnsi="仿宋" w:eastAsia="仿宋" w:cs="仿宋"/>
          <w:spacing w:val="-4"/>
          <w:sz w:val="24"/>
          <w:szCs w:val="24"/>
        </w:rPr>
        <w:t>1.3-1</w:t>
      </w:r>
      <w:r>
        <w:rPr>
          <w:rFonts w:ascii="仿宋" w:hAnsi="仿宋" w:eastAsia="仿宋" w:cs="仿宋"/>
          <w:spacing w:val="-42"/>
          <w:sz w:val="24"/>
          <w:szCs w:val="24"/>
        </w:rPr>
        <w:t xml:space="preserve"> </w:t>
      </w:r>
      <w:r>
        <w:rPr>
          <w:rFonts w:ascii="仿宋" w:hAnsi="仿宋" w:eastAsia="仿宋" w:cs="仿宋"/>
          <w:spacing w:val="-4"/>
          <w:sz w:val="24"/>
          <w:szCs w:val="24"/>
        </w:rPr>
        <w:t>知，本项目生态影响评价等级为三级。</w:t>
      </w:r>
    </w:p>
    <w:p w14:paraId="4C041419">
      <w:pPr>
        <w:spacing w:before="283" w:line="227" w:lineRule="auto"/>
        <w:ind w:left="136"/>
        <w:rPr>
          <w:rFonts w:ascii="仿宋" w:hAnsi="仿宋" w:eastAsia="仿宋" w:cs="仿宋"/>
          <w:sz w:val="26"/>
          <w:szCs w:val="26"/>
        </w:rPr>
      </w:pPr>
      <w:r>
        <w:rPr>
          <w:rFonts w:ascii="仿宋" w:hAnsi="仿宋" w:eastAsia="仿宋" w:cs="仿宋"/>
          <w:b/>
          <w:bCs/>
          <w:spacing w:val="1"/>
          <w:sz w:val="26"/>
          <w:szCs w:val="26"/>
        </w:rPr>
        <w:t>1.3.2</w:t>
      </w:r>
      <w:r>
        <w:rPr>
          <w:rFonts w:ascii="仿宋" w:hAnsi="仿宋" w:eastAsia="仿宋" w:cs="仿宋"/>
          <w:spacing w:val="-41"/>
          <w:sz w:val="26"/>
          <w:szCs w:val="26"/>
        </w:rPr>
        <w:t xml:space="preserve"> </w:t>
      </w:r>
      <w:r>
        <w:rPr>
          <w:rFonts w:ascii="仿宋" w:hAnsi="仿宋" w:eastAsia="仿宋" w:cs="仿宋"/>
          <w:b/>
          <w:bCs/>
          <w:spacing w:val="1"/>
          <w:sz w:val="26"/>
          <w:szCs w:val="26"/>
        </w:rPr>
        <w:t>评价工作范围</w:t>
      </w:r>
    </w:p>
    <w:p w14:paraId="1FA1CA6F">
      <w:pPr>
        <w:spacing w:before="302" w:line="359" w:lineRule="auto"/>
        <w:ind w:left="125" w:right="106" w:firstLine="478"/>
        <w:jc w:val="both"/>
        <w:rPr>
          <w:rFonts w:ascii="仿宋" w:hAnsi="仿宋" w:eastAsia="仿宋" w:cs="仿宋"/>
          <w:sz w:val="24"/>
          <w:szCs w:val="24"/>
        </w:rPr>
      </w:pPr>
      <w:r>
        <w:rPr>
          <w:rFonts w:ascii="仿宋" w:hAnsi="仿宋" w:eastAsia="仿宋" w:cs="仿宋"/>
          <w:spacing w:val="-3"/>
          <w:sz w:val="24"/>
          <w:szCs w:val="24"/>
        </w:rPr>
        <w:t>本项目各段道路不涉及生态红线和生态敏感区</w:t>
      </w:r>
      <w:r>
        <w:rPr>
          <w:rFonts w:ascii="仿宋" w:hAnsi="仿宋" w:eastAsia="仿宋" w:cs="仿宋"/>
          <w:spacing w:val="-4"/>
          <w:sz w:val="24"/>
          <w:szCs w:val="24"/>
        </w:rPr>
        <w:t>，根据《环境影响评价技术导</w:t>
      </w:r>
      <w:r>
        <w:rPr>
          <w:rFonts w:ascii="仿宋" w:hAnsi="仿宋" w:eastAsia="仿宋" w:cs="仿宋"/>
          <w:spacing w:val="-3"/>
          <w:sz w:val="24"/>
          <w:szCs w:val="24"/>
        </w:rPr>
        <w:t>则-生态影响》（HJ19-2022）中的规定，各段道路生态评价范围为道路中心线向两侧外扩</w:t>
      </w:r>
      <w:r>
        <w:rPr>
          <w:rFonts w:ascii="仿宋" w:hAnsi="仿宋" w:eastAsia="仿宋" w:cs="仿宋"/>
          <w:spacing w:val="-46"/>
          <w:sz w:val="24"/>
          <w:szCs w:val="24"/>
        </w:rPr>
        <w:t xml:space="preserve"> </w:t>
      </w:r>
      <w:r>
        <w:rPr>
          <w:rFonts w:ascii="仿宋" w:hAnsi="仿宋" w:eastAsia="仿宋" w:cs="仿宋"/>
          <w:spacing w:val="-3"/>
          <w:sz w:val="24"/>
          <w:szCs w:val="24"/>
        </w:rPr>
        <w:t>300m</w:t>
      </w:r>
      <w:r>
        <w:rPr>
          <w:rFonts w:ascii="仿宋" w:hAnsi="仿宋" w:eastAsia="仿宋" w:cs="仿宋"/>
          <w:spacing w:val="-31"/>
          <w:sz w:val="24"/>
          <w:szCs w:val="24"/>
        </w:rPr>
        <w:t xml:space="preserve"> </w:t>
      </w:r>
      <w:r>
        <w:rPr>
          <w:rFonts w:ascii="仿宋" w:hAnsi="仿宋" w:eastAsia="仿宋" w:cs="仿宋"/>
          <w:spacing w:val="-3"/>
          <w:sz w:val="24"/>
          <w:szCs w:val="24"/>
        </w:rPr>
        <w:t>范围，评价区面积总计</w:t>
      </w:r>
      <w:r>
        <w:rPr>
          <w:rFonts w:ascii="仿宋" w:hAnsi="仿宋" w:eastAsia="仿宋" w:cs="仿宋"/>
          <w:spacing w:val="-34"/>
          <w:sz w:val="24"/>
          <w:szCs w:val="24"/>
        </w:rPr>
        <w:t xml:space="preserve"> </w:t>
      </w:r>
      <w:r>
        <w:rPr>
          <w:rFonts w:ascii="仿宋" w:hAnsi="仿宋" w:eastAsia="仿宋" w:cs="仿宋"/>
          <w:spacing w:val="-3"/>
          <w:sz w:val="24"/>
          <w:szCs w:val="24"/>
        </w:rPr>
        <w:t>1810.61hm</w:t>
      </w:r>
      <w:r>
        <w:rPr>
          <w:rFonts w:ascii="仿宋" w:hAnsi="仿宋" w:eastAsia="仿宋" w:cs="仿宋"/>
          <w:spacing w:val="-4"/>
          <w:position w:val="11"/>
          <w:sz w:val="12"/>
          <w:szCs w:val="12"/>
        </w:rPr>
        <w:t>2</w:t>
      </w:r>
      <w:r>
        <w:rPr>
          <w:rFonts w:ascii="仿宋" w:hAnsi="仿宋" w:eastAsia="仿宋" w:cs="仿宋"/>
          <w:spacing w:val="-4"/>
          <w:sz w:val="24"/>
          <w:szCs w:val="24"/>
        </w:rPr>
        <w:t>。</w:t>
      </w:r>
    </w:p>
    <w:p w14:paraId="0EB3A6BF">
      <w:pPr>
        <w:spacing w:before="112" w:line="228" w:lineRule="auto"/>
        <w:ind w:left="141"/>
        <w:outlineLvl w:val="1"/>
        <w:rPr>
          <w:rFonts w:ascii="仿宋" w:hAnsi="仿宋" w:eastAsia="仿宋" w:cs="仿宋"/>
          <w:sz w:val="31"/>
          <w:szCs w:val="31"/>
        </w:rPr>
      </w:pPr>
      <w:bookmarkStart w:id="62" w:name="bookmark71"/>
      <w:bookmarkEnd w:id="62"/>
      <w:r>
        <w:rPr>
          <w:rFonts w:ascii="仿宋" w:hAnsi="仿宋" w:eastAsia="仿宋" w:cs="仿宋"/>
          <w:b/>
          <w:bCs/>
          <w:spacing w:val="1"/>
          <w:sz w:val="31"/>
          <w:szCs w:val="31"/>
        </w:rPr>
        <w:t>1.4</w:t>
      </w:r>
      <w:r>
        <w:rPr>
          <w:rFonts w:ascii="仿宋" w:hAnsi="仿宋" w:eastAsia="仿宋" w:cs="仿宋"/>
          <w:spacing w:val="-44"/>
          <w:sz w:val="31"/>
          <w:szCs w:val="31"/>
        </w:rPr>
        <w:t xml:space="preserve"> </w:t>
      </w:r>
      <w:r>
        <w:rPr>
          <w:rFonts w:ascii="仿宋" w:hAnsi="仿宋" w:eastAsia="仿宋" w:cs="仿宋"/>
          <w:b/>
          <w:bCs/>
          <w:spacing w:val="1"/>
          <w:sz w:val="31"/>
          <w:szCs w:val="31"/>
        </w:rPr>
        <w:t>评价时段及评价因子</w:t>
      </w:r>
    </w:p>
    <w:p w14:paraId="1D08B836">
      <w:pPr>
        <w:pStyle w:val="2"/>
        <w:spacing w:line="246" w:lineRule="auto"/>
        <w:rPr>
          <w:sz w:val="21"/>
        </w:rPr>
      </w:pPr>
    </w:p>
    <w:p w14:paraId="378DCE92">
      <w:pPr>
        <w:spacing w:before="85" w:line="229" w:lineRule="auto"/>
        <w:ind w:left="136"/>
        <w:rPr>
          <w:rFonts w:ascii="仿宋" w:hAnsi="仿宋" w:eastAsia="仿宋" w:cs="仿宋"/>
          <w:sz w:val="26"/>
          <w:szCs w:val="26"/>
        </w:rPr>
      </w:pPr>
      <w:r>
        <w:rPr>
          <w:rFonts w:ascii="仿宋" w:hAnsi="仿宋" w:eastAsia="仿宋" w:cs="仿宋"/>
          <w:b/>
          <w:bCs/>
          <w:spacing w:val="-1"/>
          <w:sz w:val="26"/>
          <w:szCs w:val="26"/>
        </w:rPr>
        <w:t>1.4.1</w:t>
      </w:r>
      <w:r>
        <w:rPr>
          <w:rFonts w:ascii="仿宋" w:hAnsi="仿宋" w:eastAsia="仿宋" w:cs="仿宋"/>
          <w:spacing w:val="32"/>
          <w:sz w:val="26"/>
          <w:szCs w:val="26"/>
        </w:rPr>
        <w:t xml:space="preserve"> </w:t>
      </w:r>
      <w:r>
        <w:rPr>
          <w:rFonts w:ascii="仿宋" w:hAnsi="仿宋" w:eastAsia="仿宋" w:cs="仿宋"/>
          <w:b/>
          <w:bCs/>
          <w:spacing w:val="-1"/>
          <w:sz w:val="26"/>
          <w:szCs w:val="26"/>
        </w:rPr>
        <w:t>评价时段</w:t>
      </w:r>
    </w:p>
    <w:p w14:paraId="05D8C0A2">
      <w:pPr>
        <w:spacing w:before="296" w:line="360" w:lineRule="auto"/>
        <w:ind w:left="131" w:right="106" w:firstLine="472"/>
        <w:rPr>
          <w:rFonts w:ascii="仿宋" w:hAnsi="仿宋" w:eastAsia="仿宋" w:cs="仿宋"/>
          <w:sz w:val="24"/>
          <w:szCs w:val="24"/>
        </w:rPr>
      </w:pPr>
      <w:r>
        <w:rPr>
          <w:rFonts w:ascii="仿宋" w:hAnsi="仿宋" w:eastAsia="仿宋" w:cs="仿宋"/>
          <w:spacing w:val="-3"/>
          <w:sz w:val="24"/>
          <w:szCs w:val="24"/>
        </w:rPr>
        <w:t>根据本项目建设性质及施工特点，评价时段考</w:t>
      </w:r>
      <w:r>
        <w:rPr>
          <w:rFonts w:ascii="仿宋" w:hAnsi="仿宋" w:eastAsia="仿宋" w:cs="仿宋"/>
          <w:spacing w:val="-4"/>
          <w:sz w:val="24"/>
          <w:szCs w:val="24"/>
        </w:rPr>
        <w:t>虑施工期。本项目施工期预计</w:t>
      </w:r>
      <w:r>
        <w:rPr>
          <w:rFonts w:ascii="仿宋" w:hAnsi="仿宋" w:eastAsia="仿宋" w:cs="仿宋"/>
          <w:spacing w:val="-9"/>
          <w:sz w:val="24"/>
          <w:szCs w:val="24"/>
        </w:rPr>
        <w:t>为</w:t>
      </w:r>
      <w:r>
        <w:rPr>
          <w:rFonts w:ascii="仿宋" w:hAnsi="仿宋" w:eastAsia="仿宋" w:cs="仿宋"/>
          <w:spacing w:val="-49"/>
          <w:sz w:val="24"/>
          <w:szCs w:val="24"/>
        </w:rPr>
        <w:t xml:space="preserve"> </w:t>
      </w:r>
      <w:r>
        <w:rPr>
          <w:rFonts w:ascii="仿宋" w:hAnsi="仿宋" w:eastAsia="仿宋" w:cs="仿宋"/>
          <w:spacing w:val="-9"/>
          <w:sz w:val="24"/>
          <w:szCs w:val="24"/>
        </w:rPr>
        <w:t>24</w:t>
      </w:r>
      <w:r>
        <w:rPr>
          <w:rFonts w:ascii="仿宋" w:hAnsi="仿宋" w:eastAsia="仿宋" w:cs="仿宋"/>
          <w:spacing w:val="-43"/>
          <w:sz w:val="24"/>
          <w:szCs w:val="24"/>
        </w:rPr>
        <w:t xml:space="preserve"> </w:t>
      </w:r>
      <w:r>
        <w:rPr>
          <w:rFonts w:ascii="仿宋" w:hAnsi="仿宋" w:eastAsia="仿宋" w:cs="仿宋"/>
          <w:spacing w:val="-9"/>
          <w:sz w:val="24"/>
          <w:szCs w:val="24"/>
        </w:rPr>
        <w:t>个月。</w:t>
      </w:r>
    </w:p>
    <w:p w14:paraId="0EA171D7">
      <w:pPr>
        <w:spacing w:before="103" w:line="229" w:lineRule="auto"/>
        <w:ind w:left="136"/>
        <w:rPr>
          <w:rFonts w:ascii="仿宋" w:hAnsi="仿宋" w:eastAsia="仿宋" w:cs="仿宋"/>
          <w:sz w:val="26"/>
          <w:szCs w:val="26"/>
        </w:rPr>
      </w:pPr>
      <w:r>
        <w:rPr>
          <w:rFonts w:ascii="仿宋" w:hAnsi="仿宋" w:eastAsia="仿宋" w:cs="仿宋"/>
          <w:b/>
          <w:bCs/>
          <w:spacing w:val="-1"/>
          <w:sz w:val="26"/>
          <w:szCs w:val="26"/>
        </w:rPr>
        <w:t>1.4.2</w:t>
      </w:r>
      <w:r>
        <w:rPr>
          <w:rFonts w:ascii="仿宋" w:hAnsi="仿宋" w:eastAsia="仿宋" w:cs="仿宋"/>
          <w:spacing w:val="32"/>
          <w:sz w:val="26"/>
          <w:szCs w:val="26"/>
        </w:rPr>
        <w:t xml:space="preserve"> </w:t>
      </w:r>
      <w:r>
        <w:rPr>
          <w:rFonts w:ascii="仿宋" w:hAnsi="仿宋" w:eastAsia="仿宋" w:cs="仿宋"/>
          <w:b/>
          <w:bCs/>
          <w:spacing w:val="-1"/>
          <w:sz w:val="26"/>
          <w:szCs w:val="26"/>
        </w:rPr>
        <w:t>评价因子</w:t>
      </w:r>
    </w:p>
    <w:p w14:paraId="7FC5180C">
      <w:pPr>
        <w:spacing w:before="299" w:line="222" w:lineRule="auto"/>
        <w:ind w:left="607"/>
        <w:rPr>
          <w:rFonts w:ascii="仿宋" w:hAnsi="仿宋" w:eastAsia="仿宋" w:cs="仿宋"/>
          <w:sz w:val="24"/>
          <w:szCs w:val="24"/>
        </w:rPr>
      </w:pPr>
      <w:r>
        <w:rPr>
          <w:rFonts w:ascii="仿宋" w:hAnsi="仿宋" w:eastAsia="仿宋" w:cs="仿宋"/>
          <w:spacing w:val="-1"/>
          <w:sz w:val="24"/>
          <w:szCs w:val="24"/>
        </w:rPr>
        <w:t>结合当地的生态环境特征，本项目生态评价因子筛选如下表：</w:t>
      </w:r>
    </w:p>
    <w:p w14:paraId="278ECD89">
      <w:pPr>
        <w:spacing w:line="222" w:lineRule="auto"/>
        <w:rPr>
          <w:rFonts w:ascii="仿宋" w:hAnsi="仿宋" w:eastAsia="仿宋" w:cs="仿宋"/>
          <w:sz w:val="24"/>
          <w:szCs w:val="24"/>
        </w:rPr>
        <w:sectPr>
          <w:footerReference r:id="rId201" w:type="default"/>
          <w:pgSz w:w="11906" w:h="16839"/>
          <w:pgMar w:top="400" w:right="1692" w:bottom="1509" w:left="1693" w:header="0" w:footer="1349" w:gutter="0"/>
          <w:cols w:space="720" w:num="1"/>
        </w:sectPr>
      </w:pPr>
    </w:p>
    <w:p w14:paraId="14459AFA">
      <w:pPr>
        <w:pStyle w:val="2"/>
        <w:spacing w:line="247" w:lineRule="auto"/>
        <w:rPr>
          <w:sz w:val="21"/>
        </w:rPr>
      </w:pPr>
    </w:p>
    <w:p w14:paraId="1641534C">
      <w:pPr>
        <w:pStyle w:val="2"/>
        <w:spacing w:line="248" w:lineRule="auto"/>
        <w:rPr>
          <w:sz w:val="21"/>
        </w:rPr>
      </w:pPr>
    </w:p>
    <w:p w14:paraId="6605CAAF">
      <w:pPr>
        <w:pStyle w:val="2"/>
        <w:spacing w:line="248" w:lineRule="auto"/>
        <w:rPr>
          <w:sz w:val="21"/>
        </w:rPr>
      </w:pPr>
    </w:p>
    <w:p w14:paraId="49BB0B8E">
      <w:pPr>
        <w:pStyle w:val="2"/>
        <w:spacing w:line="248" w:lineRule="auto"/>
        <w:rPr>
          <w:sz w:val="21"/>
        </w:rPr>
      </w:pPr>
    </w:p>
    <w:p w14:paraId="517E3C74">
      <w:pPr>
        <w:spacing w:before="78" w:line="222" w:lineRule="auto"/>
        <w:ind w:left="2328"/>
        <w:rPr>
          <w:rFonts w:ascii="仿宋" w:hAnsi="仿宋" w:eastAsia="仿宋" w:cs="仿宋"/>
          <w:sz w:val="24"/>
          <w:szCs w:val="24"/>
        </w:rPr>
      </w:pPr>
      <w:r>
        <w:rPr>
          <w:rFonts w:ascii="仿宋" w:hAnsi="仿宋" w:eastAsia="仿宋" w:cs="仿宋"/>
          <w:b/>
          <w:bCs/>
          <w:spacing w:val="-4"/>
          <w:sz w:val="24"/>
          <w:szCs w:val="24"/>
        </w:rPr>
        <w:t>表</w:t>
      </w:r>
      <w:r>
        <w:rPr>
          <w:rFonts w:ascii="仿宋" w:hAnsi="仿宋" w:eastAsia="仿宋" w:cs="仿宋"/>
          <w:spacing w:val="-20"/>
          <w:sz w:val="24"/>
          <w:szCs w:val="24"/>
        </w:rPr>
        <w:t xml:space="preserve"> </w:t>
      </w:r>
      <w:r>
        <w:rPr>
          <w:rFonts w:ascii="仿宋" w:hAnsi="仿宋" w:eastAsia="仿宋" w:cs="仿宋"/>
          <w:b/>
          <w:bCs/>
          <w:spacing w:val="-4"/>
          <w:sz w:val="24"/>
          <w:szCs w:val="24"/>
        </w:rPr>
        <w:t>1.4-1</w:t>
      </w:r>
      <w:r>
        <w:rPr>
          <w:rFonts w:ascii="仿宋" w:hAnsi="仿宋" w:eastAsia="仿宋" w:cs="仿宋"/>
          <w:spacing w:val="-4"/>
          <w:sz w:val="24"/>
          <w:szCs w:val="24"/>
        </w:rPr>
        <w:t xml:space="preserve">   </w:t>
      </w:r>
      <w:r>
        <w:rPr>
          <w:rFonts w:ascii="仿宋" w:hAnsi="仿宋" w:eastAsia="仿宋" w:cs="仿宋"/>
          <w:b/>
          <w:bCs/>
          <w:spacing w:val="-4"/>
          <w:sz w:val="24"/>
          <w:szCs w:val="24"/>
        </w:rPr>
        <w:t>生态环境影响评价因子筛选表</w:t>
      </w:r>
    </w:p>
    <w:p w14:paraId="45BA2479">
      <w:pPr>
        <w:spacing w:line="143" w:lineRule="exact"/>
      </w:pPr>
    </w:p>
    <w:tbl>
      <w:tblPr>
        <w:tblStyle w:val="5"/>
        <w:tblW w:w="854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28"/>
        <w:gridCol w:w="2043"/>
        <w:gridCol w:w="2598"/>
        <w:gridCol w:w="1305"/>
        <w:gridCol w:w="1123"/>
        <w:gridCol w:w="568"/>
        <w:gridCol w:w="575"/>
      </w:tblGrid>
      <w:tr w14:paraId="05005A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328" w:type="dxa"/>
            <w:tcBorders>
              <w:top w:val="single" w:color="000000" w:sz="10" w:space="0"/>
              <w:left w:val="nil"/>
            </w:tcBorders>
            <w:textDirection w:val="tbRlV"/>
            <w:vAlign w:val="top"/>
          </w:tcPr>
          <w:p w14:paraId="0473BE2C">
            <w:pPr>
              <w:spacing w:before="59" w:line="210" w:lineRule="auto"/>
              <w:ind w:left="35"/>
              <w:rPr>
                <w:rFonts w:ascii="仿宋" w:hAnsi="仿宋" w:eastAsia="仿宋" w:cs="仿宋"/>
                <w:sz w:val="20"/>
                <w:szCs w:val="20"/>
              </w:rPr>
            </w:pPr>
            <w:r>
              <w:rPr>
                <w:rFonts w:ascii="仿宋" w:hAnsi="仿宋" w:eastAsia="仿宋" w:cs="仿宋"/>
                <w:spacing w:val="13"/>
                <w:sz w:val="20"/>
                <w:szCs w:val="20"/>
              </w:rPr>
              <w:t>时</w:t>
            </w:r>
            <w:r>
              <w:rPr>
                <w:rFonts w:ascii="仿宋" w:hAnsi="仿宋" w:eastAsia="仿宋" w:cs="仿宋"/>
                <w:spacing w:val="-42"/>
                <w:sz w:val="20"/>
                <w:szCs w:val="20"/>
              </w:rPr>
              <w:t xml:space="preserve"> </w:t>
            </w:r>
            <w:r>
              <w:rPr>
                <w:rFonts w:ascii="仿宋" w:hAnsi="仿宋" w:eastAsia="仿宋" w:cs="仿宋"/>
                <w:spacing w:val="13"/>
                <w:sz w:val="20"/>
                <w:szCs w:val="20"/>
              </w:rPr>
              <w:t>期</w:t>
            </w:r>
          </w:p>
        </w:tc>
        <w:tc>
          <w:tcPr>
            <w:tcW w:w="2043" w:type="dxa"/>
            <w:tcBorders>
              <w:top w:val="single" w:color="000000" w:sz="10" w:space="0"/>
            </w:tcBorders>
            <w:vAlign w:val="top"/>
          </w:tcPr>
          <w:p w14:paraId="034E1492">
            <w:pPr>
              <w:spacing w:before="168" w:line="232" w:lineRule="auto"/>
              <w:ind w:left="518"/>
              <w:rPr>
                <w:rFonts w:ascii="仿宋" w:hAnsi="仿宋" w:eastAsia="仿宋" w:cs="仿宋"/>
                <w:sz w:val="20"/>
                <w:szCs w:val="20"/>
              </w:rPr>
            </w:pPr>
            <w:r>
              <w:rPr>
                <w:rFonts w:ascii="仿宋" w:hAnsi="仿宋" w:eastAsia="仿宋" w:cs="仿宋"/>
                <w:spacing w:val="5"/>
                <w:sz w:val="20"/>
                <w:szCs w:val="20"/>
              </w:rPr>
              <w:t>受影响对象</w:t>
            </w:r>
          </w:p>
        </w:tc>
        <w:tc>
          <w:tcPr>
            <w:tcW w:w="2598" w:type="dxa"/>
            <w:tcBorders>
              <w:top w:val="single" w:color="000000" w:sz="10" w:space="0"/>
            </w:tcBorders>
            <w:vAlign w:val="top"/>
          </w:tcPr>
          <w:p w14:paraId="3E10502D">
            <w:pPr>
              <w:spacing w:before="169" w:line="231" w:lineRule="auto"/>
              <w:ind w:left="890"/>
              <w:rPr>
                <w:rFonts w:ascii="仿宋" w:hAnsi="仿宋" w:eastAsia="仿宋" w:cs="仿宋"/>
                <w:sz w:val="20"/>
                <w:szCs w:val="20"/>
              </w:rPr>
            </w:pPr>
            <w:r>
              <w:rPr>
                <w:rFonts w:ascii="仿宋" w:hAnsi="仿宋" w:eastAsia="仿宋" w:cs="仿宋"/>
                <w:spacing w:val="5"/>
                <w:sz w:val="20"/>
                <w:szCs w:val="20"/>
              </w:rPr>
              <w:t>评价因子</w:t>
            </w:r>
          </w:p>
        </w:tc>
        <w:tc>
          <w:tcPr>
            <w:tcW w:w="1305" w:type="dxa"/>
            <w:tcBorders>
              <w:top w:val="single" w:color="000000" w:sz="10" w:space="0"/>
            </w:tcBorders>
            <w:vAlign w:val="top"/>
          </w:tcPr>
          <w:p w14:paraId="3C22E917">
            <w:pPr>
              <w:spacing w:before="169" w:line="231" w:lineRule="auto"/>
              <w:ind w:left="247"/>
              <w:rPr>
                <w:rFonts w:ascii="仿宋" w:hAnsi="仿宋" w:eastAsia="仿宋" w:cs="仿宋"/>
                <w:sz w:val="20"/>
                <w:szCs w:val="20"/>
              </w:rPr>
            </w:pPr>
            <w:r>
              <w:rPr>
                <w:rFonts w:ascii="仿宋" w:hAnsi="仿宋" w:eastAsia="仿宋" w:cs="仿宋"/>
                <w:spacing w:val="4"/>
                <w:sz w:val="20"/>
                <w:szCs w:val="20"/>
              </w:rPr>
              <w:t>工程内容</w:t>
            </w:r>
          </w:p>
        </w:tc>
        <w:tc>
          <w:tcPr>
            <w:tcW w:w="1123" w:type="dxa"/>
            <w:tcBorders>
              <w:top w:val="single" w:color="000000" w:sz="10" w:space="0"/>
            </w:tcBorders>
            <w:vAlign w:val="top"/>
          </w:tcPr>
          <w:p w14:paraId="4D2A0C5A">
            <w:pPr>
              <w:spacing w:before="168" w:line="232" w:lineRule="auto"/>
              <w:ind w:left="154"/>
              <w:rPr>
                <w:rFonts w:ascii="仿宋" w:hAnsi="仿宋" w:eastAsia="仿宋" w:cs="仿宋"/>
                <w:sz w:val="20"/>
                <w:szCs w:val="20"/>
              </w:rPr>
            </w:pPr>
            <w:r>
              <w:rPr>
                <w:rFonts w:ascii="仿宋" w:hAnsi="仿宋" w:eastAsia="仿宋" w:cs="仿宋"/>
                <w:spacing w:val="5"/>
                <w:sz w:val="20"/>
                <w:szCs w:val="20"/>
              </w:rPr>
              <w:t>影响方式</w:t>
            </w:r>
          </w:p>
        </w:tc>
        <w:tc>
          <w:tcPr>
            <w:tcW w:w="568" w:type="dxa"/>
            <w:tcBorders>
              <w:top w:val="single" w:color="000000" w:sz="10" w:space="0"/>
            </w:tcBorders>
            <w:vAlign w:val="top"/>
          </w:tcPr>
          <w:p w14:paraId="463809A7">
            <w:pPr>
              <w:spacing w:before="34" w:line="232" w:lineRule="auto"/>
              <w:ind w:left="87"/>
              <w:rPr>
                <w:rFonts w:ascii="仿宋" w:hAnsi="仿宋" w:eastAsia="仿宋" w:cs="仿宋"/>
                <w:sz w:val="20"/>
                <w:szCs w:val="20"/>
              </w:rPr>
            </w:pPr>
            <w:r>
              <w:rPr>
                <w:rFonts w:ascii="仿宋" w:hAnsi="仿宋" w:eastAsia="仿宋" w:cs="仿宋"/>
                <w:sz w:val="20"/>
                <w:szCs w:val="20"/>
              </w:rPr>
              <w:t>影响</w:t>
            </w:r>
          </w:p>
          <w:p w14:paraId="034AE10D">
            <w:pPr>
              <w:spacing w:before="19" w:line="218" w:lineRule="auto"/>
              <w:ind w:left="88"/>
              <w:rPr>
                <w:rFonts w:ascii="仿宋" w:hAnsi="仿宋" w:eastAsia="仿宋" w:cs="仿宋"/>
                <w:sz w:val="20"/>
                <w:szCs w:val="20"/>
              </w:rPr>
            </w:pPr>
            <w:r>
              <w:rPr>
                <w:rFonts w:ascii="仿宋" w:hAnsi="仿宋" w:eastAsia="仿宋" w:cs="仿宋"/>
                <w:sz w:val="20"/>
                <w:szCs w:val="20"/>
              </w:rPr>
              <w:t>性质</w:t>
            </w:r>
          </w:p>
        </w:tc>
        <w:tc>
          <w:tcPr>
            <w:tcW w:w="575" w:type="dxa"/>
            <w:tcBorders>
              <w:top w:val="single" w:color="000000" w:sz="10" w:space="0"/>
              <w:right w:val="nil"/>
            </w:tcBorders>
            <w:vAlign w:val="top"/>
          </w:tcPr>
          <w:p w14:paraId="38C0DAFF">
            <w:pPr>
              <w:spacing w:before="34" w:line="232" w:lineRule="auto"/>
              <w:ind w:left="92"/>
              <w:rPr>
                <w:rFonts w:ascii="仿宋" w:hAnsi="仿宋" w:eastAsia="仿宋" w:cs="仿宋"/>
                <w:sz w:val="20"/>
                <w:szCs w:val="20"/>
              </w:rPr>
            </w:pPr>
            <w:r>
              <w:rPr>
                <w:rFonts w:ascii="仿宋" w:hAnsi="仿宋" w:eastAsia="仿宋" w:cs="仿宋"/>
                <w:sz w:val="20"/>
                <w:szCs w:val="20"/>
              </w:rPr>
              <w:t>影响</w:t>
            </w:r>
          </w:p>
          <w:p w14:paraId="04506937">
            <w:pPr>
              <w:spacing w:before="19" w:line="218" w:lineRule="auto"/>
              <w:ind w:left="92"/>
              <w:rPr>
                <w:rFonts w:ascii="仿宋" w:hAnsi="仿宋" w:eastAsia="仿宋" w:cs="仿宋"/>
                <w:sz w:val="20"/>
                <w:szCs w:val="20"/>
              </w:rPr>
            </w:pPr>
            <w:r>
              <w:rPr>
                <w:rFonts w:ascii="仿宋" w:hAnsi="仿宋" w:eastAsia="仿宋" w:cs="仿宋"/>
                <w:spacing w:val="1"/>
                <w:sz w:val="20"/>
                <w:szCs w:val="20"/>
              </w:rPr>
              <w:t>程度</w:t>
            </w:r>
          </w:p>
        </w:tc>
      </w:tr>
      <w:tr w14:paraId="111F56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328" w:type="dxa"/>
            <w:vMerge w:val="restart"/>
            <w:tcBorders>
              <w:left w:val="nil"/>
              <w:bottom w:val="nil"/>
            </w:tcBorders>
            <w:textDirection w:val="tbRlV"/>
            <w:vAlign w:val="top"/>
          </w:tcPr>
          <w:p w14:paraId="6360D34A">
            <w:pPr>
              <w:spacing w:before="59" w:line="210" w:lineRule="auto"/>
              <w:ind w:left="1633"/>
              <w:rPr>
                <w:rFonts w:ascii="仿宋" w:hAnsi="仿宋" w:eastAsia="仿宋" w:cs="仿宋"/>
                <w:sz w:val="20"/>
                <w:szCs w:val="20"/>
              </w:rPr>
            </w:pPr>
            <w:r>
              <w:rPr>
                <w:rFonts w:ascii="仿宋" w:hAnsi="仿宋" w:eastAsia="仿宋" w:cs="仿宋"/>
                <w:spacing w:val="-8"/>
                <w:sz w:val="20"/>
                <w:szCs w:val="20"/>
              </w:rPr>
              <w:t>施</w:t>
            </w:r>
            <w:r>
              <w:rPr>
                <w:rFonts w:ascii="仿宋" w:hAnsi="仿宋" w:eastAsia="仿宋" w:cs="仿宋"/>
                <w:spacing w:val="-11"/>
                <w:sz w:val="20"/>
                <w:szCs w:val="20"/>
              </w:rPr>
              <w:t xml:space="preserve"> </w:t>
            </w:r>
            <w:r>
              <w:rPr>
                <w:rFonts w:ascii="仿宋" w:hAnsi="仿宋" w:eastAsia="仿宋" w:cs="仿宋"/>
                <w:spacing w:val="-8"/>
                <w:sz w:val="20"/>
                <w:szCs w:val="20"/>
              </w:rPr>
              <w:t>工 期</w:t>
            </w:r>
          </w:p>
        </w:tc>
        <w:tc>
          <w:tcPr>
            <w:tcW w:w="2043" w:type="dxa"/>
            <w:vAlign w:val="top"/>
          </w:tcPr>
          <w:p w14:paraId="0B1129DB">
            <w:pPr>
              <w:spacing w:before="169" w:line="229" w:lineRule="auto"/>
              <w:ind w:left="823"/>
              <w:rPr>
                <w:rFonts w:ascii="仿宋" w:hAnsi="仿宋" w:eastAsia="仿宋" w:cs="仿宋"/>
                <w:sz w:val="20"/>
                <w:szCs w:val="20"/>
              </w:rPr>
            </w:pPr>
            <w:r>
              <w:rPr>
                <w:rFonts w:ascii="仿宋" w:hAnsi="仿宋" w:eastAsia="仿宋" w:cs="仿宋"/>
                <w:spacing w:val="1"/>
                <w:sz w:val="20"/>
                <w:szCs w:val="20"/>
              </w:rPr>
              <w:t>物种</w:t>
            </w:r>
          </w:p>
        </w:tc>
        <w:tc>
          <w:tcPr>
            <w:tcW w:w="2598" w:type="dxa"/>
            <w:vAlign w:val="top"/>
          </w:tcPr>
          <w:p w14:paraId="61C77C95">
            <w:pPr>
              <w:spacing w:before="32" w:line="233" w:lineRule="auto"/>
              <w:ind w:left="683" w:right="39" w:hanging="632"/>
              <w:rPr>
                <w:rFonts w:ascii="仿宋" w:hAnsi="仿宋" w:eastAsia="仿宋" w:cs="仿宋"/>
                <w:sz w:val="20"/>
                <w:szCs w:val="20"/>
              </w:rPr>
            </w:pPr>
            <w:r>
              <w:rPr>
                <w:rFonts w:ascii="仿宋" w:hAnsi="仿宋" w:eastAsia="仿宋" w:cs="仿宋"/>
                <w:spacing w:val="8"/>
                <w:sz w:val="20"/>
                <w:szCs w:val="20"/>
              </w:rPr>
              <w:t>分布范围、种群数量、种群</w:t>
            </w:r>
            <w:r>
              <w:rPr>
                <w:rFonts w:ascii="仿宋" w:hAnsi="仿宋" w:eastAsia="仿宋" w:cs="仿宋"/>
                <w:spacing w:val="6"/>
                <w:sz w:val="20"/>
                <w:szCs w:val="20"/>
              </w:rPr>
              <w:t>结构、行为等</w:t>
            </w:r>
          </w:p>
        </w:tc>
        <w:tc>
          <w:tcPr>
            <w:tcW w:w="1305" w:type="dxa"/>
            <w:vMerge w:val="restart"/>
            <w:tcBorders>
              <w:bottom w:val="nil"/>
            </w:tcBorders>
            <w:vAlign w:val="top"/>
          </w:tcPr>
          <w:p w14:paraId="72DCC57D">
            <w:pPr>
              <w:spacing w:line="288" w:lineRule="auto"/>
              <w:rPr>
                <w:rFonts w:ascii="Arial"/>
                <w:sz w:val="21"/>
              </w:rPr>
            </w:pPr>
          </w:p>
          <w:p w14:paraId="2A338A59">
            <w:pPr>
              <w:spacing w:line="288" w:lineRule="auto"/>
              <w:rPr>
                <w:rFonts w:ascii="Arial"/>
                <w:sz w:val="21"/>
              </w:rPr>
            </w:pPr>
          </w:p>
          <w:p w14:paraId="20190DB0">
            <w:pPr>
              <w:spacing w:line="288" w:lineRule="auto"/>
              <w:rPr>
                <w:rFonts w:ascii="Arial"/>
                <w:sz w:val="21"/>
              </w:rPr>
            </w:pPr>
          </w:p>
          <w:p w14:paraId="615ABB19">
            <w:pPr>
              <w:spacing w:line="288" w:lineRule="auto"/>
              <w:rPr>
                <w:rFonts w:ascii="Arial"/>
                <w:sz w:val="21"/>
              </w:rPr>
            </w:pPr>
          </w:p>
          <w:p w14:paraId="06D007E3">
            <w:pPr>
              <w:spacing w:before="65" w:line="231" w:lineRule="auto"/>
              <w:ind w:left="33"/>
              <w:rPr>
                <w:rFonts w:ascii="仿宋" w:hAnsi="仿宋" w:eastAsia="仿宋" w:cs="仿宋"/>
                <w:sz w:val="20"/>
                <w:szCs w:val="20"/>
              </w:rPr>
            </w:pPr>
            <w:r>
              <w:rPr>
                <w:rFonts w:ascii="仿宋" w:hAnsi="仿宋" w:eastAsia="仿宋" w:cs="仿宋"/>
                <w:spacing w:val="7"/>
                <w:sz w:val="20"/>
                <w:szCs w:val="20"/>
              </w:rPr>
              <w:t>沿线有旧路设</w:t>
            </w:r>
          </w:p>
          <w:p w14:paraId="7E85AC35">
            <w:pPr>
              <w:spacing w:before="20" w:line="229" w:lineRule="auto"/>
              <w:ind w:left="140"/>
              <w:rPr>
                <w:rFonts w:ascii="仿宋" w:hAnsi="仿宋" w:eastAsia="仿宋" w:cs="仿宋"/>
                <w:sz w:val="20"/>
                <w:szCs w:val="20"/>
              </w:rPr>
            </w:pPr>
            <w:r>
              <w:rPr>
                <w:rFonts w:ascii="仿宋" w:hAnsi="仿宋" w:eastAsia="仿宋" w:cs="仿宋"/>
                <w:spacing w:val="6"/>
                <w:sz w:val="20"/>
                <w:szCs w:val="20"/>
              </w:rPr>
              <w:t>置道路作业</w:t>
            </w:r>
          </w:p>
          <w:p w14:paraId="2B20B179">
            <w:pPr>
              <w:spacing w:before="23" w:line="229" w:lineRule="auto"/>
              <w:jc w:val="right"/>
              <w:rPr>
                <w:rFonts w:ascii="仿宋" w:hAnsi="仿宋" w:eastAsia="仿宋" w:cs="仿宋"/>
                <w:sz w:val="20"/>
                <w:szCs w:val="20"/>
              </w:rPr>
            </w:pPr>
            <w:r>
              <w:rPr>
                <w:rFonts w:ascii="仿宋" w:hAnsi="仿宋" w:eastAsia="仿宋" w:cs="仿宋"/>
                <w:spacing w:val="-19"/>
                <w:sz w:val="20"/>
                <w:szCs w:val="20"/>
              </w:rPr>
              <w:t>带；地表清理、</w:t>
            </w:r>
          </w:p>
          <w:p w14:paraId="6401CB07">
            <w:pPr>
              <w:spacing w:before="25" w:line="232" w:lineRule="auto"/>
              <w:ind w:left="32"/>
              <w:rPr>
                <w:rFonts w:ascii="仿宋" w:hAnsi="仿宋" w:eastAsia="仿宋" w:cs="仿宋"/>
                <w:sz w:val="20"/>
                <w:szCs w:val="20"/>
              </w:rPr>
            </w:pPr>
            <w:r>
              <w:rPr>
                <w:rFonts w:ascii="仿宋" w:hAnsi="仿宋" w:eastAsia="仿宋" w:cs="仿宋"/>
                <w:spacing w:val="7"/>
                <w:sz w:val="20"/>
                <w:szCs w:val="20"/>
              </w:rPr>
              <w:t>路基、涵洞施</w:t>
            </w:r>
          </w:p>
          <w:p w14:paraId="245D687A">
            <w:pPr>
              <w:spacing w:before="20" w:line="232" w:lineRule="auto"/>
              <w:ind w:left="38"/>
              <w:rPr>
                <w:rFonts w:ascii="仿宋" w:hAnsi="仿宋" w:eastAsia="仿宋" w:cs="仿宋"/>
                <w:sz w:val="20"/>
                <w:szCs w:val="20"/>
              </w:rPr>
            </w:pPr>
            <w:r>
              <w:rPr>
                <w:rFonts w:ascii="仿宋" w:hAnsi="仿宋" w:eastAsia="仿宋" w:cs="仿宋"/>
                <w:spacing w:val="6"/>
                <w:sz w:val="20"/>
                <w:szCs w:val="20"/>
              </w:rPr>
              <w:t>工、路面铺设</w:t>
            </w:r>
          </w:p>
          <w:p w14:paraId="60223CCF">
            <w:pPr>
              <w:spacing w:before="23" w:line="232" w:lineRule="auto"/>
              <w:ind w:left="566"/>
              <w:rPr>
                <w:rFonts w:ascii="仿宋" w:hAnsi="仿宋" w:eastAsia="仿宋" w:cs="仿宋"/>
                <w:sz w:val="20"/>
                <w:szCs w:val="20"/>
              </w:rPr>
            </w:pPr>
            <w:r>
              <w:rPr>
                <w:rFonts w:ascii="仿宋" w:hAnsi="仿宋" w:eastAsia="仿宋" w:cs="仿宋"/>
                <w:sz w:val="20"/>
                <w:szCs w:val="20"/>
              </w:rPr>
              <w:t>等</w:t>
            </w:r>
          </w:p>
        </w:tc>
        <w:tc>
          <w:tcPr>
            <w:tcW w:w="1123" w:type="dxa"/>
            <w:vAlign w:val="top"/>
          </w:tcPr>
          <w:p w14:paraId="14CCEA51">
            <w:pPr>
              <w:spacing w:before="32" w:line="233" w:lineRule="auto"/>
              <w:ind w:left="472" w:right="36" w:hanging="407"/>
              <w:rPr>
                <w:rFonts w:ascii="仿宋" w:hAnsi="仿宋" w:eastAsia="仿宋" w:cs="仿宋"/>
                <w:sz w:val="20"/>
                <w:szCs w:val="20"/>
              </w:rPr>
            </w:pPr>
            <w:r>
              <w:rPr>
                <w:rFonts w:ascii="仿宋" w:hAnsi="仿宋" w:eastAsia="仿宋" w:cs="仿宋"/>
                <w:spacing w:val="3"/>
                <w:sz w:val="20"/>
                <w:szCs w:val="20"/>
              </w:rPr>
              <w:t>间接生态影</w:t>
            </w:r>
            <w:r>
              <w:rPr>
                <w:rFonts w:ascii="仿宋" w:hAnsi="仿宋" w:eastAsia="仿宋" w:cs="仿宋"/>
                <w:sz w:val="20"/>
                <w:szCs w:val="20"/>
              </w:rPr>
              <w:t>响</w:t>
            </w:r>
          </w:p>
        </w:tc>
        <w:tc>
          <w:tcPr>
            <w:tcW w:w="568" w:type="dxa"/>
            <w:vAlign w:val="top"/>
          </w:tcPr>
          <w:p w14:paraId="317E567B">
            <w:pPr>
              <w:spacing w:before="32" w:line="233" w:lineRule="auto"/>
              <w:ind w:left="83" w:hanging="66"/>
              <w:rPr>
                <w:rFonts w:ascii="仿宋" w:hAnsi="仿宋" w:eastAsia="仿宋" w:cs="仿宋"/>
                <w:sz w:val="20"/>
                <w:szCs w:val="20"/>
              </w:rPr>
            </w:pPr>
            <w:r>
              <w:rPr>
                <w:rFonts w:ascii="仿宋" w:hAnsi="仿宋" w:eastAsia="仿宋" w:cs="仿宋"/>
                <w:spacing w:val="-19"/>
                <w:sz w:val="20"/>
                <w:szCs w:val="20"/>
              </w:rPr>
              <w:t>短期、</w:t>
            </w:r>
            <w:r>
              <w:rPr>
                <w:rFonts w:ascii="仿宋" w:hAnsi="仿宋" w:eastAsia="仿宋" w:cs="仿宋"/>
                <w:spacing w:val="-10"/>
                <w:sz w:val="20"/>
                <w:szCs w:val="20"/>
              </w:rPr>
              <w:t>可逆</w:t>
            </w:r>
          </w:p>
        </w:tc>
        <w:tc>
          <w:tcPr>
            <w:tcW w:w="575" w:type="dxa"/>
            <w:tcBorders>
              <w:right w:val="nil"/>
            </w:tcBorders>
            <w:vAlign w:val="top"/>
          </w:tcPr>
          <w:p w14:paraId="7B3DCD94">
            <w:pPr>
              <w:spacing w:before="168" w:line="232" w:lineRule="auto"/>
              <w:ind w:left="201"/>
              <w:rPr>
                <w:rFonts w:ascii="仿宋" w:hAnsi="仿宋" w:eastAsia="仿宋" w:cs="仿宋"/>
                <w:sz w:val="20"/>
                <w:szCs w:val="20"/>
              </w:rPr>
            </w:pPr>
            <w:r>
              <w:rPr>
                <w:rFonts w:ascii="仿宋" w:hAnsi="仿宋" w:eastAsia="仿宋" w:cs="仿宋"/>
                <w:sz w:val="20"/>
                <w:szCs w:val="20"/>
              </w:rPr>
              <w:t>弱</w:t>
            </w:r>
          </w:p>
        </w:tc>
      </w:tr>
      <w:tr w14:paraId="1416B8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328" w:type="dxa"/>
            <w:vMerge w:val="continue"/>
            <w:tcBorders>
              <w:top w:val="nil"/>
              <w:left w:val="nil"/>
              <w:bottom w:val="nil"/>
            </w:tcBorders>
            <w:textDirection w:val="tbRlV"/>
            <w:vAlign w:val="top"/>
          </w:tcPr>
          <w:p w14:paraId="4E27A3FD">
            <w:pPr>
              <w:rPr>
                <w:rFonts w:ascii="Arial"/>
                <w:sz w:val="21"/>
              </w:rPr>
            </w:pPr>
          </w:p>
        </w:tc>
        <w:tc>
          <w:tcPr>
            <w:tcW w:w="2043" w:type="dxa"/>
            <w:vAlign w:val="top"/>
          </w:tcPr>
          <w:p w14:paraId="4832FF35">
            <w:pPr>
              <w:spacing w:before="171" w:line="232" w:lineRule="auto"/>
              <w:ind w:left="835"/>
              <w:rPr>
                <w:rFonts w:ascii="仿宋" w:hAnsi="仿宋" w:eastAsia="仿宋" w:cs="仿宋"/>
                <w:sz w:val="20"/>
                <w:szCs w:val="20"/>
              </w:rPr>
            </w:pPr>
            <w:r>
              <w:rPr>
                <w:rFonts w:ascii="仿宋" w:hAnsi="仿宋" w:eastAsia="仿宋" w:cs="仿宋"/>
                <w:spacing w:val="-5"/>
                <w:sz w:val="20"/>
                <w:szCs w:val="20"/>
              </w:rPr>
              <w:t>生境</w:t>
            </w:r>
          </w:p>
        </w:tc>
        <w:tc>
          <w:tcPr>
            <w:tcW w:w="2598" w:type="dxa"/>
            <w:vAlign w:val="top"/>
          </w:tcPr>
          <w:p w14:paraId="65329F16">
            <w:pPr>
              <w:spacing w:before="171" w:line="229" w:lineRule="auto"/>
              <w:ind w:left="61"/>
              <w:rPr>
                <w:rFonts w:ascii="仿宋" w:hAnsi="仿宋" w:eastAsia="仿宋" w:cs="仿宋"/>
                <w:sz w:val="20"/>
                <w:szCs w:val="20"/>
              </w:rPr>
            </w:pPr>
            <w:r>
              <w:rPr>
                <w:rFonts w:ascii="仿宋" w:hAnsi="仿宋" w:eastAsia="仿宋" w:cs="仿宋"/>
                <w:spacing w:val="7"/>
                <w:sz w:val="20"/>
                <w:szCs w:val="20"/>
              </w:rPr>
              <w:t>生境面积、质量、连通性等</w:t>
            </w:r>
          </w:p>
        </w:tc>
        <w:tc>
          <w:tcPr>
            <w:tcW w:w="1305" w:type="dxa"/>
            <w:vMerge w:val="continue"/>
            <w:tcBorders>
              <w:top w:val="nil"/>
              <w:bottom w:val="nil"/>
            </w:tcBorders>
            <w:vAlign w:val="top"/>
          </w:tcPr>
          <w:p w14:paraId="092ACD71">
            <w:pPr>
              <w:rPr>
                <w:rFonts w:ascii="Arial"/>
                <w:sz w:val="21"/>
              </w:rPr>
            </w:pPr>
          </w:p>
        </w:tc>
        <w:tc>
          <w:tcPr>
            <w:tcW w:w="1123" w:type="dxa"/>
            <w:vAlign w:val="top"/>
          </w:tcPr>
          <w:p w14:paraId="32457934">
            <w:pPr>
              <w:spacing w:before="36" w:line="231" w:lineRule="auto"/>
              <w:ind w:left="472" w:right="36" w:hanging="426"/>
              <w:rPr>
                <w:rFonts w:ascii="仿宋" w:hAnsi="仿宋" w:eastAsia="仿宋" w:cs="仿宋"/>
                <w:sz w:val="20"/>
                <w:szCs w:val="20"/>
              </w:rPr>
            </w:pPr>
            <w:r>
              <w:rPr>
                <w:rFonts w:ascii="仿宋" w:hAnsi="仿宋" w:eastAsia="仿宋" w:cs="仿宋"/>
                <w:spacing w:val="7"/>
                <w:sz w:val="20"/>
                <w:szCs w:val="20"/>
              </w:rPr>
              <w:t>直接生态影</w:t>
            </w:r>
            <w:r>
              <w:rPr>
                <w:rFonts w:ascii="仿宋" w:hAnsi="仿宋" w:eastAsia="仿宋" w:cs="仿宋"/>
                <w:sz w:val="20"/>
                <w:szCs w:val="20"/>
              </w:rPr>
              <w:t>响</w:t>
            </w:r>
          </w:p>
        </w:tc>
        <w:tc>
          <w:tcPr>
            <w:tcW w:w="568" w:type="dxa"/>
            <w:vAlign w:val="top"/>
          </w:tcPr>
          <w:p w14:paraId="6E8D3A16">
            <w:pPr>
              <w:spacing w:before="36" w:line="231" w:lineRule="auto"/>
              <w:ind w:left="83" w:hanging="66"/>
              <w:rPr>
                <w:rFonts w:ascii="仿宋" w:hAnsi="仿宋" w:eastAsia="仿宋" w:cs="仿宋"/>
                <w:sz w:val="20"/>
                <w:szCs w:val="20"/>
              </w:rPr>
            </w:pPr>
            <w:r>
              <w:rPr>
                <w:rFonts w:ascii="仿宋" w:hAnsi="仿宋" w:eastAsia="仿宋" w:cs="仿宋"/>
                <w:spacing w:val="-19"/>
                <w:sz w:val="20"/>
                <w:szCs w:val="20"/>
              </w:rPr>
              <w:t>短期、</w:t>
            </w:r>
            <w:r>
              <w:rPr>
                <w:rFonts w:ascii="仿宋" w:hAnsi="仿宋" w:eastAsia="仿宋" w:cs="仿宋"/>
                <w:spacing w:val="-10"/>
                <w:sz w:val="20"/>
                <w:szCs w:val="20"/>
              </w:rPr>
              <w:t>可逆</w:t>
            </w:r>
          </w:p>
        </w:tc>
        <w:tc>
          <w:tcPr>
            <w:tcW w:w="575" w:type="dxa"/>
            <w:tcBorders>
              <w:right w:val="nil"/>
            </w:tcBorders>
            <w:vAlign w:val="top"/>
          </w:tcPr>
          <w:p w14:paraId="0B081A7B">
            <w:pPr>
              <w:spacing w:before="171" w:line="232" w:lineRule="auto"/>
              <w:ind w:left="201"/>
              <w:rPr>
                <w:rFonts w:ascii="仿宋" w:hAnsi="仿宋" w:eastAsia="仿宋" w:cs="仿宋"/>
                <w:sz w:val="20"/>
                <w:szCs w:val="20"/>
              </w:rPr>
            </w:pPr>
            <w:r>
              <w:rPr>
                <w:rFonts w:ascii="仿宋" w:hAnsi="仿宋" w:eastAsia="仿宋" w:cs="仿宋"/>
                <w:sz w:val="20"/>
                <w:szCs w:val="20"/>
              </w:rPr>
              <w:t>弱</w:t>
            </w:r>
          </w:p>
        </w:tc>
      </w:tr>
      <w:tr w14:paraId="6B3E03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328" w:type="dxa"/>
            <w:vMerge w:val="continue"/>
            <w:tcBorders>
              <w:top w:val="nil"/>
              <w:left w:val="nil"/>
              <w:bottom w:val="nil"/>
            </w:tcBorders>
            <w:textDirection w:val="tbRlV"/>
            <w:vAlign w:val="top"/>
          </w:tcPr>
          <w:p w14:paraId="14AD6814">
            <w:pPr>
              <w:rPr>
                <w:rFonts w:ascii="Arial"/>
                <w:sz w:val="21"/>
              </w:rPr>
            </w:pPr>
          </w:p>
        </w:tc>
        <w:tc>
          <w:tcPr>
            <w:tcW w:w="2043" w:type="dxa"/>
            <w:vAlign w:val="top"/>
          </w:tcPr>
          <w:p w14:paraId="077FB5F9">
            <w:pPr>
              <w:spacing w:before="174" w:line="229" w:lineRule="auto"/>
              <w:ind w:left="623"/>
              <w:rPr>
                <w:rFonts w:ascii="仿宋" w:hAnsi="仿宋" w:eastAsia="仿宋" w:cs="仿宋"/>
                <w:sz w:val="20"/>
                <w:szCs w:val="20"/>
              </w:rPr>
            </w:pPr>
            <w:r>
              <w:rPr>
                <w:rFonts w:ascii="仿宋" w:hAnsi="仿宋" w:eastAsia="仿宋" w:cs="仿宋"/>
                <w:spacing w:val="2"/>
                <w:sz w:val="20"/>
                <w:szCs w:val="20"/>
              </w:rPr>
              <w:t>生物群落</w:t>
            </w:r>
          </w:p>
        </w:tc>
        <w:tc>
          <w:tcPr>
            <w:tcW w:w="2598" w:type="dxa"/>
            <w:vAlign w:val="top"/>
          </w:tcPr>
          <w:p w14:paraId="5772D2D6">
            <w:pPr>
              <w:spacing w:before="174" w:line="229" w:lineRule="auto"/>
              <w:ind w:left="261"/>
              <w:rPr>
                <w:rFonts w:ascii="仿宋" w:hAnsi="仿宋" w:eastAsia="仿宋" w:cs="仿宋"/>
                <w:sz w:val="20"/>
                <w:szCs w:val="20"/>
              </w:rPr>
            </w:pPr>
            <w:r>
              <w:rPr>
                <w:rFonts w:ascii="仿宋" w:hAnsi="仿宋" w:eastAsia="仿宋" w:cs="仿宋"/>
                <w:spacing w:val="8"/>
                <w:sz w:val="20"/>
                <w:szCs w:val="20"/>
              </w:rPr>
              <w:t>物种组成、群落结构等</w:t>
            </w:r>
          </w:p>
        </w:tc>
        <w:tc>
          <w:tcPr>
            <w:tcW w:w="1305" w:type="dxa"/>
            <w:vMerge w:val="continue"/>
            <w:tcBorders>
              <w:top w:val="nil"/>
              <w:bottom w:val="nil"/>
            </w:tcBorders>
            <w:vAlign w:val="top"/>
          </w:tcPr>
          <w:p w14:paraId="7E76B6EA">
            <w:pPr>
              <w:rPr>
                <w:rFonts w:ascii="Arial"/>
                <w:sz w:val="21"/>
              </w:rPr>
            </w:pPr>
          </w:p>
        </w:tc>
        <w:tc>
          <w:tcPr>
            <w:tcW w:w="1123" w:type="dxa"/>
            <w:vAlign w:val="top"/>
          </w:tcPr>
          <w:p w14:paraId="41E7679C">
            <w:pPr>
              <w:spacing w:before="36" w:line="231" w:lineRule="auto"/>
              <w:ind w:left="472" w:right="36" w:hanging="407"/>
              <w:rPr>
                <w:rFonts w:ascii="仿宋" w:hAnsi="仿宋" w:eastAsia="仿宋" w:cs="仿宋"/>
                <w:sz w:val="20"/>
                <w:szCs w:val="20"/>
              </w:rPr>
            </w:pPr>
            <w:r>
              <w:rPr>
                <w:rFonts w:ascii="仿宋" w:hAnsi="仿宋" w:eastAsia="仿宋" w:cs="仿宋"/>
                <w:spacing w:val="3"/>
                <w:sz w:val="20"/>
                <w:szCs w:val="20"/>
              </w:rPr>
              <w:t>间接生态影</w:t>
            </w:r>
            <w:r>
              <w:rPr>
                <w:rFonts w:ascii="仿宋" w:hAnsi="仿宋" w:eastAsia="仿宋" w:cs="仿宋"/>
                <w:sz w:val="20"/>
                <w:szCs w:val="20"/>
              </w:rPr>
              <w:t>响</w:t>
            </w:r>
          </w:p>
        </w:tc>
        <w:tc>
          <w:tcPr>
            <w:tcW w:w="568" w:type="dxa"/>
            <w:vAlign w:val="top"/>
          </w:tcPr>
          <w:p w14:paraId="1B9B7320">
            <w:pPr>
              <w:spacing w:before="36" w:line="231" w:lineRule="auto"/>
              <w:ind w:left="83" w:hanging="66"/>
              <w:rPr>
                <w:rFonts w:ascii="仿宋" w:hAnsi="仿宋" w:eastAsia="仿宋" w:cs="仿宋"/>
                <w:sz w:val="20"/>
                <w:szCs w:val="20"/>
              </w:rPr>
            </w:pPr>
            <w:r>
              <w:rPr>
                <w:rFonts w:ascii="仿宋" w:hAnsi="仿宋" w:eastAsia="仿宋" w:cs="仿宋"/>
                <w:spacing w:val="-19"/>
                <w:sz w:val="20"/>
                <w:szCs w:val="20"/>
              </w:rPr>
              <w:t>短期、</w:t>
            </w:r>
            <w:r>
              <w:rPr>
                <w:rFonts w:ascii="仿宋" w:hAnsi="仿宋" w:eastAsia="仿宋" w:cs="仿宋"/>
                <w:spacing w:val="-10"/>
                <w:sz w:val="20"/>
                <w:szCs w:val="20"/>
              </w:rPr>
              <w:t>可逆</w:t>
            </w:r>
          </w:p>
        </w:tc>
        <w:tc>
          <w:tcPr>
            <w:tcW w:w="575" w:type="dxa"/>
            <w:tcBorders>
              <w:right w:val="nil"/>
            </w:tcBorders>
            <w:vAlign w:val="top"/>
          </w:tcPr>
          <w:p w14:paraId="0F51629C">
            <w:pPr>
              <w:spacing w:before="173" w:line="232" w:lineRule="auto"/>
              <w:ind w:left="201"/>
              <w:rPr>
                <w:rFonts w:ascii="仿宋" w:hAnsi="仿宋" w:eastAsia="仿宋" w:cs="仿宋"/>
                <w:sz w:val="20"/>
                <w:szCs w:val="20"/>
              </w:rPr>
            </w:pPr>
            <w:r>
              <w:rPr>
                <w:rFonts w:ascii="仿宋" w:hAnsi="仿宋" w:eastAsia="仿宋" w:cs="仿宋"/>
                <w:sz w:val="20"/>
                <w:szCs w:val="20"/>
              </w:rPr>
              <w:t>弱</w:t>
            </w:r>
          </w:p>
        </w:tc>
      </w:tr>
      <w:tr w14:paraId="51A107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328" w:type="dxa"/>
            <w:vMerge w:val="continue"/>
            <w:tcBorders>
              <w:top w:val="nil"/>
              <w:left w:val="nil"/>
              <w:bottom w:val="nil"/>
            </w:tcBorders>
            <w:textDirection w:val="tbRlV"/>
            <w:vAlign w:val="top"/>
          </w:tcPr>
          <w:p w14:paraId="0AEA8180">
            <w:pPr>
              <w:rPr>
                <w:rFonts w:ascii="Arial"/>
                <w:sz w:val="21"/>
              </w:rPr>
            </w:pPr>
          </w:p>
        </w:tc>
        <w:tc>
          <w:tcPr>
            <w:tcW w:w="2043" w:type="dxa"/>
            <w:vAlign w:val="top"/>
          </w:tcPr>
          <w:p w14:paraId="12C7421E">
            <w:pPr>
              <w:spacing w:before="176" w:line="233" w:lineRule="auto"/>
              <w:ind w:left="623"/>
              <w:rPr>
                <w:rFonts w:ascii="仿宋" w:hAnsi="仿宋" w:eastAsia="仿宋" w:cs="仿宋"/>
                <w:sz w:val="20"/>
                <w:szCs w:val="20"/>
              </w:rPr>
            </w:pPr>
            <w:r>
              <w:rPr>
                <w:rFonts w:ascii="仿宋" w:hAnsi="仿宋" w:eastAsia="仿宋" w:cs="仿宋"/>
                <w:spacing w:val="2"/>
                <w:sz w:val="20"/>
                <w:szCs w:val="20"/>
              </w:rPr>
              <w:t>生态系统</w:t>
            </w:r>
          </w:p>
        </w:tc>
        <w:tc>
          <w:tcPr>
            <w:tcW w:w="2598" w:type="dxa"/>
            <w:vAlign w:val="top"/>
          </w:tcPr>
          <w:p w14:paraId="7E0F1004">
            <w:pPr>
              <w:spacing w:before="42" w:line="228" w:lineRule="auto"/>
              <w:ind w:left="368" w:right="39" w:hanging="320"/>
              <w:rPr>
                <w:rFonts w:ascii="仿宋" w:hAnsi="仿宋" w:eastAsia="仿宋" w:cs="仿宋"/>
                <w:sz w:val="20"/>
                <w:szCs w:val="20"/>
              </w:rPr>
            </w:pPr>
            <w:r>
              <w:rPr>
                <w:rFonts w:ascii="仿宋" w:hAnsi="仿宋" w:eastAsia="仿宋" w:cs="仿宋"/>
                <w:spacing w:val="8"/>
                <w:sz w:val="20"/>
                <w:szCs w:val="20"/>
              </w:rPr>
              <w:t>植被覆盖度、生产力、生物</w:t>
            </w:r>
            <w:r>
              <w:rPr>
                <w:rFonts w:ascii="仿宋" w:hAnsi="仿宋" w:eastAsia="仿宋" w:cs="仿宋"/>
                <w:spacing w:val="7"/>
                <w:sz w:val="20"/>
                <w:szCs w:val="20"/>
              </w:rPr>
              <w:t>量、生态系统功能等</w:t>
            </w:r>
          </w:p>
        </w:tc>
        <w:tc>
          <w:tcPr>
            <w:tcW w:w="1305" w:type="dxa"/>
            <w:vMerge w:val="continue"/>
            <w:tcBorders>
              <w:top w:val="nil"/>
              <w:bottom w:val="nil"/>
            </w:tcBorders>
            <w:vAlign w:val="top"/>
          </w:tcPr>
          <w:p w14:paraId="11412B7E">
            <w:pPr>
              <w:rPr>
                <w:rFonts w:ascii="Arial"/>
                <w:sz w:val="21"/>
              </w:rPr>
            </w:pPr>
          </w:p>
        </w:tc>
        <w:tc>
          <w:tcPr>
            <w:tcW w:w="1123" w:type="dxa"/>
            <w:vAlign w:val="top"/>
          </w:tcPr>
          <w:p w14:paraId="2CEA50E5">
            <w:pPr>
              <w:spacing w:before="42" w:line="228" w:lineRule="auto"/>
              <w:ind w:left="472" w:right="36" w:hanging="407"/>
              <w:rPr>
                <w:rFonts w:ascii="仿宋" w:hAnsi="仿宋" w:eastAsia="仿宋" w:cs="仿宋"/>
                <w:sz w:val="20"/>
                <w:szCs w:val="20"/>
              </w:rPr>
            </w:pPr>
            <w:r>
              <w:rPr>
                <w:rFonts w:ascii="仿宋" w:hAnsi="仿宋" w:eastAsia="仿宋" w:cs="仿宋"/>
                <w:spacing w:val="3"/>
                <w:sz w:val="20"/>
                <w:szCs w:val="20"/>
              </w:rPr>
              <w:t>间接生态影</w:t>
            </w:r>
            <w:r>
              <w:rPr>
                <w:rFonts w:ascii="仿宋" w:hAnsi="仿宋" w:eastAsia="仿宋" w:cs="仿宋"/>
                <w:sz w:val="20"/>
                <w:szCs w:val="20"/>
              </w:rPr>
              <w:t>响</w:t>
            </w:r>
          </w:p>
        </w:tc>
        <w:tc>
          <w:tcPr>
            <w:tcW w:w="568" w:type="dxa"/>
            <w:vAlign w:val="top"/>
          </w:tcPr>
          <w:p w14:paraId="625D5547">
            <w:pPr>
              <w:spacing w:before="42" w:line="228" w:lineRule="auto"/>
              <w:ind w:left="83" w:hanging="66"/>
              <w:rPr>
                <w:rFonts w:ascii="仿宋" w:hAnsi="仿宋" w:eastAsia="仿宋" w:cs="仿宋"/>
                <w:sz w:val="20"/>
                <w:szCs w:val="20"/>
              </w:rPr>
            </w:pPr>
            <w:r>
              <w:rPr>
                <w:rFonts w:ascii="仿宋" w:hAnsi="仿宋" w:eastAsia="仿宋" w:cs="仿宋"/>
                <w:spacing w:val="-19"/>
                <w:sz w:val="20"/>
                <w:szCs w:val="20"/>
              </w:rPr>
              <w:t>短期、</w:t>
            </w:r>
            <w:r>
              <w:rPr>
                <w:rFonts w:ascii="仿宋" w:hAnsi="仿宋" w:eastAsia="仿宋" w:cs="仿宋"/>
                <w:spacing w:val="-10"/>
                <w:sz w:val="20"/>
                <w:szCs w:val="20"/>
              </w:rPr>
              <w:t>可逆</w:t>
            </w:r>
          </w:p>
        </w:tc>
        <w:tc>
          <w:tcPr>
            <w:tcW w:w="575" w:type="dxa"/>
            <w:tcBorders>
              <w:right w:val="nil"/>
            </w:tcBorders>
            <w:vAlign w:val="top"/>
          </w:tcPr>
          <w:p w14:paraId="1CCC43D7">
            <w:pPr>
              <w:spacing w:before="175" w:line="232" w:lineRule="auto"/>
              <w:ind w:left="201"/>
              <w:rPr>
                <w:rFonts w:ascii="仿宋" w:hAnsi="仿宋" w:eastAsia="仿宋" w:cs="仿宋"/>
                <w:sz w:val="20"/>
                <w:szCs w:val="20"/>
              </w:rPr>
            </w:pPr>
            <w:r>
              <w:rPr>
                <w:rFonts w:ascii="仿宋" w:hAnsi="仿宋" w:eastAsia="仿宋" w:cs="仿宋"/>
                <w:sz w:val="20"/>
                <w:szCs w:val="20"/>
              </w:rPr>
              <w:t>弱</w:t>
            </w:r>
          </w:p>
        </w:tc>
      </w:tr>
      <w:tr w14:paraId="112A11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328" w:type="dxa"/>
            <w:vMerge w:val="continue"/>
            <w:tcBorders>
              <w:top w:val="nil"/>
              <w:left w:val="nil"/>
              <w:bottom w:val="nil"/>
            </w:tcBorders>
            <w:textDirection w:val="tbRlV"/>
            <w:vAlign w:val="top"/>
          </w:tcPr>
          <w:p w14:paraId="0449D461">
            <w:pPr>
              <w:rPr>
                <w:rFonts w:ascii="Arial"/>
                <w:sz w:val="21"/>
              </w:rPr>
            </w:pPr>
          </w:p>
        </w:tc>
        <w:tc>
          <w:tcPr>
            <w:tcW w:w="2043" w:type="dxa"/>
            <w:vAlign w:val="top"/>
          </w:tcPr>
          <w:p w14:paraId="292A8DD4">
            <w:pPr>
              <w:spacing w:before="178" w:line="228" w:lineRule="auto"/>
              <w:ind w:left="520"/>
              <w:rPr>
                <w:rFonts w:ascii="仿宋" w:hAnsi="仿宋" w:eastAsia="仿宋" w:cs="仿宋"/>
                <w:sz w:val="20"/>
                <w:szCs w:val="20"/>
              </w:rPr>
            </w:pPr>
            <w:r>
              <w:rPr>
                <w:rFonts w:ascii="仿宋" w:hAnsi="仿宋" w:eastAsia="仿宋" w:cs="仿宋"/>
                <w:spacing w:val="4"/>
                <w:sz w:val="20"/>
                <w:szCs w:val="20"/>
              </w:rPr>
              <w:t>生物多样性</w:t>
            </w:r>
          </w:p>
        </w:tc>
        <w:tc>
          <w:tcPr>
            <w:tcW w:w="2598" w:type="dxa"/>
            <w:vAlign w:val="top"/>
          </w:tcPr>
          <w:p w14:paraId="2095E656">
            <w:pPr>
              <w:spacing w:before="44" w:line="229" w:lineRule="auto"/>
              <w:ind w:left="50"/>
              <w:rPr>
                <w:rFonts w:ascii="仿宋" w:hAnsi="仿宋" w:eastAsia="仿宋" w:cs="仿宋"/>
                <w:sz w:val="20"/>
                <w:szCs w:val="20"/>
              </w:rPr>
            </w:pPr>
            <w:r>
              <w:rPr>
                <w:rFonts w:ascii="仿宋" w:hAnsi="仿宋" w:eastAsia="仿宋" w:cs="仿宋"/>
                <w:spacing w:val="8"/>
                <w:sz w:val="20"/>
                <w:szCs w:val="20"/>
              </w:rPr>
              <w:t>物种丰富度、均匀度、优势</w:t>
            </w:r>
          </w:p>
          <w:p w14:paraId="6A861E44">
            <w:pPr>
              <w:spacing w:before="23" w:line="204" w:lineRule="auto"/>
              <w:ind w:left="1100"/>
              <w:rPr>
                <w:rFonts w:ascii="仿宋" w:hAnsi="仿宋" w:eastAsia="仿宋" w:cs="仿宋"/>
                <w:sz w:val="20"/>
                <w:szCs w:val="20"/>
              </w:rPr>
            </w:pPr>
            <w:r>
              <w:rPr>
                <w:rFonts w:ascii="仿宋" w:hAnsi="仿宋" w:eastAsia="仿宋" w:cs="仿宋"/>
                <w:spacing w:val="2"/>
                <w:sz w:val="20"/>
                <w:szCs w:val="20"/>
              </w:rPr>
              <w:t>度等</w:t>
            </w:r>
          </w:p>
        </w:tc>
        <w:tc>
          <w:tcPr>
            <w:tcW w:w="1305" w:type="dxa"/>
            <w:vMerge w:val="continue"/>
            <w:tcBorders>
              <w:top w:val="nil"/>
              <w:bottom w:val="nil"/>
            </w:tcBorders>
            <w:vAlign w:val="top"/>
          </w:tcPr>
          <w:p w14:paraId="3A146388">
            <w:pPr>
              <w:rPr>
                <w:rFonts w:ascii="Arial"/>
                <w:sz w:val="21"/>
              </w:rPr>
            </w:pPr>
          </w:p>
        </w:tc>
        <w:tc>
          <w:tcPr>
            <w:tcW w:w="1123" w:type="dxa"/>
            <w:vAlign w:val="top"/>
          </w:tcPr>
          <w:p w14:paraId="4F127013">
            <w:pPr>
              <w:spacing w:before="45" w:line="227" w:lineRule="auto"/>
              <w:ind w:left="472" w:right="36" w:hanging="407"/>
              <w:rPr>
                <w:rFonts w:ascii="仿宋" w:hAnsi="仿宋" w:eastAsia="仿宋" w:cs="仿宋"/>
                <w:sz w:val="20"/>
                <w:szCs w:val="20"/>
              </w:rPr>
            </w:pPr>
            <w:r>
              <w:rPr>
                <w:rFonts w:ascii="仿宋" w:hAnsi="仿宋" w:eastAsia="仿宋" w:cs="仿宋"/>
                <w:spacing w:val="3"/>
                <w:sz w:val="20"/>
                <w:szCs w:val="20"/>
              </w:rPr>
              <w:t>间接生态影</w:t>
            </w:r>
            <w:r>
              <w:rPr>
                <w:rFonts w:ascii="仿宋" w:hAnsi="仿宋" w:eastAsia="仿宋" w:cs="仿宋"/>
                <w:sz w:val="20"/>
                <w:szCs w:val="20"/>
              </w:rPr>
              <w:t>响</w:t>
            </w:r>
          </w:p>
        </w:tc>
        <w:tc>
          <w:tcPr>
            <w:tcW w:w="568" w:type="dxa"/>
            <w:vAlign w:val="top"/>
          </w:tcPr>
          <w:p w14:paraId="7DDCCC72">
            <w:pPr>
              <w:spacing w:before="45" w:line="227" w:lineRule="auto"/>
              <w:ind w:left="83" w:hanging="66"/>
              <w:rPr>
                <w:rFonts w:ascii="仿宋" w:hAnsi="仿宋" w:eastAsia="仿宋" w:cs="仿宋"/>
                <w:sz w:val="20"/>
                <w:szCs w:val="20"/>
              </w:rPr>
            </w:pPr>
            <w:r>
              <w:rPr>
                <w:rFonts w:ascii="仿宋" w:hAnsi="仿宋" w:eastAsia="仿宋" w:cs="仿宋"/>
                <w:spacing w:val="-19"/>
                <w:sz w:val="20"/>
                <w:szCs w:val="20"/>
              </w:rPr>
              <w:t>短期、</w:t>
            </w:r>
            <w:r>
              <w:rPr>
                <w:rFonts w:ascii="仿宋" w:hAnsi="仿宋" w:eastAsia="仿宋" w:cs="仿宋"/>
                <w:spacing w:val="-10"/>
                <w:sz w:val="20"/>
                <w:szCs w:val="20"/>
              </w:rPr>
              <w:t>可逆</w:t>
            </w:r>
          </w:p>
        </w:tc>
        <w:tc>
          <w:tcPr>
            <w:tcW w:w="575" w:type="dxa"/>
            <w:tcBorders>
              <w:right w:val="nil"/>
            </w:tcBorders>
            <w:vAlign w:val="top"/>
          </w:tcPr>
          <w:p w14:paraId="68C7D8D8">
            <w:pPr>
              <w:spacing w:before="178" w:line="232" w:lineRule="auto"/>
              <w:ind w:left="201"/>
              <w:rPr>
                <w:rFonts w:ascii="仿宋" w:hAnsi="仿宋" w:eastAsia="仿宋" w:cs="仿宋"/>
                <w:sz w:val="20"/>
                <w:szCs w:val="20"/>
              </w:rPr>
            </w:pPr>
            <w:r>
              <w:rPr>
                <w:rFonts w:ascii="仿宋" w:hAnsi="仿宋" w:eastAsia="仿宋" w:cs="仿宋"/>
                <w:sz w:val="20"/>
                <w:szCs w:val="20"/>
              </w:rPr>
              <w:t>弱</w:t>
            </w:r>
          </w:p>
        </w:tc>
      </w:tr>
      <w:tr w14:paraId="4A9192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328" w:type="dxa"/>
            <w:vMerge w:val="continue"/>
            <w:tcBorders>
              <w:top w:val="nil"/>
              <w:left w:val="nil"/>
              <w:bottom w:val="nil"/>
            </w:tcBorders>
            <w:textDirection w:val="tbRlV"/>
            <w:vAlign w:val="top"/>
          </w:tcPr>
          <w:p w14:paraId="3326C3CB">
            <w:pPr>
              <w:rPr>
                <w:rFonts w:ascii="Arial"/>
                <w:sz w:val="21"/>
              </w:rPr>
            </w:pPr>
          </w:p>
        </w:tc>
        <w:tc>
          <w:tcPr>
            <w:tcW w:w="2043" w:type="dxa"/>
            <w:vAlign w:val="top"/>
          </w:tcPr>
          <w:p w14:paraId="585F2825">
            <w:pPr>
              <w:spacing w:before="79" w:line="232" w:lineRule="auto"/>
              <w:ind w:left="520"/>
              <w:rPr>
                <w:rFonts w:ascii="仿宋" w:hAnsi="仿宋" w:eastAsia="仿宋" w:cs="仿宋"/>
                <w:sz w:val="20"/>
                <w:szCs w:val="20"/>
              </w:rPr>
            </w:pPr>
            <w:r>
              <w:rPr>
                <w:rFonts w:ascii="仿宋" w:hAnsi="仿宋" w:eastAsia="仿宋" w:cs="仿宋"/>
                <w:spacing w:val="4"/>
                <w:sz w:val="20"/>
                <w:szCs w:val="20"/>
              </w:rPr>
              <w:t>生态敏感区</w:t>
            </w:r>
          </w:p>
        </w:tc>
        <w:tc>
          <w:tcPr>
            <w:tcW w:w="2598" w:type="dxa"/>
            <w:vAlign w:val="top"/>
          </w:tcPr>
          <w:p w14:paraId="3ABADF35">
            <w:pPr>
              <w:spacing w:before="80" w:line="233" w:lineRule="auto"/>
              <w:ind w:left="1208"/>
              <w:rPr>
                <w:rFonts w:ascii="仿宋" w:hAnsi="仿宋" w:eastAsia="仿宋" w:cs="仿宋"/>
                <w:sz w:val="20"/>
                <w:szCs w:val="20"/>
              </w:rPr>
            </w:pPr>
            <w:r>
              <w:rPr>
                <w:rFonts w:ascii="仿宋" w:hAnsi="仿宋" w:eastAsia="仿宋" w:cs="仿宋"/>
                <w:sz w:val="20"/>
                <w:szCs w:val="20"/>
              </w:rPr>
              <w:t>无</w:t>
            </w:r>
          </w:p>
        </w:tc>
        <w:tc>
          <w:tcPr>
            <w:tcW w:w="1305" w:type="dxa"/>
            <w:vMerge w:val="continue"/>
            <w:tcBorders>
              <w:top w:val="nil"/>
              <w:bottom w:val="nil"/>
            </w:tcBorders>
            <w:vAlign w:val="top"/>
          </w:tcPr>
          <w:p w14:paraId="6C698FEF">
            <w:pPr>
              <w:rPr>
                <w:rFonts w:ascii="Arial"/>
                <w:sz w:val="21"/>
              </w:rPr>
            </w:pPr>
          </w:p>
        </w:tc>
        <w:tc>
          <w:tcPr>
            <w:tcW w:w="1123" w:type="dxa"/>
            <w:vAlign w:val="top"/>
          </w:tcPr>
          <w:p w14:paraId="3DB56591">
            <w:pPr>
              <w:spacing w:before="80" w:line="233" w:lineRule="auto"/>
              <w:ind w:left="468"/>
              <w:rPr>
                <w:rFonts w:ascii="仿宋" w:hAnsi="仿宋" w:eastAsia="仿宋" w:cs="仿宋"/>
                <w:sz w:val="20"/>
                <w:szCs w:val="20"/>
              </w:rPr>
            </w:pPr>
            <w:r>
              <w:rPr>
                <w:rFonts w:ascii="仿宋" w:hAnsi="仿宋" w:eastAsia="仿宋" w:cs="仿宋"/>
                <w:sz w:val="20"/>
                <w:szCs w:val="20"/>
              </w:rPr>
              <w:t>无</w:t>
            </w:r>
          </w:p>
        </w:tc>
        <w:tc>
          <w:tcPr>
            <w:tcW w:w="568" w:type="dxa"/>
            <w:vAlign w:val="top"/>
          </w:tcPr>
          <w:p w14:paraId="17B34AB5">
            <w:pPr>
              <w:spacing w:before="80" w:line="233" w:lineRule="auto"/>
              <w:ind w:left="192"/>
              <w:rPr>
                <w:rFonts w:ascii="仿宋" w:hAnsi="仿宋" w:eastAsia="仿宋" w:cs="仿宋"/>
                <w:sz w:val="20"/>
                <w:szCs w:val="20"/>
              </w:rPr>
            </w:pPr>
            <w:r>
              <w:rPr>
                <w:rFonts w:ascii="仿宋" w:hAnsi="仿宋" w:eastAsia="仿宋" w:cs="仿宋"/>
                <w:sz w:val="20"/>
                <w:szCs w:val="20"/>
              </w:rPr>
              <w:t>无</w:t>
            </w:r>
          </w:p>
        </w:tc>
        <w:tc>
          <w:tcPr>
            <w:tcW w:w="575" w:type="dxa"/>
            <w:tcBorders>
              <w:right w:val="nil"/>
            </w:tcBorders>
            <w:vAlign w:val="top"/>
          </w:tcPr>
          <w:p w14:paraId="1A918CAF">
            <w:pPr>
              <w:spacing w:before="80" w:line="233" w:lineRule="auto"/>
              <w:ind w:left="198"/>
              <w:rPr>
                <w:rFonts w:ascii="仿宋" w:hAnsi="仿宋" w:eastAsia="仿宋" w:cs="仿宋"/>
                <w:sz w:val="20"/>
                <w:szCs w:val="20"/>
              </w:rPr>
            </w:pPr>
            <w:r>
              <w:rPr>
                <w:rFonts w:ascii="仿宋" w:hAnsi="仿宋" w:eastAsia="仿宋" w:cs="仿宋"/>
                <w:sz w:val="20"/>
                <w:szCs w:val="20"/>
              </w:rPr>
              <w:t>无</w:t>
            </w:r>
          </w:p>
        </w:tc>
      </w:tr>
      <w:tr w14:paraId="54D12A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328" w:type="dxa"/>
            <w:vMerge w:val="continue"/>
            <w:tcBorders>
              <w:top w:val="nil"/>
              <w:left w:val="nil"/>
              <w:bottom w:val="nil"/>
            </w:tcBorders>
            <w:textDirection w:val="tbRlV"/>
            <w:vAlign w:val="top"/>
          </w:tcPr>
          <w:p w14:paraId="54EA4A19">
            <w:pPr>
              <w:rPr>
                <w:rFonts w:ascii="Arial"/>
                <w:sz w:val="21"/>
              </w:rPr>
            </w:pPr>
          </w:p>
        </w:tc>
        <w:tc>
          <w:tcPr>
            <w:tcW w:w="2043" w:type="dxa"/>
            <w:vAlign w:val="top"/>
          </w:tcPr>
          <w:p w14:paraId="0540D03D">
            <w:pPr>
              <w:spacing w:before="183" w:line="231" w:lineRule="auto"/>
              <w:ind w:left="650"/>
              <w:rPr>
                <w:rFonts w:ascii="仿宋" w:hAnsi="仿宋" w:eastAsia="仿宋" w:cs="仿宋"/>
                <w:sz w:val="20"/>
                <w:szCs w:val="20"/>
              </w:rPr>
            </w:pPr>
            <w:r>
              <w:rPr>
                <w:rFonts w:ascii="仿宋" w:hAnsi="仿宋" w:eastAsia="仿宋" w:cs="仿宋"/>
                <w:spacing w:val="-4"/>
                <w:sz w:val="20"/>
                <w:szCs w:val="20"/>
              </w:rPr>
              <w:t>自然景观</w:t>
            </w:r>
          </w:p>
        </w:tc>
        <w:tc>
          <w:tcPr>
            <w:tcW w:w="2598" w:type="dxa"/>
            <w:vAlign w:val="top"/>
          </w:tcPr>
          <w:p w14:paraId="4C45D472">
            <w:pPr>
              <w:spacing w:before="183" w:line="228" w:lineRule="auto"/>
              <w:ind w:left="260"/>
              <w:rPr>
                <w:rFonts w:ascii="仿宋" w:hAnsi="仿宋" w:eastAsia="仿宋" w:cs="仿宋"/>
                <w:sz w:val="20"/>
                <w:szCs w:val="20"/>
              </w:rPr>
            </w:pPr>
            <w:r>
              <w:rPr>
                <w:rFonts w:ascii="仿宋" w:hAnsi="仿宋" w:eastAsia="仿宋" w:cs="仿宋"/>
                <w:spacing w:val="8"/>
                <w:sz w:val="20"/>
                <w:szCs w:val="20"/>
              </w:rPr>
              <w:t>景观多样性、完整性等</w:t>
            </w:r>
          </w:p>
        </w:tc>
        <w:tc>
          <w:tcPr>
            <w:tcW w:w="1305" w:type="dxa"/>
            <w:vMerge w:val="continue"/>
            <w:tcBorders>
              <w:top w:val="nil"/>
              <w:bottom w:val="nil"/>
            </w:tcBorders>
            <w:vAlign w:val="top"/>
          </w:tcPr>
          <w:p w14:paraId="43A63525">
            <w:pPr>
              <w:rPr>
                <w:rFonts w:ascii="Arial"/>
                <w:sz w:val="21"/>
              </w:rPr>
            </w:pPr>
          </w:p>
        </w:tc>
        <w:tc>
          <w:tcPr>
            <w:tcW w:w="1123" w:type="dxa"/>
            <w:vAlign w:val="top"/>
          </w:tcPr>
          <w:p w14:paraId="0EB949C8">
            <w:pPr>
              <w:spacing w:before="48" w:line="226" w:lineRule="auto"/>
              <w:ind w:left="472" w:right="36" w:hanging="426"/>
              <w:rPr>
                <w:rFonts w:ascii="仿宋" w:hAnsi="仿宋" w:eastAsia="仿宋" w:cs="仿宋"/>
                <w:sz w:val="20"/>
                <w:szCs w:val="20"/>
              </w:rPr>
            </w:pPr>
            <w:r>
              <w:rPr>
                <w:rFonts w:ascii="仿宋" w:hAnsi="仿宋" w:eastAsia="仿宋" w:cs="仿宋"/>
                <w:spacing w:val="7"/>
                <w:sz w:val="20"/>
                <w:szCs w:val="20"/>
              </w:rPr>
              <w:t>直接生态影</w:t>
            </w:r>
            <w:r>
              <w:rPr>
                <w:rFonts w:ascii="仿宋" w:hAnsi="仿宋" w:eastAsia="仿宋" w:cs="仿宋"/>
                <w:sz w:val="20"/>
                <w:szCs w:val="20"/>
              </w:rPr>
              <w:t>响</w:t>
            </w:r>
          </w:p>
        </w:tc>
        <w:tc>
          <w:tcPr>
            <w:tcW w:w="568" w:type="dxa"/>
            <w:vAlign w:val="top"/>
          </w:tcPr>
          <w:p w14:paraId="08A0BFEA">
            <w:pPr>
              <w:spacing w:before="48" w:line="226" w:lineRule="auto"/>
              <w:ind w:left="83" w:hanging="66"/>
              <w:rPr>
                <w:rFonts w:ascii="仿宋" w:hAnsi="仿宋" w:eastAsia="仿宋" w:cs="仿宋"/>
                <w:sz w:val="20"/>
                <w:szCs w:val="20"/>
              </w:rPr>
            </w:pPr>
            <w:r>
              <w:rPr>
                <w:rFonts w:ascii="仿宋" w:hAnsi="仿宋" w:eastAsia="仿宋" w:cs="仿宋"/>
                <w:spacing w:val="-19"/>
                <w:sz w:val="20"/>
                <w:szCs w:val="20"/>
              </w:rPr>
              <w:t>短期、</w:t>
            </w:r>
            <w:r>
              <w:rPr>
                <w:rFonts w:ascii="仿宋" w:hAnsi="仿宋" w:eastAsia="仿宋" w:cs="仿宋"/>
                <w:spacing w:val="-10"/>
                <w:sz w:val="20"/>
                <w:szCs w:val="20"/>
              </w:rPr>
              <w:t>可逆</w:t>
            </w:r>
          </w:p>
        </w:tc>
        <w:tc>
          <w:tcPr>
            <w:tcW w:w="575" w:type="dxa"/>
            <w:tcBorders>
              <w:right w:val="nil"/>
            </w:tcBorders>
            <w:vAlign w:val="top"/>
          </w:tcPr>
          <w:p w14:paraId="3CB8081F">
            <w:pPr>
              <w:spacing w:before="183" w:line="232" w:lineRule="auto"/>
              <w:ind w:left="201"/>
              <w:rPr>
                <w:rFonts w:ascii="仿宋" w:hAnsi="仿宋" w:eastAsia="仿宋" w:cs="仿宋"/>
                <w:sz w:val="20"/>
                <w:szCs w:val="20"/>
              </w:rPr>
            </w:pPr>
            <w:r>
              <w:rPr>
                <w:rFonts w:ascii="仿宋" w:hAnsi="仿宋" w:eastAsia="仿宋" w:cs="仿宋"/>
                <w:sz w:val="20"/>
                <w:szCs w:val="20"/>
              </w:rPr>
              <w:t>弱</w:t>
            </w:r>
          </w:p>
        </w:tc>
      </w:tr>
      <w:tr w14:paraId="1AC7C8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328" w:type="dxa"/>
            <w:vMerge w:val="continue"/>
            <w:tcBorders>
              <w:top w:val="nil"/>
              <w:left w:val="nil"/>
            </w:tcBorders>
            <w:textDirection w:val="tbRlV"/>
            <w:vAlign w:val="top"/>
          </w:tcPr>
          <w:p w14:paraId="1C8FE707">
            <w:pPr>
              <w:rPr>
                <w:rFonts w:ascii="Arial"/>
                <w:sz w:val="21"/>
              </w:rPr>
            </w:pPr>
          </w:p>
        </w:tc>
        <w:tc>
          <w:tcPr>
            <w:tcW w:w="2043" w:type="dxa"/>
            <w:vAlign w:val="top"/>
          </w:tcPr>
          <w:p w14:paraId="4AA123E7">
            <w:pPr>
              <w:spacing w:before="83" w:line="230" w:lineRule="auto"/>
              <w:ind w:left="650"/>
              <w:rPr>
                <w:rFonts w:ascii="仿宋" w:hAnsi="仿宋" w:eastAsia="仿宋" w:cs="仿宋"/>
                <w:sz w:val="20"/>
                <w:szCs w:val="20"/>
              </w:rPr>
            </w:pPr>
            <w:r>
              <w:rPr>
                <w:rFonts w:ascii="仿宋" w:hAnsi="仿宋" w:eastAsia="仿宋" w:cs="仿宋"/>
                <w:spacing w:val="-4"/>
                <w:sz w:val="20"/>
                <w:szCs w:val="20"/>
              </w:rPr>
              <w:t>自然遗迹</w:t>
            </w:r>
          </w:p>
        </w:tc>
        <w:tc>
          <w:tcPr>
            <w:tcW w:w="2598" w:type="dxa"/>
            <w:vAlign w:val="top"/>
          </w:tcPr>
          <w:p w14:paraId="72DD1886">
            <w:pPr>
              <w:spacing w:before="84" w:line="228" w:lineRule="auto"/>
              <w:ind w:left="261"/>
              <w:rPr>
                <w:rFonts w:ascii="仿宋" w:hAnsi="仿宋" w:eastAsia="仿宋" w:cs="仿宋"/>
                <w:sz w:val="20"/>
                <w:szCs w:val="20"/>
              </w:rPr>
            </w:pPr>
            <w:r>
              <w:rPr>
                <w:rFonts w:ascii="仿宋" w:hAnsi="仿宋" w:eastAsia="仿宋" w:cs="仿宋"/>
                <w:spacing w:val="8"/>
                <w:sz w:val="20"/>
                <w:szCs w:val="20"/>
              </w:rPr>
              <w:t>遗迹多样性、完整性等</w:t>
            </w:r>
          </w:p>
        </w:tc>
        <w:tc>
          <w:tcPr>
            <w:tcW w:w="1305" w:type="dxa"/>
            <w:vMerge w:val="continue"/>
            <w:tcBorders>
              <w:top w:val="nil"/>
            </w:tcBorders>
            <w:vAlign w:val="top"/>
          </w:tcPr>
          <w:p w14:paraId="194DB79C">
            <w:pPr>
              <w:rPr>
                <w:rFonts w:ascii="Arial"/>
                <w:sz w:val="21"/>
              </w:rPr>
            </w:pPr>
          </w:p>
        </w:tc>
        <w:tc>
          <w:tcPr>
            <w:tcW w:w="1123" w:type="dxa"/>
            <w:vAlign w:val="top"/>
          </w:tcPr>
          <w:p w14:paraId="74B39431">
            <w:pPr>
              <w:spacing w:before="83" w:line="230" w:lineRule="auto"/>
              <w:ind w:left="468"/>
              <w:rPr>
                <w:rFonts w:ascii="仿宋" w:hAnsi="仿宋" w:eastAsia="仿宋" w:cs="仿宋"/>
                <w:sz w:val="20"/>
                <w:szCs w:val="20"/>
              </w:rPr>
            </w:pPr>
            <w:r>
              <w:rPr>
                <w:rFonts w:ascii="仿宋" w:hAnsi="仿宋" w:eastAsia="仿宋" w:cs="仿宋"/>
                <w:sz w:val="20"/>
                <w:szCs w:val="20"/>
              </w:rPr>
              <w:t>无</w:t>
            </w:r>
          </w:p>
        </w:tc>
        <w:tc>
          <w:tcPr>
            <w:tcW w:w="568" w:type="dxa"/>
            <w:vAlign w:val="top"/>
          </w:tcPr>
          <w:p w14:paraId="638547A5">
            <w:pPr>
              <w:spacing w:before="83" w:line="230" w:lineRule="auto"/>
              <w:ind w:left="192"/>
              <w:rPr>
                <w:rFonts w:ascii="仿宋" w:hAnsi="仿宋" w:eastAsia="仿宋" w:cs="仿宋"/>
                <w:sz w:val="20"/>
                <w:szCs w:val="20"/>
              </w:rPr>
            </w:pPr>
            <w:r>
              <w:rPr>
                <w:rFonts w:ascii="仿宋" w:hAnsi="仿宋" w:eastAsia="仿宋" w:cs="仿宋"/>
                <w:sz w:val="20"/>
                <w:szCs w:val="20"/>
              </w:rPr>
              <w:t>无</w:t>
            </w:r>
          </w:p>
        </w:tc>
        <w:tc>
          <w:tcPr>
            <w:tcW w:w="575" w:type="dxa"/>
            <w:tcBorders>
              <w:right w:val="nil"/>
            </w:tcBorders>
            <w:vAlign w:val="top"/>
          </w:tcPr>
          <w:p w14:paraId="0DDB2EB6">
            <w:pPr>
              <w:spacing w:before="83" w:line="230" w:lineRule="auto"/>
              <w:ind w:left="198"/>
              <w:rPr>
                <w:rFonts w:ascii="仿宋" w:hAnsi="仿宋" w:eastAsia="仿宋" w:cs="仿宋"/>
                <w:sz w:val="20"/>
                <w:szCs w:val="20"/>
              </w:rPr>
            </w:pPr>
            <w:r>
              <w:rPr>
                <w:rFonts w:ascii="仿宋" w:hAnsi="仿宋" w:eastAsia="仿宋" w:cs="仿宋"/>
                <w:sz w:val="20"/>
                <w:szCs w:val="20"/>
              </w:rPr>
              <w:t>无</w:t>
            </w:r>
          </w:p>
        </w:tc>
      </w:tr>
      <w:tr w14:paraId="072715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2" w:hRule="atLeast"/>
        </w:trPr>
        <w:tc>
          <w:tcPr>
            <w:tcW w:w="328" w:type="dxa"/>
            <w:tcBorders>
              <w:left w:val="nil"/>
              <w:bottom w:val="single" w:color="000000" w:sz="10" w:space="0"/>
            </w:tcBorders>
            <w:textDirection w:val="tbRlV"/>
            <w:vAlign w:val="top"/>
          </w:tcPr>
          <w:p w14:paraId="6EC77D9E">
            <w:pPr>
              <w:spacing w:before="59" w:line="208" w:lineRule="auto"/>
              <w:ind w:left="53"/>
              <w:rPr>
                <w:rFonts w:ascii="仿宋" w:hAnsi="仿宋" w:eastAsia="仿宋" w:cs="仿宋"/>
                <w:sz w:val="20"/>
                <w:szCs w:val="20"/>
              </w:rPr>
            </w:pPr>
            <w:r>
              <w:rPr>
                <w:rFonts w:ascii="仿宋" w:hAnsi="仿宋" w:eastAsia="仿宋" w:cs="仿宋"/>
                <w:spacing w:val="13"/>
                <w:sz w:val="20"/>
                <w:szCs w:val="20"/>
              </w:rPr>
              <w:t>运</w:t>
            </w:r>
            <w:r>
              <w:rPr>
                <w:rFonts w:ascii="仿宋" w:hAnsi="仿宋" w:eastAsia="仿宋" w:cs="仿宋"/>
                <w:spacing w:val="-42"/>
                <w:sz w:val="20"/>
                <w:szCs w:val="20"/>
              </w:rPr>
              <w:t xml:space="preserve"> </w:t>
            </w:r>
            <w:r>
              <w:rPr>
                <w:rFonts w:ascii="仿宋" w:hAnsi="仿宋" w:eastAsia="仿宋" w:cs="仿宋"/>
                <w:spacing w:val="13"/>
                <w:sz w:val="20"/>
                <w:szCs w:val="20"/>
              </w:rPr>
              <w:t>行</w:t>
            </w:r>
            <w:r>
              <w:rPr>
                <w:rFonts w:ascii="仿宋" w:hAnsi="仿宋" w:eastAsia="仿宋" w:cs="仿宋"/>
                <w:spacing w:val="-42"/>
                <w:sz w:val="20"/>
                <w:szCs w:val="20"/>
              </w:rPr>
              <w:t xml:space="preserve"> </w:t>
            </w:r>
            <w:r>
              <w:rPr>
                <w:rFonts w:ascii="仿宋" w:hAnsi="仿宋" w:eastAsia="仿宋" w:cs="仿宋"/>
                <w:spacing w:val="13"/>
                <w:sz w:val="20"/>
                <w:szCs w:val="20"/>
              </w:rPr>
              <w:t>期</w:t>
            </w:r>
          </w:p>
        </w:tc>
        <w:tc>
          <w:tcPr>
            <w:tcW w:w="2043" w:type="dxa"/>
            <w:tcBorders>
              <w:bottom w:val="single" w:color="000000" w:sz="10" w:space="0"/>
            </w:tcBorders>
            <w:vAlign w:val="top"/>
          </w:tcPr>
          <w:p w14:paraId="6F9CCFAE">
            <w:pPr>
              <w:spacing w:before="53" w:line="229" w:lineRule="auto"/>
              <w:jc w:val="right"/>
              <w:rPr>
                <w:rFonts w:ascii="仿宋" w:hAnsi="仿宋" w:eastAsia="仿宋" w:cs="仿宋"/>
                <w:sz w:val="20"/>
                <w:szCs w:val="20"/>
              </w:rPr>
            </w:pPr>
            <w:r>
              <w:rPr>
                <w:rFonts w:ascii="仿宋" w:hAnsi="仿宋" w:eastAsia="仿宋" w:cs="仿宋"/>
                <w:spacing w:val="-17"/>
                <w:sz w:val="20"/>
                <w:szCs w:val="20"/>
              </w:rPr>
              <w:t>物种、生境、生态系统、</w:t>
            </w:r>
          </w:p>
          <w:p w14:paraId="46006508">
            <w:pPr>
              <w:spacing w:before="22" w:line="228" w:lineRule="auto"/>
              <w:ind w:left="28"/>
              <w:rPr>
                <w:rFonts w:ascii="仿宋" w:hAnsi="仿宋" w:eastAsia="仿宋" w:cs="仿宋"/>
                <w:sz w:val="20"/>
                <w:szCs w:val="20"/>
              </w:rPr>
            </w:pPr>
            <w:r>
              <w:rPr>
                <w:rFonts w:ascii="仿宋" w:hAnsi="仿宋" w:eastAsia="仿宋" w:cs="仿宋"/>
                <w:sz w:val="20"/>
                <w:szCs w:val="20"/>
              </w:rPr>
              <w:t>生物多样性、自然景观</w:t>
            </w:r>
          </w:p>
          <w:p w14:paraId="5FEF8488">
            <w:pPr>
              <w:spacing w:before="24" w:line="218" w:lineRule="auto"/>
              <w:ind w:left="935"/>
              <w:rPr>
                <w:rFonts w:ascii="仿宋" w:hAnsi="仿宋" w:eastAsia="仿宋" w:cs="仿宋"/>
                <w:sz w:val="20"/>
                <w:szCs w:val="20"/>
              </w:rPr>
            </w:pPr>
            <w:r>
              <w:rPr>
                <w:rFonts w:ascii="仿宋" w:hAnsi="仿宋" w:eastAsia="仿宋" w:cs="仿宋"/>
                <w:sz w:val="20"/>
                <w:szCs w:val="20"/>
              </w:rPr>
              <w:t>等</w:t>
            </w:r>
          </w:p>
        </w:tc>
        <w:tc>
          <w:tcPr>
            <w:tcW w:w="2598" w:type="dxa"/>
            <w:tcBorders>
              <w:bottom w:val="single" w:color="000000" w:sz="10" w:space="0"/>
            </w:tcBorders>
            <w:vAlign w:val="top"/>
          </w:tcPr>
          <w:p w14:paraId="5BEB365F">
            <w:pPr>
              <w:spacing w:before="187" w:line="252" w:lineRule="auto"/>
              <w:ind w:left="156" w:right="39" w:hanging="105"/>
              <w:rPr>
                <w:rFonts w:ascii="仿宋" w:hAnsi="仿宋" w:eastAsia="仿宋" w:cs="仿宋"/>
                <w:sz w:val="20"/>
                <w:szCs w:val="20"/>
              </w:rPr>
            </w:pPr>
            <w:r>
              <w:rPr>
                <w:rFonts w:ascii="仿宋" w:hAnsi="仿宋" w:eastAsia="仿宋" w:cs="仿宋"/>
                <w:spacing w:val="8"/>
                <w:sz w:val="20"/>
                <w:szCs w:val="20"/>
              </w:rPr>
              <w:t>土地利用、植被类型、野生动物、景观、水土流失等</w:t>
            </w:r>
          </w:p>
        </w:tc>
        <w:tc>
          <w:tcPr>
            <w:tcW w:w="1305" w:type="dxa"/>
            <w:tcBorders>
              <w:bottom w:val="single" w:color="000000" w:sz="10" w:space="0"/>
            </w:tcBorders>
            <w:vAlign w:val="top"/>
          </w:tcPr>
          <w:p w14:paraId="27FFDC96">
            <w:pPr>
              <w:spacing w:before="53" w:line="228" w:lineRule="auto"/>
              <w:ind w:left="37"/>
              <w:rPr>
                <w:rFonts w:ascii="仿宋" w:hAnsi="仿宋" w:eastAsia="仿宋" w:cs="仿宋"/>
                <w:sz w:val="20"/>
                <w:szCs w:val="20"/>
              </w:rPr>
            </w:pPr>
            <w:r>
              <w:rPr>
                <w:rFonts w:ascii="仿宋" w:hAnsi="仿宋" w:eastAsia="仿宋" w:cs="仿宋"/>
                <w:spacing w:val="6"/>
                <w:sz w:val="20"/>
                <w:szCs w:val="20"/>
              </w:rPr>
              <w:t>通行车辆产生</w:t>
            </w:r>
          </w:p>
          <w:p w14:paraId="4A30E303">
            <w:pPr>
              <w:spacing w:before="24" w:line="231" w:lineRule="auto"/>
              <w:ind w:left="46"/>
              <w:rPr>
                <w:rFonts w:ascii="仿宋" w:hAnsi="仿宋" w:eastAsia="仿宋" w:cs="仿宋"/>
                <w:sz w:val="20"/>
                <w:szCs w:val="20"/>
              </w:rPr>
            </w:pPr>
            <w:r>
              <w:rPr>
                <w:rFonts w:ascii="仿宋" w:hAnsi="仿宋" w:eastAsia="仿宋" w:cs="仿宋"/>
                <w:spacing w:val="5"/>
                <w:sz w:val="20"/>
                <w:szCs w:val="20"/>
              </w:rPr>
              <w:t>的噪声、尾气</w:t>
            </w:r>
          </w:p>
          <w:p w14:paraId="7F0896DE">
            <w:pPr>
              <w:spacing w:before="21" w:line="218" w:lineRule="auto"/>
              <w:ind w:left="566"/>
              <w:rPr>
                <w:rFonts w:ascii="仿宋" w:hAnsi="仿宋" w:eastAsia="仿宋" w:cs="仿宋"/>
                <w:sz w:val="20"/>
                <w:szCs w:val="20"/>
              </w:rPr>
            </w:pPr>
            <w:r>
              <w:rPr>
                <w:rFonts w:ascii="仿宋" w:hAnsi="仿宋" w:eastAsia="仿宋" w:cs="仿宋"/>
                <w:sz w:val="20"/>
                <w:szCs w:val="20"/>
              </w:rPr>
              <w:t>等</w:t>
            </w:r>
          </w:p>
        </w:tc>
        <w:tc>
          <w:tcPr>
            <w:tcW w:w="1123" w:type="dxa"/>
            <w:tcBorders>
              <w:bottom w:val="single" w:color="000000" w:sz="10" w:space="0"/>
            </w:tcBorders>
            <w:vAlign w:val="top"/>
          </w:tcPr>
          <w:p w14:paraId="6D239B00">
            <w:pPr>
              <w:spacing w:before="187" w:line="253" w:lineRule="auto"/>
              <w:ind w:left="472" w:right="36" w:hanging="407"/>
              <w:rPr>
                <w:rFonts w:ascii="仿宋" w:hAnsi="仿宋" w:eastAsia="仿宋" w:cs="仿宋"/>
                <w:sz w:val="20"/>
                <w:szCs w:val="20"/>
              </w:rPr>
            </w:pPr>
            <w:r>
              <w:rPr>
                <w:rFonts w:ascii="仿宋" w:hAnsi="仿宋" w:eastAsia="仿宋" w:cs="仿宋"/>
                <w:spacing w:val="3"/>
                <w:sz w:val="20"/>
                <w:szCs w:val="20"/>
              </w:rPr>
              <w:t>间接生态影</w:t>
            </w:r>
            <w:r>
              <w:rPr>
                <w:rFonts w:ascii="仿宋" w:hAnsi="仿宋" w:eastAsia="仿宋" w:cs="仿宋"/>
                <w:sz w:val="20"/>
                <w:szCs w:val="20"/>
              </w:rPr>
              <w:t>响</w:t>
            </w:r>
          </w:p>
        </w:tc>
        <w:tc>
          <w:tcPr>
            <w:tcW w:w="568" w:type="dxa"/>
            <w:tcBorders>
              <w:bottom w:val="single" w:color="000000" w:sz="10" w:space="0"/>
            </w:tcBorders>
            <w:vAlign w:val="top"/>
          </w:tcPr>
          <w:p w14:paraId="003F4F35">
            <w:pPr>
              <w:spacing w:before="52"/>
              <w:ind w:left="85" w:hanging="70"/>
              <w:jc w:val="right"/>
              <w:rPr>
                <w:rFonts w:ascii="仿宋" w:hAnsi="仿宋" w:eastAsia="仿宋" w:cs="仿宋"/>
                <w:sz w:val="20"/>
                <w:szCs w:val="20"/>
              </w:rPr>
            </w:pPr>
            <w:r>
              <w:rPr>
                <w:rFonts w:ascii="仿宋" w:hAnsi="仿宋" w:eastAsia="仿宋" w:cs="仿宋"/>
                <w:spacing w:val="-18"/>
                <w:sz w:val="20"/>
                <w:szCs w:val="20"/>
              </w:rPr>
              <w:t>长期、</w:t>
            </w:r>
            <w:r>
              <w:rPr>
                <w:rFonts w:ascii="仿宋" w:hAnsi="仿宋" w:eastAsia="仿宋" w:cs="仿宋"/>
                <w:spacing w:val="-11"/>
                <w:sz w:val="20"/>
                <w:szCs w:val="20"/>
              </w:rPr>
              <w:t>不可</w:t>
            </w:r>
            <w:r>
              <w:rPr>
                <w:rFonts w:ascii="仿宋" w:hAnsi="仿宋" w:eastAsia="仿宋" w:cs="仿宋"/>
                <w:sz w:val="20"/>
                <w:szCs w:val="20"/>
              </w:rPr>
              <w:t>逆</w:t>
            </w:r>
          </w:p>
        </w:tc>
        <w:tc>
          <w:tcPr>
            <w:tcW w:w="575" w:type="dxa"/>
            <w:tcBorders>
              <w:bottom w:val="single" w:color="000000" w:sz="10" w:space="0"/>
              <w:right w:val="nil"/>
            </w:tcBorders>
            <w:vAlign w:val="top"/>
          </w:tcPr>
          <w:p w14:paraId="27D1E468">
            <w:pPr>
              <w:spacing w:line="257" w:lineRule="auto"/>
              <w:rPr>
                <w:rFonts w:ascii="Arial"/>
                <w:sz w:val="21"/>
              </w:rPr>
            </w:pPr>
          </w:p>
          <w:p w14:paraId="7CC6A8C2">
            <w:pPr>
              <w:spacing w:before="65" w:line="232" w:lineRule="auto"/>
              <w:ind w:left="201"/>
              <w:rPr>
                <w:rFonts w:ascii="仿宋" w:hAnsi="仿宋" w:eastAsia="仿宋" w:cs="仿宋"/>
                <w:sz w:val="20"/>
                <w:szCs w:val="20"/>
              </w:rPr>
            </w:pPr>
            <w:r>
              <w:rPr>
                <w:rFonts w:ascii="仿宋" w:hAnsi="仿宋" w:eastAsia="仿宋" w:cs="仿宋"/>
                <w:sz w:val="20"/>
                <w:szCs w:val="20"/>
              </w:rPr>
              <w:t>弱</w:t>
            </w:r>
          </w:p>
        </w:tc>
      </w:tr>
    </w:tbl>
    <w:p w14:paraId="11C93129">
      <w:pPr>
        <w:spacing w:before="149" w:line="226" w:lineRule="auto"/>
        <w:ind w:left="151"/>
        <w:outlineLvl w:val="1"/>
        <w:rPr>
          <w:rFonts w:ascii="仿宋" w:hAnsi="仿宋" w:eastAsia="仿宋" w:cs="仿宋"/>
          <w:sz w:val="31"/>
          <w:szCs w:val="31"/>
        </w:rPr>
      </w:pPr>
      <w:bookmarkStart w:id="63" w:name="bookmark72"/>
      <w:bookmarkEnd w:id="63"/>
      <w:r>
        <w:rPr>
          <w:rFonts w:ascii="仿宋" w:hAnsi="仿宋" w:eastAsia="仿宋" w:cs="仿宋"/>
          <w:b/>
          <w:bCs/>
          <w:spacing w:val="-3"/>
          <w:sz w:val="31"/>
          <w:szCs w:val="31"/>
        </w:rPr>
        <w:t>1.5</w:t>
      </w:r>
      <w:r>
        <w:rPr>
          <w:rFonts w:ascii="仿宋" w:hAnsi="仿宋" w:eastAsia="仿宋" w:cs="仿宋"/>
          <w:spacing w:val="-30"/>
          <w:sz w:val="31"/>
          <w:szCs w:val="31"/>
        </w:rPr>
        <w:t xml:space="preserve"> </w:t>
      </w:r>
      <w:r>
        <w:rPr>
          <w:rFonts w:ascii="仿宋" w:hAnsi="仿宋" w:eastAsia="仿宋" w:cs="仿宋"/>
          <w:b/>
          <w:bCs/>
          <w:spacing w:val="-3"/>
          <w:sz w:val="31"/>
          <w:szCs w:val="31"/>
        </w:rPr>
        <w:t>生态保护目标</w:t>
      </w:r>
    </w:p>
    <w:p w14:paraId="2C511876">
      <w:pPr>
        <w:pStyle w:val="2"/>
        <w:spacing w:line="249" w:lineRule="auto"/>
        <w:rPr>
          <w:sz w:val="21"/>
        </w:rPr>
      </w:pPr>
    </w:p>
    <w:p w14:paraId="58323234">
      <w:pPr>
        <w:spacing w:before="78" w:line="359" w:lineRule="auto"/>
        <w:ind w:left="133" w:right="116" w:firstLine="480"/>
        <w:jc w:val="both"/>
        <w:rPr>
          <w:rFonts w:ascii="仿宋" w:hAnsi="仿宋" w:eastAsia="仿宋" w:cs="仿宋"/>
          <w:sz w:val="24"/>
          <w:szCs w:val="24"/>
        </w:rPr>
      </w:pPr>
      <w:r>
        <w:rPr>
          <w:rFonts w:ascii="仿宋" w:hAnsi="仿宋" w:eastAsia="仿宋" w:cs="仿宋"/>
          <w:spacing w:val="-3"/>
          <w:sz w:val="24"/>
          <w:szCs w:val="24"/>
        </w:rPr>
        <w:t>根据“准自然资函〔</w:t>
      </w:r>
      <w:r>
        <w:rPr>
          <w:rFonts w:ascii="Times New Roman" w:hAnsi="Times New Roman" w:eastAsia="Times New Roman" w:cs="Times New Roman"/>
          <w:spacing w:val="-3"/>
          <w:sz w:val="24"/>
          <w:szCs w:val="24"/>
        </w:rPr>
        <w:t>2025</w:t>
      </w:r>
      <w:r>
        <w:rPr>
          <w:rFonts w:ascii="仿宋" w:hAnsi="仿宋" w:eastAsia="仿宋" w:cs="仿宋"/>
          <w:spacing w:val="-3"/>
          <w:sz w:val="24"/>
          <w:szCs w:val="24"/>
        </w:rPr>
        <w:t>〕</w:t>
      </w:r>
      <w:r>
        <w:rPr>
          <w:rFonts w:ascii="Times New Roman" w:hAnsi="Times New Roman" w:eastAsia="Times New Roman" w:cs="Times New Roman"/>
          <w:spacing w:val="-3"/>
          <w:sz w:val="24"/>
          <w:szCs w:val="24"/>
        </w:rPr>
        <w:t>2372</w:t>
      </w:r>
      <w:r>
        <w:rPr>
          <w:rFonts w:ascii="Times New Roman" w:hAnsi="Times New Roman" w:eastAsia="Times New Roman" w:cs="Times New Roman"/>
          <w:spacing w:val="40"/>
          <w:w w:val="101"/>
          <w:sz w:val="24"/>
          <w:szCs w:val="24"/>
        </w:rPr>
        <w:t xml:space="preserve"> </w:t>
      </w:r>
      <w:r>
        <w:rPr>
          <w:rFonts w:ascii="仿宋" w:hAnsi="仿宋" w:eastAsia="仿宋" w:cs="仿宋"/>
          <w:spacing w:val="-3"/>
          <w:sz w:val="24"/>
          <w:szCs w:val="24"/>
        </w:rPr>
        <w:t>号</w:t>
      </w:r>
      <w:r>
        <w:rPr>
          <w:rFonts w:ascii="仿宋" w:hAnsi="仿宋" w:eastAsia="仿宋" w:cs="仿宋"/>
          <w:spacing w:val="-88"/>
          <w:sz w:val="24"/>
          <w:szCs w:val="24"/>
        </w:rPr>
        <w:t xml:space="preserve"> </w:t>
      </w:r>
      <w:r>
        <w:rPr>
          <w:rFonts w:ascii="仿宋" w:hAnsi="仿宋" w:eastAsia="仿宋" w:cs="仿宋"/>
          <w:spacing w:val="-3"/>
          <w:sz w:val="24"/>
          <w:szCs w:val="24"/>
        </w:rPr>
        <w:t>”和“准文物函〔</w:t>
      </w:r>
      <w:r>
        <w:rPr>
          <w:rFonts w:ascii="Times New Roman" w:hAnsi="Times New Roman" w:eastAsia="Times New Roman" w:cs="Times New Roman"/>
          <w:spacing w:val="-3"/>
          <w:sz w:val="24"/>
          <w:szCs w:val="24"/>
        </w:rPr>
        <w:t>2025</w:t>
      </w:r>
      <w:r>
        <w:rPr>
          <w:rFonts w:ascii="仿宋" w:hAnsi="仿宋" w:eastAsia="仿宋" w:cs="仿宋"/>
          <w:spacing w:val="-3"/>
          <w:sz w:val="24"/>
          <w:szCs w:val="24"/>
        </w:rPr>
        <w:t>〕</w:t>
      </w:r>
      <w:r>
        <w:rPr>
          <w:rFonts w:ascii="Times New Roman" w:hAnsi="Times New Roman" w:eastAsia="Times New Roman" w:cs="Times New Roman"/>
          <w:spacing w:val="-3"/>
          <w:sz w:val="24"/>
          <w:szCs w:val="24"/>
        </w:rPr>
        <w:t>1408</w:t>
      </w:r>
      <w:r>
        <w:rPr>
          <w:rFonts w:ascii="Times New Roman" w:hAnsi="Times New Roman" w:eastAsia="Times New Roman" w:cs="Times New Roman"/>
          <w:spacing w:val="24"/>
          <w:sz w:val="24"/>
          <w:szCs w:val="24"/>
        </w:rPr>
        <w:t xml:space="preserve"> </w:t>
      </w:r>
      <w:r>
        <w:rPr>
          <w:rFonts w:ascii="仿宋" w:hAnsi="仿宋" w:eastAsia="仿宋" w:cs="仿宋"/>
          <w:spacing w:val="-3"/>
          <w:sz w:val="24"/>
          <w:szCs w:val="24"/>
        </w:rPr>
        <w:t>号</w:t>
      </w:r>
      <w:r>
        <w:rPr>
          <w:rFonts w:ascii="仿宋" w:hAnsi="仿宋" w:eastAsia="仿宋" w:cs="仿宋"/>
          <w:spacing w:val="-89"/>
          <w:sz w:val="24"/>
          <w:szCs w:val="24"/>
        </w:rPr>
        <w:t xml:space="preserve"> </w:t>
      </w:r>
      <w:r>
        <w:rPr>
          <w:rFonts w:ascii="仿宋" w:hAnsi="仿宋" w:eastAsia="仿宋" w:cs="仿宋"/>
          <w:spacing w:val="-3"/>
          <w:sz w:val="24"/>
          <w:szCs w:val="24"/>
        </w:rPr>
        <w:t>”文，</w:t>
      </w:r>
      <w:r>
        <w:rPr>
          <w:rFonts w:ascii="仿宋" w:hAnsi="仿宋" w:eastAsia="仿宋" w:cs="仿宋"/>
          <w:spacing w:val="-2"/>
          <w:sz w:val="24"/>
          <w:szCs w:val="24"/>
        </w:rPr>
        <w:t>本项目各段道路中心线两侧300m</w:t>
      </w:r>
      <w:r>
        <w:rPr>
          <w:rFonts w:ascii="仿宋" w:hAnsi="仿宋" w:eastAsia="仿宋" w:cs="仿宋"/>
          <w:spacing w:val="-31"/>
          <w:sz w:val="24"/>
          <w:szCs w:val="24"/>
        </w:rPr>
        <w:t xml:space="preserve"> </w:t>
      </w:r>
      <w:r>
        <w:rPr>
          <w:rFonts w:ascii="仿宋" w:hAnsi="仿宋" w:eastAsia="仿宋" w:cs="仿宋"/>
          <w:spacing w:val="-2"/>
          <w:sz w:val="24"/>
          <w:szCs w:val="24"/>
        </w:rPr>
        <w:t>范围内均无国家</w:t>
      </w:r>
      <w:r>
        <w:rPr>
          <w:rFonts w:ascii="仿宋" w:hAnsi="仿宋" w:eastAsia="仿宋" w:cs="仿宋"/>
          <w:spacing w:val="-3"/>
          <w:sz w:val="24"/>
          <w:szCs w:val="24"/>
        </w:rPr>
        <w:t>公园、</w:t>
      </w:r>
      <w:r>
        <w:rPr>
          <w:rFonts w:ascii="仿宋" w:hAnsi="仿宋" w:eastAsia="仿宋" w:cs="仿宋"/>
          <w:spacing w:val="-59"/>
          <w:sz w:val="24"/>
          <w:szCs w:val="24"/>
        </w:rPr>
        <w:t xml:space="preserve"> </w:t>
      </w:r>
      <w:r>
        <w:rPr>
          <w:rFonts w:ascii="仿宋" w:hAnsi="仿宋" w:eastAsia="仿宋" w:cs="仿宋"/>
          <w:spacing w:val="-3"/>
          <w:sz w:val="24"/>
          <w:szCs w:val="24"/>
        </w:rPr>
        <w:t>自然保护区、</w:t>
      </w:r>
      <w:r>
        <w:rPr>
          <w:rFonts w:ascii="仿宋" w:hAnsi="仿宋" w:eastAsia="仿宋" w:cs="仿宋"/>
          <w:spacing w:val="-59"/>
          <w:sz w:val="24"/>
          <w:szCs w:val="24"/>
        </w:rPr>
        <w:t xml:space="preserve"> </w:t>
      </w:r>
      <w:r>
        <w:rPr>
          <w:rFonts w:ascii="仿宋" w:hAnsi="仿宋" w:eastAsia="仿宋" w:cs="仿宋"/>
          <w:spacing w:val="-3"/>
          <w:sz w:val="24"/>
          <w:szCs w:val="24"/>
        </w:rPr>
        <w:t>自然公园等自然保护地、世界自然遗产、生态保护红线等区域，不涉及重</w:t>
      </w:r>
      <w:r>
        <w:rPr>
          <w:rFonts w:ascii="仿宋" w:hAnsi="仿宋" w:eastAsia="仿宋" w:cs="仿宋"/>
          <w:spacing w:val="-4"/>
          <w:sz w:val="24"/>
          <w:szCs w:val="24"/>
        </w:rPr>
        <w:t>要生境、饮用水</w:t>
      </w:r>
      <w:r>
        <w:rPr>
          <w:rFonts w:ascii="仿宋" w:hAnsi="仿宋" w:eastAsia="仿宋" w:cs="仿宋"/>
          <w:spacing w:val="-1"/>
          <w:sz w:val="24"/>
          <w:szCs w:val="24"/>
        </w:rPr>
        <w:t>源保护区及珍稀动植物资源；不涉及文物普查数据库登记的文物遗存。</w:t>
      </w:r>
    </w:p>
    <w:p w14:paraId="3A279B48">
      <w:pPr>
        <w:spacing w:before="2" w:line="359" w:lineRule="auto"/>
        <w:ind w:left="160" w:right="126" w:firstLine="453"/>
        <w:rPr>
          <w:rFonts w:ascii="仿宋" w:hAnsi="仿宋" w:eastAsia="仿宋" w:cs="仿宋"/>
          <w:sz w:val="24"/>
          <w:szCs w:val="24"/>
        </w:rPr>
      </w:pPr>
      <w:r>
        <w:rPr>
          <w:rFonts w:ascii="仿宋" w:hAnsi="仿宋" w:eastAsia="仿宋" w:cs="仿宋"/>
          <w:spacing w:val="-3"/>
          <w:sz w:val="24"/>
          <w:szCs w:val="24"/>
        </w:rPr>
        <w:t>根据“准林草函〔</w:t>
      </w:r>
      <w:r>
        <w:rPr>
          <w:rFonts w:ascii="Times New Roman" w:hAnsi="Times New Roman" w:eastAsia="Times New Roman" w:cs="Times New Roman"/>
          <w:spacing w:val="-3"/>
          <w:sz w:val="24"/>
          <w:szCs w:val="24"/>
        </w:rPr>
        <w:t>2025</w:t>
      </w:r>
      <w:r>
        <w:rPr>
          <w:rFonts w:ascii="仿宋" w:hAnsi="仿宋" w:eastAsia="仿宋" w:cs="仿宋"/>
          <w:spacing w:val="-3"/>
          <w:sz w:val="24"/>
          <w:szCs w:val="24"/>
        </w:rPr>
        <w:t>〕</w:t>
      </w:r>
      <w:r>
        <w:rPr>
          <w:rFonts w:ascii="Times New Roman" w:hAnsi="Times New Roman" w:eastAsia="Times New Roman" w:cs="Times New Roman"/>
          <w:spacing w:val="-3"/>
          <w:sz w:val="24"/>
          <w:szCs w:val="24"/>
        </w:rPr>
        <w:t>982</w:t>
      </w:r>
      <w:r>
        <w:rPr>
          <w:rFonts w:ascii="Times New Roman" w:hAnsi="Times New Roman" w:eastAsia="Times New Roman" w:cs="Times New Roman"/>
          <w:spacing w:val="21"/>
          <w:w w:val="101"/>
          <w:sz w:val="24"/>
          <w:szCs w:val="24"/>
        </w:rPr>
        <w:t xml:space="preserve"> </w:t>
      </w:r>
      <w:r>
        <w:rPr>
          <w:rFonts w:ascii="仿宋" w:hAnsi="仿宋" w:eastAsia="仿宋" w:cs="仿宋"/>
          <w:spacing w:val="-3"/>
          <w:sz w:val="24"/>
          <w:szCs w:val="24"/>
        </w:rPr>
        <w:t>号</w:t>
      </w:r>
      <w:r>
        <w:rPr>
          <w:rFonts w:ascii="仿宋" w:hAnsi="仿宋" w:eastAsia="仿宋" w:cs="仿宋"/>
          <w:spacing w:val="-88"/>
          <w:sz w:val="24"/>
          <w:szCs w:val="24"/>
        </w:rPr>
        <w:t xml:space="preserve"> </w:t>
      </w:r>
      <w:r>
        <w:rPr>
          <w:rFonts w:ascii="仿宋" w:hAnsi="仿宋" w:eastAsia="仿宋" w:cs="仿宋"/>
          <w:spacing w:val="-3"/>
          <w:sz w:val="24"/>
          <w:szCs w:val="24"/>
        </w:rPr>
        <w:t>”文，项目沿线评价范围内</w:t>
      </w:r>
      <w:r>
        <w:rPr>
          <w:rFonts w:ascii="仿宋" w:hAnsi="仿宋" w:eastAsia="仿宋" w:cs="仿宋"/>
          <w:spacing w:val="-4"/>
          <w:sz w:val="24"/>
          <w:szCs w:val="24"/>
        </w:rPr>
        <w:t>涉及基本草原、</w:t>
      </w:r>
      <w:r>
        <w:rPr>
          <w:rFonts w:ascii="仿宋" w:hAnsi="仿宋" w:eastAsia="仿宋" w:cs="仿宋"/>
          <w:spacing w:val="-5"/>
          <w:sz w:val="24"/>
          <w:szCs w:val="24"/>
        </w:rPr>
        <w:t>国家</w:t>
      </w:r>
      <w:r>
        <w:rPr>
          <w:rFonts w:ascii="仿宋" w:hAnsi="仿宋" w:eastAsia="仿宋" w:cs="仿宋"/>
          <w:spacing w:val="-29"/>
          <w:sz w:val="24"/>
          <w:szCs w:val="24"/>
        </w:rPr>
        <w:t xml:space="preserve"> </w:t>
      </w:r>
      <w:r>
        <w:rPr>
          <w:rFonts w:ascii="仿宋" w:hAnsi="仿宋" w:eastAsia="仿宋" w:cs="仿宋"/>
          <w:spacing w:val="-5"/>
          <w:sz w:val="24"/>
          <w:szCs w:val="24"/>
        </w:rPr>
        <w:t>II</w:t>
      </w:r>
      <w:r>
        <w:rPr>
          <w:rFonts w:ascii="仿宋" w:hAnsi="仿宋" w:eastAsia="仿宋" w:cs="仿宋"/>
          <w:spacing w:val="-41"/>
          <w:sz w:val="24"/>
          <w:szCs w:val="24"/>
        </w:rPr>
        <w:t xml:space="preserve"> </w:t>
      </w:r>
      <w:r>
        <w:rPr>
          <w:rFonts w:ascii="仿宋" w:hAnsi="仿宋" w:eastAsia="仿宋" w:cs="仿宋"/>
          <w:spacing w:val="-5"/>
          <w:sz w:val="24"/>
          <w:szCs w:val="24"/>
        </w:rPr>
        <w:t>级公益林、地方</w:t>
      </w:r>
      <w:r>
        <w:rPr>
          <w:rFonts w:ascii="仿宋" w:hAnsi="仿宋" w:eastAsia="仿宋" w:cs="仿宋"/>
          <w:spacing w:val="-38"/>
          <w:sz w:val="24"/>
          <w:szCs w:val="24"/>
        </w:rPr>
        <w:t xml:space="preserve"> </w:t>
      </w:r>
      <w:r>
        <w:rPr>
          <w:rFonts w:ascii="仿宋" w:hAnsi="仿宋" w:eastAsia="仿宋" w:cs="仿宋"/>
          <w:spacing w:val="-5"/>
          <w:sz w:val="24"/>
          <w:szCs w:val="24"/>
        </w:rPr>
        <w:t>III</w:t>
      </w:r>
      <w:r>
        <w:rPr>
          <w:rFonts w:ascii="仿宋" w:hAnsi="仿宋" w:eastAsia="仿宋" w:cs="仿宋"/>
          <w:spacing w:val="-42"/>
          <w:sz w:val="24"/>
          <w:szCs w:val="24"/>
        </w:rPr>
        <w:t xml:space="preserve"> </w:t>
      </w:r>
      <w:r>
        <w:rPr>
          <w:rFonts w:ascii="仿宋" w:hAnsi="仿宋" w:eastAsia="仿宋" w:cs="仿宋"/>
          <w:spacing w:val="-5"/>
          <w:sz w:val="24"/>
          <w:szCs w:val="24"/>
        </w:rPr>
        <w:t>级公益林和一般商品林。</w:t>
      </w:r>
    </w:p>
    <w:p w14:paraId="5A528F62">
      <w:pPr>
        <w:spacing w:before="3" w:line="358" w:lineRule="auto"/>
        <w:ind w:left="130" w:right="116" w:firstLine="482"/>
        <w:jc w:val="both"/>
        <w:rPr>
          <w:rFonts w:ascii="仿宋" w:hAnsi="仿宋" w:eastAsia="仿宋" w:cs="仿宋"/>
          <w:sz w:val="24"/>
          <w:szCs w:val="24"/>
        </w:rPr>
      </w:pPr>
      <w:r>
        <w:rPr>
          <w:rFonts w:ascii="仿宋" w:hAnsi="仿宋" w:eastAsia="仿宋" w:cs="仿宋"/>
          <w:spacing w:val="-3"/>
          <w:sz w:val="24"/>
          <w:szCs w:val="24"/>
        </w:rPr>
        <w:t>沿线及评价范围涉及基本农田，主要分布在乌拉</w:t>
      </w:r>
      <w:r>
        <w:rPr>
          <w:rFonts w:ascii="仿宋" w:hAnsi="仿宋" w:eastAsia="仿宋" w:cs="仿宋"/>
          <w:spacing w:val="-4"/>
          <w:sz w:val="24"/>
          <w:szCs w:val="24"/>
        </w:rPr>
        <w:t>素村二道壕大坝东至秦家塔</w:t>
      </w:r>
      <w:r>
        <w:rPr>
          <w:rFonts w:ascii="仿宋" w:hAnsi="仿宋" w:eastAsia="仿宋" w:cs="仿宋"/>
          <w:spacing w:val="-3"/>
          <w:sz w:val="24"/>
          <w:szCs w:val="24"/>
        </w:rPr>
        <w:t>社路段、份子地社新村至二道拐村委会路段、二道拐坡底至张家圪旦社路</w:t>
      </w:r>
      <w:r>
        <w:rPr>
          <w:rFonts w:ascii="仿宋" w:hAnsi="仿宋" w:eastAsia="仿宋" w:cs="仿宋"/>
          <w:spacing w:val="-4"/>
          <w:sz w:val="24"/>
          <w:szCs w:val="24"/>
        </w:rPr>
        <w:t>段、脑</w:t>
      </w:r>
      <w:r>
        <w:rPr>
          <w:rFonts w:ascii="仿宋" w:hAnsi="仿宋" w:eastAsia="仿宋" w:cs="仿宋"/>
          <w:spacing w:val="2"/>
          <w:sz w:val="24"/>
          <w:szCs w:val="24"/>
        </w:rPr>
        <w:t>包湾村自然村通硬化路路段、</w:t>
      </w:r>
      <w:r>
        <w:rPr>
          <w:rFonts w:ascii="仿宋" w:hAnsi="仿宋" w:eastAsia="仿宋" w:cs="仿宋"/>
          <w:spacing w:val="2"/>
          <w:sz w:val="20"/>
          <w:szCs w:val="20"/>
        </w:rPr>
        <w:t>沿黄巨合滩出口东至天顺圪梁通村路段</w:t>
      </w:r>
      <w:r>
        <w:rPr>
          <w:rFonts w:ascii="仿宋" w:hAnsi="仿宋" w:eastAsia="仿宋" w:cs="仿宋"/>
          <w:spacing w:val="2"/>
          <w:sz w:val="24"/>
          <w:szCs w:val="24"/>
        </w:rPr>
        <w:t>，各路段均沿现</w:t>
      </w:r>
      <w:r>
        <w:rPr>
          <w:rFonts w:ascii="仿宋" w:hAnsi="仿宋" w:eastAsia="仿宋" w:cs="仿宋"/>
          <w:spacing w:val="-1"/>
          <w:sz w:val="24"/>
          <w:szCs w:val="24"/>
        </w:rPr>
        <w:t>有农村道路（土路）范围铺设，不占用基本农田。</w:t>
      </w:r>
    </w:p>
    <w:p w14:paraId="38DE92FE">
      <w:pPr>
        <w:spacing w:line="220" w:lineRule="auto"/>
        <w:ind w:left="613"/>
        <w:rPr>
          <w:rFonts w:ascii="仿宋" w:hAnsi="仿宋" w:eastAsia="仿宋" w:cs="仿宋"/>
          <w:sz w:val="24"/>
          <w:szCs w:val="24"/>
        </w:rPr>
      </w:pPr>
      <w:r>
        <w:rPr>
          <w:rFonts w:ascii="仿宋" w:hAnsi="仿宋" w:eastAsia="仿宋" w:cs="仿宋"/>
          <w:spacing w:val="-2"/>
          <w:sz w:val="24"/>
          <w:szCs w:val="24"/>
        </w:rPr>
        <w:t>本项目生态保护目标见表</w:t>
      </w:r>
      <w:r>
        <w:rPr>
          <w:rFonts w:ascii="仿宋" w:hAnsi="仿宋" w:eastAsia="仿宋" w:cs="仿宋"/>
          <w:spacing w:val="-33"/>
          <w:sz w:val="24"/>
          <w:szCs w:val="24"/>
        </w:rPr>
        <w:t xml:space="preserve"> </w:t>
      </w:r>
      <w:r>
        <w:rPr>
          <w:rFonts w:ascii="仿宋" w:hAnsi="仿宋" w:eastAsia="仿宋" w:cs="仿宋"/>
          <w:spacing w:val="-2"/>
          <w:sz w:val="24"/>
          <w:szCs w:val="24"/>
        </w:rPr>
        <w:t>1.5-1，基本农田分</w:t>
      </w:r>
      <w:r>
        <w:rPr>
          <w:rFonts w:ascii="仿宋" w:hAnsi="仿宋" w:eastAsia="仿宋" w:cs="仿宋"/>
          <w:spacing w:val="-3"/>
          <w:sz w:val="24"/>
          <w:szCs w:val="24"/>
        </w:rPr>
        <w:t>布见图</w:t>
      </w:r>
      <w:r>
        <w:rPr>
          <w:rFonts w:ascii="仿宋" w:hAnsi="仿宋" w:eastAsia="仿宋" w:cs="仿宋"/>
          <w:spacing w:val="-34"/>
          <w:sz w:val="24"/>
          <w:szCs w:val="24"/>
        </w:rPr>
        <w:t xml:space="preserve"> </w:t>
      </w:r>
      <w:r>
        <w:rPr>
          <w:rFonts w:ascii="仿宋" w:hAnsi="仿宋" w:eastAsia="仿宋" w:cs="仿宋"/>
          <w:spacing w:val="-3"/>
          <w:sz w:val="24"/>
          <w:szCs w:val="24"/>
        </w:rPr>
        <w:t>1.5-1。</w:t>
      </w:r>
    </w:p>
    <w:p w14:paraId="4ED9EF1A">
      <w:pPr>
        <w:spacing w:line="220" w:lineRule="auto"/>
        <w:rPr>
          <w:rFonts w:ascii="仿宋" w:hAnsi="仿宋" w:eastAsia="仿宋" w:cs="仿宋"/>
          <w:sz w:val="24"/>
          <w:szCs w:val="24"/>
        </w:rPr>
        <w:sectPr>
          <w:footerReference r:id="rId202" w:type="default"/>
          <w:pgSz w:w="11906" w:h="16839"/>
          <w:pgMar w:top="400" w:right="1682" w:bottom="1511" w:left="1683" w:header="0" w:footer="1349" w:gutter="0"/>
          <w:cols w:space="720" w:num="1"/>
        </w:sectPr>
      </w:pPr>
    </w:p>
    <w:p w14:paraId="165BC06E">
      <w:pPr>
        <w:pStyle w:val="2"/>
        <w:spacing w:line="269" w:lineRule="auto"/>
        <w:rPr>
          <w:sz w:val="21"/>
        </w:rPr>
      </w:pPr>
    </w:p>
    <w:p w14:paraId="47D52A4A">
      <w:pPr>
        <w:pStyle w:val="2"/>
        <w:spacing w:line="269" w:lineRule="auto"/>
        <w:rPr>
          <w:sz w:val="21"/>
        </w:rPr>
      </w:pPr>
    </w:p>
    <w:p w14:paraId="649735F4">
      <w:pPr>
        <w:pStyle w:val="2"/>
        <w:spacing w:line="270" w:lineRule="auto"/>
        <w:rPr>
          <w:sz w:val="21"/>
        </w:rPr>
      </w:pPr>
    </w:p>
    <w:p w14:paraId="7412100B">
      <w:pPr>
        <w:pStyle w:val="2"/>
        <w:spacing w:line="270" w:lineRule="auto"/>
        <w:rPr>
          <w:sz w:val="21"/>
        </w:rPr>
      </w:pPr>
    </w:p>
    <w:p w14:paraId="3D2A94C1">
      <w:pPr>
        <w:pStyle w:val="2"/>
        <w:spacing w:line="270" w:lineRule="auto"/>
        <w:rPr>
          <w:sz w:val="21"/>
        </w:rPr>
      </w:pPr>
    </w:p>
    <w:p w14:paraId="1478F3D1">
      <w:pPr>
        <w:spacing w:before="78" w:line="221" w:lineRule="auto"/>
        <w:ind w:left="5266"/>
        <w:rPr>
          <w:rFonts w:ascii="仿宋" w:hAnsi="仿宋" w:eastAsia="仿宋" w:cs="仿宋"/>
          <w:sz w:val="24"/>
          <w:szCs w:val="24"/>
        </w:rPr>
      </w:pPr>
      <w:r>
        <w:rPr>
          <w:rFonts w:ascii="仿宋" w:hAnsi="仿宋" w:eastAsia="仿宋" w:cs="仿宋"/>
          <w:b/>
          <w:bCs/>
          <w:spacing w:val="-4"/>
          <w:sz w:val="24"/>
          <w:szCs w:val="24"/>
        </w:rPr>
        <w:t>表</w:t>
      </w:r>
      <w:r>
        <w:rPr>
          <w:rFonts w:ascii="仿宋" w:hAnsi="仿宋" w:eastAsia="仿宋" w:cs="仿宋"/>
          <w:spacing w:val="-27"/>
          <w:sz w:val="24"/>
          <w:szCs w:val="24"/>
        </w:rPr>
        <w:t xml:space="preserve"> </w:t>
      </w:r>
      <w:r>
        <w:rPr>
          <w:rFonts w:ascii="仿宋" w:hAnsi="仿宋" w:eastAsia="仿宋" w:cs="仿宋"/>
          <w:b/>
          <w:bCs/>
          <w:spacing w:val="-4"/>
          <w:sz w:val="24"/>
          <w:szCs w:val="24"/>
        </w:rPr>
        <w:t>1.5-1</w:t>
      </w:r>
      <w:r>
        <w:rPr>
          <w:rFonts w:ascii="仿宋" w:hAnsi="仿宋" w:eastAsia="仿宋" w:cs="仿宋"/>
          <w:spacing w:val="-4"/>
          <w:sz w:val="24"/>
          <w:szCs w:val="24"/>
        </w:rPr>
        <w:t xml:space="preserve">   </w:t>
      </w:r>
      <w:r>
        <w:rPr>
          <w:rFonts w:ascii="仿宋" w:hAnsi="仿宋" w:eastAsia="仿宋" w:cs="仿宋"/>
          <w:b/>
          <w:bCs/>
          <w:spacing w:val="-4"/>
          <w:sz w:val="24"/>
          <w:szCs w:val="24"/>
        </w:rPr>
        <w:t>本项目生态保护目标表</w:t>
      </w:r>
    </w:p>
    <w:p w14:paraId="1EEB4D23">
      <w:pPr>
        <w:spacing w:line="145" w:lineRule="exact"/>
      </w:pPr>
    </w:p>
    <w:tbl>
      <w:tblPr>
        <w:tblStyle w:val="5"/>
        <w:tblW w:w="1416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26"/>
        <w:gridCol w:w="3366"/>
        <w:gridCol w:w="3379"/>
        <w:gridCol w:w="968"/>
        <w:gridCol w:w="1366"/>
        <w:gridCol w:w="1105"/>
        <w:gridCol w:w="3558"/>
      </w:tblGrid>
      <w:tr w14:paraId="4D443B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426" w:type="dxa"/>
            <w:tcBorders>
              <w:top w:val="single" w:color="000000" w:sz="10" w:space="0"/>
              <w:left w:val="nil"/>
            </w:tcBorders>
            <w:textDirection w:val="tbRlV"/>
            <w:vAlign w:val="top"/>
          </w:tcPr>
          <w:p w14:paraId="4194363B">
            <w:pPr>
              <w:spacing w:before="106" w:line="209" w:lineRule="auto"/>
              <w:ind w:left="35"/>
              <w:rPr>
                <w:rFonts w:ascii="仿宋" w:hAnsi="仿宋" w:eastAsia="仿宋" w:cs="仿宋"/>
                <w:sz w:val="20"/>
                <w:szCs w:val="20"/>
              </w:rPr>
            </w:pPr>
            <w:r>
              <w:rPr>
                <w:rFonts w:ascii="仿宋" w:hAnsi="仿宋" w:eastAsia="仿宋" w:cs="仿宋"/>
                <w:spacing w:val="13"/>
                <w:sz w:val="20"/>
                <w:szCs w:val="20"/>
              </w:rPr>
              <w:t>序</w:t>
            </w:r>
            <w:r>
              <w:rPr>
                <w:rFonts w:ascii="仿宋" w:hAnsi="仿宋" w:eastAsia="仿宋" w:cs="仿宋"/>
                <w:spacing w:val="-42"/>
                <w:sz w:val="20"/>
                <w:szCs w:val="20"/>
              </w:rPr>
              <w:t xml:space="preserve"> </w:t>
            </w:r>
            <w:r>
              <w:rPr>
                <w:rFonts w:ascii="仿宋" w:hAnsi="仿宋" w:eastAsia="仿宋" w:cs="仿宋"/>
                <w:spacing w:val="13"/>
                <w:sz w:val="20"/>
                <w:szCs w:val="20"/>
              </w:rPr>
              <w:t>号</w:t>
            </w:r>
          </w:p>
        </w:tc>
        <w:tc>
          <w:tcPr>
            <w:tcW w:w="3366" w:type="dxa"/>
            <w:tcBorders>
              <w:top w:val="single" w:color="000000" w:sz="10" w:space="0"/>
            </w:tcBorders>
            <w:vAlign w:val="top"/>
          </w:tcPr>
          <w:p w14:paraId="46CF91D4">
            <w:pPr>
              <w:spacing w:before="169" w:line="229" w:lineRule="auto"/>
              <w:ind w:left="1064"/>
              <w:rPr>
                <w:rFonts w:ascii="仿宋" w:hAnsi="仿宋" w:eastAsia="仿宋" w:cs="仿宋"/>
                <w:sz w:val="20"/>
                <w:szCs w:val="20"/>
              </w:rPr>
            </w:pPr>
            <w:r>
              <w:rPr>
                <w:rFonts w:ascii="仿宋" w:hAnsi="仿宋" w:eastAsia="仿宋" w:cs="仿宋"/>
                <w:spacing w:val="7"/>
                <w:sz w:val="20"/>
                <w:szCs w:val="20"/>
              </w:rPr>
              <w:t>保护目标类型</w:t>
            </w:r>
          </w:p>
        </w:tc>
        <w:tc>
          <w:tcPr>
            <w:tcW w:w="3379" w:type="dxa"/>
            <w:tcBorders>
              <w:top w:val="single" w:color="000000" w:sz="10" w:space="0"/>
            </w:tcBorders>
            <w:vAlign w:val="top"/>
          </w:tcPr>
          <w:p w14:paraId="3E6880BE">
            <w:pPr>
              <w:spacing w:before="169" w:line="231" w:lineRule="auto"/>
              <w:ind w:left="1281"/>
              <w:rPr>
                <w:rFonts w:ascii="仿宋" w:hAnsi="仿宋" w:eastAsia="仿宋" w:cs="仿宋"/>
                <w:sz w:val="20"/>
                <w:szCs w:val="20"/>
              </w:rPr>
            </w:pPr>
            <w:r>
              <w:rPr>
                <w:rFonts w:ascii="仿宋" w:hAnsi="仿宋" w:eastAsia="仿宋" w:cs="仿宋"/>
                <w:spacing w:val="5"/>
                <w:sz w:val="20"/>
                <w:szCs w:val="20"/>
              </w:rPr>
              <w:t>所属路段</w:t>
            </w:r>
          </w:p>
        </w:tc>
        <w:tc>
          <w:tcPr>
            <w:tcW w:w="968" w:type="dxa"/>
            <w:tcBorders>
              <w:top w:val="single" w:color="000000" w:sz="10" w:space="0"/>
            </w:tcBorders>
            <w:vAlign w:val="top"/>
          </w:tcPr>
          <w:p w14:paraId="43077DCE">
            <w:pPr>
              <w:spacing w:before="35" w:line="234" w:lineRule="auto"/>
              <w:ind w:left="411" w:right="168" w:hanging="230"/>
              <w:rPr>
                <w:rFonts w:ascii="仿宋" w:hAnsi="仿宋" w:eastAsia="仿宋" w:cs="仿宋"/>
                <w:sz w:val="20"/>
                <w:szCs w:val="20"/>
              </w:rPr>
            </w:pPr>
            <w:r>
              <w:rPr>
                <w:rFonts w:ascii="仿宋" w:hAnsi="仿宋" w:eastAsia="仿宋" w:cs="仿宋"/>
                <w:spacing w:val="4"/>
                <w:sz w:val="20"/>
                <w:szCs w:val="20"/>
              </w:rPr>
              <w:t>影响范</w:t>
            </w:r>
            <w:r>
              <w:rPr>
                <w:rFonts w:ascii="仿宋" w:hAnsi="仿宋" w:eastAsia="仿宋" w:cs="仿宋"/>
                <w:sz w:val="20"/>
                <w:szCs w:val="20"/>
              </w:rPr>
              <w:t>围</w:t>
            </w:r>
          </w:p>
        </w:tc>
        <w:tc>
          <w:tcPr>
            <w:tcW w:w="1366" w:type="dxa"/>
            <w:tcBorders>
              <w:top w:val="single" w:color="000000" w:sz="10" w:space="0"/>
            </w:tcBorders>
            <w:vAlign w:val="top"/>
          </w:tcPr>
          <w:p w14:paraId="0CBC9335">
            <w:pPr>
              <w:pStyle w:val="6"/>
              <w:spacing w:before="49" w:line="241" w:lineRule="auto"/>
              <w:ind w:left="513" w:right="262" w:hanging="203"/>
              <w:rPr>
                <w:sz w:val="13"/>
                <w:szCs w:val="13"/>
              </w:rPr>
            </w:pPr>
            <w:r>
              <w:rPr>
                <w:rFonts w:ascii="仿宋" w:hAnsi="仿宋" w:eastAsia="仿宋" w:cs="仿宋"/>
                <w:spacing w:val="-3"/>
                <w:sz w:val="20"/>
                <w:szCs w:val="20"/>
              </w:rPr>
              <w:t>占用面积</w:t>
            </w:r>
            <w:r>
              <w:rPr>
                <w:position w:val="-1"/>
                <w:sz w:val="20"/>
                <w:szCs w:val="20"/>
              </w:rPr>
              <w:t>hm</w:t>
            </w:r>
            <w:r>
              <w:rPr>
                <w:spacing w:val="13"/>
                <w:position w:val="5"/>
                <w:sz w:val="13"/>
                <w:szCs w:val="13"/>
              </w:rPr>
              <w:t>2</w:t>
            </w:r>
          </w:p>
        </w:tc>
        <w:tc>
          <w:tcPr>
            <w:tcW w:w="1105" w:type="dxa"/>
            <w:tcBorders>
              <w:top w:val="single" w:color="000000" w:sz="10" w:space="0"/>
            </w:tcBorders>
            <w:vAlign w:val="top"/>
          </w:tcPr>
          <w:p w14:paraId="3E9C810F">
            <w:pPr>
              <w:pStyle w:val="6"/>
              <w:spacing w:before="49" w:line="241" w:lineRule="auto"/>
              <w:ind w:left="380" w:right="155" w:hanging="260"/>
              <w:rPr>
                <w:sz w:val="13"/>
                <w:szCs w:val="13"/>
              </w:rPr>
            </w:pPr>
            <w:r>
              <w:rPr>
                <w:rFonts w:ascii="仿宋" w:hAnsi="仿宋" w:eastAsia="仿宋" w:cs="仿宋"/>
                <w:spacing w:val="5"/>
                <w:sz w:val="20"/>
                <w:szCs w:val="20"/>
              </w:rPr>
              <w:t>影响面积</w:t>
            </w:r>
            <w:r>
              <w:rPr>
                <w:position w:val="-1"/>
                <w:sz w:val="20"/>
                <w:szCs w:val="20"/>
              </w:rPr>
              <w:t>hm</w:t>
            </w:r>
            <w:r>
              <w:rPr>
                <w:spacing w:val="15"/>
                <w:position w:val="5"/>
                <w:sz w:val="13"/>
                <w:szCs w:val="13"/>
              </w:rPr>
              <w:t>2</w:t>
            </w:r>
          </w:p>
        </w:tc>
        <w:tc>
          <w:tcPr>
            <w:tcW w:w="3558" w:type="dxa"/>
            <w:tcBorders>
              <w:top w:val="single" w:color="000000" w:sz="10" w:space="0"/>
              <w:right w:val="nil"/>
            </w:tcBorders>
            <w:vAlign w:val="top"/>
          </w:tcPr>
          <w:p w14:paraId="53B4FBC2">
            <w:pPr>
              <w:spacing w:before="169" w:line="229" w:lineRule="auto"/>
              <w:ind w:left="856"/>
              <w:rPr>
                <w:rFonts w:ascii="仿宋" w:hAnsi="仿宋" w:eastAsia="仿宋" w:cs="仿宋"/>
                <w:sz w:val="20"/>
                <w:szCs w:val="20"/>
              </w:rPr>
            </w:pPr>
            <w:r>
              <w:rPr>
                <w:rFonts w:ascii="仿宋" w:hAnsi="仿宋" w:eastAsia="仿宋" w:cs="仿宋"/>
                <w:spacing w:val="6"/>
                <w:sz w:val="20"/>
                <w:szCs w:val="20"/>
              </w:rPr>
              <w:t>生态功能与保护要求</w:t>
            </w:r>
          </w:p>
        </w:tc>
      </w:tr>
      <w:tr w14:paraId="5EFA40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9" w:hRule="atLeast"/>
        </w:trPr>
        <w:tc>
          <w:tcPr>
            <w:tcW w:w="426" w:type="dxa"/>
            <w:tcBorders>
              <w:left w:val="nil"/>
            </w:tcBorders>
            <w:vAlign w:val="top"/>
          </w:tcPr>
          <w:p w14:paraId="3AB4E782">
            <w:pPr>
              <w:spacing w:line="282" w:lineRule="auto"/>
              <w:rPr>
                <w:rFonts w:ascii="Arial"/>
                <w:sz w:val="21"/>
              </w:rPr>
            </w:pPr>
          </w:p>
          <w:p w14:paraId="0ED1EA13">
            <w:pPr>
              <w:pStyle w:val="6"/>
              <w:spacing w:before="58" w:line="195" w:lineRule="auto"/>
              <w:ind w:left="185"/>
              <w:rPr>
                <w:sz w:val="20"/>
                <w:szCs w:val="20"/>
              </w:rPr>
            </w:pPr>
            <w:r>
              <w:rPr>
                <w:sz w:val="20"/>
                <w:szCs w:val="20"/>
              </w:rPr>
              <w:t>1</w:t>
            </w:r>
          </w:p>
        </w:tc>
        <w:tc>
          <w:tcPr>
            <w:tcW w:w="3366" w:type="dxa"/>
            <w:vAlign w:val="top"/>
          </w:tcPr>
          <w:p w14:paraId="46AA87EA">
            <w:pPr>
              <w:spacing w:before="305" w:line="231" w:lineRule="auto"/>
              <w:ind w:left="1274"/>
              <w:rPr>
                <w:rFonts w:ascii="仿宋" w:hAnsi="仿宋" w:eastAsia="仿宋" w:cs="仿宋"/>
                <w:sz w:val="20"/>
                <w:szCs w:val="20"/>
              </w:rPr>
            </w:pPr>
            <w:r>
              <w:rPr>
                <w:rFonts w:ascii="仿宋" w:hAnsi="仿宋" w:eastAsia="仿宋" w:cs="仿宋"/>
                <w:spacing w:val="5"/>
                <w:sz w:val="20"/>
                <w:szCs w:val="20"/>
              </w:rPr>
              <w:t>基本草原</w:t>
            </w:r>
          </w:p>
        </w:tc>
        <w:tc>
          <w:tcPr>
            <w:tcW w:w="3379" w:type="dxa"/>
            <w:vMerge w:val="restart"/>
            <w:tcBorders>
              <w:bottom w:val="nil"/>
            </w:tcBorders>
            <w:vAlign w:val="top"/>
          </w:tcPr>
          <w:p w14:paraId="7AF7BA4C">
            <w:pPr>
              <w:spacing w:before="33" w:line="246" w:lineRule="auto"/>
              <w:ind w:left="117" w:right="107" w:firstLine="6"/>
              <w:rPr>
                <w:rFonts w:ascii="仿宋" w:hAnsi="仿宋" w:eastAsia="仿宋" w:cs="仿宋"/>
                <w:sz w:val="20"/>
                <w:szCs w:val="20"/>
              </w:rPr>
            </w:pPr>
            <w:r>
              <w:rPr>
                <w:rFonts w:ascii="仿宋" w:hAnsi="仿宋" w:eastAsia="仿宋" w:cs="仿宋"/>
                <w:spacing w:val="9"/>
                <w:sz w:val="20"/>
                <w:szCs w:val="20"/>
              </w:rPr>
              <w:t>李家圪堵至土敖包通村公路段、双</w:t>
            </w:r>
            <w:r>
              <w:rPr>
                <w:rFonts w:ascii="仿宋" w:hAnsi="仿宋" w:eastAsia="仿宋" w:cs="仿宋"/>
                <w:spacing w:val="6"/>
                <w:sz w:val="20"/>
                <w:szCs w:val="20"/>
              </w:rPr>
              <w:t>山梁村通社公路段、</w:t>
            </w:r>
            <w:r>
              <w:rPr>
                <w:rFonts w:ascii="仿宋" w:hAnsi="仿宋" w:eastAsia="仿宋" w:cs="仿宋"/>
                <w:spacing w:val="-43"/>
                <w:sz w:val="20"/>
                <w:szCs w:val="20"/>
              </w:rPr>
              <w:t xml:space="preserve"> </w:t>
            </w:r>
            <w:r>
              <w:rPr>
                <w:rFonts w:ascii="仿宋" w:hAnsi="仿宋" w:eastAsia="仿宋" w:cs="仿宋"/>
                <w:spacing w:val="6"/>
                <w:sz w:val="20"/>
                <w:szCs w:val="20"/>
              </w:rPr>
              <w:t>四道敖包至淡</w:t>
            </w:r>
            <w:r>
              <w:rPr>
                <w:rFonts w:ascii="仿宋" w:hAnsi="仿宋" w:eastAsia="仿宋" w:cs="仿宋"/>
                <w:spacing w:val="9"/>
                <w:sz w:val="20"/>
                <w:szCs w:val="20"/>
              </w:rPr>
              <w:t>家梁至杨家塔通村公路段、乌拉素村二道壕大坝东至秦家塔社通村公路段、大棚区至杏仁露基地路段、二道拐坡底至张家圪旦社及脑包湾村自然村通硬化路段、沿黄巨合滩</w:t>
            </w:r>
            <w:r>
              <w:rPr>
                <w:rFonts w:ascii="仿宋" w:hAnsi="仿宋" w:eastAsia="仿宋" w:cs="仿宋"/>
                <w:spacing w:val="4"/>
                <w:sz w:val="20"/>
                <w:szCs w:val="20"/>
              </w:rPr>
              <w:t>出</w:t>
            </w:r>
            <w:r>
              <w:rPr>
                <w:rFonts w:ascii="仿宋" w:hAnsi="仿宋" w:eastAsia="仿宋" w:cs="仿宋"/>
                <w:spacing w:val="-44"/>
                <w:sz w:val="20"/>
                <w:szCs w:val="20"/>
              </w:rPr>
              <w:t xml:space="preserve"> </w:t>
            </w:r>
            <w:r>
              <w:rPr>
                <w:rFonts w:ascii="仿宋" w:hAnsi="仿宋" w:eastAsia="仿宋" w:cs="仿宋"/>
                <w:spacing w:val="4"/>
                <w:sz w:val="20"/>
                <w:szCs w:val="20"/>
              </w:rPr>
              <w:t>口东至天顺圪梁通村路段</w:t>
            </w:r>
          </w:p>
        </w:tc>
        <w:tc>
          <w:tcPr>
            <w:tcW w:w="968" w:type="dxa"/>
            <w:vMerge w:val="restart"/>
            <w:tcBorders>
              <w:bottom w:val="nil"/>
            </w:tcBorders>
            <w:vAlign w:val="top"/>
          </w:tcPr>
          <w:p w14:paraId="114D8493">
            <w:pPr>
              <w:spacing w:line="265" w:lineRule="auto"/>
              <w:rPr>
                <w:rFonts w:ascii="Arial"/>
                <w:sz w:val="21"/>
              </w:rPr>
            </w:pPr>
          </w:p>
          <w:p w14:paraId="54361E6B">
            <w:pPr>
              <w:spacing w:line="265" w:lineRule="auto"/>
              <w:rPr>
                <w:rFonts w:ascii="Arial"/>
                <w:sz w:val="21"/>
              </w:rPr>
            </w:pPr>
          </w:p>
          <w:p w14:paraId="5151B13E">
            <w:pPr>
              <w:spacing w:line="266" w:lineRule="auto"/>
              <w:rPr>
                <w:rFonts w:ascii="Arial"/>
                <w:sz w:val="21"/>
              </w:rPr>
            </w:pPr>
          </w:p>
          <w:p w14:paraId="19D3641F">
            <w:pPr>
              <w:spacing w:line="266" w:lineRule="auto"/>
              <w:rPr>
                <w:rFonts w:ascii="Arial"/>
                <w:sz w:val="21"/>
              </w:rPr>
            </w:pPr>
          </w:p>
          <w:p w14:paraId="57E12C3D">
            <w:pPr>
              <w:spacing w:line="266" w:lineRule="auto"/>
              <w:rPr>
                <w:rFonts w:ascii="Arial"/>
                <w:sz w:val="21"/>
              </w:rPr>
            </w:pPr>
          </w:p>
          <w:p w14:paraId="3CBC2830">
            <w:pPr>
              <w:pStyle w:val="6"/>
              <w:spacing w:before="65" w:line="251" w:lineRule="auto"/>
              <w:ind w:left="119" w:right="118" w:firstLine="60"/>
              <w:jc w:val="both"/>
              <w:rPr>
                <w:rFonts w:ascii="仿宋" w:hAnsi="仿宋" w:eastAsia="仿宋" w:cs="仿宋"/>
                <w:sz w:val="20"/>
                <w:szCs w:val="20"/>
              </w:rPr>
            </w:pPr>
            <w:r>
              <w:rPr>
                <w:rFonts w:ascii="仿宋" w:hAnsi="仿宋" w:eastAsia="仿宋" w:cs="仿宋"/>
                <w:spacing w:val="4"/>
                <w:sz w:val="20"/>
                <w:szCs w:val="20"/>
              </w:rPr>
              <w:t>道路中</w:t>
            </w:r>
            <w:r>
              <w:rPr>
                <w:rFonts w:ascii="仿宋" w:hAnsi="仿宋" w:eastAsia="仿宋" w:cs="仿宋"/>
                <w:spacing w:val="25"/>
                <w:sz w:val="20"/>
                <w:szCs w:val="20"/>
              </w:rPr>
              <w:t>心线两</w:t>
            </w:r>
            <w:r>
              <w:rPr>
                <w:rFonts w:ascii="仿宋" w:hAnsi="仿宋" w:eastAsia="仿宋" w:cs="仿宋"/>
                <w:spacing w:val="1"/>
                <w:sz w:val="20"/>
                <w:szCs w:val="20"/>
              </w:rPr>
              <w:t>侧</w:t>
            </w:r>
            <w:r>
              <w:rPr>
                <w:rFonts w:ascii="仿宋" w:hAnsi="仿宋" w:eastAsia="仿宋" w:cs="仿宋"/>
                <w:spacing w:val="-37"/>
                <w:sz w:val="20"/>
                <w:szCs w:val="20"/>
              </w:rPr>
              <w:t xml:space="preserve"> </w:t>
            </w:r>
            <w:r>
              <w:rPr>
                <w:spacing w:val="1"/>
                <w:sz w:val="20"/>
                <w:szCs w:val="20"/>
              </w:rPr>
              <w:t>300m</w:t>
            </w:r>
            <w:r>
              <w:rPr>
                <w:rFonts w:ascii="仿宋" w:hAnsi="仿宋" w:eastAsia="仿宋" w:cs="仿宋"/>
                <w:spacing w:val="25"/>
                <w:sz w:val="20"/>
                <w:szCs w:val="20"/>
              </w:rPr>
              <w:t>范围内</w:t>
            </w:r>
          </w:p>
        </w:tc>
        <w:tc>
          <w:tcPr>
            <w:tcW w:w="1366" w:type="dxa"/>
            <w:vAlign w:val="top"/>
          </w:tcPr>
          <w:p w14:paraId="41603C13">
            <w:pPr>
              <w:spacing w:line="282" w:lineRule="auto"/>
              <w:rPr>
                <w:rFonts w:ascii="Arial"/>
                <w:sz w:val="21"/>
              </w:rPr>
            </w:pPr>
          </w:p>
          <w:p w14:paraId="2EFA5A52">
            <w:pPr>
              <w:pStyle w:val="6"/>
              <w:spacing w:before="58" w:line="195" w:lineRule="auto"/>
              <w:ind w:left="398"/>
              <w:rPr>
                <w:sz w:val="20"/>
                <w:szCs w:val="20"/>
              </w:rPr>
            </w:pPr>
            <w:r>
              <w:rPr>
                <w:spacing w:val="3"/>
                <w:sz w:val="20"/>
                <w:szCs w:val="20"/>
              </w:rPr>
              <w:t>0.1797</w:t>
            </w:r>
          </w:p>
        </w:tc>
        <w:tc>
          <w:tcPr>
            <w:tcW w:w="1105" w:type="dxa"/>
            <w:vAlign w:val="top"/>
          </w:tcPr>
          <w:p w14:paraId="641B784F">
            <w:pPr>
              <w:spacing w:line="282" w:lineRule="auto"/>
              <w:rPr>
                <w:rFonts w:ascii="Arial"/>
                <w:sz w:val="21"/>
              </w:rPr>
            </w:pPr>
          </w:p>
          <w:p w14:paraId="0B639D42">
            <w:pPr>
              <w:pStyle w:val="6"/>
              <w:spacing w:before="58" w:line="195" w:lineRule="auto"/>
              <w:ind w:left="321"/>
              <w:rPr>
                <w:sz w:val="20"/>
                <w:szCs w:val="20"/>
              </w:rPr>
            </w:pPr>
            <w:r>
              <w:rPr>
                <w:spacing w:val="-2"/>
                <w:sz w:val="20"/>
                <w:szCs w:val="20"/>
              </w:rPr>
              <w:t>76.</w:t>
            </w:r>
            <w:r>
              <w:rPr>
                <w:spacing w:val="-25"/>
                <w:sz w:val="20"/>
                <w:szCs w:val="20"/>
              </w:rPr>
              <w:t xml:space="preserve"> </w:t>
            </w:r>
            <w:r>
              <w:rPr>
                <w:spacing w:val="-2"/>
                <w:sz w:val="20"/>
                <w:szCs w:val="20"/>
              </w:rPr>
              <w:t>12</w:t>
            </w:r>
          </w:p>
        </w:tc>
        <w:tc>
          <w:tcPr>
            <w:tcW w:w="3558" w:type="dxa"/>
            <w:tcBorders>
              <w:right w:val="nil"/>
            </w:tcBorders>
            <w:vAlign w:val="top"/>
          </w:tcPr>
          <w:p w14:paraId="3F0D741C">
            <w:pPr>
              <w:spacing w:before="32" w:line="229" w:lineRule="auto"/>
              <w:ind w:left="133"/>
              <w:rPr>
                <w:rFonts w:ascii="仿宋" w:hAnsi="仿宋" w:eastAsia="仿宋" w:cs="仿宋"/>
                <w:sz w:val="20"/>
                <w:szCs w:val="20"/>
              </w:rPr>
            </w:pPr>
            <w:r>
              <w:rPr>
                <w:rFonts w:ascii="仿宋" w:hAnsi="仿宋" w:eastAsia="仿宋" w:cs="仿宋"/>
                <w:spacing w:val="6"/>
                <w:sz w:val="20"/>
                <w:szCs w:val="20"/>
              </w:rPr>
              <w:t>防风固沙、保持水土、维护草原生态</w:t>
            </w:r>
          </w:p>
          <w:p w14:paraId="0D8D989C">
            <w:pPr>
              <w:spacing w:before="24" w:line="229" w:lineRule="auto"/>
              <w:ind w:left="127"/>
              <w:rPr>
                <w:rFonts w:ascii="仿宋" w:hAnsi="仿宋" w:eastAsia="仿宋" w:cs="仿宋"/>
                <w:sz w:val="20"/>
                <w:szCs w:val="20"/>
              </w:rPr>
            </w:pPr>
            <w:r>
              <w:rPr>
                <w:rFonts w:ascii="仿宋" w:hAnsi="仿宋" w:eastAsia="仿宋" w:cs="仿宋"/>
                <w:spacing w:val="7"/>
                <w:sz w:val="20"/>
                <w:szCs w:val="20"/>
              </w:rPr>
              <w:t>系统完整性，严格禁止占用、破坏草</w:t>
            </w:r>
          </w:p>
          <w:p w14:paraId="1839E3B1">
            <w:pPr>
              <w:spacing w:before="23" w:line="214" w:lineRule="auto"/>
              <w:ind w:left="1479"/>
              <w:rPr>
                <w:rFonts w:ascii="仿宋" w:hAnsi="仿宋" w:eastAsia="仿宋" w:cs="仿宋"/>
                <w:sz w:val="20"/>
                <w:szCs w:val="20"/>
              </w:rPr>
            </w:pPr>
            <w:r>
              <w:rPr>
                <w:rFonts w:ascii="仿宋" w:hAnsi="仿宋" w:eastAsia="仿宋" w:cs="仿宋"/>
                <w:spacing w:val="3"/>
                <w:sz w:val="20"/>
                <w:szCs w:val="20"/>
              </w:rPr>
              <w:t>原植被</w:t>
            </w:r>
          </w:p>
        </w:tc>
      </w:tr>
      <w:tr w14:paraId="0996C6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426" w:type="dxa"/>
            <w:tcBorders>
              <w:left w:val="nil"/>
            </w:tcBorders>
            <w:vAlign w:val="top"/>
          </w:tcPr>
          <w:p w14:paraId="7CBE0327">
            <w:pPr>
              <w:pStyle w:val="6"/>
              <w:spacing w:before="209" w:line="195" w:lineRule="auto"/>
              <w:ind w:left="165"/>
              <w:rPr>
                <w:sz w:val="20"/>
                <w:szCs w:val="20"/>
              </w:rPr>
            </w:pPr>
            <w:r>
              <w:rPr>
                <w:sz w:val="20"/>
                <w:szCs w:val="20"/>
              </w:rPr>
              <w:t>2</w:t>
            </w:r>
          </w:p>
        </w:tc>
        <w:tc>
          <w:tcPr>
            <w:tcW w:w="3366" w:type="dxa"/>
            <w:vAlign w:val="top"/>
          </w:tcPr>
          <w:p w14:paraId="7BF5C141">
            <w:pPr>
              <w:spacing w:before="170" w:line="231" w:lineRule="auto"/>
              <w:ind w:left="141"/>
              <w:rPr>
                <w:rFonts w:ascii="仿宋" w:hAnsi="仿宋" w:eastAsia="仿宋" w:cs="仿宋"/>
                <w:sz w:val="20"/>
                <w:szCs w:val="20"/>
              </w:rPr>
            </w:pPr>
            <w:r>
              <w:rPr>
                <w:rFonts w:ascii="仿宋" w:hAnsi="仿宋" w:eastAsia="仿宋" w:cs="仿宋"/>
                <w:spacing w:val="7"/>
                <w:sz w:val="20"/>
                <w:szCs w:val="20"/>
              </w:rPr>
              <w:t>国家二级公益林、地方三级公益林</w:t>
            </w:r>
          </w:p>
        </w:tc>
        <w:tc>
          <w:tcPr>
            <w:tcW w:w="3379" w:type="dxa"/>
            <w:vMerge w:val="continue"/>
            <w:tcBorders>
              <w:top w:val="nil"/>
              <w:bottom w:val="nil"/>
            </w:tcBorders>
            <w:vAlign w:val="top"/>
          </w:tcPr>
          <w:p w14:paraId="243EA815">
            <w:pPr>
              <w:rPr>
                <w:rFonts w:ascii="Arial"/>
                <w:sz w:val="21"/>
              </w:rPr>
            </w:pPr>
          </w:p>
        </w:tc>
        <w:tc>
          <w:tcPr>
            <w:tcW w:w="968" w:type="dxa"/>
            <w:vMerge w:val="continue"/>
            <w:tcBorders>
              <w:top w:val="nil"/>
              <w:bottom w:val="nil"/>
            </w:tcBorders>
            <w:vAlign w:val="top"/>
          </w:tcPr>
          <w:p w14:paraId="3B8E1AFC">
            <w:pPr>
              <w:rPr>
                <w:rFonts w:ascii="Arial"/>
                <w:sz w:val="21"/>
              </w:rPr>
            </w:pPr>
          </w:p>
        </w:tc>
        <w:tc>
          <w:tcPr>
            <w:tcW w:w="1366" w:type="dxa"/>
            <w:vAlign w:val="top"/>
          </w:tcPr>
          <w:p w14:paraId="2BFD153B">
            <w:pPr>
              <w:pStyle w:val="6"/>
              <w:spacing w:before="209" w:line="195" w:lineRule="auto"/>
              <w:ind w:left="414"/>
              <w:rPr>
                <w:sz w:val="20"/>
                <w:szCs w:val="20"/>
              </w:rPr>
            </w:pPr>
            <w:r>
              <w:rPr>
                <w:sz w:val="20"/>
                <w:szCs w:val="20"/>
              </w:rPr>
              <w:t>1.8358</w:t>
            </w:r>
          </w:p>
        </w:tc>
        <w:tc>
          <w:tcPr>
            <w:tcW w:w="1105" w:type="dxa"/>
            <w:vAlign w:val="top"/>
          </w:tcPr>
          <w:p w14:paraId="2C08BDAA">
            <w:pPr>
              <w:pStyle w:val="6"/>
              <w:spacing w:before="209" w:line="195" w:lineRule="auto"/>
              <w:ind w:left="159"/>
              <w:rPr>
                <w:sz w:val="20"/>
                <w:szCs w:val="20"/>
              </w:rPr>
            </w:pPr>
            <w:r>
              <w:rPr>
                <w:spacing w:val="4"/>
                <w:sz w:val="20"/>
                <w:szCs w:val="20"/>
              </w:rPr>
              <w:t>261.1642</w:t>
            </w:r>
          </w:p>
        </w:tc>
        <w:tc>
          <w:tcPr>
            <w:tcW w:w="3558" w:type="dxa"/>
            <w:tcBorders>
              <w:right w:val="nil"/>
            </w:tcBorders>
            <w:vAlign w:val="top"/>
          </w:tcPr>
          <w:p w14:paraId="4929E7AE">
            <w:pPr>
              <w:spacing w:before="36" w:line="231" w:lineRule="auto"/>
              <w:ind w:left="218" w:right="111" w:hanging="97"/>
              <w:rPr>
                <w:rFonts w:ascii="仿宋" w:hAnsi="仿宋" w:eastAsia="仿宋" w:cs="仿宋"/>
                <w:sz w:val="20"/>
                <w:szCs w:val="20"/>
              </w:rPr>
            </w:pPr>
            <w:r>
              <w:rPr>
                <w:rFonts w:ascii="仿宋" w:hAnsi="仿宋" w:eastAsia="仿宋" w:cs="仿宋"/>
                <w:spacing w:val="7"/>
                <w:sz w:val="20"/>
                <w:szCs w:val="20"/>
              </w:rPr>
              <w:t>涵养水源、保持水土、维护生物多样</w:t>
            </w:r>
            <w:r>
              <w:rPr>
                <w:rFonts w:ascii="仿宋" w:hAnsi="仿宋" w:eastAsia="仿宋" w:cs="仿宋"/>
                <w:spacing w:val="8"/>
                <w:sz w:val="20"/>
                <w:szCs w:val="20"/>
              </w:rPr>
              <w:t>性，严格禁止采伐、破坏林地植被</w:t>
            </w:r>
          </w:p>
        </w:tc>
      </w:tr>
      <w:tr w14:paraId="7AD7BC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9" w:hRule="atLeast"/>
        </w:trPr>
        <w:tc>
          <w:tcPr>
            <w:tcW w:w="426" w:type="dxa"/>
            <w:tcBorders>
              <w:left w:val="nil"/>
            </w:tcBorders>
            <w:vAlign w:val="top"/>
          </w:tcPr>
          <w:p w14:paraId="3D72DCAA">
            <w:pPr>
              <w:spacing w:line="277" w:lineRule="auto"/>
              <w:rPr>
                <w:rFonts w:ascii="Arial"/>
                <w:sz w:val="21"/>
              </w:rPr>
            </w:pPr>
          </w:p>
          <w:p w14:paraId="544D1AF3">
            <w:pPr>
              <w:pStyle w:val="6"/>
              <w:spacing w:before="57" w:line="195" w:lineRule="auto"/>
              <w:ind w:left="169"/>
              <w:rPr>
                <w:sz w:val="20"/>
                <w:szCs w:val="20"/>
              </w:rPr>
            </w:pPr>
            <w:r>
              <w:rPr>
                <w:sz w:val="20"/>
                <w:szCs w:val="20"/>
              </w:rPr>
              <w:t>3</w:t>
            </w:r>
          </w:p>
        </w:tc>
        <w:tc>
          <w:tcPr>
            <w:tcW w:w="3366" w:type="dxa"/>
            <w:vAlign w:val="top"/>
          </w:tcPr>
          <w:p w14:paraId="01F7BBF5">
            <w:pPr>
              <w:spacing w:before="300" w:line="231" w:lineRule="auto"/>
              <w:ind w:left="1172"/>
              <w:rPr>
                <w:rFonts w:ascii="仿宋" w:hAnsi="仿宋" w:eastAsia="仿宋" w:cs="仿宋"/>
                <w:sz w:val="20"/>
                <w:szCs w:val="20"/>
              </w:rPr>
            </w:pPr>
            <w:r>
              <w:rPr>
                <w:rFonts w:ascii="仿宋" w:hAnsi="仿宋" w:eastAsia="仿宋" w:cs="仿宋"/>
                <w:spacing w:val="6"/>
                <w:sz w:val="20"/>
                <w:szCs w:val="20"/>
              </w:rPr>
              <w:t>一般商品林</w:t>
            </w:r>
          </w:p>
        </w:tc>
        <w:tc>
          <w:tcPr>
            <w:tcW w:w="3379" w:type="dxa"/>
            <w:vMerge w:val="continue"/>
            <w:tcBorders>
              <w:top w:val="nil"/>
            </w:tcBorders>
            <w:vAlign w:val="top"/>
          </w:tcPr>
          <w:p w14:paraId="4A9D33FC">
            <w:pPr>
              <w:rPr>
                <w:rFonts w:ascii="Arial"/>
                <w:sz w:val="21"/>
              </w:rPr>
            </w:pPr>
          </w:p>
        </w:tc>
        <w:tc>
          <w:tcPr>
            <w:tcW w:w="968" w:type="dxa"/>
            <w:vMerge w:val="continue"/>
            <w:tcBorders>
              <w:top w:val="nil"/>
              <w:bottom w:val="nil"/>
            </w:tcBorders>
            <w:vAlign w:val="top"/>
          </w:tcPr>
          <w:p w14:paraId="5951D5F8">
            <w:pPr>
              <w:rPr>
                <w:rFonts w:ascii="Arial"/>
                <w:sz w:val="21"/>
              </w:rPr>
            </w:pPr>
          </w:p>
        </w:tc>
        <w:tc>
          <w:tcPr>
            <w:tcW w:w="1366" w:type="dxa"/>
            <w:vAlign w:val="top"/>
          </w:tcPr>
          <w:p w14:paraId="1214E096">
            <w:pPr>
              <w:spacing w:line="277" w:lineRule="auto"/>
              <w:rPr>
                <w:rFonts w:ascii="Arial"/>
                <w:sz w:val="21"/>
              </w:rPr>
            </w:pPr>
          </w:p>
          <w:p w14:paraId="2D73F81E">
            <w:pPr>
              <w:pStyle w:val="6"/>
              <w:spacing w:before="57" w:line="195" w:lineRule="auto"/>
              <w:ind w:left="450"/>
              <w:rPr>
                <w:sz w:val="20"/>
                <w:szCs w:val="20"/>
              </w:rPr>
            </w:pPr>
            <w:r>
              <w:rPr>
                <w:spacing w:val="3"/>
                <w:sz w:val="20"/>
                <w:szCs w:val="20"/>
              </w:rPr>
              <w:t>0.113</w:t>
            </w:r>
          </w:p>
        </w:tc>
        <w:tc>
          <w:tcPr>
            <w:tcW w:w="1105" w:type="dxa"/>
            <w:vAlign w:val="top"/>
          </w:tcPr>
          <w:p w14:paraId="2F78C59A">
            <w:pPr>
              <w:spacing w:line="277" w:lineRule="auto"/>
              <w:rPr>
                <w:rFonts w:ascii="Arial"/>
                <w:sz w:val="21"/>
              </w:rPr>
            </w:pPr>
          </w:p>
          <w:p w14:paraId="742A09E8">
            <w:pPr>
              <w:pStyle w:val="6"/>
              <w:spacing w:before="57" w:line="195" w:lineRule="auto"/>
              <w:ind w:left="232"/>
              <w:rPr>
                <w:sz w:val="20"/>
                <w:szCs w:val="20"/>
              </w:rPr>
            </w:pPr>
            <w:r>
              <w:rPr>
                <w:spacing w:val="1"/>
                <w:sz w:val="20"/>
                <w:szCs w:val="20"/>
              </w:rPr>
              <w:t>185.477</w:t>
            </w:r>
          </w:p>
        </w:tc>
        <w:tc>
          <w:tcPr>
            <w:tcW w:w="3558" w:type="dxa"/>
            <w:tcBorders>
              <w:right w:val="nil"/>
            </w:tcBorders>
            <w:vAlign w:val="top"/>
          </w:tcPr>
          <w:p w14:paraId="1D6CB439">
            <w:pPr>
              <w:spacing w:before="166" w:line="250" w:lineRule="auto"/>
              <w:ind w:left="435" w:right="111" w:hanging="295"/>
              <w:rPr>
                <w:rFonts w:ascii="仿宋" w:hAnsi="仿宋" w:eastAsia="仿宋" w:cs="仿宋"/>
                <w:sz w:val="20"/>
                <w:szCs w:val="20"/>
              </w:rPr>
            </w:pPr>
            <w:r>
              <w:rPr>
                <w:rFonts w:ascii="仿宋" w:hAnsi="仿宋" w:eastAsia="仿宋" w:cs="仿宋"/>
                <w:spacing w:val="6"/>
                <w:sz w:val="20"/>
                <w:szCs w:val="20"/>
              </w:rPr>
              <w:t>以木材生产、经济林种植为主，兼顾</w:t>
            </w:r>
            <w:r>
              <w:rPr>
                <w:rFonts w:ascii="仿宋" w:hAnsi="仿宋" w:eastAsia="仿宋" w:cs="仿宋"/>
                <w:spacing w:val="7"/>
                <w:sz w:val="20"/>
                <w:szCs w:val="20"/>
              </w:rPr>
              <w:t>生态防护功能，合理开发利用</w:t>
            </w:r>
          </w:p>
        </w:tc>
      </w:tr>
      <w:tr w14:paraId="23CCF6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3" w:hRule="atLeast"/>
        </w:trPr>
        <w:tc>
          <w:tcPr>
            <w:tcW w:w="426" w:type="dxa"/>
            <w:tcBorders>
              <w:left w:val="nil"/>
            </w:tcBorders>
            <w:vAlign w:val="top"/>
          </w:tcPr>
          <w:p w14:paraId="582A24F9">
            <w:pPr>
              <w:spacing w:line="348" w:lineRule="auto"/>
              <w:rPr>
                <w:rFonts w:ascii="Arial"/>
                <w:sz w:val="21"/>
              </w:rPr>
            </w:pPr>
          </w:p>
          <w:p w14:paraId="714739D0">
            <w:pPr>
              <w:spacing w:line="348" w:lineRule="auto"/>
              <w:rPr>
                <w:rFonts w:ascii="Arial"/>
                <w:sz w:val="21"/>
              </w:rPr>
            </w:pPr>
          </w:p>
          <w:p w14:paraId="415BB224">
            <w:pPr>
              <w:pStyle w:val="6"/>
              <w:spacing w:before="58" w:line="195" w:lineRule="auto"/>
              <w:ind w:left="164"/>
              <w:rPr>
                <w:sz w:val="20"/>
                <w:szCs w:val="20"/>
              </w:rPr>
            </w:pPr>
            <w:r>
              <w:rPr>
                <w:spacing w:val="1"/>
                <w:sz w:val="20"/>
                <w:szCs w:val="20"/>
              </w:rPr>
              <w:t>4</w:t>
            </w:r>
          </w:p>
        </w:tc>
        <w:tc>
          <w:tcPr>
            <w:tcW w:w="3366" w:type="dxa"/>
            <w:vAlign w:val="top"/>
          </w:tcPr>
          <w:p w14:paraId="470C9377">
            <w:pPr>
              <w:spacing w:line="326" w:lineRule="auto"/>
              <w:rPr>
                <w:rFonts w:ascii="Arial"/>
                <w:sz w:val="21"/>
              </w:rPr>
            </w:pPr>
          </w:p>
          <w:p w14:paraId="5A95B207">
            <w:pPr>
              <w:spacing w:line="327" w:lineRule="auto"/>
              <w:rPr>
                <w:rFonts w:ascii="Arial"/>
                <w:sz w:val="21"/>
              </w:rPr>
            </w:pPr>
          </w:p>
          <w:p w14:paraId="561D2DBE">
            <w:pPr>
              <w:spacing w:before="65" w:line="231" w:lineRule="auto"/>
              <w:ind w:left="1274"/>
              <w:rPr>
                <w:rFonts w:ascii="仿宋" w:hAnsi="仿宋" w:eastAsia="仿宋" w:cs="仿宋"/>
                <w:sz w:val="20"/>
                <w:szCs w:val="20"/>
              </w:rPr>
            </w:pPr>
            <w:r>
              <w:rPr>
                <w:rFonts w:ascii="仿宋" w:hAnsi="仿宋" w:eastAsia="仿宋" w:cs="仿宋"/>
                <w:spacing w:val="5"/>
                <w:sz w:val="20"/>
                <w:szCs w:val="20"/>
              </w:rPr>
              <w:t>基本农田</w:t>
            </w:r>
          </w:p>
        </w:tc>
        <w:tc>
          <w:tcPr>
            <w:tcW w:w="3379" w:type="dxa"/>
            <w:vAlign w:val="top"/>
          </w:tcPr>
          <w:p w14:paraId="3FB23963">
            <w:pPr>
              <w:spacing w:before="41" w:line="230" w:lineRule="auto"/>
              <w:ind w:left="134"/>
              <w:rPr>
                <w:rFonts w:ascii="仿宋" w:hAnsi="仿宋" w:eastAsia="仿宋" w:cs="仿宋"/>
                <w:sz w:val="20"/>
                <w:szCs w:val="20"/>
              </w:rPr>
            </w:pPr>
            <w:r>
              <w:rPr>
                <w:rFonts w:ascii="仿宋" w:hAnsi="仿宋" w:eastAsia="仿宋" w:cs="仿宋"/>
                <w:spacing w:val="8"/>
                <w:sz w:val="20"/>
                <w:szCs w:val="20"/>
              </w:rPr>
              <w:t>乌拉素村二道壕大坝东至秦家塔社</w:t>
            </w:r>
          </w:p>
          <w:p w14:paraId="5B76ABAF">
            <w:pPr>
              <w:spacing w:before="24" w:line="230" w:lineRule="auto"/>
              <w:ind w:left="122"/>
              <w:rPr>
                <w:rFonts w:ascii="仿宋" w:hAnsi="仿宋" w:eastAsia="仿宋" w:cs="仿宋"/>
                <w:sz w:val="20"/>
                <w:szCs w:val="20"/>
              </w:rPr>
            </w:pPr>
            <w:r>
              <w:rPr>
                <w:rFonts w:ascii="仿宋" w:hAnsi="仿宋" w:eastAsia="仿宋" w:cs="仿宋"/>
                <w:spacing w:val="9"/>
                <w:sz w:val="20"/>
                <w:szCs w:val="20"/>
              </w:rPr>
              <w:t>路段、份子地社新村至二道拐村委</w:t>
            </w:r>
          </w:p>
          <w:p w14:paraId="52795E28">
            <w:pPr>
              <w:spacing w:before="21" w:line="232" w:lineRule="auto"/>
              <w:ind w:left="130"/>
              <w:rPr>
                <w:rFonts w:ascii="仿宋" w:hAnsi="仿宋" w:eastAsia="仿宋" w:cs="仿宋"/>
                <w:sz w:val="20"/>
                <w:szCs w:val="20"/>
              </w:rPr>
            </w:pPr>
            <w:r>
              <w:rPr>
                <w:rFonts w:ascii="仿宋" w:hAnsi="仿宋" w:eastAsia="仿宋" w:cs="仿宋"/>
                <w:spacing w:val="8"/>
                <w:sz w:val="20"/>
                <w:szCs w:val="20"/>
              </w:rPr>
              <w:t>会路段、二道拐坡底至张家圪旦社</w:t>
            </w:r>
          </w:p>
          <w:p w14:paraId="6F798FE3">
            <w:pPr>
              <w:spacing w:before="22" w:line="230" w:lineRule="auto"/>
              <w:ind w:left="122"/>
              <w:rPr>
                <w:rFonts w:ascii="仿宋" w:hAnsi="仿宋" w:eastAsia="仿宋" w:cs="仿宋"/>
                <w:sz w:val="20"/>
                <w:szCs w:val="20"/>
              </w:rPr>
            </w:pPr>
            <w:r>
              <w:rPr>
                <w:rFonts w:ascii="仿宋" w:hAnsi="仿宋" w:eastAsia="仿宋" w:cs="仿宋"/>
                <w:spacing w:val="9"/>
                <w:sz w:val="20"/>
                <w:szCs w:val="20"/>
              </w:rPr>
              <w:t>路段、脑包湾村自然村通硬化路路</w:t>
            </w:r>
          </w:p>
          <w:p w14:paraId="65C84613">
            <w:pPr>
              <w:spacing w:before="21" w:line="231" w:lineRule="auto"/>
              <w:ind w:left="125"/>
              <w:rPr>
                <w:rFonts w:ascii="仿宋" w:hAnsi="仿宋" w:eastAsia="仿宋" w:cs="仿宋"/>
                <w:sz w:val="20"/>
                <w:szCs w:val="20"/>
              </w:rPr>
            </w:pPr>
            <w:r>
              <w:rPr>
                <w:rFonts w:ascii="仿宋" w:hAnsi="仿宋" w:eastAsia="仿宋" w:cs="仿宋"/>
                <w:spacing w:val="8"/>
                <w:sz w:val="20"/>
                <w:szCs w:val="20"/>
              </w:rPr>
              <w:t>段、沿黄巨合滩出口东至天顺圪梁</w:t>
            </w:r>
          </w:p>
          <w:p w14:paraId="09FDB503">
            <w:pPr>
              <w:spacing w:before="24" w:line="202" w:lineRule="auto"/>
              <w:ind w:left="1285"/>
              <w:rPr>
                <w:rFonts w:ascii="仿宋" w:hAnsi="仿宋" w:eastAsia="仿宋" w:cs="仿宋"/>
                <w:sz w:val="20"/>
                <w:szCs w:val="20"/>
              </w:rPr>
            </w:pPr>
            <w:r>
              <w:rPr>
                <w:rFonts w:ascii="仿宋" w:hAnsi="仿宋" w:eastAsia="仿宋" w:cs="仿宋"/>
                <w:spacing w:val="4"/>
                <w:sz w:val="20"/>
                <w:szCs w:val="20"/>
              </w:rPr>
              <w:t>通村路段</w:t>
            </w:r>
          </w:p>
        </w:tc>
        <w:tc>
          <w:tcPr>
            <w:tcW w:w="968" w:type="dxa"/>
            <w:vMerge w:val="continue"/>
            <w:tcBorders>
              <w:top w:val="nil"/>
            </w:tcBorders>
            <w:vAlign w:val="top"/>
          </w:tcPr>
          <w:p w14:paraId="48996D04">
            <w:pPr>
              <w:rPr>
                <w:rFonts w:ascii="Arial"/>
                <w:sz w:val="21"/>
              </w:rPr>
            </w:pPr>
          </w:p>
        </w:tc>
        <w:tc>
          <w:tcPr>
            <w:tcW w:w="1366" w:type="dxa"/>
            <w:vAlign w:val="top"/>
          </w:tcPr>
          <w:p w14:paraId="72F262BD">
            <w:pPr>
              <w:spacing w:line="327" w:lineRule="auto"/>
              <w:rPr>
                <w:rFonts w:ascii="Arial"/>
                <w:sz w:val="21"/>
              </w:rPr>
            </w:pPr>
          </w:p>
          <w:p w14:paraId="32178DF5">
            <w:pPr>
              <w:spacing w:line="327" w:lineRule="auto"/>
              <w:rPr>
                <w:rFonts w:ascii="Arial"/>
                <w:sz w:val="21"/>
              </w:rPr>
            </w:pPr>
          </w:p>
          <w:p w14:paraId="2FA08DDB">
            <w:pPr>
              <w:spacing w:before="65" w:line="232" w:lineRule="auto"/>
              <w:ind w:left="385"/>
              <w:rPr>
                <w:rFonts w:ascii="仿宋" w:hAnsi="仿宋" w:eastAsia="仿宋" w:cs="仿宋"/>
                <w:sz w:val="20"/>
                <w:szCs w:val="20"/>
              </w:rPr>
            </w:pPr>
            <w:r>
              <w:rPr>
                <w:rFonts w:ascii="仿宋" w:hAnsi="仿宋" w:eastAsia="仿宋" w:cs="仿宋"/>
                <w:spacing w:val="3"/>
                <w:sz w:val="20"/>
                <w:szCs w:val="20"/>
              </w:rPr>
              <w:t>不占用</w:t>
            </w:r>
          </w:p>
        </w:tc>
        <w:tc>
          <w:tcPr>
            <w:tcW w:w="1105" w:type="dxa"/>
            <w:vAlign w:val="top"/>
          </w:tcPr>
          <w:p w14:paraId="5692DF2B">
            <w:pPr>
              <w:spacing w:line="348" w:lineRule="auto"/>
              <w:rPr>
                <w:rFonts w:ascii="Arial"/>
                <w:sz w:val="21"/>
              </w:rPr>
            </w:pPr>
          </w:p>
          <w:p w14:paraId="12F042D1">
            <w:pPr>
              <w:spacing w:line="348" w:lineRule="auto"/>
              <w:rPr>
                <w:rFonts w:ascii="Arial"/>
                <w:sz w:val="21"/>
              </w:rPr>
            </w:pPr>
          </w:p>
          <w:p w14:paraId="0511D2D8">
            <w:pPr>
              <w:pStyle w:val="6"/>
              <w:spacing w:before="58" w:line="195" w:lineRule="auto"/>
              <w:ind w:left="269"/>
              <w:rPr>
                <w:sz w:val="20"/>
                <w:szCs w:val="20"/>
              </w:rPr>
            </w:pPr>
            <w:r>
              <w:rPr>
                <w:spacing w:val="3"/>
                <w:sz w:val="20"/>
                <w:szCs w:val="20"/>
              </w:rPr>
              <w:t>399.05</w:t>
            </w:r>
          </w:p>
        </w:tc>
        <w:tc>
          <w:tcPr>
            <w:tcW w:w="3558" w:type="dxa"/>
            <w:tcBorders>
              <w:right w:val="nil"/>
            </w:tcBorders>
            <w:vAlign w:val="top"/>
          </w:tcPr>
          <w:p w14:paraId="68395889">
            <w:pPr>
              <w:spacing w:line="259" w:lineRule="auto"/>
              <w:rPr>
                <w:rFonts w:ascii="Arial"/>
                <w:sz w:val="21"/>
              </w:rPr>
            </w:pPr>
          </w:p>
          <w:p w14:paraId="1C5777EF">
            <w:pPr>
              <w:spacing w:line="259" w:lineRule="auto"/>
              <w:rPr>
                <w:rFonts w:ascii="Arial"/>
                <w:sz w:val="21"/>
              </w:rPr>
            </w:pPr>
          </w:p>
          <w:p w14:paraId="27DB6FE9">
            <w:pPr>
              <w:spacing w:before="65" w:line="250" w:lineRule="auto"/>
              <w:ind w:left="214" w:right="108" w:hanging="94"/>
              <w:rPr>
                <w:rFonts w:ascii="仿宋" w:hAnsi="仿宋" w:eastAsia="仿宋" w:cs="仿宋"/>
                <w:sz w:val="20"/>
                <w:szCs w:val="20"/>
              </w:rPr>
            </w:pPr>
            <w:r>
              <w:rPr>
                <w:rFonts w:ascii="仿宋" w:hAnsi="仿宋" w:eastAsia="仿宋" w:cs="仿宋"/>
                <w:spacing w:val="7"/>
                <w:sz w:val="20"/>
                <w:szCs w:val="20"/>
              </w:rPr>
              <w:t>保障粮食安全，严格落实基本农田保</w:t>
            </w:r>
            <w:r>
              <w:rPr>
                <w:rFonts w:ascii="仿宋" w:hAnsi="仿宋" w:eastAsia="仿宋" w:cs="仿宋"/>
                <w:spacing w:val="9"/>
                <w:sz w:val="20"/>
                <w:szCs w:val="20"/>
              </w:rPr>
              <w:t>护制度，禁止任何非农业建设占用</w:t>
            </w:r>
          </w:p>
        </w:tc>
      </w:tr>
      <w:tr w14:paraId="366BD7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426" w:type="dxa"/>
            <w:tcBorders>
              <w:left w:val="nil"/>
            </w:tcBorders>
            <w:vAlign w:val="top"/>
          </w:tcPr>
          <w:p w14:paraId="61BED3AB">
            <w:pPr>
              <w:pStyle w:val="6"/>
              <w:spacing w:before="222" w:line="192" w:lineRule="auto"/>
              <w:ind w:left="170"/>
              <w:rPr>
                <w:sz w:val="20"/>
                <w:szCs w:val="20"/>
              </w:rPr>
            </w:pPr>
            <w:r>
              <w:rPr>
                <w:sz w:val="20"/>
                <w:szCs w:val="20"/>
              </w:rPr>
              <w:t>5</w:t>
            </w:r>
          </w:p>
        </w:tc>
        <w:tc>
          <w:tcPr>
            <w:tcW w:w="3366" w:type="dxa"/>
            <w:vAlign w:val="top"/>
          </w:tcPr>
          <w:p w14:paraId="47EF4640">
            <w:pPr>
              <w:spacing w:before="184" w:line="232" w:lineRule="auto"/>
              <w:ind w:left="1278"/>
              <w:rPr>
                <w:rFonts w:ascii="仿宋" w:hAnsi="仿宋" w:eastAsia="仿宋" w:cs="仿宋"/>
                <w:sz w:val="20"/>
                <w:szCs w:val="20"/>
              </w:rPr>
            </w:pPr>
            <w:r>
              <w:rPr>
                <w:rFonts w:ascii="仿宋" w:hAnsi="仿宋" w:eastAsia="仿宋" w:cs="仿宋"/>
                <w:spacing w:val="5"/>
                <w:sz w:val="20"/>
                <w:szCs w:val="20"/>
              </w:rPr>
              <w:t>一般耕地</w:t>
            </w:r>
          </w:p>
        </w:tc>
        <w:tc>
          <w:tcPr>
            <w:tcW w:w="3379" w:type="dxa"/>
            <w:vAlign w:val="top"/>
          </w:tcPr>
          <w:p w14:paraId="1570A0DF">
            <w:pPr>
              <w:spacing w:before="183" w:line="231" w:lineRule="auto"/>
              <w:ind w:left="1176"/>
              <w:rPr>
                <w:rFonts w:ascii="仿宋" w:hAnsi="仿宋" w:eastAsia="仿宋" w:cs="仿宋"/>
                <w:sz w:val="20"/>
                <w:szCs w:val="20"/>
              </w:rPr>
            </w:pPr>
            <w:r>
              <w:rPr>
                <w:rFonts w:ascii="仿宋" w:hAnsi="仿宋" w:eastAsia="仿宋" w:cs="仿宋"/>
                <w:spacing w:val="6"/>
                <w:sz w:val="20"/>
                <w:szCs w:val="20"/>
              </w:rPr>
              <w:t>各路段沿线</w:t>
            </w:r>
          </w:p>
        </w:tc>
        <w:tc>
          <w:tcPr>
            <w:tcW w:w="968" w:type="dxa"/>
            <w:vMerge w:val="restart"/>
            <w:tcBorders>
              <w:bottom w:val="nil"/>
            </w:tcBorders>
            <w:vAlign w:val="top"/>
          </w:tcPr>
          <w:p w14:paraId="537082B0">
            <w:pPr>
              <w:spacing w:line="335" w:lineRule="auto"/>
              <w:rPr>
                <w:rFonts w:ascii="Arial"/>
                <w:sz w:val="21"/>
              </w:rPr>
            </w:pPr>
          </w:p>
          <w:p w14:paraId="16B87E42">
            <w:pPr>
              <w:spacing w:line="335" w:lineRule="auto"/>
              <w:rPr>
                <w:rFonts w:ascii="Arial"/>
                <w:sz w:val="21"/>
              </w:rPr>
            </w:pPr>
          </w:p>
          <w:p w14:paraId="0E9D2ED6">
            <w:pPr>
              <w:pStyle w:val="6"/>
              <w:spacing w:before="65" w:line="251" w:lineRule="auto"/>
              <w:ind w:left="119" w:right="118" w:firstLine="60"/>
              <w:jc w:val="both"/>
              <w:rPr>
                <w:rFonts w:ascii="仿宋" w:hAnsi="仿宋" w:eastAsia="仿宋" w:cs="仿宋"/>
                <w:sz w:val="20"/>
                <w:szCs w:val="20"/>
              </w:rPr>
            </w:pPr>
            <w:r>
              <w:rPr>
                <w:rFonts w:ascii="仿宋" w:hAnsi="仿宋" w:eastAsia="仿宋" w:cs="仿宋"/>
                <w:spacing w:val="4"/>
                <w:sz w:val="20"/>
                <w:szCs w:val="20"/>
              </w:rPr>
              <w:t>道路中</w:t>
            </w:r>
            <w:r>
              <w:rPr>
                <w:rFonts w:ascii="仿宋" w:hAnsi="仿宋" w:eastAsia="仿宋" w:cs="仿宋"/>
                <w:spacing w:val="25"/>
                <w:sz w:val="20"/>
                <w:szCs w:val="20"/>
              </w:rPr>
              <w:t>心线两</w:t>
            </w:r>
            <w:r>
              <w:rPr>
                <w:rFonts w:ascii="仿宋" w:hAnsi="仿宋" w:eastAsia="仿宋" w:cs="仿宋"/>
                <w:spacing w:val="1"/>
                <w:sz w:val="20"/>
                <w:szCs w:val="20"/>
              </w:rPr>
              <w:t>侧</w:t>
            </w:r>
            <w:r>
              <w:rPr>
                <w:rFonts w:ascii="仿宋" w:hAnsi="仿宋" w:eastAsia="仿宋" w:cs="仿宋"/>
                <w:spacing w:val="-37"/>
                <w:sz w:val="20"/>
                <w:szCs w:val="20"/>
              </w:rPr>
              <w:t xml:space="preserve"> </w:t>
            </w:r>
            <w:r>
              <w:rPr>
                <w:spacing w:val="1"/>
                <w:sz w:val="20"/>
                <w:szCs w:val="20"/>
              </w:rPr>
              <w:t>300m</w:t>
            </w:r>
            <w:r>
              <w:rPr>
                <w:rFonts w:ascii="仿宋" w:hAnsi="仿宋" w:eastAsia="仿宋" w:cs="仿宋"/>
                <w:spacing w:val="25"/>
                <w:sz w:val="20"/>
                <w:szCs w:val="20"/>
              </w:rPr>
              <w:t>范围内</w:t>
            </w:r>
          </w:p>
        </w:tc>
        <w:tc>
          <w:tcPr>
            <w:tcW w:w="1366" w:type="dxa"/>
            <w:vAlign w:val="top"/>
          </w:tcPr>
          <w:p w14:paraId="66E2FDBC">
            <w:pPr>
              <w:spacing w:before="184" w:line="232" w:lineRule="auto"/>
              <w:ind w:left="385"/>
              <w:rPr>
                <w:rFonts w:ascii="仿宋" w:hAnsi="仿宋" w:eastAsia="仿宋" w:cs="仿宋"/>
                <w:sz w:val="20"/>
                <w:szCs w:val="20"/>
              </w:rPr>
            </w:pPr>
            <w:r>
              <w:rPr>
                <w:rFonts w:ascii="仿宋" w:hAnsi="仿宋" w:eastAsia="仿宋" w:cs="仿宋"/>
                <w:spacing w:val="3"/>
                <w:sz w:val="20"/>
                <w:szCs w:val="20"/>
              </w:rPr>
              <w:t>不占用</w:t>
            </w:r>
          </w:p>
        </w:tc>
        <w:tc>
          <w:tcPr>
            <w:tcW w:w="1105" w:type="dxa"/>
            <w:vAlign w:val="top"/>
          </w:tcPr>
          <w:p w14:paraId="18076211">
            <w:pPr>
              <w:pStyle w:val="6"/>
              <w:spacing w:before="219" w:line="195" w:lineRule="auto"/>
              <w:ind w:left="321"/>
              <w:rPr>
                <w:sz w:val="20"/>
                <w:szCs w:val="20"/>
              </w:rPr>
            </w:pPr>
            <w:r>
              <w:rPr>
                <w:spacing w:val="3"/>
                <w:sz w:val="20"/>
                <w:szCs w:val="20"/>
              </w:rPr>
              <w:t>97.52</w:t>
            </w:r>
          </w:p>
        </w:tc>
        <w:tc>
          <w:tcPr>
            <w:tcW w:w="3558" w:type="dxa"/>
            <w:tcBorders>
              <w:right w:val="nil"/>
            </w:tcBorders>
            <w:vAlign w:val="top"/>
          </w:tcPr>
          <w:p w14:paraId="36957755">
            <w:pPr>
              <w:spacing w:before="48" w:line="226" w:lineRule="auto"/>
              <w:ind w:left="739" w:right="108" w:hanging="620"/>
              <w:rPr>
                <w:rFonts w:ascii="仿宋" w:hAnsi="仿宋" w:eastAsia="仿宋" w:cs="仿宋"/>
                <w:sz w:val="20"/>
                <w:szCs w:val="20"/>
              </w:rPr>
            </w:pPr>
            <w:r>
              <w:rPr>
                <w:rFonts w:ascii="仿宋" w:hAnsi="仿宋" w:eastAsia="仿宋" w:cs="仿宋"/>
                <w:spacing w:val="7"/>
                <w:sz w:val="20"/>
                <w:szCs w:val="20"/>
              </w:rPr>
              <w:t>用于农业生产，保障农产品供给，严</w:t>
            </w:r>
            <w:r>
              <w:rPr>
                <w:rFonts w:ascii="仿宋" w:hAnsi="仿宋" w:eastAsia="仿宋" w:cs="仿宋"/>
                <w:spacing w:val="8"/>
                <w:sz w:val="20"/>
                <w:szCs w:val="20"/>
              </w:rPr>
              <w:t>格控制非农业建设占用</w:t>
            </w:r>
          </w:p>
        </w:tc>
      </w:tr>
      <w:tr w14:paraId="301955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426" w:type="dxa"/>
            <w:tcBorders>
              <w:left w:val="nil"/>
            </w:tcBorders>
            <w:vAlign w:val="top"/>
          </w:tcPr>
          <w:p w14:paraId="1F966DFD">
            <w:pPr>
              <w:pStyle w:val="6"/>
              <w:spacing w:before="221" w:line="195" w:lineRule="auto"/>
              <w:ind w:left="169"/>
              <w:rPr>
                <w:sz w:val="20"/>
                <w:szCs w:val="20"/>
              </w:rPr>
            </w:pPr>
            <w:r>
              <w:rPr>
                <w:sz w:val="20"/>
                <w:szCs w:val="20"/>
              </w:rPr>
              <w:t>6</w:t>
            </w:r>
          </w:p>
        </w:tc>
        <w:tc>
          <w:tcPr>
            <w:tcW w:w="3366" w:type="dxa"/>
            <w:vAlign w:val="top"/>
          </w:tcPr>
          <w:p w14:paraId="4C28F87D">
            <w:pPr>
              <w:spacing w:before="185" w:line="230" w:lineRule="auto"/>
              <w:ind w:left="1170"/>
              <w:rPr>
                <w:rFonts w:ascii="仿宋" w:hAnsi="仿宋" w:eastAsia="仿宋" w:cs="仿宋"/>
                <w:sz w:val="20"/>
                <w:szCs w:val="20"/>
              </w:rPr>
            </w:pPr>
            <w:r>
              <w:rPr>
                <w:rFonts w:ascii="仿宋" w:hAnsi="仿宋" w:eastAsia="仿宋" w:cs="仿宋"/>
                <w:spacing w:val="6"/>
                <w:sz w:val="20"/>
                <w:szCs w:val="20"/>
              </w:rPr>
              <w:t>其他牧草地</w:t>
            </w:r>
          </w:p>
        </w:tc>
        <w:tc>
          <w:tcPr>
            <w:tcW w:w="3379" w:type="dxa"/>
            <w:vAlign w:val="top"/>
          </w:tcPr>
          <w:p w14:paraId="440011C3">
            <w:pPr>
              <w:spacing w:before="185" w:line="231" w:lineRule="auto"/>
              <w:ind w:left="1176"/>
              <w:rPr>
                <w:rFonts w:ascii="仿宋" w:hAnsi="仿宋" w:eastAsia="仿宋" w:cs="仿宋"/>
                <w:sz w:val="20"/>
                <w:szCs w:val="20"/>
              </w:rPr>
            </w:pPr>
            <w:r>
              <w:rPr>
                <w:rFonts w:ascii="仿宋" w:hAnsi="仿宋" w:eastAsia="仿宋" w:cs="仿宋"/>
                <w:spacing w:val="6"/>
                <w:sz w:val="20"/>
                <w:szCs w:val="20"/>
              </w:rPr>
              <w:t>各路段沿线</w:t>
            </w:r>
          </w:p>
        </w:tc>
        <w:tc>
          <w:tcPr>
            <w:tcW w:w="968" w:type="dxa"/>
            <w:vMerge w:val="continue"/>
            <w:tcBorders>
              <w:top w:val="nil"/>
              <w:bottom w:val="nil"/>
            </w:tcBorders>
            <w:vAlign w:val="top"/>
          </w:tcPr>
          <w:p w14:paraId="2E76B21E">
            <w:pPr>
              <w:rPr>
                <w:rFonts w:ascii="Arial"/>
                <w:sz w:val="21"/>
              </w:rPr>
            </w:pPr>
          </w:p>
        </w:tc>
        <w:tc>
          <w:tcPr>
            <w:tcW w:w="1366" w:type="dxa"/>
            <w:vAlign w:val="top"/>
          </w:tcPr>
          <w:p w14:paraId="15A54573">
            <w:pPr>
              <w:pStyle w:val="6"/>
              <w:spacing w:before="221" w:line="195" w:lineRule="auto"/>
              <w:ind w:left="414"/>
              <w:rPr>
                <w:sz w:val="20"/>
                <w:szCs w:val="20"/>
              </w:rPr>
            </w:pPr>
            <w:r>
              <w:rPr>
                <w:sz w:val="20"/>
                <w:szCs w:val="20"/>
              </w:rPr>
              <w:t>1.4303</w:t>
            </w:r>
          </w:p>
        </w:tc>
        <w:tc>
          <w:tcPr>
            <w:tcW w:w="1105" w:type="dxa"/>
            <w:vAlign w:val="top"/>
          </w:tcPr>
          <w:p w14:paraId="43700B71">
            <w:pPr>
              <w:pStyle w:val="6"/>
              <w:spacing w:before="221" w:line="195" w:lineRule="auto"/>
              <w:ind w:left="164"/>
              <w:rPr>
                <w:sz w:val="20"/>
                <w:szCs w:val="20"/>
              </w:rPr>
            </w:pPr>
            <w:r>
              <w:rPr>
                <w:spacing w:val="3"/>
                <w:sz w:val="20"/>
                <w:szCs w:val="20"/>
              </w:rPr>
              <w:t>558.2397</w:t>
            </w:r>
          </w:p>
        </w:tc>
        <w:tc>
          <w:tcPr>
            <w:tcW w:w="3558" w:type="dxa"/>
            <w:tcBorders>
              <w:right w:val="nil"/>
            </w:tcBorders>
            <w:vAlign w:val="top"/>
          </w:tcPr>
          <w:p w14:paraId="043D94D3">
            <w:pPr>
              <w:spacing w:before="50" w:line="225" w:lineRule="auto"/>
              <w:ind w:left="322" w:right="108" w:hanging="203"/>
              <w:rPr>
                <w:rFonts w:ascii="仿宋" w:hAnsi="仿宋" w:eastAsia="仿宋" w:cs="仿宋"/>
                <w:sz w:val="20"/>
                <w:szCs w:val="20"/>
              </w:rPr>
            </w:pPr>
            <w:r>
              <w:rPr>
                <w:rFonts w:ascii="仿宋" w:hAnsi="仿宋" w:eastAsia="仿宋" w:cs="仿宋"/>
                <w:spacing w:val="7"/>
                <w:sz w:val="20"/>
                <w:szCs w:val="20"/>
              </w:rPr>
              <w:t>用于畜牧业生产，兼顾水土保持、防</w:t>
            </w:r>
            <w:r>
              <w:rPr>
                <w:rFonts w:ascii="仿宋" w:hAnsi="仿宋" w:eastAsia="仿宋" w:cs="仿宋"/>
                <w:spacing w:val="8"/>
                <w:sz w:val="20"/>
                <w:szCs w:val="20"/>
              </w:rPr>
              <w:t>风固沙生态功能，合理放牧利用</w:t>
            </w:r>
          </w:p>
        </w:tc>
      </w:tr>
      <w:tr w14:paraId="6FAE83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5" w:hRule="atLeast"/>
        </w:trPr>
        <w:tc>
          <w:tcPr>
            <w:tcW w:w="426" w:type="dxa"/>
            <w:tcBorders>
              <w:left w:val="nil"/>
              <w:bottom w:val="single" w:color="000000" w:sz="10" w:space="0"/>
            </w:tcBorders>
            <w:vAlign w:val="top"/>
          </w:tcPr>
          <w:p w14:paraId="3BEF770B">
            <w:pPr>
              <w:spacing w:line="286" w:lineRule="auto"/>
              <w:rPr>
                <w:rFonts w:ascii="Arial"/>
                <w:sz w:val="21"/>
              </w:rPr>
            </w:pPr>
          </w:p>
          <w:p w14:paraId="4A854179">
            <w:pPr>
              <w:spacing w:line="286" w:lineRule="auto"/>
              <w:rPr>
                <w:rFonts w:ascii="Arial"/>
                <w:sz w:val="21"/>
              </w:rPr>
            </w:pPr>
          </w:p>
          <w:p w14:paraId="3D4BCEB0">
            <w:pPr>
              <w:pStyle w:val="6"/>
              <w:spacing w:before="58" w:line="192" w:lineRule="auto"/>
              <w:ind w:left="168"/>
              <w:rPr>
                <w:sz w:val="20"/>
                <w:szCs w:val="20"/>
              </w:rPr>
            </w:pPr>
            <w:r>
              <w:rPr>
                <w:sz w:val="20"/>
                <w:szCs w:val="20"/>
              </w:rPr>
              <w:t>7</w:t>
            </w:r>
          </w:p>
        </w:tc>
        <w:tc>
          <w:tcPr>
            <w:tcW w:w="3366" w:type="dxa"/>
            <w:tcBorders>
              <w:bottom w:val="single" w:color="000000" w:sz="10" w:space="0"/>
            </w:tcBorders>
            <w:vAlign w:val="top"/>
          </w:tcPr>
          <w:p w14:paraId="4153772F">
            <w:pPr>
              <w:spacing w:line="263" w:lineRule="auto"/>
              <w:rPr>
                <w:rFonts w:ascii="Arial"/>
                <w:sz w:val="21"/>
              </w:rPr>
            </w:pPr>
          </w:p>
          <w:p w14:paraId="6EBAF298">
            <w:pPr>
              <w:spacing w:line="264" w:lineRule="auto"/>
              <w:rPr>
                <w:rFonts w:ascii="Arial"/>
                <w:sz w:val="21"/>
              </w:rPr>
            </w:pPr>
          </w:p>
          <w:p w14:paraId="58FDE871">
            <w:pPr>
              <w:spacing w:before="65" w:line="229" w:lineRule="auto"/>
              <w:ind w:left="127"/>
              <w:rPr>
                <w:rFonts w:ascii="仿宋" w:hAnsi="仿宋" w:eastAsia="仿宋" w:cs="仿宋"/>
                <w:sz w:val="20"/>
                <w:szCs w:val="20"/>
              </w:rPr>
            </w:pPr>
            <w:r>
              <w:rPr>
                <w:rFonts w:ascii="仿宋" w:hAnsi="仿宋" w:eastAsia="仿宋" w:cs="仿宋"/>
                <w:spacing w:val="8"/>
                <w:sz w:val="20"/>
                <w:szCs w:val="20"/>
              </w:rPr>
              <w:t>鸟类、小型兽类、两栖类野生动物</w:t>
            </w:r>
          </w:p>
        </w:tc>
        <w:tc>
          <w:tcPr>
            <w:tcW w:w="3379" w:type="dxa"/>
            <w:tcBorders>
              <w:bottom w:val="single" w:color="000000" w:sz="10" w:space="0"/>
            </w:tcBorders>
            <w:vAlign w:val="top"/>
          </w:tcPr>
          <w:p w14:paraId="0B50EB4D">
            <w:pPr>
              <w:spacing w:line="263" w:lineRule="auto"/>
              <w:rPr>
                <w:rFonts w:ascii="Arial"/>
                <w:sz w:val="21"/>
              </w:rPr>
            </w:pPr>
          </w:p>
          <w:p w14:paraId="6AC60CF0">
            <w:pPr>
              <w:spacing w:line="263" w:lineRule="auto"/>
              <w:rPr>
                <w:rFonts w:ascii="Arial"/>
                <w:sz w:val="21"/>
              </w:rPr>
            </w:pPr>
          </w:p>
          <w:p w14:paraId="69F1B5B3">
            <w:pPr>
              <w:spacing w:before="65" w:line="231" w:lineRule="auto"/>
              <w:ind w:left="1176"/>
              <w:rPr>
                <w:rFonts w:ascii="仿宋" w:hAnsi="仿宋" w:eastAsia="仿宋" w:cs="仿宋"/>
                <w:sz w:val="20"/>
                <w:szCs w:val="20"/>
              </w:rPr>
            </w:pPr>
            <w:r>
              <w:rPr>
                <w:rFonts w:ascii="仿宋" w:hAnsi="仿宋" w:eastAsia="仿宋" w:cs="仿宋"/>
                <w:spacing w:val="6"/>
                <w:sz w:val="20"/>
                <w:szCs w:val="20"/>
              </w:rPr>
              <w:t>各路段沿线</w:t>
            </w:r>
          </w:p>
        </w:tc>
        <w:tc>
          <w:tcPr>
            <w:tcW w:w="968" w:type="dxa"/>
            <w:vMerge w:val="continue"/>
            <w:tcBorders>
              <w:top w:val="nil"/>
              <w:bottom w:val="single" w:color="000000" w:sz="10" w:space="0"/>
            </w:tcBorders>
            <w:vAlign w:val="top"/>
          </w:tcPr>
          <w:p w14:paraId="6AA19FE8">
            <w:pPr>
              <w:rPr>
                <w:rFonts w:ascii="Arial"/>
                <w:sz w:val="21"/>
              </w:rPr>
            </w:pPr>
          </w:p>
        </w:tc>
        <w:tc>
          <w:tcPr>
            <w:tcW w:w="1366" w:type="dxa"/>
            <w:tcBorders>
              <w:bottom w:val="single" w:color="000000" w:sz="10" w:space="0"/>
            </w:tcBorders>
            <w:vAlign w:val="top"/>
          </w:tcPr>
          <w:p w14:paraId="167CA203">
            <w:pPr>
              <w:spacing w:line="282" w:lineRule="auto"/>
              <w:rPr>
                <w:rFonts w:ascii="Arial"/>
                <w:sz w:val="21"/>
              </w:rPr>
            </w:pPr>
          </w:p>
          <w:p w14:paraId="4A9D9495">
            <w:pPr>
              <w:spacing w:line="283" w:lineRule="auto"/>
              <w:rPr>
                <w:rFonts w:ascii="Arial"/>
                <w:sz w:val="21"/>
              </w:rPr>
            </w:pPr>
          </w:p>
          <w:p w14:paraId="37A1061F">
            <w:pPr>
              <w:pStyle w:val="6"/>
              <w:spacing w:before="58" w:line="199" w:lineRule="auto"/>
              <w:ind w:left="652"/>
              <w:rPr>
                <w:sz w:val="20"/>
                <w:szCs w:val="20"/>
              </w:rPr>
            </w:pPr>
            <w:r>
              <w:rPr>
                <w:spacing w:val="2"/>
                <w:sz w:val="20"/>
                <w:szCs w:val="20"/>
              </w:rPr>
              <w:t>/</w:t>
            </w:r>
          </w:p>
        </w:tc>
        <w:tc>
          <w:tcPr>
            <w:tcW w:w="1105" w:type="dxa"/>
            <w:tcBorders>
              <w:bottom w:val="single" w:color="000000" w:sz="10" w:space="0"/>
            </w:tcBorders>
            <w:vAlign w:val="top"/>
          </w:tcPr>
          <w:p w14:paraId="7146E66B">
            <w:pPr>
              <w:spacing w:line="282" w:lineRule="auto"/>
              <w:rPr>
                <w:rFonts w:ascii="Arial"/>
                <w:sz w:val="21"/>
              </w:rPr>
            </w:pPr>
          </w:p>
          <w:p w14:paraId="11265560">
            <w:pPr>
              <w:spacing w:line="283" w:lineRule="auto"/>
              <w:rPr>
                <w:rFonts w:ascii="Arial"/>
                <w:sz w:val="21"/>
              </w:rPr>
            </w:pPr>
          </w:p>
          <w:p w14:paraId="4E544709">
            <w:pPr>
              <w:pStyle w:val="6"/>
              <w:spacing w:before="58" w:line="199" w:lineRule="auto"/>
              <w:ind w:left="519"/>
              <w:rPr>
                <w:sz w:val="20"/>
                <w:szCs w:val="20"/>
              </w:rPr>
            </w:pPr>
            <w:r>
              <w:rPr>
                <w:spacing w:val="2"/>
                <w:sz w:val="20"/>
                <w:szCs w:val="20"/>
              </w:rPr>
              <w:t>/</w:t>
            </w:r>
          </w:p>
        </w:tc>
        <w:tc>
          <w:tcPr>
            <w:tcW w:w="3558" w:type="dxa"/>
            <w:tcBorders>
              <w:bottom w:val="single" w:color="000000" w:sz="10" w:space="0"/>
              <w:right w:val="nil"/>
            </w:tcBorders>
            <w:vAlign w:val="top"/>
          </w:tcPr>
          <w:p w14:paraId="02E216DA">
            <w:pPr>
              <w:spacing w:before="52" w:line="231" w:lineRule="auto"/>
              <w:ind w:left="127"/>
              <w:rPr>
                <w:rFonts w:ascii="仿宋" w:hAnsi="仿宋" w:eastAsia="仿宋" w:cs="仿宋"/>
                <w:sz w:val="20"/>
                <w:szCs w:val="20"/>
              </w:rPr>
            </w:pPr>
            <w:r>
              <w:rPr>
                <w:rFonts w:ascii="仿宋" w:hAnsi="仿宋" w:eastAsia="仿宋" w:cs="仿宋"/>
                <w:spacing w:val="7"/>
                <w:sz w:val="20"/>
                <w:szCs w:val="20"/>
              </w:rPr>
              <w:t>为区域内鸟类、小型兽类、两栖类等</w:t>
            </w:r>
          </w:p>
          <w:p w14:paraId="6AF8FDC7">
            <w:pPr>
              <w:spacing w:before="21" w:line="229" w:lineRule="auto"/>
              <w:ind w:right="14"/>
              <w:jc w:val="right"/>
              <w:rPr>
                <w:rFonts w:ascii="仿宋" w:hAnsi="仿宋" w:eastAsia="仿宋" w:cs="仿宋"/>
                <w:sz w:val="20"/>
                <w:szCs w:val="20"/>
              </w:rPr>
            </w:pPr>
            <w:r>
              <w:rPr>
                <w:rFonts w:ascii="仿宋" w:hAnsi="仿宋" w:eastAsia="仿宋" w:cs="仿宋"/>
                <w:spacing w:val="1"/>
                <w:sz w:val="20"/>
                <w:szCs w:val="20"/>
              </w:rPr>
              <w:t>野生动物提供觅食、栖息、繁殖场所，</w:t>
            </w:r>
          </w:p>
          <w:p w14:paraId="22FBE111">
            <w:pPr>
              <w:spacing w:before="22" w:line="228" w:lineRule="auto"/>
              <w:ind w:left="120"/>
              <w:rPr>
                <w:rFonts w:ascii="仿宋" w:hAnsi="仿宋" w:eastAsia="仿宋" w:cs="仿宋"/>
                <w:sz w:val="20"/>
                <w:szCs w:val="20"/>
              </w:rPr>
            </w:pPr>
            <w:r>
              <w:rPr>
                <w:rFonts w:ascii="仿宋" w:hAnsi="仿宋" w:eastAsia="仿宋" w:cs="仿宋"/>
                <w:spacing w:val="8"/>
                <w:sz w:val="20"/>
                <w:szCs w:val="20"/>
              </w:rPr>
              <w:t>是区域生物多样性保护的重要节点，</w:t>
            </w:r>
          </w:p>
          <w:p w14:paraId="5F2FABE4">
            <w:pPr>
              <w:spacing w:before="26" w:line="231" w:lineRule="auto"/>
              <w:ind w:left="121"/>
              <w:rPr>
                <w:rFonts w:ascii="仿宋" w:hAnsi="仿宋" w:eastAsia="仿宋" w:cs="仿宋"/>
                <w:sz w:val="20"/>
                <w:szCs w:val="20"/>
              </w:rPr>
            </w:pPr>
            <w:r>
              <w:rPr>
                <w:rFonts w:ascii="仿宋" w:hAnsi="仿宋" w:eastAsia="仿宋" w:cs="仿宋"/>
                <w:spacing w:val="7"/>
                <w:sz w:val="20"/>
                <w:szCs w:val="20"/>
              </w:rPr>
              <w:t>严格禁止破坏栖息地植被、干扰野生</w:t>
            </w:r>
          </w:p>
          <w:p w14:paraId="58A4B28C">
            <w:pPr>
              <w:spacing w:before="21" w:line="217" w:lineRule="auto"/>
              <w:ind w:left="1163"/>
              <w:rPr>
                <w:rFonts w:ascii="仿宋" w:hAnsi="仿宋" w:eastAsia="仿宋" w:cs="仿宋"/>
                <w:sz w:val="20"/>
                <w:szCs w:val="20"/>
              </w:rPr>
            </w:pPr>
            <w:r>
              <w:rPr>
                <w:rFonts w:ascii="仿宋" w:hAnsi="仿宋" w:eastAsia="仿宋" w:cs="仿宋"/>
                <w:spacing w:val="6"/>
                <w:sz w:val="20"/>
                <w:szCs w:val="20"/>
              </w:rPr>
              <w:t>动物正常活动</w:t>
            </w:r>
          </w:p>
        </w:tc>
      </w:tr>
    </w:tbl>
    <w:p w14:paraId="4010F237">
      <w:pPr>
        <w:pStyle w:val="2"/>
        <w:rPr>
          <w:sz w:val="21"/>
        </w:rPr>
      </w:pPr>
    </w:p>
    <w:p w14:paraId="1D872CFF">
      <w:pPr>
        <w:rPr>
          <w:sz w:val="21"/>
          <w:szCs w:val="21"/>
        </w:rPr>
        <w:sectPr>
          <w:footerReference r:id="rId203" w:type="default"/>
          <w:pgSz w:w="16839" w:h="11906"/>
          <w:pgMar w:top="400" w:right="1338" w:bottom="1509" w:left="1331" w:header="0" w:footer="1349" w:gutter="0"/>
          <w:cols w:space="720" w:num="1"/>
        </w:sectPr>
      </w:pPr>
    </w:p>
    <w:p w14:paraId="12DBB8D8">
      <w:pPr>
        <w:pStyle w:val="2"/>
        <w:spacing w:line="258" w:lineRule="auto"/>
        <w:rPr>
          <w:sz w:val="21"/>
        </w:rPr>
      </w:pPr>
    </w:p>
    <w:p w14:paraId="13954C0E">
      <w:pPr>
        <w:pStyle w:val="2"/>
        <w:spacing w:line="258" w:lineRule="auto"/>
        <w:rPr>
          <w:sz w:val="21"/>
        </w:rPr>
      </w:pPr>
    </w:p>
    <w:p w14:paraId="1C2C7A5E">
      <w:pPr>
        <w:pStyle w:val="2"/>
        <w:spacing w:line="258" w:lineRule="auto"/>
        <w:rPr>
          <w:sz w:val="21"/>
        </w:rPr>
      </w:pPr>
    </w:p>
    <w:p w14:paraId="3F7E89E3">
      <w:pPr>
        <w:pStyle w:val="2"/>
        <w:spacing w:line="259" w:lineRule="auto"/>
        <w:rPr>
          <w:sz w:val="21"/>
        </w:rPr>
      </w:pPr>
    </w:p>
    <w:p w14:paraId="46526A21">
      <w:pPr>
        <w:spacing w:line="9922" w:lineRule="exact"/>
        <w:ind w:firstLine="14"/>
      </w:pPr>
      <w:r>
        <w:rPr>
          <w:position w:val="-198"/>
        </w:rPr>
        <w:drawing>
          <wp:inline distT="0" distB="0" distL="0" distR="0">
            <wp:extent cx="5262245" cy="6299835"/>
            <wp:effectExtent l="0" t="0" r="0" b="0"/>
            <wp:docPr id="330" name="IM 330"/>
            <wp:cNvGraphicFramePr/>
            <a:graphic xmlns:a="http://schemas.openxmlformats.org/drawingml/2006/main">
              <a:graphicData uri="http://schemas.openxmlformats.org/drawingml/2006/picture">
                <pic:pic xmlns:pic="http://schemas.openxmlformats.org/drawingml/2006/picture">
                  <pic:nvPicPr>
                    <pic:cNvPr id="330" name="IM 330"/>
                    <pic:cNvPicPr/>
                  </pic:nvPicPr>
                  <pic:blipFill>
                    <a:blip r:embed="rId399"/>
                    <a:stretch>
                      <a:fillRect/>
                    </a:stretch>
                  </pic:blipFill>
                  <pic:spPr>
                    <a:xfrm>
                      <a:off x="0" y="0"/>
                      <a:ext cx="5262371" cy="6300216"/>
                    </a:xfrm>
                    <a:prstGeom prst="rect">
                      <a:avLst/>
                    </a:prstGeom>
                  </pic:spPr>
                </pic:pic>
              </a:graphicData>
            </a:graphic>
          </wp:inline>
        </w:drawing>
      </w:r>
    </w:p>
    <w:p w14:paraId="25954244">
      <w:pPr>
        <w:spacing w:before="284" w:line="220" w:lineRule="auto"/>
        <w:ind w:left="2902"/>
        <w:rPr>
          <w:rFonts w:ascii="仿宋" w:hAnsi="仿宋" w:eastAsia="仿宋" w:cs="仿宋"/>
          <w:sz w:val="24"/>
          <w:szCs w:val="24"/>
        </w:rPr>
      </w:pPr>
      <w:r>
        <w:rPr>
          <w:rFonts w:ascii="仿宋" w:hAnsi="仿宋" w:eastAsia="仿宋" w:cs="仿宋"/>
          <w:b/>
          <w:bCs/>
          <w:spacing w:val="-5"/>
          <w:sz w:val="24"/>
          <w:szCs w:val="24"/>
        </w:rPr>
        <w:t>图</w:t>
      </w:r>
      <w:r>
        <w:rPr>
          <w:rFonts w:ascii="仿宋" w:hAnsi="仿宋" w:eastAsia="仿宋" w:cs="仿宋"/>
          <w:spacing w:val="-42"/>
          <w:sz w:val="24"/>
          <w:szCs w:val="24"/>
        </w:rPr>
        <w:t xml:space="preserve"> </w:t>
      </w:r>
      <w:r>
        <w:rPr>
          <w:rFonts w:ascii="Times New Roman" w:hAnsi="Times New Roman" w:eastAsia="Times New Roman" w:cs="Times New Roman"/>
          <w:b/>
          <w:bCs/>
          <w:spacing w:val="-5"/>
          <w:sz w:val="24"/>
          <w:szCs w:val="24"/>
        </w:rPr>
        <w:t xml:space="preserve">1.5-1  </w:t>
      </w:r>
      <w:r>
        <w:rPr>
          <w:rFonts w:ascii="仿宋" w:hAnsi="仿宋" w:eastAsia="仿宋" w:cs="仿宋"/>
          <w:b/>
          <w:bCs/>
          <w:spacing w:val="-5"/>
          <w:sz w:val="24"/>
          <w:szCs w:val="24"/>
        </w:rPr>
        <w:t>基本农田分布图</w:t>
      </w:r>
    </w:p>
    <w:p w14:paraId="578F3938">
      <w:pPr>
        <w:spacing w:line="220" w:lineRule="auto"/>
        <w:rPr>
          <w:rFonts w:ascii="仿宋" w:hAnsi="仿宋" w:eastAsia="仿宋" w:cs="仿宋"/>
          <w:sz w:val="24"/>
          <w:szCs w:val="24"/>
        </w:rPr>
        <w:sectPr>
          <w:footerReference r:id="rId204" w:type="default"/>
          <w:pgSz w:w="11906" w:h="16839"/>
          <w:pgMar w:top="400" w:right="1785" w:bottom="1511" w:left="1785" w:header="0" w:footer="1349" w:gutter="0"/>
          <w:cols w:space="720" w:num="1"/>
        </w:sectPr>
      </w:pPr>
    </w:p>
    <w:p w14:paraId="7D70593E">
      <w:pPr>
        <w:pStyle w:val="2"/>
        <w:spacing w:line="242" w:lineRule="auto"/>
        <w:rPr>
          <w:sz w:val="21"/>
        </w:rPr>
      </w:pPr>
    </w:p>
    <w:p w14:paraId="1D35B219">
      <w:pPr>
        <w:pStyle w:val="2"/>
        <w:spacing w:line="242" w:lineRule="auto"/>
        <w:rPr>
          <w:sz w:val="21"/>
        </w:rPr>
      </w:pPr>
    </w:p>
    <w:p w14:paraId="725D9EB7">
      <w:pPr>
        <w:pStyle w:val="2"/>
        <w:spacing w:line="242" w:lineRule="auto"/>
        <w:rPr>
          <w:sz w:val="21"/>
        </w:rPr>
      </w:pPr>
    </w:p>
    <w:p w14:paraId="157BB292">
      <w:pPr>
        <w:pStyle w:val="2"/>
        <w:spacing w:line="242" w:lineRule="auto"/>
        <w:rPr>
          <w:sz w:val="21"/>
        </w:rPr>
      </w:pPr>
    </w:p>
    <w:p w14:paraId="7DA1B7E4">
      <w:pPr>
        <w:pStyle w:val="2"/>
        <w:spacing w:line="242" w:lineRule="auto"/>
        <w:rPr>
          <w:sz w:val="21"/>
        </w:rPr>
      </w:pPr>
    </w:p>
    <w:p w14:paraId="59EBFBE0">
      <w:pPr>
        <w:spacing w:before="114" w:line="227" w:lineRule="auto"/>
        <w:ind w:left="31"/>
        <w:outlineLvl w:val="0"/>
        <w:rPr>
          <w:rFonts w:ascii="仿宋" w:hAnsi="仿宋" w:eastAsia="仿宋" w:cs="仿宋"/>
          <w:sz w:val="35"/>
          <w:szCs w:val="35"/>
        </w:rPr>
      </w:pPr>
      <w:bookmarkStart w:id="64" w:name="bookmark74"/>
      <w:bookmarkEnd w:id="64"/>
      <w:bookmarkStart w:id="65" w:name="bookmark73"/>
      <w:bookmarkEnd w:id="65"/>
      <w:r>
        <w:rPr>
          <w:rFonts w:ascii="仿宋" w:hAnsi="仿宋" w:eastAsia="仿宋" w:cs="仿宋"/>
          <w:b/>
          <w:bCs/>
          <w:spacing w:val="3"/>
          <w:sz w:val="35"/>
          <w:szCs w:val="35"/>
        </w:rPr>
        <w:t>2.工程分析</w:t>
      </w:r>
    </w:p>
    <w:p w14:paraId="0BA07485">
      <w:pPr>
        <w:pStyle w:val="2"/>
        <w:spacing w:line="262" w:lineRule="auto"/>
        <w:rPr>
          <w:sz w:val="21"/>
        </w:rPr>
      </w:pPr>
    </w:p>
    <w:p w14:paraId="58AB6AF6">
      <w:pPr>
        <w:spacing w:before="101" w:line="228" w:lineRule="auto"/>
        <w:ind w:left="29"/>
        <w:outlineLvl w:val="1"/>
        <w:rPr>
          <w:rFonts w:ascii="仿宋" w:hAnsi="仿宋" w:eastAsia="仿宋" w:cs="仿宋"/>
          <w:sz w:val="31"/>
          <w:szCs w:val="31"/>
        </w:rPr>
      </w:pPr>
      <w:r>
        <w:rPr>
          <w:rFonts w:ascii="仿宋" w:hAnsi="仿宋" w:eastAsia="仿宋" w:cs="仿宋"/>
          <w:b/>
          <w:bCs/>
          <w:spacing w:val="1"/>
          <w:sz w:val="31"/>
          <w:szCs w:val="31"/>
        </w:rPr>
        <w:t>2.1</w:t>
      </w:r>
      <w:r>
        <w:rPr>
          <w:rFonts w:ascii="仿宋" w:hAnsi="仿宋" w:eastAsia="仿宋" w:cs="仿宋"/>
          <w:spacing w:val="-46"/>
          <w:sz w:val="31"/>
          <w:szCs w:val="31"/>
        </w:rPr>
        <w:t xml:space="preserve"> </w:t>
      </w:r>
      <w:r>
        <w:rPr>
          <w:rFonts w:ascii="仿宋" w:hAnsi="仿宋" w:eastAsia="仿宋" w:cs="仿宋"/>
          <w:b/>
          <w:bCs/>
          <w:spacing w:val="1"/>
          <w:sz w:val="31"/>
          <w:szCs w:val="31"/>
        </w:rPr>
        <w:t>项目建设内容</w:t>
      </w:r>
    </w:p>
    <w:p w14:paraId="2BD21909">
      <w:pPr>
        <w:pStyle w:val="2"/>
        <w:spacing w:line="248" w:lineRule="auto"/>
        <w:rPr>
          <w:sz w:val="21"/>
        </w:rPr>
      </w:pPr>
    </w:p>
    <w:p w14:paraId="2B81E8A2">
      <w:pPr>
        <w:spacing w:before="78" w:line="359" w:lineRule="auto"/>
        <w:ind w:left="29" w:firstLine="481"/>
        <w:jc w:val="both"/>
        <w:rPr>
          <w:rFonts w:ascii="Times New Roman" w:hAnsi="Times New Roman" w:eastAsia="Times New Roman" w:cs="Times New Roman"/>
          <w:sz w:val="24"/>
          <w:szCs w:val="24"/>
        </w:rPr>
      </w:pPr>
      <w:r>
        <w:rPr>
          <w:rFonts w:ascii="仿宋" w:hAnsi="仿宋" w:eastAsia="仿宋" w:cs="仿宋"/>
          <w:spacing w:val="-3"/>
          <w:sz w:val="24"/>
          <w:szCs w:val="24"/>
        </w:rPr>
        <w:t>本项目位于准格尔旗沙圪堵镇双山梁村、四道</w:t>
      </w:r>
      <w:r>
        <w:rPr>
          <w:rFonts w:ascii="仿宋" w:hAnsi="仿宋" w:eastAsia="仿宋" w:cs="仿宋"/>
          <w:spacing w:val="-4"/>
          <w:sz w:val="24"/>
          <w:szCs w:val="24"/>
        </w:rPr>
        <w:t>包村、乌拉素村和十二连城乡</w:t>
      </w:r>
      <w:r>
        <w:rPr>
          <w:rFonts w:ascii="仿宋" w:hAnsi="仿宋" w:eastAsia="仿宋" w:cs="仿宋"/>
          <w:sz w:val="24"/>
          <w:szCs w:val="24"/>
        </w:rPr>
        <w:t>柴登村、二道拐村、脑包湾村、杨子华村共两镇七村，路线全长</w:t>
      </w:r>
      <w:r>
        <w:rPr>
          <w:rFonts w:ascii="仿宋" w:hAnsi="仿宋" w:eastAsia="仿宋" w:cs="仿宋"/>
          <w:spacing w:val="-35"/>
          <w:sz w:val="24"/>
          <w:szCs w:val="24"/>
        </w:rPr>
        <w:t xml:space="preserve"> </w:t>
      </w:r>
      <w:r>
        <w:rPr>
          <w:rFonts w:ascii="Times New Roman" w:hAnsi="Times New Roman" w:eastAsia="Times New Roman" w:cs="Times New Roman"/>
          <w:sz w:val="24"/>
          <w:szCs w:val="24"/>
        </w:rPr>
        <w:t>26.508km</w:t>
      </w:r>
      <w:r>
        <w:rPr>
          <w:rFonts w:ascii="Times New Roman" w:hAnsi="Times New Roman" w:eastAsia="Times New Roman" w:cs="Times New Roman"/>
          <w:spacing w:val="-22"/>
          <w:sz w:val="24"/>
          <w:szCs w:val="24"/>
        </w:rPr>
        <w:t xml:space="preserve"> </w:t>
      </w:r>
      <w:r>
        <w:rPr>
          <w:rFonts w:ascii="仿宋" w:hAnsi="仿宋" w:eastAsia="仿宋" w:cs="仿宋"/>
          <w:sz w:val="24"/>
          <w:szCs w:val="24"/>
        </w:rPr>
        <w:t>，其</w:t>
      </w:r>
      <w:r>
        <w:rPr>
          <w:rFonts w:ascii="仿宋" w:hAnsi="仿宋" w:eastAsia="仿宋" w:cs="仿宋"/>
          <w:spacing w:val="-11"/>
          <w:sz w:val="24"/>
          <w:szCs w:val="24"/>
        </w:rPr>
        <w:t>中：沙圪堵镇路线全长</w:t>
      </w:r>
      <w:r>
        <w:rPr>
          <w:rFonts w:ascii="仿宋" w:hAnsi="仿宋" w:eastAsia="仿宋" w:cs="仿宋"/>
          <w:spacing w:val="-58"/>
          <w:sz w:val="24"/>
          <w:szCs w:val="24"/>
        </w:rPr>
        <w:t xml:space="preserve"> </w:t>
      </w:r>
      <w:r>
        <w:rPr>
          <w:rFonts w:ascii="Times New Roman" w:hAnsi="Times New Roman" w:eastAsia="Times New Roman" w:cs="Times New Roman"/>
          <w:spacing w:val="-11"/>
          <w:sz w:val="24"/>
          <w:szCs w:val="24"/>
        </w:rPr>
        <w:t>11.366km</w:t>
      </w:r>
      <w:r>
        <w:rPr>
          <w:rFonts w:ascii="仿宋" w:hAnsi="仿宋" w:eastAsia="仿宋" w:cs="仿宋"/>
          <w:spacing w:val="-11"/>
          <w:sz w:val="24"/>
          <w:szCs w:val="24"/>
        </w:rPr>
        <w:t>，共分为</w:t>
      </w:r>
      <w:r>
        <w:rPr>
          <w:rFonts w:ascii="Times New Roman" w:hAnsi="Times New Roman" w:eastAsia="Times New Roman" w:cs="Times New Roman"/>
          <w:spacing w:val="-11"/>
          <w:sz w:val="24"/>
          <w:szCs w:val="24"/>
        </w:rPr>
        <w:t xml:space="preserve">4 </w:t>
      </w:r>
      <w:r>
        <w:rPr>
          <w:rFonts w:ascii="仿宋" w:hAnsi="仿宋" w:eastAsia="仿宋" w:cs="仿宋"/>
          <w:spacing w:val="-11"/>
          <w:sz w:val="24"/>
          <w:szCs w:val="24"/>
        </w:rPr>
        <w:t>条线路；十二连城乡路线全长</w:t>
      </w:r>
      <w:r>
        <w:rPr>
          <w:rFonts w:ascii="仿宋" w:hAnsi="仿宋" w:eastAsia="仿宋" w:cs="仿宋"/>
          <w:spacing w:val="-58"/>
          <w:sz w:val="24"/>
          <w:szCs w:val="24"/>
        </w:rPr>
        <w:t xml:space="preserve"> </w:t>
      </w:r>
      <w:r>
        <w:rPr>
          <w:rFonts w:ascii="Times New Roman" w:hAnsi="Times New Roman" w:eastAsia="Times New Roman" w:cs="Times New Roman"/>
          <w:spacing w:val="-11"/>
          <w:sz w:val="24"/>
          <w:szCs w:val="24"/>
        </w:rPr>
        <w:t>15.</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11"/>
          <w:sz w:val="24"/>
          <w:szCs w:val="24"/>
        </w:rPr>
        <w:t>14</w:t>
      </w:r>
      <w:r>
        <w:rPr>
          <w:rFonts w:ascii="Times New Roman" w:hAnsi="Times New Roman" w:eastAsia="Times New Roman" w:cs="Times New Roman"/>
          <w:spacing w:val="-12"/>
          <w:sz w:val="24"/>
          <w:szCs w:val="24"/>
        </w:rPr>
        <w:t>2km</w:t>
      </w:r>
      <w:r>
        <w:rPr>
          <w:rFonts w:ascii="仿宋" w:hAnsi="仿宋" w:eastAsia="仿宋" w:cs="仿宋"/>
          <w:spacing w:val="-12"/>
          <w:sz w:val="24"/>
          <w:szCs w:val="24"/>
        </w:rPr>
        <w:t>，</w:t>
      </w:r>
      <w:r>
        <w:rPr>
          <w:rFonts w:ascii="仿宋" w:hAnsi="仿宋" w:eastAsia="仿宋" w:cs="仿宋"/>
          <w:sz w:val="24"/>
          <w:szCs w:val="24"/>
        </w:rPr>
        <w:t>共分为</w:t>
      </w:r>
      <w:r>
        <w:rPr>
          <w:rFonts w:ascii="仿宋" w:hAnsi="仿宋" w:eastAsia="仿宋" w:cs="仿宋"/>
          <w:spacing w:val="-36"/>
          <w:sz w:val="24"/>
          <w:szCs w:val="24"/>
        </w:rPr>
        <w:t xml:space="preserve"> </w:t>
      </w:r>
      <w:r>
        <w:rPr>
          <w:rFonts w:ascii="Times New Roman" w:hAnsi="Times New Roman" w:eastAsia="Times New Roman" w:cs="Times New Roman"/>
          <w:sz w:val="24"/>
          <w:szCs w:val="24"/>
        </w:rPr>
        <w:t>6</w:t>
      </w:r>
      <w:r>
        <w:rPr>
          <w:rFonts w:ascii="Times New Roman" w:hAnsi="Times New Roman" w:eastAsia="Times New Roman" w:cs="Times New Roman"/>
          <w:spacing w:val="21"/>
          <w:sz w:val="24"/>
          <w:szCs w:val="24"/>
        </w:rPr>
        <w:t xml:space="preserve"> </w:t>
      </w:r>
      <w:r>
        <w:rPr>
          <w:rFonts w:ascii="仿宋" w:hAnsi="仿宋" w:eastAsia="仿宋" w:cs="仿宋"/>
          <w:sz w:val="24"/>
          <w:szCs w:val="24"/>
        </w:rPr>
        <w:t>条线路。均按四级公路标准建设，设计荷载等级均为公路</w:t>
      </w:r>
      <w:r>
        <w:rPr>
          <w:rFonts w:ascii="Times New Roman" w:hAnsi="Times New Roman" w:eastAsia="Times New Roman" w:cs="Times New Roman"/>
          <w:sz w:val="24"/>
          <w:szCs w:val="24"/>
        </w:rPr>
        <w:t>-II</w:t>
      </w:r>
      <w:r>
        <w:rPr>
          <w:rFonts w:ascii="Times New Roman" w:hAnsi="Times New Roman" w:eastAsia="Times New Roman" w:cs="Times New Roman"/>
          <w:spacing w:val="25"/>
          <w:sz w:val="24"/>
          <w:szCs w:val="24"/>
        </w:rPr>
        <w:t xml:space="preserve"> </w:t>
      </w:r>
      <w:r>
        <w:rPr>
          <w:rFonts w:ascii="仿宋" w:hAnsi="仿宋" w:eastAsia="仿宋" w:cs="仿宋"/>
          <w:sz w:val="24"/>
          <w:szCs w:val="24"/>
        </w:rPr>
        <w:t>级，全线设计速度均为</w:t>
      </w:r>
      <w:r>
        <w:rPr>
          <w:rFonts w:ascii="仿宋" w:hAnsi="仿宋" w:eastAsia="仿宋" w:cs="仿宋"/>
          <w:spacing w:val="-30"/>
          <w:sz w:val="24"/>
          <w:szCs w:val="24"/>
        </w:rPr>
        <w:t xml:space="preserve"> </w:t>
      </w:r>
      <w:r>
        <w:rPr>
          <w:rFonts w:ascii="Times New Roman" w:hAnsi="Times New Roman" w:eastAsia="Times New Roman" w:cs="Times New Roman"/>
          <w:sz w:val="24"/>
          <w:szCs w:val="24"/>
        </w:rPr>
        <w:t>15km/h</w:t>
      </w:r>
      <w:r>
        <w:rPr>
          <w:rFonts w:ascii="Times New Roman" w:hAnsi="Times New Roman" w:eastAsia="Times New Roman" w:cs="Times New Roman"/>
          <w:spacing w:val="-27"/>
          <w:sz w:val="24"/>
          <w:szCs w:val="24"/>
        </w:rPr>
        <w:t xml:space="preserve"> </w:t>
      </w:r>
      <w:r>
        <w:rPr>
          <w:rFonts w:ascii="仿宋" w:hAnsi="仿宋" w:eastAsia="仿宋" w:cs="仿宋"/>
          <w:sz w:val="24"/>
          <w:szCs w:val="24"/>
        </w:rPr>
        <w:t>，除准格尔旗十二连城乡脑包湾村自然村</w:t>
      </w:r>
      <w:r>
        <w:rPr>
          <w:rFonts w:ascii="仿宋" w:hAnsi="仿宋" w:eastAsia="仿宋" w:cs="仿宋"/>
          <w:spacing w:val="-1"/>
          <w:sz w:val="24"/>
          <w:szCs w:val="24"/>
        </w:rPr>
        <w:t>通硬化路工程段采用未筛分碎石路面，其余段均采用水泥混凝土路面。项目具体路线走向如下</w:t>
      </w:r>
      <w:r>
        <w:rPr>
          <w:rFonts w:ascii="Times New Roman" w:hAnsi="Times New Roman" w:eastAsia="Times New Roman" w:cs="Times New Roman"/>
          <w:spacing w:val="-1"/>
          <w:sz w:val="24"/>
          <w:szCs w:val="24"/>
        </w:rPr>
        <w:t>:</w:t>
      </w:r>
    </w:p>
    <w:p w14:paraId="2053AF7A">
      <w:pPr>
        <w:spacing w:line="222" w:lineRule="auto"/>
        <w:ind w:left="514"/>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1</w:t>
      </w:r>
      <w:r>
        <w:rPr>
          <w:rFonts w:ascii="仿宋" w:hAnsi="仿宋" w:eastAsia="仿宋" w:cs="仿宋"/>
          <w:spacing w:val="-2"/>
          <w:sz w:val="24"/>
          <w:szCs w:val="24"/>
        </w:rPr>
        <w:t>）李家圪堵至土敖包通村公路</w:t>
      </w:r>
    </w:p>
    <w:p w14:paraId="3154A8DE">
      <w:pPr>
        <w:spacing w:before="179" w:line="359" w:lineRule="auto"/>
        <w:ind w:left="22" w:right="185" w:firstLine="492"/>
        <w:rPr>
          <w:rFonts w:ascii="仿宋" w:hAnsi="仿宋" w:eastAsia="仿宋" w:cs="仿宋"/>
          <w:sz w:val="24"/>
          <w:szCs w:val="24"/>
        </w:rPr>
      </w:pPr>
      <w:r>
        <w:rPr>
          <w:rFonts w:ascii="仿宋" w:hAnsi="仿宋" w:eastAsia="仿宋" w:cs="仿宋"/>
          <w:spacing w:val="-2"/>
          <w:sz w:val="24"/>
          <w:szCs w:val="24"/>
        </w:rPr>
        <w:t>李家圪堵至土敖包通村公路共分为</w:t>
      </w:r>
      <w:r>
        <w:rPr>
          <w:rFonts w:ascii="Times New Roman" w:hAnsi="Times New Roman" w:eastAsia="Times New Roman" w:cs="Times New Roman"/>
          <w:spacing w:val="-2"/>
          <w:sz w:val="24"/>
          <w:szCs w:val="24"/>
        </w:rPr>
        <w:t>7</w:t>
      </w:r>
      <w:r>
        <w:rPr>
          <w:rFonts w:ascii="Times New Roman" w:hAnsi="Times New Roman" w:eastAsia="Times New Roman" w:cs="Times New Roman"/>
          <w:spacing w:val="17"/>
          <w:w w:val="101"/>
          <w:sz w:val="24"/>
          <w:szCs w:val="24"/>
        </w:rPr>
        <w:t xml:space="preserve"> </w:t>
      </w:r>
      <w:r>
        <w:rPr>
          <w:rFonts w:ascii="仿宋" w:hAnsi="仿宋" w:eastAsia="仿宋" w:cs="仿宋"/>
          <w:spacing w:val="-2"/>
          <w:sz w:val="24"/>
          <w:szCs w:val="24"/>
        </w:rPr>
        <w:t>个路段，每条路段起</w:t>
      </w:r>
      <w:r>
        <w:rPr>
          <w:rFonts w:ascii="仿宋" w:hAnsi="仿宋" w:eastAsia="仿宋" w:cs="仿宋"/>
          <w:spacing w:val="-3"/>
          <w:sz w:val="24"/>
          <w:szCs w:val="24"/>
        </w:rPr>
        <w:t>终点均顺接现有水泥道路。根据现场调查，现状道路为水泥混凝土与土路结合的道路，本次设计主</w:t>
      </w:r>
      <w:r>
        <w:rPr>
          <w:rFonts w:ascii="仿宋" w:hAnsi="仿宋" w:eastAsia="仿宋" w:cs="仿宋"/>
          <w:spacing w:val="-2"/>
          <w:sz w:val="24"/>
          <w:szCs w:val="24"/>
        </w:rPr>
        <w:t>要为现状土路硬化。</w:t>
      </w:r>
      <w:r>
        <w:rPr>
          <w:rFonts w:ascii="Times New Roman" w:hAnsi="Times New Roman" w:eastAsia="Times New Roman" w:cs="Times New Roman"/>
          <w:spacing w:val="-2"/>
          <w:sz w:val="24"/>
          <w:szCs w:val="24"/>
        </w:rPr>
        <w:t>7</w:t>
      </w:r>
      <w:r>
        <w:rPr>
          <w:rFonts w:ascii="Times New Roman" w:hAnsi="Times New Roman" w:eastAsia="Times New Roman" w:cs="Times New Roman"/>
          <w:spacing w:val="17"/>
          <w:sz w:val="24"/>
          <w:szCs w:val="24"/>
        </w:rPr>
        <w:t xml:space="preserve"> </w:t>
      </w:r>
      <w:r>
        <w:rPr>
          <w:rFonts w:ascii="仿宋" w:hAnsi="仿宋" w:eastAsia="仿宋" w:cs="仿宋"/>
          <w:spacing w:val="-2"/>
          <w:sz w:val="24"/>
          <w:szCs w:val="24"/>
        </w:rPr>
        <w:t>个路段里程分别为：路段一路线长</w:t>
      </w:r>
      <w:r>
        <w:rPr>
          <w:rFonts w:ascii="仿宋" w:hAnsi="仿宋" w:eastAsia="仿宋" w:cs="仿宋"/>
          <w:spacing w:val="-52"/>
          <w:sz w:val="24"/>
          <w:szCs w:val="24"/>
        </w:rPr>
        <w:t xml:space="preserve"> </w:t>
      </w:r>
      <w:r>
        <w:rPr>
          <w:rFonts w:ascii="Times New Roman" w:hAnsi="Times New Roman" w:eastAsia="Times New Roman" w:cs="Times New Roman"/>
          <w:spacing w:val="-2"/>
          <w:sz w:val="24"/>
          <w:szCs w:val="24"/>
        </w:rPr>
        <w:t>0.</w:t>
      </w:r>
      <w:r>
        <w:rPr>
          <w:rFonts w:ascii="Times New Roman" w:hAnsi="Times New Roman" w:eastAsia="Times New Roman" w:cs="Times New Roman"/>
          <w:spacing w:val="-31"/>
          <w:sz w:val="24"/>
          <w:szCs w:val="24"/>
        </w:rPr>
        <w:t xml:space="preserve"> </w:t>
      </w:r>
      <w:r>
        <w:rPr>
          <w:rFonts w:ascii="Times New Roman" w:hAnsi="Times New Roman" w:eastAsia="Times New Roman" w:cs="Times New Roman"/>
          <w:spacing w:val="-2"/>
          <w:sz w:val="24"/>
          <w:szCs w:val="24"/>
        </w:rPr>
        <w:t>175km</w:t>
      </w:r>
      <w:r>
        <w:rPr>
          <w:rFonts w:ascii="Times New Roman" w:hAnsi="Times New Roman" w:eastAsia="Times New Roman" w:cs="Times New Roman"/>
          <w:spacing w:val="-27"/>
          <w:sz w:val="24"/>
          <w:szCs w:val="24"/>
        </w:rPr>
        <w:t xml:space="preserve"> </w:t>
      </w:r>
      <w:r>
        <w:rPr>
          <w:rFonts w:ascii="仿宋" w:hAnsi="仿宋" w:eastAsia="仿宋" w:cs="仿宋"/>
          <w:spacing w:val="-2"/>
          <w:sz w:val="24"/>
          <w:szCs w:val="24"/>
        </w:rPr>
        <w:t>，路</w:t>
      </w:r>
      <w:r>
        <w:rPr>
          <w:rFonts w:ascii="仿宋" w:hAnsi="仿宋" w:eastAsia="仿宋" w:cs="仿宋"/>
          <w:spacing w:val="-3"/>
          <w:sz w:val="24"/>
          <w:szCs w:val="24"/>
        </w:rPr>
        <w:t>段二路线</w:t>
      </w:r>
      <w:r>
        <w:rPr>
          <w:rFonts w:ascii="仿宋" w:hAnsi="仿宋" w:eastAsia="仿宋" w:cs="仿宋"/>
          <w:spacing w:val="-4"/>
          <w:sz w:val="24"/>
          <w:szCs w:val="24"/>
        </w:rPr>
        <w:t>长</w:t>
      </w:r>
      <w:r>
        <w:rPr>
          <w:rFonts w:ascii="仿宋" w:hAnsi="仿宋" w:eastAsia="仿宋" w:cs="仿宋"/>
          <w:spacing w:val="-22"/>
          <w:sz w:val="24"/>
          <w:szCs w:val="24"/>
        </w:rPr>
        <w:t xml:space="preserve"> </w:t>
      </w:r>
      <w:r>
        <w:rPr>
          <w:rFonts w:ascii="Times New Roman" w:hAnsi="Times New Roman" w:eastAsia="Times New Roman" w:cs="Times New Roman"/>
          <w:spacing w:val="-4"/>
          <w:sz w:val="24"/>
          <w:szCs w:val="24"/>
        </w:rPr>
        <w:t>1.018539km</w:t>
      </w:r>
      <w:r>
        <w:rPr>
          <w:rFonts w:ascii="Times New Roman" w:hAnsi="Times New Roman" w:eastAsia="Times New Roman" w:cs="Times New Roman"/>
          <w:spacing w:val="-29"/>
          <w:sz w:val="24"/>
          <w:szCs w:val="24"/>
        </w:rPr>
        <w:t xml:space="preserve"> </w:t>
      </w:r>
      <w:r>
        <w:rPr>
          <w:rFonts w:ascii="仿宋" w:hAnsi="仿宋" w:eastAsia="仿宋" w:cs="仿宋"/>
          <w:spacing w:val="-4"/>
          <w:sz w:val="24"/>
          <w:szCs w:val="24"/>
        </w:rPr>
        <w:t>，路段三路线长</w:t>
      </w:r>
      <w:r>
        <w:rPr>
          <w:rFonts w:ascii="仿宋" w:hAnsi="仿宋" w:eastAsia="仿宋" w:cs="仿宋"/>
          <w:spacing w:val="-51"/>
          <w:sz w:val="24"/>
          <w:szCs w:val="24"/>
        </w:rPr>
        <w:t xml:space="preserve"> </w:t>
      </w:r>
      <w:r>
        <w:rPr>
          <w:rFonts w:ascii="Times New Roman" w:hAnsi="Times New Roman" w:eastAsia="Times New Roman" w:cs="Times New Roman"/>
          <w:spacing w:val="-4"/>
          <w:sz w:val="24"/>
          <w:szCs w:val="24"/>
        </w:rPr>
        <w:t>0.596km</w:t>
      </w:r>
      <w:r>
        <w:rPr>
          <w:rFonts w:ascii="仿宋" w:hAnsi="仿宋" w:eastAsia="仿宋" w:cs="仿宋"/>
          <w:spacing w:val="-4"/>
          <w:sz w:val="24"/>
          <w:szCs w:val="24"/>
        </w:rPr>
        <w:t>，路段四路线长</w:t>
      </w:r>
      <w:r>
        <w:rPr>
          <w:rFonts w:ascii="仿宋" w:hAnsi="仿宋" w:eastAsia="仿宋" w:cs="仿宋"/>
          <w:spacing w:val="-51"/>
          <w:sz w:val="24"/>
          <w:szCs w:val="24"/>
        </w:rPr>
        <w:t xml:space="preserve"> </w:t>
      </w:r>
      <w:r>
        <w:rPr>
          <w:rFonts w:ascii="Times New Roman" w:hAnsi="Times New Roman" w:eastAsia="Times New Roman" w:cs="Times New Roman"/>
          <w:spacing w:val="-4"/>
          <w:sz w:val="24"/>
          <w:szCs w:val="24"/>
        </w:rPr>
        <w:t>0.399km</w:t>
      </w:r>
      <w:r>
        <w:rPr>
          <w:rFonts w:ascii="Times New Roman" w:hAnsi="Times New Roman" w:eastAsia="Times New Roman" w:cs="Times New Roman"/>
          <w:spacing w:val="-27"/>
          <w:sz w:val="24"/>
          <w:szCs w:val="24"/>
        </w:rPr>
        <w:t xml:space="preserve"> </w:t>
      </w:r>
      <w:r>
        <w:rPr>
          <w:rFonts w:ascii="仿宋" w:hAnsi="仿宋" w:eastAsia="仿宋" w:cs="仿宋"/>
          <w:spacing w:val="-4"/>
          <w:sz w:val="24"/>
          <w:szCs w:val="24"/>
        </w:rPr>
        <w:t>，路段五路线长</w:t>
      </w:r>
      <w:r>
        <w:rPr>
          <w:rFonts w:ascii="Times New Roman" w:hAnsi="Times New Roman" w:eastAsia="Times New Roman" w:cs="Times New Roman"/>
          <w:spacing w:val="-2"/>
          <w:sz w:val="24"/>
          <w:szCs w:val="24"/>
        </w:rPr>
        <w:t>0.419km</w:t>
      </w:r>
      <w:r>
        <w:rPr>
          <w:rFonts w:ascii="Times New Roman" w:hAnsi="Times New Roman" w:eastAsia="Times New Roman" w:cs="Times New Roman"/>
          <w:spacing w:val="-29"/>
          <w:sz w:val="24"/>
          <w:szCs w:val="24"/>
        </w:rPr>
        <w:t xml:space="preserve"> </w:t>
      </w:r>
      <w:r>
        <w:rPr>
          <w:rFonts w:ascii="仿宋" w:hAnsi="仿宋" w:eastAsia="仿宋" w:cs="仿宋"/>
          <w:spacing w:val="-2"/>
          <w:sz w:val="24"/>
          <w:szCs w:val="24"/>
        </w:rPr>
        <w:t>，路段六路线长</w:t>
      </w:r>
      <w:r>
        <w:rPr>
          <w:rFonts w:ascii="仿宋" w:hAnsi="仿宋" w:eastAsia="仿宋" w:cs="仿宋"/>
          <w:spacing w:val="-51"/>
          <w:sz w:val="24"/>
          <w:szCs w:val="24"/>
        </w:rPr>
        <w:t xml:space="preserve"> </w:t>
      </w:r>
      <w:r>
        <w:rPr>
          <w:rFonts w:ascii="Times New Roman" w:hAnsi="Times New Roman" w:eastAsia="Times New Roman" w:cs="Times New Roman"/>
          <w:spacing w:val="-2"/>
          <w:sz w:val="24"/>
          <w:szCs w:val="24"/>
        </w:rPr>
        <w:t>0.907641k</w:t>
      </w:r>
      <w:r>
        <w:rPr>
          <w:rFonts w:ascii="Times New Roman" w:hAnsi="Times New Roman" w:eastAsia="Times New Roman" w:cs="Times New Roman"/>
          <w:spacing w:val="-3"/>
          <w:sz w:val="24"/>
          <w:szCs w:val="24"/>
        </w:rPr>
        <w:t>m</w:t>
      </w:r>
      <w:r>
        <w:rPr>
          <w:rFonts w:ascii="Times New Roman" w:hAnsi="Times New Roman" w:eastAsia="Times New Roman" w:cs="Times New Roman"/>
          <w:spacing w:val="-26"/>
          <w:sz w:val="24"/>
          <w:szCs w:val="24"/>
        </w:rPr>
        <w:t xml:space="preserve"> </w:t>
      </w:r>
      <w:r>
        <w:rPr>
          <w:rFonts w:ascii="仿宋" w:hAnsi="仿宋" w:eastAsia="仿宋" w:cs="仿宋"/>
          <w:spacing w:val="-3"/>
          <w:sz w:val="24"/>
          <w:szCs w:val="24"/>
        </w:rPr>
        <w:t>，路段七路线长</w:t>
      </w:r>
      <w:r>
        <w:rPr>
          <w:rFonts w:ascii="仿宋" w:hAnsi="仿宋" w:eastAsia="仿宋" w:cs="仿宋"/>
          <w:spacing w:val="-52"/>
          <w:sz w:val="24"/>
          <w:szCs w:val="24"/>
        </w:rPr>
        <w:t xml:space="preserve"> </w:t>
      </w:r>
      <w:r>
        <w:rPr>
          <w:rFonts w:ascii="Times New Roman" w:hAnsi="Times New Roman" w:eastAsia="Times New Roman" w:cs="Times New Roman"/>
          <w:spacing w:val="-3"/>
          <w:sz w:val="24"/>
          <w:szCs w:val="24"/>
        </w:rPr>
        <w:t>0.534km</w:t>
      </w:r>
      <w:r>
        <w:rPr>
          <w:rFonts w:ascii="仿宋" w:hAnsi="仿宋" w:eastAsia="仿宋" w:cs="仿宋"/>
          <w:spacing w:val="-3"/>
          <w:sz w:val="24"/>
          <w:szCs w:val="24"/>
        </w:rPr>
        <w:t>。</w:t>
      </w:r>
    </w:p>
    <w:p w14:paraId="11603BE1">
      <w:pPr>
        <w:spacing w:before="1" w:line="221" w:lineRule="auto"/>
        <w:ind w:left="514"/>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2</w:t>
      </w:r>
      <w:r>
        <w:rPr>
          <w:rFonts w:ascii="仿宋" w:hAnsi="仿宋" w:eastAsia="仿宋" w:cs="仿宋"/>
          <w:spacing w:val="-2"/>
          <w:sz w:val="24"/>
          <w:szCs w:val="24"/>
        </w:rPr>
        <w:t>）双山梁村通社公路工程</w:t>
      </w:r>
    </w:p>
    <w:p w14:paraId="4BB7D873">
      <w:pPr>
        <w:spacing w:before="178" w:line="350" w:lineRule="auto"/>
        <w:ind w:left="18" w:right="187" w:firstLine="490"/>
        <w:rPr>
          <w:rFonts w:ascii="仿宋" w:hAnsi="仿宋" w:eastAsia="仿宋" w:cs="仿宋"/>
          <w:sz w:val="24"/>
          <w:szCs w:val="24"/>
        </w:rPr>
      </w:pPr>
      <w:r>
        <w:rPr>
          <w:rFonts w:ascii="仿宋" w:hAnsi="仿宋" w:eastAsia="仿宋" w:cs="仿宋"/>
          <w:spacing w:val="-1"/>
          <w:sz w:val="24"/>
          <w:szCs w:val="24"/>
        </w:rPr>
        <w:t>路线起点顺接现有水泥路，起点桩号</w:t>
      </w:r>
      <w:r>
        <w:rPr>
          <w:rFonts w:ascii="仿宋" w:hAnsi="仿宋" w:eastAsia="仿宋" w:cs="仿宋"/>
          <w:spacing w:val="-56"/>
          <w:sz w:val="24"/>
          <w:szCs w:val="24"/>
        </w:rPr>
        <w:t xml:space="preserve"> </w:t>
      </w:r>
      <w:r>
        <w:rPr>
          <w:rFonts w:ascii="Times New Roman" w:hAnsi="Times New Roman" w:eastAsia="Times New Roman" w:cs="Times New Roman"/>
          <w:spacing w:val="-1"/>
          <w:sz w:val="24"/>
          <w:szCs w:val="24"/>
        </w:rPr>
        <w:t>K0+000</w:t>
      </w:r>
      <w:r>
        <w:rPr>
          <w:rFonts w:ascii="Times New Roman" w:hAnsi="Times New Roman" w:eastAsia="Times New Roman" w:cs="Times New Roman"/>
          <w:spacing w:val="-27"/>
          <w:sz w:val="24"/>
          <w:szCs w:val="24"/>
        </w:rPr>
        <w:t xml:space="preserve"> </w:t>
      </w:r>
      <w:r>
        <w:rPr>
          <w:rFonts w:ascii="仿宋" w:hAnsi="仿宋" w:eastAsia="仿宋" w:cs="仿宋"/>
          <w:spacing w:val="-1"/>
          <w:sz w:val="24"/>
          <w:szCs w:val="24"/>
        </w:rPr>
        <w:t>，由北向南沿现有土路布</w:t>
      </w:r>
      <w:r>
        <w:rPr>
          <w:rFonts w:ascii="仿宋" w:hAnsi="仿宋" w:eastAsia="仿宋" w:cs="仿宋"/>
          <w:spacing w:val="-2"/>
          <w:sz w:val="24"/>
          <w:szCs w:val="24"/>
        </w:rPr>
        <w:t>线，</w:t>
      </w:r>
      <w:r>
        <w:rPr>
          <w:rFonts w:ascii="仿宋" w:hAnsi="仿宋" w:eastAsia="仿宋" w:cs="仿宋"/>
          <w:spacing w:val="14"/>
          <w:sz w:val="24"/>
          <w:szCs w:val="24"/>
        </w:rPr>
        <w:t>全线路基状况良好</w:t>
      </w:r>
      <w:r>
        <w:rPr>
          <w:rFonts w:ascii="仿宋" w:hAnsi="仿宋" w:eastAsia="仿宋" w:cs="仿宋"/>
          <w:spacing w:val="-57"/>
          <w:sz w:val="24"/>
          <w:szCs w:val="24"/>
        </w:rPr>
        <w:t xml:space="preserve"> </w:t>
      </w:r>
      <w:r>
        <w:rPr>
          <w:rFonts w:ascii="仿宋" w:hAnsi="仿宋" w:eastAsia="仿宋" w:cs="仿宋"/>
          <w:spacing w:val="14"/>
          <w:sz w:val="24"/>
          <w:szCs w:val="24"/>
        </w:rPr>
        <w:t>，无特殊路基</w:t>
      </w:r>
      <w:r>
        <w:rPr>
          <w:rFonts w:ascii="仿宋" w:hAnsi="仿宋" w:eastAsia="仿宋" w:cs="仿宋"/>
          <w:spacing w:val="-65"/>
          <w:sz w:val="24"/>
          <w:szCs w:val="24"/>
        </w:rPr>
        <w:t xml:space="preserve"> </w:t>
      </w:r>
      <w:r>
        <w:rPr>
          <w:rFonts w:ascii="仿宋" w:hAnsi="仿宋" w:eastAsia="仿宋" w:cs="仿宋"/>
          <w:spacing w:val="14"/>
          <w:sz w:val="24"/>
          <w:szCs w:val="24"/>
        </w:rPr>
        <w:t>。终点与现有水泥路丁字交叉</w:t>
      </w:r>
      <w:r>
        <w:rPr>
          <w:rFonts w:ascii="仿宋" w:hAnsi="仿宋" w:eastAsia="仿宋" w:cs="仿宋"/>
          <w:spacing w:val="-68"/>
          <w:sz w:val="24"/>
          <w:szCs w:val="24"/>
        </w:rPr>
        <w:t xml:space="preserve"> </w:t>
      </w:r>
      <w:r>
        <w:rPr>
          <w:rFonts w:ascii="仿宋" w:hAnsi="仿宋" w:eastAsia="仿宋" w:cs="仿宋"/>
          <w:spacing w:val="14"/>
          <w:sz w:val="24"/>
          <w:szCs w:val="24"/>
        </w:rPr>
        <w:t>，终点桩号</w:t>
      </w:r>
      <w:r>
        <w:rPr>
          <w:rFonts w:ascii="Times New Roman" w:hAnsi="Times New Roman" w:eastAsia="Times New Roman" w:cs="Times New Roman"/>
          <w:spacing w:val="-1"/>
          <w:sz w:val="24"/>
          <w:szCs w:val="24"/>
        </w:rPr>
        <w:t>K0+337.869</w:t>
      </w:r>
      <w:r>
        <w:rPr>
          <w:rFonts w:ascii="仿宋" w:hAnsi="仿宋" w:eastAsia="仿宋" w:cs="仿宋"/>
          <w:spacing w:val="-1"/>
          <w:sz w:val="24"/>
          <w:szCs w:val="24"/>
        </w:rPr>
        <w:t>。</w:t>
      </w:r>
    </w:p>
    <w:p w14:paraId="0CF8E3F5">
      <w:pPr>
        <w:spacing w:before="35" w:line="222" w:lineRule="auto"/>
        <w:ind w:left="514"/>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3</w:t>
      </w:r>
      <w:r>
        <w:rPr>
          <w:rFonts w:ascii="仿宋" w:hAnsi="仿宋" w:eastAsia="仿宋" w:cs="仿宋"/>
          <w:spacing w:val="-2"/>
          <w:sz w:val="24"/>
          <w:szCs w:val="24"/>
        </w:rPr>
        <w:t>）四道敖包至淡家梁至杨家塔通村公路</w:t>
      </w:r>
    </w:p>
    <w:p w14:paraId="40DB6B35">
      <w:pPr>
        <w:spacing w:before="179" w:line="351" w:lineRule="auto"/>
        <w:ind w:left="18" w:right="185" w:firstLine="490"/>
        <w:rPr>
          <w:rFonts w:ascii="仿宋" w:hAnsi="仿宋" w:eastAsia="仿宋" w:cs="仿宋"/>
          <w:sz w:val="24"/>
          <w:szCs w:val="24"/>
        </w:rPr>
      </w:pPr>
      <w:r>
        <w:rPr>
          <w:rFonts w:ascii="仿宋" w:hAnsi="仿宋" w:eastAsia="仿宋" w:cs="仿宋"/>
          <w:spacing w:val="-1"/>
          <w:sz w:val="24"/>
          <w:szCs w:val="24"/>
        </w:rPr>
        <w:t>路线起点与现有水泥路丁字交叉，起点桩号</w:t>
      </w:r>
      <w:r>
        <w:rPr>
          <w:rFonts w:ascii="仿宋" w:hAnsi="仿宋" w:eastAsia="仿宋" w:cs="仿宋"/>
          <w:spacing w:val="-53"/>
          <w:sz w:val="24"/>
          <w:szCs w:val="24"/>
        </w:rPr>
        <w:t xml:space="preserve"> </w:t>
      </w:r>
      <w:r>
        <w:rPr>
          <w:rFonts w:ascii="Times New Roman" w:hAnsi="Times New Roman" w:eastAsia="Times New Roman" w:cs="Times New Roman"/>
          <w:spacing w:val="-1"/>
          <w:sz w:val="24"/>
          <w:szCs w:val="24"/>
        </w:rPr>
        <w:t>K0+000</w:t>
      </w:r>
      <w:r>
        <w:rPr>
          <w:rFonts w:ascii="Times New Roman" w:hAnsi="Times New Roman" w:eastAsia="Times New Roman" w:cs="Times New Roman"/>
          <w:spacing w:val="-27"/>
          <w:sz w:val="24"/>
          <w:szCs w:val="24"/>
        </w:rPr>
        <w:t xml:space="preserve"> </w:t>
      </w:r>
      <w:r>
        <w:rPr>
          <w:rFonts w:ascii="仿宋" w:hAnsi="仿宋" w:eastAsia="仿宋" w:cs="仿宋"/>
          <w:spacing w:val="-1"/>
          <w:sz w:val="24"/>
          <w:szCs w:val="24"/>
        </w:rPr>
        <w:t>，由南向北</w:t>
      </w:r>
      <w:r>
        <w:rPr>
          <w:rFonts w:ascii="仿宋" w:hAnsi="仿宋" w:eastAsia="仿宋" w:cs="仿宋"/>
          <w:spacing w:val="-2"/>
          <w:sz w:val="24"/>
          <w:szCs w:val="24"/>
        </w:rPr>
        <w:t>沿现有土路</w:t>
      </w:r>
      <w:r>
        <w:rPr>
          <w:rFonts w:ascii="仿宋" w:hAnsi="仿宋" w:eastAsia="仿宋" w:cs="仿宋"/>
          <w:spacing w:val="-3"/>
          <w:sz w:val="24"/>
          <w:szCs w:val="24"/>
        </w:rPr>
        <w:t>布线，全线路基状况良好，无特殊路基。终点与现有水泥路丁字交叉，终点桩号</w:t>
      </w:r>
      <w:r>
        <w:rPr>
          <w:rFonts w:ascii="Times New Roman" w:hAnsi="Times New Roman" w:eastAsia="Times New Roman" w:cs="Times New Roman"/>
          <w:spacing w:val="-1"/>
          <w:sz w:val="24"/>
          <w:szCs w:val="24"/>
        </w:rPr>
        <w:t>K4+249.702</w:t>
      </w:r>
      <w:r>
        <w:rPr>
          <w:rFonts w:ascii="仿宋" w:hAnsi="仿宋" w:eastAsia="仿宋" w:cs="仿宋"/>
          <w:spacing w:val="-1"/>
          <w:sz w:val="24"/>
          <w:szCs w:val="24"/>
        </w:rPr>
        <w:t>。</w:t>
      </w:r>
    </w:p>
    <w:p w14:paraId="7DAF3C59">
      <w:pPr>
        <w:spacing w:before="31" w:line="222" w:lineRule="auto"/>
        <w:ind w:left="514"/>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4</w:t>
      </w:r>
      <w:r>
        <w:rPr>
          <w:rFonts w:ascii="仿宋" w:hAnsi="仿宋" w:eastAsia="仿宋" w:cs="仿宋"/>
          <w:spacing w:val="-2"/>
          <w:sz w:val="24"/>
          <w:szCs w:val="24"/>
        </w:rPr>
        <w:t>）乌拉素村二道壕大坝东至秦家塔社</w:t>
      </w:r>
    </w:p>
    <w:p w14:paraId="44D57647">
      <w:pPr>
        <w:spacing w:before="179" w:line="359" w:lineRule="auto"/>
        <w:ind w:left="29" w:right="185" w:firstLine="479"/>
        <w:rPr>
          <w:rFonts w:ascii="仿宋" w:hAnsi="仿宋" w:eastAsia="仿宋" w:cs="仿宋"/>
          <w:sz w:val="24"/>
          <w:szCs w:val="24"/>
        </w:rPr>
      </w:pPr>
      <w:r>
        <w:rPr>
          <w:rFonts w:ascii="仿宋" w:hAnsi="仿宋" w:eastAsia="仿宋" w:cs="仿宋"/>
          <w:spacing w:val="-1"/>
          <w:sz w:val="24"/>
          <w:szCs w:val="24"/>
        </w:rPr>
        <w:t>路线起点与现有土路丁字交叉，起点桩号</w:t>
      </w:r>
      <w:r>
        <w:rPr>
          <w:rFonts w:ascii="仿宋" w:hAnsi="仿宋" w:eastAsia="仿宋" w:cs="仿宋"/>
          <w:spacing w:val="-56"/>
          <w:sz w:val="24"/>
          <w:szCs w:val="24"/>
        </w:rPr>
        <w:t xml:space="preserve"> </w:t>
      </w:r>
      <w:r>
        <w:rPr>
          <w:rFonts w:ascii="Times New Roman" w:hAnsi="Times New Roman" w:eastAsia="Times New Roman" w:cs="Times New Roman"/>
          <w:spacing w:val="-1"/>
          <w:sz w:val="24"/>
          <w:szCs w:val="24"/>
        </w:rPr>
        <w:t>K0+000</w:t>
      </w:r>
      <w:r>
        <w:rPr>
          <w:rFonts w:ascii="Times New Roman" w:hAnsi="Times New Roman" w:eastAsia="Times New Roman" w:cs="Times New Roman"/>
          <w:spacing w:val="-24"/>
          <w:sz w:val="24"/>
          <w:szCs w:val="24"/>
        </w:rPr>
        <w:t xml:space="preserve"> </w:t>
      </w:r>
      <w:r>
        <w:rPr>
          <w:rFonts w:ascii="仿宋" w:hAnsi="仿宋" w:eastAsia="仿宋" w:cs="仿宋"/>
          <w:spacing w:val="-1"/>
          <w:sz w:val="24"/>
          <w:szCs w:val="24"/>
        </w:rPr>
        <w:t>，由西向东沿</w:t>
      </w:r>
      <w:r>
        <w:rPr>
          <w:rFonts w:ascii="仿宋" w:hAnsi="仿宋" w:eastAsia="仿宋" w:cs="仿宋"/>
          <w:spacing w:val="-2"/>
          <w:sz w:val="24"/>
          <w:szCs w:val="24"/>
        </w:rPr>
        <w:t>现有土路布</w:t>
      </w:r>
      <w:r>
        <w:rPr>
          <w:rFonts w:ascii="仿宋" w:hAnsi="仿宋" w:eastAsia="仿宋" w:cs="仿宋"/>
          <w:spacing w:val="-3"/>
          <w:sz w:val="24"/>
          <w:szCs w:val="24"/>
        </w:rPr>
        <w:t>线，全线路基状况良好，无特殊路基，沿线存在基本农田，已进行避</w:t>
      </w:r>
      <w:r>
        <w:rPr>
          <w:rFonts w:ascii="仿宋" w:hAnsi="仿宋" w:eastAsia="仿宋" w:cs="仿宋"/>
          <w:spacing w:val="-4"/>
          <w:sz w:val="24"/>
          <w:szCs w:val="24"/>
        </w:rPr>
        <w:t>让。终点与</w:t>
      </w:r>
      <w:r>
        <w:rPr>
          <w:rFonts w:ascii="仿宋" w:hAnsi="仿宋" w:eastAsia="仿宋" w:cs="仿宋"/>
          <w:spacing w:val="-1"/>
          <w:sz w:val="24"/>
          <w:szCs w:val="24"/>
        </w:rPr>
        <w:t>现有水泥路丁字交叉，终点桩号</w:t>
      </w:r>
      <w:r>
        <w:rPr>
          <w:rFonts w:ascii="仿宋" w:hAnsi="仿宋" w:eastAsia="仿宋" w:cs="仿宋"/>
          <w:spacing w:val="-56"/>
          <w:sz w:val="24"/>
          <w:szCs w:val="24"/>
        </w:rPr>
        <w:t xml:space="preserve"> </w:t>
      </w:r>
      <w:r>
        <w:rPr>
          <w:rFonts w:ascii="Times New Roman" w:hAnsi="Times New Roman" w:eastAsia="Times New Roman" w:cs="Times New Roman"/>
          <w:spacing w:val="-1"/>
          <w:sz w:val="24"/>
          <w:szCs w:val="24"/>
        </w:rPr>
        <w:t>K2+729</w:t>
      </w:r>
      <w:r>
        <w:rPr>
          <w:rFonts w:ascii="仿宋" w:hAnsi="仿宋" w:eastAsia="仿宋" w:cs="仿宋"/>
          <w:spacing w:val="-1"/>
          <w:sz w:val="24"/>
          <w:szCs w:val="24"/>
        </w:rPr>
        <w:t>。</w:t>
      </w:r>
    </w:p>
    <w:p w14:paraId="036424BE">
      <w:pPr>
        <w:spacing w:line="222" w:lineRule="auto"/>
        <w:ind w:left="514"/>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5</w:t>
      </w:r>
      <w:r>
        <w:rPr>
          <w:rFonts w:ascii="仿宋" w:hAnsi="仿宋" w:eastAsia="仿宋" w:cs="仿宋"/>
          <w:spacing w:val="-2"/>
          <w:sz w:val="24"/>
          <w:szCs w:val="24"/>
        </w:rPr>
        <w:t>）大棚区至杏仁露基地</w:t>
      </w:r>
    </w:p>
    <w:p w14:paraId="4A8F5C1E">
      <w:pPr>
        <w:spacing w:line="222" w:lineRule="auto"/>
        <w:rPr>
          <w:rFonts w:ascii="仿宋" w:hAnsi="仿宋" w:eastAsia="仿宋" w:cs="仿宋"/>
          <w:sz w:val="24"/>
          <w:szCs w:val="24"/>
        </w:rPr>
        <w:sectPr>
          <w:footerReference r:id="rId205" w:type="default"/>
          <w:pgSz w:w="11906" w:h="16839"/>
          <w:pgMar w:top="400" w:right="1614" w:bottom="1511" w:left="1785" w:header="0" w:footer="1349" w:gutter="0"/>
          <w:cols w:space="720" w:num="1"/>
        </w:sectPr>
      </w:pPr>
    </w:p>
    <w:p w14:paraId="35F2AF18">
      <w:pPr>
        <w:pStyle w:val="2"/>
        <w:spacing w:line="247" w:lineRule="auto"/>
        <w:rPr>
          <w:sz w:val="21"/>
        </w:rPr>
      </w:pPr>
    </w:p>
    <w:p w14:paraId="54A1207E">
      <w:pPr>
        <w:pStyle w:val="2"/>
        <w:spacing w:line="247" w:lineRule="auto"/>
        <w:rPr>
          <w:sz w:val="21"/>
        </w:rPr>
      </w:pPr>
    </w:p>
    <w:p w14:paraId="626235D2">
      <w:pPr>
        <w:pStyle w:val="2"/>
        <w:spacing w:line="248" w:lineRule="auto"/>
        <w:rPr>
          <w:sz w:val="21"/>
        </w:rPr>
      </w:pPr>
    </w:p>
    <w:p w14:paraId="32CB76BA">
      <w:pPr>
        <w:pStyle w:val="2"/>
        <w:spacing w:line="248" w:lineRule="auto"/>
        <w:rPr>
          <w:sz w:val="21"/>
        </w:rPr>
      </w:pPr>
    </w:p>
    <w:p w14:paraId="3D8C1531">
      <w:pPr>
        <w:spacing w:before="78" w:line="359" w:lineRule="auto"/>
        <w:ind w:left="35" w:right="79" w:firstLine="472"/>
        <w:rPr>
          <w:rFonts w:ascii="仿宋" w:hAnsi="仿宋" w:eastAsia="仿宋" w:cs="仿宋"/>
          <w:sz w:val="24"/>
          <w:szCs w:val="24"/>
        </w:rPr>
      </w:pPr>
      <w:r>
        <w:rPr>
          <w:rFonts w:ascii="仿宋" w:hAnsi="仿宋" w:eastAsia="仿宋" w:cs="仿宋"/>
          <w:spacing w:val="-3"/>
          <w:sz w:val="24"/>
          <w:szCs w:val="24"/>
        </w:rPr>
        <w:t xml:space="preserve">路线起点顺接现有水泥路，起点桩号 </w:t>
      </w:r>
      <w:r>
        <w:rPr>
          <w:rFonts w:ascii="Times New Roman" w:hAnsi="Times New Roman" w:eastAsia="Times New Roman" w:cs="Times New Roman"/>
          <w:spacing w:val="-3"/>
          <w:sz w:val="24"/>
          <w:szCs w:val="24"/>
        </w:rPr>
        <w:t>K0+000</w:t>
      </w:r>
      <w:r>
        <w:rPr>
          <w:rFonts w:ascii="Times New Roman" w:hAnsi="Times New Roman" w:eastAsia="Times New Roman" w:cs="Times New Roman"/>
          <w:spacing w:val="-24"/>
          <w:sz w:val="24"/>
          <w:szCs w:val="24"/>
        </w:rPr>
        <w:t xml:space="preserve"> </w:t>
      </w:r>
      <w:r>
        <w:rPr>
          <w:rFonts w:ascii="仿宋" w:hAnsi="仿宋" w:eastAsia="仿宋" w:cs="仿宋"/>
          <w:spacing w:val="-3"/>
          <w:sz w:val="24"/>
          <w:szCs w:val="24"/>
        </w:rPr>
        <w:t>，由南向北沿现有土路布线，</w:t>
      </w:r>
      <w:r>
        <w:rPr>
          <w:rFonts w:ascii="仿宋" w:hAnsi="仿宋" w:eastAsia="仿宋" w:cs="仿宋"/>
          <w:spacing w:val="-1"/>
          <w:sz w:val="24"/>
          <w:szCs w:val="24"/>
        </w:rPr>
        <w:t xml:space="preserve">全线路基状况良好，无特殊路基。终点顺接现有土路，终点桩号 </w:t>
      </w:r>
      <w:r>
        <w:rPr>
          <w:rFonts w:ascii="Times New Roman" w:hAnsi="Times New Roman" w:eastAsia="Times New Roman" w:cs="Times New Roman"/>
          <w:spacing w:val="-1"/>
          <w:sz w:val="24"/>
          <w:szCs w:val="24"/>
        </w:rPr>
        <w:t>K1+603</w:t>
      </w:r>
      <w:r>
        <w:rPr>
          <w:rFonts w:ascii="仿宋" w:hAnsi="仿宋" w:eastAsia="仿宋" w:cs="仿宋"/>
          <w:spacing w:val="-1"/>
          <w:sz w:val="24"/>
          <w:szCs w:val="24"/>
        </w:rPr>
        <w:t>。</w:t>
      </w:r>
    </w:p>
    <w:p w14:paraId="0A649B3E">
      <w:pPr>
        <w:spacing w:line="222" w:lineRule="auto"/>
        <w:ind w:left="514"/>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6</w:t>
      </w:r>
      <w:r>
        <w:rPr>
          <w:rFonts w:ascii="仿宋" w:hAnsi="仿宋" w:eastAsia="仿宋" w:cs="仿宋"/>
          <w:spacing w:val="-2"/>
          <w:sz w:val="24"/>
          <w:szCs w:val="24"/>
        </w:rPr>
        <w:t>）三道拐社坡底至北防洪堤</w:t>
      </w:r>
    </w:p>
    <w:p w14:paraId="74050A23">
      <w:pPr>
        <w:spacing w:before="177" w:line="351" w:lineRule="auto"/>
        <w:ind w:left="18" w:right="67" w:firstLine="490"/>
        <w:rPr>
          <w:rFonts w:ascii="仿宋" w:hAnsi="仿宋" w:eastAsia="仿宋" w:cs="仿宋"/>
          <w:sz w:val="24"/>
          <w:szCs w:val="24"/>
        </w:rPr>
      </w:pPr>
      <w:r>
        <w:rPr>
          <w:rFonts w:ascii="仿宋" w:hAnsi="仿宋" w:eastAsia="仿宋" w:cs="仿宋"/>
          <w:spacing w:val="-1"/>
          <w:sz w:val="24"/>
          <w:szCs w:val="24"/>
        </w:rPr>
        <w:t>路线起点顺接现有水泥路，起点桩号</w:t>
      </w:r>
      <w:r>
        <w:rPr>
          <w:rFonts w:ascii="仿宋" w:hAnsi="仿宋" w:eastAsia="仿宋" w:cs="仿宋"/>
          <w:spacing w:val="-56"/>
          <w:sz w:val="24"/>
          <w:szCs w:val="24"/>
        </w:rPr>
        <w:t xml:space="preserve"> </w:t>
      </w:r>
      <w:r>
        <w:rPr>
          <w:rFonts w:ascii="Times New Roman" w:hAnsi="Times New Roman" w:eastAsia="Times New Roman" w:cs="Times New Roman"/>
          <w:spacing w:val="-1"/>
          <w:sz w:val="24"/>
          <w:szCs w:val="24"/>
        </w:rPr>
        <w:t>K0+000</w:t>
      </w:r>
      <w:r>
        <w:rPr>
          <w:rFonts w:ascii="Times New Roman" w:hAnsi="Times New Roman" w:eastAsia="Times New Roman" w:cs="Times New Roman"/>
          <w:spacing w:val="-27"/>
          <w:sz w:val="24"/>
          <w:szCs w:val="24"/>
        </w:rPr>
        <w:t xml:space="preserve"> </w:t>
      </w:r>
      <w:r>
        <w:rPr>
          <w:rFonts w:ascii="仿宋" w:hAnsi="仿宋" w:eastAsia="仿宋" w:cs="仿宋"/>
          <w:spacing w:val="-1"/>
          <w:sz w:val="24"/>
          <w:szCs w:val="24"/>
        </w:rPr>
        <w:t>，由南向北沿现有土路布</w:t>
      </w:r>
      <w:r>
        <w:rPr>
          <w:rFonts w:ascii="仿宋" w:hAnsi="仿宋" w:eastAsia="仿宋" w:cs="仿宋"/>
          <w:spacing w:val="-2"/>
          <w:sz w:val="24"/>
          <w:szCs w:val="24"/>
        </w:rPr>
        <w:t>线，</w:t>
      </w:r>
      <w:r>
        <w:rPr>
          <w:rFonts w:ascii="仿宋" w:hAnsi="仿宋" w:eastAsia="仿宋" w:cs="仿宋"/>
          <w:spacing w:val="14"/>
          <w:sz w:val="24"/>
          <w:szCs w:val="24"/>
        </w:rPr>
        <w:t>全线路基状况良好</w:t>
      </w:r>
      <w:r>
        <w:rPr>
          <w:rFonts w:ascii="仿宋" w:hAnsi="仿宋" w:eastAsia="仿宋" w:cs="仿宋"/>
          <w:spacing w:val="-57"/>
          <w:sz w:val="24"/>
          <w:szCs w:val="24"/>
        </w:rPr>
        <w:t xml:space="preserve"> </w:t>
      </w:r>
      <w:r>
        <w:rPr>
          <w:rFonts w:ascii="仿宋" w:hAnsi="仿宋" w:eastAsia="仿宋" w:cs="仿宋"/>
          <w:spacing w:val="14"/>
          <w:sz w:val="24"/>
          <w:szCs w:val="24"/>
        </w:rPr>
        <w:t>，无特殊路基</w:t>
      </w:r>
      <w:r>
        <w:rPr>
          <w:rFonts w:ascii="仿宋" w:hAnsi="仿宋" w:eastAsia="仿宋" w:cs="仿宋"/>
          <w:spacing w:val="-65"/>
          <w:sz w:val="24"/>
          <w:szCs w:val="24"/>
        </w:rPr>
        <w:t xml:space="preserve"> </w:t>
      </w:r>
      <w:r>
        <w:rPr>
          <w:rFonts w:ascii="仿宋" w:hAnsi="仿宋" w:eastAsia="仿宋" w:cs="仿宋"/>
          <w:spacing w:val="14"/>
          <w:sz w:val="24"/>
          <w:szCs w:val="24"/>
        </w:rPr>
        <w:t>。终点与现有沥青路丁字交叉</w:t>
      </w:r>
      <w:r>
        <w:rPr>
          <w:rFonts w:ascii="仿宋" w:hAnsi="仿宋" w:eastAsia="仿宋" w:cs="仿宋"/>
          <w:spacing w:val="-68"/>
          <w:sz w:val="24"/>
          <w:szCs w:val="24"/>
        </w:rPr>
        <w:t xml:space="preserve"> </w:t>
      </w:r>
      <w:r>
        <w:rPr>
          <w:rFonts w:ascii="仿宋" w:hAnsi="仿宋" w:eastAsia="仿宋" w:cs="仿宋"/>
          <w:spacing w:val="14"/>
          <w:sz w:val="24"/>
          <w:szCs w:val="24"/>
        </w:rPr>
        <w:t>，终点桩号</w:t>
      </w:r>
      <w:r>
        <w:rPr>
          <w:rFonts w:ascii="Times New Roman" w:hAnsi="Times New Roman" w:eastAsia="Times New Roman" w:cs="Times New Roman"/>
          <w:spacing w:val="-1"/>
          <w:sz w:val="24"/>
          <w:szCs w:val="24"/>
        </w:rPr>
        <w:t>K1+456.665</w:t>
      </w:r>
      <w:r>
        <w:rPr>
          <w:rFonts w:ascii="仿宋" w:hAnsi="仿宋" w:eastAsia="仿宋" w:cs="仿宋"/>
          <w:spacing w:val="-1"/>
          <w:sz w:val="24"/>
          <w:szCs w:val="24"/>
        </w:rPr>
        <w:t>。</w:t>
      </w:r>
    </w:p>
    <w:p w14:paraId="72BEA9A4">
      <w:pPr>
        <w:spacing w:before="31" w:line="223" w:lineRule="auto"/>
        <w:ind w:left="514"/>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7</w:t>
      </w:r>
      <w:r>
        <w:rPr>
          <w:rFonts w:ascii="仿宋" w:hAnsi="仿宋" w:eastAsia="仿宋" w:cs="仿宋"/>
          <w:spacing w:val="-2"/>
          <w:sz w:val="24"/>
          <w:szCs w:val="24"/>
        </w:rPr>
        <w:t>）二道拐坡底至张家圪旦社</w:t>
      </w:r>
    </w:p>
    <w:p w14:paraId="72E91E8C">
      <w:pPr>
        <w:spacing w:before="177" w:line="359" w:lineRule="auto"/>
        <w:ind w:left="30" w:right="65" w:firstLine="477"/>
        <w:rPr>
          <w:rFonts w:ascii="仿宋" w:hAnsi="仿宋" w:eastAsia="仿宋" w:cs="仿宋"/>
          <w:sz w:val="24"/>
          <w:szCs w:val="24"/>
        </w:rPr>
      </w:pPr>
      <w:r>
        <w:rPr>
          <w:rFonts w:ascii="仿宋" w:hAnsi="仿宋" w:eastAsia="仿宋" w:cs="仿宋"/>
          <w:spacing w:val="-1"/>
          <w:sz w:val="24"/>
          <w:szCs w:val="24"/>
        </w:rPr>
        <w:t>路线起点与现有水泥路丁字交叉，起点桩号</w:t>
      </w:r>
      <w:r>
        <w:rPr>
          <w:rFonts w:ascii="仿宋" w:hAnsi="仿宋" w:eastAsia="仿宋" w:cs="仿宋"/>
          <w:spacing w:val="-53"/>
          <w:sz w:val="24"/>
          <w:szCs w:val="24"/>
        </w:rPr>
        <w:t xml:space="preserve"> </w:t>
      </w:r>
      <w:r>
        <w:rPr>
          <w:rFonts w:ascii="Times New Roman" w:hAnsi="Times New Roman" w:eastAsia="Times New Roman" w:cs="Times New Roman"/>
          <w:spacing w:val="-1"/>
          <w:sz w:val="24"/>
          <w:szCs w:val="24"/>
        </w:rPr>
        <w:t>K0+000</w:t>
      </w:r>
      <w:r>
        <w:rPr>
          <w:rFonts w:ascii="Times New Roman" w:hAnsi="Times New Roman" w:eastAsia="Times New Roman" w:cs="Times New Roman"/>
          <w:spacing w:val="-27"/>
          <w:sz w:val="24"/>
          <w:szCs w:val="24"/>
        </w:rPr>
        <w:t xml:space="preserve"> </w:t>
      </w:r>
      <w:r>
        <w:rPr>
          <w:rFonts w:ascii="仿宋" w:hAnsi="仿宋" w:eastAsia="仿宋" w:cs="仿宋"/>
          <w:spacing w:val="-1"/>
          <w:sz w:val="24"/>
          <w:szCs w:val="24"/>
        </w:rPr>
        <w:t>，由西向东</w:t>
      </w:r>
      <w:r>
        <w:rPr>
          <w:rFonts w:ascii="仿宋" w:hAnsi="仿宋" w:eastAsia="仿宋" w:cs="仿宋"/>
          <w:spacing w:val="-2"/>
          <w:sz w:val="24"/>
          <w:szCs w:val="24"/>
        </w:rPr>
        <w:t>沿现有土路</w:t>
      </w:r>
      <w:r>
        <w:rPr>
          <w:rFonts w:ascii="仿宋" w:hAnsi="仿宋" w:eastAsia="仿宋" w:cs="仿宋"/>
          <w:spacing w:val="-3"/>
          <w:sz w:val="24"/>
          <w:szCs w:val="24"/>
        </w:rPr>
        <w:t>布线，全线路基状况良好，无特殊路基，沿线存在基本农田，已</w:t>
      </w:r>
      <w:r>
        <w:rPr>
          <w:rFonts w:ascii="仿宋" w:hAnsi="仿宋" w:eastAsia="仿宋" w:cs="仿宋"/>
          <w:spacing w:val="-4"/>
          <w:sz w:val="24"/>
          <w:szCs w:val="24"/>
        </w:rPr>
        <w:t>进行避让。终点</w:t>
      </w:r>
      <w:r>
        <w:rPr>
          <w:rFonts w:ascii="仿宋" w:hAnsi="仿宋" w:eastAsia="仿宋" w:cs="仿宋"/>
          <w:spacing w:val="-1"/>
          <w:sz w:val="24"/>
          <w:szCs w:val="24"/>
        </w:rPr>
        <w:t xml:space="preserve">顺接现有土路，终点桩号 </w:t>
      </w:r>
      <w:r>
        <w:rPr>
          <w:rFonts w:ascii="Times New Roman" w:hAnsi="Times New Roman" w:eastAsia="Times New Roman" w:cs="Times New Roman"/>
          <w:spacing w:val="-1"/>
          <w:sz w:val="24"/>
          <w:szCs w:val="24"/>
        </w:rPr>
        <w:t>K1+593.103</w:t>
      </w:r>
      <w:r>
        <w:rPr>
          <w:rFonts w:ascii="仿宋" w:hAnsi="仿宋" w:eastAsia="仿宋" w:cs="仿宋"/>
          <w:spacing w:val="-1"/>
          <w:sz w:val="24"/>
          <w:szCs w:val="24"/>
        </w:rPr>
        <w:t>。</w:t>
      </w:r>
    </w:p>
    <w:p w14:paraId="0B90DD3B">
      <w:pPr>
        <w:spacing w:before="1" w:line="221" w:lineRule="auto"/>
        <w:ind w:left="514"/>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8</w:t>
      </w:r>
      <w:r>
        <w:rPr>
          <w:rFonts w:ascii="仿宋" w:hAnsi="仿宋" w:eastAsia="仿宋" w:cs="仿宋"/>
          <w:spacing w:val="-2"/>
          <w:sz w:val="24"/>
          <w:szCs w:val="24"/>
        </w:rPr>
        <w:t>）脑包湾村自然村通硬化路</w:t>
      </w:r>
    </w:p>
    <w:p w14:paraId="6275A3AD">
      <w:pPr>
        <w:spacing w:before="180" w:line="359" w:lineRule="auto"/>
        <w:ind w:left="18" w:right="19" w:firstLine="490"/>
        <w:rPr>
          <w:rFonts w:ascii="仿宋" w:hAnsi="仿宋" w:eastAsia="仿宋" w:cs="仿宋"/>
          <w:sz w:val="24"/>
          <w:szCs w:val="24"/>
        </w:rPr>
      </w:pPr>
      <w:r>
        <w:rPr>
          <w:rFonts w:ascii="仿宋" w:hAnsi="仿宋" w:eastAsia="仿宋" w:cs="仿宋"/>
          <w:spacing w:val="-3"/>
          <w:sz w:val="24"/>
          <w:szCs w:val="24"/>
        </w:rPr>
        <w:t>路段一起点与现有水泥路丁字交叉， 起点桩号</w:t>
      </w:r>
      <w:r>
        <w:rPr>
          <w:rFonts w:ascii="仿宋" w:hAnsi="仿宋" w:eastAsia="仿宋" w:cs="仿宋"/>
          <w:spacing w:val="-56"/>
          <w:sz w:val="24"/>
          <w:szCs w:val="24"/>
        </w:rPr>
        <w:t xml:space="preserve"> </w:t>
      </w:r>
      <w:r>
        <w:rPr>
          <w:rFonts w:ascii="Times New Roman" w:hAnsi="Times New Roman" w:eastAsia="Times New Roman" w:cs="Times New Roman"/>
          <w:spacing w:val="-3"/>
          <w:sz w:val="24"/>
          <w:szCs w:val="24"/>
        </w:rPr>
        <w:t>K0+000</w:t>
      </w:r>
      <w:r>
        <w:rPr>
          <w:rFonts w:ascii="Times New Roman" w:hAnsi="Times New Roman" w:eastAsia="Times New Roman" w:cs="Times New Roman"/>
          <w:spacing w:val="-28"/>
          <w:sz w:val="24"/>
          <w:szCs w:val="24"/>
        </w:rPr>
        <w:t xml:space="preserve"> </w:t>
      </w:r>
      <w:r>
        <w:rPr>
          <w:rFonts w:ascii="仿宋" w:hAnsi="仿宋" w:eastAsia="仿宋" w:cs="仿宋"/>
          <w:spacing w:val="-3"/>
          <w:sz w:val="24"/>
          <w:szCs w:val="24"/>
        </w:rPr>
        <w:t>，沿现有土路布线，</w:t>
      </w:r>
      <w:r>
        <w:rPr>
          <w:rFonts w:ascii="仿宋" w:hAnsi="仿宋" w:eastAsia="仿宋" w:cs="仿宋"/>
          <w:sz w:val="24"/>
          <w:szCs w:val="24"/>
        </w:rPr>
        <w:t xml:space="preserve"> </w:t>
      </w:r>
      <w:r>
        <w:rPr>
          <w:rFonts w:ascii="Times New Roman" w:hAnsi="Times New Roman" w:eastAsia="Times New Roman" w:cs="Times New Roman"/>
          <w:spacing w:val="1"/>
          <w:sz w:val="24"/>
          <w:szCs w:val="24"/>
        </w:rPr>
        <w:t>K1+966-K1+977</w:t>
      </w:r>
      <w:r>
        <w:rPr>
          <w:rFonts w:ascii="Times New Roman" w:hAnsi="Times New Roman" w:eastAsia="Times New Roman" w:cs="Times New Roman"/>
          <w:spacing w:val="23"/>
          <w:sz w:val="24"/>
          <w:szCs w:val="24"/>
        </w:rPr>
        <w:t xml:space="preserve"> </w:t>
      </w:r>
      <w:r>
        <w:rPr>
          <w:rFonts w:ascii="仿宋" w:hAnsi="仿宋" w:eastAsia="仿宋" w:cs="仿宋"/>
          <w:spacing w:val="1"/>
          <w:sz w:val="24"/>
          <w:szCs w:val="24"/>
        </w:rPr>
        <w:t>段因降雨造成水毁，对路床</w:t>
      </w:r>
      <w:r>
        <w:rPr>
          <w:rFonts w:ascii="仿宋" w:hAnsi="仿宋" w:eastAsia="仿宋" w:cs="仿宋"/>
          <w:spacing w:val="-41"/>
          <w:sz w:val="24"/>
          <w:szCs w:val="24"/>
        </w:rPr>
        <w:t xml:space="preserve"> </w:t>
      </w:r>
      <w:r>
        <w:rPr>
          <w:rFonts w:ascii="Times New Roman" w:hAnsi="Times New Roman" w:eastAsia="Times New Roman" w:cs="Times New Roman"/>
          <w:spacing w:val="1"/>
          <w:sz w:val="24"/>
          <w:szCs w:val="24"/>
        </w:rPr>
        <w:t>80</w:t>
      </w:r>
      <w:r>
        <w:rPr>
          <w:rFonts w:ascii="Times New Roman" w:hAnsi="Times New Roman" w:eastAsia="Times New Roman" w:cs="Times New Roman"/>
          <w:sz w:val="24"/>
          <w:szCs w:val="24"/>
        </w:rPr>
        <w:t>cm</w:t>
      </w:r>
      <w:r>
        <w:rPr>
          <w:rFonts w:ascii="Times New Roman" w:hAnsi="Times New Roman" w:eastAsia="Times New Roman" w:cs="Times New Roman"/>
          <w:spacing w:val="18"/>
          <w:w w:val="101"/>
          <w:sz w:val="24"/>
          <w:szCs w:val="24"/>
        </w:rPr>
        <w:t xml:space="preserve">  </w:t>
      </w:r>
      <w:r>
        <w:rPr>
          <w:rFonts w:ascii="仿宋" w:hAnsi="仿宋" w:eastAsia="仿宋" w:cs="仿宋"/>
          <w:spacing w:val="1"/>
          <w:sz w:val="24"/>
          <w:szCs w:val="24"/>
        </w:rPr>
        <w:t>范围内进</w:t>
      </w:r>
      <w:r>
        <w:rPr>
          <w:rFonts w:ascii="仿宋" w:hAnsi="仿宋" w:eastAsia="仿宋" w:cs="仿宋"/>
          <w:sz w:val="24"/>
          <w:szCs w:val="24"/>
        </w:rPr>
        <w:t>行换填处理，其余</w:t>
      </w:r>
      <w:r>
        <w:rPr>
          <w:rFonts w:ascii="仿宋" w:hAnsi="仿宋" w:eastAsia="仿宋" w:cs="仿宋"/>
          <w:spacing w:val="-3"/>
          <w:sz w:val="24"/>
          <w:szCs w:val="24"/>
        </w:rPr>
        <w:t>段落路基状况良好，沿线存在基本农田，已进行避让。终点顺接路段三，终点桩</w:t>
      </w:r>
      <w:r>
        <w:rPr>
          <w:rFonts w:ascii="仿宋" w:hAnsi="仿宋" w:eastAsia="仿宋" w:cs="仿宋"/>
          <w:spacing w:val="-2"/>
          <w:sz w:val="24"/>
          <w:szCs w:val="24"/>
        </w:rPr>
        <w:t>号</w:t>
      </w:r>
      <w:r>
        <w:rPr>
          <w:rFonts w:ascii="仿宋" w:hAnsi="仿宋" w:eastAsia="仿宋" w:cs="仿宋"/>
          <w:spacing w:val="-51"/>
          <w:sz w:val="24"/>
          <w:szCs w:val="24"/>
        </w:rPr>
        <w:t xml:space="preserve"> </w:t>
      </w:r>
      <w:r>
        <w:rPr>
          <w:rFonts w:ascii="Times New Roman" w:hAnsi="Times New Roman" w:eastAsia="Times New Roman" w:cs="Times New Roman"/>
          <w:spacing w:val="-2"/>
          <w:sz w:val="24"/>
          <w:szCs w:val="24"/>
        </w:rPr>
        <w:t>K2+110</w:t>
      </w:r>
      <w:r>
        <w:rPr>
          <w:rFonts w:ascii="仿宋" w:hAnsi="仿宋" w:eastAsia="仿宋" w:cs="仿宋"/>
          <w:spacing w:val="-2"/>
          <w:sz w:val="24"/>
          <w:szCs w:val="24"/>
        </w:rPr>
        <w:t>。</w:t>
      </w:r>
    </w:p>
    <w:p w14:paraId="516AA2A2">
      <w:pPr>
        <w:spacing w:before="2" w:line="359" w:lineRule="auto"/>
        <w:ind w:left="29" w:firstLine="478"/>
        <w:jc w:val="both"/>
        <w:rPr>
          <w:rFonts w:ascii="仿宋" w:hAnsi="仿宋" w:eastAsia="仿宋" w:cs="仿宋"/>
          <w:sz w:val="24"/>
          <w:szCs w:val="24"/>
        </w:rPr>
      </w:pPr>
      <w:r>
        <w:rPr>
          <w:rFonts w:ascii="仿宋" w:hAnsi="仿宋" w:eastAsia="仿宋" w:cs="仿宋"/>
          <w:spacing w:val="-2"/>
          <w:sz w:val="24"/>
          <w:szCs w:val="24"/>
        </w:rPr>
        <w:t>路段二起点接路段一</w:t>
      </w:r>
      <w:r>
        <w:rPr>
          <w:rFonts w:ascii="仿宋" w:hAnsi="仿宋" w:eastAsia="仿宋" w:cs="仿宋"/>
          <w:spacing w:val="-56"/>
          <w:sz w:val="24"/>
          <w:szCs w:val="24"/>
        </w:rPr>
        <w:t xml:space="preserve"> </w:t>
      </w:r>
      <w:r>
        <w:rPr>
          <w:rFonts w:ascii="Times New Roman" w:hAnsi="Times New Roman" w:eastAsia="Times New Roman" w:cs="Times New Roman"/>
          <w:spacing w:val="-2"/>
          <w:sz w:val="24"/>
          <w:szCs w:val="24"/>
        </w:rPr>
        <w:t>K1+067</w:t>
      </w:r>
      <w:r>
        <w:rPr>
          <w:rFonts w:ascii="Times New Roman" w:hAnsi="Times New Roman" w:eastAsia="Times New Roman" w:cs="Times New Roman"/>
          <w:spacing w:val="17"/>
          <w:sz w:val="24"/>
          <w:szCs w:val="24"/>
        </w:rPr>
        <w:t xml:space="preserve"> </w:t>
      </w:r>
      <w:r>
        <w:rPr>
          <w:rFonts w:ascii="仿宋" w:hAnsi="仿宋" w:eastAsia="仿宋" w:cs="仿宋"/>
          <w:spacing w:val="-2"/>
          <w:sz w:val="24"/>
          <w:szCs w:val="24"/>
        </w:rPr>
        <w:t>处，形成丁字交叉，沿现</w:t>
      </w:r>
      <w:r>
        <w:rPr>
          <w:rFonts w:ascii="仿宋" w:hAnsi="仿宋" w:eastAsia="仿宋" w:cs="仿宋"/>
          <w:spacing w:val="-3"/>
          <w:sz w:val="24"/>
          <w:szCs w:val="24"/>
        </w:rPr>
        <w:t>有土路布线，全线路</w:t>
      </w:r>
      <w:r>
        <w:rPr>
          <w:rFonts w:ascii="仿宋" w:hAnsi="仿宋" w:eastAsia="仿宋" w:cs="仿宋"/>
          <w:spacing w:val="-8"/>
          <w:sz w:val="24"/>
          <w:szCs w:val="24"/>
        </w:rPr>
        <w:t>基状况良好，无特殊路基，沿线存在基本农田，已进行避让。终点顺接现有土路，</w:t>
      </w:r>
      <w:r>
        <w:rPr>
          <w:rFonts w:ascii="仿宋" w:hAnsi="仿宋" w:eastAsia="仿宋" w:cs="仿宋"/>
          <w:spacing w:val="-2"/>
          <w:sz w:val="24"/>
          <w:szCs w:val="24"/>
        </w:rPr>
        <w:t xml:space="preserve">终点桩号 </w:t>
      </w:r>
      <w:r>
        <w:rPr>
          <w:rFonts w:ascii="Times New Roman" w:hAnsi="Times New Roman" w:eastAsia="Times New Roman" w:cs="Times New Roman"/>
          <w:spacing w:val="-2"/>
          <w:sz w:val="24"/>
          <w:szCs w:val="24"/>
        </w:rPr>
        <w:t>K1+236</w:t>
      </w:r>
      <w:r>
        <w:rPr>
          <w:rFonts w:ascii="仿宋" w:hAnsi="仿宋" w:eastAsia="仿宋" w:cs="仿宋"/>
          <w:spacing w:val="-2"/>
          <w:sz w:val="24"/>
          <w:szCs w:val="24"/>
        </w:rPr>
        <w:t>。</w:t>
      </w:r>
    </w:p>
    <w:p w14:paraId="4E0885D2">
      <w:pPr>
        <w:spacing w:before="3" w:line="358" w:lineRule="auto"/>
        <w:ind w:left="43" w:firstLine="465"/>
        <w:jc w:val="both"/>
        <w:rPr>
          <w:rFonts w:ascii="仿宋" w:hAnsi="仿宋" w:eastAsia="仿宋" w:cs="仿宋"/>
          <w:sz w:val="24"/>
          <w:szCs w:val="24"/>
        </w:rPr>
      </w:pPr>
      <w:r>
        <w:rPr>
          <w:rFonts w:ascii="仿宋" w:hAnsi="仿宋" w:eastAsia="仿宋" w:cs="仿宋"/>
          <w:spacing w:val="-8"/>
          <w:sz w:val="24"/>
          <w:szCs w:val="24"/>
        </w:rPr>
        <w:t>路段三起点顺接路段一，沿现有土路布线，全线路</w:t>
      </w:r>
      <w:r>
        <w:rPr>
          <w:rFonts w:ascii="仿宋" w:hAnsi="仿宋" w:eastAsia="仿宋" w:cs="仿宋"/>
          <w:spacing w:val="-9"/>
          <w:sz w:val="24"/>
          <w:szCs w:val="24"/>
        </w:rPr>
        <w:t>基状况良好，无特殊路基，</w:t>
      </w:r>
      <w:r>
        <w:rPr>
          <w:rFonts w:ascii="仿宋" w:hAnsi="仿宋" w:eastAsia="仿宋" w:cs="仿宋"/>
          <w:spacing w:val="-4"/>
          <w:sz w:val="24"/>
          <w:szCs w:val="24"/>
        </w:rPr>
        <w:t>因路段三走廊带范围穿越基本农田，本次设计路面结构采用未筛分碎石路面。终</w:t>
      </w:r>
      <w:r>
        <w:rPr>
          <w:rFonts w:ascii="仿宋" w:hAnsi="仿宋" w:eastAsia="仿宋" w:cs="仿宋"/>
          <w:spacing w:val="-2"/>
          <w:sz w:val="24"/>
          <w:szCs w:val="24"/>
        </w:rPr>
        <w:t>点与现有沥青路丁字交叉，终点桩号</w:t>
      </w:r>
      <w:r>
        <w:rPr>
          <w:rFonts w:ascii="仿宋" w:hAnsi="仿宋" w:eastAsia="仿宋" w:cs="仿宋"/>
          <w:spacing w:val="-46"/>
          <w:sz w:val="24"/>
          <w:szCs w:val="24"/>
        </w:rPr>
        <w:t xml:space="preserve"> </w:t>
      </w:r>
      <w:r>
        <w:rPr>
          <w:rFonts w:ascii="Times New Roman" w:hAnsi="Times New Roman" w:eastAsia="Times New Roman" w:cs="Times New Roman"/>
          <w:spacing w:val="-2"/>
          <w:sz w:val="24"/>
          <w:szCs w:val="24"/>
        </w:rPr>
        <w:t>K1+158</w:t>
      </w:r>
      <w:r>
        <w:rPr>
          <w:rFonts w:ascii="仿宋" w:hAnsi="仿宋" w:eastAsia="仿宋" w:cs="仿宋"/>
          <w:spacing w:val="-2"/>
          <w:sz w:val="24"/>
          <w:szCs w:val="24"/>
        </w:rPr>
        <w:t>。</w:t>
      </w:r>
    </w:p>
    <w:p w14:paraId="67F514B5">
      <w:pPr>
        <w:spacing w:before="1" w:line="221" w:lineRule="auto"/>
        <w:ind w:left="514"/>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9</w:t>
      </w:r>
      <w:r>
        <w:rPr>
          <w:rFonts w:ascii="仿宋" w:hAnsi="仿宋" w:eastAsia="仿宋" w:cs="仿宋"/>
          <w:spacing w:val="-2"/>
          <w:sz w:val="24"/>
          <w:szCs w:val="24"/>
        </w:rPr>
        <w:t>）份子地社新村至二道拐村委会</w:t>
      </w:r>
    </w:p>
    <w:p w14:paraId="09263C2A">
      <w:pPr>
        <w:spacing w:before="179" w:line="359" w:lineRule="auto"/>
        <w:ind w:left="30" w:right="65" w:firstLine="477"/>
        <w:rPr>
          <w:rFonts w:ascii="仿宋" w:hAnsi="仿宋" w:eastAsia="仿宋" w:cs="仿宋"/>
          <w:sz w:val="24"/>
          <w:szCs w:val="24"/>
        </w:rPr>
      </w:pPr>
      <w:r>
        <w:rPr>
          <w:rFonts w:ascii="仿宋" w:hAnsi="仿宋" w:eastAsia="仿宋" w:cs="仿宋"/>
          <w:spacing w:val="-1"/>
          <w:sz w:val="24"/>
          <w:szCs w:val="24"/>
        </w:rPr>
        <w:t>路线起点与现有水泥路丁字交叉，起点桩号</w:t>
      </w:r>
      <w:r>
        <w:rPr>
          <w:rFonts w:ascii="仿宋" w:hAnsi="仿宋" w:eastAsia="仿宋" w:cs="仿宋"/>
          <w:spacing w:val="-53"/>
          <w:sz w:val="24"/>
          <w:szCs w:val="24"/>
        </w:rPr>
        <w:t xml:space="preserve"> </w:t>
      </w:r>
      <w:r>
        <w:rPr>
          <w:rFonts w:ascii="Times New Roman" w:hAnsi="Times New Roman" w:eastAsia="Times New Roman" w:cs="Times New Roman"/>
          <w:spacing w:val="-1"/>
          <w:sz w:val="24"/>
          <w:szCs w:val="24"/>
        </w:rPr>
        <w:t>K0+000</w:t>
      </w:r>
      <w:r>
        <w:rPr>
          <w:rFonts w:ascii="Times New Roman" w:hAnsi="Times New Roman" w:eastAsia="Times New Roman" w:cs="Times New Roman"/>
          <w:spacing w:val="-27"/>
          <w:sz w:val="24"/>
          <w:szCs w:val="24"/>
        </w:rPr>
        <w:t xml:space="preserve"> </w:t>
      </w:r>
      <w:r>
        <w:rPr>
          <w:rFonts w:ascii="仿宋" w:hAnsi="仿宋" w:eastAsia="仿宋" w:cs="仿宋"/>
          <w:spacing w:val="-1"/>
          <w:sz w:val="24"/>
          <w:szCs w:val="24"/>
        </w:rPr>
        <w:t>，由西向东</w:t>
      </w:r>
      <w:r>
        <w:rPr>
          <w:rFonts w:ascii="仿宋" w:hAnsi="仿宋" w:eastAsia="仿宋" w:cs="仿宋"/>
          <w:spacing w:val="-2"/>
          <w:sz w:val="24"/>
          <w:szCs w:val="24"/>
        </w:rPr>
        <w:t>沿现有土路</w:t>
      </w:r>
      <w:r>
        <w:rPr>
          <w:rFonts w:ascii="仿宋" w:hAnsi="仿宋" w:eastAsia="仿宋" w:cs="仿宋"/>
          <w:spacing w:val="-3"/>
          <w:sz w:val="24"/>
          <w:szCs w:val="24"/>
        </w:rPr>
        <w:t>布线，全线路基状况良好，无特殊路基，沿线存在基本农田，已</w:t>
      </w:r>
      <w:r>
        <w:rPr>
          <w:rFonts w:ascii="仿宋" w:hAnsi="仿宋" w:eastAsia="仿宋" w:cs="仿宋"/>
          <w:spacing w:val="-4"/>
          <w:sz w:val="24"/>
          <w:szCs w:val="24"/>
        </w:rPr>
        <w:t>进行避让。终点</w:t>
      </w:r>
      <w:r>
        <w:rPr>
          <w:rFonts w:ascii="仿宋" w:hAnsi="仿宋" w:eastAsia="仿宋" w:cs="仿宋"/>
          <w:spacing w:val="-1"/>
          <w:sz w:val="24"/>
          <w:szCs w:val="24"/>
        </w:rPr>
        <w:t xml:space="preserve">顺接现有土路，终点桩号 </w:t>
      </w:r>
      <w:r>
        <w:rPr>
          <w:rFonts w:ascii="Times New Roman" w:hAnsi="Times New Roman" w:eastAsia="Times New Roman" w:cs="Times New Roman"/>
          <w:spacing w:val="-1"/>
          <w:sz w:val="24"/>
          <w:szCs w:val="24"/>
        </w:rPr>
        <w:t>K1+593.103</w:t>
      </w:r>
      <w:r>
        <w:rPr>
          <w:rFonts w:ascii="仿宋" w:hAnsi="仿宋" w:eastAsia="仿宋" w:cs="仿宋"/>
          <w:spacing w:val="-1"/>
          <w:sz w:val="24"/>
          <w:szCs w:val="24"/>
        </w:rPr>
        <w:t>。</w:t>
      </w:r>
    </w:p>
    <w:p w14:paraId="34F83009">
      <w:pPr>
        <w:spacing w:before="1" w:line="221" w:lineRule="auto"/>
        <w:ind w:left="514"/>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10</w:t>
      </w:r>
      <w:r>
        <w:rPr>
          <w:rFonts w:ascii="仿宋" w:hAnsi="仿宋" w:eastAsia="仿宋" w:cs="仿宋"/>
          <w:spacing w:val="-2"/>
          <w:sz w:val="24"/>
          <w:szCs w:val="24"/>
        </w:rPr>
        <w:t>）沿黄巨合滩出口东至天顺圪梁通村路</w:t>
      </w:r>
    </w:p>
    <w:p w14:paraId="66DF34A6">
      <w:pPr>
        <w:spacing w:before="180" w:line="359" w:lineRule="auto"/>
        <w:ind w:left="18" w:right="67" w:firstLine="490"/>
        <w:rPr>
          <w:rFonts w:ascii="仿宋" w:hAnsi="仿宋" w:eastAsia="仿宋" w:cs="仿宋"/>
          <w:sz w:val="24"/>
          <w:szCs w:val="24"/>
        </w:rPr>
      </w:pPr>
      <w:r>
        <w:rPr>
          <w:rFonts w:ascii="仿宋" w:hAnsi="仿宋" w:eastAsia="仿宋" w:cs="仿宋"/>
          <w:spacing w:val="-1"/>
          <w:sz w:val="24"/>
          <w:szCs w:val="24"/>
        </w:rPr>
        <w:t>路线起点顺接现有水泥路，起点桩号</w:t>
      </w:r>
      <w:r>
        <w:rPr>
          <w:rFonts w:ascii="仿宋" w:hAnsi="仿宋" w:eastAsia="仿宋" w:cs="仿宋"/>
          <w:spacing w:val="-56"/>
          <w:sz w:val="24"/>
          <w:szCs w:val="24"/>
        </w:rPr>
        <w:t xml:space="preserve"> </w:t>
      </w:r>
      <w:r>
        <w:rPr>
          <w:rFonts w:ascii="Times New Roman" w:hAnsi="Times New Roman" w:eastAsia="Times New Roman" w:cs="Times New Roman"/>
          <w:spacing w:val="-1"/>
          <w:sz w:val="24"/>
          <w:szCs w:val="24"/>
        </w:rPr>
        <w:t>K0+000</w:t>
      </w:r>
      <w:r>
        <w:rPr>
          <w:rFonts w:ascii="Times New Roman" w:hAnsi="Times New Roman" w:eastAsia="Times New Roman" w:cs="Times New Roman"/>
          <w:spacing w:val="-27"/>
          <w:sz w:val="24"/>
          <w:szCs w:val="24"/>
        </w:rPr>
        <w:t xml:space="preserve"> </w:t>
      </w:r>
      <w:r>
        <w:rPr>
          <w:rFonts w:ascii="仿宋" w:hAnsi="仿宋" w:eastAsia="仿宋" w:cs="仿宋"/>
          <w:spacing w:val="-1"/>
          <w:sz w:val="24"/>
          <w:szCs w:val="24"/>
        </w:rPr>
        <w:t>，由南向北沿现有土路布</w:t>
      </w:r>
      <w:r>
        <w:rPr>
          <w:rFonts w:ascii="仿宋" w:hAnsi="仿宋" w:eastAsia="仿宋" w:cs="仿宋"/>
          <w:spacing w:val="-2"/>
          <w:sz w:val="24"/>
          <w:szCs w:val="24"/>
        </w:rPr>
        <w:t>线，</w:t>
      </w:r>
      <w:r>
        <w:rPr>
          <w:rFonts w:ascii="仿宋" w:hAnsi="仿宋" w:eastAsia="仿宋" w:cs="仿宋"/>
          <w:spacing w:val="14"/>
          <w:sz w:val="24"/>
          <w:szCs w:val="24"/>
        </w:rPr>
        <w:t>全线路基状况良好</w:t>
      </w:r>
      <w:r>
        <w:rPr>
          <w:rFonts w:ascii="仿宋" w:hAnsi="仿宋" w:eastAsia="仿宋" w:cs="仿宋"/>
          <w:spacing w:val="-57"/>
          <w:sz w:val="24"/>
          <w:szCs w:val="24"/>
        </w:rPr>
        <w:t xml:space="preserve"> </w:t>
      </w:r>
      <w:r>
        <w:rPr>
          <w:rFonts w:ascii="仿宋" w:hAnsi="仿宋" w:eastAsia="仿宋" w:cs="仿宋"/>
          <w:spacing w:val="14"/>
          <w:sz w:val="24"/>
          <w:szCs w:val="24"/>
        </w:rPr>
        <w:t>，无特殊路基</w:t>
      </w:r>
      <w:r>
        <w:rPr>
          <w:rFonts w:ascii="仿宋" w:hAnsi="仿宋" w:eastAsia="仿宋" w:cs="仿宋"/>
          <w:spacing w:val="-65"/>
          <w:sz w:val="24"/>
          <w:szCs w:val="24"/>
        </w:rPr>
        <w:t xml:space="preserve"> </w:t>
      </w:r>
      <w:r>
        <w:rPr>
          <w:rFonts w:ascii="仿宋" w:hAnsi="仿宋" w:eastAsia="仿宋" w:cs="仿宋"/>
          <w:spacing w:val="14"/>
          <w:sz w:val="24"/>
          <w:szCs w:val="24"/>
        </w:rPr>
        <w:t>。终点与现有沥青路丁字交叉</w:t>
      </w:r>
      <w:r>
        <w:rPr>
          <w:rFonts w:ascii="仿宋" w:hAnsi="仿宋" w:eastAsia="仿宋" w:cs="仿宋"/>
          <w:spacing w:val="-68"/>
          <w:sz w:val="24"/>
          <w:szCs w:val="24"/>
        </w:rPr>
        <w:t xml:space="preserve"> </w:t>
      </w:r>
      <w:r>
        <w:rPr>
          <w:rFonts w:ascii="仿宋" w:hAnsi="仿宋" w:eastAsia="仿宋" w:cs="仿宋"/>
          <w:spacing w:val="14"/>
          <w:sz w:val="24"/>
          <w:szCs w:val="24"/>
        </w:rPr>
        <w:t>，终点桩号</w:t>
      </w:r>
      <w:r>
        <w:rPr>
          <w:rFonts w:ascii="Times New Roman" w:hAnsi="Times New Roman" w:eastAsia="Times New Roman" w:cs="Times New Roman"/>
          <w:spacing w:val="-2"/>
          <w:sz w:val="24"/>
          <w:szCs w:val="24"/>
        </w:rPr>
        <w:t>K1+456.665</w:t>
      </w:r>
      <w:r>
        <w:rPr>
          <w:rFonts w:ascii="Times New Roman" w:hAnsi="Times New Roman" w:eastAsia="Times New Roman" w:cs="Times New Roman"/>
          <w:spacing w:val="-19"/>
          <w:sz w:val="24"/>
          <w:szCs w:val="24"/>
        </w:rPr>
        <w:t xml:space="preserve"> </w:t>
      </w:r>
      <w:r>
        <w:rPr>
          <w:rFonts w:ascii="仿宋" w:hAnsi="仿宋" w:eastAsia="仿宋" w:cs="仿宋"/>
          <w:spacing w:val="-2"/>
          <w:sz w:val="24"/>
          <w:szCs w:val="24"/>
        </w:rPr>
        <w:t>，评价范围内分布有基本农田。</w:t>
      </w:r>
    </w:p>
    <w:p w14:paraId="54D60C38">
      <w:pPr>
        <w:spacing w:line="359" w:lineRule="auto"/>
        <w:rPr>
          <w:rFonts w:ascii="仿宋" w:hAnsi="仿宋" w:eastAsia="仿宋" w:cs="仿宋"/>
          <w:sz w:val="24"/>
          <w:szCs w:val="24"/>
        </w:rPr>
        <w:sectPr>
          <w:footerReference r:id="rId206" w:type="default"/>
          <w:pgSz w:w="11906" w:h="16839"/>
          <w:pgMar w:top="400" w:right="1734" w:bottom="1511" w:left="1785" w:header="0" w:footer="1349" w:gutter="0"/>
          <w:cols w:space="720" w:num="1"/>
        </w:sectPr>
      </w:pPr>
    </w:p>
    <w:p w14:paraId="03E8694B">
      <w:pPr>
        <w:pStyle w:val="2"/>
        <w:spacing w:line="247" w:lineRule="auto"/>
        <w:rPr>
          <w:sz w:val="21"/>
        </w:rPr>
      </w:pPr>
    </w:p>
    <w:p w14:paraId="22B04472">
      <w:pPr>
        <w:pStyle w:val="2"/>
        <w:spacing w:line="248" w:lineRule="auto"/>
        <w:rPr>
          <w:sz w:val="21"/>
        </w:rPr>
      </w:pPr>
    </w:p>
    <w:p w14:paraId="10931763">
      <w:pPr>
        <w:pStyle w:val="2"/>
        <w:spacing w:line="248" w:lineRule="auto"/>
        <w:rPr>
          <w:sz w:val="21"/>
        </w:rPr>
      </w:pPr>
    </w:p>
    <w:p w14:paraId="7D232893">
      <w:pPr>
        <w:pStyle w:val="2"/>
        <w:spacing w:line="248" w:lineRule="auto"/>
        <w:rPr>
          <w:sz w:val="21"/>
        </w:rPr>
      </w:pPr>
    </w:p>
    <w:p w14:paraId="77FB35F4">
      <w:pPr>
        <w:spacing w:before="78" w:line="222" w:lineRule="auto"/>
        <w:ind w:left="517"/>
        <w:rPr>
          <w:rFonts w:ascii="仿宋" w:hAnsi="仿宋" w:eastAsia="仿宋" w:cs="仿宋"/>
          <w:sz w:val="24"/>
          <w:szCs w:val="24"/>
        </w:rPr>
      </w:pPr>
      <w:r>
        <w:rPr>
          <w:rFonts w:ascii="仿宋" w:hAnsi="仿宋" w:eastAsia="仿宋" w:cs="仿宋"/>
          <w:spacing w:val="-5"/>
          <w:sz w:val="24"/>
          <w:szCs w:val="24"/>
        </w:rPr>
        <w:t>线路走向具体见图</w:t>
      </w:r>
      <w:r>
        <w:rPr>
          <w:rFonts w:ascii="仿宋" w:hAnsi="仿宋" w:eastAsia="仿宋" w:cs="仿宋"/>
          <w:spacing w:val="-37"/>
          <w:sz w:val="24"/>
          <w:szCs w:val="24"/>
        </w:rPr>
        <w:t xml:space="preserve"> </w:t>
      </w:r>
      <w:r>
        <w:rPr>
          <w:rFonts w:ascii="Times New Roman" w:hAnsi="Times New Roman" w:eastAsia="Times New Roman" w:cs="Times New Roman"/>
          <w:spacing w:val="-5"/>
          <w:sz w:val="24"/>
          <w:szCs w:val="24"/>
        </w:rPr>
        <w:t>2.1-</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5"/>
          <w:sz w:val="24"/>
          <w:szCs w:val="24"/>
        </w:rPr>
        <w:t>1</w:t>
      </w:r>
      <w:r>
        <w:rPr>
          <w:rFonts w:ascii="Times New Roman" w:hAnsi="Times New Roman" w:eastAsia="Times New Roman" w:cs="Times New Roman"/>
          <w:spacing w:val="23"/>
          <w:w w:val="101"/>
          <w:sz w:val="24"/>
          <w:szCs w:val="24"/>
        </w:rPr>
        <w:t xml:space="preserve"> </w:t>
      </w:r>
      <w:r>
        <w:rPr>
          <w:rFonts w:ascii="仿宋" w:hAnsi="仿宋" w:eastAsia="仿宋" w:cs="仿宋"/>
          <w:spacing w:val="-5"/>
          <w:sz w:val="24"/>
          <w:szCs w:val="24"/>
        </w:rPr>
        <w:t>至图</w:t>
      </w:r>
      <w:r>
        <w:rPr>
          <w:rFonts w:ascii="仿宋" w:hAnsi="仿宋" w:eastAsia="仿宋" w:cs="仿宋"/>
          <w:spacing w:val="-55"/>
          <w:sz w:val="24"/>
          <w:szCs w:val="24"/>
        </w:rPr>
        <w:t xml:space="preserve"> </w:t>
      </w:r>
      <w:r>
        <w:rPr>
          <w:rFonts w:ascii="Times New Roman" w:hAnsi="Times New Roman" w:eastAsia="Times New Roman" w:cs="Times New Roman"/>
          <w:spacing w:val="-5"/>
          <w:sz w:val="24"/>
          <w:szCs w:val="24"/>
        </w:rPr>
        <w:t>2.1-9</w:t>
      </w:r>
      <w:r>
        <w:rPr>
          <w:rFonts w:ascii="仿宋" w:hAnsi="仿宋" w:eastAsia="仿宋" w:cs="仿宋"/>
          <w:spacing w:val="-5"/>
          <w:sz w:val="24"/>
          <w:szCs w:val="24"/>
        </w:rPr>
        <w:t>。</w:t>
      </w:r>
    </w:p>
    <w:p w14:paraId="5B9097C4">
      <w:pPr>
        <w:spacing w:before="142" w:line="12015" w:lineRule="exact"/>
        <w:ind w:firstLine="41"/>
      </w:pPr>
      <w:r>
        <w:rPr>
          <w:position w:val="-240"/>
        </w:rPr>
        <w:drawing>
          <wp:inline distT="0" distB="0" distL="0" distR="0">
            <wp:extent cx="5228590" cy="7628890"/>
            <wp:effectExtent l="0" t="0" r="0" b="0"/>
            <wp:docPr id="332" name="IM 332"/>
            <wp:cNvGraphicFramePr/>
            <a:graphic xmlns:a="http://schemas.openxmlformats.org/drawingml/2006/main">
              <a:graphicData uri="http://schemas.openxmlformats.org/drawingml/2006/picture">
                <pic:pic xmlns:pic="http://schemas.openxmlformats.org/drawingml/2006/picture">
                  <pic:nvPicPr>
                    <pic:cNvPr id="332" name="IM 332"/>
                    <pic:cNvPicPr/>
                  </pic:nvPicPr>
                  <pic:blipFill>
                    <a:blip r:embed="rId400"/>
                    <a:stretch>
                      <a:fillRect/>
                    </a:stretch>
                  </pic:blipFill>
                  <pic:spPr>
                    <a:xfrm>
                      <a:off x="0" y="0"/>
                      <a:ext cx="5228844" cy="7629143"/>
                    </a:xfrm>
                    <a:prstGeom prst="rect">
                      <a:avLst/>
                    </a:prstGeom>
                  </pic:spPr>
                </pic:pic>
              </a:graphicData>
            </a:graphic>
          </wp:inline>
        </w:drawing>
      </w:r>
    </w:p>
    <w:p w14:paraId="0F2737A6">
      <w:pPr>
        <w:spacing w:before="189" w:line="222" w:lineRule="auto"/>
        <w:ind w:left="1817"/>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44"/>
          <w:sz w:val="24"/>
          <w:szCs w:val="24"/>
        </w:rPr>
        <w:t xml:space="preserve"> </w:t>
      </w:r>
      <w:r>
        <w:rPr>
          <w:rFonts w:ascii="Times New Roman" w:hAnsi="Times New Roman" w:eastAsia="Times New Roman" w:cs="Times New Roman"/>
          <w:b/>
          <w:bCs/>
          <w:spacing w:val="-3"/>
          <w:sz w:val="24"/>
          <w:szCs w:val="24"/>
        </w:rPr>
        <w:t xml:space="preserve">2.1-1      </w:t>
      </w:r>
      <w:r>
        <w:rPr>
          <w:rFonts w:ascii="仿宋" w:hAnsi="仿宋" w:eastAsia="仿宋" w:cs="仿宋"/>
          <w:b/>
          <w:bCs/>
          <w:spacing w:val="-3"/>
          <w:sz w:val="24"/>
          <w:szCs w:val="24"/>
        </w:rPr>
        <w:t>李家圪堵至土敖包通村公路走向图</w:t>
      </w:r>
    </w:p>
    <w:p w14:paraId="63C0021D">
      <w:pPr>
        <w:spacing w:line="222" w:lineRule="auto"/>
        <w:rPr>
          <w:rFonts w:ascii="仿宋" w:hAnsi="仿宋" w:eastAsia="仿宋" w:cs="仿宋"/>
          <w:sz w:val="24"/>
          <w:szCs w:val="24"/>
        </w:rPr>
        <w:sectPr>
          <w:footerReference r:id="rId207" w:type="default"/>
          <w:pgSz w:w="11906" w:h="16839"/>
          <w:pgMar w:top="400" w:right="1785" w:bottom="1511" w:left="1785" w:header="0" w:footer="1349" w:gutter="0"/>
          <w:cols w:space="720" w:num="1"/>
        </w:sectPr>
      </w:pPr>
    </w:p>
    <w:p w14:paraId="626F8F9D">
      <w:pPr>
        <w:pStyle w:val="2"/>
        <w:spacing w:line="278" w:lineRule="auto"/>
        <w:rPr>
          <w:sz w:val="21"/>
        </w:rPr>
      </w:pPr>
    </w:p>
    <w:p w14:paraId="671D88E4">
      <w:pPr>
        <w:pStyle w:val="2"/>
        <w:spacing w:line="278" w:lineRule="auto"/>
        <w:rPr>
          <w:sz w:val="21"/>
        </w:rPr>
      </w:pPr>
    </w:p>
    <w:p w14:paraId="4CDDDF73">
      <w:pPr>
        <w:pStyle w:val="2"/>
        <w:spacing w:line="278" w:lineRule="auto"/>
        <w:rPr>
          <w:sz w:val="21"/>
        </w:rPr>
      </w:pPr>
    </w:p>
    <w:p w14:paraId="72D94EF8">
      <w:pPr>
        <w:pStyle w:val="2"/>
        <w:spacing w:line="279" w:lineRule="auto"/>
        <w:rPr>
          <w:sz w:val="21"/>
        </w:rPr>
      </w:pPr>
    </w:p>
    <w:p w14:paraId="302660CD">
      <w:pPr>
        <w:pStyle w:val="2"/>
        <w:spacing w:line="279" w:lineRule="auto"/>
        <w:rPr>
          <w:sz w:val="21"/>
        </w:rPr>
      </w:pPr>
    </w:p>
    <w:p w14:paraId="1E36F91F">
      <w:pPr>
        <w:spacing w:line="7433" w:lineRule="exact"/>
        <w:ind w:firstLine="1197"/>
      </w:pPr>
      <w:r>
        <w:rPr>
          <w:position w:val="-148"/>
        </w:rPr>
        <w:drawing>
          <wp:inline distT="0" distB="0" distL="0" distR="0">
            <wp:extent cx="5952490" cy="4719320"/>
            <wp:effectExtent l="0" t="0" r="0" b="0"/>
            <wp:docPr id="334" name="IM 334"/>
            <wp:cNvGraphicFramePr/>
            <a:graphic xmlns:a="http://schemas.openxmlformats.org/drawingml/2006/main">
              <a:graphicData uri="http://schemas.openxmlformats.org/drawingml/2006/picture">
                <pic:pic xmlns:pic="http://schemas.openxmlformats.org/drawingml/2006/picture">
                  <pic:nvPicPr>
                    <pic:cNvPr id="334" name="IM 334"/>
                    <pic:cNvPicPr/>
                  </pic:nvPicPr>
                  <pic:blipFill>
                    <a:blip r:embed="rId401"/>
                    <a:stretch>
                      <a:fillRect/>
                    </a:stretch>
                  </pic:blipFill>
                  <pic:spPr>
                    <a:xfrm>
                      <a:off x="0" y="0"/>
                      <a:ext cx="5952744" cy="4719828"/>
                    </a:xfrm>
                    <a:prstGeom prst="rect">
                      <a:avLst/>
                    </a:prstGeom>
                  </pic:spPr>
                </pic:pic>
              </a:graphicData>
            </a:graphic>
          </wp:inline>
        </w:drawing>
      </w:r>
    </w:p>
    <w:p w14:paraId="4060EBE5">
      <w:pPr>
        <w:spacing w:before="177" w:line="222" w:lineRule="auto"/>
        <w:ind w:left="3784"/>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47"/>
          <w:sz w:val="24"/>
          <w:szCs w:val="24"/>
        </w:rPr>
        <w:t xml:space="preserve"> </w:t>
      </w:r>
      <w:r>
        <w:rPr>
          <w:rFonts w:ascii="Times New Roman" w:hAnsi="Times New Roman" w:eastAsia="Times New Roman" w:cs="Times New Roman"/>
          <w:b/>
          <w:bCs/>
          <w:spacing w:val="-3"/>
          <w:sz w:val="24"/>
          <w:szCs w:val="24"/>
        </w:rPr>
        <w:t xml:space="preserve">2.1-2      </w:t>
      </w:r>
      <w:r>
        <w:rPr>
          <w:rFonts w:ascii="仿宋" w:hAnsi="仿宋" w:eastAsia="仿宋" w:cs="仿宋"/>
          <w:b/>
          <w:bCs/>
          <w:spacing w:val="-3"/>
          <w:sz w:val="24"/>
          <w:szCs w:val="24"/>
        </w:rPr>
        <w:t>双山梁村通社公路工程走向图</w:t>
      </w:r>
    </w:p>
    <w:p w14:paraId="0F556007">
      <w:pPr>
        <w:spacing w:line="222" w:lineRule="auto"/>
        <w:rPr>
          <w:rFonts w:ascii="仿宋" w:hAnsi="仿宋" w:eastAsia="仿宋" w:cs="仿宋"/>
          <w:sz w:val="24"/>
          <w:szCs w:val="24"/>
        </w:rPr>
        <w:sectPr>
          <w:footerReference r:id="rId208" w:type="default"/>
          <w:pgSz w:w="16839" w:h="11906"/>
          <w:pgMar w:top="400" w:right="2525" w:bottom="1511" w:left="2525" w:header="0" w:footer="1349" w:gutter="0"/>
          <w:cols w:space="720" w:num="1"/>
        </w:sectPr>
      </w:pPr>
    </w:p>
    <w:p w14:paraId="6966477C">
      <w:pPr>
        <w:pStyle w:val="2"/>
        <w:spacing w:line="258" w:lineRule="auto"/>
        <w:rPr>
          <w:sz w:val="21"/>
        </w:rPr>
      </w:pPr>
    </w:p>
    <w:p w14:paraId="100BD776">
      <w:pPr>
        <w:pStyle w:val="2"/>
        <w:spacing w:line="258" w:lineRule="auto"/>
        <w:rPr>
          <w:sz w:val="21"/>
        </w:rPr>
      </w:pPr>
    </w:p>
    <w:p w14:paraId="56106294">
      <w:pPr>
        <w:pStyle w:val="2"/>
        <w:spacing w:line="259" w:lineRule="auto"/>
        <w:rPr>
          <w:sz w:val="21"/>
        </w:rPr>
      </w:pPr>
    </w:p>
    <w:p w14:paraId="2D963585">
      <w:pPr>
        <w:pStyle w:val="2"/>
        <w:spacing w:line="259" w:lineRule="auto"/>
        <w:rPr>
          <w:sz w:val="21"/>
        </w:rPr>
      </w:pPr>
    </w:p>
    <w:p w14:paraId="1E40FDDC">
      <w:pPr>
        <w:spacing w:line="10846" w:lineRule="exact"/>
        <w:ind w:firstLine="15"/>
      </w:pPr>
      <w:r>
        <w:rPr>
          <w:position w:val="-216"/>
        </w:rPr>
        <w:drawing>
          <wp:inline distT="0" distB="0" distL="0" distR="0">
            <wp:extent cx="5219700" cy="6886575"/>
            <wp:effectExtent l="0" t="0" r="0" b="0"/>
            <wp:docPr id="336" name="IM 336"/>
            <wp:cNvGraphicFramePr/>
            <a:graphic xmlns:a="http://schemas.openxmlformats.org/drawingml/2006/main">
              <a:graphicData uri="http://schemas.openxmlformats.org/drawingml/2006/picture">
                <pic:pic xmlns:pic="http://schemas.openxmlformats.org/drawingml/2006/picture">
                  <pic:nvPicPr>
                    <pic:cNvPr id="336" name="IM 336"/>
                    <pic:cNvPicPr/>
                  </pic:nvPicPr>
                  <pic:blipFill>
                    <a:blip r:embed="rId402"/>
                    <a:stretch>
                      <a:fillRect/>
                    </a:stretch>
                  </pic:blipFill>
                  <pic:spPr>
                    <a:xfrm>
                      <a:off x="0" y="0"/>
                      <a:ext cx="5219700" cy="6886955"/>
                    </a:xfrm>
                    <a:prstGeom prst="rect">
                      <a:avLst/>
                    </a:prstGeom>
                  </pic:spPr>
                </pic:pic>
              </a:graphicData>
            </a:graphic>
          </wp:inline>
        </w:drawing>
      </w:r>
    </w:p>
    <w:p w14:paraId="57BEF53E">
      <w:pPr>
        <w:spacing w:before="184" w:line="222" w:lineRule="auto"/>
        <w:ind w:left="1337"/>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42"/>
          <w:sz w:val="24"/>
          <w:szCs w:val="24"/>
        </w:rPr>
        <w:t xml:space="preserve"> </w:t>
      </w:r>
      <w:r>
        <w:rPr>
          <w:rFonts w:ascii="Times New Roman" w:hAnsi="Times New Roman" w:eastAsia="Times New Roman" w:cs="Times New Roman"/>
          <w:b/>
          <w:bCs/>
          <w:spacing w:val="-3"/>
          <w:sz w:val="24"/>
          <w:szCs w:val="24"/>
        </w:rPr>
        <w:t xml:space="preserve">2.1-3      </w:t>
      </w:r>
      <w:r>
        <w:rPr>
          <w:rFonts w:ascii="仿宋" w:hAnsi="仿宋" w:eastAsia="仿宋" w:cs="仿宋"/>
          <w:b/>
          <w:bCs/>
          <w:spacing w:val="-3"/>
          <w:sz w:val="24"/>
          <w:szCs w:val="24"/>
        </w:rPr>
        <w:t>四道敖包至淡家梁至杨家塔通村公路走向图</w:t>
      </w:r>
    </w:p>
    <w:p w14:paraId="38A15663">
      <w:pPr>
        <w:spacing w:line="222" w:lineRule="auto"/>
        <w:rPr>
          <w:rFonts w:ascii="仿宋" w:hAnsi="仿宋" w:eastAsia="仿宋" w:cs="仿宋"/>
          <w:sz w:val="24"/>
          <w:szCs w:val="24"/>
        </w:rPr>
        <w:sectPr>
          <w:footerReference r:id="rId209" w:type="default"/>
          <w:pgSz w:w="11906" w:h="16839"/>
          <w:pgMar w:top="400" w:right="1785" w:bottom="1511" w:left="1785" w:header="0" w:footer="1349" w:gutter="0"/>
          <w:cols w:space="720" w:num="1"/>
        </w:sectPr>
      </w:pPr>
    </w:p>
    <w:p w14:paraId="686271AC">
      <w:pPr>
        <w:pStyle w:val="2"/>
        <w:spacing w:line="278" w:lineRule="auto"/>
        <w:rPr>
          <w:sz w:val="21"/>
        </w:rPr>
      </w:pPr>
    </w:p>
    <w:p w14:paraId="42234743">
      <w:pPr>
        <w:pStyle w:val="2"/>
        <w:spacing w:line="278" w:lineRule="auto"/>
        <w:rPr>
          <w:sz w:val="21"/>
        </w:rPr>
      </w:pPr>
    </w:p>
    <w:p w14:paraId="01DA00C3">
      <w:pPr>
        <w:pStyle w:val="2"/>
        <w:spacing w:line="278" w:lineRule="auto"/>
        <w:rPr>
          <w:sz w:val="21"/>
        </w:rPr>
      </w:pPr>
    </w:p>
    <w:p w14:paraId="60DECBAD">
      <w:pPr>
        <w:pStyle w:val="2"/>
        <w:spacing w:line="279" w:lineRule="auto"/>
        <w:rPr>
          <w:sz w:val="21"/>
        </w:rPr>
      </w:pPr>
    </w:p>
    <w:p w14:paraId="313A7906">
      <w:pPr>
        <w:pStyle w:val="2"/>
        <w:spacing w:line="279" w:lineRule="auto"/>
        <w:rPr>
          <w:sz w:val="21"/>
        </w:rPr>
      </w:pPr>
    </w:p>
    <w:p w14:paraId="45D8DF02">
      <w:pPr>
        <w:spacing w:line="7481" w:lineRule="exact"/>
      </w:pPr>
      <w:r>
        <w:rPr>
          <w:position w:val="-149"/>
        </w:rPr>
        <w:drawing>
          <wp:inline distT="0" distB="0" distL="0" distR="0">
            <wp:extent cx="8211185" cy="4749800"/>
            <wp:effectExtent l="0" t="0" r="0" b="0"/>
            <wp:docPr id="338" name="IM 338"/>
            <wp:cNvGraphicFramePr/>
            <a:graphic xmlns:a="http://schemas.openxmlformats.org/drawingml/2006/main">
              <a:graphicData uri="http://schemas.openxmlformats.org/drawingml/2006/picture">
                <pic:pic xmlns:pic="http://schemas.openxmlformats.org/drawingml/2006/picture">
                  <pic:nvPicPr>
                    <pic:cNvPr id="338" name="IM 338"/>
                    <pic:cNvPicPr/>
                  </pic:nvPicPr>
                  <pic:blipFill>
                    <a:blip r:embed="rId403"/>
                    <a:stretch>
                      <a:fillRect/>
                    </a:stretch>
                  </pic:blipFill>
                  <pic:spPr>
                    <a:xfrm>
                      <a:off x="0" y="0"/>
                      <a:ext cx="8211311" cy="4750308"/>
                    </a:xfrm>
                    <a:prstGeom prst="rect">
                      <a:avLst/>
                    </a:prstGeom>
                  </pic:spPr>
                </pic:pic>
              </a:graphicData>
            </a:graphic>
          </wp:inline>
        </w:drawing>
      </w:r>
    </w:p>
    <w:p w14:paraId="7F292F11">
      <w:pPr>
        <w:spacing w:before="189" w:line="222" w:lineRule="auto"/>
        <w:ind w:left="3633"/>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40"/>
          <w:sz w:val="24"/>
          <w:szCs w:val="24"/>
        </w:rPr>
        <w:t xml:space="preserve"> </w:t>
      </w:r>
      <w:r>
        <w:rPr>
          <w:rFonts w:ascii="Times New Roman" w:hAnsi="Times New Roman" w:eastAsia="Times New Roman" w:cs="Times New Roman"/>
          <w:b/>
          <w:bCs/>
          <w:spacing w:val="-3"/>
          <w:sz w:val="24"/>
          <w:szCs w:val="24"/>
        </w:rPr>
        <w:t xml:space="preserve">2.1-4      </w:t>
      </w:r>
      <w:r>
        <w:rPr>
          <w:rFonts w:ascii="仿宋" w:hAnsi="仿宋" w:eastAsia="仿宋" w:cs="仿宋"/>
          <w:b/>
          <w:bCs/>
          <w:spacing w:val="-3"/>
          <w:sz w:val="24"/>
          <w:szCs w:val="24"/>
        </w:rPr>
        <w:t>乌拉素村二道壕大坝东至秦家塔社段走向图</w:t>
      </w:r>
    </w:p>
    <w:p w14:paraId="55E4B3CD">
      <w:pPr>
        <w:spacing w:line="222" w:lineRule="auto"/>
        <w:rPr>
          <w:rFonts w:ascii="仿宋" w:hAnsi="仿宋" w:eastAsia="仿宋" w:cs="仿宋"/>
          <w:sz w:val="24"/>
          <w:szCs w:val="24"/>
        </w:rPr>
        <w:sectPr>
          <w:footerReference r:id="rId210" w:type="default"/>
          <w:pgSz w:w="16839" w:h="11906"/>
          <w:pgMar w:top="400" w:right="1952" w:bottom="1511" w:left="1954" w:header="0" w:footer="1349" w:gutter="0"/>
          <w:cols w:space="720" w:num="1"/>
        </w:sectPr>
      </w:pPr>
    </w:p>
    <w:p w14:paraId="49A81F22">
      <w:pPr>
        <w:pStyle w:val="2"/>
        <w:spacing w:line="278" w:lineRule="auto"/>
        <w:rPr>
          <w:sz w:val="21"/>
        </w:rPr>
      </w:pPr>
    </w:p>
    <w:p w14:paraId="6849236B">
      <w:pPr>
        <w:pStyle w:val="2"/>
        <w:spacing w:line="278" w:lineRule="auto"/>
        <w:rPr>
          <w:sz w:val="21"/>
        </w:rPr>
      </w:pPr>
    </w:p>
    <w:p w14:paraId="05DFA8F7">
      <w:pPr>
        <w:pStyle w:val="2"/>
        <w:spacing w:line="278" w:lineRule="auto"/>
        <w:rPr>
          <w:sz w:val="21"/>
        </w:rPr>
      </w:pPr>
    </w:p>
    <w:p w14:paraId="08544562">
      <w:pPr>
        <w:pStyle w:val="2"/>
        <w:spacing w:line="279" w:lineRule="auto"/>
        <w:rPr>
          <w:sz w:val="21"/>
        </w:rPr>
      </w:pPr>
    </w:p>
    <w:p w14:paraId="52C70B04">
      <w:pPr>
        <w:pStyle w:val="2"/>
        <w:spacing w:line="279" w:lineRule="auto"/>
        <w:rPr>
          <w:sz w:val="21"/>
        </w:rPr>
      </w:pPr>
    </w:p>
    <w:p w14:paraId="52305E5B">
      <w:pPr>
        <w:spacing w:line="7651" w:lineRule="exact"/>
      </w:pPr>
      <w:r>
        <w:rPr>
          <w:position w:val="-153"/>
        </w:rPr>
        <w:drawing>
          <wp:inline distT="0" distB="0" distL="0" distR="0">
            <wp:extent cx="8898255" cy="4858385"/>
            <wp:effectExtent l="0" t="0" r="0" b="0"/>
            <wp:docPr id="340" name="IM 340"/>
            <wp:cNvGraphicFramePr/>
            <a:graphic xmlns:a="http://schemas.openxmlformats.org/drawingml/2006/main">
              <a:graphicData uri="http://schemas.openxmlformats.org/drawingml/2006/picture">
                <pic:pic xmlns:pic="http://schemas.openxmlformats.org/drawingml/2006/picture">
                  <pic:nvPicPr>
                    <pic:cNvPr id="340" name="IM 340"/>
                    <pic:cNvPicPr/>
                  </pic:nvPicPr>
                  <pic:blipFill>
                    <a:blip r:embed="rId404"/>
                    <a:stretch>
                      <a:fillRect/>
                    </a:stretch>
                  </pic:blipFill>
                  <pic:spPr>
                    <a:xfrm>
                      <a:off x="0" y="0"/>
                      <a:ext cx="8898635" cy="4858511"/>
                    </a:xfrm>
                    <a:prstGeom prst="rect">
                      <a:avLst/>
                    </a:prstGeom>
                  </pic:spPr>
                </pic:pic>
              </a:graphicData>
            </a:graphic>
          </wp:inline>
        </w:drawing>
      </w:r>
    </w:p>
    <w:p w14:paraId="12280445">
      <w:pPr>
        <w:spacing w:before="170" w:line="222" w:lineRule="auto"/>
        <w:ind w:left="4749"/>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47"/>
          <w:sz w:val="24"/>
          <w:szCs w:val="24"/>
        </w:rPr>
        <w:t xml:space="preserve"> </w:t>
      </w:r>
      <w:r>
        <w:rPr>
          <w:rFonts w:ascii="Times New Roman" w:hAnsi="Times New Roman" w:eastAsia="Times New Roman" w:cs="Times New Roman"/>
          <w:b/>
          <w:bCs/>
          <w:spacing w:val="-3"/>
          <w:sz w:val="24"/>
          <w:szCs w:val="24"/>
        </w:rPr>
        <w:t xml:space="preserve">2.1-5      </w:t>
      </w:r>
      <w:r>
        <w:rPr>
          <w:rFonts w:ascii="仿宋" w:hAnsi="仿宋" w:eastAsia="仿宋" w:cs="仿宋"/>
          <w:b/>
          <w:bCs/>
          <w:spacing w:val="-3"/>
          <w:sz w:val="24"/>
          <w:szCs w:val="24"/>
        </w:rPr>
        <w:t>大棚区至杏仁露基地路段走向图</w:t>
      </w:r>
    </w:p>
    <w:p w14:paraId="38B09E2E">
      <w:pPr>
        <w:spacing w:line="222" w:lineRule="auto"/>
        <w:rPr>
          <w:rFonts w:ascii="仿宋" w:hAnsi="仿宋" w:eastAsia="仿宋" w:cs="仿宋"/>
          <w:sz w:val="24"/>
          <w:szCs w:val="24"/>
        </w:rPr>
        <w:sectPr>
          <w:footerReference r:id="rId211" w:type="default"/>
          <w:pgSz w:w="16839" w:h="11906"/>
          <w:pgMar w:top="400" w:right="1383" w:bottom="1511" w:left="1441" w:header="0" w:footer="1349" w:gutter="0"/>
          <w:cols w:space="720" w:num="1"/>
        </w:sectPr>
      </w:pPr>
    </w:p>
    <w:p w14:paraId="60E93374">
      <w:pPr>
        <w:pStyle w:val="2"/>
        <w:spacing w:line="258" w:lineRule="auto"/>
        <w:rPr>
          <w:sz w:val="21"/>
        </w:rPr>
      </w:pPr>
    </w:p>
    <w:p w14:paraId="6BF2CC76">
      <w:pPr>
        <w:pStyle w:val="2"/>
        <w:spacing w:line="258" w:lineRule="auto"/>
        <w:rPr>
          <w:sz w:val="21"/>
        </w:rPr>
      </w:pPr>
    </w:p>
    <w:p w14:paraId="396FFBEB">
      <w:pPr>
        <w:pStyle w:val="2"/>
        <w:spacing w:line="259" w:lineRule="auto"/>
        <w:rPr>
          <w:sz w:val="21"/>
        </w:rPr>
      </w:pPr>
    </w:p>
    <w:p w14:paraId="16D9A59C">
      <w:pPr>
        <w:pStyle w:val="2"/>
        <w:spacing w:line="259" w:lineRule="auto"/>
        <w:rPr>
          <w:sz w:val="21"/>
        </w:rPr>
      </w:pPr>
    </w:p>
    <w:p w14:paraId="2B086E57">
      <w:pPr>
        <w:spacing w:line="9495" w:lineRule="exact"/>
        <w:ind w:firstLine="56"/>
      </w:pPr>
      <w:r>
        <w:rPr>
          <w:position w:val="-189"/>
        </w:rPr>
        <w:drawing>
          <wp:inline distT="0" distB="0" distL="0" distR="0">
            <wp:extent cx="5219700" cy="6028690"/>
            <wp:effectExtent l="0" t="0" r="0" b="0"/>
            <wp:docPr id="342" name="IM 342"/>
            <wp:cNvGraphicFramePr/>
            <a:graphic xmlns:a="http://schemas.openxmlformats.org/drawingml/2006/main">
              <a:graphicData uri="http://schemas.openxmlformats.org/drawingml/2006/picture">
                <pic:pic xmlns:pic="http://schemas.openxmlformats.org/drawingml/2006/picture">
                  <pic:nvPicPr>
                    <pic:cNvPr id="342" name="IM 342"/>
                    <pic:cNvPicPr/>
                  </pic:nvPicPr>
                  <pic:blipFill>
                    <a:blip r:embed="rId405"/>
                    <a:stretch>
                      <a:fillRect/>
                    </a:stretch>
                  </pic:blipFill>
                  <pic:spPr>
                    <a:xfrm>
                      <a:off x="0" y="0"/>
                      <a:ext cx="5219700" cy="6028944"/>
                    </a:xfrm>
                    <a:prstGeom prst="rect">
                      <a:avLst/>
                    </a:prstGeom>
                  </pic:spPr>
                </pic:pic>
              </a:graphicData>
            </a:graphic>
          </wp:inline>
        </w:drawing>
      </w:r>
    </w:p>
    <w:p w14:paraId="049A974B">
      <w:pPr>
        <w:spacing w:before="187" w:line="222" w:lineRule="auto"/>
        <w:ind w:left="1637"/>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38"/>
          <w:sz w:val="24"/>
          <w:szCs w:val="24"/>
        </w:rPr>
        <w:t xml:space="preserve"> </w:t>
      </w:r>
      <w:r>
        <w:rPr>
          <w:rFonts w:ascii="Times New Roman" w:hAnsi="Times New Roman" w:eastAsia="Times New Roman" w:cs="Times New Roman"/>
          <w:b/>
          <w:bCs/>
          <w:spacing w:val="-3"/>
          <w:sz w:val="24"/>
          <w:szCs w:val="24"/>
        </w:rPr>
        <w:t xml:space="preserve">2.1-6        </w:t>
      </w:r>
      <w:r>
        <w:rPr>
          <w:rFonts w:ascii="仿宋" w:hAnsi="仿宋" w:eastAsia="仿宋" w:cs="仿宋"/>
          <w:b/>
          <w:bCs/>
          <w:spacing w:val="-3"/>
          <w:sz w:val="24"/>
          <w:szCs w:val="24"/>
        </w:rPr>
        <w:t>三道拐社坡底至北防洪堤路段走向图</w:t>
      </w:r>
    </w:p>
    <w:p w14:paraId="2604EBD5">
      <w:pPr>
        <w:spacing w:line="222" w:lineRule="auto"/>
        <w:rPr>
          <w:rFonts w:ascii="仿宋" w:hAnsi="仿宋" w:eastAsia="仿宋" w:cs="仿宋"/>
          <w:sz w:val="24"/>
          <w:szCs w:val="24"/>
        </w:rPr>
        <w:sectPr>
          <w:footerReference r:id="rId212" w:type="default"/>
          <w:pgSz w:w="11906" w:h="16839"/>
          <w:pgMar w:top="400" w:right="1785" w:bottom="1511" w:left="1785" w:header="0" w:footer="1349" w:gutter="0"/>
          <w:cols w:space="720" w:num="1"/>
        </w:sectPr>
      </w:pPr>
    </w:p>
    <w:p w14:paraId="37794E4C">
      <w:pPr>
        <w:spacing w:before="39"/>
      </w:pPr>
      <w:r>
        <w:drawing>
          <wp:anchor distT="0" distB="0" distL="0" distR="0" simplePos="0" relativeHeight="251696128" behindDoc="0" locked="0" layoutInCell="0" allowOverlap="1">
            <wp:simplePos x="0" y="0"/>
            <wp:positionH relativeFrom="page">
              <wp:posOffset>1878965</wp:posOffset>
            </wp:positionH>
            <wp:positionV relativeFrom="page">
              <wp:posOffset>1162685</wp:posOffset>
            </wp:positionV>
            <wp:extent cx="6925310" cy="4849495"/>
            <wp:effectExtent l="0" t="0" r="0" b="0"/>
            <wp:wrapNone/>
            <wp:docPr id="344" name="IM 344"/>
            <wp:cNvGraphicFramePr/>
            <a:graphic xmlns:a="http://schemas.openxmlformats.org/drawingml/2006/main">
              <a:graphicData uri="http://schemas.openxmlformats.org/drawingml/2006/picture">
                <pic:pic xmlns:pic="http://schemas.openxmlformats.org/drawingml/2006/picture">
                  <pic:nvPicPr>
                    <pic:cNvPr id="344" name="IM 344"/>
                    <pic:cNvPicPr/>
                  </pic:nvPicPr>
                  <pic:blipFill>
                    <a:blip r:embed="rId406"/>
                    <a:stretch>
                      <a:fillRect/>
                    </a:stretch>
                  </pic:blipFill>
                  <pic:spPr>
                    <a:xfrm>
                      <a:off x="0" y="0"/>
                      <a:ext cx="6925056" cy="4849367"/>
                    </a:xfrm>
                    <a:prstGeom prst="rect">
                      <a:avLst/>
                    </a:prstGeom>
                  </pic:spPr>
                </pic:pic>
              </a:graphicData>
            </a:graphic>
          </wp:anchor>
        </w:drawing>
      </w:r>
    </w:p>
    <w:p w14:paraId="2A4E5252">
      <w:pPr>
        <w:spacing w:before="39"/>
      </w:pPr>
    </w:p>
    <w:p w14:paraId="50E7776E">
      <w:pPr>
        <w:spacing w:before="39"/>
      </w:pPr>
    </w:p>
    <w:p w14:paraId="1EC61318">
      <w:pPr>
        <w:spacing w:before="38"/>
      </w:pPr>
    </w:p>
    <w:p w14:paraId="1AF8182A">
      <w:pPr>
        <w:spacing w:before="38"/>
      </w:pPr>
    </w:p>
    <w:tbl>
      <w:tblPr>
        <w:tblStyle w:val="5"/>
        <w:tblW w:w="10955" w:type="dxa"/>
        <w:tblInd w:w="408"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10955"/>
      </w:tblGrid>
      <w:tr w14:paraId="0718DFB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7676" w:hRule="atLeast"/>
        </w:trPr>
        <w:tc>
          <w:tcPr>
            <w:tcW w:w="10955" w:type="dxa"/>
            <w:vAlign w:val="top"/>
          </w:tcPr>
          <w:p w14:paraId="31DF645C">
            <w:pPr>
              <w:rPr>
                <w:rFonts w:ascii="Arial"/>
                <w:sz w:val="21"/>
              </w:rPr>
            </w:pPr>
          </w:p>
        </w:tc>
      </w:tr>
    </w:tbl>
    <w:p w14:paraId="55A5CB17">
      <w:pPr>
        <w:spacing w:before="184" w:line="222" w:lineRule="auto"/>
        <w:ind w:left="2280"/>
        <w:rPr>
          <w:rFonts w:ascii="仿宋" w:hAnsi="仿宋" w:eastAsia="仿宋" w:cs="仿宋"/>
          <w:sz w:val="24"/>
          <w:szCs w:val="24"/>
        </w:rPr>
      </w:pPr>
      <w:r>
        <w:rPr>
          <w:rFonts w:ascii="仿宋" w:hAnsi="仿宋" w:eastAsia="仿宋" w:cs="仿宋"/>
          <w:b/>
          <w:bCs/>
          <w:spacing w:val="-1"/>
          <w:sz w:val="24"/>
          <w:szCs w:val="24"/>
        </w:rPr>
        <w:t>图</w:t>
      </w:r>
      <w:r>
        <w:rPr>
          <w:rFonts w:ascii="仿宋" w:hAnsi="仿宋" w:eastAsia="仿宋" w:cs="仿宋"/>
          <w:spacing w:val="-54"/>
          <w:sz w:val="24"/>
          <w:szCs w:val="24"/>
        </w:rPr>
        <w:t xml:space="preserve"> </w:t>
      </w:r>
      <w:r>
        <w:rPr>
          <w:rFonts w:ascii="Times New Roman" w:hAnsi="Times New Roman" w:eastAsia="Times New Roman" w:cs="Times New Roman"/>
          <w:b/>
          <w:bCs/>
          <w:spacing w:val="-1"/>
          <w:sz w:val="24"/>
          <w:szCs w:val="24"/>
        </w:rPr>
        <w:t xml:space="preserve">2.1-7      </w:t>
      </w:r>
      <w:r>
        <w:rPr>
          <w:rFonts w:ascii="仿宋" w:hAnsi="仿宋" w:eastAsia="仿宋" w:cs="仿宋"/>
          <w:b/>
          <w:bCs/>
          <w:spacing w:val="-1"/>
          <w:sz w:val="24"/>
          <w:szCs w:val="24"/>
        </w:rPr>
        <w:t>二道拐坡地至张家圪旦社及脑包</w:t>
      </w:r>
      <w:r>
        <w:rPr>
          <w:rFonts w:ascii="仿宋" w:hAnsi="仿宋" w:eastAsia="仿宋" w:cs="仿宋"/>
          <w:b/>
          <w:bCs/>
          <w:spacing w:val="-2"/>
          <w:sz w:val="24"/>
          <w:szCs w:val="24"/>
        </w:rPr>
        <w:t>湾村自然村</w:t>
      </w:r>
      <w:r>
        <w:rPr>
          <w:rFonts w:ascii="仿宋" w:hAnsi="仿宋" w:eastAsia="仿宋" w:cs="仿宋"/>
          <w:b/>
          <w:bCs/>
          <w:spacing w:val="-2"/>
          <w:sz w:val="20"/>
          <w:szCs w:val="20"/>
        </w:rPr>
        <w:t>通硬化路</w:t>
      </w:r>
      <w:r>
        <w:rPr>
          <w:rFonts w:ascii="仿宋" w:hAnsi="仿宋" w:eastAsia="仿宋" w:cs="仿宋"/>
          <w:b/>
          <w:bCs/>
          <w:spacing w:val="-2"/>
          <w:sz w:val="24"/>
          <w:szCs w:val="24"/>
        </w:rPr>
        <w:t>走向图</w:t>
      </w:r>
    </w:p>
    <w:p w14:paraId="2BA30B36">
      <w:pPr>
        <w:spacing w:line="222" w:lineRule="auto"/>
        <w:rPr>
          <w:rFonts w:ascii="仿宋" w:hAnsi="仿宋" w:eastAsia="仿宋" w:cs="仿宋"/>
          <w:sz w:val="24"/>
          <w:szCs w:val="24"/>
        </w:rPr>
        <w:sectPr>
          <w:footerReference r:id="rId213" w:type="default"/>
          <w:pgSz w:w="16839" w:h="11906"/>
          <w:pgMar w:top="400" w:right="2525" w:bottom="1511" w:left="2525" w:header="0" w:footer="1349" w:gutter="0"/>
          <w:cols w:space="720" w:num="1"/>
        </w:sectPr>
      </w:pPr>
    </w:p>
    <w:p w14:paraId="56FF46C5">
      <w:pPr>
        <w:pStyle w:val="2"/>
        <w:spacing w:line="278" w:lineRule="auto"/>
        <w:rPr>
          <w:sz w:val="21"/>
        </w:rPr>
      </w:pPr>
    </w:p>
    <w:p w14:paraId="1DF9325E">
      <w:pPr>
        <w:pStyle w:val="2"/>
        <w:spacing w:line="278" w:lineRule="auto"/>
        <w:rPr>
          <w:sz w:val="21"/>
        </w:rPr>
      </w:pPr>
    </w:p>
    <w:p w14:paraId="7FE20432">
      <w:pPr>
        <w:pStyle w:val="2"/>
        <w:spacing w:line="278" w:lineRule="auto"/>
        <w:rPr>
          <w:sz w:val="21"/>
        </w:rPr>
      </w:pPr>
    </w:p>
    <w:p w14:paraId="770F6E2C">
      <w:pPr>
        <w:pStyle w:val="2"/>
        <w:spacing w:line="279" w:lineRule="auto"/>
        <w:rPr>
          <w:sz w:val="21"/>
        </w:rPr>
      </w:pPr>
    </w:p>
    <w:p w14:paraId="00FCA6C6">
      <w:pPr>
        <w:pStyle w:val="2"/>
        <w:spacing w:line="279" w:lineRule="auto"/>
        <w:rPr>
          <w:sz w:val="21"/>
        </w:rPr>
      </w:pPr>
    </w:p>
    <w:p w14:paraId="589ABCA7">
      <w:pPr>
        <w:spacing w:line="7025" w:lineRule="exact"/>
      </w:pPr>
      <w:r>
        <w:rPr>
          <w:position w:val="-140"/>
        </w:rPr>
        <w:drawing>
          <wp:inline distT="0" distB="0" distL="0" distR="0">
            <wp:extent cx="8898255" cy="4460240"/>
            <wp:effectExtent l="0" t="0" r="0" b="0"/>
            <wp:docPr id="346" name="IM 346"/>
            <wp:cNvGraphicFramePr/>
            <a:graphic xmlns:a="http://schemas.openxmlformats.org/drawingml/2006/main">
              <a:graphicData uri="http://schemas.openxmlformats.org/drawingml/2006/picture">
                <pic:pic xmlns:pic="http://schemas.openxmlformats.org/drawingml/2006/picture">
                  <pic:nvPicPr>
                    <pic:cNvPr id="346" name="IM 346"/>
                    <pic:cNvPicPr/>
                  </pic:nvPicPr>
                  <pic:blipFill>
                    <a:blip r:embed="rId407"/>
                    <a:stretch>
                      <a:fillRect/>
                    </a:stretch>
                  </pic:blipFill>
                  <pic:spPr>
                    <a:xfrm>
                      <a:off x="0" y="0"/>
                      <a:ext cx="8898635" cy="4460747"/>
                    </a:xfrm>
                    <a:prstGeom prst="rect">
                      <a:avLst/>
                    </a:prstGeom>
                  </pic:spPr>
                </pic:pic>
              </a:graphicData>
            </a:graphic>
          </wp:inline>
        </w:drawing>
      </w:r>
    </w:p>
    <w:p w14:paraId="045D802A">
      <w:pPr>
        <w:spacing w:before="196" w:line="222" w:lineRule="auto"/>
        <w:ind w:left="4386"/>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43"/>
          <w:sz w:val="24"/>
          <w:szCs w:val="24"/>
        </w:rPr>
        <w:t xml:space="preserve"> </w:t>
      </w:r>
      <w:r>
        <w:rPr>
          <w:rFonts w:ascii="Times New Roman" w:hAnsi="Times New Roman" w:eastAsia="Times New Roman" w:cs="Times New Roman"/>
          <w:b/>
          <w:bCs/>
          <w:spacing w:val="-3"/>
          <w:sz w:val="24"/>
          <w:szCs w:val="24"/>
        </w:rPr>
        <w:t xml:space="preserve">2.1-8      </w:t>
      </w:r>
      <w:r>
        <w:rPr>
          <w:rFonts w:ascii="仿宋" w:hAnsi="仿宋" w:eastAsia="仿宋" w:cs="仿宋"/>
          <w:b/>
          <w:bCs/>
          <w:spacing w:val="-3"/>
          <w:sz w:val="24"/>
          <w:szCs w:val="24"/>
        </w:rPr>
        <w:t>份子地社新村至二道拐村委会段走向图</w:t>
      </w:r>
    </w:p>
    <w:p w14:paraId="4ECC034A">
      <w:pPr>
        <w:spacing w:line="222" w:lineRule="auto"/>
        <w:rPr>
          <w:rFonts w:ascii="仿宋" w:hAnsi="仿宋" w:eastAsia="仿宋" w:cs="仿宋"/>
          <w:sz w:val="24"/>
          <w:szCs w:val="24"/>
        </w:rPr>
        <w:sectPr>
          <w:footerReference r:id="rId214" w:type="default"/>
          <w:pgSz w:w="16839" w:h="11906"/>
          <w:pgMar w:top="400" w:right="1383" w:bottom="1511" w:left="1441" w:header="0" w:footer="1349" w:gutter="0"/>
          <w:cols w:space="720" w:num="1"/>
        </w:sectPr>
      </w:pPr>
    </w:p>
    <w:p w14:paraId="5EC36999">
      <w:pPr>
        <w:spacing w:before="39"/>
      </w:pPr>
      <w:r>
        <w:drawing>
          <wp:anchor distT="0" distB="0" distL="0" distR="0" simplePos="0" relativeHeight="251697152" behindDoc="0" locked="0" layoutInCell="0" allowOverlap="1">
            <wp:simplePos x="0" y="0"/>
            <wp:positionH relativeFrom="page">
              <wp:posOffset>1231265</wp:posOffset>
            </wp:positionH>
            <wp:positionV relativeFrom="page">
              <wp:posOffset>1162685</wp:posOffset>
            </wp:positionV>
            <wp:extent cx="8218805" cy="4244340"/>
            <wp:effectExtent l="0" t="0" r="0" b="0"/>
            <wp:wrapNone/>
            <wp:docPr id="348" name="IM 348"/>
            <wp:cNvGraphicFramePr/>
            <a:graphic xmlns:a="http://schemas.openxmlformats.org/drawingml/2006/main">
              <a:graphicData uri="http://schemas.openxmlformats.org/drawingml/2006/picture">
                <pic:pic xmlns:pic="http://schemas.openxmlformats.org/drawingml/2006/picture">
                  <pic:nvPicPr>
                    <pic:cNvPr id="348" name="IM 348"/>
                    <pic:cNvPicPr/>
                  </pic:nvPicPr>
                  <pic:blipFill>
                    <a:blip r:embed="rId408"/>
                    <a:stretch>
                      <a:fillRect/>
                    </a:stretch>
                  </pic:blipFill>
                  <pic:spPr>
                    <a:xfrm>
                      <a:off x="0" y="0"/>
                      <a:ext cx="8218931" cy="4244340"/>
                    </a:xfrm>
                    <a:prstGeom prst="rect">
                      <a:avLst/>
                    </a:prstGeom>
                  </pic:spPr>
                </pic:pic>
              </a:graphicData>
            </a:graphic>
          </wp:anchor>
        </w:drawing>
      </w:r>
    </w:p>
    <w:p w14:paraId="4944B0C9">
      <w:pPr>
        <w:spacing w:before="39"/>
      </w:pPr>
    </w:p>
    <w:p w14:paraId="3AC3201F">
      <w:pPr>
        <w:spacing w:before="39"/>
      </w:pPr>
    </w:p>
    <w:p w14:paraId="7685607B">
      <w:pPr>
        <w:spacing w:before="38"/>
      </w:pPr>
    </w:p>
    <w:p w14:paraId="5249A121">
      <w:pPr>
        <w:spacing w:before="38"/>
      </w:pPr>
    </w:p>
    <w:tbl>
      <w:tblPr>
        <w:tblStyle w:val="5"/>
        <w:tblW w:w="12993" w:type="dxa"/>
        <w:tblInd w:w="5"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12993"/>
      </w:tblGrid>
      <w:tr w14:paraId="7CFDD56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6724" w:hRule="atLeast"/>
        </w:trPr>
        <w:tc>
          <w:tcPr>
            <w:tcW w:w="12993" w:type="dxa"/>
            <w:vAlign w:val="top"/>
          </w:tcPr>
          <w:p w14:paraId="4C004862">
            <w:pPr>
              <w:rPr>
                <w:rFonts w:ascii="Arial"/>
                <w:sz w:val="21"/>
              </w:rPr>
            </w:pPr>
          </w:p>
        </w:tc>
      </w:tr>
    </w:tbl>
    <w:p w14:paraId="6E711150">
      <w:pPr>
        <w:spacing w:before="177" w:line="222" w:lineRule="auto"/>
        <w:ind w:left="3558"/>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39"/>
          <w:sz w:val="24"/>
          <w:szCs w:val="24"/>
        </w:rPr>
        <w:t xml:space="preserve"> </w:t>
      </w:r>
      <w:r>
        <w:rPr>
          <w:rFonts w:ascii="Times New Roman" w:hAnsi="Times New Roman" w:eastAsia="Times New Roman" w:cs="Times New Roman"/>
          <w:b/>
          <w:bCs/>
          <w:spacing w:val="-3"/>
          <w:sz w:val="24"/>
          <w:szCs w:val="24"/>
        </w:rPr>
        <w:t xml:space="preserve">2.1-9      </w:t>
      </w:r>
      <w:r>
        <w:rPr>
          <w:rFonts w:ascii="仿宋" w:hAnsi="仿宋" w:eastAsia="仿宋" w:cs="仿宋"/>
          <w:b/>
          <w:bCs/>
          <w:spacing w:val="-3"/>
          <w:sz w:val="24"/>
          <w:szCs w:val="24"/>
        </w:rPr>
        <w:t>沿黄巨合滩出口东至天顺圪梁通村路段走向图</w:t>
      </w:r>
    </w:p>
    <w:p w14:paraId="21B741E9">
      <w:pPr>
        <w:spacing w:line="222" w:lineRule="auto"/>
        <w:rPr>
          <w:rFonts w:ascii="仿宋" w:hAnsi="仿宋" w:eastAsia="仿宋" w:cs="仿宋"/>
          <w:sz w:val="24"/>
          <w:szCs w:val="24"/>
        </w:rPr>
        <w:sectPr>
          <w:footerReference r:id="rId215" w:type="default"/>
          <w:pgSz w:w="16839" w:h="11906"/>
          <w:pgMar w:top="400" w:right="1925" w:bottom="1511" w:left="1909" w:header="0" w:footer="1349" w:gutter="0"/>
          <w:cols w:space="720" w:num="1"/>
        </w:sectPr>
      </w:pPr>
    </w:p>
    <w:p w14:paraId="714BEA40">
      <w:pPr>
        <w:pStyle w:val="2"/>
        <w:spacing w:line="270" w:lineRule="auto"/>
        <w:rPr>
          <w:sz w:val="21"/>
        </w:rPr>
      </w:pPr>
    </w:p>
    <w:p w14:paraId="17B48914">
      <w:pPr>
        <w:pStyle w:val="2"/>
        <w:spacing w:line="270" w:lineRule="auto"/>
        <w:rPr>
          <w:sz w:val="21"/>
        </w:rPr>
      </w:pPr>
    </w:p>
    <w:p w14:paraId="064B160D">
      <w:pPr>
        <w:pStyle w:val="2"/>
        <w:spacing w:line="270" w:lineRule="auto"/>
        <w:rPr>
          <w:sz w:val="21"/>
        </w:rPr>
      </w:pPr>
    </w:p>
    <w:p w14:paraId="68C4D001">
      <w:pPr>
        <w:pStyle w:val="2"/>
        <w:spacing w:line="271" w:lineRule="auto"/>
        <w:rPr>
          <w:sz w:val="21"/>
        </w:rPr>
      </w:pPr>
    </w:p>
    <w:p w14:paraId="4FA6405E">
      <w:pPr>
        <w:spacing w:before="100" w:line="229" w:lineRule="auto"/>
        <w:ind w:left="122"/>
        <w:outlineLvl w:val="1"/>
        <w:rPr>
          <w:rFonts w:ascii="仿宋" w:hAnsi="仿宋" w:eastAsia="仿宋" w:cs="仿宋"/>
          <w:sz w:val="31"/>
          <w:szCs w:val="31"/>
        </w:rPr>
      </w:pPr>
      <w:bookmarkStart w:id="66" w:name="bookmark75"/>
      <w:bookmarkEnd w:id="66"/>
      <w:r>
        <w:rPr>
          <w:rFonts w:ascii="仿宋" w:hAnsi="仿宋" w:eastAsia="仿宋" w:cs="仿宋"/>
          <w:b/>
          <w:bCs/>
          <w:spacing w:val="-1"/>
          <w:sz w:val="31"/>
          <w:szCs w:val="31"/>
        </w:rPr>
        <w:t>2.2</w:t>
      </w:r>
      <w:r>
        <w:rPr>
          <w:rFonts w:ascii="仿宋" w:hAnsi="仿宋" w:eastAsia="仿宋" w:cs="仿宋"/>
          <w:spacing w:val="-44"/>
          <w:sz w:val="31"/>
          <w:szCs w:val="31"/>
        </w:rPr>
        <w:t xml:space="preserve"> </w:t>
      </w:r>
      <w:r>
        <w:rPr>
          <w:rFonts w:ascii="仿宋" w:hAnsi="仿宋" w:eastAsia="仿宋" w:cs="仿宋"/>
          <w:b/>
          <w:bCs/>
          <w:spacing w:val="-1"/>
          <w:sz w:val="31"/>
          <w:szCs w:val="31"/>
        </w:rPr>
        <w:t>工程占地</w:t>
      </w:r>
    </w:p>
    <w:p w14:paraId="386F0ED1">
      <w:pPr>
        <w:pStyle w:val="2"/>
        <w:spacing w:line="244" w:lineRule="auto"/>
        <w:rPr>
          <w:sz w:val="21"/>
        </w:rPr>
      </w:pPr>
    </w:p>
    <w:p w14:paraId="17B72385">
      <w:pPr>
        <w:spacing w:before="78" w:line="359" w:lineRule="auto"/>
        <w:ind w:left="123" w:right="107" w:firstLine="481"/>
        <w:jc w:val="both"/>
        <w:rPr>
          <w:rFonts w:ascii="仿宋" w:hAnsi="仿宋" w:eastAsia="仿宋" w:cs="仿宋"/>
          <w:sz w:val="24"/>
          <w:szCs w:val="24"/>
        </w:rPr>
      </w:pPr>
      <w:r>
        <w:rPr>
          <w:rFonts w:ascii="仿宋" w:hAnsi="仿宋" w:eastAsia="仿宋" w:cs="仿宋"/>
          <w:sz w:val="24"/>
          <w:szCs w:val="24"/>
        </w:rPr>
        <w:t>本项目属于农村牧区公路项目，不涉及新增建设用地， 不设置取弃土场及</w:t>
      </w:r>
      <w:r>
        <w:rPr>
          <w:rFonts w:ascii="仿宋" w:hAnsi="仿宋" w:eastAsia="仿宋" w:cs="仿宋"/>
          <w:spacing w:val="-2"/>
          <w:sz w:val="24"/>
          <w:szCs w:val="24"/>
        </w:rPr>
        <w:t>施工场地等临时占地（道路施工临时占地全部位于永久占地范围内</w:t>
      </w:r>
      <w:r>
        <w:rPr>
          <w:rFonts w:ascii="仿宋" w:hAnsi="仿宋" w:eastAsia="仿宋" w:cs="仿宋"/>
          <w:spacing w:val="-22"/>
          <w:sz w:val="24"/>
          <w:szCs w:val="24"/>
        </w:rPr>
        <w:t>），</w:t>
      </w:r>
      <w:r>
        <w:rPr>
          <w:rFonts w:ascii="仿宋" w:hAnsi="仿宋" w:eastAsia="仿宋" w:cs="仿宋"/>
          <w:spacing w:val="-2"/>
          <w:sz w:val="24"/>
          <w:szCs w:val="24"/>
        </w:rPr>
        <w:t>道路永久</w:t>
      </w:r>
      <w:r>
        <w:rPr>
          <w:rFonts w:ascii="仿宋" w:hAnsi="仿宋" w:eastAsia="仿宋" w:cs="仿宋"/>
          <w:spacing w:val="-3"/>
          <w:sz w:val="24"/>
          <w:szCs w:val="24"/>
        </w:rPr>
        <w:t>占地面积为</w:t>
      </w:r>
      <w:r>
        <w:rPr>
          <w:rFonts w:ascii="仿宋" w:hAnsi="仿宋" w:eastAsia="仿宋" w:cs="仿宋"/>
          <w:spacing w:val="-32"/>
          <w:sz w:val="24"/>
          <w:szCs w:val="24"/>
        </w:rPr>
        <w:t xml:space="preserve"> </w:t>
      </w:r>
      <w:r>
        <w:rPr>
          <w:rFonts w:ascii="Times New Roman" w:hAnsi="Times New Roman" w:eastAsia="Times New Roman" w:cs="Times New Roman"/>
          <w:spacing w:val="-3"/>
          <w:sz w:val="24"/>
          <w:szCs w:val="24"/>
        </w:rPr>
        <w:t>13.58hm</w:t>
      </w:r>
      <w:r>
        <w:rPr>
          <w:rFonts w:ascii="Times New Roman" w:hAnsi="Times New Roman" w:eastAsia="Times New Roman" w:cs="Times New Roman"/>
          <w:spacing w:val="-3"/>
          <w:position w:val="8"/>
          <w:sz w:val="15"/>
          <w:szCs w:val="15"/>
        </w:rPr>
        <w:t xml:space="preserve">2 </w:t>
      </w:r>
      <w:r>
        <w:rPr>
          <w:rFonts w:ascii="仿宋" w:hAnsi="仿宋" w:eastAsia="仿宋" w:cs="仿宋"/>
          <w:spacing w:val="-3"/>
          <w:sz w:val="24"/>
          <w:szCs w:val="24"/>
        </w:rPr>
        <w:t>。其中，现状已有土路占地面积为</w:t>
      </w:r>
      <w:r>
        <w:rPr>
          <w:rFonts w:ascii="仿宋" w:hAnsi="仿宋" w:eastAsia="仿宋" w:cs="仿宋"/>
          <w:spacing w:val="-51"/>
          <w:sz w:val="24"/>
          <w:szCs w:val="24"/>
        </w:rPr>
        <w:t xml:space="preserve"> </w:t>
      </w:r>
      <w:r>
        <w:rPr>
          <w:rFonts w:ascii="Times New Roman" w:hAnsi="Times New Roman" w:eastAsia="Times New Roman" w:cs="Times New Roman"/>
          <w:spacing w:val="-3"/>
          <w:sz w:val="24"/>
          <w:szCs w:val="24"/>
        </w:rPr>
        <w:t>9.943</w:t>
      </w:r>
      <w:r>
        <w:rPr>
          <w:rFonts w:ascii="Times New Roman" w:hAnsi="Times New Roman" w:eastAsia="Times New Roman" w:cs="Times New Roman"/>
          <w:spacing w:val="-4"/>
          <w:sz w:val="24"/>
          <w:szCs w:val="24"/>
        </w:rPr>
        <w:t>7hm</w:t>
      </w:r>
      <w:r>
        <w:rPr>
          <w:rFonts w:ascii="Times New Roman" w:hAnsi="Times New Roman" w:eastAsia="Times New Roman" w:cs="Times New Roman"/>
          <w:spacing w:val="-4"/>
          <w:position w:val="8"/>
          <w:sz w:val="15"/>
          <w:szCs w:val="15"/>
        </w:rPr>
        <w:t xml:space="preserve">2 </w:t>
      </w:r>
      <w:r>
        <w:rPr>
          <w:rFonts w:ascii="仿宋" w:hAnsi="仿宋" w:eastAsia="仿宋" w:cs="仿宋"/>
          <w:spacing w:val="-4"/>
          <w:sz w:val="24"/>
          <w:szCs w:val="24"/>
        </w:rPr>
        <w:t>；路基加宽侧占地面积为</w:t>
      </w:r>
      <w:r>
        <w:rPr>
          <w:rFonts w:ascii="仿宋" w:hAnsi="仿宋" w:eastAsia="仿宋" w:cs="仿宋"/>
          <w:spacing w:val="-51"/>
          <w:sz w:val="24"/>
          <w:szCs w:val="24"/>
        </w:rPr>
        <w:t xml:space="preserve"> </w:t>
      </w:r>
      <w:r>
        <w:rPr>
          <w:rFonts w:ascii="Times New Roman" w:hAnsi="Times New Roman" w:eastAsia="Times New Roman" w:cs="Times New Roman"/>
          <w:spacing w:val="-4"/>
          <w:sz w:val="24"/>
          <w:szCs w:val="24"/>
        </w:rPr>
        <w:t>3.6363hm2</w:t>
      </w:r>
      <w:r>
        <w:rPr>
          <w:rFonts w:ascii="Times New Roman" w:hAnsi="Times New Roman" w:eastAsia="Times New Roman" w:cs="Times New Roman"/>
          <w:spacing w:val="-26"/>
          <w:sz w:val="24"/>
          <w:szCs w:val="24"/>
        </w:rPr>
        <w:t xml:space="preserve"> </w:t>
      </w:r>
      <w:r>
        <w:rPr>
          <w:rFonts w:ascii="仿宋" w:hAnsi="仿宋" w:eastAsia="仿宋" w:cs="仿宋"/>
          <w:spacing w:val="-4"/>
          <w:sz w:val="24"/>
          <w:szCs w:val="24"/>
        </w:rPr>
        <w:t>，</w:t>
      </w:r>
      <w:r>
        <w:rPr>
          <w:rFonts w:ascii="仿宋" w:hAnsi="仿宋" w:eastAsia="仿宋" w:cs="仿宋"/>
          <w:spacing w:val="-63"/>
          <w:sz w:val="24"/>
          <w:szCs w:val="24"/>
        </w:rPr>
        <w:t xml:space="preserve"> </w:t>
      </w:r>
      <w:r>
        <w:rPr>
          <w:rFonts w:ascii="仿宋" w:hAnsi="仿宋" w:eastAsia="仿宋" w:cs="仿宋"/>
          <w:spacing w:val="-4"/>
          <w:sz w:val="24"/>
          <w:szCs w:val="24"/>
        </w:rPr>
        <w:t>占地类型主要为草地、林地和裸土地等，拟建路</w:t>
      </w:r>
      <w:r>
        <w:rPr>
          <w:rFonts w:ascii="仿宋" w:hAnsi="仿宋" w:eastAsia="仿宋" w:cs="仿宋"/>
          <w:spacing w:val="-5"/>
          <w:sz w:val="24"/>
          <w:szCs w:val="24"/>
        </w:rPr>
        <w:t>线占地</w:t>
      </w:r>
      <w:r>
        <w:rPr>
          <w:rFonts w:ascii="仿宋" w:hAnsi="仿宋" w:eastAsia="仿宋" w:cs="仿宋"/>
          <w:spacing w:val="-2"/>
          <w:sz w:val="24"/>
          <w:szCs w:val="24"/>
        </w:rPr>
        <w:t>类型情况详见下表。</w:t>
      </w:r>
    </w:p>
    <w:p w14:paraId="4DEC0113">
      <w:pPr>
        <w:spacing w:line="222" w:lineRule="auto"/>
        <w:ind w:left="2432"/>
        <w:rPr>
          <w:rFonts w:ascii="仿宋" w:hAnsi="仿宋" w:eastAsia="仿宋" w:cs="仿宋"/>
          <w:sz w:val="24"/>
          <w:szCs w:val="24"/>
        </w:rPr>
      </w:pPr>
      <w:r>
        <w:rPr>
          <w:rFonts w:ascii="仿宋" w:hAnsi="仿宋" w:eastAsia="仿宋" w:cs="仿宋"/>
          <w:b/>
          <w:bCs/>
          <w:spacing w:val="-2"/>
          <w:sz w:val="24"/>
          <w:szCs w:val="24"/>
        </w:rPr>
        <w:t>表</w:t>
      </w:r>
      <w:r>
        <w:rPr>
          <w:rFonts w:ascii="仿宋" w:hAnsi="仿宋" w:eastAsia="仿宋" w:cs="仿宋"/>
          <w:spacing w:val="-54"/>
          <w:sz w:val="24"/>
          <w:szCs w:val="24"/>
        </w:rPr>
        <w:t xml:space="preserve"> </w:t>
      </w:r>
      <w:r>
        <w:rPr>
          <w:rFonts w:ascii="Times New Roman" w:hAnsi="Times New Roman" w:eastAsia="Times New Roman" w:cs="Times New Roman"/>
          <w:b/>
          <w:bCs/>
          <w:spacing w:val="-2"/>
          <w:sz w:val="24"/>
          <w:szCs w:val="24"/>
        </w:rPr>
        <w:t xml:space="preserve">2.2-1    </w:t>
      </w:r>
      <w:r>
        <w:rPr>
          <w:rFonts w:ascii="仿宋" w:hAnsi="仿宋" w:eastAsia="仿宋" w:cs="仿宋"/>
          <w:b/>
          <w:bCs/>
          <w:spacing w:val="-2"/>
          <w:sz w:val="24"/>
          <w:szCs w:val="24"/>
        </w:rPr>
        <w:t>拟建路线占地类型情况</w:t>
      </w:r>
      <w:r>
        <w:rPr>
          <w:rFonts w:ascii="仿宋" w:hAnsi="仿宋" w:eastAsia="仿宋" w:cs="仿宋"/>
          <w:b/>
          <w:bCs/>
          <w:spacing w:val="-3"/>
          <w:sz w:val="24"/>
          <w:szCs w:val="24"/>
        </w:rPr>
        <w:t>一览表</w:t>
      </w:r>
    </w:p>
    <w:p w14:paraId="5D5D3E19">
      <w:pPr>
        <w:spacing w:line="144" w:lineRule="exact"/>
      </w:pPr>
    </w:p>
    <w:tbl>
      <w:tblPr>
        <w:tblStyle w:val="5"/>
        <w:tblW w:w="852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1"/>
        <w:gridCol w:w="828"/>
        <w:gridCol w:w="1014"/>
        <w:gridCol w:w="925"/>
        <w:gridCol w:w="911"/>
        <w:gridCol w:w="870"/>
        <w:gridCol w:w="1215"/>
        <w:gridCol w:w="960"/>
        <w:gridCol w:w="878"/>
      </w:tblGrid>
      <w:tr w14:paraId="5A0D46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921" w:type="dxa"/>
            <w:vMerge w:val="restart"/>
            <w:tcBorders>
              <w:top w:val="single" w:color="000000" w:sz="10" w:space="0"/>
              <w:left w:val="nil"/>
              <w:bottom w:val="nil"/>
            </w:tcBorders>
            <w:vAlign w:val="top"/>
          </w:tcPr>
          <w:p w14:paraId="02DAF3A5">
            <w:pPr>
              <w:spacing w:line="245" w:lineRule="auto"/>
              <w:rPr>
                <w:rFonts w:ascii="Arial"/>
                <w:sz w:val="21"/>
              </w:rPr>
            </w:pPr>
          </w:p>
          <w:p w14:paraId="5797655D">
            <w:pPr>
              <w:spacing w:before="65" w:line="251" w:lineRule="auto"/>
              <w:ind w:left="371" w:right="145" w:hanging="211"/>
              <w:rPr>
                <w:rFonts w:ascii="仿宋" w:hAnsi="仿宋" w:eastAsia="仿宋" w:cs="仿宋"/>
                <w:sz w:val="20"/>
                <w:szCs w:val="20"/>
              </w:rPr>
            </w:pPr>
            <w:r>
              <w:rPr>
                <w:rFonts w:ascii="仿宋" w:hAnsi="仿宋" w:eastAsia="仿宋" w:cs="仿宋"/>
                <w:spacing w:val="4"/>
                <w:sz w:val="20"/>
                <w:szCs w:val="20"/>
              </w:rPr>
              <w:t>土地类</w:t>
            </w:r>
            <w:r>
              <w:rPr>
                <w:rFonts w:ascii="仿宋" w:hAnsi="仿宋" w:eastAsia="仿宋" w:cs="仿宋"/>
                <w:sz w:val="20"/>
                <w:szCs w:val="20"/>
              </w:rPr>
              <w:t>别</w:t>
            </w:r>
          </w:p>
        </w:tc>
        <w:tc>
          <w:tcPr>
            <w:tcW w:w="2767" w:type="dxa"/>
            <w:gridSpan w:val="3"/>
            <w:tcBorders>
              <w:top w:val="single" w:color="000000" w:sz="10" w:space="0"/>
            </w:tcBorders>
            <w:vAlign w:val="top"/>
          </w:tcPr>
          <w:p w14:paraId="44CA0EB2">
            <w:pPr>
              <w:spacing w:before="170" w:line="231" w:lineRule="auto"/>
              <w:ind w:left="1183"/>
              <w:rPr>
                <w:rFonts w:ascii="仿宋" w:hAnsi="仿宋" w:eastAsia="仿宋" w:cs="仿宋"/>
                <w:sz w:val="20"/>
                <w:szCs w:val="20"/>
              </w:rPr>
            </w:pPr>
            <w:r>
              <w:rPr>
                <w:rFonts w:ascii="仿宋" w:hAnsi="仿宋" w:eastAsia="仿宋" w:cs="仿宋"/>
                <w:spacing w:val="2"/>
                <w:sz w:val="20"/>
                <w:szCs w:val="20"/>
              </w:rPr>
              <w:t>林地</w:t>
            </w:r>
          </w:p>
        </w:tc>
        <w:tc>
          <w:tcPr>
            <w:tcW w:w="1781" w:type="dxa"/>
            <w:gridSpan w:val="2"/>
            <w:tcBorders>
              <w:top w:val="single" w:color="000000" w:sz="10" w:space="0"/>
            </w:tcBorders>
            <w:vAlign w:val="top"/>
          </w:tcPr>
          <w:p w14:paraId="73DCA3D2">
            <w:pPr>
              <w:spacing w:before="170" w:line="231" w:lineRule="auto"/>
              <w:ind w:left="694"/>
              <w:rPr>
                <w:rFonts w:ascii="仿宋" w:hAnsi="仿宋" w:eastAsia="仿宋" w:cs="仿宋"/>
                <w:sz w:val="20"/>
                <w:szCs w:val="20"/>
              </w:rPr>
            </w:pPr>
            <w:r>
              <w:rPr>
                <w:rFonts w:ascii="仿宋" w:hAnsi="仿宋" w:eastAsia="仿宋" w:cs="仿宋"/>
                <w:sz w:val="20"/>
                <w:szCs w:val="20"/>
              </w:rPr>
              <w:t>草地</w:t>
            </w:r>
          </w:p>
        </w:tc>
        <w:tc>
          <w:tcPr>
            <w:tcW w:w="1215" w:type="dxa"/>
            <w:tcBorders>
              <w:top w:val="single" w:color="000000" w:sz="10" w:space="0"/>
            </w:tcBorders>
            <w:vAlign w:val="top"/>
          </w:tcPr>
          <w:p w14:paraId="3476DBB9">
            <w:pPr>
              <w:spacing w:before="36" w:line="230" w:lineRule="auto"/>
              <w:ind w:left="407" w:right="186" w:hanging="203"/>
              <w:rPr>
                <w:rFonts w:ascii="仿宋" w:hAnsi="仿宋" w:eastAsia="仿宋" w:cs="仿宋"/>
                <w:sz w:val="20"/>
                <w:szCs w:val="20"/>
              </w:rPr>
            </w:pPr>
            <w:r>
              <w:rPr>
                <w:rFonts w:ascii="仿宋" w:hAnsi="仿宋" w:eastAsia="仿宋" w:cs="仿宋"/>
                <w:spacing w:val="4"/>
                <w:sz w:val="20"/>
                <w:szCs w:val="20"/>
              </w:rPr>
              <w:t>交通运输</w:t>
            </w:r>
            <w:r>
              <w:rPr>
                <w:rFonts w:ascii="仿宋" w:hAnsi="仿宋" w:eastAsia="仿宋" w:cs="仿宋"/>
                <w:spacing w:val="2"/>
                <w:sz w:val="20"/>
                <w:szCs w:val="20"/>
              </w:rPr>
              <w:t>用地</w:t>
            </w:r>
          </w:p>
        </w:tc>
        <w:tc>
          <w:tcPr>
            <w:tcW w:w="960" w:type="dxa"/>
            <w:tcBorders>
              <w:top w:val="single" w:color="000000" w:sz="10" w:space="0"/>
            </w:tcBorders>
            <w:vAlign w:val="top"/>
          </w:tcPr>
          <w:p w14:paraId="01E17472">
            <w:pPr>
              <w:spacing w:before="36" w:line="230" w:lineRule="auto"/>
              <w:ind w:left="385" w:right="162" w:hanging="207"/>
              <w:rPr>
                <w:rFonts w:ascii="仿宋" w:hAnsi="仿宋" w:eastAsia="仿宋" w:cs="仿宋"/>
                <w:sz w:val="20"/>
                <w:szCs w:val="20"/>
              </w:rPr>
            </w:pPr>
            <w:r>
              <w:rPr>
                <w:rFonts w:ascii="仿宋" w:hAnsi="仿宋" w:eastAsia="仿宋" w:cs="仿宋"/>
                <w:spacing w:val="4"/>
                <w:sz w:val="20"/>
                <w:szCs w:val="20"/>
              </w:rPr>
              <w:t>其他土</w:t>
            </w:r>
            <w:r>
              <w:rPr>
                <w:rFonts w:ascii="仿宋" w:hAnsi="仿宋" w:eastAsia="仿宋" w:cs="仿宋"/>
                <w:sz w:val="20"/>
                <w:szCs w:val="20"/>
              </w:rPr>
              <w:t>地</w:t>
            </w:r>
          </w:p>
        </w:tc>
        <w:tc>
          <w:tcPr>
            <w:tcW w:w="878" w:type="dxa"/>
            <w:vMerge w:val="restart"/>
            <w:tcBorders>
              <w:top w:val="single" w:color="000000" w:sz="10" w:space="0"/>
              <w:bottom w:val="nil"/>
              <w:right w:val="nil"/>
            </w:tcBorders>
            <w:vAlign w:val="top"/>
          </w:tcPr>
          <w:p w14:paraId="1FD9163B">
            <w:pPr>
              <w:spacing w:line="381" w:lineRule="auto"/>
              <w:rPr>
                <w:rFonts w:ascii="Arial"/>
                <w:sz w:val="21"/>
              </w:rPr>
            </w:pPr>
          </w:p>
          <w:p w14:paraId="0951F6B2">
            <w:pPr>
              <w:spacing w:before="65" w:line="231" w:lineRule="auto"/>
              <w:ind w:left="248"/>
              <w:rPr>
                <w:rFonts w:ascii="仿宋" w:hAnsi="仿宋" w:eastAsia="仿宋" w:cs="仿宋"/>
                <w:sz w:val="20"/>
                <w:szCs w:val="20"/>
              </w:rPr>
            </w:pPr>
            <w:r>
              <w:rPr>
                <w:rFonts w:ascii="仿宋" w:hAnsi="仿宋" w:eastAsia="仿宋" w:cs="仿宋"/>
                <w:spacing w:val="-3"/>
                <w:sz w:val="20"/>
                <w:szCs w:val="20"/>
              </w:rPr>
              <w:t>总计</w:t>
            </w:r>
          </w:p>
        </w:tc>
      </w:tr>
      <w:tr w14:paraId="6A831E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2" w:hRule="atLeast"/>
        </w:trPr>
        <w:tc>
          <w:tcPr>
            <w:tcW w:w="921" w:type="dxa"/>
            <w:vMerge w:val="continue"/>
            <w:tcBorders>
              <w:top w:val="nil"/>
              <w:left w:val="nil"/>
            </w:tcBorders>
            <w:vAlign w:val="top"/>
          </w:tcPr>
          <w:p w14:paraId="059EA98B">
            <w:pPr>
              <w:rPr>
                <w:rFonts w:ascii="Arial"/>
                <w:sz w:val="21"/>
              </w:rPr>
            </w:pPr>
          </w:p>
        </w:tc>
        <w:tc>
          <w:tcPr>
            <w:tcW w:w="828" w:type="dxa"/>
            <w:vAlign w:val="top"/>
          </w:tcPr>
          <w:p w14:paraId="136AC8FF">
            <w:pPr>
              <w:spacing w:before="40" w:line="230" w:lineRule="auto"/>
              <w:ind w:left="219"/>
              <w:rPr>
                <w:rFonts w:ascii="仿宋" w:hAnsi="仿宋" w:eastAsia="仿宋" w:cs="仿宋"/>
                <w:sz w:val="20"/>
                <w:szCs w:val="20"/>
              </w:rPr>
            </w:pPr>
            <w:r>
              <w:rPr>
                <w:rFonts w:ascii="仿宋" w:hAnsi="仿宋" w:eastAsia="仿宋" w:cs="仿宋"/>
                <w:sz w:val="20"/>
                <w:szCs w:val="20"/>
              </w:rPr>
              <w:t>乔木</w:t>
            </w:r>
          </w:p>
          <w:p w14:paraId="3B41E0F1">
            <w:pPr>
              <w:spacing w:before="21" w:line="203" w:lineRule="auto"/>
              <w:ind w:left="215"/>
              <w:rPr>
                <w:rFonts w:ascii="仿宋" w:hAnsi="仿宋" w:eastAsia="仿宋" w:cs="仿宋"/>
                <w:sz w:val="20"/>
                <w:szCs w:val="20"/>
              </w:rPr>
            </w:pPr>
            <w:r>
              <w:rPr>
                <w:rFonts w:ascii="仿宋" w:hAnsi="仿宋" w:eastAsia="仿宋" w:cs="仿宋"/>
                <w:spacing w:val="2"/>
                <w:sz w:val="20"/>
                <w:szCs w:val="20"/>
              </w:rPr>
              <w:t>林地</w:t>
            </w:r>
          </w:p>
        </w:tc>
        <w:tc>
          <w:tcPr>
            <w:tcW w:w="1014" w:type="dxa"/>
            <w:vAlign w:val="top"/>
          </w:tcPr>
          <w:p w14:paraId="505C5FF2">
            <w:pPr>
              <w:spacing w:before="40" w:line="227" w:lineRule="auto"/>
              <w:ind w:left="413" w:right="189" w:hanging="206"/>
              <w:rPr>
                <w:rFonts w:ascii="仿宋" w:hAnsi="仿宋" w:eastAsia="仿宋" w:cs="仿宋"/>
                <w:sz w:val="20"/>
                <w:szCs w:val="20"/>
              </w:rPr>
            </w:pPr>
            <w:r>
              <w:rPr>
                <w:rFonts w:ascii="仿宋" w:hAnsi="仿宋" w:eastAsia="仿宋" w:cs="仿宋"/>
                <w:spacing w:val="3"/>
                <w:sz w:val="20"/>
                <w:szCs w:val="20"/>
              </w:rPr>
              <w:t>灌木林</w:t>
            </w:r>
            <w:r>
              <w:rPr>
                <w:rFonts w:ascii="仿宋" w:hAnsi="仿宋" w:eastAsia="仿宋" w:cs="仿宋"/>
                <w:sz w:val="20"/>
                <w:szCs w:val="20"/>
              </w:rPr>
              <w:t>地</w:t>
            </w:r>
          </w:p>
        </w:tc>
        <w:tc>
          <w:tcPr>
            <w:tcW w:w="925" w:type="dxa"/>
            <w:vAlign w:val="top"/>
          </w:tcPr>
          <w:p w14:paraId="57E74CDE">
            <w:pPr>
              <w:spacing w:before="40" w:line="227" w:lineRule="auto"/>
              <w:ind w:left="368" w:right="147" w:hanging="210"/>
              <w:rPr>
                <w:rFonts w:ascii="仿宋" w:hAnsi="仿宋" w:eastAsia="仿宋" w:cs="仿宋"/>
                <w:sz w:val="20"/>
                <w:szCs w:val="20"/>
              </w:rPr>
            </w:pPr>
            <w:r>
              <w:rPr>
                <w:rFonts w:ascii="仿宋" w:hAnsi="仿宋" w:eastAsia="仿宋" w:cs="仿宋"/>
                <w:spacing w:val="4"/>
                <w:sz w:val="20"/>
                <w:szCs w:val="20"/>
              </w:rPr>
              <w:t>其他林</w:t>
            </w:r>
            <w:r>
              <w:rPr>
                <w:rFonts w:ascii="仿宋" w:hAnsi="仿宋" w:eastAsia="仿宋" w:cs="仿宋"/>
                <w:sz w:val="20"/>
                <w:szCs w:val="20"/>
              </w:rPr>
              <w:t>地</w:t>
            </w:r>
          </w:p>
        </w:tc>
        <w:tc>
          <w:tcPr>
            <w:tcW w:w="911" w:type="dxa"/>
            <w:vAlign w:val="top"/>
          </w:tcPr>
          <w:p w14:paraId="7365E3FE">
            <w:pPr>
              <w:spacing w:before="40" w:line="227" w:lineRule="auto"/>
              <w:ind w:left="260" w:right="139" w:hanging="108"/>
              <w:rPr>
                <w:rFonts w:ascii="仿宋" w:hAnsi="仿宋" w:eastAsia="仿宋" w:cs="仿宋"/>
                <w:sz w:val="20"/>
                <w:szCs w:val="20"/>
              </w:rPr>
            </w:pPr>
            <w:r>
              <w:rPr>
                <w:rFonts w:ascii="仿宋" w:hAnsi="仿宋" w:eastAsia="仿宋" w:cs="仿宋"/>
                <w:spacing w:val="4"/>
                <w:sz w:val="20"/>
                <w:szCs w:val="20"/>
              </w:rPr>
              <w:t>天然牧</w:t>
            </w:r>
            <w:r>
              <w:rPr>
                <w:rFonts w:ascii="仿宋" w:hAnsi="仿宋" w:eastAsia="仿宋" w:cs="仿宋"/>
                <w:sz w:val="20"/>
                <w:szCs w:val="20"/>
              </w:rPr>
              <w:t>草地</w:t>
            </w:r>
          </w:p>
        </w:tc>
        <w:tc>
          <w:tcPr>
            <w:tcW w:w="870" w:type="dxa"/>
            <w:vAlign w:val="top"/>
          </w:tcPr>
          <w:p w14:paraId="1F776A47">
            <w:pPr>
              <w:spacing w:before="40" w:line="227" w:lineRule="auto"/>
              <w:ind w:left="342" w:right="119" w:hanging="210"/>
              <w:rPr>
                <w:rFonts w:ascii="仿宋" w:hAnsi="仿宋" w:eastAsia="仿宋" w:cs="仿宋"/>
                <w:sz w:val="20"/>
                <w:szCs w:val="20"/>
              </w:rPr>
            </w:pPr>
            <w:r>
              <w:rPr>
                <w:rFonts w:ascii="仿宋" w:hAnsi="仿宋" w:eastAsia="仿宋" w:cs="仿宋"/>
                <w:spacing w:val="4"/>
                <w:sz w:val="20"/>
                <w:szCs w:val="20"/>
              </w:rPr>
              <w:t>其他草</w:t>
            </w:r>
            <w:r>
              <w:rPr>
                <w:rFonts w:ascii="仿宋" w:hAnsi="仿宋" w:eastAsia="仿宋" w:cs="仿宋"/>
                <w:sz w:val="20"/>
                <w:szCs w:val="20"/>
              </w:rPr>
              <w:t>地</w:t>
            </w:r>
          </w:p>
        </w:tc>
        <w:tc>
          <w:tcPr>
            <w:tcW w:w="1215" w:type="dxa"/>
            <w:vAlign w:val="top"/>
          </w:tcPr>
          <w:p w14:paraId="2891B1C5">
            <w:pPr>
              <w:spacing w:before="175" w:line="230" w:lineRule="auto"/>
              <w:ind w:left="199"/>
              <w:rPr>
                <w:rFonts w:ascii="仿宋" w:hAnsi="仿宋" w:eastAsia="仿宋" w:cs="仿宋"/>
                <w:sz w:val="20"/>
                <w:szCs w:val="20"/>
              </w:rPr>
            </w:pPr>
            <w:r>
              <w:rPr>
                <w:rFonts w:ascii="仿宋" w:hAnsi="仿宋" w:eastAsia="仿宋" w:cs="仿宋"/>
                <w:spacing w:val="5"/>
                <w:sz w:val="20"/>
                <w:szCs w:val="20"/>
              </w:rPr>
              <w:t>农村道路</w:t>
            </w:r>
          </w:p>
        </w:tc>
        <w:tc>
          <w:tcPr>
            <w:tcW w:w="960" w:type="dxa"/>
            <w:vAlign w:val="top"/>
          </w:tcPr>
          <w:p w14:paraId="3045E24C">
            <w:pPr>
              <w:spacing w:before="175" w:line="229" w:lineRule="auto"/>
              <w:ind w:left="176"/>
              <w:rPr>
                <w:rFonts w:ascii="仿宋" w:hAnsi="仿宋" w:eastAsia="仿宋" w:cs="仿宋"/>
                <w:sz w:val="20"/>
                <w:szCs w:val="20"/>
              </w:rPr>
            </w:pPr>
            <w:r>
              <w:rPr>
                <w:rFonts w:ascii="仿宋" w:hAnsi="仿宋" w:eastAsia="仿宋" w:cs="仿宋"/>
                <w:spacing w:val="5"/>
                <w:sz w:val="20"/>
                <w:szCs w:val="20"/>
              </w:rPr>
              <w:t>裸土地</w:t>
            </w:r>
          </w:p>
        </w:tc>
        <w:tc>
          <w:tcPr>
            <w:tcW w:w="878" w:type="dxa"/>
            <w:vMerge w:val="continue"/>
            <w:tcBorders>
              <w:top w:val="nil"/>
              <w:right w:val="nil"/>
            </w:tcBorders>
            <w:vAlign w:val="top"/>
          </w:tcPr>
          <w:p w14:paraId="5D1DA549">
            <w:pPr>
              <w:rPr>
                <w:rFonts w:ascii="Arial"/>
                <w:sz w:val="21"/>
              </w:rPr>
            </w:pPr>
          </w:p>
        </w:tc>
      </w:tr>
      <w:tr w14:paraId="014163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921" w:type="dxa"/>
            <w:tcBorders>
              <w:left w:val="nil"/>
              <w:bottom w:val="single" w:color="000000" w:sz="10" w:space="0"/>
            </w:tcBorders>
            <w:vAlign w:val="top"/>
          </w:tcPr>
          <w:p w14:paraId="7B06030F">
            <w:pPr>
              <w:pStyle w:val="6"/>
              <w:spacing w:before="47" w:line="234" w:lineRule="auto"/>
              <w:ind w:left="126" w:right="74" w:firstLine="141"/>
              <w:rPr>
                <w:rFonts w:ascii="仿宋" w:hAnsi="仿宋" w:eastAsia="仿宋" w:cs="仿宋"/>
                <w:sz w:val="20"/>
                <w:szCs w:val="20"/>
              </w:rPr>
            </w:pPr>
            <w:r>
              <w:rPr>
                <w:rFonts w:ascii="仿宋" w:hAnsi="仿宋" w:eastAsia="仿宋" w:cs="仿宋"/>
                <w:spacing w:val="-1"/>
                <w:sz w:val="20"/>
                <w:szCs w:val="20"/>
              </w:rPr>
              <w:t>面积（</w:t>
            </w:r>
            <w:r>
              <w:rPr>
                <w:spacing w:val="-1"/>
                <w:sz w:val="20"/>
                <w:szCs w:val="20"/>
              </w:rPr>
              <w:t>hm</w:t>
            </w:r>
            <w:r>
              <w:rPr>
                <w:spacing w:val="-1"/>
                <w:sz w:val="13"/>
                <w:szCs w:val="13"/>
              </w:rPr>
              <w:t>2</w:t>
            </w:r>
            <w:r>
              <w:rPr>
                <w:rFonts w:ascii="仿宋" w:hAnsi="仿宋" w:eastAsia="仿宋" w:cs="仿宋"/>
                <w:spacing w:val="-1"/>
                <w:sz w:val="20"/>
                <w:szCs w:val="20"/>
              </w:rPr>
              <w:t>）</w:t>
            </w:r>
          </w:p>
        </w:tc>
        <w:tc>
          <w:tcPr>
            <w:tcW w:w="828" w:type="dxa"/>
            <w:tcBorders>
              <w:bottom w:val="single" w:color="000000" w:sz="10" w:space="0"/>
            </w:tcBorders>
            <w:vAlign w:val="top"/>
          </w:tcPr>
          <w:p w14:paraId="3F32A820">
            <w:pPr>
              <w:pStyle w:val="6"/>
              <w:spacing w:before="220" w:line="195" w:lineRule="auto"/>
              <w:ind w:left="130"/>
              <w:rPr>
                <w:sz w:val="20"/>
                <w:szCs w:val="20"/>
              </w:rPr>
            </w:pPr>
            <w:r>
              <w:rPr>
                <w:spacing w:val="3"/>
                <w:sz w:val="20"/>
                <w:szCs w:val="20"/>
              </w:rPr>
              <w:t>0.3065</w:t>
            </w:r>
          </w:p>
        </w:tc>
        <w:tc>
          <w:tcPr>
            <w:tcW w:w="1014" w:type="dxa"/>
            <w:tcBorders>
              <w:bottom w:val="single" w:color="000000" w:sz="10" w:space="0"/>
            </w:tcBorders>
            <w:vAlign w:val="top"/>
          </w:tcPr>
          <w:p w14:paraId="1FA99F94">
            <w:pPr>
              <w:pStyle w:val="6"/>
              <w:spacing w:before="220" w:line="195" w:lineRule="auto"/>
              <w:ind w:left="240"/>
              <w:rPr>
                <w:sz w:val="20"/>
                <w:szCs w:val="20"/>
              </w:rPr>
            </w:pPr>
            <w:r>
              <w:rPr>
                <w:sz w:val="20"/>
                <w:szCs w:val="20"/>
              </w:rPr>
              <w:t>1.6347</w:t>
            </w:r>
          </w:p>
        </w:tc>
        <w:tc>
          <w:tcPr>
            <w:tcW w:w="925" w:type="dxa"/>
            <w:tcBorders>
              <w:bottom w:val="single" w:color="000000" w:sz="10" w:space="0"/>
            </w:tcBorders>
            <w:vAlign w:val="top"/>
          </w:tcPr>
          <w:p w14:paraId="5F6A83C6">
            <w:pPr>
              <w:pStyle w:val="6"/>
              <w:spacing w:before="220" w:line="195" w:lineRule="auto"/>
              <w:ind w:left="177"/>
              <w:rPr>
                <w:sz w:val="20"/>
                <w:szCs w:val="20"/>
              </w:rPr>
            </w:pPr>
            <w:r>
              <w:rPr>
                <w:spacing w:val="3"/>
                <w:sz w:val="20"/>
                <w:szCs w:val="20"/>
              </w:rPr>
              <w:t>0.0076</w:t>
            </w:r>
          </w:p>
        </w:tc>
        <w:tc>
          <w:tcPr>
            <w:tcW w:w="911" w:type="dxa"/>
            <w:tcBorders>
              <w:bottom w:val="single" w:color="000000" w:sz="10" w:space="0"/>
            </w:tcBorders>
            <w:vAlign w:val="top"/>
          </w:tcPr>
          <w:p w14:paraId="1D9B4105">
            <w:pPr>
              <w:pStyle w:val="6"/>
              <w:spacing w:before="220" w:line="195" w:lineRule="auto"/>
              <w:ind w:left="188"/>
              <w:rPr>
                <w:sz w:val="20"/>
                <w:szCs w:val="20"/>
              </w:rPr>
            </w:pPr>
            <w:r>
              <w:rPr>
                <w:sz w:val="20"/>
                <w:szCs w:val="20"/>
              </w:rPr>
              <w:t>1.0380</w:t>
            </w:r>
          </w:p>
        </w:tc>
        <w:tc>
          <w:tcPr>
            <w:tcW w:w="870" w:type="dxa"/>
            <w:tcBorders>
              <w:bottom w:val="single" w:color="000000" w:sz="10" w:space="0"/>
            </w:tcBorders>
            <w:vAlign w:val="top"/>
          </w:tcPr>
          <w:p w14:paraId="2C439C34">
            <w:pPr>
              <w:pStyle w:val="6"/>
              <w:spacing w:before="220" w:line="195" w:lineRule="auto"/>
              <w:ind w:left="150"/>
              <w:rPr>
                <w:sz w:val="20"/>
                <w:szCs w:val="20"/>
              </w:rPr>
            </w:pPr>
            <w:r>
              <w:rPr>
                <w:spacing w:val="3"/>
                <w:sz w:val="20"/>
                <w:szCs w:val="20"/>
              </w:rPr>
              <w:t>0.5795</w:t>
            </w:r>
          </w:p>
        </w:tc>
        <w:tc>
          <w:tcPr>
            <w:tcW w:w="1215" w:type="dxa"/>
            <w:tcBorders>
              <w:bottom w:val="single" w:color="000000" w:sz="10" w:space="0"/>
            </w:tcBorders>
            <w:vAlign w:val="top"/>
          </w:tcPr>
          <w:p w14:paraId="17B26A66">
            <w:pPr>
              <w:pStyle w:val="6"/>
              <w:spacing w:before="220" w:line="195" w:lineRule="auto"/>
              <w:ind w:left="323"/>
              <w:rPr>
                <w:sz w:val="20"/>
                <w:szCs w:val="20"/>
              </w:rPr>
            </w:pPr>
            <w:r>
              <w:rPr>
                <w:spacing w:val="3"/>
                <w:sz w:val="20"/>
                <w:szCs w:val="20"/>
              </w:rPr>
              <w:t>9.9437</w:t>
            </w:r>
          </w:p>
        </w:tc>
        <w:tc>
          <w:tcPr>
            <w:tcW w:w="960" w:type="dxa"/>
            <w:tcBorders>
              <w:bottom w:val="single" w:color="000000" w:sz="10" w:space="0"/>
            </w:tcBorders>
            <w:vAlign w:val="top"/>
          </w:tcPr>
          <w:p w14:paraId="661244A1">
            <w:pPr>
              <w:pStyle w:val="6"/>
              <w:spacing w:before="220" w:line="195" w:lineRule="auto"/>
              <w:ind w:left="300"/>
              <w:rPr>
                <w:sz w:val="20"/>
                <w:szCs w:val="20"/>
              </w:rPr>
            </w:pPr>
            <w:r>
              <w:rPr>
                <w:spacing w:val="2"/>
                <w:sz w:val="20"/>
                <w:szCs w:val="20"/>
              </w:rPr>
              <w:t>0.07</w:t>
            </w:r>
          </w:p>
        </w:tc>
        <w:tc>
          <w:tcPr>
            <w:tcW w:w="878" w:type="dxa"/>
            <w:tcBorders>
              <w:bottom w:val="single" w:color="000000" w:sz="10" w:space="0"/>
              <w:right w:val="nil"/>
            </w:tcBorders>
            <w:vAlign w:val="top"/>
          </w:tcPr>
          <w:p w14:paraId="0169C89B">
            <w:pPr>
              <w:pStyle w:val="6"/>
              <w:spacing w:before="220" w:line="195" w:lineRule="auto"/>
              <w:ind w:left="223"/>
              <w:rPr>
                <w:sz w:val="20"/>
                <w:szCs w:val="20"/>
              </w:rPr>
            </w:pPr>
            <w:r>
              <w:rPr>
                <w:spacing w:val="-1"/>
                <w:sz w:val="20"/>
                <w:szCs w:val="20"/>
              </w:rPr>
              <w:t>13.58</w:t>
            </w:r>
          </w:p>
        </w:tc>
      </w:tr>
    </w:tbl>
    <w:p w14:paraId="5BC65DD6">
      <w:pPr>
        <w:spacing w:before="149" w:line="226" w:lineRule="auto"/>
        <w:ind w:left="122"/>
        <w:outlineLvl w:val="1"/>
        <w:rPr>
          <w:rFonts w:ascii="仿宋" w:hAnsi="仿宋" w:eastAsia="仿宋" w:cs="仿宋"/>
          <w:sz w:val="31"/>
          <w:szCs w:val="31"/>
        </w:rPr>
      </w:pPr>
      <w:bookmarkStart w:id="67" w:name="bookmark76"/>
      <w:bookmarkEnd w:id="67"/>
      <w:r>
        <w:rPr>
          <w:rFonts w:ascii="仿宋" w:hAnsi="仿宋" w:eastAsia="仿宋" w:cs="仿宋"/>
          <w:b/>
          <w:bCs/>
          <w:spacing w:val="2"/>
          <w:sz w:val="31"/>
          <w:szCs w:val="31"/>
        </w:rPr>
        <w:t>2.3</w:t>
      </w:r>
      <w:r>
        <w:rPr>
          <w:rFonts w:ascii="仿宋" w:hAnsi="仿宋" w:eastAsia="仿宋" w:cs="仿宋"/>
          <w:spacing w:val="-49"/>
          <w:sz w:val="31"/>
          <w:szCs w:val="31"/>
        </w:rPr>
        <w:t xml:space="preserve"> </w:t>
      </w:r>
      <w:r>
        <w:rPr>
          <w:rFonts w:ascii="仿宋" w:hAnsi="仿宋" w:eastAsia="仿宋" w:cs="仿宋"/>
          <w:b/>
          <w:bCs/>
          <w:spacing w:val="2"/>
          <w:sz w:val="31"/>
          <w:szCs w:val="31"/>
        </w:rPr>
        <w:t>选址合理性分析</w:t>
      </w:r>
    </w:p>
    <w:p w14:paraId="40EFE4DA">
      <w:pPr>
        <w:pStyle w:val="2"/>
        <w:spacing w:line="249" w:lineRule="auto"/>
        <w:rPr>
          <w:sz w:val="21"/>
        </w:rPr>
      </w:pPr>
    </w:p>
    <w:p w14:paraId="17BD0A0D">
      <w:pPr>
        <w:spacing w:before="86" w:line="229" w:lineRule="auto"/>
        <w:ind w:left="120"/>
        <w:rPr>
          <w:rFonts w:ascii="仿宋" w:hAnsi="仿宋" w:eastAsia="仿宋" w:cs="仿宋"/>
          <w:sz w:val="26"/>
          <w:szCs w:val="26"/>
        </w:rPr>
      </w:pPr>
      <w:r>
        <w:rPr>
          <w:rFonts w:ascii="仿宋" w:hAnsi="仿宋" w:eastAsia="仿宋" w:cs="仿宋"/>
          <w:b/>
          <w:bCs/>
          <w:spacing w:val="2"/>
          <w:sz w:val="26"/>
          <w:szCs w:val="26"/>
        </w:rPr>
        <w:t>2.3.1</w:t>
      </w:r>
      <w:r>
        <w:rPr>
          <w:rFonts w:ascii="仿宋" w:hAnsi="仿宋" w:eastAsia="仿宋" w:cs="仿宋"/>
          <w:spacing w:val="35"/>
          <w:sz w:val="26"/>
          <w:szCs w:val="26"/>
        </w:rPr>
        <w:t xml:space="preserve"> </w:t>
      </w:r>
      <w:r>
        <w:rPr>
          <w:rFonts w:ascii="仿宋" w:hAnsi="仿宋" w:eastAsia="仿宋" w:cs="仿宋"/>
          <w:b/>
          <w:bCs/>
          <w:spacing w:val="2"/>
          <w:sz w:val="26"/>
          <w:szCs w:val="26"/>
        </w:rPr>
        <w:t>项目选址概况</w:t>
      </w:r>
    </w:p>
    <w:p w14:paraId="484660AD">
      <w:pPr>
        <w:spacing w:before="297" w:line="359" w:lineRule="auto"/>
        <w:ind w:left="123" w:right="107" w:firstLine="481"/>
        <w:jc w:val="both"/>
        <w:rPr>
          <w:rFonts w:ascii="仿宋" w:hAnsi="仿宋" w:eastAsia="仿宋" w:cs="仿宋"/>
          <w:sz w:val="24"/>
          <w:szCs w:val="24"/>
        </w:rPr>
      </w:pPr>
      <w:r>
        <w:rPr>
          <w:rFonts w:ascii="仿宋" w:hAnsi="仿宋" w:eastAsia="仿宋" w:cs="仿宋"/>
          <w:spacing w:val="-3"/>
          <w:sz w:val="24"/>
          <w:szCs w:val="24"/>
        </w:rPr>
        <w:t>本项目建设地点位于准格尔旗沙圪堵镇、十二</w:t>
      </w:r>
      <w:r>
        <w:rPr>
          <w:rFonts w:ascii="仿宋" w:hAnsi="仿宋" w:eastAsia="仿宋" w:cs="仿宋"/>
          <w:spacing w:val="-4"/>
          <w:sz w:val="24"/>
          <w:szCs w:val="24"/>
        </w:rPr>
        <w:t>连城乡自然村境内，工程核心</w:t>
      </w:r>
      <w:r>
        <w:rPr>
          <w:rFonts w:ascii="仿宋" w:hAnsi="仿宋" w:eastAsia="仿宋" w:cs="仿宋"/>
          <w:spacing w:val="-3"/>
          <w:sz w:val="24"/>
          <w:szCs w:val="24"/>
        </w:rPr>
        <w:t>建设内容为辖区内现状土路硬化升级改造。项目建设初衷为补齐农村</w:t>
      </w:r>
      <w:r>
        <w:rPr>
          <w:rFonts w:ascii="仿宋" w:hAnsi="仿宋" w:eastAsia="仿宋" w:cs="仿宋"/>
          <w:spacing w:val="-4"/>
          <w:sz w:val="24"/>
          <w:szCs w:val="24"/>
        </w:rPr>
        <w:t>交通基础设</w:t>
      </w:r>
      <w:r>
        <w:rPr>
          <w:rFonts w:ascii="仿宋" w:hAnsi="仿宋" w:eastAsia="仿宋" w:cs="仿宋"/>
          <w:spacing w:val="-3"/>
          <w:sz w:val="24"/>
          <w:szCs w:val="24"/>
        </w:rPr>
        <w:t>施短板，改善乡村群众日常出行条件，畅通乡村物流与产业运输通道</w:t>
      </w:r>
      <w:r>
        <w:rPr>
          <w:rFonts w:ascii="仿宋" w:hAnsi="仿宋" w:eastAsia="仿宋" w:cs="仿宋"/>
          <w:spacing w:val="-4"/>
          <w:sz w:val="24"/>
          <w:szCs w:val="24"/>
        </w:rPr>
        <w:t>，完善全域</w:t>
      </w:r>
      <w:r>
        <w:rPr>
          <w:rFonts w:ascii="仿宋" w:hAnsi="仿宋" w:eastAsia="仿宋" w:cs="仿宋"/>
          <w:spacing w:val="-3"/>
          <w:sz w:val="24"/>
          <w:szCs w:val="24"/>
        </w:rPr>
        <w:t>乡村基础设施网络，进而助力当地乡村产业发展与城乡融合，推动区</w:t>
      </w:r>
      <w:r>
        <w:rPr>
          <w:rFonts w:ascii="仿宋" w:hAnsi="仿宋" w:eastAsia="仿宋" w:cs="仿宋"/>
          <w:spacing w:val="-4"/>
          <w:sz w:val="24"/>
          <w:szCs w:val="24"/>
        </w:rPr>
        <w:t>域农村经济</w:t>
      </w:r>
      <w:r>
        <w:rPr>
          <w:rFonts w:ascii="仿宋" w:hAnsi="仿宋" w:eastAsia="仿宋" w:cs="仿宋"/>
          <w:spacing w:val="-2"/>
          <w:sz w:val="24"/>
          <w:szCs w:val="24"/>
        </w:rPr>
        <w:t>社会高质量发展。</w:t>
      </w:r>
    </w:p>
    <w:p w14:paraId="4E31F4C6">
      <w:pPr>
        <w:spacing w:before="4" w:line="359" w:lineRule="auto"/>
        <w:ind w:left="127" w:right="107" w:firstLine="477"/>
        <w:jc w:val="both"/>
        <w:rPr>
          <w:rFonts w:ascii="仿宋" w:hAnsi="仿宋" w:eastAsia="仿宋" w:cs="仿宋"/>
          <w:sz w:val="24"/>
          <w:szCs w:val="24"/>
        </w:rPr>
      </w:pPr>
      <w:r>
        <w:rPr>
          <w:rFonts w:ascii="仿宋" w:hAnsi="仿宋" w:eastAsia="仿宋" w:cs="仿宋"/>
          <w:spacing w:val="-6"/>
          <w:sz w:val="24"/>
          <w:szCs w:val="24"/>
        </w:rPr>
        <w:t>本项目各道路路段总占地面积</w:t>
      </w:r>
      <w:r>
        <w:rPr>
          <w:rFonts w:ascii="仿宋" w:hAnsi="仿宋" w:eastAsia="仿宋" w:cs="仿宋"/>
          <w:spacing w:val="-17"/>
          <w:sz w:val="24"/>
          <w:szCs w:val="24"/>
        </w:rPr>
        <w:t xml:space="preserve"> </w:t>
      </w:r>
      <w:r>
        <w:rPr>
          <w:rFonts w:ascii="Times New Roman" w:hAnsi="Times New Roman" w:eastAsia="Times New Roman" w:cs="Times New Roman"/>
          <w:spacing w:val="-6"/>
          <w:sz w:val="24"/>
          <w:szCs w:val="24"/>
        </w:rPr>
        <w:t>13.58hm2</w:t>
      </w:r>
      <w:r>
        <w:rPr>
          <w:rFonts w:ascii="仿宋" w:hAnsi="仿宋" w:eastAsia="仿宋" w:cs="仿宋"/>
          <w:spacing w:val="-6"/>
          <w:sz w:val="24"/>
          <w:szCs w:val="24"/>
        </w:rPr>
        <w:t>，全部为永久建设用地，占地类型以</w:t>
      </w:r>
      <w:r>
        <w:rPr>
          <w:rFonts w:ascii="仿宋" w:hAnsi="仿宋" w:eastAsia="仿宋" w:cs="仿宋"/>
          <w:spacing w:val="-3"/>
          <w:sz w:val="24"/>
          <w:szCs w:val="24"/>
        </w:rPr>
        <w:t>草地、林地、裸土地为主。本次道路改造全程依托既有土</w:t>
      </w:r>
      <w:r>
        <w:rPr>
          <w:rFonts w:ascii="仿宋" w:hAnsi="仿宋" w:eastAsia="仿宋" w:cs="仿宋"/>
          <w:spacing w:val="-4"/>
          <w:sz w:val="24"/>
          <w:szCs w:val="24"/>
        </w:rPr>
        <w:t>路线位施工，工程施工</w:t>
      </w:r>
      <w:r>
        <w:rPr>
          <w:rFonts w:ascii="仿宋" w:hAnsi="仿宋" w:eastAsia="仿宋" w:cs="仿宋"/>
          <w:spacing w:val="-3"/>
          <w:sz w:val="24"/>
          <w:szCs w:val="24"/>
        </w:rPr>
        <w:t>方案中不规划设置取土场、弃土场、施工便道等临时占地</w:t>
      </w:r>
      <w:r>
        <w:rPr>
          <w:rFonts w:ascii="仿宋" w:hAnsi="仿宋" w:eastAsia="仿宋" w:cs="仿宋"/>
          <w:spacing w:val="-4"/>
          <w:sz w:val="24"/>
          <w:szCs w:val="24"/>
        </w:rPr>
        <w:t>设施，全程无临时用地</w:t>
      </w:r>
      <w:r>
        <w:rPr>
          <w:rFonts w:ascii="仿宋" w:hAnsi="仿宋" w:eastAsia="仿宋" w:cs="仿宋"/>
          <w:spacing w:val="-1"/>
          <w:sz w:val="24"/>
          <w:szCs w:val="24"/>
        </w:rPr>
        <w:t>需求，可最大限度减少工程对区域原生地表的扰动破坏。</w:t>
      </w:r>
    </w:p>
    <w:p w14:paraId="6DDEF28E">
      <w:pPr>
        <w:spacing w:before="100" w:line="227" w:lineRule="auto"/>
        <w:ind w:left="120"/>
        <w:rPr>
          <w:rFonts w:ascii="仿宋" w:hAnsi="仿宋" w:eastAsia="仿宋" w:cs="仿宋"/>
          <w:sz w:val="26"/>
          <w:szCs w:val="26"/>
        </w:rPr>
      </w:pPr>
      <w:r>
        <w:rPr>
          <w:rFonts w:ascii="仿宋" w:hAnsi="仿宋" w:eastAsia="仿宋" w:cs="仿宋"/>
          <w:b/>
          <w:bCs/>
          <w:spacing w:val="5"/>
          <w:sz w:val="26"/>
          <w:szCs w:val="26"/>
        </w:rPr>
        <w:t>2.3.2</w:t>
      </w:r>
      <w:r>
        <w:rPr>
          <w:rFonts w:ascii="仿宋" w:hAnsi="仿宋" w:eastAsia="仿宋" w:cs="仿宋"/>
          <w:spacing w:val="5"/>
          <w:sz w:val="26"/>
          <w:szCs w:val="26"/>
        </w:rPr>
        <w:t xml:space="preserve"> </w:t>
      </w:r>
      <w:r>
        <w:rPr>
          <w:rFonts w:ascii="仿宋" w:hAnsi="仿宋" w:eastAsia="仿宋" w:cs="仿宋"/>
          <w:b/>
          <w:bCs/>
          <w:spacing w:val="5"/>
          <w:sz w:val="26"/>
          <w:szCs w:val="26"/>
        </w:rPr>
        <w:t>选址管控底线符合性分析</w:t>
      </w:r>
    </w:p>
    <w:p w14:paraId="3489204B">
      <w:pPr>
        <w:spacing w:before="301" w:line="360" w:lineRule="auto"/>
        <w:ind w:left="124" w:right="110" w:firstLine="480"/>
        <w:rPr>
          <w:rFonts w:ascii="仿宋" w:hAnsi="仿宋" w:eastAsia="仿宋" w:cs="仿宋"/>
          <w:sz w:val="24"/>
          <w:szCs w:val="24"/>
        </w:rPr>
      </w:pPr>
      <w:r>
        <w:rPr>
          <w:rFonts w:ascii="仿宋" w:hAnsi="仿宋" w:eastAsia="仿宋" w:cs="仿宋"/>
          <w:spacing w:val="-4"/>
          <w:sz w:val="24"/>
          <w:szCs w:val="24"/>
        </w:rPr>
        <w:t>本次选址严格对照国土空间、生态保护、文物保护、饮用水源保护四类管控</w:t>
      </w:r>
      <w:r>
        <w:rPr>
          <w:rFonts w:ascii="仿宋" w:hAnsi="仿宋" w:eastAsia="仿宋" w:cs="仿宋"/>
          <w:spacing w:val="-1"/>
          <w:sz w:val="24"/>
          <w:szCs w:val="24"/>
        </w:rPr>
        <w:t>红线开展符合性核查，均已取得行业主管部门正式复函，具体核查结果如下：</w:t>
      </w:r>
    </w:p>
    <w:p w14:paraId="4DBC501B">
      <w:pPr>
        <w:spacing w:before="2" w:line="358" w:lineRule="auto"/>
        <w:ind w:left="128" w:right="107" w:firstLine="480"/>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1</w:t>
      </w:r>
      <w:r>
        <w:rPr>
          <w:rFonts w:ascii="仿宋" w:hAnsi="仿宋" w:eastAsia="仿宋" w:cs="仿宋"/>
          <w:spacing w:val="-2"/>
          <w:sz w:val="24"/>
          <w:szCs w:val="24"/>
        </w:rPr>
        <w:t>）国土空间管控符合性：依据《准格尔旗自然资源局关于准格尔旗</w:t>
      </w:r>
      <w:r>
        <w:rPr>
          <w:rFonts w:ascii="仿宋" w:hAnsi="仿宋" w:eastAsia="仿宋" w:cs="仿宋"/>
          <w:spacing w:val="-46"/>
          <w:sz w:val="24"/>
          <w:szCs w:val="24"/>
        </w:rPr>
        <w:t xml:space="preserve"> </w:t>
      </w:r>
      <w:r>
        <w:rPr>
          <w:rFonts w:ascii="Times New Roman" w:hAnsi="Times New Roman" w:eastAsia="Times New Roman" w:cs="Times New Roman"/>
          <w:spacing w:val="-2"/>
          <w:sz w:val="24"/>
          <w:szCs w:val="24"/>
        </w:rPr>
        <w:t>2025</w:t>
      </w:r>
      <w:r>
        <w:rPr>
          <w:rFonts w:ascii="仿宋" w:hAnsi="仿宋" w:eastAsia="仿宋" w:cs="仿宋"/>
          <w:spacing w:val="4"/>
          <w:sz w:val="24"/>
          <w:szCs w:val="24"/>
        </w:rPr>
        <w:t>年沙圪堵镇、十二连城乡自然村通硬化路工程征求</w:t>
      </w:r>
      <w:r>
        <w:rPr>
          <w:rFonts w:ascii="仿宋" w:hAnsi="仿宋" w:eastAsia="仿宋" w:cs="仿宋"/>
          <w:spacing w:val="3"/>
          <w:sz w:val="24"/>
          <w:szCs w:val="24"/>
        </w:rPr>
        <w:t>意见的复函》（准自然资函</w:t>
      </w:r>
    </w:p>
    <w:p w14:paraId="37C35D0E">
      <w:pPr>
        <w:spacing w:line="358" w:lineRule="auto"/>
        <w:rPr>
          <w:rFonts w:ascii="仿宋" w:hAnsi="仿宋" w:eastAsia="仿宋" w:cs="仿宋"/>
          <w:sz w:val="24"/>
          <w:szCs w:val="24"/>
        </w:rPr>
        <w:sectPr>
          <w:footerReference r:id="rId216" w:type="default"/>
          <w:pgSz w:w="11906" w:h="16839"/>
          <w:pgMar w:top="400" w:right="1691" w:bottom="1511" w:left="1691" w:header="0" w:footer="1349" w:gutter="0"/>
          <w:cols w:space="720" w:num="1"/>
        </w:sectPr>
      </w:pPr>
    </w:p>
    <w:p w14:paraId="183ABDA9">
      <w:pPr>
        <w:pStyle w:val="2"/>
        <w:spacing w:line="247" w:lineRule="auto"/>
        <w:rPr>
          <w:sz w:val="21"/>
        </w:rPr>
      </w:pPr>
    </w:p>
    <w:p w14:paraId="6DC3459E">
      <w:pPr>
        <w:pStyle w:val="2"/>
        <w:spacing w:line="247" w:lineRule="auto"/>
        <w:rPr>
          <w:sz w:val="21"/>
        </w:rPr>
      </w:pPr>
    </w:p>
    <w:p w14:paraId="444368BB">
      <w:pPr>
        <w:pStyle w:val="2"/>
        <w:spacing w:line="248" w:lineRule="auto"/>
        <w:rPr>
          <w:sz w:val="21"/>
        </w:rPr>
      </w:pPr>
    </w:p>
    <w:p w14:paraId="1FD4FF24">
      <w:pPr>
        <w:pStyle w:val="2"/>
        <w:spacing w:line="248" w:lineRule="auto"/>
        <w:rPr>
          <w:sz w:val="21"/>
        </w:rPr>
      </w:pPr>
    </w:p>
    <w:p w14:paraId="7F116BAD">
      <w:pPr>
        <w:spacing w:before="78" w:line="359" w:lineRule="auto"/>
        <w:ind w:left="46" w:right="83" w:firstLine="8"/>
        <w:rPr>
          <w:rFonts w:ascii="仿宋" w:hAnsi="仿宋" w:eastAsia="仿宋" w:cs="仿宋"/>
          <w:sz w:val="24"/>
          <w:szCs w:val="24"/>
        </w:rPr>
      </w:pPr>
      <w:r>
        <w:rPr>
          <w:rFonts w:ascii="仿宋" w:hAnsi="仿宋" w:eastAsia="仿宋" w:cs="仿宋"/>
          <w:sz w:val="24"/>
          <w:szCs w:val="24"/>
        </w:rPr>
        <w:t>〔</w:t>
      </w:r>
      <w:r>
        <w:rPr>
          <w:rFonts w:ascii="Times New Roman" w:hAnsi="Times New Roman" w:eastAsia="Times New Roman" w:cs="Times New Roman"/>
          <w:sz w:val="24"/>
          <w:szCs w:val="24"/>
        </w:rPr>
        <w:t>2025</w:t>
      </w:r>
      <w:r>
        <w:rPr>
          <w:rFonts w:ascii="仿宋" w:hAnsi="仿宋" w:eastAsia="仿宋" w:cs="仿宋"/>
          <w:sz w:val="24"/>
          <w:szCs w:val="24"/>
        </w:rPr>
        <w:t>〕</w:t>
      </w:r>
      <w:r>
        <w:rPr>
          <w:rFonts w:ascii="Times New Roman" w:hAnsi="Times New Roman" w:eastAsia="Times New Roman" w:cs="Times New Roman"/>
          <w:sz w:val="24"/>
          <w:szCs w:val="24"/>
        </w:rPr>
        <w:t>2372</w:t>
      </w:r>
      <w:r>
        <w:rPr>
          <w:rFonts w:ascii="Times New Roman" w:hAnsi="Times New Roman" w:eastAsia="Times New Roman" w:cs="Times New Roman"/>
          <w:spacing w:val="26"/>
          <w:w w:val="101"/>
          <w:sz w:val="24"/>
          <w:szCs w:val="24"/>
        </w:rPr>
        <w:t xml:space="preserve"> </w:t>
      </w:r>
      <w:r>
        <w:rPr>
          <w:rFonts w:ascii="仿宋" w:hAnsi="仿宋" w:eastAsia="仿宋" w:cs="仿宋"/>
          <w:sz w:val="24"/>
          <w:szCs w:val="24"/>
        </w:rPr>
        <w:t>号</w:t>
      </w:r>
      <w:r>
        <w:rPr>
          <w:rFonts w:ascii="仿宋" w:hAnsi="仿宋" w:eastAsia="仿宋" w:cs="仿宋"/>
          <w:spacing w:val="12"/>
          <w:sz w:val="24"/>
          <w:szCs w:val="24"/>
        </w:rPr>
        <w:t>），</w:t>
      </w:r>
      <w:r>
        <w:rPr>
          <w:rFonts w:ascii="仿宋" w:hAnsi="仿宋" w:eastAsia="仿宋" w:cs="仿宋"/>
          <w:sz w:val="24"/>
          <w:szCs w:val="24"/>
        </w:rPr>
        <w:t>项目用地范围未划入自然资源部划定的生</w:t>
      </w:r>
      <w:r>
        <w:rPr>
          <w:rFonts w:ascii="仿宋" w:hAnsi="仿宋" w:eastAsia="仿宋" w:cs="仿宋"/>
          <w:spacing w:val="-1"/>
          <w:sz w:val="24"/>
          <w:szCs w:val="24"/>
        </w:rPr>
        <w:t>态保护红线，同时不占用永久基本农田，完全符合区域国土空间规</w:t>
      </w:r>
      <w:r>
        <w:rPr>
          <w:rFonts w:ascii="仿宋" w:hAnsi="仿宋" w:eastAsia="仿宋" w:cs="仿宋"/>
          <w:spacing w:val="-2"/>
          <w:sz w:val="24"/>
          <w:szCs w:val="24"/>
        </w:rPr>
        <w:t>划管控要求。</w:t>
      </w:r>
    </w:p>
    <w:p w14:paraId="0F3943C6">
      <w:pPr>
        <w:spacing w:line="359" w:lineRule="auto"/>
        <w:ind w:left="29" w:right="83" w:firstLine="485"/>
        <w:rPr>
          <w:rFonts w:ascii="仿宋" w:hAnsi="仿宋" w:eastAsia="仿宋" w:cs="仿宋"/>
          <w:sz w:val="24"/>
          <w:szCs w:val="24"/>
        </w:rPr>
      </w:pPr>
      <w:r>
        <w:rPr>
          <w:rFonts w:ascii="仿宋" w:hAnsi="仿宋" w:eastAsia="仿宋" w:cs="仿宋"/>
          <w:spacing w:val="-4"/>
          <w:sz w:val="24"/>
          <w:szCs w:val="24"/>
        </w:rPr>
        <w:t>（</w:t>
      </w:r>
      <w:r>
        <w:rPr>
          <w:rFonts w:ascii="Times New Roman" w:hAnsi="Times New Roman" w:eastAsia="Times New Roman" w:cs="Times New Roman"/>
          <w:spacing w:val="-4"/>
          <w:sz w:val="24"/>
          <w:szCs w:val="24"/>
        </w:rPr>
        <w:t>2</w:t>
      </w:r>
      <w:r>
        <w:rPr>
          <w:rFonts w:ascii="仿宋" w:hAnsi="仿宋" w:eastAsia="仿宋" w:cs="仿宋"/>
          <w:spacing w:val="-4"/>
          <w:sz w:val="24"/>
          <w:szCs w:val="24"/>
        </w:rPr>
        <w:t>）文物保护符合性：依据《准格尔旗文物局关于准格尔旗</w:t>
      </w:r>
      <w:r>
        <w:rPr>
          <w:rFonts w:ascii="仿宋" w:hAnsi="仿宋" w:eastAsia="仿宋" w:cs="仿宋"/>
          <w:spacing w:val="-55"/>
          <w:sz w:val="24"/>
          <w:szCs w:val="24"/>
        </w:rPr>
        <w:t xml:space="preserve"> </w:t>
      </w:r>
      <w:r>
        <w:rPr>
          <w:rFonts w:ascii="Times New Roman" w:hAnsi="Times New Roman" w:eastAsia="Times New Roman" w:cs="Times New Roman"/>
          <w:spacing w:val="-4"/>
          <w:sz w:val="24"/>
          <w:szCs w:val="24"/>
        </w:rPr>
        <w:t>2025</w:t>
      </w:r>
      <w:r>
        <w:rPr>
          <w:rFonts w:ascii="Times New Roman" w:hAnsi="Times New Roman" w:eastAsia="Times New Roman" w:cs="Times New Roman"/>
          <w:spacing w:val="21"/>
          <w:sz w:val="24"/>
          <w:szCs w:val="24"/>
        </w:rPr>
        <w:t xml:space="preserve"> </w:t>
      </w:r>
      <w:r>
        <w:rPr>
          <w:rFonts w:ascii="仿宋" w:hAnsi="仿宋" w:eastAsia="仿宋" w:cs="仿宋"/>
          <w:spacing w:val="-4"/>
          <w:sz w:val="24"/>
          <w:szCs w:val="24"/>
        </w:rPr>
        <w:t>年沙</w:t>
      </w:r>
      <w:r>
        <w:rPr>
          <w:rFonts w:ascii="仿宋" w:hAnsi="仿宋" w:eastAsia="仿宋" w:cs="仿宋"/>
          <w:spacing w:val="-5"/>
          <w:sz w:val="24"/>
          <w:szCs w:val="24"/>
        </w:rPr>
        <w:t>圪堵</w:t>
      </w:r>
      <w:r>
        <w:rPr>
          <w:rFonts w:ascii="仿宋" w:hAnsi="仿宋" w:eastAsia="仿宋" w:cs="仿宋"/>
          <w:spacing w:val="1"/>
          <w:sz w:val="24"/>
          <w:szCs w:val="24"/>
        </w:rPr>
        <w:t>镇、十二连城乡自然村通硬化路的复函》（准文物</w:t>
      </w:r>
      <w:r>
        <w:rPr>
          <w:rFonts w:ascii="仿宋" w:hAnsi="仿宋" w:eastAsia="仿宋" w:cs="仿宋"/>
          <w:sz w:val="24"/>
          <w:szCs w:val="24"/>
        </w:rPr>
        <w:t>函〔</w:t>
      </w:r>
      <w:r>
        <w:rPr>
          <w:rFonts w:ascii="Times New Roman" w:hAnsi="Times New Roman" w:eastAsia="Times New Roman" w:cs="Times New Roman"/>
          <w:sz w:val="24"/>
          <w:szCs w:val="24"/>
        </w:rPr>
        <w:t>2025</w:t>
      </w:r>
      <w:r>
        <w:rPr>
          <w:rFonts w:ascii="仿宋" w:hAnsi="仿宋" w:eastAsia="仿宋" w:cs="仿宋"/>
          <w:sz w:val="24"/>
          <w:szCs w:val="24"/>
        </w:rPr>
        <w:t>〕</w:t>
      </w:r>
      <w:r>
        <w:rPr>
          <w:rFonts w:ascii="Times New Roman" w:hAnsi="Times New Roman" w:eastAsia="Times New Roman" w:cs="Times New Roman"/>
          <w:sz w:val="24"/>
          <w:szCs w:val="24"/>
        </w:rPr>
        <w:t>1408</w:t>
      </w:r>
      <w:r>
        <w:rPr>
          <w:rFonts w:ascii="Times New Roman" w:hAnsi="Times New Roman" w:eastAsia="Times New Roman" w:cs="Times New Roman"/>
          <w:spacing w:val="24"/>
          <w:sz w:val="24"/>
          <w:szCs w:val="24"/>
        </w:rPr>
        <w:t xml:space="preserve"> </w:t>
      </w:r>
      <w:r>
        <w:rPr>
          <w:rFonts w:ascii="仿宋" w:hAnsi="仿宋" w:eastAsia="仿宋" w:cs="仿宋"/>
          <w:sz w:val="24"/>
          <w:szCs w:val="24"/>
        </w:rPr>
        <w:t>号</w:t>
      </w:r>
      <w:r>
        <w:rPr>
          <w:rFonts w:ascii="仿宋" w:hAnsi="仿宋" w:eastAsia="仿宋" w:cs="仿宋"/>
          <w:spacing w:val="12"/>
          <w:sz w:val="24"/>
          <w:szCs w:val="24"/>
        </w:rPr>
        <w:t>），</w:t>
      </w:r>
      <w:r>
        <w:rPr>
          <w:rFonts w:ascii="仿宋" w:hAnsi="仿宋" w:eastAsia="仿宋" w:cs="仿宋"/>
          <w:sz w:val="24"/>
          <w:szCs w:val="24"/>
        </w:rPr>
        <w:t>项目</w:t>
      </w:r>
      <w:r>
        <w:rPr>
          <w:rFonts w:ascii="仿宋" w:hAnsi="仿宋" w:eastAsia="仿宋" w:cs="仿宋"/>
          <w:spacing w:val="-3"/>
          <w:sz w:val="24"/>
          <w:szCs w:val="24"/>
        </w:rPr>
        <w:t>全线建设范围内无文物普查数据库登记在册的古遗址、古建筑、近现</w:t>
      </w:r>
      <w:r>
        <w:rPr>
          <w:rFonts w:ascii="仿宋" w:hAnsi="仿宋" w:eastAsia="仿宋" w:cs="仿宋"/>
          <w:spacing w:val="-4"/>
          <w:sz w:val="24"/>
          <w:szCs w:val="24"/>
        </w:rPr>
        <w:t>代重要史迹</w:t>
      </w:r>
      <w:r>
        <w:rPr>
          <w:rFonts w:ascii="仿宋" w:hAnsi="仿宋" w:eastAsia="仿宋" w:cs="仿宋"/>
          <w:spacing w:val="-1"/>
          <w:sz w:val="24"/>
          <w:szCs w:val="24"/>
        </w:rPr>
        <w:t>及代表性建筑等文物遗存，无文物保护相关建设制约因素。</w:t>
      </w:r>
    </w:p>
    <w:p w14:paraId="1FB9CF83">
      <w:pPr>
        <w:spacing w:before="2" w:line="359" w:lineRule="auto"/>
        <w:ind w:left="29" w:firstLine="485"/>
        <w:rPr>
          <w:rFonts w:ascii="仿宋" w:hAnsi="仿宋" w:eastAsia="仿宋" w:cs="仿宋"/>
          <w:sz w:val="24"/>
          <w:szCs w:val="24"/>
        </w:rPr>
      </w:pPr>
      <w:r>
        <w:rPr>
          <w:rFonts w:ascii="仿宋" w:hAnsi="仿宋" w:eastAsia="仿宋" w:cs="仿宋"/>
          <w:sz w:val="24"/>
          <w:szCs w:val="24"/>
        </w:rPr>
        <w:t>（</w:t>
      </w:r>
      <w:r>
        <w:rPr>
          <w:rFonts w:ascii="Times New Roman" w:hAnsi="Times New Roman" w:eastAsia="Times New Roman" w:cs="Times New Roman"/>
          <w:sz w:val="24"/>
          <w:szCs w:val="24"/>
        </w:rPr>
        <w:t>3</w:t>
      </w:r>
      <w:r>
        <w:rPr>
          <w:rFonts w:ascii="仿宋" w:hAnsi="仿宋" w:eastAsia="仿宋" w:cs="仿宋"/>
          <w:sz w:val="24"/>
          <w:szCs w:val="24"/>
        </w:rPr>
        <w:t>）饮用水源保护符合性：依据《鄂尔多斯市生态环境局准格尔旗分局关</w:t>
      </w:r>
      <w:r>
        <w:rPr>
          <w:rFonts w:ascii="仿宋" w:hAnsi="仿宋" w:eastAsia="仿宋" w:cs="仿宋"/>
          <w:spacing w:val="-1"/>
          <w:sz w:val="24"/>
          <w:szCs w:val="24"/>
        </w:rPr>
        <w:t>于准格尔旗</w:t>
      </w:r>
      <w:r>
        <w:rPr>
          <w:rFonts w:ascii="仿宋" w:hAnsi="仿宋" w:eastAsia="仿宋" w:cs="仿宋"/>
          <w:spacing w:val="-35"/>
          <w:sz w:val="24"/>
          <w:szCs w:val="24"/>
        </w:rPr>
        <w:t xml:space="preserve"> </w:t>
      </w:r>
      <w:r>
        <w:rPr>
          <w:rFonts w:ascii="Times New Roman" w:hAnsi="Times New Roman" w:eastAsia="Times New Roman" w:cs="Times New Roman"/>
          <w:spacing w:val="-1"/>
          <w:sz w:val="24"/>
          <w:szCs w:val="24"/>
        </w:rPr>
        <w:t>2025</w:t>
      </w:r>
      <w:r>
        <w:rPr>
          <w:rFonts w:ascii="Times New Roman" w:hAnsi="Times New Roman" w:eastAsia="Times New Roman" w:cs="Times New Roman"/>
          <w:spacing w:val="21"/>
          <w:sz w:val="24"/>
          <w:szCs w:val="24"/>
        </w:rPr>
        <w:t xml:space="preserve"> </w:t>
      </w:r>
      <w:r>
        <w:rPr>
          <w:rFonts w:ascii="仿宋" w:hAnsi="仿宋" w:eastAsia="仿宋" w:cs="仿宋"/>
          <w:spacing w:val="-1"/>
          <w:sz w:val="24"/>
          <w:szCs w:val="24"/>
        </w:rPr>
        <w:t>年沙圪堵镇、十二连城乡自然村通硬化路范围是否占用水源地</w:t>
      </w:r>
      <w:r>
        <w:rPr>
          <w:rFonts w:ascii="仿宋" w:hAnsi="仿宋" w:eastAsia="仿宋" w:cs="仿宋"/>
          <w:spacing w:val="-2"/>
          <w:sz w:val="24"/>
          <w:szCs w:val="24"/>
        </w:rPr>
        <w:t>保护区的复函》（鄂环准函〔</w:t>
      </w:r>
      <w:r>
        <w:rPr>
          <w:rFonts w:ascii="Times New Roman" w:hAnsi="Times New Roman" w:eastAsia="Times New Roman" w:cs="Times New Roman"/>
          <w:spacing w:val="-2"/>
          <w:sz w:val="24"/>
          <w:szCs w:val="24"/>
        </w:rPr>
        <w:t>2025</w:t>
      </w:r>
      <w:r>
        <w:rPr>
          <w:rFonts w:ascii="仿宋" w:hAnsi="仿宋" w:eastAsia="仿宋" w:cs="仿宋"/>
          <w:spacing w:val="-2"/>
          <w:sz w:val="24"/>
          <w:szCs w:val="24"/>
        </w:rPr>
        <w:t>〕</w:t>
      </w:r>
      <w:r>
        <w:rPr>
          <w:rFonts w:ascii="Times New Roman" w:hAnsi="Times New Roman" w:eastAsia="Times New Roman" w:cs="Times New Roman"/>
          <w:spacing w:val="-2"/>
          <w:sz w:val="24"/>
          <w:szCs w:val="24"/>
        </w:rPr>
        <w:t>339</w:t>
      </w:r>
      <w:r>
        <w:rPr>
          <w:rFonts w:ascii="Times New Roman" w:hAnsi="Times New Roman" w:eastAsia="Times New Roman" w:cs="Times New Roman"/>
          <w:spacing w:val="23"/>
          <w:sz w:val="24"/>
          <w:szCs w:val="24"/>
        </w:rPr>
        <w:t xml:space="preserve"> </w:t>
      </w:r>
      <w:r>
        <w:rPr>
          <w:rFonts w:ascii="仿宋" w:hAnsi="仿宋" w:eastAsia="仿宋" w:cs="仿宋"/>
          <w:spacing w:val="-2"/>
          <w:sz w:val="24"/>
          <w:szCs w:val="24"/>
        </w:rPr>
        <w:t>号</w:t>
      </w:r>
      <w:r>
        <w:rPr>
          <w:rFonts w:ascii="仿宋" w:hAnsi="仿宋" w:eastAsia="仿宋" w:cs="仿宋"/>
          <w:spacing w:val="3"/>
          <w:sz w:val="24"/>
          <w:szCs w:val="24"/>
        </w:rPr>
        <w:t>），</w:t>
      </w:r>
      <w:r>
        <w:rPr>
          <w:rFonts w:ascii="仿宋" w:hAnsi="仿宋" w:eastAsia="仿宋" w:cs="仿宋"/>
          <w:spacing w:val="-2"/>
          <w:sz w:val="24"/>
          <w:szCs w:val="24"/>
        </w:rPr>
        <w:t>项目用地范围不</w:t>
      </w:r>
      <w:r>
        <w:rPr>
          <w:rFonts w:ascii="仿宋" w:hAnsi="仿宋" w:eastAsia="仿宋" w:cs="仿宋"/>
          <w:spacing w:val="-3"/>
          <w:sz w:val="24"/>
          <w:szCs w:val="24"/>
        </w:rPr>
        <w:t>涉及集中式饮用</w:t>
      </w:r>
      <w:r>
        <w:rPr>
          <w:rFonts w:ascii="仿宋" w:hAnsi="仿宋" w:eastAsia="仿宋" w:cs="仿宋"/>
          <w:spacing w:val="-7"/>
          <w:sz w:val="24"/>
          <w:szCs w:val="24"/>
        </w:rPr>
        <w:t>水水源地一级、二级保护区及准保护区，不会对</w:t>
      </w:r>
      <w:r>
        <w:rPr>
          <w:rFonts w:ascii="仿宋" w:hAnsi="仿宋" w:eastAsia="仿宋" w:cs="仿宋"/>
          <w:spacing w:val="-8"/>
          <w:sz w:val="24"/>
          <w:szCs w:val="24"/>
        </w:rPr>
        <w:t>区域饮用水源安全造成不利影响。</w:t>
      </w:r>
    </w:p>
    <w:p w14:paraId="4BA45FB2">
      <w:pPr>
        <w:spacing w:before="104" w:line="227" w:lineRule="auto"/>
        <w:ind w:left="26"/>
        <w:rPr>
          <w:rFonts w:ascii="仿宋" w:hAnsi="仿宋" w:eastAsia="仿宋" w:cs="仿宋"/>
          <w:sz w:val="26"/>
          <w:szCs w:val="26"/>
        </w:rPr>
      </w:pPr>
      <w:r>
        <w:rPr>
          <w:rFonts w:ascii="仿宋" w:hAnsi="仿宋" w:eastAsia="仿宋" w:cs="仿宋"/>
          <w:b/>
          <w:bCs/>
          <w:spacing w:val="6"/>
          <w:sz w:val="26"/>
          <w:szCs w:val="26"/>
        </w:rPr>
        <w:t>2.3.3</w:t>
      </w:r>
      <w:r>
        <w:rPr>
          <w:rFonts w:ascii="仿宋" w:hAnsi="仿宋" w:eastAsia="仿宋" w:cs="仿宋"/>
          <w:spacing w:val="6"/>
          <w:sz w:val="26"/>
          <w:szCs w:val="26"/>
        </w:rPr>
        <w:t xml:space="preserve"> </w:t>
      </w:r>
      <w:r>
        <w:rPr>
          <w:rFonts w:ascii="仿宋" w:hAnsi="仿宋" w:eastAsia="仿宋" w:cs="仿宋"/>
          <w:b/>
          <w:bCs/>
          <w:spacing w:val="6"/>
          <w:sz w:val="26"/>
          <w:szCs w:val="26"/>
        </w:rPr>
        <w:t>林地与基本草原占用合理性分析</w:t>
      </w:r>
    </w:p>
    <w:p w14:paraId="040B1028">
      <w:pPr>
        <w:spacing w:before="300" w:line="359" w:lineRule="auto"/>
        <w:ind w:left="30" w:right="83" w:firstLine="480"/>
        <w:jc w:val="both"/>
        <w:rPr>
          <w:rFonts w:ascii="仿宋" w:hAnsi="仿宋" w:eastAsia="仿宋" w:cs="仿宋"/>
          <w:sz w:val="24"/>
          <w:szCs w:val="24"/>
        </w:rPr>
      </w:pPr>
      <w:r>
        <w:rPr>
          <w:rFonts w:ascii="仿宋" w:hAnsi="仿宋" w:eastAsia="仿宋" w:cs="仿宋"/>
          <w:spacing w:val="-3"/>
          <w:sz w:val="24"/>
          <w:szCs w:val="24"/>
        </w:rPr>
        <w:t>本次道路改造受区域地形及既有道路线位限制</w:t>
      </w:r>
      <w:r>
        <w:rPr>
          <w:rFonts w:ascii="仿宋" w:hAnsi="仿宋" w:eastAsia="仿宋" w:cs="仿宋"/>
          <w:spacing w:val="-4"/>
          <w:sz w:val="24"/>
          <w:szCs w:val="24"/>
        </w:rPr>
        <w:t>，不可避免占用部分林地与基</w:t>
      </w:r>
      <w:r>
        <w:rPr>
          <w:rFonts w:ascii="仿宋" w:hAnsi="仿宋" w:eastAsia="仿宋" w:cs="仿宋"/>
          <w:spacing w:val="-3"/>
          <w:sz w:val="24"/>
          <w:szCs w:val="24"/>
        </w:rPr>
        <w:t>本草原，结合林草部门批复文件、国土调查数据及现行行业政策</w:t>
      </w:r>
      <w:r>
        <w:rPr>
          <w:rFonts w:ascii="仿宋" w:hAnsi="仿宋" w:eastAsia="仿宋" w:cs="仿宋"/>
          <w:spacing w:val="-4"/>
          <w:sz w:val="24"/>
          <w:szCs w:val="24"/>
        </w:rPr>
        <w:t>，对占用合理性</w:t>
      </w:r>
      <w:r>
        <w:rPr>
          <w:rFonts w:ascii="仿宋" w:hAnsi="仿宋" w:eastAsia="仿宋" w:cs="仿宋"/>
          <w:spacing w:val="-3"/>
          <w:sz w:val="24"/>
          <w:szCs w:val="24"/>
        </w:rPr>
        <w:t>逐一论证如下：</w:t>
      </w:r>
    </w:p>
    <w:p w14:paraId="608DB4BC">
      <w:pPr>
        <w:spacing w:before="1" w:line="221" w:lineRule="auto"/>
        <w:ind w:left="514"/>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1</w:t>
      </w:r>
      <w:r>
        <w:rPr>
          <w:rFonts w:ascii="仿宋" w:hAnsi="仿宋" w:eastAsia="仿宋" w:cs="仿宋"/>
          <w:spacing w:val="-2"/>
          <w:sz w:val="24"/>
          <w:szCs w:val="24"/>
        </w:rPr>
        <w:t>）林草占用基础数据及主管部门意见</w:t>
      </w:r>
    </w:p>
    <w:p w14:paraId="4C2BED7E">
      <w:pPr>
        <w:spacing w:before="179" w:line="359" w:lineRule="auto"/>
        <w:ind w:left="29" w:right="83" w:firstLine="480"/>
        <w:rPr>
          <w:rFonts w:ascii="仿宋" w:hAnsi="仿宋" w:eastAsia="仿宋" w:cs="仿宋"/>
          <w:sz w:val="24"/>
          <w:szCs w:val="24"/>
        </w:rPr>
      </w:pPr>
      <w:r>
        <w:rPr>
          <w:rFonts w:ascii="仿宋" w:hAnsi="仿宋" w:eastAsia="仿宋" w:cs="仿宋"/>
          <w:spacing w:val="-1"/>
          <w:sz w:val="24"/>
          <w:szCs w:val="24"/>
        </w:rPr>
        <w:t>根据《准格尔旗林业和草原局关于准格尔旗</w:t>
      </w:r>
      <w:r>
        <w:rPr>
          <w:rFonts w:ascii="仿宋" w:hAnsi="仿宋" w:eastAsia="仿宋" w:cs="仿宋"/>
          <w:spacing w:val="-39"/>
          <w:sz w:val="24"/>
          <w:szCs w:val="24"/>
        </w:rPr>
        <w:t xml:space="preserve"> </w:t>
      </w:r>
      <w:r>
        <w:rPr>
          <w:rFonts w:ascii="Times New Roman" w:hAnsi="Times New Roman" w:eastAsia="Times New Roman" w:cs="Times New Roman"/>
          <w:spacing w:val="-1"/>
          <w:sz w:val="24"/>
          <w:szCs w:val="24"/>
        </w:rPr>
        <w:t>2025</w:t>
      </w:r>
      <w:r>
        <w:rPr>
          <w:rFonts w:ascii="Times New Roman" w:hAnsi="Times New Roman" w:eastAsia="Times New Roman" w:cs="Times New Roman"/>
          <w:spacing w:val="21"/>
          <w:sz w:val="24"/>
          <w:szCs w:val="24"/>
        </w:rPr>
        <w:t xml:space="preserve"> </w:t>
      </w:r>
      <w:r>
        <w:rPr>
          <w:rFonts w:ascii="仿宋" w:hAnsi="仿宋" w:eastAsia="仿宋" w:cs="仿宋"/>
          <w:spacing w:val="-1"/>
          <w:sz w:val="24"/>
          <w:szCs w:val="24"/>
        </w:rPr>
        <w:t>年沙圪堵镇、十二连城乡</w:t>
      </w:r>
      <w:r>
        <w:rPr>
          <w:rFonts w:ascii="仿宋" w:hAnsi="仿宋" w:eastAsia="仿宋" w:cs="仿宋"/>
          <w:spacing w:val="-2"/>
          <w:sz w:val="24"/>
          <w:szCs w:val="24"/>
        </w:rPr>
        <w:t>自然村通硬化路工程征求意见的复函》（准林草函〔</w:t>
      </w:r>
      <w:r>
        <w:rPr>
          <w:rFonts w:ascii="Times New Roman" w:hAnsi="Times New Roman" w:eastAsia="Times New Roman" w:cs="Times New Roman"/>
          <w:spacing w:val="-2"/>
          <w:sz w:val="24"/>
          <w:szCs w:val="24"/>
        </w:rPr>
        <w:t>2025</w:t>
      </w:r>
      <w:r>
        <w:rPr>
          <w:rFonts w:ascii="仿宋" w:hAnsi="仿宋" w:eastAsia="仿宋" w:cs="仿宋"/>
          <w:spacing w:val="-2"/>
          <w:sz w:val="24"/>
          <w:szCs w:val="24"/>
        </w:rPr>
        <w:t>〕</w:t>
      </w:r>
      <w:r>
        <w:rPr>
          <w:rFonts w:ascii="Times New Roman" w:hAnsi="Times New Roman" w:eastAsia="Times New Roman" w:cs="Times New Roman"/>
          <w:spacing w:val="-3"/>
          <w:sz w:val="24"/>
          <w:szCs w:val="24"/>
        </w:rPr>
        <w:t>982</w:t>
      </w:r>
      <w:r>
        <w:rPr>
          <w:rFonts w:ascii="Times New Roman" w:hAnsi="Times New Roman" w:eastAsia="Times New Roman" w:cs="Times New Roman"/>
          <w:spacing w:val="23"/>
          <w:sz w:val="24"/>
          <w:szCs w:val="24"/>
        </w:rPr>
        <w:t xml:space="preserve"> </w:t>
      </w:r>
      <w:r>
        <w:rPr>
          <w:rFonts w:ascii="仿宋" w:hAnsi="仿宋" w:eastAsia="仿宋" w:cs="仿宋"/>
          <w:spacing w:val="-3"/>
          <w:sz w:val="24"/>
          <w:szCs w:val="24"/>
        </w:rPr>
        <w:t>号</w:t>
      </w:r>
      <w:r>
        <w:rPr>
          <w:rFonts w:ascii="仿宋" w:hAnsi="仿宋" w:eastAsia="仿宋" w:cs="仿宋"/>
          <w:spacing w:val="3"/>
          <w:sz w:val="24"/>
          <w:szCs w:val="24"/>
        </w:rPr>
        <w:t>），</w:t>
      </w:r>
      <w:r>
        <w:rPr>
          <w:rFonts w:ascii="仿宋" w:hAnsi="仿宋" w:eastAsia="仿宋" w:cs="仿宋"/>
          <w:spacing w:val="-3"/>
          <w:sz w:val="24"/>
          <w:szCs w:val="24"/>
        </w:rPr>
        <w:t>本项目用地不涉及管控等级最高的</w:t>
      </w:r>
      <w:r>
        <w:rPr>
          <w:rFonts w:ascii="Times New Roman" w:hAnsi="Times New Roman" w:eastAsia="Times New Roman" w:cs="Times New Roman"/>
          <w:spacing w:val="-3"/>
          <w:sz w:val="24"/>
          <w:szCs w:val="24"/>
        </w:rPr>
        <w:t>Ⅰ</w:t>
      </w:r>
      <w:r>
        <w:rPr>
          <w:rFonts w:ascii="仿宋" w:hAnsi="仿宋" w:eastAsia="仿宋" w:cs="仿宋"/>
          <w:spacing w:val="-3"/>
          <w:sz w:val="24"/>
          <w:szCs w:val="24"/>
        </w:rPr>
        <w:t>级保护林地，仅涉及</w:t>
      </w:r>
      <w:r>
        <w:rPr>
          <w:rFonts w:ascii="Times New Roman" w:hAnsi="Times New Roman" w:eastAsia="Times New Roman" w:cs="Times New Roman"/>
          <w:spacing w:val="-3"/>
          <w:sz w:val="24"/>
          <w:szCs w:val="24"/>
        </w:rPr>
        <w:t>Ⅱ</w:t>
      </w:r>
      <w:r>
        <w:rPr>
          <w:rFonts w:ascii="仿宋" w:hAnsi="仿宋" w:eastAsia="仿宋" w:cs="仿宋"/>
          <w:spacing w:val="-3"/>
          <w:sz w:val="24"/>
          <w:szCs w:val="24"/>
        </w:rPr>
        <w:t>级、</w:t>
      </w:r>
      <w:r>
        <w:rPr>
          <w:rFonts w:ascii="Times New Roman" w:hAnsi="Times New Roman" w:eastAsia="Times New Roman" w:cs="Times New Roman"/>
          <w:spacing w:val="-3"/>
          <w:sz w:val="24"/>
          <w:szCs w:val="24"/>
        </w:rPr>
        <w:t>Ⅲ</w:t>
      </w:r>
      <w:r>
        <w:rPr>
          <w:rFonts w:ascii="仿宋" w:hAnsi="仿宋" w:eastAsia="仿宋" w:cs="仿宋"/>
          <w:spacing w:val="-3"/>
          <w:sz w:val="24"/>
          <w:szCs w:val="24"/>
        </w:rPr>
        <w:t>级、</w:t>
      </w:r>
      <w:r>
        <w:rPr>
          <w:rFonts w:ascii="Times New Roman" w:hAnsi="Times New Roman" w:eastAsia="Times New Roman" w:cs="Times New Roman"/>
          <w:spacing w:val="-3"/>
          <w:sz w:val="24"/>
          <w:szCs w:val="24"/>
        </w:rPr>
        <w:t>Ⅳ</w:t>
      </w:r>
      <w:r>
        <w:rPr>
          <w:rFonts w:ascii="仿宋" w:hAnsi="仿宋" w:eastAsia="仿宋" w:cs="仿宋"/>
          <w:spacing w:val="-3"/>
          <w:sz w:val="24"/>
          <w:szCs w:val="24"/>
        </w:rPr>
        <w:t>级保护林地</w:t>
      </w:r>
      <w:r>
        <w:rPr>
          <w:rFonts w:ascii="仿宋" w:hAnsi="仿宋" w:eastAsia="仿宋" w:cs="仿宋"/>
          <w:spacing w:val="-4"/>
          <w:sz w:val="24"/>
          <w:szCs w:val="24"/>
        </w:rPr>
        <w:t>及少量</w:t>
      </w:r>
      <w:r>
        <w:rPr>
          <w:rFonts w:ascii="仿宋" w:hAnsi="仿宋" w:eastAsia="仿宋" w:cs="仿宋"/>
          <w:spacing w:val="-3"/>
          <w:sz w:val="24"/>
          <w:szCs w:val="24"/>
        </w:rPr>
        <w:t>基本草原，旗林业和草原主管部门已对本次项目林草占用方案出具</w:t>
      </w:r>
      <w:r>
        <w:rPr>
          <w:rFonts w:ascii="仿宋" w:hAnsi="仿宋" w:eastAsia="仿宋" w:cs="仿宋"/>
          <w:spacing w:val="-4"/>
          <w:sz w:val="24"/>
          <w:szCs w:val="24"/>
        </w:rPr>
        <w:t>原则性同意意</w:t>
      </w:r>
      <w:r>
        <w:rPr>
          <w:rFonts w:ascii="仿宋" w:hAnsi="仿宋" w:eastAsia="仿宋" w:cs="仿宋"/>
          <w:spacing w:val="-8"/>
          <w:sz w:val="24"/>
          <w:szCs w:val="24"/>
        </w:rPr>
        <w:t>见。</w:t>
      </w:r>
    </w:p>
    <w:p w14:paraId="0AEAB818">
      <w:pPr>
        <w:spacing w:before="3" w:line="359" w:lineRule="auto"/>
        <w:ind w:left="34" w:right="83" w:firstLine="480"/>
        <w:jc w:val="both"/>
        <w:rPr>
          <w:rFonts w:ascii="仿宋" w:hAnsi="仿宋" w:eastAsia="仿宋" w:cs="仿宋"/>
          <w:sz w:val="24"/>
          <w:szCs w:val="24"/>
        </w:rPr>
      </w:pPr>
      <w:r>
        <w:rPr>
          <w:rFonts w:ascii="仿宋" w:hAnsi="仿宋" w:eastAsia="仿宋" w:cs="仿宋"/>
          <w:spacing w:val="-1"/>
          <w:sz w:val="24"/>
          <w:szCs w:val="24"/>
        </w:rPr>
        <w:t>结合</w:t>
      </w:r>
      <w:r>
        <w:rPr>
          <w:rFonts w:ascii="仿宋" w:hAnsi="仿宋" w:eastAsia="仿宋" w:cs="仿宋"/>
          <w:spacing w:val="-45"/>
          <w:sz w:val="24"/>
          <w:szCs w:val="24"/>
        </w:rPr>
        <w:t xml:space="preserve"> </w:t>
      </w:r>
      <w:r>
        <w:rPr>
          <w:rFonts w:ascii="Times New Roman" w:hAnsi="Times New Roman" w:eastAsia="Times New Roman" w:cs="Times New Roman"/>
          <w:spacing w:val="-1"/>
          <w:sz w:val="24"/>
          <w:szCs w:val="24"/>
        </w:rPr>
        <w:t>2024</w:t>
      </w:r>
      <w:r>
        <w:rPr>
          <w:rFonts w:ascii="Times New Roman" w:hAnsi="Times New Roman" w:eastAsia="Times New Roman" w:cs="Times New Roman"/>
          <w:spacing w:val="23"/>
          <w:w w:val="101"/>
          <w:sz w:val="24"/>
          <w:szCs w:val="24"/>
        </w:rPr>
        <w:t xml:space="preserve"> </w:t>
      </w:r>
      <w:r>
        <w:rPr>
          <w:rFonts w:ascii="仿宋" w:hAnsi="仿宋" w:eastAsia="仿宋" w:cs="仿宋"/>
          <w:spacing w:val="-1"/>
          <w:sz w:val="24"/>
          <w:szCs w:val="24"/>
        </w:rPr>
        <w:t>年度国土变更调查成果、国家级公益林矢量数据、森林草原湿地</w:t>
      </w:r>
      <w:r>
        <w:rPr>
          <w:rFonts w:ascii="仿宋" w:hAnsi="仿宋" w:eastAsia="仿宋" w:cs="仿宋"/>
          <w:spacing w:val="-3"/>
          <w:sz w:val="24"/>
          <w:szCs w:val="24"/>
        </w:rPr>
        <w:t>荒漠化普查成果及《内蒙古自治区林业厅关于进一步规</w:t>
      </w:r>
      <w:r>
        <w:rPr>
          <w:rFonts w:ascii="仿宋" w:hAnsi="仿宋" w:eastAsia="仿宋" w:cs="仿宋"/>
          <w:spacing w:val="-4"/>
          <w:sz w:val="24"/>
          <w:szCs w:val="24"/>
        </w:rPr>
        <w:t>范建设项目使用林地审核</w:t>
      </w:r>
      <w:r>
        <w:rPr>
          <w:rFonts w:ascii="仿宋" w:hAnsi="仿宋" w:eastAsia="仿宋" w:cs="仿宋"/>
          <w:spacing w:val="1"/>
          <w:sz w:val="24"/>
          <w:szCs w:val="24"/>
        </w:rPr>
        <w:t>管理工作的通知》（内林资发〔</w:t>
      </w:r>
      <w:r>
        <w:rPr>
          <w:rFonts w:ascii="Times New Roman" w:hAnsi="Times New Roman" w:eastAsia="Times New Roman" w:cs="Times New Roman"/>
          <w:spacing w:val="1"/>
          <w:sz w:val="24"/>
          <w:szCs w:val="24"/>
        </w:rPr>
        <w:t>2019</w:t>
      </w:r>
      <w:r>
        <w:rPr>
          <w:rFonts w:ascii="仿宋" w:hAnsi="仿宋" w:eastAsia="仿宋" w:cs="仿宋"/>
          <w:spacing w:val="1"/>
          <w:sz w:val="24"/>
          <w:szCs w:val="24"/>
        </w:rPr>
        <w:t>〕</w:t>
      </w:r>
      <w:r>
        <w:rPr>
          <w:rFonts w:ascii="Times New Roman" w:hAnsi="Times New Roman" w:eastAsia="Times New Roman" w:cs="Times New Roman"/>
          <w:spacing w:val="1"/>
          <w:sz w:val="24"/>
          <w:szCs w:val="24"/>
        </w:rPr>
        <w:t>25</w:t>
      </w:r>
      <w:r>
        <w:rPr>
          <w:rFonts w:ascii="Times New Roman" w:hAnsi="Times New Roman" w:eastAsia="Times New Roman" w:cs="Times New Roman"/>
          <w:spacing w:val="27"/>
          <w:w w:val="101"/>
          <w:sz w:val="24"/>
          <w:szCs w:val="24"/>
        </w:rPr>
        <w:t xml:space="preserve"> </w:t>
      </w:r>
      <w:r>
        <w:rPr>
          <w:rFonts w:ascii="仿宋" w:hAnsi="仿宋" w:eastAsia="仿宋" w:cs="仿宋"/>
          <w:spacing w:val="1"/>
          <w:sz w:val="24"/>
          <w:szCs w:val="24"/>
        </w:rPr>
        <w:t>号）文件界定，项目具体占用规模如</w:t>
      </w:r>
      <w:r>
        <w:rPr>
          <w:rFonts w:ascii="仿宋" w:hAnsi="仿宋" w:eastAsia="仿宋" w:cs="仿宋"/>
          <w:spacing w:val="-11"/>
          <w:sz w:val="24"/>
          <w:szCs w:val="24"/>
        </w:rPr>
        <w:t>下：</w:t>
      </w:r>
    </w:p>
    <w:p w14:paraId="1CF1600E">
      <w:pPr>
        <w:spacing w:line="359" w:lineRule="auto"/>
        <w:ind w:left="29" w:right="83" w:firstLine="480"/>
        <w:jc w:val="both"/>
        <w:rPr>
          <w:rFonts w:ascii="仿宋" w:hAnsi="仿宋" w:eastAsia="仿宋" w:cs="仿宋"/>
          <w:sz w:val="24"/>
          <w:szCs w:val="24"/>
        </w:rPr>
      </w:pPr>
      <w:r>
        <w:rPr>
          <w:rFonts w:ascii="仿宋" w:hAnsi="仿宋" w:eastAsia="仿宋" w:cs="仿宋"/>
          <w:spacing w:val="-6"/>
          <w:sz w:val="24"/>
          <w:szCs w:val="24"/>
        </w:rPr>
        <w:t>基本草原</w:t>
      </w:r>
      <w:r>
        <w:rPr>
          <w:rFonts w:ascii="仿宋" w:hAnsi="仿宋" w:eastAsia="仿宋" w:cs="仿宋"/>
          <w:spacing w:val="-58"/>
          <w:sz w:val="24"/>
          <w:szCs w:val="24"/>
        </w:rPr>
        <w:t xml:space="preserve"> </w:t>
      </w:r>
      <w:r>
        <w:rPr>
          <w:rFonts w:ascii="仿宋" w:hAnsi="仿宋" w:eastAsia="仿宋" w:cs="仿宋"/>
          <w:spacing w:val="-6"/>
          <w:sz w:val="24"/>
          <w:szCs w:val="24"/>
        </w:rPr>
        <w:t>占用：总</w:t>
      </w:r>
      <w:r>
        <w:rPr>
          <w:rFonts w:ascii="仿宋" w:hAnsi="仿宋" w:eastAsia="仿宋" w:cs="仿宋"/>
          <w:spacing w:val="-58"/>
          <w:sz w:val="24"/>
          <w:szCs w:val="24"/>
        </w:rPr>
        <w:t xml:space="preserve"> </w:t>
      </w:r>
      <w:r>
        <w:rPr>
          <w:rFonts w:ascii="仿宋" w:hAnsi="仿宋" w:eastAsia="仿宋" w:cs="仿宋"/>
          <w:spacing w:val="-6"/>
          <w:sz w:val="24"/>
          <w:szCs w:val="24"/>
        </w:rPr>
        <w:t>占用面积</w:t>
      </w:r>
      <w:r>
        <w:rPr>
          <w:rFonts w:ascii="仿宋" w:hAnsi="仿宋" w:eastAsia="仿宋" w:cs="仿宋"/>
          <w:spacing w:val="-49"/>
          <w:sz w:val="24"/>
          <w:szCs w:val="24"/>
        </w:rPr>
        <w:t xml:space="preserve"> </w:t>
      </w:r>
      <w:r>
        <w:rPr>
          <w:rFonts w:ascii="Times New Roman" w:hAnsi="Times New Roman" w:eastAsia="Times New Roman" w:cs="Times New Roman"/>
          <w:spacing w:val="-6"/>
          <w:sz w:val="24"/>
          <w:szCs w:val="24"/>
        </w:rPr>
        <w:t>0.</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6"/>
          <w:sz w:val="24"/>
          <w:szCs w:val="24"/>
        </w:rPr>
        <w:t>1797hm2</w:t>
      </w:r>
      <w:r>
        <w:rPr>
          <w:rFonts w:ascii="Times New Roman" w:hAnsi="Times New Roman" w:eastAsia="Times New Roman" w:cs="Times New Roman"/>
          <w:spacing w:val="-22"/>
          <w:sz w:val="24"/>
          <w:szCs w:val="24"/>
        </w:rPr>
        <w:t xml:space="preserve"> </w:t>
      </w:r>
      <w:r>
        <w:rPr>
          <w:rFonts w:ascii="仿宋" w:hAnsi="仿宋" w:eastAsia="仿宋" w:cs="仿宋"/>
          <w:spacing w:val="-6"/>
          <w:sz w:val="24"/>
          <w:szCs w:val="24"/>
        </w:rPr>
        <w:t>，其中天然牧草地</w:t>
      </w:r>
      <w:r>
        <w:rPr>
          <w:rFonts w:ascii="仿宋" w:hAnsi="仿宋" w:eastAsia="仿宋" w:cs="仿宋"/>
          <w:spacing w:val="-46"/>
          <w:sz w:val="24"/>
          <w:szCs w:val="24"/>
        </w:rPr>
        <w:t xml:space="preserve"> </w:t>
      </w:r>
      <w:r>
        <w:rPr>
          <w:rFonts w:ascii="Times New Roman" w:hAnsi="Times New Roman" w:eastAsia="Times New Roman" w:cs="Times New Roman"/>
          <w:spacing w:val="-6"/>
          <w:sz w:val="24"/>
          <w:szCs w:val="24"/>
        </w:rPr>
        <w:t>0</w:t>
      </w:r>
      <w:r>
        <w:rPr>
          <w:rFonts w:ascii="Times New Roman" w:hAnsi="Times New Roman" w:eastAsia="Times New Roman" w:cs="Times New Roman"/>
          <w:spacing w:val="-7"/>
          <w:sz w:val="24"/>
          <w:szCs w:val="24"/>
        </w:rPr>
        <w:t>.0761hm2</w:t>
      </w:r>
      <w:r>
        <w:rPr>
          <w:rFonts w:ascii="Times New Roman" w:hAnsi="Times New Roman" w:eastAsia="Times New Roman" w:cs="Times New Roman"/>
          <w:spacing w:val="-22"/>
          <w:sz w:val="24"/>
          <w:szCs w:val="24"/>
        </w:rPr>
        <w:t xml:space="preserve"> </w:t>
      </w:r>
      <w:r>
        <w:rPr>
          <w:rFonts w:ascii="仿宋" w:hAnsi="仿宋" w:eastAsia="仿宋" w:cs="仿宋"/>
          <w:spacing w:val="-7"/>
          <w:sz w:val="24"/>
          <w:szCs w:val="24"/>
        </w:rPr>
        <w:t>，其他</w:t>
      </w:r>
      <w:r>
        <w:rPr>
          <w:rFonts w:ascii="仿宋" w:hAnsi="仿宋" w:eastAsia="仿宋" w:cs="仿宋"/>
          <w:spacing w:val="-8"/>
          <w:sz w:val="24"/>
          <w:szCs w:val="24"/>
        </w:rPr>
        <w:t>草地</w:t>
      </w:r>
      <w:r>
        <w:rPr>
          <w:rFonts w:ascii="仿宋" w:hAnsi="仿宋" w:eastAsia="仿宋" w:cs="仿宋"/>
          <w:spacing w:val="-47"/>
          <w:sz w:val="24"/>
          <w:szCs w:val="24"/>
        </w:rPr>
        <w:t xml:space="preserve"> </w:t>
      </w:r>
      <w:r>
        <w:rPr>
          <w:rFonts w:ascii="Times New Roman" w:hAnsi="Times New Roman" w:eastAsia="Times New Roman" w:cs="Times New Roman"/>
          <w:spacing w:val="-8"/>
          <w:sz w:val="24"/>
          <w:szCs w:val="24"/>
        </w:rPr>
        <w:t>0.</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8"/>
          <w:sz w:val="24"/>
          <w:szCs w:val="24"/>
        </w:rPr>
        <w:t>1036hm2</w:t>
      </w:r>
      <w:r>
        <w:rPr>
          <w:rFonts w:ascii="Times New Roman" w:hAnsi="Times New Roman" w:eastAsia="Times New Roman" w:cs="Times New Roman"/>
          <w:spacing w:val="-27"/>
          <w:sz w:val="24"/>
          <w:szCs w:val="24"/>
        </w:rPr>
        <w:t xml:space="preserve"> </w:t>
      </w:r>
      <w:r>
        <w:rPr>
          <w:rFonts w:ascii="仿宋" w:hAnsi="仿宋" w:eastAsia="仿宋" w:cs="仿宋"/>
          <w:spacing w:val="-8"/>
          <w:sz w:val="24"/>
          <w:szCs w:val="24"/>
        </w:rPr>
        <w:t>；各类林地占用：总</w:t>
      </w:r>
      <w:r>
        <w:rPr>
          <w:rFonts w:ascii="仿宋" w:hAnsi="仿宋" w:eastAsia="仿宋" w:cs="仿宋"/>
          <w:spacing w:val="-63"/>
          <w:sz w:val="24"/>
          <w:szCs w:val="24"/>
        </w:rPr>
        <w:t xml:space="preserve"> </w:t>
      </w:r>
      <w:r>
        <w:rPr>
          <w:rFonts w:ascii="仿宋" w:hAnsi="仿宋" w:eastAsia="仿宋" w:cs="仿宋"/>
          <w:spacing w:val="-8"/>
          <w:sz w:val="24"/>
          <w:szCs w:val="24"/>
        </w:rPr>
        <w:t>占用面积</w:t>
      </w:r>
      <w:r>
        <w:rPr>
          <w:rFonts w:ascii="仿宋" w:hAnsi="仿宋" w:eastAsia="仿宋" w:cs="仿宋"/>
          <w:spacing w:val="-32"/>
          <w:sz w:val="24"/>
          <w:szCs w:val="24"/>
        </w:rPr>
        <w:t xml:space="preserve"> </w:t>
      </w:r>
      <w:r>
        <w:rPr>
          <w:rFonts w:ascii="Times New Roman" w:hAnsi="Times New Roman" w:eastAsia="Times New Roman" w:cs="Times New Roman"/>
          <w:spacing w:val="-8"/>
          <w:sz w:val="24"/>
          <w:szCs w:val="24"/>
        </w:rPr>
        <w:t>1.9488hm2</w:t>
      </w:r>
      <w:r>
        <w:rPr>
          <w:rFonts w:ascii="Times New Roman" w:hAnsi="Times New Roman" w:eastAsia="Times New Roman" w:cs="Times New Roman"/>
          <w:spacing w:val="-26"/>
          <w:sz w:val="24"/>
          <w:szCs w:val="24"/>
        </w:rPr>
        <w:t xml:space="preserve"> </w:t>
      </w:r>
      <w:r>
        <w:rPr>
          <w:rFonts w:ascii="仿宋" w:hAnsi="仿宋" w:eastAsia="仿宋" w:cs="仿宋"/>
          <w:spacing w:val="-8"/>
          <w:sz w:val="24"/>
          <w:szCs w:val="24"/>
        </w:rPr>
        <w:t>，包含</w:t>
      </w:r>
      <w:r>
        <w:rPr>
          <w:rFonts w:ascii="Times New Roman" w:hAnsi="Times New Roman" w:eastAsia="Times New Roman" w:cs="Times New Roman"/>
          <w:spacing w:val="-8"/>
          <w:sz w:val="24"/>
          <w:szCs w:val="24"/>
        </w:rPr>
        <w:t>Ⅱ</w:t>
      </w:r>
      <w:r>
        <w:rPr>
          <w:rFonts w:ascii="仿宋" w:hAnsi="仿宋" w:eastAsia="仿宋" w:cs="仿宋"/>
          <w:spacing w:val="-8"/>
          <w:sz w:val="24"/>
          <w:szCs w:val="24"/>
        </w:rPr>
        <w:t>级保护林地（国</w:t>
      </w:r>
      <w:r>
        <w:rPr>
          <w:rFonts w:ascii="仿宋" w:hAnsi="仿宋" w:eastAsia="仿宋" w:cs="仿宋"/>
          <w:spacing w:val="-5"/>
          <w:sz w:val="24"/>
          <w:szCs w:val="24"/>
        </w:rPr>
        <w:t>家二级公益林）</w:t>
      </w:r>
      <w:r>
        <w:rPr>
          <w:rFonts w:ascii="Times New Roman" w:hAnsi="Times New Roman" w:eastAsia="Times New Roman" w:cs="Times New Roman"/>
          <w:spacing w:val="-5"/>
          <w:sz w:val="24"/>
          <w:szCs w:val="24"/>
        </w:rPr>
        <w:t>0.6446hm2</w:t>
      </w:r>
      <w:r>
        <w:rPr>
          <w:rFonts w:ascii="Times New Roman" w:hAnsi="Times New Roman" w:eastAsia="Times New Roman" w:cs="Times New Roman"/>
          <w:spacing w:val="-26"/>
          <w:sz w:val="24"/>
          <w:szCs w:val="24"/>
        </w:rPr>
        <w:t xml:space="preserve"> </w:t>
      </w:r>
      <w:r>
        <w:rPr>
          <w:rFonts w:ascii="仿宋" w:hAnsi="仿宋" w:eastAsia="仿宋" w:cs="仿宋"/>
          <w:spacing w:val="-5"/>
          <w:sz w:val="24"/>
          <w:szCs w:val="24"/>
        </w:rPr>
        <w:t>、</w:t>
      </w:r>
      <w:r>
        <w:rPr>
          <w:rFonts w:ascii="Times New Roman" w:hAnsi="Times New Roman" w:eastAsia="Times New Roman" w:cs="Times New Roman"/>
          <w:spacing w:val="-5"/>
          <w:sz w:val="24"/>
          <w:szCs w:val="24"/>
        </w:rPr>
        <w:t>Ⅲ</w:t>
      </w:r>
      <w:r>
        <w:rPr>
          <w:rFonts w:ascii="仿宋" w:hAnsi="仿宋" w:eastAsia="仿宋" w:cs="仿宋"/>
          <w:spacing w:val="-5"/>
          <w:sz w:val="24"/>
          <w:szCs w:val="24"/>
        </w:rPr>
        <w:t>级保护林地（地方公益林）</w:t>
      </w:r>
      <w:r>
        <w:rPr>
          <w:rFonts w:ascii="Times New Roman" w:hAnsi="Times New Roman" w:eastAsia="Times New Roman" w:cs="Times New Roman"/>
          <w:spacing w:val="-5"/>
          <w:sz w:val="24"/>
          <w:szCs w:val="24"/>
        </w:rPr>
        <w:t>1.</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5"/>
          <w:sz w:val="24"/>
          <w:szCs w:val="24"/>
        </w:rPr>
        <w:t>1912hm2</w:t>
      </w:r>
      <w:r>
        <w:rPr>
          <w:rFonts w:ascii="Times New Roman" w:hAnsi="Times New Roman" w:eastAsia="Times New Roman" w:cs="Times New Roman"/>
          <w:spacing w:val="-26"/>
          <w:sz w:val="24"/>
          <w:szCs w:val="24"/>
        </w:rPr>
        <w:t xml:space="preserve"> </w:t>
      </w:r>
      <w:r>
        <w:rPr>
          <w:rFonts w:ascii="仿宋" w:hAnsi="仿宋" w:eastAsia="仿宋" w:cs="仿宋"/>
          <w:spacing w:val="-5"/>
          <w:sz w:val="24"/>
          <w:szCs w:val="24"/>
        </w:rPr>
        <w:t>、</w:t>
      </w:r>
      <w:r>
        <w:rPr>
          <w:rFonts w:ascii="Times New Roman" w:hAnsi="Times New Roman" w:eastAsia="Times New Roman" w:cs="Times New Roman"/>
          <w:spacing w:val="-5"/>
          <w:sz w:val="24"/>
          <w:szCs w:val="24"/>
        </w:rPr>
        <w:t>Ⅳ</w:t>
      </w:r>
      <w:r>
        <w:rPr>
          <w:rFonts w:ascii="仿宋" w:hAnsi="仿宋" w:eastAsia="仿宋" w:cs="仿宋"/>
          <w:spacing w:val="-6"/>
          <w:sz w:val="24"/>
          <w:szCs w:val="24"/>
        </w:rPr>
        <w:t>级保护</w:t>
      </w:r>
      <w:r>
        <w:rPr>
          <w:rFonts w:ascii="仿宋" w:hAnsi="仿宋" w:eastAsia="仿宋" w:cs="仿宋"/>
          <w:spacing w:val="-5"/>
          <w:sz w:val="24"/>
          <w:szCs w:val="24"/>
        </w:rPr>
        <w:t>林地（一般商品林）</w:t>
      </w:r>
      <w:r>
        <w:rPr>
          <w:rFonts w:ascii="Times New Roman" w:hAnsi="Times New Roman" w:eastAsia="Times New Roman" w:cs="Times New Roman"/>
          <w:spacing w:val="-5"/>
          <w:sz w:val="24"/>
          <w:szCs w:val="24"/>
        </w:rPr>
        <w:t>0.</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5"/>
          <w:sz w:val="24"/>
          <w:szCs w:val="24"/>
        </w:rPr>
        <w:t>1130hm2</w:t>
      </w:r>
      <w:r>
        <w:rPr>
          <w:rFonts w:ascii="仿宋" w:hAnsi="仿宋" w:eastAsia="仿宋" w:cs="仿宋"/>
          <w:spacing w:val="-5"/>
          <w:sz w:val="24"/>
          <w:szCs w:val="24"/>
        </w:rPr>
        <w:t>。</w:t>
      </w:r>
    </w:p>
    <w:p w14:paraId="71A0F48C">
      <w:pPr>
        <w:spacing w:line="220" w:lineRule="auto"/>
        <w:ind w:left="514"/>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2</w:t>
      </w:r>
      <w:r>
        <w:rPr>
          <w:rFonts w:ascii="仿宋" w:hAnsi="仿宋" w:eastAsia="仿宋" w:cs="仿宋"/>
          <w:spacing w:val="-2"/>
          <w:sz w:val="24"/>
          <w:szCs w:val="24"/>
        </w:rPr>
        <w:t>）林地占用政策合规性论证</w:t>
      </w:r>
    </w:p>
    <w:p w14:paraId="18511BD1">
      <w:pPr>
        <w:spacing w:line="220" w:lineRule="auto"/>
        <w:rPr>
          <w:rFonts w:ascii="仿宋" w:hAnsi="仿宋" w:eastAsia="仿宋" w:cs="仿宋"/>
          <w:sz w:val="24"/>
          <w:szCs w:val="24"/>
        </w:rPr>
        <w:sectPr>
          <w:footerReference r:id="rId217" w:type="default"/>
          <w:pgSz w:w="11906" w:h="16839"/>
          <w:pgMar w:top="400" w:right="1716" w:bottom="1511" w:left="1785" w:header="0" w:footer="1349" w:gutter="0"/>
          <w:cols w:space="720" w:num="1"/>
        </w:sectPr>
      </w:pPr>
    </w:p>
    <w:p w14:paraId="2A6F6EED">
      <w:pPr>
        <w:pStyle w:val="2"/>
        <w:spacing w:line="248" w:lineRule="auto"/>
        <w:rPr>
          <w:sz w:val="21"/>
        </w:rPr>
      </w:pPr>
    </w:p>
    <w:p w14:paraId="6871579A">
      <w:pPr>
        <w:pStyle w:val="2"/>
        <w:spacing w:line="248" w:lineRule="auto"/>
        <w:rPr>
          <w:sz w:val="21"/>
        </w:rPr>
      </w:pPr>
    </w:p>
    <w:p w14:paraId="652F99F8">
      <w:pPr>
        <w:pStyle w:val="2"/>
        <w:spacing w:line="248" w:lineRule="auto"/>
        <w:rPr>
          <w:sz w:val="21"/>
        </w:rPr>
      </w:pPr>
    </w:p>
    <w:p w14:paraId="55FD1D4F">
      <w:pPr>
        <w:pStyle w:val="2"/>
        <w:spacing w:line="248" w:lineRule="auto"/>
        <w:rPr>
          <w:sz w:val="21"/>
        </w:rPr>
      </w:pPr>
    </w:p>
    <w:p w14:paraId="652726C5">
      <w:pPr>
        <w:spacing w:before="78" w:line="359" w:lineRule="auto"/>
        <w:ind w:left="20" w:right="185" w:firstLine="490"/>
        <w:jc w:val="both"/>
        <w:rPr>
          <w:rFonts w:ascii="仿宋" w:hAnsi="仿宋" w:eastAsia="仿宋" w:cs="仿宋"/>
          <w:sz w:val="24"/>
          <w:szCs w:val="24"/>
        </w:rPr>
      </w:pPr>
      <w:r>
        <w:rPr>
          <w:rFonts w:ascii="仿宋" w:hAnsi="仿宋" w:eastAsia="仿宋" w:cs="仿宋"/>
          <w:spacing w:val="-1"/>
          <w:sz w:val="24"/>
          <w:szCs w:val="24"/>
        </w:rPr>
        <w:t>依据《建设项目使用林地审核审批管理办法》（国家林业局第</w:t>
      </w:r>
      <w:r>
        <w:rPr>
          <w:rFonts w:ascii="仿宋" w:hAnsi="仿宋" w:eastAsia="仿宋" w:cs="仿宋"/>
          <w:spacing w:val="-43"/>
          <w:sz w:val="24"/>
          <w:szCs w:val="24"/>
        </w:rPr>
        <w:t xml:space="preserve"> </w:t>
      </w:r>
      <w:r>
        <w:rPr>
          <w:rFonts w:ascii="Times New Roman" w:hAnsi="Times New Roman" w:eastAsia="Times New Roman" w:cs="Times New Roman"/>
          <w:spacing w:val="-1"/>
          <w:sz w:val="24"/>
          <w:szCs w:val="24"/>
        </w:rPr>
        <w:t>35</w:t>
      </w:r>
      <w:r>
        <w:rPr>
          <w:rFonts w:ascii="Times New Roman" w:hAnsi="Times New Roman" w:eastAsia="Times New Roman" w:cs="Times New Roman"/>
          <w:spacing w:val="24"/>
          <w:sz w:val="24"/>
          <w:szCs w:val="24"/>
        </w:rPr>
        <w:t xml:space="preserve"> </w:t>
      </w:r>
      <w:r>
        <w:rPr>
          <w:rFonts w:ascii="仿宋" w:hAnsi="仿宋" w:eastAsia="仿宋" w:cs="仿宋"/>
          <w:spacing w:val="-1"/>
          <w:sz w:val="24"/>
          <w:szCs w:val="24"/>
        </w:rPr>
        <w:t>号令）相</w:t>
      </w:r>
      <w:r>
        <w:rPr>
          <w:rFonts w:ascii="仿宋" w:hAnsi="仿宋" w:eastAsia="仿宋" w:cs="仿宋"/>
          <w:spacing w:val="-3"/>
          <w:sz w:val="24"/>
          <w:szCs w:val="24"/>
        </w:rPr>
        <w:t>关条款规定，符合乡村发展整体规划的乡村基础设施类建设项目，允许合规占用</w:t>
      </w:r>
      <w:r>
        <w:rPr>
          <w:rFonts w:ascii="Times New Roman" w:hAnsi="Times New Roman" w:eastAsia="Times New Roman" w:cs="Times New Roman"/>
          <w:sz w:val="24"/>
          <w:szCs w:val="24"/>
        </w:rPr>
        <w:t>Ⅱ</w:t>
      </w:r>
      <w:r>
        <w:rPr>
          <w:rFonts w:ascii="仿宋" w:hAnsi="仿宋" w:eastAsia="仿宋" w:cs="仿宋"/>
          <w:sz w:val="24"/>
          <w:szCs w:val="24"/>
        </w:rPr>
        <w:t>级及以下保护林地。本项目属于公益性乡</w:t>
      </w:r>
      <w:r>
        <w:rPr>
          <w:rFonts w:ascii="仿宋" w:hAnsi="仿宋" w:eastAsia="仿宋" w:cs="仿宋"/>
          <w:spacing w:val="-1"/>
          <w:sz w:val="24"/>
          <w:szCs w:val="24"/>
        </w:rPr>
        <w:t>村交通基础设施改造工程，完全契合准格尔旗乡村建设专项规划，项目占用</w:t>
      </w:r>
      <w:r>
        <w:rPr>
          <w:rFonts w:ascii="Times New Roman" w:hAnsi="Times New Roman" w:eastAsia="Times New Roman" w:cs="Times New Roman"/>
          <w:spacing w:val="-1"/>
          <w:sz w:val="24"/>
          <w:szCs w:val="24"/>
        </w:rPr>
        <w:t>Ⅱ</w:t>
      </w:r>
      <w:r>
        <w:rPr>
          <w:rFonts w:ascii="仿宋" w:hAnsi="仿宋" w:eastAsia="仿宋" w:cs="仿宋"/>
          <w:spacing w:val="-1"/>
          <w:sz w:val="24"/>
          <w:szCs w:val="24"/>
        </w:rPr>
        <w:t>级、</w:t>
      </w:r>
      <w:r>
        <w:rPr>
          <w:rFonts w:ascii="Times New Roman" w:hAnsi="Times New Roman" w:eastAsia="Times New Roman" w:cs="Times New Roman"/>
          <w:spacing w:val="-1"/>
          <w:sz w:val="24"/>
          <w:szCs w:val="24"/>
        </w:rPr>
        <w:t>Ⅲ</w:t>
      </w:r>
      <w:r>
        <w:rPr>
          <w:rFonts w:ascii="仿宋" w:hAnsi="仿宋" w:eastAsia="仿宋" w:cs="仿宋"/>
          <w:spacing w:val="-1"/>
          <w:sz w:val="24"/>
          <w:szCs w:val="24"/>
        </w:rPr>
        <w:t>级、</w:t>
      </w:r>
      <w:r>
        <w:rPr>
          <w:rFonts w:ascii="Times New Roman" w:hAnsi="Times New Roman" w:eastAsia="Times New Roman" w:cs="Times New Roman"/>
          <w:spacing w:val="-1"/>
          <w:sz w:val="24"/>
          <w:szCs w:val="24"/>
        </w:rPr>
        <w:t>Ⅳ</w:t>
      </w:r>
      <w:r>
        <w:rPr>
          <w:rFonts w:ascii="仿宋" w:hAnsi="仿宋" w:eastAsia="仿宋" w:cs="仿宋"/>
          <w:spacing w:val="-1"/>
          <w:sz w:val="24"/>
          <w:szCs w:val="24"/>
        </w:rPr>
        <w:t>级保护林地符合国家及自治区林地使用管控政策。</w:t>
      </w:r>
    </w:p>
    <w:p w14:paraId="7B22832A">
      <w:pPr>
        <w:spacing w:before="5" w:line="358" w:lineRule="auto"/>
        <w:ind w:left="30" w:right="185" w:firstLine="480"/>
        <w:jc w:val="both"/>
        <w:rPr>
          <w:rFonts w:ascii="仿宋" w:hAnsi="仿宋" w:eastAsia="仿宋" w:cs="仿宋"/>
          <w:sz w:val="24"/>
          <w:szCs w:val="24"/>
        </w:rPr>
      </w:pPr>
      <w:r>
        <w:rPr>
          <w:rFonts w:ascii="仿宋" w:hAnsi="仿宋" w:eastAsia="仿宋" w:cs="仿宋"/>
          <w:spacing w:val="-3"/>
          <w:sz w:val="24"/>
          <w:szCs w:val="24"/>
        </w:rPr>
        <w:t>后续项目开工建设前，建设单位将严格遵照</w:t>
      </w:r>
      <w:r>
        <w:rPr>
          <w:rFonts w:ascii="仿宋" w:hAnsi="仿宋" w:eastAsia="仿宋" w:cs="仿宋"/>
          <w:spacing w:val="-4"/>
          <w:sz w:val="24"/>
          <w:szCs w:val="24"/>
        </w:rPr>
        <w:t>林地使用管理全流程要求，依法</w:t>
      </w:r>
      <w:r>
        <w:rPr>
          <w:rFonts w:ascii="仿宋" w:hAnsi="仿宋" w:eastAsia="仿宋" w:cs="仿宋"/>
          <w:spacing w:val="-3"/>
          <w:sz w:val="24"/>
          <w:szCs w:val="24"/>
        </w:rPr>
        <w:t>依规完成林地使用行政审批手续；同时按照《关于调整森林植被</w:t>
      </w:r>
      <w:r>
        <w:rPr>
          <w:rFonts w:ascii="仿宋" w:hAnsi="仿宋" w:eastAsia="仿宋" w:cs="仿宋"/>
          <w:spacing w:val="-4"/>
          <w:sz w:val="24"/>
          <w:szCs w:val="24"/>
        </w:rPr>
        <w:t>恢复费征收标准</w:t>
      </w:r>
      <w:r>
        <w:rPr>
          <w:rFonts w:ascii="仿宋" w:hAnsi="仿宋" w:eastAsia="仿宋" w:cs="仿宋"/>
          <w:spacing w:val="-2"/>
          <w:sz w:val="24"/>
          <w:szCs w:val="24"/>
        </w:rPr>
        <w:t>引导节约利用林地的通知》（内财非税〔</w:t>
      </w:r>
      <w:r>
        <w:rPr>
          <w:rFonts w:ascii="Times New Roman" w:hAnsi="Times New Roman" w:eastAsia="Times New Roman" w:cs="Times New Roman"/>
          <w:spacing w:val="-2"/>
          <w:sz w:val="24"/>
          <w:szCs w:val="24"/>
        </w:rPr>
        <w:t>2016</w:t>
      </w:r>
      <w:r>
        <w:rPr>
          <w:rFonts w:ascii="仿宋" w:hAnsi="仿宋" w:eastAsia="仿宋" w:cs="仿宋"/>
          <w:spacing w:val="-2"/>
          <w:sz w:val="24"/>
          <w:szCs w:val="24"/>
        </w:rPr>
        <w:t>〕</w:t>
      </w:r>
      <w:r>
        <w:rPr>
          <w:rFonts w:ascii="Times New Roman" w:hAnsi="Times New Roman" w:eastAsia="Times New Roman" w:cs="Times New Roman"/>
          <w:spacing w:val="-2"/>
          <w:sz w:val="24"/>
          <w:szCs w:val="24"/>
        </w:rPr>
        <w:t>375</w:t>
      </w:r>
      <w:r>
        <w:rPr>
          <w:rFonts w:ascii="Times New Roman" w:hAnsi="Times New Roman" w:eastAsia="Times New Roman" w:cs="Times New Roman"/>
          <w:spacing w:val="24"/>
          <w:sz w:val="24"/>
          <w:szCs w:val="24"/>
        </w:rPr>
        <w:t xml:space="preserve"> </w:t>
      </w:r>
      <w:r>
        <w:rPr>
          <w:rFonts w:ascii="仿宋" w:hAnsi="仿宋" w:eastAsia="仿宋" w:cs="仿宋"/>
          <w:spacing w:val="-2"/>
          <w:sz w:val="24"/>
          <w:szCs w:val="24"/>
        </w:rPr>
        <w:t>号）核定收费标准，足额缴</w:t>
      </w:r>
      <w:r>
        <w:rPr>
          <w:rFonts w:ascii="仿宋" w:hAnsi="仿宋" w:eastAsia="仿宋" w:cs="仿宋"/>
          <w:spacing w:val="-3"/>
          <w:sz w:val="24"/>
          <w:szCs w:val="24"/>
        </w:rPr>
        <w:t>纳森林植被恢复费，同步落实异地造林、植被修复等生态补偿措</w:t>
      </w:r>
      <w:r>
        <w:rPr>
          <w:rFonts w:ascii="仿宋" w:hAnsi="仿宋" w:eastAsia="仿宋" w:cs="仿宋"/>
          <w:spacing w:val="-4"/>
          <w:sz w:val="24"/>
          <w:szCs w:val="24"/>
        </w:rPr>
        <w:t>施，补齐林地生</w:t>
      </w:r>
      <w:r>
        <w:rPr>
          <w:rFonts w:ascii="仿宋" w:hAnsi="仿宋" w:eastAsia="仿宋" w:cs="仿宋"/>
          <w:spacing w:val="-5"/>
          <w:sz w:val="24"/>
          <w:szCs w:val="24"/>
        </w:rPr>
        <w:t>态损耗。</w:t>
      </w:r>
    </w:p>
    <w:p w14:paraId="37491257">
      <w:pPr>
        <w:spacing w:line="220" w:lineRule="auto"/>
        <w:ind w:left="514"/>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3</w:t>
      </w:r>
      <w:r>
        <w:rPr>
          <w:rFonts w:ascii="仿宋" w:hAnsi="仿宋" w:eastAsia="仿宋" w:cs="仿宋"/>
          <w:spacing w:val="-2"/>
          <w:sz w:val="24"/>
          <w:szCs w:val="24"/>
        </w:rPr>
        <w:t>）基本草原占用必要性与不可避让性论证</w:t>
      </w:r>
    </w:p>
    <w:p w14:paraId="0C2E961F">
      <w:pPr>
        <w:spacing w:before="183" w:line="359" w:lineRule="auto"/>
        <w:ind w:left="31" w:right="185" w:firstLine="479"/>
        <w:rPr>
          <w:rFonts w:ascii="仿宋" w:hAnsi="仿宋" w:eastAsia="仿宋" w:cs="仿宋"/>
          <w:sz w:val="24"/>
          <w:szCs w:val="24"/>
        </w:rPr>
      </w:pPr>
      <w:r>
        <w:rPr>
          <w:rFonts w:ascii="仿宋" w:hAnsi="仿宋" w:eastAsia="仿宋" w:cs="仿宋"/>
          <w:spacing w:val="-3"/>
          <w:sz w:val="24"/>
          <w:szCs w:val="24"/>
        </w:rPr>
        <w:t>依据《内蒙古自治区草原征占用审核审批管理</w:t>
      </w:r>
      <w:r>
        <w:rPr>
          <w:rFonts w:ascii="仿宋" w:hAnsi="仿宋" w:eastAsia="仿宋" w:cs="仿宋"/>
          <w:spacing w:val="-4"/>
          <w:sz w:val="24"/>
          <w:szCs w:val="24"/>
        </w:rPr>
        <w:t>规定》第六条要求，农村牧区</w:t>
      </w:r>
      <w:r>
        <w:rPr>
          <w:rFonts w:ascii="仿宋" w:hAnsi="仿宋" w:eastAsia="仿宋" w:cs="仿宋"/>
          <w:spacing w:val="-3"/>
          <w:sz w:val="24"/>
          <w:szCs w:val="24"/>
        </w:rPr>
        <w:t>公路等民生基础设施项目，受地形条件限制确实无法避让基本</w:t>
      </w:r>
      <w:r>
        <w:rPr>
          <w:rFonts w:ascii="仿宋" w:hAnsi="仿宋" w:eastAsia="仿宋" w:cs="仿宋"/>
          <w:spacing w:val="-4"/>
          <w:sz w:val="24"/>
          <w:szCs w:val="24"/>
        </w:rPr>
        <w:t>草原的，可依法办</w:t>
      </w:r>
      <w:r>
        <w:rPr>
          <w:rFonts w:ascii="仿宋" w:hAnsi="仿宋" w:eastAsia="仿宋" w:cs="仿宋"/>
          <w:spacing w:val="-2"/>
          <w:sz w:val="24"/>
          <w:szCs w:val="24"/>
        </w:rPr>
        <w:t>理草原征占用审批手续。</w:t>
      </w:r>
    </w:p>
    <w:p w14:paraId="1C0589A9">
      <w:pPr>
        <w:spacing w:line="359" w:lineRule="auto"/>
        <w:ind w:left="29" w:firstLine="480"/>
        <w:jc w:val="both"/>
        <w:rPr>
          <w:rFonts w:ascii="仿宋" w:hAnsi="仿宋" w:eastAsia="仿宋" w:cs="仿宋"/>
          <w:sz w:val="24"/>
          <w:szCs w:val="24"/>
        </w:rPr>
      </w:pPr>
      <w:r>
        <w:rPr>
          <w:rFonts w:ascii="仿宋" w:hAnsi="仿宋" w:eastAsia="仿宋" w:cs="仿宋"/>
          <w:spacing w:val="-5"/>
          <w:sz w:val="24"/>
          <w:szCs w:val="24"/>
        </w:rPr>
        <w:t>本项目全程依托现状成熟土路进行硬化改造，项目所在区域为黄土丘陵地貌，</w:t>
      </w:r>
      <w:r>
        <w:rPr>
          <w:rFonts w:ascii="仿宋" w:hAnsi="仿宋" w:eastAsia="仿宋" w:cs="仿宋"/>
          <w:spacing w:val="-3"/>
          <w:sz w:val="24"/>
          <w:szCs w:val="24"/>
        </w:rPr>
        <w:t>区域地形起伏大、自然纵坡坡度较高，道路平面线形、纵向坡度设</w:t>
      </w:r>
      <w:r>
        <w:rPr>
          <w:rFonts w:ascii="仿宋" w:hAnsi="仿宋" w:eastAsia="仿宋" w:cs="仿宋"/>
          <w:spacing w:val="-4"/>
          <w:sz w:val="24"/>
          <w:szCs w:val="24"/>
        </w:rPr>
        <w:t>计均受原生地</w:t>
      </w:r>
      <w:r>
        <w:rPr>
          <w:rFonts w:ascii="仿宋" w:hAnsi="仿宋" w:eastAsia="仿宋" w:cs="仿宋"/>
          <w:spacing w:val="-3"/>
          <w:sz w:val="24"/>
          <w:szCs w:val="24"/>
        </w:rPr>
        <w:t>形严格约束，既有道路通行轨迹已贴合地形最优走向。本次线位选</w:t>
      </w:r>
      <w:r>
        <w:rPr>
          <w:rFonts w:ascii="仿宋" w:hAnsi="仿宋" w:eastAsia="仿宋" w:cs="仿宋"/>
          <w:spacing w:val="-4"/>
          <w:sz w:val="24"/>
          <w:szCs w:val="24"/>
        </w:rPr>
        <w:t>择坚持最小生</w:t>
      </w:r>
      <w:r>
        <w:rPr>
          <w:rFonts w:ascii="仿宋" w:hAnsi="仿宋" w:eastAsia="仿宋" w:cs="仿宋"/>
          <w:spacing w:val="-1"/>
          <w:sz w:val="24"/>
          <w:szCs w:val="24"/>
        </w:rPr>
        <w:t>态扰动原则，实现地表扰动范围集中化、生态占用面积最小化。</w:t>
      </w:r>
    </w:p>
    <w:p w14:paraId="4D3E60DB">
      <w:pPr>
        <w:spacing w:before="1" w:line="359" w:lineRule="auto"/>
        <w:ind w:left="28" w:right="120" w:firstLine="481"/>
        <w:rPr>
          <w:rFonts w:ascii="仿宋" w:hAnsi="仿宋" w:eastAsia="仿宋" w:cs="仿宋"/>
          <w:sz w:val="24"/>
          <w:szCs w:val="24"/>
        </w:rPr>
      </w:pPr>
      <w:r>
        <w:rPr>
          <w:rFonts w:ascii="仿宋" w:hAnsi="仿宋" w:eastAsia="仿宋" w:cs="仿宋"/>
          <w:spacing w:val="-1"/>
          <w:sz w:val="24"/>
          <w:szCs w:val="24"/>
        </w:rPr>
        <w:t>若为刻意避让局部基本草原而大幅调整道路线</w:t>
      </w:r>
      <w:r>
        <w:rPr>
          <w:rFonts w:ascii="仿宋" w:hAnsi="仿宋" w:eastAsia="仿宋" w:cs="仿宋"/>
          <w:spacing w:val="-2"/>
          <w:sz w:val="24"/>
          <w:szCs w:val="24"/>
        </w:rPr>
        <w:t>位，需采取远距离线路绕行、</w:t>
      </w:r>
      <w:r>
        <w:rPr>
          <w:rFonts w:ascii="仿宋" w:hAnsi="仿宋" w:eastAsia="仿宋" w:cs="仿宋"/>
          <w:spacing w:val="-3"/>
          <w:sz w:val="24"/>
          <w:szCs w:val="24"/>
        </w:rPr>
        <w:t>路基高填深挖、大规模土石方开挖与回填等工程措施，一方面会大幅增</w:t>
      </w:r>
      <w:r>
        <w:rPr>
          <w:rFonts w:ascii="仿宋" w:hAnsi="仿宋" w:eastAsia="仿宋" w:cs="仿宋"/>
          <w:spacing w:val="-4"/>
          <w:sz w:val="24"/>
          <w:szCs w:val="24"/>
        </w:rPr>
        <w:t>加工程建</w:t>
      </w:r>
      <w:r>
        <w:rPr>
          <w:rFonts w:ascii="仿宋" w:hAnsi="仿宋" w:eastAsia="仿宋" w:cs="仿宋"/>
          <w:spacing w:val="-8"/>
          <w:sz w:val="24"/>
          <w:szCs w:val="24"/>
        </w:rPr>
        <w:t>设投资、提升施工安全风险与施工难度；另一方面会大幅扩大地表开挖扰动范围，</w:t>
      </w:r>
      <w:r>
        <w:rPr>
          <w:rFonts w:ascii="仿宋" w:hAnsi="仿宋" w:eastAsia="仿宋" w:cs="仿宋"/>
          <w:spacing w:val="-3"/>
          <w:sz w:val="24"/>
          <w:szCs w:val="24"/>
        </w:rPr>
        <w:t>破坏原有完整地表植被与水土保持结构，相比原位改造会造成更严重的</w:t>
      </w:r>
      <w:r>
        <w:rPr>
          <w:rFonts w:ascii="仿宋" w:hAnsi="仿宋" w:eastAsia="仿宋" w:cs="仿宋"/>
          <w:spacing w:val="-4"/>
          <w:sz w:val="24"/>
          <w:szCs w:val="24"/>
        </w:rPr>
        <w:t>草原生态</w:t>
      </w:r>
      <w:r>
        <w:rPr>
          <w:rFonts w:ascii="仿宋" w:hAnsi="仿宋" w:eastAsia="仿宋" w:cs="仿宋"/>
          <w:spacing w:val="-1"/>
          <w:sz w:val="24"/>
          <w:szCs w:val="24"/>
        </w:rPr>
        <w:t>破坏与水土流失，生态负面影响远大于原位合理占用。</w:t>
      </w:r>
    </w:p>
    <w:p w14:paraId="4EED6249">
      <w:pPr>
        <w:spacing w:line="359" w:lineRule="auto"/>
        <w:ind w:left="30" w:right="185" w:firstLine="481"/>
        <w:jc w:val="both"/>
        <w:rPr>
          <w:rFonts w:ascii="仿宋" w:hAnsi="仿宋" w:eastAsia="仿宋" w:cs="仿宋"/>
          <w:sz w:val="24"/>
          <w:szCs w:val="24"/>
        </w:rPr>
      </w:pPr>
      <w:r>
        <w:rPr>
          <w:rFonts w:ascii="仿宋" w:hAnsi="仿宋" w:eastAsia="仿宋" w:cs="仿宋"/>
          <w:spacing w:val="-4"/>
          <w:sz w:val="24"/>
          <w:szCs w:val="24"/>
        </w:rPr>
        <w:t>综上，本项目基本草原占用属于地形客观条件制约下的不可避让情形，符合</w:t>
      </w:r>
      <w:r>
        <w:rPr>
          <w:rFonts w:ascii="仿宋" w:hAnsi="仿宋" w:eastAsia="仿宋" w:cs="仿宋"/>
          <w:spacing w:val="-3"/>
          <w:sz w:val="24"/>
          <w:szCs w:val="24"/>
        </w:rPr>
        <w:t>农村牧区公路建设草原征占用相关政策要求。目前项目草原征占</w:t>
      </w:r>
      <w:r>
        <w:rPr>
          <w:rFonts w:ascii="仿宋" w:hAnsi="仿宋" w:eastAsia="仿宋" w:cs="仿宋"/>
          <w:spacing w:val="-4"/>
          <w:sz w:val="24"/>
          <w:szCs w:val="24"/>
        </w:rPr>
        <w:t>用行政审批手续</w:t>
      </w:r>
      <w:r>
        <w:rPr>
          <w:rFonts w:ascii="仿宋" w:hAnsi="仿宋" w:eastAsia="仿宋" w:cs="仿宋"/>
          <w:spacing w:val="-3"/>
          <w:sz w:val="24"/>
          <w:szCs w:val="24"/>
        </w:rPr>
        <w:t>正在稳步推进，基本草原占补平衡专项方案已启动编制，项目建</w:t>
      </w:r>
      <w:r>
        <w:rPr>
          <w:rFonts w:ascii="仿宋" w:hAnsi="仿宋" w:eastAsia="仿宋" w:cs="仿宋"/>
          <w:spacing w:val="-4"/>
          <w:sz w:val="24"/>
          <w:szCs w:val="24"/>
        </w:rPr>
        <w:t>成后将严格落实</w:t>
      </w:r>
      <w:r>
        <w:rPr>
          <w:rFonts w:ascii="仿宋" w:hAnsi="仿宋" w:eastAsia="仿宋" w:cs="仿宋"/>
          <w:spacing w:val="-3"/>
          <w:sz w:val="24"/>
          <w:szCs w:val="24"/>
        </w:rPr>
        <w:t>草原占补平衡管控要求，保障区域基本草原总面积恒定、草原原</w:t>
      </w:r>
      <w:r>
        <w:rPr>
          <w:rFonts w:ascii="仿宋" w:hAnsi="仿宋" w:eastAsia="仿宋" w:cs="仿宋"/>
          <w:spacing w:val="-4"/>
          <w:sz w:val="24"/>
          <w:szCs w:val="24"/>
        </w:rPr>
        <w:t>生生态功能不弱</w:t>
      </w:r>
      <w:r>
        <w:rPr>
          <w:rFonts w:ascii="仿宋" w:hAnsi="仿宋" w:eastAsia="仿宋" w:cs="仿宋"/>
          <w:spacing w:val="-9"/>
          <w:sz w:val="24"/>
          <w:szCs w:val="24"/>
        </w:rPr>
        <w:t>化。</w:t>
      </w:r>
    </w:p>
    <w:p w14:paraId="11702CE6">
      <w:pPr>
        <w:spacing w:before="104" w:line="227" w:lineRule="auto"/>
        <w:ind w:left="26"/>
        <w:rPr>
          <w:rFonts w:ascii="仿宋" w:hAnsi="仿宋" w:eastAsia="仿宋" w:cs="仿宋"/>
          <w:sz w:val="26"/>
          <w:szCs w:val="26"/>
        </w:rPr>
      </w:pPr>
      <w:r>
        <w:rPr>
          <w:rFonts w:ascii="仿宋" w:hAnsi="仿宋" w:eastAsia="仿宋" w:cs="仿宋"/>
          <w:b/>
          <w:bCs/>
          <w:spacing w:val="5"/>
          <w:sz w:val="26"/>
          <w:szCs w:val="26"/>
        </w:rPr>
        <w:t>2.3.4</w:t>
      </w:r>
      <w:r>
        <w:rPr>
          <w:rFonts w:ascii="仿宋" w:hAnsi="仿宋" w:eastAsia="仿宋" w:cs="仿宋"/>
          <w:spacing w:val="5"/>
          <w:sz w:val="26"/>
          <w:szCs w:val="26"/>
        </w:rPr>
        <w:t xml:space="preserve"> </w:t>
      </w:r>
      <w:r>
        <w:rPr>
          <w:rFonts w:ascii="仿宋" w:hAnsi="仿宋" w:eastAsia="仿宋" w:cs="仿宋"/>
          <w:b/>
          <w:bCs/>
          <w:spacing w:val="5"/>
          <w:sz w:val="26"/>
          <w:szCs w:val="26"/>
        </w:rPr>
        <w:t>用地手续合规性分析</w:t>
      </w:r>
    </w:p>
    <w:p w14:paraId="6BAB431E">
      <w:pPr>
        <w:spacing w:line="227" w:lineRule="auto"/>
        <w:rPr>
          <w:rFonts w:ascii="仿宋" w:hAnsi="仿宋" w:eastAsia="仿宋" w:cs="仿宋"/>
          <w:sz w:val="26"/>
          <w:szCs w:val="26"/>
        </w:rPr>
        <w:sectPr>
          <w:footerReference r:id="rId218" w:type="default"/>
          <w:pgSz w:w="11906" w:h="16839"/>
          <w:pgMar w:top="400" w:right="1614" w:bottom="1511" w:left="1785" w:header="0" w:footer="1349" w:gutter="0"/>
          <w:cols w:space="720" w:num="1"/>
        </w:sectPr>
      </w:pPr>
    </w:p>
    <w:p w14:paraId="0B9E6293">
      <w:pPr>
        <w:pStyle w:val="2"/>
        <w:spacing w:line="248" w:lineRule="auto"/>
        <w:rPr>
          <w:sz w:val="21"/>
        </w:rPr>
      </w:pPr>
    </w:p>
    <w:p w14:paraId="3415BB08">
      <w:pPr>
        <w:pStyle w:val="2"/>
        <w:spacing w:line="248" w:lineRule="auto"/>
        <w:rPr>
          <w:sz w:val="21"/>
        </w:rPr>
      </w:pPr>
    </w:p>
    <w:p w14:paraId="19475373">
      <w:pPr>
        <w:pStyle w:val="2"/>
        <w:spacing w:line="248" w:lineRule="auto"/>
        <w:rPr>
          <w:sz w:val="21"/>
        </w:rPr>
      </w:pPr>
    </w:p>
    <w:p w14:paraId="3204B8E8">
      <w:pPr>
        <w:pStyle w:val="2"/>
        <w:spacing w:line="249" w:lineRule="auto"/>
        <w:rPr>
          <w:sz w:val="21"/>
        </w:rPr>
      </w:pPr>
    </w:p>
    <w:p w14:paraId="398539D1">
      <w:pPr>
        <w:spacing w:before="78" w:line="359" w:lineRule="auto"/>
        <w:ind w:left="19" w:firstLine="491"/>
        <w:jc w:val="both"/>
        <w:rPr>
          <w:rFonts w:ascii="仿宋" w:hAnsi="仿宋" w:eastAsia="仿宋" w:cs="仿宋"/>
          <w:sz w:val="24"/>
          <w:szCs w:val="24"/>
        </w:rPr>
      </w:pPr>
      <w:r>
        <w:rPr>
          <w:rFonts w:ascii="仿宋" w:hAnsi="仿宋" w:eastAsia="仿宋" w:cs="仿宋"/>
          <w:spacing w:val="-1"/>
          <w:sz w:val="24"/>
          <w:szCs w:val="24"/>
        </w:rPr>
        <w:t>根据《准格尔旗自然资源局关于准格尔旗</w:t>
      </w:r>
      <w:r>
        <w:rPr>
          <w:rFonts w:ascii="仿宋" w:hAnsi="仿宋" w:eastAsia="仿宋" w:cs="仿宋"/>
          <w:spacing w:val="-41"/>
          <w:sz w:val="24"/>
          <w:szCs w:val="24"/>
        </w:rPr>
        <w:t xml:space="preserve"> </w:t>
      </w:r>
      <w:r>
        <w:rPr>
          <w:rFonts w:ascii="Times New Roman" w:hAnsi="Times New Roman" w:eastAsia="Times New Roman" w:cs="Times New Roman"/>
          <w:spacing w:val="-1"/>
          <w:sz w:val="24"/>
          <w:szCs w:val="24"/>
        </w:rPr>
        <w:t>2025</w:t>
      </w:r>
      <w:r>
        <w:rPr>
          <w:rFonts w:ascii="Times New Roman" w:hAnsi="Times New Roman" w:eastAsia="Times New Roman" w:cs="Times New Roman"/>
          <w:spacing w:val="23"/>
          <w:sz w:val="24"/>
          <w:szCs w:val="24"/>
        </w:rPr>
        <w:t xml:space="preserve"> </w:t>
      </w:r>
      <w:r>
        <w:rPr>
          <w:rFonts w:ascii="仿宋" w:hAnsi="仿宋" w:eastAsia="仿宋" w:cs="仿宋"/>
          <w:spacing w:val="-1"/>
          <w:sz w:val="24"/>
          <w:szCs w:val="24"/>
        </w:rPr>
        <w:t>年沙圪堵镇、十二连城乡自</w:t>
      </w:r>
      <w:r>
        <w:rPr>
          <w:rFonts w:ascii="仿宋" w:hAnsi="仿宋" w:eastAsia="仿宋" w:cs="仿宋"/>
          <w:spacing w:val="-7"/>
          <w:sz w:val="24"/>
          <w:szCs w:val="24"/>
        </w:rPr>
        <w:t>然村通硬化路工程无需办理用地预审与选址意见书的复函》（准自然资函〔</w:t>
      </w:r>
      <w:r>
        <w:rPr>
          <w:rFonts w:ascii="Times New Roman" w:hAnsi="Times New Roman" w:eastAsia="Times New Roman" w:cs="Times New Roman"/>
          <w:spacing w:val="-7"/>
          <w:sz w:val="24"/>
          <w:szCs w:val="24"/>
        </w:rPr>
        <w:t>2025</w:t>
      </w:r>
      <w:r>
        <w:rPr>
          <w:rFonts w:ascii="仿宋" w:hAnsi="仿宋" w:eastAsia="仿宋" w:cs="仿宋"/>
          <w:spacing w:val="-7"/>
          <w:sz w:val="24"/>
          <w:szCs w:val="24"/>
        </w:rPr>
        <w:t>〕</w:t>
      </w:r>
      <w:r>
        <w:rPr>
          <w:rFonts w:ascii="仿宋" w:hAnsi="仿宋" w:eastAsia="仿宋" w:cs="仿宋"/>
          <w:spacing w:val="1"/>
          <w:sz w:val="24"/>
          <w:szCs w:val="24"/>
        </w:rPr>
        <w:t xml:space="preserve"> </w:t>
      </w:r>
      <w:r>
        <w:rPr>
          <w:rFonts w:ascii="Times New Roman" w:hAnsi="Times New Roman" w:eastAsia="Times New Roman" w:cs="Times New Roman"/>
          <w:spacing w:val="1"/>
          <w:sz w:val="24"/>
          <w:szCs w:val="24"/>
        </w:rPr>
        <w:t>2382</w:t>
      </w:r>
      <w:r>
        <w:rPr>
          <w:rFonts w:ascii="Times New Roman" w:hAnsi="Times New Roman" w:eastAsia="Times New Roman" w:cs="Times New Roman"/>
          <w:spacing w:val="24"/>
          <w:sz w:val="24"/>
          <w:szCs w:val="24"/>
        </w:rPr>
        <w:t xml:space="preserve"> </w:t>
      </w:r>
      <w:r>
        <w:rPr>
          <w:rFonts w:ascii="仿宋" w:hAnsi="仿宋" w:eastAsia="仿宋" w:cs="仿宋"/>
          <w:spacing w:val="1"/>
          <w:sz w:val="24"/>
          <w:szCs w:val="24"/>
        </w:rPr>
        <w:t>号</w:t>
      </w:r>
      <w:r>
        <w:rPr>
          <w:rFonts w:ascii="仿宋" w:hAnsi="仿宋" w:eastAsia="仿宋" w:cs="仿宋"/>
          <w:spacing w:val="12"/>
          <w:sz w:val="24"/>
          <w:szCs w:val="24"/>
        </w:rPr>
        <w:t>），</w:t>
      </w:r>
      <w:r>
        <w:rPr>
          <w:rFonts w:ascii="仿宋" w:hAnsi="仿宋" w:eastAsia="仿宋" w:cs="仿宋"/>
          <w:spacing w:val="1"/>
          <w:sz w:val="24"/>
          <w:szCs w:val="24"/>
        </w:rPr>
        <w:t>本项目归类为农村牧区公益性公路基础设施项目，建设用地纳</w:t>
      </w:r>
      <w:r>
        <w:rPr>
          <w:rFonts w:ascii="仿宋" w:hAnsi="仿宋" w:eastAsia="仿宋" w:cs="仿宋"/>
          <w:sz w:val="24"/>
          <w:szCs w:val="24"/>
        </w:rPr>
        <w:t>入农</w:t>
      </w:r>
      <w:r>
        <w:rPr>
          <w:rFonts w:ascii="仿宋" w:hAnsi="仿宋" w:eastAsia="仿宋" w:cs="仿宋"/>
          <w:spacing w:val="-3"/>
          <w:sz w:val="24"/>
          <w:szCs w:val="24"/>
        </w:rPr>
        <w:t>用地统一管理范畴，工程建设不涉及新增建设用地指标。对照建设用地预审与选址管理相关法律法规，本项目符合无需办理用地预审与选址意见书的法定豁免情形，项目前期用地审批流程合法合规，用地管理全过程符合属地自然资源部门管</w:t>
      </w:r>
      <w:r>
        <w:rPr>
          <w:rFonts w:ascii="仿宋" w:hAnsi="仿宋" w:eastAsia="仿宋" w:cs="仿宋"/>
          <w:spacing w:val="-2"/>
          <w:sz w:val="24"/>
          <w:szCs w:val="24"/>
        </w:rPr>
        <w:t>控要求。</w:t>
      </w:r>
    </w:p>
    <w:p w14:paraId="3C2ACD17">
      <w:pPr>
        <w:spacing w:before="103" w:line="229" w:lineRule="auto"/>
        <w:ind w:left="26"/>
        <w:rPr>
          <w:rFonts w:ascii="仿宋" w:hAnsi="仿宋" w:eastAsia="仿宋" w:cs="仿宋"/>
          <w:sz w:val="26"/>
          <w:szCs w:val="26"/>
        </w:rPr>
      </w:pPr>
      <w:r>
        <w:rPr>
          <w:rFonts w:ascii="仿宋" w:hAnsi="仿宋" w:eastAsia="仿宋" w:cs="仿宋"/>
          <w:b/>
          <w:bCs/>
          <w:spacing w:val="2"/>
          <w:sz w:val="26"/>
          <w:szCs w:val="26"/>
        </w:rPr>
        <w:t>2.3.5</w:t>
      </w:r>
      <w:r>
        <w:rPr>
          <w:rFonts w:ascii="仿宋" w:hAnsi="仿宋" w:eastAsia="仿宋" w:cs="仿宋"/>
          <w:spacing w:val="35"/>
          <w:sz w:val="26"/>
          <w:szCs w:val="26"/>
        </w:rPr>
        <w:t xml:space="preserve"> </w:t>
      </w:r>
      <w:r>
        <w:rPr>
          <w:rFonts w:ascii="仿宋" w:hAnsi="仿宋" w:eastAsia="仿宋" w:cs="仿宋"/>
          <w:b/>
          <w:bCs/>
          <w:spacing w:val="2"/>
          <w:sz w:val="26"/>
          <w:szCs w:val="26"/>
        </w:rPr>
        <w:t>选址总体结论</w:t>
      </w:r>
    </w:p>
    <w:p w14:paraId="424FBAE5">
      <w:pPr>
        <w:spacing w:before="298" w:line="359" w:lineRule="auto"/>
        <w:ind w:left="29" w:right="25" w:firstLine="482"/>
        <w:jc w:val="both"/>
        <w:rPr>
          <w:rFonts w:ascii="仿宋" w:hAnsi="仿宋" w:eastAsia="仿宋" w:cs="仿宋"/>
          <w:sz w:val="24"/>
          <w:szCs w:val="24"/>
        </w:rPr>
      </w:pPr>
      <w:r>
        <w:rPr>
          <w:rFonts w:ascii="仿宋" w:hAnsi="仿宋" w:eastAsia="仿宋" w:cs="仿宋"/>
          <w:spacing w:val="-2"/>
          <w:sz w:val="24"/>
          <w:szCs w:val="24"/>
        </w:rPr>
        <w:t>综上，本项目选址全线避开生态保护红线、永久基本农田、文物保护范围、</w:t>
      </w:r>
      <w:r>
        <w:rPr>
          <w:rFonts w:ascii="仿宋" w:hAnsi="仿宋" w:eastAsia="仿宋" w:cs="仿宋"/>
          <w:spacing w:val="-3"/>
          <w:sz w:val="24"/>
          <w:szCs w:val="24"/>
        </w:rPr>
        <w:t>集中式饮用水水源保护区，符合国土空间规划、生态环境保护、文</w:t>
      </w:r>
      <w:r>
        <w:rPr>
          <w:rFonts w:ascii="仿宋" w:hAnsi="仿宋" w:eastAsia="仿宋" w:cs="仿宋"/>
          <w:spacing w:val="-4"/>
          <w:sz w:val="24"/>
          <w:szCs w:val="24"/>
        </w:rPr>
        <w:t>物保护、建设</w:t>
      </w:r>
      <w:r>
        <w:rPr>
          <w:rFonts w:ascii="仿宋" w:hAnsi="仿宋" w:eastAsia="仿宋" w:cs="仿宋"/>
          <w:spacing w:val="-2"/>
          <w:sz w:val="24"/>
          <w:szCs w:val="24"/>
        </w:rPr>
        <w:t>用地管理各项法律法规及地方专项政策要求；项目采用原位老路硬化改造模式，</w:t>
      </w:r>
      <w:r>
        <w:rPr>
          <w:rFonts w:ascii="仿宋" w:hAnsi="仿宋" w:eastAsia="仿宋" w:cs="仿宋"/>
          <w:spacing w:val="-3"/>
          <w:sz w:val="24"/>
          <w:szCs w:val="24"/>
        </w:rPr>
        <w:t>不新增临时占地，从源头降低工程生态扰动；项目涉及的林地、基</w:t>
      </w:r>
      <w:r>
        <w:rPr>
          <w:rFonts w:ascii="仿宋" w:hAnsi="仿宋" w:eastAsia="仿宋" w:cs="仿宋"/>
          <w:spacing w:val="-4"/>
          <w:sz w:val="24"/>
          <w:szCs w:val="24"/>
        </w:rPr>
        <w:t>本草原占用均</w:t>
      </w:r>
      <w:r>
        <w:rPr>
          <w:rFonts w:ascii="仿宋" w:hAnsi="仿宋" w:eastAsia="仿宋" w:cs="仿宋"/>
          <w:spacing w:val="-3"/>
          <w:sz w:val="24"/>
          <w:szCs w:val="24"/>
        </w:rPr>
        <w:t>为地形制约下必要且不可避让的占用，不存在盲目占地、违规占地</w:t>
      </w:r>
      <w:r>
        <w:rPr>
          <w:rFonts w:ascii="仿宋" w:hAnsi="仿宋" w:eastAsia="仿宋" w:cs="仿宋"/>
          <w:spacing w:val="-4"/>
          <w:sz w:val="24"/>
          <w:szCs w:val="24"/>
        </w:rPr>
        <w:t>问题；针对林</w:t>
      </w:r>
      <w:r>
        <w:rPr>
          <w:rFonts w:ascii="仿宋" w:hAnsi="仿宋" w:eastAsia="仿宋" w:cs="仿宋"/>
          <w:spacing w:val="-3"/>
          <w:sz w:val="24"/>
          <w:szCs w:val="24"/>
        </w:rPr>
        <w:t>草占用带来的生态影响，可通过完善行政审批、足额缴纳生态恢复</w:t>
      </w:r>
      <w:r>
        <w:rPr>
          <w:rFonts w:ascii="仿宋" w:hAnsi="仿宋" w:eastAsia="仿宋" w:cs="仿宋"/>
          <w:spacing w:val="-4"/>
          <w:sz w:val="24"/>
          <w:szCs w:val="24"/>
        </w:rPr>
        <w:t>费用、落实林</w:t>
      </w:r>
      <w:r>
        <w:rPr>
          <w:rFonts w:ascii="仿宋" w:hAnsi="仿宋" w:eastAsia="仿宋" w:cs="仿宋"/>
          <w:spacing w:val="-3"/>
          <w:sz w:val="24"/>
          <w:szCs w:val="24"/>
        </w:rPr>
        <w:t>地植被修复、草原占补平衡等措施，全面抵消工程建设产生的生态</w:t>
      </w:r>
      <w:r>
        <w:rPr>
          <w:rFonts w:ascii="仿宋" w:hAnsi="仿宋" w:eastAsia="仿宋" w:cs="仿宋"/>
          <w:spacing w:val="-4"/>
          <w:sz w:val="24"/>
          <w:szCs w:val="24"/>
        </w:rPr>
        <w:t>负面影响，用</w:t>
      </w:r>
      <w:r>
        <w:rPr>
          <w:rFonts w:ascii="仿宋" w:hAnsi="仿宋" w:eastAsia="仿宋" w:cs="仿宋"/>
          <w:spacing w:val="-1"/>
          <w:sz w:val="24"/>
          <w:szCs w:val="24"/>
        </w:rPr>
        <w:t>地重叠问题不会阻碍项目合法合规建设。</w:t>
      </w:r>
    </w:p>
    <w:p w14:paraId="62328E51">
      <w:pPr>
        <w:spacing w:before="2" w:line="359" w:lineRule="auto"/>
        <w:ind w:left="39" w:right="75" w:firstLine="480"/>
        <w:rPr>
          <w:rFonts w:ascii="仿宋" w:hAnsi="仿宋" w:eastAsia="仿宋" w:cs="仿宋"/>
          <w:sz w:val="24"/>
          <w:szCs w:val="24"/>
        </w:rPr>
      </w:pPr>
      <w:r>
        <w:rPr>
          <w:rFonts w:ascii="仿宋" w:hAnsi="仿宋" w:eastAsia="仿宋" w:cs="仿宋"/>
          <w:spacing w:val="-4"/>
          <w:sz w:val="24"/>
          <w:szCs w:val="24"/>
        </w:rPr>
        <w:t>总体而言，本项目道路线路选址因地制宜、方案科学、占地合理，用地及生</w:t>
      </w:r>
      <w:r>
        <w:rPr>
          <w:rFonts w:ascii="仿宋" w:hAnsi="仿宋" w:eastAsia="仿宋" w:cs="仿宋"/>
          <w:spacing w:val="-1"/>
          <w:sz w:val="24"/>
          <w:szCs w:val="24"/>
        </w:rPr>
        <w:t>态管控风险可控，选址方案具备充分的可行性与合规</w:t>
      </w:r>
      <w:r>
        <w:rPr>
          <w:rFonts w:ascii="仿宋" w:hAnsi="仿宋" w:eastAsia="仿宋" w:cs="仿宋"/>
          <w:spacing w:val="-2"/>
          <w:sz w:val="24"/>
          <w:szCs w:val="24"/>
        </w:rPr>
        <w:t>性。</w:t>
      </w:r>
    </w:p>
    <w:p w14:paraId="3A347639">
      <w:pPr>
        <w:spacing w:before="256" w:line="228" w:lineRule="auto"/>
        <w:ind w:left="33"/>
        <w:outlineLvl w:val="0"/>
        <w:rPr>
          <w:rFonts w:ascii="仿宋" w:hAnsi="仿宋" w:eastAsia="仿宋" w:cs="仿宋"/>
          <w:sz w:val="35"/>
          <w:szCs w:val="35"/>
        </w:rPr>
      </w:pPr>
      <w:bookmarkStart w:id="68" w:name="bookmark78"/>
      <w:bookmarkEnd w:id="68"/>
      <w:bookmarkStart w:id="69" w:name="bookmark77"/>
      <w:bookmarkEnd w:id="69"/>
      <w:r>
        <w:rPr>
          <w:rFonts w:ascii="仿宋" w:hAnsi="仿宋" w:eastAsia="仿宋" w:cs="仿宋"/>
          <w:b/>
          <w:bCs/>
          <w:spacing w:val="4"/>
          <w:sz w:val="35"/>
          <w:szCs w:val="35"/>
        </w:rPr>
        <w:t>3.生态现状调查与评价</w:t>
      </w:r>
    </w:p>
    <w:p w14:paraId="3CF41BB8">
      <w:pPr>
        <w:pStyle w:val="2"/>
        <w:spacing w:line="262" w:lineRule="auto"/>
        <w:rPr>
          <w:sz w:val="21"/>
        </w:rPr>
      </w:pPr>
    </w:p>
    <w:p w14:paraId="4EA25F13">
      <w:pPr>
        <w:spacing w:before="101" w:line="227" w:lineRule="auto"/>
        <w:ind w:left="31"/>
        <w:outlineLvl w:val="1"/>
        <w:rPr>
          <w:rFonts w:ascii="仿宋" w:hAnsi="仿宋" w:eastAsia="仿宋" w:cs="仿宋"/>
          <w:sz w:val="31"/>
          <w:szCs w:val="31"/>
        </w:rPr>
      </w:pPr>
      <w:r>
        <w:rPr>
          <w:rFonts w:ascii="仿宋" w:hAnsi="仿宋" w:eastAsia="仿宋" w:cs="仿宋"/>
          <w:b/>
          <w:bCs/>
          <w:spacing w:val="3"/>
          <w:sz w:val="31"/>
          <w:szCs w:val="31"/>
        </w:rPr>
        <w:t>3.1</w:t>
      </w:r>
      <w:r>
        <w:rPr>
          <w:rFonts w:ascii="仿宋" w:hAnsi="仿宋" w:eastAsia="仿宋" w:cs="仿宋"/>
          <w:spacing w:val="-32"/>
          <w:sz w:val="31"/>
          <w:szCs w:val="31"/>
        </w:rPr>
        <w:t xml:space="preserve"> </w:t>
      </w:r>
      <w:r>
        <w:rPr>
          <w:rFonts w:ascii="仿宋" w:hAnsi="仿宋" w:eastAsia="仿宋" w:cs="仿宋"/>
          <w:b/>
          <w:bCs/>
          <w:spacing w:val="3"/>
          <w:sz w:val="31"/>
          <w:szCs w:val="31"/>
        </w:rPr>
        <w:t>主体功能区划与生态功能区划</w:t>
      </w:r>
    </w:p>
    <w:p w14:paraId="60BDE802">
      <w:pPr>
        <w:pStyle w:val="2"/>
        <w:spacing w:line="247" w:lineRule="auto"/>
        <w:rPr>
          <w:sz w:val="21"/>
        </w:rPr>
      </w:pPr>
    </w:p>
    <w:p w14:paraId="2299E703">
      <w:pPr>
        <w:spacing w:before="78" w:line="222" w:lineRule="auto"/>
        <w:ind w:left="514"/>
        <w:rPr>
          <w:rFonts w:ascii="仿宋" w:hAnsi="仿宋" w:eastAsia="仿宋" w:cs="仿宋"/>
          <w:sz w:val="24"/>
          <w:szCs w:val="24"/>
        </w:rPr>
      </w:pPr>
      <w:r>
        <w:rPr>
          <w:rFonts w:ascii="仿宋" w:hAnsi="仿宋" w:eastAsia="仿宋" w:cs="仿宋"/>
          <w:b/>
          <w:bCs/>
          <w:spacing w:val="-5"/>
          <w:sz w:val="24"/>
          <w:szCs w:val="24"/>
        </w:rPr>
        <w:t>（</w:t>
      </w:r>
      <w:r>
        <w:rPr>
          <w:rFonts w:ascii="Times New Roman" w:hAnsi="Times New Roman" w:eastAsia="Times New Roman" w:cs="Times New Roman"/>
          <w:b/>
          <w:bCs/>
          <w:spacing w:val="-5"/>
          <w:sz w:val="24"/>
          <w:szCs w:val="24"/>
        </w:rPr>
        <w:t>1</w:t>
      </w:r>
      <w:r>
        <w:rPr>
          <w:rFonts w:ascii="仿宋" w:hAnsi="仿宋" w:eastAsia="仿宋" w:cs="仿宋"/>
          <w:b/>
          <w:bCs/>
          <w:spacing w:val="-5"/>
          <w:sz w:val="24"/>
          <w:szCs w:val="24"/>
        </w:rPr>
        <w:t>）主体功能区</w:t>
      </w:r>
    </w:p>
    <w:p w14:paraId="7D5D441D">
      <w:pPr>
        <w:spacing w:before="176" w:line="360" w:lineRule="auto"/>
        <w:ind w:left="32" w:right="75" w:firstLine="478"/>
        <w:jc w:val="both"/>
        <w:rPr>
          <w:rFonts w:ascii="仿宋" w:hAnsi="仿宋" w:eastAsia="仿宋" w:cs="仿宋"/>
          <w:sz w:val="24"/>
          <w:szCs w:val="24"/>
        </w:rPr>
      </w:pPr>
      <w:r>
        <w:rPr>
          <w:rFonts w:ascii="仿宋" w:hAnsi="仿宋" w:eastAsia="仿宋" w:cs="仿宋"/>
          <w:spacing w:val="-3"/>
          <w:sz w:val="24"/>
          <w:szCs w:val="24"/>
        </w:rPr>
        <w:t>根据《内蒙古自治区主体功能区规划》将全区</w:t>
      </w:r>
      <w:r>
        <w:rPr>
          <w:rFonts w:ascii="仿宋" w:hAnsi="仿宋" w:eastAsia="仿宋" w:cs="仿宋"/>
          <w:spacing w:val="-4"/>
          <w:sz w:val="24"/>
          <w:szCs w:val="24"/>
        </w:rPr>
        <w:t>国土空间划分为以下主体功能</w:t>
      </w:r>
      <w:r>
        <w:rPr>
          <w:rFonts w:ascii="仿宋" w:hAnsi="仿宋" w:eastAsia="仿宋" w:cs="仿宋"/>
          <w:spacing w:val="-3"/>
          <w:sz w:val="24"/>
          <w:szCs w:val="24"/>
        </w:rPr>
        <w:t>区：按开发方式，划分为重点开发区域、限制开发区域和禁</w:t>
      </w:r>
      <w:r>
        <w:rPr>
          <w:rFonts w:ascii="仿宋" w:hAnsi="仿宋" w:eastAsia="仿宋" w:cs="仿宋"/>
          <w:spacing w:val="-4"/>
          <w:sz w:val="24"/>
          <w:szCs w:val="24"/>
        </w:rPr>
        <w:t>止开发区域；按开发</w:t>
      </w:r>
      <w:r>
        <w:rPr>
          <w:rFonts w:ascii="仿宋" w:hAnsi="仿宋" w:eastAsia="仿宋" w:cs="仿宋"/>
          <w:spacing w:val="-3"/>
          <w:sz w:val="24"/>
          <w:szCs w:val="24"/>
        </w:rPr>
        <w:t>内容，划分为城市化地区、农产品主产区和重点生态功能区</w:t>
      </w:r>
      <w:r>
        <w:rPr>
          <w:rFonts w:ascii="仿宋" w:hAnsi="仿宋" w:eastAsia="仿宋" w:cs="仿宋"/>
          <w:spacing w:val="-4"/>
          <w:sz w:val="24"/>
          <w:szCs w:val="24"/>
        </w:rPr>
        <w:t>；按层次，划分为国</w:t>
      </w:r>
      <w:r>
        <w:rPr>
          <w:rFonts w:ascii="仿宋" w:hAnsi="仿宋" w:eastAsia="仿宋" w:cs="仿宋"/>
          <w:spacing w:val="-3"/>
          <w:sz w:val="24"/>
          <w:szCs w:val="24"/>
        </w:rPr>
        <w:t>家级和自治区级两个层面。本项目所在地准格尔旗属于国家</w:t>
      </w:r>
      <w:r>
        <w:rPr>
          <w:rFonts w:ascii="仿宋" w:hAnsi="仿宋" w:eastAsia="仿宋" w:cs="仿宋"/>
          <w:spacing w:val="-4"/>
          <w:sz w:val="24"/>
          <w:szCs w:val="24"/>
        </w:rPr>
        <w:t>级重点开发区域，项</w:t>
      </w:r>
      <w:r>
        <w:rPr>
          <w:rFonts w:ascii="仿宋" w:hAnsi="仿宋" w:eastAsia="仿宋" w:cs="仿宋"/>
          <w:spacing w:val="-3"/>
          <w:sz w:val="24"/>
          <w:szCs w:val="24"/>
        </w:rPr>
        <w:t>目建设符合主体功能区划定位。本项目在内蒙古自治区主体</w:t>
      </w:r>
      <w:r>
        <w:rPr>
          <w:rFonts w:ascii="仿宋" w:hAnsi="仿宋" w:eastAsia="仿宋" w:cs="仿宋"/>
          <w:spacing w:val="-4"/>
          <w:sz w:val="24"/>
          <w:szCs w:val="24"/>
        </w:rPr>
        <w:t>功能规划中的位置关</w:t>
      </w:r>
      <w:r>
        <w:rPr>
          <w:rFonts w:ascii="仿宋" w:hAnsi="仿宋" w:eastAsia="仿宋" w:cs="仿宋"/>
          <w:spacing w:val="-7"/>
          <w:sz w:val="24"/>
          <w:szCs w:val="24"/>
        </w:rPr>
        <w:t>系见图</w:t>
      </w:r>
      <w:r>
        <w:rPr>
          <w:rFonts w:ascii="仿宋" w:hAnsi="仿宋" w:eastAsia="仿宋" w:cs="仿宋"/>
          <w:spacing w:val="-45"/>
          <w:sz w:val="24"/>
          <w:szCs w:val="24"/>
        </w:rPr>
        <w:t xml:space="preserve"> </w:t>
      </w:r>
      <w:r>
        <w:rPr>
          <w:rFonts w:ascii="Times New Roman" w:hAnsi="Times New Roman" w:eastAsia="Times New Roman" w:cs="Times New Roman"/>
          <w:spacing w:val="-7"/>
          <w:sz w:val="24"/>
          <w:szCs w:val="24"/>
        </w:rPr>
        <w:t>3.1-</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7"/>
          <w:sz w:val="24"/>
          <w:szCs w:val="24"/>
        </w:rPr>
        <w:t>1</w:t>
      </w:r>
      <w:r>
        <w:rPr>
          <w:rFonts w:ascii="仿宋" w:hAnsi="仿宋" w:eastAsia="仿宋" w:cs="仿宋"/>
          <w:spacing w:val="-7"/>
          <w:sz w:val="24"/>
          <w:szCs w:val="24"/>
        </w:rPr>
        <w:t>。</w:t>
      </w:r>
    </w:p>
    <w:p w14:paraId="0F2AA816">
      <w:pPr>
        <w:spacing w:line="360" w:lineRule="auto"/>
        <w:rPr>
          <w:rFonts w:ascii="仿宋" w:hAnsi="仿宋" w:eastAsia="仿宋" w:cs="仿宋"/>
          <w:sz w:val="24"/>
          <w:szCs w:val="24"/>
        </w:rPr>
        <w:sectPr>
          <w:footerReference r:id="rId219" w:type="default"/>
          <w:pgSz w:w="11906" w:h="16839"/>
          <w:pgMar w:top="400" w:right="1723" w:bottom="1511" w:left="1785" w:header="0" w:footer="1349" w:gutter="0"/>
          <w:cols w:space="720" w:num="1"/>
        </w:sectPr>
      </w:pPr>
    </w:p>
    <w:p w14:paraId="1F3673C0">
      <w:pPr>
        <w:pStyle w:val="2"/>
        <w:spacing w:line="258" w:lineRule="auto"/>
        <w:rPr>
          <w:sz w:val="21"/>
        </w:rPr>
      </w:pPr>
    </w:p>
    <w:p w14:paraId="489F3517">
      <w:pPr>
        <w:pStyle w:val="2"/>
        <w:spacing w:line="258" w:lineRule="auto"/>
        <w:rPr>
          <w:sz w:val="21"/>
        </w:rPr>
      </w:pPr>
    </w:p>
    <w:p w14:paraId="3D3481AF">
      <w:pPr>
        <w:pStyle w:val="2"/>
        <w:spacing w:line="258" w:lineRule="auto"/>
        <w:rPr>
          <w:sz w:val="21"/>
        </w:rPr>
      </w:pPr>
    </w:p>
    <w:p w14:paraId="69FE67F0">
      <w:pPr>
        <w:pStyle w:val="2"/>
        <w:spacing w:line="259" w:lineRule="auto"/>
        <w:rPr>
          <w:sz w:val="21"/>
        </w:rPr>
      </w:pPr>
    </w:p>
    <w:p w14:paraId="1CDC0EC8">
      <w:pPr>
        <w:spacing w:line="6199" w:lineRule="exact"/>
        <w:ind w:firstLine="14"/>
      </w:pPr>
      <w:r>
        <w:rPr>
          <w:position w:val="-123"/>
        </w:rPr>
        <w:pict>
          <v:group id="_x0000_s1128" o:spid="_x0000_s1128" o:spt="203" style="height:310pt;width:389.3pt;" coordsize="7785,6200">
            <o:lock v:ext="edit"/>
            <v:shape id="_x0000_s1129" o:spid="_x0000_s1129" o:spt="75" type="#_x0000_t75" style="position:absolute;left:0;top:0;height:6200;width:7785;" filled="f" stroked="f" coordsize="21600,21600">
              <v:path/>
              <v:fill on="f" focussize="0,0"/>
              <v:stroke on="f"/>
              <v:imagedata r:id="rId409" o:title=""/>
              <o:lock v:ext="edit" aspectratio="t"/>
            </v:shape>
            <v:shape id="_x0000_s1130" o:spid="_x0000_s1130" o:spt="202" type="#_x0000_t202" style="position:absolute;left:2410;top:3874;height:248;width:1080;" filled="f" stroked="f" coordsize="21600,21600">
              <v:path/>
              <v:fill on="f" focussize="0,0"/>
              <v:stroke on="f"/>
              <v:imagedata o:title=""/>
              <o:lock v:ext="edit" aspectratio="f"/>
              <v:textbox inset="0mm,0mm,0mm,0mm">
                <w:txbxContent>
                  <w:p w14:paraId="7C66F0F4">
                    <w:pPr>
                      <w:spacing w:before="19" w:line="227" w:lineRule="auto"/>
                      <w:ind w:left="20"/>
                      <w:rPr>
                        <w:rFonts w:ascii="宋体" w:hAnsi="宋体" w:eastAsia="宋体" w:cs="宋体"/>
                        <w:sz w:val="20"/>
                        <w:szCs w:val="20"/>
                      </w:rPr>
                    </w:pPr>
                    <w:r>
                      <w:rPr>
                        <w:rFonts w:ascii="宋体" w:hAnsi="宋体" w:eastAsia="宋体" w:cs="宋体"/>
                        <w:spacing w:val="7"/>
                        <w:sz w:val="20"/>
                        <w:szCs w:val="20"/>
                      </w:rPr>
                      <w:t>本项目位置</w:t>
                    </w:r>
                  </w:p>
                </w:txbxContent>
              </v:textbox>
            </v:shape>
            <w10:wrap type="none"/>
            <w10:anchorlock/>
          </v:group>
        </w:pict>
      </w:r>
    </w:p>
    <w:p w14:paraId="5FE47C96">
      <w:pPr>
        <w:spacing w:before="201" w:line="219" w:lineRule="auto"/>
        <w:ind w:left="1462"/>
        <w:rPr>
          <w:rFonts w:ascii="仿宋" w:hAnsi="仿宋" w:eastAsia="仿宋" w:cs="仿宋"/>
          <w:sz w:val="24"/>
          <w:szCs w:val="24"/>
        </w:rPr>
      </w:pPr>
      <w:r>
        <w:rPr>
          <w:rFonts w:ascii="仿宋" w:hAnsi="仿宋" w:eastAsia="仿宋" w:cs="仿宋"/>
          <w:b/>
          <w:bCs/>
          <w:spacing w:val="-4"/>
          <w:sz w:val="24"/>
          <w:szCs w:val="24"/>
        </w:rPr>
        <w:t>图</w:t>
      </w:r>
      <w:r>
        <w:rPr>
          <w:rFonts w:ascii="仿宋" w:hAnsi="仿宋" w:eastAsia="仿宋" w:cs="仿宋"/>
          <w:spacing w:val="-30"/>
          <w:sz w:val="24"/>
          <w:szCs w:val="24"/>
        </w:rPr>
        <w:t xml:space="preserve"> </w:t>
      </w:r>
      <w:r>
        <w:rPr>
          <w:rFonts w:ascii="仿宋" w:hAnsi="仿宋" w:eastAsia="仿宋" w:cs="仿宋"/>
          <w:b/>
          <w:bCs/>
          <w:spacing w:val="-4"/>
          <w:sz w:val="24"/>
          <w:szCs w:val="24"/>
        </w:rPr>
        <w:t>3.1-1</w:t>
      </w:r>
      <w:r>
        <w:rPr>
          <w:rFonts w:ascii="仿宋" w:hAnsi="仿宋" w:eastAsia="仿宋" w:cs="仿宋"/>
          <w:spacing w:val="-4"/>
          <w:sz w:val="24"/>
          <w:szCs w:val="24"/>
        </w:rPr>
        <w:t xml:space="preserve">  </w:t>
      </w:r>
      <w:r>
        <w:rPr>
          <w:rFonts w:ascii="仿宋" w:hAnsi="仿宋" w:eastAsia="仿宋" w:cs="仿宋"/>
          <w:b/>
          <w:bCs/>
          <w:spacing w:val="-4"/>
          <w:sz w:val="24"/>
          <w:szCs w:val="24"/>
        </w:rPr>
        <w:t>本项目在内蒙古自治区主体功能规划中的位置</w:t>
      </w:r>
    </w:p>
    <w:p w14:paraId="41D775BC">
      <w:pPr>
        <w:spacing w:before="182" w:line="222" w:lineRule="auto"/>
        <w:ind w:left="514"/>
        <w:rPr>
          <w:rFonts w:ascii="仿宋" w:hAnsi="仿宋" w:eastAsia="仿宋" w:cs="仿宋"/>
          <w:sz w:val="24"/>
          <w:szCs w:val="24"/>
        </w:rPr>
      </w:pPr>
      <w:r>
        <w:rPr>
          <w:rFonts w:ascii="仿宋" w:hAnsi="仿宋" w:eastAsia="仿宋" w:cs="仿宋"/>
          <w:b/>
          <w:bCs/>
          <w:spacing w:val="-5"/>
          <w:sz w:val="24"/>
          <w:szCs w:val="24"/>
        </w:rPr>
        <w:t>（</w:t>
      </w:r>
      <w:r>
        <w:rPr>
          <w:rFonts w:ascii="Times New Roman" w:hAnsi="Times New Roman" w:eastAsia="Times New Roman" w:cs="Times New Roman"/>
          <w:b/>
          <w:bCs/>
          <w:spacing w:val="-5"/>
          <w:sz w:val="24"/>
          <w:szCs w:val="24"/>
        </w:rPr>
        <w:t>2</w:t>
      </w:r>
      <w:r>
        <w:rPr>
          <w:rFonts w:ascii="仿宋" w:hAnsi="仿宋" w:eastAsia="仿宋" w:cs="仿宋"/>
          <w:b/>
          <w:bCs/>
          <w:spacing w:val="-5"/>
          <w:sz w:val="24"/>
          <w:szCs w:val="24"/>
        </w:rPr>
        <w:t>）生态功能区划</w:t>
      </w:r>
    </w:p>
    <w:p w14:paraId="70FFD37B">
      <w:pPr>
        <w:spacing w:before="179" w:line="359" w:lineRule="auto"/>
        <w:ind w:left="30" w:right="13" w:firstLine="480"/>
        <w:jc w:val="both"/>
        <w:rPr>
          <w:rFonts w:ascii="仿宋" w:hAnsi="仿宋" w:eastAsia="仿宋" w:cs="仿宋"/>
          <w:sz w:val="24"/>
          <w:szCs w:val="24"/>
        </w:rPr>
      </w:pPr>
      <w:r>
        <w:rPr>
          <w:rFonts w:ascii="仿宋" w:hAnsi="仿宋" w:eastAsia="仿宋" w:cs="仿宋"/>
          <w:spacing w:val="-3"/>
          <w:sz w:val="24"/>
          <w:szCs w:val="24"/>
        </w:rPr>
        <w:t>根据《鄂尔多斯市生态功能区划》，本项目所</w:t>
      </w:r>
      <w:r>
        <w:rPr>
          <w:rFonts w:ascii="仿宋" w:hAnsi="仿宋" w:eastAsia="仿宋" w:cs="仿宋"/>
          <w:spacing w:val="-4"/>
          <w:sz w:val="24"/>
          <w:szCs w:val="24"/>
        </w:rPr>
        <w:t>在区域属准格尔黄土丘陵沟壑</w:t>
      </w:r>
      <w:r>
        <w:rPr>
          <w:rFonts w:ascii="仿宋" w:hAnsi="仿宋" w:eastAsia="仿宋" w:cs="仿宋"/>
          <w:spacing w:val="-3"/>
          <w:sz w:val="24"/>
          <w:szCs w:val="24"/>
        </w:rPr>
        <w:t>农田草原水土保持生态功能区和土默特平原灌溉农业生态功能区</w:t>
      </w:r>
      <w:r>
        <w:rPr>
          <w:rFonts w:ascii="仿宋" w:hAnsi="仿宋" w:eastAsia="仿宋" w:cs="仿宋"/>
          <w:spacing w:val="-4"/>
          <w:sz w:val="24"/>
          <w:szCs w:val="24"/>
        </w:rPr>
        <w:t>，本项目在鄂尔</w:t>
      </w:r>
      <w:r>
        <w:rPr>
          <w:rFonts w:ascii="仿宋" w:hAnsi="仿宋" w:eastAsia="仿宋" w:cs="仿宋"/>
          <w:spacing w:val="-2"/>
          <w:sz w:val="24"/>
          <w:szCs w:val="24"/>
        </w:rPr>
        <w:t>多斯市生态功能区划图中位置见图</w:t>
      </w:r>
      <w:r>
        <w:rPr>
          <w:rFonts w:ascii="仿宋" w:hAnsi="仿宋" w:eastAsia="仿宋" w:cs="仿宋"/>
          <w:spacing w:val="-36"/>
          <w:sz w:val="24"/>
          <w:szCs w:val="24"/>
        </w:rPr>
        <w:t xml:space="preserve"> </w:t>
      </w:r>
      <w:r>
        <w:rPr>
          <w:rFonts w:ascii="仿宋" w:hAnsi="仿宋" w:eastAsia="仿宋" w:cs="仿宋"/>
          <w:spacing w:val="-2"/>
          <w:sz w:val="24"/>
          <w:szCs w:val="24"/>
        </w:rPr>
        <w:t>3.1-2。</w:t>
      </w:r>
    </w:p>
    <w:p w14:paraId="12827F55">
      <w:pPr>
        <w:spacing w:before="1" w:line="359" w:lineRule="auto"/>
        <w:ind w:left="27" w:right="13" w:firstLine="475"/>
        <w:jc w:val="both"/>
        <w:rPr>
          <w:rFonts w:ascii="仿宋" w:hAnsi="仿宋" w:eastAsia="仿宋" w:cs="仿宋"/>
          <w:sz w:val="24"/>
          <w:szCs w:val="24"/>
        </w:rPr>
      </w:pPr>
      <w:r>
        <w:rPr>
          <w:rFonts w:ascii="仿宋" w:hAnsi="仿宋" w:eastAsia="仿宋" w:cs="仿宋"/>
          <w:spacing w:val="-3"/>
          <w:sz w:val="24"/>
          <w:szCs w:val="24"/>
        </w:rPr>
        <w:t>①准格尔黄土丘陵沟壑农田草原水土保持生态功能区：主要分布于</w:t>
      </w:r>
      <w:r>
        <w:rPr>
          <w:rFonts w:ascii="仿宋" w:hAnsi="仿宋" w:eastAsia="仿宋" w:cs="仿宋"/>
          <w:spacing w:val="-4"/>
          <w:sz w:val="24"/>
          <w:szCs w:val="24"/>
        </w:rPr>
        <w:t>准格尔旗</w:t>
      </w:r>
      <w:r>
        <w:rPr>
          <w:rFonts w:ascii="仿宋" w:hAnsi="仿宋" w:eastAsia="仿宋" w:cs="仿宋"/>
          <w:spacing w:val="-3"/>
          <w:sz w:val="24"/>
          <w:szCs w:val="24"/>
        </w:rPr>
        <w:t>全域及达拉特旗东部黄土丘陵区域，隶属黄河粗泥沙重点来源区，地貌以</w:t>
      </w:r>
      <w:r>
        <w:rPr>
          <w:rFonts w:ascii="仿宋" w:hAnsi="仿宋" w:eastAsia="仿宋" w:cs="仿宋"/>
          <w:spacing w:val="-4"/>
          <w:sz w:val="24"/>
          <w:szCs w:val="24"/>
        </w:rPr>
        <w:t>黄土梁</w:t>
      </w:r>
      <w:r>
        <w:rPr>
          <w:rFonts w:ascii="仿宋" w:hAnsi="仿宋" w:eastAsia="仿宋" w:cs="仿宋"/>
          <w:spacing w:val="-3"/>
          <w:sz w:val="24"/>
          <w:szCs w:val="24"/>
        </w:rPr>
        <w:t>峁、深切沟壑、砒砂岩裸露区相间分布为主，地形切割剧烈、地势起伏较</w:t>
      </w:r>
      <w:r>
        <w:rPr>
          <w:rFonts w:ascii="仿宋" w:hAnsi="仿宋" w:eastAsia="仿宋" w:cs="仿宋"/>
          <w:spacing w:val="-4"/>
          <w:sz w:val="24"/>
          <w:szCs w:val="24"/>
        </w:rPr>
        <w:t>大。地</w:t>
      </w:r>
      <w:r>
        <w:rPr>
          <w:rFonts w:ascii="仿宋" w:hAnsi="仿宋" w:eastAsia="仿宋" w:cs="仿宋"/>
          <w:spacing w:val="-3"/>
          <w:sz w:val="24"/>
          <w:szCs w:val="24"/>
        </w:rPr>
        <w:t>带性植被为暖温型典型草原，主要建群种为本氏针茅、百里香等；人工植</w:t>
      </w:r>
      <w:r>
        <w:rPr>
          <w:rFonts w:ascii="仿宋" w:hAnsi="仿宋" w:eastAsia="仿宋" w:cs="仿宋"/>
          <w:spacing w:val="-4"/>
          <w:sz w:val="24"/>
          <w:szCs w:val="24"/>
        </w:rPr>
        <w:t>被以柠</w:t>
      </w:r>
      <w:r>
        <w:rPr>
          <w:rFonts w:ascii="仿宋" w:hAnsi="仿宋" w:eastAsia="仿宋" w:cs="仿宋"/>
          <w:spacing w:val="-5"/>
          <w:sz w:val="24"/>
          <w:szCs w:val="24"/>
        </w:rPr>
        <w:t>条、沙棘、油松等水土保持林为主。土地利用呈现坡耕地、梯</w:t>
      </w:r>
      <w:r>
        <w:rPr>
          <w:rFonts w:ascii="仿宋" w:hAnsi="仿宋" w:eastAsia="仿宋" w:cs="仿宋"/>
          <w:spacing w:val="-53"/>
          <w:sz w:val="24"/>
          <w:szCs w:val="24"/>
        </w:rPr>
        <w:t xml:space="preserve"> </w:t>
      </w:r>
      <w:r>
        <w:rPr>
          <w:rFonts w:ascii="仿宋" w:hAnsi="仿宋" w:eastAsia="仿宋" w:cs="仿宋"/>
          <w:spacing w:val="-5"/>
          <w:sz w:val="24"/>
          <w:szCs w:val="24"/>
        </w:rPr>
        <w:t>田、天然草原、人</w:t>
      </w:r>
      <w:r>
        <w:rPr>
          <w:rFonts w:ascii="仿宋" w:hAnsi="仿宋" w:eastAsia="仿宋" w:cs="仿宋"/>
          <w:spacing w:val="-3"/>
          <w:sz w:val="24"/>
          <w:szCs w:val="24"/>
        </w:rPr>
        <w:t>工林地与煤炭工矿用地交错格局。区域土壤以疏松马兰黄土、抗蚀性极差</w:t>
      </w:r>
      <w:r>
        <w:rPr>
          <w:rFonts w:ascii="仿宋" w:hAnsi="仿宋" w:eastAsia="仿宋" w:cs="仿宋"/>
          <w:spacing w:val="-4"/>
          <w:sz w:val="24"/>
          <w:szCs w:val="24"/>
        </w:rPr>
        <w:t>的砒砂</w:t>
      </w:r>
      <w:r>
        <w:rPr>
          <w:rFonts w:ascii="仿宋" w:hAnsi="仿宋" w:eastAsia="仿宋" w:cs="仿宋"/>
          <w:spacing w:val="-3"/>
          <w:sz w:val="24"/>
          <w:szCs w:val="24"/>
        </w:rPr>
        <w:t>岩、栗钙土为主，降水集中多暴雨，水力侵蚀本底条件差；经长期小流域</w:t>
      </w:r>
      <w:r>
        <w:rPr>
          <w:rFonts w:ascii="仿宋" w:hAnsi="仿宋" w:eastAsia="仿宋" w:cs="仿宋"/>
          <w:spacing w:val="-4"/>
          <w:sz w:val="24"/>
          <w:szCs w:val="24"/>
        </w:rPr>
        <w:t>综合治</w:t>
      </w:r>
      <w:r>
        <w:rPr>
          <w:rFonts w:ascii="仿宋" w:hAnsi="仿宋" w:eastAsia="仿宋" w:cs="仿宋"/>
          <w:spacing w:val="-3"/>
          <w:sz w:val="24"/>
          <w:szCs w:val="24"/>
        </w:rPr>
        <w:t>理，配套淤地坝、谷坊等拦蓄工程，区域植被覆盖度、水土流失治理水平</w:t>
      </w:r>
      <w:r>
        <w:rPr>
          <w:rFonts w:ascii="仿宋" w:hAnsi="仿宋" w:eastAsia="仿宋" w:cs="仿宋"/>
          <w:spacing w:val="-4"/>
          <w:sz w:val="24"/>
          <w:szCs w:val="24"/>
        </w:rPr>
        <w:t>稳步提</w:t>
      </w:r>
      <w:r>
        <w:rPr>
          <w:rFonts w:ascii="仿宋" w:hAnsi="仿宋" w:eastAsia="仿宋" w:cs="仿宋"/>
          <w:spacing w:val="-3"/>
          <w:sz w:val="24"/>
          <w:szCs w:val="24"/>
        </w:rPr>
        <w:t>升。本区主导生态功能为水土保持、拦蓄入黄粗泥沙，同时承载农牧生产</w:t>
      </w:r>
      <w:r>
        <w:rPr>
          <w:rFonts w:ascii="仿宋" w:hAnsi="仿宋" w:eastAsia="仿宋" w:cs="仿宋"/>
          <w:spacing w:val="-4"/>
          <w:sz w:val="24"/>
          <w:szCs w:val="24"/>
        </w:rPr>
        <w:t>、黄河</w:t>
      </w:r>
      <w:r>
        <w:rPr>
          <w:rFonts w:ascii="仿宋" w:hAnsi="仿宋" w:eastAsia="仿宋" w:cs="仿宋"/>
          <w:spacing w:val="-1"/>
          <w:sz w:val="24"/>
          <w:szCs w:val="24"/>
        </w:rPr>
        <w:t>岸线生态缓冲功能，区内煤炭产业集中，工农牧业开发叠加特征明显。</w:t>
      </w:r>
    </w:p>
    <w:p w14:paraId="2C41E5E7">
      <w:pPr>
        <w:spacing w:before="1" w:line="220" w:lineRule="auto"/>
        <w:jc w:val="right"/>
        <w:rPr>
          <w:rFonts w:ascii="仿宋" w:hAnsi="仿宋" w:eastAsia="仿宋" w:cs="仿宋"/>
          <w:sz w:val="24"/>
          <w:szCs w:val="24"/>
        </w:rPr>
      </w:pPr>
      <w:r>
        <w:rPr>
          <w:rFonts w:ascii="仿宋" w:hAnsi="仿宋" w:eastAsia="仿宋" w:cs="仿宋"/>
          <w:spacing w:val="-4"/>
          <w:sz w:val="24"/>
          <w:szCs w:val="24"/>
        </w:rPr>
        <w:t>区域水土流失防治基础压力较大，砒砂岩极易遇水溃散形成高强度产沙，陡</w:t>
      </w:r>
    </w:p>
    <w:p w14:paraId="328F9AF0">
      <w:pPr>
        <w:spacing w:line="220" w:lineRule="auto"/>
        <w:rPr>
          <w:rFonts w:ascii="仿宋" w:hAnsi="仿宋" w:eastAsia="仿宋" w:cs="仿宋"/>
          <w:sz w:val="24"/>
          <w:szCs w:val="24"/>
        </w:rPr>
        <w:sectPr>
          <w:footerReference r:id="rId220" w:type="default"/>
          <w:pgSz w:w="11906" w:h="16839"/>
          <w:pgMar w:top="400" w:right="1785" w:bottom="1511" w:left="1785" w:header="0" w:footer="1349" w:gutter="0"/>
          <w:cols w:space="720" w:num="1"/>
        </w:sectPr>
      </w:pPr>
    </w:p>
    <w:p w14:paraId="1750A2AD">
      <w:pPr>
        <w:pStyle w:val="2"/>
        <w:spacing w:line="247" w:lineRule="auto"/>
        <w:rPr>
          <w:sz w:val="21"/>
        </w:rPr>
      </w:pPr>
    </w:p>
    <w:p w14:paraId="2C95AC8C">
      <w:pPr>
        <w:pStyle w:val="2"/>
        <w:spacing w:line="248" w:lineRule="auto"/>
        <w:rPr>
          <w:sz w:val="21"/>
        </w:rPr>
      </w:pPr>
    </w:p>
    <w:p w14:paraId="6B56F99A">
      <w:pPr>
        <w:pStyle w:val="2"/>
        <w:spacing w:line="248" w:lineRule="auto"/>
        <w:rPr>
          <w:sz w:val="21"/>
        </w:rPr>
      </w:pPr>
    </w:p>
    <w:p w14:paraId="2A35B057">
      <w:pPr>
        <w:pStyle w:val="2"/>
        <w:spacing w:line="248" w:lineRule="auto"/>
        <w:rPr>
          <w:sz w:val="21"/>
        </w:rPr>
      </w:pPr>
    </w:p>
    <w:p w14:paraId="795EACAB">
      <w:pPr>
        <w:spacing w:before="78" w:line="359" w:lineRule="auto"/>
        <w:ind w:left="28" w:right="11" w:firstLine="1"/>
        <w:jc w:val="both"/>
        <w:rPr>
          <w:rFonts w:ascii="仿宋" w:hAnsi="仿宋" w:eastAsia="仿宋" w:cs="仿宋"/>
          <w:sz w:val="24"/>
          <w:szCs w:val="24"/>
        </w:rPr>
      </w:pPr>
      <w:r>
        <w:rPr>
          <w:rFonts w:ascii="仿宋" w:hAnsi="仿宋" w:eastAsia="仿宋" w:cs="仿宋"/>
          <w:spacing w:val="-3"/>
          <w:sz w:val="24"/>
          <w:szCs w:val="24"/>
        </w:rPr>
        <w:t>坡裸地、工矿排土场及开采扰动区水蚀强度偏高，持续向黄河输送</w:t>
      </w:r>
      <w:r>
        <w:rPr>
          <w:rFonts w:ascii="仿宋" w:hAnsi="仿宋" w:eastAsia="仿宋" w:cs="仿宋"/>
          <w:spacing w:val="-4"/>
          <w:sz w:val="24"/>
          <w:szCs w:val="24"/>
        </w:rPr>
        <w:t>粗泥沙，煤炭</w:t>
      </w:r>
      <w:r>
        <w:rPr>
          <w:rFonts w:ascii="仿宋" w:hAnsi="仿宋" w:eastAsia="仿宋" w:cs="仿宋"/>
          <w:spacing w:val="-3"/>
          <w:sz w:val="24"/>
          <w:szCs w:val="24"/>
        </w:rPr>
        <w:t>井工开采引发地表塌陷裂缝、土层与含水层受损，露天开采形成松散排</w:t>
      </w:r>
      <w:r>
        <w:rPr>
          <w:rFonts w:ascii="仿宋" w:hAnsi="仿宋" w:eastAsia="仿宋" w:cs="仿宋"/>
          <w:spacing w:val="-4"/>
          <w:sz w:val="24"/>
          <w:szCs w:val="24"/>
        </w:rPr>
        <w:t>土边坡易</w:t>
      </w:r>
      <w:r>
        <w:rPr>
          <w:rFonts w:ascii="仿宋" w:hAnsi="仿宋" w:eastAsia="仿宋" w:cs="仿宋"/>
          <w:spacing w:val="-3"/>
          <w:sz w:val="24"/>
          <w:szCs w:val="24"/>
        </w:rPr>
        <w:t>出现滑塌侵蚀，各类工矿工程还割裂林草生态连通性并间接影响局部公</w:t>
      </w:r>
      <w:r>
        <w:rPr>
          <w:rFonts w:ascii="仿宋" w:hAnsi="仿宋" w:eastAsia="仿宋" w:cs="仿宋"/>
          <w:spacing w:val="-4"/>
          <w:sz w:val="24"/>
          <w:szCs w:val="24"/>
        </w:rPr>
        <w:t>益林，历</w:t>
      </w:r>
      <w:r>
        <w:rPr>
          <w:rFonts w:ascii="仿宋" w:hAnsi="仿宋" w:eastAsia="仿宋" w:cs="仿宋"/>
          <w:spacing w:val="-2"/>
          <w:sz w:val="24"/>
          <w:szCs w:val="24"/>
        </w:rPr>
        <w:t>史坡耕地冲刷、局部草场超载放牧以及农田水保配套缺失进一步加重坡面侵蚀，</w:t>
      </w:r>
      <w:r>
        <w:rPr>
          <w:rFonts w:ascii="仿宋" w:hAnsi="仿宋" w:eastAsia="仿宋" w:cs="仿宋"/>
          <w:spacing w:val="-3"/>
          <w:sz w:val="24"/>
          <w:szCs w:val="24"/>
        </w:rPr>
        <w:t>区域人工林多为单一纯林，生物多样性偏低，病虫害与鼠害隐患突出，</w:t>
      </w:r>
      <w:r>
        <w:rPr>
          <w:rFonts w:ascii="仿宋" w:hAnsi="仿宋" w:eastAsia="仿宋" w:cs="仿宋"/>
          <w:spacing w:val="-4"/>
          <w:sz w:val="24"/>
          <w:szCs w:val="24"/>
        </w:rPr>
        <w:t>剩余造林</w:t>
      </w:r>
      <w:r>
        <w:rPr>
          <w:rFonts w:ascii="仿宋" w:hAnsi="仿宋" w:eastAsia="仿宋" w:cs="仿宋"/>
          <w:spacing w:val="-3"/>
          <w:sz w:val="24"/>
          <w:szCs w:val="24"/>
        </w:rPr>
        <w:t>立地条件恶劣，苗木成活率低、管护成本高，同时整体水资源禀赋较差</w:t>
      </w:r>
      <w:r>
        <w:rPr>
          <w:rFonts w:ascii="仿宋" w:hAnsi="仿宋" w:eastAsia="仿宋" w:cs="仿宋"/>
          <w:spacing w:val="-4"/>
          <w:sz w:val="24"/>
          <w:szCs w:val="24"/>
        </w:rPr>
        <w:t>，地下水</w:t>
      </w:r>
      <w:r>
        <w:rPr>
          <w:rFonts w:ascii="仿宋" w:hAnsi="仿宋" w:eastAsia="仿宋" w:cs="仿宋"/>
          <w:spacing w:val="-3"/>
          <w:sz w:val="24"/>
          <w:szCs w:val="24"/>
        </w:rPr>
        <w:t>埋藏深，工农业及生活用水挤占生态用水易造成干旱期林草退化，部分</w:t>
      </w:r>
      <w:r>
        <w:rPr>
          <w:rFonts w:ascii="仿宋" w:hAnsi="仿宋" w:eastAsia="仿宋" w:cs="仿宋"/>
          <w:spacing w:val="-4"/>
          <w:sz w:val="24"/>
          <w:szCs w:val="24"/>
        </w:rPr>
        <w:t>淤地坝淤</w:t>
      </w:r>
      <w:r>
        <w:rPr>
          <w:rFonts w:ascii="仿宋" w:hAnsi="仿宋" w:eastAsia="仿宋" w:cs="仿宋"/>
          <w:spacing w:val="-1"/>
          <w:sz w:val="24"/>
          <w:szCs w:val="24"/>
        </w:rPr>
        <w:t>积老化，汛期拦沙行洪存在安全隐患。</w:t>
      </w:r>
    </w:p>
    <w:p w14:paraId="5625AEB2">
      <w:pPr>
        <w:spacing w:before="1" w:line="359" w:lineRule="auto"/>
        <w:ind w:left="26" w:firstLine="475"/>
        <w:jc w:val="both"/>
        <w:rPr>
          <w:rFonts w:ascii="仿宋" w:hAnsi="仿宋" w:eastAsia="仿宋" w:cs="仿宋"/>
          <w:sz w:val="24"/>
          <w:szCs w:val="24"/>
        </w:rPr>
      </w:pPr>
      <w:r>
        <w:rPr>
          <w:rFonts w:ascii="仿宋" w:hAnsi="仿宋" w:eastAsia="仿宋" w:cs="仿宋"/>
          <w:spacing w:val="-3"/>
          <w:sz w:val="24"/>
          <w:szCs w:val="24"/>
        </w:rPr>
        <w:t>②土默特平原灌溉农业生态功能区：为土默川冲积平原西段，分布</w:t>
      </w:r>
      <w:r>
        <w:rPr>
          <w:rFonts w:ascii="仿宋" w:hAnsi="仿宋" w:eastAsia="仿宋" w:cs="仿宋"/>
          <w:spacing w:val="-4"/>
          <w:sz w:val="24"/>
          <w:szCs w:val="24"/>
        </w:rPr>
        <w:t>于达拉特</w:t>
      </w:r>
      <w:r>
        <w:rPr>
          <w:rFonts w:ascii="仿宋" w:hAnsi="仿宋" w:eastAsia="仿宋" w:cs="仿宋"/>
          <w:spacing w:val="-2"/>
          <w:sz w:val="24"/>
          <w:szCs w:val="24"/>
        </w:rPr>
        <w:t>旗、准格尔旗沿黄河地带，地势平缓开阔，土层深厚肥沃，土壤类型以灌淤土、</w:t>
      </w:r>
      <w:r>
        <w:rPr>
          <w:rFonts w:ascii="仿宋" w:hAnsi="仿宋" w:eastAsia="仿宋" w:cs="仿宋"/>
          <w:spacing w:val="-3"/>
          <w:sz w:val="24"/>
          <w:szCs w:val="24"/>
        </w:rPr>
        <w:t>草甸土为主，是鄂尔多斯市核心高标准灌溉农田集中区。气候干旱、蒸发量</w:t>
      </w:r>
      <w:r>
        <w:rPr>
          <w:rFonts w:ascii="仿宋" w:hAnsi="仿宋" w:eastAsia="仿宋" w:cs="仿宋"/>
          <w:spacing w:val="-4"/>
          <w:sz w:val="24"/>
          <w:szCs w:val="24"/>
        </w:rPr>
        <w:t>远大</w:t>
      </w:r>
      <w:r>
        <w:rPr>
          <w:rFonts w:ascii="仿宋" w:hAnsi="仿宋" w:eastAsia="仿宋" w:cs="仿宋"/>
          <w:spacing w:val="-3"/>
          <w:sz w:val="24"/>
          <w:szCs w:val="24"/>
        </w:rPr>
        <w:t>于降水量，农业生产完全依托引黄灌溉辅以浅层地下水补给；土地利用以规</w:t>
      </w:r>
      <w:r>
        <w:rPr>
          <w:rFonts w:ascii="仿宋" w:hAnsi="仿宋" w:eastAsia="仿宋" w:cs="仿宋"/>
          <w:spacing w:val="-4"/>
          <w:sz w:val="24"/>
          <w:szCs w:val="24"/>
        </w:rPr>
        <w:t>模化</w:t>
      </w:r>
      <w:r>
        <w:rPr>
          <w:rFonts w:ascii="仿宋" w:hAnsi="仿宋" w:eastAsia="仿宋" w:cs="仿宋"/>
          <w:spacing w:val="-3"/>
          <w:sz w:val="24"/>
          <w:szCs w:val="24"/>
        </w:rPr>
        <w:t>粮经作物耕地为主，配套规模化畜禽养殖，黄河大堤内侧分布护岸林与零星</w:t>
      </w:r>
      <w:r>
        <w:rPr>
          <w:rFonts w:ascii="仿宋" w:hAnsi="仿宋" w:eastAsia="仿宋" w:cs="仿宋"/>
          <w:spacing w:val="-4"/>
          <w:sz w:val="24"/>
          <w:szCs w:val="24"/>
        </w:rPr>
        <w:t>滩涂</w:t>
      </w:r>
      <w:r>
        <w:rPr>
          <w:rFonts w:ascii="仿宋" w:hAnsi="仿宋" w:eastAsia="仿宋" w:cs="仿宋"/>
          <w:spacing w:val="-3"/>
          <w:sz w:val="24"/>
          <w:szCs w:val="24"/>
        </w:rPr>
        <w:t>湿地。区域主导生态功能为稳产灌溉农业生产、沿黄水质缓冲、防风阻沙、</w:t>
      </w:r>
      <w:r>
        <w:rPr>
          <w:rFonts w:ascii="仿宋" w:hAnsi="仿宋" w:eastAsia="仿宋" w:cs="仿宋"/>
          <w:spacing w:val="-4"/>
          <w:sz w:val="24"/>
          <w:szCs w:val="24"/>
        </w:rPr>
        <w:t>浅层</w:t>
      </w:r>
      <w:r>
        <w:rPr>
          <w:rFonts w:ascii="仿宋" w:hAnsi="仿宋" w:eastAsia="仿宋" w:cs="仿宋"/>
          <w:spacing w:val="-3"/>
          <w:sz w:val="24"/>
          <w:szCs w:val="24"/>
        </w:rPr>
        <w:t>地下水调蓄；水力侵蚀轻微，北部毗邻库布齐沙漠，存在风蚀威胁；现状逐</w:t>
      </w:r>
      <w:r>
        <w:rPr>
          <w:rFonts w:ascii="仿宋" w:hAnsi="仿宋" w:eastAsia="仿宋" w:cs="仿宋"/>
          <w:spacing w:val="-4"/>
          <w:sz w:val="24"/>
          <w:szCs w:val="24"/>
        </w:rPr>
        <w:t>步推</w:t>
      </w:r>
      <w:r>
        <w:rPr>
          <w:rFonts w:ascii="仿宋" w:hAnsi="仿宋" w:eastAsia="仿宋" w:cs="仿宋"/>
          <w:spacing w:val="-3"/>
          <w:sz w:val="24"/>
          <w:szCs w:val="24"/>
        </w:rPr>
        <w:t>广滴灌、喷灌等高效节水灌溉，但仍有部分地块采用大水漫灌，灌排渠系存</w:t>
      </w:r>
      <w:r>
        <w:rPr>
          <w:rFonts w:ascii="仿宋" w:hAnsi="仿宋" w:eastAsia="仿宋" w:cs="仿宋"/>
          <w:spacing w:val="-4"/>
          <w:sz w:val="24"/>
          <w:szCs w:val="24"/>
        </w:rPr>
        <w:t>在老</w:t>
      </w:r>
      <w:r>
        <w:rPr>
          <w:rFonts w:ascii="仿宋" w:hAnsi="仿宋" w:eastAsia="仿宋" w:cs="仿宋"/>
          <w:spacing w:val="-3"/>
          <w:sz w:val="24"/>
          <w:szCs w:val="24"/>
        </w:rPr>
        <w:t>旧破损情况。</w:t>
      </w:r>
    </w:p>
    <w:p w14:paraId="576C8F69">
      <w:pPr>
        <w:spacing w:line="359" w:lineRule="auto"/>
        <w:ind w:left="27" w:firstLine="503"/>
        <w:jc w:val="both"/>
        <w:rPr>
          <w:rFonts w:ascii="仿宋" w:hAnsi="仿宋" w:eastAsia="仿宋" w:cs="仿宋"/>
          <w:sz w:val="24"/>
          <w:szCs w:val="24"/>
        </w:rPr>
      </w:pPr>
      <w:r>
        <w:rPr>
          <w:rFonts w:ascii="仿宋" w:hAnsi="仿宋" w:eastAsia="仿宋" w:cs="仿宋"/>
          <w:spacing w:val="-4"/>
          <w:sz w:val="24"/>
          <w:szCs w:val="24"/>
        </w:rPr>
        <w:t>区域干旱蒸发强烈，传统大水漫灌抬升浅层地下水位，叠加部分排水渠淤堵</w:t>
      </w:r>
      <w:r>
        <w:rPr>
          <w:rFonts w:ascii="仿宋" w:hAnsi="仿宋" w:eastAsia="仿宋" w:cs="仿宋"/>
          <w:spacing w:val="-3"/>
          <w:sz w:val="24"/>
          <w:szCs w:val="24"/>
        </w:rPr>
        <w:t>排盐能力不足，土壤次生盐渍化问题突出，造成耕地地力下降甚至局部撂</w:t>
      </w:r>
      <w:r>
        <w:rPr>
          <w:rFonts w:ascii="仿宋" w:hAnsi="仿宋" w:eastAsia="仿宋" w:cs="仿宋"/>
          <w:spacing w:val="-4"/>
          <w:sz w:val="24"/>
          <w:szCs w:val="24"/>
        </w:rPr>
        <w:t>荒，农</w:t>
      </w:r>
      <w:r>
        <w:rPr>
          <w:rFonts w:ascii="仿宋" w:hAnsi="仿宋" w:eastAsia="仿宋" w:cs="仿宋"/>
          <w:spacing w:val="-3"/>
          <w:sz w:val="24"/>
          <w:szCs w:val="24"/>
        </w:rPr>
        <w:t>业用水体量庞大、高耗水作物占比高，局部井区地下水超采引发岸边植被</w:t>
      </w:r>
      <w:r>
        <w:rPr>
          <w:rFonts w:ascii="仿宋" w:hAnsi="仿宋" w:eastAsia="仿宋" w:cs="仿宋"/>
          <w:spacing w:val="-4"/>
          <w:sz w:val="24"/>
          <w:szCs w:val="24"/>
        </w:rPr>
        <w:t>与小型</w:t>
      </w:r>
      <w:r>
        <w:rPr>
          <w:rFonts w:ascii="仿宋" w:hAnsi="仿宋" w:eastAsia="仿宋" w:cs="仿宋"/>
          <w:spacing w:val="-3"/>
          <w:sz w:val="24"/>
          <w:szCs w:val="24"/>
        </w:rPr>
        <w:t>湿地退化，工业城镇取水与农业灌溉争水矛盾逐步凸显，化肥农药过量施</w:t>
      </w:r>
      <w:r>
        <w:rPr>
          <w:rFonts w:ascii="仿宋" w:hAnsi="仿宋" w:eastAsia="仿宋" w:cs="仿宋"/>
          <w:spacing w:val="-4"/>
          <w:sz w:val="24"/>
          <w:szCs w:val="24"/>
        </w:rPr>
        <w:t>用、养</w:t>
      </w:r>
      <w:r>
        <w:rPr>
          <w:rFonts w:ascii="仿宋" w:hAnsi="仿宋" w:eastAsia="仿宋" w:cs="仿宋"/>
          <w:spacing w:val="-3"/>
          <w:sz w:val="24"/>
          <w:szCs w:val="24"/>
        </w:rPr>
        <w:t>殖粪污处置不完善及农田残膜留存带来农业面源水土污染风险，灌溉渠系</w:t>
      </w:r>
      <w:r>
        <w:rPr>
          <w:rFonts w:ascii="仿宋" w:hAnsi="仿宋" w:eastAsia="仿宋" w:cs="仿宋"/>
          <w:spacing w:val="-4"/>
          <w:sz w:val="24"/>
          <w:szCs w:val="24"/>
        </w:rPr>
        <w:t>防渗改</w:t>
      </w:r>
      <w:r>
        <w:rPr>
          <w:rFonts w:ascii="仿宋" w:hAnsi="仿宋" w:eastAsia="仿宋" w:cs="仿宋"/>
          <w:spacing w:val="-3"/>
          <w:sz w:val="24"/>
          <w:szCs w:val="24"/>
        </w:rPr>
        <w:t>造覆盖不全、</w:t>
      </w:r>
      <w:r>
        <w:rPr>
          <w:rFonts w:ascii="仿宋" w:hAnsi="仿宋" w:eastAsia="仿宋" w:cs="仿宋"/>
          <w:spacing w:val="-70"/>
          <w:sz w:val="24"/>
          <w:szCs w:val="24"/>
        </w:rPr>
        <w:t xml:space="preserve"> </w:t>
      </w:r>
      <w:r>
        <w:rPr>
          <w:rFonts w:ascii="仿宋" w:hAnsi="仿宋" w:eastAsia="仿宋" w:cs="仿宋"/>
          <w:spacing w:val="-3"/>
          <w:sz w:val="24"/>
          <w:szCs w:val="24"/>
        </w:rPr>
        <w:t>田间渗漏损耗大，小块农田节水改造不均衡，老旧渠体坍塌</w:t>
      </w:r>
      <w:r>
        <w:rPr>
          <w:rFonts w:ascii="仿宋" w:hAnsi="仿宋" w:eastAsia="仿宋" w:cs="仿宋"/>
          <w:spacing w:val="-4"/>
          <w:sz w:val="24"/>
          <w:szCs w:val="24"/>
        </w:rPr>
        <w:t>淤塞、</w:t>
      </w:r>
      <w:r>
        <w:rPr>
          <w:rFonts w:ascii="仿宋" w:hAnsi="仿宋" w:eastAsia="仿宋" w:cs="仿宋"/>
          <w:spacing w:val="-3"/>
          <w:sz w:val="24"/>
          <w:szCs w:val="24"/>
        </w:rPr>
        <w:t>运维资金不足，连片规模化种植致使农田生态结构单一、生物多样性不足</w:t>
      </w:r>
      <w:r>
        <w:rPr>
          <w:rFonts w:ascii="仿宋" w:hAnsi="仿宋" w:eastAsia="仿宋" w:cs="仿宋"/>
          <w:spacing w:val="-4"/>
          <w:sz w:val="24"/>
          <w:szCs w:val="24"/>
        </w:rPr>
        <w:t>，滩涂</w:t>
      </w:r>
      <w:r>
        <w:rPr>
          <w:rFonts w:ascii="仿宋" w:hAnsi="仿宋" w:eastAsia="仿宋" w:cs="仿宋"/>
          <w:spacing w:val="-3"/>
          <w:sz w:val="24"/>
          <w:szCs w:val="24"/>
        </w:rPr>
        <w:t>围垦压缩水域空间，北部库布齐沙漠春季风沙侵蚀耕地，加之部分农田防</w:t>
      </w:r>
      <w:r>
        <w:rPr>
          <w:rFonts w:ascii="仿宋" w:hAnsi="仿宋" w:eastAsia="仿宋" w:cs="仿宋"/>
          <w:spacing w:val="-4"/>
          <w:sz w:val="24"/>
          <w:szCs w:val="24"/>
        </w:rPr>
        <w:t>护林老</w:t>
      </w:r>
      <w:r>
        <w:rPr>
          <w:rFonts w:ascii="仿宋" w:hAnsi="仿宋" w:eastAsia="仿宋" w:cs="仿宋"/>
          <w:spacing w:val="-1"/>
          <w:sz w:val="24"/>
          <w:szCs w:val="24"/>
        </w:rPr>
        <w:t>化断带，防风固沙防护效能持续衰减。</w:t>
      </w:r>
    </w:p>
    <w:p w14:paraId="7D61130D">
      <w:pPr>
        <w:spacing w:line="359" w:lineRule="auto"/>
        <w:rPr>
          <w:rFonts w:ascii="仿宋" w:hAnsi="仿宋" w:eastAsia="仿宋" w:cs="仿宋"/>
          <w:sz w:val="24"/>
          <w:szCs w:val="24"/>
        </w:rPr>
        <w:sectPr>
          <w:footerReference r:id="rId221" w:type="default"/>
          <w:pgSz w:w="11906" w:h="16839"/>
          <w:pgMar w:top="400" w:right="1749" w:bottom="1511" w:left="1785" w:header="0" w:footer="1349" w:gutter="0"/>
          <w:cols w:space="720" w:num="1"/>
        </w:sectPr>
      </w:pPr>
    </w:p>
    <w:p w14:paraId="51C75EAA">
      <w:pPr>
        <w:pStyle w:val="2"/>
        <w:spacing w:line="278" w:lineRule="auto"/>
        <w:rPr>
          <w:sz w:val="21"/>
        </w:rPr>
      </w:pPr>
    </w:p>
    <w:p w14:paraId="0050AC33">
      <w:pPr>
        <w:pStyle w:val="2"/>
        <w:spacing w:line="278" w:lineRule="auto"/>
        <w:rPr>
          <w:sz w:val="21"/>
        </w:rPr>
      </w:pPr>
    </w:p>
    <w:p w14:paraId="6AA0F097">
      <w:pPr>
        <w:pStyle w:val="2"/>
        <w:spacing w:line="278" w:lineRule="auto"/>
        <w:rPr>
          <w:sz w:val="21"/>
        </w:rPr>
      </w:pPr>
    </w:p>
    <w:p w14:paraId="0DADB532">
      <w:pPr>
        <w:pStyle w:val="2"/>
        <w:spacing w:line="278" w:lineRule="auto"/>
        <w:rPr>
          <w:sz w:val="21"/>
        </w:rPr>
      </w:pPr>
    </w:p>
    <w:p w14:paraId="2F88F3AB">
      <w:pPr>
        <w:pStyle w:val="2"/>
        <w:spacing w:line="279" w:lineRule="auto"/>
        <w:rPr>
          <w:sz w:val="21"/>
        </w:rPr>
      </w:pPr>
    </w:p>
    <w:p w14:paraId="473D5415">
      <w:pPr>
        <w:spacing w:line="7534" w:lineRule="exact"/>
        <w:ind w:firstLine="1079"/>
      </w:pPr>
      <w:r>
        <w:rPr>
          <w:position w:val="-150"/>
        </w:rPr>
        <w:drawing>
          <wp:inline distT="0" distB="0" distL="0" distR="0">
            <wp:extent cx="6417310" cy="4783455"/>
            <wp:effectExtent l="0" t="0" r="0" b="0"/>
            <wp:docPr id="350" name="IM 350"/>
            <wp:cNvGraphicFramePr/>
            <a:graphic xmlns:a="http://schemas.openxmlformats.org/drawingml/2006/main">
              <a:graphicData uri="http://schemas.openxmlformats.org/drawingml/2006/picture">
                <pic:pic xmlns:pic="http://schemas.openxmlformats.org/drawingml/2006/picture">
                  <pic:nvPicPr>
                    <pic:cNvPr id="350" name="IM 350"/>
                    <pic:cNvPicPr/>
                  </pic:nvPicPr>
                  <pic:blipFill>
                    <a:blip r:embed="rId410"/>
                    <a:stretch>
                      <a:fillRect/>
                    </a:stretch>
                  </pic:blipFill>
                  <pic:spPr>
                    <a:xfrm>
                      <a:off x="0" y="0"/>
                      <a:ext cx="6417563" cy="4783835"/>
                    </a:xfrm>
                    <a:prstGeom prst="rect">
                      <a:avLst/>
                    </a:prstGeom>
                  </pic:spPr>
                </pic:pic>
              </a:graphicData>
            </a:graphic>
          </wp:inline>
        </w:drawing>
      </w:r>
    </w:p>
    <w:p w14:paraId="4D6B4800">
      <w:pPr>
        <w:spacing w:before="198" w:line="219" w:lineRule="auto"/>
        <w:ind w:left="2762"/>
        <w:rPr>
          <w:rFonts w:ascii="仿宋" w:hAnsi="仿宋" w:eastAsia="仿宋" w:cs="仿宋"/>
          <w:sz w:val="24"/>
          <w:szCs w:val="24"/>
        </w:rPr>
      </w:pPr>
      <w:r>
        <w:rPr>
          <w:rFonts w:ascii="仿宋" w:hAnsi="仿宋" w:eastAsia="仿宋" w:cs="仿宋"/>
          <w:b/>
          <w:bCs/>
          <w:spacing w:val="-2"/>
          <w:sz w:val="24"/>
          <w:szCs w:val="24"/>
        </w:rPr>
        <w:t>图</w:t>
      </w:r>
      <w:r>
        <w:rPr>
          <w:rFonts w:ascii="仿宋" w:hAnsi="仿宋" w:eastAsia="仿宋" w:cs="仿宋"/>
          <w:spacing w:val="-56"/>
          <w:sz w:val="24"/>
          <w:szCs w:val="24"/>
        </w:rPr>
        <w:t xml:space="preserve"> </w:t>
      </w:r>
      <w:r>
        <w:rPr>
          <w:rFonts w:ascii="Times New Roman" w:hAnsi="Times New Roman" w:eastAsia="Times New Roman" w:cs="Times New Roman"/>
          <w:b/>
          <w:bCs/>
          <w:spacing w:val="-2"/>
          <w:sz w:val="24"/>
          <w:szCs w:val="24"/>
        </w:rPr>
        <w:t xml:space="preserve">3.1-2        </w:t>
      </w:r>
      <w:r>
        <w:rPr>
          <w:rFonts w:ascii="仿宋" w:hAnsi="仿宋" w:eastAsia="仿宋" w:cs="仿宋"/>
          <w:b/>
          <w:bCs/>
          <w:spacing w:val="-2"/>
          <w:sz w:val="24"/>
          <w:szCs w:val="24"/>
        </w:rPr>
        <w:t>本项目在鄂尔多斯市生</w:t>
      </w:r>
      <w:r>
        <w:rPr>
          <w:rFonts w:ascii="仿宋" w:hAnsi="仿宋" w:eastAsia="仿宋" w:cs="仿宋"/>
          <w:b/>
          <w:bCs/>
          <w:spacing w:val="-3"/>
          <w:sz w:val="24"/>
          <w:szCs w:val="24"/>
        </w:rPr>
        <w:t>态功能区划图中的位置关系图</w:t>
      </w:r>
    </w:p>
    <w:p w14:paraId="62FFEC62">
      <w:pPr>
        <w:spacing w:line="219" w:lineRule="auto"/>
        <w:rPr>
          <w:rFonts w:ascii="仿宋" w:hAnsi="仿宋" w:eastAsia="仿宋" w:cs="仿宋"/>
          <w:sz w:val="24"/>
          <w:szCs w:val="24"/>
        </w:rPr>
        <w:sectPr>
          <w:footerReference r:id="rId222" w:type="default"/>
          <w:pgSz w:w="16839" w:h="11906"/>
          <w:pgMar w:top="400" w:right="2525" w:bottom="1511" w:left="2525" w:header="0" w:footer="1349" w:gutter="0"/>
          <w:cols w:space="720" w:num="1"/>
        </w:sectPr>
      </w:pPr>
    </w:p>
    <w:p w14:paraId="304A208E">
      <w:pPr>
        <w:pStyle w:val="2"/>
        <w:spacing w:line="270" w:lineRule="auto"/>
        <w:rPr>
          <w:sz w:val="21"/>
        </w:rPr>
      </w:pPr>
    </w:p>
    <w:p w14:paraId="54D6ED30">
      <w:pPr>
        <w:pStyle w:val="2"/>
        <w:spacing w:line="270" w:lineRule="auto"/>
        <w:rPr>
          <w:sz w:val="21"/>
        </w:rPr>
      </w:pPr>
    </w:p>
    <w:p w14:paraId="6E7798B3">
      <w:pPr>
        <w:pStyle w:val="2"/>
        <w:spacing w:line="270" w:lineRule="auto"/>
        <w:rPr>
          <w:sz w:val="21"/>
        </w:rPr>
      </w:pPr>
    </w:p>
    <w:p w14:paraId="3159A6C4">
      <w:pPr>
        <w:pStyle w:val="2"/>
        <w:spacing w:line="271" w:lineRule="auto"/>
        <w:rPr>
          <w:sz w:val="21"/>
        </w:rPr>
      </w:pPr>
    </w:p>
    <w:p w14:paraId="0F119421">
      <w:pPr>
        <w:spacing w:before="101" w:line="228" w:lineRule="auto"/>
        <w:ind w:left="31"/>
        <w:outlineLvl w:val="1"/>
        <w:rPr>
          <w:rFonts w:ascii="仿宋" w:hAnsi="仿宋" w:eastAsia="仿宋" w:cs="仿宋"/>
          <w:sz w:val="31"/>
          <w:szCs w:val="31"/>
        </w:rPr>
      </w:pPr>
      <w:bookmarkStart w:id="70" w:name="bookmark79"/>
      <w:bookmarkEnd w:id="70"/>
      <w:r>
        <w:rPr>
          <w:rFonts w:ascii="仿宋" w:hAnsi="仿宋" w:eastAsia="仿宋" w:cs="仿宋"/>
          <w:b/>
          <w:bCs/>
          <w:spacing w:val="1"/>
          <w:sz w:val="31"/>
          <w:szCs w:val="31"/>
        </w:rPr>
        <w:t>3.2</w:t>
      </w:r>
      <w:r>
        <w:rPr>
          <w:rFonts w:ascii="仿宋" w:hAnsi="仿宋" w:eastAsia="仿宋" w:cs="仿宋"/>
          <w:spacing w:val="-34"/>
          <w:sz w:val="31"/>
          <w:szCs w:val="31"/>
        </w:rPr>
        <w:t xml:space="preserve"> </w:t>
      </w:r>
      <w:r>
        <w:rPr>
          <w:rFonts w:ascii="仿宋" w:hAnsi="仿宋" w:eastAsia="仿宋" w:cs="仿宋"/>
          <w:b/>
          <w:bCs/>
          <w:spacing w:val="1"/>
          <w:sz w:val="31"/>
          <w:szCs w:val="31"/>
        </w:rPr>
        <w:t>生态环境现状调查</w:t>
      </w:r>
    </w:p>
    <w:p w14:paraId="595702C3">
      <w:pPr>
        <w:pStyle w:val="2"/>
        <w:spacing w:line="243" w:lineRule="auto"/>
        <w:rPr>
          <w:sz w:val="21"/>
        </w:rPr>
      </w:pPr>
    </w:p>
    <w:p w14:paraId="6C53F08F">
      <w:pPr>
        <w:spacing w:before="85" w:line="229" w:lineRule="auto"/>
        <w:ind w:left="28"/>
        <w:rPr>
          <w:rFonts w:ascii="仿宋" w:hAnsi="仿宋" w:eastAsia="仿宋" w:cs="仿宋"/>
          <w:sz w:val="26"/>
          <w:szCs w:val="26"/>
        </w:rPr>
      </w:pPr>
      <w:r>
        <w:rPr>
          <w:rFonts w:ascii="仿宋" w:hAnsi="仿宋" w:eastAsia="仿宋" w:cs="仿宋"/>
          <w:b/>
          <w:bCs/>
          <w:spacing w:val="1"/>
          <w:sz w:val="26"/>
          <w:szCs w:val="26"/>
        </w:rPr>
        <w:t>3.2.1</w:t>
      </w:r>
      <w:r>
        <w:rPr>
          <w:rFonts w:ascii="仿宋" w:hAnsi="仿宋" w:eastAsia="仿宋" w:cs="仿宋"/>
          <w:spacing w:val="-41"/>
          <w:sz w:val="26"/>
          <w:szCs w:val="26"/>
        </w:rPr>
        <w:t xml:space="preserve"> </w:t>
      </w:r>
      <w:r>
        <w:rPr>
          <w:rFonts w:ascii="仿宋" w:hAnsi="仿宋" w:eastAsia="仿宋" w:cs="仿宋"/>
          <w:b/>
          <w:bCs/>
          <w:spacing w:val="1"/>
          <w:sz w:val="26"/>
          <w:szCs w:val="26"/>
        </w:rPr>
        <w:t>评价方法</w:t>
      </w:r>
    </w:p>
    <w:p w14:paraId="10F844F7">
      <w:pPr>
        <w:spacing w:before="297" w:line="359" w:lineRule="auto"/>
        <w:ind w:left="29" w:right="76" w:firstLine="481"/>
        <w:jc w:val="both"/>
        <w:rPr>
          <w:rFonts w:ascii="仿宋" w:hAnsi="仿宋" w:eastAsia="仿宋" w:cs="仿宋"/>
          <w:sz w:val="24"/>
          <w:szCs w:val="24"/>
        </w:rPr>
      </w:pPr>
      <w:r>
        <w:rPr>
          <w:rFonts w:ascii="仿宋" w:hAnsi="仿宋" w:eastAsia="仿宋" w:cs="仿宋"/>
          <w:spacing w:val="-4"/>
          <w:sz w:val="24"/>
          <w:szCs w:val="24"/>
        </w:rPr>
        <w:t>根据《环境影响评价技术导则</w:t>
      </w:r>
      <w:r>
        <w:rPr>
          <w:rFonts w:ascii="仿宋" w:hAnsi="仿宋" w:eastAsia="仿宋" w:cs="仿宋"/>
          <w:spacing w:val="36"/>
          <w:sz w:val="24"/>
          <w:szCs w:val="24"/>
        </w:rPr>
        <w:t xml:space="preserve"> </w:t>
      </w:r>
      <w:r>
        <w:rPr>
          <w:rFonts w:ascii="仿宋" w:hAnsi="仿宋" w:eastAsia="仿宋" w:cs="仿宋"/>
          <w:spacing w:val="-4"/>
          <w:sz w:val="24"/>
          <w:szCs w:val="24"/>
        </w:rPr>
        <w:t>生态影响》（HJ19-2022）的要求，结合工程</w:t>
      </w:r>
      <w:r>
        <w:rPr>
          <w:rFonts w:ascii="仿宋" w:hAnsi="仿宋" w:eastAsia="仿宋" w:cs="仿宋"/>
          <w:spacing w:val="-5"/>
          <w:sz w:val="24"/>
          <w:szCs w:val="24"/>
        </w:rPr>
        <w:t>特点采用附录</w:t>
      </w:r>
      <w:r>
        <w:rPr>
          <w:rFonts w:ascii="仿宋" w:hAnsi="仿宋" w:eastAsia="仿宋" w:cs="仿宋"/>
          <w:spacing w:val="-53"/>
          <w:sz w:val="24"/>
          <w:szCs w:val="24"/>
        </w:rPr>
        <w:t xml:space="preserve"> </w:t>
      </w:r>
      <w:r>
        <w:rPr>
          <w:rFonts w:ascii="仿宋" w:hAnsi="仿宋" w:eastAsia="仿宋" w:cs="仿宋"/>
          <w:spacing w:val="-5"/>
          <w:sz w:val="24"/>
          <w:szCs w:val="24"/>
        </w:rPr>
        <w:t>B 中的资料收集法、现场调查法、遥感调查法、陆生动植物调查法</w:t>
      </w:r>
      <w:r>
        <w:rPr>
          <w:rFonts w:ascii="仿宋" w:hAnsi="仿宋" w:eastAsia="仿宋" w:cs="仿宋"/>
          <w:spacing w:val="-1"/>
          <w:sz w:val="24"/>
          <w:szCs w:val="24"/>
        </w:rPr>
        <w:t>相结合的方法，进行定性或定量的分析评价。</w:t>
      </w:r>
    </w:p>
    <w:p w14:paraId="23A816BE">
      <w:pPr>
        <w:spacing w:before="1" w:line="223" w:lineRule="auto"/>
        <w:ind w:left="514"/>
        <w:rPr>
          <w:rFonts w:ascii="仿宋" w:hAnsi="仿宋" w:eastAsia="仿宋" w:cs="仿宋"/>
          <w:sz w:val="24"/>
          <w:szCs w:val="24"/>
        </w:rPr>
      </w:pPr>
      <w:r>
        <w:rPr>
          <w:rFonts w:ascii="仿宋" w:hAnsi="仿宋" w:eastAsia="仿宋" w:cs="仿宋"/>
          <w:spacing w:val="-3"/>
          <w:sz w:val="24"/>
          <w:szCs w:val="24"/>
        </w:rPr>
        <w:t>（1）现场调查与走访</w:t>
      </w:r>
    </w:p>
    <w:p w14:paraId="6BBF0ECB">
      <w:pPr>
        <w:spacing w:before="178" w:line="358" w:lineRule="auto"/>
        <w:ind w:left="44" w:right="76" w:firstLine="470"/>
        <w:rPr>
          <w:rFonts w:ascii="仿宋" w:hAnsi="仿宋" w:eastAsia="仿宋" w:cs="仿宋"/>
          <w:sz w:val="24"/>
          <w:szCs w:val="24"/>
        </w:rPr>
      </w:pPr>
      <w:r>
        <w:rPr>
          <w:rFonts w:ascii="仿宋" w:hAnsi="仿宋" w:eastAsia="仿宋" w:cs="仿宋"/>
          <w:spacing w:val="-4"/>
          <w:sz w:val="24"/>
          <w:szCs w:val="24"/>
        </w:rPr>
        <w:t>通过对评价区开展动植物相关资料收集和现场校核，了解评价区野生动植物</w:t>
      </w:r>
      <w:r>
        <w:rPr>
          <w:rFonts w:ascii="仿宋" w:hAnsi="仿宋" w:eastAsia="仿宋" w:cs="仿宋"/>
          <w:spacing w:val="-5"/>
          <w:sz w:val="24"/>
          <w:szCs w:val="24"/>
        </w:rPr>
        <w:t>的分布状况。</w:t>
      </w:r>
    </w:p>
    <w:p w14:paraId="383ACD46">
      <w:pPr>
        <w:spacing w:line="220" w:lineRule="auto"/>
        <w:ind w:left="514"/>
        <w:rPr>
          <w:rFonts w:ascii="仿宋" w:hAnsi="仿宋" w:eastAsia="仿宋" w:cs="仿宋"/>
          <w:sz w:val="24"/>
          <w:szCs w:val="24"/>
        </w:rPr>
      </w:pPr>
      <w:r>
        <w:rPr>
          <w:rFonts w:ascii="仿宋" w:hAnsi="仿宋" w:eastAsia="仿宋" w:cs="仿宋"/>
          <w:spacing w:val="-3"/>
          <w:sz w:val="24"/>
          <w:szCs w:val="24"/>
        </w:rPr>
        <w:t>（2）资料收集</w:t>
      </w:r>
    </w:p>
    <w:p w14:paraId="6D575EFD">
      <w:pPr>
        <w:spacing w:before="182" w:line="359" w:lineRule="auto"/>
        <w:ind w:left="29" w:firstLine="493"/>
        <w:rPr>
          <w:rFonts w:ascii="仿宋" w:hAnsi="仿宋" w:eastAsia="仿宋" w:cs="仿宋"/>
          <w:sz w:val="24"/>
          <w:szCs w:val="24"/>
        </w:rPr>
      </w:pPr>
      <w:r>
        <w:rPr>
          <w:rFonts w:ascii="仿宋" w:hAnsi="仿宋" w:eastAsia="仿宋" w:cs="仿宋"/>
          <w:spacing w:val="-15"/>
          <w:sz w:val="24"/>
          <w:szCs w:val="24"/>
        </w:rPr>
        <w:t>收集了相关调查报告生态资料、《内蒙古植物志》以及《鄂尔多斯植物资</w:t>
      </w:r>
      <w:r>
        <w:rPr>
          <w:rFonts w:ascii="仿宋" w:hAnsi="仿宋" w:eastAsia="仿宋" w:cs="仿宋"/>
          <w:spacing w:val="-16"/>
          <w:sz w:val="24"/>
          <w:szCs w:val="24"/>
        </w:rPr>
        <w:t>源》、</w:t>
      </w:r>
      <w:r>
        <w:rPr>
          <w:rFonts w:ascii="仿宋" w:hAnsi="仿宋" w:eastAsia="仿宋" w:cs="仿宋"/>
          <w:sz w:val="24"/>
          <w:szCs w:val="24"/>
        </w:rPr>
        <w:t xml:space="preserve"> </w:t>
      </w:r>
      <w:r>
        <w:rPr>
          <w:rFonts w:ascii="仿宋" w:hAnsi="仿宋" w:eastAsia="仿宋" w:cs="仿宋"/>
          <w:spacing w:val="-2"/>
          <w:sz w:val="24"/>
          <w:szCs w:val="24"/>
        </w:rPr>
        <w:t>《准格尔旗年鉴》等资料。</w:t>
      </w:r>
    </w:p>
    <w:p w14:paraId="14A60AB5">
      <w:pPr>
        <w:spacing w:before="1" w:line="221" w:lineRule="auto"/>
        <w:ind w:left="514"/>
        <w:rPr>
          <w:rFonts w:ascii="仿宋" w:hAnsi="仿宋" w:eastAsia="仿宋" w:cs="仿宋"/>
          <w:sz w:val="24"/>
          <w:szCs w:val="24"/>
        </w:rPr>
      </w:pPr>
      <w:r>
        <w:rPr>
          <w:rFonts w:ascii="仿宋" w:hAnsi="仿宋" w:eastAsia="仿宋" w:cs="仿宋"/>
          <w:spacing w:val="-2"/>
          <w:sz w:val="24"/>
          <w:szCs w:val="24"/>
        </w:rPr>
        <w:t>（3）卫星遥感影像解译</w:t>
      </w:r>
    </w:p>
    <w:p w14:paraId="737A59FE">
      <w:pPr>
        <w:spacing w:before="180" w:line="359" w:lineRule="auto"/>
        <w:ind w:left="29" w:right="76" w:firstLine="481"/>
        <w:rPr>
          <w:rFonts w:ascii="仿宋" w:hAnsi="仿宋" w:eastAsia="仿宋" w:cs="仿宋"/>
          <w:sz w:val="24"/>
          <w:szCs w:val="24"/>
        </w:rPr>
      </w:pPr>
      <w:r>
        <w:rPr>
          <w:rFonts w:ascii="仿宋" w:hAnsi="仿宋" w:eastAsia="仿宋" w:cs="仿宋"/>
          <w:spacing w:val="-3"/>
          <w:sz w:val="24"/>
          <w:szCs w:val="24"/>
        </w:rPr>
        <w:t>本项目主要通过遥感制图系列图件中的遥感影</w:t>
      </w:r>
      <w:r>
        <w:rPr>
          <w:rFonts w:ascii="仿宋" w:hAnsi="仿宋" w:eastAsia="仿宋" w:cs="仿宋"/>
          <w:spacing w:val="-4"/>
          <w:sz w:val="24"/>
          <w:szCs w:val="24"/>
        </w:rPr>
        <w:t>像图、土地利用现状图、植被</w:t>
      </w:r>
      <w:r>
        <w:rPr>
          <w:rFonts w:ascii="仿宋" w:hAnsi="仿宋" w:eastAsia="仿宋" w:cs="仿宋"/>
          <w:spacing w:val="-3"/>
          <w:sz w:val="24"/>
          <w:szCs w:val="24"/>
        </w:rPr>
        <w:t>类型图等图件成果对项目调查区域进行调查和评价。土地利用现状分</w:t>
      </w:r>
      <w:r>
        <w:rPr>
          <w:rFonts w:ascii="仿宋" w:hAnsi="仿宋" w:eastAsia="仿宋" w:cs="仿宋"/>
          <w:spacing w:val="-4"/>
          <w:sz w:val="24"/>
          <w:szCs w:val="24"/>
        </w:rPr>
        <w:t>类采用国家</w:t>
      </w:r>
      <w:r>
        <w:rPr>
          <w:rFonts w:ascii="仿宋" w:hAnsi="仿宋" w:eastAsia="仿宋" w:cs="仿宋"/>
          <w:spacing w:val="-2"/>
          <w:sz w:val="24"/>
          <w:szCs w:val="24"/>
        </w:rPr>
        <w:t>标准《土地利用现状分类》（GB/T21010-2017</w:t>
      </w:r>
      <w:r>
        <w:rPr>
          <w:rFonts w:ascii="仿宋" w:hAnsi="仿宋" w:eastAsia="仿宋" w:cs="仿宋"/>
          <w:spacing w:val="-11"/>
          <w:sz w:val="24"/>
          <w:szCs w:val="24"/>
        </w:rPr>
        <w:t>），</w:t>
      </w:r>
      <w:r>
        <w:rPr>
          <w:rFonts w:ascii="仿宋" w:hAnsi="仿宋" w:eastAsia="仿宋" w:cs="仿宋"/>
          <w:spacing w:val="-2"/>
          <w:sz w:val="24"/>
          <w:szCs w:val="24"/>
        </w:rPr>
        <w:t>植被分类</w:t>
      </w:r>
      <w:r>
        <w:rPr>
          <w:rFonts w:ascii="仿宋" w:hAnsi="仿宋" w:eastAsia="仿宋" w:cs="仿宋"/>
          <w:spacing w:val="-3"/>
          <w:sz w:val="24"/>
          <w:szCs w:val="24"/>
        </w:rPr>
        <w:t>采用全国植被分类系</w:t>
      </w:r>
      <w:r>
        <w:rPr>
          <w:rFonts w:ascii="仿宋" w:hAnsi="仿宋" w:eastAsia="仿宋" w:cs="仿宋"/>
          <w:spacing w:val="-8"/>
          <w:sz w:val="24"/>
          <w:szCs w:val="24"/>
        </w:rPr>
        <w:t>统。</w:t>
      </w:r>
    </w:p>
    <w:p w14:paraId="1C567F33">
      <w:pPr>
        <w:spacing w:before="1" w:line="220" w:lineRule="auto"/>
        <w:ind w:left="502"/>
        <w:rPr>
          <w:rFonts w:ascii="仿宋" w:hAnsi="仿宋" w:eastAsia="仿宋" w:cs="仿宋"/>
          <w:sz w:val="24"/>
          <w:szCs w:val="24"/>
        </w:rPr>
      </w:pPr>
      <w:r>
        <w:rPr>
          <w:rFonts w:ascii="仿宋" w:hAnsi="仿宋" w:eastAsia="仿宋" w:cs="仿宋"/>
          <w:spacing w:val="-1"/>
          <w:sz w:val="24"/>
          <w:szCs w:val="24"/>
        </w:rPr>
        <w:t>①遥感数据源的选择</w:t>
      </w:r>
    </w:p>
    <w:p w14:paraId="15FF311C">
      <w:pPr>
        <w:spacing w:before="179" w:line="359" w:lineRule="auto"/>
        <w:ind w:left="30" w:right="76" w:firstLine="480"/>
        <w:rPr>
          <w:rFonts w:ascii="仿宋" w:hAnsi="仿宋" w:eastAsia="仿宋" w:cs="仿宋"/>
          <w:sz w:val="24"/>
          <w:szCs w:val="24"/>
        </w:rPr>
      </w:pPr>
      <w:r>
        <w:rPr>
          <w:rFonts w:ascii="仿宋" w:hAnsi="仿宋" w:eastAsia="仿宋" w:cs="仿宋"/>
          <w:spacing w:val="-6"/>
          <w:sz w:val="24"/>
          <w:szCs w:val="24"/>
        </w:rPr>
        <w:t>解译以</w:t>
      </w:r>
      <w:r>
        <w:rPr>
          <w:rFonts w:ascii="仿宋" w:hAnsi="仿宋" w:eastAsia="仿宋" w:cs="仿宋"/>
          <w:spacing w:val="-48"/>
          <w:sz w:val="24"/>
          <w:szCs w:val="24"/>
        </w:rPr>
        <w:t xml:space="preserve"> </w:t>
      </w:r>
      <w:r>
        <w:rPr>
          <w:rFonts w:ascii="仿宋" w:hAnsi="仿宋" w:eastAsia="仿宋" w:cs="仿宋"/>
          <w:spacing w:val="-6"/>
          <w:sz w:val="24"/>
          <w:szCs w:val="24"/>
        </w:rPr>
        <w:t>2026</w:t>
      </w:r>
      <w:r>
        <w:rPr>
          <w:rFonts w:ascii="仿宋" w:hAnsi="仿宋" w:eastAsia="仿宋" w:cs="仿宋"/>
          <w:spacing w:val="-40"/>
          <w:sz w:val="24"/>
          <w:szCs w:val="24"/>
        </w:rPr>
        <w:t xml:space="preserve"> </w:t>
      </w:r>
      <w:r>
        <w:rPr>
          <w:rFonts w:ascii="仿宋" w:hAnsi="仿宋" w:eastAsia="仿宋" w:cs="仿宋"/>
          <w:spacing w:val="-6"/>
          <w:sz w:val="24"/>
          <w:szCs w:val="24"/>
        </w:rPr>
        <w:t>年</w:t>
      </w:r>
      <w:r>
        <w:rPr>
          <w:rFonts w:ascii="仿宋" w:hAnsi="仿宋" w:eastAsia="仿宋" w:cs="仿宋"/>
          <w:spacing w:val="-49"/>
          <w:sz w:val="24"/>
          <w:szCs w:val="24"/>
        </w:rPr>
        <w:t xml:space="preserve"> </w:t>
      </w:r>
      <w:r>
        <w:rPr>
          <w:rFonts w:ascii="仿宋" w:hAnsi="仿宋" w:eastAsia="仿宋" w:cs="仿宋"/>
          <w:spacing w:val="-6"/>
          <w:sz w:val="24"/>
          <w:szCs w:val="24"/>
        </w:rPr>
        <w:t>6</w:t>
      </w:r>
      <w:r>
        <w:rPr>
          <w:rFonts w:ascii="仿宋" w:hAnsi="仿宋" w:eastAsia="仿宋" w:cs="仿宋"/>
          <w:spacing w:val="-33"/>
          <w:sz w:val="24"/>
          <w:szCs w:val="24"/>
        </w:rPr>
        <w:t xml:space="preserve"> </w:t>
      </w:r>
      <w:r>
        <w:rPr>
          <w:rFonts w:ascii="仿宋" w:hAnsi="仿宋" w:eastAsia="仿宋" w:cs="仿宋"/>
          <w:spacing w:val="-6"/>
          <w:sz w:val="24"/>
          <w:szCs w:val="24"/>
        </w:rPr>
        <w:t>月</w:t>
      </w:r>
      <w:r>
        <w:rPr>
          <w:rFonts w:ascii="仿宋" w:hAnsi="仿宋" w:eastAsia="仿宋" w:cs="仿宋"/>
          <w:spacing w:val="-34"/>
          <w:sz w:val="24"/>
          <w:szCs w:val="24"/>
        </w:rPr>
        <w:t xml:space="preserve"> </w:t>
      </w:r>
      <w:r>
        <w:rPr>
          <w:rFonts w:ascii="仿宋" w:hAnsi="仿宋" w:eastAsia="仿宋" w:cs="仿宋"/>
          <w:spacing w:val="-6"/>
          <w:sz w:val="24"/>
          <w:szCs w:val="24"/>
        </w:rPr>
        <w:t>1 日的哨兵</w:t>
      </w:r>
      <w:r>
        <w:rPr>
          <w:rFonts w:ascii="仿宋" w:hAnsi="仿宋" w:eastAsia="仿宋" w:cs="仿宋"/>
          <w:spacing w:val="-49"/>
          <w:sz w:val="24"/>
          <w:szCs w:val="24"/>
        </w:rPr>
        <w:t xml:space="preserve"> </w:t>
      </w:r>
      <w:r>
        <w:rPr>
          <w:rFonts w:ascii="仿宋" w:hAnsi="仿宋" w:eastAsia="仿宋" w:cs="仿宋"/>
          <w:spacing w:val="-6"/>
          <w:sz w:val="24"/>
          <w:szCs w:val="24"/>
        </w:rPr>
        <w:t>2</w:t>
      </w:r>
      <w:r>
        <w:rPr>
          <w:rFonts w:ascii="仿宋" w:hAnsi="仿宋" w:eastAsia="仿宋" w:cs="仿宋"/>
          <w:spacing w:val="-38"/>
          <w:sz w:val="24"/>
          <w:szCs w:val="24"/>
        </w:rPr>
        <w:t xml:space="preserve"> </w:t>
      </w:r>
      <w:r>
        <w:rPr>
          <w:rFonts w:ascii="仿宋" w:hAnsi="仿宋" w:eastAsia="仿宋" w:cs="仿宋"/>
          <w:spacing w:val="-6"/>
          <w:sz w:val="24"/>
          <w:szCs w:val="24"/>
        </w:rPr>
        <w:t>号卫星（Sentinel-2）空间</w:t>
      </w:r>
      <w:r>
        <w:rPr>
          <w:rFonts w:ascii="仿宋" w:hAnsi="仿宋" w:eastAsia="仿宋" w:cs="仿宋"/>
          <w:spacing w:val="-7"/>
          <w:sz w:val="24"/>
          <w:szCs w:val="24"/>
        </w:rPr>
        <w:t>分辨率</w:t>
      </w:r>
      <w:r>
        <w:rPr>
          <w:rFonts w:ascii="仿宋" w:hAnsi="仿宋" w:eastAsia="仿宋" w:cs="仿宋"/>
          <w:spacing w:val="-34"/>
          <w:sz w:val="24"/>
          <w:szCs w:val="24"/>
        </w:rPr>
        <w:t xml:space="preserve"> </w:t>
      </w:r>
      <w:r>
        <w:rPr>
          <w:rFonts w:ascii="仿宋" w:hAnsi="仿宋" w:eastAsia="仿宋" w:cs="仿宋"/>
          <w:spacing w:val="-7"/>
          <w:sz w:val="24"/>
          <w:szCs w:val="24"/>
        </w:rPr>
        <w:t>10m</w:t>
      </w:r>
      <w:r>
        <w:rPr>
          <w:rFonts w:ascii="仿宋" w:hAnsi="仿宋" w:eastAsia="仿宋" w:cs="仿宋"/>
          <w:spacing w:val="-41"/>
          <w:sz w:val="24"/>
          <w:szCs w:val="24"/>
        </w:rPr>
        <w:t xml:space="preserve"> </w:t>
      </w:r>
      <w:r>
        <w:rPr>
          <w:rFonts w:ascii="仿宋" w:hAnsi="仿宋" w:eastAsia="仿宋" w:cs="仿宋"/>
          <w:spacing w:val="-7"/>
          <w:sz w:val="24"/>
          <w:szCs w:val="24"/>
        </w:rPr>
        <w:t>影</w:t>
      </w:r>
      <w:r>
        <w:rPr>
          <w:rFonts w:ascii="仿宋" w:hAnsi="仿宋" w:eastAsia="仿宋" w:cs="仿宋"/>
          <w:spacing w:val="-3"/>
          <w:sz w:val="24"/>
          <w:szCs w:val="24"/>
        </w:rPr>
        <w:t>像数据作为基本信息源，经过融合处理后的图像地表信息丰富，</w:t>
      </w:r>
      <w:r>
        <w:rPr>
          <w:rFonts w:ascii="仿宋" w:hAnsi="仿宋" w:eastAsia="仿宋" w:cs="仿宋"/>
          <w:spacing w:val="-4"/>
          <w:sz w:val="24"/>
          <w:szCs w:val="24"/>
        </w:rPr>
        <w:t>有利于生态环境</w:t>
      </w:r>
      <w:r>
        <w:rPr>
          <w:rFonts w:ascii="仿宋" w:hAnsi="仿宋" w:eastAsia="仿宋" w:cs="仿宋"/>
          <w:spacing w:val="-1"/>
          <w:sz w:val="24"/>
          <w:szCs w:val="24"/>
        </w:rPr>
        <w:t>因子遥感解译标志的建立，保证了各生态环境要素解译成果的准确性。</w:t>
      </w:r>
    </w:p>
    <w:p w14:paraId="39215AB9">
      <w:pPr>
        <w:spacing w:before="1" w:line="222" w:lineRule="auto"/>
        <w:ind w:left="501"/>
        <w:rPr>
          <w:rFonts w:ascii="仿宋" w:hAnsi="仿宋" w:eastAsia="仿宋" w:cs="仿宋"/>
          <w:sz w:val="24"/>
          <w:szCs w:val="24"/>
        </w:rPr>
      </w:pPr>
      <w:r>
        <w:rPr>
          <w:rFonts w:ascii="仿宋" w:hAnsi="仿宋" w:eastAsia="仿宋" w:cs="仿宋"/>
          <w:spacing w:val="-2"/>
          <w:sz w:val="24"/>
          <w:szCs w:val="24"/>
        </w:rPr>
        <w:t>②遥感影像处理</w:t>
      </w:r>
    </w:p>
    <w:p w14:paraId="4F9A0D7C">
      <w:pPr>
        <w:spacing w:before="179" w:line="359" w:lineRule="auto"/>
        <w:ind w:left="29" w:right="76" w:firstLine="481"/>
        <w:rPr>
          <w:rFonts w:ascii="仿宋" w:hAnsi="仿宋" w:eastAsia="仿宋" w:cs="仿宋"/>
          <w:sz w:val="24"/>
          <w:szCs w:val="24"/>
        </w:rPr>
      </w:pPr>
      <w:r>
        <w:rPr>
          <w:rFonts w:ascii="仿宋" w:hAnsi="仿宋" w:eastAsia="仿宋" w:cs="仿宋"/>
          <w:spacing w:val="-1"/>
          <w:sz w:val="24"/>
          <w:szCs w:val="24"/>
        </w:rPr>
        <w:t>在</w:t>
      </w:r>
      <w:r>
        <w:rPr>
          <w:rFonts w:ascii="仿宋" w:hAnsi="仿宋" w:eastAsia="仿宋" w:cs="仿宋"/>
          <w:spacing w:val="-55"/>
          <w:sz w:val="24"/>
          <w:szCs w:val="24"/>
        </w:rPr>
        <w:t xml:space="preserve"> </w:t>
      </w:r>
      <w:r>
        <w:rPr>
          <w:rFonts w:ascii="仿宋" w:hAnsi="仿宋" w:eastAsia="仿宋" w:cs="仿宋"/>
          <w:spacing w:val="-1"/>
          <w:sz w:val="24"/>
          <w:szCs w:val="24"/>
        </w:rPr>
        <w:t>Envi、Arcgis</w:t>
      </w:r>
      <w:r>
        <w:rPr>
          <w:rFonts w:ascii="仿宋" w:hAnsi="仿宋" w:eastAsia="仿宋" w:cs="仿宋"/>
          <w:spacing w:val="-35"/>
          <w:sz w:val="24"/>
          <w:szCs w:val="24"/>
        </w:rPr>
        <w:t xml:space="preserve"> </w:t>
      </w:r>
      <w:r>
        <w:rPr>
          <w:rFonts w:ascii="仿宋" w:hAnsi="仿宋" w:eastAsia="仿宋" w:cs="仿宋"/>
          <w:spacing w:val="-1"/>
          <w:sz w:val="24"/>
          <w:szCs w:val="24"/>
        </w:rPr>
        <w:t>等遥感图像处理软件的支持下</w:t>
      </w:r>
      <w:r>
        <w:rPr>
          <w:rFonts w:ascii="仿宋" w:hAnsi="仿宋" w:eastAsia="仿宋" w:cs="仿宋"/>
          <w:spacing w:val="-2"/>
          <w:sz w:val="24"/>
          <w:szCs w:val="24"/>
        </w:rPr>
        <w:t>，对影像数据进行了投影转</w:t>
      </w:r>
      <w:r>
        <w:rPr>
          <w:rFonts w:ascii="仿宋" w:hAnsi="仿宋" w:eastAsia="仿宋" w:cs="仿宋"/>
          <w:spacing w:val="-3"/>
          <w:sz w:val="24"/>
          <w:szCs w:val="24"/>
        </w:rPr>
        <w:t>换、几何纠正、直方图匹配等影像预处理。根据土地利用现状、植</w:t>
      </w:r>
      <w:r>
        <w:rPr>
          <w:rFonts w:ascii="仿宋" w:hAnsi="仿宋" w:eastAsia="仿宋" w:cs="仿宋"/>
          <w:spacing w:val="-4"/>
          <w:sz w:val="24"/>
          <w:szCs w:val="24"/>
        </w:rPr>
        <w:t>被类型等生态</w:t>
      </w:r>
      <w:r>
        <w:rPr>
          <w:rFonts w:ascii="仿宋" w:hAnsi="仿宋" w:eastAsia="仿宋" w:cs="仿宋"/>
          <w:spacing w:val="-2"/>
          <w:sz w:val="24"/>
          <w:szCs w:val="24"/>
        </w:rPr>
        <w:t>环境要素的地物光谱特征的差异性，选择</w:t>
      </w:r>
      <w:r>
        <w:rPr>
          <w:rFonts w:ascii="仿宋" w:hAnsi="仿宋" w:eastAsia="仿宋" w:cs="仿宋"/>
          <w:spacing w:val="-39"/>
          <w:sz w:val="24"/>
          <w:szCs w:val="24"/>
        </w:rPr>
        <w:t xml:space="preserve"> </w:t>
      </w:r>
      <w:r>
        <w:rPr>
          <w:rFonts w:ascii="仿宋" w:hAnsi="仿宋" w:eastAsia="仿宋" w:cs="仿宋"/>
          <w:spacing w:val="-2"/>
          <w:sz w:val="24"/>
          <w:szCs w:val="24"/>
        </w:rPr>
        <w:t>8（红外）、4（红光）、3（绿光）波</w:t>
      </w:r>
      <w:r>
        <w:rPr>
          <w:rFonts w:ascii="仿宋" w:hAnsi="仿宋" w:eastAsia="仿宋" w:cs="仿宋"/>
          <w:spacing w:val="-3"/>
          <w:sz w:val="24"/>
          <w:szCs w:val="24"/>
        </w:rPr>
        <w:t>段组合成标准假彩色影像，合成图像色彩丰富、层次分明，地类边</w:t>
      </w:r>
      <w:r>
        <w:rPr>
          <w:rFonts w:ascii="仿宋" w:hAnsi="仿宋" w:eastAsia="仿宋" w:cs="仿宋"/>
          <w:spacing w:val="-4"/>
          <w:sz w:val="24"/>
          <w:szCs w:val="24"/>
        </w:rPr>
        <w:t>界明显，有利</w:t>
      </w:r>
      <w:r>
        <w:rPr>
          <w:rFonts w:ascii="仿宋" w:hAnsi="仿宋" w:eastAsia="仿宋" w:cs="仿宋"/>
          <w:spacing w:val="-2"/>
          <w:sz w:val="24"/>
          <w:szCs w:val="24"/>
        </w:rPr>
        <w:t>于生态要素的判读解译。</w:t>
      </w:r>
    </w:p>
    <w:p w14:paraId="5632AA60">
      <w:pPr>
        <w:spacing w:before="1" w:line="221" w:lineRule="auto"/>
        <w:ind w:left="501"/>
        <w:rPr>
          <w:rFonts w:ascii="仿宋" w:hAnsi="仿宋" w:eastAsia="仿宋" w:cs="仿宋"/>
          <w:sz w:val="24"/>
          <w:szCs w:val="24"/>
        </w:rPr>
      </w:pPr>
      <w:r>
        <w:rPr>
          <w:rFonts w:ascii="仿宋" w:hAnsi="仿宋" w:eastAsia="仿宋" w:cs="仿宋"/>
          <w:spacing w:val="1"/>
          <w:sz w:val="24"/>
          <w:szCs w:val="24"/>
        </w:rPr>
        <w:t>③遥感解译范围为：各段道路中心线向两侧外延300m</w:t>
      </w:r>
      <w:r>
        <w:rPr>
          <w:rFonts w:ascii="仿宋" w:hAnsi="仿宋" w:eastAsia="仿宋" w:cs="仿宋"/>
          <w:spacing w:val="-36"/>
          <w:sz w:val="24"/>
          <w:szCs w:val="24"/>
        </w:rPr>
        <w:t xml:space="preserve"> </w:t>
      </w:r>
      <w:r>
        <w:rPr>
          <w:rFonts w:ascii="仿宋" w:hAnsi="仿宋" w:eastAsia="仿宋" w:cs="仿宋"/>
          <w:spacing w:val="1"/>
          <w:sz w:val="24"/>
          <w:szCs w:val="24"/>
        </w:rPr>
        <w:t>为范</w:t>
      </w:r>
      <w:r>
        <w:rPr>
          <w:rFonts w:ascii="仿宋" w:hAnsi="仿宋" w:eastAsia="仿宋" w:cs="仿宋"/>
          <w:sz w:val="24"/>
          <w:szCs w:val="24"/>
        </w:rPr>
        <w:t>围。</w:t>
      </w:r>
    </w:p>
    <w:p w14:paraId="3314C920">
      <w:pPr>
        <w:spacing w:before="179" w:line="222" w:lineRule="auto"/>
        <w:ind w:left="510"/>
        <w:rPr>
          <w:rFonts w:ascii="仿宋" w:hAnsi="仿宋" w:eastAsia="仿宋" w:cs="仿宋"/>
          <w:sz w:val="24"/>
          <w:szCs w:val="24"/>
        </w:rPr>
      </w:pPr>
      <w:r>
        <w:rPr>
          <w:rFonts w:ascii="仿宋" w:hAnsi="仿宋" w:eastAsia="仿宋" w:cs="仿宋"/>
          <w:spacing w:val="-3"/>
          <w:sz w:val="24"/>
          <w:szCs w:val="24"/>
        </w:rPr>
        <w:t>各路段遥感影像图见图</w:t>
      </w:r>
      <w:r>
        <w:rPr>
          <w:rFonts w:ascii="仿宋" w:hAnsi="仿宋" w:eastAsia="仿宋" w:cs="仿宋"/>
          <w:spacing w:val="-46"/>
          <w:sz w:val="24"/>
          <w:szCs w:val="24"/>
        </w:rPr>
        <w:t xml:space="preserve"> </w:t>
      </w:r>
      <w:r>
        <w:rPr>
          <w:rFonts w:ascii="仿宋" w:hAnsi="仿宋" w:eastAsia="仿宋" w:cs="仿宋"/>
          <w:spacing w:val="-3"/>
          <w:sz w:val="24"/>
          <w:szCs w:val="24"/>
        </w:rPr>
        <w:t>3.2-1</w:t>
      </w:r>
      <w:r>
        <w:rPr>
          <w:rFonts w:ascii="仿宋" w:hAnsi="仿宋" w:eastAsia="仿宋" w:cs="仿宋"/>
          <w:spacing w:val="-37"/>
          <w:sz w:val="24"/>
          <w:szCs w:val="24"/>
        </w:rPr>
        <w:t xml:space="preserve"> </w:t>
      </w:r>
      <w:r>
        <w:rPr>
          <w:rFonts w:ascii="仿宋" w:hAnsi="仿宋" w:eastAsia="仿宋" w:cs="仿宋"/>
          <w:spacing w:val="-3"/>
          <w:sz w:val="24"/>
          <w:szCs w:val="24"/>
        </w:rPr>
        <w:t>至图</w:t>
      </w:r>
      <w:r>
        <w:rPr>
          <w:rFonts w:ascii="仿宋" w:hAnsi="仿宋" w:eastAsia="仿宋" w:cs="仿宋"/>
          <w:spacing w:val="-46"/>
          <w:sz w:val="24"/>
          <w:szCs w:val="24"/>
        </w:rPr>
        <w:t xml:space="preserve"> </w:t>
      </w:r>
      <w:r>
        <w:rPr>
          <w:rFonts w:ascii="仿宋" w:hAnsi="仿宋" w:eastAsia="仿宋" w:cs="仿宋"/>
          <w:spacing w:val="-3"/>
          <w:sz w:val="24"/>
          <w:szCs w:val="24"/>
        </w:rPr>
        <w:t>3.2-9。</w:t>
      </w:r>
    </w:p>
    <w:p w14:paraId="7A409BED">
      <w:pPr>
        <w:spacing w:line="222" w:lineRule="auto"/>
        <w:rPr>
          <w:rFonts w:ascii="仿宋" w:hAnsi="仿宋" w:eastAsia="仿宋" w:cs="仿宋"/>
          <w:sz w:val="24"/>
          <w:szCs w:val="24"/>
        </w:rPr>
        <w:sectPr>
          <w:footerReference r:id="rId223" w:type="default"/>
          <w:pgSz w:w="11906" w:h="16839"/>
          <w:pgMar w:top="400" w:right="1723" w:bottom="1511" w:left="1785" w:header="0" w:footer="1349" w:gutter="0"/>
          <w:cols w:space="720" w:num="1"/>
        </w:sectPr>
      </w:pPr>
    </w:p>
    <w:p w14:paraId="315D2A14">
      <w:pPr>
        <w:pStyle w:val="2"/>
        <w:spacing w:line="258" w:lineRule="auto"/>
        <w:rPr>
          <w:sz w:val="21"/>
        </w:rPr>
      </w:pPr>
    </w:p>
    <w:p w14:paraId="4CDB3C96">
      <w:pPr>
        <w:pStyle w:val="2"/>
        <w:spacing w:line="258" w:lineRule="auto"/>
        <w:rPr>
          <w:sz w:val="21"/>
        </w:rPr>
      </w:pPr>
    </w:p>
    <w:p w14:paraId="5733556B">
      <w:pPr>
        <w:pStyle w:val="2"/>
        <w:spacing w:line="258" w:lineRule="auto"/>
        <w:rPr>
          <w:sz w:val="21"/>
        </w:rPr>
      </w:pPr>
    </w:p>
    <w:p w14:paraId="043638FE">
      <w:pPr>
        <w:pStyle w:val="2"/>
        <w:spacing w:line="259" w:lineRule="auto"/>
        <w:rPr>
          <w:sz w:val="21"/>
        </w:rPr>
      </w:pPr>
    </w:p>
    <w:p w14:paraId="10FD1C40">
      <w:pPr>
        <w:spacing w:line="11731" w:lineRule="exact"/>
        <w:ind w:firstLine="14"/>
      </w:pPr>
      <w:r>
        <w:rPr>
          <w:position w:val="-234"/>
        </w:rPr>
        <w:drawing>
          <wp:inline distT="0" distB="0" distL="0" distR="0">
            <wp:extent cx="5271135" cy="7449185"/>
            <wp:effectExtent l="0" t="0" r="0" b="0"/>
            <wp:docPr id="352" name="IM 352"/>
            <wp:cNvGraphicFramePr/>
            <a:graphic xmlns:a="http://schemas.openxmlformats.org/drawingml/2006/main">
              <a:graphicData uri="http://schemas.openxmlformats.org/drawingml/2006/picture">
                <pic:pic xmlns:pic="http://schemas.openxmlformats.org/drawingml/2006/picture">
                  <pic:nvPicPr>
                    <pic:cNvPr id="352" name="IM 352"/>
                    <pic:cNvPicPr/>
                  </pic:nvPicPr>
                  <pic:blipFill>
                    <a:blip r:embed="rId411"/>
                    <a:stretch>
                      <a:fillRect/>
                    </a:stretch>
                  </pic:blipFill>
                  <pic:spPr>
                    <a:xfrm>
                      <a:off x="0" y="0"/>
                      <a:ext cx="5271515" cy="7449311"/>
                    </a:xfrm>
                    <a:prstGeom prst="rect">
                      <a:avLst/>
                    </a:prstGeom>
                  </pic:spPr>
                </pic:pic>
              </a:graphicData>
            </a:graphic>
          </wp:inline>
        </w:drawing>
      </w:r>
    </w:p>
    <w:p w14:paraId="1E8BDD65">
      <w:pPr>
        <w:spacing w:before="291" w:line="222" w:lineRule="auto"/>
        <w:ind w:left="1704"/>
        <w:rPr>
          <w:rFonts w:ascii="仿宋" w:hAnsi="仿宋" w:eastAsia="仿宋" w:cs="仿宋"/>
          <w:sz w:val="24"/>
          <w:szCs w:val="24"/>
        </w:rPr>
      </w:pPr>
      <w:r>
        <w:rPr>
          <w:rFonts w:ascii="仿宋" w:hAnsi="仿宋" w:eastAsia="仿宋" w:cs="仿宋"/>
          <w:b/>
          <w:bCs/>
          <w:spacing w:val="-4"/>
          <w:sz w:val="24"/>
          <w:szCs w:val="24"/>
        </w:rPr>
        <w:t>图</w:t>
      </w:r>
      <w:r>
        <w:rPr>
          <w:rFonts w:ascii="仿宋" w:hAnsi="仿宋" w:eastAsia="仿宋" w:cs="仿宋"/>
          <w:spacing w:val="-29"/>
          <w:sz w:val="24"/>
          <w:szCs w:val="24"/>
        </w:rPr>
        <w:t xml:space="preserve"> </w:t>
      </w:r>
      <w:r>
        <w:rPr>
          <w:rFonts w:ascii="仿宋" w:hAnsi="仿宋" w:eastAsia="仿宋" w:cs="仿宋"/>
          <w:b/>
          <w:bCs/>
          <w:spacing w:val="-4"/>
          <w:sz w:val="24"/>
          <w:szCs w:val="24"/>
        </w:rPr>
        <w:t>3.2-1</w:t>
      </w:r>
      <w:r>
        <w:rPr>
          <w:rFonts w:ascii="仿宋" w:hAnsi="仿宋" w:eastAsia="仿宋" w:cs="仿宋"/>
          <w:spacing w:val="-4"/>
          <w:sz w:val="24"/>
          <w:szCs w:val="24"/>
        </w:rPr>
        <w:t xml:space="preserve">    </w:t>
      </w:r>
      <w:r>
        <w:rPr>
          <w:rFonts w:ascii="仿宋" w:hAnsi="仿宋" w:eastAsia="仿宋" w:cs="仿宋"/>
          <w:b/>
          <w:bCs/>
          <w:spacing w:val="-4"/>
          <w:sz w:val="24"/>
          <w:szCs w:val="24"/>
        </w:rPr>
        <w:t>李家圪堵至土敖包通村公路遥感影像图</w:t>
      </w:r>
    </w:p>
    <w:p w14:paraId="51FE74BF">
      <w:pPr>
        <w:spacing w:line="222" w:lineRule="auto"/>
        <w:rPr>
          <w:rFonts w:ascii="仿宋" w:hAnsi="仿宋" w:eastAsia="仿宋" w:cs="仿宋"/>
          <w:sz w:val="24"/>
          <w:szCs w:val="24"/>
        </w:rPr>
        <w:sectPr>
          <w:footerReference r:id="rId224" w:type="default"/>
          <w:pgSz w:w="11906" w:h="16839"/>
          <w:pgMar w:top="400" w:right="1785" w:bottom="1511" w:left="1785" w:header="0" w:footer="1349" w:gutter="0"/>
          <w:cols w:space="720" w:num="1"/>
        </w:sectPr>
      </w:pPr>
    </w:p>
    <w:p w14:paraId="5830C14C">
      <w:pPr>
        <w:pStyle w:val="2"/>
        <w:spacing w:line="258" w:lineRule="auto"/>
        <w:rPr>
          <w:sz w:val="21"/>
        </w:rPr>
      </w:pPr>
    </w:p>
    <w:p w14:paraId="1BCB7F8C">
      <w:pPr>
        <w:pStyle w:val="2"/>
        <w:spacing w:line="258" w:lineRule="auto"/>
        <w:rPr>
          <w:sz w:val="21"/>
        </w:rPr>
      </w:pPr>
    </w:p>
    <w:p w14:paraId="1C2B0D3C">
      <w:pPr>
        <w:pStyle w:val="2"/>
        <w:spacing w:line="258" w:lineRule="auto"/>
        <w:rPr>
          <w:sz w:val="21"/>
        </w:rPr>
      </w:pPr>
    </w:p>
    <w:p w14:paraId="2F726068">
      <w:pPr>
        <w:pStyle w:val="2"/>
        <w:spacing w:line="259" w:lineRule="auto"/>
        <w:rPr>
          <w:sz w:val="21"/>
        </w:rPr>
      </w:pPr>
    </w:p>
    <w:p w14:paraId="03AA60A3">
      <w:pPr>
        <w:spacing w:line="11731" w:lineRule="exact"/>
        <w:ind w:firstLine="14"/>
      </w:pPr>
      <w:r>
        <w:rPr>
          <w:position w:val="-234"/>
        </w:rPr>
        <w:drawing>
          <wp:inline distT="0" distB="0" distL="0" distR="0">
            <wp:extent cx="5271135" cy="7449185"/>
            <wp:effectExtent l="0" t="0" r="0" b="0"/>
            <wp:docPr id="354" name="IM 354"/>
            <wp:cNvGraphicFramePr/>
            <a:graphic xmlns:a="http://schemas.openxmlformats.org/drawingml/2006/main">
              <a:graphicData uri="http://schemas.openxmlformats.org/drawingml/2006/picture">
                <pic:pic xmlns:pic="http://schemas.openxmlformats.org/drawingml/2006/picture">
                  <pic:nvPicPr>
                    <pic:cNvPr id="354" name="IM 354"/>
                    <pic:cNvPicPr/>
                  </pic:nvPicPr>
                  <pic:blipFill>
                    <a:blip r:embed="rId412"/>
                    <a:stretch>
                      <a:fillRect/>
                    </a:stretch>
                  </pic:blipFill>
                  <pic:spPr>
                    <a:xfrm>
                      <a:off x="0" y="0"/>
                      <a:ext cx="5271515" cy="7449311"/>
                    </a:xfrm>
                    <a:prstGeom prst="rect">
                      <a:avLst/>
                    </a:prstGeom>
                  </pic:spPr>
                </pic:pic>
              </a:graphicData>
            </a:graphic>
          </wp:inline>
        </w:drawing>
      </w:r>
    </w:p>
    <w:p w14:paraId="2D003F74">
      <w:pPr>
        <w:spacing w:before="291" w:line="222" w:lineRule="auto"/>
        <w:ind w:right="42"/>
        <w:jc w:val="right"/>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46"/>
          <w:sz w:val="24"/>
          <w:szCs w:val="24"/>
        </w:rPr>
        <w:t xml:space="preserve"> </w:t>
      </w:r>
      <w:r>
        <w:rPr>
          <w:rFonts w:ascii="仿宋" w:hAnsi="仿宋" w:eastAsia="仿宋" w:cs="仿宋"/>
          <w:b/>
          <w:bCs/>
          <w:spacing w:val="-3"/>
          <w:sz w:val="24"/>
          <w:szCs w:val="24"/>
        </w:rPr>
        <w:t>3.2-2</w:t>
      </w:r>
      <w:r>
        <w:rPr>
          <w:rFonts w:ascii="仿宋" w:hAnsi="仿宋" w:eastAsia="仿宋" w:cs="仿宋"/>
          <w:spacing w:val="-3"/>
          <w:sz w:val="24"/>
          <w:szCs w:val="24"/>
        </w:rPr>
        <w:t xml:space="preserve"> </w:t>
      </w:r>
      <w:r>
        <w:rPr>
          <w:rFonts w:ascii="仿宋" w:hAnsi="仿宋" w:eastAsia="仿宋" w:cs="仿宋"/>
          <w:b/>
          <w:bCs/>
          <w:spacing w:val="-3"/>
          <w:sz w:val="24"/>
          <w:szCs w:val="24"/>
        </w:rPr>
        <w:t>李家圪堵至土敖包通村公路及双山梁村通社公路工程遥</w:t>
      </w:r>
      <w:r>
        <w:rPr>
          <w:rFonts w:ascii="仿宋" w:hAnsi="仿宋" w:eastAsia="仿宋" w:cs="仿宋"/>
          <w:b/>
          <w:bCs/>
          <w:spacing w:val="-4"/>
          <w:sz w:val="24"/>
          <w:szCs w:val="24"/>
        </w:rPr>
        <w:t>感影像图</w:t>
      </w:r>
    </w:p>
    <w:p w14:paraId="3204DC8E">
      <w:pPr>
        <w:spacing w:line="222" w:lineRule="auto"/>
        <w:rPr>
          <w:rFonts w:ascii="仿宋" w:hAnsi="仿宋" w:eastAsia="仿宋" w:cs="仿宋"/>
          <w:sz w:val="24"/>
          <w:szCs w:val="24"/>
        </w:rPr>
        <w:sectPr>
          <w:footerReference r:id="rId225" w:type="default"/>
          <w:pgSz w:w="11906" w:h="16839"/>
          <w:pgMar w:top="400" w:right="1785" w:bottom="1511" w:left="1785" w:header="0" w:footer="1349" w:gutter="0"/>
          <w:cols w:space="720" w:num="1"/>
        </w:sectPr>
      </w:pPr>
    </w:p>
    <w:p w14:paraId="41ADBB99">
      <w:pPr>
        <w:pStyle w:val="2"/>
        <w:spacing w:line="256" w:lineRule="auto"/>
        <w:rPr>
          <w:sz w:val="21"/>
        </w:rPr>
      </w:pPr>
    </w:p>
    <w:p w14:paraId="14EF82FF">
      <w:pPr>
        <w:pStyle w:val="2"/>
        <w:spacing w:line="257" w:lineRule="auto"/>
        <w:rPr>
          <w:sz w:val="21"/>
        </w:rPr>
      </w:pPr>
    </w:p>
    <w:p w14:paraId="07DA2636">
      <w:pPr>
        <w:pStyle w:val="2"/>
        <w:spacing w:line="257" w:lineRule="auto"/>
        <w:rPr>
          <w:sz w:val="21"/>
        </w:rPr>
      </w:pPr>
    </w:p>
    <w:p w14:paraId="633080B9">
      <w:pPr>
        <w:pStyle w:val="2"/>
        <w:spacing w:line="257" w:lineRule="auto"/>
        <w:rPr>
          <w:sz w:val="21"/>
        </w:rPr>
      </w:pPr>
    </w:p>
    <w:p w14:paraId="12B4A600">
      <w:pPr>
        <w:pStyle w:val="2"/>
        <w:spacing w:line="257" w:lineRule="auto"/>
        <w:rPr>
          <w:sz w:val="21"/>
        </w:rPr>
      </w:pPr>
    </w:p>
    <w:p w14:paraId="71158025">
      <w:pPr>
        <w:pStyle w:val="2"/>
        <w:spacing w:line="257" w:lineRule="auto"/>
        <w:rPr>
          <w:sz w:val="21"/>
        </w:rPr>
      </w:pPr>
    </w:p>
    <w:p w14:paraId="4516A138">
      <w:pPr>
        <w:spacing w:line="11731" w:lineRule="exact"/>
        <w:ind w:firstLine="14"/>
      </w:pPr>
      <w:r>
        <w:rPr>
          <w:position w:val="-234"/>
        </w:rPr>
        <w:drawing>
          <wp:inline distT="0" distB="0" distL="0" distR="0">
            <wp:extent cx="5271135" cy="7449185"/>
            <wp:effectExtent l="0" t="0" r="0" b="0"/>
            <wp:docPr id="356" name="IM 356"/>
            <wp:cNvGraphicFramePr/>
            <a:graphic xmlns:a="http://schemas.openxmlformats.org/drawingml/2006/main">
              <a:graphicData uri="http://schemas.openxmlformats.org/drawingml/2006/picture">
                <pic:pic xmlns:pic="http://schemas.openxmlformats.org/drawingml/2006/picture">
                  <pic:nvPicPr>
                    <pic:cNvPr id="356" name="IM 356"/>
                    <pic:cNvPicPr/>
                  </pic:nvPicPr>
                  <pic:blipFill>
                    <a:blip r:embed="rId413"/>
                    <a:stretch>
                      <a:fillRect/>
                    </a:stretch>
                  </pic:blipFill>
                  <pic:spPr>
                    <a:xfrm>
                      <a:off x="0" y="0"/>
                      <a:ext cx="5271515" cy="7449311"/>
                    </a:xfrm>
                    <a:prstGeom prst="rect">
                      <a:avLst/>
                    </a:prstGeom>
                  </pic:spPr>
                </pic:pic>
              </a:graphicData>
            </a:graphic>
          </wp:inline>
        </w:drawing>
      </w:r>
    </w:p>
    <w:p w14:paraId="44571D0F">
      <w:pPr>
        <w:spacing w:before="291" w:line="222" w:lineRule="auto"/>
        <w:ind w:left="1342"/>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47"/>
          <w:sz w:val="24"/>
          <w:szCs w:val="24"/>
        </w:rPr>
        <w:t xml:space="preserve"> </w:t>
      </w:r>
      <w:r>
        <w:rPr>
          <w:rFonts w:ascii="仿宋" w:hAnsi="仿宋" w:eastAsia="仿宋" w:cs="仿宋"/>
          <w:b/>
          <w:bCs/>
          <w:spacing w:val="-3"/>
          <w:sz w:val="24"/>
          <w:szCs w:val="24"/>
        </w:rPr>
        <w:t>3.2-3</w:t>
      </w:r>
      <w:r>
        <w:rPr>
          <w:rFonts w:ascii="仿宋" w:hAnsi="仿宋" w:eastAsia="仿宋" w:cs="仿宋"/>
          <w:spacing w:val="-3"/>
          <w:sz w:val="24"/>
          <w:szCs w:val="24"/>
        </w:rPr>
        <w:t xml:space="preserve">  </w:t>
      </w:r>
      <w:r>
        <w:rPr>
          <w:rFonts w:ascii="仿宋" w:hAnsi="仿宋" w:eastAsia="仿宋" w:cs="仿宋"/>
          <w:b/>
          <w:bCs/>
          <w:spacing w:val="-3"/>
          <w:sz w:val="24"/>
          <w:szCs w:val="24"/>
        </w:rPr>
        <w:t>四道敖包至淡家梁至杨家塔</w:t>
      </w:r>
      <w:r>
        <w:rPr>
          <w:rFonts w:ascii="仿宋" w:hAnsi="仿宋" w:eastAsia="仿宋" w:cs="仿宋"/>
          <w:b/>
          <w:bCs/>
          <w:spacing w:val="-4"/>
          <w:sz w:val="24"/>
          <w:szCs w:val="24"/>
        </w:rPr>
        <w:t>通村公路遥感影像图</w:t>
      </w:r>
    </w:p>
    <w:p w14:paraId="6FF616A6">
      <w:pPr>
        <w:spacing w:line="222" w:lineRule="auto"/>
        <w:rPr>
          <w:rFonts w:ascii="仿宋" w:hAnsi="仿宋" w:eastAsia="仿宋" w:cs="仿宋"/>
          <w:sz w:val="24"/>
          <w:szCs w:val="24"/>
        </w:rPr>
        <w:sectPr>
          <w:footerReference r:id="rId226" w:type="default"/>
          <w:pgSz w:w="11906" w:h="16839"/>
          <w:pgMar w:top="400" w:right="1785" w:bottom="1511" w:left="1785" w:header="0" w:footer="1349" w:gutter="0"/>
          <w:cols w:space="720" w:num="1"/>
        </w:sectPr>
      </w:pPr>
    </w:p>
    <w:p w14:paraId="332647F4">
      <w:pPr>
        <w:pStyle w:val="2"/>
        <w:spacing w:line="278" w:lineRule="auto"/>
        <w:rPr>
          <w:sz w:val="21"/>
        </w:rPr>
      </w:pPr>
    </w:p>
    <w:p w14:paraId="4784CBD1">
      <w:pPr>
        <w:pStyle w:val="2"/>
        <w:spacing w:line="278" w:lineRule="auto"/>
        <w:rPr>
          <w:sz w:val="21"/>
        </w:rPr>
      </w:pPr>
    </w:p>
    <w:p w14:paraId="6CECCAA8">
      <w:pPr>
        <w:pStyle w:val="2"/>
        <w:spacing w:line="278" w:lineRule="auto"/>
        <w:rPr>
          <w:sz w:val="21"/>
        </w:rPr>
      </w:pPr>
    </w:p>
    <w:p w14:paraId="6645F219">
      <w:pPr>
        <w:pStyle w:val="2"/>
        <w:spacing w:line="278" w:lineRule="auto"/>
        <w:rPr>
          <w:sz w:val="21"/>
        </w:rPr>
      </w:pPr>
    </w:p>
    <w:p w14:paraId="7C0D44D2">
      <w:pPr>
        <w:pStyle w:val="2"/>
        <w:spacing w:line="279" w:lineRule="auto"/>
        <w:rPr>
          <w:sz w:val="21"/>
        </w:rPr>
      </w:pPr>
    </w:p>
    <w:p w14:paraId="76BA7DA2">
      <w:pPr>
        <w:spacing w:line="7548" w:lineRule="exact"/>
        <w:ind w:firstLine="553"/>
      </w:pPr>
      <w:r>
        <w:rPr>
          <w:position w:val="-150"/>
        </w:rPr>
        <w:drawing>
          <wp:inline distT="0" distB="0" distL="0" distR="0">
            <wp:extent cx="6772275" cy="4792345"/>
            <wp:effectExtent l="0" t="0" r="0" b="0"/>
            <wp:docPr id="358" name="IM 358"/>
            <wp:cNvGraphicFramePr/>
            <a:graphic xmlns:a="http://schemas.openxmlformats.org/drawingml/2006/main">
              <a:graphicData uri="http://schemas.openxmlformats.org/drawingml/2006/picture">
                <pic:pic xmlns:pic="http://schemas.openxmlformats.org/drawingml/2006/picture">
                  <pic:nvPicPr>
                    <pic:cNvPr id="358" name="IM 358"/>
                    <pic:cNvPicPr/>
                  </pic:nvPicPr>
                  <pic:blipFill>
                    <a:blip r:embed="rId414"/>
                    <a:stretch>
                      <a:fillRect/>
                    </a:stretch>
                  </pic:blipFill>
                  <pic:spPr>
                    <a:xfrm>
                      <a:off x="0" y="0"/>
                      <a:ext cx="6772656" cy="4792979"/>
                    </a:xfrm>
                    <a:prstGeom prst="rect">
                      <a:avLst/>
                    </a:prstGeom>
                  </pic:spPr>
                </pic:pic>
              </a:graphicData>
            </a:graphic>
          </wp:inline>
        </w:drawing>
      </w:r>
    </w:p>
    <w:p w14:paraId="5957F42A">
      <w:pPr>
        <w:spacing w:before="46" w:line="222" w:lineRule="auto"/>
        <w:ind w:left="2467"/>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45"/>
          <w:sz w:val="24"/>
          <w:szCs w:val="24"/>
        </w:rPr>
        <w:t xml:space="preserve"> </w:t>
      </w:r>
      <w:r>
        <w:rPr>
          <w:rFonts w:ascii="仿宋" w:hAnsi="仿宋" w:eastAsia="仿宋" w:cs="仿宋"/>
          <w:b/>
          <w:bCs/>
          <w:spacing w:val="-3"/>
          <w:sz w:val="24"/>
          <w:szCs w:val="24"/>
        </w:rPr>
        <w:t>3.2-4</w:t>
      </w:r>
      <w:r>
        <w:rPr>
          <w:rFonts w:ascii="仿宋" w:hAnsi="仿宋" w:eastAsia="仿宋" w:cs="仿宋"/>
          <w:spacing w:val="-3"/>
          <w:sz w:val="24"/>
          <w:szCs w:val="24"/>
        </w:rPr>
        <w:t xml:space="preserve">    </w:t>
      </w:r>
      <w:r>
        <w:rPr>
          <w:rFonts w:ascii="仿宋" w:hAnsi="仿宋" w:eastAsia="仿宋" w:cs="仿宋"/>
          <w:b/>
          <w:bCs/>
          <w:spacing w:val="-3"/>
          <w:sz w:val="24"/>
          <w:szCs w:val="24"/>
        </w:rPr>
        <w:t>乌拉素村二道壕大坝东至秦家塔社通村公路段遥感影像图</w:t>
      </w:r>
    </w:p>
    <w:p w14:paraId="2C626939">
      <w:pPr>
        <w:spacing w:line="222" w:lineRule="auto"/>
        <w:rPr>
          <w:rFonts w:ascii="仿宋" w:hAnsi="仿宋" w:eastAsia="仿宋" w:cs="仿宋"/>
          <w:sz w:val="24"/>
          <w:szCs w:val="24"/>
        </w:rPr>
        <w:sectPr>
          <w:footerReference r:id="rId227" w:type="default"/>
          <w:pgSz w:w="16839" w:h="11906"/>
          <w:pgMar w:top="400" w:right="2525" w:bottom="1511" w:left="2525" w:header="0" w:footer="1349" w:gutter="0"/>
          <w:cols w:space="720" w:num="1"/>
        </w:sectPr>
      </w:pPr>
    </w:p>
    <w:p w14:paraId="4DEAF2EA">
      <w:pPr>
        <w:pStyle w:val="2"/>
        <w:spacing w:line="278" w:lineRule="auto"/>
        <w:rPr>
          <w:sz w:val="21"/>
        </w:rPr>
      </w:pPr>
    </w:p>
    <w:p w14:paraId="023DE8BE">
      <w:pPr>
        <w:pStyle w:val="2"/>
        <w:spacing w:line="278" w:lineRule="auto"/>
        <w:rPr>
          <w:sz w:val="21"/>
        </w:rPr>
      </w:pPr>
    </w:p>
    <w:p w14:paraId="3FC52C33">
      <w:pPr>
        <w:pStyle w:val="2"/>
        <w:spacing w:line="278" w:lineRule="auto"/>
        <w:rPr>
          <w:sz w:val="21"/>
        </w:rPr>
      </w:pPr>
    </w:p>
    <w:p w14:paraId="5C7843F8">
      <w:pPr>
        <w:pStyle w:val="2"/>
        <w:spacing w:line="278" w:lineRule="auto"/>
        <w:rPr>
          <w:sz w:val="21"/>
        </w:rPr>
      </w:pPr>
    </w:p>
    <w:p w14:paraId="6EDDC552">
      <w:pPr>
        <w:pStyle w:val="2"/>
        <w:spacing w:line="279" w:lineRule="auto"/>
        <w:rPr>
          <w:sz w:val="21"/>
        </w:rPr>
      </w:pPr>
    </w:p>
    <w:p w14:paraId="0FBF88C7">
      <w:pPr>
        <w:spacing w:line="7570" w:lineRule="exact"/>
        <w:ind w:firstLine="539"/>
      </w:pPr>
      <w:r>
        <w:rPr>
          <w:position w:val="-151"/>
        </w:rPr>
        <w:drawing>
          <wp:inline distT="0" distB="0" distL="0" distR="0">
            <wp:extent cx="6790690" cy="4806315"/>
            <wp:effectExtent l="0" t="0" r="0" b="0"/>
            <wp:docPr id="360" name="IM 360"/>
            <wp:cNvGraphicFramePr/>
            <a:graphic xmlns:a="http://schemas.openxmlformats.org/drawingml/2006/main">
              <a:graphicData uri="http://schemas.openxmlformats.org/drawingml/2006/picture">
                <pic:pic xmlns:pic="http://schemas.openxmlformats.org/drawingml/2006/picture">
                  <pic:nvPicPr>
                    <pic:cNvPr id="360" name="IM 360"/>
                    <pic:cNvPicPr/>
                  </pic:nvPicPr>
                  <pic:blipFill>
                    <a:blip r:embed="rId415"/>
                    <a:stretch>
                      <a:fillRect/>
                    </a:stretch>
                  </pic:blipFill>
                  <pic:spPr>
                    <a:xfrm>
                      <a:off x="0" y="0"/>
                      <a:ext cx="6790944" cy="4806695"/>
                    </a:xfrm>
                    <a:prstGeom prst="rect">
                      <a:avLst/>
                    </a:prstGeom>
                  </pic:spPr>
                </pic:pic>
              </a:graphicData>
            </a:graphic>
          </wp:inline>
        </w:drawing>
      </w:r>
    </w:p>
    <w:p w14:paraId="00BCEB0B">
      <w:pPr>
        <w:spacing w:before="55" w:line="222" w:lineRule="auto"/>
        <w:ind w:left="3309"/>
        <w:rPr>
          <w:rFonts w:ascii="仿宋" w:hAnsi="仿宋" w:eastAsia="仿宋" w:cs="仿宋"/>
          <w:sz w:val="24"/>
          <w:szCs w:val="24"/>
        </w:rPr>
      </w:pPr>
      <w:r>
        <w:rPr>
          <w:rFonts w:ascii="仿宋" w:hAnsi="仿宋" w:eastAsia="仿宋" w:cs="仿宋"/>
          <w:b/>
          <w:bCs/>
          <w:spacing w:val="-4"/>
          <w:sz w:val="24"/>
          <w:szCs w:val="24"/>
        </w:rPr>
        <w:t>图</w:t>
      </w:r>
      <w:r>
        <w:rPr>
          <w:rFonts w:ascii="仿宋" w:hAnsi="仿宋" w:eastAsia="仿宋" w:cs="仿宋"/>
          <w:spacing w:val="-31"/>
          <w:sz w:val="24"/>
          <w:szCs w:val="24"/>
        </w:rPr>
        <w:t xml:space="preserve"> </w:t>
      </w:r>
      <w:r>
        <w:rPr>
          <w:rFonts w:ascii="仿宋" w:hAnsi="仿宋" w:eastAsia="仿宋" w:cs="仿宋"/>
          <w:b/>
          <w:bCs/>
          <w:spacing w:val="-4"/>
          <w:sz w:val="24"/>
          <w:szCs w:val="24"/>
        </w:rPr>
        <w:t>3.2-5</w:t>
      </w:r>
      <w:r>
        <w:rPr>
          <w:rFonts w:ascii="仿宋" w:hAnsi="仿宋" w:eastAsia="仿宋" w:cs="仿宋"/>
          <w:spacing w:val="-4"/>
          <w:sz w:val="24"/>
          <w:szCs w:val="24"/>
        </w:rPr>
        <w:t xml:space="preserve">    </w:t>
      </w:r>
      <w:r>
        <w:rPr>
          <w:rFonts w:ascii="仿宋" w:hAnsi="仿宋" w:eastAsia="仿宋" w:cs="仿宋"/>
          <w:b/>
          <w:bCs/>
          <w:spacing w:val="-4"/>
          <w:sz w:val="24"/>
          <w:szCs w:val="24"/>
        </w:rPr>
        <w:t>大棚区至杏仁露基地路段遥感影像图</w:t>
      </w:r>
    </w:p>
    <w:p w14:paraId="0BD13145">
      <w:pPr>
        <w:spacing w:line="222" w:lineRule="auto"/>
        <w:rPr>
          <w:rFonts w:ascii="仿宋" w:hAnsi="仿宋" w:eastAsia="仿宋" w:cs="仿宋"/>
          <w:sz w:val="24"/>
          <w:szCs w:val="24"/>
        </w:rPr>
        <w:sectPr>
          <w:footerReference r:id="rId228" w:type="default"/>
          <w:pgSz w:w="16839" w:h="11906"/>
          <w:pgMar w:top="400" w:right="2525" w:bottom="1511" w:left="2525" w:header="0" w:footer="1349" w:gutter="0"/>
          <w:cols w:space="720" w:num="1"/>
        </w:sectPr>
      </w:pPr>
    </w:p>
    <w:p w14:paraId="10ED8199">
      <w:pPr>
        <w:pStyle w:val="2"/>
        <w:spacing w:line="278" w:lineRule="auto"/>
        <w:rPr>
          <w:sz w:val="21"/>
        </w:rPr>
      </w:pPr>
    </w:p>
    <w:p w14:paraId="517DCB36">
      <w:pPr>
        <w:pStyle w:val="2"/>
        <w:spacing w:line="278" w:lineRule="auto"/>
        <w:rPr>
          <w:sz w:val="21"/>
        </w:rPr>
      </w:pPr>
    </w:p>
    <w:p w14:paraId="516A2185">
      <w:pPr>
        <w:pStyle w:val="2"/>
        <w:spacing w:line="278" w:lineRule="auto"/>
        <w:rPr>
          <w:sz w:val="21"/>
        </w:rPr>
      </w:pPr>
    </w:p>
    <w:p w14:paraId="6D50B338">
      <w:pPr>
        <w:pStyle w:val="2"/>
        <w:spacing w:line="278" w:lineRule="auto"/>
        <w:rPr>
          <w:sz w:val="21"/>
        </w:rPr>
      </w:pPr>
    </w:p>
    <w:p w14:paraId="4A2BF21D">
      <w:pPr>
        <w:pStyle w:val="2"/>
        <w:spacing w:line="279" w:lineRule="auto"/>
        <w:rPr>
          <w:sz w:val="21"/>
        </w:rPr>
      </w:pPr>
    </w:p>
    <w:p w14:paraId="54A4EAF3">
      <w:pPr>
        <w:spacing w:line="7750" w:lineRule="exact"/>
        <w:ind w:firstLine="402"/>
      </w:pPr>
      <w:r>
        <w:rPr>
          <w:position w:val="-154"/>
        </w:rPr>
        <w:drawing>
          <wp:inline distT="0" distB="0" distL="0" distR="0">
            <wp:extent cx="6953885" cy="4920615"/>
            <wp:effectExtent l="0" t="0" r="0" b="0"/>
            <wp:docPr id="362" name="IM 362"/>
            <wp:cNvGraphicFramePr/>
            <a:graphic xmlns:a="http://schemas.openxmlformats.org/drawingml/2006/main">
              <a:graphicData uri="http://schemas.openxmlformats.org/drawingml/2006/picture">
                <pic:pic xmlns:pic="http://schemas.openxmlformats.org/drawingml/2006/picture">
                  <pic:nvPicPr>
                    <pic:cNvPr id="362" name="IM 362"/>
                    <pic:cNvPicPr/>
                  </pic:nvPicPr>
                  <pic:blipFill>
                    <a:blip r:embed="rId416"/>
                    <a:stretch>
                      <a:fillRect/>
                    </a:stretch>
                  </pic:blipFill>
                  <pic:spPr>
                    <a:xfrm>
                      <a:off x="0" y="0"/>
                      <a:ext cx="6954011" cy="4920995"/>
                    </a:xfrm>
                    <a:prstGeom prst="rect">
                      <a:avLst/>
                    </a:prstGeom>
                  </pic:spPr>
                </pic:pic>
              </a:graphicData>
            </a:graphic>
          </wp:inline>
        </w:drawing>
      </w:r>
    </w:p>
    <w:p w14:paraId="1CFCD0E8">
      <w:pPr>
        <w:spacing w:before="55" w:line="222" w:lineRule="auto"/>
        <w:ind w:left="3069"/>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47"/>
          <w:sz w:val="24"/>
          <w:szCs w:val="24"/>
        </w:rPr>
        <w:t xml:space="preserve"> </w:t>
      </w:r>
      <w:r>
        <w:rPr>
          <w:rFonts w:ascii="仿宋" w:hAnsi="仿宋" w:eastAsia="仿宋" w:cs="仿宋"/>
          <w:b/>
          <w:bCs/>
          <w:spacing w:val="-3"/>
          <w:sz w:val="24"/>
          <w:szCs w:val="24"/>
        </w:rPr>
        <w:t>3.2-6</w:t>
      </w:r>
      <w:r>
        <w:rPr>
          <w:rFonts w:ascii="仿宋" w:hAnsi="仿宋" w:eastAsia="仿宋" w:cs="仿宋"/>
          <w:spacing w:val="-3"/>
          <w:sz w:val="24"/>
          <w:szCs w:val="24"/>
        </w:rPr>
        <w:t xml:space="preserve">    </w:t>
      </w:r>
      <w:r>
        <w:rPr>
          <w:rFonts w:ascii="仿宋" w:hAnsi="仿宋" w:eastAsia="仿宋" w:cs="仿宋"/>
          <w:b/>
          <w:bCs/>
          <w:spacing w:val="-3"/>
          <w:sz w:val="24"/>
          <w:szCs w:val="24"/>
        </w:rPr>
        <w:t>三道拐社坡底至北防</w:t>
      </w:r>
      <w:r>
        <w:rPr>
          <w:rFonts w:ascii="仿宋" w:hAnsi="仿宋" w:eastAsia="仿宋" w:cs="仿宋"/>
          <w:b/>
          <w:bCs/>
          <w:spacing w:val="-4"/>
          <w:sz w:val="24"/>
          <w:szCs w:val="24"/>
        </w:rPr>
        <w:t>洪堤路段遥感影像图</w:t>
      </w:r>
    </w:p>
    <w:p w14:paraId="1E41E5FE">
      <w:pPr>
        <w:spacing w:line="222" w:lineRule="auto"/>
        <w:rPr>
          <w:rFonts w:ascii="仿宋" w:hAnsi="仿宋" w:eastAsia="仿宋" w:cs="仿宋"/>
          <w:sz w:val="24"/>
          <w:szCs w:val="24"/>
        </w:rPr>
        <w:sectPr>
          <w:footerReference r:id="rId229" w:type="default"/>
          <w:pgSz w:w="16839" w:h="11906"/>
          <w:pgMar w:top="400" w:right="2525" w:bottom="1511" w:left="2525" w:header="0" w:footer="1349" w:gutter="0"/>
          <w:cols w:space="720" w:num="1"/>
        </w:sectPr>
      </w:pPr>
    </w:p>
    <w:p w14:paraId="7BB544AC">
      <w:pPr>
        <w:pStyle w:val="2"/>
        <w:spacing w:line="278" w:lineRule="auto"/>
        <w:rPr>
          <w:sz w:val="21"/>
        </w:rPr>
      </w:pPr>
    </w:p>
    <w:p w14:paraId="68373D97">
      <w:pPr>
        <w:pStyle w:val="2"/>
        <w:spacing w:line="278" w:lineRule="auto"/>
        <w:rPr>
          <w:sz w:val="21"/>
        </w:rPr>
      </w:pPr>
    </w:p>
    <w:p w14:paraId="6FC5A06F">
      <w:pPr>
        <w:pStyle w:val="2"/>
        <w:spacing w:line="278" w:lineRule="auto"/>
        <w:rPr>
          <w:sz w:val="21"/>
        </w:rPr>
      </w:pPr>
    </w:p>
    <w:p w14:paraId="6B9F550E">
      <w:pPr>
        <w:pStyle w:val="2"/>
        <w:spacing w:line="278" w:lineRule="auto"/>
        <w:rPr>
          <w:sz w:val="21"/>
        </w:rPr>
      </w:pPr>
    </w:p>
    <w:p w14:paraId="5FFE6F8E">
      <w:pPr>
        <w:pStyle w:val="2"/>
        <w:spacing w:line="279" w:lineRule="auto"/>
        <w:rPr>
          <w:sz w:val="21"/>
        </w:rPr>
      </w:pPr>
    </w:p>
    <w:p w14:paraId="2AF65A58">
      <w:pPr>
        <w:spacing w:line="7726" w:lineRule="exact"/>
        <w:ind w:firstLine="433"/>
      </w:pPr>
      <w:r>
        <w:rPr>
          <w:position w:val="-154"/>
        </w:rPr>
        <w:drawing>
          <wp:inline distT="0" distB="0" distL="0" distR="0">
            <wp:extent cx="6931025" cy="4905375"/>
            <wp:effectExtent l="0" t="0" r="0" b="0"/>
            <wp:docPr id="364" name="IM 364"/>
            <wp:cNvGraphicFramePr/>
            <a:graphic xmlns:a="http://schemas.openxmlformats.org/drawingml/2006/main">
              <a:graphicData uri="http://schemas.openxmlformats.org/drawingml/2006/picture">
                <pic:pic xmlns:pic="http://schemas.openxmlformats.org/drawingml/2006/picture">
                  <pic:nvPicPr>
                    <pic:cNvPr id="364" name="IM 364"/>
                    <pic:cNvPicPr/>
                  </pic:nvPicPr>
                  <pic:blipFill>
                    <a:blip r:embed="rId417"/>
                    <a:stretch>
                      <a:fillRect/>
                    </a:stretch>
                  </pic:blipFill>
                  <pic:spPr>
                    <a:xfrm>
                      <a:off x="0" y="0"/>
                      <a:ext cx="6931152" cy="4905755"/>
                    </a:xfrm>
                    <a:prstGeom prst="rect">
                      <a:avLst/>
                    </a:prstGeom>
                  </pic:spPr>
                </pic:pic>
              </a:graphicData>
            </a:graphic>
          </wp:inline>
        </w:drawing>
      </w:r>
    </w:p>
    <w:p w14:paraId="70F71726">
      <w:pPr>
        <w:spacing w:before="48" w:line="222" w:lineRule="auto"/>
        <w:ind w:left="1744"/>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38"/>
          <w:sz w:val="24"/>
          <w:szCs w:val="24"/>
        </w:rPr>
        <w:t xml:space="preserve"> </w:t>
      </w:r>
      <w:r>
        <w:rPr>
          <w:rFonts w:ascii="仿宋" w:hAnsi="仿宋" w:eastAsia="仿宋" w:cs="仿宋"/>
          <w:b/>
          <w:bCs/>
          <w:spacing w:val="-3"/>
          <w:sz w:val="24"/>
          <w:szCs w:val="24"/>
        </w:rPr>
        <w:t>3.2-7</w:t>
      </w:r>
      <w:r>
        <w:rPr>
          <w:rFonts w:ascii="仿宋" w:hAnsi="仿宋" w:eastAsia="仿宋" w:cs="仿宋"/>
          <w:spacing w:val="-3"/>
          <w:sz w:val="24"/>
          <w:szCs w:val="24"/>
        </w:rPr>
        <w:t xml:space="preserve">    </w:t>
      </w:r>
      <w:r>
        <w:rPr>
          <w:rFonts w:ascii="仿宋" w:hAnsi="仿宋" w:eastAsia="仿宋" w:cs="仿宋"/>
          <w:b/>
          <w:bCs/>
          <w:spacing w:val="-3"/>
          <w:sz w:val="24"/>
          <w:szCs w:val="24"/>
        </w:rPr>
        <w:t>二道拐坡底至张家圪旦社及脑包湾村自然村通硬化路段遥感影像图</w:t>
      </w:r>
    </w:p>
    <w:p w14:paraId="2FA25657">
      <w:pPr>
        <w:spacing w:line="222" w:lineRule="auto"/>
        <w:rPr>
          <w:rFonts w:ascii="仿宋" w:hAnsi="仿宋" w:eastAsia="仿宋" w:cs="仿宋"/>
          <w:sz w:val="24"/>
          <w:szCs w:val="24"/>
        </w:rPr>
        <w:sectPr>
          <w:footerReference r:id="rId230" w:type="default"/>
          <w:pgSz w:w="16839" w:h="11906"/>
          <w:pgMar w:top="400" w:right="2525" w:bottom="1511" w:left="2525" w:header="0" w:footer="1349" w:gutter="0"/>
          <w:cols w:space="720" w:num="1"/>
        </w:sectPr>
      </w:pPr>
    </w:p>
    <w:p w14:paraId="193E0712">
      <w:pPr>
        <w:pStyle w:val="2"/>
        <w:spacing w:line="278" w:lineRule="auto"/>
        <w:rPr>
          <w:sz w:val="21"/>
        </w:rPr>
      </w:pPr>
    </w:p>
    <w:p w14:paraId="0B8F9AC1">
      <w:pPr>
        <w:pStyle w:val="2"/>
        <w:spacing w:line="278" w:lineRule="auto"/>
        <w:rPr>
          <w:sz w:val="21"/>
        </w:rPr>
      </w:pPr>
    </w:p>
    <w:p w14:paraId="385396B1">
      <w:pPr>
        <w:pStyle w:val="2"/>
        <w:spacing w:line="278" w:lineRule="auto"/>
        <w:rPr>
          <w:sz w:val="21"/>
        </w:rPr>
      </w:pPr>
    </w:p>
    <w:p w14:paraId="57D04B03">
      <w:pPr>
        <w:pStyle w:val="2"/>
        <w:spacing w:line="278" w:lineRule="auto"/>
        <w:rPr>
          <w:sz w:val="21"/>
        </w:rPr>
      </w:pPr>
    </w:p>
    <w:p w14:paraId="1E4788FA">
      <w:pPr>
        <w:pStyle w:val="2"/>
        <w:spacing w:line="279" w:lineRule="auto"/>
        <w:rPr>
          <w:sz w:val="21"/>
        </w:rPr>
      </w:pPr>
    </w:p>
    <w:p w14:paraId="55154EE8">
      <w:pPr>
        <w:spacing w:line="7567" w:lineRule="exact"/>
        <w:ind w:firstLine="539"/>
      </w:pPr>
      <w:r>
        <w:rPr>
          <w:position w:val="-151"/>
        </w:rPr>
        <w:drawing>
          <wp:inline distT="0" distB="0" distL="0" distR="0">
            <wp:extent cx="6788785" cy="4805045"/>
            <wp:effectExtent l="0" t="0" r="0" b="0"/>
            <wp:docPr id="366" name="IM 366"/>
            <wp:cNvGraphicFramePr/>
            <a:graphic xmlns:a="http://schemas.openxmlformats.org/drawingml/2006/main">
              <a:graphicData uri="http://schemas.openxmlformats.org/drawingml/2006/picture">
                <pic:pic xmlns:pic="http://schemas.openxmlformats.org/drawingml/2006/picture">
                  <pic:nvPicPr>
                    <pic:cNvPr id="366" name="IM 366"/>
                    <pic:cNvPicPr/>
                  </pic:nvPicPr>
                  <pic:blipFill>
                    <a:blip r:embed="rId418"/>
                    <a:stretch>
                      <a:fillRect/>
                    </a:stretch>
                  </pic:blipFill>
                  <pic:spPr>
                    <a:xfrm>
                      <a:off x="0" y="0"/>
                      <a:ext cx="6789419" cy="4805171"/>
                    </a:xfrm>
                    <a:prstGeom prst="rect">
                      <a:avLst/>
                    </a:prstGeom>
                  </pic:spPr>
                </pic:pic>
              </a:graphicData>
            </a:graphic>
          </wp:inline>
        </w:drawing>
      </w:r>
    </w:p>
    <w:p w14:paraId="0076C102">
      <w:pPr>
        <w:spacing w:before="315" w:line="222" w:lineRule="auto"/>
        <w:ind w:left="2829"/>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46"/>
          <w:sz w:val="24"/>
          <w:szCs w:val="24"/>
        </w:rPr>
        <w:t xml:space="preserve"> </w:t>
      </w:r>
      <w:r>
        <w:rPr>
          <w:rFonts w:ascii="仿宋" w:hAnsi="仿宋" w:eastAsia="仿宋" w:cs="仿宋"/>
          <w:b/>
          <w:bCs/>
          <w:spacing w:val="-3"/>
          <w:sz w:val="24"/>
          <w:szCs w:val="24"/>
        </w:rPr>
        <w:t>3.2-8</w:t>
      </w:r>
      <w:r>
        <w:rPr>
          <w:rFonts w:ascii="仿宋" w:hAnsi="仿宋" w:eastAsia="仿宋" w:cs="仿宋"/>
          <w:spacing w:val="-3"/>
          <w:sz w:val="24"/>
          <w:szCs w:val="24"/>
        </w:rPr>
        <w:t xml:space="preserve">    </w:t>
      </w:r>
      <w:r>
        <w:rPr>
          <w:rFonts w:ascii="仿宋" w:hAnsi="仿宋" w:eastAsia="仿宋" w:cs="仿宋"/>
          <w:b/>
          <w:bCs/>
          <w:spacing w:val="-3"/>
          <w:sz w:val="24"/>
          <w:szCs w:val="24"/>
        </w:rPr>
        <w:t>份子地社新村至二道拐村委会路</w:t>
      </w:r>
      <w:r>
        <w:rPr>
          <w:rFonts w:ascii="仿宋" w:hAnsi="仿宋" w:eastAsia="仿宋" w:cs="仿宋"/>
          <w:b/>
          <w:bCs/>
          <w:spacing w:val="-4"/>
          <w:sz w:val="24"/>
          <w:szCs w:val="24"/>
        </w:rPr>
        <w:t>段遥感影像图</w:t>
      </w:r>
    </w:p>
    <w:p w14:paraId="03407C00">
      <w:pPr>
        <w:spacing w:line="222" w:lineRule="auto"/>
        <w:rPr>
          <w:rFonts w:ascii="仿宋" w:hAnsi="仿宋" w:eastAsia="仿宋" w:cs="仿宋"/>
          <w:sz w:val="24"/>
          <w:szCs w:val="24"/>
        </w:rPr>
        <w:sectPr>
          <w:footerReference r:id="rId231" w:type="default"/>
          <w:pgSz w:w="16839" w:h="11906"/>
          <w:pgMar w:top="400" w:right="2525" w:bottom="1511" w:left="2525" w:header="0" w:footer="1349" w:gutter="0"/>
          <w:cols w:space="720" w:num="1"/>
        </w:sectPr>
      </w:pPr>
    </w:p>
    <w:p w14:paraId="4E7E7B23">
      <w:pPr>
        <w:pStyle w:val="2"/>
        <w:spacing w:line="278" w:lineRule="auto"/>
        <w:rPr>
          <w:sz w:val="21"/>
        </w:rPr>
      </w:pPr>
    </w:p>
    <w:p w14:paraId="30BBA61F">
      <w:pPr>
        <w:pStyle w:val="2"/>
        <w:spacing w:line="278" w:lineRule="auto"/>
        <w:rPr>
          <w:sz w:val="21"/>
        </w:rPr>
      </w:pPr>
    </w:p>
    <w:p w14:paraId="0D74D4DF">
      <w:pPr>
        <w:pStyle w:val="2"/>
        <w:spacing w:line="278" w:lineRule="auto"/>
        <w:rPr>
          <w:sz w:val="21"/>
        </w:rPr>
      </w:pPr>
    </w:p>
    <w:p w14:paraId="7A64CC90">
      <w:pPr>
        <w:pStyle w:val="2"/>
        <w:spacing w:line="278" w:lineRule="auto"/>
        <w:rPr>
          <w:sz w:val="21"/>
        </w:rPr>
      </w:pPr>
    </w:p>
    <w:p w14:paraId="4465DA0B">
      <w:pPr>
        <w:pStyle w:val="2"/>
        <w:spacing w:line="279" w:lineRule="auto"/>
        <w:rPr>
          <w:sz w:val="21"/>
        </w:rPr>
      </w:pPr>
    </w:p>
    <w:p w14:paraId="3E0D0A7C">
      <w:pPr>
        <w:spacing w:line="7709" w:lineRule="exact"/>
        <w:ind w:firstLine="433"/>
      </w:pPr>
      <w:r>
        <w:rPr>
          <w:position w:val="-154"/>
        </w:rPr>
        <w:drawing>
          <wp:inline distT="0" distB="0" distL="0" distR="0">
            <wp:extent cx="6915785" cy="4894580"/>
            <wp:effectExtent l="0" t="0" r="0" b="0"/>
            <wp:docPr id="368" name="IM 368"/>
            <wp:cNvGraphicFramePr/>
            <a:graphic xmlns:a="http://schemas.openxmlformats.org/drawingml/2006/main">
              <a:graphicData uri="http://schemas.openxmlformats.org/drawingml/2006/picture">
                <pic:pic xmlns:pic="http://schemas.openxmlformats.org/drawingml/2006/picture">
                  <pic:nvPicPr>
                    <pic:cNvPr id="368" name="IM 368"/>
                    <pic:cNvPicPr/>
                  </pic:nvPicPr>
                  <pic:blipFill>
                    <a:blip r:embed="rId419"/>
                    <a:stretch>
                      <a:fillRect/>
                    </a:stretch>
                  </pic:blipFill>
                  <pic:spPr>
                    <a:xfrm>
                      <a:off x="0" y="0"/>
                      <a:ext cx="6915912" cy="4895088"/>
                    </a:xfrm>
                    <a:prstGeom prst="rect">
                      <a:avLst/>
                    </a:prstGeom>
                  </pic:spPr>
                </pic:pic>
              </a:graphicData>
            </a:graphic>
          </wp:inline>
        </w:drawing>
      </w:r>
    </w:p>
    <w:p w14:paraId="7D6B02D2">
      <w:pPr>
        <w:spacing w:before="293" w:line="222" w:lineRule="auto"/>
        <w:ind w:left="2702"/>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38"/>
          <w:sz w:val="24"/>
          <w:szCs w:val="24"/>
        </w:rPr>
        <w:t xml:space="preserve"> </w:t>
      </w:r>
      <w:r>
        <w:rPr>
          <w:rFonts w:ascii="Times New Roman" w:hAnsi="Times New Roman" w:eastAsia="Times New Roman" w:cs="Times New Roman"/>
          <w:b/>
          <w:bCs/>
          <w:spacing w:val="-3"/>
          <w:sz w:val="24"/>
          <w:szCs w:val="24"/>
        </w:rPr>
        <w:t xml:space="preserve">3.2-9      </w:t>
      </w:r>
      <w:r>
        <w:rPr>
          <w:rFonts w:ascii="仿宋" w:hAnsi="仿宋" w:eastAsia="仿宋" w:cs="仿宋"/>
          <w:b/>
          <w:bCs/>
          <w:spacing w:val="-3"/>
          <w:sz w:val="24"/>
          <w:szCs w:val="24"/>
        </w:rPr>
        <w:t>沿黄巨合滩出口东至天顺圪梁通村路段遥感影像图</w:t>
      </w:r>
    </w:p>
    <w:p w14:paraId="4FF4A17E">
      <w:pPr>
        <w:spacing w:line="222" w:lineRule="auto"/>
        <w:rPr>
          <w:rFonts w:ascii="仿宋" w:hAnsi="仿宋" w:eastAsia="仿宋" w:cs="仿宋"/>
          <w:sz w:val="24"/>
          <w:szCs w:val="24"/>
        </w:rPr>
        <w:sectPr>
          <w:footerReference r:id="rId232" w:type="default"/>
          <w:pgSz w:w="16839" w:h="11906"/>
          <w:pgMar w:top="400" w:right="2525" w:bottom="1511" w:left="2525" w:header="0" w:footer="1349" w:gutter="0"/>
          <w:cols w:space="720" w:num="1"/>
        </w:sectPr>
      </w:pPr>
    </w:p>
    <w:p w14:paraId="59654E2E">
      <w:pPr>
        <w:pStyle w:val="2"/>
        <w:spacing w:line="272" w:lineRule="auto"/>
        <w:rPr>
          <w:sz w:val="21"/>
        </w:rPr>
      </w:pPr>
    </w:p>
    <w:p w14:paraId="31F02A1F">
      <w:pPr>
        <w:pStyle w:val="2"/>
        <w:spacing w:line="272" w:lineRule="auto"/>
        <w:rPr>
          <w:sz w:val="21"/>
        </w:rPr>
      </w:pPr>
    </w:p>
    <w:p w14:paraId="42BAA89F">
      <w:pPr>
        <w:pStyle w:val="2"/>
        <w:spacing w:line="273" w:lineRule="auto"/>
        <w:rPr>
          <w:sz w:val="21"/>
        </w:rPr>
      </w:pPr>
    </w:p>
    <w:p w14:paraId="7DBEC1B7">
      <w:pPr>
        <w:pStyle w:val="2"/>
        <w:spacing w:line="273" w:lineRule="auto"/>
        <w:rPr>
          <w:sz w:val="21"/>
        </w:rPr>
      </w:pPr>
    </w:p>
    <w:p w14:paraId="48419F8F">
      <w:pPr>
        <w:spacing w:before="85" w:line="229" w:lineRule="auto"/>
        <w:ind w:left="122"/>
        <w:rPr>
          <w:rFonts w:ascii="仿宋" w:hAnsi="仿宋" w:eastAsia="仿宋" w:cs="仿宋"/>
          <w:sz w:val="26"/>
          <w:szCs w:val="26"/>
        </w:rPr>
      </w:pPr>
      <w:r>
        <w:rPr>
          <w:rFonts w:ascii="仿宋" w:hAnsi="仿宋" w:eastAsia="仿宋" w:cs="仿宋"/>
          <w:b/>
          <w:bCs/>
          <w:spacing w:val="3"/>
          <w:sz w:val="26"/>
          <w:szCs w:val="26"/>
        </w:rPr>
        <w:t>3.2.2</w:t>
      </w:r>
      <w:r>
        <w:rPr>
          <w:rFonts w:ascii="仿宋" w:hAnsi="仿宋" w:eastAsia="仿宋" w:cs="仿宋"/>
          <w:spacing w:val="-37"/>
          <w:sz w:val="26"/>
          <w:szCs w:val="26"/>
        </w:rPr>
        <w:t xml:space="preserve"> </w:t>
      </w:r>
      <w:r>
        <w:rPr>
          <w:rFonts w:ascii="仿宋" w:hAnsi="仿宋" w:eastAsia="仿宋" w:cs="仿宋"/>
          <w:b/>
          <w:bCs/>
          <w:spacing w:val="3"/>
          <w:sz w:val="26"/>
          <w:szCs w:val="26"/>
        </w:rPr>
        <w:t>土地利用现状调查</w:t>
      </w:r>
    </w:p>
    <w:p w14:paraId="68C7DF47">
      <w:pPr>
        <w:spacing w:before="295" w:line="359" w:lineRule="auto"/>
        <w:ind w:left="125" w:right="104" w:firstLine="479"/>
        <w:jc w:val="both"/>
        <w:rPr>
          <w:rFonts w:ascii="仿宋" w:hAnsi="仿宋" w:eastAsia="仿宋" w:cs="仿宋"/>
          <w:sz w:val="24"/>
          <w:szCs w:val="24"/>
        </w:rPr>
      </w:pPr>
      <w:r>
        <w:rPr>
          <w:rFonts w:ascii="仿宋" w:hAnsi="仿宋" w:eastAsia="仿宋" w:cs="仿宋"/>
          <w:spacing w:val="-1"/>
          <w:sz w:val="24"/>
          <w:szCs w:val="24"/>
        </w:rPr>
        <w:t>依据《土地利用现状分类》（GB/T 21010-2017</w:t>
      </w:r>
      <w:r>
        <w:rPr>
          <w:rFonts w:ascii="仿宋" w:hAnsi="仿宋" w:eastAsia="仿宋" w:cs="仿宋"/>
          <w:spacing w:val="10"/>
          <w:sz w:val="24"/>
          <w:szCs w:val="24"/>
        </w:rPr>
        <w:t>），</w:t>
      </w:r>
      <w:r>
        <w:rPr>
          <w:rFonts w:ascii="仿宋" w:hAnsi="仿宋" w:eastAsia="仿宋" w:cs="仿宋"/>
          <w:spacing w:val="-1"/>
          <w:sz w:val="24"/>
          <w:szCs w:val="24"/>
        </w:rPr>
        <w:t>根据实地调查和遥感卫</w:t>
      </w:r>
      <w:r>
        <w:rPr>
          <w:rFonts w:ascii="仿宋" w:hAnsi="仿宋" w:eastAsia="仿宋" w:cs="仿宋"/>
          <w:spacing w:val="-3"/>
          <w:sz w:val="24"/>
          <w:szCs w:val="24"/>
        </w:rPr>
        <w:t>星影像，把评价区土地利用情况划分为</w:t>
      </w:r>
      <w:r>
        <w:rPr>
          <w:rFonts w:ascii="仿宋" w:hAnsi="仿宋" w:eastAsia="仿宋" w:cs="仿宋"/>
          <w:spacing w:val="-33"/>
          <w:sz w:val="24"/>
          <w:szCs w:val="24"/>
        </w:rPr>
        <w:t xml:space="preserve"> </w:t>
      </w:r>
      <w:r>
        <w:rPr>
          <w:rFonts w:ascii="仿宋" w:hAnsi="仿宋" w:eastAsia="仿宋" w:cs="仿宋"/>
          <w:spacing w:val="-3"/>
          <w:sz w:val="24"/>
          <w:szCs w:val="24"/>
        </w:rPr>
        <w:t>11</w:t>
      </w:r>
      <w:r>
        <w:rPr>
          <w:rFonts w:ascii="仿宋" w:hAnsi="仿宋" w:eastAsia="仿宋" w:cs="仿宋"/>
          <w:spacing w:val="-44"/>
          <w:sz w:val="24"/>
          <w:szCs w:val="24"/>
        </w:rPr>
        <w:t xml:space="preserve"> </w:t>
      </w:r>
      <w:r>
        <w:rPr>
          <w:rFonts w:ascii="仿宋" w:hAnsi="仿宋" w:eastAsia="仿宋" w:cs="仿宋"/>
          <w:spacing w:val="-3"/>
          <w:sz w:val="24"/>
          <w:szCs w:val="24"/>
        </w:rPr>
        <w:t>个一级类型和25</w:t>
      </w:r>
      <w:r>
        <w:rPr>
          <w:rFonts w:ascii="仿宋" w:hAnsi="仿宋" w:eastAsia="仿宋" w:cs="仿宋"/>
          <w:spacing w:val="-43"/>
          <w:sz w:val="24"/>
          <w:szCs w:val="24"/>
        </w:rPr>
        <w:t xml:space="preserve"> </w:t>
      </w:r>
      <w:r>
        <w:rPr>
          <w:rFonts w:ascii="仿宋" w:hAnsi="仿宋" w:eastAsia="仿宋" w:cs="仿宋"/>
          <w:spacing w:val="-3"/>
          <w:sz w:val="24"/>
          <w:szCs w:val="24"/>
        </w:rPr>
        <w:t>个二级类</w:t>
      </w:r>
      <w:r>
        <w:rPr>
          <w:rFonts w:ascii="仿宋" w:hAnsi="仿宋" w:eastAsia="仿宋" w:cs="仿宋"/>
          <w:spacing w:val="-4"/>
          <w:sz w:val="24"/>
          <w:szCs w:val="24"/>
        </w:rPr>
        <w:t>型。评价区</w:t>
      </w:r>
      <w:r>
        <w:rPr>
          <w:rFonts w:ascii="仿宋" w:hAnsi="仿宋" w:eastAsia="仿宋" w:cs="仿宋"/>
          <w:sz w:val="24"/>
          <w:szCs w:val="24"/>
        </w:rPr>
        <w:t>土地利用现状图见图3.2-3，评价范围内和占地范围内土地利用类型现状分别见</w:t>
      </w:r>
      <w:r>
        <w:rPr>
          <w:rFonts w:ascii="仿宋" w:hAnsi="仿宋" w:eastAsia="仿宋" w:cs="仿宋"/>
          <w:spacing w:val="-5"/>
          <w:sz w:val="24"/>
          <w:szCs w:val="24"/>
        </w:rPr>
        <w:t>表</w:t>
      </w:r>
      <w:r>
        <w:rPr>
          <w:rFonts w:ascii="仿宋" w:hAnsi="仿宋" w:eastAsia="仿宋" w:cs="仿宋"/>
          <w:spacing w:val="-38"/>
          <w:sz w:val="24"/>
          <w:szCs w:val="24"/>
        </w:rPr>
        <w:t xml:space="preserve"> </w:t>
      </w:r>
      <w:r>
        <w:rPr>
          <w:rFonts w:ascii="仿宋" w:hAnsi="仿宋" w:eastAsia="仿宋" w:cs="仿宋"/>
          <w:spacing w:val="-5"/>
          <w:sz w:val="24"/>
          <w:szCs w:val="24"/>
        </w:rPr>
        <w:t>3.2-1</w:t>
      </w:r>
      <w:r>
        <w:rPr>
          <w:rFonts w:ascii="仿宋" w:hAnsi="仿宋" w:eastAsia="仿宋" w:cs="仿宋"/>
          <w:spacing w:val="-44"/>
          <w:sz w:val="24"/>
          <w:szCs w:val="24"/>
        </w:rPr>
        <w:t xml:space="preserve"> </w:t>
      </w:r>
      <w:r>
        <w:rPr>
          <w:rFonts w:ascii="仿宋" w:hAnsi="仿宋" w:eastAsia="仿宋" w:cs="仿宋"/>
          <w:spacing w:val="-5"/>
          <w:sz w:val="24"/>
          <w:szCs w:val="24"/>
        </w:rPr>
        <w:t>和表</w:t>
      </w:r>
      <w:r>
        <w:rPr>
          <w:rFonts w:ascii="仿宋" w:hAnsi="仿宋" w:eastAsia="仿宋" w:cs="仿宋"/>
          <w:spacing w:val="-47"/>
          <w:sz w:val="24"/>
          <w:szCs w:val="24"/>
        </w:rPr>
        <w:t xml:space="preserve"> </w:t>
      </w:r>
      <w:r>
        <w:rPr>
          <w:rFonts w:ascii="仿宋" w:hAnsi="仿宋" w:eastAsia="仿宋" w:cs="仿宋"/>
          <w:spacing w:val="-5"/>
          <w:sz w:val="24"/>
          <w:szCs w:val="24"/>
        </w:rPr>
        <w:t>3.2-2。</w:t>
      </w:r>
    </w:p>
    <w:p w14:paraId="2EE157CD">
      <w:pPr>
        <w:spacing w:line="222" w:lineRule="auto"/>
        <w:ind w:left="2139"/>
        <w:rPr>
          <w:rFonts w:ascii="仿宋" w:hAnsi="仿宋" w:eastAsia="仿宋" w:cs="仿宋"/>
          <w:sz w:val="24"/>
          <w:szCs w:val="24"/>
        </w:rPr>
      </w:pPr>
      <w:r>
        <w:rPr>
          <w:rFonts w:ascii="仿宋" w:hAnsi="仿宋" w:eastAsia="仿宋" w:cs="仿宋"/>
          <w:b/>
          <w:bCs/>
          <w:spacing w:val="-3"/>
          <w:sz w:val="24"/>
          <w:szCs w:val="24"/>
        </w:rPr>
        <w:t>表</w:t>
      </w:r>
      <w:r>
        <w:rPr>
          <w:rFonts w:ascii="仿宋" w:hAnsi="仿宋" w:eastAsia="仿宋" w:cs="仿宋"/>
          <w:spacing w:val="-47"/>
          <w:sz w:val="24"/>
          <w:szCs w:val="24"/>
        </w:rPr>
        <w:t xml:space="preserve"> </w:t>
      </w:r>
      <w:r>
        <w:rPr>
          <w:rFonts w:ascii="仿宋" w:hAnsi="仿宋" w:eastAsia="仿宋" w:cs="仿宋"/>
          <w:b/>
          <w:bCs/>
          <w:spacing w:val="-3"/>
          <w:sz w:val="24"/>
          <w:szCs w:val="24"/>
        </w:rPr>
        <w:t>3.2-1</w:t>
      </w:r>
      <w:r>
        <w:rPr>
          <w:rFonts w:ascii="仿宋" w:hAnsi="仿宋" w:eastAsia="仿宋" w:cs="仿宋"/>
          <w:spacing w:val="-3"/>
          <w:sz w:val="24"/>
          <w:szCs w:val="24"/>
        </w:rPr>
        <w:t xml:space="preserve">  </w:t>
      </w:r>
      <w:r>
        <w:rPr>
          <w:rFonts w:ascii="仿宋" w:hAnsi="仿宋" w:eastAsia="仿宋" w:cs="仿宋"/>
          <w:b/>
          <w:bCs/>
          <w:spacing w:val="-3"/>
          <w:sz w:val="24"/>
          <w:szCs w:val="24"/>
        </w:rPr>
        <w:t>评价范围土地利用现状统计表</w:t>
      </w:r>
    </w:p>
    <w:p w14:paraId="6A0E0BBF">
      <w:pPr>
        <w:spacing w:line="144" w:lineRule="exact"/>
      </w:pPr>
    </w:p>
    <w:tbl>
      <w:tblPr>
        <w:tblStyle w:val="5"/>
        <w:tblW w:w="851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6"/>
        <w:gridCol w:w="2415"/>
        <w:gridCol w:w="930"/>
        <w:gridCol w:w="1305"/>
        <w:gridCol w:w="1932"/>
      </w:tblGrid>
      <w:tr w14:paraId="49C3C4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3" w:hRule="atLeast"/>
        </w:trPr>
        <w:tc>
          <w:tcPr>
            <w:tcW w:w="1936" w:type="dxa"/>
            <w:tcBorders>
              <w:top w:val="single" w:color="000000" w:sz="10" w:space="0"/>
              <w:left w:val="nil"/>
            </w:tcBorders>
            <w:vAlign w:val="top"/>
          </w:tcPr>
          <w:p w14:paraId="66442C13">
            <w:pPr>
              <w:spacing w:before="161" w:line="232" w:lineRule="auto"/>
              <w:ind w:left="564"/>
              <w:rPr>
                <w:rFonts w:ascii="仿宋" w:hAnsi="仿宋" w:eastAsia="仿宋" w:cs="仿宋"/>
                <w:sz w:val="20"/>
                <w:szCs w:val="20"/>
              </w:rPr>
            </w:pPr>
            <w:r>
              <w:rPr>
                <w:rFonts w:ascii="仿宋" w:hAnsi="仿宋" w:eastAsia="仿宋" w:cs="仿宋"/>
                <w:spacing w:val="5"/>
                <w:sz w:val="20"/>
                <w:szCs w:val="20"/>
              </w:rPr>
              <w:t>一级分类</w:t>
            </w:r>
          </w:p>
        </w:tc>
        <w:tc>
          <w:tcPr>
            <w:tcW w:w="2415" w:type="dxa"/>
            <w:tcBorders>
              <w:top w:val="single" w:color="000000" w:sz="10" w:space="0"/>
            </w:tcBorders>
            <w:vAlign w:val="top"/>
          </w:tcPr>
          <w:p w14:paraId="11BFD068">
            <w:pPr>
              <w:spacing w:before="161" w:line="232" w:lineRule="auto"/>
              <w:ind w:left="805"/>
              <w:rPr>
                <w:rFonts w:ascii="仿宋" w:hAnsi="仿宋" w:eastAsia="仿宋" w:cs="仿宋"/>
                <w:sz w:val="20"/>
                <w:szCs w:val="20"/>
              </w:rPr>
            </w:pPr>
            <w:r>
              <w:rPr>
                <w:rFonts w:ascii="仿宋" w:hAnsi="仿宋" w:eastAsia="仿宋" w:cs="仿宋"/>
                <w:spacing w:val="4"/>
                <w:sz w:val="20"/>
                <w:szCs w:val="20"/>
              </w:rPr>
              <w:t>二级分类</w:t>
            </w:r>
          </w:p>
        </w:tc>
        <w:tc>
          <w:tcPr>
            <w:tcW w:w="930" w:type="dxa"/>
            <w:tcBorders>
              <w:top w:val="single" w:color="000000" w:sz="10" w:space="0"/>
            </w:tcBorders>
            <w:vAlign w:val="top"/>
          </w:tcPr>
          <w:p w14:paraId="41F26AFA">
            <w:pPr>
              <w:spacing w:before="160" w:line="232" w:lineRule="auto"/>
              <w:ind w:left="161"/>
              <w:rPr>
                <w:rFonts w:ascii="仿宋" w:hAnsi="仿宋" w:eastAsia="仿宋" w:cs="仿宋"/>
                <w:sz w:val="20"/>
                <w:szCs w:val="20"/>
              </w:rPr>
            </w:pPr>
            <w:r>
              <w:rPr>
                <w:rFonts w:ascii="仿宋" w:hAnsi="仿宋" w:eastAsia="仿宋" w:cs="仿宋"/>
                <w:spacing w:val="4"/>
                <w:sz w:val="20"/>
                <w:szCs w:val="20"/>
              </w:rPr>
              <w:t>斑块数</w:t>
            </w:r>
          </w:p>
        </w:tc>
        <w:tc>
          <w:tcPr>
            <w:tcW w:w="1305" w:type="dxa"/>
            <w:tcBorders>
              <w:top w:val="single" w:color="000000" w:sz="10" w:space="0"/>
            </w:tcBorders>
            <w:vAlign w:val="top"/>
          </w:tcPr>
          <w:p w14:paraId="42F2296F">
            <w:pPr>
              <w:pStyle w:val="6"/>
              <w:spacing w:before="160" w:line="232" w:lineRule="auto"/>
              <w:ind w:left="122"/>
              <w:rPr>
                <w:rFonts w:ascii="仿宋" w:hAnsi="仿宋" w:eastAsia="仿宋" w:cs="仿宋"/>
                <w:sz w:val="20"/>
                <w:szCs w:val="20"/>
              </w:rPr>
            </w:pPr>
            <w:r>
              <w:rPr>
                <w:rFonts w:ascii="仿宋" w:hAnsi="仿宋" w:eastAsia="仿宋" w:cs="仿宋"/>
                <w:spacing w:val="5"/>
                <w:sz w:val="20"/>
                <w:szCs w:val="20"/>
              </w:rPr>
              <w:t>面积（</w:t>
            </w:r>
            <w:r>
              <w:rPr>
                <w:sz w:val="20"/>
                <w:szCs w:val="20"/>
              </w:rPr>
              <w:t>hm</w:t>
            </w:r>
            <w:r>
              <w:rPr>
                <w:spacing w:val="5"/>
                <w:sz w:val="13"/>
                <w:szCs w:val="13"/>
              </w:rPr>
              <w:t>2</w:t>
            </w:r>
            <w:r>
              <w:rPr>
                <w:rFonts w:ascii="仿宋" w:hAnsi="仿宋" w:eastAsia="仿宋" w:cs="仿宋"/>
                <w:spacing w:val="5"/>
                <w:sz w:val="20"/>
                <w:szCs w:val="20"/>
              </w:rPr>
              <w:t>）</w:t>
            </w:r>
          </w:p>
        </w:tc>
        <w:tc>
          <w:tcPr>
            <w:tcW w:w="1932" w:type="dxa"/>
            <w:tcBorders>
              <w:top w:val="single" w:color="000000" w:sz="10" w:space="0"/>
              <w:right w:val="nil"/>
            </w:tcBorders>
            <w:vAlign w:val="top"/>
          </w:tcPr>
          <w:p w14:paraId="0AC1B0E7">
            <w:pPr>
              <w:pStyle w:val="6"/>
              <w:spacing w:before="161" w:line="231" w:lineRule="auto"/>
              <w:ind w:right="12"/>
              <w:jc w:val="right"/>
              <w:rPr>
                <w:rFonts w:ascii="仿宋" w:hAnsi="仿宋" w:eastAsia="仿宋" w:cs="仿宋"/>
                <w:sz w:val="20"/>
                <w:szCs w:val="20"/>
              </w:rPr>
            </w:pPr>
            <w:r>
              <w:rPr>
                <w:rFonts w:ascii="仿宋" w:hAnsi="仿宋" w:eastAsia="仿宋" w:cs="仿宋"/>
                <w:spacing w:val="-1"/>
                <w:sz w:val="20"/>
                <w:szCs w:val="20"/>
              </w:rPr>
              <w:t>占评价区比例（</w:t>
            </w:r>
            <w:r>
              <w:rPr>
                <w:spacing w:val="-1"/>
                <w:sz w:val="20"/>
                <w:szCs w:val="20"/>
              </w:rPr>
              <w:t>%</w:t>
            </w:r>
            <w:r>
              <w:rPr>
                <w:rFonts w:ascii="仿宋" w:hAnsi="仿宋" w:eastAsia="仿宋" w:cs="仿宋"/>
                <w:spacing w:val="-1"/>
                <w:sz w:val="20"/>
                <w:szCs w:val="20"/>
              </w:rPr>
              <w:t>）</w:t>
            </w:r>
          </w:p>
        </w:tc>
      </w:tr>
      <w:tr w14:paraId="5CE85D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936" w:type="dxa"/>
            <w:vMerge w:val="restart"/>
            <w:tcBorders>
              <w:left w:val="nil"/>
              <w:bottom w:val="nil"/>
            </w:tcBorders>
            <w:vAlign w:val="top"/>
          </w:tcPr>
          <w:p w14:paraId="0122CFE9">
            <w:pPr>
              <w:spacing w:before="187" w:line="232" w:lineRule="auto"/>
              <w:ind w:left="772"/>
              <w:rPr>
                <w:rFonts w:ascii="仿宋" w:hAnsi="仿宋" w:eastAsia="仿宋" w:cs="仿宋"/>
                <w:sz w:val="20"/>
                <w:szCs w:val="20"/>
              </w:rPr>
            </w:pPr>
            <w:r>
              <w:rPr>
                <w:rFonts w:ascii="仿宋" w:hAnsi="仿宋" w:eastAsia="仿宋" w:cs="仿宋"/>
                <w:spacing w:val="2"/>
                <w:sz w:val="20"/>
                <w:szCs w:val="20"/>
              </w:rPr>
              <w:t>耕地</w:t>
            </w:r>
          </w:p>
        </w:tc>
        <w:tc>
          <w:tcPr>
            <w:tcW w:w="2415" w:type="dxa"/>
            <w:vAlign w:val="top"/>
          </w:tcPr>
          <w:p w14:paraId="05C69B79">
            <w:pPr>
              <w:spacing w:before="30" w:line="217" w:lineRule="auto"/>
              <w:ind w:left="901"/>
              <w:rPr>
                <w:rFonts w:ascii="仿宋" w:hAnsi="仿宋" w:eastAsia="仿宋" w:cs="仿宋"/>
                <w:sz w:val="20"/>
                <w:szCs w:val="20"/>
              </w:rPr>
            </w:pPr>
            <w:r>
              <w:rPr>
                <w:rFonts w:ascii="仿宋" w:hAnsi="仿宋" w:eastAsia="仿宋" w:cs="仿宋"/>
                <w:spacing w:val="5"/>
                <w:sz w:val="20"/>
                <w:szCs w:val="20"/>
              </w:rPr>
              <w:t>水浇地</w:t>
            </w:r>
          </w:p>
        </w:tc>
        <w:tc>
          <w:tcPr>
            <w:tcW w:w="930" w:type="dxa"/>
            <w:vAlign w:val="top"/>
          </w:tcPr>
          <w:p w14:paraId="3502FC95">
            <w:pPr>
              <w:pStyle w:val="6"/>
              <w:spacing w:before="67" w:line="195" w:lineRule="auto"/>
              <w:ind w:left="366"/>
              <w:rPr>
                <w:sz w:val="20"/>
                <w:szCs w:val="20"/>
              </w:rPr>
            </w:pPr>
            <w:r>
              <w:rPr>
                <w:sz w:val="20"/>
                <w:szCs w:val="20"/>
              </w:rPr>
              <w:t>93</w:t>
            </w:r>
          </w:p>
        </w:tc>
        <w:tc>
          <w:tcPr>
            <w:tcW w:w="1305" w:type="dxa"/>
            <w:vAlign w:val="top"/>
          </w:tcPr>
          <w:p w14:paraId="7233DDA2">
            <w:pPr>
              <w:pStyle w:val="6"/>
              <w:spacing w:before="67" w:line="195" w:lineRule="auto"/>
              <w:ind w:left="369"/>
              <w:rPr>
                <w:sz w:val="20"/>
                <w:szCs w:val="20"/>
              </w:rPr>
            </w:pPr>
            <w:r>
              <w:rPr>
                <w:spacing w:val="3"/>
                <w:sz w:val="20"/>
                <w:szCs w:val="20"/>
              </w:rPr>
              <w:t>311.93</w:t>
            </w:r>
          </w:p>
        </w:tc>
        <w:tc>
          <w:tcPr>
            <w:tcW w:w="1932" w:type="dxa"/>
            <w:tcBorders>
              <w:right w:val="nil"/>
            </w:tcBorders>
            <w:vAlign w:val="top"/>
          </w:tcPr>
          <w:p w14:paraId="3E5B2377">
            <w:pPr>
              <w:pStyle w:val="6"/>
              <w:spacing w:before="67" w:line="195" w:lineRule="auto"/>
              <w:ind w:left="664"/>
              <w:rPr>
                <w:sz w:val="20"/>
                <w:szCs w:val="20"/>
              </w:rPr>
            </w:pPr>
            <w:r>
              <w:rPr>
                <w:sz w:val="20"/>
                <w:szCs w:val="20"/>
              </w:rPr>
              <w:t>17.23%</w:t>
            </w:r>
          </w:p>
        </w:tc>
      </w:tr>
      <w:tr w14:paraId="5B9858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1936" w:type="dxa"/>
            <w:vMerge w:val="continue"/>
            <w:tcBorders>
              <w:top w:val="nil"/>
              <w:left w:val="nil"/>
            </w:tcBorders>
            <w:vAlign w:val="top"/>
          </w:tcPr>
          <w:p w14:paraId="5F8510E8">
            <w:pPr>
              <w:rPr>
                <w:rFonts w:ascii="Arial"/>
                <w:sz w:val="21"/>
              </w:rPr>
            </w:pPr>
          </w:p>
        </w:tc>
        <w:tc>
          <w:tcPr>
            <w:tcW w:w="2415" w:type="dxa"/>
            <w:vAlign w:val="top"/>
          </w:tcPr>
          <w:p w14:paraId="01C1518F">
            <w:pPr>
              <w:spacing w:before="45" w:line="229" w:lineRule="auto"/>
              <w:ind w:left="1011"/>
              <w:rPr>
                <w:rFonts w:ascii="仿宋" w:hAnsi="仿宋" w:eastAsia="仿宋" w:cs="仿宋"/>
                <w:sz w:val="20"/>
                <w:szCs w:val="20"/>
              </w:rPr>
            </w:pPr>
            <w:r>
              <w:rPr>
                <w:rFonts w:ascii="仿宋" w:hAnsi="仿宋" w:eastAsia="仿宋" w:cs="仿宋"/>
                <w:sz w:val="20"/>
                <w:szCs w:val="20"/>
              </w:rPr>
              <w:t>旱地</w:t>
            </w:r>
          </w:p>
        </w:tc>
        <w:tc>
          <w:tcPr>
            <w:tcW w:w="930" w:type="dxa"/>
            <w:vAlign w:val="top"/>
          </w:tcPr>
          <w:p w14:paraId="149218B3">
            <w:pPr>
              <w:pStyle w:val="6"/>
              <w:spacing w:before="83" w:line="195" w:lineRule="auto"/>
              <w:ind w:left="309"/>
              <w:rPr>
                <w:sz w:val="20"/>
                <w:szCs w:val="20"/>
              </w:rPr>
            </w:pPr>
            <w:r>
              <w:rPr>
                <w:spacing w:val="3"/>
                <w:sz w:val="20"/>
                <w:szCs w:val="20"/>
              </w:rPr>
              <w:t>240</w:t>
            </w:r>
          </w:p>
        </w:tc>
        <w:tc>
          <w:tcPr>
            <w:tcW w:w="1305" w:type="dxa"/>
            <w:vAlign w:val="top"/>
          </w:tcPr>
          <w:p w14:paraId="169908B0">
            <w:pPr>
              <w:pStyle w:val="6"/>
              <w:spacing w:before="83" w:line="195" w:lineRule="auto"/>
              <w:ind w:left="365"/>
              <w:rPr>
                <w:sz w:val="20"/>
                <w:szCs w:val="20"/>
              </w:rPr>
            </w:pPr>
            <w:r>
              <w:rPr>
                <w:spacing w:val="3"/>
                <w:sz w:val="20"/>
                <w:szCs w:val="20"/>
              </w:rPr>
              <w:t>220.64</w:t>
            </w:r>
          </w:p>
        </w:tc>
        <w:tc>
          <w:tcPr>
            <w:tcW w:w="1932" w:type="dxa"/>
            <w:tcBorders>
              <w:right w:val="nil"/>
            </w:tcBorders>
            <w:vAlign w:val="top"/>
          </w:tcPr>
          <w:p w14:paraId="771592CD">
            <w:pPr>
              <w:pStyle w:val="6"/>
              <w:spacing w:before="83" w:line="195" w:lineRule="auto"/>
              <w:ind w:left="664"/>
              <w:rPr>
                <w:sz w:val="20"/>
                <w:szCs w:val="20"/>
              </w:rPr>
            </w:pPr>
            <w:r>
              <w:rPr>
                <w:spacing w:val="-4"/>
                <w:sz w:val="20"/>
                <w:szCs w:val="20"/>
              </w:rPr>
              <w:t>12.</w:t>
            </w:r>
            <w:r>
              <w:rPr>
                <w:spacing w:val="-22"/>
                <w:sz w:val="20"/>
                <w:szCs w:val="20"/>
              </w:rPr>
              <w:t xml:space="preserve"> </w:t>
            </w:r>
            <w:r>
              <w:rPr>
                <w:spacing w:val="-4"/>
                <w:sz w:val="20"/>
                <w:szCs w:val="20"/>
              </w:rPr>
              <w:t>19%</w:t>
            </w:r>
          </w:p>
        </w:tc>
      </w:tr>
      <w:tr w14:paraId="104260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936" w:type="dxa"/>
            <w:vMerge w:val="restart"/>
            <w:tcBorders>
              <w:left w:val="nil"/>
              <w:bottom w:val="nil"/>
            </w:tcBorders>
            <w:vAlign w:val="top"/>
          </w:tcPr>
          <w:p w14:paraId="0D3B1562">
            <w:pPr>
              <w:spacing w:line="276" w:lineRule="auto"/>
              <w:rPr>
                <w:rFonts w:ascii="Arial"/>
                <w:sz w:val="21"/>
              </w:rPr>
            </w:pPr>
          </w:p>
          <w:p w14:paraId="226895D9">
            <w:pPr>
              <w:spacing w:before="65" w:line="231" w:lineRule="auto"/>
              <w:ind w:left="772"/>
              <w:rPr>
                <w:rFonts w:ascii="仿宋" w:hAnsi="仿宋" w:eastAsia="仿宋" w:cs="仿宋"/>
                <w:sz w:val="20"/>
                <w:szCs w:val="20"/>
              </w:rPr>
            </w:pPr>
            <w:r>
              <w:rPr>
                <w:rFonts w:ascii="仿宋" w:hAnsi="仿宋" w:eastAsia="仿宋" w:cs="仿宋"/>
                <w:spacing w:val="2"/>
                <w:sz w:val="20"/>
                <w:szCs w:val="20"/>
              </w:rPr>
              <w:t>林地</w:t>
            </w:r>
          </w:p>
        </w:tc>
        <w:tc>
          <w:tcPr>
            <w:tcW w:w="2415" w:type="dxa"/>
            <w:vAlign w:val="top"/>
          </w:tcPr>
          <w:p w14:paraId="6924A25E">
            <w:pPr>
              <w:spacing w:before="34" w:line="215" w:lineRule="auto"/>
              <w:ind w:left="802"/>
              <w:rPr>
                <w:rFonts w:ascii="仿宋" w:hAnsi="仿宋" w:eastAsia="仿宋" w:cs="仿宋"/>
                <w:sz w:val="20"/>
                <w:szCs w:val="20"/>
              </w:rPr>
            </w:pPr>
            <w:r>
              <w:rPr>
                <w:rFonts w:ascii="仿宋" w:hAnsi="仿宋" w:eastAsia="仿宋" w:cs="仿宋"/>
                <w:spacing w:val="5"/>
                <w:sz w:val="20"/>
                <w:szCs w:val="20"/>
              </w:rPr>
              <w:t>乔木林地</w:t>
            </w:r>
          </w:p>
        </w:tc>
        <w:tc>
          <w:tcPr>
            <w:tcW w:w="930" w:type="dxa"/>
            <w:vAlign w:val="top"/>
          </w:tcPr>
          <w:p w14:paraId="79E0B5FD">
            <w:pPr>
              <w:pStyle w:val="6"/>
              <w:spacing w:before="69" w:line="195" w:lineRule="auto"/>
              <w:ind w:left="329"/>
              <w:rPr>
                <w:sz w:val="20"/>
                <w:szCs w:val="20"/>
              </w:rPr>
            </w:pPr>
            <w:r>
              <w:rPr>
                <w:spacing w:val="-3"/>
                <w:sz w:val="20"/>
                <w:szCs w:val="20"/>
              </w:rPr>
              <w:t>153</w:t>
            </w:r>
          </w:p>
        </w:tc>
        <w:tc>
          <w:tcPr>
            <w:tcW w:w="1305" w:type="dxa"/>
            <w:vAlign w:val="top"/>
          </w:tcPr>
          <w:p w14:paraId="7BCC7B20">
            <w:pPr>
              <w:pStyle w:val="6"/>
              <w:spacing w:before="69" w:line="195" w:lineRule="auto"/>
              <w:ind w:left="385"/>
              <w:rPr>
                <w:sz w:val="20"/>
                <w:szCs w:val="20"/>
              </w:rPr>
            </w:pPr>
            <w:r>
              <w:rPr>
                <w:sz w:val="20"/>
                <w:szCs w:val="20"/>
              </w:rPr>
              <w:t>185.59</w:t>
            </w:r>
          </w:p>
        </w:tc>
        <w:tc>
          <w:tcPr>
            <w:tcW w:w="1932" w:type="dxa"/>
            <w:tcBorders>
              <w:right w:val="nil"/>
            </w:tcBorders>
            <w:vAlign w:val="top"/>
          </w:tcPr>
          <w:p w14:paraId="3F1E757A">
            <w:pPr>
              <w:pStyle w:val="6"/>
              <w:spacing w:before="69" w:line="195" w:lineRule="auto"/>
              <w:ind w:left="664"/>
              <w:rPr>
                <w:sz w:val="20"/>
                <w:szCs w:val="20"/>
              </w:rPr>
            </w:pPr>
            <w:r>
              <w:rPr>
                <w:sz w:val="20"/>
                <w:szCs w:val="20"/>
              </w:rPr>
              <w:t>10.25%</w:t>
            </w:r>
          </w:p>
        </w:tc>
      </w:tr>
      <w:tr w14:paraId="112487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1936" w:type="dxa"/>
            <w:vMerge w:val="continue"/>
            <w:tcBorders>
              <w:top w:val="nil"/>
              <w:left w:val="nil"/>
              <w:bottom w:val="nil"/>
            </w:tcBorders>
            <w:vAlign w:val="top"/>
          </w:tcPr>
          <w:p w14:paraId="002AE713">
            <w:pPr>
              <w:rPr>
                <w:rFonts w:ascii="Arial"/>
                <w:sz w:val="21"/>
              </w:rPr>
            </w:pPr>
          </w:p>
        </w:tc>
        <w:tc>
          <w:tcPr>
            <w:tcW w:w="2415" w:type="dxa"/>
            <w:vAlign w:val="top"/>
          </w:tcPr>
          <w:p w14:paraId="0D667804">
            <w:pPr>
              <w:spacing w:before="47" w:line="228" w:lineRule="auto"/>
              <w:ind w:left="802"/>
              <w:rPr>
                <w:rFonts w:ascii="仿宋" w:hAnsi="仿宋" w:eastAsia="仿宋" w:cs="仿宋"/>
                <w:sz w:val="20"/>
                <w:szCs w:val="20"/>
              </w:rPr>
            </w:pPr>
            <w:r>
              <w:rPr>
                <w:rFonts w:ascii="仿宋" w:hAnsi="仿宋" w:eastAsia="仿宋" w:cs="仿宋"/>
                <w:spacing w:val="5"/>
                <w:sz w:val="20"/>
                <w:szCs w:val="20"/>
              </w:rPr>
              <w:t>灌木林地</w:t>
            </w:r>
          </w:p>
        </w:tc>
        <w:tc>
          <w:tcPr>
            <w:tcW w:w="930" w:type="dxa"/>
            <w:vAlign w:val="top"/>
          </w:tcPr>
          <w:p w14:paraId="423CD45D">
            <w:pPr>
              <w:pStyle w:val="6"/>
              <w:spacing w:before="85" w:line="195" w:lineRule="auto"/>
              <w:ind w:left="329"/>
              <w:rPr>
                <w:sz w:val="20"/>
                <w:szCs w:val="20"/>
              </w:rPr>
            </w:pPr>
            <w:r>
              <w:rPr>
                <w:spacing w:val="-3"/>
                <w:sz w:val="20"/>
                <w:szCs w:val="20"/>
              </w:rPr>
              <w:t>144</w:t>
            </w:r>
          </w:p>
        </w:tc>
        <w:tc>
          <w:tcPr>
            <w:tcW w:w="1305" w:type="dxa"/>
            <w:vAlign w:val="top"/>
          </w:tcPr>
          <w:p w14:paraId="46AEA48C">
            <w:pPr>
              <w:pStyle w:val="6"/>
              <w:spacing w:before="85" w:line="195" w:lineRule="auto"/>
              <w:ind w:left="365"/>
              <w:rPr>
                <w:sz w:val="20"/>
                <w:szCs w:val="20"/>
              </w:rPr>
            </w:pPr>
            <w:r>
              <w:rPr>
                <w:spacing w:val="3"/>
                <w:sz w:val="20"/>
                <w:szCs w:val="20"/>
              </w:rPr>
              <w:t>263.00</w:t>
            </w:r>
          </w:p>
        </w:tc>
        <w:tc>
          <w:tcPr>
            <w:tcW w:w="1932" w:type="dxa"/>
            <w:tcBorders>
              <w:right w:val="nil"/>
            </w:tcBorders>
            <w:vAlign w:val="top"/>
          </w:tcPr>
          <w:p w14:paraId="71F3BD35">
            <w:pPr>
              <w:pStyle w:val="6"/>
              <w:spacing w:before="85" w:line="195" w:lineRule="auto"/>
              <w:ind w:left="664"/>
              <w:rPr>
                <w:sz w:val="20"/>
                <w:szCs w:val="20"/>
              </w:rPr>
            </w:pPr>
            <w:r>
              <w:rPr>
                <w:sz w:val="20"/>
                <w:szCs w:val="20"/>
              </w:rPr>
              <w:t>14.53%</w:t>
            </w:r>
          </w:p>
        </w:tc>
      </w:tr>
      <w:tr w14:paraId="5200D1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1936" w:type="dxa"/>
            <w:vMerge w:val="continue"/>
            <w:tcBorders>
              <w:top w:val="nil"/>
              <w:left w:val="nil"/>
            </w:tcBorders>
            <w:vAlign w:val="top"/>
          </w:tcPr>
          <w:p w14:paraId="7EF704E3">
            <w:pPr>
              <w:rPr>
                <w:rFonts w:ascii="Arial"/>
                <w:sz w:val="21"/>
              </w:rPr>
            </w:pPr>
          </w:p>
        </w:tc>
        <w:tc>
          <w:tcPr>
            <w:tcW w:w="2415" w:type="dxa"/>
            <w:vAlign w:val="top"/>
          </w:tcPr>
          <w:p w14:paraId="60A0618A">
            <w:pPr>
              <w:spacing w:before="50" w:line="225" w:lineRule="auto"/>
              <w:ind w:left="800"/>
              <w:rPr>
                <w:rFonts w:ascii="仿宋" w:hAnsi="仿宋" w:eastAsia="仿宋" w:cs="仿宋"/>
                <w:sz w:val="20"/>
                <w:szCs w:val="20"/>
              </w:rPr>
            </w:pPr>
            <w:r>
              <w:rPr>
                <w:rFonts w:ascii="仿宋" w:hAnsi="仿宋" w:eastAsia="仿宋" w:cs="仿宋"/>
                <w:spacing w:val="5"/>
                <w:sz w:val="20"/>
                <w:szCs w:val="20"/>
              </w:rPr>
              <w:t>其他林地</w:t>
            </w:r>
          </w:p>
        </w:tc>
        <w:tc>
          <w:tcPr>
            <w:tcW w:w="930" w:type="dxa"/>
            <w:vAlign w:val="top"/>
          </w:tcPr>
          <w:p w14:paraId="19CBC7C4">
            <w:pPr>
              <w:pStyle w:val="6"/>
              <w:spacing w:before="86" w:line="195" w:lineRule="auto"/>
              <w:ind w:left="366"/>
              <w:rPr>
                <w:sz w:val="20"/>
                <w:szCs w:val="20"/>
              </w:rPr>
            </w:pPr>
            <w:r>
              <w:rPr>
                <w:sz w:val="20"/>
                <w:szCs w:val="20"/>
              </w:rPr>
              <w:t>97</w:t>
            </w:r>
          </w:p>
        </w:tc>
        <w:tc>
          <w:tcPr>
            <w:tcW w:w="1305" w:type="dxa"/>
            <w:vAlign w:val="top"/>
          </w:tcPr>
          <w:p w14:paraId="31F69EF2">
            <w:pPr>
              <w:pStyle w:val="6"/>
              <w:spacing w:before="86" w:line="195" w:lineRule="auto"/>
              <w:ind w:left="422"/>
              <w:rPr>
                <w:sz w:val="20"/>
                <w:szCs w:val="20"/>
              </w:rPr>
            </w:pPr>
            <w:r>
              <w:rPr>
                <w:spacing w:val="2"/>
                <w:sz w:val="20"/>
                <w:szCs w:val="20"/>
              </w:rPr>
              <w:t>93.30</w:t>
            </w:r>
          </w:p>
        </w:tc>
        <w:tc>
          <w:tcPr>
            <w:tcW w:w="1932" w:type="dxa"/>
            <w:tcBorders>
              <w:right w:val="nil"/>
            </w:tcBorders>
            <w:vAlign w:val="top"/>
          </w:tcPr>
          <w:p w14:paraId="1188408C">
            <w:pPr>
              <w:pStyle w:val="6"/>
              <w:spacing w:before="86" w:line="195" w:lineRule="auto"/>
              <w:ind w:left="703"/>
              <w:rPr>
                <w:sz w:val="20"/>
                <w:szCs w:val="20"/>
              </w:rPr>
            </w:pPr>
            <w:r>
              <w:rPr>
                <w:spacing w:val="-3"/>
                <w:sz w:val="20"/>
                <w:szCs w:val="20"/>
              </w:rPr>
              <w:t>5.</w:t>
            </w:r>
            <w:r>
              <w:rPr>
                <w:spacing w:val="-22"/>
                <w:sz w:val="20"/>
                <w:szCs w:val="20"/>
              </w:rPr>
              <w:t xml:space="preserve"> </w:t>
            </w:r>
            <w:r>
              <w:rPr>
                <w:spacing w:val="-3"/>
                <w:sz w:val="20"/>
                <w:szCs w:val="20"/>
              </w:rPr>
              <w:t>15%</w:t>
            </w:r>
          </w:p>
        </w:tc>
      </w:tr>
      <w:tr w14:paraId="1EB39E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936" w:type="dxa"/>
            <w:vMerge w:val="restart"/>
            <w:tcBorders>
              <w:left w:val="nil"/>
              <w:bottom w:val="nil"/>
            </w:tcBorders>
            <w:vAlign w:val="top"/>
          </w:tcPr>
          <w:p w14:paraId="61C64F19">
            <w:pPr>
              <w:spacing w:before="192" w:line="231" w:lineRule="auto"/>
              <w:ind w:left="775"/>
              <w:rPr>
                <w:rFonts w:ascii="仿宋" w:hAnsi="仿宋" w:eastAsia="仿宋" w:cs="仿宋"/>
                <w:sz w:val="20"/>
                <w:szCs w:val="20"/>
              </w:rPr>
            </w:pPr>
            <w:r>
              <w:rPr>
                <w:rFonts w:ascii="仿宋" w:hAnsi="仿宋" w:eastAsia="仿宋" w:cs="仿宋"/>
                <w:sz w:val="20"/>
                <w:szCs w:val="20"/>
              </w:rPr>
              <w:t>草地</w:t>
            </w:r>
          </w:p>
        </w:tc>
        <w:tc>
          <w:tcPr>
            <w:tcW w:w="2415" w:type="dxa"/>
            <w:vAlign w:val="top"/>
          </w:tcPr>
          <w:p w14:paraId="4AAF91A7">
            <w:pPr>
              <w:spacing w:before="36" w:line="213" w:lineRule="auto"/>
              <w:ind w:left="694"/>
              <w:rPr>
                <w:rFonts w:ascii="仿宋" w:hAnsi="仿宋" w:eastAsia="仿宋" w:cs="仿宋"/>
                <w:sz w:val="20"/>
                <w:szCs w:val="20"/>
              </w:rPr>
            </w:pPr>
            <w:r>
              <w:rPr>
                <w:rFonts w:ascii="仿宋" w:hAnsi="仿宋" w:eastAsia="仿宋" w:cs="仿宋"/>
                <w:spacing w:val="6"/>
                <w:sz w:val="20"/>
                <w:szCs w:val="20"/>
              </w:rPr>
              <w:t>天然牧草地</w:t>
            </w:r>
          </w:p>
        </w:tc>
        <w:tc>
          <w:tcPr>
            <w:tcW w:w="930" w:type="dxa"/>
            <w:vAlign w:val="top"/>
          </w:tcPr>
          <w:p w14:paraId="7E9C7200">
            <w:pPr>
              <w:pStyle w:val="6"/>
              <w:spacing w:before="72" w:line="195" w:lineRule="auto"/>
              <w:ind w:left="313"/>
              <w:rPr>
                <w:sz w:val="20"/>
                <w:szCs w:val="20"/>
              </w:rPr>
            </w:pPr>
            <w:r>
              <w:rPr>
                <w:spacing w:val="2"/>
                <w:sz w:val="20"/>
                <w:szCs w:val="20"/>
              </w:rPr>
              <w:t>339</w:t>
            </w:r>
          </w:p>
        </w:tc>
        <w:tc>
          <w:tcPr>
            <w:tcW w:w="1305" w:type="dxa"/>
            <w:vAlign w:val="top"/>
          </w:tcPr>
          <w:p w14:paraId="36522535">
            <w:pPr>
              <w:pStyle w:val="6"/>
              <w:spacing w:before="72" w:line="195" w:lineRule="auto"/>
              <w:ind w:left="369"/>
              <w:rPr>
                <w:sz w:val="20"/>
                <w:szCs w:val="20"/>
              </w:rPr>
            </w:pPr>
            <w:r>
              <w:rPr>
                <w:spacing w:val="3"/>
                <w:sz w:val="20"/>
                <w:szCs w:val="20"/>
              </w:rPr>
              <w:t>363.51</w:t>
            </w:r>
          </w:p>
        </w:tc>
        <w:tc>
          <w:tcPr>
            <w:tcW w:w="1932" w:type="dxa"/>
            <w:tcBorders>
              <w:right w:val="nil"/>
            </w:tcBorders>
            <w:vAlign w:val="top"/>
          </w:tcPr>
          <w:p w14:paraId="4972CBB4">
            <w:pPr>
              <w:pStyle w:val="6"/>
              <w:spacing w:before="72" w:line="195" w:lineRule="auto"/>
              <w:ind w:left="644"/>
              <w:rPr>
                <w:sz w:val="20"/>
                <w:szCs w:val="20"/>
              </w:rPr>
            </w:pPr>
            <w:r>
              <w:rPr>
                <w:spacing w:val="4"/>
                <w:sz w:val="20"/>
                <w:szCs w:val="20"/>
              </w:rPr>
              <w:t>20.08%</w:t>
            </w:r>
          </w:p>
        </w:tc>
      </w:tr>
      <w:tr w14:paraId="1B2895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1936" w:type="dxa"/>
            <w:vMerge w:val="continue"/>
            <w:tcBorders>
              <w:top w:val="nil"/>
              <w:left w:val="nil"/>
            </w:tcBorders>
            <w:vAlign w:val="top"/>
          </w:tcPr>
          <w:p w14:paraId="1C4DC17F">
            <w:pPr>
              <w:rPr>
                <w:rFonts w:ascii="Arial"/>
                <w:sz w:val="21"/>
              </w:rPr>
            </w:pPr>
          </w:p>
        </w:tc>
        <w:tc>
          <w:tcPr>
            <w:tcW w:w="2415" w:type="dxa"/>
            <w:vAlign w:val="top"/>
          </w:tcPr>
          <w:p w14:paraId="1519A57C">
            <w:pPr>
              <w:spacing w:before="49" w:line="226" w:lineRule="auto"/>
              <w:ind w:left="800"/>
              <w:rPr>
                <w:rFonts w:ascii="仿宋" w:hAnsi="仿宋" w:eastAsia="仿宋" w:cs="仿宋"/>
                <w:sz w:val="20"/>
                <w:szCs w:val="20"/>
              </w:rPr>
            </w:pPr>
            <w:r>
              <w:rPr>
                <w:rFonts w:ascii="仿宋" w:hAnsi="仿宋" w:eastAsia="仿宋" w:cs="仿宋"/>
                <w:spacing w:val="5"/>
                <w:sz w:val="20"/>
                <w:szCs w:val="20"/>
              </w:rPr>
              <w:t>其他草地</w:t>
            </w:r>
          </w:p>
        </w:tc>
        <w:tc>
          <w:tcPr>
            <w:tcW w:w="930" w:type="dxa"/>
            <w:vAlign w:val="top"/>
          </w:tcPr>
          <w:p w14:paraId="783EBE50">
            <w:pPr>
              <w:pStyle w:val="6"/>
              <w:spacing w:before="87" w:line="195" w:lineRule="auto"/>
              <w:ind w:left="329"/>
              <w:rPr>
                <w:sz w:val="20"/>
                <w:szCs w:val="20"/>
              </w:rPr>
            </w:pPr>
            <w:r>
              <w:rPr>
                <w:spacing w:val="-3"/>
                <w:sz w:val="20"/>
                <w:szCs w:val="20"/>
              </w:rPr>
              <w:t>133</w:t>
            </w:r>
          </w:p>
        </w:tc>
        <w:tc>
          <w:tcPr>
            <w:tcW w:w="1305" w:type="dxa"/>
            <w:vAlign w:val="top"/>
          </w:tcPr>
          <w:p w14:paraId="38A1DF28">
            <w:pPr>
              <w:pStyle w:val="6"/>
              <w:spacing w:before="87" w:line="195" w:lineRule="auto"/>
              <w:ind w:left="365"/>
              <w:rPr>
                <w:sz w:val="20"/>
                <w:szCs w:val="20"/>
              </w:rPr>
            </w:pPr>
            <w:r>
              <w:rPr>
                <w:spacing w:val="3"/>
                <w:sz w:val="20"/>
                <w:szCs w:val="20"/>
              </w:rPr>
              <w:t>272.46</w:t>
            </w:r>
          </w:p>
        </w:tc>
        <w:tc>
          <w:tcPr>
            <w:tcW w:w="1932" w:type="dxa"/>
            <w:tcBorders>
              <w:right w:val="nil"/>
            </w:tcBorders>
            <w:vAlign w:val="top"/>
          </w:tcPr>
          <w:p w14:paraId="4529FF05">
            <w:pPr>
              <w:pStyle w:val="6"/>
              <w:spacing w:before="87" w:line="195" w:lineRule="auto"/>
              <w:ind w:left="664"/>
              <w:rPr>
                <w:sz w:val="20"/>
                <w:szCs w:val="20"/>
              </w:rPr>
            </w:pPr>
            <w:r>
              <w:rPr>
                <w:sz w:val="20"/>
                <w:szCs w:val="20"/>
              </w:rPr>
              <w:t>15.05%</w:t>
            </w:r>
          </w:p>
        </w:tc>
      </w:tr>
      <w:tr w14:paraId="179FE3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936" w:type="dxa"/>
            <w:vMerge w:val="restart"/>
            <w:tcBorders>
              <w:left w:val="nil"/>
              <w:bottom w:val="nil"/>
            </w:tcBorders>
            <w:vAlign w:val="top"/>
          </w:tcPr>
          <w:p w14:paraId="19A90C42">
            <w:pPr>
              <w:spacing w:before="177" w:line="230" w:lineRule="auto"/>
              <w:ind w:left="560"/>
              <w:rPr>
                <w:rFonts w:ascii="仿宋" w:hAnsi="仿宋" w:eastAsia="仿宋" w:cs="仿宋"/>
                <w:sz w:val="20"/>
                <w:szCs w:val="20"/>
              </w:rPr>
            </w:pPr>
            <w:r>
              <w:rPr>
                <w:rFonts w:ascii="仿宋" w:hAnsi="仿宋" w:eastAsia="仿宋" w:cs="仿宋"/>
                <w:spacing w:val="5"/>
                <w:sz w:val="20"/>
                <w:szCs w:val="20"/>
              </w:rPr>
              <w:t>住宅用地</w:t>
            </w:r>
          </w:p>
        </w:tc>
        <w:tc>
          <w:tcPr>
            <w:tcW w:w="2415" w:type="dxa"/>
            <w:vAlign w:val="top"/>
          </w:tcPr>
          <w:p w14:paraId="71E50641">
            <w:pPr>
              <w:spacing w:before="38" w:line="210" w:lineRule="auto"/>
              <w:ind w:left="694"/>
              <w:rPr>
                <w:rFonts w:ascii="仿宋" w:hAnsi="仿宋" w:eastAsia="仿宋" w:cs="仿宋"/>
                <w:sz w:val="20"/>
                <w:szCs w:val="20"/>
              </w:rPr>
            </w:pPr>
            <w:r>
              <w:rPr>
                <w:rFonts w:ascii="仿宋" w:hAnsi="仿宋" w:eastAsia="仿宋" w:cs="仿宋"/>
                <w:spacing w:val="6"/>
                <w:sz w:val="20"/>
                <w:szCs w:val="20"/>
              </w:rPr>
              <w:t>农村宅基地</w:t>
            </w:r>
          </w:p>
        </w:tc>
        <w:tc>
          <w:tcPr>
            <w:tcW w:w="930" w:type="dxa"/>
            <w:vAlign w:val="top"/>
          </w:tcPr>
          <w:p w14:paraId="7788E1F0">
            <w:pPr>
              <w:pStyle w:val="6"/>
              <w:spacing w:before="74" w:line="195" w:lineRule="auto"/>
              <w:ind w:left="329"/>
              <w:rPr>
                <w:sz w:val="20"/>
                <w:szCs w:val="20"/>
              </w:rPr>
            </w:pPr>
            <w:r>
              <w:rPr>
                <w:spacing w:val="-3"/>
                <w:sz w:val="20"/>
                <w:szCs w:val="20"/>
              </w:rPr>
              <w:t>187</w:t>
            </w:r>
          </w:p>
        </w:tc>
        <w:tc>
          <w:tcPr>
            <w:tcW w:w="1305" w:type="dxa"/>
            <w:vAlign w:val="top"/>
          </w:tcPr>
          <w:p w14:paraId="187136C0">
            <w:pPr>
              <w:pStyle w:val="6"/>
              <w:spacing w:before="74" w:line="195" w:lineRule="auto"/>
              <w:ind w:left="438"/>
              <w:rPr>
                <w:sz w:val="20"/>
                <w:szCs w:val="20"/>
              </w:rPr>
            </w:pPr>
            <w:r>
              <w:rPr>
                <w:spacing w:val="-1"/>
                <w:sz w:val="20"/>
                <w:szCs w:val="20"/>
              </w:rPr>
              <w:t>10.96</w:t>
            </w:r>
          </w:p>
        </w:tc>
        <w:tc>
          <w:tcPr>
            <w:tcW w:w="1932" w:type="dxa"/>
            <w:tcBorders>
              <w:right w:val="nil"/>
            </w:tcBorders>
            <w:vAlign w:val="top"/>
          </w:tcPr>
          <w:p w14:paraId="443884D9">
            <w:pPr>
              <w:pStyle w:val="6"/>
              <w:spacing w:before="74" w:line="195" w:lineRule="auto"/>
              <w:ind w:left="700"/>
              <w:rPr>
                <w:sz w:val="20"/>
                <w:szCs w:val="20"/>
              </w:rPr>
            </w:pPr>
            <w:r>
              <w:rPr>
                <w:spacing w:val="3"/>
                <w:sz w:val="20"/>
                <w:szCs w:val="20"/>
              </w:rPr>
              <w:t>0.61%</w:t>
            </w:r>
          </w:p>
        </w:tc>
      </w:tr>
      <w:tr w14:paraId="4EA92D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936" w:type="dxa"/>
            <w:vMerge w:val="continue"/>
            <w:tcBorders>
              <w:top w:val="nil"/>
              <w:left w:val="nil"/>
            </w:tcBorders>
            <w:vAlign w:val="top"/>
          </w:tcPr>
          <w:p w14:paraId="5773BC26">
            <w:pPr>
              <w:rPr>
                <w:rFonts w:ascii="Arial"/>
                <w:sz w:val="21"/>
              </w:rPr>
            </w:pPr>
          </w:p>
        </w:tc>
        <w:tc>
          <w:tcPr>
            <w:tcW w:w="2415" w:type="dxa"/>
            <w:vAlign w:val="top"/>
          </w:tcPr>
          <w:p w14:paraId="38A8380E">
            <w:pPr>
              <w:spacing w:before="40" w:line="209" w:lineRule="auto"/>
              <w:ind w:left="592"/>
              <w:rPr>
                <w:rFonts w:ascii="仿宋" w:hAnsi="仿宋" w:eastAsia="仿宋" w:cs="仿宋"/>
                <w:sz w:val="20"/>
                <w:szCs w:val="20"/>
              </w:rPr>
            </w:pPr>
            <w:r>
              <w:rPr>
                <w:rFonts w:ascii="仿宋" w:hAnsi="仿宋" w:eastAsia="仿宋" w:cs="仿宋"/>
                <w:spacing w:val="6"/>
                <w:sz w:val="20"/>
                <w:szCs w:val="20"/>
              </w:rPr>
              <w:t>城镇住宅用地</w:t>
            </w:r>
          </w:p>
        </w:tc>
        <w:tc>
          <w:tcPr>
            <w:tcW w:w="930" w:type="dxa"/>
            <w:vAlign w:val="top"/>
          </w:tcPr>
          <w:p w14:paraId="0DED3AE4">
            <w:pPr>
              <w:pStyle w:val="6"/>
              <w:spacing w:before="76" w:line="195" w:lineRule="auto"/>
              <w:ind w:left="413"/>
              <w:rPr>
                <w:sz w:val="20"/>
                <w:szCs w:val="20"/>
              </w:rPr>
            </w:pPr>
            <w:r>
              <w:rPr>
                <w:spacing w:val="1"/>
                <w:sz w:val="20"/>
                <w:szCs w:val="20"/>
              </w:rPr>
              <w:t>4</w:t>
            </w:r>
          </w:p>
        </w:tc>
        <w:tc>
          <w:tcPr>
            <w:tcW w:w="1305" w:type="dxa"/>
            <w:vAlign w:val="top"/>
          </w:tcPr>
          <w:p w14:paraId="3CDE3714">
            <w:pPr>
              <w:pStyle w:val="6"/>
              <w:spacing w:before="76" w:line="195" w:lineRule="auto"/>
              <w:ind w:left="472"/>
              <w:rPr>
                <w:sz w:val="20"/>
                <w:szCs w:val="20"/>
              </w:rPr>
            </w:pPr>
            <w:r>
              <w:rPr>
                <w:spacing w:val="2"/>
                <w:sz w:val="20"/>
                <w:szCs w:val="20"/>
              </w:rPr>
              <w:t>0.15</w:t>
            </w:r>
          </w:p>
        </w:tc>
        <w:tc>
          <w:tcPr>
            <w:tcW w:w="1932" w:type="dxa"/>
            <w:tcBorders>
              <w:right w:val="nil"/>
            </w:tcBorders>
            <w:vAlign w:val="top"/>
          </w:tcPr>
          <w:p w14:paraId="48B38020">
            <w:pPr>
              <w:pStyle w:val="6"/>
              <w:spacing w:before="76" w:line="195" w:lineRule="auto"/>
              <w:ind w:left="700"/>
              <w:rPr>
                <w:sz w:val="20"/>
                <w:szCs w:val="20"/>
              </w:rPr>
            </w:pPr>
            <w:r>
              <w:rPr>
                <w:spacing w:val="3"/>
                <w:sz w:val="20"/>
                <w:szCs w:val="20"/>
              </w:rPr>
              <w:t>0.01%</w:t>
            </w:r>
          </w:p>
        </w:tc>
      </w:tr>
      <w:tr w14:paraId="5DD03A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1936" w:type="dxa"/>
            <w:vMerge w:val="restart"/>
            <w:tcBorders>
              <w:left w:val="nil"/>
              <w:bottom w:val="nil"/>
            </w:tcBorders>
            <w:vAlign w:val="top"/>
          </w:tcPr>
          <w:p w14:paraId="5D9B9C1B">
            <w:pPr>
              <w:spacing w:before="72" w:line="245" w:lineRule="auto"/>
              <w:ind w:left="672" w:right="128" w:hanging="527"/>
              <w:rPr>
                <w:rFonts w:ascii="仿宋" w:hAnsi="仿宋" w:eastAsia="仿宋" w:cs="仿宋"/>
                <w:sz w:val="20"/>
                <w:szCs w:val="20"/>
              </w:rPr>
            </w:pPr>
            <w:r>
              <w:rPr>
                <w:rFonts w:ascii="仿宋" w:hAnsi="仿宋" w:eastAsia="仿宋" w:cs="仿宋"/>
                <w:spacing w:val="7"/>
                <w:sz w:val="20"/>
                <w:szCs w:val="20"/>
              </w:rPr>
              <w:t>公共管理与公共服</w:t>
            </w:r>
            <w:r>
              <w:rPr>
                <w:rFonts w:ascii="仿宋" w:hAnsi="仿宋" w:eastAsia="仿宋" w:cs="仿宋"/>
                <w:spacing w:val="3"/>
                <w:sz w:val="20"/>
                <w:szCs w:val="20"/>
              </w:rPr>
              <w:t>务用地</w:t>
            </w:r>
          </w:p>
        </w:tc>
        <w:tc>
          <w:tcPr>
            <w:tcW w:w="2415" w:type="dxa"/>
            <w:vAlign w:val="top"/>
          </w:tcPr>
          <w:p w14:paraId="15BEE227">
            <w:pPr>
              <w:spacing w:before="53" w:line="222" w:lineRule="auto"/>
              <w:ind w:left="592"/>
              <w:rPr>
                <w:rFonts w:ascii="仿宋" w:hAnsi="仿宋" w:eastAsia="仿宋" w:cs="仿宋"/>
                <w:sz w:val="20"/>
                <w:szCs w:val="20"/>
              </w:rPr>
            </w:pPr>
            <w:r>
              <w:rPr>
                <w:rFonts w:ascii="仿宋" w:hAnsi="仿宋" w:eastAsia="仿宋" w:cs="仿宋"/>
                <w:spacing w:val="6"/>
                <w:sz w:val="20"/>
                <w:szCs w:val="20"/>
              </w:rPr>
              <w:t>公用设施用地</w:t>
            </w:r>
          </w:p>
        </w:tc>
        <w:tc>
          <w:tcPr>
            <w:tcW w:w="930" w:type="dxa"/>
            <w:vAlign w:val="top"/>
          </w:tcPr>
          <w:p w14:paraId="5DB44458">
            <w:pPr>
              <w:pStyle w:val="6"/>
              <w:spacing w:before="89" w:line="195" w:lineRule="auto"/>
              <w:ind w:left="434"/>
              <w:rPr>
                <w:sz w:val="20"/>
                <w:szCs w:val="20"/>
              </w:rPr>
            </w:pPr>
            <w:r>
              <w:rPr>
                <w:sz w:val="20"/>
                <w:szCs w:val="20"/>
              </w:rPr>
              <w:t>1</w:t>
            </w:r>
          </w:p>
        </w:tc>
        <w:tc>
          <w:tcPr>
            <w:tcW w:w="1305" w:type="dxa"/>
            <w:vAlign w:val="top"/>
          </w:tcPr>
          <w:p w14:paraId="7F6D9357">
            <w:pPr>
              <w:pStyle w:val="6"/>
              <w:spacing w:before="89" w:line="195" w:lineRule="auto"/>
              <w:ind w:left="472"/>
              <w:rPr>
                <w:sz w:val="20"/>
                <w:szCs w:val="20"/>
              </w:rPr>
            </w:pPr>
            <w:r>
              <w:rPr>
                <w:spacing w:val="2"/>
                <w:sz w:val="20"/>
                <w:szCs w:val="20"/>
              </w:rPr>
              <w:t>0.01</w:t>
            </w:r>
          </w:p>
        </w:tc>
        <w:tc>
          <w:tcPr>
            <w:tcW w:w="1932" w:type="dxa"/>
            <w:tcBorders>
              <w:right w:val="nil"/>
            </w:tcBorders>
            <w:vAlign w:val="top"/>
          </w:tcPr>
          <w:p w14:paraId="383644F0">
            <w:pPr>
              <w:pStyle w:val="6"/>
              <w:spacing w:before="89" w:line="195" w:lineRule="auto"/>
              <w:ind w:left="647"/>
              <w:rPr>
                <w:sz w:val="20"/>
                <w:szCs w:val="20"/>
              </w:rPr>
            </w:pPr>
            <w:r>
              <w:rPr>
                <w:spacing w:val="3"/>
                <w:sz w:val="20"/>
                <w:szCs w:val="20"/>
              </w:rPr>
              <w:t>0.001%</w:t>
            </w:r>
          </w:p>
        </w:tc>
      </w:tr>
      <w:tr w14:paraId="128183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1936" w:type="dxa"/>
            <w:vMerge w:val="continue"/>
            <w:tcBorders>
              <w:top w:val="nil"/>
              <w:left w:val="nil"/>
            </w:tcBorders>
            <w:vAlign w:val="top"/>
          </w:tcPr>
          <w:p w14:paraId="78D169E7">
            <w:pPr>
              <w:rPr>
                <w:rFonts w:ascii="Arial"/>
                <w:sz w:val="21"/>
              </w:rPr>
            </w:pPr>
          </w:p>
        </w:tc>
        <w:tc>
          <w:tcPr>
            <w:tcW w:w="2415" w:type="dxa"/>
            <w:vAlign w:val="top"/>
          </w:tcPr>
          <w:p w14:paraId="729CE169">
            <w:pPr>
              <w:spacing w:before="54" w:line="221" w:lineRule="auto"/>
              <w:ind w:left="168"/>
              <w:rPr>
                <w:rFonts w:ascii="仿宋" w:hAnsi="仿宋" w:eastAsia="仿宋" w:cs="仿宋"/>
                <w:sz w:val="20"/>
                <w:szCs w:val="20"/>
              </w:rPr>
            </w:pPr>
            <w:r>
              <w:rPr>
                <w:rFonts w:ascii="仿宋" w:hAnsi="仿宋" w:eastAsia="仿宋" w:cs="仿宋"/>
                <w:spacing w:val="8"/>
                <w:sz w:val="20"/>
                <w:szCs w:val="20"/>
              </w:rPr>
              <w:t>机关团体新闻出版用地</w:t>
            </w:r>
          </w:p>
        </w:tc>
        <w:tc>
          <w:tcPr>
            <w:tcW w:w="930" w:type="dxa"/>
            <w:vAlign w:val="top"/>
          </w:tcPr>
          <w:p w14:paraId="4A895CD7">
            <w:pPr>
              <w:pStyle w:val="6"/>
              <w:spacing w:before="90" w:line="195" w:lineRule="auto"/>
              <w:ind w:left="434"/>
              <w:rPr>
                <w:sz w:val="20"/>
                <w:szCs w:val="20"/>
              </w:rPr>
            </w:pPr>
            <w:r>
              <w:rPr>
                <w:sz w:val="20"/>
                <w:szCs w:val="20"/>
              </w:rPr>
              <w:t>1</w:t>
            </w:r>
          </w:p>
        </w:tc>
        <w:tc>
          <w:tcPr>
            <w:tcW w:w="1305" w:type="dxa"/>
            <w:vAlign w:val="top"/>
          </w:tcPr>
          <w:p w14:paraId="6F18C163">
            <w:pPr>
              <w:pStyle w:val="6"/>
              <w:spacing w:before="90" w:line="195" w:lineRule="auto"/>
              <w:ind w:left="472"/>
              <w:rPr>
                <w:sz w:val="20"/>
                <w:szCs w:val="20"/>
              </w:rPr>
            </w:pPr>
            <w:r>
              <w:rPr>
                <w:spacing w:val="-4"/>
                <w:sz w:val="20"/>
                <w:szCs w:val="20"/>
              </w:rPr>
              <w:t>0.</w:t>
            </w:r>
            <w:r>
              <w:rPr>
                <w:spacing w:val="-25"/>
                <w:sz w:val="20"/>
                <w:szCs w:val="20"/>
              </w:rPr>
              <w:t xml:space="preserve"> </w:t>
            </w:r>
            <w:r>
              <w:rPr>
                <w:spacing w:val="-4"/>
                <w:sz w:val="20"/>
                <w:szCs w:val="20"/>
              </w:rPr>
              <w:t>11</w:t>
            </w:r>
          </w:p>
        </w:tc>
        <w:tc>
          <w:tcPr>
            <w:tcW w:w="1932" w:type="dxa"/>
            <w:tcBorders>
              <w:right w:val="nil"/>
            </w:tcBorders>
            <w:vAlign w:val="top"/>
          </w:tcPr>
          <w:p w14:paraId="0BD9BC02">
            <w:pPr>
              <w:pStyle w:val="6"/>
              <w:spacing w:before="90" w:line="195" w:lineRule="auto"/>
              <w:ind w:left="647"/>
              <w:rPr>
                <w:sz w:val="20"/>
                <w:szCs w:val="20"/>
              </w:rPr>
            </w:pPr>
            <w:r>
              <w:rPr>
                <w:spacing w:val="3"/>
                <w:sz w:val="20"/>
                <w:szCs w:val="20"/>
              </w:rPr>
              <w:t>0.006%</w:t>
            </w:r>
          </w:p>
        </w:tc>
      </w:tr>
      <w:tr w14:paraId="38880B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1936" w:type="dxa"/>
            <w:tcBorders>
              <w:left w:val="nil"/>
            </w:tcBorders>
            <w:vAlign w:val="top"/>
          </w:tcPr>
          <w:p w14:paraId="30ED6667">
            <w:pPr>
              <w:spacing w:before="54" w:line="221" w:lineRule="auto"/>
              <w:ind w:left="568"/>
              <w:rPr>
                <w:rFonts w:ascii="仿宋" w:hAnsi="仿宋" w:eastAsia="仿宋" w:cs="仿宋"/>
                <w:sz w:val="20"/>
                <w:szCs w:val="20"/>
              </w:rPr>
            </w:pPr>
            <w:r>
              <w:rPr>
                <w:rFonts w:ascii="仿宋" w:hAnsi="仿宋" w:eastAsia="仿宋" w:cs="仿宋"/>
                <w:spacing w:val="4"/>
                <w:sz w:val="20"/>
                <w:szCs w:val="20"/>
              </w:rPr>
              <w:t>商服用地</w:t>
            </w:r>
          </w:p>
        </w:tc>
        <w:tc>
          <w:tcPr>
            <w:tcW w:w="2415" w:type="dxa"/>
            <w:vAlign w:val="top"/>
          </w:tcPr>
          <w:p w14:paraId="22DA3D8F">
            <w:pPr>
              <w:spacing w:before="54" w:line="221" w:lineRule="auto"/>
              <w:ind w:left="281"/>
              <w:rPr>
                <w:rFonts w:ascii="仿宋" w:hAnsi="仿宋" w:eastAsia="仿宋" w:cs="仿宋"/>
                <w:sz w:val="20"/>
                <w:szCs w:val="20"/>
              </w:rPr>
            </w:pPr>
            <w:r>
              <w:rPr>
                <w:rFonts w:ascii="仿宋" w:hAnsi="仿宋" w:eastAsia="仿宋" w:cs="仿宋"/>
                <w:spacing w:val="7"/>
                <w:sz w:val="20"/>
                <w:szCs w:val="20"/>
              </w:rPr>
              <w:t>商业服务业设施用地</w:t>
            </w:r>
          </w:p>
        </w:tc>
        <w:tc>
          <w:tcPr>
            <w:tcW w:w="930" w:type="dxa"/>
            <w:vAlign w:val="top"/>
          </w:tcPr>
          <w:p w14:paraId="3D701D35">
            <w:pPr>
              <w:pStyle w:val="6"/>
              <w:spacing w:before="93" w:line="195" w:lineRule="auto"/>
              <w:ind w:left="414"/>
              <w:rPr>
                <w:sz w:val="20"/>
                <w:szCs w:val="20"/>
              </w:rPr>
            </w:pPr>
            <w:r>
              <w:rPr>
                <w:sz w:val="20"/>
                <w:szCs w:val="20"/>
              </w:rPr>
              <w:t>2</w:t>
            </w:r>
          </w:p>
        </w:tc>
        <w:tc>
          <w:tcPr>
            <w:tcW w:w="1305" w:type="dxa"/>
            <w:vAlign w:val="top"/>
          </w:tcPr>
          <w:p w14:paraId="09B3699D">
            <w:pPr>
              <w:pStyle w:val="6"/>
              <w:spacing w:before="93" w:line="195" w:lineRule="auto"/>
              <w:ind w:left="488"/>
              <w:rPr>
                <w:sz w:val="20"/>
                <w:szCs w:val="20"/>
              </w:rPr>
            </w:pPr>
            <w:r>
              <w:rPr>
                <w:spacing w:val="-2"/>
                <w:sz w:val="20"/>
                <w:szCs w:val="20"/>
              </w:rPr>
              <w:t>1.15</w:t>
            </w:r>
          </w:p>
        </w:tc>
        <w:tc>
          <w:tcPr>
            <w:tcW w:w="1932" w:type="dxa"/>
            <w:tcBorders>
              <w:right w:val="nil"/>
            </w:tcBorders>
            <w:vAlign w:val="top"/>
          </w:tcPr>
          <w:p w14:paraId="5A88E16D">
            <w:pPr>
              <w:pStyle w:val="6"/>
              <w:spacing w:before="93" w:line="195" w:lineRule="auto"/>
              <w:ind w:left="700"/>
              <w:rPr>
                <w:sz w:val="20"/>
                <w:szCs w:val="20"/>
              </w:rPr>
            </w:pPr>
            <w:r>
              <w:rPr>
                <w:spacing w:val="3"/>
                <w:sz w:val="20"/>
                <w:szCs w:val="20"/>
              </w:rPr>
              <w:t>0.06%</w:t>
            </w:r>
          </w:p>
        </w:tc>
      </w:tr>
      <w:tr w14:paraId="564C88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1936" w:type="dxa"/>
            <w:vMerge w:val="restart"/>
            <w:tcBorders>
              <w:left w:val="nil"/>
              <w:bottom w:val="nil"/>
            </w:tcBorders>
            <w:vAlign w:val="top"/>
          </w:tcPr>
          <w:p w14:paraId="4A426924">
            <w:pPr>
              <w:spacing w:before="210" w:line="232" w:lineRule="auto"/>
              <w:ind w:left="357"/>
              <w:rPr>
                <w:rFonts w:ascii="仿宋" w:hAnsi="仿宋" w:eastAsia="仿宋" w:cs="仿宋"/>
                <w:sz w:val="20"/>
                <w:szCs w:val="20"/>
              </w:rPr>
            </w:pPr>
            <w:r>
              <w:rPr>
                <w:rFonts w:ascii="仿宋" w:hAnsi="仿宋" w:eastAsia="仿宋" w:cs="仿宋"/>
                <w:spacing w:val="6"/>
                <w:sz w:val="20"/>
                <w:szCs w:val="20"/>
              </w:rPr>
              <w:t>工矿仓储用地</w:t>
            </w:r>
          </w:p>
        </w:tc>
        <w:tc>
          <w:tcPr>
            <w:tcW w:w="2415" w:type="dxa"/>
            <w:vAlign w:val="top"/>
          </w:tcPr>
          <w:p w14:paraId="67AFB28A">
            <w:pPr>
              <w:spacing w:before="55" w:line="220" w:lineRule="auto"/>
              <w:ind w:left="804"/>
              <w:rPr>
                <w:rFonts w:ascii="仿宋" w:hAnsi="仿宋" w:eastAsia="仿宋" w:cs="仿宋"/>
                <w:sz w:val="20"/>
                <w:szCs w:val="20"/>
              </w:rPr>
            </w:pPr>
            <w:r>
              <w:rPr>
                <w:rFonts w:ascii="仿宋" w:hAnsi="仿宋" w:eastAsia="仿宋" w:cs="仿宋"/>
                <w:spacing w:val="4"/>
                <w:sz w:val="20"/>
                <w:szCs w:val="20"/>
              </w:rPr>
              <w:t>工业用地</w:t>
            </w:r>
          </w:p>
        </w:tc>
        <w:tc>
          <w:tcPr>
            <w:tcW w:w="930" w:type="dxa"/>
            <w:vAlign w:val="top"/>
          </w:tcPr>
          <w:p w14:paraId="1B2C170C">
            <w:pPr>
              <w:pStyle w:val="6"/>
              <w:spacing w:before="93" w:line="195" w:lineRule="auto"/>
              <w:ind w:left="434"/>
              <w:rPr>
                <w:sz w:val="20"/>
                <w:szCs w:val="20"/>
              </w:rPr>
            </w:pPr>
            <w:r>
              <w:rPr>
                <w:sz w:val="20"/>
                <w:szCs w:val="20"/>
              </w:rPr>
              <w:t>1</w:t>
            </w:r>
          </w:p>
        </w:tc>
        <w:tc>
          <w:tcPr>
            <w:tcW w:w="1305" w:type="dxa"/>
            <w:vAlign w:val="top"/>
          </w:tcPr>
          <w:p w14:paraId="0ABD8057">
            <w:pPr>
              <w:pStyle w:val="6"/>
              <w:spacing w:before="93" w:line="195" w:lineRule="auto"/>
              <w:ind w:left="473"/>
              <w:rPr>
                <w:sz w:val="20"/>
                <w:szCs w:val="20"/>
              </w:rPr>
            </w:pPr>
            <w:r>
              <w:rPr>
                <w:spacing w:val="2"/>
                <w:sz w:val="20"/>
                <w:szCs w:val="20"/>
              </w:rPr>
              <w:t>3.17</w:t>
            </w:r>
          </w:p>
        </w:tc>
        <w:tc>
          <w:tcPr>
            <w:tcW w:w="1932" w:type="dxa"/>
            <w:tcBorders>
              <w:right w:val="nil"/>
            </w:tcBorders>
            <w:vAlign w:val="top"/>
          </w:tcPr>
          <w:p w14:paraId="3F580472">
            <w:pPr>
              <w:pStyle w:val="6"/>
              <w:spacing w:before="93" w:line="195" w:lineRule="auto"/>
              <w:ind w:left="647"/>
              <w:rPr>
                <w:sz w:val="20"/>
                <w:szCs w:val="20"/>
              </w:rPr>
            </w:pPr>
            <w:r>
              <w:rPr>
                <w:spacing w:val="-1"/>
                <w:sz w:val="20"/>
                <w:szCs w:val="20"/>
              </w:rPr>
              <w:t>0.</w:t>
            </w:r>
            <w:r>
              <w:rPr>
                <w:spacing w:val="-23"/>
                <w:sz w:val="20"/>
                <w:szCs w:val="20"/>
              </w:rPr>
              <w:t xml:space="preserve"> </w:t>
            </w:r>
            <w:r>
              <w:rPr>
                <w:spacing w:val="-1"/>
                <w:sz w:val="20"/>
                <w:szCs w:val="20"/>
              </w:rPr>
              <w:t>175%</w:t>
            </w:r>
          </w:p>
        </w:tc>
      </w:tr>
      <w:tr w14:paraId="081BB4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1936" w:type="dxa"/>
            <w:vMerge w:val="continue"/>
            <w:tcBorders>
              <w:top w:val="nil"/>
              <w:left w:val="nil"/>
            </w:tcBorders>
            <w:vAlign w:val="top"/>
          </w:tcPr>
          <w:p w14:paraId="7F4ABE64">
            <w:pPr>
              <w:rPr>
                <w:rFonts w:ascii="Arial"/>
                <w:sz w:val="21"/>
              </w:rPr>
            </w:pPr>
          </w:p>
        </w:tc>
        <w:tc>
          <w:tcPr>
            <w:tcW w:w="2415" w:type="dxa"/>
            <w:vAlign w:val="top"/>
          </w:tcPr>
          <w:p w14:paraId="688AD5E2">
            <w:pPr>
              <w:spacing w:before="58" w:line="217" w:lineRule="auto"/>
              <w:ind w:left="588"/>
              <w:rPr>
                <w:rFonts w:ascii="仿宋" w:hAnsi="仿宋" w:eastAsia="仿宋" w:cs="仿宋"/>
                <w:sz w:val="20"/>
                <w:szCs w:val="20"/>
              </w:rPr>
            </w:pPr>
            <w:r>
              <w:rPr>
                <w:rFonts w:ascii="仿宋" w:hAnsi="仿宋" w:eastAsia="仿宋" w:cs="仿宋"/>
                <w:spacing w:val="7"/>
                <w:sz w:val="20"/>
                <w:szCs w:val="20"/>
              </w:rPr>
              <w:t>物流仓储用地</w:t>
            </w:r>
          </w:p>
        </w:tc>
        <w:tc>
          <w:tcPr>
            <w:tcW w:w="930" w:type="dxa"/>
            <w:vAlign w:val="top"/>
          </w:tcPr>
          <w:p w14:paraId="7DDCD45C">
            <w:pPr>
              <w:pStyle w:val="6"/>
              <w:spacing w:before="94" w:line="195" w:lineRule="auto"/>
              <w:ind w:left="414"/>
              <w:rPr>
                <w:sz w:val="20"/>
                <w:szCs w:val="20"/>
              </w:rPr>
            </w:pPr>
            <w:r>
              <w:rPr>
                <w:sz w:val="20"/>
                <w:szCs w:val="20"/>
              </w:rPr>
              <w:t>2</w:t>
            </w:r>
          </w:p>
        </w:tc>
        <w:tc>
          <w:tcPr>
            <w:tcW w:w="1305" w:type="dxa"/>
            <w:vAlign w:val="top"/>
          </w:tcPr>
          <w:p w14:paraId="10CA6411">
            <w:pPr>
              <w:pStyle w:val="6"/>
              <w:spacing w:before="94" w:line="195" w:lineRule="auto"/>
              <w:ind w:left="472"/>
              <w:rPr>
                <w:sz w:val="20"/>
                <w:szCs w:val="20"/>
              </w:rPr>
            </w:pPr>
            <w:r>
              <w:rPr>
                <w:spacing w:val="2"/>
                <w:sz w:val="20"/>
                <w:szCs w:val="20"/>
              </w:rPr>
              <w:t>0.04</w:t>
            </w:r>
          </w:p>
        </w:tc>
        <w:tc>
          <w:tcPr>
            <w:tcW w:w="1932" w:type="dxa"/>
            <w:tcBorders>
              <w:right w:val="nil"/>
            </w:tcBorders>
            <w:vAlign w:val="top"/>
          </w:tcPr>
          <w:p w14:paraId="1DEE52E8">
            <w:pPr>
              <w:pStyle w:val="6"/>
              <w:spacing w:before="94" w:line="195" w:lineRule="auto"/>
              <w:ind w:left="700"/>
              <w:rPr>
                <w:sz w:val="20"/>
                <w:szCs w:val="20"/>
              </w:rPr>
            </w:pPr>
            <w:r>
              <w:rPr>
                <w:spacing w:val="3"/>
                <w:sz w:val="20"/>
                <w:szCs w:val="20"/>
              </w:rPr>
              <w:t>0.00%</w:t>
            </w:r>
          </w:p>
        </w:tc>
      </w:tr>
      <w:tr w14:paraId="6F9FF6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1936" w:type="dxa"/>
            <w:vMerge w:val="restart"/>
            <w:tcBorders>
              <w:left w:val="nil"/>
              <w:bottom w:val="nil"/>
            </w:tcBorders>
            <w:vAlign w:val="top"/>
          </w:tcPr>
          <w:p w14:paraId="2E829C7B">
            <w:pPr>
              <w:spacing w:line="302" w:lineRule="auto"/>
              <w:rPr>
                <w:rFonts w:ascii="Arial"/>
                <w:sz w:val="21"/>
              </w:rPr>
            </w:pPr>
          </w:p>
          <w:p w14:paraId="2A48FC00">
            <w:pPr>
              <w:spacing w:before="65" w:line="232" w:lineRule="auto"/>
              <w:ind w:left="357"/>
              <w:rPr>
                <w:rFonts w:ascii="仿宋" w:hAnsi="仿宋" w:eastAsia="仿宋" w:cs="仿宋"/>
                <w:sz w:val="20"/>
                <w:szCs w:val="20"/>
              </w:rPr>
            </w:pPr>
            <w:r>
              <w:rPr>
                <w:rFonts w:ascii="仿宋" w:hAnsi="仿宋" w:eastAsia="仿宋" w:cs="仿宋"/>
                <w:spacing w:val="6"/>
                <w:sz w:val="20"/>
                <w:szCs w:val="20"/>
              </w:rPr>
              <w:t>交通运输用地</w:t>
            </w:r>
          </w:p>
        </w:tc>
        <w:tc>
          <w:tcPr>
            <w:tcW w:w="2415" w:type="dxa"/>
            <w:vAlign w:val="top"/>
          </w:tcPr>
          <w:p w14:paraId="61B41666">
            <w:pPr>
              <w:spacing w:before="58" w:line="217" w:lineRule="auto"/>
              <w:ind w:left="803"/>
              <w:rPr>
                <w:rFonts w:ascii="仿宋" w:hAnsi="仿宋" w:eastAsia="仿宋" w:cs="仿宋"/>
                <w:sz w:val="20"/>
                <w:szCs w:val="20"/>
              </w:rPr>
            </w:pPr>
            <w:r>
              <w:rPr>
                <w:rFonts w:ascii="仿宋" w:hAnsi="仿宋" w:eastAsia="仿宋" w:cs="仿宋"/>
                <w:spacing w:val="4"/>
                <w:sz w:val="20"/>
                <w:szCs w:val="20"/>
              </w:rPr>
              <w:t>公路用地</w:t>
            </w:r>
          </w:p>
        </w:tc>
        <w:tc>
          <w:tcPr>
            <w:tcW w:w="930" w:type="dxa"/>
            <w:vAlign w:val="top"/>
          </w:tcPr>
          <w:p w14:paraId="6D309EE5">
            <w:pPr>
              <w:pStyle w:val="6"/>
              <w:spacing w:before="95" w:line="195" w:lineRule="auto"/>
              <w:ind w:left="434"/>
              <w:rPr>
                <w:sz w:val="20"/>
                <w:szCs w:val="20"/>
              </w:rPr>
            </w:pPr>
            <w:r>
              <w:rPr>
                <w:sz w:val="20"/>
                <w:szCs w:val="20"/>
              </w:rPr>
              <w:t>1</w:t>
            </w:r>
          </w:p>
        </w:tc>
        <w:tc>
          <w:tcPr>
            <w:tcW w:w="1305" w:type="dxa"/>
            <w:vAlign w:val="top"/>
          </w:tcPr>
          <w:p w14:paraId="012ACB99">
            <w:pPr>
              <w:pStyle w:val="6"/>
              <w:spacing w:before="94" w:line="195" w:lineRule="auto"/>
              <w:ind w:left="438"/>
              <w:rPr>
                <w:sz w:val="20"/>
                <w:szCs w:val="20"/>
              </w:rPr>
            </w:pPr>
            <w:r>
              <w:rPr>
                <w:spacing w:val="-1"/>
                <w:sz w:val="20"/>
                <w:szCs w:val="20"/>
              </w:rPr>
              <w:t>16.13</w:t>
            </w:r>
          </w:p>
        </w:tc>
        <w:tc>
          <w:tcPr>
            <w:tcW w:w="1932" w:type="dxa"/>
            <w:tcBorders>
              <w:right w:val="nil"/>
            </w:tcBorders>
            <w:vAlign w:val="top"/>
          </w:tcPr>
          <w:p w14:paraId="369E2292">
            <w:pPr>
              <w:pStyle w:val="6"/>
              <w:spacing w:before="94" w:line="195" w:lineRule="auto"/>
              <w:ind w:left="700"/>
              <w:rPr>
                <w:sz w:val="20"/>
                <w:szCs w:val="20"/>
              </w:rPr>
            </w:pPr>
            <w:r>
              <w:rPr>
                <w:spacing w:val="3"/>
                <w:sz w:val="20"/>
                <w:szCs w:val="20"/>
              </w:rPr>
              <w:t>0.89%</w:t>
            </w:r>
          </w:p>
        </w:tc>
      </w:tr>
      <w:tr w14:paraId="25D5C3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1936" w:type="dxa"/>
            <w:vMerge w:val="continue"/>
            <w:tcBorders>
              <w:top w:val="nil"/>
              <w:left w:val="nil"/>
              <w:bottom w:val="nil"/>
            </w:tcBorders>
            <w:vAlign w:val="top"/>
          </w:tcPr>
          <w:p w14:paraId="7A47C934">
            <w:pPr>
              <w:rPr>
                <w:rFonts w:ascii="Arial"/>
                <w:sz w:val="21"/>
              </w:rPr>
            </w:pPr>
          </w:p>
        </w:tc>
        <w:tc>
          <w:tcPr>
            <w:tcW w:w="2415" w:type="dxa"/>
            <w:vAlign w:val="top"/>
          </w:tcPr>
          <w:p w14:paraId="38BBE645">
            <w:pPr>
              <w:spacing w:before="60" w:line="216" w:lineRule="auto"/>
              <w:ind w:left="800"/>
              <w:rPr>
                <w:rFonts w:ascii="仿宋" w:hAnsi="仿宋" w:eastAsia="仿宋" w:cs="仿宋"/>
                <w:sz w:val="20"/>
                <w:szCs w:val="20"/>
              </w:rPr>
            </w:pPr>
            <w:r>
              <w:rPr>
                <w:rFonts w:ascii="仿宋" w:hAnsi="仿宋" w:eastAsia="仿宋" w:cs="仿宋"/>
                <w:spacing w:val="5"/>
                <w:sz w:val="20"/>
                <w:szCs w:val="20"/>
              </w:rPr>
              <w:t>农村道路</w:t>
            </w:r>
          </w:p>
        </w:tc>
        <w:tc>
          <w:tcPr>
            <w:tcW w:w="930" w:type="dxa"/>
            <w:vAlign w:val="top"/>
          </w:tcPr>
          <w:p w14:paraId="05CB6FE6">
            <w:pPr>
              <w:pStyle w:val="6"/>
              <w:spacing w:before="95" w:line="195" w:lineRule="auto"/>
              <w:ind w:left="361"/>
              <w:rPr>
                <w:sz w:val="20"/>
                <w:szCs w:val="20"/>
              </w:rPr>
            </w:pPr>
            <w:r>
              <w:rPr>
                <w:spacing w:val="3"/>
                <w:sz w:val="20"/>
                <w:szCs w:val="20"/>
              </w:rPr>
              <w:t>42</w:t>
            </w:r>
          </w:p>
        </w:tc>
        <w:tc>
          <w:tcPr>
            <w:tcW w:w="1305" w:type="dxa"/>
            <w:vAlign w:val="top"/>
          </w:tcPr>
          <w:p w14:paraId="29450E49">
            <w:pPr>
              <w:pStyle w:val="6"/>
              <w:spacing w:before="95" w:line="195" w:lineRule="auto"/>
              <w:ind w:left="422"/>
              <w:rPr>
                <w:sz w:val="20"/>
                <w:szCs w:val="20"/>
              </w:rPr>
            </w:pPr>
            <w:r>
              <w:rPr>
                <w:spacing w:val="2"/>
                <w:sz w:val="20"/>
                <w:szCs w:val="20"/>
              </w:rPr>
              <w:t>34.38</w:t>
            </w:r>
          </w:p>
        </w:tc>
        <w:tc>
          <w:tcPr>
            <w:tcW w:w="1932" w:type="dxa"/>
            <w:tcBorders>
              <w:right w:val="nil"/>
            </w:tcBorders>
            <w:vAlign w:val="top"/>
          </w:tcPr>
          <w:p w14:paraId="1A14BF22">
            <w:pPr>
              <w:pStyle w:val="6"/>
              <w:spacing w:before="95" w:line="195" w:lineRule="auto"/>
              <w:ind w:left="717"/>
              <w:rPr>
                <w:sz w:val="20"/>
                <w:szCs w:val="20"/>
              </w:rPr>
            </w:pPr>
            <w:r>
              <w:rPr>
                <w:sz w:val="20"/>
                <w:szCs w:val="20"/>
              </w:rPr>
              <w:t>1.90%</w:t>
            </w:r>
          </w:p>
        </w:tc>
      </w:tr>
      <w:tr w14:paraId="04C692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1936" w:type="dxa"/>
            <w:vMerge w:val="continue"/>
            <w:tcBorders>
              <w:top w:val="nil"/>
              <w:left w:val="nil"/>
            </w:tcBorders>
            <w:vAlign w:val="top"/>
          </w:tcPr>
          <w:p w14:paraId="604B1FC1">
            <w:pPr>
              <w:rPr>
                <w:rFonts w:ascii="Arial"/>
                <w:sz w:val="21"/>
              </w:rPr>
            </w:pPr>
          </w:p>
        </w:tc>
        <w:tc>
          <w:tcPr>
            <w:tcW w:w="2415" w:type="dxa"/>
            <w:vAlign w:val="top"/>
          </w:tcPr>
          <w:p w14:paraId="50A5A1DD">
            <w:pPr>
              <w:spacing w:before="60" w:line="216" w:lineRule="auto"/>
              <w:ind w:left="384"/>
              <w:rPr>
                <w:rFonts w:ascii="仿宋" w:hAnsi="仿宋" w:eastAsia="仿宋" w:cs="仿宋"/>
                <w:sz w:val="20"/>
                <w:szCs w:val="20"/>
              </w:rPr>
            </w:pPr>
            <w:r>
              <w:rPr>
                <w:rFonts w:ascii="仿宋" w:hAnsi="仿宋" w:eastAsia="仿宋" w:cs="仿宋"/>
                <w:spacing w:val="7"/>
                <w:sz w:val="20"/>
                <w:szCs w:val="20"/>
              </w:rPr>
              <w:t>交通服务场站用地</w:t>
            </w:r>
          </w:p>
        </w:tc>
        <w:tc>
          <w:tcPr>
            <w:tcW w:w="930" w:type="dxa"/>
            <w:vAlign w:val="top"/>
          </w:tcPr>
          <w:p w14:paraId="7784F7C3">
            <w:pPr>
              <w:pStyle w:val="6"/>
              <w:spacing w:before="96" w:line="195" w:lineRule="auto"/>
              <w:ind w:left="434"/>
              <w:rPr>
                <w:sz w:val="20"/>
                <w:szCs w:val="20"/>
              </w:rPr>
            </w:pPr>
            <w:r>
              <w:rPr>
                <w:sz w:val="20"/>
                <w:szCs w:val="20"/>
              </w:rPr>
              <w:t>1</w:t>
            </w:r>
          </w:p>
        </w:tc>
        <w:tc>
          <w:tcPr>
            <w:tcW w:w="1305" w:type="dxa"/>
            <w:vAlign w:val="top"/>
          </w:tcPr>
          <w:p w14:paraId="1C5EAC87">
            <w:pPr>
              <w:pStyle w:val="6"/>
              <w:spacing w:before="96" w:line="195" w:lineRule="auto"/>
              <w:ind w:left="472"/>
              <w:rPr>
                <w:sz w:val="20"/>
                <w:szCs w:val="20"/>
              </w:rPr>
            </w:pPr>
            <w:r>
              <w:rPr>
                <w:spacing w:val="2"/>
                <w:sz w:val="20"/>
                <w:szCs w:val="20"/>
              </w:rPr>
              <w:t>0.19</w:t>
            </w:r>
          </w:p>
        </w:tc>
        <w:tc>
          <w:tcPr>
            <w:tcW w:w="1932" w:type="dxa"/>
            <w:tcBorders>
              <w:right w:val="nil"/>
            </w:tcBorders>
            <w:vAlign w:val="top"/>
          </w:tcPr>
          <w:p w14:paraId="0A660C61">
            <w:pPr>
              <w:pStyle w:val="6"/>
              <w:spacing w:before="96" w:line="195" w:lineRule="auto"/>
              <w:ind w:left="700"/>
              <w:rPr>
                <w:sz w:val="20"/>
                <w:szCs w:val="20"/>
              </w:rPr>
            </w:pPr>
            <w:r>
              <w:rPr>
                <w:spacing w:val="3"/>
                <w:sz w:val="20"/>
                <w:szCs w:val="20"/>
              </w:rPr>
              <w:t>0.01%</w:t>
            </w:r>
          </w:p>
        </w:tc>
      </w:tr>
      <w:tr w14:paraId="098051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4351" w:type="dxa"/>
            <w:gridSpan w:val="2"/>
            <w:tcBorders>
              <w:left w:val="nil"/>
            </w:tcBorders>
            <w:vAlign w:val="top"/>
          </w:tcPr>
          <w:p w14:paraId="7B80A540">
            <w:pPr>
              <w:spacing w:before="61" w:line="215" w:lineRule="auto"/>
              <w:ind w:left="1767"/>
              <w:rPr>
                <w:rFonts w:ascii="仿宋" w:hAnsi="仿宋" w:eastAsia="仿宋" w:cs="仿宋"/>
                <w:sz w:val="20"/>
                <w:szCs w:val="20"/>
              </w:rPr>
            </w:pPr>
            <w:r>
              <w:rPr>
                <w:rFonts w:ascii="仿宋" w:hAnsi="仿宋" w:eastAsia="仿宋" w:cs="仿宋"/>
                <w:spacing w:val="6"/>
                <w:sz w:val="20"/>
                <w:szCs w:val="20"/>
              </w:rPr>
              <w:t>特殊用地</w:t>
            </w:r>
          </w:p>
        </w:tc>
        <w:tc>
          <w:tcPr>
            <w:tcW w:w="930" w:type="dxa"/>
            <w:vAlign w:val="top"/>
          </w:tcPr>
          <w:p w14:paraId="7E3DB8A1">
            <w:pPr>
              <w:pStyle w:val="6"/>
              <w:spacing w:before="99" w:line="195" w:lineRule="auto"/>
              <w:ind w:left="434"/>
              <w:rPr>
                <w:sz w:val="20"/>
                <w:szCs w:val="20"/>
              </w:rPr>
            </w:pPr>
            <w:r>
              <w:rPr>
                <w:sz w:val="20"/>
                <w:szCs w:val="20"/>
              </w:rPr>
              <w:t>1</w:t>
            </w:r>
          </w:p>
        </w:tc>
        <w:tc>
          <w:tcPr>
            <w:tcW w:w="1305" w:type="dxa"/>
            <w:vAlign w:val="top"/>
          </w:tcPr>
          <w:p w14:paraId="623AEA76">
            <w:pPr>
              <w:pStyle w:val="6"/>
              <w:spacing w:before="99" w:line="195" w:lineRule="auto"/>
              <w:ind w:left="472"/>
              <w:rPr>
                <w:sz w:val="20"/>
                <w:szCs w:val="20"/>
              </w:rPr>
            </w:pPr>
            <w:r>
              <w:rPr>
                <w:spacing w:val="2"/>
                <w:sz w:val="20"/>
                <w:szCs w:val="20"/>
              </w:rPr>
              <w:t>0.21</w:t>
            </w:r>
          </w:p>
        </w:tc>
        <w:tc>
          <w:tcPr>
            <w:tcW w:w="1932" w:type="dxa"/>
            <w:tcBorders>
              <w:right w:val="nil"/>
            </w:tcBorders>
            <w:vAlign w:val="top"/>
          </w:tcPr>
          <w:p w14:paraId="4291F217">
            <w:pPr>
              <w:pStyle w:val="6"/>
              <w:spacing w:before="99" w:line="195" w:lineRule="auto"/>
              <w:ind w:left="700"/>
              <w:rPr>
                <w:sz w:val="20"/>
                <w:szCs w:val="20"/>
              </w:rPr>
            </w:pPr>
            <w:r>
              <w:rPr>
                <w:spacing w:val="3"/>
                <w:sz w:val="20"/>
                <w:szCs w:val="20"/>
              </w:rPr>
              <w:t>0.01%</w:t>
            </w:r>
          </w:p>
        </w:tc>
      </w:tr>
      <w:tr w14:paraId="5CF511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1936" w:type="dxa"/>
            <w:vMerge w:val="restart"/>
            <w:tcBorders>
              <w:left w:val="nil"/>
              <w:bottom w:val="nil"/>
            </w:tcBorders>
            <w:vAlign w:val="top"/>
          </w:tcPr>
          <w:p w14:paraId="61591F1A">
            <w:pPr>
              <w:spacing w:line="478" w:lineRule="auto"/>
              <w:rPr>
                <w:rFonts w:ascii="Arial"/>
                <w:sz w:val="21"/>
              </w:rPr>
            </w:pPr>
          </w:p>
          <w:p w14:paraId="1E36E36A">
            <w:pPr>
              <w:spacing w:before="65" w:line="255" w:lineRule="auto"/>
              <w:ind w:left="878" w:right="128" w:hanging="738"/>
              <w:rPr>
                <w:rFonts w:ascii="仿宋" w:hAnsi="仿宋" w:eastAsia="仿宋" w:cs="仿宋"/>
                <w:sz w:val="20"/>
                <w:szCs w:val="20"/>
              </w:rPr>
            </w:pPr>
            <w:r>
              <w:rPr>
                <w:rFonts w:ascii="仿宋" w:hAnsi="仿宋" w:eastAsia="仿宋" w:cs="仿宋"/>
                <w:spacing w:val="8"/>
                <w:sz w:val="20"/>
                <w:szCs w:val="20"/>
              </w:rPr>
              <w:t>水域及水利设施用</w:t>
            </w:r>
            <w:r>
              <w:rPr>
                <w:rFonts w:ascii="仿宋" w:hAnsi="仿宋" w:eastAsia="仿宋" w:cs="仿宋"/>
                <w:sz w:val="20"/>
                <w:szCs w:val="20"/>
              </w:rPr>
              <w:t>地</w:t>
            </w:r>
          </w:p>
        </w:tc>
        <w:tc>
          <w:tcPr>
            <w:tcW w:w="2415" w:type="dxa"/>
            <w:vAlign w:val="top"/>
          </w:tcPr>
          <w:p w14:paraId="170BCE49">
            <w:pPr>
              <w:spacing w:before="61" w:line="215" w:lineRule="auto"/>
              <w:ind w:left="805"/>
              <w:rPr>
                <w:rFonts w:ascii="仿宋" w:hAnsi="仿宋" w:eastAsia="仿宋" w:cs="仿宋"/>
                <w:sz w:val="20"/>
                <w:szCs w:val="20"/>
              </w:rPr>
            </w:pPr>
            <w:r>
              <w:rPr>
                <w:rFonts w:ascii="仿宋" w:hAnsi="仿宋" w:eastAsia="仿宋" w:cs="仿宋"/>
                <w:spacing w:val="4"/>
                <w:sz w:val="20"/>
                <w:szCs w:val="20"/>
              </w:rPr>
              <w:t>河流水面</w:t>
            </w:r>
          </w:p>
        </w:tc>
        <w:tc>
          <w:tcPr>
            <w:tcW w:w="930" w:type="dxa"/>
            <w:vAlign w:val="top"/>
          </w:tcPr>
          <w:p w14:paraId="73F2D23D">
            <w:pPr>
              <w:pStyle w:val="6"/>
              <w:spacing w:before="99" w:line="195" w:lineRule="auto"/>
              <w:ind w:left="434"/>
              <w:rPr>
                <w:sz w:val="20"/>
                <w:szCs w:val="20"/>
              </w:rPr>
            </w:pPr>
            <w:r>
              <w:rPr>
                <w:sz w:val="20"/>
                <w:szCs w:val="20"/>
              </w:rPr>
              <w:t>1</w:t>
            </w:r>
          </w:p>
        </w:tc>
        <w:tc>
          <w:tcPr>
            <w:tcW w:w="1305" w:type="dxa"/>
            <w:vAlign w:val="top"/>
          </w:tcPr>
          <w:p w14:paraId="7D0CDB47">
            <w:pPr>
              <w:pStyle w:val="6"/>
              <w:spacing w:before="99" w:line="195" w:lineRule="auto"/>
              <w:ind w:left="473"/>
              <w:rPr>
                <w:sz w:val="20"/>
                <w:szCs w:val="20"/>
              </w:rPr>
            </w:pPr>
            <w:r>
              <w:rPr>
                <w:spacing w:val="2"/>
                <w:sz w:val="20"/>
                <w:szCs w:val="20"/>
              </w:rPr>
              <w:t>3.64</w:t>
            </w:r>
          </w:p>
        </w:tc>
        <w:tc>
          <w:tcPr>
            <w:tcW w:w="1932" w:type="dxa"/>
            <w:tcBorders>
              <w:right w:val="nil"/>
            </w:tcBorders>
            <w:vAlign w:val="top"/>
          </w:tcPr>
          <w:p w14:paraId="0E582413">
            <w:pPr>
              <w:pStyle w:val="6"/>
              <w:spacing w:before="99" w:line="195" w:lineRule="auto"/>
              <w:ind w:left="700"/>
              <w:rPr>
                <w:sz w:val="20"/>
                <w:szCs w:val="20"/>
              </w:rPr>
            </w:pPr>
            <w:r>
              <w:rPr>
                <w:spacing w:val="3"/>
                <w:sz w:val="20"/>
                <w:szCs w:val="20"/>
              </w:rPr>
              <w:t>0.20%</w:t>
            </w:r>
          </w:p>
        </w:tc>
      </w:tr>
      <w:tr w14:paraId="068621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1936" w:type="dxa"/>
            <w:vMerge w:val="continue"/>
            <w:tcBorders>
              <w:top w:val="nil"/>
              <w:left w:val="nil"/>
              <w:bottom w:val="nil"/>
            </w:tcBorders>
            <w:vAlign w:val="top"/>
          </w:tcPr>
          <w:p w14:paraId="342D47D6">
            <w:pPr>
              <w:rPr>
                <w:rFonts w:ascii="Arial"/>
                <w:sz w:val="21"/>
              </w:rPr>
            </w:pPr>
          </w:p>
        </w:tc>
        <w:tc>
          <w:tcPr>
            <w:tcW w:w="2415" w:type="dxa"/>
            <w:vAlign w:val="top"/>
          </w:tcPr>
          <w:p w14:paraId="3D14A573">
            <w:pPr>
              <w:spacing w:before="64" w:line="212" w:lineRule="auto"/>
              <w:ind w:left="800"/>
              <w:rPr>
                <w:rFonts w:ascii="仿宋" w:hAnsi="仿宋" w:eastAsia="仿宋" w:cs="仿宋"/>
                <w:sz w:val="20"/>
                <w:szCs w:val="20"/>
              </w:rPr>
            </w:pPr>
            <w:r>
              <w:rPr>
                <w:rFonts w:ascii="仿宋" w:hAnsi="仿宋" w:eastAsia="仿宋" w:cs="仿宋"/>
                <w:spacing w:val="5"/>
                <w:sz w:val="20"/>
                <w:szCs w:val="20"/>
              </w:rPr>
              <w:t>坑塘水面</w:t>
            </w:r>
          </w:p>
        </w:tc>
        <w:tc>
          <w:tcPr>
            <w:tcW w:w="930" w:type="dxa"/>
            <w:vAlign w:val="top"/>
          </w:tcPr>
          <w:p w14:paraId="08C1AD39">
            <w:pPr>
              <w:pStyle w:val="6"/>
              <w:spacing w:before="100" w:line="195" w:lineRule="auto"/>
              <w:ind w:left="382"/>
              <w:rPr>
                <w:sz w:val="20"/>
                <w:szCs w:val="20"/>
              </w:rPr>
            </w:pPr>
            <w:r>
              <w:rPr>
                <w:spacing w:val="-8"/>
                <w:sz w:val="20"/>
                <w:szCs w:val="20"/>
              </w:rPr>
              <w:t>15</w:t>
            </w:r>
          </w:p>
        </w:tc>
        <w:tc>
          <w:tcPr>
            <w:tcW w:w="1305" w:type="dxa"/>
            <w:vAlign w:val="top"/>
          </w:tcPr>
          <w:p w14:paraId="7D9A22A5">
            <w:pPr>
              <w:pStyle w:val="6"/>
              <w:spacing w:before="100" w:line="195" w:lineRule="auto"/>
              <w:ind w:left="438"/>
              <w:rPr>
                <w:sz w:val="20"/>
                <w:szCs w:val="20"/>
              </w:rPr>
            </w:pPr>
            <w:r>
              <w:rPr>
                <w:spacing w:val="-1"/>
                <w:sz w:val="20"/>
                <w:szCs w:val="20"/>
              </w:rPr>
              <w:t>10.08</w:t>
            </w:r>
          </w:p>
        </w:tc>
        <w:tc>
          <w:tcPr>
            <w:tcW w:w="1932" w:type="dxa"/>
            <w:tcBorders>
              <w:right w:val="nil"/>
            </w:tcBorders>
            <w:vAlign w:val="top"/>
          </w:tcPr>
          <w:p w14:paraId="1C53CC9B">
            <w:pPr>
              <w:pStyle w:val="6"/>
              <w:spacing w:before="100" w:line="195" w:lineRule="auto"/>
              <w:ind w:left="700"/>
              <w:rPr>
                <w:sz w:val="20"/>
                <w:szCs w:val="20"/>
              </w:rPr>
            </w:pPr>
            <w:r>
              <w:rPr>
                <w:spacing w:val="3"/>
                <w:sz w:val="20"/>
                <w:szCs w:val="20"/>
              </w:rPr>
              <w:t>0.56%</w:t>
            </w:r>
          </w:p>
        </w:tc>
      </w:tr>
      <w:tr w14:paraId="33F04F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1936" w:type="dxa"/>
            <w:vMerge w:val="continue"/>
            <w:tcBorders>
              <w:top w:val="nil"/>
              <w:left w:val="nil"/>
              <w:bottom w:val="nil"/>
            </w:tcBorders>
            <w:vAlign w:val="top"/>
          </w:tcPr>
          <w:p w14:paraId="4A6DF4F7">
            <w:pPr>
              <w:rPr>
                <w:rFonts w:ascii="Arial"/>
                <w:sz w:val="21"/>
              </w:rPr>
            </w:pPr>
          </w:p>
        </w:tc>
        <w:tc>
          <w:tcPr>
            <w:tcW w:w="2415" w:type="dxa"/>
            <w:vAlign w:val="top"/>
          </w:tcPr>
          <w:p w14:paraId="148F642C">
            <w:pPr>
              <w:spacing w:before="65" w:line="211" w:lineRule="auto"/>
              <w:ind w:left="1009"/>
              <w:rPr>
                <w:rFonts w:ascii="仿宋" w:hAnsi="仿宋" w:eastAsia="仿宋" w:cs="仿宋"/>
                <w:sz w:val="20"/>
                <w:szCs w:val="20"/>
              </w:rPr>
            </w:pPr>
            <w:r>
              <w:rPr>
                <w:rFonts w:ascii="仿宋" w:hAnsi="仿宋" w:eastAsia="仿宋" w:cs="仿宋"/>
                <w:spacing w:val="1"/>
                <w:sz w:val="20"/>
                <w:szCs w:val="20"/>
              </w:rPr>
              <w:t>沟渠</w:t>
            </w:r>
          </w:p>
        </w:tc>
        <w:tc>
          <w:tcPr>
            <w:tcW w:w="930" w:type="dxa"/>
            <w:vAlign w:val="top"/>
          </w:tcPr>
          <w:p w14:paraId="174AA835">
            <w:pPr>
              <w:pStyle w:val="6"/>
              <w:spacing w:before="100" w:line="195" w:lineRule="auto"/>
              <w:ind w:left="382"/>
              <w:rPr>
                <w:sz w:val="20"/>
                <w:szCs w:val="20"/>
              </w:rPr>
            </w:pPr>
            <w:r>
              <w:rPr>
                <w:spacing w:val="-8"/>
                <w:sz w:val="20"/>
                <w:szCs w:val="20"/>
              </w:rPr>
              <w:t>15</w:t>
            </w:r>
          </w:p>
        </w:tc>
        <w:tc>
          <w:tcPr>
            <w:tcW w:w="1305" w:type="dxa"/>
            <w:vAlign w:val="top"/>
          </w:tcPr>
          <w:p w14:paraId="20DE6A15">
            <w:pPr>
              <w:pStyle w:val="6"/>
              <w:spacing w:before="100" w:line="195" w:lineRule="auto"/>
              <w:ind w:left="472"/>
              <w:rPr>
                <w:sz w:val="20"/>
                <w:szCs w:val="20"/>
              </w:rPr>
            </w:pPr>
            <w:r>
              <w:rPr>
                <w:spacing w:val="2"/>
                <w:sz w:val="20"/>
                <w:szCs w:val="20"/>
              </w:rPr>
              <w:t>9.32</w:t>
            </w:r>
          </w:p>
        </w:tc>
        <w:tc>
          <w:tcPr>
            <w:tcW w:w="1932" w:type="dxa"/>
            <w:tcBorders>
              <w:right w:val="nil"/>
            </w:tcBorders>
            <w:vAlign w:val="top"/>
          </w:tcPr>
          <w:p w14:paraId="03BFFD8D">
            <w:pPr>
              <w:pStyle w:val="6"/>
              <w:spacing w:before="100" w:line="195" w:lineRule="auto"/>
              <w:ind w:left="700"/>
              <w:rPr>
                <w:sz w:val="20"/>
                <w:szCs w:val="20"/>
              </w:rPr>
            </w:pPr>
            <w:r>
              <w:rPr>
                <w:spacing w:val="3"/>
                <w:sz w:val="20"/>
                <w:szCs w:val="20"/>
              </w:rPr>
              <w:t>0.51%</w:t>
            </w:r>
          </w:p>
        </w:tc>
      </w:tr>
      <w:tr w14:paraId="507037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1936" w:type="dxa"/>
            <w:vMerge w:val="continue"/>
            <w:tcBorders>
              <w:top w:val="nil"/>
              <w:left w:val="nil"/>
              <w:bottom w:val="nil"/>
            </w:tcBorders>
            <w:vAlign w:val="top"/>
          </w:tcPr>
          <w:p w14:paraId="1F2B85EE">
            <w:pPr>
              <w:rPr>
                <w:rFonts w:ascii="Arial"/>
                <w:sz w:val="21"/>
              </w:rPr>
            </w:pPr>
          </w:p>
        </w:tc>
        <w:tc>
          <w:tcPr>
            <w:tcW w:w="2415" w:type="dxa"/>
            <w:vAlign w:val="top"/>
          </w:tcPr>
          <w:p w14:paraId="4DC3604D">
            <w:pPr>
              <w:spacing w:before="65" w:line="211" w:lineRule="auto"/>
              <w:ind w:left="824"/>
              <w:rPr>
                <w:rFonts w:ascii="仿宋" w:hAnsi="仿宋" w:eastAsia="仿宋" w:cs="仿宋"/>
                <w:sz w:val="20"/>
                <w:szCs w:val="20"/>
              </w:rPr>
            </w:pPr>
            <w:r>
              <w:rPr>
                <w:rFonts w:ascii="仿宋" w:hAnsi="仿宋" w:eastAsia="仿宋" w:cs="仿宋"/>
                <w:spacing w:val="-1"/>
                <w:sz w:val="20"/>
                <w:szCs w:val="20"/>
              </w:rPr>
              <w:t>内陆滩涂</w:t>
            </w:r>
          </w:p>
        </w:tc>
        <w:tc>
          <w:tcPr>
            <w:tcW w:w="930" w:type="dxa"/>
            <w:vAlign w:val="top"/>
          </w:tcPr>
          <w:p w14:paraId="2B2C0016">
            <w:pPr>
              <w:pStyle w:val="6"/>
              <w:spacing w:before="101" w:line="195" w:lineRule="auto"/>
              <w:ind w:left="414"/>
              <w:rPr>
                <w:sz w:val="20"/>
                <w:szCs w:val="20"/>
              </w:rPr>
            </w:pPr>
            <w:r>
              <w:rPr>
                <w:sz w:val="20"/>
                <w:szCs w:val="20"/>
              </w:rPr>
              <w:t>2</w:t>
            </w:r>
          </w:p>
        </w:tc>
        <w:tc>
          <w:tcPr>
            <w:tcW w:w="1305" w:type="dxa"/>
            <w:vAlign w:val="top"/>
          </w:tcPr>
          <w:p w14:paraId="74457197">
            <w:pPr>
              <w:pStyle w:val="6"/>
              <w:spacing w:before="101" w:line="195" w:lineRule="auto"/>
              <w:ind w:left="468"/>
              <w:rPr>
                <w:sz w:val="20"/>
                <w:szCs w:val="20"/>
              </w:rPr>
            </w:pPr>
            <w:r>
              <w:rPr>
                <w:spacing w:val="3"/>
                <w:sz w:val="20"/>
                <w:szCs w:val="20"/>
              </w:rPr>
              <w:t>2.39</w:t>
            </w:r>
          </w:p>
        </w:tc>
        <w:tc>
          <w:tcPr>
            <w:tcW w:w="1932" w:type="dxa"/>
            <w:tcBorders>
              <w:right w:val="nil"/>
            </w:tcBorders>
            <w:vAlign w:val="top"/>
          </w:tcPr>
          <w:p w14:paraId="32ECB155">
            <w:pPr>
              <w:pStyle w:val="6"/>
              <w:spacing w:before="101" w:line="195" w:lineRule="auto"/>
              <w:ind w:left="700"/>
              <w:rPr>
                <w:sz w:val="20"/>
                <w:szCs w:val="20"/>
              </w:rPr>
            </w:pPr>
            <w:r>
              <w:rPr>
                <w:spacing w:val="-2"/>
                <w:sz w:val="20"/>
                <w:szCs w:val="20"/>
              </w:rPr>
              <w:t>0.</w:t>
            </w:r>
            <w:r>
              <w:rPr>
                <w:spacing w:val="-24"/>
                <w:sz w:val="20"/>
                <w:szCs w:val="20"/>
              </w:rPr>
              <w:t xml:space="preserve"> </w:t>
            </w:r>
            <w:r>
              <w:rPr>
                <w:spacing w:val="-2"/>
                <w:sz w:val="20"/>
                <w:szCs w:val="20"/>
              </w:rPr>
              <w:t>13%</w:t>
            </w:r>
          </w:p>
        </w:tc>
      </w:tr>
      <w:tr w14:paraId="4BCA0E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1936" w:type="dxa"/>
            <w:vMerge w:val="continue"/>
            <w:tcBorders>
              <w:top w:val="nil"/>
              <w:left w:val="nil"/>
            </w:tcBorders>
            <w:vAlign w:val="top"/>
          </w:tcPr>
          <w:p w14:paraId="404F59F2">
            <w:pPr>
              <w:rPr>
                <w:rFonts w:ascii="Arial"/>
                <w:sz w:val="21"/>
              </w:rPr>
            </w:pPr>
          </w:p>
        </w:tc>
        <w:tc>
          <w:tcPr>
            <w:tcW w:w="2415" w:type="dxa"/>
            <w:vAlign w:val="top"/>
          </w:tcPr>
          <w:p w14:paraId="3DE8C9E7">
            <w:pPr>
              <w:spacing w:before="66" w:line="210" w:lineRule="auto"/>
              <w:ind w:left="587"/>
              <w:rPr>
                <w:rFonts w:ascii="仿宋" w:hAnsi="仿宋" w:eastAsia="仿宋" w:cs="仿宋"/>
                <w:sz w:val="20"/>
                <w:szCs w:val="20"/>
              </w:rPr>
            </w:pPr>
            <w:r>
              <w:rPr>
                <w:rFonts w:ascii="仿宋" w:hAnsi="仿宋" w:eastAsia="仿宋" w:cs="仿宋"/>
                <w:spacing w:val="7"/>
                <w:sz w:val="20"/>
                <w:szCs w:val="20"/>
              </w:rPr>
              <w:t>水工建筑用地</w:t>
            </w:r>
          </w:p>
        </w:tc>
        <w:tc>
          <w:tcPr>
            <w:tcW w:w="930" w:type="dxa"/>
            <w:vAlign w:val="top"/>
          </w:tcPr>
          <w:p w14:paraId="749FA23A">
            <w:pPr>
              <w:pStyle w:val="6"/>
              <w:spacing w:before="102" w:line="195" w:lineRule="auto"/>
              <w:ind w:left="414"/>
              <w:rPr>
                <w:sz w:val="20"/>
                <w:szCs w:val="20"/>
              </w:rPr>
            </w:pPr>
            <w:r>
              <w:rPr>
                <w:sz w:val="20"/>
                <w:szCs w:val="20"/>
              </w:rPr>
              <w:t>2</w:t>
            </w:r>
          </w:p>
        </w:tc>
        <w:tc>
          <w:tcPr>
            <w:tcW w:w="1305" w:type="dxa"/>
            <w:vAlign w:val="top"/>
          </w:tcPr>
          <w:p w14:paraId="0C51B4B9">
            <w:pPr>
              <w:pStyle w:val="6"/>
              <w:spacing w:before="102" w:line="195" w:lineRule="auto"/>
              <w:ind w:left="488"/>
              <w:rPr>
                <w:sz w:val="20"/>
                <w:szCs w:val="20"/>
              </w:rPr>
            </w:pPr>
            <w:r>
              <w:rPr>
                <w:spacing w:val="-2"/>
                <w:sz w:val="20"/>
                <w:szCs w:val="20"/>
              </w:rPr>
              <w:t>1.46</w:t>
            </w:r>
          </w:p>
        </w:tc>
        <w:tc>
          <w:tcPr>
            <w:tcW w:w="1932" w:type="dxa"/>
            <w:tcBorders>
              <w:right w:val="nil"/>
            </w:tcBorders>
            <w:vAlign w:val="top"/>
          </w:tcPr>
          <w:p w14:paraId="3C4A173F">
            <w:pPr>
              <w:pStyle w:val="6"/>
              <w:spacing w:before="102" w:line="195" w:lineRule="auto"/>
              <w:ind w:left="647"/>
              <w:rPr>
                <w:sz w:val="20"/>
                <w:szCs w:val="20"/>
              </w:rPr>
            </w:pPr>
            <w:r>
              <w:rPr>
                <w:spacing w:val="3"/>
                <w:sz w:val="20"/>
                <w:szCs w:val="20"/>
              </w:rPr>
              <w:t>0.080%</w:t>
            </w:r>
          </w:p>
        </w:tc>
      </w:tr>
      <w:tr w14:paraId="549863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1936" w:type="dxa"/>
            <w:vMerge w:val="restart"/>
            <w:tcBorders>
              <w:left w:val="nil"/>
              <w:bottom w:val="nil"/>
            </w:tcBorders>
            <w:vAlign w:val="top"/>
          </w:tcPr>
          <w:p w14:paraId="6D4ABB30">
            <w:pPr>
              <w:spacing w:before="222" w:line="230" w:lineRule="auto"/>
              <w:ind w:left="562"/>
              <w:rPr>
                <w:rFonts w:ascii="仿宋" w:hAnsi="仿宋" w:eastAsia="仿宋" w:cs="仿宋"/>
                <w:sz w:val="20"/>
                <w:szCs w:val="20"/>
              </w:rPr>
            </w:pPr>
            <w:r>
              <w:rPr>
                <w:rFonts w:ascii="仿宋" w:hAnsi="仿宋" w:eastAsia="仿宋" w:cs="仿宋"/>
                <w:spacing w:val="5"/>
                <w:sz w:val="20"/>
                <w:szCs w:val="20"/>
              </w:rPr>
              <w:t>其他土地</w:t>
            </w:r>
          </w:p>
        </w:tc>
        <w:tc>
          <w:tcPr>
            <w:tcW w:w="2415" w:type="dxa"/>
            <w:vAlign w:val="top"/>
          </w:tcPr>
          <w:p w14:paraId="3A91EEE7">
            <w:pPr>
              <w:spacing w:before="66" w:line="210" w:lineRule="auto"/>
              <w:ind w:left="693"/>
              <w:rPr>
                <w:rFonts w:ascii="仿宋" w:hAnsi="仿宋" w:eastAsia="仿宋" w:cs="仿宋"/>
                <w:sz w:val="20"/>
                <w:szCs w:val="20"/>
              </w:rPr>
            </w:pPr>
            <w:r>
              <w:rPr>
                <w:rFonts w:ascii="仿宋" w:hAnsi="仿宋" w:eastAsia="仿宋" w:cs="仿宋"/>
                <w:spacing w:val="7"/>
                <w:sz w:val="20"/>
                <w:szCs w:val="20"/>
              </w:rPr>
              <w:t>设施农用地</w:t>
            </w:r>
          </w:p>
        </w:tc>
        <w:tc>
          <w:tcPr>
            <w:tcW w:w="930" w:type="dxa"/>
            <w:vAlign w:val="top"/>
          </w:tcPr>
          <w:p w14:paraId="5DDA5150">
            <w:pPr>
              <w:pStyle w:val="6"/>
              <w:spacing w:before="105" w:line="195" w:lineRule="auto"/>
              <w:ind w:left="366"/>
              <w:rPr>
                <w:sz w:val="20"/>
                <w:szCs w:val="20"/>
              </w:rPr>
            </w:pPr>
            <w:r>
              <w:rPr>
                <w:sz w:val="20"/>
                <w:szCs w:val="20"/>
              </w:rPr>
              <w:t>39</w:t>
            </w:r>
          </w:p>
        </w:tc>
        <w:tc>
          <w:tcPr>
            <w:tcW w:w="1305" w:type="dxa"/>
            <w:vAlign w:val="top"/>
          </w:tcPr>
          <w:p w14:paraId="3F001953">
            <w:pPr>
              <w:pStyle w:val="6"/>
              <w:spacing w:before="105" w:line="195" w:lineRule="auto"/>
              <w:ind w:left="473"/>
              <w:rPr>
                <w:sz w:val="20"/>
                <w:szCs w:val="20"/>
              </w:rPr>
            </w:pPr>
            <w:r>
              <w:rPr>
                <w:spacing w:val="2"/>
                <w:sz w:val="20"/>
                <w:szCs w:val="20"/>
              </w:rPr>
              <w:t>3.88</w:t>
            </w:r>
          </w:p>
        </w:tc>
        <w:tc>
          <w:tcPr>
            <w:tcW w:w="1932" w:type="dxa"/>
            <w:tcBorders>
              <w:right w:val="nil"/>
            </w:tcBorders>
            <w:vAlign w:val="top"/>
          </w:tcPr>
          <w:p w14:paraId="0A135F36">
            <w:pPr>
              <w:pStyle w:val="6"/>
              <w:spacing w:before="105" w:line="195" w:lineRule="auto"/>
              <w:ind w:left="647"/>
              <w:rPr>
                <w:sz w:val="20"/>
                <w:szCs w:val="20"/>
              </w:rPr>
            </w:pPr>
            <w:r>
              <w:rPr>
                <w:spacing w:val="3"/>
                <w:sz w:val="20"/>
                <w:szCs w:val="20"/>
              </w:rPr>
              <w:t>0.214%</w:t>
            </w:r>
          </w:p>
        </w:tc>
      </w:tr>
      <w:tr w14:paraId="7F23A7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1936" w:type="dxa"/>
            <w:vMerge w:val="continue"/>
            <w:tcBorders>
              <w:top w:val="nil"/>
              <w:left w:val="nil"/>
            </w:tcBorders>
            <w:vAlign w:val="top"/>
          </w:tcPr>
          <w:p w14:paraId="129590BA">
            <w:pPr>
              <w:rPr>
                <w:rFonts w:ascii="Arial"/>
                <w:sz w:val="21"/>
              </w:rPr>
            </w:pPr>
          </w:p>
        </w:tc>
        <w:tc>
          <w:tcPr>
            <w:tcW w:w="2415" w:type="dxa"/>
            <w:vAlign w:val="top"/>
          </w:tcPr>
          <w:p w14:paraId="2A03B4E5">
            <w:pPr>
              <w:spacing w:before="67" w:line="209" w:lineRule="auto"/>
              <w:ind w:left="901"/>
              <w:rPr>
                <w:rFonts w:ascii="仿宋" w:hAnsi="仿宋" w:eastAsia="仿宋" w:cs="仿宋"/>
                <w:sz w:val="20"/>
                <w:szCs w:val="20"/>
              </w:rPr>
            </w:pPr>
            <w:r>
              <w:rPr>
                <w:rFonts w:ascii="仿宋" w:hAnsi="仿宋" w:eastAsia="仿宋" w:cs="仿宋"/>
                <w:spacing w:val="5"/>
                <w:sz w:val="20"/>
                <w:szCs w:val="20"/>
              </w:rPr>
              <w:t>裸土地</w:t>
            </w:r>
          </w:p>
        </w:tc>
        <w:tc>
          <w:tcPr>
            <w:tcW w:w="930" w:type="dxa"/>
            <w:vAlign w:val="top"/>
          </w:tcPr>
          <w:p w14:paraId="355D9FAD">
            <w:pPr>
              <w:pStyle w:val="6"/>
              <w:spacing w:before="105" w:line="195" w:lineRule="auto"/>
              <w:ind w:left="382"/>
              <w:rPr>
                <w:sz w:val="20"/>
                <w:szCs w:val="20"/>
              </w:rPr>
            </w:pPr>
            <w:r>
              <w:rPr>
                <w:spacing w:val="-8"/>
                <w:sz w:val="20"/>
                <w:szCs w:val="20"/>
              </w:rPr>
              <w:t>15</w:t>
            </w:r>
          </w:p>
        </w:tc>
        <w:tc>
          <w:tcPr>
            <w:tcW w:w="1305" w:type="dxa"/>
            <w:vAlign w:val="top"/>
          </w:tcPr>
          <w:p w14:paraId="183BC298">
            <w:pPr>
              <w:pStyle w:val="6"/>
              <w:spacing w:before="105" w:line="195" w:lineRule="auto"/>
              <w:ind w:left="468"/>
              <w:rPr>
                <w:sz w:val="20"/>
                <w:szCs w:val="20"/>
              </w:rPr>
            </w:pPr>
            <w:r>
              <w:rPr>
                <w:spacing w:val="3"/>
                <w:sz w:val="20"/>
                <w:szCs w:val="20"/>
              </w:rPr>
              <w:t>2.90</w:t>
            </w:r>
          </w:p>
        </w:tc>
        <w:tc>
          <w:tcPr>
            <w:tcW w:w="1932" w:type="dxa"/>
            <w:tcBorders>
              <w:right w:val="nil"/>
            </w:tcBorders>
            <w:vAlign w:val="top"/>
          </w:tcPr>
          <w:p w14:paraId="0E99A193">
            <w:pPr>
              <w:pStyle w:val="6"/>
              <w:spacing w:before="105" w:line="195" w:lineRule="auto"/>
              <w:ind w:left="700"/>
              <w:rPr>
                <w:sz w:val="20"/>
                <w:szCs w:val="20"/>
              </w:rPr>
            </w:pPr>
            <w:r>
              <w:rPr>
                <w:spacing w:val="-2"/>
                <w:sz w:val="20"/>
                <w:szCs w:val="20"/>
              </w:rPr>
              <w:t>0.</w:t>
            </w:r>
            <w:r>
              <w:rPr>
                <w:spacing w:val="-24"/>
                <w:sz w:val="20"/>
                <w:szCs w:val="20"/>
              </w:rPr>
              <w:t xml:space="preserve"> </w:t>
            </w:r>
            <w:r>
              <w:rPr>
                <w:spacing w:val="-2"/>
                <w:sz w:val="20"/>
                <w:szCs w:val="20"/>
              </w:rPr>
              <w:t>16%</w:t>
            </w:r>
          </w:p>
        </w:tc>
      </w:tr>
      <w:tr w14:paraId="033FBB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1936" w:type="dxa"/>
            <w:tcBorders>
              <w:left w:val="nil"/>
              <w:bottom w:val="single" w:color="000000" w:sz="10" w:space="0"/>
            </w:tcBorders>
            <w:vAlign w:val="top"/>
          </w:tcPr>
          <w:p w14:paraId="07BA1D22">
            <w:pPr>
              <w:spacing w:before="70" w:line="228" w:lineRule="auto"/>
              <w:ind w:left="781"/>
              <w:rPr>
                <w:rFonts w:ascii="仿宋" w:hAnsi="仿宋" w:eastAsia="仿宋" w:cs="仿宋"/>
                <w:sz w:val="20"/>
                <w:szCs w:val="20"/>
              </w:rPr>
            </w:pPr>
            <w:r>
              <w:rPr>
                <w:rFonts w:ascii="仿宋" w:hAnsi="仿宋" w:eastAsia="仿宋" w:cs="仿宋"/>
                <w:spacing w:val="-3"/>
                <w:sz w:val="20"/>
                <w:szCs w:val="20"/>
              </w:rPr>
              <w:t>总计</w:t>
            </w:r>
          </w:p>
        </w:tc>
        <w:tc>
          <w:tcPr>
            <w:tcW w:w="2415" w:type="dxa"/>
            <w:tcBorders>
              <w:bottom w:val="single" w:color="000000" w:sz="10" w:space="0"/>
            </w:tcBorders>
            <w:vAlign w:val="top"/>
          </w:tcPr>
          <w:p w14:paraId="4C0616DE">
            <w:pPr>
              <w:rPr>
                <w:rFonts w:ascii="Arial"/>
                <w:sz w:val="21"/>
              </w:rPr>
            </w:pPr>
          </w:p>
        </w:tc>
        <w:tc>
          <w:tcPr>
            <w:tcW w:w="930" w:type="dxa"/>
            <w:tcBorders>
              <w:bottom w:val="single" w:color="000000" w:sz="10" w:space="0"/>
            </w:tcBorders>
            <w:vAlign w:val="top"/>
          </w:tcPr>
          <w:p w14:paraId="4EADDDF2">
            <w:pPr>
              <w:pStyle w:val="6"/>
              <w:spacing w:before="106" w:line="195" w:lineRule="auto"/>
              <w:ind w:left="276"/>
              <w:rPr>
                <w:sz w:val="20"/>
                <w:szCs w:val="20"/>
              </w:rPr>
            </w:pPr>
            <w:r>
              <w:rPr>
                <w:spacing w:val="-1"/>
                <w:sz w:val="20"/>
                <w:szCs w:val="20"/>
              </w:rPr>
              <w:t>1531</w:t>
            </w:r>
          </w:p>
        </w:tc>
        <w:tc>
          <w:tcPr>
            <w:tcW w:w="1305" w:type="dxa"/>
            <w:tcBorders>
              <w:bottom w:val="single" w:color="000000" w:sz="10" w:space="0"/>
            </w:tcBorders>
            <w:vAlign w:val="top"/>
          </w:tcPr>
          <w:p w14:paraId="0F1D892E">
            <w:pPr>
              <w:pStyle w:val="6"/>
              <w:spacing w:before="106" w:line="195" w:lineRule="auto"/>
              <w:ind w:left="332"/>
              <w:rPr>
                <w:sz w:val="20"/>
                <w:szCs w:val="20"/>
              </w:rPr>
            </w:pPr>
            <w:r>
              <w:rPr>
                <w:spacing w:val="1"/>
                <w:sz w:val="20"/>
                <w:szCs w:val="20"/>
              </w:rPr>
              <w:t>1810.61</w:t>
            </w:r>
          </w:p>
        </w:tc>
        <w:tc>
          <w:tcPr>
            <w:tcW w:w="1932" w:type="dxa"/>
            <w:tcBorders>
              <w:bottom w:val="single" w:color="000000" w:sz="10" w:space="0"/>
              <w:right w:val="nil"/>
            </w:tcBorders>
            <w:vAlign w:val="top"/>
          </w:tcPr>
          <w:p w14:paraId="3A94456C">
            <w:pPr>
              <w:pStyle w:val="6"/>
              <w:spacing w:before="106" w:line="195" w:lineRule="auto"/>
              <w:ind w:left="611"/>
              <w:rPr>
                <w:sz w:val="20"/>
                <w:szCs w:val="20"/>
              </w:rPr>
            </w:pPr>
            <w:r>
              <w:rPr>
                <w:spacing w:val="1"/>
                <w:sz w:val="20"/>
                <w:szCs w:val="20"/>
              </w:rPr>
              <w:t>100.00%</w:t>
            </w:r>
          </w:p>
        </w:tc>
      </w:tr>
    </w:tbl>
    <w:p w14:paraId="78B78E95">
      <w:pPr>
        <w:pStyle w:val="2"/>
        <w:rPr>
          <w:sz w:val="21"/>
        </w:rPr>
      </w:pPr>
    </w:p>
    <w:p w14:paraId="5BBD8106">
      <w:pPr>
        <w:rPr>
          <w:sz w:val="21"/>
          <w:szCs w:val="21"/>
        </w:rPr>
        <w:sectPr>
          <w:footerReference r:id="rId233" w:type="default"/>
          <w:pgSz w:w="11906" w:h="16839"/>
          <w:pgMar w:top="400" w:right="1695" w:bottom="1511" w:left="1691" w:header="0" w:footer="1349" w:gutter="0"/>
          <w:cols w:space="720" w:num="1"/>
        </w:sectPr>
      </w:pPr>
    </w:p>
    <w:p w14:paraId="788E8EEB">
      <w:pPr>
        <w:pStyle w:val="2"/>
        <w:spacing w:line="247" w:lineRule="auto"/>
        <w:rPr>
          <w:sz w:val="21"/>
        </w:rPr>
      </w:pPr>
    </w:p>
    <w:p w14:paraId="2AB56CD0">
      <w:pPr>
        <w:pStyle w:val="2"/>
        <w:spacing w:line="248" w:lineRule="auto"/>
        <w:rPr>
          <w:sz w:val="21"/>
        </w:rPr>
      </w:pPr>
    </w:p>
    <w:p w14:paraId="309500E7">
      <w:pPr>
        <w:pStyle w:val="2"/>
        <w:spacing w:line="248" w:lineRule="auto"/>
        <w:rPr>
          <w:sz w:val="21"/>
        </w:rPr>
      </w:pPr>
    </w:p>
    <w:p w14:paraId="34F7E0A9">
      <w:pPr>
        <w:pStyle w:val="2"/>
        <w:spacing w:line="248" w:lineRule="auto"/>
        <w:rPr>
          <w:sz w:val="21"/>
        </w:rPr>
      </w:pPr>
    </w:p>
    <w:p w14:paraId="44C35DED">
      <w:pPr>
        <w:spacing w:before="78" w:line="222" w:lineRule="auto"/>
        <w:ind w:left="2019"/>
        <w:rPr>
          <w:rFonts w:ascii="仿宋" w:hAnsi="仿宋" w:eastAsia="仿宋" w:cs="仿宋"/>
          <w:sz w:val="24"/>
          <w:szCs w:val="24"/>
        </w:rPr>
      </w:pPr>
      <w:r>
        <w:rPr>
          <w:rFonts w:ascii="仿宋" w:hAnsi="仿宋" w:eastAsia="仿宋" w:cs="仿宋"/>
          <w:b/>
          <w:bCs/>
          <w:spacing w:val="-7"/>
          <w:sz w:val="24"/>
          <w:szCs w:val="24"/>
        </w:rPr>
        <w:t>表</w:t>
      </w:r>
      <w:r>
        <w:rPr>
          <w:rFonts w:ascii="仿宋" w:hAnsi="仿宋" w:eastAsia="仿宋" w:cs="仿宋"/>
          <w:spacing w:val="-30"/>
          <w:sz w:val="24"/>
          <w:szCs w:val="24"/>
        </w:rPr>
        <w:t xml:space="preserve"> </w:t>
      </w:r>
      <w:r>
        <w:rPr>
          <w:rFonts w:ascii="仿宋" w:hAnsi="仿宋" w:eastAsia="仿宋" w:cs="仿宋"/>
          <w:b/>
          <w:bCs/>
          <w:spacing w:val="-7"/>
          <w:sz w:val="24"/>
          <w:szCs w:val="24"/>
        </w:rPr>
        <w:t>3.2-2</w:t>
      </w:r>
      <w:r>
        <w:rPr>
          <w:rFonts w:ascii="仿宋" w:hAnsi="仿宋" w:eastAsia="仿宋" w:cs="仿宋"/>
          <w:spacing w:val="28"/>
          <w:sz w:val="24"/>
          <w:szCs w:val="24"/>
        </w:rPr>
        <w:t xml:space="preserve">  </w:t>
      </w:r>
      <w:r>
        <w:rPr>
          <w:rFonts w:ascii="仿宋" w:hAnsi="仿宋" w:eastAsia="仿宋" w:cs="仿宋"/>
          <w:b/>
          <w:bCs/>
          <w:spacing w:val="-7"/>
          <w:sz w:val="24"/>
          <w:szCs w:val="24"/>
        </w:rPr>
        <w:t>占地范围内土地利用现状统计表</w:t>
      </w:r>
    </w:p>
    <w:p w14:paraId="5DE0106E">
      <w:pPr>
        <w:spacing w:line="143" w:lineRule="exact"/>
      </w:pPr>
    </w:p>
    <w:tbl>
      <w:tblPr>
        <w:tblStyle w:val="5"/>
        <w:tblW w:w="851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77"/>
        <w:gridCol w:w="1965"/>
        <w:gridCol w:w="1378"/>
        <w:gridCol w:w="1350"/>
        <w:gridCol w:w="1948"/>
      </w:tblGrid>
      <w:tr w14:paraId="34054B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1877" w:type="dxa"/>
            <w:tcBorders>
              <w:top w:val="single" w:color="000000" w:sz="10" w:space="0"/>
              <w:left w:val="nil"/>
            </w:tcBorders>
            <w:vAlign w:val="top"/>
          </w:tcPr>
          <w:p w14:paraId="2DBEECEF">
            <w:pPr>
              <w:spacing w:before="162" w:line="232" w:lineRule="auto"/>
              <w:ind w:left="535"/>
              <w:rPr>
                <w:rFonts w:ascii="仿宋" w:hAnsi="仿宋" w:eastAsia="仿宋" w:cs="仿宋"/>
                <w:sz w:val="20"/>
                <w:szCs w:val="20"/>
              </w:rPr>
            </w:pPr>
            <w:r>
              <w:rPr>
                <w:rFonts w:ascii="仿宋" w:hAnsi="仿宋" w:eastAsia="仿宋" w:cs="仿宋"/>
                <w:spacing w:val="5"/>
                <w:sz w:val="20"/>
                <w:szCs w:val="20"/>
              </w:rPr>
              <w:t>一级分类</w:t>
            </w:r>
          </w:p>
        </w:tc>
        <w:tc>
          <w:tcPr>
            <w:tcW w:w="1965" w:type="dxa"/>
            <w:tcBorders>
              <w:top w:val="single" w:color="000000" w:sz="10" w:space="0"/>
            </w:tcBorders>
            <w:vAlign w:val="top"/>
          </w:tcPr>
          <w:p w14:paraId="6DA0F79E">
            <w:pPr>
              <w:spacing w:before="162" w:line="232" w:lineRule="auto"/>
              <w:ind w:left="579"/>
              <w:rPr>
                <w:rFonts w:ascii="仿宋" w:hAnsi="仿宋" w:eastAsia="仿宋" w:cs="仿宋"/>
                <w:sz w:val="20"/>
                <w:szCs w:val="20"/>
              </w:rPr>
            </w:pPr>
            <w:r>
              <w:rPr>
                <w:rFonts w:ascii="仿宋" w:hAnsi="仿宋" w:eastAsia="仿宋" w:cs="仿宋"/>
                <w:spacing w:val="4"/>
                <w:sz w:val="20"/>
                <w:szCs w:val="20"/>
              </w:rPr>
              <w:t>二级分类</w:t>
            </w:r>
          </w:p>
        </w:tc>
        <w:tc>
          <w:tcPr>
            <w:tcW w:w="1378" w:type="dxa"/>
            <w:tcBorders>
              <w:top w:val="single" w:color="000000" w:sz="10" w:space="0"/>
            </w:tcBorders>
            <w:vAlign w:val="top"/>
          </w:tcPr>
          <w:p w14:paraId="3C40767C">
            <w:pPr>
              <w:spacing w:before="161" w:line="232" w:lineRule="auto"/>
              <w:ind w:left="386"/>
              <w:rPr>
                <w:rFonts w:ascii="仿宋" w:hAnsi="仿宋" w:eastAsia="仿宋" w:cs="仿宋"/>
                <w:sz w:val="20"/>
                <w:szCs w:val="20"/>
              </w:rPr>
            </w:pPr>
            <w:r>
              <w:rPr>
                <w:rFonts w:ascii="仿宋" w:hAnsi="仿宋" w:eastAsia="仿宋" w:cs="仿宋"/>
                <w:spacing w:val="4"/>
                <w:sz w:val="20"/>
                <w:szCs w:val="20"/>
              </w:rPr>
              <w:t>斑块数</w:t>
            </w:r>
          </w:p>
        </w:tc>
        <w:tc>
          <w:tcPr>
            <w:tcW w:w="1350" w:type="dxa"/>
            <w:tcBorders>
              <w:top w:val="single" w:color="000000" w:sz="10" w:space="0"/>
            </w:tcBorders>
            <w:vAlign w:val="top"/>
          </w:tcPr>
          <w:p w14:paraId="4CF014A2">
            <w:pPr>
              <w:pStyle w:val="6"/>
              <w:spacing w:before="161" w:line="232" w:lineRule="auto"/>
              <w:ind w:left="123"/>
              <w:rPr>
                <w:rFonts w:ascii="仿宋" w:hAnsi="仿宋" w:eastAsia="仿宋" w:cs="仿宋"/>
                <w:sz w:val="20"/>
                <w:szCs w:val="20"/>
              </w:rPr>
            </w:pPr>
            <w:r>
              <w:rPr>
                <w:rFonts w:ascii="仿宋" w:hAnsi="仿宋" w:eastAsia="仿宋" w:cs="仿宋"/>
                <w:spacing w:val="5"/>
                <w:sz w:val="20"/>
                <w:szCs w:val="20"/>
              </w:rPr>
              <w:t>面积（</w:t>
            </w:r>
            <w:r>
              <w:rPr>
                <w:sz w:val="20"/>
                <w:szCs w:val="20"/>
              </w:rPr>
              <w:t>hm</w:t>
            </w:r>
            <w:r>
              <w:rPr>
                <w:spacing w:val="5"/>
                <w:sz w:val="13"/>
                <w:szCs w:val="13"/>
              </w:rPr>
              <w:t>2</w:t>
            </w:r>
            <w:r>
              <w:rPr>
                <w:rFonts w:ascii="仿宋" w:hAnsi="仿宋" w:eastAsia="仿宋" w:cs="仿宋"/>
                <w:spacing w:val="5"/>
                <w:sz w:val="20"/>
                <w:szCs w:val="20"/>
              </w:rPr>
              <w:t>）</w:t>
            </w:r>
          </w:p>
        </w:tc>
        <w:tc>
          <w:tcPr>
            <w:tcW w:w="1948" w:type="dxa"/>
            <w:tcBorders>
              <w:top w:val="single" w:color="000000" w:sz="10" w:space="0"/>
              <w:right w:val="nil"/>
            </w:tcBorders>
            <w:vAlign w:val="top"/>
          </w:tcPr>
          <w:p w14:paraId="59704F05">
            <w:pPr>
              <w:pStyle w:val="6"/>
              <w:spacing w:before="162" w:line="231" w:lineRule="auto"/>
              <w:ind w:right="12"/>
              <w:jc w:val="right"/>
              <w:rPr>
                <w:rFonts w:ascii="仿宋" w:hAnsi="仿宋" w:eastAsia="仿宋" w:cs="仿宋"/>
                <w:sz w:val="20"/>
                <w:szCs w:val="20"/>
              </w:rPr>
            </w:pPr>
            <w:r>
              <w:rPr>
                <w:rFonts w:ascii="仿宋" w:hAnsi="仿宋" w:eastAsia="仿宋" w:cs="仿宋"/>
                <w:spacing w:val="1"/>
                <w:sz w:val="20"/>
                <w:szCs w:val="20"/>
              </w:rPr>
              <w:t>占评价区比例（</w:t>
            </w:r>
            <w:r>
              <w:rPr>
                <w:spacing w:val="1"/>
                <w:sz w:val="20"/>
                <w:szCs w:val="20"/>
              </w:rPr>
              <w:t>%</w:t>
            </w:r>
            <w:r>
              <w:rPr>
                <w:rFonts w:ascii="仿宋" w:hAnsi="仿宋" w:eastAsia="仿宋" w:cs="仿宋"/>
                <w:spacing w:val="1"/>
                <w:sz w:val="20"/>
                <w:szCs w:val="20"/>
              </w:rPr>
              <w:t>）</w:t>
            </w:r>
          </w:p>
        </w:tc>
      </w:tr>
      <w:tr w14:paraId="36978B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1877" w:type="dxa"/>
            <w:vMerge w:val="restart"/>
            <w:tcBorders>
              <w:left w:val="nil"/>
              <w:bottom w:val="nil"/>
            </w:tcBorders>
            <w:vAlign w:val="top"/>
          </w:tcPr>
          <w:p w14:paraId="64A4E3A5">
            <w:pPr>
              <w:spacing w:line="263" w:lineRule="auto"/>
              <w:rPr>
                <w:rFonts w:ascii="Arial"/>
                <w:sz w:val="21"/>
              </w:rPr>
            </w:pPr>
          </w:p>
          <w:p w14:paraId="2359CA36">
            <w:pPr>
              <w:spacing w:before="65" w:line="231" w:lineRule="auto"/>
              <w:ind w:left="740"/>
              <w:rPr>
                <w:rFonts w:ascii="仿宋" w:hAnsi="仿宋" w:eastAsia="仿宋" w:cs="仿宋"/>
                <w:sz w:val="20"/>
                <w:szCs w:val="20"/>
              </w:rPr>
            </w:pPr>
            <w:r>
              <w:rPr>
                <w:rFonts w:ascii="仿宋" w:hAnsi="仿宋" w:eastAsia="仿宋" w:cs="仿宋"/>
                <w:spacing w:val="2"/>
                <w:sz w:val="20"/>
                <w:szCs w:val="20"/>
              </w:rPr>
              <w:t>林地</w:t>
            </w:r>
          </w:p>
        </w:tc>
        <w:tc>
          <w:tcPr>
            <w:tcW w:w="1965" w:type="dxa"/>
            <w:vAlign w:val="top"/>
          </w:tcPr>
          <w:p w14:paraId="72680271">
            <w:pPr>
              <w:spacing w:before="35" w:line="212" w:lineRule="auto"/>
              <w:ind w:left="576"/>
              <w:rPr>
                <w:rFonts w:ascii="仿宋" w:hAnsi="仿宋" w:eastAsia="仿宋" w:cs="仿宋"/>
                <w:sz w:val="20"/>
                <w:szCs w:val="20"/>
              </w:rPr>
            </w:pPr>
            <w:r>
              <w:rPr>
                <w:rFonts w:ascii="仿宋" w:hAnsi="仿宋" w:eastAsia="仿宋" w:cs="仿宋"/>
                <w:spacing w:val="5"/>
                <w:sz w:val="20"/>
                <w:szCs w:val="20"/>
              </w:rPr>
              <w:t>乔木林地</w:t>
            </w:r>
          </w:p>
        </w:tc>
        <w:tc>
          <w:tcPr>
            <w:tcW w:w="1378" w:type="dxa"/>
            <w:vAlign w:val="top"/>
          </w:tcPr>
          <w:p w14:paraId="50114AC0">
            <w:pPr>
              <w:pStyle w:val="6"/>
              <w:spacing w:before="71" w:line="195" w:lineRule="auto"/>
              <w:ind w:left="585"/>
              <w:rPr>
                <w:sz w:val="20"/>
                <w:szCs w:val="20"/>
              </w:rPr>
            </w:pPr>
            <w:r>
              <w:rPr>
                <w:spacing w:val="2"/>
                <w:sz w:val="20"/>
                <w:szCs w:val="20"/>
              </w:rPr>
              <w:t>20</w:t>
            </w:r>
          </w:p>
        </w:tc>
        <w:tc>
          <w:tcPr>
            <w:tcW w:w="1350" w:type="dxa"/>
            <w:vAlign w:val="top"/>
          </w:tcPr>
          <w:p w14:paraId="776BB4E0">
            <w:pPr>
              <w:pStyle w:val="6"/>
              <w:spacing w:before="71" w:line="195" w:lineRule="auto"/>
              <w:ind w:left="497"/>
              <w:rPr>
                <w:sz w:val="20"/>
                <w:szCs w:val="20"/>
              </w:rPr>
            </w:pPr>
            <w:r>
              <w:rPr>
                <w:spacing w:val="2"/>
                <w:sz w:val="20"/>
                <w:szCs w:val="20"/>
              </w:rPr>
              <w:t>0.29</w:t>
            </w:r>
          </w:p>
        </w:tc>
        <w:tc>
          <w:tcPr>
            <w:tcW w:w="1948" w:type="dxa"/>
            <w:tcBorders>
              <w:right w:val="nil"/>
            </w:tcBorders>
            <w:vAlign w:val="top"/>
          </w:tcPr>
          <w:p w14:paraId="5BC94E4C">
            <w:pPr>
              <w:pStyle w:val="6"/>
              <w:spacing w:before="71" w:line="195" w:lineRule="auto"/>
              <w:ind w:left="706"/>
              <w:rPr>
                <w:sz w:val="20"/>
                <w:szCs w:val="20"/>
              </w:rPr>
            </w:pPr>
            <w:r>
              <w:rPr>
                <w:spacing w:val="-1"/>
                <w:sz w:val="20"/>
                <w:szCs w:val="20"/>
              </w:rPr>
              <w:t>2.</w:t>
            </w:r>
            <w:r>
              <w:rPr>
                <w:spacing w:val="-25"/>
                <w:sz w:val="20"/>
                <w:szCs w:val="20"/>
              </w:rPr>
              <w:t xml:space="preserve"> </w:t>
            </w:r>
            <w:r>
              <w:rPr>
                <w:spacing w:val="-1"/>
                <w:sz w:val="20"/>
                <w:szCs w:val="20"/>
              </w:rPr>
              <w:t>11%</w:t>
            </w:r>
          </w:p>
        </w:tc>
      </w:tr>
      <w:tr w14:paraId="44AFBA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 w:hRule="atLeast"/>
        </w:trPr>
        <w:tc>
          <w:tcPr>
            <w:tcW w:w="1877" w:type="dxa"/>
            <w:vMerge w:val="continue"/>
            <w:tcBorders>
              <w:top w:val="nil"/>
              <w:left w:val="nil"/>
              <w:bottom w:val="nil"/>
            </w:tcBorders>
            <w:vAlign w:val="top"/>
          </w:tcPr>
          <w:p w14:paraId="458A4607">
            <w:pPr>
              <w:rPr>
                <w:rFonts w:ascii="Arial"/>
                <w:sz w:val="21"/>
              </w:rPr>
            </w:pPr>
          </w:p>
        </w:tc>
        <w:tc>
          <w:tcPr>
            <w:tcW w:w="1965" w:type="dxa"/>
            <w:vAlign w:val="top"/>
          </w:tcPr>
          <w:p w14:paraId="03E19E9F">
            <w:pPr>
              <w:spacing w:before="50" w:line="223" w:lineRule="auto"/>
              <w:ind w:left="576"/>
              <w:rPr>
                <w:rFonts w:ascii="仿宋" w:hAnsi="仿宋" w:eastAsia="仿宋" w:cs="仿宋"/>
                <w:sz w:val="20"/>
                <w:szCs w:val="20"/>
              </w:rPr>
            </w:pPr>
            <w:r>
              <w:rPr>
                <w:rFonts w:ascii="仿宋" w:hAnsi="仿宋" w:eastAsia="仿宋" w:cs="仿宋"/>
                <w:spacing w:val="5"/>
                <w:sz w:val="20"/>
                <w:szCs w:val="20"/>
              </w:rPr>
              <w:t>灌木林地</w:t>
            </w:r>
          </w:p>
        </w:tc>
        <w:tc>
          <w:tcPr>
            <w:tcW w:w="1378" w:type="dxa"/>
            <w:vAlign w:val="top"/>
          </w:tcPr>
          <w:p w14:paraId="41334BA2">
            <w:pPr>
              <w:pStyle w:val="6"/>
              <w:spacing w:before="88" w:line="195" w:lineRule="auto"/>
              <w:ind w:left="585"/>
              <w:rPr>
                <w:sz w:val="20"/>
                <w:szCs w:val="20"/>
              </w:rPr>
            </w:pPr>
            <w:r>
              <w:rPr>
                <w:spacing w:val="2"/>
                <w:sz w:val="20"/>
                <w:szCs w:val="20"/>
              </w:rPr>
              <w:t>26</w:t>
            </w:r>
          </w:p>
        </w:tc>
        <w:tc>
          <w:tcPr>
            <w:tcW w:w="1350" w:type="dxa"/>
            <w:vAlign w:val="top"/>
          </w:tcPr>
          <w:p w14:paraId="32534DD7">
            <w:pPr>
              <w:pStyle w:val="6"/>
              <w:spacing w:before="88" w:line="195" w:lineRule="auto"/>
              <w:ind w:left="513"/>
              <w:rPr>
                <w:sz w:val="20"/>
                <w:szCs w:val="20"/>
              </w:rPr>
            </w:pPr>
            <w:r>
              <w:rPr>
                <w:spacing w:val="-2"/>
                <w:sz w:val="20"/>
                <w:szCs w:val="20"/>
              </w:rPr>
              <w:t>1.60</w:t>
            </w:r>
          </w:p>
        </w:tc>
        <w:tc>
          <w:tcPr>
            <w:tcW w:w="1948" w:type="dxa"/>
            <w:tcBorders>
              <w:right w:val="nil"/>
            </w:tcBorders>
            <w:vAlign w:val="top"/>
          </w:tcPr>
          <w:p w14:paraId="11A43C63">
            <w:pPr>
              <w:pStyle w:val="6"/>
              <w:spacing w:before="88" w:line="195" w:lineRule="auto"/>
              <w:ind w:left="673"/>
              <w:rPr>
                <w:sz w:val="20"/>
                <w:szCs w:val="20"/>
              </w:rPr>
            </w:pPr>
            <w:r>
              <w:rPr>
                <w:sz w:val="20"/>
                <w:szCs w:val="20"/>
              </w:rPr>
              <w:t>11.80%</w:t>
            </w:r>
          </w:p>
        </w:tc>
      </w:tr>
      <w:tr w14:paraId="21BE2E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877" w:type="dxa"/>
            <w:vMerge w:val="continue"/>
            <w:tcBorders>
              <w:top w:val="nil"/>
              <w:left w:val="nil"/>
            </w:tcBorders>
            <w:vAlign w:val="top"/>
          </w:tcPr>
          <w:p w14:paraId="762F9CE5">
            <w:pPr>
              <w:rPr>
                <w:rFonts w:ascii="Arial"/>
                <w:sz w:val="21"/>
              </w:rPr>
            </w:pPr>
          </w:p>
        </w:tc>
        <w:tc>
          <w:tcPr>
            <w:tcW w:w="1965" w:type="dxa"/>
            <w:vAlign w:val="top"/>
          </w:tcPr>
          <w:p w14:paraId="56565F21">
            <w:pPr>
              <w:spacing w:before="40" w:line="208" w:lineRule="auto"/>
              <w:ind w:left="574"/>
              <w:rPr>
                <w:rFonts w:ascii="仿宋" w:hAnsi="仿宋" w:eastAsia="仿宋" w:cs="仿宋"/>
                <w:sz w:val="20"/>
                <w:szCs w:val="20"/>
              </w:rPr>
            </w:pPr>
            <w:r>
              <w:rPr>
                <w:rFonts w:ascii="仿宋" w:hAnsi="仿宋" w:eastAsia="仿宋" w:cs="仿宋"/>
                <w:spacing w:val="5"/>
                <w:sz w:val="20"/>
                <w:szCs w:val="20"/>
              </w:rPr>
              <w:t>其他林地</w:t>
            </w:r>
          </w:p>
        </w:tc>
        <w:tc>
          <w:tcPr>
            <w:tcW w:w="1378" w:type="dxa"/>
            <w:vAlign w:val="top"/>
          </w:tcPr>
          <w:p w14:paraId="22638993">
            <w:pPr>
              <w:pStyle w:val="6"/>
              <w:spacing w:before="76" w:line="195" w:lineRule="auto"/>
              <w:ind w:left="585"/>
              <w:rPr>
                <w:sz w:val="20"/>
                <w:szCs w:val="20"/>
              </w:rPr>
            </w:pPr>
            <w:r>
              <w:rPr>
                <w:spacing w:val="2"/>
                <w:sz w:val="20"/>
                <w:szCs w:val="20"/>
              </w:rPr>
              <w:t>20</w:t>
            </w:r>
          </w:p>
        </w:tc>
        <w:tc>
          <w:tcPr>
            <w:tcW w:w="1350" w:type="dxa"/>
            <w:vAlign w:val="top"/>
          </w:tcPr>
          <w:p w14:paraId="4CA785D4">
            <w:pPr>
              <w:pStyle w:val="6"/>
              <w:spacing w:before="76" w:line="195" w:lineRule="auto"/>
              <w:ind w:left="497"/>
              <w:rPr>
                <w:sz w:val="20"/>
                <w:szCs w:val="20"/>
              </w:rPr>
            </w:pPr>
            <w:r>
              <w:rPr>
                <w:spacing w:val="2"/>
                <w:sz w:val="20"/>
                <w:szCs w:val="20"/>
              </w:rPr>
              <w:t>0.09</w:t>
            </w:r>
          </w:p>
        </w:tc>
        <w:tc>
          <w:tcPr>
            <w:tcW w:w="1948" w:type="dxa"/>
            <w:tcBorders>
              <w:right w:val="nil"/>
            </w:tcBorders>
            <w:vAlign w:val="top"/>
          </w:tcPr>
          <w:p w14:paraId="53AEC142">
            <w:pPr>
              <w:pStyle w:val="6"/>
              <w:spacing w:before="76" w:line="195" w:lineRule="auto"/>
              <w:ind w:left="709"/>
              <w:rPr>
                <w:sz w:val="20"/>
                <w:szCs w:val="20"/>
              </w:rPr>
            </w:pPr>
            <w:r>
              <w:rPr>
                <w:spacing w:val="3"/>
                <w:sz w:val="20"/>
                <w:szCs w:val="20"/>
              </w:rPr>
              <w:t>0.64%</w:t>
            </w:r>
          </w:p>
        </w:tc>
      </w:tr>
      <w:tr w14:paraId="27587E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 w:hRule="atLeast"/>
        </w:trPr>
        <w:tc>
          <w:tcPr>
            <w:tcW w:w="1877" w:type="dxa"/>
            <w:vMerge w:val="restart"/>
            <w:tcBorders>
              <w:left w:val="nil"/>
              <w:bottom w:val="nil"/>
            </w:tcBorders>
            <w:vAlign w:val="top"/>
          </w:tcPr>
          <w:p w14:paraId="58402968">
            <w:pPr>
              <w:spacing w:before="211" w:line="231" w:lineRule="auto"/>
              <w:ind w:left="744"/>
              <w:rPr>
                <w:rFonts w:ascii="仿宋" w:hAnsi="仿宋" w:eastAsia="仿宋" w:cs="仿宋"/>
                <w:sz w:val="20"/>
                <w:szCs w:val="20"/>
              </w:rPr>
            </w:pPr>
            <w:r>
              <w:rPr>
                <w:rFonts w:ascii="仿宋" w:hAnsi="仿宋" w:eastAsia="仿宋" w:cs="仿宋"/>
                <w:sz w:val="20"/>
                <w:szCs w:val="20"/>
              </w:rPr>
              <w:t>草地</w:t>
            </w:r>
          </w:p>
        </w:tc>
        <w:tc>
          <w:tcPr>
            <w:tcW w:w="1965" w:type="dxa"/>
            <w:vAlign w:val="top"/>
          </w:tcPr>
          <w:p w14:paraId="61DF9167">
            <w:pPr>
              <w:spacing w:before="54" w:line="219" w:lineRule="auto"/>
              <w:ind w:left="467"/>
              <w:rPr>
                <w:rFonts w:ascii="仿宋" w:hAnsi="仿宋" w:eastAsia="仿宋" w:cs="仿宋"/>
                <w:sz w:val="20"/>
                <w:szCs w:val="20"/>
              </w:rPr>
            </w:pPr>
            <w:r>
              <w:rPr>
                <w:rFonts w:ascii="仿宋" w:hAnsi="仿宋" w:eastAsia="仿宋" w:cs="仿宋"/>
                <w:spacing w:val="6"/>
                <w:sz w:val="20"/>
                <w:szCs w:val="20"/>
              </w:rPr>
              <w:t>天然牧草地</w:t>
            </w:r>
          </w:p>
        </w:tc>
        <w:tc>
          <w:tcPr>
            <w:tcW w:w="1378" w:type="dxa"/>
            <w:vAlign w:val="top"/>
          </w:tcPr>
          <w:p w14:paraId="01C2E87C">
            <w:pPr>
              <w:pStyle w:val="6"/>
              <w:spacing w:before="91" w:line="195" w:lineRule="auto"/>
              <w:ind w:left="590"/>
              <w:rPr>
                <w:sz w:val="20"/>
                <w:szCs w:val="20"/>
              </w:rPr>
            </w:pPr>
            <w:r>
              <w:rPr>
                <w:sz w:val="20"/>
                <w:szCs w:val="20"/>
              </w:rPr>
              <w:t>68</w:t>
            </w:r>
          </w:p>
        </w:tc>
        <w:tc>
          <w:tcPr>
            <w:tcW w:w="1350" w:type="dxa"/>
            <w:vAlign w:val="top"/>
          </w:tcPr>
          <w:p w14:paraId="715D0C2D">
            <w:pPr>
              <w:pStyle w:val="6"/>
              <w:spacing w:before="91" w:line="195" w:lineRule="auto"/>
              <w:ind w:left="513"/>
              <w:rPr>
                <w:sz w:val="20"/>
                <w:szCs w:val="20"/>
              </w:rPr>
            </w:pPr>
            <w:r>
              <w:rPr>
                <w:spacing w:val="-2"/>
                <w:sz w:val="20"/>
                <w:szCs w:val="20"/>
              </w:rPr>
              <w:t>1.03</w:t>
            </w:r>
          </w:p>
        </w:tc>
        <w:tc>
          <w:tcPr>
            <w:tcW w:w="1948" w:type="dxa"/>
            <w:tcBorders>
              <w:right w:val="nil"/>
            </w:tcBorders>
            <w:vAlign w:val="top"/>
          </w:tcPr>
          <w:p w14:paraId="78C61249">
            <w:pPr>
              <w:pStyle w:val="6"/>
              <w:spacing w:before="91" w:line="195" w:lineRule="auto"/>
              <w:ind w:left="709"/>
              <w:rPr>
                <w:sz w:val="20"/>
                <w:szCs w:val="20"/>
              </w:rPr>
            </w:pPr>
            <w:r>
              <w:rPr>
                <w:spacing w:val="3"/>
                <w:sz w:val="20"/>
                <w:szCs w:val="20"/>
              </w:rPr>
              <w:t>7.62%</w:t>
            </w:r>
          </w:p>
        </w:tc>
      </w:tr>
      <w:tr w14:paraId="185604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 w:hRule="atLeast"/>
        </w:trPr>
        <w:tc>
          <w:tcPr>
            <w:tcW w:w="1877" w:type="dxa"/>
            <w:vMerge w:val="continue"/>
            <w:tcBorders>
              <w:top w:val="nil"/>
              <w:left w:val="nil"/>
            </w:tcBorders>
            <w:vAlign w:val="top"/>
          </w:tcPr>
          <w:p w14:paraId="33D89764">
            <w:pPr>
              <w:rPr>
                <w:rFonts w:ascii="Arial"/>
                <w:sz w:val="21"/>
              </w:rPr>
            </w:pPr>
          </w:p>
        </w:tc>
        <w:tc>
          <w:tcPr>
            <w:tcW w:w="1965" w:type="dxa"/>
            <w:vAlign w:val="top"/>
          </w:tcPr>
          <w:p w14:paraId="577AD8DE">
            <w:pPr>
              <w:spacing w:before="57" w:line="216" w:lineRule="auto"/>
              <w:ind w:left="574"/>
              <w:rPr>
                <w:rFonts w:ascii="仿宋" w:hAnsi="仿宋" w:eastAsia="仿宋" w:cs="仿宋"/>
                <w:sz w:val="20"/>
                <w:szCs w:val="20"/>
              </w:rPr>
            </w:pPr>
            <w:r>
              <w:rPr>
                <w:rFonts w:ascii="仿宋" w:hAnsi="仿宋" w:eastAsia="仿宋" w:cs="仿宋"/>
                <w:spacing w:val="5"/>
                <w:sz w:val="20"/>
                <w:szCs w:val="20"/>
              </w:rPr>
              <w:t>其他草地</w:t>
            </w:r>
          </w:p>
        </w:tc>
        <w:tc>
          <w:tcPr>
            <w:tcW w:w="1378" w:type="dxa"/>
            <w:vAlign w:val="top"/>
          </w:tcPr>
          <w:p w14:paraId="1F728737">
            <w:pPr>
              <w:pStyle w:val="6"/>
              <w:spacing w:before="96" w:line="195" w:lineRule="auto"/>
              <w:ind w:left="585"/>
              <w:rPr>
                <w:sz w:val="20"/>
                <w:szCs w:val="20"/>
              </w:rPr>
            </w:pPr>
            <w:r>
              <w:rPr>
                <w:spacing w:val="2"/>
                <w:sz w:val="20"/>
                <w:szCs w:val="20"/>
              </w:rPr>
              <w:t>23</w:t>
            </w:r>
          </w:p>
        </w:tc>
        <w:tc>
          <w:tcPr>
            <w:tcW w:w="1350" w:type="dxa"/>
            <w:vAlign w:val="top"/>
          </w:tcPr>
          <w:p w14:paraId="667E0C71">
            <w:pPr>
              <w:pStyle w:val="6"/>
              <w:spacing w:before="96" w:line="195" w:lineRule="auto"/>
              <w:ind w:left="497"/>
              <w:rPr>
                <w:sz w:val="20"/>
                <w:szCs w:val="20"/>
              </w:rPr>
            </w:pPr>
            <w:r>
              <w:rPr>
                <w:spacing w:val="2"/>
                <w:sz w:val="20"/>
                <w:szCs w:val="20"/>
              </w:rPr>
              <w:t>0.58</w:t>
            </w:r>
          </w:p>
        </w:tc>
        <w:tc>
          <w:tcPr>
            <w:tcW w:w="1948" w:type="dxa"/>
            <w:tcBorders>
              <w:right w:val="nil"/>
            </w:tcBorders>
            <w:vAlign w:val="top"/>
          </w:tcPr>
          <w:p w14:paraId="2FEDCF46">
            <w:pPr>
              <w:pStyle w:val="6"/>
              <w:spacing w:before="96" w:line="195" w:lineRule="auto"/>
              <w:ind w:left="705"/>
              <w:rPr>
                <w:sz w:val="20"/>
                <w:szCs w:val="20"/>
              </w:rPr>
            </w:pPr>
            <w:r>
              <w:rPr>
                <w:spacing w:val="4"/>
                <w:sz w:val="20"/>
                <w:szCs w:val="20"/>
              </w:rPr>
              <w:t>4.27%</w:t>
            </w:r>
          </w:p>
        </w:tc>
      </w:tr>
      <w:tr w14:paraId="6F105C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1877" w:type="dxa"/>
            <w:tcBorders>
              <w:left w:val="nil"/>
            </w:tcBorders>
            <w:vAlign w:val="top"/>
          </w:tcPr>
          <w:p w14:paraId="0B2FEF00">
            <w:pPr>
              <w:spacing w:before="48" w:line="200" w:lineRule="auto"/>
              <w:ind w:left="325"/>
              <w:rPr>
                <w:rFonts w:ascii="仿宋" w:hAnsi="仿宋" w:eastAsia="仿宋" w:cs="仿宋"/>
                <w:sz w:val="20"/>
                <w:szCs w:val="20"/>
              </w:rPr>
            </w:pPr>
            <w:r>
              <w:rPr>
                <w:rFonts w:ascii="仿宋" w:hAnsi="仿宋" w:eastAsia="仿宋" w:cs="仿宋"/>
                <w:spacing w:val="6"/>
                <w:sz w:val="20"/>
                <w:szCs w:val="20"/>
              </w:rPr>
              <w:t>交通运输用地</w:t>
            </w:r>
          </w:p>
        </w:tc>
        <w:tc>
          <w:tcPr>
            <w:tcW w:w="1965" w:type="dxa"/>
            <w:vAlign w:val="top"/>
          </w:tcPr>
          <w:p w14:paraId="17A8BFF6">
            <w:pPr>
              <w:spacing w:before="48" w:line="200" w:lineRule="auto"/>
              <w:ind w:left="573"/>
              <w:rPr>
                <w:rFonts w:ascii="仿宋" w:hAnsi="仿宋" w:eastAsia="仿宋" w:cs="仿宋"/>
                <w:sz w:val="20"/>
                <w:szCs w:val="20"/>
              </w:rPr>
            </w:pPr>
            <w:r>
              <w:rPr>
                <w:rFonts w:ascii="仿宋" w:hAnsi="仿宋" w:eastAsia="仿宋" w:cs="仿宋"/>
                <w:spacing w:val="5"/>
                <w:sz w:val="20"/>
                <w:szCs w:val="20"/>
              </w:rPr>
              <w:t>农村道路</w:t>
            </w:r>
          </w:p>
        </w:tc>
        <w:tc>
          <w:tcPr>
            <w:tcW w:w="1378" w:type="dxa"/>
            <w:vAlign w:val="top"/>
          </w:tcPr>
          <w:p w14:paraId="3FC7B0F7">
            <w:pPr>
              <w:pStyle w:val="6"/>
              <w:spacing w:before="84" w:line="188" w:lineRule="auto"/>
              <w:ind w:left="605"/>
              <w:rPr>
                <w:sz w:val="20"/>
                <w:szCs w:val="20"/>
              </w:rPr>
            </w:pPr>
            <w:r>
              <w:rPr>
                <w:spacing w:val="-8"/>
                <w:sz w:val="20"/>
                <w:szCs w:val="20"/>
              </w:rPr>
              <w:t>16</w:t>
            </w:r>
          </w:p>
        </w:tc>
        <w:tc>
          <w:tcPr>
            <w:tcW w:w="1350" w:type="dxa"/>
            <w:vAlign w:val="top"/>
          </w:tcPr>
          <w:p w14:paraId="761C5BE2">
            <w:pPr>
              <w:pStyle w:val="6"/>
              <w:spacing w:before="84" w:line="188" w:lineRule="auto"/>
              <w:ind w:left="497"/>
              <w:rPr>
                <w:sz w:val="20"/>
                <w:szCs w:val="20"/>
              </w:rPr>
            </w:pPr>
            <w:r>
              <w:rPr>
                <w:spacing w:val="2"/>
                <w:sz w:val="20"/>
                <w:szCs w:val="20"/>
              </w:rPr>
              <w:t>9.92</w:t>
            </w:r>
          </w:p>
        </w:tc>
        <w:tc>
          <w:tcPr>
            <w:tcW w:w="1948" w:type="dxa"/>
            <w:tcBorders>
              <w:right w:val="nil"/>
            </w:tcBorders>
            <w:vAlign w:val="top"/>
          </w:tcPr>
          <w:p w14:paraId="5F4B2C76">
            <w:pPr>
              <w:pStyle w:val="6"/>
              <w:spacing w:before="84" w:line="188" w:lineRule="auto"/>
              <w:ind w:left="656"/>
              <w:rPr>
                <w:sz w:val="20"/>
                <w:szCs w:val="20"/>
              </w:rPr>
            </w:pPr>
            <w:r>
              <w:rPr>
                <w:spacing w:val="3"/>
                <w:sz w:val="20"/>
                <w:szCs w:val="20"/>
              </w:rPr>
              <w:t>73.03%</w:t>
            </w:r>
          </w:p>
        </w:tc>
      </w:tr>
      <w:tr w14:paraId="65E9B7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 w:hRule="atLeast"/>
        </w:trPr>
        <w:tc>
          <w:tcPr>
            <w:tcW w:w="1877" w:type="dxa"/>
            <w:tcBorders>
              <w:left w:val="nil"/>
            </w:tcBorders>
            <w:vAlign w:val="top"/>
          </w:tcPr>
          <w:p w14:paraId="5D46487F">
            <w:pPr>
              <w:spacing w:before="63" w:line="211" w:lineRule="auto"/>
              <w:ind w:left="533"/>
              <w:rPr>
                <w:rFonts w:ascii="仿宋" w:hAnsi="仿宋" w:eastAsia="仿宋" w:cs="仿宋"/>
                <w:sz w:val="20"/>
                <w:szCs w:val="20"/>
              </w:rPr>
            </w:pPr>
            <w:r>
              <w:rPr>
                <w:rFonts w:ascii="仿宋" w:hAnsi="仿宋" w:eastAsia="仿宋" w:cs="仿宋"/>
                <w:spacing w:val="5"/>
                <w:sz w:val="20"/>
                <w:szCs w:val="20"/>
              </w:rPr>
              <w:t>其他土地</w:t>
            </w:r>
          </w:p>
        </w:tc>
        <w:tc>
          <w:tcPr>
            <w:tcW w:w="1965" w:type="dxa"/>
            <w:vAlign w:val="top"/>
          </w:tcPr>
          <w:p w14:paraId="6427DBC8">
            <w:pPr>
              <w:spacing w:before="63" w:line="211" w:lineRule="auto"/>
              <w:ind w:left="677"/>
              <w:rPr>
                <w:rFonts w:ascii="仿宋" w:hAnsi="仿宋" w:eastAsia="仿宋" w:cs="仿宋"/>
                <w:sz w:val="20"/>
                <w:szCs w:val="20"/>
              </w:rPr>
            </w:pPr>
            <w:r>
              <w:rPr>
                <w:rFonts w:ascii="仿宋" w:hAnsi="仿宋" w:eastAsia="仿宋" w:cs="仿宋"/>
                <w:spacing w:val="5"/>
                <w:sz w:val="20"/>
                <w:szCs w:val="20"/>
              </w:rPr>
              <w:t>裸土地</w:t>
            </w:r>
          </w:p>
        </w:tc>
        <w:tc>
          <w:tcPr>
            <w:tcW w:w="1378" w:type="dxa"/>
            <w:vAlign w:val="top"/>
          </w:tcPr>
          <w:p w14:paraId="79BA570F">
            <w:pPr>
              <w:pStyle w:val="6"/>
              <w:spacing w:before="99" w:line="195" w:lineRule="auto"/>
              <w:ind w:left="638"/>
              <w:rPr>
                <w:sz w:val="20"/>
                <w:szCs w:val="20"/>
              </w:rPr>
            </w:pPr>
            <w:r>
              <w:rPr>
                <w:sz w:val="20"/>
                <w:szCs w:val="20"/>
              </w:rPr>
              <w:t>2</w:t>
            </w:r>
          </w:p>
        </w:tc>
        <w:tc>
          <w:tcPr>
            <w:tcW w:w="1350" w:type="dxa"/>
            <w:vAlign w:val="top"/>
          </w:tcPr>
          <w:p w14:paraId="0A8D4B1E">
            <w:pPr>
              <w:pStyle w:val="6"/>
              <w:spacing w:before="99" w:line="195" w:lineRule="auto"/>
              <w:ind w:left="497"/>
              <w:rPr>
                <w:sz w:val="20"/>
                <w:szCs w:val="20"/>
              </w:rPr>
            </w:pPr>
            <w:r>
              <w:rPr>
                <w:spacing w:val="2"/>
                <w:sz w:val="20"/>
                <w:szCs w:val="20"/>
              </w:rPr>
              <w:t>0.07</w:t>
            </w:r>
          </w:p>
        </w:tc>
        <w:tc>
          <w:tcPr>
            <w:tcW w:w="1948" w:type="dxa"/>
            <w:tcBorders>
              <w:right w:val="nil"/>
            </w:tcBorders>
            <w:vAlign w:val="top"/>
          </w:tcPr>
          <w:p w14:paraId="05FD8A58">
            <w:pPr>
              <w:pStyle w:val="6"/>
              <w:spacing w:before="99" w:line="195" w:lineRule="auto"/>
              <w:ind w:left="709"/>
              <w:rPr>
                <w:sz w:val="20"/>
                <w:szCs w:val="20"/>
              </w:rPr>
            </w:pPr>
            <w:r>
              <w:rPr>
                <w:spacing w:val="3"/>
                <w:sz w:val="20"/>
                <w:szCs w:val="20"/>
              </w:rPr>
              <w:t>0.54%</w:t>
            </w:r>
          </w:p>
        </w:tc>
      </w:tr>
      <w:tr w14:paraId="33FFD8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8" w:hRule="atLeast"/>
        </w:trPr>
        <w:tc>
          <w:tcPr>
            <w:tcW w:w="1877" w:type="dxa"/>
            <w:tcBorders>
              <w:left w:val="nil"/>
              <w:bottom w:val="single" w:color="000000" w:sz="10" w:space="0"/>
            </w:tcBorders>
            <w:vAlign w:val="top"/>
          </w:tcPr>
          <w:p w14:paraId="23144836">
            <w:pPr>
              <w:spacing w:before="54" w:line="216" w:lineRule="auto"/>
              <w:ind w:left="749"/>
              <w:rPr>
                <w:rFonts w:ascii="仿宋" w:hAnsi="仿宋" w:eastAsia="仿宋" w:cs="仿宋"/>
                <w:sz w:val="20"/>
                <w:szCs w:val="20"/>
              </w:rPr>
            </w:pPr>
            <w:r>
              <w:rPr>
                <w:rFonts w:ascii="仿宋" w:hAnsi="仿宋" w:eastAsia="仿宋" w:cs="仿宋"/>
                <w:spacing w:val="-3"/>
                <w:sz w:val="20"/>
                <w:szCs w:val="20"/>
              </w:rPr>
              <w:t>总计</w:t>
            </w:r>
          </w:p>
        </w:tc>
        <w:tc>
          <w:tcPr>
            <w:tcW w:w="1965" w:type="dxa"/>
            <w:tcBorders>
              <w:bottom w:val="single" w:color="000000" w:sz="10" w:space="0"/>
            </w:tcBorders>
            <w:vAlign w:val="top"/>
          </w:tcPr>
          <w:p w14:paraId="179A04B1">
            <w:pPr>
              <w:rPr>
                <w:rFonts w:ascii="Arial"/>
                <w:sz w:val="21"/>
              </w:rPr>
            </w:pPr>
          </w:p>
        </w:tc>
        <w:tc>
          <w:tcPr>
            <w:tcW w:w="1378" w:type="dxa"/>
            <w:tcBorders>
              <w:bottom w:val="single" w:color="000000" w:sz="10" w:space="0"/>
            </w:tcBorders>
            <w:vAlign w:val="top"/>
          </w:tcPr>
          <w:p w14:paraId="2816F93D">
            <w:pPr>
              <w:pStyle w:val="6"/>
              <w:spacing w:before="90" w:line="195" w:lineRule="auto"/>
              <w:ind w:left="552"/>
              <w:rPr>
                <w:sz w:val="20"/>
                <w:szCs w:val="20"/>
              </w:rPr>
            </w:pPr>
            <w:r>
              <w:rPr>
                <w:spacing w:val="-3"/>
                <w:sz w:val="20"/>
                <w:szCs w:val="20"/>
              </w:rPr>
              <w:t>175</w:t>
            </w:r>
          </w:p>
        </w:tc>
        <w:tc>
          <w:tcPr>
            <w:tcW w:w="1350" w:type="dxa"/>
            <w:tcBorders>
              <w:bottom w:val="single" w:color="000000" w:sz="10" w:space="0"/>
            </w:tcBorders>
            <w:vAlign w:val="top"/>
          </w:tcPr>
          <w:p w14:paraId="01D7A2E8">
            <w:pPr>
              <w:pStyle w:val="6"/>
              <w:spacing w:before="90" w:line="195" w:lineRule="auto"/>
              <w:ind w:left="461"/>
              <w:rPr>
                <w:sz w:val="20"/>
                <w:szCs w:val="20"/>
              </w:rPr>
            </w:pPr>
            <w:r>
              <w:rPr>
                <w:spacing w:val="-1"/>
                <w:sz w:val="20"/>
                <w:szCs w:val="20"/>
              </w:rPr>
              <w:t>13.58</w:t>
            </w:r>
          </w:p>
        </w:tc>
        <w:tc>
          <w:tcPr>
            <w:tcW w:w="1948" w:type="dxa"/>
            <w:tcBorders>
              <w:bottom w:val="single" w:color="000000" w:sz="10" w:space="0"/>
              <w:right w:val="nil"/>
            </w:tcBorders>
            <w:vAlign w:val="top"/>
          </w:tcPr>
          <w:p w14:paraId="7C286CF6">
            <w:pPr>
              <w:pStyle w:val="6"/>
              <w:spacing w:before="90" w:line="195" w:lineRule="auto"/>
              <w:ind w:left="620"/>
              <w:rPr>
                <w:sz w:val="20"/>
                <w:szCs w:val="20"/>
              </w:rPr>
            </w:pPr>
            <w:r>
              <w:rPr>
                <w:spacing w:val="1"/>
                <w:sz w:val="20"/>
                <w:szCs w:val="20"/>
              </w:rPr>
              <w:t>100.00%</w:t>
            </w:r>
          </w:p>
        </w:tc>
      </w:tr>
    </w:tbl>
    <w:p w14:paraId="5E03C798">
      <w:pPr>
        <w:spacing w:before="37" w:line="358" w:lineRule="auto"/>
        <w:ind w:left="124" w:right="104" w:firstLine="480"/>
        <w:rPr>
          <w:rFonts w:ascii="仿宋" w:hAnsi="仿宋" w:eastAsia="仿宋" w:cs="仿宋"/>
          <w:sz w:val="24"/>
          <w:szCs w:val="24"/>
        </w:rPr>
      </w:pPr>
      <w:r>
        <w:rPr>
          <w:rFonts w:ascii="仿宋" w:hAnsi="仿宋" w:eastAsia="仿宋" w:cs="仿宋"/>
          <w:spacing w:val="-6"/>
          <w:sz w:val="24"/>
          <w:szCs w:val="24"/>
        </w:rPr>
        <w:t>根据表</w:t>
      </w:r>
      <w:r>
        <w:rPr>
          <w:rFonts w:ascii="仿宋" w:hAnsi="仿宋" w:eastAsia="仿宋" w:cs="仿宋"/>
          <w:spacing w:val="-47"/>
          <w:sz w:val="24"/>
          <w:szCs w:val="24"/>
        </w:rPr>
        <w:t xml:space="preserve"> </w:t>
      </w:r>
      <w:r>
        <w:rPr>
          <w:rFonts w:ascii="Times New Roman" w:hAnsi="Times New Roman" w:eastAsia="Times New Roman" w:cs="Times New Roman"/>
          <w:spacing w:val="-6"/>
          <w:sz w:val="24"/>
          <w:szCs w:val="24"/>
        </w:rPr>
        <w:t>3.2-</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6"/>
          <w:sz w:val="24"/>
          <w:szCs w:val="24"/>
        </w:rPr>
        <w:t>1</w:t>
      </w:r>
      <w:r>
        <w:rPr>
          <w:rFonts w:ascii="仿宋" w:hAnsi="仿宋" w:eastAsia="仿宋" w:cs="仿宋"/>
          <w:spacing w:val="-6"/>
          <w:sz w:val="24"/>
          <w:szCs w:val="24"/>
        </w:rPr>
        <w:t>，评价范围合计斑块</w:t>
      </w:r>
      <w:r>
        <w:rPr>
          <w:rFonts w:ascii="仿宋" w:hAnsi="仿宋" w:eastAsia="仿宋" w:cs="仿宋"/>
          <w:spacing w:val="-32"/>
          <w:sz w:val="24"/>
          <w:szCs w:val="24"/>
        </w:rPr>
        <w:t xml:space="preserve"> </w:t>
      </w:r>
      <w:r>
        <w:rPr>
          <w:rFonts w:ascii="Times New Roman" w:hAnsi="Times New Roman" w:eastAsia="Times New Roman" w:cs="Times New Roman"/>
          <w:spacing w:val="-6"/>
          <w:sz w:val="24"/>
          <w:szCs w:val="24"/>
        </w:rPr>
        <w:t>1531</w:t>
      </w:r>
      <w:r>
        <w:rPr>
          <w:rFonts w:ascii="Times New Roman" w:hAnsi="Times New Roman" w:eastAsia="Times New Roman" w:cs="Times New Roman"/>
          <w:spacing w:val="16"/>
          <w:w w:val="101"/>
          <w:sz w:val="24"/>
          <w:szCs w:val="24"/>
        </w:rPr>
        <w:t xml:space="preserve"> </w:t>
      </w:r>
      <w:r>
        <w:rPr>
          <w:rFonts w:ascii="仿宋" w:hAnsi="仿宋" w:eastAsia="仿宋" w:cs="仿宋"/>
          <w:spacing w:val="-6"/>
          <w:sz w:val="24"/>
          <w:szCs w:val="24"/>
        </w:rPr>
        <w:t>个，总用地面积</w:t>
      </w:r>
      <w:r>
        <w:rPr>
          <w:rFonts w:ascii="仿宋" w:hAnsi="仿宋" w:eastAsia="仿宋" w:cs="仿宋"/>
          <w:spacing w:val="-32"/>
          <w:sz w:val="24"/>
          <w:szCs w:val="24"/>
        </w:rPr>
        <w:t xml:space="preserve"> </w:t>
      </w:r>
      <w:r>
        <w:rPr>
          <w:rFonts w:ascii="Times New Roman" w:hAnsi="Times New Roman" w:eastAsia="Times New Roman" w:cs="Times New Roman"/>
          <w:spacing w:val="-6"/>
          <w:sz w:val="24"/>
          <w:szCs w:val="24"/>
        </w:rPr>
        <w:t>1810.61hm2</w:t>
      </w:r>
      <w:r>
        <w:rPr>
          <w:rFonts w:ascii="仿宋" w:hAnsi="仿宋" w:eastAsia="仿宋" w:cs="仿宋"/>
          <w:spacing w:val="-6"/>
          <w:sz w:val="24"/>
          <w:szCs w:val="24"/>
        </w:rPr>
        <w:t>，各一级</w:t>
      </w:r>
      <w:r>
        <w:rPr>
          <w:rFonts w:ascii="仿宋" w:hAnsi="仿宋" w:eastAsia="仿宋" w:cs="仿宋"/>
          <w:spacing w:val="-5"/>
          <w:sz w:val="24"/>
          <w:szCs w:val="24"/>
        </w:rPr>
        <w:t>地类面积、</w:t>
      </w:r>
      <w:r>
        <w:rPr>
          <w:rFonts w:ascii="仿宋" w:hAnsi="仿宋" w:eastAsia="仿宋" w:cs="仿宋"/>
          <w:spacing w:val="-63"/>
          <w:sz w:val="24"/>
          <w:szCs w:val="24"/>
        </w:rPr>
        <w:t xml:space="preserve"> </w:t>
      </w:r>
      <w:r>
        <w:rPr>
          <w:rFonts w:ascii="仿宋" w:hAnsi="仿宋" w:eastAsia="仿宋" w:cs="仿宋"/>
          <w:spacing w:val="-5"/>
          <w:sz w:val="24"/>
          <w:szCs w:val="24"/>
        </w:rPr>
        <w:t>占比及分布特征如下：</w:t>
      </w:r>
    </w:p>
    <w:p w14:paraId="14D76A98">
      <w:pPr>
        <w:spacing w:before="1" w:line="359" w:lineRule="auto"/>
        <w:ind w:left="123" w:right="21" w:firstLine="485"/>
        <w:rPr>
          <w:rFonts w:ascii="仿宋" w:hAnsi="仿宋" w:eastAsia="仿宋" w:cs="仿宋"/>
          <w:sz w:val="24"/>
          <w:szCs w:val="24"/>
        </w:rPr>
      </w:pPr>
      <w:r>
        <w:rPr>
          <w:rFonts w:ascii="仿宋" w:hAnsi="仿宋" w:eastAsia="仿宋" w:cs="仿宋"/>
          <w:spacing w:val="-6"/>
          <w:sz w:val="24"/>
          <w:szCs w:val="24"/>
        </w:rPr>
        <w:t>（</w:t>
      </w:r>
      <w:r>
        <w:rPr>
          <w:rFonts w:ascii="Times New Roman" w:hAnsi="Times New Roman" w:eastAsia="Times New Roman" w:cs="Times New Roman"/>
          <w:spacing w:val="-6"/>
          <w:sz w:val="24"/>
          <w:szCs w:val="24"/>
        </w:rPr>
        <w:t>1</w:t>
      </w:r>
      <w:r>
        <w:rPr>
          <w:rFonts w:ascii="仿宋" w:hAnsi="仿宋" w:eastAsia="仿宋" w:cs="仿宋"/>
          <w:spacing w:val="-6"/>
          <w:sz w:val="24"/>
          <w:szCs w:val="24"/>
        </w:rPr>
        <w:t>）耕地：分为水浇地、旱地两类，总面积</w:t>
      </w:r>
      <w:r>
        <w:rPr>
          <w:rFonts w:ascii="仿宋" w:hAnsi="仿宋" w:eastAsia="仿宋" w:cs="仿宋"/>
          <w:spacing w:val="-32"/>
          <w:sz w:val="24"/>
          <w:szCs w:val="24"/>
        </w:rPr>
        <w:t xml:space="preserve"> </w:t>
      </w:r>
      <w:r>
        <w:rPr>
          <w:rFonts w:ascii="Times New Roman" w:hAnsi="Times New Roman" w:eastAsia="Times New Roman" w:cs="Times New Roman"/>
          <w:spacing w:val="-6"/>
          <w:sz w:val="24"/>
          <w:szCs w:val="24"/>
        </w:rPr>
        <w:t>532.57hm2</w:t>
      </w:r>
      <w:r>
        <w:rPr>
          <w:rFonts w:ascii="Times New Roman" w:hAnsi="Times New Roman" w:eastAsia="Times New Roman" w:cs="Times New Roman"/>
          <w:spacing w:val="-27"/>
          <w:sz w:val="24"/>
          <w:szCs w:val="24"/>
        </w:rPr>
        <w:t xml:space="preserve"> </w:t>
      </w:r>
      <w:r>
        <w:rPr>
          <w:rFonts w:ascii="仿宋" w:hAnsi="仿宋" w:eastAsia="仿宋" w:cs="仿宋"/>
          <w:spacing w:val="-6"/>
          <w:sz w:val="24"/>
          <w:szCs w:val="24"/>
        </w:rPr>
        <w:t>，占评价区</w:t>
      </w:r>
      <w:r>
        <w:rPr>
          <w:rFonts w:ascii="仿宋" w:hAnsi="仿宋" w:eastAsia="仿宋" w:cs="仿宋"/>
          <w:spacing w:val="-54"/>
          <w:sz w:val="24"/>
          <w:szCs w:val="24"/>
        </w:rPr>
        <w:t xml:space="preserve"> </w:t>
      </w:r>
      <w:r>
        <w:rPr>
          <w:rFonts w:ascii="Times New Roman" w:hAnsi="Times New Roman" w:eastAsia="Times New Roman" w:cs="Times New Roman"/>
          <w:spacing w:val="-6"/>
          <w:sz w:val="24"/>
          <w:szCs w:val="24"/>
        </w:rPr>
        <w:t>29.42%</w:t>
      </w:r>
      <w:r>
        <w:rPr>
          <w:rFonts w:ascii="仿宋" w:hAnsi="仿宋" w:eastAsia="仿宋" w:cs="仿宋"/>
          <w:spacing w:val="-6"/>
          <w:sz w:val="24"/>
          <w:szCs w:val="24"/>
        </w:rPr>
        <w:t>。</w:t>
      </w:r>
      <w:r>
        <w:rPr>
          <w:rFonts w:ascii="仿宋" w:hAnsi="仿宋" w:eastAsia="仿宋" w:cs="仿宋"/>
          <w:spacing w:val="-4"/>
          <w:sz w:val="24"/>
          <w:szCs w:val="24"/>
        </w:rPr>
        <w:t>其中水浇地</w:t>
      </w:r>
      <w:r>
        <w:rPr>
          <w:rFonts w:ascii="仿宋" w:hAnsi="仿宋" w:eastAsia="仿宋" w:cs="仿宋"/>
          <w:spacing w:val="-49"/>
          <w:sz w:val="24"/>
          <w:szCs w:val="24"/>
        </w:rPr>
        <w:t xml:space="preserve"> </w:t>
      </w:r>
      <w:r>
        <w:rPr>
          <w:rFonts w:ascii="Times New Roman" w:hAnsi="Times New Roman" w:eastAsia="Times New Roman" w:cs="Times New Roman"/>
          <w:spacing w:val="-4"/>
          <w:sz w:val="24"/>
          <w:szCs w:val="24"/>
        </w:rPr>
        <w:t>311.93hm2</w:t>
      </w:r>
      <w:r>
        <w:rPr>
          <w:rFonts w:ascii="仿宋" w:hAnsi="仿宋" w:eastAsia="仿宋" w:cs="仿宋"/>
          <w:spacing w:val="-4"/>
          <w:sz w:val="24"/>
          <w:szCs w:val="24"/>
        </w:rPr>
        <w:t>（</w:t>
      </w:r>
      <w:r>
        <w:rPr>
          <w:rFonts w:ascii="Times New Roman" w:hAnsi="Times New Roman" w:eastAsia="Times New Roman" w:cs="Times New Roman"/>
          <w:spacing w:val="-4"/>
          <w:sz w:val="24"/>
          <w:szCs w:val="24"/>
        </w:rPr>
        <w:t>17.23%</w:t>
      </w:r>
      <w:r>
        <w:rPr>
          <w:rFonts w:ascii="仿宋" w:hAnsi="仿宋" w:eastAsia="仿宋" w:cs="仿宋"/>
          <w:spacing w:val="-4"/>
          <w:sz w:val="24"/>
          <w:szCs w:val="24"/>
        </w:rPr>
        <w:t xml:space="preserve">）、旱地 </w:t>
      </w:r>
      <w:r>
        <w:rPr>
          <w:rFonts w:ascii="Times New Roman" w:hAnsi="Times New Roman" w:eastAsia="Times New Roman" w:cs="Times New Roman"/>
          <w:spacing w:val="-4"/>
          <w:sz w:val="24"/>
          <w:szCs w:val="24"/>
        </w:rPr>
        <w:t>220.64hm2</w:t>
      </w:r>
      <w:r>
        <w:rPr>
          <w:rFonts w:ascii="仿宋" w:hAnsi="仿宋" w:eastAsia="仿宋" w:cs="仿宋"/>
          <w:spacing w:val="-4"/>
          <w:sz w:val="24"/>
          <w:szCs w:val="24"/>
        </w:rPr>
        <w:t>（</w:t>
      </w:r>
      <w:r>
        <w:rPr>
          <w:rFonts w:ascii="Times New Roman" w:hAnsi="Times New Roman" w:eastAsia="Times New Roman" w:cs="Times New Roman"/>
          <w:spacing w:val="-4"/>
          <w:sz w:val="24"/>
          <w:szCs w:val="24"/>
        </w:rPr>
        <w:t>12.</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4"/>
          <w:sz w:val="24"/>
          <w:szCs w:val="24"/>
        </w:rPr>
        <w:t>19%</w:t>
      </w:r>
      <w:r>
        <w:rPr>
          <w:rFonts w:ascii="仿宋" w:hAnsi="仿宋" w:eastAsia="仿宋" w:cs="仿宋"/>
          <w:spacing w:val="15"/>
          <w:sz w:val="24"/>
          <w:szCs w:val="24"/>
        </w:rPr>
        <w:t>），</w:t>
      </w:r>
      <w:r>
        <w:rPr>
          <w:rFonts w:ascii="仿宋" w:hAnsi="仿宋" w:eastAsia="仿宋" w:cs="仿宋"/>
          <w:spacing w:val="-4"/>
          <w:sz w:val="24"/>
          <w:szCs w:val="24"/>
        </w:rPr>
        <w:t>是区域第二大</w:t>
      </w:r>
      <w:r>
        <w:rPr>
          <w:rFonts w:ascii="仿宋" w:hAnsi="仿宋" w:eastAsia="仿宋" w:cs="仿宋"/>
          <w:spacing w:val="-1"/>
          <w:sz w:val="24"/>
          <w:szCs w:val="24"/>
        </w:rPr>
        <w:t>用地类型，农田斑块数量多、分散分布，为区域主要农业生产空间。</w:t>
      </w:r>
    </w:p>
    <w:p w14:paraId="48DC59BB">
      <w:pPr>
        <w:spacing w:before="2" w:line="359" w:lineRule="auto"/>
        <w:ind w:left="124" w:right="28" w:firstLine="484"/>
        <w:rPr>
          <w:rFonts w:ascii="仿宋" w:hAnsi="仿宋" w:eastAsia="仿宋" w:cs="仿宋"/>
          <w:sz w:val="24"/>
          <w:szCs w:val="24"/>
        </w:rPr>
      </w:pPr>
      <w:r>
        <w:rPr>
          <w:rFonts w:ascii="仿宋" w:hAnsi="仿宋" w:eastAsia="仿宋" w:cs="仿宋"/>
          <w:spacing w:val="-6"/>
          <w:sz w:val="24"/>
          <w:szCs w:val="24"/>
        </w:rPr>
        <w:t>（</w:t>
      </w:r>
      <w:r>
        <w:rPr>
          <w:rFonts w:ascii="Times New Roman" w:hAnsi="Times New Roman" w:eastAsia="Times New Roman" w:cs="Times New Roman"/>
          <w:spacing w:val="-6"/>
          <w:sz w:val="24"/>
          <w:szCs w:val="24"/>
        </w:rPr>
        <w:t>2</w:t>
      </w:r>
      <w:r>
        <w:rPr>
          <w:rFonts w:ascii="仿宋" w:hAnsi="仿宋" w:eastAsia="仿宋" w:cs="仿宋"/>
          <w:spacing w:val="-6"/>
          <w:sz w:val="24"/>
          <w:szCs w:val="24"/>
        </w:rPr>
        <w:t>）林地：包含乔木林地、灌木林地、其他林地，总面积</w:t>
      </w:r>
      <w:r>
        <w:rPr>
          <w:rFonts w:ascii="仿宋" w:hAnsi="仿宋" w:eastAsia="仿宋" w:cs="仿宋"/>
          <w:spacing w:val="-48"/>
          <w:sz w:val="24"/>
          <w:szCs w:val="24"/>
        </w:rPr>
        <w:t xml:space="preserve"> </w:t>
      </w:r>
      <w:r>
        <w:rPr>
          <w:rFonts w:ascii="Times New Roman" w:hAnsi="Times New Roman" w:eastAsia="Times New Roman" w:cs="Times New Roman"/>
          <w:spacing w:val="-6"/>
          <w:sz w:val="24"/>
          <w:szCs w:val="24"/>
        </w:rPr>
        <w:t>634.89hm2</w:t>
      </w:r>
      <w:r>
        <w:rPr>
          <w:rFonts w:ascii="Times New Roman" w:hAnsi="Times New Roman" w:eastAsia="Times New Roman" w:cs="Times New Roman"/>
          <w:spacing w:val="-27"/>
          <w:sz w:val="24"/>
          <w:szCs w:val="24"/>
        </w:rPr>
        <w:t xml:space="preserve"> </w:t>
      </w:r>
      <w:r>
        <w:rPr>
          <w:rFonts w:ascii="仿宋" w:hAnsi="仿宋" w:eastAsia="仿宋" w:cs="仿宋"/>
          <w:spacing w:val="-6"/>
          <w:sz w:val="24"/>
          <w:szCs w:val="24"/>
        </w:rPr>
        <w:t>，占评</w:t>
      </w:r>
      <w:r>
        <w:rPr>
          <w:rFonts w:ascii="仿宋" w:hAnsi="仿宋" w:eastAsia="仿宋" w:cs="仿宋"/>
          <w:spacing w:val="-5"/>
          <w:sz w:val="24"/>
          <w:szCs w:val="24"/>
        </w:rPr>
        <w:t xml:space="preserve">价区 </w:t>
      </w:r>
      <w:r>
        <w:rPr>
          <w:rFonts w:ascii="Times New Roman" w:hAnsi="Times New Roman" w:eastAsia="Times New Roman" w:cs="Times New Roman"/>
          <w:spacing w:val="-5"/>
          <w:sz w:val="24"/>
          <w:szCs w:val="24"/>
        </w:rPr>
        <w:t>35.07%</w:t>
      </w:r>
      <w:r>
        <w:rPr>
          <w:rFonts w:ascii="Times New Roman" w:hAnsi="Times New Roman" w:eastAsia="Times New Roman" w:cs="Times New Roman"/>
          <w:spacing w:val="-27"/>
          <w:sz w:val="24"/>
          <w:szCs w:val="24"/>
        </w:rPr>
        <w:t xml:space="preserve"> </w:t>
      </w:r>
      <w:r>
        <w:rPr>
          <w:rFonts w:ascii="仿宋" w:hAnsi="仿宋" w:eastAsia="仿宋" w:cs="仿宋"/>
          <w:spacing w:val="-5"/>
          <w:sz w:val="24"/>
          <w:szCs w:val="24"/>
        </w:rPr>
        <w:t xml:space="preserve">，为评价区面积占比最高的地类。灌木林地 </w:t>
      </w:r>
      <w:r>
        <w:rPr>
          <w:rFonts w:ascii="Times New Roman" w:hAnsi="Times New Roman" w:eastAsia="Times New Roman" w:cs="Times New Roman"/>
          <w:spacing w:val="-5"/>
          <w:sz w:val="24"/>
          <w:szCs w:val="24"/>
        </w:rPr>
        <w:t>263.00hm2</w:t>
      </w:r>
      <w:r>
        <w:rPr>
          <w:rFonts w:ascii="仿宋" w:hAnsi="仿宋" w:eastAsia="仿宋" w:cs="仿宋"/>
          <w:spacing w:val="-5"/>
          <w:sz w:val="24"/>
          <w:szCs w:val="24"/>
        </w:rPr>
        <w:t>（</w:t>
      </w:r>
      <w:r>
        <w:rPr>
          <w:rFonts w:ascii="Times New Roman" w:hAnsi="Times New Roman" w:eastAsia="Times New Roman" w:cs="Times New Roman"/>
          <w:spacing w:val="-5"/>
          <w:sz w:val="24"/>
          <w:szCs w:val="24"/>
        </w:rPr>
        <w:t>14.53%</w:t>
      </w:r>
      <w:r>
        <w:rPr>
          <w:rFonts w:ascii="仿宋" w:hAnsi="仿宋" w:eastAsia="仿宋" w:cs="仿宋"/>
          <w:spacing w:val="-5"/>
          <w:sz w:val="24"/>
          <w:szCs w:val="24"/>
        </w:rPr>
        <w:t>）、乔木林地</w:t>
      </w:r>
      <w:r>
        <w:rPr>
          <w:rFonts w:ascii="仿宋" w:hAnsi="仿宋" w:eastAsia="仿宋" w:cs="仿宋"/>
          <w:spacing w:val="28"/>
          <w:sz w:val="24"/>
          <w:szCs w:val="24"/>
        </w:rPr>
        <w:t xml:space="preserve"> </w:t>
      </w:r>
      <w:r>
        <w:rPr>
          <w:rFonts w:ascii="Times New Roman" w:hAnsi="Times New Roman" w:eastAsia="Times New Roman" w:cs="Times New Roman"/>
          <w:spacing w:val="-5"/>
          <w:sz w:val="24"/>
          <w:szCs w:val="24"/>
        </w:rPr>
        <w:t>185.59hm2</w:t>
      </w:r>
      <w:r>
        <w:rPr>
          <w:rFonts w:ascii="仿宋" w:hAnsi="仿宋" w:eastAsia="仿宋" w:cs="仿宋"/>
          <w:spacing w:val="-5"/>
          <w:sz w:val="24"/>
          <w:szCs w:val="24"/>
        </w:rPr>
        <w:t>（</w:t>
      </w:r>
      <w:r>
        <w:rPr>
          <w:rFonts w:ascii="Times New Roman" w:hAnsi="Times New Roman" w:eastAsia="Times New Roman" w:cs="Times New Roman"/>
          <w:spacing w:val="-5"/>
          <w:sz w:val="24"/>
          <w:szCs w:val="24"/>
        </w:rPr>
        <w:t>10.25%</w:t>
      </w:r>
      <w:r>
        <w:rPr>
          <w:rFonts w:ascii="仿宋" w:hAnsi="仿宋" w:eastAsia="仿宋" w:cs="仿宋"/>
          <w:spacing w:val="-5"/>
          <w:sz w:val="24"/>
          <w:szCs w:val="24"/>
        </w:rPr>
        <w:t xml:space="preserve">）、其他林地 </w:t>
      </w:r>
      <w:r>
        <w:rPr>
          <w:rFonts w:ascii="Times New Roman" w:hAnsi="Times New Roman" w:eastAsia="Times New Roman" w:cs="Times New Roman"/>
          <w:spacing w:val="-5"/>
          <w:sz w:val="24"/>
          <w:szCs w:val="24"/>
        </w:rPr>
        <w:t>93.30hm2</w:t>
      </w:r>
      <w:r>
        <w:rPr>
          <w:rFonts w:ascii="仿宋" w:hAnsi="仿宋" w:eastAsia="仿宋" w:cs="仿宋"/>
          <w:spacing w:val="-5"/>
          <w:sz w:val="24"/>
          <w:szCs w:val="24"/>
        </w:rPr>
        <w:t>（</w:t>
      </w:r>
      <w:r>
        <w:rPr>
          <w:rFonts w:ascii="Times New Roman" w:hAnsi="Times New Roman" w:eastAsia="Times New Roman" w:cs="Times New Roman"/>
          <w:spacing w:val="-5"/>
          <w:sz w:val="24"/>
          <w:szCs w:val="24"/>
        </w:rPr>
        <w:t>5.</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5"/>
          <w:sz w:val="24"/>
          <w:szCs w:val="24"/>
        </w:rPr>
        <w:t>15%</w:t>
      </w:r>
      <w:r>
        <w:rPr>
          <w:rFonts w:ascii="仿宋" w:hAnsi="仿宋" w:eastAsia="仿宋" w:cs="仿宋"/>
          <w:spacing w:val="7"/>
          <w:sz w:val="24"/>
          <w:szCs w:val="24"/>
        </w:rPr>
        <w:t>），</w:t>
      </w:r>
      <w:r>
        <w:rPr>
          <w:rFonts w:ascii="仿宋" w:hAnsi="仿宋" w:eastAsia="仿宋" w:cs="仿宋"/>
          <w:spacing w:val="-5"/>
          <w:sz w:val="24"/>
          <w:szCs w:val="24"/>
        </w:rPr>
        <w:t>林草植被基底</w:t>
      </w:r>
      <w:r>
        <w:rPr>
          <w:rFonts w:ascii="仿宋" w:hAnsi="仿宋" w:eastAsia="仿宋" w:cs="仿宋"/>
          <w:spacing w:val="-2"/>
          <w:sz w:val="24"/>
          <w:szCs w:val="24"/>
        </w:rPr>
        <w:t>条件较好，生态本底优良。</w:t>
      </w:r>
    </w:p>
    <w:p w14:paraId="6A09C6D9">
      <w:pPr>
        <w:spacing w:line="358" w:lineRule="auto"/>
        <w:ind w:left="127" w:right="39" w:firstLine="481"/>
        <w:rPr>
          <w:rFonts w:ascii="仿宋" w:hAnsi="仿宋" w:eastAsia="仿宋" w:cs="仿宋"/>
          <w:sz w:val="24"/>
          <w:szCs w:val="24"/>
        </w:rPr>
      </w:pPr>
      <w:r>
        <w:rPr>
          <w:rFonts w:ascii="仿宋" w:hAnsi="仿宋" w:eastAsia="仿宋" w:cs="仿宋"/>
          <w:spacing w:val="-11"/>
          <w:sz w:val="24"/>
          <w:szCs w:val="24"/>
        </w:rPr>
        <w:t>（</w:t>
      </w:r>
      <w:r>
        <w:rPr>
          <w:rFonts w:ascii="Times New Roman" w:hAnsi="Times New Roman" w:eastAsia="Times New Roman" w:cs="Times New Roman"/>
          <w:spacing w:val="-11"/>
          <w:sz w:val="24"/>
          <w:szCs w:val="24"/>
        </w:rPr>
        <w:t>3</w:t>
      </w:r>
      <w:r>
        <w:rPr>
          <w:rFonts w:ascii="仿宋" w:hAnsi="仿宋" w:eastAsia="仿宋" w:cs="仿宋"/>
          <w:spacing w:val="-11"/>
          <w:sz w:val="24"/>
          <w:szCs w:val="24"/>
        </w:rPr>
        <w:t>）草地：含天然牧草地、其他草地，总</w:t>
      </w:r>
      <w:r>
        <w:rPr>
          <w:rFonts w:ascii="仿宋" w:hAnsi="仿宋" w:eastAsia="仿宋" w:cs="仿宋"/>
          <w:spacing w:val="-12"/>
          <w:sz w:val="24"/>
          <w:szCs w:val="24"/>
        </w:rPr>
        <w:t>面积</w:t>
      </w:r>
      <w:r>
        <w:rPr>
          <w:rFonts w:ascii="仿宋" w:hAnsi="仿宋" w:eastAsia="仿宋" w:cs="仿宋"/>
          <w:spacing w:val="-50"/>
          <w:sz w:val="24"/>
          <w:szCs w:val="24"/>
        </w:rPr>
        <w:t xml:space="preserve"> </w:t>
      </w:r>
      <w:r>
        <w:rPr>
          <w:rFonts w:ascii="Times New Roman" w:hAnsi="Times New Roman" w:eastAsia="Times New Roman" w:cs="Times New Roman"/>
          <w:spacing w:val="-12"/>
          <w:sz w:val="24"/>
          <w:szCs w:val="24"/>
        </w:rPr>
        <w:t>636.97hm2</w:t>
      </w:r>
      <w:r>
        <w:rPr>
          <w:rFonts w:ascii="仿宋" w:hAnsi="仿宋" w:eastAsia="仿宋" w:cs="仿宋"/>
          <w:spacing w:val="-12"/>
          <w:sz w:val="24"/>
          <w:szCs w:val="24"/>
        </w:rPr>
        <w:t>，占评价区</w:t>
      </w:r>
      <w:r>
        <w:rPr>
          <w:rFonts w:ascii="仿宋" w:hAnsi="仿宋" w:eastAsia="仿宋" w:cs="仿宋"/>
          <w:spacing w:val="-50"/>
          <w:sz w:val="24"/>
          <w:szCs w:val="24"/>
        </w:rPr>
        <w:t xml:space="preserve"> </w:t>
      </w:r>
      <w:r>
        <w:rPr>
          <w:rFonts w:ascii="Times New Roman" w:hAnsi="Times New Roman" w:eastAsia="Times New Roman" w:cs="Times New Roman"/>
          <w:spacing w:val="-12"/>
          <w:sz w:val="24"/>
          <w:szCs w:val="24"/>
        </w:rPr>
        <w:t>35.</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12"/>
          <w:sz w:val="24"/>
          <w:szCs w:val="24"/>
        </w:rPr>
        <w:t>18%</w:t>
      </w:r>
      <w:r>
        <w:rPr>
          <w:rFonts w:ascii="仿宋" w:hAnsi="仿宋" w:eastAsia="仿宋" w:cs="仿宋"/>
          <w:spacing w:val="-12"/>
          <w:sz w:val="24"/>
          <w:szCs w:val="24"/>
        </w:rPr>
        <w:t>，</w:t>
      </w:r>
      <w:r>
        <w:rPr>
          <w:rFonts w:ascii="仿宋" w:hAnsi="仿宋" w:eastAsia="仿宋" w:cs="仿宋"/>
          <w:spacing w:val="-2"/>
          <w:sz w:val="24"/>
          <w:szCs w:val="24"/>
        </w:rPr>
        <w:t>占比略高于林地，为区域第一大地类。天然牧草地</w:t>
      </w:r>
      <w:r>
        <w:rPr>
          <w:rFonts w:ascii="仿宋" w:hAnsi="仿宋" w:eastAsia="仿宋" w:cs="仿宋"/>
          <w:spacing w:val="-50"/>
          <w:sz w:val="24"/>
          <w:szCs w:val="24"/>
        </w:rPr>
        <w:t xml:space="preserve"> </w:t>
      </w:r>
      <w:r>
        <w:rPr>
          <w:rFonts w:ascii="Times New Roman" w:hAnsi="Times New Roman" w:eastAsia="Times New Roman" w:cs="Times New Roman"/>
          <w:spacing w:val="-2"/>
          <w:sz w:val="24"/>
          <w:szCs w:val="24"/>
        </w:rPr>
        <w:t>363.51hm2</w:t>
      </w:r>
      <w:r>
        <w:rPr>
          <w:rFonts w:ascii="仿宋" w:hAnsi="仿宋" w:eastAsia="仿宋" w:cs="仿宋"/>
          <w:spacing w:val="-2"/>
          <w:sz w:val="24"/>
          <w:szCs w:val="24"/>
        </w:rPr>
        <w:t>（</w:t>
      </w:r>
      <w:r>
        <w:rPr>
          <w:rFonts w:ascii="Times New Roman" w:hAnsi="Times New Roman" w:eastAsia="Times New Roman" w:cs="Times New Roman"/>
          <w:spacing w:val="-2"/>
          <w:sz w:val="24"/>
          <w:szCs w:val="24"/>
        </w:rPr>
        <w:t>20.</w:t>
      </w:r>
      <w:r>
        <w:rPr>
          <w:rFonts w:ascii="Times New Roman" w:hAnsi="Times New Roman" w:eastAsia="Times New Roman" w:cs="Times New Roman"/>
          <w:spacing w:val="-3"/>
          <w:sz w:val="24"/>
          <w:szCs w:val="24"/>
        </w:rPr>
        <w:t>08%</w:t>
      </w:r>
      <w:r>
        <w:rPr>
          <w:rFonts w:ascii="仿宋" w:hAnsi="仿宋" w:eastAsia="仿宋" w:cs="仿宋"/>
          <w:spacing w:val="-3"/>
          <w:sz w:val="24"/>
          <w:szCs w:val="24"/>
        </w:rPr>
        <w:t>）、其他</w:t>
      </w:r>
      <w:r>
        <w:rPr>
          <w:rFonts w:ascii="仿宋" w:hAnsi="仿宋" w:eastAsia="仿宋" w:cs="仿宋"/>
          <w:spacing w:val="-2"/>
          <w:sz w:val="24"/>
          <w:szCs w:val="24"/>
        </w:rPr>
        <w:t>草地</w:t>
      </w:r>
      <w:r>
        <w:rPr>
          <w:rFonts w:ascii="仿宋" w:hAnsi="仿宋" w:eastAsia="仿宋" w:cs="仿宋"/>
          <w:spacing w:val="-54"/>
          <w:sz w:val="24"/>
          <w:szCs w:val="24"/>
        </w:rPr>
        <w:t xml:space="preserve"> </w:t>
      </w:r>
      <w:r>
        <w:rPr>
          <w:rFonts w:ascii="Times New Roman" w:hAnsi="Times New Roman" w:eastAsia="Times New Roman" w:cs="Times New Roman"/>
          <w:spacing w:val="-2"/>
          <w:sz w:val="24"/>
          <w:szCs w:val="24"/>
        </w:rPr>
        <w:t>272.46hm2</w:t>
      </w:r>
      <w:r>
        <w:rPr>
          <w:rFonts w:ascii="仿宋" w:hAnsi="仿宋" w:eastAsia="仿宋" w:cs="仿宋"/>
          <w:spacing w:val="-2"/>
          <w:sz w:val="24"/>
          <w:szCs w:val="24"/>
        </w:rPr>
        <w:t>（</w:t>
      </w:r>
      <w:r>
        <w:rPr>
          <w:rFonts w:ascii="Times New Roman" w:hAnsi="Times New Roman" w:eastAsia="Times New Roman" w:cs="Times New Roman"/>
          <w:spacing w:val="-2"/>
          <w:sz w:val="24"/>
          <w:szCs w:val="24"/>
        </w:rPr>
        <w:t>15.05%</w:t>
      </w:r>
      <w:r>
        <w:rPr>
          <w:rFonts w:ascii="仿宋" w:hAnsi="仿宋" w:eastAsia="仿宋" w:cs="仿宋"/>
          <w:spacing w:val="10"/>
          <w:sz w:val="24"/>
          <w:szCs w:val="24"/>
        </w:rPr>
        <w:t>），</w:t>
      </w:r>
      <w:r>
        <w:rPr>
          <w:rFonts w:ascii="仿宋" w:hAnsi="仿宋" w:eastAsia="仿宋" w:cs="仿宋"/>
          <w:spacing w:val="-2"/>
          <w:sz w:val="24"/>
          <w:szCs w:val="24"/>
        </w:rPr>
        <w:t>大</w:t>
      </w:r>
      <w:r>
        <w:rPr>
          <w:rFonts w:ascii="仿宋" w:hAnsi="仿宋" w:eastAsia="仿宋" w:cs="仿宋"/>
          <w:spacing w:val="-3"/>
          <w:sz w:val="24"/>
          <w:szCs w:val="24"/>
        </w:rPr>
        <w:t>面积连片分布，是区域核心自然生态空间。</w:t>
      </w:r>
    </w:p>
    <w:p w14:paraId="6EEF261A">
      <w:pPr>
        <w:spacing w:before="3" w:line="222" w:lineRule="auto"/>
        <w:ind w:left="608"/>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4</w:t>
      </w:r>
      <w:r>
        <w:rPr>
          <w:rFonts w:ascii="仿宋" w:hAnsi="仿宋" w:eastAsia="仿宋" w:cs="仿宋"/>
          <w:spacing w:val="-2"/>
          <w:sz w:val="24"/>
          <w:szCs w:val="24"/>
        </w:rPr>
        <w:t>）城乡建设与公共服务用地</w:t>
      </w:r>
    </w:p>
    <w:p w14:paraId="21497516">
      <w:pPr>
        <w:spacing w:before="179" w:line="359" w:lineRule="auto"/>
        <w:ind w:left="123" w:right="212" w:firstLine="480"/>
        <w:rPr>
          <w:rFonts w:ascii="仿宋" w:hAnsi="仿宋" w:eastAsia="仿宋" w:cs="仿宋"/>
          <w:sz w:val="24"/>
          <w:szCs w:val="24"/>
        </w:rPr>
      </w:pPr>
      <w:r>
        <w:rPr>
          <w:rFonts w:ascii="仿宋" w:hAnsi="仿宋" w:eastAsia="仿宋" w:cs="仿宋"/>
          <w:spacing w:val="-6"/>
          <w:sz w:val="24"/>
          <w:szCs w:val="24"/>
        </w:rPr>
        <w:t>住宅用地：合计</w:t>
      </w:r>
      <w:r>
        <w:rPr>
          <w:rFonts w:ascii="仿宋" w:hAnsi="仿宋" w:eastAsia="仿宋" w:cs="仿宋"/>
          <w:spacing w:val="-32"/>
          <w:sz w:val="24"/>
          <w:szCs w:val="24"/>
        </w:rPr>
        <w:t xml:space="preserve"> </w:t>
      </w:r>
      <w:r>
        <w:rPr>
          <w:rFonts w:ascii="Times New Roman" w:hAnsi="Times New Roman" w:eastAsia="Times New Roman" w:cs="Times New Roman"/>
          <w:spacing w:val="-6"/>
          <w:sz w:val="24"/>
          <w:szCs w:val="24"/>
        </w:rPr>
        <w:t>11.</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6"/>
          <w:sz w:val="24"/>
          <w:szCs w:val="24"/>
        </w:rPr>
        <w:t>11hm2</w:t>
      </w:r>
      <w:r>
        <w:rPr>
          <w:rFonts w:ascii="仿宋" w:hAnsi="仿宋" w:eastAsia="仿宋" w:cs="仿宋"/>
          <w:spacing w:val="-6"/>
          <w:sz w:val="24"/>
          <w:szCs w:val="24"/>
        </w:rPr>
        <w:t>（</w:t>
      </w:r>
      <w:r>
        <w:rPr>
          <w:rFonts w:ascii="Times New Roman" w:hAnsi="Times New Roman" w:eastAsia="Times New Roman" w:cs="Times New Roman"/>
          <w:spacing w:val="-6"/>
          <w:sz w:val="24"/>
          <w:szCs w:val="24"/>
        </w:rPr>
        <w:t>0.62%</w:t>
      </w:r>
      <w:r>
        <w:rPr>
          <w:rFonts w:ascii="仿宋" w:hAnsi="仿宋" w:eastAsia="仿宋" w:cs="仿宋"/>
          <w:spacing w:val="20"/>
          <w:sz w:val="24"/>
          <w:szCs w:val="24"/>
        </w:rPr>
        <w:t>），</w:t>
      </w:r>
      <w:r>
        <w:rPr>
          <w:rFonts w:ascii="仿宋" w:hAnsi="仿宋" w:eastAsia="仿宋" w:cs="仿宋"/>
          <w:spacing w:val="-6"/>
          <w:sz w:val="24"/>
          <w:szCs w:val="24"/>
        </w:rPr>
        <w:t>以农村宅基地</w:t>
      </w:r>
      <w:r>
        <w:rPr>
          <w:rFonts w:ascii="仿宋" w:hAnsi="仿宋" w:eastAsia="仿宋" w:cs="仿宋"/>
          <w:spacing w:val="-32"/>
          <w:sz w:val="24"/>
          <w:szCs w:val="24"/>
        </w:rPr>
        <w:t xml:space="preserve"> </w:t>
      </w:r>
      <w:r>
        <w:rPr>
          <w:rFonts w:ascii="Times New Roman" w:hAnsi="Times New Roman" w:eastAsia="Times New Roman" w:cs="Times New Roman"/>
          <w:spacing w:val="-6"/>
          <w:sz w:val="24"/>
          <w:szCs w:val="24"/>
        </w:rPr>
        <w:t xml:space="preserve">10.96hm2  </w:t>
      </w:r>
      <w:r>
        <w:rPr>
          <w:rFonts w:ascii="仿宋" w:hAnsi="仿宋" w:eastAsia="仿宋" w:cs="仿宋"/>
          <w:spacing w:val="-6"/>
          <w:sz w:val="24"/>
          <w:szCs w:val="24"/>
        </w:rPr>
        <w:t>为</w:t>
      </w:r>
      <w:r>
        <w:rPr>
          <w:rFonts w:ascii="仿宋" w:hAnsi="仿宋" w:eastAsia="仿宋" w:cs="仿宋"/>
          <w:spacing w:val="-7"/>
          <w:sz w:val="24"/>
          <w:szCs w:val="24"/>
        </w:rPr>
        <w:t>主，城镇</w:t>
      </w:r>
      <w:r>
        <w:rPr>
          <w:rFonts w:ascii="仿宋" w:hAnsi="仿宋" w:eastAsia="仿宋" w:cs="仿宋"/>
          <w:spacing w:val="-4"/>
          <w:sz w:val="24"/>
          <w:szCs w:val="24"/>
        </w:rPr>
        <w:t xml:space="preserve">住宅仅 </w:t>
      </w:r>
      <w:r>
        <w:rPr>
          <w:rFonts w:ascii="Times New Roman" w:hAnsi="Times New Roman" w:eastAsia="Times New Roman" w:cs="Times New Roman"/>
          <w:spacing w:val="-4"/>
          <w:sz w:val="24"/>
          <w:szCs w:val="24"/>
        </w:rPr>
        <w:t>0.</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4"/>
          <w:sz w:val="24"/>
          <w:szCs w:val="24"/>
        </w:rPr>
        <w:t>15hm2</w:t>
      </w:r>
      <w:r>
        <w:rPr>
          <w:rFonts w:ascii="Times New Roman" w:hAnsi="Times New Roman" w:eastAsia="Times New Roman" w:cs="Times New Roman"/>
          <w:spacing w:val="-27"/>
          <w:sz w:val="24"/>
          <w:szCs w:val="24"/>
        </w:rPr>
        <w:t xml:space="preserve"> </w:t>
      </w:r>
      <w:r>
        <w:rPr>
          <w:rFonts w:ascii="仿宋" w:hAnsi="仿宋" w:eastAsia="仿宋" w:cs="仿宋"/>
          <w:spacing w:val="-4"/>
          <w:sz w:val="24"/>
          <w:szCs w:val="24"/>
        </w:rPr>
        <w:t>，区域城镇化程度低，以乡村聚居模</w:t>
      </w:r>
      <w:r>
        <w:rPr>
          <w:rFonts w:ascii="仿宋" w:hAnsi="仿宋" w:eastAsia="仿宋" w:cs="仿宋"/>
          <w:spacing w:val="-5"/>
          <w:sz w:val="24"/>
          <w:szCs w:val="24"/>
        </w:rPr>
        <w:t>式为主；</w:t>
      </w:r>
    </w:p>
    <w:p w14:paraId="5490602A">
      <w:pPr>
        <w:spacing w:before="1" w:line="359" w:lineRule="auto"/>
        <w:ind w:left="119" w:right="251" w:firstLine="489"/>
        <w:rPr>
          <w:rFonts w:ascii="仿宋" w:hAnsi="仿宋" w:eastAsia="仿宋" w:cs="仿宋"/>
          <w:sz w:val="24"/>
          <w:szCs w:val="24"/>
        </w:rPr>
      </w:pPr>
      <w:r>
        <w:rPr>
          <w:rFonts w:ascii="仿宋" w:hAnsi="仿宋" w:eastAsia="仿宋" w:cs="仿宋"/>
          <w:spacing w:val="-1"/>
          <w:sz w:val="24"/>
          <w:szCs w:val="24"/>
        </w:rPr>
        <w:t>公共管理与公共服务用地、商服用地、工矿仓储用地面积极小，合计不足</w:t>
      </w:r>
      <w:r>
        <w:rPr>
          <w:rFonts w:ascii="Times New Roman" w:hAnsi="Times New Roman" w:eastAsia="Times New Roman" w:cs="Times New Roman"/>
          <w:spacing w:val="-7"/>
          <w:sz w:val="24"/>
          <w:szCs w:val="24"/>
        </w:rPr>
        <w:t>5hm2</w:t>
      </w:r>
      <w:r>
        <w:rPr>
          <w:rFonts w:ascii="Times New Roman" w:hAnsi="Times New Roman" w:eastAsia="Times New Roman" w:cs="Times New Roman"/>
          <w:spacing w:val="-27"/>
          <w:sz w:val="24"/>
          <w:szCs w:val="24"/>
        </w:rPr>
        <w:t xml:space="preserve"> </w:t>
      </w:r>
      <w:r>
        <w:rPr>
          <w:rFonts w:ascii="仿宋" w:hAnsi="仿宋" w:eastAsia="仿宋" w:cs="仿宋"/>
          <w:spacing w:val="-7"/>
          <w:sz w:val="24"/>
          <w:szCs w:val="24"/>
        </w:rPr>
        <w:t>，</w:t>
      </w:r>
      <w:r>
        <w:rPr>
          <w:rFonts w:ascii="仿宋" w:hAnsi="仿宋" w:eastAsia="仿宋" w:cs="仿宋"/>
          <w:spacing w:val="-62"/>
          <w:sz w:val="24"/>
          <w:szCs w:val="24"/>
        </w:rPr>
        <w:t xml:space="preserve"> </w:t>
      </w:r>
      <w:r>
        <w:rPr>
          <w:rFonts w:ascii="仿宋" w:hAnsi="仿宋" w:eastAsia="仿宋" w:cs="仿宋"/>
          <w:spacing w:val="-7"/>
          <w:sz w:val="24"/>
          <w:szCs w:val="24"/>
        </w:rPr>
        <w:t>占比均低于</w:t>
      </w:r>
      <w:r>
        <w:rPr>
          <w:rFonts w:ascii="仿宋" w:hAnsi="仿宋" w:eastAsia="仿宋" w:cs="仿宋"/>
          <w:spacing w:val="-52"/>
          <w:sz w:val="24"/>
          <w:szCs w:val="24"/>
        </w:rPr>
        <w:t xml:space="preserve"> </w:t>
      </w:r>
      <w:r>
        <w:rPr>
          <w:rFonts w:ascii="Times New Roman" w:hAnsi="Times New Roman" w:eastAsia="Times New Roman" w:cs="Times New Roman"/>
          <w:spacing w:val="-7"/>
          <w:sz w:val="24"/>
          <w:szCs w:val="24"/>
        </w:rPr>
        <w:t>0.2%</w:t>
      </w:r>
      <w:r>
        <w:rPr>
          <w:rFonts w:ascii="Times New Roman" w:hAnsi="Times New Roman" w:eastAsia="Times New Roman" w:cs="Times New Roman"/>
          <w:spacing w:val="-25"/>
          <w:sz w:val="24"/>
          <w:szCs w:val="24"/>
        </w:rPr>
        <w:t xml:space="preserve"> </w:t>
      </w:r>
      <w:r>
        <w:rPr>
          <w:rFonts w:ascii="仿宋" w:hAnsi="仿宋" w:eastAsia="仿宋" w:cs="仿宋"/>
          <w:spacing w:val="-7"/>
          <w:sz w:val="24"/>
          <w:szCs w:val="24"/>
        </w:rPr>
        <w:t>，工业、商业开</w:t>
      </w:r>
      <w:r>
        <w:rPr>
          <w:rFonts w:ascii="仿宋" w:hAnsi="仿宋" w:eastAsia="仿宋" w:cs="仿宋"/>
          <w:spacing w:val="-8"/>
          <w:sz w:val="24"/>
          <w:szCs w:val="24"/>
        </w:rPr>
        <w:t>发强度极低；</w:t>
      </w:r>
    </w:p>
    <w:p w14:paraId="04A6ED4B">
      <w:pPr>
        <w:spacing w:line="221" w:lineRule="auto"/>
        <w:ind w:left="603"/>
        <w:rPr>
          <w:rFonts w:ascii="仿宋" w:hAnsi="仿宋" w:eastAsia="仿宋" w:cs="仿宋"/>
          <w:sz w:val="24"/>
          <w:szCs w:val="24"/>
        </w:rPr>
      </w:pPr>
      <w:r>
        <w:rPr>
          <w:rFonts w:ascii="仿宋" w:hAnsi="仿宋" w:eastAsia="仿宋" w:cs="仿宋"/>
          <w:spacing w:val="-7"/>
          <w:sz w:val="24"/>
          <w:szCs w:val="24"/>
        </w:rPr>
        <w:t>特殊用地面积</w:t>
      </w:r>
      <w:r>
        <w:rPr>
          <w:rFonts w:ascii="仿宋" w:hAnsi="仿宋" w:eastAsia="仿宋" w:cs="仿宋"/>
          <w:spacing w:val="-34"/>
          <w:sz w:val="24"/>
          <w:szCs w:val="24"/>
        </w:rPr>
        <w:t xml:space="preserve"> </w:t>
      </w:r>
      <w:r>
        <w:rPr>
          <w:rFonts w:ascii="Times New Roman" w:hAnsi="Times New Roman" w:eastAsia="Times New Roman" w:cs="Times New Roman"/>
          <w:spacing w:val="-7"/>
          <w:sz w:val="24"/>
          <w:szCs w:val="24"/>
        </w:rPr>
        <w:t>0.21hm2</w:t>
      </w:r>
      <w:r>
        <w:rPr>
          <w:rFonts w:ascii="Times New Roman" w:hAnsi="Times New Roman" w:eastAsia="Times New Roman" w:cs="Times New Roman"/>
          <w:spacing w:val="-27"/>
          <w:sz w:val="24"/>
          <w:szCs w:val="24"/>
        </w:rPr>
        <w:t xml:space="preserve"> </w:t>
      </w:r>
      <w:r>
        <w:rPr>
          <w:rFonts w:ascii="仿宋" w:hAnsi="仿宋" w:eastAsia="仿宋" w:cs="仿宋"/>
          <w:spacing w:val="-7"/>
          <w:sz w:val="24"/>
          <w:szCs w:val="24"/>
        </w:rPr>
        <w:t>，</w:t>
      </w:r>
      <w:r>
        <w:rPr>
          <w:rFonts w:ascii="仿宋" w:hAnsi="仿宋" w:eastAsia="仿宋" w:cs="仿宋"/>
          <w:spacing w:val="-63"/>
          <w:sz w:val="24"/>
          <w:szCs w:val="24"/>
        </w:rPr>
        <w:t xml:space="preserve"> </w:t>
      </w:r>
      <w:r>
        <w:rPr>
          <w:rFonts w:ascii="仿宋" w:hAnsi="仿宋" w:eastAsia="仿宋" w:cs="仿宋"/>
          <w:spacing w:val="-7"/>
          <w:sz w:val="24"/>
          <w:szCs w:val="24"/>
        </w:rPr>
        <w:t>占比</w:t>
      </w:r>
      <w:r>
        <w:rPr>
          <w:rFonts w:ascii="仿宋" w:hAnsi="仿宋" w:eastAsia="仿宋" w:cs="仿宋"/>
          <w:spacing w:val="-51"/>
          <w:sz w:val="24"/>
          <w:szCs w:val="24"/>
        </w:rPr>
        <w:t xml:space="preserve"> </w:t>
      </w:r>
      <w:r>
        <w:rPr>
          <w:rFonts w:ascii="Times New Roman" w:hAnsi="Times New Roman" w:eastAsia="Times New Roman" w:cs="Times New Roman"/>
          <w:spacing w:val="-7"/>
          <w:sz w:val="24"/>
          <w:szCs w:val="24"/>
        </w:rPr>
        <w:t>0.01%</w:t>
      </w:r>
      <w:r>
        <w:rPr>
          <w:rFonts w:ascii="Times New Roman" w:hAnsi="Times New Roman" w:eastAsia="Times New Roman" w:cs="Times New Roman"/>
          <w:spacing w:val="-26"/>
          <w:sz w:val="24"/>
          <w:szCs w:val="24"/>
        </w:rPr>
        <w:t xml:space="preserve"> </w:t>
      </w:r>
      <w:r>
        <w:rPr>
          <w:rFonts w:ascii="仿宋" w:hAnsi="仿宋" w:eastAsia="仿宋" w:cs="仿宋"/>
          <w:spacing w:val="-7"/>
          <w:sz w:val="24"/>
          <w:szCs w:val="24"/>
        </w:rPr>
        <w:t>，几乎无特殊管控用地。</w:t>
      </w:r>
    </w:p>
    <w:p w14:paraId="352CDF2B">
      <w:pPr>
        <w:spacing w:before="180" w:line="359" w:lineRule="auto"/>
        <w:ind w:left="123" w:right="104" w:firstLine="485"/>
        <w:jc w:val="both"/>
        <w:rPr>
          <w:rFonts w:ascii="仿宋" w:hAnsi="仿宋" w:eastAsia="仿宋" w:cs="仿宋"/>
          <w:sz w:val="24"/>
          <w:szCs w:val="24"/>
        </w:rPr>
      </w:pPr>
      <w:r>
        <w:rPr>
          <w:rFonts w:ascii="仿宋" w:hAnsi="仿宋" w:eastAsia="仿宋" w:cs="仿宋"/>
          <w:spacing w:val="-9"/>
          <w:sz w:val="24"/>
          <w:szCs w:val="24"/>
        </w:rPr>
        <w:t>（</w:t>
      </w:r>
      <w:r>
        <w:rPr>
          <w:rFonts w:ascii="Times New Roman" w:hAnsi="Times New Roman" w:eastAsia="Times New Roman" w:cs="Times New Roman"/>
          <w:spacing w:val="-9"/>
          <w:sz w:val="24"/>
          <w:szCs w:val="24"/>
        </w:rPr>
        <w:t>5</w:t>
      </w:r>
      <w:r>
        <w:rPr>
          <w:rFonts w:ascii="仿宋" w:hAnsi="仿宋" w:eastAsia="仿宋" w:cs="仿宋"/>
          <w:spacing w:val="-9"/>
          <w:sz w:val="24"/>
          <w:szCs w:val="24"/>
        </w:rPr>
        <w:t>）交通运输用地：总面积</w:t>
      </w:r>
      <w:r>
        <w:rPr>
          <w:rFonts w:ascii="仿宋" w:hAnsi="仿宋" w:eastAsia="仿宋" w:cs="仿宋"/>
          <w:spacing w:val="-41"/>
          <w:sz w:val="24"/>
          <w:szCs w:val="24"/>
        </w:rPr>
        <w:t xml:space="preserve"> </w:t>
      </w:r>
      <w:r>
        <w:rPr>
          <w:rFonts w:ascii="Times New Roman" w:hAnsi="Times New Roman" w:eastAsia="Times New Roman" w:cs="Times New Roman"/>
          <w:spacing w:val="-9"/>
          <w:sz w:val="24"/>
          <w:szCs w:val="24"/>
        </w:rPr>
        <w:t>50.00hm2</w:t>
      </w:r>
      <w:r>
        <w:rPr>
          <w:rFonts w:ascii="Times New Roman" w:hAnsi="Times New Roman" w:eastAsia="Times New Roman" w:cs="Times New Roman"/>
          <w:spacing w:val="-27"/>
          <w:sz w:val="24"/>
          <w:szCs w:val="24"/>
        </w:rPr>
        <w:t xml:space="preserve"> </w:t>
      </w:r>
      <w:r>
        <w:rPr>
          <w:rFonts w:ascii="仿宋" w:hAnsi="仿宋" w:eastAsia="仿宋" w:cs="仿宋"/>
          <w:spacing w:val="-9"/>
          <w:sz w:val="24"/>
          <w:szCs w:val="24"/>
        </w:rPr>
        <w:t>，占评价区</w:t>
      </w:r>
      <w:r>
        <w:rPr>
          <w:rFonts w:ascii="仿宋" w:hAnsi="仿宋" w:eastAsia="仿宋" w:cs="仿宋"/>
          <w:spacing w:val="-55"/>
          <w:sz w:val="24"/>
          <w:szCs w:val="24"/>
        </w:rPr>
        <w:t xml:space="preserve"> </w:t>
      </w:r>
      <w:r>
        <w:rPr>
          <w:rFonts w:ascii="Times New Roman" w:hAnsi="Times New Roman" w:eastAsia="Times New Roman" w:cs="Times New Roman"/>
          <w:spacing w:val="-9"/>
          <w:sz w:val="24"/>
          <w:szCs w:val="24"/>
        </w:rPr>
        <w:t>2.76%</w:t>
      </w:r>
      <w:r>
        <w:rPr>
          <w:rFonts w:ascii="仿宋" w:hAnsi="仿宋" w:eastAsia="仿宋" w:cs="仿宋"/>
          <w:spacing w:val="-9"/>
          <w:sz w:val="24"/>
          <w:szCs w:val="24"/>
        </w:rPr>
        <w:t>。农村道路</w:t>
      </w:r>
      <w:r>
        <w:rPr>
          <w:rFonts w:ascii="仿宋" w:hAnsi="仿宋" w:eastAsia="仿宋" w:cs="仿宋"/>
          <w:spacing w:val="-50"/>
          <w:sz w:val="24"/>
          <w:szCs w:val="24"/>
        </w:rPr>
        <w:t xml:space="preserve"> </w:t>
      </w:r>
      <w:r>
        <w:rPr>
          <w:rFonts w:ascii="Times New Roman" w:hAnsi="Times New Roman" w:eastAsia="Times New Roman" w:cs="Times New Roman"/>
          <w:spacing w:val="-9"/>
          <w:sz w:val="24"/>
          <w:szCs w:val="24"/>
        </w:rPr>
        <w:t>34.38hm2</w:t>
      </w:r>
      <w:r>
        <w:rPr>
          <w:rFonts w:ascii="Times New Roman" w:hAnsi="Times New Roman" w:eastAsia="Times New Roman" w:cs="Times New Roman"/>
          <w:sz w:val="24"/>
          <w:szCs w:val="24"/>
        </w:rPr>
        <w:t xml:space="preserve"> </w:t>
      </w:r>
      <w:r>
        <w:rPr>
          <w:rFonts w:ascii="仿宋" w:hAnsi="仿宋" w:eastAsia="仿宋" w:cs="仿宋"/>
          <w:spacing w:val="-3"/>
          <w:sz w:val="24"/>
          <w:szCs w:val="24"/>
        </w:rPr>
        <w:t>（</w:t>
      </w:r>
      <w:r>
        <w:rPr>
          <w:rFonts w:ascii="Times New Roman" w:hAnsi="Times New Roman" w:eastAsia="Times New Roman" w:cs="Times New Roman"/>
          <w:spacing w:val="-3"/>
          <w:sz w:val="24"/>
          <w:szCs w:val="24"/>
        </w:rPr>
        <w:t>1.90%</w:t>
      </w:r>
      <w:r>
        <w:rPr>
          <w:rFonts w:ascii="仿宋" w:hAnsi="仿宋" w:eastAsia="仿宋" w:cs="仿宋"/>
          <w:spacing w:val="-3"/>
          <w:sz w:val="24"/>
          <w:szCs w:val="24"/>
        </w:rPr>
        <w:t>）为主要交通脉络，公路用地</w:t>
      </w:r>
      <w:r>
        <w:rPr>
          <w:rFonts w:ascii="仿宋" w:hAnsi="仿宋" w:eastAsia="仿宋" w:cs="仿宋"/>
          <w:spacing w:val="-31"/>
          <w:sz w:val="24"/>
          <w:szCs w:val="24"/>
        </w:rPr>
        <w:t xml:space="preserve"> </w:t>
      </w:r>
      <w:r>
        <w:rPr>
          <w:rFonts w:ascii="Times New Roman" w:hAnsi="Times New Roman" w:eastAsia="Times New Roman" w:cs="Times New Roman"/>
          <w:spacing w:val="-3"/>
          <w:sz w:val="24"/>
          <w:szCs w:val="24"/>
        </w:rPr>
        <w:t>16.</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3"/>
          <w:sz w:val="24"/>
          <w:szCs w:val="24"/>
        </w:rPr>
        <w:t>1</w:t>
      </w:r>
      <w:r>
        <w:rPr>
          <w:rFonts w:ascii="Times New Roman" w:hAnsi="Times New Roman" w:eastAsia="Times New Roman" w:cs="Times New Roman"/>
          <w:spacing w:val="-4"/>
          <w:sz w:val="24"/>
          <w:szCs w:val="24"/>
        </w:rPr>
        <w:t>3hm2</w:t>
      </w:r>
      <w:r>
        <w:rPr>
          <w:rFonts w:ascii="仿宋" w:hAnsi="仿宋" w:eastAsia="仿宋" w:cs="仿宋"/>
          <w:spacing w:val="-4"/>
          <w:sz w:val="24"/>
          <w:szCs w:val="24"/>
        </w:rPr>
        <w:t>（</w:t>
      </w:r>
      <w:r>
        <w:rPr>
          <w:rFonts w:ascii="Times New Roman" w:hAnsi="Times New Roman" w:eastAsia="Times New Roman" w:cs="Times New Roman"/>
          <w:spacing w:val="-4"/>
          <w:sz w:val="24"/>
          <w:szCs w:val="24"/>
        </w:rPr>
        <w:t>0.89%</w:t>
      </w:r>
      <w:r>
        <w:rPr>
          <w:rFonts w:ascii="仿宋" w:hAnsi="仿宋" w:eastAsia="仿宋" w:cs="仿宋"/>
          <w:spacing w:val="9"/>
          <w:sz w:val="24"/>
          <w:szCs w:val="24"/>
        </w:rPr>
        <w:t>），</w:t>
      </w:r>
      <w:r>
        <w:rPr>
          <w:rFonts w:ascii="仿宋" w:hAnsi="仿宋" w:eastAsia="仿宋" w:cs="仿宋"/>
          <w:spacing w:val="-4"/>
          <w:sz w:val="24"/>
          <w:szCs w:val="24"/>
        </w:rPr>
        <w:t>配套少量交通场站</w:t>
      </w:r>
      <w:r>
        <w:rPr>
          <w:rFonts w:ascii="仿宋" w:hAnsi="仿宋" w:eastAsia="仿宋" w:cs="仿宋"/>
          <w:spacing w:val="-2"/>
          <w:sz w:val="24"/>
          <w:szCs w:val="24"/>
        </w:rPr>
        <w:t>用地，路网以乡村道路为主。</w:t>
      </w:r>
    </w:p>
    <w:p w14:paraId="4A82B5A5">
      <w:pPr>
        <w:spacing w:line="359" w:lineRule="auto"/>
        <w:rPr>
          <w:rFonts w:ascii="仿宋" w:hAnsi="仿宋" w:eastAsia="仿宋" w:cs="仿宋"/>
          <w:sz w:val="24"/>
          <w:szCs w:val="24"/>
        </w:rPr>
        <w:sectPr>
          <w:footerReference r:id="rId234" w:type="default"/>
          <w:pgSz w:w="11906" w:h="16839"/>
          <w:pgMar w:top="400" w:right="1695" w:bottom="1511" w:left="1691" w:header="0" w:footer="1349" w:gutter="0"/>
          <w:cols w:space="720" w:num="1"/>
        </w:sectPr>
      </w:pPr>
    </w:p>
    <w:p w14:paraId="7C6A97D3">
      <w:pPr>
        <w:pStyle w:val="2"/>
        <w:spacing w:line="248" w:lineRule="auto"/>
        <w:rPr>
          <w:sz w:val="21"/>
        </w:rPr>
      </w:pPr>
    </w:p>
    <w:p w14:paraId="490443AB">
      <w:pPr>
        <w:pStyle w:val="2"/>
        <w:spacing w:line="248" w:lineRule="auto"/>
        <w:rPr>
          <w:sz w:val="21"/>
        </w:rPr>
      </w:pPr>
    </w:p>
    <w:p w14:paraId="3F7D8BD8">
      <w:pPr>
        <w:pStyle w:val="2"/>
        <w:spacing w:line="248" w:lineRule="auto"/>
        <w:rPr>
          <w:sz w:val="21"/>
        </w:rPr>
      </w:pPr>
    </w:p>
    <w:p w14:paraId="2B082756">
      <w:pPr>
        <w:pStyle w:val="2"/>
        <w:spacing w:line="248" w:lineRule="auto"/>
        <w:rPr>
          <w:sz w:val="21"/>
        </w:rPr>
      </w:pPr>
    </w:p>
    <w:p w14:paraId="6903416A">
      <w:pPr>
        <w:spacing w:before="78" w:line="359" w:lineRule="auto"/>
        <w:ind w:left="30" w:right="83" w:firstLine="484"/>
        <w:rPr>
          <w:rFonts w:ascii="仿宋" w:hAnsi="仿宋" w:eastAsia="仿宋" w:cs="仿宋"/>
          <w:sz w:val="24"/>
          <w:szCs w:val="24"/>
        </w:rPr>
      </w:pPr>
      <w:r>
        <w:rPr>
          <w:rFonts w:ascii="仿宋" w:hAnsi="仿宋" w:eastAsia="仿宋" w:cs="仿宋"/>
          <w:spacing w:val="-6"/>
          <w:sz w:val="24"/>
          <w:szCs w:val="24"/>
        </w:rPr>
        <w:t>（</w:t>
      </w:r>
      <w:r>
        <w:rPr>
          <w:rFonts w:ascii="Times New Roman" w:hAnsi="Times New Roman" w:eastAsia="Times New Roman" w:cs="Times New Roman"/>
          <w:spacing w:val="-6"/>
          <w:sz w:val="24"/>
          <w:szCs w:val="24"/>
        </w:rPr>
        <w:t>6</w:t>
      </w:r>
      <w:r>
        <w:rPr>
          <w:rFonts w:ascii="仿宋" w:hAnsi="仿宋" w:eastAsia="仿宋" w:cs="仿宋"/>
          <w:spacing w:val="-6"/>
          <w:sz w:val="24"/>
          <w:szCs w:val="24"/>
        </w:rPr>
        <w:t xml:space="preserve">）水域及水利设施用地：总面积 </w:t>
      </w:r>
      <w:r>
        <w:rPr>
          <w:rFonts w:ascii="Times New Roman" w:hAnsi="Times New Roman" w:eastAsia="Times New Roman" w:cs="Times New Roman"/>
          <w:spacing w:val="-6"/>
          <w:sz w:val="24"/>
          <w:szCs w:val="24"/>
        </w:rPr>
        <w:t>29.30hm2</w:t>
      </w:r>
      <w:r>
        <w:rPr>
          <w:rFonts w:ascii="Times New Roman" w:hAnsi="Times New Roman" w:eastAsia="Times New Roman" w:cs="Times New Roman"/>
          <w:spacing w:val="-23"/>
          <w:sz w:val="24"/>
          <w:szCs w:val="24"/>
        </w:rPr>
        <w:t xml:space="preserve"> </w:t>
      </w:r>
      <w:r>
        <w:rPr>
          <w:rFonts w:ascii="仿宋" w:hAnsi="仿宋" w:eastAsia="仿宋" w:cs="仿宋"/>
          <w:spacing w:val="-6"/>
          <w:sz w:val="24"/>
          <w:szCs w:val="24"/>
        </w:rPr>
        <w:t>，占评价区</w:t>
      </w:r>
      <w:r>
        <w:rPr>
          <w:rFonts w:ascii="仿宋" w:hAnsi="仿宋" w:eastAsia="仿宋" w:cs="仿宋"/>
          <w:spacing w:val="28"/>
          <w:sz w:val="24"/>
          <w:szCs w:val="24"/>
        </w:rPr>
        <w:t xml:space="preserve"> </w:t>
      </w:r>
      <w:r>
        <w:rPr>
          <w:rFonts w:ascii="Times New Roman" w:hAnsi="Times New Roman" w:eastAsia="Times New Roman" w:cs="Times New Roman"/>
          <w:spacing w:val="-6"/>
          <w:sz w:val="24"/>
          <w:szCs w:val="24"/>
        </w:rPr>
        <w:t>1.62%</w:t>
      </w:r>
      <w:r>
        <w:rPr>
          <w:rFonts w:ascii="Times New Roman" w:hAnsi="Times New Roman" w:eastAsia="Times New Roman" w:cs="Times New Roman"/>
          <w:spacing w:val="-28"/>
          <w:sz w:val="24"/>
          <w:szCs w:val="24"/>
        </w:rPr>
        <w:t xml:space="preserve"> </w:t>
      </w:r>
      <w:r>
        <w:rPr>
          <w:rFonts w:ascii="仿宋" w:hAnsi="仿宋" w:eastAsia="仿宋" w:cs="仿宋"/>
          <w:spacing w:val="-6"/>
          <w:sz w:val="24"/>
          <w:szCs w:val="24"/>
        </w:rPr>
        <w:t>，以坑塘水</w:t>
      </w:r>
      <w:r>
        <w:rPr>
          <w:rFonts w:ascii="仿宋" w:hAnsi="仿宋" w:eastAsia="仿宋" w:cs="仿宋"/>
          <w:spacing w:val="-3"/>
          <w:sz w:val="24"/>
          <w:szCs w:val="24"/>
        </w:rPr>
        <w:t>面、沟渠为主要水系，河流水面、内陆滩涂、水工建筑零星分布</w:t>
      </w:r>
      <w:r>
        <w:rPr>
          <w:rFonts w:ascii="仿宋" w:hAnsi="仿宋" w:eastAsia="仿宋" w:cs="仿宋"/>
          <w:spacing w:val="-4"/>
          <w:sz w:val="24"/>
          <w:szCs w:val="24"/>
        </w:rPr>
        <w:t>，整体水域规模</w:t>
      </w:r>
      <w:r>
        <w:rPr>
          <w:rFonts w:ascii="仿宋" w:hAnsi="仿宋" w:eastAsia="仿宋" w:cs="仿宋"/>
          <w:spacing w:val="-6"/>
          <w:sz w:val="24"/>
          <w:szCs w:val="24"/>
        </w:rPr>
        <w:t>偏小。</w:t>
      </w:r>
    </w:p>
    <w:p w14:paraId="2EA04CA6">
      <w:pPr>
        <w:spacing w:before="1" w:line="358" w:lineRule="auto"/>
        <w:ind w:left="29" w:right="215" w:firstLine="485"/>
        <w:rPr>
          <w:rFonts w:ascii="仿宋" w:hAnsi="仿宋" w:eastAsia="仿宋" w:cs="仿宋"/>
          <w:sz w:val="24"/>
          <w:szCs w:val="24"/>
        </w:rPr>
      </w:pPr>
      <w:r>
        <w:rPr>
          <w:rFonts w:ascii="仿宋" w:hAnsi="仿宋" w:eastAsia="仿宋" w:cs="仿宋"/>
          <w:spacing w:val="-6"/>
          <w:sz w:val="24"/>
          <w:szCs w:val="24"/>
        </w:rPr>
        <w:t>（</w:t>
      </w:r>
      <w:r>
        <w:rPr>
          <w:rFonts w:ascii="Times New Roman" w:hAnsi="Times New Roman" w:eastAsia="Times New Roman" w:cs="Times New Roman"/>
          <w:spacing w:val="-6"/>
          <w:sz w:val="24"/>
          <w:szCs w:val="24"/>
        </w:rPr>
        <w:t>7</w:t>
      </w:r>
      <w:r>
        <w:rPr>
          <w:rFonts w:ascii="仿宋" w:hAnsi="仿宋" w:eastAsia="仿宋" w:cs="仿宋"/>
          <w:spacing w:val="-6"/>
          <w:sz w:val="24"/>
          <w:szCs w:val="24"/>
        </w:rPr>
        <w:t xml:space="preserve">）其他土地：合计 </w:t>
      </w:r>
      <w:r>
        <w:rPr>
          <w:rFonts w:ascii="Times New Roman" w:hAnsi="Times New Roman" w:eastAsia="Times New Roman" w:cs="Times New Roman"/>
          <w:spacing w:val="-6"/>
          <w:sz w:val="24"/>
          <w:szCs w:val="24"/>
        </w:rPr>
        <w:t>6.78hm2</w:t>
      </w:r>
      <w:r>
        <w:rPr>
          <w:rFonts w:ascii="Times New Roman" w:hAnsi="Times New Roman" w:eastAsia="Times New Roman" w:cs="Times New Roman"/>
          <w:spacing w:val="-27"/>
          <w:sz w:val="24"/>
          <w:szCs w:val="24"/>
        </w:rPr>
        <w:t xml:space="preserve"> </w:t>
      </w:r>
      <w:r>
        <w:rPr>
          <w:rFonts w:ascii="仿宋" w:hAnsi="仿宋" w:eastAsia="仿宋" w:cs="仿宋"/>
          <w:spacing w:val="-6"/>
          <w:sz w:val="24"/>
          <w:szCs w:val="24"/>
        </w:rPr>
        <w:t>，</w:t>
      </w:r>
      <w:r>
        <w:rPr>
          <w:rFonts w:ascii="仿宋" w:hAnsi="仿宋" w:eastAsia="仿宋" w:cs="仿宋"/>
          <w:spacing w:val="-63"/>
          <w:sz w:val="24"/>
          <w:szCs w:val="24"/>
        </w:rPr>
        <w:t xml:space="preserve"> </w:t>
      </w:r>
      <w:r>
        <w:rPr>
          <w:rFonts w:ascii="仿宋" w:hAnsi="仿宋" w:eastAsia="仿宋" w:cs="仿宋"/>
          <w:spacing w:val="-6"/>
          <w:sz w:val="24"/>
          <w:szCs w:val="24"/>
        </w:rPr>
        <w:t>占评价</w:t>
      </w:r>
      <w:r>
        <w:rPr>
          <w:rFonts w:ascii="仿宋" w:hAnsi="仿宋" w:eastAsia="仿宋" w:cs="仿宋"/>
          <w:spacing w:val="-7"/>
          <w:sz w:val="24"/>
          <w:szCs w:val="24"/>
        </w:rPr>
        <w:t xml:space="preserve">区 </w:t>
      </w:r>
      <w:r>
        <w:rPr>
          <w:rFonts w:ascii="Times New Roman" w:hAnsi="Times New Roman" w:eastAsia="Times New Roman" w:cs="Times New Roman"/>
          <w:spacing w:val="-7"/>
          <w:sz w:val="24"/>
          <w:szCs w:val="24"/>
        </w:rPr>
        <w:t>0.38%</w:t>
      </w:r>
      <w:r>
        <w:rPr>
          <w:rFonts w:ascii="Times New Roman" w:hAnsi="Times New Roman" w:eastAsia="Times New Roman" w:cs="Times New Roman"/>
          <w:spacing w:val="-25"/>
          <w:sz w:val="24"/>
          <w:szCs w:val="24"/>
        </w:rPr>
        <w:t xml:space="preserve"> </w:t>
      </w:r>
      <w:r>
        <w:rPr>
          <w:rFonts w:ascii="仿宋" w:hAnsi="仿宋" w:eastAsia="仿宋" w:cs="仿宋"/>
          <w:spacing w:val="-7"/>
          <w:sz w:val="24"/>
          <w:szCs w:val="24"/>
        </w:rPr>
        <w:t xml:space="preserve">，设施农用地 </w:t>
      </w:r>
      <w:r>
        <w:rPr>
          <w:rFonts w:ascii="Times New Roman" w:hAnsi="Times New Roman" w:eastAsia="Times New Roman" w:cs="Times New Roman"/>
          <w:spacing w:val="-7"/>
          <w:sz w:val="24"/>
          <w:szCs w:val="24"/>
        </w:rPr>
        <w:t>3.88hm2</w:t>
      </w:r>
      <w:r>
        <w:rPr>
          <w:rFonts w:ascii="仿宋" w:hAnsi="仿宋" w:eastAsia="仿宋" w:cs="仿宋"/>
          <w:spacing w:val="-7"/>
          <w:sz w:val="24"/>
          <w:szCs w:val="24"/>
        </w:rPr>
        <w:t>、</w:t>
      </w:r>
      <w:r>
        <w:rPr>
          <w:rFonts w:ascii="仿宋" w:hAnsi="仿宋" w:eastAsia="仿宋" w:cs="仿宋"/>
          <w:spacing w:val="-4"/>
          <w:sz w:val="24"/>
          <w:szCs w:val="24"/>
        </w:rPr>
        <w:t xml:space="preserve">裸土地 </w:t>
      </w:r>
      <w:r>
        <w:rPr>
          <w:rFonts w:ascii="Times New Roman" w:hAnsi="Times New Roman" w:eastAsia="Times New Roman" w:cs="Times New Roman"/>
          <w:spacing w:val="-4"/>
          <w:sz w:val="24"/>
          <w:szCs w:val="24"/>
        </w:rPr>
        <w:t>2.90hm2</w:t>
      </w:r>
      <w:r>
        <w:rPr>
          <w:rFonts w:ascii="Times New Roman" w:hAnsi="Times New Roman" w:eastAsia="Times New Roman" w:cs="Times New Roman"/>
          <w:spacing w:val="-26"/>
          <w:sz w:val="24"/>
          <w:szCs w:val="24"/>
        </w:rPr>
        <w:t xml:space="preserve"> </w:t>
      </w:r>
      <w:r>
        <w:rPr>
          <w:rFonts w:ascii="仿宋" w:hAnsi="仿宋" w:eastAsia="仿宋" w:cs="仿宋"/>
          <w:spacing w:val="-4"/>
          <w:sz w:val="24"/>
          <w:szCs w:val="24"/>
        </w:rPr>
        <w:t>，裸露未利用土地占</w:t>
      </w:r>
      <w:r>
        <w:rPr>
          <w:rFonts w:ascii="仿宋" w:hAnsi="仿宋" w:eastAsia="仿宋" w:cs="仿宋"/>
          <w:spacing w:val="-5"/>
          <w:sz w:val="24"/>
          <w:szCs w:val="24"/>
        </w:rPr>
        <w:t>比很低。</w:t>
      </w:r>
    </w:p>
    <w:p w14:paraId="4632FA05">
      <w:pPr>
        <w:spacing w:line="359" w:lineRule="auto"/>
        <w:ind w:left="29" w:right="83" w:firstLine="480"/>
        <w:jc w:val="both"/>
        <w:rPr>
          <w:rFonts w:ascii="仿宋" w:hAnsi="仿宋" w:eastAsia="仿宋" w:cs="仿宋"/>
          <w:sz w:val="24"/>
          <w:szCs w:val="24"/>
        </w:rPr>
      </w:pPr>
      <w:r>
        <w:rPr>
          <w:rFonts w:ascii="仿宋" w:hAnsi="仿宋" w:eastAsia="仿宋" w:cs="仿宋"/>
          <w:spacing w:val="-3"/>
          <w:sz w:val="24"/>
          <w:szCs w:val="24"/>
        </w:rPr>
        <w:t>整体来看，评价区林、草、耕地三大生态农业用</w:t>
      </w:r>
      <w:r>
        <w:rPr>
          <w:rFonts w:ascii="仿宋" w:hAnsi="仿宋" w:eastAsia="仿宋" w:cs="仿宋"/>
          <w:spacing w:val="-4"/>
          <w:sz w:val="24"/>
          <w:szCs w:val="24"/>
        </w:rPr>
        <w:t>地占绝对主体，三者合计面</w:t>
      </w:r>
      <w:r>
        <w:rPr>
          <w:rFonts w:ascii="仿宋" w:hAnsi="仿宋" w:eastAsia="仿宋" w:cs="仿宋"/>
          <w:spacing w:val="-6"/>
          <w:sz w:val="24"/>
          <w:szCs w:val="24"/>
        </w:rPr>
        <w:t>积</w:t>
      </w:r>
      <w:r>
        <w:rPr>
          <w:rFonts w:ascii="仿宋" w:hAnsi="仿宋" w:eastAsia="仿宋" w:cs="仿宋"/>
          <w:spacing w:val="28"/>
          <w:sz w:val="24"/>
          <w:szCs w:val="24"/>
        </w:rPr>
        <w:t xml:space="preserve"> </w:t>
      </w:r>
      <w:r>
        <w:rPr>
          <w:rFonts w:ascii="Times New Roman" w:hAnsi="Times New Roman" w:eastAsia="Times New Roman" w:cs="Times New Roman"/>
          <w:spacing w:val="-6"/>
          <w:sz w:val="24"/>
          <w:szCs w:val="24"/>
        </w:rPr>
        <w:t>1804.43hm2</w:t>
      </w:r>
      <w:r>
        <w:rPr>
          <w:rFonts w:ascii="Times New Roman" w:hAnsi="Times New Roman" w:eastAsia="Times New Roman" w:cs="Times New Roman"/>
          <w:spacing w:val="-27"/>
          <w:sz w:val="24"/>
          <w:szCs w:val="24"/>
        </w:rPr>
        <w:t xml:space="preserve"> </w:t>
      </w:r>
      <w:r>
        <w:rPr>
          <w:rFonts w:ascii="仿宋" w:hAnsi="仿宋" w:eastAsia="仿宋" w:cs="仿宋"/>
          <w:spacing w:val="-6"/>
          <w:sz w:val="24"/>
          <w:szCs w:val="24"/>
        </w:rPr>
        <w:t>，占全域</w:t>
      </w:r>
      <w:r>
        <w:rPr>
          <w:rFonts w:ascii="仿宋" w:hAnsi="仿宋" w:eastAsia="仿宋" w:cs="仿宋"/>
          <w:spacing w:val="-51"/>
          <w:sz w:val="24"/>
          <w:szCs w:val="24"/>
        </w:rPr>
        <w:t xml:space="preserve"> </w:t>
      </w:r>
      <w:r>
        <w:rPr>
          <w:rFonts w:ascii="Times New Roman" w:hAnsi="Times New Roman" w:eastAsia="Times New Roman" w:cs="Times New Roman"/>
          <w:spacing w:val="-6"/>
          <w:sz w:val="24"/>
          <w:szCs w:val="24"/>
        </w:rPr>
        <w:t>99.66%</w:t>
      </w:r>
      <w:r>
        <w:rPr>
          <w:rFonts w:ascii="仿宋" w:hAnsi="仿宋" w:eastAsia="仿宋" w:cs="仿宋"/>
          <w:spacing w:val="-6"/>
          <w:sz w:val="24"/>
          <w:szCs w:val="24"/>
        </w:rPr>
        <w:t>；建设用地、水域、未利用地占比不足</w:t>
      </w:r>
      <w:r>
        <w:rPr>
          <w:rFonts w:ascii="仿宋" w:hAnsi="仿宋" w:eastAsia="仿宋" w:cs="仿宋"/>
          <w:spacing w:val="-51"/>
          <w:sz w:val="24"/>
          <w:szCs w:val="24"/>
        </w:rPr>
        <w:t xml:space="preserve"> </w:t>
      </w:r>
      <w:r>
        <w:rPr>
          <w:rFonts w:ascii="Times New Roman" w:hAnsi="Times New Roman" w:eastAsia="Times New Roman" w:cs="Times New Roman"/>
          <w:spacing w:val="-6"/>
          <w:sz w:val="24"/>
          <w:szCs w:val="24"/>
        </w:rPr>
        <w:t>0.</w:t>
      </w:r>
      <w:r>
        <w:rPr>
          <w:rFonts w:ascii="Times New Roman" w:hAnsi="Times New Roman" w:eastAsia="Times New Roman" w:cs="Times New Roman"/>
          <w:spacing w:val="-7"/>
          <w:sz w:val="24"/>
          <w:szCs w:val="24"/>
        </w:rPr>
        <w:t>4%</w:t>
      </w:r>
      <w:r>
        <w:rPr>
          <w:rFonts w:ascii="Times New Roman" w:hAnsi="Times New Roman" w:eastAsia="Times New Roman" w:cs="Times New Roman"/>
          <w:spacing w:val="-28"/>
          <w:sz w:val="24"/>
          <w:szCs w:val="24"/>
        </w:rPr>
        <w:t xml:space="preserve"> </w:t>
      </w:r>
      <w:r>
        <w:rPr>
          <w:rFonts w:ascii="仿宋" w:hAnsi="仿宋" w:eastAsia="仿宋" w:cs="仿宋"/>
          <w:spacing w:val="-7"/>
          <w:sz w:val="24"/>
          <w:szCs w:val="24"/>
        </w:rPr>
        <w:t>，区</w:t>
      </w:r>
      <w:r>
        <w:rPr>
          <w:rFonts w:ascii="仿宋" w:hAnsi="仿宋" w:eastAsia="仿宋" w:cs="仿宋"/>
          <w:spacing w:val="-4"/>
          <w:sz w:val="24"/>
          <w:szCs w:val="24"/>
        </w:rPr>
        <w:t>域人为开发扰动强度整体偏低，</w:t>
      </w:r>
      <w:r>
        <w:rPr>
          <w:rFonts w:ascii="仿宋" w:hAnsi="仿宋" w:eastAsia="仿宋" w:cs="仿宋"/>
          <w:spacing w:val="-45"/>
          <w:sz w:val="24"/>
          <w:szCs w:val="24"/>
        </w:rPr>
        <w:t xml:space="preserve"> </w:t>
      </w:r>
      <w:r>
        <w:rPr>
          <w:rFonts w:ascii="仿宋" w:hAnsi="仿宋" w:eastAsia="仿宋" w:cs="仿宋"/>
          <w:spacing w:val="-4"/>
          <w:sz w:val="24"/>
          <w:szCs w:val="24"/>
        </w:rPr>
        <w:t>自然生态基底稳定。</w:t>
      </w:r>
    </w:p>
    <w:p w14:paraId="5805FC31">
      <w:pPr>
        <w:spacing w:before="1" w:line="359" w:lineRule="auto"/>
        <w:ind w:left="30" w:right="83" w:firstLine="480"/>
        <w:jc w:val="both"/>
        <w:rPr>
          <w:rFonts w:ascii="仿宋" w:hAnsi="仿宋" w:eastAsia="仿宋" w:cs="仿宋"/>
          <w:sz w:val="24"/>
          <w:szCs w:val="24"/>
        </w:rPr>
      </w:pPr>
      <w:r>
        <w:rPr>
          <w:rFonts w:ascii="仿宋" w:hAnsi="仿宋" w:eastAsia="仿宋" w:cs="仿宋"/>
          <w:spacing w:val="-7"/>
          <w:sz w:val="24"/>
          <w:szCs w:val="24"/>
        </w:rPr>
        <w:t>根据表</w:t>
      </w:r>
      <w:r>
        <w:rPr>
          <w:rFonts w:ascii="仿宋" w:hAnsi="仿宋" w:eastAsia="仿宋" w:cs="仿宋"/>
          <w:spacing w:val="-50"/>
          <w:sz w:val="24"/>
          <w:szCs w:val="24"/>
        </w:rPr>
        <w:t xml:space="preserve"> </w:t>
      </w:r>
      <w:r>
        <w:rPr>
          <w:rFonts w:ascii="Times New Roman" w:hAnsi="Times New Roman" w:eastAsia="Times New Roman" w:cs="Times New Roman"/>
          <w:spacing w:val="-7"/>
          <w:sz w:val="24"/>
          <w:szCs w:val="24"/>
        </w:rPr>
        <w:t>3.2-2</w:t>
      </w:r>
      <w:r>
        <w:rPr>
          <w:rFonts w:ascii="Times New Roman" w:hAnsi="Times New Roman" w:eastAsia="Times New Roman" w:cs="Times New Roman"/>
          <w:spacing w:val="-25"/>
          <w:sz w:val="24"/>
          <w:szCs w:val="24"/>
        </w:rPr>
        <w:t xml:space="preserve"> </w:t>
      </w:r>
      <w:r>
        <w:rPr>
          <w:rFonts w:ascii="仿宋" w:hAnsi="仿宋" w:eastAsia="仿宋" w:cs="仿宋"/>
          <w:spacing w:val="-7"/>
          <w:sz w:val="24"/>
          <w:szCs w:val="24"/>
        </w:rPr>
        <w:t>，项目占地范围总斑块</w:t>
      </w:r>
      <w:r>
        <w:rPr>
          <w:rFonts w:ascii="仿宋" w:hAnsi="仿宋" w:eastAsia="仿宋" w:cs="仿宋"/>
          <w:spacing w:val="-29"/>
          <w:sz w:val="24"/>
          <w:szCs w:val="24"/>
        </w:rPr>
        <w:t xml:space="preserve"> </w:t>
      </w:r>
      <w:r>
        <w:rPr>
          <w:rFonts w:ascii="Times New Roman" w:hAnsi="Times New Roman" w:eastAsia="Times New Roman" w:cs="Times New Roman"/>
          <w:spacing w:val="-7"/>
          <w:sz w:val="24"/>
          <w:szCs w:val="24"/>
        </w:rPr>
        <w:t>175</w:t>
      </w:r>
      <w:r>
        <w:rPr>
          <w:rFonts w:ascii="Times New Roman" w:hAnsi="Times New Roman" w:eastAsia="Times New Roman" w:cs="Times New Roman"/>
          <w:spacing w:val="19"/>
          <w:sz w:val="24"/>
          <w:szCs w:val="24"/>
        </w:rPr>
        <w:t xml:space="preserve"> </w:t>
      </w:r>
      <w:r>
        <w:rPr>
          <w:rFonts w:ascii="仿宋" w:hAnsi="仿宋" w:eastAsia="仿宋" w:cs="仿宋"/>
          <w:spacing w:val="-7"/>
          <w:sz w:val="24"/>
          <w:szCs w:val="24"/>
        </w:rPr>
        <w:t>个，总</w:t>
      </w:r>
      <w:r>
        <w:rPr>
          <w:rFonts w:ascii="仿宋" w:hAnsi="仿宋" w:eastAsia="仿宋" w:cs="仿宋"/>
          <w:spacing w:val="-63"/>
          <w:sz w:val="24"/>
          <w:szCs w:val="24"/>
        </w:rPr>
        <w:t xml:space="preserve"> </w:t>
      </w:r>
      <w:r>
        <w:rPr>
          <w:rFonts w:ascii="仿宋" w:hAnsi="仿宋" w:eastAsia="仿宋" w:cs="仿宋"/>
          <w:spacing w:val="-8"/>
          <w:sz w:val="24"/>
          <w:szCs w:val="24"/>
        </w:rPr>
        <w:t>占地面积</w:t>
      </w:r>
      <w:r>
        <w:rPr>
          <w:rFonts w:ascii="仿宋" w:hAnsi="仿宋" w:eastAsia="仿宋" w:cs="仿宋"/>
          <w:spacing w:val="-32"/>
          <w:sz w:val="24"/>
          <w:szCs w:val="24"/>
        </w:rPr>
        <w:t xml:space="preserve"> </w:t>
      </w:r>
      <w:r>
        <w:rPr>
          <w:rFonts w:ascii="Times New Roman" w:hAnsi="Times New Roman" w:eastAsia="Times New Roman" w:cs="Times New Roman"/>
          <w:spacing w:val="-8"/>
          <w:sz w:val="24"/>
          <w:szCs w:val="24"/>
        </w:rPr>
        <w:t>13.58hm2</w:t>
      </w:r>
      <w:r>
        <w:rPr>
          <w:rFonts w:ascii="Times New Roman" w:hAnsi="Times New Roman" w:eastAsia="Times New Roman" w:cs="Times New Roman"/>
          <w:spacing w:val="-24"/>
          <w:sz w:val="24"/>
          <w:szCs w:val="24"/>
        </w:rPr>
        <w:t xml:space="preserve"> </w:t>
      </w:r>
      <w:r>
        <w:rPr>
          <w:rFonts w:ascii="仿宋" w:hAnsi="仿宋" w:eastAsia="仿宋" w:cs="仿宋"/>
          <w:spacing w:val="-8"/>
          <w:sz w:val="24"/>
          <w:szCs w:val="24"/>
        </w:rPr>
        <w:t>，</w:t>
      </w:r>
      <w:r>
        <w:rPr>
          <w:rFonts w:ascii="仿宋" w:hAnsi="仿宋" w:eastAsia="仿宋" w:cs="仿宋"/>
          <w:spacing w:val="-61"/>
          <w:sz w:val="24"/>
          <w:szCs w:val="24"/>
        </w:rPr>
        <w:t xml:space="preserve"> </w:t>
      </w:r>
      <w:r>
        <w:rPr>
          <w:rFonts w:ascii="仿宋" w:hAnsi="仿宋" w:eastAsia="仿宋" w:cs="仿宋"/>
          <w:spacing w:val="-8"/>
          <w:sz w:val="24"/>
          <w:szCs w:val="24"/>
        </w:rPr>
        <w:t>占地内</w:t>
      </w:r>
      <w:r>
        <w:rPr>
          <w:rFonts w:ascii="仿宋" w:hAnsi="仿宋" w:eastAsia="仿宋" w:cs="仿宋"/>
          <w:spacing w:val="-3"/>
          <w:sz w:val="24"/>
          <w:szCs w:val="24"/>
        </w:rPr>
        <w:t>部无耕地、城乡住宅、工矿、水域等用地，仅分布林地、草地、</w:t>
      </w:r>
      <w:r>
        <w:rPr>
          <w:rFonts w:ascii="仿宋" w:hAnsi="仿宋" w:eastAsia="仿宋" w:cs="仿宋"/>
          <w:spacing w:val="-4"/>
          <w:sz w:val="24"/>
          <w:szCs w:val="24"/>
        </w:rPr>
        <w:t>农村道路、裸土</w:t>
      </w:r>
      <w:r>
        <w:rPr>
          <w:rFonts w:ascii="仿宋" w:hAnsi="仿宋" w:eastAsia="仿宋" w:cs="仿宋"/>
          <w:spacing w:val="-2"/>
          <w:sz w:val="24"/>
          <w:szCs w:val="24"/>
        </w:rPr>
        <w:t>地四类，结构特征如下：</w:t>
      </w:r>
    </w:p>
    <w:p w14:paraId="58325FCA">
      <w:pPr>
        <w:spacing w:before="1" w:line="359" w:lineRule="auto"/>
        <w:ind w:left="30" w:right="83" w:firstLine="484"/>
        <w:rPr>
          <w:rFonts w:ascii="仿宋" w:hAnsi="仿宋" w:eastAsia="仿宋" w:cs="仿宋"/>
          <w:sz w:val="24"/>
          <w:szCs w:val="24"/>
        </w:rPr>
      </w:pPr>
      <w:r>
        <w:rPr>
          <w:rFonts w:ascii="仿宋" w:hAnsi="仿宋" w:eastAsia="仿宋" w:cs="仿宋"/>
          <w:spacing w:val="-7"/>
          <w:sz w:val="24"/>
          <w:szCs w:val="24"/>
        </w:rPr>
        <w:t>（</w:t>
      </w:r>
      <w:r>
        <w:rPr>
          <w:rFonts w:ascii="Times New Roman" w:hAnsi="Times New Roman" w:eastAsia="Times New Roman" w:cs="Times New Roman"/>
          <w:spacing w:val="-7"/>
          <w:sz w:val="24"/>
          <w:szCs w:val="24"/>
        </w:rPr>
        <w:t>1</w:t>
      </w:r>
      <w:r>
        <w:rPr>
          <w:rFonts w:ascii="仿宋" w:hAnsi="仿宋" w:eastAsia="仿宋" w:cs="仿宋"/>
          <w:spacing w:val="-7"/>
          <w:sz w:val="24"/>
          <w:szCs w:val="24"/>
        </w:rPr>
        <w:t>）交通运输用地（农村道路</w:t>
      </w:r>
      <w:r>
        <w:rPr>
          <w:rFonts w:ascii="仿宋" w:hAnsi="仿宋" w:eastAsia="仿宋" w:cs="仿宋"/>
          <w:spacing w:val="13"/>
          <w:sz w:val="24"/>
          <w:szCs w:val="24"/>
        </w:rPr>
        <w:t>）：</w:t>
      </w:r>
      <w:r>
        <w:rPr>
          <w:rFonts w:ascii="仿宋" w:hAnsi="仿宋" w:eastAsia="仿宋" w:cs="仿宋"/>
          <w:spacing w:val="-7"/>
          <w:sz w:val="24"/>
          <w:szCs w:val="24"/>
        </w:rPr>
        <w:t>面积</w:t>
      </w:r>
      <w:r>
        <w:rPr>
          <w:rFonts w:ascii="仿宋" w:hAnsi="仿宋" w:eastAsia="仿宋" w:cs="仿宋"/>
          <w:spacing w:val="-48"/>
          <w:sz w:val="24"/>
          <w:szCs w:val="24"/>
        </w:rPr>
        <w:t xml:space="preserve"> </w:t>
      </w:r>
      <w:r>
        <w:rPr>
          <w:rFonts w:ascii="Times New Roman" w:hAnsi="Times New Roman" w:eastAsia="Times New Roman" w:cs="Times New Roman"/>
          <w:spacing w:val="-7"/>
          <w:sz w:val="24"/>
          <w:szCs w:val="24"/>
        </w:rPr>
        <w:t>9.92hm2</w:t>
      </w:r>
      <w:r>
        <w:rPr>
          <w:rFonts w:ascii="Times New Roman" w:hAnsi="Times New Roman" w:eastAsia="Times New Roman" w:cs="Times New Roman"/>
          <w:spacing w:val="-26"/>
          <w:sz w:val="24"/>
          <w:szCs w:val="24"/>
        </w:rPr>
        <w:t xml:space="preserve"> </w:t>
      </w:r>
      <w:r>
        <w:rPr>
          <w:rFonts w:ascii="仿宋" w:hAnsi="仿宋" w:eastAsia="仿宋" w:cs="仿宋"/>
          <w:spacing w:val="-7"/>
          <w:sz w:val="24"/>
          <w:szCs w:val="24"/>
        </w:rPr>
        <w:t>，</w:t>
      </w:r>
      <w:r>
        <w:rPr>
          <w:rFonts w:ascii="仿宋" w:hAnsi="仿宋" w:eastAsia="仿宋" w:cs="仿宋"/>
          <w:spacing w:val="-61"/>
          <w:sz w:val="24"/>
          <w:szCs w:val="24"/>
        </w:rPr>
        <w:t xml:space="preserve"> </w:t>
      </w:r>
      <w:r>
        <w:rPr>
          <w:rFonts w:ascii="仿宋" w:hAnsi="仿宋" w:eastAsia="仿宋" w:cs="仿宋"/>
          <w:spacing w:val="-7"/>
          <w:sz w:val="24"/>
          <w:szCs w:val="24"/>
        </w:rPr>
        <w:t>占项目</w:t>
      </w:r>
      <w:r>
        <w:rPr>
          <w:rFonts w:ascii="仿宋" w:hAnsi="仿宋" w:eastAsia="仿宋" w:cs="仿宋"/>
          <w:spacing w:val="-60"/>
          <w:sz w:val="24"/>
          <w:szCs w:val="24"/>
        </w:rPr>
        <w:t xml:space="preserve"> </w:t>
      </w:r>
      <w:r>
        <w:rPr>
          <w:rFonts w:ascii="仿宋" w:hAnsi="仿宋" w:eastAsia="仿宋" w:cs="仿宋"/>
          <w:spacing w:val="-7"/>
          <w:sz w:val="24"/>
          <w:szCs w:val="24"/>
        </w:rPr>
        <w:t>占地</w:t>
      </w:r>
      <w:r>
        <w:rPr>
          <w:rFonts w:ascii="仿宋" w:hAnsi="仿宋" w:eastAsia="仿宋" w:cs="仿宋"/>
          <w:spacing w:val="-49"/>
          <w:sz w:val="24"/>
          <w:szCs w:val="24"/>
        </w:rPr>
        <w:t xml:space="preserve"> </w:t>
      </w:r>
      <w:r>
        <w:rPr>
          <w:rFonts w:ascii="Times New Roman" w:hAnsi="Times New Roman" w:eastAsia="Times New Roman" w:cs="Times New Roman"/>
          <w:spacing w:val="-7"/>
          <w:sz w:val="24"/>
          <w:szCs w:val="24"/>
        </w:rPr>
        <w:t>73.03%</w:t>
      </w:r>
      <w:r>
        <w:rPr>
          <w:rFonts w:ascii="Times New Roman" w:hAnsi="Times New Roman" w:eastAsia="Times New Roman" w:cs="Times New Roman"/>
          <w:spacing w:val="-26"/>
          <w:sz w:val="24"/>
          <w:szCs w:val="24"/>
        </w:rPr>
        <w:t xml:space="preserve"> </w:t>
      </w:r>
      <w:r>
        <w:rPr>
          <w:rFonts w:ascii="仿宋" w:hAnsi="仿宋" w:eastAsia="仿宋" w:cs="仿宋"/>
          <w:spacing w:val="-7"/>
          <w:sz w:val="24"/>
          <w:szCs w:val="24"/>
        </w:rPr>
        <w:t>，是</w:t>
      </w:r>
      <w:r>
        <w:rPr>
          <w:rFonts w:ascii="仿宋" w:hAnsi="仿宋" w:eastAsia="仿宋" w:cs="仿宋"/>
          <w:spacing w:val="-3"/>
          <w:sz w:val="24"/>
          <w:szCs w:val="24"/>
        </w:rPr>
        <w:t>占地范围内最主要地类，本项目依托、改造现有乡村道路布设工</w:t>
      </w:r>
      <w:r>
        <w:rPr>
          <w:rFonts w:ascii="仿宋" w:hAnsi="仿宋" w:eastAsia="仿宋" w:cs="仿宋"/>
          <w:spacing w:val="-4"/>
          <w:sz w:val="24"/>
          <w:szCs w:val="24"/>
        </w:rPr>
        <w:t>程线路，占地主</w:t>
      </w:r>
      <w:r>
        <w:rPr>
          <w:rFonts w:ascii="仿宋" w:hAnsi="仿宋" w:eastAsia="仿宋" w:cs="仿宋"/>
          <w:spacing w:val="-2"/>
          <w:sz w:val="24"/>
          <w:szCs w:val="24"/>
        </w:rPr>
        <w:t>体为原有乡村通道。</w:t>
      </w:r>
    </w:p>
    <w:p w14:paraId="49246E85">
      <w:pPr>
        <w:spacing w:before="3" w:line="358" w:lineRule="auto"/>
        <w:ind w:left="29" w:right="83" w:firstLine="485"/>
        <w:rPr>
          <w:rFonts w:ascii="仿宋" w:hAnsi="仿宋" w:eastAsia="仿宋" w:cs="仿宋"/>
          <w:sz w:val="24"/>
          <w:szCs w:val="24"/>
        </w:rPr>
      </w:pPr>
      <w:r>
        <w:rPr>
          <w:rFonts w:ascii="仿宋" w:hAnsi="仿宋" w:eastAsia="仿宋" w:cs="仿宋"/>
          <w:spacing w:val="-8"/>
          <w:sz w:val="24"/>
          <w:szCs w:val="24"/>
        </w:rPr>
        <w:t>（</w:t>
      </w:r>
      <w:r>
        <w:rPr>
          <w:rFonts w:ascii="Times New Roman" w:hAnsi="Times New Roman" w:eastAsia="Times New Roman" w:cs="Times New Roman"/>
          <w:spacing w:val="-8"/>
          <w:sz w:val="24"/>
          <w:szCs w:val="24"/>
        </w:rPr>
        <w:t>2</w:t>
      </w:r>
      <w:r>
        <w:rPr>
          <w:rFonts w:ascii="仿宋" w:hAnsi="仿宋" w:eastAsia="仿宋" w:cs="仿宋"/>
          <w:spacing w:val="-8"/>
          <w:sz w:val="24"/>
          <w:szCs w:val="24"/>
        </w:rPr>
        <w:t>）</w:t>
      </w:r>
      <w:r>
        <w:rPr>
          <w:rFonts w:ascii="仿宋" w:hAnsi="仿宋" w:eastAsia="仿宋" w:cs="仿宋"/>
          <w:spacing w:val="-60"/>
          <w:sz w:val="24"/>
          <w:szCs w:val="24"/>
        </w:rPr>
        <w:t xml:space="preserve"> </w:t>
      </w:r>
      <w:r>
        <w:rPr>
          <w:rFonts w:ascii="仿宋" w:hAnsi="仿宋" w:eastAsia="仿宋" w:cs="仿宋"/>
          <w:spacing w:val="-8"/>
          <w:sz w:val="24"/>
          <w:szCs w:val="24"/>
        </w:rPr>
        <w:t>林地：</w:t>
      </w:r>
      <w:r>
        <w:rPr>
          <w:rFonts w:ascii="仿宋" w:hAnsi="仿宋" w:eastAsia="仿宋" w:cs="仿宋"/>
          <w:spacing w:val="-64"/>
          <w:sz w:val="24"/>
          <w:szCs w:val="24"/>
        </w:rPr>
        <w:t xml:space="preserve"> </w:t>
      </w:r>
      <w:r>
        <w:rPr>
          <w:rFonts w:ascii="仿宋" w:hAnsi="仿宋" w:eastAsia="仿宋" w:cs="仿宋"/>
          <w:spacing w:val="-8"/>
          <w:sz w:val="24"/>
          <w:szCs w:val="24"/>
        </w:rPr>
        <w:t xml:space="preserve">合计 </w:t>
      </w:r>
      <w:r>
        <w:rPr>
          <w:rFonts w:ascii="Times New Roman" w:hAnsi="Times New Roman" w:eastAsia="Times New Roman" w:cs="Times New Roman"/>
          <w:spacing w:val="-8"/>
          <w:sz w:val="24"/>
          <w:szCs w:val="24"/>
        </w:rPr>
        <w:t xml:space="preserve">1.98hm2 </w:t>
      </w:r>
      <w:r>
        <w:rPr>
          <w:rFonts w:ascii="仿宋" w:hAnsi="仿宋" w:eastAsia="仿宋" w:cs="仿宋"/>
          <w:spacing w:val="-8"/>
          <w:sz w:val="24"/>
          <w:szCs w:val="24"/>
        </w:rPr>
        <w:t>，</w:t>
      </w:r>
      <w:r>
        <w:rPr>
          <w:rFonts w:ascii="仿宋" w:hAnsi="仿宋" w:eastAsia="仿宋" w:cs="仿宋"/>
          <w:spacing w:val="-46"/>
          <w:sz w:val="24"/>
          <w:szCs w:val="24"/>
        </w:rPr>
        <w:t xml:space="preserve"> </w:t>
      </w:r>
      <w:r>
        <w:rPr>
          <w:rFonts w:ascii="仿宋" w:hAnsi="仿宋" w:eastAsia="仿宋" w:cs="仿宋"/>
          <w:spacing w:val="-8"/>
          <w:sz w:val="24"/>
          <w:szCs w:val="24"/>
        </w:rPr>
        <w:t>占项</w:t>
      </w:r>
      <w:r>
        <w:rPr>
          <w:rFonts w:ascii="仿宋" w:hAnsi="仿宋" w:eastAsia="仿宋" w:cs="仿宋"/>
          <w:spacing w:val="-45"/>
          <w:sz w:val="24"/>
          <w:szCs w:val="24"/>
        </w:rPr>
        <w:t xml:space="preserve"> </w:t>
      </w:r>
      <w:r>
        <w:rPr>
          <w:rFonts w:ascii="仿宋" w:hAnsi="仿宋" w:eastAsia="仿宋" w:cs="仿宋"/>
          <w:spacing w:val="-8"/>
          <w:sz w:val="24"/>
          <w:szCs w:val="24"/>
        </w:rPr>
        <w:t>目</w:t>
      </w:r>
      <w:r>
        <w:rPr>
          <w:rFonts w:ascii="仿宋" w:hAnsi="仿宋" w:eastAsia="仿宋" w:cs="仿宋"/>
          <w:spacing w:val="-46"/>
          <w:sz w:val="24"/>
          <w:szCs w:val="24"/>
        </w:rPr>
        <w:t xml:space="preserve"> </w:t>
      </w:r>
      <w:r>
        <w:rPr>
          <w:rFonts w:ascii="仿宋" w:hAnsi="仿宋" w:eastAsia="仿宋" w:cs="仿宋"/>
          <w:spacing w:val="-8"/>
          <w:sz w:val="24"/>
          <w:szCs w:val="24"/>
        </w:rPr>
        <w:t xml:space="preserve">占地 </w:t>
      </w:r>
      <w:r>
        <w:rPr>
          <w:rFonts w:ascii="Times New Roman" w:hAnsi="Times New Roman" w:eastAsia="Times New Roman" w:cs="Times New Roman"/>
          <w:spacing w:val="-8"/>
          <w:sz w:val="24"/>
          <w:szCs w:val="24"/>
        </w:rPr>
        <w:t xml:space="preserve">14.55% </w:t>
      </w:r>
      <w:r>
        <w:rPr>
          <w:rFonts w:ascii="仿宋" w:hAnsi="仿宋" w:eastAsia="仿宋" w:cs="仿宋"/>
          <w:spacing w:val="-8"/>
          <w:sz w:val="24"/>
          <w:szCs w:val="24"/>
        </w:rPr>
        <w:t xml:space="preserve">。其中灌木林地 </w:t>
      </w:r>
      <w:r>
        <w:rPr>
          <w:rFonts w:ascii="Times New Roman" w:hAnsi="Times New Roman" w:eastAsia="Times New Roman" w:cs="Times New Roman"/>
          <w:spacing w:val="-8"/>
          <w:sz w:val="24"/>
          <w:szCs w:val="24"/>
        </w:rPr>
        <w:t>1.60hm2</w:t>
      </w:r>
      <w:r>
        <w:rPr>
          <w:rFonts w:ascii="Times New Roman" w:hAnsi="Times New Roman" w:eastAsia="Times New Roman" w:cs="Times New Roman"/>
          <w:sz w:val="24"/>
          <w:szCs w:val="24"/>
        </w:rPr>
        <w:t xml:space="preserve"> </w:t>
      </w:r>
      <w:r>
        <w:rPr>
          <w:rFonts w:ascii="仿宋" w:hAnsi="仿宋" w:eastAsia="仿宋" w:cs="仿宋"/>
          <w:spacing w:val="-3"/>
          <w:sz w:val="24"/>
          <w:szCs w:val="24"/>
        </w:rPr>
        <w:t>（</w:t>
      </w:r>
      <w:r>
        <w:rPr>
          <w:rFonts w:ascii="Times New Roman" w:hAnsi="Times New Roman" w:eastAsia="Times New Roman" w:cs="Times New Roman"/>
          <w:spacing w:val="-3"/>
          <w:sz w:val="24"/>
          <w:szCs w:val="24"/>
        </w:rPr>
        <w:t>11.80%</w:t>
      </w:r>
      <w:r>
        <w:rPr>
          <w:rFonts w:ascii="仿宋" w:hAnsi="仿宋" w:eastAsia="仿宋" w:cs="仿宋"/>
          <w:spacing w:val="-3"/>
          <w:sz w:val="24"/>
          <w:szCs w:val="24"/>
        </w:rPr>
        <w:t>）、乔木林地</w:t>
      </w:r>
      <w:r>
        <w:rPr>
          <w:rFonts w:ascii="仿宋" w:hAnsi="仿宋" w:eastAsia="仿宋" w:cs="仿宋"/>
          <w:spacing w:val="-48"/>
          <w:sz w:val="24"/>
          <w:szCs w:val="24"/>
        </w:rPr>
        <w:t xml:space="preserve"> </w:t>
      </w:r>
      <w:r>
        <w:rPr>
          <w:rFonts w:ascii="Times New Roman" w:hAnsi="Times New Roman" w:eastAsia="Times New Roman" w:cs="Times New Roman"/>
          <w:spacing w:val="-3"/>
          <w:sz w:val="24"/>
          <w:szCs w:val="24"/>
        </w:rPr>
        <w:t>0.29hm2</w:t>
      </w:r>
      <w:r>
        <w:rPr>
          <w:rFonts w:ascii="仿宋" w:hAnsi="仿宋" w:eastAsia="仿宋" w:cs="仿宋"/>
          <w:spacing w:val="-3"/>
          <w:sz w:val="24"/>
          <w:szCs w:val="24"/>
        </w:rPr>
        <w:t>（</w:t>
      </w:r>
      <w:r>
        <w:rPr>
          <w:rFonts w:ascii="Times New Roman" w:hAnsi="Times New Roman" w:eastAsia="Times New Roman" w:cs="Times New Roman"/>
          <w:spacing w:val="-3"/>
          <w:sz w:val="24"/>
          <w:szCs w:val="24"/>
        </w:rPr>
        <w:t>2.</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3"/>
          <w:sz w:val="24"/>
          <w:szCs w:val="24"/>
        </w:rPr>
        <w:t>11%</w:t>
      </w:r>
      <w:r>
        <w:rPr>
          <w:rFonts w:ascii="仿宋" w:hAnsi="仿宋" w:eastAsia="仿宋" w:cs="仿宋"/>
          <w:spacing w:val="-3"/>
          <w:sz w:val="24"/>
          <w:szCs w:val="24"/>
        </w:rPr>
        <w:t>）、其他林地</w:t>
      </w:r>
      <w:r>
        <w:rPr>
          <w:rFonts w:ascii="仿宋" w:hAnsi="仿宋" w:eastAsia="仿宋" w:cs="仿宋"/>
          <w:spacing w:val="-49"/>
          <w:sz w:val="24"/>
          <w:szCs w:val="24"/>
        </w:rPr>
        <w:t xml:space="preserve"> </w:t>
      </w:r>
      <w:r>
        <w:rPr>
          <w:rFonts w:ascii="Times New Roman" w:hAnsi="Times New Roman" w:eastAsia="Times New Roman" w:cs="Times New Roman"/>
          <w:spacing w:val="-3"/>
          <w:sz w:val="24"/>
          <w:szCs w:val="24"/>
        </w:rPr>
        <w:t>0.09hm2</w:t>
      </w:r>
      <w:r>
        <w:rPr>
          <w:rFonts w:ascii="仿宋" w:hAnsi="仿宋" w:eastAsia="仿宋" w:cs="仿宋"/>
          <w:spacing w:val="-3"/>
          <w:sz w:val="24"/>
          <w:szCs w:val="24"/>
        </w:rPr>
        <w:t>（</w:t>
      </w:r>
      <w:r>
        <w:rPr>
          <w:rFonts w:ascii="Times New Roman" w:hAnsi="Times New Roman" w:eastAsia="Times New Roman" w:cs="Times New Roman"/>
          <w:spacing w:val="-3"/>
          <w:sz w:val="24"/>
          <w:szCs w:val="24"/>
        </w:rPr>
        <w:t>0.64%</w:t>
      </w:r>
      <w:r>
        <w:rPr>
          <w:rFonts w:ascii="仿宋" w:hAnsi="仿宋" w:eastAsia="仿宋" w:cs="仿宋"/>
          <w:spacing w:val="14"/>
          <w:sz w:val="24"/>
          <w:szCs w:val="24"/>
        </w:rPr>
        <w:t>），</w:t>
      </w:r>
      <w:r>
        <w:rPr>
          <w:rFonts w:ascii="仿宋" w:hAnsi="仿宋" w:eastAsia="仿宋" w:cs="仿宋"/>
          <w:spacing w:val="-4"/>
          <w:sz w:val="24"/>
          <w:szCs w:val="24"/>
        </w:rPr>
        <w:t>灌木</w:t>
      </w:r>
      <w:r>
        <w:rPr>
          <w:rFonts w:ascii="仿宋" w:hAnsi="仿宋" w:eastAsia="仿宋" w:cs="仿宋"/>
          <w:spacing w:val="-2"/>
          <w:sz w:val="24"/>
          <w:szCs w:val="24"/>
        </w:rPr>
        <w:t>林为占地内主要林木类型。</w:t>
      </w:r>
    </w:p>
    <w:p w14:paraId="3749596D">
      <w:pPr>
        <w:spacing w:line="359" w:lineRule="auto"/>
        <w:ind w:left="31" w:right="6" w:firstLine="483"/>
        <w:rPr>
          <w:rFonts w:ascii="仿宋" w:hAnsi="仿宋" w:eastAsia="仿宋" w:cs="仿宋"/>
          <w:sz w:val="24"/>
          <w:szCs w:val="24"/>
        </w:rPr>
      </w:pPr>
      <w:r>
        <w:rPr>
          <w:rFonts w:ascii="仿宋" w:hAnsi="仿宋" w:eastAsia="仿宋" w:cs="仿宋"/>
          <w:spacing w:val="-19"/>
          <w:sz w:val="24"/>
          <w:szCs w:val="24"/>
        </w:rPr>
        <w:t>（</w:t>
      </w:r>
      <w:r>
        <w:rPr>
          <w:rFonts w:ascii="Times New Roman" w:hAnsi="Times New Roman" w:eastAsia="Times New Roman" w:cs="Times New Roman"/>
          <w:spacing w:val="-19"/>
          <w:sz w:val="24"/>
          <w:szCs w:val="24"/>
        </w:rPr>
        <w:t>3</w:t>
      </w:r>
      <w:r>
        <w:rPr>
          <w:rFonts w:ascii="仿宋" w:hAnsi="仿宋" w:eastAsia="仿宋" w:cs="仿宋"/>
          <w:spacing w:val="-19"/>
          <w:sz w:val="24"/>
          <w:szCs w:val="24"/>
        </w:rPr>
        <w:t>）草地：合计</w:t>
      </w:r>
      <w:r>
        <w:rPr>
          <w:rFonts w:ascii="仿宋" w:hAnsi="仿宋" w:eastAsia="仿宋" w:cs="仿宋"/>
          <w:spacing w:val="-14"/>
          <w:sz w:val="24"/>
          <w:szCs w:val="24"/>
        </w:rPr>
        <w:t xml:space="preserve"> </w:t>
      </w:r>
      <w:r>
        <w:rPr>
          <w:rFonts w:ascii="Times New Roman" w:hAnsi="Times New Roman" w:eastAsia="Times New Roman" w:cs="Times New Roman"/>
          <w:spacing w:val="-19"/>
          <w:sz w:val="24"/>
          <w:szCs w:val="24"/>
        </w:rPr>
        <w:t>1.61hm2</w:t>
      </w:r>
      <w:r>
        <w:rPr>
          <w:rFonts w:ascii="仿宋" w:hAnsi="仿宋" w:eastAsia="仿宋" w:cs="仿宋"/>
          <w:spacing w:val="-19"/>
          <w:sz w:val="24"/>
          <w:szCs w:val="24"/>
        </w:rPr>
        <w:t>，占项目</w:t>
      </w:r>
      <w:r>
        <w:rPr>
          <w:rFonts w:ascii="仿宋" w:hAnsi="仿宋" w:eastAsia="仿宋" w:cs="仿宋"/>
          <w:spacing w:val="-63"/>
          <w:sz w:val="24"/>
          <w:szCs w:val="24"/>
        </w:rPr>
        <w:t xml:space="preserve"> </w:t>
      </w:r>
      <w:r>
        <w:rPr>
          <w:rFonts w:ascii="仿宋" w:hAnsi="仿宋" w:eastAsia="仿宋" w:cs="仿宋"/>
          <w:spacing w:val="-19"/>
          <w:sz w:val="24"/>
          <w:szCs w:val="24"/>
        </w:rPr>
        <w:t>占地</w:t>
      </w:r>
      <w:r>
        <w:rPr>
          <w:rFonts w:ascii="仿宋" w:hAnsi="仿宋" w:eastAsia="仿宋" w:cs="仿宋"/>
          <w:spacing w:val="-32"/>
          <w:sz w:val="24"/>
          <w:szCs w:val="24"/>
        </w:rPr>
        <w:t xml:space="preserve"> </w:t>
      </w:r>
      <w:r>
        <w:rPr>
          <w:rFonts w:ascii="Times New Roman" w:hAnsi="Times New Roman" w:eastAsia="Times New Roman" w:cs="Times New Roman"/>
          <w:spacing w:val="-19"/>
          <w:sz w:val="24"/>
          <w:szCs w:val="24"/>
        </w:rPr>
        <w:t>11.89%</w:t>
      </w:r>
      <w:r>
        <w:rPr>
          <w:rFonts w:ascii="仿宋" w:hAnsi="仿宋" w:eastAsia="仿宋" w:cs="仿宋"/>
          <w:spacing w:val="-19"/>
          <w:sz w:val="24"/>
          <w:szCs w:val="24"/>
        </w:rPr>
        <w:t>。天然牧草地</w:t>
      </w:r>
      <w:r>
        <w:rPr>
          <w:rFonts w:ascii="仿宋" w:hAnsi="仿宋" w:eastAsia="仿宋" w:cs="仿宋"/>
          <w:spacing w:val="-32"/>
          <w:sz w:val="24"/>
          <w:szCs w:val="24"/>
        </w:rPr>
        <w:t xml:space="preserve"> </w:t>
      </w:r>
      <w:r>
        <w:rPr>
          <w:rFonts w:ascii="Times New Roman" w:hAnsi="Times New Roman" w:eastAsia="Times New Roman" w:cs="Times New Roman"/>
          <w:spacing w:val="-19"/>
          <w:sz w:val="24"/>
          <w:szCs w:val="24"/>
        </w:rPr>
        <w:t>1.03hm2</w:t>
      </w:r>
      <w:r>
        <w:rPr>
          <w:rFonts w:ascii="仿宋" w:hAnsi="仿宋" w:eastAsia="仿宋" w:cs="仿宋"/>
          <w:spacing w:val="-19"/>
          <w:sz w:val="24"/>
          <w:szCs w:val="24"/>
        </w:rPr>
        <w:t>（</w:t>
      </w:r>
      <w:r>
        <w:rPr>
          <w:rFonts w:ascii="Times New Roman" w:hAnsi="Times New Roman" w:eastAsia="Times New Roman" w:cs="Times New Roman"/>
          <w:spacing w:val="-19"/>
          <w:sz w:val="24"/>
          <w:szCs w:val="24"/>
        </w:rPr>
        <w:t>7.62%</w:t>
      </w:r>
      <w:r>
        <w:rPr>
          <w:rFonts w:ascii="仿宋" w:hAnsi="仿宋" w:eastAsia="仿宋" w:cs="仿宋"/>
          <w:spacing w:val="-19"/>
          <w:sz w:val="24"/>
          <w:szCs w:val="24"/>
        </w:rPr>
        <w:t>）、</w:t>
      </w:r>
      <w:r>
        <w:rPr>
          <w:rFonts w:ascii="仿宋" w:hAnsi="仿宋" w:eastAsia="仿宋" w:cs="仿宋"/>
          <w:spacing w:val="-4"/>
          <w:sz w:val="24"/>
          <w:szCs w:val="24"/>
        </w:rPr>
        <w:t>其他草地</w:t>
      </w:r>
      <w:r>
        <w:rPr>
          <w:rFonts w:ascii="仿宋" w:hAnsi="仿宋" w:eastAsia="仿宋" w:cs="仿宋"/>
          <w:spacing w:val="-51"/>
          <w:sz w:val="24"/>
          <w:szCs w:val="24"/>
        </w:rPr>
        <w:t xml:space="preserve"> </w:t>
      </w:r>
      <w:r>
        <w:rPr>
          <w:rFonts w:ascii="Times New Roman" w:hAnsi="Times New Roman" w:eastAsia="Times New Roman" w:cs="Times New Roman"/>
          <w:spacing w:val="-4"/>
          <w:sz w:val="24"/>
          <w:szCs w:val="24"/>
        </w:rPr>
        <w:t>0.58hm2</w:t>
      </w:r>
      <w:r>
        <w:rPr>
          <w:rFonts w:ascii="仿宋" w:hAnsi="仿宋" w:eastAsia="仿宋" w:cs="仿宋"/>
          <w:spacing w:val="-4"/>
          <w:sz w:val="24"/>
          <w:szCs w:val="24"/>
        </w:rPr>
        <w:t>（</w:t>
      </w:r>
      <w:r>
        <w:rPr>
          <w:rFonts w:ascii="Times New Roman" w:hAnsi="Times New Roman" w:eastAsia="Times New Roman" w:cs="Times New Roman"/>
          <w:spacing w:val="-4"/>
          <w:sz w:val="24"/>
          <w:szCs w:val="24"/>
        </w:rPr>
        <w:t>4.27%</w:t>
      </w:r>
      <w:r>
        <w:rPr>
          <w:rFonts w:ascii="仿宋" w:hAnsi="仿宋" w:eastAsia="仿宋" w:cs="仿宋"/>
          <w:spacing w:val="16"/>
          <w:sz w:val="24"/>
          <w:szCs w:val="24"/>
        </w:rPr>
        <w:t>），</w:t>
      </w:r>
      <w:r>
        <w:rPr>
          <w:rFonts w:ascii="仿宋" w:hAnsi="仿宋" w:eastAsia="仿宋" w:cs="仿宋"/>
          <w:spacing w:val="-4"/>
          <w:sz w:val="24"/>
          <w:szCs w:val="24"/>
        </w:rPr>
        <w:t>为次要自然植被用地。</w:t>
      </w:r>
    </w:p>
    <w:p w14:paraId="31CD9F5A">
      <w:pPr>
        <w:spacing w:before="1" w:line="220" w:lineRule="auto"/>
        <w:ind w:left="514"/>
        <w:rPr>
          <w:rFonts w:ascii="仿宋" w:hAnsi="仿宋" w:eastAsia="仿宋" w:cs="仿宋"/>
          <w:sz w:val="24"/>
          <w:szCs w:val="24"/>
        </w:rPr>
      </w:pPr>
      <w:r>
        <w:rPr>
          <w:rFonts w:ascii="仿宋" w:hAnsi="仿宋" w:eastAsia="仿宋" w:cs="仿宋"/>
          <w:spacing w:val="-4"/>
          <w:sz w:val="24"/>
          <w:szCs w:val="24"/>
        </w:rPr>
        <w:t>（</w:t>
      </w:r>
      <w:r>
        <w:rPr>
          <w:rFonts w:ascii="Times New Roman" w:hAnsi="Times New Roman" w:eastAsia="Times New Roman" w:cs="Times New Roman"/>
          <w:spacing w:val="-4"/>
          <w:sz w:val="24"/>
          <w:szCs w:val="24"/>
        </w:rPr>
        <w:t>4</w:t>
      </w:r>
      <w:r>
        <w:rPr>
          <w:rFonts w:ascii="仿宋" w:hAnsi="仿宋" w:eastAsia="仿宋" w:cs="仿宋"/>
          <w:spacing w:val="-4"/>
          <w:sz w:val="24"/>
          <w:szCs w:val="24"/>
        </w:rPr>
        <w:t>）裸土地：面积</w:t>
      </w:r>
      <w:r>
        <w:rPr>
          <w:rFonts w:ascii="仿宋" w:hAnsi="仿宋" w:eastAsia="仿宋" w:cs="仿宋"/>
          <w:spacing w:val="-51"/>
          <w:sz w:val="24"/>
          <w:szCs w:val="24"/>
        </w:rPr>
        <w:t xml:space="preserve"> </w:t>
      </w:r>
      <w:r>
        <w:rPr>
          <w:rFonts w:ascii="Times New Roman" w:hAnsi="Times New Roman" w:eastAsia="Times New Roman" w:cs="Times New Roman"/>
          <w:spacing w:val="-4"/>
          <w:sz w:val="24"/>
          <w:szCs w:val="24"/>
        </w:rPr>
        <w:t>0.07hm2</w:t>
      </w:r>
      <w:r>
        <w:rPr>
          <w:rFonts w:ascii="Times New Roman" w:hAnsi="Times New Roman" w:eastAsia="Times New Roman" w:cs="Times New Roman"/>
          <w:spacing w:val="-27"/>
          <w:sz w:val="24"/>
          <w:szCs w:val="24"/>
        </w:rPr>
        <w:t xml:space="preserve"> </w:t>
      </w:r>
      <w:r>
        <w:rPr>
          <w:rFonts w:ascii="仿宋" w:hAnsi="仿宋" w:eastAsia="仿宋" w:cs="仿宋"/>
          <w:spacing w:val="-4"/>
          <w:sz w:val="24"/>
          <w:szCs w:val="24"/>
        </w:rPr>
        <w:t>，仅占项目占地</w:t>
      </w:r>
      <w:r>
        <w:rPr>
          <w:rFonts w:ascii="仿宋" w:hAnsi="仿宋" w:eastAsia="仿宋" w:cs="仿宋"/>
          <w:spacing w:val="-51"/>
          <w:sz w:val="24"/>
          <w:szCs w:val="24"/>
        </w:rPr>
        <w:t xml:space="preserve"> </w:t>
      </w:r>
      <w:r>
        <w:rPr>
          <w:rFonts w:ascii="Times New Roman" w:hAnsi="Times New Roman" w:eastAsia="Times New Roman" w:cs="Times New Roman"/>
          <w:spacing w:val="-4"/>
          <w:sz w:val="24"/>
          <w:szCs w:val="24"/>
        </w:rPr>
        <w:t>0.54%</w:t>
      </w:r>
      <w:r>
        <w:rPr>
          <w:rFonts w:ascii="Times New Roman" w:hAnsi="Times New Roman" w:eastAsia="Times New Roman" w:cs="Times New Roman"/>
          <w:spacing w:val="-26"/>
          <w:sz w:val="24"/>
          <w:szCs w:val="24"/>
        </w:rPr>
        <w:t xml:space="preserve"> </w:t>
      </w:r>
      <w:r>
        <w:rPr>
          <w:rFonts w:ascii="仿宋" w:hAnsi="仿宋" w:eastAsia="仿宋" w:cs="仿宋"/>
          <w:spacing w:val="-4"/>
          <w:sz w:val="24"/>
          <w:szCs w:val="24"/>
        </w:rPr>
        <w:t>，裸露地块占</w:t>
      </w:r>
      <w:r>
        <w:rPr>
          <w:rFonts w:ascii="仿宋" w:hAnsi="仿宋" w:eastAsia="仿宋" w:cs="仿宋"/>
          <w:spacing w:val="-5"/>
          <w:sz w:val="24"/>
          <w:szCs w:val="24"/>
        </w:rPr>
        <w:t>比极小。</w:t>
      </w:r>
    </w:p>
    <w:p w14:paraId="6822D26E">
      <w:pPr>
        <w:spacing w:before="181" w:line="359" w:lineRule="auto"/>
        <w:ind w:left="29" w:firstLine="482"/>
        <w:jc w:val="both"/>
        <w:rPr>
          <w:rFonts w:ascii="仿宋" w:hAnsi="仿宋" w:eastAsia="仿宋" w:cs="仿宋"/>
          <w:sz w:val="24"/>
          <w:szCs w:val="24"/>
        </w:rPr>
      </w:pPr>
      <w:r>
        <w:rPr>
          <w:rFonts w:ascii="仿宋" w:hAnsi="仿宋" w:eastAsia="仿宋" w:cs="仿宋"/>
          <w:spacing w:val="-1"/>
          <w:sz w:val="24"/>
          <w:szCs w:val="24"/>
        </w:rPr>
        <w:t>综上，评价区域以林草生态系统为基底，农业耕地配套分布，开发程度低，</w:t>
      </w:r>
      <w:r>
        <w:rPr>
          <w:rFonts w:ascii="仿宋" w:hAnsi="仿宋" w:eastAsia="仿宋" w:cs="仿宋"/>
          <w:spacing w:val="1"/>
          <w:sz w:val="24"/>
          <w:szCs w:val="24"/>
        </w:rPr>
        <w:t>生态承载力较好；项目占地绝大部分为既有农村道路，原生林草地仅占</w:t>
      </w:r>
      <w:r>
        <w:rPr>
          <w:rFonts w:ascii="仿宋" w:hAnsi="仿宋" w:eastAsia="仿宋" w:cs="仿宋"/>
          <w:spacing w:val="-50"/>
          <w:sz w:val="24"/>
          <w:szCs w:val="24"/>
        </w:rPr>
        <w:t xml:space="preserve"> </w:t>
      </w:r>
      <w:r>
        <w:rPr>
          <w:rFonts w:ascii="Times New Roman" w:hAnsi="Times New Roman" w:eastAsia="Times New Roman" w:cs="Times New Roman"/>
          <w:spacing w:val="1"/>
          <w:sz w:val="24"/>
          <w:szCs w:val="24"/>
        </w:rPr>
        <w:t>26.44%</w:t>
      </w:r>
      <w:r>
        <w:rPr>
          <w:rFonts w:ascii="Times New Roman" w:hAnsi="Times New Roman" w:eastAsia="Times New Roman" w:cs="Times New Roman"/>
          <w:sz w:val="24"/>
          <w:szCs w:val="24"/>
        </w:rPr>
        <w:t xml:space="preserve"> </w:t>
      </w:r>
      <w:r>
        <w:rPr>
          <w:rFonts w:ascii="仿宋" w:hAnsi="仿宋" w:eastAsia="仿宋" w:cs="仿宋"/>
          <w:spacing w:val="-2"/>
          <w:sz w:val="24"/>
          <w:szCs w:val="24"/>
        </w:rPr>
        <w:t>（林地</w:t>
      </w:r>
      <w:r>
        <w:rPr>
          <w:rFonts w:ascii="仿宋" w:hAnsi="仿宋" w:eastAsia="仿宋" w:cs="仿宋"/>
          <w:spacing w:val="-28"/>
          <w:sz w:val="24"/>
          <w:szCs w:val="24"/>
        </w:rPr>
        <w:t xml:space="preserve"> </w:t>
      </w:r>
      <w:r>
        <w:rPr>
          <w:rFonts w:ascii="Times New Roman" w:hAnsi="Times New Roman" w:eastAsia="Times New Roman" w:cs="Times New Roman"/>
          <w:spacing w:val="-2"/>
          <w:sz w:val="24"/>
          <w:szCs w:val="24"/>
        </w:rPr>
        <w:t>14.55%+</w:t>
      </w:r>
      <w:r>
        <w:rPr>
          <w:rFonts w:ascii="仿宋" w:hAnsi="仿宋" w:eastAsia="仿宋" w:cs="仿宋"/>
          <w:spacing w:val="-2"/>
          <w:sz w:val="24"/>
          <w:szCs w:val="24"/>
        </w:rPr>
        <w:t>草地</w:t>
      </w:r>
      <w:r>
        <w:rPr>
          <w:rFonts w:ascii="仿宋" w:hAnsi="仿宋" w:eastAsia="仿宋" w:cs="仿宋"/>
          <w:spacing w:val="-27"/>
          <w:sz w:val="24"/>
          <w:szCs w:val="24"/>
        </w:rPr>
        <w:t xml:space="preserve"> </w:t>
      </w:r>
      <w:r>
        <w:rPr>
          <w:rFonts w:ascii="Times New Roman" w:hAnsi="Times New Roman" w:eastAsia="Times New Roman" w:cs="Times New Roman"/>
          <w:spacing w:val="-2"/>
          <w:sz w:val="24"/>
          <w:szCs w:val="24"/>
        </w:rPr>
        <w:t>11.89%</w:t>
      </w:r>
      <w:r>
        <w:rPr>
          <w:rFonts w:ascii="仿宋" w:hAnsi="仿宋" w:eastAsia="仿宋" w:cs="仿宋"/>
          <w:spacing w:val="16"/>
          <w:sz w:val="24"/>
          <w:szCs w:val="24"/>
        </w:rPr>
        <w:t>），</w:t>
      </w:r>
      <w:r>
        <w:rPr>
          <w:rFonts w:ascii="仿宋" w:hAnsi="仿宋" w:eastAsia="仿宋" w:cs="仿宋"/>
          <w:spacing w:val="-2"/>
          <w:sz w:val="24"/>
          <w:szCs w:val="24"/>
        </w:rPr>
        <w:t>工程新增原生植被占用量</w:t>
      </w:r>
      <w:r>
        <w:rPr>
          <w:rFonts w:ascii="仿宋" w:hAnsi="仿宋" w:eastAsia="仿宋" w:cs="仿宋"/>
          <w:spacing w:val="-3"/>
          <w:sz w:val="24"/>
          <w:szCs w:val="24"/>
        </w:rPr>
        <w:t>有限；</w:t>
      </w:r>
      <w:r>
        <w:rPr>
          <w:rFonts w:ascii="仿宋" w:hAnsi="仿宋" w:eastAsia="仿宋" w:cs="仿宋"/>
          <w:spacing w:val="-58"/>
          <w:sz w:val="24"/>
          <w:szCs w:val="24"/>
        </w:rPr>
        <w:t xml:space="preserve"> </w:t>
      </w:r>
      <w:r>
        <w:rPr>
          <w:rFonts w:ascii="仿宋" w:hAnsi="仿宋" w:eastAsia="仿宋" w:cs="仿宋"/>
          <w:spacing w:val="-3"/>
          <w:sz w:val="24"/>
          <w:szCs w:val="24"/>
        </w:rPr>
        <w:t>占地植被以灌木林、天然牧草地为主，无大面积成熟乔木林、优质基本农田，土</w:t>
      </w:r>
      <w:r>
        <w:rPr>
          <w:rFonts w:ascii="仿宋" w:hAnsi="仿宋" w:eastAsia="仿宋" w:cs="仿宋"/>
          <w:spacing w:val="-4"/>
          <w:sz w:val="24"/>
          <w:szCs w:val="24"/>
        </w:rPr>
        <w:t>地占用生态敏</w:t>
      </w:r>
      <w:r>
        <w:rPr>
          <w:rFonts w:ascii="仿宋" w:hAnsi="仿宋" w:eastAsia="仿宋" w:cs="仿宋"/>
          <w:spacing w:val="-7"/>
          <w:sz w:val="24"/>
          <w:szCs w:val="24"/>
        </w:rPr>
        <w:t>感性中等；施工期需重点对占用林草地采取复</w:t>
      </w:r>
      <w:r>
        <w:rPr>
          <w:rFonts w:ascii="仿宋" w:hAnsi="仿宋" w:eastAsia="仿宋" w:cs="仿宋"/>
          <w:spacing w:val="-8"/>
          <w:sz w:val="24"/>
          <w:szCs w:val="24"/>
        </w:rPr>
        <w:t>垦、植被恢复措施，降低地表扰动。</w:t>
      </w:r>
    </w:p>
    <w:p w14:paraId="1F33E0AB">
      <w:pPr>
        <w:spacing w:line="359" w:lineRule="auto"/>
        <w:rPr>
          <w:rFonts w:ascii="仿宋" w:hAnsi="仿宋" w:eastAsia="仿宋" w:cs="仿宋"/>
          <w:sz w:val="24"/>
          <w:szCs w:val="24"/>
        </w:rPr>
        <w:sectPr>
          <w:footerReference r:id="rId235" w:type="default"/>
          <w:pgSz w:w="11906" w:h="16839"/>
          <w:pgMar w:top="400" w:right="1716" w:bottom="1511" w:left="1785" w:header="0" w:footer="1349" w:gutter="0"/>
          <w:cols w:space="720" w:num="1"/>
        </w:sectPr>
      </w:pPr>
    </w:p>
    <w:p w14:paraId="7DD0DA5C">
      <w:pPr>
        <w:pStyle w:val="2"/>
        <w:spacing w:line="258" w:lineRule="auto"/>
        <w:rPr>
          <w:sz w:val="21"/>
        </w:rPr>
      </w:pPr>
    </w:p>
    <w:p w14:paraId="6470654D">
      <w:pPr>
        <w:pStyle w:val="2"/>
        <w:spacing w:line="258" w:lineRule="auto"/>
        <w:rPr>
          <w:sz w:val="21"/>
        </w:rPr>
      </w:pPr>
    </w:p>
    <w:p w14:paraId="750779F0">
      <w:pPr>
        <w:pStyle w:val="2"/>
        <w:spacing w:line="258" w:lineRule="auto"/>
        <w:rPr>
          <w:sz w:val="21"/>
        </w:rPr>
      </w:pPr>
    </w:p>
    <w:p w14:paraId="264AFBB3">
      <w:pPr>
        <w:pStyle w:val="2"/>
        <w:spacing w:line="259" w:lineRule="auto"/>
        <w:rPr>
          <w:sz w:val="21"/>
        </w:rPr>
      </w:pPr>
    </w:p>
    <w:p w14:paraId="14C9FCA2">
      <w:pPr>
        <w:spacing w:line="11731" w:lineRule="exact"/>
        <w:ind w:firstLine="14"/>
      </w:pPr>
      <w:r>
        <w:rPr>
          <w:position w:val="-234"/>
        </w:rPr>
        <w:drawing>
          <wp:inline distT="0" distB="0" distL="0" distR="0">
            <wp:extent cx="5271135" cy="7449185"/>
            <wp:effectExtent l="0" t="0" r="0" b="0"/>
            <wp:docPr id="370" name="IM 370"/>
            <wp:cNvGraphicFramePr/>
            <a:graphic xmlns:a="http://schemas.openxmlformats.org/drawingml/2006/main">
              <a:graphicData uri="http://schemas.openxmlformats.org/drawingml/2006/picture">
                <pic:pic xmlns:pic="http://schemas.openxmlformats.org/drawingml/2006/picture">
                  <pic:nvPicPr>
                    <pic:cNvPr id="370" name="IM 370"/>
                    <pic:cNvPicPr/>
                  </pic:nvPicPr>
                  <pic:blipFill>
                    <a:blip r:embed="rId420"/>
                    <a:stretch>
                      <a:fillRect/>
                    </a:stretch>
                  </pic:blipFill>
                  <pic:spPr>
                    <a:xfrm>
                      <a:off x="0" y="0"/>
                      <a:ext cx="5271515" cy="7449311"/>
                    </a:xfrm>
                    <a:prstGeom prst="rect">
                      <a:avLst/>
                    </a:prstGeom>
                  </pic:spPr>
                </pic:pic>
              </a:graphicData>
            </a:graphic>
          </wp:inline>
        </w:drawing>
      </w:r>
    </w:p>
    <w:p w14:paraId="5B516E4A">
      <w:pPr>
        <w:spacing w:before="187" w:line="222" w:lineRule="auto"/>
        <w:ind w:left="1282"/>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47"/>
          <w:sz w:val="24"/>
          <w:szCs w:val="24"/>
        </w:rPr>
        <w:t xml:space="preserve"> </w:t>
      </w:r>
      <w:r>
        <w:rPr>
          <w:rFonts w:ascii="仿宋" w:hAnsi="仿宋" w:eastAsia="仿宋" w:cs="仿宋"/>
          <w:b/>
          <w:bCs/>
          <w:spacing w:val="-3"/>
          <w:sz w:val="24"/>
          <w:szCs w:val="24"/>
        </w:rPr>
        <w:t>3.2-10</w:t>
      </w:r>
      <w:r>
        <w:rPr>
          <w:rFonts w:ascii="仿宋" w:hAnsi="仿宋" w:eastAsia="仿宋" w:cs="仿宋"/>
          <w:spacing w:val="-3"/>
          <w:sz w:val="24"/>
          <w:szCs w:val="24"/>
        </w:rPr>
        <w:t xml:space="preserve">    </w:t>
      </w:r>
      <w:r>
        <w:rPr>
          <w:rFonts w:ascii="仿宋" w:hAnsi="仿宋" w:eastAsia="仿宋" w:cs="仿宋"/>
          <w:b/>
          <w:bCs/>
          <w:spacing w:val="-3"/>
          <w:sz w:val="24"/>
          <w:szCs w:val="24"/>
        </w:rPr>
        <w:t>李家圪堵至土敖包通村公路段土地利用</w:t>
      </w:r>
      <w:r>
        <w:rPr>
          <w:rFonts w:ascii="仿宋" w:hAnsi="仿宋" w:eastAsia="仿宋" w:cs="仿宋"/>
          <w:b/>
          <w:bCs/>
          <w:spacing w:val="-4"/>
          <w:sz w:val="24"/>
          <w:szCs w:val="24"/>
        </w:rPr>
        <w:t>类型图</w:t>
      </w:r>
    </w:p>
    <w:p w14:paraId="43081733">
      <w:pPr>
        <w:spacing w:line="222" w:lineRule="auto"/>
        <w:rPr>
          <w:rFonts w:ascii="仿宋" w:hAnsi="仿宋" w:eastAsia="仿宋" w:cs="仿宋"/>
          <w:sz w:val="24"/>
          <w:szCs w:val="24"/>
        </w:rPr>
        <w:sectPr>
          <w:footerReference r:id="rId236" w:type="default"/>
          <w:pgSz w:w="11906" w:h="16839"/>
          <w:pgMar w:top="400" w:right="1785" w:bottom="1511" w:left="1785" w:header="0" w:footer="1349" w:gutter="0"/>
          <w:cols w:space="720" w:num="1"/>
        </w:sectPr>
      </w:pPr>
    </w:p>
    <w:p w14:paraId="6309153F">
      <w:pPr>
        <w:pStyle w:val="2"/>
        <w:spacing w:line="249" w:lineRule="auto"/>
        <w:rPr>
          <w:sz w:val="21"/>
        </w:rPr>
      </w:pPr>
    </w:p>
    <w:p w14:paraId="7066B51D">
      <w:pPr>
        <w:pStyle w:val="2"/>
        <w:spacing w:line="249" w:lineRule="auto"/>
        <w:rPr>
          <w:sz w:val="21"/>
        </w:rPr>
      </w:pPr>
    </w:p>
    <w:p w14:paraId="08CF03ED">
      <w:pPr>
        <w:pStyle w:val="2"/>
        <w:spacing w:line="249" w:lineRule="auto"/>
        <w:rPr>
          <w:sz w:val="21"/>
        </w:rPr>
      </w:pPr>
    </w:p>
    <w:p w14:paraId="38AEB65C">
      <w:pPr>
        <w:pStyle w:val="2"/>
        <w:spacing w:line="249" w:lineRule="auto"/>
        <w:rPr>
          <w:sz w:val="21"/>
        </w:rPr>
      </w:pPr>
    </w:p>
    <w:p w14:paraId="090F359E">
      <w:pPr>
        <w:pStyle w:val="2"/>
        <w:spacing w:line="250" w:lineRule="auto"/>
        <w:rPr>
          <w:sz w:val="21"/>
        </w:rPr>
      </w:pPr>
    </w:p>
    <w:p w14:paraId="4FDB1937">
      <w:pPr>
        <w:pStyle w:val="2"/>
        <w:spacing w:line="250" w:lineRule="auto"/>
        <w:rPr>
          <w:sz w:val="21"/>
        </w:rPr>
      </w:pPr>
    </w:p>
    <w:p w14:paraId="62AFCDF5">
      <w:pPr>
        <w:spacing w:line="11731" w:lineRule="exact"/>
        <w:ind w:firstLine="14"/>
      </w:pPr>
      <w:r>
        <w:rPr>
          <w:position w:val="-234"/>
        </w:rPr>
        <w:drawing>
          <wp:inline distT="0" distB="0" distL="0" distR="0">
            <wp:extent cx="5271135" cy="7449185"/>
            <wp:effectExtent l="0" t="0" r="0" b="0"/>
            <wp:docPr id="372" name="IM 372"/>
            <wp:cNvGraphicFramePr/>
            <a:graphic xmlns:a="http://schemas.openxmlformats.org/drawingml/2006/main">
              <a:graphicData uri="http://schemas.openxmlformats.org/drawingml/2006/picture">
                <pic:pic xmlns:pic="http://schemas.openxmlformats.org/drawingml/2006/picture">
                  <pic:nvPicPr>
                    <pic:cNvPr id="372" name="IM 372"/>
                    <pic:cNvPicPr/>
                  </pic:nvPicPr>
                  <pic:blipFill>
                    <a:blip r:embed="rId421"/>
                    <a:stretch>
                      <a:fillRect/>
                    </a:stretch>
                  </pic:blipFill>
                  <pic:spPr>
                    <a:xfrm>
                      <a:off x="0" y="0"/>
                      <a:ext cx="5271515" cy="7449311"/>
                    </a:xfrm>
                    <a:prstGeom prst="rect">
                      <a:avLst/>
                    </a:prstGeom>
                  </pic:spPr>
                </pic:pic>
              </a:graphicData>
            </a:graphic>
          </wp:inline>
        </w:drawing>
      </w:r>
    </w:p>
    <w:p w14:paraId="2BA786C4">
      <w:pPr>
        <w:spacing w:before="34" w:line="222" w:lineRule="auto"/>
        <w:ind w:left="139"/>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47"/>
          <w:sz w:val="24"/>
          <w:szCs w:val="24"/>
        </w:rPr>
        <w:t xml:space="preserve"> </w:t>
      </w:r>
      <w:r>
        <w:rPr>
          <w:rFonts w:ascii="仿宋" w:hAnsi="仿宋" w:eastAsia="仿宋" w:cs="仿宋"/>
          <w:b/>
          <w:bCs/>
          <w:spacing w:val="-3"/>
          <w:sz w:val="24"/>
          <w:szCs w:val="24"/>
        </w:rPr>
        <w:t>3.2-11</w:t>
      </w:r>
      <w:r>
        <w:rPr>
          <w:rFonts w:ascii="仿宋" w:hAnsi="仿宋" w:eastAsia="仿宋" w:cs="仿宋"/>
          <w:spacing w:val="-3"/>
          <w:sz w:val="24"/>
          <w:szCs w:val="24"/>
        </w:rPr>
        <w:t xml:space="preserve"> </w:t>
      </w:r>
      <w:r>
        <w:rPr>
          <w:rFonts w:ascii="仿宋" w:hAnsi="仿宋" w:eastAsia="仿宋" w:cs="仿宋"/>
          <w:b/>
          <w:bCs/>
          <w:spacing w:val="-3"/>
          <w:sz w:val="24"/>
          <w:szCs w:val="24"/>
        </w:rPr>
        <w:t>李家圪堵至土敖包通村公路及双山梁村通社公路段土地利用类型图</w:t>
      </w:r>
    </w:p>
    <w:p w14:paraId="384BBE19">
      <w:pPr>
        <w:spacing w:line="222" w:lineRule="auto"/>
        <w:rPr>
          <w:rFonts w:ascii="仿宋" w:hAnsi="仿宋" w:eastAsia="仿宋" w:cs="仿宋"/>
          <w:sz w:val="24"/>
          <w:szCs w:val="24"/>
        </w:rPr>
        <w:sectPr>
          <w:footerReference r:id="rId237" w:type="default"/>
          <w:pgSz w:w="11906" w:h="16839"/>
          <w:pgMar w:top="400" w:right="1785" w:bottom="1511" w:left="1785" w:header="0" w:footer="1349" w:gutter="0"/>
          <w:cols w:space="720" w:num="1"/>
        </w:sectPr>
      </w:pPr>
    </w:p>
    <w:p w14:paraId="195315CD">
      <w:pPr>
        <w:pStyle w:val="2"/>
        <w:spacing w:line="242" w:lineRule="auto"/>
        <w:rPr>
          <w:sz w:val="21"/>
        </w:rPr>
      </w:pPr>
    </w:p>
    <w:p w14:paraId="4AFAEBD1">
      <w:pPr>
        <w:pStyle w:val="2"/>
        <w:spacing w:line="242" w:lineRule="auto"/>
        <w:rPr>
          <w:sz w:val="21"/>
        </w:rPr>
      </w:pPr>
    </w:p>
    <w:p w14:paraId="717DC07B">
      <w:pPr>
        <w:pStyle w:val="2"/>
        <w:spacing w:line="242" w:lineRule="auto"/>
        <w:rPr>
          <w:sz w:val="21"/>
        </w:rPr>
      </w:pPr>
    </w:p>
    <w:p w14:paraId="7D8A894C">
      <w:pPr>
        <w:pStyle w:val="2"/>
        <w:spacing w:line="242" w:lineRule="auto"/>
        <w:rPr>
          <w:sz w:val="21"/>
        </w:rPr>
      </w:pPr>
    </w:p>
    <w:p w14:paraId="74FA9206">
      <w:pPr>
        <w:pStyle w:val="2"/>
        <w:spacing w:line="243" w:lineRule="auto"/>
        <w:rPr>
          <w:sz w:val="21"/>
        </w:rPr>
      </w:pPr>
    </w:p>
    <w:p w14:paraId="2A3A3AEC">
      <w:pPr>
        <w:pStyle w:val="2"/>
        <w:spacing w:line="243" w:lineRule="auto"/>
        <w:rPr>
          <w:sz w:val="21"/>
        </w:rPr>
      </w:pPr>
    </w:p>
    <w:p w14:paraId="48B31E84">
      <w:pPr>
        <w:pStyle w:val="2"/>
        <w:spacing w:line="243" w:lineRule="auto"/>
        <w:rPr>
          <w:sz w:val="21"/>
        </w:rPr>
      </w:pPr>
    </w:p>
    <w:p w14:paraId="1010BF0F">
      <w:pPr>
        <w:pStyle w:val="2"/>
        <w:spacing w:line="243" w:lineRule="auto"/>
        <w:rPr>
          <w:sz w:val="21"/>
        </w:rPr>
      </w:pPr>
    </w:p>
    <w:p w14:paraId="7A899368">
      <w:pPr>
        <w:spacing w:line="11731" w:lineRule="exact"/>
        <w:ind w:firstLine="14"/>
      </w:pPr>
      <w:r>
        <w:rPr>
          <w:position w:val="-234"/>
        </w:rPr>
        <w:drawing>
          <wp:inline distT="0" distB="0" distL="0" distR="0">
            <wp:extent cx="5271135" cy="7449185"/>
            <wp:effectExtent l="0" t="0" r="0" b="0"/>
            <wp:docPr id="374" name="IM 374"/>
            <wp:cNvGraphicFramePr/>
            <a:graphic xmlns:a="http://schemas.openxmlformats.org/drawingml/2006/main">
              <a:graphicData uri="http://schemas.openxmlformats.org/drawingml/2006/picture">
                <pic:pic xmlns:pic="http://schemas.openxmlformats.org/drawingml/2006/picture">
                  <pic:nvPicPr>
                    <pic:cNvPr id="374" name="IM 374"/>
                    <pic:cNvPicPr/>
                  </pic:nvPicPr>
                  <pic:blipFill>
                    <a:blip r:embed="rId422"/>
                    <a:stretch>
                      <a:fillRect/>
                    </a:stretch>
                  </pic:blipFill>
                  <pic:spPr>
                    <a:xfrm>
                      <a:off x="0" y="0"/>
                      <a:ext cx="5271515" cy="7449311"/>
                    </a:xfrm>
                    <a:prstGeom prst="rect">
                      <a:avLst/>
                    </a:prstGeom>
                  </pic:spPr>
                </pic:pic>
              </a:graphicData>
            </a:graphic>
          </wp:inline>
        </w:drawing>
      </w:r>
    </w:p>
    <w:p w14:paraId="6F8E6C54">
      <w:pPr>
        <w:spacing w:before="291" w:line="222" w:lineRule="auto"/>
        <w:ind w:left="682"/>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47"/>
          <w:sz w:val="24"/>
          <w:szCs w:val="24"/>
        </w:rPr>
        <w:t xml:space="preserve"> </w:t>
      </w:r>
      <w:r>
        <w:rPr>
          <w:rFonts w:ascii="仿宋" w:hAnsi="仿宋" w:eastAsia="仿宋" w:cs="仿宋"/>
          <w:b/>
          <w:bCs/>
          <w:spacing w:val="-3"/>
          <w:sz w:val="24"/>
          <w:szCs w:val="24"/>
        </w:rPr>
        <w:t>3.2-12</w:t>
      </w:r>
      <w:r>
        <w:rPr>
          <w:rFonts w:ascii="仿宋" w:hAnsi="仿宋" w:eastAsia="仿宋" w:cs="仿宋"/>
          <w:spacing w:val="-3"/>
          <w:sz w:val="24"/>
          <w:szCs w:val="24"/>
        </w:rPr>
        <w:t xml:space="preserve">  </w:t>
      </w:r>
      <w:r>
        <w:rPr>
          <w:rFonts w:ascii="仿宋" w:hAnsi="仿宋" w:eastAsia="仿宋" w:cs="仿宋"/>
          <w:b/>
          <w:bCs/>
          <w:spacing w:val="-3"/>
          <w:sz w:val="24"/>
          <w:szCs w:val="24"/>
        </w:rPr>
        <w:t>四道敖包至淡家梁至杨家塔通村公路段土地利</w:t>
      </w:r>
      <w:r>
        <w:rPr>
          <w:rFonts w:ascii="仿宋" w:hAnsi="仿宋" w:eastAsia="仿宋" w:cs="仿宋"/>
          <w:b/>
          <w:bCs/>
          <w:spacing w:val="-4"/>
          <w:sz w:val="24"/>
          <w:szCs w:val="24"/>
        </w:rPr>
        <w:t>用类型图</w:t>
      </w:r>
    </w:p>
    <w:p w14:paraId="488CB7AA">
      <w:pPr>
        <w:spacing w:line="222" w:lineRule="auto"/>
        <w:rPr>
          <w:rFonts w:ascii="仿宋" w:hAnsi="仿宋" w:eastAsia="仿宋" w:cs="仿宋"/>
          <w:sz w:val="24"/>
          <w:szCs w:val="24"/>
        </w:rPr>
        <w:sectPr>
          <w:footerReference r:id="rId238" w:type="default"/>
          <w:pgSz w:w="11906" w:h="16839"/>
          <w:pgMar w:top="400" w:right="1785" w:bottom="1511" w:left="1785" w:header="0" w:footer="1349" w:gutter="0"/>
          <w:cols w:space="720" w:num="1"/>
        </w:sectPr>
      </w:pPr>
    </w:p>
    <w:p w14:paraId="237973A2">
      <w:pPr>
        <w:pStyle w:val="2"/>
        <w:spacing w:line="278" w:lineRule="auto"/>
        <w:rPr>
          <w:sz w:val="21"/>
        </w:rPr>
      </w:pPr>
    </w:p>
    <w:p w14:paraId="727099B9">
      <w:pPr>
        <w:pStyle w:val="2"/>
        <w:spacing w:line="278" w:lineRule="auto"/>
        <w:rPr>
          <w:sz w:val="21"/>
        </w:rPr>
      </w:pPr>
    </w:p>
    <w:p w14:paraId="067F3415">
      <w:pPr>
        <w:pStyle w:val="2"/>
        <w:spacing w:line="278" w:lineRule="auto"/>
        <w:rPr>
          <w:sz w:val="21"/>
        </w:rPr>
      </w:pPr>
    </w:p>
    <w:p w14:paraId="34B67200">
      <w:pPr>
        <w:pStyle w:val="2"/>
        <w:spacing w:line="278" w:lineRule="auto"/>
        <w:rPr>
          <w:sz w:val="21"/>
        </w:rPr>
      </w:pPr>
    </w:p>
    <w:p w14:paraId="125698AD">
      <w:pPr>
        <w:pStyle w:val="2"/>
        <w:spacing w:line="279" w:lineRule="auto"/>
        <w:rPr>
          <w:sz w:val="21"/>
        </w:rPr>
      </w:pPr>
    </w:p>
    <w:p w14:paraId="62AC6808">
      <w:pPr>
        <w:spacing w:line="7526" w:lineRule="exact"/>
        <w:ind w:firstLine="567"/>
      </w:pPr>
      <w:r>
        <w:rPr>
          <w:position w:val="-150"/>
        </w:rPr>
        <w:drawing>
          <wp:inline distT="0" distB="0" distL="0" distR="0">
            <wp:extent cx="6752590" cy="4779010"/>
            <wp:effectExtent l="0" t="0" r="0" b="0"/>
            <wp:docPr id="376" name="IM 376"/>
            <wp:cNvGraphicFramePr/>
            <a:graphic xmlns:a="http://schemas.openxmlformats.org/drawingml/2006/main">
              <a:graphicData uri="http://schemas.openxmlformats.org/drawingml/2006/picture">
                <pic:pic xmlns:pic="http://schemas.openxmlformats.org/drawingml/2006/picture">
                  <pic:nvPicPr>
                    <pic:cNvPr id="376" name="IM 376"/>
                    <pic:cNvPicPr/>
                  </pic:nvPicPr>
                  <pic:blipFill>
                    <a:blip r:embed="rId423"/>
                    <a:stretch>
                      <a:fillRect/>
                    </a:stretch>
                  </pic:blipFill>
                  <pic:spPr>
                    <a:xfrm>
                      <a:off x="0" y="0"/>
                      <a:ext cx="6752844" cy="4779263"/>
                    </a:xfrm>
                    <a:prstGeom prst="rect">
                      <a:avLst/>
                    </a:prstGeom>
                  </pic:spPr>
                </pic:pic>
              </a:graphicData>
            </a:graphic>
          </wp:inline>
        </w:drawing>
      </w:r>
    </w:p>
    <w:p w14:paraId="2B6322B2">
      <w:pPr>
        <w:spacing w:before="39" w:line="222" w:lineRule="auto"/>
        <w:ind w:left="2164"/>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41"/>
          <w:sz w:val="24"/>
          <w:szCs w:val="24"/>
        </w:rPr>
        <w:t xml:space="preserve"> </w:t>
      </w:r>
      <w:r>
        <w:rPr>
          <w:rFonts w:ascii="仿宋" w:hAnsi="仿宋" w:eastAsia="仿宋" w:cs="仿宋"/>
          <w:b/>
          <w:bCs/>
          <w:spacing w:val="-3"/>
          <w:sz w:val="24"/>
          <w:szCs w:val="24"/>
        </w:rPr>
        <w:t>3.2-13</w:t>
      </w:r>
      <w:r>
        <w:rPr>
          <w:rFonts w:ascii="仿宋" w:hAnsi="仿宋" w:eastAsia="仿宋" w:cs="仿宋"/>
          <w:spacing w:val="-3"/>
          <w:sz w:val="24"/>
          <w:szCs w:val="24"/>
        </w:rPr>
        <w:t xml:space="preserve">    </w:t>
      </w:r>
      <w:r>
        <w:rPr>
          <w:rFonts w:ascii="仿宋" w:hAnsi="仿宋" w:eastAsia="仿宋" w:cs="仿宋"/>
          <w:b/>
          <w:bCs/>
          <w:spacing w:val="-3"/>
          <w:sz w:val="24"/>
          <w:szCs w:val="24"/>
        </w:rPr>
        <w:t>乌拉素村二道壕大坝东至秦家塔社通村公路段土地利用类型图</w:t>
      </w:r>
    </w:p>
    <w:p w14:paraId="3ED11D35">
      <w:pPr>
        <w:spacing w:line="222" w:lineRule="auto"/>
        <w:rPr>
          <w:rFonts w:ascii="仿宋" w:hAnsi="仿宋" w:eastAsia="仿宋" w:cs="仿宋"/>
          <w:sz w:val="24"/>
          <w:szCs w:val="24"/>
        </w:rPr>
        <w:sectPr>
          <w:footerReference r:id="rId239" w:type="default"/>
          <w:pgSz w:w="16839" w:h="11906"/>
          <w:pgMar w:top="400" w:right="2525" w:bottom="1511" w:left="2525" w:header="0" w:footer="1349" w:gutter="0"/>
          <w:cols w:space="720" w:num="1"/>
        </w:sectPr>
      </w:pPr>
    </w:p>
    <w:p w14:paraId="0FFC3190">
      <w:pPr>
        <w:pStyle w:val="2"/>
        <w:spacing w:line="271" w:lineRule="auto"/>
        <w:rPr>
          <w:sz w:val="21"/>
        </w:rPr>
      </w:pPr>
    </w:p>
    <w:p w14:paraId="30A9B00A">
      <w:pPr>
        <w:pStyle w:val="2"/>
        <w:spacing w:line="271" w:lineRule="auto"/>
        <w:rPr>
          <w:sz w:val="21"/>
        </w:rPr>
      </w:pPr>
    </w:p>
    <w:p w14:paraId="3BCB5F9A">
      <w:pPr>
        <w:pStyle w:val="2"/>
        <w:spacing w:line="271" w:lineRule="auto"/>
        <w:rPr>
          <w:sz w:val="21"/>
        </w:rPr>
      </w:pPr>
    </w:p>
    <w:p w14:paraId="755D4AD6">
      <w:pPr>
        <w:pStyle w:val="2"/>
        <w:spacing w:line="272" w:lineRule="auto"/>
        <w:rPr>
          <w:sz w:val="21"/>
        </w:rPr>
      </w:pPr>
    </w:p>
    <w:p w14:paraId="50AEEFDA">
      <w:pPr>
        <w:pStyle w:val="2"/>
        <w:spacing w:line="272" w:lineRule="auto"/>
        <w:rPr>
          <w:sz w:val="21"/>
        </w:rPr>
      </w:pPr>
    </w:p>
    <w:p w14:paraId="4179B5DF">
      <w:pPr>
        <w:pStyle w:val="2"/>
        <w:spacing w:line="272" w:lineRule="auto"/>
        <w:rPr>
          <w:sz w:val="21"/>
        </w:rPr>
      </w:pPr>
    </w:p>
    <w:p w14:paraId="41545A40">
      <w:pPr>
        <w:spacing w:line="7601" w:lineRule="exact"/>
        <w:ind w:firstLine="507"/>
      </w:pPr>
      <w:r>
        <w:rPr>
          <w:position w:val="-152"/>
        </w:rPr>
        <w:drawing>
          <wp:inline distT="0" distB="0" distL="0" distR="0">
            <wp:extent cx="6821170" cy="4826000"/>
            <wp:effectExtent l="0" t="0" r="0" b="0"/>
            <wp:docPr id="378" name="IM 378"/>
            <wp:cNvGraphicFramePr/>
            <a:graphic xmlns:a="http://schemas.openxmlformats.org/drawingml/2006/main">
              <a:graphicData uri="http://schemas.openxmlformats.org/drawingml/2006/picture">
                <pic:pic xmlns:pic="http://schemas.openxmlformats.org/drawingml/2006/picture">
                  <pic:nvPicPr>
                    <pic:cNvPr id="378" name="IM 378"/>
                    <pic:cNvPicPr/>
                  </pic:nvPicPr>
                  <pic:blipFill>
                    <a:blip r:embed="rId424"/>
                    <a:stretch>
                      <a:fillRect/>
                    </a:stretch>
                  </pic:blipFill>
                  <pic:spPr>
                    <a:xfrm>
                      <a:off x="0" y="0"/>
                      <a:ext cx="6821423" cy="4826508"/>
                    </a:xfrm>
                    <a:prstGeom prst="rect">
                      <a:avLst/>
                    </a:prstGeom>
                  </pic:spPr>
                </pic:pic>
              </a:graphicData>
            </a:graphic>
          </wp:inline>
        </w:drawing>
      </w:r>
    </w:p>
    <w:p w14:paraId="764B6554">
      <w:pPr>
        <w:spacing w:before="56" w:line="222" w:lineRule="auto"/>
        <w:ind w:left="3009"/>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47"/>
          <w:sz w:val="24"/>
          <w:szCs w:val="24"/>
        </w:rPr>
        <w:t xml:space="preserve"> </w:t>
      </w:r>
      <w:r>
        <w:rPr>
          <w:rFonts w:ascii="仿宋" w:hAnsi="仿宋" w:eastAsia="仿宋" w:cs="仿宋"/>
          <w:b/>
          <w:bCs/>
          <w:spacing w:val="-3"/>
          <w:sz w:val="24"/>
          <w:szCs w:val="24"/>
        </w:rPr>
        <w:t>3.2-14</w:t>
      </w:r>
      <w:r>
        <w:rPr>
          <w:rFonts w:ascii="仿宋" w:hAnsi="仿宋" w:eastAsia="仿宋" w:cs="仿宋"/>
          <w:spacing w:val="-3"/>
          <w:sz w:val="24"/>
          <w:szCs w:val="24"/>
        </w:rPr>
        <w:t xml:space="preserve">    </w:t>
      </w:r>
      <w:r>
        <w:rPr>
          <w:rFonts w:ascii="仿宋" w:hAnsi="仿宋" w:eastAsia="仿宋" w:cs="仿宋"/>
          <w:b/>
          <w:bCs/>
          <w:spacing w:val="-3"/>
          <w:sz w:val="24"/>
          <w:szCs w:val="24"/>
        </w:rPr>
        <w:t>大棚区至杏仁露基地路段土</w:t>
      </w:r>
      <w:r>
        <w:rPr>
          <w:rFonts w:ascii="仿宋" w:hAnsi="仿宋" w:eastAsia="仿宋" w:cs="仿宋"/>
          <w:b/>
          <w:bCs/>
          <w:spacing w:val="-4"/>
          <w:sz w:val="24"/>
          <w:szCs w:val="24"/>
        </w:rPr>
        <w:t>地利用类型图</w:t>
      </w:r>
    </w:p>
    <w:p w14:paraId="3DAAD56E">
      <w:pPr>
        <w:spacing w:line="222" w:lineRule="auto"/>
        <w:rPr>
          <w:rFonts w:ascii="仿宋" w:hAnsi="仿宋" w:eastAsia="仿宋" w:cs="仿宋"/>
          <w:sz w:val="24"/>
          <w:szCs w:val="24"/>
        </w:rPr>
        <w:sectPr>
          <w:footerReference r:id="rId240" w:type="default"/>
          <w:pgSz w:w="16839" w:h="11906"/>
          <w:pgMar w:top="400" w:right="2525" w:bottom="1511" w:left="2525" w:header="0" w:footer="1349" w:gutter="0"/>
          <w:cols w:space="720" w:num="1"/>
        </w:sectPr>
      </w:pPr>
    </w:p>
    <w:p w14:paraId="19949E0F">
      <w:pPr>
        <w:pStyle w:val="2"/>
        <w:spacing w:line="271" w:lineRule="auto"/>
        <w:rPr>
          <w:sz w:val="21"/>
        </w:rPr>
      </w:pPr>
    </w:p>
    <w:p w14:paraId="26D48F9E">
      <w:pPr>
        <w:pStyle w:val="2"/>
        <w:spacing w:line="271" w:lineRule="auto"/>
        <w:rPr>
          <w:sz w:val="21"/>
        </w:rPr>
      </w:pPr>
    </w:p>
    <w:p w14:paraId="7B856006">
      <w:pPr>
        <w:pStyle w:val="2"/>
        <w:spacing w:line="271" w:lineRule="auto"/>
        <w:rPr>
          <w:sz w:val="21"/>
        </w:rPr>
      </w:pPr>
    </w:p>
    <w:p w14:paraId="7E90504D">
      <w:pPr>
        <w:pStyle w:val="2"/>
        <w:spacing w:line="272" w:lineRule="auto"/>
        <w:rPr>
          <w:sz w:val="21"/>
        </w:rPr>
      </w:pPr>
    </w:p>
    <w:p w14:paraId="238B3674">
      <w:pPr>
        <w:pStyle w:val="2"/>
        <w:spacing w:line="272" w:lineRule="auto"/>
        <w:rPr>
          <w:sz w:val="21"/>
        </w:rPr>
      </w:pPr>
    </w:p>
    <w:p w14:paraId="08F3D794">
      <w:pPr>
        <w:pStyle w:val="2"/>
        <w:spacing w:line="272" w:lineRule="auto"/>
        <w:rPr>
          <w:sz w:val="21"/>
        </w:rPr>
      </w:pPr>
    </w:p>
    <w:p w14:paraId="4BC6F711">
      <w:pPr>
        <w:spacing w:line="7676" w:lineRule="exact"/>
        <w:ind w:firstLine="462"/>
      </w:pPr>
      <w:r>
        <w:rPr>
          <w:position w:val="-153"/>
        </w:rPr>
        <w:drawing>
          <wp:inline distT="0" distB="0" distL="0" distR="0">
            <wp:extent cx="6886575" cy="4873625"/>
            <wp:effectExtent l="0" t="0" r="0" b="0"/>
            <wp:docPr id="380" name="IM 380"/>
            <wp:cNvGraphicFramePr/>
            <a:graphic xmlns:a="http://schemas.openxmlformats.org/drawingml/2006/main">
              <a:graphicData uri="http://schemas.openxmlformats.org/drawingml/2006/picture">
                <pic:pic xmlns:pic="http://schemas.openxmlformats.org/drawingml/2006/picture">
                  <pic:nvPicPr>
                    <pic:cNvPr id="380" name="IM 380"/>
                    <pic:cNvPicPr/>
                  </pic:nvPicPr>
                  <pic:blipFill>
                    <a:blip r:embed="rId425"/>
                    <a:stretch>
                      <a:fillRect/>
                    </a:stretch>
                  </pic:blipFill>
                  <pic:spPr>
                    <a:xfrm>
                      <a:off x="0" y="0"/>
                      <a:ext cx="6886956" cy="4873752"/>
                    </a:xfrm>
                    <a:prstGeom prst="rect">
                      <a:avLst/>
                    </a:prstGeom>
                  </pic:spPr>
                </pic:pic>
              </a:graphicData>
            </a:graphic>
          </wp:inline>
        </w:drawing>
      </w:r>
    </w:p>
    <w:p w14:paraId="34266E66">
      <w:pPr>
        <w:spacing w:before="42" w:line="222" w:lineRule="auto"/>
        <w:ind w:left="2769"/>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47"/>
          <w:sz w:val="24"/>
          <w:szCs w:val="24"/>
        </w:rPr>
        <w:t xml:space="preserve"> </w:t>
      </w:r>
      <w:r>
        <w:rPr>
          <w:rFonts w:ascii="仿宋" w:hAnsi="仿宋" w:eastAsia="仿宋" w:cs="仿宋"/>
          <w:b/>
          <w:bCs/>
          <w:spacing w:val="-3"/>
          <w:sz w:val="24"/>
          <w:szCs w:val="24"/>
        </w:rPr>
        <w:t>3.2-15</w:t>
      </w:r>
      <w:r>
        <w:rPr>
          <w:rFonts w:ascii="仿宋" w:hAnsi="仿宋" w:eastAsia="仿宋" w:cs="仿宋"/>
          <w:spacing w:val="-3"/>
          <w:sz w:val="24"/>
          <w:szCs w:val="24"/>
        </w:rPr>
        <w:t xml:space="preserve">    </w:t>
      </w:r>
      <w:r>
        <w:rPr>
          <w:rFonts w:ascii="仿宋" w:hAnsi="仿宋" w:eastAsia="仿宋" w:cs="仿宋"/>
          <w:b/>
          <w:bCs/>
          <w:spacing w:val="-3"/>
          <w:sz w:val="24"/>
          <w:szCs w:val="24"/>
        </w:rPr>
        <w:t>三道拐社坡底至北防洪堤路段土地</w:t>
      </w:r>
      <w:r>
        <w:rPr>
          <w:rFonts w:ascii="仿宋" w:hAnsi="仿宋" w:eastAsia="仿宋" w:cs="仿宋"/>
          <w:b/>
          <w:bCs/>
          <w:spacing w:val="-4"/>
          <w:sz w:val="24"/>
          <w:szCs w:val="24"/>
        </w:rPr>
        <w:t>利用类型图</w:t>
      </w:r>
    </w:p>
    <w:p w14:paraId="01B62883">
      <w:pPr>
        <w:spacing w:line="222" w:lineRule="auto"/>
        <w:rPr>
          <w:rFonts w:ascii="仿宋" w:hAnsi="仿宋" w:eastAsia="仿宋" w:cs="仿宋"/>
          <w:sz w:val="24"/>
          <w:szCs w:val="24"/>
        </w:rPr>
        <w:sectPr>
          <w:footerReference r:id="rId241" w:type="default"/>
          <w:pgSz w:w="16839" w:h="11906"/>
          <w:pgMar w:top="400" w:right="2525" w:bottom="1511" w:left="2525" w:header="0" w:footer="1349" w:gutter="0"/>
          <w:cols w:space="720" w:num="1"/>
        </w:sectPr>
      </w:pPr>
    </w:p>
    <w:p w14:paraId="41F92AAD">
      <w:pPr>
        <w:pStyle w:val="2"/>
        <w:spacing w:line="271" w:lineRule="auto"/>
        <w:rPr>
          <w:sz w:val="21"/>
        </w:rPr>
      </w:pPr>
    </w:p>
    <w:p w14:paraId="545054B4">
      <w:pPr>
        <w:pStyle w:val="2"/>
        <w:spacing w:line="271" w:lineRule="auto"/>
        <w:rPr>
          <w:sz w:val="21"/>
        </w:rPr>
      </w:pPr>
    </w:p>
    <w:p w14:paraId="789DBBB4">
      <w:pPr>
        <w:pStyle w:val="2"/>
        <w:spacing w:line="271" w:lineRule="auto"/>
        <w:rPr>
          <w:sz w:val="21"/>
        </w:rPr>
      </w:pPr>
    </w:p>
    <w:p w14:paraId="44218135">
      <w:pPr>
        <w:pStyle w:val="2"/>
        <w:spacing w:line="272" w:lineRule="auto"/>
        <w:rPr>
          <w:sz w:val="21"/>
        </w:rPr>
      </w:pPr>
    </w:p>
    <w:p w14:paraId="2E9B03A9">
      <w:pPr>
        <w:pStyle w:val="2"/>
        <w:spacing w:line="272" w:lineRule="auto"/>
        <w:rPr>
          <w:sz w:val="21"/>
        </w:rPr>
      </w:pPr>
    </w:p>
    <w:p w14:paraId="75DDE2A4">
      <w:pPr>
        <w:pStyle w:val="2"/>
        <w:spacing w:line="272" w:lineRule="auto"/>
        <w:rPr>
          <w:sz w:val="21"/>
        </w:rPr>
      </w:pPr>
    </w:p>
    <w:p w14:paraId="78720876">
      <w:pPr>
        <w:spacing w:line="7697" w:lineRule="exact"/>
        <w:ind w:firstLine="447"/>
      </w:pPr>
      <w:r>
        <w:rPr>
          <w:position w:val="-153"/>
        </w:rPr>
        <w:drawing>
          <wp:inline distT="0" distB="0" distL="0" distR="0">
            <wp:extent cx="6904990" cy="4886960"/>
            <wp:effectExtent l="0" t="0" r="0" b="0"/>
            <wp:docPr id="382" name="IM 382"/>
            <wp:cNvGraphicFramePr/>
            <a:graphic xmlns:a="http://schemas.openxmlformats.org/drawingml/2006/main">
              <a:graphicData uri="http://schemas.openxmlformats.org/drawingml/2006/picture">
                <pic:pic xmlns:pic="http://schemas.openxmlformats.org/drawingml/2006/picture">
                  <pic:nvPicPr>
                    <pic:cNvPr id="382" name="IM 382"/>
                    <pic:cNvPicPr/>
                  </pic:nvPicPr>
                  <pic:blipFill>
                    <a:blip r:embed="rId426"/>
                    <a:stretch>
                      <a:fillRect/>
                    </a:stretch>
                  </pic:blipFill>
                  <pic:spPr>
                    <a:xfrm>
                      <a:off x="0" y="0"/>
                      <a:ext cx="6905244" cy="4887467"/>
                    </a:xfrm>
                    <a:prstGeom prst="rect">
                      <a:avLst/>
                    </a:prstGeom>
                  </pic:spPr>
                </pic:pic>
              </a:graphicData>
            </a:graphic>
          </wp:inline>
        </w:drawing>
      </w:r>
    </w:p>
    <w:p w14:paraId="63672424">
      <w:pPr>
        <w:spacing w:before="48" w:line="222" w:lineRule="auto"/>
        <w:ind w:left="1442"/>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32"/>
          <w:sz w:val="24"/>
          <w:szCs w:val="24"/>
        </w:rPr>
        <w:t xml:space="preserve"> </w:t>
      </w:r>
      <w:r>
        <w:rPr>
          <w:rFonts w:ascii="仿宋" w:hAnsi="仿宋" w:eastAsia="仿宋" w:cs="仿宋"/>
          <w:b/>
          <w:bCs/>
          <w:spacing w:val="-3"/>
          <w:sz w:val="24"/>
          <w:szCs w:val="24"/>
        </w:rPr>
        <w:t>3.2-16</w:t>
      </w:r>
      <w:r>
        <w:rPr>
          <w:rFonts w:ascii="仿宋" w:hAnsi="仿宋" w:eastAsia="仿宋" w:cs="仿宋"/>
          <w:spacing w:val="-3"/>
          <w:sz w:val="24"/>
          <w:szCs w:val="24"/>
        </w:rPr>
        <w:t xml:space="preserve">    </w:t>
      </w:r>
      <w:r>
        <w:rPr>
          <w:rFonts w:ascii="仿宋" w:hAnsi="仿宋" w:eastAsia="仿宋" w:cs="仿宋"/>
          <w:b/>
          <w:bCs/>
          <w:spacing w:val="-3"/>
          <w:sz w:val="24"/>
          <w:szCs w:val="24"/>
        </w:rPr>
        <w:t>二道拐坡底至张家圪旦社及脑包湾村自然村通硬化路段土地利用类型图</w:t>
      </w:r>
    </w:p>
    <w:p w14:paraId="4CF7E8E1">
      <w:pPr>
        <w:spacing w:line="222" w:lineRule="auto"/>
        <w:rPr>
          <w:rFonts w:ascii="仿宋" w:hAnsi="仿宋" w:eastAsia="仿宋" w:cs="仿宋"/>
          <w:sz w:val="24"/>
          <w:szCs w:val="24"/>
        </w:rPr>
        <w:sectPr>
          <w:footerReference r:id="rId242" w:type="default"/>
          <w:pgSz w:w="16839" w:h="11906"/>
          <w:pgMar w:top="400" w:right="2525" w:bottom="1511" w:left="2525" w:header="0" w:footer="1349" w:gutter="0"/>
          <w:cols w:space="720" w:num="1"/>
        </w:sectPr>
      </w:pPr>
    </w:p>
    <w:p w14:paraId="1F7D404F">
      <w:pPr>
        <w:pStyle w:val="2"/>
        <w:spacing w:line="271" w:lineRule="auto"/>
        <w:rPr>
          <w:sz w:val="21"/>
        </w:rPr>
      </w:pPr>
    </w:p>
    <w:p w14:paraId="71724132">
      <w:pPr>
        <w:pStyle w:val="2"/>
        <w:spacing w:line="271" w:lineRule="auto"/>
        <w:rPr>
          <w:sz w:val="21"/>
        </w:rPr>
      </w:pPr>
    </w:p>
    <w:p w14:paraId="3404C00B">
      <w:pPr>
        <w:pStyle w:val="2"/>
        <w:spacing w:line="271" w:lineRule="auto"/>
        <w:rPr>
          <w:sz w:val="21"/>
        </w:rPr>
      </w:pPr>
    </w:p>
    <w:p w14:paraId="0EC04177">
      <w:pPr>
        <w:pStyle w:val="2"/>
        <w:spacing w:line="272" w:lineRule="auto"/>
        <w:rPr>
          <w:sz w:val="21"/>
        </w:rPr>
      </w:pPr>
    </w:p>
    <w:p w14:paraId="502A5D47">
      <w:pPr>
        <w:pStyle w:val="2"/>
        <w:spacing w:line="272" w:lineRule="auto"/>
        <w:rPr>
          <w:sz w:val="21"/>
        </w:rPr>
      </w:pPr>
    </w:p>
    <w:p w14:paraId="579787F3">
      <w:pPr>
        <w:pStyle w:val="2"/>
        <w:spacing w:line="272" w:lineRule="auto"/>
        <w:rPr>
          <w:sz w:val="21"/>
        </w:rPr>
      </w:pPr>
    </w:p>
    <w:p w14:paraId="46D286FD">
      <w:pPr>
        <w:spacing w:line="7697" w:lineRule="exact"/>
        <w:ind w:firstLine="447"/>
      </w:pPr>
      <w:r>
        <w:rPr>
          <w:position w:val="-153"/>
        </w:rPr>
        <w:drawing>
          <wp:inline distT="0" distB="0" distL="0" distR="0">
            <wp:extent cx="6906260" cy="4886960"/>
            <wp:effectExtent l="0" t="0" r="0" b="0"/>
            <wp:docPr id="384" name="IM 384"/>
            <wp:cNvGraphicFramePr/>
            <a:graphic xmlns:a="http://schemas.openxmlformats.org/drawingml/2006/main">
              <a:graphicData uri="http://schemas.openxmlformats.org/drawingml/2006/picture">
                <pic:pic xmlns:pic="http://schemas.openxmlformats.org/drawingml/2006/picture">
                  <pic:nvPicPr>
                    <pic:cNvPr id="384" name="IM 384"/>
                    <pic:cNvPicPr/>
                  </pic:nvPicPr>
                  <pic:blipFill>
                    <a:blip r:embed="rId427"/>
                    <a:stretch>
                      <a:fillRect/>
                    </a:stretch>
                  </pic:blipFill>
                  <pic:spPr>
                    <a:xfrm>
                      <a:off x="0" y="0"/>
                      <a:ext cx="6906767" cy="4887467"/>
                    </a:xfrm>
                    <a:prstGeom prst="rect">
                      <a:avLst/>
                    </a:prstGeom>
                  </pic:spPr>
                </pic:pic>
              </a:graphicData>
            </a:graphic>
          </wp:inline>
        </w:drawing>
      </w:r>
    </w:p>
    <w:p w14:paraId="77BBBCD6">
      <w:pPr>
        <w:spacing w:before="48" w:line="222" w:lineRule="auto"/>
        <w:ind w:left="2527"/>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47"/>
          <w:sz w:val="24"/>
          <w:szCs w:val="24"/>
        </w:rPr>
        <w:t xml:space="preserve"> </w:t>
      </w:r>
      <w:r>
        <w:rPr>
          <w:rFonts w:ascii="仿宋" w:hAnsi="仿宋" w:eastAsia="仿宋" w:cs="仿宋"/>
          <w:b/>
          <w:bCs/>
          <w:spacing w:val="-3"/>
          <w:sz w:val="24"/>
          <w:szCs w:val="24"/>
        </w:rPr>
        <w:t>3.2-17</w:t>
      </w:r>
      <w:r>
        <w:rPr>
          <w:rFonts w:ascii="仿宋" w:hAnsi="仿宋" w:eastAsia="仿宋" w:cs="仿宋"/>
          <w:spacing w:val="-3"/>
          <w:sz w:val="24"/>
          <w:szCs w:val="24"/>
        </w:rPr>
        <w:t xml:space="preserve">    </w:t>
      </w:r>
      <w:r>
        <w:rPr>
          <w:rFonts w:ascii="仿宋" w:hAnsi="仿宋" w:eastAsia="仿宋" w:cs="仿宋"/>
          <w:b/>
          <w:bCs/>
          <w:spacing w:val="-3"/>
          <w:sz w:val="24"/>
          <w:szCs w:val="24"/>
        </w:rPr>
        <w:t>份子地社新村至二道拐村委会路段土地利用类</w:t>
      </w:r>
      <w:r>
        <w:rPr>
          <w:rFonts w:ascii="仿宋" w:hAnsi="仿宋" w:eastAsia="仿宋" w:cs="仿宋"/>
          <w:b/>
          <w:bCs/>
          <w:spacing w:val="-4"/>
          <w:sz w:val="24"/>
          <w:szCs w:val="24"/>
        </w:rPr>
        <w:t>型图</w:t>
      </w:r>
    </w:p>
    <w:p w14:paraId="60DCED7D">
      <w:pPr>
        <w:spacing w:line="222" w:lineRule="auto"/>
        <w:rPr>
          <w:rFonts w:ascii="仿宋" w:hAnsi="仿宋" w:eastAsia="仿宋" w:cs="仿宋"/>
          <w:sz w:val="24"/>
          <w:szCs w:val="24"/>
        </w:rPr>
        <w:sectPr>
          <w:footerReference r:id="rId243" w:type="default"/>
          <w:pgSz w:w="16839" w:h="11906"/>
          <w:pgMar w:top="400" w:right="2525" w:bottom="1511" w:left="2525" w:header="0" w:footer="1349" w:gutter="0"/>
          <w:cols w:space="720" w:num="1"/>
        </w:sectPr>
      </w:pPr>
    </w:p>
    <w:p w14:paraId="69268DC0">
      <w:pPr>
        <w:pStyle w:val="2"/>
        <w:spacing w:line="271" w:lineRule="auto"/>
        <w:rPr>
          <w:sz w:val="21"/>
        </w:rPr>
      </w:pPr>
    </w:p>
    <w:p w14:paraId="4EAA64A5">
      <w:pPr>
        <w:pStyle w:val="2"/>
        <w:spacing w:line="271" w:lineRule="auto"/>
        <w:rPr>
          <w:sz w:val="21"/>
        </w:rPr>
      </w:pPr>
    </w:p>
    <w:p w14:paraId="3CB3AD6A">
      <w:pPr>
        <w:pStyle w:val="2"/>
        <w:spacing w:line="271" w:lineRule="auto"/>
        <w:rPr>
          <w:sz w:val="21"/>
        </w:rPr>
      </w:pPr>
    </w:p>
    <w:p w14:paraId="4B14B71E">
      <w:pPr>
        <w:pStyle w:val="2"/>
        <w:spacing w:line="272" w:lineRule="auto"/>
        <w:rPr>
          <w:sz w:val="21"/>
        </w:rPr>
      </w:pPr>
    </w:p>
    <w:p w14:paraId="6034FB79">
      <w:pPr>
        <w:pStyle w:val="2"/>
        <w:spacing w:line="272" w:lineRule="auto"/>
        <w:rPr>
          <w:sz w:val="21"/>
        </w:rPr>
      </w:pPr>
    </w:p>
    <w:p w14:paraId="56F57F2F">
      <w:pPr>
        <w:pStyle w:val="2"/>
        <w:spacing w:line="272" w:lineRule="auto"/>
        <w:rPr>
          <w:sz w:val="21"/>
        </w:rPr>
      </w:pPr>
    </w:p>
    <w:p w14:paraId="16138A5F">
      <w:pPr>
        <w:spacing w:line="7272" w:lineRule="exact"/>
        <w:ind w:firstLine="747"/>
      </w:pPr>
      <w:r>
        <w:rPr>
          <w:position w:val="-145"/>
        </w:rPr>
        <w:drawing>
          <wp:inline distT="0" distB="0" distL="0" distR="0">
            <wp:extent cx="6523990" cy="4617720"/>
            <wp:effectExtent l="0" t="0" r="0" b="0"/>
            <wp:docPr id="386" name="IM 386"/>
            <wp:cNvGraphicFramePr/>
            <a:graphic xmlns:a="http://schemas.openxmlformats.org/drawingml/2006/main">
              <a:graphicData uri="http://schemas.openxmlformats.org/drawingml/2006/picture">
                <pic:pic xmlns:pic="http://schemas.openxmlformats.org/drawingml/2006/picture">
                  <pic:nvPicPr>
                    <pic:cNvPr id="386" name="IM 386"/>
                    <pic:cNvPicPr/>
                  </pic:nvPicPr>
                  <pic:blipFill>
                    <a:blip r:embed="rId428"/>
                    <a:stretch>
                      <a:fillRect/>
                    </a:stretch>
                  </pic:blipFill>
                  <pic:spPr>
                    <a:xfrm>
                      <a:off x="0" y="0"/>
                      <a:ext cx="6524244" cy="4617720"/>
                    </a:xfrm>
                    <a:prstGeom prst="rect">
                      <a:avLst/>
                    </a:prstGeom>
                  </pic:spPr>
                </pic:pic>
              </a:graphicData>
            </a:graphic>
          </wp:inline>
        </w:drawing>
      </w:r>
    </w:p>
    <w:p w14:paraId="63E19990">
      <w:pPr>
        <w:spacing w:before="295" w:line="222" w:lineRule="auto"/>
        <w:ind w:left="2347"/>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47"/>
          <w:sz w:val="24"/>
          <w:szCs w:val="24"/>
        </w:rPr>
        <w:t xml:space="preserve"> </w:t>
      </w:r>
      <w:r>
        <w:rPr>
          <w:rFonts w:ascii="仿宋" w:hAnsi="仿宋" w:eastAsia="仿宋" w:cs="仿宋"/>
          <w:b/>
          <w:bCs/>
          <w:spacing w:val="-3"/>
          <w:sz w:val="24"/>
          <w:szCs w:val="24"/>
        </w:rPr>
        <w:t>3.2-18</w:t>
      </w:r>
      <w:r>
        <w:rPr>
          <w:rFonts w:ascii="仿宋" w:hAnsi="仿宋" w:eastAsia="仿宋" w:cs="仿宋"/>
          <w:spacing w:val="-3"/>
          <w:sz w:val="24"/>
          <w:szCs w:val="24"/>
        </w:rPr>
        <w:t xml:space="preserve">   </w:t>
      </w:r>
      <w:r>
        <w:rPr>
          <w:rFonts w:ascii="仿宋" w:hAnsi="仿宋" w:eastAsia="仿宋" w:cs="仿宋"/>
          <w:b/>
          <w:bCs/>
          <w:spacing w:val="-3"/>
          <w:sz w:val="24"/>
          <w:szCs w:val="24"/>
        </w:rPr>
        <w:t>沿黄巨合滩出口东至天顺圪梁通村路段土地利用类型图</w:t>
      </w:r>
    </w:p>
    <w:p w14:paraId="23EB49F5">
      <w:pPr>
        <w:spacing w:line="222" w:lineRule="auto"/>
        <w:rPr>
          <w:rFonts w:ascii="仿宋" w:hAnsi="仿宋" w:eastAsia="仿宋" w:cs="仿宋"/>
          <w:sz w:val="24"/>
          <w:szCs w:val="24"/>
        </w:rPr>
        <w:sectPr>
          <w:footerReference r:id="rId244" w:type="default"/>
          <w:pgSz w:w="16839" w:h="11906"/>
          <w:pgMar w:top="400" w:right="2525" w:bottom="1511" w:left="2525" w:header="0" w:footer="1349" w:gutter="0"/>
          <w:cols w:space="720" w:num="1"/>
        </w:sectPr>
      </w:pPr>
    </w:p>
    <w:p w14:paraId="08E7F463">
      <w:pPr>
        <w:pStyle w:val="2"/>
        <w:spacing w:line="272" w:lineRule="auto"/>
        <w:rPr>
          <w:sz w:val="21"/>
        </w:rPr>
      </w:pPr>
    </w:p>
    <w:p w14:paraId="4CD47660">
      <w:pPr>
        <w:pStyle w:val="2"/>
        <w:spacing w:line="273" w:lineRule="auto"/>
        <w:rPr>
          <w:sz w:val="21"/>
        </w:rPr>
      </w:pPr>
    </w:p>
    <w:p w14:paraId="4AD361E1">
      <w:pPr>
        <w:pStyle w:val="2"/>
        <w:spacing w:line="273" w:lineRule="auto"/>
        <w:rPr>
          <w:sz w:val="21"/>
        </w:rPr>
      </w:pPr>
    </w:p>
    <w:p w14:paraId="6B90B01A">
      <w:pPr>
        <w:pStyle w:val="2"/>
        <w:spacing w:line="273" w:lineRule="auto"/>
        <w:rPr>
          <w:sz w:val="21"/>
        </w:rPr>
      </w:pPr>
    </w:p>
    <w:p w14:paraId="10EDF994">
      <w:pPr>
        <w:spacing w:before="84" w:line="227" w:lineRule="auto"/>
        <w:ind w:left="28"/>
        <w:rPr>
          <w:rFonts w:ascii="仿宋" w:hAnsi="仿宋" w:eastAsia="仿宋" w:cs="仿宋"/>
          <w:sz w:val="26"/>
          <w:szCs w:val="26"/>
        </w:rPr>
      </w:pPr>
      <w:r>
        <w:rPr>
          <w:rFonts w:ascii="仿宋" w:hAnsi="仿宋" w:eastAsia="仿宋" w:cs="仿宋"/>
          <w:b/>
          <w:bCs/>
          <w:spacing w:val="4"/>
          <w:sz w:val="26"/>
          <w:szCs w:val="26"/>
        </w:rPr>
        <w:t>3.2.3</w:t>
      </w:r>
      <w:r>
        <w:rPr>
          <w:rFonts w:ascii="仿宋" w:hAnsi="仿宋" w:eastAsia="仿宋" w:cs="仿宋"/>
          <w:spacing w:val="-39"/>
          <w:sz w:val="26"/>
          <w:szCs w:val="26"/>
        </w:rPr>
        <w:t xml:space="preserve"> </w:t>
      </w:r>
      <w:r>
        <w:rPr>
          <w:rFonts w:ascii="仿宋" w:hAnsi="仿宋" w:eastAsia="仿宋" w:cs="仿宋"/>
          <w:b/>
          <w:bCs/>
          <w:spacing w:val="4"/>
          <w:sz w:val="26"/>
          <w:szCs w:val="26"/>
        </w:rPr>
        <w:t>植物资源现状调查与评价</w:t>
      </w:r>
    </w:p>
    <w:p w14:paraId="6CD58973">
      <w:pPr>
        <w:spacing w:before="297" w:line="222" w:lineRule="auto"/>
        <w:ind w:left="514"/>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1</w:t>
      </w:r>
      <w:r>
        <w:rPr>
          <w:rFonts w:ascii="仿宋" w:hAnsi="仿宋" w:eastAsia="仿宋" w:cs="仿宋"/>
          <w:spacing w:val="-2"/>
          <w:sz w:val="24"/>
          <w:szCs w:val="24"/>
        </w:rPr>
        <w:t>）工程沿线植被区划</w:t>
      </w:r>
    </w:p>
    <w:p w14:paraId="08EC85BC">
      <w:pPr>
        <w:spacing w:before="178" w:line="350" w:lineRule="auto"/>
        <w:ind w:left="32" w:right="80" w:firstLine="478"/>
        <w:rPr>
          <w:rFonts w:ascii="仿宋" w:hAnsi="仿宋" w:eastAsia="仿宋" w:cs="仿宋"/>
          <w:sz w:val="24"/>
          <w:szCs w:val="24"/>
        </w:rPr>
      </w:pPr>
      <w:r>
        <w:rPr>
          <w:rFonts w:ascii="仿宋" w:hAnsi="仿宋" w:eastAsia="仿宋" w:cs="仿宋"/>
          <w:spacing w:val="-1"/>
          <w:sz w:val="24"/>
          <w:szCs w:val="24"/>
        </w:rPr>
        <w:t>根据《内蒙古自治区植物区系分区》，本工程沿线位于欧亚草原植物区</w:t>
      </w:r>
      <w:r>
        <w:rPr>
          <w:rFonts w:ascii="Times New Roman" w:hAnsi="Times New Roman" w:eastAsia="Times New Roman" w:cs="Times New Roman"/>
          <w:spacing w:val="-1"/>
          <w:sz w:val="24"/>
          <w:szCs w:val="24"/>
        </w:rPr>
        <w:t>-</w:t>
      </w:r>
      <w:r>
        <w:rPr>
          <w:rFonts w:ascii="仿宋" w:hAnsi="仿宋" w:eastAsia="仿宋" w:cs="仿宋"/>
          <w:spacing w:val="-1"/>
          <w:sz w:val="24"/>
          <w:szCs w:val="24"/>
        </w:rPr>
        <w:t>黄土高原草原植物省</w:t>
      </w:r>
      <w:r>
        <w:rPr>
          <w:rFonts w:ascii="Times New Roman" w:hAnsi="Times New Roman" w:eastAsia="Times New Roman" w:cs="Times New Roman"/>
          <w:spacing w:val="-1"/>
          <w:sz w:val="24"/>
          <w:szCs w:val="24"/>
        </w:rPr>
        <w:t>-</w:t>
      </w:r>
      <w:r>
        <w:rPr>
          <w:rFonts w:ascii="仿宋" w:hAnsi="仿宋" w:eastAsia="仿宋" w:cs="仿宋"/>
          <w:spacing w:val="-1"/>
          <w:sz w:val="24"/>
          <w:szCs w:val="24"/>
        </w:rPr>
        <w:t>鄂尔多斯高原州。本工程在内蒙古自治区植物区系分区图中</w:t>
      </w:r>
      <w:r>
        <w:rPr>
          <w:rFonts w:ascii="仿宋" w:hAnsi="仿宋" w:eastAsia="仿宋" w:cs="仿宋"/>
          <w:spacing w:val="-4"/>
          <w:sz w:val="24"/>
          <w:szCs w:val="24"/>
        </w:rPr>
        <w:t>的位置见图</w:t>
      </w:r>
      <w:r>
        <w:rPr>
          <w:rFonts w:ascii="仿宋" w:hAnsi="仿宋" w:eastAsia="仿宋" w:cs="仿宋"/>
          <w:spacing w:val="-48"/>
          <w:sz w:val="24"/>
          <w:szCs w:val="24"/>
        </w:rPr>
        <w:t xml:space="preserve"> </w:t>
      </w:r>
      <w:r>
        <w:rPr>
          <w:rFonts w:ascii="Times New Roman" w:hAnsi="Times New Roman" w:eastAsia="Times New Roman" w:cs="Times New Roman"/>
          <w:spacing w:val="-4"/>
          <w:sz w:val="24"/>
          <w:szCs w:val="24"/>
        </w:rPr>
        <w:t>3.2-</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4"/>
          <w:sz w:val="24"/>
          <w:szCs w:val="24"/>
        </w:rPr>
        <w:t>19</w:t>
      </w:r>
      <w:r>
        <w:rPr>
          <w:rFonts w:ascii="Times New Roman" w:hAnsi="Times New Roman" w:eastAsia="Times New Roman" w:cs="Times New Roman"/>
          <w:spacing w:val="-28"/>
          <w:sz w:val="24"/>
          <w:szCs w:val="24"/>
        </w:rPr>
        <w:t xml:space="preserve"> </w:t>
      </w:r>
      <w:r>
        <w:rPr>
          <w:rFonts w:ascii="仿宋" w:hAnsi="仿宋" w:eastAsia="仿宋" w:cs="仿宋"/>
          <w:spacing w:val="-4"/>
          <w:sz w:val="24"/>
          <w:szCs w:val="24"/>
        </w:rPr>
        <w:t>，植被地带图见图</w:t>
      </w:r>
      <w:r>
        <w:rPr>
          <w:rFonts w:ascii="仿宋" w:hAnsi="仿宋" w:eastAsia="仿宋" w:cs="仿宋"/>
          <w:spacing w:val="-50"/>
          <w:sz w:val="24"/>
          <w:szCs w:val="24"/>
        </w:rPr>
        <w:t xml:space="preserve"> </w:t>
      </w:r>
      <w:r>
        <w:rPr>
          <w:rFonts w:ascii="Times New Roman" w:hAnsi="Times New Roman" w:eastAsia="Times New Roman" w:cs="Times New Roman"/>
          <w:spacing w:val="-4"/>
          <w:sz w:val="24"/>
          <w:szCs w:val="24"/>
        </w:rPr>
        <w:t>3.2-20</w:t>
      </w:r>
      <w:r>
        <w:rPr>
          <w:rFonts w:ascii="仿宋" w:hAnsi="仿宋" w:eastAsia="仿宋" w:cs="仿宋"/>
          <w:spacing w:val="-4"/>
          <w:sz w:val="24"/>
          <w:szCs w:val="24"/>
        </w:rPr>
        <w:t>。</w:t>
      </w:r>
    </w:p>
    <w:p w14:paraId="0A8E1A7C">
      <w:pPr>
        <w:spacing w:line="6302" w:lineRule="exact"/>
        <w:ind w:firstLine="57"/>
      </w:pPr>
      <w:r>
        <w:rPr>
          <w:position w:val="-126"/>
        </w:rPr>
        <w:pict>
          <v:group id="_x0000_s1131" o:spid="_x0000_s1131" o:spt="203" style="height:315.15pt;width:410.05pt;" coordsize="8200,6302">
            <o:lock v:ext="edit"/>
            <v:shape id="_x0000_s1132" o:spid="_x0000_s1132" o:spt="75" type="#_x0000_t75" style="position:absolute;left:0;top:0;height:6302;width:8200;" filled="f" stroked="f" coordsize="21600,21600">
              <v:path/>
              <v:fill on="f" focussize="0,0"/>
              <v:stroke on="f"/>
              <v:imagedata r:id="rId429" o:title=""/>
              <o:lock v:ext="edit" aspectratio="t"/>
            </v:shape>
            <v:shape id="_x0000_s1133" o:spid="_x0000_s1133" o:spt="202" type="#_x0000_t202" style="position:absolute;left:5741;top:4694;height:238;width:632;" filled="f" stroked="f" coordsize="21600,21600">
              <v:path/>
              <v:fill on="f" focussize="0,0"/>
              <v:stroke on="f"/>
              <v:imagedata o:title=""/>
              <o:lock v:ext="edit" aspectratio="f"/>
              <v:textbox inset="0mm,0mm,0mm,0mm">
                <w:txbxContent>
                  <w:p w14:paraId="37225F3A">
                    <w:pPr>
                      <w:spacing w:before="20" w:line="227" w:lineRule="auto"/>
                      <w:ind w:left="20"/>
                      <w:rPr>
                        <w:rFonts w:ascii="宋体" w:hAnsi="宋体" w:eastAsia="宋体" w:cs="宋体"/>
                        <w:sz w:val="19"/>
                        <w:szCs w:val="19"/>
                      </w:rPr>
                    </w:pPr>
                    <w:r>
                      <w:rPr>
                        <w:rFonts w:ascii="宋体" w:hAnsi="宋体" w:eastAsia="宋体" w:cs="宋体"/>
                        <w:b/>
                        <w:bCs/>
                        <w:color w:val="FF0000"/>
                        <w:spacing w:val="5"/>
                        <w:sz w:val="19"/>
                        <w:szCs w:val="19"/>
                      </w:rPr>
                      <w:t>本项目</w:t>
                    </w:r>
                  </w:p>
                </w:txbxContent>
              </v:textbox>
            </v:shape>
            <w10:wrap type="none"/>
            <w10:anchorlock/>
          </v:group>
        </w:pict>
      </w:r>
    </w:p>
    <w:p w14:paraId="2E089574">
      <w:pPr>
        <w:spacing w:before="184" w:line="219" w:lineRule="auto"/>
        <w:ind w:left="2655"/>
        <w:rPr>
          <w:rFonts w:ascii="宋体" w:hAnsi="宋体" w:eastAsia="宋体" w:cs="宋体"/>
          <w:sz w:val="24"/>
          <w:szCs w:val="24"/>
        </w:rPr>
      </w:pPr>
      <w:r>
        <w:rPr>
          <w:rFonts w:ascii="宋体" w:hAnsi="宋体" w:eastAsia="宋体" w:cs="宋体"/>
          <w:b/>
          <w:bCs/>
          <w:spacing w:val="-6"/>
          <w:sz w:val="24"/>
          <w:szCs w:val="24"/>
        </w:rPr>
        <w:t>图</w:t>
      </w:r>
      <w:r>
        <w:rPr>
          <w:rFonts w:ascii="宋体" w:hAnsi="宋体" w:eastAsia="宋体" w:cs="宋体"/>
          <w:spacing w:val="-50"/>
          <w:sz w:val="24"/>
          <w:szCs w:val="24"/>
        </w:rPr>
        <w:t xml:space="preserve"> </w:t>
      </w:r>
      <w:r>
        <w:rPr>
          <w:rFonts w:ascii="Times New Roman" w:hAnsi="Times New Roman" w:eastAsia="Times New Roman" w:cs="Times New Roman"/>
          <w:b/>
          <w:bCs/>
          <w:spacing w:val="-6"/>
          <w:sz w:val="24"/>
          <w:szCs w:val="24"/>
        </w:rPr>
        <w:t>3.2-19</w:t>
      </w:r>
      <w:r>
        <w:rPr>
          <w:rFonts w:ascii="Times New Roman" w:hAnsi="Times New Roman" w:eastAsia="Times New Roman" w:cs="Times New Roman"/>
          <w:b/>
          <w:bCs/>
          <w:spacing w:val="9"/>
          <w:sz w:val="24"/>
          <w:szCs w:val="24"/>
        </w:rPr>
        <w:t xml:space="preserve">    </w:t>
      </w:r>
      <w:r>
        <w:rPr>
          <w:rFonts w:ascii="宋体" w:hAnsi="宋体" w:eastAsia="宋体" w:cs="宋体"/>
          <w:b/>
          <w:bCs/>
          <w:spacing w:val="-6"/>
          <w:sz w:val="24"/>
          <w:szCs w:val="24"/>
        </w:rPr>
        <w:t>内蒙古植物区系分区图</w:t>
      </w:r>
    </w:p>
    <w:p w14:paraId="48404FD8">
      <w:pPr>
        <w:spacing w:line="219" w:lineRule="auto"/>
        <w:rPr>
          <w:rFonts w:ascii="宋体" w:hAnsi="宋体" w:eastAsia="宋体" w:cs="宋体"/>
          <w:sz w:val="24"/>
          <w:szCs w:val="24"/>
        </w:rPr>
        <w:sectPr>
          <w:footerReference r:id="rId245" w:type="default"/>
          <w:pgSz w:w="11906" w:h="16839"/>
          <w:pgMar w:top="400" w:right="1785" w:bottom="1511" w:left="1785" w:header="0" w:footer="1349" w:gutter="0"/>
          <w:cols w:space="720" w:num="1"/>
        </w:sectPr>
      </w:pPr>
    </w:p>
    <w:p w14:paraId="6E0BFD79">
      <w:pPr>
        <w:pStyle w:val="2"/>
        <w:spacing w:line="258" w:lineRule="auto"/>
        <w:rPr>
          <w:sz w:val="21"/>
        </w:rPr>
      </w:pPr>
    </w:p>
    <w:p w14:paraId="07C01E8C">
      <w:pPr>
        <w:pStyle w:val="2"/>
        <w:spacing w:line="258" w:lineRule="auto"/>
        <w:rPr>
          <w:sz w:val="21"/>
        </w:rPr>
      </w:pPr>
    </w:p>
    <w:p w14:paraId="7E30DF01">
      <w:pPr>
        <w:pStyle w:val="2"/>
        <w:spacing w:line="258" w:lineRule="auto"/>
        <w:rPr>
          <w:sz w:val="21"/>
        </w:rPr>
      </w:pPr>
    </w:p>
    <w:p w14:paraId="65836C1C">
      <w:pPr>
        <w:pStyle w:val="2"/>
        <w:spacing w:line="259" w:lineRule="auto"/>
        <w:rPr>
          <w:sz w:val="21"/>
        </w:rPr>
      </w:pPr>
    </w:p>
    <w:p w14:paraId="1D0217FE">
      <w:pPr>
        <w:spacing w:line="6135" w:lineRule="exact"/>
        <w:ind w:firstLine="14"/>
      </w:pPr>
      <w:r>
        <w:rPr>
          <w:position w:val="-122"/>
        </w:rPr>
        <w:pict>
          <v:group id="_x0000_s1134" o:spid="_x0000_s1134" o:spt="203" style="height:306.75pt;width:421.1pt;" coordsize="8422,6135">
            <o:lock v:ext="edit"/>
            <v:shape id="_x0000_s1135" o:spid="_x0000_s1135" o:spt="75" type="#_x0000_t75" style="position:absolute;left:0;top:0;height:6135;width:8422;" filled="f" stroked="f" coordsize="21600,21600">
              <v:path/>
              <v:fill on="f" focussize="0,0"/>
              <v:stroke on="f"/>
              <v:imagedata r:id="rId430" o:title=""/>
              <o:lock v:ext="edit" aspectratio="t"/>
            </v:shape>
            <v:shape id="_x0000_s1136" o:spid="_x0000_s1136" o:spt="202" type="#_x0000_t202" style="position:absolute;left:4423;top:4998;height:238;width:632;" filled="f" stroked="f" coordsize="21600,21600">
              <v:path/>
              <v:fill on="f" focussize="0,0"/>
              <v:stroke on="f"/>
              <v:imagedata o:title=""/>
              <o:lock v:ext="edit" aspectratio="f"/>
              <v:textbox inset="0mm,0mm,0mm,0mm">
                <w:txbxContent>
                  <w:p w14:paraId="2F8E7D7D">
                    <w:pPr>
                      <w:spacing w:before="20" w:line="227" w:lineRule="auto"/>
                      <w:ind w:left="20"/>
                      <w:rPr>
                        <w:rFonts w:ascii="宋体" w:hAnsi="宋体" w:eastAsia="宋体" w:cs="宋体"/>
                        <w:sz w:val="19"/>
                        <w:szCs w:val="19"/>
                      </w:rPr>
                    </w:pPr>
                    <w:r>
                      <w:rPr>
                        <w:rFonts w:ascii="宋体" w:hAnsi="宋体" w:eastAsia="宋体" w:cs="宋体"/>
                        <w:b/>
                        <w:bCs/>
                        <w:color w:val="FF0000"/>
                        <w:spacing w:val="5"/>
                        <w:sz w:val="19"/>
                        <w:szCs w:val="19"/>
                      </w:rPr>
                      <w:t>本项目</w:t>
                    </w:r>
                  </w:p>
                </w:txbxContent>
              </v:textbox>
            </v:shape>
            <w10:wrap type="none"/>
            <w10:anchorlock/>
          </v:group>
        </w:pict>
      </w:r>
    </w:p>
    <w:p w14:paraId="56F02CBE">
      <w:pPr>
        <w:spacing w:before="52" w:line="219" w:lineRule="auto"/>
        <w:ind w:left="2655"/>
        <w:rPr>
          <w:rFonts w:ascii="宋体" w:hAnsi="宋体" w:eastAsia="宋体" w:cs="宋体"/>
          <w:sz w:val="24"/>
          <w:szCs w:val="24"/>
        </w:rPr>
      </w:pPr>
      <w:r>
        <w:rPr>
          <w:rFonts w:ascii="宋体" w:hAnsi="宋体" w:eastAsia="宋体" w:cs="宋体"/>
          <w:b/>
          <w:bCs/>
          <w:spacing w:val="-7"/>
          <w:sz w:val="24"/>
          <w:szCs w:val="24"/>
        </w:rPr>
        <w:t>图</w:t>
      </w:r>
      <w:r>
        <w:rPr>
          <w:rFonts w:ascii="宋体" w:hAnsi="宋体" w:eastAsia="宋体" w:cs="宋体"/>
          <w:spacing w:val="-44"/>
          <w:sz w:val="24"/>
          <w:szCs w:val="24"/>
        </w:rPr>
        <w:t xml:space="preserve"> </w:t>
      </w:r>
      <w:r>
        <w:rPr>
          <w:rFonts w:ascii="Times New Roman" w:hAnsi="Times New Roman" w:eastAsia="Times New Roman" w:cs="Times New Roman"/>
          <w:b/>
          <w:bCs/>
          <w:spacing w:val="-7"/>
          <w:sz w:val="24"/>
          <w:szCs w:val="24"/>
        </w:rPr>
        <w:t>3.2-20</w:t>
      </w:r>
      <w:r>
        <w:rPr>
          <w:rFonts w:ascii="Times New Roman" w:hAnsi="Times New Roman" w:eastAsia="Times New Roman" w:cs="Times New Roman"/>
          <w:b/>
          <w:bCs/>
          <w:spacing w:val="9"/>
          <w:sz w:val="24"/>
          <w:szCs w:val="24"/>
        </w:rPr>
        <w:t xml:space="preserve">    </w:t>
      </w:r>
      <w:r>
        <w:rPr>
          <w:rFonts w:ascii="宋体" w:hAnsi="宋体" w:eastAsia="宋体" w:cs="宋体"/>
          <w:b/>
          <w:bCs/>
          <w:spacing w:val="-7"/>
          <w:sz w:val="24"/>
          <w:szCs w:val="24"/>
        </w:rPr>
        <w:t>内蒙古植被地带图</w:t>
      </w:r>
    </w:p>
    <w:p w14:paraId="2DB63738">
      <w:pPr>
        <w:spacing w:before="24" w:line="221" w:lineRule="auto"/>
        <w:ind w:left="514"/>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2</w:t>
      </w:r>
      <w:r>
        <w:rPr>
          <w:rFonts w:ascii="仿宋" w:hAnsi="仿宋" w:eastAsia="仿宋" w:cs="仿宋"/>
          <w:spacing w:val="-2"/>
          <w:sz w:val="24"/>
          <w:szCs w:val="24"/>
        </w:rPr>
        <w:t>）区域植被种类现状调查</w:t>
      </w:r>
    </w:p>
    <w:p w14:paraId="4B797CBD">
      <w:pPr>
        <w:spacing w:before="182" w:line="359" w:lineRule="auto"/>
        <w:ind w:left="29" w:right="76" w:firstLine="481"/>
        <w:rPr>
          <w:rFonts w:ascii="仿宋" w:hAnsi="仿宋" w:eastAsia="仿宋" w:cs="仿宋"/>
          <w:sz w:val="24"/>
          <w:szCs w:val="24"/>
        </w:rPr>
      </w:pPr>
      <w:r>
        <w:rPr>
          <w:rFonts w:ascii="仿宋" w:hAnsi="仿宋" w:eastAsia="仿宋" w:cs="仿宋"/>
          <w:spacing w:val="-3"/>
          <w:sz w:val="24"/>
          <w:szCs w:val="24"/>
        </w:rPr>
        <w:t>本项目位于内蒙古自治区鄂尔多斯市准格尔旗</w:t>
      </w:r>
      <w:r>
        <w:rPr>
          <w:rFonts w:ascii="仿宋" w:hAnsi="仿宋" w:eastAsia="仿宋" w:cs="仿宋"/>
          <w:spacing w:val="-4"/>
          <w:sz w:val="24"/>
          <w:szCs w:val="24"/>
        </w:rPr>
        <w:t>境内，植物地理区系归属欧亚</w:t>
      </w:r>
      <w:r>
        <w:rPr>
          <w:rFonts w:ascii="仿宋" w:hAnsi="仿宋" w:eastAsia="仿宋" w:cs="仿宋"/>
          <w:spacing w:val="-3"/>
          <w:sz w:val="24"/>
          <w:szCs w:val="24"/>
        </w:rPr>
        <w:t>草原植物区—黄土高原草原植物省—阴南黄土丘陵洲，植被地带划分</w:t>
      </w:r>
      <w:r>
        <w:rPr>
          <w:rFonts w:ascii="仿宋" w:hAnsi="仿宋" w:eastAsia="仿宋" w:cs="仿宋"/>
          <w:spacing w:val="-4"/>
          <w:sz w:val="24"/>
          <w:szCs w:val="24"/>
        </w:rPr>
        <w:t>属于暖温型</w:t>
      </w:r>
      <w:r>
        <w:rPr>
          <w:rFonts w:ascii="仿宋" w:hAnsi="仿宋" w:eastAsia="仿宋" w:cs="仿宋"/>
          <w:spacing w:val="-1"/>
          <w:sz w:val="24"/>
          <w:szCs w:val="24"/>
        </w:rPr>
        <w:t>草原带典型草原亚带。区域基带地带性植被为典型草原，本氏针茅+百里香群落</w:t>
      </w:r>
      <w:r>
        <w:rPr>
          <w:rFonts w:ascii="仿宋" w:hAnsi="仿宋" w:eastAsia="仿宋" w:cs="仿宋"/>
          <w:spacing w:val="-3"/>
          <w:sz w:val="24"/>
          <w:szCs w:val="24"/>
        </w:rPr>
        <w:t>是项目区最具代表性的原生地带性植被；受地形、土壤等非地带性生</w:t>
      </w:r>
      <w:r>
        <w:rPr>
          <w:rFonts w:ascii="仿宋" w:hAnsi="仿宋" w:eastAsia="仿宋" w:cs="仿宋"/>
          <w:spacing w:val="-4"/>
          <w:sz w:val="24"/>
          <w:szCs w:val="24"/>
        </w:rPr>
        <w:t>境条件与采</w:t>
      </w:r>
      <w:r>
        <w:rPr>
          <w:rFonts w:ascii="仿宋" w:hAnsi="仿宋" w:eastAsia="仿宋" w:cs="仿宋"/>
          <w:spacing w:val="-3"/>
          <w:sz w:val="24"/>
          <w:szCs w:val="24"/>
        </w:rPr>
        <w:t>矿、农耕、人工造林等人为活动叠加影响，原生地带性草原仅在立地</w:t>
      </w:r>
      <w:r>
        <w:rPr>
          <w:rFonts w:ascii="仿宋" w:hAnsi="仿宋" w:eastAsia="仿宋" w:cs="仿宋"/>
          <w:spacing w:val="-4"/>
          <w:sz w:val="24"/>
          <w:szCs w:val="24"/>
        </w:rPr>
        <w:t>保存完好的</w:t>
      </w:r>
      <w:r>
        <w:rPr>
          <w:rFonts w:ascii="仿宋" w:hAnsi="仿宋" w:eastAsia="仿宋" w:cs="仿宋"/>
          <w:spacing w:val="-3"/>
          <w:sz w:val="24"/>
          <w:szCs w:val="24"/>
        </w:rPr>
        <w:t>黄土坡、梁峁区域发育完整。区内人工植被占比较高，人工栽植的杨</w:t>
      </w:r>
      <w:r>
        <w:rPr>
          <w:rFonts w:ascii="仿宋" w:hAnsi="仿宋" w:eastAsia="仿宋" w:cs="仿宋"/>
          <w:spacing w:val="-4"/>
          <w:sz w:val="24"/>
          <w:szCs w:val="24"/>
        </w:rPr>
        <w:t>树、柠条锦</w:t>
      </w:r>
      <w:r>
        <w:rPr>
          <w:rFonts w:ascii="仿宋" w:hAnsi="仿宋" w:eastAsia="仿宋" w:cs="仿宋"/>
          <w:spacing w:val="-1"/>
          <w:sz w:val="24"/>
          <w:szCs w:val="24"/>
        </w:rPr>
        <w:t>鸡儿大面积分布，杏树、榆树天然乔木斑块零散发育；羊草+杂类草草地、芨芨</w:t>
      </w:r>
      <w:r>
        <w:rPr>
          <w:rFonts w:ascii="仿宋" w:hAnsi="仿宋" w:eastAsia="仿宋" w:cs="仿宋"/>
          <w:spacing w:val="-3"/>
          <w:sz w:val="24"/>
          <w:szCs w:val="24"/>
        </w:rPr>
        <w:t>草滩涂呈零星镶嵌格局，农田植被以斑块状穿插分布于各类林草地块</w:t>
      </w:r>
      <w:r>
        <w:rPr>
          <w:rFonts w:ascii="仿宋" w:hAnsi="仿宋" w:eastAsia="仿宋" w:cs="仿宋"/>
          <w:spacing w:val="-4"/>
          <w:sz w:val="24"/>
          <w:szCs w:val="24"/>
        </w:rPr>
        <w:t>之间。区域</w:t>
      </w:r>
      <w:r>
        <w:rPr>
          <w:rFonts w:ascii="仿宋" w:hAnsi="仿宋" w:eastAsia="仿宋" w:cs="仿宋"/>
          <w:spacing w:val="-3"/>
          <w:sz w:val="24"/>
          <w:szCs w:val="24"/>
        </w:rPr>
        <w:t>植物生活型涵盖乔木、灌木、多年生草本、一年生草本、半灌木，区</w:t>
      </w:r>
      <w:r>
        <w:rPr>
          <w:rFonts w:ascii="仿宋" w:hAnsi="仿宋" w:eastAsia="仿宋" w:cs="仿宋"/>
          <w:spacing w:val="-4"/>
          <w:sz w:val="24"/>
          <w:szCs w:val="24"/>
        </w:rPr>
        <w:t>系组成混杂</w:t>
      </w:r>
      <w:r>
        <w:rPr>
          <w:rFonts w:ascii="仿宋" w:hAnsi="仿宋" w:eastAsia="仿宋" w:cs="仿宋"/>
          <w:spacing w:val="-2"/>
          <w:sz w:val="24"/>
          <w:szCs w:val="24"/>
        </w:rPr>
        <w:t>复杂，野生与人工植物资源整体丰富。结合现场实地调查及区域植物资料核查，</w:t>
      </w:r>
      <w:r>
        <w:rPr>
          <w:rFonts w:ascii="仿宋" w:hAnsi="仿宋" w:eastAsia="仿宋" w:cs="仿宋"/>
          <w:spacing w:val="-1"/>
          <w:sz w:val="24"/>
          <w:szCs w:val="24"/>
        </w:rPr>
        <w:t>评价范围内未发现国家及自治区级珍稀濒危保护野生植物。</w:t>
      </w:r>
    </w:p>
    <w:p w14:paraId="0BB9C25F">
      <w:pPr>
        <w:spacing w:line="221" w:lineRule="auto"/>
        <w:ind w:left="530"/>
        <w:rPr>
          <w:rFonts w:ascii="仿宋" w:hAnsi="仿宋" w:eastAsia="仿宋" w:cs="仿宋"/>
          <w:sz w:val="24"/>
          <w:szCs w:val="24"/>
        </w:rPr>
      </w:pPr>
      <w:r>
        <w:rPr>
          <w:rFonts w:ascii="仿宋" w:hAnsi="仿宋" w:eastAsia="仿宋" w:cs="仿宋"/>
          <w:spacing w:val="-3"/>
          <w:sz w:val="24"/>
          <w:szCs w:val="24"/>
        </w:rPr>
        <w:t>区域常见植物名录见表</w:t>
      </w:r>
      <w:r>
        <w:rPr>
          <w:rFonts w:ascii="仿宋" w:hAnsi="仿宋" w:eastAsia="仿宋" w:cs="仿宋"/>
          <w:spacing w:val="-51"/>
          <w:sz w:val="24"/>
          <w:szCs w:val="24"/>
        </w:rPr>
        <w:t xml:space="preserve"> </w:t>
      </w:r>
      <w:r>
        <w:rPr>
          <w:rFonts w:ascii="Times New Roman" w:hAnsi="Times New Roman" w:eastAsia="Times New Roman" w:cs="Times New Roman"/>
          <w:spacing w:val="-3"/>
          <w:sz w:val="24"/>
          <w:szCs w:val="24"/>
        </w:rPr>
        <w:t>3.2-3</w:t>
      </w:r>
      <w:r>
        <w:rPr>
          <w:rFonts w:ascii="仿宋" w:hAnsi="仿宋" w:eastAsia="仿宋" w:cs="仿宋"/>
          <w:spacing w:val="-3"/>
          <w:sz w:val="24"/>
          <w:szCs w:val="24"/>
        </w:rPr>
        <w:t>。</w:t>
      </w:r>
    </w:p>
    <w:p w14:paraId="664B8B69">
      <w:pPr>
        <w:spacing w:line="221" w:lineRule="auto"/>
        <w:rPr>
          <w:rFonts w:ascii="仿宋" w:hAnsi="仿宋" w:eastAsia="仿宋" w:cs="仿宋"/>
          <w:sz w:val="24"/>
          <w:szCs w:val="24"/>
        </w:rPr>
        <w:sectPr>
          <w:footerReference r:id="rId246" w:type="default"/>
          <w:pgSz w:w="11906" w:h="16839"/>
          <w:pgMar w:top="400" w:right="1684" w:bottom="1511" w:left="1785" w:header="0" w:footer="1349" w:gutter="0"/>
          <w:cols w:space="720" w:num="1"/>
        </w:sectPr>
      </w:pPr>
    </w:p>
    <w:p w14:paraId="6BE3FCDD">
      <w:pPr>
        <w:pStyle w:val="2"/>
        <w:spacing w:line="247" w:lineRule="auto"/>
        <w:rPr>
          <w:sz w:val="21"/>
        </w:rPr>
      </w:pPr>
    </w:p>
    <w:p w14:paraId="4BA9E705">
      <w:pPr>
        <w:pStyle w:val="2"/>
        <w:spacing w:line="247" w:lineRule="auto"/>
        <w:rPr>
          <w:sz w:val="21"/>
        </w:rPr>
      </w:pPr>
    </w:p>
    <w:p w14:paraId="709C9368">
      <w:pPr>
        <w:pStyle w:val="2"/>
        <w:spacing w:line="248" w:lineRule="auto"/>
        <w:rPr>
          <w:sz w:val="21"/>
        </w:rPr>
      </w:pPr>
    </w:p>
    <w:p w14:paraId="6C08D187">
      <w:pPr>
        <w:pStyle w:val="2"/>
        <w:spacing w:line="248" w:lineRule="auto"/>
        <w:rPr>
          <w:sz w:val="21"/>
        </w:rPr>
      </w:pPr>
    </w:p>
    <w:p w14:paraId="7710BA9A">
      <w:pPr>
        <w:spacing w:before="78" w:line="221" w:lineRule="auto"/>
        <w:ind w:left="3008"/>
        <w:rPr>
          <w:rFonts w:ascii="仿宋" w:hAnsi="仿宋" w:eastAsia="仿宋" w:cs="仿宋"/>
          <w:sz w:val="24"/>
          <w:szCs w:val="24"/>
        </w:rPr>
      </w:pPr>
      <w:r>
        <w:rPr>
          <w:rFonts w:ascii="仿宋" w:hAnsi="仿宋" w:eastAsia="仿宋" w:cs="仿宋"/>
          <w:b/>
          <w:bCs/>
          <w:spacing w:val="-7"/>
          <w:sz w:val="24"/>
          <w:szCs w:val="24"/>
        </w:rPr>
        <w:t>表</w:t>
      </w:r>
      <w:r>
        <w:rPr>
          <w:rFonts w:ascii="仿宋" w:hAnsi="仿宋" w:eastAsia="仿宋" w:cs="仿宋"/>
          <w:spacing w:val="-47"/>
          <w:sz w:val="24"/>
          <w:szCs w:val="24"/>
        </w:rPr>
        <w:t xml:space="preserve"> </w:t>
      </w:r>
      <w:r>
        <w:rPr>
          <w:rFonts w:ascii="仿宋" w:hAnsi="仿宋" w:eastAsia="仿宋" w:cs="仿宋"/>
          <w:b/>
          <w:bCs/>
          <w:spacing w:val="-7"/>
          <w:sz w:val="24"/>
          <w:szCs w:val="24"/>
        </w:rPr>
        <w:t>3.2-3</w:t>
      </w:r>
      <w:r>
        <w:rPr>
          <w:rFonts w:ascii="仿宋" w:hAnsi="仿宋" w:eastAsia="仿宋" w:cs="仿宋"/>
          <w:spacing w:val="18"/>
          <w:sz w:val="24"/>
          <w:szCs w:val="24"/>
        </w:rPr>
        <w:t xml:space="preserve">  </w:t>
      </w:r>
      <w:r>
        <w:rPr>
          <w:rFonts w:ascii="仿宋" w:hAnsi="仿宋" w:eastAsia="仿宋" w:cs="仿宋"/>
          <w:b/>
          <w:bCs/>
          <w:spacing w:val="-7"/>
          <w:sz w:val="24"/>
          <w:szCs w:val="24"/>
        </w:rPr>
        <w:t>区域植物名录表</w:t>
      </w:r>
    </w:p>
    <w:p w14:paraId="6EADE45F">
      <w:pPr>
        <w:spacing w:line="145" w:lineRule="exact"/>
      </w:pPr>
    </w:p>
    <w:tbl>
      <w:tblPr>
        <w:tblStyle w:val="5"/>
        <w:tblW w:w="842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5"/>
        <w:gridCol w:w="1783"/>
        <w:gridCol w:w="995"/>
        <w:gridCol w:w="1065"/>
        <w:gridCol w:w="2103"/>
        <w:gridCol w:w="1857"/>
      </w:tblGrid>
      <w:tr w14:paraId="488E7B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625" w:type="dxa"/>
            <w:tcBorders>
              <w:top w:val="single" w:color="000000" w:sz="10" w:space="0"/>
              <w:left w:val="nil"/>
            </w:tcBorders>
            <w:textDirection w:val="tbRlV"/>
            <w:vAlign w:val="top"/>
          </w:tcPr>
          <w:p w14:paraId="2B9EACF2">
            <w:pPr>
              <w:spacing w:before="206" w:line="209" w:lineRule="auto"/>
              <w:ind w:left="35"/>
              <w:rPr>
                <w:rFonts w:ascii="仿宋" w:hAnsi="仿宋" w:eastAsia="仿宋" w:cs="仿宋"/>
                <w:sz w:val="20"/>
                <w:szCs w:val="20"/>
              </w:rPr>
            </w:pPr>
            <w:r>
              <w:rPr>
                <w:rFonts w:ascii="仿宋" w:hAnsi="仿宋" w:eastAsia="仿宋" w:cs="仿宋"/>
                <w:spacing w:val="13"/>
                <w:sz w:val="20"/>
                <w:szCs w:val="20"/>
              </w:rPr>
              <w:t>序</w:t>
            </w:r>
            <w:r>
              <w:rPr>
                <w:rFonts w:ascii="仿宋" w:hAnsi="仿宋" w:eastAsia="仿宋" w:cs="仿宋"/>
                <w:spacing w:val="-42"/>
                <w:sz w:val="20"/>
                <w:szCs w:val="20"/>
              </w:rPr>
              <w:t xml:space="preserve"> </w:t>
            </w:r>
            <w:r>
              <w:rPr>
                <w:rFonts w:ascii="仿宋" w:hAnsi="仿宋" w:eastAsia="仿宋" w:cs="仿宋"/>
                <w:spacing w:val="13"/>
                <w:sz w:val="20"/>
                <w:szCs w:val="20"/>
              </w:rPr>
              <w:t>号</w:t>
            </w:r>
          </w:p>
        </w:tc>
        <w:tc>
          <w:tcPr>
            <w:tcW w:w="1783" w:type="dxa"/>
            <w:tcBorders>
              <w:top w:val="single" w:color="000000" w:sz="10" w:space="0"/>
            </w:tcBorders>
            <w:vAlign w:val="top"/>
          </w:tcPr>
          <w:p w14:paraId="6E308A36">
            <w:pPr>
              <w:spacing w:before="169" w:line="229" w:lineRule="auto"/>
              <w:ind w:left="377"/>
              <w:rPr>
                <w:rFonts w:ascii="仿宋" w:hAnsi="仿宋" w:eastAsia="仿宋" w:cs="仿宋"/>
                <w:sz w:val="20"/>
                <w:szCs w:val="20"/>
              </w:rPr>
            </w:pPr>
            <w:r>
              <w:rPr>
                <w:rFonts w:ascii="仿宋" w:hAnsi="仿宋" w:eastAsia="仿宋" w:cs="仿宋"/>
                <w:spacing w:val="7"/>
                <w:sz w:val="20"/>
                <w:szCs w:val="20"/>
              </w:rPr>
              <w:t>植物中文名</w:t>
            </w:r>
          </w:p>
        </w:tc>
        <w:tc>
          <w:tcPr>
            <w:tcW w:w="995" w:type="dxa"/>
            <w:tcBorders>
              <w:top w:val="single" w:color="000000" w:sz="10" w:space="0"/>
            </w:tcBorders>
            <w:vAlign w:val="top"/>
          </w:tcPr>
          <w:p w14:paraId="478D339B">
            <w:pPr>
              <w:spacing w:before="169" w:line="231" w:lineRule="auto"/>
              <w:ind w:left="299"/>
              <w:rPr>
                <w:rFonts w:ascii="仿宋" w:hAnsi="仿宋" w:eastAsia="仿宋" w:cs="仿宋"/>
                <w:sz w:val="20"/>
                <w:szCs w:val="20"/>
              </w:rPr>
            </w:pPr>
            <w:r>
              <w:rPr>
                <w:rFonts w:ascii="仿宋" w:hAnsi="仿宋" w:eastAsia="仿宋" w:cs="仿宋"/>
                <w:spacing w:val="1"/>
                <w:sz w:val="20"/>
                <w:szCs w:val="20"/>
              </w:rPr>
              <w:t>科名</w:t>
            </w:r>
          </w:p>
        </w:tc>
        <w:tc>
          <w:tcPr>
            <w:tcW w:w="1065" w:type="dxa"/>
            <w:tcBorders>
              <w:top w:val="single" w:color="000000" w:sz="10" w:space="0"/>
            </w:tcBorders>
            <w:vAlign w:val="top"/>
          </w:tcPr>
          <w:p w14:paraId="113851F6">
            <w:pPr>
              <w:spacing w:before="168" w:line="232" w:lineRule="auto"/>
              <w:ind w:left="333"/>
              <w:rPr>
                <w:rFonts w:ascii="仿宋" w:hAnsi="仿宋" w:eastAsia="仿宋" w:cs="仿宋"/>
                <w:sz w:val="20"/>
                <w:szCs w:val="20"/>
              </w:rPr>
            </w:pPr>
            <w:r>
              <w:rPr>
                <w:rFonts w:ascii="仿宋" w:hAnsi="仿宋" w:eastAsia="仿宋" w:cs="仿宋"/>
                <w:spacing w:val="2"/>
                <w:sz w:val="20"/>
                <w:szCs w:val="20"/>
              </w:rPr>
              <w:t>属名</w:t>
            </w:r>
          </w:p>
        </w:tc>
        <w:tc>
          <w:tcPr>
            <w:tcW w:w="2103" w:type="dxa"/>
            <w:tcBorders>
              <w:top w:val="single" w:color="000000" w:sz="10" w:space="0"/>
            </w:tcBorders>
            <w:vAlign w:val="top"/>
          </w:tcPr>
          <w:p w14:paraId="483857DE">
            <w:pPr>
              <w:spacing w:before="168" w:line="232" w:lineRule="auto"/>
              <w:ind w:left="643"/>
              <w:rPr>
                <w:rFonts w:ascii="仿宋" w:hAnsi="仿宋" w:eastAsia="仿宋" w:cs="仿宋"/>
                <w:sz w:val="20"/>
                <w:szCs w:val="20"/>
              </w:rPr>
            </w:pPr>
            <w:r>
              <w:rPr>
                <w:rFonts w:ascii="仿宋" w:hAnsi="仿宋" w:eastAsia="仿宋" w:cs="仿宋"/>
                <w:spacing w:val="6"/>
                <w:sz w:val="20"/>
                <w:szCs w:val="20"/>
              </w:rPr>
              <w:t>拉丁学名</w:t>
            </w:r>
          </w:p>
        </w:tc>
        <w:tc>
          <w:tcPr>
            <w:tcW w:w="1857" w:type="dxa"/>
            <w:tcBorders>
              <w:top w:val="single" w:color="000000" w:sz="10" w:space="0"/>
              <w:right w:val="nil"/>
            </w:tcBorders>
            <w:vAlign w:val="top"/>
          </w:tcPr>
          <w:p w14:paraId="3CD2C8D5">
            <w:pPr>
              <w:spacing w:before="169" w:line="231" w:lineRule="auto"/>
              <w:ind w:left="309"/>
              <w:rPr>
                <w:rFonts w:ascii="仿宋" w:hAnsi="仿宋" w:eastAsia="仿宋" w:cs="仿宋"/>
                <w:sz w:val="20"/>
                <w:szCs w:val="20"/>
              </w:rPr>
            </w:pPr>
            <w:r>
              <w:rPr>
                <w:rFonts w:ascii="仿宋" w:hAnsi="仿宋" w:eastAsia="仿宋" w:cs="仿宋"/>
                <w:spacing w:val="7"/>
                <w:sz w:val="20"/>
                <w:szCs w:val="20"/>
              </w:rPr>
              <w:t>群落归属说明</w:t>
            </w:r>
          </w:p>
        </w:tc>
      </w:tr>
      <w:tr w14:paraId="4789D5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625" w:type="dxa"/>
            <w:tcBorders>
              <w:left w:val="nil"/>
            </w:tcBorders>
            <w:vAlign w:val="top"/>
          </w:tcPr>
          <w:p w14:paraId="1107628E">
            <w:pPr>
              <w:pStyle w:val="6"/>
              <w:spacing w:before="204" w:line="195" w:lineRule="auto"/>
              <w:ind w:left="284"/>
              <w:rPr>
                <w:sz w:val="20"/>
                <w:szCs w:val="20"/>
              </w:rPr>
            </w:pPr>
            <w:r>
              <w:rPr>
                <w:sz w:val="20"/>
                <w:szCs w:val="20"/>
              </w:rPr>
              <w:t>1</w:t>
            </w:r>
          </w:p>
        </w:tc>
        <w:tc>
          <w:tcPr>
            <w:tcW w:w="1783" w:type="dxa"/>
            <w:vAlign w:val="top"/>
          </w:tcPr>
          <w:p w14:paraId="0DEC75B0">
            <w:pPr>
              <w:spacing w:before="168" w:line="231" w:lineRule="auto"/>
              <w:ind w:left="692"/>
              <w:rPr>
                <w:rFonts w:ascii="仿宋" w:hAnsi="仿宋" w:eastAsia="仿宋" w:cs="仿宋"/>
                <w:sz w:val="20"/>
                <w:szCs w:val="20"/>
              </w:rPr>
            </w:pPr>
            <w:r>
              <w:rPr>
                <w:rFonts w:ascii="仿宋" w:hAnsi="仿宋" w:eastAsia="仿宋" w:cs="仿宋"/>
                <w:spacing w:val="2"/>
                <w:sz w:val="20"/>
                <w:szCs w:val="20"/>
              </w:rPr>
              <w:t>杏树</w:t>
            </w:r>
          </w:p>
        </w:tc>
        <w:tc>
          <w:tcPr>
            <w:tcW w:w="995" w:type="dxa"/>
            <w:vAlign w:val="top"/>
          </w:tcPr>
          <w:p w14:paraId="02D2A92A">
            <w:pPr>
              <w:spacing w:before="168" w:line="230" w:lineRule="auto"/>
              <w:ind w:left="198"/>
              <w:rPr>
                <w:rFonts w:ascii="仿宋" w:hAnsi="仿宋" w:eastAsia="仿宋" w:cs="仿宋"/>
                <w:sz w:val="20"/>
                <w:szCs w:val="20"/>
              </w:rPr>
            </w:pPr>
            <w:r>
              <w:rPr>
                <w:rFonts w:ascii="仿宋" w:hAnsi="仿宋" w:eastAsia="仿宋" w:cs="仿宋"/>
                <w:spacing w:val="3"/>
                <w:sz w:val="20"/>
                <w:szCs w:val="20"/>
              </w:rPr>
              <w:t>蔷薇科</w:t>
            </w:r>
          </w:p>
        </w:tc>
        <w:tc>
          <w:tcPr>
            <w:tcW w:w="1065" w:type="dxa"/>
            <w:vAlign w:val="top"/>
          </w:tcPr>
          <w:p w14:paraId="7F68316A">
            <w:pPr>
              <w:spacing w:before="167" w:line="232" w:lineRule="auto"/>
              <w:ind w:left="338"/>
              <w:rPr>
                <w:rFonts w:ascii="仿宋" w:hAnsi="仿宋" w:eastAsia="仿宋" w:cs="仿宋"/>
                <w:sz w:val="20"/>
                <w:szCs w:val="20"/>
              </w:rPr>
            </w:pPr>
            <w:r>
              <w:rPr>
                <w:rFonts w:ascii="仿宋" w:hAnsi="仿宋" w:eastAsia="仿宋" w:cs="仿宋"/>
                <w:spacing w:val="-1"/>
                <w:sz w:val="20"/>
                <w:szCs w:val="20"/>
              </w:rPr>
              <w:t>李属</w:t>
            </w:r>
          </w:p>
        </w:tc>
        <w:tc>
          <w:tcPr>
            <w:tcW w:w="2103" w:type="dxa"/>
            <w:vAlign w:val="top"/>
          </w:tcPr>
          <w:p w14:paraId="00274001">
            <w:pPr>
              <w:pStyle w:val="6"/>
              <w:spacing w:before="207" w:line="192" w:lineRule="auto"/>
              <w:ind w:left="154"/>
              <w:rPr>
                <w:sz w:val="20"/>
                <w:szCs w:val="20"/>
              </w:rPr>
            </w:pPr>
            <w:r>
              <w:rPr>
                <w:i/>
                <w:iCs/>
                <w:spacing w:val="4"/>
                <w:sz w:val="20"/>
                <w:szCs w:val="20"/>
              </w:rPr>
              <w:t>Prunus armeniaca L.</w:t>
            </w:r>
          </w:p>
        </w:tc>
        <w:tc>
          <w:tcPr>
            <w:tcW w:w="1857" w:type="dxa"/>
            <w:tcBorders>
              <w:right w:val="nil"/>
            </w:tcBorders>
            <w:vAlign w:val="top"/>
          </w:tcPr>
          <w:p w14:paraId="6FF011AF">
            <w:pPr>
              <w:spacing w:before="32" w:line="233" w:lineRule="auto"/>
              <w:ind w:left="623" w:right="108" w:hanging="503"/>
              <w:rPr>
                <w:rFonts w:ascii="仿宋" w:hAnsi="仿宋" w:eastAsia="仿宋" w:cs="仿宋"/>
                <w:sz w:val="20"/>
                <w:szCs w:val="20"/>
              </w:rPr>
            </w:pPr>
            <w:r>
              <w:rPr>
                <w:rFonts w:ascii="仿宋" w:hAnsi="仿宋" w:eastAsia="仿宋" w:cs="仿宋"/>
                <w:spacing w:val="3"/>
                <w:sz w:val="20"/>
                <w:szCs w:val="20"/>
              </w:rPr>
              <w:t>杏树群落，乔木林</w:t>
            </w:r>
            <w:r>
              <w:rPr>
                <w:rFonts w:ascii="仿宋" w:hAnsi="仿宋" w:eastAsia="仿宋" w:cs="仿宋"/>
                <w:spacing w:val="5"/>
                <w:sz w:val="20"/>
                <w:szCs w:val="20"/>
              </w:rPr>
              <w:t>优势种</w:t>
            </w:r>
          </w:p>
        </w:tc>
      </w:tr>
      <w:tr w14:paraId="252DEA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625" w:type="dxa"/>
            <w:tcBorders>
              <w:left w:val="nil"/>
            </w:tcBorders>
            <w:vAlign w:val="top"/>
          </w:tcPr>
          <w:p w14:paraId="0A06BD7D">
            <w:pPr>
              <w:pStyle w:val="6"/>
              <w:spacing w:before="206" w:line="195" w:lineRule="auto"/>
              <w:ind w:left="264"/>
              <w:rPr>
                <w:sz w:val="20"/>
                <w:szCs w:val="20"/>
              </w:rPr>
            </w:pPr>
            <w:r>
              <w:rPr>
                <w:sz w:val="20"/>
                <w:szCs w:val="20"/>
              </w:rPr>
              <w:t>2</w:t>
            </w:r>
          </w:p>
        </w:tc>
        <w:tc>
          <w:tcPr>
            <w:tcW w:w="1783" w:type="dxa"/>
            <w:vAlign w:val="top"/>
          </w:tcPr>
          <w:p w14:paraId="6311465A">
            <w:pPr>
              <w:spacing w:before="170" w:line="231" w:lineRule="auto"/>
              <w:ind w:left="303"/>
              <w:rPr>
                <w:rFonts w:ascii="仿宋" w:hAnsi="仿宋" w:eastAsia="仿宋" w:cs="仿宋"/>
                <w:sz w:val="20"/>
                <w:szCs w:val="20"/>
              </w:rPr>
            </w:pPr>
            <w:r>
              <w:rPr>
                <w:rFonts w:ascii="仿宋" w:hAnsi="仿宋" w:eastAsia="仿宋" w:cs="仿宋"/>
                <w:sz w:val="20"/>
                <w:szCs w:val="20"/>
              </w:rPr>
              <w:t>白榆（榆树）</w:t>
            </w:r>
          </w:p>
        </w:tc>
        <w:tc>
          <w:tcPr>
            <w:tcW w:w="995" w:type="dxa"/>
            <w:vAlign w:val="top"/>
          </w:tcPr>
          <w:p w14:paraId="72BB9CDA">
            <w:pPr>
              <w:spacing w:before="170" w:line="231" w:lineRule="auto"/>
              <w:ind w:left="298"/>
              <w:rPr>
                <w:rFonts w:ascii="仿宋" w:hAnsi="仿宋" w:eastAsia="仿宋" w:cs="仿宋"/>
                <w:sz w:val="20"/>
                <w:szCs w:val="20"/>
              </w:rPr>
            </w:pPr>
            <w:r>
              <w:rPr>
                <w:rFonts w:ascii="仿宋" w:hAnsi="仿宋" w:eastAsia="仿宋" w:cs="仿宋"/>
                <w:spacing w:val="2"/>
                <w:sz w:val="20"/>
                <w:szCs w:val="20"/>
              </w:rPr>
              <w:t>榆科</w:t>
            </w:r>
          </w:p>
        </w:tc>
        <w:tc>
          <w:tcPr>
            <w:tcW w:w="1065" w:type="dxa"/>
            <w:vAlign w:val="top"/>
          </w:tcPr>
          <w:p w14:paraId="47C09010">
            <w:pPr>
              <w:spacing w:before="170" w:line="231" w:lineRule="auto"/>
              <w:ind w:left="333"/>
              <w:rPr>
                <w:rFonts w:ascii="仿宋" w:hAnsi="仿宋" w:eastAsia="仿宋" w:cs="仿宋"/>
                <w:sz w:val="20"/>
                <w:szCs w:val="20"/>
              </w:rPr>
            </w:pPr>
            <w:r>
              <w:rPr>
                <w:rFonts w:ascii="仿宋" w:hAnsi="仿宋" w:eastAsia="仿宋" w:cs="仿宋"/>
                <w:spacing w:val="2"/>
                <w:sz w:val="20"/>
                <w:szCs w:val="20"/>
              </w:rPr>
              <w:t>榆属</w:t>
            </w:r>
          </w:p>
        </w:tc>
        <w:tc>
          <w:tcPr>
            <w:tcW w:w="2103" w:type="dxa"/>
            <w:vAlign w:val="top"/>
          </w:tcPr>
          <w:p w14:paraId="59907493">
            <w:pPr>
              <w:pStyle w:val="6"/>
              <w:spacing w:before="136" w:line="278" w:lineRule="exact"/>
              <w:ind w:left="369"/>
              <w:rPr>
                <w:sz w:val="20"/>
                <w:szCs w:val="20"/>
              </w:rPr>
            </w:pPr>
            <w:r>
              <w:rPr>
                <w:i/>
                <w:iCs/>
                <w:spacing w:val="4"/>
                <w:position w:val="4"/>
                <w:sz w:val="20"/>
                <w:szCs w:val="20"/>
              </w:rPr>
              <w:t>Ulmus</w:t>
            </w:r>
            <w:r>
              <w:rPr>
                <w:i/>
                <w:iCs/>
                <w:spacing w:val="-15"/>
                <w:position w:val="4"/>
                <w:sz w:val="20"/>
                <w:szCs w:val="20"/>
              </w:rPr>
              <w:t xml:space="preserve"> </w:t>
            </w:r>
            <w:r>
              <w:rPr>
                <w:i/>
                <w:iCs/>
                <w:spacing w:val="4"/>
                <w:position w:val="4"/>
                <w:sz w:val="20"/>
                <w:szCs w:val="20"/>
              </w:rPr>
              <w:t>pumila L.</w:t>
            </w:r>
          </w:p>
        </w:tc>
        <w:tc>
          <w:tcPr>
            <w:tcW w:w="1857" w:type="dxa"/>
            <w:tcBorders>
              <w:right w:val="nil"/>
            </w:tcBorders>
            <w:vAlign w:val="top"/>
          </w:tcPr>
          <w:p w14:paraId="15153DD8">
            <w:pPr>
              <w:spacing w:before="35" w:line="232" w:lineRule="auto"/>
              <w:ind w:left="623" w:right="108" w:hanging="504"/>
              <w:rPr>
                <w:rFonts w:ascii="仿宋" w:hAnsi="仿宋" w:eastAsia="仿宋" w:cs="仿宋"/>
                <w:sz w:val="20"/>
                <w:szCs w:val="20"/>
              </w:rPr>
            </w:pPr>
            <w:r>
              <w:rPr>
                <w:rFonts w:ascii="仿宋" w:hAnsi="仿宋" w:eastAsia="仿宋" w:cs="仿宋"/>
                <w:spacing w:val="3"/>
                <w:sz w:val="20"/>
                <w:szCs w:val="20"/>
              </w:rPr>
              <w:t>榆树群落，乔木林</w:t>
            </w:r>
            <w:r>
              <w:rPr>
                <w:rFonts w:ascii="仿宋" w:hAnsi="仿宋" w:eastAsia="仿宋" w:cs="仿宋"/>
                <w:spacing w:val="5"/>
                <w:sz w:val="20"/>
                <w:szCs w:val="20"/>
              </w:rPr>
              <w:t>优势种</w:t>
            </w:r>
          </w:p>
        </w:tc>
      </w:tr>
      <w:tr w14:paraId="356FC0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625" w:type="dxa"/>
            <w:tcBorders>
              <w:left w:val="nil"/>
            </w:tcBorders>
            <w:vAlign w:val="top"/>
          </w:tcPr>
          <w:p w14:paraId="5DB166D1">
            <w:pPr>
              <w:pStyle w:val="6"/>
              <w:spacing w:before="176" w:line="195" w:lineRule="auto"/>
              <w:ind w:left="268"/>
              <w:rPr>
                <w:sz w:val="20"/>
                <w:szCs w:val="20"/>
              </w:rPr>
            </w:pPr>
            <w:r>
              <w:rPr>
                <w:sz w:val="20"/>
                <w:szCs w:val="20"/>
              </w:rPr>
              <w:t>3</w:t>
            </w:r>
          </w:p>
        </w:tc>
        <w:tc>
          <w:tcPr>
            <w:tcW w:w="1783" w:type="dxa"/>
            <w:vAlign w:val="top"/>
          </w:tcPr>
          <w:p w14:paraId="7A97DDCB">
            <w:pPr>
              <w:spacing w:before="140" w:line="231" w:lineRule="auto"/>
              <w:ind w:left="377"/>
              <w:rPr>
                <w:rFonts w:ascii="仿宋" w:hAnsi="仿宋" w:eastAsia="仿宋" w:cs="仿宋"/>
                <w:sz w:val="20"/>
                <w:szCs w:val="20"/>
              </w:rPr>
            </w:pPr>
            <w:r>
              <w:rPr>
                <w:rFonts w:ascii="仿宋" w:hAnsi="仿宋" w:eastAsia="仿宋" w:cs="仿宋"/>
                <w:spacing w:val="7"/>
                <w:sz w:val="20"/>
                <w:szCs w:val="20"/>
              </w:rPr>
              <w:t>柠条锦鸡儿</w:t>
            </w:r>
          </w:p>
        </w:tc>
        <w:tc>
          <w:tcPr>
            <w:tcW w:w="995" w:type="dxa"/>
            <w:vAlign w:val="top"/>
          </w:tcPr>
          <w:p w14:paraId="34D6AC16">
            <w:pPr>
              <w:spacing w:before="140" w:line="231" w:lineRule="auto"/>
              <w:ind w:left="299"/>
              <w:rPr>
                <w:rFonts w:ascii="仿宋" w:hAnsi="仿宋" w:eastAsia="仿宋" w:cs="仿宋"/>
                <w:sz w:val="20"/>
                <w:szCs w:val="20"/>
              </w:rPr>
            </w:pPr>
            <w:r>
              <w:rPr>
                <w:rFonts w:ascii="仿宋" w:hAnsi="仿宋" w:eastAsia="仿宋" w:cs="仿宋"/>
                <w:spacing w:val="2"/>
                <w:sz w:val="20"/>
                <w:szCs w:val="20"/>
              </w:rPr>
              <w:t>豆科</w:t>
            </w:r>
          </w:p>
        </w:tc>
        <w:tc>
          <w:tcPr>
            <w:tcW w:w="1065" w:type="dxa"/>
            <w:vAlign w:val="top"/>
          </w:tcPr>
          <w:p w14:paraId="01B42E46">
            <w:pPr>
              <w:spacing w:before="140" w:line="231" w:lineRule="auto"/>
              <w:ind w:left="124"/>
              <w:rPr>
                <w:rFonts w:ascii="仿宋" w:hAnsi="仿宋" w:eastAsia="仿宋" w:cs="仿宋"/>
                <w:sz w:val="20"/>
                <w:szCs w:val="20"/>
              </w:rPr>
            </w:pPr>
            <w:r>
              <w:rPr>
                <w:rFonts w:ascii="仿宋" w:hAnsi="仿宋" w:eastAsia="仿宋" w:cs="仿宋"/>
                <w:spacing w:val="5"/>
                <w:sz w:val="20"/>
                <w:szCs w:val="20"/>
              </w:rPr>
              <w:t>锦鸡儿属</w:t>
            </w:r>
          </w:p>
        </w:tc>
        <w:tc>
          <w:tcPr>
            <w:tcW w:w="2103" w:type="dxa"/>
            <w:vAlign w:val="top"/>
          </w:tcPr>
          <w:p w14:paraId="3F9950DB">
            <w:pPr>
              <w:pStyle w:val="6"/>
              <w:spacing w:line="264" w:lineRule="exact"/>
              <w:ind w:left="149"/>
              <w:rPr>
                <w:sz w:val="20"/>
                <w:szCs w:val="20"/>
              </w:rPr>
            </w:pPr>
            <w:r>
              <w:rPr>
                <w:i/>
                <w:iCs/>
                <w:spacing w:val="3"/>
                <w:position w:val="3"/>
                <w:sz w:val="20"/>
                <w:szCs w:val="20"/>
              </w:rPr>
              <w:t>Caragana korshinskii</w:t>
            </w:r>
          </w:p>
          <w:p w14:paraId="28302F35">
            <w:pPr>
              <w:pStyle w:val="6"/>
              <w:spacing w:before="38" w:line="182" w:lineRule="auto"/>
              <w:ind w:left="819"/>
              <w:rPr>
                <w:sz w:val="20"/>
                <w:szCs w:val="20"/>
              </w:rPr>
            </w:pPr>
            <w:r>
              <w:rPr>
                <w:i/>
                <w:iCs/>
                <w:spacing w:val="6"/>
                <w:sz w:val="20"/>
                <w:szCs w:val="20"/>
              </w:rPr>
              <w:t>Kom.</w:t>
            </w:r>
          </w:p>
        </w:tc>
        <w:tc>
          <w:tcPr>
            <w:tcW w:w="1857" w:type="dxa"/>
            <w:tcBorders>
              <w:right w:val="nil"/>
            </w:tcBorders>
            <w:vAlign w:val="top"/>
          </w:tcPr>
          <w:p w14:paraId="5A3BC1F4">
            <w:pPr>
              <w:spacing w:before="141" w:line="229" w:lineRule="auto"/>
              <w:ind w:left="207"/>
              <w:rPr>
                <w:rFonts w:ascii="仿宋" w:hAnsi="仿宋" w:eastAsia="仿宋" w:cs="仿宋"/>
                <w:sz w:val="20"/>
                <w:szCs w:val="20"/>
              </w:rPr>
            </w:pPr>
            <w:r>
              <w:rPr>
                <w:rFonts w:ascii="仿宋" w:hAnsi="仿宋" w:eastAsia="仿宋" w:cs="仿宋"/>
                <w:spacing w:val="7"/>
                <w:sz w:val="20"/>
                <w:szCs w:val="20"/>
              </w:rPr>
              <w:t>灌丛建群优势种</w:t>
            </w:r>
          </w:p>
        </w:tc>
      </w:tr>
      <w:tr w14:paraId="3A254A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625" w:type="dxa"/>
            <w:tcBorders>
              <w:left w:val="nil"/>
            </w:tcBorders>
            <w:vAlign w:val="top"/>
          </w:tcPr>
          <w:p w14:paraId="2139A4DF">
            <w:pPr>
              <w:pStyle w:val="6"/>
              <w:spacing w:before="210" w:line="195" w:lineRule="auto"/>
              <w:ind w:left="263"/>
              <w:rPr>
                <w:sz w:val="20"/>
                <w:szCs w:val="20"/>
              </w:rPr>
            </w:pPr>
            <w:r>
              <w:rPr>
                <w:spacing w:val="1"/>
                <w:sz w:val="20"/>
                <w:szCs w:val="20"/>
              </w:rPr>
              <w:t>4</w:t>
            </w:r>
          </w:p>
        </w:tc>
        <w:tc>
          <w:tcPr>
            <w:tcW w:w="1783" w:type="dxa"/>
            <w:vAlign w:val="top"/>
          </w:tcPr>
          <w:p w14:paraId="070EA9B6">
            <w:pPr>
              <w:spacing w:before="37" w:line="231" w:lineRule="auto"/>
              <w:ind w:left="167"/>
              <w:rPr>
                <w:rFonts w:ascii="仿宋" w:hAnsi="仿宋" w:eastAsia="仿宋" w:cs="仿宋"/>
                <w:sz w:val="20"/>
                <w:szCs w:val="20"/>
              </w:rPr>
            </w:pPr>
            <w:r>
              <w:rPr>
                <w:rFonts w:ascii="仿宋" w:hAnsi="仿宋" w:eastAsia="仿宋" w:cs="仿宋"/>
                <w:spacing w:val="7"/>
                <w:sz w:val="20"/>
                <w:szCs w:val="20"/>
              </w:rPr>
              <w:t>本氏针茅（长芒</w:t>
            </w:r>
          </w:p>
          <w:p w14:paraId="25F2E06E">
            <w:pPr>
              <w:spacing w:before="20" w:line="212" w:lineRule="auto"/>
              <w:ind w:left="695"/>
              <w:rPr>
                <w:rFonts w:ascii="仿宋" w:hAnsi="仿宋" w:eastAsia="仿宋" w:cs="仿宋"/>
                <w:sz w:val="20"/>
                <w:szCs w:val="20"/>
              </w:rPr>
            </w:pPr>
            <w:r>
              <w:rPr>
                <w:rFonts w:ascii="仿宋" w:hAnsi="仿宋" w:eastAsia="仿宋" w:cs="仿宋"/>
                <w:spacing w:val="-5"/>
                <w:sz w:val="20"/>
                <w:szCs w:val="20"/>
              </w:rPr>
              <w:t>草）</w:t>
            </w:r>
          </w:p>
        </w:tc>
        <w:tc>
          <w:tcPr>
            <w:tcW w:w="995" w:type="dxa"/>
            <w:vAlign w:val="top"/>
          </w:tcPr>
          <w:p w14:paraId="367FC075">
            <w:pPr>
              <w:spacing w:before="171" w:line="231" w:lineRule="auto"/>
              <w:ind w:left="194"/>
              <w:rPr>
                <w:rFonts w:ascii="仿宋" w:hAnsi="仿宋" w:eastAsia="仿宋" w:cs="仿宋"/>
                <w:sz w:val="20"/>
                <w:szCs w:val="20"/>
              </w:rPr>
            </w:pPr>
            <w:r>
              <w:rPr>
                <w:rFonts w:ascii="仿宋" w:hAnsi="仿宋" w:eastAsia="仿宋" w:cs="仿宋"/>
                <w:spacing w:val="4"/>
                <w:sz w:val="20"/>
                <w:szCs w:val="20"/>
              </w:rPr>
              <w:t>禾本科</w:t>
            </w:r>
          </w:p>
        </w:tc>
        <w:tc>
          <w:tcPr>
            <w:tcW w:w="1065" w:type="dxa"/>
            <w:vAlign w:val="top"/>
          </w:tcPr>
          <w:p w14:paraId="38EBA185">
            <w:pPr>
              <w:spacing w:before="171" w:line="231" w:lineRule="auto"/>
              <w:ind w:left="227"/>
              <w:rPr>
                <w:rFonts w:ascii="仿宋" w:hAnsi="仿宋" w:eastAsia="仿宋" w:cs="仿宋"/>
                <w:sz w:val="20"/>
                <w:szCs w:val="20"/>
              </w:rPr>
            </w:pPr>
            <w:r>
              <w:rPr>
                <w:rFonts w:ascii="仿宋" w:hAnsi="仿宋" w:eastAsia="仿宋" w:cs="仿宋"/>
                <w:spacing w:val="5"/>
                <w:sz w:val="20"/>
                <w:szCs w:val="20"/>
              </w:rPr>
              <w:t>针茅属</w:t>
            </w:r>
          </w:p>
        </w:tc>
        <w:tc>
          <w:tcPr>
            <w:tcW w:w="2103" w:type="dxa"/>
            <w:vAlign w:val="top"/>
          </w:tcPr>
          <w:p w14:paraId="5EDF9B3F">
            <w:pPr>
              <w:pStyle w:val="6"/>
              <w:spacing w:before="140" w:line="277" w:lineRule="exact"/>
              <w:ind w:left="187"/>
              <w:rPr>
                <w:sz w:val="20"/>
                <w:szCs w:val="20"/>
              </w:rPr>
            </w:pPr>
            <w:r>
              <w:rPr>
                <w:i/>
                <w:iCs/>
                <w:spacing w:val="3"/>
                <w:position w:val="4"/>
                <w:sz w:val="20"/>
                <w:szCs w:val="20"/>
              </w:rPr>
              <w:t>Stipa bungeana</w:t>
            </w:r>
            <w:r>
              <w:rPr>
                <w:i/>
                <w:iCs/>
                <w:spacing w:val="23"/>
                <w:position w:val="4"/>
                <w:sz w:val="20"/>
                <w:szCs w:val="20"/>
              </w:rPr>
              <w:t xml:space="preserve"> </w:t>
            </w:r>
            <w:r>
              <w:rPr>
                <w:i/>
                <w:iCs/>
                <w:spacing w:val="3"/>
                <w:position w:val="4"/>
                <w:sz w:val="20"/>
                <w:szCs w:val="20"/>
              </w:rPr>
              <w:t>Trin</w:t>
            </w:r>
          </w:p>
        </w:tc>
        <w:tc>
          <w:tcPr>
            <w:tcW w:w="1857" w:type="dxa"/>
            <w:tcBorders>
              <w:right w:val="nil"/>
            </w:tcBorders>
            <w:vAlign w:val="top"/>
          </w:tcPr>
          <w:p w14:paraId="13941DC8">
            <w:pPr>
              <w:spacing w:before="172" w:line="229" w:lineRule="auto"/>
              <w:ind w:left="207"/>
              <w:rPr>
                <w:rFonts w:ascii="仿宋" w:hAnsi="仿宋" w:eastAsia="仿宋" w:cs="仿宋"/>
                <w:sz w:val="20"/>
                <w:szCs w:val="20"/>
              </w:rPr>
            </w:pPr>
            <w:r>
              <w:rPr>
                <w:rFonts w:ascii="仿宋" w:hAnsi="仿宋" w:eastAsia="仿宋" w:cs="仿宋"/>
                <w:spacing w:val="7"/>
                <w:sz w:val="20"/>
                <w:szCs w:val="20"/>
              </w:rPr>
              <w:t>草地共建优势种</w:t>
            </w:r>
          </w:p>
        </w:tc>
      </w:tr>
      <w:tr w14:paraId="00BDAC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625" w:type="dxa"/>
            <w:tcBorders>
              <w:left w:val="nil"/>
            </w:tcBorders>
            <w:vAlign w:val="top"/>
          </w:tcPr>
          <w:p w14:paraId="7542DD14">
            <w:pPr>
              <w:pStyle w:val="6"/>
              <w:spacing w:before="183" w:line="192" w:lineRule="auto"/>
              <w:ind w:left="269"/>
              <w:rPr>
                <w:sz w:val="20"/>
                <w:szCs w:val="20"/>
              </w:rPr>
            </w:pPr>
            <w:r>
              <w:rPr>
                <w:sz w:val="20"/>
                <w:szCs w:val="20"/>
              </w:rPr>
              <w:t>5</w:t>
            </w:r>
          </w:p>
        </w:tc>
        <w:tc>
          <w:tcPr>
            <w:tcW w:w="1783" w:type="dxa"/>
            <w:vAlign w:val="top"/>
          </w:tcPr>
          <w:p w14:paraId="6CA03679">
            <w:pPr>
              <w:spacing w:before="141" w:line="229" w:lineRule="auto"/>
              <w:ind w:left="177"/>
              <w:rPr>
                <w:rFonts w:ascii="仿宋" w:hAnsi="仿宋" w:eastAsia="仿宋" w:cs="仿宋"/>
                <w:sz w:val="20"/>
                <w:szCs w:val="20"/>
              </w:rPr>
            </w:pPr>
            <w:r>
              <w:rPr>
                <w:rFonts w:ascii="仿宋" w:hAnsi="仿宋" w:eastAsia="仿宋" w:cs="仿宋"/>
                <w:spacing w:val="4"/>
                <w:sz w:val="20"/>
                <w:szCs w:val="20"/>
              </w:rPr>
              <w:t>百里香（地椒）</w:t>
            </w:r>
          </w:p>
        </w:tc>
        <w:tc>
          <w:tcPr>
            <w:tcW w:w="995" w:type="dxa"/>
            <w:vAlign w:val="top"/>
          </w:tcPr>
          <w:p w14:paraId="51988DAE">
            <w:pPr>
              <w:spacing w:before="142" w:line="231" w:lineRule="auto"/>
              <w:ind w:left="195"/>
              <w:rPr>
                <w:rFonts w:ascii="仿宋" w:hAnsi="仿宋" w:eastAsia="仿宋" w:cs="仿宋"/>
                <w:sz w:val="20"/>
                <w:szCs w:val="20"/>
              </w:rPr>
            </w:pPr>
            <w:r>
              <w:rPr>
                <w:rFonts w:ascii="仿宋" w:hAnsi="仿宋" w:eastAsia="仿宋" w:cs="仿宋"/>
                <w:spacing w:val="4"/>
                <w:sz w:val="20"/>
                <w:szCs w:val="20"/>
              </w:rPr>
              <w:t>唇形科</w:t>
            </w:r>
          </w:p>
        </w:tc>
        <w:tc>
          <w:tcPr>
            <w:tcW w:w="1065" w:type="dxa"/>
            <w:vAlign w:val="top"/>
          </w:tcPr>
          <w:p w14:paraId="16E6BB71">
            <w:pPr>
              <w:spacing w:before="141" w:line="229" w:lineRule="auto"/>
              <w:ind w:left="133"/>
              <w:rPr>
                <w:rFonts w:ascii="仿宋" w:hAnsi="仿宋" w:eastAsia="仿宋" w:cs="仿宋"/>
                <w:sz w:val="20"/>
                <w:szCs w:val="20"/>
              </w:rPr>
            </w:pPr>
            <w:r>
              <w:rPr>
                <w:rFonts w:ascii="仿宋" w:hAnsi="仿宋" w:eastAsia="仿宋" w:cs="仿宋"/>
                <w:spacing w:val="3"/>
                <w:sz w:val="20"/>
                <w:szCs w:val="20"/>
              </w:rPr>
              <w:t>百里香属</w:t>
            </w:r>
          </w:p>
        </w:tc>
        <w:tc>
          <w:tcPr>
            <w:tcW w:w="2103" w:type="dxa"/>
            <w:vAlign w:val="top"/>
          </w:tcPr>
          <w:p w14:paraId="44838E61">
            <w:pPr>
              <w:pStyle w:val="6"/>
              <w:spacing w:before="1" w:line="248" w:lineRule="auto"/>
              <w:ind w:left="471" w:right="213" w:hanging="244"/>
              <w:rPr>
                <w:sz w:val="20"/>
                <w:szCs w:val="20"/>
              </w:rPr>
            </w:pPr>
            <w:r>
              <w:rPr>
                <w:i/>
                <w:iCs/>
                <w:spacing w:val="3"/>
                <w:sz w:val="20"/>
                <w:szCs w:val="20"/>
              </w:rPr>
              <w:t>Thymus mongolicus</w:t>
            </w:r>
            <w:r>
              <w:rPr>
                <w:i/>
                <w:iCs/>
                <w:spacing w:val="11"/>
                <w:sz w:val="20"/>
                <w:szCs w:val="20"/>
              </w:rPr>
              <w:t xml:space="preserve"> </w:t>
            </w:r>
            <w:r>
              <w:rPr>
                <w:i/>
                <w:iCs/>
                <w:spacing w:val="8"/>
                <w:sz w:val="20"/>
                <w:szCs w:val="20"/>
              </w:rPr>
              <w:t>(</w:t>
            </w:r>
            <w:r>
              <w:rPr>
                <w:i/>
                <w:iCs/>
                <w:sz w:val="20"/>
                <w:szCs w:val="20"/>
              </w:rPr>
              <w:t>Ronn</w:t>
            </w:r>
            <w:r>
              <w:rPr>
                <w:i/>
                <w:iCs/>
                <w:spacing w:val="8"/>
                <w:sz w:val="20"/>
                <w:szCs w:val="20"/>
              </w:rPr>
              <w:t xml:space="preserve">.) </w:t>
            </w:r>
            <w:r>
              <w:rPr>
                <w:i/>
                <w:iCs/>
                <w:sz w:val="20"/>
                <w:szCs w:val="20"/>
              </w:rPr>
              <w:t>Ronn</w:t>
            </w:r>
            <w:r>
              <w:rPr>
                <w:i/>
                <w:iCs/>
                <w:spacing w:val="8"/>
                <w:sz w:val="20"/>
                <w:szCs w:val="20"/>
              </w:rPr>
              <w:t>.</w:t>
            </w:r>
          </w:p>
        </w:tc>
        <w:tc>
          <w:tcPr>
            <w:tcW w:w="1857" w:type="dxa"/>
            <w:tcBorders>
              <w:right w:val="nil"/>
            </w:tcBorders>
            <w:vAlign w:val="top"/>
          </w:tcPr>
          <w:p w14:paraId="62DDF7BE">
            <w:pPr>
              <w:spacing w:before="142" w:line="229" w:lineRule="auto"/>
              <w:ind w:left="207"/>
              <w:rPr>
                <w:rFonts w:ascii="仿宋" w:hAnsi="仿宋" w:eastAsia="仿宋" w:cs="仿宋"/>
                <w:sz w:val="20"/>
                <w:szCs w:val="20"/>
              </w:rPr>
            </w:pPr>
            <w:r>
              <w:rPr>
                <w:rFonts w:ascii="仿宋" w:hAnsi="仿宋" w:eastAsia="仿宋" w:cs="仿宋"/>
                <w:spacing w:val="7"/>
                <w:sz w:val="20"/>
                <w:szCs w:val="20"/>
              </w:rPr>
              <w:t>草地共建优势种</w:t>
            </w:r>
          </w:p>
        </w:tc>
      </w:tr>
      <w:tr w14:paraId="130339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625" w:type="dxa"/>
            <w:tcBorders>
              <w:left w:val="nil"/>
            </w:tcBorders>
            <w:vAlign w:val="top"/>
          </w:tcPr>
          <w:p w14:paraId="2506DF7A">
            <w:pPr>
              <w:pStyle w:val="6"/>
              <w:spacing w:before="211" w:line="195" w:lineRule="auto"/>
              <w:ind w:left="268"/>
              <w:rPr>
                <w:sz w:val="20"/>
                <w:szCs w:val="20"/>
              </w:rPr>
            </w:pPr>
            <w:r>
              <w:rPr>
                <w:sz w:val="20"/>
                <w:szCs w:val="20"/>
              </w:rPr>
              <w:t>6</w:t>
            </w:r>
          </w:p>
        </w:tc>
        <w:tc>
          <w:tcPr>
            <w:tcW w:w="1783" w:type="dxa"/>
            <w:vAlign w:val="top"/>
          </w:tcPr>
          <w:p w14:paraId="3209B9F7">
            <w:pPr>
              <w:spacing w:before="175" w:line="230" w:lineRule="auto"/>
              <w:ind w:left="699"/>
              <w:rPr>
                <w:rFonts w:ascii="仿宋" w:hAnsi="仿宋" w:eastAsia="仿宋" w:cs="仿宋"/>
                <w:sz w:val="20"/>
                <w:szCs w:val="20"/>
              </w:rPr>
            </w:pPr>
            <w:r>
              <w:rPr>
                <w:rFonts w:ascii="仿宋" w:hAnsi="仿宋" w:eastAsia="仿宋" w:cs="仿宋"/>
                <w:spacing w:val="-2"/>
                <w:sz w:val="20"/>
                <w:szCs w:val="20"/>
              </w:rPr>
              <w:t>羊草</w:t>
            </w:r>
          </w:p>
        </w:tc>
        <w:tc>
          <w:tcPr>
            <w:tcW w:w="995" w:type="dxa"/>
            <w:vAlign w:val="top"/>
          </w:tcPr>
          <w:p w14:paraId="12227FBC">
            <w:pPr>
              <w:spacing w:before="175" w:line="231" w:lineRule="auto"/>
              <w:ind w:left="194"/>
              <w:rPr>
                <w:rFonts w:ascii="仿宋" w:hAnsi="仿宋" w:eastAsia="仿宋" w:cs="仿宋"/>
                <w:sz w:val="20"/>
                <w:szCs w:val="20"/>
              </w:rPr>
            </w:pPr>
            <w:r>
              <w:rPr>
                <w:rFonts w:ascii="仿宋" w:hAnsi="仿宋" w:eastAsia="仿宋" w:cs="仿宋"/>
                <w:spacing w:val="4"/>
                <w:sz w:val="20"/>
                <w:szCs w:val="20"/>
              </w:rPr>
              <w:t>禾本科</w:t>
            </w:r>
          </w:p>
        </w:tc>
        <w:tc>
          <w:tcPr>
            <w:tcW w:w="1065" w:type="dxa"/>
            <w:vAlign w:val="top"/>
          </w:tcPr>
          <w:p w14:paraId="4D98D528">
            <w:pPr>
              <w:spacing w:before="176" w:line="229" w:lineRule="auto"/>
              <w:ind w:left="230"/>
              <w:rPr>
                <w:rFonts w:ascii="仿宋" w:hAnsi="仿宋" w:eastAsia="仿宋" w:cs="仿宋"/>
                <w:sz w:val="20"/>
                <w:szCs w:val="20"/>
              </w:rPr>
            </w:pPr>
            <w:r>
              <w:rPr>
                <w:rFonts w:ascii="仿宋" w:hAnsi="仿宋" w:eastAsia="仿宋" w:cs="仿宋"/>
                <w:spacing w:val="4"/>
                <w:sz w:val="20"/>
                <w:szCs w:val="20"/>
              </w:rPr>
              <w:t>赖草属</w:t>
            </w:r>
          </w:p>
        </w:tc>
        <w:tc>
          <w:tcPr>
            <w:tcW w:w="2103" w:type="dxa"/>
            <w:vAlign w:val="top"/>
          </w:tcPr>
          <w:p w14:paraId="1BE052C6">
            <w:pPr>
              <w:pStyle w:val="6"/>
              <w:spacing w:before="21" w:line="269" w:lineRule="auto"/>
              <w:ind w:left="511" w:right="311" w:hanging="207"/>
              <w:rPr>
                <w:sz w:val="20"/>
                <w:szCs w:val="20"/>
              </w:rPr>
            </w:pPr>
            <w:r>
              <w:rPr>
                <w:i/>
                <w:iCs/>
                <w:spacing w:val="4"/>
                <w:sz w:val="20"/>
                <w:szCs w:val="20"/>
              </w:rPr>
              <w:t>Leymus chinensis</w:t>
            </w:r>
            <w:r>
              <w:rPr>
                <w:i/>
                <w:iCs/>
                <w:spacing w:val="11"/>
                <w:sz w:val="20"/>
                <w:szCs w:val="20"/>
              </w:rPr>
              <w:t xml:space="preserve"> </w:t>
            </w:r>
            <w:r>
              <w:rPr>
                <w:i/>
                <w:iCs/>
                <w:spacing w:val="4"/>
                <w:sz w:val="20"/>
                <w:szCs w:val="20"/>
              </w:rPr>
              <w:t>(</w:t>
            </w:r>
            <w:r>
              <w:rPr>
                <w:i/>
                <w:iCs/>
                <w:sz w:val="20"/>
                <w:szCs w:val="20"/>
              </w:rPr>
              <w:t>Trin</w:t>
            </w:r>
            <w:r>
              <w:rPr>
                <w:i/>
                <w:iCs/>
                <w:spacing w:val="4"/>
                <w:sz w:val="20"/>
                <w:szCs w:val="20"/>
              </w:rPr>
              <w:t>.)</w:t>
            </w:r>
            <w:r>
              <w:rPr>
                <w:i/>
                <w:iCs/>
                <w:spacing w:val="19"/>
                <w:w w:val="101"/>
                <w:sz w:val="20"/>
                <w:szCs w:val="20"/>
              </w:rPr>
              <w:t xml:space="preserve"> </w:t>
            </w:r>
            <w:r>
              <w:rPr>
                <w:i/>
                <w:iCs/>
                <w:sz w:val="20"/>
                <w:szCs w:val="20"/>
              </w:rPr>
              <w:t>Tzvel</w:t>
            </w:r>
            <w:r>
              <w:rPr>
                <w:i/>
                <w:iCs/>
                <w:spacing w:val="4"/>
                <w:sz w:val="20"/>
                <w:szCs w:val="20"/>
              </w:rPr>
              <w:t>.</w:t>
            </w:r>
          </w:p>
        </w:tc>
        <w:tc>
          <w:tcPr>
            <w:tcW w:w="1857" w:type="dxa"/>
            <w:tcBorders>
              <w:right w:val="nil"/>
            </w:tcBorders>
            <w:vAlign w:val="top"/>
          </w:tcPr>
          <w:p w14:paraId="5D92C44D">
            <w:pPr>
              <w:spacing w:before="40" w:line="229" w:lineRule="auto"/>
              <w:ind w:left="623" w:right="195" w:hanging="412"/>
              <w:rPr>
                <w:rFonts w:ascii="仿宋" w:hAnsi="仿宋" w:eastAsia="仿宋" w:cs="仿宋"/>
                <w:sz w:val="20"/>
                <w:szCs w:val="20"/>
              </w:rPr>
            </w:pPr>
            <w:r>
              <w:rPr>
                <w:rFonts w:ascii="仿宋" w:hAnsi="仿宋" w:eastAsia="仿宋" w:cs="仿宋"/>
                <w:spacing w:val="6"/>
                <w:sz w:val="20"/>
                <w:szCs w:val="20"/>
              </w:rPr>
              <w:t>羊草杂类草草地</w:t>
            </w:r>
            <w:r>
              <w:rPr>
                <w:rFonts w:ascii="仿宋" w:hAnsi="仿宋" w:eastAsia="仿宋" w:cs="仿宋"/>
                <w:spacing w:val="5"/>
                <w:sz w:val="20"/>
                <w:szCs w:val="20"/>
              </w:rPr>
              <w:t>优势种</w:t>
            </w:r>
          </w:p>
        </w:tc>
      </w:tr>
      <w:tr w14:paraId="0F33E9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625" w:type="dxa"/>
            <w:tcBorders>
              <w:left w:val="nil"/>
            </w:tcBorders>
            <w:vAlign w:val="top"/>
          </w:tcPr>
          <w:p w14:paraId="4705696E">
            <w:pPr>
              <w:spacing w:line="249" w:lineRule="auto"/>
              <w:rPr>
                <w:rFonts w:ascii="Arial"/>
                <w:sz w:val="21"/>
              </w:rPr>
            </w:pPr>
          </w:p>
          <w:p w14:paraId="10203974">
            <w:pPr>
              <w:pStyle w:val="6"/>
              <w:spacing w:before="57" w:line="192" w:lineRule="auto"/>
              <w:ind w:left="267"/>
              <w:rPr>
                <w:sz w:val="20"/>
                <w:szCs w:val="20"/>
              </w:rPr>
            </w:pPr>
            <w:r>
              <w:rPr>
                <w:sz w:val="20"/>
                <w:szCs w:val="20"/>
              </w:rPr>
              <w:t>7</w:t>
            </w:r>
          </w:p>
        </w:tc>
        <w:tc>
          <w:tcPr>
            <w:tcW w:w="1783" w:type="dxa"/>
            <w:vAlign w:val="top"/>
          </w:tcPr>
          <w:p w14:paraId="39ABA2B4">
            <w:pPr>
              <w:spacing w:before="269" w:line="231" w:lineRule="auto"/>
              <w:ind w:left="591"/>
              <w:rPr>
                <w:rFonts w:ascii="仿宋" w:hAnsi="仿宋" w:eastAsia="仿宋" w:cs="仿宋"/>
                <w:sz w:val="20"/>
                <w:szCs w:val="20"/>
              </w:rPr>
            </w:pPr>
            <w:r>
              <w:rPr>
                <w:rFonts w:ascii="仿宋" w:hAnsi="仿宋" w:eastAsia="仿宋" w:cs="仿宋"/>
                <w:spacing w:val="3"/>
                <w:sz w:val="20"/>
                <w:szCs w:val="20"/>
              </w:rPr>
              <w:t>芨芨草</w:t>
            </w:r>
          </w:p>
        </w:tc>
        <w:tc>
          <w:tcPr>
            <w:tcW w:w="995" w:type="dxa"/>
            <w:vAlign w:val="top"/>
          </w:tcPr>
          <w:p w14:paraId="3BD572FA">
            <w:pPr>
              <w:spacing w:before="269" w:line="231" w:lineRule="auto"/>
              <w:ind w:left="194"/>
              <w:rPr>
                <w:rFonts w:ascii="仿宋" w:hAnsi="仿宋" w:eastAsia="仿宋" w:cs="仿宋"/>
                <w:sz w:val="20"/>
                <w:szCs w:val="20"/>
              </w:rPr>
            </w:pPr>
            <w:r>
              <w:rPr>
                <w:rFonts w:ascii="仿宋" w:hAnsi="仿宋" w:eastAsia="仿宋" w:cs="仿宋"/>
                <w:spacing w:val="4"/>
                <w:sz w:val="20"/>
                <w:szCs w:val="20"/>
              </w:rPr>
              <w:t>禾本科</w:t>
            </w:r>
          </w:p>
        </w:tc>
        <w:tc>
          <w:tcPr>
            <w:tcW w:w="1065" w:type="dxa"/>
            <w:vAlign w:val="top"/>
          </w:tcPr>
          <w:p w14:paraId="7713226F">
            <w:pPr>
              <w:spacing w:before="269" w:line="231" w:lineRule="auto"/>
              <w:ind w:left="126"/>
              <w:rPr>
                <w:rFonts w:ascii="仿宋" w:hAnsi="仿宋" w:eastAsia="仿宋" w:cs="仿宋"/>
                <w:sz w:val="20"/>
                <w:szCs w:val="20"/>
              </w:rPr>
            </w:pPr>
            <w:r>
              <w:rPr>
                <w:rFonts w:ascii="仿宋" w:hAnsi="仿宋" w:eastAsia="仿宋" w:cs="仿宋"/>
                <w:spacing w:val="4"/>
                <w:sz w:val="20"/>
                <w:szCs w:val="20"/>
              </w:rPr>
              <w:t>芨芨草属</w:t>
            </w:r>
          </w:p>
        </w:tc>
        <w:tc>
          <w:tcPr>
            <w:tcW w:w="2103" w:type="dxa"/>
            <w:vAlign w:val="top"/>
          </w:tcPr>
          <w:p w14:paraId="172A6F73">
            <w:pPr>
              <w:pStyle w:val="6"/>
              <w:spacing w:line="254" w:lineRule="exact"/>
              <w:ind w:left="473"/>
              <w:rPr>
                <w:sz w:val="20"/>
                <w:szCs w:val="20"/>
              </w:rPr>
            </w:pPr>
            <w:r>
              <w:rPr>
                <w:i/>
                <w:iCs/>
                <w:spacing w:val="5"/>
                <w:position w:val="1"/>
                <w:sz w:val="20"/>
                <w:szCs w:val="20"/>
              </w:rPr>
              <w:t>Achnatherum</w:t>
            </w:r>
          </w:p>
          <w:p w14:paraId="05881EF7">
            <w:pPr>
              <w:pStyle w:val="6"/>
              <w:spacing w:line="240" w:lineRule="exact"/>
              <w:ind w:left="330"/>
              <w:rPr>
                <w:sz w:val="20"/>
                <w:szCs w:val="20"/>
              </w:rPr>
            </w:pPr>
            <w:r>
              <w:rPr>
                <w:i/>
                <w:iCs/>
                <w:position w:val="2"/>
                <w:sz w:val="20"/>
                <w:szCs w:val="20"/>
              </w:rPr>
              <w:t>splendens</w:t>
            </w:r>
            <w:r>
              <w:rPr>
                <w:i/>
                <w:iCs/>
                <w:spacing w:val="15"/>
                <w:w w:val="101"/>
                <w:position w:val="2"/>
                <w:sz w:val="20"/>
                <w:szCs w:val="20"/>
              </w:rPr>
              <w:t xml:space="preserve"> </w:t>
            </w:r>
            <w:r>
              <w:rPr>
                <w:i/>
                <w:iCs/>
                <w:spacing w:val="17"/>
                <w:position w:val="2"/>
                <w:sz w:val="20"/>
                <w:szCs w:val="20"/>
              </w:rPr>
              <w:t>(</w:t>
            </w:r>
            <w:r>
              <w:rPr>
                <w:i/>
                <w:iCs/>
                <w:position w:val="2"/>
                <w:sz w:val="20"/>
                <w:szCs w:val="20"/>
              </w:rPr>
              <w:t>Trin</w:t>
            </w:r>
            <w:r>
              <w:rPr>
                <w:i/>
                <w:iCs/>
                <w:spacing w:val="17"/>
                <w:position w:val="2"/>
                <w:sz w:val="20"/>
                <w:szCs w:val="20"/>
              </w:rPr>
              <w:t>.)</w:t>
            </w:r>
          </w:p>
          <w:p w14:paraId="74F1953F">
            <w:pPr>
              <w:pStyle w:val="6"/>
              <w:spacing w:line="233" w:lineRule="auto"/>
              <w:ind w:left="763"/>
              <w:rPr>
                <w:sz w:val="20"/>
                <w:szCs w:val="20"/>
              </w:rPr>
            </w:pPr>
            <w:r>
              <w:rPr>
                <w:i/>
                <w:iCs/>
                <w:spacing w:val="6"/>
                <w:sz w:val="20"/>
                <w:szCs w:val="20"/>
              </w:rPr>
              <w:t>Nevski</w:t>
            </w:r>
          </w:p>
        </w:tc>
        <w:tc>
          <w:tcPr>
            <w:tcW w:w="1857" w:type="dxa"/>
            <w:tcBorders>
              <w:right w:val="nil"/>
            </w:tcBorders>
            <w:vAlign w:val="top"/>
          </w:tcPr>
          <w:p w14:paraId="0ACF091D">
            <w:pPr>
              <w:spacing w:before="269" w:line="229" w:lineRule="auto"/>
              <w:ind w:left="205"/>
              <w:rPr>
                <w:rFonts w:ascii="仿宋" w:hAnsi="仿宋" w:eastAsia="仿宋" w:cs="仿宋"/>
                <w:sz w:val="20"/>
                <w:szCs w:val="20"/>
              </w:rPr>
            </w:pPr>
            <w:r>
              <w:rPr>
                <w:rFonts w:ascii="仿宋" w:hAnsi="仿宋" w:eastAsia="仿宋" w:cs="仿宋"/>
                <w:spacing w:val="7"/>
                <w:sz w:val="20"/>
                <w:szCs w:val="20"/>
              </w:rPr>
              <w:t>滩涂植被建群种</w:t>
            </w:r>
          </w:p>
        </w:tc>
      </w:tr>
      <w:tr w14:paraId="099F1A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9" w:hRule="atLeast"/>
        </w:trPr>
        <w:tc>
          <w:tcPr>
            <w:tcW w:w="625" w:type="dxa"/>
            <w:tcBorders>
              <w:left w:val="nil"/>
            </w:tcBorders>
            <w:vAlign w:val="top"/>
          </w:tcPr>
          <w:p w14:paraId="140B5443">
            <w:pPr>
              <w:spacing w:line="293" w:lineRule="auto"/>
              <w:rPr>
                <w:rFonts w:ascii="Arial"/>
                <w:sz w:val="21"/>
              </w:rPr>
            </w:pPr>
          </w:p>
          <w:p w14:paraId="730E0D23">
            <w:pPr>
              <w:pStyle w:val="6"/>
              <w:spacing w:before="57" w:line="195" w:lineRule="auto"/>
              <w:ind w:left="272"/>
              <w:rPr>
                <w:sz w:val="20"/>
                <w:szCs w:val="20"/>
              </w:rPr>
            </w:pPr>
            <w:r>
              <w:rPr>
                <w:sz w:val="20"/>
                <w:szCs w:val="20"/>
              </w:rPr>
              <w:t>8</w:t>
            </w:r>
          </w:p>
        </w:tc>
        <w:tc>
          <w:tcPr>
            <w:tcW w:w="1783" w:type="dxa"/>
            <w:vAlign w:val="top"/>
          </w:tcPr>
          <w:p w14:paraId="455EF669">
            <w:pPr>
              <w:pStyle w:val="6"/>
              <w:spacing w:before="45" w:line="230" w:lineRule="auto"/>
              <w:ind w:left="192"/>
              <w:rPr>
                <w:sz w:val="20"/>
                <w:szCs w:val="20"/>
              </w:rPr>
            </w:pPr>
            <w:r>
              <w:rPr>
                <w:rFonts w:ascii="仿宋" w:hAnsi="仿宋" w:eastAsia="仿宋" w:cs="仿宋"/>
                <w:spacing w:val="6"/>
                <w:sz w:val="20"/>
                <w:szCs w:val="20"/>
              </w:rPr>
              <w:t xml:space="preserve">杨树（小叶杨 </w:t>
            </w:r>
            <w:r>
              <w:rPr>
                <w:spacing w:val="6"/>
                <w:sz w:val="20"/>
                <w:szCs w:val="20"/>
              </w:rPr>
              <w:t>/</w:t>
            </w:r>
          </w:p>
          <w:p w14:paraId="2F10694A">
            <w:pPr>
              <w:spacing w:before="21" w:line="231" w:lineRule="auto"/>
              <w:ind w:left="294"/>
              <w:rPr>
                <w:rFonts w:ascii="仿宋" w:hAnsi="仿宋" w:eastAsia="仿宋" w:cs="仿宋"/>
                <w:sz w:val="20"/>
                <w:szCs w:val="20"/>
              </w:rPr>
            </w:pPr>
            <w:r>
              <w:rPr>
                <w:rFonts w:ascii="仿宋" w:hAnsi="仿宋" w:eastAsia="仿宋" w:cs="仿宋"/>
                <w:spacing w:val="3"/>
                <w:sz w:val="20"/>
                <w:szCs w:val="20"/>
              </w:rPr>
              <w:t>当地常见乡土</w:t>
            </w:r>
          </w:p>
          <w:p w14:paraId="5253C406">
            <w:pPr>
              <w:spacing w:before="21" w:line="204" w:lineRule="auto"/>
              <w:ind w:left="694"/>
              <w:rPr>
                <w:rFonts w:ascii="仿宋" w:hAnsi="仿宋" w:eastAsia="仿宋" w:cs="仿宋"/>
                <w:sz w:val="20"/>
                <w:szCs w:val="20"/>
              </w:rPr>
            </w:pPr>
            <w:r>
              <w:rPr>
                <w:rFonts w:ascii="仿宋" w:hAnsi="仿宋" w:eastAsia="仿宋" w:cs="仿宋"/>
                <w:spacing w:val="-4"/>
                <w:sz w:val="20"/>
                <w:szCs w:val="20"/>
              </w:rPr>
              <w:t>杨）</w:t>
            </w:r>
          </w:p>
        </w:tc>
        <w:tc>
          <w:tcPr>
            <w:tcW w:w="995" w:type="dxa"/>
            <w:vAlign w:val="top"/>
          </w:tcPr>
          <w:p w14:paraId="63EECCEF">
            <w:pPr>
              <w:spacing w:line="250" w:lineRule="auto"/>
              <w:rPr>
                <w:rFonts w:ascii="Arial"/>
                <w:sz w:val="21"/>
              </w:rPr>
            </w:pPr>
          </w:p>
          <w:p w14:paraId="0771823C">
            <w:pPr>
              <w:spacing w:before="65" w:line="230" w:lineRule="auto"/>
              <w:ind w:left="195"/>
              <w:rPr>
                <w:rFonts w:ascii="仿宋" w:hAnsi="仿宋" w:eastAsia="仿宋" w:cs="仿宋"/>
                <w:sz w:val="20"/>
                <w:szCs w:val="20"/>
              </w:rPr>
            </w:pPr>
            <w:r>
              <w:rPr>
                <w:rFonts w:ascii="仿宋" w:hAnsi="仿宋" w:eastAsia="仿宋" w:cs="仿宋"/>
                <w:spacing w:val="4"/>
                <w:sz w:val="20"/>
                <w:szCs w:val="20"/>
              </w:rPr>
              <w:t>杨柳科</w:t>
            </w:r>
          </w:p>
        </w:tc>
        <w:tc>
          <w:tcPr>
            <w:tcW w:w="1065" w:type="dxa"/>
            <w:vAlign w:val="top"/>
          </w:tcPr>
          <w:p w14:paraId="230EFF13">
            <w:pPr>
              <w:spacing w:line="250" w:lineRule="auto"/>
              <w:rPr>
                <w:rFonts w:ascii="Arial"/>
                <w:sz w:val="21"/>
              </w:rPr>
            </w:pPr>
          </w:p>
          <w:p w14:paraId="497E6AFE">
            <w:pPr>
              <w:spacing w:before="65" w:line="230" w:lineRule="auto"/>
              <w:ind w:left="335"/>
              <w:rPr>
                <w:rFonts w:ascii="仿宋" w:hAnsi="仿宋" w:eastAsia="仿宋" w:cs="仿宋"/>
                <w:sz w:val="20"/>
                <w:szCs w:val="20"/>
              </w:rPr>
            </w:pPr>
            <w:r>
              <w:rPr>
                <w:rFonts w:ascii="仿宋" w:hAnsi="仿宋" w:eastAsia="仿宋" w:cs="仿宋"/>
                <w:spacing w:val="1"/>
                <w:sz w:val="20"/>
                <w:szCs w:val="20"/>
              </w:rPr>
              <w:t>杨属</w:t>
            </w:r>
          </w:p>
        </w:tc>
        <w:tc>
          <w:tcPr>
            <w:tcW w:w="2103" w:type="dxa"/>
            <w:vAlign w:val="top"/>
          </w:tcPr>
          <w:p w14:paraId="74AB4778">
            <w:pPr>
              <w:pStyle w:val="6"/>
              <w:spacing w:before="282" w:line="277" w:lineRule="exact"/>
              <w:ind w:left="106"/>
              <w:rPr>
                <w:sz w:val="20"/>
                <w:szCs w:val="20"/>
              </w:rPr>
            </w:pPr>
            <w:r>
              <w:rPr>
                <w:i/>
                <w:iCs/>
                <w:spacing w:val="3"/>
                <w:position w:val="4"/>
                <w:sz w:val="20"/>
                <w:szCs w:val="20"/>
              </w:rPr>
              <w:t>Populus simonii</w:t>
            </w:r>
            <w:r>
              <w:rPr>
                <w:i/>
                <w:iCs/>
                <w:spacing w:val="32"/>
                <w:position w:val="4"/>
                <w:sz w:val="20"/>
                <w:szCs w:val="20"/>
              </w:rPr>
              <w:t xml:space="preserve"> </w:t>
            </w:r>
            <w:r>
              <w:rPr>
                <w:i/>
                <w:iCs/>
                <w:spacing w:val="3"/>
                <w:position w:val="4"/>
                <w:sz w:val="20"/>
                <w:szCs w:val="20"/>
              </w:rPr>
              <w:t>Carr.</w:t>
            </w:r>
          </w:p>
        </w:tc>
        <w:tc>
          <w:tcPr>
            <w:tcW w:w="1857" w:type="dxa"/>
            <w:tcBorders>
              <w:right w:val="nil"/>
            </w:tcBorders>
            <w:vAlign w:val="top"/>
          </w:tcPr>
          <w:p w14:paraId="6F7ACE06">
            <w:pPr>
              <w:pStyle w:val="6"/>
              <w:spacing w:before="179" w:line="252" w:lineRule="auto"/>
              <w:ind w:left="312" w:right="166" w:hanging="119"/>
              <w:rPr>
                <w:rFonts w:ascii="仿宋" w:hAnsi="仿宋" w:eastAsia="仿宋" w:cs="仿宋"/>
                <w:sz w:val="20"/>
                <w:szCs w:val="20"/>
              </w:rPr>
            </w:pPr>
            <w:r>
              <w:rPr>
                <w:rFonts w:ascii="仿宋" w:hAnsi="仿宋" w:eastAsia="仿宋" w:cs="仿宋"/>
                <w:spacing w:val="2"/>
                <w:sz w:val="20"/>
                <w:szCs w:val="20"/>
              </w:rPr>
              <w:t xml:space="preserve">区域人工 </w:t>
            </w:r>
            <w:r>
              <w:rPr>
                <w:spacing w:val="2"/>
                <w:sz w:val="20"/>
                <w:szCs w:val="20"/>
              </w:rPr>
              <w:t>/</w:t>
            </w:r>
            <w:r>
              <w:rPr>
                <w:spacing w:val="11"/>
                <w:sz w:val="20"/>
                <w:szCs w:val="20"/>
              </w:rPr>
              <w:t xml:space="preserve">  </w:t>
            </w:r>
            <w:r>
              <w:rPr>
                <w:rFonts w:ascii="仿宋" w:hAnsi="仿宋" w:eastAsia="仿宋" w:cs="仿宋"/>
                <w:spacing w:val="2"/>
                <w:sz w:val="20"/>
                <w:szCs w:val="20"/>
              </w:rPr>
              <w:t>散生</w:t>
            </w:r>
            <w:r>
              <w:rPr>
                <w:rFonts w:ascii="仿宋" w:hAnsi="仿宋" w:eastAsia="仿宋" w:cs="仿宋"/>
                <w:spacing w:val="6"/>
                <w:sz w:val="20"/>
                <w:szCs w:val="20"/>
              </w:rPr>
              <w:t>乔木伴生树种</w:t>
            </w:r>
          </w:p>
        </w:tc>
      </w:tr>
      <w:tr w14:paraId="0CB68C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625" w:type="dxa"/>
            <w:tcBorders>
              <w:left w:val="nil"/>
            </w:tcBorders>
            <w:vAlign w:val="top"/>
          </w:tcPr>
          <w:p w14:paraId="405E8625">
            <w:pPr>
              <w:pStyle w:val="6"/>
              <w:spacing w:before="219" w:line="195" w:lineRule="auto"/>
              <w:ind w:left="268"/>
              <w:rPr>
                <w:sz w:val="20"/>
                <w:szCs w:val="20"/>
              </w:rPr>
            </w:pPr>
            <w:r>
              <w:rPr>
                <w:sz w:val="20"/>
                <w:szCs w:val="20"/>
              </w:rPr>
              <w:t>9</w:t>
            </w:r>
          </w:p>
        </w:tc>
        <w:tc>
          <w:tcPr>
            <w:tcW w:w="1783" w:type="dxa"/>
            <w:vAlign w:val="top"/>
          </w:tcPr>
          <w:p w14:paraId="72A89007">
            <w:pPr>
              <w:spacing w:before="181" w:line="226" w:lineRule="auto"/>
              <w:ind w:left="588"/>
              <w:rPr>
                <w:rFonts w:ascii="仿宋" w:hAnsi="仿宋" w:eastAsia="仿宋" w:cs="仿宋"/>
                <w:sz w:val="20"/>
                <w:szCs w:val="20"/>
              </w:rPr>
            </w:pPr>
            <w:r>
              <w:rPr>
                <w:rFonts w:ascii="仿宋" w:hAnsi="仿宋" w:eastAsia="仿宋" w:cs="仿宋"/>
                <w:spacing w:val="4"/>
                <w:sz w:val="20"/>
                <w:szCs w:val="20"/>
              </w:rPr>
              <w:t>猪毛菜</w:t>
            </w:r>
          </w:p>
        </w:tc>
        <w:tc>
          <w:tcPr>
            <w:tcW w:w="995" w:type="dxa"/>
            <w:vAlign w:val="top"/>
          </w:tcPr>
          <w:p w14:paraId="1020A86E">
            <w:pPr>
              <w:spacing w:before="181" w:line="231" w:lineRule="auto"/>
              <w:ind w:left="301"/>
              <w:rPr>
                <w:rFonts w:ascii="仿宋" w:hAnsi="仿宋" w:eastAsia="仿宋" w:cs="仿宋"/>
                <w:sz w:val="20"/>
                <w:szCs w:val="20"/>
              </w:rPr>
            </w:pPr>
            <w:r>
              <w:rPr>
                <w:rFonts w:ascii="仿宋" w:hAnsi="仿宋" w:eastAsia="仿宋" w:cs="仿宋"/>
                <w:sz w:val="20"/>
                <w:szCs w:val="20"/>
              </w:rPr>
              <w:t>苋科</w:t>
            </w:r>
          </w:p>
        </w:tc>
        <w:tc>
          <w:tcPr>
            <w:tcW w:w="1065" w:type="dxa"/>
            <w:vAlign w:val="top"/>
          </w:tcPr>
          <w:p w14:paraId="1179EECA">
            <w:pPr>
              <w:spacing w:before="181" w:line="226" w:lineRule="auto"/>
              <w:ind w:left="124"/>
              <w:rPr>
                <w:rFonts w:ascii="仿宋" w:hAnsi="仿宋" w:eastAsia="仿宋" w:cs="仿宋"/>
                <w:sz w:val="20"/>
                <w:szCs w:val="20"/>
              </w:rPr>
            </w:pPr>
            <w:r>
              <w:rPr>
                <w:rFonts w:ascii="仿宋" w:hAnsi="仿宋" w:eastAsia="仿宋" w:cs="仿宋"/>
                <w:spacing w:val="5"/>
                <w:sz w:val="20"/>
                <w:szCs w:val="20"/>
              </w:rPr>
              <w:t>猪毛菜属</w:t>
            </w:r>
          </w:p>
        </w:tc>
        <w:tc>
          <w:tcPr>
            <w:tcW w:w="2103" w:type="dxa"/>
            <w:vAlign w:val="top"/>
          </w:tcPr>
          <w:p w14:paraId="35DC2D57">
            <w:pPr>
              <w:pStyle w:val="6"/>
              <w:spacing w:before="149" w:line="278" w:lineRule="exact"/>
              <w:ind w:left="194"/>
              <w:rPr>
                <w:sz w:val="20"/>
                <w:szCs w:val="20"/>
              </w:rPr>
            </w:pPr>
            <w:r>
              <w:rPr>
                <w:i/>
                <w:iCs/>
                <w:spacing w:val="3"/>
                <w:position w:val="2"/>
                <w:sz w:val="20"/>
                <w:szCs w:val="20"/>
              </w:rPr>
              <w:t>Salsola collina Pall.</w:t>
            </w:r>
          </w:p>
        </w:tc>
        <w:tc>
          <w:tcPr>
            <w:tcW w:w="1857" w:type="dxa"/>
            <w:tcBorders>
              <w:right w:val="nil"/>
            </w:tcBorders>
            <w:vAlign w:val="top"/>
          </w:tcPr>
          <w:p w14:paraId="27DE2277">
            <w:pPr>
              <w:spacing w:before="47" w:line="226" w:lineRule="auto"/>
              <w:ind w:left="221" w:right="108" w:hanging="98"/>
              <w:rPr>
                <w:rFonts w:ascii="仿宋" w:hAnsi="仿宋" w:eastAsia="仿宋" w:cs="仿宋"/>
                <w:sz w:val="20"/>
                <w:szCs w:val="20"/>
              </w:rPr>
            </w:pPr>
            <w:r>
              <w:rPr>
                <w:rFonts w:ascii="仿宋" w:hAnsi="仿宋" w:eastAsia="仿宋" w:cs="仿宋"/>
                <w:spacing w:val="2"/>
                <w:sz w:val="20"/>
                <w:szCs w:val="20"/>
              </w:rPr>
              <w:t>草地、裸地、扰动</w:t>
            </w:r>
            <w:r>
              <w:rPr>
                <w:rFonts w:ascii="仿宋" w:hAnsi="仿宋" w:eastAsia="仿宋" w:cs="仿宋"/>
                <w:spacing w:val="5"/>
                <w:sz w:val="20"/>
                <w:szCs w:val="20"/>
              </w:rPr>
              <w:t>区常见伴生草本</w:t>
            </w:r>
          </w:p>
        </w:tc>
      </w:tr>
      <w:tr w14:paraId="4D6352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625" w:type="dxa"/>
            <w:tcBorders>
              <w:left w:val="nil"/>
            </w:tcBorders>
            <w:vAlign w:val="top"/>
          </w:tcPr>
          <w:p w14:paraId="7BAA9F54">
            <w:pPr>
              <w:spacing w:line="254" w:lineRule="auto"/>
              <w:rPr>
                <w:rFonts w:ascii="Arial"/>
                <w:sz w:val="21"/>
              </w:rPr>
            </w:pPr>
          </w:p>
          <w:p w14:paraId="666C6690">
            <w:pPr>
              <w:pStyle w:val="6"/>
              <w:spacing w:before="57" w:line="195" w:lineRule="auto"/>
              <w:ind w:left="231"/>
              <w:rPr>
                <w:sz w:val="20"/>
                <w:szCs w:val="20"/>
              </w:rPr>
            </w:pPr>
            <w:r>
              <w:rPr>
                <w:spacing w:val="-8"/>
                <w:sz w:val="20"/>
                <w:szCs w:val="20"/>
              </w:rPr>
              <w:t>10</w:t>
            </w:r>
          </w:p>
        </w:tc>
        <w:tc>
          <w:tcPr>
            <w:tcW w:w="1783" w:type="dxa"/>
            <w:vAlign w:val="top"/>
          </w:tcPr>
          <w:p w14:paraId="05BFB006">
            <w:pPr>
              <w:spacing w:before="274" w:line="231" w:lineRule="auto"/>
              <w:ind w:left="482"/>
              <w:rPr>
                <w:rFonts w:ascii="仿宋" w:hAnsi="仿宋" w:eastAsia="仿宋" w:cs="仿宋"/>
                <w:sz w:val="20"/>
                <w:szCs w:val="20"/>
              </w:rPr>
            </w:pPr>
            <w:r>
              <w:rPr>
                <w:rFonts w:ascii="仿宋" w:hAnsi="仿宋" w:eastAsia="仿宋" w:cs="仿宋"/>
                <w:spacing w:val="5"/>
                <w:sz w:val="20"/>
                <w:szCs w:val="20"/>
              </w:rPr>
              <w:t>糙隐子草</w:t>
            </w:r>
          </w:p>
        </w:tc>
        <w:tc>
          <w:tcPr>
            <w:tcW w:w="995" w:type="dxa"/>
            <w:vAlign w:val="top"/>
          </w:tcPr>
          <w:p w14:paraId="1899908D">
            <w:pPr>
              <w:spacing w:before="274" w:line="231" w:lineRule="auto"/>
              <w:ind w:left="194"/>
              <w:rPr>
                <w:rFonts w:ascii="仿宋" w:hAnsi="仿宋" w:eastAsia="仿宋" w:cs="仿宋"/>
                <w:sz w:val="20"/>
                <w:szCs w:val="20"/>
              </w:rPr>
            </w:pPr>
            <w:r>
              <w:rPr>
                <w:rFonts w:ascii="仿宋" w:hAnsi="仿宋" w:eastAsia="仿宋" w:cs="仿宋"/>
                <w:spacing w:val="4"/>
                <w:sz w:val="20"/>
                <w:szCs w:val="20"/>
              </w:rPr>
              <w:t>禾本科</w:t>
            </w:r>
          </w:p>
        </w:tc>
        <w:tc>
          <w:tcPr>
            <w:tcW w:w="1065" w:type="dxa"/>
            <w:vAlign w:val="top"/>
          </w:tcPr>
          <w:p w14:paraId="518A703A">
            <w:pPr>
              <w:spacing w:before="274" w:line="231" w:lineRule="auto"/>
              <w:ind w:left="131"/>
              <w:rPr>
                <w:rFonts w:ascii="仿宋" w:hAnsi="仿宋" w:eastAsia="仿宋" w:cs="仿宋"/>
                <w:sz w:val="20"/>
                <w:szCs w:val="20"/>
              </w:rPr>
            </w:pPr>
            <w:r>
              <w:rPr>
                <w:rFonts w:ascii="仿宋" w:hAnsi="仿宋" w:eastAsia="仿宋" w:cs="仿宋"/>
                <w:spacing w:val="3"/>
                <w:sz w:val="20"/>
                <w:szCs w:val="20"/>
              </w:rPr>
              <w:t>隐子草属</w:t>
            </w:r>
          </w:p>
        </w:tc>
        <w:tc>
          <w:tcPr>
            <w:tcW w:w="2103" w:type="dxa"/>
            <w:vAlign w:val="top"/>
          </w:tcPr>
          <w:p w14:paraId="30FAAF3F">
            <w:pPr>
              <w:pStyle w:val="6"/>
              <w:spacing w:before="1" w:line="271" w:lineRule="auto"/>
              <w:ind w:left="318" w:right="320" w:firstLine="207"/>
              <w:rPr>
                <w:sz w:val="20"/>
                <w:szCs w:val="20"/>
              </w:rPr>
            </w:pPr>
            <w:r>
              <w:rPr>
                <w:i/>
                <w:iCs/>
                <w:spacing w:val="3"/>
                <w:sz w:val="20"/>
                <w:szCs w:val="20"/>
              </w:rPr>
              <w:t>Cleistogenes</w:t>
            </w:r>
            <w:r>
              <w:rPr>
                <w:i/>
                <w:iCs/>
                <w:sz w:val="20"/>
                <w:szCs w:val="20"/>
              </w:rPr>
              <w:t xml:space="preserve">   squarrosa</w:t>
            </w:r>
            <w:r>
              <w:rPr>
                <w:i/>
                <w:iCs/>
                <w:spacing w:val="17"/>
                <w:sz w:val="20"/>
                <w:szCs w:val="20"/>
              </w:rPr>
              <w:t xml:space="preserve"> (</w:t>
            </w:r>
            <w:r>
              <w:rPr>
                <w:i/>
                <w:iCs/>
                <w:sz w:val="20"/>
                <w:szCs w:val="20"/>
              </w:rPr>
              <w:t>Trin</w:t>
            </w:r>
            <w:r>
              <w:rPr>
                <w:i/>
                <w:iCs/>
                <w:spacing w:val="17"/>
                <w:sz w:val="20"/>
                <w:szCs w:val="20"/>
              </w:rPr>
              <w:t>.)</w:t>
            </w:r>
          </w:p>
          <w:p w14:paraId="23E0294B">
            <w:pPr>
              <w:pStyle w:val="6"/>
              <w:spacing w:before="34" w:line="169" w:lineRule="auto"/>
              <w:ind w:left="821"/>
              <w:rPr>
                <w:sz w:val="20"/>
                <w:szCs w:val="20"/>
              </w:rPr>
            </w:pPr>
            <w:r>
              <w:rPr>
                <w:i/>
                <w:iCs/>
                <w:spacing w:val="7"/>
                <w:sz w:val="20"/>
                <w:szCs w:val="20"/>
              </w:rPr>
              <w:t>Keng</w:t>
            </w:r>
          </w:p>
        </w:tc>
        <w:tc>
          <w:tcPr>
            <w:tcW w:w="1857" w:type="dxa"/>
            <w:tcBorders>
              <w:right w:val="nil"/>
            </w:tcBorders>
            <w:vAlign w:val="top"/>
          </w:tcPr>
          <w:p w14:paraId="6EC146CA">
            <w:pPr>
              <w:spacing w:before="139" w:line="251" w:lineRule="auto"/>
              <w:ind w:left="835" w:right="195" w:hanging="628"/>
              <w:rPr>
                <w:rFonts w:ascii="仿宋" w:hAnsi="仿宋" w:eastAsia="仿宋" w:cs="仿宋"/>
                <w:sz w:val="20"/>
                <w:szCs w:val="20"/>
              </w:rPr>
            </w:pPr>
            <w:r>
              <w:rPr>
                <w:rFonts w:ascii="仿宋" w:hAnsi="仿宋" w:eastAsia="仿宋" w:cs="仿宋"/>
                <w:spacing w:val="7"/>
                <w:sz w:val="20"/>
                <w:szCs w:val="20"/>
              </w:rPr>
              <w:t>草原广泛伴生草</w:t>
            </w:r>
            <w:r>
              <w:rPr>
                <w:rFonts w:ascii="仿宋" w:hAnsi="仿宋" w:eastAsia="仿宋" w:cs="仿宋"/>
                <w:sz w:val="20"/>
                <w:szCs w:val="20"/>
              </w:rPr>
              <w:t>本</w:t>
            </w:r>
          </w:p>
        </w:tc>
      </w:tr>
      <w:tr w14:paraId="1D51A1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625" w:type="dxa"/>
            <w:tcBorders>
              <w:left w:val="nil"/>
            </w:tcBorders>
            <w:vAlign w:val="top"/>
          </w:tcPr>
          <w:p w14:paraId="74E3226F">
            <w:pPr>
              <w:pStyle w:val="6"/>
              <w:spacing w:before="223" w:line="195" w:lineRule="auto"/>
              <w:ind w:left="231"/>
              <w:rPr>
                <w:sz w:val="20"/>
                <w:szCs w:val="20"/>
              </w:rPr>
            </w:pPr>
            <w:r>
              <w:rPr>
                <w:spacing w:val="-8"/>
                <w:sz w:val="20"/>
                <w:szCs w:val="20"/>
              </w:rPr>
              <w:t>11</w:t>
            </w:r>
          </w:p>
        </w:tc>
        <w:tc>
          <w:tcPr>
            <w:tcW w:w="1783" w:type="dxa"/>
            <w:vAlign w:val="top"/>
          </w:tcPr>
          <w:p w14:paraId="68AB3ACD">
            <w:pPr>
              <w:spacing w:before="187" w:line="231" w:lineRule="auto"/>
              <w:ind w:left="589"/>
              <w:rPr>
                <w:rFonts w:ascii="仿宋" w:hAnsi="仿宋" w:eastAsia="仿宋" w:cs="仿宋"/>
                <w:sz w:val="20"/>
                <w:szCs w:val="20"/>
              </w:rPr>
            </w:pPr>
            <w:r>
              <w:rPr>
                <w:rFonts w:ascii="仿宋" w:hAnsi="仿宋" w:eastAsia="仿宋" w:cs="仿宋"/>
                <w:spacing w:val="4"/>
                <w:sz w:val="20"/>
                <w:szCs w:val="20"/>
              </w:rPr>
              <w:t>铁杆蒿</w:t>
            </w:r>
          </w:p>
        </w:tc>
        <w:tc>
          <w:tcPr>
            <w:tcW w:w="995" w:type="dxa"/>
            <w:vAlign w:val="top"/>
          </w:tcPr>
          <w:p w14:paraId="283A14F3">
            <w:pPr>
              <w:spacing w:before="187" w:line="231" w:lineRule="auto"/>
              <w:ind w:left="306"/>
              <w:rPr>
                <w:rFonts w:ascii="仿宋" w:hAnsi="仿宋" w:eastAsia="仿宋" w:cs="仿宋"/>
                <w:sz w:val="20"/>
                <w:szCs w:val="20"/>
              </w:rPr>
            </w:pPr>
            <w:r>
              <w:rPr>
                <w:rFonts w:ascii="仿宋" w:hAnsi="仿宋" w:eastAsia="仿宋" w:cs="仿宋"/>
                <w:spacing w:val="-2"/>
                <w:sz w:val="20"/>
                <w:szCs w:val="20"/>
              </w:rPr>
              <w:t>菊科</w:t>
            </w:r>
          </w:p>
        </w:tc>
        <w:tc>
          <w:tcPr>
            <w:tcW w:w="1065" w:type="dxa"/>
            <w:vAlign w:val="top"/>
          </w:tcPr>
          <w:p w14:paraId="7A5F9AF9">
            <w:pPr>
              <w:spacing w:before="186" w:line="232" w:lineRule="auto"/>
              <w:ind w:left="344"/>
              <w:rPr>
                <w:rFonts w:ascii="仿宋" w:hAnsi="仿宋" w:eastAsia="仿宋" w:cs="仿宋"/>
                <w:sz w:val="20"/>
                <w:szCs w:val="20"/>
              </w:rPr>
            </w:pPr>
            <w:r>
              <w:rPr>
                <w:rFonts w:ascii="仿宋" w:hAnsi="仿宋" w:eastAsia="仿宋" w:cs="仿宋"/>
                <w:spacing w:val="-4"/>
                <w:sz w:val="20"/>
                <w:szCs w:val="20"/>
              </w:rPr>
              <w:t>蒿属</w:t>
            </w:r>
          </w:p>
        </w:tc>
        <w:tc>
          <w:tcPr>
            <w:tcW w:w="2103" w:type="dxa"/>
            <w:vAlign w:val="top"/>
          </w:tcPr>
          <w:p w14:paraId="0A2AFEB9">
            <w:pPr>
              <w:pStyle w:val="6"/>
              <w:spacing w:before="33" w:line="263" w:lineRule="auto"/>
              <w:ind w:left="413" w:right="272" w:hanging="153"/>
              <w:rPr>
                <w:sz w:val="20"/>
                <w:szCs w:val="20"/>
              </w:rPr>
            </w:pPr>
            <w:r>
              <w:rPr>
                <w:i/>
                <w:iCs/>
                <w:spacing w:val="4"/>
                <w:sz w:val="20"/>
                <w:szCs w:val="20"/>
              </w:rPr>
              <w:t>Artemisia gmelinii</w:t>
            </w:r>
            <w:r>
              <w:rPr>
                <w:i/>
                <w:iCs/>
                <w:spacing w:val="9"/>
                <w:sz w:val="20"/>
                <w:szCs w:val="20"/>
              </w:rPr>
              <w:t xml:space="preserve"> </w:t>
            </w:r>
            <w:r>
              <w:rPr>
                <w:i/>
                <w:iCs/>
                <w:spacing w:val="2"/>
                <w:sz w:val="20"/>
                <w:szCs w:val="20"/>
              </w:rPr>
              <w:t>Web. ex</w:t>
            </w:r>
            <w:r>
              <w:rPr>
                <w:i/>
                <w:iCs/>
                <w:spacing w:val="11"/>
                <w:sz w:val="20"/>
                <w:szCs w:val="20"/>
              </w:rPr>
              <w:t xml:space="preserve"> </w:t>
            </w:r>
            <w:r>
              <w:rPr>
                <w:i/>
                <w:iCs/>
                <w:spacing w:val="2"/>
                <w:sz w:val="20"/>
                <w:szCs w:val="20"/>
              </w:rPr>
              <w:t>Stechm</w:t>
            </w:r>
          </w:p>
        </w:tc>
        <w:tc>
          <w:tcPr>
            <w:tcW w:w="1857" w:type="dxa"/>
            <w:tcBorders>
              <w:right w:val="nil"/>
            </w:tcBorders>
            <w:vAlign w:val="top"/>
          </w:tcPr>
          <w:p w14:paraId="0618C2F9">
            <w:pPr>
              <w:spacing w:before="50" w:line="225" w:lineRule="auto"/>
              <w:ind w:left="310" w:right="108" w:hanging="190"/>
              <w:rPr>
                <w:rFonts w:ascii="仿宋" w:hAnsi="仿宋" w:eastAsia="仿宋" w:cs="仿宋"/>
                <w:sz w:val="20"/>
                <w:szCs w:val="20"/>
              </w:rPr>
            </w:pPr>
            <w:r>
              <w:rPr>
                <w:rFonts w:ascii="仿宋" w:hAnsi="仿宋" w:eastAsia="仿宋" w:cs="仿宋"/>
                <w:spacing w:val="3"/>
                <w:sz w:val="20"/>
                <w:szCs w:val="20"/>
              </w:rPr>
              <w:t>黄土丘陵草地、坡</w:t>
            </w:r>
            <w:r>
              <w:rPr>
                <w:rFonts w:ascii="仿宋" w:hAnsi="仿宋" w:eastAsia="仿宋" w:cs="仿宋"/>
                <w:spacing w:val="7"/>
                <w:sz w:val="20"/>
                <w:szCs w:val="20"/>
              </w:rPr>
              <w:t>地常见半灌木</w:t>
            </w:r>
          </w:p>
        </w:tc>
      </w:tr>
      <w:tr w14:paraId="1B1598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3" w:hRule="atLeast"/>
        </w:trPr>
        <w:tc>
          <w:tcPr>
            <w:tcW w:w="625" w:type="dxa"/>
            <w:tcBorders>
              <w:left w:val="nil"/>
              <w:bottom w:val="single" w:color="000000" w:sz="10" w:space="0"/>
            </w:tcBorders>
            <w:vAlign w:val="top"/>
          </w:tcPr>
          <w:p w14:paraId="35C12127">
            <w:pPr>
              <w:spacing w:line="302" w:lineRule="auto"/>
              <w:rPr>
                <w:rFonts w:ascii="Arial"/>
                <w:sz w:val="21"/>
              </w:rPr>
            </w:pPr>
          </w:p>
          <w:p w14:paraId="1D260EAD">
            <w:pPr>
              <w:pStyle w:val="6"/>
              <w:spacing w:before="57" w:line="195" w:lineRule="auto"/>
              <w:ind w:left="231"/>
              <w:rPr>
                <w:sz w:val="20"/>
                <w:szCs w:val="20"/>
              </w:rPr>
            </w:pPr>
            <w:r>
              <w:rPr>
                <w:spacing w:val="-8"/>
                <w:sz w:val="20"/>
                <w:szCs w:val="20"/>
              </w:rPr>
              <w:t>12</w:t>
            </w:r>
          </w:p>
        </w:tc>
        <w:tc>
          <w:tcPr>
            <w:tcW w:w="1783" w:type="dxa"/>
            <w:tcBorders>
              <w:bottom w:val="single" w:color="000000" w:sz="10" w:space="0"/>
            </w:tcBorders>
            <w:vAlign w:val="top"/>
          </w:tcPr>
          <w:p w14:paraId="4A21C7EC">
            <w:pPr>
              <w:spacing w:line="258" w:lineRule="auto"/>
              <w:rPr>
                <w:rFonts w:ascii="Arial"/>
                <w:sz w:val="21"/>
              </w:rPr>
            </w:pPr>
          </w:p>
          <w:p w14:paraId="33B6683C">
            <w:pPr>
              <w:spacing w:before="65" w:line="229" w:lineRule="auto"/>
              <w:ind w:left="480"/>
              <w:rPr>
                <w:rFonts w:ascii="仿宋" w:hAnsi="仿宋" w:eastAsia="仿宋" w:cs="仿宋"/>
                <w:sz w:val="20"/>
                <w:szCs w:val="20"/>
              </w:rPr>
            </w:pPr>
            <w:r>
              <w:rPr>
                <w:rFonts w:ascii="仿宋" w:hAnsi="仿宋" w:eastAsia="仿宋" w:cs="仿宋"/>
                <w:spacing w:val="6"/>
                <w:sz w:val="20"/>
                <w:szCs w:val="20"/>
              </w:rPr>
              <w:t>砂珍棘豆</w:t>
            </w:r>
          </w:p>
        </w:tc>
        <w:tc>
          <w:tcPr>
            <w:tcW w:w="995" w:type="dxa"/>
            <w:tcBorders>
              <w:bottom w:val="single" w:color="000000" w:sz="10" w:space="0"/>
            </w:tcBorders>
            <w:vAlign w:val="top"/>
          </w:tcPr>
          <w:p w14:paraId="28F8ACF5">
            <w:pPr>
              <w:spacing w:line="258" w:lineRule="auto"/>
              <w:rPr>
                <w:rFonts w:ascii="Arial"/>
                <w:sz w:val="21"/>
              </w:rPr>
            </w:pPr>
          </w:p>
          <w:p w14:paraId="5393C47B">
            <w:pPr>
              <w:spacing w:before="65" w:line="231" w:lineRule="auto"/>
              <w:ind w:left="299"/>
              <w:rPr>
                <w:rFonts w:ascii="仿宋" w:hAnsi="仿宋" w:eastAsia="仿宋" w:cs="仿宋"/>
                <w:sz w:val="20"/>
                <w:szCs w:val="20"/>
              </w:rPr>
            </w:pPr>
            <w:r>
              <w:rPr>
                <w:rFonts w:ascii="仿宋" w:hAnsi="仿宋" w:eastAsia="仿宋" w:cs="仿宋"/>
                <w:spacing w:val="2"/>
                <w:sz w:val="20"/>
                <w:szCs w:val="20"/>
              </w:rPr>
              <w:t>豆科</w:t>
            </w:r>
          </w:p>
        </w:tc>
        <w:tc>
          <w:tcPr>
            <w:tcW w:w="1065" w:type="dxa"/>
            <w:tcBorders>
              <w:bottom w:val="single" w:color="000000" w:sz="10" w:space="0"/>
            </w:tcBorders>
            <w:vAlign w:val="top"/>
          </w:tcPr>
          <w:p w14:paraId="1B85C195">
            <w:pPr>
              <w:spacing w:line="258" w:lineRule="auto"/>
              <w:rPr>
                <w:rFonts w:ascii="Arial"/>
                <w:sz w:val="21"/>
              </w:rPr>
            </w:pPr>
          </w:p>
          <w:p w14:paraId="79270E22">
            <w:pPr>
              <w:spacing w:before="65" w:line="229" w:lineRule="auto"/>
              <w:ind w:left="228"/>
              <w:rPr>
                <w:rFonts w:ascii="仿宋" w:hAnsi="仿宋" w:eastAsia="仿宋" w:cs="仿宋"/>
                <w:sz w:val="20"/>
                <w:szCs w:val="20"/>
              </w:rPr>
            </w:pPr>
            <w:r>
              <w:rPr>
                <w:rFonts w:ascii="仿宋" w:hAnsi="仿宋" w:eastAsia="仿宋" w:cs="仿宋"/>
                <w:spacing w:val="4"/>
                <w:sz w:val="20"/>
                <w:szCs w:val="20"/>
              </w:rPr>
              <w:t>棘豆属</w:t>
            </w:r>
          </w:p>
        </w:tc>
        <w:tc>
          <w:tcPr>
            <w:tcW w:w="2103" w:type="dxa"/>
            <w:tcBorders>
              <w:bottom w:val="single" w:color="000000" w:sz="10" w:space="0"/>
            </w:tcBorders>
            <w:vAlign w:val="top"/>
          </w:tcPr>
          <w:p w14:paraId="44951231">
            <w:pPr>
              <w:pStyle w:val="6"/>
              <w:spacing w:before="241" w:line="197" w:lineRule="auto"/>
              <w:ind w:left="213"/>
              <w:rPr>
                <w:sz w:val="20"/>
                <w:szCs w:val="20"/>
              </w:rPr>
            </w:pPr>
            <w:r>
              <w:rPr>
                <w:i/>
                <w:iCs/>
                <w:spacing w:val="3"/>
                <w:sz w:val="20"/>
                <w:szCs w:val="20"/>
              </w:rPr>
              <w:t>Oxytropis racemosa</w:t>
            </w:r>
          </w:p>
          <w:p w14:paraId="03C14F51">
            <w:pPr>
              <w:pStyle w:val="6"/>
              <w:spacing w:before="54" w:line="192" w:lineRule="auto"/>
              <w:ind w:left="798"/>
              <w:rPr>
                <w:sz w:val="20"/>
                <w:szCs w:val="20"/>
              </w:rPr>
            </w:pPr>
            <w:r>
              <w:rPr>
                <w:i/>
                <w:iCs/>
                <w:sz w:val="20"/>
                <w:szCs w:val="20"/>
              </w:rPr>
              <w:t>Turcz</w:t>
            </w:r>
            <w:r>
              <w:rPr>
                <w:i/>
                <w:iCs/>
                <w:spacing w:val="9"/>
                <w:sz w:val="20"/>
                <w:szCs w:val="20"/>
              </w:rPr>
              <w:t>.</w:t>
            </w:r>
          </w:p>
        </w:tc>
        <w:tc>
          <w:tcPr>
            <w:tcW w:w="1857" w:type="dxa"/>
            <w:tcBorders>
              <w:bottom w:val="single" w:color="000000" w:sz="10" w:space="0"/>
              <w:right w:val="nil"/>
            </w:tcBorders>
            <w:vAlign w:val="top"/>
          </w:tcPr>
          <w:p w14:paraId="3403ABAD">
            <w:pPr>
              <w:spacing w:before="54" w:line="231" w:lineRule="auto"/>
              <w:ind w:left="123"/>
              <w:rPr>
                <w:rFonts w:ascii="仿宋" w:hAnsi="仿宋" w:eastAsia="仿宋" w:cs="仿宋"/>
                <w:sz w:val="20"/>
                <w:szCs w:val="20"/>
              </w:rPr>
            </w:pPr>
            <w:r>
              <w:rPr>
                <w:rFonts w:ascii="仿宋" w:hAnsi="仿宋" w:eastAsia="仿宋" w:cs="仿宋"/>
                <w:spacing w:val="2"/>
                <w:sz w:val="20"/>
                <w:szCs w:val="20"/>
              </w:rPr>
              <w:t>沙质、黄土坡地草</w:t>
            </w:r>
          </w:p>
          <w:p w14:paraId="633BA76A">
            <w:pPr>
              <w:spacing w:before="21" w:line="230" w:lineRule="auto"/>
              <w:ind w:left="208"/>
              <w:rPr>
                <w:rFonts w:ascii="仿宋" w:hAnsi="仿宋" w:eastAsia="仿宋" w:cs="仿宋"/>
                <w:sz w:val="20"/>
                <w:szCs w:val="20"/>
              </w:rPr>
            </w:pPr>
            <w:r>
              <w:rPr>
                <w:rFonts w:ascii="仿宋" w:hAnsi="仿宋" w:eastAsia="仿宋" w:cs="仿宋"/>
                <w:spacing w:val="7"/>
                <w:sz w:val="20"/>
                <w:szCs w:val="20"/>
              </w:rPr>
              <w:t>原伴生灌木状草</w:t>
            </w:r>
          </w:p>
          <w:p w14:paraId="098079B9">
            <w:pPr>
              <w:spacing w:before="21" w:line="218" w:lineRule="auto"/>
              <w:ind w:left="836"/>
              <w:rPr>
                <w:rFonts w:ascii="仿宋" w:hAnsi="仿宋" w:eastAsia="仿宋" w:cs="仿宋"/>
                <w:sz w:val="20"/>
                <w:szCs w:val="20"/>
              </w:rPr>
            </w:pPr>
            <w:r>
              <w:rPr>
                <w:rFonts w:ascii="仿宋" w:hAnsi="仿宋" w:eastAsia="仿宋" w:cs="仿宋"/>
                <w:sz w:val="20"/>
                <w:szCs w:val="20"/>
              </w:rPr>
              <w:t>本</w:t>
            </w:r>
          </w:p>
        </w:tc>
      </w:tr>
    </w:tbl>
    <w:p w14:paraId="5354B55B">
      <w:pPr>
        <w:spacing w:before="35" w:line="222" w:lineRule="auto"/>
        <w:ind w:left="515"/>
        <w:rPr>
          <w:rFonts w:ascii="仿宋" w:hAnsi="仿宋" w:eastAsia="仿宋" w:cs="仿宋"/>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3</w:t>
      </w:r>
      <w:r>
        <w:rPr>
          <w:rFonts w:ascii="仿宋" w:hAnsi="仿宋" w:eastAsia="仿宋" w:cs="仿宋"/>
          <w:spacing w:val="-2"/>
          <w:sz w:val="24"/>
          <w:szCs w:val="24"/>
        </w:rPr>
        <w:t>）评价区植被类型现状调查</w:t>
      </w:r>
    </w:p>
    <w:p w14:paraId="7550BF51">
      <w:pPr>
        <w:spacing w:before="177" w:line="360" w:lineRule="auto"/>
        <w:ind w:left="24" w:firstLine="494"/>
        <w:jc w:val="both"/>
        <w:rPr>
          <w:rFonts w:ascii="仿宋" w:hAnsi="仿宋" w:eastAsia="仿宋" w:cs="仿宋"/>
          <w:sz w:val="24"/>
          <w:szCs w:val="24"/>
        </w:rPr>
      </w:pPr>
      <w:r>
        <w:rPr>
          <w:rFonts w:ascii="仿宋" w:hAnsi="仿宋" w:eastAsia="仿宋" w:cs="仿宋"/>
          <w:spacing w:val="-4"/>
          <w:sz w:val="24"/>
          <w:szCs w:val="24"/>
        </w:rPr>
        <w:t>为说明工程植被覆盖现状的具体数量，本项目评价采用遥感和地理信息系统</w:t>
      </w:r>
      <w:r>
        <w:rPr>
          <w:rFonts w:ascii="仿宋" w:hAnsi="仿宋" w:eastAsia="仿宋" w:cs="仿宋"/>
          <w:spacing w:val="11"/>
          <w:sz w:val="24"/>
          <w:szCs w:val="24"/>
        </w:rPr>
        <w:t>技术对生态评价范围内的植被类型现状进行了调查，评价区植被类型图见图</w:t>
      </w:r>
      <w:r>
        <w:rPr>
          <w:rFonts w:ascii="仿宋" w:hAnsi="仿宋" w:eastAsia="仿宋" w:cs="仿宋"/>
          <w:spacing w:val="6"/>
          <w:sz w:val="24"/>
          <w:szCs w:val="24"/>
        </w:rPr>
        <w:t xml:space="preserve"> </w:t>
      </w:r>
      <w:r>
        <w:rPr>
          <w:rFonts w:ascii="Times New Roman" w:hAnsi="Times New Roman" w:eastAsia="Times New Roman" w:cs="Times New Roman"/>
          <w:spacing w:val="-3"/>
          <w:sz w:val="24"/>
          <w:szCs w:val="24"/>
        </w:rPr>
        <w:t xml:space="preserve">3.2-21 </w:t>
      </w:r>
      <w:r>
        <w:rPr>
          <w:rFonts w:ascii="仿宋" w:hAnsi="仿宋" w:eastAsia="仿宋" w:cs="仿宋"/>
          <w:spacing w:val="-3"/>
          <w:sz w:val="24"/>
          <w:szCs w:val="24"/>
        </w:rPr>
        <w:t>至</w:t>
      </w:r>
      <w:r>
        <w:rPr>
          <w:rFonts w:ascii="Times New Roman" w:hAnsi="Times New Roman" w:eastAsia="Times New Roman" w:cs="Times New Roman"/>
          <w:spacing w:val="-3"/>
          <w:sz w:val="24"/>
          <w:szCs w:val="24"/>
        </w:rPr>
        <w:t>3.2-29</w:t>
      </w:r>
      <w:r>
        <w:rPr>
          <w:rFonts w:ascii="仿宋" w:hAnsi="仿宋" w:eastAsia="仿宋" w:cs="仿宋"/>
          <w:spacing w:val="-3"/>
          <w:sz w:val="24"/>
          <w:szCs w:val="24"/>
        </w:rPr>
        <w:t>，评价范围内和占地范围内植被类型调查结果见表</w:t>
      </w:r>
      <w:r>
        <w:rPr>
          <w:rFonts w:ascii="仿宋" w:hAnsi="仿宋" w:eastAsia="仿宋" w:cs="仿宋"/>
          <w:spacing w:val="-72"/>
          <w:sz w:val="24"/>
          <w:szCs w:val="24"/>
        </w:rPr>
        <w:t xml:space="preserve"> </w:t>
      </w:r>
      <w:r>
        <w:rPr>
          <w:rFonts w:ascii="Times New Roman" w:hAnsi="Times New Roman" w:eastAsia="Times New Roman" w:cs="Times New Roman"/>
          <w:spacing w:val="-3"/>
          <w:sz w:val="24"/>
          <w:szCs w:val="24"/>
        </w:rPr>
        <w:t xml:space="preserve">3.2-4 </w:t>
      </w:r>
      <w:r>
        <w:rPr>
          <w:rFonts w:ascii="仿宋" w:hAnsi="仿宋" w:eastAsia="仿宋" w:cs="仿宋"/>
          <w:spacing w:val="-3"/>
          <w:sz w:val="24"/>
          <w:szCs w:val="24"/>
        </w:rPr>
        <w:t>和表</w:t>
      </w:r>
      <w:r>
        <w:rPr>
          <w:rFonts w:ascii="Times New Roman" w:hAnsi="Times New Roman" w:eastAsia="Times New Roman" w:cs="Times New Roman"/>
          <w:spacing w:val="-3"/>
          <w:sz w:val="24"/>
          <w:szCs w:val="24"/>
        </w:rPr>
        <w:t>3.2-5</w:t>
      </w:r>
      <w:r>
        <w:rPr>
          <w:rFonts w:ascii="仿宋" w:hAnsi="仿宋" w:eastAsia="仿宋" w:cs="仿宋"/>
          <w:spacing w:val="-3"/>
          <w:sz w:val="24"/>
          <w:szCs w:val="24"/>
        </w:rPr>
        <w:t>。</w:t>
      </w:r>
    </w:p>
    <w:p w14:paraId="2A08FFD6">
      <w:pPr>
        <w:spacing w:line="360" w:lineRule="auto"/>
        <w:rPr>
          <w:rFonts w:ascii="仿宋" w:hAnsi="仿宋" w:eastAsia="仿宋" w:cs="仿宋"/>
          <w:sz w:val="24"/>
          <w:szCs w:val="24"/>
        </w:rPr>
        <w:sectPr>
          <w:footerReference r:id="rId247" w:type="default"/>
          <w:pgSz w:w="11906" w:h="16839"/>
          <w:pgMar w:top="400" w:right="1596" w:bottom="1511" w:left="1785" w:header="0" w:footer="1349" w:gutter="0"/>
          <w:cols w:space="720" w:num="1"/>
        </w:sectPr>
      </w:pPr>
    </w:p>
    <w:p w14:paraId="546E90A6">
      <w:pPr>
        <w:pStyle w:val="2"/>
        <w:spacing w:line="247" w:lineRule="auto"/>
        <w:rPr>
          <w:sz w:val="21"/>
        </w:rPr>
      </w:pPr>
    </w:p>
    <w:p w14:paraId="5695F7DF">
      <w:pPr>
        <w:pStyle w:val="2"/>
        <w:spacing w:line="247" w:lineRule="auto"/>
        <w:rPr>
          <w:sz w:val="21"/>
        </w:rPr>
      </w:pPr>
    </w:p>
    <w:p w14:paraId="5C680454">
      <w:pPr>
        <w:pStyle w:val="2"/>
        <w:spacing w:line="248" w:lineRule="auto"/>
        <w:rPr>
          <w:sz w:val="21"/>
        </w:rPr>
      </w:pPr>
    </w:p>
    <w:p w14:paraId="249FC377">
      <w:pPr>
        <w:pStyle w:val="2"/>
        <w:spacing w:line="248" w:lineRule="auto"/>
        <w:rPr>
          <w:sz w:val="21"/>
        </w:rPr>
      </w:pPr>
    </w:p>
    <w:p w14:paraId="2CF9C512">
      <w:pPr>
        <w:spacing w:before="78" w:line="218" w:lineRule="auto"/>
        <w:ind w:left="2062"/>
        <w:rPr>
          <w:rFonts w:ascii="宋体" w:hAnsi="宋体" w:eastAsia="宋体" w:cs="宋体"/>
          <w:sz w:val="24"/>
          <w:szCs w:val="24"/>
        </w:rPr>
      </w:pPr>
      <w:r>
        <w:rPr>
          <w:rFonts w:ascii="宋体" w:hAnsi="宋体" w:eastAsia="宋体" w:cs="宋体"/>
          <w:b/>
          <w:bCs/>
          <w:spacing w:val="-2"/>
          <w:sz w:val="24"/>
          <w:szCs w:val="24"/>
        </w:rPr>
        <w:t>表</w:t>
      </w:r>
      <w:r>
        <w:rPr>
          <w:rFonts w:ascii="宋体" w:hAnsi="宋体" w:eastAsia="宋体" w:cs="宋体"/>
          <w:spacing w:val="-48"/>
          <w:sz w:val="24"/>
          <w:szCs w:val="24"/>
        </w:rPr>
        <w:t xml:space="preserve"> </w:t>
      </w:r>
      <w:r>
        <w:rPr>
          <w:rFonts w:ascii="Times New Roman" w:hAnsi="Times New Roman" w:eastAsia="Times New Roman" w:cs="Times New Roman"/>
          <w:b/>
          <w:bCs/>
          <w:spacing w:val="-2"/>
          <w:sz w:val="24"/>
          <w:szCs w:val="24"/>
        </w:rPr>
        <w:t xml:space="preserve">3.2-4    </w:t>
      </w:r>
      <w:r>
        <w:rPr>
          <w:rFonts w:ascii="宋体" w:hAnsi="宋体" w:eastAsia="宋体" w:cs="宋体"/>
          <w:b/>
          <w:bCs/>
          <w:spacing w:val="-2"/>
          <w:sz w:val="24"/>
          <w:szCs w:val="24"/>
        </w:rPr>
        <w:t>评价区植被类型现状调查结果表</w:t>
      </w:r>
    </w:p>
    <w:p w14:paraId="7DE90487">
      <w:pPr>
        <w:spacing w:before="27"/>
      </w:pPr>
    </w:p>
    <w:tbl>
      <w:tblPr>
        <w:tblStyle w:val="5"/>
        <w:tblW w:w="851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61"/>
        <w:gridCol w:w="2264"/>
        <w:gridCol w:w="930"/>
        <w:gridCol w:w="1470"/>
        <w:gridCol w:w="2293"/>
      </w:tblGrid>
      <w:tr w14:paraId="59F785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1561" w:type="dxa"/>
            <w:tcBorders>
              <w:top w:val="single" w:color="000000" w:sz="10" w:space="0"/>
              <w:left w:val="nil"/>
            </w:tcBorders>
            <w:vAlign w:val="top"/>
          </w:tcPr>
          <w:p w14:paraId="1874CAFA">
            <w:pPr>
              <w:spacing w:before="162" w:line="231" w:lineRule="auto"/>
              <w:ind w:left="373"/>
              <w:rPr>
                <w:rFonts w:ascii="仿宋" w:hAnsi="仿宋" w:eastAsia="仿宋" w:cs="仿宋"/>
                <w:sz w:val="20"/>
                <w:szCs w:val="20"/>
              </w:rPr>
            </w:pPr>
            <w:r>
              <w:rPr>
                <w:rFonts w:ascii="仿宋" w:hAnsi="仿宋" w:eastAsia="仿宋" w:cs="仿宋"/>
                <w:spacing w:val="6"/>
                <w:sz w:val="20"/>
                <w:szCs w:val="20"/>
              </w:rPr>
              <w:t>植被类型</w:t>
            </w:r>
          </w:p>
        </w:tc>
        <w:tc>
          <w:tcPr>
            <w:tcW w:w="2264" w:type="dxa"/>
            <w:tcBorders>
              <w:top w:val="single" w:color="000000" w:sz="10" w:space="0"/>
            </w:tcBorders>
            <w:vAlign w:val="top"/>
          </w:tcPr>
          <w:p w14:paraId="0CB014CA">
            <w:pPr>
              <w:spacing w:before="162" w:line="231" w:lineRule="auto"/>
              <w:ind w:left="722"/>
              <w:rPr>
                <w:rFonts w:ascii="仿宋" w:hAnsi="仿宋" w:eastAsia="仿宋" w:cs="仿宋"/>
                <w:sz w:val="20"/>
                <w:szCs w:val="20"/>
              </w:rPr>
            </w:pPr>
            <w:r>
              <w:rPr>
                <w:rFonts w:ascii="仿宋" w:hAnsi="仿宋" w:eastAsia="仿宋" w:cs="仿宋"/>
                <w:spacing w:val="6"/>
                <w:sz w:val="20"/>
                <w:szCs w:val="20"/>
              </w:rPr>
              <w:t>群落类型</w:t>
            </w:r>
          </w:p>
        </w:tc>
        <w:tc>
          <w:tcPr>
            <w:tcW w:w="930" w:type="dxa"/>
            <w:tcBorders>
              <w:top w:val="single" w:color="000000" w:sz="10" w:space="0"/>
            </w:tcBorders>
            <w:vAlign w:val="top"/>
          </w:tcPr>
          <w:p w14:paraId="3CFB48E4">
            <w:pPr>
              <w:spacing w:before="161" w:line="232" w:lineRule="auto"/>
              <w:ind w:left="163"/>
              <w:rPr>
                <w:rFonts w:ascii="仿宋" w:hAnsi="仿宋" w:eastAsia="仿宋" w:cs="仿宋"/>
                <w:sz w:val="20"/>
                <w:szCs w:val="20"/>
              </w:rPr>
            </w:pPr>
            <w:r>
              <w:rPr>
                <w:rFonts w:ascii="仿宋" w:hAnsi="仿宋" w:eastAsia="仿宋" w:cs="仿宋"/>
                <w:spacing w:val="4"/>
                <w:sz w:val="20"/>
                <w:szCs w:val="20"/>
              </w:rPr>
              <w:t>斑块数</w:t>
            </w:r>
          </w:p>
        </w:tc>
        <w:tc>
          <w:tcPr>
            <w:tcW w:w="1470" w:type="dxa"/>
            <w:tcBorders>
              <w:top w:val="single" w:color="000000" w:sz="10" w:space="0"/>
            </w:tcBorders>
            <w:vAlign w:val="top"/>
          </w:tcPr>
          <w:p w14:paraId="4247274E">
            <w:pPr>
              <w:pStyle w:val="6"/>
              <w:spacing w:before="161" w:line="232" w:lineRule="auto"/>
              <w:ind w:left="163"/>
              <w:rPr>
                <w:rFonts w:ascii="仿宋" w:hAnsi="仿宋" w:eastAsia="仿宋" w:cs="仿宋"/>
                <w:sz w:val="20"/>
                <w:szCs w:val="20"/>
              </w:rPr>
            </w:pPr>
            <w:r>
              <w:rPr>
                <w:rFonts w:ascii="仿宋" w:hAnsi="仿宋" w:eastAsia="仿宋" w:cs="仿宋"/>
                <w:spacing w:val="5"/>
                <w:sz w:val="20"/>
                <w:szCs w:val="20"/>
              </w:rPr>
              <w:t>面积（</w:t>
            </w:r>
            <w:r>
              <w:rPr>
                <w:sz w:val="20"/>
                <w:szCs w:val="20"/>
              </w:rPr>
              <w:t>hm</w:t>
            </w:r>
            <w:r>
              <w:rPr>
                <w:spacing w:val="5"/>
                <w:sz w:val="13"/>
                <w:szCs w:val="13"/>
              </w:rPr>
              <w:t>2</w:t>
            </w:r>
            <w:r>
              <w:rPr>
                <w:rFonts w:ascii="仿宋" w:hAnsi="仿宋" w:eastAsia="仿宋" w:cs="仿宋"/>
                <w:spacing w:val="5"/>
                <w:sz w:val="20"/>
                <w:szCs w:val="20"/>
              </w:rPr>
              <w:t>）</w:t>
            </w:r>
          </w:p>
        </w:tc>
        <w:tc>
          <w:tcPr>
            <w:tcW w:w="2293" w:type="dxa"/>
            <w:tcBorders>
              <w:top w:val="single" w:color="000000" w:sz="10" w:space="0"/>
              <w:right w:val="nil"/>
            </w:tcBorders>
            <w:vAlign w:val="top"/>
          </w:tcPr>
          <w:p w14:paraId="09F9F35E">
            <w:pPr>
              <w:pStyle w:val="6"/>
              <w:spacing w:before="162" w:line="231" w:lineRule="auto"/>
              <w:ind w:left="266"/>
              <w:rPr>
                <w:rFonts w:ascii="仿宋" w:hAnsi="仿宋" w:eastAsia="仿宋" w:cs="仿宋"/>
                <w:sz w:val="20"/>
                <w:szCs w:val="20"/>
              </w:rPr>
            </w:pPr>
            <w:r>
              <w:rPr>
                <w:rFonts w:ascii="仿宋" w:hAnsi="仿宋" w:eastAsia="仿宋" w:cs="仿宋"/>
                <w:spacing w:val="3"/>
                <w:sz w:val="20"/>
                <w:szCs w:val="20"/>
              </w:rPr>
              <w:t>占评价区比例（</w:t>
            </w:r>
            <w:r>
              <w:rPr>
                <w:spacing w:val="3"/>
                <w:sz w:val="20"/>
                <w:szCs w:val="20"/>
              </w:rPr>
              <w:t>%</w:t>
            </w:r>
            <w:r>
              <w:rPr>
                <w:rFonts w:ascii="仿宋" w:hAnsi="仿宋" w:eastAsia="仿宋" w:cs="仿宋"/>
                <w:spacing w:val="3"/>
                <w:sz w:val="20"/>
                <w:szCs w:val="20"/>
              </w:rPr>
              <w:t>）</w:t>
            </w:r>
          </w:p>
        </w:tc>
      </w:tr>
      <w:tr w14:paraId="2E6987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561" w:type="dxa"/>
            <w:vMerge w:val="restart"/>
            <w:tcBorders>
              <w:left w:val="nil"/>
              <w:bottom w:val="nil"/>
            </w:tcBorders>
            <w:vAlign w:val="top"/>
          </w:tcPr>
          <w:p w14:paraId="78A78C2F">
            <w:pPr>
              <w:spacing w:before="191" w:line="230" w:lineRule="auto"/>
              <w:ind w:left="271"/>
              <w:rPr>
                <w:rFonts w:ascii="仿宋" w:hAnsi="仿宋" w:eastAsia="仿宋" w:cs="仿宋"/>
                <w:sz w:val="20"/>
                <w:szCs w:val="20"/>
              </w:rPr>
            </w:pPr>
            <w:r>
              <w:rPr>
                <w:rFonts w:ascii="仿宋" w:hAnsi="仿宋" w:eastAsia="仿宋" w:cs="仿宋"/>
                <w:spacing w:val="6"/>
                <w:sz w:val="20"/>
                <w:szCs w:val="20"/>
              </w:rPr>
              <w:t>乔木林植被</w:t>
            </w:r>
          </w:p>
        </w:tc>
        <w:tc>
          <w:tcPr>
            <w:tcW w:w="2264" w:type="dxa"/>
            <w:vAlign w:val="top"/>
          </w:tcPr>
          <w:p w14:paraId="20BCC64B">
            <w:pPr>
              <w:spacing w:before="35" w:line="213" w:lineRule="auto"/>
              <w:ind w:left="723"/>
              <w:rPr>
                <w:rFonts w:ascii="仿宋" w:hAnsi="仿宋" w:eastAsia="仿宋" w:cs="仿宋"/>
                <w:sz w:val="20"/>
                <w:szCs w:val="20"/>
              </w:rPr>
            </w:pPr>
            <w:r>
              <w:rPr>
                <w:rFonts w:ascii="仿宋" w:hAnsi="仿宋" w:eastAsia="仿宋" w:cs="仿宋"/>
                <w:spacing w:val="5"/>
                <w:sz w:val="20"/>
                <w:szCs w:val="20"/>
              </w:rPr>
              <w:t>杏树群落</w:t>
            </w:r>
          </w:p>
        </w:tc>
        <w:tc>
          <w:tcPr>
            <w:tcW w:w="930" w:type="dxa"/>
            <w:vAlign w:val="top"/>
          </w:tcPr>
          <w:p w14:paraId="3B968C8E">
            <w:pPr>
              <w:pStyle w:val="6"/>
              <w:spacing w:before="71" w:line="195" w:lineRule="auto"/>
              <w:ind w:left="329"/>
              <w:rPr>
                <w:sz w:val="20"/>
                <w:szCs w:val="20"/>
              </w:rPr>
            </w:pPr>
            <w:r>
              <w:rPr>
                <w:spacing w:val="-3"/>
                <w:sz w:val="20"/>
                <w:szCs w:val="20"/>
              </w:rPr>
              <w:t>153</w:t>
            </w:r>
          </w:p>
        </w:tc>
        <w:tc>
          <w:tcPr>
            <w:tcW w:w="1470" w:type="dxa"/>
            <w:vAlign w:val="top"/>
          </w:tcPr>
          <w:p w14:paraId="73255B3D">
            <w:pPr>
              <w:pStyle w:val="6"/>
              <w:spacing w:before="71" w:line="195" w:lineRule="auto"/>
              <w:ind w:left="467"/>
              <w:rPr>
                <w:sz w:val="20"/>
                <w:szCs w:val="20"/>
              </w:rPr>
            </w:pPr>
            <w:r>
              <w:rPr>
                <w:sz w:val="20"/>
                <w:szCs w:val="20"/>
              </w:rPr>
              <w:t>185.59</w:t>
            </w:r>
          </w:p>
        </w:tc>
        <w:tc>
          <w:tcPr>
            <w:tcW w:w="2293" w:type="dxa"/>
            <w:tcBorders>
              <w:right w:val="nil"/>
            </w:tcBorders>
            <w:vAlign w:val="top"/>
          </w:tcPr>
          <w:p w14:paraId="304E2C39">
            <w:pPr>
              <w:pStyle w:val="6"/>
              <w:spacing w:before="71" w:line="195" w:lineRule="auto"/>
              <w:ind w:left="845"/>
              <w:rPr>
                <w:sz w:val="20"/>
                <w:szCs w:val="20"/>
              </w:rPr>
            </w:pPr>
            <w:r>
              <w:rPr>
                <w:sz w:val="20"/>
                <w:szCs w:val="20"/>
              </w:rPr>
              <w:t>10.25%</w:t>
            </w:r>
          </w:p>
        </w:tc>
      </w:tr>
      <w:tr w14:paraId="5BA493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 w:hRule="atLeast"/>
        </w:trPr>
        <w:tc>
          <w:tcPr>
            <w:tcW w:w="1561" w:type="dxa"/>
            <w:vMerge w:val="continue"/>
            <w:tcBorders>
              <w:top w:val="nil"/>
              <w:left w:val="nil"/>
            </w:tcBorders>
            <w:vAlign w:val="top"/>
          </w:tcPr>
          <w:p w14:paraId="724BE02B">
            <w:pPr>
              <w:rPr>
                <w:rFonts w:ascii="Arial"/>
                <w:sz w:val="21"/>
              </w:rPr>
            </w:pPr>
          </w:p>
        </w:tc>
        <w:tc>
          <w:tcPr>
            <w:tcW w:w="2264" w:type="dxa"/>
            <w:vAlign w:val="top"/>
          </w:tcPr>
          <w:p w14:paraId="2014630B">
            <w:pPr>
              <w:spacing w:before="49" w:line="224" w:lineRule="auto"/>
              <w:ind w:left="722"/>
              <w:rPr>
                <w:rFonts w:ascii="仿宋" w:hAnsi="仿宋" w:eastAsia="仿宋" w:cs="仿宋"/>
                <w:sz w:val="20"/>
                <w:szCs w:val="20"/>
              </w:rPr>
            </w:pPr>
            <w:r>
              <w:rPr>
                <w:rFonts w:ascii="仿宋" w:hAnsi="仿宋" w:eastAsia="仿宋" w:cs="仿宋"/>
                <w:spacing w:val="6"/>
                <w:sz w:val="20"/>
                <w:szCs w:val="20"/>
              </w:rPr>
              <w:t>榆树群落</w:t>
            </w:r>
          </w:p>
        </w:tc>
        <w:tc>
          <w:tcPr>
            <w:tcW w:w="930" w:type="dxa"/>
            <w:vAlign w:val="top"/>
          </w:tcPr>
          <w:p w14:paraId="55DA7FB0">
            <w:pPr>
              <w:pStyle w:val="6"/>
              <w:spacing w:before="87" w:line="195" w:lineRule="auto"/>
              <w:ind w:left="366"/>
              <w:rPr>
                <w:sz w:val="20"/>
                <w:szCs w:val="20"/>
              </w:rPr>
            </w:pPr>
            <w:r>
              <w:rPr>
                <w:sz w:val="20"/>
                <w:szCs w:val="20"/>
              </w:rPr>
              <w:t>97</w:t>
            </w:r>
          </w:p>
        </w:tc>
        <w:tc>
          <w:tcPr>
            <w:tcW w:w="1470" w:type="dxa"/>
            <w:vAlign w:val="top"/>
          </w:tcPr>
          <w:p w14:paraId="5BFBEECC">
            <w:pPr>
              <w:pStyle w:val="6"/>
              <w:spacing w:before="87" w:line="195" w:lineRule="auto"/>
              <w:ind w:left="504"/>
              <w:rPr>
                <w:sz w:val="20"/>
                <w:szCs w:val="20"/>
              </w:rPr>
            </w:pPr>
            <w:r>
              <w:rPr>
                <w:spacing w:val="3"/>
                <w:sz w:val="20"/>
                <w:szCs w:val="20"/>
              </w:rPr>
              <w:t>93.30</w:t>
            </w:r>
          </w:p>
        </w:tc>
        <w:tc>
          <w:tcPr>
            <w:tcW w:w="2293" w:type="dxa"/>
            <w:tcBorders>
              <w:right w:val="nil"/>
            </w:tcBorders>
            <w:vAlign w:val="top"/>
          </w:tcPr>
          <w:p w14:paraId="6B059716">
            <w:pPr>
              <w:pStyle w:val="6"/>
              <w:spacing w:before="87" w:line="195" w:lineRule="auto"/>
              <w:ind w:left="884"/>
              <w:rPr>
                <w:sz w:val="20"/>
                <w:szCs w:val="20"/>
              </w:rPr>
            </w:pPr>
            <w:r>
              <w:rPr>
                <w:spacing w:val="-3"/>
                <w:sz w:val="20"/>
                <w:szCs w:val="20"/>
              </w:rPr>
              <w:t>5.</w:t>
            </w:r>
            <w:r>
              <w:rPr>
                <w:spacing w:val="-22"/>
                <w:sz w:val="20"/>
                <w:szCs w:val="20"/>
              </w:rPr>
              <w:t xml:space="preserve"> </w:t>
            </w:r>
            <w:r>
              <w:rPr>
                <w:spacing w:val="-3"/>
                <w:sz w:val="20"/>
                <w:szCs w:val="20"/>
              </w:rPr>
              <w:t>15%</w:t>
            </w:r>
          </w:p>
        </w:tc>
      </w:tr>
      <w:tr w14:paraId="3F0494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1561" w:type="dxa"/>
            <w:tcBorders>
              <w:left w:val="nil"/>
            </w:tcBorders>
            <w:vAlign w:val="top"/>
          </w:tcPr>
          <w:p w14:paraId="52D75C24">
            <w:pPr>
              <w:spacing w:before="39" w:line="208" w:lineRule="auto"/>
              <w:ind w:left="377"/>
              <w:rPr>
                <w:rFonts w:ascii="仿宋" w:hAnsi="仿宋" w:eastAsia="仿宋" w:cs="仿宋"/>
                <w:sz w:val="20"/>
                <w:szCs w:val="20"/>
              </w:rPr>
            </w:pPr>
            <w:r>
              <w:rPr>
                <w:rFonts w:ascii="仿宋" w:hAnsi="仿宋" w:eastAsia="仿宋" w:cs="仿宋"/>
                <w:spacing w:val="5"/>
                <w:sz w:val="20"/>
                <w:szCs w:val="20"/>
              </w:rPr>
              <w:t>灌丛植被</w:t>
            </w:r>
          </w:p>
        </w:tc>
        <w:tc>
          <w:tcPr>
            <w:tcW w:w="2264" w:type="dxa"/>
            <w:vAlign w:val="top"/>
          </w:tcPr>
          <w:p w14:paraId="28716A5E">
            <w:pPr>
              <w:spacing w:before="39" w:line="208" w:lineRule="auto"/>
              <w:ind w:left="408"/>
              <w:rPr>
                <w:rFonts w:ascii="仿宋" w:hAnsi="仿宋" w:eastAsia="仿宋" w:cs="仿宋"/>
                <w:sz w:val="20"/>
                <w:szCs w:val="20"/>
              </w:rPr>
            </w:pPr>
            <w:r>
              <w:rPr>
                <w:rFonts w:ascii="仿宋" w:hAnsi="仿宋" w:eastAsia="仿宋" w:cs="仿宋"/>
                <w:spacing w:val="7"/>
                <w:sz w:val="20"/>
                <w:szCs w:val="20"/>
              </w:rPr>
              <w:t>柠条锦鸡儿群落</w:t>
            </w:r>
          </w:p>
        </w:tc>
        <w:tc>
          <w:tcPr>
            <w:tcW w:w="930" w:type="dxa"/>
            <w:vAlign w:val="top"/>
          </w:tcPr>
          <w:p w14:paraId="69B11DAB">
            <w:pPr>
              <w:pStyle w:val="6"/>
              <w:spacing w:before="76" w:line="195" w:lineRule="auto"/>
              <w:ind w:left="329"/>
              <w:rPr>
                <w:sz w:val="20"/>
                <w:szCs w:val="20"/>
              </w:rPr>
            </w:pPr>
            <w:r>
              <w:rPr>
                <w:spacing w:val="-3"/>
                <w:sz w:val="20"/>
                <w:szCs w:val="20"/>
              </w:rPr>
              <w:t>144</w:t>
            </w:r>
          </w:p>
        </w:tc>
        <w:tc>
          <w:tcPr>
            <w:tcW w:w="1470" w:type="dxa"/>
            <w:vAlign w:val="top"/>
          </w:tcPr>
          <w:p w14:paraId="57A4986B">
            <w:pPr>
              <w:pStyle w:val="6"/>
              <w:spacing w:before="75" w:line="195" w:lineRule="auto"/>
              <w:ind w:left="447"/>
              <w:rPr>
                <w:sz w:val="20"/>
                <w:szCs w:val="20"/>
              </w:rPr>
            </w:pPr>
            <w:r>
              <w:rPr>
                <w:spacing w:val="3"/>
                <w:sz w:val="20"/>
                <w:szCs w:val="20"/>
              </w:rPr>
              <w:t>263.00</w:t>
            </w:r>
          </w:p>
        </w:tc>
        <w:tc>
          <w:tcPr>
            <w:tcW w:w="2293" w:type="dxa"/>
            <w:tcBorders>
              <w:right w:val="nil"/>
            </w:tcBorders>
            <w:vAlign w:val="top"/>
          </w:tcPr>
          <w:p w14:paraId="514ED0B4">
            <w:pPr>
              <w:pStyle w:val="6"/>
              <w:spacing w:before="75" w:line="195" w:lineRule="auto"/>
              <w:ind w:left="845"/>
              <w:rPr>
                <w:sz w:val="20"/>
                <w:szCs w:val="20"/>
              </w:rPr>
            </w:pPr>
            <w:r>
              <w:rPr>
                <w:sz w:val="20"/>
                <w:szCs w:val="20"/>
              </w:rPr>
              <w:t>14.53%</w:t>
            </w:r>
          </w:p>
        </w:tc>
      </w:tr>
      <w:tr w14:paraId="023F72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 w:hRule="atLeast"/>
        </w:trPr>
        <w:tc>
          <w:tcPr>
            <w:tcW w:w="1561" w:type="dxa"/>
            <w:vMerge w:val="restart"/>
            <w:tcBorders>
              <w:left w:val="nil"/>
              <w:bottom w:val="nil"/>
            </w:tcBorders>
            <w:vAlign w:val="top"/>
          </w:tcPr>
          <w:p w14:paraId="431171A2">
            <w:pPr>
              <w:spacing w:before="211" w:line="231" w:lineRule="auto"/>
              <w:ind w:left="377"/>
              <w:rPr>
                <w:rFonts w:ascii="仿宋" w:hAnsi="仿宋" w:eastAsia="仿宋" w:cs="仿宋"/>
                <w:sz w:val="20"/>
                <w:szCs w:val="20"/>
              </w:rPr>
            </w:pPr>
            <w:r>
              <w:rPr>
                <w:rFonts w:ascii="仿宋" w:hAnsi="仿宋" w:eastAsia="仿宋" w:cs="仿宋"/>
                <w:spacing w:val="5"/>
                <w:sz w:val="20"/>
                <w:szCs w:val="20"/>
              </w:rPr>
              <w:t>草地植被</w:t>
            </w:r>
          </w:p>
        </w:tc>
        <w:tc>
          <w:tcPr>
            <w:tcW w:w="2264" w:type="dxa"/>
            <w:vAlign w:val="top"/>
          </w:tcPr>
          <w:p w14:paraId="0A52FE50">
            <w:pPr>
              <w:pStyle w:val="6"/>
              <w:spacing w:before="54" w:line="219" w:lineRule="auto"/>
              <w:ind w:left="140"/>
              <w:rPr>
                <w:rFonts w:ascii="仿宋" w:hAnsi="仿宋" w:eastAsia="仿宋" w:cs="仿宋"/>
                <w:sz w:val="20"/>
                <w:szCs w:val="20"/>
              </w:rPr>
            </w:pPr>
            <w:r>
              <w:rPr>
                <w:rFonts w:ascii="仿宋" w:hAnsi="仿宋" w:eastAsia="仿宋" w:cs="仿宋"/>
                <w:spacing w:val="5"/>
                <w:sz w:val="20"/>
                <w:szCs w:val="20"/>
              </w:rPr>
              <w:t>本氏针茅</w:t>
            </w:r>
            <w:r>
              <w:rPr>
                <w:spacing w:val="5"/>
                <w:sz w:val="20"/>
                <w:szCs w:val="20"/>
              </w:rPr>
              <w:t>+</w:t>
            </w:r>
            <w:r>
              <w:rPr>
                <w:spacing w:val="-22"/>
                <w:sz w:val="20"/>
                <w:szCs w:val="20"/>
              </w:rPr>
              <w:t xml:space="preserve"> </w:t>
            </w:r>
            <w:r>
              <w:rPr>
                <w:rFonts w:ascii="仿宋" w:hAnsi="仿宋" w:eastAsia="仿宋" w:cs="仿宋"/>
                <w:spacing w:val="5"/>
                <w:sz w:val="20"/>
                <w:szCs w:val="20"/>
              </w:rPr>
              <w:t>百里香群落</w:t>
            </w:r>
          </w:p>
        </w:tc>
        <w:tc>
          <w:tcPr>
            <w:tcW w:w="930" w:type="dxa"/>
            <w:vAlign w:val="top"/>
          </w:tcPr>
          <w:p w14:paraId="45386E3D">
            <w:pPr>
              <w:pStyle w:val="6"/>
              <w:spacing w:before="91" w:line="195" w:lineRule="auto"/>
              <w:ind w:left="313"/>
              <w:rPr>
                <w:sz w:val="20"/>
                <w:szCs w:val="20"/>
              </w:rPr>
            </w:pPr>
            <w:r>
              <w:rPr>
                <w:spacing w:val="2"/>
                <w:sz w:val="20"/>
                <w:szCs w:val="20"/>
              </w:rPr>
              <w:t>339</w:t>
            </w:r>
          </w:p>
        </w:tc>
        <w:tc>
          <w:tcPr>
            <w:tcW w:w="1470" w:type="dxa"/>
            <w:vAlign w:val="top"/>
          </w:tcPr>
          <w:p w14:paraId="53FECAD9">
            <w:pPr>
              <w:pStyle w:val="6"/>
              <w:spacing w:before="91" w:line="195" w:lineRule="auto"/>
              <w:ind w:left="451"/>
              <w:rPr>
                <w:sz w:val="20"/>
                <w:szCs w:val="20"/>
              </w:rPr>
            </w:pPr>
            <w:r>
              <w:rPr>
                <w:spacing w:val="3"/>
                <w:sz w:val="20"/>
                <w:szCs w:val="20"/>
              </w:rPr>
              <w:t>363.51</w:t>
            </w:r>
          </w:p>
        </w:tc>
        <w:tc>
          <w:tcPr>
            <w:tcW w:w="2293" w:type="dxa"/>
            <w:tcBorders>
              <w:right w:val="nil"/>
            </w:tcBorders>
            <w:vAlign w:val="top"/>
          </w:tcPr>
          <w:p w14:paraId="283313E7">
            <w:pPr>
              <w:pStyle w:val="6"/>
              <w:spacing w:before="91" w:line="195" w:lineRule="auto"/>
              <w:ind w:left="825"/>
              <w:rPr>
                <w:sz w:val="20"/>
                <w:szCs w:val="20"/>
              </w:rPr>
            </w:pPr>
            <w:r>
              <w:rPr>
                <w:spacing w:val="4"/>
                <w:sz w:val="20"/>
                <w:szCs w:val="20"/>
              </w:rPr>
              <w:t>20.08%</w:t>
            </w:r>
          </w:p>
        </w:tc>
      </w:tr>
      <w:tr w14:paraId="0D4869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 w:hRule="atLeast"/>
        </w:trPr>
        <w:tc>
          <w:tcPr>
            <w:tcW w:w="1561" w:type="dxa"/>
            <w:vMerge w:val="continue"/>
            <w:tcBorders>
              <w:top w:val="nil"/>
              <w:left w:val="nil"/>
            </w:tcBorders>
            <w:vAlign w:val="top"/>
          </w:tcPr>
          <w:p w14:paraId="29BE55BC">
            <w:pPr>
              <w:rPr>
                <w:rFonts w:ascii="Arial"/>
                <w:sz w:val="21"/>
              </w:rPr>
            </w:pPr>
          </w:p>
        </w:tc>
        <w:tc>
          <w:tcPr>
            <w:tcW w:w="2264" w:type="dxa"/>
            <w:vAlign w:val="top"/>
          </w:tcPr>
          <w:p w14:paraId="4A6FCA34">
            <w:pPr>
              <w:pStyle w:val="6"/>
              <w:spacing w:before="57" w:line="216" w:lineRule="auto"/>
              <w:ind w:left="356"/>
              <w:rPr>
                <w:rFonts w:ascii="仿宋" w:hAnsi="仿宋" w:eastAsia="仿宋" w:cs="仿宋"/>
                <w:sz w:val="20"/>
                <w:szCs w:val="20"/>
              </w:rPr>
            </w:pPr>
            <w:r>
              <w:rPr>
                <w:rFonts w:ascii="仿宋" w:hAnsi="仿宋" w:eastAsia="仿宋" w:cs="仿宋"/>
                <w:spacing w:val="6"/>
                <w:sz w:val="20"/>
                <w:szCs w:val="20"/>
              </w:rPr>
              <w:t>羊草</w:t>
            </w:r>
            <w:r>
              <w:rPr>
                <w:spacing w:val="6"/>
                <w:sz w:val="20"/>
                <w:szCs w:val="20"/>
              </w:rPr>
              <w:t>+</w:t>
            </w:r>
            <w:r>
              <w:rPr>
                <w:rFonts w:ascii="仿宋" w:hAnsi="仿宋" w:eastAsia="仿宋" w:cs="仿宋"/>
                <w:spacing w:val="6"/>
                <w:sz w:val="20"/>
                <w:szCs w:val="20"/>
              </w:rPr>
              <w:t>杂类草群落</w:t>
            </w:r>
          </w:p>
        </w:tc>
        <w:tc>
          <w:tcPr>
            <w:tcW w:w="930" w:type="dxa"/>
            <w:vAlign w:val="top"/>
          </w:tcPr>
          <w:p w14:paraId="6B20A8C7">
            <w:pPr>
              <w:pStyle w:val="6"/>
              <w:spacing w:before="96" w:line="195" w:lineRule="auto"/>
              <w:ind w:left="329"/>
              <w:rPr>
                <w:sz w:val="20"/>
                <w:szCs w:val="20"/>
              </w:rPr>
            </w:pPr>
            <w:r>
              <w:rPr>
                <w:spacing w:val="-3"/>
                <w:sz w:val="20"/>
                <w:szCs w:val="20"/>
              </w:rPr>
              <w:t>133</w:t>
            </w:r>
          </w:p>
        </w:tc>
        <w:tc>
          <w:tcPr>
            <w:tcW w:w="1470" w:type="dxa"/>
            <w:vAlign w:val="top"/>
          </w:tcPr>
          <w:p w14:paraId="16358FE1">
            <w:pPr>
              <w:pStyle w:val="6"/>
              <w:spacing w:before="96" w:line="195" w:lineRule="auto"/>
              <w:ind w:left="447"/>
              <w:rPr>
                <w:sz w:val="20"/>
                <w:szCs w:val="20"/>
              </w:rPr>
            </w:pPr>
            <w:r>
              <w:rPr>
                <w:spacing w:val="3"/>
                <w:sz w:val="20"/>
                <w:szCs w:val="20"/>
              </w:rPr>
              <w:t>272.46</w:t>
            </w:r>
          </w:p>
        </w:tc>
        <w:tc>
          <w:tcPr>
            <w:tcW w:w="2293" w:type="dxa"/>
            <w:tcBorders>
              <w:right w:val="nil"/>
            </w:tcBorders>
            <w:vAlign w:val="top"/>
          </w:tcPr>
          <w:p w14:paraId="5A7A700C">
            <w:pPr>
              <w:pStyle w:val="6"/>
              <w:spacing w:before="96" w:line="195" w:lineRule="auto"/>
              <w:ind w:left="845"/>
              <w:rPr>
                <w:sz w:val="20"/>
                <w:szCs w:val="20"/>
              </w:rPr>
            </w:pPr>
            <w:r>
              <w:rPr>
                <w:sz w:val="20"/>
                <w:szCs w:val="20"/>
              </w:rPr>
              <w:t>15.05%</w:t>
            </w:r>
          </w:p>
        </w:tc>
      </w:tr>
      <w:tr w14:paraId="62C38E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1561" w:type="dxa"/>
            <w:tcBorders>
              <w:left w:val="nil"/>
            </w:tcBorders>
            <w:vAlign w:val="top"/>
          </w:tcPr>
          <w:p w14:paraId="12E19EF7">
            <w:pPr>
              <w:spacing w:before="48" w:line="200" w:lineRule="auto"/>
              <w:ind w:left="375"/>
              <w:rPr>
                <w:rFonts w:ascii="仿宋" w:hAnsi="仿宋" w:eastAsia="仿宋" w:cs="仿宋"/>
                <w:sz w:val="20"/>
                <w:szCs w:val="20"/>
              </w:rPr>
            </w:pPr>
            <w:r>
              <w:rPr>
                <w:rFonts w:ascii="仿宋" w:hAnsi="仿宋" w:eastAsia="仿宋" w:cs="仿宋"/>
                <w:spacing w:val="5"/>
                <w:sz w:val="20"/>
                <w:szCs w:val="20"/>
              </w:rPr>
              <w:t>滩涂植被</w:t>
            </w:r>
          </w:p>
        </w:tc>
        <w:tc>
          <w:tcPr>
            <w:tcW w:w="2264" w:type="dxa"/>
            <w:vAlign w:val="top"/>
          </w:tcPr>
          <w:p w14:paraId="73773A81">
            <w:pPr>
              <w:spacing w:before="48" w:line="200" w:lineRule="auto"/>
              <w:ind w:left="621"/>
              <w:rPr>
                <w:rFonts w:ascii="仿宋" w:hAnsi="仿宋" w:eastAsia="仿宋" w:cs="仿宋"/>
                <w:sz w:val="20"/>
                <w:szCs w:val="20"/>
              </w:rPr>
            </w:pPr>
            <w:r>
              <w:rPr>
                <w:rFonts w:ascii="仿宋" w:hAnsi="仿宋" w:eastAsia="仿宋" w:cs="仿宋"/>
                <w:spacing w:val="6"/>
                <w:sz w:val="20"/>
                <w:szCs w:val="20"/>
              </w:rPr>
              <w:t>芨芨草群落</w:t>
            </w:r>
          </w:p>
        </w:tc>
        <w:tc>
          <w:tcPr>
            <w:tcW w:w="930" w:type="dxa"/>
            <w:vAlign w:val="top"/>
          </w:tcPr>
          <w:p w14:paraId="3F4E624B">
            <w:pPr>
              <w:pStyle w:val="6"/>
              <w:spacing w:before="84" w:line="188" w:lineRule="auto"/>
              <w:ind w:left="415"/>
              <w:rPr>
                <w:sz w:val="20"/>
                <w:szCs w:val="20"/>
              </w:rPr>
            </w:pPr>
            <w:r>
              <w:rPr>
                <w:sz w:val="20"/>
                <w:szCs w:val="20"/>
              </w:rPr>
              <w:t>2</w:t>
            </w:r>
          </w:p>
        </w:tc>
        <w:tc>
          <w:tcPr>
            <w:tcW w:w="1470" w:type="dxa"/>
            <w:vAlign w:val="top"/>
          </w:tcPr>
          <w:p w14:paraId="7F7B4778">
            <w:pPr>
              <w:pStyle w:val="6"/>
              <w:spacing w:before="84" w:line="188" w:lineRule="auto"/>
              <w:ind w:left="553"/>
              <w:rPr>
                <w:sz w:val="20"/>
                <w:szCs w:val="20"/>
              </w:rPr>
            </w:pPr>
            <w:r>
              <w:rPr>
                <w:spacing w:val="3"/>
                <w:sz w:val="20"/>
                <w:szCs w:val="20"/>
              </w:rPr>
              <w:t>2.39</w:t>
            </w:r>
          </w:p>
        </w:tc>
        <w:tc>
          <w:tcPr>
            <w:tcW w:w="2293" w:type="dxa"/>
            <w:tcBorders>
              <w:right w:val="nil"/>
            </w:tcBorders>
            <w:vAlign w:val="top"/>
          </w:tcPr>
          <w:p w14:paraId="04150CAB">
            <w:pPr>
              <w:pStyle w:val="6"/>
              <w:spacing w:before="84" w:line="188" w:lineRule="auto"/>
              <w:ind w:left="881"/>
              <w:rPr>
                <w:sz w:val="20"/>
                <w:szCs w:val="20"/>
              </w:rPr>
            </w:pPr>
            <w:r>
              <w:rPr>
                <w:spacing w:val="-2"/>
                <w:sz w:val="20"/>
                <w:szCs w:val="20"/>
              </w:rPr>
              <w:t>0.</w:t>
            </w:r>
            <w:r>
              <w:rPr>
                <w:spacing w:val="-24"/>
                <w:sz w:val="20"/>
                <w:szCs w:val="20"/>
              </w:rPr>
              <w:t xml:space="preserve"> </w:t>
            </w:r>
            <w:r>
              <w:rPr>
                <w:spacing w:val="-2"/>
                <w:sz w:val="20"/>
                <w:szCs w:val="20"/>
              </w:rPr>
              <w:t>13%</w:t>
            </w:r>
          </w:p>
        </w:tc>
      </w:tr>
      <w:tr w14:paraId="40ACFE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3" w:hRule="atLeast"/>
        </w:trPr>
        <w:tc>
          <w:tcPr>
            <w:tcW w:w="1561" w:type="dxa"/>
            <w:tcBorders>
              <w:left w:val="nil"/>
            </w:tcBorders>
            <w:vAlign w:val="top"/>
          </w:tcPr>
          <w:p w14:paraId="42F8CB6E">
            <w:pPr>
              <w:spacing w:before="63" w:line="212" w:lineRule="auto"/>
              <w:ind w:left="582"/>
              <w:rPr>
                <w:rFonts w:ascii="仿宋" w:hAnsi="仿宋" w:eastAsia="仿宋" w:cs="仿宋"/>
                <w:sz w:val="20"/>
                <w:szCs w:val="20"/>
              </w:rPr>
            </w:pPr>
            <w:r>
              <w:rPr>
                <w:rFonts w:ascii="仿宋" w:hAnsi="仿宋" w:eastAsia="仿宋" w:cs="仿宋"/>
                <w:spacing w:val="2"/>
                <w:sz w:val="20"/>
                <w:szCs w:val="20"/>
              </w:rPr>
              <w:t>耕地</w:t>
            </w:r>
          </w:p>
        </w:tc>
        <w:tc>
          <w:tcPr>
            <w:tcW w:w="2264" w:type="dxa"/>
            <w:vAlign w:val="top"/>
          </w:tcPr>
          <w:p w14:paraId="35740EAB">
            <w:pPr>
              <w:spacing w:before="63" w:line="212" w:lineRule="auto"/>
              <w:ind w:left="723"/>
              <w:rPr>
                <w:rFonts w:ascii="仿宋" w:hAnsi="仿宋" w:eastAsia="仿宋" w:cs="仿宋"/>
                <w:sz w:val="20"/>
                <w:szCs w:val="20"/>
              </w:rPr>
            </w:pPr>
            <w:r>
              <w:rPr>
                <w:rFonts w:ascii="仿宋" w:hAnsi="仿宋" w:eastAsia="仿宋" w:cs="仿宋"/>
                <w:spacing w:val="5"/>
                <w:sz w:val="20"/>
                <w:szCs w:val="20"/>
              </w:rPr>
              <w:t>农田植被</w:t>
            </w:r>
          </w:p>
        </w:tc>
        <w:tc>
          <w:tcPr>
            <w:tcW w:w="930" w:type="dxa"/>
            <w:vAlign w:val="top"/>
          </w:tcPr>
          <w:p w14:paraId="2D5AC811">
            <w:pPr>
              <w:pStyle w:val="6"/>
              <w:spacing w:before="101" w:line="195" w:lineRule="auto"/>
              <w:ind w:left="313"/>
              <w:rPr>
                <w:sz w:val="20"/>
                <w:szCs w:val="20"/>
              </w:rPr>
            </w:pPr>
            <w:r>
              <w:rPr>
                <w:spacing w:val="2"/>
                <w:sz w:val="20"/>
                <w:szCs w:val="20"/>
              </w:rPr>
              <w:t>333</w:t>
            </w:r>
          </w:p>
        </w:tc>
        <w:tc>
          <w:tcPr>
            <w:tcW w:w="1470" w:type="dxa"/>
            <w:vAlign w:val="top"/>
          </w:tcPr>
          <w:p w14:paraId="6947DC7E">
            <w:pPr>
              <w:pStyle w:val="6"/>
              <w:spacing w:before="101" w:line="195" w:lineRule="auto"/>
              <w:ind w:left="453"/>
              <w:rPr>
                <w:sz w:val="20"/>
                <w:szCs w:val="20"/>
              </w:rPr>
            </w:pPr>
            <w:r>
              <w:rPr>
                <w:spacing w:val="2"/>
                <w:sz w:val="20"/>
                <w:szCs w:val="20"/>
              </w:rPr>
              <w:t>532.57</w:t>
            </w:r>
          </w:p>
        </w:tc>
        <w:tc>
          <w:tcPr>
            <w:tcW w:w="2293" w:type="dxa"/>
            <w:tcBorders>
              <w:right w:val="nil"/>
            </w:tcBorders>
            <w:vAlign w:val="top"/>
          </w:tcPr>
          <w:p w14:paraId="72769652">
            <w:pPr>
              <w:pStyle w:val="6"/>
              <w:spacing w:before="101" w:line="195" w:lineRule="auto"/>
              <w:ind w:left="825"/>
              <w:rPr>
                <w:sz w:val="20"/>
                <w:szCs w:val="20"/>
              </w:rPr>
            </w:pPr>
            <w:r>
              <w:rPr>
                <w:spacing w:val="4"/>
                <w:sz w:val="20"/>
                <w:szCs w:val="20"/>
              </w:rPr>
              <w:t>29.41%</w:t>
            </w:r>
          </w:p>
        </w:tc>
      </w:tr>
      <w:tr w14:paraId="5889F1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3825" w:type="dxa"/>
            <w:gridSpan w:val="2"/>
            <w:tcBorders>
              <w:left w:val="nil"/>
            </w:tcBorders>
            <w:vAlign w:val="top"/>
          </w:tcPr>
          <w:p w14:paraId="6D3CAE29">
            <w:pPr>
              <w:spacing w:before="53" w:line="196" w:lineRule="auto"/>
              <w:ind w:left="1614"/>
              <w:rPr>
                <w:rFonts w:ascii="仿宋" w:hAnsi="仿宋" w:eastAsia="仿宋" w:cs="仿宋"/>
                <w:sz w:val="20"/>
                <w:szCs w:val="20"/>
              </w:rPr>
            </w:pPr>
            <w:r>
              <w:rPr>
                <w:rFonts w:ascii="仿宋" w:hAnsi="仿宋" w:eastAsia="仿宋" w:cs="仿宋"/>
                <w:spacing w:val="4"/>
                <w:sz w:val="20"/>
                <w:szCs w:val="20"/>
              </w:rPr>
              <w:t>无植被</w:t>
            </w:r>
          </w:p>
        </w:tc>
        <w:tc>
          <w:tcPr>
            <w:tcW w:w="930" w:type="dxa"/>
            <w:vAlign w:val="top"/>
          </w:tcPr>
          <w:p w14:paraId="0444B40A">
            <w:pPr>
              <w:pStyle w:val="6"/>
              <w:spacing w:before="89" w:line="184" w:lineRule="auto"/>
              <w:ind w:left="313"/>
              <w:rPr>
                <w:sz w:val="20"/>
                <w:szCs w:val="20"/>
              </w:rPr>
            </w:pPr>
            <w:r>
              <w:rPr>
                <w:spacing w:val="2"/>
                <w:sz w:val="20"/>
                <w:szCs w:val="20"/>
              </w:rPr>
              <w:t>330</w:t>
            </w:r>
          </w:p>
        </w:tc>
        <w:tc>
          <w:tcPr>
            <w:tcW w:w="1470" w:type="dxa"/>
            <w:vAlign w:val="top"/>
          </w:tcPr>
          <w:p w14:paraId="2A8978C0">
            <w:pPr>
              <w:pStyle w:val="6"/>
              <w:spacing w:before="89" w:line="184" w:lineRule="auto"/>
              <w:ind w:left="504"/>
              <w:rPr>
                <w:sz w:val="20"/>
                <w:szCs w:val="20"/>
              </w:rPr>
            </w:pPr>
            <w:r>
              <w:rPr>
                <w:spacing w:val="3"/>
                <w:sz w:val="20"/>
                <w:szCs w:val="20"/>
              </w:rPr>
              <w:t>97.79</w:t>
            </w:r>
          </w:p>
        </w:tc>
        <w:tc>
          <w:tcPr>
            <w:tcW w:w="2293" w:type="dxa"/>
            <w:tcBorders>
              <w:right w:val="nil"/>
            </w:tcBorders>
            <w:vAlign w:val="top"/>
          </w:tcPr>
          <w:p w14:paraId="696B3A84">
            <w:pPr>
              <w:pStyle w:val="6"/>
              <w:spacing w:before="89" w:line="184" w:lineRule="auto"/>
              <w:ind w:left="884"/>
              <w:rPr>
                <w:sz w:val="20"/>
                <w:szCs w:val="20"/>
              </w:rPr>
            </w:pPr>
            <w:r>
              <w:rPr>
                <w:spacing w:val="2"/>
                <w:sz w:val="20"/>
                <w:szCs w:val="20"/>
              </w:rPr>
              <w:t>5.40%</w:t>
            </w:r>
          </w:p>
        </w:tc>
      </w:tr>
      <w:tr w14:paraId="0AEBDB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9" w:hRule="atLeast"/>
        </w:trPr>
        <w:tc>
          <w:tcPr>
            <w:tcW w:w="1561" w:type="dxa"/>
            <w:tcBorders>
              <w:left w:val="nil"/>
              <w:bottom w:val="single" w:color="000000" w:sz="10" w:space="0"/>
            </w:tcBorders>
            <w:vAlign w:val="top"/>
          </w:tcPr>
          <w:p w14:paraId="4125234A">
            <w:pPr>
              <w:spacing w:before="55" w:line="216" w:lineRule="auto"/>
              <w:ind w:left="591"/>
              <w:rPr>
                <w:rFonts w:ascii="仿宋" w:hAnsi="仿宋" w:eastAsia="仿宋" w:cs="仿宋"/>
                <w:sz w:val="20"/>
                <w:szCs w:val="20"/>
              </w:rPr>
            </w:pPr>
            <w:r>
              <w:rPr>
                <w:rFonts w:ascii="仿宋" w:hAnsi="仿宋" w:eastAsia="仿宋" w:cs="仿宋"/>
                <w:spacing w:val="-3"/>
                <w:sz w:val="20"/>
                <w:szCs w:val="20"/>
              </w:rPr>
              <w:t>总计</w:t>
            </w:r>
          </w:p>
        </w:tc>
        <w:tc>
          <w:tcPr>
            <w:tcW w:w="2264" w:type="dxa"/>
            <w:tcBorders>
              <w:bottom w:val="single" w:color="000000" w:sz="10" w:space="0"/>
            </w:tcBorders>
            <w:vAlign w:val="top"/>
          </w:tcPr>
          <w:p w14:paraId="62B42994">
            <w:pPr>
              <w:rPr>
                <w:rFonts w:ascii="Arial"/>
                <w:sz w:val="21"/>
              </w:rPr>
            </w:pPr>
          </w:p>
        </w:tc>
        <w:tc>
          <w:tcPr>
            <w:tcW w:w="930" w:type="dxa"/>
            <w:tcBorders>
              <w:bottom w:val="single" w:color="000000" w:sz="10" w:space="0"/>
            </w:tcBorders>
            <w:vAlign w:val="top"/>
          </w:tcPr>
          <w:p w14:paraId="265A9673">
            <w:pPr>
              <w:pStyle w:val="6"/>
              <w:spacing w:before="91" w:line="195" w:lineRule="auto"/>
              <w:ind w:left="276"/>
              <w:rPr>
                <w:sz w:val="20"/>
                <w:szCs w:val="20"/>
              </w:rPr>
            </w:pPr>
            <w:r>
              <w:rPr>
                <w:spacing w:val="-1"/>
                <w:sz w:val="20"/>
                <w:szCs w:val="20"/>
              </w:rPr>
              <w:t>1531</w:t>
            </w:r>
          </w:p>
        </w:tc>
        <w:tc>
          <w:tcPr>
            <w:tcW w:w="1470" w:type="dxa"/>
            <w:tcBorders>
              <w:bottom w:val="single" w:color="000000" w:sz="10" w:space="0"/>
            </w:tcBorders>
            <w:vAlign w:val="top"/>
          </w:tcPr>
          <w:p w14:paraId="595946D9">
            <w:pPr>
              <w:pStyle w:val="6"/>
              <w:spacing w:before="91" w:line="195" w:lineRule="auto"/>
              <w:ind w:left="414"/>
              <w:rPr>
                <w:sz w:val="20"/>
                <w:szCs w:val="20"/>
              </w:rPr>
            </w:pPr>
            <w:r>
              <w:rPr>
                <w:spacing w:val="1"/>
                <w:sz w:val="20"/>
                <w:szCs w:val="20"/>
              </w:rPr>
              <w:t>1810.61</w:t>
            </w:r>
          </w:p>
        </w:tc>
        <w:tc>
          <w:tcPr>
            <w:tcW w:w="2293" w:type="dxa"/>
            <w:tcBorders>
              <w:bottom w:val="single" w:color="000000" w:sz="10" w:space="0"/>
              <w:right w:val="nil"/>
            </w:tcBorders>
            <w:vAlign w:val="top"/>
          </w:tcPr>
          <w:p w14:paraId="73BC2A84">
            <w:pPr>
              <w:pStyle w:val="6"/>
              <w:spacing w:before="91" w:line="195" w:lineRule="auto"/>
              <w:ind w:left="792"/>
              <w:rPr>
                <w:sz w:val="20"/>
                <w:szCs w:val="20"/>
              </w:rPr>
            </w:pPr>
            <w:r>
              <w:rPr>
                <w:spacing w:val="1"/>
                <w:sz w:val="20"/>
                <w:szCs w:val="20"/>
              </w:rPr>
              <w:t>100.00%</w:t>
            </w:r>
          </w:p>
        </w:tc>
      </w:tr>
    </w:tbl>
    <w:p w14:paraId="3ACE82FA">
      <w:pPr>
        <w:spacing w:before="35" w:line="213" w:lineRule="auto"/>
        <w:ind w:left="1820"/>
        <w:rPr>
          <w:rFonts w:ascii="宋体" w:hAnsi="宋体" w:eastAsia="宋体" w:cs="宋体"/>
          <w:sz w:val="24"/>
          <w:szCs w:val="24"/>
        </w:rPr>
      </w:pPr>
      <w:r>
        <w:rPr>
          <w:rFonts w:ascii="宋体" w:hAnsi="宋体" w:eastAsia="宋体" w:cs="宋体"/>
          <w:b/>
          <w:bCs/>
          <w:spacing w:val="-5"/>
          <w:sz w:val="24"/>
          <w:szCs w:val="24"/>
        </w:rPr>
        <w:t>表</w:t>
      </w:r>
      <w:r>
        <w:rPr>
          <w:rFonts w:ascii="宋体" w:hAnsi="宋体" w:eastAsia="宋体" w:cs="宋体"/>
          <w:spacing w:val="-38"/>
          <w:sz w:val="24"/>
          <w:szCs w:val="24"/>
        </w:rPr>
        <w:t xml:space="preserve"> </w:t>
      </w:r>
      <w:r>
        <w:rPr>
          <w:rFonts w:ascii="Times New Roman" w:hAnsi="Times New Roman" w:eastAsia="Times New Roman" w:cs="Times New Roman"/>
          <w:b/>
          <w:bCs/>
          <w:spacing w:val="-5"/>
          <w:sz w:val="24"/>
          <w:szCs w:val="24"/>
        </w:rPr>
        <w:t>3.2-5</w:t>
      </w:r>
      <w:r>
        <w:rPr>
          <w:rFonts w:ascii="Times New Roman" w:hAnsi="Times New Roman" w:eastAsia="Times New Roman" w:cs="Times New Roman"/>
          <w:b/>
          <w:bCs/>
          <w:spacing w:val="12"/>
          <w:sz w:val="24"/>
          <w:szCs w:val="24"/>
        </w:rPr>
        <w:t xml:space="preserve">    </w:t>
      </w:r>
      <w:r>
        <w:rPr>
          <w:rFonts w:ascii="宋体" w:hAnsi="宋体" w:eastAsia="宋体" w:cs="宋体"/>
          <w:b/>
          <w:bCs/>
          <w:spacing w:val="-5"/>
          <w:sz w:val="24"/>
          <w:szCs w:val="24"/>
        </w:rPr>
        <w:t>占地范围内植被类型现状调查结果表</w:t>
      </w:r>
    </w:p>
    <w:tbl>
      <w:tblPr>
        <w:tblStyle w:val="5"/>
        <w:tblW w:w="851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62"/>
        <w:gridCol w:w="2234"/>
        <w:gridCol w:w="974"/>
        <w:gridCol w:w="1455"/>
        <w:gridCol w:w="2293"/>
      </w:tblGrid>
      <w:tr w14:paraId="491806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1562" w:type="dxa"/>
            <w:tcBorders>
              <w:top w:val="single" w:color="000000" w:sz="10" w:space="0"/>
              <w:left w:val="nil"/>
            </w:tcBorders>
            <w:vAlign w:val="top"/>
          </w:tcPr>
          <w:p w14:paraId="299240F4">
            <w:pPr>
              <w:spacing w:before="161" w:line="231" w:lineRule="auto"/>
              <w:ind w:left="373"/>
              <w:rPr>
                <w:rFonts w:ascii="仿宋" w:hAnsi="仿宋" w:eastAsia="仿宋" w:cs="仿宋"/>
                <w:sz w:val="20"/>
                <w:szCs w:val="20"/>
              </w:rPr>
            </w:pPr>
            <w:r>
              <w:rPr>
                <w:rFonts w:ascii="仿宋" w:hAnsi="仿宋" w:eastAsia="仿宋" w:cs="仿宋"/>
                <w:spacing w:val="6"/>
                <w:sz w:val="20"/>
                <w:szCs w:val="20"/>
              </w:rPr>
              <w:t>植被类型</w:t>
            </w:r>
          </w:p>
        </w:tc>
        <w:tc>
          <w:tcPr>
            <w:tcW w:w="2234" w:type="dxa"/>
            <w:tcBorders>
              <w:top w:val="single" w:color="000000" w:sz="10" w:space="0"/>
            </w:tcBorders>
            <w:vAlign w:val="top"/>
          </w:tcPr>
          <w:p w14:paraId="45179F6F">
            <w:pPr>
              <w:spacing w:before="161" w:line="231" w:lineRule="auto"/>
              <w:ind w:left="707"/>
              <w:rPr>
                <w:rFonts w:ascii="仿宋" w:hAnsi="仿宋" w:eastAsia="仿宋" w:cs="仿宋"/>
                <w:sz w:val="20"/>
                <w:szCs w:val="20"/>
              </w:rPr>
            </w:pPr>
            <w:r>
              <w:rPr>
                <w:rFonts w:ascii="仿宋" w:hAnsi="仿宋" w:eastAsia="仿宋" w:cs="仿宋"/>
                <w:spacing w:val="6"/>
                <w:sz w:val="20"/>
                <w:szCs w:val="20"/>
              </w:rPr>
              <w:t>群落类型</w:t>
            </w:r>
          </w:p>
        </w:tc>
        <w:tc>
          <w:tcPr>
            <w:tcW w:w="974" w:type="dxa"/>
            <w:tcBorders>
              <w:top w:val="single" w:color="000000" w:sz="10" w:space="0"/>
            </w:tcBorders>
            <w:vAlign w:val="top"/>
          </w:tcPr>
          <w:p w14:paraId="622DC3DB">
            <w:pPr>
              <w:spacing w:before="160" w:line="232" w:lineRule="auto"/>
              <w:ind w:left="185"/>
              <w:rPr>
                <w:rFonts w:ascii="仿宋" w:hAnsi="仿宋" w:eastAsia="仿宋" w:cs="仿宋"/>
                <w:sz w:val="20"/>
                <w:szCs w:val="20"/>
              </w:rPr>
            </w:pPr>
            <w:r>
              <w:rPr>
                <w:rFonts w:ascii="仿宋" w:hAnsi="仿宋" w:eastAsia="仿宋" w:cs="仿宋"/>
                <w:spacing w:val="4"/>
                <w:sz w:val="20"/>
                <w:szCs w:val="20"/>
              </w:rPr>
              <w:t>斑块数</w:t>
            </w:r>
          </w:p>
        </w:tc>
        <w:tc>
          <w:tcPr>
            <w:tcW w:w="1455" w:type="dxa"/>
            <w:tcBorders>
              <w:top w:val="single" w:color="000000" w:sz="10" w:space="0"/>
            </w:tcBorders>
            <w:vAlign w:val="top"/>
          </w:tcPr>
          <w:p w14:paraId="0D229F9F">
            <w:pPr>
              <w:pStyle w:val="6"/>
              <w:spacing w:before="160" w:line="232" w:lineRule="auto"/>
              <w:ind w:left="155"/>
              <w:rPr>
                <w:rFonts w:ascii="仿宋" w:hAnsi="仿宋" w:eastAsia="仿宋" w:cs="仿宋"/>
                <w:sz w:val="20"/>
                <w:szCs w:val="20"/>
              </w:rPr>
            </w:pPr>
            <w:r>
              <w:rPr>
                <w:rFonts w:ascii="仿宋" w:hAnsi="仿宋" w:eastAsia="仿宋" w:cs="仿宋"/>
                <w:spacing w:val="5"/>
                <w:sz w:val="20"/>
                <w:szCs w:val="20"/>
              </w:rPr>
              <w:t>面积（</w:t>
            </w:r>
            <w:r>
              <w:rPr>
                <w:sz w:val="20"/>
                <w:szCs w:val="20"/>
              </w:rPr>
              <w:t>hm</w:t>
            </w:r>
            <w:r>
              <w:rPr>
                <w:spacing w:val="5"/>
                <w:sz w:val="13"/>
                <w:szCs w:val="13"/>
              </w:rPr>
              <w:t>2</w:t>
            </w:r>
            <w:r>
              <w:rPr>
                <w:rFonts w:ascii="仿宋" w:hAnsi="仿宋" w:eastAsia="仿宋" w:cs="仿宋"/>
                <w:spacing w:val="5"/>
                <w:sz w:val="20"/>
                <w:szCs w:val="20"/>
              </w:rPr>
              <w:t>）</w:t>
            </w:r>
          </w:p>
        </w:tc>
        <w:tc>
          <w:tcPr>
            <w:tcW w:w="2293" w:type="dxa"/>
            <w:tcBorders>
              <w:top w:val="single" w:color="000000" w:sz="10" w:space="0"/>
              <w:right w:val="nil"/>
            </w:tcBorders>
            <w:vAlign w:val="top"/>
          </w:tcPr>
          <w:p w14:paraId="1D07B2C8">
            <w:pPr>
              <w:pStyle w:val="6"/>
              <w:spacing w:before="161" w:line="231" w:lineRule="auto"/>
              <w:ind w:left="266"/>
              <w:rPr>
                <w:rFonts w:ascii="仿宋" w:hAnsi="仿宋" w:eastAsia="仿宋" w:cs="仿宋"/>
                <w:sz w:val="20"/>
                <w:szCs w:val="20"/>
              </w:rPr>
            </w:pPr>
            <w:r>
              <w:rPr>
                <w:rFonts w:ascii="仿宋" w:hAnsi="仿宋" w:eastAsia="仿宋" w:cs="仿宋"/>
                <w:spacing w:val="3"/>
                <w:sz w:val="20"/>
                <w:szCs w:val="20"/>
              </w:rPr>
              <w:t>占评价区比例（</w:t>
            </w:r>
            <w:r>
              <w:rPr>
                <w:spacing w:val="3"/>
                <w:sz w:val="20"/>
                <w:szCs w:val="20"/>
              </w:rPr>
              <w:t>%</w:t>
            </w:r>
            <w:r>
              <w:rPr>
                <w:rFonts w:ascii="仿宋" w:hAnsi="仿宋" w:eastAsia="仿宋" w:cs="仿宋"/>
                <w:spacing w:val="3"/>
                <w:sz w:val="20"/>
                <w:szCs w:val="20"/>
              </w:rPr>
              <w:t>）</w:t>
            </w:r>
          </w:p>
        </w:tc>
      </w:tr>
      <w:tr w14:paraId="4C914C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1562" w:type="dxa"/>
            <w:vMerge w:val="restart"/>
            <w:tcBorders>
              <w:left w:val="nil"/>
              <w:bottom w:val="nil"/>
            </w:tcBorders>
            <w:vAlign w:val="top"/>
          </w:tcPr>
          <w:p w14:paraId="192B02AE">
            <w:pPr>
              <w:spacing w:before="190" w:line="230" w:lineRule="auto"/>
              <w:ind w:left="273"/>
              <w:rPr>
                <w:rFonts w:ascii="仿宋" w:hAnsi="仿宋" w:eastAsia="仿宋" w:cs="仿宋"/>
                <w:sz w:val="20"/>
                <w:szCs w:val="20"/>
              </w:rPr>
            </w:pPr>
            <w:r>
              <w:rPr>
                <w:rFonts w:ascii="仿宋" w:hAnsi="仿宋" w:eastAsia="仿宋" w:cs="仿宋"/>
                <w:spacing w:val="6"/>
                <w:sz w:val="20"/>
                <w:szCs w:val="20"/>
              </w:rPr>
              <w:t>乔木林植被</w:t>
            </w:r>
          </w:p>
        </w:tc>
        <w:tc>
          <w:tcPr>
            <w:tcW w:w="2234" w:type="dxa"/>
            <w:vAlign w:val="top"/>
          </w:tcPr>
          <w:p w14:paraId="1924A8D7">
            <w:pPr>
              <w:spacing w:before="36" w:line="211" w:lineRule="auto"/>
              <w:ind w:left="707"/>
              <w:rPr>
                <w:rFonts w:ascii="仿宋" w:hAnsi="仿宋" w:eastAsia="仿宋" w:cs="仿宋"/>
                <w:sz w:val="20"/>
                <w:szCs w:val="20"/>
              </w:rPr>
            </w:pPr>
            <w:r>
              <w:rPr>
                <w:rFonts w:ascii="仿宋" w:hAnsi="仿宋" w:eastAsia="仿宋" w:cs="仿宋"/>
                <w:spacing w:val="5"/>
                <w:sz w:val="20"/>
                <w:szCs w:val="20"/>
              </w:rPr>
              <w:t>杏树群落</w:t>
            </w:r>
          </w:p>
        </w:tc>
        <w:tc>
          <w:tcPr>
            <w:tcW w:w="974" w:type="dxa"/>
            <w:vAlign w:val="top"/>
          </w:tcPr>
          <w:p w14:paraId="67003AB2">
            <w:pPr>
              <w:pStyle w:val="6"/>
              <w:spacing w:before="72" w:line="195" w:lineRule="auto"/>
              <w:ind w:left="384"/>
              <w:rPr>
                <w:sz w:val="20"/>
                <w:szCs w:val="20"/>
              </w:rPr>
            </w:pPr>
            <w:r>
              <w:rPr>
                <w:spacing w:val="2"/>
                <w:sz w:val="20"/>
                <w:szCs w:val="20"/>
              </w:rPr>
              <w:t>20</w:t>
            </w:r>
          </w:p>
        </w:tc>
        <w:tc>
          <w:tcPr>
            <w:tcW w:w="1455" w:type="dxa"/>
            <w:vAlign w:val="top"/>
          </w:tcPr>
          <w:p w14:paraId="28412621">
            <w:pPr>
              <w:pStyle w:val="6"/>
              <w:spacing w:before="72" w:line="195" w:lineRule="auto"/>
              <w:ind w:left="548"/>
              <w:rPr>
                <w:sz w:val="20"/>
                <w:szCs w:val="20"/>
              </w:rPr>
            </w:pPr>
            <w:r>
              <w:rPr>
                <w:spacing w:val="2"/>
                <w:sz w:val="20"/>
                <w:szCs w:val="20"/>
              </w:rPr>
              <w:t>0.29</w:t>
            </w:r>
          </w:p>
        </w:tc>
        <w:tc>
          <w:tcPr>
            <w:tcW w:w="2293" w:type="dxa"/>
            <w:tcBorders>
              <w:right w:val="nil"/>
            </w:tcBorders>
            <w:vAlign w:val="top"/>
          </w:tcPr>
          <w:p w14:paraId="39291E67">
            <w:pPr>
              <w:pStyle w:val="6"/>
              <w:spacing w:before="72" w:line="195" w:lineRule="auto"/>
              <w:ind w:left="878"/>
              <w:rPr>
                <w:sz w:val="20"/>
                <w:szCs w:val="20"/>
              </w:rPr>
            </w:pPr>
            <w:r>
              <w:rPr>
                <w:spacing w:val="-1"/>
                <w:sz w:val="20"/>
                <w:szCs w:val="20"/>
              </w:rPr>
              <w:t>2.</w:t>
            </w:r>
            <w:r>
              <w:rPr>
                <w:spacing w:val="-25"/>
                <w:sz w:val="20"/>
                <w:szCs w:val="20"/>
              </w:rPr>
              <w:t xml:space="preserve"> </w:t>
            </w:r>
            <w:r>
              <w:rPr>
                <w:spacing w:val="-1"/>
                <w:sz w:val="20"/>
                <w:szCs w:val="20"/>
              </w:rPr>
              <w:t>11%</w:t>
            </w:r>
          </w:p>
        </w:tc>
      </w:tr>
      <w:tr w14:paraId="4E8D1D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 w:hRule="atLeast"/>
        </w:trPr>
        <w:tc>
          <w:tcPr>
            <w:tcW w:w="1562" w:type="dxa"/>
            <w:vMerge w:val="continue"/>
            <w:tcBorders>
              <w:top w:val="nil"/>
              <w:left w:val="nil"/>
            </w:tcBorders>
            <w:vAlign w:val="top"/>
          </w:tcPr>
          <w:p w14:paraId="33D5E383">
            <w:pPr>
              <w:rPr>
                <w:rFonts w:ascii="Arial"/>
                <w:sz w:val="21"/>
              </w:rPr>
            </w:pPr>
          </w:p>
        </w:tc>
        <w:tc>
          <w:tcPr>
            <w:tcW w:w="2234" w:type="dxa"/>
            <w:vAlign w:val="top"/>
          </w:tcPr>
          <w:p w14:paraId="329906AC">
            <w:pPr>
              <w:spacing w:before="52" w:line="221" w:lineRule="auto"/>
              <w:ind w:left="707"/>
              <w:rPr>
                <w:rFonts w:ascii="仿宋" w:hAnsi="仿宋" w:eastAsia="仿宋" w:cs="仿宋"/>
                <w:sz w:val="20"/>
                <w:szCs w:val="20"/>
              </w:rPr>
            </w:pPr>
            <w:r>
              <w:rPr>
                <w:rFonts w:ascii="仿宋" w:hAnsi="仿宋" w:eastAsia="仿宋" w:cs="仿宋"/>
                <w:spacing w:val="6"/>
                <w:sz w:val="20"/>
                <w:szCs w:val="20"/>
              </w:rPr>
              <w:t>榆树群落</w:t>
            </w:r>
          </w:p>
        </w:tc>
        <w:tc>
          <w:tcPr>
            <w:tcW w:w="974" w:type="dxa"/>
            <w:vAlign w:val="top"/>
          </w:tcPr>
          <w:p w14:paraId="33F8E2DB">
            <w:pPr>
              <w:pStyle w:val="6"/>
              <w:spacing w:before="87" w:line="195" w:lineRule="auto"/>
              <w:ind w:left="384"/>
              <w:rPr>
                <w:sz w:val="20"/>
                <w:szCs w:val="20"/>
              </w:rPr>
            </w:pPr>
            <w:r>
              <w:rPr>
                <w:spacing w:val="2"/>
                <w:sz w:val="20"/>
                <w:szCs w:val="20"/>
              </w:rPr>
              <w:t>20</w:t>
            </w:r>
          </w:p>
        </w:tc>
        <w:tc>
          <w:tcPr>
            <w:tcW w:w="1455" w:type="dxa"/>
            <w:vAlign w:val="top"/>
          </w:tcPr>
          <w:p w14:paraId="06D73497">
            <w:pPr>
              <w:pStyle w:val="6"/>
              <w:spacing w:before="87" w:line="195" w:lineRule="auto"/>
              <w:ind w:left="548"/>
              <w:rPr>
                <w:sz w:val="20"/>
                <w:szCs w:val="20"/>
              </w:rPr>
            </w:pPr>
            <w:r>
              <w:rPr>
                <w:spacing w:val="2"/>
                <w:sz w:val="20"/>
                <w:szCs w:val="20"/>
              </w:rPr>
              <w:t>0.09</w:t>
            </w:r>
          </w:p>
        </w:tc>
        <w:tc>
          <w:tcPr>
            <w:tcW w:w="2293" w:type="dxa"/>
            <w:tcBorders>
              <w:right w:val="nil"/>
            </w:tcBorders>
            <w:vAlign w:val="top"/>
          </w:tcPr>
          <w:p w14:paraId="2EA5655A">
            <w:pPr>
              <w:pStyle w:val="6"/>
              <w:spacing w:before="87" w:line="195" w:lineRule="auto"/>
              <w:ind w:left="881"/>
              <w:rPr>
                <w:sz w:val="20"/>
                <w:szCs w:val="20"/>
              </w:rPr>
            </w:pPr>
            <w:r>
              <w:rPr>
                <w:spacing w:val="3"/>
                <w:sz w:val="20"/>
                <w:szCs w:val="20"/>
              </w:rPr>
              <w:t>0.64%</w:t>
            </w:r>
          </w:p>
        </w:tc>
      </w:tr>
      <w:tr w14:paraId="229E49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4" w:hRule="atLeast"/>
        </w:trPr>
        <w:tc>
          <w:tcPr>
            <w:tcW w:w="1562" w:type="dxa"/>
            <w:tcBorders>
              <w:left w:val="nil"/>
            </w:tcBorders>
            <w:vAlign w:val="top"/>
          </w:tcPr>
          <w:p w14:paraId="6337EB1D">
            <w:pPr>
              <w:spacing w:before="39" w:line="207" w:lineRule="auto"/>
              <w:ind w:left="377"/>
              <w:rPr>
                <w:rFonts w:ascii="仿宋" w:hAnsi="仿宋" w:eastAsia="仿宋" w:cs="仿宋"/>
                <w:sz w:val="20"/>
                <w:szCs w:val="20"/>
              </w:rPr>
            </w:pPr>
            <w:r>
              <w:rPr>
                <w:rFonts w:ascii="仿宋" w:hAnsi="仿宋" w:eastAsia="仿宋" w:cs="仿宋"/>
                <w:spacing w:val="5"/>
                <w:sz w:val="20"/>
                <w:szCs w:val="20"/>
              </w:rPr>
              <w:t>灌丛植被</w:t>
            </w:r>
          </w:p>
        </w:tc>
        <w:tc>
          <w:tcPr>
            <w:tcW w:w="2234" w:type="dxa"/>
            <w:vAlign w:val="top"/>
          </w:tcPr>
          <w:p w14:paraId="392D5657">
            <w:pPr>
              <w:spacing w:before="39" w:line="207" w:lineRule="auto"/>
              <w:ind w:left="392"/>
              <w:rPr>
                <w:rFonts w:ascii="仿宋" w:hAnsi="仿宋" w:eastAsia="仿宋" w:cs="仿宋"/>
                <w:sz w:val="20"/>
                <w:szCs w:val="20"/>
              </w:rPr>
            </w:pPr>
            <w:r>
              <w:rPr>
                <w:rFonts w:ascii="仿宋" w:hAnsi="仿宋" w:eastAsia="仿宋" w:cs="仿宋"/>
                <w:spacing w:val="7"/>
                <w:sz w:val="20"/>
                <w:szCs w:val="20"/>
              </w:rPr>
              <w:t>柠条锦鸡儿群落</w:t>
            </w:r>
          </w:p>
        </w:tc>
        <w:tc>
          <w:tcPr>
            <w:tcW w:w="974" w:type="dxa"/>
            <w:vAlign w:val="top"/>
          </w:tcPr>
          <w:p w14:paraId="0BFC315E">
            <w:pPr>
              <w:pStyle w:val="6"/>
              <w:spacing w:before="76" w:line="195" w:lineRule="auto"/>
              <w:ind w:left="384"/>
              <w:rPr>
                <w:sz w:val="20"/>
                <w:szCs w:val="20"/>
              </w:rPr>
            </w:pPr>
            <w:r>
              <w:rPr>
                <w:spacing w:val="2"/>
                <w:sz w:val="20"/>
                <w:szCs w:val="20"/>
              </w:rPr>
              <w:t>26</w:t>
            </w:r>
          </w:p>
        </w:tc>
        <w:tc>
          <w:tcPr>
            <w:tcW w:w="1455" w:type="dxa"/>
            <w:vAlign w:val="top"/>
          </w:tcPr>
          <w:p w14:paraId="5440A6F8">
            <w:pPr>
              <w:pStyle w:val="6"/>
              <w:spacing w:before="76" w:line="195" w:lineRule="auto"/>
              <w:ind w:left="565"/>
              <w:rPr>
                <w:sz w:val="20"/>
                <w:szCs w:val="20"/>
              </w:rPr>
            </w:pPr>
            <w:r>
              <w:rPr>
                <w:spacing w:val="-2"/>
                <w:sz w:val="20"/>
                <w:szCs w:val="20"/>
              </w:rPr>
              <w:t>1.60</w:t>
            </w:r>
          </w:p>
        </w:tc>
        <w:tc>
          <w:tcPr>
            <w:tcW w:w="2293" w:type="dxa"/>
            <w:tcBorders>
              <w:right w:val="nil"/>
            </w:tcBorders>
            <w:vAlign w:val="top"/>
          </w:tcPr>
          <w:p w14:paraId="14C0F506">
            <w:pPr>
              <w:pStyle w:val="6"/>
              <w:spacing w:before="76" w:line="195" w:lineRule="auto"/>
              <w:ind w:left="845"/>
              <w:rPr>
                <w:sz w:val="20"/>
                <w:szCs w:val="20"/>
              </w:rPr>
            </w:pPr>
            <w:r>
              <w:rPr>
                <w:sz w:val="20"/>
                <w:szCs w:val="20"/>
              </w:rPr>
              <w:t>11.80%</w:t>
            </w:r>
          </w:p>
        </w:tc>
      </w:tr>
      <w:tr w14:paraId="02B063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 w:hRule="atLeast"/>
        </w:trPr>
        <w:tc>
          <w:tcPr>
            <w:tcW w:w="1562" w:type="dxa"/>
            <w:vMerge w:val="restart"/>
            <w:tcBorders>
              <w:left w:val="nil"/>
              <w:bottom w:val="nil"/>
            </w:tcBorders>
            <w:vAlign w:val="top"/>
          </w:tcPr>
          <w:p w14:paraId="540B394B">
            <w:pPr>
              <w:spacing w:before="212" w:line="231" w:lineRule="auto"/>
              <w:ind w:left="377"/>
              <w:rPr>
                <w:rFonts w:ascii="仿宋" w:hAnsi="仿宋" w:eastAsia="仿宋" w:cs="仿宋"/>
                <w:sz w:val="20"/>
                <w:szCs w:val="20"/>
              </w:rPr>
            </w:pPr>
            <w:r>
              <w:rPr>
                <w:rFonts w:ascii="仿宋" w:hAnsi="仿宋" w:eastAsia="仿宋" w:cs="仿宋"/>
                <w:spacing w:val="5"/>
                <w:sz w:val="20"/>
                <w:szCs w:val="20"/>
              </w:rPr>
              <w:t>草地植被</w:t>
            </w:r>
          </w:p>
        </w:tc>
        <w:tc>
          <w:tcPr>
            <w:tcW w:w="2234" w:type="dxa"/>
            <w:vAlign w:val="top"/>
          </w:tcPr>
          <w:p w14:paraId="1B32803A">
            <w:pPr>
              <w:pStyle w:val="6"/>
              <w:spacing w:before="56" w:line="217" w:lineRule="auto"/>
              <w:ind w:left="125"/>
              <w:rPr>
                <w:rFonts w:ascii="仿宋" w:hAnsi="仿宋" w:eastAsia="仿宋" w:cs="仿宋"/>
                <w:sz w:val="20"/>
                <w:szCs w:val="20"/>
              </w:rPr>
            </w:pPr>
            <w:r>
              <w:rPr>
                <w:rFonts w:ascii="仿宋" w:hAnsi="仿宋" w:eastAsia="仿宋" w:cs="仿宋"/>
                <w:spacing w:val="5"/>
                <w:sz w:val="20"/>
                <w:szCs w:val="20"/>
              </w:rPr>
              <w:t>本氏针茅</w:t>
            </w:r>
            <w:r>
              <w:rPr>
                <w:spacing w:val="5"/>
                <w:sz w:val="20"/>
                <w:szCs w:val="20"/>
              </w:rPr>
              <w:t>+</w:t>
            </w:r>
            <w:r>
              <w:rPr>
                <w:spacing w:val="-22"/>
                <w:sz w:val="20"/>
                <w:szCs w:val="20"/>
              </w:rPr>
              <w:t xml:space="preserve"> </w:t>
            </w:r>
            <w:r>
              <w:rPr>
                <w:rFonts w:ascii="仿宋" w:hAnsi="仿宋" w:eastAsia="仿宋" w:cs="仿宋"/>
                <w:spacing w:val="5"/>
                <w:sz w:val="20"/>
                <w:szCs w:val="20"/>
              </w:rPr>
              <w:t>百里香群落</w:t>
            </w:r>
          </w:p>
        </w:tc>
        <w:tc>
          <w:tcPr>
            <w:tcW w:w="974" w:type="dxa"/>
            <w:vAlign w:val="top"/>
          </w:tcPr>
          <w:p w14:paraId="473F810F">
            <w:pPr>
              <w:pStyle w:val="6"/>
              <w:spacing w:before="94" w:line="195" w:lineRule="auto"/>
              <w:ind w:left="388"/>
              <w:rPr>
                <w:sz w:val="20"/>
                <w:szCs w:val="20"/>
              </w:rPr>
            </w:pPr>
            <w:r>
              <w:rPr>
                <w:sz w:val="20"/>
                <w:szCs w:val="20"/>
              </w:rPr>
              <w:t>68</w:t>
            </w:r>
          </w:p>
        </w:tc>
        <w:tc>
          <w:tcPr>
            <w:tcW w:w="1455" w:type="dxa"/>
            <w:vAlign w:val="top"/>
          </w:tcPr>
          <w:p w14:paraId="063E12D9">
            <w:pPr>
              <w:pStyle w:val="6"/>
              <w:spacing w:before="94" w:line="195" w:lineRule="auto"/>
              <w:ind w:left="565"/>
              <w:rPr>
                <w:sz w:val="20"/>
                <w:szCs w:val="20"/>
              </w:rPr>
            </w:pPr>
            <w:r>
              <w:rPr>
                <w:spacing w:val="-2"/>
                <w:sz w:val="20"/>
                <w:szCs w:val="20"/>
              </w:rPr>
              <w:t>1.03</w:t>
            </w:r>
          </w:p>
        </w:tc>
        <w:tc>
          <w:tcPr>
            <w:tcW w:w="2293" w:type="dxa"/>
            <w:tcBorders>
              <w:right w:val="nil"/>
            </w:tcBorders>
            <w:vAlign w:val="top"/>
          </w:tcPr>
          <w:p w14:paraId="67D9D398">
            <w:pPr>
              <w:pStyle w:val="6"/>
              <w:spacing w:before="94" w:line="195" w:lineRule="auto"/>
              <w:ind w:left="881"/>
              <w:rPr>
                <w:sz w:val="20"/>
                <w:szCs w:val="20"/>
              </w:rPr>
            </w:pPr>
            <w:r>
              <w:rPr>
                <w:spacing w:val="3"/>
                <w:sz w:val="20"/>
                <w:szCs w:val="20"/>
              </w:rPr>
              <w:t>7.62%</w:t>
            </w:r>
          </w:p>
        </w:tc>
      </w:tr>
      <w:tr w14:paraId="6CDC40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 w:hRule="atLeast"/>
        </w:trPr>
        <w:tc>
          <w:tcPr>
            <w:tcW w:w="1562" w:type="dxa"/>
            <w:vMerge w:val="continue"/>
            <w:tcBorders>
              <w:top w:val="nil"/>
              <w:left w:val="nil"/>
            </w:tcBorders>
            <w:vAlign w:val="top"/>
          </w:tcPr>
          <w:p w14:paraId="4689A44A">
            <w:pPr>
              <w:rPr>
                <w:rFonts w:ascii="Arial"/>
                <w:sz w:val="21"/>
              </w:rPr>
            </w:pPr>
          </w:p>
        </w:tc>
        <w:tc>
          <w:tcPr>
            <w:tcW w:w="2234" w:type="dxa"/>
            <w:vAlign w:val="top"/>
          </w:tcPr>
          <w:p w14:paraId="3D31ACFC">
            <w:pPr>
              <w:pStyle w:val="6"/>
              <w:spacing w:before="61" w:line="213" w:lineRule="auto"/>
              <w:ind w:left="340"/>
              <w:rPr>
                <w:rFonts w:ascii="仿宋" w:hAnsi="仿宋" w:eastAsia="仿宋" w:cs="仿宋"/>
                <w:sz w:val="20"/>
                <w:szCs w:val="20"/>
              </w:rPr>
            </w:pPr>
            <w:r>
              <w:rPr>
                <w:rFonts w:ascii="仿宋" w:hAnsi="仿宋" w:eastAsia="仿宋" w:cs="仿宋"/>
                <w:spacing w:val="6"/>
                <w:sz w:val="20"/>
                <w:szCs w:val="20"/>
              </w:rPr>
              <w:t>羊草</w:t>
            </w:r>
            <w:r>
              <w:rPr>
                <w:spacing w:val="6"/>
                <w:sz w:val="20"/>
                <w:szCs w:val="20"/>
              </w:rPr>
              <w:t>+</w:t>
            </w:r>
            <w:r>
              <w:rPr>
                <w:rFonts w:ascii="仿宋" w:hAnsi="仿宋" w:eastAsia="仿宋" w:cs="仿宋"/>
                <w:spacing w:val="6"/>
                <w:sz w:val="20"/>
                <w:szCs w:val="20"/>
              </w:rPr>
              <w:t>杂类草群落</w:t>
            </w:r>
          </w:p>
        </w:tc>
        <w:tc>
          <w:tcPr>
            <w:tcW w:w="974" w:type="dxa"/>
            <w:vAlign w:val="top"/>
          </w:tcPr>
          <w:p w14:paraId="3772D57E">
            <w:pPr>
              <w:pStyle w:val="6"/>
              <w:spacing w:before="97" w:line="195" w:lineRule="auto"/>
              <w:ind w:left="384"/>
              <w:rPr>
                <w:sz w:val="20"/>
                <w:szCs w:val="20"/>
              </w:rPr>
            </w:pPr>
            <w:r>
              <w:rPr>
                <w:spacing w:val="2"/>
                <w:sz w:val="20"/>
                <w:szCs w:val="20"/>
              </w:rPr>
              <w:t>23</w:t>
            </w:r>
          </w:p>
        </w:tc>
        <w:tc>
          <w:tcPr>
            <w:tcW w:w="1455" w:type="dxa"/>
            <w:vAlign w:val="top"/>
          </w:tcPr>
          <w:p w14:paraId="2BB3BDA3">
            <w:pPr>
              <w:pStyle w:val="6"/>
              <w:spacing w:before="97" w:line="195" w:lineRule="auto"/>
              <w:ind w:left="548"/>
              <w:rPr>
                <w:sz w:val="20"/>
                <w:szCs w:val="20"/>
              </w:rPr>
            </w:pPr>
            <w:r>
              <w:rPr>
                <w:spacing w:val="2"/>
                <w:sz w:val="20"/>
                <w:szCs w:val="20"/>
              </w:rPr>
              <w:t>0.58</w:t>
            </w:r>
          </w:p>
        </w:tc>
        <w:tc>
          <w:tcPr>
            <w:tcW w:w="2293" w:type="dxa"/>
            <w:tcBorders>
              <w:right w:val="nil"/>
            </w:tcBorders>
            <w:vAlign w:val="top"/>
          </w:tcPr>
          <w:p w14:paraId="445A4E89">
            <w:pPr>
              <w:pStyle w:val="6"/>
              <w:spacing w:before="97" w:line="195" w:lineRule="auto"/>
              <w:ind w:left="877"/>
              <w:rPr>
                <w:sz w:val="20"/>
                <w:szCs w:val="20"/>
              </w:rPr>
            </w:pPr>
            <w:r>
              <w:rPr>
                <w:spacing w:val="4"/>
                <w:sz w:val="20"/>
                <w:szCs w:val="20"/>
              </w:rPr>
              <w:t>4.27%</w:t>
            </w:r>
          </w:p>
        </w:tc>
      </w:tr>
      <w:tr w14:paraId="71EDD0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4" w:hRule="atLeast"/>
        </w:trPr>
        <w:tc>
          <w:tcPr>
            <w:tcW w:w="1562" w:type="dxa"/>
            <w:tcBorders>
              <w:left w:val="nil"/>
              <w:right w:val="nil"/>
            </w:tcBorders>
            <w:vAlign w:val="top"/>
          </w:tcPr>
          <w:p w14:paraId="7551B2A7">
            <w:pPr>
              <w:rPr>
                <w:rFonts w:ascii="Arial"/>
                <w:sz w:val="21"/>
              </w:rPr>
            </w:pPr>
          </w:p>
        </w:tc>
        <w:tc>
          <w:tcPr>
            <w:tcW w:w="2234" w:type="dxa"/>
            <w:tcBorders>
              <w:left w:val="nil"/>
            </w:tcBorders>
            <w:vAlign w:val="top"/>
          </w:tcPr>
          <w:p w14:paraId="09C22087">
            <w:pPr>
              <w:spacing w:before="49" w:line="198" w:lineRule="auto"/>
              <w:ind w:left="38"/>
              <w:rPr>
                <w:rFonts w:ascii="仿宋" w:hAnsi="仿宋" w:eastAsia="仿宋" w:cs="仿宋"/>
                <w:sz w:val="20"/>
                <w:szCs w:val="20"/>
              </w:rPr>
            </w:pPr>
            <w:r>
              <w:rPr>
                <w:rFonts w:ascii="仿宋" w:hAnsi="仿宋" w:eastAsia="仿宋" w:cs="仿宋"/>
                <w:spacing w:val="4"/>
                <w:sz w:val="20"/>
                <w:szCs w:val="20"/>
              </w:rPr>
              <w:t>无植被</w:t>
            </w:r>
          </w:p>
        </w:tc>
        <w:tc>
          <w:tcPr>
            <w:tcW w:w="974" w:type="dxa"/>
            <w:vAlign w:val="top"/>
          </w:tcPr>
          <w:p w14:paraId="297ADA53">
            <w:pPr>
              <w:pStyle w:val="6"/>
              <w:spacing w:before="85" w:line="186" w:lineRule="auto"/>
              <w:ind w:left="404"/>
              <w:rPr>
                <w:sz w:val="20"/>
                <w:szCs w:val="20"/>
              </w:rPr>
            </w:pPr>
            <w:r>
              <w:rPr>
                <w:spacing w:val="-8"/>
                <w:sz w:val="20"/>
                <w:szCs w:val="20"/>
              </w:rPr>
              <w:t>18</w:t>
            </w:r>
          </w:p>
        </w:tc>
        <w:tc>
          <w:tcPr>
            <w:tcW w:w="1455" w:type="dxa"/>
            <w:vAlign w:val="top"/>
          </w:tcPr>
          <w:p w14:paraId="3E294843">
            <w:pPr>
              <w:pStyle w:val="6"/>
              <w:spacing w:before="85" w:line="186" w:lineRule="auto"/>
              <w:ind w:left="549"/>
              <w:rPr>
                <w:sz w:val="20"/>
                <w:szCs w:val="20"/>
              </w:rPr>
            </w:pPr>
            <w:r>
              <w:rPr>
                <w:spacing w:val="2"/>
                <w:sz w:val="20"/>
                <w:szCs w:val="20"/>
              </w:rPr>
              <w:t>9.99</w:t>
            </w:r>
          </w:p>
        </w:tc>
        <w:tc>
          <w:tcPr>
            <w:tcW w:w="2293" w:type="dxa"/>
            <w:tcBorders>
              <w:right w:val="nil"/>
            </w:tcBorders>
            <w:vAlign w:val="top"/>
          </w:tcPr>
          <w:p w14:paraId="5CDF5076">
            <w:pPr>
              <w:pStyle w:val="6"/>
              <w:spacing w:before="85" w:line="186" w:lineRule="auto"/>
              <w:ind w:left="829"/>
              <w:rPr>
                <w:sz w:val="20"/>
                <w:szCs w:val="20"/>
              </w:rPr>
            </w:pPr>
            <w:r>
              <w:rPr>
                <w:spacing w:val="3"/>
                <w:sz w:val="20"/>
                <w:szCs w:val="20"/>
              </w:rPr>
              <w:t>73.57%</w:t>
            </w:r>
          </w:p>
        </w:tc>
      </w:tr>
      <w:tr w14:paraId="377A45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 w:hRule="atLeast"/>
        </w:trPr>
        <w:tc>
          <w:tcPr>
            <w:tcW w:w="1562" w:type="dxa"/>
            <w:tcBorders>
              <w:left w:val="nil"/>
              <w:bottom w:val="single" w:color="000000" w:sz="10" w:space="0"/>
            </w:tcBorders>
            <w:vAlign w:val="top"/>
          </w:tcPr>
          <w:p w14:paraId="06D7FE5C">
            <w:pPr>
              <w:spacing w:before="67" w:line="229" w:lineRule="auto"/>
              <w:ind w:left="593"/>
              <w:rPr>
                <w:rFonts w:ascii="仿宋" w:hAnsi="仿宋" w:eastAsia="仿宋" w:cs="仿宋"/>
                <w:sz w:val="20"/>
                <w:szCs w:val="20"/>
              </w:rPr>
            </w:pPr>
            <w:r>
              <w:rPr>
                <w:rFonts w:ascii="仿宋" w:hAnsi="仿宋" w:eastAsia="仿宋" w:cs="仿宋"/>
                <w:spacing w:val="-3"/>
                <w:sz w:val="20"/>
                <w:szCs w:val="20"/>
              </w:rPr>
              <w:t>总计</w:t>
            </w:r>
          </w:p>
        </w:tc>
        <w:tc>
          <w:tcPr>
            <w:tcW w:w="2234" w:type="dxa"/>
            <w:tcBorders>
              <w:bottom w:val="single" w:color="000000" w:sz="10" w:space="0"/>
            </w:tcBorders>
            <w:vAlign w:val="top"/>
          </w:tcPr>
          <w:p w14:paraId="54EDCA94">
            <w:pPr>
              <w:rPr>
                <w:rFonts w:ascii="Arial"/>
                <w:sz w:val="21"/>
              </w:rPr>
            </w:pPr>
          </w:p>
        </w:tc>
        <w:tc>
          <w:tcPr>
            <w:tcW w:w="974" w:type="dxa"/>
            <w:tcBorders>
              <w:bottom w:val="single" w:color="000000" w:sz="10" w:space="0"/>
            </w:tcBorders>
            <w:vAlign w:val="top"/>
          </w:tcPr>
          <w:p w14:paraId="6088FD79">
            <w:pPr>
              <w:pStyle w:val="6"/>
              <w:spacing w:before="104" w:line="195" w:lineRule="auto"/>
              <w:ind w:left="351"/>
              <w:rPr>
                <w:sz w:val="20"/>
                <w:szCs w:val="20"/>
              </w:rPr>
            </w:pPr>
            <w:r>
              <w:rPr>
                <w:spacing w:val="-3"/>
                <w:sz w:val="20"/>
                <w:szCs w:val="20"/>
              </w:rPr>
              <w:t>175</w:t>
            </w:r>
          </w:p>
        </w:tc>
        <w:tc>
          <w:tcPr>
            <w:tcW w:w="1455" w:type="dxa"/>
            <w:tcBorders>
              <w:bottom w:val="single" w:color="000000" w:sz="10" w:space="0"/>
            </w:tcBorders>
            <w:vAlign w:val="top"/>
          </w:tcPr>
          <w:p w14:paraId="504223BE">
            <w:pPr>
              <w:pStyle w:val="6"/>
              <w:spacing w:before="104" w:line="195" w:lineRule="auto"/>
              <w:ind w:left="512"/>
              <w:rPr>
                <w:sz w:val="20"/>
                <w:szCs w:val="20"/>
              </w:rPr>
            </w:pPr>
            <w:r>
              <w:rPr>
                <w:spacing w:val="-1"/>
                <w:sz w:val="20"/>
                <w:szCs w:val="20"/>
              </w:rPr>
              <w:t>13.58</w:t>
            </w:r>
          </w:p>
        </w:tc>
        <w:tc>
          <w:tcPr>
            <w:tcW w:w="2293" w:type="dxa"/>
            <w:tcBorders>
              <w:bottom w:val="single" w:color="000000" w:sz="10" w:space="0"/>
              <w:right w:val="nil"/>
            </w:tcBorders>
            <w:vAlign w:val="top"/>
          </w:tcPr>
          <w:p w14:paraId="24F0C1D8">
            <w:pPr>
              <w:pStyle w:val="6"/>
              <w:spacing w:before="104" w:line="195" w:lineRule="auto"/>
              <w:ind w:left="792"/>
              <w:rPr>
                <w:sz w:val="20"/>
                <w:szCs w:val="20"/>
              </w:rPr>
            </w:pPr>
            <w:r>
              <w:rPr>
                <w:spacing w:val="1"/>
                <w:sz w:val="20"/>
                <w:szCs w:val="20"/>
              </w:rPr>
              <w:t>100.00%</w:t>
            </w:r>
          </w:p>
        </w:tc>
      </w:tr>
    </w:tbl>
    <w:p w14:paraId="454EF211">
      <w:pPr>
        <w:spacing w:before="38" w:line="358" w:lineRule="auto"/>
        <w:ind w:left="165" w:right="104" w:firstLine="439"/>
        <w:rPr>
          <w:rFonts w:ascii="仿宋" w:hAnsi="仿宋" w:eastAsia="仿宋" w:cs="仿宋"/>
          <w:sz w:val="24"/>
          <w:szCs w:val="24"/>
        </w:rPr>
      </w:pPr>
      <w:r>
        <w:rPr>
          <w:rFonts w:ascii="仿宋" w:hAnsi="仿宋" w:eastAsia="仿宋" w:cs="仿宋"/>
          <w:spacing w:val="-5"/>
          <w:sz w:val="24"/>
          <w:szCs w:val="24"/>
        </w:rPr>
        <w:t>根据表</w:t>
      </w:r>
      <w:r>
        <w:rPr>
          <w:rFonts w:ascii="仿宋" w:hAnsi="仿宋" w:eastAsia="仿宋" w:cs="仿宋"/>
          <w:spacing w:val="-50"/>
          <w:sz w:val="24"/>
          <w:szCs w:val="24"/>
        </w:rPr>
        <w:t xml:space="preserve"> </w:t>
      </w:r>
      <w:r>
        <w:rPr>
          <w:rFonts w:ascii="Times New Roman" w:hAnsi="Times New Roman" w:eastAsia="Times New Roman" w:cs="Times New Roman"/>
          <w:spacing w:val="-5"/>
          <w:sz w:val="24"/>
          <w:szCs w:val="24"/>
        </w:rPr>
        <w:t>3.2-4</w:t>
      </w:r>
      <w:r>
        <w:rPr>
          <w:rFonts w:ascii="仿宋" w:hAnsi="仿宋" w:eastAsia="仿宋" w:cs="仿宋"/>
          <w:spacing w:val="-5"/>
          <w:sz w:val="24"/>
          <w:szCs w:val="24"/>
        </w:rPr>
        <w:t>，评价区总面积</w:t>
      </w:r>
      <w:r>
        <w:rPr>
          <w:rFonts w:ascii="仿宋" w:hAnsi="仿宋" w:eastAsia="仿宋" w:cs="仿宋"/>
          <w:spacing w:val="-32"/>
          <w:sz w:val="24"/>
          <w:szCs w:val="24"/>
        </w:rPr>
        <w:t xml:space="preserve"> </w:t>
      </w:r>
      <w:r>
        <w:rPr>
          <w:rFonts w:ascii="Times New Roman" w:hAnsi="Times New Roman" w:eastAsia="Times New Roman" w:cs="Times New Roman"/>
          <w:spacing w:val="-5"/>
          <w:sz w:val="24"/>
          <w:szCs w:val="24"/>
        </w:rPr>
        <w:t>1810.61hm2</w:t>
      </w:r>
      <w:r>
        <w:rPr>
          <w:rFonts w:ascii="仿宋" w:hAnsi="仿宋" w:eastAsia="仿宋" w:cs="仿宋"/>
          <w:spacing w:val="-5"/>
          <w:sz w:val="24"/>
          <w:szCs w:val="24"/>
        </w:rPr>
        <w:t>，斑块</w:t>
      </w:r>
      <w:r>
        <w:rPr>
          <w:rFonts w:ascii="仿宋" w:hAnsi="仿宋" w:eastAsia="仿宋" w:cs="仿宋"/>
          <w:spacing w:val="-32"/>
          <w:sz w:val="24"/>
          <w:szCs w:val="24"/>
        </w:rPr>
        <w:t xml:space="preserve"> </w:t>
      </w:r>
      <w:r>
        <w:rPr>
          <w:rFonts w:ascii="Times New Roman" w:hAnsi="Times New Roman" w:eastAsia="Times New Roman" w:cs="Times New Roman"/>
          <w:spacing w:val="-5"/>
          <w:sz w:val="24"/>
          <w:szCs w:val="24"/>
        </w:rPr>
        <w:t>153</w:t>
      </w:r>
      <w:r>
        <w:rPr>
          <w:rFonts w:ascii="Times New Roman" w:hAnsi="Times New Roman" w:eastAsia="Times New Roman" w:cs="Times New Roman"/>
          <w:spacing w:val="-6"/>
          <w:sz w:val="24"/>
          <w:szCs w:val="24"/>
        </w:rPr>
        <w:t>1</w:t>
      </w:r>
      <w:r>
        <w:rPr>
          <w:rFonts w:ascii="Times New Roman" w:hAnsi="Times New Roman" w:eastAsia="Times New Roman" w:cs="Times New Roman"/>
          <w:spacing w:val="16"/>
          <w:w w:val="101"/>
          <w:sz w:val="24"/>
          <w:szCs w:val="24"/>
        </w:rPr>
        <w:t xml:space="preserve"> </w:t>
      </w:r>
      <w:r>
        <w:rPr>
          <w:rFonts w:ascii="仿宋" w:hAnsi="仿宋" w:eastAsia="仿宋" w:cs="仿宋"/>
          <w:spacing w:val="-6"/>
          <w:sz w:val="24"/>
          <w:szCs w:val="24"/>
        </w:rPr>
        <w:t>个，各植被类型面积与</w:t>
      </w:r>
      <w:r>
        <w:rPr>
          <w:rFonts w:ascii="仿宋" w:hAnsi="仿宋" w:eastAsia="仿宋" w:cs="仿宋"/>
          <w:spacing w:val="-9"/>
          <w:sz w:val="24"/>
          <w:szCs w:val="24"/>
        </w:rPr>
        <w:t>占比情况如下：</w:t>
      </w:r>
    </w:p>
    <w:p w14:paraId="517FF713">
      <w:pPr>
        <w:spacing w:before="1" w:line="359" w:lineRule="auto"/>
        <w:ind w:left="124" w:right="152" w:firstLine="484"/>
        <w:rPr>
          <w:rFonts w:ascii="仿宋" w:hAnsi="仿宋" w:eastAsia="仿宋" w:cs="仿宋"/>
          <w:sz w:val="24"/>
          <w:szCs w:val="24"/>
        </w:rPr>
      </w:pPr>
      <w:r>
        <w:rPr>
          <w:rFonts w:ascii="仿宋" w:hAnsi="仿宋" w:eastAsia="仿宋" w:cs="仿宋"/>
          <w:spacing w:val="-6"/>
          <w:sz w:val="24"/>
          <w:szCs w:val="24"/>
        </w:rPr>
        <w:t>（</w:t>
      </w:r>
      <w:r>
        <w:rPr>
          <w:rFonts w:ascii="Times New Roman" w:hAnsi="Times New Roman" w:eastAsia="Times New Roman" w:cs="Times New Roman"/>
          <w:spacing w:val="-6"/>
          <w:sz w:val="24"/>
          <w:szCs w:val="24"/>
        </w:rPr>
        <w:t>1</w:t>
      </w:r>
      <w:r>
        <w:rPr>
          <w:rFonts w:ascii="仿宋" w:hAnsi="仿宋" w:eastAsia="仿宋" w:cs="仿宋"/>
          <w:spacing w:val="-6"/>
          <w:sz w:val="24"/>
          <w:szCs w:val="24"/>
        </w:rPr>
        <w:t>）农田植被（耕地</w:t>
      </w:r>
      <w:r>
        <w:rPr>
          <w:rFonts w:ascii="仿宋" w:hAnsi="仿宋" w:eastAsia="仿宋" w:cs="仿宋"/>
          <w:spacing w:val="10"/>
          <w:sz w:val="24"/>
          <w:szCs w:val="24"/>
        </w:rPr>
        <w:t>）：</w:t>
      </w:r>
      <w:r>
        <w:rPr>
          <w:rFonts w:ascii="仿宋" w:hAnsi="仿宋" w:eastAsia="仿宋" w:cs="仿宋"/>
          <w:spacing w:val="-6"/>
          <w:sz w:val="24"/>
          <w:szCs w:val="24"/>
        </w:rPr>
        <w:t>面积</w:t>
      </w:r>
      <w:r>
        <w:rPr>
          <w:rFonts w:ascii="仿宋" w:hAnsi="仿宋" w:eastAsia="仿宋" w:cs="仿宋"/>
          <w:spacing w:val="-47"/>
          <w:sz w:val="24"/>
          <w:szCs w:val="24"/>
        </w:rPr>
        <w:t xml:space="preserve"> </w:t>
      </w:r>
      <w:r>
        <w:rPr>
          <w:rFonts w:ascii="Times New Roman" w:hAnsi="Times New Roman" w:eastAsia="Times New Roman" w:cs="Times New Roman"/>
          <w:spacing w:val="-6"/>
          <w:sz w:val="24"/>
          <w:szCs w:val="24"/>
        </w:rPr>
        <w:t>532.57hm2</w:t>
      </w:r>
      <w:r>
        <w:rPr>
          <w:rFonts w:ascii="Times New Roman" w:hAnsi="Times New Roman" w:eastAsia="Times New Roman" w:cs="Times New Roman"/>
          <w:spacing w:val="-27"/>
          <w:sz w:val="24"/>
          <w:szCs w:val="24"/>
        </w:rPr>
        <w:t xml:space="preserve"> </w:t>
      </w:r>
      <w:r>
        <w:rPr>
          <w:rFonts w:ascii="仿宋" w:hAnsi="仿宋" w:eastAsia="仿宋" w:cs="仿宋"/>
          <w:spacing w:val="-6"/>
          <w:sz w:val="24"/>
          <w:szCs w:val="24"/>
        </w:rPr>
        <w:t>，</w:t>
      </w:r>
      <w:r>
        <w:rPr>
          <w:rFonts w:ascii="仿宋" w:hAnsi="仿宋" w:eastAsia="仿宋" w:cs="仿宋"/>
          <w:spacing w:val="-63"/>
          <w:sz w:val="24"/>
          <w:szCs w:val="24"/>
        </w:rPr>
        <w:t xml:space="preserve"> </w:t>
      </w:r>
      <w:r>
        <w:rPr>
          <w:rFonts w:ascii="仿宋" w:hAnsi="仿宋" w:eastAsia="仿宋" w:cs="仿宋"/>
          <w:spacing w:val="-6"/>
          <w:sz w:val="24"/>
          <w:szCs w:val="24"/>
        </w:rPr>
        <w:t>占评价区</w:t>
      </w:r>
      <w:r>
        <w:rPr>
          <w:rFonts w:ascii="仿宋" w:hAnsi="仿宋" w:eastAsia="仿宋" w:cs="仿宋"/>
          <w:spacing w:val="-55"/>
          <w:sz w:val="24"/>
          <w:szCs w:val="24"/>
        </w:rPr>
        <w:t xml:space="preserve"> </w:t>
      </w:r>
      <w:r>
        <w:rPr>
          <w:rFonts w:ascii="Times New Roman" w:hAnsi="Times New Roman" w:eastAsia="Times New Roman" w:cs="Times New Roman"/>
          <w:spacing w:val="-6"/>
          <w:sz w:val="24"/>
          <w:szCs w:val="24"/>
        </w:rPr>
        <w:t>29.41%</w:t>
      </w:r>
      <w:r>
        <w:rPr>
          <w:rFonts w:ascii="Times New Roman" w:hAnsi="Times New Roman" w:eastAsia="Times New Roman" w:cs="Times New Roman"/>
          <w:spacing w:val="-26"/>
          <w:sz w:val="24"/>
          <w:szCs w:val="24"/>
        </w:rPr>
        <w:t xml:space="preserve"> </w:t>
      </w:r>
      <w:r>
        <w:rPr>
          <w:rFonts w:ascii="仿宋" w:hAnsi="仿宋" w:eastAsia="仿宋" w:cs="仿宋"/>
          <w:spacing w:val="-6"/>
          <w:sz w:val="24"/>
          <w:szCs w:val="24"/>
        </w:rPr>
        <w:t>，</w:t>
      </w:r>
      <w:r>
        <w:rPr>
          <w:rFonts w:ascii="仿宋" w:hAnsi="仿宋" w:eastAsia="仿宋" w:cs="仿宋"/>
          <w:spacing w:val="-7"/>
          <w:sz w:val="24"/>
          <w:szCs w:val="24"/>
        </w:rPr>
        <w:t>为区域面积</w:t>
      </w:r>
      <w:r>
        <w:rPr>
          <w:rFonts w:ascii="仿宋" w:hAnsi="仿宋" w:eastAsia="仿宋" w:cs="仿宋"/>
          <w:spacing w:val="-1"/>
          <w:sz w:val="24"/>
          <w:szCs w:val="24"/>
        </w:rPr>
        <w:t>最大的植被类型；由水浇地、旱地农作物构成，人工栽培植被，斑块数量</w:t>
      </w:r>
      <w:r>
        <w:rPr>
          <w:rFonts w:ascii="仿宋" w:hAnsi="仿宋" w:eastAsia="仿宋" w:cs="仿宋"/>
          <w:spacing w:val="-43"/>
          <w:sz w:val="24"/>
          <w:szCs w:val="24"/>
        </w:rPr>
        <w:t xml:space="preserve"> </w:t>
      </w:r>
      <w:r>
        <w:rPr>
          <w:rFonts w:ascii="Times New Roman" w:hAnsi="Times New Roman" w:eastAsia="Times New Roman" w:cs="Times New Roman"/>
          <w:spacing w:val="-1"/>
          <w:sz w:val="24"/>
          <w:szCs w:val="24"/>
        </w:rPr>
        <w:t>333</w:t>
      </w:r>
      <w:r>
        <w:rPr>
          <w:rFonts w:ascii="仿宋" w:hAnsi="仿宋" w:eastAsia="仿宋" w:cs="仿宋"/>
          <w:spacing w:val="-2"/>
          <w:sz w:val="24"/>
          <w:szCs w:val="24"/>
        </w:rPr>
        <w:t>个，广泛散布于整个评价范围。</w:t>
      </w:r>
    </w:p>
    <w:p w14:paraId="36620DE4">
      <w:pPr>
        <w:spacing w:before="1" w:line="359" w:lineRule="auto"/>
        <w:ind w:left="125" w:right="104" w:firstLine="483"/>
        <w:rPr>
          <w:rFonts w:ascii="仿宋" w:hAnsi="仿宋" w:eastAsia="仿宋" w:cs="仿宋"/>
          <w:sz w:val="24"/>
          <w:szCs w:val="24"/>
        </w:rPr>
      </w:pPr>
      <w:r>
        <w:rPr>
          <w:rFonts w:ascii="仿宋" w:hAnsi="仿宋" w:eastAsia="仿宋" w:cs="仿宋"/>
          <w:spacing w:val="-6"/>
          <w:sz w:val="24"/>
          <w:szCs w:val="24"/>
        </w:rPr>
        <w:t>（</w:t>
      </w:r>
      <w:r>
        <w:rPr>
          <w:rFonts w:ascii="Times New Roman" w:hAnsi="Times New Roman" w:eastAsia="Times New Roman" w:cs="Times New Roman"/>
          <w:spacing w:val="-6"/>
          <w:sz w:val="24"/>
          <w:szCs w:val="24"/>
        </w:rPr>
        <w:t>2</w:t>
      </w:r>
      <w:r>
        <w:rPr>
          <w:rFonts w:ascii="仿宋" w:hAnsi="仿宋" w:eastAsia="仿宋" w:cs="仿宋"/>
          <w:spacing w:val="-6"/>
          <w:sz w:val="24"/>
          <w:szCs w:val="24"/>
        </w:rPr>
        <w:t xml:space="preserve">）草地植被：合计 </w:t>
      </w:r>
      <w:r>
        <w:rPr>
          <w:rFonts w:ascii="Times New Roman" w:hAnsi="Times New Roman" w:eastAsia="Times New Roman" w:cs="Times New Roman"/>
          <w:spacing w:val="-6"/>
          <w:sz w:val="24"/>
          <w:szCs w:val="24"/>
        </w:rPr>
        <w:t>635.97hm2</w:t>
      </w:r>
      <w:r>
        <w:rPr>
          <w:rFonts w:ascii="Times New Roman" w:hAnsi="Times New Roman" w:eastAsia="Times New Roman" w:cs="Times New Roman"/>
          <w:spacing w:val="-21"/>
          <w:sz w:val="24"/>
          <w:szCs w:val="24"/>
        </w:rPr>
        <w:t xml:space="preserve"> </w:t>
      </w:r>
      <w:r>
        <w:rPr>
          <w:rFonts w:ascii="仿宋" w:hAnsi="仿宋" w:eastAsia="仿宋" w:cs="仿宋"/>
          <w:spacing w:val="-6"/>
          <w:sz w:val="24"/>
          <w:szCs w:val="24"/>
        </w:rPr>
        <w:t>，</w:t>
      </w:r>
      <w:r>
        <w:rPr>
          <w:rFonts w:ascii="仿宋" w:hAnsi="仿宋" w:eastAsia="仿宋" w:cs="仿宋"/>
          <w:spacing w:val="-66"/>
          <w:sz w:val="24"/>
          <w:szCs w:val="24"/>
        </w:rPr>
        <w:t xml:space="preserve"> </w:t>
      </w:r>
      <w:r>
        <w:rPr>
          <w:rFonts w:ascii="仿宋" w:hAnsi="仿宋" w:eastAsia="仿宋" w:cs="仿宋"/>
          <w:spacing w:val="-6"/>
          <w:sz w:val="24"/>
          <w:szCs w:val="24"/>
        </w:rPr>
        <w:t>占比</w:t>
      </w:r>
      <w:r>
        <w:rPr>
          <w:rFonts w:ascii="仿宋" w:hAnsi="仿宋" w:eastAsia="仿宋" w:cs="仿宋"/>
          <w:spacing w:val="-50"/>
          <w:sz w:val="24"/>
          <w:szCs w:val="24"/>
        </w:rPr>
        <w:t xml:space="preserve"> </w:t>
      </w:r>
      <w:r>
        <w:rPr>
          <w:rFonts w:ascii="Times New Roman" w:hAnsi="Times New Roman" w:eastAsia="Times New Roman" w:cs="Times New Roman"/>
          <w:spacing w:val="-6"/>
          <w:sz w:val="24"/>
          <w:szCs w:val="24"/>
        </w:rPr>
        <w:t>35.</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6"/>
          <w:sz w:val="24"/>
          <w:szCs w:val="24"/>
        </w:rPr>
        <w:t>13%</w:t>
      </w:r>
      <w:r>
        <w:rPr>
          <w:rFonts w:ascii="Times New Roman" w:hAnsi="Times New Roman" w:eastAsia="Times New Roman" w:cs="Times New Roman"/>
          <w:spacing w:val="-28"/>
          <w:sz w:val="24"/>
          <w:szCs w:val="24"/>
        </w:rPr>
        <w:t xml:space="preserve"> </w:t>
      </w:r>
      <w:r>
        <w:rPr>
          <w:rFonts w:ascii="仿宋" w:hAnsi="仿宋" w:eastAsia="仿宋" w:cs="仿宋"/>
          <w:spacing w:val="-6"/>
          <w:sz w:val="24"/>
          <w:szCs w:val="24"/>
        </w:rPr>
        <w:t>，为区域第一大自然植被体</w:t>
      </w:r>
      <w:r>
        <w:rPr>
          <w:rFonts w:ascii="仿宋" w:hAnsi="仿宋" w:eastAsia="仿宋" w:cs="仿宋"/>
          <w:spacing w:val="-7"/>
          <w:sz w:val="24"/>
          <w:szCs w:val="24"/>
        </w:rPr>
        <w:t>系本氏针茅</w:t>
      </w:r>
      <w:r>
        <w:rPr>
          <w:rFonts w:ascii="Times New Roman" w:hAnsi="Times New Roman" w:eastAsia="Times New Roman" w:cs="Times New Roman"/>
          <w:spacing w:val="-7"/>
          <w:sz w:val="24"/>
          <w:szCs w:val="24"/>
        </w:rPr>
        <w:t>+</w:t>
      </w:r>
      <w:r>
        <w:rPr>
          <w:rFonts w:ascii="Times New Roman" w:hAnsi="Times New Roman" w:eastAsia="Times New Roman" w:cs="Times New Roman"/>
          <w:spacing w:val="-22"/>
          <w:sz w:val="24"/>
          <w:szCs w:val="24"/>
        </w:rPr>
        <w:t xml:space="preserve"> </w:t>
      </w:r>
      <w:r>
        <w:rPr>
          <w:rFonts w:ascii="仿宋" w:hAnsi="仿宋" w:eastAsia="仿宋" w:cs="仿宋"/>
          <w:spacing w:val="-7"/>
          <w:sz w:val="24"/>
          <w:szCs w:val="24"/>
        </w:rPr>
        <w:t>百里香群落：</w:t>
      </w:r>
      <w:r>
        <w:rPr>
          <w:rFonts w:ascii="Times New Roman" w:hAnsi="Times New Roman" w:eastAsia="Times New Roman" w:cs="Times New Roman"/>
          <w:spacing w:val="-7"/>
          <w:sz w:val="24"/>
          <w:szCs w:val="24"/>
        </w:rPr>
        <w:t>363.51hm2</w:t>
      </w:r>
      <w:r>
        <w:rPr>
          <w:rFonts w:ascii="Times New Roman" w:hAnsi="Times New Roman" w:eastAsia="Times New Roman" w:cs="Times New Roman"/>
          <w:spacing w:val="-27"/>
          <w:sz w:val="24"/>
          <w:szCs w:val="24"/>
        </w:rPr>
        <w:t xml:space="preserve"> </w:t>
      </w:r>
      <w:r>
        <w:rPr>
          <w:rFonts w:ascii="仿宋" w:hAnsi="仿宋" w:eastAsia="仿宋" w:cs="仿宋"/>
          <w:spacing w:val="-7"/>
          <w:sz w:val="24"/>
          <w:szCs w:val="24"/>
        </w:rPr>
        <w:t>，占</w:t>
      </w:r>
      <w:r>
        <w:rPr>
          <w:rFonts w:ascii="仿宋" w:hAnsi="仿宋" w:eastAsia="仿宋" w:cs="仿宋"/>
          <w:spacing w:val="-55"/>
          <w:sz w:val="24"/>
          <w:szCs w:val="24"/>
        </w:rPr>
        <w:t xml:space="preserve"> </w:t>
      </w:r>
      <w:r>
        <w:rPr>
          <w:rFonts w:ascii="Times New Roman" w:hAnsi="Times New Roman" w:eastAsia="Times New Roman" w:cs="Times New Roman"/>
          <w:spacing w:val="-7"/>
          <w:sz w:val="24"/>
          <w:szCs w:val="24"/>
        </w:rPr>
        <w:t>20.08%</w:t>
      </w:r>
      <w:r>
        <w:rPr>
          <w:rFonts w:ascii="仿宋" w:hAnsi="仿宋" w:eastAsia="仿宋" w:cs="仿宋"/>
          <w:spacing w:val="-7"/>
          <w:sz w:val="24"/>
          <w:szCs w:val="24"/>
        </w:rPr>
        <w:t xml:space="preserve">，是优势天然草地群落；羊草 </w:t>
      </w:r>
      <w:r>
        <w:rPr>
          <w:rFonts w:ascii="Times New Roman" w:hAnsi="Times New Roman" w:eastAsia="Times New Roman" w:cs="Times New Roman"/>
          <w:spacing w:val="-7"/>
          <w:sz w:val="24"/>
          <w:szCs w:val="24"/>
        </w:rPr>
        <w:t>+</w:t>
      </w:r>
      <w:r>
        <w:rPr>
          <w:rFonts w:ascii="仿宋" w:hAnsi="仿宋" w:eastAsia="仿宋" w:cs="仿宋"/>
          <w:spacing w:val="-7"/>
          <w:sz w:val="24"/>
          <w:szCs w:val="24"/>
        </w:rPr>
        <w:t>杂类草群落：</w:t>
      </w:r>
      <w:r>
        <w:rPr>
          <w:rFonts w:ascii="Times New Roman" w:hAnsi="Times New Roman" w:eastAsia="Times New Roman" w:cs="Times New Roman"/>
          <w:spacing w:val="-7"/>
          <w:sz w:val="24"/>
          <w:szCs w:val="24"/>
        </w:rPr>
        <w:t>272.46hm2</w:t>
      </w:r>
      <w:r>
        <w:rPr>
          <w:rFonts w:ascii="Times New Roman" w:hAnsi="Times New Roman" w:eastAsia="Times New Roman" w:cs="Times New Roman"/>
          <w:spacing w:val="-23"/>
          <w:sz w:val="24"/>
          <w:szCs w:val="24"/>
        </w:rPr>
        <w:t xml:space="preserve"> </w:t>
      </w:r>
      <w:r>
        <w:rPr>
          <w:rFonts w:ascii="仿宋" w:hAnsi="仿宋" w:eastAsia="仿宋" w:cs="仿宋"/>
          <w:spacing w:val="-7"/>
          <w:sz w:val="24"/>
          <w:szCs w:val="24"/>
        </w:rPr>
        <w:t>，</w:t>
      </w:r>
      <w:r>
        <w:rPr>
          <w:rFonts w:ascii="仿宋" w:hAnsi="仿宋" w:eastAsia="仿宋" w:cs="仿宋"/>
          <w:spacing w:val="-63"/>
          <w:sz w:val="24"/>
          <w:szCs w:val="24"/>
        </w:rPr>
        <w:t xml:space="preserve"> </w:t>
      </w:r>
      <w:r>
        <w:rPr>
          <w:rFonts w:ascii="仿宋" w:hAnsi="仿宋" w:eastAsia="仿宋" w:cs="仿宋"/>
          <w:spacing w:val="-7"/>
          <w:sz w:val="24"/>
          <w:szCs w:val="24"/>
        </w:rPr>
        <w:t>占</w:t>
      </w:r>
      <w:r>
        <w:rPr>
          <w:rFonts w:ascii="仿宋" w:hAnsi="仿宋" w:eastAsia="仿宋" w:cs="仿宋"/>
          <w:spacing w:val="-32"/>
          <w:sz w:val="24"/>
          <w:szCs w:val="24"/>
        </w:rPr>
        <w:t xml:space="preserve"> </w:t>
      </w:r>
      <w:r>
        <w:rPr>
          <w:rFonts w:ascii="Times New Roman" w:hAnsi="Times New Roman" w:eastAsia="Times New Roman" w:cs="Times New Roman"/>
          <w:spacing w:val="-7"/>
          <w:sz w:val="24"/>
          <w:szCs w:val="24"/>
        </w:rPr>
        <w:t>15.05%</w:t>
      </w:r>
      <w:r>
        <w:rPr>
          <w:rFonts w:ascii="Times New Roman" w:hAnsi="Times New Roman" w:eastAsia="Times New Roman" w:cs="Times New Roman"/>
          <w:spacing w:val="-25"/>
          <w:sz w:val="24"/>
          <w:szCs w:val="24"/>
        </w:rPr>
        <w:t xml:space="preserve"> </w:t>
      </w:r>
      <w:r>
        <w:rPr>
          <w:rFonts w:ascii="仿宋" w:hAnsi="仿宋" w:eastAsia="仿宋" w:cs="仿宋"/>
          <w:spacing w:val="-7"/>
          <w:sz w:val="24"/>
          <w:szCs w:val="24"/>
        </w:rPr>
        <w:t>，为次要草地群落。</w:t>
      </w:r>
    </w:p>
    <w:p w14:paraId="5A15DD66">
      <w:pPr>
        <w:spacing w:before="2" w:line="358" w:lineRule="auto"/>
        <w:ind w:left="123" w:right="152" w:firstLine="485"/>
        <w:rPr>
          <w:rFonts w:ascii="仿宋" w:hAnsi="仿宋" w:eastAsia="仿宋" w:cs="仿宋"/>
          <w:sz w:val="24"/>
          <w:szCs w:val="24"/>
        </w:rPr>
      </w:pPr>
      <w:r>
        <w:rPr>
          <w:rFonts w:ascii="仿宋" w:hAnsi="仿宋" w:eastAsia="仿宋" w:cs="仿宋"/>
          <w:spacing w:val="-7"/>
          <w:sz w:val="24"/>
          <w:szCs w:val="24"/>
        </w:rPr>
        <w:t>（</w:t>
      </w:r>
      <w:r>
        <w:rPr>
          <w:rFonts w:ascii="Times New Roman" w:hAnsi="Times New Roman" w:eastAsia="Times New Roman" w:cs="Times New Roman"/>
          <w:spacing w:val="-7"/>
          <w:sz w:val="24"/>
          <w:szCs w:val="24"/>
        </w:rPr>
        <w:t>3</w:t>
      </w:r>
      <w:r>
        <w:rPr>
          <w:rFonts w:ascii="仿宋" w:hAnsi="仿宋" w:eastAsia="仿宋" w:cs="仿宋"/>
          <w:spacing w:val="-7"/>
          <w:sz w:val="24"/>
          <w:szCs w:val="24"/>
        </w:rPr>
        <w:t>）灌丛植被（柠条锦鸡儿群落</w:t>
      </w:r>
      <w:r>
        <w:rPr>
          <w:rFonts w:ascii="仿宋" w:hAnsi="仿宋" w:eastAsia="仿宋" w:cs="仿宋"/>
          <w:spacing w:val="19"/>
          <w:sz w:val="24"/>
          <w:szCs w:val="24"/>
        </w:rPr>
        <w:t>）：</w:t>
      </w:r>
      <w:r>
        <w:rPr>
          <w:rFonts w:ascii="仿宋" w:hAnsi="仿宋" w:eastAsia="仿宋" w:cs="仿宋"/>
          <w:spacing w:val="-7"/>
          <w:sz w:val="24"/>
          <w:szCs w:val="24"/>
        </w:rPr>
        <w:t>面积</w:t>
      </w:r>
      <w:r>
        <w:rPr>
          <w:rFonts w:ascii="仿宋" w:hAnsi="仿宋" w:eastAsia="仿宋" w:cs="仿宋"/>
          <w:spacing w:val="-55"/>
          <w:sz w:val="24"/>
          <w:szCs w:val="24"/>
        </w:rPr>
        <w:t xml:space="preserve"> </w:t>
      </w:r>
      <w:r>
        <w:rPr>
          <w:rFonts w:ascii="Times New Roman" w:hAnsi="Times New Roman" w:eastAsia="Times New Roman" w:cs="Times New Roman"/>
          <w:spacing w:val="-7"/>
          <w:sz w:val="24"/>
          <w:szCs w:val="24"/>
        </w:rPr>
        <w:t>263.00hm2</w:t>
      </w:r>
      <w:r>
        <w:rPr>
          <w:rFonts w:ascii="Times New Roman" w:hAnsi="Times New Roman" w:eastAsia="Times New Roman" w:cs="Times New Roman"/>
          <w:spacing w:val="-27"/>
          <w:sz w:val="24"/>
          <w:szCs w:val="24"/>
        </w:rPr>
        <w:t xml:space="preserve"> </w:t>
      </w:r>
      <w:r>
        <w:rPr>
          <w:rFonts w:ascii="仿宋" w:hAnsi="仿宋" w:eastAsia="仿宋" w:cs="仿宋"/>
          <w:spacing w:val="-7"/>
          <w:sz w:val="24"/>
          <w:szCs w:val="24"/>
        </w:rPr>
        <w:t>，</w:t>
      </w:r>
      <w:r>
        <w:rPr>
          <w:rFonts w:ascii="仿宋" w:hAnsi="仿宋" w:eastAsia="仿宋" w:cs="仿宋"/>
          <w:spacing w:val="-63"/>
          <w:sz w:val="24"/>
          <w:szCs w:val="24"/>
        </w:rPr>
        <w:t xml:space="preserve"> </w:t>
      </w:r>
      <w:r>
        <w:rPr>
          <w:rFonts w:ascii="仿宋" w:hAnsi="仿宋" w:eastAsia="仿宋" w:cs="仿宋"/>
          <w:spacing w:val="-7"/>
          <w:sz w:val="24"/>
          <w:szCs w:val="24"/>
        </w:rPr>
        <w:t>占比</w:t>
      </w:r>
      <w:r>
        <w:rPr>
          <w:rFonts w:ascii="仿宋" w:hAnsi="仿宋" w:eastAsia="仿宋" w:cs="仿宋"/>
          <w:spacing w:val="-32"/>
          <w:sz w:val="24"/>
          <w:szCs w:val="24"/>
        </w:rPr>
        <w:t xml:space="preserve"> </w:t>
      </w:r>
      <w:r>
        <w:rPr>
          <w:rFonts w:ascii="Times New Roman" w:hAnsi="Times New Roman" w:eastAsia="Times New Roman" w:cs="Times New Roman"/>
          <w:spacing w:val="-7"/>
          <w:sz w:val="24"/>
          <w:szCs w:val="24"/>
        </w:rPr>
        <w:t>14.53%</w:t>
      </w:r>
      <w:r>
        <w:rPr>
          <w:rFonts w:ascii="Times New Roman" w:hAnsi="Times New Roman" w:eastAsia="Times New Roman" w:cs="Times New Roman"/>
          <w:spacing w:val="-26"/>
          <w:sz w:val="24"/>
          <w:szCs w:val="24"/>
        </w:rPr>
        <w:t xml:space="preserve"> </w:t>
      </w:r>
      <w:r>
        <w:rPr>
          <w:rFonts w:ascii="仿宋" w:hAnsi="仿宋" w:eastAsia="仿宋" w:cs="仿宋"/>
          <w:spacing w:val="-7"/>
          <w:sz w:val="24"/>
          <w:szCs w:val="24"/>
        </w:rPr>
        <w:t>，是区</w:t>
      </w:r>
      <w:r>
        <w:rPr>
          <w:rFonts w:ascii="仿宋" w:hAnsi="仿宋" w:eastAsia="仿宋" w:cs="仿宋"/>
          <w:spacing w:val="-1"/>
          <w:sz w:val="24"/>
          <w:szCs w:val="24"/>
        </w:rPr>
        <w:t>域优势灌木群落，耐旱乡土灌丛，生态固土防风能力强。</w:t>
      </w:r>
    </w:p>
    <w:p w14:paraId="3CE0BA79">
      <w:pPr>
        <w:spacing w:before="4" w:line="358" w:lineRule="auto"/>
        <w:ind w:left="138" w:right="39" w:firstLine="470"/>
        <w:rPr>
          <w:rFonts w:ascii="仿宋" w:hAnsi="仿宋" w:eastAsia="仿宋" w:cs="仿宋"/>
          <w:sz w:val="24"/>
          <w:szCs w:val="24"/>
        </w:rPr>
      </w:pPr>
      <w:r>
        <w:rPr>
          <w:rFonts w:ascii="仿宋" w:hAnsi="仿宋" w:eastAsia="仿宋" w:cs="仿宋"/>
          <w:spacing w:val="-13"/>
          <w:sz w:val="24"/>
          <w:szCs w:val="24"/>
        </w:rPr>
        <w:t>（</w:t>
      </w:r>
      <w:r>
        <w:rPr>
          <w:rFonts w:ascii="Times New Roman" w:hAnsi="Times New Roman" w:eastAsia="Times New Roman" w:cs="Times New Roman"/>
          <w:spacing w:val="-13"/>
          <w:sz w:val="24"/>
          <w:szCs w:val="24"/>
        </w:rPr>
        <w:t>4</w:t>
      </w:r>
      <w:r>
        <w:rPr>
          <w:rFonts w:ascii="仿宋" w:hAnsi="仿宋" w:eastAsia="仿宋" w:cs="仿宋"/>
          <w:spacing w:val="-13"/>
          <w:sz w:val="24"/>
          <w:szCs w:val="24"/>
        </w:rPr>
        <w:t>）乔木林植被：合计</w:t>
      </w:r>
      <w:r>
        <w:rPr>
          <w:rFonts w:ascii="仿宋" w:hAnsi="仿宋" w:eastAsia="仿宋" w:cs="仿宋"/>
          <w:spacing w:val="-41"/>
          <w:sz w:val="24"/>
          <w:szCs w:val="24"/>
        </w:rPr>
        <w:t xml:space="preserve"> </w:t>
      </w:r>
      <w:r>
        <w:rPr>
          <w:rFonts w:ascii="Times New Roman" w:hAnsi="Times New Roman" w:eastAsia="Times New Roman" w:cs="Times New Roman"/>
          <w:spacing w:val="-13"/>
          <w:sz w:val="24"/>
          <w:szCs w:val="24"/>
        </w:rPr>
        <w:t>278.89hm2</w:t>
      </w:r>
      <w:r>
        <w:rPr>
          <w:rFonts w:ascii="仿宋" w:hAnsi="仿宋" w:eastAsia="仿宋" w:cs="仿宋"/>
          <w:spacing w:val="-13"/>
          <w:sz w:val="24"/>
          <w:szCs w:val="24"/>
        </w:rPr>
        <w:t>，占比</w:t>
      </w:r>
      <w:r>
        <w:rPr>
          <w:rFonts w:ascii="仿宋" w:hAnsi="仿宋" w:eastAsia="仿宋" w:cs="仿宋"/>
          <w:spacing w:val="-32"/>
          <w:sz w:val="24"/>
          <w:szCs w:val="24"/>
        </w:rPr>
        <w:t xml:space="preserve"> </w:t>
      </w:r>
      <w:r>
        <w:rPr>
          <w:rFonts w:ascii="Times New Roman" w:hAnsi="Times New Roman" w:eastAsia="Times New Roman" w:cs="Times New Roman"/>
          <w:spacing w:val="-13"/>
          <w:sz w:val="24"/>
          <w:szCs w:val="24"/>
        </w:rPr>
        <w:t>15.40%</w:t>
      </w:r>
      <w:r>
        <w:rPr>
          <w:rFonts w:ascii="仿宋" w:hAnsi="仿宋" w:eastAsia="仿宋" w:cs="仿宋"/>
          <w:spacing w:val="-13"/>
          <w:sz w:val="24"/>
          <w:szCs w:val="24"/>
        </w:rPr>
        <w:t>，其中杏树群落：</w:t>
      </w:r>
      <w:r>
        <w:rPr>
          <w:rFonts w:ascii="Times New Roman" w:hAnsi="Times New Roman" w:eastAsia="Times New Roman" w:cs="Times New Roman"/>
          <w:spacing w:val="-13"/>
          <w:sz w:val="24"/>
          <w:szCs w:val="24"/>
        </w:rPr>
        <w:t>185.59hm2</w:t>
      </w:r>
      <w:r>
        <w:rPr>
          <w:rFonts w:ascii="仿宋" w:hAnsi="仿宋" w:eastAsia="仿宋" w:cs="仿宋"/>
          <w:spacing w:val="-13"/>
          <w:sz w:val="24"/>
          <w:szCs w:val="24"/>
        </w:rPr>
        <w:t>，</w:t>
      </w:r>
      <w:r>
        <w:rPr>
          <w:rFonts w:ascii="仿宋" w:hAnsi="仿宋" w:eastAsia="仿宋" w:cs="仿宋"/>
          <w:spacing w:val="-7"/>
          <w:sz w:val="24"/>
          <w:szCs w:val="24"/>
        </w:rPr>
        <w:t>占</w:t>
      </w:r>
      <w:r>
        <w:rPr>
          <w:rFonts w:ascii="仿宋" w:hAnsi="仿宋" w:eastAsia="仿宋" w:cs="仿宋"/>
          <w:spacing w:val="-26"/>
          <w:sz w:val="24"/>
          <w:szCs w:val="24"/>
        </w:rPr>
        <w:t xml:space="preserve"> </w:t>
      </w:r>
      <w:r>
        <w:rPr>
          <w:rFonts w:ascii="Times New Roman" w:hAnsi="Times New Roman" w:eastAsia="Times New Roman" w:cs="Times New Roman"/>
          <w:spacing w:val="-7"/>
          <w:sz w:val="24"/>
          <w:szCs w:val="24"/>
        </w:rPr>
        <w:t>10.25%</w:t>
      </w:r>
      <w:r>
        <w:rPr>
          <w:rFonts w:ascii="Times New Roman" w:hAnsi="Times New Roman" w:eastAsia="Times New Roman" w:cs="Times New Roman"/>
          <w:spacing w:val="-28"/>
          <w:sz w:val="24"/>
          <w:szCs w:val="24"/>
        </w:rPr>
        <w:t xml:space="preserve"> </w:t>
      </w:r>
      <w:r>
        <w:rPr>
          <w:rFonts w:ascii="仿宋" w:hAnsi="仿宋" w:eastAsia="仿宋" w:cs="仿宋"/>
          <w:spacing w:val="-7"/>
          <w:sz w:val="24"/>
          <w:szCs w:val="24"/>
        </w:rPr>
        <w:t>，为主要人工</w:t>
      </w:r>
      <w:r>
        <w:rPr>
          <w:rFonts w:ascii="Times New Roman" w:hAnsi="Times New Roman" w:eastAsia="Times New Roman" w:cs="Times New Roman"/>
          <w:spacing w:val="-7"/>
          <w:sz w:val="24"/>
          <w:szCs w:val="24"/>
        </w:rPr>
        <w:t>/</w:t>
      </w:r>
      <w:r>
        <w:rPr>
          <w:rFonts w:ascii="仿宋" w:hAnsi="仿宋" w:eastAsia="仿宋" w:cs="仿宋"/>
          <w:spacing w:val="-7"/>
          <w:sz w:val="24"/>
          <w:szCs w:val="24"/>
        </w:rPr>
        <w:t>乡土经济乔木林；榆树群落：</w:t>
      </w:r>
      <w:r>
        <w:rPr>
          <w:rFonts w:ascii="Times New Roman" w:hAnsi="Times New Roman" w:eastAsia="Times New Roman" w:cs="Times New Roman"/>
          <w:spacing w:val="-7"/>
          <w:sz w:val="24"/>
          <w:szCs w:val="24"/>
        </w:rPr>
        <w:t>93.30hm2</w:t>
      </w:r>
      <w:r>
        <w:rPr>
          <w:rFonts w:ascii="Times New Roman" w:hAnsi="Times New Roman" w:eastAsia="Times New Roman" w:cs="Times New Roman"/>
          <w:spacing w:val="-27"/>
          <w:sz w:val="24"/>
          <w:szCs w:val="24"/>
        </w:rPr>
        <w:t xml:space="preserve"> </w:t>
      </w:r>
      <w:r>
        <w:rPr>
          <w:rFonts w:ascii="仿宋" w:hAnsi="仿宋" w:eastAsia="仿宋" w:cs="仿宋"/>
          <w:spacing w:val="-7"/>
          <w:sz w:val="24"/>
          <w:szCs w:val="24"/>
        </w:rPr>
        <w:t>，</w:t>
      </w:r>
      <w:r>
        <w:rPr>
          <w:rFonts w:ascii="仿宋" w:hAnsi="仿宋" w:eastAsia="仿宋" w:cs="仿宋"/>
          <w:spacing w:val="-63"/>
          <w:sz w:val="24"/>
          <w:szCs w:val="24"/>
        </w:rPr>
        <w:t xml:space="preserve"> </w:t>
      </w:r>
      <w:r>
        <w:rPr>
          <w:rFonts w:ascii="仿宋" w:hAnsi="仿宋" w:eastAsia="仿宋" w:cs="仿宋"/>
          <w:spacing w:val="-7"/>
          <w:sz w:val="24"/>
          <w:szCs w:val="24"/>
        </w:rPr>
        <w:t>占</w:t>
      </w:r>
      <w:r>
        <w:rPr>
          <w:rFonts w:ascii="仿宋" w:hAnsi="仿宋" w:eastAsia="仿宋" w:cs="仿宋"/>
          <w:spacing w:val="-48"/>
          <w:sz w:val="24"/>
          <w:szCs w:val="24"/>
        </w:rPr>
        <w:t xml:space="preserve"> </w:t>
      </w:r>
      <w:r>
        <w:rPr>
          <w:rFonts w:ascii="Times New Roman" w:hAnsi="Times New Roman" w:eastAsia="Times New Roman" w:cs="Times New Roman"/>
          <w:spacing w:val="-7"/>
          <w:sz w:val="24"/>
          <w:szCs w:val="24"/>
        </w:rPr>
        <w:t>5.</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7"/>
          <w:sz w:val="24"/>
          <w:szCs w:val="24"/>
        </w:rPr>
        <w:t>15%</w:t>
      </w:r>
      <w:r>
        <w:rPr>
          <w:rFonts w:ascii="Times New Roman" w:hAnsi="Times New Roman" w:eastAsia="Times New Roman" w:cs="Times New Roman"/>
          <w:spacing w:val="-28"/>
          <w:sz w:val="24"/>
          <w:szCs w:val="24"/>
        </w:rPr>
        <w:t xml:space="preserve"> </w:t>
      </w:r>
      <w:r>
        <w:rPr>
          <w:rFonts w:ascii="仿宋" w:hAnsi="仿宋" w:eastAsia="仿宋" w:cs="仿宋"/>
          <w:spacing w:val="-7"/>
          <w:sz w:val="24"/>
          <w:szCs w:val="24"/>
        </w:rPr>
        <w:t>，次</w:t>
      </w:r>
      <w:r>
        <w:rPr>
          <w:rFonts w:ascii="仿宋" w:hAnsi="仿宋" w:eastAsia="仿宋" w:cs="仿宋"/>
          <w:spacing w:val="-5"/>
          <w:sz w:val="24"/>
          <w:szCs w:val="24"/>
        </w:rPr>
        <w:t>生乡土乔木林。</w:t>
      </w:r>
    </w:p>
    <w:p w14:paraId="0B932A4B">
      <w:pPr>
        <w:spacing w:before="2" w:line="359" w:lineRule="auto"/>
        <w:ind w:left="124" w:right="104" w:firstLine="484"/>
        <w:rPr>
          <w:rFonts w:ascii="仿宋" w:hAnsi="仿宋" w:eastAsia="仿宋" w:cs="仿宋"/>
          <w:sz w:val="24"/>
          <w:szCs w:val="24"/>
        </w:rPr>
      </w:pPr>
      <w:r>
        <w:rPr>
          <w:rFonts w:ascii="仿宋" w:hAnsi="仿宋" w:eastAsia="仿宋" w:cs="仿宋"/>
          <w:spacing w:val="-6"/>
          <w:sz w:val="24"/>
          <w:szCs w:val="24"/>
        </w:rPr>
        <w:t>（</w:t>
      </w:r>
      <w:r>
        <w:rPr>
          <w:rFonts w:ascii="Times New Roman" w:hAnsi="Times New Roman" w:eastAsia="Times New Roman" w:cs="Times New Roman"/>
          <w:spacing w:val="-6"/>
          <w:sz w:val="24"/>
          <w:szCs w:val="24"/>
        </w:rPr>
        <w:t>5</w:t>
      </w:r>
      <w:r>
        <w:rPr>
          <w:rFonts w:ascii="仿宋" w:hAnsi="仿宋" w:eastAsia="仿宋" w:cs="仿宋"/>
          <w:spacing w:val="-6"/>
          <w:sz w:val="24"/>
          <w:szCs w:val="24"/>
        </w:rPr>
        <w:t>）滩涂植被：仅芨芨草群落</w:t>
      </w:r>
      <w:r>
        <w:rPr>
          <w:rFonts w:ascii="仿宋" w:hAnsi="仿宋" w:eastAsia="仿宋" w:cs="仿宋"/>
          <w:spacing w:val="-55"/>
          <w:sz w:val="24"/>
          <w:szCs w:val="24"/>
        </w:rPr>
        <w:t xml:space="preserve"> </w:t>
      </w:r>
      <w:r>
        <w:rPr>
          <w:rFonts w:ascii="Times New Roman" w:hAnsi="Times New Roman" w:eastAsia="Times New Roman" w:cs="Times New Roman"/>
          <w:spacing w:val="-6"/>
          <w:sz w:val="24"/>
          <w:szCs w:val="24"/>
        </w:rPr>
        <w:t>2.39hm2</w:t>
      </w:r>
      <w:r>
        <w:rPr>
          <w:rFonts w:ascii="Times New Roman" w:hAnsi="Times New Roman" w:eastAsia="Times New Roman" w:cs="Times New Roman"/>
          <w:spacing w:val="-26"/>
          <w:sz w:val="24"/>
          <w:szCs w:val="24"/>
        </w:rPr>
        <w:t xml:space="preserve"> </w:t>
      </w:r>
      <w:r>
        <w:rPr>
          <w:rFonts w:ascii="仿宋" w:hAnsi="仿宋" w:eastAsia="仿宋" w:cs="仿宋"/>
          <w:spacing w:val="-6"/>
          <w:sz w:val="24"/>
          <w:szCs w:val="24"/>
        </w:rPr>
        <w:t>，占</w:t>
      </w:r>
      <w:r>
        <w:rPr>
          <w:rFonts w:ascii="仿宋" w:hAnsi="仿宋" w:eastAsia="仿宋" w:cs="仿宋"/>
          <w:spacing w:val="-52"/>
          <w:sz w:val="24"/>
          <w:szCs w:val="24"/>
        </w:rPr>
        <w:t xml:space="preserve"> </w:t>
      </w:r>
      <w:r>
        <w:rPr>
          <w:rFonts w:ascii="Times New Roman" w:hAnsi="Times New Roman" w:eastAsia="Times New Roman" w:cs="Times New Roman"/>
          <w:spacing w:val="-7"/>
          <w:sz w:val="24"/>
          <w:szCs w:val="24"/>
        </w:rPr>
        <w:t>0.</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7"/>
          <w:sz w:val="24"/>
          <w:szCs w:val="24"/>
        </w:rPr>
        <w:t>13%</w:t>
      </w:r>
      <w:r>
        <w:rPr>
          <w:rFonts w:ascii="Times New Roman" w:hAnsi="Times New Roman" w:eastAsia="Times New Roman" w:cs="Times New Roman"/>
          <w:spacing w:val="-28"/>
          <w:sz w:val="24"/>
          <w:szCs w:val="24"/>
        </w:rPr>
        <w:t xml:space="preserve"> </w:t>
      </w:r>
      <w:r>
        <w:rPr>
          <w:rFonts w:ascii="仿宋" w:hAnsi="仿宋" w:eastAsia="仿宋" w:cs="仿宋"/>
          <w:spacing w:val="-7"/>
          <w:sz w:val="24"/>
          <w:szCs w:val="24"/>
        </w:rPr>
        <w:t>，仅零星分布于河谷滩涂</w:t>
      </w:r>
      <w:r>
        <w:rPr>
          <w:rFonts w:ascii="仿宋" w:hAnsi="仿宋" w:eastAsia="仿宋" w:cs="仿宋"/>
          <w:spacing w:val="-3"/>
          <w:sz w:val="24"/>
          <w:szCs w:val="24"/>
        </w:rPr>
        <w:t>地带，面积极小。</w:t>
      </w:r>
    </w:p>
    <w:p w14:paraId="53544ADC">
      <w:pPr>
        <w:spacing w:line="359" w:lineRule="auto"/>
        <w:rPr>
          <w:rFonts w:ascii="仿宋" w:hAnsi="仿宋" w:eastAsia="仿宋" w:cs="仿宋"/>
          <w:sz w:val="24"/>
          <w:szCs w:val="24"/>
        </w:rPr>
        <w:sectPr>
          <w:footerReference r:id="rId248" w:type="default"/>
          <w:pgSz w:w="11906" w:h="16839"/>
          <w:pgMar w:top="400" w:right="1695" w:bottom="1511" w:left="1691" w:header="0" w:footer="1349" w:gutter="0"/>
          <w:cols w:space="720" w:num="1"/>
        </w:sectPr>
      </w:pPr>
    </w:p>
    <w:p w14:paraId="0457CC62">
      <w:pPr>
        <w:pStyle w:val="2"/>
        <w:spacing w:line="247" w:lineRule="auto"/>
        <w:rPr>
          <w:sz w:val="21"/>
        </w:rPr>
      </w:pPr>
    </w:p>
    <w:p w14:paraId="5E2CB14E">
      <w:pPr>
        <w:pStyle w:val="2"/>
        <w:spacing w:line="247" w:lineRule="auto"/>
        <w:rPr>
          <w:sz w:val="21"/>
        </w:rPr>
      </w:pPr>
    </w:p>
    <w:p w14:paraId="28186E49">
      <w:pPr>
        <w:pStyle w:val="2"/>
        <w:spacing w:line="248" w:lineRule="auto"/>
        <w:rPr>
          <w:sz w:val="21"/>
        </w:rPr>
      </w:pPr>
    </w:p>
    <w:p w14:paraId="7F725A10">
      <w:pPr>
        <w:pStyle w:val="2"/>
        <w:spacing w:line="248" w:lineRule="auto"/>
        <w:rPr>
          <w:sz w:val="21"/>
        </w:rPr>
      </w:pPr>
    </w:p>
    <w:p w14:paraId="12E1B1FD">
      <w:pPr>
        <w:spacing w:before="78" w:line="359" w:lineRule="auto"/>
        <w:ind w:left="32" w:right="113" w:firstLine="482"/>
        <w:rPr>
          <w:rFonts w:ascii="仿宋" w:hAnsi="仿宋" w:eastAsia="仿宋" w:cs="仿宋"/>
          <w:sz w:val="24"/>
          <w:szCs w:val="24"/>
        </w:rPr>
      </w:pPr>
      <w:r>
        <w:rPr>
          <w:rFonts w:ascii="仿宋" w:hAnsi="仿宋" w:eastAsia="仿宋" w:cs="仿宋"/>
          <w:spacing w:val="-6"/>
          <w:sz w:val="24"/>
          <w:szCs w:val="24"/>
        </w:rPr>
        <w:t>（</w:t>
      </w:r>
      <w:r>
        <w:rPr>
          <w:rFonts w:ascii="Times New Roman" w:hAnsi="Times New Roman" w:eastAsia="Times New Roman" w:cs="Times New Roman"/>
          <w:spacing w:val="-6"/>
          <w:sz w:val="24"/>
          <w:szCs w:val="24"/>
        </w:rPr>
        <w:t>6</w:t>
      </w:r>
      <w:r>
        <w:rPr>
          <w:rFonts w:ascii="仿宋" w:hAnsi="仿宋" w:eastAsia="仿宋" w:cs="仿宋"/>
          <w:spacing w:val="-6"/>
          <w:sz w:val="24"/>
          <w:szCs w:val="24"/>
        </w:rPr>
        <w:t>）无植被区：面积</w:t>
      </w:r>
      <w:r>
        <w:rPr>
          <w:rFonts w:ascii="仿宋" w:hAnsi="仿宋" w:eastAsia="仿宋" w:cs="仿宋"/>
          <w:spacing w:val="-33"/>
          <w:sz w:val="24"/>
          <w:szCs w:val="24"/>
        </w:rPr>
        <w:t xml:space="preserve"> </w:t>
      </w:r>
      <w:r>
        <w:rPr>
          <w:rFonts w:ascii="Times New Roman" w:hAnsi="Times New Roman" w:eastAsia="Times New Roman" w:cs="Times New Roman"/>
          <w:spacing w:val="-6"/>
          <w:sz w:val="24"/>
          <w:szCs w:val="24"/>
        </w:rPr>
        <w:t>97.79hm2</w:t>
      </w:r>
      <w:r>
        <w:rPr>
          <w:rFonts w:ascii="Times New Roman" w:hAnsi="Times New Roman" w:eastAsia="Times New Roman" w:cs="Times New Roman"/>
          <w:spacing w:val="-27"/>
          <w:sz w:val="24"/>
          <w:szCs w:val="24"/>
        </w:rPr>
        <w:t xml:space="preserve"> </w:t>
      </w:r>
      <w:r>
        <w:rPr>
          <w:rFonts w:ascii="仿宋" w:hAnsi="仿宋" w:eastAsia="仿宋" w:cs="仿宋"/>
          <w:spacing w:val="-6"/>
          <w:sz w:val="24"/>
          <w:szCs w:val="24"/>
        </w:rPr>
        <w:t>，</w:t>
      </w:r>
      <w:r>
        <w:rPr>
          <w:rFonts w:ascii="仿宋" w:hAnsi="仿宋" w:eastAsia="仿宋" w:cs="仿宋"/>
          <w:spacing w:val="-63"/>
          <w:sz w:val="24"/>
          <w:szCs w:val="24"/>
        </w:rPr>
        <w:t xml:space="preserve"> </w:t>
      </w:r>
      <w:r>
        <w:rPr>
          <w:rFonts w:ascii="仿宋" w:hAnsi="仿宋" w:eastAsia="仿宋" w:cs="仿宋"/>
          <w:spacing w:val="-6"/>
          <w:sz w:val="24"/>
          <w:szCs w:val="24"/>
        </w:rPr>
        <w:t>占</w:t>
      </w:r>
      <w:r>
        <w:rPr>
          <w:rFonts w:ascii="仿宋" w:hAnsi="仿宋" w:eastAsia="仿宋" w:cs="仿宋"/>
          <w:spacing w:val="-48"/>
          <w:sz w:val="24"/>
          <w:szCs w:val="24"/>
        </w:rPr>
        <w:t xml:space="preserve"> </w:t>
      </w:r>
      <w:r>
        <w:rPr>
          <w:rFonts w:ascii="Times New Roman" w:hAnsi="Times New Roman" w:eastAsia="Times New Roman" w:cs="Times New Roman"/>
          <w:spacing w:val="-6"/>
          <w:sz w:val="24"/>
          <w:szCs w:val="24"/>
        </w:rPr>
        <w:t>5.40%</w:t>
      </w:r>
      <w:r>
        <w:rPr>
          <w:rFonts w:ascii="Times New Roman" w:hAnsi="Times New Roman" w:eastAsia="Times New Roman" w:cs="Times New Roman"/>
          <w:spacing w:val="-26"/>
          <w:sz w:val="24"/>
          <w:szCs w:val="24"/>
        </w:rPr>
        <w:t xml:space="preserve"> </w:t>
      </w:r>
      <w:r>
        <w:rPr>
          <w:rFonts w:ascii="仿宋" w:hAnsi="仿宋" w:eastAsia="仿宋" w:cs="仿宋"/>
          <w:spacing w:val="-6"/>
          <w:sz w:val="24"/>
          <w:szCs w:val="24"/>
        </w:rPr>
        <w:t>，包含农村道路、建设用地、裸</w:t>
      </w:r>
      <w:r>
        <w:rPr>
          <w:rFonts w:ascii="仿宋" w:hAnsi="仿宋" w:eastAsia="仿宋" w:cs="仿宋"/>
          <w:spacing w:val="-1"/>
          <w:sz w:val="24"/>
          <w:szCs w:val="24"/>
        </w:rPr>
        <w:t>土地、硬化场地等无植被地表，人为扰动裸地、硬化路面为主要构成。</w:t>
      </w:r>
    </w:p>
    <w:p w14:paraId="02CB8154">
      <w:pPr>
        <w:spacing w:before="1" w:line="359" w:lineRule="auto"/>
        <w:ind w:left="29" w:firstLine="480"/>
        <w:jc w:val="both"/>
        <w:rPr>
          <w:rFonts w:ascii="仿宋" w:hAnsi="仿宋" w:eastAsia="仿宋" w:cs="仿宋"/>
          <w:sz w:val="24"/>
          <w:szCs w:val="24"/>
        </w:rPr>
      </w:pPr>
      <w:r>
        <w:rPr>
          <w:rFonts w:ascii="仿宋" w:hAnsi="仿宋" w:eastAsia="仿宋" w:cs="仿宋"/>
          <w:spacing w:val="-12"/>
          <w:sz w:val="24"/>
          <w:szCs w:val="24"/>
        </w:rPr>
        <w:t>整体看，评价范围自然植被（乔木林</w:t>
      </w:r>
      <w:r>
        <w:rPr>
          <w:rFonts w:ascii="Times New Roman" w:hAnsi="Times New Roman" w:eastAsia="Times New Roman" w:cs="Times New Roman"/>
          <w:spacing w:val="-12"/>
          <w:sz w:val="24"/>
          <w:szCs w:val="24"/>
        </w:rPr>
        <w:t xml:space="preserve">+  </w:t>
      </w:r>
      <w:r>
        <w:rPr>
          <w:rFonts w:ascii="仿宋" w:hAnsi="仿宋" w:eastAsia="仿宋" w:cs="仿宋"/>
          <w:spacing w:val="-12"/>
          <w:sz w:val="24"/>
          <w:szCs w:val="24"/>
        </w:rPr>
        <w:t>灌丛</w:t>
      </w:r>
      <w:r>
        <w:rPr>
          <w:rFonts w:ascii="Times New Roman" w:hAnsi="Times New Roman" w:eastAsia="Times New Roman" w:cs="Times New Roman"/>
          <w:spacing w:val="-12"/>
          <w:sz w:val="24"/>
          <w:szCs w:val="24"/>
        </w:rPr>
        <w:t>+</w:t>
      </w:r>
      <w:r>
        <w:rPr>
          <w:rFonts w:ascii="仿宋" w:hAnsi="仿宋" w:eastAsia="仿宋" w:cs="仿宋"/>
          <w:spacing w:val="-12"/>
          <w:sz w:val="24"/>
          <w:szCs w:val="24"/>
        </w:rPr>
        <w:t>草地</w:t>
      </w:r>
      <w:r>
        <w:rPr>
          <w:rFonts w:ascii="Times New Roman" w:hAnsi="Times New Roman" w:eastAsia="Times New Roman" w:cs="Times New Roman"/>
          <w:spacing w:val="-12"/>
          <w:sz w:val="24"/>
          <w:szCs w:val="24"/>
        </w:rPr>
        <w:t xml:space="preserve">+  </w:t>
      </w:r>
      <w:r>
        <w:rPr>
          <w:rFonts w:ascii="仿宋" w:hAnsi="仿宋" w:eastAsia="仿宋" w:cs="仿宋"/>
          <w:spacing w:val="-12"/>
          <w:sz w:val="24"/>
          <w:szCs w:val="24"/>
        </w:rPr>
        <w:t>滩涂）总面积</w:t>
      </w:r>
      <w:r>
        <w:rPr>
          <w:rFonts w:ascii="仿宋" w:hAnsi="仿宋" w:eastAsia="仿宋" w:cs="仿宋"/>
          <w:spacing w:val="-50"/>
          <w:sz w:val="24"/>
          <w:szCs w:val="24"/>
        </w:rPr>
        <w:t xml:space="preserve"> </w:t>
      </w:r>
      <w:r>
        <w:rPr>
          <w:rFonts w:ascii="Times New Roman" w:hAnsi="Times New Roman" w:eastAsia="Times New Roman" w:cs="Times New Roman"/>
          <w:spacing w:val="-12"/>
          <w:sz w:val="24"/>
          <w:szCs w:val="24"/>
        </w:rPr>
        <w:t>1180.25hm2</w:t>
      </w:r>
      <w:r>
        <w:rPr>
          <w:rFonts w:ascii="仿宋" w:hAnsi="仿宋" w:eastAsia="仿宋" w:cs="仿宋"/>
          <w:spacing w:val="-12"/>
          <w:sz w:val="24"/>
          <w:szCs w:val="24"/>
        </w:rPr>
        <w:t>，</w:t>
      </w:r>
      <w:r>
        <w:rPr>
          <w:rFonts w:ascii="仿宋" w:hAnsi="仿宋" w:eastAsia="仿宋" w:cs="仿宋"/>
          <w:spacing w:val="-3"/>
          <w:sz w:val="24"/>
          <w:szCs w:val="24"/>
        </w:rPr>
        <w:t>占评价区</w:t>
      </w:r>
      <w:r>
        <w:rPr>
          <w:rFonts w:ascii="仿宋" w:hAnsi="仿宋" w:eastAsia="仿宋" w:cs="仿宋"/>
          <w:spacing w:val="-48"/>
          <w:sz w:val="24"/>
          <w:szCs w:val="24"/>
        </w:rPr>
        <w:t xml:space="preserve"> </w:t>
      </w:r>
      <w:r>
        <w:rPr>
          <w:rFonts w:ascii="Times New Roman" w:hAnsi="Times New Roman" w:eastAsia="Times New Roman" w:cs="Times New Roman"/>
          <w:spacing w:val="-3"/>
          <w:sz w:val="24"/>
          <w:szCs w:val="24"/>
        </w:rPr>
        <w:t>65.</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3"/>
          <w:sz w:val="24"/>
          <w:szCs w:val="24"/>
        </w:rPr>
        <w:t>19%</w:t>
      </w:r>
      <w:r>
        <w:rPr>
          <w:rFonts w:ascii="仿宋" w:hAnsi="仿宋" w:eastAsia="仿宋" w:cs="仿宋"/>
          <w:spacing w:val="-3"/>
          <w:sz w:val="24"/>
          <w:szCs w:val="24"/>
        </w:rPr>
        <w:t>；人工农田植被占</w:t>
      </w:r>
      <w:r>
        <w:rPr>
          <w:rFonts w:ascii="仿宋" w:hAnsi="仿宋" w:eastAsia="仿宋" w:cs="仿宋"/>
          <w:spacing w:val="-55"/>
          <w:sz w:val="24"/>
          <w:szCs w:val="24"/>
        </w:rPr>
        <w:t xml:space="preserve"> </w:t>
      </w:r>
      <w:r>
        <w:rPr>
          <w:rFonts w:ascii="Times New Roman" w:hAnsi="Times New Roman" w:eastAsia="Times New Roman" w:cs="Times New Roman"/>
          <w:spacing w:val="-3"/>
          <w:sz w:val="24"/>
          <w:szCs w:val="24"/>
        </w:rPr>
        <w:t>29.41%</w:t>
      </w:r>
      <w:r>
        <w:rPr>
          <w:rFonts w:ascii="仿宋" w:hAnsi="仿宋" w:eastAsia="仿宋" w:cs="仿宋"/>
          <w:spacing w:val="-3"/>
          <w:sz w:val="24"/>
          <w:szCs w:val="24"/>
        </w:rPr>
        <w:t xml:space="preserve">；无植被裸地硬化区仅 </w:t>
      </w:r>
      <w:r>
        <w:rPr>
          <w:rFonts w:ascii="Times New Roman" w:hAnsi="Times New Roman" w:eastAsia="Times New Roman" w:cs="Times New Roman"/>
          <w:spacing w:val="-3"/>
          <w:sz w:val="24"/>
          <w:szCs w:val="24"/>
        </w:rPr>
        <w:t>5.40%</w:t>
      </w:r>
      <w:r>
        <w:rPr>
          <w:rFonts w:ascii="Times New Roman" w:hAnsi="Times New Roman" w:eastAsia="Times New Roman" w:cs="Times New Roman"/>
          <w:spacing w:val="-27"/>
          <w:sz w:val="24"/>
          <w:szCs w:val="24"/>
        </w:rPr>
        <w:t xml:space="preserve"> </w:t>
      </w:r>
      <w:r>
        <w:rPr>
          <w:rFonts w:ascii="仿宋" w:hAnsi="仿宋" w:eastAsia="仿宋" w:cs="仿宋"/>
          <w:spacing w:val="-3"/>
          <w:sz w:val="24"/>
          <w:szCs w:val="24"/>
        </w:rPr>
        <w:t>。整体区域自然植被占主导，生态本底良好，属于典型北方干旱半干旱林</w:t>
      </w:r>
      <w:r>
        <w:rPr>
          <w:rFonts w:ascii="仿宋" w:hAnsi="仿宋" w:eastAsia="仿宋" w:cs="仿宋"/>
          <w:spacing w:val="-4"/>
          <w:sz w:val="24"/>
          <w:szCs w:val="24"/>
        </w:rPr>
        <w:t>草复合生态格</w:t>
      </w:r>
      <w:r>
        <w:rPr>
          <w:rFonts w:ascii="仿宋" w:hAnsi="仿宋" w:eastAsia="仿宋" w:cs="仿宋"/>
          <w:spacing w:val="-3"/>
          <w:sz w:val="24"/>
          <w:szCs w:val="24"/>
        </w:rPr>
        <w:t>局。自然植被中草地占比最高，其次为灌木林、杏树乔木林，耐旱</w:t>
      </w:r>
      <w:r>
        <w:rPr>
          <w:rFonts w:ascii="仿宋" w:hAnsi="仿宋" w:eastAsia="仿宋" w:cs="仿宋"/>
          <w:spacing w:val="-4"/>
          <w:sz w:val="24"/>
          <w:szCs w:val="24"/>
        </w:rPr>
        <w:t>乡土物种为群</w:t>
      </w:r>
      <w:r>
        <w:rPr>
          <w:rFonts w:ascii="仿宋" w:hAnsi="仿宋" w:eastAsia="仿宋" w:cs="仿宋"/>
          <w:spacing w:val="-3"/>
          <w:sz w:val="24"/>
          <w:szCs w:val="24"/>
        </w:rPr>
        <w:t>落主体，适配区域气候水文条件；无珍稀顶级原始森林群落，以次</w:t>
      </w:r>
      <w:r>
        <w:rPr>
          <w:rFonts w:ascii="仿宋" w:hAnsi="仿宋" w:eastAsia="仿宋" w:cs="仿宋"/>
          <w:spacing w:val="-4"/>
          <w:sz w:val="24"/>
          <w:szCs w:val="24"/>
        </w:rPr>
        <w:t>生、人工乡土</w:t>
      </w:r>
      <w:r>
        <w:rPr>
          <w:rFonts w:ascii="仿宋" w:hAnsi="仿宋" w:eastAsia="仿宋" w:cs="仿宋"/>
          <w:spacing w:val="-3"/>
          <w:sz w:val="24"/>
          <w:szCs w:val="24"/>
        </w:rPr>
        <w:t>林草为主。农田植被穿插分布于林草地之间，农林交错格局普遍，</w:t>
      </w:r>
      <w:r>
        <w:rPr>
          <w:rFonts w:ascii="仿宋" w:hAnsi="仿宋" w:eastAsia="仿宋" w:cs="仿宋"/>
          <w:spacing w:val="-4"/>
          <w:sz w:val="24"/>
          <w:szCs w:val="24"/>
        </w:rPr>
        <w:t>人为农业活动</w:t>
      </w:r>
      <w:r>
        <w:rPr>
          <w:rFonts w:ascii="仿宋" w:hAnsi="仿宋" w:eastAsia="仿宋" w:cs="仿宋"/>
          <w:spacing w:val="-2"/>
          <w:sz w:val="24"/>
          <w:szCs w:val="24"/>
        </w:rPr>
        <w:t>为区域次要干扰因素。</w:t>
      </w:r>
    </w:p>
    <w:p w14:paraId="383D8CC8">
      <w:pPr>
        <w:spacing w:line="359" w:lineRule="auto"/>
        <w:ind w:left="29" w:right="113" w:firstLine="480"/>
        <w:rPr>
          <w:rFonts w:ascii="仿宋" w:hAnsi="仿宋" w:eastAsia="仿宋" w:cs="仿宋"/>
          <w:sz w:val="24"/>
          <w:szCs w:val="24"/>
        </w:rPr>
      </w:pPr>
      <w:r>
        <w:rPr>
          <w:rFonts w:ascii="仿宋" w:hAnsi="仿宋" w:eastAsia="仿宋" w:cs="仿宋"/>
          <w:spacing w:val="-5"/>
          <w:sz w:val="24"/>
          <w:szCs w:val="24"/>
        </w:rPr>
        <w:t>根据表</w:t>
      </w:r>
      <w:r>
        <w:rPr>
          <w:rFonts w:ascii="仿宋" w:hAnsi="仿宋" w:eastAsia="仿宋" w:cs="仿宋"/>
          <w:spacing w:val="-50"/>
          <w:sz w:val="24"/>
          <w:szCs w:val="24"/>
        </w:rPr>
        <w:t xml:space="preserve"> </w:t>
      </w:r>
      <w:r>
        <w:rPr>
          <w:rFonts w:ascii="Times New Roman" w:hAnsi="Times New Roman" w:eastAsia="Times New Roman" w:cs="Times New Roman"/>
          <w:spacing w:val="-5"/>
          <w:sz w:val="24"/>
          <w:szCs w:val="24"/>
        </w:rPr>
        <w:t>3.2-5</w:t>
      </w:r>
      <w:r>
        <w:rPr>
          <w:rFonts w:ascii="Times New Roman" w:hAnsi="Times New Roman" w:eastAsia="Times New Roman" w:cs="Times New Roman"/>
          <w:spacing w:val="-28"/>
          <w:sz w:val="24"/>
          <w:szCs w:val="24"/>
        </w:rPr>
        <w:t xml:space="preserve"> </w:t>
      </w:r>
      <w:r>
        <w:rPr>
          <w:rFonts w:ascii="仿宋" w:hAnsi="仿宋" w:eastAsia="仿宋" w:cs="仿宋"/>
          <w:spacing w:val="-5"/>
          <w:sz w:val="24"/>
          <w:szCs w:val="24"/>
        </w:rPr>
        <w:t>，项目占地范围植被现状总面积</w:t>
      </w:r>
      <w:r>
        <w:rPr>
          <w:rFonts w:ascii="仿宋" w:hAnsi="仿宋" w:eastAsia="仿宋" w:cs="仿宋"/>
          <w:spacing w:val="-32"/>
          <w:sz w:val="24"/>
          <w:szCs w:val="24"/>
        </w:rPr>
        <w:t xml:space="preserve"> </w:t>
      </w:r>
      <w:r>
        <w:rPr>
          <w:rFonts w:ascii="Times New Roman" w:hAnsi="Times New Roman" w:eastAsia="Times New Roman" w:cs="Times New Roman"/>
          <w:spacing w:val="-5"/>
          <w:sz w:val="24"/>
          <w:szCs w:val="24"/>
        </w:rPr>
        <w:t>13.</w:t>
      </w:r>
      <w:r>
        <w:rPr>
          <w:rFonts w:ascii="Times New Roman" w:hAnsi="Times New Roman" w:eastAsia="Times New Roman" w:cs="Times New Roman"/>
          <w:spacing w:val="-6"/>
          <w:sz w:val="24"/>
          <w:szCs w:val="24"/>
        </w:rPr>
        <w:t>58hm2</w:t>
      </w:r>
      <w:r>
        <w:rPr>
          <w:rFonts w:ascii="Times New Roman" w:hAnsi="Times New Roman" w:eastAsia="Times New Roman" w:cs="Times New Roman"/>
          <w:spacing w:val="-26"/>
          <w:sz w:val="24"/>
          <w:szCs w:val="24"/>
        </w:rPr>
        <w:t xml:space="preserve"> </w:t>
      </w:r>
      <w:r>
        <w:rPr>
          <w:rFonts w:ascii="仿宋" w:hAnsi="仿宋" w:eastAsia="仿宋" w:cs="仿宋"/>
          <w:spacing w:val="-6"/>
          <w:sz w:val="24"/>
          <w:szCs w:val="24"/>
        </w:rPr>
        <w:t>，斑块</w:t>
      </w:r>
      <w:r>
        <w:rPr>
          <w:rFonts w:ascii="仿宋" w:hAnsi="仿宋" w:eastAsia="仿宋" w:cs="仿宋"/>
          <w:spacing w:val="-32"/>
          <w:sz w:val="24"/>
          <w:szCs w:val="24"/>
        </w:rPr>
        <w:t xml:space="preserve"> </w:t>
      </w:r>
      <w:r>
        <w:rPr>
          <w:rFonts w:ascii="Times New Roman" w:hAnsi="Times New Roman" w:eastAsia="Times New Roman" w:cs="Times New Roman"/>
          <w:spacing w:val="-6"/>
          <w:sz w:val="24"/>
          <w:szCs w:val="24"/>
        </w:rPr>
        <w:t>175</w:t>
      </w:r>
      <w:r>
        <w:rPr>
          <w:rFonts w:ascii="Times New Roman" w:hAnsi="Times New Roman" w:eastAsia="Times New Roman" w:cs="Times New Roman"/>
          <w:spacing w:val="16"/>
          <w:w w:val="101"/>
          <w:sz w:val="24"/>
          <w:szCs w:val="24"/>
        </w:rPr>
        <w:t xml:space="preserve"> </w:t>
      </w:r>
      <w:r>
        <w:rPr>
          <w:rFonts w:ascii="仿宋" w:hAnsi="仿宋" w:eastAsia="仿宋" w:cs="仿宋"/>
          <w:spacing w:val="-6"/>
          <w:sz w:val="24"/>
          <w:szCs w:val="24"/>
        </w:rPr>
        <w:t>个，各植</w:t>
      </w:r>
      <w:r>
        <w:rPr>
          <w:rFonts w:ascii="仿宋" w:hAnsi="仿宋" w:eastAsia="仿宋" w:cs="仿宋"/>
          <w:spacing w:val="-2"/>
          <w:sz w:val="24"/>
          <w:szCs w:val="24"/>
        </w:rPr>
        <w:t>被类型面积与占比如下：</w:t>
      </w:r>
    </w:p>
    <w:p w14:paraId="7EF0B0BC">
      <w:pPr>
        <w:spacing w:line="359" w:lineRule="auto"/>
        <w:ind w:left="30" w:right="113" w:firstLine="484"/>
        <w:rPr>
          <w:rFonts w:ascii="仿宋" w:hAnsi="仿宋" w:eastAsia="仿宋" w:cs="仿宋"/>
          <w:sz w:val="24"/>
          <w:szCs w:val="24"/>
        </w:rPr>
      </w:pPr>
      <w:r>
        <w:rPr>
          <w:rFonts w:ascii="仿宋" w:hAnsi="仿宋" w:eastAsia="仿宋" w:cs="仿宋"/>
          <w:spacing w:val="-5"/>
          <w:sz w:val="24"/>
          <w:szCs w:val="24"/>
        </w:rPr>
        <w:t>（</w:t>
      </w:r>
      <w:r>
        <w:rPr>
          <w:rFonts w:ascii="Times New Roman" w:hAnsi="Times New Roman" w:eastAsia="Times New Roman" w:cs="Times New Roman"/>
          <w:spacing w:val="-5"/>
          <w:sz w:val="24"/>
          <w:szCs w:val="24"/>
        </w:rPr>
        <w:t>1</w:t>
      </w:r>
      <w:r>
        <w:rPr>
          <w:rFonts w:ascii="仿宋" w:hAnsi="仿宋" w:eastAsia="仿宋" w:cs="仿宋"/>
          <w:spacing w:val="-5"/>
          <w:sz w:val="24"/>
          <w:szCs w:val="24"/>
        </w:rPr>
        <w:t>）无植被区域面积</w:t>
      </w:r>
      <w:r>
        <w:rPr>
          <w:rFonts w:ascii="仿宋" w:hAnsi="仿宋" w:eastAsia="仿宋" w:cs="仿宋"/>
          <w:spacing w:val="-50"/>
          <w:sz w:val="24"/>
          <w:szCs w:val="24"/>
        </w:rPr>
        <w:t xml:space="preserve"> </w:t>
      </w:r>
      <w:r>
        <w:rPr>
          <w:rFonts w:ascii="Times New Roman" w:hAnsi="Times New Roman" w:eastAsia="Times New Roman" w:cs="Times New Roman"/>
          <w:spacing w:val="-5"/>
          <w:sz w:val="24"/>
          <w:szCs w:val="24"/>
        </w:rPr>
        <w:t>9.99hm2</w:t>
      </w:r>
      <w:r>
        <w:rPr>
          <w:rFonts w:ascii="Times New Roman" w:hAnsi="Times New Roman" w:eastAsia="Times New Roman" w:cs="Times New Roman"/>
          <w:spacing w:val="-27"/>
          <w:sz w:val="24"/>
          <w:szCs w:val="24"/>
        </w:rPr>
        <w:t xml:space="preserve"> </w:t>
      </w:r>
      <w:r>
        <w:rPr>
          <w:rFonts w:ascii="仿宋" w:hAnsi="仿宋" w:eastAsia="仿宋" w:cs="仿宋"/>
          <w:spacing w:val="-5"/>
          <w:sz w:val="24"/>
          <w:szCs w:val="24"/>
        </w:rPr>
        <w:t>，</w:t>
      </w:r>
      <w:r>
        <w:rPr>
          <w:rFonts w:ascii="仿宋" w:hAnsi="仿宋" w:eastAsia="仿宋" w:cs="仿宋"/>
          <w:spacing w:val="-63"/>
          <w:sz w:val="24"/>
          <w:szCs w:val="24"/>
        </w:rPr>
        <w:t xml:space="preserve"> </w:t>
      </w:r>
      <w:r>
        <w:rPr>
          <w:rFonts w:ascii="仿宋" w:hAnsi="仿宋" w:eastAsia="仿宋" w:cs="仿宋"/>
          <w:spacing w:val="-5"/>
          <w:sz w:val="24"/>
          <w:szCs w:val="24"/>
        </w:rPr>
        <w:t>占项</w:t>
      </w:r>
      <w:r>
        <w:rPr>
          <w:rFonts w:ascii="仿宋" w:hAnsi="仿宋" w:eastAsia="仿宋" w:cs="仿宋"/>
          <w:spacing w:val="-6"/>
          <w:sz w:val="24"/>
          <w:szCs w:val="24"/>
        </w:rPr>
        <w:t>目占地</w:t>
      </w:r>
      <w:r>
        <w:rPr>
          <w:rFonts w:ascii="仿宋" w:hAnsi="仿宋" w:eastAsia="仿宋" w:cs="仿宋"/>
          <w:spacing w:val="-51"/>
          <w:sz w:val="24"/>
          <w:szCs w:val="24"/>
        </w:rPr>
        <w:t xml:space="preserve"> </w:t>
      </w:r>
      <w:r>
        <w:rPr>
          <w:rFonts w:ascii="Times New Roman" w:hAnsi="Times New Roman" w:eastAsia="Times New Roman" w:cs="Times New Roman"/>
          <w:spacing w:val="-6"/>
          <w:sz w:val="24"/>
          <w:szCs w:val="24"/>
        </w:rPr>
        <w:t>73.57%</w:t>
      </w:r>
      <w:r>
        <w:rPr>
          <w:rFonts w:ascii="Times New Roman" w:hAnsi="Times New Roman" w:eastAsia="Times New Roman" w:cs="Times New Roman"/>
          <w:spacing w:val="-26"/>
          <w:sz w:val="24"/>
          <w:szCs w:val="24"/>
        </w:rPr>
        <w:t xml:space="preserve"> </w:t>
      </w:r>
      <w:r>
        <w:rPr>
          <w:rFonts w:ascii="仿宋" w:hAnsi="仿宋" w:eastAsia="仿宋" w:cs="仿宋"/>
          <w:spacing w:val="-6"/>
          <w:sz w:val="24"/>
          <w:szCs w:val="24"/>
        </w:rPr>
        <w:t>，对应原有农村道路硬</w:t>
      </w:r>
      <w:r>
        <w:rPr>
          <w:rFonts w:ascii="仿宋" w:hAnsi="仿宋" w:eastAsia="仿宋" w:cs="仿宋"/>
          <w:spacing w:val="-1"/>
          <w:sz w:val="24"/>
          <w:szCs w:val="24"/>
        </w:rPr>
        <w:t>化、压实路面，是占地内最主要地表类型，原生植被已长期缺失。</w:t>
      </w:r>
    </w:p>
    <w:p w14:paraId="4674BD68">
      <w:pPr>
        <w:spacing w:line="359" w:lineRule="auto"/>
        <w:ind w:left="31" w:right="122" w:firstLine="483"/>
        <w:rPr>
          <w:rFonts w:ascii="仿宋" w:hAnsi="仿宋" w:eastAsia="仿宋" w:cs="仿宋"/>
          <w:sz w:val="24"/>
          <w:szCs w:val="24"/>
        </w:rPr>
      </w:pPr>
      <w:r>
        <w:rPr>
          <w:rFonts w:ascii="仿宋" w:hAnsi="仿宋" w:eastAsia="仿宋" w:cs="仿宋"/>
          <w:spacing w:val="-8"/>
          <w:sz w:val="24"/>
          <w:szCs w:val="24"/>
        </w:rPr>
        <w:t>（</w:t>
      </w:r>
      <w:r>
        <w:rPr>
          <w:rFonts w:ascii="Times New Roman" w:hAnsi="Times New Roman" w:eastAsia="Times New Roman" w:cs="Times New Roman"/>
          <w:spacing w:val="-8"/>
          <w:sz w:val="24"/>
          <w:szCs w:val="24"/>
        </w:rPr>
        <w:t>2</w:t>
      </w:r>
      <w:r>
        <w:rPr>
          <w:rFonts w:ascii="仿宋" w:hAnsi="仿宋" w:eastAsia="仿宋" w:cs="仿宋"/>
          <w:spacing w:val="-8"/>
          <w:sz w:val="24"/>
          <w:szCs w:val="24"/>
        </w:rPr>
        <w:t>）灌丛植被（柠条锦鸡儿群落）面积</w:t>
      </w:r>
      <w:r>
        <w:rPr>
          <w:rFonts w:ascii="仿宋" w:hAnsi="仿宋" w:eastAsia="仿宋" w:cs="仿宋"/>
          <w:spacing w:val="-32"/>
          <w:sz w:val="24"/>
          <w:szCs w:val="24"/>
        </w:rPr>
        <w:t xml:space="preserve"> </w:t>
      </w:r>
      <w:r>
        <w:rPr>
          <w:rFonts w:ascii="Times New Roman" w:hAnsi="Times New Roman" w:eastAsia="Times New Roman" w:cs="Times New Roman"/>
          <w:spacing w:val="-8"/>
          <w:sz w:val="24"/>
          <w:szCs w:val="24"/>
        </w:rPr>
        <w:t>1.60hm2</w:t>
      </w:r>
      <w:r>
        <w:rPr>
          <w:rFonts w:ascii="Times New Roman" w:hAnsi="Times New Roman" w:eastAsia="Times New Roman" w:cs="Times New Roman"/>
          <w:spacing w:val="-27"/>
          <w:sz w:val="24"/>
          <w:szCs w:val="24"/>
        </w:rPr>
        <w:t xml:space="preserve"> </w:t>
      </w:r>
      <w:r>
        <w:rPr>
          <w:rFonts w:ascii="仿宋" w:hAnsi="仿宋" w:eastAsia="仿宋" w:cs="仿宋"/>
          <w:spacing w:val="-8"/>
          <w:sz w:val="24"/>
          <w:szCs w:val="24"/>
        </w:rPr>
        <w:t>，</w:t>
      </w:r>
      <w:r>
        <w:rPr>
          <w:rFonts w:ascii="仿宋" w:hAnsi="仿宋" w:eastAsia="仿宋" w:cs="仿宋"/>
          <w:spacing w:val="-63"/>
          <w:sz w:val="24"/>
          <w:szCs w:val="24"/>
        </w:rPr>
        <w:t xml:space="preserve"> </w:t>
      </w:r>
      <w:r>
        <w:rPr>
          <w:rFonts w:ascii="仿宋" w:hAnsi="仿宋" w:eastAsia="仿宋" w:cs="仿宋"/>
          <w:spacing w:val="-8"/>
          <w:sz w:val="24"/>
          <w:szCs w:val="24"/>
        </w:rPr>
        <w:t>占</w:t>
      </w:r>
      <w:r>
        <w:rPr>
          <w:rFonts w:ascii="仿宋" w:hAnsi="仿宋" w:eastAsia="仿宋" w:cs="仿宋"/>
          <w:spacing w:val="-31"/>
          <w:sz w:val="24"/>
          <w:szCs w:val="24"/>
        </w:rPr>
        <w:t xml:space="preserve"> </w:t>
      </w:r>
      <w:r>
        <w:rPr>
          <w:rFonts w:ascii="Times New Roman" w:hAnsi="Times New Roman" w:eastAsia="Times New Roman" w:cs="Times New Roman"/>
          <w:spacing w:val="-8"/>
          <w:sz w:val="24"/>
          <w:szCs w:val="24"/>
        </w:rPr>
        <w:t>11.80%</w:t>
      </w:r>
      <w:r>
        <w:rPr>
          <w:rFonts w:ascii="Times New Roman" w:hAnsi="Times New Roman" w:eastAsia="Times New Roman" w:cs="Times New Roman"/>
          <w:spacing w:val="-28"/>
          <w:sz w:val="24"/>
          <w:szCs w:val="24"/>
        </w:rPr>
        <w:t xml:space="preserve"> </w:t>
      </w:r>
      <w:r>
        <w:rPr>
          <w:rFonts w:ascii="仿宋" w:hAnsi="仿宋" w:eastAsia="仿宋" w:cs="仿宋"/>
          <w:spacing w:val="-8"/>
          <w:sz w:val="24"/>
          <w:szCs w:val="24"/>
        </w:rPr>
        <w:t>，为</w:t>
      </w:r>
      <w:r>
        <w:rPr>
          <w:rFonts w:ascii="仿宋" w:hAnsi="仿宋" w:eastAsia="仿宋" w:cs="仿宋"/>
          <w:spacing w:val="-63"/>
          <w:sz w:val="24"/>
          <w:szCs w:val="24"/>
        </w:rPr>
        <w:t xml:space="preserve"> </w:t>
      </w:r>
      <w:r>
        <w:rPr>
          <w:rFonts w:ascii="仿宋" w:hAnsi="仿宋" w:eastAsia="仿宋" w:cs="仿宋"/>
          <w:spacing w:val="-9"/>
          <w:sz w:val="24"/>
          <w:szCs w:val="24"/>
        </w:rPr>
        <w:t>占地内面</w:t>
      </w:r>
      <w:r>
        <w:rPr>
          <w:rFonts w:ascii="仿宋" w:hAnsi="仿宋" w:eastAsia="仿宋" w:cs="仿宋"/>
          <w:spacing w:val="-2"/>
          <w:sz w:val="24"/>
          <w:szCs w:val="24"/>
        </w:rPr>
        <w:t>积最大的原生植被类型。</w:t>
      </w:r>
    </w:p>
    <w:p w14:paraId="57AAD654">
      <w:pPr>
        <w:spacing w:line="220" w:lineRule="auto"/>
        <w:jc w:val="right"/>
        <w:rPr>
          <w:rFonts w:ascii="仿宋" w:hAnsi="仿宋" w:eastAsia="仿宋" w:cs="仿宋"/>
          <w:sz w:val="24"/>
          <w:szCs w:val="24"/>
        </w:rPr>
      </w:pPr>
      <w:r>
        <w:rPr>
          <w:rFonts w:ascii="仿宋" w:hAnsi="仿宋" w:eastAsia="仿宋" w:cs="仿宋"/>
          <w:spacing w:val="-9"/>
          <w:sz w:val="24"/>
          <w:szCs w:val="24"/>
        </w:rPr>
        <w:t>（</w:t>
      </w:r>
      <w:r>
        <w:rPr>
          <w:rFonts w:ascii="Times New Roman" w:hAnsi="Times New Roman" w:eastAsia="Times New Roman" w:cs="Times New Roman"/>
          <w:spacing w:val="-9"/>
          <w:sz w:val="24"/>
          <w:szCs w:val="24"/>
        </w:rPr>
        <w:t>3</w:t>
      </w:r>
      <w:r>
        <w:rPr>
          <w:rFonts w:ascii="仿宋" w:hAnsi="仿宋" w:eastAsia="仿宋" w:cs="仿宋"/>
          <w:spacing w:val="-9"/>
          <w:sz w:val="24"/>
          <w:szCs w:val="24"/>
        </w:rPr>
        <w:t>）草地植被合计</w:t>
      </w:r>
      <w:r>
        <w:rPr>
          <w:rFonts w:ascii="仿宋" w:hAnsi="仿宋" w:eastAsia="仿宋" w:cs="仿宋"/>
          <w:spacing w:val="-17"/>
          <w:sz w:val="24"/>
          <w:szCs w:val="24"/>
        </w:rPr>
        <w:t xml:space="preserve"> </w:t>
      </w:r>
      <w:r>
        <w:rPr>
          <w:rFonts w:ascii="Times New Roman" w:hAnsi="Times New Roman" w:eastAsia="Times New Roman" w:cs="Times New Roman"/>
          <w:spacing w:val="-9"/>
          <w:sz w:val="24"/>
          <w:szCs w:val="24"/>
        </w:rPr>
        <w:t>1.61hm2</w:t>
      </w:r>
      <w:r>
        <w:rPr>
          <w:rFonts w:ascii="Times New Roman" w:hAnsi="Times New Roman" w:eastAsia="Times New Roman" w:cs="Times New Roman"/>
          <w:spacing w:val="-27"/>
          <w:sz w:val="24"/>
          <w:szCs w:val="24"/>
        </w:rPr>
        <w:t xml:space="preserve"> </w:t>
      </w:r>
      <w:r>
        <w:rPr>
          <w:rFonts w:ascii="仿宋" w:hAnsi="仿宋" w:eastAsia="仿宋" w:cs="仿宋"/>
          <w:spacing w:val="-9"/>
          <w:sz w:val="24"/>
          <w:szCs w:val="24"/>
        </w:rPr>
        <w:t>，</w:t>
      </w:r>
      <w:r>
        <w:rPr>
          <w:rFonts w:ascii="仿宋" w:hAnsi="仿宋" w:eastAsia="仿宋" w:cs="仿宋"/>
          <w:spacing w:val="-63"/>
          <w:sz w:val="24"/>
          <w:szCs w:val="24"/>
        </w:rPr>
        <w:t xml:space="preserve"> </w:t>
      </w:r>
      <w:r>
        <w:rPr>
          <w:rFonts w:ascii="仿宋" w:hAnsi="仿宋" w:eastAsia="仿宋" w:cs="仿宋"/>
          <w:spacing w:val="-9"/>
          <w:sz w:val="24"/>
          <w:szCs w:val="24"/>
        </w:rPr>
        <w:t>占</w:t>
      </w:r>
      <w:r>
        <w:rPr>
          <w:rFonts w:ascii="仿宋" w:hAnsi="仿宋" w:eastAsia="仿宋" w:cs="仿宋"/>
          <w:spacing w:val="-32"/>
          <w:sz w:val="24"/>
          <w:szCs w:val="24"/>
        </w:rPr>
        <w:t xml:space="preserve"> </w:t>
      </w:r>
      <w:r>
        <w:rPr>
          <w:rFonts w:ascii="Times New Roman" w:hAnsi="Times New Roman" w:eastAsia="Times New Roman" w:cs="Times New Roman"/>
          <w:spacing w:val="-9"/>
          <w:sz w:val="24"/>
          <w:szCs w:val="24"/>
        </w:rPr>
        <w:t>11.89%</w:t>
      </w:r>
      <w:r>
        <w:rPr>
          <w:rFonts w:ascii="Times New Roman" w:hAnsi="Times New Roman" w:eastAsia="Times New Roman" w:cs="Times New Roman"/>
          <w:spacing w:val="-28"/>
          <w:sz w:val="24"/>
          <w:szCs w:val="24"/>
        </w:rPr>
        <w:t xml:space="preserve"> </w:t>
      </w:r>
      <w:r>
        <w:rPr>
          <w:rFonts w:ascii="仿宋" w:hAnsi="仿宋" w:eastAsia="仿宋" w:cs="仿宋"/>
          <w:spacing w:val="-9"/>
          <w:sz w:val="24"/>
          <w:szCs w:val="24"/>
        </w:rPr>
        <w:t xml:space="preserve">，其中，本氏针茅 </w:t>
      </w:r>
      <w:r>
        <w:rPr>
          <w:rFonts w:ascii="Times New Roman" w:hAnsi="Times New Roman" w:eastAsia="Times New Roman" w:cs="Times New Roman"/>
          <w:spacing w:val="-9"/>
          <w:sz w:val="24"/>
          <w:szCs w:val="24"/>
        </w:rPr>
        <w:t>+</w:t>
      </w:r>
      <w:r>
        <w:rPr>
          <w:rFonts w:ascii="Times New Roman" w:hAnsi="Times New Roman" w:eastAsia="Times New Roman" w:cs="Times New Roman"/>
          <w:spacing w:val="15"/>
          <w:sz w:val="24"/>
          <w:szCs w:val="24"/>
        </w:rPr>
        <w:t xml:space="preserve">  </w:t>
      </w:r>
      <w:r>
        <w:rPr>
          <w:rFonts w:ascii="仿宋" w:hAnsi="仿宋" w:eastAsia="仿宋" w:cs="仿宋"/>
          <w:spacing w:val="-9"/>
          <w:sz w:val="24"/>
          <w:szCs w:val="24"/>
        </w:rPr>
        <w:t>百里香群落：</w:t>
      </w:r>
    </w:p>
    <w:p w14:paraId="72FD3EB1">
      <w:pPr>
        <w:spacing w:before="181" w:line="222" w:lineRule="auto"/>
        <w:ind w:left="42"/>
        <w:rPr>
          <w:rFonts w:ascii="仿宋" w:hAnsi="仿宋" w:eastAsia="仿宋" w:cs="仿宋"/>
          <w:sz w:val="24"/>
          <w:szCs w:val="24"/>
        </w:rPr>
      </w:pPr>
      <w:r>
        <w:rPr>
          <w:rFonts w:ascii="Times New Roman" w:hAnsi="Times New Roman" w:eastAsia="Times New Roman" w:cs="Times New Roman"/>
          <w:spacing w:val="-8"/>
          <w:sz w:val="24"/>
          <w:szCs w:val="24"/>
        </w:rPr>
        <w:t>1.03hm2</w:t>
      </w:r>
      <w:r>
        <w:rPr>
          <w:rFonts w:ascii="Times New Roman" w:hAnsi="Times New Roman" w:eastAsia="Times New Roman" w:cs="Times New Roman"/>
          <w:spacing w:val="-10"/>
          <w:sz w:val="24"/>
          <w:szCs w:val="24"/>
        </w:rPr>
        <w:t xml:space="preserve"> </w:t>
      </w:r>
      <w:r>
        <w:rPr>
          <w:rFonts w:ascii="仿宋" w:hAnsi="仿宋" w:eastAsia="仿宋" w:cs="仿宋"/>
          <w:spacing w:val="-8"/>
          <w:sz w:val="24"/>
          <w:szCs w:val="24"/>
        </w:rPr>
        <w:t>，</w:t>
      </w:r>
      <w:r>
        <w:rPr>
          <w:rFonts w:ascii="仿宋" w:hAnsi="仿宋" w:eastAsia="仿宋" w:cs="仿宋"/>
          <w:spacing w:val="-63"/>
          <w:sz w:val="24"/>
          <w:szCs w:val="24"/>
        </w:rPr>
        <w:t xml:space="preserve"> </w:t>
      </w:r>
      <w:r>
        <w:rPr>
          <w:rFonts w:ascii="仿宋" w:hAnsi="仿宋" w:eastAsia="仿宋" w:cs="仿宋"/>
          <w:spacing w:val="-8"/>
          <w:sz w:val="24"/>
          <w:szCs w:val="24"/>
        </w:rPr>
        <w:t>占</w:t>
      </w:r>
      <w:r>
        <w:rPr>
          <w:rFonts w:ascii="仿宋" w:hAnsi="仿宋" w:eastAsia="仿宋" w:cs="仿宋"/>
          <w:spacing w:val="-51"/>
          <w:sz w:val="24"/>
          <w:szCs w:val="24"/>
        </w:rPr>
        <w:t xml:space="preserve"> </w:t>
      </w:r>
      <w:r>
        <w:rPr>
          <w:rFonts w:ascii="Times New Roman" w:hAnsi="Times New Roman" w:eastAsia="Times New Roman" w:cs="Times New Roman"/>
          <w:spacing w:val="-8"/>
          <w:sz w:val="24"/>
          <w:szCs w:val="24"/>
        </w:rPr>
        <w:t>7.62%</w:t>
      </w:r>
      <w:r>
        <w:rPr>
          <w:rFonts w:ascii="仿宋" w:hAnsi="仿宋" w:eastAsia="仿宋" w:cs="仿宋"/>
          <w:spacing w:val="-8"/>
          <w:sz w:val="24"/>
          <w:szCs w:val="24"/>
        </w:rPr>
        <w:t xml:space="preserve">；羊草 </w:t>
      </w:r>
      <w:r>
        <w:rPr>
          <w:rFonts w:ascii="Times New Roman" w:hAnsi="Times New Roman" w:eastAsia="Times New Roman" w:cs="Times New Roman"/>
          <w:spacing w:val="-8"/>
          <w:sz w:val="24"/>
          <w:szCs w:val="24"/>
        </w:rPr>
        <w:t xml:space="preserve">+  </w:t>
      </w:r>
      <w:r>
        <w:rPr>
          <w:rFonts w:ascii="仿宋" w:hAnsi="仿宋" w:eastAsia="仿宋" w:cs="仿宋"/>
          <w:spacing w:val="-8"/>
          <w:sz w:val="24"/>
          <w:szCs w:val="24"/>
        </w:rPr>
        <w:t>杂类草群落：</w:t>
      </w:r>
      <w:r>
        <w:rPr>
          <w:rFonts w:ascii="Times New Roman" w:hAnsi="Times New Roman" w:eastAsia="Times New Roman" w:cs="Times New Roman"/>
          <w:spacing w:val="-8"/>
          <w:sz w:val="24"/>
          <w:szCs w:val="24"/>
        </w:rPr>
        <w:t>0.58hm2</w:t>
      </w:r>
      <w:r>
        <w:rPr>
          <w:rFonts w:ascii="Times New Roman" w:hAnsi="Times New Roman" w:eastAsia="Times New Roman" w:cs="Times New Roman"/>
          <w:spacing w:val="-27"/>
          <w:sz w:val="24"/>
          <w:szCs w:val="24"/>
        </w:rPr>
        <w:t xml:space="preserve"> </w:t>
      </w:r>
      <w:r>
        <w:rPr>
          <w:rFonts w:ascii="仿宋" w:hAnsi="仿宋" w:eastAsia="仿宋" w:cs="仿宋"/>
          <w:spacing w:val="-8"/>
          <w:sz w:val="24"/>
          <w:szCs w:val="24"/>
        </w:rPr>
        <w:t>，</w:t>
      </w:r>
      <w:r>
        <w:rPr>
          <w:rFonts w:ascii="仿宋" w:hAnsi="仿宋" w:eastAsia="仿宋" w:cs="仿宋"/>
          <w:spacing w:val="-63"/>
          <w:sz w:val="24"/>
          <w:szCs w:val="24"/>
        </w:rPr>
        <w:t xml:space="preserve"> </w:t>
      </w:r>
      <w:r>
        <w:rPr>
          <w:rFonts w:ascii="仿宋" w:hAnsi="仿宋" w:eastAsia="仿宋" w:cs="仿宋"/>
          <w:spacing w:val="-8"/>
          <w:sz w:val="24"/>
          <w:szCs w:val="24"/>
        </w:rPr>
        <w:t>占</w:t>
      </w:r>
      <w:r>
        <w:rPr>
          <w:rFonts w:ascii="仿宋" w:hAnsi="仿宋" w:eastAsia="仿宋" w:cs="仿宋"/>
          <w:spacing w:val="-56"/>
          <w:sz w:val="24"/>
          <w:szCs w:val="24"/>
        </w:rPr>
        <w:t xml:space="preserve"> </w:t>
      </w:r>
      <w:r>
        <w:rPr>
          <w:rFonts w:ascii="Times New Roman" w:hAnsi="Times New Roman" w:eastAsia="Times New Roman" w:cs="Times New Roman"/>
          <w:spacing w:val="-8"/>
          <w:sz w:val="24"/>
          <w:szCs w:val="24"/>
        </w:rPr>
        <w:t>4.27%</w:t>
      </w:r>
      <w:r>
        <w:rPr>
          <w:rFonts w:ascii="仿宋" w:hAnsi="仿宋" w:eastAsia="仿宋" w:cs="仿宋"/>
          <w:spacing w:val="-8"/>
          <w:sz w:val="24"/>
          <w:szCs w:val="24"/>
        </w:rPr>
        <w:t>。</w:t>
      </w:r>
    </w:p>
    <w:p w14:paraId="409C81EE">
      <w:pPr>
        <w:spacing w:before="178" w:line="359" w:lineRule="auto"/>
        <w:ind w:left="29" w:right="2" w:firstLine="485"/>
        <w:rPr>
          <w:rFonts w:ascii="仿宋" w:hAnsi="仿宋" w:eastAsia="仿宋" w:cs="仿宋"/>
          <w:sz w:val="24"/>
          <w:szCs w:val="24"/>
        </w:rPr>
      </w:pPr>
      <w:r>
        <w:rPr>
          <w:rFonts w:ascii="仿宋" w:hAnsi="仿宋" w:eastAsia="仿宋" w:cs="仿宋"/>
          <w:spacing w:val="-15"/>
          <w:sz w:val="24"/>
          <w:szCs w:val="24"/>
        </w:rPr>
        <w:t>（</w:t>
      </w:r>
      <w:r>
        <w:rPr>
          <w:rFonts w:ascii="Times New Roman" w:hAnsi="Times New Roman" w:eastAsia="Times New Roman" w:cs="Times New Roman"/>
          <w:spacing w:val="-15"/>
          <w:sz w:val="24"/>
          <w:szCs w:val="24"/>
        </w:rPr>
        <w:t>4</w:t>
      </w:r>
      <w:r>
        <w:rPr>
          <w:rFonts w:ascii="仿宋" w:hAnsi="仿宋" w:eastAsia="仿宋" w:cs="仿宋"/>
          <w:spacing w:val="-15"/>
          <w:sz w:val="24"/>
          <w:szCs w:val="24"/>
        </w:rPr>
        <w:t>）乔木林植被合计</w:t>
      </w:r>
      <w:r>
        <w:rPr>
          <w:rFonts w:ascii="仿宋" w:hAnsi="仿宋" w:eastAsia="仿宋" w:cs="仿宋"/>
          <w:spacing w:val="-40"/>
          <w:sz w:val="24"/>
          <w:szCs w:val="24"/>
        </w:rPr>
        <w:t xml:space="preserve"> </w:t>
      </w:r>
      <w:r>
        <w:rPr>
          <w:rFonts w:ascii="Times New Roman" w:hAnsi="Times New Roman" w:eastAsia="Times New Roman" w:cs="Times New Roman"/>
          <w:spacing w:val="-15"/>
          <w:sz w:val="24"/>
          <w:szCs w:val="24"/>
        </w:rPr>
        <w:t>0.38hm2</w:t>
      </w:r>
      <w:r>
        <w:rPr>
          <w:rFonts w:ascii="仿宋" w:hAnsi="仿宋" w:eastAsia="仿宋" w:cs="仿宋"/>
          <w:spacing w:val="-15"/>
          <w:sz w:val="24"/>
          <w:szCs w:val="24"/>
        </w:rPr>
        <w:t>，占</w:t>
      </w:r>
      <w:r>
        <w:rPr>
          <w:rFonts w:ascii="仿宋" w:hAnsi="仿宋" w:eastAsia="仿宋" w:cs="仿宋"/>
          <w:spacing w:val="-55"/>
          <w:sz w:val="24"/>
          <w:szCs w:val="24"/>
        </w:rPr>
        <w:t xml:space="preserve"> </w:t>
      </w:r>
      <w:r>
        <w:rPr>
          <w:rFonts w:ascii="Times New Roman" w:hAnsi="Times New Roman" w:eastAsia="Times New Roman" w:cs="Times New Roman"/>
          <w:spacing w:val="-15"/>
          <w:sz w:val="24"/>
          <w:szCs w:val="24"/>
        </w:rPr>
        <w:t>2.75%</w:t>
      </w:r>
      <w:r>
        <w:rPr>
          <w:rFonts w:ascii="仿宋" w:hAnsi="仿宋" w:eastAsia="仿宋" w:cs="仿宋"/>
          <w:spacing w:val="-15"/>
          <w:sz w:val="24"/>
          <w:szCs w:val="24"/>
        </w:rPr>
        <w:t>，其中杏树群落：</w:t>
      </w:r>
      <w:r>
        <w:rPr>
          <w:rFonts w:ascii="Times New Roman" w:hAnsi="Times New Roman" w:eastAsia="Times New Roman" w:cs="Times New Roman"/>
          <w:spacing w:val="-15"/>
          <w:sz w:val="24"/>
          <w:szCs w:val="24"/>
        </w:rPr>
        <w:t>0.29hm2</w:t>
      </w:r>
      <w:r>
        <w:rPr>
          <w:rFonts w:ascii="仿宋" w:hAnsi="仿宋" w:eastAsia="仿宋" w:cs="仿宋"/>
          <w:spacing w:val="-15"/>
          <w:sz w:val="24"/>
          <w:szCs w:val="24"/>
        </w:rPr>
        <w:t>，占</w:t>
      </w:r>
      <w:r>
        <w:rPr>
          <w:rFonts w:ascii="仿宋" w:hAnsi="仿宋" w:eastAsia="仿宋" w:cs="仿宋"/>
          <w:spacing w:val="-55"/>
          <w:sz w:val="24"/>
          <w:szCs w:val="24"/>
        </w:rPr>
        <w:t xml:space="preserve"> </w:t>
      </w:r>
      <w:r>
        <w:rPr>
          <w:rFonts w:ascii="Times New Roman" w:hAnsi="Times New Roman" w:eastAsia="Times New Roman" w:cs="Times New Roman"/>
          <w:spacing w:val="-15"/>
          <w:sz w:val="24"/>
          <w:szCs w:val="24"/>
        </w:rPr>
        <w:t>2.</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15"/>
          <w:sz w:val="24"/>
          <w:szCs w:val="24"/>
        </w:rPr>
        <w:t>11%</w:t>
      </w:r>
      <w:r>
        <w:rPr>
          <w:rFonts w:ascii="仿宋" w:hAnsi="仿宋" w:eastAsia="仿宋" w:cs="仿宋"/>
          <w:spacing w:val="-15"/>
          <w:sz w:val="24"/>
          <w:szCs w:val="24"/>
        </w:rPr>
        <w:t>；</w:t>
      </w:r>
      <w:r>
        <w:rPr>
          <w:rFonts w:ascii="仿宋" w:hAnsi="仿宋" w:eastAsia="仿宋" w:cs="仿宋"/>
          <w:spacing w:val="-9"/>
          <w:sz w:val="24"/>
          <w:szCs w:val="24"/>
        </w:rPr>
        <w:t>榆树群落：</w:t>
      </w:r>
      <w:r>
        <w:rPr>
          <w:rFonts w:ascii="Times New Roman" w:hAnsi="Times New Roman" w:eastAsia="Times New Roman" w:cs="Times New Roman"/>
          <w:spacing w:val="-9"/>
          <w:sz w:val="24"/>
          <w:szCs w:val="24"/>
        </w:rPr>
        <w:t>0.09hm2</w:t>
      </w:r>
      <w:r>
        <w:rPr>
          <w:rFonts w:ascii="Times New Roman" w:hAnsi="Times New Roman" w:eastAsia="Times New Roman" w:cs="Times New Roman"/>
          <w:spacing w:val="-12"/>
          <w:sz w:val="24"/>
          <w:szCs w:val="24"/>
        </w:rPr>
        <w:t xml:space="preserve"> </w:t>
      </w:r>
      <w:r>
        <w:rPr>
          <w:rFonts w:ascii="仿宋" w:hAnsi="仿宋" w:eastAsia="仿宋" w:cs="仿宋"/>
          <w:spacing w:val="-9"/>
          <w:sz w:val="24"/>
          <w:szCs w:val="24"/>
        </w:rPr>
        <w:t>，</w:t>
      </w:r>
      <w:r>
        <w:rPr>
          <w:rFonts w:ascii="仿宋" w:hAnsi="仿宋" w:eastAsia="仿宋" w:cs="仿宋"/>
          <w:spacing w:val="-63"/>
          <w:sz w:val="24"/>
          <w:szCs w:val="24"/>
        </w:rPr>
        <w:t xml:space="preserve"> </w:t>
      </w:r>
      <w:r>
        <w:rPr>
          <w:rFonts w:ascii="仿宋" w:hAnsi="仿宋" w:eastAsia="仿宋" w:cs="仿宋"/>
          <w:spacing w:val="-9"/>
          <w:sz w:val="24"/>
          <w:szCs w:val="24"/>
        </w:rPr>
        <w:t>占</w:t>
      </w:r>
      <w:r>
        <w:rPr>
          <w:rFonts w:ascii="仿宋" w:hAnsi="仿宋" w:eastAsia="仿宋" w:cs="仿宋"/>
          <w:spacing w:val="-52"/>
          <w:sz w:val="24"/>
          <w:szCs w:val="24"/>
        </w:rPr>
        <w:t xml:space="preserve"> </w:t>
      </w:r>
      <w:r>
        <w:rPr>
          <w:rFonts w:ascii="Times New Roman" w:hAnsi="Times New Roman" w:eastAsia="Times New Roman" w:cs="Times New Roman"/>
          <w:spacing w:val="-9"/>
          <w:sz w:val="24"/>
          <w:szCs w:val="24"/>
        </w:rPr>
        <w:t>0.64%</w:t>
      </w:r>
      <w:r>
        <w:rPr>
          <w:rFonts w:ascii="仿宋" w:hAnsi="仿宋" w:eastAsia="仿宋" w:cs="仿宋"/>
          <w:spacing w:val="-9"/>
          <w:sz w:val="24"/>
          <w:szCs w:val="24"/>
        </w:rPr>
        <w:t>。</w:t>
      </w:r>
    </w:p>
    <w:p w14:paraId="59C8A14A">
      <w:pPr>
        <w:spacing w:before="2" w:line="359" w:lineRule="auto"/>
        <w:ind w:left="23" w:right="8" w:firstLine="486"/>
        <w:jc w:val="both"/>
        <w:rPr>
          <w:rFonts w:ascii="仿宋" w:hAnsi="仿宋" w:eastAsia="仿宋" w:cs="仿宋"/>
          <w:sz w:val="24"/>
          <w:szCs w:val="24"/>
        </w:rPr>
      </w:pPr>
      <w:r>
        <w:rPr>
          <w:rFonts w:ascii="仿宋" w:hAnsi="仿宋" w:eastAsia="仿宋" w:cs="仿宋"/>
          <w:spacing w:val="-3"/>
          <w:sz w:val="24"/>
          <w:szCs w:val="24"/>
        </w:rPr>
        <w:t>整体看，项目占地超七成属于原有乡村道路无植</w:t>
      </w:r>
      <w:r>
        <w:rPr>
          <w:rFonts w:ascii="仿宋" w:hAnsi="仿宋" w:eastAsia="仿宋" w:cs="仿宋"/>
          <w:spacing w:val="-4"/>
          <w:sz w:val="24"/>
          <w:szCs w:val="24"/>
        </w:rPr>
        <w:t>被硬化地面，工程主要依托</w:t>
      </w:r>
      <w:r>
        <w:rPr>
          <w:rFonts w:ascii="仿宋" w:hAnsi="仿宋" w:eastAsia="仿宋" w:cs="仿宋"/>
          <w:spacing w:val="-3"/>
          <w:sz w:val="24"/>
          <w:szCs w:val="24"/>
        </w:rPr>
        <w:t>现有通道布设，原生植被直接占用规模有限；需要临时永久征用的林草地仅合计</w:t>
      </w:r>
      <w:r>
        <w:rPr>
          <w:rFonts w:ascii="Times New Roman" w:hAnsi="Times New Roman" w:eastAsia="Times New Roman" w:cs="Times New Roman"/>
          <w:spacing w:val="-6"/>
          <w:sz w:val="24"/>
          <w:szCs w:val="24"/>
        </w:rPr>
        <w:t>3.59hm2</w:t>
      </w:r>
      <w:r>
        <w:rPr>
          <w:rFonts w:ascii="Times New Roman" w:hAnsi="Times New Roman" w:eastAsia="Times New Roman" w:cs="Times New Roman"/>
          <w:spacing w:val="-27"/>
          <w:sz w:val="24"/>
          <w:szCs w:val="24"/>
        </w:rPr>
        <w:t xml:space="preserve"> </w:t>
      </w:r>
      <w:r>
        <w:rPr>
          <w:rFonts w:ascii="仿宋" w:hAnsi="仿宋" w:eastAsia="仿宋" w:cs="仿宋"/>
          <w:spacing w:val="-6"/>
          <w:sz w:val="24"/>
          <w:szCs w:val="24"/>
        </w:rPr>
        <w:t>，</w:t>
      </w:r>
      <w:r>
        <w:rPr>
          <w:rFonts w:ascii="仿宋" w:hAnsi="仿宋" w:eastAsia="仿宋" w:cs="仿宋"/>
          <w:spacing w:val="-65"/>
          <w:sz w:val="24"/>
          <w:szCs w:val="24"/>
        </w:rPr>
        <w:t xml:space="preserve"> </w:t>
      </w:r>
      <w:r>
        <w:rPr>
          <w:rFonts w:ascii="仿宋" w:hAnsi="仿宋" w:eastAsia="仿宋" w:cs="仿宋"/>
          <w:spacing w:val="-6"/>
          <w:sz w:val="24"/>
          <w:szCs w:val="24"/>
        </w:rPr>
        <w:t>占总占地</w:t>
      </w:r>
      <w:r>
        <w:rPr>
          <w:rFonts w:ascii="仿宋" w:hAnsi="仿宋" w:eastAsia="仿宋" w:cs="仿宋"/>
          <w:spacing w:val="-55"/>
          <w:sz w:val="24"/>
          <w:szCs w:val="24"/>
        </w:rPr>
        <w:t xml:space="preserve"> </w:t>
      </w:r>
      <w:r>
        <w:rPr>
          <w:rFonts w:ascii="Times New Roman" w:hAnsi="Times New Roman" w:eastAsia="Times New Roman" w:cs="Times New Roman"/>
          <w:spacing w:val="-6"/>
          <w:sz w:val="24"/>
          <w:szCs w:val="24"/>
        </w:rPr>
        <w:t>26.43%</w:t>
      </w:r>
      <w:r>
        <w:rPr>
          <w:rFonts w:ascii="Times New Roman" w:hAnsi="Times New Roman" w:eastAsia="Times New Roman" w:cs="Times New Roman"/>
          <w:spacing w:val="-25"/>
          <w:sz w:val="24"/>
          <w:szCs w:val="24"/>
        </w:rPr>
        <w:t xml:space="preserve"> </w:t>
      </w:r>
      <w:r>
        <w:rPr>
          <w:rFonts w:ascii="仿宋" w:hAnsi="仿宋" w:eastAsia="仿宋" w:cs="仿宋"/>
          <w:spacing w:val="-6"/>
          <w:sz w:val="24"/>
          <w:szCs w:val="24"/>
        </w:rPr>
        <w:t>。</w:t>
      </w:r>
      <w:r>
        <w:rPr>
          <w:rFonts w:ascii="仿宋" w:hAnsi="仿宋" w:eastAsia="仿宋" w:cs="仿宋"/>
          <w:spacing w:val="-68"/>
          <w:sz w:val="24"/>
          <w:szCs w:val="24"/>
        </w:rPr>
        <w:t xml:space="preserve"> </w:t>
      </w:r>
      <w:r>
        <w:rPr>
          <w:rFonts w:ascii="仿宋" w:hAnsi="仿宋" w:eastAsia="仿宋" w:cs="仿宋"/>
          <w:spacing w:val="-6"/>
          <w:sz w:val="24"/>
          <w:szCs w:val="24"/>
        </w:rPr>
        <w:t>占用原生植被以柠条灌丛、针茅天然</w:t>
      </w:r>
      <w:r>
        <w:rPr>
          <w:rFonts w:ascii="仿宋" w:hAnsi="仿宋" w:eastAsia="仿宋" w:cs="仿宋"/>
          <w:spacing w:val="-7"/>
          <w:sz w:val="24"/>
          <w:szCs w:val="24"/>
        </w:rPr>
        <w:t>草地为主，乔</w:t>
      </w:r>
      <w:r>
        <w:rPr>
          <w:rFonts w:ascii="仿宋" w:hAnsi="仿宋" w:eastAsia="仿宋" w:cs="仿宋"/>
          <w:spacing w:val="-3"/>
          <w:sz w:val="24"/>
          <w:szCs w:val="24"/>
        </w:rPr>
        <w:t>木林占用面积极小，无成片成熟乔木林、珍稀保护植物群落被侵占。占地内无农</w:t>
      </w:r>
      <w:r>
        <w:rPr>
          <w:rFonts w:ascii="仿宋" w:hAnsi="仿宋" w:eastAsia="仿宋" w:cs="仿宋"/>
          <w:spacing w:val="-1"/>
          <w:sz w:val="24"/>
          <w:szCs w:val="24"/>
        </w:rPr>
        <w:t>田植被、滩涂植被，工程不占用耕地，不存在农作</w:t>
      </w:r>
      <w:r>
        <w:rPr>
          <w:rFonts w:ascii="仿宋" w:hAnsi="仿宋" w:eastAsia="仿宋" w:cs="仿宋"/>
          <w:spacing w:val="-2"/>
          <w:sz w:val="24"/>
          <w:szCs w:val="24"/>
        </w:rPr>
        <w:t>物损毁、基本农田扰动问题。</w:t>
      </w:r>
    </w:p>
    <w:p w14:paraId="3295F6A0">
      <w:pPr>
        <w:spacing w:before="3" w:line="358" w:lineRule="auto"/>
        <w:ind w:left="30" w:right="65" w:firstLine="481"/>
        <w:jc w:val="both"/>
        <w:rPr>
          <w:rFonts w:ascii="仿宋" w:hAnsi="仿宋" w:eastAsia="仿宋" w:cs="仿宋"/>
          <w:sz w:val="24"/>
          <w:szCs w:val="24"/>
        </w:rPr>
      </w:pPr>
      <w:r>
        <w:rPr>
          <w:rFonts w:ascii="仿宋" w:hAnsi="仿宋" w:eastAsia="仿宋" w:cs="仿宋"/>
          <w:spacing w:val="-4"/>
          <w:sz w:val="24"/>
          <w:szCs w:val="24"/>
        </w:rPr>
        <w:t>综上，评价范围生态基底稳定，林草生态系统为主体，耐旱乡土植被适应性</w:t>
      </w:r>
      <w:r>
        <w:rPr>
          <w:rFonts w:ascii="仿宋" w:hAnsi="仿宋" w:eastAsia="仿宋" w:cs="仿宋"/>
          <w:spacing w:val="-3"/>
          <w:sz w:val="24"/>
          <w:szCs w:val="24"/>
        </w:rPr>
        <w:t>强，抗干扰、可恢复性较好；工程占地依托既有道路，原生植被</w:t>
      </w:r>
      <w:r>
        <w:rPr>
          <w:rFonts w:ascii="仿宋" w:hAnsi="仿宋" w:eastAsia="仿宋" w:cs="仿宋"/>
          <w:spacing w:val="-4"/>
          <w:sz w:val="24"/>
          <w:szCs w:val="24"/>
        </w:rPr>
        <w:t>侵占量低，无耕</w:t>
      </w:r>
      <w:r>
        <w:rPr>
          <w:rFonts w:ascii="仿宋" w:hAnsi="仿宋" w:eastAsia="仿宋" w:cs="仿宋"/>
          <w:spacing w:val="-3"/>
          <w:sz w:val="24"/>
          <w:szCs w:val="24"/>
        </w:rPr>
        <w:t>地占用，核心生态压力集中在少量柠条灌丛与天然牧草地；后续</w:t>
      </w:r>
      <w:r>
        <w:rPr>
          <w:rFonts w:ascii="仿宋" w:hAnsi="仿宋" w:eastAsia="仿宋" w:cs="仿宋"/>
          <w:spacing w:val="-4"/>
          <w:sz w:val="24"/>
          <w:szCs w:val="24"/>
        </w:rPr>
        <w:t>生态保护措施重</w:t>
      </w:r>
      <w:r>
        <w:rPr>
          <w:rFonts w:ascii="仿宋" w:hAnsi="仿宋" w:eastAsia="仿宋" w:cs="仿宋"/>
          <w:spacing w:val="-3"/>
          <w:sz w:val="24"/>
          <w:szCs w:val="24"/>
        </w:rPr>
        <w:t>点：对临时开挖占用的灌丛、草地实施表土剥离、分株移栽、播</w:t>
      </w:r>
      <w:r>
        <w:rPr>
          <w:rFonts w:ascii="仿宋" w:hAnsi="仿宋" w:eastAsia="仿宋" w:cs="仿宋"/>
          <w:spacing w:val="-4"/>
          <w:sz w:val="24"/>
          <w:szCs w:val="24"/>
        </w:rPr>
        <w:t>种复草；乔木零</w:t>
      </w:r>
    </w:p>
    <w:p w14:paraId="3AAF974C">
      <w:pPr>
        <w:spacing w:line="358" w:lineRule="auto"/>
        <w:rPr>
          <w:rFonts w:ascii="仿宋" w:hAnsi="仿宋" w:eastAsia="仿宋" w:cs="仿宋"/>
          <w:sz w:val="24"/>
          <w:szCs w:val="24"/>
        </w:rPr>
        <w:sectPr>
          <w:footerReference r:id="rId249" w:type="default"/>
          <w:pgSz w:w="11906" w:h="16839"/>
          <w:pgMar w:top="400" w:right="1734" w:bottom="1511" w:left="1785" w:header="0" w:footer="1349" w:gutter="0"/>
          <w:cols w:space="720" w:num="1"/>
        </w:sectPr>
      </w:pPr>
    </w:p>
    <w:p w14:paraId="6C6F201F">
      <w:pPr>
        <w:pStyle w:val="2"/>
        <w:spacing w:line="247" w:lineRule="auto"/>
        <w:rPr>
          <w:sz w:val="21"/>
        </w:rPr>
      </w:pPr>
    </w:p>
    <w:p w14:paraId="1BA90815">
      <w:pPr>
        <w:pStyle w:val="2"/>
        <w:spacing w:line="247" w:lineRule="auto"/>
        <w:rPr>
          <w:sz w:val="21"/>
        </w:rPr>
      </w:pPr>
    </w:p>
    <w:p w14:paraId="3AF7D597">
      <w:pPr>
        <w:pStyle w:val="2"/>
        <w:spacing w:line="247" w:lineRule="auto"/>
        <w:rPr>
          <w:sz w:val="21"/>
        </w:rPr>
      </w:pPr>
    </w:p>
    <w:p w14:paraId="68CB0AF1">
      <w:pPr>
        <w:pStyle w:val="2"/>
        <w:spacing w:line="248" w:lineRule="auto"/>
        <w:rPr>
          <w:sz w:val="21"/>
        </w:rPr>
      </w:pPr>
    </w:p>
    <w:p w14:paraId="7311BFD5">
      <w:pPr>
        <w:spacing w:before="78" w:line="346" w:lineRule="auto"/>
        <w:ind w:left="46" w:right="13" w:hanging="8"/>
        <w:rPr>
          <w:rFonts w:ascii="仿宋" w:hAnsi="仿宋" w:eastAsia="仿宋" w:cs="仿宋"/>
          <w:sz w:val="24"/>
          <w:szCs w:val="24"/>
        </w:rPr>
      </w:pPr>
      <w:r>
        <w:rPr>
          <w:rFonts w:ascii="仿宋" w:hAnsi="仿宋" w:eastAsia="仿宋" w:cs="仿宋"/>
          <w:spacing w:val="-3"/>
          <w:sz w:val="24"/>
          <w:szCs w:val="24"/>
        </w:rPr>
        <w:t>星点位采取避让保护；施工期严控扰动范围，</w:t>
      </w:r>
      <w:r>
        <w:rPr>
          <w:rFonts w:ascii="仿宋" w:hAnsi="仿宋" w:eastAsia="仿宋" w:cs="仿宋"/>
          <w:spacing w:val="-4"/>
          <w:sz w:val="24"/>
          <w:szCs w:val="24"/>
        </w:rPr>
        <w:t>减少林草地额外破坏；完工后对临</w:t>
      </w:r>
      <w:r>
        <w:rPr>
          <w:rFonts w:ascii="仿宋" w:hAnsi="仿宋" w:eastAsia="仿宋" w:cs="仿宋"/>
          <w:spacing w:val="-1"/>
          <w:sz w:val="24"/>
          <w:szCs w:val="24"/>
        </w:rPr>
        <w:t>时占地全面植被恢复，选用本地柠条、针茅等乡土物种，保障群落结构复原。</w:t>
      </w:r>
    </w:p>
    <w:p w14:paraId="1C72EEAC">
      <w:pPr>
        <w:spacing w:line="11731" w:lineRule="exact"/>
        <w:ind w:firstLine="14"/>
      </w:pPr>
      <w:r>
        <w:rPr>
          <w:position w:val="-234"/>
        </w:rPr>
        <w:drawing>
          <wp:inline distT="0" distB="0" distL="0" distR="0">
            <wp:extent cx="5271135" cy="7449185"/>
            <wp:effectExtent l="0" t="0" r="0" b="0"/>
            <wp:docPr id="388" name="IM 388"/>
            <wp:cNvGraphicFramePr/>
            <a:graphic xmlns:a="http://schemas.openxmlformats.org/drawingml/2006/main">
              <a:graphicData uri="http://schemas.openxmlformats.org/drawingml/2006/picture">
                <pic:pic xmlns:pic="http://schemas.openxmlformats.org/drawingml/2006/picture">
                  <pic:nvPicPr>
                    <pic:cNvPr id="388" name="IM 388"/>
                    <pic:cNvPicPr/>
                  </pic:nvPicPr>
                  <pic:blipFill>
                    <a:blip r:embed="rId431"/>
                    <a:stretch>
                      <a:fillRect/>
                    </a:stretch>
                  </pic:blipFill>
                  <pic:spPr>
                    <a:xfrm>
                      <a:off x="0" y="0"/>
                      <a:ext cx="5271515" cy="7449311"/>
                    </a:xfrm>
                    <a:prstGeom prst="rect">
                      <a:avLst/>
                    </a:prstGeom>
                  </pic:spPr>
                </pic:pic>
              </a:graphicData>
            </a:graphic>
          </wp:inline>
        </w:drawing>
      </w:r>
    </w:p>
    <w:p w14:paraId="29337E93">
      <w:pPr>
        <w:spacing w:before="34" w:line="222" w:lineRule="auto"/>
        <w:ind w:left="1282"/>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47"/>
          <w:sz w:val="24"/>
          <w:szCs w:val="24"/>
        </w:rPr>
        <w:t xml:space="preserve"> </w:t>
      </w:r>
      <w:r>
        <w:rPr>
          <w:rFonts w:ascii="仿宋" w:hAnsi="仿宋" w:eastAsia="仿宋" w:cs="仿宋"/>
          <w:b/>
          <w:bCs/>
          <w:spacing w:val="-3"/>
          <w:sz w:val="24"/>
          <w:szCs w:val="24"/>
        </w:rPr>
        <w:t>3.2-21</w:t>
      </w:r>
      <w:r>
        <w:rPr>
          <w:rFonts w:ascii="仿宋" w:hAnsi="仿宋" w:eastAsia="仿宋" w:cs="仿宋"/>
          <w:spacing w:val="-3"/>
          <w:sz w:val="24"/>
          <w:szCs w:val="24"/>
        </w:rPr>
        <w:t xml:space="preserve">    </w:t>
      </w:r>
      <w:r>
        <w:rPr>
          <w:rFonts w:ascii="仿宋" w:hAnsi="仿宋" w:eastAsia="仿宋" w:cs="仿宋"/>
          <w:b/>
          <w:bCs/>
          <w:spacing w:val="-3"/>
          <w:sz w:val="24"/>
          <w:szCs w:val="24"/>
        </w:rPr>
        <w:t>李家圪堵至土敖包通村公路</w:t>
      </w:r>
      <w:r>
        <w:rPr>
          <w:rFonts w:ascii="仿宋" w:hAnsi="仿宋" w:eastAsia="仿宋" w:cs="仿宋"/>
          <w:b/>
          <w:bCs/>
          <w:spacing w:val="-4"/>
          <w:sz w:val="24"/>
          <w:szCs w:val="24"/>
        </w:rPr>
        <w:t>段植被类型图</w:t>
      </w:r>
    </w:p>
    <w:p w14:paraId="1894C3F6">
      <w:pPr>
        <w:spacing w:line="222" w:lineRule="auto"/>
        <w:rPr>
          <w:rFonts w:ascii="仿宋" w:hAnsi="仿宋" w:eastAsia="仿宋" w:cs="仿宋"/>
          <w:sz w:val="24"/>
          <w:szCs w:val="24"/>
        </w:rPr>
        <w:sectPr>
          <w:footerReference r:id="rId250" w:type="default"/>
          <w:pgSz w:w="11906" w:h="16839"/>
          <w:pgMar w:top="400" w:right="1785" w:bottom="1511" w:left="1785" w:header="0" w:footer="1349" w:gutter="0"/>
          <w:cols w:space="720" w:num="1"/>
        </w:sectPr>
      </w:pPr>
    </w:p>
    <w:p w14:paraId="42DF496F">
      <w:pPr>
        <w:pStyle w:val="2"/>
        <w:spacing w:line="258" w:lineRule="auto"/>
        <w:rPr>
          <w:sz w:val="21"/>
        </w:rPr>
      </w:pPr>
    </w:p>
    <w:p w14:paraId="4F846A2D">
      <w:pPr>
        <w:pStyle w:val="2"/>
        <w:spacing w:line="258" w:lineRule="auto"/>
        <w:rPr>
          <w:sz w:val="21"/>
        </w:rPr>
      </w:pPr>
    </w:p>
    <w:p w14:paraId="6029FCD1">
      <w:pPr>
        <w:pStyle w:val="2"/>
        <w:spacing w:line="258" w:lineRule="auto"/>
        <w:rPr>
          <w:sz w:val="21"/>
        </w:rPr>
      </w:pPr>
    </w:p>
    <w:p w14:paraId="25A86BC5">
      <w:pPr>
        <w:pStyle w:val="2"/>
        <w:spacing w:line="259" w:lineRule="auto"/>
        <w:rPr>
          <w:sz w:val="21"/>
        </w:rPr>
      </w:pPr>
    </w:p>
    <w:p w14:paraId="020DF162">
      <w:pPr>
        <w:spacing w:line="11731" w:lineRule="exact"/>
        <w:ind w:firstLine="14"/>
      </w:pPr>
      <w:r>
        <w:rPr>
          <w:position w:val="-234"/>
        </w:rPr>
        <w:drawing>
          <wp:inline distT="0" distB="0" distL="0" distR="0">
            <wp:extent cx="5271135" cy="7449185"/>
            <wp:effectExtent l="0" t="0" r="0" b="0"/>
            <wp:docPr id="390" name="IM 390"/>
            <wp:cNvGraphicFramePr/>
            <a:graphic xmlns:a="http://schemas.openxmlformats.org/drawingml/2006/main">
              <a:graphicData uri="http://schemas.openxmlformats.org/drawingml/2006/picture">
                <pic:pic xmlns:pic="http://schemas.openxmlformats.org/drawingml/2006/picture">
                  <pic:nvPicPr>
                    <pic:cNvPr id="390" name="IM 390"/>
                    <pic:cNvPicPr/>
                  </pic:nvPicPr>
                  <pic:blipFill>
                    <a:blip r:embed="rId432"/>
                    <a:stretch>
                      <a:fillRect/>
                    </a:stretch>
                  </pic:blipFill>
                  <pic:spPr>
                    <a:xfrm>
                      <a:off x="0" y="0"/>
                      <a:ext cx="5271515" cy="7449311"/>
                    </a:xfrm>
                    <a:prstGeom prst="rect">
                      <a:avLst/>
                    </a:prstGeom>
                  </pic:spPr>
                </pic:pic>
              </a:graphicData>
            </a:graphic>
          </wp:inline>
        </w:drawing>
      </w:r>
    </w:p>
    <w:p w14:paraId="75DA5F2A">
      <w:pPr>
        <w:spacing w:before="171" w:line="222" w:lineRule="auto"/>
        <w:ind w:left="379"/>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46"/>
          <w:sz w:val="24"/>
          <w:szCs w:val="24"/>
        </w:rPr>
        <w:t xml:space="preserve"> </w:t>
      </w:r>
      <w:r>
        <w:rPr>
          <w:rFonts w:ascii="仿宋" w:hAnsi="仿宋" w:eastAsia="仿宋" w:cs="仿宋"/>
          <w:b/>
          <w:bCs/>
          <w:spacing w:val="-3"/>
          <w:sz w:val="24"/>
          <w:szCs w:val="24"/>
        </w:rPr>
        <w:t>3.2-22</w:t>
      </w:r>
      <w:r>
        <w:rPr>
          <w:rFonts w:ascii="仿宋" w:hAnsi="仿宋" w:eastAsia="仿宋" w:cs="仿宋"/>
          <w:spacing w:val="-3"/>
          <w:sz w:val="24"/>
          <w:szCs w:val="24"/>
        </w:rPr>
        <w:t xml:space="preserve"> </w:t>
      </w:r>
      <w:r>
        <w:rPr>
          <w:rFonts w:ascii="仿宋" w:hAnsi="仿宋" w:eastAsia="仿宋" w:cs="仿宋"/>
          <w:b/>
          <w:bCs/>
          <w:spacing w:val="-3"/>
          <w:sz w:val="24"/>
          <w:szCs w:val="24"/>
        </w:rPr>
        <w:t>李家圪堵至土敖包通村公路及双山梁村通社公路段植</w:t>
      </w:r>
      <w:r>
        <w:rPr>
          <w:rFonts w:ascii="仿宋" w:hAnsi="仿宋" w:eastAsia="仿宋" w:cs="仿宋"/>
          <w:b/>
          <w:bCs/>
          <w:spacing w:val="-4"/>
          <w:sz w:val="24"/>
          <w:szCs w:val="24"/>
        </w:rPr>
        <w:t>被类型图</w:t>
      </w:r>
    </w:p>
    <w:p w14:paraId="751EA414">
      <w:pPr>
        <w:spacing w:line="222" w:lineRule="auto"/>
        <w:rPr>
          <w:rFonts w:ascii="仿宋" w:hAnsi="仿宋" w:eastAsia="仿宋" w:cs="仿宋"/>
          <w:sz w:val="24"/>
          <w:szCs w:val="24"/>
        </w:rPr>
        <w:sectPr>
          <w:footerReference r:id="rId251" w:type="default"/>
          <w:pgSz w:w="11906" w:h="16839"/>
          <w:pgMar w:top="400" w:right="1785" w:bottom="1509" w:left="1785" w:header="0" w:footer="1349" w:gutter="0"/>
          <w:cols w:space="720" w:num="1"/>
        </w:sectPr>
      </w:pPr>
    </w:p>
    <w:p w14:paraId="65722A7C">
      <w:pPr>
        <w:pStyle w:val="2"/>
        <w:spacing w:line="252" w:lineRule="auto"/>
        <w:rPr>
          <w:sz w:val="21"/>
        </w:rPr>
      </w:pPr>
    </w:p>
    <w:p w14:paraId="07D9EF9C">
      <w:pPr>
        <w:pStyle w:val="2"/>
        <w:spacing w:line="252" w:lineRule="auto"/>
        <w:rPr>
          <w:sz w:val="21"/>
        </w:rPr>
      </w:pPr>
    </w:p>
    <w:p w14:paraId="7737B1B3">
      <w:pPr>
        <w:pStyle w:val="2"/>
        <w:spacing w:line="252" w:lineRule="auto"/>
        <w:rPr>
          <w:sz w:val="21"/>
        </w:rPr>
      </w:pPr>
    </w:p>
    <w:p w14:paraId="1F3F725C">
      <w:pPr>
        <w:pStyle w:val="2"/>
        <w:spacing w:line="252" w:lineRule="auto"/>
        <w:rPr>
          <w:sz w:val="21"/>
        </w:rPr>
      </w:pPr>
    </w:p>
    <w:p w14:paraId="0428EBD8">
      <w:pPr>
        <w:pStyle w:val="2"/>
        <w:spacing w:line="252" w:lineRule="auto"/>
        <w:rPr>
          <w:sz w:val="21"/>
        </w:rPr>
      </w:pPr>
    </w:p>
    <w:p w14:paraId="367E069A">
      <w:pPr>
        <w:pStyle w:val="2"/>
        <w:spacing w:line="253" w:lineRule="auto"/>
        <w:rPr>
          <w:sz w:val="21"/>
        </w:rPr>
      </w:pPr>
    </w:p>
    <w:p w14:paraId="2CF96D49">
      <w:pPr>
        <w:spacing w:line="11731" w:lineRule="exact"/>
        <w:ind w:firstLine="14"/>
      </w:pPr>
      <w:r>
        <w:rPr>
          <w:position w:val="-234"/>
        </w:rPr>
        <w:drawing>
          <wp:inline distT="0" distB="0" distL="0" distR="0">
            <wp:extent cx="5271135" cy="7449185"/>
            <wp:effectExtent l="0" t="0" r="0" b="0"/>
            <wp:docPr id="392" name="IM 392"/>
            <wp:cNvGraphicFramePr/>
            <a:graphic xmlns:a="http://schemas.openxmlformats.org/drawingml/2006/main">
              <a:graphicData uri="http://schemas.openxmlformats.org/drawingml/2006/picture">
                <pic:pic xmlns:pic="http://schemas.openxmlformats.org/drawingml/2006/picture">
                  <pic:nvPicPr>
                    <pic:cNvPr id="392" name="IM 392"/>
                    <pic:cNvPicPr/>
                  </pic:nvPicPr>
                  <pic:blipFill>
                    <a:blip r:embed="rId433"/>
                    <a:stretch>
                      <a:fillRect/>
                    </a:stretch>
                  </pic:blipFill>
                  <pic:spPr>
                    <a:xfrm>
                      <a:off x="0" y="0"/>
                      <a:ext cx="5271515" cy="7449311"/>
                    </a:xfrm>
                    <a:prstGeom prst="rect">
                      <a:avLst/>
                    </a:prstGeom>
                  </pic:spPr>
                </pic:pic>
              </a:graphicData>
            </a:graphic>
          </wp:inline>
        </w:drawing>
      </w:r>
    </w:p>
    <w:p w14:paraId="1B8D9808">
      <w:pPr>
        <w:spacing w:before="276" w:line="222" w:lineRule="auto"/>
        <w:ind w:left="922"/>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47"/>
          <w:sz w:val="24"/>
          <w:szCs w:val="24"/>
        </w:rPr>
        <w:t xml:space="preserve"> </w:t>
      </w:r>
      <w:r>
        <w:rPr>
          <w:rFonts w:ascii="仿宋" w:hAnsi="仿宋" w:eastAsia="仿宋" w:cs="仿宋"/>
          <w:b/>
          <w:bCs/>
          <w:spacing w:val="-3"/>
          <w:sz w:val="24"/>
          <w:szCs w:val="24"/>
        </w:rPr>
        <w:t>3.2-23</w:t>
      </w:r>
      <w:r>
        <w:rPr>
          <w:rFonts w:ascii="仿宋" w:hAnsi="仿宋" w:eastAsia="仿宋" w:cs="仿宋"/>
          <w:spacing w:val="-3"/>
          <w:sz w:val="24"/>
          <w:szCs w:val="24"/>
        </w:rPr>
        <w:t xml:space="preserve">  </w:t>
      </w:r>
      <w:r>
        <w:rPr>
          <w:rFonts w:ascii="仿宋" w:hAnsi="仿宋" w:eastAsia="仿宋" w:cs="仿宋"/>
          <w:b/>
          <w:bCs/>
          <w:spacing w:val="-3"/>
          <w:sz w:val="24"/>
          <w:szCs w:val="24"/>
        </w:rPr>
        <w:t>四道敖包至淡家梁至杨家塔通村</w:t>
      </w:r>
      <w:r>
        <w:rPr>
          <w:rFonts w:ascii="仿宋" w:hAnsi="仿宋" w:eastAsia="仿宋" w:cs="仿宋"/>
          <w:b/>
          <w:bCs/>
          <w:spacing w:val="-4"/>
          <w:sz w:val="24"/>
          <w:szCs w:val="24"/>
        </w:rPr>
        <w:t>公路段植被类型图</w:t>
      </w:r>
    </w:p>
    <w:p w14:paraId="7C61D9FB">
      <w:pPr>
        <w:spacing w:line="222" w:lineRule="auto"/>
        <w:rPr>
          <w:rFonts w:ascii="仿宋" w:hAnsi="仿宋" w:eastAsia="仿宋" w:cs="仿宋"/>
          <w:sz w:val="24"/>
          <w:szCs w:val="24"/>
        </w:rPr>
        <w:sectPr>
          <w:footerReference r:id="rId252" w:type="default"/>
          <w:pgSz w:w="11906" w:h="16839"/>
          <w:pgMar w:top="400" w:right="1785" w:bottom="1511" w:left="1785" w:header="0" w:footer="1349" w:gutter="0"/>
          <w:cols w:space="720" w:num="1"/>
        </w:sectPr>
      </w:pPr>
    </w:p>
    <w:p w14:paraId="4EC83A93">
      <w:pPr>
        <w:pStyle w:val="2"/>
        <w:spacing w:line="278" w:lineRule="auto"/>
        <w:rPr>
          <w:sz w:val="21"/>
        </w:rPr>
      </w:pPr>
    </w:p>
    <w:p w14:paraId="3ACB54BC">
      <w:pPr>
        <w:pStyle w:val="2"/>
        <w:spacing w:line="278" w:lineRule="auto"/>
        <w:rPr>
          <w:sz w:val="21"/>
        </w:rPr>
      </w:pPr>
    </w:p>
    <w:p w14:paraId="4F03CB88">
      <w:pPr>
        <w:pStyle w:val="2"/>
        <w:spacing w:line="278" w:lineRule="auto"/>
        <w:rPr>
          <w:sz w:val="21"/>
        </w:rPr>
      </w:pPr>
    </w:p>
    <w:p w14:paraId="073FBB61">
      <w:pPr>
        <w:pStyle w:val="2"/>
        <w:spacing w:line="278" w:lineRule="auto"/>
        <w:rPr>
          <w:sz w:val="21"/>
        </w:rPr>
      </w:pPr>
    </w:p>
    <w:p w14:paraId="736EF87C">
      <w:pPr>
        <w:pStyle w:val="2"/>
        <w:spacing w:line="279" w:lineRule="auto"/>
        <w:rPr>
          <w:sz w:val="21"/>
        </w:rPr>
      </w:pPr>
    </w:p>
    <w:p w14:paraId="1E7B6328">
      <w:pPr>
        <w:spacing w:line="7421" w:lineRule="exact"/>
        <w:ind w:firstLine="642"/>
      </w:pPr>
      <w:r>
        <w:rPr>
          <w:position w:val="-148"/>
        </w:rPr>
        <w:drawing>
          <wp:inline distT="0" distB="0" distL="0" distR="0">
            <wp:extent cx="6657975" cy="4711700"/>
            <wp:effectExtent l="0" t="0" r="0" b="0"/>
            <wp:docPr id="394" name="IM 394"/>
            <wp:cNvGraphicFramePr/>
            <a:graphic xmlns:a="http://schemas.openxmlformats.org/drawingml/2006/main">
              <a:graphicData uri="http://schemas.openxmlformats.org/drawingml/2006/picture">
                <pic:pic xmlns:pic="http://schemas.openxmlformats.org/drawingml/2006/picture">
                  <pic:nvPicPr>
                    <pic:cNvPr id="394" name="IM 394"/>
                    <pic:cNvPicPr/>
                  </pic:nvPicPr>
                  <pic:blipFill>
                    <a:blip r:embed="rId434"/>
                    <a:stretch>
                      <a:fillRect/>
                    </a:stretch>
                  </pic:blipFill>
                  <pic:spPr>
                    <a:xfrm>
                      <a:off x="0" y="0"/>
                      <a:ext cx="6658356" cy="4712208"/>
                    </a:xfrm>
                    <a:prstGeom prst="rect">
                      <a:avLst/>
                    </a:prstGeom>
                  </pic:spPr>
                </pic:pic>
              </a:graphicData>
            </a:graphic>
          </wp:inline>
        </w:drawing>
      </w:r>
    </w:p>
    <w:p w14:paraId="51951F76">
      <w:pPr>
        <w:spacing w:before="295" w:line="222" w:lineRule="auto"/>
        <w:ind w:left="2407"/>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42"/>
          <w:sz w:val="24"/>
          <w:szCs w:val="24"/>
        </w:rPr>
        <w:t xml:space="preserve"> </w:t>
      </w:r>
      <w:r>
        <w:rPr>
          <w:rFonts w:ascii="仿宋" w:hAnsi="仿宋" w:eastAsia="仿宋" w:cs="仿宋"/>
          <w:b/>
          <w:bCs/>
          <w:spacing w:val="-3"/>
          <w:sz w:val="24"/>
          <w:szCs w:val="24"/>
        </w:rPr>
        <w:t>3.2-24</w:t>
      </w:r>
      <w:r>
        <w:rPr>
          <w:rFonts w:ascii="仿宋" w:hAnsi="仿宋" w:eastAsia="仿宋" w:cs="仿宋"/>
          <w:spacing w:val="-3"/>
          <w:sz w:val="24"/>
          <w:szCs w:val="24"/>
        </w:rPr>
        <w:t xml:space="preserve">    </w:t>
      </w:r>
      <w:r>
        <w:rPr>
          <w:rFonts w:ascii="仿宋" w:hAnsi="仿宋" w:eastAsia="仿宋" w:cs="仿宋"/>
          <w:b/>
          <w:bCs/>
          <w:spacing w:val="-3"/>
          <w:sz w:val="24"/>
          <w:szCs w:val="24"/>
        </w:rPr>
        <w:t>乌拉素村二道壕大坝东至秦家塔社通村公路段植被类型图</w:t>
      </w:r>
    </w:p>
    <w:p w14:paraId="23F3257E">
      <w:pPr>
        <w:spacing w:line="222" w:lineRule="auto"/>
        <w:rPr>
          <w:rFonts w:ascii="仿宋" w:hAnsi="仿宋" w:eastAsia="仿宋" w:cs="仿宋"/>
          <w:sz w:val="24"/>
          <w:szCs w:val="24"/>
        </w:rPr>
        <w:sectPr>
          <w:footerReference r:id="rId253" w:type="default"/>
          <w:pgSz w:w="16839" w:h="11906"/>
          <w:pgMar w:top="400" w:right="2525" w:bottom="1509" w:left="2525" w:header="0" w:footer="1349" w:gutter="0"/>
          <w:cols w:space="720" w:num="1"/>
        </w:sectPr>
      </w:pPr>
    </w:p>
    <w:p w14:paraId="2C0A6CED">
      <w:pPr>
        <w:pStyle w:val="2"/>
        <w:spacing w:line="278" w:lineRule="auto"/>
        <w:rPr>
          <w:sz w:val="21"/>
        </w:rPr>
      </w:pPr>
    </w:p>
    <w:p w14:paraId="38E9DE38">
      <w:pPr>
        <w:pStyle w:val="2"/>
        <w:spacing w:line="278" w:lineRule="auto"/>
        <w:rPr>
          <w:sz w:val="21"/>
        </w:rPr>
      </w:pPr>
    </w:p>
    <w:p w14:paraId="600866A2">
      <w:pPr>
        <w:pStyle w:val="2"/>
        <w:spacing w:line="278" w:lineRule="auto"/>
        <w:rPr>
          <w:sz w:val="21"/>
        </w:rPr>
      </w:pPr>
    </w:p>
    <w:p w14:paraId="5F737208">
      <w:pPr>
        <w:pStyle w:val="2"/>
        <w:spacing w:line="278" w:lineRule="auto"/>
        <w:rPr>
          <w:sz w:val="21"/>
        </w:rPr>
      </w:pPr>
    </w:p>
    <w:p w14:paraId="031A7512">
      <w:pPr>
        <w:pStyle w:val="2"/>
        <w:spacing w:line="279" w:lineRule="auto"/>
        <w:rPr>
          <w:sz w:val="21"/>
        </w:rPr>
      </w:pPr>
    </w:p>
    <w:p w14:paraId="1D21C6A1">
      <w:pPr>
        <w:spacing w:line="7644" w:lineRule="exact"/>
        <w:ind w:firstLine="479"/>
      </w:pPr>
      <w:r>
        <w:rPr>
          <w:position w:val="-152"/>
        </w:rPr>
        <w:drawing>
          <wp:inline distT="0" distB="0" distL="0" distR="0">
            <wp:extent cx="6859270" cy="4853940"/>
            <wp:effectExtent l="0" t="0" r="0" b="0"/>
            <wp:docPr id="396" name="IM 396"/>
            <wp:cNvGraphicFramePr/>
            <a:graphic xmlns:a="http://schemas.openxmlformats.org/drawingml/2006/main">
              <a:graphicData uri="http://schemas.openxmlformats.org/drawingml/2006/picture">
                <pic:pic xmlns:pic="http://schemas.openxmlformats.org/drawingml/2006/picture">
                  <pic:nvPicPr>
                    <pic:cNvPr id="396" name="IM 396"/>
                    <pic:cNvPicPr/>
                  </pic:nvPicPr>
                  <pic:blipFill>
                    <a:blip r:embed="rId435"/>
                    <a:stretch>
                      <a:fillRect/>
                    </a:stretch>
                  </pic:blipFill>
                  <pic:spPr>
                    <a:xfrm>
                      <a:off x="0" y="0"/>
                      <a:ext cx="6859523" cy="4853940"/>
                    </a:xfrm>
                    <a:prstGeom prst="rect">
                      <a:avLst/>
                    </a:prstGeom>
                  </pic:spPr>
                </pic:pic>
              </a:graphicData>
            </a:graphic>
          </wp:inline>
        </w:drawing>
      </w:r>
    </w:p>
    <w:p w14:paraId="668B32F2">
      <w:pPr>
        <w:spacing w:before="42" w:line="222" w:lineRule="auto"/>
        <w:ind w:left="3249"/>
        <w:rPr>
          <w:rFonts w:ascii="仿宋" w:hAnsi="仿宋" w:eastAsia="仿宋" w:cs="仿宋"/>
          <w:sz w:val="24"/>
          <w:szCs w:val="24"/>
        </w:rPr>
      </w:pPr>
      <w:r>
        <w:rPr>
          <w:rFonts w:ascii="仿宋" w:hAnsi="仿宋" w:eastAsia="仿宋" w:cs="仿宋"/>
          <w:b/>
          <w:bCs/>
          <w:spacing w:val="-4"/>
          <w:sz w:val="24"/>
          <w:szCs w:val="24"/>
        </w:rPr>
        <w:t>图</w:t>
      </w:r>
      <w:r>
        <w:rPr>
          <w:rFonts w:ascii="仿宋" w:hAnsi="仿宋" w:eastAsia="仿宋" w:cs="仿宋"/>
          <w:spacing w:val="-29"/>
          <w:sz w:val="24"/>
          <w:szCs w:val="24"/>
        </w:rPr>
        <w:t xml:space="preserve"> </w:t>
      </w:r>
      <w:r>
        <w:rPr>
          <w:rFonts w:ascii="仿宋" w:hAnsi="仿宋" w:eastAsia="仿宋" w:cs="仿宋"/>
          <w:b/>
          <w:bCs/>
          <w:spacing w:val="-4"/>
          <w:sz w:val="24"/>
          <w:szCs w:val="24"/>
        </w:rPr>
        <w:t>3.2-25</w:t>
      </w:r>
      <w:r>
        <w:rPr>
          <w:rFonts w:ascii="仿宋" w:hAnsi="仿宋" w:eastAsia="仿宋" w:cs="仿宋"/>
          <w:spacing w:val="-4"/>
          <w:sz w:val="24"/>
          <w:szCs w:val="24"/>
        </w:rPr>
        <w:t xml:space="preserve">    </w:t>
      </w:r>
      <w:r>
        <w:rPr>
          <w:rFonts w:ascii="仿宋" w:hAnsi="仿宋" w:eastAsia="仿宋" w:cs="仿宋"/>
          <w:b/>
          <w:bCs/>
          <w:spacing w:val="-4"/>
          <w:sz w:val="24"/>
          <w:szCs w:val="24"/>
        </w:rPr>
        <w:t>大棚区至杏仁露基地路段植被类型图</w:t>
      </w:r>
    </w:p>
    <w:p w14:paraId="4D910192">
      <w:pPr>
        <w:spacing w:line="222" w:lineRule="auto"/>
        <w:rPr>
          <w:rFonts w:ascii="仿宋" w:hAnsi="仿宋" w:eastAsia="仿宋" w:cs="仿宋"/>
          <w:sz w:val="24"/>
          <w:szCs w:val="24"/>
        </w:rPr>
        <w:sectPr>
          <w:footerReference r:id="rId254" w:type="default"/>
          <w:pgSz w:w="16839" w:h="11906"/>
          <w:pgMar w:top="400" w:right="2525" w:bottom="1511" w:left="2525" w:header="0" w:footer="1349" w:gutter="0"/>
          <w:cols w:space="720" w:num="1"/>
        </w:sectPr>
      </w:pPr>
    </w:p>
    <w:p w14:paraId="6CBAB4DE">
      <w:pPr>
        <w:pStyle w:val="2"/>
        <w:spacing w:line="278" w:lineRule="auto"/>
        <w:rPr>
          <w:sz w:val="21"/>
        </w:rPr>
      </w:pPr>
    </w:p>
    <w:p w14:paraId="16528B02">
      <w:pPr>
        <w:pStyle w:val="2"/>
        <w:spacing w:line="278" w:lineRule="auto"/>
        <w:rPr>
          <w:sz w:val="21"/>
        </w:rPr>
      </w:pPr>
    </w:p>
    <w:p w14:paraId="3BD6B2F9">
      <w:pPr>
        <w:pStyle w:val="2"/>
        <w:spacing w:line="278" w:lineRule="auto"/>
        <w:rPr>
          <w:sz w:val="21"/>
        </w:rPr>
      </w:pPr>
    </w:p>
    <w:p w14:paraId="1CF07FC0">
      <w:pPr>
        <w:pStyle w:val="2"/>
        <w:spacing w:line="278" w:lineRule="auto"/>
        <w:rPr>
          <w:sz w:val="21"/>
        </w:rPr>
      </w:pPr>
    </w:p>
    <w:p w14:paraId="3AF92FEF">
      <w:pPr>
        <w:pStyle w:val="2"/>
        <w:spacing w:line="279" w:lineRule="auto"/>
        <w:rPr>
          <w:sz w:val="21"/>
        </w:rPr>
      </w:pPr>
    </w:p>
    <w:p w14:paraId="32BB3FD0">
      <w:pPr>
        <w:spacing w:line="7529" w:lineRule="exact"/>
        <w:ind w:firstLine="567"/>
      </w:pPr>
      <w:r>
        <w:rPr>
          <w:position w:val="-150"/>
        </w:rPr>
        <w:drawing>
          <wp:inline distT="0" distB="0" distL="0" distR="0">
            <wp:extent cx="6753860" cy="4780280"/>
            <wp:effectExtent l="0" t="0" r="0" b="0"/>
            <wp:docPr id="398" name="IM 398"/>
            <wp:cNvGraphicFramePr/>
            <a:graphic xmlns:a="http://schemas.openxmlformats.org/drawingml/2006/main">
              <a:graphicData uri="http://schemas.openxmlformats.org/drawingml/2006/picture">
                <pic:pic xmlns:pic="http://schemas.openxmlformats.org/drawingml/2006/picture">
                  <pic:nvPicPr>
                    <pic:cNvPr id="398" name="IM 398"/>
                    <pic:cNvPicPr/>
                  </pic:nvPicPr>
                  <pic:blipFill>
                    <a:blip r:embed="rId436"/>
                    <a:stretch>
                      <a:fillRect/>
                    </a:stretch>
                  </pic:blipFill>
                  <pic:spPr>
                    <a:xfrm>
                      <a:off x="0" y="0"/>
                      <a:ext cx="6754367" cy="4780788"/>
                    </a:xfrm>
                    <a:prstGeom prst="rect">
                      <a:avLst/>
                    </a:prstGeom>
                  </pic:spPr>
                </pic:pic>
              </a:graphicData>
            </a:graphic>
          </wp:inline>
        </w:drawing>
      </w:r>
    </w:p>
    <w:p w14:paraId="6756289A">
      <w:pPr>
        <w:spacing w:before="37" w:line="222" w:lineRule="auto"/>
        <w:ind w:left="3069"/>
        <w:rPr>
          <w:rFonts w:ascii="仿宋" w:hAnsi="仿宋" w:eastAsia="仿宋" w:cs="仿宋"/>
          <w:sz w:val="24"/>
          <w:szCs w:val="24"/>
        </w:rPr>
      </w:pPr>
      <w:r>
        <w:rPr>
          <w:rFonts w:ascii="仿宋" w:hAnsi="仿宋" w:eastAsia="仿宋" w:cs="仿宋"/>
          <w:b/>
          <w:bCs/>
          <w:spacing w:val="-4"/>
          <w:sz w:val="24"/>
          <w:szCs w:val="24"/>
        </w:rPr>
        <w:t>图</w:t>
      </w:r>
      <w:r>
        <w:rPr>
          <w:rFonts w:ascii="仿宋" w:hAnsi="仿宋" w:eastAsia="仿宋" w:cs="仿宋"/>
          <w:spacing w:val="-30"/>
          <w:sz w:val="24"/>
          <w:szCs w:val="24"/>
        </w:rPr>
        <w:t xml:space="preserve"> </w:t>
      </w:r>
      <w:r>
        <w:rPr>
          <w:rFonts w:ascii="仿宋" w:hAnsi="仿宋" w:eastAsia="仿宋" w:cs="仿宋"/>
          <w:b/>
          <w:bCs/>
          <w:spacing w:val="-4"/>
          <w:sz w:val="24"/>
          <w:szCs w:val="24"/>
        </w:rPr>
        <w:t>3.2-26</w:t>
      </w:r>
      <w:r>
        <w:rPr>
          <w:rFonts w:ascii="仿宋" w:hAnsi="仿宋" w:eastAsia="仿宋" w:cs="仿宋"/>
          <w:spacing w:val="-4"/>
          <w:sz w:val="24"/>
          <w:szCs w:val="24"/>
        </w:rPr>
        <w:t xml:space="preserve">   </w:t>
      </w:r>
      <w:r>
        <w:rPr>
          <w:rFonts w:ascii="仿宋" w:hAnsi="仿宋" w:eastAsia="仿宋" w:cs="仿宋"/>
          <w:b/>
          <w:bCs/>
          <w:spacing w:val="-4"/>
          <w:sz w:val="24"/>
          <w:szCs w:val="24"/>
        </w:rPr>
        <w:t>三道拐社坡底至北防洪堤路段植被类型图</w:t>
      </w:r>
    </w:p>
    <w:p w14:paraId="3E43C2D7">
      <w:pPr>
        <w:spacing w:line="222" w:lineRule="auto"/>
        <w:rPr>
          <w:rFonts w:ascii="仿宋" w:hAnsi="仿宋" w:eastAsia="仿宋" w:cs="仿宋"/>
          <w:sz w:val="24"/>
          <w:szCs w:val="24"/>
        </w:rPr>
        <w:sectPr>
          <w:footerReference r:id="rId255" w:type="default"/>
          <w:pgSz w:w="16839" w:h="11906"/>
          <w:pgMar w:top="400" w:right="2525" w:bottom="1511" w:left="2525" w:header="0" w:footer="1349" w:gutter="0"/>
          <w:cols w:space="720" w:num="1"/>
        </w:sectPr>
      </w:pPr>
    </w:p>
    <w:p w14:paraId="3E509554">
      <w:pPr>
        <w:pStyle w:val="2"/>
        <w:spacing w:line="278" w:lineRule="auto"/>
        <w:rPr>
          <w:sz w:val="21"/>
        </w:rPr>
      </w:pPr>
    </w:p>
    <w:p w14:paraId="2CC4E606">
      <w:pPr>
        <w:pStyle w:val="2"/>
        <w:spacing w:line="278" w:lineRule="auto"/>
        <w:rPr>
          <w:sz w:val="21"/>
        </w:rPr>
      </w:pPr>
    </w:p>
    <w:p w14:paraId="3E9F3061">
      <w:pPr>
        <w:pStyle w:val="2"/>
        <w:spacing w:line="278" w:lineRule="auto"/>
        <w:rPr>
          <w:sz w:val="21"/>
        </w:rPr>
      </w:pPr>
    </w:p>
    <w:p w14:paraId="7E3FD123">
      <w:pPr>
        <w:pStyle w:val="2"/>
        <w:spacing w:line="278" w:lineRule="auto"/>
        <w:rPr>
          <w:sz w:val="21"/>
        </w:rPr>
      </w:pPr>
    </w:p>
    <w:p w14:paraId="5257FB36">
      <w:pPr>
        <w:pStyle w:val="2"/>
        <w:spacing w:line="279" w:lineRule="auto"/>
        <w:rPr>
          <w:sz w:val="21"/>
        </w:rPr>
      </w:pPr>
    </w:p>
    <w:p w14:paraId="192A0933">
      <w:pPr>
        <w:spacing w:line="7750" w:lineRule="exact"/>
        <w:ind w:firstLine="402"/>
      </w:pPr>
      <w:r>
        <w:rPr>
          <w:position w:val="-154"/>
        </w:rPr>
        <w:drawing>
          <wp:inline distT="0" distB="0" distL="0" distR="0">
            <wp:extent cx="6953885" cy="4920615"/>
            <wp:effectExtent l="0" t="0" r="0" b="0"/>
            <wp:docPr id="400" name="IM 400"/>
            <wp:cNvGraphicFramePr/>
            <a:graphic xmlns:a="http://schemas.openxmlformats.org/drawingml/2006/main">
              <a:graphicData uri="http://schemas.openxmlformats.org/drawingml/2006/picture">
                <pic:pic xmlns:pic="http://schemas.openxmlformats.org/drawingml/2006/picture">
                  <pic:nvPicPr>
                    <pic:cNvPr id="400" name="IM 400"/>
                    <pic:cNvPicPr/>
                  </pic:nvPicPr>
                  <pic:blipFill>
                    <a:blip r:embed="rId437"/>
                    <a:stretch>
                      <a:fillRect/>
                    </a:stretch>
                  </pic:blipFill>
                  <pic:spPr>
                    <a:xfrm>
                      <a:off x="0" y="0"/>
                      <a:ext cx="6954011" cy="4920995"/>
                    </a:xfrm>
                    <a:prstGeom prst="rect">
                      <a:avLst/>
                    </a:prstGeom>
                  </pic:spPr>
                </pic:pic>
              </a:graphicData>
            </a:graphic>
          </wp:inline>
        </w:drawing>
      </w:r>
    </w:p>
    <w:p w14:paraId="1E520E60">
      <w:pPr>
        <w:spacing w:before="55" w:line="222" w:lineRule="auto"/>
        <w:ind w:left="1684"/>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38"/>
          <w:sz w:val="24"/>
          <w:szCs w:val="24"/>
        </w:rPr>
        <w:t xml:space="preserve"> </w:t>
      </w:r>
      <w:r>
        <w:rPr>
          <w:rFonts w:ascii="仿宋" w:hAnsi="仿宋" w:eastAsia="仿宋" w:cs="仿宋"/>
          <w:b/>
          <w:bCs/>
          <w:spacing w:val="-3"/>
          <w:sz w:val="24"/>
          <w:szCs w:val="24"/>
        </w:rPr>
        <w:t>3.2-27</w:t>
      </w:r>
      <w:r>
        <w:rPr>
          <w:rFonts w:ascii="仿宋" w:hAnsi="仿宋" w:eastAsia="仿宋" w:cs="仿宋"/>
          <w:spacing w:val="-3"/>
          <w:sz w:val="24"/>
          <w:szCs w:val="24"/>
        </w:rPr>
        <w:t xml:space="preserve">    </w:t>
      </w:r>
      <w:r>
        <w:rPr>
          <w:rFonts w:ascii="仿宋" w:hAnsi="仿宋" w:eastAsia="仿宋" w:cs="仿宋"/>
          <w:b/>
          <w:bCs/>
          <w:spacing w:val="-3"/>
          <w:sz w:val="24"/>
          <w:szCs w:val="24"/>
        </w:rPr>
        <w:t>二道拐坡底至张家圪旦社及脑包湾村自然村通硬化路段植被类型图</w:t>
      </w:r>
    </w:p>
    <w:p w14:paraId="72E34762">
      <w:pPr>
        <w:spacing w:line="222" w:lineRule="auto"/>
        <w:rPr>
          <w:rFonts w:ascii="仿宋" w:hAnsi="仿宋" w:eastAsia="仿宋" w:cs="仿宋"/>
          <w:sz w:val="24"/>
          <w:szCs w:val="24"/>
        </w:rPr>
        <w:sectPr>
          <w:footerReference r:id="rId256" w:type="default"/>
          <w:pgSz w:w="16839" w:h="11906"/>
          <w:pgMar w:top="400" w:right="2525" w:bottom="1511" w:left="2525" w:header="0" w:footer="1349" w:gutter="0"/>
          <w:cols w:space="720" w:num="1"/>
        </w:sectPr>
      </w:pPr>
    </w:p>
    <w:p w14:paraId="35A4CB82">
      <w:pPr>
        <w:pStyle w:val="2"/>
        <w:spacing w:line="278" w:lineRule="auto"/>
        <w:rPr>
          <w:sz w:val="21"/>
        </w:rPr>
      </w:pPr>
    </w:p>
    <w:p w14:paraId="40DE7459">
      <w:pPr>
        <w:pStyle w:val="2"/>
        <w:spacing w:line="278" w:lineRule="auto"/>
        <w:rPr>
          <w:sz w:val="21"/>
        </w:rPr>
      </w:pPr>
    </w:p>
    <w:p w14:paraId="1D20F7F5">
      <w:pPr>
        <w:pStyle w:val="2"/>
        <w:spacing w:line="278" w:lineRule="auto"/>
        <w:rPr>
          <w:sz w:val="21"/>
        </w:rPr>
      </w:pPr>
    </w:p>
    <w:p w14:paraId="40BEE99E">
      <w:pPr>
        <w:pStyle w:val="2"/>
        <w:spacing w:line="278" w:lineRule="auto"/>
        <w:rPr>
          <w:sz w:val="21"/>
        </w:rPr>
      </w:pPr>
    </w:p>
    <w:p w14:paraId="0AE8844B">
      <w:pPr>
        <w:pStyle w:val="2"/>
        <w:spacing w:line="279" w:lineRule="auto"/>
        <w:rPr>
          <w:sz w:val="21"/>
        </w:rPr>
      </w:pPr>
    </w:p>
    <w:p w14:paraId="5CFF8EBD">
      <w:pPr>
        <w:spacing w:line="7793" w:lineRule="exact"/>
        <w:ind w:firstLine="373"/>
      </w:pPr>
      <w:r>
        <w:rPr>
          <w:position w:val="-155"/>
        </w:rPr>
        <w:drawing>
          <wp:inline distT="0" distB="0" distL="0" distR="0">
            <wp:extent cx="6991985" cy="4947920"/>
            <wp:effectExtent l="0" t="0" r="0" b="0"/>
            <wp:docPr id="402" name="IM 402"/>
            <wp:cNvGraphicFramePr/>
            <a:graphic xmlns:a="http://schemas.openxmlformats.org/drawingml/2006/main">
              <a:graphicData uri="http://schemas.openxmlformats.org/drawingml/2006/picture">
                <pic:pic xmlns:pic="http://schemas.openxmlformats.org/drawingml/2006/picture">
                  <pic:nvPicPr>
                    <pic:cNvPr id="402" name="IM 402"/>
                    <pic:cNvPicPr/>
                  </pic:nvPicPr>
                  <pic:blipFill>
                    <a:blip r:embed="rId438"/>
                    <a:stretch>
                      <a:fillRect/>
                    </a:stretch>
                  </pic:blipFill>
                  <pic:spPr>
                    <a:xfrm>
                      <a:off x="0" y="0"/>
                      <a:ext cx="6992112" cy="4948428"/>
                    </a:xfrm>
                    <a:prstGeom prst="rect">
                      <a:avLst/>
                    </a:prstGeom>
                  </pic:spPr>
                </pic:pic>
              </a:graphicData>
            </a:graphic>
          </wp:inline>
        </w:drawing>
      </w:r>
    </w:p>
    <w:p w14:paraId="4FE30F75">
      <w:pPr>
        <w:spacing w:before="41" w:line="222" w:lineRule="auto"/>
        <w:ind w:left="2769"/>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47"/>
          <w:sz w:val="24"/>
          <w:szCs w:val="24"/>
        </w:rPr>
        <w:t xml:space="preserve"> </w:t>
      </w:r>
      <w:r>
        <w:rPr>
          <w:rFonts w:ascii="仿宋" w:hAnsi="仿宋" w:eastAsia="仿宋" w:cs="仿宋"/>
          <w:b/>
          <w:bCs/>
          <w:spacing w:val="-3"/>
          <w:sz w:val="24"/>
          <w:szCs w:val="24"/>
        </w:rPr>
        <w:t>3.2-28</w:t>
      </w:r>
      <w:r>
        <w:rPr>
          <w:rFonts w:ascii="仿宋" w:hAnsi="仿宋" w:eastAsia="仿宋" w:cs="仿宋"/>
          <w:spacing w:val="-3"/>
          <w:sz w:val="24"/>
          <w:szCs w:val="24"/>
        </w:rPr>
        <w:t xml:space="preserve">    </w:t>
      </w:r>
      <w:r>
        <w:rPr>
          <w:rFonts w:ascii="仿宋" w:hAnsi="仿宋" w:eastAsia="仿宋" w:cs="仿宋"/>
          <w:b/>
          <w:bCs/>
          <w:spacing w:val="-3"/>
          <w:sz w:val="24"/>
          <w:szCs w:val="24"/>
        </w:rPr>
        <w:t>份子地社新村至二道拐村委会路段</w:t>
      </w:r>
      <w:r>
        <w:rPr>
          <w:rFonts w:ascii="仿宋" w:hAnsi="仿宋" w:eastAsia="仿宋" w:cs="仿宋"/>
          <w:b/>
          <w:bCs/>
          <w:spacing w:val="-4"/>
          <w:sz w:val="24"/>
          <w:szCs w:val="24"/>
        </w:rPr>
        <w:t>植被类型图</w:t>
      </w:r>
    </w:p>
    <w:p w14:paraId="14953316">
      <w:pPr>
        <w:spacing w:line="222" w:lineRule="auto"/>
        <w:rPr>
          <w:rFonts w:ascii="仿宋" w:hAnsi="仿宋" w:eastAsia="仿宋" w:cs="仿宋"/>
          <w:sz w:val="24"/>
          <w:szCs w:val="24"/>
        </w:rPr>
        <w:sectPr>
          <w:footerReference r:id="rId257" w:type="default"/>
          <w:pgSz w:w="16839" w:h="11906"/>
          <w:pgMar w:top="400" w:right="2525" w:bottom="1511" w:left="2525" w:header="0" w:footer="1349" w:gutter="0"/>
          <w:cols w:space="720" w:num="1"/>
        </w:sectPr>
      </w:pPr>
    </w:p>
    <w:p w14:paraId="3DF83F17">
      <w:pPr>
        <w:pStyle w:val="2"/>
        <w:spacing w:line="278" w:lineRule="auto"/>
        <w:rPr>
          <w:sz w:val="21"/>
        </w:rPr>
      </w:pPr>
    </w:p>
    <w:p w14:paraId="107A96FC">
      <w:pPr>
        <w:pStyle w:val="2"/>
        <w:spacing w:line="278" w:lineRule="auto"/>
        <w:rPr>
          <w:sz w:val="21"/>
        </w:rPr>
      </w:pPr>
    </w:p>
    <w:p w14:paraId="49F5C659">
      <w:pPr>
        <w:pStyle w:val="2"/>
        <w:spacing w:line="278" w:lineRule="auto"/>
        <w:rPr>
          <w:sz w:val="21"/>
        </w:rPr>
      </w:pPr>
    </w:p>
    <w:p w14:paraId="36E10A85">
      <w:pPr>
        <w:pStyle w:val="2"/>
        <w:spacing w:line="278" w:lineRule="auto"/>
        <w:rPr>
          <w:sz w:val="21"/>
        </w:rPr>
      </w:pPr>
    </w:p>
    <w:p w14:paraId="3AB0337C">
      <w:pPr>
        <w:pStyle w:val="2"/>
        <w:spacing w:line="279" w:lineRule="auto"/>
        <w:rPr>
          <w:sz w:val="21"/>
        </w:rPr>
      </w:pPr>
    </w:p>
    <w:p w14:paraId="6BABF7D3">
      <w:pPr>
        <w:spacing w:line="7687" w:lineRule="exact"/>
        <w:ind w:firstLine="462"/>
      </w:pPr>
      <w:r>
        <w:rPr>
          <w:position w:val="-153"/>
        </w:rPr>
        <w:drawing>
          <wp:inline distT="0" distB="0" distL="0" distR="0">
            <wp:extent cx="6896100" cy="4881245"/>
            <wp:effectExtent l="0" t="0" r="0" b="0"/>
            <wp:docPr id="404" name="IM 404"/>
            <wp:cNvGraphicFramePr/>
            <a:graphic xmlns:a="http://schemas.openxmlformats.org/drawingml/2006/main">
              <a:graphicData uri="http://schemas.openxmlformats.org/drawingml/2006/picture">
                <pic:pic xmlns:pic="http://schemas.openxmlformats.org/drawingml/2006/picture">
                  <pic:nvPicPr>
                    <pic:cNvPr id="404" name="IM 404"/>
                    <pic:cNvPicPr/>
                  </pic:nvPicPr>
                  <pic:blipFill>
                    <a:blip r:embed="rId439"/>
                    <a:stretch>
                      <a:fillRect/>
                    </a:stretch>
                  </pic:blipFill>
                  <pic:spPr>
                    <a:xfrm>
                      <a:off x="0" y="0"/>
                      <a:ext cx="6896100" cy="4881371"/>
                    </a:xfrm>
                    <a:prstGeom prst="rect">
                      <a:avLst/>
                    </a:prstGeom>
                  </pic:spPr>
                </pic:pic>
              </a:graphicData>
            </a:graphic>
          </wp:inline>
        </w:drawing>
      </w:r>
    </w:p>
    <w:p w14:paraId="2A26AE9A">
      <w:pPr>
        <w:spacing w:before="298" w:line="222" w:lineRule="auto"/>
        <w:ind w:left="2587"/>
        <w:rPr>
          <w:rFonts w:ascii="仿宋" w:hAnsi="仿宋" w:eastAsia="仿宋" w:cs="仿宋"/>
          <w:sz w:val="24"/>
          <w:szCs w:val="24"/>
        </w:rPr>
      </w:pPr>
      <w:r>
        <w:rPr>
          <w:rFonts w:ascii="仿宋" w:hAnsi="仿宋" w:eastAsia="仿宋" w:cs="仿宋"/>
          <w:b/>
          <w:bCs/>
          <w:spacing w:val="-3"/>
          <w:sz w:val="24"/>
          <w:szCs w:val="24"/>
        </w:rPr>
        <w:t>图</w:t>
      </w:r>
      <w:r>
        <w:rPr>
          <w:rFonts w:ascii="仿宋" w:hAnsi="仿宋" w:eastAsia="仿宋" w:cs="仿宋"/>
          <w:spacing w:val="-47"/>
          <w:sz w:val="24"/>
          <w:szCs w:val="24"/>
        </w:rPr>
        <w:t xml:space="preserve"> </w:t>
      </w:r>
      <w:r>
        <w:rPr>
          <w:rFonts w:ascii="仿宋" w:hAnsi="仿宋" w:eastAsia="仿宋" w:cs="仿宋"/>
          <w:b/>
          <w:bCs/>
          <w:spacing w:val="-3"/>
          <w:sz w:val="24"/>
          <w:szCs w:val="24"/>
        </w:rPr>
        <w:t>3.2-29</w:t>
      </w:r>
      <w:r>
        <w:rPr>
          <w:rFonts w:ascii="仿宋" w:hAnsi="仿宋" w:eastAsia="仿宋" w:cs="仿宋"/>
          <w:spacing w:val="-3"/>
          <w:sz w:val="24"/>
          <w:szCs w:val="24"/>
        </w:rPr>
        <w:t xml:space="preserve">   </w:t>
      </w:r>
      <w:r>
        <w:rPr>
          <w:rFonts w:ascii="仿宋" w:hAnsi="仿宋" w:eastAsia="仿宋" w:cs="仿宋"/>
          <w:b/>
          <w:bCs/>
          <w:spacing w:val="-3"/>
          <w:sz w:val="24"/>
          <w:szCs w:val="24"/>
        </w:rPr>
        <w:t>沿黄巨合滩出口东至天顺圪梁通村路段</w:t>
      </w:r>
      <w:r>
        <w:rPr>
          <w:rFonts w:ascii="仿宋" w:hAnsi="仿宋" w:eastAsia="仿宋" w:cs="仿宋"/>
          <w:b/>
          <w:bCs/>
          <w:spacing w:val="-4"/>
          <w:sz w:val="24"/>
          <w:szCs w:val="24"/>
        </w:rPr>
        <w:t>植被类型图</w:t>
      </w:r>
    </w:p>
    <w:p w14:paraId="75C3C802">
      <w:pPr>
        <w:spacing w:line="222" w:lineRule="auto"/>
        <w:rPr>
          <w:rFonts w:ascii="仿宋" w:hAnsi="仿宋" w:eastAsia="仿宋" w:cs="仿宋"/>
          <w:sz w:val="24"/>
          <w:szCs w:val="24"/>
        </w:rPr>
        <w:sectPr>
          <w:footerReference r:id="rId258" w:type="default"/>
          <w:pgSz w:w="16839" w:h="11906"/>
          <w:pgMar w:top="400" w:right="2525" w:bottom="1511" w:left="2525" w:header="0" w:footer="1349" w:gutter="0"/>
          <w:cols w:space="720" w:num="1"/>
        </w:sectPr>
      </w:pPr>
    </w:p>
    <w:p w14:paraId="49D1BC13">
      <w:pPr>
        <w:pStyle w:val="2"/>
        <w:spacing w:line="272" w:lineRule="auto"/>
        <w:rPr>
          <w:sz w:val="21"/>
        </w:rPr>
      </w:pPr>
    </w:p>
    <w:p w14:paraId="290C1E78">
      <w:pPr>
        <w:pStyle w:val="2"/>
        <w:spacing w:line="273" w:lineRule="auto"/>
        <w:rPr>
          <w:sz w:val="21"/>
        </w:rPr>
      </w:pPr>
    </w:p>
    <w:p w14:paraId="5DFBCD0B">
      <w:pPr>
        <w:pStyle w:val="2"/>
        <w:spacing w:line="273" w:lineRule="auto"/>
        <w:rPr>
          <w:sz w:val="21"/>
        </w:rPr>
      </w:pPr>
    </w:p>
    <w:p w14:paraId="38A6E65F">
      <w:pPr>
        <w:pStyle w:val="2"/>
        <w:spacing w:line="273" w:lineRule="auto"/>
        <w:rPr>
          <w:sz w:val="21"/>
        </w:rPr>
      </w:pPr>
    </w:p>
    <w:p w14:paraId="6CDAE5A4">
      <w:pPr>
        <w:spacing w:before="84" w:line="227" w:lineRule="auto"/>
        <w:ind w:left="28"/>
        <w:rPr>
          <w:rFonts w:ascii="仿宋" w:hAnsi="仿宋" w:eastAsia="仿宋" w:cs="仿宋"/>
          <w:sz w:val="26"/>
          <w:szCs w:val="26"/>
        </w:rPr>
      </w:pPr>
      <w:r>
        <w:rPr>
          <w:rFonts w:ascii="仿宋" w:hAnsi="仿宋" w:eastAsia="仿宋" w:cs="仿宋"/>
          <w:b/>
          <w:bCs/>
          <w:spacing w:val="3"/>
          <w:sz w:val="26"/>
          <w:szCs w:val="26"/>
        </w:rPr>
        <w:t>3.2.4</w:t>
      </w:r>
      <w:r>
        <w:rPr>
          <w:rFonts w:ascii="仿宋" w:hAnsi="仿宋" w:eastAsia="仿宋" w:cs="仿宋"/>
          <w:spacing w:val="-32"/>
          <w:sz w:val="26"/>
          <w:szCs w:val="26"/>
        </w:rPr>
        <w:t xml:space="preserve"> </w:t>
      </w:r>
      <w:r>
        <w:rPr>
          <w:rFonts w:ascii="仿宋" w:hAnsi="仿宋" w:eastAsia="仿宋" w:cs="仿宋"/>
          <w:b/>
          <w:bCs/>
          <w:spacing w:val="3"/>
          <w:sz w:val="26"/>
          <w:szCs w:val="26"/>
        </w:rPr>
        <w:t>动物资源调查与评价</w:t>
      </w:r>
    </w:p>
    <w:p w14:paraId="18A1E017">
      <w:pPr>
        <w:spacing w:before="297" w:line="359" w:lineRule="auto"/>
        <w:ind w:left="29" w:right="67" w:firstLine="480"/>
        <w:jc w:val="both"/>
        <w:rPr>
          <w:rFonts w:ascii="仿宋" w:hAnsi="仿宋" w:eastAsia="仿宋" w:cs="仿宋"/>
          <w:sz w:val="24"/>
          <w:szCs w:val="24"/>
        </w:rPr>
      </w:pPr>
      <w:r>
        <w:rPr>
          <w:rFonts w:ascii="仿宋" w:hAnsi="仿宋" w:eastAsia="仿宋" w:cs="仿宋"/>
          <w:spacing w:val="-3"/>
          <w:sz w:val="24"/>
          <w:szCs w:val="24"/>
        </w:rPr>
        <w:t>根据内蒙古动物地理区划，评价区的动物地理</w:t>
      </w:r>
      <w:r>
        <w:rPr>
          <w:rFonts w:ascii="仿宋" w:hAnsi="仿宋" w:eastAsia="仿宋" w:cs="仿宋"/>
          <w:spacing w:val="-4"/>
          <w:sz w:val="24"/>
          <w:szCs w:val="24"/>
        </w:rPr>
        <w:t>区划属于蒙新区东部草原亚区</w:t>
      </w:r>
      <w:r>
        <w:rPr>
          <w:rFonts w:ascii="仿宋" w:hAnsi="仿宋" w:eastAsia="仿宋" w:cs="仿宋"/>
          <w:spacing w:val="-8"/>
          <w:sz w:val="24"/>
          <w:szCs w:val="24"/>
        </w:rPr>
        <w:t>鄂尔多斯暖温型草原省。根据现场调查及资料记载，评价区内没有珍稀濒危动物，</w:t>
      </w:r>
      <w:r>
        <w:rPr>
          <w:rFonts w:ascii="仿宋" w:hAnsi="仿宋" w:eastAsia="仿宋" w:cs="仿宋"/>
          <w:spacing w:val="-3"/>
          <w:sz w:val="24"/>
          <w:szCs w:val="24"/>
        </w:rPr>
        <w:t>也没有鸟类珍稀濒危物种。评价区内的野生动物主要是啮齿类等小</w:t>
      </w:r>
      <w:r>
        <w:rPr>
          <w:rFonts w:ascii="仿宋" w:hAnsi="仿宋" w:eastAsia="仿宋" w:cs="仿宋"/>
          <w:spacing w:val="-4"/>
          <w:sz w:val="24"/>
          <w:szCs w:val="24"/>
        </w:rPr>
        <w:t>型动物、常见</w:t>
      </w:r>
      <w:r>
        <w:rPr>
          <w:rFonts w:ascii="仿宋" w:hAnsi="仿宋" w:eastAsia="仿宋" w:cs="仿宋"/>
          <w:spacing w:val="-1"/>
          <w:sz w:val="24"/>
          <w:szCs w:val="24"/>
        </w:rPr>
        <w:t>鸟类及昆虫等，其他野生动物种类均较少，且基本为广布种。</w:t>
      </w:r>
    </w:p>
    <w:p w14:paraId="62D861FB">
      <w:pPr>
        <w:spacing w:before="1" w:line="220" w:lineRule="auto"/>
        <w:ind w:left="510"/>
        <w:rPr>
          <w:rFonts w:ascii="仿宋" w:hAnsi="仿宋" w:eastAsia="仿宋" w:cs="仿宋"/>
          <w:sz w:val="24"/>
          <w:szCs w:val="24"/>
        </w:rPr>
      </w:pPr>
      <w:r>
        <w:rPr>
          <w:rFonts w:ascii="仿宋" w:hAnsi="仿宋" w:eastAsia="仿宋" w:cs="仿宋"/>
          <w:spacing w:val="-2"/>
          <w:sz w:val="24"/>
          <w:szCs w:val="24"/>
        </w:rPr>
        <w:t>评价区常见野生动物名录见表</w:t>
      </w:r>
      <w:r>
        <w:rPr>
          <w:rFonts w:ascii="仿宋" w:hAnsi="仿宋" w:eastAsia="仿宋" w:cs="仿宋"/>
          <w:spacing w:val="-40"/>
          <w:sz w:val="24"/>
          <w:szCs w:val="24"/>
        </w:rPr>
        <w:t xml:space="preserve"> </w:t>
      </w:r>
      <w:r>
        <w:rPr>
          <w:rFonts w:ascii="仿宋" w:hAnsi="仿宋" w:eastAsia="仿宋" w:cs="仿宋"/>
          <w:spacing w:val="-2"/>
          <w:sz w:val="24"/>
          <w:szCs w:val="24"/>
        </w:rPr>
        <w:t>3.2-6。</w:t>
      </w:r>
    </w:p>
    <w:p w14:paraId="60ACBB4A">
      <w:pPr>
        <w:spacing w:before="181" w:line="212" w:lineRule="auto"/>
        <w:ind w:left="2647"/>
        <w:rPr>
          <w:rFonts w:ascii="仿宋" w:hAnsi="仿宋" w:eastAsia="仿宋" w:cs="仿宋"/>
          <w:sz w:val="24"/>
          <w:szCs w:val="24"/>
        </w:rPr>
      </w:pPr>
      <w:r>
        <w:rPr>
          <w:rFonts w:ascii="仿宋" w:hAnsi="仿宋" w:eastAsia="仿宋" w:cs="仿宋"/>
          <w:b/>
          <w:bCs/>
          <w:spacing w:val="-4"/>
          <w:sz w:val="24"/>
          <w:szCs w:val="24"/>
        </w:rPr>
        <w:t>表</w:t>
      </w:r>
      <w:r>
        <w:rPr>
          <w:rFonts w:ascii="仿宋" w:hAnsi="仿宋" w:eastAsia="仿宋" w:cs="仿宋"/>
          <w:spacing w:val="-33"/>
          <w:sz w:val="24"/>
          <w:szCs w:val="24"/>
        </w:rPr>
        <w:t xml:space="preserve"> </w:t>
      </w:r>
      <w:r>
        <w:rPr>
          <w:rFonts w:ascii="仿宋" w:hAnsi="仿宋" w:eastAsia="仿宋" w:cs="仿宋"/>
          <w:b/>
          <w:bCs/>
          <w:spacing w:val="-4"/>
          <w:sz w:val="24"/>
          <w:szCs w:val="24"/>
        </w:rPr>
        <w:t>3.2-6</w:t>
      </w:r>
      <w:r>
        <w:rPr>
          <w:rFonts w:ascii="仿宋" w:hAnsi="仿宋" w:eastAsia="仿宋" w:cs="仿宋"/>
          <w:spacing w:val="-4"/>
          <w:sz w:val="24"/>
          <w:szCs w:val="24"/>
        </w:rPr>
        <w:t xml:space="preserve">  </w:t>
      </w:r>
      <w:r>
        <w:rPr>
          <w:rFonts w:ascii="仿宋" w:hAnsi="仿宋" w:eastAsia="仿宋" w:cs="仿宋"/>
          <w:b/>
          <w:bCs/>
          <w:spacing w:val="-4"/>
          <w:sz w:val="24"/>
          <w:szCs w:val="24"/>
        </w:rPr>
        <w:t>评价区域常见动物名录</w:t>
      </w:r>
    </w:p>
    <w:tbl>
      <w:tblPr>
        <w:tblStyle w:val="5"/>
        <w:tblW w:w="8443" w:type="dxa"/>
        <w:tblInd w:w="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8"/>
        <w:gridCol w:w="1424"/>
        <w:gridCol w:w="3393"/>
        <w:gridCol w:w="2778"/>
      </w:tblGrid>
      <w:tr w14:paraId="0B2668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848" w:type="dxa"/>
            <w:tcBorders>
              <w:top w:val="single" w:color="000000" w:sz="10" w:space="0"/>
              <w:left w:val="nil"/>
            </w:tcBorders>
            <w:vAlign w:val="top"/>
          </w:tcPr>
          <w:p w14:paraId="5889195A">
            <w:pPr>
              <w:spacing w:before="97" w:line="231" w:lineRule="auto"/>
              <w:ind w:left="225"/>
              <w:rPr>
                <w:rFonts w:ascii="仿宋" w:hAnsi="仿宋" w:eastAsia="仿宋" w:cs="仿宋"/>
                <w:sz w:val="20"/>
                <w:szCs w:val="20"/>
              </w:rPr>
            </w:pPr>
            <w:r>
              <w:rPr>
                <w:rFonts w:ascii="仿宋" w:hAnsi="仿宋" w:eastAsia="仿宋" w:cs="仿宋"/>
                <w:spacing w:val="2"/>
                <w:sz w:val="20"/>
                <w:szCs w:val="20"/>
              </w:rPr>
              <w:t>序号</w:t>
            </w:r>
          </w:p>
        </w:tc>
        <w:tc>
          <w:tcPr>
            <w:tcW w:w="1424" w:type="dxa"/>
            <w:tcBorders>
              <w:top w:val="single" w:color="000000" w:sz="10" w:space="0"/>
            </w:tcBorders>
            <w:vAlign w:val="top"/>
          </w:tcPr>
          <w:p w14:paraId="30C84C61">
            <w:pPr>
              <w:spacing w:before="97" w:line="231" w:lineRule="auto"/>
              <w:ind w:left="436"/>
              <w:rPr>
                <w:rFonts w:ascii="仿宋" w:hAnsi="仿宋" w:eastAsia="仿宋" w:cs="仿宋"/>
                <w:sz w:val="20"/>
                <w:szCs w:val="20"/>
              </w:rPr>
            </w:pPr>
            <w:r>
              <w:rPr>
                <w:rFonts w:ascii="仿宋" w:hAnsi="仿宋" w:eastAsia="仿宋" w:cs="仿宋"/>
                <w:spacing w:val="-4"/>
                <w:sz w:val="20"/>
                <w:szCs w:val="20"/>
              </w:rPr>
              <w:t>中文名</w:t>
            </w:r>
          </w:p>
        </w:tc>
        <w:tc>
          <w:tcPr>
            <w:tcW w:w="3393" w:type="dxa"/>
            <w:tcBorders>
              <w:top w:val="single" w:color="000000" w:sz="10" w:space="0"/>
            </w:tcBorders>
            <w:vAlign w:val="top"/>
          </w:tcPr>
          <w:p w14:paraId="69F8F049">
            <w:pPr>
              <w:spacing w:before="96" w:line="232" w:lineRule="auto"/>
              <w:ind w:left="1506"/>
              <w:rPr>
                <w:rFonts w:ascii="仿宋" w:hAnsi="仿宋" w:eastAsia="仿宋" w:cs="仿宋"/>
                <w:sz w:val="20"/>
                <w:szCs w:val="20"/>
              </w:rPr>
            </w:pPr>
            <w:r>
              <w:rPr>
                <w:rFonts w:ascii="仿宋" w:hAnsi="仿宋" w:eastAsia="仿宋" w:cs="仿宋"/>
                <w:spacing w:val="-3"/>
                <w:sz w:val="20"/>
                <w:szCs w:val="20"/>
              </w:rPr>
              <w:t>学名</w:t>
            </w:r>
          </w:p>
        </w:tc>
        <w:tc>
          <w:tcPr>
            <w:tcW w:w="2778" w:type="dxa"/>
            <w:tcBorders>
              <w:top w:val="single" w:color="000000" w:sz="10" w:space="0"/>
              <w:right w:val="nil"/>
            </w:tcBorders>
            <w:vAlign w:val="top"/>
          </w:tcPr>
          <w:p w14:paraId="74192FF6">
            <w:pPr>
              <w:spacing w:before="97" w:line="229" w:lineRule="auto"/>
              <w:ind w:left="776"/>
              <w:rPr>
                <w:rFonts w:ascii="仿宋" w:hAnsi="仿宋" w:eastAsia="仿宋" w:cs="仿宋"/>
                <w:sz w:val="20"/>
                <w:szCs w:val="20"/>
              </w:rPr>
            </w:pPr>
            <w:r>
              <w:rPr>
                <w:rFonts w:ascii="仿宋" w:hAnsi="仿宋" w:eastAsia="仿宋" w:cs="仿宋"/>
                <w:spacing w:val="6"/>
                <w:sz w:val="20"/>
                <w:szCs w:val="20"/>
              </w:rPr>
              <w:t>分布环境类型</w:t>
            </w:r>
          </w:p>
        </w:tc>
      </w:tr>
    </w:tbl>
    <w:p w14:paraId="777F638E">
      <w:pPr>
        <w:spacing w:before="94" w:line="233" w:lineRule="auto"/>
        <w:ind w:left="3535"/>
        <w:rPr>
          <w:rFonts w:ascii="Times New Roman" w:hAnsi="Times New Roman" w:eastAsia="Times New Roman" w:cs="Times New Roman"/>
          <w:sz w:val="20"/>
          <w:szCs w:val="20"/>
        </w:rPr>
      </w:pPr>
      <w:r>
        <w:pict>
          <v:shape id="_x0000_s1137" o:spid="_x0000_s1137" style="position:absolute;left:0pt;margin-left:0.65pt;margin-top:20.1pt;height:0.5pt;width:422.2pt;z-index:251698176;mso-width-relative:page;mso-height-relative:page;" filled="f" stroked="t" coordsize="8444,10" path="m0,4l8443,4e">
            <v:fill on="f" focussize="0,0"/>
            <v:stroke weight="0.48pt" color="#000000" miterlimit="2" joinstyle="bevel"/>
            <v:imagedata o:title=""/>
            <o:lock v:ext="edit"/>
          </v:shape>
        </w:pict>
      </w:r>
      <w:r>
        <w:rPr>
          <w:rFonts w:ascii="仿宋" w:hAnsi="仿宋" w:eastAsia="仿宋" w:cs="仿宋"/>
          <w:spacing w:val="9"/>
          <w:sz w:val="20"/>
          <w:szCs w:val="20"/>
        </w:rPr>
        <w:t xml:space="preserve">一、鸟纲 </w:t>
      </w:r>
      <w:r>
        <w:rPr>
          <w:rFonts w:ascii="Times New Roman" w:hAnsi="Times New Roman" w:eastAsia="Times New Roman" w:cs="Times New Roman"/>
          <w:i/>
          <w:iCs/>
          <w:sz w:val="20"/>
          <w:szCs w:val="20"/>
        </w:rPr>
        <w:t>AVES</w:t>
      </w:r>
    </w:p>
    <w:p w14:paraId="251C6831">
      <w:pPr>
        <w:spacing w:before="152" w:line="232" w:lineRule="auto"/>
        <w:ind w:left="2919"/>
        <w:rPr>
          <w:rFonts w:ascii="Times New Roman" w:hAnsi="Times New Roman" w:eastAsia="Times New Roman" w:cs="Times New Roman"/>
          <w:sz w:val="20"/>
          <w:szCs w:val="20"/>
        </w:rPr>
      </w:pPr>
      <w:r>
        <w:rPr>
          <w:rFonts w:ascii="仿宋" w:hAnsi="仿宋" w:eastAsia="仿宋" w:cs="仿宋"/>
          <w:spacing w:val="16"/>
          <w:sz w:val="20"/>
          <w:szCs w:val="20"/>
        </w:rPr>
        <w:t>（</w:t>
      </w:r>
      <w:r>
        <w:rPr>
          <w:rFonts w:ascii="Times New Roman" w:hAnsi="Times New Roman" w:eastAsia="Times New Roman" w:cs="Times New Roman"/>
          <w:spacing w:val="16"/>
          <w:sz w:val="20"/>
          <w:szCs w:val="20"/>
        </w:rPr>
        <w:t>1</w:t>
      </w:r>
      <w:r>
        <w:rPr>
          <w:rFonts w:ascii="仿宋" w:hAnsi="仿宋" w:eastAsia="仿宋" w:cs="仿宋"/>
          <w:spacing w:val="16"/>
          <w:sz w:val="20"/>
          <w:szCs w:val="20"/>
        </w:rPr>
        <w:t xml:space="preserve">）鸡形目 </w:t>
      </w:r>
      <w:r>
        <w:rPr>
          <w:rFonts w:ascii="Times New Roman" w:hAnsi="Times New Roman" w:eastAsia="Times New Roman" w:cs="Times New Roman"/>
          <w:i/>
          <w:iCs/>
          <w:sz w:val="20"/>
          <w:szCs w:val="20"/>
        </w:rPr>
        <w:t>GALLIFORMES</w:t>
      </w:r>
    </w:p>
    <w:p w14:paraId="57E33B8F">
      <w:pPr>
        <w:spacing w:line="54" w:lineRule="exact"/>
      </w:pPr>
    </w:p>
    <w:tbl>
      <w:tblPr>
        <w:tblStyle w:val="5"/>
        <w:tblW w:w="8443" w:type="dxa"/>
        <w:tblInd w:w="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8"/>
        <w:gridCol w:w="1424"/>
        <w:gridCol w:w="3393"/>
        <w:gridCol w:w="2778"/>
      </w:tblGrid>
      <w:tr w14:paraId="2B3141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848" w:type="dxa"/>
            <w:tcBorders>
              <w:left w:val="nil"/>
            </w:tcBorders>
            <w:vAlign w:val="top"/>
          </w:tcPr>
          <w:p w14:paraId="7411B169">
            <w:pPr>
              <w:pStyle w:val="6"/>
              <w:spacing w:before="134" w:line="195" w:lineRule="auto"/>
              <w:ind w:left="394"/>
              <w:rPr>
                <w:sz w:val="20"/>
                <w:szCs w:val="20"/>
              </w:rPr>
            </w:pPr>
            <w:r>
              <w:rPr>
                <w:sz w:val="20"/>
                <w:szCs w:val="20"/>
              </w:rPr>
              <w:t>1</w:t>
            </w:r>
          </w:p>
        </w:tc>
        <w:tc>
          <w:tcPr>
            <w:tcW w:w="1424" w:type="dxa"/>
            <w:vAlign w:val="top"/>
          </w:tcPr>
          <w:p w14:paraId="6352C0DA">
            <w:pPr>
              <w:spacing w:before="98" w:line="233" w:lineRule="auto"/>
              <w:ind w:left="512"/>
              <w:rPr>
                <w:rFonts w:ascii="仿宋" w:hAnsi="仿宋" w:eastAsia="仿宋" w:cs="仿宋"/>
                <w:sz w:val="20"/>
                <w:szCs w:val="20"/>
              </w:rPr>
            </w:pPr>
            <w:r>
              <w:rPr>
                <w:rFonts w:ascii="仿宋" w:hAnsi="仿宋" w:eastAsia="仿宋" w:cs="仿宋"/>
                <w:spacing w:val="2"/>
                <w:sz w:val="20"/>
                <w:szCs w:val="20"/>
              </w:rPr>
              <w:t>石鸡</w:t>
            </w:r>
          </w:p>
        </w:tc>
        <w:tc>
          <w:tcPr>
            <w:tcW w:w="3393" w:type="dxa"/>
            <w:vAlign w:val="top"/>
          </w:tcPr>
          <w:p w14:paraId="3ED77B4B">
            <w:pPr>
              <w:pStyle w:val="6"/>
              <w:spacing w:before="63" w:line="278" w:lineRule="exact"/>
              <w:ind w:left="586"/>
              <w:rPr>
                <w:sz w:val="20"/>
                <w:szCs w:val="20"/>
              </w:rPr>
            </w:pPr>
            <w:r>
              <w:rPr>
                <w:i/>
                <w:iCs/>
                <w:spacing w:val="4"/>
                <w:position w:val="4"/>
                <w:sz w:val="20"/>
                <w:szCs w:val="20"/>
              </w:rPr>
              <w:t>Alectoris graeca(meisner)</w:t>
            </w:r>
          </w:p>
        </w:tc>
        <w:tc>
          <w:tcPr>
            <w:tcW w:w="2778" w:type="dxa"/>
            <w:tcBorders>
              <w:right w:val="nil"/>
            </w:tcBorders>
            <w:vAlign w:val="top"/>
          </w:tcPr>
          <w:p w14:paraId="05244B64">
            <w:pPr>
              <w:spacing w:before="97" w:line="231" w:lineRule="auto"/>
              <w:ind w:left="882"/>
              <w:rPr>
                <w:rFonts w:ascii="仿宋" w:hAnsi="仿宋" w:eastAsia="仿宋" w:cs="仿宋"/>
                <w:sz w:val="20"/>
                <w:szCs w:val="20"/>
              </w:rPr>
            </w:pPr>
            <w:r>
              <w:rPr>
                <w:rFonts w:ascii="仿宋" w:hAnsi="仿宋" w:eastAsia="仿宋" w:cs="仿宋"/>
                <w:spacing w:val="6"/>
                <w:sz w:val="20"/>
                <w:szCs w:val="20"/>
              </w:rPr>
              <w:t>草地、灌丛</w:t>
            </w:r>
          </w:p>
        </w:tc>
      </w:tr>
      <w:tr w14:paraId="3A0FFD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848" w:type="dxa"/>
            <w:tcBorders>
              <w:left w:val="nil"/>
            </w:tcBorders>
            <w:vAlign w:val="top"/>
          </w:tcPr>
          <w:p w14:paraId="45CA1A3C">
            <w:pPr>
              <w:pStyle w:val="6"/>
              <w:spacing w:before="130" w:line="195" w:lineRule="auto"/>
              <w:ind w:left="374"/>
              <w:rPr>
                <w:sz w:val="20"/>
                <w:szCs w:val="20"/>
              </w:rPr>
            </w:pPr>
            <w:r>
              <w:rPr>
                <w:sz w:val="20"/>
                <w:szCs w:val="20"/>
              </w:rPr>
              <w:t>2</w:t>
            </w:r>
          </w:p>
        </w:tc>
        <w:tc>
          <w:tcPr>
            <w:tcW w:w="1424" w:type="dxa"/>
            <w:vAlign w:val="top"/>
          </w:tcPr>
          <w:p w14:paraId="7E81D1F2">
            <w:pPr>
              <w:spacing w:before="94" w:line="232" w:lineRule="auto"/>
              <w:ind w:left="512"/>
              <w:rPr>
                <w:rFonts w:ascii="仿宋" w:hAnsi="仿宋" w:eastAsia="仿宋" w:cs="仿宋"/>
                <w:sz w:val="20"/>
                <w:szCs w:val="20"/>
              </w:rPr>
            </w:pPr>
            <w:r>
              <w:rPr>
                <w:rFonts w:ascii="仿宋" w:hAnsi="仿宋" w:eastAsia="仿宋" w:cs="仿宋"/>
                <w:spacing w:val="2"/>
                <w:sz w:val="20"/>
                <w:szCs w:val="20"/>
              </w:rPr>
              <w:t>雉鸡</w:t>
            </w:r>
          </w:p>
        </w:tc>
        <w:tc>
          <w:tcPr>
            <w:tcW w:w="3393" w:type="dxa"/>
            <w:vAlign w:val="top"/>
          </w:tcPr>
          <w:p w14:paraId="2881357E">
            <w:pPr>
              <w:pStyle w:val="6"/>
              <w:spacing w:before="60" w:line="278" w:lineRule="exact"/>
              <w:ind w:left="375"/>
              <w:rPr>
                <w:sz w:val="20"/>
                <w:szCs w:val="20"/>
              </w:rPr>
            </w:pPr>
            <w:r>
              <w:rPr>
                <w:i/>
                <w:iCs/>
                <w:spacing w:val="4"/>
                <w:position w:val="4"/>
                <w:sz w:val="20"/>
                <w:szCs w:val="20"/>
              </w:rPr>
              <w:t>Phasianus colchicus</w:t>
            </w:r>
            <w:r>
              <w:rPr>
                <w:spacing w:val="4"/>
                <w:position w:val="4"/>
                <w:sz w:val="20"/>
                <w:szCs w:val="20"/>
              </w:rPr>
              <w:t>(Linnaeus)</w:t>
            </w:r>
          </w:p>
        </w:tc>
        <w:tc>
          <w:tcPr>
            <w:tcW w:w="2778" w:type="dxa"/>
            <w:tcBorders>
              <w:right w:val="nil"/>
            </w:tcBorders>
            <w:vAlign w:val="top"/>
          </w:tcPr>
          <w:p w14:paraId="4BDCD0B0">
            <w:pPr>
              <w:spacing w:before="94" w:line="231" w:lineRule="auto"/>
              <w:ind w:left="882"/>
              <w:rPr>
                <w:rFonts w:ascii="仿宋" w:hAnsi="仿宋" w:eastAsia="仿宋" w:cs="仿宋"/>
                <w:sz w:val="20"/>
                <w:szCs w:val="20"/>
              </w:rPr>
            </w:pPr>
            <w:r>
              <w:rPr>
                <w:rFonts w:ascii="仿宋" w:hAnsi="仿宋" w:eastAsia="仿宋" w:cs="仿宋"/>
                <w:spacing w:val="6"/>
                <w:sz w:val="20"/>
                <w:szCs w:val="20"/>
              </w:rPr>
              <w:t>草地、灌丛</w:t>
            </w:r>
          </w:p>
        </w:tc>
      </w:tr>
    </w:tbl>
    <w:p w14:paraId="15C4E005">
      <w:pPr>
        <w:spacing w:before="93" w:line="232" w:lineRule="auto"/>
        <w:ind w:left="2809"/>
        <w:rPr>
          <w:rFonts w:ascii="Times New Roman" w:hAnsi="Times New Roman" w:eastAsia="Times New Roman" w:cs="Times New Roman"/>
          <w:sz w:val="20"/>
          <w:szCs w:val="20"/>
        </w:rPr>
      </w:pPr>
      <w:r>
        <w:rPr>
          <w:rFonts w:ascii="仿宋" w:hAnsi="仿宋" w:eastAsia="仿宋" w:cs="仿宋"/>
          <w:spacing w:val="17"/>
          <w:sz w:val="20"/>
          <w:szCs w:val="20"/>
        </w:rPr>
        <w:t>（</w:t>
      </w:r>
      <w:r>
        <w:rPr>
          <w:rFonts w:ascii="Times New Roman" w:hAnsi="Times New Roman" w:eastAsia="Times New Roman" w:cs="Times New Roman"/>
          <w:spacing w:val="17"/>
          <w:sz w:val="20"/>
          <w:szCs w:val="20"/>
        </w:rPr>
        <w:t>2</w:t>
      </w:r>
      <w:r>
        <w:rPr>
          <w:rFonts w:ascii="仿宋" w:hAnsi="仿宋" w:eastAsia="仿宋" w:cs="仿宋"/>
          <w:spacing w:val="17"/>
          <w:sz w:val="20"/>
          <w:szCs w:val="20"/>
        </w:rPr>
        <w:t xml:space="preserve">）鸽形目 </w:t>
      </w:r>
      <w:r>
        <w:rPr>
          <w:rFonts w:ascii="Times New Roman" w:hAnsi="Times New Roman" w:eastAsia="Times New Roman" w:cs="Times New Roman"/>
          <w:i/>
          <w:iCs/>
          <w:sz w:val="20"/>
          <w:szCs w:val="20"/>
        </w:rPr>
        <w:t>COLUMIFORMES</w:t>
      </w:r>
    </w:p>
    <w:p w14:paraId="7A0BCE09">
      <w:pPr>
        <w:spacing w:line="53" w:lineRule="exact"/>
      </w:pPr>
    </w:p>
    <w:tbl>
      <w:tblPr>
        <w:tblStyle w:val="5"/>
        <w:tblW w:w="8443" w:type="dxa"/>
        <w:tblInd w:w="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8"/>
        <w:gridCol w:w="1424"/>
        <w:gridCol w:w="3393"/>
        <w:gridCol w:w="2778"/>
      </w:tblGrid>
      <w:tr w14:paraId="469BBC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848" w:type="dxa"/>
            <w:tcBorders>
              <w:left w:val="nil"/>
            </w:tcBorders>
            <w:vAlign w:val="top"/>
          </w:tcPr>
          <w:p w14:paraId="0AD59ECD">
            <w:pPr>
              <w:pStyle w:val="6"/>
              <w:spacing w:before="132" w:line="195" w:lineRule="auto"/>
              <w:ind w:left="378"/>
              <w:rPr>
                <w:sz w:val="20"/>
                <w:szCs w:val="20"/>
              </w:rPr>
            </w:pPr>
            <w:r>
              <w:rPr>
                <w:sz w:val="20"/>
                <w:szCs w:val="20"/>
              </w:rPr>
              <w:t>3</w:t>
            </w:r>
          </w:p>
        </w:tc>
        <w:tc>
          <w:tcPr>
            <w:tcW w:w="1424" w:type="dxa"/>
            <w:vAlign w:val="top"/>
          </w:tcPr>
          <w:p w14:paraId="567151DA">
            <w:pPr>
              <w:spacing w:before="96" w:line="232" w:lineRule="auto"/>
              <w:ind w:left="305"/>
              <w:rPr>
                <w:rFonts w:ascii="仿宋" w:hAnsi="仿宋" w:eastAsia="仿宋" w:cs="仿宋"/>
                <w:sz w:val="20"/>
                <w:szCs w:val="20"/>
              </w:rPr>
            </w:pPr>
            <w:r>
              <w:rPr>
                <w:rFonts w:ascii="仿宋" w:hAnsi="仿宋" w:eastAsia="仿宋" w:cs="仿宋"/>
                <w:spacing w:val="5"/>
                <w:sz w:val="20"/>
                <w:szCs w:val="20"/>
              </w:rPr>
              <w:t>毛腿沙鸡</w:t>
            </w:r>
          </w:p>
        </w:tc>
        <w:tc>
          <w:tcPr>
            <w:tcW w:w="3393" w:type="dxa"/>
            <w:vAlign w:val="top"/>
          </w:tcPr>
          <w:p w14:paraId="67EB5EDF">
            <w:pPr>
              <w:pStyle w:val="6"/>
              <w:spacing w:before="61" w:line="278" w:lineRule="exact"/>
              <w:ind w:left="446"/>
              <w:rPr>
                <w:sz w:val="20"/>
                <w:szCs w:val="20"/>
              </w:rPr>
            </w:pPr>
            <w:r>
              <w:rPr>
                <w:i/>
                <w:iCs/>
                <w:spacing w:val="5"/>
                <w:position w:val="4"/>
                <w:sz w:val="20"/>
                <w:szCs w:val="20"/>
              </w:rPr>
              <w:t>Syrrhaptes</w:t>
            </w:r>
            <w:r>
              <w:rPr>
                <w:i/>
                <w:iCs/>
                <w:spacing w:val="-22"/>
                <w:position w:val="4"/>
                <w:sz w:val="20"/>
                <w:szCs w:val="20"/>
              </w:rPr>
              <w:t xml:space="preserve"> </w:t>
            </w:r>
            <w:r>
              <w:rPr>
                <w:i/>
                <w:iCs/>
                <w:spacing w:val="5"/>
                <w:position w:val="4"/>
                <w:sz w:val="20"/>
                <w:szCs w:val="20"/>
              </w:rPr>
              <w:t>paradoxus(pall</w:t>
            </w:r>
            <w:r>
              <w:rPr>
                <w:i/>
                <w:iCs/>
                <w:spacing w:val="4"/>
                <w:position w:val="4"/>
                <w:sz w:val="20"/>
                <w:szCs w:val="20"/>
              </w:rPr>
              <w:t>as)</w:t>
            </w:r>
          </w:p>
        </w:tc>
        <w:tc>
          <w:tcPr>
            <w:tcW w:w="2778" w:type="dxa"/>
            <w:tcBorders>
              <w:right w:val="nil"/>
            </w:tcBorders>
            <w:vAlign w:val="top"/>
          </w:tcPr>
          <w:p w14:paraId="0FCBC521">
            <w:pPr>
              <w:spacing w:before="96" w:line="231" w:lineRule="auto"/>
              <w:ind w:left="882"/>
              <w:rPr>
                <w:rFonts w:ascii="仿宋" w:hAnsi="仿宋" w:eastAsia="仿宋" w:cs="仿宋"/>
                <w:sz w:val="20"/>
                <w:szCs w:val="20"/>
              </w:rPr>
            </w:pPr>
            <w:r>
              <w:rPr>
                <w:rFonts w:ascii="仿宋" w:hAnsi="仿宋" w:eastAsia="仿宋" w:cs="仿宋"/>
                <w:spacing w:val="6"/>
                <w:sz w:val="20"/>
                <w:szCs w:val="20"/>
              </w:rPr>
              <w:t>草地、灌丛</w:t>
            </w:r>
          </w:p>
        </w:tc>
      </w:tr>
    </w:tbl>
    <w:p w14:paraId="5D000D47">
      <w:pPr>
        <w:spacing w:before="93" w:line="232" w:lineRule="auto"/>
        <w:ind w:left="2792"/>
        <w:rPr>
          <w:rFonts w:ascii="Times New Roman" w:hAnsi="Times New Roman" w:eastAsia="Times New Roman" w:cs="Times New Roman"/>
          <w:sz w:val="20"/>
          <w:szCs w:val="20"/>
        </w:rPr>
      </w:pPr>
      <w:r>
        <w:rPr>
          <w:rFonts w:ascii="仿宋" w:hAnsi="仿宋" w:eastAsia="仿宋" w:cs="仿宋"/>
          <w:spacing w:val="14"/>
          <w:sz w:val="20"/>
          <w:szCs w:val="20"/>
        </w:rPr>
        <w:t>（</w:t>
      </w:r>
      <w:r>
        <w:rPr>
          <w:rFonts w:ascii="Times New Roman" w:hAnsi="Times New Roman" w:eastAsia="Times New Roman" w:cs="Times New Roman"/>
          <w:spacing w:val="14"/>
          <w:sz w:val="20"/>
          <w:szCs w:val="20"/>
        </w:rPr>
        <w:t>3</w:t>
      </w:r>
      <w:r>
        <w:rPr>
          <w:rFonts w:ascii="仿宋" w:hAnsi="仿宋" w:eastAsia="仿宋" w:cs="仿宋"/>
          <w:spacing w:val="14"/>
          <w:sz w:val="20"/>
          <w:szCs w:val="20"/>
        </w:rPr>
        <w:t xml:space="preserve">）雀形目 </w:t>
      </w:r>
      <w:r>
        <w:rPr>
          <w:rFonts w:ascii="Times New Roman" w:hAnsi="Times New Roman" w:eastAsia="Times New Roman" w:cs="Times New Roman"/>
          <w:i/>
          <w:iCs/>
          <w:sz w:val="20"/>
          <w:szCs w:val="20"/>
        </w:rPr>
        <w:t>PASSERIIFORMES</w:t>
      </w:r>
    </w:p>
    <w:p w14:paraId="1BD4FF7A">
      <w:pPr>
        <w:spacing w:line="53" w:lineRule="exact"/>
      </w:pPr>
    </w:p>
    <w:tbl>
      <w:tblPr>
        <w:tblStyle w:val="5"/>
        <w:tblW w:w="8443" w:type="dxa"/>
        <w:tblInd w:w="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8"/>
        <w:gridCol w:w="1424"/>
        <w:gridCol w:w="3393"/>
        <w:gridCol w:w="2778"/>
      </w:tblGrid>
      <w:tr w14:paraId="786E11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848" w:type="dxa"/>
            <w:tcBorders>
              <w:left w:val="nil"/>
            </w:tcBorders>
            <w:vAlign w:val="top"/>
          </w:tcPr>
          <w:p w14:paraId="7D7D0082">
            <w:pPr>
              <w:pStyle w:val="6"/>
              <w:spacing w:before="134" w:line="195" w:lineRule="auto"/>
              <w:ind w:left="373"/>
              <w:rPr>
                <w:sz w:val="20"/>
                <w:szCs w:val="20"/>
              </w:rPr>
            </w:pPr>
            <w:r>
              <w:rPr>
                <w:spacing w:val="1"/>
                <w:sz w:val="20"/>
                <w:szCs w:val="20"/>
              </w:rPr>
              <w:t>4</w:t>
            </w:r>
          </w:p>
        </w:tc>
        <w:tc>
          <w:tcPr>
            <w:tcW w:w="1424" w:type="dxa"/>
            <w:vAlign w:val="top"/>
          </w:tcPr>
          <w:p w14:paraId="637CB252">
            <w:pPr>
              <w:spacing w:before="97" w:line="232" w:lineRule="auto"/>
              <w:ind w:left="514"/>
              <w:rPr>
                <w:rFonts w:ascii="仿宋" w:hAnsi="仿宋" w:eastAsia="仿宋" w:cs="仿宋"/>
                <w:sz w:val="20"/>
                <w:szCs w:val="20"/>
              </w:rPr>
            </w:pPr>
            <w:r>
              <w:rPr>
                <w:rFonts w:ascii="仿宋" w:hAnsi="仿宋" w:eastAsia="仿宋" w:cs="仿宋"/>
                <w:sz w:val="20"/>
                <w:szCs w:val="20"/>
              </w:rPr>
              <w:t>家燕</w:t>
            </w:r>
          </w:p>
        </w:tc>
        <w:tc>
          <w:tcPr>
            <w:tcW w:w="3393" w:type="dxa"/>
            <w:vAlign w:val="top"/>
          </w:tcPr>
          <w:p w14:paraId="39447E36">
            <w:pPr>
              <w:pStyle w:val="6"/>
              <w:spacing w:before="63" w:line="278" w:lineRule="exact"/>
              <w:ind w:left="634"/>
              <w:rPr>
                <w:sz w:val="20"/>
                <w:szCs w:val="20"/>
              </w:rPr>
            </w:pPr>
            <w:r>
              <w:rPr>
                <w:i/>
                <w:iCs/>
                <w:spacing w:val="4"/>
                <w:position w:val="2"/>
                <w:sz w:val="20"/>
                <w:szCs w:val="20"/>
              </w:rPr>
              <w:t>Hirundo rustica linnaeus</w:t>
            </w:r>
          </w:p>
        </w:tc>
        <w:tc>
          <w:tcPr>
            <w:tcW w:w="2778" w:type="dxa"/>
            <w:tcBorders>
              <w:right w:val="nil"/>
            </w:tcBorders>
            <w:vAlign w:val="top"/>
          </w:tcPr>
          <w:p w14:paraId="52C38092">
            <w:pPr>
              <w:spacing w:before="98" w:line="231" w:lineRule="auto"/>
              <w:ind w:left="882"/>
              <w:rPr>
                <w:rFonts w:ascii="仿宋" w:hAnsi="仿宋" w:eastAsia="仿宋" w:cs="仿宋"/>
                <w:sz w:val="20"/>
                <w:szCs w:val="20"/>
              </w:rPr>
            </w:pPr>
            <w:r>
              <w:rPr>
                <w:rFonts w:ascii="仿宋" w:hAnsi="仿宋" w:eastAsia="仿宋" w:cs="仿宋"/>
                <w:spacing w:val="6"/>
                <w:sz w:val="20"/>
                <w:szCs w:val="20"/>
              </w:rPr>
              <w:t>草地、农田</w:t>
            </w:r>
          </w:p>
        </w:tc>
      </w:tr>
      <w:tr w14:paraId="47316D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848" w:type="dxa"/>
            <w:tcBorders>
              <w:left w:val="nil"/>
            </w:tcBorders>
            <w:vAlign w:val="top"/>
          </w:tcPr>
          <w:p w14:paraId="4C9E9F72">
            <w:pPr>
              <w:pStyle w:val="6"/>
              <w:spacing w:before="132" w:line="192" w:lineRule="auto"/>
              <w:ind w:left="379"/>
              <w:rPr>
                <w:sz w:val="20"/>
                <w:szCs w:val="20"/>
              </w:rPr>
            </w:pPr>
            <w:r>
              <w:rPr>
                <w:sz w:val="20"/>
                <w:szCs w:val="20"/>
              </w:rPr>
              <w:t>5</w:t>
            </w:r>
          </w:p>
        </w:tc>
        <w:tc>
          <w:tcPr>
            <w:tcW w:w="1424" w:type="dxa"/>
            <w:vAlign w:val="top"/>
          </w:tcPr>
          <w:p w14:paraId="4315AAEC">
            <w:pPr>
              <w:spacing w:before="94" w:line="232" w:lineRule="auto"/>
              <w:ind w:left="410"/>
              <w:rPr>
                <w:rFonts w:ascii="仿宋" w:hAnsi="仿宋" w:eastAsia="仿宋" w:cs="仿宋"/>
                <w:sz w:val="20"/>
                <w:szCs w:val="20"/>
              </w:rPr>
            </w:pPr>
            <w:r>
              <w:rPr>
                <w:rFonts w:ascii="仿宋" w:hAnsi="仿宋" w:eastAsia="仿宋" w:cs="仿宋"/>
                <w:spacing w:val="4"/>
                <w:sz w:val="20"/>
                <w:szCs w:val="20"/>
              </w:rPr>
              <w:t>灰沙燕</w:t>
            </w:r>
          </w:p>
        </w:tc>
        <w:tc>
          <w:tcPr>
            <w:tcW w:w="3393" w:type="dxa"/>
            <w:vAlign w:val="top"/>
          </w:tcPr>
          <w:p w14:paraId="7E3EAD8A">
            <w:pPr>
              <w:pStyle w:val="6"/>
              <w:spacing w:before="132" w:line="194" w:lineRule="auto"/>
              <w:ind w:left="1045"/>
              <w:rPr>
                <w:sz w:val="20"/>
                <w:szCs w:val="20"/>
              </w:rPr>
            </w:pPr>
            <w:r>
              <w:rPr>
                <w:i/>
                <w:iCs/>
                <w:spacing w:val="4"/>
                <w:sz w:val="20"/>
                <w:szCs w:val="20"/>
              </w:rPr>
              <w:t>Riparia riparia</w:t>
            </w:r>
          </w:p>
        </w:tc>
        <w:tc>
          <w:tcPr>
            <w:tcW w:w="2778" w:type="dxa"/>
            <w:tcBorders>
              <w:right w:val="nil"/>
            </w:tcBorders>
            <w:vAlign w:val="top"/>
          </w:tcPr>
          <w:p w14:paraId="461D25FA">
            <w:pPr>
              <w:spacing w:before="93" w:line="231" w:lineRule="auto"/>
              <w:ind w:left="882"/>
              <w:rPr>
                <w:rFonts w:ascii="仿宋" w:hAnsi="仿宋" w:eastAsia="仿宋" w:cs="仿宋"/>
                <w:sz w:val="20"/>
                <w:szCs w:val="20"/>
              </w:rPr>
            </w:pPr>
            <w:r>
              <w:rPr>
                <w:rFonts w:ascii="仿宋" w:hAnsi="仿宋" w:eastAsia="仿宋" w:cs="仿宋"/>
                <w:spacing w:val="6"/>
                <w:sz w:val="20"/>
                <w:szCs w:val="20"/>
              </w:rPr>
              <w:t>草地、农田</w:t>
            </w:r>
          </w:p>
        </w:tc>
      </w:tr>
      <w:tr w14:paraId="4462F7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848" w:type="dxa"/>
            <w:tcBorders>
              <w:left w:val="nil"/>
            </w:tcBorders>
            <w:vAlign w:val="top"/>
          </w:tcPr>
          <w:p w14:paraId="2923D1B2">
            <w:pPr>
              <w:pStyle w:val="6"/>
              <w:spacing w:before="131" w:line="195" w:lineRule="auto"/>
              <w:ind w:left="378"/>
              <w:rPr>
                <w:sz w:val="20"/>
                <w:szCs w:val="20"/>
              </w:rPr>
            </w:pPr>
            <w:r>
              <w:rPr>
                <w:sz w:val="20"/>
                <w:szCs w:val="20"/>
              </w:rPr>
              <w:t>6</w:t>
            </w:r>
          </w:p>
        </w:tc>
        <w:tc>
          <w:tcPr>
            <w:tcW w:w="1424" w:type="dxa"/>
            <w:vAlign w:val="top"/>
          </w:tcPr>
          <w:p w14:paraId="0128A49A">
            <w:pPr>
              <w:spacing w:before="95" w:line="232" w:lineRule="auto"/>
              <w:ind w:left="516"/>
              <w:rPr>
                <w:rFonts w:ascii="仿宋" w:hAnsi="仿宋" w:eastAsia="仿宋" w:cs="仿宋"/>
                <w:sz w:val="20"/>
                <w:szCs w:val="20"/>
              </w:rPr>
            </w:pPr>
            <w:r>
              <w:rPr>
                <w:rFonts w:ascii="仿宋" w:hAnsi="仿宋" w:eastAsia="仿宋" w:cs="仿宋"/>
                <w:spacing w:val="-1"/>
                <w:sz w:val="20"/>
                <w:szCs w:val="20"/>
              </w:rPr>
              <w:t>喜鹊</w:t>
            </w:r>
          </w:p>
        </w:tc>
        <w:tc>
          <w:tcPr>
            <w:tcW w:w="3393" w:type="dxa"/>
            <w:vAlign w:val="top"/>
          </w:tcPr>
          <w:p w14:paraId="32E601FC">
            <w:pPr>
              <w:pStyle w:val="6"/>
              <w:spacing w:before="127" w:line="201" w:lineRule="auto"/>
              <w:ind w:left="836"/>
              <w:rPr>
                <w:sz w:val="20"/>
                <w:szCs w:val="20"/>
              </w:rPr>
            </w:pPr>
            <w:r>
              <w:rPr>
                <w:i/>
                <w:iCs/>
                <w:spacing w:val="5"/>
                <w:sz w:val="20"/>
                <w:szCs w:val="20"/>
              </w:rPr>
              <w:t>Pica</w:t>
            </w:r>
            <w:r>
              <w:rPr>
                <w:i/>
                <w:iCs/>
                <w:spacing w:val="-8"/>
                <w:sz w:val="20"/>
                <w:szCs w:val="20"/>
              </w:rPr>
              <w:t xml:space="preserve"> </w:t>
            </w:r>
            <w:r>
              <w:rPr>
                <w:i/>
                <w:iCs/>
                <w:spacing w:val="5"/>
                <w:sz w:val="20"/>
                <w:szCs w:val="20"/>
              </w:rPr>
              <w:t>pica</w:t>
            </w:r>
            <w:r>
              <w:rPr>
                <w:spacing w:val="5"/>
                <w:sz w:val="20"/>
                <w:szCs w:val="20"/>
              </w:rPr>
              <w:t>(Linnaeus)</w:t>
            </w:r>
          </w:p>
        </w:tc>
        <w:tc>
          <w:tcPr>
            <w:tcW w:w="2778" w:type="dxa"/>
            <w:tcBorders>
              <w:right w:val="nil"/>
            </w:tcBorders>
            <w:vAlign w:val="top"/>
          </w:tcPr>
          <w:p w14:paraId="72D6A848">
            <w:pPr>
              <w:spacing w:before="95" w:line="231" w:lineRule="auto"/>
              <w:ind w:left="882"/>
              <w:rPr>
                <w:rFonts w:ascii="仿宋" w:hAnsi="仿宋" w:eastAsia="仿宋" w:cs="仿宋"/>
                <w:sz w:val="20"/>
                <w:szCs w:val="20"/>
              </w:rPr>
            </w:pPr>
            <w:r>
              <w:rPr>
                <w:rFonts w:ascii="仿宋" w:hAnsi="仿宋" w:eastAsia="仿宋" w:cs="仿宋"/>
                <w:spacing w:val="6"/>
                <w:sz w:val="20"/>
                <w:szCs w:val="20"/>
              </w:rPr>
              <w:t>草地、灌丛</w:t>
            </w:r>
          </w:p>
        </w:tc>
      </w:tr>
      <w:tr w14:paraId="00A9F1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848" w:type="dxa"/>
            <w:tcBorders>
              <w:left w:val="nil"/>
            </w:tcBorders>
            <w:vAlign w:val="top"/>
          </w:tcPr>
          <w:p w14:paraId="3C0FDB07">
            <w:pPr>
              <w:pStyle w:val="6"/>
              <w:spacing w:before="134" w:line="192" w:lineRule="auto"/>
              <w:ind w:left="377"/>
              <w:rPr>
                <w:sz w:val="20"/>
                <w:szCs w:val="20"/>
              </w:rPr>
            </w:pPr>
            <w:r>
              <w:rPr>
                <w:sz w:val="20"/>
                <w:szCs w:val="20"/>
              </w:rPr>
              <w:t>7</w:t>
            </w:r>
          </w:p>
        </w:tc>
        <w:tc>
          <w:tcPr>
            <w:tcW w:w="1424" w:type="dxa"/>
            <w:vAlign w:val="top"/>
          </w:tcPr>
          <w:p w14:paraId="04591C50">
            <w:pPr>
              <w:spacing w:before="95" w:line="229" w:lineRule="auto"/>
              <w:ind w:left="305"/>
              <w:rPr>
                <w:rFonts w:ascii="仿宋" w:hAnsi="仿宋" w:eastAsia="仿宋" w:cs="仿宋"/>
                <w:sz w:val="20"/>
                <w:szCs w:val="20"/>
              </w:rPr>
            </w:pPr>
            <w:r>
              <w:rPr>
                <w:rFonts w:ascii="仿宋" w:hAnsi="仿宋" w:eastAsia="仿宋" w:cs="仿宋"/>
                <w:spacing w:val="5"/>
                <w:sz w:val="20"/>
                <w:szCs w:val="20"/>
              </w:rPr>
              <w:t>秃鼻乌鸦</w:t>
            </w:r>
          </w:p>
        </w:tc>
        <w:tc>
          <w:tcPr>
            <w:tcW w:w="3393" w:type="dxa"/>
            <w:vAlign w:val="top"/>
          </w:tcPr>
          <w:p w14:paraId="4942931A">
            <w:pPr>
              <w:pStyle w:val="6"/>
              <w:spacing w:before="61" w:line="277" w:lineRule="exact"/>
              <w:ind w:left="557"/>
              <w:rPr>
                <w:sz w:val="20"/>
                <w:szCs w:val="20"/>
              </w:rPr>
            </w:pPr>
            <w:r>
              <w:rPr>
                <w:i/>
                <w:iCs/>
                <w:spacing w:val="5"/>
                <w:position w:val="4"/>
                <w:sz w:val="20"/>
                <w:szCs w:val="20"/>
              </w:rPr>
              <w:t>Cervus</w:t>
            </w:r>
            <w:r>
              <w:rPr>
                <w:i/>
                <w:iCs/>
                <w:spacing w:val="-33"/>
                <w:position w:val="4"/>
                <w:sz w:val="20"/>
                <w:szCs w:val="20"/>
              </w:rPr>
              <w:t xml:space="preserve"> </w:t>
            </w:r>
            <w:r>
              <w:rPr>
                <w:i/>
                <w:iCs/>
                <w:spacing w:val="5"/>
                <w:position w:val="4"/>
                <w:sz w:val="20"/>
                <w:szCs w:val="20"/>
              </w:rPr>
              <w:t>fruilegus</w:t>
            </w:r>
            <w:r>
              <w:rPr>
                <w:spacing w:val="5"/>
                <w:position w:val="4"/>
                <w:sz w:val="20"/>
                <w:szCs w:val="20"/>
              </w:rPr>
              <w:t>(Linnaeus)</w:t>
            </w:r>
          </w:p>
        </w:tc>
        <w:tc>
          <w:tcPr>
            <w:tcW w:w="2778" w:type="dxa"/>
            <w:tcBorders>
              <w:right w:val="nil"/>
            </w:tcBorders>
            <w:vAlign w:val="top"/>
          </w:tcPr>
          <w:p w14:paraId="636E5DC1">
            <w:pPr>
              <w:spacing w:before="95" w:line="231" w:lineRule="auto"/>
              <w:ind w:left="882"/>
              <w:rPr>
                <w:rFonts w:ascii="仿宋" w:hAnsi="仿宋" w:eastAsia="仿宋" w:cs="仿宋"/>
                <w:sz w:val="20"/>
                <w:szCs w:val="20"/>
              </w:rPr>
            </w:pPr>
            <w:r>
              <w:rPr>
                <w:rFonts w:ascii="仿宋" w:hAnsi="仿宋" w:eastAsia="仿宋" w:cs="仿宋"/>
                <w:spacing w:val="6"/>
                <w:sz w:val="20"/>
                <w:szCs w:val="20"/>
              </w:rPr>
              <w:t>草地、灌丛</w:t>
            </w:r>
          </w:p>
        </w:tc>
      </w:tr>
    </w:tbl>
    <w:p w14:paraId="7F555AE2">
      <w:pPr>
        <w:spacing w:before="93" w:line="231" w:lineRule="auto"/>
        <w:ind w:left="3111"/>
        <w:rPr>
          <w:rFonts w:ascii="Times New Roman" w:hAnsi="Times New Roman" w:eastAsia="Times New Roman" w:cs="Times New Roman"/>
          <w:sz w:val="20"/>
          <w:szCs w:val="20"/>
        </w:rPr>
      </w:pPr>
      <w:r>
        <w:rPr>
          <w:rFonts w:ascii="仿宋" w:hAnsi="仿宋" w:eastAsia="仿宋" w:cs="仿宋"/>
          <w:spacing w:val="16"/>
          <w:sz w:val="20"/>
          <w:szCs w:val="20"/>
        </w:rPr>
        <w:t xml:space="preserve">二、哺乳纲 </w:t>
      </w:r>
      <w:r>
        <w:rPr>
          <w:rFonts w:ascii="Times New Roman" w:hAnsi="Times New Roman" w:eastAsia="Times New Roman" w:cs="Times New Roman"/>
          <w:i/>
          <w:iCs/>
          <w:sz w:val="20"/>
          <w:szCs w:val="20"/>
        </w:rPr>
        <w:t>MAMMALTA</w:t>
      </w:r>
    </w:p>
    <w:p w14:paraId="633B71E4">
      <w:pPr>
        <w:spacing w:line="55" w:lineRule="exact"/>
      </w:pPr>
    </w:p>
    <w:tbl>
      <w:tblPr>
        <w:tblStyle w:val="5"/>
        <w:tblW w:w="8443" w:type="dxa"/>
        <w:tblInd w:w="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8"/>
        <w:gridCol w:w="1425"/>
        <w:gridCol w:w="3393"/>
        <w:gridCol w:w="1391"/>
        <w:gridCol w:w="1386"/>
      </w:tblGrid>
      <w:tr w14:paraId="7B8FAA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trPr>
        <w:tc>
          <w:tcPr>
            <w:tcW w:w="848" w:type="dxa"/>
            <w:tcBorders>
              <w:left w:val="nil"/>
            </w:tcBorders>
            <w:vAlign w:val="top"/>
          </w:tcPr>
          <w:p w14:paraId="6530C29D">
            <w:pPr>
              <w:pStyle w:val="6"/>
              <w:spacing w:before="134" w:line="195" w:lineRule="auto"/>
              <w:ind w:left="382"/>
              <w:rPr>
                <w:sz w:val="20"/>
                <w:szCs w:val="20"/>
              </w:rPr>
            </w:pPr>
            <w:r>
              <w:rPr>
                <w:sz w:val="20"/>
                <w:szCs w:val="20"/>
              </w:rPr>
              <w:t>8</w:t>
            </w:r>
          </w:p>
        </w:tc>
        <w:tc>
          <w:tcPr>
            <w:tcW w:w="1425" w:type="dxa"/>
            <w:vAlign w:val="top"/>
          </w:tcPr>
          <w:p w14:paraId="457C9BC7">
            <w:pPr>
              <w:spacing w:before="98" w:line="229" w:lineRule="auto"/>
              <w:ind w:left="414"/>
              <w:rPr>
                <w:rFonts w:ascii="仿宋" w:hAnsi="仿宋" w:eastAsia="仿宋" w:cs="仿宋"/>
                <w:sz w:val="20"/>
                <w:szCs w:val="20"/>
              </w:rPr>
            </w:pPr>
            <w:r>
              <w:rPr>
                <w:rFonts w:ascii="仿宋" w:hAnsi="仿宋" w:eastAsia="仿宋" w:cs="仿宋"/>
                <w:spacing w:val="3"/>
                <w:sz w:val="20"/>
                <w:szCs w:val="20"/>
              </w:rPr>
              <w:t>蒙古兔</w:t>
            </w:r>
          </w:p>
        </w:tc>
        <w:tc>
          <w:tcPr>
            <w:tcW w:w="3393" w:type="dxa"/>
            <w:vAlign w:val="top"/>
          </w:tcPr>
          <w:p w14:paraId="0EB5C3D0">
            <w:pPr>
              <w:pStyle w:val="6"/>
              <w:spacing w:before="64" w:line="277" w:lineRule="exact"/>
              <w:ind w:left="941"/>
              <w:rPr>
                <w:sz w:val="20"/>
                <w:szCs w:val="20"/>
              </w:rPr>
            </w:pPr>
            <w:r>
              <w:rPr>
                <w:i/>
                <w:iCs/>
                <w:spacing w:val="5"/>
                <w:position w:val="4"/>
                <w:sz w:val="20"/>
                <w:szCs w:val="20"/>
              </w:rPr>
              <w:t>Lepus tolei</w:t>
            </w:r>
            <w:r>
              <w:rPr>
                <w:i/>
                <w:iCs/>
                <w:spacing w:val="-10"/>
                <w:position w:val="4"/>
                <w:sz w:val="20"/>
                <w:szCs w:val="20"/>
              </w:rPr>
              <w:t xml:space="preserve"> </w:t>
            </w:r>
            <w:r>
              <w:rPr>
                <w:i/>
                <w:iCs/>
                <w:spacing w:val="5"/>
                <w:position w:val="4"/>
                <w:sz w:val="20"/>
                <w:szCs w:val="20"/>
              </w:rPr>
              <w:t>pallas</w:t>
            </w:r>
          </w:p>
        </w:tc>
        <w:tc>
          <w:tcPr>
            <w:tcW w:w="1391" w:type="dxa"/>
            <w:tcBorders>
              <w:right w:val="nil"/>
            </w:tcBorders>
            <w:vAlign w:val="top"/>
          </w:tcPr>
          <w:p w14:paraId="016EE1A8">
            <w:pPr>
              <w:spacing w:before="98" w:line="231" w:lineRule="auto"/>
              <w:jc w:val="right"/>
              <w:rPr>
                <w:rFonts w:ascii="仿宋" w:hAnsi="仿宋" w:eastAsia="仿宋" w:cs="仿宋"/>
                <w:sz w:val="20"/>
                <w:szCs w:val="20"/>
              </w:rPr>
            </w:pPr>
            <w:r>
              <w:rPr>
                <w:rFonts w:ascii="仿宋" w:hAnsi="仿宋" w:eastAsia="仿宋" w:cs="仿宋"/>
                <w:spacing w:val="-32"/>
                <w:sz w:val="20"/>
                <w:szCs w:val="20"/>
              </w:rPr>
              <w:t>草地、</w:t>
            </w:r>
          </w:p>
        </w:tc>
        <w:tc>
          <w:tcPr>
            <w:tcW w:w="1386" w:type="dxa"/>
            <w:tcBorders>
              <w:left w:val="nil"/>
              <w:right w:val="nil"/>
            </w:tcBorders>
            <w:vAlign w:val="top"/>
          </w:tcPr>
          <w:p w14:paraId="2E6BAB39">
            <w:pPr>
              <w:spacing w:before="98" w:line="232" w:lineRule="auto"/>
              <w:ind w:left="121"/>
              <w:rPr>
                <w:rFonts w:ascii="仿宋" w:hAnsi="仿宋" w:eastAsia="仿宋" w:cs="仿宋"/>
                <w:sz w:val="20"/>
                <w:szCs w:val="20"/>
              </w:rPr>
            </w:pPr>
            <w:r>
              <w:rPr>
                <w:rFonts w:ascii="仿宋" w:hAnsi="仿宋" w:eastAsia="仿宋" w:cs="仿宋"/>
                <w:spacing w:val="1"/>
                <w:sz w:val="20"/>
                <w:szCs w:val="20"/>
              </w:rPr>
              <w:t>沙地</w:t>
            </w:r>
          </w:p>
        </w:tc>
      </w:tr>
      <w:tr w14:paraId="22339D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 w:hRule="atLeast"/>
        </w:trPr>
        <w:tc>
          <w:tcPr>
            <w:tcW w:w="848" w:type="dxa"/>
            <w:tcBorders>
              <w:left w:val="nil"/>
            </w:tcBorders>
            <w:vAlign w:val="top"/>
          </w:tcPr>
          <w:p w14:paraId="183CA76C">
            <w:pPr>
              <w:pStyle w:val="6"/>
              <w:spacing w:before="134" w:line="195" w:lineRule="auto"/>
              <w:ind w:left="378"/>
              <w:rPr>
                <w:sz w:val="20"/>
                <w:szCs w:val="20"/>
              </w:rPr>
            </w:pPr>
            <w:r>
              <w:rPr>
                <w:sz w:val="20"/>
                <w:szCs w:val="20"/>
              </w:rPr>
              <w:t>9</w:t>
            </w:r>
          </w:p>
        </w:tc>
        <w:tc>
          <w:tcPr>
            <w:tcW w:w="1425" w:type="dxa"/>
            <w:vAlign w:val="top"/>
          </w:tcPr>
          <w:p w14:paraId="45C8843C">
            <w:pPr>
              <w:spacing w:before="98" w:line="231" w:lineRule="auto"/>
              <w:ind w:left="200"/>
              <w:rPr>
                <w:rFonts w:ascii="仿宋" w:hAnsi="仿宋" w:eastAsia="仿宋" w:cs="仿宋"/>
                <w:sz w:val="20"/>
                <w:szCs w:val="20"/>
              </w:rPr>
            </w:pPr>
            <w:r>
              <w:rPr>
                <w:rFonts w:ascii="仿宋" w:hAnsi="仿宋" w:eastAsia="仿宋" w:cs="仿宋"/>
                <w:spacing w:val="6"/>
                <w:sz w:val="20"/>
                <w:szCs w:val="20"/>
              </w:rPr>
              <w:t>达乌尔刺猬</w:t>
            </w:r>
          </w:p>
        </w:tc>
        <w:tc>
          <w:tcPr>
            <w:tcW w:w="3393" w:type="dxa"/>
            <w:vAlign w:val="top"/>
          </w:tcPr>
          <w:p w14:paraId="5C00565C">
            <w:pPr>
              <w:pStyle w:val="6"/>
              <w:spacing w:before="64" w:line="278" w:lineRule="exact"/>
              <w:ind w:left="738"/>
              <w:rPr>
                <w:sz w:val="20"/>
                <w:szCs w:val="20"/>
              </w:rPr>
            </w:pPr>
            <w:r>
              <w:rPr>
                <w:i/>
                <w:iCs/>
                <w:spacing w:val="4"/>
                <w:position w:val="4"/>
                <w:sz w:val="20"/>
                <w:szCs w:val="20"/>
              </w:rPr>
              <w:t>Hdauuricus</w:t>
            </w:r>
            <w:r>
              <w:rPr>
                <w:spacing w:val="4"/>
                <w:position w:val="4"/>
                <w:sz w:val="20"/>
                <w:szCs w:val="20"/>
              </w:rPr>
              <w:t>(Linnaeus)</w:t>
            </w:r>
          </w:p>
        </w:tc>
        <w:tc>
          <w:tcPr>
            <w:tcW w:w="1391" w:type="dxa"/>
            <w:tcBorders>
              <w:right w:val="nil"/>
            </w:tcBorders>
            <w:vAlign w:val="top"/>
          </w:tcPr>
          <w:p w14:paraId="7372F605">
            <w:pPr>
              <w:spacing w:before="98" w:line="231" w:lineRule="auto"/>
              <w:jc w:val="right"/>
              <w:rPr>
                <w:rFonts w:ascii="仿宋" w:hAnsi="仿宋" w:eastAsia="仿宋" w:cs="仿宋"/>
                <w:sz w:val="20"/>
                <w:szCs w:val="20"/>
              </w:rPr>
            </w:pPr>
            <w:r>
              <w:rPr>
                <w:rFonts w:ascii="仿宋" w:hAnsi="仿宋" w:eastAsia="仿宋" w:cs="仿宋"/>
                <w:spacing w:val="-32"/>
                <w:sz w:val="20"/>
                <w:szCs w:val="20"/>
              </w:rPr>
              <w:t>草地、</w:t>
            </w:r>
          </w:p>
        </w:tc>
        <w:tc>
          <w:tcPr>
            <w:tcW w:w="1386" w:type="dxa"/>
            <w:tcBorders>
              <w:left w:val="nil"/>
              <w:right w:val="nil"/>
            </w:tcBorders>
            <w:vAlign w:val="top"/>
          </w:tcPr>
          <w:p w14:paraId="194AA7E2">
            <w:pPr>
              <w:spacing w:before="99" w:line="232" w:lineRule="auto"/>
              <w:ind w:left="121"/>
              <w:rPr>
                <w:rFonts w:ascii="仿宋" w:hAnsi="仿宋" w:eastAsia="仿宋" w:cs="仿宋"/>
                <w:sz w:val="20"/>
                <w:szCs w:val="20"/>
              </w:rPr>
            </w:pPr>
            <w:r>
              <w:rPr>
                <w:rFonts w:ascii="仿宋" w:hAnsi="仿宋" w:eastAsia="仿宋" w:cs="仿宋"/>
                <w:spacing w:val="1"/>
                <w:sz w:val="20"/>
                <w:szCs w:val="20"/>
              </w:rPr>
              <w:t>沙地</w:t>
            </w:r>
          </w:p>
        </w:tc>
      </w:tr>
      <w:tr w14:paraId="2262E8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 w:hRule="atLeast"/>
        </w:trPr>
        <w:tc>
          <w:tcPr>
            <w:tcW w:w="848" w:type="dxa"/>
            <w:tcBorders>
              <w:left w:val="nil"/>
            </w:tcBorders>
            <w:vAlign w:val="top"/>
          </w:tcPr>
          <w:p w14:paraId="4B5D75F6">
            <w:pPr>
              <w:pStyle w:val="6"/>
              <w:spacing w:before="141" w:line="195" w:lineRule="auto"/>
              <w:ind w:left="341"/>
              <w:rPr>
                <w:sz w:val="20"/>
                <w:szCs w:val="20"/>
              </w:rPr>
            </w:pPr>
            <w:r>
              <w:rPr>
                <w:spacing w:val="-8"/>
                <w:sz w:val="20"/>
                <w:szCs w:val="20"/>
              </w:rPr>
              <w:t>10</w:t>
            </w:r>
          </w:p>
        </w:tc>
        <w:tc>
          <w:tcPr>
            <w:tcW w:w="1425" w:type="dxa"/>
            <w:vAlign w:val="top"/>
          </w:tcPr>
          <w:p w14:paraId="74CFBA9A">
            <w:pPr>
              <w:spacing w:before="106" w:line="232" w:lineRule="auto"/>
              <w:ind w:left="309"/>
              <w:rPr>
                <w:rFonts w:ascii="仿宋" w:hAnsi="仿宋" w:eastAsia="仿宋" w:cs="仿宋"/>
                <w:sz w:val="20"/>
                <w:szCs w:val="20"/>
              </w:rPr>
            </w:pPr>
            <w:r>
              <w:rPr>
                <w:rFonts w:ascii="仿宋" w:hAnsi="仿宋" w:eastAsia="仿宋" w:cs="仿宋"/>
                <w:spacing w:val="4"/>
                <w:sz w:val="20"/>
                <w:szCs w:val="20"/>
              </w:rPr>
              <w:t>三趾跳鼠</w:t>
            </w:r>
          </w:p>
        </w:tc>
        <w:tc>
          <w:tcPr>
            <w:tcW w:w="3393" w:type="dxa"/>
            <w:vAlign w:val="top"/>
          </w:tcPr>
          <w:p w14:paraId="4ECF2AF5">
            <w:pPr>
              <w:pStyle w:val="6"/>
              <w:spacing w:before="71" w:line="278" w:lineRule="exact"/>
              <w:ind w:left="841"/>
              <w:rPr>
                <w:sz w:val="20"/>
                <w:szCs w:val="20"/>
              </w:rPr>
            </w:pPr>
            <w:r>
              <w:rPr>
                <w:i/>
                <w:iCs/>
                <w:spacing w:val="5"/>
                <w:position w:val="4"/>
                <w:sz w:val="20"/>
                <w:szCs w:val="20"/>
              </w:rPr>
              <w:t>Dipus sagitta</w:t>
            </w:r>
            <w:r>
              <w:rPr>
                <w:i/>
                <w:iCs/>
                <w:spacing w:val="-10"/>
                <w:position w:val="4"/>
                <w:sz w:val="20"/>
                <w:szCs w:val="20"/>
              </w:rPr>
              <w:t xml:space="preserve"> </w:t>
            </w:r>
            <w:r>
              <w:rPr>
                <w:i/>
                <w:iCs/>
                <w:spacing w:val="5"/>
                <w:position w:val="4"/>
                <w:sz w:val="20"/>
                <w:szCs w:val="20"/>
              </w:rPr>
              <w:t>pallas</w:t>
            </w:r>
          </w:p>
        </w:tc>
        <w:tc>
          <w:tcPr>
            <w:tcW w:w="1391" w:type="dxa"/>
            <w:tcBorders>
              <w:right w:val="nil"/>
            </w:tcBorders>
            <w:vAlign w:val="top"/>
          </w:tcPr>
          <w:p w14:paraId="06330595">
            <w:pPr>
              <w:spacing w:before="105" w:line="231" w:lineRule="auto"/>
              <w:jc w:val="right"/>
              <w:rPr>
                <w:rFonts w:ascii="仿宋" w:hAnsi="仿宋" w:eastAsia="仿宋" w:cs="仿宋"/>
                <w:sz w:val="20"/>
                <w:szCs w:val="20"/>
              </w:rPr>
            </w:pPr>
            <w:r>
              <w:rPr>
                <w:rFonts w:ascii="仿宋" w:hAnsi="仿宋" w:eastAsia="仿宋" w:cs="仿宋"/>
                <w:spacing w:val="-32"/>
                <w:sz w:val="20"/>
                <w:szCs w:val="20"/>
              </w:rPr>
              <w:t>草地、</w:t>
            </w:r>
          </w:p>
        </w:tc>
        <w:tc>
          <w:tcPr>
            <w:tcW w:w="1386" w:type="dxa"/>
            <w:tcBorders>
              <w:left w:val="nil"/>
              <w:right w:val="nil"/>
            </w:tcBorders>
            <w:vAlign w:val="top"/>
          </w:tcPr>
          <w:p w14:paraId="2BE3B19F">
            <w:pPr>
              <w:spacing w:before="106" w:line="232" w:lineRule="auto"/>
              <w:ind w:left="121"/>
              <w:rPr>
                <w:rFonts w:ascii="仿宋" w:hAnsi="仿宋" w:eastAsia="仿宋" w:cs="仿宋"/>
                <w:sz w:val="20"/>
                <w:szCs w:val="20"/>
              </w:rPr>
            </w:pPr>
            <w:r>
              <w:rPr>
                <w:rFonts w:ascii="仿宋" w:hAnsi="仿宋" w:eastAsia="仿宋" w:cs="仿宋"/>
                <w:spacing w:val="1"/>
                <w:sz w:val="20"/>
                <w:szCs w:val="20"/>
              </w:rPr>
              <w:t>沙地</w:t>
            </w:r>
          </w:p>
        </w:tc>
      </w:tr>
      <w:tr w14:paraId="081FF0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848" w:type="dxa"/>
            <w:tcBorders>
              <w:left w:val="nil"/>
              <w:bottom w:val="single" w:color="000000" w:sz="10" w:space="0"/>
            </w:tcBorders>
            <w:vAlign w:val="top"/>
          </w:tcPr>
          <w:p w14:paraId="34C63D5C">
            <w:pPr>
              <w:pStyle w:val="6"/>
              <w:spacing w:before="146" w:line="195" w:lineRule="auto"/>
              <w:ind w:left="343"/>
              <w:rPr>
                <w:sz w:val="20"/>
                <w:szCs w:val="20"/>
              </w:rPr>
            </w:pPr>
            <w:r>
              <w:rPr>
                <w:spacing w:val="-10"/>
                <w:sz w:val="20"/>
                <w:szCs w:val="20"/>
              </w:rPr>
              <w:t>11</w:t>
            </w:r>
          </w:p>
        </w:tc>
        <w:tc>
          <w:tcPr>
            <w:tcW w:w="1425" w:type="dxa"/>
            <w:tcBorders>
              <w:bottom w:val="single" w:color="000000" w:sz="10" w:space="0"/>
            </w:tcBorders>
            <w:vAlign w:val="top"/>
          </w:tcPr>
          <w:p w14:paraId="46A8FA2D">
            <w:pPr>
              <w:spacing w:before="110" w:line="232" w:lineRule="auto"/>
              <w:ind w:left="306"/>
              <w:rPr>
                <w:rFonts w:ascii="仿宋" w:hAnsi="仿宋" w:eastAsia="仿宋" w:cs="仿宋"/>
                <w:sz w:val="20"/>
                <w:szCs w:val="20"/>
              </w:rPr>
            </w:pPr>
            <w:r>
              <w:rPr>
                <w:rFonts w:ascii="仿宋" w:hAnsi="仿宋" w:eastAsia="仿宋" w:cs="仿宋"/>
                <w:spacing w:val="5"/>
                <w:sz w:val="20"/>
                <w:szCs w:val="20"/>
              </w:rPr>
              <w:t>五趾跳鼠</w:t>
            </w:r>
          </w:p>
        </w:tc>
        <w:tc>
          <w:tcPr>
            <w:tcW w:w="3393" w:type="dxa"/>
            <w:tcBorders>
              <w:bottom w:val="single" w:color="000000" w:sz="10" w:space="0"/>
            </w:tcBorders>
            <w:vAlign w:val="top"/>
          </w:tcPr>
          <w:p w14:paraId="02ED6A50">
            <w:pPr>
              <w:pStyle w:val="6"/>
              <w:spacing w:before="76" w:line="278" w:lineRule="exact"/>
              <w:ind w:left="947"/>
              <w:rPr>
                <w:sz w:val="20"/>
                <w:szCs w:val="20"/>
              </w:rPr>
            </w:pPr>
            <w:r>
              <w:rPr>
                <w:i/>
                <w:iCs/>
                <w:spacing w:val="4"/>
                <w:position w:val="2"/>
                <w:sz w:val="20"/>
                <w:szCs w:val="20"/>
              </w:rPr>
              <w:t xml:space="preserve">A.sibirica </w:t>
            </w:r>
            <w:r>
              <w:rPr>
                <w:spacing w:val="4"/>
                <w:position w:val="2"/>
                <w:sz w:val="20"/>
                <w:szCs w:val="20"/>
              </w:rPr>
              <w:t>Forster</w:t>
            </w:r>
          </w:p>
        </w:tc>
        <w:tc>
          <w:tcPr>
            <w:tcW w:w="1391" w:type="dxa"/>
            <w:tcBorders>
              <w:bottom w:val="single" w:color="000000" w:sz="10" w:space="0"/>
              <w:right w:val="nil"/>
            </w:tcBorders>
            <w:vAlign w:val="top"/>
          </w:tcPr>
          <w:p w14:paraId="5BBD4B80">
            <w:pPr>
              <w:spacing w:before="110" w:line="231" w:lineRule="auto"/>
              <w:jc w:val="right"/>
              <w:rPr>
                <w:rFonts w:ascii="仿宋" w:hAnsi="仿宋" w:eastAsia="仿宋" w:cs="仿宋"/>
                <w:sz w:val="20"/>
                <w:szCs w:val="20"/>
              </w:rPr>
            </w:pPr>
            <w:r>
              <w:rPr>
                <w:rFonts w:ascii="仿宋" w:hAnsi="仿宋" w:eastAsia="仿宋" w:cs="仿宋"/>
                <w:spacing w:val="-32"/>
                <w:sz w:val="20"/>
                <w:szCs w:val="20"/>
              </w:rPr>
              <w:t>草地、</w:t>
            </w:r>
          </w:p>
        </w:tc>
        <w:tc>
          <w:tcPr>
            <w:tcW w:w="1386" w:type="dxa"/>
            <w:tcBorders>
              <w:left w:val="nil"/>
              <w:bottom w:val="single" w:color="000000" w:sz="10" w:space="0"/>
              <w:right w:val="nil"/>
            </w:tcBorders>
            <w:vAlign w:val="top"/>
          </w:tcPr>
          <w:p w14:paraId="66CBD7B8">
            <w:pPr>
              <w:spacing w:before="110" w:line="232" w:lineRule="auto"/>
              <w:ind w:left="121"/>
              <w:rPr>
                <w:rFonts w:ascii="仿宋" w:hAnsi="仿宋" w:eastAsia="仿宋" w:cs="仿宋"/>
                <w:sz w:val="20"/>
                <w:szCs w:val="20"/>
              </w:rPr>
            </w:pPr>
            <w:r>
              <w:rPr>
                <w:rFonts w:ascii="仿宋" w:hAnsi="仿宋" w:eastAsia="仿宋" w:cs="仿宋"/>
                <w:spacing w:val="1"/>
                <w:sz w:val="20"/>
                <w:szCs w:val="20"/>
              </w:rPr>
              <w:t>沙地</w:t>
            </w:r>
          </w:p>
        </w:tc>
      </w:tr>
    </w:tbl>
    <w:p w14:paraId="7B2949AB">
      <w:pPr>
        <w:spacing w:before="33" w:line="360" w:lineRule="auto"/>
        <w:ind w:left="29" w:right="132" w:firstLine="482"/>
        <w:jc w:val="both"/>
        <w:rPr>
          <w:rFonts w:ascii="仿宋" w:hAnsi="仿宋" w:eastAsia="仿宋" w:cs="仿宋"/>
          <w:sz w:val="24"/>
          <w:szCs w:val="24"/>
        </w:rPr>
      </w:pPr>
      <w:r>
        <w:rPr>
          <w:rFonts w:ascii="仿宋" w:hAnsi="仿宋" w:eastAsia="仿宋" w:cs="仿宋"/>
          <w:spacing w:val="4"/>
          <w:sz w:val="24"/>
          <w:szCs w:val="24"/>
        </w:rPr>
        <w:t>对照《内蒙古自治区重点保护陆生野生动物名</w:t>
      </w:r>
      <w:r>
        <w:rPr>
          <w:rFonts w:ascii="仿宋" w:hAnsi="仿宋" w:eastAsia="仿宋" w:cs="仿宋"/>
          <w:spacing w:val="3"/>
          <w:sz w:val="24"/>
          <w:szCs w:val="24"/>
        </w:rPr>
        <w:t>录》（内政办发〔2021〕78</w:t>
      </w:r>
      <w:r>
        <w:rPr>
          <w:rFonts w:ascii="仿宋" w:hAnsi="仿宋" w:eastAsia="仿宋" w:cs="仿宋"/>
          <w:spacing w:val="-1"/>
          <w:sz w:val="24"/>
          <w:szCs w:val="24"/>
        </w:rPr>
        <w:t>号</w:t>
      </w:r>
      <w:r>
        <w:rPr>
          <w:rFonts w:ascii="仿宋" w:hAnsi="仿宋" w:eastAsia="仿宋" w:cs="仿宋"/>
          <w:spacing w:val="-39"/>
          <w:sz w:val="24"/>
          <w:szCs w:val="24"/>
        </w:rPr>
        <w:t>），</w:t>
      </w:r>
      <w:r>
        <w:rPr>
          <w:rFonts w:ascii="仿宋" w:hAnsi="仿宋" w:eastAsia="仿宋" w:cs="仿宋"/>
          <w:spacing w:val="-1"/>
          <w:sz w:val="24"/>
          <w:szCs w:val="24"/>
        </w:rPr>
        <w:t>评价区内不涉及国家和自治区重点保护野生动植物及其集中分布区或栖息</w:t>
      </w:r>
      <w:r>
        <w:rPr>
          <w:rFonts w:ascii="仿宋" w:hAnsi="仿宋" w:eastAsia="仿宋" w:cs="仿宋"/>
          <w:spacing w:val="-3"/>
          <w:sz w:val="24"/>
          <w:szCs w:val="24"/>
        </w:rPr>
        <w:t>地。区域主要以啮齿类动物为主，其他野生动物的种类较少。另外，</w:t>
      </w:r>
      <w:r>
        <w:rPr>
          <w:rFonts w:ascii="仿宋" w:hAnsi="仿宋" w:eastAsia="仿宋" w:cs="仿宋"/>
          <w:spacing w:val="-4"/>
          <w:sz w:val="24"/>
          <w:szCs w:val="24"/>
        </w:rPr>
        <w:t>还有种类和</w:t>
      </w:r>
      <w:r>
        <w:rPr>
          <w:rFonts w:ascii="仿宋" w:hAnsi="仿宋" w:eastAsia="仿宋" w:cs="仿宋"/>
          <w:spacing w:val="-3"/>
          <w:sz w:val="24"/>
          <w:szCs w:val="24"/>
        </w:rPr>
        <w:t>数量众多的昆虫，沿线评价范围内没有各级保护的野生动物栖息及野</w:t>
      </w:r>
      <w:r>
        <w:rPr>
          <w:rFonts w:ascii="仿宋" w:hAnsi="仿宋" w:eastAsia="仿宋" w:cs="仿宋"/>
          <w:spacing w:val="-4"/>
          <w:sz w:val="24"/>
          <w:szCs w:val="24"/>
        </w:rPr>
        <w:t>生动物自然保护区。</w:t>
      </w:r>
    </w:p>
    <w:p w14:paraId="120885DC">
      <w:pPr>
        <w:spacing w:line="360" w:lineRule="auto"/>
        <w:rPr>
          <w:rFonts w:ascii="仿宋" w:hAnsi="仿宋" w:eastAsia="仿宋" w:cs="仿宋"/>
          <w:sz w:val="24"/>
          <w:szCs w:val="24"/>
        </w:rPr>
        <w:sectPr>
          <w:footerReference r:id="rId259" w:type="default"/>
          <w:pgSz w:w="11906" w:h="16839"/>
          <w:pgMar w:top="400" w:right="1667" w:bottom="1511" w:left="1785" w:header="0" w:footer="1349" w:gutter="0"/>
          <w:cols w:space="720" w:num="1"/>
        </w:sectPr>
      </w:pPr>
    </w:p>
    <w:p w14:paraId="2784DE1E">
      <w:pPr>
        <w:pStyle w:val="2"/>
        <w:spacing w:line="296" w:lineRule="auto"/>
        <w:rPr>
          <w:sz w:val="21"/>
        </w:rPr>
      </w:pPr>
    </w:p>
    <w:p w14:paraId="3072DF4F">
      <w:pPr>
        <w:pStyle w:val="2"/>
        <w:spacing w:line="296" w:lineRule="auto"/>
        <w:rPr>
          <w:sz w:val="21"/>
        </w:rPr>
      </w:pPr>
    </w:p>
    <w:p w14:paraId="10FF349B">
      <w:pPr>
        <w:pStyle w:val="2"/>
        <w:spacing w:line="297" w:lineRule="auto"/>
        <w:rPr>
          <w:sz w:val="21"/>
        </w:rPr>
      </w:pPr>
    </w:p>
    <w:p w14:paraId="62E40950">
      <w:pPr>
        <w:pStyle w:val="2"/>
        <w:spacing w:line="297" w:lineRule="auto"/>
        <w:rPr>
          <w:sz w:val="21"/>
        </w:rPr>
      </w:pPr>
    </w:p>
    <w:p w14:paraId="68081518">
      <w:pPr>
        <w:spacing w:before="101" w:line="228" w:lineRule="auto"/>
        <w:ind w:left="31"/>
        <w:outlineLvl w:val="1"/>
        <w:rPr>
          <w:rFonts w:ascii="仿宋" w:hAnsi="仿宋" w:eastAsia="仿宋" w:cs="仿宋"/>
          <w:sz w:val="31"/>
          <w:szCs w:val="31"/>
        </w:rPr>
      </w:pPr>
      <w:bookmarkStart w:id="71" w:name="bookmark80"/>
      <w:bookmarkEnd w:id="71"/>
      <w:r>
        <w:rPr>
          <w:rFonts w:ascii="仿宋" w:hAnsi="仿宋" w:eastAsia="仿宋" w:cs="仿宋"/>
          <w:b/>
          <w:bCs/>
          <w:spacing w:val="1"/>
          <w:sz w:val="31"/>
          <w:szCs w:val="31"/>
        </w:rPr>
        <w:t>3.3</w:t>
      </w:r>
      <w:r>
        <w:rPr>
          <w:rFonts w:ascii="仿宋" w:hAnsi="仿宋" w:eastAsia="仿宋" w:cs="仿宋"/>
          <w:spacing w:val="-34"/>
          <w:sz w:val="31"/>
          <w:szCs w:val="31"/>
        </w:rPr>
        <w:t xml:space="preserve"> </w:t>
      </w:r>
      <w:r>
        <w:rPr>
          <w:rFonts w:ascii="仿宋" w:hAnsi="仿宋" w:eastAsia="仿宋" w:cs="仿宋"/>
          <w:b/>
          <w:bCs/>
          <w:spacing w:val="1"/>
          <w:sz w:val="31"/>
          <w:szCs w:val="31"/>
        </w:rPr>
        <w:t>生态现状综合评价</w:t>
      </w:r>
    </w:p>
    <w:p w14:paraId="59FA2DFD">
      <w:pPr>
        <w:spacing w:before="301" w:line="360" w:lineRule="auto"/>
        <w:ind w:left="29" w:right="108" w:firstLine="481"/>
        <w:jc w:val="both"/>
        <w:rPr>
          <w:rFonts w:ascii="仿宋" w:hAnsi="仿宋" w:eastAsia="仿宋" w:cs="仿宋"/>
          <w:sz w:val="24"/>
          <w:szCs w:val="24"/>
        </w:rPr>
      </w:pPr>
      <w:r>
        <w:rPr>
          <w:rFonts w:ascii="仿宋" w:hAnsi="仿宋" w:eastAsia="仿宋" w:cs="仿宋"/>
          <w:spacing w:val="-3"/>
          <w:sz w:val="24"/>
          <w:szCs w:val="24"/>
        </w:rPr>
        <w:t>根据项目现场生态现状调查结果，本工程主评</w:t>
      </w:r>
      <w:r>
        <w:rPr>
          <w:rFonts w:ascii="仿宋" w:hAnsi="仿宋" w:eastAsia="仿宋" w:cs="仿宋"/>
          <w:spacing w:val="-4"/>
          <w:sz w:val="24"/>
          <w:szCs w:val="24"/>
        </w:rPr>
        <w:t>价区地带性优势植被群落以本</w:t>
      </w:r>
      <w:r>
        <w:rPr>
          <w:rFonts w:ascii="仿宋" w:hAnsi="仿宋" w:eastAsia="仿宋" w:cs="仿宋"/>
          <w:spacing w:val="-8"/>
          <w:sz w:val="24"/>
          <w:szCs w:val="24"/>
        </w:rPr>
        <w:t>氏针茅草原为主体，群落内伴生铁杆蒿、猪毛蒿、糙隐子草、猪毛菜、砂珍棘豆、</w:t>
      </w:r>
      <w:r>
        <w:rPr>
          <w:rFonts w:ascii="仿宋" w:hAnsi="仿宋" w:eastAsia="仿宋" w:cs="仿宋"/>
          <w:spacing w:val="-3"/>
          <w:sz w:val="24"/>
          <w:szCs w:val="24"/>
        </w:rPr>
        <w:t>狗尾草等多种乡土草本植物，天然植被群落结构稳定、区域适应性强</w:t>
      </w:r>
      <w:r>
        <w:rPr>
          <w:rFonts w:ascii="仿宋" w:hAnsi="仿宋" w:eastAsia="仿宋" w:cs="仿宋"/>
          <w:spacing w:val="-4"/>
          <w:sz w:val="24"/>
          <w:szCs w:val="24"/>
        </w:rPr>
        <w:t>。评价区内</w:t>
      </w:r>
      <w:r>
        <w:rPr>
          <w:rFonts w:ascii="仿宋" w:hAnsi="仿宋" w:eastAsia="仿宋" w:cs="仿宋"/>
          <w:spacing w:val="-3"/>
          <w:sz w:val="24"/>
          <w:szCs w:val="24"/>
        </w:rPr>
        <w:t>人工植被类型较为丰富，主要分布柠条锦鸡儿人工灌丛、杨树人工乔</w:t>
      </w:r>
      <w:r>
        <w:rPr>
          <w:rFonts w:ascii="仿宋" w:hAnsi="仿宋" w:eastAsia="仿宋" w:cs="仿宋"/>
          <w:spacing w:val="-4"/>
          <w:sz w:val="24"/>
          <w:szCs w:val="24"/>
        </w:rPr>
        <w:t>木林，同时</w:t>
      </w:r>
      <w:r>
        <w:rPr>
          <w:rFonts w:ascii="仿宋" w:hAnsi="仿宋" w:eastAsia="仿宋" w:cs="仿宋"/>
          <w:spacing w:val="-3"/>
          <w:sz w:val="24"/>
          <w:szCs w:val="24"/>
        </w:rPr>
        <w:t>区域内零散镶嵌分布杏树、榆树天然乔木斑块及农田植被，形成天然</w:t>
      </w:r>
      <w:r>
        <w:rPr>
          <w:rFonts w:ascii="仿宋" w:hAnsi="仿宋" w:eastAsia="仿宋" w:cs="仿宋"/>
          <w:spacing w:val="-4"/>
          <w:sz w:val="24"/>
          <w:szCs w:val="24"/>
        </w:rPr>
        <w:t>植被、人工</w:t>
      </w:r>
      <w:r>
        <w:rPr>
          <w:rFonts w:ascii="仿宋" w:hAnsi="仿宋" w:eastAsia="仿宋" w:cs="仿宋"/>
          <w:spacing w:val="-1"/>
          <w:sz w:val="24"/>
          <w:szCs w:val="24"/>
        </w:rPr>
        <w:t>植被与农田植被交错分布的生态格局。</w:t>
      </w:r>
    </w:p>
    <w:p w14:paraId="0F4A5343">
      <w:pPr>
        <w:spacing w:line="360" w:lineRule="auto"/>
        <w:ind w:left="29" w:right="146" w:firstLine="481"/>
        <w:jc w:val="both"/>
        <w:rPr>
          <w:rFonts w:ascii="仿宋" w:hAnsi="仿宋" w:eastAsia="仿宋" w:cs="仿宋"/>
          <w:sz w:val="24"/>
          <w:szCs w:val="24"/>
        </w:rPr>
      </w:pPr>
      <w:r>
        <w:rPr>
          <w:rFonts w:ascii="仿宋" w:hAnsi="仿宋" w:eastAsia="仿宋" w:cs="仿宋"/>
          <w:spacing w:val="-2"/>
          <w:sz w:val="24"/>
          <w:szCs w:val="24"/>
        </w:rPr>
        <w:t>本工程为农村通村道路硬化工程，项目永久占地以现状现有</w:t>
      </w:r>
      <w:r>
        <w:rPr>
          <w:rFonts w:ascii="仿宋" w:hAnsi="仿宋" w:eastAsia="仿宋" w:cs="仿宋"/>
          <w:spacing w:val="-3"/>
          <w:sz w:val="24"/>
          <w:szCs w:val="24"/>
        </w:rPr>
        <w:t>土路路面为主，仅少量占用沿线林地、草原植被用地，工程建设造成的沿线林草植被</w:t>
      </w:r>
      <w:r>
        <w:rPr>
          <w:rFonts w:ascii="仿宋" w:hAnsi="仿宋" w:eastAsia="仿宋" w:cs="仿宋"/>
          <w:spacing w:val="-4"/>
          <w:sz w:val="24"/>
          <w:szCs w:val="24"/>
        </w:rPr>
        <w:t>占用规模极</w:t>
      </w:r>
      <w:r>
        <w:rPr>
          <w:rFonts w:ascii="仿宋" w:hAnsi="仿宋" w:eastAsia="仿宋" w:cs="仿宋"/>
          <w:spacing w:val="-1"/>
          <w:sz w:val="24"/>
          <w:szCs w:val="24"/>
        </w:rPr>
        <w:t>小，相应林草植被生物量损失微弱，对局部地表植被生态的整体扰动较小。</w:t>
      </w:r>
    </w:p>
    <w:p w14:paraId="03E254F0">
      <w:pPr>
        <w:spacing w:before="4" w:line="360" w:lineRule="auto"/>
        <w:ind w:left="29" w:firstLine="481"/>
        <w:jc w:val="both"/>
        <w:rPr>
          <w:rFonts w:ascii="仿宋" w:hAnsi="仿宋" w:eastAsia="仿宋" w:cs="仿宋"/>
          <w:sz w:val="24"/>
          <w:szCs w:val="24"/>
        </w:rPr>
      </w:pPr>
      <w:r>
        <w:rPr>
          <w:rFonts w:ascii="仿宋" w:hAnsi="仿宋" w:eastAsia="仿宋" w:cs="仿宋"/>
          <w:sz w:val="24"/>
          <w:szCs w:val="24"/>
        </w:rPr>
        <w:t>本工程施工结束后，由于不涉及临时占地，故无需开展场地植被恢复工作，</w:t>
      </w:r>
      <w:r>
        <w:rPr>
          <w:rFonts w:ascii="仿宋" w:hAnsi="仿宋" w:eastAsia="仿宋" w:cs="仿宋"/>
          <w:spacing w:val="-3"/>
          <w:sz w:val="24"/>
          <w:szCs w:val="24"/>
        </w:rPr>
        <w:t>仅针对项目高路基路段，对路基边坡采取撒播草籽的方式开展绿化修</w:t>
      </w:r>
      <w:r>
        <w:rPr>
          <w:rFonts w:ascii="仿宋" w:hAnsi="仿宋" w:eastAsia="仿宋" w:cs="仿宋"/>
          <w:spacing w:val="-4"/>
          <w:sz w:val="24"/>
          <w:szCs w:val="24"/>
        </w:rPr>
        <w:t>复。对于工</w:t>
      </w:r>
      <w:r>
        <w:rPr>
          <w:rFonts w:ascii="仿宋" w:hAnsi="仿宋" w:eastAsia="仿宋" w:cs="仿宋"/>
          <w:spacing w:val="-5"/>
          <w:sz w:val="24"/>
          <w:szCs w:val="24"/>
        </w:rPr>
        <w:t>程建设过程中损毁的林地资源，将按照相关林业管理规定足额缴纳植被恢复费用，</w:t>
      </w:r>
      <w:r>
        <w:rPr>
          <w:rFonts w:ascii="仿宋" w:hAnsi="仿宋" w:eastAsia="仿宋" w:cs="仿宋"/>
          <w:spacing w:val="-3"/>
          <w:sz w:val="24"/>
          <w:szCs w:val="24"/>
        </w:rPr>
        <w:t>由林业主管部门统一组织实施异地植被恢复工作，保障区域林地面积</w:t>
      </w:r>
      <w:r>
        <w:rPr>
          <w:rFonts w:ascii="仿宋" w:hAnsi="仿宋" w:eastAsia="仿宋" w:cs="仿宋"/>
          <w:spacing w:val="-4"/>
          <w:sz w:val="24"/>
          <w:szCs w:val="24"/>
        </w:rPr>
        <w:t>与生态功能不流失。</w:t>
      </w:r>
    </w:p>
    <w:p w14:paraId="7CE6F516">
      <w:pPr>
        <w:spacing w:before="324" w:line="227" w:lineRule="auto"/>
        <w:ind w:left="25"/>
        <w:outlineLvl w:val="0"/>
        <w:rPr>
          <w:rFonts w:ascii="仿宋" w:hAnsi="仿宋" w:eastAsia="仿宋" w:cs="仿宋"/>
          <w:sz w:val="35"/>
          <w:szCs w:val="35"/>
        </w:rPr>
      </w:pPr>
      <w:bookmarkStart w:id="72" w:name="bookmark81"/>
      <w:bookmarkEnd w:id="72"/>
      <w:r>
        <w:rPr>
          <w:rFonts w:ascii="仿宋" w:hAnsi="仿宋" w:eastAsia="仿宋" w:cs="仿宋"/>
          <w:b/>
          <w:bCs/>
          <w:spacing w:val="4"/>
          <w:sz w:val="35"/>
          <w:szCs w:val="35"/>
        </w:rPr>
        <w:t>4.生态影响分析</w:t>
      </w:r>
    </w:p>
    <w:p w14:paraId="470089F7">
      <w:pPr>
        <w:spacing w:before="196" w:line="360" w:lineRule="auto"/>
        <w:ind w:left="29" w:right="185" w:firstLine="481"/>
        <w:jc w:val="both"/>
        <w:rPr>
          <w:rFonts w:ascii="仿宋" w:hAnsi="仿宋" w:eastAsia="仿宋" w:cs="仿宋"/>
          <w:sz w:val="24"/>
          <w:szCs w:val="24"/>
        </w:rPr>
      </w:pPr>
      <w:r>
        <w:rPr>
          <w:rFonts w:ascii="仿宋" w:hAnsi="仿宋" w:eastAsia="仿宋" w:cs="仿宋"/>
          <w:spacing w:val="-3"/>
          <w:sz w:val="24"/>
          <w:szCs w:val="24"/>
        </w:rPr>
        <w:t>项目占地直接导致植被生物量损失、植被种类</w:t>
      </w:r>
      <w:r>
        <w:rPr>
          <w:rFonts w:ascii="仿宋" w:hAnsi="仿宋" w:eastAsia="仿宋" w:cs="仿宋"/>
          <w:spacing w:val="-4"/>
          <w:sz w:val="24"/>
          <w:szCs w:val="24"/>
        </w:rPr>
        <w:t>数量减少，改变植被分布；项</w:t>
      </w:r>
      <w:r>
        <w:rPr>
          <w:rFonts w:ascii="仿宋" w:hAnsi="仿宋" w:eastAsia="仿宋" w:cs="仿宋"/>
          <w:spacing w:val="-5"/>
          <w:sz w:val="24"/>
          <w:szCs w:val="24"/>
        </w:rPr>
        <w:t>目</w:t>
      </w:r>
      <w:r>
        <w:rPr>
          <w:rFonts w:ascii="仿宋" w:hAnsi="仿宋" w:eastAsia="仿宋" w:cs="仿宋"/>
          <w:spacing w:val="-55"/>
          <w:sz w:val="24"/>
          <w:szCs w:val="24"/>
        </w:rPr>
        <w:t xml:space="preserve"> </w:t>
      </w:r>
      <w:r>
        <w:rPr>
          <w:rFonts w:ascii="仿宋" w:hAnsi="仿宋" w:eastAsia="仿宋" w:cs="仿宋"/>
          <w:spacing w:val="-5"/>
          <w:sz w:val="24"/>
          <w:szCs w:val="24"/>
        </w:rPr>
        <w:t>占地导致植被生物量损失、植被种类数量减少，改变植被分布；运营期动物种</w:t>
      </w:r>
      <w:r>
        <w:rPr>
          <w:rFonts w:ascii="仿宋" w:hAnsi="仿宋" w:eastAsia="仿宋" w:cs="仿宋"/>
          <w:spacing w:val="-3"/>
          <w:sz w:val="24"/>
          <w:szCs w:val="24"/>
        </w:rPr>
        <w:t>群交流受到阻隔；施工活动以及运营期噪声、振动、灯光等对野生动</w:t>
      </w:r>
      <w:r>
        <w:rPr>
          <w:rFonts w:ascii="仿宋" w:hAnsi="仿宋" w:eastAsia="仿宋" w:cs="仿宋"/>
          <w:spacing w:val="-4"/>
          <w:sz w:val="24"/>
          <w:szCs w:val="24"/>
        </w:rPr>
        <w:t>物行为产生</w:t>
      </w:r>
      <w:r>
        <w:rPr>
          <w:rFonts w:ascii="仿宋" w:hAnsi="仿宋" w:eastAsia="仿宋" w:cs="仿宋"/>
          <w:spacing w:val="-3"/>
          <w:sz w:val="24"/>
          <w:szCs w:val="24"/>
        </w:rPr>
        <w:t>干扰。项目建成后对沿线生态系统的阻隔效应将进一步加强，但本项</w:t>
      </w:r>
      <w:r>
        <w:rPr>
          <w:rFonts w:ascii="仿宋" w:hAnsi="仿宋" w:eastAsia="仿宋" w:cs="仿宋"/>
          <w:spacing w:val="-4"/>
          <w:sz w:val="24"/>
          <w:szCs w:val="24"/>
        </w:rPr>
        <w:t>目沿线地区</w:t>
      </w:r>
      <w:r>
        <w:rPr>
          <w:rFonts w:ascii="仿宋" w:hAnsi="仿宋" w:eastAsia="仿宋" w:cs="仿宋"/>
          <w:spacing w:val="-3"/>
          <w:sz w:val="24"/>
          <w:szCs w:val="24"/>
        </w:rPr>
        <w:t>没有国家法定的保护野生动物，也无大型野生动物，因此项目对自然</w:t>
      </w:r>
      <w:r>
        <w:rPr>
          <w:rFonts w:ascii="仿宋" w:hAnsi="仿宋" w:eastAsia="仿宋" w:cs="仿宋"/>
          <w:spacing w:val="-4"/>
          <w:sz w:val="24"/>
          <w:szCs w:val="24"/>
        </w:rPr>
        <w:t>生态系统的</w:t>
      </w:r>
      <w:r>
        <w:rPr>
          <w:rFonts w:ascii="仿宋" w:hAnsi="仿宋" w:eastAsia="仿宋" w:cs="仿宋"/>
          <w:spacing w:val="-2"/>
          <w:sz w:val="24"/>
          <w:szCs w:val="24"/>
        </w:rPr>
        <w:t>阻隔效应比较轻微。</w:t>
      </w:r>
    </w:p>
    <w:p w14:paraId="21723425">
      <w:pPr>
        <w:spacing w:before="5" w:line="359" w:lineRule="auto"/>
        <w:ind w:left="28" w:right="185" w:firstLine="482"/>
        <w:jc w:val="both"/>
        <w:rPr>
          <w:rFonts w:ascii="仿宋" w:hAnsi="仿宋" w:eastAsia="仿宋" w:cs="仿宋"/>
          <w:sz w:val="24"/>
          <w:szCs w:val="24"/>
        </w:rPr>
      </w:pPr>
      <w:r>
        <w:rPr>
          <w:rFonts w:ascii="仿宋" w:hAnsi="仿宋" w:eastAsia="仿宋" w:cs="仿宋"/>
          <w:spacing w:val="-3"/>
          <w:sz w:val="24"/>
          <w:szCs w:val="24"/>
        </w:rPr>
        <w:t>项目营运期道路路面全部硬化，针对高路基边</w:t>
      </w:r>
      <w:r>
        <w:rPr>
          <w:rFonts w:ascii="仿宋" w:hAnsi="仿宋" w:eastAsia="仿宋" w:cs="仿宋"/>
          <w:spacing w:val="-4"/>
          <w:sz w:val="24"/>
          <w:szCs w:val="24"/>
        </w:rPr>
        <w:t>坡采用乡土适生草种撒播绿化</w:t>
      </w:r>
      <w:r>
        <w:rPr>
          <w:rFonts w:ascii="仿宋" w:hAnsi="仿宋" w:eastAsia="仿宋" w:cs="仿宋"/>
          <w:spacing w:val="-3"/>
          <w:sz w:val="24"/>
          <w:szCs w:val="24"/>
        </w:rPr>
        <w:t>的方式开展生态防护，有效维护区域原有良好生态环境。随着道路全面</w:t>
      </w:r>
      <w:r>
        <w:rPr>
          <w:rFonts w:ascii="仿宋" w:hAnsi="仿宋" w:eastAsia="仿宋" w:cs="仿宋"/>
          <w:spacing w:val="-4"/>
          <w:sz w:val="24"/>
          <w:szCs w:val="24"/>
        </w:rPr>
        <w:t>硬化及高</w:t>
      </w:r>
      <w:r>
        <w:rPr>
          <w:rFonts w:ascii="仿宋" w:hAnsi="仿宋" w:eastAsia="仿宋" w:cs="仿宋"/>
          <w:spacing w:val="-3"/>
          <w:sz w:val="24"/>
          <w:szCs w:val="24"/>
        </w:rPr>
        <w:t>路基边坡绿化措施落实到位，各路段水土流失问题将得到有效管控，相</w:t>
      </w:r>
      <w:r>
        <w:rPr>
          <w:rFonts w:ascii="仿宋" w:hAnsi="仿宋" w:eastAsia="仿宋" w:cs="仿宋"/>
          <w:spacing w:val="-4"/>
          <w:sz w:val="24"/>
          <w:szCs w:val="24"/>
        </w:rPr>
        <w:t>较于原有</w:t>
      </w:r>
      <w:r>
        <w:rPr>
          <w:rFonts w:ascii="仿宋" w:hAnsi="仿宋" w:eastAsia="仿宋" w:cs="仿宋"/>
          <w:spacing w:val="-3"/>
          <w:sz w:val="24"/>
          <w:szCs w:val="24"/>
        </w:rPr>
        <w:t>土路路况，区域水土流失状况得到显著改善。整体来看，本项目运营产</w:t>
      </w:r>
      <w:r>
        <w:rPr>
          <w:rFonts w:ascii="仿宋" w:hAnsi="仿宋" w:eastAsia="仿宋" w:cs="仿宋"/>
          <w:spacing w:val="-4"/>
          <w:sz w:val="24"/>
          <w:szCs w:val="24"/>
        </w:rPr>
        <w:t>生的生态</w:t>
      </w:r>
      <w:r>
        <w:rPr>
          <w:rFonts w:ascii="仿宋" w:hAnsi="仿宋" w:eastAsia="仿宋" w:cs="仿宋"/>
          <w:spacing w:val="-1"/>
          <w:sz w:val="24"/>
          <w:szCs w:val="24"/>
        </w:rPr>
        <w:t>环境影响可得到有效防控，区域生态环境能够维持稳定状态。</w:t>
      </w:r>
    </w:p>
    <w:p w14:paraId="4F58FBFA">
      <w:pPr>
        <w:spacing w:line="359" w:lineRule="auto"/>
        <w:rPr>
          <w:rFonts w:ascii="仿宋" w:hAnsi="仿宋" w:eastAsia="仿宋" w:cs="仿宋"/>
          <w:sz w:val="24"/>
          <w:szCs w:val="24"/>
        </w:rPr>
        <w:sectPr>
          <w:footerReference r:id="rId260" w:type="default"/>
          <w:pgSz w:w="11906" w:h="16839"/>
          <w:pgMar w:top="400" w:right="1614" w:bottom="1370" w:left="1785" w:header="0" w:footer="1207" w:gutter="0"/>
          <w:cols w:space="720" w:num="1"/>
        </w:sectPr>
      </w:pPr>
    </w:p>
    <w:p w14:paraId="446136F2">
      <w:pPr>
        <w:pStyle w:val="2"/>
        <w:spacing w:line="271" w:lineRule="auto"/>
        <w:rPr>
          <w:sz w:val="21"/>
        </w:rPr>
      </w:pPr>
    </w:p>
    <w:p w14:paraId="19B6AEA4">
      <w:pPr>
        <w:pStyle w:val="2"/>
        <w:spacing w:line="271" w:lineRule="auto"/>
        <w:rPr>
          <w:sz w:val="21"/>
        </w:rPr>
      </w:pPr>
    </w:p>
    <w:p w14:paraId="11406D66">
      <w:pPr>
        <w:pStyle w:val="2"/>
        <w:spacing w:line="272" w:lineRule="auto"/>
        <w:rPr>
          <w:sz w:val="21"/>
        </w:rPr>
      </w:pPr>
    </w:p>
    <w:p w14:paraId="22E77E8B">
      <w:pPr>
        <w:pStyle w:val="2"/>
        <w:spacing w:line="272" w:lineRule="auto"/>
        <w:rPr>
          <w:sz w:val="21"/>
        </w:rPr>
      </w:pPr>
    </w:p>
    <w:p w14:paraId="6091C1AC">
      <w:pPr>
        <w:spacing w:before="101" w:line="227" w:lineRule="auto"/>
        <w:ind w:left="23"/>
        <w:outlineLvl w:val="1"/>
        <w:rPr>
          <w:rFonts w:ascii="仿宋" w:hAnsi="仿宋" w:eastAsia="仿宋" w:cs="仿宋"/>
          <w:sz w:val="31"/>
          <w:szCs w:val="31"/>
        </w:rPr>
      </w:pPr>
      <w:bookmarkStart w:id="73" w:name="bookmark82"/>
      <w:bookmarkEnd w:id="73"/>
      <w:r>
        <w:rPr>
          <w:rFonts w:ascii="仿宋" w:hAnsi="仿宋" w:eastAsia="仿宋" w:cs="仿宋"/>
          <w:b/>
          <w:bCs/>
          <w:spacing w:val="4"/>
          <w:sz w:val="31"/>
          <w:szCs w:val="31"/>
        </w:rPr>
        <w:t>4.1</w:t>
      </w:r>
      <w:r>
        <w:rPr>
          <w:rFonts w:ascii="仿宋" w:hAnsi="仿宋" w:eastAsia="仿宋" w:cs="仿宋"/>
          <w:spacing w:val="-55"/>
          <w:sz w:val="31"/>
          <w:szCs w:val="31"/>
        </w:rPr>
        <w:t xml:space="preserve"> </w:t>
      </w:r>
      <w:r>
        <w:rPr>
          <w:rFonts w:ascii="仿宋" w:hAnsi="仿宋" w:eastAsia="仿宋" w:cs="仿宋"/>
          <w:b/>
          <w:bCs/>
          <w:spacing w:val="4"/>
          <w:sz w:val="31"/>
          <w:szCs w:val="31"/>
        </w:rPr>
        <w:t>施工期生态影响分析</w:t>
      </w:r>
    </w:p>
    <w:p w14:paraId="7D2E23B0">
      <w:pPr>
        <w:pStyle w:val="2"/>
        <w:spacing w:line="281" w:lineRule="auto"/>
        <w:rPr>
          <w:sz w:val="21"/>
        </w:rPr>
      </w:pPr>
    </w:p>
    <w:p w14:paraId="02AA5A84">
      <w:pPr>
        <w:spacing w:before="85" w:line="227" w:lineRule="auto"/>
        <w:ind w:left="22"/>
        <w:rPr>
          <w:rFonts w:ascii="仿宋" w:hAnsi="仿宋" w:eastAsia="仿宋" w:cs="仿宋"/>
          <w:sz w:val="26"/>
          <w:szCs w:val="26"/>
        </w:rPr>
      </w:pPr>
      <w:r>
        <w:rPr>
          <w:rFonts w:ascii="仿宋" w:hAnsi="仿宋" w:eastAsia="仿宋" w:cs="仿宋"/>
          <w:b/>
          <w:bCs/>
          <w:spacing w:val="3"/>
          <w:sz w:val="26"/>
          <w:szCs w:val="26"/>
        </w:rPr>
        <w:t>4.1.1</w:t>
      </w:r>
      <w:r>
        <w:rPr>
          <w:rFonts w:ascii="仿宋" w:hAnsi="仿宋" w:eastAsia="仿宋" w:cs="仿宋"/>
          <w:spacing w:val="28"/>
          <w:sz w:val="26"/>
          <w:szCs w:val="26"/>
        </w:rPr>
        <w:t xml:space="preserve"> </w:t>
      </w:r>
      <w:r>
        <w:rPr>
          <w:rFonts w:ascii="仿宋" w:hAnsi="仿宋" w:eastAsia="仿宋" w:cs="仿宋"/>
          <w:b/>
          <w:bCs/>
          <w:spacing w:val="3"/>
          <w:sz w:val="26"/>
          <w:szCs w:val="26"/>
        </w:rPr>
        <w:t>对植物的影响</w:t>
      </w:r>
    </w:p>
    <w:p w14:paraId="2015F7A9">
      <w:pPr>
        <w:pStyle w:val="2"/>
        <w:spacing w:line="261" w:lineRule="auto"/>
        <w:rPr>
          <w:sz w:val="21"/>
        </w:rPr>
      </w:pPr>
    </w:p>
    <w:p w14:paraId="0C849C3B">
      <w:pPr>
        <w:spacing w:before="78" w:line="360" w:lineRule="auto"/>
        <w:ind w:left="29" w:firstLine="480"/>
        <w:jc w:val="both"/>
        <w:rPr>
          <w:rFonts w:ascii="仿宋" w:hAnsi="仿宋" w:eastAsia="仿宋" w:cs="仿宋"/>
          <w:sz w:val="24"/>
          <w:szCs w:val="24"/>
        </w:rPr>
      </w:pPr>
      <w:r>
        <w:rPr>
          <w:rFonts w:ascii="仿宋" w:hAnsi="仿宋" w:eastAsia="仿宋" w:cs="仿宋"/>
          <w:spacing w:val="-6"/>
          <w:sz w:val="24"/>
          <w:szCs w:val="24"/>
        </w:rPr>
        <w:t>本项目为道路硬化工程，永久占地面积共计</w:t>
      </w:r>
      <w:r>
        <w:rPr>
          <w:rFonts w:ascii="仿宋" w:hAnsi="仿宋" w:eastAsia="仿宋" w:cs="仿宋"/>
          <w:spacing w:val="-32"/>
          <w:sz w:val="24"/>
          <w:szCs w:val="24"/>
        </w:rPr>
        <w:t xml:space="preserve"> </w:t>
      </w:r>
      <w:r>
        <w:rPr>
          <w:rFonts w:ascii="Times New Roman" w:hAnsi="Times New Roman" w:eastAsia="Times New Roman" w:cs="Times New Roman"/>
          <w:spacing w:val="-7"/>
          <w:sz w:val="24"/>
          <w:szCs w:val="24"/>
        </w:rPr>
        <w:t>13.58hm2</w:t>
      </w:r>
      <w:r>
        <w:rPr>
          <w:rFonts w:ascii="Times New Roman" w:hAnsi="Times New Roman" w:eastAsia="Times New Roman" w:cs="Times New Roman"/>
          <w:spacing w:val="-27"/>
          <w:sz w:val="24"/>
          <w:szCs w:val="24"/>
        </w:rPr>
        <w:t xml:space="preserve"> </w:t>
      </w:r>
      <w:r>
        <w:rPr>
          <w:rFonts w:ascii="仿宋" w:hAnsi="仿宋" w:eastAsia="仿宋" w:cs="仿宋"/>
          <w:spacing w:val="-7"/>
          <w:sz w:val="24"/>
          <w:szCs w:val="24"/>
        </w:rPr>
        <w:t>，占地类型主要包括现</w:t>
      </w:r>
      <w:r>
        <w:rPr>
          <w:rFonts w:ascii="仿宋" w:hAnsi="仿宋" w:eastAsia="仿宋" w:cs="仿宋"/>
          <w:spacing w:val="-6"/>
          <w:sz w:val="24"/>
          <w:szCs w:val="24"/>
        </w:rPr>
        <w:t>状农村土路、林地、草地及裸土地，其中现状农村土路</w:t>
      </w:r>
      <w:r>
        <w:rPr>
          <w:rFonts w:ascii="仿宋" w:hAnsi="仿宋" w:eastAsia="仿宋" w:cs="仿宋"/>
          <w:spacing w:val="-38"/>
          <w:sz w:val="24"/>
          <w:szCs w:val="24"/>
        </w:rPr>
        <w:t xml:space="preserve"> </w:t>
      </w:r>
      <w:r>
        <w:rPr>
          <w:rFonts w:ascii="Times New Roman" w:hAnsi="Times New Roman" w:eastAsia="Times New Roman" w:cs="Times New Roman"/>
          <w:spacing w:val="-6"/>
          <w:sz w:val="24"/>
          <w:szCs w:val="24"/>
        </w:rPr>
        <w:t>9.92hm2</w:t>
      </w:r>
      <w:r>
        <w:rPr>
          <w:rFonts w:ascii="Times New Roman" w:hAnsi="Times New Roman" w:eastAsia="Times New Roman" w:cs="Times New Roman"/>
          <w:spacing w:val="-26"/>
          <w:sz w:val="24"/>
          <w:szCs w:val="24"/>
        </w:rPr>
        <w:t xml:space="preserve"> </w:t>
      </w:r>
      <w:r>
        <w:rPr>
          <w:rFonts w:ascii="仿宋" w:hAnsi="仿宋" w:eastAsia="仿宋" w:cs="仿宋"/>
          <w:spacing w:val="-6"/>
          <w:sz w:val="24"/>
          <w:szCs w:val="24"/>
        </w:rPr>
        <w:t>、林地</w:t>
      </w:r>
      <w:r>
        <w:rPr>
          <w:rFonts w:ascii="仿宋" w:hAnsi="仿宋" w:eastAsia="仿宋" w:cs="仿宋"/>
          <w:spacing w:val="-32"/>
          <w:sz w:val="24"/>
          <w:szCs w:val="24"/>
        </w:rPr>
        <w:t xml:space="preserve"> </w:t>
      </w:r>
      <w:r>
        <w:rPr>
          <w:rFonts w:ascii="Times New Roman" w:hAnsi="Times New Roman" w:eastAsia="Times New Roman" w:cs="Times New Roman"/>
          <w:spacing w:val="-6"/>
          <w:sz w:val="24"/>
          <w:szCs w:val="24"/>
        </w:rPr>
        <w:t>1.98hm2</w:t>
      </w:r>
      <w:r>
        <w:rPr>
          <w:rFonts w:ascii="仿宋" w:hAnsi="仿宋" w:eastAsia="仿宋" w:cs="仿宋"/>
          <w:spacing w:val="-6"/>
          <w:sz w:val="24"/>
          <w:szCs w:val="24"/>
        </w:rPr>
        <w:t>、</w:t>
      </w:r>
      <w:r>
        <w:rPr>
          <w:rFonts w:ascii="仿宋" w:hAnsi="仿宋" w:eastAsia="仿宋" w:cs="仿宋"/>
          <w:spacing w:val="-4"/>
          <w:sz w:val="24"/>
          <w:szCs w:val="24"/>
        </w:rPr>
        <w:t>草地</w:t>
      </w:r>
      <w:r>
        <w:rPr>
          <w:rFonts w:ascii="仿宋" w:hAnsi="仿宋" w:eastAsia="仿宋" w:cs="仿宋"/>
          <w:spacing w:val="-29"/>
          <w:sz w:val="24"/>
          <w:szCs w:val="24"/>
        </w:rPr>
        <w:t xml:space="preserve"> </w:t>
      </w:r>
      <w:r>
        <w:rPr>
          <w:rFonts w:ascii="Times New Roman" w:hAnsi="Times New Roman" w:eastAsia="Times New Roman" w:cs="Times New Roman"/>
          <w:spacing w:val="-4"/>
          <w:sz w:val="24"/>
          <w:szCs w:val="24"/>
        </w:rPr>
        <w:t>1.61hm2</w:t>
      </w:r>
      <w:r>
        <w:rPr>
          <w:rFonts w:ascii="Times New Roman" w:hAnsi="Times New Roman" w:eastAsia="Times New Roman" w:cs="Times New Roman"/>
          <w:spacing w:val="-24"/>
          <w:sz w:val="24"/>
          <w:szCs w:val="24"/>
        </w:rPr>
        <w:t xml:space="preserve"> </w:t>
      </w:r>
      <w:r>
        <w:rPr>
          <w:rFonts w:ascii="仿宋" w:hAnsi="仿宋" w:eastAsia="仿宋" w:cs="仿宋"/>
          <w:spacing w:val="-4"/>
          <w:sz w:val="24"/>
          <w:szCs w:val="24"/>
        </w:rPr>
        <w:t>、裸土地</w:t>
      </w:r>
      <w:r>
        <w:rPr>
          <w:rFonts w:ascii="仿宋" w:hAnsi="仿宋" w:eastAsia="仿宋" w:cs="仿宋"/>
          <w:spacing w:val="-46"/>
          <w:sz w:val="24"/>
          <w:szCs w:val="24"/>
        </w:rPr>
        <w:t xml:space="preserve"> </w:t>
      </w:r>
      <w:r>
        <w:rPr>
          <w:rFonts w:ascii="Times New Roman" w:hAnsi="Times New Roman" w:eastAsia="Times New Roman" w:cs="Times New Roman"/>
          <w:spacing w:val="-4"/>
          <w:sz w:val="24"/>
          <w:szCs w:val="24"/>
        </w:rPr>
        <w:t>0.07hm</w:t>
      </w:r>
      <w:r>
        <w:rPr>
          <w:rFonts w:ascii="Times New Roman" w:hAnsi="Times New Roman" w:eastAsia="Times New Roman" w:cs="Times New Roman"/>
          <w:spacing w:val="-5"/>
          <w:sz w:val="24"/>
          <w:szCs w:val="24"/>
        </w:rPr>
        <w:t>2</w:t>
      </w:r>
      <w:r>
        <w:rPr>
          <w:rFonts w:ascii="Times New Roman" w:hAnsi="Times New Roman" w:eastAsia="Times New Roman" w:cs="Times New Roman"/>
          <w:spacing w:val="-24"/>
          <w:sz w:val="24"/>
          <w:szCs w:val="24"/>
        </w:rPr>
        <w:t xml:space="preserve"> </w:t>
      </w:r>
      <w:r>
        <w:rPr>
          <w:rFonts w:ascii="仿宋" w:hAnsi="仿宋" w:eastAsia="仿宋" w:cs="仿宋"/>
          <w:spacing w:val="-5"/>
          <w:sz w:val="24"/>
          <w:szCs w:val="24"/>
        </w:rPr>
        <w:t>。</w:t>
      </w:r>
      <w:r>
        <w:rPr>
          <w:rFonts w:ascii="仿宋" w:hAnsi="仿宋" w:eastAsia="仿宋" w:cs="仿宋"/>
          <w:spacing w:val="-58"/>
          <w:sz w:val="24"/>
          <w:szCs w:val="24"/>
        </w:rPr>
        <w:t xml:space="preserve"> </w:t>
      </w:r>
      <w:r>
        <w:rPr>
          <w:rFonts w:ascii="仿宋" w:hAnsi="仿宋" w:eastAsia="仿宋" w:cs="仿宋"/>
          <w:spacing w:val="-5"/>
          <w:sz w:val="24"/>
          <w:szCs w:val="24"/>
        </w:rPr>
        <w:t>占地范围内的现状农村土路及裸土地无植被覆</w:t>
      </w:r>
      <w:r>
        <w:rPr>
          <w:rFonts w:ascii="仿宋" w:hAnsi="仿宋" w:eastAsia="仿宋" w:cs="仿宋"/>
          <w:spacing w:val="-1"/>
          <w:sz w:val="24"/>
          <w:szCs w:val="24"/>
        </w:rPr>
        <w:t>盖，项目建设仅对占用的林地、草地产生少量植被扰动及植被生物量损失。</w:t>
      </w:r>
    </w:p>
    <w:p w14:paraId="1AF9C527">
      <w:pPr>
        <w:spacing w:before="6" w:line="359" w:lineRule="auto"/>
        <w:ind w:left="31" w:right="26" w:firstLine="479"/>
        <w:jc w:val="both"/>
        <w:rPr>
          <w:rFonts w:ascii="仿宋" w:hAnsi="仿宋" w:eastAsia="仿宋" w:cs="仿宋"/>
          <w:sz w:val="24"/>
          <w:szCs w:val="24"/>
        </w:rPr>
      </w:pPr>
      <w:r>
        <w:rPr>
          <w:rFonts w:ascii="仿宋" w:hAnsi="仿宋" w:eastAsia="仿宋" w:cs="仿宋"/>
          <w:spacing w:val="-2"/>
          <w:sz w:val="24"/>
          <w:szCs w:val="24"/>
        </w:rPr>
        <w:t>项目占地范围内原生地带性植被以本氏针茅草原为优势群落，伴生铁杆蒿、</w:t>
      </w:r>
      <w:r>
        <w:rPr>
          <w:rFonts w:ascii="仿宋" w:hAnsi="仿宋" w:eastAsia="仿宋" w:cs="仿宋"/>
          <w:spacing w:val="-3"/>
          <w:sz w:val="24"/>
          <w:szCs w:val="24"/>
        </w:rPr>
        <w:t>猪毛蒿、糙隐子草、猪毛菜、砂珍棘豆、狗尾草等广布草本植</w:t>
      </w:r>
      <w:r>
        <w:rPr>
          <w:rFonts w:ascii="仿宋" w:hAnsi="仿宋" w:eastAsia="仿宋" w:cs="仿宋"/>
          <w:spacing w:val="-4"/>
          <w:sz w:val="24"/>
          <w:szCs w:val="24"/>
        </w:rPr>
        <w:t>物；人工植被主要</w:t>
      </w:r>
      <w:r>
        <w:rPr>
          <w:rFonts w:ascii="仿宋" w:hAnsi="仿宋" w:eastAsia="仿宋" w:cs="仿宋"/>
          <w:spacing w:val="-3"/>
          <w:sz w:val="24"/>
          <w:szCs w:val="24"/>
        </w:rPr>
        <w:t>为柠条锦鸡儿灌丛、人工杨树乔木林。项目沿线分布的所有植</w:t>
      </w:r>
      <w:r>
        <w:rPr>
          <w:rFonts w:ascii="仿宋" w:hAnsi="仿宋" w:eastAsia="仿宋" w:cs="仿宋"/>
          <w:spacing w:val="-4"/>
          <w:sz w:val="24"/>
          <w:szCs w:val="24"/>
        </w:rPr>
        <w:t>被均为区域常见广</w:t>
      </w:r>
      <w:r>
        <w:rPr>
          <w:rFonts w:ascii="仿宋" w:hAnsi="仿宋" w:eastAsia="仿宋" w:cs="仿宋"/>
          <w:spacing w:val="-3"/>
          <w:sz w:val="24"/>
          <w:szCs w:val="24"/>
        </w:rPr>
        <w:t>布物种，适应性强、自然分布范围广泛，评价范围内无珍稀濒</w:t>
      </w:r>
      <w:r>
        <w:rPr>
          <w:rFonts w:ascii="仿宋" w:hAnsi="仿宋" w:eastAsia="仿宋" w:cs="仿宋"/>
          <w:spacing w:val="-4"/>
          <w:sz w:val="24"/>
          <w:szCs w:val="24"/>
        </w:rPr>
        <w:t>危、国家及地方重</w:t>
      </w:r>
      <w:r>
        <w:rPr>
          <w:rFonts w:ascii="仿宋" w:hAnsi="仿宋" w:eastAsia="仿宋" w:cs="仿宋"/>
          <w:spacing w:val="-2"/>
          <w:sz w:val="24"/>
          <w:szCs w:val="24"/>
        </w:rPr>
        <w:t>点保护野生植物分布。</w:t>
      </w:r>
    </w:p>
    <w:p w14:paraId="592BB825">
      <w:pPr>
        <w:spacing w:before="2" w:line="359" w:lineRule="auto"/>
        <w:ind w:left="29" w:right="76" w:firstLine="491"/>
        <w:jc w:val="both"/>
        <w:rPr>
          <w:rFonts w:ascii="仿宋" w:hAnsi="仿宋" w:eastAsia="仿宋" w:cs="仿宋"/>
          <w:sz w:val="24"/>
          <w:szCs w:val="24"/>
        </w:rPr>
      </w:pPr>
      <w:r>
        <w:rPr>
          <w:rFonts w:ascii="仿宋" w:hAnsi="仿宋" w:eastAsia="仿宋" w:cs="仿宋"/>
          <w:spacing w:val="-4"/>
          <w:sz w:val="24"/>
          <w:szCs w:val="24"/>
        </w:rPr>
        <w:t>总体而言，项目建设仅造成局部小范围植被扰动，影响范围有限、影响程度</w:t>
      </w:r>
      <w:r>
        <w:rPr>
          <w:rFonts w:ascii="仿宋" w:hAnsi="仿宋" w:eastAsia="仿宋" w:cs="仿宋"/>
          <w:spacing w:val="-3"/>
          <w:sz w:val="24"/>
          <w:szCs w:val="24"/>
        </w:rPr>
        <w:t>轻微，不会导致区域植物种群衰退、个体灭绝或物种消失，对区域原</w:t>
      </w:r>
      <w:r>
        <w:rPr>
          <w:rFonts w:ascii="仿宋" w:hAnsi="仿宋" w:eastAsia="仿宋" w:cs="仿宋"/>
          <w:spacing w:val="-4"/>
          <w:sz w:val="24"/>
          <w:szCs w:val="24"/>
        </w:rPr>
        <w:t>有植被群落</w:t>
      </w:r>
      <w:r>
        <w:rPr>
          <w:rFonts w:ascii="仿宋" w:hAnsi="仿宋" w:eastAsia="仿宋" w:cs="仿宋"/>
          <w:spacing w:val="-1"/>
          <w:sz w:val="24"/>
          <w:szCs w:val="24"/>
        </w:rPr>
        <w:t>结构、生态系统稳定性及整体生态格局不会产生明显不利影响。</w:t>
      </w:r>
    </w:p>
    <w:p w14:paraId="65026EF4">
      <w:pPr>
        <w:spacing w:before="1" w:line="222" w:lineRule="auto"/>
        <w:ind w:left="514"/>
        <w:rPr>
          <w:rFonts w:ascii="仿宋" w:hAnsi="仿宋" w:eastAsia="仿宋" w:cs="仿宋"/>
          <w:sz w:val="24"/>
          <w:szCs w:val="24"/>
        </w:rPr>
      </w:pPr>
      <w:r>
        <w:rPr>
          <w:rFonts w:ascii="仿宋" w:hAnsi="仿宋" w:eastAsia="仿宋" w:cs="仿宋"/>
          <w:spacing w:val="-2"/>
          <w:sz w:val="24"/>
          <w:szCs w:val="24"/>
        </w:rPr>
        <w:t>（1）对公益林、商品林的影响</w:t>
      </w:r>
    </w:p>
    <w:p w14:paraId="1628E91E">
      <w:pPr>
        <w:spacing w:before="179" w:line="360" w:lineRule="auto"/>
        <w:ind w:left="29" w:firstLine="481"/>
        <w:rPr>
          <w:rFonts w:ascii="仿宋" w:hAnsi="仿宋" w:eastAsia="仿宋" w:cs="仿宋"/>
          <w:sz w:val="24"/>
          <w:szCs w:val="24"/>
        </w:rPr>
      </w:pPr>
      <w:r>
        <w:rPr>
          <w:rFonts w:ascii="仿宋" w:hAnsi="仿宋" w:eastAsia="仿宋" w:cs="仿宋"/>
          <w:spacing w:val="-3"/>
          <w:sz w:val="24"/>
          <w:szCs w:val="24"/>
        </w:rPr>
        <w:t>本项目建设占地涉及各类林地资源，其中包含国家二级公益林0</w:t>
      </w:r>
      <w:r>
        <w:rPr>
          <w:rFonts w:ascii="仿宋" w:hAnsi="仿宋" w:eastAsia="仿宋" w:cs="仿宋"/>
          <w:spacing w:val="-4"/>
          <w:sz w:val="24"/>
          <w:szCs w:val="24"/>
        </w:rPr>
        <w:t>.6446</w:t>
      </w:r>
      <w:r>
        <w:rPr>
          <w:rFonts w:ascii="仿宋" w:hAnsi="仿宋" w:eastAsia="仿宋" w:cs="仿宋"/>
          <w:spacing w:val="-39"/>
          <w:sz w:val="24"/>
          <w:szCs w:val="24"/>
        </w:rPr>
        <w:t xml:space="preserve"> </w:t>
      </w:r>
      <w:r>
        <w:rPr>
          <w:rFonts w:ascii="仿宋" w:hAnsi="仿宋" w:eastAsia="仿宋" w:cs="仿宋"/>
          <w:spacing w:val="-4"/>
          <w:sz w:val="24"/>
          <w:szCs w:val="24"/>
        </w:rPr>
        <w:t>公顷、</w:t>
      </w:r>
      <w:r>
        <w:rPr>
          <w:rFonts w:ascii="仿宋" w:hAnsi="仿宋" w:eastAsia="仿宋" w:cs="仿宋"/>
          <w:spacing w:val="-5"/>
          <w:sz w:val="24"/>
          <w:szCs w:val="24"/>
        </w:rPr>
        <w:t>地方公益林</w:t>
      </w:r>
      <w:r>
        <w:rPr>
          <w:rFonts w:ascii="仿宋" w:hAnsi="仿宋" w:eastAsia="仿宋" w:cs="仿宋"/>
          <w:spacing w:val="-22"/>
          <w:sz w:val="24"/>
          <w:szCs w:val="24"/>
        </w:rPr>
        <w:t xml:space="preserve"> </w:t>
      </w:r>
      <w:r>
        <w:rPr>
          <w:rFonts w:ascii="仿宋" w:hAnsi="仿宋" w:eastAsia="仿宋" w:cs="仿宋"/>
          <w:spacing w:val="-5"/>
          <w:sz w:val="24"/>
          <w:szCs w:val="24"/>
        </w:rPr>
        <w:t>1.1912</w:t>
      </w:r>
      <w:r>
        <w:rPr>
          <w:rFonts w:ascii="仿宋" w:hAnsi="仿宋" w:eastAsia="仿宋" w:cs="仿宋"/>
          <w:spacing w:val="-39"/>
          <w:sz w:val="24"/>
          <w:szCs w:val="24"/>
        </w:rPr>
        <w:t xml:space="preserve"> </w:t>
      </w:r>
      <w:r>
        <w:rPr>
          <w:rFonts w:ascii="仿宋" w:hAnsi="仿宋" w:eastAsia="仿宋" w:cs="仿宋"/>
          <w:spacing w:val="-5"/>
          <w:sz w:val="24"/>
          <w:szCs w:val="24"/>
        </w:rPr>
        <w:t>公顷、一般商品林</w:t>
      </w:r>
      <w:r>
        <w:rPr>
          <w:rFonts w:ascii="仿宋" w:hAnsi="仿宋" w:eastAsia="仿宋" w:cs="仿宋"/>
          <w:spacing w:val="-50"/>
          <w:sz w:val="24"/>
          <w:szCs w:val="24"/>
        </w:rPr>
        <w:t xml:space="preserve"> </w:t>
      </w:r>
      <w:r>
        <w:rPr>
          <w:rFonts w:ascii="仿宋" w:hAnsi="仿宋" w:eastAsia="仿宋" w:cs="仿宋"/>
          <w:spacing w:val="-5"/>
          <w:sz w:val="24"/>
          <w:szCs w:val="24"/>
        </w:rPr>
        <w:t>0.1130</w:t>
      </w:r>
      <w:r>
        <w:rPr>
          <w:rFonts w:ascii="仿宋" w:hAnsi="仿宋" w:eastAsia="仿宋" w:cs="仿宋"/>
          <w:spacing w:val="-39"/>
          <w:sz w:val="24"/>
          <w:szCs w:val="24"/>
        </w:rPr>
        <w:t xml:space="preserve"> </w:t>
      </w:r>
      <w:r>
        <w:rPr>
          <w:rFonts w:ascii="仿宋" w:hAnsi="仿宋" w:eastAsia="仿宋" w:cs="仿宋"/>
          <w:spacing w:val="-5"/>
          <w:sz w:val="24"/>
          <w:szCs w:val="24"/>
        </w:rPr>
        <w:t>公顷，林地内主要树种为柠条、榆</w:t>
      </w:r>
      <w:r>
        <w:rPr>
          <w:rFonts w:ascii="仿宋" w:hAnsi="仿宋" w:eastAsia="仿宋" w:cs="仿宋"/>
          <w:spacing w:val="-3"/>
          <w:sz w:val="24"/>
          <w:szCs w:val="24"/>
        </w:rPr>
        <w:t>树、杏树等。区域公益林核心生态功能为水土保持、水源涵养、防风</w:t>
      </w:r>
      <w:r>
        <w:rPr>
          <w:rFonts w:ascii="仿宋" w:hAnsi="仿宋" w:eastAsia="仿宋" w:cs="仿宋"/>
          <w:spacing w:val="-4"/>
          <w:sz w:val="24"/>
          <w:szCs w:val="24"/>
        </w:rPr>
        <w:t>固沙，同时</w:t>
      </w:r>
      <w:r>
        <w:rPr>
          <w:rFonts w:ascii="仿宋" w:hAnsi="仿宋" w:eastAsia="仿宋" w:cs="仿宋"/>
          <w:spacing w:val="-1"/>
          <w:sz w:val="24"/>
          <w:szCs w:val="24"/>
        </w:rPr>
        <w:t>可通过果品产出产生一定经济效益，兼具生态与社会效益。</w:t>
      </w:r>
    </w:p>
    <w:p w14:paraId="5585E434">
      <w:pPr>
        <w:spacing w:line="360" w:lineRule="auto"/>
        <w:ind w:left="35" w:right="11" w:firstLine="475"/>
        <w:jc w:val="both"/>
        <w:rPr>
          <w:rFonts w:ascii="仿宋" w:hAnsi="仿宋" w:eastAsia="仿宋" w:cs="仿宋"/>
          <w:sz w:val="24"/>
          <w:szCs w:val="24"/>
        </w:rPr>
      </w:pPr>
      <w:r>
        <w:rPr>
          <w:rFonts w:ascii="仿宋" w:hAnsi="仿宋" w:eastAsia="仿宋" w:cs="仿宋"/>
          <w:spacing w:val="-3"/>
          <w:sz w:val="24"/>
          <w:szCs w:val="24"/>
        </w:rPr>
        <w:t>本项目对公益林、商品林的占用面积占区域林</w:t>
      </w:r>
      <w:r>
        <w:rPr>
          <w:rFonts w:ascii="仿宋" w:hAnsi="仿宋" w:eastAsia="仿宋" w:cs="仿宋"/>
          <w:spacing w:val="-4"/>
          <w:sz w:val="24"/>
          <w:szCs w:val="24"/>
        </w:rPr>
        <w:t>地总面积比例极低，且占地形</w:t>
      </w:r>
      <w:r>
        <w:rPr>
          <w:rFonts w:ascii="仿宋" w:hAnsi="仿宋" w:eastAsia="仿宋" w:cs="仿宋"/>
          <w:spacing w:val="-8"/>
          <w:sz w:val="24"/>
          <w:szCs w:val="24"/>
        </w:rPr>
        <w:t>式为斑块状零散占用，未形成大面积连片破坏，不会割裂区域林地生态系统</w:t>
      </w:r>
      <w:r>
        <w:rPr>
          <w:rFonts w:ascii="仿宋" w:hAnsi="仿宋" w:eastAsia="仿宋" w:cs="仿宋"/>
          <w:spacing w:val="-9"/>
          <w:sz w:val="24"/>
          <w:szCs w:val="24"/>
        </w:rPr>
        <w:t>格局，</w:t>
      </w:r>
      <w:r>
        <w:rPr>
          <w:rFonts w:ascii="仿宋" w:hAnsi="仿宋" w:eastAsia="仿宋" w:cs="仿宋"/>
          <w:spacing w:val="-3"/>
          <w:sz w:val="24"/>
          <w:szCs w:val="24"/>
        </w:rPr>
        <w:t>能够保障区域林业生态系统的完整性、稳定性，林地</w:t>
      </w:r>
      <w:r>
        <w:rPr>
          <w:rFonts w:ascii="仿宋" w:hAnsi="仿宋" w:eastAsia="仿宋" w:cs="仿宋"/>
          <w:spacing w:val="-4"/>
          <w:sz w:val="24"/>
          <w:szCs w:val="24"/>
        </w:rPr>
        <w:t>水源涵养、防风固沙等核心</w:t>
      </w:r>
      <w:r>
        <w:rPr>
          <w:rFonts w:ascii="仿宋" w:hAnsi="仿宋" w:eastAsia="仿宋" w:cs="仿宋"/>
          <w:spacing w:val="-1"/>
          <w:sz w:val="24"/>
          <w:szCs w:val="24"/>
        </w:rPr>
        <w:t>生态功能不会发生衰减，对区域整体林地资源无实质性不利影响。</w:t>
      </w:r>
    </w:p>
    <w:p w14:paraId="2B7789A5">
      <w:pPr>
        <w:spacing w:before="2" w:line="360" w:lineRule="auto"/>
        <w:ind w:left="29" w:firstLine="488"/>
        <w:jc w:val="both"/>
        <w:rPr>
          <w:rFonts w:ascii="仿宋" w:hAnsi="仿宋" w:eastAsia="仿宋" w:cs="仿宋"/>
          <w:sz w:val="24"/>
          <w:szCs w:val="24"/>
        </w:rPr>
      </w:pPr>
      <w:r>
        <w:rPr>
          <w:rFonts w:ascii="仿宋" w:hAnsi="仿宋" w:eastAsia="仿宋" w:cs="仿宋"/>
          <w:spacing w:val="-4"/>
          <w:sz w:val="24"/>
          <w:szCs w:val="24"/>
        </w:rPr>
        <w:t>为最大限度降低林地扰动影响，建设单位需严格遵照《国家级公益林管理办</w:t>
      </w:r>
      <w:r>
        <w:rPr>
          <w:rFonts w:ascii="仿宋" w:hAnsi="仿宋" w:eastAsia="仿宋" w:cs="仿宋"/>
          <w:spacing w:val="-3"/>
          <w:sz w:val="24"/>
          <w:szCs w:val="24"/>
        </w:rPr>
        <w:t>法》《内蒙古自治区公益林管理办法》相关规定，对占用的公益林</w:t>
      </w:r>
      <w:r>
        <w:rPr>
          <w:rFonts w:ascii="仿宋" w:hAnsi="仿宋" w:eastAsia="仿宋" w:cs="仿宋"/>
          <w:spacing w:val="-4"/>
          <w:sz w:val="24"/>
          <w:szCs w:val="24"/>
        </w:rPr>
        <w:t>、商品林依法</w:t>
      </w:r>
      <w:r>
        <w:rPr>
          <w:rFonts w:ascii="仿宋" w:hAnsi="仿宋" w:eastAsia="仿宋" w:cs="仿宋"/>
          <w:spacing w:val="-8"/>
          <w:sz w:val="24"/>
          <w:szCs w:val="24"/>
        </w:rPr>
        <w:t>落实经济补偿。同时建议采用本地异地补偿方式，由属地林业主管部门统筹规划、</w:t>
      </w:r>
      <w:r>
        <w:rPr>
          <w:rFonts w:ascii="仿宋" w:hAnsi="仿宋" w:eastAsia="仿宋" w:cs="仿宋"/>
          <w:spacing w:val="-3"/>
          <w:sz w:val="24"/>
          <w:szCs w:val="24"/>
        </w:rPr>
        <w:t>统一组织植树造林工作，及时恢复林地植被，弥补项目建设造成的</w:t>
      </w:r>
      <w:r>
        <w:rPr>
          <w:rFonts w:ascii="仿宋" w:hAnsi="仿宋" w:eastAsia="仿宋" w:cs="仿宋"/>
          <w:spacing w:val="-4"/>
          <w:sz w:val="24"/>
          <w:szCs w:val="24"/>
        </w:rPr>
        <w:t>局部林地植被</w:t>
      </w:r>
      <w:r>
        <w:rPr>
          <w:rFonts w:ascii="仿宋" w:hAnsi="仿宋" w:eastAsia="仿宋" w:cs="仿宋"/>
          <w:spacing w:val="-1"/>
          <w:sz w:val="24"/>
          <w:szCs w:val="24"/>
        </w:rPr>
        <w:t>损失，进一步消减工程建设对沿线林地生态环境的不利影响。</w:t>
      </w:r>
    </w:p>
    <w:p w14:paraId="30C83145">
      <w:pPr>
        <w:spacing w:line="360" w:lineRule="auto"/>
        <w:rPr>
          <w:rFonts w:ascii="仿宋" w:hAnsi="仿宋" w:eastAsia="仿宋" w:cs="仿宋"/>
          <w:sz w:val="24"/>
          <w:szCs w:val="24"/>
        </w:rPr>
        <w:sectPr>
          <w:footerReference r:id="rId261" w:type="default"/>
          <w:pgSz w:w="11906" w:h="16839"/>
          <w:pgMar w:top="400" w:right="1723" w:bottom="1370" w:left="1785" w:header="0" w:footer="1207" w:gutter="0"/>
          <w:cols w:space="720" w:num="1"/>
        </w:sectPr>
      </w:pPr>
    </w:p>
    <w:p w14:paraId="532938C2">
      <w:pPr>
        <w:pStyle w:val="2"/>
        <w:spacing w:line="267" w:lineRule="auto"/>
        <w:rPr>
          <w:sz w:val="21"/>
        </w:rPr>
      </w:pPr>
    </w:p>
    <w:p w14:paraId="63DD7CF2">
      <w:pPr>
        <w:pStyle w:val="2"/>
        <w:spacing w:line="267" w:lineRule="auto"/>
        <w:rPr>
          <w:sz w:val="21"/>
        </w:rPr>
      </w:pPr>
    </w:p>
    <w:p w14:paraId="45D85CF4">
      <w:pPr>
        <w:pStyle w:val="2"/>
        <w:spacing w:line="267" w:lineRule="auto"/>
        <w:rPr>
          <w:sz w:val="21"/>
        </w:rPr>
      </w:pPr>
    </w:p>
    <w:p w14:paraId="06C2528A">
      <w:pPr>
        <w:pStyle w:val="2"/>
        <w:spacing w:line="268" w:lineRule="auto"/>
        <w:rPr>
          <w:sz w:val="21"/>
        </w:rPr>
      </w:pPr>
    </w:p>
    <w:p w14:paraId="1128BA58">
      <w:pPr>
        <w:spacing w:before="78" w:line="222" w:lineRule="auto"/>
        <w:ind w:left="514"/>
        <w:rPr>
          <w:rFonts w:ascii="仿宋" w:hAnsi="仿宋" w:eastAsia="仿宋" w:cs="仿宋"/>
          <w:sz w:val="24"/>
          <w:szCs w:val="24"/>
        </w:rPr>
      </w:pPr>
      <w:r>
        <w:rPr>
          <w:rFonts w:ascii="仿宋" w:hAnsi="仿宋" w:eastAsia="仿宋" w:cs="仿宋"/>
          <w:spacing w:val="-2"/>
          <w:sz w:val="24"/>
          <w:szCs w:val="24"/>
        </w:rPr>
        <w:t>（2）对基本草原的影响</w:t>
      </w:r>
    </w:p>
    <w:p w14:paraId="2C789119">
      <w:pPr>
        <w:pStyle w:val="2"/>
        <w:spacing w:before="178" w:line="360" w:lineRule="auto"/>
        <w:ind w:left="30" w:firstLine="480"/>
        <w:rPr>
          <w:rFonts w:ascii="仿宋" w:hAnsi="仿宋" w:eastAsia="仿宋" w:cs="仿宋"/>
          <w:sz w:val="24"/>
          <w:szCs w:val="24"/>
        </w:rPr>
      </w:pPr>
      <w:r>
        <w:rPr>
          <w:rFonts w:ascii="仿宋" w:hAnsi="仿宋" w:eastAsia="仿宋" w:cs="仿宋"/>
          <w:spacing w:val="-3"/>
          <w:sz w:val="24"/>
          <w:szCs w:val="24"/>
        </w:rPr>
        <w:t>本项目建设占用基本草原面积0.1797hm</w:t>
      </w:r>
      <w:r>
        <w:rPr>
          <w:spacing w:val="-3"/>
          <w:sz w:val="24"/>
          <w:szCs w:val="24"/>
        </w:rPr>
        <w:t>2</w:t>
      </w:r>
      <w:r>
        <w:rPr>
          <w:spacing w:val="-25"/>
          <w:sz w:val="24"/>
          <w:szCs w:val="24"/>
        </w:rPr>
        <w:t xml:space="preserve"> </w:t>
      </w:r>
      <w:r>
        <w:rPr>
          <w:rFonts w:ascii="仿宋" w:hAnsi="仿宋" w:eastAsia="仿宋" w:cs="仿宋"/>
          <w:spacing w:val="-3"/>
          <w:sz w:val="24"/>
          <w:szCs w:val="24"/>
        </w:rPr>
        <w:t>，</w:t>
      </w:r>
      <w:r>
        <w:rPr>
          <w:rFonts w:ascii="仿宋" w:hAnsi="仿宋" w:eastAsia="仿宋" w:cs="仿宋"/>
          <w:spacing w:val="-63"/>
          <w:sz w:val="24"/>
          <w:szCs w:val="24"/>
        </w:rPr>
        <w:t xml:space="preserve"> </w:t>
      </w:r>
      <w:r>
        <w:rPr>
          <w:rFonts w:ascii="仿宋" w:hAnsi="仿宋" w:eastAsia="仿宋" w:cs="仿宋"/>
          <w:spacing w:val="-3"/>
          <w:sz w:val="24"/>
          <w:szCs w:val="24"/>
        </w:rPr>
        <w:t>占用区域优势植被为针茅，伴生</w:t>
      </w:r>
      <w:r>
        <w:rPr>
          <w:rFonts w:ascii="仿宋" w:hAnsi="仿宋" w:eastAsia="仿宋" w:cs="仿宋"/>
          <w:spacing w:val="-2"/>
          <w:sz w:val="24"/>
          <w:szCs w:val="24"/>
        </w:rPr>
        <w:t>猪毛蒿、铁杆蒿、狗尾草等常见草原草本植被。项目占用基本草原面积规模小、</w:t>
      </w:r>
      <w:r>
        <w:rPr>
          <w:rFonts w:ascii="仿宋" w:hAnsi="仿宋" w:eastAsia="仿宋" w:cs="仿宋"/>
          <w:spacing w:val="-3"/>
          <w:sz w:val="24"/>
          <w:szCs w:val="24"/>
        </w:rPr>
        <w:t>占比低，且为局部斑块式占用，未破坏区域草原生态系统的整体</w:t>
      </w:r>
      <w:r>
        <w:rPr>
          <w:rFonts w:ascii="仿宋" w:hAnsi="仿宋" w:eastAsia="仿宋" w:cs="仿宋"/>
          <w:spacing w:val="-4"/>
          <w:sz w:val="24"/>
          <w:szCs w:val="24"/>
        </w:rPr>
        <w:t>性，不会影响草</w:t>
      </w:r>
      <w:r>
        <w:rPr>
          <w:rFonts w:ascii="仿宋" w:hAnsi="仿宋" w:eastAsia="仿宋" w:cs="仿宋"/>
          <w:spacing w:val="-3"/>
          <w:sz w:val="24"/>
          <w:szCs w:val="24"/>
        </w:rPr>
        <w:t>地生态系统的群落结构、稳定性及防风固沙、涵养水土、维</w:t>
      </w:r>
      <w:r>
        <w:rPr>
          <w:rFonts w:ascii="仿宋" w:hAnsi="仿宋" w:eastAsia="仿宋" w:cs="仿宋"/>
          <w:spacing w:val="-4"/>
          <w:sz w:val="24"/>
          <w:szCs w:val="24"/>
        </w:rPr>
        <w:t>持生物多样性等核心生态功能。</w:t>
      </w:r>
    </w:p>
    <w:p w14:paraId="23285604">
      <w:pPr>
        <w:spacing w:before="6" w:line="359" w:lineRule="auto"/>
        <w:ind w:left="9" w:right="50" w:firstLine="501"/>
        <w:jc w:val="both"/>
        <w:rPr>
          <w:rFonts w:ascii="仿宋" w:hAnsi="仿宋" w:eastAsia="仿宋" w:cs="仿宋"/>
          <w:sz w:val="24"/>
          <w:szCs w:val="24"/>
        </w:rPr>
      </w:pPr>
      <w:r>
        <w:rPr>
          <w:rFonts w:ascii="仿宋" w:hAnsi="仿宋" w:eastAsia="仿宋" w:cs="仿宋"/>
          <w:spacing w:val="-3"/>
          <w:sz w:val="24"/>
          <w:szCs w:val="24"/>
        </w:rPr>
        <w:t>项目建设过程中，建设单位须严格执行《关于</w:t>
      </w:r>
      <w:r>
        <w:rPr>
          <w:rFonts w:ascii="仿宋" w:hAnsi="仿宋" w:eastAsia="仿宋" w:cs="仿宋"/>
          <w:spacing w:val="-4"/>
          <w:sz w:val="24"/>
          <w:szCs w:val="24"/>
        </w:rPr>
        <w:t>进一步加强基本草原保护、规</w:t>
      </w:r>
      <w:r>
        <w:rPr>
          <w:rFonts w:ascii="仿宋" w:hAnsi="仿宋" w:eastAsia="仿宋" w:cs="仿宋"/>
          <w:spacing w:val="-1"/>
          <w:sz w:val="24"/>
          <w:szCs w:val="24"/>
        </w:rPr>
        <w:t>范占补平衡工作的通知》（内林草草管发[</w:t>
      </w:r>
      <w:r>
        <w:fldChar w:fldCharType="begin"/>
      </w:r>
      <w:r>
        <w:instrText xml:space="preserve"> HYPERLINK \l "bookmark95" </w:instrText>
      </w:r>
      <w:r>
        <w:fldChar w:fldCharType="separate"/>
      </w:r>
      <w:r>
        <w:rPr>
          <w:rFonts w:ascii="仿宋" w:hAnsi="仿宋" w:eastAsia="仿宋" w:cs="仿宋"/>
          <w:spacing w:val="-1"/>
          <w:sz w:val="24"/>
          <w:szCs w:val="24"/>
        </w:rPr>
        <w:t>2024</w:t>
      </w:r>
      <w:r>
        <w:rPr>
          <w:rFonts w:ascii="仿宋" w:hAnsi="仿宋" w:eastAsia="仿宋" w:cs="仿宋"/>
          <w:spacing w:val="-1"/>
          <w:sz w:val="24"/>
          <w:szCs w:val="24"/>
        </w:rPr>
        <w:fldChar w:fldCharType="end"/>
      </w:r>
      <w:r>
        <w:rPr>
          <w:rFonts w:ascii="仿宋" w:hAnsi="仿宋" w:eastAsia="仿宋" w:cs="仿宋"/>
          <w:spacing w:val="-1"/>
          <w:sz w:val="24"/>
          <w:szCs w:val="24"/>
        </w:rPr>
        <w:t>]36</w:t>
      </w:r>
      <w:r>
        <w:rPr>
          <w:rFonts w:ascii="仿宋" w:hAnsi="仿宋" w:eastAsia="仿宋" w:cs="仿宋"/>
          <w:spacing w:val="-2"/>
          <w:sz w:val="24"/>
          <w:szCs w:val="24"/>
        </w:rPr>
        <w:t>4</w:t>
      </w:r>
      <w:r>
        <w:rPr>
          <w:rFonts w:ascii="仿宋" w:hAnsi="仿宋" w:eastAsia="仿宋" w:cs="仿宋"/>
          <w:spacing w:val="-39"/>
          <w:sz w:val="24"/>
          <w:szCs w:val="24"/>
        </w:rPr>
        <w:t xml:space="preserve"> </w:t>
      </w:r>
      <w:r>
        <w:rPr>
          <w:rFonts w:ascii="仿宋" w:hAnsi="仿宋" w:eastAsia="仿宋" w:cs="仿宋"/>
          <w:spacing w:val="-2"/>
          <w:sz w:val="24"/>
          <w:szCs w:val="24"/>
        </w:rPr>
        <w:t>号）文件要求，依法依规办</w:t>
      </w:r>
      <w:r>
        <w:rPr>
          <w:rFonts w:ascii="仿宋" w:hAnsi="仿宋" w:eastAsia="仿宋" w:cs="仿宋"/>
          <w:spacing w:val="-3"/>
          <w:sz w:val="24"/>
          <w:szCs w:val="24"/>
        </w:rPr>
        <w:t>理基本草原征用审批手续，并依据《内蒙古自治区基本草原保护条例》落实占用补偿工作。目前，项目基本草原占补平衡方案正在编制过程中，项目将严格落实</w:t>
      </w:r>
      <w:r>
        <w:rPr>
          <w:rFonts w:ascii="仿宋" w:hAnsi="仿宋" w:eastAsia="仿宋" w:cs="仿宋"/>
          <w:spacing w:val="-4"/>
          <w:sz w:val="24"/>
          <w:szCs w:val="24"/>
        </w:rPr>
        <w:t>“先补后占、占补平衡</w:t>
      </w:r>
      <w:r>
        <w:rPr>
          <w:rFonts w:ascii="仿宋" w:hAnsi="仿宋" w:eastAsia="仿宋" w:cs="仿宋"/>
          <w:spacing w:val="-71"/>
          <w:sz w:val="24"/>
          <w:szCs w:val="24"/>
        </w:rPr>
        <w:t xml:space="preserve"> </w:t>
      </w:r>
      <w:r>
        <w:rPr>
          <w:rFonts w:ascii="仿宋" w:hAnsi="仿宋" w:eastAsia="仿宋" w:cs="仿宋"/>
          <w:spacing w:val="-4"/>
          <w:sz w:val="24"/>
          <w:szCs w:val="24"/>
        </w:rPr>
        <w:t>”原则，确保项目实施后区域基本草原总面积不减少、生</w:t>
      </w:r>
      <w:r>
        <w:rPr>
          <w:rFonts w:ascii="仿宋" w:hAnsi="仿宋" w:eastAsia="仿宋" w:cs="仿宋"/>
          <w:sz w:val="24"/>
          <w:szCs w:val="24"/>
        </w:rPr>
        <w:t>态功能不降低，切实保障草原生态系统稳定。</w:t>
      </w:r>
    </w:p>
    <w:p w14:paraId="6679EC9B">
      <w:pPr>
        <w:spacing w:before="2" w:line="222" w:lineRule="auto"/>
        <w:ind w:left="514"/>
        <w:rPr>
          <w:rFonts w:ascii="仿宋" w:hAnsi="仿宋" w:eastAsia="仿宋" w:cs="仿宋"/>
          <w:sz w:val="24"/>
          <w:szCs w:val="24"/>
        </w:rPr>
      </w:pPr>
      <w:r>
        <w:rPr>
          <w:rFonts w:ascii="仿宋" w:hAnsi="仿宋" w:eastAsia="仿宋" w:cs="仿宋"/>
          <w:spacing w:val="-2"/>
          <w:sz w:val="24"/>
          <w:szCs w:val="24"/>
        </w:rPr>
        <w:t>（3）对基本农田的影响</w:t>
      </w:r>
    </w:p>
    <w:p w14:paraId="1EFD374C">
      <w:pPr>
        <w:spacing w:before="179" w:line="360" w:lineRule="auto"/>
        <w:ind w:left="29" w:right="11" w:firstLine="480"/>
        <w:rPr>
          <w:rFonts w:ascii="仿宋" w:hAnsi="仿宋" w:eastAsia="仿宋" w:cs="仿宋"/>
          <w:sz w:val="24"/>
          <w:szCs w:val="24"/>
        </w:rPr>
      </w:pPr>
      <w:r>
        <w:rPr>
          <w:rFonts w:ascii="仿宋" w:hAnsi="仿宋" w:eastAsia="仿宋" w:cs="仿宋"/>
          <w:spacing w:val="-3"/>
          <w:sz w:val="24"/>
          <w:szCs w:val="24"/>
        </w:rPr>
        <w:t>本项目线路全程不占用基本农田，工程对周边</w:t>
      </w:r>
      <w:r>
        <w:rPr>
          <w:rFonts w:ascii="仿宋" w:hAnsi="仿宋" w:eastAsia="仿宋" w:cs="仿宋"/>
          <w:spacing w:val="-4"/>
          <w:sz w:val="24"/>
          <w:szCs w:val="24"/>
        </w:rPr>
        <w:t>基本农田的影响仅集中于施工</w:t>
      </w:r>
      <w:r>
        <w:rPr>
          <w:rFonts w:ascii="仿宋" w:hAnsi="仿宋" w:eastAsia="仿宋" w:cs="仿宋"/>
          <w:spacing w:val="-3"/>
          <w:sz w:val="24"/>
          <w:szCs w:val="24"/>
        </w:rPr>
        <w:t>期，以短期、局部、可逆的轻微扰动为主，不存在永久性占地与不</w:t>
      </w:r>
      <w:r>
        <w:rPr>
          <w:rFonts w:ascii="仿宋" w:hAnsi="仿宋" w:eastAsia="仿宋" w:cs="仿宋"/>
          <w:spacing w:val="-4"/>
          <w:sz w:val="24"/>
          <w:szCs w:val="24"/>
        </w:rPr>
        <w:t>可逆破坏。施</w:t>
      </w:r>
      <w:r>
        <w:rPr>
          <w:rFonts w:ascii="仿宋" w:hAnsi="仿宋" w:eastAsia="仿宋" w:cs="仿宋"/>
          <w:spacing w:val="-3"/>
          <w:sz w:val="24"/>
          <w:szCs w:val="24"/>
        </w:rPr>
        <w:t>工期路基土石方开挖填筑、物料堆放、车辆运输等作业易产生施工</w:t>
      </w:r>
      <w:r>
        <w:rPr>
          <w:rFonts w:ascii="仿宋" w:hAnsi="仿宋" w:eastAsia="仿宋" w:cs="仿宋"/>
          <w:spacing w:val="-4"/>
          <w:sz w:val="24"/>
          <w:szCs w:val="24"/>
        </w:rPr>
        <w:t>扬尘，扬尘沉</w:t>
      </w:r>
      <w:r>
        <w:rPr>
          <w:rFonts w:ascii="仿宋" w:hAnsi="仿宋" w:eastAsia="仿宋" w:cs="仿宋"/>
          <w:spacing w:val="-3"/>
          <w:sz w:val="24"/>
          <w:szCs w:val="24"/>
        </w:rPr>
        <w:t>降于周边农田地表及农作物叶面，会轻微抑制作物光合作用，对农</w:t>
      </w:r>
      <w:r>
        <w:rPr>
          <w:rFonts w:ascii="仿宋" w:hAnsi="仿宋" w:eastAsia="仿宋" w:cs="仿宋"/>
          <w:spacing w:val="-4"/>
          <w:sz w:val="24"/>
          <w:szCs w:val="24"/>
        </w:rPr>
        <w:t>作物生长产生</w:t>
      </w:r>
      <w:r>
        <w:rPr>
          <w:rFonts w:ascii="仿宋" w:hAnsi="仿宋" w:eastAsia="仿宋" w:cs="仿宋"/>
          <w:spacing w:val="-3"/>
          <w:sz w:val="24"/>
          <w:szCs w:val="24"/>
        </w:rPr>
        <w:t>暂时性轻微不利影响；雨季降雨冲刷施工裸露扰动面，易形成含沙</w:t>
      </w:r>
      <w:r>
        <w:rPr>
          <w:rFonts w:ascii="仿宋" w:hAnsi="仿宋" w:eastAsia="仿宋" w:cs="仿宋"/>
          <w:spacing w:val="-4"/>
          <w:sz w:val="24"/>
          <w:szCs w:val="24"/>
        </w:rPr>
        <w:t>径流，若管控</w:t>
      </w:r>
      <w:r>
        <w:rPr>
          <w:rFonts w:ascii="仿宋" w:hAnsi="仿宋" w:eastAsia="仿宋" w:cs="仿宋"/>
          <w:spacing w:val="-3"/>
          <w:sz w:val="24"/>
          <w:szCs w:val="24"/>
        </w:rPr>
        <w:t>不当，可能引发农田田间淤积、表层土壤板结等问题。同时，若施</w:t>
      </w:r>
      <w:r>
        <w:rPr>
          <w:rFonts w:ascii="仿宋" w:hAnsi="仿宋" w:eastAsia="仿宋" w:cs="仿宋"/>
          <w:spacing w:val="-4"/>
          <w:sz w:val="24"/>
          <w:szCs w:val="24"/>
        </w:rPr>
        <w:t>工作业范围管</w:t>
      </w:r>
      <w:r>
        <w:rPr>
          <w:rFonts w:ascii="仿宋" w:hAnsi="仿宋" w:eastAsia="仿宋" w:cs="仿宋"/>
          <w:spacing w:val="-2"/>
          <w:sz w:val="24"/>
          <w:szCs w:val="24"/>
        </w:rPr>
        <w:t>控不严，施工机械设备越界作业，易碾压农田，造成田埂破损、灌排沟渠损</w:t>
      </w:r>
      <w:r>
        <w:rPr>
          <w:rFonts w:ascii="仿宋" w:hAnsi="仿宋" w:eastAsia="仿宋" w:cs="仿宋"/>
          <w:spacing w:val="-3"/>
          <w:sz w:val="24"/>
          <w:szCs w:val="24"/>
        </w:rPr>
        <w:t>毁，</w:t>
      </w:r>
      <w:r>
        <w:rPr>
          <w:rFonts w:ascii="仿宋" w:hAnsi="仿宋" w:eastAsia="仿宋" w:cs="仿宋"/>
          <w:spacing w:val="-1"/>
          <w:sz w:val="24"/>
          <w:szCs w:val="24"/>
        </w:rPr>
        <w:t>且施工噪声会短暂干扰农田小型有益生物的栖息与活动。</w:t>
      </w:r>
    </w:p>
    <w:p w14:paraId="52EDAEFA">
      <w:pPr>
        <w:spacing w:before="7" w:line="359" w:lineRule="auto"/>
        <w:ind w:left="30" w:firstLine="478"/>
        <w:jc w:val="both"/>
        <w:rPr>
          <w:rFonts w:ascii="仿宋" w:hAnsi="仿宋" w:eastAsia="仿宋" w:cs="仿宋"/>
          <w:sz w:val="24"/>
          <w:szCs w:val="24"/>
        </w:rPr>
      </w:pPr>
      <w:r>
        <w:rPr>
          <w:rFonts w:ascii="仿宋" w:hAnsi="仿宋" w:eastAsia="仿宋" w:cs="仿宋"/>
          <w:spacing w:val="-3"/>
          <w:sz w:val="24"/>
          <w:szCs w:val="24"/>
        </w:rPr>
        <w:t>针对上述潜在生态扰动，项目制定完善的施工期防</w:t>
      </w:r>
      <w:r>
        <w:rPr>
          <w:rFonts w:ascii="仿宋" w:hAnsi="仿宋" w:eastAsia="仿宋" w:cs="仿宋"/>
          <w:spacing w:val="-4"/>
          <w:sz w:val="24"/>
          <w:szCs w:val="24"/>
        </w:rPr>
        <w:t>控措施：通过施工区域常</w:t>
      </w:r>
      <w:r>
        <w:rPr>
          <w:rFonts w:ascii="仿宋" w:hAnsi="仿宋" w:eastAsia="仿宋" w:cs="仿宋"/>
          <w:spacing w:val="-3"/>
          <w:sz w:val="24"/>
          <w:szCs w:val="24"/>
        </w:rPr>
        <w:t>态化洒水抑尘、运输车辆全密闭遮盖、施工作业带围挡封闭等措</w:t>
      </w:r>
      <w:r>
        <w:rPr>
          <w:rFonts w:ascii="仿宋" w:hAnsi="仿宋" w:eastAsia="仿宋" w:cs="仿宋"/>
          <w:spacing w:val="-4"/>
          <w:sz w:val="24"/>
          <w:szCs w:val="24"/>
        </w:rPr>
        <w:t>施，有效削减施</w:t>
      </w:r>
      <w:r>
        <w:rPr>
          <w:rFonts w:ascii="仿宋" w:hAnsi="仿宋" w:eastAsia="仿宋" w:cs="仿宋"/>
          <w:spacing w:val="-2"/>
          <w:sz w:val="24"/>
          <w:szCs w:val="24"/>
        </w:rPr>
        <w:t>工扬尘扩散影响；施工结束后及时清理拆除各类临时设施，对施工破损的田埂、</w:t>
      </w:r>
      <w:r>
        <w:rPr>
          <w:rFonts w:ascii="仿宋" w:hAnsi="仿宋" w:eastAsia="仿宋" w:cs="仿宋"/>
          <w:spacing w:val="-3"/>
          <w:sz w:val="24"/>
          <w:szCs w:val="24"/>
        </w:rPr>
        <w:t>农田灌排沟渠进行全面修复整治。通过系列管控措施，可有效规</w:t>
      </w:r>
      <w:r>
        <w:rPr>
          <w:rFonts w:ascii="仿宋" w:hAnsi="仿宋" w:eastAsia="仿宋" w:cs="仿宋"/>
          <w:spacing w:val="-4"/>
          <w:sz w:val="24"/>
          <w:szCs w:val="24"/>
        </w:rPr>
        <w:t>避和减缓施工期</w:t>
      </w:r>
      <w:r>
        <w:rPr>
          <w:rFonts w:ascii="仿宋" w:hAnsi="仿宋" w:eastAsia="仿宋" w:cs="仿宋"/>
          <w:spacing w:val="-3"/>
          <w:sz w:val="24"/>
          <w:szCs w:val="24"/>
        </w:rPr>
        <w:t>农田扰动影响，施工结束后农田土壤质量、耕作条件、灌溉体系</w:t>
      </w:r>
      <w:r>
        <w:rPr>
          <w:rFonts w:ascii="仿宋" w:hAnsi="仿宋" w:eastAsia="仿宋" w:cs="仿宋"/>
          <w:spacing w:val="-4"/>
          <w:sz w:val="24"/>
          <w:szCs w:val="24"/>
        </w:rPr>
        <w:t>均可恢复原有状</w:t>
      </w:r>
      <w:r>
        <w:rPr>
          <w:rFonts w:ascii="仿宋" w:hAnsi="仿宋" w:eastAsia="仿宋" w:cs="仿宋"/>
          <w:spacing w:val="-1"/>
          <w:sz w:val="24"/>
          <w:szCs w:val="24"/>
        </w:rPr>
        <w:t>态，不会对区域农业生产及农田生态造成长期、持续性不利影响。</w:t>
      </w:r>
    </w:p>
    <w:p w14:paraId="6A0ED241">
      <w:pPr>
        <w:spacing w:line="360" w:lineRule="auto"/>
        <w:ind w:left="32" w:right="50" w:firstLine="480"/>
        <w:rPr>
          <w:rFonts w:ascii="仿宋" w:hAnsi="仿宋" w:eastAsia="仿宋" w:cs="仿宋"/>
          <w:sz w:val="24"/>
          <w:szCs w:val="24"/>
        </w:rPr>
      </w:pPr>
      <w:r>
        <w:rPr>
          <w:rFonts w:ascii="仿宋" w:hAnsi="仿宋" w:eastAsia="仿宋" w:cs="仿宋"/>
          <w:spacing w:val="-4"/>
          <w:sz w:val="24"/>
          <w:szCs w:val="24"/>
        </w:rPr>
        <w:t>综上，项目实施全过程严格限定施工范围与占地边界，严禁超红线侵占周边</w:t>
      </w:r>
      <w:r>
        <w:rPr>
          <w:rFonts w:ascii="仿宋" w:hAnsi="仿宋" w:eastAsia="仿宋" w:cs="仿宋"/>
          <w:spacing w:val="-3"/>
          <w:sz w:val="24"/>
          <w:szCs w:val="24"/>
        </w:rPr>
        <w:t>土地，从源头控制生态扰动范围。施工结束后，将针对性开</w:t>
      </w:r>
      <w:r>
        <w:rPr>
          <w:rFonts w:ascii="仿宋" w:hAnsi="仿宋" w:eastAsia="仿宋" w:cs="仿宋"/>
          <w:spacing w:val="-4"/>
          <w:sz w:val="24"/>
          <w:szCs w:val="24"/>
        </w:rPr>
        <w:t>展路基边坡生态绿化</w:t>
      </w:r>
    </w:p>
    <w:p w14:paraId="650BF2E1">
      <w:pPr>
        <w:spacing w:line="360" w:lineRule="auto"/>
        <w:rPr>
          <w:rFonts w:ascii="仿宋" w:hAnsi="仿宋" w:eastAsia="仿宋" w:cs="仿宋"/>
          <w:sz w:val="24"/>
          <w:szCs w:val="24"/>
        </w:rPr>
        <w:sectPr>
          <w:footerReference r:id="rId262" w:type="default"/>
          <w:pgSz w:w="11906" w:h="16839"/>
          <w:pgMar w:top="400" w:right="1749" w:bottom="1370" w:left="1785" w:header="0" w:footer="1207" w:gutter="0"/>
          <w:cols w:space="720" w:num="1"/>
        </w:sectPr>
      </w:pPr>
    </w:p>
    <w:p w14:paraId="6F3D11C9">
      <w:pPr>
        <w:pStyle w:val="2"/>
        <w:spacing w:line="267" w:lineRule="auto"/>
        <w:rPr>
          <w:sz w:val="21"/>
        </w:rPr>
      </w:pPr>
    </w:p>
    <w:p w14:paraId="7FEDC383">
      <w:pPr>
        <w:pStyle w:val="2"/>
        <w:spacing w:line="267" w:lineRule="auto"/>
        <w:rPr>
          <w:sz w:val="21"/>
        </w:rPr>
      </w:pPr>
    </w:p>
    <w:p w14:paraId="24D73A09">
      <w:pPr>
        <w:pStyle w:val="2"/>
        <w:spacing w:line="267" w:lineRule="auto"/>
        <w:rPr>
          <w:sz w:val="21"/>
        </w:rPr>
      </w:pPr>
    </w:p>
    <w:p w14:paraId="16B4C07E">
      <w:pPr>
        <w:pStyle w:val="2"/>
        <w:spacing w:line="267" w:lineRule="auto"/>
        <w:rPr>
          <w:sz w:val="21"/>
        </w:rPr>
      </w:pPr>
    </w:p>
    <w:p w14:paraId="6FCD054F">
      <w:pPr>
        <w:spacing w:before="78" w:line="360" w:lineRule="auto"/>
        <w:ind w:left="29" w:firstLine="2"/>
        <w:jc w:val="both"/>
        <w:rPr>
          <w:rFonts w:ascii="仿宋" w:hAnsi="仿宋" w:eastAsia="仿宋" w:cs="仿宋"/>
          <w:sz w:val="24"/>
          <w:szCs w:val="24"/>
        </w:rPr>
      </w:pPr>
      <w:r>
        <w:rPr>
          <w:rFonts w:ascii="仿宋" w:hAnsi="仿宋" w:eastAsia="仿宋" w:cs="仿宋"/>
          <w:spacing w:val="-3"/>
          <w:sz w:val="24"/>
          <w:szCs w:val="24"/>
        </w:rPr>
        <w:t>恢复工作，因地制宜选用乡土适生物种实施植被重建，保障修</w:t>
      </w:r>
      <w:r>
        <w:rPr>
          <w:rFonts w:ascii="仿宋" w:hAnsi="仿宋" w:eastAsia="仿宋" w:cs="仿宋"/>
          <w:spacing w:val="-4"/>
          <w:sz w:val="24"/>
          <w:szCs w:val="24"/>
        </w:rPr>
        <w:t>复区域植被覆盖度</w:t>
      </w:r>
      <w:r>
        <w:rPr>
          <w:rFonts w:ascii="仿宋" w:hAnsi="仿宋" w:eastAsia="仿宋" w:cs="仿宋"/>
          <w:spacing w:val="-3"/>
          <w:sz w:val="24"/>
          <w:szCs w:val="24"/>
        </w:rPr>
        <w:t>与群落质量不低于原有水平。同时，施工期通过物料全覆盖、场地围</w:t>
      </w:r>
      <w:r>
        <w:rPr>
          <w:rFonts w:ascii="仿宋" w:hAnsi="仿宋" w:eastAsia="仿宋" w:cs="仿宋"/>
          <w:spacing w:val="-4"/>
          <w:sz w:val="24"/>
          <w:szCs w:val="24"/>
        </w:rPr>
        <w:t>挡、常态化</w:t>
      </w:r>
      <w:r>
        <w:rPr>
          <w:rFonts w:ascii="仿宋" w:hAnsi="仿宋" w:eastAsia="仿宋" w:cs="仿宋"/>
          <w:spacing w:val="-3"/>
          <w:sz w:val="24"/>
          <w:szCs w:val="24"/>
        </w:rPr>
        <w:t>洒水降尘、规范运输与施工工序等环保管控措施，最大限度降低工程</w:t>
      </w:r>
      <w:r>
        <w:rPr>
          <w:rFonts w:ascii="仿宋" w:hAnsi="仿宋" w:eastAsia="仿宋" w:cs="仿宋"/>
          <w:spacing w:val="-4"/>
          <w:sz w:val="24"/>
          <w:szCs w:val="24"/>
        </w:rPr>
        <w:t>施工对沿线</w:t>
      </w:r>
      <w:r>
        <w:rPr>
          <w:rFonts w:ascii="仿宋" w:hAnsi="仿宋" w:eastAsia="仿宋" w:cs="仿宋"/>
          <w:spacing w:val="-7"/>
          <w:sz w:val="24"/>
          <w:szCs w:val="24"/>
        </w:rPr>
        <w:t>植被与生态环境的扰动破坏，将项目施工期生态</w:t>
      </w:r>
      <w:r>
        <w:rPr>
          <w:rFonts w:ascii="仿宋" w:hAnsi="仿宋" w:eastAsia="仿宋" w:cs="仿宋"/>
          <w:spacing w:val="-8"/>
          <w:sz w:val="24"/>
          <w:szCs w:val="24"/>
        </w:rPr>
        <w:t>影响控制在可控、可恢复范围内。</w:t>
      </w:r>
    </w:p>
    <w:p w14:paraId="548C4E47">
      <w:pPr>
        <w:spacing w:before="166" w:line="227" w:lineRule="auto"/>
        <w:ind w:left="22"/>
        <w:rPr>
          <w:rFonts w:ascii="仿宋" w:hAnsi="仿宋" w:eastAsia="仿宋" w:cs="仿宋"/>
          <w:sz w:val="26"/>
          <w:szCs w:val="26"/>
        </w:rPr>
      </w:pPr>
      <w:r>
        <w:rPr>
          <w:rFonts w:ascii="仿宋" w:hAnsi="仿宋" w:eastAsia="仿宋" w:cs="仿宋"/>
          <w:b/>
          <w:bCs/>
          <w:spacing w:val="3"/>
          <w:sz w:val="26"/>
          <w:szCs w:val="26"/>
        </w:rPr>
        <w:t>4.1.2</w:t>
      </w:r>
      <w:r>
        <w:rPr>
          <w:rFonts w:ascii="仿宋" w:hAnsi="仿宋" w:eastAsia="仿宋" w:cs="仿宋"/>
          <w:spacing w:val="28"/>
          <w:sz w:val="26"/>
          <w:szCs w:val="26"/>
        </w:rPr>
        <w:t xml:space="preserve"> </w:t>
      </w:r>
      <w:r>
        <w:rPr>
          <w:rFonts w:ascii="仿宋" w:hAnsi="仿宋" w:eastAsia="仿宋" w:cs="仿宋"/>
          <w:b/>
          <w:bCs/>
          <w:spacing w:val="3"/>
          <w:sz w:val="26"/>
          <w:szCs w:val="26"/>
        </w:rPr>
        <w:t>对动物的影响</w:t>
      </w:r>
    </w:p>
    <w:p w14:paraId="3C40EF97">
      <w:pPr>
        <w:pStyle w:val="2"/>
        <w:spacing w:line="261" w:lineRule="auto"/>
        <w:rPr>
          <w:sz w:val="21"/>
        </w:rPr>
      </w:pPr>
    </w:p>
    <w:p w14:paraId="7F88CB5E">
      <w:pPr>
        <w:spacing w:before="78" w:line="360" w:lineRule="auto"/>
        <w:ind w:left="32" w:right="83" w:firstLine="478"/>
        <w:jc w:val="both"/>
        <w:rPr>
          <w:rFonts w:ascii="仿宋" w:hAnsi="仿宋" w:eastAsia="仿宋" w:cs="仿宋"/>
          <w:sz w:val="24"/>
          <w:szCs w:val="24"/>
        </w:rPr>
      </w:pPr>
      <w:r>
        <w:rPr>
          <w:rFonts w:ascii="仿宋" w:hAnsi="仿宋" w:eastAsia="仿宋" w:cs="仿宋"/>
          <w:spacing w:val="-3"/>
          <w:sz w:val="24"/>
          <w:szCs w:val="24"/>
        </w:rPr>
        <w:t>项目施工占地会局部破坏原有地表植被，占用</w:t>
      </w:r>
      <w:r>
        <w:rPr>
          <w:rFonts w:ascii="仿宋" w:hAnsi="仿宋" w:eastAsia="仿宋" w:cs="仿宋"/>
          <w:spacing w:val="-4"/>
          <w:sz w:val="24"/>
          <w:szCs w:val="24"/>
        </w:rPr>
        <w:t>野生动物原有栖息、觅食活动</w:t>
      </w:r>
      <w:r>
        <w:rPr>
          <w:rFonts w:ascii="仿宋" w:hAnsi="仿宋" w:eastAsia="仿宋" w:cs="仿宋"/>
          <w:spacing w:val="-3"/>
          <w:sz w:val="24"/>
          <w:szCs w:val="24"/>
        </w:rPr>
        <w:t>区域，施工机械作业、人员活动、施工噪声及振动等人为干</w:t>
      </w:r>
      <w:r>
        <w:rPr>
          <w:rFonts w:ascii="仿宋" w:hAnsi="仿宋" w:eastAsia="仿宋" w:cs="仿宋"/>
          <w:spacing w:val="-4"/>
          <w:sz w:val="24"/>
          <w:szCs w:val="24"/>
        </w:rPr>
        <w:t>扰，会扰动沿线野生</w:t>
      </w:r>
      <w:r>
        <w:rPr>
          <w:rFonts w:ascii="仿宋" w:hAnsi="仿宋" w:eastAsia="仿宋" w:cs="仿宋"/>
          <w:spacing w:val="-1"/>
          <w:sz w:val="24"/>
          <w:szCs w:val="24"/>
        </w:rPr>
        <w:t>动物正常的栖息、觅食与繁殖活动，造成局部栖息地范围缩减。</w:t>
      </w:r>
    </w:p>
    <w:p w14:paraId="03ED78E3">
      <w:pPr>
        <w:spacing w:before="6" w:line="359" w:lineRule="auto"/>
        <w:ind w:left="31" w:right="26" w:firstLine="479"/>
        <w:jc w:val="both"/>
        <w:rPr>
          <w:rFonts w:ascii="仿宋" w:hAnsi="仿宋" w:eastAsia="仿宋" w:cs="仿宋"/>
          <w:sz w:val="24"/>
          <w:szCs w:val="24"/>
        </w:rPr>
      </w:pPr>
      <w:r>
        <w:rPr>
          <w:rFonts w:ascii="仿宋" w:hAnsi="仿宋" w:eastAsia="仿宋" w:cs="仿宋"/>
          <w:spacing w:val="-3"/>
          <w:sz w:val="24"/>
          <w:szCs w:val="24"/>
        </w:rPr>
        <w:t>项目沿线区域野生动物以啮齿类、爬行类等广</w:t>
      </w:r>
      <w:r>
        <w:rPr>
          <w:rFonts w:ascii="仿宋" w:hAnsi="仿宋" w:eastAsia="仿宋" w:cs="仿宋"/>
          <w:spacing w:val="-4"/>
          <w:sz w:val="24"/>
          <w:szCs w:val="24"/>
        </w:rPr>
        <w:t>布性常见物种为主，无珍稀濒</w:t>
      </w:r>
      <w:r>
        <w:rPr>
          <w:rFonts w:ascii="仿宋" w:hAnsi="仿宋" w:eastAsia="仿宋" w:cs="仿宋"/>
          <w:spacing w:val="-3"/>
          <w:sz w:val="24"/>
          <w:szCs w:val="24"/>
        </w:rPr>
        <w:t>危、重点保护野生动物及特殊保护动物栖息地。同时，项目区</w:t>
      </w:r>
      <w:r>
        <w:rPr>
          <w:rFonts w:ascii="仿宋" w:hAnsi="仿宋" w:eastAsia="仿宋" w:cs="仿宋"/>
          <w:spacing w:val="-4"/>
          <w:sz w:val="24"/>
          <w:szCs w:val="24"/>
        </w:rPr>
        <w:t>域周边分布有大面</w:t>
      </w:r>
      <w:r>
        <w:rPr>
          <w:rFonts w:ascii="仿宋" w:hAnsi="仿宋" w:eastAsia="仿宋" w:cs="仿宋"/>
          <w:spacing w:val="-3"/>
          <w:sz w:val="24"/>
          <w:szCs w:val="24"/>
        </w:rPr>
        <w:t>积未受扰动的原生生态环境，可为野生动物提供充足的替代栖</w:t>
      </w:r>
      <w:r>
        <w:rPr>
          <w:rFonts w:ascii="仿宋" w:hAnsi="仿宋" w:eastAsia="仿宋" w:cs="仿宋"/>
          <w:spacing w:val="-4"/>
          <w:sz w:val="24"/>
          <w:szCs w:val="24"/>
        </w:rPr>
        <w:t>息、觅食场所。此</w:t>
      </w:r>
      <w:r>
        <w:rPr>
          <w:rFonts w:ascii="仿宋" w:hAnsi="仿宋" w:eastAsia="仿宋" w:cs="仿宋"/>
          <w:spacing w:val="-3"/>
          <w:sz w:val="24"/>
          <w:szCs w:val="24"/>
        </w:rPr>
        <w:t>外，项目现状为原有土路，长期村民通行活动已使周边野生动</w:t>
      </w:r>
      <w:r>
        <w:rPr>
          <w:rFonts w:ascii="仿宋" w:hAnsi="仿宋" w:eastAsia="仿宋" w:cs="仿宋"/>
          <w:spacing w:val="-4"/>
          <w:sz w:val="24"/>
          <w:szCs w:val="24"/>
        </w:rPr>
        <w:t>物形成适应性避让</w:t>
      </w:r>
      <w:r>
        <w:rPr>
          <w:rFonts w:ascii="仿宋" w:hAnsi="仿宋" w:eastAsia="仿宋" w:cs="仿宋"/>
          <w:spacing w:val="-2"/>
          <w:sz w:val="24"/>
          <w:szCs w:val="24"/>
        </w:rPr>
        <w:t>习性，本次仅为道路硬化工程，相较于原有道路通行，新增人为扰动幅度极小。</w:t>
      </w:r>
    </w:p>
    <w:p w14:paraId="4F072DFB">
      <w:pPr>
        <w:spacing w:before="2" w:line="360" w:lineRule="auto"/>
        <w:ind w:left="31" w:right="83" w:firstLine="488"/>
        <w:jc w:val="both"/>
        <w:rPr>
          <w:rFonts w:ascii="仿宋" w:hAnsi="仿宋" w:eastAsia="仿宋" w:cs="仿宋"/>
          <w:sz w:val="24"/>
          <w:szCs w:val="24"/>
        </w:rPr>
      </w:pPr>
      <w:r>
        <w:rPr>
          <w:rFonts w:ascii="仿宋" w:hAnsi="仿宋" w:eastAsia="仿宋" w:cs="仿宋"/>
          <w:spacing w:val="-4"/>
          <w:sz w:val="24"/>
          <w:szCs w:val="24"/>
        </w:rPr>
        <w:t>总体而言，工程施工对野生动物的影响为短期、局部、可逆影响，施工结束</w:t>
      </w:r>
      <w:r>
        <w:rPr>
          <w:rFonts w:ascii="仿宋" w:hAnsi="仿宋" w:eastAsia="仿宋" w:cs="仿宋"/>
          <w:spacing w:val="-3"/>
          <w:sz w:val="24"/>
          <w:szCs w:val="24"/>
        </w:rPr>
        <w:t>后人为干扰消失，区域生态环境可逐步恢复，野生动物可回迁</w:t>
      </w:r>
      <w:r>
        <w:rPr>
          <w:rFonts w:ascii="仿宋" w:hAnsi="仿宋" w:eastAsia="仿宋" w:cs="仿宋"/>
          <w:spacing w:val="-4"/>
          <w:sz w:val="24"/>
          <w:szCs w:val="24"/>
        </w:rPr>
        <w:t>原有区域，不会造</w:t>
      </w:r>
      <w:r>
        <w:rPr>
          <w:rFonts w:ascii="仿宋" w:hAnsi="仿宋" w:eastAsia="仿宋" w:cs="仿宋"/>
          <w:spacing w:val="-3"/>
          <w:sz w:val="24"/>
          <w:szCs w:val="24"/>
        </w:rPr>
        <w:t>成区域野生动物种群数量下降、物种多样性降低及种群结构改</w:t>
      </w:r>
      <w:r>
        <w:rPr>
          <w:rFonts w:ascii="仿宋" w:hAnsi="仿宋" w:eastAsia="仿宋" w:cs="仿宋"/>
          <w:spacing w:val="-4"/>
          <w:sz w:val="24"/>
          <w:szCs w:val="24"/>
        </w:rPr>
        <w:t>变，对区域动物生</w:t>
      </w:r>
      <w:r>
        <w:rPr>
          <w:rFonts w:ascii="仿宋" w:hAnsi="仿宋" w:eastAsia="仿宋" w:cs="仿宋"/>
          <w:spacing w:val="-2"/>
          <w:sz w:val="24"/>
          <w:szCs w:val="24"/>
        </w:rPr>
        <w:t>态系统无长期不利影响。</w:t>
      </w:r>
    </w:p>
    <w:p w14:paraId="23D8F0B0">
      <w:pPr>
        <w:spacing w:before="159" w:line="230" w:lineRule="auto"/>
        <w:ind w:left="22"/>
        <w:rPr>
          <w:rFonts w:ascii="仿宋" w:hAnsi="仿宋" w:eastAsia="仿宋" w:cs="仿宋"/>
          <w:sz w:val="26"/>
          <w:szCs w:val="26"/>
        </w:rPr>
      </w:pPr>
      <w:r>
        <w:rPr>
          <w:rFonts w:ascii="仿宋" w:hAnsi="仿宋" w:eastAsia="仿宋" w:cs="仿宋"/>
          <w:b/>
          <w:bCs/>
          <w:spacing w:val="5"/>
          <w:sz w:val="26"/>
          <w:szCs w:val="26"/>
        </w:rPr>
        <w:t>4.1.3</w:t>
      </w:r>
      <w:r>
        <w:rPr>
          <w:rFonts w:ascii="仿宋" w:hAnsi="仿宋" w:eastAsia="仿宋" w:cs="仿宋"/>
          <w:spacing w:val="5"/>
          <w:sz w:val="26"/>
          <w:szCs w:val="26"/>
        </w:rPr>
        <w:t xml:space="preserve"> </w:t>
      </w:r>
      <w:r>
        <w:rPr>
          <w:rFonts w:ascii="仿宋" w:hAnsi="仿宋" w:eastAsia="仿宋" w:cs="仿宋"/>
          <w:b/>
          <w:bCs/>
          <w:spacing w:val="5"/>
          <w:sz w:val="26"/>
          <w:szCs w:val="26"/>
        </w:rPr>
        <w:t>对水土流失的影响</w:t>
      </w:r>
    </w:p>
    <w:p w14:paraId="69133CA0">
      <w:pPr>
        <w:pStyle w:val="2"/>
        <w:spacing w:line="257" w:lineRule="auto"/>
        <w:rPr>
          <w:sz w:val="21"/>
        </w:rPr>
      </w:pPr>
    </w:p>
    <w:p w14:paraId="5D32BB15">
      <w:pPr>
        <w:spacing w:before="78" w:line="360" w:lineRule="auto"/>
        <w:ind w:left="30" w:right="83" w:firstLine="480"/>
        <w:jc w:val="both"/>
        <w:rPr>
          <w:rFonts w:ascii="仿宋" w:hAnsi="仿宋" w:eastAsia="仿宋" w:cs="仿宋"/>
          <w:sz w:val="24"/>
          <w:szCs w:val="24"/>
        </w:rPr>
      </w:pPr>
      <w:r>
        <w:rPr>
          <w:rFonts w:ascii="仿宋" w:hAnsi="仿宋" w:eastAsia="仿宋" w:cs="仿宋"/>
          <w:spacing w:val="-3"/>
          <w:sz w:val="24"/>
          <w:szCs w:val="24"/>
        </w:rPr>
        <w:t>本项目水土流失影响主要集中于施工期，运营</w:t>
      </w:r>
      <w:r>
        <w:rPr>
          <w:rFonts w:ascii="仿宋" w:hAnsi="仿宋" w:eastAsia="仿宋" w:cs="仿宋"/>
          <w:spacing w:val="-4"/>
          <w:sz w:val="24"/>
          <w:szCs w:val="24"/>
        </w:rPr>
        <w:t>期随着道路硬化、路基边坡绿</w:t>
      </w:r>
      <w:r>
        <w:rPr>
          <w:rFonts w:ascii="仿宋" w:hAnsi="仿宋" w:eastAsia="仿宋" w:cs="仿宋"/>
          <w:spacing w:val="-3"/>
          <w:sz w:val="24"/>
          <w:szCs w:val="24"/>
        </w:rPr>
        <w:t>化防护等生态配套工程全面建成落地，水土流失风险将大幅降低</w:t>
      </w:r>
      <w:r>
        <w:rPr>
          <w:rFonts w:ascii="仿宋" w:hAnsi="仿宋" w:eastAsia="仿宋" w:cs="仿宋"/>
          <w:spacing w:val="-4"/>
          <w:sz w:val="24"/>
          <w:szCs w:val="24"/>
        </w:rPr>
        <w:t>，整体影响可忽</w:t>
      </w:r>
      <w:r>
        <w:rPr>
          <w:rFonts w:ascii="仿宋" w:hAnsi="仿宋" w:eastAsia="仿宋" w:cs="仿宋"/>
          <w:spacing w:val="-5"/>
          <w:sz w:val="24"/>
          <w:szCs w:val="24"/>
        </w:rPr>
        <w:t>略不计。</w:t>
      </w:r>
    </w:p>
    <w:p w14:paraId="3324B326">
      <w:pPr>
        <w:spacing w:line="360" w:lineRule="auto"/>
        <w:ind w:left="29" w:right="44" w:firstLine="480"/>
        <w:jc w:val="both"/>
        <w:rPr>
          <w:rFonts w:ascii="仿宋" w:hAnsi="仿宋" w:eastAsia="仿宋" w:cs="仿宋"/>
          <w:sz w:val="24"/>
          <w:szCs w:val="24"/>
        </w:rPr>
      </w:pPr>
      <w:r>
        <w:rPr>
          <w:rFonts w:ascii="仿宋" w:hAnsi="仿宋" w:eastAsia="仿宋" w:cs="仿宋"/>
          <w:spacing w:val="-3"/>
          <w:sz w:val="24"/>
          <w:szCs w:val="24"/>
        </w:rPr>
        <w:t>施工期路基开挖、填筑、场地平整等工程作业，会</w:t>
      </w:r>
      <w:r>
        <w:rPr>
          <w:rFonts w:ascii="仿宋" w:hAnsi="仿宋" w:eastAsia="仿宋" w:cs="仿宋"/>
          <w:spacing w:val="-4"/>
          <w:sz w:val="24"/>
          <w:szCs w:val="24"/>
        </w:rPr>
        <w:t>改变原有地形地貌，扰动</w:t>
      </w:r>
      <w:r>
        <w:rPr>
          <w:rFonts w:ascii="仿宋" w:hAnsi="仿宋" w:eastAsia="仿宋" w:cs="仿宋"/>
          <w:spacing w:val="-3"/>
          <w:sz w:val="24"/>
          <w:szCs w:val="24"/>
        </w:rPr>
        <w:t>地表土层结构，破坏原生地表植被覆盖，使大面积地表、路基边坡处</w:t>
      </w:r>
      <w:r>
        <w:rPr>
          <w:rFonts w:ascii="仿宋" w:hAnsi="仿宋" w:eastAsia="仿宋" w:cs="仿宋"/>
          <w:spacing w:val="-4"/>
          <w:sz w:val="24"/>
          <w:szCs w:val="24"/>
        </w:rPr>
        <w:t>于裸露无防</w:t>
      </w:r>
      <w:r>
        <w:rPr>
          <w:rFonts w:ascii="仿宋" w:hAnsi="仿宋" w:eastAsia="仿宋" w:cs="仿宋"/>
          <w:spacing w:val="-3"/>
          <w:sz w:val="24"/>
          <w:szCs w:val="24"/>
        </w:rPr>
        <w:t>护状态，土壤抗冲刷、抗侵蚀能力大幅下降。雨季降雨直接冲刷裸露</w:t>
      </w:r>
      <w:r>
        <w:rPr>
          <w:rFonts w:ascii="仿宋" w:hAnsi="仿宋" w:eastAsia="仿宋" w:cs="仿宋"/>
          <w:spacing w:val="-4"/>
          <w:sz w:val="24"/>
          <w:szCs w:val="24"/>
        </w:rPr>
        <w:t>坡面与扰动</w:t>
      </w:r>
      <w:r>
        <w:rPr>
          <w:rFonts w:ascii="仿宋" w:hAnsi="仿宋" w:eastAsia="仿宋" w:cs="仿宋"/>
          <w:spacing w:val="-3"/>
          <w:sz w:val="24"/>
          <w:szCs w:val="24"/>
        </w:rPr>
        <w:t>地表，极易引发坡面冲刷、细沟侵蚀等水土流失现象，不仅会造成表</w:t>
      </w:r>
      <w:r>
        <w:rPr>
          <w:rFonts w:ascii="仿宋" w:hAnsi="仿宋" w:eastAsia="仿宋" w:cs="仿宋"/>
          <w:spacing w:val="-4"/>
          <w:sz w:val="24"/>
          <w:szCs w:val="24"/>
        </w:rPr>
        <w:t>层肥沃土壤</w:t>
      </w:r>
      <w:r>
        <w:rPr>
          <w:rFonts w:ascii="仿宋" w:hAnsi="仿宋" w:eastAsia="仿宋" w:cs="仿宋"/>
          <w:spacing w:val="-2"/>
          <w:sz w:val="24"/>
          <w:szCs w:val="24"/>
        </w:rPr>
        <w:t>流失、土地生产力下降，还会导致区域地表生态退化、植被覆盖度暂时性降低，加剧区域水土流失风险。</w:t>
      </w:r>
    </w:p>
    <w:p w14:paraId="57EDFD37">
      <w:pPr>
        <w:spacing w:before="2" w:line="220" w:lineRule="auto"/>
        <w:ind w:left="518"/>
        <w:rPr>
          <w:rFonts w:ascii="仿宋" w:hAnsi="仿宋" w:eastAsia="仿宋" w:cs="仿宋"/>
          <w:sz w:val="24"/>
          <w:szCs w:val="24"/>
        </w:rPr>
      </w:pPr>
      <w:r>
        <w:rPr>
          <w:rFonts w:ascii="仿宋" w:hAnsi="仿宋" w:eastAsia="仿宋" w:cs="仿宋"/>
          <w:spacing w:val="-3"/>
          <w:sz w:val="24"/>
          <w:szCs w:val="24"/>
        </w:rPr>
        <w:t>为有效防控施工期水土流失问题，项目制定了完善的水土保持防</w:t>
      </w:r>
      <w:r>
        <w:rPr>
          <w:rFonts w:ascii="仿宋" w:hAnsi="仿宋" w:eastAsia="仿宋" w:cs="仿宋"/>
          <w:spacing w:val="-4"/>
          <w:sz w:val="24"/>
          <w:szCs w:val="24"/>
        </w:rPr>
        <w:t>控措施：施</w:t>
      </w:r>
    </w:p>
    <w:p w14:paraId="76B64855">
      <w:pPr>
        <w:spacing w:line="220" w:lineRule="auto"/>
        <w:rPr>
          <w:rFonts w:ascii="仿宋" w:hAnsi="仿宋" w:eastAsia="仿宋" w:cs="仿宋"/>
          <w:sz w:val="24"/>
          <w:szCs w:val="24"/>
        </w:rPr>
        <w:sectPr>
          <w:footerReference r:id="rId263" w:type="default"/>
          <w:pgSz w:w="11906" w:h="16839"/>
          <w:pgMar w:top="400" w:right="1716" w:bottom="1370" w:left="1785" w:header="0" w:footer="1207" w:gutter="0"/>
          <w:cols w:space="720" w:num="1"/>
        </w:sectPr>
      </w:pPr>
    </w:p>
    <w:p w14:paraId="1A3BAB0C">
      <w:pPr>
        <w:pStyle w:val="2"/>
        <w:spacing w:line="267" w:lineRule="auto"/>
        <w:rPr>
          <w:sz w:val="21"/>
        </w:rPr>
      </w:pPr>
    </w:p>
    <w:p w14:paraId="1BC69746">
      <w:pPr>
        <w:pStyle w:val="2"/>
        <w:spacing w:line="267" w:lineRule="auto"/>
        <w:rPr>
          <w:sz w:val="21"/>
        </w:rPr>
      </w:pPr>
    </w:p>
    <w:p w14:paraId="0DE14301">
      <w:pPr>
        <w:pStyle w:val="2"/>
        <w:spacing w:line="267" w:lineRule="auto"/>
        <w:rPr>
          <w:sz w:val="21"/>
        </w:rPr>
      </w:pPr>
    </w:p>
    <w:p w14:paraId="4A3158C9">
      <w:pPr>
        <w:pStyle w:val="2"/>
        <w:spacing w:line="268" w:lineRule="auto"/>
        <w:rPr>
          <w:sz w:val="21"/>
        </w:rPr>
      </w:pPr>
    </w:p>
    <w:p w14:paraId="29ABD89C">
      <w:pPr>
        <w:spacing w:before="78" w:line="360" w:lineRule="auto"/>
        <w:ind w:left="29" w:right="135" w:firstLine="5"/>
        <w:jc w:val="both"/>
        <w:rPr>
          <w:rFonts w:ascii="仿宋" w:hAnsi="仿宋" w:eastAsia="仿宋" w:cs="仿宋"/>
          <w:sz w:val="24"/>
          <w:szCs w:val="24"/>
        </w:rPr>
      </w:pPr>
      <w:r>
        <w:rPr>
          <w:rFonts w:ascii="仿宋" w:hAnsi="仿宋" w:eastAsia="仿宋" w:cs="仿宋"/>
          <w:spacing w:val="-3"/>
          <w:sz w:val="24"/>
          <w:szCs w:val="24"/>
        </w:rPr>
        <w:t>工开挖产生的表层种植土统一沿路基单侧集中临时堆</w:t>
      </w:r>
      <w:r>
        <w:rPr>
          <w:rFonts w:ascii="仿宋" w:hAnsi="仿宋" w:eastAsia="仿宋" w:cs="仿宋"/>
          <w:spacing w:val="-4"/>
          <w:sz w:val="24"/>
          <w:szCs w:val="24"/>
        </w:rPr>
        <w:t>放在占地范围内一侧，堆土</w:t>
      </w:r>
      <w:r>
        <w:rPr>
          <w:rFonts w:ascii="仿宋" w:hAnsi="仿宋" w:eastAsia="仿宋" w:cs="仿宋"/>
          <w:spacing w:val="-3"/>
          <w:sz w:val="24"/>
          <w:szCs w:val="24"/>
        </w:rPr>
        <w:t>及时压实、全覆盖防护，避免松散土体裸露流失；各路段施工完成</w:t>
      </w:r>
      <w:r>
        <w:rPr>
          <w:rFonts w:ascii="仿宋" w:hAnsi="仿宋" w:eastAsia="仿宋" w:cs="仿宋"/>
          <w:spacing w:val="-4"/>
          <w:sz w:val="24"/>
          <w:szCs w:val="24"/>
        </w:rPr>
        <w:t>后，就近利用</w:t>
      </w:r>
      <w:r>
        <w:rPr>
          <w:rFonts w:ascii="仿宋" w:hAnsi="仿宋" w:eastAsia="仿宋" w:cs="仿宋"/>
          <w:spacing w:val="-3"/>
          <w:sz w:val="24"/>
          <w:szCs w:val="24"/>
        </w:rPr>
        <w:t>临时堆存表土开展路肩、边坡植被恢复工作，不单独设置专用临时</w:t>
      </w:r>
      <w:r>
        <w:rPr>
          <w:rFonts w:ascii="仿宋" w:hAnsi="仿宋" w:eastAsia="仿宋" w:cs="仿宋"/>
          <w:spacing w:val="-4"/>
          <w:sz w:val="24"/>
          <w:szCs w:val="24"/>
        </w:rPr>
        <w:t>表土堆场，减</w:t>
      </w:r>
      <w:r>
        <w:rPr>
          <w:rFonts w:ascii="仿宋" w:hAnsi="仿宋" w:eastAsia="仿宋" w:cs="仿宋"/>
          <w:spacing w:val="-2"/>
          <w:sz w:val="24"/>
          <w:szCs w:val="24"/>
        </w:rPr>
        <w:t>少地表二次扰动。同时，要求施工单位同步开展路基边坡生态修复、临时排水、</w:t>
      </w:r>
      <w:r>
        <w:rPr>
          <w:rFonts w:ascii="仿宋" w:hAnsi="仿宋" w:eastAsia="仿宋" w:cs="仿宋"/>
          <w:spacing w:val="-1"/>
          <w:sz w:val="24"/>
          <w:szCs w:val="24"/>
        </w:rPr>
        <w:t>边坡防护等水土保持工程，实现施工扰动与生态治理同步推进。</w:t>
      </w:r>
    </w:p>
    <w:p w14:paraId="0B4272A7">
      <w:pPr>
        <w:spacing w:line="360" w:lineRule="auto"/>
        <w:ind w:left="30" w:firstLine="483"/>
        <w:jc w:val="both"/>
        <w:rPr>
          <w:rFonts w:ascii="仿宋" w:hAnsi="仿宋" w:eastAsia="仿宋" w:cs="仿宋"/>
          <w:sz w:val="24"/>
          <w:szCs w:val="24"/>
        </w:rPr>
      </w:pPr>
      <w:r>
        <w:rPr>
          <w:rFonts w:ascii="仿宋" w:hAnsi="仿宋" w:eastAsia="仿宋" w:cs="仿宋"/>
          <w:spacing w:val="-4"/>
          <w:sz w:val="24"/>
          <w:szCs w:val="24"/>
        </w:rPr>
        <w:t>通过落实上述全过程水土保持防控及生态修复措施，可最大限度削减施工期</w:t>
      </w:r>
      <w:r>
        <w:rPr>
          <w:rFonts w:ascii="仿宋" w:hAnsi="仿宋" w:eastAsia="仿宋" w:cs="仿宋"/>
          <w:spacing w:val="-5"/>
          <w:sz w:val="24"/>
          <w:szCs w:val="24"/>
        </w:rPr>
        <w:t>地表扰动引发的水土流失量，有效缓解工程建设对区域水土生态环境的不利影响，</w:t>
      </w:r>
      <w:r>
        <w:rPr>
          <w:rFonts w:ascii="仿宋" w:hAnsi="仿宋" w:eastAsia="仿宋" w:cs="仿宋"/>
          <w:spacing w:val="-1"/>
          <w:sz w:val="24"/>
          <w:szCs w:val="24"/>
        </w:rPr>
        <w:t>确保施工期水土流失风险处于可控范围内。</w:t>
      </w:r>
    </w:p>
    <w:p w14:paraId="5456B8BF">
      <w:pPr>
        <w:spacing w:before="139" w:line="228" w:lineRule="auto"/>
        <w:ind w:left="23"/>
        <w:outlineLvl w:val="1"/>
        <w:rPr>
          <w:rFonts w:ascii="仿宋" w:hAnsi="仿宋" w:eastAsia="仿宋" w:cs="仿宋"/>
          <w:sz w:val="31"/>
          <w:szCs w:val="31"/>
        </w:rPr>
      </w:pPr>
      <w:bookmarkStart w:id="74" w:name="bookmark83"/>
      <w:bookmarkEnd w:id="74"/>
      <w:r>
        <w:rPr>
          <w:rFonts w:ascii="仿宋" w:hAnsi="仿宋" w:eastAsia="仿宋" w:cs="仿宋"/>
          <w:b/>
          <w:bCs/>
          <w:spacing w:val="3"/>
          <w:sz w:val="31"/>
          <w:szCs w:val="31"/>
        </w:rPr>
        <w:t>4.2</w:t>
      </w:r>
      <w:r>
        <w:rPr>
          <w:rFonts w:ascii="仿宋" w:hAnsi="仿宋" w:eastAsia="仿宋" w:cs="仿宋"/>
          <w:spacing w:val="-43"/>
          <w:sz w:val="31"/>
          <w:szCs w:val="31"/>
        </w:rPr>
        <w:t xml:space="preserve"> </w:t>
      </w:r>
      <w:r>
        <w:rPr>
          <w:rFonts w:ascii="仿宋" w:hAnsi="仿宋" w:eastAsia="仿宋" w:cs="仿宋"/>
          <w:b/>
          <w:bCs/>
          <w:spacing w:val="3"/>
          <w:sz w:val="31"/>
          <w:szCs w:val="31"/>
        </w:rPr>
        <w:t>运营期生态影响评价</w:t>
      </w:r>
    </w:p>
    <w:p w14:paraId="61409C0A">
      <w:pPr>
        <w:spacing w:before="302" w:line="222" w:lineRule="auto"/>
        <w:ind w:left="514"/>
        <w:rPr>
          <w:rFonts w:ascii="仿宋" w:hAnsi="仿宋" w:eastAsia="仿宋" w:cs="仿宋"/>
          <w:sz w:val="24"/>
          <w:szCs w:val="24"/>
        </w:rPr>
      </w:pPr>
      <w:r>
        <w:rPr>
          <w:rFonts w:ascii="仿宋" w:hAnsi="仿宋" w:eastAsia="仿宋" w:cs="仿宋"/>
          <w:spacing w:val="-2"/>
          <w:sz w:val="24"/>
          <w:szCs w:val="24"/>
        </w:rPr>
        <w:t>（1）对沿线植被的影响</w:t>
      </w:r>
    </w:p>
    <w:p w14:paraId="0865B685">
      <w:pPr>
        <w:spacing w:before="178" w:line="360" w:lineRule="auto"/>
        <w:ind w:left="29" w:right="146" w:firstLine="485"/>
        <w:rPr>
          <w:rFonts w:ascii="仿宋" w:hAnsi="仿宋" w:eastAsia="仿宋" w:cs="仿宋"/>
          <w:sz w:val="24"/>
          <w:szCs w:val="24"/>
        </w:rPr>
      </w:pPr>
      <w:r>
        <w:rPr>
          <w:rFonts w:ascii="仿宋" w:hAnsi="仿宋" w:eastAsia="仿宋" w:cs="仿宋"/>
          <w:spacing w:val="-4"/>
          <w:sz w:val="24"/>
          <w:szCs w:val="24"/>
        </w:rPr>
        <w:t>公路构造物永久占地，永久性减少了林地、草地等的面积，改变了路域地表</w:t>
      </w:r>
      <w:r>
        <w:rPr>
          <w:rFonts w:ascii="仿宋" w:hAnsi="仿宋" w:eastAsia="仿宋" w:cs="仿宋"/>
          <w:spacing w:val="-3"/>
          <w:sz w:val="24"/>
          <w:szCs w:val="24"/>
        </w:rPr>
        <w:t>植被和地貌。项目永久占地面积为</w:t>
      </w:r>
      <w:r>
        <w:rPr>
          <w:rFonts w:ascii="仿宋" w:hAnsi="仿宋" w:eastAsia="仿宋" w:cs="仿宋"/>
          <w:spacing w:val="-34"/>
          <w:sz w:val="24"/>
          <w:szCs w:val="24"/>
        </w:rPr>
        <w:t xml:space="preserve"> </w:t>
      </w:r>
      <w:r>
        <w:rPr>
          <w:rFonts w:ascii="仿宋" w:hAnsi="仿宋" w:eastAsia="仿宋" w:cs="仿宋"/>
          <w:spacing w:val="-3"/>
          <w:sz w:val="24"/>
          <w:szCs w:val="24"/>
        </w:rPr>
        <w:t>13.58</w:t>
      </w:r>
      <w:r>
        <w:rPr>
          <w:rFonts w:ascii="仿宋" w:hAnsi="仿宋" w:eastAsia="仿宋" w:cs="仿宋"/>
          <w:spacing w:val="-4"/>
          <w:sz w:val="24"/>
          <w:szCs w:val="24"/>
        </w:rPr>
        <w:t>hm</w:t>
      </w:r>
      <w:r>
        <w:rPr>
          <w:rFonts w:ascii="仿宋" w:hAnsi="仿宋" w:eastAsia="仿宋" w:cs="仿宋"/>
          <w:spacing w:val="-4"/>
          <w:position w:val="12"/>
          <w:sz w:val="12"/>
          <w:szCs w:val="12"/>
        </w:rPr>
        <w:t>2</w:t>
      </w:r>
      <w:r>
        <w:rPr>
          <w:rFonts w:ascii="仿宋" w:hAnsi="仿宋" w:eastAsia="仿宋" w:cs="仿宋"/>
          <w:spacing w:val="-4"/>
          <w:sz w:val="24"/>
          <w:szCs w:val="24"/>
        </w:rPr>
        <w:t>，工程永久占地改变了评价区域土地</w:t>
      </w:r>
      <w:r>
        <w:rPr>
          <w:rFonts w:ascii="仿宋" w:hAnsi="仿宋" w:eastAsia="仿宋" w:cs="仿宋"/>
          <w:spacing w:val="-3"/>
          <w:sz w:val="24"/>
          <w:szCs w:val="24"/>
        </w:rPr>
        <w:t>的利用功能，减少了生态系统的绿地面积，使植被覆盖率降低，进而</w:t>
      </w:r>
      <w:r>
        <w:rPr>
          <w:rFonts w:ascii="仿宋" w:hAnsi="仿宋" w:eastAsia="仿宋" w:cs="仿宋"/>
          <w:spacing w:val="-4"/>
          <w:sz w:val="24"/>
          <w:szCs w:val="24"/>
        </w:rPr>
        <w:t>造成生物群</w:t>
      </w:r>
      <w:r>
        <w:rPr>
          <w:rFonts w:ascii="仿宋" w:hAnsi="仿宋" w:eastAsia="仿宋" w:cs="仿宋"/>
          <w:spacing w:val="-3"/>
          <w:sz w:val="24"/>
          <w:szCs w:val="24"/>
        </w:rPr>
        <w:t>落空间尺度的缩短，致使系统的综合生产能力和生物量下降，生态系</w:t>
      </w:r>
      <w:r>
        <w:rPr>
          <w:rFonts w:ascii="仿宋" w:hAnsi="仿宋" w:eastAsia="仿宋" w:cs="仿宋"/>
          <w:spacing w:val="-4"/>
          <w:sz w:val="24"/>
          <w:szCs w:val="24"/>
        </w:rPr>
        <w:t>统的结构和</w:t>
      </w:r>
      <w:r>
        <w:rPr>
          <w:rFonts w:ascii="仿宋" w:hAnsi="仿宋" w:eastAsia="仿宋" w:cs="仿宋"/>
          <w:spacing w:val="-3"/>
          <w:sz w:val="24"/>
          <w:szCs w:val="24"/>
        </w:rPr>
        <w:t>功能亦会受到一定的损害，但这种不利影响仅限于公路范围，占地范</w:t>
      </w:r>
      <w:r>
        <w:rPr>
          <w:rFonts w:ascii="仿宋" w:hAnsi="仿宋" w:eastAsia="仿宋" w:cs="仿宋"/>
          <w:spacing w:val="-4"/>
          <w:sz w:val="24"/>
          <w:szCs w:val="24"/>
        </w:rPr>
        <w:t>围内植被类</w:t>
      </w:r>
      <w:r>
        <w:rPr>
          <w:rFonts w:ascii="仿宋" w:hAnsi="仿宋" w:eastAsia="仿宋" w:cs="仿宋"/>
          <w:spacing w:val="-3"/>
          <w:sz w:val="24"/>
          <w:szCs w:val="24"/>
        </w:rPr>
        <w:t>型均为当地一般常见种，生长范围广泛，适应性强，不存在因</w:t>
      </w:r>
      <w:r>
        <w:rPr>
          <w:rFonts w:ascii="仿宋" w:hAnsi="仿宋" w:eastAsia="仿宋" w:cs="仿宋"/>
          <w:spacing w:val="-4"/>
          <w:sz w:val="24"/>
          <w:szCs w:val="24"/>
        </w:rPr>
        <w:t>局部植被破坏而导</w:t>
      </w:r>
      <w:r>
        <w:rPr>
          <w:rFonts w:ascii="仿宋" w:hAnsi="仿宋" w:eastAsia="仿宋" w:cs="仿宋"/>
          <w:spacing w:val="-3"/>
          <w:sz w:val="24"/>
          <w:szCs w:val="24"/>
        </w:rPr>
        <w:t>致植物种群灭绝或消失。工程永久占地将导致草地植被的永久损失，</w:t>
      </w:r>
      <w:r>
        <w:rPr>
          <w:rFonts w:ascii="仿宋" w:hAnsi="仿宋" w:eastAsia="仿宋" w:cs="仿宋"/>
          <w:spacing w:val="-4"/>
          <w:sz w:val="24"/>
          <w:szCs w:val="24"/>
        </w:rPr>
        <w:t>但项目占地</w:t>
      </w:r>
      <w:r>
        <w:rPr>
          <w:rFonts w:ascii="仿宋" w:hAnsi="仿宋" w:eastAsia="仿宋" w:cs="仿宋"/>
          <w:spacing w:val="-3"/>
          <w:sz w:val="24"/>
          <w:szCs w:val="24"/>
        </w:rPr>
        <w:t>具有条状带的特点，影响面积相对沿线区域是较小的，对区域生态环</w:t>
      </w:r>
      <w:r>
        <w:rPr>
          <w:rFonts w:ascii="仿宋" w:hAnsi="仿宋" w:eastAsia="仿宋" w:cs="仿宋"/>
          <w:spacing w:val="-4"/>
          <w:sz w:val="24"/>
          <w:szCs w:val="24"/>
        </w:rPr>
        <w:t>境系统的综</w:t>
      </w:r>
      <w:r>
        <w:rPr>
          <w:rFonts w:ascii="仿宋" w:hAnsi="仿宋" w:eastAsia="仿宋" w:cs="仿宋"/>
          <w:spacing w:val="-3"/>
          <w:sz w:val="24"/>
          <w:szCs w:val="24"/>
        </w:rPr>
        <w:t>合生产力不会产生较大的影响。工程建成后，通过自然恢复结合人工</w:t>
      </w:r>
      <w:r>
        <w:rPr>
          <w:rFonts w:ascii="仿宋" w:hAnsi="仿宋" w:eastAsia="仿宋" w:cs="仿宋"/>
          <w:spacing w:val="-4"/>
          <w:sz w:val="24"/>
          <w:szCs w:val="24"/>
        </w:rPr>
        <w:t>撒播草本植</w:t>
      </w:r>
      <w:r>
        <w:rPr>
          <w:rFonts w:ascii="仿宋" w:hAnsi="仿宋" w:eastAsia="仿宋" w:cs="仿宋"/>
          <w:spacing w:val="-3"/>
          <w:sz w:val="24"/>
          <w:szCs w:val="24"/>
        </w:rPr>
        <w:t>物草籽的方式实现路基边坡的植被恢复，对永久占地造成的植被损失</w:t>
      </w:r>
      <w:r>
        <w:rPr>
          <w:rFonts w:ascii="仿宋" w:hAnsi="仿宋" w:eastAsia="仿宋" w:cs="仿宋"/>
          <w:spacing w:val="-4"/>
          <w:sz w:val="24"/>
          <w:szCs w:val="24"/>
        </w:rPr>
        <w:t>进行一定程</w:t>
      </w:r>
      <w:r>
        <w:rPr>
          <w:rFonts w:ascii="仿宋" w:hAnsi="仿宋" w:eastAsia="仿宋" w:cs="仿宋"/>
          <w:spacing w:val="-2"/>
          <w:sz w:val="24"/>
          <w:szCs w:val="24"/>
        </w:rPr>
        <w:t>度的弥补，经过一段时间后，就可形成良好的景观，补偿一部分损失的生物量，</w:t>
      </w:r>
      <w:r>
        <w:rPr>
          <w:rFonts w:ascii="仿宋" w:hAnsi="仿宋" w:eastAsia="仿宋" w:cs="仿宋"/>
          <w:spacing w:val="-3"/>
          <w:sz w:val="24"/>
          <w:szCs w:val="24"/>
        </w:rPr>
        <w:t>同时还可营造小型环境，为一些小型生物提供栖息环境。采取以上措</w:t>
      </w:r>
      <w:r>
        <w:rPr>
          <w:rFonts w:ascii="仿宋" w:hAnsi="仿宋" w:eastAsia="仿宋" w:cs="仿宋"/>
          <w:spacing w:val="-4"/>
          <w:sz w:val="24"/>
          <w:szCs w:val="24"/>
        </w:rPr>
        <w:t>施后，工程</w:t>
      </w:r>
      <w:r>
        <w:rPr>
          <w:rFonts w:ascii="仿宋" w:hAnsi="仿宋" w:eastAsia="仿宋" w:cs="仿宋"/>
          <w:spacing w:val="-2"/>
          <w:sz w:val="24"/>
          <w:szCs w:val="24"/>
        </w:rPr>
        <w:t>运营对植被影响较小。</w:t>
      </w:r>
    </w:p>
    <w:p w14:paraId="6DC0E9BF">
      <w:pPr>
        <w:spacing w:before="1" w:line="221" w:lineRule="auto"/>
        <w:ind w:left="514"/>
        <w:rPr>
          <w:rFonts w:ascii="仿宋" w:hAnsi="仿宋" w:eastAsia="仿宋" w:cs="仿宋"/>
          <w:sz w:val="24"/>
          <w:szCs w:val="24"/>
        </w:rPr>
      </w:pPr>
      <w:r>
        <w:rPr>
          <w:rFonts w:ascii="仿宋" w:hAnsi="仿宋" w:eastAsia="仿宋" w:cs="仿宋"/>
          <w:spacing w:val="-2"/>
          <w:sz w:val="24"/>
          <w:szCs w:val="24"/>
        </w:rPr>
        <w:t>（2）对沿线动物的影响</w:t>
      </w:r>
    </w:p>
    <w:p w14:paraId="024BB099">
      <w:pPr>
        <w:spacing w:before="181" w:line="360" w:lineRule="auto"/>
        <w:ind w:left="52" w:right="185" w:firstLine="458"/>
        <w:rPr>
          <w:rFonts w:ascii="仿宋" w:hAnsi="仿宋" w:eastAsia="仿宋" w:cs="仿宋"/>
          <w:sz w:val="24"/>
          <w:szCs w:val="24"/>
        </w:rPr>
      </w:pPr>
      <w:r>
        <w:rPr>
          <w:rFonts w:ascii="仿宋" w:hAnsi="仿宋" w:eastAsia="仿宋" w:cs="仿宋"/>
          <w:spacing w:val="-3"/>
          <w:sz w:val="24"/>
          <w:szCs w:val="24"/>
        </w:rPr>
        <w:t>本项目不涉及各级保护的野生动物栖息地及野</w:t>
      </w:r>
      <w:r>
        <w:rPr>
          <w:rFonts w:ascii="仿宋" w:hAnsi="仿宋" w:eastAsia="仿宋" w:cs="仿宋"/>
          <w:spacing w:val="-4"/>
          <w:sz w:val="24"/>
          <w:szCs w:val="24"/>
        </w:rPr>
        <w:t>生动物自然保护区，评价范围内野生动物数量很少，典型动物有如蒙古兔、沙鸡、雉鸡等。项目施工、运营期</w:t>
      </w:r>
      <w:r>
        <w:rPr>
          <w:rFonts w:ascii="仿宋" w:hAnsi="仿宋" w:eastAsia="仿宋" w:cs="仿宋"/>
          <w:spacing w:val="-3"/>
          <w:sz w:val="24"/>
          <w:szCs w:val="24"/>
        </w:rPr>
        <w:t>间禁止捕杀、出售、食用等违法行为。</w:t>
      </w:r>
    </w:p>
    <w:p w14:paraId="4E31CA42">
      <w:pPr>
        <w:spacing w:line="350" w:lineRule="auto"/>
        <w:ind w:left="32" w:right="185" w:firstLine="481"/>
        <w:rPr>
          <w:rFonts w:ascii="仿宋" w:hAnsi="仿宋" w:eastAsia="仿宋" w:cs="仿宋"/>
          <w:sz w:val="24"/>
          <w:szCs w:val="24"/>
        </w:rPr>
      </w:pPr>
      <w:r>
        <w:rPr>
          <w:rFonts w:ascii="仿宋" w:hAnsi="仿宋" w:eastAsia="仿宋" w:cs="仿宋"/>
          <w:spacing w:val="-4"/>
          <w:sz w:val="24"/>
          <w:szCs w:val="24"/>
        </w:rPr>
        <w:t>公路作为一种重要的景观要素——廊道，起着隔离和连通的双重作用。对人</w:t>
      </w:r>
      <w:r>
        <w:rPr>
          <w:rFonts w:ascii="仿宋" w:hAnsi="仿宋" w:eastAsia="仿宋" w:cs="仿宋"/>
          <w:spacing w:val="-3"/>
          <w:sz w:val="24"/>
          <w:szCs w:val="24"/>
        </w:rPr>
        <w:t>类来说，道路是连接城市与城市的通道，也是人类互相联系</w:t>
      </w:r>
      <w:r>
        <w:rPr>
          <w:rFonts w:ascii="仿宋" w:hAnsi="仿宋" w:eastAsia="仿宋" w:cs="仿宋"/>
          <w:spacing w:val="-4"/>
          <w:sz w:val="24"/>
          <w:szCs w:val="24"/>
        </w:rPr>
        <w:t>的廊道，但是对动物</w:t>
      </w:r>
    </w:p>
    <w:p w14:paraId="30FDA1F5">
      <w:pPr>
        <w:spacing w:line="350" w:lineRule="auto"/>
        <w:rPr>
          <w:rFonts w:ascii="仿宋" w:hAnsi="仿宋" w:eastAsia="仿宋" w:cs="仿宋"/>
          <w:sz w:val="24"/>
          <w:szCs w:val="24"/>
        </w:rPr>
        <w:sectPr>
          <w:footerReference r:id="rId264" w:type="default"/>
          <w:pgSz w:w="11906" w:h="16839"/>
          <w:pgMar w:top="400" w:right="1614" w:bottom="1370" w:left="1785" w:header="0" w:footer="1207" w:gutter="0"/>
          <w:cols w:space="720" w:num="1"/>
        </w:sectPr>
      </w:pPr>
    </w:p>
    <w:p w14:paraId="5A3F8E53">
      <w:pPr>
        <w:pStyle w:val="2"/>
        <w:spacing w:line="267" w:lineRule="auto"/>
        <w:rPr>
          <w:sz w:val="21"/>
        </w:rPr>
      </w:pPr>
    </w:p>
    <w:p w14:paraId="6EB4E8C1">
      <w:pPr>
        <w:pStyle w:val="2"/>
        <w:spacing w:line="267" w:lineRule="auto"/>
        <w:rPr>
          <w:sz w:val="21"/>
        </w:rPr>
      </w:pPr>
    </w:p>
    <w:p w14:paraId="3961CE56">
      <w:pPr>
        <w:pStyle w:val="2"/>
        <w:spacing w:line="267" w:lineRule="auto"/>
        <w:rPr>
          <w:sz w:val="21"/>
        </w:rPr>
      </w:pPr>
    </w:p>
    <w:p w14:paraId="68A30666">
      <w:pPr>
        <w:pStyle w:val="2"/>
        <w:spacing w:line="267" w:lineRule="auto"/>
        <w:rPr>
          <w:sz w:val="21"/>
        </w:rPr>
      </w:pPr>
    </w:p>
    <w:p w14:paraId="74DF2FED">
      <w:pPr>
        <w:spacing w:before="78" w:line="360" w:lineRule="auto"/>
        <w:ind w:left="31" w:right="152" w:hanging="1"/>
        <w:jc w:val="both"/>
        <w:rPr>
          <w:rFonts w:ascii="仿宋" w:hAnsi="仿宋" w:eastAsia="仿宋" w:cs="仿宋"/>
          <w:sz w:val="24"/>
          <w:szCs w:val="24"/>
        </w:rPr>
      </w:pPr>
      <w:r>
        <w:rPr>
          <w:rFonts w:ascii="仿宋" w:hAnsi="仿宋" w:eastAsia="仿宋" w:cs="仿宋"/>
          <w:spacing w:val="-3"/>
          <w:sz w:val="24"/>
          <w:szCs w:val="24"/>
        </w:rPr>
        <w:t>来说，尤其是地面动物，由于公路是一道屏障，其通道作用不十</w:t>
      </w:r>
      <w:r>
        <w:rPr>
          <w:rFonts w:ascii="仿宋" w:hAnsi="仿宋" w:eastAsia="仿宋" w:cs="仿宋"/>
          <w:spacing w:val="-4"/>
          <w:sz w:val="24"/>
          <w:szCs w:val="24"/>
        </w:rPr>
        <w:t>分明显，它起着</w:t>
      </w:r>
      <w:r>
        <w:rPr>
          <w:rFonts w:ascii="仿宋" w:hAnsi="仿宋" w:eastAsia="仿宋" w:cs="仿宋"/>
          <w:spacing w:val="-2"/>
          <w:sz w:val="24"/>
          <w:szCs w:val="24"/>
        </w:rPr>
        <w:t>分离和阻隔作用。道路的分割，限制了部分陆生动物的活动范围，对动物栖息、</w:t>
      </w:r>
      <w:r>
        <w:rPr>
          <w:rFonts w:ascii="仿宋" w:hAnsi="仿宋" w:eastAsia="仿宋" w:cs="仿宋"/>
          <w:spacing w:val="-3"/>
          <w:sz w:val="24"/>
          <w:szCs w:val="24"/>
        </w:rPr>
        <w:t>觅食等活动产生较大的影响，使区域内的生物变得脆弱，同</w:t>
      </w:r>
      <w:r>
        <w:rPr>
          <w:rFonts w:ascii="仿宋" w:hAnsi="仿宋" w:eastAsia="仿宋" w:cs="仿宋"/>
          <w:spacing w:val="-4"/>
          <w:sz w:val="24"/>
          <w:szCs w:val="24"/>
        </w:rPr>
        <w:t>时公路的开通，使得</w:t>
      </w:r>
      <w:r>
        <w:rPr>
          <w:rFonts w:ascii="仿宋" w:hAnsi="仿宋" w:eastAsia="仿宋" w:cs="仿宋"/>
          <w:spacing w:val="-3"/>
          <w:sz w:val="24"/>
          <w:szCs w:val="24"/>
        </w:rPr>
        <w:t>人类活动范围扩大，沿线区域人流量增多，对自然环境污染</w:t>
      </w:r>
      <w:r>
        <w:rPr>
          <w:rFonts w:ascii="仿宋" w:hAnsi="仿宋" w:eastAsia="仿宋" w:cs="仿宋"/>
          <w:spacing w:val="-4"/>
          <w:sz w:val="24"/>
          <w:szCs w:val="24"/>
        </w:rPr>
        <w:t>与破坏程度加深，影</w:t>
      </w:r>
      <w:r>
        <w:rPr>
          <w:rFonts w:ascii="仿宋" w:hAnsi="仿宋" w:eastAsia="仿宋" w:cs="仿宋"/>
          <w:spacing w:val="-1"/>
          <w:sz w:val="24"/>
          <w:szCs w:val="24"/>
        </w:rPr>
        <w:t>响动物生存环境，不利于生物多样性的保护。</w:t>
      </w:r>
    </w:p>
    <w:p w14:paraId="0A67B6F7">
      <w:pPr>
        <w:spacing w:line="360" w:lineRule="auto"/>
        <w:ind w:left="32" w:right="203" w:firstLine="478"/>
        <w:jc w:val="both"/>
        <w:rPr>
          <w:rFonts w:ascii="仿宋" w:hAnsi="仿宋" w:eastAsia="仿宋" w:cs="仿宋"/>
          <w:sz w:val="24"/>
          <w:szCs w:val="24"/>
        </w:rPr>
      </w:pPr>
      <w:r>
        <w:rPr>
          <w:rFonts w:ascii="仿宋" w:hAnsi="仿宋" w:eastAsia="仿宋" w:cs="仿宋"/>
          <w:spacing w:val="-3"/>
          <w:sz w:val="24"/>
          <w:szCs w:val="24"/>
        </w:rPr>
        <w:t>项目评价范围内野生动物的种类一般为当地常</w:t>
      </w:r>
      <w:r>
        <w:rPr>
          <w:rFonts w:ascii="仿宋" w:hAnsi="仿宋" w:eastAsia="仿宋" w:cs="仿宋"/>
          <w:spacing w:val="-4"/>
          <w:sz w:val="24"/>
          <w:szCs w:val="24"/>
        </w:rPr>
        <w:t>见种，没有珍稀濒危物种。同</w:t>
      </w:r>
      <w:r>
        <w:rPr>
          <w:rFonts w:ascii="仿宋" w:hAnsi="仿宋" w:eastAsia="仿宋" w:cs="仿宋"/>
          <w:spacing w:val="-3"/>
          <w:sz w:val="24"/>
          <w:szCs w:val="24"/>
        </w:rPr>
        <w:t>时评价区内的动物可以通过桥梁和涵洞进行迁移或移动，不</w:t>
      </w:r>
      <w:r>
        <w:rPr>
          <w:rFonts w:ascii="仿宋" w:hAnsi="仿宋" w:eastAsia="仿宋" w:cs="仿宋"/>
          <w:spacing w:val="-4"/>
          <w:sz w:val="24"/>
          <w:szCs w:val="24"/>
        </w:rPr>
        <w:t>会完全、彻底地割裂</w:t>
      </w:r>
      <w:r>
        <w:rPr>
          <w:rFonts w:ascii="仿宋" w:hAnsi="仿宋" w:eastAsia="仿宋" w:cs="仿宋"/>
          <w:spacing w:val="-3"/>
          <w:sz w:val="24"/>
          <w:szCs w:val="24"/>
        </w:rPr>
        <w:t>生境，影响对象主要是爬行类和小型哺乳类野生动物，基本</w:t>
      </w:r>
      <w:r>
        <w:rPr>
          <w:rFonts w:ascii="仿宋" w:hAnsi="仿宋" w:eastAsia="仿宋" w:cs="仿宋"/>
          <w:spacing w:val="-4"/>
          <w:sz w:val="24"/>
          <w:szCs w:val="24"/>
        </w:rPr>
        <w:t>都是常见伴人活动的</w:t>
      </w:r>
      <w:r>
        <w:rPr>
          <w:rFonts w:ascii="仿宋" w:hAnsi="仿宋" w:eastAsia="仿宋" w:cs="仿宋"/>
          <w:spacing w:val="-3"/>
          <w:sz w:val="24"/>
          <w:szCs w:val="24"/>
        </w:rPr>
        <w:t>动物，其应性和抗干扰性较强，且公路两侧地域广阔，同时</w:t>
      </w:r>
      <w:r>
        <w:rPr>
          <w:rFonts w:ascii="仿宋" w:hAnsi="仿宋" w:eastAsia="仿宋" w:cs="仿宋"/>
          <w:spacing w:val="-4"/>
          <w:sz w:val="24"/>
          <w:szCs w:val="24"/>
        </w:rPr>
        <w:t>严格控制人类活动范</w:t>
      </w:r>
      <w:r>
        <w:rPr>
          <w:rFonts w:ascii="仿宋" w:hAnsi="仿宋" w:eastAsia="仿宋" w:cs="仿宋"/>
          <w:spacing w:val="-3"/>
          <w:sz w:val="24"/>
          <w:szCs w:val="24"/>
        </w:rPr>
        <w:t>围，减少对野生动物生活环境干扰，道路修建后这些动物可</w:t>
      </w:r>
      <w:r>
        <w:rPr>
          <w:rFonts w:ascii="仿宋" w:hAnsi="仿宋" w:eastAsia="仿宋" w:cs="仿宋"/>
          <w:spacing w:val="-4"/>
          <w:sz w:val="24"/>
          <w:szCs w:val="24"/>
        </w:rPr>
        <w:t>以就近迁入邻近区域</w:t>
      </w:r>
      <w:r>
        <w:rPr>
          <w:rFonts w:ascii="仿宋" w:hAnsi="仿宋" w:eastAsia="仿宋" w:cs="仿宋"/>
          <w:spacing w:val="-2"/>
          <w:sz w:val="24"/>
          <w:szCs w:val="24"/>
        </w:rPr>
        <w:t>生存，因此对动物影响较小。</w:t>
      </w:r>
    </w:p>
    <w:p w14:paraId="4598824E">
      <w:pPr>
        <w:spacing w:before="5" w:line="359" w:lineRule="auto"/>
        <w:ind w:left="33" w:right="164" w:firstLine="477"/>
        <w:jc w:val="both"/>
        <w:rPr>
          <w:rFonts w:ascii="仿宋" w:hAnsi="仿宋" w:eastAsia="仿宋" w:cs="仿宋"/>
          <w:sz w:val="24"/>
          <w:szCs w:val="24"/>
        </w:rPr>
      </w:pPr>
      <w:r>
        <w:rPr>
          <w:rFonts w:ascii="仿宋" w:hAnsi="仿宋" w:eastAsia="仿宋" w:cs="仿宋"/>
          <w:spacing w:val="-3"/>
          <w:sz w:val="24"/>
          <w:szCs w:val="24"/>
        </w:rPr>
        <w:t>项目建设完成后，车辆鸣笛产生的噪声，强噪</w:t>
      </w:r>
      <w:r>
        <w:rPr>
          <w:rFonts w:ascii="仿宋" w:hAnsi="仿宋" w:eastAsia="仿宋" w:cs="仿宋"/>
          <w:spacing w:val="-4"/>
          <w:sz w:val="24"/>
          <w:szCs w:val="24"/>
        </w:rPr>
        <w:t>声或持续性噪声会对动物产生</w:t>
      </w:r>
      <w:r>
        <w:rPr>
          <w:rFonts w:ascii="仿宋" w:hAnsi="仿宋" w:eastAsia="仿宋" w:cs="仿宋"/>
          <w:spacing w:val="-3"/>
          <w:sz w:val="24"/>
          <w:szCs w:val="24"/>
        </w:rPr>
        <w:t>一定的影响，主要是影响动物的正常栖息和繁殖。另外强</w:t>
      </w:r>
      <w:r>
        <w:rPr>
          <w:rFonts w:ascii="仿宋" w:hAnsi="仿宋" w:eastAsia="仿宋" w:cs="仿宋"/>
          <w:spacing w:val="-4"/>
          <w:sz w:val="24"/>
          <w:szCs w:val="24"/>
        </w:rPr>
        <w:t>噪声会引起动物听觉和</w:t>
      </w:r>
      <w:r>
        <w:rPr>
          <w:rFonts w:ascii="仿宋" w:hAnsi="仿宋" w:eastAsia="仿宋" w:cs="仿宋"/>
          <w:spacing w:val="-2"/>
          <w:sz w:val="24"/>
          <w:szCs w:val="24"/>
        </w:rPr>
        <w:t>非听觉损伤。公路营运过程中产生的噪声多是间歇的并且作用范围</w:t>
      </w:r>
      <w:r>
        <w:rPr>
          <w:rFonts w:ascii="仿宋" w:hAnsi="仿宋" w:eastAsia="仿宋" w:cs="仿宋"/>
          <w:spacing w:val="-3"/>
          <w:sz w:val="24"/>
          <w:szCs w:val="24"/>
        </w:rPr>
        <w:t>有限。因此，</w:t>
      </w:r>
      <w:r>
        <w:rPr>
          <w:rFonts w:ascii="仿宋" w:hAnsi="仿宋" w:eastAsia="仿宋" w:cs="仿宋"/>
          <w:spacing w:val="-2"/>
          <w:sz w:val="24"/>
          <w:szCs w:val="24"/>
        </w:rPr>
        <w:t>营运期噪声对所在地区动物影响较小。</w:t>
      </w:r>
    </w:p>
    <w:p w14:paraId="72C85A23">
      <w:pPr>
        <w:spacing w:before="1" w:line="360" w:lineRule="auto"/>
        <w:ind w:left="29" w:right="203" w:firstLine="484"/>
        <w:jc w:val="both"/>
        <w:rPr>
          <w:rFonts w:ascii="仿宋" w:hAnsi="仿宋" w:eastAsia="仿宋" w:cs="仿宋"/>
          <w:sz w:val="24"/>
          <w:szCs w:val="24"/>
        </w:rPr>
      </w:pPr>
      <w:r>
        <w:rPr>
          <w:rFonts w:ascii="仿宋" w:hAnsi="仿宋" w:eastAsia="仿宋" w:cs="仿宋"/>
          <w:spacing w:val="-4"/>
          <w:sz w:val="24"/>
          <w:szCs w:val="24"/>
        </w:rPr>
        <w:t>汽车尾气中的一氧化碳由呼吸道进入动物体内血液后，会和血液里的血红蛋</w:t>
      </w:r>
      <w:r>
        <w:rPr>
          <w:rFonts w:ascii="仿宋" w:hAnsi="仿宋" w:eastAsia="仿宋" w:cs="仿宋"/>
          <w:spacing w:val="-3"/>
          <w:sz w:val="24"/>
          <w:szCs w:val="24"/>
        </w:rPr>
        <w:t>白（Hb）结合，形成碳氧血红蛋白(COHb)，导致携氧能力下降，使动物体出现反应。长期接触一定浓度一氧化碳可导致心血管发病率和死亡率增加。</w:t>
      </w:r>
      <w:r>
        <w:rPr>
          <w:rFonts w:ascii="仿宋" w:hAnsi="仿宋" w:eastAsia="仿宋" w:cs="仿宋"/>
          <w:spacing w:val="-4"/>
          <w:sz w:val="24"/>
          <w:szCs w:val="24"/>
        </w:rPr>
        <w:t>但是项目所</w:t>
      </w:r>
      <w:r>
        <w:rPr>
          <w:rFonts w:ascii="仿宋" w:hAnsi="仿宋" w:eastAsia="仿宋" w:cs="仿宋"/>
          <w:spacing w:val="-3"/>
          <w:sz w:val="24"/>
          <w:szCs w:val="24"/>
        </w:rPr>
        <w:t>在地地形开阔且多风，污染物在空气中扩散、稀释很快，在短</w:t>
      </w:r>
      <w:r>
        <w:rPr>
          <w:rFonts w:ascii="仿宋" w:hAnsi="仿宋" w:eastAsia="仿宋" w:cs="仿宋"/>
          <w:spacing w:val="-4"/>
          <w:sz w:val="24"/>
          <w:szCs w:val="24"/>
        </w:rPr>
        <w:t>时间内便能得到稀</w:t>
      </w:r>
      <w:r>
        <w:rPr>
          <w:rFonts w:ascii="仿宋" w:hAnsi="仿宋" w:eastAsia="仿宋" w:cs="仿宋"/>
          <w:spacing w:val="-3"/>
          <w:sz w:val="24"/>
          <w:szCs w:val="24"/>
        </w:rPr>
        <w:t>释，使污染物的浓度降低。尾气的影响也只在公路两侧一定的范围内</w:t>
      </w:r>
      <w:r>
        <w:rPr>
          <w:rFonts w:ascii="仿宋" w:hAnsi="仿宋" w:eastAsia="仿宋" w:cs="仿宋"/>
          <w:spacing w:val="-4"/>
          <w:sz w:val="24"/>
          <w:szCs w:val="24"/>
        </w:rPr>
        <w:t>存在，所以</w:t>
      </w:r>
      <w:r>
        <w:rPr>
          <w:rFonts w:ascii="仿宋" w:hAnsi="仿宋" w:eastAsia="仿宋" w:cs="仿宋"/>
          <w:spacing w:val="-2"/>
          <w:sz w:val="24"/>
          <w:szCs w:val="24"/>
        </w:rPr>
        <w:t>对动物的影响较小。</w:t>
      </w:r>
    </w:p>
    <w:p w14:paraId="7667FD4F">
      <w:pPr>
        <w:spacing w:before="2" w:line="359" w:lineRule="auto"/>
        <w:ind w:left="32" w:firstLine="480"/>
        <w:jc w:val="both"/>
        <w:rPr>
          <w:rFonts w:ascii="仿宋" w:hAnsi="仿宋" w:eastAsia="仿宋" w:cs="仿宋"/>
          <w:sz w:val="24"/>
          <w:szCs w:val="24"/>
        </w:rPr>
      </w:pPr>
      <w:r>
        <w:rPr>
          <w:rFonts w:ascii="仿宋" w:hAnsi="仿宋" w:eastAsia="仿宋" w:cs="仿宋"/>
          <w:spacing w:val="-4"/>
          <w:sz w:val="24"/>
          <w:szCs w:val="24"/>
        </w:rPr>
        <w:t>综上所述，工程建设对动物的生存环境的影响较小，不会引起道路沿线区域</w:t>
      </w:r>
      <w:r>
        <w:rPr>
          <w:rFonts w:ascii="仿宋" w:hAnsi="仿宋" w:eastAsia="仿宋" w:cs="仿宋"/>
          <w:sz w:val="24"/>
          <w:szCs w:val="24"/>
        </w:rPr>
        <w:t>动物物种的明显减少，公路建成后动物的种类及其优势种群将与现状基本一致，</w:t>
      </w:r>
      <w:r>
        <w:rPr>
          <w:rFonts w:ascii="仿宋" w:hAnsi="仿宋" w:eastAsia="仿宋" w:cs="仿宋"/>
          <w:spacing w:val="-4"/>
          <w:sz w:val="24"/>
          <w:szCs w:val="24"/>
        </w:rPr>
        <w:t>不会产生大的改变，同时对生物生存环境及其正常生活的影响程度</w:t>
      </w:r>
      <w:r>
        <w:rPr>
          <w:rFonts w:ascii="仿宋" w:hAnsi="仿宋" w:eastAsia="仿宋" w:cs="仿宋"/>
          <w:spacing w:val="-5"/>
          <w:sz w:val="24"/>
          <w:szCs w:val="24"/>
        </w:rPr>
        <w:t>属于一般影响。</w:t>
      </w:r>
    </w:p>
    <w:p w14:paraId="7AB8B3B2">
      <w:pPr>
        <w:spacing w:before="1" w:line="222" w:lineRule="auto"/>
        <w:ind w:left="514"/>
        <w:rPr>
          <w:rFonts w:ascii="仿宋" w:hAnsi="仿宋" w:eastAsia="仿宋" w:cs="仿宋"/>
          <w:sz w:val="24"/>
          <w:szCs w:val="24"/>
        </w:rPr>
      </w:pPr>
      <w:r>
        <w:rPr>
          <w:rFonts w:ascii="仿宋" w:hAnsi="仿宋" w:eastAsia="仿宋" w:cs="仿宋"/>
          <w:spacing w:val="-2"/>
          <w:sz w:val="24"/>
          <w:szCs w:val="24"/>
        </w:rPr>
        <w:t>（3）对沿线景观的影响</w:t>
      </w:r>
    </w:p>
    <w:p w14:paraId="730697E6">
      <w:pPr>
        <w:spacing w:before="181" w:line="360" w:lineRule="auto"/>
        <w:ind w:left="27" w:right="203" w:firstLine="487"/>
        <w:rPr>
          <w:rFonts w:ascii="仿宋" w:hAnsi="仿宋" w:eastAsia="仿宋" w:cs="仿宋"/>
          <w:sz w:val="24"/>
          <w:szCs w:val="24"/>
        </w:rPr>
      </w:pPr>
      <w:r>
        <w:rPr>
          <w:rFonts w:ascii="仿宋" w:hAnsi="仿宋" w:eastAsia="仿宋" w:cs="仿宋"/>
          <w:spacing w:val="-4"/>
          <w:sz w:val="24"/>
          <w:szCs w:val="24"/>
        </w:rPr>
        <w:t>公路建成后，破坏新增永久占地的植被，形成农村道路用地类型。本项目原</w:t>
      </w:r>
      <w:r>
        <w:rPr>
          <w:rFonts w:ascii="仿宋" w:hAnsi="仿宋" w:eastAsia="仿宋" w:cs="仿宋"/>
          <w:spacing w:val="-3"/>
          <w:sz w:val="24"/>
          <w:szCs w:val="24"/>
        </w:rPr>
        <w:t>有景观格局已形成，项目营运后，评价区域内野生动物对周边环境逐渐适</w:t>
      </w:r>
      <w:r>
        <w:rPr>
          <w:rFonts w:ascii="仿宋" w:hAnsi="仿宋" w:eastAsia="仿宋" w:cs="仿宋"/>
          <w:spacing w:val="-4"/>
          <w:sz w:val="24"/>
          <w:szCs w:val="24"/>
        </w:rPr>
        <w:t>应，对</w:t>
      </w:r>
      <w:r>
        <w:rPr>
          <w:rFonts w:ascii="仿宋" w:hAnsi="仿宋" w:eastAsia="仿宋" w:cs="仿宋"/>
          <w:spacing w:val="-3"/>
          <w:sz w:val="24"/>
          <w:szCs w:val="24"/>
        </w:rPr>
        <w:t>沿线区域野生动物基本不产生阻隔影响，项目建设对整体景观格局影响较</w:t>
      </w:r>
      <w:r>
        <w:rPr>
          <w:rFonts w:ascii="仿宋" w:hAnsi="仿宋" w:eastAsia="仿宋" w:cs="仿宋"/>
          <w:spacing w:val="-4"/>
          <w:sz w:val="24"/>
          <w:szCs w:val="24"/>
        </w:rPr>
        <w:t>小，不</w:t>
      </w:r>
      <w:r>
        <w:rPr>
          <w:rFonts w:ascii="仿宋" w:hAnsi="仿宋" w:eastAsia="仿宋" w:cs="仿宋"/>
          <w:spacing w:val="-2"/>
          <w:sz w:val="24"/>
          <w:szCs w:val="24"/>
        </w:rPr>
        <w:t>会改变评价区整体自然景观。</w:t>
      </w:r>
    </w:p>
    <w:p w14:paraId="7FC6E89A">
      <w:pPr>
        <w:spacing w:line="360" w:lineRule="auto"/>
        <w:rPr>
          <w:rFonts w:ascii="仿宋" w:hAnsi="仿宋" w:eastAsia="仿宋" w:cs="仿宋"/>
          <w:sz w:val="24"/>
          <w:szCs w:val="24"/>
        </w:rPr>
        <w:sectPr>
          <w:footerReference r:id="rId265" w:type="default"/>
          <w:pgSz w:w="11906" w:h="16839"/>
          <w:pgMar w:top="400" w:right="1596" w:bottom="1370" w:left="1785" w:header="0" w:footer="1207" w:gutter="0"/>
          <w:cols w:space="720" w:num="1"/>
        </w:sectPr>
      </w:pPr>
    </w:p>
    <w:p w14:paraId="6C5CF33C">
      <w:pPr>
        <w:pStyle w:val="2"/>
        <w:spacing w:line="267" w:lineRule="auto"/>
        <w:rPr>
          <w:sz w:val="21"/>
        </w:rPr>
      </w:pPr>
    </w:p>
    <w:p w14:paraId="228B08D6">
      <w:pPr>
        <w:pStyle w:val="2"/>
        <w:spacing w:line="267" w:lineRule="auto"/>
        <w:rPr>
          <w:sz w:val="21"/>
        </w:rPr>
      </w:pPr>
    </w:p>
    <w:p w14:paraId="081BA5A6">
      <w:pPr>
        <w:pStyle w:val="2"/>
        <w:spacing w:line="267" w:lineRule="auto"/>
        <w:rPr>
          <w:sz w:val="21"/>
        </w:rPr>
      </w:pPr>
    </w:p>
    <w:p w14:paraId="53D900F0">
      <w:pPr>
        <w:pStyle w:val="2"/>
        <w:spacing w:line="268" w:lineRule="auto"/>
        <w:rPr>
          <w:sz w:val="21"/>
        </w:rPr>
      </w:pPr>
    </w:p>
    <w:p w14:paraId="765621CF">
      <w:pPr>
        <w:spacing w:before="78" w:line="222" w:lineRule="auto"/>
        <w:ind w:left="514"/>
        <w:rPr>
          <w:rFonts w:ascii="仿宋" w:hAnsi="仿宋" w:eastAsia="仿宋" w:cs="仿宋"/>
          <w:sz w:val="24"/>
          <w:szCs w:val="24"/>
        </w:rPr>
      </w:pPr>
      <w:r>
        <w:rPr>
          <w:rFonts w:ascii="仿宋" w:hAnsi="仿宋" w:eastAsia="仿宋" w:cs="仿宋"/>
          <w:spacing w:val="-3"/>
          <w:sz w:val="24"/>
          <w:szCs w:val="24"/>
        </w:rPr>
        <w:t>（4）土地利用类型</w:t>
      </w:r>
    </w:p>
    <w:p w14:paraId="1BC267E8">
      <w:pPr>
        <w:spacing w:before="163" w:line="363" w:lineRule="auto"/>
        <w:ind w:left="30" w:right="26" w:firstLine="480"/>
        <w:rPr>
          <w:rFonts w:ascii="仿宋" w:hAnsi="仿宋" w:eastAsia="仿宋" w:cs="仿宋"/>
          <w:sz w:val="24"/>
          <w:szCs w:val="24"/>
        </w:rPr>
      </w:pPr>
      <w:r>
        <w:rPr>
          <w:rFonts w:ascii="仿宋" w:hAnsi="仿宋" w:eastAsia="仿宋" w:cs="仿宋"/>
          <w:spacing w:val="-5"/>
          <w:sz w:val="24"/>
          <w:szCs w:val="24"/>
        </w:rPr>
        <w:t>本项目为新建项目，永久占地</w:t>
      </w:r>
      <w:r>
        <w:rPr>
          <w:rFonts w:ascii="仿宋" w:hAnsi="仿宋" w:eastAsia="仿宋" w:cs="仿宋"/>
          <w:spacing w:val="-20"/>
          <w:sz w:val="24"/>
          <w:szCs w:val="24"/>
        </w:rPr>
        <w:t xml:space="preserve"> </w:t>
      </w:r>
      <w:r>
        <w:rPr>
          <w:rFonts w:ascii="仿宋" w:hAnsi="仿宋" w:eastAsia="仿宋" w:cs="仿宋"/>
          <w:spacing w:val="-5"/>
          <w:sz w:val="24"/>
          <w:szCs w:val="24"/>
        </w:rPr>
        <w:t>13.58hm</w:t>
      </w:r>
      <w:r>
        <w:rPr>
          <w:rFonts w:ascii="仿宋" w:hAnsi="仿宋" w:eastAsia="仿宋" w:cs="仿宋"/>
          <w:spacing w:val="-5"/>
          <w:position w:val="11"/>
          <w:sz w:val="12"/>
          <w:szCs w:val="12"/>
        </w:rPr>
        <w:t>2</w:t>
      </w:r>
      <w:r>
        <w:rPr>
          <w:rFonts w:ascii="仿宋" w:hAnsi="仿宋" w:eastAsia="仿宋" w:cs="仿宋"/>
          <w:spacing w:val="-27"/>
          <w:position w:val="11"/>
          <w:sz w:val="12"/>
          <w:szCs w:val="12"/>
        </w:rPr>
        <w:t xml:space="preserve"> </w:t>
      </w:r>
      <w:r>
        <w:rPr>
          <w:rFonts w:ascii="仿宋" w:hAnsi="仿宋" w:eastAsia="仿宋" w:cs="仿宋"/>
          <w:spacing w:val="-5"/>
          <w:sz w:val="24"/>
          <w:szCs w:val="24"/>
        </w:rPr>
        <w:t>，</w:t>
      </w:r>
      <w:r>
        <w:rPr>
          <w:rFonts w:ascii="仿宋" w:hAnsi="仿宋" w:eastAsia="仿宋" w:cs="仿宋"/>
          <w:spacing w:val="-63"/>
          <w:sz w:val="24"/>
          <w:szCs w:val="24"/>
        </w:rPr>
        <w:t xml:space="preserve"> </w:t>
      </w:r>
      <w:r>
        <w:rPr>
          <w:rFonts w:ascii="仿宋" w:hAnsi="仿宋" w:eastAsia="仿宋" w:cs="仿宋"/>
          <w:spacing w:val="-5"/>
          <w:sz w:val="24"/>
          <w:szCs w:val="24"/>
        </w:rPr>
        <w:t>占地类型主要包括草地和林地等。</w:t>
      </w:r>
      <w:r>
        <w:rPr>
          <w:rFonts w:ascii="仿宋" w:hAnsi="仿宋" w:eastAsia="仿宋" w:cs="仿宋"/>
          <w:spacing w:val="-2"/>
          <w:sz w:val="24"/>
          <w:szCs w:val="24"/>
        </w:rPr>
        <w:t>农村道路永久占地将使土地利用格局发生改变，由草地、林地转变为交通用地，</w:t>
      </w:r>
      <w:r>
        <w:rPr>
          <w:rFonts w:ascii="仿宋" w:hAnsi="仿宋" w:eastAsia="仿宋" w:cs="仿宋"/>
          <w:spacing w:val="-3"/>
          <w:sz w:val="24"/>
          <w:szCs w:val="24"/>
        </w:rPr>
        <w:t>本项目评价范围内土地利用类型结构将发生一定的变化，但变化</w:t>
      </w:r>
      <w:r>
        <w:rPr>
          <w:rFonts w:ascii="仿宋" w:hAnsi="仿宋" w:eastAsia="仿宋" w:cs="仿宋"/>
          <w:spacing w:val="-4"/>
          <w:sz w:val="24"/>
          <w:szCs w:val="24"/>
        </w:rPr>
        <w:t>幅度较小，生态</w:t>
      </w:r>
      <w:r>
        <w:rPr>
          <w:rFonts w:ascii="仿宋" w:hAnsi="仿宋" w:eastAsia="仿宋" w:cs="仿宋"/>
          <w:spacing w:val="-3"/>
          <w:sz w:val="24"/>
          <w:szCs w:val="24"/>
        </w:rPr>
        <w:t>影响可接受。</w:t>
      </w:r>
    </w:p>
    <w:p w14:paraId="4154CE59">
      <w:pPr>
        <w:spacing w:before="4" w:line="359" w:lineRule="auto"/>
        <w:ind w:left="29" w:right="44" w:firstLine="484"/>
        <w:jc w:val="both"/>
        <w:rPr>
          <w:rFonts w:ascii="仿宋" w:hAnsi="仿宋" w:eastAsia="仿宋" w:cs="仿宋"/>
          <w:sz w:val="24"/>
          <w:szCs w:val="24"/>
        </w:rPr>
      </w:pPr>
      <w:r>
        <w:rPr>
          <w:rFonts w:ascii="仿宋" w:hAnsi="仿宋" w:eastAsia="仿宋" w:cs="仿宋"/>
          <w:spacing w:val="-4"/>
          <w:sz w:val="24"/>
          <w:szCs w:val="24"/>
        </w:rPr>
        <w:t>公路用地应严格按照有关规定办理建设用地审批手续，应该根据《中华人民</w:t>
      </w:r>
      <w:r>
        <w:rPr>
          <w:rFonts w:ascii="仿宋" w:hAnsi="仿宋" w:eastAsia="仿宋" w:cs="仿宋"/>
          <w:spacing w:val="-3"/>
          <w:sz w:val="24"/>
          <w:szCs w:val="24"/>
        </w:rPr>
        <w:t>共和国森林法》及《内蒙古自治区森林管理条例》的有关规定，对</w:t>
      </w:r>
      <w:r>
        <w:rPr>
          <w:rFonts w:ascii="仿宋" w:hAnsi="仿宋" w:eastAsia="仿宋" w:cs="仿宋"/>
          <w:spacing w:val="-4"/>
          <w:sz w:val="24"/>
          <w:szCs w:val="24"/>
        </w:rPr>
        <w:t>占用草地、林</w:t>
      </w:r>
      <w:r>
        <w:rPr>
          <w:rFonts w:ascii="仿宋" w:hAnsi="仿宋" w:eastAsia="仿宋" w:cs="仿宋"/>
          <w:spacing w:val="-2"/>
          <w:sz w:val="24"/>
          <w:szCs w:val="24"/>
        </w:rPr>
        <w:t>地办理相关手续，并进行相应补偿，由地方林草部门统一进行林地、草地恢</w:t>
      </w:r>
      <w:r>
        <w:rPr>
          <w:rFonts w:ascii="仿宋" w:hAnsi="仿宋" w:eastAsia="仿宋" w:cs="仿宋"/>
          <w:spacing w:val="-3"/>
          <w:sz w:val="24"/>
          <w:szCs w:val="24"/>
        </w:rPr>
        <w:t>复，</w:t>
      </w:r>
      <w:r>
        <w:rPr>
          <w:rFonts w:ascii="仿宋" w:hAnsi="仿宋" w:eastAsia="仿宋" w:cs="仿宋"/>
          <w:spacing w:val="-1"/>
          <w:sz w:val="24"/>
          <w:szCs w:val="24"/>
        </w:rPr>
        <w:t>按照专款专用原则，进行补偿性恢复建设。</w:t>
      </w:r>
    </w:p>
    <w:p w14:paraId="040286A2">
      <w:pPr>
        <w:spacing w:before="4" w:line="359" w:lineRule="auto"/>
        <w:ind w:left="33" w:right="83" w:firstLine="479"/>
        <w:jc w:val="both"/>
        <w:rPr>
          <w:rFonts w:ascii="仿宋" w:hAnsi="仿宋" w:eastAsia="仿宋" w:cs="仿宋"/>
          <w:sz w:val="24"/>
          <w:szCs w:val="24"/>
        </w:rPr>
      </w:pPr>
      <w:r>
        <w:rPr>
          <w:rFonts w:ascii="仿宋" w:hAnsi="仿宋" w:eastAsia="仿宋" w:cs="仿宋"/>
          <w:spacing w:val="-4"/>
          <w:sz w:val="24"/>
          <w:szCs w:val="24"/>
        </w:rPr>
        <w:t>综上所述，公路建设占地对于评价区土地利用格局影响较小，仅对土地利用</w:t>
      </w:r>
      <w:r>
        <w:rPr>
          <w:rFonts w:ascii="仿宋" w:hAnsi="仿宋" w:eastAsia="仿宋" w:cs="仿宋"/>
          <w:spacing w:val="-3"/>
          <w:sz w:val="24"/>
          <w:szCs w:val="24"/>
        </w:rPr>
        <w:t>性质和功能造成一定程度影响，但从整个评价区来看，公</w:t>
      </w:r>
      <w:r>
        <w:rPr>
          <w:rFonts w:ascii="仿宋" w:hAnsi="仿宋" w:eastAsia="仿宋" w:cs="仿宋"/>
          <w:spacing w:val="-4"/>
          <w:sz w:val="24"/>
          <w:szCs w:val="24"/>
        </w:rPr>
        <w:t>路占地对土地利用格局</w:t>
      </w:r>
      <w:r>
        <w:rPr>
          <w:rFonts w:ascii="仿宋" w:hAnsi="仿宋" w:eastAsia="仿宋" w:cs="仿宋"/>
          <w:spacing w:val="-3"/>
          <w:sz w:val="24"/>
          <w:szCs w:val="24"/>
        </w:rPr>
        <w:t>的影响并不显著。</w:t>
      </w:r>
    </w:p>
    <w:p w14:paraId="01995033">
      <w:pPr>
        <w:spacing w:line="223" w:lineRule="auto"/>
        <w:ind w:left="514"/>
        <w:rPr>
          <w:rFonts w:ascii="仿宋" w:hAnsi="仿宋" w:eastAsia="仿宋" w:cs="仿宋"/>
          <w:sz w:val="24"/>
          <w:szCs w:val="24"/>
        </w:rPr>
      </w:pPr>
      <w:r>
        <w:rPr>
          <w:rFonts w:ascii="仿宋" w:hAnsi="仿宋" w:eastAsia="仿宋" w:cs="仿宋"/>
          <w:spacing w:val="-3"/>
          <w:sz w:val="24"/>
          <w:szCs w:val="24"/>
        </w:rPr>
        <w:t>（5）水土流失</w:t>
      </w:r>
    </w:p>
    <w:p w14:paraId="3CF3EB43">
      <w:pPr>
        <w:spacing w:before="178" w:line="360" w:lineRule="auto"/>
        <w:ind w:left="29" w:right="17" w:firstLine="481"/>
        <w:rPr>
          <w:rFonts w:ascii="仿宋" w:hAnsi="仿宋" w:eastAsia="仿宋" w:cs="仿宋"/>
          <w:sz w:val="24"/>
          <w:szCs w:val="24"/>
        </w:rPr>
      </w:pPr>
      <w:r>
        <w:rPr>
          <w:rFonts w:ascii="仿宋" w:hAnsi="仿宋" w:eastAsia="仿宋" w:cs="仿宋"/>
          <w:spacing w:val="-3"/>
          <w:sz w:val="24"/>
          <w:szCs w:val="24"/>
        </w:rPr>
        <w:t>道路营运期，路面全部硬化，不会再产生水土</w:t>
      </w:r>
      <w:r>
        <w:rPr>
          <w:rFonts w:ascii="仿宋" w:hAnsi="仿宋" w:eastAsia="仿宋" w:cs="仿宋"/>
          <w:spacing w:val="-4"/>
          <w:sz w:val="24"/>
          <w:szCs w:val="24"/>
        </w:rPr>
        <w:t>流失。对于采取工程护坡的一</w:t>
      </w:r>
      <w:r>
        <w:rPr>
          <w:rFonts w:ascii="仿宋" w:hAnsi="仿宋" w:eastAsia="仿宋" w:cs="仿宋"/>
          <w:spacing w:val="-3"/>
          <w:sz w:val="24"/>
          <w:szCs w:val="24"/>
        </w:rPr>
        <w:t>些重要坡面单元，由于砌石或砼预制块护坡直接将土壤侵蚀源和侵蚀</w:t>
      </w:r>
      <w:r>
        <w:rPr>
          <w:rFonts w:ascii="仿宋" w:hAnsi="仿宋" w:eastAsia="仿宋" w:cs="仿宋"/>
          <w:spacing w:val="-4"/>
          <w:sz w:val="24"/>
          <w:szCs w:val="24"/>
        </w:rPr>
        <w:t>动力分隔开</w:t>
      </w:r>
      <w:r>
        <w:rPr>
          <w:rFonts w:ascii="仿宋" w:hAnsi="仿宋" w:eastAsia="仿宋" w:cs="仿宋"/>
          <w:spacing w:val="-3"/>
          <w:sz w:val="24"/>
          <w:szCs w:val="24"/>
        </w:rPr>
        <w:t>来，所以正常情况下也不会再产生新的水土流失。而对于采用植物措</w:t>
      </w:r>
      <w:r>
        <w:rPr>
          <w:rFonts w:ascii="仿宋" w:hAnsi="仿宋" w:eastAsia="仿宋" w:cs="仿宋"/>
          <w:spacing w:val="-4"/>
          <w:sz w:val="24"/>
          <w:szCs w:val="24"/>
        </w:rPr>
        <w:t>施进行防护</w:t>
      </w:r>
      <w:r>
        <w:rPr>
          <w:rFonts w:ascii="仿宋" w:hAnsi="仿宋" w:eastAsia="仿宋" w:cs="仿宋"/>
          <w:spacing w:val="-1"/>
          <w:sz w:val="24"/>
          <w:szCs w:val="24"/>
        </w:rPr>
        <w:t>的一些工程单元，在营运初期植物措施尚未完全发挥其水</w:t>
      </w:r>
      <w:r>
        <w:rPr>
          <w:rFonts w:ascii="仿宋" w:hAnsi="仿宋" w:eastAsia="仿宋" w:cs="仿宋"/>
          <w:spacing w:val="-2"/>
          <w:sz w:val="24"/>
          <w:szCs w:val="24"/>
        </w:rPr>
        <w:t>土保持生态效益之前，</w:t>
      </w:r>
      <w:r>
        <w:rPr>
          <w:rFonts w:ascii="仿宋" w:hAnsi="仿宋" w:eastAsia="仿宋" w:cs="仿宋"/>
          <w:spacing w:val="-8"/>
          <w:sz w:val="24"/>
          <w:szCs w:val="24"/>
        </w:rPr>
        <w:t>受降雨和径流冲刷，仍会有轻度的水土流失发生；但随着植物生长，覆盖度增加，</w:t>
      </w:r>
      <w:r>
        <w:rPr>
          <w:rFonts w:ascii="仿宋" w:hAnsi="仿宋" w:eastAsia="仿宋" w:cs="仿宋"/>
          <w:spacing w:val="-1"/>
          <w:sz w:val="24"/>
          <w:szCs w:val="24"/>
        </w:rPr>
        <w:t>水土流失将会逐渐得到控制。本项目对生态环境影响较小。</w:t>
      </w:r>
    </w:p>
    <w:p w14:paraId="19D2611A">
      <w:pPr>
        <w:spacing w:line="360" w:lineRule="auto"/>
        <w:ind w:left="34" w:right="83" w:firstLine="476"/>
        <w:rPr>
          <w:rFonts w:ascii="仿宋" w:hAnsi="仿宋" w:eastAsia="仿宋" w:cs="仿宋"/>
          <w:sz w:val="24"/>
          <w:szCs w:val="24"/>
        </w:rPr>
      </w:pPr>
      <w:r>
        <w:rPr>
          <w:rFonts w:ascii="仿宋" w:hAnsi="仿宋" w:eastAsia="仿宋" w:cs="仿宋"/>
          <w:spacing w:val="-3"/>
          <w:sz w:val="24"/>
          <w:szCs w:val="24"/>
        </w:rPr>
        <w:t>项目所在区域为水土流失重点治理区，如不采</w:t>
      </w:r>
      <w:r>
        <w:rPr>
          <w:rFonts w:ascii="仿宋" w:hAnsi="仿宋" w:eastAsia="仿宋" w:cs="仿宋"/>
          <w:spacing w:val="-4"/>
          <w:sz w:val="24"/>
          <w:szCs w:val="24"/>
        </w:rPr>
        <w:t>取有效的防治措施，可造成以</w:t>
      </w:r>
      <w:r>
        <w:rPr>
          <w:rFonts w:ascii="仿宋" w:hAnsi="仿宋" w:eastAsia="仿宋" w:cs="仿宋"/>
          <w:spacing w:val="-3"/>
          <w:sz w:val="24"/>
          <w:szCs w:val="24"/>
        </w:rPr>
        <w:t>下几方面的危害：</w:t>
      </w:r>
    </w:p>
    <w:p w14:paraId="09FB2E37">
      <w:pPr>
        <w:spacing w:before="1" w:line="221" w:lineRule="auto"/>
        <w:ind w:left="502"/>
        <w:rPr>
          <w:rFonts w:ascii="仿宋" w:hAnsi="仿宋" w:eastAsia="仿宋" w:cs="仿宋"/>
          <w:sz w:val="24"/>
          <w:szCs w:val="24"/>
        </w:rPr>
      </w:pPr>
      <w:r>
        <w:rPr>
          <w:rFonts w:ascii="仿宋" w:hAnsi="仿宋" w:eastAsia="仿宋" w:cs="仿宋"/>
          <w:spacing w:val="-1"/>
          <w:sz w:val="24"/>
          <w:szCs w:val="24"/>
        </w:rPr>
        <w:t>①破坏土地资源、降低土地生产力</w:t>
      </w:r>
    </w:p>
    <w:p w14:paraId="74EAE0AD">
      <w:pPr>
        <w:spacing w:before="180" w:line="360" w:lineRule="auto"/>
        <w:ind w:left="29" w:right="44" w:firstLine="481"/>
        <w:rPr>
          <w:rFonts w:ascii="仿宋" w:hAnsi="仿宋" w:eastAsia="仿宋" w:cs="仿宋"/>
          <w:sz w:val="24"/>
          <w:szCs w:val="24"/>
        </w:rPr>
      </w:pPr>
      <w:r>
        <w:rPr>
          <w:rFonts w:ascii="仿宋" w:hAnsi="仿宋" w:eastAsia="仿宋" w:cs="仿宋"/>
          <w:spacing w:val="-2"/>
          <w:sz w:val="24"/>
          <w:szCs w:val="24"/>
        </w:rPr>
        <w:t>本项目工程扰动地表，破坏地表植被和表层土壤结构，改变</w:t>
      </w:r>
      <w:r>
        <w:rPr>
          <w:rFonts w:ascii="仿宋" w:hAnsi="仿宋" w:eastAsia="仿宋" w:cs="仿宋"/>
          <w:spacing w:val="-3"/>
          <w:sz w:val="24"/>
          <w:szCs w:val="24"/>
        </w:rPr>
        <w:t>了原地貌形状，加速土壤侵蚀，直接导致土地退化，降低土地生产力。工程建设占压</w:t>
      </w:r>
      <w:r>
        <w:rPr>
          <w:rFonts w:ascii="仿宋" w:hAnsi="仿宋" w:eastAsia="仿宋" w:cs="仿宋"/>
          <w:spacing w:val="-4"/>
          <w:sz w:val="24"/>
          <w:szCs w:val="24"/>
        </w:rPr>
        <w:t>草地，损坏</w:t>
      </w:r>
      <w:r>
        <w:rPr>
          <w:rFonts w:ascii="仿宋" w:hAnsi="仿宋" w:eastAsia="仿宋" w:cs="仿宋"/>
          <w:spacing w:val="-1"/>
          <w:sz w:val="24"/>
          <w:szCs w:val="24"/>
        </w:rPr>
        <w:t>植被，施工期内形成没有植被的路基等，林草植被度下降，生态环境退化。</w:t>
      </w:r>
    </w:p>
    <w:p w14:paraId="0474AC7E">
      <w:pPr>
        <w:spacing w:line="221" w:lineRule="auto"/>
        <w:ind w:left="501"/>
        <w:rPr>
          <w:rFonts w:ascii="仿宋" w:hAnsi="仿宋" w:eastAsia="仿宋" w:cs="仿宋"/>
          <w:sz w:val="24"/>
          <w:szCs w:val="24"/>
        </w:rPr>
      </w:pPr>
      <w:r>
        <w:rPr>
          <w:rFonts w:ascii="仿宋" w:hAnsi="仿宋" w:eastAsia="仿宋" w:cs="仿宋"/>
          <w:spacing w:val="-1"/>
          <w:sz w:val="24"/>
          <w:szCs w:val="24"/>
        </w:rPr>
        <w:t>②加速周边土地的退化</w:t>
      </w:r>
    </w:p>
    <w:p w14:paraId="79C8F302">
      <w:pPr>
        <w:spacing w:before="180" w:line="360" w:lineRule="auto"/>
        <w:ind w:left="33" w:firstLine="482"/>
        <w:rPr>
          <w:rFonts w:ascii="仿宋" w:hAnsi="仿宋" w:eastAsia="仿宋" w:cs="仿宋"/>
          <w:sz w:val="24"/>
          <w:szCs w:val="24"/>
        </w:rPr>
      </w:pPr>
      <w:r>
        <w:rPr>
          <w:rFonts w:ascii="仿宋" w:hAnsi="仿宋" w:eastAsia="仿宋" w:cs="仿宋"/>
          <w:spacing w:val="-1"/>
          <w:sz w:val="24"/>
          <w:szCs w:val="24"/>
        </w:rPr>
        <w:t>营运期排水系统的完好性直接影响水土流失控制。若未定期清理排水设</w:t>
      </w:r>
      <w:r>
        <w:rPr>
          <w:rFonts w:ascii="仿宋" w:hAnsi="仿宋" w:eastAsia="仿宋" w:cs="仿宋"/>
          <w:spacing w:val="-2"/>
          <w:sz w:val="24"/>
          <w:szCs w:val="24"/>
        </w:rPr>
        <w:t>施，</w:t>
      </w:r>
      <w:r>
        <w:rPr>
          <w:rFonts w:ascii="仿宋" w:hAnsi="仿宋" w:eastAsia="仿宋" w:cs="仿宋"/>
          <w:spacing w:val="-3"/>
          <w:sz w:val="24"/>
          <w:szCs w:val="24"/>
        </w:rPr>
        <w:t>可能导致泥沙淤积、排水不畅，路面雨水及边坡汇水易冲</w:t>
      </w:r>
      <w:r>
        <w:rPr>
          <w:rFonts w:ascii="仿宋" w:hAnsi="仿宋" w:eastAsia="仿宋" w:cs="仿宋"/>
          <w:spacing w:val="-4"/>
          <w:sz w:val="24"/>
          <w:szCs w:val="24"/>
        </w:rPr>
        <w:t>刷路基及周边土壤，引</w:t>
      </w:r>
      <w:r>
        <w:rPr>
          <w:rFonts w:ascii="仿宋" w:hAnsi="仿宋" w:eastAsia="仿宋" w:cs="仿宋"/>
          <w:spacing w:val="-8"/>
          <w:sz w:val="24"/>
          <w:szCs w:val="24"/>
        </w:rPr>
        <w:t>发水土流失，带走土壤养分，影响周边土地的土壤质量，加速了周边土地的退化。</w:t>
      </w:r>
    </w:p>
    <w:p w14:paraId="33D9E5BB">
      <w:pPr>
        <w:spacing w:line="360" w:lineRule="auto"/>
        <w:rPr>
          <w:rFonts w:ascii="仿宋" w:hAnsi="仿宋" w:eastAsia="仿宋" w:cs="仿宋"/>
          <w:sz w:val="24"/>
          <w:szCs w:val="24"/>
        </w:rPr>
        <w:sectPr>
          <w:footerReference r:id="rId266" w:type="default"/>
          <w:pgSz w:w="11906" w:h="16839"/>
          <w:pgMar w:top="400" w:right="1716" w:bottom="1370" w:left="1785" w:header="0" w:footer="1207" w:gutter="0"/>
          <w:cols w:space="720" w:num="1"/>
        </w:sectPr>
      </w:pPr>
    </w:p>
    <w:p w14:paraId="0744004B">
      <w:pPr>
        <w:pStyle w:val="2"/>
        <w:spacing w:line="267" w:lineRule="auto"/>
        <w:rPr>
          <w:sz w:val="21"/>
        </w:rPr>
      </w:pPr>
    </w:p>
    <w:p w14:paraId="080670C5">
      <w:pPr>
        <w:pStyle w:val="2"/>
        <w:spacing w:line="267" w:lineRule="auto"/>
        <w:rPr>
          <w:sz w:val="21"/>
        </w:rPr>
      </w:pPr>
    </w:p>
    <w:p w14:paraId="740EA4C3">
      <w:pPr>
        <w:pStyle w:val="2"/>
        <w:spacing w:line="267" w:lineRule="auto"/>
        <w:rPr>
          <w:sz w:val="21"/>
        </w:rPr>
      </w:pPr>
    </w:p>
    <w:p w14:paraId="74C696C2">
      <w:pPr>
        <w:pStyle w:val="2"/>
        <w:spacing w:line="267" w:lineRule="auto"/>
        <w:rPr>
          <w:sz w:val="21"/>
        </w:rPr>
      </w:pPr>
    </w:p>
    <w:p w14:paraId="7911ACFE">
      <w:pPr>
        <w:spacing w:before="78" w:line="222" w:lineRule="auto"/>
        <w:ind w:left="501"/>
        <w:rPr>
          <w:rFonts w:ascii="仿宋" w:hAnsi="仿宋" w:eastAsia="仿宋" w:cs="仿宋"/>
          <w:sz w:val="24"/>
          <w:szCs w:val="24"/>
        </w:rPr>
      </w:pPr>
      <w:r>
        <w:rPr>
          <w:rFonts w:ascii="仿宋" w:hAnsi="仿宋" w:eastAsia="仿宋" w:cs="仿宋"/>
          <w:spacing w:val="-1"/>
          <w:sz w:val="24"/>
          <w:szCs w:val="24"/>
        </w:rPr>
        <w:t>③增加公路的维护压力</w:t>
      </w:r>
    </w:p>
    <w:p w14:paraId="7F2D0324">
      <w:pPr>
        <w:spacing w:before="178" w:line="361" w:lineRule="auto"/>
        <w:ind w:left="33" w:right="78" w:firstLine="474"/>
        <w:rPr>
          <w:rFonts w:ascii="仿宋" w:hAnsi="仿宋" w:eastAsia="仿宋" w:cs="仿宋"/>
          <w:sz w:val="24"/>
          <w:szCs w:val="24"/>
        </w:rPr>
      </w:pPr>
      <w:r>
        <w:rPr>
          <w:rFonts w:ascii="仿宋" w:hAnsi="仿宋" w:eastAsia="仿宋" w:cs="仿宋"/>
          <w:spacing w:val="-3"/>
          <w:sz w:val="24"/>
          <w:szCs w:val="24"/>
        </w:rPr>
        <w:t>路基边坡的水蚀、风蚀，将冲刷和吹蚀或埋压</w:t>
      </w:r>
      <w:r>
        <w:rPr>
          <w:rFonts w:ascii="仿宋" w:hAnsi="仿宋" w:eastAsia="仿宋" w:cs="仿宋"/>
          <w:spacing w:val="-4"/>
          <w:sz w:val="24"/>
          <w:szCs w:val="24"/>
        </w:rPr>
        <w:t>路基，增加公路正常的维护压</w:t>
      </w:r>
      <w:r>
        <w:rPr>
          <w:rFonts w:ascii="仿宋" w:hAnsi="仿宋" w:eastAsia="仿宋" w:cs="仿宋"/>
          <w:spacing w:val="-3"/>
          <w:sz w:val="24"/>
          <w:szCs w:val="24"/>
        </w:rPr>
        <w:t>力和维护支出。</w:t>
      </w:r>
    </w:p>
    <w:p w14:paraId="6816007D">
      <w:pPr>
        <w:spacing w:before="326" w:line="226" w:lineRule="auto"/>
        <w:ind w:left="33"/>
        <w:outlineLvl w:val="0"/>
        <w:rPr>
          <w:rFonts w:ascii="仿宋" w:hAnsi="仿宋" w:eastAsia="仿宋" w:cs="仿宋"/>
          <w:sz w:val="35"/>
          <w:szCs w:val="35"/>
        </w:rPr>
      </w:pPr>
      <w:bookmarkStart w:id="75" w:name="bookmark84"/>
      <w:bookmarkEnd w:id="75"/>
      <w:bookmarkStart w:id="76" w:name="bookmark85"/>
      <w:bookmarkEnd w:id="76"/>
      <w:r>
        <w:rPr>
          <w:rFonts w:ascii="仿宋" w:hAnsi="仿宋" w:eastAsia="仿宋" w:cs="仿宋"/>
          <w:b/>
          <w:bCs/>
          <w:spacing w:val="5"/>
          <w:sz w:val="35"/>
          <w:szCs w:val="35"/>
        </w:rPr>
        <w:t>5.生态保护措施及其可行性论证</w:t>
      </w:r>
    </w:p>
    <w:p w14:paraId="54EAED1F">
      <w:pPr>
        <w:spacing w:before="320" w:line="226" w:lineRule="auto"/>
        <w:ind w:left="31"/>
        <w:outlineLvl w:val="1"/>
        <w:rPr>
          <w:rFonts w:ascii="仿宋" w:hAnsi="仿宋" w:eastAsia="仿宋" w:cs="仿宋"/>
          <w:sz w:val="31"/>
          <w:szCs w:val="31"/>
        </w:rPr>
      </w:pPr>
      <w:r>
        <w:rPr>
          <w:rFonts w:ascii="仿宋" w:hAnsi="仿宋" w:eastAsia="仿宋" w:cs="仿宋"/>
          <w:b/>
          <w:bCs/>
          <w:spacing w:val="4"/>
          <w:sz w:val="31"/>
          <w:szCs w:val="31"/>
        </w:rPr>
        <w:t>5.1</w:t>
      </w:r>
      <w:r>
        <w:rPr>
          <w:rFonts w:ascii="仿宋" w:hAnsi="仿宋" w:eastAsia="仿宋" w:cs="仿宋"/>
          <w:spacing w:val="-43"/>
          <w:sz w:val="31"/>
          <w:szCs w:val="31"/>
        </w:rPr>
        <w:t xml:space="preserve"> </w:t>
      </w:r>
      <w:r>
        <w:rPr>
          <w:rFonts w:ascii="仿宋" w:hAnsi="仿宋" w:eastAsia="仿宋" w:cs="仿宋"/>
          <w:b/>
          <w:bCs/>
          <w:spacing w:val="4"/>
          <w:sz w:val="31"/>
          <w:szCs w:val="31"/>
        </w:rPr>
        <w:t>施工期生态环境保护与恢复措施</w:t>
      </w:r>
    </w:p>
    <w:p w14:paraId="34CE7AD4">
      <w:pPr>
        <w:pStyle w:val="2"/>
        <w:spacing w:line="280" w:lineRule="auto"/>
        <w:rPr>
          <w:sz w:val="21"/>
        </w:rPr>
      </w:pPr>
    </w:p>
    <w:p w14:paraId="703A52C6">
      <w:pPr>
        <w:spacing w:before="85" w:line="230" w:lineRule="auto"/>
        <w:ind w:left="28"/>
        <w:rPr>
          <w:rFonts w:ascii="仿宋" w:hAnsi="仿宋" w:eastAsia="仿宋" w:cs="仿宋"/>
          <w:sz w:val="26"/>
          <w:szCs w:val="26"/>
        </w:rPr>
      </w:pPr>
      <w:r>
        <w:rPr>
          <w:rFonts w:ascii="仿宋" w:hAnsi="仿宋" w:eastAsia="仿宋" w:cs="仿宋"/>
          <w:b/>
          <w:bCs/>
          <w:spacing w:val="3"/>
          <w:sz w:val="26"/>
          <w:szCs w:val="26"/>
        </w:rPr>
        <w:t>5.1.1</w:t>
      </w:r>
      <w:r>
        <w:rPr>
          <w:rFonts w:ascii="仿宋" w:hAnsi="仿宋" w:eastAsia="仿宋" w:cs="仿宋"/>
          <w:spacing w:val="-37"/>
          <w:sz w:val="26"/>
          <w:szCs w:val="26"/>
        </w:rPr>
        <w:t xml:space="preserve"> </w:t>
      </w:r>
      <w:r>
        <w:rPr>
          <w:rFonts w:ascii="仿宋" w:hAnsi="仿宋" w:eastAsia="仿宋" w:cs="仿宋"/>
          <w:b/>
          <w:bCs/>
          <w:spacing w:val="3"/>
          <w:sz w:val="26"/>
          <w:szCs w:val="26"/>
        </w:rPr>
        <w:t>施工组织管理措施</w:t>
      </w:r>
    </w:p>
    <w:p w14:paraId="34DB80BD">
      <w:pPr>
        <w:pStyle w:val="2"/>
        <w:spacing w:line="258" w:lineRule="auto"/>
        <w:rPr>
          <w:sz w:val="21"/>
        </w:rPr>
      </w:pPr>
    </w:p>
    <w:p w14:paraId="543B1F5A">
      <w:pPr>
        <w:spacing w:before="78" w:line="220" w:lineRule="auto"/>
        <w:ind w:left="514"/>
        <w:rPr>
          <w:rFonts w:ascii="仿宋" w:hAnsi="仿宋" w:eastAsia="仿宋" w:cs="仿宋"/>
          <w:sz w:val="24"/>
          <w:szCs w:val="24"/>
        </w:rPr>
      </w:pPr>
      <w:r>
        <w:rPr>
          <w:rFonts w:ascii="仿宋" w:hAnsi="仿宋" w:eastAsia="仿宋" w:cs="仿宋"/>
          <w:spacing w:val="-1"/>
          <w:sz w:val="24"/>
          <w:szCs w:val="24"/>
        </w:rPr>
        <w:t>（1）划定作业边界，严禁超界占用和破坏边界外侧植被；</w:t>
      </w:r>
    </w:p>
    <w:p w14:paraId="2F1EDCFA">
      <w:pPr>
        <w:spacing w:before="182" w:line="360" w:lineRule="auto"/>
        <w:ind w:left="29" w:right="79" w:firstLine="485"/>
        <w:rPr>
          <w:rFonts w:ascii="仿宋" w:hAnsi="仿宋" w:eastAsia="仿宋" w:cs="仿宋"/>
          <w:sz w:val="24"/>
          <w:szCs w:val="24"/>
        </w:rPr>
      </w:pPr>
      <w:r>
        <w:rPr>
          <w:rFonts w:ascii="仿宋" w:hAnsi="仿宋" w:eastAsia="仿宋" w:cs="仿宋"/>
          <w:sz w:val="24"/>
          <w:szCs w:val="24"/>
        </w:rPr>
        <w:t>（2）合理组织施工，缩短工期，制定雨季施工计划和方案，尽量避免雨季</w:t>
      </w:r>
      <w:r>
        <w:rPr>
          <w:rFonts w:ascii="仿宋" w:hAnsi="仿宋" w:eastAsia="仿宋" w:cs="仿宋"/>
          <w:spacing w:val="-4"/>
          <w:sz w:val="24"/>
          <w:szCs w:val="24"/>
        </w:rPr>
        <w:t>施工等；</w:t>
      </w:r>
    </w:p>
    <w:p w14:paraId="4C0E6179">
      <w:pPr>
        <w:spacing w:before="3" w:line="359" w:lineRule="auto"/>
        <w:ind w:left="32" w:firstLine="482"/>
        <w:rPr>
          <w:rFonts w:ascii="仿宋" w:hAnsi="仿宋" w:eastAsia="仿宋" w:cs="仿宋"/>
          <w:sz w:val="24"/>
          <w:szCs w:val="24"/>
        </w:rPr>
      </w:pPr>
      <w:r>
        <w:rPr>
          <w:rFonts w:ascii="仿宋" w:hAnsi="仿宋" w:eastAsia="仿宋" w:cs="仿宋"/>
          <w:spacing w:val="-5"/>
          <w:sz w:val="24"/>
          <w:szCs w:val="24"/>
        </w:rPr>
        <w:t>（3）对施工过程中剥离的表土，沿路基一侧占地范围内适宜位置临时堆放、</w:t>
      </w:r>
      <w:r>
        <w:rPr>
          <w:rFonts w:ascii="仿宋" w:hAnsi="仿宋" w:eastAsia="仿宋" w:cs="仿宋"/>
          <w:spacing w:val="-3"/>
          <w:sz w:val="24"/>
          <w:szCs w:val="24"/>
        </w:rPr>
        <w:t>及时压实并覆盖，防止水土流失；在对应路段施工结束后，</w:t>
      </w:r>
      <w:r>
        <w:rPr>
          <w:rFonts w:ascii="仿宋" w:hAnsi="仿宋" w:eastAsia="仿宋" w:cs="仿宋"/>
          <w:spacing w:val="-4"/>
          <w:sz w:val="24"/>
          <w:szCs w:val="24"/>
        </w:rPr>
        <w:t>直接就近利用于路肩</w:t>
      </w:r>
      <w:r>
        <w:rPr>
          <w:rFonts w:ascii="仿宋" w:hAnsi="仿宋" w:eastAsia="仿宋" w:cs="仿宋"/>
          <w:spacing w:val="-1"/>
          <w:sz w:val="24"/>
          <w:szCs w:val="24"/>
        </w:rPr>
        <w:t>边坡、道路两侧的植被恢复，不另设临时表土堆场。</w:t>
      </w:r>
    </w:p>
    <w:p w14:paraId="1616BADC">
      <w:pPr>
        <w:spacing w:before="1" w:line="219" w:lineRule="auto"/>
        <w:ind w:left="514"/>
        <w:rPr>
          <w:rFonts w:ascii="仿宋" w:hAnsi="仿宋" w:eastAsia="仿宋" w:cs="仿宋"/>
          <w:sz w:val="24"/>
          <w:szCs w:val="24"/>
        </w:rPr>
      </w:pPr>
      <w:r>
        <w:rPr>
          <w:rFonts w:ascii="仿宋" w:hAnsi="仿宋" w:eastAsia="仿宋" w:cs="仿宋"/>
          <w:spacing w:val="-1"/>
          <w:sz w:val="24"/>
          <w:szCs w:val="24"/>
        </w:rPr>
        <w:t>（4）对道路的路基采用分层压实，在路基两侧开挖临时排水沟。</w:t>
      </w:r>
    </w:p>
    <w:p w14:paraId="06E84BEA">
      <w:pPr>
        <w:pStyle w:val="2"/>
        <w:spacing w:line="261" w:lineRule="auto"/>
        <w:rPr>
          <w:sz w:val="21"/>
        </w:rPr>
      </w:pPr>
    </w:p>
    <w:p w14:paraId="6D4AC8A3">
      <w:pPr>
        <w:spacing w:before="85" w:line="227" w:lineRule="auto"/>
        <w:ind w:left="28"/>
        <w:rPr>
          <w:rFonts w:ascii="仿宋" w:hAnsi="仿宋" w:eastAsia="仿宋" w:cs="仿宋"/>
          <w:sz w:val="26"/>
          <w:szCs w:val="26"/>
        </w:rPr>
      </w:pPr>
      <w:r>
        <w:rPr>
          <w:rFonts w:ascii="仿宋" w:hAnsi="仿宋" w:eastAsia="仿宋" w:cs="仿宋"/>
          <w:b/>
          <w:bCs/>
          <w:spacing w:val="2"/>
          <w:sz w:val="26"/>
          <w:szCs w:val="26"/>
        </w:rPr>
        <w:t>5.1.2</w:t>
      </w:r>
      <w:r>
        <w:rPr>
          <w:rFonts w:ascii="仿宋" w:hAnsi="仿宋" w:eastAsia="仿宋" w:cs="仿宋"/>
          <w:spacing w:val="-37"/>
          <w:sz w:val="26"/>
          <w:szCs w:val="26"/>
        </w:rPr>
        <w:t xml:space="preserve"> </w:t>
      </w:r>
      <w:r>
        <w:rPr>
          <w:rFonts w:ascii="仿宋" w:hAnsi="仿宋" w:eastAsia="仿宋" w:cs="仿宋"/>
          <w:b/>
          <w:bCs/>
          <w:spacing w:val="2"/>
          <w:sz w:val="26"/>
          <w:szCs w:val="26"/>
        </w:rPr>
        <w:t>植被保护措施</w:t>
      </w:r>
    </w:p>
    <w:p w14:paraId="244C71A1">
      <w:pPr>
        <w:pStyle w:val="2"/>
        <w:spacing w:line="261" w:lineRule="auto"/>
        <w:rPr>
          <w:sz w:val="21"/>
        </w:rPr>
      </w:pPr>
    </w:p>
    <w:p w14:paraId="0F2BF919">
      <w:pPr>
        <w:spacing w:before="78" w:line="360" w:lineRule="auto"/>
        <w:ind w:left="29" w:right="76" w:firstLine="485"/>
        <w:rPr>
          <w:rFonts w:ascii="仿宋" w:hAnsi="仿宋" w:eastAsia="仿宋" w:cs="仿宋"/>
          <w:sz w:val="24"/>
          <w:szCs w:val="24"/>
        </w:rPr>
      </w:pPr>
      <w:r>
        <w:rPr>
          <w:rFonts w:ascii="仿宋" w:hAnsi="仿宋" w:eastAsia="仿宋" w:cs="仿宋"/>
          <w:sz w:val="24"/>
          <w:szCs w:val="24"/>
        </w:rPr>
        <w:t>（1）开工前，对施工范围临时设施的规划要进行严格的审查，放置于永久</w:t>
      </w:r>
      <w:r>
        <w:rPr>
          <w:rFonts w:ascii="仿宋" w:hAnsi="仿宋" w:eastAsia="仿宋" w:cs="仿宋"/>
          <w:spacing w:val="-3"/>
          <w:sz w:val="24"/>
          <w:szCs w:val="24"/>
        </w:rPr>
        <w:t>占地范围内，严格控制占地范围，在满足工程要求的基础上建议采</w:t>
      </w:r>
      <w:r>
        <w:rPr>
          <w:rFonts w:ascii="仿宋" w:hAnsi="仿宋" w:eastAsia="仿宋" w:cs="仿宋"/>
          <w:spacing w:val="-4"/>
          <w:sz w:val="24"/>
          <w:szCs w:val="24"/>
        </w:rPr>
        <w:t>用用地指标和</w:t>
      </w:r>
      <w:r>
        <w:rPr>
          <w:rFonts w:ascii="仿宋" w:hAnsi="仿宋" w:eastAsia="仿宋" w:cs="仿宋"/>
          <w:spacing w:val="-1"/>
          <w:sz w:val="24"/>
          <w:szCs w:val="24"/>
        </w:rPr>
        <w:t>建筑的低值设计，尽量减少对土地资源的占用。</w:t>
      </w:r>
    </w:p>
    <w:p w14:paraId="6A9EA768">
      <w:pPr>
        <w:spacing w:line="360" w:lineRule="auto"/>
        <w:ind w:left="29" w:right="79" w:firstLine="485"/>
        <w:rPr>
          <w:rFonts w:ascii="仿宋" w:hAnsi="仿宋" w:eastAsia="仿宋" w:cs="仿宋"/>
          <w:sz w:val="24"/>
          <w:szCs w:val="24"/>
        </w:rPr>
      </w:pPr>
      <w:r>
        <w:rPr>
          <w:rFonts w:ascii="仿宋" w:hAnsi="仿宋" w:eastAsia="仿宋" w:cs="仿宋"/>
          <w:sz w:val="24"/>
          <w:szCs w:val="24"/>
        </w:rPr>
        <w:t>（2）进行地表植被的清理工作，严格控制路基开挖等施工作业带，避免超</w:t>
      </w:r>
      <w:r>
        <w:rPr>
          <w:rFonts w:ascii="仿宋" w:hAnsi="仿宋" w:eastAsia="仿宋" w:cs="仿宋"/>
          <w:spacing w:val="-2"/>
          <w:sz w:val="24"/>
          <w:szCs w:val="24"/>
        </w:rPr>
        <w:t>挖破坏周围植被。</w:t>
      </w:r>
    </w:p>
    <w:p w14:paraId="07F83B4C">
      <w:pPr>
        <w:spacing w:before="4" w:line="359" w:lineRule="auto"/>
        <w:ind w:left="34" w:right="78" w:firstLine="480"/>
        <w:rPr>
          <w:rFonts w:ascii="仿宋" w:hAnsi="仿宋" w:eastAsia="仿宋" w:cs="仿宋"/>
          <w:sz w:val="24"/>
          <w:szCs w:val="24"/>
        </w:rPr>
      </w:pPr>
      <w:r>
        <w:rPr>
          <w:rFonts w:ascii="仿宋" w:hAnsi="仿宋" w:eastAsia="仿宋" w:cs="仿宋"/>
          <w:sz w:val="24"/>
          <w:szCs w:val="24"/>
        </w:rPr>
        <w:t>（3）施工结束后应尽快完成拟建道路征地</w:t>
      </w:r>
      <w:r>
        <w:rPr>
          <w:rFonts w:ascii="仿宋" w:hAnsi="仿宋" w:eastAsia="仿宋" w:cs="仿宋"/>
          <w:spacing w:val="-1"/>
          <w:sz w:val="24"/>
          <w:szCs w:val="24"/>
        </w:rPr>
        <w:t>范围内可绿化面积（路基边坡）</w:t>
      </w:r>
      <w:r>
        <w:rPr>
          <w:rFonts w:ascii="仿宋" w:hAnsi="仿宋" w:eastAsia="仿宋" w:cs="仿宋"/>
          <w:spacing w:val="-3"/>
          <w:sz w:val="24"/>
          <w:szCs w:val="24"/>
        </w:rPr>
        <w:t>的植树种草工作以达到恢复植被，保护路基，减少</w:t>
      </w:r>
      <w:r>
        <w:rPr>
          <w:rFonts w:ascii="仿宋" w:hAnsi="仿宋" w:eastAsia="仿宋" w:cs="仿宋"/>
          <w:spacing w:val="-4"/>
          <w:sz w:val="24"/>
          <w:szCs w:val="24"/>
        </w:rPr>
        <w:t>水土流失，减少预计路面径流</w:t>
      </w:r>
      <w:r>
        <w:rPr>
          <w:rFonts w:ascii="仿宋" w:hAnsi="仿宋" w:eastAsia="仿宋" w:cs="仿宋"/>
          <w:spacing w:val="-3"/>
          <w:sz w:val="24"/>
          <w:szCs w:val="24"/>
        </w:rPr>
        <w:t>污染沿线水体的作用。</w:t>
      </w:r>
    </w:p>
    <w:p w14:paraId="54EE5430">
      <w:pPr>
        <w:spacing w:line="360" w:lineRule="auto"/>
        <w:ind w:left="31" w:right="76" w:firstLine="483"/>
        <w:rPr>
          <w:rFonts w:ascii="仿宋" w:hAnsi="仿宋" w:eastAsia="仿宋" w:cs="仿宋"/>
          <w:sz w:val="24"/>
          <w:szCs w:val="24"/>
        </w:rPr>
      </w:pPr>
      <w:r>
        <w:rPr>
          <w:rFonts w:ascii="仿宋" w:hAnsi="仿宋" w:eastAsia="仿宋" w:cs="仿宋"/>
          <w:sz w:val="24"/>
          <w:szCs w:val="24"/>
        </w:rPr>
        <w:t>（4）每条路施工结束后，应对道路沿线的土石方、筑路垃圾等固废废物进</w:t>
      </w:r>
      <w:r>
        <w:rPr>
          <w:rFonts w:ascii="仿宋" w:hAnsi="仿宋" w:eastAsia="仿宋" w:cs="仿宋"/>
          <w:spacing w:val="-3"/>
          <w:sz w:val="24"/>
          <w:szCs w:val="24"/>
        </w:rPr>
        <w:t>行全面清理，场地清理复垦结束之后，应加强复垦地检查，确</w:t>
      </w:r>
      <w:r>
        <w:rPr>
          <w:rFonts w:ascii="仿宋" w:hAnsi="仿宋" w:eastAsia="仿宋" w:cs="仿宋"/>
          <w:spacing w:val="-4"/>
          <w:sz w:val="24"/>
          <w:szCs w:val="24"/>
        </w:rPr>
        <w:t>保不形成新的污染</w:t>
      </w:r>
      <w:r>
        <w:rPr>
          <w:rFonts w:ascii="仿宋" w:hAnsi="仿宋" w:eastAsia="仿宋" w:cs="仿宋"/>
          <w:spacing w:val="-9"/>
          <w:sz w:val="24"/>
          <w:szCs w:val="24"/>
        </w:rPr>
        <w:t>源。</w:t>
      </w:r>
    </w:p>
    <w:p w14:paraId="0D38683C">
      <w:pPr>
        <w:spacing w:before="1" w:line="222" w:lineRule="auto"/>
        <w:ind w:left="514"/>
        <w:rPr>
          <w:rFonts w:ascii="仿宋" w:hAnsi="仿宋" w:eastAsia="仿宋" w:cs="仿宋"/>
          <w:sz w:val="24"/>
          <w:szCs w:val="24"/>
        </w:rPr>
      </w:pPr>
      <w:r>
        <w:rPr>
          <w:rFonts w:ascii="仿宋" w:hAnsi="仿宋" w:eastAsia="仿宋" w:cs="仿宋"/>
          <w:spacing w:val="1"/>
          <w:sz w:val="24"/>
          <w:szCs w:val="24"/>
        </w:rPr>
        <w:t>（5）对于施工开挖要做到边开挖、边平整。沿线区域</w:t>
      </w:r>
      <w:r>
        <w:rPr>
          <w:rFonts w:ascii="仿宋" w:hAnsi="仿宋" w:eastAsia="仿宋" w:cs="仿宋"/>
          <w:sz w:val="24"/>
          <w:szCs w:val="24"/>
        </w:rPr>
        <w:t>经过基本农田区、一</w:t>
      </w:r>
    </w:p>
    <w:p w14:paraId="332FA2EC">
      <w:pPr>
        <w:spacing w:line="222" w:lineRule="auto"/>
        <w:rPr>
          <w:rFonts w:ascii="仿宋" w:hAnsi="仿宋" w:eastAsia="仿宋" w:cs="仿宋"/>
          <w:sz w:val="24"/>
          <w:szCs w:val="24"/>
        </w:rPr>
        <w:sectPr>
          <w:footerReference r:id="rId267" w:type="default"/>
          <w:pgSz w:w="11906" w:h="16839"/>
          <w:pgMar w:top="400" w:right="1723" w:bottom="1370" w:left="1785" w:header="0" w:footer="1207" w:gutter="0"/>
          <w:cols w:space="720" w:num="1"/>
        </w:sectPr>
      </w:pPr>
    </w:p>
    <w:p w14:paraId="2A391156">
      <w:pPr>
        <w:pStyle w:val="2"/>
        <w:spacing w:line="267" w:lineRule="auto"/>
        <w:rPr>
          <w:sz w:val="21"/>
        </w:rPr>
      </w:pPr>
    </w:p>
    <w:p w14:paraId="69E9D00E">
      <w:pPr>
        <w:pStyle w:val="2"/>
        <w:spacing w:line="267" w:lineRule="auto"/>
        <w:rPr>
          <w:sz w:val="21"/>
        </w:rPr>
      </w:pPr>
    </w:p>
    <w:p w14:paraId="729BDE36">
      <w:pPr>
        <w:pStyle w:val="2"/>
        <w:spacing w:line="267" w:lineRule="auto"/>
        <w:rPr>
          <w:sz w:val="21"/>
        </w:rPr>
      </w:pPr>
    </w:p>
    <w:p w14:paraId="2869AFDF">
      <w:pPr>
        <w:pStyle w:val="2"/>
        <w:spacing w:line="268" w:lineRule="auto"/>
        <w:rPr>
          <w:sz w:val="21"/>
        </w:rPr>
      </w:pPr>
    </w:p>
    <w:p w14:paraId="5091CAAB">
      <w:pPr>
        <w:spacing w:before="78" w:line="360" w:lineRule="auto"/>
        <w:ind w:left="29" w:right="56"/>
        <w:rPr>
          <w:rFonts w:ascii="仿宋" w:hAnsi="仿宋" w:eastAsia="仿宋" w:cs="仿宋"/>
          <w:sz w:val="24"/>
          <w:szCs w:val="24"/>
        </w:rPr>
      </w:pPr>
      <w:r>
        <w:rPr>
          <w:rFonts w:ascii="仿宋" w:hAnsi="仿宋" w:eastAsia="仿宋" w:cs="仿宋"/>
          <w:spacing w:val="-3"/>
          <w:sz w:val="24"/>
          <w:szCs w:val="24"/>
        </w:rPr>
        <w:t>般耕地路段，严格施工作业范围，禁止施工人员、机械设备进入</w:t>
      </w:r>
      <w:r>
        <w:rPr>
          <w:rFonts w:ascii="仿宋" w:hAnsi="仿宋" w:eastAsia="仿宋" w:cs="仿宋"/>
          <w:spacing w:val="-4"/>
          <w:sz w:val="24"/>
          <w:szCs w:val="24"/>
        </w:rPr>
        <w:t>基本农田和一般</w:t>
      </w:r>
      <w:r>
        <w:rPr>
          <w:rFonts w:ascii="仿宋" w:hAnsi="仿宋" w:eastAsia="仿宋" w:cs="仿宋"/>
          <w:spacing w:val="-2"/>
          <w:sz w:val="24"/>
          <w:szCs w:val="24"/>
        </w:rPr>
        <w:t>耕地，避免影响农作物产量。</w:t>
      </w:r>
    </w:p>
    <w:p w14:paraId="22492C03">
      <w:pPr>
        <w:spacing w:before="164" w:line="227" w:lineRule="auto"/>
        <w:ind w:left="28"/>
        <w:rPr>
          <w:rFonts w:ascii="仿宋" w:hAnsi="仿宋" w:eastAsia="仿宋" w:cs="仿宋"/>
          <w:sz w:val="26"/>
          <w:szCs w:val="26"/>
        </w:rPr>
      </w:pPr>
      <w:r>
        <w:rPr>
          <w:rFonts w:ascii="仿宋" w:hAnsi="仿宋" w:eastAsia="仿宋" w:cs="仿宋"/>
          <w:b/>
          <w:bCs/>
          <w:spacing w:val="2"/>
          <w:sz w:val="26"/>
          <w:szCs w:val="26"/>
        </w:rPr>
        <w:t>5.1.3</w:t>
      </w:r>
      <w:r>
        <w:rPr>
          <w:rFonts w:ascii="仿宋" w:hAnsi="仿宋" w:eastAsia="仿宋" w:cs="仿宋"/>
          <w:spacing w:val="-37"/>
          <w:sz w:val="26"/>
          <w:szCs w:val="26"/>
        </w:rPr>
        <w:t xml:space="preserve"> </w:t>
      </w:r>
      <w:r>
        <w:rPr>
          <w:rFonts w:ascii="仿宋" w:hAnsi="仿宋" w:eastAsia="仿宋" w:cs="仿宋"/>
          <w:b/>
          <w:bCs/>
          <w:spacing w:val="2"/>
          <w:sz w:val="26"/>
          <w:szCs w:val="26"/>
        </w:rPr>
        <w:t>植被恢复措施</w:t>
      </w:r>
    </w:p>
    <w:p w14:paraId="128722F9">
      <w:pPr>
        <w:pStyle w:val="2"/>
        <w:spacing w:line="262" w:lineRule="auto"/>
        <w:rPr>
          <w:sz w:val="21"/>
        </w:rPr>
      </w:pPr>
    </w:p>
    <w:p w14:paraId="416D69CC">
      <w:pPr>
        <w:spacing w:before="78" w:line="360" w:lineRule="auto"/>
        <w:ind w:left="29" w:firstLine="480"/>
        <w:jc w:val="both"/>
        <w:rPr>
          <w:rFonts w:ascii="仿宋" w:hAnsi="仿宋" w:eastAsia="仿宋" w:cs="仿宋"/>
          <w:sz w:val="24"/>
          <w:szCs w:val="24"/>
        </w:rPr>
      </w:pPr>
      <w:r>
        <w:rPr>
          <w:rFonts w:ascii="仿宋" w:hAnsi="仿宋" w:eastAsia="仿宋" w:cs="仿宋"/>
          <w:spacing w:val="-2"/>
          <w:sz w:val="24"/>
          <w:szCs w:val="24"/>
        </w:rPr>
        <w:t>施工结束后，对占地范围内高路基两侧边坡通过覆盖表土并播撒草籽绿化。</w:t>
      </w:r>
      <w:r>
        <w:rPr>
          <w:rFonts w:ascii="仿宋" w:hAnsi="仿宋" w:eastAsia="仿宋" w:cs="仿宋"/>
          <w:spacing w:val="-3"/>
          <w:sz w:val="24"/>
          <w:szCs w:val="24"/>
        </w:rPr>
        <w:t>混播种植针茅、紫花苜蓿、羊草、披碱草等，自然恢复结合人工恢复</w:t>
      </w:r>
      <w:r>
        <w:rPr>
          <w:rFonts w:ascii="仿宋" w:hAnsi="仿宋" w:eastAsia="仿宋" w:cs="仿宋"/>
          <w:spacing w:val="-4"/>
          <w:sz w:val="24"/>
          <w:szCs w:val="24"/>
        </w:rPr>
        <w:t>，植被成活</w:t>
      </w:r>
      <w:r>
        <w:rPr>
          <w:rFonts w:ascii="仿宋" w:hAnsi="仿宋" w:eastAsia="仿宋" w:cs="仿宋"/>
          <w:sz w:val="24"/>
          <w:szCs w:val="24"/>
        </w:rPr>
        <w:t>率不低于90%，植被覆盖度不低于现状水平；通过严格控制占地范围，减缓对评</w:t>
      </w:r>
      <w:r>
        <w:rPr>
          <w:rFonts w:ascii="仿宋" w:hAnsi="仿宋" w:eastAsia="仿宋" w:cs="仿宋"/>
          <w:spacing w:val="-3"/>
          <w:sz w:val="24"/>
          <w:szCs w:val="24"/>
        </w:rPr>
        <w:t>价范围内的植被影响，若不慎对路基边坡附近植被造成破坏，要及时</w:t>
      </w:r>
      <w:r>
        <w:rPr>
          <w:rFonts w:ascii="仿宋" w:hAnsi="仿宋" w:eastAsia="仿宋" w:cs="仿宋"/>
          <w:spacing w:val="-4"/>
          <w:sz w:val="24"/>
          <w:szCs w:val="24"/>
        </w:rPr>
        <w:t>进行补植养</w:t>
      </w:r>
      <w:r>
        <w:rPr>
          <w:rFonts w:ascii="仿宋" w:hAnsi="仿宋" w:eastAsia="仿宋" w:cs="仿宋"/>
          <w:spacing w:val="-2"/>
          <w:sz w:val="24"/>
          <w:szCs w:val="24"/>
        </w:rPr>
        <w:t>护，有效保护其生态功能。</w:t>
      </w:r>
    </w:p>
    <w:p w14:paraId="31C6250E">
      <w:pPr>
        <w:spacing w:before="162" w:line="227" w:lineRule="auto"/>
        <w:ind w:left="28"/>
        <w:rPr>
          <w:rFonts w:ascii="仿宋" w:hAnsi="仿宋" w:eastAsia="仿宋" w:cs="仿宋"/>
          <w:sz w:val="26"/>
          <w:szCs w:val="26"/>
        </w:rPr>
      </w:pPr>
      <w:r>
        <w:rPr>
          <w:rFonts w:ascii="仿宋" w:hAnsi="仿宋" w:eastAsia="仿宋" w:cs="仿宋"/>
          <w:b/>
          <w:bCs/>
          <w:spacing w:val="4"/>
          <w:sz w:val="26"/>
          <w:szCs w:val="26"/>
        </w:rPr>
        <w:t>5.1.4</w:t>
      </w:r>
      <w:r>
        <w:rPr>
          <w:rFonts w:ascii="仿宋" w:hAnsi="仿宋" w:eastAsia="仿宋" w:cs="仿宋"/>
          <w:spacing w:val="-39"/>
          <w:sz w:val="26"/>
          <w:szCs w:val="26"/>
        </w:rPr>
        <w:t xml:space="preserve"> </w:t>
      </w:r>
      <w:r>
        <w:rPr>
          <w:rFonts w:ascii="仿宋" w:hAnsi="仿宋" w:eastAsia="仿宋" w:cs="仿宋"/>
          <w:b/>
          <w:bCs/>
          <w:spacing w:val="4"/>
          <w:sz w:val="26"/>
          <w:szCs w:val="26"/>
        </w:rPr>
        <w:t>土壤保护与水土流失防控</w:t>
      </w:r>
    </w:p>
    <w:p w14:paraId="7811EBBC">
      <w:pPr>
        <w:pStyle w:val="2"/>
        <w:spacing w:line="259" w:lineRule="auto"/>
        <w:rPr>
          <w:sz w:val="21"/>
        </w:rPr>
      </w:pPr>
    </w:p>
    <w:p w14:paraId="38F2C173">
      <w:pPr>
        <w:spacing w:before="78" w:line="361" w:lineRule="auto"/>
        <w:ind w:left="29" w:right="56" w:firstLine="485"/>
        <w:jc w:val="both"/>
        <w:rPr>
          <w:rFonts w:ascii="仿宋" w:hAnsi="仿宋" w:eastAsia="仿宋" w:cs="仿宋"/>
          <w:sz w:val="24"/>
          <w:szCs w:val="24"/>
        </w:rPr>
      </w:pPr>
      <w:r>
        <w:rPr>
          <w:rFonts w:ascii="仿宋" w:hAnsi="仿宋" w:eastAsia="仿宋" w:cs="仿宋"/>
          <w:spacing w:val="1"/>
          <w:sz w:val="24"/>
          <w:szCs w:val="24"/>
        </w:rPr>
        <w:t>边坡防护与排水协同：填方边坡高度≤4m</w:t>
      </w:r>
      <w:r>
        <w:rPr>
          <w:rFonts w:ascii="仿宋" w:hAnsi="仿宋" w:eastAsia="仿宋" w:cs="仿宋"/>
          <w:spacing w:val="-27"/>
          <w:sz w:val="24"/>
          <w:szCs w:val="24"/>
        </w:rPr>
        <w:t xml:space="preserve"> </w:t>
      </w:r>
      <w:r>
        <w:rPr>
          <w:rFonts w:ascii="仿宋" w:hAnsi="仿宋" w:eastAsia="仿宋" w:cs="仿宋"/>
          <w:spacing w:val="1"/>
          <w:sz w:val="24"/>
          <w:szCs w:val="24"/>
        </w:rPr>
        <w:t>时采用沙柳网格植草防</w:t>
      </w:r>
      <w:r>
        <w:rPr>
          <w:rFonts w:ascii="仿宋" w:hAnsi="仿宋" w:eastAsia="仿宋" w:cs="仿宋"/>
          <w:sz w:val="24"/>
          <w:szCs w:val="24"/>
        </w:rPr>
        <w:t xml:space="preserve">护，高度 </w:t>
      </w:r>
      <w:r>
        <w:rPr>
          <w:rFonts w:ascii="仿宋" w:hAnsi="仿宋" w:eastAsia="仿宋" w:cs="仿宋"/>
          <w:spacing w:val="4"/>
          <w:sz w:val="24"/>
          <w:szCs w:val="24"/>
        </w:rPr>
        <w:t>&gt;4m</w:t>
      </w:r>
      <w:r>
        <w:rPr>
          <w:rFonts w:ascii="仿宋" w:hAnsi="仿宋" w:eastAsia="仿宋" w:cs="仿宋"/>
          <w:spacing w:val="-10"/>
          <w:sz w:val="24"/>
          <w:szCs w:val="24"/>
        </w:rPr>
        <w:t xml:space="preserve"> </w:t>
      </w:r>
      <w:r>
        <w:rPr>
          <w:rFonts w:ascii="仿宋" w:hAnsi="仿宋" w:eastAsia="仿宋" w:cs="仿宋"/>
          <w:spacing w:val="4"/>
          <w:sz w:val="24"/>
          <w:szCs w:val="24"/>
        </w:rPr>
        <w:t>时设拱形骨架植草，骨架内种植羊草；挖方边坡同步设置截水沟，与急流</w:t>
      </w:r>
      <w:r>
        <w:rPr>
          <w:rFonts w:ascii="仿宋" w:hAnsi="仿宋" w:eastAsia="仿宋" w:cs="仿宋"/>
          <w:spacing w:val="-1"/>
          <w:sz w:val="24"/>
          <w:szCs w:val="24"/>
        </w:rPr>
        <w:t>槽形成排水体系，减少雨水对边坡土壤的冲刷。</w:t>
      </w:r>
    </w:p>
    <w:p w14:paraId="6E72D570">
      <w:pPr>
        <w:spacing w:before="160" w:line="227" w:lineRule="auto"/>
        <w:ind w:left="28"/>
        <w:rPr>
          <w:rFonts w:ascii="仿宋" w:hAnsi="仿宋" w:eastAsia="仿宋" w:cs="仿宋"/>
          <w:sz w:val="26"/>
          <w:szCs w:val="26"/>
        </w:rPr>
      </w:pPr>
      <w:r>
        <w:rPr>
          <w:rFonts w:ascii="仿宋" w:hAnsi="仿宋" w:eastAsia="仿宋" w:cs="仿宋"/>
          <w:b/>
          <w:bCs/>
          <w:spacing w:val="3"/>
          <w:sz w:val="26"/>
          <w:szCs w:val="26"/>
        </w:rPr>
        <w:t>5.1.5</w:t>
      </w:r>
      <w:r>
        <w:rPr>
          <w:rFonts w:ascii="仿宋" w:hAnsi="仿宋" w:eastAsia="仿宋" w:cs="仿宋"/>
          <w:spacing w:val="-37"/>
          <w:sz w:val="26"/>
          <w:szCs w:val="26"/>
        </w:rPr>
        <w:t xml:space="preserve"> </w:t>
      </w:r>
      <w:r>
        <w:rPr>
          <w:rFonts w:ascii="仿宋" w:hAnsi="仿宋" w:eastAsia="仿宋" w:cs="仿宋"/>
          <w:b/>
          <w:bCs/>
          <w:spacing w:val="3"/>
          <w:sz w:val="26"/>
          <w:szCs w:val="26"/>
        </w:rPr>
        <w:t>野生动物保护措施</w:t>
      </w:r>
    </w:p>
    <w:p w14:paraId="2EF1DABD">
      <w:pPr>
        <w:pStyle w:val="2"/>
        <w:spacing w:line="260" w:lineRule="auto"/>
        <w:rPr>
          <w:sz w:val="21"/>
        </w:rPr>
      </w:pPr>
    </w:p>
    <w:p w14:paraId="2517C41E">
      <w:pPr>
        <w:spacing w:before="79" w:line="360" w:lineRule="auto"/>
        <w:ind w:left="32" w:right="59" w:firstLine="482"/>
        <w:rPr>
          <w:rFonts w:ascii="仿宋" w:hAnsi="仿宋" w:eastAsia="仿宋" w:cs="仿宋"/>
          <w:sz w:val="24"/>
          <w:szCs w:val="24"/>
        </w:rPr>
      </w:pPr>
      <w:r>
        <w:rPr>
          <w:rFonts w:ascii="仿宋" w:hAnsi="仿宋" w:eastAsia="仿宋" w:cs="仿宋"/>
          <w:sz w:val="24"/>
          <w:szCs w:val="24"/>
        </w:rPr>
        <w:t>（1）加强对施工人员的环保教育，禁止施工人员随意破坏植被和猎捕野生</w:t>
      </w:r>
      <w:r>
        <w:rPr>
          <w:rFonts w:ascii="仿宋" w:hAnsi="仿宋" w:eastAsia="仿宋" w:cs="仿宋"/>
          <w:spacing w:val="-2"/>
          <w:sz w:val="24"/>
          <w:szCs w:val="24"/>
        </w:rPr>
        <w:t>动物，严禁践踏沿线农田作物。</w:t>
      </w:r>
    </w:p>
    <w:p w14:paraId="202DECE3">
      <w:pPr>
        <w:spacing w:line="360" w:lineRule="auto"/>
        <w:ind w:left="29" w:right="59" w:firstLine="485"/>
        <w:rPr>
          <w:rFonts w:ascii="仿宋" w:hAnsi="仿宋" w:eastAsia="仿宋" w:cs="仿宋"/>
          <w:sz w:val="24"/>
          <w:szCs w:val="24"/>
        </w:rPr>
      </w:pPr>
      <w:r>
        <w:rPr>
          <w:rFonts w:ascii="仿宋" w:hAnsi="仿宋" w:eastAsia="仿宋" w:cs="仿宋"/>
          <w:sz w:val="24"/>
          <w:szCs w:val="24"/>
        </w:rPr>
        <w:t>（2）开工前施工单位应采取举办国家重点保护野生动物图片展等方式，对</w:t>
      </w:r>
      <w:r>
        <w:rPr>
          <w:rFonts w:ascii="仿宋" w:hAnsi="仿宋" w:eastAsia="仿宋" w:cs="仿宋"/>
          <w:spacing w:val="-1"/>
          <w:sz w:val="24"/>
          <w:szCs w:val="24"/>
        </w:rPr>
        <w:t>施工人员开展保护野生动物宣传教育。</w:t>
      </w:r>
    </w:p>
    <w:p w14:paraId="4D7184CA">
      <w:pPr>
        <w:spacing w:before="1" w:line="220" w:lineRule="auto"/>
        <w:ind w:left="514"/>
        <w:rPr>
          <w:rFonts w:ascii="仿宋" w:hAnsi="仿宋" w:eastAsia="仿宋" w:cs="仿宋"/>
          <w:sz w:val="24"/>
          <w:szCs w:val="24"/>
        </w:rPr>
      </w:pPr>
      <w:r>
        <w:rPr>
          <w:rFonts w:ascii="仿宋" w:hAnsi="仿宋" w:eastAsia="仿宋" w:cs="仿宋"/>
          <w:spacing w:val="-1"/>
          <w:sz w:val="24"/>
          <w:szCs w:val="24"/>
        </w:rPr>
        <w:t>（3）施工单位和人员要严格遵守国家法令，坚决禁止捕猎任何野生动物。</w:t>
      </w:r>
    </w:p>
    <w:p w14:paraId="19EC82A2">
      <w:pPr>
        <w:spacing w:before="181" w:line="220" w:lineRule="auto"/>
        <w:ind w:left="514"/>
        <w:rPr>
          <w:rFonts w:ascii="仿宋" w:hAnsi="仿宋" w:eastAsia="仿宋" w:cs="仿宋"/>
          <w:sz w:val="24"/>
          <w:szCs w:val="24"/>
        </w:rPr>
      </w:pPr>
      <w:r>
        <w:rPr>
          <w:rFonts w:ascii="仿宋" w:hAnsi="仿宋" w:eastAsia="仿宋" w:cs="仿宋"/>
          <w:spacing w:val="-1"/>
          <w:sz w:val="24"/>
          <w:szCs w:val="24"/>
        </w:rPr>
        <w:t>（4）禁止夜间施工作业，避免灯光、噪声对夜间动物活动的惊扰。</w:t>
      </w:r>
    </w:p>
    <w:p w14:paraId="71631DCF">
      <w:pPr>
        <w:spacing w:before="182" w:line="360" w:lineRule="auto"/>
        <w:ind w:left="29" w:right="56" w:firstLine="485"/>
        <w:rPr>
          <w:rFonts w:ascii="仿宋" w:hAnsi="仿宋" w:eastAsia="仿宋" w:cs="仿宋"/>
          <w:sz w:val="24"/>
          <w:szCs w:val="24"/>
        </w:rPr>
      </w:pPr>
      <w:r>
        <w:rPr>
          <w:rFonts w:ascii="仿宋" w:hAnsi="仿宋" w:eastAsia="仿宋" w:cs="仿宋"/>
          <w:sz w:val="24"/>
          <w:szCs w:val="24"/>
        </w:rPr>
        <w:t>（5）优选施工时间，避开野生动物活动的高峰时段。早晨、黄昏和晚上是</w:t>
      </w:r>
      <w:r>
        <w:rPr>
          <w:rFonts w:ascii="仿宋" w:hAnsi="仿宋" w:eastAsia="仿宋" w:cs="仿宋"/>
          <w:spacing w:val="-3"/>
          <w:sz w:val="24"/>
          <w:szCs w:val="24"/>
        </w:rPr>
        <w:t>野生动物活动、繁殖和觅食的高峰时段，应禁止在早晨、黄昏和晚</w:t>
      </w:r>
      <w:r>
        <w:rPr>
          <w:rFonts w:ascii="仿宋" w:hAnsi="仿宋" w:eastAsia="仿宋" w:cs="仿宋"/>
          <w:spacing w:val="-4"/>
          <w:sz w:val="24"/>
          <w:szCs w:val="24"/>
        </w:rPr>
        <w:t>上进行打桩等</w:t>
      </w:r>
      <w:r>
        <w:rPr>
          <w:rFonts w:ascii="仿宋" w:hAnsi="仿宋" w:eastAsia="仿宋" w:cs="仿宋"/>
          <w:spacing w:val="-3"/>
          <w:sz w:val="24"/>
          <w:szCs w:val="24"/>
        </w:rPr>
        <w:t>高噪声作业。</w:t>
      </w:r>
    </w:p>
    <w:p w14:paraId="6FCD6764">
      <w:pPr>
        <w:spacing w:before="165" w:line="227" w:lineRule="auto"/>
        <w:ind w:left="28"/>
        <w:rPr>
          <w:rFonts w:ascii="仿宋" w:hAnsi="仿宋" w:eastAsia="仿宋" w:cs="仿宋"/>
          <w:sz w:val="26"/>
          <w:szCs w:val="26"/>
        </w:rPr>
      </w:pPr>
      <w:r>
        <w:rPr>
          <w:rFonts w:ascii="仿宋" w:hAnsi="仿宋" w:eastAsia="仿宋" w:cs="仿宋"/>
          <w:b/>
          <w:bCs/>
          <w:spacing w:val="4"/>
          <w:sz w:val="26"/>
          <w:szCs w:val="26"/>
        </w:rPr>
        <w:t>5.1.6</w:t>
      </w:r>
      <w:r>
        <w:rPr>
          <w:rFonts w:ascii="仿宋" w:hAnsi="仿宋" w:eastAsia="仿宋" w:cs="仿宋"/>
          <w:spacing w:val="-39"/>
          <w:sz w:val="26"/>
          <w:szCs w:val="26"/>
        </w:rPr>
        <w:t xml:space="preserve"> </w:t>
      </w:r>
      <w:r>
        <w:rPr>
          <w:rFonts w:ascii="仿宋" w:hAnsi="仿宋" w:eastAsia="仿宋" w:cs="仿宋"/>
          <w:b/>
          <w:bCs/>
          <w:spacing w:val="4"/>
          <w:sz w:val="26"/>
          <w:szCs w:val="26"/>
        </w:rPr>
        <w:t>对林地的保护与补偿措施</w:t>
      </w:r>
    </w:p>
    <w:p w14:paraId="4200D034">
      <w:pPr>
        <w:pStyle w:val="2"/>
        <w:spacing w:line="261" w:lineRule="auto"/>
        <w:rPr>
          <w:sz w:val="21"/>
        </w:rPr>
      </w:pPr>
    </w:p>
    <w:p w14:paraId="3E17BE96">
      <w:pPr>
        <w:spacing w:before="78" w:line="360" w:lineRule="auto"/>
        <w:ind w:left="34" w:right="56" w:firstLine="476"/>
        <w:rPr>
          <w:rFonts w:ascii="仿宋" w:hAnsi="仿宋" w:eastAsia="仿宋" w:cs="仿宋"/>
          <w:sz w:val="24"/>
          <w:szCs w:val="24"/>
        </w:rPr>
      </w:pPr>
      <w:r>
        <w:rPr>
          <w:rFonts w:ascii="仿宋" w:hAnsi="仿宋" w:eastAsia="仿宋" w:cs="仿宋"/>
          <w:spacing w:val="-2"/>
          <w:sz w:val="24"/>
          <w:szCs w:val="24"/>
        </w:rPr>
        <w:t>本项目拟建路线永久占地范围内涉及国家二级公益林</w:t>
      </w:r>
      <w:r>
        <w:rPr>
          <w:rFonts w:ascii="仿宋" w:hAnsi="仿宋" w:eastAsia="仿宋" w:cs="仿宋"/>
          <w:spacing w:val="-35"/>
          <w:sz w:val="24"/>
          <w:szCs w:val="24"/>
        </w:rPr>
        <w:t xml:space="preserve"> </w:t>
      </w:r>
      <w:r>
        <w:rPr>
          <w:rFonts w:ascii="Times New Roman" w:hAnsi="Times New Roman" w:eastAsia="Times New Roman" w:cs="Times New Roman"/>
          <w:spacing w:val="-2"/>
          <w:sz w:val="24"/>
          <w:szCs w:val="24"/>
        </w:rPr>
        <w:t>0.6446hm</w:t>
      </w:r>
      <w:r>
        <w:rPr>
          <w:rFonts w:ascii="Times New Roman" w:hAnsi="Times New Roman" w:eastAsia="Times New Roman" w:cs="Times New Roman"/>
          <w:spacing w:val="-2"/>
          <w:position w:val="8"/>
          <w:sz w:val="15"/>
          <w:szCs w:val="15"/>
        </w:rPr>
        <w:t xml:space="preserve">2 </w:t>
      </w:r>
      <w:r>
        <w:rPr>
          <w:rFonts w:ascii="仿宋" w:hAnsi="仿宋" w:eastAsia="仿宋" w:cs="仿宋"/>
          <w:spacing w:val="-2"/>
          <w:sz w:val="24"/>
          <w:szCs w:val="24"/>
        </w:rPr>
        <w:t>、地方三级</w:t>
      </w:r>
      <w:r>
        <w:rPr>
          <w:rFonts w:ascii="仿宋" w:hAnsi="仿宋" w:eastAsia="仿宋" w:cs="仿宋"/>
          <w:spacing w:val="-5"/>
          <w:sz w:val="24"/>
          <w:szCs w:val="24"/>
        </w:rPr>
        <w:t>公益林</w:t>
      </w:r>
      <w:r>
        <w:rPr>
          <w:rFonts w:ascii="仿宋" w:hAnsi="仿宋" w:eastAsia="仿宋" w:cs="仿宋"/>
          <w:spacing w:val="-32"/>
          <w:sz w:val="24"/>
          <w:szCs w:val="24"/>
        </w:rPr>
        <w:t xml:space="preserve"> </w:t>
      </w:r>
      <w:r>
        <w:rPr>
          <w:rFonts w:ascii="Times New Roman" w:hAnsi="Times New Roman" w:eastAsia="Times New Roman" w:cs="Times New Roman"/>
          <w:spacing w:val="-5"/>
          <w:sz w:val="24"/>
          <w:szCs w:val="24"/>
        </w:rPr>
        <w:t>1.</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5"/>
          <w:sz w:val="24"/>
          <w:szCs w:val="24"/>
        </w:rPr>
        <w:t>1912hm</w:t>
      </w:r>
      <w:r>
        <w:rPr>
          <w:rFonts w:ascii="Times New Roman" w:hAnsi="Times New Roman" w:eastAsia="Times New Roman" w:cs="Times New Roman"/>
          <w:spacing w:val="-5"/>
          <w:position w:val="7"/>
          <w:sz w:val="15"/>
          <w:szCs w:val="15"/>
        </w:rPr>
        <w:t xml:space="preserve">2 </w:t>
      </w:r>
      <w:r>
        <w:rPr>
          <w:rFonts w:ascii="仿宋" w:hAnsi="仿宋" w:eastAsia="仿宋" w:cs="仿宋"/>
          <w:spacing w:val="-5"/>
          <w:sz w:val="24"/>
          <w:szCs w:val="24"/>
        </w:rPr>
        <w:t>、一般商品林</w:t>
      </w:r>
      <w:r>
        <w:rPr>
          <w:rFonts w:ascii="仿宋" w:hAnsi="仿宋" w:eastAsia="仿宋" w:cs="仿宋"/>
          <w:spacing w:val="-51"/>
          <w:sz w:val="24"/>
          <w:szCs w:val="24"/>
        </w:rPr>
        <w:t xml:space="preserve"> </w:t>
      </w:r>
      <w:r>
        <w:rPr>
          <w:rFonts w:ascii="Times New Roman" w:hAnsi="Times New Roman" w:eastAsia="Times New Roman" w:cs="Times New Roman"/>
          <w:spacing w:val="-5"/>
          <w:sz w:val="24"/>
          <w:szCs w:val="24"/>
        </w:rPr>
        <w:t>0.</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5"/>
          <w:sz w:val="24"/>
          <w:szCs w:val="24"/>
        </w:rPr>
        <w:t>1130</w:t>
      </w:r>
      <w:r>
        <w:rPr>
          <w:rFonts w:ascii="Times New Roman" w:hAnsi="Times New Roman" w:eastAsia="Times New Roman" w:cs="Times New Roman"/>
          <w:spacing w:val="-6"/>
          <w:sz w:val="24"/>
          <w:szCs w:val="24"/>
        </w:rPr>
        <w:t>hm</w:t>
      </w:r>
      <w:r>
        <w:rPr>
          <w:rFonts w:ascii="Times New Roman" w:hAnsi="Times New Roman" w:eastAsia="Times New Roman" w:cs="Times New Roman"/>
          <w:spacing w:val="-6"/>
          <w:position w:val="7"/>
          <w:sz w:val="15"/>
          <w:szCs w:val="15"/>
        </w:rPr>
        <w:t>2</w:t>
      </w:r>
      <w:r>
        <w:rPr>
          <w:rFonts w:ascii="仿宋" w:hAnsi="仿宋" w:eastAsia="仿宋" w:cs="仿宋"/>
          <w:spacing w:val="-6"/>
          <w:sz w:val="24"/>
          <w:szCs w:val="24"/>
        </w:rPr>
        <w:t>。</w:t>
      </w:r>
    </w:p>
    <w:p w14:paraId="0F277BB7">
      <w:pPr>
        <w:spacing w:before="1" w:line="219" w:lineRule="auto"/>
        <w:ind w:left="510"/>
        <w:rPr>
          <w:rFonts w:ascii="仿宋" w:hAnsi="仿宋" w:eastAsia="仿宋" w:cs="仿宋"/>
          <w:sz w:val="24"/>
          <w:szCs w:val="24"/>
        </w:rPr>
      </w:pPr>
      <w:r>
        <w:rPr>
          <w:rFonts w:ascii="仿宋" w:hAnsi="仿宋" w:eastAsia="仿宋" w:cs="仿宋"/>
          <w:spacing w:val="-3"/>
          <w:sz w:val="24"/>
          <w:szCs w:val="24"/>
        </w:rPr>
        <w:t>本次评价要求建设单位尽可能不占或者少占林</w:t>
      </w:r>
      <w:r>
        <w:rPr>
          <w:rFonts w:ascii="仿宋" w:hAnsi="仿宋" w:eastAsia="仿宋" w:cs="仿宋"/>
          <w:spacing w:val="-4"/>
          <w:sz w:val="24"/>
          <w:szCs w:val="24"/>
        </w:rPr>
        <w:t>地。确需占用林地的，在项目</w:t>
      </w:r>
    </w:p>
    <w:p w14:paraId="45683753">
      <w:pPr>
        <w:spacing w:line="219" w:lineRule="auto"/>
        <w:rPr>
          <w:rFonts w:ascii="仿宋" w:hAnsi="仿宋" w:eastAsia="仿宋" w:cs="仿宋"/>
          <w:sz w:val="24"/>
          <w:szCs w:val="24"/>
        </w:rPr>
        <w:sectPr>
          <w:footerReference r:id="rId268" w:type="default"/>
          <w:pgSz w:w="11906" w:h="16839"/>
          <w:pgMar w:top="400" w:right="1742" w:bottom="1370" w:left="1785" w:header="0" w:footer="1207" w:gutter="0"/>
          <w:cols w:space="720" w:num="1"/>
        </w:sectPr>
      </w:pPr>
    </w:p>
    <w:p w14:paraId="55D2A5C0">
      <w:pPr>
        <w:pStyle w:val="2"/>
        <w:spacing w:line="267" w:lineRule="auto"/>
        <w:rPr>
          <w:sz w:val="21"/>
        </w:rPr>
      </w:pPr>
    </w:p>
    <w:p w14:paraId="6EDE62F6">
      <w:pPr>
        <w:pStyle w:val="2"/>
        <w:spacing w:line="267" w:lineRule="auto"/>
        <w:rPr>
          <w:sz w:val="21"/>
        </w:rPr>
      </w:pPr>
    </w:p>
    <w:p w14:paraId="6AEAC488">
      <w:pPr>
        <w:pStyle w:val="2"/>
        <w:spacing w:line="267" w:lineRule="auto"/>
        <w:rPr>
          <w:sz w:val="21"/>
        </w:rPr>
      </w:pPr>
    </w:p>
    <w:p w14:paraId="68FAA6AA">
      <w:pPr>
        <w:pStyle w:val="2"/>
        <w:spacing w:line="268" w:lineRule="auto"/>
        <w:rPr>
          <w:sz w:val="21"/>
        </w:rPr>
      </w:pPr>
    </w:p>
    <w:p w14:paraId="72CABEBC">
      <w:pPr>
        <w:spacing w:before="78" w:line="360" w:lineRule="auto"/>
        <w:ind w:left="29" w:right="185"/>
        <w:rPr>
          <w:rFonts w:ascii="仿宋" w:hAnsi="仿宋" w:eastAsia="仿宋" w:cs="仿宋"/>
          <w:sz w:val="24"/>
          <w:szCs w:val="24"/>
        </w:rPr>
      </w:pPr>
      <w:r>
        <w:rPr>
          <w:rFonts w:ascii="仿宋" w:hAnsi="仿宋" w:eastAsia="仿宋" w:cs="仿宋"/>
          <w:spacing w:val="1"/>
          <w:sz w:val="24"/>
          <w:szCs w:val="24"/>
        </w:rPr>
        <w:t>开工前依照《国家林业局第35</w:t>
      </w:r>
      <w:r>
        <w:rPr>
          <w:rFonts w:ascii="仿宋" w:hAnsi="仿宋" w:eastAsia="仿宋" w:cs="仿宋"/>
          <w:spacing w:val="-26"/>
          <w:sz w:val="24"/>
          <w:szCs w:val="24"/>
        </w:rPr>
        <w:t xml:space="preserve"> </w:t>
      </w:r>
      <w:r>
        <w:rPr>
          <w:rFonts w:ascii="仿宋" w:hAnsi="仿宋" w:eastAsia="仿宋" w:cs="仿宋"/>
          <w:spacing w:val="1"/>
          <w:sz w:val="24"/>
          <w:szCs w:val="24"/>
        </w:rPr>
        <w:t>号令》办理使用林地相关手续。补偿费用包括林</w:t>
      </w:r>
      <w:r>
        <w:rPr>
          <w:rFonts w:ascii="仿宋" w:hAnsi="仿宋" w:eastAsia="仿宋" w:cs="仿宋"/>
          <w:spacing w:val="-1"/>
          <w:sz w:val="24"/>
          <w:szCs w:val="24"/>
        </w:rPr>
        <w:t>地补偿费、林木补偿费、植被恢复费以及安置补助费等。</w:t>
      </w:r>
    </w:p>
    <w:p w14:paraId="44674791">
      <w:pPr>
        <w:spacing w:before="2" w:line="360" w:lineRule="auto"/>
        <w:ind w:left="29" w:right="108" w:firstLine="480"/>
        <w:rPr>
          <w:rFonts w:ascii="仿宋" w:hAnsi="仿宋" w:eastAsia="仿宋" w:cs="仿宋"/>
          <w:sz w:val="24"/>
          <w:szCs w:val="24"/>
        </w:rPr>
      </w:pPr>
      <w:r>
        <w:rPr>
          <w:rFonts w:ascii="仿宋" w:hAnsi="仿宋" w:eastAsia="仿宋" w:cs="仿宋"/>
          <w:spacing w:val="-4"/>
          <w:sz w:val="24"/>
          <w:szCs w:val="24"/>
        </w:rPr>
        <w:t>根据《中华人民共和国森林法》、《中华人民共和国土地管理法》、《内蒙</w:t>
      </w:r>
      <w:r>
        <w:rPr>
          <w:rFonts w:ascii="仿宋" w:hAnsi="仿宋" w:eastAsia="仿宋" w:cs="仿宋"/>
          <w:spacing w:val="-3"/>
          <w:sz w:val="24"/>
          <w:szCs w:val="24"/>
        </w:rPr>
        <w:t>古自治区森林管理条例》和《内蒙古自治区关于占用、征用林</w:t>
      </w:r>
      <w:r>
        <w:rPr>
          <w:rFonts w:ascii="仿宋" w:hAnsi="仿宋" w:eastAsia="仿宋" w:cs="仿宋"/>
          <w:spacing w:val="-4"/>
          <w:sz w:val="24"/>
          <w:szCs w:val="24"/>
        </w:rPr>
        <w:t>地收费标准和管理</w:t>
      </w:r>
      <w:r>
        <w:rPr>
          <w:rFonts w:ascii="仿宋" w:hAnsi="仿宋" w:eastAsia="仿宋" w:cs="仿宋"/>
          <w:spacing w:val="-3"/>
          <w:sz w:val="24"/>
          <w:szCs w:val="24"/>
        </w:rPr>
        <w:t>使用的规定》、《内蒙古自治区公益林管理办法》，对依法经林业</w:t>
      </w:r>
      <w:r>
        <w:rPr>
          <w:rFonts w:ascii="仿宋" w:hAnsi="仿宋" w:eastAsia="仿宋" w:cs="仿宋"/>
          <w:spacing w:val="-4"/>
          <w:sz w:val="24"/>
          <w:szCs w:val="24"/>
        </w:rPr>
        <w:t>主管部门批准</w:t>
      </w:r>
      <w:r>
        <w:rPr>
          <w:rFonts w:ascii="仿宋" w:hAnsi="仿宋" w:eastAsia="仿宋" w:cs="仿宋"/>
          <w:spacing w:val="-8"/>
          <w:sz w:val="24"/>
          <w:szCs w:val="24"/>
        </w:rPr>
        <w:t>占用、征用林地的，必须缴纳林地、林木补偿费、森林植被恢复费和安置补助费，林业主管部门在办理占用、征用林地审核手续时，向用地单位一次性征收总占用、</w:t>
      </w:r>
      <w:r>
        <w:rPr>
          <w:rFonts w:ascii="仿宋" w:hAnsi="仿宋" w:eastAsia="仿宋" w:cs="仿宋"/>
          <w:spacing w:val="1"/>
          <w:sz w:val="24"/>
          <w:szCs w:val="24"/>
        </w:rPr>
        <w:t>征用林地费用</w:t>
      </w:r>
      <w:r>
        <w:rPr>
          <w:rFonts w:ascii="仿宋" w:hAnsi="仿宋" w:eastAsia="仿宋" w:cs="仿宋"/>
          <w:spacing w:val="-29"/>
          <w:sz w:val="24"/>
          <w:szCs w:val="24"/>
        </w:rPr>
        <w:t xml:space="preserve"> </w:t>
      </w:r>
      <w:r>
        <w:rPr>
          <w:rFonts w:ascii="仿宋" w:hAnsi="仿宋" w:eastAsia="仿宋" w:cs="仿宋"/>
          <w:spacing w:val="1"/>
          <w:sz w:val="24"/>
          <w:szCs w:val="24"/>
        </w:rPr>
        <w:t>1%的林地管理费。本次环评要求承担本项目建设的准格尔旗交通</w:t>
      </w:r>
      <w:r>
        <w:rPr>
          <w:rFonts w:ascii="仿宋" w:hAnsi="仿宋" w:eastAsia="仿宋" w:cs="仿宋"/>
          <w:spacing w:val="-1"/>
          <w:sz w:val="24"/>
          <w:szCs w:val="24"/>
        </w:rPr>
        <w:t>运输局，在占用林地前向准格尔旗林业和草原局缴纳林地补偿费、林木补偿费、</w:t>
      </w:r>
      <w:r>
        <w:rPr>
          <w:rFonts w:ascii="仿宋" w:hAnsi="仿宋" w:eastAsia="仿宋" w:cs="仿宋"/>
          <w:spacing w:val="-3"/>
          <w:sz w:val="24"/>
          <w:szCs w:val="24"/>
        </w:rPr>
        <w:t>安置补助费，使本项目占用林地补偿资金得到保证。建设单位严格</w:t>
      </w:r>
      <w:r>
        <w:rPr>
          <w:rFonts w:ascii="仿宋" w:hAnsi="仿宋" w:eastAsia="仿宋" w:cs="仿宋"/>
          <w:spacing w:val="-4"/>
          <w:sz w:val="24"/>
          <w:szCs w:val="24"/>
        </w:rPr>
        <w:t>控制施工占地</w:t>
      </w:r>
      <w:r>
        <w:rPr>
          <w:rFonts w:ascii="仿宋" w:hAnsi="仿宋" w:eastAsia="仿宋" w:cs="仿宋"/>
          <w:spacing w:val="-1"/>
          <w:sz w:val="24"/>
          <w:szCs w:val="24"/>
        </w:rPr>
        <w:t>红线，避免破坏占地范围外林地，设置警示标识，避免无意损坏。</w:t>
      </w:r>
    </w:p>
    <w:p w14:paraId="2E6D3A88">
      <w:pPr>
        <w:spacing w:before="162" w:line="227" w:lineRule="auto"/>
        <w:ind w:left="28"/>
        <w:rPr>
          <w:rFonts w:ascii="仿宋" w:hAnsi="仿宋" w:eastAsia="仿宋" w:cs="仿宋"/>
          <w:sz w:val="26"/>
          <w:szCs w:val="26"/>
        </w:rPr>
      </w:pPr>
      <w:r>
        <w:rPr>
          <w:rFonts w:ascii="仿宋" w:hAnsi="仿宋" w:eastAsia="仿宋" w:cs="仿宋"/>
          <w:b/>
          <w:bCs/>
          <w:spacing w:val="4"/>
          <w:sz w:val="26"/>
          <w:szCs w:val="26"/>
        </w:rPr>
        <w:t>5.1.7</w:t>
      </w:r>
      <w:r>
        <w:rPr>
          <w:rFonts w:ascii="仿宋" w:hAnsi="仿宋" w:eastAsia="仿宋" w:cs="仿宋"/>
          <w:spacing w:val="-30"/>
          <w:sz w:val="26"/>
          <w:szCs w:val="26"/>
        </w:rPr>
        <w:t xml:space="preserve"> </w:t>
      </w:r>
      <w:r>
        <w:rPr>
          <w:rFonts w:ascii="仿宋" w:hAnsi="仿宋" w:eastAsia="仿宋" w:cs="仿宋"/>
          <w:b/>
          <w:bCs/>
          <w:spacing w:val="4"/>
          <w:sz w:val="26"/>
          <w:szCs w:val="26"/>
        </w:rPr>
        <w:t>对基本草原的保护与补偿措施</w:t>
      </w:r>
    </w:p>
    <w:p w14:paraId="2D4EF004">
      <w:pPr>
        <w:pStyle w:val="2"/>
        <w:spacing w:line="261" w:lineRule="auto"/>
        <w:rPr>
          <w:sz w:val="21"/>
        </w:rPr>
      </w:pPr>
    </w:p>
    <w:p w14:paraId="2F5A0569">
      <w:pPr>
        <w:spacing w:before="78" w:line="360" w:lineRule="auto"/>
        <w:ind w:left="29" w:right="185" w:firstLine="480"/>
        <w:jc w:val="both"/>
        <w:rPr>
          <w:rFonts w:ascii="仿宋" w:hAnsi="仿宋" w:eastAsia="仿宋" w:cs="仿宋"/>
          <w:sz w:val="24"/>
          <w:szCs w:val="24"/>
        </w:rPr>
      </w:pPr>
      <w:r>
        <w:rPr>
          <w:rFonts w:ascii="仿宋" w:hAnsi="仿宋" w:eastAsia="仿宋" w:cs="仿宋"/>
          <w:spacing w:val="-4"/>
          <w:sz w:val="24"/>
          <w:szCs w:val="24"/>
        </w:rPr>
        <w:t>本项目拟建路线永久占地涉及基本草原面积</w:t>
      </w:r>
      <w:r>
        <w:rPr>
          <w:rFonts w:ascii="仿宋" w:hAnsi="仿宋" w:eastAsia="仿宋" w:cs="仿宋"/>
          <w:spacing w:val="-42"/>
          <w:sz w:val="24"/>
          <w:szCs w:val="24"/>
        </w:rPr>
        <w:t xml:space="preserve"> </w:t>
      </w:r>
      <w:r>
        <w:rPr>
          <w:rFonts w:ascii="Times New Roman" w:hAnsi="Times New Roman" w:eastAsia="Times New Roman" w:cs="Times New Roman"/>
          <w:spacing w:val="-4"/>
          <w:sz w:val="24"/>
          <w:szCs w:val="24"/>
        </w:rPr>
        <w:t>0.</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4"/>
          <w:sz w:val="24"/>
          <w:szCs w:val="24"/>
        </w:rPr>
        <w:t>1797hm2</w:t>
      </w:r>
      <w:r>
        <w:rPr>
          <w:rFonts w:ascii="Times New Roman" w:hAnsi="Times New Roman" w:eastAsia="Times New Roman" w:cs="Times New Roman"/>
          <w:spacing w:val="-26"/>
          <w:sz w:val="24"/>
          <w:szCs w:val="24"/>
        </w:rPr>
        <w:t xml:space="preserve"> </w:t>
      </w:r>
      <w:r>
        <w:rPr>
          <w:rFonts w:ascii="仿宋" w:hAnsi="仿宋" w:eastAsia="仿宋" w:cs="仿宋"/>
          <w:spacing w:val="-4"/>
          <w:sz w:val="24"/>
          <w:szCs w:val="24"/>
        </w:rPr>
        <w:t>。评价优先要求建设</w:t>
      </w:r>
      <w:r>
        <w:rPr>
          <w:rFonts w:ascii="仿宋" w:hAnsi="仿宋" w:eastAsia="仿宋" w:cs="仿宋"/>
          <w:spacing w:val="-3"/>
          <w:sz w:val="24"/>
          <w:szCs w:val="24"/>
        </w:rPr>
        <w:t>单位优化布线，最大限度避让、缩减基本草原占用规模；本项目为</w:t>
      </w:r>
      <w:r>
        <w:rPr>
          <w:rFonts w:ascii="仿宋" w:hAnsi="仿宋" w:eastAsia="仿宋" w:cs="仿宋"/>
          <w:spacing w:val="-4"/>
          <w:sz w:val="24"/>
          <w:szCs w:val="24"/>
        </w:rPr>
        <w:t>农村牧区公路</w:t>
      </w:r>
      <w:r>
        <w:rPr>
          <w:rFonts w:ascii="仿宋" w:hAnsi="仿宋" w:eastAsia="仿宋" w:cs="仿宋"/>
          <w:spacing w:val="-3"/>
          <w:sz w:val="24"/>
          <w:szCs w:val="24"/>
        </w:rPr>
        <w:t>工程，受线路走向条件制约无法完全避让基本草原，依据《内蒙古</w:t>
      </w:r>
      <w:r>
        <w:rPr>
          <w:rFonts w:ascii="仿宋" w:hAnsi="仿宋" w:eastAsia="仿宋" w:cs="仿宋"/>
          <w:spacing w:val="-4"/>
          <w:sz w:val="24"/>
          <w:szCs w:val="24"/>
        </w:rPr>
        <w:t>自治区草原征</w:t>
      </w:r>
      <w:r>
        <w:rPr>
          <w:rFonts w:ascii="仿宋" w:hAnsi="仿宋" w:eastAsia="仿宋" w:cs="仿宋"/>
          <w:spacing w:val="-3"/>
          <w:sz w:val="24"/>
          <w:szCs w:val="24"/>
        </w:rPr>
        <w:t>占用审核审批管理规定》第六条，农村牧区公路确无法避让时可依</w:t>
      </w:r>
      <w:r>
        <w:rPr>
          <w:rFonts w:ascii="仿宋" w:hAnsi="仿宋" w:eastAsia="仿宋" w:cs="仿宋"/>
          <w:spacing w:val="-4"/>
          <w:sz w:val="24"/>
          <w:szCs w:val="24"/>
        </w:rPr>
        <w:t>规占用，需完</w:t>
      </w:r>
      <w:r>
        <w:rPr>
          <w:rFonts w:ascii="仿宋" w:hAnsi="仿宋" w:eastAsia="仿宋" w:cs="仿宋"/>
          <w:spacing w:val="-3"/>
          <w:sz w:val="24"/>
          <w:szCs w:val="24"/>
        </w:rPr>
        <w:t>整办理草原征收、征用审核审批手续，目前相关报批手续正在推进</w:t>
      </w:r>
      <w:r>
        <w:rPr>
          <w:rFonts w:ascii="仿宋" w:hAnsi="仿宋" w:eastAsia="仿宋" w:cs="仿宋"/>
          <w:spacing w:val="-4"/>
          <w:sz w:val="24"/>
          <w:szCs w:val="24"/>
        </w:rPr>
        <w:t>，基本草原占</w:t>
      </w:r>
      <w:r>
        <w:rPr>
          <w:rFonts w:ascii="仿宋" w:hAnsi="仿宋" w:eastAsia="仿宋" w:cs="仿宋"/>
          <w:spacing w:val="-2"/>
          <w:sz w:val="24"/>
          <w:szCs w:val="24"/>
        </w:rPr>
        <w:t>补平衡方案同步编制中。</w:t>
      </w:r>
    </w:p>
    <w:p w14:paraId="6035919D">
      <w:pPr>
        <w:spacing w:line="360" w:lineRule="auto"/>
        <w:ind w:left="29" w:firstLine="480"/>
        <w:jc w:val="both"/>
        <w:rPr>
          <w:rFonts w:ascii="仿宋" w:hAnsi="仿宋" w:eastAsia="仿宋" w:cs="仿宋"/>
          <w:sz w:val="24"/>
          <w:szCs w:val="24"/>
        </w:rPr>
      </w:pPr>
      <w:r>
        <w:rPr>
          <w:rFonts w:ascii="仿宋" w:hAnsi="仿宋" w:eastAsia="仿宋" w:cs="仿宋"/>
          <w:spacing w:val="-3"/>
          <w:sz w:val="24"/>
          <w:szCs w:val="24"/>
        </w:rPr>
        <w:t>建设单位须严格遵照《关于进一步加强基本草原</w:t>
      </w:r>
      <w:r>
        <w:rPr>
          <w:rFonts w:ascii="仿宋" w:hAnsi="仿宋" w:eastAsia="仿宋" w:cs="仿宋"/>
          <w:spacing w:val="-4"/>
          <w:sz w:val="24"/>
          <w:szCs w:val="24"/>
        </w:rPr>
        <w:t>保护、规范占补平衡工作的</w:t>
      </w:r>
      <w:r>
        <w:rPr>
          <w:rFonts w:ascii="仿宋" w:hAnsi="仿宋" w:eastAsia="仿宋" w:cs="仿宋"/>
          <w:spacing w:val="-2"/>
          <w:sz w:val="24"/>
          <w:szCs w:val="24"/>
        </w:rPr>
        <w:t>通知》（内林草草管发〔</w:t>
      </w:r>
      <w:r>
        <w:rPr>
          <w:rFonts w:ascii="Times New Roman" w:hAnsi="Times New Roman" w:eastAsia="Times New Roman" w:cs="Times New Roman"/>
          <w:spacing w:val="-2"/>
          <w:sz w:val="24"/>
          <w:szCs w:val="24"/>
        </w:rPr>
        <w:t>2024</w:t>
      </w:r>
      <w:r>
        <w:rPr>
          <w:rFonts w:ascii="仿宋" w:hAnsi="仿宋" w:eastAsia="仿宋" w:cs="仿宋"/>
          <w:spacing w:val="-2"/>
          <w:sz w:val="24"/>
          <w:szCs w:val="24"/>
        </w:rPr>
        <w:t>〕</w:t>
      </w:r>
      <w:r>
        <w:rPr>
          <w:rFonts w:ascii="Times New Roman" w:hAnsi="Times New Roman" w:eastAsia="Times New Roman" w:cs="Times New Roman"/>
          <w:spacing w:val="-2"/>
          <w:sz w:val="24"/>
          <w:szCs w:val="24"/>
        </w:rPr>
        <w:t>364</w:t>
      </w:r>
      <w:r>
        <w:rPr>
          <w:rFonts w:ascii="Times New Roman" w:hAnsi="Times New Roman" w:eastAsia="Times New Roman" w:cs="Times New Roman"/>
          <w:spacing w:val="25"/>
          <w:sz w:val="24"/>
          <w:szCs w:val="24"/>
        </w:rPr>
        <w:t xml:space="preserve"> </w:t>
      </w:r>
      <w:r>
        <w:rPr>
          <w:rFonts w:ascii="仿宋" w:hAnsi="仿宋" w:eastAsia="仿宋" w:cs="仿宋"/>
          <w:spacing w:val="-2"/>
          <w:sz w:val="24"/>
          <w:szCs w:val="24"/>
        </w:rPr>
        <w:t>号）办理征用草原手续，并依据《内蒙古自</w:t>
      </w:r>
      <w:r>
        <w:rPr>
          <w:rFonts w:ascii="仿宋" w:hAnsi="仿宋" w:eastAsia="仿宋" w:cs="仿宋"/>
          <w:spacing w:val="-3"/>
          <w:sz w:val="24"/>
          <w:szCs w:val="24"/>
        </w:rPr>
        <w:t>治区基本草原保护条例》足额落实占用补偿</w:t>
      </w:r>
      <w:r>
        <w:rPr>
          <w:rFonts w:ascii="仿宋" w:hAnsi="仿宋" w:eastAsia="仿宋" w:cs="仿宋"/>
          <w:spacing w:val="-4"/>
          <w:sz w:val="24"/>
          <w:szCs w:val="24"/>
        </w:rPr>
        <w:t>。项目占用基本草原</w:t>
      </w:r>
      <w:r>
        <w:rPr>
          <w:rFonts w:ascii="仿宋" w:hAnsi="仿宋" w:eastAsia="仿宋" w:cs="仿宋"/>
          <w:spacing w:val="-51"/>
          <w:sz w:val="24"/>
          <w:szCs w:val="24"/>
        </w:rPr>
        <w:t xml:space="preserve"> </w:t>
      </w:r>
      <w:r>
        <w:rPr>
          <w:rFonts w:ascii="Times New Roman" w:hAnsi="Times New Roman" w:eastAsia="Times New Roman" w:cs="Times New Roman"/>
          <w:spacing w:val="-4"/>
          <w:sz w:val="24"/>
          <w:szCs w:val="24"/>
        </w:rPr>
        <w:t>0.</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4"/>
          <w:sz w:val="24"/>
          <w:szCs w:val="24"/>
        </w:rPr>
        <w:t>1797hm2</w:t>
      </w:r>
      <w:r>
        <w:rPr>
          <w:rFonts w:ascii="Times New Roman" w:hAnsi="Times New Roman" w:eastAsia="Times New Roman" w:cs="Times New Roman"/>
          <w:spacing w:val="-27"/>
          <w:sz w:val="24"/>
          <w:szCs w:val="24"/>
        </w:rPr>
        <w:t xml:space="preserve"> </w:t>
      </w:r>
      <w:r>
        <w:rPr>
          <w:rFonts w:ascii="仿宋" w:hAnsi="仿宋" w:eastAsia="仿宋" w:cs="仿宋"/>
          <w:spacing w:val="-4"/>
          <w:sz w:val="24"/>
          <w:szCs w:val="24"/>
        </w:rPr>
        <w:t>，配</w:t>
      </w:r>
      <w:r>
        <w:rPr>
          <w:rFonts w:ascii="仿宋" w:hAnsi="仿宋" w:eastAsia="仿宋" w:cs="仿宋"/>
          <w:spacing w:val="-7"/>
          <w:sz w:val="24"/>
          <w:szCs w:val="24"/>
        </w:rPr>
        <w:t>套补足同等面积基本草原</w:t>
      </w:r>
      <w:r>
        <w:rPr>
          <w:rFonts w:ascii="仿宋" w:hAnsi="仿宋" w:eastAsia="仿宋" w:cs="仿宋"/>
          <w:spacing w:val="-33"/>
          <w:sz w:val="24"/>
          <w:szCs w:val="24"/>
        </w:rPr>
        <w:t xml:space="preserve"> </w:t>
      </w:r>
      <w:r>
        <w:rPr>
          <w:rFonts w:ascii="Times New Roman" w:hAnsi="Times New Roman" w:eastAsia="Times New Roman" w:cs="Times New Roman"/>
          <w:spacing w:val="-7"/>
          <w:sz w:val="24"/>
          <w:szCs w:val="24"/>
        </w:rPr>
        <w:t>0.</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7"/>
          <w:sz w:val="24"/>
          <w:szCs w:val="24"/>
        </w:rPr>
        <w:t>17974hm2</w:t>
      </w:r>
      <w:r>
        <w:rPr>
          <w:rFonts w:ascii="仿宋" w:hAnsi="仿宋" w:eastAsia="仿宋" w:cs="仿宋"/>
          <w:spacing w:val="-7"/>
          <w:sz w:val="24"/>
          <w:szCs w:val="24"/>
        </w:rPr>
        <w:t>，务必在项目开工建设前完成占补平衡落地，</w:t>
      </w:r>
      <w:r>
        <w:rPr>
          <w:rFonts w:ascii="仿宋" w:hAnsi="仿宋" w:eastAsia="仿宋" w:cs="仿宋"/>
          <w:spacing w:val="-2"/>
          <w:sz w:val="24"/>
          <w:szCs w:val="24"/>
        </w:rPr>
        <w:t>保障区域基本草原总面积不缩减。</w:t>
      </w:r>
    </w:p>
    <w:p w14:paraId="36C19DCE">
      <w:pPr>
        <w:spacing w:before="4" w:line="359" w:lineRule="auto"/>
        <w:ind w:left="29" w:right="185" w:firstLine="480"/>
        <w:jc w:val="both"/>
        <w:rPr>
          <w:rFonts w:ascii="仿宋" w:hAnsi="仿宋" w:eastAsia="仿宋" w:cs="仿宋"/>
          <w:sz w:val="24"/>
          <w:szCs w:val="24"/>
        </w:rPr>
      </w:pPr>
      <w:r>
        <w:rPr>
          <w:rFonts w:ascii="仿宋" w:hAnsi="仿宋" w:eastAsia="仿宋" w:cs="仿宋"/>
          <w:spacing w:val="-3"/>
          <w:sz w:val="24"/>
          <w:szCs w:val="24"/>
        </w:rPr>
        <w:t>施工阶段严控征地红线范围，严禁超范围扰动外围</w:t>
      </w:r>
      <w:r>
        <w:rPr>
          <w:rFonts w:ascii="仿宋" w:hAnsi="仿宋" w:eastAsia="仿宋" w:cs="仿宋"/>
          <w:spacing w:val="-4"/>
          <w:sz w:val="24"/>
          <w:szCs w:val="24"/>
        </w:rPr>
        <w:t>基本草原；场地边界布设</w:t>
      </w:r>
      <w:r>
        <w:rPr>
          <w:rFonts w:ascii="仿宋" w:hAnsi="仿宋" w:eastAsia="仿宋" w:cs="仿宋"/>
          <w:spacing w:val="-3"/>
          <w:sz w:val="24"/>
          <w:szCs w:val="24"/>
        </w:rPr>
        <w:t>警示标识，防范施工作业无意损毁周边草原植被。工程施工结束后，</w:t>
      </w:r>
      <w:r>
        <w:rPr>
          <w:rFonts w:ascii="仿宋" w:hAnsi="仿宋" w:eastAsia="仿宋" w:cs="仿宋"/>
          <w:spacing w:val="-4"/>
          <w:sz w:val="24"/>
          <w:szCs w:val="24"/>
        </w:rPr>
        <w:t>及时对受扰</w:t>
      </w:r>
      <w:r>
        <w:rPr>
          <w:rFonts w:ascii="仿宋" w:hAnsi="仿宋" w:eastAsia="仿宋" w:cs="仿宋"/>
          <w:spacing w:val="-3"/>
          <w:sz w:val="24"/>
          <w:szCs w:val="24"/>
        </w:rPr>
        <w:t>动基本草原实施植被修复与补偿治理，采用针茅、紫花苜蓿、羊草、</w:t>
      </w:r>
      <w:r>
        <w:rPr>
          <w:rFonts w:ascii="仿宋" w:hAnsi="仿宋" w:eastAsia="仿宋" w:cs="仿宋"/>
          <w:spacing w:val="-4"/>
          <w:sz w:val="24"/>
          <w:szCs w:val="24"/>
        </w:rPr>
        <w:t>披碱草混播</w:t>
      </w:r>
      <w:r>
        <w:rPr>
          <w:rFonts w:ascii="仿宋" w:hAnsi="仿宋" w:eastAsia="仿宋" w:cs="仿宋"/>
          <w:spacing w:val="-1"/>
          <w:sz w:val="24"/>
          <w:szCs w:val="24"/>
        </w:rPr>
        <w:t>重建草地，修复后植被覆盖度不低于现状，植株成活率</w:t>
      </w:r>
      <w:r>
        <w:rPr>
          <w:rFonts w:ascii="Times New Roman" w:hAnsi="Times New Roman" w:eastAsia="Times New Roman" w:cs="Times New Roman"/>
          <w:spacing w:val="-1"/>
          <w:sz w:val="24"/>
          <w:szCs w:val="24"/>
        </w:rPr>
        <w:t>≥90%</w:t>
      </w:r>
      <w:r>
        <w:rPr>
          <w:rFonts w:ascii="仿宋" w:hAnsi="仿宋" w:eastAsia="仿宋" w:cs="仿宋"/>
          <w:spacing w:val="-1"/>
          <w:sz w:val="24"/>
          <w:szCs w:val="24"/>
        </w:rPr>
        <w:t>。</w:t>
      </w:r>
    </w:p>
    <w:p w14:paraId="00931FA4">
      <w:pPr>
        <w:spacing w:before="164" w:line="227" w:lineRule="auto"/>
        <w:ind w:left="28"/>
        <w:rPr>
          <w:rFonts w:ascii="仿宋" w:hAnsi="仿宋" w:eastAsia="仿宋" w:cs="仿宋"/>
          <w:sz w:val="26"/>
          <w:szCs w:val="26"/>
        </w:rPr>
      </w:pPr>
      <w:r>
        <w:rPr>
          <w:rFonts w:ascii="仿宋" w:hAnsi="仿宋" w:eastAsia="仿宋" w:cs="仿宋"/>
          <w:b/>
          <w:bCs/>
          <w:spacing w:val="4"/>
          <w:sz w:val="26"/>
          <w:szCs w:val="26"/>
        </w:rPr>
        <w:t>5.1.8</w:t>
      </w:r>
      <w:r>
        <w:rPr>
          <w:rFonts w:ascii="仿宋" w:hAnsi="仿宋" w:eastAsia="仿宋" w:cs="仿宋"/>
          <w:spacing w:val="-43"/>
          <w:sz w:val="26"/>
          <w:szCs w:val="26"/>
        </w:rPr>
        <w:t xml:space="preserve"> </w:t>
      </w:r>
      <w:r>
        <w:rPr>
          <w:rFonts w:ascii="仿宋" w:hAnsi="仿宋" w:eastAsia="仿宋" w:cs="仿宋"/>
          <w:b/>
          <w:bCs/>
          <w:spacing w:val="4"/>
          <w:sz w:val="26"/>
          <w:szCs w:val="26"/>
        </w:rPr>
        <w:t>对基本农田的保护措施</w:t>
      </w:r>
    </w:p>
    <w:p w14:paraId="7503B26C">
      <w:pPr>
        <w:spacing w:line="227" w:lineRule="auto"/>
        <w:rPr>
          <w:rFonts w:ascii="仿宋" w:hAnsi="仿宋" w:eastAsia="仿宋" w:cs="仿宋"/>
          <w:sz w:val="26"/>
          <w:szCs w:val="26"/>
        </w:rPr>
        <w:sectPr>
          <w:footerReference r:id="rId269" w:type="default"/>
          <w:pgSz w:w="11906" w:h="16839"/>
          <w:pgMar w:top="400" w:right="1614" w:bottom="1370" w:left="1785" w:header="0" w:footer="1207" w:gutter="0"/>
          <w:cols w:space="720" w:num="1"/>
        </w:sectPr>
      </w:pPr>
    </w:p>
    <w:p w14:paraId="69198ADB">
      <w:pPr>
        <w:pStyle w:val="2"/>
        <w:spacing w:line="267" w:lineRule="auto"/>
        <w:rPr>
          <w:sz w:val="21"/>
        </w:rPr>
      </w:pPr>
    </w:p>
    <w:p w14:paraId="7A4CE6AA">
      <w:pPr>
        <w:pStyle w:val="2"/>
        <w:spacing w:line="267" w:lineRule="auto"/>
        <w:rPr>
          <w:sz w:val="21"/>
        </w:rPr>
      </w:pPr>
    </w:p>
    <w:p w14:paraId="2F6BBC0E">
      <w:pPr>
        <w:pStyle w:val="2"/>
        <w:spacing w:line="267" w:lineRule="auto"/>
        <w:rPr>
          <w:sz w:val="21"/>
        </w:rPr>
      </w:pPr>
    </w:p>
    <w:p w14:paraId="672059EB">
      <w:pPr>
        <w:pStyle w:val="2"/>
        <w:spacing w:line="268" w:lineRule="auto"/>
        <w:rPr>
          <w:sz w:val="21"/>
        </w:rPr>
      </w:pPr>
    </w:p>
    <w:p w14:paraId="2EC0B7AA">
      <w:pPr>
        <w:spacing w:before="78" w:line="360" w:lineRule="auto"/>
        <w:ind w:left="29" w:right="65" w:firstLine="480"/>
        <w:jc w:val="both"/>
        <w:rPr>
          <w:rFonts w:ascii="仿宋" w:hAnsi="仿宋" w:eastAsia="仿宋" w:cs="仿宋"/>
          <w:sz w:val="24"/>
          <w:szCs w:val="24"/>
        </w:rPr>
      </w:pPr>
      <w:r>
        <w:rPr>
          <w:rFonts w:ascii="仿宋" w:hAnsi="仿宋" w:eastAsia="仿宋" w:cs="仿宋"/>
          <w:spacing w:val="-3"/>
          <w:sz w:val="24"/>
          <w:szCs w:val="24"/>
        </w:rPr>
        <w:t>本项目为四级农村公路工程，选线严格执行避</w:t>
      </w:r>
      <w:r>
        <w:rPr>
          <w:rFonts w:ascii="仿宋" w:hAnsi="仿宋" w:eastAsia="仿宋" w:cs="仿宋"/>
          <w:spacing w:val="-4"/>
          <w:sz w:val="24"/>
          <w:szCs w:val="24"/>
        </w:rPr>
        <w:t>让原则，工程永久占地不占用</w:t>
      </w:r>
      <w:r>
        <w:rPr>
          <w:rFonts w:ascii="仿宋" w:hAnsi="仿宋" w:eastAsia="仿宋" w:cs="仿宋"/>
          <w:spacing w:val="-3"/>
          <w:sz w:val="24"/>
          <w:szCs w:val="24"/>
        </w:rPr>
        <w:t>基本农田，仅线路沿线零散分布基本农田。为严防施工期临时扰动</w:t>
      </w:r>
      <w:r>
        <w:rPr>
          <w:rFonts w:ascii="仿宋" w:hAnsi="仿宋" w:eastAsia="仿宋" w:cs="仿宋"/>
          <w:spacing w:val="-4"/>
          <w:sz w:val="24"/>
          <w:szCs w:val="24"/>
        </w:rPr>
        <w:t>、碾压及污染</w:t>
      </w:r>
      <w:r>
        <w:rPr>
          <w:rFonts w:ascii="仿宋" w:hAnsi="仿宋" w:eastAsia="仿宋" w:cs="仿宋"/>
          <w:spacing w:val="-3"/>
          <w:sz w:val="24"/>
          <w:szCs w:val="24"/>
        </w:rPr>
        <w:t>基本农田，严守耕地保护红线，依据相关法规及环保要求，制定本</w:t>
      </w:r>
      <w:r>
        <w:rPr>
          <w:rFonts w:ascii="仿宋" w:hAnsi="仿宋" w:eastAsia="仿宋" w:cs="仿宋"/>
          <w:spacing w:val="-4"/>
          <w:sz w:val="24"/>
          <w:szCs w:val="24"/>
        </w:rPr>
        <w:t>项目施工期基</w:t>
      </w:r>
      <w:r>
        <w:rPr>
          <w:rFonts w:ascii="仿宋" w:hAnsi="仿宋" w:eastAsia="仿宋" w:cs="仿宋"/>
          <w:spacing w:val="-2"/>
          <w:sz w:val="24"/>
          <w:szCs w:val="24"/>
        </w:rPr>
        <w:t>本农田保护措施：</w:t>
      </w:r>
    </w:p>
    <w:p w14:paraId="17D49E20">
      <w:pPr>
        <w:spacing w:before="5" w:line="359" w:lineRule="auto"/>
        <w:ind w:left="29" w:right="65" w:firstLine="485"/>
        <w:rPr>
          <w:rFonts w:ascii="仿宋" w:hAnsi="仿宋" w:eastAsia="仿宋" w:cs="仿宋"/>
          <w:sz w:val="24"/>
          <w:szCs w:val="24"/>
        </w:rPr>
      </w:pPr>
      <w:r>
        <w:rPr>
          <w:rFonts w:ascii="仿宋" w:hAnsi="仿宋" w:eastAsia="仿宋" w:cs="仿宋"/>
          <w:spacing w:val="-1"/>
          <w:sz w:val="24"/>
          <w:szCs w:val="24"/>
        </w:rPr>
        <w:t>（</w:t>
      </w:r>
      <w:r>
        <w:rPr>
          <w:rFonts w:ascii="Times New Roman" w:hAnsi="Times New Roman" w:eastAsia="Times New Roman" w:cs="Times New Roman"/>
          <w:spacing w:val="-1"/>
          <w:sz w:val="24"/>
          <w:szCs w:val="24"/>
        </w:rPr>
        <w:t>1</w:t>
      </w:r>
      <w:r>
        <w:rPr>
          <w:rFonts w:ascii="仿宋" w:hAnsi="仿宋" w:eastAsia="仿宋" w:cs="仿宋"/>
          <w:spacing w:val="-1"/>
          <w:sz w:val="24"/>
          <w:szCs w:val="24"/>
        </w:rPr>
        <w:t>）严格红线管控。施工全过程严格按照批复红线范围作业，严禁擅自扩</w:t>
      </w:r>
      <w:r>
        <w:rPr>
          <w:rFonts w:ascii="仿宋" w:hAnsi="仿宋" w:eastAsia="仿宋" w:cs="仿宋"/>
          <w:spacing w:val="-3"/>
          <w:sz w:val="24"/>
          <w:szCs w:val="24"/>
        </w:rPr>
        <w:t>占、改线。施工前精准复核施工边界与沿线基本农田范围，在交界处</w:t>
      </w:r>
      <w:r>
        <w:rPr>
          <w:rFonts w:ascii="仿宋" w:hAnsi="仿宋" w:eastAsia="仿宋" w:cs="仿宋"/>
          <w:spacing w:val="-4"/>
          <w:sz w:val="24"/>
          <w:szCs w:val="24"/>
        </w:rPr>
        <w:t>设置隔离围</w:t>
      </w:r>
      <w:r>
        <w:rPr>
          <w:rFonts w:ascii="仿宋" w:hAnsi="仿宋" w:eastAsia="仿宋" w:cs="仿宋"/>
          <w:spacing w:val="-3"/>
          <w:sz w:val="24"/>
          <w:szCs w:val="24"/>
        </w:rPr>
        <w:t>挡、警示标牌，明确作业禁区，严禁人员、设备及建材进入基本农田</w:t>
      </w:r>
      <w:r>
        <w:rPr>
          <w:rFonts w:ascii="仿宋" w:hAnsi="仿宋" w:eastAsia="仿宋" w:cs="仿宋"/>
          <w:spacing w:val="-4"/>
          <w:sz w:val="24"/>
          <w:szCs w:val="24"/>
        </w:rPr>
        <w:t>区域，从源</w:t>
      </w:r>
      <w:r>
        <w:rPr>
          <w:rFonts w:ascii="仿宋" w:hAnsi="仿宋" w:eastAsia="仿宋" w:cs="仿宋"/>
          <w:spacing w:val="-2"/>
          <w:sz w:val="24"/>
          <w:szCs w:val="24"/>
        </w:rPr>
        <w:t>头杜绝侵占、碾压农田的行为。</w:t>
      </w:r>
    </w:p>
    <w:p w14:paraId="422F14AA">
      <w:pPr>
        <w:spacing w:before="3" w:line="359" w:lineRule="auto"/>
        <w:ind w:left="29" w:right="26" w:firstLine="485"/>
        <w:rPr>
          <w:rFonts w:ascii="仿宋" w:hAnsi="仿宋" w:eastAsia="仿宋" w:cs="仿宋"/>
          <w:sz w:val="24"/>
          <w:szCs w:val="24"/>
        </w:rPr>
      </w:pPr>
      <w:r>
        <w:rPr>
          <w:rFonts w:ascii="仿宋" w:hAnsi="仿宋" w:eastAsia="仿宋" w:cs="仿宋"/>
          <w:spacing w:val="-1"/>
          <w:sz w:val="24"/>
          <w:szCs w:val="24"/>
        </w:rPr>
        <w:t>（</w:t>
      </w:r>
      <w:r>
        <w:rPr>
          <w:rFonts w:ascii="Times New Roman" w:hAnsi="Times New Roman" w:eastAsia="Times New Roman" w:cs="Times New Roman"/>
          <w:spacing w:val="-1"/>
          <w:sz w:val="24"/>
          <w:szCs w:val="24"/>
        </w:rPr>
        <w:t>2</w:t>
      </w:r>
      <w:r>
        <w:rPr>
          <w:rFonts w:ascii="仿宋" w:hAnsi="仿宋" w:eastAsia="仿宋" w:cs="仿宋"/>
          <w:spacing w:val="-1"/>
          <w:sz w:val="24"/>
          <w:szCs w:val="24"/>
        </w:rPr>
        <w:t>）规范临时工程布置。施工便道、堆场等临时设施全部位于永久占地范</w:t>
      </w:r>
      <w:r>
        <w:rPr>
          <w:rFonts w:ascii="仿宋" w:hAnsi="仿宋" w:eastAsia="仿宋" w:cs="仿宋"/>
          <w:spacing w:val="-2"/>
          <w:sz w:val="24"/>
          <w:szCs w:val="24"/>
        </w:rPr>
        <w:t>围内，避让基本农田。严禁在基本农田范围内堆放弃土、建筑垃圾及施工耗</w:t>
      </w:r>
      <w:r>
        <w:rPr>
          <w:rFonts w:ascii="仿宋" w:hAnsi="仿宋" w:eastAsia="仿宋" w:cs="仿宋"/>
          <w:spacing w:val="-3"/>
          <w:sz w:val="24"/>
          <w:szCs w:val="24"/>
        </w:rPr>
        <w:t>材，</w:t>
      </w:r>
      <w:r>
        <w:rPr>
          <w:rFonts w:ascii="仿宋" w:hAnsi="仿宋" w:eastAsia="仿宋" w:cs="仿宋"/>
          <w:spacing w:val="-1"/>
          <w:sz w:val="24"/>
          <w:szCs w:val="24"/>
        </w:rPr>
        <w:t>避免固体废弃物和污染物破坏农田土壤及耕作层。</w:t>
      </w:r>
    </w:p>
    <w:p w14:paraId="7EBEB899">
      <w:pPr>
        <w:spacing w:line="360" w:lineRule="auto"/>
        <w:ind w:left="29" w:right="65" w:firstLine="485"/>
        <w:rPr>
          <w:rFonts w:ascii="仿宋" w:hAnsi="仿宋" w:eastAsia="仿宋" w:cs="仿宋"/>
          <w:sz w:val="24"/>
          <w:szCs w:val="24"/>
        </w:rPr>
      </w:pPr>
      <w:r>
        <w:rPr>
          <w:rFonts w:ascii="仿宋" w:hAnsi="仿宋" w:eastAsia="仿宋" w:cs="仿宋"/>
          <w:sz w:val="24"/>
          <w:szCs w:val="24"/>
        </w:rPr>
        <w:t>（</w:t>
      </w:r>
      <w:r>
        <w:rPr>
          <w:rFonts w:ascii="Times New Roman" w:hAnsi="Times New Roman" w:eastAsia="Times New Roman" w:cs="Times New Roman"/>
          <w:sz w:val="24"/>
          <w:szCs w:val="24"/>
        </w:rPr>
        <w:t>3</w:t>
      </w:r>
      <w:r>
        <w:rPr>
          <w:rFonts w:ascii="仿宋" w:hAnsi="仿宋" w:eastAsia="仿宋" w:cs="仿宋"/>
          <w:sz w:val="24"/>
          <w:szCs w:val="24"/>
        </w:rPr>
        <w:t>）强化施工过程管控。优化施工方案，限定机械作业范围及行驶路线，</w:t>
      </w:r>
      <w:r>
        <w:rPr>
          <w:rFonts w:ascii="仿宋" w:hAnsi="仿宋" w:eastAsia="仿宋" w:cs="仿宋"/>
          <w:spacing w:val="-3"/>
          <w:sz w:val="24"/>
          <w:szCs w:val="24"/>
        </w:rPr>
        <w:t>禁止车辆、机械碾压沿线基本农田。施工现场配套设置临时排水沟，</w:t>
      </w:r>
      <w:r>
        <w:rPr>
          <w:rFonts w:ascii="仿宋" w:hAnsi="仿宋" w:eastAsia="仿宋" w:cs="仿宋"/>
          <w:spacing w:val="-4"/>
          <w:sz w:val="24"/>
          <w:szCs w:val="24"/>
        </w:rPr>
        <w:t>有效疏导雨</w:t>
      </w:r>
      <w:r>
        <w:rPr>
          <w:rFonts w:ascii="仿宋" w:hAnsi="仿宋" w:eastAsia="仿宋" w:cs="仿宋"/>
          <w:spacing w:val="-3"/>
          <w:sz w:val="24"/>
          <w:szCs w:val="24"/>
        </w:rPr>
        <w:t>水，防止雨水泥沙漫流浸泡农田，避免造成土壤板结、耕作层损毁等</w:t>
      </w:r>
      <w:r>
        <w:rPr>
          <w:rFonts w:ascii="仿宋" w:hAnsi="仿宋" w:eastAsia="仿宋" w:cs="仿宋"/>
          <w:spacing w:val="-4"/>
          <w:sz w:val="24"/>
          <w:szCs w:val="24"/>
        </w:rPr>
        <w:t>问题。严禁</w:t>
      </w:r>
      <w:r>
        <w:rPr>
          <w:rFonts w:ascii="仿宋" w:hAnsi="仿宋" w:eastAsia="仿宋" w:cs="仿宋"/>
          <w:spacing w:val="-1"/>
          <w:sz w:val="24"/>
          <w:szCs w:val="24"/>
        </w:rPr>
        <w:t>随意损毁农田植被及农田防护设施。</w:t>
      </w:r>
    </w:p>
    <w:p w14:paraId="61A17C25">
      <w:pPr>
        <w:spacing w:before="5" w:line="359" w:lineRule="auto"/>
        <w:ind w:left="29" w:firstLine="485"/>
        <w:rPr>
          <w:rFonts w:ascii="仿宋" w:hAnsi="仿宋" w:eastAsia="仿宋" w:cs="仿宋"/>
          <w:sz w:val="24"/>
          <w:szCs w:val="24"/>
        </w:rPr>
      </w:pPr>
      <w:r>
        <w:rPr>
          <w:rFonts w:ascii="仿宋" w:hAnsi="仿宋" w:eastAsia="仿宋" w:cs="仿宋"/>
          <w:spacing w:val="-1"/>
          <w:sz w:val="24"/>
          <w:szCs w:val="24"/>
        </w:rPr>
        <w:t>（</w:t>
      </w:r>
      <w:r>
        <w:rPr>
          <w:rFonts w:ascii="Times New Roman" w:hAnsi="Times New Roman" w:eastAsia="Times New Roman" w:cs="Times New Roman"/>
          <w:spacing w:val="-1"/>
          <w:sz w:val="24"/>
          <w:szCs w:val="24"/>
        </w:rPr>
        <w:t>4</w:t>
      </w:r>
      <w:r>
        <w:rPr>
          <w:rFonts w:ascii="仿宋" w:hAnsi="仿宋" w:eastAsia="仿宋" w:cs="仿宋"/>
          <w:spacing w:val="-1"/>
          <w:sz w:val="24"/>
          <w:szCs w:val="24"/>
        </w:rPr>
        <w:t>）落实事后恢复与巡查管控。对施工边缘轻微扰动的农田区域，施工结</w:t>
      </w:r>
      <w:r>
        <w:rPr>
          <w:rFonts w:ascii="仿宋" w:hAnsi="仿宋" w:eastAsia="仿宋" w:cs="仿宋"/>
          <w:spacing w:val="-8"/>
          <w:sz w:val="24"/>
          <w:szCs w:val="24"/>
        </w:rPr>
        <w:t>束后及时清理杂物、平整松土，恢复原有耕作条件与植被。建立农田保护责任制，</w:t>
      </w:r>
      <w:r>
        <w:rPr>
          <w:rFonts w:ascii="仿宋" w:hAnsi="仿宋" w:eastAsia="仿宋" w:cs="仿宋"/>
          <w:spacing w:val="-3"/>
          <w:sz w:val="24"/>
          <w:szCs w:val="24"/>
        </w:rPr>
        <w:t>安排专人常态化现场巡查，及时制止并整改违规扰动行为，保障农</w:t>
      </w:r>
      <w:r>
        <w:rPr>
          <w:rFonts w:ascii="仿宋" w:hAnsi="仿宋" w:eastAsia="仿宋" w:cs="仿宋"/>
          <w:spacing w:val="-4"/>
          <w:sz w:val="24"/>
          <w:szCs w:val="24"/>
        </w:rPr>
        <w:t>田正常耕种功</w:t>
      </w:r>
      <w:r>
        <w:rPr>
          <w:rFonts w:ascii="仿宋" w:hAnsi="仿宋" w:eastAsia="仿宋" w:cs="仿宋"/>
          <w:spacing w:val="-8"/>
          <w:sz w:val="24"/>
          <w:szCs w:val="24"/>
        </w:rPr>
        <w:t>能。</w:t>
      </w:r>
    </w:p>
    <w:p w14:paraId="4DF05071">
      <w:pPr>
        <w:spacing w:line="360" w:lineRule="auto"/>
        <w:ind w:left="29" w:right="26" w:firstLine="483"/>
        <w:jc w:val="both"/>
        <w:rPr>
          <w:rFonts w:ascii="仿宋" w:hAnsi="仿宋" w:eastAsia="仿宋" w:cs="仿宋"/>
          <w:sz w:val="24"/>
          <w:szCs w:val="24"/>
        </w:rPr>
      </w:pPr>
      <w:r>
        <w:rPr>
          <w:rFonts w:ascii="仿宋" w:hAnsi="仿宋" w:eastAsia="仿宋" w:cs="仿宋"/>
          <w:spacing w:val="-2"/>
          <w:sz w:val="24"/>
          <w:szCs w:val="24"/>
        </w:rPr>
        <w:t>综上，本项目永久占地不涉及基本农田，仅部分路段沿</w:t>
      </w:r>
      <w:r>
        <w:rPr>
          <w:rFonts w:ascii="仿宋" w:hAnsi="仿宋" w:eastAsia="仿宋" w:cs="仿宋"/>
          <w:spacing w:val="-3"/>
          <w:sz w:val="24"/>
          <w:szCs w:val="24"/>
        </w:rPr>
        <w:t>线分布有基本农田，无大范围交叉施工情况，避让及管控难度小。各项保护措施可与主体</w:t>
      </w:r>
      <w:r>
        <w:rPr>
          <w:rFonts w:ascii="仿宋" w:hAnsi="仿宋" w:eastAsia="仿宋" w:cs="仿宋"/>
          <w:spacing w:val="-4"/>
          <w:sz w:val="24"/>
          <w:szCs w:val="24"/>
        </w:rPr>
        <w:t>工程同步实</w:t>
      </w:r>
      <w:r>
        <w:rPr>
          <w:rFonts w:ascii="仿宋" w:hAnsi="仿宋" w:eastAsia="仿宋" w:cs="仿宋"/>
          <w:spacing w:val="-3"/>
          <w:sz w:val="24"/>
          <w:szCs w:val="24"/>
        </w:rPr>
        <w:t>施，无需大幅增加工程量及建设成本，不影响施工进度，工程可实施</w:t>
      </w:r>
      <w:r>
        <w:rPr>
          <w:rFonts w:ascii="仿宋" w:hAnsi="仿宋" w:eastAsia="仿宋" w:cs="仿宋"/>
          <w:spacing w:val="-4"/>
          <w:sz w:val="24"/>
          <w:szCs w:val="24"/>
        </w:rPr>
        <w:t>性强，措施</w:t>
      </w:r>
      <w:r>
        <w:rPr>
          <w:rFonts w:ascii="仿宋" w:hAnsi="仿宋" w:eastAsia="仿宋" w:cs="仿宋"/>
          <w:spacing w:val="-6"/>
          <w:sz w:val="24"/>
          <w:szCs w:val="24"/>
        </w:rPr>
        <w:t>可行。</w:t>
      </w:r>
    </w:p>
    <w:p w14:paraId="2062854D">
      <w:pPr>
        <w:spacing w:before="140" w:line="226" w:lineRule="auto"/>
        <w:ind w:left="24"/>
        <w:outlineLvl w:val="1"/>
        <w:rPr>
          <w:rFonts w:ascii="仿宋" w:hAnsi="仿宋" w:eastAsia="仿宋" w:cs="仿宋"/>
          <w:sz w:val="31"/>
          <w:szCs w:val="31"/>
        </w:rPr>
      </w:pPr>
      <w:bookmarkStart w:id="77" w:name="bookmark86"/>
      <w:bookmarkEnd w:id="77"/>
      <w:r>
        <w:rPr>
          <w:rFonts w:ascii="Times New Roman" w:hAnsi="Times New Roman" w:eastAsia="Times New Roman" w:cs="Times New Roman"/>
          <w:b/>
          <w:bCs/>
          <w:spacing w:val="5"/>
          <w:sz w:val="31"/>
          <w:szCs w:val="31"/>
        </w:rPr>
        <w:t>5.2</w:t>
      </w:r>
      <w:r>
        <w:rPr>
          <w:rFonts w:ascii="Times New Roman" w:hAnsi="Times New Roman" w:eastAsia="Times New Roman" w:cs="Times New Roman"/>
          <w:b/>
          <w:bCs/>
          <w:spacing w:val="27"/>
          <w:sz w:val="31"/>
          <w:szCs w:val="31"/>
        </w:rPr>
        <w:t xml:space="preserve"> </w:t>
      </w:r>
      <w:r>
        <w:rPr>
          <w:rFonts w:ascii="仿宋" w:hAnsi="仿宋" w:eastAsia="仿宋" w:cs="仿宋"/>
          <w:b/>
          <w:bCs/>
          <w:spacing w:val="5"/>
          <w:sz w:val="31"/>
          <w:szCs w:val="31"/>
        </w:rPr>
        <w:t>运营期生态环境保护与恢复措施</w:t>
      </w:r>
    </w:p>
    <w:p w14:paraId="74D57FCF">
      <w:pPr>
        <w:pStyle w:val="2"/>
        <w:spacing w:line="281" w:lineRule="auto"/>
        <w:rPr>
          <w:sz w:val="21"/>
        </w:rPr>
      </w:pPr>
    </w:p>
    <w:p w14:paraId="4D1CEF68">
      <w:pPr>
        <w:spacing w:before="85" w:line="227" w:lineRule="auto"/>
        <w:ind w:left="28"/>
        <w:rPr>
          <w:rFonts w:ascii="仿宋" w:hAnsi="仿宋" w:eastAsia="仿宋" w:cs="仿宋"/>
          <w:sz w:val="26"/>
          <w:szCs w:val="26"/>
        </w:rPr>
      </w:pPr>
      <w:r>
        <w:rPr>
          <w:rFonts w:ascii="仿宋" w:hAnsi="仿宋" w:eastAsia="仿宋" w:cs="仿宋"/>
          <w:b/>
          <w:bCs/>
          <w:spacing w:val="1"/>
          <w:sz w:val="26"/>
          <w:szCs w:val="26"/>
        </w:rPr>
        <w:t>5.2.1</w:t>
      </w:r>
      <w:r>
        <w:rPr>
          <w:rFonts w:ascii="仿宋" w:hAnsi="仿宋" w:eastAsia="仿宋" w:cs="仿宋"/>
          <w:spacing w:val="-26"/>
          <w:sz w:val="26"/>
          <w:szCs w:val="26"/>
        </w:rPr>
        <w:t xml:space="preserve"> </w:t>
      </w:r>
      <w:r>
        <w:rPr>
          <w:rFonts w:ascii="仿宋" w:hAnsi="仿宋" w:eastAsia="仿宋" w:cs="仿宋"/>
          <w:b/>
          <w:bCs/>
          <w:spacing w:val="1"/>
          <w:sz w:val="26"/>
          <w:szCs w:val="26"/>
        </w:rPr>
        <w:t>生态保护措施</w:t>
      </w:r>
    </w:p>
    <w:p w14:paraId="399E441A">
      <w:pPr>
        <w:pStyle w:val="2"/>
        <w:spacing w:line="260" w:lineRule="auto"/>
        <w:rPr>
          <w:sz w:val="21"/>
        </w:rPr>
      </w:pPr>
    </w:p>
    <w:p w14:paraId="501EE30E">
      <w:pPr>
        <w:spacing w:before="78" w:line="360" w:lineRule="auto"/>
        <w:ind w:left="29" w:right="67" w:firstLine="485"/>
        <w:rPr>
          <w:rFonts w:ascii="仿宋" w:hAnsi="仿宋" w:eastAsia="仿宋" w:cs="仿宋"/>
          <w:sz w:val="24"/>
          <w:szCs w:val="24"/>
        </w:rPr>
      </w:pPr>
      <w:r>
        <w:rPr>
          <w:rFonts w:ascii="仿宋" w:hAnsi="仿宋" w:eastAsia="仿宋" w:cs="仿宋"/>
          <w:spacing w:val="-1"/>
          <w:sz w:val="24"/>
          <w:szCs w:val="24"/>
        </w:rPr>
        <w:t>（1）根据“适地适树、适地适草</w:t>
      </w:r>
      <w:r>
        <w:rPr>
          <w:rFonts w:ascii="仿宋" w:hAnsi="仿宋" w:eastAsia="仿宋" w:cs="仿宋"/>
          <w:spacing w:val="-85"/>
          <w:sz w:val="24"/>
          <w:szCs w:val="24"/>
        </w:rPr>
        <w:t xml:space="preserve"> </w:t>
      </w:r>
      <w:r>
        <w:rPr>
          <w:rFonts w:ascii="仿宋" w:hAnsi="仿宋" w:eastAsia="仿宋" w:cs="仿宋"/>
          <w:spacing w:val="-1"/>
          <w:sz w:val="24"/>
          <w:szCs w:val="24"/>
        </w:rPr>
        <w:t>”的原则，当地优良的树种和经过多年种植已经适应当地环境的引进树种和草种中选择。</w:t>
      </w:r>
    </w:p>
    <w:p w14:paraId="710FABCF">
      <w:pPr>
        <w:spacing w:before="1" w:line="222" w:lineRule="auto"/>
        <w:ind w:left="514"/>
        <w:rPr>
          <w:rFonts w:ascii="仿宋" w:hAnsi="仿宋" w:eastAsia="仿宋" w:cs="仿宋"/>
          <w:sz w:val="24"/>
          <w:szCs w:val="24"/>
        </w:rPr>
      </w:pPr>
      <w:r>
        <w:rPr>
          <w:rFonts w:ascii="仿宋" w:hAnsi="仿宋" w:eastAsia="仿宋" w:cs="仿宋"/>
          <w:sz w:val="24"/>
          <w:szCs w:val="24"/>
        </w:rPr>
        <w:t>（2）公路建成后，对公路两侧可绿化的路段实施绿化。公路绿化工程设计</w:t>
      </w:r>
    </w:p>
    <w:p w14:paraId="2AC7CBC5">
      <w:pPr>
        <w:spacing w:line="222" w:lineRule="auto"/>
        <w:rPr>
          <w:rFonts w:ascii="仿宋" w:hAnsi="仿宋" w:eastAsia="仿宋" w:cs="仿宋"/>
          <w:sz w:val="24"/>
          <w:szCs w:val="24"/>
        </w:rPr>
        <w:sectPr>
          <w:footerReference r:id="rId270" w:type="default"/>
          <w:pgSz w:w="11906" w:h="16839"/>
          <w:pgMar w:top="400" w:right="1734" w:bottom="1370" w:left="1785" w:header="0" w:footer="1207" w:gutter="0"/>
          <w:cols w:space="720" w:num="1"/>
        </w:sectPr>
      </w:pPr>
    </w:p>
    <w:p w14:paraId="573121BC">
      <w:pPr>
        <w:pStyle w:val="2"/>
        <w:spacing w:line="267" w:lineRule="auto"/>
        <w:rPr>
          <w:sz w:val="21"/>
        </w:rPr>
      </w:pPr>
    </w:p>
    <w:p w14:paraId="66D7BF31">
      <w:pPr>
        <w:pStyle w:val="2"/>
        <w:spacing w:line="267" w:lineRule="auto"/>
        <w:rPr>
          <w:sz w:val="21"/>
        </w:rPr>
      </w:pPr>
    </w:p>
    <w:p w14:paraId="434E7002">
      <w:pPr>
        <w:pStyle w:val="2"/>
        <w:spacing w:line="267" w:lineRule="auto"/>
        <w:rPr>
          <w:sz w:val="21"/>
        </w:rPr>
      </w:pPr>
    </w:p>
    <w:p w14:paraId="772B6910">
      <w:pPr>
        <w:pStyle w:val="2"/>
        <w:spacing w:line="268" w:lineRule="auto"/>
        <w:rPr>
          <w:sz w:val="21"/>
        </w:rPr>
      </w:pPr>
    </w:p>
    <w:p w14:paraId="5C28A8E6">
      <w:pPr>
        <w:spacing w:before="78" w:line="360" w:lineRule="auto"/>
        <w:ind w:left="29" w:right="99"/>
        <w:rPr>
          <w:rFonts w:ascii="仿宋" w:hAnsi="仿宋" w:eastAsia="仿宋" w:cs="仿宋"/>
          <w:sz w:val="24"/>
          <w:szCs w:val="24"/>
        </w:rPr>
      </w:pPr>
      <w:r>
        <w:rPr>
          <w:rFonts w:ascii="仿宋" w:hAnsi="仿宋" w:eastAsia="仿宋" w:cs="仿宋"/>
          <w:spacing w:val="-3"/>
          <w:sz w:val="24"/>
          <w:szCs w:val="24"/>
        </w:rPr>
        <w:t>应与主体工程设计同步，做好公路绿化、美化设计、结合沿线地形</w:t>
      </w:r>
      <w:r>
        <w:rPr>
          <w:rFonts w:ascii="仿宋" w:hAnsi="仿宋" w:eastAsia="仿宋" w:cs="仿宋"/>
          <w:spacing w:val="-4"/>
          <w:sz w:val="24"/>
          <w:szCs w:val="24"/>
        </w:rPr>
        <w:t>、地貌等地理</w:t>
      </w:r>
      <w:r>
        <w:rPr>
          <w:rFonts w:ascii="仿宋" w:hAnsi="仿宋" w:eastAsia="仿宋" w:cs="仿宋"/>
          <w:spacing w:val="-2"/>
          <w:sz w:val="24"/>
          <w:szCs w:val="24"/>
        </w:rPr>
        <w:t>环境条件，种植各种适宜的植物。</w:t>
      </w:r>
    </w:p>
    <w:p w14:paraId="08661B8C">
      <w:pPr>
        <w:spacing w:before="2" w:line="359" w:lineRule="auto"/>
        <w:ind w:left="43" w:right="145" w:firstLine="471"/>
        <w:rPr>
          <w:rFonts w:ascii="仿宋" w:hAnsi="仿宋" w:eastAsia="仿宋" w:cs="仿宋"/>
          <w:sz w:val="24"/>
          <w:szCs w:val="24"/>
        </w:rPr>
      </w:pPr>
      <w:r>
        <w:rPr>
          <w:rFonts w:ascii="仿宋" w:hAnsi="仿宋" w:eastAsia="仿宋" w:cs="仿宋"/>
          <w:spacing w:val="-1"/>
          <w:sz w:val="24"/>
          <w:szCs w:val="24"/>
        </w:rPr>
        <w:t>（3）公路运营期，对公路两侧种植的植物应有专门机</w:t>
      </w:r>
      <w:r>
        <w:rPr>
          <w:rFonts w:ascii="仿宋" w:hAnsi="仿宋" w:eastAsia="仿宋" w:cs="仿宋"/>
          <w:spacing w:val="-2"/>
          <w:sz w:val="24"/>
          <w:szCs w:val="24"/>
        </w:rPr>
        <w:t>构的人员进行抚育、</w:t>
      </w:r>
      <w:r>
        <w:rPr>
          <w:rFonts w:ascii="仿宋" w:hAnsi="仿宋" w:eastAsia="仿宋" w:cs="仿宋"/>
          <w:spacing w:val="-1"/>
          <w:sz w:val="24"/>
          <w:szCs w:val="24"/>
        </w:rPr>
        <w:t>管理、养护。保证绿化栽植的成活率和植被的恢复，提高沿线植被覆盖度。</w:t>
      </w:r>
    </w:p>
    <w:p w14:paraId="781439AC">
      <w:pPr>
        <w:spacing w:line="360" w:lineRule="auto"/>
        <w:ind w:left="32" w:right="99" w:firstLine="482"/>
        <w:rPr>
          <w:rFonts w:ascii="仿宋" w:hAnsi="仿宋" w:eastAsia="仿宋" w:cs="仿宋"/>
          <w:sz w:val="24"/>
          <w:szCs w:val="24"/>
        </w:rPr>
      </w:pPr>
      <w:r>
        <w:rPr>
          <w:rFonts w:ascii="仿宋" w:hAnsi="仿宋" w:eastAsia="仿宋" w:cs="仿宋"/>
          <w:sz w:val="24"/>
          <w:szCs w:val="24"/>
        </w:rPr>
        <w:t>（4）加强对生态的管理，主要监测植物物种、植被类型、种植密度、存活</w:t>
      </w:r>
      <w:r>
        <w:rPr>
          <w:rFonts w:ascii="仿宋" w:hAnsi="仿宋" w:eastAsia="仿宋" w:cs="仿宋"/>
          <w:spacing w:val="-3"/>
          <w:sz w:val="24"/>
          <w:szCs w:val="24"/>
        </w:rPr>
        <w:t>率、覆盖率、生物量和野生动物的种类、分布、数量、活动</w:t>
      </w:r>
      <w:r>
        <w:rPr>
          <w:rFonts w:ascii="仿宋" w:hAnsi="仿宋" w:eastAsia="仿宋" w:cs="仿宋"/>
          <w:spacing w:val="-4"/>
          <w:sz w:val="24"/>
          <w:szCs w:val="24"/>
        </w:rPr>
        <w:t>规律，通过监测，建</w:t>
      </w:r>
      <w:r>
        <w:rPr>
          <w:rFonts w:ascii="仿宋" w:hAnsi="仿宋" w:eastAsia="仿宋" w:cs="仿宋"/>
          <w:spacing w:val="-3"/>
          <w:sz w:val="24"/>
          <w:szCs w:val="24"/>
        </w:rPr>
        <w:t>立各种管理及报告制度，开展对评价区的环境教育，增强管</w:t>
      </w:r>
      <w:r>
        <w:rPr>
          <w:rFonts w:ascii="仿宋" w:hAnsi="仿宋" w:eastAsia="仿宋" w:cs="仿宋"/>
          <w:spacing w:val="-4"/>
          <w:sz w:val="24"/>
          <w:szCs w:val="24"/>
        </w:rPr>
        <w:t>理人员环境意识。通</w:t>
      </w:r>
      <w:r>
        <w:rPr>
          <w:rFonts w:ascii="仿宋" w:hAnsi="仿宋" w:eastAsia="仿宋" w:cs="仿宋"/>
          <w:spacing w:val="-1"/>
          <w:sz w:val="24"/>
          <w:szCs w:val="24"/>
        </w:rPr>
        <w:t>过动态监测和完善管理，使生态向良性或有利方向发展。</w:t>
      </w:r>
    </w:p>
    <w:p w14:paraId="5395C92A">
      <w:pPr>
        <w:spacing w:before="164" w:line="227" w:lineRule="auto"/>
        <w:ind w:left="28"/>
        <w:rPr>
          <w:rFonts w:ascii="仿宋" w:hAnsi="仿宋" w:eastAsia="仿宋" w:cs="仿宋"/>
          <w:sz w:val="26"/>
          <w:szCs w:val="26"/>
        </w:rPr>
      </w:pPr>
      <w:r>
        <w:rPr>
          <w:rFonts w:ascii="仿宋" w:hAnsi="仿宋" w:eastAsia="仿宋" w:cs="仿宋"/>
          <w:b/>
          <w:bCs/>
          <w:spacing w:val="3"/>
          <w:sz w:val="26"/>
          <w:szCs w:val="26"/>
        </w:rPr>
        <w:t>5.2.2</w:t>
      </w:r>
      <w:r>
        <w:rPr>
          <w:rFonts w:ascii="仿宋" w:hAnsi="仿宋" w:eastAsia="仿宋" w:cs="仿宋"/>
          <w:spacing w:val="-43"/>
          <w:sz w:val="26"/>
          <w:szCs w:val="26"/>
        </w:rPr>
        <w:t xml:space="preserve"> </w:t>
      </w:r>
      <w:r>
        <w:rPr>
          <w:rFonts w:ascii="仿宋" w:hAnsi="仿宋" w:eastAsia="仿宋" w:cs="仿宋"/>
          <w:b/>
          <w:bCs/>
          <w:spacing w:val="3"/>
          <w:sz w:val="26"/>
          <w:szCs w:val="26"/>
        </w:rPr>
        <w:t>植被及生态恢复</w:t>
      </w:r>
    </w:p>
    <w:p w14:paraId="09C872BA">
      <w:pPr>
        <w:pStyle w:val="2"/>
        <w:spacing w:line="262" w:lineRule="auto"/>
        <w:rPr>
          <w:sz w:val="21"/>
        </w:rPr>
      </w:pPr>
    </w:p>
    <w:p w14:paraId="7478895E">
      <w:pPr>
        <w:spacing w:before="78" w:line="360" w:lineRule="auto"/>
        <w:ind w:left="29" w:right="99" w:firstLine="482"/>
        <w:rPr>
          <w:rFonts w:ascii="仿宋" w:hAnsi="仿宋" w:eastAsia="仿宋" w:cs="仿宋"/>
          <w:sz w:val="24"/>
          <w:szCs w:val="24"/>
        </w:rPr>
      </w:pPr>
      <w:r>
        <w:rPr>
          <w:rFonts w:ascii="仿宋" w:hAnsi="仿宋" w:eastAsia="仿宋" w:cs="仿宋"/>
          <w:spacing w:val="-3"/>
          <w:sz w:val="24"/>
          <w:szCs w:val="24"/>
        </w:rPr>
        <w:t>运营期继续完成公路边坡、路基两侧等范围</w:t>
      </w:r>
      <w:r>
        <w:rPr>
          <w:rFonts w:ascii="仿宋" w:hAnsi="仿宋" w:eastAsia="仿宋" w:cs="仿宋"/>
          <w:spacing w:val="-4"/>
          <w:sz w:val="24"/>
          <w:szCs w:val="24"/>
        </w:rPr>
        <w:t>内的植树种草工作，以达到恢复</w:t>
      </w:r>
      <w:r>
        <w:rPr>
          <w:rFonts w:ascii="仿宋" w:hAnsi="仿宋" w:eastAsia="仿宋" w:cs="仿宋"/>
          <w:spacing w:val="-1"/>
          <w:sz w:val="24"/>
          <w:szCs w:val="24"/>
        </w:rPr>
        <w:t>植被、保护路基、减少水土流失的目的，且植被覆盖度不低于当地背景水平。</w:t>
      </w:r>
    </w:p>
    <w:p w14:paraId="011024D1">
      <w:pPr>
        <w:spacing w:before="162" w:line="227" w:lineRule="auto"/>
        <w:ind w:left="28"/>
        <w:rPr>
          <w:rFonts w:ascii="仿宋" w:hAnsi="仿宋" w:eastAsia="仿宋" w:cs="仿宋"/>
          <w:sz w:val="26"/>
          <w:szCs w:val="26"/>
        </w:rPr>
      </w:pPr>
      <w:r>
        <w:rPr>
          <w:rFonts w:ascii="仿宋" w:hAnsi="仿宋" w:eastAsia="仿宋" w:cs="仿宋"/>
          <w:b/>
          <w:bCs/>
          <w:spacing w:val="4"/>
          <w:sz w:val="26"/>
          <w:szCs w:val="26"/>
        </w:rPr>
        <w:t>5.2.3</w:t>
      </w:r>
      <w:r>
        <w:rPr>
          <w:rFonts w:ascii="仿宋" w:hAnsi="仿宋" w:eastAsia="仿宋" w:cs="仿宋"/>
          <w:spacing w:val="-39"/>
          <w:sz w:val="26"/>
          <w:szCs w:val="26"/>
        </w:rPr>
        <w:t xml:space="preserve"> </w:t>
      </w:r>
      <w:r>
        <w:rPr>
          <w:rFonts w:ascii="仿宋" w:hAnsi="仿宋" w:eastAsia="仿宋" w:cs="仿宋"/>
          <w:b/>
          <w:bCs/>
          <w:spacing w:val="4"/>
          <w:sz w:val="26"/>
          <w:szCs w:val="26"/>
        </w:rPr>
        <w:t>土地利用与土壤保护措施</w:t>
      </w:r>
    </w:p>
    <w:p w14:paraId="4786EB91">
      <w:pPr>
        <w:pStyle w:val="2"/>
        <w:spacing w:line="261" w:lineRule="auto"/>
        <w:rPr>
          <w:sz w:val="21"/>
        </w:rPr>
      </w:pPr>
    </w:p>
    <w:p w14:paraId="2DAF0A31">
      <w:pPr>
        <w:spacing w:before="78" w:line="359" w:lineRule="auto"/>
        <w:ind w:left="29" w:firstLine="483"/>
        <w:jc w:val="both"/>
        <w:rPr>
          <w:rFonts w:ascii="仿宋" w:hAnsi="仿宋" w:eastAsia="仿宋" w:cs="仿宋"/>
          <w:sz w:val="24"/>
          <w:szCs w:val="24"/>
        </w:rPr>
      </w:pPr>
      <w:r>
        <w:rPr>
          <w:rFonts w:ascii="仿宋" w:hAnsi="仿宋" w:eastAsia="仿宋" w:cs="仿宋"/>
          <w:spacing w:val="-4"/>
          <w:sz w:val="24"/>
          <w:szCs w:val="24"/>
        </w:rPr>
        <w:t>永久占地生态功能补偿：针对永久占地，委托</w:t>
      </w:r>
      <w:r>
        <w:rPr>
          <w:rFonts w:ascii="仿宋" w:hAnsi="仿宋" w:eastAsia="仿宋" w:cs="仿宋"/>
          <w:spacing w:val="-5"/>
          <w:sz w:val="24"/>
          <w:szCs w:val="24"/>
        </w:rPr>
        <w:t>当地林草部门在项目周边</w:t>
      </w:r>
      <w:r>
        <w:rPr>
          <w:rFonts w:ascii="仿宋" w:hAnsi="仿宋" w:eastAsia="仿宋" w:cs="仿宋"/>
          <w:spacing w:val="-32"/>
          <w:sz w:val="24"/>
          <w:szCs w:val="24"/>
        </w:rPr>
        <w:t xml:space="preserve"> </w:t>
      </w:r>
      <w:r>
        <w:rPr>
          <w:rFonts w:ascii="Times New Roman" w:hAnsi="Times New Roman" w:eastAsia="Times New Roman" w:cs="Times New Roman"/>
          <w:spacing w:val="-5"/>
          <w:sz w:val="24"/>
          <w:szCs w:val="24"/>
        </w:rPr>
        <w:t>1km</w:t>
      </w:r>
      <w:r>
        <w:rPr>
          <w:rFonts w:ascii="仿宋" w:hAnsi="仿宋" w:eastAsia="仿宋" w:cs="仿宋"/>
          <w:spacing w:val="-8"/>
          <w:sz w:val="24"/>
          <w:szCs w:val="24"/>
        </w:rPr>
        <w:t>范围内开展</w:t>
      </w:r>
      <w:r>
        <w:rPr>
          <w:rFonts w:ascii="Times New Roman" w:hAnsi="Times New Roman" w:eastAsia="Times New Roman" w:cs="Times New Roman"/>
          <w:spacing w:val="-8"/>
          <w:sz w:val="24"/>
          <w:szCs w:val="24"/>
        </w:rPr>
        <w:t>“</w:t>
      </w:r>
      <w:r>
        <w:rPr>
          <w:rFonts w:ascii="Times New Roman" w:hAnsi="Times New Roman" w:eastAsia="Times New Roman" w:cs="Times New Roman"/>
          <w:spacing w:val="-41"/>
          <w:sz w:val="24"/>
          <w:szCs w:val="24"/>
        </w:rPr>
        <w:t xml:space="preserve"> </w:t>
      </w:r>
      <w:r>
        <w:rPr>
          <w:rFonts w:ascii="仿宋" w:hAnsi="仿宋" w:eastAsia="仿宋" w:cs="仿宋"/>
          <w:spacing w:val="-8"/>
          <w:sz w:val="24"/>
          <w:szCs w:val="24"/>
        </w:rPr>
        <w:t>补偿性植被恢复</w:t>
      </w:r>
      <w:r>
        <w:rPr>
          <w:rFonts w:ascii="Times New Roman" w:hAnsi="Times New Roman" w:eastAsia="Times New Roman" w:cs="Times New Roman"/>
          <w:spacing w:val="-8"/>
          <w:sz w:val="24"/>
          <w:szCs w:val="24"/>
        </w:rPr>
        <w:t>”</w:t>
      </w:r>
      <w:r>
        <w:rPr>
          <w:rFonts w:ascii="仿宋" w:hAnsi="仿宋" w:eastAsia="仿宋" w:cs="仿宋"/>
          <w:spacing w:val="-8"/>
          <w:sz w:val="24"/>
          <w:szCs w:val="24"/>
        </w:rPr>
        <w:t>，恢复面积不低于永久</w:t>
      </w:r>
      <w:r>
        <w:rPr>
          <w:rFonts w:ascii="仿宋" w:hAnsi="仿宋" w:eastAsia="仿宋" w:cs="仿宋"/>
          <w:spacing w:val="-9"/>
          <w:sz w:val="24"/>
          <w:szCs w:val="24"/>
        </w:rPr>
        <w:t>占用林地、草地（</w:t>
      </w:r>
      <w:r>
        <w:rPr>
          <w:rFonts w:ascii="Times New Roman" w:hAnsi="Times New Roman" w:eastAsia="Times New Roman" w:cs="Times New Roman"/>
          <w:spacing w:val="-9"/>
          <w:sz w:val="24"/>
          <w:szCs w:val="24"/>
        </w:rPr>
        <w:t>2.</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9"/>
          <w:sz w:val="24"/>
          <w:szCs w:val="24"/>
        </w:rPr>
        <w:t>1285hm</w:t>
      </w:r>
      <w:r>
        <w:rPr>
          <w:rFonts w:ascii="Times New Roman" w:hAnsi="Times New Roman" w:eastAsia="Times New Roman" w:cs="Times New Roman"/>
          <w:spacing w:val="-9"/>
          <w:position w:val="1"/>
          <w:sz w:val="15"/>
          <w:szCs w:val="15"/>
        </w:rPr>
        <w:t>2</w:t>
      </w:r>
      <w:r>
        <w:rPr>
          <w:rFonts w:ascii="仿宋" w:hAnsi="仿宋" w:eastAsia="仿宋" w:cs="仿宋"/>
          <w:spacing w:val="-9"/>
          <w:position w:val="1"/>
          <w:sz w:val="24"/>
          <w:szCs w:val="24"/>
        </w:rPr>
        <w:t>）</w:t>
      </w:r>
      <w:r>
        <w:rPr>
          <w:rFonts w:ascii="仿宋" w:hAnsi="仿宋" w:eastAsia="仿宋" w:cs="仿宋"/>
          <w:spacing w:val="-4"/>
          <w:sz w:val="24"/>
          <w:szCs w:val="24"/>
        </w:rPr>
        <w:t>的</w:t>
      </w:r>
      <w:r>
        <w:rPr>
          <w:rFonts w:ascii="仿宋" w:hAnsi="仿宋" w:eastAsia="仿宋" w:cs="仿宋"/>
          <w:spacing w:val="-16"/>
          <w:sz w:val="24"/>
          <w:szCs w:val="24"/>
        </w:rPr>
        <w:t xml:space="preserve"> </w:t>
      </w:r>
      <w:r>
        <w:rPr>
          <w:rFonts w:ascii="Times New Roman" w:hAnsi="Times New Roman" w:eastAsia="Times New Roman" w:cs="Times New Roman"/>
          <w:spacing w:val="-4"/>
          <w:sz w:val="24"/>
          <w:szCs w:val="24"/>
        </w:rPr>
        <w:t>1.2</w:t>
      </w:r>
      <w:r>
        <w:rPr>
          <w:rFonts w:ascii="Times New Roman" w:hAnsi="Times New Roman" w:eastAsia="Times New Roman" w:cs="Times New Roman"/>
          <w:spacing w:val="18"/>
          <w:sz w:val="24"/>
          <w:szCs w:val="24"/>
        </w:rPr>
        <w:t xml:space="preserve"> </w:t>
      </w:r>
      <w:r>
        <w:rPr>
          <w:rFonts w:ascii="仿宋" w:hAnsi="仿宋" w:eastAsia="仿宋" w:cs="仿宋"/>
          <w:spacing w:val="-4"/>
          <w:sz w:val="24"/>
          <w:szCs w:val="24"/>
        </w:rPr>
        <w:t>倍，面积</w:t>
      </w:r>
      <w:r>
        <w:rPr>
          <w:rFonts w:ascii="Times New Roman" w:hAnsi="Times New Roman" w:eastAsia="Times New Roman" w:cs="Times New Roman"/>
          <w:spacing w:val="-4"/>
          <w:sz w:val="24"/>
          <w:szCs w:val="24"/>
        </w:rPr>
        <w:t>≥2.5542hm2</w:t>
      </w:r>
      <w:r>
        <w:rPr>
          <w:rFonts w:ascii="Times New Roman" w:hAnsi="Times New Roman" w:eastAsia="Times New Roman" w:cs="Times New Roman"/>
          <w:spacing w:val="-27"/>
          <w:sz w:val="24"/>
          <w:szCs w:val="24"/>
        </w:rPr>
        <w:t xml:space="preserve"> </w:t>
      </w:r>
      <w:r>
        <w:rPr>
          <w:rFonts w:ascii="仿宋" w:hAnsi="仿宋" w:eastAsia="仿宋" w:cs="仿宋"/>
          <w:spacing w:val="-4"/>
          <w:sz w:val="24"/>
          <w:szCs w:val="24"/>
        </w:rPr>
        <w:t>，优先选择与原土地类型一致的植被。禁止在永久占</w:t>
      </w:r>
      <w:r>
        <w:rPr>
          <w:rFonts w:ascii="仿宋" w:hAnsi="仿宋" w:eastAsia="仿宋" w:cs="仿宋"/>
          <w:spacing w:val="-3"/>
          <w:sz w:val="24"/>
          <w:szCs w:val="24"/>
        </w:rPr>
        <w:t>地范围内随意新增临时建筑或改变用地性质，确需增设交通设施时</w:t>
      </w:r>
      <w:r>
        <w:rPr>
          <w:rFonts w:ascii="仿宋" w:hAnsi="仿宋" w:eastAsia="仿宋" w:cs="仿宋"/>
          <w:spacing w:val="-4"/>
          <w:sz w:val="24"/>
          <w:szCs w:val="24"/>
        </w:rPr>
        <w:t>，需采用小型</w:t>
      </w:r>
      <w:r>
        <w:rPr>
          <w:rFonts w:ascii="仿宋" w:hAnsi="仿宋" w:eastAsia="仿宋" w:cs="仿宋"/>
          <w:spacing w:val="-2"/>
          <w:sz w:val="24"/>
          <w:szCs w:val="24"/>
        </w:rPr>
        <w:t>基础施工，减少土壤扰动。</w:t>
      </w:r>
    </w:p>
    <w:p w14:paraId="392FC2DB">
      <w:pPr>
        <w:spacing w:before="158" w:line="230" w:lineRule="auto"/>
        <w:ind w:left="28"/>
        <w:rPr>
          <w:rFonts w:ascii="仿宋" w:hAnsi="仿宋" w:eastAsia="仿宋" w:cs="仿宋"/>
          <w:sz w:val="26"/>
          <w:szCs w:val="26"/>
        </w:rPr>
      </w:pPr>
      <w:r>
        <w:rPr>
          <w:rFonts w:ascii="仿宋" w:hAnsi="仿宋" w:eastAsia="仿宋" w:cs="仿宋"/>
          <w:b/>
          <w:bCs/>
          <w:spacing w:val="4"/>
          <w:sz w:val="26"/>
          <w:szCs w:val="26"/>
        </w:rPr>
        <w:t>5.2.4</w:t>
      </w:r>
      <w:r>
        <w:rPr>
          <w:rFonts w:ascii="仿宋" w:hAnsi="仿宋" w:eastAsia="仿宋" w:cs="仿宋"/>
          <w:spacing w:val="-46"/>
          <w:sz w:val="26"/>
          <w:szCs w:val="26"/>
        </w:rPr>
        <w:t xml:space="preserve"> </w:t>
      </w:r>
      <w:r>
        <w:rPr>
          <w:rFonts w:ascii="仿宋" w:hAnsi="仿宋" w:eastAsia="仿宋" w:cs="仿宋"/>
          <w:b/>
          <w:bCs/>
          <w:spacing w:val="4"/>
          <w:sz w:val="26"/>
          <w:szCs w:val="26"/>
        </w:rPr>
        <w:t>水土流失与水文防控</w:t>
      </w:r>
    </w:p>
    <w:p w14:paraId="5751125B">
      <w:pPr>
        <w:pStyle w:val="2"/>
        <w:spacing w:line="257" w:lineRule="auto"/>
        <w:rPr>
          <w:sz w:val="21"/>
        </w:rPr>
      </w:pPr>
    </w:p>
    <w:p w14:paraId="6F4572E7">
      <w:pPr>
        <w:spacing w:before="78" w:line="222" w:lineRule="auto"/>
        <w:ind w:left="520"/>
        <w:rPr>
          <w:rFonts w:ascii="仿宋" w:hAnsi="仿宋" w:eastAsia="仿宋" w:cs="仿宋"/>
          <w:sz w:val="24"/>
          <w:szCs w:val="24"/>
        </w:rPr>
      </w:pPr>
      <w:r>
        <w:rPr>
          <w:rFonts w:ascii="仿宋" w:hAnsi="仿宋" w:eastAsia="仿宋" w:cs="仿宋"/>
          <w:spacing w:val="-3"/>
          <w:sz w:val="24"/>
          <w:szCs w:val="24"/>
        </w:rPr>
        <w:t>1、排水系统常态化维护</w:t>
      </w:r>
    </w:p>
    <w:p w14:paraId="769E846A">
      <w:pPr>
        <w:spacing w:before="180" w:line="360" w:lineRule="auto"/>
        <w:ind w:left="30" w:right="99" w:firstLine="483"/>
        <w:rPr>
          <w:rFonts w:ascii="仿宋" w:hAnsi="仿宋" w:eastAsia="仿宋" w:cs="仿宋"/>
          <w:sz w:val="24"/>
          <w:szCs w:val="24"/>
        </w:rPr>
      </w:pPr>
      <w:r>
        <w:rPr>
          <w:rFonts w:ascii="仿宋" w:hAnsi="仿宋" w:eastAsia="仿宋" w:cs="仿宋"/>
          <w:spacing w:val="-4"/>
          <w:sz w:val="24"/>
          <w:szCs w:val="24"/>
        </w:rPr>
        <w:t>定期清理直角梯形边沟、梯形排水沟及急流槽，清除泥沙、落叶、煤炭遗撒</w:t>
      </w:r>
      <w:r>
        <w:rPr>
          <w:rFonts w:ascii="仿宋" w:hAnsi="仿宋" w:eastAsia="仿宋" w:cs="仿宋"/>
          <w:spacing w:val="-3"/>
          <w:sz w:val="24"/>
          <w:szCs w:val="24"/>
        </w:rPr>
        <w:t>物等淤积物，确保排水通畅；每年雨季前检查过水路面隔水墙及</w:t>
      </w:r>
      <w:r>
        <w:rPr>
          <w:rFonts w:ascii="仿宋" w:hAnsi="仿宋" w:eastAsia="仿宋" w:cs="仿宋"/>
          <w:spacing w:val="-4"/>
          <w:sz w:val="24"/>
          <w:szCs w:val="24"/>
        </w:rPr>
        <w:t>散水平台，发现</w:t>
      </w:r>
      <w:r>
        <w:rPr>
          <w:rFonts w:ascii="仿宋" w:hAnsi="仿宋" w:eastAsia="仿宋" w:cs="仿宋"/>
          <w:spacing w:val="-1"/>
          <w:sz w:val="24"/>
          <w:szCs w:val="24"/>
        </w:rPr>
        <w:t>渗漏、沉降等问题及时修补，防止水流冲毁路面及边坡土壤。</w:t>
      </w:r>
    </w:p>
    <w:p w14:paraId="2D425BAA">
      <w:pPr>
        <w:spacing w:before="1" w:line="221" w:lineRule="auto"/>
        <w:ind w:left="505"/>
        <w:rPr>
          <w:rFonts w:ascii="仿宋" w:hAnsi="仿宋" w:eastAsia="仿宋" w:cs="仿宋"/>
          <w:sz w:val="24"/>
          <w:szCs w:val="24"/>
        </w:rPr>
      </w:pPr>
      <w:r>
        <w:rPr>
          <w:rFonts w:ascii="仿宋" w:hAnsi="仿宋" w:eastAsia="仿宋" w:cs="仿宋"/>
          <w:spacing w:val="-2"/>
          <w:sz w:val="24"/>
          <w:szCs w:val="24"/>
        </w:rPr>
        <w:t>2、路面径流污染控制</w:t>
      </w:r>
    </w:p>
    <w:p w14:paraId="6BE90CD2">
      <w:pPr>
        <w:spacing w:before="180" w:line="361" w:lineRule="auto"/>
        <w:ind w:left="26" w:right="101" w:firstLine="488"/>
        <w:rPr>
          <w:rFonts w:ascii="仿宋" w:hAnsi="仿宋" w:eastAsia="仿宋" w:cs="仿宋"/>
          <w:sz w:val="24"/>
          <w:szCs w:val="24"/>
        </w:rPr>
      </w:pPr>
      <w:r>
        <w:rPr>
          <w:rFonts w:ascii="仿宋" w:hAnsi="仿宋" w:eastAsia="仿宋" w:cs="仿宋"/>
          <w:spacing w:val="-4"/>
          <w:sz w:val="24"/>
          <w:szCs w:val="24"/>
        </w:rPr>
        <w:t>定期对路面进行清扫，清除煤炭碎屑、油污等污染物，避免雨水冲刷带入黑</w:t>
      </w:r>
      <w:r>
        <w:rPr>
          <w:rFonts w:ascii="仿宋" w:hAnsi="仿宋" w:eastAsia="仿宋" w:cs="仿宋"/>
          <w:spacing w:val="-5"/>
          <w:sz w:val="24"/>
          <w:szCs w:val="24"/>
        </w:rPr>
        <w:t>桥沟。</w:t>
      </w:r>
    </w:p>
    <w:p w14:paraId="16B3C699">
      <w:pPr>
        <w:spacing w:before="163" w:line="227" w:lineRule="auto"/>
        <w:ind w:left="28"/>
        <w:rPr>
          <w:rFonts w:ascii="仿宋" w:hAnsi="仿宋" w:eastAsia="仿宋" w:cs="仿宋"/>
          <w:sz w:val="26"/>
          <w:szCs w:val="26"/>
        </w:rPr>
      </w:pPr>
      <w:r>
        <w:rPr>
          <w:rFonts w:ascii="仿宋" w:hAnsi="仿宋" w:eastAsia="仿宋" w:cs="仿宋"/>
          <w:b/>
          <w:bCs/>
          <w:spacing w:val="3"/>
          <w:sz w:val="26"/>
          <w:szCs w:val="26"/>
        </w:rPr>
        <w:t>5.2.5</w:t>
      </w:r>
      <w:r>
        <w:rPr>
          <w:rFonts w:ascii="仿宋" w:hAnsi="仿宋" w:eastAsia="仿宋" w:cs="仿宋"/>
          <w:spacing w:val="-37"/>
          <w:sz w:val="26"/>
          <w:szCs w:val="26"/>
        </w:rPr>
        <w:t xml:space="preserve"> </w:t>
      </w:r>
      <w:r>
        <w:rPr>
          <w:rFonts w:ascii="仿宋" w:hAnsi="仿宋" w:eastAsia="仿宋" w:cs="仿宋"/>
          <w:b/>
          <w:bCs/>
          <w:spacing w:val="3"/>
          <w:sz w:val="26"/>
          <w:szCs w:val="26"/>
        </w:rPr>
        <w:t>野生动物保护措施</w:t>
      </w:r>
    </w:p>
    <w:p w14:paraId="6D6D1538">
      <w:pPr>
        <w:spacing w:line="227" w:lineRule="auto"/>
        <w:rPr>
          <w:rFonts w:ascii="仿宋" w:hAnsi="仿宋" w:eastAsia="仿宋" w:cs="仿宋"/>
          <w:sz w:val="26"/>
          <w:szCs w:val="26"/>
        </w:rPr>
        <w:sectPr>
          <w:footerReference r:id="rId271" w:type="default"/>
          <w:pgSz w:w="11906" w:h="16839"/>
          <w:pgMar w:top="400" w:right="1700" w:bottom="1367" w:left="1785" w:header="0" w:footer="1207" w:gutter="0"/>
          <w:cols w:space="720" w:num="1"/>
        </w:sectPr>
      </w:pPr>
    </w:p>
    <w:p w14:paraId="0A9D5971">
      <w:pPr>
        <w:pStyle w:val="2"/>
        <w:spacing w:line="267" w:lineRule="auto"/>
        <w:rPr>
          <w:sz w:val="21"/>
        </w:rPr>
      </w:pPr>
    </w:p>
    <w:p w14:paraId="605308BD">
      <w:pPr>
        <w:pStyle w:val="2"/>
        <w:spacing w:line="267" w:lineRule="auto"/>
        <w:rPr>
          <w:sz w:val="21"/>
        </w:rPr>
      </w:pPr>
    </w:p>
    <w:p w14:paraId="52E7D1CF">
      <w:pPr>
        <w:pStyle w:val="2"/>
        <w:spacing w:line="267" w:lineRule="auto"/>
        <w:rPr>
          <w:sz w:val="21"/>
        </w:rPr>
      </w:pPr>
    </w:p>
    <w:p w14:paraId="190ECE0D">
      <w:pPr>
        <w:pStyle w:val="2"/>
        <w:spacing w:line="268" w:lineRule="auto"/>
        <w:rPr>
          <w:sz w:val="21"/>
        </w:rPr>
      </w:pPr>
    </w:p>
    <w:p w14:paraId="5B88D884">
      <w:pPr>
        <w:spacing w:before="78" w:line="221" w:lineRule="auto"/>
        <w:ind w:left="511"/>
        <w:rPr>
          <w:rFonts w:ascii="仿宋" w:hAnsi="仿宋" w:eastAsia="仿宋" w:cs="仿宋"/>
          <w:sz w:val="24"/>
          <w:szCs w:val="24"/>
        </w:rPr>
      </w:pPr>
      <w:r>
        <w:rPr>
          <w:rFonts w:ascii="仿宋" w:hAnsi="仿宋" w:eastAsia="仿宋" w:cs="仿宋"/>
          <w:spacing w:val="-1"/>
          <w:sz w:val="24"/>
          <w:szCs w:val="24"/>
        </w:rPr>
        <w:t>严格执行夜间禁鸣、限速规定，减少对鸟类栖息的干扰。</w:t>
      </w:r>
    </w:p>
    <w:p w14:paraId="1E7265F8">
      <w:pPr>
        <w:spacing w:before="180" w:line="221" w:lineRule="auto"/>
        <w:ind w:left="511"/>
        <w:rPr>
          <w:rFonts w:ascii="仿宋" w:hAnsi="仿宋" w:eastAsia="仿宋" w:cs="仿宋"/>
          <w:sz w:val="24"/>
          <w:szCs w:val="24"/>
        </w:rPr>
      </w:pPr>
      <w:r>
        <w:rPr>
          <w:rFonts w:ascii="仿宋" w:hAnsi="仿宋" w:eastAsia="仿宋" w:cs="仿宋"/>
          <w:spacing w:val="-1"/>
          <w:sz w:val="24"/>
          <w:szCs w:val="24"/>
        </w:rPr>
        <w:t>采取以上措施后，生态环境的污染影响较小，采取以上措施可行。</w:t>
      </w:r>
    </w:p>
    <w:p w14:paraId="31E33458">
      <w:pPr>
        <w:pStyle w:val="2"/>
        <w:spacing w:line="393" w:lineRule="auto"/>
        <w:rPr>
          <w:sz w:val="21"/>
        </w:rPr>
      </w:pPr>
    </w:p>
    <w:p w14:paraId="70D0CE27">
      <w:pPr>
        <w:spacing w:before="113" w:line="228" w:lineRule="auto"/>
        <w:ind w:left="29"/>
        <w:outlineLvl w:val="0"/>
        <w:rPr>
          <w:rFonts w:ascii="仿宋" w:hAnsi="仿宋" w:eastAsia="仿宋" w:cs="仿宋"/>
          <w:sz w:val="35"/>
          <w:szCs w:val="35"/>
        </w:rPr>
      </w:pPr>
      <w:bookmarkStart w:id="78" w:name="bookmark88"/>
      <w:bookmarkEnd w:id="78"/>
      <w:bookmarkStart w:id="79" w:name="bookmark87"/>
      <w:bookmarkEnd w:id="79"/>
      <w:r>
        <w:rPr>
          <w:rFonts w:ascii="仿宋" w:hAnsi="仿宋" w:eastAsia="仿宋" w:cs="仿宋"/>
          <w:b/>
          <w:bCs/>
          <w:spacing w:val="5"/>
          <w:sz w:val="35"/>
          <w:szCs w:val="35"/>
        </w:rPr>
        <w:t>6.生态监测和环境管理</w:t>
      </w:r>
    </w:p>
    <w:p w14:paraId="15853C60">
      <w:pPr>
        <w:spacing w:before="315" w:line="228" w:lineRule="auto"/>
        <w:ind w:left="27"/>
        <w:outlineLvl w:val="1"/>
        <w:rPr>
          <w:rFonts w:ascii="仿宋" w:hAnsi="仿宋" w:eastAsia="仿宋" w:cs="仿宋"/>
          <w:sz w:val="31"/>
          <w:szCs w:val="31"/>
        </w:rPr>
      </w:pPr>
      <w:r>
        <w:rPr>
          <w:rFonts w:ascii="仿宋" w:hAnsi="仿宋" w:eastAsia="仿宋" w:cs="仿宋"/>
          <w:b/>
          <w:bCs/>
          <w:sz w:val="31"/>
          <w:szCs w:val="31"/>
        </w:rPr>
        <w:t>6.1</w:t>
      </w:r>
      <w:r>
        <w:rPr>
          <w:rFonts w:ascii="仿宋" w:hAnsi="仿宋" w:eastAsia="仿宋" w:cs="仿宋"/>
          <w:spacing w:val="-50"/>
          <w:sz w:val="31"/>
          <w:szCs w:val="31"/>
        </w:rPr>
        <w:t xml:space="preserve"> </w:t>
      </w:r>
      <w:r>
        <w:rPr>
          <w:rFonts w:ascii="仿宋" w:hAnsi="仿宋" w:eastAsia="仿宋" w:cs="仿宋"/>
          <w:b/>
          <w:bCs/>
          <w:sz w:val="31"/>
          <w:szCs w:val="31"/>
        </w:rPr>
        <w:t>环境监测</w:t>
      </w:r>
    </w:p>
    <w:p w14:paraId="77DAF9EE">
      <w:pPr>
        <w:pStyle w:val="2"/>
        <w:spacing w:line="277" w:lineRule="auto"/>
        <w:rPr>
          <w:sz w:val="21"/>
        </w:rPr>
      </w:pPr>
    </w:p>
    <w:p w14:paraId="10B9208B">
      <w:pPr>
        <w:spacing w:before="85" w:line="229" w:lineRule="auto"/>
        <w:ind w:left="25"/>
        <w:rPr>
          <w:rFonts w:ascii="仿宋" w:hAnsi="仿宋" w:eastAsia="仿宋" w:cs="仿宋"/>
          <w:sz w:val="26"/>
          <w:szCs w:val="26"/>
        </w:rPr>
      </w:pPr>
      <w:r>
        <w:rPr>
          <w:rFonts w:ascii="仿宋" w:hAnsi="仿宋" w:eastAsia="仿宋" w:cs="仿宋"/>
          <w:b/>
          <w:bCs/>
          <w:spacing w:val="5"/>
          <w:sz w:val="26"/>
          <w:szCs w:val="26"/>
        </w:rPr>
        <w:t>6.1.1</w:t>
      </w:r>
      <w:r>
        <w:rPr>
          <w:rFonts w:ascii="仿宋" w:hAnsi="仿宋" w:eastAsia="仿宋" w:cs="仿宋"/>
          <w:spacing w:val="-41"/>
          <w:sz w:val="26"/>
          <w:szCs w:val="26"/>
        </w:rPr>
        <w:t xml:space="preserve"> </w:t>
      </w:r>
      <w:r>
        <w:rPr>
          <w:rFonts w:ascii="仿宋" w:hAnsi="仿宋" w:eastAsia="仿宋" w:cs="仿宋"/>
          <w:b/>
          <w:bCs/>
          <w:spacing w:val="5"/>
          <w:sz w:val="26"/>
          <w:szCs w:val="26"/>
        </w:rPr>
        <w:t>环境监测目标、原则与责任机构</w:t>
      </w:r>
    </w:p>
    <w:p w14:paraId="4C18C538">
      <w:pPr>
        <w:pStyle w:val="2"/>
        <w:spacing w:line="259" w:lineRule="auto"/>
        <w:rPr>
          <w:sz w:val="21"/>
        </w:rPr>
      </w:pPr>
    </w:p>
    <w:p w14:paraId="4130F5FA">
      <w:pPr>
        <w:spacing w:before="78" w:line="220" w:lineRule="auto"/>
        <w:ind w:left="509"/>
        <w:rPr>
          <w:rFonts w:ascii="仿宋" w:hAnsi="仿宋" w:eastAsia="仿宋" w:cs="仿宋"/>
          <w:sz w:val="24"/>
          <w:szCs w:val="24"/>
        </w:rPr>
      </w:pPr>
      <w:r>
        <w:rPr>
          <w:rFonts w:ascii="仿宋" w:hAnsi="仿宋" w:eastAsia="仿宋" w:cs="仿宋"/>
          <w:spacing w:val="-2"/>
          <w:sz w:val="24"/>
          <w:szCs w:val="24"/>
        </w:rPr>
        <w:t>环境监测工作的目标是：</w:t>
      </w:r>
    </w:p>
    <w:p w14:paraId="7944F7AF">
      <w:pPr>
        <w:spacing w:before="182" w:line="360" w:lineRule="auto"/>
        <w:ind w:left="34" w:right="85" w:firstLine="480"/>
        <w:rPr>
          <w:rFonts w:ascii="仿宋" w:hAnsi="仿宋" w:eastAsia="仿宋" w:cs="仿宋"/>
          <w:sz w:val="24"/>
          <w:szCs w:val="24"/>
        </w:rPr>
      </w:pPr>
      <w:r>
        <w:rPr>
          <w:rFonts w:ascii="仿宋" w:hAnsi="仿宋" w:eastAsia="仿宋" w:cs="仿宋"/>
          <w:sz w:val="24"/>
          <w:szCs w:val="24"/>
        </w:rPr>
        <w:t>（1）对环境影响报告表中提出的拟建项目潜在生态环境影响的结论加以核</w:t>
      </w:r>
      <w:r>
        <w:rPr>
          <w:rFonts w:ascii="仿宋" w:hAnsi="仿宋" w:eastAsia="仿宋" w:cs="仿宋"/>
          <w:spacing w:val="-11"/>
          <w:sz w:val="24"/>
          <w:szCs w:val="24"/>
        </w:rPr>
        <w:t>实；</w:t>
      </w:r>
    </w:p>
    <w:p w14:paraId="55D8DE86">
      <w:pPr>
        <w:spacing w:line="222" w:lineRule="auto"/>
        <w:ind w:left="514"/>
        <w:rPr>
          <w:rFonts w:ascii="仿宋" w:hAnsi="仿宋" w:eastAsia="仿宋" w:cs="仿宋"/>
          <w:sz w:val="24"/>
          <w:szCs w:val="24"/>
        </w:rPr>
      </w:pPr>
      <w:r>
        <w:rPr>
          <w:rFonts w:ascii="仿宋" w:hAnsi="仿宋" w:eastAsia="仿宋" w:cs="仿宋"/>
          <w:spacing w:val="-2"/>
          <w:sz w:val="24"/>
          <w:szCs w:val="24"/>
        </w:rPr>
        <w:t>（2）确定实际的影响程度；</w:t>
      </w:r>
    </w:p>
    <w:p w14:paraId="59DAFEDB">
      <w:pPr>
        <w:spacing w:before="180" w:line="220" w:lineRule="auto"/>
        <w:ind w:left="514"/>
        <w:rPr>
          <w:rFonts w:ascii="仿宋" w:hAnsi="仿宋" w:eastAsia="仿宋" w:cs="仿宋"/>
          <w:sz w:val="24"/>
          <w:szCs w:val="24"/>
        </w:rPr>
      </w:pPr>
      <w:r>
        <w:rPr>
          <w:rFonts w:ascii="仿宋" w:hAnsi="仿宋" w:eastAsia="仿宋" w:cs="仿宋"/>
          <w:spacing w:val="-1"/>
          <w:sz w:val="24"/>
          <w:szCs w:val="24"/>
        </w:rPr>
        <w:t>（3）核实生态环境保护措施的有效性和适当性</w:t>
      </w:r>
    </w:p>
    <w:p w14:paraId="682D6AE1">
      <w:pPr>
        <w:spacing w:before="181" w:line="360" w:lineRule="auto"/>
        <w:ind w:left="510" w:firstLine="4"/>
        <w:rPr>
          <w:rFonts w:ascii="仿宋" w:hAnsi="仿宋" w:eastAsia="仿宋" w:cs="仿宋"/>
          <w:sz w:val="24"/>
          <w:szCs w:val="24"/>
        </w:rPr>
      </w:pPr>
      <w:r>
        <w:rPr>
          <w:rFonts w:ascii="仿宋" w:hAnsi="仿宋" w:eastAsia="仿宋" w:cs="仿宋"/>
          <w:spacing w:val="-5"/>
          <w:sz w:val="24"/>
          <w:szCs w:val="24"/>
        </w:rPr>
        <w:t>（4）为解决超出环境影响评价结论的不利影响而追加的环保措施提供依据。</w:t>
      </w:r>
      <w:r>
        <w:rPr>
          <w:rFonts w:ascii="仿宋" w:hAnsi="仿宋" w:eastAsia="仿宋" w:cs="仿宋"/>
          <w:spacing w:val="-1"/>
          <w:sz w:val="24"/>
          <w:szCs w:val="24"/>
        </w:rPr>
        <w:t>制定的原则是根据预期的各个时间的主要环境影响。</w:t>
      </w:r>
    </w:p>
    <w:p w14:paraId="738E70F8">
      <w:pPr>
        <w:spacing w:before="2" w:line="359" w:lineRule="auto"/>
        <w:ind w:left="31" w:right="83" w:firstLine="492"/>
        <w:rPr>
          <w:rFonts w:ascii="仿宋" w:hAnsi="仿宋" w:eastAsia="仿宋" w:cs="仿宋"/>
          <w:sz w:val="24"/>
          <w:szCs w:val="24"/>
        </w:rPr>
      </w:pPr>
      <w:r>
        <w:rPr>
          <w:rFonts w:ascii="仿宋" w:hAnsi="仿宋" w:eastAsia="仿宋" w:cs="仿宋"/>
          <w:spacing w:val="4"/>
          <w:sz w:val="24"/>
          <w:szCs w:val="24"/>
        </w:rPr>
        <w:t>生态监测部门应由建设单位委托符合国家环</w:t>
      </w:r>
      <w:r>
        <w:rPr>
          <w:rFonts w:ascii="仿宋" w:hAnsi="仿宋" w:eastAsia="仿宋" w:cs="仿宋"/>
          <w:spacing w:val="3"/>
          <w:sz w:val="24"/>
          <w:szCs w:val="24"/>
        </w:rPr>
        <w:t>境质量监测认证资质的单位进</w:t>
      </w:r>
      <w:r>
        <w:rPr>
          <w:rFonts w:ascii="仿宋" w:hAnsi="仿宋" w:eastAsia="仿宋" w:cs="仿宋"/>
          <w:spacing w:val="-1"/>
          <w:sz w:val="24"/>
          <w:szCs w:val="24"/>
        </w:rPr>
        <w:t>行。在公路施工期和运营期，生态监测是环境管理计划中重要的组成部分。</w:t>
      </w:r>
    </w:p>
    <w:p w14:paraId="366DEFA0">
      <w:pPr>
        <w:spacing w:before="166" w:line="229" w:lineRule="auto"/>
        <w:ind w:left="25"/>
        <w:rPr>
          <w:rFonts w:ascii="仿宋" w:hAnsi="仿宋" w:eastAsia="仿宋" w:cs="仿宋"/>
          <w:sz w:val="26"/>
          <w:szCs w:val="26"/>
        </w:rPr>
      </w:pPr>
      <w:r>
        <w:rPr>
          <w:rFonts w:ascii="仿宋" w:hAnsi="仿宋" w:eastAsia="仿宋" w:cs="仿宋"/>
          <w:b/>
          <w:bCs/>
          <w:spacing w:val="3"/>
          <w:sz w:val="26"/>
          <w:szCs w:val="26"/>
        </w:rPr>
        <w:t>6.1.2</w:t>
      </w:r>
      <w:r>
        <w:rPr>
          <w:rFonts w:ascii="仿宋" w:hAnsi="仿宋" w:eastAsia="仿宋" w:cs="仿宋"/>
          <w:spacing w:val="-45"/>
          <w:sz w:val="26"/>
          <w:szCs w:val="26"/>
        </w:rPr>
        <w:t xml:space="preserve"> </w:t>
      </w:r>
      <w:r>
        <w:rPr>
          <w:rFonts w:ascii="仿宋" w:hAnsi="仿宋" w:eastAsia="仿宋" w:cs="仿宋"/>
          <w:b/>
          <w:bCs/>
          <w:spacing w:val="3"/>
          <w:sz w:val="26"/>
          <w:szCs w:val="26"/>
        </w:rPr>
        <w:t>环境监测计划</w:t>
      </w:r>
    </w:p>
    <w:p w14:paraId="308B0B7C">
      <w:pPr>
        <w:pStyle w:val="2"/>
        <w:spacing w:line="259" w:lineRule="auto"/>
        <w:rPr>
          <w:sz w:val="21"/>
        </w:rPr>
      </w:pPr>
    </w:p>
    <w:p w14:paraId="454EEF71">
      <w:pPr>
        <w:spacing w:before="78" w:line="360" w:lineRule="auto"/>
        <w:ind w:left="30" w:right="17" w:firstLine="480"/>
        <w:rPr>
          <w:rFonts w:ascii="仿宋" w:hAnsi="仿宋" w:eastAsia="仿宋" w:cs="仿宋"/>
          <w:sz w:val="24"/>
          <w:szCs w:val="24"/>
        </w:rPr>
      </w:pPr>
      <w:r>
        <w:rPr>
          <w:rFonts w:ascii="仿宋" w:hAnsi="仿宋" w:eastAsia="仿宋" w:cs="仿宋"/>
          <w:spacing w:val="-6"/>
          <w:sz w:val="24"/>
          <w:szCs w:val="24"/>
        </w:rPr>
        <w:t>根据《环境影响评价技术导则 公路建设项目</w:t>
      </w:r>
      <w:r>
        <w:rPr>
          <w:rFonts w:ascii="仿宋" w:hAnsi="仿宋" w:eastAsia="仿宋" w:cs="仿宋"/>
          <w:spacing w:val="-7"/>
          <w:sz w:val="24"/>
          <w:szCs w:val="24"/>
        </w:rPr>
        <w:t>》（HJ</w:t>
      </w:r>
      <w:r>
        <w:rPr>
          <w:rFonts w:ascii="仿宋" w:hAnsi="仿宋" w:eastAsia="仿宋" w:cs="仿宋"/>
          <w:spacing w:val="-34"/>
          <w:sz w:val="24"/>
          <w:szCs w:val="24"/>
        </w:rPr>
        <w:t xml:space="preserve"> </w:t>
      </w:r>
      <w:r>
        <w:rPr>
          <w:rFonts w:ascii="仿宋" w:hAnsi="仿宋" w:eastAsia="仿宋" w:cs="仿宋"/>
          <w:spacing w:val="-7"/>
          <w:sz w:val="24"/>
          <w:szCs w:val="24"/>
        </w:rPr>
        <w:t>1358—2024）相关规定，</w:t>
      </w:r>
      <w:r>
        <w:rPr>
          <w:rFonts w:ascii="仿宋" w:hAnsi="仿宋" w:eastAsia="仿宋" w:cs="仿宋"/>
          <w:spacing w:val="1"/>
          <w:sz w:val="24"/>
          <w:szCs w:val="24"/>
        </w:rPr>
        <w:t>本项目生态评价等级为三级，只开展施工期生态监测，监测计划见表6.1-1。</w:t>
      </w:r>
    </w:p>
    <w:p w14:paraId="6623059D">
      <w:pPr>
        <w:spacing w:line="222" w:lineRule="auto"/>
        <w:ind w:left="2887"/>
        <w:rPr>
          <w:rFonts w:ascii="仿宋" w:hAnsi="仿宋" w:eastAsia="仿宋" w:cs="仿宋"/>
          <w:sz w:val="24"/>
          <w:szCs w:val="24"/>
        </w:rPr>
      </w:pPr>
      <w:r>
        <w:rPr>
          <w:rFonts w:ascii="仿宋" w:hAnsi="仿宋" w:eastAsia="仿宋" w:cs="仿宋"/>
          <w:b/>
          <w:bCs/>
          <w:spacing w:val="-7"/>
          <w:sz w:val="24"/>
          <w:szCs w:val="24"/>
        </w:rPr>
        <w:t>表</w:t>
      </w:r>
      <w:r>
        <w:rPr>
          <w:rFonts w:ascii="仿宋" w:hAnsi="仿宋" w:eastAsia="仿宋" w:cs="仿宋"/>
          <w:spacing w:val="-46"/>
          <w:sz w:val="24"/>
          <w:szCs w:val="24"/>
        </w:rPr>
        <w:t xml:space="preserve"> </w:t>
      </w:r>
      <w:r>
        <w:rPr>
          <w:rFonts w:ascii="仿宋" w:hAnsi="仿宋" w:eastAsia="仿宋" w:cs="仿宋"/>
          <w:b/>
          <w:bCs/>
          <w:spacing w:val="-7"/>
          <w:sz w:val="24"/>
          <w:szCs w:val="24"/>
        </w:rPr>
        <w:t>6.1-1</w:t>
      </w:r>
      <w:r>
        <w:rPr>
          <w:rFonts w:ascii="仿宋" w:hAnsi="仿宋" w:eastAsia="仿宋" w:cs="仿宋"/>
          <w:spacing w:val="16"/>
          <w:sz w:val="24"/>
          <w:szCs w:val="24"/>
        </w:rPr>
        <w:t xml:space="preserve">  </w:t>
      </w:r>
      <w:r>
        <w:rPr>
          <w:rFonts w:ascii="仿宋" w:hAnsi="仿宋" w:eastAsia="仿宋" w:cs="仿宋"/>
          <w:b/>
          <w:bCs/>
          <w:spacing w:val="-7"/>
          <w:sz w:val="24"/>
          <w:szCs w:val="24"/>
        </w:rPr>
        <w:t>生态监测计划</w:t>
      </w:r>
    </w:p>
    <w:p w14:paraId="596AE754">
      <w:pPr>
        <w:spacing w:line="63" w:lineRule="exact"/>
      </w:pPr>
    </w:p>
    <w:tbl>
      <w:tblPr>
        <w:tblStyle w:val="5"/>
        <w:tblW w:w="8305"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8"/>
        <w:gridCol w:w="483"/>
        <w:gridCol w:w="5803"/>
        <w:gridCol w:w="1541"/>
      </w:tblGrid>
      <w:tr w14:paraId="13526D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9" w:hRule="atLeast"/>
        </w:trPr>
        <w:tc>
          <w:tcPr>
            <w:tcW w:w="478" w:type="dxa"/>
            <w:vMerge w:val="restart"/>
            <w:tcBorders>
              <w:top w:val="single" w:color="000000" w:sz="10" w:space="0"/>
              <w:left w:val="nil"/>
              <w:bottom w:val="nil"/>
            </w:tcBorders>
            <w:vAlign w:val="top"/>
          </w:tcPr>
          <w:p w14:paraId="336DD776">
            <w:pPr>
              <w:spacing w:before="177" w:line="233" w:lineRule="auto"/>
              <w:ind w:left="42"/>
              <w:rPr>
                <w:rFonts w:ascii="仿宋" w:hAnsi="仿宋" w:eastAsia="仿宋" w:cs="仿宋"/>
                <w:sz w:val="20"/>
                <w:szCs w:val="20"/>
              </w:rPr>
            </w:pPr>
            <w:r>
              <w:rPr>
                <w:rFonts w:ascii="仿宋" w:hAnsi="仿宋" w:eastAsia="仿宋" w:cs="仿宋"/>
                <w:sz w:val="20"/>
                <w:szCs w:val="20"/>
              </w:rPr>
              <w:t>类型</w:t>
            </w:r>
          </w:p>
        </w:tc>
        <w:tc>
          <w:tcPr>
            <w:tcW w:w="483" w:type="dxa"/>
            <w:vMerge w:val="restart"/>
            <w:tcBorders>
              <w:top w:val="single" w:color="000000" w:sz="10" w:space="0"/>
              <w:bottom w:val="nil"/>
            </w:tcBorders>
            <w:vAlign w:val="top"/>
          </w:tcPr>
          <w:p w14:paraId="5ECAB539">
            <w:pPr>
              <w:spacing w:before="177" w:line="232" w:lineRule="auto"/>
              <w:ind w:left="42"/>
              <w:rPr>
                <w:rFonts w:ascii="仿宋" w:hAnsi="仿宋" w:eastAsia="仿宋" w:cs="仿宋"/>
                <w:sz w:val="20"/>
                <w:szCs w:val="20"/>
              </w:rPr>
            </w:pPr>
            <w:r>
              <w:rPr>
                <w:rFonts w:ascii="仿宋" w:hAnsi="仿宋" w:eastAsia="仿宋" w:cs="仿宋"/>
                <w:spacing w:val="1"/>
                <w:sz w:val="20"/>
                <w:szCs w:val="20"/>
              </w:rPr>
              <w:t>项目</w:t>
            </w:r>
          </w:p>
        </w:tc>
        <w:tc>
          <w:tcPr>
            <w:tcW w:w="7344" w:type="dxa"/>
            <w:gridSpan w:val="2"/>
            <w:tcBorders>
              <w:top w:val="single" w:color="000000" w:sz="10" w:space="0"/>
              <w:right w:val="nil"/>
            </w:tcBorders>
            <w:vAlign w:val="top"/>
          </w:tcPr>
          <w:p w14:paraId="20CA7FA9">
            <w:pPr>
              <w:spacing w:before="36" w:line="215" w:lineRule="auto"/>
              <w:ind w:left="3058"/>
              <w:rPr>
                <w:rFonts w:ascii="仿宋" w:hAnsi="仿宋" w:eastAsia="仿宋" w:cs="仿宋"/>
                <w:sz w:val="20"/>
                <w:szCs w:val="20"/>
              </w:rPr>
            </w:pPr>
            <w:r>
              <w:rPr>
                <w:rFonts w:ascii="仿宋" w:hAnsi="仿宋" w:eastAsia="仿宋" w:cs="仿宋"/>
                <w:spacing w:val="6"/>
                <w:sz w:val="20"/>
                <w:szCs w:val="20"/>
              </w:rPr>
              <w:t>分期监测方案</w:t>
            </w:r>
          </w:p>
        </w:tc>
      </w:tr>
      <w:tr w14:paraId="0152D1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478" w:type="dxa"/>
            <w:vMerge w:val="continue"/>
            <w:tcBorders>
              <w:top w:val="nil"/>
              <w:left w:val="nil"/>
            </w:tcBorders>
            <w:vAlign w:val="top"/>
          </w:tcPr>
          <w:p w14:paraId="7829A255">
            <w:pPr>
              <w:rPr>
                <w:rFonts w:ascii="Arial"/>
                <w:sz w:val="21"/>
              </w:rPr>
            </w:pPr>
          </w:p>
        </w:tc>
        <w:tc>
          <w:tcPr>
            <w:tcW w:w="483" w:type="dxa"/>
            <w:vMerge w:val="continue"/>
            <w:tcBorders>
              <w:top w:val="nil"/>
            </w:tcBorders>
            <w:vAlign w:val="top"/>
          </w:tcPr>
          <w:p w14:paraId="2743F1A9">
            <w:pPr>
              <w:rPr>
                <w:rFonts w:ascii="Arial"/>
                <w:sz w:val="21"/>
              </w:rPr>
            </w:pPr>
          </w:p>
        </w:tc>
        <w:tc>
          <w:tcPr>
            <w:tcW w:w="5803" w:type="dxa"/>
            <w:vAlign w:val="top"/>
          </w:tcPr>
          <w:p w14:paraId="08599BB1">
            <w:pPr>
              <w:spacing w:before="35" w:line="212" w:lineRule="auto"/>
              <w:ind w:left="2596"/>
              <w:rPr>
                <w:rFonts w:ascii="仿宋" w:hAnsi="仿宋" w:eastAsia="仿宋" w:cs="仿宋"/>
                <w:sz w:val="20"/>
                <w:szCs w:val="20"/>
              </w:rPr>
            </w:pPr>
            <w:r>
              <w:rPr>
                <w:rFonts w:ascii="仿宋" w:hAnsi="仿宋" w:eastAsia="仿宋" w:cs="仿宋"/>
                <w:spacing w:val="5"/>
                <w:sz w:val="20"/>
                <w:szCs w:val="20"/>
              </w:rPr>
              <w:t>施工期</w:t>
            </w:r>
          </w:p>
        </w:tc>
        <w:tc>
          <w:tcPr>
            <w:tcW w:w="1541" w:type="dxa"/>
            <w:tcBorders>
              <w:right w:val="nil"/>
            </w:tcBorders>
            <w:vAlign w:val="top"/>
          </w:tcPr>
          <w:p w14:paraId="439925CB">
            <w:pPr>
              <w:spacing w:before="35" w:line="212" w:lineRule="auto"/>
              <w:ind w:left="470"/>
              <w:rPr>
                <w:rFonts w:ascii="仿宋" w:hAnsi="仿宋" w:eastAsia="仿宋" w:cs="仿宋"/>
                <w:sz w:val="20"/>
                <w:szCs w:val="20"/>
              </w:rPr>
            </w:pPr>
            <w:r>
              <w:rPr>
                <w:rFonts w:ascii="仿宋" w:hAnsi="仿宋" w:eastAsia="仿宋" w:cs="仿宋"/>
                <w:spacing w:val="4"/>
                <w:sz w:val="20"/>
                <w:szCs w:val="20"/>
              </w:rPr>
              <w:t>运营期</w:t>
            </w:r>
          </w:p>
        </w:tc>
      </w:tr>
      <w:tr w14:paraId="18B8BA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478" w:type="dxa"/>
            <w:vMerge w:val="restart"/>
            <w:tcBorders>
              <w:left w:val="nil"/>
              <w:bottom w:val="nil"/>
            </w:tcBorders>
            <w:vAlign w:val="top"/>
          </w:tcPr>
          <w:p w14:paraId="585B9BA0">
            <w:pPr>
              <w:spacing w:line="265" w:lineRule="auto"/>
              <w:rPr>
                <w:rFonts w:ascii="Arial"/>
                <w:sz w:val="21"/>
              </w:rPr>
            </w:pPr>
          </w:p>
          <w:p w14:paraId="30D9AD95">
            <w:pPr>
              <w:spacing w:line="266" w:lineRule="auto"/>
              <w:rPr>
                <w:rFonts w:ascii="Arial"/>
                <w:sz w:val="21"/>
              </w:rPr>
            </w:pPr>
          </w:p>
          <w:p w14:paraId="0043C962">
            <w:pPr>
              <w:spacing w:line="266" w:lineRule="auto"/>
              <w:rPr>
                <w:rFonts w:ascii="Arial"/>
                <w:sz w:val="21"/>
              </w:rPr>
            </w:pPr>
          </w:p>
          <w:p w14:paraId="2AC7ED84">
            <w:pPr>
              <w:spacing w:before="65" w:line="251" w:lineRule="auto"/>
              <w:ind w:left="40" w:right="31" w:firstLine="12"/>
              <w:rPr>
                <w:rFonts w:ascii="仿宋" w:hAnsi="仿宋" w:eastAsia="仿宋" w:cs="仿宋"/>
                <w:sz w:val="20"/>
                <w:szCs w:val="20"/>
              </w:rPr>
            </w:pPr>
            <w:r>
              <w:rPr>
                <w:rFonts w:ascii="仿宋" w:hAnsi="仿宋" w:eastAsia="仿宋" w:cs="仿宋"/>
                <w:spacing w:val="-5"/>
                <w:sz w:val="20"/>
                <w:szCs w:val="20"/>
              </w:rPr>
              <w:t>生态</w:t>
            </w:r>
            <w:r>
              <w:rPr>
                <w:rFonts w:ascii="仿宋" w:hAnsi="仿宋" w:eastAsia="仿宋" w:cs="仿宋"/>
                <w:spacing w:val="2"/>
                <w:sz w:val="20"/>
                <w:szCs w:val="20"/>
              </w:rPr>
              <w:t>环境</w:t>
            </w:r>
          </w:p>
        </w:tc>
        <w:tc>
          <w:tcPr>
            <w:tcW w:w="483" w:type="dxa"/>
            <w:vAlign w:val="top"/>
          </w:tcPr>
          <w:p w14:paraId="7E994ED3">
            <w:pPr>
              <w:spacing w:before="35" w:line="232" w:lineRule="auto"/>
              <w:ind w:left="47"/>
              <w:rPr>
                <w:rFonts w:ascii="仿宋" w:hAnsi="仿宋" w:eastAsia="仿宋" w:cs="仿宋"/>
                <w:sz w:val="20"/>
                <w:szCs w:val="20"/>
              </w:rPr>
            </w:pPr>
            <w:r>
              <w:rPr>
                <w:rFonts w:ascii="仿宋" w:hAnsi="仿宋" w:eastAsia="仿宋" w:cs="仿宋"/>
                <w:spacing w:val="-1"/>
                <w:sz w:val="20"/>
                <w:szCs w:val="20"/>
              </w:rPr>
              <w:t>监测</w:t>
            </w:r>
          </w:p>
          <w:p w14:paraId="5AFC9869">
            <w:pPr>
              <w:spacing w:before="23" w:line="207" w:lineRule="auto"/>
              <w:ind w:left="42"/>
              <w:rPr>
                <w:rFonts w:ascii="仿宋" w:hAnsi="仿宋" w:eastAsia="仿宋" w:cs="仿宋"/>
                <w:sz w:val="20"/>
                <w:szCs w:val="20"/>
              </w:rPr>
            </w:pPr>
            <w:r>
              <w:rPr>
                <w:rFonts w:ascii="仿宋" w:hAnsi="仿宋" w:eastAsia="仿宋" w:cs="仿宋"/>
                <w:spacing w:val="1"/>
                <w:sz w:val="20"/>
                <w:szCs w:val="20"/>
              </w:rPr>
              <w:t>项目</w:t>
            </w:r>
          </w:p>
        </w:tc>
        <w:tc>
          <w:tcPr>
            <w:tcW w:w="5803" w:type="dxa"/>
            <w:vAlign w:val="top"/>
          </w:tcPr>
          <w:p w14:paraId="384A1A4D">
            <w:pPr>
              <w:spacing w:before="35" w:line="230" w:lineRule="auto"/>
              <w:ind w:left="706" w:right="2" w:hanging="691"/>
              <w:rPr>
                <w:rFonts w:ascii="仿宋" w:hAnsi="仿宋" w:eastAsia="仿宋" w:cs="仿宋"/>
                <w:sz w:val="20"/>
                <w:szCs w:val="20"/>
              </w:rPr>
            </w:pPr>
            <w:r>
              <w:rPr>
                <w:rFonts w:ascii="仿宋" w:hAnsi="仿宋" w:eastAsia="仿宋" w:cs="仿宋"/>
                <w:spacing w:val="6"/>
                <w:sz w:val="20"/>
                <w:szCs w:val="20"/>
              </w:rPr>
              <w:t>基本农田面积、农作物种类、生长状况；公益林地、基本草原植</w:t>
            </w:r>
            <w:r>
              <w:rPr>
                <w:rFonts w:ascii="仿宋" w:hAnsi="仿宋" w:eastAsia="仿宋" w:cs="仿宋"/>
                <w:spacing w:val="9"/>
                <w:sz w:val="20"/>
                <w:szCs w:val="20"/>
              </w:rPr>
              <w:t>被种类、群落结构、野生动物种类、分布情况等</w:t>
            </w:r>
          </w:p>
        </w:tc>
        <w:tc>
          <w:tcPr>
            <w:tcW w:w="1541" w:type="dxa"/>
            <w:vMerge w:val="restart"/>
            <w:tcBorders>
              <w:bottom w:val="nil"/>
              <w:right w:val="nil"/>
            </w:tcBorders>
            <w:vAlign w:val="top"/>
          </w:tcPr>
          <w:p w14:paraId="5DFE1880">
            <w:pPr>
              <w:spacing w:line="266" w:lineRule="auto"/>
              <w:rPr>
                <w:rFonts w:ascii="Arial"/>
                <w:sz w:val="21"/>
              </w:rPr>
            </w:pPr>
          </w:p>
          <w:p w14:paraId="437C435C">
            <w:pPr>
              <w:spacing w:line="266" w:lineRule="auto"/>
              <w:rPr>
                <w:rFonts w:ascii="Arial"/>
                <w:sz w:val="21"/>
              </w:rPr>
            </w:pPr>
          </w:p>
          <w:p w14:paraId="6594EB47">
            <w:pPr>
              <w:spacing w:line="266" w:lineRule="auto"/>
              <w:rPr>
                <w:rFonts w:ascii="Arial"/>
                <w:sz w:val="21"/>
              </w:rPr>
            </w:pPr>
          </w:p>
          <w:p w14:paraId="2B13915E">
            <w:pPr>
              <w:spacing w:before="65" w:line="251" w:lineRule="auto"/>
              <w:ind w:left="154" w:right="34" w:hanging="100"/>
              <w:rPr>
                <w:rFonts w:ascii="仿宋" w:hAnsi="仿宋" w:eastAsia="仿宋" w:cs="仿宋"/>
                <w:sz w:val="20"/>
                <w:szCs w:val="20"/>
              </w:rPr>
            </w:pPr>
            <w:r>
              <w:rPr>
                <w:rFonts w:ascii="仿宋" w:hAnsi="仿宋" w:eastAsia="仿宋" w:cs="仿宋"/>
                <w:spacing w:val="7"/>
                <w:sz w:val="20"/>
                <w:szCs w:val="20"/>
              </w:rPr>
              <w:t>三级评价不需开展运营期监测</w:t>
            </w:r>
          </w:p>
        </w:tc>
      </w:tr>
      <w:tr w14:paraId="196F56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478" w:type="dxa"/>
            <w:vMerge w:val="continue"/>
            <w:tcBorders>
              <w:top w:val="nil"/>
              <w:left w:val="nil"/>
              <w:bottom w:val="nil"/>
            </w:tcBorders>
            <w:vAlign w:val="top"/>
          </w:tcPr>
          <w:p w14:paraId="6BD53456">
            <w:pPr>
              <w:rPr>
                <w:rFonts w:ascii="Arial"/>
                <w:sz w:val="21"/>
              </w:rPr>
            </w:pPr>
          </w:p>
        </w:tc>
        <w:tc>
          <w:tcPr>
            <w:tcW w:w="483" w:type="dxa"/>
            <w:vAlign w:val="top"/>
          </w:tcPr>
          <w:p w14:paraId="49AAB15C">
            <w:pPr>
              <w:spacing w:before="42" w:line="232" w:lineRule="auto"/>
              <w:ind w:left="47"/>
              <w:rPr>
                <w:rFonts w:ascii="仿宋" w:hAnsi="仿宋" w:eastAsia="仿宋" w:cs="仿宋"/>
                <w:sz w:val="20"/>
                <w:szCs w:val="20"/>
              </w:rPr>
            </w:pPr>
            <w:r>
              <w:rPr>
                <w:rFonts w:ascii="仿宋" w:hAnsi="仿宋" w:eastAsia="仿宋" w:cs="仿宋"/>
                <w:spacing w:val="-1"/>
                <w:sz w:val="20"/>
                <w:szCs w:val="20"/>
              </w:rPr>
              <w:t>监测</w:t>
            </w:r>
          </w:p>
          <w:p w14:paraId="0F96A12A">
            <w:pPr>
              <w:spacing w:before="20" w:line="203" w:lineRule="auto"/>
              <w:ind w:left="53"/>
              <w:rPr>
                <w:rFonts w:ascii="仿宋" w:hAnsi="仿宋" w:eastAsia="仿宋" w:cs="仿宋"/>
                <w:sz w:val="20"/>
                <w:szCs w:val="20"/>
              </w:rPr>
            </w:pPr>
            <w:r>
              <w:rPr>
                <w:rFonts w:ascii="仿宋" w:hAnsi="仿宋" w:eastAsia="仿宋" w:cs="仿宋"/>
                <w:spacing w:val="-4"/>
                <w:sz w:val="20"/>
                <w:szCs w:val="20"/>
              </w:rPr>
              <w:t>点位</w:t>
            </w:r>
          </w:p>
        </w:tc>
        <w:tc>
          <w:tcPr>
            <w:tcW w:w="5803" w:type="dxa"/>
            <w:vAlign w:val="top"/>
          </w:tcPr>
          <w:p w14:paraId="2041DBDF">
            <w:pPr>
              <w:spacing w:before="177" w:line="229" w:lineRule="auto"/>
              <w:ind w:left="917"/>
              <w:rPr>
                <w:rFonts w:ascii="仿宋" w:hAnsi="仿宋" w:eastAsia="仿宋" w:cs="仿宋"/>
                <w:sz w:val="20"/>
                <w:szCs w:val="20"/>
              </w:rPr>
            </w:pPr>
            <w:r>
              <w:rPr>
                <w:rFonts w:ascii="仿宋" w:hAnsi="仿宋" w:eastAsia="仿宋" w:cs="仿宋"/>
                <w:spacing w:val="9"/>
                <w:sz w:val="20"/>
                <w:szCs w:val="20"/>
              </w:rPr>
              <w:t>沿线基本农田、公益林和基本草原分布区域</w:t>
            </w:r>
          </w:p>
        </w:tc>
        <w:tc>
          <w:tcPr>
            <w:tcW w:w="1541" w:type="dxa"/>
            <w:vMerge w:val="continue"/>
            <w:tcBorders>
              <w:top w:val="nil"/>
              <w:bottom w:val="nil"/>
              <w:right w:val="nil"/>
            </w:tcBorders>
            <w:vAlign w:val="top"/>
          </w:tcPr>
          <w:p w14:paraId="4CCC32FD">
            <w:pPr>
              <w:rPr>
                <w:rFonts w:ascii="Arial"/>
                <w:sz w:val="21"/>
              </w:rPr>
            </w:pPr>
          </w:p>
        </w:tc>
      </w:tr>
      <w:tr w14:paraId="0384EB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478" w:type="dxa"/>
            <w:vMerge w:val="continue"/>
            <w:tcBorders>
              <w:top w:val="nil"/>
              <w:left w:val="nil"/>
              <w:bottom w:val="nil"/>
            </w:tcBorders>
            <w:vAlign w:val="top"/>
          </w:tcPr>
          <w:p w14:paraId="408E24CB">
            <w:pPr>
              <w:rPr>
                <w:rFonts w:ascii="Arial"/>
                <w:sz w:val="21"/>
              </w:rPr>
            </w:pPr>
          </w:p>
        </w:tc>
        <w:tc>
          <w:tcPr>
            <w:tcW w:w="483" w:type="dxa"/>
            <w:vAlign w:val="top"/>
          </w:tcPr>
          <w:p w14:paraId="2C95E1D9">
            <w:pPr>
              <w:spacing w:before="47" w:line="232" w:lineRule="auto"/>
              <w:ind w:left="47"/>
              <w:rPr>
                <w:rFonts w:ascii="仿宋" w:hAnsi="仿宋" w:eastAsia="仿宋" w:cs="仿宋"/>
                <w:sz w:val="20"/>
                <w:szCs w:val="20"/>
              </w:rPr>
            </w:pPr>
            <w:r>
              <w:rPr>
                <w:rFonts w:ascii="仿宋" w:hAnsi="仿宋" w:eastAsia="仿宋" w:cs="仿宋"/>
                <w:spacing w:val="-1"/>
                <w:sz w:val="20"/>
                <w:szCs w:val="20"/>
              </w:rPr>
              <w:t>监测</w:t>
            </w:r>
          </w:p>
          <w:p w14:paraId="431ED14A">
            <w:pPr>
              <w:spacing w:before="20" w:line="199" w:lineRule="auto"/>
              <w:ind w:left="47"/>
              <w:rPr>
                <w:rFonts w:ascii="仿宋" w:hAnsi="仿宋" w:eastAsia="仿宋" w:cs="仿宋"/>
                <w:sz w:val="20"/>
                <w:szCs w:val="20"/>
              </w:rPr>
            </w:pPr>
            <w:r>
              <w:rPr>
                <w:rFonts w:ascii="仿宋" w:hAnsi="仿宋" w:eastAsia="仿宋" w:cs="仿宋"/>
                <w:spacing w:val="-1"/>
                <w:sz w:val="20"/>
                <w:szCs w:val="20"/>
              </w:rPr>
              <w:t>方法</w:t>
            </w:r>
          </w:p>
        </w:tc>
        <w:tc>
          <w:tcPr>
            <w:tcW w:w="5803" w:type="dxa"/>
            <w:vAlign w:val="top"/>
          </w:tcPr>
          <w:p w14:paraId="0EF27EF7">
            <w:pPr>
              <w:spacing w:before="182" w:line="228" w:lineRule="auto"/>
              <w:ind w:left="1125"/>
              <w:rPr>
                <w:rFonts w:ascii="仿宋" w:hAnsi="仿宋" w:eastAsia="仿宋" w:cs="仿宋"/>
                <w:sz w:val="20"/>
                <w:szCs w:val="20"/>
              </w:rPr>
            </w:pPr>
            <w:r>
              <w:rPr>
                <w:rFonts w:ascii="仿宋" w:hAnsi="仿宋" w:eastAsia="仿宋" w:cs="仿宋"/>
                <w:spacing w:val="9"/>
                <w:sz w:val="20"/>
                <w:szCs w:val="20"/>
              </w:rPr>
              <w:t>现场巡查、样方调查、遥感无人机观测</w:t>
            </w:r>
          </w:p>
        </w:tc>
        <w:tc>
          <w:tcPr>
            <w:tcW w:w="1541" w:type="dxa"/>
            <w:vMerge w:val="continue"/>
            <w:tcBorders>
              <w:top w:val="nil"/>
              <w:bottom w:val="nil"/>
              <w:right w:val="nil"/>
            </w:tcBorders>
            <w:vAlign w:val="top"/>
          </w:tcPr>
          <w:p w14:paraId="3698AE86">
            <w:pPr>
              <w:rPr>
                <w:rFonts w:ascii="Arial"/>
                <w:sz w:val="21"/>
              </w:rPr>
            </w:pPr>
          </w:p>
        </w:tc>
      </w:tr>
      <w:tr w14:paraId="5D1CEE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478" w:type="dxa"/>
            <w:vMerge w:val="continue"/>
            <w:tcBorders>
              <w:top w:val="nil"/>
              <w:left w:val="nil"/>
              <w:bottom w:val="single" w:color="000000" w:sz="10" w:space="0"/>
            </w:tcBorders>
            <w:vAlign w:val="top"/>
          </w:tcPr>
          <w:p w14:paraId="1C05BEF9">
            <w:pPr>
              <w:rPr>
                <w:rFonts w:ascii="Arial"/>
                <w:sz w:val="21"/>
              </w:rPr>
            </w:pPr>
          </w:p>
        </w:tc>
        <w:tc>
          <w:tcPr>
            <w:tcW w:w="483" w:type="dxa"/>
            <w:tcBorders>
              <w:bottom w:val="single" w:color="000000" w:sz="10" w:space="0"/>
            </w:tcBorders>
            <w:vAlign w:val="top"/>
          </w:tcPr>
          <w:p w14:paraId="56990A9B">
            <w:pPr>
              <w:spacing w:before="51" w:line="232" w:lineRule="auto"/>
              <w:ind w:left="47"/>
              <w:rPr>
                <w:rFonts w:ascii="仿宋" w:hAnsi="仿宋" w:eastAsia="仿宋" w:cs="仿宋"/>
                <w:sz w:val="20"/>
                <w:szCs w:val="20"/>
              </w:rPr>
            </w:pPr>
            <w:r>
              <w:rPr>
                <w:rFonts w:ascii="仿宋" w:hAnsi="仿宋" w:eastAsia="仿宋" w:cs="仿宋"/>
                <w:spacing w:val="-1"/>
                <w:sz w:val="20"/>
                <w:szCs w:val="20"/>
              </w:rPr>
              <w:t>监测</w:t>
            </w:r>
          </w:p>
          <w:p w14:paraId="67FB8F9C">
            <w:pPr>
              <w:spacing w:before="20" w:line="216" w:lineRule="auto"/>
              <w:ind w:left="43"/>
              <w:rPr>
                <w:rFonts w:ascii="仿宋" w:hAnsi="仿宋" w:eastAsia="仿宋" w:cs="仿宋"/>
                <w:sz w:val="20"/>
                <w:szCs w:val="20"/>
              </w:rPr>
            </w:pPr>
            <w:r>
              <w:rPr>
                <w:rFonts w:ascii="仿宋" w:hAnsi="仿宋" w:eastAsia="仿宋" w:cs="仿宋"/>
                <w:spacing w:val="1"/>
                <w:sz w:val="20"/>
                <w:szCs w:val="20"/>
              </w:rPr>
              <w:t>频次</w:t>
            </w:r>
          </w:p>
        </w:tc>
        <w:tc>
          <w:tcPr>
            <w:tcW w:w="5803" w:type="dxa"/>
            <w:tcBorders>
              <w:bottom w:val="single" w:color="000000" w:sz="10" w:space="0"/>
            </w:tcBorders>
            <w:vAlign w:val="top"/>
          </w:tcPr>
          <w:p w14:paraId="7B4B4DEE">
            <w:pPr>
              <w:pStyle w:val="6"/>
              <w:spacing w:before="186" w:line="231" w:lineRule="auto"/>
              <w:ind w:left="2090"/>
              <w:rPr>
                <w:rFonts w:ascii="仿宋" w:hAnsi="仿宋" w:eastAsia="仿宋" w:cs="仿宋"/>
                <w:sz w:val="20"/>
                <w:szCs w:val="20"/>
              </w:rPr>
            </w:pPr>
            <w:r>
              <w:rPr>
                <w:rFonts w:ascii="仿宋" w:hAnsi="仿宋" w:eastAsia="仿宋" w:cs="仿宋"/>
                <w:spacing w:val="4"/>
                <w:sz w:val="20"/>
                <w:szCs w:val="20"/>
              </w:rPr>
              <w:t>施工期每年</w:t>
            </w:r>
            <w:r>
              <w:rPr>
                <w:rFonts w:ascii="仿宋" w:hAnsi="仿宋" w:eastAsia="仿宋" w:cs="仿宋"/>
                <w:spacing w:val="-38"/>
                <w:sz w:val="20"/>
                <w:szCs w:val="20"/>
              </w:rPr>
              <w:t xml:space="preserve"> </w:t>
            </w:r>
            <w:r>
              <w:rPr>
                <w:spacing w:val="4"/>
                <w:sz w:val="20"/>
                <w:szCs w:val="20"/>
              </w:rPr>
              <w:t>4-9</w:t>
            </w:r>
            <w:r>
              <w:rPr>
                <w:spacing w:val="27"/>
                <w:w w:val="101"/>
                <w:sz w:val="20"/>
                <w:szCs w:val="20"/>
              </w:rPr>
              <w:t xml:space="preserve"> </w:t>
            </w:r>
            <w:r>
              <w:rPr>
                <w:rFonts w:ascii="仿宋" w:hAnsi="仿宋" w:eastAsia="仿宋" w:cs="仿宋"/>
                <w:spacing w:val="4"/>
                <w:sz w:val="20"/>
                <w:szCs w:val="20"/>
              </w:rPr>
              <w:t>月</w:t>
            </w:r>
          </w:p>
        </w:tc>
        <w:tc>
          <w:tcPr>
            <w:tcW w:w="1541" w:type="dxa"/>
            <w:vMerge w:val="continue"/>
            <w:tcBorders>
              <w:top w:val="nil"/>
              <w:bottom w:val="single" w:color="000000" w:sz="10" w:space="0"/>
              <w:right w:val="nil"/>
            </w:tcBorders>
            <w:vAlign w:val="top"/>
          </w:tcPr>
          <w:p w14:paraId="4D3FDF1A">
            <w:pPr>
              <w:rPr>
                <w:rFonts w:ascii="Arial"/>
                <w:sz w:val="21"/>
              </w:rPr>
            </w:pPr>
          </w:p>
        </w:tc>
      </w:tr>
    </w:tbl>
    <w:p w14:paraId="1C89DF88">
      <w:pPr>
        <w:pStyle w:val="2"/>
        <w:rPr>
          <w:sz w:val="21"/>
        </w:rPr>
      </w:pPr>
    </w:p>
    <w:p w14:paraId="42CF673C">
      <w:pPr>
        <w:rPr>
          <w:sz w:val="21"/>
          <w:szCs w:val="21"/>
        </w:rPr>
        <w:sectPr>
          <w:footerReference r:id="rId272" w:type="default"/>
          <w:pgSz w:w="11906" w:h="16839"/>
          <w:pgMar w:top="400" w:right="1716" w:bottom="1370" w:left="1785" w:header="0" w:footer="1207" w:gutter="0"/>
          <w:cols w:space="720" w:num="1"/>
        </w:sectPr>
      </w:pPr>
    </w:p>
    <w:p w14:paraId="43A286E7">
      <w:pPr>
        <w:pStyle w:val="2"/>
        <w:spacing w:line="271" w:lineRule="auto"/>
        <w:rPr>
          <w:sz w:val="21"/>
        </w:rPr>
      </w:pPr>
    </w:p>
    <w:p w14:paraId="41665A60">
      <w:pPr>
        <w:pStyle w:val="2"/>
        <w:spacing w:line="271" w:lineRule="auto"/>
        <w:rPr>
          <w:sz w:val="21"/>
        </w:rPr>
      </w:pPr>
    </w:p>
    <w:p w14:paraId="6B9F02EF">
      <w:pPr>
        <w:pStyle w:val="2"/>
        <w:spacing w:line="272" w:lineRule="auto"/>
        <w:rPr>
          <w:sz w:val="21"/>
        </w:rPr>
      </w:pPr>
    </w:p>
    <w:p w14:paraId="403B191D">
      <w:pPr>
        <w:pStyle w:val="2"/>
        <w:spacing w:line="272" w:lineRule="auto"/>
        <w:rPr>
          <w:sz w:val="21"/>
        </w:rPr>
      </w:pPr>
    </w:p>
    <w:p w14:paraId="52A7B8FC">
      <w:pPr>
        <w:spacing w:before="101" w:line="228" w:lineRule="auto"/>
        <w:ind w:left="121"/>
        <w:outlineLvl w:val="1"/>
        <w:rPr>
          <w:rFonts w:ascii="仿宋" w:hAnsi="仿宋" w:eastAsia="仿宋" w:cs="仿宋"/>
          <w:sz w:val="31"/>
          <w:szCs w:val="31"/>
        </w:rPr>
      </w:pPr>
      <w:bookmarkStart w:id="80" w:name="bookmark89"/>
      <w:bookmarkEnd w:id="80"/>
      <w:r>
        <w:rPr>
          <w:rFonts w:ascii="仿宋" w:hAnsi="仿宋" w:eastAsia="仿宋" w:cs="仿宋"/>
          <w:b/>
          <w:bCs/>
          <w:spacing w:val="3"/>
          <w:sz w:val="31"/>
          <w:szCs w:val="31"/>
        </w:rPr>
        <w:t>6.2.环境管理</w:t>
      </w:r>
    </w:p>
    <w:p w14:paraId="558F259B">
      <w:pPr>
        <w:pStyle w:val="2"/>
        <w:spacing w:line="280" w:lineRule="auto"/>
        <w:rPr>
          <w:sz w:val="21"/>
        </w:rPr>
      </w:pPr>
    </w:p>
    <w:p w14:paraId="1965BE36">
      <w:pPr>
        <w:spacing w:before="84" w:line="227" w:lineRule="auto"/>
        <w:ind w:left="119"/>
        <w:rPr>
          <w:rFonts w:ascii="仿宋" w:hAnsi="仿宋" w:eastAsia="仿宋" w:cs="仿宋"/>
          <w:sz w:val="26"/>
          <w:szCs w:val="26"/>
        </w:rPr>
      </w:pPr>
      <w:r>
        <w:rPr>
          <w:rFonts w:ascii="仿宋" w:hAnsi="仿宋" w:eastAsia="仿宋" w:cs="仿宋"/>
          <w:b/>
          <w:bCs/>
          <w:spacing w:val="3"/>
          <w:sz w:val="26"/>
          <w:szCs w:val="26"/>
        </w:rPr>
        <w:t>6.2.1</w:t>
      </w:r>
      <w:r>
        <w:rPr>
          <w:rFonts w:ascii="仿宋" w:hAnsi="仿宋" w:eastAsia="仿宋" w:cs="仿宋"/>
          <w:spacing w:val="-34"/>
          <w:sz w:val="26"/>
          <w:szCs w:val="26"/>
        </w:rPr>
        <w:t xml:space="preserve"> </w:t>
      </w:r>
      <w:r>
        <w:rPr>
          <w:rFonts w:ascii="仿宋" w:hAnsi="仿宋" w:eastAsia="仿宋" w:cs="仿宋"/>
          <w:b/>
          <w:bCs/>
          <w:spacing w:val="3"/>
          <w:sz w:val="26"/>
          <w:szCs w:val="26"/>
        </w:rPr>
        <w:t>环境保护管理目标</w:t>
      </w:r>
    </w:p>
    <w:p w14:paraId="031B07CE">
      <w:pPr>
        <w:pStyle w:val="2"/>
        <w:spacing w:line="261" w:lineRule="auto"/>
        <w:rPr>
          <w:sz w:val="21"/>
        </w:rPr>
      </w:pPr>
    </w:p>
    <w:p w14:paraId="41E14465">
      <w:pPr>
        <w:spacing w:before="78" w:line="360" w:lineRule="auto"/>
        <w:ind w:left="126" w:right="107" w:firstLine="481"/>
        <w:jc w:val="both"/>
        <w:rPr>
          <w:rFonts w:ascii="仿宋" w:hAnsi="仿宋" w:eastAsia="仿宋" w:cs="仿宋"/>
          <w:sz w:val="24"/>
          <w:szCs w:val="24"/>
        </w:rPr>
      </w:pPr>
      <w:r>
        <w:rPr>
          <w:rFonts w:ascii="仿宋" w:hAnsi="仿宋" w:eastAsia="仿宋" w:cs="仿宋"/>
          <w:spacing w:val="-4"/>
          <w:sz w:val="24"/>
          <w:szCs w:val="24"/>
        </w:rPr>
        <w:t>通过制定系统科学的环境管理计划，使本工程的建设和营运符合国家有关环</w:t>
      </w:r>
      <w:r>
        <w:rPr>
          <w:rFonts w:ascii="仿宋" w:hAnsi="仿宋" w:eastAsia="仿宋" w:cs="仿宋"/>
          <w:spacing w:val="-3"/>
          <w:sz w:val="24"/>
          <w:szCs w:val="24"/>
        </w:rPr>
        <w:t>境保护的法律法规，严格执行环保工程与主体工程同时设计</w:t>
      </w:r>
      <w:r>
        <w:rPr>
          <w:rFonts w:ascii="仿宋" w:hAnsi="仿宋" w:eastAsia="仿宋" w:cs="仿宋"/>
          <w:spacing w:val="-4"/>
          <w:sz w:val="24"/>
          <w:szCs w:val="24"/>
        </w:rPr>
        <w:t>、同时施工和同时竣</w:t>
      </w:r>
      <w:r>
        <w:rPr>
          <w:rFonts w:ascii="仿宋" w:hAnsi="仿宋" w:eastAsia="仿宋" w:cs="仿宋"/>
          <w:spacing w:val="-5"/>
          <w:sz w:val="24"/>
          <w:szCs w:val="24"/>
        </w:rPr>
        <w:t>工验收的“三同时</w:t>
      </w:r>
      <w:r>
        <w:rPr>
          <w:rFonts w:ascii="仿宋" w:hAnsi="仿宋" w:eastAsia="仿宋" w:cs="仿宋"/>
          <w:spacing w:val="-80"/>
          <w:sz w:val="24"/>
          <w:szCs w:val="24"/>
        </w:rPr>
        <w:t xml:space="preserve"> </w:t>
      </w:r>
      <w:r>
        <w:rPr>
          <w:rFonts w:ascii="仿宋" w:hAnsi="仿宋" w:eastAsia="仿宋" w:cs="仿宋"/>
          <w:spacing w:val="-5"/>
          <w:sz w:val="24"/>
          <w:szCs w:val="24"/>
        </w:rPr>
        <w:t>”规定。</w:t>
      </w:r>
    </w:p>
    <w:p w14:paraId="591AE40E">
      <w:pPr>
        <w:spacing w:before="1" w:line="359" w:lineRule="auto"/>
        <w:ind w:left="125" w:right="24" w:firstLine="482"/>
        <w:rPr>
          <w:rFonts w:ascii="仿宋" w:hAnsi="仿宋" w:eastAsia="仿宋" w:cs="仿宋"/>
          <w:sz w:val="24"/>
          <w:szCs w:val="24"/>
        </w:rPr>
      </w:pPr>
      <w:r>
        <w:rPr>
          <w:rFonts w:ascii="仿宋" w:hAnsi="仿宋" w:eastAsia="仿宋" w:cs="仿宋"/>
          <w:spacing w:val="-4"/>
          <w:sz w:val="24"/>
          <w:szCs w:val="24"/>
        </w:rPr>
        <w:t>通过实施环境管理设计，尽可能将本工程建设和运营对环境带来的不利影响</w:t>
      </w:r>
      <w:r>
        <w:rPr>
          <w:rFonts w:ascii="仿宋" w:hAnsi="仿宋" w:eastAsia="仿宋" w:cs="仿宋"/>
          <w:spacing w:val="-8"/>
          <w:sz w:val="24"/>
          <w:szCs w:val="24"/>
        </w:rPr>
        <w:t>减轻至最小程度，使公路建设的经济效益和环境效益得以协调、持续和稳定发展。</w:t>
      </w:r>
    </w:p>
    <w:p w14:paraId="30F91855">
      <w:pPr>
        <w:spacing w:before="164" w:line="227" w:lineRule="auto"/>
        <w:ind w:left="119"/>
        <w:rPr>
          <w:rFonts w:ascii="仿宋" w:hAnsi="仿宋" w:eastAsia="仿宋" w:cs="仿宋"/>
          <w:sz w:val="26"/>
          <w:szCs w:val="26"/>
        </w:rPr>
      </w:pPr>
      <w:r>
        <w:rPr>
          <w:rFonts w:ascii="仿宋" w:hAnsi="仿宋" w:eastAsia="仿宋" w:cs="仿宋"/>
          <w:b/>
          <w:bCs/>
          <w:spacing w:val="3"/>
          <w:sz w:val="26"/>
          <w:szCs w:val="26"/>
        </w:rPr>
        <w:t>6.2.2</w:t>
      </w:r>
      <w:r>
        <w:rPr>
          <w:rFonts w:ascii="仿宋" w:hAnsi="仿宋" w:eastAsia="仿宋" w:cs="仿宋"/>
          <w:spacing w:val="-34"/>
          <w:sz w:val="26"/>
          <w:szCs w:val="26"/>
        </w:rPr>
        <w:t xml:space="preserve"> </w:t>
      </w:r>
      <w:r>
        <w:rPr>
          <w:rFonts w:ascii="仿宋" w:hAnsi="仿宋" w:eastAsia="仿宋" w:cs="仿宋"/>
          <w:b/>
          <w:bCs/>
          <w:spacing w:val="3"/>
          <w:sz w:val="26"/>
          <w:szCs w:val="26"/>
        </w:rPr>
        <w:t>环境保护管理机构</w:t>
      </w:r>
    </w:p>
    <w:p w14:paraId="3E439140">
      <w:pPr>
        <w:pStyle w:val="2"/>
        <w:spacing w:line="261" w:lineRule="auto"/>
        <w:rPr>
          <w:sz w:val="21"/>
        </w:rPr>
      </w:pPr>
    </w:p>
    <w:p w14:paraId="7005ED47">
      <w:pPr>
        <w:spacing w:before="78" w:line="360" w:lineRule="auto"/>
        <w:ind w:left="123" w:right="107" w:firstLine="481"/>
        <w:rPr>
          <w:rFonts w:ascii="仿宋" w:hAnsi="仿宋" w:eastAsia="仿宋" w:cs="仿宋"/>
          <w:sz w:val="24"/>
          <w:szCs w:val="24"/>
        </w:rPr>
      </w:pPr>
      <w:r>
        <w:rPr>
          <w:rFonts w:ascii="仿宋" w:hAnsi="仿宋" w:eastAsia="仿宋" w:cs="仿宋"/>
          <w:spacing w:val="4"/>
          <w:sz w:val="24"/>
          <w:szCs w:val="24"/>
        </w:rPr>
        <w:t>本工程环境保护工作的组织机构从职能分工上可分为环境保护措施实施机</w:t>
      </w:r>
      <w:r>
        <w:rPr>
          <w:rFonts w:ascii="仿宋" w:hAnsi="仿宋" w:eastAsia="仿宋" w:cs="仿宋"/>
          <w:spacing w:val="-1"/>
          <w:sz w:val="24"/>
          <w:szCs w:val="24"/>
        </w:rPr>
        <w:t>构、监督机构和管理机构三大部分，其组成及相应的职责见下表。</w:t>
      </w:r>
    </w:p>
    <w:p w14:paraId="038A28E8">
      <w:pPr>
        <w:spacing w:before="1" w:line="220" w:lineRule="auto"/>
        <w:ind w:left="2259"/>
        <w:rPr>
          <w:rFonts w:ascii="仿宋" w:hAnsi="仿宋" w:eastAsia="仿宋" w:cs="仿宋"/>
          <w:sz w:val="24"/>
          <w:szCs w:val="24"/>
        </w:rPr>
      </w:pPr>
      <w:r>
        <w:rPr>
          <w:rFonts w:ascii="仿宋" w:hAnsi="仿宋" w:eastAsia="仿宋" w:cs="仿宋"/>
          <w:b/>
          <w:bCs/>
          <w:spacing w:val="-3"/>
          <w:sz w:val="24"/>
          <w:szCs w:val="24"/>
        </w:rPr>
        <w:t>表</w:t>
      </w:r>
      <w:r>
        <w:rPr>
          <w:rFonts w:ascii="仿宋" w:hAnsi="仿宋" w:eastAsia="仿宋" w:cs="仿宋"/>
          <w:spacing w:val="-48"/>
          <w:sz w:val="24"/>
          <w:szCs w:val="24"/>
        </w:rPr>
        <w:t xml:space="preserve"> </w:t>
      </w:r>
      <w:r>
        <w:rPr>
          <w:rFonts w:ascii="仿宋" w:hAnsi="仿宋" w:eastAsia="仿宋" w:cs="仿宋"/>
          <w:b/>
          <w:bCs/>
          <w:spacing w:val="-3"/>
          <w:sz w:val="24"/>
          <w:szCs w:val="24"/>
        </w:rPr>
        <w:t>6.2-1</w:t>
      </w:r>
      <w:r>
        <w:rPr>
          <w:rFonts w:ascii="仿宋" w:hAnsi="仿宋" w:eastAsia="仿宋" w:cs="仿宋"/>
          <w:spacing w:val="-3"/>
          <w:sz w:val="24"/>
          <w:szCs w:val="24"/>
        </w:rPr>
        <w:t xml:space="preserve">  </w:t>
      </w:r>
      <w:r>
        <w:rPr>
          <w:rFonts w:ascii="仿宋" w:hAnsi="仿宋" w:eastAsia="仿宋" w:cs="仿宋"/>
          <w:b/>
          <w:bCs/>
          <w:spacing w:val="-3"/>
          <w:sz w:val="24"/>
          <w:szCs w:val="24"/>
        </w:rPr>
        <w:t>环保措施实施机构主要职责</w:t>
      </w:r>
    </w:p>
    <w:p w14:paraId="0D9B90A5">
      <w:pPr>
        <w:spacing w:line="66" w:lineRule="exact"/>
      </w:pPr>
    </w:p>
    <w:tbl>
      <w:tblPr>
        <w:tblStyle w:val="5"/>
        <w:tblW w:w="852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93"/>
        <w:gridCol w:w="1089"/>
        <w:gridCol w:w="6340"/>
      </w:tblGrid>
      <w:tr w14:paraId="7DF51A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 w:hRule="atLeast"/>
        </w:trPr>
        <w:tc>
          <w:tcPr>
            <w:tcW w:w="2182" w:type="dxa"/>
            <w:gridSpan w:val="2"/>
            <w:tcBorders>
              <w:top w:val="single" w:color="000000" w:sz="10" w:space="0"/>
              <w:left w:val="nil"/>
            </w:tcBorders>
            <w:vAlign w:val="top"/>
          </w:tcPr>
          <w:p w14:paraId="7AE626CB">
            <w:pPr>
              <w:spacing w:before="42" w:line="221" w:lineRule="auto"/>
              <w:ind w:left="684"/>
              <w:rPr>
                <w:rFonts w:ascii="仿宋" w:hAnsi="仿宋" w:eastAsia="仿宋" w:cs="仿宋"/>
                <w:sz w:val="20"/>
                <w:szCs w:val="20"/>
              </w:rPr>
            </w:pPr>
            <w:r>
              <w:rPr>
                <w:rFonts w:ascii="仿宋" w:hAnsi="仿宋" w:eastAsia="仿宋" w:cs="仿宋"/>
                <w:b/>
                <w:bCs/>
                <w:spacing w:val="4"/>
                <w:sz w:val="20"/>
                <w:szCs w:val="20"/>
              </w:rPr>
              <w:t>组成单位</w:t>
            </w:r>
          </w:p>
        </w:tc>
        <w:tc>
          <w:tcPr>
            <w:tcW w:w="6340" w:type="dxa"/>
            <w:tcBorders>
              <w:top w:val="single" w:color="000000" w:sz="10" w:space="0"/>
              <w:right w:val="nil"/>
            </w:tcBorders>
            <w:vAlign w:val="top"/>
          </w:tcPr>
          <w:p w14:paraId="29F5AD53">
            <w:pPr>
              <w:spacing w:before="42" w:line="221" w:lineRule="auto"/>
              <w:ind w:left="2764"/>
              <w:rPr>
                <w:rFonts w:ascii="仿宋" w:hAnsi="仿宋" w:eastAsia="仿宋" w:cs="仿宋"/>
                <w:sz w:val="20"/>
                <w:szCs w:val="20"/>
              </w:rPr>
            </w:pPr>
            <w:r>
              <w:rPr>
                <w:rFonts w:ascii="仿宋" w:hAnsi="仿宋" w:eastAsia="仿宋" w:cs="仿宋"/>
                <w:b/>
                <w:bCs/>
                <w:spacing w:val="3"/>
                <w:sz w:val="20"/>
                <w:szCs w:val="20"/>
              </w:rPr>
              <w:t>主要职能</w:t>
            </w:r>
          </w:p>
        </w:tc>
      </w:tr>
      <w:tr w14:paraId="4493FC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7" w:hRule="atLeast"/>
        </w:trPr>
        <w:tc>
          <w:tcPr>
            <w:tcW w:w="1093" w:type="dxa"/>
            <w:tcBorders>
              <w:left w:val="nil"/>
            </w:tcBorders>
            <w:vAlign w:val="top"/>
          </w:tcPr>
          <w:p w14:paraId="349D81C3">
            <w:pPr>
              <w:spacing w:before="37" w:line="221" w:lineRule="auto"/>
              <w:ind w:left="137"/>
              <w:rPr>
                <w:rFonts w:ascii="仿宋" w:hAnsi="仿宋" w:eastAsia="仿宋" w:cs="仿宋"/>
                <w:sz w:val="20"/>
                <w:szCs w:val="20"/>
              </w:rPr>
            </w:pPr>
            <w:r>
              <w:rPr>
                <w:rFonts w:ascii="仿宋" w:hAnsi="仿宋" w:eastAsia="仿宋" w:cs="仿宋"/>
                <w:spacing w:val="6"/>
                <w:sz w:val="20"/>
                <w:szCs w:val="20"/>
              </w:rPr>
              <w:t>设计阶段</w:t>
            </w:r>
          </w:p>
        </w:tc>
        <w:tc>
          <w:tcPr>
            <w:tcW w:w="1089" w:type="dxa"/>
            <w:vAlign w:val="top"/>
          </w:tcPr>
          <w:p w14:paraId="2725069C">
            <w:pPr>
              <w:spacing w:before="37" w:line="221" w:lineRule="auto"/>
              <w:ind w:left="134"/>
              <w:rPr>
                <w:rFonts w:ascii="仿宋" w:hAnsi="仿宋" w:eastAsia="仿宋" w:cs="仿宋"/>
                <w:sz w:val="20"/>
                <w:szCs w:val="20"/>
              </w:rPr>
            </w:pPr>
            <w:r>
              <w:rPr>
                <w:rFonts w:ascii="仿宋" w:hAnsi="仿宋" w:eastAsia="仿宋" w:cs="仿宋"/>
                <w:spacing w:val="6"/>
                <w:sz w:val="20"/>
                <w:szCs w:val="20"/>
              </w:rPr>
              <w:t>设计单位</w:t>
            </w:r>
          </w:p>
        </w:tc>
        <w:tc>
          <w:tcPr>
            <w:tcW w:w="6340" w:type="dxa"/>
            <w:tcBorders>
              <w:right w:val="nil"/>
            </w:tcBorders>
            <w:vAlign w:val="top"/>
          </w:tcPr>
          <w:p w14:paraId="7BB24196">
            <w:pPr>
              <w:spacing w:before="37" w:line="221" w:lineRule="auto"/>
              <w:ind w:left="119"/>
              <w:rPr>
                <w:rFonts w:ascii="仿宋" w:hAnsi="仿宋" w:eastAsia="仿宋" w:cs="仿宋"/>
                <w:sz w:val="20"/>
                <w:szCs w:val="20"/>
              </w:rPr>
            </w:pPr>
            <w:r>
              <w:rPr>
                <w:rFonts w:ascii="仿宋" w:hAnsi="仿宋" w:eastAsia="仿宋" w:cs="仿宋"/>
                <w:spacing w:val="9"/>
                <w:sz w:val="20"/>
                <w:szCs w:val="20"/>
              </w:rPr>
              <w:t>将环境影响报告表提出的环保措施落实到施工图设</w:t>
            </w:r>
            <w:r>
              <w:rPr>
                <w:rFonts w:ascii="仿宋" w:hAnsi="仿宋" w:eastAsia="仿宋" w:cs="仿宋"/>
                <w:spacing w:val="8"/>
                <w:sz w:val="20"/>
                <w:szCs w:val="20"/>
              </w:rPr>
              <w:t>计中。</w:t>
            </w:r>
          </w:p>
        </w:tc>
      </w:tr>
      <w:tr w14:paraId="76BF54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29" w:hRule="atLeast"/>
        </w:trPr>
        <w:tc>
          <w:tcPr>
            <w:tcW w:w="1093" w:type="dxa"/>
            <w:vMerge w:val="restart"/>
            <w:tcBorders>
              <w:left w:val="nil"/>
              <w:bottom w:val="nil"/>
            </w:tcBorders>
            <w:vAlign w:val="top"/>
          </w:tcPr>
          <w:p w14:paraId="1CB7CF1E">
            <w:pPr>
              <w:spacing w:line="243" w:lineRule="auto"/>
              <w:rPr>
                <w:rFonts w:ascii="Arial"/>
                <w:sz w:val="21"/>
              </w:rPr>
            </w:pPr>
          </w:p>
          <w:p w14:paraId="2EC3BE17">
            <w:pPr>
              <w:spacing w:line="243" w:lineRule="auto"/>
              <w:rPr>
                <w:rFonts w:ascii="Arial"/>
                <w:sz w:val="21"/>
              </w:rPr>
            </w:pPr>
          </w:p>
          <w:p w14:paraId="4AAD1597">
            <w:pPr>
              <w:spacing w:line="243" w:lineRule="auto"/>
              <w:rPr>
                <w:rFonts w:ascii="Arial"/>
                <w:sz w:val="21"/>
              </w:rPr>
            </w:pPr>
          </w:p>
          <w:p w14:paraId="255E2360">
            <w:pPr>
              <w:spacing w:line="244" w:lineRule="auto"/>
              <w:rPr>
                <w:rFonts w:ascii="Arial"/>
                <w:sz w:val="21"/>
              </w:rPr>
            </w:pPr>
          </w:p>
          <w:p w14:paraId="60D6F149">
            <w:pPr>
              <w:spacing w:line="244" w:lineRule="auto"/>
              <w:rPr>
                <w:rFonts w:ascii="Arial"/>
                <w:sz w:val="21"/>
              </w:rPr>
            </w:pPr>
          </w:p>
          <w:p w14:paraId="3A7CFADC">
            <w:pPr>
              <w:spacing w:line="244" w:lineRule="auto"/>
              <w:rPr>
                <w:rFonts w:ascii="Arial"/>
                <w:sz w:val="21"/>
              </w:rPr>
            </w:pPr>
          </w:p>
          <w:p w14:paraId="1705F09E">
            <w:pPr>
              <w:spacing w:before="65" w:line="232" w:lineRule="auto"/>
              <w:ind w:left="243"/>
              <w:rPr>
                <w:rFonts w:ascii="仿宋" w:hAnsi="仿宋" w:eastAsia="仿宋" w:cs="仿宋"/>
                <w:sz w:val="20"/>
                <w:szCs w:val="20"/>
              </w:rPr>
            </w:pPr>
            <w:r>
              <w:rPr>
                <w:rFonts w:ascii="仿宋" w:hAnsi="仿宋" w:eastAsia="仿宋" w:cs="仿宋"/>
                <w:spacing w:val="5"/>
                <w:sz w:val="20"/>
                <w:szCs w:val="20"/>
              </w:rPr>
              <w:t>施工期</w:t>
            </w:r>
          </w:p>
        </w:tc>
        <w:tc>
          <w:tcPr>
            <w:tcW w:w="1089" w:type="dxa"/>
            <w:vMerge w:val="restart"/>
            <w:tcBorders>
              <w:bottom w:val="nil"/>
            </w:tcBorders>
            <w:vAlign w:val="top"/>
          </w:tcPr>
          <w:p w14:paraId="2F69AE6B">
            <w:pPr>
              <w:spacing w:line="265" w:lineRule="auto"/>
              <w:rPr>
                <w:rFonts w:ascii="Arial"/>
                <w:sz w:val="21"/>
              </w:rPr>
            </w:pPr>
          </w:p>
          <w:p w14:paraId="589CE87E">
            <w:pPr>
              <w:spacing w:line="265" w:lineRule="auto"/>
              <w:rPr>
                <w:rFonts w:ascii="Arial"/>
                <w:sz w:val="21"/>
              </w:rPr>
            </w:pPr>
          </w:p>
          <w:p w14:paraId="65A9EAB1">
            <w:pPr>
              <w:spacing w:line="266" w:lineRule="auto"/>
              <w:rPr>
                <w:rFonts w:ascii="Arial"/>
                <w:sz w:val="21"/>
              </w:rPr>
            </w:pPr>
          </w:p>
          <w:p w14:paraId="15242F6B">
            <w:pPr>
              <w:spacing w:line="266" w:lineRule="auto"/>
              <w:rPr>
                <w:rFonts w:ascii="Arial"/>
                <w:sz w:val="21"/>
              </w:rPr>
            </w:pPr>
          </w:p>
          <w:p w14:paraId="7446DB06">
            <w:pPr>
              <w:spacing w:line="266" w:lineRule="auto"/>
              <w:rPr>
                <w:rFonts w:ascii="Arial"/>
                <w:sz w:val="21"/>
              </w:rPr>
            </w:pPr>
          </w:p>
          <w:p w14:paraId="580AC76F">
            <w:pPr>
              <w:spacing w:before="65" w:line="251" w:lineRule="auto"/>
              <w:ind w:left="456" w:right="124" w:hanging="322"/>
              <w:rPr>
                <w:rFonts w:ascii="仿宋" w:hAnsi="仿宋" w:eastAsia="仿宋" w:cs="仿宋"/>
                <w:sz w:val="20"/>
                <w:szCs w:val="20"/>
              </w:rPr>
            </w:pPr>
            <w:r>
              <w:rPr>
                <w:rFonts w:ascii="仿宋" w:hAnsi="仿宋" w:eastAsia="仿宋" w:cs="仿宋"/>
                <w:spacing w:val="6"/>
                <w:sz w:val="20"/>
                <w:szCs w:val="20"/>
              </w:rPr>
              <w:t>施工承包</w:t>
            </w:r>
            <w:r>
              <w:rPr>
                <w:rFonts w:ascii="仿宋" w:hAnsi="仿宋" w:eastAsia="仿宋" w:cs="仿宋"/>
                <w:sz w:val="20"/>
                <w:szCs w:val="20"/>
              </w:rPr>
              <w:t>商</w:t>
            </w:r>
          </w:p>
        </w:tc>
        <w:tc>
          <w:tcPr>
            <w:tcW w:w="6340" w:type="dxa"/>
            <w:tcBorders>
              <w:right w:val="nil"/>
            </w:tcBorders>
            <w:vAlign w:val="top"/>
          </w:tcPr>
          <w:p w14:paraId="753C95C8">
            <w:pPr>
              <w:spacing w:before="36" w:line="250" w:lineRule="auto"/>
              <w:ind w:left="118" w:right="143" w:firstLine="1"/>
              <w:rPr>
                <w:rFonts w:ascii="仿宋" w:hAnsi="仿宋" w:eastAsia="仿宋" w:cs="仿宋"/>
                <w:sz w:val="20"/>
                <w:szCs w:val="20"/>
              </w:rPr>
            </w:pPr>
            <w:r>
              <w:rPr>
                <w:rFonts w:ascii="仿宋" w:hAnsi="仿宋" w:eastAsia="仿宋" w:cs="仿宋"/>
                <w:spacing w:val="9"/>
                <w:sz w:val="20"/>
                <w:szCs w:val="20"/>
              </w:rPr>
              <w:t>在投标书中写入环境保护文明施工的内容，将环评报告提出的各项</w:t>
            </w:r>
            <w:r>
              <w:rPr>
                <w:rFonts w:ascii="仿宋" w:hAnsi="仿宋" w:eastAsia="仿宋" w:cs="仿宋"/>
                <w:spacing w:val="8"/>
                <w:sz w:val="20"/>
                <w:szCs w:val="20"/>
              </w:rPr>
              <w:t>环保措施建议编入相应的条款中；</w:t>
            </w:r>
          </w:p>
          <w:p w14:paraId="5AACA632">
            <w:pPr>
              <w:spacing w:line="251" w:lineRule="auto"/>
              <w:ind w:left="118" w:right="143"/>
              <w:rPr>
                <w:rFonts w:ascii="仿宋" w:hAnsi="仿宋" w:eastAsia="仿宋" w:cs="仿宋"/>
                <w:sz w:val="20"/>
                <w:szCs w:val="20"/>
              </w:rPr>
            </w:pPr>
            <w:r>
              <w:rPr>
                <w:rFonts w:ascii="仿宋" w:hAnsi="仿宋" w:eastAsia="仿宋" w:cs="仿宋"/>
                <w:spacing w:val="8"/>
                <w:sz w:val="20"/>
                <w:szCs w:val="20"/>
              </w:rPr>
              <w:t>承包商在投标文件中包含措施内容，各承包商设立至少</w:t>
            </w:r>
            <w:r>
              <w:rPr>
                <w:rFonts w:ascii="仿宋" w:hAnsi="仿宋" w:eastAsia="仿宋" w:cs="仿宋"/>
                <w:spacing w:val="-22"/>
                <w:sz w:val="20"/>
                <w:szCs w:val="20"/>
              </w:rPr>
              <w:t xml:space="preserve"> </w:t>
            </w:r>
            <w:r>
              <w:rPr>
                <w:rFonts w:ascii="仿宋" w:hAnsi="仿宋" w:eastAsia="仿宋" w:cs="仿宋"/>
                <w:spacing w:val="7"/>
                <w:sz w:val="20"/>
                <w:szCs w:val="20"/>
              </w:rPr>
              <w:t>1</w:t>
            </w:r>
            <w:r>
              <w:rPr>
                <w:rFonts w:ascii="仿宋" w:hAnsi="仿宋" w:eastAsia="仿宋" w:cs="仿宋"/>
                <w:spacing w:val="-31"/>
                <w:sz w:val="20"/>
                <w:szCs w:val="20"/>
              </w:rPr>
              <w:t xml:space="preserve"> </w:t>
            </w:r>
            <w:r>
              <w:rPr>
                <w:rFonts w:ascii="仿宋" w:hAnsi="仿宋" w:eastAsia="仿宋" w:cs="仿宋"/>
                <w:spacing w:val="7"/>
                <w:sz w:val="20"/>
                <w:szCs w:val="20"/>
              </w:rPr>
              <w:t>名专职环</w:t>
            </w:r>
            <w:r>
              <w:rPr>
                <w:rFonts w:ascii="仿宋" w:hAnsi="仿宋" w:eastAsia="仿宋" w:cs="仿宋"/>
                <w:spacing w:val="9"/>
                <w:sz w:val="20"/>
                <w:szCs w:val="20"/>
              </w:rPr>
              <w:t>保人员，负责在所承包工程施工时，严格执行落实合同与投标文件</w:t>
            </w:r>
            <w:r>
              <w:rPr>
                <w:rFonts w:ascii="仿宋" w:hAnsi="仿宋" w:eastAsia="仿宋" w:cs="仿宋"/>
                <w:spacing w:val="8"/>
                <w:sz w:val="20"/>
                <w:szCs w:val="20"/>
              </w:rPr>
              <w:t>中明确的环保措施及环保工作；</w:t>
            </w:r>
          </w:p>
          <w:p w14:paraId="0AD180AC">
            <w:pPr>
              <w:spacing w:before="2" w:line="205" w:lineRule="auto"/>
              <w:ind w:left="120"/>
              <w:rPr>
                <w:rFonts w:ascii="仿宋" w:hAnsi="仿宋" w:eastAsia="仿宋" w:cs="仿宋"/>
                <w:sz w:val="20"/>
                <w:szCs w:val="20"/>
              </w:rPr>
            </w:pPr>
            <w:r>
              <w:rPr>
                <w:rFonts w:ascii="仿宋" w:hAnsi="仿宋" w:eastAsia="仿宋" w:cs="仿宋"/>
                <w:spacing w:val="8"/>
                <w:sz w:val="20"/>
                <w:szCs w:val="20"/>
              </w:rPr>
              <w:t>检查和纠正施工中对环保不利的行为。</w:t>
            </w:r>
          </w:p>
        </w:tc>
      </w:tr>
      <w:tr w14:paraId="3608D4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29" w:hRule="atLeast"/>
        </w:trPr>
        <w:tc>
          <w:tcPr>
            <w:tcW w:w="1093" w:type="dxa"/>
            <w:vMerge w:val="continue"/>
            <w:tcBorders>
              <w:top w:val="nil"/>
              <w:left w:val="nil"/>
            </w:tcBorders>
            <w:vAlign w:val="top"/>
          </w:tcPr>
          <w:p w14:paraId="23111742">
            <w:pPr>
              <w:rPr>
                <w:rFonts w:ascii="Arial"/>
                <w:sz w:val="21"/>
              </w:rPr>
            </w:pPr>
          </w:p>
        </w:tc>
        <w:tc>
          <w:tcPr>
            <w:tcW w:w="1089" w:type="dxa"/>
            <w:vMerge w:val="continue"/>
            <w:tcBorders>
              <w:top w:val="nil"/>
            </w:tcBorders>
            <w:vAlign w:val="top"/>
          </w:tcPr>
          <w:p w14:paraId="7BB44951">
            <w:pPr>
              <w:rPr>
                <w:rFonts w:ascii="Arial"/>
                <w:sz w:val="21"/>
              </w:rPr>
            </w:pPr>
          </w:p>
        </w:tc>
        <w:tc>
          <w:tcPr>
            <w:tcW w:w="6340" w:type="dxa"/>
            <w:tcBorders>
              <w:right w:val="nil"/>
            </w:tcBorders>
            <w:vAlign w:val="top"/>
          </w:tcPr>
          <w:p w14:paraId="427BC302">
            <w:pPr>
              <w:spacing w:before="46" w:line="242" w:lineRule="auto"/>
              <w:ind w:left="118" w:right="143" w:firstLine="13"/>
              <w:jc w:val="both"/>
              <w:rPr>
                <w:rFonts w:ascii="仿宋" w:hAnsi="仿宋" w:eastAsia="仿宋" w:cs="仿宋"/>
                <w:sz w:val="20"/>
                <w:szCs w:val="20"/>
              </w:rPr>
            </w:pPr>
            <w:r>
              <w:rPr>
                <w:rFonts w:ascii="仿宋" w:hAnsi="仿宋" w:eastAsia="仿宋" w:cs="仿宋"/>
                <w:spacing w:val="9"/>
                <w:sz w:val="20"/>
                <w:szCs w:val="20"/>
              </w:rPr>
              <w:t>限制施工作业区范围，施工过程中剥离的表土，沿路基一侧临时堆放、妥善保存。施工结束后，直接利用于路肩边坡、道路两侧的植被恢复，选取当地草种（混播针茅、紫花苜蓿、羊草</w:t>
            </w:r>
            <w:r>
              <w:rPr>
                <w:rFonts w:ascii="仿宋" w:hAnsi="仿宋" w:eastAsia="仿宋" w:cs="仿宋"/>
                <w:spacing w:val="8"/>
                <w:sz w:val="20"/>
                <w:szCs w:val="20"/>
              </w:rPr>
              <w:t>、披碱草等）</w:t>
            </w:r>
            <w:r>
              <w:rPr>
                <w:rFonts w:ascii="仿宋" w:hAnsi="仿宋" w:eastAsia="仿宋" w:cs="仿宋"/>
                <w:spacing w:val="9"/>
                <w:sz w:val="20"/>
                <w:szCs w:val="20"/>
              </w:rPr>
              <w:t>为主，植被覆盖率不低于利用前或周边平均水平；路基防护采用植草防护，达到美化路容、减少视觉污染，尽可能减小项目对自然生</w:t>
            </w:r>
            <w:r>
              <w:rPr>
                <w:rFonts w:ascii="仿宋" w:hAnsi="仿宋" w:eastAsia="仿宋" w:cs="仿宋"/>
                <w:spacing w:val="4"/>
                <w:sz w:val="20"/>
                <w:szCs w:val="20"/>
              </w:rPr>
              <w:t>态的破坏。</w:t>
            </w:r>
          </w:p>
        </w:tc>
      </w:tr>
      <w:tr w14:paraId="1C3709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trPr>
        <w:tc>
          <w:tcPr>
            <w:tcW w:w="1093" w:type="dxa"/>
            <w:tcBorders>
              <w:left w:val="nil"/>
              <w:bottom w:val="single" w:color="000000" w:sz="10" w:space="0"/>
            </w:tcBorders>
            <w:vAlign w:val="top"/>
          </w:tcPr>
          <w:p w14:paraId="4C3F3953">
            <w:pPr>
              <w:spacing w:before="61" w:line="221" w:lineRule="auto"/>
              <w:ind w:left="245"/>
              <w:rPr>
                <w:rFonts w:ascii="仿宋" w:hAnsi="仿宋" w:eastAsia="仿宋" w:cs="仿宋"/>
                <w:sz w:val="20"/>
                <w:szCs w:val="20"/>
              </w:rPr>
            </w:pPr>
            <w:r>
              <w:rPr>
                <w:rFonts w:ascii="仿宋" w:hAnsi="仿宋" w:eastAsia="仿宋" w:cs="仿宋"/>
                <w:spacing w:val="4"/>
                <w:sz w:val="20"/>
                <w:szCs w:val="20"/>
              </w:rPr>
              <w:t>运营期</w:t>
            </w:r>
          </w:p>
        </w:tc>
        <w:tc>
          <w:tcPr>
            <w:tcW w:w="1089" w:type="dxa"/>
            <w:tcBorders>
              <w:bottom w:val="single" w:color="000000" w:sz="10" w:space="0"/>
            </w:tcBorders>
            <w:vAlign w:val="top"/>
          </w:tcPr>
          <w:p w14:paraId="39BB9648">
            <w:pPr>
              <w:spacing w:before="61" w:line="221" w:lineRule="auto"/>
              <w:ind w:left="135"/>
              <w:rPr>
                <w:rFonts w:ascii="仿宋" w:hAnsi="仿宋" w:eastAsia="仿宋" w:cs="仿宋"/>
                <w:sz w:val="20"/>
                <w:szCs w:val="20"/>
              </w:rPr>
            </w:pPr>
            <w:r>
              <w:rPr>
                <w:rFonts w:ascii="仿宋" w:hAnsi="仿宋" w:eastAsia="仿宋" w:cs="仿宋"/>
                <w:spacing w:val="5"/>
                <w:sz w:val="20"/>
                <w:szCs w:val="20"/>
              </w:rPr>
              <w:t>建设单位</w:t>
            </w:r>
          </w:p>
        </w:tc>
        <w:tc>
          <w:tcPr>
            <w:tcW w:w="6340" w:type="dxa"/>
            <w:tcBorders>
              <w:bottom w:val="single" w:color="000000" w:sz="10" w:space="0"/>
              <w:right w:val="nil"/>
            </w:tcBorders>
            <w:vAlign w:val="top"/>
          </w:tcPr>
          <w:p w14:paraId="579ECEA8">
            <w:pPr>
              <w:spacing w:before="61" w:line="221" w:lineRule="auto"/>
              <w:ind w:left="128"/>
              <w:rPr>
                <w:rFonts w:ascii="仿宋" w:hAnsi="仿宋" w:eastAsia="仿宋" w:cs="仿宋"/>
                <w:sz w:val="20"/>
                <w:szCs w:val="20"/>
              </w:rPr>
            </w:pPr>
            <w:r>
              <w:rPr>
                <w:rFonts w:ascii="仿宋" w:hAnsi="仿宋" w:eastAsia="仿宋" w:cs="仿宋"/>
                <w:spacing w:val="8"/>
                <w:sz w:val="20"/>
                <w:szCs w:val="20"/>
              </w:rPr>
              <w:t>落实营运期的生态环境监测任务</w:t>
            </w:r>
          </w:p>
        </w:tc>
      </w:tr>
    </w:tbl>
    <w:p w14:paraId="4BA04FA9">
      <w:pPr>
        <w:pStyle w:val="2"/>
        <w:spacing w:line="328" w:lineRule="auto"/>
        <w:rPr>
          <w:sz w:val="21"/>
        </w:rPr>
      </w:pPr>
    </w:p>
    <w:p w14:paraId="6525FE9A">
      <w:pPr>
        <w:spacing w:before="114" w:line="229" w:lineRule="auto"/>
        <w:ind w:left="129"/>
        <w:outlineLvl w:val="0"/>
        <w:rPr>
          <w:rFonts w:ascii="仿宋" w:hAnsi="仿宋" w:eastAsia="仿宋" w:cs="仿宋"/>
          <w:sz w:val="35"/>
          <w:szCs w:val="35"/>
        </w:rPr>
      </w:pPr>
      <w:bookmarkStart w:id="81" w:name="bookmark91"/>
      <w:bookmarkEnd w:id="81"/>
      <w:bookmarkStart w:id="82" w:name="bookmark90"/>
      <w:bookmarkEnd w:id="82"/>
      <w:r>
        <w:rPr>
          <w:rFonts w:ascii="仿宋" w:hAnsi="仿宋" w:eastAsia="仿宋" w:cs="仿宋"/>
          <w:b/>
          <w:bCs/>
          <w:spacing w:val="2"/>
          <w:sz w:val="35"/>
          <w:szCs w:val="35"/>
        </w:rPr>
        <w:t>7.结论与建议</w:t>
      </w:r>
    </w:p>
    <w:p w14:paraId="349E1AC8">
      <w:pPr>
        <w:spacing w:before="314" w:line="229" w:lineRule="auto"/>
        <w:ind w:left="126"/>
        <w:outlineLvl w:val="1"/>
        <w:rPr>
          <w:rFonts w:ascii="仿宋" w:hAnsi="仿宋" w:eastAsia="仿宋" w:cs="仿宋"/>
          <w:sz w:val="31"/>
          <w:szCs w:val="31"/>
        </w:rPr>
      </w:pPr>
      <w:r>
        <w:rPr>
          <w:rFonts w:ascii="仿宋" w:hAnsi="仿宋" w:eastAsia="仿宋" w:cs="仿宋"/>
          <w:b/>
          <w:bCs/>
          <w:spacing w:val="-5"/>
          <w:sz w:val="31"/>
          <w:szCs w:val="31"/>
        </w:rPr>
        <w:t>7.1</w:t>
      </w:r>
      <w:r>
        <w:rPr>
          <w:rFonts w:ascii="仿宋" w:hAnsi="仿宋" w:eastAsia="仿宋" w:cs="仿宋"/>
          <w:spacing w:val="-47"/>
          <w:sz w:val="31"/>
          <w:szCs w:val="31"/>
        </w:rPr>
        <w:t xml:space="preserve"> </w:t>
      </w:r>
      <w:r>
        <w:rPr>
          <w:rFonts w:ascii="仿宋" w:hAnsi="仿宋" w:eastAsia="仿宋" w:cs="仿宋"/>
          <w:b/>
          <w:bCs/>
          <w:spacing w:val="-5"/>
          <w:sz w:val="31"/>
          <w:szCs w:val="31"/>
        </w:rPr>
        <w:t>结论</w:t>
      </w:r>
    </w:p>
    <w:p w14:paraId="103905F9">
      <w:pPr>
        <w:spacing w:before="300" w:line="360" w:lineRule="auto"/>
        <w:ind w:left="123" w:right="107" w:firstLine="482"/>
        <w:jc w:val="both"/>
        <w:rPr>
          <w:rFonts w:ascii="仿宋" w:hAnsi="仿宋" w:eastAsia="仿宋" w:cs="仿宋"/>
          <w:sz w:val="24"/>
          <w:szCs w:val="24"/>
        </w:rPr>
      </w:pPr>
      <w:r>
        <w:rPr>
          <w:rFonts w:ascii="仿宋" w:hAnsi="仿宋" w:eastAsia="仿宋" w:cs="仿宋"/>
          <w:spacing w:val="-4"/>
          <w:sz w:val="24"/>
          <w:szCs w:val="24"/>
        </w:rPr>
        <w:t>综上所述，项目的建设虽对保护区内的动、植物、自然生态和生态系统的完</w:t>
      </w:r>
      <w:r>
        <w:rPr>
          <w:rFonts w:ascii="仿宋" w:hAnsi="仿宋" w:eastAsia="仿宋" w:cs="仿宋"/>
          <w:spacing w:val="-3"/>
          <w:sz w:val="24"/>
          <w:szCs w:val="24"/>
        </w:rPr>
        <w:t>整性造成一定的影响，但严格有效地采取各项环境保护措施后，可</w:t>
      </w:r>
      <w:r>
        <w:rPr>
          <w:rFonts w:ascii="仿宋" w:hAnsi="仿宋" w:eastAsia="仿宋" w:cs="仿宋"/>
          <w:spacing w:val="-4"/>
          <w:sz w:val="24"/>
          <w:szCs w:val="24"/>
        </w:rPr>
        <w:t>将影响降至可</w:t>
      </w:r>
      <w:r>
        <w:rPr>
          <w:rFonts w:ascii="仿宋" w:hAnsi="仿宋" w:eastAsia="仿宋" w:cs="仿宋"/>
          <w:spacing w:val="-1"/>
          <w:sz w:val="24"/>
          <w:szCs w:val="24"/>
        </w:rPr>
        <w:t>接受的程度，达到保护环境和社会经济协调发展的要求。</w:t>
      </w:r>
    </w:p>
    <w:p w14:paraId="3FD6E9F3">
      <w:pPr>
        <w:spacing w:line="360" w:lineRule="auto"/>
        <w:rPr>
          <w:rFonts w:ascii="仿宋" w:hAnsi="仿宋" w:eastAsia="仿宋" w:cs="仿宋"/>
          <w:sz w:val="24"/>
          <w:szCs w:val="24"/>
        </w:rPr>
        <w:sectPr>
          <w:footerReference r:id="rId273" w:type="default"/>
          <w:pgSz w:w="11906" w:h="16839"/>
          <w:pgMar w:top="400" w:right="1691" w:bottom="1367" w:left="1691" w:header="0" w:footer="1207" w:gutter="0"/>
          <w:cols w:space="720" w:num="1"/>
        </w:sectPr>
      </w:pPr>
    </w:p>
    <w:p w14:paraId="4BA6B8E0">
      <w:pPr>
        <w:pStyle w:val="2"/>
        <w:spacing w:line="271" w:lineRule="auto"/>
        <w:rPr>
          <w:sz w:val="21"/>
        </w:rPr>
      </w:pPr>
    </w:p>
    <w:p w14:paraId="4A3B7218">
      <w:pPr>
        <w:pStyle w:val="2"/>
        <w:spacing w:line="271" w:lineRule="auto"/>
        <w:rPr>
          <w:sz w:val="21"/>
        </w:rPr>
      </w:pPr>
    </w:p>
    <w:p w14:paraId="72C8A19D">
      <w:pPr>
        <w:pStyle w:val="2"/>
        <w:spacing w:line="272" w:lineRule="auto"/>
        <w:rPr>
          <w:sz w:val="21"/>
        </w:rPr>
      </w:pPr>
    </w:p>
    <w:p w14:paraId="47903772">
      <w:pPr>
        <w:pStyle w:val="2"/>
        <w:spacing w:line="272" w:lineRule="auto"/>
        <w:rPr>
          <w:sz w:val="21"/>
        </w:rPr>
      </w:pPr>
    </w:p>
    <w:p w14:paraId="7AC6CE52">
      <w:pPr>
        <w:spacing w:before="101" w:line="230" w:lineRule="auto"/>
        <w:ind w:left="32"/>
        <w:outlineLvl w:val="1"/>
        <w:rPr>
          <w:rFonts w:ascii="仿宋" w:hAnsi="仿宋" w:eastAsia="仿宋" w:cs="仿宋"/>
          <w:sz w:val="31"/>
          <w:szCs w:val="31"/>
        </w:rPr>
      </w:pPr>
      <w:bookmarkStart w:id="83" w:name="bookmark92"/>
      <w:bookmarkEnd w:id="83"/>
      <w:r>
        <w:rPr>
          <w:rFonts w:ascii="仿宋" w:hAnsi="仿宋" w:eastAsia="仿宋" w:cs="仿宋"/>
          <w:b/>
          <w:bCs/>
          <w:spacing w:val="-4"/>
          <w:sz w:val="31"/>
          <w:szCs w:val="31"/>
        </w:rPr>
        <w:t>7.2</w:t>
      </w:r>
      <w:r>
        <w:rPr>
          <w:rFonts w:ascii="仿宋" w:hAnsi="仿宋" w:eastAsia="仿宋" w:cs="仿宋"/>
          <w:spacing w:val="-52"/>
          <w:sz w:val="31"/>
          <w:szCs w:val="31"/>
        </w:rPr>
        <w:t xml:space="preserve"> </w:t>
      </w:r>
      <w:r>
        <w:rPr>
          <w:rFonts w:ascii="仿宋" w:hAnsi="仿宋" w:eastAsia="仿宋" w:cs="仿宋"/>
          <w:b/>
          <w:bCs/>
          <w:spacing w:val="-4"/>
          <w:sz w:val="31"/>
          <w:szCs w:val="31"/>
        </w:rPr>
        <w:t>建议</w:t>
      </w:r>
    </w:p>
    <w:p w14:paraId="27215BC9">
      <w:pPr>
        <w:spacing w:before="298" w:line="360" w:lineRule="auto"/>
        <w:ind w:left="30" w:right="13" w:firstLine="484"/>
        <w:rPr>
          <w:rFonts w:ascii="仿宋" w:hAnsi="仿宋" w:eastAsia="仿宋" w:cs="仿宋"/>
          <w:sz w:val="24"/>
          <w:szCs w:val="24"/>
        </w:rPr>
      </w:pPr>
      <w:r>
        <w:rPr>
          <w:rFonts w:ascii="仿宋" w:hAnsi="仿宋" w:eastAsia="仿宋" w:cs="仿宋"/>
          <w:sz w:val="24"/>
          <w:szCs w:val="24"/>
        </w:rPr>
        <w:t>（1）工程在施工过程中要加强施工过程中环境保护工作的监督，从而在总</w:t>
      </w:r>
      <w:r>
        <w:rPr>
          <w:rFonts w:ascii="仿宋" w:hAnsi="仿宋" w:eastAsia="仿宋" w:cs="仿宋"/>
          <w:spacing w:val="-2"/>
          <w:sz w:val="24"/>
          <w:szCs w:val="24"/>
        </w:rPr>
        <w:t>体上减轻对环境的不利影响。</w:t>
      </w:r>
    </w:p>
    <w:p w14:paraId="2F991B54">
      <w:pPr>
        <w:spacing w:line="219" w:lineRule="auto"/>
        <w:ind w:right="40"/>
        <w:jc w:val="right"/>
        <w:rPr>
          <w:rFonts w:ascii="仿宋" w:hAnsi="仿宋" w:eastAsia="仿宋" w:cs="仿宋"/>
          <w:sz w:val="24"/>
          <w:szCs w:val="24"/>
        </w:rPr>
      </w:pPr>
      <w:r>
        <w:rPr>
          <w:rFonts w:ascii="仿宋" w:hAnsi="仿宋" w:eastAsia="仿宋" w:cs="仿宋"/>
          <w:spacing w:val="-1"/>
          <w:sz w:val="24"/>
          <w:szCs w:val="24"/>
        </w:rPr>
        <w:t>（2）在采取生物措施恢复植被时，应选择当地乡土物种，确保生物安全。</w:t>
      </w:r>
    </w:p>
    <w:p w14:paraId="5294FBC0">
      <w:pPr>
        <w:spacing w:line="219" w:lineRule="auto"/>
        <w:rPr>
          <w:rFonts w:ascii="仿宋" w:hAnsi="仿宋" w:eastAsia="仿宋" w:cs="仿宋"/>
          <w:sz w:val="24"/>
          <w:szCs w:val="24"/>
        </w:rPr>
        <w:sectPr>
          <w:footerReference r:id="rId274" w:type="default"/>
          <w:pgSz w:w="11906" w:h="16839"/>
          <w:pgMar w:top="400" w:right="1785" w:bottom="1370" w:left="1785" w:header="0" w:footer="1207" w:gutter="0"/>
          <w:cols w:space="720" w:num="1"/>
        </w:sectPr>
      </w:pPr>
    </w:p>
    <w:p w14:paraId="071EE300">
      <w:pPr>
        <w:pStyle w:val="2"/>
        <w:spacing w:line="294" w:lineRule="auto"/>
        <w:rPr>
          <w:sz w:val="21"/>
        </w:rPr>
      </w:pPr>
    </w:p>
    <w:p w14:paraId="35E02C3D">
      <w:pPr>
        <w:pStyle w:val="2"/>
        <w:spacing w:line="295" w:lineRule="auto"/>
        <w:rPr>
          <w:sz w:val="21"/>
        </w:rPr>
      </w:pPr>
    </w:p>
    <w:p w14:paraId="5E1E2887">
      <w:pPr>
        <w:pStyle w:val="2"/>
        <w:spacing w:line="295" w:lineRule="auto"/>
        <w:rPr>
          <w:sz w:val="21"/>
        </w:rPr>
      </w:pPr>
    </w:p>
    <w:p w14:paraId="65EBBAB2">
      <w:pPr>
        <w:pStyle w:val="2"/>
        <w:spacing w:line="295" w:lineRule="auto"/>
        <w:rPr>
          <w:sz w:val="21"/>
        </w:rPr>
      </w:pPr>
    </w:p>
    <w:p w14:paraId="522BB91D">
      <w:pPr>
        <w:spacing w:before="78" w:line="212" w:lineRule="auto"/>
        <w:ind w:left="2603"/>
        <w:rPr>
          <w:rFonts w:ascii="宋体" w:hAnsi="宋体" w:eastAsia="宋体" w:cs="宋体"/>
          <w:sz w:val="24"/>
          <w:szCs w:val="24"/>
        </w:rPr>
      </w:pPr>
      <w:r>
        <w:rPr>
          <w:rFonts w:ascii="宋体" w:hAnsi="宋体" w:eastAsia="宋体" w:cs="宋体"/>
          <w:b/>
          <w:bCs/>
          <w:spacing w:val="-3"/>
          <w:sz w:val="24"/>
          <w:szCs w:val="24"/>
        </w:rPr>
        <w:t>附表</w:t>
      </w:r>
      <w:r>
        <w:rPr>
          <w:rFonts w:ascii="宋体" w:hAnsi="宋体" w:eastAsia="宋体" w:cs="宋体"/>
          <w:spacing w:val="-3"/>
          <w:sz w:val="24"/>
          <w:szCs w:val="24"/>
        </w:rPr>
        <w:t xml:space="preserve">      </w:t>
      </w:r>
      <w:r>
        <w:rPr>
          <w:rFonts w:ascii="宋体" w:hAnsi="宋体" w:eastAsia="宋体" w:cs="宋体"/>
          <w:b/>
          <w:bCs/>
          <w:spacing w:val="-3"/>
          <w:sz w:val="24"/>
          <w:szCs w:val="24"/>
        </w:rPr>
        <w:t>生态影响评价自查表</w:t>
      </w:r>
    </w:p>
    <w:tbl>
      <w:tblPr>
        <w:tblStyle w:val="5"/>
        <w:tblW w:w="852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98"/>
        <w:gridCol w:w="115"/>
        <w:gridCol w:w="1111"/>
        <w:gridCol w:w="6098"/>
      </w:tblGrid>
      <w:tr w14:paraId="5D8399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2424" w:type="dxa"/>
            <w:gridSpan w:val="3"/>
            <w:tcBorders>
              <w:top w:val="single" w:color="000000" w:sz="10" w:space="0"/>
              <w:left w:val="nil"/>
            </w:tcBorders>
            <w:vAlign w:val="top"/>
          </w:tcPr>
          <w:p w14:paraId="5FFE57CD">
            <w:pPr>
              <w:spacing w:before="35" w:line="217" w:lineRule="auto"/>
              <w:ind w:left="810"/>
              <w:rPr>
                <w:rFonts w:ascii="仿宋" w:hAnsi="仿宋" w:eastAsia="仿宋" w:cs="仿宋"/>
                <w:sz w:val="20"/>
                <w:szCs w:val="20"/>
              </w:rPr>
            </w:pPr>
            <w:r>
              <w:rPr>
                <w:rFonts w:ascii="仿宋" w:hAnsi="仿宋" w:eastAsia="仿宋" w:cs="仿宋"/>
                <w:spacing w:val="4"/>
                <w:sz w:val="20"/>
                <w:szCs w:val="20"/>
              </w:rPr>
              <w:t>工作内容</w:t>
            </w:r>
          </w:p>
        </w:tc>
        <w:tc>
          <w:tcPr>
            <w:tcW w:w="6098" w:type="dxa"/>
            <w:tcBorders>
              <w:top w:val="single" w:color="000000" w:sz="10" w:space="0"/>
              <w:right w:val="nil"/>
            </w:tcBorders>
            <w:vAlign w:val="top"/>
          </w:tcPr>
          <w:p w14:paraId="06FF04C2">
            <w:pPr>
              <w:spacing w:before="35" w:line="217" w:lineRule="auto"/>
              <w:ind w:left="2678"/>
              <w:rPr>
                <w:rFonts w:ascii="仿宋" w:hAnsi="仿宋" w:eastAsia="仿宋" w:cs="仿宋"/>
                <w:sz w:val="20"/>
                <w:szCs w:val="20"/>
              </w:rPr>
            </w:pPr>
            <w:r>
              <w:rPr>
                <w:rFonts w:ascii="仿宋" w:hAnsi="仿宋" w:eastAsia="仿宋" w:cs="仿宋"/>
                <w:spacing w:val="-4"/>
                <w:sz w:val="20"/>
                <w:szCs w:val="20"/>
              </w:rPr>
              <w:t>自查项目</w:t>
            </w:r>
          </w:p>
        </w:tc>
      </w:tr>
      <w:tr w14:paraId="157DDA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1313" w:type="dxa"/>
            <w:gridSpan w:val="2"/>
            <w:vMerge w:val="restart"/>
            <w:tcBorders>
              <w:left w:val="nil"/>
              <w:bottom w:val="nil"/>
            </w:tcBorders>
            <w:vAlign w:val="top"/>
          </w:tcPr>
          <w:p w14:paraId="4A334E74">
            <w:pPr>
              <w:spacing w:line="244" w:lineRule="auto"/>
              <w:rPr>
                <w:rFonts w:ascii="Arial"/>
                <w:sz w:val="21"/>
              </w:rPr>
            </w:pPr>
          </w:p>
          <w:p w14:paraId="3AA0BE6C">
            <w:pPr>
              <w:spacing w:line="244" w:lineRule="auto"/>
              <w:rPr>
                <w:rFonts w:ascii="Arial"/>
                <w:sz w:val="21"/>
              </w:rPr>
            </w:pPr>
          </w:p>
          <w:p w14:paraId="1654B4F5">
            <w:pPr>
              <w:spacing w:line="244" w:lineRule="auto"/>
              <w:rPr>
                <w:rFonts w:ascii="Arial"/>
                <w:sz w:val="21"/>
              </w:rPr>
            </w:pPr>
          </w:p>
          <w:p w14:paraId="5630D91C">
            <w:pPr>
              <w:spacing w:line="244" w:lineRule="auto"/>
              <w:rPr>
                <w:rFonts w:ascii="Arial"/>
                <w:sz w:val="21"/>
              </w:rPr>
            </w:pPr>
          </w:p>
          <w:p w14:paraId="73C4D0D5">
            <w:pPr>
              <w:spacing w:line="244" w:lineRule="auto"/>
              <w:rPr>
                <w:rFonts w:ascii="Arial"/>
                <w:sz w:val="21"/>
              </w:rPr>
            </w:pPr>
          </w:p>
          <w:p w14:paraId="748960B5">
            <w:pPr>
              <w:spacing w:line="245" w:lineRule="auto"/>
              <w:rPr>
                <w:rFonts w:ascii="Arial"/>
                <w:sz w:val="21"/>
              </w:rPr>
            </w:pPr>
          </w:p>
          <w:p w14:paraId="3AE0D056">
            <w:pPr>
              <w:spacing w:before="65" w:line="251" w:lineRule="auto"/>
              <w:ind w:left="568" w:right="129" w:hanging="410"/>
              <w:rPr>
                <w:rFonts w:ascii="仿宋" w:hAnsi="仿宋" w:eastAsia="仿宋" w:cs="仿宋"/>
                <w:sz w:val="20"/>
                <w:szCs w:val="20"/>
              </w:rPr>
            </w:pPr>
            <w:r>
              <w:rPr>
                <w:rFonts w:ascii="仿宋" w:hAnsi="仿宋" w:eastAsia="仿宋" w:cs="仿宋"/>
                <w:spacing w:val="4"/>
                <w:sz w:val="20"/>
                <w:szCs w:val="20"/>
              </w:rPr>
              <w:t>生态影响识</w:t>
            </w:r>
            <w:r>
              <w:rPr>
                <w:rFonts w:ascii="仿宋" w:hAnsi="仿宋" w:eastAsia="仿宋" w:cs="仿宋"/>
                <w:sz w:val="20"/>
                <w:szCs w:val="20"/>
              </w:rPr>
              <w:t>别</w:t>
            </w:r>
          </w:p>
        </w:tc>
        <w:tc>
          <w:tcPr>
            <w:tcW w:w="1111" w:type="dxa"/>
            <w:vAlign w:val="top"/>
          </w:tcPr>
          <w:p w14:paraId="0CEC38C5">
            <w:pPr>
              <w:spacing w:before="166" w:line="253" w:lineRule="auto"/>
              <w:ind w:left="392" w:right="136" w:hanging="235"/>
              <w:rPr>
                <w:rFonts w:ascii="仿宋" w:hAnsi="仿宋" w:eastAsia="仿宋" w:cs="仿宋"/>
                <w:sz w:val="20"/>
                <w:szCs w:val="20"/>
              </w:rPr>
            </w:pPr>
            <w:r>
              <w:rPr>
                <w:rFonts w:ascii="仿宋" w:hAnsi="仿宋" w:eastAsia="仿宋" w:cs="仿宋"/>
                <w:spacing w:val="2"/>
                <w:sz w:val="20"/>
                <w:szCs w:val="20"/>
              </w:rPr>
              <w:t>生态保护</w:t>
            </w:r>
            <w:r>
              <w:rPr>
                <w:rFonts w:ascii="仿宋" w:hAnsi="仿宋" w:eastAsia="仿宋" w:cs="仿宋"/>
                <w:spacing w:val="-17"/>
                <w:sz w:val="20"/>
                <w:szCs w:val="20"/>
              </w:rPr>
              <w:t>目标</w:t>
            </w:r>
          </w:p>
        </w:tc>
        <w:tc>
          <w:tcPr>
            <w:tcW w:w="6098" w:type="dxa"/>
            <w:tcBorders>
              <w:right w:val="nil"/>
            </w:tcBorders>
            <w:vAlign w:val="top"/>
          </w:tcPr>
          <w:p w14:paraId="27B6BFD1">
            <w:pPr>
              <w:spacing w:before="33" w:line="229" w:lineRule="auto"/>
              <w:ind w:left="125"/>
              <w:rPr>
                <w:rFonts w:ascii="仿宋" w:hAnsi="仿宋" w:eastAsia="仿宋" w:cs="仿宋"/>
                <w:sz w:val="20"/>
                <w:szCs w:val="20"/>
              </w:rPr>
            </w:pPr>
            <w:r>
              <w:rPr>
                <w:rFonts w:ascii="仿宋" w:hAnsi="仿宋" w:eastAsia="仿宋" w:cs="仿宋"/>
                <w:spacing w:val="1"/>
                <w:sz w:val="20"/>
                <w:szCs w:val="20"/>
              </w:rPr>
              <w:t>重要物种□</w:t>
            </w:r>
            <w:r>
              <w:rPr>
                <w:rFonts w:ascii="仿宋" w:hAnsi="仿宋" w:eastAsia="仿宋" w:cs="仿宋"/>
                <w:spacing w:val="-68"/>
                <w:sz w:val="20"/>
                <w:szCs w:val="20"/>
              </w:rPr>
              <w:t xml:space="preserve"> </w:t>
            </w:r>
            <w:r>
              <w:rPr>
                <w:rFonts w:ascii="仿宋" w:hAnsi="仿宋" w:eastAsia="仿宋" w:cs="仿宋"/>
                <w:spacing w:val="1"/>
                <w:sz w:val="20"/>
                <w:szCs w:val="20"/>
              </w:rPr>
              <w:t>；</w:t>
            </w:r>
            <w:r>
              <w:rPr>
                <w:rFonts w:ascii="仿宋" w:hAnsi="仿宋" w:eastAsia="仿宋" w:cs="仿宋"/>
                <w:spacing w:val="-56"/>
                <w:sz w:val="20"/>
                <w:szCs w:val="20"/>
              </w:rPr>
              <w:t xml:space="preserve"> </w:t>
            </w:r>
            <w:r>
              <w:rPr>
                <w:rFonts w:ascii="仿宋" w:hAnsi="仿宋" w:eastAsia="仿宋" w:cs="仿宋"/>
                <w:spacing w:val="1"/>
                <w:sz w:val="20"/>
                <w:szCs w:val="20"/>
              </w:rPr>
              <w:t>国家公园□</w:t>
            </w:r>
            <w:r>
              <w:rPr>
                <w:rFonts w:ascii="仿宋" w:hAnsi="仿宋" w:eastAsia="仿宋" w:cs="仿宋"/>
                <w:spacing w:val="-69"/>
                <w:sz w:val="20"/>
                <w:szCs w:val="20"/>
              </w:rPr>
              <w:t xml:space="preserve"> </w:t>
            </w:r>
            <w:r>
              <w:rPr>
                <w:rFonts w:ascii="仿宋" w:hAnsi="仿宋" w:eastAsia="仿宋" w:cs="仿宋"/>
                <w:spacing w:val="1"/>
                <w:sz w:val="20"/>
                <w:szCs w:val="20"/>
              </w:rPr>
              <w:t>；</w:t>
            </w:r>
            <w:r>
              <w:rPr>
                <w:rFonts w:ascii="仿宋" w:hAnsi="仿宋" w:eastAsia="仿宋" w:cs="仿宋"/>
                <w:spacing w:val="-41"/>
                <w:sz w:val="20"/>
                <w:szCs w:val="20"/>
              </w:rPr>
              <w:t xml:space="preserve"> </w:t>
            </w:r>
            <w:r>
              <w:rPr>
                <w:rFonts w:ascii="仿宋" w:hAnsi="仿宋" w:eastAsia="仿宋" w:cs="仿宋"/>
                <w:spacing w:val="1"/>
                <w:sz w:val="20"/>
                <w:szCs w:val="20"/>
              </w:rPr>
              <w:t>自然保护区□；</w:t>
            </w:r>
            <w:r>
              <w:rPr>
                <w:rFonts w:ascii="仿宋" w:hAnsi="仿宋" w:eastAsia="仿宋" w:cs="仿宋"/>
                <w:spacing w:val="-38"/>
                <w:sz w:val="20"/>
                <w:szCs w:val="20"/>
              </w:rPr>
              <w:t xml:space="preserve"> </w:t>
            </w:r>
            <w:r>
              <w:rPr>
                <w:rFonts w:ascii="仿宋" w:hAnsi="仿宋" w:eastAsia="仿宋" w:cs="仿宋"/>
                <w:spacing w:val="1"/>
                <w:sz w:val="20"/>
                <w:szCs w:val="20"/>
              </w:rPr>
              <w:t>自然公园□；世界自</w:t>
            </w:r>
          </w:p>
          <w:p w14:paraId="1959821C">
            <w:pPr>
              <w:spacing w:before="23" w:line="229" w:lineRule="auto"/>
              <w:ind w:left="125"/>
              <w:rPr>
                <w:rFonts w:ascii="仿宋" w:hAnsi="仿宋" w:eastAsia="仿宋" w:cs="仿宋"/>
                <w:sz w:val="20"/>
                <w:szCs w:val="20"/>
              </w:rPr>
            </w:pPr>
            <w:r>
              <w:rPr>
                <w:rFonts w:ascii="仿宋" w:hAnsi="仿宋" w:eastAsia="仿宋" w:cs="仿宋"/>
                <w:spacing w:val="9"/>
                <w:sz w:val="20"/>
                <w:szCs w:val="20"/>
              </w:rPr>
              <w:t>然遗产□；生态保护红线□；重要生境□；其他具有重要生态功</w:t>
            </w:r>
          </w:p>
          <w:p w14:paraId="2CE6E420">
            <w:pPr>
              <w:spacing w:before="22" w:line="218" w:lineRule="auto"/>
              <w:ind w:left="568"/>
              <w:rPr>
                <w:rFonts w:ascii="MS UI Gothic" w:hAnsi="MS UI Gothic" w:eastAsia="MS UI Gothic" w:cs="MS UI Gothic"/>
                <w:sz w:val="18"/>
                <w:szCs w:val="18"/>
              </w:rPr>
            </w:pPr>
            <w:r>
              <w:rPr>
                <w:rFonts w:ascii="仿宋" w:hAnsi="仿宋" w:eastAsia="仿宋" w:cs="仿宋"/>
                <w:spacing w:val="7"/>
                <w:sz w:val="20"/>
                <w:szCs w:val="20"/>
              </w:rPr>
              <w:t>能、对保护生物多样性具有重要意义的区域□</w:t>
            </w:r>
            <w:r>
              <w:rPr>
                <w:rFonts w:ascii="仿宋" w:hAnsi="仿宋" w:eastAsia="仿宋" w:cs="仿宋"/>
                <w:spacing w:val="-65"/>
                <w:sz w:val="20"/>
                <w:szCs w:val="20"/>
              </w:rPr>
              <w:t xml:space="preserve"> </w:t>
            </w:r>
            <w:r>
              <w:rPr>
                <w:rFonts w:ascii="仿宋" w:hAnsi="仿宋" w:eastAsia="仿宋" w:cs="仿宋"/>
                <w:spacing w:val="7"/>
                <w:sz w:val="20"/>
                <w:szCs w:val="20"/>
              </w:rPr>
              <w:t>；其他</w:t>
            </w:r>
            <w:r>
              <w:rPr>
                <w:rFonts w:ascii="MS UI Gothic" w:hAnsi="MS UI Gothic" w:eastAsia="MS UI Gothic" w:cs="MS UI Gothic"/>
                <w:spacing w:val="7"/>
                <w:sz w:val="18"/>
                <w:szCs w:val="18"/>
              </w:rPr>
              <w:t>☑</w:t>
            </w:r>
          </w:p>
        </w:tc>
      </w:tr>
      <w:tr w14:paraId="0BFF8D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313" w:type="dxa"/>
            <w:gridSpan w:val="2"/>
            <w:vMerge w:val="continue"/>
            <w:tcBorders>
              <w:top w:val="nil"/>
              <w:left w:val="nil"/>
              <w:bottom w:val="nil"/>
            </w:tcBorders>
            <w:vAlign w:val="top"/>
          </w:tcPr>
          <w:p w14:paraId="59BB0EA5">
            <w:pPr>
              <w:rPr>
                <w:rFonts w:ascii="Arial"/>
                <w:sz w:val="21"/>
              </w:rPr>
            </w:pPr>
          </w:p>
        </w:tc>
        <w:tc>
          <w:tcPr>
            <w:tcW w:w="1111" w:type="dxa"/>
            <w:vAlign w:val="top"/>
          </w:tcPr>
          <w:p w14:paraId="33692243">
            <w:pPr>
              <w:spacing w:before="32" w:line="217" w:lineRule="auto"/>
              <w:ind w:left="147"/>
              <w:rPr>
                <w:rFonts w:ascii="仿宋" w:hAnsi="仿宋" w:eastAsia="仿宋" w:cs="仿宋"/>
                <w:sz w:val="20"/>
                <w:szCs w:val="20"/>
              </w:rPr>
            </w:pPr>
            <w:r>
              <w:rPr>
                <w:rFonts w:ascii="仿宋" w:hAnsi="仿宋" w:eastAsia="仿宋" w:cs="仿宋"/>
                <w:spacing w:val="5"/>
                <w:sz w:val="20"/>
                <w:szCs w:val="20"/>
              </w:rPr>
              <w:t>影响方式</w:t>
            </w:r>
          </w:p>
        </w:tc>
        <w:tc>
          <w:tcPr>
            <w:tcW w:w="6098" w:type="dxa"/>
            <w:tcBorders>
              <w:right w:val="nil"/>
            </w:tcBorders>
            <w:vAlign w:val="top"/>
          </w:tcPr>
          <w:p w14:paraId="15E02FA1">
            <w:pPr>
              <w:spacing w:before="32" w:line="217" w:lineRule="auto"/>
              <w:ind w:left="469"/>
              <w:rPr>
                <w:rFonts w:ascii="仿宋" w:hAnsi="仿宋" w:eastAsia="仿宋" w:cs="仿宋"/>
                <w:sz w:val="20"/>
                <w:szCs w:val="20"/>
              </w:rPr>
            </w:pPr>
            <w:r>
              <w:rPr>
                <w:rFonts w:ascii="仿宋" w:hAnsi="仿宋" w:eastAsia="仿宋" w:cs="仿宋"/>
                <w:spacing w:val="6"/>
                <w:sz w:val="20"/>
                <w:szCs w:val="20"/>
              </w:rPr>
              <w:t>工程占用</w:t>
            </w:r>
            <w:r>
              <w:rPr>
                <w:rFonts w:ascii="MS UI Gothic" w:hAnsi="MS UI Gothic" w:eastAsia="MS UI Gothic" w:cs="MS UI Gothic"/>
                <w:spacing w:val="6"/>
                <w:sz w:val="18"/>
                <w:szCs w:val="18"/>
              </w:rPr>
              <w:t>☑</w:t>
            </w:r>
            <w:r>
              <w:rPr>
                <w:rFonts w:ascii="MS UI Gothic" w:hAnsi="MS UI Gothic" w:eastAsia="MS UI Gothic" w:cs="MS UI Gothic"/>
                <w:spacing w:val="-27"/>
                <w:sz w:val="18"/>
                <w:szCs w:val="18"/>
              </w:rPr>
              <w:t xml:space="preserve"> </w:t>
            </w:r>
            <w:r>
              <w:rPr>
                <w:rFonts w:ascii="仿宋" w:hAnsi="仿宋" w:eastAsia="仿宋" w:cs="仿宋"/>
                <w:spacing w:val="6"/>
                <w:sz w:val="20"/>
                <w:szCs w:val="20"/>
              </w:rPr>
              <w:t>；施工活动干扰</w:t>
            </w:r>
            <w:r>
              <w:rPr>
                <w:rFonts w:ascii="MS UI Gothic" w:hAnsi="MS UI Gothic" w:eastAsia="MS UI Gothic" w:cs="MS UI Gothic"/>
                <w:spacing w:val="6"/>
                <w:sz w:val="18"/>
                <w:szCs w:val="18"/>
              </w:rPr>
              <w:t>☑</w:t>
            </w:r>
            <w:r>
              <w:rPr>
                <w:rFonts w:ascii="仿宋" w:hAnsi="仿宋" w:eastAsia="仿宋" w:cs="仿宋"/>
                <w:spacing w:val="6"/>
                <w:sz w:val="20"/>
                <w:szCs w:val="20"/>
              </w:rPr>
              <w:t>；改变环境条件□</w:t>
            </w:r>
            <w:r>
              <w:rPr>
                <w:rFonts w:ascii="仿宋" w:hAnsi="仿宋" w:eastAsia="仿宋" w:cs="仿宋"/>
                <w:spacing w:val="-69"/>
                <w:sz w:val="20"/>
                <w:szCs w:val="20"/>
              </w:rPr>
              <w:t xml:space="preserve"> </w:t>
            </w:r>
            <w:r>
              <w:rPr>
                <w:rFonts w:ascii="仿宋" w:hAnsi="仿宋" w:eastAsia="仿宋" w:cs="仿宋"/>
                <w:spacing w:val="6"/>
                <w:sz w:val="20"/>
                <w:szCs w:val="20"/>
              </w:rPr>
              <w:t>；其他□</w:t>
            </w:r>
          </w:p>
        </w:tc>
      </w:tr>
      <w:tr w14:paraId="5FCB24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4" w:hRule="atLeast"/>
        </w:trPr>
        <w:tc>
          <w:tcPr>
            <w:tcW w:w="1313" w:type="dxa"/>
            <w:gridSpan w:val="2"/>
            <w:vMerge w:val="continue"/>
            <w:tcBorders>
              <w:top w:val="nil"/>
              <w:left w:val="nil"/>
            </w:tcBorders>
            <w:vAlign w:val="top"/>
          </w:tcPr>
          <w:p w14:paraId="4AC6F16D">
            <w:pPr>
              <w:rPr>
                <w:rFonts w:ascii="Arial"/>
                <w:sz w:val="21"/>
              </w:rPr>
            </w:pPr>
          </w:p>
        </w:tc>
        <w:tc>
          <w:tcPr>
            <w:tcW w:w="1111" w:type="dxa"/>
            <w:vAlign w:val="top"/>
          </w:tcPr>
          <w:p w14:paraId="7F1A687D">
            <w:pPr>
              <w:spacing w:line="262" w:lineRule="auto"/>
              <w:rPr>
                <w:rFonts w:ascii="Arial"/>
                <w:sz w:val="21"/>
              </w:rPr>
            </w:pPr>
          </w:p>
          <w:p w14:paraId="52EE1A7C">
            <w:pPr>
              <w:spacing w:line="262" w:lineRule="auto"/>
              <w:rPr>
                <w:rFonts w:ascii="Arial"/>
                <w:sz w:val="21"/>
              </w:rPr>
            </w:pPr>
          </w:p>
          <w:p w14:paraId="77AC1985">
            <w:pPr>
              <w:spacing w:line="263" w:lineRule="auto"/>
              <w:rPr>
                <w:rFonts w:ascii="Arial"/>
                <w:sz w:val="21"/>
              </w:rPr>
            </w:pPr>
          </w:p>
          <w:p w14:paraId="2EAD580E">
            <w:pPr>
              <w:spacing w:line="263" w:lineRule="auto"/>
              <w:rPr>
                <w:rFonts w:ascii="Arial"/>
                <w:sz w:val="21"/>
              </w:rPr>
            </w:pPr>
          </w:p>
          <w:p w14:paraId="1930510E">
            <w:pPr>
              <w:spacing w:before="65" w:line="231" w:lineRule="auto"/>
              <w:ind w:left="146"/>
              <w:rPr>
                <w:rFonts w:ascii="仿宋" w:hAnsi="仿宋" w:eastAsia="仿宋" w:cs="仿宋"/>
                <w:sz w:val="20"/>
                <w:szCs w:val="20"/>
              </w:rPr>
            </w:pPr>
            <w:r>
              <w:rPr>
                <w:rFonts w:ascii="仿宋" w:hAnsi="仿宋" w:eastAsia="仿宋" w:cs="仿宋"/>
                <w:spacing w:val="5"/>
                <w:sz w:val="20"/>
                <w:szCs w:val="20"/>
              </w:rPr>
              <w:t>评价因子</w:t>
            </w:r>
          </w:p>
        </w:tc>
        <w:tc>
          <w:tcPr>
            <w:tcW w:w="6098" w:type="dxa"/>
            <w:tcBorders>
              <w:right w:val="nil"/>
            </w:tcBorders>
            <w:vAlign w:val="top"/>
          </w:tcPr>
          <w:p w14:paraId="56180FC8">
            <w:pPr>
              <w:spacing w:before="33" w:line="229" w:lineRule="auto"/>
              <w:ind w:left="1905"/>
              <w:rPr>
                <w:rFonts w:ascii="仿宋" w:hAnsi="仿宋" w:eastAsia="仿宋" w:cs="仿宋"/>
                <w:sz w:val="20"/>
                <w:szCs w:val="20"/>
              </w:rPr>
            </w:pPr>
            <w:r>
              <w:rPr>
                <w:rFonts w:ascii="仿宋" w:hAnsi="仿宋" w:eastAsia="仿宋" w:cs="仿宋"/>
                <w:spacing w:val="7"/>
                <w:sz w:val="20"/>
                <w:szCs w:val="20"/>
              </w:rPr>
              <w:t>物种</w:t>
            </w:r>
            <w:r>
              <w:rPr>
                <w:rFonts w:ascii="MS UI Gothic" w:hAnsi="MS UI Gothic" w:eastAsia="MS UI Gothic" w:cs="MS UI Gothic"/>
                <w:spacing w:val="7"/>
                <w:sz w:val="20"/>
                <w:szCs w:val="20"/>
              </w:rPr>
              <w:t>☑</w:t>
            </w:r>
            <w:r>
              <w:rPr>
                <w:rFonts w:ascii="MS UI Gothic" w:hAnsi="MS UI Gothic" w:eastAsia="MS UI Gothic" w:cs="MS UI Gothic"/>
                <w:spacing w:val="47"/>
                <w:w w:val="101"/>
                <w:sz w:val="20"/>
                <w:szCs w:val="20"/>
              </w:rPr>
              <w:t xml:space="preserve"> </w:t>
            </w:r>
            <w:r>
              <w:rPr>
                <w:rFonts w:ascii="仿宋" w:hAnsi="仿宋" w:eastAsia="仿宋" w:cs="仿宋"/>
                <w:spacing w:val="7"/>
                <w:sz w:val="20"/>
                <w:szCs w:val="20"/>
              </w:rPr>
              <w:t>（动物、植物 ）</w:t>
            </w:r>
          </w:p>
          <w:p w14:paraId="39450A72">
            <w:pPr>
              <w:spacing w:before="23" w:line="229" w:lineRule="auto"/>
              <w:ind w:left="1497"/>
              <w:rPr>
                <w:rFonts w:ascii="仿宋" w:hAnsi="仿宋" w:eastAsia="仿宋" w:cs="仿宋"/>
                <w:sz w:val="20"/>
                <w:szCs w:val="20"/>
              </w:rPr>
            </w:pPr>
            <w:r>
              <w:rPr>
                <w:rFonts w:ascii="仿宋" w:hAnsi="仿宋" w:eastAsia="仿宋" w:cs="仿宋"/>
                <w:spacing w:val="7"/>
                <w:sz w:val="20"/>
                <w:szCs w:val="20"/>
              </w:rPr>
              <w:t>生境</w:t>
            </w:r>
            <w:r>
              <w:rPr>
                <w:rFonts w:ascii="MS UI Gothic" w:hAnsi="MS UI Gothic" w:eastAsia="MS UI Gothic" w:cs="MS UI Gothic"/>
                <w:spacing w:val="7"/>
                <w:sz w:val="20"/>
                <w:szCs w:val="20"/>
              </w:rPr>
              <w:t>☑</w:t>
            </w:r>
            <w:r>
              <w:rPr>
                <w:rFonts w:ascii="MS UI Gothic" w:hAnsi="MS UI Gothic" w:eastAsia="MS UI Gothic" w:cs="MS UI Gothic"/>
                <w:spacing w:val="48"/>
                <w:sz w:val="20"/>
                <w:szCs w:val="20"/>
              </w:rPr>
              <w:t xml:space="preserve"> </w:t>
            </w:r>
            <w:r>
              <w:rPr>
                <w:rFonts w:ascii="仿宋" w:hAnsi="仿宋" w:eastAsia="仿宋" w:cs="仿宋"/>
                <w:spacing w:val="7"/>
                <w:sz w:val="20"/>
                <w:szCs w:val="20"/>
              </w:rPr>
              <w:t>（物种组成、群落结构 ）</w:t>
            </w:r>
          </w:p>
          <w:p w14:paraId="65A08950">
            <w:pPr>
              <w:spacing w:before="25" w:line="229" w:lineRule="auto"/>
              <w:ind w:left="551"/>
              <w:rPr>
                <w:rFonts w:ascii="仿宋" w:hAnsi="仿宋" w:eastAsia="仿宋" w:cs="仿宋"/>
                <w:sz w:val="20"/>
                <w:szCs w:val="20"/>
              </w:rPr>
            </w:pPr>
            <w:r>
              <w:rPr>
                <w:rFonts w:ascii="仿宋" w:hAnsi="仿宋" w:eastAsia="仿宋" w:cs="仿宋"/>
                <w:spacing w:val="8"/>
                <w:sz w:val="20"/>
                <w:szCs w:val="20"/>
              </w:rPr>
              <w:t>生物群落</w:t>
            </w:r>
            <w:r>
              <w:rPr>
                <w:rFonts w:ascii="MS UI Gothic" w:hAnsi="MS UI Gothic" w:eastAsia="MS UI Gothic" w:cs="MS UI Gothic"/>
                <w:spacing w:val="8"/>
                <w:sz w:val="20"/>
                <w:szCs w:val="20"/>
              </w:rPr>
              <w:t>☑</w:t>
            </w:r>
            <w:r>
              <w:rPr>
                <w:rFonts w:ascii="MS UI Gothic" w:hAnsi="MS UI Gothic" w:eastAsia="MS UI Gothic" w:cs="MS UI Gothic"/>
                <w:spacing w:val="52"/>
                <w:sz w:val="20"/>
                <w:szCs w:val="20"/>
              </w:rPr>
              <w:t xml:space="preserve"> </w:t>
            </w:r>
            <w:r>
              <w:rPr>
                <w:rFonts w:ascii="仿宋" w:hAnsi="仿宋" w:eastAsia="仿宋" w:cs="仿宋"/>
                <w:spacing w:val="8"/>
                <w:sz w:val="20"/>
                <w:szCs w:val="20"/>
              </w:rPr>
              <w:t>（土壤侵蚀、地形地貌、土壤以及植被 ）</w:t>
            </w:r>
          </w:p>
          <w:p w14:paraId="48D4915D">
            <w:pPr>
              <w:spacing w:before="22" w:line="232" w:lineRule="auto"/>
              <w:ind w:left="2231"/>
              <w:rPr>
                <w:rFonts w:ascii="仿宋" w:hAnsi="仿宋" w:eastAsia="仿宋" w:cs="仿宋"/>
                <w:sz w:val="20"/>
                <w:szCs w:val="20"/>
              </w:rPr>
            </w:pPr>
            <w:r>
              <w:rPr>
                <w:rFonts w:ascii="仿宋" w:hAnsi="仿宋" w:eastAsia="仿宋" w:cs="仿宋"/>
                <w:spacing w:val="-3"/>
                <w:sz w:val="20"/>
                <w:szCs w:val="20"/>
              </w:rPr>
              <w:t>生态系统□</w:t>
            </w:r>
            <w:r>
              <w:rPr>
                <w:rFonts w:ascii="仿宋" w:hAnsi="仿宋" w:eastAsia="仿宋" w:cs="仿宋"/>
                <w:spacing w:val="14"/>
                <w:sz w:val="20"/>
                <w:szCs w:val="20"/>
              </w:rPr>
              <w:t xml:space="preserve">  </w:t>
            </w:r>
            <w:r>
              <w:rPr>
                <w:rFonts w:ascii="仿宋" w:hAnsi="仿宋" w:eastAsia="仿宋" w:cs="仿宋"/>
                <w:spacing w:val="-3"/>
                <w:sz w:val="20"/>
                <w:szCs w:val="20"/>
              </w:rPr>
              <w:t>(</w:t>
            </w:r>
            <w:r>
              <w:rPr>
                <w:rFonts w:ascii="仿宋" w:hAnsi="仿宋" w:eastAsia="仿宋" w:cs="仿宋"/>
                <w:spacing w:val="67"/>
                <w:sz w:val="20"/>
                <w:szCs w:val="20"/>
              </w:rPr>
              <w:t xml:space="preserve"> </w:t>
            </w:r>
            <w:r>
              <w:rPr>
                <w:rFonts w:ascii="仿宋" w:hAnsi="仿宋" w:eastAsia="仿宋" w:cs="仿宋"/>
                <w:spacing w:val="-3"/>
                <w:sz w:val="20"/>
                <w:szCs w:val="20"/>
              </w:rPr>
              <w:t>)</w:t>
            </w:r>
          </w:p>
          <w:p w14:paraId="011ECB35">
            <w:pPr>
              <w:spacing w:before="21" w:line="228" w:lineRule="auto"/>
              <w:ind w:left="2178"/>
              <w:rPr>
                <w:rFonts w:ascii="仿宋" w:hAnsi="仿宋" w:eastAsia="仿宋" w:cs="仿宋"/>
                <w:sz w:val="20"/>
                <w:szCs w:val="20"/>
              </w:rPr>
            </w:pPr>
            <w:r>
              <w:rPr>
                <w:rFonts w:ascii="仿宋" w:hAnsi="仿宋" w:eastAsia="仿宋" w:cs="仿宋"/>
                <w:spacing w:val="-1"/>
                <w:sz w:val="20"/>
                <w:szCs w:val="20"/>
              </w:rPr>
              <w:t>生物多样性□</w:t>
            </w:r>
            <w:r>
              <w:rPr>
                <w:rFonts w:ascii="仿宋" w:hAnsi="仿宋" w:eastAsia="仿宋" w:cs="仿宋"/>
                <w:spacing w:val="19"/>
                <w:sz w:val="20"/>
                <w:szCs w:val="20"/>
              </w:rPr>
              <w:t xml:space="preserve"> </w:t>
            </w:r>
            <w:r>
              <w:rPr>
                <w:rFonts w:ascii="仿宋" w:hAnsi="仿宋" w:eastAsia="仿宋" w:cs="仿宋"/>
                <w:spacing w:val="-1"/>
                <w:sz w:val="20"/>
                <w:szCs w:val="20"/>
              </w:rPr>
              <w:t>(</w:t>
            </w:r>
            <w:r>
              <w:rPr>
                <w:rFonts w:ascii="仿宋" w:hAnsi="仿宋" w:eastAsia="仿宋" w:cs="仿宋"/>
                <w:spacing w:val="69"/>
                <w:sz w:val="20"/>
                <w:szCs w:val="20"/>
              </w:rPr>
              <w:t xml:space="preserve"> </w:t>
            </w:r>
            <w:r>
              <w:rPr>
                <w:rFonts w:ascii="仿宋" w:hAnsi="仿宋" w:eastAsia="仿宋" w:cs="仿宋"/>
                <w:spacing w:val="-1"/>
                <w:sz w:val="20"/>
                <w:szCs w:val="20"/>
              </w:rPr>
              <w:t>)</w:t>
            </w:r>
          </w:p>
          <w:p w14:paraId="1A0A62FB">
            <w:pPr>
              <w:spacing w:before="24" w:line="232" w:lineRule="auto"/>
              <w:ind w:left="2178"/>
              <w:rPr>
                <w:rFonts w:ascii="仿宋" w:hAnsi="仿宋" w:eastAsia="仿宋" w:cs="仿宋"/>
                <w:sz w:val="20"/>
                <w:szCs w:val="20"/>
              </w:rPr>
            </w:pPr>
            <w:r>
              <w:rPr>
                <w:rFonts w:ascii="仿宋" w:hAnsi="仿宋" w:eastAsia="仿宋" w:cs="仿宋"/>
                <w:spacing w:val="-1"/>
                <w:sz w:val="20"/>
                <w:szCs w:val="20"/>
              </w:rPr>
              <w:t>生态敏感区□</w:t>
            </w:r>
            <w:r>
              <w:rPr>
                <w:rFonts w:ascii="仿宋" w:hAnsi="仿宋" w:eastAsia="仿宋" w:cs="仿宋"/>
                <w:spacing w:val="19"/>
                <w:sz w:val="20"/>
                <w:szCs w:val="20"/>
              </w:rPr>
              <w:t xml:space="preserve"> </w:t>
            </w:r>
            <w:r>
              <w:rPr>
                <w:rFonts w:ascii="仿宋" w:hAnsi="仿宋" w:eastAsia="仿宋" w:cs="仿宋"/>
                <w:spacing w:val="-1"/>
                <w:sz w:val="20"/>
                <w:szCs w:val="20"/>
              </w:rPr>
              <w:t>(</w:t>
            </w:r>
            <w:r>
              <w:rPr>
                <w:rFonts w:ascii="仿宋" w:hAnsi="仿宋" w:eastAsia="仿宋" w:cs="仿宋"/>
                <w:spacing w:val="69"/>
                <w:sz w:val="20"/>
                <w:szCs w:val="20"/>
              </w:rPr>
              <w:t xml:space="preserve"> </w:t>
            </w:r>
            <w:r>
              <w:rPr>
                <w:rFonts w:ascii="仿宋" w:hAnsi="仿宋" w:eastAsia="仿宋" w:cs="仿宋"/>
                <w:spacing w:val="-1"/>
                <w:sz w:val="20"/>
                <w:szCs w:val="20"/>
              </w:rPr>
              <w:t>)</w:t>
            </w:r>
          </w:p>
          <w:p w14:paraId="7CFB92E4">
            <w:pPr>
              <w:spacing w:before="22" w:line="231" w:lineRule="auto"/>
              <w:ind w:left="2311"/>
              <w:rPr>
                <w:rFonts w:ascii="仿宋" w:hAnsi="仿宋" w:eastAsia="仿宋" w:cs="仿宋"/>
                <w:sz w:val="20"/>
                <w:szCs w:val="20"/>
              </w:rPr>
            </w:pPr>
            <w:r>
              <w:rPr>
                <w:rFonts w:ascii="仿宋" w:hAnsi="仿宋" w:eastAsia="仿宋" w:cs="仿宋"/>
                <w:spacing w:val="-7"/>
                <w:sz w:val="20"/>
                <w:szCs w:val="20"/>
              </w:rPr>
              <w:t>自然景观□</w:t>
            </w:r>
            <w:r>
              <w:rPr>
                <w:rFonts w:ascii="仿宋" w:hAnsi="仿宋" w:eastAsia="仿宋" w:cs="仿宋"/>
                <w:spacing w:val="24"/>
                <w:sz w:val="20"/>
                <w:szCs w:val="20"/>
              </w:rPr>
              <w:t xml:space="preserve"> </w:t>
            </w:r>
            <w:r>
              <w:rPr>
                <w:rFonts w:ascii="仿宋" w:hAnsi="仿宋" w:eastAsia="仿宋" w:cs="仿宋"/>
                <w:spacing w:val="-7"/>
                <w:sz w:val="20"/>
                <w:szCs w:val="20"/>
              </w:rPr>
              <w:t>(</w:t>
            </w:r>
            <w:r>
              <w:rPr>
                <w:rFonts w:ascii="仿宋" w:hAnsi="仿宋" w:eastAsia="仿宋" w:cs="仿宋"/>
                <w:spacing w:val="66"/>
                <w:sz w:val="20"/>
                <w:szCs w:val="20"/>
              </w:rPr>
              <w:t xml:space="preserve"> </w:t>
            </w:r>
            <w:r>
              <w:rPr>
                <w:rFonts w:ascii="仿宋" w:hAnsi="仿宋" w:eastAsia="仿宋" w:cs="仿宋"/>
                <w:spacing w:val="-7"/>
                <w:sz w:val="20"/>
                <w:szCs w:val="20"/>
              </w:rPr>
              <w:t>)</w:t>
            </w:r>
          </w:p>
          <w:p w14:paraId="1A37FD18">
            <w:pPr>
              <w:spacing w:before="21" w:line="232" w:lineRule="auto"/>
              <w:ind w:left="2311"/>
              <w:rPr>
                <w:rFonts w:ascii="仿宋" w:hAnsi="仿宋" w:eastAsia="仿宋" w:cs="仿宋"/>
                <w:sz w:val="20"/>
                <w:szCs w:val="20"/>
              </w:rPr>
            </w:pPr>
            <w:r>
              <w:rPr>
                <w:rFonts w:ascii="仿宋" w:hAnsi="仿宋" w:eastAsia="仿宋" w:cs="仿宋"/>
                <w:spacing w:val="-7"/>
                <w:sz w:val="20"/>
                <w:szCs w:val="20"/>
              </w:rPr>
              <w:t>自然遗迹□</w:t>
            </w:r>
            <w:r>
              <w:rPr>
                <w:rFonts w:ascii="仿宋" w:hAnsi="仿宋" w:eastAsia="仿宋" w:cs="仿宋"/>
                <w:spacing w:val="24"/>
                <w:sz w:val="20"/>
                <w:szCs w:val="20"/>
              </w:rPr>
              <w:t xml:space="preserve"> </w:t>
            </w:r>
            <w:r>
              <w:rPr>
                <w:rFonts w:ascii="仿宋" w:hAnsi="仿宋" w:eastAsia="仿宋" w:cs="仿宋"/>
                <w:spacing w:val="-7"/>
                <w:sz w:val="20"/>
                <w:szCs w:val="20"/>
              </w:rPr>
              <w:t>(</w:t>
            </w:r>
            <w:r>
              <w:rPr>
                <w:rFonts w:ascii="仿宋" w:hAnsi="仿宋" w:eastAsia="仿宋" w:cs="仿宋"/>
                <w:spacing w:val="66"/>
                <w:sz w:val="20"/>
                <w:szCs w:val="20"/>
              </w:rPr>
              <w:t xml:space="preserve"> </w:t>
            </w:r>
            <w:r>
              <w:rPr>
                <w:rFonts w:ascii="仿宋" w:hAnsi="仿宋" w:eastAsia="仿宋" w:cs="仿宋"/>
                <w:spacing w:val="-7"/>
                <w:sz w:val="20"/>
                <w:szCs w:val="20"/>
              </w:rPr>
              <w:t>)</w:t>
            </w:r>
          </w:p>
          <w:p w14:paraId="35204D52">
            <w:pPr>
              <w:spacing w:before="21" w:line="216" w:lineRule="auto"/>
              <w:ind w:left="2537"/>
              <w:rPr>
                <w:rFonts w:ascii="仿宋" w:hAnsi="仿宋" w:eastAsia="仿宋" w:cs="仿宋"/>
                <w:sz w:val="20"/>
                <w:szCs w:val="20"/>
              </w:rPr>
            </w:pPr>
            <w:r>
              <w:rPr>
                <w:rFonts w:ascii="仿宋" w:hAnsi="仿宋" w:eastAsia="仿宋" w:cs="仿宋"/>
                <w:spacing w:val="-2"/>
                <w:sz w:val="20"/>
                <w:szCs w:val="20"/>
              </w:rPr>
              <w:t>其他□</w:t>
            </w:r>
            <w:r>
              <w:rPr>
                <w:rFonts w:ascii="仿宋" w:hAnsi="仿宋" w:eastAsia="仿宋" w:cs="仿宋"/>
                <w:spacing w:val="21"/>
                <w:sz w:val="20"/>
                <w:szCs w:val="20"/>
              </w:rPr>
              <w:t xml:space="preserve"> </w:t>
            </w:r>
            <w:r>
              <w:rPr>
                <w:rFonts w:ascii="仿宋" w:hAnsi="仿宋" w:eastAsia="仿宋" w:cs="仿宋"/>
                <w:spacing w:val="-2"/>
                <w:sz w:val="20"/>
                <w:szCs w:val="20"/>
              </w:rPr>
              <w:t>()</w:t>
            </w:r>
          </w:p>
        </w:tc>
      </w:tr>
      <w:tr w14:paraId="7E6B85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424" w:type="dxa"/>
            <w:gridSpan w:val="3"/>
            <w:tcBorders>
              <w:left w:val="nil"/>
            </w:tcBorders>
            <w:vAlign w:val="top"/>
          </w:tcPr>
          <w:p w14:paraId="0C318859">
            <w:pPr>
              <w:spacing w:before="34" w:line="215" w:lineRule="auto"/>
              <w:ind w:left="806"/>
              <w:rPr>
                <w:rFonts w:ascii="仿宋" w:hAnsi="仿宋" w:eastAsia="仿宋" w:cs="仿宋"/>
                <w:sz w:val="20"/>
                <w:szCs w:val="20"/>
              </w:rPr>
            </w:pPr>
            <w:r>
              <w:rPr>
                <w:rFonts w:ascii="仿宋" w:hAnsi="仿宋" w:eastAsia="仿宋" w:cs="仿宋"/>
                <w:spacing w:val="5"/>
                <w:sz w:val="20"/>
                <w:szCs w:val="20"/>
              </w:rPr>
              <w:t>评价等级</w:t>
            </w:r>
          </w:p>
        </w:tc>
        <w:tc>
          <w:tcPr>
            <w:tcW w:w="6098" w:type="dxa"/>
            <w:tcBorders>
              <w:right w:val="nil"/>
            </w:tcBorders>
            <w:vAlign w:val="top"/>
          </w:tcPr>
          <w:p w14:paraId="7CBD4C03">
            <w:pPr>
              <w:spacing w:before="34" w:line="215" w:lineRule="auto"/>
              <w:ind w:left="917"/>
              <w:rPr>
                <w:rFonts w:ascii="仿宋" w:hAnsi="仿宋" w:eastAsia="仿宋" w:cs="仿宋"/>
                <w:sz w:val="20"/>
                <w:szCs w:val="20"/>
              </w:rPr>
            </w:pPr>
            <w:r>
              <w:rPr>
                <w:rFonts w:ascii="仿宋" w:hAnsi="仿宋" w:eastAsia="仿宋" w:cs="仿宋"/>
                <w:spacing w:val="6"/>
                <w:sz w:val="20"/>
                <w:szCs w:val="20"/>
              </w:rPr>
              <w:t>一级□ 二级□</w:t>
            </w:r>
            <w:r>
              <w:rPr>
                <w:rFonts w:ascii="仿宋" w:hAnsi="仿宋" w:eastAsia="仿宋" w:cs="仿宋"/>
                <w:spacing w:val="30"/>
                <w:sz w:val="20"/>
                <w:szCs w:val="20"/>
              </w:rPr>
              <w:t xml:space="preserve"> </w:t>
            </w:r>
            <w:r>
              <w:rPr>
                <w:rFonts w:ascii="仿宋" w:hAnsi="仿宋" w:eastAsia="仿宋" w:cs="仿宋"/>
                <w:spacing w:val="6"/>
                <w:sz w:val="20"/>
                <w:szCs w:val="20"/>
              </w:rPr>
              <w:t>三级</w:t>
            </w:r>
            <w:r>
              <w:rPr>
                <w:rFonts w:ascii="MS UI Gothic" w:hAnsi="MS UI Gothic" w:eastAsia="MS UI Gothic" w:cs="MS UI Gothic"/>
                <w:spacing w:val="6"/>
                <w:sz w:val="20"/>
                <w:szCs w:val="20"/>
              </w:rPr>
              <w:t>☑</w:t>
            </w:r>
            <w:r>
              <w:rPr>
                <w:rFonts w:ascii="MS UI Gothic" w:hAnsi="MS UI Gothic" w:eastAsia="MS UI Gothic" w:cs="MS UI Gothic"/>
                <w:spacing w:val="4"/>
                <w:sz w:val="20"/>
                <w:szCs w:val="20"/>
              </w:rPr>
              <w:t xml:space="preserve">     </w:t>
            </w:r>
            <w:r>
              <w:rPr>
                <w:rFonts w:ascii="仿宋" w:hAnsi="仿宋" w:eastAsia="仿宋" w:cs="仿宋"/>
                <w:spacing w:val="6"/>
                <w:sz w:val="20"/>
                <w:szCs w:val="20"/>
              </w:rPr>
              <w:t>生态影响简单分析□</w:t>
            </w:r>
          </w:p>
        </w:tc>
      </w:tr>
      <w:tr w14:paraId="4B02BD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2424" w:type="dxa"/>
            <w:gridSpan w:val="3"/>
            <w:tcBorders>
              <w:left w:val="nil"/>
            </w:tcBorders>
            <w:vAlign w:val="top"/>
          </w:tcPr>
          <w:p w14:paraId="78DC0881">
            <w:pPr>
              <w:spacing w:before="35" w:line="215" w:lineRule="auto"/>
              <w:ind w:left="806"/>
              <w:rPr>
                <w:rFonts w:ascii="仿宋" w:hAnsi="仿宋" w:eastAsia="仿宋" w:cs="仿宋"/>
                <w:sz w:val="20"/>
                <w:szCs w:val="20"/>
              </w:rPr>
            </w:pPr>
            <w:r>
              <w:rPr>
                <w:rFonts w:ascii="仿宋" w:hAnsi="仿宋" w:eastAsia="仿宋" w:cs="仿宋"/>
                <w:spacing w:val="5"/>
                <w:sz w:val="20"/>
                <w:szCs w:val="20"/>
              </w:rPr>
              <w:t>评价范围</w:t>
            </w:r>
          </w:p>
        </w:tc>
        <w:tc>
          <w:tcPr>
            <w:tcW w:w="6098" w:type="dxa"/>
            <w:tcBorders>
              <w:right w:val="nil"/>
            </w:tcBorders>
            <w:vAlign w:val="top"/>
          </w:tcPr>
          <w:p w14:paraId="177266C6">
            <w:pPr>
              <w:spacing w:before="17" w:line="231" w:lineRule="auto"/>
              <w:ind w:left="974"/>
              <w:rPr>
                <w:rFonts w:ascii="仿宋" w:hAnsi="仿宋" w:eastAsia="仿宋" w:cs="仿宋"/>
                <w:sz w:val="10"/>
                <w:szCs w:val="10"/>
              </w:rPr>
            </w:pPr>
            <w:r>
              <w:rPr>
                <w:rFonts w:ascii="仿宋" w:hAnsi="仿宋" w:eastAsia="仿宋" w:cs="仿宋"/>
                <w:spacing w:val="6"/>
                <w:sz w:val="20"/>
                <w:szCs w:val="20"/>
              </w:rPr>
              <w:t>陆域面积</w:t>
            </w:r>
            <w:r>
              <w:rPr>
                <w:rFonts w:ascii="仿宋" w:hAnsi="仿宋" w:eastAsia="仿宋" w:cs="仿宋"/>
                <w:spacing w:val="-2"/>
                <w:sz w:val="20"/>
                <w:szCs w:val="20"/>
              </w:rPr>
              <w:t>：（</w:t>
            </w:r>
            <w:r>
              <w:rPr>
                <w:rFonts w:ascii="仿宋" w:hAnsi="仿宋" w:eastAsia="仿宋" w:cs="仿宋"/>
                <w:spacing w:val="6"/>
                <w:sz w:val="20"/>
                <w:szCs w:val="20"/>
              </w:rPr>
              <w:t>18.10）</w:t>
            </w:r>
            <w:r>
              <w:rPr>
                <w:rFonts w:ascii="仿宋" w:hAnsi="仿宋" w:eastAsia="仿宋" w:cs="仿宋"/>
                <w:sz w:val="20"/>
                <w:szCs w:val="20"/>
              </w:rPr>
              <w:t>km</w:t>
            </w:r>
            <w:r>
              <w:rPr>
                <w:rFonts w:ascii="仿宋" w:hAnsi="仿宋" w:eastAsia="仿宋" w:cs="仿宋"/>
                <w:spacing w:val="6"/>
                <w:position w:val="10"/>
                <w:sz w:val="10"/>
                <w:szCs w:val="10"/>
              </w:rPr>
              <w:t>2</w:t>
            </w:r>
            <w:r>
              <w:rPr>
                <w:rFonts w:ascii="仿宋" w:hAnsi="仿宋" w:eastAsia="仿宋" w:cs="仿宋"/>
                <w:spacing w:val="-20"/>
                <w:position w:val="10"/>
                <w:sz w:val="10"/>
                <w:szCs w:val="10"/>
              </w:rPr>
              <w:t xml:space="preserve"> </w:t>
            </w:r>
            <w:r>
              <w:rPr>
                <w:rFonts w:ascii="仿宋" w:hAnsi="仿宋" w:eastAsia="仿宋" w:cs="仿宋"/>
                <w:spacing w:val="6"/>
                <w:sz w:val="20"/>
                <w:szCs w:val="20"/>
              </w:rPr>
              <w:t>；水域面积</w:t>
            </w:r>
            <w:r>
              <w:rPr>
                <w:rFonts w:ascii="仿宋" w:hAnsi="仿宋" w:eastAsia="仿宋" w:cs="仿宋"/>
                <w:spacing w:val="-2"/>
                <w:sz w:val="20"/>
                <w:szCs w:val="20"/>
              </w:rPr>
              <w:t>：（）</w:t>
            </w:r>
            <w:r>
              <w:rPr>
                <w:rFonts w:ascii="仿宋" w:hAnsi="仿宋" w:eastAsia="仿宋" w:cs="仿宋"/>
                <w:spacing w:val="-53"/>
                <w:sz w:val="20"/>
                <w:szCs w:val="20"/>
              </w:rPr>
              <w:t xml:space="preserve"> </w:t>
            </w:r>
            <w:r>
              <w:rPr>
                <w:rFonts w:ascii="仿宋" w:hAnsi="仿宋" w:eastAsia="仿宋" w:cs="仿宋"/>
                <w:sz w:val="20"/>
                <w:szCs w:val="20"/>
              </w:rPr>
              <w:t>km</w:t>
            </w:r>
            <w:r>
              <w:rPr>
                <w:rFonts w:ascii="仿宋" w:hAnsi="仿宋" w:eastAsia="仿宋" w:cs="仿宋"/>
                <w:spacing w:val="6"/>
                <w:position w:val="10"/>
                <w:sz w:val="10"/>
                <w:szCs w:val="10"/>
              </w:rPr>
              <w:t>2</w:t>
            </w:r>
          </w:p>
        </w:tc>
      </w:tr>
      <w:tr w14:paraId="604A86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198" w:type="dxa"/>
            <w:vMerge w:val="restart"/>
            <w:tcBorders>
              <w:left w:val="nil"/>
              <w:bottom w:val="nil"/>
            </w:tcBorders>
            <w:vAlign w:val="top"/>
          </w:tcPr>
          <w:p w14:paraId="496D3D33">
            <w:pPr>
              <w:spacing w:line="265" w:lineRule="auto"/>
              <w:rPr>
                <w:rFonts w:ascii="Arial"/>
                <w:sz w:val="21"/>
              </w:rPr>
            </w:pPr>
          </w:p>
          <w:p w14:paraId="6B0E84F5">
            <w:pPr>
              <w:spacing w:line="265" w:lineRule="auto"/>
              <w:rPr>
                <w:rFonts w:ascii="Arial"/>
                <w:sz w:val="21"/>
              </w:rPr>
            </w:pPr>
          </w:p>
          <w:p w14:paraId="6A79F74C">
            <w:pPr>
              <w:spacing w:line="265" w:lineRule="auto"/>
              <w:rPr>
                <w:rFonts w:ascii="Arial"/>
                <w:sz w:val="21"/>
              </w:rPr>
            </w:pPr>
          </w:p>
          <w:p w14:paraId="487CF301">
            <w:pPr>
              <w:spacing w:before="65" w:line="233" w:lineRule="auto"/>
              <w:ind w:left="206"/>
              <w:rPr>
                <w:rFonts w:ascii="仿宋" w:hAnsi="仿宋" w:eastAsia="仿宋" w:cs="仿宋"/>
                <w:sz w:val="20"/>
                <w:szCs w:val="20"/>
              </w:rPr>
            </w:pPr>
            <w:r>
              <w:rPr>
                <w:rFonts w:ascii="仿宋" w:hAnsi="仿宋" w:eastAsia="仿宋" w:cs="仿宋"/>
                <w:spacing w:val="2"/>
                <w:sz w:val="20"/>
                <w:szCs w:val="20"/>
              </w:rPr>
              <w:t>生态现状</w:t>
            </w:r>
          </w:p>
          <w:p w14:paraId="24D00FE8">
            <w:pPr>
              <w:spacing w:before="18" w:line="231" w:lineRule="auto"/>
              <w:ind w:left="138"/>
              <w:rPr>
                <w:rFonts w:ascii="仿宋" w:hAnsi="仿宋" w:eastAsia="仿宋" w:cs="仿宋"/>
                <w:sz w:val="20"/>
                <w:szCs w:val="20"/>
              </w:rPr>
            </w:pPr>
            <w:r>
              <w:rPr>
                <w:rFonts w:ascii="仿宋" w:hAnsi="仿宋" w:eastAsia="仿宋" w:cs="仿宋"/>
                <w:spacing w:val="3"/>
                <w:sz w:val="20"/>
                <w:szCs w:val="20"/>
              </w:rPr>
              <w:t>调查与</w:t>
            </w:r>
            <w:r>
              <w:rPr>
                <w:rFonts w:ascii="仿宋" w:hAnsi="仿宋" w:eastAsia="仿宋" w:cs="仿宋"/>
                <w:spacing w:val="24"/>
                <w:sz w:val="20"/>
                <w:szCs w:val="20"/>
              </w:rPr>
              <w:t xml:space="preserve"> </w:t>
            </w:r>
            <w:r>
              <w:rPr>
                <w:rFonts w:ascii="仿宋" w:hAnsi="仿宋" w:eastAsia="仿宋" w:cs="仿宋"/>
                <w:spacing w:val="3"/>
                <w:sz w:val="20"/>
                <w:szCs w:val="20"/>
              </w:rPr>
              <w:t>评</w:t>
            </w:r>
          </w:p>
          <w:p w14:paraId="54C3BAA8">
            <w:pPr>
              <w:spacing w:before="23" w:line="231" w:lineRule="auto"/>
              <w:ind w:left="509"/>
              <w:rPr>
                <w:rFonts w:ascii="仿宋" w:hAnsi="仿宋" w:eastAsia="仿宋" w:cs="仿宋"/>
                <w:sz w:val="20"/>
                <w:szCs w:val="20"/>
              </w:rPr>
            </w:pPr>
            <w:r>
              <w:rPr>
                <w:rFonts w:ascii="仿宋" w:hAnsi="仿宋" w:eastAsia="仿宋" w:cs="仿宋"/>
                <w:sz w:val="20"/>
                <w:szCs w:val="20"/>
              </w:rPr>
              <w:t>价</w:t>
            </w:r>
          </w:p>
        </w:tc>
        <w:tc>
          <w:tcPr>
            <w:tcW w:w="1226" w:type="dxa"/>
            <w:gridSpan w:val="2"/>
            <w:vAlign w:val="top"/>
          </w:tcPr>
          <w:p w14:paraId="733E8866">
            <w:pPr>
              <w:spacing w:before="169" w:line="232" w:lineRule="auto"/>
              <w:ind w:left="205"/>
              <w:rPr>
                <w:rFonts w:ascii="仿宋" w:hAnsi="仿宋" w:eastAsia="仿宋" w:cs="仿宋"/>
                <w:sz w:val="20"/>
                <w:szCs w:val="20"/>
              </w:rPr>
            </w:pPr>
            <w:r>
              <w:rPr>
                <w:rFonts w:ascii="仿宋" w:hAnsi="仿宋" w:eastAsia="仿宋" w:cs="仿宋"/>
                <w:spacing w:val="5"/>
                <w:sz w:val="20"/>
                <w:szCs w:val="20"/>
              </w:rPr>
              <w:t>调查方法</w:t>
            </w:r>
          </w:p>
        </w:tc>
        <w:tc>
          <w:tcPr>
            <w:tcW w:w="6098" w:type="dxa"/>
            <w:tcBorders>
              <w:right w:val="nil"/>
            </w:tcBorders>
            <w:vAlign w:val="top"/>
          </w:tcPr>
          <w:p w14:paraId="51984422">
            <w:pPr>
              <w:spacing w:before="35" w:line="228" w:lineRule="auto"/>
              <w:ind w:left="129"/>
              <w:rPr>
                <w:rFonts w:ascii="仿宋" w:hAnsi="仿宋" w:eastAsia="仿宋" w:cs="仿宋"/>
                <w:sz w:val="20"/>
                <w:szCs w:val="20"/>
              </w:rPr>
            </w:pPr>
            <w:r>
              <w:rPr>
                <w:rFonts w:ascii="仿宋" w:hAnsi="仿宋" w:eastAsia="仿宋" w:cs="仿宋"/>
                <w:spacing w:val="1"/>
                <w:sz w:val="20"/>
                <w:szCs w:val="20"/>
              </w:rPr>
              <w:t>资料收集</w:t>
            </w:r>
            <w:r>
              <w:rPr>
                <w:rFonts w:ascii="仿宋" w:hAnsi="仿宋" w:eastAsia="仿宋" w:cs="仿宋"/>
                <w:spacing w:val="-31"/>
                <w:sz w:val="20"/>
                <w:szCs w:val="20"/>
              </w:rPr>
              <w:t xml:space="preserve"> </w:t>
            </w:r>
            <w:r>
              <w:rPr>
                <w:rFonts w:ascii="仿宋" w:hAnsi="仿宋" w:eastAsia="仿宋" w:cs="仿宋"/>
                <w:spacing w:val="1"/>
                <w:sz w:val="20"/>
                <w:szCs w:val="20"/>
              </w:rPr>
              <w:t>R</w:t>
            </w:r>
            <w:r>
              <w:rPr>
                <w:rFonts w:ascii="仿宋" w:hAnsi="仿宋" w:eastAsia="仿宋" w:cs="仿宋"/>
                <w:spacing w:val="33"/>
                <w:sz w:val="20"/>
                <w:szCs w:val="20"/>
              </w:rPr>
              <w:t xml:space="preserve"> </w:t>
            </w:r>
            <w:r>
              <w:rPr>
                <w:rFonts w:ascii="仿宋" w:hAnsi="仿宋" w:eastAsia="仿宋" w:cs="仿宋"/>
                <w:spacing w:val="1"/>
                <w:sz w:val="20"/>
                <w:szCs w:val="20"/>
              </w:rPr>
              <w:t>；遥感调查</w:t>
            </w:r>
            <w:r>
              <w:rPr>
                <w:rFonts w:ascii="仿宋" w:hAnsi="仿宋" w:eastAsia="仿宋" w:cs="仿宋"/>
                <w:spacing w:val="-40"/>
                <w:sz w:val="20"/>
                <w:szCs w:val="20"/>
              </w:rPr>
              <w:t xml:space="preserve"> </w:t>
            </w:r>
            <w:r>
              <w:rPr>
                <w:rFonts w:ascii="仿宋" w:hAnsi="仿宋" w:eastAsia="仿宋" w:cs="仿宋"/>
                <w:spacing w:val="1"/>
                <w:sz w:val="20"/>
                <w:szCs w:val="20"/>
              </w:rPr>
              <w:t>R</w:t>
            </w:r>
            <w:r>
              <w:rPr>
                <w:rFonts w:ascii="仿宋" w:hAnsi="仿宋" w:eastAsia="仿宋" w:cs="仿宋"/>
                <w:spacing w:val="33"/>
                <w:sz w:val="20"/>
                <w:szCs w:val="20"/>
              </w:rPr>
              <w:t xml:space="preserve"> </w:t>
            </w:r>
            <w:r>
              <w:rPr>
                <w:rFonts w:ascii="仿宋" w:hAnsi="仿宋" w:eastAsia="仿宋" w:cs="仿宋"/>
                <w:spacing w:val="1"/>
                <w:sz w:val="20"/>
                <w:szCs w:val="20"/>
              </w:rPr>
              <w:t>；调查样方、样线□</w:t>
            </w:r>
            <w:r>
              <w:rPr>
                <w:rFonts w:ascii="仿宋" w:hAnsi="仿宋" w:eastAsia="仿宋" w:cs="仿宋"/>
                <w:spacing w:val="-69"/>
                <w:sz w:val="20"/>
                <w:szCs w:val="20"/>
              </w:rPr>
              <w:t xml:space="preserve"> </w:t>
            </w:r>
            <w:r>
              <w:rPr>
                <w:rFonts w:ascii="仿宋" w:hAnsi="仿宋" w:eastAsia="仿宋" w:cs="仿宋"/>
                <w:spacing w:val="1"/>
                <w:sz w:val="20"/>
                <w:szCs w:val="20"/>
              </w:rPr>
              <w:t>；调查点位、断面</w:t>
            </w:r>
          </w:p>
          <w:p w14:paraId="33AB9B4C">
            <w:pPr>
              <w:spacing w:before="24" w:line="215" w:lineRule="auto"/>
              <w:ind w:left="1474"/>
              <w:rPr>
                <w:rFonts w:ascii="仿宋" w:hAnsi="仿宋" w:eastAsia="仿宋" w:cs="仿宋"/>
                <w:sz w:val="20"/>
                <w:szCs w:val="20"/>
              </w:rPr>
            </w:pPr>
            <w:r>
              <w:rPr>
                <w:rFonts w:ascii="仿宋" w:hAnsi="仿宋" w:eastAsia="仿宋" w:cs="仿宋"/>
                <w:spacing w:val="3"/>
                <w:sz w:val="20"/>
                <w:szCs w:val="20"/>
              </w:rPr>
              <w:t>□</w:t>
            </w:r>
            <w:r>
              <w:rPr>
                <w:rFonts w:ascii="仿宋" w:hAnsi="仿宋" w:eastAsia="仿宋" w:cs="仿宋"/>
                <w:spacing w:val="-68"/>
                <w:sz w:val="20"/>
                <w:szCs w:val="20"/>
              </w:rPr>
              <w:t xml:space="preserve"> </w:t>
            </w:r>
            <w:r>
              <w:rPr>
                <w:rFonts w:ascii="仿宋" w:hAnsi="仿宋" w:eastAsia="仿宋" w:cs="仿宋"/>
                <w:spacing w:val="3"/>
                <w:sz w:val="20"/>
                <w:szCs w:val="20"/>
              </w:rPr>
              <w:t>；专家和公众咨询法</w:t>
            </w:r>
            <w:r>
              <w:rPr>
                <w:rFonts w:ascii="仿宋" w:hAnsi="仿宋" w:eastAsia="仿宋" w:cs="仿宋"/>
                <w:spacing w:val="-39"/>
                <w:sz w:val="20"/>
                <w:szCs w:val="20"/>
              </w:rPr>
              <w:t xml:space="preserve"> </w:t>
            </w:r>
            <w:r>
              <w:rPr>
                <w:rFonts w:ascii="仿宋" w:hAnsi="仿宋" w:eastAsia="仿宋" w:cs="仿宋"/>
                <w:spacing w:val="3"/>
                <w:sz w:val="20"/>
                <w:szCs w:val="20"/>
              </w:rPr>
              <w:t>R</w:t>
            </w:r>
            <w:r>
              <w:rPr>
                <w:rFonts w:ascii="仿宋" w:hAnsi="仿宋" w:eastAsia="仿宋" w:cs="仿宋"/>
                <w:spacing w:val="33"/>
                <w:sz w:val="20"/>
                <w:szCs w:val="20"/>
              </w:rPr>
              <w:t xml:space="preserve"> </w:t>
            </w:r>
            <w:r>
              <w:rPr>
                <w:rFonts w:ascii="仿宋" w:hAnsi="仿宋" w:eastAsia="仿宋" w:cs="仿宋"/>
                <w:spacing w:val="3"/>
                <w:sz w:val="20"/>
                <w:szCs w:val="20"/>
              </w:rPr>
              <w:t>；其他□</w:t>
            </w:r>
          </w:p>
        </w:tc>
      </w:tr>
      <w:tr w14:paraId="50BA98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198" w:type="dxa"/>
            <w:vMerge w:val="continue"/>
            <w:tcBorders>
              <w:top w:val="nil"/>
              <w:left w:val="nil"/>
              <w:bottom w:val="nil"/>
            </w:tcBorders>
            <w:vAlign w:val="top"/>
          </w:tcPr>
          <w:p w14:paraId="4FD8A4E9">
            <w:pPr>
              <w:rPr>
                <w:rFonts w:ascii="Arial"/>
                <w:sz w:val="21"/>
              </w:rPr>
            </w:pPr>
          </w:p>
        </w:tc>
        <w:tc>
          <w:tcPr>
            <w:tcW w:w="1226" w:type="dxa"/>
            <w:gridSpan w:val="2"/>
            <w:vAlign w:val="top"/>
          </w:tcPr>
          <w:p w14:paraId="5226A4AB">
            <w:pPr>
              <w:spacing w:before="169" w:line="232" w:lineRule="auto"/>
              <w:ind w:left="205"/>
              <w:rPr>
                <w:rFonts w:ascii="仿宋" w:hAnsi="仿宋" w:eastAsia="仿宋" w:cs="仿宋"/>
                <w:sz w:val="20"/>
                <w:szCs w:val="20"/>
              </w:rPr>
            </w:pPr>
            <w:r>
              <w:rPr>
                <w:rFonts w:ascii="仿宋" w:hAnsi="仿宋" w:eastAsia="仿宋" w:cs="仿宋"/>
                <w:spacing w:val="5"/>
                <w:sz w:val="20"/>
                <w:szCs w:val="20"/>
              </w:rPr>
              <w:t>调查时间</w:t>
            </w:r>
          </w:p>
        </w:tc>
        <w:tc>
          <w:tcPr>
            <w:tcW w:w="6098" w:type="dxa"/>
            <w:tcBorders>
              <w:right w:val="nil"/>
            </w:tcBorders>
            <w:vAlign w:val="top"/>
          </w:tcPr>
          <w:p w14:paraId="0D6F6BA8">
            <w:pPr>
              <w:spacing w:before="35" w:line="231" w:lineRule="auto"/>
              <w:ind w:left="1432"/>
              <w:rPr>
                <w:rFonts w:ascii="仿宋" w:hAnsi="仿宋" w:eastAsia="仿宋" w:cs="仿宋"/>
                <w:sz w:val="20"/>
                <w:szCs w:val="20"/>
              </w:rPr>
            </w:pPr>
            <w:r>
              <w:rPr>
                <w:rFonts w:ascii="仿宋" w:hAnsi="仿宋" w:eastAsia="仿宋" w:cs="仿宋"/>
                <w:spacing w:val="5"/>
                <w:sz w:val="20"/>
                <w:szCs w:val="20"/>
              </w:rPr>
              <w:t>春季</w:t>
            </w:r>
            <w:r>
              <w:rPr>
                <w:rFonts w:ascii="MS UI Gothic" w:hAnsi="MS UI Gothic" w:eastAsia="MS UI Gothic" w:cs="MS UI Gothic"/>
                <w:spacing w:val="5"/>
                <w:sz w:val="20"/>
                <w:szCs w:val="20"/>
              </w:rPr>
              <w:t>☑</w:t>
            </w:r>
            <w:r>
              <w:rPr>
                <w:rFonts w:ascii="仿宋" w:hAnsi="仿宋" w:eastAsia="仿宋" w:cs="仿宋"/>
                <w:spacing w:val="5"/>
                <w:sz w:val="20"/>
                <w:szCs w:val="20"/>
              </w:rPr>
              <w:t>；夏季□</w:t>
            </w:r>
            <w:r>
              <w:rPr>
                <w:rFonts w:ascii="仿宋" w:hAnsi="仿宋" w:eastAsia="仿宋" w:cs="仿宋"/>
                <w:spacing w:val="-70"/>
                <w:sz w:val="20"/>
                <w:szCs w:val="20"/>
              </w:rPr>
              <w:t xml:space="preserve"> </w:t>
            </w:r>
            <w:r>
              <w:rPr>
                <w:rFonts w:ascii="仿宋" w:hAnsi="仿宋" w:eastAsia="仿宋" w:cs="仿宋"/>
                <w:spacing w:val="5"/>
                <w:sz w:val="20"/>
                <w:szCs w:val="20"/>
              </w:rPr>
              <w:t>；秋季□</w:t>
            </w:r>
            <w:r>
              <w:rPr>
                <w:rFonts w:ascii="仿宋" w:hAnsi="仿宋" w:eastAsia="仿宋" w:cs="仿宋"/>
                <w:spacing w:val="34"/>
                <w:sz w:val="20"/>
                <w:szCs w:val="20"/>
              </w:rPr>
              <w:t xml:space="preserve"> </w:t>
            </w:r>
            <w:r>
              <w:rPr>
                <w:rFonts w:ascii="仿宋" w:hAnsi="仿宋" w:eastAsia="仿宋" w:cs="仿宋"/>
                <w:spacing w:val="5"/>
                <w:sz w:val="20"/>
                <w:szCs w:val="20"/>
              </w:rPr>
              <w:t>；冬季□</w:t>
            </w:r>
          </w:p>
          <w:p w14:paraId="1C38E81F">
            <w:pPr>
              <w:spacing w:before="21" w:line="215" w:lineRule="auto"/>
              <w:ind w:left="1600"/>
              <w:rPr>
                <w:rFonts w:ascii="仿宋" w:hAnsi="仿宋" w:eastAsia="仿宋" w:cs="仿宋"/>
                <w:sz w:val="20"/>
                <w:szCs w:val="20"/>
              </w:rPr>
            </w:pPr>
            <w:r>
              <w:rPr>
                <w:rFonts w:ascii="仿宋" w:hAnsi="仿宋" w:eastAsia="仿宋" w:cs="仿宋"/>
                <w:spacing w:val="5"/>
                <w:sz w:val="20"/>
                <w:szCs w:val="20"/>
              </w:rPr>
              <w:t>丰水期□</w:t>
            </w:r>
            <w:r>
              <w:rPr>
                <w:rFonts w:ascii="仿宋" w:hAnsi="仿宋" w:eastAsia="仿宋" w:cs="仿宋"/>
                <w:spacing w:val="-57"/>
                <w:sz w:val="20"/>
                <w:szCs w:val="20"/>
              </w:rPr>
              <w:t xml:space="preserve"> </w:t>
            </w:r>
            <w:r>
              <w:rPr>
                <w:rFonts w:ascii="仿宋" w:hAnsi="仿宋" w:eastAsia="仿宋" w:cs="仿宋"/>
                <w:spacing w:val="5"/>
                <w:sz w:val="20"/>
                <w:szCs w:val="20"/>
              </w:rPr>
              <w:t>；枯水期□；平水期□</w:t>
            </w:r>
          </w:p>
        </w:tc>
      </w:tr>
      <w:tr w14:paraId="4AA673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1198" w:type="dxa"/>
            <w:vMerge w:val="continue"/>
            <w:tcBorders>
              <w:top w:val="nil"/>
              <w:left w:val="nil"/>
              <w:bottom w:val="nil"/>
            </w:tcBorders>
            <w:vAlign w:val="top"/>
          </w:tcPr>
          <w:p w14:paraId="3C3B1B79">
            <w:pPr>
              <w:rPr>
                <w:rFonts w:ascii="Arial"/>
                <w:sz w:val="21"/>
              </w:rPr>
            </w:pPr>
          </w:p>
        </w:tc>
        <w:tc>
          <w:tcPr>
            <w:tcW w:w="1226" w:type="dxa"/>
            <w:gridSpan w:val="2"/>
            <w:vAlign w:val="top"/>
          </w:tcPr>
          <w:p w14:paraId="00D667F2">
            <w:pPr>
              <w:spacing w:before="34" w:line="228" w:lineRule="auto"/>
              <w:ind w:left="206"/>
              <w:rPr>
                <w:rFonts w:ascii="仿宋" w:hAnsi="仿宋" w:eastAsia="仿宋" w:cs="仿宋"/>
                <w:sz w:val="20"/>
                <w:szCs w:val="20"/>
              </w:rPr>
            </w:pPr>
            <w:r>
              <w:rPr>
                <w:rFonts w:ascii="仿宋" w:hAnsi="仿宋" w:eastAsia="仿宋" w:cs="仿宋"/>
                <w:spacing w:val="5"/>
                <w:sz w:val="20"/>
                <w:szCs w:val="20"/>
              </w:rPr>
              <w:t>所在区域</w:t>
            </w:r>
          </w:p>
          <w:p w14:paraId="383268A6">
            <w:pPr>
              <w:spacing w:before="24" w:line="233" w:lineRule="auto"/>
              <w:ind w:left="519" w:right="191" w:hanging="302"/>
              <w:rPr>
                <w:rFonts w:ascii="仿宋" w:hAnsi="仿宋" w:eastAsia="仿宋" w:cs="仿宋"/>
                <w:sz w:val="20"/>
                <w:szCs w:val="20"/>
              </w:rPr>
            </w:pPr>
            <w:r>
              <w:rPr>
                <w:rFonts w:ascii="仿宋" w:hAnsi="仿宋" w:eastAsia="仿宋" w:cs="仿宋"/>
                <w:spacing w:val="2"/>
                <w:sz w:val="20"/>
                <w:szCs w:val="20"/>
              </w:rPr>
              <w:t>的生态问</w:t>
            </w:r>
            <w:r>
              <w:rPr>
                <w:rFonts w:ascii="仿宋" w:hAnsi="仿宋" w:eastAsia="仿宋" w:cs="仿宋"/>
                <w:sz w:val="20"/>
                <w:szCs w:val="20"/>
              </w:rPr>
              <w:t>题</w:t>
            </w:r>
          </w:p>
        </w:tc>
        <w:tc>
          <w:tcPr>
            <w:tcW w:w="6098" w:type="dxa"/>
            <w:tcBorders>
              <w:right w:val="nil"/>
            </w:tcBorders>
            <w:vAlign w:val="top"/>
          </w:tcPr>
          <w:p w14:paraId="10BDA54E">
            <w:pPr>
              <w:spacing w:before="169" w:line="229" w:lineRule="auto"/>
              <w:ind w:left="118"/>
              <w:rPr>
                <w:rFonts w:ascii="仿宋" w:hAnsi="仿宋" w:eastAsia="仿宋" w:cs="仿宋"/>
                <w:sz w:val="20"/>
                <w:szCs w:val="20"/>
              </w:rPr>
            </w:pPr>
            <w:r>
              <w:rPr>
                <w:rFonts w:ascii="仿宋" w:hAnsi="仿宋" w:eastAsia="仿宋" w:cs="仿宋"/>
                <w:spacing w:val="6"/>
                <w:sz w:val="20"/>
                <w:szCs w:val="20"/>
              </w:rPr>
              <w:t>水土流失</w:t>
            </w:r>
            <w:r>
              <w:rPr>
                <w:rFonts w:ascii="MS UI Gothic" w:hAnsi="MS UI Gothic" w:eastAsia="MS UI Gothic" w:cs="MS UI Gothic"/>
                <w:spacing w:val="6"/>
                <w:sz w:val="20"/>
                <w:szCs w:val="20"/>
              </w:rPr>
              <w:t>☑</w:t>
            </w:r>
            <w:r>
              <w:rPr>
                <w:rFonts w:ascii="MS UI Gothic" w:hAnsi="MS UI Gothic" w:eastAsia="MS UI Gothic" w:cs="MS UI Gothic"/>
                <w:spacing w:val="18"/>
                <w:sz w:val="20"/>
                <w:szCs w:val="20"/>
              </w:rPr>
              <w:t xml:space="preserve">   </w:t>
            </w:r>
            <w:r>
              <w:rPr>
                <w:rFonts w:ascii="仿宋" w:hAnsi="仿宋" w:eastAsia="仿宋" w:cs="仿宋"/>
                <w:spacing w:val="6"/>
                <w:sz w:val="20"/>
                <w:szCs w:val="20"/>
              </w:rPr>
              <w:t>；沙漠化□</w:t>
            </w:r>
            <w:r>
              <w:rPr>
                <w:rFonts w:ascii="仿宋" w:hAnsi="仿宋" w:eastAsia="仿宋" w:cs="仿宋"/>
                <w:spacing w:val="35"/>
                <w:sz w:val="20"/>
                <w:szCs w:val="20"/>
              </w:rPr>
              <w:t xml:space="preserve"> </w:t>
            </w:r>
            <w:r>
              <w:rPr>
                <w:rFonts w:ascii="仿宋" w:hAnsi="仿宋" w:eastAsia="仿宋" w:cs="仿宋"/>
                <w:spacing w:val="6"/>
                <w:sz w:val="20"/>
                <w:szCs w:val="20"/>
              </w:rPr>
              <w:t>；石漠化□</w:t>
            </w:r>
            <w:r>
              <w:rPr>
                <w:rFonts w:ascii="仿宋" w:hAnsi="仿宋" w:eastAsia="仿宋" w:cs="仿宋"/>
                <w:spacing w:val="-69"/>
                <w:sz w:val="20"/>
                <w:szCs w:val="20"/>
              </w:rPr>
              <w:t xml:space="preserve"> </w:t>
            </w:r>
            <w:r>
              <w:rPr>
                <w:rFonts w:ascii="仿宋" w:hAnsi="仿宋" w:eastAsia="仿宋" w:cs="仿宋"/>
                <w:spacing w:val="6"/>
                <w:sz w:val="20"/>
                <w:szCs w:val="20"/>
              </w:rPr>
              <w:t>；盐渍化□；生</w:t>
            </w:r>
            <w:r>
              <w:rPr>
                <w:rFonts w:ascii="仿宋" w:hAnsi="仿宋" w:eastAsia="仿宋" w:cs="仿宋"/>
                <w:spacing w:val="5"/>
                <w:sz w:val="20"/>
                <w:szCs w:val="20"/>
              </w:rPr>
              <w:t>物入侵□;</w:t>
            </w:r>
          </w:p>
          <w:p w14:paraId="707434E3">
            <w:pPr>
              <w:spacing w:before="25" w:line="230" w:lineRule="auto"/>
              <w:ind w:left="2120"/>
              <w:rPr>
                <w:rFonts w:ascii="仿宋" w:hAnsi="仿宋" w:eastAsia="仿宋" w:cs="仿宋"/>
                <w:sz w:val="20"/>
                <w:szCs w:val="20"/>
              </w:rPr>
            </w:pPr>
            <w:r>
              <w:rPr>
                <w:rFonts w:ascii="仿宋" w:hAnsi="仿宋" w:eastAsia="仿宋" w:cs="仿宋"/>
                <w:spacing w:val="7"/>
                <w:sz w:val="20"/>
                <w:szCs w:val="20"/>
              </w:rPr>
              <w:t>污染危害□；其他□</w:t>
            </w:r>
          </w:p>
        </w:tc>
      </w:tr>
      <w:tr w14:paraId="23AB2F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198" w:type="dxa"/>
            <w:vMerge w:val="continue"/>
            <w:tcBorders>
              <w:top w:val="nil"/>
              <w:left w:val="nil"/>
            </w:tcBorders>
            <w:vAlign w:val="top"/>
          </w:tcPr>
          <w:p w14:paraId="3F1C0260">
            <w:pPr>
              <w:rPr>
                <w:rFonts w:ascii="Arial"/>
                <w:sz w:val="21"/>
              </w:rPr>
            </w:pPr>
          </w:p>
        </w:tc>
        <w:tc>
          <w:tcPr>
            <w:tcW w:w="1226" w:type="dxa"/>
            <w:gridSpan w:val="2"/>
            <w:vAlign w:val="top"/>
          </w:tcPr>
          <w:p w14:paraId="5CED1F4E">
            <w:pPr>
              <w:spacing w:before="171" w:line="231" w:lineRule="auto"/>
              <w:ind w:left="206"/>
              <w:rPr>
                <w:rFonts w:ascii="仿宋" w:hAnsi="仿宋" w:eastAsia="仿宋" w:cs="仿宋"/>
                <w:sz w:val="20"/>
                <w:szCs w:val="20"/>
              </w:rPr>
            </w:pPr>
            <w:r>
              <w:rPr>
                <w:rFonts w:ascii="仿宋" w:hAnsi="仿宋" w:eastAsia="仿宋" w:cs="仿宋"/>
                <w:spacing w:val="5"/>
                <w:sz w:val="20"/>
                <w:szCs w:val="20"/>
              </w:rPr>
              <w:t>评价内容</w:t>
            </w:r>
          </w:p>
        </w:tc>
        <w:tc>
          <w:tcPr>
            <w:tcW w:w="6098" w:type="dxa"/>
            <w:tcBorders>
              <w:right w:val="nil"/>
            </w:tcBorders>
            <w:vAlign w:val="top"/>
          </w:tcPr>
          <w:p w14:paraId="5160DA62">
            <w:pPr>
              <w:spacing w:before="34" w:line="228" w:lineRule="auto"/>
              <w:ind w:left="118"/>
              <w:rPr>
                <w:rFonts w:ascii="仿宋" w:hAnsi="仿宋" w:eastAsia="仿宋" w:cs="仿宋"/>
                <w:sz w:val="20"/>
                <w:szCs w:val="20"/>
              </w:rPr>
            </w:pPr>
            <w:r>
              <w:rPr>
                <w:rFonts w:ascii="仿宋" w:hAnsi="仿宋" w:eastAsia="仿宋" w:cs="仿宋"/>
                <w:spacing w:val="-1"/>
                <w:sz w:val="20"/>
                <w:szCs w:val="20"/>
              </w:rPr>
              <w:t>植被/植物群落□  ；土地利用□ ；生态系</w:t>
            </w:r>
            <w:r>
              <w:rPr>
                <w:rFonts w:ascii="仿宋" w:hAnsi="仿宋" w:eastAsia="仿宋" w:cs="仿宋"/>
                <w:spacing w:val="-2"/>
                <w:sz w:val="20"/>
                <w:szCs w:val="20"/>
              </w:rPr>
              <w:t>统□ ；生物多样性□</w:t>
            </w:r>
            <w:r>
              <w:rPr>
                <w:rFonts w:ascii="仿宋" w:hAnsi="仿宋" w:eastAsia="仿宋" w:cs="仿宋"/>
                <w:spacing w:val="34"/>
                <w:sz w:val="20"/>
                <w:szCs w:val="20"/>
              </w:rPr>
              <w:t xml:space="preserve"> </w:t>
            </w:r>
            <w:r>
              <w:rPr>
                <w:rFonts w:ascii="仿宋" w:hAnsi="仿宋" w:eastAsia="仿宋" w:cs="仿宋"/>
                <w:spacing w:val="-2"/>
                <w:sz w:val="20"/>
                <w:szCs w:val="20"/>
              </w:rPr>
              <w:t>;</w:t>
            </w:r>
          </w:p>
          <w:p w14:paraId="295BA44B">
            <w:pPr>
              <w:spacing w:before="26" w:line="214" w:lineRule="auto"/>
              <w:ind w:left="1385"/>
              <w:rPr>
                <w:rFonts w:ascii="仿宋" w:hAnsi="仿宋" w:eastAsia="仿宋" w:cs="仿宋"/>
                <w:sz w:val="20"/>
                <w:szCs w:val="20"/>
              </w:rPr>
            </w:pPr>
            <w:r>
              <w:rPr>
                <w:rFonts w:ascii="仿宋" w:hAnsi="仿宋" w:eastAsia="仿宋" w:cs="仿宋"/>
                <w:spacing w:val="6"/>
                <w:sz w:val="20"/>
                <w:szCs w:val="20"/>
              </w:rPr>
              <w:t>重要物种□</w:t>
            </w:r>
            <w:r>
              <w:rPr>
                <w:rFonts w:ascii="仿宋" w:hAnsi="仿宋" w:eastAsia="仿宋" w:cs="仿宋"/>
                <w:spacing w:val="-58"/>
                <w:sz w:val="20"/>
                <w:szCs w:val="20"/>
              </w:rPr>
              <w:t xml:space="preserve"> </w:t>
            </w:r>
            <w:r>
              <w:rPr>
                <w:rFonts w:ascii="仿宋" w:hAnsi="仿宋" w:eastAsia="仿宋" w:cs="仿宋"/>
                <w:spacing w:val="6"/>
                <w:sz w:val="20"/>
                <w:szCs w:val="20"/>
              </w:rPr>
              <w:t>；生态敏感区□；其他□</w:t>
            </w:r>
          </w:p>
        </w:tc>
      </w:tr>
      <w:tr w14:paraId="3732B2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98" w:type="dxa"/>
            <w:vMerge w:val="restart"/>
            <w:tcBorders>
              <w:left w:val="nil"/>
              <w:bottom w:val="nil"/>
            </w:tcBorders>
            <w:vAlign w:val="top"/>
          </w:tcPr>
          <w:p w14:paraId="148AEDF9">
            <w:pPr>
              <w:spacing w:before="38" w:line="232" w:lineRule="auto"/>
              <w:ind w:left="206"/>
              <w:rPr>
                <w:rFonts w:ascii="仿宋" w:hAnsi="仿宋" w:eastAsia="仿宋" w:cs="仿宋"/>
                <w:sz w:val="20"/>
                <w:szCs w:val="20"/>
              </w:rPr>
            </w:pPr>
            <w:r>
              <w:rPr>
                <w:rFonts w:ascii="仿宋" w:hAnsi="仿宋" w:eastAsia="仿宋" w:cs="仿宋"/>
                <w:spacing w:val="2"/>
                <w:sz w:val="20"/>
                <w:szCs w:val="20"/>
              </w:rPr>
              <w:t>生态影响</w:t>
            </w:r>
          </w:p>
          <w:p w14:paraId="43F2A898">
            <w:pPr>
              <w:spacing w:before="23" w:line="235" w:lineRule="auto"/>
              <w:ind w:left="508" w:right="177" w:hanging="313"/>
              <w:rPr>
                <w:rFonts w:ascii="仿宋" w:hAnsi="仿宋" w:eastAsia="仿宋" w:cs="仿宋"/>
                <w:sz w:val="20"/>
                <w:szCs w:val="20"/>
              </w:rPr>
            </w:pPr>
            <w:r>
              <w:rPr>
                <w:rFonts w:ascii="仿宋" w:hAnsi="仿宋" w:eastAsia="仿宋" w:cs="仿宋"/>
                <w:spacing w:val="5"/>
                <w:sz w:val="20"/>
                <w:szCs w:val="20"/>
              </w:rPr>
              <w:t>预测与评</w:t>
            </w:r>
            <w:r>
              <w:rPr>
                <w:rFonts w:ascii="仿宋" w:hAnsi="仿宋" w:eastAsia="仿宋" w:cs="仿宋"/>
                <w:sz w:val="20"/>
                <w:szCs w:val="20"/>
              </w:rPr>
              <w:t>价</w:t>
            </w:r>
          </w:p>
        </w:tc>
        <w:tc>
          <w:tcPr>
            <w:tcW w:w="1226" w:type="dxa"/>
            <w:gridSpan w:val="2"/>
            <w:vAlign w:val="top"/>
          </w:tcPr>
          <w:p w14:paraId="2BA80356">
            <w:pPr>
              <w:spacing w:before="36" w:line="213" w:lineRule="auto"/>
              <w:ind w:left="206"/>
              <w:rPr>
                <w:rFonts w:ascii="仿宋" w:hAnsi="仿宋" w:eastAsia="仿宋" w:cs="仿宋"/>
                <w:sz w:val="20"/>
                <w:szCs w:val="20"/>
              </w:rPr>
            </w:pPr>
            <w:r>
              <w:rPr>
                <w:rFonts w:ascii="仿宋" w:hAnsi="仿宋" w:eastAsia="仿宋" w:cs="仿宋"/>
                <w:spacing w:val="5"/>
                <w:sz w:val="20"/>
                <w:szCs w:val="20"/>
              </w:rPr>
              <w:t>评价方法</w:t>
            </w:r>
          </w:p>
        </w:tc>
        <w:tc>
          <w:tcPr>
            <w:tcW w:w="6098" w:type="dxa"/>
            <w:tcBorders>
              <w:right w:val="nil"/>
            </w:tcBorders>
            <w:vAlign w:val="top"/>
          </w:tcPr>
          <w:p w14:paraId="07A6F121">
            <w:pPr>
              <w:spacing w:before="36" w:line="213" w:lineRule="auto"/>
              <w:ind w:left="1961"/>
              <w:rPr>
                <w:rFonts w:ascii="MS UI Gothic" w:hAnsi="MS UI Gothic" w:eastAsia="MS UI Gothic" w:cs="MS UI Gothic"/>
                <w:sz w:val="20"/>
                <w:szCs w:val="20"/>
              </w:rPr>
            </w:pPr>
            <w:r>
              <w:rPr>
                <w:rFonts w:ascii="仿宋" w:hAnsi="仿宋" w:eastAsia="仿宋" w:cs="仿宋"/>
                <w:spacing w:val="5"/>
                <w:sz w:val="20"/>
                <w:szCs w:val="20"/>
              </w:rPr>
              <w:t>定性□</w:t>
            </w:r>
            <w:r>
              <w:rPr>
                <w:rFonts w:ascii="仿宋" w:hAnsi="仿宋" w:eastAsia="仿宋" w:cs="仿宋"/>
                <w:spacing w:val="36"/>
                <w:sz w:val="20"/>
                <w:szCs w:val="20"/>
              </w:rPr>
              <w:t xml:space="preserve"> </w:t>
            </w:r>
            <w:r>
              <w:rPr>
                <w:rFonts w:ascii="仿宋" w:hAnsi="仿宋" w:eastAsia="仿宋" w:cs="仿宋"/>
                <w:spacing w:val="5"/>
                <w:sz w:val="20"/>
                <w:szCs w:val="20"/>
              </w:rPr>
              <w:t>；定性和定量</w:t>
            </w:r>
            <w:r>
              <w:rPr>
                <w:rFonts w:ascii="MS UI Gothic" w:hAnsi="MS UI Gothic" w:eastAsia="MS UI Gothic" w:cs="MS UI Gothic"/>
                <w:spacing w:val="5"/>
                <w:sz w:val="20"/>
                <w:szCs w:val="20"/>
              </w:rPr>
              <w:t>☑</w:t>
            </w:r>
          </w:p>
        </w:tc>
      </w:tr>
      <w:tr w14:paraId="22D3E1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198" w:type="dxa"/>
            <w:vMerge w:val="continue"/>
            <w:tcBorders>
              <w:top w:val="nil"/>
              <w:left w:val="nil"/>
            </w:tcBorders>
            <w:vAlign w:val="top"/>
          </w:tcPr>
          <w:p w14:paraId="64242854">
            <w:pPr>
              <w:rPr>
                <w:rFonts w:ascii="Arial"/>
                <w:sz w:val="21"/>
              </w:rPr>
            </w:pPr>
          </w:p>
        </w:tc>
        <w:tc>
          <w:tcPr>
            <w:tcW w:w="1226" w:type="dxa"/>
            <w:gridSpan w:val="2"/>
            <w:vAlign w:val="top"/>
          </w:tcPr>
          <w:p w14:paraId="292398FB">
            <w:pPr>
              <w:spacing w:before="169" w:line="231" w:lineRule="auto"/>
              <w:ind w:left="206"/>
              <w:rPr>
                <w:rFonts w:ascii="仿宋" w:hAnsi="仿宋" w:eastAsia="仿宋" w:cs="仿宋"/>
                <w:sz w:val="20"/>
                <w:szCs w:val="20"/>
              </w:rPr>
            </w:pPr>
            <w:r>
              <w:rPr>
                <w:rFonts w:ascii="仿宋" w:hAnsi="仿宋" w:eastAsia="仿宋" w:cs="仿宋"/>
                <w:spacing w:val="5"/>
                <w:sz w:val="20"/>
                <w:szCs w:val="20"/>
              </w:rPr>
              <w:t>评价内容</w:t>
            </w:r>
          </w:p>
        </w:tc>
        <w:tc>
          <w:tcPr>
            <w:tcW w:w="6098" w:type="dxa"/>
            <w:tcBorders>
              <w:right w:val="nil"/>
            </w:tcBorders>
            <w:vAlign w:val="top"/>
          </w:tcPr>
          <w:p w14:paraId="1BC03240">
            <w:pPr>
              <w:spacing w:before="35" w:line="233" w:lineRule="auto"/>
              <w:ind w:left="292" w:right="112" w:hanging="174"/>
              <w:rPr>
                <w:rFonts w:ascii="MS UI Gothic" w:hAnsi="MS UI Gothic" w:eastAsia="MS UI Gothic" w:cs="MS UI Gothic"/>
                <w:sz w:val="20"/>
                <w:szCs w:val="20"/>
              </w:rPr>
            </w:pPr>
            <w:r>
              <w:rPr>
                <w:rFonts w:ascii="仿宋" w:hAnsi="仿宋" w:eastAsia="仿宋" w:cs="仿宋"/>
                <w:spacing w:val="6"/>
                <w:sz w:val="20"/>
                <w:szCs w:val="20"/>
              </w:rPr>
              <w:t>植被/植物群落</w:t>
            </w:r>
            <w:r>
              <w:rPr>
                <w:rFonts w:ascii="MS UI Gothic" w:hAnsi="MS UI Gothic" w:eastAsia="MS UI Gothic" w:cs="MS UI Gothic"/>
                <w:spacing w:val="6"/>
                <w:sz w:val="20"/>
                <w:szCs w:val="20"/>
              </w:rPr>
              <w:t>☑</w:t>
            </w:r>
            <w:r>
              <w:rPr>
                <w:rFonts w:ascii="MS UI Gothic" w:hAnsi="MS UI Gothic" w:eastAsia="MS UI Gothic" w:cs="MS UI Gothic"/>
                <w:spacing w:val="18"/>
                <w:sz w:val="20"/>
                <w:szCs w:val="20"/>
              </w:rPr>
              <w:t xml:space="preserve">   </w:t>
            </w:r>
            <w:r>
              <w:rPr>
                <w:rFonts w:ascii="仿宋" w:hAnsi="仿宋" w:eastAsia="仿宋" w:cs="仿宋"/>
                <w:spacing w:val="6"/>
                <w:sz w:val="20"/>
                <w:szCs w:val="20"/>
              </w:rPr>
              <w:t>；土地利用</w:t>
            </w:r>
            <w:r>
              <w:rPr>
                <w:rFonts w:ascii="MS UI Gothic" w:hAnsi="MS UI Gothic" w:eastAsia="MS UI Gothic" w:cs="MS UI Gothic"/>
                <w:spacing w:val="6"/>
                <w:sz w:val="20"/>
                <w:szCs w:val="20"/>
              </w:rPr>
              <w:t>☑</w:t>
            </w:r>
            <w:r>
              <w:rPr>
                <w:rFonts w:ascii="MS UI Gothic" w:hAnsi="MS UI Gothic" w:eastAsia="MS UI Gothic" w:cs="MS UI Gothic"/>
                <w:spacing w:val="18"/>
                <w:w w:val="101"/>
                <w:sz w:val="20"/>
                <w:szCs w:val="20"/>
              </w:rPr>
              <w:t xml:space="preserve">   </w:t>
            </w:r>
            <w:r>
              <w:rPr>
                <w:rFonts w:ascii="仿宋" w:hAnsi="仿宋" w:eastAsia="仿宋" w:cs="仿宋"/>
                <w:spacing w:val="6"/>
                <w:sz w:val="20"/>
                <w:szCs w:val="20"/>
              </w:rPr>
              <w:t>；生态系统□</w:t>
            </w:r>
            <w:r>
              <w:rPr>
                <w:rFonts w:ascii="仿宋" w:hAnsi="仿宋" w:eastAsia="仿宋" w:cs="仿宋"/>
                <w:spacing w:val="35"/>
                <w:sz w:val="20"/>
                <w:szCs w:val="20"/>
              </w:rPr>
              <w:t xml:space="preserve"> </w:t>
            </w:r>
            <w:r>
              <w:rPr>
                <w:rFonts w:ascii="仿宋" w:hAnsi="仿宋" w:eastAsia="仿宋" w:cs="仿宋"/>
                <w:spacing w:val="6"/>
                <w:sz w:val="20"/>
                <w:szCs w:val="20"/>
              </w:rPr>
              <w:t>；生物</w:t>
            </w:r>
            <w:r>
              <w:rPr>
                <w:rFonts w:ascii="仿宋" w:hAnsi="仿宋" w:eastAsia="仿宋" w:cs="仿宋"/>
                <w:spacing w:val="5"/>
                <w:sz w:val="20"/>
                <w:szCs w:val="20"/>
              </w:rPr>
              <w:t>多样性□</w:t>
            </w:r>
            <w:r>
              <w:rPr>
                <w:rFonts w:ascii="仿宋" w:hAnsi="仿宋" w:eastAsia="仿宋" w:cs="仿宋"/>
                <w:spacing w:val="42"/>
                <w:sz w:val="20"/>
                <w:szCs w:val="20"/>
              </w:rPr>
              <w:t xml:space="preserve"> </w:t>
            </w:r>
            <w:r>
              <w:rPr>
                <w:rFonts w:ascii="仿宋" w:hAnsi="仿宋" w:eastAsia="仿宋" w:cs="仿宋"/>
                <w:spacing w:val="5"/>
                <w:sz w:val="20"/>
                <w:szCs w:val="20"/>
              </w:rPr>
              <w:t>；重要物种□；生态敏感区□</w:t>
            </w:r>
            <w:r>
              <w:rPr>
                <w:rFonts w:ascii="仿宋" w:hAnsi="仿宋" w:eastAsia="仿宋" w:cs="仿宋"/>
                <w:spacing w:val="-69"/>
                <w:sz w:val="20"/>
                <w:szCs w:val="20"/>
              </w:rPr>
              <w:t xml:space="preserve"> </w:t>
            </w:r>
            <w:r>
              <w:rPr>
                <w:rFonts w:ascii="仿宋" w:hAnsi="仿宋" w:eastAsia="仿宋" w:cs="仿宋"/>
                <w:spacing w:val="5"/>
                <w:sz w:val="20"/>
                <w:szCs w:val="20"/>
              </w:rPr>
              <w:t>；生物入侵风险□</w:t>
            </w:r>
            <w:r>
              <w:rPr>
                <w:rFonts w:ascii="仿宋" w:hAnsi="仿宋" w:eastAsia="仿宋" w:cs="仿宋"/>
                <w:spacing w:val="-69"/>
                <w:sz w:val="20"/>
                <w:szCs w:val="20"/>
              </w:rPr>
              <w:t xml:space="preserve"> </w:t>
            </w:r>
            <w:r>
              <w:rPr>
                <w:rFonts w:ascii="仿宋" w:hAnsi="仿宋" w:eastAsia="仿宋" w:cs="仿宋"/>
                <w:spacing w:val="5"/>
                <w:sz w:val="20"/>
                <w:szCs w:val="20"/>
              </w:rPr>
              <w:t>；其他</w:t>
            </w:r>
            <w:r>
              <w:rPr>
                <w:rFonts w:ascii="MS UI Gothic" w:hAnsi="MS UI Gothic" w:eastAsia="MS UI Gothic" w:cs="MS UI Gothic"/>
                <w:spacing w:val="5"/>
                <w:sz w:val="20"/>
                <w:szCs w:val="20"/>
              </w:rPr>
              <w:t>☑</w:t>
            </w:r>
          </w:p>
        </w:tc>
      </w:tr>
      <w:tr w14:paraId="00FDD3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198" w:type="dxa"/>
            <w:vMerge w:val="restart"/>
            <w:tcBorders>
              <w:left w:val="nil"/>
              <w:bottom w:val="nil"/>
            </w:tcBorders>
            <w:vAlign w:val="top"/>
          </w:tcPr>
          <w:p w14:paraId="35A3563C">
            <w:pPr>
              <w:spacing w:line="386" w:lineRule="auto"/>
              <w:rPr>
                <w:rFonts w:ascii="Arial"/>
                <w:sz w:val="21"/>
              </w:rPr>
            </w:pPr>
          </w:p>
          <w:p w14:paraId="5E83C3B7">
            <w:pPr>
              <w:spacing w:before="65" w:line="251" w:lineRule="auto"/>
              <w:ind w:left="195" w:right="177" w:firstLine="10"/>
              <w:rPr>
                <w:rFonts w:ascii="仿宋" w:hAnsi="仿宋" w:eastAsia="仿宋" w:cs="仿宋"/>
                <w:sz w:val="20"/>
                <w:szCs w:val="20"/>
              </w:rPr>
            </w:pPr>
            <w:r>
              <w:rPr>
                <w:rFonts w:ascii="仿宋" w:hAnsi="仿宋" w:eastAsia="仿宋" w:cs="仿宋"/>
                <w:spacing w:val="2"/>
                <w:sz w:val="20"/>
                <w:szCs w:val="20"/>
              </w:rPr>
              <w:t>生态保护</w:t>
            </w:r>
            <w:r>
              <w:rPr>
                <w:rFonts w:ascii="仿宋" w:hAnsi="仿宋" w:eastAsia="仿宋" w:cs="仿宋"/>
                <w:spacing w:val="5"/>
                <w:sz w:val="20"/>
                <w:szCs w:val="20"/>
              </w:rPr>
              <w:t>对策措施</w:t>
            </w:r>
          </w:p>
        </w:tc>
        <w:tc>
          <w:tcPr>
            <w:tcW w:w="1226" w:type="dxa"/>
            <w:gridSpan w:val="2"/>
            <w:vAlign w:val="top"/>
          </w:tcPr>
          <w:p w14:paraId="6CB6C076">
            <w:pPr>
              <w:spacing w:before="171" w:line="231" w:lineRule="auto"/>
              <w:ind w:left="206"/>
              <w:rPr>
                <w:rFonts w:ascii="仿宋" w:hAnsi="仿宋" w:eastAsia="仿宋" w:cs="仿宋"/>
                <w:sz w:val="20"/>
                <w:szCs w:val="20"/>
              </w:rPr>
            </w:pPr>
            <w:r>
              <w:rPr>
                <w:rFonts w:ascii="仿宋" w:hAnsi="仿宋" w:eastAsia="仿宋" w:cs="仿宋"/>
                <w:spacing w:val="5"/>
                <w:sz w:val="20"/>
                <w:szCs w:val="20"/>
              </w:rPr>
              <w:t>对策措施</w:t>
            </w:r>
          </w:p>
        </w:tc>
        <w:tc>
          <w:tcPr>
            <w:tcW w:w="6098" w:type="dxa"/>
            <w:tcBorders>
              <w:right w:val="nil"/>
            </w:tcBorders>
            <w:vAlign w:val="top"/>
          </w:tcPr>
          <w:p w14:paraId="64A0B3EF">
            <w:pPr>
              <w:spacing w:before="34" w:line="230" w:lineRule="auto"/>
              <w:ind w:left="119"/>
              <w:rPr>
                <w:rFonts w:ascii="仿宋" w:hAnsi="仿宋" w:eastAsia="仿宋" w:cs="仿宋"/>
                <w:sz w:val="20"/>
                <w:szCs w:val="20"/>
              </w:rPr>
            </w:pPr>
            <w:r>
              <w:rPr>
                <w:rFonts w:ascii="仿宋" w:hAnsi="仿宋" w:eastAsia="仿宋" w:cs="仿宋"/>
                <w:spacing w:val="5"/>
                <w:sz w:val="20"/>
                <w:szCs w:val="20"/>
              </w:rPr>
              <w:t>避让□</w:t>
            </w:r>
            <w:r>
              <w:rPr>
                <w:rFonts w:ascii="仿宋" w:hAnsi="仿宋" w:eastAsia="仿宋" w:cs="仿宋"/>
                <w:spacing w:val="36"/>
                <w:sz w:val="20"/>
                <w:szCs w:val="20"/>
              </w:rPr>
              <w:t xml:space="preserve"> </w:t>
            </w:r>
            <w:r>
              <w:rPr>
                <w:rFonts w:ascii="仿宋" w:hAnsi="仿宋" w:eastAsia="仿宋" w:cs="仿宋"/>
                <w:spacing w:val="5"/>
                <w:sz w:val="20"/>
                <w:szCs w:val="20"/>
              </w:rPr>
              <w:t>；减缓</w:t>
            </w:r>
            <w:r>
              <w:rPr>
                <w:rFonts w:ascii="MS UI Gothic" w:hAnsi="MS UI Gothic" w:eastAsia="MS UI Gothic" w:cs="MS UI Gothic"/>
                <w:spacing w:val="5"/>
                <w:sz w:val="20"/>
                <w:szCs w:val="20"/>
              </w:rPr>
              <w:t>☑</w:t>
            </w:r>
            <w:r>
              <w:rPr>
                <w:rFonts w:ascii="MS UI Gothic" w:hAnsi="MS UI Gothic" w:eastAsia="MS UI Gothic" w:cs="MS UI Gothic"/>
                <w:spacing w:val="18"/>
                <w:sz w:val="20"/>
                <w:szCs w:val="20"/>
              </w:rPr>
              <w:t xml:space="preserve">   </w:t>
            </w:r>
            <w:r>
              <w:rPr>
                <w:rFonts w:ascii="仿宋" w:hAnsi="仿宋" w:eastAsia="仿宋" w:cs="仿宋"/>
                <w:spacing w:val="5"/>
                <w:sz w:val="20"/>
                <w:szCs w:val="20"/>
              </w:rPr>
              <w:t>；生态修复</w:t>
            </w:r>
            <w:r>
              <w:rPr>
                <w:rFonts w:ascii="MS UI Gothic" w:hAnsi="MS UI Gothic" w:eastAsia="MS UI Gothic" w:cs="MS UI Gothic"/>
                <w:spacing w:val="5"/>
                <w:sz w:val="20"/>
                <w:szCs w:val="20"/>
              </w:rPr>
              <w:t>☑</w:t>
            </w:r>
            <w:r>
              <w:rPr>
                <w:rFonts w:ascii="MS UI Gothic" w:hAnsi="MS UI Gothic" w:eastAsia="MS UI Gothic" w:cs="MS UI Gothic"/>
                <w:spacing w:val="18"/>
                <w:w w:val="101"/>
                <w:sz w:val="20"/>
                <w:szCs w:val="20"/>
              </w:rPr>
              <w:t xml:space="preserve">   </w:t>
            </w:r>
            <w:r>
              <w:rPr>
                <w:rFonts w:ascii="仿宋" w:hAnsi="仿宋" w:eastAsia="仿宋" w:cs="仿宋"/>
                <w:spacing w:val="5"/>
                <w:sz w:val="20"/>
                <w:szCs w:val="20"/>
              </w:rPr>
              <w:t>；生态补偿</w:t>
            </w:r>
            <w:r>
              <w:rPr>
                <w:rFonts w:ascii="MS UI Gothic" w:hAnsi="MS UI Gothic" w:eastAsia="MS UI Gothic" w:cs="MS UI Gothic"/>
                <w:spacing w:val="5"/>
                <w:sz w:val="20"/>
                <w:szCs w:val="20"/>
              </w:rPr>
              <w:t xml:space="preserve">☑  </w:t>
            </w:r>
            <w:r>
              <w:rPr>
                <w:rFonts w:ascii="仿宋" w:hAnsi="仿宋" w:eastAsia="仿宋" w:cs="仿宋"/>
                <w:spacing w:val="5"/>
                <w:sz w:val="20"/>
                <w:szCs w:val="20"/>
              </w:rPr>
              <w:t>；科研□；其</w:t>
            </w:r>
          </w:p>
          <w:p w14:paraId="0512D93A">
            <w:pPr>
              <w:spacing w:before="24" w:line="213" w:lineRule="auto"/>
              <w:ind w:left="2851"/>
              <w:rPr>
                <w:rFonts w:ascii="仿宋" w:hAnsi="仿宋" w:eastAsia="仿宋" w:cs="仿宋"/>
                <w:sz w:val="20"/>
                <w:szCs w:val="20"/>
              </w:rPr>
            </w:pPr>
            <w:r>
              <w:rPr>
                <w:rFonts w:ascii="仿宋" w:hAnsi="仿宋" w:eastAsia="仿宋" w:cs="仿宋"/>
                <w:spacing w:val="1"/>
                <w:sz w:val="20"/>
                <w:szCs w:val="20"/>
              </w:rPr>
              <w:t>他□</w:t>
            </w:r>
          </w:p>
        </w:tc>
      </w:tr>
      <w:tr w14:paraId="79FA1D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198" w:type="dxa"/>
            <w:vMerge w:val="continue"/>
            <w:tcBorders>
              <w:top w:val="nil"/>
              <w:left w:val="nil"/>
              <w:bottom w:val="nil"/>
            </w:tcBorders>
            <w:vAlign w:val="top"/>
          </w:tcPr>
          <w:p w14:paraId="01396612">
            <w:pPr>
              <w:rPr>
                <w:rFonts w:ascii="Arial"/>
                <w:sz w:val="21"/>
              </w:rPr>
            </w:pPr>
          </w:p>
        </w:tc>
        <w:tc>
          <w:tcPr>
            <w:tcW w:w="1226" w:type="dxa"/>
            <w:gridSpan w:val="2"/>
            <w:vAlign w:val="top"/>
          </w:tcPr>
          <w:p w14:paraId="6682A65B">
            <w:pPr>
              <w:spacing w:before="37" w:line="232" w:lineRule="auto"/>
              <w:ind w:left="413" w:right="191" w:hanging="196"/>
              <w:rPr>
                <w:rFonts w:ascii="仿宋" w:hAnsi="仿宋" w:eastAsia="仿宋" w:cs="仿宋"/>
                <w:sz w:val="20"/>
                <w:szCs w:val="20"/>
              </w:rPr>
            </w:pPr>
            <w:r>
              <w:rPr>
                <w:rFonts w:ascii="仿宋" w:hAnsi="仿宋" w:eastAsia="仿宋" w:cs="仿宋"/>
                <w:spacing w:val="2"/>
                <w:sz w:val="20"/>
                <w:szCs w:val="20"/>
              </w:rPr>
              <w:t>生态监测计划</w:t>
            </w:r>
          </w:p>
        </w:tc>
        <w:tc>
          <w:tcPr>
            <w:tcW w:w="6098" w:type="dxa"/>
            <w:tcBorders>
              <w:right w:val="nil"/>
            </w:tcBorders>
            <w:vAlign w:val="top"/>
          </w:tcPr>
          <w:p w14:paraId="5D6E0892">
            <w:pPr>
              <w:spacing w:before="172" w:line="229" w:lineRule="auto"/>
              <w:ind w:left="964"/>
              <w:rPr>
                <w:rFonts w:ascii="仿宋" w:hAnsi="仿宋" w:eastAsia="仿宋" w:cs="仿宋"/>
                <w:sz w:val="20"/>
                <w:szCs w:val="20"/>
              </w:rPr>
            </w:pPr>
            <w:r>
              <w:rPr>
                <w:rFonts w:ascii="仿宋" w:hAnsi="仿宋" w:eastAsia="仿宋" w:cs="仿宋"/>
                <w:spacing w:val="8"/>
                <w:sz w:val="20"/>
                <w:szCs w:val="20"/>
              </w:rPr>
              <w:t>全生命周期□；长期跟踪□  ；常规</w:t>
            </w:r>
            <w:r>
              <w:rPr>
                <w:rFonts w:ascii="MS UI Gothic" w:hAnsi="MS UI Gothic" w:eastAsia="MS UI Gothic" w:cs="MS UI Gothic"/>
                <w:spacing w:val="8"/>
                <w:sz w:val="20"/>
                <w:szCs w:val="20"/>
              </w:rPr>
              <w:t>☑</w:t>
            </w:r>
            <w:r>
              <w:rPr>
                <w:rFonts w:ascii="仿宋" w:hAnsi="仿宋" w:eastAsia="仿宋" w:cs="仿宋"/>
                <w:spacing w:val="8"/>
                <w:sz w:val="20"/>
                <w:szCs w:val="20"/>
              </w:rPr>
              <w:t>；无□</w:t>
            </w:r>
          </w:p>
        </w:tc>
      </w:tr>
      <w:tr w14:paraId="4CDD0C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98" w:type="dxa"/>
            <w:vMerge w:val="continue"/>
            <w:tcBorders>
              <w:top w:val="nil"/>
              <w:left w:val="nil"/>
            </w:tcBorders>
            <w:vAlign w:val="top"/>
          </w:tcPr>
          <w:p w14:paraId="4AFD95A3">
            <w:pPr>
              <w:rPr>
                <w:rFonts w:ascii="Arial"/>
                <w:sz w:val="21"/>
              </w:rPr>
            </w:pPr>
          </w:p>
        </w:tc>
        <w:tc>
          <w:tcPr>
            <w:tcW w:w="1226" w:type="dxa"/>
            <w:gridSpan w:val="2"/>
            <w:vAlign w:val="top"/>
          </w:tcPr>
          <w:p w14:paraId="1B4FA942">
            <w:pPr>
              <w:spacing w:before="36" w:line="213" w:lineRule="auto"/>
              <w:ind w:left="205"/>
              <w:rPr>
                <w:rFonts w:ascii="仿宋" w:hAnsi="仿宋" w:eastAsia="仿宋" w:cs="仿宋"/>
                <w:sz w:val="20"/>
                <w:szCs w:val="20"/>
              </w:rPr>
            </w:pPr>
            <w:r>
              <w:rPr>
                <w:rFonts w:ascii="仿宋" w:hAnsi="仿宋" w:eastAsia="仿宋" w:cs="仿宋"/>
                <w:spacing w:val="5"/>
                <w:sz w:val="20"/>
                <w:szCs w:val="20"/>
              </w:rPr>
              <w:t>环境管理</w:t>
            </w:r>
          </w:p>
        </w:tc>
        <w:tc>
          <w:tcPr>
            <w:tcW w:w="6098" w:type="dxa"/>
            <w:tcBorders>
              <w:right w:val="nil"/>
            </w:tcBorders>
            <w:vAlign w:val="top"/>
          </w:tcPr>
          <w:p w14:paraId="5E89EC79">
            <w:pPr>
              <w:spacing w:before="36" w:line="213" w:lineRule="auto"/>
              <w:ind w:left="1064"/>
              <w:rPr>
                <w:rFonts w:ascii="仿宋" w:hAnsi="仿宋" w:eastAsia="仿宋" w:cs="仿宋"/>
                <w:sz w:val="20"/>
                <w:szCs w:val="20"/>
              </w:rPr>
            </w:pPr>
            <w:r>
              <w:rPr>
                <w:rFonts w:ascii="仿宋" w:hAnsi="仿宋" w:eastAsia="仿宋" w:cs="仿宋"/>
                <w:spacing w:val="5"/>
                <w:sz w:val="20"/>
                <w:szCs w:val="20"/>
              </w:rPr>
              <w:t>环境监理□</w:t>
            </w:r>
            <w:r>
              <w:rPr>
                <w:rFonts w:ascii="仿宋" w:hAnsi="仿宋" w:eastAsia="仿宋" w:cs="仿宋"/>
                <w:spacing w:val="47"/>
                <w:sz w:val="20"/>
                <w:szCs w:val="20"/>
              </w:rPr>
              <w:t xml:space="preserve"> </w:t>
            </w:r>
            <w:r>
              <w:rPr>
                <w:rFonts w:ascii="仿宋" w:hAnsi="仿宋" w:eastAsia="仿宋" w:cs="仿宋"/>
                <w:spacing w:val="5"/>
                <w:sz w:val="20"/>
                <w:szCs w:val="20"/>
              </w:rPr>
              <w:t>；环境影响后评价□</w:t>
            </w:r>
            <w:r>
              <w:rPr>
                <w:rFonts w:ascii="仿宋" w:hAnsi="仿宋" w:eastAsia="仿宋" w:cs="仿宋"/>
                <w:spacing w:val="37"/>
                <w:sz w:val="20"/>
                <w:szCs w:val="20"/>
              </w:rPr>
              <w:t xml:space="preserve"> </w:t>
            </w:r>
            <w:r>
              <w:rPr>
                <w:rFonts w:ascii="仿宋" w:hAnsi="仿宋" w:eastAsia="仿宋" w:cs="仿宋"/>
                <w:spacing w:val="5"/>
                <w:sz w:val="20"/>
                <w:szCs w:val="20"/>
              </w:rPr>
              <w:t>；其他□</w:t>
            </w:r>
          </w:p>
        </w:tc>
      </w:tr>
      <w:tr w14:paraId="4E494E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1198" w:type="dxa"/>
            <w:tcBorders>
              <w:left w:val="nil"/>
            </w:tcBorders>
            <w:vAlign w:val="top"/>
          </w:tcPr>
          <w:p w14:paraId="2792B976">
            <w:pPr>
              <w:spacing w:before="35" w:line="218" w:lineRule="auto"/>
              <w:ind w:left="194"/>
              <w:rPr>
                <w:rFonts w:ascii="仿宋" w:hAnsi="仿宋" w:eastAsia="仿宋" w:cs="仿宋"/>
                <w:sz w:val="20"/>
                <w:szCs w:val="20"/>
              </w:rPr>
            </w:pPr>
            <w:r>
              <w:rPr>
                <w:rFonts w:ascii="仿宋" w:hAnsi="仿宋" w:eastAsia="仿宋" w:cs="仿宋"/>
                <w:spacing w:val="5"/>
                <w:sz w:val="20"/>
                <w:szCs w:val="20"/>
              </w:rPr>
              <w:t>评价结论</w:t>
            </w:r>
          </w:p>
        </w:tc>
        <w:tc>
          <w:tcPr>
            <w:tcW w:w="1226" w:type="dxa"/>
            <w:gridSpan w:val="2"/>
            <w:vAlign w:val="top"/>
          </w:tcPr>
          <w:p w14:paraId="51A7C4E7">
            <w:pPr>
              <w:spacing w:before="35" w:line="218" w:lineRule="auto"/>
              <w:ind w:left="217"/>
              <w:rPr>
                <w:rFonts w:ascii="仿宋" w:hAnsi="仿宋" w:eastAsia="仿宋" w:cs="仿宋"/>
                <w:sz w:val="20"/>
                <w:szCs w:val="20"/>
              </w:rPr>
            </w:pPr>
            <w:r>
              <w:rPr>
                <w:rFonts w:ascii="仿宋" w:hAnsi="仿宋" w:eastAsia="仿宋" w:cs="仿宋"/>
                <w:spacing w:val="2"/>
                <w:sz w:val="20"/>
                <w:szCs w:val="20"/>
              </w:rPr>
              <w:t>生态影响</w:t>
            </w:r>
          </w:p>
        </w:tc>
        <w:tc>
          <w:tcPr>
            <w:tcW w:w="6098" w:type="dxa"/>
            <w:tcBorders>
              <w:right w:val="nil"/>
            </w:tcBorders>
            <w:vAlign w:val="top"/>
          </w:tcPr>
          <w:p w14:paraId="2662B57C">
            <w:pPr>
              <w:spacing w:before="35" w:line="218" w:lineRule="auto"/>
              <w:ind w:left="2119"/>
              <w:rPr>
                <w:rFonts w:ascii="仿宋" w:hAnsi="仿宋" w:eastAsia="仿宋" w:cs="仿宋"/>
                <w:sz w:val="20"/>
                <w:szCs w:val="20"/>
              </w:rPr>
            </w:pPr>
            <w:r>
              <w:rPr>
                <w:rFonts w:ascii="仿宋" w:hAnsi="仿宋" w:eastAsia="仿宋" w:cs="仿宋"/>
                <w:spacing w:val="4"/>
                <w:sz w:val="20"/>
                <w:szCs w:val="20"/>
              </w:rPr>
              <w:t>可行</w:t>
            </w:r>
            <w:r>
              <w:rPr>
                <w:rFonts w:ascii="MS UI Gothic" w:hAnsi="MS UI Gothic" w:eastAsia="MS UI Gothic" w:cs="MS UI Gothic"/>
                <w:spacing w:val="4"/>
                <w:sz w:val="20"/>
                <w:szCs w:val="20"/>
              </w:rPr>
              <w:t>☑</w:t>
            </w:r>
            <w:r>
              <w:rPr>
                <w:rFonts w:ascii="MS UI Gothic" w:hAnsi="MS UI Gothic" w:eastAsia="MS UI Gothic" w:cs="MS UI Gothic"/>
                <w:spacing w:val="18"/>
                <w:w w:val="101"/>
                <w:sz w:val="20"/>
                <w:szCs w:val="20"/>
              </w:rPr>
              <w:t xml:space="preserve">   </w:t>
            </w:r>
            <w:r>
              <w:rPr>
                <w:rFonts w:ascii="仿宋" w:hAnsi="仿宋" w:eastAsia="仿宋" w:cs="仿宋"/>
                <w:spacing w:val="4"/>
                <w:sz w:val="20"/>
                <w:szCs w:val="20"/>
              </w:rPr>
              <w:t>；不可行□</w:t>
            </w:r>
          </w:p>
        </w:tc>
      </w:tr>
    </w:tbl>
    <w:p w14:paraId="60AA1137">
      <w:pPr>
        <w:tabs>
          <w:tab w:val="left" w:pos="1758"/>
        </w:tabs>
        <w:spacing w:before="30" w:line="231" w:lineRule="auto"/>
        <w:rPr>
          <w:rFonts w:ascii="仿宋" w:hAnsi="仿宋" w:eastAsia="仿宋" w:cs="仿宋"/>
          <w:sz w:val="20"/>
          <w:szCs w:val="20"/>
        </w:rPr>
      </w:pPr>
      <w:r>
        <w:rPr>
          <w:rFonts w:ascii="仿宋" w:hAnsi="仿宋" w:eastAsia="仿宋" w:cs="仿宋"/>
          <w:sz w:val="20"/>
          <w:szCs w:val="20"/>
          <w:u w:val="single" w:color="auto"/>
        </w:rPr>
        <w:tab/>
      </w:r>
      <w:r>
        <w:rPr>
          <w:rFonts w:ascii="仿宋" w:hAnsi="仿宋" w:eastAsia="仿宋" w:cs="仿宋"/>
          <w:spacing w:val="-2"/>
          <w:sz w:val="20"/>
          <w:szCs w:val="20"/>
          <w:u w:val="single" w:color="auto"/>
        </w:rPr>
        <w:t>注：“</w:t>
      </w:r>
      <w:r>
        <w:rPr>
          <w:rFonts w:ascii="仿宋" w:hAnsi="仿宋" w:eastAsia="仿宋" w:cs="仿宋"/>
          <w:spacing w:val="-70"/>
          <w:sz w:val="20"/>
          <w:szCs w:val="20"/>
          <w:u w:val="single" w:color="auto"/>
        </w:rPr>
        <w:t xml:space="preserve"> </w:t>
      </w:r>
      <w:r>
        <w:rPr>
          <w:rFonts w:ascii="仿宋" w:hAnsi="仿宋" w:eastAsia="仿宋" w:cs="仿宋"/>
          <w:spacing w:val="-2"/>
          <w:sz w:val="20"/>
          <w:szCs w:val="20"/>
          <w:u w:val="single" w:color="auto"/>
        </w:rPr>
        <w:t>□</w:t>
      </w:r>
      <w:r>
        <w:rPr>
          <w:rFonts w:ascii="仿宋" w:hAnsi="仿宋" w:eastAsia="仿宋" w:cs="仿宋"/>
          <w:spacing w:val="-70"/>
          <w:sz w:val="20"/>
          <w:szCs w:val="20"/>
          <w:u w:val="single" w:color="auto"/>
        </w:rPr>
        <w:t xml:space="preserve"> </w:t>
      </w:r>
      <w:r>
        <w:rPr>
          <w:rFonts w:ascii="仿宋" w:hAnsi="仿宋" w:eastAsia="仿宋" w:cs="仿宋"/>
          <w:spacing w:val="-2"/>
          <w:sz w:val="20"/>
          <w:szCs w:val="20"/>
          <w:u w:val="single" w:color="auto"/>
        </w:rPr>
        <w:t>”为勾选项，可</w:t>
      </w:r>
      <w:r>
        <w:rPr>
          <w:rFonts w:ascii="仿宋" w:hAnsi="仿宋" w:eastAsia="仿宋" w:cs="仿宋"/>
          <w:spacing w:val="-39"/>
          <w:sz w:val="20"/>
          <w:szCs w:val="20"/>
          <w:u w:val="single" w:color="auto"/>
        </w:rPr>
        <w:t xml:space="preserve"> </w:t>
      </w:r>
      <w:r>
        <w:rPr>
          <w:rFonts w:ascii="仿宋" w:hAnsi="仿宋" w:eastAsia="仿宋" w:cs="仿宋"/>
          <w:spacing w:val="-2"/>
          <w:sz w:val="20"/>
          <w:szCs w:val="20"/>
          <w:u w:val="single" w:color="auto"/>
        </w:rPr>
        <w:t>√</w:t>
      </w:r>
      <w:r>
        <w:rPr>
          <w:rFonts w:ascii="仿宋" w:hAnsi="仿宋" w:eastAsia="仿宋" w:cs="仿宋"/>
          <w:spacing w:val="-71"/>
          <w:sz w:val="20"/>
          <w:szCs w:val="20"/>
          <w:u w:val="single" w:color="auto"/>
        </w:rPr>
        <w:t xml:space="preserve"> </w:t>
      </w:r>
      <w:r>
        <w:rPr>
          <w:rFonts w:ascii="仿宋" w:hAnsi="仿宋" w:eastAsia="仿宋" w:cs="仿宋"/>
          <w:spacing w:val="-2"/>
          <w:sz w:val="20"/>
          <w:szCs w:val="20"/>
          <w:u w:val="single" w:color="auto"/>
        </w:rPr>
        <w:t>;</w:t>
      </w:r>
      <w:r>
        <w:rPr>
          <w:rFonts w:ascii="仿宋" w:hAnsi="仿宋" w:eastAsia="仿宋" w:cs="仿宋"/>
          <w:spacing w:val="61"/>
          <w:sz w:val="20"/>
          <w:szCs w:val="20"/>
          <w:u w:val="single" w:color="auto"/>
        </w:rPr>
        <w:t xml:space="preserve"> </w:t>
      </w:r>
      <w:r>
        <w:rPr>
          <w:rFonts w:ascii="仿宋" w:hAnsi="仿宋" w:eastAsia="仿宋" w:cs="仿宋"/>
          <w:spacing w:val="-2"/>
          <w:sz w:val="20"/>
          <w:szCs w:val="20"/>
          <w:u w:val="single" w:color="auto"/>
        </w:rPr>
        <w:t>“ ()</w:t>
      </w:r>
      <w:r>
        <w:rPr>
          <w:rFonts w:ascii="仿宋" w:hAnsi="仿宋" w:eastAsia="仿宋" w:cs="仿宋"/>
          <w:spacing w:val="48"/>
          <w:sz w:val="20"/>
          <w:szCs w:val="20"/>
          <w:u w:val="single" w:color="auto"/>
        </w:rPr>
        <w:t xml:space="preserve"> </w:t>
      </w:r>
      <w:r>
        <w:rPr>
          <w:rFonts w:ascii="仿宋" w:hAnsi="仿宋" w:eastAsia="仿宋" w:cs="仿宋"/>
          <w:spacing w:val="-2"/>
          <w:sz w:val="20"/>
          <w:szCs w:val="20"/>
          <w:u w:val="single" w:color="auto"/>
        </w:rPr>
        <w:t xml:space="preserve">”为内容填写项。      </w:t>
      </w:r>
      <w:r>
        <w:rPr>
          <w:rFonts w:ascii="仿宋" w:hAnsi="仿宋" w:eastAsia="仿宋" w:cs="仿宋"/>
          <w:spacing w:val="-3"/>
          <w:sz w:val="20"/>
          <w:szCs w:val="20"/>
          <w:u w:val="single" w:color="auto"/>
        </w:rPr>
        <w:t xml:space="preserve">            </w:t>
      </w:r>
    </w:p>
    <w:sectPr>
      <w:footerReference r:id="rId275" w:type="default"/>
      <w:pgSz w:w="11906" w:h="16839"/>
      <w:pgMar w:top="400" w:right="1691" w:bottom="1370" w:left="1691" w:header="0" w:footer="1207"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MS UI Gothic">
    <w:panose1 w:val="020B0600070205080204"/>
    <w:charset w:val="86"/>
    <w:family w:val="auto"/>
    <w:pitch w:val="default"/>
    <w:sig w:usb0="E00002FF" w:usb1="6AC7FDFB" w:usb2="08000012" w:usb3="00000000" w:csb0="4002009F" w:csb1="DFD70000"/>
  </w:font>
  <w:font w:name="MS PGothic">
    <w:panose1 w:val="020B0600070205080204"/>
    <w:charset w:val="86"/>
    <w:family w:val="auto"/>
    <w:pitch w:val="default"/>
    <w:sig w:usb0="E00002FF" w:usb1="6AC7FDFB" w:usb2="08000012" w:usb3="00000000" w:csb0="4002009F" w:csb1="DFD7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1679E3">
    <w:pPr>
      <w:spacing w:line="14" w:lineRule="auto"/>
      <w:rPr>
        <w:rFonts w:ascii="Arial"/>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6B4BA6">
    <w:pPr>
      <w:spacing w:line="176" w:lineRule="auto"/>
      <w:ind w:left="4408"/>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42BC93">
    <w:pPr>
      <w:spacing w:line="176" w:lineRule="auto"/>
      <w:ind w:left="4391"/>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77D39D">
    <w:pPr>
      <w:spacing w:line="176" w:lineRule="auto"/>
      <w:ind w:left="4394"/>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A3879A">
    <w:pPr>
      <w:spacing w:line="176" w:lineRule="auto"/>
      <w:ind w:left="4390"/>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65926">
    <w:pPr>
      <w:spacing w:line="173" w:lineRule="auto"/>
      <w:ind w:left="4396"/>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DF37A">
    <w:pPr>
      <w:spacing w:line="176" w:lineRule="auto"/>
      <w:ind w:left="4395"/>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7FB8D4">
    <w:pPr>
      <w:spacing w:line="173" w:lineRule="auto"/>
      <w:ind w:left="4394"/>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27B33E">
    <w:pPr>
      <w:spacing w:line="176" w:lineRule="auto"/>
      <w:ind w:left="4398"/>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DD9585">
    <w:pPr>
      <w:spacing w:line="176" w:lineRule="auto"/>
      <w:ind w:left="4394"/>
      <w:rPr>
        <w:rFonts w:ascii="Times New Roman" w:hAnsi="Times New Roman" w:eastAsia="Times New Roman" w:cs="Times New Roman"/>
        <w:sz w:val="18"/>
        <w:szCs w:val="18"/>
      </w:rPr>
    </w:pPr>
    <w:r>
      <w:rPr>
        <w:rFonts w:ascii="Times New Roman" w:hAnsi="Times New Roman" w:eastAsia="Times New Roman" w:cs="Times New Roman"/>
        <w:sz w:val="18"/>
        <w:szCs w:val="18"/>
      </w:rPr>
      <w:t>9</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8BA9CD">
    <w:pPr>
      <w:spacing w:line="176" w:lineRule="auto"/>
      <w:ind w:left="4362"/>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l0</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C8540D">
    <w:pPr>
      <w:spacing w:line="176" w:lineRule="auto"/>
      <w:ind w:left="4365"/>
      <w:rPr>
        <w:rFonts w:ascii="Times New Roman" w:hAnsi="Times New Roman" w:eastAsia="Times New Roman" w:cs="Times New Roman"/>
        <w:sz w:val="18"/>
        <w:szCs w:val="18"/>
      </w:rPr>
    </w:pPr>
    <w:r>
      <w:rPr>
        <w:rFonts w:ascii="Times New Roman" w:hAnsi="Times New Roman" w:eastAsia="Times New Roman" w:cs="Times New Roman"/>
        <w:spacing w:val="-11"/>
        <w:sz w:val="18"/>
        <w:szCs w:val="18"/>
      </w:rPr>
      <w:t>11</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C8D40">
    <w:pPr>
      <w:spacing w:line="176" w:lineRule="auto"/>
      <w:ind w:left="4126"/>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12</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EEFD48">
    <w:pPr>
      <w:spacing w:line="176" w:lineRule="auto"/>
      <w:ind w:left="4126"/>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13</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90ED6B">
    <w:pPr>
      <w:spacing w:line="176" w:lineRule="auto"/>
      <w:ind w:left="4126"/>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14</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A01CB">
    <w:pPr>
      <w:spacing w:line="176" w:lineRule="auto"/>
      <w:ind w:left="4126"/>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l5</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6D6B20">
    <w:pPr>
      <w:spacing w:line="176" w:lineRule="auto"/>
      <w:ind w:left="4126"/>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16</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C343F7">
    <w:pPr>
      <w:spacing w:line="176" w:lineRule="auto"/>
      <w:ind w:left="4126"/>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17</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DBA2B">
    <w:pPr>
      <w:spacing w:line="176" w:lineRule="auto"/>
      <w:ind w:left="4126"/>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18</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83AD91">
    <w:pPr>
      <w:spacing w:line="176" w:lineRule="auto"/>
      <w:ind w:left="4126"/>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19</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68C37F">
    <w:pPr>
      <w:spacing w:line="176" w:lineRule="auto"/>
      <w:ind w:left="410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20</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6D88FB">
    <w:pPr>
      <w:spacing w:line="176" w:lineRule="auto"/>
      <w:ind w:left="410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21</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F5800">
    <w:pPr>
      <w:spacing w:line="176" w:lineRule="auto"/>
      <w:ind w:left="410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22</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FB4CA">
    <w:pPr>
      <w:spacing w:line="176" w:lineRule="auto"/>
      <w:ind w:left="410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23</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74AF8">
    <w:pPr>
      <w:spacing w:line="176" w:lineRule="auto"/>
      <w:ind w:left="410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24</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4B259">
    <w:pPr>
      <w:spacing w:line="176" w:lineRule="auto"/>
      <w:ind w:left="410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25</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08CA6">
    <w:pPr>
      <w:spacing w:line="176" w:lineRule="auto"/>
      <w:ind w:left="410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26</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6D695">
    <w:pPr>
      <w:spacing w:line="176" w:lineRule="auto"/>
      <w:ind w:left="410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27</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0C79E5">
    <w:pPr>
      <w:spacing w:line="176" w:lineRule="auto"/>
      <w:ind w:left="410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28</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2B8B4A">
    <w:pPr>
      <w:spacing w:line="176" w:lineRule="auto"/>
      <w:ind w:left="410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29</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DCE73F">
    <w:pPr>
      <w:spacing w:line="176" w:lineRule="auto"/>
      <w:ind w:left="4113"/>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30</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68C7C">
    <w:pPr>
      <w:spacing w:line="176" w:lineRule="auto"/>
      <w:ind w:left="4113"/>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31</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4EE490">
    <w:pPr>
      <w:spacing w:line="176" w:lineRule="auto"/>
      <w:ind w:left="4113"/>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32</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6B7E45">
    <w:pPr>
      <w:spacing w:line="176" w:lineRule="auto"/>
      <w:ind w:left="4113"/>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33</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6FBB80">
    <w:pPr>
      <w:spacing w:line="176" w:lineRule="auto"/>
      <w:ind w:left="4113"/>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34</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28B4A">
    <w:pPr>
      <w:spacing w:line="176" w:lineRule="auto"/>
      <w:ind w:left="4228"/>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35</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B19C4">
    <w:pPr>
      <w:spacing w:line="176" w:lineRule="auto"/>
      <w:ind w:left="4228"/>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36</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F9AA7A">
    <w:pPr>
      <w:spacing w:line="176" w:lineRule="auto"/>
      <w:ind w:left="4228"/>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37</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E9DCF7">
    <w:pPr>
      <w:spacing w:line="176" w:lineRule="auto"/>
      <w:ind w:left="4228"/>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38</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93F4E">
    <w:pPr>
      <w:spacing w:line="176" w:lineRule="auto"/>
      <w:ind w:left="4228"/>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39</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8ECAAF">
    <w:pPr>
      <w:spacing w:line="176" w:lineRule="auto"/>
      <w:ind w:left="421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40</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04F0F">
    <w:pPr>
      <w:spacing w:line="176" w:lineRule="auto"/>
      <w:ind w:left="7006"/>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41</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7672F">
    <w:pPr>
      <w:spacing w:line="176" w:lineRule="auto"/>
      <w:ind w:left="7006"/>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42</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41B3E4">
    <w:pPr>
      <w:spacing w:line="176" w:lineRule="auto"/>
      <w:ind w:left="7006"/>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43</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BE597E">
    <w:pPr>
      <w:spacing w:line="176" w:lineRule="auto"/>
      <w:ind w:left="7006"/>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44</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1C330">
    <w:pPr>
      <w:spacing w:line="176" w:lineRule="auto"/>
      <w:ind w:left="7006"/>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45</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0D936">
    <w:pPr>
      <w:spacing w:line="176" w:lineRule="auto"/>
      <w:ind w:left="421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46</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700538">
    <w:pPr>
      <w:spacing w:line="176" w:lineRule="auto"/>
      <w:ind w:left="421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47</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5444C8">
    <w:pPr>
      <w:spacing w:line="176" w:lineRule="auto"/>
      <w:ind w:left="426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48</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AC831">
    <w:pPr>
      <w:spacing w:line="176" w:lineRule="auto"/>
      <w:ind w:left="426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49</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ED09A2">
    <w:pPr>
      <w:spacing w:line="176" w:lineRule="auto"/>
      <w:ind w:left="4273"/>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50</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D5FED6">
    <w:pPr>
      <w:spacing w:line="176" w:lineRule="auto"/>
      <w:ind w:left="4273"/>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51</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2249F">
    <w:pPr>
      <w:spacing w:line="176" w:lineRule="auto"/>
      <w:ind w:left="4273"/>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52</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591CB">
    <w:pPr>
      <w:spacing w:line="176" w:lineRule="auto"/>
      <w:ind w:left="4273"/>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53</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9A19C1">
    <w:pPr>
      <w:spacing w:line="176" w:lineRule="auto"/>
      <w:ind w:left="4273"/>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54</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7EEF1A">
    <w:pPr>
      <w:spacing w:line="173" w:lineRule="auto"/>
      <w:ind w:left="4273"/>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55</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73EC3">
    <w:pPr>
      <w:spacing w:line="176" w:lineRule="auto"/>
      <w:ind w:left="4273"/>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56</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AF391">
    <w:pPr>
      <w:spacing w:line="173" w:lineRule="auto"/>
      <w:ind w:left="427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57</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D4F13D">
    <w:pPr>
      <w:spacing w:line="176" w:lineRule="auto"/>
      <w:ind w:left="427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58</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8B505E">
    <w:pPr>
      <w:spacing w:line="176" w:lineRule="auto"/>
      <w:ind w:left="427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59</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980D2">
    <w:pPr>
      <w:spacing w:line="176" w:lineRule="auto"/>
      <w:ind w:left="427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60</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5117CA">
    <w:pPr>
      <w:spacing w:line="176" w:lineRule="auto"/>
      <w:ind w:left="427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61</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A599D0">
    <w:pPr>
      <w:spacing w:line="176" w:lineRule="auto"/>
      <w:ind w:left="427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62</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730EB">
    <w:pPr>
      <w:spacing w:line="176" w:lineRule="auto"/>
      <w:ind w:left="427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63</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33B514">
    <w:pPr>
      <w:spacing w:line="176" w:lineRule="auto"/>
      <w:ind w:left="427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64</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9EC564">
    <w:pPr>
      <w:spacing w:line="176" w:lineRule="auto"/>
      <w:ind w:left="427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65</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307874">
    <w:pPr>
      <w:spacing w:line="176" w:lineRule="auto"/>
      <w:ind w:left="427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66</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4EB3A">
    <w:pPr>
      <w:spacing w:line="176" w:lineRule="auto"/>
      <w:ind w:left="4318"/>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67</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69B1E">
    <w:pPr>
      <w:spacing w:line="176" w:lineRule="auto"/>
      <w:ind w:left="4318"/>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68</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0427A">
    <w:pPr>
      <w:spacing w:line="176" w:lineRule="auto"/>
      <w:ind w:left="4327"/>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69</w: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BB79D5">
    <w:pPr>
      <w:spacing w:line="14" w:lineRule="auto"/>
      <w:rPr>
        <w:rFonts w:ascii="Arial"/>
        <w:sz w:val="2"/>
      </w:rPr>
    </w:pP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5DC22C">
    <w:pPr>
      <w:spacing w:line="176" w:lineRule="auto"/>
      <w:ind w:left="4126"/>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01530B">
    <w:pPr>
      <w:spacing w:line="176" w:lineRule="auto"/>
      <w:ind w:left="6936"/>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1155A2">
    <w:pPr>
      <w:spacing w:line="176" w:lineRule="auto"/>
      <w:ind w:left="6931"/>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C26D5">
    <w:pPr>
      <w:spacing w:line="173" w:lineRule="auto"/>
      <w:ind w:left="6937"/>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E94D2E">
    <w:pPr>
      <w:spacing w:line="176" w:lineRule="auto"/>
      <w:ind w:left="6936"/>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B36EE">
    <w:pPr>
      <w:spacing w:line="173" w:lineRule="auto"/>
      <w:ind w:left="6940"/>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433481">
    <w:pPr>
      <w:spacing w:line="176" w:lineRule="auto"/>
      <w:ind w:left="6939"/>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92862">
    <w:pPr>
      <w:spacing w:line="176" w:lineRule="auto"/>
      <w:ind w:left="6935"/>
      <w:rPr>
        <w:rFonts w:ascii="Times New Roman" w:hAnsi="Times New Roman" w:eastAsia="Times New Roman" w:cs="Times New Roman"/>
        <w:sz w:val="18"/>
        <w:szCs w:val="18"/>
      </w:rPr>
    </w:pPr>
    <w:r>
      <w:rPr>
        <w:rFonts w:ascii="Times New Roman" w:hAnsi="Times New Roman" w:eastAsia="Times New Roman" w:cs="Times New Roman"/>
        <w:sz w:val="18"/>
        <w:szCs w:val="18"/>
      </w:rPr>
      <w:t>9</w:t>
    </w: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732AD">
    <w:pPr>
      <w:spacing w:line="176" w:lineRule="auto"/>
      <w:ind w:left="6909"/>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10</w:t>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4734E">
    <w:pPr>
      <w:spacing w:line="176" w:lineRule="auto"/>
      <w:ind w:left="6909"/>
      <w:rPr>
        <w:rFonts w:ascii="Times New Roman" w:hAnsi="Times New Roman" w:eastAsia="Times New Roman" w:cs="Times New Roman"/>
        <w:sz w:val="18"/>
        <w:szCs w:val="18"/>
      </w:rPr>
    </w:pPr>
    <w:r>
      <w:rPr>
        <w:rFonts w:ascii="Times New Roman" w:hAnsi="Times New Roman" w:eastAsia="Times New Roman" w:cs="Times New Roman"/>
        <w:spacing w:val="-11"/>
        <w:sz w:val="18"/>
        <w:szCs w:val="18"/>
      </w:rPr>
      <w:t>11</w:t>
    </w: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018C8A">
    <w:pPr>
      <w:spacing w:line="176" w:lineRule="auto"/>
      <w:ind w:left="6904"/>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12</w:t>
    </w:r>
  </w:p>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02F16F">
    <w:pPr>
      <w:spacing w:line="176" w:lineRule="auto"/>
      <w:ind w:left="5823"/>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13</w:t>
    </w:r>
  </w:p>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5015F5">
    <w:pPr>
      <w:spacing w:line="176" w:lineRule="auto"/>
      <w:ind w:left="6694"/>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14</w:t>
    </w:r>
  </w:p>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44AF2">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15</w:t>
    </w: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FDCBEC">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16</w:t>
    </w:r>
  </w:p>
</w:ftr>
</file>

<file path=word/footer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4D404">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17</w:t>
    </w:r>
  </w:p>
</w:ftr>
</file>

<file path=word/footer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43CFB">
    <w:pPr>
      <w:spacing w:line="176" w:lineRule="auto"/>
      <w:ind w:left="5823"/>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18</w:t>
    </w:r>
  </w:p>
</w:ftr>
</file>

<file path=word/footer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16A99">
    <w:pPr>
      <w:spacing w:line="176" w:lineRule="auto"/>
      <w:ind w:left="6245"/>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19</w:t>
    </w:r>
  </w:p>
</w:ftr>
</file>

<file path=word/footer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80C0D">
    <w:pPr>
      <w:spacing w:line="176" w:lineRule="auto"/>
      <w:ind w:left="5806"/>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20</w:t>
    </w:r>
  </w:p>
</w:ftr>
</file>

<file path=word/footer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E626B9">
    <w:pPr>
      <w:spacing w:line="176" w:lineRule="auto"/>
      <w:ind w:left="4179"/>
      <w:rPr>
        <w:rFonts w:ascii="Times New Roman" w:hAnsi="Times New Roman" w:eastAsia="Times New Roman" w:cs="Times New Roman"/>
        <w:sz w:val="18"/>
        <w:szCs w:val="18"/>
      </w:rPr>
    </w:pPr>
    <w:r>
      <w:rPr>
        <w:rFonts w:ascii="Times New Roman" w:hAnsi="Times New Roman" w:eastAsia="Times New Roman" w:cs="Times New Roman"/>
        <w:spacing w:val="7"/>
        <w:w w:val="116"/>
        <w:sz w:val="18"/>
        <w:szCs w:val="18"/>
      </w:rPr>
      <w:t>2l</w:t>
    </w:r>
  </w:p>
</w:ftr>
</file>

<file path=word/footer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3F1CAE">
    <w:pPr>
      <w:spacing w:line="14" w:lineRule="auto"/>
      <w:rPr>
        <w:rFonts w:ascii="Arial"/>
        <w:sz w:val="2"/>
      </w:rPr>
    </w:pPr>
  </w:p>
</w:ftr>
</file>

<file path=word/footer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A3D878">
    <w:pPr>
      <w:spacing w:line="176" w:lineRule="auto"/>
      <w:ind w:left="4143"/>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ftr>
</file>

<file path=word/footer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4A5C56">
    <w:pPr>
      <w:spacing w:line="176" w:lineRule="auto"/>
      <w:ind w:left="4126"/>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ftr>
</file>

<file path=word/footer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42945">
    <w:pPr>
      <w:spacing w:line="176" w:lineRule="auto"/>
      <w:ind w:left="4130"/>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ftr>
</file>

<file path=word/footer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81D74A">
    <w:pPr>
      <w:spacing w:line="176" w:lineRule="auto"/>
      <w:ind w:left="4125"/>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ftr>
</file>

<file path=word/footer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CD1E61">
    <w:pPr>
      <w:spacing w:line="173" w:lineRule="auto"/>
      <w:ind w:left="4131"/>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ftr>
</file>

<file path=word/footer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1A08FE">
    <w:pPr>
      <w:spacing w:line="176" w:lineRule="auto"/>
      <w:ind w:left="4130"/>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ftr>
</file>

<file path=word/footer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1A147">
    <w:pPr>
      <w:spacing w:line="173" w:lineRule="auto"/>
      <w:ind w:left="4129"/>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ftr>
</file>

<file path=word/footer1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E4DDE">
    <w:pPr>
      <w:spacing w:line="176" w:lineRule="auto"/>
      <w:ind w:left="4133"/>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ftr>
</file>

<file path=word/footer1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21CFE9">
    <w:pPr>
      <w:spacing w:line="176" w:lineRule="auto"/>
      <w:ind w:left="4130"/>
      <w:rPr>
        <w:rFonts w:ascii="Times New Roman" w:hAnsi="Times New Roman" w:eastAsia="Times New Roman" w:cs="Times New Roman"/>
        <w:sz w:val="18"/>
        <w:szCs w:val="18"/>
      </w:rPr>
    </w:pPr>
    <w:r>
      <w:rPr>
        <w:rFonts w:ascii="Times New Roman" w:hAnsi="Times New Roman" w:eastAsia="Times New Roman" w:cs="Times New Roman"/>
        <w:sz w:val="18"/>
        <w:szCs w:val="18"/>
      </w:rPr>
      <w:t>9</w:t>
    </w:r>
  </w:p>
</w:ftr>
</file>

<file path=word/footer1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2D3993">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10</w:t>
    </w:r>
  </w:p>
</w:ftr>
</file>

<file path=word/footer1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A516CA">
    <w:pPr>
      <w:spacing w:line="176" w:lineRule="auto"/>
      <w:ind w:left="4100"/>
      <w:rPr>
        <w:rFonts w:ascii="Times New Roman" w:hAnsi="Times New Roman" w:eastAsia="Times New Roman" w:cs="Times New Roman"/>
        <w:sz w:val="18"/>
        <w:szCs w:val="18"/>
      </w:rPr>
    </w:pPr>
    <w:r>
      <w:rPr>
        <w:rFonts w:ascii="Times New Roman" w:hAnsi="Times New Roman" w:eastAsia="Times New Roman" w:cs="Times New Roman"/>
        <w:spacing w:val="-11"/>
        <w:sz w:val="18"/>
        <w:szCs w:val="18"/>
      </w:rPr>
      <w:t>11</w:t>
    </w:r>
  </w:p>
</w:ftr>
</file>

<file path=word/footer1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08F1B">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12</w:t>
    </w:r>
  </w:p>
</w:ftr>
</file>

<file path=word/footer1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BEC020">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13</w:t>
    </w:r>
  </w:p>
</w:ftr>
</file>

<file path=word/footer1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FCDACD">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14</w:t>
    </w:r>
  </w:p>
</w:ftr>
</file>

<file path=word/footer1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E7BB7">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15</w:t>
    </w:r>
  </w:p>
</w:ftr>
</file>

<file path=word/footer1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1BBC9D">
    <w:pPr>
      <w:spacing w:line="176" w:lineRule="auto"/>
      <w:ind w:left="4143"/>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ftr>
</file>

<file path=word/footer1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9A9D7">
    <w:pPr>
      <w:spacing w:line="176" w:lineRule="auto"/>
      <w:ind w:left="4126"/>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ftr>
</file>

<file path=word/footer1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596418">
    <w:pPr>
      <w:spacing w:line="176" w:lineRule="auto"/>
      <w:ind w:left="4130"/>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ftr>
</file>

<file path=word/footer1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DB622D">
    <w:pPr>
      <w:spacing w:line="14" w:lineRule="auto"/>
      <w:rPr>
        <w:rFonts w:ascii="Arial"/>
        <w:sz w:val="2"/>
      </w:rPr>
    </w:pPr>
  </w:p>
</w:ftr>
</file>

<file path=word/footer1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AFF16E">
    <w:pPr>
      <w:spacing w:line="176" w:lineRule="auto"/>
      <w:ind w:left="4141"/>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ftr>
</file>

<file path=word/footer1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310A94">
    <w:pPr>
      <w:spacing w:line="176" w:lineRule="auto"/>
      <w:ind w:left="4126"/>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ftr>
</file>

<file path=word/footer1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773C69">
    <w:pPr>
      <w:spacing w:line="176" w:lineRule="auto"/>
      <w:ind w:left="4130"/>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ftr>
</file>

<file path=word/footer1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B3478A">
    <w:pPr>
      <w:spacing w:line="176" w:lineRule="auto"/>
      <w:ind w:left="4125"/>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ftr>
</file>

<file path=word/footer1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59B98">
    <w:pPr>
      <w:spacing w:line="173" w:lineRule="auto"/>
      <w:ind w:left="4131"/>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ftr>
</file>

<file path=word/footer1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54127A">
    <w:pPr>
      <w:spacing w:line="176" w:lineRule="auto"/>
      <w:ind w:left="4130"/>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ftr>
</file>

<file path=word/footer1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94278">
    <w:pPr>
      <w:spacing w:line="173" w:lineRule="auto"/>
      <w:ind w:left="6941"/>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ftr>
</file>

<file path=word/footer1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BABC28">
    <w:pPr>
      <w:spacing w:line="176" w:lineRule="auto"/>
      <w:ind w:left="6945"/>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ftr>
</file>

<file path=word/footer1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2A8C75">
    <w:pPr>
      <w:spacing w:line="176" w:lineRule="auto"/>
      <w:ind w:left="6941"/>
      <w:rPr>
        <w:rFonts w:ascii="Times New Roman" w:hAnsi="Times New Roman" w:eastAsia="Times New Roman" w:cs="Times New Roman"/>
        <w:sz w:val="18"/>
        <w:szCs w:val="18"/>
      </w:rPr>
    </w:pPr>
    <w:r>
      <w:rPr>
        <w:rFonts w:ascii="Times New Roman" w:hAnsi="Times New Roman" w:eastAsia="Times New Roman" w:cs="Times New Roman"/>
        <w:sz w:val="18"/>
        <w:szCs w:val="18"/>
      </w:rPr>
      <w:t>9</w:t>
    </w:r>
  </w:p>
</w:ftr>
</file>

<file path=word/footer1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E7259B">
    <w:pPr>
      <w:spacing w:line="176" w:lineRule="auto"/>
      <w:ind w:left="6910"/>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10</w:t>
    </w:r>
  </w:p>
</w:ftr>
</file>

<file path=word/footer1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A6F7A">
    <w:pPr>
      <w:spacing w:line="176" w:lineRule="auto"/>
      <w:ind w:left="4100"/>
      <w:rPr>
        <w:rFonts w:ascii="Times New Roman" w:hAnsi="Times New Roman" w:eastAsia="Times New Roman" w:cs="Times New Roman"/>
        <w:sz w:val="18"/>
        <w:szCs w:val="18"/>
      </w:rPr>
    </w:pPr>
    <w:r>
      <w:rPr>
        <w:rFonts w:ascii="Times New Roman" w:hAnsi="Times New Roman" w:eastAsia="Times New Roman" w:cs="Times New Roman"/>
        <w:spacing w:val="-11"/>
        <w:sz w:val="18"/>
        <w:szCs w:val="18"/>
      </w:rPr>
      <w:t>11</w:t>
    </w:r>
  </w:p>
</w:ftr>
</file>

<file path=word/footer1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FC6665">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12</w:t>
    </w:r>
  </w:p>
</w:ftr>
</file>

<file path=word/footer1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1D4987">
    <w:pPr>
      <w:spacing w:line="176" w:lineRule="auto"/>
      <w:ind w:left="5871"/>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13</w:t>
    </w:r>
  </w:p>
</w:ftr>
</file>

<file path=word/footer1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00895">
    <w:pPr>
      <w:spacing w:line="176" w:lineRule="auto"/>
      <w:ind w:left="6559"/>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14</w:t>
    </w:r>
  </w:p>
</w:ftr>
</file>

<file path=word/footer1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B1D3E">
    <w:pPr>
      <w:spacing w:line="176" w:lineRule="auto"/>
      <w:ind w:left="5945"/>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15</w:t>
    </w:r>
  </w:p>
</w:ftr>
</file>

<file path=word/footer1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F3F935">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16</w:t>
    </w:r>
  </w:p>
</w:ftr>
</file>

<file path=word/footer1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A973B">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17</w:t>
    </w:r>
  </w:p>
</w:ftr>
</file>

<file path=word/footer1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069752">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18</w:t>
    </w:r>
  </w:p>
</w:ftr>
</file>

<file path=word/footer1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789B63">
    <w:pPr>
      <w:spacing w:line="176" w:lineRule="auto"/>
      <w:ind w:left="4203"/>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19</w:t>
    </w:r>
  </w:p>
</w:ftr>
</file>

<file path=word/footer1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02946">
    <w:pPr>
      <w:spacing w:line="176" w:lineRule="auto"/>
      <w:ind w:left="418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20</w:t>
    </w:r>
  </w:p>
</w:ftr>
</file>

<file path=word/footer1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0CE8A9">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7"/>
        <w:w w:val="116"/>
        <w:sz w:val="18"/>
        <w:szCs w:val="18"/>
      </w:rPr>
      <w:t>2l</w:t>
    </w:r>
  </w:p>
</w:ftr>
</file>

<file path=word/footer1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08773">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22</w:t>
    </w:r>
  </w:p>
</w:ftr>
</file>

<file path=word/footer1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9ADE3">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23</w:t>
    </w:r>
  </w:p>
</w:ftr>
</file>

<file path=word/footer1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5598E3">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24</w:t>
    </w:r>
  </w:p>
</w:ftr>
</file>

<file path=word/footer1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6BD730">
    <w:pPr>
      <w:spacing w:line="176" w:lineRule="auto"/>
      <w:ind w:left="417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25</w:t>
    </w:r>
  </w:p>
</w:ftr>
</file>

<file path=word/footer1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AA1845">
    <w:pPr>
      <w:spacing w:line="176" w:lineRule="auto"/>
      <w:ind w:left="417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26</w:t>
    </w:r>
  </w:p>
</w:ftr>
</file>

<file path=word/footer1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67FE6F">
    <w:pPr>
      <w:spacing w:line="176" w:lineRule="auto"/>
      <w:ind w:left="417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27</w:t>
    </w:r>
  </w:p>
</w:ftr>
</file>

<file path=word/footer1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FBCEF">
    <w:pPr>
      <w:spacing w:line="176" w:lineRule="auto"/>
      <w:ind w:left="417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28</w:t>
    </w:r>
  </w:p>
</w:ftr>
</file>

<file path=word/footer1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6D34C5">
    <w:pPr>
      <w:spacing w:line="176" w:lineRule="auto"/>
      <w:ind w:left="417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29</w:t>
    </w:r>
  </w:p>
</w:ftr>
</file>

<file path=word/footer1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E4C11">
    <w:pPr>
      <w:spacing w:line="176" w:lineRule="auto"/>
      <w:ind w:left="4183"/>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30</w:t>
    </w:r>
  </w:p>
</w:ftr>
</file>

<file path=word/footer1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2D8DF7">
    <w:pPr>
      <w:spacing w:line="176" w:lineRule="auto"/>
      <w:ind w:left="4178"/>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31</w:t>
    </w:r>
  </w:p>
</w:ftr>
</file>

<file path=word/footer1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C99F09">
    <w:pPr>
      <w:spacing w:line="176" w:lineRule="auto"/>
      <w:ind w:left="4177"/>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32</w:t>
    </w:r>
  </w:p>
</w:ftr>
</file>

<file path=word/footer1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AE0403">
    <w:pPr>
      <w:spacing w:line="176" w:lineRule="auto"/>
      <w:ind w:left="4177"/>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33</w:t>
    </w:r>
  </w:p>
</w:ftr>
</file>

<file path=word/footer1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0925AA">
    <w:pPr>
      <w:spacing w:line="176" w:lineRule="auto"/>
      <w:ind w:left="4178"/>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34</w:t>
    </w:r>
  </w:p>
</w:ftr>
</file>

<file path=word/footer1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A4EF40">
    <w:pPr>
      <w:spacing w:line="176" w:lineRule="auto"/>
      <w:ind w:left="4178"/>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35</w:t>
    </w:r>
  </w:p>
</w:ftr>
</file>

<file path=word/footer1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3451D5">
    <w:pPr>
      <w:spacing w:line="176" w:lineRule="auto"/>
      <w:ind w:left="408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36</w:t>
    </w:r>
  </w:p>
</w:ftr>
</file>

<file path=word/footer1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48C70">
    <w:pPr>
      <w:spacing w:line="176" w:lineRule="auto"/>
      <w:ind w:left="408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37</w:t>
    </w:r>
  </w:p>
</w:ftr>
</file>

<file path=word/footer1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AF1086">
    <w:pPr>
      <w:spacing w:line="176" w:lineRule="auto"/>
      <w:ind w:left="408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38</w:t>
    </w:r>
  </w:p>
</w:ftr>
</file>

<file path=word/footer1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52A1C">
    <w:pPr>
      <w:spacing w:line="176" w:lineRule="auto"/>
      <w:ind w:left="4177"/>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39</w:t>
    </w:r>
  </w:p>
</w:ftr>
</file>

<file path=word/footer1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73E073">
    <w:pPr>
      <w:spacing w:line="176" w:lineRule="auto"/>
      <w:ind w:left="417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40</w:t>
    </w:r>
  </w:p>
</w:ftr>
</file>

<file path=word/footer1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6663F1">
    <w:pPr>
      <w:spacing w:line="176" w:lineRule="auto"/>
      <w:ind w:left="417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41</w:t>
    </w:r>
  </w:p>
</w:ftr>
</file>

<file path=word/footer1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D2889">
    <w:pPr>
      <w:spacing w:line="176" w:lineRule="auto"/>
      <w:ind w:left="417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42</w:t>
    </w:r>
  </w:p>
</w:ftr>
</file>

<file path=word/footer1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D323E7">
    <w:pPr>
      <w:spacing w:line="176" w:lineRule="auto"/>
      <w:ind w:left="408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43</w:t>
    </w:r>
  </w:p>
</w:ftr>
</file>

<file path=word/footer1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453CA8">
    <w:pPr>
      <w:spacing w:line="176" w:lineRule="auto"/>
      <w:ind w:left="408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44</w:t>
    </w:r>
  </w:p>
</w:ftr>
</file>

<file path=word/footer1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D8C0C">
    <w:pPr>
      <w:spacing w:line="176" w:lineRule="auto"/>
      <w:ind w:left="408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45</w:t>
    </w:r>
  </w:p>
</w:ftr>
</file>

<file path=word/footer1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DF20AF">
    <w:pPr>
      <w:spacing w:line="176" w:lineRule="auto"/>
      <w:ind w:left="417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46</w:t>
    </w:r>
  </w:p>
</w:ftr>
</file>

<file path=word/footer1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972E08">
    <w:pPr>
      <w:spacing w:line="176" w:lineRule="auto"/>
      <w:ind w:left="417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47</w:t>
    </w:r>
  </w:p>
</w:ftr>
</file>

<file path=word/footer1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B94BC">
    <w:pPr>
      <w:spacing w:line="176" w:lineRule="auto"/>
      <w:ind w:left="408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48</w:t>
    </w:r>
  </w:p>
</w:ftr>
</file>

<file path=word/footer1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EBA66F">
    <w:pPr>
      <w:spacing w:line="176" w:lineRule="auto"/>
      <w:ind w:left="408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49</w:t>
    </w:r>
  </w:p>
</w:ftr>
</file>

<file path=word/footer1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A2420">
    <w:pPr>
      <w:spacing w:line="176" w:lineRule="auto"/>
      <w:ind w:left="4179"/>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50</w:t>
    </w:r>
  </w:p>
</w:ftr>
</file>

<file path=word/footer1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58FF0D">
    <w:pPr>
      <w:spacing w:line="176" w:lineRule="auto"/>
      <w:ind w:left="700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51</w:t>
    </w:r>
  </w:p>
</w:ftr>
</file>

<file path=word/footer1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5D57E">
    <w:pPr>
      <w:spacing w:line="176" w:lineRule="auto"/>
      <w:ind w:left="700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52</w:t>
    </w:r>
  </w:p>
</w:ftr>
</file>

<file path=word/footer1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C9D4CF">
    <w:pPr>
      <w:spacing w:line="176" w:lineRule="auto"/>
      <w:ind w:left="4083"/>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53</w:t>
    </w:r>
  </w:p>
</w:ftr>
</file>

<file path=word/footer1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EFEE95">
    <w:pPr>
      <w:spacing w:line="176" w:lineRule="auto"/>
      <w:ind w:left="4083"/>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54</w:t>
    </w:r>
  </w:p>
</w:ftr>
</file>

<file path=word/footer1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83615">
    <w:pPr>
      <w:spacing w:line="173" w:lineRule="auto"/>
      <w:ind w:left="4083"/>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55</w:t>
    </w:r>
  </w:p>
</w:ftr>
</file>

<file path=word/footer1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33588">
    <w:pPr>
      <w:spacing w:line="176" w:lineRule="auto"/>
      <w:ind w:left="4083"/>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56</w:t>
    </w:r>
  </w:p>
</w:ftr>
</file>

<file path=word/footer1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2D7631">
    <w:pPr>
      <w:spacing w:line="173" w:lineRule="auto"/>
      <w:ind w:left="4083"/>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57</w:t>
    </w:r>
  </w:p>
</w:ftr>
</file>

<file path=word/footer1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DB0F0A">
    <w:pPr>
      <w:spacing w:line="176" w:lineRule="auto"/>
      <w:ind w:left="4083"/>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58</w:t>
    </w:r>
  </w:p>
</w:ftr>
</file>

<file path=word/footer1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EB844A">
    <w:pPr>
      <w:spacing w:line="176" w:lineRule="auto"/>
      <w:ind w:left="4083"/>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59</w:t>
    </w:r>
  </w:p>
</w:ftr>
</file>

<file path=word/footer1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F9CE60">
    <w:pPr>
      <w:spacing w:line="176" w:lineRule="auto"/>
      <w:ind w:left="4082"/>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60</w:t>
    </w:r>
  </w:p>
</w:ftr>
</file>

<file path=word/footer1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AB8D09">
    <w:pPr>
      <w:spacing w:line="176" w:lineRule="auto"/>
      <w:ind w:left="4082"/>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61</w:t>
    </w:r>
  </w:p>
</w:ftr>
</file>

<file path=word/footer1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8EDBC">
    <w:pPr>
      <w:spacing w:line="14" w:lineRule="auto"/>
      <w:rPr>
        <w:rFonts w:ascii="Arial"/>
        <w:sz w:val="2"/>
      </w:rPr>
    </w:pPr>
  </w:p>
</w:ftr>
</file>

<file path=word/footer1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77F47D">
    <w:pPr>
      <w:spacing w:line="176" w:lineRule="auto"/>
      <w:ind w:left="4143"/>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ftr>
</file>

<file path=word/footer1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74B7C9">
    <w:pPr>
      <w:spacing w:line="176" w:lineRule="auto"/>
      <w:ind w:left="4126"/>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ftr>
</file>

<file path=word/footer1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6B678D">
    <w:pPr>
      <w:spacing w:line="176" w:lineRule="auto"/>
      <w:ind w:left="4130"/>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ftr>
</file>

<file path=word/footer1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D96B2">
    <w:pPr>
      <w:spacing w:line="176" w:lineRule="auto"/>
      <w:ind w:left="4125"/>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ftr>
</file>

<file path=word/footer1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38488F">
    <w:pPr>
      <w:spacing w:line="173" w:lineRule="auto"/>
      <w:ind w:left="4224"/>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ftr>
</file>

<file path=word/footer1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7B338E">
    <w:pPr>
      <w:spacing w:line="176" w:lineRule="auto"/>
      <w:ind w:left="4233"/>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ftr>
</file>

<file path=word/footer1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A7537B">
    <w:pPr>
      <w:spacing w:line="173" w:lineRule="auto"/>
      <w:ind w:left="7048"/>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ftr>
</file>

<file path=word/footer1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0B30C7">
    <w:pPr>
      <w:spacing w:line="176" w:lineRule="auto"/>
      <w:ind w:left="4133"/>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ftr>
</file>

<file path=word/footer1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299C5C">
    <w:pPr>
      <w:spacing w:line="176" w:lineRule="auto"/>
      <w:ind w:left="4130"/>
      <w:rPr>
        <w:rFonts w:ascii="Times New Roman" w:hAnsi="Times New Roman" w:eastAsia="Times New Roman" w:cs="Times New Roman"/>
        <w:sz w:val="18"/>
        <w:szCs w:val="18"/>
      </w:rPr>
    </w:pPr>
    <w:r>
      <w:rPr>
        <w:rFonts w:ascii="Times New Roman" w:hAnsi="Times New Roman" w:eastAsia="Times New Roman" w:cs="Times New Roman"/>
        <w:sz w:val="18"/>
        <w:szCs w:val="18"/>
      </w:rPr>
      <w:t>9</w:t>
    </w:r>
  </w:p>
</w:ftr>
</file>

<file path=word/footer1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B62B93">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10</w:t>
    </w:r>
  </w:p>
</w:ftr>
</file>

<file path=word/footer1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5966F">
    <w:pPr>
      <w:spacing w:line="176" w:lineRule="auto"/>
      <w:ind w:left="4100"/>
      <w:rPr>
        <w:rFonts w:ascii="Times New Roman" w:hAnsi="Times New Roman" w:eastAsia="Times New Roman" w:cs="Times New Roman"/>
        <w:sz w:val="18"/>
        <w:szCs w:val="18"/>
      </w:rPr>
    </w:pPr>
    <w:r>
      <w:rPr>
        <w:rFonts w:ascii="Times New Roman" w:hAnsi="Times New Roman" w:eastAsia="Times New Roman" w:cs="Times New Roman"/>
        <w:spacing w:val="-11"/>
        <w:sz w:val="18"/>
        <w:szCs w:val="18"/>
      </w:rPr>
      <w:t>11</w:t>
    </w:r>
  </w:p>
</w:ftr>
</file>

<file path=word/footer1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C8C9B">
    <w:pPr>
      <w:spacing w:line="176" w:lineRule="auto"/>
      <w:ind w:left="5823"/>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12</w:t>
    </w:r>
  </w:p>
</w:ftr>
</file>

<file path=word/footer1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804785">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13</w:t>
    </w:r>
  </w:p>
</w:ftr>
</file>

<file path=word/footer1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73C59">
    <w:pPr>
      <w:spacing w:line="176" w:lineRule="auto"/>
      <w:ind w:left="6394"/>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14</w:t>
    </w:r>
  </w:p>
</w:ftr>
</file>

<file path=word/footer1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58724">
    <w:pPr>
      <w:spacing w:line="176" w:lineRule="auto"/>
      <w:ind w:left="6907"/>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15</w:t>
    </w:r>
  </w:p>
</w:ftr>
</file>

<file path=word/footer1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C34EDF">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16</w:t>
    </w:r>
  </w:p>
</w:ftr>
</file>

<file path=word/footer1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14059">
    <w:pPr>
      <w:spacing w:line="176" w:lineRule="auto"/>
      <w:ind w:left="5823"/>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17</w:t>
    </w:r>
  </w:p>
</w:ftr>
</file>

<file path=word/footer1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56E80">
    <w:pPr>
      <w:spacing w:line="176" w:lineRule="auto"/>
      <w:ind w:left="6907"/>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18</w:t>
    </w:r>
  </w:p>
</w:ftr>
</file>

<file path=word/footer1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3A6229">
    <w:pPr>
      <w:spacing w:line="176" w:lineRule="auto"/>
      <w:ind w:left="6439"/>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19</w:t>
    </w:r>
  </w:p>
</w:ftr>
</file>

<file path=word/footer1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9F0D28">
    <w:pPr>
      <w:spacing w:line="176" w:lineRule="auto"/>
      <w:ind w:left="417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20</w:t>
    </w:r>
  </w:p>
</w:ftr>
</file>

<file path=word/footer1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F68D49">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21</w:t>
    </w:r>
  </w:p>
</w:ftr>
</file>

<file path=word/footer1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6AFF3">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22</w:t>
    </w:r>
  </w:p>
</w:ftr>
</file>

<file path=word/footer1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2016F5">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23</w:t>
    </w:r>
  </w:p>
</w:ftr>
</file>

<file path=word/footer1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97969">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24</w:t>
    </w:r>
  </w:p>
</w:ftr>
</file>

<file path=word/footer1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95BF9B">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25</w:t>
    </w:r>
  </w:p>
</w:ftr>
</file>

<file path=word/footer1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D81755">
    <w:pPr>
      <w:spacing w:line="176" w:lineRule="auto"/>
      <w:ind w:left="5806"/>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26</w:t>
    </w:r>
  </w:p>
</w:ftr>
</file>

<file path=word/footer2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4AA765">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27</w:t>
    </w:r>
  </w:p>
</w:ftr>
</file>

<file path=word/footer2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0E62E">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28</w:t>
    </w:r>
  </w:p>
</w:ftr>
</file>

<file path=word/footer2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CFD0AB">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29</w:t>
    </w:r>
  </w:p>
</w:ftr>
</file>

<file path=word/footer2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CD0C5E">
    <w:pPr>
      <w:spacing w:line="176" w:lineRule="auto"/>
      <w:ind w:left="408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30</w:t>
    </w:r>
  </w:p>
</w:ftr>
</file>

<file path=word/footer2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A164B0">
    <w:pPr>
      <w:spacing w:line="176" w:lineRule="auto"/>
      <w:ind w:left="5809"/>
      <w:rPr>
        <w:rFonts w:ascii="Times New Roman" w:hAnsi="Times New Roman" w:eastAsia="Times New Roman" w:cs="Times New Roman"/>
        <w:sz w:val="18"/>
        <w:szCs w:val="18"/>
      </w:rPr>
    </w:pPr>
    <w:r>
      <w:rPr>
        <w:rFonts w:ascii="Times New Roman" w:hAnsi="Times New Roman" w:eastAsia="Times New Roman" w:cs="Times New Roman"/>
        <w:spacing w:val="16"/>
        <w:sz w:val="18"/>
        <w:szCs w:val="18"/>
      </w:rPr>
      <w:t>3l</w:t>
    </w:r>
  </w:p>
</w:ftr>
</file>

<file path=word/footer2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08257">
    <w:pPr>
      <w:spacing w:line="176" w:lineRule="auto"/>
      <w:ind w:left="5809"/>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32</w:t>
    </w:r>
  </w:p>
</w:ftr>
</file>

<file path=word/footer2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9798C">
    <w:pPr>
      <w:spacing w:line="176" w:lineRule="auto"/>
      <w:ind w:left="5809"/>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33</w:t>
    </w:r>
  </w:p>
</w:ftr>
</file>

<file path=word/footer2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087972">
    <w:pPr>
      <w:spacing w:line="176" w:lineRule="auto"/>
      <w:ind w:left="5809"/>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34</w:t>
    </w:r>
  </w:p>
</w:ftr>
</file>

<file path=word/footer2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82DF85">
    <w:pPr>
      <w:spacing w:line="176" w:lineRule="auto"/>
      <w:ind w:left="5809"/>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35</w:t>
    </w:r>
  </w:p>
</w:ftr>
</file>

<file path=word/footer2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32328">
    <w:pPr>
      <w:spacing w:line="176" w:lineRule="auto"/>
      <w:ind w:left="5809"/>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36</w:t>
    </w:r>
  </w:p>
</w:ftr>
</file>

<file path=word/footer2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AC0981">
    <w:pPr>
      <w:spacing w:line="176" w:lineRule="auto"/>
      <w:ind w:left="4178"/>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37</w:t>
    </w:r>
  </w:p>
</w:ftr>
</file>

<file path=word/footer2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1D6D0D">
    <w:pPr>
      <w:spacing w:line="176" w:lineRule="auto"/>
      <w:ind w:left="4178"/>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38</w:t>
    </w:r>
  </w:p>
</w:ftr>
</file>

<file path=word/footer2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965D7">
    <w:pPr>
      <w:spacing w:line="176" w:lineRule="auto"/>
      <w:ind w:left="408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39</w:t>
    </w:r>
  </w:p>
</w:ftr>
</file>

<file path=word/footer2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061BC">
    <w:pPr>
      <w:spacing w:line="176" w:lineRule="auto"/>
      <w:ind w:left="408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40</w:t>
    </w:r>
  </w:p>
</w:ftr>
</file>

<file path=word/footer2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512DD">
    <w:pPr>
      <w:spacing w:line="176" w:lineRule="auto"/>
      <w:ind w:left="408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41</w:t>
    </w:r>
  </w:p>
</w:ftr>
</file>

<file path=word/footer2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01CDC">
    <w:pPr>
      <w:spacing w:line="176" w:lineRule="auto"/>
      <w:ind w:left="408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42</w:t>
    </w:r>
  </w:p>
</w:ftr>
</file>

<file path=word/footer2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21F73B">
    <w:pPr>
      <w:spacing w:line="176" w:lineRule="auto"/>
      <w:ind w:left="580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43</w:t>
    </w:r>
  </w:p>
</w:ftr>
</file>

<file path=word/footer2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7F1E6">
    <w:pPr>
      <w:spacing w:line="176" w:lineRule="auto"/>
      <w:ind w:left="580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44</w:t>
    </w:r>
  </w:p>
</w:ftr>
</file>

<file path=word/footer2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A396DF">
    <w:pPr>
      <w:spacing w:line="176" w:lineRule="auto"/>
      <w:ind w:left="580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45</w:t>
    </w:r>
  </w:p>
</w:ftr>
</file>

<file path=word/footer2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DCD618">
    <w:pPr>
      <w:spacing w:line="176" w:lineRule="auto"/>
      <w:ind w:left="580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46</w:t>
    </w:r>
  </w:p>
</w:ftr>
</file>

<file path=word/footer2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ACD7C3">
    <w:pPr>
      <w:spacing w:line="176" w:lineRule="auto"/>
      <w:ind w:left="580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47</w:t>
    </w:r>
  </w:p>
</w:ftr>
</file>

<file path=word/footer2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BF8C2">
    <w:pPr>
      <w:spacing w:line="176" w:lineRule="auto"/>
      <w:ind w:left="580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48</w:t>
    </w:r>
  </w:p>
</w:ftr>
</file>

<file path=word/footer2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5F234">
    <w:pPr>
      <w:spacing w:line="176" w:lineRule="auto"/>
      <w:ind w:left="408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49</w:t>
    </w:r>
  </w:p>
</w:ftr>
</file>

<file path=word/footer2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9A9C68">
    <w:pPr>
      <w:spacing w:line="176" w:lineRule="auto"/>
      <w:ind w:left="408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50</w:t>
    </w:r>
  </w:p>
</w:ftr>
</file>

<file path=word/footer2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6AF540">
    <w:pPr>
      <w:spacing w:line="176" w:lineRule="auto"/>
      <w:ind w:left="4086"/>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51</w:t>
    </w:r>
  </w:p>
</w:ftr>
</file>

<file path=word/footer2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41AC7">
    <w:pPr>
      <w:spacing w:line="176" w:lineRule="auto"/>
      <w:ind w:left="4179"/>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52</w:t>
    </w:r>
  </w:p>
</w:ftr>
</file>

<file path=word/footer2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1AEF4D">
    <w:pPr>
      <w:spacing w:line="176" w:lineRule="auto"/>
      <w:ind w:left="408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53</w:t>
    </w:r>
  </w:p>
</w:ftr>
</file>

<file path=word/footer2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CACF8">
    <w:pPr>
      <w:spacing w:line="176" w:lineRule="auto"/>
      <w:ind w:left="408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54</w:t>
    </w:r>
  </w:p>
</w:ftr>
</file>

<file path=word/footer2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99CB3">
    <w:pPr>
      <w:spacing w:line="173" w:lineRule="auto"/>
      <w:ind w:left="408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55</w:t>
    </w:r>
  </w:p>
</w:ftr>
</file>

<file path=word/footer2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78629">
    <w:pPr>
      <w:spacing w:line="176" w:lineRule="auto"/>
      <w:ind w:left="408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56</w:t>
    </w:r>
  </w:p>
</w:ftr>
</file>

<file path=word/footer2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F4A886">
    <w:pPr>
      <w:spacing w:line="173" w:lineRule="auto"/>
      <w:ind w:left="5810"/>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57</w:t>
    </w:r>
  </w:p>
</w:ftr>
</file>

<file path=word/footer2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50D07E">
    <w:pPr>
      <w:spacing w:line="176" w:lineRule="auto"/>
      <w:ind w:left="5810"/>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58</w:t>
    </w:r>
  </w:p>
</w:ftr>
</file>

<file path=word/footer2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068FEE">
    <w:pPr>
      <w:spacing w:line="176" w:lineRule="auto"/>
      <w:ind w:left="5810"/>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59</w:t>
    </w:r>
  </w:p>
</w:ftr>
</file>

<file path=word/footer2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AD781">
    <w:pPr>
      <w:spacing w:line="176" w:lineRule="auto"/>
      <w:ind w:left="5810"/>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60</w:t>
    </w:r>
  </w:p>
</w:ftr>
</file>

<file path=word/footer2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E10BAD">
    <w:pPr>
      <w:spacing w:line="176" w:lineRule="auto"/>
      <w:ind w:left="5810"/>
      <w:rPr>
        <w:rFonts w:ascii="Times New Roman" w:hAnsi="Times New Roman" w:eastAsia="Times New Roman" w:cs="Times New Roman"/>
        <w:sz w:val="18"/>
        <w:szCs w:val="18"/>
      </w:rPr>
    </w:pPr>
    <w:r>
      <w:rPr>
        <w:rFonts w:ascii="Times New Roman" w:hAnsi="Times New Roman" w:eastAsia="Times New Roman" w:cs="Times New Roman"/>
        <w:spacing w:val="16"/>
        <w:sz w:val="18"/>
        <w:szCs w:val="18"/>
      </w:rPr>
      <w:t>6l</w:t>
    </w:r>
  </w:p>
</w:ftr>
</file>

<file path=word/footer2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1EB5F">
    <w:pPr>
      <w:spacing w:line="176" w:lineRule="auto"/>
      <w:ind w:left="5810"/>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62</w:t>
    </w:r>
  </w:p>
</w:ftr>
</file>

<file path=word/footer2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86A51B">
    <w:pPr>
      <w:spacing w:line="176" w:lineRule="auto"/>
      <w:ind w:left="408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63</w:t>
    </w:r>
  </w:p>
</w:ftr>
</file>

<file path=word/footer2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882FA6">
    <w:pPr>
      <w:spacing w:line="176" w:lineRule="auto"/>
      <w:ind w:left="408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64</w:t>
    </w:r>
  </w:p>
</w:ftr>
</file>

<file path=word/footer2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1E1E97">
    <w:pPr>
      <w:spacing w:line="176" w:lineRule="auto"/>
      <w:ind w:left="408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65</w:t>
    </w:r>
  </w:p>
</w:ftr>
</file>

<file path=word/footer2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2D0A8">
    <w:pPr>
      <w:spacing w:line="176" w:lineRule="auto"/>
      <w:ind w:left="408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66</w:t>
    </w:r>
  </w:p>
</w:ftr>
</file>

<file path=word/footer2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90B1B">
    <w:pPr>
      <w:spacing w:line="176" w:lineRule="auto"/>
      <w:ind w:left="408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67</w:t>
    </w:r>
  </w:p>
</w:ftr>
</file>

<file path=word/footer2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C38800">
    <w:pPr>
      <w:spacing w:line="176" w:lineRule="auto"/>
      <w:ind w:left="408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68</w:t>
    </w:r>
  </w:p>
</w:ftr>
</file>

<file path=word/footer2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9B4071">
    <w:pPr>
      <w:spacing w:line="176" w:lineRule="auto"/>
      <w:ind w:left="408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69</w:t>
    </w:r>
  </w:p>
</w:ftr>
</file>

<file path=word/footer2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BA5A82">
    <w:pPr>
      <w:spacing w:line="176" w:lineRule="auto"/>
      <w:ind w:left="408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70</w:t>
    </w:r>
  </w:p>
</w:ftr>
</file>

<file path=word/footer2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C3546">
    <w:pPr>
      <w:spacing w:line="176" w:lineRule="auto"/>
      <w:ind w:left="408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71</w:t>
    </w:r>
  </w:p>
</w:ftr>
</file>

<file path=word/footer2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74F1F7">
    <w:pPr>
      <w:spacing w:line="176" w:lineRule="auto"/>
      <w:ind w:left="408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72</w:t>
    </w:r>
  </w:p>
</w:ftr>
</file>

<file path=word/footer2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C5E1C">
    <w:pPr>
      <w:spacing w:line="176" w:lineRule="auto"/>
      <w:ind w:left="408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73</w:t>
    </w:r>
  </w:p>
</w:ftr>
</file>

<file path=word/footer2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1C91BF">
    <w:pPr>
      <w:spacing w:line="176" w:lineRule="auto"/>
      <w:ind w:left="408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74</w:t>
    </w:r>
  </w:p>
</w:ftr>
</file>

<file path=word/footer2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0AEF22">
    <w:pPr>
      <w:spacing w:line="173" w:lineRule="auto"/>
      <w:ind w:left="408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75</w:t>
    </w:r>
  </w:p>
</w:ftr>
</file>

<file path=word/footer2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0F10C">
    <w:pPr>
      <w:spacing w:line="176" w:lineRule="auto"/>
      <w:ind w:left="408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76</w:t>
    </w:r>
  </w:p>
</w:ftr>
</file>

<file path=word/footer2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8C8B9">
    <w:pPr>
      <w:spacing w:line="173" w:lineRule="auto"/>
      <w:ind w:left="417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77</w:t>
    </w:r>
  </w:p>
</w:ftr>
</file>

<file path=word/footer2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D162D">
    <w:pPr>
      <w:spacing w:line="176" w:lineRule="auto"/>
      <w:ind w:left="408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78</w:t>
    </w:r>
  </w:p>
</w:ftr>
</file>

<file path=word/footer2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18C80A">
    <w:pPr>
      <w:spacing w:line="176" w:lineRule="auto"/>
      <w:ind w:left="417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D5BB40">
    <w:pPr>
      <w:spacing w:line="14" w:lineRule="auto"/>
      <w:rPr>
        <w:rFonts w:ascii="Arial"/>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A9E27F">
    <w:pPr>
      <w:pStyle w:val="2"/>
      <w:spacing w:line="14" w:lineRule="auto"/>
    </w:pPr>
    <w:r>
      <w:pict>
        <v:shape id="WordPictureWatermark146" o:spid="_x0000_s2049" o:spt="75" type="#_x0000_t75" style="position:absolute;left:0pt;margin-left:139.05pt;margin-top:72.45pt;height:452.55pt;width:357.75pt;mso-position-horizontal-relative:page;mso-position-vertical-relative:page;z-index:-251656192;mso-width-relative:page;mso-height-relative:page;" filled="f" stroked="f" coordsize="21600,21600" o:allowincell="f">
          <v:path/>
          <v:fill on="f" focussize="0,0"/>
          <v:stroke on="f"/>
          <v:imagedata r:id="rId1" o:title=""/>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267C89">
    <w:pPr>
      <w:spacing w:line="14" w:lineRule="auto"/>
      <w:rPr>
        <w:rFonts w:ascii="Arial"/>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D41E5">
    <w:pPr>
      <w:pStyle w:val="2"/>
      <w:spacing w:line="14" w:lineRule="auto"/>
    </w:pPr>
    <w:r>
      <w:drawing>
        <wp:anchor distT="0" distB="0" distL="0" distR="0" simplePos="0" relativeHeight="251661312" behindDoc="0" locked="0" layoutInCell="0" allowOverlap="1">
          <wp:simplePos x="0" y="0"/>
          <wp:positionH relativeFrom="page">
            <wp:posOffset>0</wp:posOffset>
          </wp:positionH>
          <wp:positionV relativeFrom="page">
            <wp:posOffset>0</wp:posOffset>
          </wp:positionV>
          <wp:extent cx="7559040" cy="10689590"/>
          <wp:effectExtent l="0" t="0" r="0" b="0"/>
          <wp:wrapNone/>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r:embed="rId1"/>
                  <a:stretch>
                    <a:fillRect/>
                  </a:stretch>
                </pic:blipFill>
                <pic:spPr>
                  <a:xfrm>
                    <a:off x="0" y="0"/>
                    <a:ext cx="7559040" cy="10689335"/>
                  </a:xfrm>
                  <a:prstGeom prst="rect">
                    <a:avLst/>
                  </a:prstGeom>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D0C8A">
    <w:pPr>
      <w:spacing w:line="14" w:lineRule="auto"/>
      <w:rPr>
        <w:rFonts w:ascii="Arial"/>
        <w:sz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B96140">
    <w:pPr>
      <w:spacing w:before="71" w:line="206" w:lineRule="auto"/>
      <w:ind w:left="44"/>
      <w:rPr>
        <w:rFonts w:ascii="Times New Roman" w:hAnsi="Times New Roman" w:eastAsia="Times New Roman" w:cs="Times New Roman"/>
        <w:sz w:val="28"/>
        <w:szCs w:val="28"/>
      </w:rPr>
    </w:pPr>
    <w:r>
      <w:rPr>
        <w:rFonts w:ascii="仿宋" w:hAnsi="仿宋" w:eastAsia="仿宋" w:cs="仿宋"/>
        <w:b/>
        <w:bCs/>
        <w:spacing w:val="-12"/>
        <w:sz w:val="28"/>
        <w:szCs w:val="28"/>
      </w:rPr>
      <w:t>附件</w:t>
    </w:r>
    <w:r>
      <w:rPr>
        <w:rFonts w:ascii="仿宋" w:hAnsi="仿宋" w:eastAsia="仿宋" w:cs="仿宋"/>
        <w:spacing w:val="-66"/>
        <w:sz w:val="28"/>
        <w:szCs w:val="28"/>
      </w:rPr>
      <w:t xml:space="preserve"> </w:t>
    </w:r>
    <w:r>
      <w:rPr>
        <w:rFonts w:ascii="Times New Roman" w:hAnsi="Times New Roman" w:eastAsia="Times New Roman" w:cs="Times New Roman"/>
        <w:b/>
        <w:bCs/>
        <w:spacing w:val="-12"/>
        <w:sz w:val="28"/>
        <w:szCs w:val="28"/>
      </w:rPr>
      <w:t>3</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8B2F4A">
    <w:pPr>
      <w:spacing w:line="14" w:lineRule="auto"/>
      <w:rPr>
        <w:rFonts w:ascii="Arial"/>
        <w:sz w:val="2"/>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55C54A">
    <w:pPr>
      <w:spacing w:before="72" w:line="223" w:lineRule="auto"/>
      <w:ind w:left="44"/>
      <w:rPr>
        <w:rFonts w:ascii="Times New Roman" w:hAnsi="Times New Roman" w:eastAsia="Times New Roman" w:cs="Times New Roman"/>
        <w:sz w:val="28"/>
        <w:szCs w:val="28"/>
      </w:rPr>
    </w:pPr>
    <w:r>
      <w:rPr>
        <w:rFonts w:ascii="仿宋" w:hAnsi="仿宋" w:eastAsia="仿宋" w:cs="仿宋"/>
        <w:b/>
        <w:bCs/>
        <w:spacing w:val="-12"/>
        <w:sz w:val="28"/>
        <w:szCs w:val="28"/>
      </w:rPr>
      <w:t>附件</w:t>
    </w:r>
    <w:r>
      <w:rPr>
        <w:rFonts w:ascii="仿宋" w:hAnsi="仿宋" w:eastAsia="仿宋" w:cs="仿宋"/>
        <w:spacing w:val="-61"/>
        <w:sz w:val="28"/>
        <w:szCs w:val="28"/>
      </w:rPr>
      <w:t xml:space="preserve"> </w:t>
    </w:r>
    <w:r>
      <w:rPr>
        <w:rFonts w:ascii="Times New Roman" w:hAnsi="Times New Roman" w:eastAsia="Times New Roman" w:cs="Times New Roman"/>
        <w:b/>
        <w:bCs/>
        <w:spacing w:val="-12"/>
        <w:sz w:val="28"/>
        <w:szCs w:val="28"/>
      </w:rPr>
      <w:t>5</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9104BB">
    <w:pPr>
      <w:spacing w:line="14" w:lineRule="auto"/>
      <w:rPr>
        <w:rFonts w:ascii="Arial"/>
        <w:sz w:val="2"/>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77967A">
    <w:pPr>
      <w:spacing w:before="71" w:line="206" w:lineRule="auto"/>
      <w:ind w:left="44"/>
      <w:rPr>
        <w:rFonts w:ascii="Times New Roman" w:hAnsi="Times New Roman" w:eastAsia="Times New Roman" w:cs="Times New Roman"/>
        <w:sz w:val="28"/>
        <w:szCs w:val="28"/>
      </w:rPr>
    </w:pPr>
    <w:r>
      <w:rPr>
        <w:rFonts w:ascii="仿宋" w:hAnsi="仿宋" w:eastAsia="仿宋" w:cs="仿宋"/>
        <w:b/>
        <w:bCs/>
        <w:spacing w:val="-12"/>
        <w:sz w:val="28"/>
        <w:szCs w:val="28"/>
      </w:rPr>
      <w:t>附件</w:t>
    </w:r>
    <w:r>
      <w:rPr>
        <w:rFonts w:ascii="仿宋" w:hAnsi="仿宋" w:eastAsia="仿宋" w:cs="仿宋"/>
        <w:spacing w:val="-60"/>
        <w:sz w:val="28"/>
        <w:szCs w:val="28"/>
      </w:rPr>
      <w:t xml:space="preserve"> </w:t>
    </w:r>
    <w:r>
      <w:rPr>
        <w:rFonts w:ascii="Times New Roman" w:hAnsi="Times New Roman" w:eastAsia="Times New Roman" w:cs="Times New Roman"/>
        <w:b/>
        <w:bCs/>
        <w:spacing w:val="-12"/>
        <w:sz w:val="28"/>
        <w:szCs w:val="28"/>
      </w:rPr>
      <w:t>6</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EA48F5">
    <w:pPr>
      <w:spacing w:line="14" w:lineRule="auto"/>
      <w:rPr>
        <w:rFonts w:ascii="Arial"/>
        <w:sz w:val="2"/>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4862C2">
    <w:pPr>
      <w:spacing w:before="71" w:line="206" w:lineRule="auto"/>
      <w:ind w:left="44"/>
      <w:rPr>
        <w:rFonts w:ascii="Times New Roman" w:hAnsi="Times New Roman" w:eastAsia="Times New Roman" w:cs="Times New Roman"/>
        <w:sz w:val="28"/>
        <w:szCs w:val="28"/>
      </w:rPr>
    </w:pPr>
    <w:r>
      <w:rPr>
        <w:rFonts w:ascii="仿宋" w:hAnsi="仿宋" w:eastAsia="仿宋" w:cs="仿宋"/>
        <w:b/>
        <w:bCs/>
        <w:spacing w:val="-12"/>
        <w:sz w:val="28"/>
        <w:szCs w:val="28"/>
      </w:rPr>
      <w:t>附件</w:t>
    </w:r>
    <w:r>
      <w:rPr>
        <w:rFonts w:ascii="仿宋" w:hAnsi="仿宋" w:eastAsia="仿宋" w:cs="仿宋"/>
        <w:spacing w:val="-61"/>
        <w:sz w:val="28"/>
        <w:szCs w:val="28"/>
      </w:rPr>
      <w:t xml:space="preserve"> </w:t>
    </w:r>
    <w:r>
      <w:rPr>
        <w:rFonts w:ascii="Times New Roman" w:hAnsi="Times New Roman" w:eastAsia="Times New Roman" w:cs="Times New Roman"/>
        <w:b/>
        <w:bCs/>
        <w:spacing w:val="-12"/>
        <w:sz w:val="28"/>
        <w:szCs w:val="28"/>
      </w:rPr>
      <w:t>7</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805DA">
    <w:pPr>
      <w:spacing w:before="71" w:line="206" w:lineRule="auto"/>
      <w:ind w:left="44"/>
      <w:rPr>
        <w:rFonts w:ascii="Times New Roman" w:hAnsi="Times New Roman" w:eastAsia="Times New Roman" w:cs="Times New Roman"/>
        <w:sz w:val="28"/>
        <w:szCs w:val="28"/>
      </w:rPr>
    </w:pPr>
    <w:r>
      <w:rPr>
        <w:rFonts w:ascii="仿宋" w:hAnsi="仿宋" w:eastAsia="仿宋" w:cs="仿宋"/>
        <w:b/>
        <w:bCs/>
        <w:spacing w:val="-12"/>
        <w:sz w:val="28"/>
        <w:szCs w:val="28"/>
      </w:rPr>
      <w:t>附件</w:t>
    </w:r>
    <w:r>
      <w:rPr>
        <w:rFonts w:ascii="仿宋" w:hAnsi="仿宋" w:eastAsia="仿宋" w:cs="仿宋"/>
        <w:spacing w:val="-61"/>
        <w:sz w:val="28"/>
        <w:szCs w:val="28"/>
      </w:rPr>
      <w:t xml:space="preserve"> </w:t>
    </w:r>
    <w:r>
      <w:rPr>
        <w:rFonts w:ascii="Times New Roman" w:hAnsi="Times New Roman" w:eastAsia="Times New Roman" w:cs="Times New Roman"/>
        <w:b/>
        <w:bCs/>
        <w:spacing w:val="-12"/>
        <w:sz w:val="28"/>
        <w:szCs w:val="28"/>
      </w:rPr>
      <w:t>8</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686854">
    <w:pPr>
      <w:spacing w:line="14" w:lineRule="auto"/>
      <w:rPr>
        <w:rFonts w:ascii="Arial"/>
        <w:sz w:val="2"/>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EFB2B">
    <w:pPr>
      <w:pStyle w:val="2"/>
      <w:spacing w:line="14" w:lineRule="auto"/>
    </w:pPr>
    <w:r>
      <w:drawing>
        <wp:anchor distT="0" distB="0" distL="0" distR="0" simplePos="0" relativeHeight="251662336" behindDoc="0" locked="0" layoutInCell="0" allowOverlap="1">
          <wp:simplePos x="0" y="0"/>
          <wp:positionH relativeFrom="page">
            <wp:posOffset>8255</wp:posOffset>
          </wp:positionH>
          <wp:positionV relativeFrom="page">
            <wp:posOffset>15875</wp:posOffset>
          </wp:positionV>
          <wp:extent cx="7537450" cy="10659110"/>
          <wp:effectExtent l="0" t="0" r="0" b="0"/>
          <wp:wrapNone/>
          <wp:docPr id="128" name="IM 128"/>
          <wp:cNvGraphicFramePr/>
          <a:graphic xmlns:a="http://schemas.openxmlformats.org/drawingml/2006/main">
            <a:graphicData uri="http://schemas.openxmlformats.org/drawingml/2006/picture">
              <pic:pic xmlns:pic="http://schemas.openxmlformats.org/drawingml/2006/picture">
                <pic:nvPicPr>
                  <pic:cNvPr id="128" name="IM 128"/>
                  <pic:cNvPicPr/>
                </pic:nvPicPr>
                <pic:blipFill>
                  <a:blip r:embed="rId1"/>
                  <a:stretch>
                    <a:fillRect/>
                  </a:stretch>
                </pic:blipFill>
                <pic:spPr>
                  <a:xfrm>
                    <a:off x="0" y="0"/>
                    <a:ext cx="7537450" cy="10659109"/>
                  </a:xfrm>
                  <a:prstGeom prst="rect">
                    <a:avLst/>
                  </a:prstGeom>
                </pic:spPr>
              </pic:pic>
            </a:graphicData>
          </a:graphic>
        </wp:anchor>
      </w:drawing>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B1A283">
    <w:pPr>
      <w:spacing w:line="14" w:lineRule="auto"/>
      <w:rPr>
        <w:rFonts w:ascii="Arial"/>
        <w:sz w:val="2"/>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D7682C">
    <w:pPr>
      <w:pStyle w:val="2"/>
      <w:spacing w:line="14" w:lineRule="auto"/>
    </w:pPr>
    <w:r>
      <w:pict>
        <v:shape id="WordPictureWatermark168" o:spid="_x0000_s2050" o:spt="75" type="#_x0000_t75" style="position:absolute;left:0pt;margin-left:90.95pt;margin-top:91.55pt;height:356.4pt;width:658.95pt;mso-position-horizontal-relative:page;mso-position-vertical-relative:page;z-index:-251650048;mso-width-relative:page;mso-height-relative:page;" filled="f" stroked="f" coordsize="21600,21600" o:allowincell="f">
          <v:path/>
          <v:fill on="f" focussize="0,0"/>
          <v:stroke on="f"/>
          <v:imagedata r:id="rId1" o:title=""/>
          <o:lock v:ext="edit" aspectratio="t"/>
        </v:shape>
      </w:pic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1C9611">
    <w:pPr>
      <w:pStyle w:val="2"/>
      <w:spacing w:line="14" w:lineRule="auto"/>
    </w:pPr>
    <w:r>
      <w:pict>
        <v:shape id="WordPictureWatermark170" o:spid="_x0000_s2051" o:spt="75" type="#_x0000_t75" style="position:absolute;left:0pt;margin-left:121.65pt;margin-top:91.55pt;height:375.85pt;width:597.6pt;mso-position-horizontal-relative:page;mso-position-vertical-relative:page;z-index:-251649024;mso-width-relative:page;mso-height-relative:page;" filled="f" stroked="f" coordsize="21600,21600" o:allowincell="f">
          <v:path/>
          <v:fill on="f" focussize="0,0"/>
          <v:stroke on="f"/>
          <v:imagedata r:id="rId1" o:title=""/>
          <o:lock v:ext="edit" aspectratio="t"/>
        </v:shape>
      </w:pic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6CC01">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hdrShapeDefaults>
    <o:shapelayout v:ext="edit">
      <o:idmap v:ext="edit" data="2"/>
    </o:shapelayout>
  </w:hdrShapeDefault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E2A410D"/>
    <w:rsid w:val="1362773F"/>
    <w:rsid w:val="1EB3600A"/>
    <w:rsid w:val="282D0145"/>
    <w:rsid w:val="2F23388C"/>
    <w:rsid w:val="2F650580"/>
    <w:rsid w:val="7D95328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
      <w:szCs w:val="2"/>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Times New Roman" w:hAnsi="Times New Roman" w:eastAsia="Times New Roman" w:cs="Times New Roman"/>
      <w:sz w:val="18"/>
      <w:szCs w:val="18"/>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footer" Target="footer92.xml"/><Relationship Id="rId98" Type="http://schemas.openxmlformats.org/officeDocument/2006/relationships/footer" Target="footer91.xml"/><Relationship Id="rId97" Type="http://schemas.openxmlformats.org/officeDocument/2006/relationships/footer" Target="footer90.xml"/><Relationship Id="rId96" Type="http://schemas.openxmlformats.org/officeDocument/2006/relationships/footer" Target="footer89.xml"/><Relationship Id="rId95" Type="http://schemas.openxmlformats.org/officeDocument/2006/relationships/footer" Target="footer88.xml"/><Relationship Id="rId94" Type="http://schemas.openxmlformats.org/officeDocument/2006/relationships/footer" Target="footer87.xml"/><Relationship Id="rId93" Type="http://schemas.openxmlformats.org/officeDocument/2006/relationships/footer" Target="footer86.xml"/><Relationship Id="rId92" Type="http://schemas.openxmlformats.org/officeDocument/2006/relationships/footer" Target="footer85.xml"/><Relationship Id="rId91" Type="http://schemas.openxmlformats.org/officeDocument/2006/relationships/footer" Target="footer84.xml"/><Relationship Id="rId90" Type="http://schemas.openxmlformats.org/officeDocument/2006/relationships/footer" Target="footer83.xml"/><Relationship Id="rId9" Type="http://schemas.openxmlformats.org/officeDocument/2006/relationships/footer" Target="footer4.xml"/><Relationship Id="rId89" Type="http://schemas.openxmlformats.org/officeDocument/2006/relationships/footer" Target="footer82.xml"/><Relationship Id="rId88" Type="http://schemas.openxmlformats.org/officeDocument/2006/relationships/footer" Target="footer81.xml"/><Relationship Id="rId87" Type="http://schemas.openxmlformats.org/officeDocument/2006/relationships/footer" Target="footer80.xml"/><Relationship Id="rId86" Type="http://schemas.openxmlformats.org/officeDocument/2006/relationships/footer" Target="footer79.xml"/><Relationship Id="rId85" Type="http://schemas.openxmlformats.org/officeDocument/2006/relationships/footer" Target="footer78.xml"/><Relationship Id="rId84" Type="http://schemas.openxmlformats.org/officeDocument/2006/relationships/footer" Target="footer77.xml"/><Relationship Id="rId83" Type="http://schemas.openxmlformats.org/officeDocument/2006/relationships/footer" Target="footer76.xml"/><Relationship Id="rId82" Type="http://schemas.openxmlformats.org/officeDocument/2006/relationships/footer" Target="footer75.xml"/><Relationship Id="rId81" Type="http://schemas.openxmlformats.org/officeDocument/2006/relationships/footer" Target="footer74.xml"/><Relationship Id="rId80" Type="http://schemas.openxmlformats.org/officeDocument/2006/relationships/footer" Target="footer73.xml"/><Relationship Id="rId8" Type="http://schemas.openxmlformats.org/officeDocument/2006/relationships/footer" Target="footer3.xml"/><Relationship Id="rId79" Type="http://schemas.openxmlformats.org/officeDocument/2006/relationships/footer" Target="footer72.xml"/><Relationship Id="rId78" Type="http://schemas.openxmlformats.org/officeDocument/2006/relationships/footer" Target="footer71.xml"/><Relationship Id="rId77" Type="http://schemas.openxmlformats.org/officeDocument/2006/relationships/footer" Target="footer70.xml"/><Relationship Id="rId76" Type="http://schemas.openxmlformats.org/officeDocument/2006/relationships/footer" Target="footer69.xml"/><Relationship Id="rId75" Type="http://schemas.openxmlformats.org/officeDocument/2006/relationships/footer" Target="footer68.xml"/><Relationship Id="rId74" Type="http://schemas.openxmlformats.org/officeDocument/2006/relationships/footer" Target="footer67.xml"/><Relationship Id="rId73" Type="http://schemas.openxmlformats.org/officeDocument/2006/relationships/footer" Target="footer66.xml"/><Relationship Id="rId72" Type="http://schemas.openxmlformats.org/officeDocument/2006/relationships/footer" Target="footer65.xml"/><Relationship Id="rId71" Type="http://schemas.openxmlformats.org/officeDocument/2006/relationships/footer" Target="footer64.xml"/><Relationship Id="rId70" Type="http://schemas.openxmlformats.org/officeDocument/2006/relationships/footer" Target="footer63.xml"/><Relationship Id="rId7" Type="http://schemas.openxmlformats.org/officeDocument/2006/relationships/footer" Target="footer2.xml"/><Relationship Id="rId69" Type="http://schemas.openxmlformats.org/officeDocument/2006/relationships/footer" Target="footer62.xml"/><Relationship Id="rId68" Type="http://schemas.openxmlformats.org/officeDocument/2006/relationships/footer" Target="footer61.xml"/><Relationship Id="rId67" Type="http://schemas.openxmlformats.org/officeDocument/2006/relationships/footer" Target="footer60.xml"/><Relationship Id="rId66" Type="http://schemas.openxmlformats.org/officeDocument/2006/relationships/footer" Target="footer59.xml"/><Relationship Id="rId65" Type="http://schemas.openxmlformats.org/officeDocument/2006/relationships/footer" Target="footer58.xml"/><Relationship Id="rId64" Type="http://schemas.openxmlformats.org/officeDocument/2006/relationships/footer" Target="footer57.xml"/><Relationship Id="rId63" Type="http://schemas.openxmlformats.org/officeDocument/2006/relationships/footer" Target="footer56.xml"/><Relationship Id="rId62" Type="http://schemas.openxmlformats.org/officeDocument/2006/relationships/footer" Target="footer55.xml"/><Relationship Id="rId61" Type="http://schemas.openxmlformats.org/officeDocument/2006/relationships/footer" Target="footer54.xml"/><Relationship Id="rId60" Type="http://schemas.openxmlformats.org/officeDocument/2006/relationships/footer" Target="footer53.xml"/><Relationship Id="rId6" Type="http://schemas.openxmlformats.org/officeDocument/2006/relationships/footer" Target="footer1.xml"/><Relationship Id="rId59" Type="http://schemas.openxmlformats.org/officeDocument/2006/relationships/footer" Target="footer52.xml"/><Relationship Id="rId58" Type="http://schemas.openxmlformats.org/officeDocument/2006/relationships/footer" Target="footer51.xml"/><Relationship Id="rId57" Type="http://schemas.openxmlformats.org/officeDocument/2006/relationships/footer" Target="footer50.xml"/><Relationship Id="rId56" Type="http://schemas.openxmlformats.org/officeDocument/2006/relationships/footer" Target="footer49.xml"/><Relationship Id="rId55" Type="http://schemas.openxmlformats.org/officeDocument/2006/relationships/footer" Target="footer48.xml"/><Relationship Id="rId54" Type="http://schemas.openxmlformats.org/officeDocument/2006/relationships/footer" Target="footer47.xml"/><Relationship Id="rId53" Type="http://schemas.openxmlformats.org/officeDocument/2006/relationships/footer" Target="footer46.xml"/><Relationship Id="rId52" Type="http://schemas.openxmlformats.org/officeDocument/2006/relationships/footer" Target="footer45.xml"/><Relationship Id="rId51" Type="http://schemas.openxmlformats.org/officeDocument/2006/relationships/footer" Target="footer44.xml"/><Relationship Id="rId50" Type="http://schemas.openxmlformats.org/officeDocument/2006/relationships/footer" Target="footer43.xml"/><Relationship Id="rId5" Type="http://schemas.openxmlformats.org/officeDocument/2006/relationships/header" Target="header1.xml"/><Relationship Id="rId49" Type="http://schemas.openxmlformats.org/officeDocument/2006/relationships/footer" Target="footer42.xml"/><Relationship Id="rId48" Type="http://schemas.openxmlformats.org/officeDocument/2006/relationships/footer" Target="footer41.xml"/><Relationship Id="rId47" Type="http://schemas.openxmlformats.org/officeDocument/2006/relationships/footer" Target="footer40.xml"/><Relationship Id="rId46" Type="http://schemas.openxmlformats.org/officeDocument/2006/relationships/footer" Target="footer39.xml"/><Relationship Id="rId45" Type="http://schemas.openxmlformats.org/officeDocument/2006/relationships/footer" Target="footer38.xml"/><Relationship Id="rId441" Type="http://schemas.openxmlformats.org/officeDocument/2006/relationships/fontTable" Target="fontTable.xml"/><Relationship Id="rId440" Type="http://schemas.openxmlformats.org/officeDocument/2006/relationships/customXml" Target="../customXml/item1.xml"/><Relationship Id="rId44" Type="http://schemas.openxmlformats.org/officeDocument/2006/relationships/footer" Target="footer37.xml"/><Relationship Id="rId439" Type="http://schemas.openxmlformats.org/officeDocument/2006/relationships/image" Target="media/image167.jpeg"/><Relationship Id="rId438" Type="http://schemas.openxmlformats.org/officeDocument/2006/relationships/image" Target="media/image166.jpeg"/><Relationship Id="rId437" Type="http://schemas.openxmlformats.org/officeDocument/2006/relationships/image" Target="media/image165.jpeg"/><Relationship Id="rId436" Type="http://schemas.openxmlformats.org/officeDocument/2006/relationships/image" Target="media/image164.jpeg"/><Relationship Id="rId435" Type="http://schemas.openxmlformats.org/officeDocument/2006/relationships/image" Target="media/image163.jpeg"/><Relationship Id="rId434" Type="http://schemas.openxmlformats.org/officeDocument/2006/relationships/image" Target="media/image162.jpeg"/><Relationship Id="rId433" Type="http://schemas.openxmlformats.org/officeDocument/2006/relationships/image" Target="media/image161.jpeg"/><Relationship Id="rId432" Type="http://schemas.openxmlformats.org/officeDocument/2006/relationships/image" Target="media/image160.jpeg"/><Relationship Id="rId431" Type="http://schemas.openxmlformats.org/officeDocument/2006/relationships/image" Target="media/image159.jpeg"/><Relationship Id="rId430" Type="http://schemas.openxmlformats.org/officeDocument/2006/relationships/image" Target="media/image158.png"/><Relationship Id="rId43" Type="http://schemas.openxmlformats.org/officeDocument/2006/relationships/footer" Target="footer36.xml"/><Relationship Id="rId429" Type="http://schemas.openxmlformats.org/officeDocument/2006/relationships/image" Target="media/image157.png"/><Relationship Id="rId428" Type="http://schemas.openxmlformats.org/officeDocument/2006/relationships/image" Target="media/image156.jpeg"/><Relationship Id="rId427" Type="http://schemas.openxmlformats.org/officeDocument/2006/relationships/image" Target="media/image155.jpeg"/><Relationship Id="rId426" Type="http://schemas.openxmlformats.org/officeDocument/2006/relationships/image" Target="media/image154.jpeg"/><Relationship Id="rId425" Type="http://schemas.openxmlformats.org/officeDocument/2006/relationships/image" Target="media/image153.jpeg"/><Relationship Id="rId424" Type="http://schemas.openxmlformats.org/officeDocument/2006/relationships/image" Target="media/image152.jpeg"/><Relationship Id="rId423" Type="http://schemas.openxmlformats.org/officeDocument/2006/relationships/image" Target="media/image151.jpeg"/><Relationship Id="rId422" Type="http://schemas.openxmlformats.org/officeDocument/2006/relationships/image" Target="media/image150.jpeg"/><Relationship Id="rId421" Type="http://schemas.openxmlformats.org/officeDocument/2006/relationships/image" Target="media/image149.jpeg"/><Relationship Id="rId420" Type="http://schemas.openxmlformats.org/officeDocument/2006/relationships/image" Target="media/image148.jpeg"/><Relationship Id="rId42" Type="http://schemas.openxmlformats.org/officeDocument/2006/relationships/footer" Target="footer35.xml"/><Relationship Id="rId419" Type="http://schemas.openxmlformats.org/officeDocument/2006/relationships/image" Target="media/image147.jpeg"/><Relationship Id="rId418" Type="http://schemas.openxmlformats.org/officeDocument/2006/relationships/image" Target="media/image146.jpeg"/><Relationship Id="rId417" Type="http://schemas.openxmlformats.org/officeDocument/2006/relationships/image" Target="media/image145.jpeg"/><Relationship Id="rId416" Type="http://schemas.openxmlformats.org/officeDocument/2006/relationships/image" Target="media/image144.jpeg"/><Relationship Id="rId415" Type="http://schemas.openxmlformats.org/officeDocument/2006/relationships/image" Target="media/image143.jpeg"/><Relationship Id="rId414" Type="http://schemas.openxmlformats.org/officeDocument/2006/relationships/image" Target="media/image142.jpeg"/><Relationship Id="rId413" Type="http://schemas.openxmlformats.org/officeDocument/2006/relationships/image" Target="media/image141.jpeg"/><Relationship Id="rId412" Type="http://schemas.openxmlformats.org/officeDocument/2006/relationships/image" Target="media/image140.jpeg"/><Relationship Id="rId411" Type="http://schemas.openxmlformats.org/officeDocument/2006/relationships/image" Target="media/image139.jpeg"/><Relationship Id="rId410" Type="http://schemas.openxmlformats.org/officeDocument/2006/relationships/image" Target="media/image138.jpeg"/><Relationship Id="rId41" Type="http://schemas.openxmlformats.org/officeDocument/2006/relationships/footer" Target="footer34.xml"/><Relationship Id="rId409" Type="http://schemas.openxmlformats.org/officeDocument/2006/relationships/image" Target="media/image137.png"/><Relationship Id="rId408" Type="http://schemas.openxmlformats.org/officeDocument/2006/relationships/image" Target="media/image136.jpeg"/><Relationship Id="rId407" Type="http://schemas.openxmlformats.org/officeDocument/2006/relationships/image" Target="media/image135.png"/><Relationship Id="rId406" Type="http://schemas.openxmlformats.org/officeDocument/2006/relationships/image" Target="media/image134.jpeg"/><Relationship Id="rId405" Type="http://schemas.openxmlformats.org/officeDocument/2006/relationships/image" Target="media/image133.png"/><Relationship Id="rId404" Type="http://schemas.openxmlformats.org/officeDocument/2006/relationships/image" Target="media/image132.png"/><Relationship Id="rId403" Type="http://schemas.openxmlformats.org/officeDocument/2006/relationships/image" Target="media/image131.png"/><Relationship Id="rId402" Type="http://schemas.openxmlformats.org/officeDocument/2006/relationships/image" Target="media/image130.png"/><Relationship Id="rId401" Type="http://schemas.openxmlformats.org/officeDocument/2006/relationships/image" Target="media/image129.png"/><Relationship Id="rId400" Type="http://schemas.openxmlformats.org/officeDocument/2006/relationships/image" Target="media/image128.png"/><Relationship Id="rId40" Type="http://schemas.openxmlformats.org/officeDocument/2006/relationships/header" Target="header3.xml"/><Relationship Id="rId4" Type="http://schemas.openxmlformats.org/officeDocument/2006/relationships/endnotes" Target="endnotes.xml"/><Relationship Id="rId399" Type="http://schemas.openxmlformats.org/officeDocument/2006/relationships/image" Target="media/image127.jpeg"/><Relationship Id="rId398" Type="http://schemas.openxmlformats.org/officeDocument/2006/relationships/image" Target="media/image126.jpeg"/><Relationship Id="rId397" Type="http://schemas.openxmlformats.org/officeDocument/2006/relationships/image" Target="media/image125.jpeg"/><Relationship Id="rId396" Type="http://schemas.openxmlformats.org/officeDocument/2006/relationships/image" Target="media/image124.jpeg"/><Relationship Id="rId395" Type="http://schemas.openxmlformats.org/officeDocument/2006/relationships/image" Target="media/image123.jpeg"/><Relationship Id="rId394" Type="http://schemas.openxmlformats.org/officeDocument/2006/relationships/image" Target="media/image122.jpeg"/><Relationship Id="rId393" Type="http://schemas.openxmlformats.org/officeDocument/2006/relationships/image" Target="media/image121.png"/><Relationship Id="rId392" Type="http://schemas.openxmlformats.org/officeDocument/2006/relationships/image" Target="media/image120.png"/><Relationship Id="rId391" Type="http://schemas.openxmlformats.org/officeDocument/2006/relationships/image" Target="media/image119.png"/><Relationship Id="rId390" Type="http://schemas.openxmlformats.org/officeDocument/2006/relationships/image" Target="media/image118.png"/><Relationship Id="rId39" Type="http://schemas.openxmlformats.org/officeDocument/2006/relationships/footer" Target="footer33.xml"/><Relationship Id="rId389" Type="http://schemas.openxmlformats.org/officeDocument/2006/relationships/image" Target="media/image117.png"/><Relationship Id="rId388" Type="http://schemas.openxmlformats.org/officeDocument/2006/relationships/image" Target="media/image116.png"/><Relationship Id="rId387" Type="http://schemas.openxmlformats.org/officeDocument/2006/relationships/image" Target="media/image115.png"/><Relationship Id="rId386" Type="http://schemas.openxmlformats.org/officeDocument/2006/relationships/image" Target="media/image114.png"/><Relationship Id="rId385" Type="http://schemas.openxmlformats.org/officeDocument/2006/relationships/image" Target="media/image113.png"/><Relationship Id="rId384" Type="http://schemas.openxmlformats.org/officeDocument/2006/relationships/image" Target="media/image112.png"/><Relationship Id="rId383" Type="http://schemas.openxmlformats.org/officeDocument/2006/relationships/image" Target="media/image111.png"/><Relationship Id="rId382" Type="http://schemas.openxmlformats.org/officeDocument/2006/relationships/image" Target="media/image110.png"/><Relationship Id="rId381" Type="http://schemas.openxmlformats.org/officeDocument/2006/relationships/image" Target="media/image109.jpeg"/><Relationship Id="rId380" Type="http://schemas.openxmlformats.org/officeDocument/2006/relationships/image" Target="media/image108.png"/><Relationship Id="rId38" Type="http://schemas.openxmlformats.org/officeDocument/2006/relationships/header" Target="header2.xml"/><Relationship Id="rId379" Type="http://schemas.openxmlformats.org/officeDocument/2006/relationships/image" Target="media/image107.png"/><Relationship Id="rId378" Type="http://schemas.openxmlformats.org/officeDocument/2006/relationships/image" Target="media/image106.png"/><Relationship Id="rId377" Type="http://schemas.openxmlformats.org/officeDocument/2006/relationships/image" Target="media/image105.png"/><Relationship Id="rId376" Type="http://schemas.openxmlformats.org/officeDocument/2006/relationships/image" Target="media/image104.png"/><Relationship Id="rId375" Type="http://schemas.openxmlformats.org/officeDocument/2006/relationships/image" Target="media/image103.png"/><Relationship Id="rId374" Type="http://schemas.openxmlformats.org/officeDocument/2006/relationships/image" Target="media/image102.png"/><Relationship Id="rId373" Type="http://schemas.openxmlformats.org/officeDocument/2006/relationships/image" Target="media/image101.png"/><Relationship Id="rId372" Type="http://schemas.openxmlformats.org/officeDocument/2006/relationships/image" Target="media/image100.jpeg"/><Relationship Id="rId371" Type="http://schemas.openxmlformats.org/officeDocument/2006/relationships/image" Target="media/image99.png"/><Relationship Id="rId370" Type="http://schemas.openxmlformats.org/officeDocument/2006/relationships/image" Target="media/image98.jpeg"/><Relationship Id="rId37" Type="http://schemas.openxmlformats.org/officeDocument/2006/relationships/footer" Target="footer32.xml"/><Relationship Id="rId369" Type="http://schemas.openxmlformats.org/officeDocument/2006/relationships/image" Target="media/image97.png"/><Relationship Id="rId368" Type="http://schemas.openxmlformats.org/officeDocument/2006/relationships/image" Target="media/image96.png"/><Relationship Id="rId367" Type="http://schemas.openxmlformats.org/officeDocument/2006/relationships/image" Target="media/image95.png"/><Relationship Id="rId366" Type="http://schemas.openxmlformats.org/officeDocument/2006/relationships/image" Target="media/image94.png"/><Relationship Id="rId365" Type="http://schemas.openxmlformats.org/officeDocument/2006/relationships/image" Target="media/image93.jpeg"/><Relationship Id="rId364" Type="http://schemas.openxmlformats.org/officeDocument/2006/relationships/image" Target="media/image92.jpeg"/><Relationship Id="rId363" Type="http://schemas.openxmlformats.org/officeDocument/2006/relationships/image" Target="media/image91.jpeg"/><Relationship Id="rId362" Type="http://schemas.openxmlformats.org/officeDocument/2006/relationships/image" Target="media/image90.jpeg"/><Relationship Id="rId361" Type="http://schemas.openxmlformats.org/officeDocument/2006/relationships/image" Target="media/image89.jpeg"/><Relationship Id="rId360" Type="http://schemas.openxmlformats.org/officeDocument/2006/relationships/image" Target="media/image88.jpeg"/><Relationship Id="rId36" Type="http://schemas.openxmlformats.org/officeDocument/2006/relationships/footer" Target="footer31.xml"/><Relationship Id="rId359" Type="http://schemas.openxmlformats.org/officeDocument/2006/relationships/image" Target="media/image87.jpeg"/><Relationship Id="rId358" Type="http://schemas.openxmlformats.org/officeDocument/2006/relationships/image" Target="media/image86.jpeg"/><Relationship Id="rId357" Type="http://schemas.openxmlformats.org/officeDocument/2006/relationships/image" Target="media/image85.jpeg"/><Relationship Id="rId356" Type="http://schemas.openxmlformats.org/officeDocument/2006/relationships/image" Target="media/image84.jpeg"/><Relationship Id="rId355" Type="http://schemas.openxmlformats.org/officeDocument/2006/relationships/image" Target="media/image83.jpeg"/><Relationship Id="rId354" Type="http://schemas.openxmlformats.org/officeDocument/2006/relationships/image" Target="media/image82.jpeg"/><Relationship Id="rId353" Type="http://schemas.openxmlformats.org/officeDocument/2006/relationships/image" Target="media/image81.jpeg"/><Relationship Id="rId352" Type="http://schemas.openxmlformats.org/officeDocument/2006/relationships/image" Target="media/image80.jpeg"/><Relationship Id="rId351" Type="http://schemas.openxmlformats.org/officeDocument/2006/relationships/image" Target="media/image79.jpeg"/><Relationship Id="rId350" Type="http://schemas.openxmlformats.org/officeDocument/2006/relationships/image" Target="media/image78.jpeg"/><Relationship Id="rId35" Type="http://schemas.openxmlformats.org/officeDocument/2006/relationships/footer" Target="footer30.xml"/><Relationship Id="rId349" Type="http://schemas.openxmlformats.org/officeDocument/2006/relationships/image" Target="media/image77.jpeg"/><Relationship Id="rId348" Type="http://schemas.openxmlformats.org/officeDocument/2006/relationships/image" Target="media/image76.jpeg"/><Relationship Id="rId347" Type="http://schemas.openxmlformats.org/officeDocument/2006/relationships/image" Target="media/image75.jpeg"/><Relationship Id="rId346" Type="http://schemas.openxmlformats.org/officeDocument/2006/relationships/image" Target="media/image74.jpeg"/><Relationship Id="rId345" Type="http://schemas.openxmlformats.org/officeDocument/2006/relationships/image" Target="media/image73.jpeg"/><Relationship Id="rId344" Type="http://schemas.openxmlformats.org/officeDocument/2006/relationships/image" Target="media/image72.jpeg"/><Relationship Id="rId343" Type="http://schemas.openxmlformats.org/officeDocument/2006/relationships/image" Target="media/image71.jpeg"/><Relationship Id="rId342" Type="http://schemas.openxmlformats.org/officeDocument/2006/relationships/image" Target="media/image70.jpeg"/><Relationship Id="rId341" Type="http://schemas.openxmlformats.org/officeDocument/2006/relationships/image" Target="media/image69.jpeg"/><Relationship Id="rId340" Type="http://schemas.openxmlformats.org/officeDocument/2006/relationships/image" Target="media/image68.jpeg"/><Relationship Id="rId34" Type="http://schemas.openxmlformats.org/officeDocument/2006/relationships/footer" Target="footer29.xml"/><Relationship Id="rId339" Type="http://schemas.openxmlformats.org/officeDocument/2006/relationships/image" Target="media/image67.jpeg"/><Relationship Id="rId338" Type="http://schemas.openxmlformats.org/officeDocument/2006/relationships/image" Target="media/image66.jpeg"/><Relationship Id="rId337" Type="http://schemas.openxmlformats.org/officeDocument/2006/relationships/image" Target="media/image65.jpeg"/><Relationship Id="rId336" Type="http://schemas.openxmlformats.org/officeDocument/2006/relationships/image" Target="media/image64.jpeg"/><Relationship Id="rId335" Type="http://schemas.openxmlformats.org/officeDocument/2006/relationships/image" Target="media/image63.jpeg"/><Relationship Id="rId334" Type="http://schemas.openxmlformats.org/officeDocument/2006/relationships/image" Target="media/image62.jpeg"/><Relationship Id="rId333" Type="http://schemas.openxmlformats.org/officeDocument/2006/relationships/image" Target="media/image61.jpeg"/><Relationship Id="rId332" Type="http://schemas.openxmlformats.org/officeDocument/2006/relationships/image" Target="media/image60.jpeg"/><Relationship Id="rId331" Type="http://schemas.openxmlformats.org/officeDocument/2006/relationships/image" Target="media/image59.jpeg"/><Relationship Id="rId330" Type="http://schemas.openxmlformats.org/officeDocument/2006/relationships/image" Target="media/image58.jpeg"/><Relationship Id="rId33" Type="http://schemas.openxmlformats.org/officeDocument/2006/relationships/footer" Target="footer28.xml"/><Relationship Id="rId329" Type="http://schemas.openxmlformats.org/officeDocument/2006/relationships/image" Target="media/image57.jpeg"/><Relationship Id="rId328" Type="http://schemas.openxmlformats.org/officeDocument/2006/relationships/image" Target="media/image56.jpeg"/><Relationship Id="rId327" Type="http://schemas.openxmlformats.org/officeDocument/2006/relationships/image" Target="media/image55.jpeg"/><Relationship Id="rId326" Type="http://schemas.openxmlformats.org/officeDocument/2006/relationships/image" Target="media/image54.jpeg"/><Relationship Id="rId325" Type="http://schemas.openxmlformats.org/officeDocument/2006/relationships/image" Target="media/image53.jpeg"/><Relationship Id="rId324" Type="http://schemas.openxmlformats.org/officeDocument/2006/relationships/image" Target="media/image52.jpeg"/><Relationship Id="rId323" Type="http://schemas.openxmlformats.org/officeDocument/2006/relationships/image" Target="media/image51.jpeg"/><Relationship Id="rId322" Type="http://schemas.openxmlformats.org/officeDocument/2006/relationships/image" Target="media/image50.jpeg"/><Relationship Id="rId321" Type="http://schemas.openxmlformats.org/officeDocument/2006/relationships/image" Target="media/image49.jpeg"/><Relationship Id="rId320" Type="http://schemas.openxmlformats.org/officeDocument/2006/relationships/image" Target="media/image48.png"/><Relationship Id="rId32" Type="http://schemas.openxmlformats.org/officeDocument/2006/relationships/footer" Target="footer27.xml"/><Relationship Id="rId319" Type="http://schemas.openxmlformats.org/officeDocument/2006/relationships/image" Target="media/image5.jpeg"/><Relationship Id="rId318" Type="http://schemas.openxmlformats.org/officeDocument/2006/relationships/image" Target="media/image47.jpeg"/><Relationship Id="rId317" Type="http://schemas.openxmlformats.org/officeDocument/2006/relationships/image" Target="media/image46.jpeg"/><Relationship Id="rId316" Type="http://schemas.openxmlformats.org/officeDocument/2006/relationships/image" Target="media/image45.jpeg"/><Relationship Id="rId315" Type="http://schemas.openxmlformats.org/officeDocument/2006/relationships/image" Target="media/image44.jpeg"/><Relationship Id="rId314" Type="http://schemas.openxmlformats.org/officeDocument/2006/relationships/image" Target="media/image43.jpeg"/><Relationship Id="rId313" Type="http://schemas.openxmlformats.org/officeDocument/2006/relationships/image" Target="media/image42.jpeg"/><Relationship Id="rId312" Type="http://schemas.openxmlformats.org/officeDocument/2006/relationships/image" Target="media/image41.jpeg"/><Relationship Id="rId311" Type="http://schemas.openxmlformats.org/officeDocument/2006/relationships/image" Target="media/image40.jpeg"/><Relationship Id="rId310" Type="http://schemas.openxmlformats.org/officeDocument/2006/relationships/image" Target="media/image39.jpeg"/><Relationship Id="rId31" Type="http://schemas.openxmlformats.org/officeDocument/2006/relationships/footer" Target="footer26.xml"/><Relationship Id="rId309" Type="http://schemas.openxmlformats.org/officeDocument/2006/relationships/image" Target="media/image38.jpeg"/><Relationship Id="rId308" Type="http://schemas.openxmlformats.org/officeDocument/2006/relationships/image" Target="media/image37.jpeg"/><Relationship Id="rId307" Type="http://schemas.openxmlformats.org/officeDocument/2006/relationships/image" Target="media/image36.jpeg"/><Relationship Id="rId306" Type="http://schemas.openxmlformats.org/officeDocument/2006/relationships/image" Target="media/image35.jpeg"/><Relationship Id="rId305" Type="http://schemas.openxmlformats.org/officeDocument/2006/relationships/image" Target="media/image34.jpeg"/><Relationship Id="rId304" Type="http://schemas.openxmlformats.org/officeDocument/2006/relationships/image" Target="media/image33.jpeg"/><Relationship Id="rId303" Type="http://schemas.openxmlformats.org/officeDocument/2006/relationships/image" Target="media/image32.jpeg"/><Relationship Id="rId302" Type="http://schemas.openxmlformats.org/officeDocument/2006/relationships/image" Target="media/image31.jpeg"/><Relationship Id="rId301" Type="http://schemas.openxmlformats.org/officeDocument/2006/relationships/image" Target="media/image30.jpeg"/><Relationship Id="rId300" Type="http://schemas.openxmlformats.org/officeDocument/2006/relationships/image" Target="media/image29.png"/><Relationship Id="rId30" Type="http://schemas.openxmlformats.org/officeDocument/2006/relationships/footer" Target="footer25.xml"/><Relationship Id="rId3" Type="http://schemas.openxmlformats.org/officeDocument/2006/relationships/footnotes" Target="footnotes.xml"/><Relationship Id="rId299" Type="http://schemas.openxmlformats.org/officeDocument/2006/relationships/image" Target="media/image28.jpeg"/><Relationship Id="rId298" Type="http://schemas.openxmlformats.org/officeDocument/2006/relationships/image" Target="media/image27.png"/><Relationship Id="rId297" Type="http://schemas.openxmlformats.org/officeDocument/2006/relationships/image" Target="media/image26.jpeg"/><Relationship Id="rId296" Type="http://schemas.openxmlformats.org/officeDocument/2006/relationships/image" Target="media/image25.png"/><Relationship Id="rId295" Type="http://schemas.openxmlformats.org/officeDocument/2006/relationships/image" Target="media/image24.jpeg"/><Relationship Id="rId294" Type="http://schemas.openxmlformats.org/officeDocument/2006/relationships/image" Target="media/image23.jpeg"/><Relationship Id="rId293" Type="http://schemas.openxmlformats.org/officeDocument/2006/relationships/image" Target="media/image22.jpeg"/><Relationship Id="rId292" Type="http://schemas.openxmlformats.org/officeDocument/2006/relationships/image" Target="media/image21.jpeg"/><Relationship Id="rId291" Type="http://schemas.openxmlformats.org/officeDocument/2006/relationships/image" Target="media/image20.png"/><Relationship Id="rId290" Type="http://schemas.openxmlformats.org/officeDocument/2006/relationships/image" Target="media/image19.png"/><Relationship Id="rId29" Type="http://schemas.openxmlformats.org/officeDocument/2006/relationships/footer" Target="footer24.xml"/><Relationship Id="rId289" Type="http://schemas.openxmlformats.org/officeDocument/2006/relationships/image" Target="media/image18.png"/><Relationship Id="rId288" Type="http://schemas.openxmlformats.org/officeDocument/2006/relationships/image" Target="media/image17.jpeg"/><Relationship Id="rId287" Type="http://schemas.openxmlformats.org/officeDocument/2006/relationships/image" Target="media/image16.png"/><Relationship Id="rId286" Type="http://schemas.openxmlformats.org/officeDocument/2006/relationships/image" Target="media/image15.jpeg"/><Relationship Id="rId285" Type="http://schemas.openxmlformats.org/officeDocument/2006/relationships/image" Target="media/image14.png"/><Relationship Id="rId284" Type="http://schemas.openxmlformats.org/officeDocument/2006/relationships/image" Target="media/image13.png"/><Relationship Id="rId283" Type="http://schemas.openxmlformats.org/officeDocument/2006/relationships/image" Target="media/image12.png"/><Relationship Id="rId282" Type="http://schemas.openxmlformats.org/officeDocument/2006/relationships/image" Target="media/image11.png"/><Relationship Id="rId281" Type="http://schemas.openxmlformats.org/officeDocument/2006/relationships/image" Target="media/image10.png"/><Relationship Id="rId280" Type="http://schemas.openxmlformats.org/officeDocument/2006/relationships/image" Target="media/image9.png"/><Relationship Id="rId28" Type="http://schemas.openxmlformats.org/officeDocument/2006/relationships/footer" Target="footer23.xml"/><Relationship Id="rId279" Type="http://schemas.openxmlformats.org/officeDocument/2006/relationships/image" Target="media/image8.jpeg"/><Relationship Id="rId278" Type="http://schemas.openxmlformats.org/officeDocument/2006/relationships/image" Target="media/image7.jpeg"/><Relationship Id="rId277" Type="http://schemas.openxmlformats.org/officeDocument/2006/relationships/image" Target="media/image6.jpeg"/><Relationship Id="rId276" Type="http://schemas.openxmlformats.org/officeDocument/2006/relationships/theme" Target="theme/theme1.xml"/><Relationship Id="rId275" Type="http://schemas.openxmlformats.org/officeDocument/2006/relationships/footer" Target="footer252.xml"/><Relationship Id="rId274" Type="http://schemas.openxmlformats.org/officeDocument/2006/relationships/footer" Target="footer251.xml"/><Relationship Id="rId273" Type="http://schemas.openxmlformats.org/officeDocument/2006/relationships/footer" Target="footer250.xml"/><Relationship Id="rId272" Type="http://schemas.openxmlformats.org/officeDocument/2006/relationships/footer" Target="footer249.xml"/><Relationship Id="rId271" Type="http://schemas.openxmlformats.org/officeDocument/2006/relationships/footer" Target="footer248.xml"/><Relationship Id="rId270" Type="http://schemas.openxmlformats.org/officeDocument/2006/relationships/footer" Target="footer247.xml"/><Relationship Id="rId27" Type="http://schemas.openxmlformats.org/officeDocument/2006/relationships/footer" Target="footer22.xml"/><Relationship Id="rId269" Type="http://schemas.openxmlformats.org/officeDocument/2006/relationships/footer" Target="footer246.xml"/><Relationship Id="rId268" Type="http://schemas.openxmlformats.org/officeDocument/2006/relationships/footer" Target="footer245.xml"/><Relationship Id="rId267" Type="http://schemas.openxmlformats.org/officeDocument/2006/relationships/footer" Target="footer244.xml"/><Relationship Id="rId266" Type="http://schemas.openxmlformats.org/officeDocument/2006/relationships/footer" Target="footer243.xml"/><Relationship Id="rId265" Type="http://schemas.openxmlformats.org/officeDocument/2006/relationships/footer" Target="footer242.xml"/><Relationship Id="rId264" Type="http://schemas.openxmlformats.org/officeDocument/2006/relationships/footer" Target="footer241.xml"/><Relationship Id="rId263" Type="http://schemas.openxmlformats.org/officeDocument/2006/relationships/footer" Target="footer240.xml"/><Relationship Id="rId262" Type="http://schemas.openxmlformats.org/officeDocument/2006/relationships/footer" Target="footer239.xml"/><Relationship Id="rId261" Type="http://schemas.openxmlformats.org/officeDocument/2006/relationships/footer" Target="footer238.xml"/><Relationship Id="rId260" Type="http://schemas.openxmlformats.org/officeDocument/2006/relationships/footer" Target="footer237.xml"/><Relationship Id="rId26" Type="http://schemas.openxmlformats.org/officeDocument/2006/relationships/footer" Target="footer21.xml"/><Relationship Id="rId259" Type="http://schemas.openxmlformats.org/officeDocument/2006/relationships/footer" Target="footer236.xml"/><Relationship Id="rId258" Type="http://schemas.openxmlformats.org/officeDocument/2006/relationships/footer" Target="footer235.xml"/><Relationship Id="rId257" Type="http://schemas.openxmlformats.org/officeDocument/2006/relationships/footer" Target="footer234.xml"/><Relationship Id="rId256" Type="http://schemas.openxmlformats.org/officeDocument/2006/relationships/footer" Target="footer233.xml"/><Relationship Id="rId255" Type="http://schemas.openxmlformats.org/officeDocument/2006/relationships/footer" Target="footer232.xml"/><Relationship Id="rId254" Type="http://schemas.openxmlformats.org/officeDocument/2006/relationships/footer" Target="footer231.xml"/><Relationship Id="rId253" Type="http://schemas.openxmlformats.org/officeDocument/2006/relationships/footer" Target="footer230.xml"/><Relationship Id="rId252" Type="http://schemas.openxmlformats.org/officeDocument/2006/relationships/footer" Target="footer229.xml"/><Relationship Id="rId251" Type="http://schemas.openxmlformats.org/officeDocument/2006/relationships/footer" Target="footer228.xml"/><Relationship Id="rId250" Type="http://schemas.openxmlformats.org/officeDocument/2006/relationships/footer" Target="footer227.xml"/><Relationship Id="rId25" Type="http://schemas.openxmlformats.org/officeDocument/2006/relationships/footer" Target="footer20.xml"/><Relationship Id="rId249" Type="http://schemas.openxmlformats.org/officeDocument/2006/relationships/footer" Target="footer226.xml"/><Relationship Id="rId248" Type="http://schemas.openxmlformats.org/officeDocument/2006/relationships/footer" Target="footer225.xml"/><Relationship Id="rId247" Type="http://schemas.openxmlformats.org/officeDocument/2006/relationships/footer" Target="footer224.xml"/><Relationship Id="rId246" Type="http://schemas.openxmlformats.org/officeDocument/2006/relationships/footer" Target="footer223.xml"/><Relationship Id="rId245" Type="http://schemas.openxmlformats.org/officeDocument/2006/relationships/footer" Target="footer222.xml"/><Relationship Id="rId244" Type="http://schemas.openxmlformats.org/officeDocument/2006/relationships/footer" Target="footer221.xml"/><Relationship Id="rId243" Type="http://schemas.openxmlformats.org/officeDocument/2006/relationships/footer" Target="footer220.xml"/><Relationship Id="rId242" Type="http://schemas.openxmlformats.org/officeDocument/2006/relationships/footer" Target="footer219.xml"/><Relationship Id="rId241" Type="http://schemas.openxmlformats.org/officeDocument/2006/relationships/footer" Target="footer218.xml"/><Relationship Id="rId240" Type="http://schemas.openxmlformats.org/officeDocument/2006/relationships/footer" Target="footer217.xml"/><Relationship Id="rId24" Type="http://schemas.openxmlformats.org/officeDocument/2006/relationships/footer" Target="footer19.xml"/><Relationship Id="rId239" Type="http://schemas.openxmlformats.org/officeDocument/2006/relationships/footer" Target="footer216.xml"/><Relationship Id="rId238" Type="http://schemas.openxmlformats.org/officeDocument/2006/relationships/footer" Target="footer215.xml"/><Relationship Id="rId237" Type="http://schemas.openxmlformats.org/officeDocument/2006/relationships/footer" Target="footer214.xml"/><Relationship Id="rId236" Type="http://schemas.openxmlformats.org/officeDocument/2006/relationships/footer" Target="footer213.xml"/><Relationship Id="rId235" Type="http://schemas.openxmlformats.org/officeDocument/2006/relationships/footer" Target="footer212.xml"/><Relationship Id="rId234" Type="http://schemas.openxmlformats.org/officeDocument/2006/relationships/footer" Target="footer211.xml"/><Relationship Id="rId233" Type="http://schemas.openxmlformats.org/officeDocument/2006/relationships/footer" Target="footer210.xml"/><Relationship Id="rId232" Type="http://schemas.openxmlformats.org/officeDocument/2006/relationships/footer" Target="footer209.xml"/><Relationship Id="rId231" Type="http://schemas.openxmlformats.org/officeDocument/2006/relationships/footer" Target="footer208.xml"/><Relationship Id="rId230" Type="http://schemas.openxmlformats.org/officeDocument/2006/relationships/footer" Target="footer207.xml"/><Relationship Id="rId23" Type="http://schemas.openxmlformats.org/officeDocument/2006/relationships/footer" Target="footer18.xml"/><Relationship Id="rId229" Type="http://schemas.openxmlformats.org/officeDocument/2006/relationships/footer" Target="footer206.xml"/><Relationship Id="rId228" Type="http://schemas.openxmlformats.org/officeDocument/2006/relationships/footer" Target="footer205.xml"/><Relationship Id="rId227" Type="http://schemas.openxmlformats.org/officeDocument/2006/relationships/footer" Target="footer204.xml"/><Relationship Id="rId226" Type="http://schemas.openxmlformats.org/officeDocument/2006/relationships/footer" Target="footer203.xml"/><Relationship Id="rId225" Type="http://schemas.openxmlformats.org/officeDocument/2006/relationships/footer" Target="footer202.xml"/><Relationship Id="rId224" Type="http://schemas.openxmlformats.org/officeDocument/2006/relationships/footer" Target="footer201.xml"/><Relationship Id="rId223" Type="http://schemas.openxmlformats.org/officeDocument/2006/relationships/footer" Target="footer200.xml"/><Relationship Id="rId222" Type="http://schemas.openxmlformats.org/officeDocument/2006/relationships/footer" Target="footer199.xml"/><Relationship Id="rId221" Type="http://schemas.openxmlformats.org/officeDocument/2006/relationships/footer" Target="footer198.xml"/><Relationship Id="rId220" Type="http://schemas.openxmlformats.org/officeDocument/2006/relationships/footer" Target="footer197.xml"/><Relationship Id="rId22" Type="http://schemas.openxmlformats.org/officeDocument/2006/relationships/footer" Target="footer17.xml"/><Relationship Id="rId219" Type="http://schemas.openxmlformats.org/officeDocument/2006/relationships/footer" Target="footer196.xml"/><Relationship Id="rId218" Type="http://schemas.openxmlformats.org/officeDocument/2006/relationships/footer" Target="footer195.xml"/><Relationship Id="rId217" Type="http://schemas.openxmlformats.org/officeDocument/2006/relationships/footer" Target="footer194.xml"/><Relationship Id="rId216" Type="http://schemas.openxmlformats.org/officeDocument/2006/relationships/footer" Target="footer193.xml"/><Relationship Id="rId215" Type="http://schemas.openxmlformats.org/officeDocument/2006/relationships/footer" Target="footer192.xml"/><Relationship Id="rId214" Type="http://schemas.openxmlformats.org/officeDocument/2006/relationships/footer" Target="footer191.xml"/><Relationship Id="rId213" Type="http://schemas.openxmlformats.org/officeDocument/2006/relationships/footer" Target="footer190.xml"/><Relationship Id="rId212" Type="http://schemas.openxmlformats.org/officeDocument/2006/relationships/footer" Target="footer189.xml"/><Relationship Id="rId211" Type="http://schemas.openxmlformats.org/officeDocument/2006/relationships/footer" Target="footer188.xml"/><Relationship Id="rId210" Type="http://schemas.openxmlformats.org/officeDocument/2006/relationships/footer" Target="footer187.xml"/><Relationship Id="rId21" Type="http://schemas.openxmlformats.org/officeDocument/2006/relationships/footer" Target="footer16.xml"/><Relationship Id="rId209" Type="http://schemas.openxmlformats.org/officeDocument/2006/relationships/footer" Target="footer186.xml"/><Relationship Id="rId208" Type="http://schemas.openxmlformats.org/officeDocument/2006/relationships/footer" Target="footer185.xml"/><Relationship Id="rId207" Type="http://schemas.openxmlformats.org/officeDocument/2006/relationships/footer" Target="footer184.xml"/><Relationship Id="rId206" Type="http://schemas.openxmlformats.org/officeDocument/2006/relationships/footer" Target="footer183.xml"/><Relationship Id="rId205" Type="http://schemas.openxmlformats.org/officeDocument/2006/relationships/footer" Target="footer182.xml"/><Relationship Id="rId204" Type="http://schemas.openxmlformats.org/officeDocument/2006/relationships/footer" Target="footer181.xml"/><Relationship Id="rId203" Type="http://schemas.openxmlformats.org/officeDocument/2006/relationships/footer" Target="footer180.xml"/><Relationship Id="rId202" Type="http://schemas.openxmlformats.org/officeDocument/2006/relationships/footer" Target="footer179.xml"/><Relationship Id="rId201" Type="http://schemas.openxmlformats.org/officeDocument/2006/relationships/footer" Target="footer178.xml"/><Relationship Id="rId200" Type="http://schemas.openxmlformats.org/officeDocument/2006/relationships/footer" Target="footer177.xml"/><Relationship Id="rId20" Type="http://schemas.openxmlformats.org/officeDocument/2006/relationships/footer" Target="footer15.xml"/><Relationship Id="rId2" Type="http://schemas.openxmlformats.org/officeDocument/2006/relationships/settings" Target="settings.xml"/><Relationship Id="rId199" Type="http://schemas.openxmlformats.org/officeDocument/2006/relationships/footer" Target="footer176.xml"/><Relationship Id="rId198" Type="http://schemas.openxmlformats.org/officeDocument/2006/relationships/footer" Target="footer175.xml"/><Relationship Id="rId197" Type="http://schemas.openxmlformats.org/officeDocument/2006/relationships/footer" Target="footer174.xml"/><Relationship Id="rId196" Type="http://schemas.openxmlformats.org/officeDocument/2006/relationships/footer" Target="footer173.xml"/><Relationship Id="rId195" Type="http://schemas.openxmlformats.org/officeDocument/2006/relationships/footer" Target="footer172.xml"/><Relationship Id="rId194" Type="http://schemas.openxmlformats.org/officeDocument/2006/relationships/footer" Target="footer171.xml"/><Relationship Id="rId193" Type="http://schemas.openxmlformats.org/officeDocument/2006/relationships/footer" Target="footer170.xml"/><Relationship Id="rId192" Type="http://schemas.openxmlformats.org/officeDocument/2006/relationships/footer" Target="footer169.xml"/><Relationship Id="rId191" Type="http://schemas.openxmlformats.org/officeDocument/2006/relationships/footer" Target="footer168.xml"/><Relationship Id="rId190" Type="http://schemas.openxmlformats.org/officeDocument/2006/relationships/footer" Target="footer167.xml"/><Relationship Id="rId19" Type="http://schemas.openxmlformats.org/officeDocument/2006/relationships/footer" Target="footer14.xml"/><Relationship Id="rId189" Type="http://schemas.openxmlformats.org/officeDocument/2006/relationships/footer" Target="footer166.xml"/><Relationship Id="rId188" Type="http://schemas.openxmlformats.org/officeDocument/2006/relationships/footer" Target="footer165.xml"/><Relationship Id="rId187" Type="http://schemas.openxmlformats.org/officeDocument/2006/relationships/footer" Target="footer164.xml"/><Relationship Id="rId186" Type="http://schemas.openxmlformats.org/officeDocument/2006/relationships/footer" Target="footer163.xml"/><Relationship Id="rId185" Type="http://schemas.openxmlformats.org/officeDocument/2006/relationships/footer" Target="footer162.xml"/><Relationship Id="rId184" Type="http://schemas.openxmlformats.org/officeDocument/2006/relationships/footer" Target="footer161.xml"/><Relationship Id="rId183" Type="http://schemas.openxmlformats.org/officeDocument/2006/relationships/footer" Target="footer160.xml"/><Relationship Id="rId182" Type="http://schemas.openxmlformats.org/officeDocument/2006/relationships/footer" Target="footer159.xml"/><Relationship Id="rId181" Type="http://schemas.openxmlformats.org/officeDocument/2006/relationships/footer" Target="footer158.xml"/><Relationship Id="rId180" Type="http://schemas.openxmlformats.org/officeDocument/2006/relationships/footer" Target="footer157.xml"/><Relationship Id="rId18" Type="http://schemas.openxmlformats.org/officeDocument/2006/relationships/footer" Target="footer13.xml"/><Relationship Id="rId179" Type="http://schemas.openxmlformats.org/officeDocument/2006/relationships/footer" Target="footer156.xml"/><Relationship Id="rId178" Type="http://schemas.openxmlformats.org/officeDocument/2006/relationships/footer" Target="footer155.xml"/><Relationship Id="rId177" Type="http://schemas.openxmlformats.org/officeDocument/2006/relationships/footer" Target="footer154.xml"/><Relationship Id="rId176" Type="http://schemas.openxmlformats.org/officeDocument/2006/relationships/footer" Target="footer153.xml"/><Relationship Id="rId175" Type="http://schemas.openxmlformats.org/officeDocument/2006/relationships/footer" Target="footer152.xml"/><Relationship Id="rId174" Type="http://schemas.openxmlformats.org/officeDocument/2006/relationships/footer" Target="footer151.xml"/><Relationship Id="rId173" Type="http://schemas.openxmlformats.org/officeDocument/2006/relationships/footer" Target="footer150.xml"/><Relationship Id="rId172" Type="http://schemas.openxmlformats.org/officeDocument/2006/relationships/footer" Target="footer149.xml"/><Relationship Id="rId171" Type="http://schemas.openxmlformats.org/officeDocument/2006/relationships/footer" Target="footer148.xml"/><Relationship Id="rId170" Type="http://schemas.openxmlformats.org/officeDocument/2006/relationships/footer" Target="footer147.xml"/><Relationship Id="rId17" Type="http://schemas.openxmlformats.org/officeDocument/2006/relationships/footer" Target="footer12.xml"/><Relationship Id="rId169" Type="http://schemas.openxmlformats.org/officeDocument/2006/relationships/footer" Target="footer146.xml"/><Relationship Id="rId168" Type="http://schemas.openxmlformats.org/officeDocument/2006/relationships/footer" Target="footer145.xml"/><Relationship Id="rId167" Type="http://schemas.openxmlformats.org/officeDocument/2006/relationships/footer" Target="footer144.xml"/><Relationship Id="rId166" Type="http://schemas.openxmlformats.org/officeDocument/2006/relationships/footer" Target="footer143.xml"/><Relationship Id="rId165" Type="http://schemas.openxmlformats.org/officeDocument/2006/relationships/footer" Target="footer142.xml"/><Relationship Id="rId164" Type="http://schemas.openxmlformats.org/officeDocument/2006/relationships/footer" Target="footer141.xml"/><Relationship Id="rId163" Type="http://schemas.openxmlformats.org/officeDocument/2006/relationships/footer" Target="footer140.xml"/><Relationship Id="rId162" Type="http://schemas.openxmlformats.org/officeDocument/2006/relationships/footer" Target="footer139.xml"/><Relationship Id="rId161" Type="http://schemas.openxmlformats.org/officeDocument/2006/relationships/footer" Target="footer138.xml"/><Relationship Id="rId160" Type="http://schemas.openxmlformats.org/officeDocument/2006/relationships/footer" Target="footer137.xml"/><Relationship Id="rId16" Type="http://schemas.openxmlformats.org/officeDocument/2006/relationships/footer" Target="footer11.xml"/><Relationship Id="rId159" Type="http://schemas.openxmlformats.org/officeDocument/2006/relationships/footer" Target="footer136.xml"/><Relationship Id="rId158" Type="http://schemas.openxmlformats.org/officeDocument/2006/relationships/footer" Target="footer135.xml"/><Relationship Id="rId157" Type="http://schemas.openxmlformats.org/officeDocument/2006/relationships/footer" Target="footer134.xml"/><Relationship Id="rId156" Type="http://schemas.openxmlformats.org/officeDocument/2006/relationships/footer" Target="footer133.xml"/><Relationship Id="rId155" Type="http://schemas.openxmlformats.org/officeDocument/2006/relationships/footer" Target="footer132.xml"/><Relationship Id="rId154" Type="http://schemas.openxmlformats.org/officeDocument/2006/relationships/footer" Target="footer131.xml"/><Relationship Id="rId153" Type="http://schemas.openxmlformats.org/officeDocument/2006/relationships/footer" Target="footer130.xml"/><Relationship Id="rId152" Type="http://schemas.openxmlformats.org/officeDocument/2006/relationships/footer" Target="footer129.xml"/><Relationship Id="rId151" Type="http://schemas.openxmlformats.org/officeDocument/2006/relationships/footer" Target="footer128.xml"/><Relationship Id="rId150" Type="http://schemas.openxmlformats.org/officeDocument/2006/relationships/footer" Target="footer127.xml"/><Relationship Id="rId15" Type="http://schemas.openxmlformats.org/officeDocument/2006/relationships/footer" Target="footer10.xml"/><Relationship Id="rId149" Type="http://schemas.openxmlformats.org/officeDocument/2006/relationships/header" Target="header19.xml"/><Relationship Id="rId148" Type="http://schemas.openxmlformats.org/officeDocument/2006/relationships/footer" Target="footer126.xml"/><Relationship Id="rId147" Type="http://schemas.openxmlformats.org/officeDocument/2006/relationships/header" Target="header18.xml"/><Relationship Id="rId146" Type="http://schemas.openxmlformats.org/officeDocument/2006/relationships/footer" Target="footer125.xml"/><Relationship Id="rId145" Type="http://schemas.openxmlformats.org/officeDocument/2006/relationships/header" Target="header17.xml"/><Relationship Id="rId144" Type="http://schemas.openxmlformats.org/officeDocument/2006/relationships/footer" Target="footer124.xml"/><Relationship Id="rId143" Type="http://schemas.openxmlformats.org/officeDocument/2006/relationships/footer" Target="footer123.xml"/><Relationship Id="rId142" Type="http://schemas.openxmlformats.org/officeDocument/2006/relationships/footer" Target="footer122.xml"/><Relationship Id="rId141" Type="http://schemas.openxmlformats.org/officeDocument/2006/relationships/footer" Target="footer121.xml"/><Relationship Id="rId140" Type="http://schemas.openxmlformats.org/officeDocument/2006/relationships/footer" Target="footer120.xml"/><Relationship Id="rId14" Type="http://schemas.openxmlformats.org/officeDocument/2006/relationships/footer" Target="footer9.xml"/><Relationship Id="rId139" Type="http://schemas.openxmlformats.org/officeDocument/2006/relationships/footer" Target="footer119.xml"/><Relationship Id="rId138" Type="http://schemas.openxmlformats.org/officeDocument/2006/relationships/footer" Target="footer118.xml"/><Relationship Id="rId137" Type="http://schemas.openxmlformats.org/officeDocument/2006/relationships/footer" Target="footer117.xml"/><Relationship Id="rId136" Type="http://schemas.openxmlformats.org/officeDocument/2006/relationships/footer" Target="footer116.xml"/><Relationship Id="rId135" Type="http://schemas.openxmlformats.org/officeDocument/2006/relationships/footer" Target="footer115.xml"/><Relationship Id="rId134" Type="http://schemas.openxmlformats.org/officeDocument/2006/relationships/footer" Target="footer114.xml"/><Relationship Id="rId133" Type="http://schemas.openxmlformats.org/officeDocument/2006/relationships/footer" Target="footer113.xml"/><Relationship Id="rId132" Type="http://schemas.openxmlformats.org/officeDocument/2006/relationships/footer" Target="footer112.xml"/><Relationship Id="rId131" Type="http://schemas.openxmlformats.org/officeDocument/2006/relationships/header" Target="header16.xml"/><Relationship Id="rId130" Type="http://schemas.openxmlformats.org/officeDocument/2006/relationships/footer" Target="footer111.xml"/><Relationship Id="rId13" Type="http://schemas.openxmlformats.org/officeDocument/2006/relationships/footer" Target="footer8.xml"/><Relationship Id="rId129" Type="http://schemas.openxmlformats.org/officeDocument/2006/relationships/header" Target="header15.xml"/><Relationship Id="rId128" Type="http://schemas.openxmlformats.org/officeDocument/2006/relationships/footer" Target="footer110.xml"/><Relationship Id="rId127" Type="http://schemas.openxmlformats.org/officeDocument/2006/relationships/footer" Target="footer109.xml"/><Relationship Id="rId126" Type="http://schemas.openxmlformats.org/officeDocument/2006/relationships/footer" Target="footer108.xml"/><Relationship Id="rId125" Type="http://schemas.openxmlformats.org/officeDocument/2006/relationships/footer" Target="footer107.xml"/><Relationship Id="rId124" Type="http://schemas.openxmlformats.org/officeDocument/2006/relationships/header" Target="header14.xml"/><Relationship Id="rId123" Type="http://schemas.openxmlformats.org/officeDocument/2006/relationships/footer" Target="footer106.xml"/><Relationship Id="rId122" Type="http://schemas.openxmlformats.org/officeDocument/2006/relationships/header" Target="header13.xml"/><Relationship Id="rId121" Type="http://schemas.openxmlformats.org/officeDocument/2006/relationships/footer" Target="footer105.xml"/><Relationship Id="rId120" Type="http://schemas.openxmlformats.org/officeDocument/2006/relationships/header" Target="header12.xml"/><Relationship Id="rId12" Type="http://schemas.openxmlformats.org/officeDocument/2006/relationships/footer" Target="footer7.xml"/><Relationship Id="rId119" Type="http://schemas.openxmlformats.org/officeDocument/2006/relationships/footer" Target="footer104.xml"/><Relationship Id="rId118" Type="http://schemas.openxmlformats.org/officeDocument/2006/relationships/header" Target="header11.xml"/><Relationship Id="rId117" Type="http://schemas.openxmlformats.org/officeDocument/2006/relationships/footer" Target="footer103.xml"/><Relationship Id="rId116" Type="http://schemas.openxmlformats.org/officeDocument/2006/relationships/header" Target="header10.xml"/><Relationship Id="rId115" Type="http://schemas.openxmlformats.org/officeDocument/2006/relationships/footer" Target="footer102.xml"/><Relationship Id="rId114" Type="http://schemas.openxmlformats.org/officeDocument/2006/relationships/header" Target="header9.xml"/><Relationship Id="rId113" Type="http://schemas.openxmlformats.org/officeDocument/2006/relationships/footer" Target="footer101.xml"/><Relationship Id="rId112" Type="http://schemas.openxmlformats.org/officeDocument/2006/relationships/header" Target="header8.xml"/><Relationship Id="rId111" Type="http://schemas.openxmlformats.org/officeDocument/2006/relationships/footer" Target="footer100.xml"/><Relationship Id="rId110" Type="http://schemas.openxmlformats.org/officeDocument/2006/relationships/footer" Target="footer99.xml"/><Relationship Id="rId11" Type="http://schemas.openxmlformats.org/officeDocument/2006/relationships/footer" Target="footer6.xml"/><Relationship Id="rId109" Type="http://schemas.openxmlformats.org/officeDocument/2006/relationships/footer" Target="footer98.xml"/><Relationship Id="rId108" Type="http://schemas.openxmlformats.org/officeDocument/2006/relationships/footer" Target="footer97.xml"/><Relationship Id="rId107" Type="http://schemas.openxmlformats.org/officeDocument/2006/relationships/footer" Target="footer96.xml"/><Relationship Id="rId106" Type="http://schemas.openxmlformats.org/officeDocument/2006/relationships/header" Target="header7.xml"/><Relationship Id="rId105" Type="http://schemas.openxmlformats.org/officeDocument/2006/relationships/footer" Target="footer95.xml"/><Relationship Id="rId104" Type="http://schemas.openxmlformats.org/officeDocument/2006/relationships/header" Target="header6.xml"/><Relationship Id="rId103" Type="http://schemas.openxmlformats.org/officeDocument/2006/relationships/footer" Target="footer94.xml"/><Relationship Id="rId102" Type="http://schemas.openxmlformats.org/officeDocument/2006/relationships/footer" Target="footer93.xml"/><Relationship Id="rId101" Type="http://schemas.openxmlformats.org/officeDocument/2006/relationships/header" Target="header5.xml"/><Relationship Id="rId100"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header15.xml.rels><?xml version="1.0" encoding="UTF-8" standalone="yes"?>
<Relationships xmlns="http://schemas.openxmlformats.org/package/2006/relationships"><Relationship Id="rId1" Type="http://schemas.openxmlformats.org/officeDocument/2006/relationships/image" Target="media/image3.jpeg"/></Relationships>
</file>

<file path=word/_rels/header17.xml.rels><?xml version="1.0" encoding="UTF-8" standalone="yes"?>
<Relationships xmlns="http://schemas.openxmlformats.org/package/2006/relationships"><Relationship Id="rId1" Type="http://schemas.openxmlformats.org/officeDocument/2006/relationships/image" Target="media/image4.jpeg"/></Relationships>
</file>

<file path=word/_rels/header18.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1027"/>
    <customShpInfo spid="_x0000_s1028"/>
    <customShpInfo spid="_x0000_s1026"/>
    <customShpInfo spid="_x0000_s1030"/>
    <customShpInfo spid="_x0000_s1031"/>
    <customShpInfo spid="_x0000_s1029"/>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58"/>
    <customShpInfo spid="_x0000_s1059"/>
    <customShpInfo spid="_x0000_s1060"/>
    <customShpInfo spid="_x0000_s1061"/>
    <customShpInfo spid="_x0000_s1062"/>
    <customShpInfo spid="_x0000_s1063"/>
    <customShpInfo spid="_x0000_s1064"/>
    <customShpInfo spid="_x0000_s1065"/>
    <customShpInfo spid="_x0000_s1066"/>
    <customShpInfo spid="_x0000_s1067"/>
    <customShpInfo spid="_x0000_s1068"/>
    <customShpInfo spid="_x0000_s1069"/>
    <customShpInfo spid="_x0000_s1070"/>
    <customShpInfo spid="_x0000_s1071"/>
    <customShpInfo spid="_x0000_s1072"/>
    <customShpInfo spid="_x0000_s1073"/>
    <customShpInfo spid="_x0000_s1074"/>
    <customShpInfo spid="_x0000_s1075"/>
    <customShpInfo spid="_x0000_s1076"/>
    <customShpInfo spid="_x0000_s1077"/>
    <customShpInfo spid="_x0000_s1078"/>
    <customShpInfo spid="_x0000_s1079"/>
    <customShpInfo spid="_x0000_s1080"/>
    <customShpInfo spid="_x0000_s1081"/>
    <customShpInfo spid="_x0000_s1082"/>
    <customShpInfo spid="_x0000_s1083"/>
    <customShpInfo spid="_x0000_s1084"/>
    <customShpInfo spid="_x0000_s1085"/>
    <customShpInfo spid="_x0000_s1086"/>
    <customShpInfo spid="_x0000_s1087"/>
    <customShpInfo spid="_x0000_s1088"/>
    <customShpInfo spid="_x0000_s1089"/>
    <customShpInfo spid="_x0000_s1090"/>
    <customShpInfo spid="_x0000_s1091"/>
    <customShpInfo spid="_x0000_s1092"/>
    <customShpInfo spid="_x0000_s1093"/>
    <customShpInfo spid="_x0000_s1094"/>
    <customShpInfo spid="_x0000_s1095"/>
    <customShpInfo spid="_x0000_s1096"/>
    <customShpInfo spid="_x0000_s1097"/>
    <customShpInfo spid="_x0000_s1032"/>
    <customShpInfo spid="_x0000_s1098"/>
    <customShpInfo spid="_x0000_s1099"/>
    <customShpInfo spid="_x0000_s1101"/>
    <customShpInfo spid="_x0000_s1102"/>
    <customShpInfo spid="_x0000_s1103"/>
    <customShpInfo spid="_x0000_s1104"/>
    <customShpInfo spid="_x0000_s1105"/>
    <customShpInfo spid="_x0000_s1106"/>
    <customShpInfo spid="_x0000_s1100"/>
    <customShpInfo spid="_x0000_s1107"/>
    <customShpInfo spid="_x0000_s1108"/>
    <customShpInfo spid="_x0000_s1110"/>
    <customShpInfo spid="_x0000_s1111"/>
    <customShpInfo spid="_x0000_s1112"/>
    <customShpInfo spid="_x0000_s1109"/>
    <customShpInfo spid="_x0000_s1113"/>
    <customShpInfo spid="_x0000_s1114"/>
    <customShpInfo spid="_x0000_s1115"/>
    <customShpInfo spid="_x0000_s1116"/>
    <customShpInfo spid="_x0000_s1117"/>
    <customShpInfo spid="_x0000_s1118"/>
    <customShpInfo spid="_x0000_s1119"/>
    <customShpInfo spid="_x0000_s1120"/>
    <customShpInfo spid="_x0000_s1121"/>
    <customShpInfo spid="_x0000_s1122"/>
    <customShpInfo spid="_x0000_s1123"/>
    <customShpInfo spid="_x0000_s1124"/>
    <customShpInfo spid="_x0000_s1125"/>
    <customShpInfo spid="_x0000_s1126"/>
    <customShpInfo spid="_x0000_s1127"/>
    <customShpInfo spid="_x0000_s1129"/>
    <customShpInfo spid="_x0000_s1130"/>
    <customShpInfo spid="_x0000_s1128"/>
    <customShpInfo spid="_x0000_s1132"/>
    <customShpInfo spid="_x0000_s1133"/>
    <customShpInfo spid="_x0000_s1131"/>
    <customShpInfo spid="_x0000_s1135"/>
    <customShpInfo spid="_x0000_s1136"/>
    <customShpInfo spid="_x0000_s1134"/>
    <customShpInfo spid="_x0000_s113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278</Pages>
  <Words>3021</Words>
  <Characters>4005</Characters>
  <TotalTime>13</TotalTime>
  <ScaleCrop>false</ScaleCrop>
  <LinksUpToDate>false</LinksUpToDate>
  <CharactersWithSpaces>4189</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2026-08-06T18:14:00Z</dcterms:created>
  <dc:creator>lhj</dc:creator>
  <cp:lastModifiedBy>WPS_1535080285</cp:lastModifiedBy>
  <dcterms:modified xsi:type="dcterms:W3CDTF">2026-09-21T01:23:55Z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2026-08-12T16:32:28Z</vt:filetime>
  </property>
  <property fmtid="{D5CDD505-2E9C-101B-9397-08002B2CF9AE}" pid="4" name="KSOTemplateDocerSaveRecord">
    <vt:lpwstr>eyJoZGlkIjoiMTk2OTI4YmMxMzc2MjEzYjIzZmVmZjM5OTliMjZkZjEiLCJ1c2VySWQiOiIzOTczOTY3MjYifQ==</vt:lpwstr>
  </property>
  <property fmtid="{D5CDD505-2E9C-101B-9397-08002B2CF9AE}" pid="5" name="KSOProductBuildVer">
    <vt:lpwstr>2052-12.1.0.28505</vt:lpwstr>
  </property>
  <property fmtid="{D5CDD505-2E9C-101B-9397-08002B2CF9AE}" pid="6" name="ICV">
    <vt:lpwstr>667D10F1A80342D7B62EB5A85BD3D1D2_12</vt:lpwstr>
  </property>
</Properties>
</file>